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footer14.xml" ContentType="application/vnd.openxmlformats-officedocument.wordprocessingml.footer+xml"/>
  <Override PartName="/word/header20.xml" ContentType="application/vnd.openxmlformats-officedocument.wordprocessingml.header+xml"/>
  <Override PartName="/word/footer15.xml" ContentType="application/vnd.openxmlformats-officedocument.wordprocessingml.footer+xml"/>
  <Override PartName="/word/header21.xml" ContentType="application/vnd.openxmlformats-officedocument.wordprocessingml.header+xml"/>
  <Override PartName="/word/footer16.xml" ContentType="application/vnd.openxmlformats-officedocument.wordprocessingml.footer+xml"/>
  <Override PartName="/word/header22.xml" ContentType="application/vnd.openxmlformats-officedocument.wordprocessingml.header+xml"/>
  <Override PartName="/word/footer17.xml" ContentType="application/vnd.openxmlformats-officedocument.wordprocessingml.footer+xml"/>
  <Override PartName="/word/header23.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footer19.xml" ContentType="application/vnd.openxmlformats-officedocument.wordprocessingml.footer+xml"/>
  <Override PartName="/word/header25.xml" ContentType="application/vnd.openxmlformats-officedocument.wordprocessingml.header+xml"/>
  <Override PartName="/word/footer20.xml" ContentType="application/vnd.openxmlformats-officedocument.wordprocessingml.footer+xml"/>
  <Override PartName="/word/header26.xml" ContentType="application/vnd.openxmlformats-officedocument.wordprocessingml.header+xml"/>
  <Override PartName="/word/footer21.xml" ContentType="application/vnd.openxmlformats-officedocument.wordprocessingml.footer+xml"/>
  <Override PartName="/word/header27.xml" ContentType="application/vnd.openxmlformats-officedocument.wordprocessingml.header+xml"/>
  <Override PartName="/word/footer22.xml" ContentType="application/vnd.openxmlformats-officedocument.wordprocessingml.footer+xml"/>
  <Override PartName="/word/header28.xml" ContentType="application/vnd.openxmlformats-officedocument.wordprocessingml.header+xml"/>
  <Override PartName="/word/footer23.xml" ContentType="application/vnd.openxmlformats-officedocument.wordprocessingml.footer+xml"/>
  <Override PartName="/word/header29.xml" ContentType="application/vnd.openxmlformats-officedocument.wordprocessingml.header+xml"/>
  <Override PartName="/word/footer24.xml" ContentType="application/vnd.openxmlformats-officedocument.wordprocessingml.footer+xml"/>
  <Override PartName="/word/header30.xml" ContentType="application/vnd.openxmlformats-officedocument.wordprocessingml.header+xml"/>
  <Override PartName="/word/footer25.xml" ContentType="application/vnd.openxmlformats-officedocument.wordprocessingml.footer+xml"/>
  <Override PartName="/word/header31.xml" ContentType="application/vnd.openxmlformats-officedocument.wordprocessingml.header+xml"/>
  <Override PartName="/word/footer26.xml" ContentType="application/vnd.openxmlformats-officedocument.wordprocessingml.footer+xml"/>
  <Override PartName="/word/header32.xml" ContentType="application/vnd.openxmlformats-officedocument.wordprocessingml.header+xml"/>
  <Override PartName="/word/footer27.xml" ContentType="application/vnd.openxmlformats-officedocument.wordprocessingml.footer+xml"/>
  <Override PartName="/word/header33.xml" ContentType="application/vnd.openxmlformats-officedocument.wordprocessingml.header+xml"/>
  <Override PartName="/word/footer28.xml" ContentType="application/vnd.openxmlformats-officedocument.wordprocessingml.footer+xml"/>
  <Override PartName="/word/header34.xml" ContentType="application/vnd.openxmlformats-officedocument.wordprocessingml.header+xml"/>
  <Override PartName="/word/footer29.xml" ContentType="application/vnd.openxmlformats-officedocument.wordprocessingml.footer+xml"/>
  <Override PartName="/word/header35.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2B1114" w14:paraId="6B35C277" w14:textId="77777777" w:rsidTr="008D2FEC">
        <w:trPr>
          <w:trHeight w:hRule="exact" w:val="3598"/>
        </w:trPr>
        <w:tc>
          <w:tcPr>
            <w:tcW w:w="9513" w:type="dxa"/>
            <w:shd w:val="clear" w:color="auto" w:fill="auto"/>
            <w:vAlign w:val="center"/>
          </w:tcPr>
          <w:p w14:paraId="1D5B7E5D" w14:textId="39A3185A" w:rsidR="008D2FEC" w:rsidRPr="00D20BDB" w:rsidRDefault="008D2FEC" w:rsidP="00AA32CE">
            <w:pPr>
              <w:pStyle w:val="RepTitle"/>
            </w:pPr>
            <w:r w:rsidRPr="00D20BDB">
              <w:t>REGISTRATION REPORT</w:t>
            </w:r>
          </w:p>
          <w:p w14:paraId="5A0B7985" w14:textId="77777777" w:rsidR="00F52E35" w:rsidRPr="00D20BDB" w:rsidRDefault="00D756A1" w:rsidP="00AA32CE">
            <w:pPr>
              <w:pStyle w:val="RepTitleBold"/>
            </w:pPr>
            <w:r w:rsidRPr="00D20BDB">
              <w:t>Part</w:t>
            </w:r>
            <w:r w:rsidR="0079112D" w:rsidRPr="00D20BDB">
              <w:t xml:space="preserve"> </w:t>
            </w:r>
            <w:r w:rsidR="0085611A" w:rsidRPr="00D20BDB">
              <w:t>B</w:t>
            </w:r>
          </w:p>
          <w:p w14:paraId="0541C4F4" w14:textId="77777777" w:rsidR="0085611A" w:rsidRPr="002B1114" w:rsidRDefault="0085611A" w:rsidP="00AA32CE">
            <w:pPr>
              <w:pStyle w:val="RepTitleBold"/>
            </w:pPr>
            <w:r w:rsidRPr="00D20BDB">
              <w:t>Section 9</w:t>
            </w:r>
          </w:p>
          <w:p w14:paraId="472D6BC1" w14:textId="77777777" w:rsidR="0079112D" w:rsidRPr="002B1114" w:rsidRDefault="0085611A" w:rsidP="00AA32CE">
            <w:pPr>
              <w:pStyle w:val="RepTitleBold"/>
            </w:pPr>
            <w:r w:rsidRPr="002B1114">
              <w:t>Ecotoxicology</w:t>
            </w:r>
          </w:p>
          <w:p w14:paraId="348B9DE9" w14:textId="77777777" w:rsidR="008D2FEC" w:rsidRPr="002B1114" w:rsidRDefault="0085611A" w:rsidP="00AA32CE">
            <w:pPr>
              <w:pStyle w:val="RepSubtitle"/>
            </w:pPr>
            <w:r w:rsidRPr="002B1114">
              <w:t>Detailed summary of the risk assessment</w:t>
            </w:r>
          </w:p>
        </w:tc>
      </w:tr>
      <w:tr w:rsidR="008D2FEC" w:rsidRPr="002B1114" w14:paraId="37EE25C2" w14:textId="77777777" w:rsidTr="008D2FEC">
        <w:trPr>
          <w:trHeight w:hRule="exact" w:val="3765"/>
        </w:trPr>
        <w:tc>
          <w:tcPr>
            <w:tcW w:w="9513" w:type="dxa"/>
            <w:shd w:val="clear" w:color="auto" w:fill="auto"/>
            <w:vAlign w:val="center"/>
          </w:tcPr>
          <w:p w14:paraId="087252BC" w14:textId="77777777" w:rsidR="00D20BDB" w:rsidRPr="00D20BDB" w:rsidRDefault="00D20BDB" w:rsidP="00D20BDB">
            <w:pPr>
              <w:pStyle w:val="RepTitle"/>
            </w:pPr>
            <w:r w:rsidRPr="00D20BDB">
              <w:t xml:space="preserve">Product code: </w:t>
            </w:r>
            <w:r>
              <w:rPr>
                <w:lang w:val="en-US"/>
              </w:rPr>
              <w:t>BAS 736 00 F</w:t>
            </w:r>
          </w:p>
          <w:p w14:paraId="24DCA162" w14:textId="30BFB457" w:rsidR="008D2FEC" w:rsidRPr="00D20BDB" w:rsidRDefault="008D2FEC" w:rsidP="00AA32CE">
            <w:pPr>
              <w:pStyle w:val="RepTitle"/>
            </w:pPr>
            <w:r w:rsidRPr="00D20BDB">
              <w:t>Product name</w:t>
            </w:r>
            <w:r w:rsidR="00C90910" w:rsidRPr="00D20BDB">
              <w:t>(s)</w:t>
            </w:r>
            <w:r w:rsidRPr="00D20BDB">
              <w:t xml:space="preserve">: </w:t>
            </w:r>
            <w:r w:rsidR="00896558" w:rsidRPr="00CF56F1">
              <w:rPr>
                <w:b/>
                <w:bCs/>
              </w:rPr>
              <w:t>Miralon</w:t>
            </w:r>
          </w:p>
          <w:p w14:paraId="3F27F116" w14:textId="77777777" w:rsidR="008D2FEC" w:rsidRPr="00D20BDB" w:rsidRDefault="00C90910" w:rsidP="00AA32CE">
            <w:pPr>
              <w:pStyle w:val="RepSubtitle"/>
            </w:pPr>
            <w:r w:rsidRPr="00D20BDB">
              <w:t>Chemical a</w:t>
            </w:r>
            <w:r w:rsidR="008D2FEC" w:rsidRPr="00D20BDB">
              <w:t xml:space="preserve">ctive substance(s): </w:t>
            </w:r>
          </w:p>
          <w:p w14:paraId="7A58B394" w14:textId="77777777" w:rsidR="008D2FEC" w:rsidRPr="00D20BDB" w:rsidRDefault="0079639C" w:rsidP="00C90910">
            <w:pPr>
              <w:pStyle w:val="RepSubtitle"/>
            </w:pPr>
            <w:r>
              <w:rPr>
                <w:szCs w:val="32"/>
              </w:rPr>
              <w:t>Fluxapyroxad</w:t>
            </w:r>
            <w:r w:rsidR="00C0776E" w:rsidRPr="00D20BDB">
              <w:rPr>
                <w:szCs w:val="32"/>
              </w:rPr>
              <w:t xml:space="preserve">, </w:t>
            </w:r>
            <w:r>
              <w:rPr>
                <w:szCs w:val="32"/>
              </w:rPr>
              <w:t>50</w:t>
            </w:r>
            <w:r w:rsidR="00C0776E" w:rsidRPr="00D20BDB">
              <w:rPr>
                <w:szCs w:val="32"/>
              </w:rPr>
              <w:t xml:space="preserve"> g/L</w:t>
            </w:r>
            <w:r w:rsidR="00C0776E" w:rsidRPr="00D20BDB">
              <w:rPr>
                <w:szCs w:val="32"/>
              </w:rPr>
              <w:br/>
            </w:r>
            <w:r w:rsidR="00C90910" w:rsidRPr="00D20BDB">
              <w:rPr>
                <w:szCs w:val="32"/>
              </w:rPr>
              <w:t>A</w:t>
            </w:r>
            <w:r>
              <w:rPr>
                <w:szCs w:val="32"/>
              </w:rPr>
              <w:t>zoxystrobin</w:t>
            </w:r>
            <w:r w:rsidR="00C0776E" w:rsidRPr="00D20BDB">
              <w:rPr>
                <w:szCs w:val="32"/>
              </w:rPr>
              <w:t xml:space="preserve">, </w:t>
            </w:r>
            <w:r>
              <w:rPr>
                <w:szCs w:val="32"/>
              </w:rPr>
              <w:t>75</w:t>
            </w:r>
            <w:r w:rsidR="00C0776E" w:rsidRPr="00D20BDB">
              <w:rPr>
                <w:szCs w:val="32"/>
              </w:rPr>
              <w:t xml:space="preserve"> g/L</w:t>
            </w:r>
            <w:r w:rsidR="00C0776E" w:rsidRPr="00D20BDB">
              <w:rPr>
                <w:szCs w:val="32"/>
              </w:rPr>
              <w:br/>
            </w:r>
          </w:p>
        </w:tc>
      </w:tr>
      <w:tr w:rsidR="008D2FEC" w:rsidRPr="007330A6" w14:paraId="321A6B49" w14:textId="77777777" w:rsidTr="00CF56F1">
        <w:trPr>
          <w:trHeight w:hRule="exact" w:val="1998"/>
        </w:trPr>
        <w:tc>
          <w:tcPr>
            <w:tcW w:w="9513" w:type="dxa"/>
            <w:shd w:val="clear" w:color="auto" w:fill="auto"/>
            <w:vAlign w:val="center"/>
          </w:tcPr>
          <w:p w14:paraId="462B5A05" w14:textId="77777777" w:rsidR="008D2FEC" w:rsidRPr="007872A7" w:rsidRDefault="00AD425E" w:rsidP="00AA32CE">
            <w:pPr>
              <w:pStyle w:val="RepTitle"/>
              <w:rPr>
                <w:lang w:val="fr-FR"/>
              </w:rPr>
            </w:pPr>
            <w:r w:rsidRPr="007872A7">
              <w:rPr>
                <w:lang w:val="fr-FR"/>
              </w:rPr>
              <w:t>Central</w:t>
            </w:r>
            <w:r w:rsidR="00B65271" w:rsidRPr="007872A7">
              <w:rPr>
                <w:lang w:val="fr-FR"/>
              </w:rPr>
              <w:t xml:space="preserve"> Zone</w:t>
            </w:r>
          </w:p>
          <w:p w14:paraId="082943CB" w14:textId="10A2BF6A" w:rsidR="008D2FEC" w:rsidRPr="007872A7" w:rsidRDefault="008D2FEC" w:rsidP="00B65271">
            <w:pPr>
              <w:pStyle w:val="RepTitle"/>
              <w:rPr>
                <w:lang w:val="fr-FR"/>
              </w:rPr>
            </w:pPr>
            <w:r w:rsidRPr="007872A7">
              <w:rPr>
                <w:lang w:val="fr-FR"/>
              </w:rPr>
              <w:t>Zonal Rapporteur Member State</w:t>
            </w:r>
            <w:r w:rsidR="00B65271" w:rsidRPr="007872A7">
              <w:rPr>
                <w:lang w:val="fr-FR"/>
              </w:rPr>
              <w:t xml:space="preserve">: </w:t>
            </w:r>
            <w:r w:rsidR="00DF1FAD" w:rsidRPr="007872A7">
              <w:rPr>
                <w:lang w:val="fr-FR"/>
              </w:rPr>
              <w:t>Poland</w:t>
            </w:r>
          </w:p>
        </w:tc>
      </w:tr>
      <w:tr w:rsidR="008D2FEC" w:rsidRPr="002B1114" w14:paraId="3883551C" w14:textId="77777777" w:rsidTr="008D2FEC">
        <w:trPr>
          <w:trHeight w:hRule="exact" w:val="2268"/>
        </w:trPr>
        <w:tc>
          <w:tcPr>
            <w:tcW w:w="9513" w:type="dxa"/>
            <w:shd w:val="clear" w:color="auto" w:fill="auto"/>
            <w:vAlign w:val="center"/>
          </w:tcPr>
          <w:p w14:paraId="3A928D43" w14:textId="77777777" w:rsidR="0079639C" w:rsidRDefault="00D918E1" w:rsidP="0079639C">
            <w:pPr>
              <w:pStyle w:val="RepTitle"/>
            </w:pPr>
            <w:r w:rsidRPr="00D20BDB">
              <w:t>CORE ASSESSMENT</w:t>
            </w:r>
          </w:p>
          <w:p w14:paraId="23421098" w14:textId="0E48F867" w:rsidR="008D2FEC" w:rsidRPr="00D20BDB" w:rsidRDefault="008D2FEC" w:rsidP="0079639C">
            <w:pPr>
              <w:pStyle w:val="RepTitle"/>
            </w:pPr>
            <w:r w:rsidRPr="00D20BDB">
              <w:t>(</w:t>
            </w:r>
            <w:r w:rsidR="00AD71DA">
              <w:t xml:space="preserve">new </w:t>
            </w:r>
            <w:r w:rsidR="00B3626C" w:rsidRPr="00D20BDB">
              <w:t>authorization</w:t>
            </w:r>
            <w:r w:rsidRPr="00D20BDB">
              <w:t>)</w:t>
            </w:r>
          </w:p>
        </w:tc>
      </w:tr>
      <w:tr w:rsidR="008D2FEC" w:rsidRPr="002B1114" w14:paraId="1D452052" w14:textId="77777777" w:rsidTr="00CF56F1">
        <w:trPr>
          <w:trHeight w:hRule="exact" w:val="2413"/>
        </w:trPr>
        <w:tc>
          <w:tcPr>
            <w:tcW w:w="9513" w:type="dxa"/>
            <w:shd w:val="clear" w:color="auto" w:fill="auto"/>
            <w:vAlign w:val="center"/>
          </w:tcPr>
          <w:p w14:paraId="2164EE5D" w14:textId="77777777" w:rsidR="008D2FEC" w:rsidRPr="00CF56F1" w:rsidRDefault="008D2FEC" w:rsidP="00AA32CE">
            <w:pPr>
              <w:pStyle w:val="RepTitle"/>
            </w:pPr>
            <w:r w:rsidRPr="00D20BDB">
              <w:t xml:space="preserve">Applicant: </w:t>
            </w:r>
            <w:r w:rsidR="00C51E58" w:rsidRPr="00CF56F1">
              <w:t>BASF</w:t>
            </w:r>
          </w:p>
          <w:p w14:paraId="38191B6F" w14:textId="50F124DE" w:rsidR="008D2FEC" w:rsidRPr="00CF56F1" w:rsidRDefault="008D2FEC" w:rsidP="00AA32CE">
            <w:pPr>
              <w:pStyle w:val="RepTitle"/>
            </w:pPr>
            <w:r w:rsidRPr="00CF56F1">
              <w:t xml:space="preserve">Submission date: </w:t>
            </w:r>
            <w:r w:rsidR="002458AB" w:rsidRPr="00CF56F1">
              <w:t>08/2022</w:t>
            </w:r>
          </w:p>
          <w:p w14:paraId="2A504516" w14:textId="77777777" w:rsidR="00CF56F1" w:rsidRPr="00FD02D7" w:rsidRDefault="00CF56F1" w:rsidP="00CF56F1">
            <w:pPr>
              <w:pStyle w:val="RepTitle"/>
            </w:pPr>
            <w:r>
              <w:rPr>
                <w:szCs w:val="32"/>
              </w:rPr>
              <w:t>Evaluation date: August 2022</w:t>
            </w:r>
          </w:p>
          <w:p w14:paraId="363E4D43" w14:textId="74DD47C7" w:rsidR="008D2FEC" w:rsidRDefault="00CF56F1" w:rsidP="00CF56F1">
            <w:pPr>
              <w:pStyle w:val="RepTitle"/>
            </w:pPr>
            <w:r w:rsidRPr="00FD02D7">
              <w:t xml:space="preserve">MS Finalisation date: </w:t>
            </w:r>
            <w:r w:rsidR="00B70D0A">
              <w:t>January 2023</w:t>
            </w:r>
          </w:p>
          <w:p w14:paraId="0F26D850" w14:textId="77777777" w:rsidR="0079639C" w:rsidRPr="0079639C" w:rsidRDefault="0079639C" w:rsidP="0079639C">
            <w:pPr>
              <w:rPr>
                <w:lang w:val="en-GB"/>
              </w:rPr>
            </w:pPr>
          </w:p>
          <w:p w14:paraId="604527CA" w14:textId="77777777" w:rsidR="0079639C" w:rsidRPr="0079639C" w:rsidRDefault="0079639C" w:rsidP="0079639C">
            <w:pPr>
              <w:rPr>
                <w:lang w:val="en-GB"/>
              </w:rPr>
            </w:pPr>
          </w:p>
          <w:p w14:paraId="701AD86D" w14:textId="77777777" w:rsidR="0079639C" w:rsidRDefault="0079639C" w:rsidP="0079639C">
            <w:pPr>
              <w:rPr>
                <w:lang w:val="en-GB"/>
              </w:rPr>
            </w:pPr>
          </w:p>
          <w:p w14:paraId="58144919" w14:textId="429F30AB" w:rsidR="00492207" w:rsidRPr="00492207" w:rsidRDefault="00492207" w:rsidP="00492207">
            <w:pPr>
              <w:rPr>
                <w:lang w:val="en-GB"/>
              </w:rPr>
            </w:pPr>
          </w:p>
        </w:tc>
      </w:tr>
    </w:tbl>
    <w:p w14:paraId="7FF5B444" w14:textId="1F58FDE0" w:rsidR="00CF56F1" w:rsidRPr="00CF56F1" w:rsidRDefault="00CF56F1" w:rsidP="00CF56F1">
      <w:pPr>
        <w:rPr>
          <w:lang w:val="en-GB"/>
        </w:rPr>
        <w:sectPr w:rsidR="00CF56F1" w:rsidRPr="00CF56F1" w:rsidSect="00D20BDB">
          <w:headerReference w:type="default" r:id="rId8"/>
          <w:footerReference w:type="even" r:id="rId9"/>
          <w:footerReference w:type="default" r:id="rId10"/>
          <w:headerReference w:type="first" r:id="rId11"/>
          <w:footerReference w:type="first" r:id="rId12"/>
          <w:pgSz w:w="11906" w:h="16838" w:code="9"/>
          <w:pgMar w:top="1418" w:right="1134" w:bottom="1134" w:left="1418" w:header="709" w:footer="709" w:gutter="0"/>
          <w:pgNumType w:chapSep="period"/>
          <w:cols w:space="708"/>
          <w:titlePg/>
          <w:docGrid w:linePitch="360"/>
        </w:sectPr>
      </w:pPr>
    </w:p>
    <w:p w14:paraId="25A01A2E" w14:textId="77777777" w:rsidR="00CF56F1" w:rsidRDefault="00CF56F1" w:rsidP="00AA32CE">
      <w:pPr>
        <w:pStyle w:val="RepTitle"/>
      </w:pPr>
    </w:p>
    <w:p w14:paraId="101183AD" w14:textId="538B649F" w:rsidR="00E83884" w:rsidRPr="002B1114" w:rsidRDefault="008D2FEC" w:rsidP="00AA32CE">
      <w:pPr>
        <w:pStyle w:val="RepTitle"/>
      </w:pPr>
      <w:r w:rsidRPr="002B1114">
        <w:t>V</w:t>
      </w:r>
      <w:r w:rsidR="00E83884" w:rsidRPr="002B1114">
        <w:t xml:space="preserve">ersion </w:t>
      </w:r>
      <w:r w:rsidR="006701D3" w:rsidRPr="002B1114">
        <w:t>h</w:t>
      </w:r>
      <w:r w:rsidR="00E83884" w:rsidRPr="002B1114">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2B1114" w14:paraId="75C8BF62" w14:textId="77777777" w:rsidTr="00127BD4">
        <w:tc>
          <w:tcPr>
            <w:tcW w:w="796" w:type="pct"/>
            <w:shd w:val="clear" w:color="auto" w:fill="auto"/>
          </w:tcPr>
          <w:p w14:paraId="0AF537C7" w14:textId="77777777" w:rsidR="00E83884" w:rsidRPr="002B1114" w:rsidRDefault="00E83884" w:rsidP="00AA32CE">
            <w:pPr>
              <w:pStyle w:val="RepTableHeader"/>
              <w:rPr>
                <w:lang w:val="en-GB"/>
              </w:rPr>
            </w:pPr>
            <w:r w:rsidRPr="002B1114">
              <w:rPr>
                <w:lang w:val="en-GB"/>
              </w:rPr>
              <w:t>When</w:t>
            </w:r>
          </w:p>
        </w:tc>
        <w:tc>
          <w:tcPr>
            <w:tcW w:w="4204" w:type="pct"/>
            <w:shd w:val="clear" w:color="auto" w:fill="auto"/>
          </w:tcPr>
          <w:p w14:paraId="7C697C0B" w14:textId="77777777" w:rsidR="00E83884" w:rsidRPr="002B1114" w:rsidRDefault="00E83884" w:rsidP="00AA32CE">
            <w:pPr>
              <w:pStyle w:val="RepTableHeader"/>
              <w:rPr>
                <w:lang w:val="en-GB"/>
              </w:rPr>
            </w:pPr>
            <w:r w:rsidRPr="002B1114">
              <w:rPr>
                <w:lang w:val="en-GB"/>
              </w:rPr>
              <w:t>What</w:t>
            </w:r>
          </w:p>
        </w:tc>
      </w:tr>
      <w:tr w:rsidR="00E83884" w:rsidRPr="002B1114" w14:paraId="6519FC0B" w14:textId="77777777" w:rsidTr="00127BD4">
        <w:tc>
          <w:tcPr>
            <w:tcW w:w="796" w:type="pct"/>
            <w:shd w:val="clear" w:color="auto" w:fill="auto"/>
          </w:tcPr>
          <w:p w14:paraId="31630984" w14:textId="02A941B7" w:rsidR="00E83884" w:rsidRPr="002B1114" w:rsidRDefault="00DF1FAD" w:rsidP="002442E5">
            <w:pPr>
              <w:pStyle w:val="RepTable"/>
              <w:rPr>
                <w:noProof w:val="0"/>
              </w:rPr>
            </w:pPr>
            <w:r>
              <w:rPr>
                <w:noProof w:val="0"/>
              </w:rPr>
              <w:t>12</w:t>
            </w:r>
            <w:r w:rsidR="0079639C">
              <w:rPr>
                <w:noProof w:val="0"/>
              </w:rPr>
              <w:t>/2021</w:t>
            </w:r>
          </w:p>
        </w:tc>
        <w:tc>
          <w:tcPr>
            <w:tcW w:w="4204" w:type="pct"/>
            <w:shd w:val="clear" w:color="auto" w:fill="auto"/>
          </w:tcPr>
          <w:p w14:paraId="3F70CA9F" w14:textId="07C8AF06" w:rsidR="00E83884" w:rsidRPr="002B1114" w:rsidRDefault="0079639C" w:rsidP="00AA32CE">
            <w:pPr>
              <w:pStyle w:val="RepTable"/>
            </w:pPr>
            <w:r>
              <w:t xml:space="preserve">Initial dRR - BASF DocID </w:t>
            </w:r>
            <w:r w:rsidR="00B52E7A" w:rsidRPr="00B52E7A">
              <w:t>2021/2048070</w:t>
            </w:r>
          </w:p>
        </w:tc>
      </w:tr>
      <w:tr w:rsidR="00E83884" w:rsidRPr="002B1114" w14:paraId="630014AF" w14:textId="77777777" w:rsidTr="00127BD4">
        <w:tc>
          <w:tcPr>
            <w:tcW w:w="796" w:type="pct"/>
            <w:shd w:val="clear" w:color="auto" w:fill="auto"/>
          </w:tcPr>
          <w:p w14:paraId="30E71A5F" w14:textId="5CADA9DF" w:rsidR="00E83884" w:rsidRPr="002458AB" w:rsidRDefault="002458AB" w:rsidP="002442E5">
            <w:pPr>
              <w:pStyle w:val="RepTable"/>
              <w:rPr>
                <w:noProof w:val="0"/>
                <w:highlight w:val="yellow"/>
              </w:rPr>
            </w:pPr>
            <w:r w:rsidRPr="002458AB">
              <w:rPr>
                <w:noProof w:val="0"/>
                <w:highlight w:val="yellow"/>
              </w:rPr>
              <w:t>08/2022</w:t>
            </w:r>
          </w:p>
        </w:tc>
        <w:tc>
          <w:tcPr>
            <w:tcW w:w="4204" w:type="pct"/>
            <w:shd w:val="clear" w:color="auto" w:fill="auto"/>
          </w:tcPr>
          <w:p w14:paraId="2CEB8954" w14:textId="12179BC2" w:rsidR="00E83884" w:rsidRPr="002458AB" w:rsidRDefault="002458AB" w:rsidP="00AA32CE">
            <w:pPr>
              <w:pStyle w:val="RepTable"/>
              <w:rPr>
                <w:highlight w:val="yellow"/>
              </w:rPr>
            </w:pPr>
            <w:r w:rsidRPr="002458AB">
              <w:rPr>
                <w:noProof w:val="0"/>
                <w:highlight w:val="yellow"/>
              </w:rPr>
              <w:t>Updated version - BASF DocID 2022/2039019</w:t>
            </w:r>
          </w:p>
        </w:tc>
      </w:tr>
      <w:tr w:rsidR="00CF56F1" w:rsidRPr="002B1114" w14:paraId="0EE5C5FA" w14:textId="77777777" w:rsidTr="00E85255">
        <w:tc>
          <w:tcPr>
            <w:tcW w:w="796" w:type="pct"/>
            <w:shd w:val="clear" w:color="auto" w:fill="D9D9D9" w:themeFill="background1" w:themeFillShade="D9"/>
          </w:tcPr>
          <w:p w14:paraId="15266E1F" w14:textId="44E268C2" w:rsidR="00CF56F1" w:rsidRPr="002B1114" w:rsidRDefault="00CF56F1" w:rsidP="00CF56F1">
            <w:pPr>
              <w:pStyle w:val="RepTable"/>
              <w:rPr>
                <w:noProof w:val="0"/>
              </w:rPr>
            </w:pPr>
            <w:r>
              <w:rPr>
                <w:noProof w:val="0"/>
              </w:rPr>
              <w:t>09/2022</w:t>
            </w:r>
          </w:p>
        </w:tc>
        <w:tc>
          <w:tcPr>
            <w:tcW w:w="4204" w:type="pct"/>
            <w:shd w:val="clear" w:color="auto" w:fill="D9D9D9" w:themeFill="background1" w:themeFillShade="D9"/>
          </w:tcPr>
          <w:p w14:paraId="7E5B47FE" w14:textId="068E3D1C" w:rsidR="00CF56F1" w:rsidRPr="002B1114" w:rsidRDefault="00CF56F1" w:rsidP="00CF56F1">
            <w:pPr>
              <w:pStyle w:val="RepTable"/>
            </w:pPr>
            <w:r>
              <w:rPr>
                <w:noProof w:val="0"/>
              </w:rPr>
              <w:t xml:space="preserve">Version evaluated by zRMS PL </w:t>
            </w:r>
          </w:p>
        </w:tc>
      </w:tr>
      <w:tr w:rsidR="00E85255" w:rsidRPr="002B1114" w14:paraId="1F21EACB" w14:textId="77777777" w:rsidTr="00F16CBD">
        <w:tc>
          <w:tcPr>
            <w:tcW w:w="796" w:type="pct"/>
            <w:shd w:val="clear" w:color="auto" w:fill="D9D9D9" w:themeFill="background1" w:themeFillShade="D9"/>
          </w:tcPr>
          <w:p w14:paraId="1FE8AE1C" w14:textId="7AD85E24" w:rsidR="00E85255" w:rsidRPr="00F16CBD" w:rsidRDefault="00F16CBD" w:rsidP="00E85255">
            <w:pPr>
              <w:pStyle w:val="RepTable"/>
              <w:rPr>
                <w:noProof w:val="0"/>
                <w:highlight w:val="cyan"/>
              </w:rPr>
            </w:pPr>
            <w:r w:rsidRPr="00F16CBD">
              <w:rPr>
                <w:noProof w:val="0"/>
                <w:highlight w:val="cyan"/>
              </w:rPr>
              <w:t>01/2023</w:t>
            </w:r>
          </w:p>
        </w:tc>
        <w:tc>
          <w:tcPr>
            <w:tcW w:w="4204" w:type="pct"/>
            <w:shd w:val="clear" w:color="auto" w:fill="D9D9D9" w:themeFill="background1" w:themeFillShade="D9"/>
          </w:tcPr>
          <w:p w14:paraId="3C6C3B0B" w14:textId="7D725206" w:rsidR="00E85255" w:rsidRPr="00F16CBD" w:rsidRDefault="00F16CBD" w:rsidP="00E85255">
            <w:pPr>
              <w:pStyle w:val="RepTable"/>
              <w:rPr>
                <w:highlight w:val="cyan"/>
              </w:rPr>
            </w:pPr>
            <w:r w:rsidRPr="00F16CBD">
              <w:rPr>
                <w:highlight w:val="cyan"/>
              </w:rPr>
              <w:t xml:space="preserve">Version updated after commenting proces. </w:t>
            </w:r>
          </w:p>
        </w:tc>
      </w:tr>
    </w:tbl>
    <w:p w14:paraId="73392065" w14:textId="77777777" w:rsidR="00E83884" w:rsidRPr="002B1114" w:rsidRDefault="00E83884" w:rsidP="00AA32CE">
      <w:pPr>
        <w:pStyle w:val="RepStandard"/>
      </w:pPr>
    </w:p>
    <w:p w14:paraId="719CBACC" w14:textId="77777777" w:rsidR="00EB06A7" w:rsidRDefault="00EB06A7" w:rsidP="00EB06A7">
      <w:pPr>
        <w:pStyle w:val="RepSubtitle"/>
        <w:jc w:val="left"/>
      </w:pPr>
    </w:p>
    <w:p w14:paraId="24B72AE8" w14:textId="77777777" w:rsidR="00EB06A7" w:rsidRDefault="00EB06A7" w:rsidP="00EB06A7">
      <w:pPr>
        <w:pStyle w:val="RepSubtitle"/>
        <w:jc w:val="left"/>
      </w:pPr>
    </w:p>
    <w:p w14:paraId="21F5D76E" w14:textId="77777777" w:rsidR="00EB06A7" w:rsidRPr="002B1114" w:rsidRDefault="00EB06A7" w:rsidP="00EB06A7">
      <w:pPr>
        <w:pStyle w:val="RepSubtitle"/>
        <w:jc w:val="left"/>
        <w:sectPr w:rsidR="00EB06A7" w:rsidRPr="002B1114" w:rsidSect="00D20BDB">
          <w:headerReference w:type="default" r:id="rId13"/>
          <w:pgSz w:w="11906" w:h="16838" w:code="9"/>
          <w:pgMar w:top="1418" w:right="1134" w:bottom="1134" w:left="1418" w:header="709" w:footer="709" w:gutter="0"/>
          <w:pgNumType w:chapSep="period"/>
          <w:cols w:space="708"/>
          <w:docGrid w:linePitch="360"/>
        </w:sectPr>
      </w:pPr>
    </w:p>
    <w:p w14:paraId="6F5665EF" w14:textId="77777777" w:rsidR="0075737D" w:rsidRPr="002B1114" w:rsidRDefault="00631197" w:rsidP="00AA32CE">
      <w:pPr>
        <w:pStyle w:val="RepSubtitle"/>
      </w:pPr>
      <w:r w:rsidRPr="002B1114">
        <w:lastRenderedPageBreak/>
        <w:t>Table</w:t>
      </w:r>
      <w:r w:rsidR="0075737D" w:rsidRPr="002B1114">
        <w:t xml:space="preserve"> of </w:t>
      </w:r>
      <w:r w:rsidR="002442E5" w:rsidRPr="002B1114">
        <w:t>C</w:t>
      </w:r>
      <w:r w:rsidR="0075737D" w:rsidRPr="002B1114">
        <w:t>ontents</w:t>
      </w:r>
    </w:p>
    <w:p w14:paraId="6B844A34" w14:textId="43445E4C" w:rsidR="00952056" w:rsidRDefault="00FB35D3">
      <w:pPr>
        <w:pStyle w:val="Spistreci1"/>
        <w:rPr>
          <w:rFonts w:asciiTheme="minorHAnsi" w:eastAsiaTheme="minorEastAsia" w:hAnsiTheme="minorHAnsi" w:cstheme="minorBidi"/>
          <w:b w:val="0"/>
          <w:sz w:val="22"/>
          <w:szCs w:val="22"/>
          <w:lang w:val="pl-PL" w:eastAsia="pl-PL"/>
        </w:rPr>
      </w:pPr>
      <w:r>
        <w:fldChar w:fldCharType="begin"/>
      </w:r>
      <w:r w:rsidR="002B1114">
        <w:instrText xml:space="preserve"> TOC \o "1-4" \h \z \t "Rep Appendix 3;3" </w:instrText>
      </w:r>
      <w:r>
        <w:fldChar w:fldCharType="separate"/>
      </w:r>
      <w:hyperlink w:anchor="_Toc125446388" w:history="1">
        <w:r w:rsidR="00952056" w:rsidRPr="000913D1">
          <w:rPr>
            <w:rStyle w:val="Hipercze"/>
          </w:rPr>
          <w:t>9</w:t>
        </w:r>
        <w:r w:rsidR="00952056">
          <w:rPr>
            <w:rFonts w:asciiTheme="minorHAnsi" w:eastAsiaTheme="minorEastAsia" w:hAnsiTheme="minorHAnsi" w:cstheme="minorBidi"/>
            <w:b w:val="0"/>
            <w:sz w:val="22"/>
            <w:szCs w:val="22"/>
            <w:lang w:val="pl-PL" w:eastAsia="pl-PL"/>
          </w:rPr>
          <w:tab/>
        </w:r>
        <w:r w:rsidR="00952056" w:rsidRPr="000913D1">
          <w:rPr>
            <w:rStyle w:val="Hipercze"/>
          </w:rPr>
          <w:t>Ecotoxicology (KCP 10)</w:t>
        </w:r>
        <w:r w:rsidR="00952056">
          <w:rPr>
            <w:webHidden/>
          </w:rPr>
          <w:tab/>
        </w:r>
        <w:r w:rsidR="00952056">
          <w:rPr>
            <w:webHidden/>
          </w:rPr>
          <w:fldChar w:fldCharType="begin"/>
        </w:r>
        <w:r w:rsidR="00952056">
          <w:rPr>
            <w:webHidden/>
          </w:rPr>
          <w:instrText xml:space="preserve"> PAGEREF _Toc125446388 \h </w:instrText>
        </w:r>
        <w:r w:rsidR="00952056">
          <w:rPr>
            <w:webHidden/>
          </w:rPr>
        </w:r>
        <w:r w:rsidR="00952056">
          <w:rPr>
            <w:webHidden/>
          </w:rPr>
          <w:fldChar w:fldCharType="separate"/>
        </w:r>
        <w:r w:rsidR="00952056">
          <w:rPr>
            <w:webHidden/>
          </w:rPr>
          <w:t>6</w:t>
        </w:r>
        <w:r w:rsidR="00952056">
          <w:rPr>
            <w:webHidden/>
          </w:rPr>
          <w:fldChar w:fldCharType="end"/>
        </w:r>
      </w:hyperlink>
    </w:p>
    <w:p w14:paraId="4D1FA90C" w14:textId="6293219E" w:rsidR="00952056" w:rsidRDefault="00952056">
      <w:pPr>
        <w:pStyle w:val="Spistreci2"/>
        <w:rPr>
          <w:rFonts w:asciiTheme="minorHAnsi" w:eastAsiaTheme="minorEastAsia" w:hAnsiTheme="minorHAnsi" w:cstheme="minorBidi"/>
          <w:sz w:val="22"/>
          <w:lang w:val="pl-PL" w:eastAsia="pl-PL"/>
        </w:rPr>
      </w:pPr>
      <w:hyperlink w:anchor="_Toc125446389" w:history="1">
        <w:r w:rsidRPr="000913D1">
          <w:rPr>
            <w:rStyle w:val="Hipercze"/>
          </w:rPr>
          <w:t>9.1</w:t>
        </w:r>
        <w:r>
          <w:rPr>
            <w:rFonts w:asciiTheme="minorHAnsi" w:eastAsiaTheme="minorEastAsia" w:hAnsiTheme="minorHAnsi" w:cstheme="minorBidi"/>
            <w:sz w:val="22"/>
            <w:lang w:val="pl-PL" w:eastAsia="pl-PL"/>
          </w:rPr>
          <w:tab/>
        </w:r>
        <w:r w:rsidRPr="000913D1">
          <w:rPr>
            <w:rStyle w:val="Hipercze"/>
          </w:rPr>
          <w:t>Critical GAP and overall conclusions</w:t>
        </w:r>
        <w:r>
          <w:rPr>
            <w:webHidden/>
          </w:rPr>
          <w:tab/>
        </w:r>
        <w:r>
          <w:rPr>
            <w:webHidden/>
          </w:rPr>
          <w:fldChar w:fldCharType="begin"/>
        </w:r>
        <w:r>
          <w:rPr>
            <w:webHidden/>
          </w:rPr>
          <w:instrText xml:space="preserve"> PAGEREF _Toc125446389 \h </w:instrText>
        </w:r>
        <w:r>
          <w:rPr>
            <w:webHidden/>
          </w:rPr>
        </w:r>
        <w:r>
          <w:rPr>
            <w:webHidden/>
          </w:rPr>
          <w:fldChar w:fldCharType="separate"/>
        </w:r>
        <w:r>
          <w:rPr>
            <w:webHidden/>
          </w:rPr>
          <w:t>7</w:t>
        </w:r>
        <w:r>
          <w:rPr>
            <w:webHidden/>
          </w:rPr>
          <w:fldChar w:fldCharType="end"/>
        </w:r>
      </w:hyperlink>
    </w:p>
    <w:p w14:paraId="52A50A73" w14:textId="581FE2C5" w:rsidR="00952056" w:rsidRDefault="00952056">
      <w:pPr>
        <w:pStyle w:val="Spistreci3"/>
        <w:rPr>
          <w:rFonts w:asciiTheme="minorHAnsi" w:eastAsiaTheme="minorEastAsia" w:hAnsiTheme="minorHAnsi" w:cstheme="minorBidi"/>
          <w:sz w:val="22"/>
          <w:szCs w:val="22"/>
          <w:lang w:val="pl-PL" w:eastAsia="pl-PL"/>
        </w:rPr>
      </w:pPr>
      <w:hyperlink w:anchor="_Toc125446390" w:history="1">
        <w:r w:rsidRPr="000913D1">
          <w:rPr>
            <w:rStyle w:val="Hipercze"/>
          </w:rPr>
          <w:t>9.1.1</w:t>
        </w:r>
        <w:r>
          <w:rPr>
            <w:rFonts w:asciiTheme="minorHAnsi" w:eastAsiaTheme="minorEastAsia" w:hAnsiTheme="minorHAnsi" w:cstheme="minorBidi"/>
            <w:sz w:val="22"/>
            <w:szCs w:val="22"/>
            <w:lang w:val="pl-PL" w:eastAsia="pl-PL"/>
          </w:rPr>
          <w:tab/>
        </w:r>
        <w:r w:rsidRPr="000913D1">
          <w:rPr>
            <w:rStyle w:val="Hipercze"/>
          </w:rPr>
          <w:t>Overall conclusions</w:t>
        </w:r>
        <w:r>
          <w:rPr>
            <w:webHidden/>
          </w:rPr>
          <w:tab/>
        </w:r>
        <w:r>
          <w:rPr>
            <w:webHidden/>
          </w:rPr>
          <w:fldChar w:fldCharType="begin"/>
        </w:r>
        <w:r>
          <w:rPr>
            <w:webHidden/>
          </w:rPr>
          <w:instrText xml:space="preserve"> PAGEREF _Toc125446390 \h </w:instrText>
        </w:r>
        <w:r>
          <w:rPr>
            <w:webHidden/>
          </w:rPr>
        </w:r>
        <w:r>
          <w:rPr>
            <w:webHidden/>
          </w:rPr>
          <w:fldChar w:fldCharType="separate"/>
        </w:r>
        <w:r>
          <w:rPr>
            <w:webHidden/>
          </w:rPr>
          <w:t>11</w:t>
        </w:r>
        <w:r>
          <w:rPr>
            <w:webHidden/>
          </w:rPr>
          <w:fldChar w:fldCharType="end"/>
        </w:r>
      </w:hyperlink>
    </w:p>
    <w:p w14:paraId="208EB67F" w14:textId="23B2E77E" w:rsidR="00952056" w:rsidRDefault="00952056">
      <w:pPr>
        <w:pStyle w:val="Spistreci4"/>
        <w:rPr>
          <w:rFonts w:asciiTheme="minorHAnsi" w:eastAsiaTheme="minorEastAsia" w:hAnsiTheme="minorHAnsi" w:cstheme="minorBidi"/>
          <w:sz w:val="22"/>
          <w:szCs w:val="22"/>
          <w:lang w:val="pl-PL" w:eastAsia="pl-PL"/>
        </w:rPr>
      </w:pPr>
      <w:hyperlink w:anchor="_Toc125446391" w:history="1">
        <w:r w:rsidRPr="000913D1">
          <w:rPr>
            <w:rStyle w:val="Hipercze"/>
            <w:lang w:val="en-US"/>
          </w:rPr>
          <w:t>9.1.1.1</w:t>
        </w:r>
        <w:r>
          <w:rPr>
            <w:rFonts w:asciiTheme="minorHAnsi" w:eastAsiaTheme="minorEastAsia" w:hAnsiTheme="minorHAnsi" w:cstheme="minorBidi"/>
            <w:sz w:val="22"/>
            <w:szCs w:val="22"/>
            <w:lang w:val="pl-PL" w:eastAsia="pl-PL"/>
          </w:rPr>
          <w:tab/>
        </w:r>
        <w:r w:rsidRPr="000913D1">
          <w:rPr>
            <w:rStyle w:val="Hipercze"/>
            <w:lang w:val="en-US"/>
          </w:rPr>
          <w:t>Effects on birds (KCP 10.1.1), Effects on terrestrial vertebrates other than birds (KCP 10.1.2), Effects on other terrestrial vertebrate wildlife (reptiles and amphibians) (KCP 10.1.3)</w:t>
        </w:r>
        <w:r>
          <w:rPr>
            <w:webHidden/>
          </w:rPr>
          <w:tab/>
        </w:r>
        <w:r>
          <w:rPr>
            <w:webHidden/>
          </w:rPr>
          <w:fldChar w:fldCharType="begin"/>
        </w:r>
        <w:r>
          <w:rPr>
            <w:webHidden/>
          </w:rPr>
          <w:instrText xml:space="preserve"> PAGEREF _Toc125446391 \h </w:instrText>
        </w:r>
        <w:r>
          <w:rPr>
            <w:webHidden/>
          </w:rPr>
        </w:r>
        <w:r>
          <w:rPr>
            <w:webHidden/>
          </w:rPr>
          <w:fldChar w:fldCharType="separate"/>
        </w:r>
        <w:r>
          <w:rPr>
            <w:webHidden/>
          </w:rPr>
          <w:t>11</w:t>
        </w:r>
        <w:r>
          <w:rPr>
            <w:webHidden/>
          </w:rPr>
          <w:fldChar w:fldCharType="end"/>
        </w:r>
      </w:hyperlink>
    </w:p>
    <w:p w14:paraId="1DFBDC03" w14:textId="78FCD9D8" w:rsidR="00952056" w:rsidRDefault="00952056">
      <w:pPr>
        <w:pStyle w:val="Spistreci4"/>
        <w:rPr>
          <w:rFonts w:asciiTheme="minorHAnsi" w:eastAsiaTheme="minorEastAsia" w:hAnsiTheme="minorHAnsi" w:cstheme="minorBidi"/>
          <w:sz w:val="22"/>
          <w:szCs w:val="22"/>
          <w:lang w:val="pl-PL" w:eastAsia="pl-PL"/>
        </w:rPr>
      </w:pPr>
      <w:hyperlink w:anchor="_Toc125446392" w:history="1">
        <w:r w:rsidRPr="000913D1">
          <w:rPr>
            <w:rStyle w:val="Hipercze"/>
            <w:lang w:val="en-GB"/>
          </w:rPr>
          <w:t>9.1.1.2</w:t>
        </w:r>
        <w:r>
          <w:rPr>
            <w:rFonts w:asciiTheme="minorHAnsi" w:eastAsiaTheme="minorEastAsia" w:hAnsiTheme="minorHAnsi" w:cstheme="minorBidi"/>
            <w:sz w:val="22"/>
            <w:szCs w:val="22"/>
            <w:lang w:val="pl-PL" w:eastAsia="pl-PL"/>
          </w:rPr>
          <w:tab/>
        </w:r>
        <w:r w:rsidRPr="000913D1">
          <w:rPr>
            <w:rStyle w:val="Hipercze"/>
            <w:lang w:val="en-GB"/>
          </w:rPr>
          <w:t>Effects on aquatic organisms (KCP 10.2)</w:t>
        </w:r>
        <w:r>
          <w:rPr>
            <w:webHidden/>
          </w:rPr>
          <w:tab/>
        </w:r>
        <w:r>
          <w:rPr>
            <w:webHidden/>
          </w:rPr>
          <w:fldChar w:fldCharType="begin"/>
        </w:r>
        <w:r>
          <w:rPr>
            <w:webHidden/>
          </w:rPr>
          <w:instrText xml:space="preserve"> PAGEREF _Toc125446392 \h </w:instrText>
        </w:r>
        <w:r>
          <w:rPr>
            <w:webHidden/>
          </w:rPr>
        </w:r>
        <w:r>
          <w:rPr>
            <w:webHidden/>
          </w:rPr>
          <w:fldChar w:fldCharType="separate"/>
        </w:r>
        <w:r>
          <w:rPr>
            <w:webHidden/>
          </w:rPr>
          <w:t>13</w:t>
        </w:r>
        <w:r>
          <w:rPr>
            <w:webHidden/>
          </w:rPr>
          <w:fldChar w:fldCharType="end"/>
        </w:r>
      </w:hyperlink>
    </w:p>
    <w:p w14:paraId="62342991" w14:textId="66FFBB36" w:rsidR="00952056" w:rsidRDefault="00952056">
      <w:pPr>
        <w:pStyle w:val="Spistreci4"/>
        <w:rPr>
          <w:rFonts w:asciiTheme="minorHAnsi" w:eastAsiaTheme="minorEastAsia" w:hAnsiTheme="minorHAnsi" w:cstheme="minorBidi"/>
          <w:sz w:val="22"/>
          <w:szCs w:val="22"/>
          <w:lang w:val="pl-PL" w:eastAsia="pl-PL"/>
        </w:rPr>
      </w:pPr>
      <w:hyperlink w:anchor="_Toc125446393" w:history="1">
        <w:r w:rsidRPr="000913D1">
          <w:rPr>
            <w:rStyle w:val="Hipercze"/>
          </w:rPr>
          <w:t>9.1.1.3</w:t>
        </w:r>
        <w:r>
          <w:rPr>
            <w:rFonts w:asciiTheme="minorHAnsi" w:eastAsiaTheme="minorEastAsia" w:hAnsiTheme="minorHAnsi" w:cstheme="minorBidi"/>
            <w:sz w:val="22"/>
            <w:szCs w:val="22"/>
            <w:lang w:val="pl-PL" w:eastAsia="pl-PL"/>
          </w:rPr>
          <w:tab/>
        </w:r>
        <w:r w:rsidRPr="000913D1">
          <w:rPr>
            <w:rStyle w:val="Hipercze"/>
          </w:rPr>
          <w:t>Effects on bees (KCP 10.3.1)</w:t>
        </w:r>
        <w:r>
          <w:rPr>
            <w:webHidden/>
          </w:rPr>
          <w:tab/>
        </w:r>
        <w:r>
          <w:rPr>
            <w:webHidden/>
          </w:rPr>
          <w:fldChar w:fldCharType="begin"/>
        </w:r>
        <w:r>
          <w:rPr>
            <w:webHidden/>
          </w:rPr>
          <w:instrText xml:space="preserve"> PAGEREF _Toc125446393 \h </w:instrText>
        </w:r>
        <w:r>
          <w:rPr>
            <w:webHidden/>
          </w:rPr>
        </w:r>
        <w:r>
          <w:rPr>
            <w:webHidden/>
          </w:rPr>
          <w:fldChar w:fldCharType="separate"/>
        </w:r>
        <w:r>
          <w:rPr>
            <w:webHidden/>
          </w:rPr>
          <w:t>13</w:t>
        </w:r>
        <w:r>
          <w:rPr>
            <w:webHidden/>
          </w:rPr>
          <w:fldChar w:fldCharType="end"/>
        </w:r>
      </w:hyperlink>
    </w:p>
    <w:p w14:paraId="062B8EA6" w14:textId="312FEF78" w:rsidR="00952056" w:rsidRDefault="00952056">
      <w:pPr>
        <w:pStyle w:val="Spistreci4"/>
        <w:rPr>
          <w:rFonts w:asciiTheme="minorHAnsi" w:eastAsiaTheme="minorEastAsia" w:hAnsiTheme="minorHAnsi" w:cstheme="minorBidi"/>
          <w:sz w:val="22"/>
          <w:szCs w:val="22"/>
          <w:lang w:val="pl-PL" w:eastAsia="pl-PL"/>
        </w:rPr>
      </w:pPr>
      <w:hyperlink w:anchor="_Toc125446394" w:history="1">
        <w:r w:rsidRPr="000913D1">
          <w:rPr>
            <w:rStyle w:val="Hipercze"/>
            <w:lang w:val="en-GB"/>
          </w:rPr>
          <w:t>9.1.1.4</w:t>
        </w:r>
        <w:r>
          <w:rPr>
            <w:rFonts w:asciiTheme="minorHAnsi" w:eastAsiaTheme="minorEastAsia" w:hAnsiTheme="minorHAnsi" w:cstheme="minorBidi"/>
            <w:sz w:val="22"/>
            <w:szCs w:val="22"/>
            <w:lang w:val="pl-PL" w:eastAsia="pl-PL"/>
          </w:rPr>
          <w:tab/>
        </w:r>
        <w:r w:rsidRPr="000913D1">
          <w:rPr>
            <w:rStyle w:val="Hipercze"/>
            <w:lang w:val="en-GB"/>
          </w:rPr>
          <w:t>Effects on arthropods other than bees (KCP 10.3.2)</w:t>
        </w:r>
        <w:r>
          <w:rPr>
            <w:webHidden/>
          </w:rPr>
          <w:tab/>
        </w:r>
        <w:r>
          <w:rPr>
            <w:webHidden/>
          </w:rPr>
          <w:fldChar w:fldCharType="begin"/>
        </w:r>
        <w:r>
          <w:rPr>
            <w:webHidden/>
          </w:rPr>
          <w:instrText xml:space="preserve"> PAGEREF _Toc125446394 \h </w:instrText>
        </w:r>
        <w:r>
          <w:rPr>
            <w:webHidden/>
          </w:rPr>
        </w:r>
        <w:r>
          <w:rPr>
            <w:webHidden/>
          </w:rPr>
          <w:fldChar w:fldCharType="separate"/>
        </w:r>
        <w:r>
          <w:rPr>
            <w:webHidden/>
          </w:rPr>
          <w:t>14</w:t>
        </w:r>
        <w:r>
          <w:rPr>
            <w:webHidden/>
          </w:rPr>
          <w:fldChar w:fldCharType="end"/>
        </w:r>
      </w:hyperlink>
    </w:p>
    <w:p w14:paraId="500C2A28" w14:textId="1D502694" w:rsidR="00952056" w:rsidRDefault="00952056">
      <w:pPr>
        <w:pStyle w:val="Spistreci4"/>
        <w:rPr>
          <w:rFonts w:asciiTheme="minorHAnsi" w:eastAsiaTheme="minorEastAsia" w:hAnsiTheme="minorHAnsi" w:cstheme="minorBidi"/>
          <w:sz w:val="22"/>
          <w:szCs w:val="22"/>
          <w:lang w:val="pl-PL" w:eastAsia="pl-PL"/>
        </w:rPr>
      </w:pPr>
      <w:hyperlink w:anchor="_Toc125446395" w:history="1">
        <w:r w:rsidRPr="000913D1">
          <w:rPr>
            <w:rStyle w:val="Hipercze"/>
            <w:lang w:val="en-GB"/>
          </w:rPr>
          <w:t>9.1.1.5</w:t>
        </w:r>
        <w:r>
          <w:rPr>
            <w:rFonts w:asciiTheme="minorHAnsi" w:eastAsiaTheme="minorEastAsia" w:hAnsiTheme="minorHAnsi" w:cstheme="minorBidi"/>
            <w:sz w:val="22"/>
            <w:szCs w:val="22"/>
            <w:lang w:val="pl-PL" w:eastAsia="pl-PL"/>
          </w:rPr>
          <w:tab/>
        </w:r>
        <w:r w:rsidRPr="000913D1">
          <w:rPr>
            <w:rStyle w:val="Hipercze"/>
            <w:lang w:val="en-GB"/>
          </w:rPr>
          <w:t>Effects on non-target soil meso- and macrofauna (KCP 10.4), Effects on soil microbial activity (KCP 10.5)</w:t>
        </w:r>
        <w:r>
          <w:rPr>
            <w:webHidden/>
          </w:rPr>
          <w:tab/>
        </w:r>
        <w:r>
          <w:rPr>
            <w:webHidden/>
          </w:rPr>
          <w:fldChar w:fldCharType="begin"/>
        </w:r>
        <w:r>
          <w:rPr>
            <w:webHidden/>
          </w:rPr>
          <w:instrText xml:space="preserve"> PAGEREF _Toc125446395 \h </w:instrText>
        </w:r>
        <w:r>
          <w:rPr>
            <w:webHidden/>
          </w:rPr>
        </w:r>
        <w:r>
          <w:rPr>
            <w:webHidden/>
          </w:rPr>
          <w:fldChar w:fldCharType="separate"/>
        </w:r>
        <w:r>
          <w:rPr>
            <w:webHidden/>
          </w:rPr>
          <w:t>14</w:t>
        </w:r>
        <w:r>
          <w:rPr>
            <w:webHidden/>
          </w:rPr>
          <w:fldChar w:fldCharType="end"/>
        </w:r>
      </w:hyperlink>
    </w:p>
    <w:p w14:paraId="7DBA0EAE" w14:textId="7886D33E" w:rsidR="00952056" w:rsidRDefault="00952056">
      <w:pPr>
        <w:pStyle w:val="Spistreci4"/>
        <w:rPr>
          <w:rFonts w:asciiTheme="minorHAnsi" w:eastAsiaTheme="minorEastAsia" w:hAnsiTheme="minorHAnsi" w:cstheme="minorBidi"/>
          <w:sz w:val="22"/>
          <w:szCs w:val="22"/>
          <w:lang w:val="pl-PL" w:eastAsia="pl-PL"/>
        </w:rPr>
      </w:pPr>
      <w:hyperlink w:anchor="_Toc125446396" w:history="1">
        <w:r w:rsidRPr="000913D1">
          <w:rPr>
            <w:rStyle w:val="Hipercze"/>
            <w:lang w:val="en-GB"/>
          </w:rPr>
          <w:t>9.1.1.6</w:t>
        </w:r>
        <w:r>
          <w:rPr>
            <w:rFonts w:asciiTheme="minorHAnsi" w:eastAsiaTheme="minorEastAsia" w:hAnsiTheme="minorHAnsi" w:cstheme="minorBidi"/>
            <w:sz w:val="22"/>
            <w:szCs w:val="22"/>
            <w:lang w:val="pl-PL" w:eastAsia="pl-PL"/>
          </w:rPr>
          <w:tab/>
        </w:r>
        <w:r w:rsidRPr="000913D1">
          <w:rPr>
            <w:rStyle w:val="Hipercze"/>
            <w:lang w:val="en-GB"/>
          </w:rPr>
          <w:t>Effects on non-target terrestrial plants (KCP 10.6)</w:t>
        </w:r>
        <w:r>
          <w:rPr>
            <w:webHidden/>
          </w:rPr>
          <w:tab/>
        </w:r>
        <w:r>
          <w:rPr>
            <w:webHidden/>
          </w:rPr>
          <w:fldChar w:fldCharType="begin"/>
        </w:r>
        <w:r>
          <w:rPr>
            <w:webHidden/>
          </w:rPr>
          <w:instrText xml:space="preserve"> PAGEREF _Toc125446396 \h </w:instrText>
        </w:r>
        <w:r>
          <w:rPr>
            <w:webHidden/>
          </w:rPr>
        </w:r>
        <w:r>
          <w:rPr>
            <w:webHidden/>
          </w:rPr>
          <w:fldChar w:fldCharType="separate"/>
        </w:r>
        <w:r>
          <w:rPr>
            <w:webHidden/>
          </w:rPr>
          <w:t>15</w:t>
        </w:r>
        <w:r>
          <w:rPr>
            <w:webHidden/>
          </w:rPr>
          <w:fldChar w:fldCharType="end"/>
        </w:r>
      </w:hyperlink>
    </w:p>
    <w:p w14:paraId="65D2145B" w14:textId="41D4504E" w:rsidR="00952056" w:rsidRDefault="00952056">
      <w:pPr>
        <w:pStyle w:val="Spistreci4"/>
        <w:rPr>
          <w:rFonts w:asciiTheme="minorHAnsi" w:eastAsiaTheme="minorEastAsia" w:hAnsiTheme="minorHAnsi" w:cstheme="minorBidi"/>
          <w:sz w:val="22"/>
          <w:szCs w:val="22"/>
          <w:lang w:val="pl-PL" w:eastAsia="pl-PL"/>
        </w:rPr>
      </w:pPr>
      <w:hyperlink w:anchor="_Toc125446397" w:history="1">
        <w:r w:rsidRPr="000913D1">
          <w:rPr>
            <w:rStyle w:val="Hipercze"/>
            <w:lang w:val="en-GB"/>
          </w:rPr>
          <w:t>9.1.1.7</w:t>
        </w:r>
        <w:r>
          <w:rPr>
            <w:rFonts w:asciiTheme="minorHAnsi" w:eastAsiaTheme="minorEastAsia" w:hAnsiTheme="minorHAnsi" w:cstheme="minorBidi"/>
            <w:sz w:val="22"/>
            <w:szCs w:val="22"/>
            <w:lang w:val="pl-PL" w:eastAsia="pl-PL"/>
          </w:rPr>
          <w:tab/>
        </w:r>
        <w:r w:rsidRPr="000913D1">
          <w:rPr>
            <w:rStyle w:val="Hipercze"/>
            <w:lang w:val="en-GB"/>
          </w:rPr>
          <w:t>Effects on other terrestrial organisms (flora and fauna) (KCP 10.7)</w:t>
        </w:r>
        <w:r>
          <w:rPr>
            <w:webHidden/>
          </w:rPr>
          <w:tab/>
        </w:r>
        <w:r>
          <w:rPr>
            <w:webHidden/>
          </w:rPr>
          <w:fldChar w:fldCharType="begin"/>
        </w:r>
        <w:r>
          <w:rPr>
            <w:webHidden/>
          </w:rPr>
          <w:instrText xml:space="preserve"> PAGEREF _Toc125446397 \h </w:instrText>
        </w:r>
        <w:r>
          <w:rPr>
            <w:webHidden/>
          </w:rPr>
        </w:r>
        <w:r>
          <w:rPr>
            <w:webHidden/>
          </w:rPr>
          <w:fldChar w:fldCharType="separate"/>
        </w:r>
        <w:r>
          <w:rPr>
            <w:webHidden/>
          </w:rPr>
          <w:t>15</w:t>
        </w:r>
        <w:r>
          <w:rPr>
            <w:webHidden/>
          </w:rPr>
          <w:fldChar w:fldCharType="end"/>
        </w:r>
      </w:hyperlink>
    </w:p>
    <w:p w14:paraId="4763DDAC" w14:textId="1914F61D" w:rsidR="00952056" w:rsidRDefault="00952056">
      <w:pPr>
        <w:pStyle w:val="Spistreci3"/>
        <w:rPr>
          <w:rFonts w:asciiTheme="minorHAnsi" w:eastAsiaTheme="minorEastAsia" w:hAnsiTheme="minorHAnsi" w:cstheme="minorBidi"/>
          <w:sz w:val="22"/>
          <w:szCs w:val="22"/>
          <w:lang w:val="pl-PL" w:eastAsia="pl-PL"/>
        </w:rPr>
      </w:pPr>
      <w:hyperlink w:anchor="_Toc125446398" w:history="1">
        <w:r w:rsidRPr="000913D1">
          <w:rPr>
            <w:rStyle w:val="Hipercze"/>
          </w:rPr>
          <w:t>9.1.2</w:t>
        </w:r>
        <w:r>
          <w:rPr>
            <w:rFonts w:asciiTheme="minorHAnsi" w:eastAsiaTheme="minorEastAsia" w:hAnsiTheme="minorHAnsi" w:cstheme="minorBidi"/>
            <w:sz w:val="22"/>
            <w:szCs w:val="22"/>
            <w:lang w:val="pl-PL" w:eastAsia="pl-PL"/>
          </w:rPr>
          <w:tab/>
        </w:r>
        <w:r w:rsidRPr="000913D1">
          <w:rPr>
            <w:rStyle w:val="Hipercze"/>
          </w:rPr>
          <w:t>Grouping of intended uses for risk assessment</w:t>
        </w:r>
        <w:r>
          <w:rPr>
            <w:webHidden/>
          </w:rPr>
          <w:tab/>
        </w:r>
        <w:r>
          <w:rPr>
            <w:webHidden/>
          </w:rPr>
          <w:fldChar w:fldCharType="begin"/>
        </w:r>
        <w:r>
          <w:rPr>
            <w:webHidden/>
          </w:rPr>
          <w:instrText xml:space="preserve"> PAGEREF _Toc125446398 \h </w:instrText>
        </w:r>
        <w:r>
          <w:rPr>
            <w:webHidden/>
          </w:rPr>
        </w:r>
        <w:r>
          <w:rPr>
            <w:webHidden/>
          </w:rPr>
          <w:fldChar w:fldCharType="separate"/>
        </w:r>
        <w:r>
          <w:rPr>
            <w:webHidden/>
          </w:rPr>
          <w:t>16</w:t>
        </w:r>
        <w:r>
          <w:rPr>
            <w:webHidden/>
          </w:rPr>
          <w:fldChar w:fldCharType="end"/>
        </w:r>
      </w:hyperlink>
    </w:p>
    <w:p w14:paraId="5D3BD790" w14:textId="22DD59BB" w:rsidR="00952056" w:rsidRDefault="00952056">
      <w:pPr>
        <w:pStyle w:val="Spistreci3"/>
        <w:rPr>
          <w:rFonts w:asciiTheme="minorHAnsi" w:eastAsiaTheme="minorEastAsia" w:hAnsiTheme="minorHAnsi" w:cstheme="minorBidi"/>
          <w:sz w:val="22"/>
          <w:szCs w:val="22"/>
          <w:lang w:val="pl-PL" w:eastAsia="pl-PL"/>
        </w:rPr>
      </w:pPr>
      <w:hyperlink w:anchor="_Toc125446399" w:history="1">
        <w:r w:rsidRPr="000913D1">
          <w:rPr>
            <w:rStyle w:val="Hipercze"/>
          </w:rPr>
          <w:t>9.1.3</w:t>
        </w:r>
        <w:r>
          <w:rPr>
            <w:rFonts w:asciiTheme="minorHAnsi" w:eastAsiaTheme="minorEastAsia" w:hAnsiTheme="minorHAnsi" w:cstheme="minorBidi"/>
            <w:sz w:val="22"/>
            <w:szCs w:val="22"/>
            <w:lang w:val="pl-PL" w:eastAsia="pl-PL"/>
          </w:rPr>
          <w:tab/>
        </w:r>
        <w:r w:rsidRPr="000913D1">
          <w:rPr>
            <w:rStyle w:val="Hipercze"/>
          </w:rPr>
          <w:t>Consideration of metabolites</w:t>
        </w:r>
        <w:r>
          <w:rPr>
            <w:webHidden/>
          </w:rPr>
          <w:tab/>
        </w:r>
        <w:r>
          <w:rPr>
            <w:webHidden/>
          </w:rPr>
          <w:fldChar w:fldCharType="begin"/>
        </w:r>
        <w:r>
          <w:rPr>
            <w:webHidden/>
          </w:rPr>
          <w:instrText xml:space="preserve"> PAGEREF _Toc125446399 \h </w:instrText>
        </w:r>
        <w:r>
          <w:rPr>
            <w:webHidden/>
          </w:rPr>
        </w:r>
        <w:r>
          <w:rPr>
            <w:webHidden/>
          </w:rPr>
          <w:fldChar w:fldCharType="separate"/>
        </w:r>
        <w:r>
          <w:rPr>
            <w:webHidden/>
          </w:rPr>
          <w:t>17</w:t>
        </w:r>
        <w:r>
          <w:rPr>
            <w:webHidden/>
          </w:rPr>
          <w:fldChar w:fldCharType="end"/>
        </w:r>
      </w:hyperlink>
    </w:p>
    <w:p w14:paraId="5BC9A579" w14:textId="4180ACB4" w:rsidR="00952056" w:rsidRDefault="00952056">
      <w:pPr>
        <w:pStyle w:val="Spistreci2"/>
        <w:rPr>
          <w:rFonts w:asciiTheme="minorHAnsi" w:eastAsiaTheme="minorEastAsia" w:hAnsiTheme="minorHAnsi" w:cstheme="minorBidi"/>
          <w:sz w:val="22"/>
          <w:lang w:val="pl-PL" w:eastAsia="pl-PL"/>
        </w:rPr>
      </w:pPr>
      <w:hyperlink w:anchor="_Toc125446400" w:history="1">
        <w:r w:rsidRPr="000913D1">
          <w:rPr>
            <w:rStyle w:val="Hipercze"/>
          </w:rPr>
          <w:t>9.2</w:t>
        </w:r>
        <w:r>
          <w:rPr>
            <w:rFonts w:asciiTheme="minorHAnsi" w:eastAsiaTheme="minorEastAsia" w:hAnsiTheme="minorHAnsi" w:cstheme="minorBidi"/>
            <w:sz w:val="22"/>
            <w:lang w:val="pl-PL" w:eastAsia="pl-PL"/>
          </w:rPr>
          <w:tab/>
        </w:r>
        <w:r w:rsidRPr="000913D1">
          <w:rPr>
            <w:rStyle w:val="Hipercze"/>
          </w:rPr>
          <w:t>Effects on birds (KCP 10.1.1)</w:t>
        </w:r>
        <w:r>
          <w:rPr>
            <w:webHidden/>
          </w:rPr>
          <w:tab/>
        </w:r>
        <w:r>
          <w:rPr>
            <w:webHidden/>
          </w:rPr>
          <w:fldChar w:fldCharType="begin"/>
        </w:r>
        <w:r>
          <w:rPr>
            <w:webHidden/>
          </w:rPr>
          <w:instrText xml:space="preserve"> PAGEREF _Toc125446400 \h </w:instrText>
        </w:r>
        <w:r>
          <w:rPr>
            <w:webHidden/>
          </w:rPr>
        </w:r>
        <w:r>
          <w:rPr>
            <w:webHidden/>
          </w:rPr>
          <w:fldChar w:fldCharType="separate"/>
        </w:r>
        <w:r>
          <w:rPr>
            <w:webHidden/>
          </w:rPr>
          <w:t>19</w:t>
        </w:r>
        <w:r>
          <w:rPr>
            <w:webHidden/>
          </w:rPr>
          <w:fldChar w:fldCharType="end"/>
        </w:r>
      </w:hyperlink>
    </w:p>
    <w:p w14:paraId="61DDFDF4" w14:textId="5EEE5007" w:rsidR="00952056" w:rsidRDefault="00952056">
      <w:pPr>
        <w:pStyle w:val="Spistreci3"/>
        <w:rPr>
          <w:rFonts w:asciiTheme="minorHAnsi" w:eastAsiaTheme="minorEastAsia" w:hAnsiTheme="minorHAnsi" w:cstheme="minorBidi"/>
          <w:sz w:val="22"/>
          <w:szCs w:val="22"/>
          <w:lang w:val="pl-PL" w:eastAsia="pl-PL"/>
        </w:rPr>
      </w:pPr>
      <w:hyperlink w:anchor="_Toc125446401" w:history="1">
        <w:r w:rsidRPr="000913D1">
          <w:rPr>
            <w:rStyle w:val="Hipercze"/>
          </w:rPr>
          <w:t>9.2.1</w:t>
        </w:r>
        <w:r>
          <w:rPr>
            <w:rFonts w:asciiTheme="minorHAnsi" w:eastAsiaTheme="minorEastAsia" w:hAnsiTheme="minorHAnsi" w:cstheme="minorBidi"/>
            <w:sz w:val="22"/>
            <w:szCs w:val="22"/>
            <w:lang w:val="pl-PL" w:eastAsia="pl-PL"/>
          </w:rPr>
          <w:tab/>
        </w:r>
        <w:r w:rsidRPr="000913D1">
          <w:rPr>
            <w:rStyle w:val="Hipercze"/>
          </w:rPr>
          <w:t>Toxicity data</w:t>
        </w:r>
        <w:r>
          <w:rPr>
            <w:webHidden/>
          </w:rPr>
          <w:tab/>
        </w:r>
        <w:r>
          <w:rPr>
            <w:webHidden/>
          </w:rPr>
          <w:fldChar w:fldCharType="begin"/>
        </w:r>
        <w:r>
          <w:rPr>
            <w:webHidden/>
          </w:rPr>
          <w:instrText xml:space="preserve"> PAGEREF _Toc125446401 \h </w:instrText>
        </w:r>
        <w:r>
          <w:rPr>
            <w:webHidden/>
          </w:rPr>
        </w:r>
        <w:r>
          <w:rPr>
            <w:webHidden/>
          </w:rPr>
          <w:fldChar w:fldCharType="separate"/>
        </w:r>
        <w:r>
          <w:rPr>
            <w:webHidden/>
          </w:rPr>
          <w:t>19</w:t>
        </w:r>
        <w:r>
          <w:rPr>
            <w:webHidden/>
          </w:rPr>
          <w:fldChar w:fldCharType="end"/>
        </w:r>
      </w:hyperlink>
    </w:p>
    <w:p w14:paraId="1C64622B" w14:textId="6D942510" w:rsidR="00952056" w:rsidRDefault="00952056">
      <w:pPr>
        <w:pStyle w:val="Spistreci4"/>
        <w:rPr>
          <w:rFonts w:asciiTheme="minorHAnsi" w:eastAsiaTheme="minorEastAsia" w:hAnsiTheme="minorHAnsi" w:cstheme="minorBidi"/>
          <w:sz w:val="22"/>
          <w:szCs w:val="22"/>
          <w:lang w:val="pl-PL" w:eastAsia="pl-PL"/>
        </w:rPr>
      </w:pPr>
      <w:hyperlink w:anchor="_Toc125446402" w:history="1">
        <w:r w:rsidRPr="000913D1">
          <w:rPr>
            <w:rStyle w:val="Hipercze"/>
            <w:lang w:val="en-GB"/>
          </w:rPr>
          <w:t>9.2.1.1</w:t>
        </w:r>
        <w:r>
          <w:rPr>
            <w:rFonts w:asciiTheme="minorHAnsi" w:eastAsiaTheme="minorEastAsia" w:hAnsiTheme="minorHAnsi" w:cstheme="minorBidi"/>
            <w:sz w:val="22"/>
            <w:szCs w:val="22"/>
            <w:lang w:val="pl-PL" w:eastAsia="pl-PL"/>
          </w:rPr>
          <w:tab/>
        </w:r>
        <w:r w:rsidRPr="000913D1">
          <w:rPr>
            <w:rStyle w:val="Hipercze"/>
            <w:lang w:val="en-GB"/>
          </w:rPr>
          <w:t>Justification for new endpoints</w:t>
        </w:r>
        <w:r>
          <w:rPr>
            <w:webHidden/>
          </w:rPr>
          <w:tab/>
        </w:r>
        <w:r>
          <w:rPr>
            <w:webHidden/>
          </w:rPr>
          <w:fldChar w:fldCharType="begin"/>
        </w:r>
        <w:r>
          <w:rPr>
            <w:webHidden/>
          </w:rPr>
          <w:instrText xml:space="preserve"> PAGEREF _Toc125446402 \h </w:instrText>
        </w:r>
        <w:r>
          <w:rPr>
            <w:webHidden/>
          </w:rPr>
        </w:r>
        <w:r>
          <w:rPr>
            <w:webHidden/>
          </w:rPr>
          <w:fldChar w:fldCharType="separate"/>
        </w:r>
        <w:r>
          <w:rPr>
            <w:webHidden/>
          </w:rPr>
          <w:t>21</w:t>
        </w:r>
        <w:r>
          <w:rPr>
            <w:webHidden/>
          </w:rPr>
          <w:fldChar w:fldCharType="end"/>
        </w:r>
      </w:hyperlink>
    </w:p>
    <w:p w14:paraId="5216CE02" w14:textId="25F4B23C" w:rsidR="00952056" w:rsidRDefault="00952056">
      <w:pPr>
        <w:pStyle w:val="Spistreci3"/>
        <w:rPr>
          <w:rFonts w:asciiTheme="minorHAnsi" w:eastAsiaTheme="minorEastAsia" w:hAnsiTheme="minorHAnsi" w:cstheme="minorBidi"/>
          <w:sz w:val="22"/>
          <w:szCs w:val="22"/>
          <w:lang w:val="pl-PL" w:eastAsia="pl-PL"/>
        </w:rPr>
      </w:pPr>
      <w:hyperlink w:anchor="_Toc125446403" w:history="1">
        <w:r w:rsidRPr="000913D1">
          <w:rPr>
            <w:rStyle w:val="Hipercze"/>
          </w:rPr>
          <w:t>9.2.2</w:t>
        </w:r>
        <w:r>
          <w:rPr>
            <w:rFonts w:asciiTheme="minorHAnsi" w:eastAsiaTheme="minorEastAsia" w:hAnsiTheme="minorHAnsi" w:cstheme="minorBidi"/>
            <w:sz w:val="22"/>
            <w:szCs w:val="22"/>
            <w:lang w:val="pl-PL" w:eastAsia="pl-PL"/>
          </w:rPr>
          <w:tab/>
        </w:r>
        <w:r w:rsidRPr="000913D1">
          <w:rPr>
            <w:rStyle w:val="Hipercze"/>
          </w:rPr>
          <w:t>Risk assessment for spray applications</w:t>
        </w:r>
        <w:r>
          <w:rPr>
            <w:webHidden/>
          </w:rPr>
          <w:tab/>
        </w:r>
        <w:r>
          <w:rPr>
            <w:webHidden/>
          </w:rPr>
          <w:fldChar w:fldCharType="begin"/>
        </w:r>
        <w:r>
          <w:rPr>
            <w:webHidden/>
          </w:rPr>
          <w:instrText xml:space="preserve"> PAGEREF _Toc125446403 \h </w:instrText>
        </w:r>
        <w:r>
          <w:rPr>
            <w:webHidden/>
          </w:rPr>
        </w:r>
        <w:r>
          <w:rPr>
            <w:webHidden/>
          </w:rPr>
          <w:fldChar w:fldCharType="separate"/>
        </w:r>
        <w:r>
          <w:rPr>
            <w:webHidden/>
          </w:rPr>
          <w:t>21</w:t>
        </w:r>
        <w:r>
          <w:rPr>
            <w:webHidden/>
          </w:rPr>
          <w:fldChar w:fldCharType="end"/>
        </w:r>
      </w:hyperlink>
    </w:p>
    <w:p w14:paraId="4FE9FA04" w14:textId="06F6BD40" w:rsidR="00952056" w:rsidRDefault="00952056">
      <w:pPr>
        <w:pStyle w:val="Spistreci4"/>
        <w:rPr>
          <w:rFonts w:asciiTheme="minorHAnsi" w:eastAsiaTheme="minorEastAsia" w:hAnsiTheme="minorHAnsi" w:cstheme="minorBidi"/>
          <w:sz w:val="22"/>
          <w:szCs w:val="22"/>
          <w:lang w:val="pl-PL" w:eastAsia="pl-PL"/>
        </w:rPr>
      </w:pPr>
      <w:hyperlink w:anchor="_Toc125446404" w:history="1">
        <w:r w:rsidRPr="000913D1">
          <w:rPr>
            <w:rStyle w:val="Hipercze"/>
            <w:lang w:val="en-GB"/>
          </w:rPr>
          <w:t>9.2.2.1</w:t>
        </w:r>
        <w:r>
          <w:rPr>
            <w:rFonts w:asciiTheme="minorHAnsi" w:eastAsiaTheme="minorEastAsia" w:hAnsiTheme="minorHAnsi" w:cstheme="minorBidi"/>
            <w:sz w:val="22"/>
            <w:szCs w:val="22"/>
            <w:lang w:val="pl-PL" w:eastAsia="pl-PL"/>
          </w:rPr>
          <w:tab/>
        </w:r>
        <w:r w:rsidRPr="000913D1">
          <w:rPr>
            <w:rStyle w:val="Hipercze"/>
            <w:lang w:val="en-GB"/>
          </w:rPr>
          <w:t>First-tier assessment (screening/generic focal species)</w:t>
        </w:r>
        <w:r>
          <w:rPr>
            <w:webHidden/>
          </w:rPr>
          <w:tab/>
        </w:r>
        <w:r>
          <w:rPr>
            <w:webHidden/>
          </w:rPr>
          <w:fldChar w:fldCharType="begin"/>
        </w:r>
        <w:r>
          <w:rPr>
            <w:webHidden/>
          </w:rPr>
          <w:instrText xml:space="preserve"> PAGEREF _Toc125446404 \h </w:instrText>
        </w:r>
        <w:r>
          <w:rPr>
            <w:webHidden/>
          </w:rPr>
        </w:r>
        <w:r>
          <w:rPr>
            <w:webHidden/>
          </w:rPr>
          <w:fldChar w:fldCharType="separate"/>
        </w:r>
        <w:r>
          <w:rPr>
            <w:webHidden/>
          </w:rPr>
          <w:t>22</w:t>
        </w:r>
        <w:r>
          <w:rPr>
            <w:webHidden/>
          </w:rPr>
          <w:fldChar w:fldCharType="end"/>
        </w:r>
      </w:hyperlink>
    </w:p>
    <w:p w14:paraId="5E295CBE" w14:textId="0A57FAC9" w:rsidR="00952056" w:rsidRDefault="00952056">
      <w:pPr>
        <w:pStyle w:val="Spistreci4"/>
        <w:rPr>
          <w:rFonts w:asciiTheme="minorHAnsi" w:eastAsiaTheme="minorEastAsia" w:hAnsiTheme="minorHAnsi" w:cstheme="minorBidi"/>
          <w:sz w:val="22"/>
          <w:szCs w:val="22"/>
          <w:lang w:val="pl-PL" w:eastAsia="pl-PL"/>
        </w:rPr>
      </w:pPr>
      <w:hyperlink w:anchor="_Toc125446405" w:history="1">
        <w:r w:rsidRPr="000913D1">
          <w:rPr>
            <w:rStyle w:val="Hipercze"/>
            <w:lang w:val="en-GB"/>
          </w:rPr>
          <w:t>9.2.2.2</w:t>
        </w:r>
        <w:r>
          <w:rPr>
            <w:rFonts w:asciiTheme="minorHAnsi" w:eastAsiaTheme="minorEastAsia" w:hAnsiTheme="minorHAnsi" w:cstheme="minorBidi"/>
            <w:sz w:val="22"/>
            <w:szCs w:val="22"/>
            <w:lang w:val="pl-PL" w:eastAsia="pl-PL"/>
          </w:rPr>
          <w:tab/>
        </w:r>
        <w:r w:rsidRPr="000913D1">
          <w:rPr>
            <w:rStyle w:val="Hipercze"/>
            <w:lang w:val="en-GB"/>
          </w:rPr>
          <w:t>Higher-tier risk assessment</w:t>
        </w:r>
        <w:r>
          <w:rPr>
            <w:webHidden/>
          </w:rPr>
          <w:tab/>
        </w:r>
        <w:r>
          <w:rPr>
            <w:webHidden/>
          </w:rPr>
          <w:fldChar w:fldCharType="begin"/>
        </w:r>
        <w:r>
          <w:rPr>
            <w:webHidden/>
          </w:rPr>
          <w:instrText xml:space="preserve"> PAGEREF _Toc125446405 \h </w:instrText>
        </w:r>
        <w:r>
          <w:rPr>
            <w:webHidden/>
          </w:rPr>
        </w:r>
        <w:r>
          <w:rPr>
            <w:webHidden/>
          </w:rPr>
          <w:fldChar w:fldCharType="separate"/>
        </w:r>
        <w:r>
          <w:rPr>
            <w:webHidden/>
          </w:rPr>
          <w:t>27</w:t>
        </w:r>
        <w:r>
          <w:rPr>
            <w:webHidden/>
          </w:rPr>
          <w:fldChar w:fldCharType="end"/>
        </w:r>
      </w:hyperlink>
    </w:p>
    <w:p w14:paraId="73D7D770" w14:textId="36A0A500" w:rsidR="00952056" w:rsidRDefault="00952056">
      <w:pPr>
        <w:pStyle w:val="Spistreci4"/>
        <w:rPr>
          <w:rFonts w:asciiTheme="minorHAnsi" w:eastAsiaTheme="minorEastAsia" w:hAnsiTheme="minorHAnsi" w:cstheme="minorBidi"/>
          <w:sz w:val="22"/>
          <w:szCs w:val="22"/>
          <w:lang w:val="pl-PL" w:eastAsia="pl-PL"/>
        </w:rPr>
      </w:pPr>
      <w:hyperlink w:anchor="_Toc125446406" w:history="1">
        <w:r w:rsidRPr="000913D1">
          <w:rPr>
            <w:rStyle w:val="Hipercze"/>
            <w:lang w:val="en-GB"/>
          </w:rPr>
          <w:t>9.2.2.3</w:t>
        </w:r>
        <w:r>
          <w:rPr>
            <w:rFonts w:asciiTheme="minorHAnsi" w:eastAsiaTheme="minorEastAsia" w:hAnsiTheme="minorHAnsi" w:cstheme="minorBidi"/>
            <w:sz w:val="22"/>
            <w:szCs w:val="22"/>
            <w:lang w:val="pl-PL" w:eastAsia="pl-PL"/>
          </w:rPr>
          <w:tab/>
        </w:r>
        <w:r w:rsidRPr="000913D1">
          <w:rPr>
            <w:rStyle w:val="Hipercze"/>
            <w:lang w:val="en-GB"/>
          </w:rPr>
          <w:t>Drinking water exposure</w:t>
        </w:r>
        <w:r>
          <w:rPr>
            <w:webHidden/>
          </w:rPr>
          <w:tab/>
        </w:r>
        <w:r>
          <w:rPr>
            <w:webHidden/>
          </w:rPr>
          <w:fldChar w:fldCharType="begin"/>
        </w:r>
        <w:r>
          <w:rPr>
            <w:webHidden/>
          </w:rPr>
          <w:instrText xml:space="preserve"> PAGEREF _Toc125446406 \h </w:instrText>
        </w:r>
        <w:r>
          <w:rPr>
            <w:webHidden/>
          </w:rPr>
        </w:r>
        <w:r>
          <w:rPr>
            <w:webHidden/>
          </w:rPr>
          <w:fldChar w:fldCharType="separate"/>
        </w:r>
        <w:r>
          <w:rPr>
            <w:webHidden/>
          </w:rPr>
          <w:t>27</w:t>
        </w:r>
        <w:r>
          <w:rPr>
            <w:webHidden/>
          </w:rPr>
          <w:fldChar w:fldCharType="end"/>
        </w:r>
      </w:hyperlink>
    </w:p>
    <w:p w14:paraId="3A70CB8A" w14:textId="0CB1A1FE" w:rsidR="00952056" w:rsidRDefault="00952056">
      <w:pPr>
        <w:pStyle w:val="Spistreci4"/>
        <w:rPr>
          <w:rFonts w:asciiTheme="minorHAnsi" w:eastAsiaTheme="minorEastAsia" w:hAnsiTheme="minorHAnsi" w:cstheme="minorBidi"/>
          <w:sz w:val="22"/>
          <w:szCs w:val="22"/>
          <w:lang w:val="pl-PL" w:eastAsia="pl-PL"/>
        </w:rPr>
      </w:pPr>
      <w:hyperlink w:anchor="_Toc125446407" w:history="1">
        <w:r w:rsidRPr="000913D1">
          <w:rPr>
            <w:rStyle w:val="Hipercze"/>
            <w:lang w:val="en-GB"/>
          </w:rPr>
          <w:t>9.2.2.4</w:t>
        </w:r>
        <w:r>
          <w:rPr>
            <w:rFonts w:asciiTheme="minorHAnsi" w:eastAsiaTheme="minorEastAsia" w:hAnsiTheme="minorHAnsi" w:cstheme="minorBidi"/>
            <w:sz w:val="22"/>
            <w:szCs w:val="22"/>
            <w:lang w:val="pl-PL" w:eastAsia="pl-PL"/>
          </w:rPr>
          <w:tab/>
        </w:r>
        <w:r w:rsidRPr="000913D1">
          <w:rPr>
            <w:rStyle w:val="Hipercze"/>
            <w:lang w:val="en-GB"/>
          </w:rPr>
          <w:t>Effects of secondary poisoning</w:t>
        </w:r>
        <w:r>
          <w:rPr>
            <w:webHidden/>
          </w:rPr>
          <w:tab/>
        </w:r>
        <w:r>
          <w:rPr>
            <w:webHidden/>
          </w:rPr>
          <w:fldChar w:fldCharType="begin"/>
        </w:r>
        <w:r>
          <w:rPr>
            <w:webHidden/>
          </w:rPr>
          <w:instrText xml:space="preserve"> PAGEREF _Toc125446407 \h </w:instrText>
        </w:r>
        <w:r>
          <w:rPr>
            <w:webHidden/>
          </w:rPr>
        </w:r>
        <w:r>
          <w:rPr>
            <w:webHidden/>
          </w:rPr>
          <w:fldChar w:fldCharType="separate"/>
        </w:r>
        <w:r>
          <w:rPr>
            <w:webHidden/>
          </w:rPr>
          <w:t>29</w:t>
        </w:r>
        <w:r>
          <w:rPr>
            <w:webHidden/>
          </w:rPr>
          <w:fldChar w:fldCharType="end"/>
        </w:r>
      </w:hyperlink>
    </w:p>
    <w:p w14:paraId="143D3DAF" w14:textId="6A777509" w:rsidR="00952056" w:rsidRDefault="00952056">
      <w:pPr>
        <w:pStyle w:val="Spistreci4"/>
        <w:rPr>
          <w:rFonts w:asciiTheme="minorHAnsi" w:eastAsiaTheme="minorEastAsia" w:hAnsiTheme="minorHAnsi" w:cstheme="minorBidi"/>
          <w:sz w:val="22"/>
          <w:szCs w:val="22"/>
          <w:lang w:val="pl-PL" w:eastAsia="pl-PL"/>
        </w:rPr>
      </w:pPr>
      <w:hyperlink w:anchor="_Toc125446408" w:history="1">
        <w:r w:rsidRPr="000913D1">
          <w:rPr>
            <w:rStyle w:val="Hipercze"/>
            <w:lang w:val="en-GB"/>
          </w:rPr>
          <w:t>9.2.2.5</w:t>
        </w:r>
        <w:r>
          <w:rPr>
            <w:rFonts w:asciiTheme="minorHAnsi" w:eastAsiaTheme="minorEastAsia" w:hAnsiTheme="minorHAnsi" w:cstheme="minorBidi"/>
            <w:sz w:val="22"/>
            <w:szCs w:val="22"/>
            <w:lang w:val="pl-PL" w:eastAsia="pl-PL"/>
          </w:rPr>
          <w:tab/>
        </w:r>
        <w:r w:rsidRPr="000913D1">
          <w:rPr>
            <w:rStyle w:val="Hipercze"/>
            <w:lang w:val="en-GB"/>
          </w:rPr>
          <w:t>Biomagnification in terrestrial food chains</w:t>
        </w:r>
        <w:r>
          <w:rPr>
            <w:webHidden/>
          </w:rPr>
          <w:tab/>
        </w:r>
        <w:r>
          <w:rPr>
            <w:webHidden/>
          </w:rPr>
          <w:fldChar w:fldCharType="begin"/>
        </w:r>
        <w:r>
          <w:rPr>
            <w:webHidden/>
          </w:rPr>
          <w:instrText xml:space="preserve"> PAGEREF _Toc125446408 \h </w:instrText>
        </w:r>
        <w:r>
          <w:rPr>
            <w:webHidden/>
          </w:rPr>
        </w:r>
        <w:r>
          <w:rPr>
            <w:webHidden/>
          </w:rPr>
          <w:fldChar w:fldCharType="separate"/>
        </w:r>
        <w:r>
          <w:rPr>
            <w:webHidden/>
          </w:rPr>
          <w:t>30</w:t>
        </w:r>
        <w:r>
          <w:rPr>
            <w:webHidden/>
          </w:rPr>
          <w:fldChar w:fldCharType="end"/>
        </w:r>
      </w:hyperlink>
    </w:p>
    <w:p w14:paraId="0C74202B" w14:textId="68AD54D9" w:rsidR="00952056" w:rsidRDefault="00952056">
      <w:pPr>
        <w:pStyle w:val="Spistreci3"/>
        <w:rPr>
          <w:rFonts w:asciiTheme="minorHAnsi" w:eastAsiaTheme="minorEastAsia" w:hAnsiTheme="minorHAnsi" w:cstheme="minorBidi"/>
          <w:sz w:val="22"/>
          <w:szCs w:val="22"/>
          <w:lang w:val="pl-PL" w:eastAsia="pl-PL"/>
        </w:rPr>
      </w:pPr>
      <w:hyperlink w:anchor="_Toc125446409" w:history="1">
        <w:r w:rsidRPr="000913D1">
          <w:rPr>
            <w:rStyle w:val="Hipercze"/>
          </w:rPr>
          <w:t>9.2.3</w:t>
        </w:r>
        <w:r>
          <w:rPr>
            <w:rFonts w:asciiTheme="minorHAnsi" w:eastAsiaTheme="minorEastAsia" w:hAnsiTheme="minorHAnsi" w:cstheme="minorBidi"/>
            <w:sz w:val="22"/>
            <w:szCs w:val="22"/>
            <w:lang w:val="pl-PL" w:eastAsia="pl-PL"/>
          </w:rPr>
          <w:tab/>
        </w:r>
        <w:r w:rsidRPr="000913D1">
          <w:rPr>
            <w:rStyle w:val="Hipercze"/>
          </w:rPr>
          <w:t>Risk assessment for baits, pellets, granules, prills or treated seed</w:t>
        </w:r>
        <w:r>
          <w:rPr>
            <w:webHidden/>
          </w:rPr>
          <w:tab/>
        </w:r>
        <w:r>
          <w:rPr>
            <w:webHidden/>
          </w:rPr>
          <w:fldChar w:fldCharType="begin"/>
        </w:r>
        <w:r>
          <w:rPr>
            <w:webHidden/>
          </w:rPr>
          <w:instrText xml:space="preserve"> PAGEREF _Toc125446409 \h </w:instrText>
        </w:r>
        <w:r>
          <w:rPr>
            <w:webHidden/>
          </w:rPr>
        </w:r>
        <w:r>
          <w:rPr>
            <w:webHidden/>
          </w:rPr>
          <w:fldChar w:fldCharType="separate"/>
        </w:r>
        <w:r>
          <w:rPr>
            <w:webHidden/>
          </w:rPr>
          <w:t>30</w:t>
        </w:r>
        <w:r>
          <w:rPr>
            <w:webHidden/>
          </w:rPr>
          <w:fldChar w:fldCharType="end"/>
        </w:r>
      </w:hyperlink>
    </w:p>
    <w:p w14:paraId="5E02D0EF" w14:textId="2EE616CE" w:rsidR="00952056" w:rsidRDefault="00952056">
      <w:pPr>
        <w:pStyle w:val="Spistreci3"/>
        <w:rPr>
          <w:rFonts w:asciiTheme="minorHAnsi" w:eastAsiaTheme="minorEastAsia" w:hAnsiTheme="minorHAnsi" w:cstheme="minorBidi"/>
          <w:sz w:val="22"/>
          <w:szCs w:val="22"/>
          <w:lang w:val="pl-PL" w:eastAsia="pl-PL"/>
        </w:rPr>
      </w:pPr>
      <w:hyperlink w:anchor="_Toc125446410" w:history="1">
        <w:r w:rsidRPr="000913D1">
          <w:rPr>
            <w:rStyle w:val="Hipercze"/>
          </w:rPr>
          <w:t>9.2.4</w:t>
        </w:r>
        <w:r>
          <w:rPr>
            <w:rFonts w:asciiTheme="minorHAnsi" w:eastAsiaTheme="minorEastAsia" w:hAnsiTheme="minorHAnsi" w:cstheme="minorBidi"/>
            <w:sz w:val="22"/>
            <w:szCs w:val="22"/>
            <w:lang w:val="pl-PL" w:eastAsia="pl-PL"/>
          </w:rPr>
          <w:tab/>
        </w:r>
        <w:r w:rsidRPr="000913D1">
          <w:rPr>
            <w:rStyle w:val="Hipercze"/>
          </w:rPr>
          <w:t>Overall conclusions</w:t>
        </w:r>
        <w:r>
          <w:rPr>
            <w:webHidden/>
          </w:rPr>
          <w:tab/>
        </w:r>
        <w:r>
          <w:rPr>
            <w:webHidden/>
          </w:rPr>
          <w:fldChar w:fldCharType="begin"/>
        </w:r>
        <w:r>
          <w:rPr>
            <w:webHidden/>
          </w:rPr>
          <w:instrText xml:space="preserve"> PAGEREF _Toc125446410 \h </w:instrText>
        </w:r>
        <w:r>
          <w:rPr>
            <w:webHidden/>
          </w:rPr>
        </w:r>
        <w:r>
          <w:rPr>
            <w:webHidden/>
          </w:rPr>
          <w:fldChar w:fldCharType="separate"/>
        </w:r>
        <w:r>
          <w:rPr>
            <w:webHidden/>
          </w:rPr>
          <w:t>30</w:t>
        </w:r>
        <w:r>
          <w:rPr>
            <w:webHidden/>
          </w:rPr>
          <w:fldChar w:fldCharType="end"/>
        </w:r>
      </w:hyperlink>
    </w:p>
    <w:p w14:paraId="2D164D52" w14:textId="3108EF0A" w:rsidR="00952056" w:rsidRDefault="00952056">
      <w:pPr>
        <w:pStyle w:val="Spistreci2"/>
        <w:rPr>
          <w:rFonts w:asciiTheme="minorHAnsi" w:eastAsiaTheme="minorEastAsia" w:hAnsiTheme="minorHAnsi" w:cstheme="minorBidi"/>
          <w:sz w:val="22"/>
          <w:lang w:val="pl-PL" w:eastAsia="pl-PL"/>
        </w:rPr>
      </w:pPr>
      <w:hyperlink w:anchor="_Toc125446411" w:history="1">
        <w:r w:rsidRPr="000913D1">
          <w:rPr>
            <w:rStyle w:val="Hipercze"/>
          </w:rPr>
          <w:t>9.3</w:t>
        </w:r>
        <w:r>
          <w:rPr>
            <w:rFonts w:asciiTheme="minorHAnsi" w:eastAsiaTheme="minorEastAsia" w:hAnsiTheme="minorHAnsi" w:cstheme="minorBidi"/>
            <w:sz w:val="22"/>
            <w:lang w:val="pl-PL" w:eastAsia="pl-PL"/>
          </w:rPr>
          <w:tab/>
        </w:r>
        <w:r w:rsidRPr="000913D1">
          <w:rPr>
            <w:rStyle w:val="Hipercze"/>
          </w:rPr>
          <w:t>Effects on terrestrial vertebrates other than birds (KCP 10.1.2)</w:t>
        </w:r>
        <w:r>
          <w:rPr>
            <w:webHidden/>
          </w:rPr>
          <w:tab/>
        </w:r>
        <w:r>
          <w:rPr>
            <w:webHidden/>
          </w:rPr>
          <w:fldChar w:fldCharType="begin"/>
        </w:r>
        <w:r>
          <w:rPr>
            <w:webHidden/>
          </w:rPr>
          <w:instrText xml:space="preserve"> PAGEREF _Toc125446411 \h </w:instrText>
        </w:r>
        <w:r>
          <w:rPr>
            <w:webHidden/>
          </w:rPr>
        </w:r>
        <w:r>
          <w:rPr>
            <w:webHidden/>
          </w:rPr>
          <w:fldChar w:fldCharType="separate"/>
        </w:r>
        <w:r>
          <w:rPr>
            <w:webHidden/>
          </w:rPr>
          <w:t>32</w:t>
        </w:r>
        <w:r>
          <w:rPr>
            <w:webHidden/>
          </w:rPr>
          <w:fldChar w:fldCharType="end"/>
        </w:r>
      </w:hyperlink>
    </w:p>
    <w:p w14:paraId="4BA11D3A" w14:textId="47C11075" w:rsidR="00952056" w:rsidRDefault="00952056">
      <w:pPr>
        <w:pStyle w:val="Spistreci3"/>
        <w:rPr>
          <w:rFonts w:asciiTheme="minorHAnsi" w:eastAsiaTheme="minorEastAsia" w:hAnsiTheme="minorHAnsi" w:cstheme="minorBidi"/>
          <w:sz w:val="22"/>
          <w:szCs w:val="22"/>
          <w:lang w:val="pl-PL" w:eastAsia="pl-PL"/>
        </w:rPr>
      </w:pPr>
      <w:hyperlink w:anchor="_Toc125446412" w:history="1">
        <w:r w:rsidRPr="000913D1">
          <w:rPr>
            <w:rStyle w:val="Hipercze"/>
          </w:rPr>
          <w:t>9.3.1</w:t>
        </w:r>
        <w:r>
          <w:rPr>
            <w:rFonts w:asciiTheme="minorHAnsi" w:eastAsiaTheme="minorEastAsia" w:hAnsiTheme="minorHAnsi" w:cstheme="minorBidi"/>
            <w:sz w:val="22"/>
            <w:szCs w:val="22"/>
            <w:lang w:val="pl-PL" w:eastAsia="pl-PL"/>
          </w:rPr>
          <w:tab/>
        </w:r>
        <w:r w:rsidRPr="000913D1">
          <w:rPr>
            <w:rStyle w:val="Hipercze"/>
          </w:rPr>
          <w:t>Toxicity data</w:t>
        </w:r>
        <w:r>
          <w:rPr>
            <w:webHidden/>
          </w:rPr>
          <w:tab/>
        </w:r>
        <w:r>
          <w:rPr>
            <w:webHidden/>
          </w:rPr>
          <w:fldChar w:fldCharType="begin"/>
        </w:r>
        <w:r>
          <w:rPr>
            <w:webHidden/>
          </w:rPr>
          <w:instrText xml:space="preserve"> PAGEREF _Toc125446412 \h </w:instrText>
        </w:r>
        <w:r>
          <w:rPr>
            <w:webHidden/>
          </w:rPr>
        </w:r>
        <w:r>
          <w:rPr>
            <w:webHidden/>
          </w:rPr>
          <w:fldChar w:fldCharType="separate"/>
        </w:r>
        <w:r>
          <w:rPr>
            <w:webHidden/>
          </w:rPr>
          <w:t>32</w:t>
        </w:r>
        <w:r>
          <w:rPr>
            <w:webHidden/>
          </w:rPr>
          <w:fldChar w:fldCharType="end"/>
        </w:r>
      </w:hyperlink>
    </w:p>
    <w:p w14:paraId="7EEB1D1F" w14:textId="4152CAC9" w:rsidR="00952056" w:rsidRDefault="00952056">
      <w:pPr>
        <w:pStyle w:val="Spistreci4"/>
        <w:rPr>
          <w:rFonts w:asciiTheme="minorHAnsi" w:eastAsiaTheme="minorEastAsia" w:hAnsiTheme="minorHAnsi" w:cstheme="minorBidi"/>
          <w:sz w:val="22"/>
          <w:szCs w:val="22"/>
          <w:lang w:val="pl-PL" w:eastAsia="pl-PL"/>
        </w:rPr>
      </w:pPr>
      <w:hyperlink w:anchor="_Toc125446413" w:history="1">
        <w:r w:rsidRPr="000913D1">
          <w:rPr>
            <w:rStyle w:val="Hipercze"/>
            <w:lang w:val="en-GB"/>
          </w:rPr>
          <w:t>9.3.1.1</w:t>
        </w:r>
        <w:r>
          <w:rPr>
            <w:rFonts w:asciiTheme="minorHAnsi" w:eastAsiaTheme="minorEastAsia" w:hAnsiTheme="minorHAnsi" w:cstheme="minorBidi"/>
            <w:sz w:val="22"/>
            <w:szCs w:val="22"/>
            <w:lang w:val="pl-PL" w:eastAsia="pl-PL"/>
          </w:rPr>
          <w:tab/>
        </w:r>
        <w:r w:rsidRPr="000913D1">
          <w:rPr>
            <w:rStyle w:val="Hipercze"/>
            <w:lang w:val="en-GB"/>
          </w:rPr>
          <w:t>Justification for new endpoints</w:t>
        </w:r>
        <w:r>
          <w:rPr>
            <w:webHidden/>
          </w:rPr>
          <w:tab/>
        </w:r>
        <w:r>
          <w:rPr>
            <w:webHidden/>
          </w:rPr>
          <w:fldChar w:fldCharType="begin"/>
        </w:r>
        <w:r>
          <w:rPr>
            <w:webHidden/>
          </w:rPr>
          <w:instrText xml:space="preserve"> PAGEREF _Toc125446413 \h </w:instrText>
        </w:r>
        <w:r>
          <w:rPr>
            <w:webHidden/>
          </w:rPr>
        </w:r>
        <w:r>
          <w:rPr>
            <w:webHidden/>
          </w:rPr>
          <w:fldChar w:fldCharType="separate"/>
        </w:r>
        <w:r>
          <w:rPr>
            <w:webHidden/>
          </w:rPr>
          <w:t>34</w:t>
        </w:r>
        <w:r>
          <w:rPr>
            <w:webHidden/>
          </w:rPr>
          <w:fldChar w:fldCharType="end"/>
        </w:r>
      </w:hyperlink>
    </w:p>
    <w:p w14:paraId="1CC93369" w14:textId="68EE249D" w:rsidR="00952056" w:rsidRDefault="00952056">
      <w:pPr>
        <w:pStyle w:val="Spistreci3"/>
        <w:rPr>
          <w:rFonts w:asciiTheme="minorHAnsi" w:eastAsiaTheme="minorEastAsia" w:hAnsiTheme="minorHAnsi" w:cstheme="minorBidi"/>
          <w:sz w:val="22"/>
          <w:szCs w:val="22"/>
          <w:lang w:val="pl-PL" w:eastAsia="pl-PL"/>
        </w:rPr>
      </w:pPr>
      <w:hyperlink w:anchor="_Toc125446414" w:history="1">
        <w:r w:rsidRPr="000913D1">
          <w:rPr>
            <w:rStyle w:val="Hipercze"/>
          </w:rPr>
          <w:t>9.3.2</w:t>
        </w:r>
        <w:r>
          <w:rPr>
            <w:rFonts w:asciiTheme="minorHAnsi" w:eastAsiaTheme="minorEastAsia" w:hAnsiTheme="minorHAnsi" w:cstheme="minorBidi"/>
            <w:sz w:val="22"/>
            <w:szCs w:val="22"/>
            <w:lang w:val="pl-PL" w:eastAsia="pl-PL"/>
          </w:rPr>
          <w:tab/>
        </w:r>
        <w:r w:rsidRPr="000913D1">
          <w:rPr>
            <w:rStyle w:val="Hipercze"/>
          </w:rPr>
          <w:t>Risk assessment for spray applications</w:t>
        </w:r>
        <w:r>
          <w:rPr>
            <w:webHidden/>
          </w:rPr>
          <w:tab/>
        </w:r>
        <w:r>
          <w:rPr>
            <w:webHidden/>
          </w:rPr>
          <w:fldChar w:fldCharType="begin"/>
        </w:r>
        <w:r>
          <w:rPr>
            <w:webHidden/>
          </w:rPr>
          <w:instrText xml:space="preserve"> PAGEREF _Toc125446414 \h </w:instrText>
        </w:r>
        <w:r>
          <w:rPr>
            <w:webHidden/>
          </w:rPr>
        </w:r>
        <w:r>
          <w:rPr>
            <w:webHidden/>
          </w:rPr>
          <w:fldChar w:fldCharType="separate"/>
        </w:r>
        <w:r>
          <w:rPr>
            <w:webHidden/>
          </w:rPr>
          <w:t>35</w:t>
        </w:r>
        <w:r>
          <w:rPr>
            <w:webHidden/>
          </w:rPr>
          <w:fldChar w:fldCharType="end"/>
        </w:r>
      </w:hyperlink>
    </w:p>
    <w:p w14:paraId="6DC61470" w14:textId="2D85E892" w:rsidR="00952056" w:rsidRDefault="00952056">
      <w:pPr>
        <w:pStyle w:val="Spistreci4"/>
        <w:rPr>
          <w:rFonts w:asciiTheme="minorHAnsi" w:eastAsiaTheme="minorEastAsia" w:hAnsiTheme="minorHAnsi" w:cstheme="minorBidi"/>
          <w:sz w:val="22"/>
          <w:szCs w:val="22"/>
          <w:lang w:val="pl-PL" w:eastAsia="pl-PL"/>
        </w:rPr>
      </w:pPr>
      <w:hyperlink w:anchor="_Toc125446415" w:history="1">
        <w:r w:rsidRPr="000913D1">
          <w:rPr>
            <w:rStyle w:val="Hipercze"/>
            <w:lang w:val="en-GB"/>
          </w:rPr>
          <w:t>9.3.2.1</w:t>
        </w:r>
        <w:r>
          <w:rPr>
            <w:rFonts w:asciiTheme="minorHAnsi" w:eastAsiaTheme="minorEastAsia" w:hAnsiTheme="minorHAnsi" w:cstheme="minorBidi"/>
            <w:sz w:val="22"/>
            <w:szCs w:val="22"/>
            <w:lang w:val="pl-PL" w:eastAsia="pl-PL"/>
          </w:rPr>
          <w:tab/>
        </w:r>
        <w:r w:rsidRPr="000913D1">
          <w:rPr>
            <w:rStyle w:val="Hipercze"/>
            <w:lang w:val="en-GB"/>
          </w:rPr>
          <w:t>First-tier assessment (screening/generic focal species)</w:t>
        </w:r>
        <w:r>
          <w:rPr>
            <w:webHidden/>
          </w:rPr>
          <w:tab/>
        </w:r>
        <w:r>
          <w:rPr>
            <w:webHidden/>
          </w:rPr>
          <w:fldChar w:fldCharType="begin"/>
        </w:r>
        <w:r>
          <w:rPr>
            <w:webHidden/>
          </w:rPr>
          <w:instrText xml:space="preserve"> PAGEREF _Toc125446415 \h </w:instrText>
        </w:r>
        <w:r>
          <w:rPr>
            <w:webHidden/>
          </w:rPr>
        </w:r>
        <w:r>
          <w:rPr>
            <w:webHidden/>
          </w:rPr>
          <w:fldChar w:fldCharType="separate"/>
        </w:r>
        <w:r>
          <w:rPr>
            <w:webHidden/>
          </w:rPr>
          <w:t>35</w:t>
        </w:r>
        <w:r>
          <w:rPr>
            <w:webHidden/>
          </w:rPr>
          <w:fldChar w:fldCharType="end"/>
        </w:r>
      </w:hyperlink>
    </w:p>
    <w:p w14:paraId="630B0FF6" w14:textId="2754C06D" w:rsidR="00952056" w:rsidRDefault="00952056">
      <w:pPr>
        <w:pStyle w:val="Spistreci4"/>
        <w:rPr>
          <w:rFonts w:asciiTheme="minorHAnsi" w:eastAsiaTheme="minorEastAsia" w:hAnsiTheme="minorHAnsi" w:cstheme="minorBidi"/>
          <w:sz w:val="22"/>
          <w:szCs w:val="22"/>
          <w:lang w:val="pl-PL" w:eastAsia="pl-PL"/>
        </w:rPr>
      </w:pPr>
      <w:hyperlink w:anchor="_Toc125446416" w:history="1">
        <w:r w:rsidRPr="000913D1">
          <w:rPr>
            <w:rStyle w:val="Hipercze"/>
            <w:lang w:val="en-GB"/>
          </w:rPr>
          <w:t>9.3.2.2</w:t>
        </w:r>
        <w:r>
          <w:rPr>
            <w:rFonts w:asciiTheme="minorHAnsi" w:eastAsiaTheme="minorEastAsia" w:hAnsiTheme="minorHAnsi" w:cstheme="minorBidi"/>
            <w:sz w:val="22"/>
            <w:szCs w:val="22"/>
            <w:lang w:val="pl-PL" w:eastAsia="pl-PL"/>
          </w:rPr>
          <w:tab/>
        </w:r>
        <w:r w:rsidRPr="000913D1">
          <w:rPr>
            <w:rStyle w:val="Hipercze"/>
            <w:lang w:val="en-GB"/>
          </w:rPr>
          <w:t>Higher-tier risk assessment</w:t>
        </w:r>
        <w:r>
          <w:rPr>
            <w:webHidden/>
          </w:rPr>
          <w:tab/>
        </w:r>
        <w:r>
          <w:rPr>
            <w:webHidden/>
          </w:rPr>
          <w:fldChar w:fldCharType="begin"/>
        </w:r>
        <w:r>
          <w:rPr>
            <w:webHidden/>
          </w:rPr>
          <w:instrText xml:space="preserve"> PAGEREF _Toc125446416 \h </w:instrText>
        </w:r>
        <w:r>
          <w:rPr>
            <w:webHidden/>
          </w:rPr>
        </w:r>
        <w:r>
          <w:rPr>
            <w:webHidden/>
          </w:rPr>
          <w:fldChar w:fldCharType="separate"/>
        </w:r>
        <w:r>
          <w:rPr>
            <w:webHidden/>
          </w:rPr>
          <w:t>42</w:t>
        </w:r>
        <w:r>
          <w:rPr>
            <w:webHidden/>
          </w:rPr>
          <w:fldChar w:fldCharType="end"/>
        </w:r>
      </w:hyperlink>
    </w:p>
    <w:p w14:paraId="3A703333" w14:textId="0B4B625D" w:rsidR="00952056" w:rsidRDefault="00952056">
      <w:pPr>
        <w:pStyle w:val="Spistreci4"/>
        <w:rPr>
          <w:rFonts w:asciiTheme="minorHAnsi" w:eastAsiaTheme="minorEastAsia" w:hAnsiTheme="minorHAnsi" w:cstheme="minorBidi"/>
          <w:sz w:val="22"/>
          <w:szCs w:val="22"/>
          <w:lang w:val="pl-PL" w:eastAsia="pl-PL"/>
        </w:rPr>
      </w:pPr>
      <w:hyperlink w:anchor="_Toc125446417" w:history="1">
        <w:r w:rsidRPr="000913D1">
          <w:rPr>
            <w:rStyle w:val="Hipercze"/>
            <w:lang w:val="en-GB"/>
          </w:rPr>
          <w:t>9.3.2.3</w:t>
        </w:r>
        <w:r>
          <w:rPr>
            <w:rFonts w:asciiTheme="minorHAnsi" w:eastAsiaTheme="minorEastAsia" w:hAnsiTheme="minorHAnsi" w:cstheme="minorBidi"/>
            <w:sz w:val="22"/>
            <w:szCs w:val="22"/>
            <w:lang w:val="pl-PL" w:eastAsia="pl-PL"/>
          </w:rPr>
          <w:tab/>
        </w:r>
        <w:r w:rsidRPr="000913D1">
          <w:rPr>
            <w:rStyle w:val="Hipercze"/>
            <w:lang w:val="en-GB"/>
          </w:rPr>
          <w:t>Drinking water exposure</w:t>
        </w:r>
        <w:r>
          <w:rPr>
            <w:webHidden/>
          </w:rPr>
          <w:tab/>
        </w:r>
        <w:r>
          <w:rPr>
            <w:webHidden/>
          </w:rPr>
          <w:fldChar w:fldCharType="begin"/>
        </w:r>
        <w:r>
          <w:rPr>
            <w:webHidden/>
          </w:rPr>
          <w:instrText xml:space="preserve"> PAGEREF _Toc125446417 \h </w:instrText>
        </w:r>
        <w:r>
          <w:rPr>
            <w:webHidden/>
          </w:rPr>
        </w:r>
        <w:r>
          <w:rPr>
            <w:webHidden/>
          </w:rPr>
          <w:fldChar w:fldCharType="separate"/>
        </w:r>
        <w:r>
          <w:rPr>
            <w:webHidden/>
          </w:rPr>
          <w:t>45</w:t>
        </w:r>
        <w:r>
          <w:rPr>
            <w:webHidden/>
          </w:rPr>
          <w:fldChar w:fldCharType="end"/>
        </w:r>
      </w:hyperlink>
    </w:p>
    <w:p w14:paraId="7D68F567" w14:textId="7A8CFA92" w:rsidR="00952056" w:rsidRDefault="00952056">
      <w:pPr>
        <w:pStyle w:val="Spistreci4"/>
        <w:rPr>
          <w:rFonts w:asciiTheme="minorHAnsi" w:eastAsiaTheme="minorEastAsia" w:hAnsiTheme="minorHAnsi" w:cstheme="minorBidi"/>
          <w:sz w:val="22"/>
          <w:szCs w:val="22"/>
          <w:lang w:val="pl-PL" w:eastAsia="pl-PL"/>
        </w:rPr>
      </w:pPr>
      <w:hyperlink w:anchor="_Toc125446418" w:history="1">
        <w:r w:rsidRPr="000913D1">
          <w:rPr>
            <w:rStyle w:val="Hipercze"/>
            <w:lang w:val="en-GB"/>
          </w:rPr>
          <w:t>9.3.2.4</w:t>
        </w:r>
        <w:r>
          <w:rPr>
            <w:rFonts w:asciiTheme="minorHAnsi" w:eastAsiaTheme="minorEastAsia" w:hAnsiTheme="minorHAnsi" w:cstheme="minorBidi"/>
            <w:sz w:val="22"/>
            <w:szCs w:val="22"/>
            <w:lang w:val="pl-PL" w:eastAsia="pl-PL"/>
          </w:rPr>
          <w:tab/>
        </w:r>
        <w:r w:rsidRPr="000913D1">
          <w:rPr>
            <w:rStyle w:val="Hipercze"/>
            <w:lang w:val="en-GB"/>
          </w:rPr>
          <w:t>Effects of secondary poisoning</w:t>
        </w:r>
        <w:r>
          <w:rPr>
            <w:webHidden/>
          </w:rPr>
          <w:tab/>
        </w:r>
        <w:r>
          <w:rPr>
            <w:webHidden/>
          </w:rPr>
          <w:fldChar w:fldCharType="begin"/>
        </w:r>
        <w:r>
          <w:rPr>
            <w:webHidden/>
          </w:rPr>
          <w:instrText xml:space="preserve"> PAGEREF _Toc125446418 \h </w:instrText>
        </w:r>
        <w:r>
          <w:rPr>
            <w:webHidden/>
          </w:rPr>
        </w:r>
        <w:r>
          <w:rPr>
            <w:webHidden/>
          </w:rPr>
          <w:fldChar w:fldCharType="separate"/>
        </w:r>
        <w:r>
          <w:rPr>
            <w:webHidden/>
          </w:rPr>
          <w:t>46</w:t>
        </w:r>
        <w:r>
          <w:rPr>
            <w:webHidden/>
          </w:rPr>
          <w:fldChar w:fldCharType="end"/>
        </w:r>
      </w:hyperlink>
    </w:p>
    <w:p w14:paraId="3E9B745E" w14:textId="6F7802B5" w:rsidR="00952056" w:rsidRDefault="00952056">
      <w:pPr>
        <w:pStyle w:val="Spistreci4"/>
        <w:rPr>
          <w:rFonts w:asciiTheme="minorHAnsi" w:eastAsiaTheme="minorEastAsia" w:hAnsiTheme="minorHAnsi" w:cstheme="minorBidi"/>
          <w:sz w:val="22"/>
          <w:szCs w:val="22"/>
          <w:lang w:val="pl-PL" w:eastAsia="pl-PL"/>
        </w:rPr>
      </w:pPr>
      <w:hyperlink w:anchor="_Toc125446419" w:history="1">
        <w:r w:rsidRPr="000913D1">
          <w:rPr>
            <w:rStyle w:val="Hipercze"/>
            <w:lang w:val="en-GB"/>
          </w:rPr>
          <w:t>9.3.2.5</w:t>
        </w:r>
        <w:r>
          <w:rPr>
            <w:rFonts w:asciiTheme="minorHAnsi" w:eastAsiaTheme="minorEastAsia" w:hAnsiTheme="minorHAnsi" w:cstheme="minorBidi"/>
            <w:sz w:val="22"/>
            <w:szCs w:val="22"/>
            <w:lang w:val="pl-PL" w:eastAsia="pl-PL"/>
          </w:rPr>
          <w:tab/>
        </w:r>
        <w:r w:rsidRPr="000913D1">
          <w:rPr>
            <w:rStyle w:val="Hipercze"/>
            <w:lang w:val="en-GB"/>
          </w:rPr>
          <w:t>Biomagnification in terrestrial food chains</w:t>
        </w:r>
        <w:r>
          <w:rPr>
            <w:webHidden/>
          </w:rPr>
          <w:tab/>
        </w:r>
        <w:r>
          <w:rPr>
            <w:webHidden/>
          </w:rPr>
          <w:fldChar w:fldCharType="begin"/>
        </w:r>
        <w:r>
          <w:rPr>
            <w:webHidden/>
          </w:rPr>
          <w:instrText xml:space="preserve"> PAGEREF _Toc125446419 \h </w:instrText>
        </w:r>
        <w:r>
          <w:rPr>
            <w:webHidden/>
          </w:rPr>
        </w:r>
        <w:r>
          <w:rPr>
            <w:webHidden/>
          </w:rPr>
          <w:fldChar w:fldCharType="separate"/>
        </w:r>
        <w:r>
          <w:rPr>
            <w:webHidden/>
          </w:rPr>
          <w:t>47</w:t>
        </w:r>
        <w:r>
          <w:rPr>
            <w:webHidden/>
          </w:rPr>
          <w:fldChar w:fldCharType="end"/>
        </w:r>
      </w:hyperlink>
    </w:p>
    <w:p w14:paraId="6CCC0F0A" w14:textId="45063BF9" w:rsidR="00952056" w:rsidRDefault="00952056">
      <w:pPr>
        <w:pStyle w:val="Spistreci3"/>
        <w:rPr>
          <w:rFonts w:asciiTheme="minorHAnsi" w:eastAsiaTheme="minorEastAsia" w:hAnsiTheme="minorHAnsi" w:cstheme="minorBidi"/>
          <w:sz w:val="22"/>
          <w:szCs w:val="22"/>
          <w:lang w:val="pl-PL" w:eastAsia="pl-PL"/>
        </w:rPr>
      </w:pPr>
      <w:hyperlink w:anchor="_Toc125446420" w:history="1">
        <w:r w:rsidRPr="000913D1">
          <w:rPr>
            <w:rStyle w:val="Hipercze"/>
          </w:rPr>
          <w:t>9.3.3</w:t>
        </w:r>
        <w:r>
          <w:rPr>
            <w:rFonts w:asciiTheme="minorHAnsi" w:eastAsiaTheme="minorEastAsia" w:hAnsiTheme="minorHAnsi" w:cstheme="minorBidi"/>
            <w:sz w:val="22"/>
            <w:szCs w:val="22"/>
            <w:lang w:val="pl-PL" w:eastAsia="pl-PL"/>
          </w:rPr>
          <w:tab/>
        </w:r>
        <w:r w:rsidRPr="000913D1">
          <w:rPr>
            <w:rStyle w:val="Hipercze"/>
          </w:rPr>
          <w:t>Risk assessment for baits, pellets, granules, prills or treated seed</w:t>
        </w:r>
        <w:r>
          <w:rPr>
            <w:webHidden/>
          </w:rPr>
          <w:tab/>
        </w:r>
        <w:r>
          <w:rPr>
            <w:webHidden/>
          </w:rPr>
          <w:fldChar w:fldCharType="begin"/>
        </w:r>
        <w:r>
          <w:rPr>
            <w:webHidden/>
          </w:rPr>
          <w:instrText xml:space="preserve"> PAGEREF _Toc125446420 \h </w:instrText>
        </w:r>
        <w:r>
          <w:rPr>
            <w:webHidden/>
          </w:rPr>
        </w:r>
        <w:r>
          <w:rPr>
            <w:webHidden/>
          </w:rPr>
          <w:fldChar w:fldCharType="separate"/>
        </w:r>
        <w:r>
          <w:rPr>
            <w:webHidden/>
          </w:rPr>
          <w:t>48</w:t>
        </w:r>
        <w:r>
          <w:rPr>
            <w:webHidden/>
          </w:rPr>
          <w:fldChar w:fldCharType="end"/>
        </w:r>
      </w:hyperlink>
    </w:p>
    <w:p w14:paraId="6B69EB1D" w14:textId="320380E4" w:rsidR="00952056" w:rsidRDefault="00952056">
      <w:pPr>
        <w:pStyle w:val="Spistreci3"/>
        <w:rPr>
          <w:rFonts w:asciiTheme="minorHAnsi" w:eastAsiaTheme="minorEastAsia" w:hAnsiTheme="minorHAnsi" w:cstheme="minorBidi"/>
          <w:sz w:val="22"/>
          <w:szCs w:val="22"/>
          <w:lang w:val="pl-PL" w:eastAsia="pl-PL"/>
        </w:rPr>
      </w:pPr>
      <w:hyperlink w:anchor="_Toc125446421" w:history="1">
        <w:r w:rsidRPr="000913D1">
          <w:rPr>
            <w:rStyle w:val="Hipercze"/>
          </w:rPr>
          <w:t>9.3.4</w:t>
        </w:r>
        <w:r>
          <w:rPr>
            <w:rFonts w:asciiTheme="minorHAnsi" w:eastAsiaTheme="minorEastAsia" w:hAnsiTheme="minorHAnsi" w:cstheme="minorBidi"/>
            <w:sz w:val="22"/>
            <w:szCs w:val="22"/>
            <w:lang w:val="pl-PL" w:eastAsia="pl-PL"/>
          </w:rPr>
          <w:tab/>
        </w:r>
        <w:r w:rsidRPr="000913D1">
          <w:rPr>
            <w:rStyle w:val="Hipercze"/>
          </w:rPr>
          <w:t>Overall conclusions</w:t>
        </w:r>
        <w:r>
          <w:rPr>
            <w:webHidden/>
          </w:rPr>
          <w:tab/>
        </w:r>
        <w:r>
          <w:rPr>
            <w:webHidden/>
          </w:rPr>
          <w:fldChar w:fldCharType="begin"/>
        </w:r>
        <w:r>
          <w:rPr>
            <w:webHidden/>
          </w:rPr>
          <w:instrText xml:space="preserve"> PAGEREF _Toc125446421 \h </w:instrText>
        </w:r>
        <w:r>
          <w:rPr>
            <w:webHidden/>
          </w:rPr>
        </w:r>
        <w:r>
          <w:rPr>
            <w:webHidden/>
          </w:rPr>
          <w:fldChar w:fldCharType="separate"/>
        </w:r>
        <w:r>
          <w:rPr>
            <w:webHidden/>
          </w:rPr>
          <w:t>48</w:t>
        </w:r>
        <w:r>
          <w:rPr>
            <w:webHidden/>
          </w:rPr>
          <w:fldChar w:fldCharType="end"/>
        </w:r>
      </w:hyperlink>
    </w:p>
    <w:p w14:paraId="596DBABC" w14:textId="147641CE" w:rsidR="00952056" w:rsidRDefault="00952056">
      <w:pPr>
        <w:pStyle w:val="Spistreci2"/>
        <w:rPr>
          <w:rFonts w:asciiTheme="minorHAnsi" w:eastAsiaTheme="minorEastAsia" w:hAnsiTheme="minorHAnsi" w:cstheme="minorBidi"/>
          <w:sz w:val="22"/>
          <w:lang w:val="pl-PL" w:eastAsia="pl-PL"/>
        </w:rPr>
      </w:pPr>
      <w:hyperlink w:anchor="_Toc125446422" w:history="1">
        <w:r w:rsidRPr="000913D1">
          <w:rPr>
            <w:rStyle w:val="Hipercze"/>
          </w:rPr>
          <w:t>9.4</w:t>
        </w:r>
        <w:r>
          <w:rPr>
            <w:rFonts w:asciiTheme="minorHAnsi" w:eastAsiaTheme="minorEastAsia" w:hAnsiTheme="minorHAnsi" w:cstheme="minorBidi"/>
            <w:sz w:val="22"/>
            <w:lang w:val="pl-PL" w:eastAsia="pl-PL"/>
          </w:rPr>
          <w:tab/>
        </w:r>
        <w:r w:rsidRPr="000913D1">
          <w:rPr>
            <w:rStyle w:val="Hipercze"/>
          </w:rPr>
          <w:t>Effects on other terrestrial vertebrate wildlife (reptiles and amphibians) (KCP 10.1.3)</w:t>
        </w:r>
        <w:r>
          <w:rPr>
            <w:webHidden/>
          </w:rPr>
          <w:tab/>
        </w:r>
        <w:r>
          <w:rPr>
            <w:webHidden/>
          </w:rPr>
          <w:fldChar w:fldCharType="begin"/>
        </w:r>
        <w:r>
          <w:rPr>
            <w:webHidden/>
          </w:rPr>
          <w:instrText xml:space="preserve"> PAGEREF _Toc125446422 \h </w:instrText>
        </w:r>
        <w:r>
          <w:rPr>
            <w:webHidden/>
          </w:rPr>
        </w:r>
        <w:r>
          <w:rPr>
            <w:webHidden/>
          </w:rPr>
          <w:fldChar w:fldCharType="separate"/>
        </w:r>
        <w:r>
          <w:rPr>
            <w:webHidden/>
          </w:rPr>
          <w:t>49</w:t>
        </w:r>
        <w:r>
          <w:rPr>
            <w:webHidden/>
          </w:rPr>
          <w:fldChar w:fldCharType="end"/>
        </w:r>
      </w:hyperlink>
    </w:p>
    <w:p w14:paraId="61A19A3B" w14:textId="06F3B003" w:rsidR="00952056" w:rsidRDefault="00952056">
      <w:pPr>
        <w:pStyle w:val="Spistreci2"/>
        <w:rPr>
          <w:rFonts w:asciiTheme="minorHAnsi" w:eastAsiaTheme="minorEastAsia" w:hAnsiTheme="minorHAnsi" w:cstheme="minorBidi"/>
          <w:sz w:val="22"/>
          <w:lang w:val="pl-PL" w:eastAsia="pl-PL"/>
        </w:rPr>
      </w:pPr>
      <w:hyperlink w:anchor="_Toc125446423" w:history="1">
        <w:r w:rsidRPr="000913D1">
          <w:rPr>
            <w:rStyle w:val="Hipercze"/>
          </w:rPr>
          <w:t>9.5</w:t>
        </w:r>
        <w:r>
          <w:rPr>
            <w:rFonts w:asciiTheme="minorHAnsi" w:eastAsiaTheme="minorEastAsia" w:hAnsiTheme="minorHAnsi" w:cstheme="minorBidi"/>
            <w:sz w:val="22"/>
            <w:lang w:val="pl-PL" w:eastAsia="pl-PL"/>
          </w:rPr>
          <w:tab/>
        </w:r>
        <w:r w:rsidRPr="000913D1">
          <w:rPr>
            <w:rStyle w:val="Hipercze"/>
          </w:rPr>
          <w:t>Effects on aquatic organisms (KCP 10.2)</w:t>
        </w:r>
        <w:r>
          <w:rPr>
            <w:webHidden/>
          </w:rPr>
          <w:tab/>
        </w:r>
        <w:r>
          <w:rPr>
            <w:webHidden/>
          </w:rPr>
          <w:fldChar w:fldCharType="begin"/>
        </w:r>
        <w:r>
          <w:rPr>
            <w:webHidden/>
          </w:rPr>
          <w:instrText xml:space="preserve"> PAGEREF _Toc125446423 \h </w:instrText>
        </w:r>
        <w:r>
          <w:rPr>
            <w:webHidden/>
          </w:rPr>
        </w:r>
        <w:r>
          <w:rPr>
            <w:webHidden/>
          </w:rPr>
          <w:fldChar w:fldCharType="separate"/>
        </w:r>
        <w:r>
          <w:rPr>
            <w:webHidden/>
          </w:rPr>
          <w:t>50</w:t>
        </w:r>
        <w:r>
          <w:rPr>
            <w:webHidden/>
          </w:rPr>
          <w:fldChar w:fldCharType="end"/>
        </w:r>
      </w:hyperlink>
    </w:p>
    <w:p w14:paraId="0FA6C4C5" w14:textId="2159473E" w:rsidR="00952056" w:rsidRDefault="00952056">
      <w:pPr>
        <w:pStyle w:val="Spistreci3"/>
        <w:rPr>
          <w:rFonts w:asciiTheme="minorHAnsi" w:eastAsiaTheme="minorEastAsia" w:hAnsiTheme="minorHAnsi" w:cstheme="minorBidi"/>
          <w:sz w:val="22"/>
          <w:szCs w:val="22"/>
          <w:lang w:val="pl-PL" w:eastAsia="pl-PL"/>
        </w:rPr>
      </w:pPr>
      <w:hyperlink w:anchor="_Toc125446424" w:history="1">
        <w:r w:rsidRPr="000913D1">
          <w:rPr>
            <w:rStyle w:val="Hipercze"/>
          </w:rPr>
          <w:t>9.5.1</w:t>
        </w:r>
        <w:r>
          <w:rPr>
            <w:rFonts w:asciiTheme="minorHAnsi" w:eastAsiaTheme="minorEastAsia" w:hAnsiTheme="minorHAnsi" w:cstheme="minorBidi"/>
            <w:sz w:val="22"/>
            <w:szCs w:val="22"/>
            <w:lang w:val="pl-PL" w:eastAsia="pl-PL"/>
          </w:rPr>
          <w:tab/>
        </w:r>
        <w:r w:rsidRPr="000913D1">
          <w:rPr>
            <w:rStyle w:val="Hipercze"/>
          </w:rPr>
          <w:t>Toxicity data</w:t>
        </w:r>
        <w:r>
          <w:rPr>
            <w:webHidden/>
          </w:rPr>
          <w:tab/>
        </w:r>
        <w:r>
          <w:rPr>
            <w:webHidden/>
          </w:rPr>
          <w:fldChar w:fldCharType="begin"/>
        </w:r>
        <w:r>
          <w:rPr>
            <w:webHidden/>
          </w:rPr>
          <w:instrText xml:space="preserve"> PAGEREF _Toc125446424 \h </w:instrText>
        </w:r>
        <w:r>
          <w:rPr>
            <w:webHidden/>
          </w:rPr>
        </w:r>
        <w:r>
          <w:rPr>
            <w:webHidden/>
          </w:rPr>
          <w:fldChar w:fldCharType="separate"/>
        </w:r>
        <w:r>
          <w:rPr>
            <w:webHidden/>
          </w:rPr>
          <w:t>50</w:t>
        </w:r>
        <w:r>
          <w:rPr>
            <w:webHidden/>
          </w:rPr>
          <w:fldChar w:fldCharType="end"/>
        </w:r>
      </w:hyperlink>
    </w:p>
    <w:p w14:paraId="0BD76C4C" w14:textId="4D960C68" w:rsidR="00952056" w:rsidRDefault="00952056">
      <w:pPr>
        <w:pStyle w:val="Spistreci4"/>
        <w:rPr>
          <w:rFonts w:asciiTheme="minorHAnsi" w:eastAsiaTheme="minorEastAsia" w:hAnsiTheme="minorHAnsi" w:cstheme="minorBidi"/>
          <w:sz w:val="22"/>
          <w:szCs w:val="22"/>
          <w:lang w:val="pl-PL" w:eastAsia="pl-PL"/>
        </w:rPr>
      </w:pPr>
      <w:hyperlink w:anchor="_Toc125446425" w:history="1">
        <w:r w:rsidRPr="000913D1">
          <w:rPr>
            <w:rStyle w:val="Hipercze"/>
            <w:lang w:val="en-GB"/>
          </w:rPr>
          <w:t>9.5.1.1</w:t>
        </w:r>
        <w:r>
          <w:rPr>
            <w:rFonts w:asciiTheme="minorHAnsi" w:eastAsiaTheme="minorEastAsia" w:hAnsiTheme="minorHAnsi" w:cstheme="minorBidi"/>
            <w:sz w:val="22"/>
            <w:szCs w:val="22"/>
            <w:lang w:val="pl-PL" w:eastAsia="pl-PL"/>
          </w:rPr>
          <w:tab/>
        </w:r>
        <w:r w:rsidRPr="000913D1">
          <w:rPr>
            <w:rStyle w:val="Hipercze"/>
            <w:lang w:val="en-GB"/>
          </w:rPr>
          <w:t>Justification for new endpoints</w:t>
        </w:r>
        <w:r>
          <w:rPr>
            <w:webHidden/>
          </w:rPr>
          <w:tab/>
        </w:r>
        <w:r>
          <w:rPr>
            <w:webHidden/>
          </w:rPr>
          <w:fldChar w:fldCharType="begin"/>
        </w:r>
        <w:r>
          <w:rPr>
            <w:webHidden/>
          </w:rPr>
          <w:instrText xml:space="preserve"> PAGEREF _Toc125446425 \h </w:instrText>
        </w:r>
        <w:r>
          <w:rPr>
            <w:webHidden/>
          </w:rPr>
        </w:r>
        <w:r>
          <w:rPr>
            <w:webHidden/>
          </w:rPr>
          <w:fldChar w:fldCharType="separate"/>
        </w:r>
        <w:r>
          <w:rPr>
            <w:webHidden/>
          </w:rPr>
          <w:t>57</w:t>
        </w:r>
        <w:r>
          <w:rPr>
            <w:webHidden/>
          </w:rPr>
          <w:fldChar w:fldCharType="end"/>
        </w:r>
      </w:hyperlink>
    </w:p>
    <w:p w14:paraId="626251F6" w14:textId="0DA11B54" w:rsidR="00952056" w:rsidRDefault="00952056">
      <w:pPr>
        <w:pStyle w:val="Spistreci3"/>
        <w:rPr>
          <w:rFonts w:asciiTheme="minorHAnsi" w:eastAsiaTheme="minorEastAsia" w:hAnsiTheme="minorHAnsi" w:cstheme="minorBidi"/>
          <w:sz w:val="22"/>
          <w:szCs w:val="22"/>
          <w:lang w:val="pl-PL" w:eastAsia="pl-PL"/>
        </w:rPr>
      </w:pPr>
      <w:hyperlink w:anchor="_Toc125446426" w:history="1">
        <w:r w:rsidRPr="000913D1">
          <w:rPr>
            <w:rStyle w:val="Hipercze"/>
          </w:rPr>
          <w:t>9.5.2</w:t>
        </w:r>
        <w:r>
          <w:rPr>
            <w:rFonts w:asciiTheme="minorHAnsi" w:eastAsiaTheme="minorEastAsia" w:hAnsiTheme="minorHAnsi" w:cstheme="minorBidi"/>
            <w:sz w:val="22"/>
            <w:szCs w:val="22"/>
            <w:lang w:val="pl-PL" w:eastAsia="pl-PL"/>
          </w:rPr>
          <w:tab/>
        </w:r>
        <w:r w:rsidRPr="000913D1">
          <w:rPr>
            <w:rStyle w:val="Hipercze"/>
          </w:rPr>
          <w:t>Risk assessment</w:t>
        </w:r>
        <w:r>
          <w:rPr>
            <w:webHidden/>
          </w:rPr>
          <w:tab/>
        </w:r>
        <w:r>
          <w:rPr>
            <w:webHidden/>
          </w:rPr>
          <w:fldChar w:fldCharType="begin"/>
        </w:r>
        <w:r>
          <w:rPr>
            <w:webHidden/>
          </w:rPr>
          <w:instrText xml:space="preserve"> PAGEREF _Toc125446426 \h </w:instrText>
        </w:r>
        <w:r>
          <w:rPr>
            <w:webHidden/>
          </w:rPr>
        </w:r>
        <w:r>
          <w:rPr>
            <w:webHidden/>
          </w:rPr>
          <w:fldChar w:fldCharType="separate"/>
        </w:r>
        <w:r>
          <w:rPr>
            <w:webHidden/>
          </w:rPr>
          <w:t>59</w:t>
        </w:r>
        <w:r>
          <w:rPr>
            <w:webHidden/>
          </w:rPr>
          <w:fldChar w:fldCharType="end"/>
        </w:r>
      </w:hyperlink>
    </w:p>
    <w:p w14:paraId="70EF269A" w14:textId="2D140F78" w:rsidR="00952056" w:rsidRDefault="00952056">
      <w:pPr>
        <w:pStyle w:val="Spistreci3"/>
        <w:rPr>
          <w:rFonts w:asciiTheme="minorHAnsi" w:eastAsiaTheme="minorEastAsia" w:hAnsiTheme="minorHAnsi" w:cstheme="minorBidi"/>
          <w:sz w:val="22"/>
          <w:szCs w:val="22"/>
          <w:lang w:val="pl-PL" w:eastAsia="pl-PL"/>
        </w:rPr>
      </w:pPr>
      <w:hyperlink w:anchor="_Toc125446427" w:history="1">
        <w:r w:rsidRPr="000913D1">
          <w:rPr>
            <w:rStyle w:val="Hipercze"/>
          </w:rPr>
          <w:t>9.5.3</w:t>
        </w:r>
        <w:r>
          <w:rPr>
            <w:rFonts w:asciiTheme="minorHAnsi" w:eastAsiaTheme="minorEastAsia" w:hAnsiTheme="minorHAnsi" w:cstheme="minorBidi"/>
            <w:sz w:val="22"/>
            <w:szCs w:val="22"/>
            <w:lang w:val="pl-PL" w:eastAsia="pl-PL"/>
          </w:rPr>
          <w:tab/>
        </w:r>
        <w:r w:rsidRPr="000913D1">
          <w:rPr>
            <w:rStyle w:val="Hipercze"/>
          </w:rPr>
          <w:t>Overall conclusions</w:t>
        </w:r>
        <w:r>
          <w:rPr>
            <w:webHidden/>
          </w:rPr>
          <w:tab/>
        </w:r>
        <w:r>
          <w:rPr>
            <w:webHidden/>
          </w:rPr>
          <w:fldChar w:fldCharType="begin"/>
        </w:r>
        <w:r>
          <w:rPr>
            <w:webHidden/>
          </w:rPr>
          <w:instrText xml:space="preserve"> PAGEREF _Toc125446427 \h </w:instrText>
        </w:r>
        <w:r>
          <w:rPr>
            <w:webHidden/>
          </w:rPr>
        </w:r>
        <w:r>
          <w:rPr>
            <w:webHidden/>
          </w:rPr>
          <w:fldChar w:fldCharType="separate"/>
        </w:r>
        <w:r>
          <w:rPr>
            <w:webHidden/>
          </w:rPr>
          <w:t>80</w:t>
        </w:r>
        <w:r>
          <w:rPr>
            <w:webHidden/>
          </w:rPr>
          <w:fldChar w:fldCharType="end"/>
        </w:r>
      </w:hyperlink>
    </w:p>
    <w:p w14:paraId="21A8D2CA" w14:textId="18911EE2" w:rsidR="00952056" w:rsidRDefault="00952056">
      <w:pPr>
        <w:pStyle w:val="Spistreci2"/>
        <w:rPr>
          <w:rFonts w:asciiTheme="minorHAnsi" w:eastAsiaTheme="minorEastAsia" w:hAnsiTheme="minorHAnsi" w:cstheme="minorBidi"/>
          <w:sz w:val="22"/>
          <w:lang w:val="pl-PL" w:eastAsia="pl-PL"/>
        </w:rPr>
      </w:pPr>
      <w:hyperlink w:anchor="_Toc125446428" w:history="1">
        <w:r w:rsidRPr="000913D1">
          <w:rPr>
            <w:rStyle w:val="Hipercze"/>
          </w:rPr>
          <w:t>9.6</w:t>
        </w:r>
        <w:r>
          <w:rPr>
            <w:rFonts w:asciiTheme="minorHAnsi" w:eastAsiaTheme="minorEastAsia" w:hAnsiTheme="minorHAnsi" w:cstheme="minorBidi"/>
            <w:sz w:val="22"/>
            <w:lang w:val="pl-PL" w:eastAsia="pl-PL"/>
          </w:rPr>
          <w:tab/>
        </w:r>
        <w:r w:rsidRPr="000913D1">
          <w:rPr>
            <w:rStyle w:val="Hipercze"/>
          </w:rPr>
          <w:t>Effects on bees (KCP 10.3.1)</w:t>
        </w:r>
        <w:r>
          <w:rPr>
            <w:webHidden/>
          </w:rPr>
          <w:tab/>
        </w:r>
        <w:r>
          <w:rPr>
            <w:webHidden/>
          </w:rPr>
          <w:fldChar w:fldCharType="begin"/>
        </w:r>
        <w:r>
          <w:rPr>
            <w:webHidden/>
          </w:rPr>
          <w:instrText xml:space="preserve"> PAGEREF _Toc125446428 \h </w:instrText>
        </w:r>
        <w:r>
          <w:rPr>
            <w:webHidden/>
          </w:rPr>
        </w:r>
        <w:r>
          <w:rPr>
            <w:webHidden/>
          </w:rPr>
          <w:fldChar w:fldCharType="separate"/>
        </w:r>
        <w:r>
          <w:rPr>
            <w:webHidden/>
          </w:rPr>
          <w:t>83</w:t>
        </w:r>
        <w:r>
          <w:rPr>
            <w:webHidden/>
          </w:rPr>
          <w:fldChar w:fldCharType="end"/>
        </w:r>
      </w:hyperlink>
    </w:p>
    <w:p w14:paraId="64AB5823" w14:textId="2C0D273A" w:rsidR="00952056" w:rsidRDefault="00952056">
      <w:pPr>
        <w:pStyle w:val="Spistreci3"/>
        <w:rPr>
          <w:rFonts w:asciiTheme="minorHAnsi" w:eastAsiaTheme="minorEastAsia" w:hAnsiTheme="minorHAnsi" w:cstheme="minorBidi"/>
          <w:sz w:val="22"/>
          <w:szCs w:val="22"/>
          <w:lang w:val="pl-PL" w:eastAsia="pl-PL"/>
        </w:rPr>
      </w:pPr>
      <w:hyperlink w:anchor="_Toc125446429" w:history="1">
        <w:r w:rsidRPr="000913D1">
          <w:rPr>
            <w:rStyle w:val="Hipercze"/>
          </w:rPr>
          <w:t>9.6.1</w:t>
        </w:r>
        <w:r>
          <w:rPr>
            <w:rFonts w:asciiTheme="minorHAnsi" w:eastAsiaTheme="minorEastAsia" w:hAnsiTheme="minorHAnsi" w:cstheme="minorBidi"/>
            <w:sz w:val="22"/>
            <w:szCs w:val="22"/>
            <w:lang w:val="pl-PL" w:eastAsia="pl-PL"/>
          </w:rPr>
          <w:tab/>
        </w:r>
        <w:r w:rsidRPr="000913D1">
          <w:rPr>
            <w:rStyle w:val="Hipercze"/>
          </w:rPr>
          <w:t>Toxicity data</w:t>
        </w:r>
        <w:r>
          <w:rPr>
            <w:webHidden/>
          </w:rPr>
          <w:tab/>
        </w:r>
        <w:r>
          <w:rPr>
            <w:webHidden/>
          </w:rPr>
          <w:fldChar w:fldCharType="begin"/>
        </w:r>
        <w:r>
          <w:rPr>
            <w:webHidden/>
          </w:rPr>
          <w:instrText xml:space="preserve"> PAGEREF _Toc125446429 \h </w:instrText>
        </w:r>
        <w:r>
          <w:rPr>
            <w:webHidden/>
          </w:rPr>
        </w:r>
        <w:r>
          <w:rPr>
            <w:webHidden/>
          </w:rPr>
          <w:fldChar w:fldCharType="separate"/>
        </w:r>
        <w:r>
          <w:rPr>
            <w:webHidden/>
          </w:rPr>
          <w:t>83</w:t>
        </w:r>
        <w:r>
          <w:rPr>
            <w:webHidden/>
          </w:rPr>
          <w:fldChar w:fldCharType="end"/>
        </w:r>
      </w:hyperlink>
    </w:p>
    <w:p w14:paraId="1C611EDE" w14:textId="4101F877" w:rsidR="00952056" w:rsidRDefault="00952056">
      <w:pPr>
        <w:pStyle w:val="Spistreci3"/>
        <w:rPr>
          <w:rFonts w:asciiTheme="minorHAnsi" w:eastAsiaTheme="minorEastAsia" w:hAnsiTheme="minorHAnsi" w:cstheme="minorBidi"/>
          <w:sz w:val="22"/>
          <w:szCs w:val="22"/>
          <w:lang w:val="pl-PL" w:eastAsia="pl-PL"/>
        </w:rPr>
      </w:pPr>
      <w:hyperlink w:anchor="_Toc125446430" w:history="1">
        <w:r w:rsidRPr="000913D1">
          <w:rPr>
            <w:rStyle w:val="Hipercze"/>
          </w:rPr>
          <w:t>9.6.2</w:t>
        </w:r>
        <w:r>
          <w:rPr>
            <w:rFonts w:asciiTheme="minorHAnsi" w:eastAsiaTheme="minorEastAsia" w:hAnsiTheme="minorHAnsi" w:cstheme="minorBidi"/>
            <w:sz w:val="22"/>
            <w:szCs w:val="22"/>
            <w:lang w:val="pl-PL" w:eastAsia="pl-PL"/>
          </w:rPr>
          <w:tab/>
        </w:r>
        <w:r w:rsidRPr="000913D1">
          <w:rPr>
            <w:rStyle w:val="Hipercze"/>
          </w:rPr>
          <w:t>Risk assessment</w:t>
        </w:r>
        <w:r>
          <w:rPr>
            <w:webHidden/>
          </w:rPr>
          <w:tab/>
        </w:r>
        <w:r>
          <w:rPr>
            <w:webHidden/>
          </w:rPr>
          <w:fldChar w:fldCharType="begin"/>
        </w:r>
        <w:r>
          <w:rPr>
            <w:webHidden/>
          </w:rPr>
          <w:instrText xml:space="preserve"> PAGEREF _Toc125446430 \h </w:instrText>
        </w:r>
        <w:r>
          <w:rPr>
            <w:webHidden/>
          </w:rPr>
        </w:r>
        <w:r>
          <w:rPr>
            <w:webHidden/>
          </w:rPr>
          <w:fldChar w:fldCharType="separate"/>
        </w:r>
        <w:r>
          <w:rPr>
            <w:webHidden/>
          </w:rPr>
          <w:t>85</w:t>
        </w:r>
        <w:r>
          <w:rPr>
            <w:webHidden/>
          </w:rPr>
          <w:fldChar w:fldCharType="end"/>
        </w:r>
      </w:hyperlink>
    </w:p>
    <w:p w14:paraId="54E9F08E" w14:textId="30207440" w:rsidR="00952056" w:rsidRDefault="00952056">
      <w:pPr>
        <w:pStyle w:val="Spistreci4"/>
        <w:rPr>
          <w:rFonts w:asciiTheme="minorHAnsi" w:eastAsiaTheme="minorEastAsia" w:hAnsiTheme="minorHAnsi" w:cstheme="minorBidi"/>
          <w:sz w:val="22"/>
          <w:szCs w:val="22"/>
          <w:lang w:val="pl-PL" w:eastAsia="pl-PL"/>
        </w:rPr>
      </w:pPr>
      <w:hyperlink w:anchor="_Toc125446431" w:history="1">
        <w:r w:rsidRPr="000913D1">
          <w:rPr>
            <w:rStyle w:val="Hipercze"/>
          </w:rPr>
          <w:t>9.6.2.1</w:t>
        </w:r>
        <w:r>
          <w:rPr>
            <w:rFonts w:asciiTheme="minorHAnsi" w:eastAsiaTheme="minorEastAsia" w:hAnsiTheme="minorHAnsi" w:cstheme="minorBidi"/>
            <w:sz w:val="22"/>
            <w:szCs w:val="22"/>
            <w:lang w:val="pl-PL" w:eastAsia="pl-PL"/>
          </w:rPr>
          <w:tab/>
        </w:r>
        <w:r w:rsidRPr="000913D1">
          <w:rPr>
            <w:rStyle w:val="Hipercze"/>
          </w:rPr>
          <w:t>Hazard quotients for bees</w:t>
        </w:r>
        <w:r>
          <w:rPr>
            <w:webHidden/>
          </w:rPr>
          <w:tab/>
        </w:r>
        <w:r>
          <w:rPr>
            <w:webHidden/>
          </w:rPr>
          <w:fldChar w:fldCharType="begin"/>
        </w:r>
        <w:r>
          <w:rPr>
            <w:webHidden/>
          </w:rPr>
          <w:instrText xml:space="preserve"> PAGEREF _Toc125446431 \h </w:instrText>
        </w:r>
        <w:r>
          <w:rPr>
            <w:webHidden/>
          </w:rPr>
        </w:r>
        <w:r>
          <w:rPr>
            <w:webHidden/>
          </w:rPr>
          <w:fldChar w:fldCharType="separate"/>
        </w:r>
        <w:r>
          <w:rPr>
            <w:webHidden/>
          </w:rPr>
          <w:t>85</w:t>
        </w:r>
        <w:r>
          <w:rPr>
            <w:webHidden/>
          </w:rPr>
          <w:fldChar w:fldCharType="end"/>
        </w:r>
      </w:hyperlink>
    </w:p>
    <w:p w14:paraId="2DBE637C" w14:textId="23C07B0D" w:rsidR="00952056" w:rsidRDefault="00952056">
      <w:pPr>
        <w:pStyle w:val="Spistreci4"/>
        <w:rPr>
          <w:rFonts w:asciiTheme="minorHAnsi" w:eastAsiaTheme="minorEastAsia" w:hAnsiTheme="minorHAnsi" w:cstheme="minorBidi"/>
          <w:sz w:val="22"/>
          <w:szCs w:val="22"/>
          <w:lang w:val="pl-PL" w:eastAsia="pl-PL"/>
        </w:rPr>
      </w:pPr>
      <w:hyperlink w:anchor="_Toc125446432" w:history="1">
        <w:r w:rsidRPr="000913D1">
          <w:rPr>
            <w:rStyle w:val="Hipercze"/>
            <w:lang w:val="en-US"/>
          </w:rPr>
          <w:t>9.6.2.2</w:t>
        </w:r>
        <w:r>
          <w:rPr>
            <w:rFonts w:asciiTheme="minorHAnsi" w:eastAsiaTheme="minorEastAsia" w:hAnsiTheme="minorHAnsi" w:cstheme="minorBidi"/>
            <w:sz w:val="22"/>
            <w:szCs w:val="22"/>
            <w:lang w:val="pl-PL" w:eastAsia="pl-PL"/>
          </w:rPr>
          <w:tab/>
        </w:r>
        <w:r w:rsidRPr="000913D1">
          <w:rPr>
            <w:rStyle w:val="Hipercze"/>
            <w:lang w:val="en-US"/>
          </w:rPr>
          <w:t>Higher-tier risk assessment for bees (tunnel test, field studies)</w:t>
        </w:r>
        <w:r>
          <w:rPr>
            <w:webHidden/>
          </w:rPr>
          <w:tab/>
        </w:r>
        <w:r>
          <w:rPr>
            <w:webHidden/>
          </w:rPr>
          <w:fldChar w:fldCharType="begin"/>
        </w:r>
        <w:r>
          <w:rPr>
            <w:webHidden/>
          </w:rPr>
          <w:instrText xml:space="preserve"> PAGEREF _Toc125446432 \h </w:instrText>
        </w:r>
        <w:r>
          <w:rPr>
            <w:webHidden/>
          </w:rPr>
        </w:r>
        <w:r>
          <w:rPr>
            <w:webHidden/>
          </w:rPr>
          <w:fldChar w:fldCharType="separate"/>
        </w:r>
        <w:r>
          <w:rPr>
            <w:webHidden/>
          </w:rPr>
          <w:t>90</w:t>
        </w:r>
        <w:r>
          <w:rPr>
            <w:webHidden/>
          </w:rPr>
          <w:fldChar w:fldCharType="end"/>
        </w:r>
      </w:hyperlink>
    </w:p>
    <w:p w14:paraId="7BFB5519" w14:textId="6CBCC883" w:rsidR="00952056" w:rsidRDefault="00952056">
      <w:pPr>
        <w:pStyle w:val="Spistreci3"/>
        <w:rPr>
          <w:rFonts w:asciiTheme="minorHAnsi" w:eastAsiaTheme="minorEastAsia" w:hAnsiTheme="minorHAnsi" w:cstheme="minorBidi"/>
          <w:sz w:val="22"/>
          <w:szCs w:val="22"/>
          <w:lang w:val="pl-PL" w:eastAsia="pl-PL"/>
        </w:rPr>
      </w:pPr>
      <w:hyperlink w:anchor="_Toc125446433" w:history="1">
        <w:r w:rsidRPr="000913D1">
          <w:rPr>
            <w:rStyle w:val="Hipercze"/>
          </w:rPr>
          <w:t>9.6.3</w:t>
        </w:r>
        <w:r>
          <w:rPr>
            <w:rFonts w:asciiTheme="minorHAnsi" w:eastAsiaTheme="minorEastAsia" w:hAnsiTheme="minorHAnsi" w:cstheme="minorBidi"/>
            <w:sz w:val="22"/>
            <w:szCs w:val="22"/>
            <w:lang w:val="pl-PL" w:eastAsia="pl-PL"/>
          </w:rPr>
          <w:tab/>
        </w:r>
        <w:r w:rsidRPr="000913D1">
          <w:rPr>
            <w:rStyle w:val="Hipercze"/>
          </w:rPr>
          <w:t>Effects on bumble bees</w:t>
        </w:r>
        <w:r>
          <w:rPr>
            <w:webHidden/>
          </w:rPr>
          <w:tab/>
        </w:r>
        <w:r>
          <w:rPr>
            <w:webHidden/>
          </w:rPr>
          <w:fldChar w:fldCharType="begin"/>
        </w:r>
        <w:r>
          <w:rPr>
            <w:webHidden/>
          </w:rPr>
          <w:instrText xml:space="preserve"> PAGEREF _Toc125446433 \h </w:instrText>
        </w:r>
        <w:r>
          <w:rPr>
            <w:webHidden/>
          </w:rPr>
        </w:r>
        <w:r>
          <w:rPr>
            <w:webHidden/>
          </w:rPr>
          <w:fldChar w:fldCharType="separate"/>
        </w:r>
        <w:r>
          <w:rPr>
            <w:webHidden/>
          </w:rPr>
          <w:t>90</w:t>
        </w:r>
        <w:r>
          <w:rPr>
            <w:webHidden/>
          </w:rPr>
          <w:fldChar w:fldCharType="end"/>
        </w:r>
      </w:hyperlink>
    </w:p>
    <w:p w14:paraId="73FCA41A" w14:textId="3E88A4F6" w:rsidR="00952056" w:rsidRDefault="00952056">
      <w:pPr>
        <w:pStyle w:val="Spistreci3"/>
        <w:rPr>
          <w:rFonts w:asciiTheme="minorHAnsi" w:eastAsiaTheme="minorEastAsia" w:hAnsiTheme="minorHAnsi" w:cstheme="minorBidi"/>
          <w:sz w:val="22"/>
          <w:szCs w:val="22"/>
          <w:lang w:val="pl-PL" w:eastAsia="pl-PL"/>
        </w:rPr>
      </w:pPr>
      <w:hyperlink w:anchor="_Toc125446434" w:history="1">
        <w:r w:rsidRPr="000913D1">
          <w:rPr>
            <w:rStyle w:val="Hipercze"/>
          </w:rPr>
          <w:t>9.6.4</w:t>
        </w:r>
        <w:r>
          <w:rPr>
            <w:rFonts w:asciiTheme="minorHAnsi" w:eastAsiaTheme="minorEastAsia" w:hAnsiTheme="minorHAnsi" w:cstheme="minorBidi"/>
            <w:sz w:val="22"/>
            <w:szCs w:val="22"/>
            <w:lang w:val="pl-PL" w:eastAsia="pl-PL"/>
          </w:rPr>
          <w:tab/>
        </w:r>
        <w:r w:rsidRPr="000913D1">
          <w:rPr>
            <w:rStyle w:val="Hipercze"/>
          </w:rPr>
          <w:t>Effects on solitary bees</w:t>
        </w:r>
        <w:r>
          <w:rPr>
            <w:webHidden/>
          </w:rPr>
          <w:tab/>
        </w:r>
        <w:r>
          <w:rPr>
            <w:webHidden/>
          </w:rPr>
          <w:fldChar w:fldCharType="begin"/>
        </w:r>
        <w:r>
          <w:rPr>
            <w:webHidden/>
          </w:rPr>
          <w:instrText xml:space="preserve"> PAGEREF _Toc125446434 \h </w:instrText>
        </w:r>
        <w:r>
          <w:rPr>
            <w:webHidden/>
          </w:rPr>
        </w:r>
        <w:r>
          <w:rPr>
            <w:webHidden/>
          </w:rPr>
          <w:fldChar w:fldCharType="separate"/>
        </w:r>
        <w:r>
          <w:rPr>
            <w:webHidden/>
          </w:rPr>
          <w:t>90</w:t>
        </w:r>
        <w:r>
          <w:rPr>
            <w:webHidden/>
          </w:rPr>
          <w:fldChar w:fldCharType="end"/>
        </w:r>
      </w:hyperlink>
    </w:p>
    <w:p w14:paraId="3E307BBF" w14:textId="702609AA" w:rsidR="00952056" w:rsidRDefault="00952056">
      <w:pPr>
        <w:pStyle w:val="Spistreci3"/>
        <w:rPr>
          <w:rFonts w:asciiTheme="minorHAnsi" w:eastAsiaTheme="minorEastAsia" w:hAnsiTheme="minorHAnsi" w:cstheme="minorBidi"/>
          <w:sz w:val="22"/>
          <w:szCs w:val="22"/>
          <w:lang w:val="pl-PL" w:eastAsia="pl-PL"/>
        </w:rPr>
      </w:pPr>
      <w:hyperlink w:anchor="_Toc125446435" w:history="1">
        <w:r w:rsidRPr="000913D1">
          <w:rPr>
            <w:rStyle w:val="Hipercze"/>
          </w:rPr>
          <w:t>9.6.5</w:t>
        </w:r>
        <w:r>
          <w:rPr>
            <w:rFonts w:asciiTheme="minorHAnsi" w:eastAsiaTheme="minorEastAsia" w:hAnsiTheme="minorHAnsi" w:cstheme="minorBidi"/>
            <w:sz w:val="22"/>
            <w:szCs w:val="22"/>
            <w:lang w:val="pl-PL" w:eastAsia="pl-PL"/>
          </w:rPr>
          <w:tab/>
        </w:r>
        <w:r w:rsidRPr="000913D1">
          <w:rPr>
            <w:rStyle w:val="Hipercze"/>
          </w:rPr>
          <w:t>Overall conclusions</w:t>
        </w:r>
        <w:r>
          <w:rPr>
            <w:webHidden/>
          </w:rPr>
          <w:tab/>
        </w:r>
        <w:r>
          <w:rPr>
            <w:webHidden/>
          </w:rPr>
          <w:fldChar w:fldCharType="begin"/>
        </w:r>
        <w:r>
          <w:rPr>
            <w:webHidden/>
          </w:rPr>
          <w:instrText xml:space="preserve"> PAGEREF _Toc125446435 \h </w:instrText>
        </w:r>
        <w:r>
          <w:rPr>
            <w:webHidden/>
          </w:rPr>
        </w:r>
        <w:r>
          <w:rPr>
            <w:webHidden/>
          </w:rPr>
          <w:fldChar w:fldCharType="separate"/>
        </w:r>
        <w:r>
          <w:rPr>
            <w:webHidden/>
          </w:rPr>
          <w:t>90</w:t>
        </w:r>
        <w:r>
          <w:rPr>
            <w:webHidden/>
          </w:rPr>
          <w:fldChar w:fldCharType="end"/>
        </w:r>
      </w:hyperlink>
    </w:p>
    <w:p w14:paraId="6508236E" w14:textId="67DC18FA" w:rsidR="00952056" w:rsidRDefault="00952056">
      <w:pPr>
        <w:pStyle w:val="Spistreci2"/>
        <w:rPr>
          <w:rFonts w:asciiTheme="minorHAnsi" w:eastAsiaTheme="minorEastAsia" w:hAnsiTheme="minorHAnsi" w:cstheme="minorBidi"/>
          <w:sz w:val="22"/>
          <w:lang w:val="pl-PL" w:eastAsia="pl-PL"/>
        </w:rPr>
      </w:pPr>
      <w:hyperlink w:anchor="_Toc125446436" w:history="1">
        <w:r w:rsidRPr="000913D1">
          <w:rPr>
            <w:rStyle w:val="Hipercze"/>
          </w:rPr>
          <w:t>9.7</w:t>
        </w:r>
        <w:r>
          <w:rPr>
            <w:rFonts w:asciiTheme="minorHAnsi" w:eastAsiaTheme="minorEastAsia" w:hAnsiTheme="minorHAnsi" w:cstheme="minorBidi"/>
            <w:sz w:val="22"/>
            <w:lang w:val="pl-PL" w:eastAsia="pl-PL"/>
          </w:rPr>
          <w:tab/>
        </w:r>
        <w:r w:rsidRPr="000913D1">
          <w:rPr>
            <w:rStyle w:val="Hipercze"/>
          </w:rPr>
          <w:t>Effects on arthropods other than bees (KCP 10.3.2)</w:t>
        </w:r>
        <w:r>
          <w:rPr>
            <w:webHidden/>
          </w:rPr>
          <w:tab/>
        </w:r>
        <w:r>
          <w:rPr>
            <w:webHidden/>
          </w:rPr>
          <w:fldChar w:fldCharType="begin"/>
        </w:r>
        <w:r>
          <w:rPr>
            <w:webHidden/>
          </w:rPr>
          <w:instrText xml:space="preserve"> PAGEREF _Toc125446436 \h </w:instrText>
        </w:r>
        <w:r>
          <w:rPr>
            <w:webHidden/>
          </w:rPr>
        </w:r>
        <w:r>
          <w:rPr>
            <w:webHidden/>
          </w:rPr>
          <w:fldChar w:fldCharType="separate"/>
        </w:r>
        <w:r>
          <w:rPr>
            <w:webHidden/>
          </w:rPr>
          <w:t>92</w:t>
        </w:r>
        <w:r>
          <w:rPr>
            <w:webHidden/>
          </w:rPr>
          <w:fldChar w:fldCharType="end"/>
        </w:r>
      </w:hyperlink>
    </w:p>
    <w:p w14:paraId="04441306" w14:textId="23C6CBD3" w:rsidR="00952056" w:rsidRDefault="00952056">
      <w:pPr>
        <w:pStyle w:val="Spistreci3"/>
        <w:rPr>
          <w:rFonts w:asciiTheme="minorHAnsi" w:eastAsiaTheme="minorEastAsia" w:hAnsiTheme="minorHAnsi" w:cstheme="minorBidi"/>
          <w:sz w:val="22"/>
          <w:szCs w:val="22"/>
          <w:lang w:val="pl-PL" w:eastAsia="pl-PL"/>
        </w:rPr>
      </w:pPr>
      <w:hyperlink w:anchor="_Toc125446437" w:history="1">
        <w:r w:rsidRPr="000913D1">
          <w:rPr>
            <w:rStyle w:val="Hipercze"/>
          </w:rPr>
          <w:t>9.7.1</w:t>
        </w:r>
        <w:r>
          <w:rPr>
            <w:rFonts w:asciiTheme="minorHAnsi" w:eastAsiaTheme="minorEastAsia" w:hAnsiTheme="minorHAnsi" w:cstheme="minorBidi"/>
            <w:sz w:val="22"/>
            <w:szCs w:val="22"/>
            <w:lang w:val="pl-PL" w:eastAsia="pl-PL"/>
          </w:rPr>
          <w:tab/>
        </w:r>
        <w:r w:rsidRPr="000913D1">
          <w:rPr>
            <w:rStyle w:val="Hipercze"/>
          </w:rPr>
          <w:t>Toxicity data</w:t>
        </w:r>
        <w:r>
          <w:rPr>
            <w:webHidden/>
          </w:rPr>
          <w:tab/>
        </w:r>
        <w:r>
          <w:rPr>
            <w:webHidden/>
          </w:rPr>
          <w:fldChar w:fldCharType="begin"/>
        </w:r>
        <w:r>
          <w:rPr>
            <w:webHidden/>
          </w:rPr>
          <w:instrText xml:space="preserve"> PAGEREF _Toc125446437 \h </w:instrText>
        </w:r>
        <w:r>
          <w:rPr>
            <w:webHidden/>
          </w:rPr>
        </w:r>
        <w:r>
          <w:rPr>
            <w:webHidden/>
          </w:rPr>
          <w:fldChar w:fldCharType="separate"/>
        </w:r>
        <w:r>
          <w:rPr>
            <w:webHidden/>
          </w:rPr>
          <w:t>92</w:t>
        </w:r>
        <w:r>
          <w:rPr>
            <w:webHidden/>
          </w:rPr>
          <w:fldChar w:fldCharType="end"/>
        </w:r>
      </w:hyperlink>
    </w:p>
    <w:p w14:paraId="429A7B69" w14:textId="1E12203B" w:rsidR="00952056" w:rsidRDefault="00952056">
      <w:pPr>
        <w:pStyle w:val="Spistreci4"/>
        <w:rPr>
          <w:rFonts w:asciiTheme="minorHAnsi" w:eastAsiaTheme="minorEastAsia" w:hAnsiTheme="minorHAnsi" w:cstheme="minorBidi"/>
          <w:sz w:val="22"/>
          <w:szCs w:val="22"/>
          <w:lang w:val="pl-PL" w:eastAsia="pl-PL"/>
        </w:rPr>
      </w:pPr>
      <w:hyperlink w:anchor="_Toc125446438" w:history="1">
        <w:r w:rsidRPr="000913D1">
          <w:rPr>
            <w:rStyle w:val="Hipercze"/>
          </w:rPr>
          <w:t>9.7.1.1</w:t>
        </w:r>
        <w:r>
          <w:rPr>
            <w:rFonts w:asciiTheme="minorHAnsi" w:eastAsiaTheme="minorEastAsia" w:hAnsiTheme="minorHAnsi" w:cstheme="minorBidi"/>
            <w:sz w:val="22"/>
            <w:szCs w:val="22"/>
            <w:lang w:val="pl-PL" w:eastAsia="pl-PL"/>
          </w:rPr>
          <w:tab/>
        </w:r>
        <w:r w:rsidRPr="000913D1">
          <w:rPr>
            <w:rStyle w:val="Hipercze"/>
          </w:rPr>
          <w:t>Justification for new endpoints</w:t>
        </w:r>
        <w:r>
          <w:rPr>
            <w:webHidden/>
          </w:rPr>
          <w:tab/>
        </w:r>
        <w:r>
          <w:rPr>
            <w:webHidden/>
          </w:rPr>
          <w:fldChar w:fldCharType="begin"/>
        </w:r>
        <w:r>
          <w:rPr>
            <w:webHidden/>
          </w:rPr>
          <w:instrText xml:space="preserve"> PAGEREF _Toc125446438 \h </w:instrText>
        </w:r>
        <w:r>
          <w:rPr>
            <w:webHidden/>
          </w:rPr>
        </w:r>
        <w:r>
          <w:rPr>
            <w:webHidden/>
          </w:rPr>
          <w:fldChar w:fldCharType="separate"/>
        </w:r>
        <w:r>
          <w:rPr>
            <w:webHidden/>
          </w:rPr>
          <w:t>93</w:t>
        </w:r>
        <w:r>
          <w:rPr>
            <w:webHidden/>
          </w:rPr>
          <w:fldChar w:fldCharType="end"/>
        </w:r>
      </w:hyperlink>
    </w:p>
    <w:p w14:paraId="3B7D47C2" w14:textId="6A952EF7" w:rsidR="00952056" w:rsidRDefault="00952056">
      <w:pPr>
        <w:pStyle w:val="Spistreci3"/>
        <w:rPr>
          <w:rFonts w:asciiTheme="minorHAnsi" w:eastAsiaTheme="minorEastAsia" w:hAnsiTheme="minorHAnsi" w:cstheme="minorBidi"/>
          <w:sz w:val="22"/>
          <w:szCs w:val="22"/>
          <w:lang w:val="pl-PL" w:eastAsia="pl-PL"/>
        </w:rPr>
      </w:pPr>
      <w:hyperlink w:anchor="_Toc125446439" w:history="1">
        <w:r w:rsidRPr="000913D1">
          <w:rPr>
            <w:rStyle w:val="Hipercze"/>
          </w:rPr>
          <w:t>9.7.2</w:t>
        </w:r>
        <w:r>
          <w:rPr>
            <w:rFonts w:asciiTheme="minorHAnsi" w:eastAsiaTheme="minorEastAsia" w:hAnsiTheme="minorHAnsi" w:cstheme="minorBidi"/>
            <w:sz w:val="22"/>
            <w:szCs w:val="22"/>
            <w:lang w:val="pl-PL" w:eastAsia="pl-PL"/>
          </w:rPr>
          <w:tab/>
        </w:r>
        <w:r w:rsidRPr="000913D1">
          <w:rPr>
            <w:rStyle w:val="Hipercze"/>
          </w:rPr>
          <w:t>Risk assessment</w:t>
        </w:r>
        <w:r>
          <w:rPr>
            <w:webHidden/>
          </w:rPr>
          <w:tab/>
        </w:r>
        <w:r>
          <w:rPr>
            <w:webHidden/>
          </w:rPr>
          <w:fldChar w:fldCharType="begin"/>
        </w:r>
        <w:r>
          <w:rPr>
            <w:webHidden/>
          </w:rPr>
          <w:instrText xml:space="preserve"> PAGEREF _Toc125446439 \h </w:instrText>
        </w:r>
        <w:r>
          <w:rPr>
            <w:webHidden/>
          </w:rPr>
        </w:r>
        <w:r>
          <w:rPr>
            <w:webHidden/>
          </w:rPr>
          <w:fldChar w:fldCharType="separate"/>
        </w:r>
        <w:r>
          <w:rPr>
            <w:webHidden/>
          </w:rPr>
          <w:t>93</w:t>
        </w:r>
        <w:r>
          <w:rPr>
            <w:webHidden/>
          </w:rPr>
          <w:fldChar w:fldCharType="end"/>
        </w:r>
      </w:hyperlink>
    </w:p>
    <w:p w14:paraId="5036A46F" w14:textId="5481242B" w:rsidR="00952056" w:rsidRDefault="00952056">
      <w:pPr>
        <w:pStyle w:val="Spistreci4"/>
        <w:rPr>
          <w:rFonts w:asciiTheme="minorHAnsi" w:eastAsiaTheme="minorEastAsia" w:hAnsiTheme="minorHAnsi" w:cstheme="minorBidi"/>
          <w:sz w:val="22"/>
          <w:szCs w:val="22"/>
          <w:lang w:val="pl-PL" w:eastAsia="pl-PL"/>
        </w:rPr>
      </w:pPr>
      <w:hyperlink w:anchor="_Toc125446440" w:history="1">
        <w:r w:rsidRPr="000913D1">
          <w:rPr>
            <w:rStyle w:val="Hipercze"/>
            <w:lang w:val="en-US"/>
          </w:rPr>
          <w:t>9.7.2.1</w:t>
        </w:r>
        <w:r>
          <w:rPr>
            <w:rFonts w:asciiTheme="minorHAnsi" w:eastAsiaTheme="minorEastAsia" w:hAnsiTheme="minorHAnsi" w:cstheme="minorBidi"/>
            <w:sz w:val="22"/>
            <w:szCs w:val="22"/>
            <w:lang w:val="pl-PL" w:eastAsia="pl-PL"/>
          </w:rPr>
          <w:tab/>
        </w:r>
        <w:r w:rsidRPr="000913D1">
          <w:rPr>
            <w:rStyle w:val="Hipercze"/>
            <w:lang w:val="en-US"/>
          </w:rPr>
          <w:t>Risk assessment for in-field exposure</w:t>
        </w:r>
        <w:r>
          <w:rPr>
            <w:webHidden/>
          </w:rPr>
          <w:tab/>
        </w:r>
        <w:r>
          <w:rPr>
            <w:webHidden/>
          </w:rPr>
          <w:fldChar w:fldCharType="begin"/>
        </w:r>
        <w:r>
          <w:rPr>
            <w:webHidden/>
          </w:rPr>
          <w:instrText xml:space="preserve"> PAGEREF _Toc125446440 \h </w:instrText>
        </w:r>
        <w:r>
          <w:rPr>
            <w:webHidden/>
          </w:rPr>
        </w:r>
        <w:r>
          <w:rPr>
            <w:webHidden/>
          </w:rPr>
          <w:fldChar w:fldCharType="separate"/>
        </w:r>
        <w:r>
          <w:rPr>
            <w:webHidden/>
          </w:rPr>
          <w:t>93</w:t>
        </w:r>
        <w:r>
          <w:rPr>
            <w:webHidden/>
          </w:rPr>
          <w:fldChar w:fldCharType="end"/>
        </w:r>
      </w:hyperlink>
    </w:p>
    <w:p w14:paraId="5B4F10B0" w14:textId="72B767D7" w:rsidR="00952056" w:rsidRDefault="00952056">
      <w:pPr>
        <w:pStyle w:val="Spistreci4"/>
        <w:rPr>
          <w:rFonts w:asciiTheme="minorHAnsi" w:eastAsiaTheme="minorEastAsia" w:hAnsiTheme="minorHAnsi" w:cstheme="minorBidi"/>
          <w:sz w:val="22"/>
          <w:szCs w:val="22"/>
          <w:lang w:val="pl-PL" w:eastAsia="pl-PL"/>
        </w:rPr>
      </w:pPr>
      <w:hyperlink w:anchor="_Toc125446441" w:history="1">
        <w:r w:rsidRPr="000913D1">
          <w:rPr>
            <w:rStyle w:val="Hipercze"/>
            <w:lang w:val="en-US"/>
          </w:rPr>
          <w:t>9.7.2.2</w:t>
        </w:r>
        <w:r>
          <w:rPr>
            <w:rFonts w:asciiTheme="minorHAnsi" w:eastAsiaTheme="minorEastAsia" w:hAnsiTheme="minorHAnsi" w:cstheme="minorBidi"/>
            <w:sz w:val="22"/>
            <w:szCs w:val="22"/>
            <w:lang w:val="pl-PL" w:eastAsia="pl-PL"/>
          </w:rPr>
          <w:tab/>
        </w:r>
        <w:r w:rsidRPr="000913D1">
          <w:rPr>
            <w:rStyle w:val="Hipercze"/>
            <w:lang w:val="en-US"/>
          </w:rPr>
          <w:t>Risk assessment for off-field exposure</w:t>
        </w:r>
        <w:r>
          <w:rPr>
            <w:webHidden/>
          </w:rPr>
          <w:tab/>
        </w:r>
        <w:r>
          <w:rPr>
            <w:webHidden/>
          </w:rPr>
          <w:fldChar w:fldCharType="begin"/>
        </w:r>
        <w:r>
          <w:rPr>
            <w:webHidden/>
          </w:rPr>
          <w:instrText xml:space="preserve"> PAGEREF _Toc125446441 \h </w:instrText>
        </w:r>
        <w:r>
          <w:rPr>
            <w:webHidden/>
          </w:rPr>
        </w:r>
        <w:r>
          <w:rPr>
            <w:webHidden/>
          </w:rPr>
          <w:fldChar w:fldCharType="separate"/>
        </w:r>
        <w:r>
          <w:rPr>
            <w:webHidden/>
          </w:rPr>
          <w:t>95</w:t>
        </w:r>
        <w:r>
          <w:rPr>
            <w:webHidden/>
          </w:rPr>
          <w:fldChar w:fldCharType="end"/>
        </w:r>
      </w:hyperlink>
    </w:p>
    <w:p w14:paraId="03400C07" w14:textId="200F09D9" w:rsidR="00952056" w:rsidRDefault="00952056">
      <w:pPr>
        <w:pStyle w:val="Spistreci4"/>
        <w:rPr>
          <w:rFonts w:asciiTheme="minorHAnsi" w:eastAsiaTheme="minorEastAsia" w:hAnsiTheme="minorHAnsi" w:cstheme="minorBidi"/>
          <w:sz w:val="22"/>
          <w:szCs w:val="22"/>
          <w:lang w:val="pl-PL" w:eastAsia="pl-PL"/>
        </w:rPr>
      </w:pPr>
      <w:hyperlink w:anchor="_Toc125446442" w:history="1">
        <w:r w:rsidRPr="000913D1">
          <w:rPr>
            <w:rStyle w:val="Hipercze"/>
          </w:rPr>
          <w:t>9.7.2.3</w:t>
        </w:r>
        <w:r>
          <w:rPr>
            <w:rFonts w:asciiTheme="minorHAnsi" w:eastAsiaTheme="minorEastAsia" w:hAnsiTheme="minorHAnsi" w:cstheme="minorBidi"/>
            <w:sz w:val="22"/>
            <w:szCs w:val="22"/>
            <w:lang w:val="pl-PL" w:eastAsia="pl-PL"/>
          </w:rPr>
          <w:tab/>
        </w:r>
        <w:r w:rsidRPr="000913D1">
          <w:rPr>
            <w:rStyle w:val="Hipercze"/>
          </w:rPr>
          <w:t>Additional higher-tier risk assessment</w:t>
        </w:r>
        <w:r>
          <w:rPr>
            <w:webHidden/>
          </w:rPr>
          <w:tab/>
        </w:r>
        <w:r>
          <w:rPr>
            <w:webHidden/>
          </w:rPr>
          <w:fldChar w:fldCharType="begin"/>
        </w:r>
        <w:r>
          <w:rPr>
            <w:webHidden/>
          </w:rPr>
          <w:instrText xml:space="preserve"> PAGEREF _Toc125446442 \h </w:instrText>
        </w:r>
        <w:r>
          <w:rPr>
            <w:webHidden/>
          </w:rPr>
        </w:r>
        <w:r>
          <w:rPr>
            <w:webHidden/>
          </w:rPr>
          <w:fldChar w:fldCharType="separate"/>
        </w:r>
        <w:r>
          <w:rPr>
            <w:webHidden/>
          </w:rPr>
          <w:t>96</w:t>
        </w:r>
        <w:r>
          <w:rPr>
            <w:webHidden/>
          </w:rPr>
          <w:fldChar w:fldCharType="end"/>
        </w:r>
      </w:hyperlink>
    </w:p>
    <w:p w14:paraId="4B1A2516" w14:textId="182DE5EF" w:rsidR="00952056" w:rsidRDefault="00952056">
      <w:pPr>
        <w:pStyle w:val="Spistreci4"/>
        <w:rPr>
          <w:rFonts w:asciiTheme="minorHAnsi" w:eastAsiaTheme="minorEastAsia" w:hAnsiTheme="minorHAnsi" w:cstheme="minorBidi"/>
          <w:sz w:val="22"/>
          <w:szCs w:val="22"/>
          <w:lang w:val="pl-PL" w:eastAsia="pl-PL"/>
        </w:rPr>
      </w:pPr>
      <w:hyperlink w:anchor="_Toc125446443" w:history="1">
        <w:r w:rsidRPr="000913D1">
          <w:rPr>
            <w:rStyle w:val="Hipercze"/>
          </w:rPr>
          <w:t>9.7.2.4</w:t>
        </w:r>
        <w:r>
          <w:rPr>
            <w:rFonts w:asciiTheme="minorHAnsi" w:eastAsiaTheme="minorEastAsia" w:hAnsiTheme="minorHAnsi" w:cstheme="minorBidi"/>
            <w:sz w:val="22"/>
            <w:szCs w:val="22"/>
            <w:lang w:val="pl-PL" w:eastAsia="pl-PL"/>
          </w:rPr>
          <w:tab/>
        </w:r>
        <w:r w:rsidRPr="000913D1">
          <w:rPr>
            <w:rStyle w:val="Hipercze"/>
          </w:rPr>
          <w:t>Risk mitigation measures</w:t>
        </w:r>
        <w:r>
          <w:rPr>
            <w:webHidden/>
          </w:rPr>
          <w:tab/>
        </w:r>
        <w:r>
          <w:rPr>
            <w:webHidden/>
          </w:rPr>
          <w:fldChar w:fldCharType="begin"/>
        </w:r>
        <w:r>
          <w:rPr>
            <w:webHidden/>
          </w:rPr>
          <w:instrText xml:space="preserve"> PAGEREF _Toc125446443 \h </w:instrText>
        </w:r>
        <w:r>
          <w:rPr>
            <w:webHidden/>
          </w:rPr>
        </w:r>
        <w:r>
          <w:rPr>
            <w:webHidden/>
          </w:rPr>
          <w:fldChar w:fldCharType="separate"/>
        </w:r>
        <w:r>
          <w:rPr>
            <w:webHidden/>
          </w:rPr>
          <w:t>96</w:t>
        </w:r>
        <w:r>
          <w:rPr>
            <w:webHidden/>
          </w:rPr>
          <w:fldChar w:fldCharType="end"/>
        </w:r>
      </w:hyperlink>
    </w:p>
    <w:p w14:paraId="450D8DD8" w14:textId="0C94F853" w:rsidR="00952056" w:rsidRDefault="00952056">
      <w:pPr>
        <w:pStyle w:val="Spistreci3"/>
        <w:rPr>
          <w:rFonts w:asciiTheme="minorHAnsi" w:eastAsiaTheme="minorEastAsia" w:hAnsiTheme="minorHAnsi" w:cstheme="minorBidi"/>
          <w:sz w:val="22"/>
          <w:szCs w:val="22"/>
          <w:lang w:val="pl-PL" w:eastAsia="pl-PL"/>
        </w:rPr>
      </w:pPr>
      <w:hyperlink w:anchor="_Toc125446444" w:history="1">
        <w:r w:rsidRPr="000913D1">
          <w:rPr>
            <w:rStyle w:val="Hipercze"/>
          </w:rPr>
          <w:t>9.7.3</w:t>
        </w:r>
        <w:r>
          <w:rPr>
            <w:rFonts w:asciiTheme="minorHAnsi" w:eastAsiaTheme="minorEastAsia" w:hAnsiTheme="minorHAnsi" w:cstheme="minorBidi"/>
            <w:sz w:val="22"/>
            <w:szCs w:val="22"/>
            <w:lang w:val="pl-PL" w:eastAsia="pl-PL"/>
          </w:rPr>
          <w:tab/>
        </w:r>
        <w:r w:rsidRPr="000913D1">
          <w:rPr>
            <w:rStyle w:val="Hipercze"/>
          </w:rPr>
          <w:t>Overall conclusions</w:t>
        </w:r>
        <w:r>
          <w:rPr>
            <w:webHidden/>
          </w:rPr>
          <w:tab/>
        </w:r>
        <w:r>
          <w:rPr>
            <w:webHidden/>
          </w:rPr>
          <w:fldChar w:fldCharType="begin"/>
        </w:r>
        <w:r>
          <w:rPr>
            <w:webHidden/>
          </w:rPr>
          <w:instrText xml:space="preserve"> PAGEREF _Toc125446444 \h </w:instrText>
        </w:r>
        <w:r>
          <w:rPr>
            <w:webHidden/>
          </w:rPr>
        </w:r>
        <w:r>
          <w:rPr>
            <w:webHidden/>
          </w:rPr>
          <w:fldChar w:fldCharType="separate"/>
        </w:r>
        <w:r>
          <w:rPr>
            <w:webHidden/>
          </w:rPr>
          <w:t>96</w:t>
        </w:r>
        <w:r>
          <w:rPr>
            <w:webHidden/>
          </w:rPr>
          <w:fldChar w:fldCharType="end"/>
        </w:r>
      </w:hyperlink>
    </w:p>
    <w:p w14:paraId="34076193" w14:textId="6AD97327" w:rsidR="00952056" w:rsidRDefault="00952056">
      <w:pPr>
        <w:pStyle w:val="Spistreci2"/>
        <w:rPr>
          <w:rFonts w:asciiTheme="minorHAnsi" w:eastAsiaTheme="minorEastAsia" w:hAnsiTheme="minorHAnsi" w:cstheme="minorBidi"/>
          <w:sz w:val="22"/>
          <w:lang w:val="pl-PL" w:eastAsia="pl-PL"/>
        </w:rPr>
      </w:pPr>
      <w:hyperlink w:anchor="_Toc125446445" w:history="1">
        <w:r w:rsidRPr="000913D1">
          <w:rPr>
            <w:rStyle w:val="Hipercze"/>
          </w:rPr>
          <w:t>9.8</w:t>
        </w:r>
        <w:r>
          <w:rPr>
            <w:rFonts w:asciiTheme="minorHAnsi" w:eastAsiaTheme="minorEastAsia" w:hAnsiTheme="minorHAnsi" w:cstheme="minorBidi"/>
            <w:sz w:val="22"/>
            <w:lang w:val="pl-PL" w:eastAsia="pl-PL"/>
          </w:rPr>
          <w:tab/>
        </w:r>
        <w:r w:rsidRPr="000913D1">
          <w:rPr>
            <w:rStyle w:val="Hipercze"/>
          </w:rPr>
          <w:t>Effects on non-target soil meso- and macrofauna (KCP 10.4)</w:t>
        </w:r>
        <w:r>
          <w:rPr>
            <w:webHidden/>
          </w:rPr>
          <w:tab/>
        </w:r>
        <w:r>
          <w:rPr>
            <w:webHidden/>
          </w:rPr>
          <w:fldChar w:fldCharType="begin"/>
        </w:r>
        <w:r>
          <w:rPr>
            <w:webHidden/>
          </w:rPr>
          <w:instrText xml:space="preserve"> PAGEREF _Toc125446445 \h </w:instrText>
        </w:r>
        <w:r>
          <w:rPr>
            <w:webHidden/>
          </w:rPr>
        </w:r>
        <w:r>
          <w:rPr>
            <w:webHidden/>
          </w:rPr>
          <w:fldChar w:fldCharType="separate"/>
        </w:r>
        <w:r>
          <w:rPr>
            <w:webHidden/>
          </w:rPr>
          <w:t>98</w:t>
        </w:r>
        <w:r>
          <w:rPr>
            <w:webHidden/>
          </w:rPr>
          <w:fldChar w:fldCharType="end"/>
        </w:r>
      </w:hyperlink>
    </w:p>
    <w:p w14:paraId="1A371088" w14:textId="418393CB" w:rsidR="00952056" w:rsidRDefault="00952056">
      <w:pPr>
        <w:pStyle w:val="Spistreci3"/>
        <w:rPr>
          <w:rFonts w:asciiTheme="minorHAnsi" w:eastAsiaTheme="minorEastAsia" w:hAnsiTheme="minorHAnsi" w:cstheme="minorBidi"/>
          <w:sz w:val="22"/>
          <w:szCs w:val="22"/>
          <w:lang w:val="pl-PL" w:eastAsia="pl-PL"/>
        </w:rPr>
      </w:pPr>
      <w:hyperlink w:anchor="_Toc125446446" w:history="1">
        <w:r w:rsidRPr="000913D1">
          <w:rPr>
            <w:rStyle w:val="Hipercze"/>
          </w:rPr>
          <w:t>9.8.1</w:t>
        </w:r>
        <w:r>
          <w:rPr>
            <w:rFonts w:asciiTheme="minorHAnsi" w:eastAsiaTheme="minorEastAsia" w:hAnsiTheme="minorHAnsi" w:cstheme="minorBidi"/>
            <w:sz w:val="22"/>
            <w:szCs w:val="22"/>
            <w:lang w:val="pl-PL" w:eastAsia="pl-PL"/>
          </w:rPr>
          <w:tab/>
        </w:r>
        <w:r w:rsidRPr="000913D1">
          <w:rPr>
            <w:rStyle w:val="Hipercze"/>
          </w:rPr>
          <w:t>Toxicity data</w:t>
        </w:r>
        <w:r>
          <w:rPr>
            <w:webHidden/>
          </w:rPr>
          <w:tab/>
        </w:r>
        <w:r>
          <w:rPr>
            <w:webHidden/>
          </w:rPr>
          <w:fldChar w:fldCharType="begin"/>
        </w:r>
        <w:r>
          <w:rPr>
            <w:webHidden/>
          </w:rPr>
          <w:instrText xml:space="preserve"> PAGEREF _Toc125446446 \h </w:instrText>
        </w:r>
        <w:r>
          <w:rPr>
            <w:webHidden/>
          </w:rPr>
        </w:r>
        <w:r>
          <w:rPr>
            <w:webHidden/>
          </w:rPr>
          <w:fldChar w:fldCharType="separate"/>
        </w:r>
        <w:r>
          <w:rPr>
            <w:webHidden/>
          </w:rPr>
          <w:t>98</w:t>
        </w:r>
        <w:r>
          <w:rPr>
            <w:webHidden/>
          </w:rPr>
          <w:fldChar w:fldCharType="end"/>
        </w:r>
      </w:hyperlink>
    </w:p>
    <w:p w14:paraId="4D81F9DD" w14:textId="534C4F2A" w:rsidR="00952056" w:rsidRDefault="00952056">
      <w:pPr>
        <w:pStyle w:val="Spistreci4"/>
        <w:rPr>
          <w:rFonts w:asciiTheme="minorHAnsi" w:eastAsiaTheme="minorEastAsia" w:hAnsiTheme="minorHAnsi" w:cstheme="minorBidi"/>
          <w:sz w:val="22"/>
          <w:szCs w:val="22"/>
          <w:lang w:val="pl-PL" w:eastAsia="pl-PL"/>
        </w:rPr>
      </w:pPr>
      <w:hyperlink w:anchor="_Toc125446447" w:history="1">
        <w:r w:rsidRPr="000913D1">
          <w:rPr>
            <w:rStyle w:val="Hipercze"/>
          </w:rPr>
          <w:t>9.8.1.1</w:t>
        </w:r>
        <w:r>
          <w:rPr>
            <w:rFonts w:asciiTheme="minorHAnsi" w:eastAsiaTheme="minorEastAsia" w:hAnsiTheme="minorHAnsi" w:cstheme="minorBidi"/>
            <w:sz w:val="22"/>
            <w:szCs w:val="22"/>
            <w:lang w:val="pl-PL" w:eastAsia="pl-PL"/>
          </w:rPr>
          <w:tab/>
        </w:r>
        <w:r w:rsidRPr="000913D1">
          <w:rPr>
            <w:rStyle w:val="Hipercze"/>
          </w:rPr>
          <w:t>Justification for new endpoints</w:t>
        </w:r>
        <w:r>
          <w:rPr>
            <w:webHidden/>
          </w:rPr>
          <w:tab/>
        </w:r>
        <w:r>
          <w:rPr>
            <w:webHidden/>
          </w:rPr>
          <w:fldChar w:fldCharType="begin"/>
        </w:r>
        <w:r>
          <w:rPr>
            <w:webHidden/>
          </w:rPr>
          <w:instrText xml:space="preserve"> PAGEREF _Toc125446447 \h </w:instrText>
        </w:r>
        <w:r>
          <w:rPr>
            <w:webHidden/>
          </w:rPr>
        </w:r>
        <w:r>
          <w:rPr>
            <w:webHidden/>
          </w:rPr>
          <w:fldChar w:fldCharType="separate"/>
        </w:r>
        <w:r>
          <w:rPr>
            <w:webHidden/>
          </w:rPr>
          <w:t>101</w:t>
        </w:r>
        <w:r>
          <w:rPr>
            <w:webHidden/>
          </w:rPr>
          <w:fldChar w:fldCharType="end"/>
        </w:r>
      </w:hyperlink>
    </w:p>
    <w:p w14:paraId="0E5B5F91" w14:textId="5D3F9BFE" w:rsidR="00952056" w:rsidRDefault="00952056">
      <w:pPr>
        <w:pStyle w:val="Spistreci3"/>
        <w:rPr>
          <w:rFonts w:asciiTheme="minorHAnsi" w:eastAsiaTheme="minorEastAsia" w:hAnsiTheme="minorHAnsi" w:cstheme="minorBidi"/>
          <w:sz w:val="22"/>
          <w:szCs w:val="22"/>
          <w:lang w:val="pl-PL" w:eastAsia="pl-PL"/>
        </w:rPr>
      </w:pPr>
      <w:hyperlink w:anchor="_Toc125446448" w:history="1">
        <w:r w:rsidRPr="000913D1">
          <w:rPr>
            <w:rStyle w:val="Hipercze"/>
          </w:rPr>
          <w:t>9.8.2</w:t>
        </w:r>
        <w:r>
          <w:rPr>
            <w:rFonts w:asciiTheme="minorHAnsi" w:eastAsiaTheme="minorEastAsia" w:hAnsiTheme="minorHAnsi" w:cstheme="minorBidi"/>
            <w:sz w:val="22"/>
            <w:szCs w:val="22"/>
            <w:lang w:val="pl-PL" w:eastAsia="pl-PL"/>
          </w:rPr>
          <w:tab/>
        </w:r>
        <w:r w:rsidRPr="000913D1">
          <w:rPr>
            <w:rStyle w:val="Hipercze"/>
          </w:rPr>
          <w:t>Risk assessment</w:t>
        </w:r>
        <w:r>
          <w:rPr>
            <w:webHidden/>
          </w:rPr>
          <w:tab/>
        </w:r>
        <w:r>
          <w:rPr>
            <w:webHidden/>
          </w:rPr>
          <w:fldChar w:fldCharType="begin"/>
        </w:r>
        <w:r>
          <w:rPr>
            <w:webHidden/>
          </w:rPr>
          <w:instrText xml:space="preserve"> PAGEREF _Toc125446448 \h </w:instrText>
        </w:r>
        <w:r>
          <w:rPr>
            <w:webHidden/>
          </w:rPr>
        </w:r>
        <w:r>
          <w:rPr>
            <w:webHidden/>
          </w:rPr>
          <w:fldChar w:fldCharType="separate"/>
        </w:r>
        <w:r>
          <w:rPr>
            <w:webHidden/>
          </w:rPr>
          <w:t>102</w:t>
        </w:r>
        <w:r>
          <w:rPr>
            <w:webHidden/>
          </w:rPr>
          <w:fldChar w:fldCharType="end"/>
        </w:r>
      </w:hyperlink>
    </w:p>
    <w:p w14:paraId="626DEDB4" w14:textId="08D79130" w:rsidR="00952056" w:rsidRDefault="00952056">
      <w:pPr>
        <w:pStyle w:val="Spistreci4"/>
        <w:rPr>
          <w:rFonts w:asciiTheme="minorHAnsi" w:eastAsiaTheme="minorEastAsia" w:hAnsiTheme="minorHAnsi" w:cstheme="minorBidi"/>
          <w:sz w:val="22"/>
          <w:szCs w:val="22"/>
          <w:lang w:val="pl-PL" w:eastAsia="pl-PL"/>
        </w:rPr>
      </w:pPr>
      <w:hyperlink w:anchor="_Toc125446449" w:history="1">
        <w:r w:rsidRPr="000913D1">
          <w:rPr>
            <w:rStyle w:val="Hipercze"/>
          </w:rPr>
          <w:t>9.8.2.1</w:t>
        </w:r>
        <w:r>
          <w:rPr>
            <w:rFonts w:asciiTheme="minorHAnsi" w:eastAsiaTheme="minorEastAsia" w:hAnsiTheme="minorHAnsi" w:cstheme="minorBidi"/>
            <w:sz w:val="22"/>
            <w:szCs w:val="22"/>
            <w:lang w:val="pl-PL" w:eastAsia="pl-PL"/>
          </w:rPr>
          <w:tab/>
        </w:r>
        <w:r w:rsidRPr="000913D1">
          <w:rPr>
            <w:rStyle w:val="Hipercze"/>
          </w:rPr>
          <w:t>First-tier risk assessment</w:t>
        </w:r>
        <w:r>
          <w:rPr>
            <w:webHidden/>
          </w:rPr>
          <w:tab/>
        </w:r>
        <w:r>
          <w:rPr>
            <w:webHidden/>
          </w:rPr>
          <w:fldChar w:fldCharType="begin"/>
        </w:r>
        <w:r>
          <w:rPr>
            <w:webHidden/>
          </w:rPr>
          <w:instrText xml:space="preserve"> PAGEREF _Toc125446449 \h </w:instrText>
        </w:r>
        <w:r>
          <w:rPr>
            <w:webHidden/>
          </w:rPr>
        </w:r>
        <w:r>
          <w:rPr>
            <w:webHidden/>
          </w:rPr>
          <w:fldChar w:fldCharType="separate"/>
        </w:r>
        <w:r>
          <w:rPr>
            <w:webHidden/>
          </w:rPr>
          <w:t>102</w:t>
        </w:r>
        <w:r>
          <w:rPr>
            <w:webHidden/>
          </w:rPr>
          <w:fldChar w:fldCharType="end"/>
        </w:r>
      </w:hyperlink>
    </w:p>
    <w:p w14:paraId="2E44FCCA" w14:textId="25DB6316" w:rsidR="00952056" w:rsidRDefault="00952056">
      <w:pPr>
        <w:pStyle w:val="Spistreci4"/>
        <w:rPr>
          <w:rFonts w:asciiTheme="minorHAnsi" w:eastAsiaTheme="minorEastAsia" w:hAnsiTheme="minorHAnsi" w:cstheme="minorBidi"/>
          <w:sz w:val="22"/>
          <w:szCs w:val="22"/>
          <w:lang w:val="pl-PL" w:eastAsia="pl-PL"/>
        </w:rPr>
      </w:pPr>
      <w:hyperlink w:anchor="_Toc125446450" w:history="1">
        <w:r w:rsidRPr="000913D1">
          <w:rPr>
            <w:rStyle w:val="Hipercze"/>
          </w:rPr>
          <w:t>9.8.2.2</w:t>
        </w:r>
        <w:r>
          <w:rPr>
            <w:rFonts w:asciiTheme="minorHAnsi" w:eastAsiaTheme="minorEastAsia" w:hAnsiTheme="minorHAnsi" w:cstheme="minorBidi"/>
            <w:sz w:val="22"/>
            <w:szCs w:val="22"/>
            <w:lang w:val="pl-PL" w:eastAsia="pl-PL"/>
          </w:rPr>
          <w:tab/>
        </w:r>
        <w:r w:rsidRPr="000913D1">
          <w:rPr>
            <w:rStyle w:val="Hipercze"/>
          </w:rPr>
          <w:t>Higher-tier risk assessment</w:t>
        </w:r>
        <w:r>
          <w:rPr>
            <w:webHidden/>
          </w:rPr>
          <w:tab/>
        </w:r>
        <w:r>
          <w:rPr>
            <w:webHidden/>
          </w:rPr>
          <w:fldChar w:fldCharType="begin"/>
        </w:r>
        <w:r>
          <w:rPr>
            <w:webHidden/>
          </w:rPr>
          <w:instrText xml:space="preserve"> PAGEREF _Toc125446450 \h </w:instrText>
        </w:r>
        <w:r>
          <w:rPr>
            <w:webHidden/>
          </w:rPr>
        </w:r>
        <w:r>
          <w:rPr>
            <w:webHidden/>
          </w:rPr>
          <w:fldChar w:fldCharType="separate"/>
        </w:r>
        <w:r>
          <w:rPr>
            <w:webHidden/>
          </w:rPr>
          <w:t>105</w:t>
        </w:r>
        <w:r>
          <w:rPr>
            <w:webHidden/>
          </w:rPr>
          <w:fldChar w:fldCharType="end"/>
        </w:r>
      </w:hyperlink>
    </w:p>
    <w:p w14:paraId="27A2A887" w14:textId="64FBE5A2" w:rsidR="00952056" w:rsidRDefault="00952056">
      <w:pPr>
        <w:pStyle w:val="Spistreci3"/>
        <w:rPr>
          <w:rFonts w:asciiTheme="minorHAnsi" w:eastAsiaTheme="minorEastAsia" w:hAnsiTheme="minorHAnsi" w:cstheme="minorBidi"/>
          <w:sz w:val="22"/>
          <w:szCs w:val="22"/>
          <w:lang w:val="pl-PL" w:eastAsia="pl-PL"/>
        </w:rPr>
      </w:pPr>
      <w:hyperlink w:anchor="_Toc125446451" w:history="1">
        <w:r w:rsidRPr="000913D1">
          <w:rPr>
            <w:rStyle w:val="Hipercze"/>
          </w:rPr>
          <w:t>9.8.3</w:t>
        </w:r>
        <w:r>
          <w:rPr>
            <w:rFonts w:asciiTheme="minorHAnsi" w:eastAsiaTheme="minorEastAsia" w:hAnsiTheme="minorHAnsi" w:cstheme="minorBidi"/>
            <w:sz w:val="22"/>
            <w:szCs w:val="22"/>
            <w:lang w:val="pl-PL" w:eastAsia="pl-PL"/>
          </w:rPr>
          <w:tab/>
        </w:r>
        <w:r w:rsidRPr="000913D1">
          <w:rPr>
            <w:rStyle w:val="Hipercze"/>
          </w:rPr>
          <w:t>Overall conclusions</w:t>
        </w:r>
        <w:r>
          <w:rPr>
            <w:webHidden/>
          </w:rPr>
          <w:tab/>
        </w:r>
        <w:r>
          <w:rPr>
            <w:webHidden/>
          </w:rPr>
          <w:fldChar w:fldCharType="begin"/>
        </w:r>
        <w:r>
          <w:rPr>
            <w:webHidden/>
          </w:rPr>
          <w:instrText xml:space="preserve"> PAGEREF _Toc125446451 \h </w:instrText>
        </w:r>
        <w:r>
          <w:rPr>
            <w:webHidden/>
          </w:rPr>
        </w:r>
        <w:r>
          <w:rPr>
            <w:webHidden/>
          </w:rPr>
          <w:fldChar w:fldCharType="separate"/>
        </w:r>
        <w:r>
          <w:rPr>
            <w:webHidden/>
          </w:rPr>
          <w:t>106</w:t>
        </w:r>
        <w:r>
          <w:rPr>
            <w:webHidden/>
          </w:rPr>
          <w:fldChar w:fldCharType="end"/>
        </w:r>
      </w:hyperlink>
    </w:p>
    <w:p w14:paraId="26280009" w14:textId="2B583E58" w:rsidR="00952056" w:rsidRDefault="00952056">
      <w:pPr>
        <w:pStyle w:val="Spistreci2"/>
        <w:rPr>
          <w:rFonts w:asciiTheme="minorHAnsi" w:eastAsiaTheme="minorEastAsia" w:hAnsiTheme="minorHAnsi" w:cstheme="minorBidi"/>
          <w:sz w:val="22"/>
          <w:lang w:val="pl-PL" w:eastAsia="pl-PL"/>
        </w:rPr>
      </w:pPr>
      <w:hyperlink w:anchor="_Toc125446452" w:history="1">
        <w:r w:rsidRPr="000913D1">
          <w:rPr>
            <w:rStyle w:val="Hipercze"/>
          </w:rPr>
          <w:t>9.9</w:t>
        </w:r>
        <w:r>
          <w:rPr>
            <w:rFonts w:asciiTheme="minorHAnsi" w:eastAsiaTheme="minorEastAsia" w:hAnsiTheme="minorHAnsi" w:cstheme="minorBidi"/>
            <w:sz w:val="22"/>
            <w:lang w:val="pl-PL" w:eastAsia="pl-PL"/>
          </w:rPr>
          <w:tab/>
        </w:r>
        <w:r w:rsidRPr="000913D1">
          <w:rPr>
            <w:rStyle w:val="Hipercze"/>
          </w:rPr>
          <w:t>Effects on soil microbial activity (KCP 10.5)</w:t>
        </w:r>
        <w:r>
          <w:rPr>
            <w:webHidden/>
          </w:rPr>
          <w:tab/>
        </w:r>
        <w:r>
          <w:rPr>
            <w:webHidden/>
          </w:rPr>
          <w:fldChar w:fldCharType="begin"/>
        </w:r>
        <w:r>
          <w:rPr>
            <w:webHidden/>
          </w:rPr>
          <w:instrText xml:space="preserve"> PAGEREF _Toc125446452 \h </w:instrText>
        </w:r>
        <w:r>
          <w:rPr>
            <w:webHidden/>
          </w:rPr>
        </w:r>
        <w:r>
          <w:rPr>
            <w:webHidden/>
          </w:rPr>
          <w:fldChar w:fldCharType="separate"/>
        </w:r>
        <w:r>
          <w:rPr>
            <w:webHidden/>
          </w:rPr>
          <w:t>107</w:t>
        </w:r>
        <w:r>
          <w:rPr>
            <w:webHidden/>
          </w:rPr>
          <w:fldChar w:fldCharType="end"/>
        </w:r>
      </w:hyperlink>
    </w:p>
    <w:p w14:paraId="67962D90" w14:textId="6CB836ED" w:rsidR="00952056" w:rsidRDefault="00952056">
      <w:pPr>
        <w:pStyle w:val="Spistreci3"/>
        <w:rPr>
          <w:rFonts w:asciiTheme="minorHAnsi" w:eastAsiaTheme="minorEastAsia" w:hAnsiTheme="minorHAnsi" w:cstheme="minorBidi"/>
          <w:sz w:val="22"/>
          <w:szCs w:val="22"/>
          <w:lang w:val="pl-PL" w:eastAsia="pl-PL"/>
        </w:rPr>
      </w:pPr>
      <w:hyperlink w:anchor="_Toc125446453" w:history="1">
        <w:r w:rsidRPr="000913D1">
          <w:rPr>
            <w:rStyle w:val="Hipercze"/>
          </w:rPr>
          <w:t>9.9.1</w:t>
        </w:r>
        <w:r>
          <w:rPr>
            <w:rFonts w:asciiTheme="minorHAnsi" w:eastAsiaTheme="minorEastAsia" w:hAnsiTheme="minorHAnsi" w:cstheme="minorBidi"/>
            <w:sz w:val="22"/>
            <w:szCs w:val="22"/>
            <w:lang w:val="pl-PL" w:eastAsia="pl-PL"/>
          </w:rPr>
          <w:tab/>
        </w:r>
        <w:r w:rsidRPr="000913D1">
          <w:rPr>
            <w:rStyle w:val="Hipercze"/>
          </w:rPr>
          <w:t>Toxicity data</w:t>
        </w:r>
        <w:r>
          <w:rPr>
            <w:webHidden/>
          </w:rPr>
          <w:tab/>
        </w:r>
        <w:r>
          <w:rPr>
            <w:webHidden/>
          </w:rPr>
          <w:fldChar w:fldCharType="begin"/>
        </w:r>
        <w:r>
          <w:rPr>
            <w:webHidden/>
          </w:rPr>
          <w:instrText xml:space="preserve"> PAGEREF _Toc125446453 \h </w:instrText>
        </w:r>
        <w:r>
          <w:rPr>
            <w:webHidden/>
          </w:rPr>
        </w:r>
        <w:r>
          <w:rPr>
            <w:webHidden/>
          </w:rPr>
          <w:fldChar w:fldCharType="separate"/>
        </w:r>
        <w:r>
          <w:rPr>
            <w:webHidden/>
          </w:rPr>
          <w:t>107</w:t>
        </w:r>
        <w:r>
          <w:rPr>
            <w:webHidden/>
          </w:rPr>
          <w:fldChar w:fldCharType="end"/>
        </w:r>
      </w:hyperlink>
    </w:p>
    <w:p w14:paraId="075ED46B" w14:textId="418FC19E" w:rsidR="00952056" w:rsidRDefault="00952056">
      <w:pPr>
        <w:pStyle w:val="Spistreci4"/>
        <w:rPr>
          <w:rFonts w:asciiTheme="minorHAnsi" w:eastAsiaTheme="minorEastAsia" w:hAnsiTheme="minorHAnsi" w:cstheme="minorBidi"/>
          <w:sz w:val="22"/>
          <w:szCs w:val="22"/>
          <w:lang w:val="pl-PL" w:eastAsia="pl-PL"/>
        </w:rPr>
      </w:pPr>
      <w:hyperlink w:anchor="_Toc125446454" w:history="1">
        <w:r w:rsidRPr="000913D1">
          <w:rPr>
            <w:rStyle w:val="Hipercze"/>
          </w:rPr>
          <w:t>9.9.1.1</w:t>
        </w:r>
        <w:r>
          <w:rPr>
            <w:rFonts w:asciiTheme="minorHAnsi" w:eastAsiaTheme="minorEastAsia" w:hAnsiTheme="minorHAnsi" w:cstheme="minorBidi"/>
            <w:sz w:val="22"/>
            <w:szCs w:val="22"/>
            <w:lang w:val="pl-PL" w:eastAsia="pl-PL"/>
          </w:rPr>
          <w:tab/>
        </w:r>
        <w:r w:rsidRPr="000913D1">
          <w:rPr>
            <w:rStyle w:val="Hipercze"/>
          </w:rPr>
          <w:t>Justification for new endpoints</w:t>
        </w:r>
        <w:r>
          <w:rPr>
            <w:webHidden/>
          </w:rPr>
          <w:tab/>
        </w:r>
        <w:r>
          <w:rPr>
            <w:webHidden/>
          </w:rPr>
          <w:fldChar w:fldCharType="begin"/>
        </w:r>
        <w:r>
          <w:rPr>
            <w:webHidden/>
          </w:rPr>
          <w:instrText xml:space="preserve"> PAGEREF _Toc125446454 \h </w:instrText>
        </w:r>
        <w:r>
          <w:rPr>
            <w:webHidden/>
          </w:rPr>
        </w:r>
        <w:r>
          <w:rPr>
            <w:webHidden/>
          </w:rPr>
          <w:fldChar w:fldCharType="separate"/>
        </w:r>
        <w:r>
          <w:rPr>
            <w:webHidden/>
          </w:rPr>
          <w:t>109</w:t>
        </w:r>
        <w:r>
          <w:rPr>
            <w:webHidden/>
          </w:rPr>
          <w:fldChar w:fldCharType="end"/>
        </w:r>
      </w:hyperlink>
    </w:p>
    <w:p w14:paraId="5C07BDF3" w14:textId="73FBE801" w:rsidR="00952056" w:rsidRDefault="00952056">
      <w:pPr>
        <w:pStyle w:val="Spistreci3"/>
        <w:rPr>
          <w:rFonts w:asciiTheme="minorHAnsi" w:eastAsiaTheme="minorEastAsia" w:hAnsiTheme="minorHAnsi" w:cstheme="minorBidi"/>
          <w:sz w:val="22"/>
          <w:szCs w:val="22"/>
          <w:lang w:val="pl-PL" w:eastAsia="pl-PL"/>
        </w:rPr>
      </w:pPr>
      <w:hyperlink w:anchor="_Toc125446455" w:history="1">
        <w:r w:rsidRPr="000913D1">
          <w:rPr>
            <w:rStyle w:val="Hipercze"/>
          </w:rPr>
          <w:t>9.9.2</w:t>
        </w:r>
        <w:r>
          <w:rPr>
            <w:rFonts w:asciiTheme="minorHAnsi" w:eastAsiaTheme="minorEastAsia" w:hAnsiTheme="minorHAnsi" w:cstheme="minorBidi"/>
            <w:sz w:val="22"/>
            <w:szCs w:val="22"/>
            <w:lang w:val="pl-PL" w:eastAsia="pl-PL"/>
          </w:rPr>
          <w:tab/>
        </w:r>
        <w:r w:rsidRPr="000913D1">
          <w:rPr>
            <w:rStyle w:val="Hipercze"/>
          </w:rPr>
          <w:t>Risk assessment</w:t>
        </w:r>
        <w:r>
          <w:rPr>
            <w:webHidden/>
          </w:rPr>
          <w:tab/>
        </w:r>
        <w:r>
          <w:rPr>
            <w:webHidden/>
          </w:rPr>
          <w:fldChar w:fldCharType="begin"/>
        </w:r>
        <w:r>
          <w:rPr>
            <w:webHidden/>
          </w:rPr>
          <w:instrText xml:space="preserve"> PAGEREF _Toc125446455 \h </w:instrText>
        </w:r>
        <w:r>
          <w:rPr>
            <w:webHidden/>
          </w:rPr>
        </w:r>
        <w:r>
          <w:rPr>
            <w:webHidden/>
          </w:rPr>
          <w:fldChar w:fldCharType="separate"/>
        </w:r>
        <w:r>
          <w:rPr>
            <w:webHidden/>
          </w:rPr>
          <w:t>109</w:t>
        </w:r>
        <w:r>
          <w:rPr>
            <w:webHidden/>
          </w:rPr>
          <w:fldChar w:fldCharType="end"/>
        </w:r>
      </w:hyperlink>
    </w:p>
    <w:p w14:paraId="300EEC25" w14:textId="472D3BB5" w:rsidR="00952056" w:rsidRDefault="00952056">
      <w:pPr>
        <w:pStyle w:val="Spistreci3"/>
        <w:rPr>
          <w:rFonts w:asciiTheme="minorHAnsi" w:eastAsiaTheme="minorEastAsia" w:hAnsiTheme="minorHAnsi" w:cstheme="minorBidi"/>
          <w:sz w:val="22"/>
          <w:szCs w:val="22"/>
          <w:lang w:val="pl-PL" w:eastAsia="pl-PL"/>
        </w:rPr>
      </w:pPr>
      <w:hyperlink w:anchor="_Toc125446456" w:history="1">
        <w:r w:rsidRPr="000913D1">
          <w:rPr>
            <w:rStyle w:val="Hipercze"/>
          </w:rPr>
          <w:t>9.9.3</w:t>
        </w:r>
        <w:r>
          <w:rPr>
            <w:rFonts w:asciiTheme="minorHAnsi" w:eastAsiaTheme="minorEastAsia" w:hAnsiTheme="minorHAnsi" w:cstheme="minorBidi"/>
            <w:sz w:val="22"/>
            <w:szCs w:val="22"/>
            <w:lang w:val="pl-PL" w:eastAsia="pl-PL"/>
          </w:rPr>
          <w:tab/>
        </w:r>
        <w:r w:rsidRPr="000913D1">
          <w:rPr>
            <w:rStyle w:val="Hipercze"/>
          </w:rPr>
          <w:t>Overall conclusions</w:t>
        </w:r>
        <w:r>
          <w:rPr>
            <w:webHidden/>
          </w:rPr>
          <w:tab/>
        </w:r>
        <w:r>
          <w:rPr>
            <w:webHidden/>
          </w:rPr>
          <w:fldChar w:fldCharType="begin"/>
        </w:r>
        <w:r>
          <w:rPr>
            <w:webHidden/>
          </w:rPr>
          <w:instrText xml:space="preserve"> PAGEREF _Toc125446456 \h </w:instrText>
        </w:r>
        <w:r>
          <w:rPr>
            <w:webHidden/>
          </w:rPr>
        </w:r>
        <w:r>
          <w:rPr>
            <w:webHidden/>
          </w:rPr>
          <w:fldChar w:fldCharType="separate"/>
        </w:r>
        <w:r>
          <w:rPr>
            <w:webHidden/>
          </w:rPr>
          <w:t>110</w:t>
        </w:r>
        <w:r>
          <w:rPr>
            <w:webHidden/>
          </w:rPr>
          <w:fldChar w:fldCharType="end"/>
        </w:r>
      </w:hyperlink>
    </w:p>
    <w:p w14:paraId="47860B40" w14:textId="6DF49219" w:rsidR="00952056" w:rsidRDefault="00952056">
      <w:pPr>
        <w:pStyle w:val="Spistreci2"/>
        <w:rPr>
          <w:rFonts w:asciiTheme="minorHAnsi" w:eastAsiaTheme="minorEastAsia" w:hAnsiTheme="minorHAnsi" w:cstheme="minorBidi"/>
          <w:sz w:val="22"/>
          <w:lang w:val="pl-PL" w:eastAsia="pl-PL"/>
        </w:rPr>
      </w:pPr>
      <w:hyperlink w:anchor="_Toc125446457" w:history="1">
        <w:r w:rsidRPr="000913D1">
          <w:rPr>
            <w:rStyle w:val="Hipercze"/>
          </w:rPr>
          <w:t>9.10</w:t>
        </w:r>
        <w:r>
          <w:rPr>
            <w:rFonts w:asciiTheme="minorHAnsi" w:eastAsiaTheme="minorEastAsia" w:hAnsiTheme="minorHAnsi" w:cstheme="minorBidi"/>
            <w:sz w:val="22"/>
            <w:lang w:val="pl-PL" w:eastAsia="pl-PL"/>
          </w:rPr>
          <w:tab/>
        </w:r>
        <w:r w:rsidRPr="000913D1">
          <w:rPr>
            <w:rStyle w:val="Hipercze"/>
          </w:rPr>
          <w:t>Effects on non-target terrestrial plants (KCP 10.6)</w:t>
        </w:r>
        <w:r>
          <w:rPr>
            <w:webHidden/>
          </w:rPr>
          <w:tab/>
        </w:r>
        <w:r>
          <w:rPr>
            <w:webHidden/>
          </w:rPr>
          <w:fldChar w:fldCharType="begin"/>
        </w:r>
        <w:r>
          <w:rPr>
            <w:webHidden/>
          </w:rPr>
          <w:instrText xml:space="preserve"> PAGEREF _Toc125446457 \h </w:instrText>
        </w:r>
        <w:r>
          <w:rPr>
            <w:webHidden/>
          </w:rPr>
        </w:r>
        <w:r>
          <w:rPr>
            <w:webHidden/>
          </w:rPr>
          <w:fldChar w:fldCharType="separate"/>
        </w:r>
        <w:r>
          <w:rPr>
            <w:webHidden/>
          </w:rPr>
          <w:t>111</w:t>
        </w:r>
        <w:r>
          <w:rPr>
            <w:webHidden/>
          </w:rPr>
          <w:fldChar w:fldCharType="end"/>
        </w:r>
      </w:hyperlink>
    </w:p>
    <w:p w14:paraId="7C6A7ED9" w14:textId="39C067C5" w:rsidR="00952056" w:rsidRDefault="00952056">
      <w:pPr>
        <w:pStyle w:val="Spistreci3"/>
        <w:rPr>
          <w:rFonts w:asciiTheme="minorHAnsi" w:eastAsiaTheme="minorEastAsia" w:hAnsiTheme="minorHAnsi" w:cstheme="minorBidi"/>
          <w:sz w:val="22"/>
          <w:szCs w:val="22"/>
          <w:lang w:val="pl-PL" w:eastAsia="pl-PL"/>
        </w:rPr>
      </w:pPr>
      <w:hyperlink w:anchor="_Toc125446458" w:history="1">
        <w:r w:rsidRPr="000913D1">
          <w:rPr>
            <w:rStyle w:val="Hipercze"/>
          </w:rPr>
          <w:t>9.10.1</w:t>
        </w:r>
        <w:r>
          <w:rPr>
            <w:rFonts w:asciiTheme="minorHAnsi" w:eastAsiaTheme="minorEastAsia" w:hAnsiTheme="minorHAnsi" w:cstheme="minorBidi"/>
            <w:sz w:val="22"/>
            <w:szCs w:val="22"/>
            <w:lang w:val="pl-PL" w:eastAsia="pl-PL"/>
          </w:rPr>
          <w:tab/>
        </w:r>
        <w:r w:rsidRPr="000913D1">
          <w:rPr>
            <w:rStyle w:val="Hipercze"/>
          </w:rPr>
          <w:t>Toxicity data</w:t>
        </w:r>
        <w:r>
          <w:rPr>
            <w:webHidden/>
          </w:rPr>
          <w:tab/>
        </w:r>
        <w:r>
          <w:rPr>
            <w:webHidden/>
          </w:rPr>
          <w:fldChar w:fldCharType="begin"/>
        </w:r>
        <w:r>
          <w:rPr>
            <w:webHidden/>
          </w:rPr>
          <w:instrText xml:space="preserve"> PAGEREF _Toc125446458 \h </w:instrText>
        </w:r>
        <w:r>
          <w:rPr>
            <w:webHidden/>
          </w:rPr>
        </w:r>
        <w:r>
          <w:rPr>
            <w:webHidden/>
          </w:rPr>
          <w:fldChar w:fldCharType="separate"/>
        </w:r>
        <w:r>
          <w:rPr>
            <w:webHidden/>
          </w:rPr>
          <w:t>111</w:t>
        </w:r>
        <w:r>
          <w:rPr>
            <w:webHidden/>
          </w:rPr>
          <w:fldChar w:fldCharType="end"/>
        </w:r>
      </w:hyperlink>
    </w:p>
    <w:p w14:paraId="1C913A8D" w14:textId="153FF617" w:rsidR="00952056" w:rsidRDefault="00952056">
      <w:pPr>
        <w:pStyle w:val="Spistreci4"/>
        <w:rPr>
          <w:rFonts w:asciiTheme="minorHAnsi" w:eastAsiaTheme="minorEastAsia" w:hAnsiTheme="minorHAnsi" w:cstheme="minorBidi"/>
          <w:sz w:val="22"/>
          <w:szCs w:val="22"/>
          <w:lang w:val="pl-PL" w:eastAsia="pl-PL"/>
        </w:rPr>
      </w:pPr>
      <w:hyperlink w:anchor="_Toc125446459" w:history="1">
        <w:r w:rsidRPr="000913D1">
          <w:rPr>
            <w:rStyle w:val="Hipercze"/>
          </w:rPr>
          <w:t>9.10.1.1</w:t>
        </w:r>
        <w:r>
          <w:rPr>
            <w:rFonts w:asciiTheme="minorHAnsi" w:eastAsiaTheme="minorEastAsia" w:hAnsiTheme="minorHAnsi" w:cstheme="minorBidi"/>
            <w:sz w:val="22"/>
            <w:szCs w:val="22"/>
            <w:lang w:val="pl-PL" w:eastAsia="pl-PL"/>
          </w:rPr>
          <w:tab/>
        </w:r>
        <w:r w:rsidRPr="000913D1">
          <w:rPr>
            <w:rStyle w:val="Hipercze"/>
          </w:rPr>
          <w:t>Justification for new endpoints</w:t>
        </w:r>
        <w:r>
          <w:rPr>
            <w:webHidden/>
          </w:rPr>
          <w:tab/>
        </w:r>
        <w:r>
          <w:rPr>
            <w:webHidden/>
          </w:rPr>
          <w:fldChar w:fldCharType="begin"/>
        </w:r>
        <w:r>
          <w:rPr>
            <w:webHidden/>
          </w:rPr>
          <w:instrText xml:space="preserve"> PAGEREF _Toc125446459 \h </w:instrText>
        </w:r>
        <w:r>
          <w:rPr>
            <w:webHidden/>
          </w:rPr>
        </w:r>
        <w:r>
          <w:rPr>
            <w:webHidden/>
          </w:rPr>
          <w:fldChar w:fldCharType="separate"/>
        </w:r>
        <w:r>
          <w:rPr>
            <w:webHidden/>
          </w:rPr>
          <w:t>112</w:t>
        </w:r>
        <w:r>
          <w:rPr>
            <w:webHidden/>
          </w:rPr>
          <w:fldChar w:fldCharType="end"/>
        </w:r>
      </w:hyperlink>
    </w:p>
    <w:p w14:paraId="0A800679" w14:textId="398EB8C7" w:rsidR="00952056" w:rsidRDefault="00952056">
      <w:pPr>
        <w:pStyle w:val="Spistreci3"/>
        <w:rPr>
          <w:rFonts w:asciiTheme="minorHAnsi" w:eastAsiaTheme="minorEastAsia" w:hAnsiTheme="minorHAnsi" w:cstheme="minorBidi"/>
          <w:sz w:val="22"/>
          <w:szCs w:val="22"/>
          <w:lang w:val="pl-PL" w:eastAsia="pl-PL"/>
        </w:rPr>
      </w:pPr>
      <w:hyperlink w:anchor="_Toc125446460" w:history="1">
        <w:r w:rsidRPr="000913D1">
          <w:rPr>
            <w:rStyle w:val="Hipercze"/>
          </w:rPr>
          <w:t>9.10.2</w:t>
        </w:r>
        <w:r>
          <w:rPr>
            <w:rFonts w:asciiTheme="minorHAnsi" w:eastAsiaTheme="minorEastAsia" w:hAnsiTheme="minorHAnsi" w:cstheme="minorBidi"/>
            <w:sz w:val="22"/>
            <w:szCs w:val="22"/>
            <w:lang w:val="pl-PL" w:eastAsia="pl-PL"/>
          </w:rPr>
          <w:tab/>
        </w:r>
        <w:r w:rsidRPr="000913D1">
          <w:rPr>
            <w:rStyle w:val="Hipercze"/>
          </w:rPr>
          <w:t>Risk assessment</w:t>
        </w:r>
        <w:r>
          <w:rPr>
            <w:webHidden/>
          </w:rPr>
          <w:tab/>
        </w:r>
        <w:r>
          <w:rPr>
            <w:webHidden/>
          </w:rPr>
          <w:fldChar w:fldCharType="begin"/>
        </w:r>
        <w:r>
          <w:rPr>
            <w:webHidden/>
          </w:rPr>
          <w:instrText xml:space="preserve"> PAGEREF _Toc125446460 \h </w:instrText>
        </w:r>
        <w:r>
          <w:rPr>
            <w:webHidden/>
          </w:rPr>
        </w:r>
        <w:r>
          <w:rPr>
            <w:webHidden/>
          </w:rPr>
          <w:fldChar w:fldCharType="separate"/>
        </w:r>
        <w:r>
          <w:rPr>
            <w:webHidden/>
          </w:rPr>
          <w:t>112</w:t>
        </w:r>
        <w:r>
          <w:rPr>
            <w:webHidden/>
          </w:rPr>
          <w:fldChar w:fldCharType="end"/>
        </w:r>
      </w:hyperlink>
    </w:p>
    <w:p w14:paraId="6C84FBDD" w14:textId="1FD9C3CF" w:rsidR="00952056" w:rsidRDefault="00952056">
      <w:pPr>
        <w:pStyle w:val="Spistreci4"/>
        <w:rPr>
          <w:rFonts w:asciiTheme="minorHAnsi" w:eastAsiaTheme="minorEastAsia" w:hAnsiTheme="minorHAnsi" w:cstheme="minorBidi"/>
          <w:sz w:val="22"/>
          <w:szCs w:val="22"/>
          <w:lang w:val="pl-PL" w:eastAsia="pl-PL"/>
        </w:rPr>
      </w:pPr>
      <w:hyperlink w:anchor="_Toc125446461" w:history="1">
        <w:r w:rsidRPr="000913D1">
          <w:rPr>
            <w:rStyle w:val="Hipercze"/>
            <w:lang w:val="en-US"/>
          </w:rPr>
          <w:t>9.10.2.1</w:t>
        </w:r>
        <w:r>
          <w:rPr>
            <w:rFonts w:asciiTheme="minorHAnsi" w:eastAsiaTheme="minorEastAsia" w:hAnsiTheme="minorHAnsi" w:cstheme="minorBidi"/>
            <w:sz w:val="22"/>
            <w:szCs w:val="22"/>
            <w:lang w:val="pl-PL" w:eastAsia="pl-PL"/>
          </w:rPr>
          <w:tab/>
        </w:r>
        <w:r w:rsidRPr="000913D1">
          <w:rPr>
            <w:rStyle w:val="Hipercze"/>
            <w:lang w:val="en-US"/>
          </w:rPr>
          <w:t>Tier-1 risk assessment (based screening data)</w:t>
        </w:r>
        <w:r>
          <w:rPr>
            <w:webHidden/>
          </w:rPr>
          <w:tab/>
        </w:r>
        <w:r>
          <w:rPr>
            <w:webHidden/>
          </w:rPr>
          <w:fldChar w:fldCharType="begin"/>
        </w:r>
        <w:r>
          <w:rPr>
            <w:webHidden/>
          </w:rPr>
          <w:instrText xml:space="preserve"> PAGEREF _Toc125446461 \h </w:instrText>
        </w:r>
        <w:r>
          <w:rPr>
            <w:webHidden/>
          </w:rPr>
        </w:r>
        <w:r>
          <w:rPr>
            <w:webHidden/>
          </w:rPr>
          <w:fldChar w:fldCharType="separate"/>
        </w:r>
        <w:r>
          <w:rPr>
            <w:webHidden/>
          </w:rPr>
          <w:t>112</w:t>
        </w:r>
        <w:r>
          <w:rPr>
            <w:webHidden/>
          </w:rPr>
          <w:fldChar w:fldCharType="end"/>
        </w:r>
      </w:hyperlink>
    </w:p>
    <w:p w14:paraId="44BF380F" w14:textId="3C2ECED7" w:rsidR="00952056" w:rsidRDefault="00952056">
      <w:pPr>
        <w:pStyle w:val="Spistreci4"/>
        <w:rPr>
          <w:rFonts w:asciiTheme="minorHAnsi" w:eastAsiaTheme="minorEastAsia" w:hAnsiTheme="minorHAnsi" w:cstheme="minorBidi"/>
          <w:sz w:val="22"/>
          <w:szCs w:val="22"/>
          <w:lang w:val="pl-PL" w:eastAsia="pl-PL"/>
        </w:rPr>
      </w:pPr>
      <w:hyperlink w:anchor="_Toc125446462" w:history="1">
        <w:r w:rsidRPr="000913D1">
          <w:rPr>
            <w:rStyle w:val="Hipercze"/>
            <w:lang w:val="en-US"/>
          </w:rPr>
          <w:t>9.10.2.2</w:t>
        </w:r>
        <w:r>
          <w:rPr>
            <w:rFonts w:asciiTheme="minorHAnsi" w:eastAsiaTheme="minorEastAsia" w:hAnsiTheme="minorHAnsi" w:cstheme="minorBidi"/>
            <w:sz w:val="22"/>
            <w:szCs w:val="22"/>
            <w:lang w:val="pl-PL" w:eastAsia="pl-PL"/>
          </w:rPr>
          <w:tab/>
        </w:r>
        <w:r w:rsidRPr="000913D1">
          <w:rPr>
            <w:rStyle w:val="Hipercze"/>
            <w:lang w:val="en-US"/>
          </w:rPr>
          <w:t>Tier-2 risk assessment (based on dose-response data)</w:t>
        </w:r>
        <w:r>
          <w:rPr>
            <w:webHidden/>
          </w:rPr>
          <w:tab/>
        </w:r>
        <w:r>
          <w:rPr>
            <w:webHidden/>
          </w:rPr>
          <w:fldChar w:fldCharType="begin"/>
        </w:r>
        <w:r>
          <w:rPr>
            <w:webHidden/>
          </w:rPr>
          <w:instrText xml:space="preserve"> PAGEREF _Toc125446462 \h </w:instrText>
        </w:r>
        <w:r>
          <w:rPr>
            <w:webHidden/>
          </w:rPr>
        </w:r>
        <w:r>
          <w:rPr>
            <w:webHidden/>
          </w:rPr>
          <w:fldChar w:fldCharType="separate"/>
        </w:r>
        <w:r>
          <w:rPr>
            <w:webHidden/>
          </w:rPr>
          <w:t>112</w:t>
        </w:r>
        <w:r>
          <w:rPr>
            <w:webHidden/>
          </w:rPr>
          <w:fldChar w:fldCharType="end"/>
        </w:r>
      </w:hyperlink>
    </w:p>
    <w:p w14:paraId="76D66B24" w14:textId="3172B476" w:rsidR="00952056" w:rsidRDefault="00952056">
      <w:pPr>
        <w:pStyle w:val="Spistreci4"/>
        <w:rPr>
          <w:rFonts w:asciiTheme="minorHAnsi" w:eastAsiaTheme="minorEastAsia" w:hAnsiTheme="minorHAnsi" w:cstheme="minorBidi"/>
          <w:sz w:val="22"/>
          <w:szCs w:val="22"/>
          <w:lang w:val="pl-PL" w:eastAsia="pl-PL"/>
        </w:rPr>
      </w:pPr>
      <w:hyperlink w:anchor="_Toc125446463" w:history="1">
        <w:r w:rsidRPr="000913D1">
          <w:rPr>
            <w:rStyle w:val="Hipercze"/>
          </w:rPr>
          <w:t>9.10.2.3</w:t>
        </w:r>
        <w:r>
          <w:rPr>
            <w:rFonts w:asciiTheme="minorHAnsi" w:eastAsiaTheme="minorEastAsia" w:hAnsiTheme="minorHAnsi" w:cstheme="minorBidi"/>
            <w:sz w:val="22"/>
            <w:szCs w:val="22"/>
            <w:lang w:val="pl-PL" w:eastAsia="pl-PL"/>
          </w:rPr>
          <w:tab/>
        </w:r>
        <w:r w:rsidRPr="000913D1">
          <w:rPr>
            <w:rStyle w:val="Hipercze"/>
          </w:rPr>
          <w:t>Higher-tier risk assessment</w:t>
        </w:r>
        <w:r>
          <w:rPr>
            <w:webHidden/>
          </w:rPr>
          <w:tab/>
        </w:r>
        <w:r>
          <w:rPr>
            <w:webHidden/>
          </w:rPr>
          <w:fldChar w:fldCharType="begin"/>
        </w:r>
        <w:r>
          <w:rPr>
            <w:webHidden/>
          </w:rPr>
          <w:instrText xml:space="preserve"> PAGEREF _Toc125446463 \h </w:instrText>
        </w:r>
        <w:r>
          <w:rPr>
            <w:webHidden/>
          </w:rPr>
        </w:r>
        <w:r>
          <w:rPr>
            <w:webHidden/>
          </w:rPr>
          <w:fldChar w:fldCharType="separate"/>
        </w:r>
        <w:r>
          <w:rPr>
            <w:webHidden/>
          </w:rPr>
          <w:t>113</w:t>
        </w:r>
        <w:r>
          <w:rPr>
            <w:webHidden/>
          </w:rPr>
          <w:fldChar w:fldCharType="end"/>
        </w:r>
      </w:hyperlink>
    </w:p>
    <w:p w14:paraId="1AD94029" w14:textId="5EE2CDD3" w:rsidR="00952056" w:rsidRDefault="00952056">
      <w:pPr>
        <w:pStyle w:val="Spistreci4"/>
        <w:rPr>
          <w:rFonts w:asciiTheme="minorHAnsi" w:eastAsiaTheme="minorEastAsia" w:hAnsiTheme="minorHAnsi" w:cstheme="minorBidi"/>
          <w:sz w:val="22"/>
          <w:szCs w:val="22"/>
          <w:lang w:val="pl-PL" w:eastAsia="pl-PL"/>
        </w:rPr>
      </w:pPr>
      <w:hyperlink w:anchor="_Toc125446464" w:history="1">
        <w:r w:rsidRPr="000913D1">
          <w:rPr>
            <w:rStyle w:val="Hipercze"/>
          </w:rPr>
          <w:t>9.10.2.4</w:t>
        </w:r>
        <w:r>
          <w:rPr>
            <w:rFonts w:asciiTheme="minorHAnsi" w:eastAsiaTheme="minorEastAsia" w:hAnsiTheme="minorHAnsi" w:cstheme="minorBidi"/>
            <w:sz w:val="22"/>
            <w:szCs w:val="22"/>
            <w:lang w:val="pl-PL" w:eastAsia="pl-PL"/>
          </w:rPr>
          <w:tab/>
        </w:r>
        <w:r w:rsidRPr="000913D1">
          <w:rPr>
            <w:rStyle w:val="Hipercze"/>
          </w:rPr>
          <w:t>Risk mitigation measures</w:t>
        </w:r>
        <w:r>
          <w:rPr>
            <w:webHidden/>
          </w:rPr>
          <w:tab/>
        </w:r>
        <w:r>
          <w:rPr>
            <w:webHidden/>
          </w:rPr>
          <w:fldChar w:fldCharType="begin"/>
        </w:r>
        <w:r>
          <w:rPr>
            <w:webHidden/>
          </w:rPr>
          <w:instrText xml:space="preserve"> PAGEREF _Toc125446464 \h </w:instrText>
        </w:r>
        <w:r>
          <w:rPr>
            <w:webHidden/>
          </w:rPr>
        </w:r>
        <w:r>
          <w:rPr>
            <w:webHidden/>
          </w:rPr>
          <w:fldChar w:fldCharType="separate"/>
        </w:r>
        <w:r>
          <w:rPr>
            <w:webHidden/>
          </w:rPr>
          <w:t>113</w:t>
        </w:r>
        <w:r>
          <w:rPr>
            <w:webHidden/>
          </w:rPr>
          <w:fldChar w:fldCharType="end"/>
        </w:r>
      </w:hyperlink>
    </w:p>
    <w:p w14:paraId="1B7F36F2" w14:textId="5B8B7EFD" w:rsidR="00952056" w:rsidRDefault="00952056">
      <w:pPr>
        <w:pStyle w:val="Spistreci3"/>
        <w:rPr>
          <w:rFonts w:asciiTheme="minorHAnsi" w:eastAsiaTheme="minorEastAsia" w:hAnsiTheme="minorHAnsi" w:cstheme="minorBidi"/>
          <w:sz w:val="22"/>
          <w:szCs w:val="22"/>
          <w:lang w:val="pl-PL" w:eastAsia="pl-PL"/>
        </w:rPr>
      </w:pPr>
      <w:hyperlink w:anchor="_Toc125446465" w:history="1">
        <w:r w:rsidRPr="000913D1">
          <w:rPr>
            <w:rStyle w:val="Hipercze"/>
          </w:rPr>
          <w:t>9.10.3</w:t>
        </w:r>
        <w:r>
          <w:rPr>
            <w:rFonts w:asciiTheme="minorHAnsi" w:eastAsiaTheme="minorEastAsia" w:hAnsiTheme="minorHAnsi" w:cstheme="minorBidi"/>
            <w:sz w:val="22"/>
            <w:szCs w:val="22"/>
            <w:lang w:val="pl-PL" w:eastAsia="pl-PL"/>
          </w:rPr>
          <w:tab/>
        </w:r>
        <w:r w:rsidRPr="000913D1">
          <w:rPr>
            <w:rStyle w:val="Hipercze"/>
          </w:rPr>
          <w:t>Overall conclusions</w:t>
        </w:r>
        <w:r>
          <w:rPr>
            <w:webHidden/>
          </w:rPr>
          <w:tab/>
        </w:r>
        <w:r>
          <w:rPr>
            <w:webHidden/>
          </w:rPr>
          <w:fldChar w:fldCharType="begin"/>
        </w:r>
        <w:r>
          <w:rPr>
            <w:webHidden/>
          </w:rPr>
          <w:instrText xml:space="preserve"> PAGEREF _Toc125446465 \h </w:instrText>
        </w:r>
        <w:r>
          <w:rPr>
            <w:webHidden/>
          </w:rPr>
        </w:r>
        <w:r>
          <w:rPr>
            <w:webHidden/>
          </w:rPr>
          <w:fldChar w:fldCharType="separate"/>
        </w:r>
        <w:r>
          <w:rPr>
            <w:webHidden/>
          </w:rPr>
          <w:t>114</w:t>
        </w:r>
        <w:r>
          <w:rPr>
            <w:webHidden/>
          </w:rPr>
          <w:fldChar w:fldCharType="end"/>
        </w:r>
      </w:hyperlink>
    </w:p>
    <w:p w14:paraId="7A6B916A" w14:textId="1CBD9074" w:rsidR="00952056" w:rsidRDefault="00952056">
      <w:pPr>
        <w:pStyle w:val="Spistreci2"/>
        <w:rPr>
          <w:rFonts w:asciiTheme="minorHAnsi" w:eastAsiaTheme="minorEastAsia" w:hAnsiTheme="minorHAnsi" w:cstheme="minorBidi"/>
          <w:sz w:val="22"/>
          <w:lang w:val="pl-PL" w:eastAsia="pl-PL"/>
        </w:rPr>
      </w:pPr>
      <w:hyperlink w:anchor="_Toc125446466" w:history="1">
        <w:r w:rsidRPr="000913D1">
          <w:rPr>
            <w:rStyle w:val="Hipercze"/>
          </w:rPr>
          <w:t>9.11</w:t>
        </w:r>
        <w:r>
          <w:rPr>
            <w:rFonts w:asciiTheme="minorHAnsi" w:eastAsiaTheme="minorEastAsia" w:hAnsiTheme="minorHAnsi" w:cstheme="minorBidi"/>
            <w:sz w:val="22"/>
            <w:lang w:val="pl-PL" w:eastAsia="pl-PL"/>
          </w:rPr>
          <w:tab/>
        </w:r>
        <w:r w:rsidRPr="000913D1">
          <w:rPr>
            <w:rStyle w:val="Hipercze"/>
          </w:rPr>
          <w:t>Effects on other terrestrial organisms (flora and fauna) (KCP 10.7)</w:t>
        </w:r>
        <w:r>
          <w:rPr>
            <w:webHidden/>
          </w:rPr>
          <w:tab/>
        </w:r>
        <w:r>
          <w:rPr>
            <w:webHidden/>
          </w:rPr>
          <w:fldChar w:fldCharType="begin"/>
        </w:r>
        <w:r>
          <w:rPr>
            <w:webHidden/>
          </w:rPr>
          <w:instrText xml:space="preserve"> PAGEREF _Toc125446466 \h </w:instrText>
        </w:r>
        <w:r>
          <w:rPr>
            <w:webHidden/>
          </w:rPr>
        </w:r>
        <w:r>
          <w:rPr>
            <w:webHidden/>
          </w:rPr>
          <w:fldChar w:fldCharType="separate"/>
        </w:r>
        <w:r>
          <w:rPr>
            <w:webHidden/>
          </w:rPr>
          <w:t>114</w:t>
        </w:r>
        <w:r>
          <w:rPr>
            <w:webHidden/>
          </w:rPr>
          <w:fldChar w:fldCharType="end"/>
        </w:r>
      </w:hyperlink>
    </w:p>
    <w:p w14:paraId="0BB695DC" w14:textId="1DFD11F6" w:rsidR="00952056" w:rsidRDefault="00952056">
      <w:pPr>
        <w:pStyle w:val="Spistreci2"/>
        <w:rPr>
          <w:rFonts w:asciiTheme="minorHAnsi" w:eastAsiaTheme="minorEastAsia" w:hAnsiTheme="minorHAnsi" w:cstheme="minorBidi"/>
          <w:sz w:val="22"/>
          <w:lang w:val="pl-PL" w:eastAsia="pl-PL"/>
        </w:rPr>
      </w:pPr>
      <w:hyperlink w:anchor="_Toc125446467" w:history="1">
        <w:r w:rsidRPr="000913D1">
          <w:rPr>
            <w:rStyle w:val="Hipercze"/>
          </w:rPr>
          <w:t>9.12</w:t>
        </w:r>
        <w:r>
          <w:rPr>
            <w:rFonts w:asciiTheme="minorHAnsi" w:eastAsiaTheme="minorEastAsia" w:hAnsiTheme="minorHAnsi" w:cstheme="minorBidi"/>
            <w:sz w:val="22"/>
            <w:lang w:val="pl-PL" w:eastAsia="pl-PL"/>
          </w:rPr>
          <w:tab/>
        </w:r>
        <w:r w:rsidRPr="000913D1">
          <w:rPr>
            <w:rStyle w:val="Hipercze"/>
          </w:rPr>
          <w:t>Monitoring data (KCP 10.8)</w:t>
        </w:r>
        <w:r>
          <w:rPr>
            <w:webHidden/>
          </w:rPr>
          <w:tab/>
        </w:r>
        <w:r>
          <w:rPr>
            <w:webHidden/>
          </w:rPr>
          <w:fldChar w:fldCharType="begin"/>
        </w:r>
        <w:r>
          <w:rPr>
            <w:webHidden/>
          </w:rPr>
          <w:instrText xml:space="preserve"> PAGEREF _Toc125446467 \h </w:instrText>
        </w:r>
        <w:r>
          <w:rPr>
            <w:webHidden/>
          </w:rPr>
        </w:r>
        <w:r>
          <w:rPr>
            <w:webHidden/>
          </w:rPr>
          <w:fldChar w:fldCharType="separate"/>
        </w:r>
        <w:r>
          <w:rPr>
            <w:webHidden/>
          </w:rPr>
          <w:t>114</w:t>
        </w:r>
        <w:r>
          <w:rPr>
            <w:webHidden/>
          </w:rPr>
          <w:fldChar w:fldCharType="end"/>
        </w:r>
      </w:hyperlink>
    </w:p>
    <w:p w14:paraId="769FC042" w14:textId="0E690C80" w:rsidR="00952056" w:rsidRDefault="00952056">
      <w:pPr>
        <w:pStyle w:val="Spistreci2"/>
        <w:rPr>
          <w:rFonts w:asciiTheme="minorHAnsi" w:eastAsiaTheme="minorEastAsia" w:hAnsiTheme="minorHAnsi" w:cstheme="minorBidi"/>
          <w:sz w:val="22"/>
          <w:lang w:val="pl-PL" w:eastAsia="pl-PL"/>
        </w:rPr>
      </w:pPr>
      <w:hyperlink w:anchor="_Toc125446468" w:history="1">
        <w:r w:rsidRPr="000913D1">
          <w:rPr>
            <w:rStyle w:val="Hipercze"/>
          </w:rPr>
          <w:t>9.13</w:t>
        </w:r>
        <w:r>
          <w:rPr>
            <w:rFonts w:asciiTheme="minorHAnsi" w:eastAsiaTheme="minorEastAsia" w:hAnsiTheme="minorHAnsi" w:cstheme="minorBidi"/>
            <w:sz w:val="22"/>
            <w:lang w:val="pl-PL" w:eastAsia="pl-PL"/>
          </w:rPr>
          <w:tab/>
        </w:r>
        <w:r w:rsidRPr="000913D1">
          <w:rPr>
            <w:rStyle w:val="Hipercze"/>
          </w:rPr>
          <w:t>Classification and Labelling</w:t>
        </w:r>
        <w:r>
          <w:rPr>
            <w:webHidden/>
          </w:rPr>
          <w:tab/>
        </w:r>
        <w:r>
          <w:rPr>
            <w:webHidden/>
          </w:rPr>
          <w:fldChar w:fldCharType="begin"/>
        </w:r>
        <w:r>
          <w:rPr>
            <w:webHidden/>
          </w:rPr>
          <w:instrText xml:space="preserve"> PAGEREF _Toc125446468 \h </w:instrText>
        </w:r>
        <w:r>
          <w:rPr>
            <w:webHidden/>
          </w:rPr>
        </w:r>
        <w:r>
          <w:rPr>
            <w:webHidden/>
          </w:rPr>
          <w:fldChar w:fldCharType="separate"/>
        </w:r>
        <w:r>
          <w:rPr>
            <w:webHidden/>
          </w:rPr>
          <w:t>115</w:t>
        </w:r>
        <w:r>
          <w:rPr>
            <w:webHidden/>
          </w:rPr>
          <w:fldChar w:fldCharType="end"/>
        </w:r>
      </w:hyperlink>
    </w:p>
    <w:p w14:paraId="699F8BAD" w14:textId="1994505B" w:rsidR="00952056" w:rsidRDefault="00952056">
      <w:pPr>
        <w:pStyle w:val="Spistreci1"/>
        <w:rPr>
          <w:rFonts w:asciiTheme="minorHAnsi" w:eastAsiaTheme="minorEastAsia" w:hAnsiTheme="minorHAnsi" w:cstheme="minorBidi"/>
          <w:b w:val="0"/>
          <w:sz w:val="22"/>
          <w:szCs w:val="22"/>
          <w:lang w:val="pl-PL" w:eastAsia="pl-PL"/>
        </w:rPr>
      </w:pPr>
      <w:hyperlink w:anchor="_Toc125446469" w:history="1">
        <w:r w:rsidRPr="000913D1">
          <w:rPr>
            <w:rStyle w:val="Hipercze"/>
          </w:rPr>
          <w:t>Appendix 1</w:t>
        </w:r>
        <w:r>
          <w:rPr>
            <w:rFonts w:asciiTheme="minorHAnsi" w:eastAsiaTheme="minorEastAsia" w:hAnsiTheme="minorHAnsi" w:cstheme="minorBidi"/>
            <w:b w:val="0"/>
            <w:sz w:val="22"/>
            <w:szCs w:val="22"/>
            <w:lang w:val="pl-PL" w:eastAsia="pl-PL"/>
          </w:rPr>
          <w:tab/>
        </w:r>
        <w:r w:rsidRPr="000913D1">
          <w:rPr>
            <w:rStyle w:val="Hipercze"/>
          </w:rPr>
          <w:t>Lists of data considered in support of the evaluation</w:t>
        </w:r>
        <w:r>
          <w:rPr>
            <w:webHidden/>
          </w:rPr>
          <w:tab/>
        </w:r>
        <w:r>
          <w:rPr>
            <w:webHidden/>
          </w:rPr>
          <w:fldChar w:fldCharType="begin"/>
        </w:r>
        <w:r>
          <w:rPr>
            <w:webHidden/>
          </w:rPr>
          <w:instrText xml:space="preserve"> PAGEREF _Toc125446469 \h </w:instrText>
        </w:r>
        <w:r>
          <w:rPr>
            <w:webHidden/>
          </w:rPr>
        </w:r>
        <w:r>
          <w:rPr>
            <w:webHidden/>
          </w:rPr>
          <w:fldChar w:fldCharType="separate"/>
        </w:r>
        <w:r>
          <w:rPr>
            <w:webHidden/>
          </w:rPr>
          <w:t>117</w:t>
        </w:r>
        <w:r>
          <w:rPr>
            <w:webHidden/>
          </w:rPr>
          <w:fldChar w:fldCharType="end"/>
        </w:r>
      </w:hyperlink>
    </w:p>
    <w:p w14:paraId="28BE54AD" w14:textId="61C96EC5" w:rsidR="00952056" w:rsidRDefault="00952056">
      <w:pPr>
        <w:pStyle w:val="Spistreci1"/>
        <w:rPr>
          <w:rFonts w:asciiTheme="minorHAnsi" w:eastAsiaTheme="minorEastAsia" w:hAnsiTheme="minorHAnsi" w:cstheme="minorBidi"/>
          <w:b w:val="0"/>
          <w:sz w:val="22"/>
          <w:szCs w:val="22"/>
          <w:lang w:val="pl-PL" w:eastAsia="pl-PL"/>
        </w:rPr>
      </w:pPr>
      <w:hyperlink w:anchor="_Toc125446470" w:history="1">
        <w:r w:rsidRPr="000913D1">
          <w:rPr>
            <w:rStyle w:val="Hipercze"/>
          </w:rPr>
          <w:t>Appendix 2</w:t>
        </w:r>
        <w:r>
          <w:rPr>
            <w:rFonts w:asciiTheme="minorHAnsi" w:eastAsiaTheme="minorEastAsia" w:hAnsiTheme="minorHAnsi" w:cstheme="minorBidi"/>
            <w:b w:val="0"/>
            <w:sz w:val="22"/>
            <w:szCs w:val="22"/>
            <w:lang w:val="pl-PL" w:eastAsia="pl-PL"/>
          </w:rPr>
          <w:tab/>
        </w:r>
        <w:r w:rsidRPr="000913D1">
          <w:rPr>
            <w:rStyle w:val="Hipercze"/>
          </w:rPr>
          <w:t>Detailed evaluation of the new studies</w:t>
        </w:r>
        <w:r>
          <w:rPr>
            <w:webHidden/>
          </w:rPr>
          <w:tab/>
        </w:r>
        <w:r>
          <w:rPr>
            <w:webHidden/>
          </w:rPr>
          <w:fldChar w:fldCharType="begin"/>
        </w:r>
        <w:r>
          <w:rPr>
            <w:webHidden/>
          </w:rPr>
          <w:instrText xml:space="preserve"> PAGEREF _Toc125446470 \h </w:instrText>
        </w:r>
        <w:r>
          <w:rPr>
            <w:webHidden/>
          </w:rPr>
        </w:r>
        <w:r>
          <w:rPr>
            <w:webHidden/>
          </w:rPr>
          <w:fldChar w:fldCharType="separate"/>
        </w:r>
        <w:r>
          <w:rPr>
            <w:webHidden/>
          </w:rPr>
          <w:t>125</w:t>
        </w:r>
        <w:r>
          <w:rPr>
            <w:webHidden/>
          </w:rPr>
          <w:fldChar w:fldCharType="end"/>
        </w:r>
      </w:hyperlink>
    </w:p>
    <w:p w14:paraId="28C328BF" w14:textId="37426F21" w:rsidR="00952056" w:rsidRDefault="00952056">
      <w:pPr>
        <w:pStyle w:val="Spistreci2"/>
        <w:rPr>
          <w:rFonts w:asciiTheme="minorHAnsi" w:eastAsiaTheme="minorEastAsia" w:hAnsiTheme="minorHAnsi" w:cstheme="minorBidi"/>
          <w:sz w:val="22"/>
          <w:lang w:val="pl-PL" w:eastAsia="pl-PL"/>
        </w:rPr>
      </w:pPr>
      <w:hyperlink w:anchor="_Toc125446471" w:history="1">
        <w:r w:rsidRPr="000913D1">
          <w:rPr>
            <w:rStyle w:val="Hipercze"/>
          </w:rPr>
          <w:t>A 2.1</w:t>
        </w:r>
        <w:r>
          <w:rPr>
            <w:rFonts w:asciiTheme="minorHAnsi" w:eastAsiaTheme="minorEastAsia" w:hAnsiTheme="minorHAnsi" w:cstheme="minorBidi"/>
            <w:sz w:val="22"/>
            <w:lang w:val="pl-PL" w:eastAsia="pl-PL"/>
          </w:rPr>
          <w:tab/>
        </w:r>
        <w:r w:rsidRPr="000913D1">
          <w:rPr>
            <w:rStyle w:val="Hipercze"/>
          </w:rPr>
          <w:t>KCP 10.1 Effects on birds and other terrestrial vertebrates</w:t>
        </w:r>
        <w:r>
          <w:rPr>
            <w:webHidden/>
          </w:rPr>
          <w:tab/>
        </w:r>
        <w:r>
          <w:rPr>
            <w:webHidden/>
          </w:rPr>
          <w:fldChar w:fldCharType="begin"/>
        </w:r>
        <w:r>
          <w:rPr>
            <w:webHidden/>
          </w:rPr>
          <w:instrText xml:space="preserve"> PAGEREF _Toc125446471 \h </w:instrText>
        </w:r>
        <w:r>
          <w:rPr>
            <w:webHidden/>
          </w:rPr>
        </w:r>
        <w:r>
          <w:rPr>
            <w:webHidden/>
          </w:rPr>
          <w:fldChar w:fldCharType="separate"/>
        </w:r>
        <w:r>
          <w:rPr>
            <w:webHidden/>
          </w:rPr>
          <w:t>125</w:t>
        </w:r>
        <w:r>
          <w:rPr>
            <w:webHidden/>
          </w:rPr>
          <w:fldChar w:fldCharType="end"/>
        </w:r>
      </w:hyperlink>
    </w:p>
    <w:p w14:paraId="61FEEE31" w14:textId="2A4D9A41" w:rsidR="00952056" w:rsidRDefault="00952056">
      <w:pPr>
        <w:pStyle w:val="Spistreci3"/>
        <w:rPr>
          <w:rFonts w:asciiTheme="minorHAnsi" w:eastAsiaTheme="minorEastAsia" w:hAnsiTheme="minorHAnsi" w:cstheme="minorBidi"/>
          <w:sz w:val="22"/>
          <w:szCs w:val="22"/>
          <w:lang w:val="pl-PL" w:eastAsia="pl-PL"/>
        </w:rPr>
      </w:pPr>
      <w:hyperlink w:anchor="_Toc125446472" w:history="1">
        <w:r w:rsidRPr="000913D1">
          <w:rPr>
            <w:rStyle w:val="Hipercze"/>
          </w:rPr>
          <w:t>A 2.1.1</w:t>
        </w:r>
        <w:r>
          <w:rPr>
            <w:rFonts w:asciiTheme="minorHAnsi" w:eastAsiaTheme="minorEastAsia" w:hAnsiTheme="minorHAnsi" w:cstheme="minorBidi"/>
            <w:sz w:val="22"/>
            <w:szCs w:val="22"/>
            <w:lang w:val="pl-PL" w:eastAsia="pl-PL"/>
          </w:rPr>
          <w:tab/>
        </w:r>
        <w:r w:rsidRPr="000913D1">
          <w:rPr>
            <w:rStyle w:val="Hipercze"/>
          </w:rPr>
          <w:t>KCP 10.1.1 Effects on birds</w:t>
        </w:r>
        <w:r>
          <w:rPr>
            <w:webHidden/>
          </w:rPr>
          <w:tab/>
        </w:r>
        <w:r>
          <w:rPr>
            <w:webHidden/>
          </w:rPr>
          <w:fldChar w:fldCharType="begin"/>
        </w:r>
        <w:r>
          <w:rPr>
            <w:webHidden/>
          </w:rPr>
          <w:instrText xml:space="preserve"> PAGEREF _Toc125446472 \h </w:instrText>
        </w:r>
        <w:r>
          <w:rPr>
            <w:webHidden/>
          </w:rPr>
        </w:r>
        <w:r>
          <w:rPr>
            <w:webHidden/>
          </w:rPr>
          <w:fldChar w:fldCharType="separate"/>
        </w:r>
        <w:r>
          <w:rPr>
            <w:webHidden/>
          </w:rPr>
          <w:t>125</w:t>
        </w:r>
        <w:r>
          <w:rPr>
            <w:webHidden/>
          </w:rPr>
          <w:fldChar w:fldCharType="end"/>
        </w:r>
      </w:hyperlink>
    </w:p>
    <w:p w14:paraId="0C04C098" w14:textId="6071E0A7" w:rsidR="00952056" w:rsidRDefault="00952056">
      <w:pPr>
        <w:pStyle w:val="Spistreci3"/>
        <w:rPr>
          <w:rFonts w:asciiTheme="minorHAnsi" w:eastAsiaTheme="minorEastAsia" w:hAnsiTheme="minorHAnsi" w:cstheme="minorBidi"/>
          <w:sz w:val="22"/>
          <w:szCs w:val="22"/>
          <w:lang w:val="pl-PL" w:eastAsia="pl-PL"/>
        </w:rPr>
      </w:pPr>
      <w:hyperlink w:anchor="_Toc125446473" w:history="1">
        <w:r w:rsidRPr="000913D1">
          <w:rPr>
            <w:rStyle w:val="Hipercze"/>
          </w:rPr>
          <w:t>A 2.1.2</w:t>
        </w:r>
        <w:r>
          <w:rPr>
            <w:rFonts w:asciiTheme="minorHAnsi" w:eastAsiaTheme="minorEastAsia" w:hAnsiTheme="minorHAnsi" w:cstheme="minorBidi"/>
            <w:sz w:val="22"/>
            <w:szCs w:val="22"/>
            <w:lang w:val="pl-PL" w:eastAsia="pl-PL"/>
          </w:rPr>
          <w:tab/>
        </w:r>
        <w:r w:rsidRPr="000913D1">
          <w:rPr>
            <w:rStyle w:val="Hipercze"/>
          </w:rPr>
          <w:t>KCP 10.1.2  Effects on terrestrial vertebrates other than birds</w:t>
        </w:r>
        <w:r>
          <w:rPr>
            <w:webHidden/>
          </w:rPr>
          <w:tab/>
        </w:r>
        <w:r>
          <w:rPr>
            <w:webHidden/>
          </w:rPr>
          <w:fldChar w:fldCharType="begin"/>
        </w:r>
        <w:r>
          <w:rPr>
            <w:webHidden/>
          </w:rPr>
          <w:instrText xml:space="preserve"> PAGEREF _Toc125446473 \h </w:instrText>
        </w:r>
        <w:r>
          <w:rPr>
            <w:webHidden/>
          </w:rPr>
        </w:r>
        <w:r>
          <w:rPr>
            <w:webHidden/>
          </w:rPr>
          <w:fldChar w:fldCharType="separate"/>
        </w:r>
        <w:r>
          <w:rPr>
            <w:webHidden/>
          </w:rPr>
          <w:t>134</w:t>
        </w:r>
        <w:r>
          <w:rPr>
            <w:webHidden/>
          </w:rPr>
          <w:fldChar w:fldCharType="end"/>
        </w:r>
      </w:hyperlink>
    </w:p>
    <w:p w14:paraId="2D5D4530" w14:textId="5FFA2960" w:rsidR="00952056" w:rsidRDefault="00952056">
      <w:pPr>
        <w:pStyle w:val="Spistreci3"/>
        <w:rPr>
          <w:rFonts w:asciiTheme="minorHAnsi" w:eastAsiaTheme="minorEastAsia" w:hAnsiTheme="minorHAnsi" w:cstheme="minorBidi"/>
          <w:sz w:val="22"/>
          <w:szCs w:val="22"/>
          <w:lang w:val="pl-PL" w:eastAsia="pl-PL"/>
        </w:rPr>
      </w:pPr>
      <w:hyperlink w:anchor="_Toc125446474" w:history="1">
        <w:r w:rsidRPr="000913D1">
          <w:rPr>
            <w:rStyle w:val="Hipercze"/>
          </w:rPr>
          <w:t>A 2.1.3</w:t>
        </w:r>
        <w:r>
          <w:rPr>
            <w:rFonts w:asciiTheme="minorHAnsi" w:eastAsiaTheme="minorEastAsia" w:hAnsiTheme="minorHAnsi" w:cstheme="minorBidi"/>
            <w:sz w:val="22"/>
            <w:szCs w:val="22"/>
            <w:lang w:val="pl-PL" w:eastAsia="pl-PL"/>
          </w:rPr>
          <w:tab/>
        </w:r>
        <w:r w:rsidRPr="000913D1">
          <w:rPr>
            <w:rStyle w:val="Hipercze"/>
          </w:rPr>
          <w:t>KCP 10.1.3 Effects on other terrestrial vertebrate wildlife (reptiles and amphibians)</w:t>
        </w:r>
        <w:r>
          <w:rPr>
            <w:webHidden/>
          </w:rPr>
          <w:tab/>
        </w:r>
        <w:r>
          <w:rPr>
            <w:webHidden/>
          </w:rPr>
          <w:fldChar w:fldCharType="begin"/>
        </w:r>
        <w:r>
          <w:rPr>
            <w:webHidden/>
          </w:rPr>
          <w:instrText xml:space="preserve"> PAGEREF _Toc125446474 \h </w:instrText>
        </w:r>
        <w:r>
          <w:rPr>
            <w:webHidden/>
          </w:rPr>
        </w:r>
        <w:r>
          <w:rPr>
            <w:webHidden/>
          </w:rPr>
          <w:fldChar w:fldCharType="separate"/>
        </w:r>
        <w:r>
          <w:rPr>
            <w:webHidden/>
          </w:rPr>
          <w:t>134</w:t>
        </w:r>
        <w:r>
          <w:rPr>
            <w:webHidden/>
          </w:rPr>
          <w:fldChar w:fldCharType="end"/>
        </w:r>
      </w:hyperlink>
    </w:p>
    <w:p w14:paraId="6E33FE3A" w14:textId="0E6961A3" w:rsidR="00952056" w:rsidRDefault="00952056">
      <w:pPr>
        <w:pStyle w:val="Spistreci2"/>
        <w:rPr>
          <w:rFonts w:asciiTheme="minorHAnsi" w:eastAsiaTheme="minorEastAsia" w:hAnsiTheme="minorHAnsi" w:cstheme="minorBidi"/>
          <w:sz w:val="22"/>
          <w:lang w:val="pl-PL" w:eastAsia="pl-PL"/>
        </w:rPr>
      </w:pPr>
      <w:hyperlink w:anchor="_Toc125446475" w:history="1">
        <w:r w:rsidRPr="000913D1">
          <w:rPr>
            <w:rStyle w:val="Hipercze"/>
          </w:rPr>
          <w:t>A 2.2</w:t>
        </w:r>
        <w:r>
          <w:rPr>
            <w:rFonts w:asciiTheme="minorHAnsi" w:eastAsiaTheme="minorEastAsia" w:hAnsiTheme="minorHAnsi" w:cstheme="minorBidi"/>
            <w:sz w:val="22"/>
            <w:lang w:val="pl-PL" w:eastAsia="pl-PL"/>
          </w:rPr>
          <w:tab/>
        </w:r>
        <w:r w:rsidRPr="000913D1">
          <w:rPr>
            <w:rStyle w:val="Hipercze"/>
          </w:rPr>
          <w:t>KCP 10.2 Effects on aquatic organisms</w:t>
        </w:r>
        <w:r>
          <w:rPr>
            <w:webHidden/>
          </w:rPr>
          <w:tab/>
        </w:r>
        <w:r>
          <w:rPr>
            <w:webHidden/>
          </w:rPr>
          <w:fldChar w:fldCharType="begin"/>
        </w:r>
        <w:r>
          <w:rPr>
            <w:webHidden/>
          </w:rPr>
          <w:instrText xml:space="preserve"> PAGEREF _Toc125446475 \h </w:instrText>
        </w:r>
        <w:r>
          <w:rPr>
            <w:webHidden/>
          </w:rPr>
        </w:r>
        <w:r>
          <w:rPr>
            <w:webHidden/>
          </w:rPr>
          <w:fldChar w:fldCharType="separate"/>
        </w:r>
        <w:r>
          <w:rPr>
            <w:webHidden/>
          </w:rPr>
          <w:t>135</w:t>
        </w:r>
        <w:r>
          <w:rPr>
            <w:webHidden/>
          </w:rPr>
          <w:fldChar w:fldCharType="end"/>
        </w:r>
      </w:hyperlink>
    </w:p>
    <w:p w14:paraId="5BACF553" w14:textId="4D7E9A31" w:rsidR="00952056" w:rsidRDefault="00952056">
      <w:pPr>
        <w:pStyle w:val="Spistreci3"/>
        <w:rPr>
          <w:rFonts w:asciiTheme="minorHAnsi" w:eastAsiaTheme="minorEastAsia" w:hAnsiTheme="minorHAnsi" w:cstheme="minorBidi"/>
          <w:sz w:val="22"/>
          <w:szCs w:val="22"/>
          <w:lang w:val="pl-PL" w:eastAsia="pl-PL"/>
        </w:rPr>
      </w:pPr>
      <w:hyperlink w:anchor="_Toc125446476" w:history="1">
        <w:r w:rsidRPr="000913D1">
          <w:rPr>
            <w:rStyle w:val="Hipercze"/>
          </w:rPr>
          <w:t>A 2.2.1</w:t>
        </w:r>
        <w:r>
          <w:rPr>
            <w:rFonts w:asciiTheme="minorHAnsi" w:eastAsiaTheme="minorEastAsia" w:hAnsiTheme="minorHAnsi" w:cstheme="minorBidi"/>
            <w:sz w:val="22"/>
            <w:szCs w:val="22"/>
            <w:lang w:val="pl-PL" w:eastAsia="pl-PL"/>
          </w:rPr>
          <w:tab/>
        </w:r>
        <w:r w:rsidRPr="000913D1">
          <w:rPr>
            <w:rStyle w:val="Hipercze"/>
          </w:rPr>
          <w:t>KCP 10.2.1 Acute toxicity to fish, aquatic invertebrates, or effects on aquatic algae and macrophytes</w:t>
        </w:r>
        <w:r>
          <w:rPr>
            <w:webHidden/>
          </w:rPr>
          <w:tab/>
        </w:r>
        <w:r>
          <w:rPr>
            <w:webHidden/>
          </w:rPr>
          <w:fldChar w:fldCharType="begin"/>
        </w:r>
        <w:r>
          <w:rPr>
            <w:webHidden/>
          </w:rPr>
          <w:instrText xml:space="preserve"> PAGEREF _Toc125446476 \h </w:instrText>
        </w:r>
        <w:r>
          <w:rPr>
            <w:webHidden/>
          </w:rPr>
        </w:r>
        <w:r>
          <w:rPr>
            <w:webHidden/>
          </w:rPr>
          <w:fldChar w:fldCharType="separate"/>
        </w:r>
        <w:r>
          <w:rPr>
            <w:webHidden/>
          </w:rPr>
          <w:t>135</w:t>
        </w:r>
        <w:r>
          <w:rPr>
            <w:webHidden/>
          </w:rPr>
          <w:fldChar w:fldCharType="end"/>
        </w:r>
      </w:hyperlink>
    </w:p>
    <w:p w14:paraId="154C4D8B" w14:textId="7545AAA2" w:rsidR="00952056" w:rsidRDefault="00952056">
      <w:pPr>
        <w:pStyle w:val="Spistreci3"/>
        <w:rPr>
          <w:rFonts w:asciiTheme="minorHAnsi" w:eastAsiaTheme="minorEastAsia" w:hAnsiTheme="minorHAnsi" w:cstheme="minorBidi"/>
          <w:sz w:val="22"/>
          <w:szCs w:val="22"/>
          <w:lang w:val="pl-PL" w:eastAsia="pl-PL"/>
        </w:rPr>
      </w:pPr>
      <w:hyperlink w:anchor="_Toc125446477" w:history="1">
        <w:r w:rsidRPr="000913D1">
          <w:rPr>
            <w:rStyle w:val="Hipercze"/>
          </w:rPr>
          <w:t>A 2.2.2</w:t>
        </w:r>
        <w:r>
          <w:rPr>
            <w:rFonts w:asciiTheme="minorHAnsi" w:eastAsiaTheme="minorEastAsia" w:hAnsiTheme="minorHAnsi" w:cstheme="minorBidi"/>
            <w:sz w:val="22"/>
            <w:szCs w:val="22"/>
            <w:lang w:val="pl-PL" w:eastAsia="pl-PL"/>
          </w:rPr>
          <w:tab/>
        </w:r>
        <w:r w:rsidRPr="000913D1">
          <w:rPr>
            <w:rStyle w:val="Hipercze"/>
          </w:rPr>
          <w:t>KCP 10.2.2 Additional long-term and chronic toxicity studies on fish, aquatic invertebrates and sediment dwelling organisms</w:t>
        </w:r>
        <w:r>
          <w:rPr>
            <w:webHidden/>
          </w:rPr>
          <w:tab/>
        </w:r>
        <w:r>
          <w:rPr>
            <w:webHidden/>
          </w:rPr>
          <w:fldChar w:fldCharType="begin"/>
        </w:r>
        <w:r>
          <w:rPr>
            <w:webHidden/>
          </w:rPr>
          <w:instrText xml:space="preserve"> PAGEREF _Toc125446477 \h </w:instrText>
        </w:r>
        <w:r>
          <w:rPr>
            <w:webHidden/>
          </w:rPr>
        </w:r>
        <w:r>
          <w:rPr>
            <w:webHidden/>
          </w:rPr>
          <w:fldChar w:fldCharType="separate"/>
        </w:r>
        <w:r>
          <w:rPr>
            <w:webHidden/>
          </w:rPr>
          <w:t>147</w:t>
        </w:r>
        <w:r>
          <w:rPr>
            <w:webHidden/>
          </w:rPr>
          <w:fldChar w:fldCharType="end"/>
        </w:r>
      </w:hyperlink>
    </w:p>
    <w:p w14:paraId="2B477F8D" w14:textId="6255EFCE" w:rsidR="00952056" w:rsidRDefault="00952056">
      <w:pPr>
        <w:pStyle w:val="Spistreci3"/>
        <w:rPr>
          <w:rFonts w:asciiTheme="minorHAnsi" w:eastAsiaTheme="minorEastAsia" w:hAnsiTheme="minorHAnsi" w:cstheme="minorBidi"/>
          <w:sz w:val="22"/>
          <w:szCs w:val="22"/>
          <w:lang w:val="pl-PL" w:eastAsia="pl-PL"/>
        </w:rPr>
      </w:pPr>
      <w:hyperlink w:anchor="_Toc125446478" w:history="1">
        <w:r w:rsidRPr="000913D1">
          <w:rPr>
            <w:rStyle w:val="Hipercze"/>
          </w:rPr>
          <w:t>A 2.2.3</w:t>
        </w:r>
        <w:r>
          <w:rPr>
            <w:rFonts w:asciiTheme="minorHAnsi" w:eastAsiaTheme="minorEastAsia" w:hAnsiTheme="minorHAnsi" w:cstheme="minorBidi"/>
            <w:sz w:val="22"/>
            <w:szCs w:val="22"/>
            <w:lang w:val="pl-PL" w:eastAsia="pl-PL"/>
          </w:rPr>
          <w:tab/>
        </w:r>
        <w:r w:rsidRPr="000913D1">
          <w:rPr>
            <w:rStyle w:val="Hipercze"/>
          </w:rPr>
          <w:t>KCP 10.2.3 Further testing on aquatic organisms</w:t>
        </w:r>
        <w:r>
          <w:rPr>
            <w:webHidden/>
          </w:rPr>
          <w:tab/>
        </w:r>
        <w:r>
          <w:rPr>
            <w:webHidden/>
          </w:rPr>
          <w:fldChar w:fldCharType="begin"/>
        </w:r>
        <w:r>
          <w:rPr>
            <w:webHidden/>
          </w:rPr>
          <w:instrText xml:space="preserve"> PAGEREF _Toc125446478 \h </w:instrText>
        </w:r>
        <w:r>
          <w:rPr>
            <w:webHidden/>
          </w:rPr>
        </w:r>
        <w:r>
          <w:rPr>
            <w:webHidden/>
          </w:rPr>
          <w:fldChar w:fldCharType="separate"/>
        </w:r>
        <w:r>
          <w:rPr>
            <w:webHidden/>
          </w:rPr>
          <w:t>147</w:t>
        </w:r>
        <w:r>
          <w:rPr>
            <w:webHidden/>
          </w:rPr>
          <w:fldChar w:fldCharType="end"/>
        </w:r>
      </w:hyperlink>
    </w:p>
    <w:p w14:paraId="70F50495" w14:textId="0F72A872" w:rsidR="00952056" w:rsidRDefault="00952056">
      <w:pPr>
        <w:pStyle w:val="Spistreci2"/>
        <w:rPr>
          <w:rFonts w:asciiTheme="minorHAnsi" w:eastAsiaTheme="minorEastAsia" w:hAnsiTheme="minorHAnsi" w:cstheme="minorBidi"/>
          <w:sz w:val="22"/>
          <w:lang w:val="pl-PL" w:eastAsia="pl-PL"/>
        </w:rPr>
      </w:pPr>
      <w:hyperlink w:anchor="_Toc125446479" w:history="1">
        <w:r w:rsidRPr="000913D1">
          <w:rPr>
            <w:rStyle w:val="Hipercze"/>
          </w:rPr>
          <w:t>A 2.3</w:t>
        </w:r>
        <w:r>
          <w:rPr>
            <w:rFonts w:asciiTheme="minorHAnsi" w:eastAsiaTheme="minorEastAsia" w:hAnsiTheme="minorHAnsi" w:cstheme="minorBidi"/>
            <w:sz w:val="22"/>
            <w:lang w:val="pl-PL" w:eastAsia="pl-PL"/>
          </w:rPr>
          <w:tab/>
        </w:r>
        <w:r w:rsidRPr="000913D1">
          <w:rPr>
            <w:rStyle w:val="Hipercze"/>
          </w:rPr>
          <w:t>KCP 10.3  Effects on arthropods</w:t>
        </w:r>
        <w:r>
          <w:rPr>
            <w:webHidden/>
          </w:rPr>
          <w:tab/>
        </w:r>
        <w:r>
          <w:rPr>
            <w:webHidden/>
          </w:rPr>
          <w:fldChar w:fldCharType="begin"/>
        </w:r>
        <w:r>
          <w:rPr>
            <w:webHidden/>
          </w:rPr>
          <w:instrText xml:space="preserve"> PAGEREF _Toc125446479 \h </w:instrText>
        </w:r>
        <w:r>
          <w:rPr>
            <w:webHidden/>
          </w:rPr>
        </w:r>
        <w:r>
          <w:rPr>
            <w:webHidden/>
          </w:rPr>
          <w:fldChar w:fldCharType="separate"/>
        </w:r>
        <w:r>
          <w:rPr>
            <w:webHidden/>
          </w:rPr>
          <w:t>148</w:t>
        </w:r>
        <w:r>
          <w:rPr>
            <w:webHidden/>
          </w:rPr>
          <w:fldChar w:fldCharType="end"/>
        </w:r>
      </w:hyperlink>
    </w:p>
    <w:p w14:paraId="02BDC976" w14:textId="47D6A755" w:rsidR="00952056" w:rsidRDefault="00952056">
      <w:pPr>
        <w:pStyle w:val="Spistreci3"/>
        <w:rPr>
          <w:rFonts w:asciiTheme="minorHAnsi" w:eastAsiaTheme="minorEastAsia" w:hAnsiTheme="minorHAnsi" w:cstheme="minorBidi"/>
          <w:sz w:val="22"/>
          <w:szCs w:val="22"/>
          <w:lang w:val="pl-PL" w:eastAsia="pl-PL"/>
        </w:rPr>
      </w:pPr>
      <w:hyperlink w:anchor="_Toc125446480" w:history="1">
        <w:r w:rsidRPr="000913D1">
          <w:rPr>
            <w:rStyle w:val="Hipercze"/>
          </w:rPr>
          <w:t>A 2.3.1</w:t>
        </w:r>
        <w:r>
          <w:rPr>
            <w:rFonts w:asciiTheme="minorHAnsi" w:eastAsiaTheme="minorEastAsia" w:hAnsiTheme="minorHAnsi" w:cstheme="minorBidi"/>
            <w:sz w:val="22"/>
            <w:szCs w:val="22"/>
            <w:lang w:val="pl-PL" w:eastAsia="pl-PL"/>
          </w:rPr>
          <w:tab/>
        </w:r>
        <w:r w:rsidRPr="000913D1">
          <w:rPr>
            <w:rStyle w:val="Hipercze"/>
          </w:rPr>
          <w:t>KCP 10.3.1  Effects on bees</w:t>
        </w:r>
        <w:r>
          <w:rPr>
            <w:webHidden/>
          </w:rPr>
          <w:tab/>
        </w:r>
        <w:r>
          <w:rPr>
            <w:webHidden/>
          </w:rPr>
          <w:fldChar w:fldCharType="begin"/>
        </w:r>
        <w:r>
          <w:rPr>
            <w:webHidden/>
          </w:rPr>
          <w:instrText xml:space="preserve"> PAGEREF _Toc125446480 \h </w:instrText>
        </w:r>
        <w:r>
          <w:rPr>
            <w:webHidden/>
          </w:rPr>
        </w:r>
        <w:r>
          <w:rPr>
            <w:webHidden/>
          </w:rPr>
          <w:fldChar w:fldCharType="separate"/>
        </w:r>
        <w:r>
          <w:rPr>
            <w:webHidden/>
          </w:rPr>
          <w:t>148</w:t>
        </w:r>
        <w:r>
          <w:rPr>
            <w:webHidden/>
          </w:rPr>
          <w:fldChar w:fldCharType="end"/>
        </w:r>
      </w:hyperlink>
    </w:p>
    <w:p w14:paraId="45E654C3" w14:textId="67AC62CA" w:rsidR="00952056" w:rsidRDefault="00952056">
      <w:pPr>
        <w:pStyle w:val="Spistreci3"/>
        <w:rPr>
          <w:rFonts w:asciiTheme="minorHAnsi" w:eastAsiaTheme="minorEastAsia" w:hAnsiTheme="minorHAnsi" w:cstheme="minorBidi"/>
          <w:sz w:val="22"/>
          <w:szCs w:val="22"/>
          <w:lang w:val="pl-PL" w:eastAsia="pl-PL"/>
        </w:rPr>
      </w:pPr>
      <w:hyperlink w:anchor="_Toc125446481" w:history="1">
        <w:r w:rsidRPr="000913D1">
          <w:rPr>
            <w:rStyle w:val="Hipercze"/>
          </w:rPr>
          <w:t>A 2.3.2</w:t>
        </w:r>
        <w:r>
          <w:rPr>
            <w:rFonts w:asciiTheme="minorHAnsi" w:eastAsiaTheme="minorEastAsia" w:hAnsiTheme="minorHAnsi" w:cstheme="minorBidi"/>
            <w:sz w:val="22"/>
            <w:szCs w:val="22"/>
            <w:lang w:val="pl-PL" w:eastAsia="pl-PL"/>
          </w:rPr>
          <w:tab/>
        </w:r>
        <w:r w:rsidRPr="000913D1">
          <w:rPr>
            <w:rStyle w:val="Hipercze"/>
          </w:rPr>
          <w:t>KCP 10.3.2 Effects on non-target arthropods other than bees</w:t>
        </w:r>
        <w:r>
          <w:rPr>
            <w:webHidden/>
          </w:rPr>
          <w:tab/>
        </w:r>
        <w:r>
          <w:rPr>
            <w:webHidden/>
          </w:rPr>
          <w:fldChar w:fldCharType="begin"/>
        </w:r>
        <w:r>
          <w:rPr>
            <w:webHidden/>
          </w:rPr>
          <w:instrText xml:space="preserve"> PAGEREF _Toc125446481 \h </w:instrText>
        </w:r>
        <w:r>
          <w:rPr>
            <w:webHidden/>
          </w:rPr>
        </w:r>
        <w:r>
          <w:rPr>
            <w:webHidden/>
          </w:rPr>
          <w:fldChar w:fldCharType="separate"/>
        </w:r>
        <w:r>
          <w:rPr>
            <w:webHidden/>
          </w:rPr>
          <w:t>183</w:t>
        </w:r>
        <w:r>
          <w:rPr>
            <w:webHidden/>
          </w:rPr>
          <w:fldChar w:fldCharType="end"/>
        </w:r>
      </w:hyperlink>
    </w:p>
    <w:p w14:paraId="304E8CB8" w14:textId="3E618C17" w:rsidR="00952056" w:rsidRDefault="00952056">
      <w:pPr>
        <w:pStyle w:val="Spistreci3"/>
        <w:rPr>
          <w:rFonts w:asciiTheme="minorHAnsi" w:eastAsiaTheme="minorEastAsia" w:hAnsiTheme="minorHAnsi" w:cstheme="minorBidi"/>
          <w:sz w:val="22"/>
          <w:szCs w:val="22"/>
          <w:lang w:val="pl-PL" w:eastAsia="pl-PL"/>
        </w:rPr>
      </w:pPr>
      <w:hyperlink w:anchor="_Toc125446482" w:history="1">
        <w:r w:rsidRPr="000913D1">
          <w:rPr>
            <w:rStyle w:val="Hipercze"/>
          </w:rPr>
          <w:t>A 2.3.3</w:t>
        </w:r>
        <w:r>
          <w:rPr>
            <w:rFonts w:asciiTheme="minorHAnsi" w:eastAsiaTheme="minorEastAsia" w:hAnsiTheme="minorHAnsi" w:cstheme="minorBidi"/>
            <w:sz w:val="22"/>
            <w:szCs w:val="22"/>
            <w:lang w:val="pl-PL" w:eastAsia="pl-PL"/>
          </w:rPr>
          <w:tab/>
        </w:r>
        <w:r w:rsidRPr="000913D1">
          <w:rPr>
            <w:rStyle w:val="Hipercze"/>
          </w:rPr>
          <w:t>KCP 10.3.2.1 Standard laboratory testing for non-target arthropods</w:t>
        </w:r>
        <w:r>
          <w:rPr>
            <w:webHidden/>
          </w:rPr>
          <w:tab/>
        </w:r>
        <w:r>
          <w:rPr>
            <w:webHidden/>
          </w:rPr>
          <w:fldChar w:fldCharType="begin"/>
        </w:r>
        <w:r>
          <w:rPr>
            <w:webHidden/>
          </w:rPr>
          <w:instrText xml:space="preserve"> PAGEREF _Toc125446482 \h </w:instrText>
        </w:r>
        <w:r>
          <w:rPr>
            <w:webHidden/>
          </w:rPr>
        </w:r>
        <w:r>
          <w:rPr>
            <w:webHidden/>
          </w:rPr>
          <w:fldChar w:fldCharType="separate"/>
        </w:r>
        <w:r>
          <w:rPr>
            <w:webHidden/>
          </w:rPr>
          <w:t>183</w:t>
        </w:r>
        <w:r>
          <w:rPr>
            <w:webHidden/>
          </w:rPr>
          <w:fldChar w:fldCharType="end"/>
        </w:r>
      </w:hyperlink>
    </w:p>
    <w:p w14:paraId="50792B16" w14:textId="311AC758" w:rsidR="00952056" w:rsidRDefault="00952056">
      <w:pPr>
        <w:pStyle w:val="Spistreci3"/>
        <w:rPr>
          <w:rFonts w:asciiTheme="minorHAnsi" w:eastAsiaTheme="minorEastAsia" w:hAnsiTheme="minorHAnsi" w:cstheme="minorBidi"/>
          <w:sz w:val="22"/>
          <w:szCs w:val="22"/>
          <w:lang w:val="pl-PL" w:eastAsia="pl-PL"/>
        </w:rPr>
      </w:pPr>
      <w:hyperlink w:anchor="_Toc125446483" w:history="1">
        <w:r w:rsidRPr="000913D1">
          <w:rPr>
            <w:rStyle w:val="Hipercze"/>
          </w:rPr>
          <w:t>A 2.3.4</w:t>
        </w:r>
        <w:r>
          <w:rPr>
            <w:rFonts w:asciiTheme="minorHAnsi" w:eastAsiaTheme="minorEastAsia" w:hAnsiTheme="minorHAnsi" w:cstheme="minorBidi"/>
            <w:sz w:val="22"/>
            <w:szCs w:val="22"/>
            <w:lang w:val="pl-PL" w:eastAsia="pl-PL"/>
          </w:rPr>
          <w:tab/>
        </w:r>
        <w:r w:rsidRPr="000913D1">
          <w:rPr>
            <w:rStyle w:val="Hipercze"/>
          </w:rPr>
          <w:t>KCP 10.3.2.2 Extended laboratory testing, aged residue studies with non-target arthropods</w:t>
        </w:r>
        <w:r>
          <w:rPr>
            <w:webHidden/>
          </w:rPr>
          <w:tab/>
        </w:r>
        <w:r>
          <w:rPr>
            <w:webHidden/>
          </w:rPr>
          <w:fldChar w:fldCharType="begin"/>
        </w:r>
        <w:r>
          <w:rPr>
            <w:webHidden/>
          </w:rPr>
          <w:instrText xml:space="preserve"> PAGEREF _Toc125446483 \h </w:instrText>
        </w:r>
        <w:r>
          <w:rPr>
            <w:webHidden/>
          </w:rPr>
        </w:r>
        <w:r>
          <w:rPr>
            <w:webHidden/>
          </w:rPr>
          <w:fldChar w:fldCharType="separate"/>
        </w:r>
        <w:r>
          <w:rPr>
            <w:webHidden/>
          </w:rPr>
          <w:t>189</w:t>
        </w:r>
        <w:r>
          <w:rPr>
            <w:webHidden/>
          </w:rPr>
          <w:fldChar w:fldCharType="end"/>
        </w:r>
      </w:hyperlink>
    </w:p>
    <w:p w14:paraId="5376C654" w14:textId="172B2F86" w:rsidR="00952056" w:rsidRDefault="00952056">
      <w:pPr>
        <w:pStyle w:val="Spistreci3"/>
        <w:rPr>
          <w:rFonts w:asciiTheme="minorHAnsi" w:eastAsiaTheme="minorEastAsia" w:hAnsiTheme="minorHAnsi" w:cstheme="minorBidi"/>
          <w:sz w:val="22"/>
          <w:szCs w:val="22"/>
          <w:lang w:val="pl-PL" w:eastAsia="pl-PL"/>
        </w:rPr>
      </w:pPr>
      <w:hyperlink w:anchor="_Toc125446484" w:history="1">
        <w:r w:rsidRPr="000913D1">
          <w:rPr>
            <w:rStyle w:val="Hipercze"/>
          </w:rPr>
          <w:t>A 2.3.5</w:t>
        </w:r>
        <w:r>
          <w:rPr>
            <w:rFonts w:asciiTheme="minorHAnsi" w:eastAsiaTheme="minorEastAsia" w:hAnsiTheme="minorHAnsi" w:cstheme="minorBidi"/>
            <w:sz w:val="22"/>
            <w:szCs w:val="22"/>
            <w:lang w:val="pl-PL" w:eastAsia="pl-PL"/>
          </w:rPr>
          <w:tab/>
        </w:r>
        <w:r w:rsidRPr="000913D1">
          <w:rPr>
            <w:rStyle w:val="Hipercze"/>
          </w:rPr>
          <w:t>KCP 10.3.2.3 Semi-field studies with non-target arthropods</w:t>
        </w:r>
        <w:r>
          <w:rPr>
            <w:webHidden/>
          </w:rPr>
          <w:tab/>
        </w:r>
        <w:r>
          <w:rPr>
            <w:webHidden/>
          </w:rPr>
          <w:fldChar w:fldCharType="begin"/>
        </w:r>
        <w:r>
          <w:rPr>
            <w:webHidden/>
          </w:rPr>
          <w:instrText xml:space="preserve"> PAGEREF _Toc125446484 \h </w:instrText>
        </w:r>
        <w:r>
          <w:rPr>
            <w:webHidden/>
          </w:rPr>
        </w:r>
        <w:r>
          <w:rPr>
            <w:webHidden/>
          </w:rPr>
          <w:fldChar w:fldCharType="separate"/>
        </w:r>
        <w:r>
          <w:rPr>
            <w:webHidden/>
          </w:rPr>
          <w:t>200</w:t>
        </w:r>
        <w:r>
          <w:rPr>
            <w:webHidden/>
          </w:rPr>
          <w:fldChar w:fldCharType="end"/>
        </w:r>
      </w:hyperlink>
    </w:p>
    <w:p w14:paraId="0EA36E78" w14:textId="309E675F" w:rsidR="00952056" w:rsidRDefault="00952056">
      <w:pPr>
        <w:pStyle w:val="Spistreci3"/>
        <w:rPr>
          <w:rFonts w:asciiTheme="minorHAnsi" w:eastAsiaTheme="minorEastAsia" w:hAnsiTheme="minorHAnsi" w:cstheme="minorBidi"/>
          <w:sz w:val="22"/>
          <w:szCs w:val="22"/>
          <w:lang w:val="pl-PL" w:eastAsia="pl-PL"/>
        </w:rPr>
      </w:pPr>
      <w:hyperlink w:anchor="_Toc125446485" w:history="1">
        <w:r w:rsidRPr="000913D1">
          <w:rPr>
            <w:rStyle w:val="Hipercze"/>
          </w:rPr>
          <w:t>A 2.3.6</w:t>
        </w:r>
        <w:r>
          <w:rPr>
            <w:rFonts w:asciiTheme="minorHAnsi" w:eastAsiaTheme="minorEastAsia" w:hAnsiTheme="minorHAnsi" w:cstheme="minorBidi"/>
            <w:sz w:val="22"/>
            <w:szCs w:val="22"/>
            <w:lang w:val="pl-PL" w:eastAsia="pl-PL"/>
          </w:rPr>
          <w:tab/>
        </w:r>
        <w:r w:rsidRPr="000913D1">
          <w:rPr>
            <w:rStyle w:val="Hipercze"/>
          </w:rPr>
          <w:t>KCP 10.3.2.4 Field studies with non-target arthropods</w:t>
        </w:r>
        <w:r>
          <w:rPr>
            <w:webHidden/>
          </w:rPr>
          <w:tab/>
        </w:r>
        <w:r>
          <w:rPr>
            <w:webHidden/>
          </w:rPr>
          <w:fldChar w:fldCharType="begin"/>
        </w:r>
        <w:r>
          <w:rPr>
            <w:webHidden/>
          </w:rPr>
          <w:instrText xml:space="preserve"> PAGEREF _Toc125446485 \h </w:instrText>
        </w:r>
        <w:r>
          <w:rPr>
            <w:webHidden/>
          </w:rPr>
        </w:r>
        <w:r>
          <w:rPr>
            <w:webHidden/>
          </w:rPr>
          <w:fldChar w:fldCharType="separate"/>
        </w:r>
        <w:r>
          <w:rPr>
            <w:webHidden/>
          </w:rPr>
          <w:t>200</w:t>
        </w:r>
        <w:r>
          <w:rPr>
            <w:webHidden/>
          </w:rPr>
          <w:fldChar w:fldCharType="end"/>
        </w:r>
      </w:hyperlink>
    </w:p>
    <w:p w14:paraId="2ED19EED" w14:textId="68E49346" w:rsidR="00952056" w:rsidRDefault="00952056">
      <w:pPr>
        <w:pStyle w:val="Spistreci3"/>
        <w:rPr>
          <w:rFonts w:asciiTheme="minorHAnsi" w:eastAsiaTheme="minorEastAsia" w:hAnsiTheme="minorHAnsi" w:cstheme="minorBidi"/>
          <w:sz w:val="22"/>
          <w:szCs w:val="22"/>
          <w:lang w:val="pl-PL" w:eastAsia="pl-PL"/>
        </w:rPr>
      </w:pPr>
      <w:hyperlink w:anchor="_Toc125446486" w:history="1">
        <w:r w:rsidRPr="000913D1">
          <w:rPr>
            <w:rStyle w:val="Hipercze"/>
          </w:rPr>
          <w:t>A 2.3.7</w:t>
        </w:r>
        <w:r>
          <w:rPr>
            <w:rFonts w:asciiTheme="minorHAnsi" w:eastAsiaTheme="minorEastAsia" w:hAnsiTheme="minorHAnsi" w:cstheme="minorBidi"/>
            <w:sz w:val="22"/>
            <w:szCs w:val="22"/>
            <w:lang w:val="pl-PL" w:eastAsia="pl-PL"/>
          </w:rPr>
          <w:tab/>
        </w:r>
        <w:r w:rsidRPr="000913D1">
          <w:rPr>
            <w:rStyle w:val="Hipercze"/>
          </w:rPr>
          <w:t>KCP 10.3.2.5 Other routes of exposure for non-target arthropods</w:t>
        </w:r>
        <w:r>
          <w:rPr>
            <w:webHidden/>
          </w:rPr>
          <w:tab/>
        </w:r>
        <w:r>
          <w:rPr>
            <w:webHidden/>
          </w:rPr>
          <w:fldChar w:fldCharType="begin"/>
        </w:r>
        <w:r>
          <w:rPr>
            <w:webHidden/>
          </w:rPr>
          <w:instrText xml:space="preserve"> PAGEREF _Toc125446486 \h </w:instrText>
        </w:r>
        <w:r>
          <w:rPr>
            <w:webHidden/>
          </w:rPr>
        </w:r>
        <w:r>
          <w:rPr>
            <w:webHidden/>
          </w:rPr>
          <w:fldChar w:fldCharType="separate"/>
        </w:r>
        <w:r>
          <w:rPr>
            <w:webHidden/>
          </w:rPr>
          <w:t>200</w:t>
        </w:r>
        <w:r>
          <w:rPr>
            <w:webHidden/>
          </w:rPr>
          <w:fldChar w:fldCharType="end"/>
        </w:r>
      </w:hyperlink>
    </w:p>
    <w:p w14:paraId="3ACABFD1" w14:textId="433C66A7" w:rsidR="00952056" w:rsidRDefault="00952056">
      <w:pPr>
        <w:pStyle w:val="Spistreci2"/>
        <w:rPr>
          <w:rFonts w:asciiTheme="minorHAnsi" w:eastAsiaTheme="minorEastAsia" w:hAnsiTheme="minorHAnsi" w:cstheme="minorBidi"/>
          <w:sz w:val="22"/>
          <w:lang w:val="pl-PL" w:eastAsia="pl-PL"/>
        </w:rPr>
      </w:pPr>
      <w:hyperlink w:anchor="_Toc125446487" w:history="1">
        <w:r w:rsidRPr="000913D1">
          <w:rPr>
            <w:rStyle w:val="Hipercze"/>
          </w:rPr>
          <w:t>A 2.4</w:t>
        </w:r>
        <w:r>
          <w:rPr>
            <w:rFonts w:asciiTheme="minorHAnsi" w:eastAsiaTheme="minorEastAsia" w:hAnsiTheme="minorHAnsi" w:cstheme="minorBidi"/>
            <w:sz w:val="22"/>
            <w:lang w:val="pl-PL" w:eastAsia="pl-PL"/>
          </w:rPr>
          <w:tab/>
        </w:r>
        <w:r w:rsidRPr="000913D1">
          <w:rPr>
            <w:rStyle w:val="Hipercze"/>
          </w:rPr>
          <w:t>KCP 10.4  Effects on non-target soil meso- and macrofauna</w:t>
        </w:r>
        <w:r>
          <w:rPr>
            <w:webHidden/>
          </w:rPr>
          <w:tab/>
        </w:r>
        <w:r>
          <w:rPr>
            <w:webHidden/>
          </w:rPr>
          <w:fldChar w:fldCharType="begin"/>
        </w:r>
        <w:r>
          <w:rPr>
            <w:webHidden/>
          </w:rPr>
          <w:instrText xml:space="preserve"> PAGEREF _Toc125446487 \h </w:instrText>
        </w:r>
        <w:r>
          <w:rPr>
            <w:webHidden/>
          </w:rPr>
        </w:r>
        <w:r>
          <w:rPr>
            <w:webHidden/>
          </w:rPr>
          <w:fldChar w:fldCharType="separate"/>
        </w:r>
        <w:r>
          <w:rPr>
            <w:webHidden/>
          </w:rPr>
          <w:t>201</w:t>
        </w:r>
        <w:r>
          <w:rPr>
            <w:webHidden/>
          </w:rPr>
          <w:fldChar w:fldCharType="end"/>
        </w:r>
      </w:hyperlink>
    </w:p>
    <w:p w14:paraId="0F2D86FA" w14:textId="4632B4F0" w:rsidR="00952056" w:rsidRDefault="00952056">
      <w:pPr>
        <w:pStyle w:val="Spistreci3"/>
        <w:rPr>
          <w:rFonts w:asciiTheme="minorHAnsi" w:eastAsiaTheme="minorEastAsia" w:hAnsiTheme="minorHAnsi" w:cstheme="minorBidi"/>
          <w:sz w:val="22"/>
          <w:szCs w:val="22"/>
          <w:lang w:val="pl-PL" w:eastAsia="pl-PL"/>
        </w:rPr>
      </w:pPr>
      <w:hyperlink w:anchor="_Toc125446488" w:history="1">
        <w:r w:rsidRPr="000913D1">
          <w:rPr>
            <w:rStyle w:val="Hipercze"/>
          </w:rPr>
          <w:t>A 2.4.1</w:t>
        </w:r>
        <w:r>
          <w:rPr>
            <w:rFonts w:asciiTheme="minorHAnsi" w:eastAsiaTheme="minorEastAsia" w:hAnsiTheme="minorHAnsi" w:cstheme="minorBidi"/>
            <w:sz w:val="22"/>
            <w:szCs w:val="22"/>
            <w:lang w:val="pl-PL" w:eastAsia="pl-PL"/>
          </w:rPr>
          <w:tab/>
        </w:r>
        <w:r w:rsidRPr="000913D1">
          <w:rPr>
            <w:rStyle w:val="Hipercze"/>
          </w:rPr>
          <w:t>KCP 10.4.1  Earthworms</w:t>
        </w:r>
        <w:r>
          <w:rPr>
            <w:webHidden/>
          </w:rPr>
          <w:tab/>
        </w:r>
        <w:r>
          <w:rPr>
            <w:webHidden/>
          </w:rPr>
          <w:fldChar w:fldCharType="begin"/>
        </w:r>
        <w:r>
          <w:rPr>
            <w:webHidden/>
          </w:rPr>
          <w:instrText xml:space="preserve"> PAGEREF _Toc125446488 \h </w:instrText>
        </w:r>
        <w:r>
          <w:rPr>
            <w:webHidden/>
          </w:rPr>
        </w:r>
        <w:r>
          <w:rPr>
            <w:webHidden/>
          </w:rPr>
          <w:fldChar w:fldCharType="separate"/>
        </w:r>
        <w:r>
          <w:rPr>
            <w:webHidden/>
          </w:rPr>
          <w:t>201</w:t>
        </w:r>
        <w:r>
          <w:rPr>
            <w:webHidden/>
          </w:rPr>
          <w:fldChar w:fldCharType="end"/>
        </w:r>
      </w:hyperlink>
    </w:p>
    <w:p w14:paraId="609FD453" w14:textId="3C300EC2" w:rsidR="00952056" w:rsidRDefault="00952056">
      <w:pPr>
        <w:pStyle w:val="Spistreci3"/>
        <w:rPr>
          <w:rFonts w:asciiTheme="minorHAnsi" w:eastAsiaTheme="minorEastAsia" w:hAnsiTheme="minorHAnsi" w:cstheme="minorBidi"/>
          <w:sz w:val="22"/>
          <w:szCs w:val="22"/>
          <w:lang w:val="pl-PL" w:eastAsia="pl-PL"/>
        </w:rPr>
      </w:pPr>
      <w:hyperlink w:anchor="_Toc125446489" w:history="1">
        <w:r w:rsidRPr="000913D1">
          <w:rPr>
            <w:rStyle w:val="Hipercze"/>
          </w:rPr>
          <w:t>A 2.4.2</w:t>
        </w:r>
        <w:r>
          <w:rPr>
            <w:rFonts w:asciiTheme="minorHAnsi" w:eastAsiaTheme="minorEastAsia" w:hAnsiTheme="minorHAnsi" w:cstheme="minorBidi"/>
            <w:sz w:val="22"/>
            <w:szCs w:val="22"/>
            <w:lang w:val="pl-PL" w:eastAsia="pl-PL"/>
          </w:rPr>
          <w:tab/>
        </w:r>
        <w:r w:rsidRPr="000913D1">
          <w:rPr>
            <w:rStyle w:val="Hipercze"/>
          </w:rPr>
          <w:t>KCP 10.4.2  Effects on non-target soil meso- and macrofauna (other than earthworms)</w:t>
        </w:r>
        <w:r>
          <w:rPr>
            <w:webHidden/>
          </w:rPr>
          <w:tab/>
        </w:r>
        <w:r>
          <w:rPr>
            <w:webHidden/>
          </w:rPr>
          <w:fldChar w:fldCharType="begin"/>
        </w:r>
        <w:r>
          <w:rPr>
            <w:webHidden/>
          </w:rPr>
          <w:instrText xml:space="preserve"> PAGEREF _Toc125446489 \h </w:instrText>
        </w:r>
        <w:r>
          <w:rPr>
            <w:webHidden/>
          </w:rPr>
        </w:r>
        <w:r>
          <w:rPr>
            <w:webHidden/>
          </w:rPr>
          <w:fldChar w:fldCharType="separate"/>
        </w:r>
        <w:r>
          <w:rPr>
            <w:webHidden/>
          </w:rPr>
          <w:t>209</w:t>
        </w:r>
        <w:r>
          <w:rPr>
            <w:webHidden/>
          </w:rPr>
          <w:fldChar w:fldCharType="end"/>
        </w:r>
      </w:hyperlink>
    </w:p>
    <w:p w14:paraId="6EA15422" w14:textId="70115C5F" w:rsidR="00952056" w:rsidRDefault="00952056">
      <w:pPr>
        <w:pStyle w:val="Spistreci2"/>
        <w:rPr>
          <w:rFonts w:asciiTheme="minorHAnsi" w:eastAsiaTheme="minorEastAsia" w:hAnsiTheme="minorHAnsi" w:cstheme="minorBidi"/>
          <w:sz w:val="22"/>
          <w:lang w:val="pl-PL" w:eastAsia="pl-PL"/>
        </w:rPr>
      </w:pPr>
      <w:hyperlink w:anchor="_Toc125446490" w:history="1">
        <w:r w:rsidRPr="000913D1">
          <w:rPr>
            <w:rStyle w:val="Hipercze"/>
          </w:rPr>
          <w:t>A 2.5</w:t>
        </w:r>
        <w:r>
          <w:rPr>
            <w:rFonts w:asciiTheme="minorHAnsi" w:eastAsiaTheme="minorEastAsia" w:hAnsiTheme="minorHAnsi" w:cstheme="minorBidi"/>
            <w:sz w:val="22"/>
            <w:lang w:val="pl-PL" w:eastAsia="pl-PL"/>
          </w:rPr>
          <w:tab/>
        </w:r>
        <w:r w:rsidRPr="000913D1">
          <w:rPr>
            <w:rStyle w:val="Hipercze"/>
          </w:rPr>
          <w:t>KCP 10.5  Effects on soil nitrogen transformation</w:t>
        </w:r>
        <w:r>
          <w:rPr>
            <w:webHidden/>
          </w:rPr>
          <w:tab/>
        </w:r>
        <w:r>
          <w:rPr>
            <w:webHidden/>
          </w:rPr>
          <w:fldChar w:fldCharType="begin"/>
        </w:r>
        <w:r>
          <w:rPr>
            <w:webHidden/>
          </w:rPr>
          <w:instrText xml:space="preserve"> PAGEREF _Toc125446490 \h </w:instrText>
        </w:r>
        <w:r>
          <w:rPr>
            <w:webHidden/>
          </w:rPr>
        </w:r>
        <w:r>
          <w:rPr>
            <w:webHidden/>
          </w:rPr>
          <w:fldChar w:fldCharType="separate"/>
        </w:r>
        <w:r>
          <w:rPr>
            <w:webHidden/>
          </w:rPr>
          <w:t>223</w:t>
        </w:r>
        <w:r>
          <w:rPr>
            <w:webHidden/>
          </w:rPr>
          <w:fldChar w:fldCharType="end"/>
        </w:r>
      </w:hyperlink>
    </w:p>
    <w:p w14:paraId="3E259057" w14:textId="4FB97EC6" w:rsidR="00952056" w:rsidRDefault="00952056">
      <w:pPr>
        <w:pStyle w:val="Spistreci3"/>
        <w:rPr>
          <w:rFonts w:asciiTheme="minorHAnsi" w:eastAsiaTheme="minorEastAsia" w:hAnsiTheme="minorHAnsi" w:cstheme="minorBidi"/>
          <w:sz w:val="22"/>
          <w:szCs w:val="22"/>
          <w:lang w:val="pl-PL" w:eastAsia="pl-PL"/>
        </w:rPr>
      </w:pPr>
      <w:hyperlink w:anchor="_Toc125446491" w:history="1">
        <w:r w:rsidRPr="000913D1">
          <w:rPr>
            <w:rStyle w:val="Hipercze"/>
          </w:rPr>
          <w:t>A 2.5.1</w:t>
        </w:r>
        <w:r>
          <w:rPr>
            <w:rFonts w:asciiTheme="minorHAnsi" w:eastAsiaTheme="minorEastAsia" w:hAnsiTheme="minorHAnsi" w:cstheme="minorBidi"/>
            <w:sz w:val="22"/>
            <w:szCs w:val="22"/>
            <w:lang w:val="pl-PL" w:eastAsia="pl-PL"/>
          </w:rPr>
          <w:tab/>
        </w:r>
        <w:r w:rsidRPr="000913D1">
          <w:rPr>
            <w:rStyle w:val="Hipercze"/>
          </w:rPr>
          <w:t>Study 1</w:t>
        </w:r>
        <w:r>
          <w:rPr>
            <w:webHidden/>
          </w:rPr>
          <w:tab/>
        </w:r>
        <w:r>
          <w:rPr>
            <w:webHidden/>
          </w:rPr>
          <w:fldChar w:fldCharType="begin"/>
        </w:r>
        <w:r>
          <w:rPr>
            <w:webHidden/>
          </w:rPr>
          <w:instrText xml:space="preserve"> PAGEREF _Toc125446491 \h </w:instrText>
        </w:r>
        <w:r>
          <w:rPr>
            <w:webHidden/>
          </w:rPr>
        </w:r>
        <w:r>
          <w:rPr>
            <w:webHidden/>
          </w:rPr>
          <w:fldChar w:fldCharType="separate"/>
        </w:r>
        <w:r>
          <w:rPr>
            <w:webHidden/>
          </w:rPr>
          <w:t>223</w:t>
        </w:r>
        <w:r>
          <w:rPr>
            <w:webHidden/>
          </w:rPr>
          <w:fldChar w:fldCharType="end"/>
        </w:r>
      </w:hyperlink>
    </w:p>
    <w:p w14:paraId="421F3A57" w14:textId="0EB927BF" w:rsidR="00952056" w:rsidRDefault="00952056">
      <w:pPr>
        <w:pStyle w:val="Spistreci2"/>
        <w:rPr>
          <w:rFonts w:asciiTheme="minorHAnsi" w:eastAsiaTheme="minorEastAsia" w:hAnsiTheme="minorHAnsi" w:cstheme="minorBidi"/>
          <w:sz w:val="22"/>
          <w:lang w:val="pl-PL" w:eastAsia="pl-PL"/>
        </w:rPr>
      </w:pPr>
      <w:hyperlink w:anchor="_Toc125446492" w:history="1">
        <w:r w:rsidRPr="000913D1">
          <w:rPr>
            <w:rStyle w:val="Hipercze"/>
          </w:rPr>
          <w:t>A 2.6</w:t>
        </w:r>
        <w:r>
          <w:rPr>
            <w:rFonts w:asciiTheme="minorHAnsi" w:eastAsiaTheme="minorEastAsia" w:hAnsiTheme="minorHAnsi" w:cstheme="minorBidi"/>
            <w:sz w:val="22"/>
            <w:lang w:val="pl-PL" w:eastAsia="pl-PL"/>
          </w:rPr>
          <w:tab/>
        </w:r>
        <w:r w:rsidRPr="000913D1">
          <w:rPr>
            <w:rStyle w:val="Hipercze"/>
          </w:rPr>
          <w:t>KCP 10.6  Effects on terrestrial non-target higher plants</w:t>
        </w:r>
        <w:r>
          <w:rPr>
            <w:webHidden/>
          </w:rPr>
          <w:tab/>
        </w:r>
        <w:r>
          <w:rPr>
            <w:webHidden/>
          </w:rPr>
          <w:fldChar w:fldCharType="begin"/>
        </w:r>
        <w:r>
          <w:rPr>
            <w:webHidden/>
          </w:rPr>
          <w:instrText xml:space="preserve"> PAGEREF _Toc125446492 \h </w:instrText>
        </w:r>
        <w:r>
          <w:rPr>
            <w:webHidden/>
          </w:rPr>
        </w:r>
        <w:r>
          <w:rPr>
            <w:webHidden/>
          </w:rPr>
          <w:fldChar w:fldCharType="separate"/>
        </w:r>
        <w:r>
          <w:rPr>
            <w:webHidden/>
          </w:rPr>
          <w:t>228</w:t>
        </w:r>
        <w:r>
          <w:rPr>
            <w:webHidden/>
          </w:rPr>
          <w:fldChar w:fldCharType="end"/>
        </w:r>
      </w:hyperlink>
    </w:p>
    <w:p w14:paraId="430DE230" w14:textId="2F7E005B" w:rsidR="00952056" w:rsidRDefault="00952056">
      <w:pPr>
        <w:pStyle w:val="Spistreci3"/>
        <w:rPr>
          <w:rFonts w:asciiTheme="minorHAnsi" w:eastAsiaTheme="minorEastAsia" w:hAnsiTheme="minorHAnsi" w:cstheme="minorBidi"/>
          <w:sz w:val="22"/>
          <w:szCs w:val="22"/>
          <w:lang w:val="pl-PL" w:eastAsia="pl-PL"/>
        </w:rPr>
      </w:pPr>
      <w:hyperlink w:anchor="_Toc125446493" w:history="1">
        <w:r w:rsidRPr="000913D1">
          <w:rPr>
            <w:rStyle w:val="Hipercze"/>
          </w:rPr>
          <w:t>A 2.6.1</w:t>
        </w:r>
        <w:r>
          <w:rPr>
            <w:rFonts w:asciiTheme="minorHAnsi" w:eastAsiaTheme="minorEastAsia" w:hAnsiTheme="minorHAnsi" w:cstheme="minorBidi"/>
            <w:sz w:val="22"/>
            <w:szCs w:val="22"/>
            <w:lang w:val="pl-PL" w:eastAsia="pl-PL"/>
          </w:rPr>
          <w:tab/>
        </w:r>
        <w:r w:rsidRPr="000913D1">
          <w:rPr>
            <w:rStyle w:val="Hipercze"/>
          </w:rPr>
          <w:t>KCP 10.6.1  Summary of screening data</w:t>
        </w:r>
        <w:r>
          <w:rPr>
            <w:webHidden/>
          </w:rPr>
          <w:tab/>
        </w:r>
        <w:r>
          <w:rPr>
            <w:webHidden/>
          </w:rPr>
          <w:fldChar w:fldCharType="begin"/>
        </w:r>
        <w:r>
          <w:rPr>
            <w:webHidden/>
          </w:rPr>
          <w:instrText xml:space="preserve"> PAGEREF _Toc125446493 \h </w:instrText>
        </w:r>
        <w:r>
          <w:rPr>
            <w:webHidden/>
          </w:rPr>
        </w:r>
        <w:r>
          <w:rPr>
            <w:webHidden/>
          </w:rPr>
          <w:fldChar w:fldCharType="separate"/>
        </w:r>
        <w:r>
          <w:rPr>
            <w:webHidden/>
          </w:rPr>
          <w:t>228</w:t>
        </w:r>
        <w:r>
          <w:rPr>
            <w:webHidden/>
          </w:rPr>
          <w:fldChar w:fldCharType="end"/>
        </w:r>
      </w:hyperlink>
    </w:p>
    <w:p w14:paraId="06AB2954" w14:textId="744A4F93" w:rsidR="00952056" w:rsidRDefault="00952056">
      <w:pPr>
        <w:pStyle w:val="Spistreci3"/>
        <w:rPr>
          <w:rFonts w:asciiTheme="minorHAnsi" w:eastAsiaTheme="minorEastAsia" w:hAnsiTheme="minorHAnsi" w:cstheme="minorBidi"/>
          <w:sz w:val="22"/>
          <w:szCs w:val="22"/>
          <w:lang w:val="pl-PL" w:eastAsia="pl-PL"/>
        </w:rPr>
      </w:pPr>
      <w:hyperlink w:anchor="_Toc125446494" w:history="1">
        <w:r w:rsidRPr="000913D1">
          <w:rPr>
            <w:rStyle w:val="Hipercze"/>
          </w:rPr>
          <w:t>A 2.6.2</w:t>
        </w:r>
        <w:r>
          <w:rPr>
            <w:rFonts w:asciiTheme="minorHAnsi" w:eastAsiaTheme="minorEastAsia" w:hAnsiTheme="minorHAnsi" w:cstheme="minorBidi"/>
            <w:sz w:val="22"/>
            <w:szCs w:val="22"/>
            <w:lang w:val="pl-PL" w:eastAsia="pl-PL"/>
          </w:rPr>
          <w:tab/>
        </w:r>
        <w:r w:rsidRPr="000913D1">
          <w:rPr>
            <w:rStyle w:val="Hipercze"/>
          </w:rPr>
          <w:t>KCP 10.6.2  Testing on non-target plants</w:t>
        </w:r>
        <w:r>
          <w:rPr>
            <w:webHidden/>
          </w:rPr>
          <w:tab/>
        </w:r>
        <w:r>
          <w:rPr>
            <w:webHidden/>
          </w:rPr>
          <w:fldChar w:fldCharType="begin"/>
        </w:r>
        <w:r>
          <w:rPr>
            <w:webHidden/>
          </w:rPr>
          <w:instrText xml:space="preserve"> PAGEREF _Toc125446494 \h </w:instrText>
        </w:r>
        <w:r>
          <w:rPr>
            <w:webHidden/>
          </w:rPr>
        </w:r>
        <w:r>
          <w:rPr>
            <w:webHidden/>
          </w:rPr>
          <w:fldChar w:fldCharType="separate"/>
        </w:r>
        <w:r>
          <w:rPr>
            <w:webHidden/>
          </w:rPr>
          <w:t>228</w:t>
        </w:r>
        <w:r>
          <w:rPr>
            <w:webHidden/>
          </w:rPr>
          <w:fldChar w:fldCharType="end"/>
        </w:r>
      </w:hyperlink>
    </w:p>
    <w:p w14:paraId="6F5D1F7B" w14:textId="2CBC6727" w:rsidR="00952056" w:rsidRDefault="00952056">
      <w:pPr>
        <w:pStyle w:val="Spistreci3"/>
        <w:rPr>
          <w:rFonts w:asciiTheme="minorHAnsi" w:eastAsiaTheme="minorEastAsia" w:hAnsiTheme="minorHAnsi" w:cstheme="minorBidi"/>
          <w:sz w:val="22"/>
          <w:szCs w:val="22"/>
          <w:lang w:val="pl-PL" w:eastAsia="pl-PL"/>
        </w:rPr>
      </w:pPr>
      <w:hyperlink w:anchor="_Toc125446495" w:history="1">
        <w:r w:rsidRPr="000913D1">
          <w:rPr>
            <w:rStyle w:val="Hipercze"/>
          </w:rPr>
          <w:t>A 2.6.3</w:t>
        </w:r>
        <w:r>
          <w:rPr>
            <w:rFonts w:asciiTheme="minorHAnsi" w:eastAsiaTheme="minorEastAsia" w:hAnsiTheme="minorHAnsi" w:cstheme="minorBidi"/>
            <w:sz w:val="22"/>
            <w:szCs w:val="22"/>
            <w:lang w:val="pl-PL" w:eastAsia="pl-PL"/>
          </w:rPr>
          <w:tab/>
        </w:r>
        <w:r w:rsidRPr="000913D1">
          <w:rPr>
            <w:rStyle w:val="Hipercze"/>
          </w:rPr>
          <w:t>KCP 10.6.3  Extended laboratory studies on non-target plants</w:t>
        </w:r>
        <w:r>
          <w:rPr>
            <w:webHidden/>
          </w:rPr>
          <w:tab/>
        </w:r>
        <w:r>
          <w:rPr>
            <w:webHidden/>
          </w:rPr>
          <w:fldChar w:fldCharType="begin"/>
        </w:r>
        <w:r>
          <w:rPr>
            <w:webHidden/>
          </w:rPr>
          <w:instrText xml:space="preserve"> PAGEREF _Toc125446495 \h </w:instrText>
        </w:r>
        <w:r>
          <w:rPr>
            <w:webHidden/>
          </w:rPr>
        </w:r>
        <w:r>
          <w:rPr>
            <w:webHidden/>
          </w:rPr>
          <w:fldChar w:fldCharType="separate"/>
        </w:r>
        <w:r>
          <w:rPr>
            <w:webHidden/>
          </w:rPr>
          <w:t>239</w:t>
        </w:r>
        <w:r>
          <w:rPr>
            <w:webHidden/>
          </w:rPr>
          <w:fldChar w:fldCharType="end"/>
        </w:r>
      </w:hyperlink>
    </w:p>
    <w:p w14:paraId="628D92B7" w14:textId="16CC3646" w:rsidR="00952056" w:rsidRDefault="00952056">
      <w:pPr>
        <w:pStyle w:val="Spistreci3"/>
        <w:rPr>
          <w:rFonts w:asciiTheme="minorHAnsi" w:eastAsiaTheme="minorEastAsia" w:hAnsiTheme="minorHAnsi" w:cstheme="minorBidi"/>
          <w:sz w:val="22"/>
          <w:szCs w:val="22"/>
          <w:lang w:val="pl-PL" w:eastAsia="pl-PL"/>
        </w:rPr>
      </w:pPr>
      <w:hyperlink w:anchor="_Toc125446496" w:history="1">
        <w:r w:rsidRPr="000913D1">
          <w:rPr>
            <w:rStyle w:val="Hipercze"/>
          </w:rPr>
          <w:t>A 2.6.4</w:t>
        </w:r>
        <w:r>
          <w:rPr>
            <w:rFonts w:asciiTheme="minorHAnsi" w:eastAsiaTheme="minorEastAsia" w:hAnsiTheme="minorHAnsi" w:cstheme="minorBidi"/>
            <w:sz w:val="22"/>
            <w:szCs w:val="22"/>
            <w:lang w:val="pl-PL" w:eastAsia="pl-PL"/>
          </w:rPr>
          <w:tab/>
        </w:r>
        <w:r w:rsidRPr="000913D1">
          <w:rPr>
            <w:rStyle w:val="Hipercze"/>
          </w:rPr>
          <w:t>KCP 10.6.4  Semi-field and field tests on non-target plants</w:t>
        </w:r>
        <w:r>
          <w:rPr>
            <w:webHidden/>
          </w:rPr>
          <w:tab/>
        </w:r>
        <w:r>
          <w:rPr>
            <w:webHidden/>
          </w:rPr>
          <w:fldChar w:fldCharType="begin"/>
        </w:r>
        <w:r>
          <w:rPr>
            <w:webHidden/>
          </w:rPr>
          <w:instrText xml:space="preserve"> PAGEREF _Toc125446496 \h </w:instrText>
        </w:r>
        <w:r>
          <w:rPr>
            <w:webHidden/>
          </w:rPr>
        </w:r>
        <w:r>
          <w:rPr>
            <w:webHidden/>
          </w:rPr>
          <w:fldChar w:fldCharType="separate"/>
        </w:r>
        <w:r>
          <w:rPr>
            <w:webHidden/>
          </w:rPr>
          <w:t>239</w:t>
        </w:r>
        <w:r>
          <w:rPr>
            <w:webHidden/>
          </w:rPr>
          <w:fldChar w:fldCharType="end"/>
        </w:r>
      </w:hyperlink>
    </w:p>
    <w:p w14:paraId="6C425902" w14:textId="290F2038" w:rsidR="00952056" w:rsidRDefault="00952056">
      <w:pPr>
        <w:pStyle w:val="Spistreci2"/>
        <w:rPr>
          <w:rFonts w:asciiTheme="minorHAnsi" w:eastAsiaTheme="minorEastAsia" w:hAnsiTheme="minorHAnsi" w:cstheme="minorBidi"/>
          <w:sz w:val="22"/>
          <w:lang w:val="pl-PL" w:eastAsia="pl-PL"/>
        </w:rPr>
      </w:pPr>
      <w:hyperlink w:anchor="_Toc125446497" w:history="1">
        <w:r w:rsidRPr="000913D1">
          <w:rPr>
            <w:rStyle w:val="Hipercze"/>
          </w:rPr>
          <w:t>A 2.7</w:t>
        </w:r>
        <w:r>
          <w:rPr>
            <w:rFonts w:asciiTheme="minorHAnsi" w:eastAsiaTheme="minorEastAsia" w:hAnsiTheme="minorHAnsi" w:cstheme="minorBidi"/>
            <w:sz w:val="22"/>
            <w:lang w:val="pl-PL" w:eastAsia="pl-PL"/>
          </w:rPr>
          <w:tab/>
        </w:r>
        <w:r w:rsidRPr="000913D1">
          <w:rPr>
            <w:rStyle w:val="Hipercze"/>
          </w:rPr>
          <w:t>KCP 10.7  Effects on other terrestrial organisms (flora and fauna)</w:t>
        </w:r>
        <w:r>
          <w:rPr>
            <w:webHidden/>
          </w:rPr>
          <w:tab/>
        </w:r>
        <w:r>
          <w:rPr>
            <w:webHidden/>
          </w:rPr>
          <w:fldChar w:fldCharType="begin"/>
        </w:r>
        <w:r>
          <w:rPr>
            <w:webHidden/>
          </w:rPr>
          <w:instrText xml:space="preserve"> PAGEREF _Toc125446497 \h </w:instrText>
        </w:r>
        <w:r>
          <w:rPr>
            <w:webHidden/>
          </w:rPr>
        </w:r>
        <w:r>
          <w:rPr>
            <w:webHidden/>
          </w:rPr>
          <w:fldChar w:fldCharType="separate"/>
        </w:r>
        <w:r>
          <w:rPr>
            <w:webHidden/>
          </w:rPr>
          <w:t>239</w:t>
        </w:r>
        <w:r>
          <w:rPr>
            <w:webHidden/>
          </w:rPr>
          <w:fldChar w:fldCharType="end"/>
        </w:r>
      </w:hyperlink>
    </w:p>
    <w:p w14:paraId="485D9C75" w14:textId="390EA993" w:rsidR="00952056" w:rsidRDefault="00952056">
      <w:pPr>
        <w:pStyle w:val="Spistreci2"/>
        <w:rPr>
          <w:rFonts w:asciiTheme="minorHAnsi" w:eastAsiaTheme="minorEastAsia" w:hAnsiTheme="minorHAnsi" w:cstheme="minorBidi"/>
          <w:sz w:val="22"/>
          <w:lang w:val="pl-PL" w:eastAsia="pl-PL"/>
        </w:rPr>
      </w:pPr>
      <w:hyperlink w:anchor="_Toc125446498" w:history="1">
        <w:r w:rsidRPr="000913D1">
          <w:rPr>
            <w:rStyle w:val="Hipercze"/>
          </w:rPr>
          <w:t>A 2.8</w:t>
        </w:r>
        <w:r>
          <w:rPr>
            <w:rFonts w:asciiTheme="minorHAnsi" w:eastAsiaTheme="minorEastAsia" w:hAnsiTheme="minorHAnsi" w:cstheme="minorBidi"/>
            <w:sz w:val="22"/>
            <w:lang w:val="pl-PL" w:eastAsia="pl-PL"/>
          </w:rPr>
          <w:tab/>
        </w:r>
        <w:r w:rsidRPr="000913D1">
          <w:rPr>
            <w:rStyle w:val="Hipercze"/>
          </w:rPr>
          <w:t>KCP 10.8  Monitoring data</w:t>
        </w:r>
        <w:r>
          <w:rPr>
            <w:webHidden/>
          </w:rPr>
          <w:tab/>
        </w:r>
        <w:r>
          <w:rPr>
            <w:webHidden/>
          </w:rPr>
          <w:fldChar w:fldCharType="begin"/>
        </w:r>
        <w:r>
          <w:rPr>
            <w:webHidden/>
          </w:rPr>
          <w:instrText xml:space="preserve"> PAGEREF _Toc125446498 \h </w:instrText>
        </w:r>
        <w:r>
          <w:rPr>
            <w:webHidden/>
          </w:rPr>
        </w:r>
        <w:r>
          <w:rPr>
            <w:webHidden/>
          </w:rPr>
          <w:fldChar w:fldCharType="separate"/>
        </w:r>
        <w:r>
          <w:rPr>
            <w:webHidden/>
          </w:rPr>
          <w:t>239</w:t>
        </w:r>
        <w:r>
          <w:rPr>
            <w:webHidden/>
          </w:rPr>
          <w:fldChar w:fldCharType="end"/>
        </w:r>
      </w:hyperlink>
    </w:p>
    <w:p w14:paraId="4B543F23" w14:textId="4A4822B9" w:rsidR="00C87689" w:rsidRPr="002B1114" w:rsidRDefault="00FB35D3" w:rsidP="00AA32CE">
      <w:pPr>
        <w:pStyle w:val="RepStandard"/>
      </w:pPr>
      <w:r>
        <w:fldChar w:fldCharType="end"/>
      </w:r>
    </w:p>
    <w:p w14:paraId="7A070B10" w14:textId="77777777" w:rsidR="003C5413" w:rsidRPr="002B1114" w:rsidRDefault="003C5413" w:rsidP="00AA32CE">
      <w:pPr>
        <w:pStyle w:val="RepStandard"/>
      </w:pPr>
    </w:p>
    <w:p w14:paraId="7B404D7C" w14:textId="77777777" w:rsidR="007000DA" w:rsidRPr="002B1114" w:rsidRDefault="007000DA" w:rsidP="00AA32CE">
      <w:pPr>
        <w:pStyle w:val="RepStandard"/>
        <w:sectPr w:rsidR="007000DA" w:rsidRPr="002B1114" w:rsidSect="00D20BDB">
          <w:pgSz w:w="11906" w:h="16838" w:code="9"/>
          <w:pgMar w:top="1418" w:right="1134" w:bottom="1134" w:left="1418" w:header="709" w:footer="709" w:gutter="0"/>
          <w:pgNumType w:chapSep="period"/>
          <w:cols w:space="708"/>
          <w:docGrid w:linePitch="360"/>
        </w:sectPr>
      </w:pPr>
    </w:p>
    <w:p w14:paraId="32140E5D" w14:textId="77777777" w:rsidR="000532B4" w:rsidRPr="002E3CFC" w:rsidRDefault="000532B4" w:rsidP="002E3CFC">
      <w:pPr>
        <w:pStyle w:val="Nagwek1"/>
      </w:pPr>
      <w:bookmarkStart w:id="0" w:name="_Toc413922496"/>
      <w:bookmarkStart w:id="1" w:name="_Toc412643958"/>
      <w:bookmarkStart w:id="2" w:name="_Toc413916805"/>
      <w:bookmarkStart w:id="3" w:name="_Toc413916947"/>
      <w:bookmarkStart w:id="4" w:name="_Toc413922008"/>
      <w:bookmarkStart w:id="5" w:name="_Toc413922497"/>
      <w:bookmarkStart w:id="6" w:name="_Toc413922601"/>
      <w:bookmarkStart w:id="7" w:name="_Toc414955238"/>
      <w:bookmarkStart w:id="8" w:name="_Toc415214545"/>
      <w:bookmarkStart w:id="9" w:name="_Toc399487254"/>
      <w:bookmarkStart w:id="10" w:name="_Toc412643959"/>
      <w:bookmarkStart w:id="11" w:name="_Toc413916806"/>
      <w:bookmarkStart w:id="12" w:name="_Toc413916948"/>
      <w:bookmarkStart w:id="13" w:name="_Toc413922009"/>
      <w:bookmarkStart w:id="14" w:name="_Toc413922498"/>
      <w:bookmarkStart w:id="15" w:name="_Toc413922602"/>
      <w:bookmarkStart w:id="16" w:name="_Toc414955239"/>
      <w:bookmarkStart w:id="17" w:name="_Toc415214546"/>
      <w:bookmarkStart w:id="18" w:name="_Toc125446388"/>
      <w:bookmarkEnd w:id="0"/>
      <w:r w:rsidRPr="002E3CFC">
        <w:lastRenderedPageBreak/>
        <w:t>Ecotoxicology (KCP 10)</w:t>
      </w:r>
      <w:bookmarkEnd w:id="1"/>
      <w:bookmarkEnd w:id="2"/>
      <w:bookmarkEnd w:id="3"/>
      <w:bookmarkEnd w:id="4"/>
      <w:bookmarkEnd w:id="5"/>
      <w:bookmarkEnd w:id="6"/>
      <w:bookmarkEnd w:id="7"/>
      <w:bookmarkEnd w:id="8"/>
      <w:bookmarkEnd w:id="18"/>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344"/>
      </w:tblGrid>
      <w:tr w:rsidR="00730D6D" w:rsidRPr="00DF7192" w14:paraId="03E3E563" w14:textId="77777777" w:rsidTr="00D3711F">
        <w:trPr>
          <w:cantSplit/>
          <w:trHeight w:val="2655"/>
        </w:trPr>
        <w:tc>
          <w:tcPr>
            <w:tcW w:w="5000" w:type="pct"/>
            <w:shd w:val="clear" w:color="auto" w:fill="D9D9D9" w:themeFill="background1" w:themeFillShade="D9"/>
            <w:vAlign w:val="center"/>
          </w:tcPr>
          <w:p w14:paraId="38676D09" w14:textId="77777777" w:rsidR="00730D6D" w:rsidRPr="00DF4551" w:rsidRDefault="00730D6D" w:rsidP="00730D6D">
            <w:pPr>
              <w:spacing w:before="120" w:after="120"/>
              <w:rPr>
                <w:b/>
                <w:noProof/>
              </w:rPr>
            </w:pPr>
            <w:r w:rsidRPr="00DF4551">
              <w:rPr>
                <w:b/>
                <w:noProof/>
              </w:rPr>
              <w:t>Review Comments:</w:t>
            </w:r>
          </w:p>
          <w:p w14:paraId="72CECB22" w14:textId="77777777" w:rsidR="00730D6D" w:rsidRPr="00DF4551" w:rsidRDefault="00730D6D" w:rsidP="00730D6D">
            <w:pPr>
              <w:pStyle w:val="RepStandard"/>
              <w:spacing w:before="120" w:after="120"/>
            </w:pPr>
            <w:r w:rsidRPr="00DF4551">
              <w:t>This document describes the acceptable use conditions required for registration of</w:t>
            </w:r>
            <w:r w:rsidRPr="00BD6F49">
              <w:t xml:space="preserve"> </w:t>
            </w:r>
            <w:r>
              <w:t>BAS 736 00 F</w:t>
            </w:r>
            <w:r w:rsidRPr="00BD6F49">
              <w:t>, a</w:t>
            </w:r>
            <w:r>
              <w:t>n</w:t>
            </w:r>
            <w:r w:rsidRPr="00BD6F49">
              <w:t xml:space="preserve"> </w:t>
            </w:r>
            <w:r>
              <w:t>emulsifiable concentrate</w:t>
            </w:r>
            <w:r w:rsidRPr="00BD6F49">
              <w:t xml:space="preserve"> containing </w:t>
            </w:r>
            <w:r>
              <w:t xml:space="preserve">50 g/L fluxapyroxad (BAS 700 F) and 75 g/L azoxystrobin (BAS 9164 F) </w:t>
            </w:r>
            <w:r w:rsidRPr="00BD6F49">
              <w:t xml:space="preserve">for use as </w:t>
            </w:r>
            <w:r>
              <w:rPr>
                <w:lang w:val="en-US"/>
              </w:rPr>
              <w:t>a fungicide in cereals</w:t>
            </w:r>
            <w:r w:rsidRPr="00DF4551">
              <w:t>.</w:t>
            </w:r>
          </w:p>
          <w:p w14:paraId="0253C187" w14:textId="77777777" w:rsidR="00730D6D" w:rsidRPr="00DF4551" w:rsidRDefault="00730D6D" w:rsidP="00730D6D">
            <w:pPr>
              <w:suppressAutoHyphens/>
              <w:spacing w:before="120" w:after="120"/>
              <w:jc w:val="both"/>
              <w:rPr>
                <w:noProof/>
              </w:rPr>
            </w:pPr>
            <w:r w:rsidRPr="00DF4551">
              <w:rPr>
                <w:noProof/>
              </w:rPr>
              <w:t>This Part B document only reviews data and additional information that has not previously been considered within the EU review process.</w:t>
            </w:r>
          </w:p>
          <w:p w14:paraId="62341A5A" w14:textId="77777777" w:rsidR="00730D6D" w:rsidRPr="00DF7192" w:rsidRDefault="00730D6D" w:rsidP="00730D6D">
            <w:pPr>
              <w:suppressAutoHyphens/>
              <w:spacing w:before="120" w:after="120"/>
              <w:jc w:val="both"/>
              <w:rPr>
                <w:noProof/>
              </w:rPr>
            </w:pPr>
            <w:r w:rsidRPr="00DF4551">
              <w:rPr>
                <w:noProof/>
              </w:rPr>
              <w:t xml:space="preserve">Since </w:t>
            </w:r>
            <w:r w:rsidRPr="00DF4551">
              <w:rPr>
                <w:lang w:eastAsia="lt-LT"/>
              </w:rPr>
              <w:t xml:space="preserve">this document is based on the information provided by the applicant, </w:t>
            </w:r>
            <w:r w:rsidRPr="00DF4551">
              <w:t xml:space="preserve">all review comments, additions and corrections have been made using </w:t>
            </w:r>
            <w:r w:rsidRPr="00DF4551">
              <w:rPr>
                <w:noProof/>
              </w:rPr>
              <w:t xml:space="preserve">commenting boxes or highlighted in grey. </w:t>
            </w:r>
          </w:p>
        </w:tc>
      </w:tr>
    </w:tbl>
    <w:p w14:paraId="5D21CB47" w14:textId="77777777" w:rsidR="00E85255" w:rsidRDefault="00E85255" w:rsidP="009938D9">
      <w:pPr>
        <w:pStyle w:val="Nagwek2"/>
        <w:sectPr w:rsidR="00E85255" w:rsidSect="00E85255">
          <w:headerReference w:type="default" r:id="rId14"/>
          <w:footerReference w:type="default" r:id="rId15"/>
          <w:pgSz w:w="11906" w:h="16838"/>
          <w:pgMar w:top="1134" w:right="1418" w:bottom="1134" w:left="1134" w:header="709" w:footer="709" w:gutter="0"/>
          <w:pgNumType w:chapSep="period"/>
          <w:cols w:space="708"/>
          <w:docGrid w:linePitch="360"/>
        </w:sectPr>
      </w:pPr>
    </w:p>
    <w:p w14:paraId="50B5025E" w14:textId="1AC0716F" w:rsidR="00D526BE" w:rsidRPr="009938D9" w:rsidRDefault="00D526BE" w:rsidP="009938D9">
      <w:pPr>
        <w:pStyle w:val="Nagwek2"/>
      </w:pPr>
      <w:bookmarkStart w:id="19" w:name="_Toc125446389"/>
      <w:r w:rsidRPr="009938D9">
        <w:lastRenderedPageBreak/>
        <w:t>Critical GAP and overall conclusions</w:t>
      </w:r>
      <w:bookmarkEnd w:id="9"/>
      <w:bookmarkEnd w:id="10"/>
      <w:bookmarkEnd w:id="11"/>
      <w:bookmarkEnd w:id="12"/>
      <w:bookmarkEnd w:id="13"/>
      <w:bookmarkEnd w:id="14"/>
      <w:bookmarkEnd w:id="15"/>
      <w:bookmarkEnd w:id="16"/>
      <w:bookmarkEnd w:id="17"/>
      <w:bookmarkEnd w:id="19"/>
    </w:p>
    <w:p w14:paraId="3E9E2F45" w14:textId="09DA3E88" w:rsidR="00D526BE" w:rsidRPr="002B1114" w:rsidRDefault="00C06DED" w:rsidP="00AA32CE">
      <w:pPr>
        <w:pStyle w:val="RepLabel"/>
      </w:pPr>
      <w:r w:rsidRPr="002B1114">
        <w:t>Table </w:t>
      </w:r>
      <w:r w:rsidR="00FB35D3" w:rsidRPr="002B1114">
        <w:fldChar w:fldCharType="begin"/>
      </w:r>
      <w:r w:rsidRPr="002B1114">
        <w:instrText xml:space="preserve"> STYLEREF 2 \s </w:instrText>
      </w:r>
      <w:r w:rsidR="00FB35D3" w:rsidRPr="002B1114">
        <w:fldChar w:fldCharType="separate"/>
      </w:r>
      <w:r w:rsidR="00662F32">
        <w:rPr>
          <w:noProof/>
        </w:rPr>
        <w:t>9.1</w:t>
      </w:r>
      <w:r w:rsidR="00FB35D3" w:rsidRPr="002B1114">
        <w:fldChar w:fldCharType="end"/>
      </w:r>
      <w:r w:rsidRPr="002B1114">
        <w:noBreakHyphen/>
      </w:r>
      <w:r w:rsidR="00FB35D3" w:rsidRPr="002B1114">
        <w:fldChar w:fldCharType="begin"/>
      </w:r>
      <w:r w:rsidRPr="002B1114">
        <w:instrText xml:space="preserve"> SEQ Table \* ARABIC \s 2 </w:instrText>
      </w:r>
      <w:r w:rsidR="00FB35D3" w:rsidRPr="002B1114">
        <w:fldChar w:fldCharType="separate"/>
      </w:r>
      <w:r w:rsidR="00662F32">
        <w:rPr>
          <w:noProof/>
        </w:rPr>
        <w:t>1</w:t>
      </w:r>
      <w:r w:rsidR="00FB35D3" w:rsidRPr="002B1114">
        <w:fldChar w:fldCharType="end"/>
      </w:r>
      <w:r w:rsidRPr="002B1114">
        <w:t>:</w:t>
      </w:r>
      <w:r w:rsidRPr="002B1114">
        <w:tab/>
      </w:r>
      <w:bookmarkStart w:id="20" w:name="_Toc399487255"/>
      <w:bookmarkStart w:id="21" w:name="_Toc412643960"/>
      <w:r w:rsidRPr="002B1114">
        <w:t>Table of critical GAPs</w:t>
      </w:r>
      <w:bookmarkEnd w:id="20"/>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1"/>
        <w:gridCol w:w="747"/>
        <w:gridCol w:w="934"/>
        <w:gridCol w:w="436"/>
        <w:gridCol w:w="2016"/>
        <w:gridCol w:w="778"/>
        <w:gridCol w:w="684"/>
        <w:gridCol w:w="630"/>
        <w:gridCol w:w="961"/>
        <w:gridCol w:w="923"/>
        <w:gridCol w:w="929"/>
        <w:gridCol w:w="518"/>
        <w:gridCol w:w="514"/>
        <w:gridCol w:w="1231"/>
        <w:gridCol w:w="404"/>
        <w:gridCol w:w="404"/>
        <w:gridCol w:w="404"/>
        <w:gridCol w:w="404"/>
        <w:gridCol w:w="404"/>
        <w:gridCol w:w="404"/>
        <w:gridCol w:w="404"/>
      </w:tblGrid>
      <w:tr w:rsidR="00C5714A" w14:paraId="043040E1" w14:textId="348FF598" w:rsidTr="00CE7CB0">
        <w:tc>
          <w:tcPr>
            <w:tcW w:w="0" w:type="auto"/>
            <w:tcBorders>
              <w:top w:val="single" w:sz="4" w:space="0" w:color="auto"/>
              <w:left w:val="single" w:sz="4" w:space="0" w:color="auto"/>
              <w:bottom w:val="single" w:sz="4" w:space="0" w:color="auto"/>
              <w:right w:val="single" w:sz="4" w:space="0" w:color="auto"/>
            </w:tcBorders>
          </w:tcPr>
          <w:p w14:paraId="6DB3363F" w14:textId="77777777" w:rsidR="00F52622" w:rsidRDefault="00F52622">
            <w:pPr>
              <w:pStyle w:val="RepTableSmall"/>
              <w:jc w:val="center"/>
              <w:rPr>
                <w:lang w:val="en-GB"/>
              </w:rPr>
            </w:pPr>
          </w:p>
          <w:p w14:paraId="0F34FCCF" w14:textId="77777777" w:rsidR="00F52622" w:rsidRDefault="00F52622">
            <w:pPr>
              <w:pStyle w:val="RepTableSmall"/>
              <w:jc w:val="center"/>
              <w:rPr>
                <w:lang w:val="en-GB"/>
              </w:rPr>
            </w:pPr>
            <w:r>
              <w:rPr>
                <w:lang w:val="en-GB"/>
              </w:rPr>
              <w:t>1</w:t>
            </w:r>
          </w:p>
        </w:tc>
        <w:tc>
          <w:tcPr>
            <w:tcW w:w="0" w:type="auto"/>
            <w:tcBorders>
              <w:top w:val="single" w:sz="4" w:space="0" w:color="auto"/>
              <w:left w:val="single" w:sz="4" w:space="0" w:color="auto"/>
              <w:bottom w:val="single" w:sz="4" w:space="0" w:color="auto"/>
              <w:right w:val="single" w:sz="4" w:space="0" w:color="auto"/>
            </w:tcBorders>
            <w:hideMark/>
          </w:tcPr>
          <w:p w14:paraId="7ED356A7" w14:textId="77777777" w:rsidR="00F52622" w:rsidRDefault="00F52622">
            <w:pPr>
              <w:pStyle w:val="RepTableSmall"/>
              <w:jc w:val="center"/>
              <w:rPr>
                <w:lang w:val="en-GB"/>
              </w:rPr>
            </w:pPr>
            <w:r>
              <w:rPr>
                <w:lang w:val="en-GB"/>
              </w:rPr>
              <w:t>2</w:t>
            </w:r>
          </w:p>
        </w:tc>
        <w:tc>
          <w:tcPr>
            <w:tcW w:w="0" w:type="auto"/>
            <w:tcBorders>
              <w:top w:val="single" w:sz="4" w:space="0" w:color="auto"/>
              <w:left w:val="single" w:sz="4" w:space="0" w:color="auto"/>
              <w:bottom w:val="single" w:sz="4" w:space="0" w:color="auto"/>
              <w:right w:val="single" w:sz="4" w:space="0" w:color="auto"/>
            </w:tcBorders>
            <w:hideMark/>
          </w:tcPr>
          <w:p w14:paraId="0CB0537C" w14:textId="77777777" w:rsidR="00F52622" w:rsidRDefault="00F52622">
            <w:pPr>
              <w:pStyle w:val="RepTableSmall"/>
              <w:jc w:val="center"/>
              <w:rPr>
                <w:lang w:val="en-GB"/>
              </w:rPr>
            </w:pPr>
            <w:r>
              <w:rPr>
                <w:lang w:val="en-GB"/>
              </w:rPr>
              <w:t>3</w:t>
            </w:r>
          </w:p>
        </w:tc>
        <w:tc>
          <w:tcPr>
            <w:tcW w:w="0" w:type="auto"/>
            <w:tcBorders>
              <w:top w:val="single" w:sz="4" w:space="0" w:color="auto"/>
              <w:left w:val="single" w:sz="4" w:space="0" w:color="auto"/>
              <w:bottom w:val="single" w:sz="4" w:space="0" w:color="auto"/>
              <w:right w:val="single" w:sz="4" w:space="0" w:color="auto"/>
            </w:tcBorders>
            <w:hideMark/>
          </w:tcPr>
          <w:p w14:paraId="637F779D" w14:textId="77777777" w:rsidR="00F52622" w:rsidRDefault="00F52622">
            <w:pPr>
              <w:pStyle w:val="RepTableSmall"/>
              <w:jc w:val="center"/>
              <w:rPr>
                <w:lang w:val="en-GB"/>
              </w:rPr>
            </w:pPr>
            <w:r>
              <w:rPr>
                <w:lang w:val="en-GB"/>
              </w:rPr>
              <w:t>4</w:t>
            </w:r>
          </w:p>
        </w:tc>
        <w:tc>
          <w:tcPr>
            <w:tcW w:w="0" w:type="auto"/>
            <w:tcBorders>
              <w:top w:val="single" w:sz="4" w:space="0" w:color="auto"/>
              <w:left w:val="single" w:sz="4" w:space="0" w:color="auto"/>
              <w:bottom w:val="single" w:sz="4" w:space="0" w:color="auto"/>
              <w:right w:val="single" w:sz="4" w:space="0" w:color="auto"/>
            </w:tcBorders>
            <w:hideMark/>
          </w:tcPr>
          <w:p w14:paraId="2C1CAB63" w14:textId="77777777" w:rsidR="00F52622" w:rsidRDefault="00F52622">
            <w:pPr>
              <w:pStyle w:val="RepTableSmall"/>
              <w:jc w:val="center"/>
              <w:rPr>
                <w:lang w:val="en-GB"/>
              </w:rPr>
            </w:pPr>
            <w:r>
              <w:rPr>
                <w:lang w:val="en-GB"/>
              </w:rPr>
              <w:t>5</w:t>
            </w:r>
          </w:p>
        </w:tc>
        <w:tc>
          <w:tcPr>
            <w:tcW w:w="0" w:type="auto"/>
            <w:tcBorders>
              <w:top w:val="single" w:sz="4" w:space="0" w:color="auto"/>
              <w:left w:val="single" w:sz="4" w:space="0" w:color="auto"/>
              <w:bottom w:val="single" w:sz="4" w:space="0" w:color="auto"/>
              <w:right w:val="single" w:sz="4" w:space="0" w:color="auto"/>
            </w:tcBorders>
            <w:hideMark/>
          </w:tcPr>
          <w:p w14:paraId="62E7B746" w14:textId="77777777" w:rsidR="00F52622" w:rsidRDefault="00F52622">
            <w:pPr>
              <w:pStyle w:val="RepTableSmall"/>
              <w:jc w:val="center"/>
              <w:rPr>
                <w:lang w:val="en-GB"/>
              </w:rPr>
            </w:pPr>
            <w:r>
              <w:rPr>
                <w:lang w:val="en-GB"/>
              </w:rPr>
              <w:t>6</w:t>
            </w:r>
          </w:p>
        </w:tc>
        <w:tc>
          <w:tcPr>
            <w:tcW w:w="0" w:type="auto"/>
            <w:tcBorders>
              <w:top w:val="single" w:sz="4" w:space="0" w:color="auto"/>
              <w:left w:val="single" w:sz="4" w:space="0" w:color="auto"/>
              <w:bottom w:val="single" w:sz="4" w:space="0" w:color="auto"/>
              <w:right w:val="single" w:sz="4" w:space="0" w:color="auto"/>
            </w:tcBorders>
            <w:hideMark/>
          </w:tcPr>
          <w:p w14:paraId="6E6EEF1D" w14:textId="77777777" w:rsidR="00F52622" w:rsidRDefault="00F52622">
            <w:pPr>
              <w:pStyle w:val="RepTableSmall"/>
              <w:jc w:val="center"/>
              <w:rPr>
                <w:lang w:val="en-GB"/>
              </w:rPr>
            </w:pPr>
            <w:r>
              <w:rPr>
                <w:lang w:val="en-GB"/>
              </w:rPr>
              <w:t>7</w:t>
            </w:r>
          </w:p>
        </w:tc>
        <w:tc>
          <w:tcPr>
            <w:tcW w:w="0" w:type="auto"/>
            <w:tcBorders>
              <w:top w:val="single" w:sz="4" w:space="0" w:color="auto"/>
              <w:left w:val="single" w:sz="4" w:space="0" w:color="auto"/>
              <w:bottom w:val="single" w:sz="4" w:space="0" w:color="auto"/>
              <w:right w:val="single" w:sz="4" w:space="0" w:color="auto"/>
            </w:tcBorders>
            <w:hideMark/>
          </w:tcPr>
          <w:p w14:paraId="30D820F3" w14:textId="77777777" w:rsidR="00F52622" w:rsidRDefault="00F52622">
            <w:pPr>
              <w:pStyle w:val="RepTableSmall"/>
              <w:jc w:val="center"/>
              <w:rPr>
                <w:lang w:val="en-GB"/>
              </w:rPr>
            </w:pPr>
            <w:r>
              <w:rPr>
                <w:lang w:val="en-GB"/>
              </w:rPr>
              <w:t>8</w:t>
            </w:r>
          </w:p>
        </w:tc>
        <w:tc>
          <w:tcPr>
            <w:tcW w:w="0" w:type="auto"/>
            <w:tcBorders>
              <w:top w:val="single" w:sz="4" w:space="0" w:color="auto"/>
              <w:left w:val="single" w:sz="4" w:space="0" w:color="auto"/>
              <w:bottom w:val="single" w:sz="4" w:space="0" w:color="auto"/>
              <w:right w:val="single" w:sz="4" w:space="0" w:color="auto"/>
            </w:tcBorders>
            <w:hideMark/>
          </w:tcPr>
          <w:p w14:paraId="6E74D607" w14:textId="77777777" w:rsidR="00F52622" w:rsidRDefault="00F52622">
            <w:pPr>
              <w:pStyle w:val="RepTableSmall"/>
              <w:jc w:val="center"/>
              <w:rPr>
                <w:lang w:val="en-GB"/>
              </w:rPr>
            </w:pPr>
            <w:r>
              <w:rPr>
                <w:lang w:val="en-GB"/>
              </w:rPr>
              <w:t>9</w:t>
            </w:r>
          </w:p>
        </w:tc>
        <w:tc>
          <w:tcPr>
            <w:tcW w:w="0" w:type="auto"/>
            <w:tcBorders>
              <w:top w:val="single" w:sz="4" w:space="0" w:color="auto"/>
              <w:left w:val="single" w:sz="4" w:space="0" w:color="auto"/>
              <w:bottom w:val="single" w:sz="4" w:space="0" w:color="auto"/>
              <w:right w:val="single" w:sz="4" w:space="0" w:color="auto"/>
            </w:tcBorders>
            <w:hideMark/>
          </w:tcPr>
          <w:p w14:paraId="1343BCE3" w14:textId="77777777" w:rsidR="00F52622" w:rsidRDefault="00F52622">
            <w:pPr>
              <w:pStyle w:val="RepTableSmall"/>
              <w:jc w:val="center"/>
              <w:rPr>
                <w:lang w:val="en-GB"/>
              </w:rPr>
            </w:pPr>
            <w:r>
              <w:rPr>
                <w:lang w:val="en-GB"/>
              </w:rPr>
              <w:t>10</w:t>
            </w:r>
          </w:p>
        </w:tc>
        <w:tc>
          <w:tcPr>
            <w:tcW w:w="0" w:type="auto"/>
            <w:tcBorders>
              <w:top w:val="single" w:sz="4" w:space="0" w:color="auto"/>
              <w:left w:val="single" w:sz="4" w:space="0" w:color="auto"/>
              <w:bottom w:val="single" w:sz="4" w:space="0" w:color="auto"/>
              <w:right w:val="single" w:sz="4" w:space="0" w:color="auto"/>
            </w:tcBorders>
            <w:hideMark/>
          </w:tcPr>
          <w:p w14:paraId="28B20B23" w14:textId="77777777" w:rsidR="00F52622" w:rsidRDefault="00F52622">
            <w:pPr>
              <w:pStyle w:val="RepTableSmall"/>
              <w:jc w:val="center"/>
              <w:rPr>
                <w:lang w:val="en-GB"/>
              </w:rPr>
            </w:pPr>
            <w:r>
              <w:rPr>
                <w:lang w:val="en-GB"/>
              </w:rPr>
              <w:t>11</w:t>
            </w:r>
          </w:p>
        </w:tc>
        <w:tc>
          <w:tcPr>
            <w:tcW w:w="0" w:type="auto"/>
            <w:tcBorders>
              <w:top w:val="single" w:sz="4" w:space="0" w:color="auto"/>
              <w:left w:val="single" w:sz="4" w:space="0" w:color="auto"/>
              <w:bottom w:val="single" w:sz="4" w:space="0" w:color="auto"/>
              <w:right w:val="single" w:sz="4" w:space="0" w:color="auto"/>
            </w:tcBorders>
            <w:hideMark/>
          </w:tcPr>
          <w:p w14:paraId="5161F9CE" w14:textId="77777777" w:rsidR="00F52622" w:rsidRDefault="00F52622">
            <w:pPr>
              <w:pStyle w:val="RepTableSmall"/>
              <w:jc w:val="center"/>
              <w:rPr>
                <w:lang w:val="en-GB"/>
              </w:rPr>
            </w:pPr>
            <w:r>
              <w:rPr>
                <w:lang w:val="en-GB"/>
              </w:rPr>
              <w:t>12</w:t>
            </w:r>
          </w:p>
        </w:tc>
        <w:tc>
          <w:tcPr>
            <w:tcW w:w="0" w:type="auto"/>
            <w:tcBorders>
              <w:top w:val="single" w:sz="4" w:space="0" w:color="auto"/>
              <w:left w:val="single" w:sz="4" w:space="0" w:color="auto"/>
              <w:bottom w:val="single" w:sz="4" w:space="0" w:color="auto"/>
              <w:right w:val="single" w:sz="4" w:space="0" w:color="auto"/>
            </w:tcBorders>
            <w:hideMark/>
          </w:tcPr>
          <w:p w14:paraId="36B9479A" w14:textId="77777777" w:rsidR="00F52622" w:rsidRDefault="00F52622">
            <w:pPr>
              <w:pStyle w:val="RepTableSmall"/>
              <w:jc w:val="center"/>
              <w:rPr>
                <w:lang w:val="en-GB"/>
              </w:rPr>
            </w:pPr>
            <w:r>
              <w:rPr>
                <w:lang w:val="en-GB"/>
              </w:rPr>
              <w:t>13</w:t>
            </w:r>
          </w:p>
        </w:tc>
        <w:tc>
          <w:tcPr>
            <w:tcW w:w="0" w:type="auto"/>
            <w:tcBorders>
              <w:top w:val="single" w:sz="4" w:space="0" w:color="auto"/>
              <w:left w:val="single" w:sz="4" w:space="0" w:color="auto"/>
              <w:bottom w:val="single" w:sz="4" w:space="0" w:color="auto"/>
              <w:right w:val="single" w:sz="4" w:space="0" w:color="auto"/>
            </w:tcBorders>
            <w:hideMark/>
          </w:tcPr>
          <w:p w14:paraId="7CFCAAC5" w14:textId="77777777" w:rsidR="00F52622" w:rsidRDefault="00F52622">
            <w:pPr>
              <w:pStyle w:val="RepTableSmall"/>
              <w:jc w:val="center"/>
              <w:rPr>
                <w:lang w:val="en-GB"/>
              </w:rPr>
            </w:pPr>
            <w:r>
              <w:rPr>
                <w:lang w:val="en-GB"/>
              </w:rPr>
              <w:t>14</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5EACF2" w14:textId="6B5ED481" w:rsidR="00F52622" w:rsidRDefault="00F52622">
            <w:pPr>
              <w:pStyle w:val="RepTableSmall"/>
              <w:jc w:val="center"/>
              <w:rPr>
                <w:lang w:val="en-GB"/>
              </w:rPr>
            </w:pPr>
            <w:r>
              <w:rPr>
                <w:lang w:val="en-GB"/>
              </w:rPr>
              <w:t>15</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EA65A3" w14:textId="3EA2A00C" w:rsidR="00F52622" w:rsidRDefault="00F52622">
            <w:pPr>
              <w:pStyle w:val="RepTableSmall"/>
              <w:jc w:val="center"/>
              <w:rPr>
                <w:lang w:val="en-GB"/>
              </w:rPr>
            </w:pPr>
            <w:r>
              <w:rPr>
                <w:lang w:val="en-GB"/>
              </w:rPr>
              <w:t>16</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C4CDFA" w14:textId="772BD358" w:rsidR="00F52622" w:rsidRDefault="00F52622">
            <w:pPr>
              <w:pStyle w:val="RepTableSmall"/>
              <w:jc w:val="center"/>
              <w:rPr>
                <w:lang w:val="en-GB"/>
              </w:rPr>
            </w:pPr>
            <w:r>
              <w:rPr>
                <w:lang w:val="en-GB"/>
              </w:rPr>
              <w:t>17</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1A2CE3" w14:textId="79F9A031" w:rsidR="00F52622" w:rsidRDefault="00F52622">
            <w:pPr>
              <w:pStyle w:val="RepTableSmall"/>
              <w:jc w:val="center"/>
              <w:rPr>
                <w:lang w:val="en-GB"/>
              </w:rPr>
            </w:pPr>
            <w:r>
              <w:rPr>
                <w:lang w:val="en-GB"/>
              </w:rPr>
              <w:t>18</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BA927F" w14:textId="1EF2499B" w:rsidR="00F52622" w:rsidRDefault="00F52622">
            <w:pPr>
              <w:pStyle w:val="RepTableSmall"/>
              <w:jc w:val="center"/>
              <w:rPr>
                <w:lang w:val="en-GB"/>
              </w:rPr>
            </w:pPr>
            <w:r>
              <w:rPr>
                <w:lang w:val="en-GB"/>
              </w:rPr>
              <w:t>18</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2FB2A" w14:textId="719FE281" w:rsidR="00F52622" w:rsidRDefault="00F52622">
            <w:pPr>
              <w:pStyle w:val="RepTableSmall"/>
              <w:jc w:val="center"/>
              <w:rPr>
                <w:lang w:val="en-GB"/>
              </w:rPr>
            </w:pPr>
            <w:r>
              <w:rPr>
                <w:lang w:val="en-GB"/>
              </w:rPr>
              <w:t>20</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CD9B18" w14:textId="203C1772" w:rsidR="00F52622" w:rsidRDefault="00F52622">
            <w:pPr>
              <w:pStyle w:val="RepTableSmall"/>
              <w:jc w:val="center"/>
              <w:rPr>
                <w:lang w:val="en-GB"/>
              </w:rPr>
            </w:pPr>
            <w:r>
              <w:rPr>
                <w:lang w:val="en-GB"/>
              </w:rPr>
              <w:t>21</w:t>
            </w:r>
          </w:p>
        </w:tc>
      </w:tr>
      <w:tr w:rsidR="00F52622" w14:paraId="5A81FBB5" w14:textId="6970FB09" w:rsidTr="00CE7CB0">
        <w:tc>
          <w:tcPr>
            <w:tcW w:w="0" w:type="auto"/>
            <w:vMerge w:val="restart"/>
            <w:tcBorders>
              <w:top w:val="single" w:sz="4" w:space="0" w:color="auto"/>
              <w:left w:val="single" w:sz="4" w:space="0" w:color="auto"/>
              <w:bottom w:val="single" w:sz="4" w:space="0" w:color="auto"/>
              <w:right w:val="single" w:sz="4" w:space="0" w:color="auto"/>
            </w:tcBorders>
            <w:hideMark/>
          </w:tcPr>
          <w:p w14:paraId="4A35AE36" w14:textId="77777777" w:rsidR="00F52622" w:rsidRDefault="00F52622">
            <w:pPr>
              <w:pStyle w:val="RepTableSmall"/>
              <w:rPr>
                <w:b/>
                <w:szCs w:val="16"/>
                <w:lang w:val="en-GB"/>
              </w:rPr>
            </w:pPr>
            <w:r>
              <w:rPr>
                <w:b/>
                <w:szCs w:val="16"/>
                <w:lang w:val="en-GB"/>
              </w:rPr>
              <w:t xml:space="preserve">Use-No. </w:t>
            </w:r>
            <w:r>
              <w:rPr>
                <w:b/>
                <w:szCs w:val="16"/>
                <w:vertAlign w:val="superscript"/>
                <w:lang w:val="en-GB"/>
              </w:rPr>
              <w:t>(e)</w:t>
            </w:r>
            <w:r>
              <w:rPr>
                <w:b/>
                <w:szCs w:val="16"/>
                <w:lang w:val="en-GB"/>
              </w:rPr>
              <w:br/>
            </w:r>
          </w:p>
        </w:tc>
        <w:tc>
          <w:tcPr>
            <w:tcW w:w="0" w:type="auto"/>
            <w:vMerge w:val="restart"/>
            <w:tcBorders>
              <w:top w:val="single" w:sz="4" w:space="0" w:color="auto"/>
              <w:left w:val="single" w:sz="4" w:space="0" w:color="auto"/>
              <w:bottom w:val="single" w:sz="4" w:space="0" w:color="auto"/>
              <w:right w:val="single" w:sz="4" w:space="0" w:color="auto"/>
            </w:tcBorders>
            <w:hideMark/>
          </w:tcPr>
          <w:p w14:paraId="0869297C" w14:textId="77777777" w:rsidR="00F52622" w:rsidRDefault="00F52622">
            <w:pPr>
              <w:pStyle w:val="RepTableSmall"/>
              <w:rPr>
                <w:b/>
                <w:szCs w:val="16"/>
                <w:lang w:val="en-GB"/>
              </w:rPr>
            </w:pPr>
            <w:r>
              <w:rPr>
                <w:b/>
                <w:szCs w:val="16"/>
                <w:lang w:val="en-GB"/>
              </w:rPr>
              <w:t>Member state(s)</w:t>
            </w:r>
            <w:r>
              <w:rPr>
                <w:b/>
                <w:szCs w:val="16"/>
                <w:lang w:val="en-GB"/>
              </w:rPr>
              <w:br/>
            </w:r>
          </w:p>
        </w:tc>
        <w:tc>
          <w:tcPr>
            <w:tcW w:w="0" w:type="auto"/>
            <w:vMerge w:val="restart"/>
            <w:tcBorders>
              <w:top w:val="single" w:sz="4" w:space="0" w:color="auto"/>
              <w:left w:val="single" w:sz="4" w:space="0" w:color="auto"/>
              <w:bottom w:val="single" w:sz="4" w:space="0" w:color="auto"/>
              <w:right w:val="single" w:sz="4" w:space="0" w:color="auto"/>
            </w:tcBorders>
            <w:hideMark/>
          </w:tcPr>
          <w:p w14:paraId="456921AF" w14:textId="77777777" w:rsidR="00F52622" w:rsidRDefault="00F52622">
            <w:pPr>
              <w:pStyle w:val="RepTableSmall"/>
              <w:rPr>
                <w:spacing w:val="-1"/>
                <w:sz w:val="18"/>
                <w:szCs w:val="18"/>
                <w:lang w:val="en-GB"/>
              </w:rPr>
            </w:pPr>
            <w:r>
              <w:rPr>
                <w:b/>
                <w:szCs w:val="16"/>
                <w:lang w:val="en-GB"/>
              </w:rPr>
              <w:t>Crop and/</w:t>
            </w:r>
            <w:r>
              <w:rPr>
                <w:b/>
                <w:szCs w:val="16"/>
                <w:lang w:val="en-GB"/>
              </w:rPr>
              <w:br/>
              <w:t>or situation</w:t>
            </w:r>
            <w:r>
              <w:rPr>
                <w:b/>
                <w:szCs w:val="16"/>
                <w:lang w:val="en-GB"/>
              </w:rPr>
              <w:br/>
            </w:r>
            <w:r>
              <w:rPr>
                <w:b/>
                <w:szCs w:val="16"/>
                <w:lang w:val="en-GB"/>
              </w:rPr>
              <w:br/>
              <w:t>(crop destination / purpose of crop)</w:t>
            </w:r>
          </w:p>
        </w:tc>
        <w:tc>
          <w:tcPr>
            <w:tcW w:w="0" w:type="auto"/>
            <w:vMerge w:val="restart"/>
            <w:tcBorders>
              <w:top w:val="single" w:sz="4" w:space="0" w:color="auto"/>
              <w:left w:val="single" w:sz="4" w:space="0" w:color="auto"/>
              <w:bottom w:val="single" w:sz="4" w:space="0" w:color="auto"/>
              <w:right w:val="single" w:sz="4" w:space="0" w:color="auto"/>
            </w:tcBorders>
            <w:hideMark/>
          </w:tcPr>
          <w:p w14:paraId="6D3E13C8" w14:textId="77777777" w:rsidR="00F52622" w:rsidRDefault="00F52622">
            <w:pPr>
              <w:pStyle w:val="RepTableSmall"/>
              <w:rPr>
                <w:spacing w:val="-1"/>
                <w:sz w:val="18"/>
                <w:szCs w:val="18"/>
                <w:lang w:val="en-GB"/>
              </w:rPr>
            </w:pPr>
            <w:r>
              <w:rPr>
                <w:b/>
                <w:szCs w:val="16"/>
                <w:lang w:val="en-GB"/>
              </w:rPr>
              <w:t>F, Fn, Fpn</w:t>
            </w:r>
            <w:r>
              <w:rPr>
                <w:b/>
                <w:szCs w:val="16"/>
                <w:lang w:val="en-GB"/>
              </w:rPr>
              <w:br/>
              <w:t>G, Gn, Gpn</w:t>
            </w:r>
            <w:r>
              <w:rPr>
                <w:b/>
                <w:szCs w:val="16"/>
                <w:lang w:val="en-GB"/>
              </w:rPr>
              <w:br/>
              <w:t>or</w:t>
            </w:r>
            <w:r>
              <w:rPr>
                <w:b/>
                <w:szCs w:val="16"/>
                <w:lang w:val="en-GB"/>
              </w:rPr>
              <w:br/>
              <w:t>I</w:t>
            </w:r>
          </w:p>
        </w:tc>
        <w:tc>
          <w:tcPr>
            <w:tcW w:w="0" w:type="auto"/>
            <w:vMerge w:val="restart"/>
            <w:tcBorders>
              <w:top w:val="single" w:sz="4" w:space="0" w:color="auto"/>
              <w:left w:val="single" w:sz="4" w:space="0" w:color="auto"/>
              <w:bottom w:val="single" w:sz="4" w:space="0" w:color="auto"/>
              <w:right w:val="single" w:sz="4" w:space="0" w:color="auto"/>
            </w:tcBorders>
            <w:hideMark/>
          </w:tcPr>
          <w:p w14:paraId="0189DE5D" w14:textId="77777777" w:rsidR="00F52622" w:rsidRDefault="00F52622">
            <w:pPr>
              <w:pStyle w:val="RepTableSmall"/>
              <w:rPr>
                <w:spacing w:val="-1"/>
                <w:sz w:val="18"/>
                <w:szCs w:val="18"/>
                <w:lang w:val="en-GB"/>
              </w:rPr>
            </w:pPr>
            <w:r>
              <w:rPr>
                <w:b/>
                <w:szCs w:val="16"/>
                <w:lang w:val="en-GB"/>
              </w:rPr>
              <w:t>Pests or Group of pests controlled</w:t>
            </w:r>
            <w:r>
              <w:rPr>
                <w:b/>
                <w:szCs w:val="16"/>
                <w:lang w:val="en-GB"/>
              </w:rPr>
              <w:br/>
            </w:r>
            <w:r>
              <w:rPr>
                <w:b/>
                <w:szCs w:val="16"/>
                <w:lang w:val="en-GB"/>
              </w:rPr>
              <w:br/>
            </w:r>
            <w:r>
              <w:rPr>
                <w:szCs w:val="16"/>
                <w:lang w:val="en-GB"/>
              </w:rPr>
              <w:t>(additionally: developmental stages of the pest or pest group)</w:t>
            </w:r>
          </w:p>
        </w:tc>
        <w:tc>
          <w:tcPr>
            <w:tcW w:w="0" w:type="auto"/>
            <w:gridSpan w:val="4"/>
            <w:tcBorders>
              <w:top w:val="single" w:sz="4" w:space="0" w:color="auto"/>
              <w:left w:val="single" w:sz="4" w:space="0" w:color="auto"/>
              <w:bottom w:val="single" w:sz="4" w:space="0" w:color="auto"/>
              <w:right w:val="single" w:sz="4" w:space="0" w:color="auto"/>
            </w:tcBorders>
            <w:hideMark/>
          </w:tcPr>
          <w:p w14:paraId="21244F42" w14:textId="77777777" w:rsidR="00F52622" w:rsidRDefault="00F52622">
            <w:pPr>
              <w:pStyle w:val="RepTableSmall"/>
              <w:jc w:val="center"/>
              <w:rPr>
                <w:b/>
                <w:szCs w:val="16"/>
                <w:lang w:val="en-GB"/>
              </w:rPr>
            </w:pPr>
            <w:r>
              <w:rPr>
                <w:b/>
                <w:szCs w:val="16"/>
                <w:lang w:val="en-GB"/>
              </w:rPr>
              <w:t>Application</w:t>
            </w:r>
          </w:p>
        </w:tc>
        <w:tc>
          <w:tcPr>
            <w:tcW w:w="0" w:type="auto"/>
            <w:gridSpan w:val="3"/>
            <w:tcBorders>
              <w:top w:val="single" w:sz="4" w:space="0" w:color="auto"/>
              <w:left w:val="single" w:sz="4" w:space="0" w:color="auto"/>
              <w:bottom w:val="single" w:sz="4" w:space="0" w:color="auto"/>
              <w:right w:val="single" w:sz="4" w:space="0" w:color="auto"/>
            </w:tcBorders>
            <w:hideMark/>
          </w:tcPr>
          <w:p w14:paraId="090156AC" w14:textId="77777777" w:rsidR="00F52622" w:rsidRDefault="00F52622">
            <w:pPr>
              <w:pStyle w:val="RepTableSmall"/>
              <w:jc w:val="center"/>
              <w:rPr>
                <w:spacing w:val="-1"/>
                <w:sz w:val="18"/>
                <w:szCs w:val="18"/>
                <w:lang w:val="en-GB"/>
              </w:rPr>
            </w:pPr>
            <w:r>
              <w:rPr>
                <w:b/>
                <w:szCs w:val="16"/>
                <w:lang w:val="en-GB"/>
              </w:rPr>
              <w:t>Application rate</w:t>
            </w:r>
          </w:p>
        </w:tc>
        <w:tc>
          <w:tcPr>
            <w:tcW w:w="0" w:type="auto"/>
            <w:vMerge w:val="restart"/>
            <w:tcBorders>
              <w:top w:val="single" w:sz="4" w:space="0" w:color="auto"/>
              <w:left w:val="single" w:sz="4" w:space="0" w:color="auto"/>
              <w:bottom w:val="single" w:sz="4" w:space="0" w:color="auto"/>
              <w:right w:val="single" w:sz="4" w:space="0" w:color="auto"/>
            </w:tcBorders>
            <w:hideMark/>
          </w:tcPr>
          <w:p w14:paraId="1366AC3D" w14:textId="77777777" w:rsidR="00F52622" w:rsidRDefault="00F52622">
            <w:pPr>
              <w:pStyle w:val="RepTableSmall"/>
              <w:rPr>
                <w:spacing w:val="-1"/>
                <w:sz w:val="18"/>
                <w:szCs w:val="18"/>
                <w:lang w:val="en-GB"/>
              </w:rPr>
            </w:pPr>
            <w:r>
              <w:rPr>
                <w:b/>
                <w:szCs w:val="16"/>
                <w:lang w:val="en-GB"/>
              </w:rPr>
              <w:t>PHI</w:t>
            </w:r>
            <w:r>
              <w:rPr>
                <w:szCs w:val="16"/>
                <w:lang w:val="en-GB"/>
              </w:rPr>
              <w:br/>
              <w:t>(days)</w:t>
            </w:r>
          </w:p>
        </w:tc>
        <w:tc>
          <w:tcPr>
            <w:tcW w:w="0" w:type="auto"/>
            <w:vMerge w:val="restart"/>
            <w:tcBorders>
              <w:top w:val="single" w:sz="4" w:space="0" w:color="auto"/>
              <w:left w:val="single" w:sz="4" w:space="0" w:color="auto"/>
              <w:bottom w:val="single" w:sz="4" w:space="0" w:color="auto"/>
              <w:right w:val="single" w:sz="4" w:space="0" w:color="auto"/>
            </w:tcBorders>
            <w:hideMark/>
          </w:tcPr>
          <w:p w14:paraId="64EA4E47" w14:textId="77777777" w:rsidR="00F52622" w:rsidRDefault="00F52622">
            <w:pPr>
              <w:pStyle w:val="RepTableSmall"/>
              <w:rPr>
                <w:szCs w:val="16"/>
                <w:lang w:val="en-GB"/>
              </w:rPr>
            </w:pPr>
            <w:r>
              <w:rPr>
                <w:b/>
                <w:szCs w:val="16"/>
                <w:lang w:val="en-GB"/>
              </w:rPr>
              <w:t>Remarks:</w:t>
            </w:r>
            <w:r>
              <w:rPr>
                <w:szCs w:val="16"/>
                <w:lang w:val="en-GB"/>
              </w:rPr>
              <w:t xml:space="preserve"> </w:t>
            </w:r>
            <w:r>
              <w:rPr>
                <w:szCs w:val="16"/>
                <w:lang w:val="en-GB"/>
              </w:rPr>
              <w:br/>
            </w:r>
            <w:r>
              <w:rPr>
                <w:szCs w:val="16"/>
                <w:lang w:val="en-GB"/>
              </w:rPr>
              <w:br/>
              <w:t xml:space="preserve">e.g. g safener/synergist per ha </w:t>
            </w:r>
          </w:p>
          <w:p w14:paraId="0BC9DF23" w14:textId="77777777" w:rsidR="00F52622" w:rsidRDefault="00F52622">
            <w:pPr>
              <w:pStyle w:val="RepTableSmall"/>
              <w:rPr>
                <w:spacing w:val="-1"/>
                <w:sz w:val="18"/>
                <w:szCs w:val="18"/>
                <w:vertAlign w:val="superscript"/>
                <w:lang w:val="en-GB"/>
              </w:rPr>
            </w:pPr>
            <w:r>
              <w:rPr>
                <w:szCs w:val="16"/>
                <w:vertAlign w:val="superscript"/>
                <w:lang w:val="en-GB"/>
              </w:rPr>
              <w:t>(f)</w:t>
            </w:r>
          </w:p>
        </w:tc>
        <w:tc>
          <w:tcPr>
            <w:tcW w:w="0" w:type="auto"/>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5B68A1" w14:textId="68FDFD96" w:rsidR="00F52622" w:rsidRDefault="00107EDF" w:rsidP="00107EDF">
            <w:pPr>
              <w:pStyle w:val="RepTableSmall"/>
              <w:jc w:val="center"/>
              <w:rPr>
                <w:b/>
                <w:szCs w:val="16"/>
                <w:lang w:val="en-GB"/>
              </w:rPr>
            </w:pPr>
            <w:r>
              <w:rPr>
                <w:b/>
                <w:szCs w:val="16"/>
                <w:lang w:val="en-GB"/>
              </w:rPr>
              <w:t>Conclusion</w:t>
            </w:r>
          </w:p>
        </w:tc>
      </w:tr>
      <w:tr w:rsidR="00CE7CB0" w:rsidRPr="002262EA" w14:paraId="7969907A" w14:textId="6E9F47C9" w:rsidTr="00627017">
        <w:tc>
          <w:tcPr>
            <w:tcW w:w="0" w:type="auto"/>
            <w:vMerge/>
            <w:tcBorders>
              <w:top w:val="single" w:sz="4" w:space="0" w:color="auto"/>
              <w:left w:val="single" w:sz="4" w:space="0" w:color="auto"/>
              <w:bottom w:val="single" w:sz="4" w:space="0" w:color="auto"/>
              <w:right w:val="single" w:sz="4" w:space="0" w:color="auto"/>
            </w:tcBorders>
            <w:vAlign w:val="center"/>
            <w:hideMark/>
          </w:tcPr>
          <w:p w14:paraId="47A23F39" w14:textId="77777777" w:rsidR="00FC7A68" w:rsidRDefault="00FC7A68" w:rsidP="00FC7A68">
            <w:pPr>
              <w:rPr>
                <w:b/>
                <w:sz w:val="16"/>
                <w:szCs w:val="16"/>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6039D6" w14:textId="77777777" w:rsidR="00FC7A68" w:rsidRDefault="00FC7A68" w:rsidP="00FC7A68">
            <w:pPr>
              <w:rPr>
                <w:b/>
                <w:sz w:val="16"/>
                <w:szCs w:val="16"/>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978F33" w14:textId="77777777" w:rsidR="00FC7A68" w:rsidRDefault="00FC7A68" w:rsidP="00FC7A68">
            <w:pPr>
              <w:rPr>
                <w:spacing w:val="-1"/>
                <w:sz w:val="18"/>
                <w:szCs w:val="18"/>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5D63CD" w14:textId="77777777" w:rsidR="00FC7A68" w:rsidRDefault="00FC7A68" w:rsidP="00FC7A68">
            <w:pPr>
              <w:rPr>
                <w:spacing w:val="-1"/>
                <w:sz w:val="18"/>
                <w:szCs w:val="18"/>
                <w:lang w:val="en-G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AAC3A" w14:textId="77777777" w:rsidR="00FC7A68" w:rsidRDefault="00FC7A68" w:rsidP="00FC7A68">
            <w:pPr>
              <w:rPr>
                <w:spacing w:val="-1"/>
                <w:sz w:val="18"/>
                <w:szCs w:val="18"/>
                <w:lang w:val="en-GB"/>
              </w:rPr>
            </w:pPr>
          </w:p>
        </w:tc>
        <w:tc>
          <w:tcPr>
            <w:tcW w:w="0" w:type="auto"/>
            <w:tcBorders>
              <w:top w:val="single" w:sz="4" w:space="0" w:color="auto"/>
              <w:left w:val="single" w:sz="4" w:space="0" w:color="auto"/>
              <w:bottom w:val="single" w:sz="4" w:space="0" w:color="auto"/>
              <w:right w:val="single" w:sz="4" w:space="0" w:color="auto"/>
            </w:tcBorders>
            <w:hideMark/>
          </w:tcPr>
          <w:p w14:paraId="5C3E1778" w14:textId="77777777" w:rsidR="00FC7A68" w:rsidRDefault="00FC7A68" w:rsidP="00FC7A68">
            <w:pPr>
              <w:pStyle w:val="RepTableSmall"/>
              <w:rPr>
                <w:spacing w:val="-1"/>
                <w:sz w:val="18"/>
                <w:szCs w:val="18"/>
                <w:lang w:val="en-GB"/>
              </w:rPr>
            </w:pPr>
            <w:r>
              <w:rPr>
                <w:szCs w:val="16"/>
                <w:lang w:val="en-GB"/>
              </w:rPr>
              <w:t>Method / Kind</w:t>
            </w:r>
          </w:p>
        </w:tc>
        <w:tc>
          <w:tcPr>
            <w:tcW w:w="0" w:type="auto"/>
            <w:tcBorders>
              <w:top w:val="single" w:sz="4" w:space="0" w:color="auto"/>
              <w:left w:val="single" w:sz="4" w:space="0" w:color="auto"/>
              <w:bottom w:val="single" w:sz="4" w:space="0" w:color="auto"/>
              <w:right w:val="single" w:sz="4" w:space="0" w:color="auto"/>
            </w:tcBorders>
            <w:hideMark/>
          </w:tcPr>
          <w:p w14:paraId="55172DBC" w14:textId="77777777" w:rsidR="00FC7A68" w:rsidRDefault="00FC7A68" w:rsidP="00FC7A68">
            <w:pPr>
              <w:pStyle w:val="RepTableSmall"/>
              <w:rPr>
                <w:spacing w:val="-1"/>
                <w:sz w:val="18"/>
                <w:szCs w:val="18"/>
                <w:lang w:val="en-GB"/>
              </w:rPr>
            </w:pPr>
            <w:r>
              <w:rPr>
                <w:szCs w:val="16"/>
                <w:lang w:val="en-GB"/>
              </w:rPr>
              <w:t>Timing / Growth stage of crop &amp; season</w:t>
            </w:r>
          </w:p>
        </w:tc>
        <w:tc>
          <w:tcPr>
            <w:tcW w:w="0" w:type="auto"/>
            <w:tcBorders>
              <w:top w:val="single" w:sz="4" w:space="0" w:color="auto"/>
              <w:left w:val="single" w:sz="4" w:space="0" w:color="auto"/>
              <w:bottom w:val="single" w:sz="4" w:space="0" w:color="auto"/>
              <w:right w:val="single" w:sz="4" w:space="0" w:color="auto"/>
            </w:tcBorders>
            <w:hideMark/>
          </w:tcPr>
          <w:p w14:paraId="754268A6" w14:textId="77777777" w:rsidR="00FC7A68" w:rsidRDefault="00FC7A68" w:rsidP="00FC7A68">
            <w:pPr>
              <w:pStyle w:val="RepTableSmall"/>
              <w:rPr>
                <w:szCs w:val="16"/>
                <w:lang w:val="en-GB"/>
              </w:rPr>
            </w:pPr>
            <w:r>
              <w:rPr>
                <w:szCs w:val="16"/>
                <w:lang w:val="en-GB"/>
              </w:rPr>
              <w:t xml:space="preserve">Max. number </w:t>
            </w:r>
          </w:p>
          <w:p w14:paraId="0FB5A2F7" w14:textId="77777777" w:rsidR="00FC7A68" w:rsidRDefault="00FC7A68" w:rsidP="00FC7A68">
            <w:pPr>
              <w:pStyle w:val="RepTableSmall"/>
              <w:rPr>
                <w:szCs w:val="16"/>
                <w:lang w:val="en-GB"/>
              </w:rPr>
            </w:pPr>
            <w:r>
              <w:rPr>
                <w:szCs w:val="16"/>
                <w:lang w:val="en-GB"/>
              </w:rPr>
              <w:t>a) per use</w:t>
            </w:r>
          </w:p>
          <w:p w14:paraId="46399E8B" w14:textId="77777777" w:rsidR="00FC7A68" w:rsidRDefault="00FC7A68" w:rsidP="00FC7A68">
            <w:pPr>
              <w:pStyle w:val="RepTableSmall"/>
              <w:rPr>
                <w:spacing w:val="-1"/>
                <w:sz w:val="18"/>
                <w:szCs w:val="18"/>
                <w:lang w:val="en-GB"/>
              </w:rPr>
            </w:pPr>
            <w:r>
              <w:rPr>
                <w:spacing w:val="-1"/>
                <w:szCs w:val="16"/>
                <w:lang w:val="en-GB"/>
              </w:rPr>
              <w:t>b) per crop/ season</w:t>
            </w:r>
          </w:p>
        </w:tc>
        <w:tc>
          <w:tcPr>
            <w:tcW w:w="0" w:type="auto"/>
            <w:tcBorders>
              <w:top w:val="single" w:sz="4" w:space="0" w:color="auto"/>
              <w:left w:val="single" w:sz="4" w:space="0" w:color="auto"/>
              <w:bottom w:val="single" w:sz="4" w:space="0" w:color="auto"/>
              <w:right w:val="single" w:sz="4" w:space="0" w:color="auto"/>
            </w:tcBorders>
            <w:hideMark/>
          </w:tcPr>
          <w:p w14:paraId="2B8418E8" w14:textId="77777777" w:rsidR="00FC7A68" w:rsidRDefault="00FC7A68" w:rsidP="00FC7A68">
            <w:pPr>
              <w:pStyle w:val="RepTableSmall"/>
              <w:rPr>
                <w:szCs w:val="16"/>
                <w:lang w:val="en-GB"/>
              </w:rPr>
            </w:pPr>
            <w:r>
              <w:rPr>
                <w:szCs w:val="16"/>
                <w:lang w:val="en-GB"/>
              </w:rPr>
              <w:t>Min. interval between applications (days)</w:t>
            </w:r>
          </w:p>
        </w:tc>
        <w:tc>
          <w:tcPr>
            <w:tcW w:w="0" w:type="auto"/>
            <w:tcBorders>
              <w:top w:val="single" w:sz="4" w:space="0" w:color="auto"/>
              <w:left w:val="single" w:sz="4" w:space="0" w:color="auto"/>
              <w:bottom w:val="single" w:sz="4" w:space="0" w:color="auto"/>
              <w:right w:val="single" w:sz="4" w:space="0" w:color="auto"/>
            </w:tcBorders>
            <w:hideMark/>
          </w:tcPr>
          <w:p w14:paraId="05BC5107" w14:textId="77777777" w:rsidR="00FC7A68" w:rsidRDefault="00FC7A68" w:rsidP="00FC7A68">
            <w:pPr>
              <w:pStyle w:val="RepTableSmall"/>
              <w:rPr>
                <w:szCs w:val="16"/>
                <w:lang w:val="en-GB"/>
              </w:rPr>
            </w:pPr>
            <w:r>
              <w:rPr>
                <w:szCs w:val="16"/>
                <w:lang w:val="en-GB"/>
              </w:rPr>
              <w:t>kg or L product / ha</w:t>
            </w:r>
          </w:p>
          <w:p w14:paraId="247D3DBB" w14:textId="77777777" w:rsidR="00FC7A68" w:rsidRDefault="00FC7A68" w:rsidP="00FC7A68">
            <w:pPr>
              <w:pStyle w:val="RepTableSmall"/>
              <w:rPr>
                <w:szCs w:val="16"/>
                <w:lang w:val="en-GB"/>
              </w:rPr>
            </w:pPr>
            <w:r>
              <w:rPr>
                <w:szCs w:val="16"/>
                <w:lang w:val="en-GB"/>
              </w:rPr>
              <w:t>a) max. rate per appl.</w:t>
            </w:r>
          </w:p>
          <w:p w14:paraId="73B5EDA5" w14:textId="77777777" w:rsidR="00FC7A68" w:rsidRDefault="00FC7A68" w:rsidP="00FC7A68">
            <w:pPr>
              <w:pStyle w:val="RepTableSmall"/>
              <w:rPr>
                <w:spacing w:val="-1"/>
                <w:sz w:val="18"/>
                <w:szCs w:val="18"/>
                <w:lang w:val="en-GB"/>
              </w:rPr>
            </w:pPr>
            <w:r>
              <w:rPr>
                <w:szCs w:val="16"/>
                <w:lang w:val="en-GB"/>
              </w:rPr>
              <w:t>b) max. total rate per crop/season</w:t>
            </w:r>
          </w:p>
        </w:tc>
        <w:tc>
          <w:tcPr>
            <w:tcW w:w="0" w:type="auto"/>
            <w:tcBorders>
              <w:top w:val="single" w:sz="4" w:space="0" w:color="auto"/>
              <w:left w:val="single" w:sz="4" w:space="0" w:color="auto"/>
              <w:bottom w:val="single" w:sz="4" w:space="0" w:color="auto"/>
              <w:right w:val="single" w:sz="4" w:space="0" w:color="auto"/>
            </w:tcBorders>
            <w:hideMark/>
          </w:tcPr>
          <w:p w14:paraId="256AD46B" w14:textId="77777777" w:rsidR="00FC7A68" w:rsidRDefault="00FC7A68" w:rsidP="00FC7A68">
            <w:pPr>
              <w:pStyle w:val="RepTableSmall"/>
              <w:rPr>
                <w:szCs w:val="16"/>
                <w:lang w:val="en-GB"/>
              </w:rPr>
            </w:pPr>
            <w:r>
              <w:rPr>
                <w:szCs w:val="16"/>
                <w:lang w:val="en-GB"/>
              </w:rPr>
              <w:t>g or kg as/ha</w:t>
            </w:r>
            <w:r>
              <w:rPr>
                <w:szCs w:val="16"/>
                <w:lang w:val="en-GB"/>
              </w:rPr>
              <w:br/>
            </w:r>
          </w:p>
          <w:p w14:paraId="0E63E1EB" w14:textId="77777777" w:rsidR="00FC7A68" w:rsidRDefault="00FC7A68" w:rsidP="00FC7A68">
            <w:pPr>
              <w:pStyle w:val="RepTableSmall"/>
              <w:rPr>
                <w:szCs w:val="16"/>
                <w:lang w:val="en-GB"/>
              </w:rPr>
            </w:pPr>
            <w:r>
              <w:rPr>
                <w:szCs w:val="16"/>
                <w:lang w:val="en-GB"/>
              </w:rPr>
              <w:t>a) max. rate per appl.</w:t>
            </w:r>
          </w:p>
          <w:p w14:paraId="28DEAE11" w14:textId="77777777" w:rsidR="00FC7A68" w:rsidRDefault="00FC7A68" w:rsidP="00FC7A68">
            <w:pPr>
              <w:pStyle w:val="RepTableSmall"/>
              <w:rPr>
                <w:szCs w:val="16"/>
                <w:lang w:val="en-GB"/>
              </w:rPr>
            </w:pPr>
            <w:r>
              <w:rPr>
                <w:szCs w:val="16"/>
                <w:lang w:val="en-GB"/>
              </w:rPr>
              <w:t>b) max. total rate per crop/season</w:t>
            </w:r>
          </w:p>
        </w:tc>
        <w:tc>
          <w:tcPr>
            <w:tcW w:w="0" w:type="auto"/>
            <w:tcBorders>
              <w:top w:val="single" w:sz="4" w:space="0" w:color="auto"/>
              <w:left w:val="single" w:sz="4" w:space="0" w:color="auto"/>
              <w:bottom w:val="single" w:sz="4" w:space="0" w:color="auto"/>
              <w:right w:val="single" w:sz="4" w:space="0" w:color="auto"/>
            </w:tcBorders>
            <w:hideMark/>
          </w:tcPr>
          <w:p w14:paraId="01C896C6" w14:textId="77777777" w:rsidR="00FC7A68" w:rsidRDefault="00FC7A68" w:rsidP="00FC7A68">
            <w:pPr>
              <w:pStyle w:val="RepTableSmall"/>
              <w:rPr>
                <w:szCs w:val="16"/>
                <w:lang w:val="nl-BE"/>
              </w:rPr>
            </w:pPr>
            <w:r>
              <w:rPr>
                <w:szCs w:val="16"/>
                <w:lang w:val="nl-BE"/>
              </w:rPr>
              <w:t>Water L/ha</w:t>
            </w:r>
            <w:r>
              <w:rPr>
                <w:szCs w:val="16"/>
                <w:lang w:val="nl-BE"/>
              </w:rPr>
              <w:br/>
            </w:r>
            <w:r>
              <w:rPr>
                <w:szCs w:val="16"/>
                <w:lang w:val="nl-BE"/>
              </w:rPr>
              <w:br/>
              <w:t>min / max</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4CE02E" w14:textId="77777777" w:rsidR="00FC7A68" w:rsidRPr="002262EA" w:rsidRDefault="00FC7A68" w:rsidP="00FC7A68">
            <w:pPr>
              <w:rPr>
                <w:spacing w:val="-1"/>
                <w:sz w:val="18"/>
                <w:szCs w:val="18"/>
                <w:lang w:val="nl-B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410BAC" w14:textId="77777777" w:rsidR="00FC7A68" w:rsidRPr="002262EA" w:rsidRDefault="00FC7A68" w:rsidP="00FC7A68">
            <w:pPr>
              <w:rPr>
                <w:spacing w:val="-1"/>
                <w:sz w:val="18"/>
                <w:szCs w:val="18"/>
                <w:vertAlign w:val="superscript"/>
                <w:lang w:val="nl-BE"/>
              </w:rPr>
            </w:pPr>
          </w:p>
        </w:tc>
        <w:tc>
          <w:tcPr>
            <w:tcW w:w="0" w:type="auto"/>
            <w:tcBorders>
              <w:top w:val="single" w:sz="4" w:space="0" w:color="auto"/>
              <w:left w:val="single" w:sz="4" w:space="0" w:color="auto"/>
              <w:bottom w:val="single" w:sz="4" w:space="0" w:color="auto"/>
              <w:right w:val="single" w:sz="4" w:space="0" w:color="auto"/>
            </w:tcBorders>
            <w:shd w:val="clear" w:color="auto" w:fill="92D050"/>
            <w:textDirection w:val="btLr"/>
          </w:tcPr>
          <w:p w14:paraId="707523F7" w14:textId="15FD3B6E" w:rsidR="00FC7A68" w:rsidRPr="00CE7CB0" w:rsidRDefault="00FC7A68" w:rsidP="00FC7A68">
            <w:pPr>
              <w:rPr>
                <w:b/>
                <w:bCs/>
                <w:spacing w:val="-1"/>
                <w:sz w:val="24"/>
                <w:szCs w:val="24"/>
                <w:vertAlign w:val="subscript"/>
                <w:lang w:val="nl-BE"/>
              </w:rPr>
            </w:pPr>
            <w:r w:rsidRPr="00CE7CB0">
              <w:rPr>
                <w:b/>
                <w:bCs/>
                <w:sz w:val="24"/>
                <w:szCs w:val="24"/>
                <w:vertAlign w:val="subscript"/>
                <w:lang w:val="en-GB"/>
              </w:rPr>
              <w:t>Birds</w:t>
            </w:r>
          </w:p>
        </w:tc>
        <w:tc>
          <w:tcPr>
            <w:tcW w:w="0" w:type="auto"/>
            <w:tcBorders>
              <w:top w:val="single" w:sz="4" w:space="0" w:color="auto"/>
              <w:left w:val="single" w:sz="4" w:space="0" w:color="auto"/>
              <w:bottom w:val="single" w:sz="4" w:space="0" w:color="auto"/>
              <w:right w:val="single" w:sz="4" w:space="0" w:color="auto"/>
            </w:tcBorders>
            <w:shd w:val="clear" w:color="auto" w:fill="92D050"/>
            <w:textDirection w:val="btLr"/>
          </w:tcPr>
          <w:p w14:paraId="445339DB" w14:textId="2EDD979F" w:rsidR="00FC7A68" w:rsidRPr="00CE7CB0" w:rsidRDefault="00FC7A68" w:rsidP="00FC7A68">
            <w:pPr>
              <w:rPr>
                <w:b/>
                <w:bCs/>
                <w:spacing w:val="-1"/>
                <w:sz w:val="24"/>
                <w:szCs w:val="24"/>
                <w:vertAlign w:val="subscript"/>
                <w:lang w:val="nl-BE"/>
              </w:rPr>
            </w:pPr>
            <w:r w:rsidRPr="00CE7CB0">
              <w:rPr>
                <w:b/>
                <w:bCs/>
                <w:sz w:val="24"/>
                <w:szCs w:val="24"/>
                <w:vertAlign w:val="subscript"/>
                <w:lang w:val="en-GB"/>
              </w:rPr>
              <w:t xml:space="preserve"> Mammals</w:t>
            </w:r>
          </w:p>
        </w:tc>
        <w:tc>
          <w:tcPr>
            <w:tcW w:w="0" w:type="auto"/>
            <w:tcBorders>
              <w:top w:val="single" w:sz="4" w:space="0" w:color="auto"/>
              <w:left w:val="single" w:sz="4" w:space="0" w:color="auto"/>
              <w:bottom w:val="single" w:sz="4" w:space="0" w:color="auto"/>
              <w:right w:val="single" w:sz="4" w:space="0" w:color="auto"/>
            </w:tcBorders>
            <w:shd w:val="clear" w:color="auto" w:fill="FFFF00"/>
            <w:textDirection w:val="btLr"/>
          </w:tcPr>
          <w:p w14:paraId="2A74C7DF" w14:textId="74B012C2" w:rsidR="00FC7A68" w:rsidRPr="00CE7CB0" w:rsidRDefault="00FC7A68" w:rsidP="00FC7A68">
            <w:pPr>
              <w:rPr>
                <w:b/>
                <w:bCs/>
                <w:spacing w:val="-1"/>
                <w:sz w:val="24"/>
                <w:szCs w:val="24"/>
                <w:vertAlign w:val="subscript"/>
                <w:lang w:val="nl-BE"/>
              </w:rPr>
            </w:pPr>
            <w:r w:rsidRPr="00CE7CB0">
              <w:rPr>
                <w:b/>
                <w:bCs/>
                <w:sz w:val="24"/>
                <w:szCs w:val="24"/>
                <w:vertAlign w:val="subscript"/>
                <w:lang w:val="en-GB"/>
              </w:rPr>
              <w:t>Aquatic organisms</w:t>
            </w:r>
            <w:r w:rsidR="006166CC" w:rsidRPr="006166CC">
              <w:rPr>
                <w:b/>
                <w:bCs/>
                <w:sz w:val="24"/>
                <w:szCs w:val="24"/>
                <w:highlight w:val="cyan"/>
                <w:vertAlign w:val="subscript"/>
                <w:lang w:val="en-GB"/>
              </w:rPr>
              <w:t>#</w:t>
            </w:r>
          </w:p>
        </w:tc>
        <w:tc>
          <w:tcPr>
            <w:tcW w:w="0" w:type="auto"/>
            <w:tcBorders>
              <w:top w:val="single" w:sz="4" w:space="0" w:color="auto"/>
              <w:left w:val="single" w:sz="4" w:space="0" w:color="auto"/>
              <w:bottom w:val="single" w:sz="4" w:space="0" w:color="auto"/>
              <w:right w:val="single" w:sz="4" w:space="0" w:color="auto"/>
            </w:tcBorders>
            <w:shd w:val="clear" w:color="auto" w:fill="92D050"/>
            <w:textDirection w:val="btLr"/>
          </w:tcPr>
          <w:p w14:paraId="2E8EA241" w14:textId="7256FEC2" w:rsidR="00FC7A68" w:rsidRPr="00CE7CB0" w:rsidRDefault="00FC7A68" w:rsidP="00FC7A68">
            <w:pPr>
              <w:rPr>
                <w:b/>
                <w:bCs/>
                <w:spacing w:val="-1"/>
                <w:sz w:val="24"/>
                <w:szCs w:val="24"/>
                <w:vertAlign w:val="subscript"/>
                <w:lang w:val="nl-BE"/>
              </w:rPr>
            </w:pPr>
            <w:r w:rsidRPr="00CE7CB0">
              <w:rPr>
                <w:b/>
                <w:bCs/>
                <w:sz w:val="24"/>
                <w:szCs w:val="24"/>
                <w:vertAlign w:val="subscript"/>
                <w:lang w:val="en-GB"/>
              </w:rPr>
              <w:t>Bees</w:t>
            </w:r>
          </w:p>
        </w:tc>
        <w:tc>
          <w:tcPr>
            <w:tcW w:w="0" w:type="auto"/>
            <w:tcBorders>
              <w:top w:val="single" w:sz="4" w:space="0" w:color="auto"/>
              <w:left w:val="single" w:sz="4" w:space="0" w:color="auto"/>
              <w:bottom w:val="single" w:sz="4" w:space="0" w:color="auto"/>
              <w:right w:val="single" w:sz="4" w:space="0" w:color="auto"/>
            </w:tcBorders>
            <w:shd w:val="clear" w:color="auto" w:fill="92D050"/>
            <w:textDirection w:val="btLr"/>
          </w:tcPr>
          <w:p w14:paraId="51F68D94" w14:textId="0E785157" w:rsidR="00FC7A68" w:rsidRPr="00CE7CB0" w:rsidRDefault="00FC7A68" w:rsidP="00FC7A68">
            <w:pPr>
              <w:rPr>
                <w:b/>
                <w:bCs/>
                <w:spacing w:val="-1"/>
                <w:sz w:val="24"/>
                <w:szCs w:val="24"/>
                <w:vertAlign w:val="subscript"/>
                <w:lang w:val="nl-BE"/>
              </w:rPr>
            </w:pPr>
            <w:r w:rsidRPr="00CE7CB0">
              <w:rPr>
                <w:b/>
                <w:bCs/>
                <w:sz w:val="24"/>
                <w:szCs w:val="24"/>
                <w:vertAlign w:val="subscript"/>
                <w:lang w:val="en-GB"/>
              </w:rPr>
              <w:t>Non-target arthropods</w:t>
            </w:r>
          </w:p>
        </w:tc>
        <w:tc>
          <w:tcPr>
            <w:tcW w:w="0" w:type="auto"/>
            <w:tcBorders>
              <w:top w:val="single" w:sz="4" w:space="0" w:color="auto"/>
              <w:left w:val="single" w:sz="4" w:space="0" w:color="auto"/>
              <w:bottom w:val="single" w:sz="4" w:space="0" w:color="auto"/>
              <w:right w:val="single" w:sz="4" w:space="0" w:color="auto"/>
            </w:tcBorders>
            <w:shd w:val="clear" w:color="auto" w:fill="92D050"/>
            <w:textDirection w:val="btLr"/>
          </w:tcPr>
          <w:p w14:paraId="41455B56" w14:textId="38D529A2" w:rsidR="00FC7A68" w:rsidRPr="00CE7CB0" w:rsidRDefault="00FC7A68" w:rsidP="00FC7A68">
            <w:pPr>
              <w:rPr>
                <w:b/>
                <w:bCs/>
                <w:spacing w:val="-1"/>
                <w:sz w:val="24"/>
                <w:szCs w:val="24"/>
                <w:vertAlign w:val="subscript"/>
                <w:lang w:val="nl-BE"/>
              </w:rPr>
            </w:pPr>
            <w:r w:rsidRPr="00CE7CB0">
              <w:rPr>
                <w:b/>
                <w:bCs/>
                <w:sz w:val="24"/>
                <w:szCs w:val="24"/>
                <w:vertAlign w:val="subscript"/>
                <w:lang w:val="en-GB"/>
              </w:rPr>
              <w:t>Soil organisms</w:t>
            </w:r>
          </w:p>
        </w:tc>
        <w:tc>
          <w:tcPr>
            <w:tcW w:w="0" w:type="auto"/>
            <w:tcBorders>
              <w:top w:val="single" w:sz="4" w:space="0" w:color="auto"/>
              <w:left w:val="single" w:sz="4" w:space="0" w:color="auto"/>
              <w:bottom w:val="single" w:sz="4" w:space="0" w:color="auto"/>
              <w:right w:val="single" w:sz="4" w:space="0" w:color="auto"/>
            </w:tcBorders>
            <w:shd w:val="clear" w:color="auto" w:fill="92D050"/>
            <w:textDirection w:val="btLr"/>
          </w:tcPr>
          <w:p w14:paraId="6F91DCBB" w14:textId="64AAFA13" w:rsidR="00FC7A68" w:rsidRPr="00CE7CB0" w:rsidRDefault="00FC7A68" w:rsidP="00FC7A68">
            <w:pPr>
              <w:rPr>
                <w:b/>
                <w:bCs/>
                <w:spacing w:val="-1"/>
                <w:sz w:val="24"/>
                <w:szCs w:val="24"/>
                <w:vertAlign w:val="subscript"/>
                <w:lang w:val="nl-BE"/>
              </w:rPr>
            </w:pPr>
            <w:r w:rsidRPr="00CE7CB0">
              <w:rPr>
                <w:b/>
                <w:bCs/>
                <w:sz w:val="24"/>
                <w:szCs w:val="24"/>
                <w:vertAlign w:val="subscript"/>
                <w:lang w:val="en-GB"/>
              </w:rPr>
              <w:t>Non-target plants</w:t>
            </w:r>
          </w:p>
        </w:tc>
      </w:tr>
      <w:tr w:rsidR="00FC7A68" w14:paraId="4A11948D" w14:textId="589F3BFA" w:rsidTr="00CE7CB0">
        <w:tc>
          <w:tcPr>
            <w:tcW w:w="0" w:type="auto"/>
            <w:gridSpan w:val="14"/>
            <w:tcBorders>
              <w:top w:val="single" w:sz="4" w:space="0" w:color="auto"/>
              <w:left w:val="single" w:sz="4" w:space="0" w:color="auto"/>
              <w:bottom w:val="single" w:sz="4" w:space="0" w:color="auto"/>
              <w:right w:val="nil"/>
            </w:tcBorders>
            <w:hideMark/>
          </w:tcPr>
          <w:p w14:paraId="61D88274" w14:textId="77777777" w:rsidR="00FC7A68" w:rsidRDefault="00FC7A68" w:rsidP="00FC7A68">
            <w:pPr>
              <w:pStyle w:val="RepTableSmall"/>
              <w:keepNext/>
              <w:keepLines/>
              <w:rPr>
                <w:b/>
                <w:szCs w:val="16"/>
                <w:lang w:val="en-GB"/>
              </w:rPr>
            </w:pPr>
            <w:r>
              <w:rPr>
                <w:b/>
                <w:sz w:val="18"/>
                <w:szCs w:val="16"/>
                <w:lang w:val="en-GB"/>
              </w:rPr>
              <w:t>Zonal uses (field or outdoor uses, certain types of protected crops)</w:t>
            </w:r>
          </w:p>
        </w:tc>
        <w:tc>
          <w:tcPr>
            <w:tcW w:w="0" w:type="auto"/>
            <w:tcBorders>
              <w:top w:val="single" w:sz="4" w:space="0" w:color="auto"/>
              <w:left w:val="nil"/>
              <w:bottom w:val="single" w:sz="4" w:space="0" w:color="auto"/>
              <w:right w:val="nil"/>
            </w:tcBorders>
            <w:shd w:val="clear" w:color="auto" w:fill="auto"/>
          </w:tcPr>
          <w:p w14:paraId="0D54EBCB" w14:textId="77777777" w:rsidR="00FC7A68" w:rsidRDefault="00FC7A68" w:rsidP="00FC7A68">
            <w:pPr>
              <w:pStyle w:val="RepTableSmall"/>
              <w:keepNext/>
              <w:keepLines/>
              <w:rPr>
                <w:b/>
                <w:sz w:val="18"/>
                <w:szCs w:val="16"/>
                <w:lang w:val="en-GB"/>
              </w:rPr>
            </w:pPr>
          </w:p>
        </w:tc>
        <w:tc>
          <w:tcPr>
            <w:tcW w:w="0" w:type="auto"/>
            <w:tcBorders>
              <w:top w:val="single" w:sz="4" w:space="0" w:color="auto"/>
              <w:left w:val="nil"/>
              <w:bottom w:val="single" w:sz="4" w:space="0" w:color="auto"/>
              <w:right w:val="nil"/>
            </w:tcBorders>
            <w:shd w:val="clear" w:color="auto" w:fill="auto"/>
          </w:tcPr>
          <w:p w14:paraId="3A808A4B" w14:textId="77777777" w:rsidR="00FC7A68" w:rsidRDefault="00FC7A68" w:rsidP="00FC7A68">
            <w:pPr>
              <w:pStyle w:val="RepTableSmall"/>
              <w:keepNext/>
              <w:keepLines/>
              <w:rPr>
                <w:b/>
                <w:sz w:val="18"/>
                <w:szCs w:val="16"/>
                <w:lang w:val="en-GB"/>
              </w:rPr>
            </w:pPr>
          </w:p>
        </w:tc>
        <w:tc>
          <w:tcPr>
            <w:tcW w:w="0" w:type="auto"/>
            <w:tcBorders>
              <w:top w:val="single" w:sz="4" w:space="0" w:color="auto"/>
              <w:left w:val="nil"/>
              <w:bottom w:val="single" w:sz="4" w:space="0" w:color="auto"/>
              <w:right w:val="nil"/>
            </w:tcBorders>
            <w:shd w:val="clear" w:color="auto" w:fill="auto"/>
          </w:tcPr>
          <w:p w14:paraId="3C51FE82" w14:textId="77777777" w:rsidR="00FC7A68" w:rsidRDefault="00FC7A68" w:rsidP="00FC7A68">
            <w:pPr>
              <w:pStyle w:val="RepTableSmall"/>
              <w:keepNext/>
              <w:keepLines/>
              <w:rPr>
                <w:b/>
                <w:sz w:val="18"/>
                <w:szCs w:val="16"/>
                <w:lang w:val="en-GB"/>
              </w:rPr>
            </w:pPr>
          </w:p>
        </w:tc>
        <w:tc>
          <w:tcPr>
            <w:tcW w:w="0" w:type="auto"/>
            <w:tcBorders>
              <w:top w:val="single" w:sz="4" w:space="0" w:color="auto"/>
              <w:left w:val="nil"/>
              <w:bottom w:val="single" w:sz="4" w:space="0" w:color="auto"/>
              <w:right w:val="nil"/>
            </w:tcBorders>
            <w:shd w:val="clear" w:color="auto" w:fill="auto"/>
          </w:tcPr>
          <w:p w14:paraId="227D16DE" w14:textId="77777777" w:rsidR="00FC7A68" w:rsidRDefault="00FC7A68" w:rsidP="00FC7A68">
            <w:pPr>
              <w:pStyle w:val="RepTableSmall"/>
              <w:keepNext/>
              <w:keepLines/>
              <w:rPr>
                <w:b/>
                <w:sz w:val="18"/>
                <w:szCs w:val="16"/>
                <w:lang w:val="en-GB"/>
              </w:rPr>
            </w:pPr>
          </w:p>
        </w:tc>
        <w:tc>
          <w:tcPr>
            <w:tcW w:w="0" w:type="auto"/>
            <w:tcBorders>
              <w:top w:val="single" w:sz="4" w:space="0" w:color="auto"/>
              <w:left w:val="nil"/>
              <w:bottom w:val="single" w:sz="4" w:space="0" w:color="auto"/>
              <w:right w:val="nil"/>
            </w:tcBorders>
            <w:shd w:val="clear" w:color="auto" w:fill="auto"/>
          </w:tcPr>
          <w:p w14:paraId="0EC9972F" w14:textId="77777777" w:rsidR="00FC7A68" w:rsidRDefault="00FC7A68" w:rsidP="00FC7A68">
            <w:pPr>
              <w:pStyle w:val="RepTableSmall"/>
              <w:keepNext/>
              <w:keepLines/>
              <w:rPr>
                <w:b/>
                <w:sz w:val="18"/>
                <w:szCs w:val="16"/>
                <w:lang w:val="en-GB"/>
              </w:rPr>
            </w:pPr>
          </w:p>
        </w:tc>
        <w:tc>
          <w:tcPr>
            <w:tcW w:w="0" w:type="auto"/>
            <w:tcBorders>
              <w:top w:val="single" w:sz="4" w:space="0" w:color="auto"/>
              <w:left w:val="nil"/>
              <w:bottom w:val="single" w:sz="4" w:space="0" w:color="auto"/>
              <w:right w:val="nil"/>
            </w:tcBorders>
            <w:shd w:val="clear" w:color="auto" w:fill="auto"/>
          </w:tcPr>
          <w:p w14:paraId="24D46C2E" w14:textId="77777777" w:rsidR="00FC7A68" w:rsidRDefault="00FC7A68" w:rsidP="00FC7A68">
            <w:pPr>
              <w:pStyle w:val="RepTableSmall"/>
              <w:keepNext/>
              <w:keepLines/>
              <w:rPr>
                <w:b/>
                <w:sz w:val="18"/>
                <w:szCs w:val="16"/>
                <w:lang w:val="en-GB"/>
              </w:rPr>
            </w:pPr>
          </w:p>
        </w:tc>
        <w:tc>
          <w:tcPr>
            <w:tcW w:w="0" w:type="auto"/>
            <w:tcBorders>
              <w:top w:val="single" w:sz="4" w:space="0" w:color="auto"/>
              <w:left w:val="nil"/>
              <w:bottom w:val="single" w:sz="4" w:space="0" w:color="auto"/>
              <w:right w:val="single" w:sz="4" w:space="0" w:color="auto"/>
            </w:tcBorders>
            <w:shd w:val="clear" w:color="auto" w:fill="auto"/>
          </w:tcPr>
          <w:p w14:paraId="6FCCC20E" w14:textId="77777777" w:rsidR="00FC7A68" w:rsidRDefault="00FC7A68" w:rsidP="00FC7A68">
            <w:pPr>
              <w:pStyle w:val="RepTableSmall"/>
              <w:keepNext/>
              <w:keepLines/>
              <w:rPr>
                <w:b/>
                <w:sz w:val="18"/>
                <w:szCs w:val="16"/>
                <w:lang w:val="en-GB"/>
              </w:rPr>
            </w:pPr>
          </w:p>
        </w:tc>
      </w:tr>
      <w:tr w:rsidR="00CE7CB0" w14:paraId="50CAE8C0" w14:textId="48C3C821" w:rsidTr="00627017">
        <w:tc>
          <w:tcPr>
            <w:tcW w:w="0" w:type="auto"/>
            <w:tcBorders>
              <w:top w:val="single" w:sz="4" w:space="0" w:color="auto"/>
              <w:left w:val="single" w:sz="4" w:space="0" w:color="auto"/>
              <w:bottom w:val="single" w:sz="4" w:space="0" w:color="auto"/>
              <w:right w:val="single" w:sz="4" w:space="0" w:color="auto"/>
            </w:tcBorders>
            <w:hideMark/>
          </w:tcPr>
          <w:p w14:paraId="1F7CBB18" w14:textId="77777777" w:rsidR="00FC7A68" w:rsidRDefault="00FC7A68" w:rsidP="00FC7A68">
            <w:pPr>
              <w:pStyle w:val="RepTableSmall"/>
              <w:keepNext/>
              <w:keepLines/>
              <w:rPr>
                <w:spacing w:val="-1"/>
                <w:szCs w:val="16"/>
                <w:lang w:val="en-GB"/>
              </w:rPr>
            </w:pPr>
            <w:r>
              <w:rPr>
                <w:color w:val="000000"/>
                <w:sz w:val="18"/>
                <w:szCs w:val="18"/>
                <w:lang w:val="de-DE"/>
              </w:rPr>
              <w:t>1</w:t>
            </w:r>
          </w:p>
        </w:tc>
        <w:tc>
          <w:tcPr>
            <w:tcW w:w="0" w:type="auto"/>
            <w:tcBorders>
              <w:top w:val="single" w:sz="4" w:space="0" w:color="auto"/>
              <w:left w:val="single" w:sz="4" w:space="0" w:color="auto"/>
              <w:bottom w:val="single" w:sz="4" w:space="0" w:color="auto"/>
              <w:right w:val="single" w:sz="4" w:space="0" w:color="auto"/>
            </w:tcBorders>
            <w:hideMark/>
          </w:tcPr>
          <w:p w14:paraId="0F224158" w14:textId="77777777" w:rsidR="00FC7A68" w:rsidRDefault="00FC7A68" w:rsidP="00FC7A68">
            <w:pPr>
              <w:pStyle w:val="RepTableSmall"/>
              <w:keepNext/>
              <w:keepLines/>
              <w:rPr>
                <w:spacing w:val="-1"/>
                <w:szCs w:val="16"/>
                <w:lang w:val="en-GB"/>
              </w:rPr>
            </w:pPr>
            <w:r w:rsidRPr="00492207">
              <w:rPr>
                <w:color w:val="000000"/>
                <w:sz w:val="18"/>
                <w:szCs w:val="18"/>
              </w:rPr>
              <w:t>DE, AT, BE, NL, IE, PL</w:t>
            </w:r>
          </w:p>
        </w:tc>
        <w:tc>
          <w:tcPr>
            <w:tcW w:w="0" w:type="auto"/>
            <w:tcBorders>
              <w:top w:val="single" w:sz="4" w:space="0" w:color="auto"/>
              <w:left w:val="single" w:sz="4" w:space="0" w:color="auto"/>
              <w:bottom w:val="single" w:sz="4" w:space="0" w:color="auto"/>
              <w:right w:val="single" w:sz="4" w:space="0" w:color="auto"/>
            </w:tcBorders>
            <w:hideMark/>
          </w:tcPr>
          <w:p w14:paraId="3031743C" w14:textId="77777777" w:rsidR="00FC7A68" w:rsidRPr="003C03E9" w:rsidRDefault="00FC7A68" w:rsidP="00FC7A68">
            <w:pPr>
              <w:pStyle w:val="RepTableSmall"/>
              <w:keepNext/>
              <w:keepLines/>
              <w:rPr>
                <w:szCs w:val="16"/>
                <w:lang w:val="pl-PL"/>
              </w:rPr>
            </w:pPr>
            <w:r w:rsidRPr="003C03E9">
              <w:rPr>
                <w:color w:val="000000"/>
                <w:sz w:val="18"/>
                <w:szCs w:val="18"/>
                <w:lang w:val="pl-PL"/>
              </w:rPr>
              <w:t>wheat</w:t>
            </w:r>
            <w:r w:rsidRPr="003C03E9">
              <w:rPr>
                <w:color w:val="000000"/>
                <w:sz w:val="18"/>
                <w:szCs w:val="18"/>
                <w:lang w:val="pl-PL"/>
              </w:rPr>
              <w:br/>
              <w:t>TRZAW, TRZAS</w:t>
            </w:r>
            <w:r w:rsidRPr="003C03E9">
              <w:rPr>
                <w:color w:val="000000"/>
                <w:sz w:val="18"/>
                <w:szCs w:val="18"/>
                <w:lang w:val="pl-PL"/>
              </w:rPr>
              <w:br/>
              <w:t>TRZDU, TRZSP</w:t>
            </w:r>
          </w:p>
        </w:tc>
        <w:tc>
          <w:tcPr>
            <w:tcW w:w="0" w:type="auto"/>
            <w:tcBorders>
              <w:top w:val="single" w:sz="4" w:space="0" w:color="auto"/>
              <w:left w:val="single" w:sz="4" w:space="0" w:color="auto"/>
              <w:bottom w:val="single" w:sz="4" w:space="0" w:color="auto"/>
              <w:right w:val="single" w:sz="4" w:space="0" w:color="auto"/>
            </w:tcBorders>
            <w:hideMark/>
          </w:tcPr>
          <w:p w14:paraId="7444DC2A" w14:textId="77777777" w:rsidR="00FC7A68" w:rsidRDefault="00FC7A68" w:rsidP="00FC7A68">
            <w:pPr>
              <w:pStyle w:val="RepTableSmall"/>
              <w:keepNext/>
              <w:keepLines/>
              <w:rPr>
                <w:szCs w:val="16"/>
                <w:lang w:val="en-GB"/>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10BF2435" w14:textId="77777777" w:rsidR="00FC7A68" w:rsidRDefault="00FC7A68" w:rsidP="00FC7A68">
            <w:pPr>
              <w:pStyle w:val="RepTableSmall"/>
              <w:keepNext/>
              <w:keepLines/>
              <w:rPr>
                <w:color w:val="000000"/>
                <w:sz w:val="18"/>
                <w:szCs w:val="18"/>
                <w:lang w:val="fr-FR"/>
              </w:rPr>
            </w:pPr>
            <w:r>
              <w:rPr>
                <w:color w:val="000000"/>
                <w:sz w:val="18"/>
                <w:szCs w:val="18"/>
                <w:lang w:val="fr-FR"/>
              </w:rPr>
              <w:t>Zymoseptoria tritici - SEPTTR</w:t>
            </w:r>
            <w:r>
              <w:rPr>
                <w:color w:val="000000"/>
                <w:sz w:val="18"/>
                <w:szCs w:val="18"/>
                <w:lang w:val="fr-FR"/>
              </w:rPr>
              <w:br/>
              <w:t>Puccinia triticina - PUCCRT</w:t>
            </w:r>
            <w:r>
              <w:rPr>
                <w:color w:val="000000"/>
                <w:sz w:val="18"/>
                <w:szCs w:val="18"/>
                <w:lang w:val="fr-FR"/>
              </w:rPr>
              <w:br/>
              <w:t>Puccinia striiformis - PUCCST</w:t>
            </w:r>
            <w:r>
              <w:rPr>
                <w:color w:val="000000"/>
                <w:sz w:val="18"/>
                <w:szCs w:val="18"/>
                <w:lang w:val="fr-FR"/>
              </w:rPr>
              <w:br/>
              <w:t>Pyrenophora tritici-repentis – PYRNTR</w:t>
            </w:r>
          </w:p>
          <w:p w14:paraId="0FDCBCEE" w14:textId="77777777" w:rsidR="00FC7A68" w:rsidRDefault="00FC7A68" w:rsidP="00FC7A68">
            <w:pPr>
              <w:pStyle w:val="RepTableSmall"/>
              <w:keepNext/>
              <w:keepLines/>
              <w:rPr>
                <w:szCs w:val="16"/>
                <w:lang w:val="fr-FR"/>
              </w:rPr>
            </w:pPr>
            <w:r>
              <w:rPr>
                <w:color w:val="000000"/>
                <w:sz w:val="18"/>
                <w:szCs w:val="18"/>
                <w:lang w:val="fr-FR"/>
              </w:rPr>
              <w:t>Blumeria graminis - ERYSGR</w:t>
            </w:r>
          </w:p>
        </w:tc>
        <w:tc>
          <w:tcPr>
            <w:tcW w:w="0" w:type="auto"/>
            <w:tcBorders>
              <w:top w:val="single" w:sz="4" w:space="0" w:color="auto"/>
              <w:left w:val="single" w:sz="4" w:space="0" w:color="auto"/>
              <w:bottom w:val="single" w:sz="4" w:space="0" w:color="auto"/>
              <w:right w:val="single" w:sz="4" w:space="0" w:color="auto"/>
            </w:tcBorders>
            <w:hideMark/>
          </w:tcPr>
          <w:p w14:paraId="2248A85E" w14:textId="77777777" w:rsidR="00FC7A68" w:rsidRDefault="00FC7A68" w:rsidP="00FC7A68">
            <w:pPr>
              <w:pStyle w:val="RepTableSmall"/>
              <w:keepNext/>
              <w:keepLines/>
              <w:rPr>
                <w:szCs w:val="16"/>
                <w:lang w:val="en-GB"/>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586FD093" w14:textId="77777777" w:rsidR="00FC7A68" w:rsidRDefault="00FC7A68" w:rsidP="00FC7A68">
            <w:pPr>
              <w:pStyle w:val="RepTableSmall"/>
              <w:keepNext/>
              <w:keepLines/>
              <w:rPr>
                <w:szCs w:val="16"/>
                <w:lang w:val="en-GB"/>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54A17A9B" w14:textId="77777777" w:rsidR="00FC7A68" w:rsidRDefault="00FC7A68" w:rsidP="00FC7A68">
            <w:pPr>
              <w:pStyle w:val="RepTableSmall"/>
              <w:keepNext/>
              <w:keepLines/>
              <w:rPr>
                <w:szCs w:val="16"/>
                <w:lang w:val="en-GB"/>
              </w:rPr>
            </w:pPr>
            <w:r>
              <w:rPr>
                <w:color w:val="000000"/>
                <w:sz w:val="18"/>
                <w:szCs w:val="18"/>
                <w:lang w:val="de-DE"/>
              </w:rPr>
              <w:t>a) 2</w:t>
            </w:r>
            <w:r>
              <w:rPr>
                <w:color w:val="000000"/>
                <w:sz w:val="18"/>
                <w:szCs w:val="18"/>
                <w:lang w:val="de-DE"/>
              </w:rPr>
              <w:br/>
              <w:t>b) 2</w:t>
            </w:r>
          </w:p>
        </w:tc>
        <w:tc>
          <w:tcPr>
            <w:tcW w:w="0" w:type="auto"/>
            <w:tcBorders>
              <w:top w:val="single" w:sz="4" w:space="0" w:color="auto"/>
              <w:left w:val="single" w:sz="4" w:space="0" w:color="auto"/>
              <w:bottom w:val="single" w:sz="4" w:space="0" w:color="auto"/>
              <w:right w:val="single" w:sz="4" w:space="0" w:color="auto"/>
            </w:tcBorders>
            <w:hideMark/>
          </w:tcPr>
          <w:p w14:paraId="51E97907" w14:textId="77777777" w:rsidR="00FC7A68" w:rsidRDefault="00FC7A68" w:rsidP="00FC7A68">
            <w:pPr>
              <w:pStyle w:val="RepTableSmall"/>
              <w:keepNext/>
              <w:keepLines/>
              <w:rPr>
                <w:szCs w:val="16"/>
                <w:lang w:val="en-GB"/>
              </w:rPr>
            </w:pPr>
            <w:r>
              <w:rPr>
                <w:color w:val="000000"/>
                <w:sz w:val="18"/>
                <w:szCs w:val="18"/>
                <w:lang w:val="de-DE"/>
              </w:rPr>
              <w:t>21</w:t>
            </w:r>
          </w:p>
        </w:tc>
        <w:tc>
          <w:tcPr>
            <w:tcW w:w="0" w:type="auto"/>
            <w:tcBorders>
              <w:top w:val="single" w:sz="4" w:space="0" w:color="auto"/>
              <w:left w:val="single" w:sz="4" w:space="0" w:color="auto"/>
              <w:bottom w:val="single" w:sz="4" w:space="0" w:color="auto"/>
              <w:right w:val="single" w:sz="4" w:space="0" w:color="auto"/>
            </w:tcBorders>
            <w:hideMark/>
          </w:tcPr>
          <w:p w14:paraId="04D4F0E4" w14:textId="77777777" w:rsidR="00FC7A68" w:rsidRDefault="00FC7A68" w:rsidP="00FC7A68">
            <w:pPr>
              <w:pStyle w:val="RepTableSmall"/>
              <w:keepNext/>
              <w:keepLines/>
              <w:rPr>
                <w:szCs w:val="16"/>
                <w:lang w:val="en-GB"/>
              </w:rPr>
            </w:pPr>
            <w:r>
              <w:rPr>
                <w:color w:val="000000"/>
                <w:sz w:val="18"/>
                <w:szCs w:val="18"/>
                <w:lang w:val="de-DE"/>
              </w:rPr>
              <w:t>a) 2.00</w:t>
            </w:r>
            <w:r>
              <w:rPr>
                <w:color w:val="000000"/>
                <w:sz w:val="18"/>
                <w:szCs w:val="18"/>
                <w:lang w:val="de-DE"/>
              </w:rPr>
              <w:br/>
              <w:t>b) 4.00</w:t>
            </w:r>
          </w:p>
        </w:tc>
        <w:tc>
          <w:tcPr>
            <w:tcW w:w="0" w:type="auto"/>
            <w:tcBorders>
              <w:top w:val="single" w:sz="4" w:space="0" w:color="auto"/>
              <w:left w:val="single" w:sz="4" w:space="0" w:color="auto"/>
              <w:bottom w:val="single" w:sz="4" w:space="0" w:color="auto"/>
              <w:right w:val="single" w:sz="4" w:space="0" w:color="auto"/>
            </w:tcBorders>
            <w:hideMark/>
          </w:tcPr>
          <w:p w14:paraId="782A0B27" w14:textId="77777777" w:rsidR="00FC7A68" w:rsidRDefault="00FC7A68" w:rsidP="00FC7A68">
            <w:pPr>
              <w:pStyle w:val="RepTableSmall"/>
              <w:keepNext/>
              <w:keepLines/>
              <w:rPr>
                <w:szCs w:val="16"/>
                <w:lang w:val="en-GB"/>
              </w:rPr>
            </w:pPr>
            <w:r>
              <w:rPr>
                <w:color w:val="000000"/>
                <w:sz w:val="18"/>
                <w:szCs w:val="18"/>
                <w:lang w:val="de-DE"/>
              </w:rPr>
              <w:t>a) 0.100 / 0.150</w:t>
            </w:r>
            <w:r>
              <w:rPr>
                <w:color w:val="000000"/>
                <w:sz w:val="18"/>
                <w:szCs w:val="18"/>
                <w:lang w:val="de-DE"/>
              </w:rPr>
              <w:br/>
              <w:t>b) 0.200 / 0.300</w:t>
            </w:r>
          </w:p>
        </w:tc>
        <w:tc>
          <w:tcPr>
            <w:tcW w:w="0" w:type="auto"/>
            <w:tcBorders>
              <w:top w:val="single" w:sz="4" w:space="0" w:color="auto"/>
              <w:left w:val="single" w:sz="4" w:space="0" w:color="auto"/>
              <w:bottom w:val="single" w:sz="4" w:space="0" w:color="auto"/>
              <w:right w:val="single" w:sz="4" w:space="0" w:color="auto"/>
            </w:tcBorders>
            <w:hideMark/>
          </w:tcPr>
          <w:p w14:paraId="7FFADD70" w14:textId="77777777" w:rsidR="00FC7A68" w:rsidRDefault="00FC7A68" w:rsidP="00FC7A68">
            <w:pPr>
              <w:pStyle w:val="RepTableSmall"/>
              <w:keepNext/>
              <w:keepLines/>
              <w:rPr>
                <w:szCs w:val="16"/>
                <w:lang w:val="en-GB"/>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560DFEB5" w14:textId="77777777" w:rsidR="00FC7A68" w:rsidRDefault="00FC7A68" w:rsidP="00FC7A68">
            <w:pPr>
              <w:pStyle w:val="RepTableSmall"/>
              <w:keepNext/>
              <w:keepLines/>
              <w:rPr>
                <w:szCs w:val="16"/>
                <w:lang w:val="en-GB"/>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71F14AAE" w14:textId="77777777" w:rsidR="00FC7A68" w:rsidRDefault="00FC7A68" w:rsidP="00FC7A68">
            <w:pPr>
              <w:pStyle w:val="RepTableSmall"/>
              <w:keepNext/>
              <w:keepLines/>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75033B8A" w14:textId="77777777" w:rsidR="00FC7A68" w:rsidRDefault="00FC7A68" w:rsidP="00FC7A68">
            <w:pPr>
              <w:pStyle w:val="RepTableSmall"/>
              <w:keepNext/>
              <w:keepLines/>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08878A1A" w14:textId="77777777" w:rsidR="00FC7A68" w:rsidRDefault="00FC7A68" w:rsidP="00FC7A68">
            <w:pPr>
              <w:pStyle w:val="RepTableSmall"/>
              <w:keepNext/>
              <w:keepLines/>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646E68E7" w14:textId="77777777" w:rsidR="00FC7A68" w:rsidRDefault="00FC7A68" w:rsidP="00FC7A68">
            <w:pPr>
              <w:pStyle w:val="RepTableSmall"/>
              <w:keepNext/>
              <w:keepLines/>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EEE03D0" w14:textId="77777777" w:rsidR="00FC7A68" w:rsidRDefault="00FC7A68" w:rsidP="00FC7A68">
            <w:pPr>
              <w:pStyle w:val="RepTableSmall"/>
              <w:keepNext/>
              <w:keepLines/>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58BA88B3" w14:textId="77777777" w:rsidR="00FC7A68" w:rsidRDefault="00FC7A68" w:rsidP="00FC7A68">
            <w:pPr>
              <w:pStyle w:val="RepTableSmall"/>
              <w:keepNext/>
              <w:keepLines/>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37F8ED84" w14:textId="77777777" w:rsidR="00FC7A68" w:rsidRDefault="00FC7A68" w:rsidP="00FC7A68">
            <w:pPr>
              <w:pStyle w:val="RepTableSmall"/>
              <w:keepNext/>
              <w:keepLines/>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9E18643" w14:textId="77777777" w:rsidR="00FC7A68" w:rsidRDefault="00FC7A68" w:rsidP="00FC7A68">
            <w:pPr>
              <w:pStyle w:val="RepTableSmall"/>
              <w:keepNext/>
              <w:keepLines/>
              <w:rPr>
                <w:szCs w:val="16"/>
                <w:lang w:val="en-GB"/>
              </w:rPr>
            </w:pPr>
          </w:p>
        </w:tc>
      </w:tr>
      <w:tr w:rsidR="00CE7CB0" w14:paraId="5C435E05" w14:textId="0D2330B3" w:rsidTr="00627017">
        <w:tc>
          <w:tcPr>
            <w:tcW w:w="0" w:type="auto"/>
            <w:tcBorders>
              <w:top w:val="single" w:sz="4" w:space="0" w:color="auto"/>
              <w:left w:val="single" w:sz="4" w:space="0" w:color="auto"/>
              <w:bottom w:val="single" w:sz="4" w:space="0" w:color="auto"/>
              <w:right w:val="single" w:sz="4" w:space="0" w:color="auto"/>
            </w:tcBorders>
            <w:hideMark/>
          </w:tcPr>
          <w:p w14:paraId="134FEB30" w14:textId="77777777" w:rsidR="00FC7A68" w:rsidRDefault="00FC7A68" w:rsidP="00FC7A68">
            <w:pPr>
              <w:pStyle w:val="RepTableSmall"/>
              <w:pageBreakBefore/>
              <w:rPr>
                <w:spacing w:val="-1"/>
                <w:szCs w:val="16"/>
                <w:lang w:val="en-GB"/>
              </w:rPr>
            </w:pPr>
            <w:r>
              <w:rPr>
                <w:color w:val="000000"/>
                <w:sz w:val="18"/>
                <w:szCs w:val="18"/>
                <w:lang w:val="de-DE"/>
              </w:rPr>
              <w:t>2</w:t>
            </w:r>
          </w:p>
        </w:tc>
        <w:tc>
          <w:tcPr>
            <w:tcW w:w="0" w:type="auto"/>
            <w:tcBorders>
              <w:top w:val="single" w:sz="4" w:space="0" w:color="auto"/>
              <w:left w:val="single" w:sz="4" w:space="0" w:color="auto"/>
              <w:bottom w:val="single" w:sz="4" w:space="0" w:color="auto"/>
              <w:right w:val="single" w:sz="4" w:space="0" w:color="auto"/>
            </w:tcBorders>
            <w:hideMark/>
          </w:tcPr>
          <w:p w14:paraId="7BFE5751" w14:textId="77777777" w:rsidR="00FC7A68" w:rsidRDefault="00FC7A68" w:rsidP="00FC7A68">
            <w:pPr>
              <w:pStyle w:val="RepTableSmall"/>
              <w:pageBreakBefore/>
              <w:rPr>
                <w:spacing w:val="-1"/>
                <w:szCs w:val="16"/>
                <w:lang w:val="en-GB"/>
              </w:rPr>
            </w:pPr>
            <w:r w:rsidRPr="00492207">
              <w:rPr>
                <w:color w:val="000000"/>
                <w:sz w:val="18"/>
                <w:szCs w:val="18"/>
              </w:rPr>
              <w:t>DE, AT, BE, NL, IE</w:t>
            </w:r>
          </w:p>
        </w:tc>
        <w:tc>
          <w:tcPr>
            <w:tcW w:w="0" w:type="auto"/>
            <w:tcBorders>
              <w:top w:val="single" w:sz="4" w:space="0" w:color="auto"/>
              <w:left w:val="single" w:sz="4" w:space="0" w:color="auto"/>
              <w:bottom w:val="single" w:sz="4" w:space="0" w:color="auto"/>
              <w:right w:val="single" w:sz="4" w:space="0" w:color="auto"/>
            </w:tcBorders>
            <w:hideMark/>
          </w:tcPr>
          <w:p w14:paraId="394CBE74" w14:textId="77777777" w:rsidR="00FC7A68" w:rsidRDefault="00FC7A68" w:rsidP="00FC7A68">
            <w:pPr>
              <w:pStyle w:val="RepTableSmall"/>
              <w:pageBreakBefore/>
              <w:rPr>
                <w:color w:val="000000"/>
                <w:sz w:val="18"/>
                <w:szCs w:val="18"/>
                <w:lang w:val="de-DE"/>
              </w:rPr>
            </w:pPr>
            <w:r>
              <w:rPr>
                <w:color w:val="000000"/>
                <w:sz w:val="18"/>
                <w:szCs w:val="18"/>
                <w:lang w:val="de-DE"/>
              </w:rPr>
              <w:t>barley</w:t>
            </w:r>
            <w:r>
              <w:rPr>
                <w:color w:val="000000"/>
                <w:sz w:val="18"/>
                <w:szCs w:val="18"/>
                <w:lang w:val="de-DE"/>
              </w:rPr>
              <w:br w:type="page"/>
            </w:r>
          </w:p>
          <w:p w14:paraId="220A8EDE" w14:textId="77777777" w:rsidR="00FC7A68" w:rsidRDefault="00FC7A68" w:rsidP="00FC7A68">
            <w:pPr>
              <w:pStyle w:val="RepTableSmall"/>
              <w:pageBreakBefore/>
              <w:rPr>
                <w:color w:val="000000"/>
                <w:sz w:val="18"/>
                <w:szCs w:val="18"/>
                <w:lang w:val="de-DE"/>
              </w:rPr>
            </w:pPr>
            <w:r>
              <w:rPr>
                <w:color w:val="000000"/>
                <w:sz w:val="18"/>
                <w:szCs w:val="18"/>
                <w:lang w:val="de-DE"/>
              </w:rPr>
              <w:t xml:space="preserve">HORVW </w:t>
            </w:r>
            <w:r>
              <w:rPr>
                <w:color w:val="000000"/>
                <w:sz w:val="18"/>
                <w:szCs w:val="18"/>
                <w:lang w:val="de-DE"/>
              </w:rPr>
              <w:br w:type="page"/>
            </w:r>
          </w:p>
          <w:p w14:paraId="6768B82F" w14:textId="33CB8719" w:rsidR="00FC7A68" w:rsidRDefault="00FC7A68" w:rsidP="00FC7A68">
            <w:pPr>
              <w:pStyle w:val="RepTableSmall"/>
              <w:pageBreakBefore/>
              <w:rPr>
                <w:szCs w:val="16"/>
                <w:lang w:val="en-GB"/>
              </w:rPr>
            </w:pPr>
            <w:r>
              <w:rPr>
                <w:color w:val="000000"/>
                <w:sz w:val="18"/>
                <w:szCs w:val="18"/>
                <w:lang w:val="de-DE"/>
              </w:rPr>
              <w:t>HORVS</w:t>
            </w:r>
          </w:p>
        </w:tc>
        <w:tc>
          <w:tcPr>
            <w:tcW w:w="0" w:type="auto"/>
            <w:tcBorders>
              <w:top w:val="single" w:sz="4" w:space="0" w:color="auto"/>
              <w:left w:val="single" w:sz="4" w:space="0" w:color="auto"/>
              <w:bottom w:val="single" w:sz="4" w:space="0" w:color="auto"/>
              <w:right w:val="single" w:sz="4" w:space="0" w:color="auto"/>
            </w:tcBorders>
            <w:hideMark/>
          </w:tcPr>
          <w:p w14:paraId="376EC35C" w14:textId="77777777" w:rsidR="00FC7A68" w:rsidRDefault="00FC7A68" w:rsidP="00FC7A68">
            <w:pPr>
              <w:pStyle w:val="RepTableSmall"/>
              <w:pageBreakBefore/>
              <w:rPr>
                <w:szCs w:val="16"/>
                <w:lang w:val="en-GB"/>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2F49638F" w14:textId="77777777" w:rsidR="00FC7A68" w:rsidRDefault="00FC7A68" w:rsidP="00FC7A68">
            <w:pPr>
              <w:pStyle w:val="RepTableSmall"/>
              <w:pageBreakBefore/>
              <w:rPr>
                <w:color w:val="000000"/>
                <w:sz w:val="18"/>
                <w:szCs w:val="18"/>
                <w:lang w:val="fr-FR"/>
              </w:rPr>
            </w:pPr>
            <w:r>
              <w:rPr>
                <w:color w:val="000000"/>
                <w:sz w:val="18"/>
                <w:szCs w:val="18"/>
                <w:lang w:val="fr-FR"/>
              </w:rPr>
              <w:t>Pyrenophora teres – PYRNTE</w:t>
            </w:r>
          </w:p>
          <w:p w14:paraId="2D7D3533" w14:textId="77777777" w:rsidR="00FC7A68" w:rsidRDefault="00FC7A68" w:rsidP="00FC7A68">
            <w:pPr>
              <w:pStyle w:val="RepTableSmall"/>
              <w:pageBreakBefore/>
              <w:rPr>
                <w:color w:val="000000"/>
                <w:sz w:val="18"/>
                <w:szCs w:val="18"/>
                <w:lang w:val="fr-FR"/>
              </w:rPr>
            </w:pPr>
            <w:r>
              <w:rPr>
                <w:color w:val="000000"/>
                <w:sz w:val="18"/>
                <w:szCs w:val="18"/>
                <w:lang w:val="fr-FR"/>
              </w:rPr>
              <w:t>R. secalis - RHYNSE</w:t>
            </w:r>
            <w:r>
              <w:rPr>
                <w:color w:val="000000"/>
                <w:sz w:val="18"/>
                <w:szCs w:val="18"/>
                <w:lang w:val="fr-FR"/>
              </w:rPr>
              <w:br w:type="page"/>
              <w:t>R. collo-cygni – RAMUCC</w:t>
            </w:r>
          </w:p>
          <w:p w14:paraId="376EAD9C" w14:textId="77777777" w:rsidR="00FC7A68" w:rsidRPr="007330A6" w:rsidRDefault="00FC7A68" w:rsidP="00FC7A68">
            <w:pPr>
              <w:pStyle w:val="RepTableSmall"/>
              <w:pageBreakBefore/>
              <w:rPr>
                <w:sz w:val="18"/>
                <w:szCs w:val="18"/>
              </w:rPr>
            </w:pPr>
            <w:r w:rsidRPr="007330A6">
              <w:rPr>
                <w:sz w:val="18"/>
                <w:szCs w:val="18"/>
              </w:rPr>
              <w:t>Puccinia hordei – PUCCHD</w:t>
            </w:r>
          </w:p>
          <w:p w14:paraId="2C070979" w14:textId="77777777" w:rsidR="00FC7A68" w:rsidRPr="007330A6" w:rsidRDefault="00FC7A68" w:rsidP="00FC7A68">
            <w:pPr>
              <w:pStyle w:val="RepTableSmall"/>
              <w:pageBreakBefore/>
              <w:rPr>
                <w:sz w:val="18"/>
                <w:szCs w:val="18"/>
              </w:rPr>
            </w:pPr>
            <w:r w:rsidRPr="007330A6">
              <w:rPr>
                <w:sz w:val="18"/>
                <w:szCs w:val="18"/>
              </w:rPr>
              <w:t>Blumeria graminis - ERYSGR</w:t>
            </w:r>
          </w:p>
        </w:tc>
        <w:tc>
          <w:tcPr>
            <w:tcW w:w="0" w:type="auto"/>
            <w:tcBorders>
              <w:top w:val="single" w:sz="4" w:space="0" w:color="auto"/>
              <w:left w:val="single" w:sz="4" w:space="0" w:color="auto"/>
              <w:bottom w:val="single" w:sz="4" w:space="0" w:color="auto"/>
              <w:right w:val="single" w:sz="4" w:space="0" w:color="auto"/>
            </w:tcBorders>
            <w:hideMark/>
          </w:tcPr>
          <w:p w14:paraId="25032B98" w14:textId="77777777" w:rsidR="00FC7A68" w:rsidRDefault="00FC7A68" w:rsidP="00FC7A68">
            <w:pPr>
              <w:pStyle w:val="RepTableSmall"/>
              <w:pageBreakBefore/>
              <w:rPr>
                <w:szCs w:val="16"/>
                <w:lang w:val="en-GB"/>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05AC2862" w14:textId="77777777" w:rsidR="00FC7A68" w:rsidRDefault="00FC7A68" w:rsidP="00FC7A68">
            <w:pPr>
              <w:pStyle w:val="RepTableSmall"/>
              <w:pageBreakBefore/>
              <w:rPr>
                <w:szCs w:val="16"/>
                <w:lang w:val="en-GB"/>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72B62BA7" w14:textId="77777777" w:rsidR="00FC7A68" w:rsidRDefault="00FC7A68" w:rsidP="00FC7A68">
            <w:pPr>
              <w:pStyle w:val="RepTableSmall"/>
              <w:pageBreakBefore/>
              <w:rPr>
                <w:color w:val="000000"/>
                <w:sz w:val="18"/>
                <w:szCs w:val="18"/>
                <w:lang w:val="de-DE"/>
              </w:rPr>
            </w:pPr>
            <w:r>
              <w:rPr>
                <w:color w:val="000000"/>
                <w:sz w:val="18"/>
                <w:szCs w:val="18"/>
                <w:lang w:val="de-DE"/>
              </w:rPr>
              <w:t>a) 2</w:t>
            </w:r>
          </w:p>
          <w:p w14:paraId="3895F9FD" w14:textId="02F7AD0B" w:rsidR="00FC7A68" w:rsidRDefault="00FC7A68" w:rsidP="00FC7A68">
            <w:pPr>
              <w:pStyle w:val="RepTableSmall"/>
              <w:pageBreakBefore/>
              <w:rPr>
                <w:szCs w:val="16"/>
                <w:lang w:val="en-GB"/>
              </w:rPr>
            </w:pPr>
            <w:r>
              <w:rPr>
                <w:color w:val="000000"/>
                <w:sz w:val="18"/>
                <w:szCs w:val="18"/>
                <w:lang w:val="de-DE"/>
              </w:rPr>
              <w:br w:type="page"/>
              <w:t>b) 2</w:t>
            </w:r>
          </w:p>
        </w:tc>
        <w:tc>
          <w:tcPr>
            <w:tcW w:w="0" w:type="auto"/>
            <w:tcBorders>
              <w:top w:val="single" w:sz="4" w:space="0" w:color="auto"/>
              <w:left w:val="single" w:sz="4" w:space="0" w:color="auto"/>
              <w:bottom w:val="single" w:sz="4" w:space="0" w:color="auto"/>
              <w:right w:val="single" w:sz="4" w:space="0" w:color="auto"/>
            </w:tcBorders>
            <w:hideMark/>
          </w:tcPr>
          <w:p w14:paraId="6CA43633" w14:textId="77777777" w:rsidR="00FC7A68" w:rsidRDefault="00FC7A68" w:rsidP="00FC7A68">
            <w:pPr>
              <w:pStyle w:val="RepTableSmall"/>
              <w:pageBreakBefore/>
              <w:rPr>
                <w:szCs w:val="16"/>
                <w:lang w:val="en-GB"/>
              </w:rPr>
            </w:pPr>
            <w:r>
              <w:rPr>
                <w:color w:val="000000"/>
                <w:sz w:val="18"/>
                <w:szCs w:val="18"/>
                <w:lang w:val="de-DE"/>
              </w:rPr>
              <w:t>21</w:t>
            </w:r>
          </w:p>
        </w:tc>
        <w:tc>
          <w:tcPr>
            <w:tcW w:w="0" w:type="auto"/>
            <w:tcBorders>
              <w:top w:val="single" w:sz="4" w:space="0" w:color="auto"/>
              <w:left w:val="single" w:sz="4" w:space="0" w:color="auto"/>
              <w:bottom w:val="single" w:sz="4" w:space="0" w:color="auto"/>
              <w:right w:val="single" w:sz="4" w:space="0" w:color="auto"/>
            </w:tcBorders>
            <w:hideMark/>
          </w:tcPr>
          <w:p w14:paraId="3C64F5D5" w14:textId="77777777" w:rsidR="00FC7A68" w:rsidRDefault="00FC7A68" w:rsidP="00FC7A68">
            <w:pPr>
              <w:pStyle w:val="RepTableSmall"/>
              <w:pageBreakBefore/>
              <w:rPr>
                <w:color w:val="000000"/>
                <w:sz w:val="18"/>
                <w:szCs w:val="18"/>
                <w:lang w:val="de-DE"/>
              </w:rPr>
            </w:pPr>
            <w:r>
              <w:rPr>
                <w:color w:val="000000"/>
                <w:sz w:val="18"/>
                <w:szCs w:val="18"/>
                <w:lang w:val="de-DE"/>
              </w:rPr>
              <w:t>a) 2.00</w:t>
            </w:r>
          </w:p>
          <w:p w14:paraId="72C033D1" w14:textId="51B58966" w:rsidR="00FC7A68" w:rsidRDefault="00FC7A68" w:rsidP="00FC7A68">
            <w:pPr>
              <w:pStyle w:val="RepTableSmall"/>
              <w:pageBreakBefore/>
              <w:rPr>
                <w:szCs w:val="16"/>
                <w:lang w:val="en-GB"/>
              </w:rPr>
            </w:pPr>
            <w:r>
              <w:rPr>
                <w:color w:val="000000"/>
                <w:sz w:val="18"/>
                <w:szCs w:val="18"/>
                <w:lang w:val="de-DE"/>
              </w:rPr>
              <w:br w:type="page"/>
              <w:t>b) 4.00</w:t>
            </w:r>
          </w:p>
        </w:tc>
        <w:tc>
          <w:tcPr>
            <w:tcW w:w="0" w:type="auto"/>
            <w:tcBorders>
              <w:top w:val="single" w:sz="4" w:space="0" w:color="auto"/>
              <w:left w:val="single" w:sz="4" w:space="0" w:color="auto"/>
              <w:bottom w:val="single" w:sz="4" w:space="0" w:color="auto"/>
              <w:right w:val="single" w:sz="4" w:space="0" w:color="auto"/>
            </w:tcBorders>
            <w:hideMark/>
          </w:tcPr>
          <w:p w14:paraId="5290CB57" w14:textId="77777777" w:rsidR="00FC7A68" w:rsidRDefault="00FC7A68" w:rsidP="00FC7A68">
            <w:pPr>
              <w:pStyle w:val="RepTableSmall"/>
              <w:pageBreakBefore/>
              <w:rPr>
                <w:szCs w:val="16"/>
                <w:lang w:val="en-GB"/>
              </w:rPr>
            </w:pPr>
            <w:r>
              <w:rPr>
                <w:color w:val="000000"/>
                <w:sz w:val="18"/>
                <w:szCs w:val="18"/>
                <w:lang w:val="de-DE"/>
              </w:rPr>
              <w:t>a) 0.100 / 0.150</w:t>
            </w:r>
            <w:r>
              <w:rPr>
                <w:color w:val="000000"/>
                <w:sz w:val="18"/>
                <w:szCs w:val="18"/>
                <w:lang w:val="de-DE"/>
              </w:rPr>
              <w:br w:type="page"/>
              <w:t>b) 0.200 / 0.300</w:t>
            </w:r>
          </w:p>
        </w:tc>
        <w:tc>
          <w:tcPr>
            <w:tcW w:w="0" w:type="auto"/>
            <w:tcBorders>
              <w:top w:val="single" w:sz="4" w:space="0" w:color="auto"/>
              <w:left w:val="single" w:sz="4" w:space="0" w:color="auto"/>
              <w:bottom w:val="single" w:sz="4" w:space="0" w:color="auto"/>
              <w:right w:val="single" w:sz="4" w:space="0" w:color="auto"/>
            </w:tcBorders>
            <w:hideMark/>
          </w:tcPr>
          <w:p w14:paraId="17D5B089" w14:textId="77777777" w:rsidR="00FC7A68" w:rsidRDefault="00FC7A68" w:rsidP="00FC7A68">
            <w:pPr>
              <w:pStyle w:val="RepTableSmall"/>
              <w:pageBreakBefore/>
              <w:rPr>
                <w:szCs w:val="16"/>
                <w:lang w:val="en-GB"/>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7BE228C5" w14:textId="77777777" w:rsidR="00FC7A68" w:rsidRDefault="00FC7A68" w:rsidP="00FC7A68">
            <w:pPr>
              <w:pStyle w:val="RepTableSmall"/>
              <w:pageBreakBefore/>
              <w:rPr>
                <w:szCs w:val="16"/>
                <w:lang w:val="en-GB"/>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2E4305D4" w14:textId="77777777" w:rsidR="00FC7A68" w:rsidRDefault="00FC7A68" w:rsidP="00FC7A68">
            <w:pPr>
              <w:pStyle w:val="RepTableSmall"/>
              <w:pageBreakBefore/>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3F3E9CB" w14:textId="77777777" w:rsidR="00FC7A68" w:rsidRDefault="00FC7A68" w:rsidP="00FC7A68">
            <w:pPr>
              <w:pStyle w:val="RepTableSmall"/>
              <w:pageBreakBefore/>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D3E99BB" w14:textId="77777777" w:rsidR="00FC7A68" w:rsidRDefault="00FC7A68" w:rsidP="00FC7A68">
            <w:pPr>
              <w:pStyle w:val="RepTableSmall"/>
              <w:pageBreakBefore/>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4C9B63A5" w14:textId="77777777" w:rsidR="00FC7A68" w:rsidRDefault="00FC7A68" w:rsidP="00FC7A68">
            <w:pPr>
              <w:pStyle w:val="RepTableSmall"/>
              <w:pageBreakBefore/>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AEBD3F0" w14:textId="77777777" w:rsidR="00FC7A68" w:rsidRDefault="00FC7A68" w:rsidP="00FC7A68">
            <w:pPr>
              <w:pStyle w:val="RepTableSmall"/>
              <w:pageBreakBefore/>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0F44B058" w14:textId="77777777" w:rsidR="00FC7A68" w:rsidRDefault="00FC7A68" w:rsidP="00FC7A68">
            <w:pPr>
              <w:pStyle w:val="RepTableSmall"/>
              <w:pageBreakBefore/>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B25A06D" w14:textId="77777777" w:rsidR="00FC7A68" w:rsidRDefault="00FC7A68" w:rsidP="00FC7A68">
            <w:pPr>
              <w:pStyle w:val="RepTableSmall"/>
              <w:pageBreakBefore/>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A0FFF6C" w14:textId="77777777" w:rsidR="00FC7A68" w:rsidRDefault="00FC7A68" w:rsidP="00FC7A68">
            <w:pPr>
              <w:pStyle w:val="RepTableSmall"/>
              <w:pageBreakBefore/>
              <w:rPr>
                <w:szCs w:val="16"/>
                <w:lang w:val="en-GB"/>
              </w:rPr>
            </w:pPr>
          </w:p>
        </w:tc>
      </w:tr>
      <w:tr w:rsidR="00CE7CB0" w14:paraId="5B4E4C5E" w14:textId="11DE1C41" w:rsidTr="00627017">
        <w:tc>
          <w:tcPr>
            <w:tcW w:w="0" w:type="auto"/>
            <w:tcBorders>
              <w:top w:val="single" w:sz="4" w:space="0" w:color="auto"/>
              <w:left w:val="single" w:sz="4" w:space="0" w:color="auto"/>
              <w:bottom w:val="single" w:sz="4" w:space="0" w:color="auto"/>
              <w:right w:val="single" w:sz="4" w:space="0" w:color="auto"/>
            </w:tcBorders>
            <w:hideMark/>
          </w:tcPr>
          <w:p w14:paraId="1F7AD503" w14:textId="77777777" w:rsidR="00FC7A68" w:rsidRDefault="00FC7A68" w:rsidP="00FC7A68">
            <w:pPr>
              <w:pStyle w:val="RepTableSmall"/>
              <w:rPr>
                <w:spacing w:val="-1"/>
                <w:szCs w:val="16"/>
                <w:lang w:val="en-GB"/>
              </w:rPr>
            </w:pPr>
            <w:r>
              <w:rPr>
                <w:color w:val="000000"/>
                <w:sz w:val="18"/>
                <w:szCs w:val="18"/>
                <w:lang w:val="de-DE"/>
              </w:rPr>
              <w:t>3</w:t>
            </w:r>
          </w:p>
        </w:tc>
        <w:tc>
          <w:tcPr>
            <w:tcW w:w="0" w:type="auto"/>
            <w:tcBorders>
              <w:top w:val="single" w:sz="4" w:space="0" w:color="auto"/>
              <w:left w:val="single" w:sz="4" w:space="0" w:color="auto"/>
              <w:bottom w:val="single" w:sz="4" w:space="0" w:color="auto"/>
              <w:right w:val="single" w:sz="4" w:space="0" w:color="auto"/>
            </w:tcBorders>
            <w:hideMark/>
          </w:tcPr>
          <w:p w14:paraId="464A9CD8" w14:textId="77777777" w:rsidR="00FC7A68" w:rsidRDefault="00FC7A68" w:rsidP="00FC7A68">
            <w:pPr>
              <w:pStyle w:val="RepTableSmall"/>
              <w:rPr>
                <w:spacing w:val="-1"/>
                <w:szCs w:val="16"/>
                <w:lang w:val="en-GB"/>
              </w:rPr>
            </w:pPr>
            <w:r w:rsidRPr="00492207">
              <w:rPr>
                <w:color w:val="000000"/>
                <w:sz w:val="18"/>
                <w:szCs w:val="18"/>
              </w:rPr>
              <w:t>DE, AT, BE, NL, IE, PL</w:t>
            </w:r>
          </w:p>
        </w:tc>
        <w:tc>
          <w:tcPr>
            <w:tcW w:w="0" w:type="auto"/>
            <w:tcBorders>
              <w:top w:val="single" w:sz="4" w:space="0" w:color="auto"/>
              <w:left w:val="single" w:sz="4" w:space="0" w:color="auto"/>
              <w:bottom w:val="single" w:sz="4" w:space="0" w:color="auto"/>
              <w:right w:val="single" w:sz="4" w:space="0" w:color="auto"/>
            </w:tcBorders>
            <w:hideMark/>
          </w:tcPr>
          <w:p w14:paraId="376FF29F" w14:textId="77777777" w:rsidR="00FC7A68" w:rsidRDefault="00FC7A68" w:rsidP="00FC7A68">
            <w:pPr>
              <w:pStyle w:val="RepTableSmall"/>
              <w:rPr>
                <w:szCs w:val="16"/>
                <w:lang w:val="en-GB"/>
              </w:rPr>
            </w:pPr>
            <w:r>
              <w:rPr>
                <w:color w:val="000000"/>
                <w:sz w:val="18"/>
                <w:szCs w:val="18"/>
                <w:lang w:val="de-DE"/>
              </w:rPr>
              <w:t>rye</w:t>
            </w:r>
            <w:r>
              <w:rPr>
                <w:color w:val="000000"/>
                <w:sz w:val="18"/>
                <w:szCs w:val="18"/>
                <w:lang w:val="de-DE"/>
              </w:rPr>
              <w:br/>
              <w:t>SECCW</w:t>
            </w:r>
            <w:r>
              <w:rPr>
                <w:color w:val="000000"/>
                <w:sz w:val="18"/>
                <w:szCs w:val="18"/>
                <w:lang w:val="de-DE"/>
              </w:rPr>
              <w:br/>
              <w:t>SECCS</w:t>
            </w:r>
            <w:r>
              <w:rPr>
                <w:color w:val="000000"/>
                <w:sz w:val="18"/>
                <w:szCs w:val="18"/>
                <w:lang w:val="de-DE"/>
              </w:rPr>
              <w:br/>
              <w:t>SECCE</w:t>
            </w:r>
          </w:p>
        </w:tc>
        <w:tc>
          <w:tcPr>
            <w:tcW w:w="0" w:type="auto"/>
            <w:tcBorders>
              <w:top w:val="single" w:sz="4" w:space="0" w:color="auto"/>
              <w:left w:val="single" w:sz="4" w:space="0" w:color="auto"/>
              <w:bottom w:val="single" w:sz="4" w:space="0" w:color="auto"/>
              <w:right w:val="single" w:sz="4" w:space="0" w:color="auto"/>
            </w:tcBorders>
            <w:hideMark/>
          </w:tcPr>
          <w:p w14:paraId="5CBB83AB" w14:textId="77777777" w:rsidR="00FC7A68" w:rsidRDefault="00FC7A68" w:rsidP="00FC7A68">
            <w:pPr>
              <w:pStyle w:val="RepTableSmall"/>
              <w:rPr>
                <w:szCs w:val="16"/>
                <w:lang w:val="en-GB"/>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20B72305" w14:textId="77777777" w:rsidR="00FC7A68" w:rsidRDefault="00FC7A68" w:rsidP="00FC7A68">
            <w:pPr>
              <w:pStyle w:val="RepTableSmall"/>
              <w:rPr>
                <w:szCs w:val="16"/>
                <w:lang w:val="en-GB"/>
              </w:rPr>
            </w:pPr>
            <w:r w:rsidRPr="00492207">
              <w:rPr>
                <w:color w:val="000000"/>
                <w:sz w:val="18"/>
                <w:szCs w:val="18"/>
              </w:rPr>
              <w:t>R. secalis - RHYNSE</w:t>
            </w:r>
            <w:r w:rsidRPr="00492207">
              <w:rPr>
                <w:color w:val="000000"/>
                <w:sz w:val="18"/>
                <w:szCs w:val="18"/>
              </w:rPr>
              <w:br/>
              <w:t>Puccinia recondita - PUCCRE</w:t>
            </w:r>
          </w:p>
        </w:tc>
        <w:tc>
          <w:tcPr>
            <w:tcW w:w="0" w:type="auto"/>
            <w:tcBorders>
              <w:top w:val="single" w:sz="4" w:space="0" w:color="auto"/>
              <w:left w:val="single" w:sz="4" w:space="0" w:color="auto"/>
              <w:bottom w:val="single" w:sz="4" w:space="0" w:color="auto"/>
              <w:right w:val="single" w:sz="4" w:space="0" w:color="auto"/>
            </w:tcBorders>
            <w:hideMark/>
          </w:tcPr>
          <w:p w14:paraId="2CC73FDF" w14:textId="77777777" w:rsidR="00FC7A68" w:rsidRDefault="00FC7A68" w:rsidP="00FC7A68">
            <w:pPr>
              <w:pStyle w:val="RepTableSmall"/>
              <w:rPr>
                <w:szCs w:val="16"/>
                <w:lang w:val="en-GB"/>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72EA2BAB" w14:textId="77777777" w:rsidR="00FC7A68" w:rsidRDefault="00FC7A68" w:rsidP="00FC7A68">
            <w:pPr>
              <w:pStyle w:val="RepTableSmall"/>
              <w:rPr>
                <w:szCs w:val="16"/>
                <w:lang w:val="en-GB"/>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1C9A4146" w14:textId="77777777" w:rsidR="00FC7A68" w:rsidRDefault="00FC7A68" w:rsidP="00FC7A68">
            <w:pPr>
              <w:pStyle w:val="RepTableSmall"/>
              <w:rPr>
                <w:szCs w:val="16"/>
                <w:lang w:val="en-GB"/>
              </w:rPr>
            </w:pPr>
            <w:r>
              <w:rPr>
                <w:color w:val="000000"/>
                <w:sz w:val="18"/>
                <w:szCs w:val="18"/>
                <w:lang w:val="de-DE"/>
              </w:rPr>
              <w:t>a) 2</w:t>
            </w:r>
            <w:r>
              <w:rPr>
                <w:color w:val="000000"/>
                <w:sz w:val="18"/>
                <w:szCs w:val="18"/>
                <w:lang w:val="de-DE"/>
              </w:rPr>
              <w:br/>
              <w:t>b) 2</w:t>
            </w:r>
          </w:p>
        </w:tc>
        <w:tc>
          <w:tcPr>
            <w:tcW w:w="0" w:type="auto"/>
            <w:tcBorders>
              <w:top w:val="single" w:sz="4" w:space="0" w:color="auto"/>
              <w:left w:val="single" w:sz="4" w:space="0" w:color="auto"/>
              <w:bottom w:val="single" w:sz="4" w:space="0" w:color="auto"/>
              <w:right w:val="single" w:sz="4" w:space="0" w:color="auto"/>
            </w:tcBorders>
            <w:hideMark/>
          </w:tcPr>
          <w:p w14:paraId="64C6E189" w14:textId="77777777" w:rsidR="00FC7A68" w:rsidRDefault="00FC7A68" w:rsidP="00FC7A68">
            <w:pPr>
              <w:pStyle w:val="RepTableSmall"/>
              <w:rPr>
                <w:szCs w:val="16"/>
                <w:lang w:val="en-GB"/>
              </w:rPr>
            </w:pPr>
            <w:r>
              <w:rPr>
                <w:color w:val="000000"/>
                <w:sz w:val="18"/>
                <w:szCs w:val="18"/>
                <w:lang w:val="de-DE"/>
              </w:rPr>
              <w:t>21</w:t>
            </w:r>
          </w:p>
        </w:tc>
        <w:tc>
          <w:tcPr>
            <w:tcW w:w="0" w:type="auto"/>
            <w:tcBorders>
              <w:top w:val="single" w:sz="4" w:space="0" w:color="auto"/>
              <w:left w:val="single" w:sz="4" w:space="0" w:color="auto"/>
              <w:bottom w:val="single" w:sz="4" w:space="0" w:color="auto"/>
              <w:right w:val="single" w:sz="4" w:space="0" w:color="auto"/>
            </w:tcBorders>
            <w:hideMark/>
          </w:tcPr>
          <w:p w14:paraId="3CC72D12" w14:textId="77777777" w:rsidR="00FC7A68" w:rsidRDefault="00FC7A68" w:rsidP="00FC7A68">
            <w:pPr>
              <w:pStyle w:val="RepTableSmall"/>
              <w:rPr>
                <w:szCs w:val="16"/>
                <w:lang w:val="en-GB"/>
              </w:rPr>
            </w:pPr>
            <w:r>
              <w:rPr>
                <w:color w:val="000000"/>
                <w:sz w:val="18"/>
                <w:szCs w:val="18"/>
                <w:lang w:val="de-DE"/>
              </w:rPr>
              <w:t>a) 2.00</w:t>
            </w:r>
            <w:r>
              <w:rPr>
                <w:color w:val="000000"/>
                <w:sz w:val="18"/>
                <w:szCs w:val="18"/>
                <w:lang w:val="de-DE"/>
              </w:rPr>
              <w:br/>
              <w:t>b) 4.00</w:t>
            </w:r>
          </w:p>
        </w:tc>
        <w:tc>
          <w:tcPr>
            <w:tcW w:w="0" w:type="auto"/>
            <w:tcBorders>
              <w:top w:val="single" w:sz="4" w:space="0" w:color="auto"/>
              <w:left w:val="single" w:sz="4" w:space="0" w:color="auto"/>
              <w:bottom w:val="single" w:sz="4" w:space="0" w:color="auto"/>
              <w:right w:val="single" w:sz="4" w:space="0" w:color="auto"/>
            </w:tcBorders>
            <w:hideMark/>
          </w:tcPr>
          <w:p w14:paraId="4018DF62" w14:textId="77777777" w:rsidR="00FC7A68" w:rsidRDefault="00FC7A68" w:rsidP="00FC7A68">
            <w:pPr>
              <w:pStyle w:val="RepTableSmall"/>
              <w:rPr>
                <w:szCs w:val="16"/>
                <w:lang w:val="en-GB"/>
              </w:rPr>
            </w:pPr>
            <w:r>
              <w:rPr>
                <w:color w:val="000000"/>
                <w:sz w:val="18"/>
                <w:szCs w:val="18"/>
                <w:lang w:val="de-DE"/>
              </w:rPr>
              <w:t>a) 0.100 / 0.150</w:t>
            </w:r>
            <w:r>
              <w:rPr>
                <w:color w:val="000000"/>
                <w:sz w:val="18"/>
                <w:szCs w:val="18"/>
                <w:lang w:val="de-DE"/>
              </w:rPr>
              <w:br/>
              <w:t>b) 0.200 / 0.300</w:t>
            </w:r>
          </w:p>
        </w:tc>
        <w:tc>
          <w:tcPr>
            <w:tcW w:w="0" w:type="auto"/>
            <w:tcBorders>
              <w:top w:val="single" w:sz="4" w:space="0" w:color="auto"/>
              <w:left w:val="single" w:sz="4" w:space="0" w:color="auto"/>
              <w:bottom w:val="single" w:sz="4" w:space="0" w:color="auto"/>
              <w:right w:val="single" w:sz="4" w:space="0" w:color="auto"/>
            </w:tcBorders>
            <w:hideMark/>
          </w:tcPr>
          <w:p w14:paraId="153E9642" w14:textId="77777777" w:rsidR="00FC7A68" w:rsidRDefault="00FC7A68" w:rsidP="00FC7A68">
            <w:pPr>
              <w:pStyle w:val="RepTableSmall"/>
              <w:rPr>
                <w:szCs w:val="16"/>
                <w:lang w:val="en-GB"/>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1D172BC9" w14:textId="77777777" w:rsidR="00FC7A68" w:rsidRDefault="00FC7A68" w:rsidP="00FC7A68">
            <w:pPr>
              <w:pStyle w:val="RepTableSmall"/>
              <w:rPr>
                <w:szCs w:val="16"/>
                <w:lang w:val="en-GB"/>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1CF76E47"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0E24701"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A45B1EC"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5CDEA864"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10481E5"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7E0253C6"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52F86298"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0EE91EE" w14:textId="77777777" w:rsidR="00FC7A68" w:rsidRDefault="00FC7A68" w:rsidP="00FC7A68">
            <w:pPr>
              <w:pStyle w:val="RepTableSmall"/>
              <w:rPr>
                <w:szCs w:val="16"/>
                <w:lang w:val="en-GB"/>
              </w:rPr>
            </w:pPr>
          </w:p>
        </w:tc>
      </w:tr>
      <w:tr w:rsidR="00CE7CB0" w14:paraId="6AC2F285" w14:textId="381A96D7" w:rsidTr="00627017">
        <w:tc>
          <w:tcPr>
            <w:tcW w:w="0" w:type="auto"/>
            <w:tcBorders>
              <w:top w:val="single" w:sz="4" w:space="0" w:color="auto"/>
              <w:left w:val="single" w:sz="4" w:space="0" w:color="auto"/>
              <w:bottom w:val="single" w:sz="4" w:space="0" w:color="auto"/>
              <w:right w:val="single" w:sz="4" w:space="0" w:color="auto"/>
            </w:tcBorders>
            <w:hideMark/>
          </w:tcPr>
          <w:p w14:paraId="65D4A34A" w14:textId="77777777" w:rsidR="00FC7A68" w:rsidRDefault="00FC7A68" w:rsidP="00FC7A68">
            <w:pPr>
              <w:pStyle w:val="RepTableSmall"/>
              <w:rPr>
                <w:spacing w:val="-1"/>
                <w:szCs w:val="16"/>
                <w:lang w:val="en-GB"/>
              </w:rPr>
            </w:pPr>
            <w:r>
              <w:rPr>
                <w:color w:val="000000"/>
                <w:sz w:val="18"/>
                <w:szCs w:val="18"/>
                <w:lang w:val="de-DE"/>
              </w:rPr>
              <w:t>4</w:t>
            </w:r>
          </w:p>
        </w:tc>
        <w:tc>
          <w:tcPr>
            <w:tcW w:w="0" w:type="auto"/>
            <w:tcBorders>
              <w:top w:val="single" w:sz="4" w:space="0" w:color="auto"/>
              <w:left w:val="single" w:sz="4" w:space="0" w:color="auto"/>
              <w:bottom w:val="single" w:sz="4" w:space="0" w:color="auto"/>
              <w:right w:val="single" w:sz="4" w:space="0" w:color="auto"/>
            </w:tcBorders>
            <w:hideMark/>
          </w:tcPr>
          <w:p w14:paraId="2989325D" w14:textId="77777777" w:rsidR="00FC7A68" w:rsidRDefault="00FC7A68" w:rsidP="00FC7A68">
            <w:pPr>
              <w:pStyle w:val="RepTableSmall"/>
              <w:rPr>
                <w:spacing w:val="-1"/>
                <w:szCs w:val="16"/>
                <w:lang w:val="en-GB"/>
              </w:rPr>
            </w:pPr>
            <w:r w:rsidRPr="00492207">
              <w:rPr>
                <w:color w:val="000000"/>
                <w:sz w:val="18"/>
                <w:szCs w:val="18"/>
              </w:rPr>
              <w:t xml:space="preserve">DE, AT, </w:t>
            </w:r>
            <w:r w:rsidRPr="00492207">
              <w:rPr>
                <w:color w:val="000000"/>
                <w:sz w:val="18"/>
                <w:szCs w:val="18"/>
              </w:rPr>
              <w:lastRenderedPageBreak/>
              <w:t>BE, NL, IE, PL</w:t>
            </w:r>
          </w:p>
        </w:tc>
        <w:tc>
          <w:tcPr>
            <w:tcW w:w="0" w:type="auto"/>
            <w:tcBorders>
              <w:top w:val="single" w:sz="4" w:space="0" w:color="auto"/>
              <w:left w:val="single" w:sz="4" w:space="0" w:color="auto"/>
              <w:bottom w:val="single" w:sz="4" w:space="0" w:color="auto"/>
              <w:right w:val="single" w:sz="4" w:space="0" w:color="auto"/>
            </w:tcBorders>
            <w:hideMark/>
          </w:tcPr>
          <w:p w14:paraId="0F5DE385" w14:textId="77777777" w:rsidR="00FC7A68" w:rsidRDefault="00FC7A68" w:rsidP="00FC7A68">
            <w:pPr>
              <w:pStyle w:val="RepTableSmall"/>
              <w:rPr>
                <w:szCs w:val="16"/>
                <w:lang w:val="en-GB"/>
              </w:rPr>
            </w:pPr>
            <w:r>
              <w:rPr>
                <w:color w:val="000000"/>
                <w:sz w:val="18"/>
                <w:szCs w:val="18"/>
                <w:lang w:val="de-DE"/>
              </w:rPr>
              <w:lastRenderedPageBreak/>
              <w:t>triticale</w:t>
            </w:r>
            <w:r>
              <w:rPr>
                <w:color w:val="000000"/>
                <w:sz w:val="18"/>
                <w:szCs w:val="18"/>
                <w:lang w:val="de-DE"/>
              </w:rPr>
              <w:br/>
            </w:r>
            <w:r>
              <w:rPr>
                <w:color w:val="000000"/>
                <w:sz w:val="18"/>
                <w:szCs w:val="18"/>
                <w:lang w:val="de-DE"/>
              </w:rPr>
              <w:lastRenderedPageBreak/>
              <w:t xml:space="preserve">TTLWI </w:t>
            </w:r>
            <w:r>
              <w:rPr>
                <w:color w:val="000000"/>
                <w:sz w:val="18"/>
                <w:szCs w:val="18"/>
                <w:lang w:val="de-DE"/>
              </w:rPr>
              <w:br/>
              <w:t>TTLSO</w:t>
            </w:r>
          </w:p>
        </w:tc>
        <w:tc>
          <w:tcPr>
            <w:tcW w:w="0" w:type="auto"/>
            <w:tcBorders>
              <w:top w:val="single" w:sz="4" w:space="0" w:color="auto"/>
              <w:left w:val="single" w:sz="4" w:space="0" w:color="auto"/>
              <w:bottom w:val="single" w:sz="4" w:space="0" w:color="auto"/>
              <w:right w:val="single" w:sz="4" w:space="0" w:color="auto"/>
            </w:tcBorders>
            <w:hideMark/>
          </w:tcPr>
          <w:p w14:paraId="1FEE0E9B" w14:textId="77777777" w:rsidR="00FC7A68" w:rsidRDefault="00FC7A68" w:rsidP="00FC7A68">
            <w:pPr>
              <w:pStyle w:val="RepTableSmall"/>
              <w:rPr>
                <w:szCs w:val="16"/>
                <w:lang w:val="en-GB"/>
              </w:rPr>
            </w:pPr>
            <w:r>
              <w:rPr>
                <w:color w:val="000000"/>
                <w:sz w:val="18"/>
                <w:szCs w:val="18"/>
                <w:lang w:val="de-DE"/>
              </w:rPr>
              <w:lastRenderedPageBreak/>
              <w:t>F</w:t>
            </w:r>
          </w:p>
        </w:tc>
        <w:tc>
          <w:tcPr>
            <w:tcW w:w="0" w:type="auto"/>
            <w:tcBorders>
              <w:top w:val="single" w:sz="4" w:space="0" w:color="auto"/>
              <w:left w:val="single" w:sz="4" w:space="0" w:color="auto"/>
              <w:bottom w:val="single" w:sz="4" w:space="0" w:color="auto"/>
              <w:right w:val="single" w:sz="4" w:space="0" w:color="auto"/>
            </w:tcBorders>
            <w:hideMark/>
          </w:tcPr>
          <w:p w14:paraId="0AB30703" w14:textId="77777777" w:rsidR="00FC7A68" w:rsidRPr="00492207" w:rsidRDefault="00FC7A68" w:rsidP="00FC7A68">
            <w:pPr>
              <w:pStyle w:val="RepTableSmall"/>
              <w:rPr>
                <w:color w:val="000000"/>
                <w:sz w:val="18"/>
                <w:szCs w:val="18"/>
              </w:rPr>
            </w:pPr>
            <w:r w:rsidRPr="00492207">
              <w:rPr>
                <w:color w:val="000000"/>
                <w:sz w:val="18"/>
                <w:szCs w:val="18"/>
              </w:rPr>
              <w:t>Septoria spp. - SEPTSP</w:t>
            </w:r>
            <w:r w:rsidRPr="00492207">
              <w:rPr>
                <w:color w:val="000000"/>
                <w:sz w:val="18"/>
                <w:szCs w:val="18"/>
              </w:rPr>
              <w:br/>
            </w:r>
            <w:r w:rsidRPr="00492207">
              <w:rPr>
                <w:color w:val="000000"/>
                <w:sz w:val="18"/>
                <w:szCs w:val="18"/>
              </w:rPr>
              <w:lastRenderedPageBreak/>
              <w:t>Puccinia recondita - PUCCRE</w:t>
            </w:r>
            <w:r w:rsidRPr="00492207">
              <w:rPr>
                <w:color w:val="000000"/>
                <w:sz w:val="18"/>
                <w:szCs w:val="18"/>
              </w:rPr>
              <w:br/>
              <w:t>Puccinia striiformis – PUCCST</w:t>
            </w:r>
          </w:p>
          <w:p w14:paraId="1120A222" w14:textId="77777777" w:rsidR="00FC7A68" w:rsidRDefault="00FC7A68" w:rsidP="00FC7A68">
            <w:pPr>
              <w:pStyle w:val="RepTableSmall"/>
              <w:rPr>
                <w:sz w:val="18"/>
                <w:szCs w:val="18"/>
                <w:lang w:val="en-GB"/>
              </w:rPr>
            </w:pPr>
            <w:r>
              <w:rPr>
                <w:sz w:val="18"/>
                <w:szCs w:val="18"/>
                <w:lang w:val="en-GB"/>
              </w:rPr>
              <w:t>Blumeria graminis - ERYSGR</w:t>
            </w:r>
          </w:p>
        </w:tc>
        <w:tc>
          <w:tcPr>
            <w:tcW w:w="0" w:type="auto"/>
            <w:tcBorders>
              <w:top w:val="single" w:sz="4" w:space="0" w:color="auto"/>
              <w:left w:val="single" w:sz="4" w:space="0" w:color="auto"/>
              <w:bottom w:val="single" w:sz="4" w:space="0" w:color="auto"/>
              <w:right w:val="single" w:sz="4" w:space="0" w:color="auto"/>
            </w:tcBorders>
            <w:hideMark/>
          </w:tcPr>
          <w:p w14:paraId="2BF8B3FE" w14:textId="77777777" w:rsidR="00FC7A68" w:rsidRDefault="00FC7A68" w:rsidP="00FC7A68">
            <w:pPr>
              <w:pStyle w:val="RepTableSmall"/>
              <w:rPr>
                <w:szCs w:val="16"/>
                <w:lang w:val="en-GB"/>
              </w:rPr>
            </w:pPr>
            <w:r>
              <w:rPr>
                <w:color w:val="000000"/>
                <w:sz w:val="18"/>
                <w:szCs w:val="18"/>
                <w:lang w:val="de-DE"/>
              </w:rPr>
              <w:lastRenderedPageBreak/>
              <w:t xml:space="preserve">Spraying </w:t>
            </w:r>
            <w:r>
              <w:rPr>
                <w:color w:val="000000"/>
                <w:sz w:val="18"/>
                <w:szCs w:val="18"/>
                <w:lang w:val="de-DE"/>
              </w:rPr>
              <w:lastRenderedPageBreak/>
              <w:t>(SP)</w:t>
            </w:r>
          </w:p>
        </w:tc>
        <w:tc>
          <w:tcPr>
            <w:tcW w:w="0" w:type="auto"/>
            <w:tcBorders>
              <w:top w:val="single" w:sz="4" w:space="0" w:color="auto"/>
              <w:left w:val="single" w:sz="4" w:space="0" w:color="auto"/>
              <w:bottom w:val="single" w:sz="4" w:space="0" w:color="auto"/>
              <w:right w:val="single" w:sz="4" w:space="0" w:color="auto"/>
            </w:tcBorders>
            <w:hideMark/>
          </w:tcPr>
          <w:p w14:paraId="7F1DCF3E" w14:textId="77777777" w:rsidR="00FC7A68" w:rsidRDefault="00FC7A68" w:rsidP="00FC7A68">
            <w:pPr>
              <w:pStyle w:val="RepTableSmall"/>
              <w:rPr>
                <w:szCs w:val="16"/>
                <w:lang w:val="en-GB"/>
              </w:rPr>
            </w:pPr>
            <w:r>
              <w:rPr>
                <w:color w:val="000000"/>
                <w:sz w:val="18"/>
                <w:szCs w:val="18"/>
                <w:lang w:val="de-DE"/>
              </w:rPr>
              <w:lastRenderedPageBreak/>
              <w:t>30 - 69</w:t>
            </w:r>
          </w:p>
        </w:tc>
        <w:tc>
          <w:tcPr>
            <w:tcW w:w="0" w:type="auto"/>
            <w:tcBorders>
              <w:top w:val="single" w:sz="4" w:space="0" w:color="auto"/>
              <w:left w:val="single" w:sz="4" w:space="0" w:color="auto"/>
              <w:bottom w:val="single" w:sz="4" w:space="0" w:color="auto"/>
              <w:right w:val="single" w:sz="4" w:space="0" w:color="auto"/>
            </w:tcBorders>
            <w:hideMark/>
          </w:tcPr>
          <w:p w14:paraId="35A471AA" w14:textId="77777777" w:rsidR="00FC7A68" w:rsidRDefault="00FC7A68" w:rsidP="00FC7A68">
            <w:pPr>
              <w:pStyle w:val="RepTableSmall"/>
              <w:rPr>
                <w:szCs w:val="16"/>
                <w:lang w:val="en-GB"/>
              </w:rPr>
            </w:pPr>
            <w:r>
              <w:rPr>
                <w:color w:val="000000"/>
                <w:sz w:val="18"/>
                <w:szCs w:val="18"/>
                <w:lang w:val="de-DE"/>
              </w:rPr>
              <w:t>a) 2</w:t>
            </w:r>
            <w:r>
              <w:rPr>
                <w:color w:val="000000"/>
                <w:sz w:val="18"/>
                <w:szCs w:val="18"/>
                <w:lang w:val="de-DE"/>
              </w:rPr>
              <w:br/>
            </w:r>
            <w:r>
              <w:rPr>
                <w:color w:val="000000"/>
                <w:sz w:val="18"/>
                <w:szCs w:val="18"/>
                <w:lang w:val="de-DE"/>
              </w:rPr>
              <w:lastRenderedPageBreak/>
              <w:t>b) 2</w:t>
            </w:r>
          </w:p>
        </w:tc>
        <w:tc>
          <w:tcPr>
            <w:tcW w:w="0" w:type="auto"/>
            <w:tcBorders>
              <w:top w:val="single" w:sz="4" w:space="0" w:color="auto"/>
              <w:left w:val="single" w:sz="4" w:space="0" w:color="auto"/>
              <w:bottom w:val="single" w:sz="4" w:space="0" w:color="auto"/>
              <w:right w:val="single" w:sz="4" w:space="0" w:color="auto"/>
            </w:tcBorders>
            <w:hideMark/>
          </w:tcPr>
          <w:p w14:paraId="00A94F38" w14:textId="77777777" w:rsidR="00FC7A68" w:rsidRDefault="00FC7A68" w:rsidP="00FC7A68">
            <w:pPr>
              <w:pStyle w:val="RepTableSmall"/>
              <w:rPr>
                <w:szCs w:val="16"/>
                <w:lang w:val="en-GB"/>
              </w:rPr>
            </w:pPr>
            <w:r>
              <w:rPr>
                <w:color w:val="000000"/>
                <w:sz w:val="18"/>
                <w:szCs w:val="18"/>
                <w:lang w:val="de-DE"/>
              </w:rPr>
              <w:lastRenderedPageBreak/>
              <w:t>21</w:t>
            </w:r>
          </w:p>
        </w:tc>
        <w:tc>
          <w:tcPr>
            <w:tcW w:w="0" w:type="auto"/>
            <w:tcBorders>
              <w:top w:val="single" w:sz="4" w:space="0" w:color="auto"/>
              <w:left w:val="single" w:sz="4" w:space="0" w:color="auto"/>
              <w:bottom w:val="single" w:sz="4" w:space="0" w:color="auto"/>
              <w:right w:val="single" w:sz="4" w:space="0" w:color="auto"/>
            </w:tcBorders>
            <w:hideMark/>
          </w:tcPr>
          <w:p w14:paraId="7A50BD41" w14:textId="77777777" w:rsidR="00FC7A68" w:rsidRDefault="00FC7A68" w:rsidP="00FC7A68">
            <w:pPr>
              <w:pStyle w:val="RepTableSmall"/>
              <w:rPr>
                <w:szCs w:val="16"/>
                <w:lang w:val="en-GB"/>
              </w:rPr>
            </w:pPr>
            <w:r>
              <w:rPr>
                <w:color w:val="000000"/>
                <w:sz w:val="18"/>
                <w:szCs w:val="18"/>
                <w:lang w:val="de-DE"/>
              </w:rPr>
              <w:t>a) 2.00</w:t>
            </w:r>
            <w:r>
              <w:rPr>
                <w:color w:val="000000"/>
                <w:sz w:val="18"/>
                <w:szCs w:val="18"/>
                <w:lang w:val="de-DE"/>
              </w:rPr>
              <w:br/>
            </w:r>
            <w:r>
              <w:rPr>
                <w:color w:val="000000"/>
                <w:sz w:val="18"/>
                <w:szCs w:val="18"/>
                <w:lang w:val="de-DE"/>
              </w:rPr>
              <w:lastRenderedPageBreak/>
              <w:t>b) 4.00</w:t>
            </w:r>
          </w:p>
        </w:tc>
        <w:tc>
          <w:tcPr>
            <w:tcW w:w="0" w:type="auto"/>
            <w:tcBorders>
              <w:top w:val="single" w:sz="4" w:space="0" w:color="auto"/>
              <w:left w:val="single" w:sz="4" w:space="0" w:color="auto"/>
              <w:bottom w:val="single" w:sz="4" w:space="0" w:color="auto"/>
              <w:right w:val="single" w:sz="4" w:space="0" w:color="auto"/>
            </w:tcBorders>
            <w:hideMark/>
          </w:tcPr>
          <w:p w14:paraId="06796360" w14:textId="77777777" w:rsidR="00FC7A68" w:rsidRDefault="00FC7A68" w:rsidP="00FC7A68">
            <w:pPr>
              <w:pStyle w:val="RepTableSmall"/>
              <w:rPr>
                <w:szCs w:val="16"/>
                <w:lang w:val="en-GB"/>
              </w:rPr>
            </w:pPr>
            <w:r>
              <w:rPr>
                <w:color w:val="000000"/>
                <w:sz w:val="18"/>
                <w:szCs w:val="18"/>
                <w:lang w:val="de-DE"/>
              </w:rPr>
              <w:lastRenderedPageBreak/>
              <w:t xml:space="preserve">a) 0.100 / </w:t>
            </w:r>
            <w:r>
              <w:rPr>
                <w:color w:val="000000"/>
                <w:sz w:val="18"/>
                <w:szCs w:val="18"/>
                <w:lang w:val="de-DE"/>
              </w:rPr>
              <w:lastRenderedPageBreak/>
              <w:t>0.150</w:t>
            </w:r>
            <w:r>
              <w:rPr>
                <w:color w:val="000000"/>
                <w:sz w:val="18"/>
                <w:szCs w:val="18"/>
                <w:lang w:val="de-DE"/>
              </w:rPr>
              <w:br/>
              <w:t>b) 0.200 / 0.300</w:t>
            </w:r>
          </w:p>
        </w:tc>
        <w:tc>
          <w:tcPr>
            <w:tcW w:w="0" w:type="auto"/>
            <w:tcBorders>
              <w:top w:val="single" w:sz="4" w:space="0" w:color="auto"/>
              <w:left w:val="single" w:sz="4" w:space="0" w:color="auto"/>
              <w:bottom w:val="single" w:sz="4" w:space="0" w:color="auto"/>
              <w:right w:val="single" w:sz="4" w:space="0" w:color="auto"/>
            </w:tcBorders>
            <w:hideMark/>
          </w:tcPr>
          <w:p w14:paraId="79E60328" w14:textId="77777777" w:rsidR="00FC7A68" w:rsidRDefault="00FC7A68" w:rsidP="00FC7A68">
            <w:pPr>
              <w:pStyle w:val="RepTableSmall"/>
              <w:rPr>
                <w:szCs w:val="16"/>
                <w:lang w:val="en-GB"/>
              </w:rPr>
            </w:pPr>
            <w:r>
              <w:rPr>
                <w:color w:val="000000"/>
                <w:sz w:val="18"/>
                <w:szCs w:val="18"/>
                <w:lang w:val="de-DE"/>
              </w:rPr>
              <w:lastRenderedPageBreak/>
              <w:t xml:space="preserve">100 - </w:t>
            </w:r>
            <w:r>
              <w:rPr>
                <w:color w:val="000000"/>
                <w:sz w:val="18"/>
                <w:szCs w:val="18"/>
                <w:lang w:val="de-DE"/>
              </w:rPr>
              <w:lastRenderedPageBreak/>
              <w:t>300</w:t>
            </w:r>
          </w:p>
        </w:tc>
        <w:tc>
          <w:tcPr>
            <w:tcW w:w="0" w:type="auto"/>
            <w:tcBorders>
              <w:top w:val="single" w:sz="4" w:space="0" w:color="auto"/>
              <w:left w:val="single" w:sz="4" w:space="0" w:color="auto"/>
              <w:bottom w:val="single" w:sz="4" w:space="0" w:color="auto"/>
              <w:right w:val="single" w:sz="4" w:space="0" w:color="auto"/>
            </w:tcBorders>
            <w:hideMark/>
          </w:tcPr>
          <w:p w14:paraId="081418F6" w14:textId="77777777" w:rsidR="00FC7A68" w:rsidRDefault="00FC7A68" w:rsidP="00FC7A68">
            <w:pPr>
              <w:pStyle w:val="RepTableSmall"/>
              <w:rPr>
                <w:szCs w:val="16"/>
                <w:lang w:val="en-GB"/>
              </w:rPr>
            </w:pPr>
            <w:r>
              <w:rPr>
                <w:color w:val="000000"/>
                <w:sz w:val="18"/>
                <w:szCs w:val="18"/>
                <w:lang w:val="de-DE"/>
              </w:rPr>
              <w:lastRenderedPageBreak/>
              <w:t>35</w:t>
            </w:r>
          </w:p>
        </w:tc>
        <w:tc>
          <w:tcPr>
            <w:tcW w:w="0" w:type="auto"/>
            <w:tcBorders>
              <w:top w:val="single" w:sz="4" w:space="0" w:color="auto"/>
              <w:left w:val="single" w:sz="4" w:space="0" w:color="auto"/>
              <w:bottom w:val="single" w:sz="4" w:space="0" w:color="auto"/>
              <w:right w:val="single" w:sz="4" w:space="0" w:color="auto"/>
            </w:tcBorders>
          </w:tcPr>
          <w:p w14:paraId="060E3990"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212F653"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EF24BA1"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6C3ED081"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7D539531"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C1795B4"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7C5D059"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F19757E" w14:textId="77777777" w:rsidR="00FC7A68" w:rsidRDefault="00FC7A68" w:rsidP="00FC7A68">
            <w:pPr>
              <w:pStyle w:val="RepTableSmall"/>
              <w:rPr>
                <w:szCs w:val="16"/>
                <w:lang w:val="en-GB"/>
              </w:rPr>
            </w:pPr>
          </w:p>
        </w:tc>
      </w:tr>
      <w:tr w:rsidR="00CE7CB0" w14:paraId="5CAE6903" w14:textId="6A60639E" w:rsidTr="00627017">
        <w:tc>
          <w:tcPr>
            <w:tcW w:w="0" w:type="auto"/>
            <w:tcBorders>
              <w:top w:val="single" w:sz="4" w:space="0" w:color="auto"/>
              <w:left w:val="single" w:sz="4" w:space="0" w:color="auto"/>
              <w:bottom w:val="single" w:sz="4" w:space="0" w:color="auto"/>
              <w:right w:val="single" w:sz="4" w:space="0" w:color="auto"/>
            </w:tcBorders>
            <w:hideMark/>
          </w:tcPr>
          <w:p w14:paraId="53DED4C5" w14:textId="77777777" w:rsidR="00FC7A68" w:rsidRDefault="00FC7A68" w:rsidP="00FC7A68">
            <w:pPr>
              <w:pStyle w:val="RepTableSmall"/>
              <w:rPr>
                <w:spacing w:val="-1"/>
                <w:szCs w:val="16"/>
                <w:lang w:val="en-GB"/>
              </w:rPr>
            </w:pPr>
            <w:r>
              <w:rPr>
                <w:color w:val="000000"/>
                <w:sz w:val="18"/>
                <w:szCs w:val="18"/>
                <w:lang w:val="de-DE"/>
              </w:rPr>
              <w:t>5</w:t>
            </w:r>
          </w:p>
        </w:tc>
        <w:tc>
          <w:tcPr>
            <w:tcW w:w="0" w:type="auto"/>
            <w:tcBorders>
              <w:top w:val="single" w:sz="4" w:space="0" w:color="auto"/>
              <w:left w:val="single" w:sz="4" w:space="0" w:color="auto"/>
              <w:bottom w:val="single" w:sz="4" w:space="0" w:color="auto"/>
              <w:right w:val="single" w:sz="4" w:space="0" w:color="auto"/>
            </w:tcBorders>
            <w:hideMark/>
          </w:tcPr>
          <w:p w14:paraId="26957E75" w14:textId="77777777" w:rsidR="00FC7A68" w:rsidRDefault="00FC7A68" w:rsidP="00FC7A68">
            <w:pPr>
              <w:pStyle w:val="RepTableSmall"/>
              <w:rPr>
                <w:spacing w:val="-1"/>
                <w:szCs w:val="16"/>
                <w:lang w:val="en-GB"/>
              </w:rPr>
            </w:pPr>
            <w:r w:rsidRPr="00492207">
              <w:rPr>
                <w:color w:val="000000"/>
                <w:sz w:val="18"/>
                <w:szCs w:val="18"/>
              </w:rPr>
              <w:t>DE, AT, BE, NL, IE</w:t>
            </w:r>
          </w:p>
        </w:tc>
        <w:tc>
          <w:tcPr>
            <w:tcW w:w="0" w:type="auto"/>
            <w:tcBorders>
              <w:top w:val="single" w:sz="4" w:space="0" w:color="auto"/>
              <w:left w:val="single" w:sz="4" w:space="0" w:color="auto"/>
              <w:bottom w:val="single" w:sz="4" w:space="0" w:color="auto"/>
              <w:right w:val="single" w:sz="4" w:space="0" w:color="auto"/>
            </w:tcBorders>
            <w:hideMark/>
          </w:tcPr>
          <w:p w14:paraId="50210FC4" w14:textId="77777777" w:rsidR="00FC7A68" w:rsidRDefault="00FC7A68" w:rsidP="00FC7A68">
            <w:pPr>
              <w:pStyle w:val="RepTableSmall"/>
              <w:rPr>
                <w:szCs w:val="16"/>
                <w:lang w:val="en-GB"/>
              </w:rPr>
            </w:pPr>
            <w:r>
              <w:rPr>
                <w:color w:val="000000"/>
                <w:sz w:val="18"/>
                <w:szCs w:val="18"/>
                <w:lang w:val="de-DE"/>
              </w:rPr>
              <w:t>oat</w:t>
            </w:r>
            <w:r>
              <w:rPr>
                <w:color w:val="000000"/>
                <w:sz w:val="18"/>
                <w:szCs w:val="18"/>
                <w:lang w:val="de-DE"/>
              </w:rPr>
              <w:br/>
              <w:t>AVESA</w:t>
            </w:r>
          </w:p>
        </w:tc>
        <w:tc>
          <w:tcPr>
            <w:tcW w:w="0" w:type="auto"/>
            <w:tcBorders>
              <w:top w:val="single" w:sz="4" w:space="0" w:color="auto"/>
              <w:left w:val="single" w:sz="4" w:space="0" w:color="auto"/>
              <w:bottom w:val="single" w:sz="4" w:space="0" w:color="auto"/>
              <w:right w:val="single" w:sz="4" w:space="0" w:color="auto"/>
            </w:tcBorders>
            <w:hideMark/>
          </w:tcPr>
          <w:p w14:paraId="1F66B410" w14:textId="77777777" w:rsidR="00FC7A68" w:rsidRDefault="00FC7A68" w:rsidP="00FC7A68">
            <w:pPr>
              <w:pStyle w:val="RepTableSmall"/>
              <w:rPr>
                <w:szCs w:val="16"/>
                <w:lang w:val="en-GB"/>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421685D5" w14:textId="77777777" w:rsidR="00FC7A68" w:rsidRPr="00492207" w:rsidRDefault="00FC7A68" w:rsidP="00FC7A68">
            <w:pPr>
              <w:pStyle w:val="RepTableSmall"/>
              <w:rPr>
                <w:color w:val="000000"/>
                <w:sz w:val="18"/>
                <w:szCs w:val="18"/>
              </w:rPr>
            </w:pPr>
            <w:r w:rsidRPr="00492207">
              <w:rPr>
                <w:color w:val="000000"/>
                <w:sz w:val="18"/>
                <w:szCs w:val="18"/>
              </w:rPr>
              <w:t>Blumeria graminis - ERYSGR</w:t>
            </w:r>
          </w:p>
          <w:p w14:paraId="751902CF" w14:textId="77777777" w:rsidR="00FC7A68" w:rsidRDefault="00FC7A68" w:rsidP="00FC7A68">
            <w:pPr>
              <w:pStyle w:val="RepTableSmall"/>
              <w:rPr>
                <w:szCs w:val="16"/>
                <w:lang w:val="en-GB"/>
              </w:rPr>
            </w:pPr>
            <w:r w:rsidRPr="00492207">
              <w:rPr>
                <w:color w:val="000000"/>
                <w:sz w:val="18"/>
                <w:szCs w:val="18"/>
              </w:rPr>
              <w:t>Puccinia coronata - PUCCCA</w:t>
            </w:r>
          </w:p>
        </w:tc>
        <w:tc>
          <w:tcPr>
            <w:tcW w:w="0" w:type="auto"/>
            <w:tcBorders>
              <w:top w:val="single" w:sz="4" w:space="0" w:color="auto"/>
              <w:left w:val="single" w:sz="4" w:space="0" w:color="auto"/>
              <w:bottom w:val="single" w:sz="4" w:space="0" w:color="auto"/>
              <w:right w:val="single" w:sz="4" w:space="0" w:color="auto"/>
            </w:tcBorders>
            <w:hideMark/>
          </w:tcPr>
          <w:p w14:paraId="5B8DB582" w14:textId="77777777" w:rsidR="00FC7A68" w:rsidRDefault="00FC7A68" w:rsidP="00FC7A68">
            <w:pPr>
              <w:pStyle w:val="RepTableSmall"/>
              <w:rPr>
                <w:szCs w:val="16"/>
                <w:lang w:val="en-GB"/>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6679353C" w14:textId="77777777" w:rsidR="00FC7A68" w:rsidRDefault="00FC7A68" w:rsidP="00FC7A68">
            <w:pPr>
              <w:pStyle w:val="RepTableSmall"/>
              <w:rPr>
                <w:szCs w:val="16"/>
                <w:lang w:val="en-GB"/>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52FC260C" w14:textId="77777777" w:rsidR="00FC7A68" w:rsidRDefault="00FC7A68" w:rsidP="00FC7A68">
            <w:pPr>
              <w:pStyle w:val="RepTableSmall"/>
              <w:rPr>
                <w:szCs w:val="16"/>
                <w:lang w:val="en-GB"/>
              </w:rPr>
            </w:pPr>
            <w:r>
              <w:rPr>
                <w:color w:val="000000"/>
                <w:sz w:val="18"/>
                <w:szCs w:val="18"/>
                <w:lang w:val="de-DE"/>
              </w:rPr>
              <w:t>a) 2</w:t>
            </w:r>
            <w:r>
              <w:rPr>
                <w:color w:val="000000"/>
                <w:sz w:val="18"/>
                <w:szCs w:val="18"/>
                <w:lang w:val="de-DE"/>
              </w:rPr>
              <w:br/>
              <w:t>b) 2</w:t>
            </w:r>
          </w:p>
        </w:tc>
        <w:tc>
          <w:tcPr>
            <w:tcW w:w="0" w:type="auto"/>
            <w:tcBorders>
              <w:top w:val="single" w:sz="4" w:space="0" w:color="auto"/>
              <w:left w:val="single" w:sz="4" w:space="0" w:color="auto"/>
              <w:bottom w:val="single" w:sz="4" w:space="0" w:color="auto"/>
              <w:right w:val="single" w:sz="4" w:space="0" w:color="auto"/>
            </w:tcBorders>
            <w:hideMark/>
          </w:tcPr>
          <w:p w14:paraId="2E4C7FBD" w14:textId="77777777" w:rsidR="00FC7A68" w:rsidRDefault="00FC7A68" w:rsidP="00FC7A68">
            <w:pPr>
              <w:pStyle w:val="RepTableSmall"/>
              <w:rPr>
                <w:szCs w:val="16"/>
                <w:lang w:val="en-GB"/>
              </w:rPr>
            </w:pPr>
            <w:r>
              <w:rPr>
                <w:color w:val="000000"/>
                <w:sz w:val="18"/>
                <w:szCs w:val="18"/>
                <w:lang w:val="de-DE"/>
              </w:rPr>
              <w:t>21</w:t>
            </w:r>
          </w:p>
        </w:tc>
        <w:tc>
          <w:tcPr>
            <w:tcW w:w="0" w:type="auto"/>
            <w:tcBorders>
              <w:top w:val="single" w:sz="4" w:space="0" w:color="auto"/>
              <w:left w:val="single" w:sz="4" w:space="0" w:color="auto"/>
              <w:bottom w:val="single" w:sz="4" w:space="0" w:color="auto"/>
              <w:right w:val="single" w:sz="4" w:space="0" w:color="auto"/>
            </w:tcBorders>
            <w:hideMark/>
          </w:tcPr>
          <w:p w14:paraId="47CD4648" w14:textId="77777777" w:rsidR="00FC7A68" w:rsidRDefault="00FC7A68" w:rsidP="00FC7A68">
            <w:pPr>
              <w:pStyle w:val="RepTableSmall"/>
              <w:rPr>
                <w:szCs w:val="16"/>
                <w:lang w:val="en-GB"/>
              </w:rPr>
            </w:pPr>
            <w:r>
              <w:rPr>
                <w:color w:val="000000"/>
                <w:sz w:val="18"/>
                <w:szCs w:val="18"/>
                <w:lang w:val="de-DE"/>
              </w:rPr>
              <w:t>a) 2.00</w:t>
            </w:r>
            <w:r>
              <w:rPr>
                <w:color w:val="000000"/>
                <w:sz w:val="18"/>
                <w:szCs w:val="18"/>
                <w:lang w:val="de-DE"/>
              </w:rPr>
              <w:br/>
              <w:t>b) 4.00</w:t>
            </w:r>
          </w:p>
        </w:tc>
        <w:tc>
          <w:tcPr>
            <w:tcW w:w="0" w:type="auto"/>
            <w:tcBorders>
              <w:top w:val="single" w:sz="4" w:space="0" w:color="auto"/>
              <w:left w:val="single" w:sz="4" w:space="0" w:color="auto"/>
              <w:bottom w:val="single" w:sz="4" w:space="0" w:color="auto"/>
              <w:right w:val="single" w:sz="4" w:space="0" w:color="auto"/>
            </w:tcBorders>
            <w:hideMark/>
          </w:tcPr>
          <w:p w14:paraId="290E2315" w14:textId="77777777" w:rsidR="00FC7A68" w:rsidRDefault="00FC7A68" w:rsidP="00FC7A68">
            <w:pPr>
              <w:pStyle w:val="RepTableSmall"/>
              <w:rPr>
                <w:szCs w:val="16"/>
                <w:lang w:val="en-GB"/>
              </w:rPr>
            </w:pPr>
            <w:r>
              <w:rPr>
                <w:color w:val="000000"/>
                <w:sz w:val="18"/>
                <w:szCs w:val="18"/>
                <w:lang w:val="de-DE"/>
              </w:rPr>
              <w:t>a) 0.100 / 0.150</w:t>
            </w:r>
            <w:r>
              <w:rPr>
                <w:color w:val="000000"/>
                <w:sz w:val="18"/>
                <w:szCs w:val="18"/>
                <w:lang w:val="de-DE"/>
              </w:rPr>
              <w:br/>
              <w:t>b) 0.200 / 0.300</w:t>
            </w:r>
          </w:p>
        </w:tc>
        <w:tc>
          <w:tcPr>
            <w:tcW w:w="0" w:type="auto"/>
            <w:tcBorders>
              <w:top w:val="single" w:sz="4" w:space="0" w:color="auto"/>
              <w:left w:val="single" w:sz="4" w:space="0" w:color="auto"/>
              <w:bottom w:val="single" w:sz="4" w:space="0" w:color="auto"/>
              <w:right w:val="single" w:sz="4" w:space="0" w:color="auto"/>
            </w:tcBorders>
            <w:hideMark/>
          </w:tcPr>
          <w:p w14:paraId="1E6497D3" w14:textId="77777777" w:rsidR="00FC7A68" w:rsidRDefault="00FC7A68" w:rsidP="00FC7A68">
            <w:pPr>
              <w:pStyle w:val="RepTableSmall"/>
              <w:rPr>
                <w:szCs w:val="16"/>
                <w:lang w:val="en-GB"/>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1421402A" w14:textId="77777777" w:rsidR="00FC7A68" w:rsidRDefault="00FC7A68" w:rsidP="00FC7A68">
            <w:pPr>
              <w:pStyle w:val="RepTableSmall"/>
              <w:rPr>
                <w:szCs w:val="16"/>
                <w:lang w:val="en-GB"/>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5AA73BCF"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3246CF1F"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7B926160"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642A4CCB"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4BDB9CE6"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28F0E45"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4C686A3"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0EDAA1E8" w14:textId="77777777" w:rsidR="00FC7A68" w:rsidRDefault="00FC7A68" w:rsidP="00FC7A68">
            <w:pPr>
              <w:pStyle w:val="RepTableSmall"/>
              <w:rPr>
                <w:szCs w:val="16"/>
                <w:lang w:val="en-GB"/>
              </w:rPr>
            </w:pPr>
          </w:p>
        </w:tc>
      </w:tr>
      <w:tr w:rsidR="00CE7CB0" w14:paraId="52AAC32E" w14:textId="4552C4BB" w:rsidTr="00627017">
        <w:tc>
          <w:tcPr>
            <w:tcW w:w="0" w:type="auto"/>
            <w:tcBorders>
              <w:top w:val="single" w:sz="4" w:space="0" w:color="auto"/>
              <w:left w:val="single" w:sz="4" w:space="0" w:color="auto"/>
              <w:bottom w:val="single" w:sz="4" w:space="0" w:color="auto"/>
              <w:right w:val="single" w:sz="4" w:space="0" w:color="auto"/>
            </w:tcBorders>
            <w:hideMark/>
          </w:tcPr>
          <w:p w14:paraId="29FF78C0" w14:textId="77777777" w:rsidR="00FC7A68" w:rsidRDefault="00FC7A68" w:rsidP="00FC7A68">
            <w:pPr>
              <w:pStyle w:val="RepTableSmall"/>
              <w:rPr>
                <w:color w:val="000000"/>
                <w:sz w:val="18"/>
                <w:szCs w:val="18"/>
                <w:lang w:val="de-DE"/>
              </w:rPr>
            </w:pPr>
            <w:r>
              <w:rPr>
                <w:color w:val="000000"/>
                <w:sz w:val="18"/>
                <w:szCs w:val="18"/>
                <w:lang w:val="de-DE"/>
              </w:rPr>
              <w:t>6</w:t>
            </w:r>
          </w:p>
        </w:tc>
        <w:tc>
          <w:tcPr>
            <w:tcW w:w="0" w:type="auto"/>
            <w:tcBorders>
              <w:top w:val="single" w:sz="4" w:space="0" w:color="auto"/>
              <w:left w:val="single" w:sz="4" w:space="0" w:color="auto"/>
              <w:bottom w:val="single" w:sz="4" w:space="0" w:color="auto"/>
              <w:right w:val="single" w:sz="4" w:space="0" w:color="auto"/>
            </w:tcBorders>
            <w:hideMark/>
          </w:tcPr>
          <w:p w14:paraId="48C81D5D" w14:textId="77777777" w:rsidR="00FC7A68" w:rsidRDefault="00FC7A68" w:rsidP="00FC7A68">
            <w:pPr>
              <w:pStyle w:val="RepTableSmall"/>
              <w:rPr>
                <w:color w:val="000000"/>
                <w:sz w:val="18"/>
                <w:szCs w:val="18"/>
                <w:lang w:val="de-DE"/>
              </w:rPr>
            </w:pPr>
            <w:r>
              <w:rPr>
                <w:color w:val="000000"/>
                <w:sz w:val="18"/>
                <w:szCs w:val="18"/>
                <w:lang w:val="de-DE"/>
              </w:rPr>
              <w:t>PL</w:t>
            </w:r>
          </w:p>
        </w:tc>
        <w:tc>
          <w:tcPr>
            <w:tcW w:w="0" w:type="auto"/>
            <w:tcBorders>
              <w:top w:val="single" w:sz="4" w:space="0" w:color="auto"/>
              <w:left w:val="single" w:sz="4" w:space="0" w:color="auto"/>
              <w:bottom w:val="single" w:sz="4" w:space="0" w:color="auto"/>
              <w:right w:val="single" w:sz="4" w:space="0" w:color="auto"/>
            </w:tcBorders>
            <w:hideMark/>
          </w:tcPr>
          <w:p w14:paraId="401B5ACB" w14:textId="77777777" w:rsidR="00FC7A68" w:rsidRDefault="00FC7A68" w:rsidP="00FC7A68">
            <w:pPr>
              <w:pStyle w:val="RepTableSmall"/>
              <w:rPr>
                <w:color w:val="000000"/>
                <w:sz w:val="18"/>
                <w:szCs w:val="18"/>
                <w:lang w:val="de-DE"/>
              </w:rPr>
            </w:pPr>
            <w:r>
              <w:rPr>
                <w:color w:val="000000"/>
                <w:sz w:val="18"/>
                <w:szCs w:val="18"/>
                <w:lang w:val="de-DE"/>
              </w:rPr>
              <w:t>barley</w:t>
            </w:r>
            <w:r>
              <w:rPr>
                <w:color w:val="000000"/>
                <w:sz w:val="18"/>
                <w:szCs w:val="18"/>
                <w:lang w:val="de-DE"/>
              </w:rPr>
              <w:br/>
              <w:t xml:space="preserve">HORVW </w:t>
            </w:r>
            <w:r>
              <w:rPr>
                <w:color w:val="000000"/>
                <w:sz w:val="18"/>
                <w:szCs w:val="18"/>
                <w:lang w:val="de-DE"/>
              </w:rPr>
              <w:br/>
              <w:t>HORVS</w:t>
            </w:r>
          </w:p>
        </w:tc>
        <w:tc>
          <w:tcPr>
            <w:tcW w:w="0" w:type="auto"/>
            <w:tcBorders>
              <w:top w:val="single" w:sz="4" w:space="0" w:color="auto"/>
              <w:left w:val="single" w:sz="4" w:space="0" w:color="auto"/>
              <w:bottom w:val="single" w:sz="4" w:space="0" w:color="auto"/>
              <w:right w:val="single" w:sz="4" w:space="0" w:color="auto"/>
            </w:tcBorders>
            <w:hideMark/>
          </w:tcPr>
          <w:p w14:paraId="7476E7B3" w14:textId="77777777" w:rsidR="00FC7A68" w:rsidRDefault="00FC7A68" w:rsidP="00FC7A68">
            <w:pPr>
              <w:pStyle w:val="RepTableSmall"/>
              <w:rPr>
                <w:color w:val="000000"/>
                <w:sz w:val="18"/>
                <w:szCs w:val="18"/>
                <w:lang w:val="de-DE"/>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10A3A296" w14:textId="77777777" w:rsidR="00FC7A68" w:rsidRDefault="00FC7A68" w:rsidP="00FC7A68">
            <w:pPr>
              <w:pStyle w:val="RepTableSmall"/>
              <w:pageBreakBefore/>
              <w:rPr>
                <w:color w:val="000000"/>
                <w:sz w:val="18"/>
                <w:szCs w:val="18"/>
                <w:lang w:val="fr-FR"/>
              </w:rPr>
            </w:pPr>
            <w:r>
              <w:rPr>
                <w:color w:val="000000"/>
                <w:sz w:val="18"/>
                <w:szCs w:val="18"/>
                <w:lang w:val="fr-FR"/>
              </w:rPr>
              <w:t>Pyrenophora teres – PYRNTE</w:t>
            </w:r>
          </w:p>
          <w:p w14:paraId="70A0FEF9" w14:textId="77777777" w:rsidR="00FC7A68" w:rsidRDefault="00FC7A68" w:rsidP="00FC7A68">
            <w:pPr>
              <w:pStyle w:val="RepTableSmall"/>
              <w:pageBreakBefore/>
              <w:rPr>
                <w:color w:val="000000"/>
                <w:sz w:val="18"/>
                <w:szCs w:val="18"/>
                <w:lang w:val="fr-FR"/>
              </w:rPr>
            </w:pPr>
            <w:r>
              <w:rPr>
                <w:color w:val="000000"/>
                <w:sz w:val="18"/>
                <w:szCs w:val="18"/>
                <w:lang w:val="fr-FR"/>
              </w:rPr>
              <w:t>R. secalis – RHYNSE</w:t>
            </w:r>
          </w:p>
          <w:p w14:paraId="6B629648" w14:textId="77777777" w:rsidR="00FC7A68" w:rsidRPr="00492207" w:rsidRDefault="00FC7A68" w:rsidP="00FC7A68">
            <w:pPr>
              <w:pStyle w:val="RepTableSmall"/>
              <w:rPr>
                <w:color w:val="000000"/>
                <w:sz w:val="18"/>
                <w:szCs w:val="18"/>
              </w:rPr>
            </w:pPr>
            <w:r w:rsidRPr="00492207">
              <w:rPr>
                <w:color w:val="000000"/>
                <w:sz w:val="18"/>
                <w:szCs w:val="18"/>
              </w:rPr>
              <w:t>Puccinia hordei - PUCCHD</w:t>
            </w:r>
            <w:r w:rsidRPr="00492207">
              <w:rPr>
                <w:color w:val="000000"/>
                <w:sz w:val="18"/>
                <w:szCs w:val="18"/>
              </w:rPr>
              <w:br/>
              <w:t>R. collo-cygni - RAMUCC</w:t>
            </w:r>
          </w:p>
        </w:tc>
        <w:tc>
          <w:tcPr>
            <w:tcW w:w="0" w:type="auto"/>
            <w:tcBorders>
              <w:top w:val="single" w:sz="4" w:space="0" w:color="auto"/>
              <w:left w:val="single" w:sz="4" w:space="0" w:color="auto"/>
              <w:bottom w:val="single" w:sz="4" w:space="0" w:color="auto"/>
              <w:right w:val="single" w:sz="4" w:space="0" w:color="auto"/>
            </w:tcBorders>
            <w:hideMark/>
          </w:tcPr>
          <w:p w14:paraId="402C43DD" w14:textId="77777777" w:rsidR="00FC7A68" w:rsidRDefault="00FC7A68" w:rsidP="00FC7A68">
            <w:pPr>
              <w:pStyle w:val="RepTableSmall"/>
              <w:rPr>
                <w:color w:val="000000"/>
                <w:sz w:val="18"/>
                <w:szCs w:val="18"/>
                <w:lang w:val="de-DE"/>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7D344AED" w14:textId="77777777" w:rsidR="00FC7A68" w:rsidRDefault="00FC7A68" w:rsidP="00FC7A68">
            <w:pPr>
              <w:pStyle w:val="RepTableSmall"/>
              <w:rPr>
                <w:color w:val="000000"/>
                <w:sz w:val="18"/>
                <w:szCs w:val="18"/>
                <w:lang w:val="de-DE"/>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5A2B578A" w14:textId="77777777" w:rsidR="00FC7A68" w:rsidRDefault="00FC7A68" w:rsidP="00FC7A68">
            <w:pPr>
              <w:pStyle w:val="RepTableSmall"/>
              <w:rPr>
                <w:color w:val="000000"/>
                <w:sz w:val="18"/>
                <w:szCs w:val="18"/>
                <w:lang w:val="de-DE"/>
              </w:rPr>
            </w:pPr>
            <w:r>
              <w:rPr>
                <w:color w:val="000000"/>
                <w:sz w:val="18"/>
                <w:szCs w:val="18"/>
                <w:lang w:val="de-DE"/>
              </w:rPr>
              <w:t>a) 2</w:t>
            </w:r>
            <w:r>
              <w:rPr>
                <w:color w:val="000000"/>
                <w:sz w:val="18"/>
                <w:szCs w:val="18"/>
                <w:lang w:val="de-DE"/>
              </w:rPr>
              <w:br/>
              <w:t>b) 2</w:t>
            </w:r>
          </w:p>
        </w:tc>
        <w:tc>
          <w:tcPr>
            <w:tcW w:w="0" w:type="auto"/>
            <w:tcBorders>
              <w:top w:val="single" w:sz="4" w:space="0" w:color="auto"/>
              <w:left w:val="single" w:sz="4" w:space="0" w:color="auto"/>
              <w:bottom w:val="single" w:sz="4" w:space="0" w:color="auto"/>
              <w:right w:val="single" w:sz="4" w:space="0" w:color="auto"/>
            </w:tcBorders>
            <w:hideMark/>
          </w:tcPr>
          <w:p w14:paraId="4BCA2345" w14:textId="77777777" w:rsidR="00FC7A68" w:rsidRDefault="00FC7A68" w:rsidP="00FC7A68">
            <w:pPr>
              <w:pStyle w:val="RepTableSmall"/>
              <w:rPr>
                <w:color w:val="000000"/>
                <w:sz w:val="18"/>
                <w:szCs w:val="18"/>
                <w:lang w:val="de-DE"/>
              </w:rPr>
            </w:pPr>
            <w:r>
              <w:rPr>
                <w:color w:val="000000"/>
                <w:sz w:val="18"/>
                <w:szCs w:val="18"/>
                <w:lang w:val="de-DE"/>
              </w:rPr>
              <w:t>21</w:t>
            </w:r>
          </w:p>
        </w:tc>
        <w:tc>
          <w:tcPr>
            <w:tcW w:w="0" w:type="auto"/>
            <w:tcBorders>
              <w:top w:val="single" w:sz="4" w:space="0" w:color="auto"/>
              <w:left w:val="single" w:sz="4" w:space="0" w:color="auto"/>
              <w:bottom w:val="single" w:sz="4" w:space="0" w:color="auto"/>
              <w:right w:val="single" w:sz="4" w:space="0" w:color="auto"/>
            </w:tcBorders>
            <w:hideMark/>
          </w:tcPr>
          <w:p w14:paraId="24B7FB9D" w14:textId="77777777" w:rsidR="00FC7A68" w:rsidRDefault="00FC7A68" w:rsidP="00FC7A68">
            <w:pPr>
              <w:pStyle w:val="RepTableSmall"/>
              <w:rPr>
                <w:color w:val="000000"/>
                <w:sz w:val="18"/>
                <w:szCs w:val="18"/>
                <w:lang w:val="de-DE"/>
              </w:rPr>
            </w:pPr>
            <w:r>
              <w:rPr>
                <w:color w:val="000000"/>
                <w:sz w:val="18"/>
                <w:szCs w:val="18"/>
                <w:lang w:val="de-DE"/>
              </w:rPr>
              <w:t>a) 2.00</w:t>
            </w:r>
            <w:r>
              <w:rPr>
                <w:color w:val="000000"/>
                <w:sz w:val="18"/>
                <w:szCs w:val="18"/>
                <w:lang w:val="de-DE"/>
              </w:rPr>
              <w:br/>
              <w:t>b) 4.00</w:t>
            </w:r>
          </w:p>
        </w:tc>
        <w:tc>
          <w:tcPr>
            <w:tcW w:w="0" w:type="auto"/>
            <w:tcBorders>
              <w:top w:val="single" w:sz="4" w:space="0" w:color="auto"/>
              <w:left w:val="single" w:sz="4" w:space="0" w:color="auto"/>
              <w:bottom w:val="single" w:sz="4" w:space="0" w:color="auto"/>
              <w:right w:val="single" w:sz="4" w:space="0" w:color="auto"/>
            </w:tcBorders>
            <w:hideMark/>
          </w:tcPr>
          <w:p w14:paraId="413C7EF1" w14:textId="77777777" w:rsidR="00FC7A68" w:rsidRDefault="00FC7A68" w:rsidP="00FC7A68">
            <w:pPr>
              <w:pStyle w:val="RepTableSmall"/>
              <w:rPr>
                <w:color w:val="000000"/>
                <w:sz w:val="18"/>
                <w:szCs w:val="18"/>
                <w:lang w:val="de-DE"/>
              </w:rPr>
            </w:pPr>
            <w:r>
              <w:rPr>
                <w:color w:val="000000"/>
                <w:sz w:val="18"/>
                <w:szCs w:val="18"/>
                <w:lang w:val="de-DE"/>
              </w:rPr>
              <w:t>a) 0.100 / 0.150</w:t>
            </w:r>
            <w:r>
              <w:rPr>
                <w:color w:val="000000"/>
                <w:sz w:val="18"/>
                <w:szCs w:val="18"/>
                <w:lang w:val="de-DE"/>
              </w:rPr>
              <w:br/>
              <w:t>b) 0.200 / 0.300</w:t>
            </w:r>
          </w:p>
        </w:tc>
        <w:tc>
          <w:tcPr>
            <w:tcW w:w="0" w:type="auto"/>
            <w:tcBorders>
              <w:top w:val="single" w:sz="4" w:space="0" w:color="auto"/>
              <w:left w:val="single" w:sz="4" w:space="0" w:color="auto"/>
              <w:bottom w:val="single" w:sz="4" w:space="0" w:color="auto"/>
              <w:right w:val="single" w:sz="4" w:space="0" w:color="auto"/>
            </w:tcBorders>
            <w:hideMark/>
          </w:tcPr>
          <w:p w14:paraId="48DEB346" w14:textId="77777777" w:rsidR="00FC7A68" w:rsidRDefault="00FC7A68" w:rsidP="00FC7A68">
            <w:pPr>
              <w:pStyle w:val="RepTableSmall"/>
              <w:rPr>
                <w:color w:val="000000"/>
                <w:sz w:val="18"/>
                <w:szCs w:val="18"/>
                <w:lang w:val="de-DE"/>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22906876" w14:textId="77777777" w:rsidR="00FC7A68" w:rsidRDefault="00FC7A68" w:rsidP="00FC7A68">
            <w:pPr>
              <w:pStyle w:val="RepTableSmall"/>
              <w:rPr>
                <w:color w:val="000000"/>
                <w:sz w:val="18"/>
                <w:szCs w:val="18"/>
                <w:lang w:val="de-DE"/>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19043D27"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7B1F280F"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BFAFE4A"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7E3D0D3E"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4471EBA4"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4953295B"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41980505"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3520BE8" w14:textId="77777777" w:rsidR="00FC7A68" w:rsidRDefault="00FC7A68" w:rsidP="00FC7A68">
            <w:pPr>
              <w:pStyle w:val="RepTableSmall"/>
              <w:rPr>
                <w:szCs w:val="16"/>
                <w:lang w:val="en-GB"/>
              </w:rPr>
            </w:pPr>
          </w:p>
        </w:tc>
      </w:tr>
      <w:tr w:rsidR="00CE7CB0" w14:paraId="33F2B725" w14:textId="101F692E" w:rsidTr="00627017">
        <w:tc>
          <w:tcPr>
            <w:tcW w:w="0" w:type="auto"/>
            <w:tcBorders>
              <w:top w:val="single" w:sz="4" w:space="0" w:color="auto"/>
              <w:left w:val="single" w:sz="4" w:space="0" w:color="auto"/>
              <w:bottom w:val="single" w:sz="4" w:space="0" w:color="auto"/>
              <w:right w:val="single" w:sz="4" w:space="0" w:color="auto"/>
            </w:tcBorders>
            <w:hideMark/>
          </w:tcPr>
          <w:p w14:paraId="7C0E9685" w14:textId="77777777" w:rsidR="00FC7A68" w:rsidRDefault="00FC7A68" w:rsidP="00FC7A68">
            <w:pPr>
              <w:pStyle w:val="RepTableSmall"/>
              <w:rPr>
                <w:color w:val="000000"/>
                <w:sz w:val="18"/>
                <w:szCs w:val="18"/>
                <w:lang w:val="de-DE"/>
              </w:rPr>
            </w:pPr>
            <w:r>
              <w:rPr>
                <w:spacing w:val="-1"/>
                <w:szCs w:val="16"/>
                <w:lang w:val="de-DE"/>
              </w:rPr>
              <w:t>7</w:t>
            </w:r>
          </w:p>
        </w:tc>
        <w:tc>
          <w:tcPr>
            <w:tcW w:w="0" w:type="auto"/>
            <w:tcBorders>
              <w:top w:val="single" w:sz="4" w:space="0" w:color="auto"/>
              <w:left w:val="single" w:sz="4" w:space="0" w:color="auto"/>
              <w:bottom w:val="single" w:sz="4" w:space="0" w:color="auto"/>
              <w:right w:val="single" w:sz="4" w:space="0" w:color="auto"/>
            </w:tcBorders>
            <w:hideMark/>
          </w:tcPr>
          <w:p w14:paraId="56B17236" w14:textId="77777777" w:rsidR="00FC7A68" w:rsidRDefault="00FC7A68" w:rsidP="00FC7A68">
            <w:pPr>
              <w:pStyle w:val="RepTableSmall"/>
              <w:rPr>
                <w:color w:val="000000"/>
                <w:sz w:val="18"/>
                <w:szCs w:val="18"/>
                <w:lang w:val="de-DE"/>
              </w:rPr>
            </w:pPr>
            <w:r>
              <w:rPr>
                <w:color w:val="000000"/>
                <w:sz w:val="18"/>
                <w:szCs w:val="18"/>
                <w:lang w:val="de-DE"/>
              </w:rPr>
              <w:t>CZ</w:t>
            </w:r>
          </w:p>
        </w:tc>
        <w:tc>
          <w:tcPr>
            <w:tcW w:w="0" w:type="auto"/>
            <w:tcBorders>
              <w:top w:val="single" w:sz="4" w:space="0" w:color="auto"/>
              <w:left w:val="single" w:sz="4" w:space="0" w:color="auto"/>
              <w:bottom w:val="single" w:sz="4" w:space="0" w:color="auto"/>
              <w:right w:val="single" w:sz="4" w:space="0" w:color="auto"/>
            </w:tcBorders>
            <w:hideMark/>
          </w:tcPr>
          <w:p w14:paraId="7077723B" w14:textId="77777777" w:rsidR="00FC7A68" w:rsidRPr="003C03E9" w:rsidRDefault="00FC7A68" w:rsidP="00FC7A68">
            <w:pPr>
              <w:pStyle w:val="RepTableSmall"/>
              <w:rPr>
                <w:color w:val="000000"/>
                <w:sz w:val="18"/>
                <w:szCs w:val="18"/>
                <w:lang w:val="pl-PL"/>
              </w:rPr>
            </w:pPr>
            <w:r w:rsidRPr="003C03E9">
              <w:rPr>
                <w:color w:val="000000"/>
                <w:sz w:val="18"/>
                <w:szCs w:val="18"/>
                <w:lang w:val="pl-PL"/>
              </w:rPr>
              <w:t>wheat</w:t>
            </w:r>
            <w:r w:rsidRPr="003C03E9">
              <w:rPr>
                <w:color w:val="000000"/>
                <w:sz w:val="18"/>
                <w:szCs w:val="18"/>
                <w:lang w:val="pl-PL"/>
              </w:rPr>
              <w:br/>
              <w:t>TRZAW, TRZAS</w:t>
            </w:r>
            <w:r w:rsidRPr="003C03E9">
              <w:rPr>
                <w:color w:val="000000"/>
                <w:sz w:val="18"/>
                <w:szCs w:val="18"/>
                <w:lang w:val="pl-PL"/>
              </w:rPr>
              <w:br/>
              <w:t>TRZDU, TRZSP</w:t>
            </w:r>
          </w:p>
        </w:tc>
        <w:tc>
          <w:tcPr>
            <w:tcW w:w="0" w:type="auto"/>
            <w:tcBorders>
              <w:top w:val="single" w:sz="4" w:space="0" w:color="auto"/>
              <w:left w:val="single" w:sz="4" w:space="0" w:color="auto"/>
              <w:bottom w:val="single" w:sz="4" w:space="0" w:color="auto"/>
              <w:right w:val="single" w:sz="4" w:space="0" w:color="auto"/>
            </w:tcBorders>
            <w:hideMark/>
          </w:tcPr>
          <w:p w14:paraId="316641DD" w14:textId="77777777" w:rsidR="00FC7A68" w:rsidRDefault="00FC7A68" w:rsidP="00FC7A68">
            <w:pPr>
              <w:pStyle w:val="RepTableSmall"/>
              <w:rPr>
                <w:color w:val="000000"/>
                <w:sz w:val="18"/>
                <w:szCs w:val="18"/>
                <w:lang w:val="de-DE"/>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3AF97BA6" w14:textId="77777777" w:rsidR="00FC7A68" w:rsidRDefault="00FC7A68" w:rsidP="00FC7A68">
            <w:pPr>
              <w:pStyle w:val="RepTableSmall"/>
              <w:pageBreakBefore/>
              <w:rPr>
                <w:color w:val="000000"/>
                <w:sz w:val="18"/>
                <w:szCs w:val="18"/>
                <w:lang w:val="fr-FR"/>
              </w:rPr>
            </w:pPr>
            <w:r>
              <w:rPr>
                <w:color w:val="000000"/>
                <w:sz w:val="18"/>
                <w:szCs w:val="18"/>
                <w:lang w:val="fr-FR"/>
              </w:rPr>
              <w:t>Zymoseptoria tritici - SEPTTR</w:t>
            </w:r>
            <w:r>
              <w:rPr>
                <w:color w:val="000000"/>
                <w:sz w:val="18"/>
                <w:szCs w:val="18"/>
                <w:lang w:val="fr-FR"/>
              </w:rPr>
              <w:br w:type="page"/>
              <w:t>Puccinia triticina - PUCCRT</w:t>
            </w:r>
            <w:r>
              <w:rPr>
                <w:color w:val="000000"/>
                <w:sz w:val="18"/>
                <w:szCs w:val="18"/>
                <w:lang w:val="fr-FR"/>
              </w:rPr>
              <w:br w:type="page"/>
              <w:t>Puccinia striiformis - PUCCST</w:t>
            </w:r>
            <w:r>
              <w:rPr>
                <w:color w:val="000000"/>
                <w:sz w:val="18"/>
                <w:szCs w:val="18"/>
                <w:lang w:val="fr-FR"/>
              </w:rPr>
              <w:br w:type="page"/>
              <w:t>Pyrenophora tritici-repentis – PYRNTR</w:t>
            </w:r>
          </w:p>
          <w:p w14:paraId="10096A45" w14:textId="77777777" w:rsidR="00FC7A68" w:rsidRDefault="00FC7A68" w:rsidP="00FC7A68">
            <w:pPr>
              <w:pStyle w:val="RepTableSmall"/>
              <w:pageBreakBefore/>
              <w:rPr>
                <w:color w:val="000000"/>
                <w:sz w:val="18"/>
                <w:szCs w:val="18"/>
                <w:lang w:val="fr-FR"/>
              </w:rPr>
            </w:pPr>
            <w:r>
              <w:rPr>
                <w:color w:val="000000"/>
                <w:sz w:val="18"/>
                <w:szCs w:val="18"/>
                <w:lang w:val="fr-FR"/>
              </w:rPr>
              <w:t>Blumeria graminis - ERYSGR</w:t>
            </w:r>
          </w:p>
        </w:tc>
        <w:tc>
          <w:tcPr>
            <w:tcW w:w="0" w:type="auto"/>
            <w:tcBorders>
              <w:top w:val="single" w:sz="4" w:space="0" w:color="auto"/>
              <w:left w:val="single" w:sz="4" w:space="0" w:color="auto"/>
              <w:bottom w:val="single" w:sz="4" w:space="0" w:color="auto"/>
              <w:right w:val="single" w:sz="4" w:space="0" w:color="auto"/>
            </w:tcBorders>
            <w:hideMark/>
          </w:tcPr>
          <w:p w14:paraId="543EA02C" w14:textId="77777777" w:rsidR="00FC7A68" w:rsidRDefault="00FC7A68" w:rsidP="00FC7A68">
            <w:pPr>
              <w:pStyle w:val="RepTableSmall"/>
              <w:rPr>
                <w:color w:val="000000"/>
                <w:sz w:val="18"/>
                <w:szCs w:val="18"/>
                <w:lang w:val="de-DE"/>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0193A04A" w14:textId="77777777" w:rsidR="00FC7A68" w:rsidRDefault="00FC7A68" w:rsidP="00FC7A68">
            <w:pPr>
              <w:pStyle w:val="RepTableSmall"/>
              <w:rPr>
                <w:color w:val="000000"/>
                <w:sz w:val="18"/>
                <w:szCs w:val="18"/>
                <w:lang w:val="de-DE"/>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1778E45E" w14:textId="77777777" w:rsidR="00FC7A68" w:rsidRDefault="00FC7A68" w:rsidP="00FC7A68">
            <w:pPr>
              <w:pStyle w:val="RepTableSmall"/>
              <w:rPr>
                <w:color w:val="000000"/>
                <w:sz w:val="18"/>
                <w:szCs w:val="18"/>
                <w:lang w:val="de-DE"/>
              </w:rPr>
            </w:pPr>
            <w:r>
              <w:rPr>
                <w:color w:val="000000"/>
                <w:sz w:val="18"/>
                <w:szCs w:val="18"/>
                <w:lang w:val="de-DE"/>
              </w:rPr>
              <w:t>a) 1</w:t>
            </w:r>
            <w:r>
              <w:rPr>
                <w:color w:val="000000"/>
                <w:sz w:val="18"/>
                <w:szCs w:val="18"/>
                <w:lang w:val="de-DE"/>
              </w:rPr>
              <w:br/>
              <w:t>b) 1</w:t>
            </w:r>
          </w:p>
        </w:tc>
        <w:tc>
          <w:tcPr>
            <w:tcW w:w="0" w:type="auto"/>
            <w:tcBorders>
              <w:top w:val="single" w:sz="4" w:space="0" w:color="auto"/>
              <w:left w:val="single" w:sz="4" w:space="0" w:color="auto"/>
              <w:bottom w:val="single" w:sz="4" w:space="0" w:color="auto"/>
              <w:right w:val="single" w:sz="4" w:space="0" w:color="auto"/>
            </w:tcBorders>
          </w:tcPr>
          <w:p w14:paraId="13DDA772" w14:textId="77777777" w:rsidR="00FC7A68" w:rsidRDefault="00FC7A68" w:rsidP="00FC7A68">
            <w:pPr>
              <w:pStyle w:val="RepTableSmall"/>
              <w:rPr>
                <w:color w:val="000000"/>
                <w:sz w:val="18"/>
                <w:szCs w:val="18"/>
                <w:lang w:val="de-DE"/>
              </w:rPr>
            </w:pPr>
          </w:p>
        </w:tc>
        <w:tc>
          <w:tcPr>
            <w:tcW w:w="0" w:type="auto"/>
            <w:tcBorders>
              <w:top w:val="single" w:sz="4" w:space="0" w:color="auto"/>
              <w:left w:val="single" w:sz="4" w:space="0" w:color="auto"/>
              <w:bottom w:val="single" w:sz="4" w:space="0" w:color="auto"/>
              <w:right w:val="single" w:sz="4" w:space="0" w:color="auto"/>
            </w:tcBorders>
            <w:hideMark/>
          </w:tcPr>
          <w:p w14:paraId="396D6F5B" w14:textId="77777777" w:rsidR="00FC7A68" w:rsidRDefault="00FC7A68" w:rsidP="00FC7A68">
            <w:pPr>
              <w:pStyle w:val="RepTableSmall"/>
              <w:rPr>
                <w:color w:val="000000"/>
                <w:sz w:val="18"/>
                <w:szCs w:val="18"/>
                <w:lang w:val="de-DE"/>
              </w:rPr>
            </w:pPr>
            <w:r>
              <w:rPr>
                <w:color w:val="000000"/>
                <w:sz w:val="18"/>
                <w:szCs w:val="18"/>
                <w:lang w:val="de-DE"/>
              </w:rPr>
              <w:t>a) 1.20 - 2.00</w:t>
            </w:r>
            <w:r>
              <w:rPr>
                <w:color w:val="000000"/>
                <w:sz w:val="18"/>
                <w:szCs w:val="18"/>
                <w:lang w:val="de-DE"/>
              </w:rPr>
              <w:br/>
              <w:t>b) 1.20 - 2.00</w:t>
            </w:r>
          </w:p>
        </w:tc>
        <w:tc>
          <w:tcPr>
            <w:tcW w:w="0" w:type="auto"/>
            <w:tcBorders>
              <w:top w:val="single" w:sz="4" w:space="0" w:color="auto"/>
              <w:left w:val="single" w:sz="4" w:space="0" w:color="auto"/>
              <w:bottom w:val="single" w:sz="4" w:space="0" w:color="auto"/>
              <w:right w:val="single" w:sz="4" w:space="0" w:color="auto"/>
            </w:tcBorders>
            <w:hideMark/>
          </w:tcPr>
          <w:p w14:paraId="3655DB53" w14:textId="77777777" w:rsidR="00FC7A68" w:rsidRDefault="00FC7A68" w:rsidP="00FC7A68">
            <w:pPr>
              <w:pStyle w:val="RepTableSmall"/>
              <w:rPr>
                <w:color w:val="000000"/>
                <w:sz w:val="18"/>
                <w:szCs w:val="18"/>
                <w:lang w:val="de-DE"/>
              </w:rPr>
            </w:pPr>
            <w:r>
              <w:rPr>
                <w:color w:val="000000"/>
                <w:sz w:val="18"/>
                <w:szCs w:val="18"/>
                <w:lang w:val="de-DE"/>
              </w:rPr>
              <w:t>a) 0.100 / 0.150</w:t>
            </w:r>
            <w:r>
              <w:rPr>
                <w:color w:val="000000"/>
                <w:sz w:val="18"/>
                <w:szCs w:val="18"/>
                <w:lang w:val="de-DE"/>
              </w:rPr>
              <w:br/>
              <w:t>b) 0.100 / 0.150</w:t>
            </w:r>
          </w:p>
        </w:tc>
        <w:tc>
          <w:tcPr>
            <w:tcW w:w="0" w:type="auto"/>
            <w:tcBorders>
              <w:top w:val="single" w:sz="4" w:space="0" w:color="auto"/>
              <w:left w:val="single" w:sz="4" w:space="0" w:color="auto"/>
              <w:bottom w:val="single" w:sz="4" w:space="0" w:color="auto"/>
              <w:right w:val="single" w:sz="4" w:space="0" w:color="auto"/>
            </w:tcBorders>
            <w:hideMark/>
          </w:tcPr>
          <w:p w14:paraId="16CBD878" w14:textId="77777777" w:rsidR="00FC7A68" w:rsidRDefault="00FC7A68" w:rsidP="00FC7A68">
            <w:pPr>
              <w:pStyle w:val="RepTableSmall"/>
              <w:rPr>
                <w:color w:val="000000"/>
                <w:sz w:val="18"/>
                <w:szCs w:val="18"/>
                <w:lang w:val="de-DE"/>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253C3ADA" w14:textId="77777777" w:rsidR="00FC7A68" w:rsidRDefault="00FC7A68" w:rsidP="00FC7A68">
            <w:pPr>
              <w:pStyle w:val="RepTableSmall"/>
              <w:rPr>
                <w:color w:val="000000"/>
                <w:sz w:val="18"/>
                <w:szCs w:val="18"/>
                <w:lang w:val="de-DE"/>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12AA8D12"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3FEE073C"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4A4BD537"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600BF477"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FB504C5"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B47DFA7"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4F633D90"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012C7AE" w14:textId="77777777" w:rsidR="00FC7A68" w:rsidRDefault="00FC7A68" w:rsidP="00FC7A68">
            <w:pPr>
              <w:pStyle w:val="RepTableSmall"/>
              <w:rPr>
                <w:szCs w:val="16"/>
                <w:lang w:val="en-GB"/>
              </w:rPr>
            </w:pPr>
          </w:p>
        </w:tc>
      </w:tr>
      <w:tr w:rsidR="00CE7CB0" w14:paraId="203E22F5" w14:textId="16A449EE" w:rsidTr="00627017">
        <w:tc>
          <w:tcPr>
            <w:tcW w:w="0" w:type="auto"/>
            <w:tcBorders>
              <w:top w:val="single" w:sz="4" w:space="0" w:color="auto"/>
              <w:left w:val="single" w:sz="4" w:space="0" w:color="auto"/>
              <w:bottom w:val="single" w:sz="4" w:space="0" w:color="auto"/>
              <w:right w:val="single" w:sz="4" w:space="0" w:color="auto"/>
            </w:tcBorders>
            <w:hideMark/>
          </w:tcPr>
          <w:p w14:paraId="0168C47C" w14:textId="77777777" w:rsidR="00FC7A68" w:rsidRDefault="00FC7A68" w:rsidP="00FC7A68">
            <w:pPr>
              <w:pStyle w:val="RepTableSmall"/>
              <w:keepNext/>
              <w:rPr>
                <w:spacing w:val="-1"/>
                <w:szCs w:val="16"/>
                <w:lang w:val="de-DE"/>
              </w:rPr>
            </w:pPr>
            <w:r>
              <w:rPr>
                <w:spacing w:val="-1"/>
                <w:szCs w:val="16"/>
                <w:lang w:val="de-DE"/>
              </w:rPr>
              <w:t>8</w:t>
            </w:r>
          </w:p>
        </w:tc>
        <w:tc>
          <w:tcPr>
            <w:tcW w:w="0" w:type="auto"/>
            <w:tcBorders>
              <w:top w:val="single" w:sz="4" w:space="0" w:color="auto"/>
              <w:left w:val="single" w:sz="4" w:space="0" w:color="auto"/>
              <w:bottom w:val="single" w:sz="4" w:space="0" w:color="auto"/>
              <w:right w:val="single" w:sz="4" w:space="0" w:color="auto"/>
            </w:tcBorders>
            <w:hideMark/>
          </w:tcPr>
          <w:p w14:paraId="2B468BCF" w14:textId="77777777" w:rsidR="00FC7A68" w:rsidRDefault="00FC7A68" w:rsidP="00FC7A68">
            <w:pPr>
              <w:pStyle w:val="RepTableSmall"/>
              <w:keepNext/>
              <w:rPr>
                <w:color w:val="000000"/>
                <w:sz w:val="18"/>
                <w:szCs w:val="18"/>
                <w:lang w:val="de-DE"/>
              </w:rPr>
            </w:pPr>
            <w:r>
              <w:rPr>
                <w:color w:val="000000"/>
                <w:sz w:val="18"/>
                <w:szCs w:val="18"/>
                <w:lang w:val="de-DE"/>
              </w:rPr>
              <w:t>CZ</w:t>
            </w:r>
          </w:p>
        </w:tc>
        <w:tc>
          <w:tcPr>
            <w:tcW w:w="0" w:type="auto"/>
            <w:tcBorders>
              <w:top w:val="single" w:sz="4" w:space="0" w:color="auto"/>
              <w:left w:val="single" w:sz="4" w:space="0" w:color="auto"/>
              <w:bottom w:val="single" w:sz="4" w:space="0" w:color="auto"/>
              <w:right w:val="single" w:sz="4" w:space="0" w:color="auto"/>
            </w:tcBorders>
            <w:hideMark/>
          </w:tcPr>
          <w:p w14:paraId="4C6E57F8" w14:textId="77777777" w:rsidR="00FC7A68" w:rsidRDefault="00FC7A68" w:rsidP="00FC7A68">
            <w:pPr>
              <w:pStyle w:val="RepTableSmall"/>
              <w:keepNext/>
              <w:rPr>
                <w:color w:val="000000"/>
                <w:sz w:val="18"/>
                <w:szCs w:val="18"/>
                <w:lang w:val="de-DE"/>
              </w:rPr>
            </w:pPr>
            <w:r>
              <w:rPr>
                <w:color w:val="000000"/>
                <w:sz w:val="18"/>
                <w:szCs w:val="18"/>
                <w:lang w:val="de-DE"/>
              </w:rPr>
              <w:t>barley</w:t>
            </w:r>
            <w:r>
              <w:rPr>
                <w:color w:val="000000"/>
                <w:sz w:val="18"/>
                <w:szCs w:val="18"/>
                <w:lang w:val="de-DE"/>
              </w:rPr>
              <w:br/>
              <w:t xml:space="preserve">HORVW </w:t>
            </w:r>
            <w:r>
              <w:rPr>
                <w:color w:val="000000"/>
                <w:sz w:val="18"/>
                <w:szCs w:val="18"/>
                <w:lang w:val="de-DE"/>
              </w:rPr>
              <w:br/>
              <w:t>HORVS</w:t>
            </w:r>
          </w:p>
        </w:tc>
        <w:tc>
          <w:tcPr>
            <w:tcW w:w="0" w:type="auto"/>
            <w:tcBorders>
              <w:top w:val="single" w:sz="4" w:space="0" w:color="auto"/>
              <w:left w:val="single" w:sz="4" w:space="0" w:color="auto"/>
              <w:bottom w:val="single" w:sz="4" w:space="0" w:color="auto"/>
              <w:right w:val="single" w:sz="4" w:space="0" w:color="auto"/>
            </w:tcBorders>
            <w:hideMark/>
          </w:tcPr>
          <w:p w14:paraId="4031AD48" w14:textId="77777777" w:rsidR="00FC7A68" w:rsidRDefault="00FC7A68" w:rsidP="00FC7A68">
            <w:pPr>
              <w:pStyle w:val="RepTableSmall"/>
              <w:keepNext/>
              <w:rPr>
                <w:color w:val="000000"/>
                <w:sz w:val="18"/>
                <w:szCs w:val="18"/>
                <w:lang w:val="de-DE"/>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4CD17FC4" w14:textId="77777777" w:rsidR="00FC7A68" w:rsidRDefault="00FC7A68" w:rsidP="00FC7A68">
            <w:pPr>
              <w:pStyle w:val="RepTableSmall"/>
              <w:keepNext/>
              <w:pageBreakBefore/>
              <w:rPr>
                <w:color w:val="000000"/>
                <w:sz w:val="18"/>
                <w:szCs w:val="18"/>
                <w:lang w:val="fr-FR"/>
              </w:rPr>
            </w:pPr>
            <w:r>
              <w:rPr>
                <w:color w:val="000000"/>
                <w:sz w:val="18"/>
                <w:szCs w:val="18"/>
                <w:lang w:val="fr-FR"/>
              </w:rPr>
              <w:t>Pyrenophora teres – PYRNTE</w:t>
            </w:r>
            <w:r>
              <w:rPr>
                <w:color w:val="000000"/>
                <w:sz w:val="18"/>
                <w:szCs w:val="18"/>
                <w:lang w:val="fr-FR"/>
              </w:rPr>
              <w:br w:type="page"/>
              <w:t>R. secalis - RHYNSE</w:t>
            </w:r>
            <w:r>
              <w:rPr>
                <w:color w:val="000000"/>
                <w:sz w:val="18"/>
                <w:szCs w:val="18"/>
                <w:lang w:val="fr-FR"/>
              </w:rPr>
              <w:br w:type="page"/>
              <w:t>R. collo-cygni – RAMUCC</w:t>
            </w:r>
          </w:p>
          <w:p w14:paraId="1C1F6F87" w14:textId="77777777" w:rsidR="00FC7A68" w:rsidRPr="007330A6" w:rsidRDefault="00FC7A68" w:rsidP="00FC7A68">
            <w:pPr>
              <w:pStyle w:val="RepTableSmall"/>
              <w:keepNext/>
              <w:pageBreakBefore/>
              <w:rPr>
                <w:color w:val="000000"/>
                <w:sz w:val="18"/>
                <w:szCs w:val="18"/>
              </w:rPr>
            </w:pPr>
            <w:r w:rsidRPr="007330A6">
              <w:rPr>
                <w:color w:val="000000"/>
                <w:sz w:val="18"/>
                <w:szCs w:val="18"/>
              </w:rPr>
              <w:t>Puccinia hordei – PUCCHD</w:t>
            </w:r>
            <w:r w:rsidRPr="007330A6">
              <w:rPr>
                <w:color w:val="000000"/>
                <w:sz w:val="18"/>
                <w:szCs w:val="18"/>
              </w:rPr>
              <w:br w:type="page"/>
              <w:t>Blumeria graminis - ERYSGR</w:t>
            </w:r>
          </w:p>
        </w:tc>
        <w:tc>
          <w:tcPr>
            <w:tcW w:w="0" w:type="auto"/>
            <w:tcBorders>
              <w:top w:val="single" w:sz="4" w:space="0" w:color="auto"/>
              <w:left w:val="single" w:sz="4" w:space="0" w:color="auto"/>
              <w:bottom w:val="single" w:sz="4" w:space="0" w:color="auto"/>
              <w:right w:val="single" w:sz="4" w:space="0" w:color="auto"/>
            </w:tcBorders>
            <w:hideMark/>
          </w:tcPr>
          <w:p w14:paraId="7D06420A" w14:textId="77777777" w:rsidR="00FC7A68" w:rsidRDefault="00FC7A68" w:rsidP="00FC7A68">
            <w:pPr>
              <w:pStyle w:val="RepTableSmall"/>
              <w:keepNext/>
              <w:rPr>
                <w:color w:val="000000"/>
                <w:sz w:val="18"/>
                <w:szCs w:val="18"/>
                <w:lang w:val="de-DE"/>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74207C15" w14:textId="77777777" w:rsidR="00FC7A68" w:rsidRDefault="00FC7A68" w:rsidP="00FC7A68">
            <w:pPr>
              <w:pStyle w:val="RepTableSmall"/>
              <w:keepNext/>
              <w:rPr>
                <w:color w:val="000000"/>
                <w:sz w:val="18"/>
                <w:szCs w:val="18"/>
                <w:lang w:val="de-DE"/>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1D45149D" w14:textId="77777777" w:rsidR="00FC7A68" w:rsidRDefault="00FC7A68" w:rsidP="00FC7A68">
            <w:pPr>
              <w:pStyle w:val="RepTableSmall"/>
              <w:keepNext/>
              <w:rPr>
                <w:color w:val="000000"/>
                <w:sz w:val="18"/>
                <w:szCs w:val="18"/>
                <w:lang w:val="de-DE"/>
              </w:rPr>
            </w:pPr>
            <w:r>
              <w:rPr>
                <w:color w:val="000000"/>
                <w:sz w:val="18"/>
                <w:szCs w:val="18"/>
                <w:lang w:val="de-DE"/>
              </w:rPr>
              <w:t>a) 1</w:t>
            </w:r>
            <w:r>
              <w:rPr>
                <w:color w:val="000000"/>
                <w:sz w:val="18"/>
                <w:szCs w:val="18"/>
                <w:lang w:val="de-DE"/>
              </w:rPr>
              <w:br/>
              <w:t>b) 1</w:t>
            </w:r>
          </w:p>
        </w:tc>
        <w:tc>
          <w:tcPr>
            <w:tcW w:w="0" w:type="auto"/>
            <w:tcBorders>
              <w:top w:val="single" w:sz="4" w:space="0" w:color="auto"/>
              <w:left w:val="single" w:sz="4" w:space="0" w:color="auto"/>
              <w:bottom w:val="single" w:sz="4" w:space="0" w:color="auto"/>
              <w:right w:val="single" w:sz="4" w:space="0" w:color="auto"/>
            </w:tcBorders>
          </w:tcPr>
          <w:p w14:paraId="7E347C8F" w14:textId="77777777" w:rsidR="00FC7A68" w:rsidRDefault="00FC7A68" w:rsidP="00FC7A68">
            <w:pPr>
              <w:pStyle w:val="RepTableSmall"/>
              <w:keepNext/>
              <w:rPr>
                <w:color w:val="000000"/>
                <w:sz w:val="18"/>
                <w:szCs w:val="18"/>
                <w:lang w:val="de-DE"/>
              </w:rPr>
            </w:pPr>
          </w:p>
        </w:tc>
        <w:tc>
          <w:tcPr>
            <w:tcW w:w="0" w:type="auto"/>
            <w:tcBorders>
              <w:top w:val="single" w:sz="4" w:space="0" w:color="auto"/>
              <w:left w:val="single" w:sz="4" w:space="0" w:color="auto"/>
              <w:bottom w:val="single" w:sz="4" w:space="0" w:color="auto"/>
              <w:right w:val="single" w:sz="4" w:space="0" w:color="auto"/>
            </w:tcBorders>
            <w:hideMark/>
          </w:tcPr>
          <w:p w14:paraId="3E9B7CA0" w14:textId="77777777" w:rsidR="00FC7A68" w:rsidRDefault="00FC7A68" w:rsidP="00FC7A68">
            <w:pPr>
              <w:pStyle w:val="RepTableSmall"/>
              <w:keepNext/>
              <w:rPr>
                <w:color w:val="000000"/>
                <w:sz w:val="18"/>
                <w:szCs w:val="18"/>
                <w:lang w:val="de-DE"/>
              </w:rPr>
            </w:pPr>
            <w:r>
              <w:rPr>
                <w:color w:val="000000"/>
                <w:sz w:val="18"/>
                <w:szCs w:val="18"/>
                <w:lang w:val="de-DE"/>
              </w:rPr>
              <w:t>a) 1.20 - 2.00</w:t>
            </w:r>
            <w:r>
              <w:rPr>
                <w:color w:val="000000"/>
                <w:sz w:val="18"/>
                <w:szCs w:val="18"/>
                <w:lang w:val="de-DE"/>
              </w:rPr>
              <w:br/>
              <w:t>b) 1.20 - 2.00</w:t>
            </w:r>
          </w:p>
        </w:tc>
        <w:tc>
          <w:tcPr>
            <w:tcW w:w="0" w:type="auto"/>
            <w:tcBorders>
              <w:top w:val="single" w:sz="4" w:space="0" w:color="auto"/>
              <w:left w:val="single" w:sz="4" w:space="0" w:color="auto"/>
              <w:bottom w:val="single" w:sz="4" w:space="0" w:color="auto"/>
              <w:right w:val="single" w:sz="4" w:space="0" w:color="auto"/>
            </w:tcBorders>
            <w:hideMark/>
          </w:tcPr>
          <w:p w14:paraId="6E08D792" w14:textId="77777777" w:rsidR="00FC7A68" w:rsidRDefault="00FC7A68" w:rsidP="00FC7A68">
            <w:pPr>
              <w:pStyle w:val="RepTableSmall"/>
              <w:keepNext/>
              <w:rPr>
                <w:color w:val="000000"/>
                <w:sz w:val="18"/>
                <w:szCs w:val="18"/>
                <w:lang w:val="de-DE"/>
              </w:rPr>
            </w:pPr>
            <w:r>
              <w:rPr>
                <w:color w:val="000000"/>
                <w:sz w:val="18"/>
                <w:szCs w:val="18"/>
                <w:lang w:val="de-DE"/>
              </w:rPr>
              <w:t>a) 0.100 / 0.150</w:t>
            </w:r>
            <w:r>
              <w:rPr>
                <w:color w:val="000000"/>
                <w:sz w:val="18"/>
                <w:szCs w:val="18"/>
                <w:lang w:val="de-DE"/>
              </w:rPr>
              <w:br/>
              <w:t>b) 0.100 / 0.150</w:t>
            </w:r>
          </w:p>
        </w:tc>
        <w:tc>
          <w:tcPr>
            <w:tcW w:w="0" w:type="auto"/>
            <w:tcBorders>
              <w:top w:val="single" w:sz="4" w:space="0" w:color="auto"/>
              <w:left w:val="single" w:sz="4" w:space="0" w:color="auto"/>
              <w:bottom w:val="single" w:sz="4" w:space="0" w:color="auto"/>
              <w:right w:val="single" w:sz="4" w:space="0" w:color="auto"/>
            </w:tcBorders>
            <w:hideMark/>
          </w:tcPr>
          <w:p w14:paraId="6442E6E3" w14:textId="77777777" w:rsidR="00FC7A68" w:rsidRDefault="00FC7A68" w:rsidP="00FC7A68">
            <w:pPr>
              <w:pStyle w:val="RepTableSmall"/>
              <w:keepNext/>
              <w:rPr>
                <w:color w:val="000000"/>
                <w:sz w:val="18"/>
                <w:szCs w:val="18"/>
                <w:lang w:val="de-DE"/>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75A06D33" w14:textId="77777777" w:rsidR="00FC7A68" w:rsidRDefault="00FC7A68" w:rsidP="00FC7A68">
            <w:pPr>
              <w:pStyle w:val="RepTableSmall"/>
              <w:keepNext/>
              <w:rPr>
                <w:color w:val="000000"/>
                <w:sz w:val="18"/>
                <w:szCs w:val="18"/>
                <w:lang w:val="de-DE"/>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268A3C75"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372E2956"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30D9C195"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2BECD9FA"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0FCDB2C1"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C24664A"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DD614C4"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37B4DA8C" w14:textId="77777777" w:rsidR="00FC7A68" w:rsidRDefault="00FC7A68" w:rsidP="00FC7A68">
            <w:pPr>
              <w:pStyle w:val="RepTableSmall"/>
              <w:keepNext/>
              <w:rPr>
                <w:szCs w:val="16"/>
                <w:lang w:val="en-GB"/>
              </w:rPr>
            </w:pPr>
          </w:p>
        </w:tc>
      </w:tr>
      <w:tr w:rsidR="00CE7CB0" w14:paraId="246A3F7B" w14:textId="186E1395" w:rsidTr="00627017">
        <w:tc>
          <w:tcPr>
            <w:tcW w:w="0" w:type="auto"/>
            <w:tcBorders>
              <w:top w:val="single" w:sz="4" w:space="0" w:color="auto"/>
              <w:left w:val="single" w:sz="4" w:space="0" w:color="auto"/>
              <w:bottom w:val="single" w:sz="4" w:space="0" w:color="auto"/>
              <w:right w:val="single" w:sz="4" w:space="0" w:color="auto"/>
            </w:tcBorders>
            <w:hideMark/>
          </w:tcPr>
          <w:p w14:paraId="0ACFCB4D" w14:textId="77777777" w:rsidR="00FC7A68" w:rsidRDefault="00FC7A68" w:rsidP="00FC7A68">
            <w:pPr>
              <w:pStyle w:val="RepTableSmall"/>
              <w:rPr>
                <w:spacing w:val="-1"/>
                <w:szCs w:val="16"/>
                <w:lang w:val="de-DE"/>
              </w:rPr>
            </w:pPr>
            <w:r>
              <w:rPr>
                <w:spacing w:val="-1"/>
                <w:szCs w:val="16"/>
                <w:lang w:val="en-GB"/>
              </w:rPr>
              <w:t>9</w:t>
            </w:r>
          </w:p>
        </w:tc>
        <w:tc>
          <w:tcPr>
            <w:tcW w:w="0" w:type="auto"/>
            <w:tcBorders>
              <w:top w:val="single" w:sz="4" w:space="0" w:color="auto"/>
              <w:left w:val="single" w:sz="4" w:space="0" w:color="auto"/>
              <w:bottom w:val="single" w:sz="4" w:space="0" w:color="auto"/>
              <w:right w:val="single" w:sz="4" w:space="0" w:color="auto"/>
            </w:tcBorders>
            <w:hideMark/>
          </w:tcPr>
          <w:p w14:paraId="60B70896" w14:textId="77777777" w:rsidR="00FC7A68" w:rsidRDefault="00FC7A68" w:rsidP="00FC7A68">
            <w:pPr>
              <w:pStyle w:val="RepTableSmall"/>
              <w:rPr>
                <w:color w:val="000000"/>
                <w:sz w:val="18"/>
                <w:szCs w:val="18"/>
                <w:lang w:val="de-DE"/>
              </w:rPr>
            </w:pPr>
            <w:r>
              <w:rPr>
                <w:color w:val="000000"/>
                <w:sz w:val="18"/>
                <w:szCs w:val="18"/>
                <w:lang w:val="de-DE"/>
              </w:rPr>
              <w:t>CZ</w:t>
            </w:r>
          </w:p>
        </w:tc>
        <w:tc>
          <w:tcPr>
            <w:tcW w:w="0" w:type="auto"/>
            <w:tcBorders>
              <w:top w:val="single" w:sz="4" w:space="0" w:color="auto"/>
              <w:left w:val="single" w:sz="4" w:space="0" w:color="auto"/>
              <w:bottom w:val="single" w:sz="4" w:space="0" w:color="auto"/>
              <w:right w:val="single" w:sz="4" w:space="0" w:color="auto"/>
            </w:tcBorders>
            <w:hideMark/>
          </w:tcPr>
          <w:p w14:paraId="68D1447F" w14:textId="77777777" w:rsidR="00FC7A68" w:rsidRDefault="00FC7A68" w:rsidP="00FC7A68">
            <w:pPr>
              <w:pStyle w:val="RepTableSmall"/>
              <w:rPr>
                <w:color w:val="000000"/>
                <w:sz w:val="18"/>
                <w:szCs w:val="18"/>
                <w:lang w:val="de-DE"/>
              </w:rPr>
            </w:pPr>
            <w:r>
              <w:rPr>
                <w:color w:val="000000"/>
                <w:sz w:val="18"/>
                <w:szCs w:val="18"/>
                <w:lang w:val="de-DE"/>
              </w:rPr>
              <w:t>rye</w:t>
            </w:r>
            <w:r>
              <w:rPr>
                <w:color w:val="000000"/>
                <w:sz w:val="18"/>
                <w:szCs w:val="18"/>
                <w:lang w:val="de-DE"/>
              </w:rPr>
              <w:br/>
              <w:t>SECCW</w:t>
            </w:r>
            <w:r>
              <w:rPr>
                <w:color w:val="000000"/>
                <w:sz w:val="18"/>
                <w:szCs w:val="18"/>
                <w:lang w:val="de-DE"/>
              </w:rPr>
              <w:br/>
              <w:t>SECCS</w:t>
            </w:r>
            <w:r>
              <w:rPr>
                <w:color w:val="000000"/>
                <w:sz w:val="18"/>
                <w:szCs w:val="18"/>
                <w:lang w:val="de-DE"/>
              </w:rPr>
              <w:br/>
              <w:t>SECCE</w:t>
            </w:r>
          </w:p>
        </w:tc>
        <w:tc>
          <w:tcPr>
            <w:tcW w:w="0" w:type="auto"/>
            <w:tcBorders>
              <w:top w:val="single" w:sz="4" w:space="0" w:color="auto"/>
              <w:left w:val="single" w:sz="4" w:space="0" w:color="auto"/>
              <w:bottom w:val="single" w:sz="4" w:space="0" w:color="auto"/>
              <w:right w:val="single" w:sz="4" w:space="0" w:color="auto"/>
            </w:tcBorders>
            <w:hideMark/>
          </w:tcPr>
          <w:p w14:paraId="3F3DAC74" w14:textId="77777777" w:rsidR="00FC7A68" w:rsidRDefault="00FC7A68" w:rsidP="00FC7A68">
            <w:pPr>
              <w:pStyle w:val="RepTableSmall"/>
              <w:rPr>
                <w:color w:val="000000"/>
                <w:sz w:val="18"/>
                <w:szCs w:val="18"/>
                <w:lang w:val="de-DE"/>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3C0DC2B2" w14:textId="77777777" w:rsidR="00FC7A68" w:rsidRDefault="00FC7A68" w:rsidP="00FC7A68">
            <w:pPr>
              <w:pStyle w:val="RepTableSmall"/>
              <w:pageBreakBefore/>
              <w:rPr>
                <w:color w:val="000000"/>
                <w:sz w:val="18"/>
                <w:szCs w:val="18"/>
                <w:lang w:val="fr-FR"/>
              </w:rPr>
            </w:pPr>
            <w:r w:rsidRPr="00492207">
              <w:rPr>
                <w:color w:val="000000"/>
                <w:sz w:val="18"/>
                <w:szCs w:val="18"/>
              </w:rPr>
              <w:t>R. secalis - RHYNSE</w:t>
            </w:r>
            <w:r w:rsidRPr="00492207">
              <w:rPr>
                <w:color w:val="000000"/>
                <w:sz w:val="18"/>
                <w:szCs w:val="18"/>
              </w:rPr>
              <w:br w:type="page"/>
              <w:t>Puccinia recondita - PUCCRE</w:t>
            </w:r>
          </w:p>
        </w:tc>
        <w:tc>
          <w:tcPr>
            <w:tcW w:w="0" w:type="auto"/>
            <w:tcBorders>
              <w:top w:val="single" w:sz="4" w:space="0" w:color="auto"/>
              <w:left w:val="single" w:sz="4" w:space="0" w:color="auto"/>
              <w:bottom w:val="single" w:sz="4" w:space="0" w:color="auto"/>
              <w:right w:val="single" w:sz="4" w:space="0" w:color="auto"/>
            </w:tcBorders>
            <w:hideMark/>
          </w:tcPr>
          <w:p w14:paraId="76F2F75C" w14:textId="77777777" w:rsidR="00FC7A68" w:rsidRDefault="00FC7A68" w:rsidP="00FC7A68">
            <w:pPr>
              <w:pStyle w:val="RepTableSmall"/>
              <w:rPr>
                <w:color w:val="000000"/>
                <w:sz w:val="18"/>
                <w:szCs w:val="18"/>
                <w:lang w:val="de-DE"/>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62087650" w14:textId="77777777" w:rsidR="00FC7A68" w:rsidRDefault="00FC7A68" w:rsidP="00FC7A68">
            <w:pPr>
              <w:pStyle w:val="RepTableSmall"/>
              <w:rPr>
                <w:color w:val="000000"/>
                <w:sz w:val="18"/>
                <w:szCs w:val="18"/>
                <w:lang w:val="de-DE"/>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79AFB87F" w14:textId="77777777" w:rsidR="00FC7A68" w:rsidRDefault="00FC7A68" w:rsidP="00FC7A68">
            <w:pPr>
              <w:pStyle w:val="RepTableSmall"/>
              <w:rPr>
                <w:color w:val="000000"/>
                <w:sz w:val="18"/>
                <w:szCs w:val="18"/>
                <w:lang w:val="de-DE"/>
              </w:rPr>
            </w:pPr>
            <w:r>
              <w:rPr>
                <w:color w:val="000000"/>
                <w:sz w:val="18"/>
                <w:szCs w:val="18"/>
                <w:lang w:val="de-DE"/>
              </w:rPr>
              <w:t>a) 1</w:t>
            </w:r>
            <w:r>
              <w:rPr>
                <w:color w:val="000000"/>
                <w:sz w:val="18"/>
                <w:szCs w:val="18"/>
                <w:lang w:val="de-DE"/>
              </w:rPr>
              <w:br/>
              <w:t>b) 1</w:t>
            </w:r>
          </w:p>
        </w:tc>
        <w:tc>
          <w:tcPr>
            <w:tcW w:w="0" w:type="auto"/>
            <w:tcBorders>
              <w:top w:val="single" w:sz="4" w:space="0" w:color="auto"/>
              <w:left w:val="single" w:sz="4" w:space="0" w:color="auto"/>
              <w:bottom w:val="single" w:sz="4" w:space="0" w:color="auto"/>
              <w:right w:val="single" w:sz="4" w:space="0" w:color="auto"/>
            </w:tcBorders>
          </w:tcPr>
          <w:p w14:paraId="6545CD61" w14:textId="77777777" w:rsidR="00FC7A68" w:rsidRDefault="00FC7A68" w:rsidP="00FC7A68">
            <w:pPr>
              <w:pStyle w:val="RepTableSmall"/>
              <w:rPr>
                <w:color w:val="000000"/>
                <w:sz w:val="18"/>
                <w:szCs w:val="18"/>
                <w:lang w:val="de-DE"/>
              </w:rPr>
            </w:pPr>
          </w:p>
        </w:tc>
        <w:tc>
          <w:tcPr>
            <w:tcW w:w="0" w:type="auto"/>
            <w:tcBorders>
              <w:top w:val="single" w:sz="4" w:space="0" w:color="auto"/>
              <w:left w:val="single" w:sz="4" w:space="0" w:color="auto"/>
              <w:bottom w:val="single" w:sz="4" w:space="0" w:color="auto"/>
              <w:right w:val="single" w:sz="4" w:space="0" w:color="auto"/>
            </w:tcBorders>
            <w:hideMark/>
          </w:tcPr>
          <w:p w14:paraId="41E4FC26" w14:textId="77777777" w:rsidR="00FC7A68" w:rsidRDefault="00FC7A68" w:rsidP="00FC7A68">
            <w:pPr>
              <w:pStyle w:val="RepTableSmall"/>
              <w:rPr>
                <w:color w:val="000000"/>
                <w:sz w:val="18"/>
                <w:szCs w:val="18"/>
                <w:lang w:val="de-DE"/>
              </w:rPr>
            </w:pPr>
            <w:r>
              <w:rPr>
                <w:color w:val="000000"/>
                <w:sz w:val="18"/>
                <w:szCs w:val="18"/>
                <w:lang w:val="de-DE"/>
              </w:rPr>
              <w:t>a) 1.20 - 2.00</w:t>
            </w:r>
            <w:r>
              <w:rPr>
                <w:color w:val="000000"/>
                <w:sz w:val="18"/>
                <w:szCs w:val="18"/>
                <w:lang w:val="de-DE"/>
              </w:rPr>
              <w:br/>
              <w:t>b) 1.20 - 2.00</w:t>
            </w:r>
          </w:p>
        </w:tc>
        <w:tc>
          <w:tcPr>
            <w:tcW w:w="0" w:type="auto"/>
            <w:tcBorders>
              <w:top w:val="single" w:sz="4" w:space="0" w:color="auto"/>
              <w:left w:val="single" w:sz="4" w:space="0" w:color="auto"/>
              <w:bottom w:val="single" w:sz="4" w:space="0" w:color="auto"/>
              <w:right w:val="single" w:sz="4" w:space="0" w:color="auto"/>
            </w:tcBorders>
            <w:hideMark/>
          </w:tcPr>
          <w:p w14:paraId="08AA0597" w14:textId="77777777" w:rsidR="00FC7A68" w:rsidRDefault="00FC7A68" w:rsidP="00FC7A68">
            <w:pPr>
              <w:pStyle w:val="RepTableSmall"/>
              <w:rPr>
                <w:color w:val="000000"/>
                <w:sz w:val="18"/>
                <w:szCs w:val="18"/>
                <w:lang w:val="de-DE"/>
              </w:rPr>
            </w:pPr>
            <w:r>
              <w:rPr>
                <w:color w:val="000000"/>
                <w:sz w:val="18"/>
                <w:szCs w:val="18"/>
                <w:lang w:val="de-DE"/>
              </w:rPr>
              <w:t>a) 0.100 / 0.150</w:t>
            </w:r>
            <w:r>
              <w:rPr>
                <w:color w:val="000000"/>
                <w:sz w:val="18"/>
                <w:szCs w:val="18"/>
                <w:lang w:val="de-DE"/>
              </w:rPr>
              <w:br/>
              <w:t>b) 0.100 / 0.150</w:t>
            </w:r>
          </w:p>
        </w:tc>
        <w:tc>
          <w:tcPr>
            <w:tcW w:w="0" w:type="auto"/>
            <w:tcBorders>
              <w:top w:val="single" w:sz="4" w:space="0" w:color="auto"/>
              <w:left w:val="single" w:sz="4" w:space="0" w:color="auto"/>
              <w:bottom w:val="single" w:sz="4" w:space="0" w:color="auto"/>
              <w:right w:val="single" w:sz="4" w:space="0" w:color="auto"/>
            </w:tcBorders>
            <w:hideMark/>
          </w:tcPr>
          <w:p w14:paraId="7DA525C7" w14:textId="77777777" w:rsidR="00FC7A68" w:rsidRDefault="00FC7A68" w:rsidP="00FC7A68">
            <w:pPr>
              <w:pStyle w:val="RepTableSmall"/>
              <w:rPr>
                <w:color w:val="000000"/>
                <w:sz w:val="18"/>
                <w:szCs w:val="18"/>
                <w:lang w:val="de-DE"/>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43A73EC6" w14:textId="77777777" w:rsidR="00FC7A68" w:rsidRDefault="00FC7A68" w:rsidP="00FC7A68">
            <w:pPr>
              <w:pStyle w:val="RepTableSmall"/>
              <w:rPr>
                <w:color w:val="000000"/>
                <w:sz w:val="18"/>
                <w:szCs w:val="18"/>
                <w:lang w:val="de-DE"/>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022018F6"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5A9FB5DC"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42EAE717"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278A3552"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FB2169D"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70DE753B"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8038E74"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51F1EB4F" w14:textId="77777777" w:rsidR="00FC7A68" w:rsidRDefault="00FC7A68" w:rsidP="00FC7A68">
            <w:pPr>
              <w:pStyle w:val="RepTableSmall"/>
              <w:rPr>
                <w:szCs w:val="16"/>
                <w:lang w:val="en-GB"/>
              </w:rPr>
            </w:pPr>
          </w:p>
        </w:tc>
      </w:tr>
      <w:tr w:rsidR="00CE7CB0" w14:paraId="62DB24F0" w14:textId="4EF333B5" w:rsidTr="00627017">
        <w:tc>
          <w:tcPr>
            <w:tcW w:w="0" w:type="auto"/>
            <w:tcBorders>
              <w:top w:val="single" w:sz="4" w:space="0" w:color="auto"/>
              <w:left w:val="single" w:sz="4" w:space="0" w:color="auto"/>
              <w:bottom w:val="single" w:sz="4" w:space="0" w:color="auto"/>
              <w:right w:val="single" w:sz="4" w:space="0" w:color="auto"/>
            </w:tcBorders>
            <w:hideMark/>
          </w:tcPr>
          <w:p w14:paraId="1B120850" w14:textId="77777777" w:rsidR="00FC7A68" w:rsidRDefault="00FC7A68" w:rsidP="00FC7A68">
            <w:pPr>
              <w:pStyle w:val="RepTableSmall"/>
              <w:keepNext/>
              <w:rPr>
                <w:color w:val="000000"/>
                <w:sz w:val="18"/>
                <w:szCs w:val="18"/>
                <w:lang w:val="de-DE"/>
              </w:rPr>
            </w:pPr>
            <w:r>
              <w:rPr>
                <w:color w:val="000000"/>
                <w:sz w:val="18"/>
                <w:szCs w:val="18"/>
                <w:lang w:val="de-DE"/>
              </w:rPr>
              <w:lastRenderedPageBreak/>
              <w:t>10</w:t>
            </w:r>
          </w:p>
        </w:tc>
        <w:tc>
          <w:tcPr>
            <w:tcW w:w="0" w:type="auto"/>
            <w:tcBorders>
              <w:top w:val="single" w:sz="4" w:space="0" w:color="auto"/>
              <w:left w:val="single" w:sz="4" w:space="0" w:color="auto"/>
              <w:bottom w:val="single" w:sz="4" w:space="0" w:color="auto"/>
              <w:right w:val="single" w:sz="4" w:space="0" w:color="auto"/>
            </w:tcBorders>
            <w:hideMark/>
          </w:tcPr>
          <w:p w14:paraId="1DD59924" w14:textId="77777777" w:rsidR="00FC7A68" w:rsidRDefault="00FC7A68" w:rsidP="00FC7A68">
            <w:pPr>
              <w:pStyle w:val="RepTableSmall"/>
              <w:keepNext/>
              <w:rPr>
                <w:spacing w:val="-1"/>
                <w:szCs w:val="16"/>
                <w:lang w:val="en-GB"/>
              </w:rPr>
            </w:pPr>
            <w:r>
              <w:rPr>
                <w:color w:val="000000"/>
                <w:sz w:val="18"/>
                <w:szCs w:val="18"/>
                <w:lang w:val="de-DE"/>
              </w:rPr>
              <w:t>CZ</w:t>
            </w:r>
          </w:p>
        </w:tc>
        <w:tc>
          <w:tcPr>
            <w:tcW w:w="0" w:type="auto"/>
            <w:tcBorders>
              <w:top w:val="single" w:sz="4" w:space="0" w:color="auto"/>
              <w:left w:val="single" w:sz="4" w:space="0" w:color="auto"/>
              <w:bottom w:val="single" w:sz="4" w:space="0" w:color="auto"/>
              <w:right w:val="single" w:sz="4" w:space="0" w:color="auto"/>
            </w:tcBorders>
            <w:hideMark/>
          </w:tcPr>
          <w:p w14:paraId="2660B6C6" w14:textId="77777777" w:rsidR="00FC7A68" w:rsidRDefault="00FC7A68" w:rsidP="00FC7A68">
            <w:pPr>
              <w:pStyle w:val="RepTableSmall"/>
              <w:keepNext/>
              <w:rPr>
                <w:szCs w:val="16"/>
                <w:lang w:val="en-GB"/>
              </w:rPr>
            </w:pPr>
            <w:r>
              <w:rPr>
                <w:color w:val="000000"/>
                <w:sz w:val="18"/>
                <w:szCs w:val="18"/>
                <w:lang w:val="de-DE"/>
              </w:rPr>
              <w:t>triticale</w:t>
            </w:r>
            <w:r>
              <w:rPr>
                <w:color w:val="000000"/>
                <w:sz w:val="18"/>
                <w:szCs w:val="18"/>
                <w:lang w:val="de-DE"/>
              </w:rPr>
              <w:br/>
              <w:t xml:space="preserve">TTLWI </w:t>
            </w:r>
            <w:r>
              <w:rPr>
                <w:color w:val="000000"/>
                <w:sz w:val="18"/>
                <w:szCs w:val="18"/>
                <w:lang w:val="de-DE"/>
              </w:rPr>
              <w:br/>
              <w:t>TTLSO</w:t>
            </w:r>
          </w:p>
        </w:tc>
        <w:tc>
          <w:tcPr>
            <w:tcW w:w="0" w:type="auto"/>
            <w:tcBorders>
              <w:top w:val="single" w:sz="4" w:space="0" w:color="auto"/>
              <w:left w:val="single" w:sz="4" w:space="0" w:color="auto"/>
              <w:bottom w:val="single" w:sz="4" w:space="0" w:color="auto"/>
              <w:right w:val="single" w:sz="4" w:space="0" w:color="auto"/>
            </w:tcBorders>
            <w:hideMark/>
          </w:tcPr>
          <w:p w14:paraId="67508259" w14:textId="77777777" w:rsidR="00FC7A68" w:rsidRDefault="00FC7A68" w:rsidP="00FC7A68">
            <w:pPr>
              <w:pStyle w:val="RepTableSmall"/>
              <w:keepNext/>
              <w:rPr>
                <w:szCs w:val="16"/>
                <w:lang w:val="en-GB"/>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16A587EC" w14:textId="77777777" w:rsidR="00FC7A68" w:rsidRPr="00492207" w:rsidRDefault="00FC7A68" w:rsidP="00FC7A68">
            <w:pPr>
              <w:pStyle w:val="RepTableSmall"/>
              <w:keepNext/>
              <w:rPr>
                <w:color w:val="000000"/>
                <w:sz w:val="18"/>
                <w:szCs w:val="18"/>
              </w:rPr>
            </w:pPr>
            <w:r w:rsidRPr="00492207">
              <w:rPr>
                <w:color w:val="000000"/>
                <w:sz w:val="18"/>
                <w:szCs w:val="18"/>
              </w:rPr>
              <w:t>Septoria spp. - SEPTSP</w:t>
            </w:r>
            <w:r w:rsidRPr="00492207">
              <w:rPr>
                <w:color w:val="000000"/>
                <w:sz w:val="18"/>
                <w:szCs w:val="18"/>
              </w:rPr>
              <w:br/>
              <w:t>Puccinia recondita - PUCCRE</w:t>
            </w:r>
            <w:r w:rsidRPr="00492207">
              <w:rPr>
                <w:color w:val="000000"/>
                <w:sz w:val="18"/>
                <w:szCs w:val="18"/>
              </w:rPr>
              <w:br/>
              <w:t>Puccinia striiformis – PUCCST</w:t>
            </w:r>
          </w:p>
          <w:p w14:paraId="675C1850" w14:textId="77777777" w:rsidR="00FC7A68" w:rsidRDefault="00FC7A68" w:rsidP="00FC7A68">
            <w:pPr>
              <w:pStyle w:val="RepTableSmall"/>
              <w:keepNext/>
              <w:rPr>
                <w:szCs w:val="16"/>
                <w:lang w:val="en-GB"/>
              </w:rPr>
            </w:pPr>
            <w:r>
              <w:rPr>
                <w:szCs w:val="16"/>
                <w:lang w:val="en-GB"/>
              </w:rPr>
              <w:t>Blumeria graminis - ERYSGR</w:t>
            </w:r>
          </w:p>
        </w:tc>
        <w:tc>
          <w:tcPr>
            <w:tcW w:w="0" w:type="auto"/>
            <w:tcBorders>
              <w:top w:val="single" w:sz="4" w:space="0" w:color="auto"/>
              <w:left w:val="single" w:sz="4" w:space="0" w:color="auto"/>
              <w:bottom w:val="single" w:sz="4" w:space="0" w:color="auto"/>
              <w:right w:val="single" w:sz="4" w:space="0" w:color="auto"/>
            </w:tcBorders>
            <w:hideMark/>
          </w:tcPr>
          <w:p w14:paraId="531D9C03" w14:textId="77777777" w:rsidR="00FC7A68" w:rsidRDefault="00FC7A68" w:rsidP="00FC7A68">
            <w:pPr>
              <w:pStyle w:val="RepTableSmall"/>
              <w:keepNext/>
              <w:rPr>
                <w:szCs w:val="16"/>
                <w:lang w:val="en-GB"/>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31F70EF5" w14:textId="77777777" w:rsidR="00FC7A68" w:rsidRDefault="00FC7A68" w:rsidP="00FC7A68">
            <w:pPr>
              <w:pStyle w:val="RepTableSmall"/>
              <w:keepNext/>
              <w:rPr>
                <w:szCs w:val="16"/>
                <w:lang w:val="en-GB"/>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6E05AE1C" w14:textId="77777777" w:rsidR="00FC7A68" w:rsidRDefault="00FC7A68" w:rsidP="00FC7A68">
            <w:pPr>
              <w:pStyle w:val="RepTableSmall"/>
              <w:keepNext/>
              <w:rPr>
                <w:szCs w:val="16"/>
                <w:lang w:val="en-GB"/>
              </w:rPr>
            </w:pPr>
            <w:r>
              <w:rPr>
                <w:color w:val="000000"/>
                <w:sz w:val="18"/>
                <w:szCs w:val="18"/>
                <w:lang w:val="de-DE"/>
              </w:rPr>
              <w:t>a) 1</w:t>
            </w:r>
            <w:r>
              <w:rPr>
                <w:color w:val="000000"/>
                <w:sz w:val="18"/>
                <w:szCs w:val="18"/>
                <w:lang w:val="de-DE"/>
              </w:rPr>
              <w:br/>
              <w:t>b) 1</w:t>
            </w:r>
          </w:p>
        </w:tc>
        <w:tc>
          <w:tcPr>
            <w:tcW w:w="0" w:type="auto"/>
            <w:tcBorders>
              <w:top w:val="single" w:sz="4" w:space="0" w:color="auto"/>
              <w:left w:val="single" w:sz="4" w:space="0" w:color="auto"/>
              <w:bottom w:val="single" w:sz="4" w:space="0" w:color="auto"/>
              <w:right w:val="single" w:sz="4" w:space="0" w:color="auto"/>
            </w:tcBorders>
          </w:tcPr>
          <w:p w14:paraId="6AF55198"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hideMark/>
          </w:tcPr>
          <w:p w14:paraId="604823EF" w14:textId="77777777" w:rsidR="00FC7A68" w:rsidRDefault="00FC7A68" w:rsidP="00FC7A68">
            <w:pPr>
              <w:pStyle w:val="RepTableSmall"/>
              <w:keepNext/>
              <w:rPr>
                <w:szCs w:val="16"/>
                <w:lang w:val="en-GB"/>
              </w:rPr>
            </w:pPr>
            <w:r>
              <w:rPr>
                <w:color w:val="000000"/>
                <w:sz w:val="18"/>
                <w:szCs w:val="18"/>
                <w:lang w:val="de-DE"/>
              </w:rPr>
              <w:t>a) 1.20 - 2.00</w:t>
            </w:r>
            <w:r>
              <w:rPr>
                <w:color w:val="000000"/>
                <w:sz w:val="18"/>
                <w:szCs w:val="18"/>
                <w:lang w:val="de-DE"/>
              </w:rPr>
              <w:br/>
              <w:t>b) 1.20 - 2.00</w:t>
            </w:r>
          </w:p>
        </w:tc>
        <w:tc>
          <w:tcPr>
            <w:tcW w:w="0" w:type="auto"/>
            <w:tcBorders>
              <w:top w:val="single" w:sz="4" w:space="0" w:color="auto"/>
              <w:left w:val="single" w:sz="4" w:space="0" w:color="auto"/>
              <w:bottom w:val="single" w:sz="4" w:space="0" w:color="auto"/>
              <w:right w:val="single" w:sz="4" w:space="0" w:color="auto"/>
            </w:tcBorders>
            <w:hideMark/>
          </w:tcPr>
          <w:p w14:paraId="4A97816F" w14:textId="77777777" w:rsidR="00FC7A68" w:rsidRDefault="00FC7A68" w:rsidP="00FC7A68">
            <w:pPr>
              <w:pStyle w:val="RepTableSmall"/>
              <w:keepNext/>
              <w:rPr>
                <w:szCs w:val="16"/>
                <w:lang w:val="en-GB"/>
              </w:rPr>
            </w:pPr>
            <w:r>
              <w:rPr>
                <w:color w:val="000000"/>
                <w:sz w:val="18"/>
                <w:szCs w:val="18"/>
                <w:lang w:val="de-DE"/>
              </w:rPr>
              <w:t>a) 0.100 / 0.150</w:t>
            </w:r>
            <w:r>
              <w:rPr>
                <w:color w:val="000000"/>
                <w:sz w:val="18"/>
                <w:szCs w:val="18"/>
                <w:lang w:val="de-DE"/>
              </w:rPr>
              <w:br/>
              <w:t>b) 0.100 / 0.150</w:t>
            </w:r>
          </w:p>
        </w:tc>
        <w:tc>
          <w:tcPr>
            <w:tcW w:w="0" w:type="auto"/>
            <w:tcBorders>
              <w:top w:val="single" w:sz="4" w:space="0" w:color="auto"/>
              <w:left w:val="single" w:sz="4" w:space="0" w:color="auto"/>
              <w:bottom w:val="single" w:sz="4" w:space="0" w:color="auto"/>
              <w:right w:val="single" w:sz="4" w:space="0" w:color="auto"/>
            </w:tcBorders>
            <w:hideMark/>
          </w:tcPr>
          <w:p w14:paraId="314D5199" w14:textId="77777777" w:rsidR="00FC7A68" w:rsidRDefault="00FC7A68" w:rsidP="00FC7A68">
            <w:pPr>
              <w:pStyle w:val="RepTableSmall"/>
              <w:keepNext/>
              <w:rPr>
                <w:szCs w:val="16"/>
                <w:lang w:val="en-GB"/>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7E401EFD" w14:textId="77777777" w:rsidR="00FC7A68" w:rsidRDefault="00FC7A68" w:rsidP="00FC7A68">
            <w:pPr>
              <w:pStyle w:val="RepTableSmall"/>
              <w:keepNext/>
              <w:rPr>
                <w:szCs w:val="16"/>
                <w:lang w:val="en-GB"/>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7CF1C9E4"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56393CD1"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445F080E"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56A5916B"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57684E90"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0D0DAF23"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0210C033"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3137401" w14:textId="77777777" w:rsidR="00FC7A68" w:rsidRDefault="00FC7A68" w:rsidP="00FC7A68">
            <w:pPr>
              <w:pStyle w:val="RepTableSmall"/>
              <w:keepNext/>
              <w:rPr>
                <w:szCs w:val="16"/>
                <w:lang w:val="en-GB"/>
              </w:rPr>
            </w:pPr>
          </w:p>
        </w:tc>
      </w:tr>
      <w:tr w:rsidR="00CE7CB0" w14:paraId="62C75F65" w14:textId="7538DC93" w:rsidTr="00627017">
        <w:tc>
          <w:tcPr>
            <w:tcW w:w="0" w:type="auto"/>
            <w:tcBorders>
              <w:top w:val="single" w:sz="4" w:space="0" w:color="auto"/>
              <w:left w:val="single" w:sz="4" w:space="0" w:color="auto"/>
              <w:bottom w:val="single" w:sz="4" w:space="0" w:color="auto"/>
              <w:right w:val="single" w:sz="4" w:space="0" w:color="auto"/>
            </w:tcBorders>
            <w:hideMark/>
          </w:tcPr>
          <w:p w14:paraId="0C2507CC" w14:textId="77777777" w:rsidR="00FC7A68" w:rsidRDefault="00FC7A68" w:rsidP="00FC7A68">
            <w:pPr>
              <w:pStyle w:val="RepTableSmall"/>
              <w:rPr>
                <w:spacing w:val="-1"/>
                <w:szCs w:val="16"/>
                <w:lang w:val="en-GB"/>
              </w:rPr>
            </w:pPr>
            <w:r>
              <w:rPr>
                <w:spacing w:val="-1"/>
                <w:szCs w:val="16"/>
                <w:lang w:val="de-DE"/>
              </w:rPr>
              <w:t>11</w:t>
            </w:r>
          </w:p>
        </w:tc>
        <w:tc>
          <w:tcPr>
            <w:tcW w:w="0" w:type="auto"/>
            <w:tcBorders>
              <w:top w:val="single" w:sz="4" w:space="0" w:color="auto"/>
              <w:left w:val="single" w:sz="4" w:space="0" w:color="auto"/>
              <w:bottom w:val="single" w:sz="4" w:space="0" w:color="auto"/>
              <w:right w:val="single" w:sz="4" w:space="0" w:color="auto"/>
            </w:tcBorders>
            <w:hideMark/>
          </w:tcPr>
          <w:p w14:paraId="03A8D336" w14:textId="77777777" w:rsidR="00FC7A68" w:rsidRDefault="00FC7A68" w:rsidP="00FC7A68">
            <w:pPr>
              <w:pStyle w:val="RepTableSmall"/>
              <w:rPr>
                <w:spacing w:val="-1"/>
                <w:szCs w:val="16"/>
                <w:lang w:val="en-GB"/>
              </w:rPr>
            </w:pPr>
            <w:r>
              <w:rPr>
                <w:color w:val="000000"/>
                <w:sz w:val="18"/>
                <w:szCs w:val="18"/>
                <w:lang w:val="de-DE"/>
              </w:rPr>
              <w:t>CZ</w:t>
            </w:r>
          </w:p>
        </w:tc>
        <w:tc>
          <w:tcPr>
            <w:tcW w:w="0" w:type="auto"/>
            <w:tcBorders>
              <w:top w:val="single" w:sz="4" w:space="0" w:color="auto"/>
              <w:left w:val="single" w:sz="4" w:space="0" w:color="auto"/>
              <w:bottom w:val="single" w:sz="4" w:space="0" w:color="auto"/>
              <w:right w:val="single" w:sz="4" w:space="0" w:color="auto"/>
            </w:tcBorders>
            <w:hideMark/>
          </w:tcPr>
          <w:p w14:paraId="7EBB77A2" w14:textId="77777777" w:rsidR="00FC7A68" w:rsidRDefault="00FC7A68" w:rsidP="00FC7A68">
            <w:pPr>
              <w:pStyle w:val="RepTableSmall"/>
              <w:rPr>
                <w:szCs w:val="16"/>
                <w:lang w:val="en-GB"/>
              </w:rPr>
            </w:pPr>
            <w:r>
              <w:rPr>
                <w:color w:val="000000"/>
                <w:sz w:val="18"/>
                <w:szCs w:val="18"/>
                <w:lang w:val="de-DE"/>
              </w:rPr>
              <w:t>oat</w:t>
            </w:r>
            <w:r>
              <w:rPr>
                <w:color w:val="000000"/>
                <w:sz w:val="18"/>
                <w:szCs w:val="18"/>
                <w:lang w:val="de-DE"/>
              </w:rPr>
              <w:br/>
              <w:t>AVESA</w:t>
            </w:r>
          </w:p>
        </w:tc>
        <w:tc>
          <w:tcPr>
            <w:tcW w:w="0" w:type="auto"/>
            <w:tcBorders>
              <w:top w:val="single" w:sz="4" w:space="0" w:color="auto"/>
              <w:left w:val="single" w:sz="4" w:space="0" w:color="auto"/>
              <w:bottom w:val="single" w:sz="4" w:space="0" w:color="auto"/>
              <w:right w:val="single" w:sz="4" w:space="0" w:color="auto"/>
            </w:tcBorders>
            <w:hideMark/>
          </w:tcPr>
          <w:p w14:paraId="78E98AD1" w14:textId="77777777" w:rsidR="00FC7A68" w:rsidRDefault="00FC7A68" w:rsidP="00FC7A68">
            <w:pPr>
              <w:pStyle w:val="RepTableSmall"/>
              <w:rPr>
                <w:szCs w:val="16"/>
                <w:lang w:val="en-GB"/>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327F75A1" w14:textId="77777777" w:rsidR="00FC7A68" w:rsidRPr="00492207" w:rsidRDefault="00FC7A68" w:rsidP="00FC7A68">
            <w:pPr>
              <w:pStyle w:val="RepTableSmall"/>
              <w:rPr>
                <w:color w:val="000000"/>
                <w:sz w:val="18"/>
                <w:szCs w:val="18"/>
              </w:rPr>
            </w:pPr>
            <w:r w:rsidRPr="00492207">
              <w:rPr>
                <w:color w:val="000000"/>
                <w:sz w:val="18"/>
                <w:szCs w:val="18"/>
              </w:rPr>
              <w:t>Blumeria graminis - ERYSGR</w:t>
            </w:r>
          </w:p>
          <w:p w14:paraId="5ED06526" w14:textId="77777777" w:rsidR="00FC7A68" w:rsidRDefault="00FC7A68" w:rsidP="00FC7A68">
            <w:pPr>
              <w:pStyle w:val="RepTableSmall"/>
              <w:rPr>
                <w:szCs w:val="16"/>
                <w:lang w:val="en-GB"/>
              </w:rPr>
            </w:pPr>
            <w:r w:rsidRPr="00492207">
              <w:rPr>
                <w:color w:val="000000"/>
                <w:sz w:val="18"/>
                <w:szCs w:val="18"/>
              </w:rPr>
              <w:t>Puccinia coronata - PUCCCA</w:t>
            </w:r>
          </w:p>
        </w:tc>
        <w:tc>
          <w:tcPr>
            <w:tcW w:w="0" w:type="auto"/>
            <w:tcBorders>
              <w:top w:val="single" w:sz="4" w:space="0" w:color="auto"/>
              <w:left w:val="single" w:sz="4" w:space="0" w:color="auto"/>
              <w:bottom w:val="single" w:sz="4" w:space="0" w:color="auto"/>
              <w:right w:val="single" w:sz="4" w:space="0" w:color="auto"/>
            </w:tcBorders>
            <w:hideMark/>
          </w:tcPr>
          <w:p w14:paraId="7BC53D77" w14:textId="77777777" w:rsidR="00FC7A68" w:rsidRDefault="00FC7A68" w:rsidP="00FC7A68">
            <w:pPr>
              <w:pStyle w:val="RepTableSmall"/>
              <w:rPr>
                <w:szCs w:val="16"/>
                <w:lang w:val="en-GB"/>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58D3F631" w14:textId="77777777" w:rsidR="00FC7A68" w:rsidRDefault="00FC7A68" w:rsidP="00FC7A68">
            <w:pPr>
              <w:pStyle w:val="RepTableSmall"/>
              <w:rPr>
                <w:szCs w:val="16"/>
                <w:lang w:val="en-GB"/>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5698884C" w14:textId="77777777" w:rsidR="00FC7A68" w:rsidRDefault="00FC7A68" w:rsidP="00FC7A68">
            <w:pPr>
              <w:pStyle w:val="RepTableSmall"/>
              <w:rPr>
                <w:szCs w:val="16"/>
                <w:lang w:val="en-GB"/>
              </w:rPr>
            </w:pPr>
            <w:r>
              <w:rPr>
                <w:color w:val="000000"/>
                <w:sz w:val="18"/>
                <w:szCs w:val="18"/>
                <w:lang w:val="de-DE"/>
              </w:rPr>
              <w:t>a) 1</w:t>
            </w:r>
            <w:r>
              <w:rPr>
                <w:color w:val="000000"/>
                <w:sz w:val="18"/>
                <w:szCs w:val="18"/>
                <w:lang w:val="de-DE"/>
              </w:rPr>
              <w:br/>
              <w:t>b) 1</w:t>
            </w:r>
          </w:p>
        </w:tc>
        <w:tc>
          <w:tcPr>
            <w:tcW w:w="0" w:type="auto"/>
            <w:tcBorders>
              <w:top w:val="single" w:sz="4" w:space="0" w:color="auto"/>
              <w:left w:val="single" w:sz="4" w:space="0" w:color="auto"/>
              <w:bottom w:val="single" w:sz="4" w:space="0" w:color="auto"/>
              <w:right w:val="single" w:sz="4" w:space="0" w:color="auto"/>
            </w:tcBorders>
          </w:tcPr>
          <w:p w14:paraId="34B1A4ED"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hideMark/>
          </w:tcPr>
          <w:p w14:paraId="1E10DF5B" w14:textId="77777777" w:rsidR="00FC7A68" w:rsidRDefault="00FC7A68" w:rsidP="00FC7A68">
            <w:pPr>
              <w:pStyle w:val="RepTableSmall"/>
              <w:rPr>
                <w:szCs w:val="16"/>
                <w:lang w:val="en-GB"/>
              </w:rPr>
            </w:pPr>
            <w:r>
              <w:rPr>
                <w:color w:val="000000"/>
                <w:sz w:val="18"/>
                <w:szCs w:val="18"/>
                <w:lang w:val="de-DE"/>
              </w:rPr>
              <w:t>a) 1.20 - 2.00</w:t>
            </w:r>
            <w:r>
              <w:rPr>
                <w:color w:val="000000"/>
                <w:sz w:val="18"/>
                <w:szCs w:val="18"/>
                <w:lang w:val="de-DE"/>
              </w:rPr>
              <w:br/>
              <w:t>b) 1.20 - 2.00</w:t>
            </w:r>
          </w:p>
        </w:tc>
        <w:tc>
          <w:tcPr>
            <w:tcW w:w="0" w:type="auto"/>
            <w:tcBorders>
              <w:top w:val="single" w:sz="4" w:space="0" w:color="auto"/>
              <w:left w:val="single" w:sz="4" w:space="0" w:color="auto"/>
              <w:bottom w:val="single" w:sz="4" w:space="0" w:color="auto"/>
              <w:right w:val="single" w:sz="4" w:space="0" w:color="auto"/>
            </w:tcBorders>
            <w:hideMark/>
          </w:tcPr>
          <w:p w14:paraId="085575F0" w14:textId="77777777" w:rsidR="00FC7A68" w:rsidRDefault="00FC7A68" w:rsidP="00FC7A68">
            <w:pPr>
              <w:pStyle w:val="RepTableSmall"/>
              <w:rPr>
                <w:szCs w:val="16"/>
                <w:lang w:val="en-GB"/>
              </w:rPr>
            </w:pPr>
            <w:r>
              <w:rPr>
                <w:color w:val="000000"/>
                <w:sz w:val="18"/>
                <w:szCs w:val="18"/>
                <w:lang w:val="de-DE"/>
              </w:rPr>
              <w:t>a) 0.100 / 0.150</w:t>
            </w:r>
            <w:r>
              <w:rPr>
                <w:color w:val="000000"/>
                <w:sz w:val="18"/>
                <w:szCs w:val="18"/>
                <w:lang w:val="de-DE"/>
              </w:rPr>
              <w:br/>
              <w:t>b) 0.100 / 0.150</w:t>
            </w:r>
          </w:p>
        </w:tc>
        <w:tc>
          <w:tcPr>
            <w:tcW w:w="0" w:type="auto"/>
            <w:tcBorders>
              <w:top w:val="single" w:sz="4" w:space="0" w:color="auto"/>
              <w:left w:val="single" w:sz="4" w:space="0" w:color="auto"/>
              <w:bottom w:val="single" w:sz="4" w:space="0" w:color="auto"/>
              <w:right w:val="single" w:sz="4" w:space="0" w:color="auto"/>
            </w:tcBorders>
            <w:hideMark/>
          </w:tcPr>
          <w:p w14:paraId="519A1D6D" w14:textId="77777777" w:rsidR="00FC7A68" w:rsidRDefault="00FC7A68" w:rsidP="00FC7A68">
            <w:pPr>
              <w:pStyle w:val="RepTableSmall"/>
              <w:rPr>
                <w:szCs w:val="16"/>
                <w:lang w:val="en-GB"/>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2067C301" w14:textId="77777777" w:rsidR="00FC7A68" w:rsidRDefault="00FC7A68" w:rsidP="00FC7A68">
            <w:pPr>
              <w:pStyle w:val="RepTableSmall"/>
              <w:rPr>
                <w:szCs w:val="16"/>
                <w:lang w:val="en-GB"/>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47B0C020"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A0A2EBD"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4952C781"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59510B26"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C2696FF"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344E530D"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313B3312"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172FCAC" w14:textId="77777777" w:rsidR="00FC7A68" w:rsidRDefault="00FC7A68" w:rsidP="00FC7A68">
            <w:pPr>
              <w:pStyle w:val="RepTableSmall"/>
              <w:rPr>
                <w:szCs w:val="16"/>
                <w:lang w:val="en-GB"/>
              </w:rPr>
            </w:pPr>
          </w:p>
        </w:tc>
      </w:tr>
      <w:tr w:rsidR="00CE7CB0" w14:paraId="4D177D06" w14:textId="678FFE29" w:rsidTr="00627017">
        <w:tc>
          <w:tcPr>
            <w:tcW w:w="0" w:type="auto"/>
            <w:tcBorders>
              <w:top w:val="single" w:sz="4" w:space="0" w:color="auto"/>
              <w:left w:val="single" w:sz="4" w:space="0" w:color="auto"/>
              <w:bottom w:val="single" w:sz="4" w:space="0" w:color="auto"/>
              <w:right w:val="single" w:sz="4" w:space="0" w:color="auto"/>
            </w:tcBorders>
            <w:hideMark/>
          </w:tcPr>
          <w:p w14:paraId="15A38261" w14:textId="77777777" w:rsidR="00FC7A68" w:rsidRDefault="00FC7A68" w:rsidP="00FC7A68">
            <w:pPr>
              <w:pStyle w:val="RepTableSmall"/>
              <w:rPr>
                <w:spacing w:val="-1"/>
                <w:szCs w:val="16"/>
                <w:lang w:val="en-GB"/>
              </w:rPr>
            </w:pPr>
            <w:r>
              <w:rPr>
                <w:spacing w:val="-1"/>
                <w:szCs w:val="16"/>
                <w:lang w:val="de-DE"/>
              </w:rPr>
              <w:t>12</w:t>
            </w:r>
          </w:p>
        </w:tc>
        <w:tc>
          <w:tcPr>
            <w:tcW w:w="0" w:type="auto"/>
            <w:tcBorders>
              <w:top w:val="single" w:sz="4" w:space="0" w:color="auto"/>
              <w:left w:val="single" w:sz="4" w:space="0" w:color="auto"/>
              <w:bottom w:val="single" w:sz="4" w:space="0" w:color="auto"/>
              <w:right w:val="single" w:sz="4" w:space="0" w:color="auto"/>
            </w:tcBorders>
            <w:hideMark/>
          </w:tcPr>
          <w:p w14:paraId="3CCD912A" w14:textId="77777777" w:rsidR="00FC7A68" w:rsidRDefault="00FC7A68" w:rsidP="00FC7A68">
            <w:pPr>
              <w:pStyle w:val="RepTableSmall"/>
              <w:rPr>
                <w:spacing w:val="-1"/>
                <w:szCs w:val="16"/>
                <w:lang w:val="en-GB"/>
              </w:rPr>
            </w:pPr>
            <w:r>
              <w:rPr>
                <w:color w:val="000000"/>
                <w:sz w:val="18"/>
                <w:szCs w:val="18"/>
                <w:lang w:val="de-DE"/>
              </w:rPr>
              <w:t>HU, SI, SK, RO</w:t>
            </w:r>
          </w:p>
        </w:tc>
        <w:tc>
          <w:tcPr>
            <w:tcW w:w="0" w:type="auto"/>
            <w:tcBorders>
              <w:top w:val="single" w:sz="4" w:space="0" w:color="auto"/>
              <w:left w:val="single" w:sz="4" w:space="0" w:color="auto"/>
              <w:bottom w:val="single" w:sz="4" w:space="0" w:color="auto"/>
              <w:right w:val="single" w:sz="4" w:space="0" w:color="auto"/>
            </w:tcBorders>
            <w:hideMark/>
          </w:tcPr>
          <w:p w14:paraId="3546CE80" w14:textId="77777777" w:rsidR="00FC7A68" w:rsidRPr="003C03E9" w:rsidRDefault="00FC7A68" w:rsidP="00FC7A68">
            <w:pPr>
              <w:pStyle w:val="RepTableSmall"/>
              <w:rPr>
                <w:szCs w:val="16"/>
                <w:lang w:val="pl-PL"/>
              </w:rPr>
            </w:pPr>
            <w:r w:rsidRPr="003C03E9">
              <w:rPr>
                <w:color w:val="000000"/>
                <w:sz w:val="18"/>
                <w:szCs w:val="18"/>
                <w:lang w:val="pl-PL"/>
              </w:rPr>
              <w:t>wheat</w:t>
            </w:r>
            <w:r w:rsidRPr="003C03E9">
              <w:rPr>
                <w:color w:val="000000"/>
                <w:sz w:val="18"/>
                <w:szCs w:val="18"/>
                <w:lang w:val="pl-PL"/>
              </w:rPr>
              <w:br/>
              <w:t>TRZAW, TRZAS</w:t>
            </w:r>
            <w:r w:rsidRPr="003C03E9">
              <w:rPr>
                <w:color w:val="000000"/>
                <w:sz w:val="18"/>
                <w:szCs w:val="18"/>
                <w:lang w:val="pl-PL"/>
              </w:rPr>
              <w:br/>
              <w:t>TRZDU, TRZSP</w:t>
            </w:r>
          </w:p>
        </w:tc>
        <w:tc>
          <w:tcPr>
            <w:tcW w:w="0" w:type="auto"/>
            <w:tcBorders>
              <w:top w:val="single" w:sz="4" w:space="0" w:color="auto"/>
              <w:left w:val="single" w:sz="4" w:space="0" w:color="auto"/>
              <w:bottom w:val="single" w:sz="4" w:space="0" w:color="auto"/>
              <w:right w:val="single" w:sz="4" w:space="0" w:color="auto"/>
            </w:tcBorders>
            <w:hideMark/>
          </w:tcPr>
          <w:p w14:paraId="786CE0F5" w14:textId="77777777" w:rsidR="00FC7A68" w:rsidRDefault="00FC7A68" w:rsidP="00FC7A68">
            <w:pPr>
              <w:pStyle w:val="RepTableSmall"/>
              <w:rPr>
                <w:szCs w:val="16"/>
                <w:lang w:val="en-GB"/>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03FF1CC1" w14:textId="77777777" w:rsidR="00FC7A68" w:rsidRDefault="00FC7A68" w:rsidP="00FC7A68">
            <w:pPr>
              <w:pStyle w:val="RepTableSmall"/>
              <w:rPr>
                <w:szCs w:val="16"/>
                <w:lang w:val="en-GB"/>
              </w:rPr>
            </w:pPr>
            <w:r w:rsidRPr="00492207">
              <w:rPr>
                <w:color w:val="000000"/>
                <w:sz w:val="18"/>
                <w:szCs w:val="18"/>
              </w:rPr>
              <w:t>Zymoseptoria tritici - SEPTTR</w:t>
            </w:r>
            <w:r w:rsidRPr="00492207">
              <w:rPr>
                <w:color w:val="000000"/>
                <w:sz w:val="18"/>
                <w:szCs w:val="18"/>
              </w:rPr>
              <w:br/>
              <w:t>Puccinia triticina - PUCCRT</w:t>
            </w:r>
            <w:r w:rsidRPr="00492207">
              <w:rPr>
                <w:color w:val="000000"/>
                <w:sz w:val="18"/>
                <w:szCs w:val="18"/>
              </w:rPr>
              <w:br/>
              <w:t>Puccinia striiformis - PUCCST</w:t>
            </w:r>
          </w:p>
        </w:tc>
        <w:tc>
          <w:tcPr>
            <w:tcW w:w="0" w:type="auto"/>
            <w:tcBorders>
              <w:top w:val="single" w:sz="4" w:space="0" w:color="auto"/>
              <w:left w:val="single" w:sz="4" w:space="0" w:color="auto"/>
              <w:bottom w:val="single" w:sz="4" w:space="0" w:color="auto"/>
              <w:right w:val="single" w:sz="4" w:space="0" w:color="auto"/>
            </w:tcBorders>
            <w:hideMark/>
          </w:tcPr>
          <w:p w14:paraId="6CFED46E" w14:textId="77777777" w:rsidR="00FC7A68" w:rsidRDefault="00FC7A68" w:rsidP="00FC7A68">
            <w:pPr>
              <w:pStyle w:val="RepTableSmall"/>
              <w:rPr>
                <w:szCs w:val="16"/>
                <w:lang w:val="en-GB"/>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07286245" w14:textId="77777777" w:rsidR="00FC7A68" w:rsidRDefault="00FC7A68" w:rsidP="00FC7A68">
            <w:pPr>
              <w:pStyle w:val="RepTableSmall"/>
              <w:rPr>
                <w:szCs w:val="16"/>
                <w:lang w:val="en-GB"/>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334EB088" w14:textId="77777777" w:rsidR="00FC7A68" w:rsidRDefault="00FC7A68" w:rsidP="00FC7A68">
            <w:pPr>
              <w:pStyle w:val="RepTableSmall"/>
              <w:rPr>
                <w:szCs w:val="16"/>
                <w:lang w:val="en-GB"/>
              </w:rPr>
            </w:pPr>
            <w:r>
              <w:rPr>
                <w:color w:val="000000"/>
                <w:sz w:val="18"/>
                <w:szCs w:val="18"/>
                <w:lang w:val="de-DE"/>
              </w:rPr>
              <w:t>a) 2</w:t>
            </w:r>
            <w:r>
              <w:rPr>
                <w:color w:val="000000"/>
                <w:sz w:val="18"/>
                <w:szCs w:val="18"/>
                <w:lang w:val="de-DE"/>
              </w:rPr>
              <w:br/>
              <w:t>b) 2</w:t>
            </w:r>
          </w:p>
        </w:tc>
        <w:tc>
          <w:tcPr>
            <w:tcW w:w="0" w:type="auto"/>
            <w:tcBorders>
              <w:top w:val="single" w:sz="4" w:space="0" w:color="auto"/>
              <w:left w:val="single" w:sz="4" w:space="0" w:color="auto"/>
              <w:bottom w:val="single" w:sz="4" w:space="0" w:color="auto"/>
              <w:right w:val="single" w:sz="4" w:space="0" w:color="auto"/>
            </w:tcBorders>
            <w:hideMark/>
          </w:tcPr>
          <w:p w14:paraId="6CD72579" w14:textId="77777777" w:rsidR="00FC7A68" w:rsidRDefault="00FC7A68" w:rsidP="00FC7A68">
            <w:pPr>
              <w:pStyle w:val="RepTableSmall"/>
              <w:rPr>
                <w:szCs w:val="16"/>
                <w:lang w:val="en-GB"/>
              </w:rPr>
            </w:pPr>
            <w:r>
              <w:rPr>
                <w:color w:val="000000"/>
                <w:sz w:val="18"/>
                <w:szCs w:val="18"/>
                <w:lang w:val="de-DE"/>
              </w:rPr>
              <w:t>21</w:t>
            </w:r>
          </w:p>
        </w:tc>
        <w:tc>
          <w:tcPr>
            <w:tcW w:w="0" w:type="auto"/>
            <w:tcBorders>
              <w:top w:val="single" w:sz="4" w:space="0" w:color="auto"/>
              <w:left w:val="single" w:sz="4" w:space="0" w:color="auto"/>
              <w:bottom w:val="single" w:sz="4" w:space="0" w:color="auto"/>
              <w:right w:val="single" w:sz="4" w:space="0" w:color="auto"/>
            </w:tcBorders>
            <w:hideMark/>
          </w:tcPr>
          <w:p w14:paraId="14C58B85" w14:textId="77777777" w:rsidR="00FC7A68" w:rsidRDefault="00FC7A68" w:rsidP="00FC7A68">
            <w:pPr>
              <w:pStyle w:val="RepTableSmall"/>
              <w:rPr>
                <w:szCs w:val="16"/>
                <w:lang w:val="en-GB"/>
              </w:rPr>
            </w:pPr>
            <w:r>
              <w:rPr>
                <w:color w:val="000000"/>
                <w:sz w:val="18"/>
                <w:szCs w:val="18"/>
                <w:lang w:val="de-DE"/>
              </w:rPr>
              <w:t>a) 1.00 - 2.00</w:t>
            </w:r>
            <w:r>
              <w:rPr>
                <w:color w:val="000000"/>
                <w:sz w:val="18"/>
                <w:szCs w:val="18"/>
                <w:lang w:val="de-DE"/>
              </w:rPr>
              <w:br/>
              <w:t>b) 1.00 - 4.00</w:t>
            </w:r>
          </w:p>
        </w:tc>
        <w:tc>
          <w:tcPr>
            <w:tcW w:w="0" w:type="auto"/>
            <w:tcBorders>
              <w:top w:val="single" w:sz="4" w:space="0" w:color="auto"/>
              <w:left w:val="single" w:sz="4" w:space="0" w:color="auto"/>
              <w:bottom w:val="single" w:sz="4" w:space="0" w:color="auto"/>
              <w:right w:val="single" w:sz="4" w:space="0" w:color="auto"/>
            </w:tcBorders>
            <w:hideMark/>
          </w:tcPr>
          <w:p w14:paraId="79862AD4" w14:textId="77777777" w:rsidR="00FC7A68" w:rsidRDefault="00FC7A68" w:rsidP="00FC7A68">
            <w:pPr>
              <w:pStyle w:val="RepTableSmall"/>
              <w:rPr>
                <w:szCs w:val="16"/>
                <w:lang w:val="en-GB"/>
              </w:rPr>
            </w:pPr>
            <w:r>
              <w:rPr>
                <w:color w:val="000000"/>
                <w:sz w:val="18"/>
                <w:szCs w:val="18"/>
                <w:lang w:val="de-DE"/>
              </w:rPr>
              <w:t>a) 0.100 / 0.150</w:t>
            </w:r>
            <w:r>
              <w:rPr>
                <w:color w:val="000000"/>
                <w:sz w:val="18"/>
                <w:szCs w:val="18"/>
                <w:lang w:val="de-DE"/>
              </w:rPr>
              <w:br/>
              <w:t>b) 0.200 / 0.300</w:t>
            </w:r>
          </w:p>
        </w:tc>
        <w:tc>
          <w:tcPr>
            <w:tcW w:w="0" w:type="auto"/>
            <w:tcBorders>
              <w:top w:val="single" w:sz="4" w:space="0" w:color="auto"/>
              <w:left w:val="single" w:sz="4" w:space="0" w:color="auto"/>
              <w:bottom w:val="single" w:sz="4" w:space="0" w:color="auto"/>
              <w:right w:val="single" w:sz="4" w:space="0" w:color="auto"/>
            </w:tcBorders>
            <w:hideMark/>
          </w:tcPr>
          <w:p w14:paraId="2B260C17" w14:textId="77777777" w:rsidR="00FC7A68" w:rsidRDefault="00FC7A68" w:rsidP="00FC7A68">
            <w:pPr>
              <w:pStyle w:val="RepTableSmall"/>
              <w:rPr>
                <w:szCs w:val="16"/>
                <w:lang w:val="en-GB"/>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6DAA989B" w14:textId="77777777" w:rsidR="00FC7A68" w:rsidRDefault="00FC7A68" w:rsidP="00FC7A68">
            <w:pPr>
              <w:pStyle w:val="RepTableSmall"/>
              <w:rPr>
                <w:szCs w:val="16"/>
                <w:lang w:val="en-GB"/>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44AD72BC"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D9CE3D5"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50976224"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65352506"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FBEF837"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3A66D35A"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0483433A" w14:textId="77777777" w:rsidR="00FC7A68" w:rsidRDefault="00FC7A68" w:rsidP="00FC7A68">
            <w:pPr>
              <w:pStyle w:val="RepTableSmall"/>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A1658E4" w14:textId="77777777" w:rsidR="00FC7A68" w:rsidRDefault="00FC7A68" w:rsidP="00FC7A68">
            <w:pPr>
              <w:pStyle w:val="RepTableSmall"/>
              <w:rPr>
                <w:szCs w:val="16"/>
                <w:lang w:val="en-GB"/>
              </w:rPr>
            </w:pPr>
          </w:p>
        </w:tc>
      </w:tr>
      <w:tr w:rsidR="00CE7CB0" w14:paraId="03F67A1A" w14:textId="2C73B9D1" w:rsidTr="00627017">
        <w:tc>
          <w:tcPr>
            <w:tcW w:w="0" w:type="auto"/>
            <w:tcBorders>
              <w:top w:val="single" w:sz="4" w:space="0" w:color="auto"/>
              <w:left w:val="single" w:sz="4" w:space="0" w:color="auto"/>
              <w:bottom w:val="single" w:sz="4" w:space="0" w:color="auto"/>
              <w:right w:val="single" w:sz="4" w:space="0" w:color="auto"/>
            </w:tcBorders>
            <w:hideMark/>
          </w:tcPr>
          <w:p w14:paraId="19242A25" w14:textId="77777777" w:rsidR="00FC7A68" w:rsidRDefault="00FC7A68" w:rsidP="00FC7A68">
            <w:pPr>
              <w:pStyle w:val="RepTableSmall"/>
              <w:keepNext/>
              <w:rPr>
                <w:spacing w:val="-1"/>
                <w:szCs w:val="16"/>
                <w:lang w:val="en-GB"/>
              </w:rPr>
            </w:pPr>
            <w:r>
              <w:rPr>
                <w:spacing w:val="-1"/>
                <w:szCs w:val="16"/>
                <w:lang w:val="de-DE"/>
              </w:rPr>
              <w:t>13</w:t>
            </w:r>
          </w:p>
        </w:tc>
        <w:tc>
          <w:tcPr>
            <w:tcW w:w="0" w:type="auto"/>
            <w:tcBorders>
              <w:top w:val="single" w:sz="4" w:space="0" w:color="auto"/>
              <w:left w:val="single" w:sz="4" w:space="0" w:color="auto"/>
              <w:bottom w:val="single" w:sz="4" w:space="0" w:color="auto"/>
              <w:right w:val="single" w:sz="4" w:space="0" w:color="auto"/>
            </w:tcBorders>
            <w:hideMark/>
          </w:tcPr>
          <w:p w14:paraId="1B71948D" w14:textId="77777777" w:rsidR="00FC7A68" w:rsidRDefault="00FC7A68" w:rsidP="00FC7A68">
            <w:pPr>
              <w:pStyle w:val="RepTableSmall"/>
              <w:keepNext/>
              <w:rPr>
                <w:spacing w:val="-1"/>
                <w:szCs w:val="16"/>
                <w:lang w:val="en-GB"/>
              </w:rPr>
            </w:pPr>
            <w:r>
              <w:rPr>
                <w:color w:val="000000"/>
                <w:sz w:val="18"/>
                <w:szCs w:val="18"/>
                <w:lang w:val="de-DE"/>
              </w:rPr>
              <w:t>HU, SI, SK, RO</w:t>
            </w:r>
          </w:p>
        </w:tc>
        <w:tc>
          <w:tcPr>
            <w:tcW w:w="0" w:type="auto"/>
            <w:tcBorders>
              <w:top w:val="single" w:sz="4" w:space="0" w:color="auto"/>
              <w:left w:val="single" w:sz="4" w:space="0" w:color="auto"/>
              <w:bottom w:val="single" w:sz="4" w:space="0" w:color="auto"/>
              <w:right w:val="single" w:sz="4" w:space="0" w:color="auto"/>
            </w:tcBorders>
            <w:hideMark/>
          </w:tcPr>
          <w:p w14:paraId="6F5CA728" w14:textId="77777777" w:rsidR="00FC7A68" w:rsidRDefault="00FC7A68" w:rsidP="00FC7A68">
            <w:pPr>
              <w:pStyle w:val="RepTableSmall"/>
              <w:keepNext/>
              <w:rPr>
                <w:szCs w:val="16"/>
                <w:lang w:val="en-GB"/>
              </w:rPr>
            </w:pPr>
            <w:r>
              <w:rPr>
                <w:color w:val="000000"/>
                <w:sz w:val="18"/>
                <w:szCs w:val="18"/>
                <w:lang w:val="de-DE"/>
              </w:rPr>
              <w:t>barley</w:t>
            </w:r>
            <w:r>
              <w:rPr>
                <w:color w:val="000000"/>
                <w:sz w:val="18"/>
                <w:szCs w:val="18"/>
                <w:lang w:val="de-DE"/>
              </w:rPr>
              <w:br/>
              <w:t xml:space="preserve">HORVW </w:t>
            </w:r>
            <w:r>
              <w:rPr>
                <w:color w:val="000000"/>
                <w:sz w:val="18"/>
                <w:szCs w:val="18"/>
                <w:lang w:val="de-DE"/>
              </w:rPr>
              <w:br/>
              <w:t>HORVS</w:t>
            </w:r>
          </w:p>
        </w:tc>
        <w:tc>
          <w:tcPr>
            <w:tcW w:w="0" w:type="auto"/>
            <w:tcBorders>
              <w:top w:val="single" w:sz="4" w:space="0" w:color="auto"/>
              <w:left w:val="single" w:sz="4" w:space="0" w:color="auto"/>
              <w:bottom w:val="single" w:sz="4" w:space="0" w:color="auto"/>
              <w:right w:val="single" w:sz="4" w:space="0" w:color="auto"/>
            </w:tcBorders>
            <w:hideMark/>
          </w:tcPr>
          <w:p w14:paraId="5085A3BD" w14:textId="77777777" w:rsidR="00FC7A68" w:rsidRDefault="00FC7A68" w:rsidP="00FC7A68">
            <w:pPr>
              <w:pStyle w:val="RepTableSmall"/>
              <w:keepNext/>
              <w:rPr>
                <w:szCs w:val="16"/>
                <w:lang w:val="en-GB"/>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31E76D64" w14:textId="77777777" w:rsidR="00FC7A68" w:rsidRDefault="00FC7A68" w:rsidP="00FC7A68">
            <w:pPr>
              <w:pStyle w:val="RepTableSmall"/>
              <w:keepNext/>
              <w:rPr>
                <w:color w:val="000000"/>
                <w:sz w:val="18"/>
                <w:szCs w:val="18"/>
                <w:lang w:val="fr-FR"/>
              </w:rPr>
            </w:pPr>
            <w:r>
              <w:rPr>
                <w:color w:val="000000"/>
                <w:sz w:val="18"/>
                <w:szCs w:val="18"/>
                <w:lang w:val="fr-FR"/>
              </w:rPr>
              <w:t>Pyrenophora teres - PYRNTE</w:t>
            </w:r>
            <w:r>
              <w:rPr>
                <w:color w:val="000000"/>
                <w:sz w:val="18"/>
                <w:szCs w:val="18"/>
                <w:lang w:val="fr-FR"/>
              </w:rPr>
              <w:br/>
              <w:t>Puccinia hordei – PUCCHD</w:t>
            </w:r>
          </w:p>
          <w:p w14:paraId="165C661B" w14:textId="77777777" w:rsidR="00FC7A68" w:rsidRDefault="00FC7A68" w:rsidP="00FC7A68">
            <w:pPr>
              <w:pStyle w:val="RepTableSmall"/>
              <w:keepNext/>
              <w:rPr>
                <w:szCs w:val="16"/>
                <w:lang w:val="fr-FR"/>
              </w:rPr>
            </w:pPr>
            <w:r>
              <w:rPr>
                <w:color w:val="000000"/>
                <w:sz w:val="18"/>
                <w:szCs w:val="18"/>
                <w:lang w:val="fr-FR"/>
              </w:rPr>
              <w:t>Blumeria graminis - ERYSGR</w:t>
            </w:r>
          </w:p>
        </w:tc>
        <w:tc>
          <w:tcPr>
            <w:tcW w:w="0" w:type="auto"/>
            <w:tcBorders>
              <w:top w:val="single" w:sz="4" w:space="0" w:color="auto"/>
              <w:left w:val="single" w:sz="4" w:space="0" w:color="auto"/>
              <w:bottom w:val="single" w:sz="4" w:space="0" w:color="auto"/>
              <w:right w:val="single" w:sz="4" w:space="0" w:color="auto"/>
            </w:tcBorders>
            <w:hideMark/>
          </w:tcPr>
          <w:p w14:paraId="71C5C5F0" w14:textId="77777777" w:rsidR="00FC7A68" w:rsidRDefault="00FC7A68" w:rsidP="00FC7A68">
            <w:pPr>
              <w:pStyle w:val="RepTableSmall"/>
              <w:keepNext/>
              <w:rPr>
                <w:szCs w:val="16"/>
                <w:lang w:val="en-GB"/>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4B4787DD" w14:textId="77777777" w:rsidR="00FC7A68" w:rsidRDefault="00FC7A68" w:rsidP="00FC7A68">
            <w:pPr>
              <w:pStyle w:val="RepTableSmall"/>
              <w:keepNext/>
              <w:rPr>
                <w:szCs w:val="16"/>
                <w:lang w:val="en-GB"/>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123416E9" w14:textId="77777777" w:rsidR="00FC7A68" w:rsidRDefault="00FC7A68" w:rsidP="00FC7A68">
            <w:pPr>
              <w:pStyle w:val="RepTableSmall"/>
              <w:keepNext/>
              <w:rPr>
                <w:szCs w:val="16"/>
                <w:lang w:val="en-GB"/>
              </w:rPr>
            </w:pPr>
            <w:r>
              <w:rPr>
                <w:color w:val="000000"/>
                <w:sz w:val="18"/>
                <w:szCs w:val="18"/>
                <w:lang w:val="de-DE"/>
              </w:rPr>
              <w:t>a) 2</w:t>
            </w:r>
            <w:r>
              <w:rPr>
                <w:color w:val="000000"/>
                <w:sz w:val="18"/>
                <w:szCs w:val="18"/>
                <w:lang w:val="de-DE"/>
              </w:rPr>
              <w:br/>
              <w:t>b) 2</w:t>
            </w:r>
          </w:p>
        </w:tc>
        <w:tc>
          <w:tcPr>
            <w:tcW w:w="0" w:type="auto"/>
            <w:tcBorders>
              <w:top w:val="single" w:sz="4" w:space="0" w:color="auto"/>
              <w:left w:val="single" w:sz="4" w:space="0" w:color="auto"/>
              <w:bottom w:val="single" w:sz="4" w:space="0" w:color="auto"/>
              <w:right w:val="single" w:sz="4" w:space="0" w:color="auto"/>
            </w:tcBorders>
            <w:hideMark/>
          </w:tcPr>
          <w:p w14:paraId="735F9227" w14:textId="77777777" w:rsidR="00FC7A68" w:rsidRDefault="00FC7A68" w:rsidP="00FC7A68">
            <w:pPr>
              <w:pStyle w:val="RepTableSmall"/>
              <w:keepNext/>
              <w:rPr>
                <w:szCs w:val="16"/>
                <w:lang w:val="en-GB"/>
              </w:rPr>
            </w:pPr>
            <w:r>
              <w:rPr>
                <w:color w:val="000000"/>
                <w:sz w:val="18"/>
                <w:szCs w:val="18"/>
                <w:lang w:val="de-DE"/>
              </w:rPr>
              <w:t>21</w:t>
            </w:r>
          </w:p>
        </w:tc>
        <w:tc>
          <w:tcPr>
            <w:tcW w:w="0" w:type="auto"/>
            <w:tcBorders>
              <w:top w:val="single" w:sz="4" w:space="0" w:color="auto"/>
              <w:left w:val="single" w:sz="4" w:space="0" w:color="auto"/>
              <w:bottom w:val="single" w:sz="4" w:space="0" w:color="auto"/>
              <w:right w:val="single" w:sz="4" w:space="0" w:color="auto"/>
            </w:tcBorders>
            <w:hideMark/>
          </w:tcPr>
          <w:p w14:paraId="3476D423" w14:textId="77777777" w:rsidR="00FC7A68" w:rsidRDefault="00FC7A68" w:rsidP="00FC7A68">
            <w:pPr>
              <w:pStyle w:val="RepTableSmall"/>
              <w:keepNext/>
              <w:rPr>
                <w:szCs w:val="16"/>
                <w:lang w:val="en-GB"/>
              </w:rPr>
            </w:pPr>
            <w:r>
              <w:rPr>
                <w:color w:val="000000"/>
                <w:sz w:val="18"/>
                <w:szCs w:val="18"/>
                <w:lang w:val="de-DE"/>
              </w:rPr>
              <w:t>a) 1.00 - 2.00</w:t>
            </w:r>
            <w:r>
              <w:rPr>
                <w:color w:val="000000"/>
                <w:sz w:val="18"/>
                <w:szCs w:val="18"/>
                <w:lang w:val="de-DE"/>
              </w:rPr>
              <w:br/>
              <w:t>b) 1.00 - 4.00</w:t>
            </w:r>
          </w:p>
        </w:tc>
        <w:tc>
          <w:tcPr>
            <w:tcW w:w="0" w:type="auto"/>
            <w:tcBorders>
              <w:top w:val="single" w:sz="4" w:space="0" w:color="auto"/>
              <w:left w:val="single" w:sz="4" w:space="0" w:color="auto"/>
              <w:bottom w:val="single" w:sz="4" w:space="0" w:color="auto"/>
              <w:right w:val="single" w:sz="4" w:space="0" w:color="auto"/>
            </w:tcBorders>
            <w:hideMark/>
          </w:tcPr>
          <w:p w14:paraId="4DB500D4" w14:textId="77777777" w:rsidR="00FC7A68" w:rsidRDefault="00FC7A68" w:rsidP="00FC7A68">
            <w:pPr>
              <w:pStyle w:val="RepTableSmall"/>
              <w:keepNext/>
              <w:rPr>
                <w:szCs w:val="16"/>
                <w:lang w:val="en-GB"/>
              </w:rPr>
            </w:pPr>
            <w:r>
              <w:rPr>
                <w:color w:val="000000"/>
                <w:sz w:val="18"/>
                <w:szCs w:val="18"/>
                <w:lang w:val="de-DE"/>
              </w:rPr>
              <w:t>a) 0.100 / 0.150</w:t>
            </w:r>
            <w:r>
              <w:rPr>
                <w:color w:val="000000"/>
                <w:sz w:val="18"/>
                <w:szCs w:val="18"/>
                <w:lang w:val="de-DE"/>
              </w:rPr>
              <w:br/>
              <w:t>b) 0.200 / 0.300</w:t>
            </w:r>
          </w:p>
        </w:tc>
        <w:tc>
          <w:tcPr>
            <w:tcW w:w="0" w:type="auto"/>
            <w:tcBorders>
              <w:top w:val="single" w:sz="4" w:space="0" w:color="auto"/>
              <w:left w:val="single" w:sz="4" w:space="0" w:color="auto"/>
              <w:bottom w:val="single" w:sz="4" w:space="0" w:color="auto"/>
              <w:right w:val="single" w:sz="4" w:space="0" w:color="auto"/>
            </w:tcBorders>
            <w:hideMark/>
          </w:tcPr>
          <w:p w14:paraId="33EDB51C" w14:textId="77777777" w:rsidR="00FC7A68" w:rsidRDefault="00FC7A68" w:rsidP="00FC7A68">
            <w:pPr>
              <w:pStyle w:val="RepTableSmall"/>
              <w:keepNext/>
              <w:rPr>
                <w:szCs w:val="16"/>
                <w:lang w:val="en-GB"/>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4149C2D2" w14:textId="77777777" w:rsidR="00FC7A68" w:rsidRDefault="00FC7A68" w:rsidP="00FC7A68">
            <w:pPr>
              <w:pStyle w:val="RepTableSmall"/>
              <w:keepNext/>
              <w:rPr>
                <w:szCs w:val="16"/>
                <w:lang w:val="en-GB"/>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45C3CF5A"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36ED2B2F"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247E217"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56A6B92D"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737B366F"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F22A96F"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7C6A8F0C"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EAC5E71" w14:textId="77777777" w:rsidR="00FC7A68" w:rsidRDefault="00FC7A68" w:rsidP="00FC7A68">
            <w:pPr>
              <w:pStyle w:val="RepTableSmall"/>
              <w:keepNext/>
              <w:rPr>
                <w:szCs w:val="16"/>
                <w:lang w:val="en-GB"/>
              </w:rPr>
            </w:pPr>
          </w:p>
        </w:tc>
      </w:tr>
      <w:tr w:rsidR="00CE7CB0" w14:paraId="14BAA5CF" w14:textId="36756904" w:rsidTr="00627017">
        <w:tc>
          <w:tcPr>
            <w:tcW w:w="0" w:type="auto"/>
            <w:tcBorders>
              <w:top w:val="single" w:sz="4" w:space="0" w:color="auto"/>
              <w:left w:val="single" w:sz="4" w:space="0" w:color="auto"/>
              <w:bottom w:val="single" w:sz="4" w:space="0" w:color="auto"/>
              <w:right w:val="single" w:sz="4" w:space="0" w:color="auto"/>
            </w:tcBorders>
            <w:hideMark/>
          </w:tcPr>
          <w:p w14:paraId="21B6F916" w14:textId="77777777" w:rsidR="00FC7A68" w:rsidRDefault="00FC7A68" w:rsidP="00FC7A68">
            <w:pPr>
              <w:pStyle w:val="RepTableSmall"/>
              <w:keepNext/>
              <w:rPr>
                <w:spacing w:val="-1"/>
                <w:szCs w:val="16"/>
                <w:lang w:val="de-DE"/>
              </w:rPr>
            </w:pPr>
            <w:r>
              <w:rPr>
                <w:spacing w:val="-1"/>
                <w:szCs w:val="16"/>
                <w:lang w:val="de-DE"/>
              </w:rPr>
              <w:t>14</w:t>
            </w:r>
          </w:p>
        </w:tc>
        <w:tc>
          <w:tcPr>
            <w:tcW w:w="0" w:type="auto"/>
            <w:tcBorders>
              <w:top w:val="single" w:sz="4" w:space="0" w:color="auto"/>
              <w:left w:val="single" w:sz="4" w:space="0" w:color="auto"/>
              <w:bottom w:val="single" w:sz="4" w:space="0" w:color="auto"/>
              <w:right w:val="single" w:sz="4" w:space="0" w:color="auto"/>
            </w:tcBorders>
            <w:hideMark/>
          </w:tcPr>
          <w:p w14:paraId="037E78F8" w14:textId="77777777" w:rsidR="00FC7A68" w:rsidRDefault="00FC7A68" w:rsidP="00FC7A68">
            <w:pPr>
              <w:pStyle w:val="RepTableSmall"/>
              <w:keepNext/>
              <w:rPr>
                <w:color w:val="000000"/>
                <w:sz w:val="18"/>
                <w:szCs w:val="18"/>
                <w:lang w:val="de-DE"/>
              </w:rPr>
            </w:pPr>
            <w:r>
              <w:rPr>
                <w:color w:val="000000"/>
                <w:sz w:val="18"/>
                <w:szCs w:val="18"/>
                <w:lang w:val="de-DE"/>
              </w:rPr>
              <w:t>HU, SI, SK, RO</w:t>
            </w:r>
          </w:p>
        </w:tc>
        <w:tc>
          <w:tcPr>
            <w:tcW w:w="0" w:type="auto"/>
            <w:tcBorders>
              <w:top w:val="single" w:sz="4" w:space="0" w:color="auto"/>
              <w:left w:val="single" w:sz="4" w:space="0" w:color="auto"/>
              <w:bottom w:val="single" w:sz="4" w:space="0" w:color="auto"/>
              <w:right w:val="single" w:sz="4" w:space="0" w:color="auto"/>
            </w:tcBorders>
            <w:hideMark/>
          </w:tcPr>
          <w:p w14:paraId="25F36982" w14:textId="77777777" w:rsidR="00FC7A68" w:rsidRDefault="00FC7A68" w:rsidP="00FC7A68">
            <w:pPr>
              <w:pStyle w:val="RepTableSmall"/>
              <w:keepNext/>
              <w:rPr>
                <w:color w:val="000000"/>
                <w:sz w:val="18"/>
                <w:szCs w:val="18"/>
                <w:lang w:val="de-DE"/>
              </w:rPr>
            </w:pPr>
            <w:r>
              <w:rPr>
                <w:color w:val="000000"/>
                <w:sz w:val="18"/>
                <w:szCs w:val="18"/>
                <w:lang w:val="de-DE"/>
              </w:rPr>
              <w:t>rye</w:t>
            </w:r>
            <w:r>
              <w:rPr>
                <w:color w:val="000000"/>
                <w:sz w:val="18"/>
                <w:szCs w:val="18"/>
                <w:lang w:val="de-DE"/>
              </w:rPr>
              <w:br/>
              <w:t>SECCW</w:t>
            </w:r>
            <w:r>
              <w:rPr>
                <w:color w:val="000000"/>
                <w:sz w:val="18"/>
                <w:szCs w:val="18"/>
                <w:lang w:val="de-DE"/>
              </w:rPr>
              <w:br/>
              <w:t>SECCS</w:t>
            </w:r>
            <w:r>
              <w:rPr>
                <w:color w:val="000000"/>
                <w:sz w:val="18"/>
                <w:szCs w:val="18"/>
                <w:lang w:val="de-DE"/>
              </w:rPr>
              <w:br/>
              <w:t>SECCE</w:t>
            </w:r>
          </w:p>
        </w:tc>
        <w:tc>
          <w:tcPr>
            <w:tcW w:w="0" w:type="auto"/>
            <w:tcBorders>
              <w:top w:val="single" w:sz="4" w:space="0" w:color="auto"/>
              <w:left w:val="single" w:sz="4" w:space="0" w:color="auto"/>
              <w:bottom w:val="single" w:sz="4" w:space="0" w:color="auto"/>
              <w:right w:val="single" w:sz="4" w:space="0" w:color="auto"/>
            </w:tcBorders>
            <w:hideMark/>
          </w:tcPr>
          <w:p w14:paraId="06236889" w14:textId="77777777" w:rsidR="00FC7A68" w:rsidRDefault="00FC7A68" w:rsidP="00FC7A68">
            <w:pPr>
              <w:pStyle w:val="RepTableSmall"/>
              <w:keepNext/>
              <w:rPr>
                <w:color w:val="000000"/>
                <w:sz w:val="18"/>
                <w:szCs w:val="18"/>
                <w:lang w:val="de-DE"/>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176E0E1D" w14:textId="77777777" w:rsidR="00FC7A68" w:rsidRDefault="00FC7A68" w:rsidP="00FC7A68">
            <w:pPr>
              <w:pStyle w:val="RepTableSmall"/>
              <w:keepNext/>
              <w:rPr>
                <w:color w:val="000000"/>
                <w:sz w:val="18"/>
                <w:szCs w:val="18"/>
                <w:lang w:val="fr-FR"/>
              </w:rPr>
            </w:pPr>
            <w:r w:rsidRPr="00492207">
              <w:rPr>
                <w:color w:val="000000"/>
                <w:sz w:val="18"/>
                <w:szCs w:val="18"/>
              </w:rPr>
              <w:t>R. secalis - RHYNSE</w:t>
            </w:r>
            <w:r w:rsidRPr="00492207">
              <w:rPr>
                <w:color w:val="000000"/>
                <w:sz w:val="18"/>
                <w:szCs w:val="18"/>
              </w:rPr>
              <w:br/>
              <w:t>Puccinia recondita - PUCCRE</w:t>
            </w:r>
          </w:p>
        </w:tc>
        <w:tc>
          <w:tcPr>
            <w:tcW w:w="0" w:type="auto"/>
            <w:tcBorders>
              <w:top w:val="single" w:sz="4" w:space="0" w:color="auto"/>
              <w:left w:val="single" w:sz="4" w:space="0" w:color="auto"/>
              <w:bottom w:val="single" w:sz="4" w:space="0" w:color="auto"/>
              <w:right w:val="single" w:sz="4" w:space="0" w:color="auto"/>
            </w:tcBorders>
            <w:hideMark/>
          </w:tcPr>
          <w:p w14:paraId="742026CE" w14:textId="77777777" w:rsidR="00FC7A68" w:rsidRDefault="00FC7A68" w:rsidP="00FC7A68">
            <w:pPr>
              <w:pStyle w:val="RepTableSmall"/>
              <w:keepNext/>
              <w:rPr>
                <w:color w:val="000000"/>
                <w:sz w:val="18"/>
                <w:szCs w:val="18"/>
                <w:lang w:val="de-DE"/>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107D967D" w14:textId="77777777" w:rsidR="00FC7A68" w:rsidRDefault="00FC7A68" w:rsidP="00FC7A68">
            <w:pPr>
              <w:pStyle w:val="RepTableSmall"/>
              <w:keepNext/>
              <w:rPr>
                <w:color w:val="000000"/>
                <w:sz w:val="18"/>
                <w:szCs w:val="18"/>
                <w:lang w:val="de-DE"/>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3D02F162" w14:textId="77777777" w:rsidR="00FC7A68" w:rsidRDefault="00FC7A68" w:rsidP="00FC7A68">
            <w:pPr>
              <w:pStyle w:val="RepTableSmall"/>
              <w:keepNext/>
              <w:rPr>
                <w:color w:val="000000"/>
                <w:sz w:val="18"/>
                <w:szCs w:val="18"/>
                <w:lang w:val="de-DE"/>
              </w:rPr>
            </w:pPr>
            <w:r>
              <w:rPr>
                <w:color w:val="000000"/>
                <w:sz w:val="18"/>
                <w:szCs w:val="18"/>
                <w:lang w:val="de-DE"/>
              </w:rPr>
              <w:t>a) 2</w:t>
            </w:r>
            <w:r>
              <w:rPr>
                <w:color w:val="000000"/>
                <w:sz w:val="18"/>
                <w:szCs w:val="18"/>
                <w:lang w:val="de-DE"/>
              </w:rPr>
              <w:br/>
              <w:t>b) 2</w:t>
            </w:r>
          </w:p>
        </w:tc>
        <w:tc>
          <w:tcPr>
            <w:tcW w:w="0" w:type="auto"/>
            <w:tcBorders>
              <w:top w:val="single" w:sz="4" w:space="0" w:color="auto"/>
              <w:left w:val="single" w:sz="4" w:space="0" w:color="auto"/>
              <w:bottom w:val="single" w:sz="4" w:space="0" w:color="auto"/>
              <w:right w:val="single" w:sz="4" w:space="0" w:color="auto"/>
            </w:tcBorders>
            <w:hideMark/>
          </w:tcPr>
          <w:p w14:paraId="34F30A61" w14:textId="77777777" w:rsidR="00FC7A68" w:rsidRDefault="00FC7A68" w:rsidP="00FC7A68">
            <w:pPr>
              <w:pStyle w:val="RepTableSmall"/>
              <w:keepNext/>
              <w:rPr>
                <w:color w:val="000000"/>
                <w:sz w:val="18"/>
                <w:szCs w:val="18"/>
                <w:lang w:val="de-DE"/>
              </w:rPr>
            </w:pPr>
            <w:r>
              <w:rPr>
                <w:color w:val="000000"/>
                <w:sz w:val="18"/>
                <w:szCs w:val="18"/>
                <w:lang w:val="de-DE"/>
              </w:rPr>
              <w:t>21</w:t>
            </w:r>
          </w:p>
        </w:tc>
        <w:tc>
          <w:tcPr>
            <w:tcW w:w="0" w:type="auto"/>
            <w:tcBorders>
              <w:top w:val="single" w:sz="4" w:space="0" w:color="auto"/>
              <w:left w:val="single" w:sz="4" w:space="0" w:color="auto"/>
              <w:bottom w:val="single" w:sz="4" w:space="0" w:color="auto"/>
              <w:right w:val="single" w:sz="4" w:space="0" w:color="auto"/>
            </w:tcBorders>
            <w:hideMark/>
          </w:tcPr>
          <w:p w14:paraId="6AE1F38B" w14:textId="77777777" w:rsidR="00FC7A68" w:rsidRDefault="00FC7A68" w:rsidP="00FC7A68">
            <w:pPr>
              <w:pStyle w:val="RepTableSmall"/>
              <w:keepNext/>
              <w:rPr>
                <w:color w:val="000000"/>
                <w:sz w:val="18"/>
                <w:szCs w:val="18"/>
                <w:lang w:val="de-DE"/>
              </w:rPr>
            </w:pPr>
            <w:r>
              <w:rPr>
                <w:color w:val="000000"/>
                <w:sz w:val="18"/>
                <w:szCs w:val="18"/>
                <w:lang w:val="de-DE"/>
              </w:rPr>
              <w:t>a) 1.00 - 2.00</w:t>
            </w:r>
            <w:r>
              <w:rPr>
                <w:color w:val="000000"/>
                <w:sz w:val="18"/>
                <w:szCs w:val="18"/>
                <w:lang w:val="de-DE"/>
              </w:rPr>
              <w:br/>
              <w:t>b) 1.00 - 4.00</w:t>
            </w:r>
          </w:p>
        </w:tc>
        <w:tc>
          <w:tcPr>
            <w:tcW w:w="0" w:type="auto"/>
            <w:tcBorders>
              <w:top w:val="single" w:sz="4" w:space="0" w:color="auto"/>
              <w:left w:val="single" w:sz="4" w:space="0" w:color="auto"/>
              <w:bottom w:val="single" w:sz="4" w:space="0" w:color="auto"/>
              <w:right w:val="single" w:sz="4" w:space="0" w:color="auto"/>
            </w:tcBorders>
            <w:hideMark/>
          </w:tcPr>
          <w:p w14:paraId="79490032" w14:textId="77777777" w:rsidR="00FC7A68" w:rsidRDefault="00FC7A68" w:rsidP="00FC7A68">
            <w:pPr>
              <w:pStyle w:val="RepTableSmall"/>
              <w:keepNext/>
              <w:rPr>
                <w:color w:val="000000"/>
                <w:sz w:val="18"/>
                <w:szCs w:val="18"/>
                <w:lang w:val="de-DE"/>
              </w:rPr>
            </w:pPr>
            <w:r>
              <w:rPr>
                <w:color w:val="000000"/>
                <w:sz w:val="18"/>
                <w:szCs w:val="18"/>
                <w:lang w:val="de-DE"/>
              </w:rPr>
              <w:t>a) 0.100 / 0.150</w:t>
            </w:r>
            <w:r>
              <w:rPr>
                <w:color w:val="000000"/>
                <w:sz w:val="18"/>
                <w:szCs w:val="18"/>
                <w:lang w:val="de-DE"/>
              </w:rPr>
              <w:br/>
              <w:t>b) 0.200 / 0.300</w:t>
            </w:r>
          </w:p>
        </w:tc>
        <w:tc>
          <w:tcPr>
            <w:tcW w:w="0" w:type="auto"/>
            <w:tcBorders>
              <w:top w:val="single" w:sz="4" w:space="0" w:color="auto"/>
              <w:left w:val="single" w:sz="4" w:space="0" w:color="auto"/>
              <w:bottom w:val="single" w:sz="4" w:space="0" w:color="auto"/>
              <w:right w:val="single" w:sz="4" w:space="0" w:color="auto"/>
            </w:tcBorders>
            <w:hideMark/>
          </w:tcPr>
          <w:p w14:paraId="0099832A" w14:textId="77777777" w:rsidR="00FC7A68" w:rsidRDefault="00FC7A68" w:rsidP="00FC7A68">
            <w:pPr>
              <w:pStyle w:val="RepTableSmall"/>
              <w:keepNext/>
              <w:rPr>
                <w:color w:val="000000"/>
                <w:sz w:val="18"/>
                <w:szCs w:val="18"/>
                <w:lang w:val="de-DE"/>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1C49A59F" w14:textId="77777777" w:rsidR="00FC7A68" w:rsidRDefault="00FC7A68" w:rsidP="00FC7A68">
            <w:pPr>
              <w:pStyle w:val="RepTableSmall"/>
              <w:keepNext/>
              <w:rPr>
                <w:color w:val="000000"/>
                <w:sz w:val="18"/>
                <w:szCs w:val="18"/>
                <w:lang w:val="de-DE"/>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5063838D"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35EA97DA"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32505D8"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37EF8B5E"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08D71906"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53533B19"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9E7D347"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514A802A" w14:textId="77777777" w:rsidR="00FC7A68" w:rsidRDefault="00FC7A68" w:rsidP="00FC7A68">
            <w:pPr>
              <w:pStyle w:val="RepTableSmall"/>
              <w:keepNext/>
              <w:rPr>
                <w:szCs w:val="16"/>
                <w:lang w:val="en-GB"/>
              </w:rPr>
            </w:pPr>
          </w:p>
        </w:tc>
      </w:tr>
      <w:tr w:rsidR="00CE7CB0" w14:paraId="14DAD460" w14:textId="1770EBC7" w:rsidTr="00627017">
        <w:tc>
          <w:tcPr>
            <w:tcW w:w="0" w:type="auto"/>
            <w:tcBorders>
              <w:top w:val="single" w:sz="4" w:space="0" w:color="auto"/>
              <w:left w:val="single" w:sz="4" w:space="0" w:color="auto"/>
              <w:bottom w:val="single" w:sz="4" w:space="0" w:color="auto"/>
              <w:right w:val="single" w:sz="4" w:space="0" w:color="auto"/>
            </w:tcBorders>
            <w:hideMark/>
          </w:tcPr>
          <w:p w14:paraId="5777AF71" w14:textId="77777777" w:rsidR="00FC7A68" w:rsidRDefault="00FC7A68" w:rsidP="00FC7A68">
            <w:pPr>
              <w:pStyle w:val="RepTableSmall"/>
              <w:keepNext/>
              <w:rPr>
                <w:spacing w:val="-1"/>
                <w:szCs w:val="16"/>
                <w:lang w:val="de-DE"/>
              </w:rPr>
            </w:pPr>
            <w:r>
              <w:rPr>
                <w:spacing w:val="-1"/>
                <w:szCs w:val="16"/>
                <w:lang w:val="de-DE"/>
              </w:rPr>
              <w:t>15</w:t>
            </w:r>
          </w:p>
        </w:tc>
        <w:tc>
          <w:tcPr>
            <w:tcW w:w="0" w:type="auto"/>
            <w:tcBorders>
              <w:top w:val="single" w:sz="4" w:space="0" w:color="auto"/>
              <w:left w:val="single" w:sz="4" w:space="0" w:color="auto"/>
              <w:bottom w:val="single" w:sz="4" w:space="0" w:color="auto"/>
              <w:right w:val="single" w:sz="4" w:space="0" w:color="auto"/>
            </w:tcBorders>
            <w:hideMark/>
          </w:tcPr>
          <w:p w14:paraId="25927990" w14:textId="77777777" w:rsidR="00FC7A68" w:rsidRDefault="00FC7A68" w:rsidP="00FC7A68">
            <w:pPr>
              <w:pStyle w:val="RepTableSmall"/>
              <w:keepNext/>
              <w:rPr>
                <w:color w:val="000000"/>
                <w:sz w:val="18"/>
                <w:szCs w:val="18"/>
                <w:lang w:val="de-DE"/>
              </w:rPr>
            </w:pPr>
            <w:r>
              <w:rPr>
                <w:color w:val="000000"/>
                <w:sz w:val="18"/>
                <w:szCs w:val="18"/>
                <w:lang w:val="de-DE"/>
              </w:rPr>
              <w:t>HU, SI, SK, RO</w:t>
            </w:r>
          </w:p>
        </w:tc>
        <w:tc>
          <w:tcPr>
            <w:tcW w:w="0" w:type="auto"/>
            <w:tcBorders>
              <w:top w:val="single" w:sz="4" w:space="0" w:color="auto"/>
              <w:left w:val="single" w:sz="4" w:space="0" w:color="auto"/>
              <w:bottom w:val="single" w:sz="4" w:space="0" w:color="auto"/>
              <w:right w:val="single" w:sz="4" w:space="0" w:color="auto"/>
            </w:tcBorders>
            <w:hideMark/>
          </w:tcPr>
          <w:p w14:paraId="7F4E5849" w14:textId="77777777" w:rsidR="00FC7A68" w:rsidRDefault="00FC7A68" w:rsidP="00FC7A68">
            <w:pPr>
              <w:pStyle w:val="RepTableSmall"/>
              <w:keepNext/>
              <w:rPr>
                <w:color w:val="000000"/>
                <w:sz w:val="18"/>
                <w:szCs w:val="18"/>
                <w:lang w:val="de-DE"/>
              </w:rPr>
            </w:pPr>
            <w:r>
              <w:rPr>
                <w:color w:val="000000"/>
                <w:sz w:val="18"/>
                <w:szCs w:val="18"/>
                <w:lang w:val="de-DE"/>
              </w:rPr>
              <w:t>triticale</w:t>
            </w:r>
            <w:r>
              <w:rPr>
                <w:color w:val="000000"/>
                <w:sz w:val="18"/>
                <w:szCs w:val="18"/>
                <w:lang w:val="de-DE"/>
              </w:rPr>
              <w:br/>
              <w:t xml:space="preserve">TTLWI </w:t>
            </w:r>
            <w:r>
              <w:rPr>
                <w:color w:val="000000"/>
                <w:sz w:val="18"/>
                <w:szCs w:val="18"/>
                <w:lang w:val="de-DE"/>
              </w:rPr>
              <w:br/>
              <w:t>TTLSO</w:t>
            </w:r>
          </w:p>
        </w:tc>
        <w:tc>
          <w:tcPr>
            <w:tcW w:w="0" w:type="auto"/>
            <w:tcBorders>
              <w:top w:val="single" w:sz="4" w:space="0" w:color="auto"/>
              <w:left w:val="single" w:sz="4" w:space="0" w:color="auto"/>
              <w:bottom w:val="single" w:sz="4" w:space="0" w:color="auto"/>
              <w:right w:val="single" w:sz="4" w:space="0" w:color="auto"/>
            </w:tcBorders>
            <w:hideMark/>
          </w:tcPr>
          <w:p w14:paraId="7B9DD397" w14:textId="77777777" w:rsidR="00FC7A68" w:rsidRDefault="00FC7A68" w:rsidP="00FC7A68">
            <w:pPr>
              <w:pStyle w:val="RepTableSmall"/>
              <w:keepNext/>
              <w:rPr>
                <w:color w:val="000000"/>
                <w:sz w:val="18"/>
                <w:szCs w:val="18"/>
                <w:lang w:val="de-DE"/>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70CB376C" w14:textId="77777777" w:rsidR="00FC7A68" w:rsidRPr="00492207" w:rsidRDefault="00FC7A68" w:rsidP="00FC7A68">
            <w:pPr>
              <w:pStyle w:val="RepTableSmall"/>
              <w:keepNext/>
              <w:rPr>
                <w:color w:val="000000"/>
                <w:sz w:val="18"/>
                <w:szCs w:val="18"/>
              </w:rPr>
            </w:pPr>
            <w:r w:rsidRPr="00492207">
              <w:rPr>
                <w:color w:val="000000"/>
                <w:sz w:val="18"/>
                <w:szCs w:val="18"/>
              </w:rPr>
              <w:t>Zymoseptoria sp. – SEPTSP</w:t>
            </w:r>
          </w:p>
          <w:p w14:paraId="3F1A15E8" w14:textId="77777777" w:rsidR="00FC7A68" w:rsidRPr="00492207" w:rsidRDefault="00FC7A68" w:rsidP="00FC7A68">
            <w:pPr>
              <w:pStyle w:val="RepTableSmall"/>
              <w:keepNext/>
              <w:rPr>
                <w:color w:val="000000"/>
                <w:sz w:val="18"/>
                <w:szCs w:val="18"/>
              </w:rPr>
            </w:pPr>
            <w:r w:rsidRPr="00492207">
              <w:rPr>
                <w:color w:val="000000"/>
                <w:sz w:val="18"/>
                <w:szCs w:val="18"/>
              </w:rPr>
              <w:t>Puccinia recondita – PUCCRE</w:t>
            </w:r>
          </w:p>
          <w:p w14:paraId="66C73FDE" w14:textId="77777777" w:rsidR="00FC7A68" w:rsidRPr="00492207" w:rsidRDefault="00FC7A68" w:rsidP="00FC7A68">
            <w:pPr>
              <w:pStyle w:val="RepTableSmall"/>
              <w:keepNext/>
              <w:rPr>
                <w:color w:val="000000"/>
                <w:sz w:val="18"/>
                <w:szCs w:val="18"/>
              </w:rPr>
            </w:pPr>
            <w:r w:rsidRPr="00492207">
              <w:rPr>
                <w:color w:val="000000"/>
                <w:sz w:val="18"/>
                <w:szCs w:val="18"/>
              </w:rPr>
              <w:t>Puccinia striiformis – PUCCST</w:t>
            </w:r>
          </w:p>
          <w:p w14:paraId="04EA18A5" w14:textId="77777777" w:rsidR="00FC7A68" w:rsidRPr="00492207" w:rsidRDefault="00FC7A68" w:rsidP="00FC7A68">
            <w:pPr>
              <w:pStyle w:val="RepTableSmall"/>
              <w:keepNext/>
              <w:rPr>
                <w:color w:val="000000"/>
                <w:sz w:val="18"/>
                <w:szCs w:val="18"/>
              </w:rPr>
            </w:pPr>
            <w:r w:rsidRPr="00492207">
              <w:rPr>
                <w:color w:val="000000"/>
                <w:sz w:val="18"/>
                <w:szCs w:val="18"/>
              </w:rPr>
              <w:t>Blumeria graminis - ERYSGR</w:t>
            </w:r>
          </w:p>
        </w:tc>
        <w:tc>
          <w:tcPr>
            <w:tcW w:w="0" w:type="auto"/>
            <w:tcBorders>
              <w:top w:val="single" w:sz="4" w:space="0" w:color="auto"/>
              <w:left w:val="single" w:sz="4" w:space="0" w:color="auto"/>
              <w:bottom w:val="single" w:sz="4" w:space="0" w:color="auto"/>
              <w:right w:val="single" w:sz="4" w:space="0" w:color="auto"/>
            </w:tcBorders>
            <w:hideMark/>
          </w:tcPr>
          <w:p w14:paraId="23C0221F" w14:textId="77777777" w:rsidR="00FC7A68" w:rsidRDefault="00FC7A68" w:rsidP="00FC7A68">
            <w:pPr>
              <w:pStyle w:val="RepTableSmall"/>
              <w:keepNext/>
              <w:rPr>
                <w:color w:val="000000"/>
                <w:sz w:val="18"/>
                <w:szCs w:val="18"/>
                <w:lang w:val="de-DE"/>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1CE9D13C" w14:textId="77777777" w:rsidR="00FC7A68" w:rsidRDefault="00FC7A68" w:rsidP="00FC7A68">
            <w:pPr>
              <w:pStyle w:val="RepTableSmall"/>
              <w:keepNext/>
              <w:rPr>
                <w:color w:val="000000"/>
                <w:sz w:val="18"/>
                <w:szCs w:val="18"/>
                <w:lang w:val="de-DE"/>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510CB9B2" w14:textId="77777777" w:rsidR="00FC7A68" w:rsidRDefault="00FC7A68" w:rsidP="00FC7A68">
            <w:pPr>
              <w:pStyle w:val="RepTableSmall"/>
              <w:keepNext/>
              <w:rPr>
                <w:color w:val="000000"/>
                <w:sz w:val="18"/>
                <w:szCs w:val="18"/>
                <w:lang w:val="de-DE"/>
              </w:rPr>
            </w:pPr>
            <w:r>
              <w:rPr>
                <w:color w:val="000000"/>
                <w:sz w:val="18"/>
                <w:szCs w:val="18"/>
                <w:lang w:val="de-DE"/>
              </w:rPr>
              <w:t>a) 2</w:t>
            </w:r>
            <w:r>
              <w:rPr>
                <w:color w:val="000000"/>
                <w:sz w:val="18"/>
                <w:szCs w:val="18"/>
                <w:lang w:val="de-DE"/>
              </w:rPr>
              <w:br/>
              <w:t>b) 2</w:t>
            </w:r>
          </w:p>
        </w:tc>
        <w:tc>
          <w:tcPr>
            <w:tcW w:w="0" w:type="auto"/>
            <w:tcBorders>
              <w:top w:val="single" w:sz="4" w:space="0" w:color="auto"/>
              <w:left w:val="single" w:sz="4" w:space="0" w:color="auto"/>
              <w:bottom w:val="single" w:sz="4" w:space="0" w:color="auto"/>
              <w:right w:val="single" w:sz="4" w:space="0" w:color="auto"/>
            </w:tcBorders>
            <w:hideMark/>
          </w:tcPr>
          <w:p w14:paraId="703CC5C4" w14:textId="77777777" w:rsidR="00FC7A68" w:rsidRDefault="00FC7A68" w:rsidP="00FC7A68">
            <w:pPr>
              <w:pStyle w:val="RepTableSmall"/>
              <w:keepNext/>
              <w:rPr>
                <w:color w:val="000000"/>
                <w:sz w:val="18"/>
                <w:szCs w:val="18"/>
                <w:lang w:val="de-DE"/>
              </w:rPr>
            </w:pPr>
            <w:r>
              <w:rPr>
                <w:color w:val="000000"/>
                <w:sz w:val="18"/>
                <w:szCs w:val="18"/>
                <w:lang w:val="de-DE"/>
              </w:rPr>
              <w:t>21</w:t>
            </w:r>
          </w:p>
        </w:tc>
        <w:tc>
          <w:tcPr>
            <w:tcW w:w="0" w:type="auto"/>
            <w:tcBorders>
              <w:top w:val="single" w:sz="4" w:space="0" w:color="auto"/>
              <w:left w:val="single" w:sz="4" w:space="0" w:color="auto"/>
              <w:bottom w:val="single" w:sz="4" w:space="0" w:color="auto"/>
              <w:right w:val="single" w:sz="4" w:space="0" w:color="auto"/>
            </w:tcBorders>
            <w:hideMark/>
          </w:tcPr>
          <w:p w14:paraId="667BE3D1" w14:textId="77777777" w:rsidR="00FC7A68" w:rsidRDefault="00FC7A68" w:rsidP="00FC7A68">
            <w:pPr>
              <w:pStyle w:val="RepTableSmall"/>
              <w:keepNext/>
              <w:rPr>
                <w:color w:val="000000"/>
                <w:sz w:val="18"/>
                <w:szCs w:val="18"/>
                <w:lang w:val="de-DE"/>
              </w:rPr>
            </w:pPr>
            <w:r>
              <w:rPr>
                <w:color w:val="000000"/>
                <w:sz w:val="18"/>
                <w:szCs w:val="18"/>
                <w:lang w:val="de-DE"/>
              </w:rPr>
              <w:t>a) 1.00 - 2.00</w:t>
            </w:r>
            <w:r>
              <w:rPr>
                <w:color w:val="000000"/>
                <w:sz w:val="18"/>
                <w:szCs w:val="18"/>
                <w:lang w:val="de-DE"/>
              </w:rPr>
              <w:br/>
              <w:t>b) 1.00 - 4.00</w:t>
            </w:r>
          </w:p>
        </w:tc>
        <w:tc>
          <w:tcPr>
            <w:tcW w:w="0" w:type="auto"/>
            <w:tcBorders>
              <w:top w:val="single" w:sz="4" w:space="0" w:color="auto"/>
              <w:left w:val="single" w:sz="4" w:space="0" w:color="auto"/>
              <w:bottom w:val="single" w:sz="4" w:space="0" w:color="auto"/>
              <w:right w:val="single" w:sz="4" w:space="0" w:color="auto"/>
            </w:tcBorders>
            <w:hideMark/>
          </w:tcPr>
          <w:p w14:paraId="39DFAD41" w14:textId="77777777" w:rsidR="00FC7A68" w:rsidRDefault="00FC7A68" w:rsidP="00FC7A68">
            <w:pPr>
              <w:pStyle w:val="RepTableSmall"/>
              <w:keepNext/>
              <w:rPr>
                <w:color w:val="000000"/>
                <w:sz w:val="18"/>
                <w:szCs w:val="18"/>
                <w:lang w:val="de-DE"/>
              </w:rPr>
            </w:pPr>
            <w:r>
              <w:rPr>
                <w:color w:val="000000"/>
                <w:sz w:val="18"/>
                <w:szCs w:val="18"/>
                <w:lang w:val="de-DE"/>
              </w:rPr>
              <w:t>a) 0.100 / 0.150</w:t>
            </w:r>
            <w:r>
              <w:rPr>
                <w:color w:val="000000"/>
                <w:sz w:val="18"/>
                <w:szCs w:val="18"/>
                <w:lang w:val="de-DE"/>
              </w:rPr>
              <w:br/>
              <w:t>b) 0.200 / 0.300</w:t>
            </w:r>
          </w:p>
        </w:tc>
        <w:tc>
          <w:tcPr>
            <w:tcW w:w="0" w:type="auto"/>
            <w:tcBorders>
              <w:top w:val="single" w:sz="4" w:space="0" w:color="auto"/>
              <w:left w:val="single" w:sz="4" w:space="0" w:color="auto"/>
              <w:bottom w:val="single" w:sz="4" w:space="0" w:color="auto"/>
              <w:right w:val="single" w:sz="4" w:space="0" w:color="auto"/>
            </w:tcBorders>
            <w:hideMark/>
          </w:tcPr>
          <w:p w14:paraId="550678C5" w14:textId="77777777" w:rsidR="00FC7A68" w:rsidRDefault="00FC7A68" w:rsidP="00FC7A68">
            <w:pPr>
              <w:pStyle w:val="RepTableSmall"/>
              <w:keepNext/>
              <w:rPr>
                <w:color w:val="000000"/>
                <w:sz w:val="18"/>
                <w:szCs w:val="18"/>
                <w:lang w:val="de-DE"/>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7453F574" w14:textId="77777777" w:rsidR="00FC7A68" w:rsidRDefault="00FC7A68" w:rsidP="00FC7A68">
            <w:pPr>
              <w:pStyle w:val="RepTableSmall"/>
              <w:keepNext/>
              <w:rPr>
                <w:color w:val="000000"/>
                <w:sz w:val="18"/>
                <w:szCs w:val="18"/>
                <w:lang w:val="de-DE"/>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53FC65D1"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079B8799"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56A2192A"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1AD28916"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46B7FA2"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2A021FA3"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13E649F5"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211EC1C" w14:textId="77777777" w:rsidR="00FC7A68" w:rsidRDefault="00FC7A68" w:rsidP="00FC7A68">
            <w:pPr>
              <w:pStyle w:val="RepTableSmall"/>
              <w:keepNext/>
              <w:rPr>
                <w:szCs w:val="16"/>
                <w:lang w:val="en-GB"/>
              </w:rPr>
            </w:pPr>
          </w:p>
        </w:tc>
      </w:tr>
      <w:tr w:rsidR="00CE7CB0" w14:paraId="3DDF98F8" w14:textId="48D64F52" w:rsidTr="00627017">
        <w:tc>
          <w:tcPr>
            <w:tcW w:w="0" w:type="auto"/>
            <w:tcBorders>
              <w:top w:val="single" w:sz="4" w:space="0" w:color="auto"/>
              <w:left w:val="single" w:sz="4" w:space="0" w:color="auto"/>
              <w:bottom w:val="single" w:sz="4" w:space="0" w:color="auto"/>
              <w:right w:val="single" w:sz="4" w:space="0" w:color="auto"/>
            </w:tcBorders>
            <w:hideMark/>
          </w:tcPr>
          <w:p w14:paraId="2A122B5C" w14:textId="77777777" w:rsidR="00FC7A68" w:rsidRDefault="00FC7A68" w:rsidP="00FC7A68">
            <w:pPr>
              <w:pStyle w:val="RepTableSmall"/>
              <w:keepNext/>
              <w:rPr>
                <w:spacing w:val="-1"/>
                <w:szCs w:val="16"/>
                <w:lang w:val="de-DE"/>
              </w:rPr>
            </w:pPr>
            <w:r>
              <w:rPr>
                <w:spacing w:val="-1"/>
                <w:szCs w:val="16"/>
                <w:lang w:val="de-DE"/>
              </w:rPr>
              <w:t>16</w:t>
            </w:r>
          </w:p>
        </w:tc>
        <w:tc>
          <w:tcPr>
            <w:tcW w:w="0" w:type="auto"/>
            <w:tcBorders>
              <w:top w:val="single" w:sz="4" w:space="0" w:color="auto"/>
              <w:left w:val="single" w:sz="4" w:space="0" w:color="auto"/>
              <w:bottom w:val="single" w:sz="4" w:space="0" w:color="auto"/>
              <w:right w:val="single" w:sz="4" w:space="0" w:color="auto"/>
            </w:tcBorders>
            <w:hideMark/>
          </w:tcPr>
          <w:p w14:paraId="16164303" w14:textId="77777777" w:rsidR="00FC7A68" w:rsidRDefault="00FC7A68" w:rsidP="00FC7A68">
            <w:pPr>
              <w:pStyle w:val="RepTableSmall"/>
              <w:keepNext/>
              <w:rPr>
                <w:color w:val="000000"/>
                <w:sz w:val="18"/>
                <w:szCs w:val="18"/>
                <w:lang w:val="de-DE"/>
              </w:rPr>
            </w:pPr>
            <w:r>
              <w:rPr>
                <w:color w:val="000000"/>
                <w:sz w:val="18"/>
                <w:szCs w:val="18"/>
                <w:lang w:val="de-DE"/>
              </w:rPr>
              <w:t>HU, SI, SK, RO</w:t>
            </w:r>
          </w:p>
        </w:tc>
        <w:tc>
          <w:tcPr>
            <w:tcW w:w="0" w:type="auto"/>
            <w:tcBorders>
              <w:top w:val="single" w:sz="4" w:space="0" w:color="auto"/>
              <w:left w:val="single" w:sz="4" w:space="0" w:color="auto"/>
              <w:bottom w:val="single" w:sz="4" w:space="0" w:color="auto"/>
              <w:right w:val="single" w:sz="4" w:space="0" w:color="auto"/>
            </w:tcBorders>
            <w:hideMark/>
          </w:tcPr>
          <w:p w14:paraId="6F1594B7" w14:textId="77777777" w:rsidR="00FC7A68" w:rsidRDefault="00FC7A68" w:rsidP="00FC7A68">
            <w:pPr>
              <w:pStyle w:val="RepTableSmall"/>
              <w:keepNext/>
              <w:rPr>
                <w:color w:val="000000"/>
                <w:sz w:val="18"/>
                <w:szCs w:val="18"/>
                <w:lang w:val="de-DE"/>
              </w:rPr>
            </w:pPr>
            <w:r>
              <w:rPr>
                <w:color w:val="000000"/>
                <w:sz w:val="18"/>
                <w:szCs w:val="18"/>
                <w:lang w:val="de-DE"/>
              </w:rPr>
              <w:t>oat</w:t>
            </w:r>
            <w:r>
              <w:rPr>
                <w:color w:val="000000"/>
                <w:sz w:val="18"/>
                <w:szCs w:val="18"/>
                <w:lang w:val="de-DE"/>
              </w:rPr>
              <w:br/>
              <w:t>AVESA</w:t>
            </w:r>
          </w:p>
        </w:tc>
        <w:tc>
          <w:tcPr>
            <w:tcW w:w="0" w:type="auto"/>
            <w:tcBorders>
              <w:top w:val="single" w:sz="4" w:space="0" w:color="auto"/>
              <w:left w:val="single" w:sz="4" w:space="0" w:color="auto"/>
              <w:bottom w:val="single" w:sz="4" w:space="0" w:color="auto"/>
              <w:right w:val="single" w:sz="4" w:space="0" w:color="auto"/>
            </w:tcBorders>
            <w:hideMark/>
          </w:tcPr>
          <w:p w14:paraId="29F72D63" w14:textId="77777777" w:rsidR="00FC7A68" w:rsidRDefault="00FC7A68" w:rsidP="00FC7A68">
            <w:pPr>
              <w:pStyle w:val="RepTableSmall"/>
              <w:keepNext/>
              <w:rPr>
                <w:color w:val="000000"/>
                <w:sz w:val="18"/>
                <w:szCs w:val="18"/>
                <w:lang w:val="de-DE"/>
              </w:rPr>
            </w:pPr>
            <w:r>
              <w:rPr>
                <w:color w:val="000000"/>
                <w:sz w:val="18"/>
                <w:szCs w:val="18"/>
                <w:lang w:val="de-DE"/>
              </w:rPr>
              <w:t>F</w:t>
            </w:r>
          </w:p>
        </w:tc>
        <w:tc>
          <w:tcPr>
            <w:tcW w:w="0" w:type="auto"/>
            <w:tcBorders>
              <w:top w:val="single" w:sz="4" w:space="0" w:color="auto"/>
              <w:left w:val="single" w:sz="4" w:space="0" w:color="auto"/>
              <w:bottom w:val="single" w:sz="4" w:space="0" w:color="auto"/>
              <w:right w:val="single" w:sz="4" w:space="0" w:color="auto"/>
            </w:tcBorders>
            <w:hideMark/>
          </w:tcPr>
          <w:p w14:paraId="0A950104" w14:textId="77777777" w:rsidR="00FC7A68" w:rsidRPr="00492207" w:rsidRDefault="00FC7A68" w:rsidP="00FC7A68">
            <w:pPr>
              <w:pStyle w:val="RepTableSmall"/>
              <w:keepNext/>
              <w:rPr>
                <w:color w:val="000000"/>
                <w:sz w:val="18"/>
                <w:szCs w:val="18"/>
              </w:rPr>
            </w:pPr>
            <w:r w:rsidRPr="00492207">
              <w:rPr>
                <w:color w:val="000000"/>
                <w:sz w:val="18"/>
                <w:szCs w:val="18"/>
              </w:rPr>
              <w:t>Blumeria graminis - ERYSGR</w:t>
            </w:r>
            <w:r w:rsidRPr="00492207">
              <w:rPr>
                <w:color w:val="000000"/>
                <w:sz w:val="18"/>
                <w:szCs w:val="18"/>
              </w:rPr>
              <w:br/>
              <w:t>Puccinia coronata - PUCCCA</w:t>
            </w:r>
          </w:p>
        </w:tc>
        <w:tc>
          <w:tcPr>
            <w:tcW w:w="0" w:type="auto"/>
            <w:tcBorders>
              <w:top w:val="single" w:sz="4" w:space="0" w:color="auto"/>
              <w:left w:val="single" w:sz="4" w:space="0" w:color="auto"/>
              <w:bottom w:val="single" w:sz="4" w:space="0" w:color="auto"/>
              <w:right w:val="single" w:sz="4" w:space="0" w:color="auto"/>
            </w:tcBorders>
            <w:hideMark/>
          </w:tcPr>
          <w:p w14:paraId="1154A5F6" w14:textId="77777777" w:rsidR="00FC7A68" w:rsidRDefault="00FC7A68" w:rsidP="00FC7A68">
            <w:pPr>
              <w:pStyle w:val="RepTableSmall"/>
              <w:keepNext/>
              <w:rPr>
                <w:color w:val="000000"/>
                <w:sz w:val="18"/>
                <w:szCs w:val="18"/>
                <w:lang w:val="de-DE"/>
              </w:rPr>
            </w:pPr>
            <w:r>
              <w:rPr>
                <w:color w:val="000000"/>
                <w:sz w:val="18"/>
                <w:szCs w:val="18"/>
                <w:lang w:val="de-DE"/>
              </w:rPr>
              <w:t>Spraying (SP)</w:t>
            </w:r>
          </w:p>
        </w:tc>
        <w:tc>
          <w:tcPr>
            <w:tcW w:w="0" w:type="auto"/>
            <w:tcBorders>
              <w:top w:val="single" w:sz="4" w:space="0" w:color="auto"/>
              <w:left w:val="single" w:sz="4" w:space="0" w:color="auto"/>
              <w:bottom w:val="single" w:sz="4" w:space="0" w:color="auto"/>
              <w:right w:val="single" w:sz="4" w:space="0" w:color="auto"/>
            </w:tcBorders>
            <w:hideMark/>
          </w:tcPr>
          <w:p w14:paraId="776F87FC" w14:textId="77777777" w:rsidR="00FC7A68" w:rsidRDefault="00FC7A68" w:rsidP="00FC7A68">
            <w:pPr>
              <w:pStyle w:val="RepTableSmall"/>
              <w:keepNext/>
              <w:rPr>
                <w:color w:val="000000"/>
                <w:sz w:val="18"/>
                <w:szCs w:val="18"/>
                <w:lang w:val="de-DE"/>
              </w:rPr>
            </w:pPr>
            <w:r>
              <w:rPr>
                <w:color w:val="000000"/>
                <w:sz w:val="18"/>
                <w:szCs w:val="18"/>
                <w:lang w:val="de-DE"/>
              </w:rPr>
              <w:t>30 - 69</w:t>
            </w:r>
          </w:p>
        </w:tc>
        <w:tc>
          <w:tcPr>
            <w:tcW w:w="0" w:type="auto"/>
            <w:tcBorders>
              <w:top w:val="single" w:sz="4" w:space="0" w:color="auto"/>
              <w:left w:val="single" w:sz="4" w:space="0" w:color="auto"/>
              <w:bottom w:val="single" w:sz="4" w:space="0" w:color="auto"/>
              <w:right w:val="single" w:sz="4" w:space="0" w:color="auto"/>
            </w:tcBorders>
            <w:hideMark/>
          </w:tcPr>
          <w:p w14:paraId="0CC0C28A" w14:textId="77777777" w:rsidR="00FC7A68" w:rsidRDefault="00FC7A68" w:rsidP="00FC7A68">
            <w:pPr>
              <w:pStyle w:val="RepTableSmall"/>
              <w:keepNext/>
              <w:rPr>
                <w:color w:val="000000"/>
                <w:sz w:val="18"/>
                <w:szCs w:val="18"/>
                <w:lang w:val="de-DE"/>
              </w:rPr>
            </w:pPr>
            <w:r>
              <w:rPr>
                <w:color w:val="000000"/>
                <w:sz w:val="18"/>
                <w:szCs w:val="18"/>
                <w:lang w:val="de-DE"/>
              </w:rPr>
              <w:t>a) 2</w:t>
            </w:r>
            <w:r>
              <w:rPr>
                <w:color w:val="000000"/>
                <w:sz w:val="18"/>
                <w:szCs w:val="18"/>
                <w:lang w:val="de-DE"/>
              </w:rPr>
              <w:br/>
              <w:t>b) 2</w:t>
            </w:r>
          </w:p>
        </w:tc>
        <w:tc>
          <w:tcPr>
            <w:tcW w:w="0" w:type="auto"/>
            <w:tcBorders>
              <w:top w:val="single" w:sz="4" w:space="0" w:color="auto"/>
              <w:left w:val="single" w:sz="4" w:space="0" w:color="auto"/>
              <w:bottom w:val="single" w:sz="4" w:space="0" w:color="auto"/>
              <w:right w:val="single" w:sz="4" w:space="0" w:color="auto"/>
            </w:tcBorders>
            <w:hideMark/>
          </w:tcPr>
          <w:p w14:paraId="59F3E280" w14:textId="77777777" w:rsidR="00FC7A68" w:rsidRDefault="00FC7A68" w:rsidP="00FC7A68">
            <w:pPr>
              <w:pStyle w:val="RepTableSmall"/>
              <w:keepNext/>
              <w:rPr>
                <w:color w:val="000000"/>
                <w:sz w:val="18"/>
                <w:szCs w:val="18"/>
                <w:lang w:val="de-DE"/>
              </w:rPr>
            </w:pPr>
            <w:r>
              <w:rPr>
                <w:color w:val="000000"/>
                <w:sz w:val="18"/>
                <w:szCs w:val="18"/>
                <w:lang w:val="de-DE"/>
              </w:rPr>
              <w:t>21</w:t>
            </w:r>
          </w:p>
        </w:tc>
        <w:tc>
          <w:tcPr>
            <w:tcW w:w="0" w:type="auto"/>
            <w:tcBorders>
              <w:top w:val="single" w:sz="4" w:space="0" w:color="auto"/>
              <w:left w:val="single" w:sz="4" w:space="0" w:color="auto"/>
              <w:bottom w:val="single" w:sz="4" w:space="0" w:color="auto"/>
              <w:right w:val="single" w:sz="4" w:space="0" w:color="auto"/>
            </w:tcBorders>
            <w:hideMark/>
          </w:tcPr>
          <w:p w14:paraId="7C453571" w14:textId="77777777" w:rsidR="00FC7A68" w:rsidRDefault="00FC7A68" w:rsidP="00FC7A68">
            <w:pPr>
              <w:pStyle w:val="RepTableSmall"/>
              <w:keepNext/>
              <w:rPr>
                <w:color w:val="000000"/>
                <w:sz w:val="18"/>
                <w:szCs w:val="18"/>
                <w:lang w:val="de-DE"/>
              </w:rPr>
            </w:pPr>
            <w:r>
              <w:rPr>
                <w:color w:val="000000"/>
                <w:sz w:val="18"/>
                <w:szCs w:val="18"/>
                <w:lang w:val="de-DE"/>
              </w:rPr>
              <w:t>a) 1.00 - 2.00</w:t>
            </w:r>
            <w:r>
              <w:rPr>
                <w:color w:val="000000"/>
                <w:sz w:val="18"/>
                <w:szCs w:val="18"/>
                <w:lang w:val="de-DE"/>
              </w:rPr>
              <w:br/>
              <w:t>b) 1.00 - 4.00</w:t>
            </w:r>
          </w:p>
        </w:tc>
        <w:tc>
          <w:tcPr>
            <w:tcW w:w="0" w:type="auto"/>
            <w:tcBorders>
              <w:top w:val="single" w:sz="4" w:space="0" w:color="auto"/>
              <w:left w:val="single" w:sz="4" w:space="0" w:color="auto"/>
              <w:bottom w:val="single" w:sz="4" w:space="0" w:color="auto"/>
              <w:right w:val="single" w:sz="4" w:space="0" w:color="auto"/>
            </w:tcBorders>
            <w:hideMark/>
          </w:tcPr>
          <w:p w14:paraId="0620344E" w14:textId="77777777" w:rsidR="00FC7A68" w:rsidRDefault="00FC7A68" w:rsidP="00FC7A68">
            <w:pPr>
              <w:pStyle w:val="RepTableSmall"/>
              <w:keepNext/>
              <w:rPr>
                <w:color w:val="000000"/>
                <w:sz w:val="18"/>
                <w:szCs w:val="18"/>
                <w:lang w:val="de-DE"/>
              </w:rPr>
            </w:pPr>
            <w:r>
              <w:rPr>
                <w:color w:val="000000"/>
                <w:sz w:val="18"/>
                <w:szCs w:val="18"/>
                <w:lang w:val="de-DE"/>
              </w:rPr>
              <w:t>a) 0.100 / 0.150</w:t>
            </w:r>
            <w:r>
              <w:rPr>
                <w:color w:val="000000"/>
                <w:sz w:val="18"/>
                <w:szCs w:val="18"/>
                <w:lang w:val="de-DE"/>
              </w:rPr>
              <w:br/>
              <w:t>b) 0.200 / 0.300</w:t>
            </w:r>
          </w:p>
        </w:tc>
        <w:tc>
          <w:tcPr>
            <w:tcW w:w="0" w:type="auto"/>
            <w:tcBorders>
              <w:top w:val="single" w:sz="4" w:space="0" w:color="auto"/>
              <w:left w:val="single" w:sz="4" w:space="0" w:color="auto"/>
              <w:bottom w:val="single" w:sz="4" w:space="0" w:color="auto"/>
              <w:right w:val="single" w:sz="4" w:space="0" w:color="auto"/>
            </w:tcBorders>
            <w:hideMark/>
          </w:tcPr>
          <w:p w14:paraId="1C833861" w14:textId="77777777" w:rsidR="00FC7A68" w:rsidRDefault="00FC7A68" w:rsidP="00FC7A68">
            <w:pPr>
              <w:pStyle w:val="RepTableSmall"/>
              <w:keepNext/>
              <w:rPr>
                <w:color w:val="000000"/>
                <w:sz w:val="18"/>
                <w:szCs w:val="18"/>
                <w:lang w:val="de-DE"/>
              </w:rPr>
            </w:pPr>
            <w:r>
              <w:rPr>
                <w:color w:val="000000"/>
                <w:sz w:val="18"/>
                <w:szCs w:val="18"/>
                <w:lang w:val="de-DE"/>
              </w:rPr>
              <w:t>100 - 300</w:t>
            </w:r>
          </w:p>
        </w:tc>
        <w:tc>
          <w:tcPr>
            <w:tcW w:w="0" w:type="auto"/>
            <w:tcBorders>
              <w:top w:val="single" w:sz="4" w:space="0" w:color="auto"/>
              <w:left w:val="single" w:sz="4" w:space="0" w:color="auto"/>
              <w:bottom w:val="single" w:sz="4" w:space="0" w:color="auto"/>
              <w:right w:val="single" w:sz="4" w:space="0" w:color="auto"/>
            </w:tcBorders>
            <w:hideMark/>
          </w:tcPr>
          <w:p w14:paraId="7116A2DF" w14:textId="77777777" w:rsidR="00FC7A68" w:rsidRDefault="00FC7A68" w:rsidP="00FC7A68">
            <w:pPr>
              <w:pStyle w:val="RepTableSmall"/>
              <w:keepNext/>
              <w:rPr>
                <w:color w:val="000000"/>
                <w:sz w:val="18"/>
                <w:szCs w:val="18"/>
                <w:lang w:val="de-DE"/>
              </w:rPr>
            </w:pPr>
            <w:r>
              <w:rPr>
                <w:color w:val="000000"/>
                <w:sz w:val="18"/>
                <w:szCs w:val="18"/>
                <w:lang w:val="de-DE"/>
              </w:rPr>
              <w:t>35</w:t>
            </w:r>
          </w:p>
        </w:tc>
        <w:tc>
          <w:tcPr>
            <w:tcW w:w="0" w:type="auto"/>
            <w:tcBorders>
              <w:top w:val="single" w:sz="4" w:space="0" w:color="auto"/>
              <w:left w:val="single" w:sz="4" w:space="0" w:color="auto"/>
              <w:bottom w:val="single" w:sz="4" w:space="0" w:color="auto"/>
              <w:right w:val="single" w:sz="4" w:space="0" w:color="auto"/>
            </w:tcBorders>
          </w:tcPr>
          <w:p w14:paraId="0C7349B7"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B5FE94B"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7A1DD2B2"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FFFF00"/>
          </w:tcPr>
          <w:p w14:paraId="6E5FF3B9"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481905FB"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77DCF2D9"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78A45073" w14:textId="77777777" w:rsidR="00FC7A68" w:rsidRDefault="00FC7A68" w:rsidP="00FC7A68">
            <w:pPr>
              <w:pStyle w:val="RepTableSmall"/>
              <w:keepNext/>
              <w:rPr>
                <w:szCs w:val="16"/>
                <w:lang w:val="en-GB"/>
              </w:rPr>
            </w:pPr>
          </w:p>
        </w:tc>
        <w:tc>
          <w:tcPr>
            <w:tcW w:w="0" w:type="auto"/>
            <w:tcBorders>
              <w:top w:val="single" w:sz="4" w:space="0" w:color="auto"/>
              <w:left w:val="single" w:sz="4" w:space="0" w:color="auto"/>
              <w:bottom w:val="single" w:sz="4" w:space="0" w:color="auto"/>
              <w:right w:val="single" w:sz="4" w:space="0" w:color="auto"/>
            </w:tcBorders>
            <w:shd w:val="clear" w:color="auto" w:fill="92D050"/>
          </w:tcPr>
          <w:p w14:paraId="60ADC8B1" w14:textId="77777777" w:rsidR="00FC7A68" w:rsidRDefault="00FC7A68" w:rsidP="00FC7A68">
            <w:pPr>
              <w:pStyle w:val="RepTableSmall"/>
              <w:keepNext/>
              <w:rPr>
                <w:szCs w:val="16"/>
                <w:lang w:val="en-GB"/>
              </w:rPr>
            </w:pPr>
          </w:p>
        </w:tc>
      </w:tr>
    </w:tbl>
    <w:p w14:paraId="5364081F" w14:textId="77777777" w:rsidR="002262EA" w:rsidRDefault="002262EA" w:rsidP="00AA32CE">
      <w:pPr>
        <w:pStyle w:val="RepTableFootnote"/>
        <w:rPr>
          <w:sz w:val="16"/>
          <w:szCs w:val="16"/>
          <w:lang w:val="en-GB"/>
        </w:rPr>
      </w:pPr>
    </w:p>
    <w:p w14:paraId="49611714" w14:textId="1CE3348F" w:rsidR="00C06DED" w:rsidRPr="00983DD1" w:rsidRDefault="00C06DED" w:rsidP="00AA32CE">
      <w:pPr>
        <w:pStyle w:val="RepTableFootnote"/>
        <w:rPr>
          <w:sz w:val="16"/>
          <w:szCs w:val="16"/>
          <w:lang w:val="en-GB"/>
        </w:rPr>
      </w:pPr>
      <w:r w:rsidRPr="00983DD1">
        <w:rPr>
          <w:sz w:val="16"/>
          <w:szCs w:val="16"/>
          <w:lang w:val="en-GB"/>
        </w:rPr>
        <w:lastRenderedPageBreak/>
        <w:t xml:space="preserve">* </w:t>
      </w:r>
      <w:r w:rsidRPr="00983DD1">
        <w:rPr>
          <w:sz w:val="16"/>
          <w:szCs w:val="16"/>
          <w:lang w:val="en-GB"/>
        </w:rPr>
        <w:tab/>
        <w:t xml:space="preserve">Use number(s) in accordance with the list of all intended GAPs in Part B, Section 0 should be given in column 1 </w:t>
      </w:r>
    </w:p>
    <w:p w14:paraId="2CBF439E" w14:textId="04B11204" w:rsidR="00C06DED" w:rsidRPr="00983DD1" w:rsidRDefault="00C06DED" w:rsidP="00AA32CE">
      <w:pPr>
        <w:pStyle w:val="RepTableFootnote"/>
        <w:rPr>
          <w:sz w:val="16"/>
          <w:szCs w:val="16"/>
          <w:lang w:val="en-GB"/>
        </w:rPr>
      </w:pPr>
      <w:r w:rsidRPr="00983DD1">
        <w:rPr>
          <w:sz w:val="16"/>
          <w:szCs w:val="16"/>
          <w:lang w:val="en-GB"/>
        </w:rPr>
        <w:t xml:space="preserve">** </w:t>
      </w:r>
      <w:r w:rsidRPr="00983DD1">
        <w:rPr>
          <w:sz w:val="16"/>
          <w:szCs w:val="16"/>
          <w:lang w:val="en-GB"/>
        </w:rPr>
        <w:tab/>
        <w:t>F: professional field use, Fn: non-professional field use, Fpn: professional and non-professional field use, G: professional greenhouse use, Gn: non-professional greenhouse use, Gpn: professional and non-professional greenhouse use, I: indoor application</w:t>
      </w:r>
    </w:p>
    <w:p w14:paraId="3D3CD58D" w14:textId="77777777" w:rsidR="00D97FB8" w:rsidRPr="00983DD1" w:rsidRDefault="00D97FB8" w:rsidP="00D97FB8">
      <w:pPr>
        <w:pStyle w:val="RepStandard"/>
        <w:rPr>
          <w:sz w:val="16"/>
          <w:szCs w:val="16"/>
        </w:rPr>
      </w:pPr>
      <w:r w:rsidRPr="00983DD1">
        <w:rPr>
          <w:sz w:val="16"/>
          <w:szCs w:val="16"/>
          <w:vertAlign w:val="superscript"/>
        </w:rPr>
        <w:t>1)</w:t>
      </w:r>
      <w:r w:rsidRPr="00983DD1">
        <w:rPr>
          <w:sz w:val="16"/>
          <w:szCs w:val="16"/>
        </w:rPr>
        <w:t xml:space="preserve"> Fluxapyroxad</w:t>
      </w:r>
    </w:p>
    <w:p w14:paraId="4091C6B6" w14:textId="3BB79601" w:rsidR="00C06DED" w:rsidRDefault="00D97FB8" w:rsidP="00983DD1">
      <w:pPr>
        <w:pStyle w:val="RepStandard"/>
        <w:rPr>
          <w:sz w:val="16"/>
          <w:szCs w:val="16"/>
        </w:rPr>
      </w:pPr>
      <w:r w:rsidRPr="00983DD1">
        <w:rPr>
          <w:sz w:val="16"/>
          <w:szCs w:val="16"/>
          <w:vertAlign w:val="superscript"/>
        </w:rPr>
        <w:t>2)</w:t>
      </w:r>
      <w:r w:rsidRPr="00983DD1">
        <w:rPr>
          <w:sz w:val="16"/>
          <w:szCs w:val="16"/>
        </w:rPr>
        <w:t xml:space="preserve"> Azoxystrobin</w:t>
      </w:r>
    </w:p>
    <w:p w14:paraId="0D0275D0" w14:textId="0D4B3BE9" w:rsidR="006166CC" w:rsidRDefault="006166CC" w:rsidP="00983DD1">
      <w:pPr>
        <w:pStyle w:val="RepStandard"/>
        <w:rPr>
          <w:sz w:val="16"/>
          <w:szCs w:val="16"/>
        </w:rPr>
      </w:pPr>
      <w:r w:rsidRPr="006166CC">
        <w:rPr>
          <w:noProof/>
          <w:sz w:val="16"/>
          <w:szCs w:val="16"/>
          <w:highlight w:val="cyan"/>
        </w:rPr>
        <w:t># only for scenario R3</w:t>
      </w:r>
    </w:p>
    <w:p w14:paraId="6452E475" w14:textId="77777777" w:rsidR="00983DD1" w:rsidRPr="002B1114" w:rsidRDefault="00983DD1" w:rsidP="00983DD1">
      <w:pPr>
        <w:pStyle w:val="RepStandard"/>
        <w:rPr>
          <w:color w:val="000000"/>
          <w:lang w:eastAsia="en-US"/>
        </w:rPr>
      </w:pPr>
    </w:p>
    <w:p w14:paraId="33810471" w14:textId="77777777" w:rsidR="00C06DED" w:rsidRPr="002B1114" w:rsidRDefault="00C06DED" w:rsidP="00AA32CE">
      <w:pPr>
        <w:pStyle w:val="RepStandard"/>
      </w:pPr>
      <w:r w:rsidRPr="002B1114">
        <w:t>Explanation for column 15 – 21 “Conclusion”</w:t>
      </w:r>
    </w:p>
    <w:tbl>
      <w:tblPr>
        <w:tblW w:w="4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176"/>
      </w:tblGrid>
      <w:tr w:rsidR="00C06DED" w:rsidRPr="002B1114" w14:paraId="04AD1FCA" w14:textId="77777777" w:rsidTr="006F3DE2">
        <w:trPr>
          <w:cantSplit/>
          <w:trHeight w:val="240"/>
        </w:trPr>
        <w:tc>
          <w:tcPr>
            <w:tcW w:w="361" w:type="dxa"/>
            <w:shd w:val="clear" w:color="auto" w:fill="92D050"/>
            <w:tcMar>
              <w:left w:w="57" w:type="dxa"/>
              <w:right w:w="57" w:type="dxa"/>
            </w:tcMar>
            <w:vAlign w:val="center"/>
          </w:tcPr>
          <w:p w14:paraId="77943219" w14:textId="77777777" w:rsidR="00C06DED" w:rsidRPr="002B1114" w:rsidRDefault="00C06DED" w:rsidP="00AA32CE">
            <w:pPr>
              <w:pStyle w:val="RepTableSmall"/>
              <w:rPr>
                <w:lang w:val="en-GB"/>
              </w:rPr>
            </w:pPr>
            <w:r w:rsidRPr="002B1114">
              <w:rPr>
                <w:lang w:val="en-GB"/>
              </w:rPr>
              <w:t>A</w:t>
            </w:r>
          </w:p>
        </w:tc>
        <w:tc>
          <w:tcPr>
            <w:tcW w:w="4176" w:type="dxa"/>
            <w:tcMar>
              <w:left w:w="57" w:type="dxa"/>
              <w:right w:w="57" w:type="dxa"/>
            </w:tcMar>
            <w:vAlign w:val="center"/>
          </w:tcPr>
          <w:p w14:paraId="0B52DB20" w14:textId="77777777" w:rsidR="00C06DED" w:rsidRPr="002B1114" w:rsidRDefault="00196532" w:rsidP="00AA32CE">
            <w:pPr>
              <w:pStyle w:val="RepTableSmall"/>
              <w:rPr>
                <w:lang w:val="en-GB"/>
              </w:rPr>
            </w:pPr>
            <w:r w:rsidRPr="002B1114">
              <w:rPr>
                <w:lang w:val="en-GB"/>
              </w:rPr>
              <w:t xml:space="preserve">Acceptable, </w:t>
            </w:r>
            <w:r w:rsidR="00C06DED" w:rsidRPr="002B1114">
              <w:rPr>
                <w:lang w:val="en-GB"/>
              </w:rPr>
              <w:t>Safe use</w:t>
            </w:r>
          </w:p>
        </w:tc>
      </w:tr>
      <w:tr w:rsidR="00C06DED" w:rsidRPr="002B1114" w14:paraId="025AC1F7" w14:textId="77777777" w:rsidTr="00C06DED">
        <w:trPr>
          <w:cantSplit/>
          <w:trHeight w:val="240"/>
        </w:trPr>
        <w:tc>
          <w:tcPr>
            <w:tcW w:w="361" w:type="dxa"/>
            <w:shd w:val="clear" w:color="auto" w:fill="FFFF00"/>
            <w:tcMar>
              <w:left w:w="57" w:type="dxa"/>
              <w:right w:w="57" w:type="dxa"/>
            </w:tcMar>
            <w:vAlign w:val="center"/>
          </w:tcPr>
          <w:p w14:paraId="00A92E9A" w14:textId="77777777" w:rsidR="00C06DED" w:rsidRPr="002B1114" w:rsidRDefault="006F3DE2" w:rsidP="00AA32CE">
            <w:pPr>
              <w:pStyle w:val="RepTableSmall"/>
              <w:rPr>
                <w:lang w:val="en-GB"/>
              </w:rPr>
            </w:pPr>
            <w:r w:rsidRPr="002B1114">
              <w:rPr>
                <w:lang w:val="en-GB"/>
              </w:rPr>
              <w:t>R</w:t>
            </w:r>
          </w:p>
        </w:tc>
        <w:tc>
          <w:tcPr>
            <w:tcW w:w="4176" w:type="dxa"/>
            <w:tcMar>
              <w:left w:w="57" w:type="dxa"/>
              <w:right w:w="57" w:type="dxa"/>
            </w:tcMar>
            <w:vAlign w:val="center"/>
          </w:tcPr>
          <w:p w14:paraId="756D6F7B" w14:textId="77777777" w:rsidR="00C06DED" w:rsidRPr="002B1114" w:rsidRDefault="00C06DED" w:rsidP="00AA32CE">
            <w:pPr>
              <w:pStyle w:val="RepTableSmall"/>
              <w:rPr>
                <w:lang w:val="en-GB"/>
              </w:rPr>
            </w:pPr>
            <w:r w:rsidRPr="002B1114">
              <w:rPr>
                <w:lang w:val="en-GB"/>
              </w:rPr>
              <w:t>Further refinement and/or risk mitigation measures required</w:t>
            </w:r>
          </w:p>
        </w:tc>
      </w:tr>
      <w:tr w:rsidR="00C06DED" w:rsidRPr="002B1114" w14:paraId="152D777B" w14:textId="77777777" w:rsidTr="00C06DED">
        <w:trPr>
          <w:cantSplit/>
          <w:trHeight w:val="240"/>
        </w:trPr>
        <w:tc>
          <w:tcPr>
            <w:tcW w:w="361" w:type="dxa"/>
            <w:shd w:val="clear" w:color="auto" w:fill="BDD6EE"/>
            <w:tcMar>
              <w:left w:w="57" w:type="dxa"/>
              <w:right w:w="57" w:type="dxa"/>
            </w:tcMar>
            <w:vAlign w:val="center"/>
          </w:tcPr>
          <w:p w14:paraId="6ECFDE8B" w14:textId="77777777" w:rsidR="00C06DED" w:rsidRPr="002B1114" w:rsidRDefault="00C06DED" w:rsidP="00AA32CE">
            <w:pPr>
              <w:pStyle w:val="RepTableSmall"/>
              <w:rPr>
                <w:lang w:val="en-GB"/>
              </w:rPr>
            </w:pPr>
            <w:r w:rsidRPr="002B1114">
              <w:rPr>
                <w:lang w:val="en-GB"/>
              </w:rPr>
              <w:t>C</w:t>
            </w:r>
          </w:p>
        </w:tc>
        <w:tc>
          <w:tcPr>
            <w:tcW w:w="4176" w:type="dxa"/>
            <w:tcMar>
              <w:left w:w="57" w:type="dxa"/>
              <w:right w:w="57" w:type="dxa"/>
            </w:tcMar>
            <w:vAlign w:val="center"/>
          </w:tcPr>
          <w:p w14:paraId="37997515" w14:textId="77777777" w:rsidR="00C06DED" w:rsidRPr="002B1114" w:rsidRDefault="00C06DED" w:rsidP="00AA32CE">
            <w:pPr>
              <w:pStyle w:val="RepTableSmall"/>
              <w:rPr>
                <w:lang w:val="en-GB"/>
              </w:rPr>
            </w:pPr>
            <w:r w:rsidRPr="002B1114">
              <w:rPr>
                <w:lang w:val="en-GB"/>
              </w:rPr>
              <w:t>To be confirmed by cMS</w:t>
            </w:r>
          </w:p>
        </w:tc>
      </w:tr>
      <w:tr w:rsidR="00C06DED" w:rsidRPr="002B1114" w14:paraId="4390E59D" w14:textId="77777777" w:rsidTr="006F3DE2">
        <w:trPr>
          <w:cantSplit/>
          <w:trHeight w:val="240"/>
        </w:trPr>
        <w:tc>
          <w:tcPr>
            <w:tcW w:w="361" w:type="dxa"/>
            <w:shd w:val="clear" w:color="auto" w:fill="FF0000"/>
            <w:tcMar>
              <w:left w:w="57" w:type="dxa"/>
              <w:right w:w="57" w:type="dxa"/>
            </w:tcMar>
            <w:vAlign w:val="center"/>
          </w:tcPr>
          <w:p w14:paraId="0C4D5CCA" w14:textId="77777777" w:rsidR="00C06DED" w:rsidRPr="002B1114" w:rsidRDefault="00C06DED" w:rsidP="00AA32CE">
            <w:pPr>
              <w:pStyle w:val="RepTableSmall"/>
              <w:rPr>
                <w:lang w:val="en-GB"/>
              </w:rPr>
            </w:pPr>
            <w:r w:rsidRPr="002B1114">
              <w:rPr>
                <w:lang w:val="en-GB"/>
              </w:rPr>
              <w:t>N</w:t>
            </w:r>
          </w:p>
        </w:tc>
        <w:tc>
          <w:tcPr>
            <w:tcW w:w="4176" w:type="dxa"/>
            <w:tcMar>
              <w:left w:w="57" w:type="dxa"/>
              <w:right w:w="57" w:type="dxa"/>
            </w:tcMar>
            <w:vAlign w:val="center"/>
          </w:tcPr>
          <w:p w14:paraId="0EED6037" w14:textId="77777777" w:rsidR="00C06DED" w:rsidRPr="002B1114" w:rsidRDefault="00C06DED" w:rsidP="00AA32CE">
            <w:pPr>
              <w:pStyle w:val="RepTableSmall"/>
              <w:rPr>
                <w:lang w:val="en-GB"/>
              </w:rPr>
            </w:pPr>
            <w:r w:rsidRPr="002B1114">
              <w:rPr>
                <w:lang w:val="en-GB"/>
              </w:rPr>
              <w:t>No safe use</w:t>
            </w:r>
          </w:p>
        </w:tc>
      </w:tr>
    </w:tbl>
    <w:p w14:paraId="28C58464" w14:textId="77777777" w:rsidR="00C06DED" w:rsidRPr="002B1114" w:rsidRDefault="00C06DED" w:rsidP="00AA32CE">
      <w:pPr>
        <w:pStyle w:val="RepStandard"/>
      </w:pPr>
    </w:p>
    <w:tbl>
      <w:tblPr>
        <w:tblW w:w="14716" w:type="dxa"/>
        <w:tblLayout w:type="fixed"/>
        <w:tblCellMar>
          <w:left w:w="115" w:type="dxa"/>
          <w:right w:w="115" w:type="dxa"/>
        </w:tblCellMar>
        <w:tblLook w:val="0000" w:firstRow="0" w:lastRow="0" w:firstColumn="0" w:lastColumn="0" w:noHBand="0" w:noVBand="0"/>
      </w:tblPr>
      <w:tblGrid>
        <w:gridCol w:w="955"/>
        <w:gridCol w:w="6531"/>
        <w:gridCol w:w="284"/>
        <w:gridCol w:w="6946"/>
      </w:tblGrid>
      <w:tr w:rsidR="00720E1C" w:rsidRPr="002B1114" w14:paraId="51BD7638" w14:textId="77777777" w:rsidTr="000E0A09">
        <w:trPr>
          <w:cantSplit/>
          <w:trHeight w:val="87"/>
        </w:trPr>
        <w:tc>
          <w:tcPr>
            <w:tcW w:w="955" w:type="dxa"/>
            <w:tcBorders>
              <w:bottom w:val="nil"/>
            </w:tcBorders>
            <w:vAlign w:val="center"/>
          </w:tcPr>
          <w:p w14:paraId="3C74A753" w14:textId="77777777" w:rsidR="00720E1C" w:rsidRPr="002B1114" w:rsidRDefault="00720E1C" w:rsidP="000E0A09">
            <w:pPr>
              <w:pStyle w:val="TableText8pt"/>
              <w:spacing w:before="0" w:after="0"/>
              <w:jc w:val="left"/>
              <w:rPr>
                <w:b/>
                <w:szCs w:val="16"/>
              </w:rPr>
            </w:pPr>
          </w:p>
        </w:tc>
        <w:tc>
          <w:tcPr>
            <w:tcW w:w="6531" w:type="dxa"/>
            <w:tcBorders>
              <w:bottom w:val="nil"/>
            </w:tcBorders>
            <w:vAlign w:val="center"/>
          </w:tcPr>
          <w:p w14:paraId="6244016D" w14:textId="77777777" w:rsidR="00720E1C" w:rsidRPr="002B1114" w:rsidRDefault="00720E1C" w:rsidP="000E0A09">
            <w:pPr>
              <w:pStyle w:val="TableText8pt"/>
              <w:spacing w:before="0" w:after="0"/>
              <w:ind w:left="328" w:hanging="328"/>
              <w:jc w:val="left"/>
              <w:rPr>
                <w:szCs w:val="16"/>
              </w:rPr>
            </w:pPr>
          </w:p>
        </w:tc>
        <w:tc>
          <w:tcPr>
            <w:tcW w:w="284" w:type="dxa"/>
            <w:tcBorders>
              <w:bottom w:val="nil"/>
            </w:tcBorders>
            <w:vAlign w:val="center"/>
          </w:tcPr>
          <w:p w14:paraId="65F7B07A" w14:textId="77777777" w:rsidR="00720E1C" w:rsidRPr="002B1114" w:rsidRDefault="00720E1C" w:rsidP="000E0A09">
            <w:pPr>
              <w:pStyle w:val="TableText8pt"/>
              <w:spacing w:before="0" w:after="0"/>
              <w:jc w:val="left"/>
            </w:pPr>
          </w:p>
        </w:tc>
        <w:tc>
          <w:tcPr>
            <w:tcW w:w="6946" w:type="dxa"/>
            <w:tcBorders>
              <w:bottom w:val="nil"/>
            </w:tcBorders>
            <w:vAlign w:val="center"/>
          </w:tcPr>
          <w:p w14:paraId="6A3A1827" w14:textId="77777777" w:rsidR="00720E1C" w:rsidRPr="002B1114" w:rsidRDefault="00720E1C" w:rsidP="000E0A09">
            <w:pPr>
              <w:pStyle w:val="TableText8pt"/>
              <w:spacing w:before="0" w:after="0"/>
              <w:ind w:left="315" w:hanging="315"/>
              <w:jc w:val="left"/>
            </w:pPr>
          </w:p>
        </w:tc>
      </w:tr>
      <w:tr w:rsidR="00720E1C" w:rsidRPr="002B1114" w14:paraId="1D9F5A30" w14:textId="77777777" w:rsidTr="000E0A09">
        <w:trPr>
          <w:cantSplit/>
          <w:trHeight w:val="87"/>
        </w:trPr>
        <w:tc>
          <w:tcPr>
            <w:tcW w:w="955" w:type="dxa"/>
            <w:tcBorders>
              <w:bottom w:val="nil"/>
            </w:tcBorders>
          </w:tcPr>
          <w:p w14:paraId="6C6D2B51" w14:textId="77777777" w:rsidR="00720E1C" w:rsidRPr="002B1114" w:rsidRDefault="00720E1C" w:rsidP="000E0A09">
            <w:pPr>
              <w:pStyle w:val="TableText8pt"/>
              <w:spacing w:before="0" w:after="0"/>
              <w:jc w:val="left"/>
              <w:rPr>
                <w:b/>
                <w:szCs w:val="16"/>
              </w:rPr>
            </w:pPr>
            <w:r w:rsidRPr="002B1114">
              <w:rPr>
                <w:b/>
                <w:szCs w:val="16"/>
              </w:rPr>
              <w:t>Remarks</w:t>
            </w:r>
          </w:p>
          <w:p w14:paraId="3323AEA0" w14:textId="77777777" w:rsidR="00720E1C" w:rsidRPr="002B1114" w:rsidRDefault="00720E1C" w:rsidP="000E0A09">
            <w:pPr>
              <w:pStyle w:val="TableText8pt"/>
              <w:spacing w:before="0" w:after="0"/>
              <w:jc w:val="left"/>
              <w:rPr>
                <w:szCs w:val="16"/>
              </w:rPr>
            </w:pPr>
            <w:r w:rsidRPr="002B1114">
              <w:rPr>
                <w:b/>
                <w:szCs w:val="16"/>
              </w:rPr>
              <w:t>table:</w:t>
            </w:r>
          </w:p>
        </w:tc>
        <w:tc>
          <w:tcPr>
            <w:tcW w:w="6531" w:type="dxa"/>
            <w:tcBorders>
              <w:bottom w:val="nil"/>
            </w:tcBorders>
          </w:tcPr>
          <w:p w14:paraId="7AEEEEB0" w14:textId="77777777" w:rsidR="00720E1C" w:rsidRPr="002B1114" w:rsidRDefault="00720E1C" w:rsidP="000E0A09">
            <w:pPr>
              <w:pStyle w:val="TableText8pt"/>
              <w:spacing w:before="0" w:after="0"/>
              <w:ind w:left="328" w:hanging="328"/>
              <w:jc w:val="left"/>
              <w:rPr>
                <w:szCs w:val="16"/>
              </w:rPr>
            </w:pPr>
            <w:r w:rsidRPr="002B1114">
              <w:rPr>
                <w:szCs w:val="16"/>
              </w:rPr>
              <w:t>(1)</w:t>
            </w:r>
            <w:r w:rsidRPr="002B1114">
              <w:rPr>
                <w:szCs w:val="16"/>
              </w:rPr>
              <w:tab/>
              <w:t>Numeration necessary to allow references</w:t>
            </w:r>
          </w:p>
          <w:p w14:paraId="3B47C97A" w14:textId="77777777" w:rsidR="00720E1C" w:rsidRPr="002B1114" w:rsidRDefault="00720E1C" w:rsidP="000E0A09">
            <w:pPr>
              <w:pStyle w:val="TableText8pt"/>
              <w:spacing w:before="0" w:after="0"/>
              <w:ind w:left="328" w:hanging="328"/>
              <w:jc w:val="left"/>
              <w:rPr>
                <w:szCs w:val="16"/>
              </w:rPr>
            </w:pPr>
            <w:r w:rsidRPr="002B1114">
              <w:rPr>
                <w:szCs w:val="16"/>
              </w:rPr>
              <w:t>(2)</w:t>
            </w:r>
            <w:r w:rsidRPr="002B1114">
              <w:rPr>
                <w:szCs w:val="16"/>
              </w:rPr>
              <w:tab/>
              <w:t xml:space="preserve">Use official codes/nomenclatures of EU </w:t>
            </w:r>
          </w:p>
          <w:p w14:paraId="4C092AC1" w14:textId="77777777" w:rsidR="00720E1C" w:rsidRPr="002B1114" w:rsidRDefault="00720E1C" w:rsidP="000E0A09">
            <w:pPr>
              <w:pStyle w:val="TableText8pt"/>
              <w:spacing w:before="0" w:after="0"/>
              <w:ind w:left="328" w:hanging="328"/>
              <w:jc w:val="left"/>
              <w:rPr>
                <w:szCs w:val="16"/>
              </w:rPr>
            </w:pPr>
            <w:r w:rsidRPr="002B1114">
              <w:rPr>
                <w:szCs w:val="16"/>
              </w:rPr>
              <w:t>(3)</w:t>
            </w:r>
            <w:r w:rsidRPr="002B1114">
              <w:rPr>
                <w:szCs w:val="16"/>
              </w:rPr>
              <w:tab/>
              <w:t>For crops, the EU and Codex classifications (both) should be used; where relevant, the use situation should be described (</w:t>
            </w:r>
            <w:r w:rsidRPr="002B1114">
              <w:rPr>
                <w:i/>
                <w:szCs w:val="16"/>
              </w:rPr>
              <w:t>e.g.</w:t>
            </w:r>
            <w:r w:rsidRPr="002B1114">
              <w:rPr>
                <w:szCs w:val="16"/>
              </w:rPr>
              <w:t xml:space="preserve"> fumigation of a structure)</w:t>
            </w:r>
          </w:p>
          <w:p w14:paraId="16BA1B5D" w14:textId="77777777" w:rsidR="00720E1C" w:rsidRPr="002B1114" w:rsidRDefault="00720E1C" w:rsidP="000E0A09">
            <w:pPr>
              <w:pStyle w:val="TableText8pt"/>
              <w:spacing w:before="0" w:after="0"/>
              <w:ind w:left="328" w:hanging="328"/>
              <w:jc w:val="left"/>
              <w:rPr>
                <w:szCs w:val="16"/>
              </w:rPr>
            </w:pPr>
            <w:r w:rsidRPr="002B1114">
              <w:rPr>
                <w:szCs w:val="16"/>
              </w:rPr>
              <w:t>(4)</w:t>
            </w:r>
            <w:r w:rsidRPr="002B1114">
              <w:rPr>
                <w:szCs w:val="16"/>
              </w:rPr>
              <w:tab/>
              <w:t xml:space="preserve">F: professional field use, Fn: non-professional field use, Fpn: professional and non-professional field use, G: professional greenhouse use, Gn: non-professional greenhouse use, Gpn: professional and non-professional greenhouse use, I: indoor application </w:t>
            </w:r>
          </w:p>
          <w:p w14:paraId="7CB86BD0" w14:textId="77777777" w:rsidR="00720E1C" w:rsidRPr="002B1114" w:rsidRDefault="00720E1C" w:rsidP="000E0A09">
            <w:pPr>
              <w:pStyle w:val="TableText8pt"/>
              <w:spacing w:before="0" w:after="0"/>
              <w:ind w:left="328" w:hanging="328"/>
              <w:jc w:val="left"/>
              <w:rPr>
                <w:szCs w:val="16"/>
              </w:rPr>
            </w:pPr>
            <w:bookmarkStart w:id="22" w:name="OLE_LINK3"/>
            <w:bookmarkStart w:id="23" w:name="OLE_LINK4"/>
            <w:r w:rsidRPr="002B1114">
              <w:rPr>
                <w:szCs w:val="16"/>
              </w:rPr>
              <w:t>(5)</w:t>
            </w:r>
            <w:r w:rsidRPr="002B1114">
              <w:rPr>
                <w:szCs w:val="16"/>
              </w:rPr>
              <w:tab/>
            </w:r>
            <w:bookmarkEnd w:id="22"/>
            <w:bookmarkEnd w:id="23"/>
            <w:r w:rsidRPr="002B1114">
              <w:rPr>
                <w:szCs w:val="16"/>
              </w:rPr>
              <w:t xml:space="preserve">Scientific names </w:t>
            </w:r>
            <w:r w:rsidRPr="002B1114">
              <w:rPr>
                <w:szCs w:val="16"/>
                <w:u w:val="single"/>
              </w:rPr>
              <w:t>and</w:t>
            </w:r>
            <w:r w:rsidRPr="002B1114">
              <w:rPr>
                <w:szCs w:val="16"/>
              </w:rPr>
              <w:t xml:space="preserve">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4A0D1122" w14:textId="77777777" w:rsidR="00720E1C" w:rsidRPr="002B1114" w:rsidRDefault="00720E1C" w:rsidP="000E0A09">
            <w:pPr>
              <w:pStyle w:val="TableText8pt"/>
              <w:spacing w:before="0" w:after="0"/>
              <w:ind w:left="328" w:hanging="328"/>
              <w:jc w:val="left"/>
              <w:rPr>
                <w:szCs w:val="16"/>
              </w:rPr>
            </w:pPr>
            <w:r w:rsidRPr="002B1114">
              <w:rPr>
                <w:szCs w:val="16"/>
              </w:rPr>
              <w:t>(6)</w:t>
            </w:r>
            <w:r w:rsidRPr="002B1114">
              <w:rPr>
                <w:szCs w:val="16"/>
              </w:rPr>
              <w:tab/>
              <w:t>Method, e.g. high volume spraying, low volume spraying, spreading, dusting, drench</w:t>
            </w:r>
          </w:p>
          <w:p w14:paraId="725727E1" w14:textId="77777777" w:rsidR="00720E1C" w:rsidRPr="002B1114" w:rsidRDefault="00720E1C" w:rsidP="000E0A09">
            <w:pPr>
              <w:pStyle w:val="TableText8pt"/>
              <w:spacing w:before="0" w:after="0"/>
              <w:ind w:left="315" w:hanging="315"/>
              <w:jc w:val="left"/>
              <w:rPr>
                <w:szCs w:val="16"/>
              </w:rPr>
            </w:pPr>
            <w:r w:rsidRPr="002B1114">
              <w:rPr>
                <w:szCs w:val="16"/>
              </w:rPr>
              <w:tab/>
              <w:t>Kind, e.g. overall, broadcast, aerial spraying, row, individual plant, between the plants - type of equipment used must be indicated</w:t>
            </w:r>
          </w:p>
          <w:p w14:paraId="14A1DD79" w14:textId="77777777" w:rsidR="00720E1C" w:rsidRPr="002B1114" w:rsidRDefault="00720E1C" w:rsidP="000E0A09">
            <w:pPr>
              <w:pStyle w:val="TableText8pt"/>
              <w:spacing w:before="0" w:after="0"/>
              <w:ind w:left="315" w:hanging="315"/>
              <w:jc w:val="left"/>
            </w:pPr>
          </w:p>
        </w:tc>
        <w:tc>
          <w:tcPr>
            <w:tcW w:w="284" w:type="dxa"/>
            <w:tcBorders>
              <w:bottom w:val="nil"/>
            </w:tcBorders>
          </w:tcPr>
          <w:p w14:paraId="20BA32D1" w14:textId="77777777" w:rsidR="00720E1C" w:rsidRPr="002B1114" w:rsidRDefault="00720E1C" w:rsidP="000E0A09">
            <w:pPr>
              <w:pStyle w:val="TableText8pt"/>
              <w:spacing w:before="0" w:after="0"/>
              <w:jc w:val="left"/>
            </w:pPr>
          </w:p>
        </w:tc>
        <w:tc>
          <w:tcPr>
            <w:tcW w:w="6946" w:type="dxa"/>
            <w:tcBorders>
              <w:bottom w:val="nil"/>
            </w:tcBorders>
          </w:tcPr>
          <w:p w14:paraId="223C36D2" w14:textId="77777777" w:rsidR="00720E1C" w:rsidRPr="002B1114" w:rsidRDefault="00720E1C" w:rsidP="000E0A09">
            <w:pPr>
              <w:pStyle w:val="TableText8pt"/>
              <w:spacing w:before="0" w:after="0"/>
              <w:ind w:left="315" w:hanging="315"/>
              <w:jc w:val="left"/>
            </w:pPr>
            <w:r w:rsidRPr="002B1114">
              <w:t>(7)</w:t>
            </w:r>
            <w:r w:rsidRPr="002B1114">
              <w:tab/>
              <w:t>Growth stage at first and last treatment (BBCH Monograph, Growth Stages of Plants, 1997, Blackwell, ISBN 3</w:t>
            </w:r>
            <w:r w:rsidRPr="002B1114">
              <w:noBreakHyphen/>
              <w:t xml:space="preserve">8263-3152-4), including where relevant, information on season at time of application </w:t>
            </w:r>
          </w:p>
          <w:p w14:paraId="7B0FE749" w14:textId="77777777" w:rsidR="00720E1C" w:rsidRPr="002B1114" w:rsidRDefault="00720E1C" w:rsidP="000E0A09">
            <w:pPr>
              <w:pStyle w:val="TableText8pt"/>
              <w:spacing w:before="0" w:after="0"/>
              <w:ind w:left="315" w:hanging="315"/>
              <w:jc w:val="left"/>
            </w:pPr>
            <w:r w:rsidRPr="002B1114">
              <w:t>(8)</w:t>
            </w:r>
            <w:r w:rsidRPr="002B1114">
              <w:tab/>
              <w:t>The maximum number of application possible under practical conditions of use must be provided</w:t>
            </w:r>
          </w:p>
          <w:p w14:paraId="2C28C2EC" w14:textId="77777777" w:rsidR="00720E1C" w:rsidRPr="002B1114" w:rsidRDefault="00720E1C" w:rsidP="000E0A09">
            <w:pPr>
              <w:pStyle w:val="TableText8pt"/>
              <w:spacing w:before="0" w:after="0"/>
              <w:ind w:left="315" w:hanging="315"/>
              <w:jc w:val="left"/>
            </w:pPr>
            <w:r w:rsidRPr="002B1114">
              <w:t>(9)</w:t>
            </w:r>
            <w:r w:rsidRPr="002B1114">
              <w:tab/>
              <w:t>Minimum interval (in days) between applications of the same product.</w:t>
            </w:r>
          </w:p>
          <w:p w14:paraId="32CAA4B0" w14:textId="77777777" w:rsidR="00720E1C" w:rsidRPr="002B1114" w:rsidRDefault="00720E1C" w:rsidP="000E0A09">
            <w:pPr>
              <w:pStyle w:val="TableText8pt"/>
              <w:spacing w:before="0" w:after="0"/>
              <w:ind w:left="315" w:hanging="315"/>
              <w:jc w:val="left"/>
            </w:pPr>
            <w:r w:rsidRPr="002B1114">
              <w:t>(10)</w:t>
            </w:r>
            <w:r w:rsidRPr="002B1114">
              <w:tab/>
              <w:t>For specific uses other specifications might be possible, e.g.: g/m³ in case of fumigation of empty rooms. See also EPPO-Guideline PP 1/239 Dose expression for plant protection products</w:t>
            </w:r>
          </w:p>
          <w:p w14:paraId="231CBC52" w14:textId="77777777" w:rsidR="00720E1C" w:rsidRPr="002B1114" w:rsidRDefault="00720E1C" w:rsidP="000E0A09">
            <w:pPr>
              <w:pStyle w:val="TableText8pt"/>
              <w:spacing w:before="0" w:after="0"/>
              <w:ind w:left="315" w:hanging="315"/>
              <w:jc w:val="left"/>
            </w:pPr>
            <w:r w:rsidRPr="002B1114">
              <w:t>(11)</w:t>
            </w:r>
            <w:r w:rsidRPr="002B1114">
              <w:tab/>
              <w:t>The dimension (g, kg) must be clearly specified. (Maximum) dose of a.s. per treatment (usually g, kg or L product / ha).</w:t>
            </w:r>
          </w:p>
          <w:p w14:paraId="20715B1A" w14:textId="77777777" w:rsidR="00720E1C" w:rsidRPr="002B1114" w:rsidRDefault="00720E1C" w:rsidP="000E0A09">
            <w:pPr>
              <w:pStyle w:val="TableText8pt"/>
              <w:spacing w:before="0" w:after="0"/>
              <w:ind w:left="315" w:hanging="315"/>
              <w:jc w:val="left"/>
            </w:pPr>
            <w:r w:rsidRPr="002B1114">
              <w:t>(12)</w:t>
            </w:r>
            <w:r w:rsidRPr="002B1114">
              <w:tab/>
              <w:t>If water volume range depends on application equipments (e.g. ULVA or LVA) it should be mentioned under “application: method/kind”.</w:t>
            </w:r>
          </w:p>
          <w:p w14:paraId="37C0A899" w14:textId="77777777" w:rsidR="00720E1C" w:rsidRPr="002B1114" w:rsidRDefault="00720E1C" w:rsidP="000E0A09">
            <w:pPr>
              <w:pStyle w:val="TableText8pt"/>
              <w:spacing w:before="0" w:after="0"/>
              <w:ind w:left="315" w:hanging="315"/>
              <w:jc w:val="left"/>
            </w:pPr>
            <w:r w:rsidRPr="002B1114">
              <w:t>(13)</w:t>
            </w:r>
            <w:r w:rsidRPr="002B1114">
              <w:tab/>
              <w:t>PHI - minimum pre-harvest interval</w:t>
            </w:r>
          </w:p>
          <w:p w14:paraId="7510B93D" w14:textId="77777777" w:rsidR="00720E1C" w:rsidRPr="002B1114" w:rsidRDefault="00720E1C" w:rsidP="000E0A09">
            <w:pPr>
              <w:pStyle w:val="TableText8pt"/>
              <w:spacing w:before="0" w:after="0"/>
              <w:ind w:left="315" w:hanging="315"/>
              <w:jc w:val="left"/>
            </w:pPr>
            <w:r w:rsidRPr="002B1114">
              <w:t>(14)</w:t>
            </w:r>
            <w:r w:rsidRPr="002B1114">
              <w:tab/>
              <w:t>Remarks may include: Extent of use/economic importance/restrictions</w:t>
            </w:r>
          </w:p>
        </w:tc>
      </w:tr>
    </w:tbl>
    <w:p w14:paraId="0553B530" w14:textId="77777777" w:rsidR="00720E1C" w:rsidRPr="002B1114" w:rsidRDefault="00720E1C" w:rsidP="00720E1C">
      <w:pPr>
        <w:rPr>
          <w:color w:val="000000"/>
          <w:lang w:val="en-GB" w:eastAsia="en-US"/>
        </w:rPr>
      </w:pPr>
    </w:p>
    <w:p w14:paraId="775AAC6E" w14:textId="77777777" w:rsidR="00720E1C" w:rsidRPr="002B1114" w:rsidRDefault="00720E1C" w:rsidP="00AA32CE">
      <w:pPr>
        <w:pStyle w:val="RepStandard"/>
      </w:pPr>
    </w:p>
    <w:p w14:paraId="6C95E86D" w14:textId="77777777" w:rsidR="00720E1C" w:rsidRPr="002B1114" w:rsidRDefault="00720E1C" w:rsidP="00720E1C">
      <w:pPr>
        <w:pStyle w:val="RepStandard"/>
        <w:sectPr w:rsidR="00720E1C" w:rsidRPr="002B1114" w:rsidSect="00D20BDB">
          <w:pgSz w:w="16838" w:h="11906" w:orient="landscape"/>
          <w:pgMar w:top="1418" w:right="1134" w:bottom="1134" w:left="1134" w:header="709" w:footer="709" w:gutter="0"/>
          <w:pgNumType w:chapSep="period"/>
          <w:cols w:space="708"/>
          <w:docGrid w:linePitch="360"/>
        </w:sectPr>
      </w:pPr>
    </w:p>
    <w:p w14:paraId="4E02902A" w14:textId="77777777" w:rsidR="00D526BE" w:rsidRPr="009938D9" w:rsidRDefault="00D526BE" w:rsidP="009938D9">
      <w:pPr>
        <w:pStyle w:val="Nagwek3"/>
      </w:pPr>
      <w:bookmarkStart w:id="24" w:name="_Toc412643961"/>
      <w:bookmarkStart w:id="25" w:name="_Toc413916807"/>
      <w:bookmarkStart w:id="26" w:name="_Toc413916949"/>
      <w:bookmarkStart w:id="27" w:name="_Toc413922010"/>
      <w:bookmarkStart w:id="28" w:name="_Toc413922499"/>
      <w:bookmarkStart w:id="29" w:name="_Toc413922603"/>
      <w:bookmarkStart w:id="30" w:name="_Toc414955240"/>
      <w:bookmarkStart w:id="31" w:name="_Toc415214547"/>
      <w:bookmarkStart w:id="32" w:name="_Toc125446390"/>
      <w:r w:rsidRPr="009938D9">
        <w:lastRenderedPageBreak/>
        <w:t>Overall conclusions</w:t>
      </w:r>
      <w:bookmarkEnd w:id="24"/>
      <w:bookmarkEnd w:id="25"/>
      <w:bookmarkEnd w:id="26"/>
      <w:bookmarkEnd w:id="27"/>
      <w:bookmarkEnd w:id="28"/>
      <w:bookmarkEnd w:id="29"/>
      <w:bookmarkEnd w:id="30"/>
      <w:bookmarkEnd w:id="31"/>
      <w:bookmarkEnd w:id="32"/>
    </w:p>
    <w:p w14:paraId="0307D11C" w14:textId="62240A88" w:rsidR="00F25F77" w:rsidRPr="002E3CFC" w:rsidRDefault="002A31C0" w:rsidP="009938D9">
      <w:pPr>
        <w:pStyle w:val="Nagwek4"/>
        <w:rPr>
          <w:lang w:val="en-US"/>
        </w:rPr>
      </w:pPr>
      <w:bookmarkStart w:id="33" w:name="_Toc412643962"/>
      <w:bookmarkStart w:id="34" w:name="_Toc413916808"/>
      <w:bookmarkStart w:id="35" w:name="_Toc413916950"/>
      <w:bookmarkStart w:id="36" w:name="_Toc413922011"/>
      <w:bookmarkStart w:id="37" w:name="_Toc413922500"/>
      <w:bookmarkStart w:id="38" w:name="_Toc413922604"/>
      <w:bookmarkStart w:id="39" w:name="_Toc414955241"/>
      <w:bookmarkStart w:id="40" w:name="_Toc415214548"/>
      <w:bookmarkStart w:id="41" w:name="_Toc125446391"/>
      <w:r w:rsidRPr="002E3CFC">
        <w:rPr>
          <w:lang w:val="en-US"/>
        </w:rPr>
        <w:t>Effects on birds (KCP 10.1.1)</w:t>
      </w:r>
      <w:r w:rsidR="00D526BE" w:rsidRPr="002E3CFC">
        <w:rPr>
          <w:lang w:val="en-US"/>
        </w:rPr>
        <w:t xml:space="preserve">, </w:t>
      </w:r>
      <w:r w:rsidRPr="002E3CFC">
        <w:rPr>
          <w:lang w:val="en-US"/>
        </w:rPr>
        <w:t>Effects on terrestrial vertebrates other than birds (KCP 10.1.2)</w:t>
      </w:r>
      <w:r w:rsidR="00D526BE" w:rsidRPr="002E3CFC">
        <w:rPr>
          <w:lang w:val="en-US"/>
        </w:rPr>
        <w:t xml:space="preserve">, </w:t>
      </w:r>
      <w:r w:rsidRPr="002E3CFC">
        <w:rPr>
          <w:lang w:val="en-US"/>
        </w:rPr>
        <w:t>Effects on other terrestrial vertebrate wildlife (reptiles and amphibians) (KCP 10.1.3)</w:t>
      </w:r>
      <w:bookmarkEnd w:id="33"/>
      <w:bookmarkEnd w:id="34"/>
      <w:bookmarkEnd w:id="35"/>
      <w:bookmarkEnd w:id="36"/>
      <w:bookmarkEnd w:id="37"/>
      <w:bookmarkEnd w:id="38"/>
      <w:bookmarkEnd w:id="39"/>
      <w:bookmarkEnd w:id="40"/>
      <w:bookmarkEnd w:id="41"/>
    </w:p>
    <w:p w14:paraId="5DEDDE2F" w14:textId="77777777" w:rsidR="00F25F77" w:rsidRPr="009938D9" w:rsidRDefault="002A31C0" w:rsidP="009938D9">
      <w:pPr>
        <w:pStyle w:val="Nagwek5"/>
      </w:pPr>
      <w:r w:rsidRPr="009938D9">
        <w:t>Effects on birds (KCP 10.1.1)</w:t>
      </w:r>
    </w:p>
    <w:p w14:paraId="4101228F" w14:textId="77777777" w:rsidR="001F0B81" w:rsidRDefault="001F0B81" w:rsidP="001F0B81">
      <w:pPr>
        <w:pStyle w:val="OECD-BASIS-TEXT"/>
        <w:widowControl w:val="0"/>
        <w:rPr>
          <w:i/>
          <w:color w:val="auto"/>
          <w:sz w:val="22"/>
        </w:rPr>
      </w:pPr>
      <w:r>
        <w:rPr>
          <w:i/>
          <w:color w:val="auto"/>
          <w:sz w:val="22"/>
        </w:rPr>
        <w:t>Dietary risk assessment</w:t>
      </w:r>
    </w:p>
    <w:p w14:paraId="6397938D" w14:textId="77777777" w:rsidR="001F0B81" w:rsidRDefault="001F0B81" w:rsidP="001F0B81">
      <w:pPr>
        <w:widowControl w:val="0"/>
        <w:jc w:val="both"/>
        <w:rPr>
          <w:bCs/>
          <w:lang w:val="en-GB"/>
        </w:rPr>
      </w:pPr>
    </w:p>
    <w:p w14:paraId="49046CA0" w14:textId="77777777" w:rsidR="001F0B81" w:rsidRDefault="001F0B81" w:rsidP="001F0B81">
      <w:pPr>
        <w:widowControl w:val="0"/>
        <w:jc w:val="both"/>
        <w:rPr>
          <w:lang w:val="en-GB" w:eastAsia="en-US"/>
        </w:rPr>
      </w:pPr>
      <w:r>
        <w:rPr>
          <w:u w:val="single"/>
          <w:lang w:val="en-GB" w:eastAsia="en-US"/>
        </w:rPr>
        <w:t>Exposure to active substances separately</w:t>
      </w:r>
    </w:p>
    <w:p w14:paraId="2692860F" w14:textId="77777777" w:rsidR="001F0B81" w:rsidRDefault="001F0B81" w:rsidP="001F0B81">
      <w:pPr>
        <w:widowControl w:val="0"/>
        <w:jc w:val="both"/>
        <w:rPr>
          <w:bCs/>
          <w:lang w:val="en-GB"/>
        </w:rPr>
      </w:pPr>
    </w:p>
    <w:p w14:paraId="49C81F40" w14:textId="578EE8F1" w:rsidR="001F0B81" w:rsidRDefault="001F0B81" w:rsidP="001F0B81">
      <w:pPr>
        <w:widowControl w:val="0"/>
        <w:jc w:val="both"/>
        <w:rPr>
          <w:bCs/>
          <w:lang w:val="en-GB"/>
        </w:rPr>
      </w:pPr>
      <w:r>
        <w:rPr>
          <w:bCs/>
          <w:lang w:val="en-GB"/>
        </w:rPr>
        <w:t>In the screening step all TER</w:t>
      </w:r>
      <w:r>
        <w:rPr>
          <w:bCs/>
          <w:vertAlign w:val="subscript"/>
          <w:lang w:val="en-GB"/>
        </w:rPr>
        <w:t>A</w:t>
      </w:r>
      <w:r>
        <w:rPr>
          <w:bCs/>
          <w:lang w:val="en-GB"/>
        </w:rPr>
        <w:t xml:space="preserve"> values and all TER</w:t>
      </w:r>
      <w:r>
        <w:rPr>
          <w:bCs/>
          <w:caps/>
          <w:vertAlign w:val="subscript"/>
          <w:lang w:val="en-GB"/>
        </w:rPr>
        <w:t>lt</w:t>
      </w:r>
      <w:r>
        <w:rPr>
          <w:bCs/>
          <w:lang w:val="en-GB"/>
        </w:rPr>
        <w:t xml:space="preserve"> values for </w:t>
      </w:r>
      <w:r>
        <w:rPr>
          <w:lang w:val="en-GB"/>
        </w:rPr>
        <w:t>fluxapyroxad</w:t>
      </w:r>
      <w:r>
        <w:rPr>
          <w:bCs/>
          <w:lang w:val="en-GB"/>
        </w:rPr>
        <w:t xml:space="preserve"> </w:t>
      </w:r>
      <w:r>
        <w:rPr>
          <w:lang w:val="en-GB"/>
        </w:rPr>
        <w:t xml:space="preserve">and azoxystrobin </w:t>
      </w:r>
      <w:r>
        <w:rPr>
          <w:bCs/>
          <w:lang w:val="en-GB"/>
        </w:rPr>
        <w:t>exceed the trigger</w:t>
      </w:r>
      <w:r w:rsidR="003A0E16">
        <w:rPr>
          <w:bCs/>
          <w:lang w:val="en-GB"/>
        </w:rPr>
        <w:t xml:space="preserve"> values</w:t>
      </w:r>
      <w:r>
        <w:rPr>
          <w:bCs/>
          <w:lang w:val="en-GB"/>
        </w:rPr>
        <w:t xml:space="preserve"> set by </w:t>
      </w:r>
      <w:r>
        <w:rPr>
          <w:lang w:val="en-GB"/>
        </w:rPr>
        <w:t>Commission Regulation (EU) 546/2011</w:t>
      </w:r>
      <w:r>
        <w:rPr>
          <w:bCs/>
          <w:lang w:val="en-GB"/>
        </w:rPr>
        <w:t xml:space="preserve"> for acceptability of effects.</w:t>
      </w:r>
    </w:p>
    <w:p w14:paraId="1D63AE06" w14:textId="77777777" w:rsidR="001F0B81" w:rsidRDefault="001F0B81" w:rsidP="001F0B81">
      <w:pPr>
        <w:widowControl w:val="0"/>
        <w:jc w:val="both"/>
        <w:rPr>
          <w:bCs/>
          <w:lang w:val="en-GB"/>
        </w:rPr>
      </w:pPr>
    </w:p>
    <w:p w14:paraId="1417D281" w14:textId="77777777" w:rsidR="001F0B81" w:rsidRDefault="001F0B81" w:rsidP="001F0B81">
      <w:pPr>
        <w:widowControl w:val="0"/>
        <w:autoSpaceDE w:val="0"/>
        <w:autoSpaceDN w:val="0"/>
        <w:adjustRightInd w:val="0"/>
        <w:jc w:val="both"/>
        <w:rPr>
          <w:rFonts w:eastAsia="SimSun"/>
          <w:i/>
          <w:lang w:val="en-GB" w:eastAsia="zh-CN"/>
        </w:rPr>
      </w:pPr>
      <w:r>
        <w:rPr>
          <w:bCs/>
          <w:u w:val="single"/>
          <w:lang w:val="en-GB"/>
        </w:rPr>
        <w:t>Exposure to combined active substances and to the formulation</w:t>
      </w:r>
    </w:p>
    <w:p w14:paraId="2477E842" w14:textId="77777777" w:rsidR="001F0B81" w:rsidRDefault="001F0B81" w:rsidP="001F0B81">
      <w:pPr>
        <w:widowControl w:val="0"/>
        <w:jc w:val="both"/>
        <w:rPr>
          <w:rFonts w:eastAsia="Batang"/>
          <w:lang w:val="en-GB" w:eastAsia="zh-CN"/>
        </w:rPr>
      </w:pPr>
    </w:p>
    <w:p w14:paraId="1B6A0E7F" w14:textId="77777777" w:rsidR="00742474" w:rsidRDefault="001F0B81" w:rsidP="001F0B81">
      <w:pPr>
        <w:widowControl w:val="0"/>
        <w:jc w:val="both"/>
        <w:rPr>
          <w:rFonts w:eastAsia="Batang"/>
          <w:lang w:val="en-GB" w:eastAsia="zh-CN"/>
        </w:rPr>
      </w:pPr>
      <w:r>
        <w:rPr>
          <w:rFonts w:eastAsia="Batang"/>
          <w:lang w:val="en-GB" w:eastAsia="zh-CN"/>
        </w:rPr>
        <w:t>The two</w:t>
      </w:r>
      <w:r w:rsidR="00807CF3">
        <w:rPr>
          <w:rFonts w:eastAsia="Batang"/>
          <w:lang w:val="en-GB" w:eastAsia="zh-CN"/>
        </w:rPr>
        <w:t xml:space="preserve"> acute</w:t>
      </w:r>
      <w:r>
        <w:rPr>
          <w:rFonts w:eastAsia="Batang"/>
          <w:lang w:val="en-GB" w:eastAsia="zh-CN"/>
        </w:rPr>
        <w:t xml:space="preserve"> risk assessment approaches carried out (combined toxicity of the active substances as virtual compound and formulation toxicity) have resulted in TER values at the screening and/or tier 1 acute </w:t>
      </w:r>
      <w:r w:rsidR="003A0E16">
        <w:rPr>
          <w:rFonts w:eastAsia="Batang"/>
          <w:lang w:val="en-GB" w:eastAsia="zh-CN"/>
        </w:rPr>
        <w:t xml:space="preserve">risk assessment </w:t>
      </w:r>
      <w:r>
        <w:rPr>
          <w:rFonts w:eastAsia="Batang"/>
          <w:lang w:val="en-GB" w:eastAsia="zh-CN"/>
        </w:rPr>
        <w:t>above the trigger of 10 for acceptability of effects. The reproductive risk assessment using the concentration addition model result</w:t>
      </w:r>
      <w:r w:rsidR="00A3573C">
        <w:rPr>
          <w:rFonts w:eastAsia="Batang"/>
          <w:lang w:val="en-GB" w:eastAsia="zh-CN"/>
        </w:rPr>
        <w:t>ed in</w:t>
      </w:r>
      <w:r>
        <w:rPr>
          <w:rFonts w:eastAsia="Batang"/>
          <w:lang w:val="en-GB" w:eastAsia="zh-CN"/>
        </w:rPr>
        <w:t xml:space="preserve"> TER value above the trigger of 5 for acceptability of effects</w:t>
      </w:r>
      <w:r w:rsidR="003A0E16">
        <w:rPr>
          <w:rFonts w:eastAsia="Batang"/>
          <w:lang w:val="en-GB" w:eastAsia="zh-CN"/>
        </w:rPr>
        <w:t xml:space="preserve"> in screening step</w:t>
      </w:r>
      <w:r>
        <w:rPr>
          <w:rFonts w:eastAsia="Batang"/>
          <w:lang w:val="en-GB" w:eastAsia="zh-CN"/>
        </w:rPr>
        <w:t xml:space="preserve">. </w:t>
      </w:r>
    </w:p>
    <w:p w14:paraId="73AB9BCD" w14:textId="77777777" w:rsidR="00742474" w:rsidRDefault="00742474" w:rsidP="001F0B81">
      <w:pPr>
        <w:widowControl w:val="0"/>
        <w:jc w:val="both"/>
        <w:rPr>
          <w:rFonts w:eastAsia="Batang"/>
          <w:lang w:val="en-GB" w:eastAsia="zh-CN"/>
        </w:rPr>
      </w:pPr>
    </w:p>
    <w:p w14:paraId="70F36CC9" w14:textId="4EBAE9E3" w:rsidR="001F0B81" w:rsidRDefault="001F0B81" w:rsidP="001F0B81">
      <w:pPr>
        <w:widowControl w:val="0"/>
        <w:jc w:val="both"/>
        <w:rPr>
          <w:rFonts w:eastAsia="Batang"/>
          <w:lang w:val="en-GB" w:eastAsia="zh-CN"/>
        </w:rPr>
      </w:pPr>
      <w:bookmarkStart w:id="42" w:name="_Hlk86389745"/>
      <w:r>
        <w:rPr>
          <w:rFonts w:eastAsia="Batang"/>
          <w:lang w:val="en-GB" w:eastAsia="zh-CN"/>
        </w:rPr>
        <w:t xml:space="preserve">Therefore, the acute and reproductive dietary risk to birds from </w:t>
      </w:r>
      <w:r>
        <w:rPr>
          <w:rFonts w:eastAsia="Batang"/>
          <w:bCs/>
          <w:lang w:val="en-GB" w:eastAsia="zh-CN"/>
        </w:rPr>
        <w:t>BAS 736 00 F according to the proposed use pattern</w:t>
      </w:r>
      <w:r>
        <w:rPr>
          <w:rFonts w:eastAsia="Batang"/>
          <w:lang w:val="en-GB" w:eastAsia="zh-CN"/>
        </w:rPr>
        <w:t xml:space="preserve"> is acceptable.</w:t>
      </w:r>
    </w:p>
    <w:bookmarkEnd w:id="42"/>
    <w:p w14:paraId="45A157A0" w14:textId="77777777" w:rsidR="001F0B81" w:rsidRDefault="001F0B81" w:rsidP="001F0B81">
      <w:pPr>
        <w:widowControl w:val="0"/>
        <w:jc w:val="both"/>
        <w:rPr>
          <w:bCs/>
          <w:lang w:val="en-GB"/>
        </w:rPr>
      </w:pPr>
    </w:p>
    <w:p w14:paraId="59AB71A9" w14:textId="77777777" w:rsidR="001F0B81" w:rsidRDefault="001F0B81" w:rsidP="001F0B81">
      <w:pPr>
        <w:widowControl w:val="0"/>
        <w:autoSpaceDE w:val="0"/>
        <w:autoSpaceDN w:val="0"/>
        <w:adjustRightInd w:val="0"/>
        <w:jc w:val="both"/>
        <w:rPr>
          <w:i/>
          <w:lang w:val="en-GB"/>
        </w:rPr>
      </w:pPr>
      <w:r>
        <w:rPr>
          <w:i/>
          <w:lang w:val="en-GB"/>
        </w:rPr>
        <w:t>Drinking water risk assessment</w:t>
      </w:r>
    </w:p>
    <w:p w14:paraId="2363ADD6" w14:textId="77777777" w:rsidR="001F0B81" w:rsidRDefault="001F0B81" w:rsidP="001F0B81">
      <w:pPr>
        <w:widowControl w:val="0"/>
        <w:autoSpaceDE w:val="0"/>
        <w:autoSpaceDN w:val="0"/>
        <w:adjustRightInd w:val="0"/>
        <w:jc w:val="both"/>
        <w:rPr>
          <w:lang w:val="en-GB"/>
        </w:rPr>
      </w:pPr>
    </w:p>
    <w:p w14:paraId="213446C0" w14:textId="75DC0EB7" w:rsidR="001F0B81" w:rsidRDefault="001F0B81" w:rsidP="001F0B81">
      <w:pPr>
        <w:widowControl w:val="0"/>
        <w:autoSpaceDE w:val="0"/>
        <w:autoSpaceDN w:val="0"/>
        <w:adjustRightInd w:val="0"/>
        <w:jc w:val="both"/>
        <w:rPr>
          <w:lang w:val="en-GB"/>
        </w:rPr>
      </w:pPr>
      <w:r>
        <w:rPr>
          <w:lang w:val="en-GB"/>
        </w:rPr>
        <w:t xml:space="preserve">Following </w:t>
      </w:r>
      <w:r>
        <w:rPr>
          <w:rFonts w:eastAsia="Batang"/>
          <w:lang w:val="en-GB" w:eastAsia="zh-CN"/>
        </w:rPr>
        <w:t>EFSA</w:t>
      </w:r>
      <w:r>
        <w:rPr>
          <w:lang w:val="en-GB"/>
        </w:rPr>
        <w:t xml:space="preserve">/2009/1438, the puddle scenario is considered relevant for applications of BAS 736 00 F according to the proposed use pattern. Since the ratio of the effective application rate to the relevant toxicity endpoints is below the values of 3000 and 50 for fluxapyroxad and azoxystrobin, respectively, a quantitative risk assessment for the proposed use pattern of BAS 736 00 F is not necessary. </w:t>
      </w:r>
    </w:p>
    <w:p w14:paraId="6D8AEBDE" w14:textId="77777777" w:rsidR="001F0B81" w:rsidRDefault="001F0B81" w:rsidP="001F0B81">
      <w:pPr>
        <w:widowControl w:val="0"/>
        <w:autoSpaceDE w:val="0"/>
        <w:autoSpaceDN w:val="0"/>
        <w:adjustRightInd w:val="0"/>
        <w:jc w:val="both"/>
        <w:rPr>
          <w:lang w:val="en-GB"/>
        </w:rPr>
      </w:pPr>
    </w:p>
    <w:p w14:paraId="0587A5BA" w14:textId="77777777" w:rsidR="001F0B81" w:rsidRDefault="001F0B81" w:rsidP="001F0B81">
      <w:pPr>
        <w:widowControl w:val="0"/>
        <w:jc w:val="both"/>
        <w:rPr>
          <w:bCs/>
          <w:i/>
          <w:lang w:val="en-GB"/>
        </w:rPr>
      </w:pPr>
      <w:r>
        <w:rPr>
          <w:bCs/>
          <w:i/>
          <w:lang w:val="en-GB"/>
        </w:rPr>
        <w:t>Secondary poisoning and biomagnification</w:t>
      </w:r>
    </w:p>
    <w:p w14:paraId="6A23AEF1" w14:textId="77777777" w:rsidR="001F0B81" w:rsidRDefault="001F0B81" w:rsidP="001F0B81">
      <w:pPr>
        <w:widowControl w:val="0"/>
        <w:jc w:val="both"/>
        <w:rPr>
          <w:lang w:val="en-GB"/>
        </w:rPr>
      </w:pPr>
    </w:p>
    <w:p w14:paraId="3FED90A2" w14:textId="7BA64137" w:rsidR="001F0B81" w:rsidRDefault="001F0B81" w:rsidP="001F0B81">
      <w:pPr>
        <w:widowControl w:val="0"/>
        <w:jc w:val="both"/>
        <w:rPr>
          <w:lang w:val="en-GB"/>
        </w:rPr>
      </w:pPr>
      <w:r>
        <w:rPr>
          <w:lang w:val="en-GB"/>
        </w:rPr>
        <w:t>The log P</w:t>
      </w:r>
      <w:r>
        <w:rPr>
          <w:vertAlign w:val="subscript"/>
          <w:lang w:val="en-GB"/>
        </w:rPr>
        <w:t>ow</w:t>
      </w:r>
      <w:r>
        <w:rPr>
          <w:lang w:val="en-GB"/>
        </w:rPr>
        <w:t xml:space="preserve"> of the active substance fluxapyroxad is &gt; 3, which triggers an assessment of the potential risk from secondary poisoning. According to the tier 1 risk assessment for earthworm- and fish-eating birds, the TER values for fluxapyroxad are above the trigger value of 5, indicating an acceptable risk for the intended use of BAS 736 00 F. The log P</w:t>
      </w:r>
      <w:r>
        <w:rPr>
          <w:vertAlign w:val="subscript"/>
          <w:lang w:val="en-GB"/>
        </w:rPr>
        <w:t>ow</w:t>
      </w:r>
      <w:r>
        <w:rPr>
          <w:lang w:val="en-GB"/>
        </w:rPr>
        <w:t xml:space="preserve"> of the active substance azoxystrobin is &lt; 3, thus, a risk assessment for effects </w:t>
      </w:r>
      <w:r w:rsidR="003D7189">
        <w:rPr>
          <w:lang w:val="en-GB"/>
        </w:rPr>
        <w:t xml:space="preserve">due to </w:t>
      </w:r>
      <w:r>
        <w:rPr>
          <w:lang w:val="en-GB"/>
        </w:rPr>
        <w:t>secondary poisoning</w:t>
      </w:r>
      <w:r w:rsidR="003D7189">
        <w:rPr>
          <w:lang w:val="en-GB"/>
        </w:rPr>
        <w:t xml:space="preserve"> is not required</w:t>
      </w:r>
      <w:r>
        <w:rPr>
          <w:lang w:val="en-GB"/>
        </w:rPr>
        <w:t>. Low potential for accumulation of fluxapyroxad</w:t>
      </w:r>
      <w:r>
        <w:rPr>
          <w:bCs/>
          <w:lang w:val="en-GB"/>
        </w:rPr>
        <w:t xml:space="preserve"> and azoxystrobin in animal tissue </w:t>
      </w:r>
      <w:r>
        <w:rPr>
          <w:lang w:val="en-GB"/>
        </w:rPr>
        <w:t>was concluded in the respective EU reviews and therefore further evaluation of biomagnification is not necessary.</w:t>
      </w:r>
    </w:p>
    <w:p w14:paraId="17D27C4F" w14:textId="77777777" w:rsidR="001F0B81" w:rsidRDefault="001F0B81" w:rsidP="001F0B81">
      <w:pPr>
        <w:widowControl w:val="0"/>
        <w:autoSpaceDE w:val="0"/>
        <w:autoSpaceDN w:val="0"/>
        <w:adjustRightInd w:val="0"/>
        <w:jc w:val="both"/>
        <w:rPr>
          <w:lang w:val="en-GB"/>
        </w:rPr>
      </w:pPr>
    </w:p>
    <w:p w14:paraId="00F793EE" w14:textId="77777777" w:rsidR="001F0B81" w:rsidRDefault="001F0B81" w:rsidP="001F0B81">
      <w:pPr>
        <w:pStyle w:val="OECD-BASIS-TEXT"/>
        <w:widowControl w:val="0"/>
        <w:rPr>
          <w:rFonts w:eastAsia="SimSun"/>
          <w:b/>
          <w:i/>
          <w:color w:val="auto"/>
          <w:sz w:val="22"/>
          <w:lang w:eastAsia="zh-CN"/>
        </w:rPr>
      </w:pPr>
      <w:r>
        <w:rPr>
          <w:rFonts w:eastAsia="SimSun"/>
          <w:b/>
          <w:i/>
          <w:color w:val="auto"/>
          <w:sz w:val="22"/>
          <w:lang w:eastAsia="zh-CN"/>
        </w:rPr>
        <w:t>Overall conclusion</w:t>
      </w:r>
    </w:p>
    <w:p w14:paraId="149C0DD4" w14:textId="77777777" w:rsidR="003D7189" w:rsidRDefault="003D7189" w:rsidP="001F0B81">
      <w:pPr>
        <w:pStyle w:val="OECD-BASIS-TEXT"/>
        <w:widowControl w:val="0"/>
        <w:rPr>
          <w:b/>
          <w:bCs/>
          <w:color w:val="auto"/>
          <w:sz w:val="22"/>
        </w:rPr>
      </w:pPr>
    </w:p>
    <w:p w14:paraId="34F2D1E6" w14:textId="5E90B81C" w:rsidR="001F0B81" w:rsidRDefault="001F0B81" w:rsidP="001F0B81">
      <w:pPr>
        <w:pStyle w:val="OECD-BASIS-TEXT"/>
        <w:widowControl w:val="0"/>
        <w:rPr>
          <w:b/>
          <w:bCs/>
          <w:color w:val="auto"/>
          <w:sz w:val="22"/>
        </w:rPr>
      </w:pPr>
      <w:r>
        <w:rPr>
          <w:b/>
          <w:bCs/>
          <w:color w:val="auto"/>
          <w:sz w:val="22"/>
        </w:rPr>
        <w:t>It can be concluded that the risk to birds from the application of BAS 7</w:t>
      </w:r>
      <w:r w:rsidR="003D7189">
        <w:rPr>
          <w:b/>
          <w:bCs/>
          <w:color w:val="auto"/>
          <w:sz w:val="22"/>
        </w:rPr>
        <w:t>36</w:t>
      </w:r>
      <w:r>
        <w:rPr>
          <w:b/>
          <w:bCs/>
          <w:color w:val="auto"/>
          <w:sz w:val="22"/>
        </w:rPr>
        <w:t> 00 F according to good agricultural practice is acceptable.</w:t>
      </w:r>
    </w:p>
    <w:p w14:paraId="6849495F" w14:textId="77777777" w:rsidR="00CE08CB" w:rsidRPr="001F0B81" w:rsidRDefault="00CE08CB" w:rsidP="00CE08CB">
      <w:pPr>
        <w:pStyle w:val="StyleOECD-BASIS-TEXTLeft"/>
        <w:rPr>
          <w:sz w:val="22"/>
        </w:rPr>
      </w:pPr>
    </w:p>
    <w:p w14:paraId="5E90C05D" w14:textId="0ED60A2B" w:rsidR="00EF4888" w:rsidRDefault="000532B4" w:rsidP="00CE08CB">
      <w:pPr>
        <w:pStyle w:val="StyleOECD-BASIS-TEXTLeft"/>
        <w:rPr>
          <w:sz w:val="22"/>
          <w:lang w:val="en-US"/>
        </w:rPr>
      </w:pPr>
      <w:r>
        <w:rPr>
          <w:sz w:val="22"/>
          <w:lang w:val="en-US"/>
        </w:rPr>
        <w:br w:type="page"/>
      </w:r>
    </w:p>
    <w:p w14:paraId="72309D7A" w14:textId="77777777" w:rsidR="00CE08CB" w:rsidRPr="002E3CFC" w:rsidRDefault="002A31C0" w:rsidP="009938D9">
      <w:pPr>
        <w:pStyle w:val="Nagwek5"/>
        <w:spacing w:before="0"/>
        <w:rPr>
          <w:lang w:val="en-US"/>
        </w:rPr>
      </w:pPr>
      <w:r w:rsidRPr="002E3CFC">
        <w:rPr>
          <w:lang w:val="en-US"/>
        </w:rPr>
        <w:lastRenderedPageBreak/>
        <w:t>Effects on terrestrial vertebrates other than birds (KCP 10.1.2)</w:t>
      </w:r>
    </w:p>
    <w:p w14:paraId="67ECC6D8" w14:textId="77777777" w:rsidR="001F0B81" w:rsidRDefault="001F0B81" w:rsidP="001F0B81">
      <w:pPr>
        <w:widowControl w:val="0"/>
        <w:suppressAutoHyphens/>
        <w:jc w:val="both"/>
        <w:rPr>
          <w:i/>
          <w:lang w:val="en-GB" w:eastAsia="en-US"/>
        </w:rPr>
      </w:pPr>
      <w:r>
        <w:rPr>
          <w:i/>
          <w:lang w:val="en-GB" w:eastAsia="en-US"/>
        </w:rPr>
        <w:t>Dietary risk assessment</w:t>
      </w:r>
    </w:p>
    <w:p w14:paraId="01952E8E" w14:textId="77777777" w:rsidR="001F0B81" w:rsidRDefault="001F0B81" w:rsidP="001F0B81">
      <w:pPr>
        <w:widowControl w:val="0"/>
        <w:suppressAutoHyphens/>
        <w:jc w:val="both"/>
        <w:rPr>
          <w:u w:val="single"/>
          <w:lang w:val="en-GB" w:eastAsia="en-US"/>
        </w:rPr>
      </w:pPr>
    </w:p>
    <w:p w14:paraId="5327A825" w14:textId="77777777" w:rsidR="001F0B81" w:rsidRDefault="001F0B81" w:rsidP="001F0B81">
      <w:pPr>
        <w:widowControl w:val="0"/>
        <w:suppressAutoHyphens/>
        <w:jc w:val="both"/>
        <w:rPr>
          <w:lang w:val="en-GB" w:eastAsia="en-US"/>
        </w:rPr>
      </w:pPr>
      <w:r>
        <w:rPr>
          <w:u w:val="single"/>
          <w:lang w:val="en-GB" w:eastAsia="en-US"/>
        </w:rPr>
        <w:t>Exposure to active substances separately</w:t>
      </w:r>
    </w:p>
    <w:p w14:paraId="58A4D7A5" w14:textId="77777777" w:rsidR="00423AD8" w:rsidRDefault="00423AD8" w:rsidP="001F0B81">
      <w:pPr>
        <w:widowControl w:val="0"/>
        <w:suppressAutoHyphens/>
        <w:jc w:val="both"/>
        <w:rPr>
          <w:lang w:val="en-GB" w:eastAsia="en-US"/>
        </w:rPr>
      </w:pPr>
    </w:p>
    <w:p w14:paraId="336A73E0" w14:textId="3C0117FB" w:rsidR="001F0B81" w:rsidRDefault="001F0B81" w:rsidP="001F0B81">
      <w:pPr>
        <w:widowControl w:val="0"/>
        <w:suppressAutoHyphens/>
        <w:jc w:val="both"/>
        <w:rPr>
          <w:lang w:val="en-GB" w:eastAsia="en-US"/>
        </w:rPr>
      </w:pPr>
      <w:r>
        <w:rPr>
          <w:lang w:val="en-GB" w:eastAsia="en-US"/>
        </w:rPr>
        <w:t xml:space="preserve">In the screening step </w:t>
      </w:r>
      <w:r>
        <w:rPr>
          <w:bCs/>
          <w:lang w:val="en-GB"/>
        </w:rPr>
        <w:t>and/or tier 1 risk assessment</w:t>
      </w:r>
      <w:r>
        <w:rPr>
          <w:lang w:val="en-GB" w:eastAsia="en-US"/>
        </w:rPr>
        <w:t>, all TER</w:t>
      </w:r>
      <w:r>
        <w:rPr>
          <w:vertAlign w:val="subscript"/>
          <w:lang w:val="en-GB" w:eastAsia="en-US"/>
        </w:rPr>
        <w:t>A</w:t>
      </w:r>
      <w:r>
        <w:rPr>
          <w:lang w:val="en-GB" w:eastAsia="en-US"/>
        </w:rPr>
        <w:t xml:space="preserve"> values and all TER</w:t>
      </w:r>
      <w:r>
        <w:rPr>
          <w:vertAlign w:val="subscript"/>
          <w:lang w:val="en-GB" w:eastAsia="en-US"/>
        </w:rPr>
        <w:t>LT</w:t>
      </w:r>
      <w:r>
        <w:rPr>
          <w:lang w:val="en-GB" w:eastAsia="en-US"/>
        </w:rPr>
        <w:t xml:space="preserve"> values for </w:t>
      </w:r>
      <w:r w:rsidR="00423AD8">
        <w:rPr>
          <w:lang w:val="en-GB"/>
        </w:rPr>
        <w:t>fluxapyroxad</w:t>
      </w:r>
      <w:r w:rsidR="00423AD8">
        <w:rPr>
          <w:lang w:val="en-GB" w:eastAsia="en-US"/>
        </w:rPr>
        <w:t xml:space="preserve"> </w:t>
      </w:r>
      <w:r>
        <w:rPr>
          <w:lang w:val="en-GB"/>
        </w:rPr>
        <w:t xml:space="preserve">and </w:t>
      </w:r>
      <w:r w:rsidR="00423AD8">
        <w:rPr>
          <w:lang w:val="en-GB"/>
        </w:rPr>
        <w:t xml:space="preserve">azoxystrobin </w:t>
      </w:r>
      <w:r>
        <w:rPr>
          <w:lang w:val="en-GB" w:eastAsia="en-US"/>
        </w:rPr>
        <w:t xml:space="preserve">exceed the trigger values set by Commission regulation (EU) 546/2011 for acceptability of effects. </w:t>
      </w:r>
    </w:p>
    <w:p w14:paraId="15EC34EA" w14:textId="77777777" w:rsidR="001F0B81" w:rsidRDefault="001F0B81" w:rsidP="001F0B81">
      <w:pPr>
        <w:widowControl w:val="0"/>
        <w:jc w:val="both"/>
        <w:rPr>
          <w:lang w:val="en-GB" w:eastAsia="en-US"/>
        </w:rPr>
      </w:pPr>
    </w:p>
    <w:p w14:paraId="21B6B500" w14:textId="77777777" w:rsidR="001F0B81" w:rsidRDefault="001F0B81" w:rsidP="001F0B81">
      <w:pPr>
        <w:widowControl w:val="0"/>
        <w:autoSpaceDE w:val="0"/>
        <w:autoSpaceDN w:val="0"/>
        <w:adjustRightInd w:val="0"/>
        <w:jc w:val="both"/>
        <w:rPr>
          <w:rFonts w:eastAsia="SimSun"/>
          <w:i/>
          <w:lang w:val="en-GB" w:eastAsia="zh-CN"/>
        </w:rPr>
      </w:pPr>
      <w:r>
        <w:rPr>
          <w:bCs/>
          <w:u w:val="single"/>
          <w:lang w:val="en-GB"/>
        </w:rPr>
        <w:t>Exposure to combined active substances and to formulation</w:t>
      </w:r>
    </w:p>
    <w:p w14:paraId="0EFCB52E" w14:textId="25C1B120" w:rsidR="00423AD8" w:rsidRDefault="00423AD8" w:rsidP="001F0B81">
      <w:pPr>
        <w:widowControl w:val="0"/>
        <w:jc w:val="both"/>
        <w:rPr>
          <w:rFonts w:eastAsia="Batang"/>
          <w:color w:val="000000" w:themeColor="text1"/>
          <w:lang w:val="en-GB" w:eastAsia="zh-CN"/>
        </w:rPr>
      </w:pPr>
    </w:p>
    <w:p w14:paraId="4187C064" w14:textId="3BC96CE4" w:rsidR="004E1F07" w:rsidRDefault="004E1F07" w:rsidP="001F0B81">
      <w:pPr>
        <w:widowControl w:val="0"/>
        <w:jc w:val="both"/>
      </w:pPr>
      <w:r>
        <w:rPr>
          <w:rFonts w:eastAsia="Batang"/>
          <w:color w:val="000000" w:themeColor="text1"/>
          <w:lang w:val="en-GB" w:eastAsia="zh-CN"/>
        </w:rPr>
        <w:t xml:space="preserve">For the </w:t>
      </w:r>
      <w:r w:rsidR="00856F01">
        <w:rPr>
          <w:rFonts w:eastAsia="Batang"/>
          <w:color w:val="000000" w:themeColor="text1"/>
          <w:lang w:val="en-GB" w:eastAsia="zh-CN"/>
        </w:rPr>
        <w:t xml:space="preserve">acute </w:t>
      </w:r>
      <w:r>
        <w:rPr>
          <w:rFonts w:eastAsia="Batang"/>
          <w:color w:val="000000" w:themeColor="text1"/>
          <w:lang w:val="en-GB" w:eastAsia="zh-CN"/>
        </w:rPr>
        <w:t xml:space="preserve">risk assessment addressing </w:t>
      </w:r>
      <w:r w:rsidRPr="0077706F">
        <w:rPr>
          <w:rFonts w:eastAsia="Batang"/>
          <w:color w:val="000000" w:themeColor="text1"/>
          <w:lang w:val="en-GB" w:eastAsia="zh-CN"/>
        </w:rPr>
        <w:t>combined toxicity of the active substances as virtual compound</w:t>
      </w:r>
      <w:r>
        <w:rPr>
          <w:rFonts w:eastAsia="Batang"/>
          <w:color w:val="000000" w:themeColor="text1"/>
          <w:lang w:val="en-GB" w:eastAsia="zh-CN"/>
        </w:rPr>
        <w:t xml:space="preserve"> t</w:t>
      </w:r>
      <w:r w:rsidRPr="0026404C">
        <w:rPr>
          <w:lang w:val="en-GB"/>
        </w:rPr>
        <w:t>he TER</w:t>
      </w:r>
      <w:r w:rsidR="00856F01" w:rsidRPr="00A3573C">
        <w:rPr>
          <w:vertAlign w:val="subscript"/>
          <w:lang w:val="en-GB"/>
        </w:rPr>
        <w:t>A</w:t>
      </w:r>
      <w:r w:rsidRPr="0026404C">
        <w:rPr>
          <w:lang w:val="en-GB"/>
        </w:rPr>
        <w:t xml:space="preserve"> value for the screening step is </w:t>
      </w:r>
      <w:r w:rsidRPr="0026404C">
        <w:t>above the trigger of 10</w:t>
      </w:r>
      <w:r>
        <w:t>.</w:t>
      </w:r>
    </w:p>
    <w:p w14:paraId="14B74E81" w14:textId="39634AEF" w:rsidR="004E1F07" w:rsidRDefault="004E1F07" w:rsidP="004E1F07">
      <w:pPr>
        <w:widowControl w:val="0"/>
        <w:jc w:val="both"/>
      </w:pPr>
      <w:r>
        <w:rPr>
          <w:rFonts w:eastAsia="Batang"/>
          <w:color w:val="000000" w:themeColor="text1"/>
          <w:lang w:val="en-GB" w:eastAsia="zh-CN"/>
        </w:rPr>
        <w:t xml:space="preserve">For the </w:t>
      </w:r>
      <w:r w:rsidR="00856F01">
        <w:rPr>
          <w:rFonts w:eastAsia="Batang"/>
          <w:color w:val="000000" w:themeColor="text1"/>
          <w:lang w:val="en-GB" w:eastAsia="zh-CN"/>
        </w:rPr>
        <w:t xml:space="preserve">acute </w:t>
      </w:r>
      <w:r>
        <w:rPr>
          <w:rFonts w:eastAsia="Batang"/>
          <w:color w:val="000000" w:themeColor="text1"/>
          <w:lang w:val="en-GB" w:eastAsia="zh-CN"/>
        </w:rPr>
        <w:t xml:space="preserve">risk assessment addressing </w:t>
      </w:r>
      <w:r w:rsidRPr="0077706F">
        <w:rPr>
          <w:rFonts w:eastAsia="Batang"/>
          <w:color w:val="000000" w:themeColor="text1"/>
          <w:lang w:val="en-GB" w:eastAsia="zh-CN"/>
        </w:rPr>
        <w:t xml:space="preserve">combined toxicity of the active substances </w:t>
      </w:r>
      <w:r>
        <w:rPr>
          <w:rFonts w:eastAsia="Batang"/>
          <w:color w:val="000000" w:themeColor="text1"/>
          <w:lang w:val="en-GB" w:eastAsia="zh-CN"/>
        </w:rPr>
        <w:t>in the formulation</w:t>
      </w:r>
      <w:r w:rsidRPr="0026404C">
        <w:rPr>
          <w:lang w:val="en-GB"/>
        </w:rPr>
        <w:t xml:space="preserve"> </w:t>
      </w:r>
      <w:r w:rsidRPr="008C45EC">
        <w:rPr>
          <w:rFonts w:eastAsia="Batang"/>
          <w:color w:val="000000" w:themeColor="text1"/>
          <w:lang w:eastAsia="zh-CN"/>
        </w:rPr>
        <w:t>the tier 1 risk assessment resulted in TER</w:t>
      </w:r>
      <w:r w:rsidR="00856F01" w:rsidRPr="00A3573C">
        <w:rPr>
          <w:rFonts w:eastAsia="Batang"/>
          <w:color w:val="000000" w:themeColor="text1"/>
          <w:vertAlign w:val="subscript"/>
          <w:lang w:eastAsia="zh-CN"/>
        </w:rPr>
        <w:t>A</w:t>
      </w:r>
      <w:r w:rsidRPr="008C45EC">
        <w:rPr>
          <w:rFonts w:eastAsia="Batang"/>
          <w:color w:val="000000" w:themeColor="text1"/>
          <w:lang w:eastAsia="zh-CN"/>
        </w:rPr>
        <w:t xml:space="preserve"> values above the trigger of 10 for acceptability of effects for all scenarios, except for the small herbivorous mammal “vole” scenario at BBCH </w:t>
      </w:r>
      <w:r w:rsidRPr="008C45EC">
        <w:rPr>
          <w:color w:val="000000" w:themeColor="text1"/>
        </w:rPr>
        <w:t>≥ 40</w:t>
      </w:r>
      <w:r>
        <w:t>.</w:t>
      </w:r>
    </w:p>
    <w:p w14:paraId="672A7220" w14:textId="518C9B40" w:rsidR="004E1F07" w:rsidRDefault="00F320B2" w:rsidP="001F0B81">
      <w:pPr>
        <w:widowControl w:val="0"/>
        <w:jc w:val="both"/>
      </w:pPr>
      <w:r>
        <w:rPr>
          <w:iCs/>
          <w:szCs w:val="24"/>
          <w:lang w:val="en-GB"/>
        </w:rPr>
        <w:t>The t</w:t>
      </w:r>
      <w:r w:rsidR="004E1F07">
        <w:rPr>
          <w:iCs/>
          <w:szCs w:val="24"/>
          <w:lang w:val="en-GB"/>
        </w:rPr>
        <w:t xml:space="preserve">wo </w:t>
      </w:r>
      <w:r>
        <w:rPr>
          <w:iCs/>
          <w:szCs w:val="24"/>
          <w:lang w:val="en-GB"/>
        </w:rPr>
        <w:t xml:space="preserve">different </w:t>
      </w:r>
      <w:r w:rsidR="004E1F07">
        <w:rPr>
          <w:iCs/>
          <w:szCs w:val="24"/>
          <w:lang w:val="en-GB"/>
        </w:rPr>
        <w:t>refinement approaches are presented. In the first approach</w:t>
      </w:r>
      <w:r>
        <w:rPr>
          <w:iCs/>
          <w:szCs w:val="24"/>
          <w:lang w:val="en-GB"/>
        </w:rPr>
        <w:t xml:space="preserve"> the acute higher tier risk assessment for the formulation </w:t>
      </w:r>
      <w:r w:rsidR="00AD71DA">
        <w:rPr>
          <w:iCs/>
          <w:szCs w:val="24"/>
          <w:lang w:val="en-GB"/>
        </w:rPr>
        <w:t>i</w:t>
      </w:r>
      <w:r>
        <w:rPr>
          <w:iCs/>
          <w:szCs w:val="24"/>
          <w:lang w:val="en-GB"/>
        </w:rPr>
        <w:t xml:space="preserve">s based on the refinement of the deposition factor, </w:t>
      </w:r>
      <w:r w:rsidR="004E1F07">
        <w:rPr>
          <w:iCs/>
          <w:szCs w:val="24"/>
          <w:lang w:val="en-GB"/>
        </w:rPr>
        <w:t xml:space="preserve">whereas </w:t>
      </w:r>
      <w:r>
        <w:rPr>
          <w:iCs/>
          <w:szCs w:val="24"/>
          <w:lang w:val="en-GB"/>
        </w:rPr>
        <w:t xml:space="preserve">the </w:t>
      </w:r>
      <w:r w:rsidR="004E1F07">
        <w:rPr>
          <w:iCs/>
          <w:szCs w:val="24"/>
          <w:lang w:val="en-GB"/>
        </w:rPr>
        <w:t>second approach is based on the interpolated LD</w:t>
      </w:r>
      <w:r w:rsidR="004E1F07" w:rsidRPr="00A3573C">
        <w:rPr>
          <w:iCs/>
          <w:szCs w:val="24"/>
          <w:vertAlign w:val="subscript"/>
          <w:lang w:val="en-GB"/>
        </w:rPr>
        <w:t>50</w:t>
      </w:r>
      <w:r w:rsidR="004E1F07">
        <w:rPr>
          <w:iCs/>
          <w:szCs w:val="24"/>
          <w:lang w:val="en-GB"/>
        </w:rPr>
        <w:t xml:space="preserve"> value</w:t>
      </w:r>
      <w:r w:rsidR="000008F5">
        <w:rPr>
          <w:iCs/>
          <w:szCs w:val="24"/>
          <w:lang w:val="en-GB"/>
        </w:rPr>
        <w:t xml:space="preserve"> for BAS 736 00 F as refinement parameter</w:t>
      </w:r>
      <w:r w:rsidR="004E1F07">
        <w:rPr>
          <w:iCs/>
          <w:szCs w:val="24"/>
          <w:lang w:val="en-GB"/>
        </w:rPr>
        <w:t>.</w:t>
      </w:r>
      <w:r w:rsidR="004E1F07" w:rsidRPr="004E1F07">
        <w:rPr>
          <w:rFonts w:eastAsia="Batang"/>
          <w:color w:val="000000" w:themeColor="text1"/>
          <w:lang w:eastAsia="zh-CN"/>
        </w:rPr>
        <w:t xml:space="preserve"> </w:t>
      </w:r>
      <w:r w:rsidR="004E1F07">
        <w:rPr>
          <w:rFonts w:eastAsia="Batang"/>
          <w:color w:val="000000" w:themeColor="text1"/>
          <w:lang w:eastAsia="zh-CN"/>
        </w:rPr>
        <w:t xml:space="preserve">Both approaches </w:t>
      </w:r>
      <w:r w:rsidR="004E1F07" w:rsidRPr="008C45EC">
        <w:rPr>
          <w:rFonts w:eastAsia="Batang"/>
          <w:color w:val="000000" w:themeColor="text1"/>
          <w:lang w:eastAsia="zh-CN"/>
        </w:rPr>
        <w:t>result</w:t>
      </w:r>
      <w:r w:rsidR="004E1F07">
        <w:rPr>
          <w:rFonts w:eastAsia="Batang"/>
          <w:color w:val="000000" w:themeColor="text1"/>
          <w:lang w:eastAsia="zh-CN"/>
        </w:rPr>
        <w:t>ed</w:t>
      </w:r>
      <w:r w:rsidR="004E1F07" w:rsidRPr="008C45EC">
        <w:rPr>
          <w:rFonts w:eastAsia="Batang"/>
          <w:color w:val="000000" w:themeColor="text1"/>
          <w:lang w:eastAsia="zh-CN"/>
        </w:rPr>
        <w:t xml:space="preserve"> in </w:t>
      </w:r>
      <w:r w:rsidR="000008F5">
        <w:rPr>
          <w:rFonts w:eastAsia="Batang"/>
          <w:color w:val="000000" w:themeColor="text1"/>
          <w:lang w:eastAsia="zh-CN"/>
        </w:rPr>
        <w:t xml:space="preserve">refined </w:t>
      </w:r>
      <w:r w:rsidR="004E1F07" w:rsidRPr="008C45EC">
        <w:rPr>
          <w:rFonts w:eastAsia="Batang"/>
          <w:color w:val="000000" w:themeColor="text1"/>
          <w:lang w:eastAsia="zh-CN"/>
        </w:rPr>
        <w:t>TER</w:t>
      </w:r>
      <w:r w:rsidR="000008F5" w:rsidRPr="000008F5">
        <w:rPr>
          <w:rFonts w:eastAsia="Batang"/>
          <w:color w:val="000000" w:themeColor="text1"/>
          <w:vertAlign w:val="subscript"/>
          <w:lang w:eastAsia="zh-CN"/>
        </w:rPr>
        <w:t>A</w:t>
      </w:r>
      <w:r w:rsidR="004E1F07" w:rsidRPr="008C45EC">
        <w:rPr>
          <w:rFonts w:eastAsia="Batang"/>
          <w:color w:val="000000" w:themeColor="text1"/>
          <w:lang w:eastAsia="zh-CN"/>
        </w:rPr>
        <w:t xml:space="preserve"> </w:t>
      </w:r>
      <w:r w:rsidR="000008F5">
        <w:rPr>
          <w:rFonts w:eastAsia="Batang"/>
          <w:color w:val="000000" w:themeColor="text1"/>
          <w:lang w:eastAsia="zh-CN"/>
        </w:rPr>
        <w:t xml:space="preserve">values for the formulation toxicity of BAS 736 00 F </w:t>
      </w:r>
      <w:bookmarkStart w:id="43" w:name="_Hlk11164890"/>
      <w:r w:rsidR="000008F5">
        <w:rPr>
          <w:rFonts w:eastAsia="Batang"/>
          <w:color w:val="000000" w:themeColor="text1"/>
          <w:lang w:eastAsia="zh-CN"/>
        </w:rPr>
        <w:t xml:space="preserve">that are </w:t>
      </w:r>
      <w:r w:rsidR="004E1F07" w:rsidRPr="008C45EC">
        <w:rPr>
          <w:rFonts w:eastAsia="Batang"/>
          <w:color w:val="000000" w:themeColor="text1"/>
          <w:lang w:eastAsia="zh-CN"/>
        </w:rPr>
        <w:t xml:space="preserve">above the trigger of 10 for acceptability of effects </w:t>
      </w:r>
      <w:bookmarkEnd w:id="43"/>
      <w:r w:rsidR="004E1F07" w:rsidRPr="008C45EC">
        <w:rPr>
          <w:rFonts w:eastAsia="Batang"/>
          <w:color w:val="000000" w:themeColor="text1"/>
          <w:lang w:eastAsia="zh-CN"/>
        </w:rPr>
        <w:t xml:space="preserve">for the small herbivorous mammal “vole” scenario at BBCH </w:t>
      </w:r>
      <w:r w:rsidR="004E1F07" w:rsidRPr="008C45EC">
        <w:rPr>
          <w:color w:val="000000" w:themeColor="text1"/>
        </w:rPr>
        <w:t>≥ 40</w:t>
      </w:r>
      <w:r w:rsidR="004E1F07">
        <w:rPr>
          <w:color w:val="000000" w:themeColor="text1"/>
        </w:rPr>
        <w:t>.</w:t>
      </w:r>
    </w:p>
    <w:p w14:paraId="6468C737" w14:textId="22AF6239" w:rsidR="004E1F07" w:rsidRDefault="004E1F07" w:rsidP="001F0B81">
      <w:pPr>
        <w:widowControl w:val="0"/>
        <w:jc w:val="both"/>
        <w:rPr>
          <w:rFonts w:eastAsia="Batang"/>
          <w:lang w:val="en-GB" w:eastAsia="zh-CN"/>
        </w:rPr>
      </w:pPr>
    </w:p>
    <w:p w14:paraId="2D9BCE3B" w14:textId="73721C2E" w:rsidR="004E1F07" w:rsidRDefault="001F0B81" w:rsidP="001F0B81">
      <w:pPr>
        <w:widowControl w:val="0"/>
        <w:jc w:val="both"/>
        <w:rPr>
          <w:rFonts w:eastAsia="Batang"/>
          <w:lang w:val="en-GB" w:eastAsia="zh-CN"/>
        </w:rPr>
      </w:pPr>
      <w:r>
        <w:rPr>
          <w:rFonts w:eastAsia="Batang"/>
          <w:lang w:val="en-GB" w:eastAsia="zh-CN"/>
        </w:rPr>
        <w:t>The reproductive risk assessment using the concentration addition model resulted in a</w:t>
      </w:r>
      <w:r w:rsidR="00423AD8">
        <w:rPr>
          <w:rFonts w:eastAsia="Batang"/>
          <w:lang w:val="en-GB" w:eastAsia="zh-CN"/>
        </w:rPr>
        <w:t xml:space="preserve">n acceptable risk for all scenarios, except for the small herbivorous mammal “vole” scenario at BBCH ≥ 40. </w:t>
      </w:r>
      <w:r w:rsidR="008376A3">
        <w:rPr>
          <w:rFonts w:eastAsia="Batang"/>
          <w:lang w:val="en-GB" w:eastAsia="zh-CN"/>
        </w:rPr>
        <w:t xml:space="preserve">Based on the higher tier risk assessment considering the refinement of the </w:t>
      </w:r>
      <w:r w:rsidR="0099685B">
        <w:rPr>
          <w:rFonts w:eastAsia="Batang"/>
          <w:lang w:val="en-GB" w:eastAsia="zh-CN"/>
        </w:rPr>
        <w:t>deposition</w:t>
      </w:r>
      <w:r w:rsidR="008376A3">
        <w:rPr>
          <w:rFonts w:eastAsia="Batang"/>
          <w:lang w:val="en-GB" w:eastAsia="zh-CN"/>
        </w:rPr>
        <w:t xml:space="preserve"> factor an acceptable combined reproductive risk to small herbivorous mammal</w:t>
      </w:r>
      <w:r w:rsidR="0099685B">
        <w:rPr>
          <w:rFonts w:eastAsia="Batang"/>
          <w:lang w:val="en-GB" w:eastAsia="zh-CN"/>
        </w:rPr>
        <w:t xml:space="preserve"> “vole”</w:t>
      </w:r>
      <w:r w:rsidR="008376A3">
        <w:rPr>
          <w:rFonts w:eastAsia="Batang"/>
          <w:lang w:val="en-GB" w:eastAsia="zh-CN"/>
        </w:rPr>
        <w:t xml:space="preserve"> could be identified.</w:t>
      </w:r>
      <w:r>
        <w:rPr>
          <w:rFonts w:eastAsia="Batang"/>
          <w:lang w:val="en-GB" w:eastAsia="zh-CN"/>
        </w:rPr>
        <w:t xml:space="preserve"> </w:t>
      </w:r>
    </w:p>
    <w:p w14:paraId="31B50518" w14:textId="77777777" w:rsidR="004E1F07" w:rsidRDefault="004E1F07" w:rsidP="001F0B81">
      <w:pPr>
        <w:widowControl w:val="0"/>
        <w:jc w:val="both"/>
        <w:rPr>
          <w:rFonts w:eastAsia="Batang"/>
          <w:lang w:val="en-GB" w:eastAsia="zh-CN"/>
        </w:rPr>
      </w:pPr>
    </w:p>
    <w:p w14:paraId="794A791E" w14:textId="4D4380E7" w:rsidR="001F0B81" w:rsidRDefault="001F0B81" w:rsidP="001F0B81">
      <w:pPr>
        <w:widowControl w:val="0"/>
        <w:jc w:val="both"/>
        <w:rPr>
          <w:rFonts w:eastAsia="Batang"/>
          <w:lang w:val="en-GB" w:eastAsia="zh-CN"/>
        </w:rPr>
      </w:pPr>
      <w:r>
        <w:rPr>
          <w:rFonts w:eastAsia="Batang"/>
          <w:lang w:val="en-GB" w:eastAsia="zh-CN"/>
        </w:rPr>
        <w:t xml:space="preserve">Therefore, the acute and reproductive dietary risk to mammals from </w:t>
      </w:r>
      <w:r>
        <w:rPr>
          <w:rFonts w:eastAsia="Batang"/>
          <w:bCs/>
          <w:lang w:val="en-GB" w:eastAsia="zh-CN"/>
        </w:rPr>
        <w:t>BAS 7</w:t>
      </w:r>
      <w:r w:rsidR="008376A3">
        <w:rPr>
          <w:rFonts w:eastAsia="Batang"/>
          <w:bCs/>
          <w:lang w:val="en-GB" w:eastAsia="zh-CN"/>
        </w:rPr>
        <w:t>36</w:t>
      </w:r>
      <w:r>
        <w:rPr>
          <w:rFonts w:eastAsia="Batang"/>
          <w:bCs/>
          <w:lang w:val="en-GB" w:eastAsia="zh-CN"/>
        </w:rPr>
        <w:t> 00 F according to the proposed use pattern</w:t>
      </w:r>
      <w:r>
        <w:rPr>
          <w:rFonts w:eastAsia="Batang"/>
          <w:lang w:val="en-GB" w:eastAsia="zh-CN"/>
        </w:rPr>
        <w:t xml:space="preserve"> is acceptable.</w:t>
      </w:r>
    </w:p>
    <w:p w14:paraId="391575FA" w14:textId="4888EEBB" w:rsidR="001F0B81" w:rsidRDefault="001F0B81" w:rsidP="001F0B81">
      <w:pPr>
        <w:widowControl w:val="0"/>
        <w:suppressAutoHyphens/>
        <w:jc w:val="both"/>
        <w:rPr>
          <w:lang w:val="en-GB"/>
        </w:rPr>
      </w:pPr>
    </w:p>
    <w:p w14:paraId="483B667B" w14:textId="77777777" w:rsidR="004E1F07" w:rsidRDefault="004E1F07" w:rsidP="001F0B81">
      <w:pPr>
        <w:widowControl w:val="0"/>
        <w:suppressAutoHyphens/>
        <w:jc w:val="both"/>
        <w:rPr>
          <w:lang w:val="en-GB"/>
        </w:rPr>
      </w:pPr>
    </w:p>
    <w:p w14:paraId="075BB7E3" w14:textId="77777777" w:rsidR="001F0B81" w:rsidRDefault="001F0B81" w:rsidP="001F0B81">
      <w:pPr>
        <w:widowControl w:val="0"/>
        <w:autoSpaceDE w:val="0"/>
        <w:autoSpaceDN w:val="0"/>
        <w:adjustRightInd w:val="0"/>
        <w:jc w:val="both"/>
        <w:rPr>
          <w:i/>
          <w:lang w:val="en-GB"/>
        </w:rPr>
      </w:pPr>
      <w:r>
        <w:rPr>
          <w:i/>
          <w:lang w:val="en-GB"/>
        </w:rPr>
        <w:t>Drinking water risk assessment</w:t>
      </w:r>
    </w:p>
    <w:p w14:paraId="372A879F" w14:textId="77777777" w:rsidR="008376A3" w:rsidRDefault="008376A3" w:rsidP="001F0B81">
      <w:pPr>
        <w:widowControl w:val="0"/>
        <w:autoSpaceDE w:val="0"/>
        <w:autoSpaceDN w:val="0"/>
        <w:adjustRightInd w:val="0"/>
        <w:jc w:val="both"/>
        <w:rPr>
          <w:lang w:val="en-GB"/>
        </w:rPr>
      </w:pPr>
    </w:p>
    <w:p w14:paraId="64AA3E8D" w14:textId="6064D050" w:rsidR="001F0B81" w:rsidRDefault="004B2059" w:rsidP="001F0B81">
      <w:pPr>
        <w:widowControl w:val="0"/>
        <w:autoSpaceDE w:val="0"/>
        <w:autoSpaceDN w:val="0"/>
        <w:adjustRightInd w:val="0"/>
        <w:jc w:val="both"/>
        <w:rPr>
          <w:lang w:val="en-GB"/>
        </w:rPr>
      </w:pPr>
      <w:r>
        <w:t>Fo</w:t>
      </w:r>
      <w:r w:rsidR="004B3030">
        <w:t xml:space="preserve">llowing EFSA/2009/1438, </w:t>
      </w:r>
      <w:r w:rsidR="004B3030">
        <w:rPr>
          <w:rFonts w:eastAsia="Batang"/>
          <w:lang w:eastAsia="zh-CN"/>
        </w:rPr>
        <w:t>the puddle scenario is the one relevant for mammals</w:t>
      </w:r>
      <w:r w:rsidR="001F0B81">
        <w:rPr>
          <w:lang w:val="en-GB"/>
        </w:rPr>
        <w:t xml:space="preserve">. </w:t>
      </w:r>
      <w:r w:rsidR="008376A3">
        <w:rPr>
          <w:lang w:val="en-GB"/>
        </w:rPr>
        <w:t>Since the ratio of the effective application rate to the relevant toxicity endpoints is below the values of 3000 and 50 for fluxapyroxad and azoxystrobin, respectively, a quantitative risk assessment for the proposed use pattern of BAS 736 00 F is not necessary.</w:t>
      </w:r>
    </w:p>
    <w:p w14:paraId="722EA52D" w14:textId="77777777" w:rsidR="001F0B81" w:rsidRDefault="001F0B81" w:rsidP="001F0B81">
      <w:pPr>
        <w:widowControl w:val="0"/>
        <w:suppressAutoHyphens/>
        <w:autoSpaceDE w:val="0"/>
        <w:autoSpaceDN w:val="0"/>
        <w:adjustRightInd w:val="0"/>
        <w:jc w:val="both"/>
        <w:rPr>
          <w:rFonts w:eastAsia="Batang"/>
          <w:lang w:val="en-GB" w:eastAsia="zh-CN"/>
        </w:rPr>
      </w:pPr>
    </w:p>
    <w:p w14:paraId="02839627" w14:textId="77777777" w:rsidR="001F0B81" w:rsidRDefault="001F0B81" w:rsidP="001F0B81">
      <w:pPr>
        <w:widowControl w:val="0"/>
        <w:suppressAutoHyphens/>
        <w:jc w:val="both"/>
        <w:rPr>
          <w:bCs/>
          <w:i/>
          <w:lang w:val="en-GB"/>
        </w:rPr>
      </w:pPr>
      <w:r>
        <w:rPr>
          <w:bCs/>
          <w:i/>
          <w:lang w:val="en-GB"/>
        </w:rPr>
        <w:t>Secondary poisoning and biomagnification</w:t>
      </w:r>
    </w:p>
    <w:p w14:paraId="306F6F4B" w14:textId="77777777" w:rsidR="008376A3" w:rsidRDefault="008376A3" w:rsidP="001F0B81">
      <w:pPr>
        <w:widowControl w:val="0"/>
        <w:jc w:val="both"/>
        <w:rPr>
          <w:lang w:val="en-GB"/>
        </w:rPr>
      </w:pPr>
    </w:p>
    <w:p w14:paraId="0D2411BD" w14:textId="327EF799" w:rsidR="001F0B81" w:rsidRDefault="001F0B81" w:rsidP="001F0B81">
      <w:pPr>
        <w:widowControl w:val="0"/>
        <w:jc w:val="both"/>
        <w:rPr>
          <w:lang w:val="en-GB"/>
        </w:rPr>
      </w:pPr>
      <w:r>
        <w:rPr>
          <w:lang w:val="en-GB"/>
        </w:rPr>
        <w:t>The log P</w:t>
      </w:r>
      <w:r>
        <w:rPr>
          <w:vertAlign w:val="subscript"/>
          <w:lang w:val="en-GB"/>
        </w:rPr>
        <w:t>ow</w:t>
      </w:r>
      <w:r>
        <w:rPr>
          <w:lang w:val="en-GB"/>
        </w:rPr>
        <w:t xml:space="preserve"> of the active substance fluxapyroxad </w:t>
      </w:r>
      <w:r w:rsidR="008376A3">
        <w:rPr>
          <w:lang w:val="en-GB"/>
        </w:rPr>
        <w:t>is</w:t>
      </w:r>
      <w:r>
        <w:rPr>
          <w:lang w:val="en-GB"/>
        </w:rPr>
        <w:t xml:space="preserve"> &gt;</w:t>
      </w:r>
      <w:r w:rsidR="008376A3">
        <w:rPr>
          <w:lang w:val="en-GB"/>
        </w:rPr>
        <w:t> </w:t>
      </w:r>
      <w:r>
        <w:rPr>
          <w:lang w:val="en-GB"/>
        </w:rPr>
        <w:t>3, which triggers an assessment of the potential risk from secondary poisoning. According to the tier 1 risk assessment for earthworm- and fish-eating mammals, the TER values for fluxapyroxad are above the trigger value of 5, indicating an acceptable risk for the intended use of BAS 7</w:t>
      </w:r>
      <w:r w:rsidR="008376A3">
        <w:rPr>
          <w:lang w:val="en-GB"/>
        </w:rPr>
        <w:t>36</w:t>
      </w:r>
      <w:r>
        <w:rPr>
          <w:lang w:val="en-GB"/>
        </w:rPr>
        <w:t xml:space="preserve"> 00 F. </w:t>
      </w:r>
      <w:r w:rsidR="008376A3">
        <w:rPr>
          <w:lang w:val="en-GB"/>
        </w:rPr>
        <w:t>The log P</w:t>
      </w:r>
      <w:r w:rsidR="008376A3">
        <w:rPr>
          <w:vertAlign w:val="subscript"/>
          <w:lang w:val="en-GB"/>
        </w:rPr>
        <w:t>ow</w:t>
      </w:r>
      <w:r w:rsidR="008376A3">
        <w:rPr>
          <w:lang w:val="en-GB"/>
        </w:rPr>
        <w:t xml:space="preserve"> of the active substance azoxystrobin is &lt; 3, thus, a risk assessment for effects due to secondary poisoning is not required. </w:t>
      </w:r>
      <w:r>
        <w:rPr>
          <w:lang w:val="en-GB"/>
        </w:rPr>
        <w:t xml:space="preserve">Low potential for accumulation of </w:t>
      </w:r>
      <w:r w:rsidR="008C5C3C">
        <w:rPr>
          <w:lang w:val="en-GB"/>
        </w:rPr>
        <w:t>fluxapyroxad</w:t>
      </w:r>
      <w:r w:rsidR="008C5C3C">
        <w:rPr>
          <w:bCs/>
          <w:lang w:val="en-GB"/>
        </w:rPr>
        <w:t xml:space="preserve"> </w:t>
      </w:r>
      <w:r>
        <w:rPr>
          <w:lang w:val="en-GB"/>
        </w:rPr>
        <w:t xml:space="preserve">and </w:t>
      </w:r>
      <w:r w:rsidR="008C5C3C">
        <w:rPr>
          <w:lang w:val="en-GB"/>
        </w:rPr>
        <w:t>azoxystrobin</w:t>
      </w:r>
      <w:r>
        <w:rPr>
          <w:bCs/>
          <w:lang w:val="en-GB"/>
        </w:rPr>
        <w:t xml:space="preserve"> in animal tissue </w:t>
      </w:r>
      <w:r>
        <w:rPr>
          <w:lang w:val="en-GB"/>
        </w:rPr>
        <w:t>was concluded in the respective EU reviews and therefore further evaluation of biomagnification is not necessary.</w:t>
      </w:r>
    </w:p>
    <w:p w14:paraId="3BC942A6" w14:textId="77777777" w:rsidR="001F0B81" w:rsidRDefault="001F0B81" w:rsidP="001F0B81">
      <w:pPr>
        <w:widowControl w:val="0"/>
        <w:autoSpaceDE w:val="0"/>
        <w:autoSpaceDN w:val="0"/>
        <w:adjustRightInd w:val="0"/>
        <w:jc w:val="both"/>
        <w:rPr>
          <w:lang w:val="en-GB"/>
        </w:rPr>
      </w:pPr>
    </w:p>
    <w:p w14:paraId="330EB39C" w14:textId="77777777" w:rsidR="001F0B81" w:rsidRDefault="001F0B81" w:rsidP="001F0B81">
      <w:pPr>
        <w:pStyle w:val="OECD-BASIS-TEXT"/>
        <w:widowControl w:val="0"/>
        <w:rPr>
          <w:rFonts w:eastAsia="SimSun"/>
          <w:b/>
          <w:i/>
          <w:color w:val="auto"/>
          <w:sz w:val="22"/>
          <w:lang w:eastAsia="zh-CN"/>
        </w:rPr>
      </w:pPr>
      <w:r>
        <w:rPr>
          <w:rFonts w:eastAsia="SimSun"/>
          <w:b/>
          <w:i/>
          <w:color w:val="auto"/>
          <w:sz w:val="22"/>
          <w:lang w:eastAsia="zh-CN"/>
        </w:rPr>
        <w:t>Overall conclusion</w:t>
      </w:r>
    </w:p>
    <w:p w14:paraId="7F3C26C9" w14:textId="77777777" w:rsidR="008376A3" w:rsidRDefault="008376A3" w:rsidP="001F0B81">
      <w:pPr>
        <w:pStyle w:val="OECD-BASIS-TEXT"/>
        <w:widowControl w:val="0"/>
        <w:rPr>
          <w:b/>
          <w:bCs/>
          <w:color w:val="auto"/>
          <w:sz w:val="22"/>
        </w:rPr>
      </w:pPr>
    </w:p>
    <w:p w14:paraId="48CF5899" w14:textId="3D653185" w:rsidR="00553395" w:rsidRDefault="001F0B81" w:rsidP="001F0B81">
      <w:pPr>
        <w:pStyle w:val="OECD-BASIS-TEXT"/>
        <w:widowControl w:val="0"/>
        <w:rPr>
          <w:b/>
          <w:bCs/>
          <w:color w:val="auto"/>
          <w:sz w:val="22"/>
        </w:rPr>
      </w:pPr>
      <w:r>
        <w:rPr>
          <w:b/>
          <w:bCs/>
          <w:color w:val="auto"/>
          <w:sz w:val="22"/>
        </w:rPr>
        <w:t>It can be concluded that the risk to mammals from the application of BAS 7</w:t>
      </w:r>
      <w:r w:rsidR="008376A3">
        <w:rPr>
          <w:b/>
          <w:bCs/>
          <w:color w:val="auto"/>
          <w:sz w:val="22"/>
        </w:rPr>
        <w:t>36</w:t>
      </w:r>
      <w:r>
        <w:rPr>
          <w:b/>
          <w:bCs/>
          <w:color w:val="auto"/>
          <w:sz w:val="22"/>
        </w:rPr>
        <w:t> 00 F according to good agricultural practice is acceptable.</w:t>
      </w:r>
    </w:p>
    <w:p w14:paraId="7E55D1F9" w14:textId="77777777" w:rsidR="00CE08CB" w:rsidRPr="001F0B81" w:rsidRDefault="00553395" w:rsidP="001F0B81">
      <w:pPr>
        <w:pStyle w:val="OECD-BASIS-TEXT"/>
        <w:widowControl w:val="0"/>
        <w:rPr>
          <w:b/>
          <w:bCs/>
          <w:color w:val="auto"/>
          <w:sz w:val="22"/>
        </w:rPr>
      </w:pPr>
      <w:r>
        <w:rPr>
          <w:b/>
          <w:bCs/>
          <w:color w:val="auto"/>
          <w:sz w:val="22"/>
        </w:rPr>
        <w:br w:type="page"/>
      </w:r>
    </w:p>
    <w:p w14:paraId="30196500" w14:textId="77777777" w:rsidR="00CE08CB" w:rsidRPr="000A09FB" w:rsidRDefault="002A31C0" w:rsidP="000A09FB">
      <w:pPr>
        <w:pStyle w:val="Nagwek5"/>
        <w:rPr>
          <w:lang w:val="en-US"/>
        </w:rPr>
      </w:pPr>
      <w:r w:rsidRPr="000A09FB">
        <w:rPr>
          <w:lang w:val="en-US"/>
        </w:rPr>
        <w:lastRenderedPageBreak/>
        <w:t>Effects on other terrestrial vertebrate wildlife (reptiles and amphibians) (KCP 10.1.3)</w:t>
      </w:r>
    </w:p>
    <w:p w14:paraId="3D0D9136" w14:textId="77777777" w:rsidR="001F0B81" w:rsidRPr="0099685B" w:rsidRDefault="001F0B81" w:rsidP="001F0B81">
      <w:pPr>
        <w:jc w:val="both"/>
        <w:rPr>
          <w:lang w:val="en-GB"/>
        </w:rPr>
      </w:pPr>
      <w:r w:rsidRPr="0099685B">
        <w:rPr>
          <w:lang w:val="en-GB"/>
        </w:rPr>
        <w:t xml:space="preserve">In the EU, there is no requirement to test terrestrial amphibians or reptiles and there is also no guidance available on how to conduct risk assessments for these groups. </w:t>
      </w:r>
    </w:p>
    <w:p w14:paraId="717C68E5" w14:textId="77777777" w:rsidR="004B2059" w:rsidRDefault="004B2059" w:rsidP="001F0B81">
      <w:pPr>
        <w:jc w:val="both"/>
        <w:rPr>
          <w:lang w:val="en-GB"/>
        </w:rPr>
      </w:pPr>
    </w:p>
    <w:p w14:paraId="4C889F21" w14:textId="169872E5" w:rsidR="001F0B81" w:rsidRPr="0099685B" w:rsidRDefault="001F0B81" w:rsidP="001F0B81">
      <w:pPr>
        <w:jc w:val="both"/>
        <w:rPr>
          <w:lang w:val="en-GB"/>
        </w:rPr>
      </w:pPr>
      <w:r w:rsidRPr="0099685B">
        <w:rPr>
          <w:lang w:val="en-GB"/>
        </w:rPr>
        <w:t>In the absence of toxicity data on fluxapyroxad</w:t>
      </w:r>
      <w:r w:rsidR="008376A3" w:rsidRPr="0099685B">
        <w:rPr>
          <w:lang w:val="en-GB"/>
        </w:rPr>
        <w:t xml:space="preserve"> and azoxystrobin</w:t>
      </w:r>
      <w:r w:rsidRPr="0099685B">
        <w:rPr>
          <w:lang w:val="en-GB"/>
        </w:rPr>
        <w:t>, the active substances in the formulation BAS 7</w:t>
      </w:r>
      <w:r w:rsidR="008376A3" w:rsidRPr="0099685B">
        <w:rPr>
          <w:lang w:val="en-GB"/>
        </w:rPr>
        <w:t>36</w:t>
      </w:r>
      <w:r w:rsidRPr="0099685B">
        <w:rPr>
          <w:lang w:val="en-GB"/>
        </w:rPr>
        <w:t> 00 F, and considering the lack of guidance for risk assessment, it is assumed that the risk assessments for birds and mammals are protective for terrestrial life-stages of amphibians and reptiles, an approach that is also used by US-EPA (2004).</w:t>
      </w:r>
    </w:p>
    <w:p w14:paraId="304D9F03" w14:textId="77777777" w:rsidR="001F0B81" w:rsidRPr="0099685B" w:rsidRDefault="001F0B81" w:rsidP="001F0B81">
      <w:pPr>
        <w:pStyle w:val="StyleOECD-BASIS-TEXTLeft"/>
        <w:rPr>
          <w:color w:val="auto"/>
          <w:sz w:val="22"/>
        </w:rPr>
      </w:pPr>
    </w:p>
    <w:p w14:paraId="2CDA10C1" w14:textId="77777777" w:rsidR="001F0B81" w:rsidRPr="0099685B" w:rsidRDefault="001F0B81" w:rsidP="001F0B81">
      <w:pPr>
        <w:widowControl w:val="0"/>
        <w:jc w:val="both"/>
        <w:rPr>
          <w:lang w:val="en-GB"/>
        </w:rPr>
      </w:pPr>
      <w:r w:rsidRPr="0099685B">
        <w:rPr>
          <w:lang w:val="en-GB"/>
        </w:rPr>
        <w:t>References</w:t>
      </w:r>
    </w:p>
    <w:p w14:paraId="44C18DB6" w14:textId="77777777" w:rsidR="001F0B81" w:rsidRPr="0099685B" w:rsidRDefault="001F0B81" w:rsidP="001F0B81">
      <w:pPr>
        <w:widowControl w:val="0"/>
        <w:tabs>
          <w:tab w:val="left" w:pos="425"/>
          <w:tab w:val="left" w:pos="850"/>
        </w:tabs>
        <w:jc w:val="both"/>
        <w:rPr>
          <w:lang w:val="en-GB"/>
        </w:rPr>
      </w:pPr>
    </w:p>
    <w:p w14:paraId="319E392C" w14:textId="4B4E6378" w:rsidR="00CE08CB" w:rsidRPr="0099685B" w:rsidRDefault="001F0B81" w:rsidP="001F0B81">
      <w:pPr>
        <w:pStyle w:val="References"/>
        <w:ind w:left="624" w:hanging="624"/>
        <w:rPr>
          <w:rFonts w:ascii="Times New Roman" w:hAnsi="Times New Roman" w:cs="Times New Roman"/>
          <w:color w:val="auto"/>
          <w:lang w:val="en-GB"/>
        </w:rPr>
      </w:pPr>
      <w:r w:rsidRPr="0099685B">
        <w:rPr>
          <w:rFonts w:ascii="Times New Roman" w:hAnsi="Times New Roman" w:cs="Times New Roman"/>
          <w:color w:val="auto"/>
          <w:lang w:val="en-GB"/>
        </w:rPr>
        <w:t>US-EPA 2004. Overview of the ecological risk assessment process in the Office of Pesticide Programs, U.S. Environmental Protection Agency. Endangered and Threatened Species Effects Determinations. Office of Prevention, Pesticides and Toxic Substances; Office of Pesticide Programs, Washington, D.C. 92 pp.</w:t>
      </w:r>
    </w:p>
    <w:p w14:paraId="1E8EF2A1" w14:textId="77777777" w:rsidR="00D526BE" w:rsidRPr="00B400A9" w:rsidRDefault="002A31C0" w:rsidP="00AA32CE">
      <w:pPr>
        <w:pStyle w:val="Nagwek4"/>
        <w:rPr>
          <w:lang w:val="en-GB"/>
        </w:rPr>
      </w:pPr>
      <w:bookmarkStart w:id="44" w:name="_Toc415214549"/>
      <w:bookmarkStart w:id="45" w:name="_Toc414955242"/>
      <w:bookmarkStart w:id="46" w:name="_Toc413922605"/>
      <w:bookmarkStart w:id="47" w:name="_Toc413922501"/>
      <w:bookmarkStart w:id="48" w:name="_Toc413922012"/>
      <w:bookmarkStart w:id="49" w:name="_Toc413916951"/>
      <w:bookmarkStart w:id="50" w:name="_Toc413916809"/>
      <w:bookmarkStart w:id="51" w:name="_Toc412643963"/>
      <w:bookmarkStart w:id="52" w:name="_Ref405923313"/>
      <w:bookmarkStart w:id="53" w:name="_Toc125446392"/>
      <w:r w:rsidRPr="00B400A9">
        <w:rPr>
          <w:lang w:val="en-GB"/>
        </w:rPr>
        <w:t>Effects on aquatic organisms (KCP 10.2)</w:t>
      </w:r>
      <w:bookmarkEnd w:id="44"/>
      <w:bookmarkEnd w:id="45"/>
      <w:bookmarkEnd w:id="46"/>
      <w:bookmarkEnd w:id="47"/>
      <w:bookmarkEnd w:id="48"/>
      <w:bookmarkEnd w:id="49"/>
      <w:bookmarkEnd w:id="50"/>
      <w:bookmarkEnd w:id="51"/>
      <w:bookmarkEnd w:id="52"/>
      <w:bookmarkEnd w:id="53"/>
    </w:p>
    <w:p w14:paraId="02E1FC68" w14:textId="4F29FD93" w:rsidR="007872A7" w:rsidRPr="00E445E7" w:rsidRDefault="007872A7" w:rsidP="007872A7">
      <w:pPr>
        <w:pStyle w:val="StyleOECD-BASIS-TEXTLeft"/>
        <w:suppressAutoHyphens/>
        <w:rPr>
          <w:color w:val="auto"/>
          <w:sz w:val="22"/>
          <w:lang w:val="en-US"/>
        </w:rPr>
      </w:pPr>
      <w:r w:rsidRPr="00E445E7">
        <w:rPr>
          <w:color w:val="auto"/>
          <w:sz w:val="22"/>
          <w:lang w:val="en-US"/>
        </w:rPr>
        <w:t xml:space="preserve">The standard risk assessment for the active substances </w:t>
      </w:r>
      <w:r w:rsidRPr="00E445E7">
        <w:rPr>
          <w:color w:val="auto"/>
          <w:sz w:val="22"/>
        </w:rPr>
        <w:t xml:space="preserve">fluxapyroxad and </w:t>
      </w:r>
      <w:r w:rsidR="00B400A9" w:rsidRPr="00E445E7">
        <w:rPr>
          <w:color w:val="auto"/>
          <w:sz w:val="22"/>
        </w:rPr>
        <w:t>azoxystrobin</w:t>
      </w:r>
      <w:r w:rsidRPr="00E445E7">
        <w:rPr>
          <w:color w:val="auto"/>
          <w:sz w:val="22"/>
          <w:lang w:val="en-US"/>
        </w:rPr>
        <w:t xml:space="preserve"> indicate an acceptable risk for all groups of aquatic organisms following the intended uses of </w:t>
      </w:r>
      <w:r w:rsidRPr="00E445E7">
        <w:rPr>
          <w:bCs/>
          <w:color w:val="auto"/>
          <w:sz w:val="22"/>
        </w:rPr>
        <w:t>BAS </w:t>
      </w:r>
      <w:r w:rsidR="00B400A9" w:rsidRPr="00E445E7">
        <w:rPr>
          <w:bCs/>
          <w:color w:val="auto"/>
          <w:sz w:val="22"/>
        </w:rPr>
        <w:t>736</w:t>
      </w:r>
      <w:r w:rsidRPr="00E445E7">
        <w:rPr>
          <w:bCs/>
          <w:color w:val="auto"/>
          <w:sz w:val="22"/>
        </w:rPr>
        <w:t> 00 F with no need for additional any mitigation measures.</w:t>
      </w:r>
    </w:p>
    <w:p w14:paraId="329CCB98" w14:textId="77777777" w:rsidR="007872A7" w:rsidRPr="00E445E7" w:rsidRDefault="007872A7" w:rsidP="007872A7">
      <w:pPr>
        <w:pStyle w:val="RepStandard"/>
        <w:rPr>
          <w:lang w:val="en-US"/>
        </w:rPr>
      </w:pPr>
    </w:p>
    <w:p w14:paraId="443B4755" w14:textId="501063B1" w:rsidR="007872A7" w:rsidRPr="00E445E7" w:rsidRDefault="007872A7" w:rsidP="007872A7">
      <w:pPr>
        <w:pStyle w:val="StyleOECD-BASIS-TEXTLeft"/>
        <w:rPr>
          <w:color w:val="auto"/>
          <w:sz w:val="22"/>
        </w:rPr>
      </w:pPr>
      <w:r w:rsidRPr="00E445E7">
        <w:rPr>
          <w:color w:val="auto"/>
          <w:sz w:val="22"/>
        </w:rPr>
        <w:t xml:space="preserve">The PEC/RAC ratios for the relevant metabolites of </w:t>
      </w:r>
      <w:r w:rsidR="00B400A9" w:rsidRPr="00E445E7">
        <w:rPr>
          <w:color w:val="auto"/>
          <w:sz w:val="22"/>
        </w:rPr>
        <w:t>fluxapyroxad and azoxystrobin</w:t>
      </w:r>
      <w:r w:rsidR="00B400A9" w:rsidRPr="00E445E7">
        <w:rPr>
          <w:color w:val="auto"/>
          <w:sz w:val="22"/>
          <w:lang w:val="en-US"/>
        </w:rPr>
        <w:t xml:space="preserve"> </w:t>
      </w:r>
      <w:r w:rsidRPr="00E445E7">
        <w:rPr>
          <w:color w:val="auto"/>
          <w:sz w:val="22"/>
        </w:rPr>
        <w:t>are significantly below the trigger of 1 based on standard worst-case assumptions; they are thus considered not to be of ecotoxicological relevance.</w:t>
      </w:r>
    </w:p>
    <w:p w14:paraId="312C72CE" w14:textId="77777777" w:rsidR="007872A7" w:rsidRPr="00E445E7" w:rsidRDefault="007872A7" w:rsidP="007872A7">
      <w:pPr>
        <w:pStyle w:val="StyleOECD-BASIS-TEXTLeft"/>
        <w:rPr>
          <w:color w:val="auto"/>
          <w:sz w:val="22"/>
        </w:rPr>
      </w:pPr>
    </w:p>
    <w:p w14:paraId="31B2108C" w14:textId="77777777" w:rsidR="00853A40" w:rsidRPr="00E445E7" w:rsidRDefault="007872A7" w:rsidP="007872A7">
      <w:pPr>
        <w:pStyle w:val="StyleOECD-BASIS-TEXTLeft"/>
        <w:suppressAutoHyphens/>
        <w:rPr>
          <w:color w:val="auto"/>
          <w:sz w:val="22"/>
        </w:rPr>
      </w:pPr>
      <w:r w:rsidRPr="00E445E7">
        <w:rPr>
          <w:color w:val="auto"/>
          <w:sz w:val="22"/>
        </w:rPr>
        <w:t>The formulation risk assessment revealed an acceptable risk to aquatic organisms following the intended uses of BAS </w:t>
      </w:r>
      <w:r w:rsidR="00B400A9" w:rsidRPr="00E445E7">
        <w:rPr>
          <w:color w:val="auto"/>
          <w:sz w:val="22"/>
        </w:rPr>
        <w:t>736</w:t>
      </w:r>
      <w:r w:rsidRPr="00E445E7">
        <w:rPr>
          <w:color w:val="auto"/>
          <w:sz w:val="22"/>
        </w:rPr>
        <w:t> 00 F in ‘</w:t>
      </w:r>
      <w:r w:rsidR="00B400A9" w:rsidRPr="00E445E7">
        <w:rPr>
          <w:strike/>
          <w:color w:val="D9D9D9" w:themeColor="background1" w:themeShade="D9"/>
          <w:sz w:val="22"/>
        </w:rPr>
        <w:t>winter and</w:t>
      </w:r>
      <w:r w:rsidR="00B400A9" w:rsidRPr="00E445E7">
        <w:rPr>
          <w:color w:val="D9D9D9" w:themeColor="background1" w:themeShade="D9"/>
          <w:sz w:val="22"/>
        </w:rPr>
        <w:t xml:space="preserve"> </w:t>
      </w:r>
      <w:r w:rsidR="00B400A9" w:rsidRPr="00E445E7">
        <w:rPr>
          <w:color w:val="auto"/>
          <w:sz w:val="22"/>
        </w:rPr>
        <w:t>spring</w:t>
      </w:r>
      <w:r w:rsidR="00BB4F1F" w:rsidRPr="00E445E7">
        <w:rPr>
          <w:color w:val="auto"/>
          <w:sz w:val="22"/>
        </w:rPr>
        <w:t xml:space="preserve"> cereals</w:t>
      </w:r>
      <w:r w:rsidR="00B400A9" w:rsidRPr="00E445E7">
        <w:rPr>
          <w:color w:val="auto"/>
          <w:sz w:val="22"/>
        </w:rPr>
        <w:t>’</w:t>
      </w:r>
      <w:r w:rsidRPr="00E445E7">
        <w:rPr>
          <w:color w:val="auto"/>
          <w:sz w:val="22"/>
        </w:rPr>
        <w:t xml:space="preserve"> with</w:t>
      </w:r>
      <w:r w:rsidR="002F69BD" w:rsidRPr="00E445E7">
        <w:rPr>
          <w:color w:val="auto"/>
          <w:sz w:val="22"/>
        </w:rPr>
        <w:t xml:space="preserve">out the </w:t>
      </w:r>
      <w:r w:rsidRPr="00E445E7">
        <w:rPr>
          <w:color w:val="auto"/>
          <w:sz w:val="22"/>
        </w:rPr>
        <w:t>need for any mitigation measures.</w:t>
      </w:r>
      <w:r w:rsidR="007656F8" w:rsidRPr="00E445E7">
        <w:rPr>
          <w:color w:val="auto"/>
          <w:sz w:val="22"/>
        </w:rPr>
        <w:t xml:space="preserve"> </w:t>
      </w:r>
    </w:p>
    <w:p w14:paraId="113D0408" w14:textId="4809E1C8" w:rsidR="007872A7" w:rsidRPr="00E445E7" w:rsidRDefault="00AB3FCD" w:rsidP="001D2602">
      <w:pPr>
        <w:pStyle w:val="StyleOECD-BASIS-TEXTLeft"/>
        <w:shd w:val="clear" w:color="auto" w:fill="D9D9D9" w:themeFill="background1" w:themeFillShade="D9"/>
        <w:suppressAutoHyphens/>
        <w:rPr>
          <w:color w:val="auto"/>
          <w:sz w:val="22"/>
        </w:rPr>
      </w:pPr>
      <w:r w:rsidRPr="00E445E7">
        <w:rPr>
          <w:noProof/>
          <w:sz w:val="22"/>
        </w:rPr>
        <w:t xml:space="preserve">For intended uses of BAS 736 00 F </w:t>
      </w:r>
      <w:r w:rsidR="00B009AD">
        <w:rPr>
          <w:noProof/>
          <w:sz w:val="22"/>
        </w:rPr>
        <w:t xml:space="preserve">in winter cereals, </w:t>
      </w:r>
      <w:r w:rsidR="007656F8" w:rsidRPr="00E445E7">
        <w:rPr>
          <w:noProof/>
          <w:sz w:val="22"/>
        </w:rPr>
        <w:t xml:space="preserve">the mitigation measures are required only for scenario R3 </w:t>
      </w:r>
      <w:r w:rsidR="007656F8" w:rsidRPr="00E445E7">
        <w:rPr>
          <w:sz w:val="22"/>
        </w:rPr>
        <w:t>(1</w:t>
      </w:r>
      <w:r w:rsidR="007656F8" w:rsidRPr="00E445E7">
        <w:rPr>
          <w:sz w:val="22"/>
          <w:lang w:eastAsia="nl-BE"/>
        </w:rPr>
        <w:t>0 m no spray buffer zone including a 10 m vegetated buffer strip</w:t>
      </w:r>
      <w:r w:rsidR="007656F8" w:rsidRPr="00E445E7">
        <w:rPr>
          <w:sz w:val="22"/>
        </w:rPr>
        <w:t>).</w:t>
      </w:r>
    </w:p>
    <w:p w14:paraId="6CD06D69" w14:textId="77777777" w:rsidR="007872A7" w:rsidRPr="00DC7524" w:rsidRDefault="007872A7" w:rsidP="007872A7">
      <w:pPr>
        <w:pStyle w:val="StyleOECD-BASIS-TEXTLeft"/>
        <w:suppressAutoHyphens/>
        <w:rPr>
          <w:color w:val="auto"/>
          <w:sz w:val="22"/>
        </w:rPr>
      </w:pPr>
    </w:p>
    <w:p w14:paraId="1302526D" w14:textId="149A56E5" w:rsidR="007872A7" w:rsidRPr="00B400A9" w:rsidRDefault="007872A7" w:rsidP="007872A7">
      <w:pPr>
        <w:suppressAutoHyphens/>
        <w:jc w:val="both"/>
        <w:rPr>
          <w:b/>
          <w:bCs/>
        </w:rPr>
      </w:pPr>
      <w:bookmarkStart w:id="54" w:name="_Toc399487275"/>
      <w:bookmarkStart w:id="55" w:name="_Ref405399229"/>
      <w:r w:rsidRPr="00B400A9">
        <w:rPr>
          <w:b/>
        </w:rPr>
        <w:t>The standard risk assessment for the fungicidal product BAS 7</w:t>
      </w:r>
      <w:r w:rsidR="00B400A9" w:rsidRPr="00B400A9">
        <w:rPr>
          <w:b/>
        </w:rPr>
        <w:t>36</w:t>
      </w:r>
      <w:r w:rsidRPr="00B400A9">
        <w:rPr>
          <w:b/>
        </w:rPr>
        <w:t> 00 F,</w:t>
      </w:r>
      <w:r w:rsidRPr="00B400A9">
        <w:rPr>
          <w:b/>
          <w:bCs/>
        </w:rPr>
        <w:t xml:space="preserve"> the active substances </w:t>
      </w:r>
      <w:r w:rsidR="00B400A9" w:rsidRPr="00B400A9">
        <w:rPr>
          <w:b/>
          <w:szCs w:val="20"/>
        </w:rPr>
        <w:t>fluxapyroxad and azoxystrobin</w:t>
      </w:r>
      <w:r w:rsidR="00B400A9" w:rsidRPr="00B400A9">
        <w:rPr>
          <w:sz w:val="20"/>
          <w:szCs w:val="20"/>
        </w:rPr>
        <w:t xml:space="preserve"> </w:t>
      </w:r>
      <w:r w:rsidRPr="00B400A9">
        <w:rPr>
          <w:b/>
          <w:bCs/>
        </w:rPr>
        <w:t xml:space="preserve">as well as their major metabolites demonstrates that the application of </w:t>
      </w:r>
      <w:r w:rsidRPr="00B400A9">
        <w:rPr>
          <w:b/>
        </w:rPr>
        <w:t>BAS 7</w:t>
      </w:r>
      <w:r w:rsidR="00B400A9" w:rsidRPr="00B400A9">
        <w:rPr>
          <w:b/>
        </w:rPr>
        <w:t>36</w:t>
      </w:r>
      <w:r w:rsidRPr="00B400A9">
        <w:rPr>
          <w:b/>
        </w:rPr>
        <w:t> 00 F in ’</w:t>
      </w:r>
      <w:r w:rsidR="00B400A9" w:rsidRPr="00B400A9">
        <w:rPr>
          <w:b/>
        </w:rPr>
        <w:t>winter and spring</w:t>
      </w:r>
      <w:r w:rsidR="00BB4F1F">
        <w:rPr>
          <w:b/>
        </w:rPr>
        <w:t xml:space="preserve"> cereals</w:t>
      </w:r>
      <w:r w:rsidRPr="00B400A9">
        <w:rPr>
          <w:b/>
        </w:rPr>
        <w:t xml:space="preserve">’ according to good agricultural practice </w:t>
      </w:r>
      <w:r w:rsidRPr="00B400A9">
        <w:rPr>
          <w:b/>
          <w:bCs/>
        </w:rPr>
        <w:t>is of low risk to aquatic ecosystems.</w:t>
      </w:r>
      <w:bookmarkEnd w:id="54"/>
      <w:bookmarkEnd w:id="55"/>
    </w:p>
    <w:p w14:paraId="436CB1E7" w14:textId="6BB2F4A1" w:rsidR="00E34C95" w:rsidRDefault="002A31C0" w:rsidP="00322176">
      <w:pPr>
        <w:pStyle w:val="Nagwek4"/>
      </w:pPr>
      <w:bookmarkStart w:id="56" w:name="_Toc415214550"/>
      <w:bookmarkStart w:id="57" w:name="_Toc414955243"/>
      <w:bookmarkStart w:id="58" w:name="_Toc413922606"/>
      <w:bookmarkStart w:id="59" w:name="_Toc413922502"/>
      <w:bookmarkStart w:id="60" w:name="_Toc413922013"/>
      <w:bookmarkStart w:id="61" w:name="_Toc413916952"/>
      <w:bookmarkStart w:id="62" w:name="_Toc413916810"/>
      <w:bookmarkStart w:id="63" w:name="_Toc412643964"/>
      <w:bookmarkStart w:id="64" w:name="_Toc125446393"/>
      <w:r w:rsidRPr="002B1114">
        <w:t>Effects on bees (KCP 10.3.1)</w:t>
      </w:r>
      <w:bookmarkEnd w:id="56"/>
      <w:bookmarkEnd w:id="57"/>
      <w:bookmarkEnd w:id="58"/>
      <w:bookmarkEnd w:id="59"/>
      <w:bookmarkEnd w:id="60"/>
      <w:bookmarkEnd w:id="61"/>
      <w:bookmarkEnd w:id="62"/>
      <w:bookmarkEnd w:id="63"/>
      <w:bookmarkEnd w:id="64"/>
    </w:p>
    <w:p w14:paraId="330C976E" w14:textId="77777777" w:rsidR="00670109" w:rsidRPr="00670109" w:rsidRDefault="00670109" w:rsidP="00670109">
      <w:pPr>
        <w:pStyle w:val="RepStandard"/>
        <w:rPr>
          <w:lang w:eastAsia="en-US"/>
        </w:rPr>
      </w:pPr>
      <w:bookmarkStart w:id="65" w:name="_Hlk88474669"/>
      <w:r w:rsidRPr="00670109">
        <w:rPr>
          <w:lang w:eastAsia="en-US"/>
        </w:rPr>
        <w:t xml:space="preserve">The risk to honey bees from the use of </w:t>
      </w:r>
      <w:r w:rsidRPr="00670109">
        <w:t>fluxapyroxad, azoxystrobin</w:t>
      </w:r>
      <w:r w:rsidRPr="00670109">
        <w:rPr>
          <w:lang w:eastAsia="en-US"/>
        </w:rPr>
        <w:t xml:space="preserve"> and BAS 736 00 F was assessed using the maximum single application rate and the LD</w:t>
      </w:r>
      <w:r w:rsidRPr="00670109">
        <w:rPr>
          <w:vertAlign w:val="subscript"/>
          <w:lang w:eastAsia="en-US"/>
        </w:rPr>
        <w:t>50</w:t>
      </w:r>
      <w:r w:rsidRPr="00670109">
        <w:rPr>
          <w:lang w:eastAsia="en-US"/>
        </w:rPr>
        <w:t xml:space="preserve"> values to calculate hazard quotients (HQ) for oral exposure (Q</w:t>
      </w:r>
      <w:r w:rsidRPr="00670109">
        <w:rPr>
          <w:vertAlign w:val="subscript"/>
          <w:lang w:eastAsia="en-US"/>
        </w:rPr>
        <w:t>HO</w:t>
      </w:r>
      <w:r w:rsidRPr="00670109">
        <w:rPr>
          <w:lang w:eastAsia="en-US"/>
        </w:rPr>
        <w:t>) and contact exposure (Q</w:t>
      </w:r>
      <w:r w:rsidRPr="00670109">
        <w:rPr>
          <w:vertAlign w:val="subscript"/>
          <w:lang w:eastAsia="en-US"/>
        </w:rPr>
        <w:t>HC</w:t>
      </w:r>
      <w:r w:rsidRPr="00670109">
        <w:rPr>
          <w:lang w:eastAsia="en-US"/>
        </w:rPr>
        <w:t>) [</w:t>
      </w:r>
      <w:r w:rsidRPr="00670109">
        <w:rPr>
          <w:i/>
          <w:iCs/>
          <w:lang w:eastAsia="en-US"/>
        </w:rPr>
        <w:t>OEPP/EPPO, 2010: Environmental risk assessment scheme for plant protection products, Chapter 10: Honeybees (PP 3/10 (3), Bulletin OEPP/EPPO Bulletin 40, 323–331</w:t>
      </w:r>
      <w:r w:rsidRPr="00670109">
        <w:rPr>
          <w:lang w:eastAsia="en-US"/>
        </w:rPr>
        <w:t xml:space="preserve">]. </w:t>
      </w:r>
      <w:bookmarkStart w:id="66" w:name="_Hlk528744513"/>
      <w:r w:rsidRPr="00670109">
        <w:rPr>
          <w:lang w:eastAsia="en-US"/>
        </w:rPr>
        <w:t xml:space="preserve">Furthermore, </w:t>
      </w:r>
      <w:r w:rsidRPr="00670109">
        <w:t xml:space="preserve">under Regulation (EC) No 1107/2009, no risk assessment scheme exists currently for chronic honey bee or honey bee larvae studies. </w:t>
      </w:r>
      <w:r w:rsidRPr="00670109">
        <w:rPr>
          <w:lang w:val="en-US"/>
        </w:rPr>
        <w:t>In the absence of clear guidance (noted and agreed by member states) a preliminary risk assessment according to the current legal requirements (SANCO/10329/2002 and EPPO 2010)</w:t>
      </w:r>
      <w:r w:rsidRPr="00670109">
        <w:t xml:space="preserve"> has been conducted</w:t>
      </w:r>
      <w:r w:rsidRPr="00670109">
        <w:rPr>
          <w:lang w:val="en-US"/>
        </w:rPr>
        <w:t>.</w:t>
      </w:r>
      <w:bookmarkEnd w:id="66"/>
    </w:p>
    <w:p w14:paraId="051A2258" w14:textId="77777777" w:rsidR="00670109" w:rsidRPr="00670109" w:rsidRDefault="00670109" w:rsidP="00670109">
      <w:pPr>
        <w:pStyle w:val="RepStandard"/>
        <w:rPr>
          <w:lang w:eastAsia="en-US"/>
        </w:rPr>
      </w:pPr>
    </w:p>
    <w:p w14:paraId="56A4331A" w14:textId="77777777" w:rsidR="00670109" w:rsidRPr="00670109" w:rsidRDefault="00670109" w:rsidP="00670109">
      <w:pPr>
        <w:widowControl w:val="0"/>
        <w:jc w:val="both"/>
      </w:pPr>
      <w:r w:rsidRPr="00670109">
        <w:t>The hazard quotients for BAS 736 00 F and the active substances fluxapyroxad and azoxystrobin</w:t>
      </w:r>
      <w:r w:rsidRPr="00670109" w:rsidDel="00430871">
        <w:t xml:space="preserve"> </w:t>
      </w:r>
      <w:r w:rsidRPr="00670109">
        <w:t xml:space="preserve">for acute oral and acute contact exposure of honey bees are considerably below the Commission Regulation (EU) 546/2011 trigger value of 50. </w:t>
      </w:r>
      <w:r w:rsidRPr="00670109">
        <w:rPr>
          <w:lang w:val="en-GB"/>
        </w:rPr>
        <w:t xml:space="preserve">Additionally, </w:t>
      </w:r>
      <w:r w:rsidRPr="00670109">
        <w:t>the chronic TER for larvae and adult bees exceed the suggested trigger. Considering the very protective assumptions the risk can be considered acceptable.</w:t>
      </w:r>
    </w:p>
    <w:p w14:paraId="744961EE" w14:textId="77777777" w:rsidR="00670109" w:rsidRPr="00670109" w:rsidRDefault="00670109" w:rsidP="00670109">
      <w:pPr>
        <w:widowControl w:val="0"/>
        <w:jc w:val="both"/>
      </w:pPr>
    </w:p>
    <w:p w14:paraId="3E3EE078" w14:textId="77777777" w:rsidR="00670109" w:rsidRPr="004C3A73" w:rsidRDefault="00670109" w:rsidP="00670109">
      <w:pPr>
        <w:widowControl w:val="0"/>
        <w:jc w:val="both"/>
      </w:pPr>
      <w:r w:rsidRPr="00670109">
        <w:rPr>
          <w:b/>
        </w:rPr>
        <w:t>Based on these results it can be concluded that low risk to honey bees is expected from applications of BAS 736 00 F according to the proposed uses.</w:t>
      </w:r>
      <w:bookmarkStart w:id="67" w:name="_Hlk516229975"/>
      <w:r w:rsidRPr="00670109">
        <w:rPr>
          <w:b/>
          <w:lang w:val="en-GB"/>
        </w:rPr>
        <w:t xml:space="preserve"> This is confirmed by a worst case assessment following </w:t>
      </w:r>
      <w:r w:rsidRPr="00670109">
        <w:rPr>
          <w:b/>
        </w:rPr>
        <w:t>EPPO (2010) for chronic adult and honey bee larvae.</w:t>
      </w:r>
      <w:bookmarkEnd w:id="67"/>
    </w:p>
    <w:bookmarkEnd w:id="65"/>
    <w:p w14:paraId="04BC7D45" w14:textId="78CF2C1C" w:rsidR="00D3711F" w:rsidRDefault="00D3711F" w:rsidP="00670109">
      <w:pPr>
        <w:pStyle w:val="RepStandard"/>
        <w:rPr>
          <w:lang w:val="en-US"/>
        </w:rPr>
      </w:pPr>
    </w:p>
    <w:p w14:paraId="3BF1D47E" w14:textId="77777777" w:rsidR="00D526BE" w:rsidRPr="002B1114" w:rsidRDefault="002A31C0" w:rsidP="00AA32CE">
      <w:pPr>
        <w:pStyle w:val="Nagwek4"/>
        <w:rPr>
          <w:lang w:val="en-GB"/>
        </w:rPr>
      </w:pPr>
      <w:bookmarkStart w:id="68" w:name="_Toc415214551"/>
      <w:bookmarkStart w:id="69" w:name="_Toc414955244"/>
      <w:bookmarkStart w:id="70" w:name="_Toc413922607"/>
      <w:bookmarkStart w:id="71" w:name="_Toc413922503"/>
      <w:bookmarkStart w:id="72" w:name="_Toc413922014"/>
      <w:bookmarkStart w:id="73" w:name="_Toc413916953"/>
      <w:bookmarkStart w:id="74" w:name="_Toc413916811"/>
      <w:bookmarkStart w:id="75" w:name="_Toc412643965"/>
      <w:bookmarkStart w:id="76" w:name="_Toc125446394"/>
      <w:r w:rsidRPr="002A31C0">
        <w:rPr>
          <w:lang w:val="en-GB"/>
        </w:rPr>
        <w:t>Effects on arthropods other than bees (KCP 10.3.2)</w:t>
      </w:r>
      <w:bookmarkEnd w:id="68"/>
      <w:bookmarkEnd w:id="69"/>
      <w:bookmarkEnd w:id="70"/>
      <w:bookmarkEnd w:id="71"/>
      <w:bookmarkEnd w:id="72"/>
      <w:bookmarkEnd w:id="73"/>
      <w:bookmarkEnd w:id="74"/>
      <w:bookmarkEnd w:id="75"/>
      <w:bookmarkEnd w:id="76"/>
    </w:p>
    <w:p w14:paraId="58C3A3CC" w14:textId="77777777" w:rsidR="00670109" w:rsidRPr="00670109" w:rsidRDefault="00670109" w:rsidP="00670109">
      <w:pPr>
        <w:widowControl w:val="0"/>
        <w:jc w:val="both"/>
        <w:rPr>
          <w:bCs/>
        </w:rPr>
      </w:pPr>
      <w:bookmarkStart w:id="77" w:name="_Hlk510615297"/>
      <w:bookmarkStart w:id="78" w:name="_Hlk88474697"/>
      <w:r w:rsidRPr="00670109">
        <w:rPr>
          <w:lang w:eastAsia="en-US"/>
        </w:rPr>
        <w:t xml:space="preserve">The testing and risk assessment strategy used here follow the approach recommended in the </w:t>
      </w:r>
      <w:r w:rsidRPr="00670109">
        <w:rPr>
          <w:iCs/>
          <w:lang w:eastAsia="en-US"/>
        </w:rPr>
        <w:t>ESCORT 2 guidance document</w:t>
      </w:r>
      <w:r w:rsidRPr="00670109">
        <w:rPr>
          <w:lang w:eastAsia="en-US"/>
        </w:rPr>
        <w:t>, ESCORT 3, and the EC Guidance Document on Terrestrial Ecotoxicology (SANCO/10329, 17 October 2002)</w:t>
      </w:r>
      <w:r w:rsidRPr="00670109">
        <w:rPr>
          <w:i/>
          <w:lang w:eastAsia="en-US"/>
        </w:rPr>
        <w:t>.</w:t>
      </w:r>
      <w:r w:rsidRPr="00670109">
        <w:t xml:space="preserve"> The risk assessment for BAS 736 00 F is based on Tier I tests with the standard test species </w:t>
      </w:r>
      <w:r w:rsidRPr="00670109">
        <w:rPr>
          <w:bCs/>
          <w:i/>
        </w:rPr>
        <w:t>T</w:t>
      </w:r>
      <w:r w:rsidRPr="00670109">
        <w:rPr>
          <w:bCs/>
        </w:rPr>
        <w:t>.</w:t>
      </w:r>
      <w:r w:rsidRPr="00670109">
        <w:rPr>
          <w:bCs/>
          <w:i/>
        </w:rPr>
        <w:t xml:space="preserve"> pyri </w:t>
      </w:r>
      <w:r w:rsidRPr="00670109">
        <w:rPr>
          <w:bCs/>
          <w:iCs/>
        </w:rPr>
        <w:t>and</w:t>
      </w:r>
      <w:r w:rsidRPr="00670109">
        <w:t xml:space="preserve"> </w:t>
      </w:r>
      <w:r w:rsidRPr="00670109">
        <w:rPr>
          <w:bCs/>
          <w:i/>
          <w:iCs/>
        </w:rPr>
        <w:t>A</w:t>
      </w:r>
      <w:r w:rsidRPr="00670109">
        <w:rPr>
          <w:bCs/>
          <w:iCs/>
        </w:rPr>
        <w:t>.</w:t>
      </w:r>
      <w:r w:rsidRPr="00670109">
        <w:rPr>
          <w:bCs/>
          <w:i/>
          <w:iCs/>
        </w:rPr>
        <w:t xml:space="preserve"> rhopalosiphi</w:t>
      </w:r>
      <w:r w:rsidRPr="00670109">
        <w:rPr>
          <w:bCs/>
        </w:rPr>
        <w:t xml:space="preserve"> and Tier II tests on </w:t>
      </w:r>
      <w:r w:rsidRPr="00670109">
        <w:rPr>
          <w:bCs/>
          <w:i/>
        </w:rPr>
        <w:t>T</w:t>
      </w:r>
      <w:r w:rsidRPr="00670109">
        <w:rPr>
          <w:bCs/>
        </w:rPr>
        <w:t>.</w:t>
      </w:r>
      <w:r w:rsidRPr="00670109">
        <w:rPr>
          <w:bCs/>
          <w:i/>
        </w:rPr>
        <w:t xml:space="preserve"> pyri,</w:t>
      </w:r>
      <w:r w:rsidRPr="00670109">
        <w:rPr>
          <w:bCs/>
        </w:rPr>
        <w:t xml:space="preserve"> </w:t>
      </w:r>
      <w:r w:rsidRPr="00670109">
        <w:rPr>
          <w:bCs/>
          <w:i/>
          <w:iCs/>
        </w:rPr>
        <w:t>A. rhopalosiphi</w:t>
      </w:r>
      <w:r w:rsidRPr="00670109">
        <w:rPr>
          <w:bCs/>
          <w:iCs/>
        </w:rPr>
        <w:t xml:space="preserve"> </w:t>
      </w:r>
      <w:r w:rsidRPr="00670109">
        <w:rPr>
          <w:bCs/>
        </w:rPr>
        <w:t xml:space="preserve">and </w:t>
      </w:r>
      <w:r w:rsidRPr="00670109">
        <w:rPr>
          <w:bCs/>
          <w:i/>
        </w:rPr>
        <w:t>C. carnea</w:t>
      </w:r>
      <w:r w:rsidRPr="00670109">
        <w:rPr>
          <w:bCs/>
        </w:rPr>
        <w:t>. The risk assessment is based on the worst-case application rate according to the proposed use pattern.</w:t>
      </w:r>
    </w:p>
    <w:p w14:paraId="646FA126" w14:textId="77777777" w:rsidR="00670109" w:rsidRPr="00670109" w:rsidRDefault="00670109" w:rsidP="00670109">
      <w:pPr>
        <w:pStyle w:val="StyleOECD-BASIS-TEXTLeft"/>
        <w:rPr>
          <w:sz w:val="22"/>
          <w:lang w:val="en-US"/>
        </w:rPr>
      </w:pPr>
    </w:p>
    <w:p w14:paraId="4771BCFD" w14:textId="3D317D61" w:rsidR="00CE08CB" w:rsidRPr="00670109" w:rsidRDefault="00670109" w:rsidP="00670109">
      <w:pPr>
        <w:widowControl w:val="0"/>
        <w:jc w:val="both"/>
        <w:rPr>
          <w:b/>
        </w:rPr>
      </w:pPr>
      <w:r w:rsidRPr="00670109">
        <w:rPr>
          <w:b/>
        </w:rPr>
        <w:t>Based on the results of the conducted first and higher tier risk assessments it can be concluded that low risk for non-target arthropods is expected from the use of BAS 736 00 F according to the proposed use pattern. No unacceptable effects on non-target arthropods are expected in in-field and off-field habitats.</w:t>
      </w:r>
      <w:bookmarkEnd w:id="77"/>
    </w:p>
    <w:bookmarkEnd w:id="78"/>
    <w:p w14:paraId="716C203B" w14:textId="77777777" w:rsidR="00CE08CB" w:rsidRDefault="00CE08CB" w:rsidP="00CE08CB">
      <w:pPr>
        <w:pStyle w:val="StyleOECD-BASIS-TEXTLeft"/>
        <w:rPr>
          <w:sz w:val="22"/>
          <w:lang w:val="en-US"/>
        </w:rPr>
      </w:pPr>
    </w:p>
    <w:p w14:paraId="7010AAB8" w14:textId="77777777" w:rsidR="00D526BE" w:rsidRDefault="002A31C0" w:rsidP="00AA32CE">
      <w:pPr>
        <w:pStyle w:val="Nagwek4"/>
        <w:rPr>
          <w:lang w:val="en-GB"/>
        </w:rPr>
      </w:pPr>
      <w:bookmarkStart w:id="79" w:name="_Toc412643966"/>
      <w:bookmarkStart w:id="80" w:name="_Toc413916812"/>
      <w:bookmarkStart w:id="81" w:name="_Toc413916954"/>
      <w:bookmarkStart w:id="82" w:name="_Toc413922015"/>
      <w:bookmarkStart w:id="83" w:name="_Toc413922504"/>
      <w:bookmarkStart w:id="84" w:name="_Toc413922608"/>
      <w:bookmarkStart w:id="85" w:name="_Toc414955245"/>
      <w:bookmarkStart w:id="86" w:name="_Toc415214552"/>
      <w:bookmarkStart w:id="87" w:name="_Toc125446395"/>
      <w:r w:rsidRPr="002A31C0">
        <w:rPr>
          <w:lang w:val="en-GB"/>
        </w:rPr>
        <w:t>Effects on non-target soil meso- and macrofauna (KCP 10.4)</w:t>
      </w:r>
      <w:r w:rsidR="00D526BE" w:rsidRPr="002B1114">
        <w:rPr>
          <w:lang w:val="en-GB"/>
        </w:rPr>
        <w:t xml:space="preserve">, </w:t>
      </w:r>
      <w:r w:rsidRPr="002A31C0">
        <w:rPr>
          <w:lang w:val="en-GB"/>
        </w:rPr>
        <w:t>Effects on soil microbial activity (KCP 10.5)</w:t>
      </w:r>
      <w:bookmarkEnd w:id="79"/>
      <w:bookmarkEnd w:id="80"/>
      <w:bookmarkEnd w:id="81"/>
      <w:bookmarkEnd w:id="82"/>
      <w:bookmarkEnd w:id="83"/>
      <w:bookmarkEnd w:id="84"/>
      <w:bookmarkEnd w:id="85"/>
      <w:bookmarkEnd w:id="86"/>
      <w:bookmarkEnd w:id="87"/>
    </w:p>
    <w:p w14:paraId="22F26191" w14:textId="77777777" w:rsidR="00670109" w:rsidRPr="00670109" w:rsidRDefault="00670109" w:rsidP="00670109">
      <w:pPr>
        <w:widowControl w:val="0"/>
        <w:jc w:val="both"/>
        <w:rPr>
          <w:lang w:val="en-GB" w:eastAsia="en-US"/>
        </w:rPr>
      </w:pPr>
      <w:bookmarkStart w:id="88" w:name="_Hlk510615305"/>
      <w:r w:rsidRPr="00670109">
        <w:rPr>
          <w:lang w:val="en-GB" w:eastAsia="en-US"/>
        </w:rPr>
        <w:t>The evaluation of the risk for earthworms and other non-target soil organisms (meso- and macrofauna), as well as for soil microorganisms was performed in accordance with the recommendations of the “Guidance Document on Terrestrial Ecotoxicology”, as provided by the Commission Services (SANCO/10329/2002 rev 2 (final), October 17, 2002).</w:t>
      </w:r>
    </w:p>
    <w:p w14:paraId="4795C11B" w14:textId="77777777" w:rsidR="00670109" w:rsidRPr="00670109" w:rsidRDefault="00670109" w:rsidP="00670109">
      <w:pPr>
        <w:widowControl w:val="0"/>
        <w:jc w:val="both"/>
        <w:rPr>
          <w:lang w:val="en-GB" w:eastAsia="en-US"/>
        </w:rPr>
      </w:pPr>
    </w:p>
    <w:p w14:paraId="571E02F2" w14:textId="77777777" w:rsidR="00670109" w:rsidRPr="00670109" w:rsidRDefault="00670109" w:rsidP="00670109">
      <w:pPr>
        <w:widowControl w:val="0"/>
        <w:jc w:val="both"/>
        <w:rPr>
          <w:b/>
          <w:i/>
          <w:lang w:val="en-GB"/>
        </w:rPr>
      </w:pPr>
      <w:r w:rsidRPr="00670109">
        <w:rPr>
          <w:b/>
          <w:i/>
          <w:lang w:val="en-GB"/>
        </w:rPr>
        <w:t>Effects on non-target soil meso- and macrofauna</w:t>
      </w:r>
    </w:p>
    <w:p w14:paraId="3563EB76" w14:textId="003B3EB5" w:rsidR="00670109" w:rsidRPr="00670109" w:rsidRDefault="00670109" w:rsidP="00670109">
      <w:pPr>
        <w:pStyle w:val="RepStandard"/>
        <w:rPr>
          <w:lang w:eastAsia="en-US"/>
        </w:rPr>
      </w:pPr>
      <w:r w:rsidRPr="00670109">
        <w:rPr>
          <w:lang w:eastAsia="en-US"/>
        </w:rPr>
        <w:t>The potential risk of BAS 736 00 F, fluxapyroxad, azoxystrobin and the relevant metabolites to earthworms and other non-target soil macro-organisms was assessed by comparing the maximum PEC</w:t>
      </w:r>
      <w:r w:rsidRPr="00670109">
        <w:rPr>
          <w:vertAlign w:val="subscript"/>
          <w:lang w:eastAsia="en-US"/>
        </w:rPr>
        <w:t>soil</w:t>
      </w:r>
      <w:r w:rsidRPr="00670109">
        <w:rPr>
          <w:lang w:eastAsia="en-US"/>
        </w:rPr>
        <w:t xml:space="preserve"> values with NOEC or EC</w:t>
      </w:r>
      <w:r w:rsidRPr="00670109">
        <w:rPr>
          <w:vertAlign w:val="subscript"/>
          <w:lang w:eastAsia="en-US"/>
        </w:rPr>
        <w:t>10</w:t>
      </w:r>
      <w:r w:rsidRPr="00670109">
        <w:rPr>
          <w:lang w:eastAsia="en-US"/>
        </w:rPr>
        <w:t xml:space="preserve"> values, to generate TER values.</w:t>
      </w:r>
    </w:p>
    <w:p w14:paraId="554CD6C5" w14:textId="77777777" w:rsidR="00670109" w:rsidRPr="00670109" w:rsidRDefault="00670109" w:rsidP="00670109">
      <w:pPr>
        <w:pStyle w:val="RepStandard"/>
        <w:rPr>
          <w:lang w:eastAsia="en-US"/>
        </w:rPr>
      </w:pPr>
    </w:p>
    <w:p w14:paraId="7FD839A6" w14:textId="293A228C" w:rsidR="00670109" w:rsidRPr="00670109" w:rsidRDefault="00670109" w:rsidP="00670109">
      <w:pPr>
        <w:widowControl w:val="0"/>
        <w:tabs>
          <w:tab w:val="left" w:pos="720"/>
        </w:tabs>
        <w:spacing w:line="280" w:lineRule="exact"/>
        <w:jc w:val="both"/>
        <w:rPr>
          <w:b/>
        </w:rPr>
      </w:pPr>
      <w:r w:rsidRPr="00670109">
        <w:rPr>
          <w:b/>
          <w:lang w:val="en-GB"/>
        </w:rPr>
        <w:t>All TER values for BAS 736 00 F, fluxapyroxad, azoxystrobin and the relevant metabolites</w:t>
      </w:r>
      <w:r w:rsidRPr="00670109" w:rsidDel="00430871">
        <w:rPr>
          <w:b/>
          <w:lang w:val="en-GB"/>
        </w:rPr>
        <w:t xml:space="preserve"> </w:t>
      </w:r>
      <w:r w:rsidRPr="00670109">
        <w:rPr>
          <w:b/>
          <w:lang w:val="en-GB"/>
        </w:rPr>
        <w:t xml:space="preserve">for chronic exposure of earthworms and other non-target soil organisms (meso- and macrofauna) are considerably higher than the </w:t>
      </w:r>
      <w:r w:rsidR="00737850">
        <w:rPr>
          <w:b/>
        </w:rPr>
        <w:t xml:space="preserve">relevant </w:t>
      </w:r>
      <w:r w:rsidRPr="00670109">
        <w:rPr>
          <w:b/>
          <w:lang w:val="en-GB"/>
        </w:rPr>
        <w:t>trigger value. This indicates that BAS 736 00 F poses no unacceptable risk to earthworms and other non-target soil organisms (meso- and macrofauna) when applied according to the proposed use rate.</w:t>
      </w:r>
    </w:p>
    <w:p w14:paraId="25289FB3" w14:textId="77777777" w:rsidR="00670109" w:rsidRPr="00670109" w:rsidRDefault="00670109" w:rsidP="00670109">
      <w:pPr>
        <w:pStyle w:val="RepStandard"/>
        <w:rPr>
          <w:lang w:val="en-US"/>
        </w:rPr>
      </w:pPr>
    </w:p>
    <w:p w14:paraId="22835C63" w14:textId="77777777" w:rsidR="00670109" w:rsidRPr="00670109" w:rsidRDefault="00670109" w:rsidP="00670109">
      <w:pPr>
        <w:widowControl w:val="0"/>
        <w:jc w:val="both"/>
        <w:rPr>
          <w:b/>
          <w:i/>
          <w:lang w:val="en-GB"/>
        </w:rPr>
      </w:pPr>
      <w:r w:rsidRPr="00670109">
        <w:rPr>
          <w:b/>
          <w:i/>
          <w:lang w:val="en-GB"/>
        </w:rPr>
        <w:t>Effects on soil microbial activity</w:t>
      </w:r>
    </w:p>
    <w:p w14:paraId="247C0AF2" w14:textId="77777777" w:rsidR="00670109" w:rsidRPr="00670109" w:rsidRDefault="00670109" w:rsidP="00670109">
      <w:pPr>
        <w:widowControl w:val="0"/>
        <w:jc w:val="both"/>
      </w:pPr>
      <w:r w:rsidRPr="00670109">
        <w:t xml:space="preserve">The potential risk of </w:t>
      </w:r>
      <w:r w:rsidRPr="00670109">
        <w:rPr>
          <w:lang w:eastAsia="en-US"/>
        </w:rPr>
        <w:t xml:space="preserve">BAS 736 00 F, fluxapyroxad, azoxystrobin and the relevant metabolites </w:t>
      </w:r>
      <w:r w:rsidRPr="00670109">
        <w:t>to soil micro-organisms was assessed by comparing the maximum PEC</w:t>
      </w:r>
      <w:r w:rsidRPr="00670109">
        <w:rPr>
          <w:vertAlign w:val="subscript"/>
        </w:rPr>
        <w:t>soil</w:t>
      </w:r>
      <w:r w:rsidRPr="00670109">
        <w:t xml:space="preserve"> values with the maximum concentration with effects ≤ 25%.</w:t>
      </w:r>
    </w:p>
    <w:p w14:paraId="45BCBC9B" w14:textId="77777777" w:rsidR="00670109" w:rsidRPr="00670109" w:rsidRDefault="00670109" w:rsidP="00670109">
      <w:pPr>
        <w:widowControl w:val="0"/>
        <w:jc w:val="both"/>
      </w:pPr>
    </w:p>
    <w:p w14:paraId="749C6637" w14:textId="035C4342" w:rsidR="00670109" w:rsidRDefault="00670109" w:rsidP="00670109">
      <w:pPr>
        <w:jc w:val="both"/>
        <w:rPr>
          <w:b/>
          <w:bCs/>
          <w:szCs w:val="20"/>
          <w:lang w:eastAsia="en-US"/>
        </w:rPr>
      </w:pPr>
      <w:r w:rsidRPr="00670109">
        <w:rPr>
          <w:b/>
          <w:bCs/>
          <w:szCs w:val="20"/>
          <w:lang w:val="en-CA"/>
        </w:rPr>
        <w:t xml:space="preserve">For the formulation </w:t>
      </w:r>
      <w:r w:rsidRPr="00670109">
        <w:rPr>
          <w:b/>
          <w:lang w:val="en-GB"/>
        </w:rPr>
        <w:t>BAS 736 00 F, the active substances fluxapyroxad and azoxystrobin as well as their relevant metabolites</w:t>
      </w:r>
      <w:r w:rsidRPr="00670109">
        <w:rPr>
          <w:b/>
          <w:bCs/>
          <w:szCs w:val="20"/>
          <w:lang w:val="en-CA"/>
        </w:rPr>
        <w:t>, the maximum concentration with effects &lt; 25% (SANCO/10329/2002 trigger) are all above the maximum PEC</w:t>
      </w:r>
      <w:r w:rsidRPr="00670109">
        <w:rPr>
          <w:b/>
          <w:bCs/>
          <w:szCs w:val="20"/>
          <w:vertAlign w:val="subscript"/>
          <w:lang w:val="en-CA"/>
        </w:rPr>
        <w:t>soil</w:t>
      </w:r>
      <w:r w:rsidRPr="00670109">
        <w:rPr>
          <w:b/>
          <w:bCs/>
          <w:szCs w:val="20"/>
          <w:lang w:val="en-CA"/>
        </w:rPr>
        <w:t xml:space="preserve"> values. Therefore, </w:t>
      </w:r>
      <w:r w:rsidRPr="00670109">
        <w:rPr>
          <w:b/>
          <w:bCs/>
          <w:szCs w:val="20"/>
          <w:lang w:eastAsia="en-US"/>
        </w:rPr>
        <w:t xml:space="preserve">it is concluded that the use of </w:t>
      </w:r>
      <w:r w:rsidRPr="00670109">
        <w:rPr>
          <w:b/>
          <w:bCs/>
          <w:szCs w:val="20"/>
          <w:lang w:val="en-CA"/>
        </w:rPr>
        <w:t>BAS 736 00 F</w:t>
      </w:r>
      <w:r w:rsidRPr="00670109">
        <w:rPr>
          <w:b/>
          <w:bCs/>
          <w:szCs w:val="20"/>
          <w:lang w:eastAsia="en-US"/>
        </w:rPr>
        <w:t xml:space="preserve"> will not pose an unacceptable risk to non-target soil micro-organisms, if applied according to good agricultural practice.</w:t>
      </w:r>
    </w:p>
    <w:p w14:paraId="058CFB45" w14:textId="77777777" w:rsidR="00D3711F" w:rsidRPr="00C86442" w:rsidRDefault="00D3711F" w:rsidP="00670109">
      <w:pPr>
        <w:jc w:val="both"/>
        <w:rPr>
          <w:b/>
          <w:bCs/>
          <w:szCs w:val="20"/>
        </w:rPr>
      </w:pPr>
    </w:p>
    <w:p w14:paraId="6A90367E" w14:textId="77777777" w:rsidR="00D526BE" w:rsidRDefault="002A31C0" w:rsidP="00AA32CE">
      <w:pPr>
        <w:pStyle w:val="Nagwek4"/>
        <w:rPr>
          <w:lang w:val="en-GB"/>
        </w:rPr>
      </w:pPr>
      <w:bookmarkStart w:id="89" w:name="OLE_LINK1"/>
      <w:bookmarkStart w:id="90" w:name="_Toc415214553"/>
      <w:bookmarkStart w:id="91" w:name="_Toc414955246"/>
      <w:bookmarkStart w:id="92" w:name="_Toc413922609"/>
      <w:bookmarkStart w:id="93" w:name="_Toc413922505"/>
      <w:bookmarkStart w:id="94" w:name="_Toc413922016"/>
      <w:bookmarkStart w:id="95" w:name="_Toc413916955"/>
      <w:bookmarkStart w:id="96" w:name="_Toc413916813"/>
      <w:bookmarkStart w:id="97" w:name="_Toc412643967"/>
      <w:bookmarkStart w:id="98" w:name="_Toc125446396"/>
      <w:bookmarkEnd w:id="88"/>
      <w:r w:rsidRPr="002A31C0">
        <w:rPr>
          <w:lang w:val="en-GB"/>
        </w:rPr>
        <w:lastRenderedPageBreak/>
        <w:t>Effects on non-target terrestrial plants (KCP 10.6)</w:t>
      </w:r>
      <w:bookmarkEnd w:id="89"/>
      <w:bookmarkEnd w:id="90"/>
      <w:bookmarkEnd w:id="91"/>
      <w:bookmarkEnd w:id="92"/>
      <w:bookmarkEnd w:id="93"/>
      <w:bookmarkEnd w:id="94"/>
      <w:bookmarkEnd w:id="95"/>
      <w:bookmarkEnd w:id="96"/>
      <w:bookmarkEnd w:id="97"/>
      <w:bookmarkEnd w:id="98"/>
    </w:p>
    <w:p w14:paraId="0C3643D6" w14:textId="77777777" w:rsidR="00670109" w:rsidRPr="00685C6D" w:rsidRDefault="00670109" w:rsidP="00670109">
      <w:pPr>
        <w:pStyle w:val="RepStandard"/>
        <w:rPr>
          <w:lang w:val="en-US"/>
        </w:rPr>
      </w:pPr>
      <w:bookmarkStart w:id="99" w:name="_Hlk510615313"/>
      <w:bookmarkStart w:id="100" w:name="_Hlk88474725"/>
      <w:r w:rsidRPr="00670109">
        <w:t xml:space="preserve">The toxicity of BAS 736 00 F to </w:t>
      </w:r>
      <w:r w:rsidRPr="00670109">
        <w:rPr>
          <w:bCs/>
        </w:rPr>
        <w:t>non-target terrestrial plants has been investigated by carrying out v</w:t>
      </w:r>
      <w:r w:rsidRPr="00670109">
        <w:t>egetative vigor and seedling emergence studies with up to six dicotyledonous and four monocotyledonous non-target plant species.</w:t>
      </w:r>
      <w:r w:rsidRPr="00670109">
        <w:rPr>
          <w:lang w:val="en-US"/>
        </w:rPr>
        <w:t xml:space="preserve"> Plants showed similar/higher sensitivity to pre- emergence exposure than to post-emergence exposure. The risk assessment is thus carried out with the respective most sensitive endpoints obtained from the vegetative vigor tests.</w:t>
      </w:r>
    </w:p>
    <w:p w14:paraId="18D51F84" w14:textId="77777777" w:rsidR="00670109" w:rsidRDefault="00670109" w:rsidP="00670109">
      <w:pPr>
        <w:pStyle w:val="RepStandard"/>
        <w:rPr>
          <w:lang w:val="en-US"/>
        </w:rPr>
      </w:pPr>
    </w:p>
    <w:p w14:paraId="4326DC53" w14:textId="77777777" w:rsidR="00670109" w:rsidRDefault="00670109" w:rsidP="00670109">
      <w:pPr>
        <w:pStyle w:val="RepStandard"/>
        <w:tabs>
          <w:tab w:val="left" w:pos="1118"/>
        </w:tabs>
        <w:rPr>
          <w:lang w:val="en-US"/>
        </w:rPr>
      </w:pPr>
      <w:r w:rsidRPr="00CD3654">
        <w:rPr>
          <w:lang w:val="en-US"/>
        </w:rPr>
        <w:t xml:space="preserve">The risk assessment is based on the “Guidance Document on Terrestrial Ecotoxicology”, (SANCO/10329/2002 rev.2 final, 2002). It is restricted to off-field areas, as non-target plants are non-crop plants located outside the </w:t>
      </w:r>
      <w:r w:rsidRPr="00670109">
        <w:rPr>
          <w:lang w:val="en-US"/>
        </w:rPr>
        <w:t xml:space="preserve">treated area. </w:t>
      </w:r>
      <w:r w:rsidRPr="00670109">
        <w:t>The amount of spray drift reaching off-crop habitats is calculated using the 90</w:t>
      </w:r>
      <w:r w:rsidRPr="00670109">
        <w:rPr>
          <w:vertAlign w:val="superscript"/>
        </w:rPr>
        <w:t>th</w:t>
      </w:r>
      <w:r w:rsidRPr="00670109">
        <w:t xml:space="preserve"> percentile estimates in Appendix IV of ESCORT 2. </w:t>
      </w:r>
      <w:r w:rsidRPr="00670109">
        <w:rPr>
          <w:lang w:val="en-US"/>
        </w:rPr>
        <w:t>For a single application to field crops and vegetables &lt; 50 cm, 2.77%</w:t>
      </w:r>
      <w:r w:rsidRPr="00CD3654">
        <w:rPr>
          <w:lang w:val="en-US"/>
        </w:rPr>
        <w:t xml:space="preserve"> of the application rate was assumed </w:t>
      </w:r>
      <w:r w:rsidRPr="00670109">
        <w:rPr>
          <w:lang w:val="en-US"/>
        </w:rPr>
        <w:t xml:space="preserve">to reach areas at 1 m from the edge of the crop (worst-case scenario). The highest single application rate of BAS 736 00 F </w:t>
      </w:r>
      <w:r w:rsidRPr="00670109">
        <w:t>is used to calculate t</w:t>
      </w:r>
      <w:r w:rsidRPr="00670109">
        <w:rPr>
          <w:lang w:val="en-US"/>
        </w:rPr>
        <w:t>he maximum off-field predicted environmental rate (PER</w:t>
      </w:r>
      <w:r w:rsidRPr="00670109">
        <w:rPr>
          <w:vertAlign w:val="subscript"/>
          <w:lang w:val="en-US"/>
        </w:rPr>
        <w:t>off-field</w:t>
      </w:r>
      <w:r w:rsidRPr="00670109">
        <w:rPr>
          <w:lang w:val="en-US"/>
        </w:rPr>
        <w:t>). The potential risk of BAS 736 00 F to non-target plants was assessed by comparing the calculated PER value to the ER</w:t>
      </w:r>
      <w:r w:rsidRPr="00670109">
        <w:rPr>
          <w:vertAlign w:val="subscript"/>
          <w:lang w:val="en-US"/>
        </w:rPr>
        <w:t>50</w:t>
      </w:r>
      <w:r w:rsidRPr="00670109">
        <w:rPr>
          <w:lang w:val="en-US"/>
        </w:rPr>
        <w:t xml:space="preserve"> values in order to generate TER values (TER).</w:t>
      </w:r>
    </w:p>
    <w:p w14:paraId="44DF4008" w14:textId="77777777" w:rsidR="00670109" w:rsidRDefault="00670109" w:rsidP="00670109">
      <w:pPr>
        <w:pStyle w:val="RepStandard"/>
        <w:tabs>
          <w:tab w:val="left" w:pos="1118"/>
        </w:tabs>
        <w:rPr>
          <w:lang w:val="en-US"/>
        </w:rPr>
      </w:pPr>
    </w:p>
    <w:p w14:paraId="43A8519E" w14:textId="5E03F08C" w:rsidR="00670109" w:rsidRDefault="00670109" w:rsidP="00670109">
      <w:pPr>
        <w:pStyle w:val="RepStandard"/>
        <w:rPr>
          <w:lang w:val="en-US"/>
        </w:rPr>
      </w:pPr>
      <w:r w:rsidRPr="00CD3654">
        <w:rPr>
          <w:lang w:val="en-US"/>
        </w:rPr>
        <w:t xml:space="preserve">Based on the results of the greenhouse trials, </w:t>
      </w:r>
      <w:r>
        <w:rPr>
          <w:lang w:val="en-US"/>
        </w:rPr>
        <w:t xml:space="preserve">all </w:t>
      </w:r>
      <w:r w:rsidRPr="00CD3654">
        <w:rPr>
          <w:lang w:val="en-US"/>
        </w:rPr>
        <w:t xml:space="preserve">the TER values were above the standard trigger of 5. </w:t>
      </w:r>
    </w:p>
    <w:p w14:paraId="2B4FE4A7" w14:textId="77777777" w:rsidR="00670109" w:rsidRDefault="00670109" w:rsidP="00670109">
      <w:pPr>
        <w:pStyle w:val="RepStandard"/>
        <w:rPr>
          <w:lang w:val="en-US"/>
        </w:rPr>
      </w:pPr>
    </w:p>
    <w:p w14:paraId="39877988" w14:textId="199ED1D3" w:rsidR="00CE08CB" w:rsidRPr="00670109" w:rsidRDefault="00670109" w:rsidP="00CE08CB">
      <w:pPr>
        <w:pStyle w:val="RepStandard"/>
        <w:rPr>
          <w:b/>
          <w:bCs/>
          <w:lang w:eastAsia="en-US"/>
        </w:rPr>
      </w:pPr>
      <w:r w:rsidRPr="00670109">
        <w:rPr>
          <w:b/>
          <w:lang w:eastAsia="en-US"/>
        </w:rPr>
        <w:t>Based on the risk assessment it can be concluded that BAS 736 00 F poses no unacceptable risk to non-target plants,</w:t>
      </w:r>
      <w:r w:rsidRPr="00670109">
        <w:rPr>
          <w:b/>
          <w:bCs/>
          <w:lang w:eastAsia="en-US"/>
        </w:rPr>
        <w:t xml:space="preserve"> if applied according to the recommended use pattern. Particular precautions to reduce the environmental concentrations resulting from BAS 736 00 F applications are not required for the protection of terrestrial non-target plants. </w:t>
      </w:r>
      <w:bookmarkEnd w:id="99"/>
    </w:p>
    <w:bookmarkEnd w:id="100"/>
    <w:p w14:paraId="1D4E369E" w14:textId="77777777" w:rsidR="00CE08CB" w:rsidRDefault="00CE08CB" w:rsidP="00CE08CB">
      <w:pPr>
        <w:pStyle w:val="StyleOECD-BASIS-TEXTLeft"/>
        <w:rPr>
          <w:sz w:val="22"/>
          <w:lang w:val="en-US"/>
        </w:rPr>
      </w:pPr>
    </w:p>
    <w:p w14:paraId="69391A0B" w14:textId="77777777" w:rsidR="00D526BE" w:rsidRDefault="002A31C0" w:rsidP="00AA32CE">
      <w:pPr>
        <w:pStyle w:val="Nagwek4"/>
        <w:rPr>
          <w:lang w:val="en-GB"/>
        </w:rPr>
      </w:pPr>
      <w:bookmarkStart w:id="101" w:name="_Toc415214554"/>
      <w:bookmarkStart w:id="102" w:name="_Toc414955247"/>
      <w:bookmarkStart w:id="103" w:name="_Toc413922610"/>
      <w:bookmarkStart w:id="104" w:name="_Toc413922506"/>
      <w:bookmarkStart w:id="105" w:name="_Toc413922017"/>
      <w:bookmarkStart w:id="106" w:name="_Toc413916956"/>
      <w:bookmarkStart w:id="107" w:name="_Toc413916814"/>
      <w:bookmarkStart w:id="108" w:name="_Toc412643968"/>
      <w:bookmarkStart w:id="109" w:name="_Toc125446397"/>
      <w:r w:rsidRPr="002A31C0">
        <w:rPr>
          <w:lang w:val="en-GB"/>
        </w:rPr>
        <w:t>Effects on other terrestrial organisms (flora and fauna) (KCP 10.7)</w:t>
      </w:r>
      <w:bookmarkEnd w:id="101"/>
      <w:bookmarkEnd w:id="102"/>
      <w:bookmarkEnd w:id="103"/>
      <w:bookmarkEnd w:id="104"/>
      <w:bookmarkEnd w:id="105"/>
      <w:bookmarkEnd w:id="106"/>
      <w:bookmarkEnd w:id="107"/>
      <w:bookmarkEnd w:id="108"/>
      <w:bookmarkEnd w:id="109"/>
    </w:p>
    <w:p w14:paraId="4EA90611" w14:textId="54A6E6DA" w:rsidR="00CE08CB" w:rsidRDefault="00B314E8" w:rsidP="00CE08CB">
      <w:pPr>
        <w:pStyle w:val="RepStandard"/>
        <w:rPr>
          <w:lang w:val="en-US"/>
        </w:rPr>
      </w:pPr>
      <w:r>
        <w:rPr>
          <w:lang w:val="en-US"/>
        </w:rPr>
        <w:t>Not relevant.</w:t>
      </w:r>
    </w:p>
    <w:p w14:paraId="455A8D7F" w14:textId="77777777" w:rsidR="00CE08CB" w:rsidRDefault="00CE08CB" w:rsidP="00CE08CB">
      <w:pPr>
        <w:pStyle w:val="StyleOECD-BASIS-TEXTLeft"/>
        <w:rPr>
          <w:sz w:val="22"/>
          <w:lang w:val="en-US"/>
        </w:rPr>
      </w:pPr>
    </w:p>
    <w:p w14:paraId="3DF31A60" w14:textId="2CAF86E7" w:rsidR="00EF4888" w:rsidRDefault="000532B4" w:rsidP="00CE08CB">
      <w:pPr>
        <w:pStyle w:val="StyleOECD-BASIS-TEXTLeft"/>
        <w:rPr>
          <w:sz w:val="22"/>
          <w:lang w:val="en-US"/>
        </w:rPr>
      </w:pPr>
      <w:r>
        <w:rPr>
          <w:sz w:val="22"/>
          <w:lang w:val="en-US"/>
        </w:rPr>
        <w:br w:type="page"/>
      </w:r>
    </w:p>
    <w:p w14:paraId="3247BB87" w14:textId="77777777" w:rsidR="00D526BE" w:rsidRDefault="00D526BE" w:rsidP="00AA32CE">
      <w:pPr>
        <w:pStyle w:val="Nagwek3"/>
      </w:pPr>
      <w:bookmarkStart w:id="110" w:name="_Toc399487256"/>
      <w:bookmarkStart w:id="111" w:name="_Ref405664680"/>
      <w:bookmarkStart w:id="112" w:name="_Toc412643969"/>
      <w:bookmarkStart w:id="113" w:name="_Toc413916815"/>
      <w:bookmarkStart w:id="114" w:name="_Toc413916957"/>
      <w:bookmarkStart w:id="115" w:name="_Toc413922018"/>
      <w:bookmarkStart w:id="116" w:name="_Toc413922507"/>
      <w:bookmarkStart w:id="117" w:name="_Toc413922611"/>
      <w:bookmarkStart w:id="118" w:name="_Toc414955248"/>
      <w:bookmarkStart w:id="119" w:name="_Ref414959197"/>
      <w:bookmarkStart w:id="120" w:name="_Ref414959507"/>
      <w:bookmarkStart w:id="121" w:name="_Ref414959601"/>
      <w:bookmarkStart w:id="122" w:name="_Ref414960861"/>
      <w:bookmarkStart w:id="123" w:name="_Ref414961143"/>
      <w:bookmarkStart w:id="124" w:name="_Ref414961231"/>
      <w:bookmarkStart w:id="125" w:name="_Ref414962982"/>
      <w:bookmarkStart w:id="126" w:name="_Ref414969927"/>
      <w:bookmarkStart w:id="127" w:name="_Ref414969999"/>
      <w:bookmarkStart w:id="128" w:name="_Ref414970412"/>
      <w:bookmarkStart w:id="129" w:name="_Ref414972586"/>
      <w:bookmarkStart w:id="130" w:name="_Ref414978309"/>
      <w:bookmarkStart w:id="131" w:name="_Ref414978602"/>
      <w:bookmarkStart w:id="132" w:name="_Ref414979250"/>
      <w:bookmarkStart w:id="133" w:name="_Ref414979328"/>
      <w:bookmarkStart w:id="134" w:name="_Toc415214555"/>
      <w:bookmarkStart w:id="135" w:name="_Toc125446398"/>
      <w:r w:rsidRPr="002B1114">
        <w:lastRenderedPageBreak/>
        <w:t>Grouping of intended uses for risk assessment</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04F1FE0B" w14:textId="77777777" w:rsidR="00D526BE" w:rsidRPr="002B1114" w:rsidRDefault="00D526BE" w:rsidP="00AA32CE">
      <w:pPr>
        <w:pStyle w:val="RepStandard"/>
      </w:pPr>
      <w:r w:rsidRPr="002B1114">
        <w:t>The following table documents the grouping of the intended uses to support application of the risk envelope approach (according to SANCO/11244/2011).</w:t>
      </w:r>
    </w:p>
    <w:p w14:paraId="4BF56F33" w14:textId="19B82443" w:rsidR="00D526BE" w:rsidRPr="002B1114" w:rsidRDefault="00D526BE" w:rsidP="00AA32CE">
      <w:pPr>
        <w:pStyle w:val="RepLabel"/>
        <w:rPr>
          <w:highlight w:val="green"/>
        </w:rPr>
      </w:pPr>
      <w:bookmarkStart w:id="136" w:name="_Ref359576007"/>
      <w:r w:rsidRPr="002B1114">
        <w:t xml:space="preserve">Table </w:t>
      </w:r>
      <w:r w:rsidR="00FB35D3" w:rsidRPr="002B1114">
        <w:fldChar w:fldCharType="begin"/>
      </w:r>
      <w:r w:rsidRPr="002B1114">
        <w:instrText xml:space="preserve"> STYLEREF 2 \s </w:instrText>
      </w:r>
      <w:r w:rsidR="00FB35D3" w:rsidRPr="002B1114">
        <w:fldChar w:fldCharType="separate"/>
      </w:r>
      <w:r w:rsidR="00662F32">
        <w:rPr>
          <w:noProof/>
        </w:rPr>
        <w:t>9.1</w:t>
      </w:r>
      <w:r w:rsidR="00FB35D3" w:rsidRPr="002B1114">
        <w:fldChar w:fldCharType="end"/>
      </w:r>
      <w:r w:rsidRPr="002B1114">
        <w:noBreakHyphen/>
      </w:r>
      <w:r w:rsidR="00FB35D3" w:rsidRPr="002B1114">
        <w:fldChar w:fldCharType="begin"/>
      </w:r>
      <w:r w:rsidRPr="002B1114">
        <w:instrText xml:space="preserve"> SEQ Table \* ARABIC \s 2 </w:instrText>
      </w:r>
      <w:r w:rsidR="00FB35D3" w:rsidRPr="002B1114">
        <w:fldChar w:fldCharType="separate"/>
      </w:r>
      <w:r w:rsidR="00662F32">
        <w:rPr>
          <w:noProof/>
        </w:rPr>
        <w:t>2</w:t>
      </w:r>
      <w:r w:rsidR="00FB35D3" w:rsidRPr="002B1114">
        <w:fldChar w:fldCharType="end"/>
      </w:r>
      <w:bookmarkEnd w:id="136"/>
      <w:r w:rsidRPr="002B1114">
        <w:t>:</w:t>
      </w:r>
      <w:r w:rsidRPr="002B1114">
        <w:tab/>
        <w:t xml:space="preserve">Critical use pattern of </w:t>
      </w:r>
      <w:r w:rsidR="00B400A9">
        <w:t>BAS 736 00 F</w:t>
      </w:r>
      <w:r w:rsidRPr="002B1114">
        <w:t xml:space="preserve"> grouped according to </w:t>
      </w:r>
      <w:r w:rsidR="00B400A9" w:rsidRPr="00B400A9">
        <w:t>worst-case application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35"/>
        <w:gridCol w:w="1260"/>
        <w:gridCol w:w="2124"/>
        <w:gridCol w:w="1955"/>
        <w:gridCol w:w="2273"/>
      </w:tblGrid>
      <w:tr w:rsidR="00B400A9" w:rsidRPr="002B1114" w14:paraId="22B72288" w14:textId="77777777" w:rsidTr="00B400A9">
        <w:trPr>
          <w:tblHeader/>
        </w:trPr>
        <w:tc>
          <w:tcPr>
            <w:tcW w:w="5000" w:type="pct"/>
            <w:gridSpan w:val="5"/>
          </w:tcPr>
          <w:p w14:paraId="21B7C96D" w14:textId="3DB0FC4C" w:rsidR="00B400A9" w:rsidRPr="002B1114" w:rsidRDefault="00B400A9" w:rsidP="00127BD4">
            <w:pPr>
              <w:pStyle w:val="RepTableHeader"/>
              <w:jc w:val="center"/>
              <w:rPr>
                <w:lang w:val="en-GB"/>
              </w:rPr>
            </w:pPr>
            <w:bookmarkStart w:id="137" w:name="_Hlk84839623"/>
            <w:r w:rsidRPr="002B1114">
              <w:rPr>
                <w:lang w:val="en-GB"/>
              </w:rPr>
              <w:t xml:space="preserve">Grouping according to </w:t>
            </w:r>
            <w:r>
              <w:rPr>
                <w:lang w:val="en-GB"/>
              </w:rPr>
              <w:t>worst-case application</w:t>
            </w:r>
          </w:p>
        </w:tc>
      </w:tr>
      <w:tr w:rsidR="00B400A9" w:rsidRPr="002B1114" w14:paraId="08214A0E" w14:textId="77777777" w:rsidTr="004B2059">
        <w:trPr>
          <w:tblHeader/>
        </w:trPr>
        <w:tc>
          <w:tcPr>
            <w:tcW w:w="928" w:type="pct"/>
          </w:tcPr>
          <w:p w14:paraId="62151E05" w14:textId="028A5B85" w:rsidR="00B400A9" w:rsidRPr="002B1114" w:rsidRDefault="00B400A9" w:rsidP="00A911C9">
            <w:pPr>
              <w:pStyle w:val="RepTableBold"/>
              <w:jc w:val="center"/>
              <w:rPr>
                <w:lang w:val="en-GB"/>
              </w:rPr>
            </w:pPr>
            <w:r>
              <w:rPr>
                <w:lang w:val="en-GB"/>
              </w:rPr>
              <w:t>Area</w:t>
            </w:r>
          </w:p>
        </w:tc>
        <w:tc>
          <w:tcPr>
            <w:tcW w:w="674" w:type="pct"/>
            <w:shd w:val="clear" w:color="auto" w:fill="auto"/>
          </w:tcPr>
          <w:p w14:paraId="66B47D44" w14:textId="29133CED" w:rsidR="00B400A9" w:rsidRPr="002B1114" w:rsidRDefault="00B400A9" w:rsidP="00A911C9">
            <w:pPr>
              <w:pStyle w:val="RepTableBold"/>
              <w:jc w:val="center"/>
              <w:rPr>
                <w:lang w:val="en-GB"/>
              </w:rPr>
            </w:pPr>
            <w:r w:rsidRPr="002B1114">
              <w:rPr>
                <w:lang w:val="en-GB"/>
              </w:rPr>
              <w:t>Group</w:t>
            </w:r>
          </w:p>
        </w:tc>
        <w:tc>
          <w:tcPr>
            <w:tcW w:w="1136" w:type="pct"/>
            <w:shd w:val="clear" w:color="auto" w:fill="auto"/>
          </w:tcPr>
          <w:p w14:paraId="35368CF2" w14:textId="77777777" w:rsidR="00B400A9" w:rsidRPr="002B1114" w:rsidRDefault="00B400A9" w:rsidP="00A911C9">
            <w:pPr>
              <w:pStyle w:val="RepTableBold"/>
              <w:jc w:val="center"/>
              <w:rPr>
                <w:lang w:val="en-GB"/>
              </w:rPr>
            </w:pPr>
            <w:r w:rsidRPr="002B1114">
              <w:rPr>
                <w:lang w:val="en-GB"/>
              </w:rPr>
              <w:t>Intended uses</w:t>
            </w:r>
          </w:p>
        </w:tc>
        <w:tc>
          <w:tcPr>
            <w:tcW w:w="1046" w:type="pct"/>
            <w:shd w:val="clear" w:color="auto" w:fill="auto"/>
          </w:tcPr>
          <w:p w14:paraId="1D8549F5" w14:textId="6C590C0D" w:rsidR="00B400A9" w:rsidRPr="00B400A9" w:rsidRDefault="004B2059" w:rsidP="00127BD4">
            <w:pPr>
              <w:pStyle w:val="RepTableBold"/>
              <w:jc w:val="center"/>
              <w:rPr>
                <w:lang w:val="en-GB"/>
              </w:rPr>
            </w:pPr>
            <w:r>
              <w:rPr>
                <w:lang w:val="en-GB"/>
              </w:rPr>
              <w:t>R</w:t>
            </w:r>
            <w:r w:rsidR="00B400A9" w:rsidRPr="00B400A9">
              <w:rPr>
                <w:lang w:val="en-GB"/>
              </w:rPr>
              <w:t>elevant use parameters for grouping</w:t>
            </w:r>
          </w:p>
        </w:tc>
        <w:tc>
          <w:tcPr>
            <w:tcW w:w="1216" w:type="pct"/>
            <w:shd w:val="clear" w:color="auto" w:fill="auto"/>
          </w:tcPr>
          <w:p w14:paraId="43D61CF2" w14:textId="669F21E7" w:rsidR="00B400A9" w:rsidRPr="00B400A9" w:rsidRDefault="004B2059" w:rsidP="00127BD4">
            <w:pPr>
              <w:pStyle w:val="RepTableBold"/>
              <w:jc w:val="center"/>
              <w:rPr>
                <w:lang w:val="en-GB"/>
              </w:rPr>
            </w:pPr>
            <w:r>
              <w:rPr>
                <w:lang w:val="en-GB"/>
              </w:rPr>
              <w:t>R</w:t>
            </w:r>
            <w:r w:rsidR="00B400A9" w:rsidRPr="00B400A9">
              <w:rPr>
                <w:lang w:val="en-GB"/>
              </w:rPr>
              <w:t>elevant parameter or value for sorting</w:t>
            </w:r>
          </w:p>
        </w:tc>
      </w:tr>
      <w:tr w:rsidR="00B400A9" w:rsidRPr="002B1114" w14:paraId="1C45EB7A" w14:textId="77777777" w:rsidTr="004B2059">
        <w:tc>
          <w:tcPr>
            <w:tcW w:w="928" w:type="pct"/>
          </w:tcPr>
          <w:p w14:paraId="74BCE5B1" w14:textId="236CEFE8" w:rsidR="00B400A9" w:rsidRPr="0077706F" w:rsidRDefault="0077706F" w:rsidP="00AA32CE">
            <w:pPr>
              <w:pStyle w:val="RepTable"/>
            </w:pPr>
            <w:r w:rsidRPr="0077706F">
              <w:t>Birds and mammals</w:t>
            </w:r>
          </w:p>
        </w:tc>
        <w:tc>
          <w:tcPr>
            <w:tcW w:w="674" w:type="pct"/>
            <w:shd w:val="clear" w:color="auto" w:fill="auto"/>
          </w:tcPr>
          <w:p w14:paraId="0022C246" w14:textId="6A856174" w:rsidR="00B400A9" w:rsidRPr="0077706F" w:rsidRDefault="0077706F" w:rsidP="00AA32CE">
            <w:pPr>
              <w:pStyle w:val="RepTable"/>
            </w:pPr>
            <w:r>
              <w:t>Application rate</w:t>
            </w:r>
          </w:p>
        </w:tc>
        <w:tc>
          <w:tcPr>
            <w:tcW w:w="1136" w:type="pct"/>
            <w:shd w:val="clear" w:color="auto" w:fill="auto"/>
          </w:tcPr>
          <w:p w14:paraId="508399F9" w14:textId="11F166B8" w:rsidR="00B400A9" w:rsidRPr="0077706F" w:rsidRDefault="00CA16DB" w:rsidP="00AA32CE">
            <w:pPr>
              <w:pStyle w:val="RepTable"/>
            </w:pPr>
            <w:r>
              <w:t xml:space="preserve">All intended uses </w:t>
            </w:r>
          </w:p>
        </w:tc>
        <w:tc>
          <w:tcPr>
            <w:tcW w:w="1046" w:type="pct"/>
            <w:shd w:val="clear" w:color="auto" w:fill="auto"/>
          </w:tcPr>
          <w:p w14:paraId="63B6B52E" w14:textId="2858DC10" w:rsidR="00B400A9" w:rsidRPr="0077706F" w:rsidRDefault="0077706F" w:rsidP="00AA32CE">
            <w:pPr>
              <w:pStyle w:val="RepTable"/>
            </w:pPr>
            <w:r>
              <w:t xml:space="preserve">EFSA crop group: Cereals </w:t>
            </w:r>
          </w:p>
        </w:tc>
        <w:tc>
          <w:tcPr>
            <w:tcW w:w="1216" w:type="pct"/>
            <w:shd w:val="clear" w:color="auto" w:fill="auto"/>
          </w:tcPr>
          <w:p w14:paraId="73519820" w14:textId="7B706F2E" w:rsidR="00B400A9" w:rsidRPr="0077706F" w:rsidRDefault="0077706F" w:rsidP="0077706F">
            <w:pPr>
              <w:pStyle w:val="RepTable"/>
            </w:pPr>
            <w:r>
              <w:t>Maximum worst-case application rate = 2 x 2.0 L/ha (corresponding to 2 x 0.100 kg fluxapyroxad/ha and 2 x 0.150 kg azoxystrobin/ha)</w:t>
            </w:r>
          </w:p>
        </w:tc>
      </w:tr>
      <w:tr w:rsidR="00B400A9" w:rsidRPr="002B1114" w14:paraId="72E853A2" w14:textId="77777777" w:rsidTr="00B400A9">
        <w:tc>
          <w:tcPr>
            <w:tcW w:w="928" w:type="pct"/>
            <w:vAlign w:val="center"/>
          </w:tcPr>
          <w:p w14:paraId="308B2C5B" w14:textId="2324D3C8" w:rsidR="00B400A9" w:rsidRPr="002B1114" w:rsidRDefault="00B400A9" w:rsidP="00B400A9">
            <w:pPr>
              <w:pStyle w:val="RepTable"/>
              <w:rPr>
                <w:highlight w:val="yellow"/>
              </w:rPr>
            </w:pPr>
            <w:r>
              <w:rPr>
                <w:noProof w:val="0"/>
                <w:szCs w:val="20"/>
              </w:rPr>
              <w:t>Aquatic organisms</w:t>
            </w:r>
          </w:p>
        </w:tc>
        <w:tc>
          <w:tcPr>
            <w:tcW w:w="4072" w:type="pct"/>
            <w:gridSpan w:val="4"/>
            <w:shd w:val="clear" w:color="auto" w:fill="auto"/>
            <w:vAlign w:val="center"/>
          </w:tcPr>
          <w:p w14:paraId="1756AAEF" w14:textId="756E888A" w:rsidR="00B400A9" w:rsidRPr="002B1114" w:rsidRDefault="00B400A9" w:rsidP="00B400A9">
            <w:pPr>
              <w:pStyle w:val="RepTable"/>
              <w:rPr>
                <w:highlight w:val="yellow"/>
              </w:rPr>
            </w:pPr>
            <w:r w:rsidRPr="00B400A9">
              <w:rPr>
                <w:lang w:val="en-US"/>
              </w:rPr>
              <w:t>Grouping according to Section 8 – Environmental Fate</w:t>
            </w:r>
          </w:p>
        </w:tc>
      </w:tr>
      <w:tr w:rsidR="00737850" w:rsidRPr="002B1114" w14:paraId="0683EE6B" w14:textId="77777777" w:rsidTr="006A40DA">
        <w:tc>
          <w:tcPr>
            <w:tcW w:w="928" w:type="pct"/>
            <w:vAlign w:val="center"/>
          </w:tcPr>
          <w:p w14:paraId="4F95580A" w14:textId="7E7AB96F" w:rsidR="00737850" w:rsidRPr="002B1114" w:rsidRDefault="00737850" w:rsidP="00737850">
            <w:pPr>
              <w:pStyle w:val="RepTable"/>
              <w:rPr>
                <w:highlight w:val="yellow"/>
              </w:rPr>
            </w:pPr>
            <w:r w:rsidRPr="00CB442F">
              <w:rPr>
                <w:bCs/>
              </w:rPr>
              <w:t>Bees, non-target plants</w:t>
            </w:r>
          </w:p>
        </w:tc>
        <w:tc>
          <w:tcPr>
            <w:tcW w:w="674" w:type="pct"/>
            <w:shd w:val="clear" w:color="auto" w:fill="auto"/>
            <w:vAlign w:val="center"/>
          </w:tcPr>
          <w:p w14:paraId="416777DE" w14:textId="202BC168" w:rsidR="00737850" w:rsidRPr="002B1114" w:rsidRDefault="00737850" w:rsidP="00737850">
            <w:pPr>
              <w:pStyle w:val="RepTable"/>
              <w:rPr>
                <w:highlight w:val="yellow"/>
              </w:rPr>
            </w:pPr>
            <w:r w:rsidRPr="00CB442F">
              <w:rPr>
                <w:noProof w:val="0"/>
              </w:rPr>
              <w:t>Application rate</w:t>
            </w:r>
          </w:p>
        </w:tc>
        <w:tc>
          <w:tcPr>
            <w:tcW w:w="1136" w:type="pct"/>
            <w:shd w:val="clear" w:color="auto" w:fill="auto"/>
            <w:vAlign w:val="center"/>
          </w:tcPr>
          <w:p w14:paraId="396E639A" w14:textId="49A77923" w:rsidR="00737850" w:rsidRPr="002B1114" w:rsidRDefault="00737850" w:rsidP="00737850">
            <w:pPr>
              <w:pStyle w:val="RepTable"/>
              <w:rPr>
                <w:highlight w:val="yellow"/>
              </w:rPr>
            </w:pPr>
            <w:r w:rsidRPr="00CB442F">
              <w:rPr>
                <w:noProof w:val="0"/>
              </w:rPr>
              <w:t>All intended uses</w:t>
            </w:r>
          </w:p>
        </w:tc>
        <w:tc>
          <w:tcPr>
            <w:tcW w:w="1046" w:type="pct"/>
            <w:shd w:val="clear" w:color="auto" w:fill="auto"/>
            <w:vAlign w:val="center"/>
          </w:tcPr>
          <w:p w14:paraId="5AEFF09F" w14:textId="38DF230F" w:rsidR="00737850" w:rsidRPr="002B1114" w:rsidRDefault="00737850" w:rsidP="00737850">
            <w:pPr>
              <w:pStyle w:val="RepTable"/>
              <w:rPr>
                <w:highlight w:val="yellow"/>
              </w:rPr>
            </w:pPr>
            <w:r w:rsidRPr="00CB442F">
              <w:rPr>
                <w:noProof w:val="0"/>
              </w:rPr>
              <w:t xml:space="preserve">Risk assessments are based on the maximum single application rate of </w:t>
            </w:r>
            <w:r>
              <w:rPr>
                <w:noProof w:val="0"/>
              </w:rPr>
              <w:t>2</w:t>
            </w:r>
            <w:r w:rsidRPr="00CB442F">
              <w:rPr>
                <w:noProof w:val="0"/>
              </w:rPr>
              <w:t xml:space="preserve"> x </w:t>
            </w:r>
            <w:r>
              <w:rPr>
                <w:noProof w:val="0"/>
              </w:rPr>
              <w:t>2</w:t>
            </w:r>
            <w:r w:rsidRPr="00CB442F">
              <w:rPr>
                <w:noProof w:val="0"/>
              </w:rPr>
              <w:t xml:space="preserve">.0 L/ha (corresponding to </w:t>
            </w:r>
            <w:r>
              <w:rPr>
                <w:noProof w:val="0"/>
              </w:rPr>
              <w:t>2</w:t>
            </w:r>
            <w:r w:rsidRPr="00CB442F">
              <w:rPr>
                <w:noProof w:val="0"/>
              </w:rPr>
              <w:t xml:space="preserve"> x 0.100 kg </w:t>
            </w:r>
            <w:r w:rsidRPr="00E51CDD">
              <w:t>fluxapyroxad</w:t>
            </w:r>
            <w:r w:rsidRPr="00CB442F">
              <w:rPr>
                <w:noProof w:val="0"/>
              </w:rPr>
              <w:t xml:space="preserve">/ha and </w:t>
            </w:r>
            <w:r>
              <w:rPr>
                <w:noProof w:val="0"/>
              </w:rPr>
              <w:t>2</w:t>
            </w:r>
            <w:r w:rsidRPr="00CB442F">
              <w:rPr>
                <w:noProof w:val="0"/>
              </w:rPr>
              <w:t xml:space="preserve"> x 0.</w:t>
            </w:r>
            <w:r>
              <w:rPr>
                <w:noProof w:val="0"/>
              </w:rPr>
              <w:t>1</w:t>
            </w:r>
            <w:r w:rsidRPr="00CB442F">
              <w:rPr>
                <w:noProof w:val="0"/>
              </w:rPr>
              <w:t xml:space="preserve">50 kg </w:t>
            </w:r>
            <w:r w:rsidRPr="00E51CDD">
              <w:t>azoxystrobin</w:t>
            </w:r>
            <w:r w:rsidRPr="00CB442F">
              <w:rPr>
                <w:noProof w:val="0"/>
              </w:rPr>
              <w:t>/ha), which covers all other intended uses</w:t>
            </w:r>
          </w:p>
        </w:tc>
        <w:tc>
          <w:tcPr>
            <w:tcW w:w="1216" w:type="pct"/>
            <w:shd w:val="clear" w:color="auto" w:fill="auto"/>
          </w:tcPr>
          <w:p w14:paraId="41EEF042" w14:textId="210942FB" w:rsidR="00737850" w:rsidRPr="002B1114" w:rsidRDefault="00737850" w:rsidP="00737850">
            <w:pPr>
              <w:pStyle w:val="RepTable"/>
              <w:rPr>
                <w:highlight w:val="yellow"/>
              </w:rPr>
            </w:pPr>
            <w:r w:rsidRPr="00D36089">
              <w:t xml:space="preserve">Maximum </w:t>
            </w:r>
            <w:r>
              <w:t>single</w:t>
            </w:r>
            <w:r w:rsidRPr="00D36089">
              <w:t xml:space="preserve"> application rate = 2.0 L/ha (corresponding to</w:t>
            </w:r>
            <w:r>
              <w:t xml:space="preserve"> </w:t>
            </w:r>
            <w:r w:rsidRPr="00D36089">
              <w:t>0.100 kg fluxapyroxad/ha and 0.150 kg azoxystrobin/ha)</w:t>
            </w:r>
          </w:p>
        </w:tc>
      </w:tr>
      <w:tr w:rsidR="00737850" w:rsidRPr="002B1114" w14:paraId="315189BE" w14:textId="77777777" w:rsidTr="006A40DA">
        <w:tc>
          <w:tcPr>
            <w:tcW w:w="928" w:type="pct"/>
            <w:vAlign w:val="center"/>
          </w:tcPr>
          <w:p w14:paraId="78FEE0DA" w14:textId="6F4BF903" w:rsidR="00737850" w:rsidRPr="002B1114" w:rsidRDefault="00737850" w:rsidP="00737850">
            <w:pPr>
              <w:pStyle w:val="RepTable"/>
              <w:rPr>
                <w:highlight w:val="yellow"/>
              </w:rPr>
            </w:pPr>
            <w:r w:rsidRPr="00CB442F">
              <w:rPr>
                <w:bCs/>
              </w:rPr>
              <w:t xml:space="preserve">Non-target arthropods </w:t>
            </w:r>
          </w:p>
        </w:tc>
        <w:tc>
          <w:tcPr>
            <w:tcW w:w="674" w:type="pct"/>
            <w:shd w:val="clear" w:color="auto" w:fill="auto"/>
            <w:vAlign w:val="center"/>
          </w:tcPr>
          <w:p w14:paraId="650510CA" w14:textId="7B5B5DEA" w:rsidR="00737850" w:rsidRPr="002B1114" w:rsidRDefault="00737850" w:rsidP="00737850">
            <w:pPr>
              <w:pStyle w:val="RepTable"/>
              <w:rPr>
                <w:highlight w:val="yellow"/>
              </w:rPr>
            </w:pPr>
            <w:r w:rsidRPr="00CB442F">
              <w:rPr>
                <w:noProof w:val="0"/>
              </w:rPr>
              <w:t>Application rate</w:t>
            </w:r>
          </w:p>
        </w:tc>
        <w:tc>
          <w:tcPr>
            <w:tcW w:w="1136" w:type="pct"/>
            <w:shd w:val="clear" w:color="auto" w:fill="auto"/>
            <w:vAlign w:val="center"/>
          </w:tcPr>
          <w:p w14:paraId="0E62107E" w14:textId="7B2EC5D4" w:rsidR="00737850" w:rsidRPr="002B1114" w:rsidRDefault="00737850" w:rsidP="00737850">
            <w:pPr>
              <w:pStyle w:val="RepTable"/>
              <w:rPr>
                <w:highlight w:val="yellow"/>
              </w:rPr>
            </w:pPr>
            <w:r w:rsidRPr="00CB442F">
              <w:rPr>
                <w:noProof w:val="0"/>
              </w:rPr>
              <w:t>All intended uses</w:t>
            </w:r>
          </w:p>
        </w:tc>
        <w:tc>
          <w:tcPr>
            <w:tcW w:w="1046" w:type="pct"/>
            <w:shd w:val="clear" w:color="auto" w:fill="auto"/>
            <w:vAlign w:val="center"/>
          </w:tcPr>
          <w:p w14:paraId="631F75F5" w14:textId="4C683E8A" w:rsidR="00737850" w:rsidRPr="002B1114" w:rsidRDefault="00737850" w:rsidP="00737850">
            <w:pPr>
              <w:pStyle w:val="RepTable"/>
              <w:rPr>
                <w:highlight w:val="yellow"/>
              </w:rPr>
            </w:pPr>
            <w:r w:rsidRPr="00CB442F">
              <w:rPr>
                <w:noProof w:val="0"/>
              </w:rPr>
              <w:t xml:space="preserve">Risk assessments are based on the maximum application rate of 2 x </w:t>
            </w:r>
            <w:r>
              <w:rPr>
                <w:noProof w:val="0"/>
              </w:rPr>
              <w:t>2</w:t>
            </w:r>
            <w:r w:rsidRPr="00CB442F">
              <w:rPr>
                <w:noProof w:val="0"/>
              </w:rPr>
              <w:t xml:space="preserve">.0 L/ha (corresponding to </w:t>
            </w:r>
            <w:r>
              <w:rPr>
                <w:noProof w:val="0"/>
              </w:rPr>
              <w:t>2</w:t>
            </w:r>
            <w:r w:rsidRPr="00CB442F">
              <w:rPr>
                <w:noProof w:val="0"/>
              </w:rPr>
              <w:t xml:space="preserve"> x 0.100 kg </w:t>
            </w:r>
            <w:r w:rsidRPr="00E51CDD">
              <w:t>fluxapyroxad</w:t>
            </w:r>
            <w:r w:rsidRPr="00CB442F">
              <w:rPr>
                <w:noProof w:val="0"/>
              </w:rPr>
              <w:t xml:space="preserve">/ha and </w:t>
            </w:r>
            <w:r>
              <w:rPr>
                <w:noProof w:val="0"/>
              </w:rPr>
              <w:t>2</w:t>
            </w:r>
            <w:r w:rsidRPr="00CB442F">
              <w:rPr>
                <w:noProof w:val="0"/>
              </w:rPr>
              <w:t xml:space="preserve"> x 0.</w:t>
            </w:r>
            <w:r>
              <w:rPr>
                <w:noProof w:val="0"/>
              </w:rPr>
              <w:t>1</w:t>
            </w:r>
            <w:r w:rsidRPr="00CB442F">
              <w:rPr>
                <w:noProof w:val="0"/>
              </w:rPr>
              <w:t xml:space="preserve">50 kg </w:t>
            </w:r>
            <w:r w:rsidRPr="00E51CDD">
              <w:t>azoxystrobin</w:t>
            </w:r>
            <w:r w:rsidRPr="00CB442F">
              <w:rPr>
                <w:noProof w:val="0"/>
              </w:rPr>
              <w:t>/ha), which covers all other intended uses</w:t>
            </w:r>
          </w:p>
        </w:tc>
        <w:tc>
          <w:tcPr>
            <w:tcW w:w="1216" w:type="pct"/>
            <w:shd w:val="clear" w:color="auto" w:fill="auto"/>
          </w:tcPr>
          <w:p w14:paraId="48FD1D15" w14:textId="2BE9E2A7" w:rsidR="00737850" w:rsidRPr="002B1114" w:rsidRDefault="00737850" w:rsidP="00737850">
            <w:pPr>
              <w:pStyle w:val="RepTable"/>
              <w:rPr>
                <w:highlight w:val="yellow"/>
              </w:rPr>
            </w:pPr>
            <w:r w:rsidRPr="00D36089">
              <w:t>Maximum worst-case application rate = 2 x 2.0 L/ha (corresponding to 2 x 0.100 kg fluxapyroxad/ha and 2 x 0.150 kg azoxystrobin/ha)</w:t>
            </w:r>
          </w:p>
        </w:tc>
      </w:tr>
      <w:tr w:rsidR="00737850" w:rsidRPr="002B1114" w14:paraId="71D803EB" w14:textId="77777777" w:rsidTr="006A40DA">
        <w:tc>
          <w:tcPr>
            <w:tcW w:w="928" w:type="pct"/>
            <w:vAlign w:val="center"/>
          </w:tcPr>
          <w:p w14:paraId="6E639E96" w14:textId="5D015C72" w:rsidR="00737850" w:rsidRPr="002B1114" w:rsidRDefault="00737850" w:rsidP="00737850">
            <w:pPr>
              <w:pStyle w:val="RepTable"/>
              <w:rPr>
                <w:highlight w:val="yellow"/>
              </w:rPr>
            </w:pPr>
            <w:r w:rsidRPr="00CB442F">
              <w:rPr>
                <w:bCs/>
              </w:rPr>
              <w:t>Soil macro- and micro-organisms</w:t>
            </w:r>
          </w:p>
        </w:tc>
        <w:tc>
          <w:tcPr>
            <w:tcW w:w="674" w:type="pct"/>
            <w:shd w:val="clear" w:color="auto" w:fill="auto"/>
            <w:vAlign w:val="center"/>
          </w:tcPr>
          <w:p w14:paraId="7EC7E317" w14:textId="76AA873D" w:rsidR="00737850" w:rsidRPr="002B1114" w:rsidRDefault="00737850" w:rsidP="00737850">
            <w:pPr>
              <w:pStyle w:val="RepTable"/>
              <w:rPr>
                <w:highlight w:val="yellow"/>
              </w:rPr>
            </w:pPr>
            <w:r w:rsidRPr="00CB442F">
              <w:rPr>
                <w:noProof w:val="0"/>
              </w:rPr>
              <w:t>Worst case PEC</w:t>
            </w:r>
            <w:r w:rsidRPr="00CB442F">
              <w:rPr>
                <w:noProof w:val="0"/>
                <w:vertAlign w:val="subscript"/>
              </w:rPr>
              <w:t>soil</w:t>
            </w:r>
            <w:r w:rsidRPr="00CB442F">
              <w:rPr>
                <w:noProof w:val="0"/>
              </w:rPr>
              <w:t xml:space="preserve"> value</w:t>
            </w:r>
          </w:p>
        </w:tc>
        <w:tc>
          <w:tcPr>
            <w:tcW w:w="1136" w:type="pct"/>
            <w:shd w:val="clear" w:color="auto" w:fill="auto"/>
            <w:vAlign w:val="center"/>
          </w:tcPr>
          <w:p w14:paraId="555FDA45" w14:textId="35BEBA31" w:rsidR="00737850" w:rsidRPr="002B1114" w:rsidRDefault="00737850" w:rsidP="00737850">
            <w:pPr>
              <w:pStyle w:val="RepTable"/>
              <w:rPr>
                <w:highlight w:val="yellow"/>
              </w:rPr>
            </w:pPr>
            <w:r w:rsidRPr="00CB442F">
              <w:rPr>
                <w:noProof w:val="0"/>
              </w:rPr>
              <w:t>All intended uses</w:t>
            </w:r>
          </w:p>
        </w:tc>
        <w:tc>
          <w:tcPr>
            <w:tcW w:w="1046" w:type="pct"/>
            <w:shd w:val="clear" w:color="auto" w:fill="auto"/>
            <w:vAlign w:val="center"/>
          </w:tcPr>
          <w:p w14:paraId="59457F14" w14:textId="70F9C596" w:rsidR="00737850" w:rsidRPr="002B1114" w:rsidRDefault="00737850" w:rsidP="00737850">
            <w:pPr>
              <w:pStyle w:val="RepTable"/>
              <w:rPr>
                <w:highlight w:val="yellow"/>
              </w:rPr>
            </w:pPr>
            <w:r w:rsidRPr="00CB442F">
              <w:rPr>
                <w:noProof w:val="0"/>
              </w:rPr>
              <w:t>Risk assessment is based on the worst case PEC</w:t>
            </w:r>
            <w:r w:rsidRPr="00CB442F">
              <w:rPr>
                <w:noProof w:val="0"/>
                <w:vertAlign w:val="subscript"/>
              </w:rPr>
              <w:t xml:space="preserve">soil </w:t>
            </w:r>
            <w:r w:rsidRPr="00CB442F">
              <w:rPr>
                <w:noProof w:val="0"/>
              </w:rPr>
              <w:t xml:space="preserve">value derived from maximum application rate of 2 x </w:t>
            </w:r>
            <w:r>
              <w:rPr>
                <w:noProof w:val="0"/>
              </w:rPr>
              <w:t>2</w:t>
            </w:r>
            <w:r w:rsidRPr="00CB442F">
              <w:rPr>
                <w:noProof w:val="0"/>
              </w:rPr>
              <w:t xml:space="preserve">.0 L/ha (corresponding to 2 x 0.100 kg </w:t>
            </w:r>
            <w:r>
              <w:rPr>
                <w:noProof w:val="0"/>
              </w:rPr>
              <w:t>fluxapyroxad</w:t>
            </w:r>
            <w:r w:rsidRPr="00CB442F">
              <w:rPr>
                <w:noProof w:val="0"/>
              </w:rPr>
              <w:t>/ha and 2 x 0.</w:t>
            </w:r>
            <w:r>
              <w:rPr>
                <w:noProof w:val="0"/>
              </w:rPr>
              <w:t>1</w:t>
            </w:r>
            <w:r w:rsidRPr="00CB442F">
              <w:rPr>
                <w:noProof w:val="0"/>
              </w:rPr>
              <w:t xml:space="preserve">50 kg </w:t>
            </w:r>
            <w:r>
              <w:rPr>
                <w:noProof w:val="0"/>
              </w:rPr>
              <w:t>azoxystrobin</w:t>
            </w:r>
            <w:r w:rsidRPr="00CB442F">
              <w:rPr>
                <w:noProof w:val="0"/>
              </w:rPr>
              <w:t>/ha), which covers all other intended uses</w:t>
            </w:r>
          </w:p>
        </w:tc>
        <w:tc>
          <w:tcPr>
            <w:tcW w:w="1216" w:type="pct"/>
            <w:shd w:val="clear" w:color="auto" w:fill="auto"/>
          </w:tcPr>
          <w:p w14:paraId="5A28FF53" w14:textId="20679CB9" w:rsidR="00737850" w:rsidRPr="002B1114" w:rsidRDefault="00737850" w:rsidP="00737850">
            <w:pPr>
              <w:pStyle w:val="RepTable"/>
              <w:rPr>
                <w:highlight w:val="yellow"/>
              </w:rPr>
            </w:pPr>
            <w:r w:rsidRPr="00D36089">
              <w:t>Maximum worst-case application rate = 2 x 2.0 L/ha (corresponding to 2 x 0.100 kg fluxapyroxad/ha and 2 x 0.150 kg azoxystrobin/ha)</w:t>
            </w:r>
          </w:p>
        </w:tc>
      </w:tr>
    </w:tbl>
    <w:p w14:paraId="64A70EA7" w14:textId="0C556CF9" w:rsidR="00553395" w:rsidRDefault="00553395" w:rsidP="00553395">
      <w:bookmarkStart w:id="138" w:name="_Toc412643970"/>
      <w:bookmarkStart w:id="139" w:name="_Toc413916816"/>
      <w:bookmarkStart w:id="140" w:name="_Toc413916958"/>
      <w:bookmarkStart w:id="141" w:name="_Toc413922019"/>
      <w:bookmarkStart w:id="142" w:name="_Toc413922508"/>
      <w:bookmarkStart w:id="143" w:name="_Toc413922612"/>
      <w:bookmarkStart w:id="144" w:name="_Toc414955249"/>
      <w:bookmarkStart w:id="145" w:name="_Toc415214556"/>
      <w:bookmarkEnd w:id="137"/>
    </w:p>
    <w:p w14:paraId="0E5E3B91" w14:textId="6E29A317" w:rsidR="00D526BE" w:rsidRDefault="00D526BE" w:rsidP="00553395">
      <w:pPr>
        <w:pStyle w:val="Nagwek3"/>
        <w:spacing w:before="240"/>
        <w:ind w:left="1418" w:hanging="1418"/>
      </w:pPr>
      <w:bookmarkStart w:id="146" w:name="_Toc125446399"/>
      <w:r w:rsidRPr="002B1114">
        <w:t>Consideration of metabolites</w:t>
      </w:r>
      <w:bookmarkEnd w:id="138"/>
      <w:bookmarkEnd w:id="139"/>
      <w:bookmarkEnd w:id="140"/>
      <w:bookmarkEnd w:id="141"/>
      <w:bookmarkEnd w:id="142"/>
      <w:bookmarkEnd w:id="143"/>
      <w:bookmarkEnd w:id="144"/>
      <w:bookmarkEnd w:id="145"/>
      <w:bookmarkEnd w:id="146"/>
    </w:p>
    <w:p w14:paraId="765F4847" w14:textId="5BEADD5D" w:rsidR="00963F22" w:rsidRPr="00963F22" w:rsidRDefault="00D526BE" w:rsidP="00963F22">
      <w:pPr>
        <w:pStyle w:val="RepStandard"/>
      </w:pPr>
      <w:r w:rsidRPr="002B1114">
        <w:t xml:space="preserve">A list of metabolites found in environmental compartments is provided below. The need for conducting a metabolite-specific risk assessment in the context of the evaluation of </w:t>
      </w:r>
      <w:r w:rsidR="00CA16DB">
        <w:t>BAS 736 00 F</w:t>
      </w:r>
      <w:r w:rsidRPr="002B1114">
        <w:t xml:space="preserve"> is indicated in the table.</w:t>
      </w:r>
      <w:r w:rsidR="00CA16DB">
        <w:t xml:space="preserve"> </w:t>
      </w:r>
      <w:r w:rsidR="00CA16DB" w:rsidRPr="00EC0D65">
        <w:t>Metabolites relevant in other areas than soil and aquatics will be dealt in the respective parts of this dossier.</w:t>
      </w:r>
    </w:p>
    <w:p w14:paraId="4064B2D2" w14:textId="64D65CD1" w:rsidR="00D526BE" w:rsidRPr="002B1114" w:rsidRDefault="00D526BE" w:rsidP="00AA32CE">
      <w:pPr>
        <w:pStyle w:val="RepLabel"/>
      </w:pPr>
      <w:r w:rsidRPr="002B1114">
        <w:t xml:space="preserve">Table </w:t>
      </w:r>
      <w:r w:rsidR="00FB35D3" w:rsidRPr="002B1114">
        <w:fldChar w:fldCharType="begin"/>
      </w:r>
      <w:r w:rsidRPr="002B1114">
        <w:instrText xml:space="preserve"> STYLEREF 2 \s </w:instrText>
      </w:r>
      <w:r w:rsidR="00FB35D3" w:rsidRPr="002B1114">
        <w:fldChar w:fldCharType="separate"/>
      </w:r>
      <w:r w:rsidR="00662F32">
        <w:rPr>
          <w:noProof/>
        </w:rPr>
        <w:t>9.1</w:t>
      </w:r>
      <w:r w:rsidR="00FB35D3" w:rsidRPr="002B1114">
        <w:fldChar w:fldCharType="end"/>
      </w:r>
      <w:r w:rsidRPr="002B1114">
        <w:noBreakHyphen/>
      </w:r>
      <w:r w:rsidR="00FB35D3" w:rsidRPr="002B1114">
        <w:fldChar w:fldCharType="begin"/>
      </w:r>
      <w:r w:rsidRPr="002B1114">
        <w:instrText xml:space="preserve"> SEQ Table \* ARABIC \s 2 </w:instrText>
      </w:r>
      <w:r w:rsidR="00FB35D3" w:rsidRPr="002B1114">
        <w:fldChar w:fldCharType="separate"/>
      </w:r>
      <w:r w:rsidR="00662F32">
        <w:rPr>
          <w:noProof/>
        </w:rPr>
        <w:t>3</w:t>
      </w:r>
      <w:r w:rsidR="00FB35D3" w:rsidRPr="002B1114">
        <w:fldChar w:fldCharType="end"/>
      </w:r>
      <w:r w:rsidRPr="002B1114">
        <w:tab/>
        <w:t xml:space="preserve">Metabolites of </w:t>
      </w:r>
      <w:r w:rsidR="00B400A9">
        <w:t>fluxapyroxad</w:t>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75"/>
        <w:gridCol w:w="2689"/>
        <w:gridCol w:w="1332"/>
        <w:gridCol w:w="2268"/>
        <w:gridCol w:w="1801"/>
      </w:tblGrid>
      <w:tr w:rsidR="00B400A9" w14:paraId="2A8D6D8E" w14:textId="77777777" w:rsidTr="00B400A9">
        <w:trPr>
          <w:tblHeader/>
        </w:trPr>
        <w:tc>
          <w:tcPr>
            <w:tcW w:w="634" w:type="pct"/>
            <w:tcBorders>
              <w:top w:val="single" w:sz="4" w:space="0" w:color="auto"/>
              <w:left w:val="single" w:sz="4" w:space="0" w:color="auto"/>
              <w:bottom w:val="single" w:sz="4" w:space="0" w:color="auto"/>
              <w:right w:val="single" w:sz="4" w:space="0" w:color="auto"/>
            </w:tcBorders>
            <w:hideMark/>
          </w:tcPr>
          <w:p w14:paraId="02C47799" w14:textId="77777777" w:rsidR="00B400A9" w:rsidRDefault="00B400A9">
            <w:pPr>
              <w:pStyle w:val="RepTableHeader"/>
              <w:jc w:val="center"/>
              <w:rPr>
                <w:lang w:val="en-GB" w:eastAsia="zh-CN"/>
              </w:rPr>
            </w:pPr>
            <w:r>
              <w:rPr>
                <w:lang w:val="en-GB" w:eastAsia="zh-CN"/>
              </w:rPr>
              <w:t>Metabolite</w:t>
            </w:r>
          </w:p>
        </w:tc>
        <w:tc>
          <w:tcPr>
            <w:tcW w:w="1451" w:type="pct"/>
            <w:tcBorders>
              <w:top w:val="single" w:sz="4" w:space="0" w:color="auto"/>
              <w:left w:val="single" w:sz="4" w:space="0" w:color="auto"/>
              <w:bottom w:val="single" w:sz="4" w:space="0" w:color="auto"/>
              <w:right w:val="single" w:sz="4" w:space="0" w:color="auto"/>
            </w:tcBorders>
            <w:hideMark/>
          </w:tcPr>
          <w:p w14:paraId="462CD085" w14:textId="77777777" w:rsidR="00B400A9" w:rsidRDefault="00B400A9">
            <w:pPr>
              <w:pStyle w:val="RepTableHeaderSmall"/>
              <w:jc w:val="center"/>
              <w:rPr>
                <w:sz w:val="20"/>
                <w:szCs w:val="20"/>
                <w:lang w:val="en-GB" w:eastAsia="zh-CN"/>
              </w:rPr>
            </w:pPr>
            <w:r>
              <w:rPr>
                <w:sz w:val="20"/>
                <w:szCs w:val="20"/>
                <w:lang w:val="en-GB" w:eastAsia="zh-CN"/>
              </w:rPr>
              <w:t>Chemical structure</w:t>
            </w:r>
          </w:p>
        </w:tc>
        <w:tc>
          <w:tcPr>
            <w:tcW w:w="719" w:type="pct"/>
            <w:tcBorders>
              <w:top w:val="single" w:sz="4" w:space="0" w:color="auto"/>
              <w:left w:val="single" w:sz="4" w:space="0" w:color="auto"/>
              <w:bottom w:val="single" w:sz="4" w:space="0" w:color="auto"/>
              <w:right w:val="single" w:sz="4" w:space="0" w:color="auto"/>
            </w:tcBorders>
            <w:hideMark/>
          </w:tcPr>
          <w:p w14:paraId="4048510A" w14:textId="77777777" w:rsidR="00B400A9" w:rsidRDefault="00B400A9">
            <w:pPr>
              <w:pStyle w:val="RepTableHeader"/>
              <w:jc w:val="center"/>
              <w:rPr>
                <w:lang w:val="en-GB" w:eastAsia="zh-CN"/>
              </w:rPr>
            </w:pPr>
            <w:r>
              <w:rPr>
                <w:lang w:val="en-GB" w:eastAsia="zh-CN"/>
              </w:rPr>
              <w:t>Molar mass</w:t>
            </w:r>
          </w:p>
        </w:tc>
        <w:tc>
          <w:tcPr>
            <w:tcW w:w="1224" w:type="pct"/>
            <w:tcBorders>
              <w:top w:val="single" w:sz="4" w:space="0" w:color="auto"/>
              <w:left w:val="single" w:sz="4" w:space="0" w:color="auto"/>
              <w:bottom w:val="single" w:sz="4" w:space="0" w:color="auto"/>
              <w:right w:val="single" w:sz="4" w:space="0" w:color="auto"/>
            </w:tcBorders>
            <w:hideMark/>
          </w:tcPr>
          <w:p w14:paraId="3159CB7E" w14:textId="77777777" w:rsidR="00B400A9" w:rsidRDefault="00B400A9">
            <w:pPr>
              <w:pStyle w:val="RepTableHeader"/>
              <w:jc w:val="center"/>
              <w:rPr>
                <w:lang w:val="en-GB" w:eastAsia="zh-CN"/>
              </w:rPr>
            </w:pPr>
            <w:r>
              <w:rPr>
                <w:lang w:val="en-GB" w:eastAsia="zh-CN"/>
              </w:rPr>
              <w:t>Maximum occurrence in compartments</w:t>
            </w:r>
          </w:p>
        </w:tc>
        <w:tc>
          <w:tcPr>
            <w:tcW w:w="972" w:type="pct"/>
            <w:tcBorders>
              <w:top w:val="single" w:sz="4" w:space="0" w:color="auto"/>
              <w:left w:val="single" w:sz="4" w:space="0" w:color="auto"/>
              <w:bottom w:val="single" w:sz="4" w:space="0" w:color="auto"/>
              <w:right w:val="single" w:sz="4" w:space="0" w:color="auto"/>
            </w:tcBorders>
            <w:hideMark/>
          </w:tcPr>
          <w:p w14:paraId="5CE078F6" w14:textId="77777777" w:rsidR="00B400A9" w:rsidRDefault="00B400A9">
            <w:pPr>
              <w:pStyle w:val="RepTableHeader"/>
              <w:jc w:val="center"/>
              <w:rPr>
                <w:lang w:val="en-GB" w:eastAsia="zh-CN"/>
              </w:rPr>
            </w:pPr>
            <w:r>
              <w:rPr>
                <w:lang w:val="en-GB" w:eastAsia="zh-CN"/>
              </w:rPr>
              <w:t>Risk assessment required?</w:t>
            </w:r>
          </w:p>
        </w:tc>
      </w:tr>
      <w:tr w:rsidR="00B400A9" w14:paraId="3DA566B7" w14:textId="77777777" w:rsidTr="00C35FCA">
        <w:tc>
          <w:tcPr>
            <w:tcW w:w="634" w:type="pct"/>
            <w:tcBorders>
              <w:top w:val="single" w:sz="4" w:space="0" w:color="auto"/>
              <w:left w:val="single" w:sz="4" w:space="0" w:color="auto"/>
              <w:bottom w:val="single" w:sz="4" w:space="0" w:color="auto"/>
              <w:right w:val="single" w:sz="4" w:space="0" w:color="auto"/>
            </w:tcBorders>
            <w:hideMark/>
          </w:tcPr>
          <w:p w14:paraId="0EB0A18D" w14:textId="77777777" w:rsidR="00B400A9" w:rsidRDefault="00B400A9">
            <w:pPr>
              <w:pStyle w:val="RepTableSmall"/>
              <w:rPr>
                <w:sz w:val="20"/>
                <w:lang w:val="en-GB" w:eastAsia="zh-CN"/>
              </w:rPr>
            </w:pPr>
            <w:r>
              <w:rPr>
                <w:sz w:val="20"/>
                <w:lang w:val="en-GB" w:eastAsia="zh-CN"/>
              </w:rPr>
              <w:t>M700F001</w:t>
            </w:r>
            <w:r>
              <w:rPr>
                <w:sz w:val="20"/>
                <w:lang w:val="en-GB" w:eastAsia="zh-CN"/>
              </w:rPr>
              <w:br/>
              <w:t>Reg. No. 5069089</w:t>
            </w:r>
          </w:p>
        </w:tc>
        <w:tc>
          <w:tcPr>
            <w:tcW w:w="1451" w:type="pct"/>
            <w:tcBorders>
              <w:top w:val="single" w:sz="4" w:space="0" w:color="auto"/>
              <w:left w:val="single" w:sz="4" w:space="0" w:color="auto"/>
              <w:bottom w:val="single" w:sz="4" w:space="0" w:color="auto"/>
              <w:right w:val="single" w:sz="4" w:space="0" w:color="auto"/>
            </w:tcBorders>
            <w:vAlign w:val="center"/>
            <w:hideMark/>
          </w:tcPr>
          <w:p w14:paraId="29326435" w14:textId="3C44B67D" w:rsidR="00B400A9" w:rsidRDefault="00B400A9">
            <w:pPr>
              <w:pStyle w:val="RepTableSmall"/>
              <w:jc w:val="center"/>
              <w:rPr>
                <w:sz w:val="20"/>
                <w:highlight w:val="yellow"/>
                <w:lang w:val="en-GB" w:eastAsia="zh-CN"/>
              </w:rPr>
            </w:pPr>
            <w:r>
              <w:rPr>
                <w:noProof/>
                <w:sz w:val="20"/>
                <w:lang w:val="en-GB" w:eastAsia="en-US"/>
              </w:rPr>
              <w:drawing>
                <wp:inline distT="0" distB="0" distL="0" distR="0" wp14:anchorId="3C27E078" wp14:editId="2BCB95F6">
                  <wp:extent cx="1272540" cy="1060450"/>
                  <wp:effectExtent l="0" t="0" r="381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72540" cy="1060450"/>
                          </a:xfrm>
                          <a:prstGeom prst="rect">
                            <a:avLst/>
                          </a:prstGeom>
                          <a:noFill/>
                          <a:ln>
                            <a:noFill/>
                          </a:ln>
                        </pic:spPr>
                      </pic:pic>
                    </a:graphicData>
                  </a:graphic>
                </wp:inline>
              </w:drawing>
            </w:r>
          </w:p>
        </w:tc>
        <w:tc>
          <w:tcPr>
            <w:tcW w:w="719" w:type="pct"/>
            <w:tcBorders>
              <w:top w:val="single" w:sz="4" w:space="0" w:color="auto"/>
              <w:left w:val="single" w:sz="4" w:space="0" w:color="auto"/>
              <w:bottom w:val="single" w:sz="4" w:space="0" w:color="auto"/>
              <w:right w:val="single" w:sz="4" w:space="0" w:color="auto"/>
            </w:tcBorders>
            <w:hideMark/>
          </w:tcPr>
          <w:p w14:paraId="0D3B11C2" w14:textId="77777777" w:rsidR="00B400A9" w:rsidRDefault="00B400A9" w:rsidP="00C35FCA">
            <w:pPr>
              <w:spacing w:before="40"/>
              <w:rPr>
                <w:sz w:val="20"/>
                <w:szCs w:val="20"/>
                <w:highlight w:val="yellow"/>
                <w:lang w:val="en-GB" w:eastAsia="zh-CN"/>
              </w:rPr>
            </w:pPr>
            <w:r>
              <w:rPr>
                <w:sz w:val="20"/>
                <w:szCs w:val="20"/>
                <w:lang w:val="en-GB" w:eastAsia="zh-CN"/>
              </w:rPr>
              <w:t>176.1</w:t>
            </w:r>
          </w:p>
        </w:tc>
        <w:tc>
          <w:tcPr>
            <w:tcW w:w="1224" w:type="pct"/>
            <w:tcBorders>
              <w:top w:val="single" w:sz="4" w:space="0" w:color="auto"/>
              <w:left w:val="single" w:sz="4" w:space="0" w:color="auto"/>
              <w:bottom w:val="single" w:sz="4" w:space="0" w:color="auto"/>
              <w:right w:val="single" w:sz="4" w:space="0" w:color="auto"/>
            </w:tcBorders>
          </w:tcPr>
          <w:p w14:paraId="2E250469" w14:textId="77777777" w:rsidR="00B400A9" w:rsidRDefault="00B400A9">
            <w:pPr>
              <w:pStyle w:val="RepTableSmall"/>
              <w:rPr>
                <w:sz w:val="20"/>
                <w:lang w:val="en-GB" w:eastAsia="zh-CN"/>
              </w:rPr>
            </w:pPr>
            <w:r>
              <w:rPr>
                <w:sz w:val="20"/>
                <w:lang w:val="en-GB" w:eastAsia="zh-CN"/>
              </w:rPr>
              <w:t>Soil: 12.1%</w:t>
            </w:r>
          </w:p>
          <w:p w14:paraId="5D270E2E" w14:textId="77777777" w:rsidR="00B400A9" w:rsidRDefault="00B400A9">
            <w:pPr>
              <w:pStyle w:val="RepTableSmall"/>
              <w:rPr>
                <w:sz w:val="20"/>
                <w:lang w:val="en-GB" w:eastAsia="zh-CN"/>
              </w:rPr>
            </w:pPr>
          </w:p>
          <w:p w14:paraId="3E57D2FA" w14:textId="77777777" w:rsidR="00B400A9" w:rsidRDefault="00B400A9">
            <w:pPr>
              <w:pStyle w:val="RepTableSmall"/>
              <w:rPr>
                <w:sz w:val="20"/>
                <w:lang w:val="en-GB" w:eastAsia="zh-CN"/>
              </w:rPr>
            </w:pPr>
            <w:r>
              <w:rPr>
                <w:sz w:val="20"/>
                <w:lang w:val="en-GB" w:eastAsia="zh-CN"/>
              </w:rPr>
              <w:t>Groundwater: 100%</w:t>
            </w:r>
          </w:p>
          <w:p w14:paraId="4A45999C" w14:textId="77777777" w:rsidR="00B400A9" w:rsidRDefault="00B400A9">
            <w:pPr>
              <w:pStyle w:val="RepTableSmall"/>
              <w:rPr>
                <w:sz w:val="20"/>
                <w:lang w:val="en-GB" w:eastAsia="zh-CN"/>
              </w:rPr>
            </w:pPr>
          </w:p>
          <w:p w14:paraId="6B22D8E0" w14:textId="77777777" w:rsidR="00B400A9" w:rsidRDefault="00B400A9">
            <w:pPr>
              <w:pStyle w:val="RepTableSmall"/>
              <w:rPr>
                <w:sz w:val="20"/>
                <w:lang w:val="en-GB" w:eastAsia="zh-CN"/>
              </w:rPr>
            </w:pPr>
            <w:r>
              <w:rPr>
                <w:sz w:val="20"/>
                <w:lang w:val="en-GB" w:eastAsia="zh-CN"/>
              </w:rPr>
              <w:t>Water: 10.9%</w:t>
            </w:r>
          </w:p>
          <w:p w14:paraId="32E6F619" w14:textId="77777777" w:rsidR="00B400A9" w:rsidRDefault="00B400A9">
            <w:pPr>
              <w:pStyle w:val="RepTableSmall"/>
              <w:rPr>
                <w:sz w:val="20"/>
                <w:lang w:val="en-GB" w:eastAsia="zh-CN"/>
              </w:rPr>
            </w:pPr>
            <w:r>
              <w:rPr>
                <w:sz w:val="20"/>
                <w:lang w:val="en-GB" w:eastAsia="zh-CN"/>
              </w:rPr>
              <w:t>(not found in sediment)</w:t>
            </w:r>
          </w:p>
          <w:p w14:paraId="617BE623" w14:textId="77777777" w:rsidR="00B400A9" w:rsidRDefault="00B400A9">
            <w:pPr>
              <w:pStyle w:val="RepTableSmall"/>
              <w:rPr>
                <w:sz w:val="20"/>
                <w:lang w:val="en-GB" w:eastAsia="zh-CN"/>
              </w:rPr>
            </w:pPr>
          </w:p>
          <w:p w14:paraId="6938AA5F" w14:textId="77777777" w:rsidR="00B400A9" w:rsidRDefault="00B400A9">
            <w:pPr>
              <w:pStyle w:val="RepTableSmall"/>
              <w:rPr>
                <w:sz w:val="20"/>
                <w:lang w:val="en-GB" w:eastAsia="zh-CN"/>
              </w:rPr>
            </w:pPr>
            <w:r>
              <w:rPr>
                <w:sz w:val="20"/>
                <w:lang w:val="en-GB" w:eastAsia="zh-CN"/>
              </w:rPr>
              <w:t xml:space="preserve">Air: - </w:t>
            </w:r>
          </w:p>
        </w:tc>
        <w:tc>
          <w:tcPr>
            <w:tcW w:w="972" w:type="pct"/>
            <w:tcBorders>
              <w:top w:val="single" w:sz="4" w:space="0" w:color="auto"/>
              <w:left w:val="single" w:sz="4" w:space="0" w:color="auto"/>
              <w:bottom w:val="single" w:sz="4" w:space="0" w:color="auto"/>
              <w:right w:val="single" w:sz="4" w:space="0" w:color="auto"/>
            </w:tcBorders>
            <w:hideMark/>
          </w:tcPr>
          <w:p w14:paraId="3DED00AA" w14:textId="77777777" w:rsidR="00B400A9" w:rsidRDefault="00B400A9">
            <w:pPr>
              <w:pStyle w:val="RepTableSmall"/>
              <w:keepNext/>
              <w:keepLines/>
              <w:widowControl/>
              <w:rPr>
                <w:b/>
                <w:sz w:val="20"/>
                <w:lang w:val="en-GB" w:eastAsia="zh-CN"/>
              </w:rPr>
            </w:pPr>
            <w:r>
              <w:rPr>
                <w:b/>
                <w:sz w:val="20"/>
                <w:lang w:val="en-GB" w:eastAsia="zh-CN"/>
              </w:rPr>
              <w:t>Terrestrial</w:t>
            </w:r>
            <w:r>
              <w:rPr>
                <w:b/>
                <w:sz w:val="20"/>
                <w:lang w:val="en-GB" w:eastAsia="zh-CN"/>
              </w:rPr>
              <w:br/>
            </w:r>
            <w:r>
              <w:rPr>
                <w:sz w:val="20"/>
                <w:lang w:val="en-GB" w:eastAsia="zh-CN"/>
              </w:rPr>
              <w:t>Metabolite relevant for RA: yes</w:t>
            </w:r>
            <w:r>
              <w:rPr>
                <w:sz w:val="20"/>
                <w:lang w:val="en-GB" w:eastAsia="zh-CN"/>
              </w:rPr>
              <w:br/>
              <w:t>RA conducted: yes</w:t>
            </w:r>
            <w:r>
              <w:rPr>
                <w:b/>
                <w:sz w:val="20"/>
                <w:lang w:val="en-GB" w:eastAsia="zh-CN"/>
              </w:rPr>
              <w:t xml:space="preserve"> Aquatic</w:t>
            </w:r>
          </w:p>
          <w:p w14:paraId="483F40CA" w14:textId="77777777" w:rsidR="00B400A9" w:rsidRDefault="00B400A9">
            <w:pPr>
              <w:pStyle w:val="RepTableSmall"/>
              <w:keepNext/>
              <w:keepLines/>
              <w:widowControl/>
              <w:rPr>
                <w:sz w:val="20"/>
                <w:lang w:val="en-GB" w:eastAsia="zh-CN"/>
              </w:rPr>
            </w:pPr>
            <w:r>
              <w:rPr>
                <w:sz w:val="20"/>
                <w:lang w:val="en-GB" w:eastAsia="zh-CN"/>
              </w:rPr>
              <w:t>Metabolite relevant for RA: yes</w:t>
            </w:r>
            <w:r>
              <w:rPr>
                <w:sz w:val="20"/>
                <w:lang w:val="en-GB" w:eastAsia="zh-CN"/>
              </w:rPr>
              <w:br/>
              <w:t>RA conducted: yes</w:t>
            </w:r>
          </w:p>
        </w:tc>
      </w:tr>
      <w:tr w:rsidR="00B400A9" w14:paraId="1E7F56CE" w14:textId="77777777" w:rsidTr="00C35FCA">
        <w:tc>
          <w:tcPr>
            <w:tcW w:w="634" w:type="pct"/>
            <w:tcBorders>
              <w:top w:val="single" w:sz="4" w:space="0" w:color="auto"/>
              <w:left w:val="single" w:sz="4" w:space="0" w:color="auto"/>
              <w:bottom w:val="single" w:sz="4" w:space="0" w:color="auto"/>
              <w:right w:val="single" w:sz="4" w:space="0" w:color="auto"/>
            </w:tcBorders>
            <w:hideMark/>
          </w:tcPr>
          <w:p w14:paraId="0D625273" w14:textId="77777777" w:rsidR="00B400A9" w:rsidRDefault="00B400A9">
            <w:pPr>
              <w:pStyle w:val="RepTableSmall"/>
              <w:rPr>
                <w:sz w:val="20"/>
                <w:lang w:val="en-GB" w:eastAsia="zh-CN"/>
              </w:rPr>
            </w:pPr>
            <w:r>
              <w:rPr>
                <w:sz w:val="20"/>
                <w:lang w:val="en-GB" w:eastAsia="zh-CN"/>
              </w:rPr>
              <w:t>M700F002</w:t>
            </w:r>
            <w:r>
              <w:rPr>
                <w:sz w:val="20"/>
                <w:lang w:val="en-GB" w:eastAsia="zh-CN"/>
              </w:rPr>
              <w:br/>
              <w:t>Reg. No. 5435595</w:t>
            </w:r>
          </w:p>
        </w:tc>
        <w:tc>
          <w:tcPr>
            <w:tcW w:w="1451" w:type="pct"/>
            <w:tcBorders>
              <w:top w:val="single" w:sz="4" w:space="0" w:color="auto"/>
              <w:left w:val="single" w:sz="4" w:space="0" w:color="auto"/>
              <w:bottom w:val="single" w:sz="4" w:space="0" w:color="auto"/>
              <w:right w:val="single" w:sz="4" w:space="0" w:color="auto"/>
            </w:tcBorders>
            <w:vAlign w:val="center"/>
            <w:hideMark/>
          </w:tcPr>
          <w:p w14:paraId="1001C2B3" w14:textId="37239F4D" w:rsidR="00B400A9" w:rsidRDefault="00B400A9">
            <w:pPr>
              <w:pStyle w:val="RepTableSmall"/>
              <w:jc w:val="center"/>
              <w:rPr>
                <w:sz w:val="20"/>
                <w:lang w:val="en-GB" w:eastAsia="zh-CN"/>
              </w:rPr>
            </w:pPr>
            <w:r>
              <w:rPr>
                <w:noProof/>
                <w:sz w:val="20"/>
                <w:lang w:val="en-GB" w:eastAsia="en-US"/>
              </w:rPr>
              <w:drawing>
                <wp:inline distT="0" distB="0" distL="0" distR="0" wp14:anchorId="60DB1E6E" wp14:editId="1999AA36">
                  <wp:extent cx="1411605" cy="1045845"/>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11605" cy="1045845"/>
                          </a:xfrm>
                          <a:prstGeom prst="rect">
                            <a:avLst/>
                          </a:prstGeom>
                          <a:noFill/>
                          <a:ln>
                            <a:noFill/>
                          </a:ln>
                        </pic:spPr>
                      </pic:pic>
                    </a:graphicData>
                  </a:graphic>
                </wp:inline>
              </w:drawing>
            </w:r>
          </w:p>
        </w:tc>
        <w:tc>
          <w:tcPr>
            <w:tcW w:w="719" w:type="pct"/>
            <w:tcBorders>
              <w:top w:val="single" w:sz="4" w:space="0" w:color="auto"/>
              <w:left w:val="single" w:sz="4" w:space="0" w:color="auto"/>
              <w:bottom w:val="single" w:sz="4" w:space="0" w:color="auto"/>
              <w:right w:val="single" w:sz="4" w:space="0" w:color="auto"/>
            </w:tcBorders>
            <w:hideMark/>
          </w:tcPr>
          <w:p w14:paraId="2E96F3FE" w14:textId="77777777" w:rsidR="00B400A9" w:rsidRDefault="00B400A9" w:rsidP="00C35FCA">
            <w:pPr>
              <w:spacing w:before="40"/>
              <w:rPr>
                <w:sz w:val="20"/>
                <w:szCs w:val="20"/>
                <w:lang w:val="en-GB" w:eastAsia="zh-CN"/>
              </w:rPr>
            </w:pPr>
            <w:r>
              <w:rPr>
                <w:sz w:val="20"/>
                <w:szCs w:val="20"/>
                <w:lang w:val="en-GB" w:eastAsia="zh-CN"/>
              </w:rPr>
              <w:t>162.0</w:t>
            </w:r>
          </w:p>
        </w:tc>
        <w:tc>
          <w:tcPr>
            <w:tcW w:w="1224" w:type="pct"/>
            <w:tcBorders>
              <w:top w:val="single" w:sz="4" w:space="0" w:color="auto"/>
              <w:left w:val="single" w:sz="4" w:space="0" w:color="auto"/>
              <w:bottom w:val="single" w:sz="4" w:space="0" w:color="auto"/>
              <w:right w:val="single" w:sz="4" w:space="0" w:color="auto"/>
            </w:tcBorders>
          </w:tcPr>
          <w:p w14:paraId="701B1C21" w14:textId="77777777" w:rsidR="00B400A9" w:rsidRDefault="00B400A9">
            <w:pPr>
              <w:pStyle w:val="RepTableSmall"/>
              <w:rPr>
                <w:sz w:val="20"/>
                <w:lang w:val="en-GB" w:eastAsia="zh-CN"/>
              </w:rPr>
            </w:pPr>
            <w:r>
              <w:rPr>
                <w:sz w:val="20"/>
                <w:lang w:val="en-GB" w:eastAsia="zh-CN"/>
              </w:rPr>
              <w:t>Soil: 70.5%</w:t>
            </w:r>
          </w:p>
          <w:p w14:paraId="5B131B6B" w14:textId="77777777" w:rsidR="00B400A9" w:rsidRDefault="00B400A9">
            <w:pPr>
              <w:pStyle w:val="RepTableSmall"/>
              <w:rPr>
                <w:sz w:val="20"/>
                <w:lang w:val="en-GB" w:eastAsia="zh-CN"/>
              </w:rPr>
            </w:pPr>
          </w:p>
          <w:p w14:paraId="070FB469" w14:textId="77777777" w:rsidR="00B400A9" w:rsidRDefault="00B400A9">
            <w:pPr>
              <w:pStyle w:val="RepTableSmall"/>
              <w:rPr>
                <w:sz w:val="20"/>
                <w:lang w:val="en-GB" w:eastAsia="zh-CN"/>
              </w:rPr>
            </w:pPr>
            <w:r>
              <w:rPr>
                <w:sz w:val="20"/>
                <w:lang w:val="en-GB" w:eastAsia="zh-CN"/>
              </w:rPr>
              <w:t>Groundwater: 100%</w:t>
            </w:r>
          </w:p>
          <w:p w14:paraId="0088E023" w14:textId="77777777" w:rsidR="00B400A9" w:rsidRDefault="00B400A9">
            <w:pPr>
              <w:pStyle w:val="RepTableSmall"/>
              <w:rPr>
                <w:sz w:val="20"/>
                <w:lang w:val="en-GB" w:eastAsia="zh-CN"/>
              </w:rPr>
            </w:pPr>
          </w:p>
          <w:p w14:paraId="1E0B56D7" w14:textId="77777777" w:rsidR="00B400A9" w:rsidRDefault="00B400A9">
            <w:pPr>
              <w:pStyle w:val="RepTableSmall"/>
              <w:rPr>
                <w:sz w:val="20"/>
                <w:lang w:val="en-GB" w:eastAsia="zh-CN"/>
              </w:rPr>
            </w:pPr>
            <w:r>
              <w:rPr>
                <w:sz w:val="20"/>
                <w:lang w:val="en-GB" w:eastAsia="zh-CN"/>
              </w:rPr>
              <w:t>Water/sediment: -</w:t>
            </w:r>
          </w:p>
          <w:p w14:paraId="340F2B75" w14:textId="77777777" w:rsidR="00B400A9" w:rsidRDefault="00B400A9">
            <w:pPr>
              <w:pStyle w:val="RepTableSmall"/>
              <w:rPr>
                <w:sz w:val="20"/>
                <w:lang w:val="en-GB" w:eastAsia="zh-CN"/>
              </w:rPr>
            </w:pPr>
          </w:p>
          <w:p w14:paraId="4502F312" w14:textId="77777777" w:rsidR="00B400A9" w:rsidRDefault="00B400A9">
            <w:pPr>
              <w:pStyle w:val="RepTableSmall"/>
              <w:rPr>
                <w:sz w:val="20"/>
                <w:lang w:val="en-GB" w:eastAsia="zh-CN"/>
              </w:rPr>
            </w:pPr>
            <w:r>
              <w:rPr>
                <w:sz w:val="20"/>
                <w:lang w:val="en-GB" w:eastAsia="zh-CN"/>
              </w:rPr>
              <w:t>Air: -</w:t>
            </w:r>
          </w:p>
        </w:tc>
        <w:tc>
          <w:tcPr>
            <w:tcW w:w="972" w:type="pct"/>
            <w:tcBorders>
              <w:top w:val="single" w:sz="4" w:space="0" w:color="auto"/>
              <w:left w:val="single" w:sz="4" w:space="0" w:color="auto"/>
              <w:bottom w:val="single" w:sz="4" w:space="0" w:color="auto"/>
              <w:right w:val="single" w:sz="4" w:space="0" w:color="auto"/>
            </w:tcBorders>
            <w:hideMark/>
          </w:tcPr>
          <w:p w14:paraId="1D33C748" w14:textId="77777777" w:rsidR="00B400A9" w:rsidRDefault="00B400A9">
            <w:pPr>
              <w:pStyle w:val="RepTableSmall"/>
              <w:keepNext/>
              <w:keepLines/>
              <w:widowControl/>
              <w:rPr>
                <w:sz w:val="20"/>
                <w:lang w:val="en-GB" w:eastAsia="zh-CN"/>
              </w:rPr>
            </w:pPr>
            <w:r>
              <w:rPr>
                <w:b/>
                <w:sz w:val="20"/>
                <w:lang w:val="en-GB" w:eastAsia="zh-CN"/>
              </w:rPr>
              <w:t>Terrestrial</w:t>
            </w:r>
            <w:r>
              <w:rPr>
                <w:b/>
                <w:sz w:val="20"/>
                <w:lang w:val="en-GB" w:eastAsia="zh-CN"/>
              </w:rPr>
              <w:br/>
            </w:r>
            <w:r>
              <w:rPr>
                <w:sz w:val="20"/>
                <w:lang w:val="en-GB" w:eastAsia="zh-CN"/>
              </w:rPr>
              <w:t>Metabolite relevant for RA: yes</w:t>
            </w:r>
            <w:r>
              <w:rPr>
                <w:sz w:val="20"/>
                <w:lang w:val="en-GB" w:eastAsia="zh-CN"/>
              </w:rPr>
              <w:br/>
              <w:t>RA conducted: yes</w:t>
            </w:r>
          </w:p>
          <w:p w14:paraId="6670C6C2" w14:textId="77777777" w:rsidR="00B400A9" w:rsidRDefault="00B400A9">
            <w:pPr>
              <w:pStyle w:val="RepTableSmall"/>
              <w:keepNext/>
              <w:keepLines/>
              <w:widowControl/>
              <w:rPr>
                <w:b/>
                <w:sz w:val="20"/>
                <w:lang w:val="en-GB" w:eastAsia="zh-CN"/>
              </w:rPr>
            </w:pPr>
            <w:r>
              <w:rPr>
                <w:b/>
                <w:sz w:val="20"/>
                <w:lang w:val="en-GB" w:eastAsia="zh-CN"/>
              </w:rPr>
              <w:t>Aquatic</w:t>
            </w:r>
          </w:p>
          <w:p w14:paraId="0F85E3C3" w14:textId="77777777" w:rsidR="00B400A9" w:rsidRDefault="00B400A9">
            <w:pPr>
              <w:pStyle w:val="RepTableSmall"/>
              <w:keepNext/>
              <w:keepLines/>
              <w:widowControl/>
              <w:rPr>
                <w:sz w:val="20"/>
                <w:lang w:val="en-GB" w:eastAsia="zh-CN"/>
              </w:rPr>
            </w:pPr>
            <w:r>
              <w:rPr>
                <w:sz w:val="20"/>
                <w:lang w:val="en-GB" w:eastAsia="zh-CN"/>
              </w:rPr>
              <w:t>Metabolite relevant for RA: yes</w:t>
            </w:r>
            <w:r>
              <w:rPr>
                <w:sz w:val="20"/>
                <w:lang w:val="en-GB" w:eastAsia="zh-CN"/>
              </w:rPr>
              <w:br/>
              <w:t>RA conducted: yes</w:t>
            </w:r>
          </w:p>
        </w:tc>
      </w:tr>
      <w:tr w:rsidR="00B400A9" w14:paraId="54D89056" w14:textId="77777777" w:rsidTr="00C35FCA">
        <w:tc>
          <w:tcPr>
            <w:tcW w:w="634" w:type="pct"/>
            <w:tcBorders>
              <w:top w:val="single" w:sz="4" w:space="0" w:color="auto"/>
              <w:left w:val="single" w:sz="4" w:space="0" w:color="auto"/>
              <w:bottom w:val="single" w:sz="4" w:space="0" w:color="auto"/>
              <w:right w:val="single" w:sz="4" w:space="0" w:color="auto"/>
            </w:tcBorders>
            <w:hideMark/>
          </w:tcPr>
          <w:p w14:paraId="1631E1B3" w14:textId="77777777" w:rsidR="00B400A9" w:rsidRDefault="00B400A9">
            <w:pPr>
              <w:pStyle w:val="RepTableSmall"/>
              <w:rPr>
                <w:sz w:val="20"/>
                <w:lang w:val="en-GB" w:eastAsia="zh-CN"/>
              </w:rPr>
            </w:pPr>
            <w:r>
              <w:rPr>
                <w:sz w:val="20"/>
                <w:lang w:val="en-GB" w:eastAsia="zh-CN"/>
              </w:rPr>
              <w:t>M700F007</w:t>
            </w:r>
            <w:r>
              <w:rPr>
                <w:sz w:val="20"/>
                <w:lang w:val="en-GB" w:eastAsia="zh-CN"/>
              </w:rPr>
              <w:br/>
              <w:t>Reg. No. 5621781</w:t>
            </w:r>
          </w:p>
        </w:tc>
        <w:tc>
          <w:tcPr>
            <w:tcW w:w="1451" w:type="pct"/>
            <w:tcBorders>
              <w:top w:val="single" w:sz="4" w:space="0" w:color="auto"/>
              <w:left w:val="single" w:sz="4" w:space="0" w:color="auto"/>
              <w:bottom w:val="single" w:sz="4" w:space="0" w:color="auto"/>
              <w:right w:val="single" w:sz="4" w:space="0" w:color="auto"/>
            </w:tcBorders>
            <w:vAlign w:val="center"/>
            <w:hideMark/>
          </w:tcPr>
          <w:p w14:paraId="12AC40BC" w14:textId="23996BC1" w:rsidR="00B400A9" w:rsidRDefault="00B400A9">
            <w:pPr>
              <w:pStyle w:val="RepTableSmall"/>
              <w:jc w:val="center"/>
              <w:rPr>
                <w:sz w:val="20"/>
                <w:lang w:val="en-GB" w:eastAsia="zh-CN"/>
              </w:rPr>
            </w:pPr>
            <w:r>
              <w:rPr>
                <w:noProof/>
                <w:sz w:val="20"/>
                <w:lang w:val="en-GB" w:eastAsia="en-US"/>
              </w:rPr>
              <w:drawing>
                <wp:inline distT="0" distB="0" distL="0" distR="0" wp14:anchorId="512B3CB3" wp14:editId="65E1D446">
                  <wp:extent cx="1134110" cy="1134110"/>
                  <wp:effectExtent l="0" t="0" r="889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34110" cy="1134110"/>
                          </a:xfrm>
                          <a:prstGeom prst="rect">
                            <a:avLst/>
                          </a:prstGeom>
                          <a:noFill/>
                          <a:ln>
                            <a:noFill/>
                          </a:ln>
                        </pic:spPr>
                      </pic:pic>
                    </a:graphicData>
                  </a:graphic>
                </wp:inline>
              </w:drawing>
            </w:r>
          </w:p>
        </w:tc>
        <w:tc>
          <w:tcPr>
            <w:tcW w:w="719" w:type="pct"/>
            <w:tcBorders>
              <w:top w:val="single" w:sz="4" w:space="0" w:color="auto"/>
              <w:left w:val="single" w:sz="4" w:space="0" w:color="auto"/>
              <w:bottom w:val="single" w:sz="4" w:space="0" w:color="auto"/>
              <w:right w:val="single" w:sz="4" w:space="0" w:color="auto"/>
            </w:tcBorders>
            <w:hideMark/>
          </w:tcPr>
          <w:p w14:paraId="753C2251" w14:textId="77777777" w:rsidR="00B400A9" w:rsidRDefault="00B400A9" w:rsidP="00C35FCA">
            <w:pPr>
              <w:pStyle w:val="RepTableSmall"/>
              <w:rPr>
                <w:sz w:val="20"/>
                <w:lang w:val="en-GB" w:eastAsia="zh-CN"/>
              </w:rPr>
            </w:pPr>
            <w:r>
              <w:rPr>
                <w:sz w:val="20"/>
                <w:lang w:val="en-GB" w:eastAsia="zh-CN"/>
              </w:rPr>
              <w:t>175.1</w:t>
            </w:r>
          </w:p>
        </w:tc>
        <w:tc>
          <w:tcPr>
            <w:tcW w:w="1224" w:type="pct"/>
            <w:tcBorders>
              <w:top w:val="single" w:sz="4" w:space="0" w:color="auto"/>
              <w:left w:val="single" w:sz="4" w:space="0" w:color="auto"/>
              <w:bottom w:val="single" w:sz="4" w:space="0" w:color="auto"/>
              <w:right w:val="single" w:sz="4" w:space="0" w:color="auto"/>
            </w:tcBorders>
          </w:tcPr>
          <w:p w14:paraId="1EFD7C35" w14:textId="77777777" w:rsidR="00B400A9" w:rsidRDefault="00B400A9">
            <w:pPr>
              <w:pStyle w:val="RepTableSmall"/>
              <w:rPr>
                <w:sz w:val="20"/>
                <w:lang w:val="en-GB" w:eastAsia="zh-CN"/>
              </w:rPr>
            </w:pPr>
            <w:r>
              <w:rPr>
                <w:sz w:val="20"/>
                <w:lang w:val="en-GB" w:eastAsia="zh-CN"/>
              </w:rPr>
              <w:t>Soil: -</w:t>
            </w:r>
          </w:p>
          <w:p w14:paraId="7D92BD9D" w14:textId="77777777" w:rsidR="00B400A9" w:rsidRDefault="00B400A9">
            <w:pPr>
              <w:pStyle w:val="RepTableSmall"/>
              <w:rPr>
                <w:sz w:val="20"/>
                <w:lang w:val="en-GB" w:eastAsia="zh-CN"/>
              </w:rPr>
            </w:pPr>
          </w:p>
          <w:p w14:paraId="0181315E" w14:textId="77777777" w:rsidR="00B400A9" w:rsidRDefault="00B400A9">
            <w:pPr>
              <w:pStyle w:val="RepTableSmall"/>
              <w:rPr>
                <w:sz w:val="20"/>
                <w:lang w:val="en-GB" w:eastAsia="zh-CN"/>
              </w:rPr>
            </w:pPr>
            <w:r>
              <w:rPr>
                <w:sz w:val="20"/>
                <w:lang w:val="en-GB" w:eastAsia="zh-CN"/>
              </w:rPr>
              <w:t>Groundwater: -</w:t>
            </w:r>
          </w:p>
          <w:p w14:paraId="544F840B" w14:textId="77777777" w:rsidR="00B400A9" w:rsidRDefault="00B400A9">
            <w:pPr>
              <w:pStyle w:val="RepTableSmall"/>
              <w:rPr>
                <w:sz w:val="20"/>
                <w:lang w:val="en-GB" w:eastAsia="zh-CN"/>
              </w:rPr>
            </w:pPr>
          </w:p>
          <w:p w14:paraId="098969E0" w14:textId="77777777" w:rsidR="00B400A9" w:rsidRDefault="00B400A9">
            <w:pPr>
              <w:pStyle w:val="RepTableSmall"/>
              <w:rPr>
                <w:sz w:val="20"/>
                <w:lang w:val="en-GB" w:eastAsia="zh-CN"/>
              </w:rPr>
            </w:pPr>
            <w:r>
              <w:rPr>
                <w:sz w:val="20"/>
                <w:lang w:val="en-GB" w:eastAsia="zh-CN"/>
              </w:rPr>
              <w:t xml:space="preserve">Water: 17.7% </w:t>
            </w:r>
          </w:p>
          <w:p w14:paraId="77AF6713" w14:textId="77777777" w:rsidR="00B400A9" w:rsidRDefault="00B400A9">
            <w:pPr>
              <w:pStyle w:val="RepTableSmall"/>
              <w:rPr>
                <w:sz w:val="20"/>
                <w:lang w:val="en-GB" w:eastAsia="zh-CN"/>
              </w:rPr>
            </w:pPr>
            <w:r>
              <w:rPr>
                <w:sz w:val="20"/>
                <w:lang w:val="en-GB" w:eastAsia="zh-CN"/>
              </w:rPr>
              <w:t>(not found in sediment)</w:t>
            </w:r>
          </w:p>
          <w:p w14:paraId="1F1246A8" w14:textId="77777777" w:rsidR="00B400A9" w:rsidRDefault="00B400A9">
            <w:pPr>
              <w:pStyle w:val="RepTableSmall"/>
              <w:rPr>
                <w:sz w:val="20"/>
                <w:lang w:val="en-GB" w:eastAsia="zh-CN"/>
              </w:rPr>
            </w:pPr>
          </w:p>
          <w:p w14:paraId="1B2D4D29" w14:textId="77777777" w:rsidR="00B400A9" w:rsidRDefault="00B400A9">
            <w:pPr>
              <w:pStyle w:val="RepTableSmall"/>
              <w:rPr>
                <w:sz w:val="20"/>
                <w:lang w:val="en-GB" w:eastAsia="zh-CN"/>
              </w:rPr>
            </w:pPr>
            <w:r>
              <w:rPr>
                <w:sz w:val="20"/>
                <w:lang w:val="en-GB" w:eastAsia="zh-CN"/>
              </w:rPr>
              <w:t>Air: -</w:t>
            </w:r>
          </w:p>
        </w:tc>
        <w:tc>
          <w:tcPr>
            <w:tcW w:w="972" w:type="pct"/>
            <w:tcBorders>
              <w:top w:val="single" w:sz="4" w:space="0" w:color="auto"/>
              <w:left w:val="single" w:sz="4" w:space="0" w:color="auto"/>
              <w:bottom w:val="single" w:sz="4" w:space="0" w:color="auto"/>
              <w:right w:val="single" w:sz="4" w:space="0" w:color="auto"/>
            </w:tcBorders>
            <w:hideMark/>
          </w:tcPr>
          <w:p w14:paraId="33F5E53A" w14:textId="77777777" w:rsidR="00B400A9" w:rsidRDefault="00B400A9">
            <w:pPr>
              <w:pStyle w:val="RepTableSmall"/>
              <w:keepNext/>
              <w:keepLines/>
              <w:widowControl/>
              <w:rPr>
                <w:sz w:val="20"/>
                <w:lang w:val="en-GB" w:eastAsia="zh-CN"/>
              </w:rPr>
            </w:pPr>
            <w:r>
              <w:rPr>
                <w:b/>
                <w:sz w:val="20"/>
                <w:lang w:val="en-GB" w:eastAsia="zh-CN"/>
              </w:rPr>
              <w:t>Terrestrial</w:t>
            </w:r>
            <w:r>
              <w:rPr>
                <w:b/>
                <w:sz w:val="20"/>
                <w:lang w:val="en-GB" w:eastAsia="zh-CN"/>
              </w:rPr>
              <w:br/>
            </w:r>
            <w:r>
              <w:rPr>
                <w:sz w:val="20"/>
                <w:lang w:val="en-GB" w:eastAsia="zh-CN"/>
              </w:rPr>
              <w:t>Metabolite relevant for RA: no</w:t>
            </w:r>
            <w:r>
              <w:rPr>
                <w:sz w:val="20"/>
                <w:lang w:val="en-GB" w:eastAsia="zh-CN"/>
              </w:rPr>
              <w:br/>
              <w:t>RA conducted: no</w:t>
            </w:r>
          </w:p>
          <w:p w14:paraId="7B67B8E9" w14:textId="77777777" w:rsidR="00B400A9" w:rsidRDefault="00B400A9">
            <w:pPr>
              <w:pStyle w:val="RepTableSmall"/>
              <w:keepNext/>
              <w:keepLines/>
              <w:widowControl/>
              <w:rPr>
                <w:b/>
                <w:sz w:val="20"/>
                <w:lang w:val="en-GB" w:eastAsia="zh-CN"/>
              </w:rPr>
            </w:pPr>
            <w:r>
              <w:rPr>
                <w:b/>
                <w:sz w:val="20"/>
                <w:lang w:val="en-GB" w:eastAsia="zh-CN"/>
              </w:rPr>
              <w:t>Aquatic</w:t>
            </w:r>
          </w:p>
          <w:p w14:paraId="552DB07D" w14:textId="77777777" w:rsidR="00B400A9" w:rsidRDefault="00B400A9">
            <w:pPr>
              <w:pStyle w:val="RepTableSmall"/>
              <w:keepNext/>
              <w:keepLines/>
              <w:widowControl/>
              <w:rPr>
                <w:sz w:val="20"/>
                <w:lang w:val="en-GB" w:eastAsia="zh-CN"/>
              </w:rPr>
            </w:pPr>
            <w:r>
              <w:rPr>
                <w:sz w:val="20"/>
                <w:lang w:val="en-GB" w:eastAsia="zh-CN"/>
              </w:rPr>
              <w:t>Metabolite relevant for RA: yes</w:t>
            </w:r>
            <w:r>
              <w:rPr>
                <w:sz w:val="20"/>
                <w:lang w:val="en-GB" w:eastAsia="zh-CN"/>
              </w:rPr>
              <w:br/>
              <w:t>RA conducted: yes</w:t>
            </w:r>
          </w:p>
        </w:tc>
      </w:tr>
    </w:tbl>
    <w:p w14:paraId="132626C9" w14:textId="0B09CEAB" w:rsidR="00553395" w:rsidRDefault="00553395" w:rsidP="00B400A9">
      <w:pPr>
        <w:pStyle w:val="StyleOECD-BASIS-TEXTLeft"/>
        <w:rPr>
          <w:sz w:val="22"/>
        </w:rPr>
      </w:pPr>
    </w:p>
    <w:p w14:paraId="2B62DECB" w14:textId="77777777" w:rsidR="00B400A9" w:rsidRDefault="00553395" w:rsidP="00B400A9">
      <w:pPr>
        <w:pStyle w:val="StyleOECD-BASIS-TEXTLeft"/>
        <w:rPr>
          <w:sz w:val="22"/>
        </w:rPr>
      </w:pPr>
      <w:r>
        <w:rPr>
          <w:sz w:val="22"/>
        </w:rPr>
        <w:br w:type="page"/>
      </w:r>
    </w:p>
    <w:p w14:paraId="44531C4D" w14:textId="12A34D8B" w:rsidR="00B400A9" w:rsidRPr="002B1114" w:rsidRDefault="00B400A9" w:rsidP="00B400A9">
      <w:pPr>
        <w:pStyle w:val="RepLabel"/>
      </w:pPr>
      <w:r w:rsidRPr="002B1114">
        <w:lastRenderedPageBreak/>
        <w:t xml:space="preserve">Table </w:t>
      </w:r>
      <w:r w:rsidRPr="002B1114">
        <w:fldChar w:fldCharType="begin"/>
      </w:r>
      <w:r w:rsidRPr="002B1114">
        <w:instrText xml:space="preserve"> STYLEREF 2 \s </w:instrText>
      </w:r>
      <w:r w:rsidRPr="002B1114">
        <w:fldChar w:fldCharType="separate"/>
      </w:r>
      <w:r w:rsidR="00662F32">
        <w:rPr>
          <w:noProof/>
        </w:rPr>
        <w:t>9.1</w:t>
      </w:r>
      <w:r w:rsidRPr="002B1114">
        <w:fldChar w:fldCharType="end"/>
      </w:r>
      <w:r w:rsidRPr="002B1114">
        <w:noBreakHyphen/>
      </w:r>
      <w:r w:rsidRPr="002B1114">
        <w:fldChar w:fldCharType="begin"/>
      </w:r>
      <w:r w:rsidRPr="002B1114">
        <w:instrText xml:space="preserve"> SEQ Table \* ARABIC \s 2 </w:instrText>
      </w:r>
      <w:r w:rsidRPr="002B1114">
        <w:fldChar w:fldCharType="separate"/>
      </w:r>
      <w:r w:rsidR="00662F32">
        <w:rPr>
          <w:noProof/>
        </w:rPr>
        <w:t>4</w:t>
      </w:r>
      <w:r w:rsidRPr="002B1114">
        <w:fldChar w:fldCharType="end"/>
      </w:r>
      <w:r w:rsidRPr="002B1114">
        <w:tab/>
        <w:t xml:space="preserve">Metabolites of </w:t>
      </w:r>
      <w:r>
        <w:t>azoxystrobin</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195"/>
        <w:gridCol w:w="2730"/>
        <w:gridCol w:w="1317"/>
        <w:gridCol w:w="2205"/>
        <w:gridCol w:w="1902"/>
      </w:tblGrid>
      <w:tr w:rsidR="00B400A9" w:rsidRPr="002B1114" w14:paraId="0F2836D6" w14:textId="77777777" w:rsidTr="00CE339B">
        <w:trPr>
          <w:tblHeader/>
        </w:trPr>
        <w:tc>
          <w:tcPr>
            <w:tcW w:w="645" w:type="pct"/>
            <w:shd w:val="clear" w:color="auto" w:fill="auto"/>
          </w:tcPr>
          <w:p w14:paraId="43718F83" w14:textId="77777777" w:rsidR="00B400A9" w:rsidRPr="002B1114" w:rsidRDefault="00B400A9" w:rsidP="001F0B81">
            <w:pPr>
              <w:pStyle w:val="RepTableHeader"/>
              <w:jc w:val="center"/>
              <w:rPr>
                <w:lang w:val="en-GB"/>
              </w:rPr>
            </w:pPr>
            <w:r w:rsidRPr="002B1114">
              <w:rPr>
                <w:lang w:val="en-GB"/>
              </w:rPr>
              <w:t>Metabolite</w:t>
            </w:r>
          </w:p>
        </w:tc>
        <w:tc>
          <w:tcPr>
            <w:tcW w:w="1436" w:type="pct"/>
            <w:shd w:val="clear" w:color="auto" w:fill="auto"/>
          </w:tcPr>
          <w:p w14:paraId="769B70C0" w14:textId="77777777" w:rsidR="00B400A9" w:rsidRPr="002B1114" w:rsidRDefault="00B400A9" w:rsidP="001F0B81">
            <w:pPr>
              <w:pStyle w:val="RepTableHeader"/>
              <w:jc w:val="center"/>
              <w:rPr>
                <w:lang w:val="en-GB"/>
              </w:rPr>
            </w:pPr>
            <w:r w:rsidRPr="002B1114">
              <w:rPr>
                <w:lang w:val="en-GB"/>
              </w:rPr>
              <w:t>Chemical structure</w:t>
            </w:r>
          </w:p>
        </w:tc>
        <w:tc>
          <w:tcPr>
            <w:tcW w:w="710" w:type="pct"/>
            <w:shd w:val="clear" w:color="auto" w:fill="auto"/>
          </w:tcPr>
          <w:p w14:paraId="44415FA0" w14:textId="77777777" w:rsidR="00B400A9" w:rsidRPr="002B1114" w:rsidRDefault="00B400A9" w:rsidP="001F0B81">
            <w:pPr>
              <w:pStyle w:val="RepTableHeader"/>
              <w:jc w:val="center"/>
              <w:rPr>
                <w:lang w:val="en-GB"/>
              </w:rPr>
            </w:pPr>
            <w:r w:rsidRPr="002B1114">
              <w:rPr>
                <w:lang w:val="en-GB"/>
              </w:rPr>
              <w:t>Molar mass</w:t>
            </w:r>
          </w:p>
        </w:tc>
        <w:tc>
          <w:tcPr>
            <w:tcW w:w="1185" w:type="pct"/>
            <w:shd w:val="clear" w:color="auto" w:fill="auto"/>
          </w:tcPr>
          <w:p w14:paraId="1AFE49EE" w14:textId="77777777" w:rsidR="00B400A9" w:rsidRPr="002B1114" w:rsidRDefault="00B400A9" w:rsidP="001F0B81">
            <w:pPr>
              <w:pStyle w:val="RepTableHeader"/>
              <w:jc w:val="center"/>
              <w:rPr>
                <w:lang w:val="en-GB"/>
              </w:rPr>
            </w:pPr>
            <w:r w:rsidRPr="002B1114">
              <w:rPr>
                <w:lang w:val="en-GB"/>
              </w:rPr>
              <w:t>Maximum occurrence in compartments</w:t>
            </w:r>
          </w:p>
        </w:tc>
        <w:tc>
          <w:tcPr>
            <w:tcW w:w="1023" w:type="pct"/>
            <w:shd w:val="clear" w:color="auto" w:fill="auto"/>
          </w:tcPr>
          <w:p w14:paraId="2866E9E8" w14:textId="77777777" w:rsidR="00B400A9" w:rsidRPr="002B1114" w:rsidRDefault="00B400A9" w:rsidP="001F0B81">
            <w:pPr>
              <w:pStyle w:val="RepTableHeader"/>
              <w:jc w:val="center"/>
              <w:rPr>
                <w:lang w:val="en-GB"/>
              </w:rPr>
            </w:pPr>
            <w:r w:rsidRPr="002B1114">
              <w:rPr>
                <w:lang w:val="en-GB"/>
              </w:rPr>
              <w:t>Risk assessment required?</w:t>
            </w:r>
          </w:p>
        </w:tc>
      </w:tr>
      <w:tr w:rsidR="00CA16DB" w:rsidRPr="002B1114" w14:paraId="192E7505" w14:textId="77777777" w:rsidTr="00C35FCA">
        <w:tc>
          <w:tcPr>
            <w:tcW w:w="645" w:type="pct"/>
            <w:shd w:val="clear" w:color="auto" w:fill="auto"/>
          </w:tcPr>
          <w:p w14:paraId="14CC6325" w14:textId="1F891299" w:rsidR="00CA16DB" w:rsidRPr="00CA16DB" w:rsidRDefault="00CA16DB" w:rsidP="00CA16DB">
            <w:pPr>
              <w:pStyle w:val="RepTable"/>
              <w:rPr>
                <w:szCs w:val="20"/>
              </w:rPr>
            </w:pPr>
            <w:r w:rsidRPr="00CA16DB">
              <w:rPr>
                <w:szCs w:val="20"/>
                <w:lang w:val="de-DE"/>
              </w:rPr>
              <w:t>R234886</w:t>
            </w:r>
          </w:p>
        </w:tc>
        <w:tc>
          <w:tcPr>
            <w:tcW w:w="1436" w:type="pct"/>
            <w:shd w:val="clear" w:color="auto" w:fill="auto"/>
          </w:tcPr>
          <w:p w14:paraId="00044D26" w14:textId="5084593C" w:rsidR="00CA16DB" w:rsidRPr="00CA16DB" w:rsidRDefault="00FA09DF" w:rsidP="00CA16DB">
            <w:pPr>
              <w:pStyle w:val="RepTable"/>
              <w:rPr>
                <w:szCs w:val="20"/>
              </w:rPr>
            </w:pPr>
            <w:r>
              <w:rPr>
                <w:szCs w:val="20"/>
                <w:lang w:val="de-DE" w:eastAsia="zh-CN"/>
              </w:rPr>
              <w:drawing>
                <wp:inline distT="0" distB="0" distL="0" distR="0" wp14:anchorId="12F0D8F2" wp14:editId="023F469B">
                  <wp:extent cx="1592580" cy="685800"/>
                  <wp:effectExtent l="0" t="0" r="7620" b="0"/>
                  <wp:docPr id="13"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92580" cy="685800"/>
                          </a:xfrm>
                          <a:prstGeom prst="rect">
                            <a:avLst/>
                          </a:prstGeom>
                          <a:noFill/>
                          <a:ln>
                            <a:noFill/>
                          </a:ln>
                        </pic:spPr>
                      </pic:pic>
                    </a:graphicData>
                  </a:graphic>
                </wp:inline>
              </w:drawing>
            </w:r>
          </w:p>
        </w:tc>
        <w:tc>
          <w:tcPr>
            <w:tcW w:w="710" w:type="pct"/>
            <w:shd w:val="clear" w:color="auto" w:fill="auto"/>
          </w:tcPr>
          <w:p w14:paraId="401061F4" w14:textId="235AB4C1" w:rsidR="00CA16DB" w:rsidRPr="00CA16DB" w:rsidRDefault="00CA16DB" w:rsidP="00C35FCA">
            <w:pPr>
              <w:pStyle w:val="RepTable"/>
              <w:rPr>
                <w:szCs w:val="20"/>
              </w:rPr>
            </w:pPr>
            <w:r w:rsidRPr="00CA16DB">
              <w:rPr>
                <w:szCs w:val="20"/>
                <w:lang w:val="de-DE"/>
              </w:rPr>
              <w:t>389.4</w:t>
            </w:r>
          </w:p>
        </w:tc>
        <w:tc>
          <w:tcPr>
            <w:tcW w:w="1185" w:type="pct"/>
            <w:shd w:val="clear" w:color="auto" w:fill="auto"/>
          </w:tcPr>
          <w:p w14:paraId="07C940FD" w14:textId="77777777" w:rsidR="00CE339B" w:rsidRPr="00FC505F" w:rsidRDefault="00CE339B" w:rsidP="00CE339B">
            <w:pPr>
              <w:pStyle w:val="RepTableSmall"/>
              <w:rPr>
                <w:sz w:val="20"/>
              </w:rPr>
            </w:pPr>
            <w:r w:rsidRPr="00FC505F">
              <w:rPr>
                <w:sz w:val="20"/>
              </w:rPr>
              <w:t>&gt; 10 % of a.s. in soil</w:t>
            </w:r>
          </w:p>
          <w:p w14:paraId="4ECEDEF5" w14:textId="77777777" w:rsidR="00CE339B" w:rsidRPr="00FC505F" w:rsidRDefault="00CE339B" w:rsidP="00CE339B">
            <w:pPr>
              <w:pStyle w:val="RepTableSmall"/>
              <w:rPr>
                <w:sz w:val="20"/>
              </w:rPr>
            </w:pPr>
          </w:p>
          <w:p w14:paraId="714C4DEB" w14:textId="77777777" w:rsidR="00CE339B" w:rsidRPr="00FC505F" w:rsidRDefault="00CE339B" w:rsidP="00CE339B">
            <w:pPr>
              <w:pStyle w:val="RepTableSmall"/>
              <w:rPr>
                <w:sz w:val="20"/>
              </w:rPr>
            </w:pPr>
            <w:r w:rsidRPr="00FC505F">
              <w:rPr>
                <w:sz w:val="20"/>
              </w:rPr>
              <w:t>&gt; 10 % of a.s. in water</w:t>
            </w:r>
          </w:p>
          <w:p w14:paraId="17562650" w14:textId="77777777" w:rsidR="00CE339B" w:rsidRPr="00FC505F" w:rsidRDefault="00CE339B" w:rsidP="00CE339B">
            <w:pPr>
              <w:pStyle w:val="RepTableSmall"/>
              <w:rPr>
                <w:sz w:val="20"/>
              </w:rPr>
            </w:pPr>
          </w:p>
          <w:p w14:paraId="4F8A9B7E" w14:textId="5F087AF1" w:rsidR="00CA16DB" w:rsidRPr="00CA16DB" w:rsidRDefault="00CE339B" w:rsidP="00CE339B">
            <w:pPr>
              <w:pStyle w:val="RepTable"/>
              <w:rPr>
                <w:szCs w:val="20"/>
              </w:rPr>
            </w:pPr>
            <w:r w:rsidRPr="00FC505F">
              <w:t>&gt; 10 % of a.s. in sediment</w:t>
            </w:r>
          </w:p>
        </w:tc>
        <w:tc>
          <w:tcPr>
            <w:tcW w:w="1023" w:type="pct"/>
            <w:shd w:val="clear" w:color="auto" w:fill="auto"/>
          </w:tcPr>
          <w:p w14:paraId="4E97640E" w14:textId="77777777" w:rsidR="00CE339B" w:rsidRPr="00FC505F" w:rsidRDefault="00CE339B" w:rsidP="00CE339B">
            <w:pPr>
              <w:pStyle w:val="RepTable"/>
              <w:rPr>
                <w:noProof w:val="0"/>
                <w:szCs w:val="20"/>
              </w:rPr>
            </w:pPr>
            <w:r w:rsidRPr="00FC505F">
              <w:rPr>
                <w:noProof w:val="0"/>
                <w:szCs w:val="20"/>
              </w:rPr>
              <w:t>Soil: yes</w:t>
            </w:r>
          </w:p>
          <w:p w14:paraId="20E63C5D" w14:textId="77777777" w:rsidR="00CE339B" w:rsidRPr="00FC505F" w:rsidRDefault="00CE339B" w:rsidP="00CE339B">
            <w:pPr>
              <w:pStyle w:val="RepTable"/>
              <w:rPr>
                <w:noProof w:val="0"/>
                <w:szCs w:val="20"/>
              </w:rPr>
            </w:pPr>
            <w:r w:rsidRPr="00FC505F">
              <w:rPr>
                <w:noProof w:val="0"/>
                <w:szCs w:val="20"/>
              </w:rPr>
              <w:t>Surface water: yes</w:t>
            </w:r>
          </w:p>
          <w:p w14:paraId="137C0DEA" w14:textId="3BA67601" w:rsidR="00CA16DB" w:rsidRPr="00CA16DB" w:rsidRDefault="00CE339B" w:rsidP="00CE339B">
            <w:pPr>
              <w:pStyle w:val="RepTable"/>
              <w:rPr>
                <w:szCs w:val="20"/>
              </w:rPr>
            </w:pPr>
            <w:r w:rsidRPr="00FC505F">
              <w:rPr>
                <w:noProof w:val="0"/>
                <w:szCs w:val="20"/>
              </w:rPr>
              <w:t>Sediment: no*</w:t>
            </w:r>
          </w:p>
        </w:tc>
      </w:tr>
      <w:tr w:rsidR="00CA16DB" w:rsidRPr="002B1114" w14:paraId="0787A63A" w14:textId="77777777" w:rsidTr="00C35FCA">
        <w:tc>
          <w:tcPr>
            <w:tcW w:w="645" w:type="pct"/>
            <w:shd w:val="clear" w:color="auto" w:fill="auto"/>
          </w:tcPr>
          <w:p w14:paraId="6A9C6F64" w14:textId="689B2DD4" w:rsidR="00CA16DB" w:rsidRPr="00CA16DB" w:rsidRDefault="00CA16DB" w:rsidP="00CA16DB">
            <w:pPr>
              <w:pStyle w:val="RepTable"/>
              <w:rPr>
                <w:szCs w:val="20"/>
              </w:rPr>
            </w:pPr>
            <w:r w:rsidRPr="00CA16DB">
              <w:rPr>
                <w:szCs w:val="20"/>
                <w:lang w:val="de-DE"/>
              </w:rPr>
              <w:t>R401553</w:t>
            </w:r>
          </w:p>
        </w:tc>
        <w:tc>
          <w:tcPr>
            <w:tcW w:w="1436" w:type="pct"/>
            <w:shd w:val="clear" w:color="auto" w:fill="auto"/>
          </w:tcPr>
          <w:p w14:paraId="0E6A36A8" w14:textId="64EB04A8" w:rsidR="00CA16DB" w:rsidRPr="00CA16DB" w:rsidRDefault="00FA09DF" w:rsidP="00CA16DB">
            <w:pPr>
              <w:pStyle w:val="RepTable"/>
              <w:rPr>
                <w:szCs w:val="20"/>
              </w:rPr>
            </w:pPr>
            <w:r>
              <w:rPr>
                <w:szCs w:val="20"/>
                <w:lang w:val="de-DE" w:eastAsia="zh-CN"/>
              </w:rPr>
              <w:drawing>
                <wp:inline distT="0" distB="0" distL="0" distR="0" wp14:anchorId="1A62D280" wp14:editId="460FBDA4">
                  <wp:extent cx="1661160" cy="647700"/>
                  <wp:effectExtent l="0" t="0" r="0" b="0"/>
                  <wp:docPr id="1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61160" cy="647700"/>
                          </a:xfrm>
                          <a:prstGeom prst="rect">
                            <a:avLst/>
                          </a:prstGeom>
                          <a:noFill/>
                          <a:ln>
                            <a:noFill/>
                          </a:ln>
                        </pic:spPr>
                      </pic:pic>
                    </a:graphicData>
                  </a:graphic>
                </wp:inline>
              </w:drawing>
            </w:r>
          </w:p>
        </w:tc>
        <w:tc>
          <w:tcPr>
            <w:tcW w:w="710" w:type="pct"/>
            <w:shd w:val="clear" w:color="auto" w:fill="auto"/>
          </w:tcPr>
          <w:p w14:paraId="1BBF9104" w14:textId="69D51D83" w:rsidR="00CA16DB" w:rsidRPr="00CA16DB" w:rsidRDefault="00CA16DB" w:rsidP="00C35FCA">
            <w:pPr>
              <w:pStyle w:val="RepTable"/>
              <w:rPr>
                <w:szCs w:val="20"/>
              </w:rPr>
            </w:pPr>
            <w:r w:rsidRPr="00CA16DB">
              <w:rPr>
                <w:szCs w:val="20"/>
                <w:lang w:val="de-DE"/>
              </w:rPr>
              <w:t>213.2</w:t>
            </w:r>
          </w:p>
        </w:tc>
        <w:tc>
          <w:tcPr>
            <w:tcW w:w="1185" w:type="pct"/>
            <w:shd w:val="clear" w:color="auto" w:fill="auto"/>
          </w:tcPr>
          <w:p w14:paraId="7DBA0921" w14:textId="77777777" w:rsidR="00CE339B" w:rsidRPr="00FC505F" w:rsidRDefault="00CE339B" w:rsidP="00CE339B">
            <w:pPr>
              <w:pStyle w:val="RepTableSmall"/>
              <w:rPr>
                <w:sz w:val="20"/>
              </w:rPr>
            </w:pPr>
            <w:r w:rsidRPr="00FC505F">
              <w:rPr>
                <w:sz w:val="20"/>
              </w:rPr>
              <w:t>&gt; 10 % of a.s. in soil</w:t>
            </w:r>
          </w:p>
          <w:p w14:paraId="64FD38D6" w14:textId="77777777" w:rsidR="00CE339B" w:rsidRPr="00FC505F" w:rsidRDefault="00CE339B" w:rsidP="00CE339B">
            <w:pPr>
              <w:pStyle w:val="RepTableSmall"/>
              <w:rPr>
                <w:sz w:val="20"/>
              </w:rPr>
            </w:pPr>
          </w:p>
          <w:p w14:paraId="1F2B12F5" w14:textId="2F0308D0" w:rsidR="00CA16DB" w:rsidRPr="00CA16DB" w:rsidRDefault="00CE339B" w:rsidP="00CE339B">
            <w:pPr>
              <w:pStyle w:val="RepTable"/>
              <w:rPr>
                <w:szCs w:val="20"/>
              </w:rPr>
            </w:pPr>
            <w:r w:rsidRPr="00FC505F">
              <w:t>&gt; 5 % of as in 2 sequential measurements in water / sediment</w:t>
            </w:r>
            <w:r w:rsidRPr="00CA16DB">
              <w:rPr>
                <w:szCs w:val="20"/>
              </w:rPr>
              <w:t xml:space="preserve"> </w:t>
            </w:r>
          </w:p>
        </w:tc>
        <w:tc>
          <w:tcPr>
            <w:tcW w:w="1023" w:type="pct"/>
            <w:shd w:val="clear" w:color="auto" w:fill="auto"/>
          </w:tcPr>
          <w:p w14:paraId="7237BC29" w14:textId="77777777" w:rsidR="00CE339B" w:rsidRPr="00FC505F" w:rsidRDefault="00CE339B" w:rsidP="00CE339B">
            <w:pPr>
              <w:pStyle w:val="RepTable"/>
              <w:rPr>
                <w:noProof w:val="0"/>
                <w:szCs w:val="20"/>
              </w:rPr>
            </w:pPr>
            <w:r w:rsidRPr="00FC505F">
              <w:rPr>
                <w:noProof w:val="0"/>
                <w:szCs w:val="20"/>
              </w:rPr>
              <w:t>Soil: yes</w:t>
            </w:r>
          </w:p>
          <w:p w14:paraId="5F3A6389" w14:textId="77777777" w:rsidR="00CE339B" w:rsidRPr="00FC505F" w:rsidRDefault="00CE339B" w:rsidP="00CE339B">
            <w:pPr>
              <w:pStyle w:val="RepTable"/>
              <w:rPr>
                <w:noProof w:val="0"/>
                <w:szCs w:val="20"/>
              </w:rPr>
            </w:pPr>
            <w:r w:rsidRPr="00FC505F">
              <w:rPr>
                <w:noProof w:val="0"/>
                <w:szCs w:val="20"/>
              </w:rPr>
              <w:t>Surface water: yes</w:t>
            </w:r>
          </w:p>
          <w:p w14:paraId="528305F0" w14:textId="5E09554F" w:rsidR="00CA16DB" w:rsidRPr="00CA16DB" w:rsidRDefault="00CE339B" w:rsidP="00CE339B">
            <w:pPr>
              <w:pStyle w:val="RepTable"/>
              <w:rPr>
                <w:szCs w:val="20"/>
              </w:rPr>
            </w:pPr>
            <w:r w:rsidRPr="00FC505F">
              <w:rPr>
                <w:noProof w:val="0"/>
                <w:szCs w:val="20"/>
              </w:rPr>
              <w:t>Sediment: no</w:t>
            </w:r>
          </w:p>
        </w:tc>
      </w:tr>
      <w:tr w:rsidR="00CA16DB" w:rsidRPr="002B1114" w14:paraId="0D8DCF02" w14:textId="77777777" w:rsidTr="00C35FCA">
        <w:tc>
          <w:tcPr>
            <w:tcW w:w="645" w:type="pct"/>
            <w:shd w:val="clear" w:color="auto" w:fill="auto"/>
          </w:tcPr>
          <w:p w14:paraId="2D1758E1" w14:textId="243A0B57" w:rsidR="00CA16DB" w:rsidRPr="00CA16DB" w:rsidRDefault="00CA16DB" w:rsidP="00CA16DB">
            <w:pPr>
              <w:pStyle w:val="RepTable"/>
              <w:rPr>
                <w:szCs w:val="20"/>
              </w:rPr>
            </w:pPr>
            <w:r w:rsidRPr="00CA16DB">
              <w:rPr>
                <w:szCs w:val="20"/>
                <w:lang w:val="de-DE"/>
              </w:rPr>
              <w:t>R402173</w:t>
            </w:r>
          </w:p>
        </w:tc>
        <w:tc>
          <w:tcPr>
            <w:tcW w:w="1436" w:type="pct"/>
            <w:shd w:val="clear" w:color="auto" w:fill="auto"/>
          </w:tcPr>
          <w:p w14:paraId="73B983CE" w14:textId="1BF2AFBC" w:rsidR="00CA16DB" w:rsidRPr="00CA16DB" w:rsidRDefault="00FA09DF" w:rsidP="00CA16DB">
            <w:pPr>
              <w:pStyle w:val="RepTable"/>
              <w:rPr>
                <w:szCs w:val="20"/>
              </w:rPr>
            </w:pPr>
            <w:r>
              <w:rPr>
                <w:szCs w:val="20"/>
                <w:lang w:val="de-DE" w:eastAsia="zh-CN"/>
              </w:rPr>
              <w:drawing>
                <wp:inline distT="0" distB="0" distL="0" distR="0" wp14:anchorId="0F405FCB" wp14:editId="684E3922">
                  <wp:extent cx="1607820" cy="647700"/>
                  <wp:effectExtent l="0" t="0" r="0" b="0"/>
                  <wp:docPr id="10"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07820" cy="647700"/>
                          </a:xfrm>
                          <a:prstGeom prst="rect">
                            <a:avLst/>
                          </a:prstGeom>
                          <a:noFill/>
                          <a:ln>
                            <a:noFill/>
                          </a:ln>
                        </pic:spPr>
                      </pic:pic>
                    </a:graphicData>
                  </a:graphic>
                </wp:inline>
              </w:drawing>
            </w:r>
          </w:p>
        </w:tc>
        <w:tc>
          <w:tcPr>
            <w:tcW w:w="710" w:type="pct"/>
            <w:shd w:val="clear" w:color="auto" w:fill="auto"/>
          </w:tcPr>
          <w:p w14:paraId="2F026E66" w14:textId="2FDA1CC8" w:rsidR="00CA16DB" w:rsidRPr="00CA16DB" w:rsidRDefault="00CA16DB" w:rsidP="00C35FCA">
            <w:pPr>
              <w:pStyle w:val="RepTable"/>
              <w:rPr>
                <w:szCs w:val="20"/>
              </w:rPr>
            </w:pPr>
            <w:r w:rsidRPr="00CA16DB">
              <w:rPr>
                <w:szCs w:val="20"/>
                <w:lang w:val="de-DE"/>
              </w:rPr>
              <w:t>333.3</w:t>
            </w:r>
          </w:p>
        </w:tc>
        <w:tc>
          <w:tcPr>
            <w:tcW w:w="1185" w:type="pct"/>
            <w:shd w:val="clear" w:color="auto" w:fill="auto"/>
          </w:tcPr>
          <w:p w14:paraId="7F05224E" w14:textId="77777777" w:rsidR="00CE339B" w:rsidRPr="00FC505F" w:rsidRDefault="00CE339B" w:rsidP="00CE339B">
            <w:pPr>
              <w:pStyle w:val="RepTableSmall"/>
              <w:rPr>
                <w:sz w:val="20"/>
              </w:rPr>
            </w:pPr>
            <w:r w:rsidRPr="00FC505F">
              <w:rPr>
                <w:sz w:val="20"/>
              </w:rPr>
              <w:t>&gt; 10 % of a.s. in soil</w:t>
            </w:r>
          </w:p>
          <w:p w14:paraId="03020333" w14:textId="77777777" w:rsidR="00CE339B" w:rsidRPr="00FC505F" w:rsidRDefault="00CE339B" w:rsidP="00CE339B">
            <w:pPr>
              <w:pStyle w:val="RepTableSmall"/>
              <w:rPr>
                <w:sz w:val="20"/>
              </w:rPr>
            </w:pPr>
          </w:p>
          <w:p w14:paraId="4E200EAA" w14:textId="7F416E8D" w:rsidR="00CA16DB" w:rsidRPr="00CA16DB" w:rsidRDefault="00CE339B" w:rsidP="00CE339B">
            <w:pPr>
              <w:pStyle w:val="RepTableSmall"/>
              <w:suppressAutoHyphens/>
              <w:rPr>
                <w:sz w:val="20"/>
                <w:lang w:val="en-GB"/>
              </w:rPr>
            </w:pPr>
            <w:r w:rsidRPr="00FC505F">
              <w:rPr>
                <w:sz w:val="20"/>
              </w:rPr>
              <w:t>&lt; 5 % of as in water / sediment</w:t>
            </w:r>
          </w:p>
          <w:p w14:paraId="0B51FC93" w14:textId="77777777" w:rsidR="00CA16DB" w:rsidRPr="00CA16DB" w:rsidRDefault="00CA16DB" w:rsidP="00CE339B">
            <w:pPr>
              <w:pStyle w:val="RepTableSmall"/>
              <w:suppressAutoHyphens/>
            </w:pPr>
          </w:p>
        </w:tc>
        <w:tc>
          <w:tcPr>
            <w:tcW w:w="1023" w:type="pct"/>
            <w:shd w:val="clear" w:color="auto" w:fill="auto"/>
          </w:tcPr>
          <w:p w14:paraId="76F39F6D" w14:textId="77777777" w:rsidR="00CE339B" w:rsidRPr="00FC505F" w:rsidRDefault="00CE339B" w:rsidP="00CE339B">
            <w:pPr>
              <w:pStyle w:val="RepTable"/>
              <w:rPr>
                <w:noProof w:val="0"/>
                <w:szCs w:val="20"/>
              </w:rPr>
            </w:pPr>
            <w:r w:rsidRPr="00FC505F">
              <w:rPr>
                <w:noProof w:val="0"/>
                <w:szCs w:val="20"/>
              </w:rPr>
              <w:t>Soil: yes</w:t>
            </w:r>
          </w:p>
          <w:p w14:paraId="7B3813ED" w14:textId="77777777" w:rsidR="00CE339B" w:rsidRPr="00FC505F" w:rsidRDefault="00CE339B" w:rsidP="00CE339B">
            <w:pPr>
              <w:pStyle w:val="RepTable"/>
              <w:rPr>
                <w:noProof w:val="0"/>
                <w:szCs w:val="20"/>
              </w:rPr>
            </w:pPr>
            <w:r w:rsidRPr="00FC505F">
              <w:rPr>
                <w:noProof w:val="0"/>
                <w:szCs w:val="20"/>
              </w:rPr>
              <w:t>Surface water: yes</w:t>
            </w:r>
          </w:p>
          <w:p w14:paraId="63534BBF" w14:textId="31616AB4" w:rsidR="00CA16DB" w:rsidRPr="00CA16DB" w:rsidRDefault="00CE339B" w:rsidP="00CE339B">
            <w:pPr>
              <w:pStyle w:val="RepTable"/>
              <w:rPr>
                <w:szCs w:val="20"/>
              </w:rPr>
            </w:pPr>
            <w:r w:rsidRPr="00FC505F">
              <w:rPr>
                <w:noProof w:val="0"/>
                <w:szCs w:val="20"/>
              </w:rPr>
              <w:t>Sediment: no*</w:t>
            </w:r>
          </w:p>
        </w:tc>
      </w:tr>
    </w:tbl>
    <w:p w14:paraId="0132696B" w14:textId="05AF8EBA" w:rsidR="00CE339B" w:rsidRPr="00155B73" w:rsidRDefault="00CE339B" w:rsidP="00CE339B">
      <w:pPr>
        <w:pStyle w:val="Default"/>
        <w:rPr>
          <w:sz w:val="18"/>
          <w:szCs w:val="18"/>
          <w:lang w:val="en-GB"/>
        </w:rPr>
      </w:pPr>
      <w:r w:rsidRPr="00155B73">
        <w:rPr>
          <w:sz w:val="18"/>
          <w:szCs w:val="18"/>
          <w:lang w:val="en-GB"/>
        </w:rPr>
        <w:t xml:space="preserve">* The </w:t>
      </w:r>
      <w:r w:rsidRPr="00FC505F">
        <w:rPr>
          <w:sz w:val="18"/>
          <w:szCs w:val="18"/>
          <w:lang w:val="en-US"/>
        </w:rPr>
        <w:t xml:space="preserve">trigger of 10% is met, however </w:t>
      </w:r>
      <w:r w:rsidRPr="00FC505F">
        <w:rPr>
          <w:rFonts w:eastAsia="Times New Roman"/>
          <w:bCs/>
          <w:sz w:val="18"/>
          <w:szCs w:val="18"/>
          <w:lang w:val="en-US" w:eastAsia="en-US"/>
        </w:rPr>
        <w:t xml:space="preserve">no risk </w:t>
      </w:r>
      <w:r w:rsidR="00AD71DA" w:rsidRPr="00FC505F">
        <w:rPr>
          <w:rFonts w:eastAsia="Times New Roman"/>
          <w:bCs/>
          <w:sz w:val="18"/>
          <w:szCs w:val="18"/>
          <w:lang w:val="en-US" w:eastAsia="en-US"/>
        </w:rPr>
        <w:t>assessment</w:t>
      </w:r>
      <w:r w:rsidRPr="00FC505F">
        <w:rPr>
          <w:rFonts w:eastAsia="Times New Roman"/>
          <w:bCs/>
          <w:sz w:val="18"/>
          <w:szCs w:val="18"/>
          <w:lang w:val="en-US" w:eastAsia="en-US"/>
        </w:rPr>
        <w:t xml:space="preserve"> is required for any of these metabolites, because they are not relevant.</w:t>
      </w:r>
    </w:p>
    <w:p w14:paraId="264BFE56" w14:textId="77777777" w:rsidR="00B400A9" w:rsidRPr="00CE339B" w:rsidRDefault="00B400A9" w:rsidP="00B400A9">
      <w:pPr>
        <w:pStyle w:val="StyleOECD-BASIS-TEXTLeft"/>
        <w:rPr>
          <w:sz w:val="22"/>
        </w:rPr>
      </w:pPr>
    </w:p>
    <w:p w14:paraId="7FD64562" w14:textId="77777777" w:rsidR="00E51CDD" w:rsidRDefault="00E51CDD" w:rsidP="00CE08CB">
      <w:pPr>
        <w:pStyle w:val="StyleOECD-BASIS-TEXTLeft"/>
        <w:rPr>
          <w:sz w:val="22"/>
          <w:lang w:val="en-US"/>
        </w:rPr>
        <w:sectPr w:rsidR="00E51CDD" w:rsidSect="00245DDD">
          <w:headerReference w:type="default" r:id="rId22"/>
          <w:footerReference w:type="default" r:id="rId23"/>
          <w:pgSz w:w="11909" w:h="16834" w:code="9"/>
          <w:pgMar w:top="1418" w:right="1134" w:bottom="1134" w:left="1418" w:header="709" w:footer="709" w:gutter="0"/>
          <w:pgNumType w:chapSep="period"/>
          <w:cols w:space="720"/>
          <w:noEndnote/>
          <w:docGrid w:linePitch="299"/>
        </w:sectPr>
      </w:pPr>
    </w:p>
    <w:p w14:paraId="47656BF1" w14:textId="77777777" w:rsidR="00E51CDD" w:rsidRPr="009938D9" w:rsidRDefault="00E51CDD" w:rsidP="009938D9">
      <w:pPr>
        <w:pStyle w:val="Nagwek2"/>
      </w:pPr>
      <w:bookmarkStart w:id="147" w:name="_Toc399487258"/>
      <w:bookmarkStart w:id="148" w:name="_Ref405399133"/>
      <w:bookmarkStart w:id="149" w:name="_Ref405923357"/>
      <w:bookmarkStart w:id="150" w:name="_Ref405971516"/>
      <w:bookmarkStart w:id="151" w:name="_Toc412643971"/>
      <w:bookmarkStart w:id="152" w:name="_Toc413916817"/>
      <w:bookmarkStart w:id="153" w:name="_Toc413916959"/>
      <w:bookmarkStart w:id="154" w:name="_Toc413922020"/>
      <w:bookmarkStart w:id="155" w:name="_Toc413922509"/>
      <w:bookmarkStart w:id="156" w:name="_Toc413922613"/>
      <w:bookmarkStart w:id="157" w:name="_Toc414955250"/>
      <w:bookmarkStart w:id="158" w:name="_Toc415214557"/>
      <w:bookmarkStart w:id="159" w:name="_Toc125446400"/>
      <w:r w:rsidRPr="009938D9">
        <w:lastRenderedPageBreak/>
        <w:t>Effects on birds (KCP 10.1.1)</w:t>
      </w:r>
      <w:bookmarkEnd w:id="147"/>
      <w:bookmarkEnd w:id="148"/>
      <w:bookmarkEnd w:id="149"/>
      <w:bookmarkEnd w:id="150"/>
      <w:bookmarkEnd w:id="151"/>
      <w:bookmarkEnd w:id="152"/>
      <w:bookmarkEnd w:id="153"/>
      <w:bookmarkEnd w:id="154"/>
      <w:bookmarkEnd w:id="155"/>
      <w:bookmarkEnd w:id="156"/>
      <w:bookmarkEnd w:id="157"/>
      <w:bookmarkEnd w:id="158"/>
      <w:bookmarkEnd w:id="159"/>
    </w:p>
    <w:p w14:paraId="18EAE5C1" w14:textId="77777777" w:rsidR="00E51CDD" w:rsidRPr="004F7897" w:rsidRDefault="00E51CDD" w:rsidP="00E51CDD">
      <w:pPr>
        <w:widowControl w:val="0"/>
        <w:jc w:val="both"/>
        <w:rPr>
          <w:lang w:val="en-GB"/>
        </w:rPr>
      </w:pPr>
      <w:r>
        <w:rPr>
          <w:szCs w:val="24"/>
          <w:lang w:val="en-GB"/>
        </w:rPr>
        <w:t>The risk assessment for birds is carried out following the latest guidance document by EFSA (</w:t>
      </w:r>
      <w:r>
        <w:rPr>
          <w:i/>
          <w:iCs/>
          <w:szCs w:val="24"/>
          <w:lang w:val="en-GB"/>
        </w:rPr>
        <w:t xml:space="preserve">Anonymous 2009: </w:t>
      </w:r>
      <w:r>
        <w:rPr>
          <w:rFonts w:eastAsia="SimSun"/>
          <w:i/>
          <w:iCs/>
          <w:szCs w:val="24"/>
          <w:lang w:val="en-GB" w:eastAsia="zh-CN"/>
        </w:rPr>
        <w:t>Guidance Document on risk assessment for Birds &amp; Mammals on request from EFSA. EFSA Journal 2009; 7(12):1438. European Food Safety Authority</w:t>
      </w:r>
      <w:r>
        <w:rPr>
          <w:szCs w:val="24"/>
          <w:lang w:val="en-GB"/>
        </w:rPr>
        <w:t xml:space="preserve">), </w:t>
      </w:r>
      <w:r>
        <w:rPr>
          <w:rFonts w:eastAsia="Batang"/>
          <w:szCs w:val="24"/>
          <w:lang w:val="en-GB" w:eastAsia="zh-CN"/>
        </w:rPr>
        <w:t>hereafter cited as EFSA</w:t>
      </w:r>
      <w:r>
        <w:rPr>
          <w:szCs w:val="24"/>
          <w:lang w:val="en-GB"/>
        </w:rPr>
        <w:t>/2009/1438.</w:t>
      </w:r>
    </w:p>
    <w:p w14:paraId="067CD17E" w14:textId="77777777" w:rsidR="00E51CDD" w:rsidRPr="002B1114" w:rsidRDefault="00E51CDD" w:rsidP="00E51CDD">
      <w:pPr>
        <w:pStyle w:val="Nagwek3"/>
      </w:pPr>
      <w:bookmarkStart w:id="160" w:name="_Toc399353251"/>
      <w:bookmarkStart w:id="161" w:name="_Toc412643972"/>
      <w:bookmarkStart w:id="162" w:name="_Toc413916818"/>
      <w:bookmarkStart w:id="163" w:name="_Toc413916960"/>
      <w:bookmarkStart w:id="164" w:name="_Toc413922021"/>
      <w:bookmarkStart w:id="165" w:name="_Toc413922510"/>
      <w:bookmarkStart w:id="166" w:name="_Toc413922614"/>
      <w:bookmarkStart w:id="167" w:name="_Toc414955251"/>
      <w:bookmarkStart w:id="168" w:name="_Toc415214558"/>
      <w:bookmarkStart w:id="169" w:name="_Toc125446401"/>
      <w:r w:rsidRPr="002B1114">
        <w:t>Toxicity data</w:t>
      </w:r>
      <w:bookmarkEnd w:id="160"/>
      <w:bookmarkEnd w:id="161"/>
      <w:bookmarkEnd w:id="162"/>
      <w:bookmarkEnd w:id="163"/>
      <w:bookmarkEnd w:id="164"/>
      <w:bookmarkEnd w:id="165"/>
      <w:bookmarkEnd w:id="166"/>
      <w:bookmarkEnd w:id="167"/>
      <w:bookmarkEnd w:id="168"/>
      <w:bookmarkEnd w:id="169"/>
    </w:p>
    <w:p w14:paraId="7D7D80F9" w14:textId="77777777" w:rsidR="00E51CDD" w:rsidRDefault="00E51CDD" w:rsidP="00E51CDD">
      <w:pPr>
        <w:widowControl w:val="0"/>
        <w:jc w:val="both"/>
        <w:rPr>
          <w:lang w:val="en-GB"/>
        </w:rPr>
      </w:pPr>
      <w:r>
        <w:rPr>
          <w:lang w:val="en-GB"/>
        </w:rPr>
        <w:t>Avian toxicity studies have been carried out with fluxapyroxad and azoxystrobin. Full details of these studies are provided in the respective EU DAR and related documents.</w:t>
      </w:r>
    </w:p>
    <w:p w14:paraId="52C9C51F" w14:textId="77777777" w:rsidR="00E51CDD" w:rsidRDefault="00E51CDD" w:rsidP="00E51CDD">
      <w:pPr>
        <w:pStyle w:val="RepStandard"/>
      </w:pPr>
    </w:p>
    <w:p w14:paraId="219C090F" w14:textId="77777777" w:rsidR="00E51CDD" w:rsidRDefault="00E51CDD" w:rsidP="00E51CDD">
      <w:pPr>
        <w:widowControl w:val="0"/>
        <w:jc w:val="both"/>
        <w:rPr>
          <w:b/>
          <w:u w:val="single"/>
          <w:lang w:val="en-GB"/>
        </w:rPr>
      </w:pPr>
      <w:r>
        <w:rPr>
          <w:b/>
          <w:u w:val="single"/>
          <w:lang w:val="en-GB"/>
        </w:rPr>
        <w:t>Active substances</w:t>
      </w:r>
    </w:p>
    <w:p w14:paraId="78CB8190" w14:textId="2129AF81" w:rsidR="00E51CDD" w:rsidRDefault="00E51CDD" w:rsidP="00E51CDD">
      <w:pPr>
        <w:widowControl w:val="0"/>
        <w:jc w:val="both"/>
        <w:rPr>
          <w:lang w:val="en-GB"/>
        </w:rPr>
      </w:pPr>
      <w:r>
        <w:rPr>
          <w:lang w:val="en-GB"/>
        </w:rPr>
        <w:t xml:space="preserve">An overview of the EU agreed endpoints is given in </w:t>
      </w:r>
      <w:r>
        <w:rPr>
          <w:lang w:val="en-GB"/>
        </w:rPr>
        <w:fldChar w:fldCharType="begin"/>
      </w:r>
      <w:r>
        <w:rPr>
          <w:lang w:val="en-GB"/>
        </w:rPr>
        <w:instrText xml:space="preserve"> REF _Ref81489678 \h </w:instrText>
      </w:r>
      <w:r>
        <w:rPr>
          <w:lang w:val="en-GB"/>
        </w:rPr>
      </w:r>
      <w:r>
        <w:rPr>
          <w:lang w:val="en-GB"/>
        </w:rPr>
        <w:fldChar w:fldCharType="separate"/>
      </w:r>
      <w:r w:rsidR="00662F32" w:rsidRPr="002B1114">
        <w:t xml:space="preserve">Table </w:t>
      </w:r>
      <w:r w:rsidR="00662F32">
        <w:rPr>
          <w:noProof/>
        </w:rPr>
        <w:t>9.2</w:t>
      </w:r>
      <w:r w:rsidR="00662F32" w:rsidRPr="002B1114">
        <w:noBreakHyphen/>
      </w:r>
      <w:r w:rsidR="00662F32">
        <w:rPr>
          <w:noProof/>
        </w:rPr>
        <w:t>1</w:t>
      </w:r>
      <w:r>
        <w:rPr>
          <w:lang w:val="en-GB"/>
        </w:rPr>
        <w:fldChar w:fldCharType="end"/>
      </w:r>
      <w:r>
        <w:rPr>
          <w:lang w:val="en-GB"/>
        </w:rPr>
        <w:t xml:space="preserve"> (fluxapyroxad) and </w:t>
      </w:r>
      <w:r>
        <w:rPr>
          <w:lang w:val="en-GB"/>
        </w:rPr>
        <w:fldChar w:fldCharType="begin"/>
      </w:r>
      <w:r>
        <w:rPr>
          <w:lang w:val="en-GB"/>
        </w:rPr>
        <w:instrText xml:space="preserve"> REF _Ref81489693 \h </w:instrText>
      </w:r>
      <w:r>
        <w:rPr>
          <w:lang w:val="en-GB"/>
        </w:rPr>
      </w:r>
      <w:r>
        <w:rPr>
          <w:lang w:val="en-GB"/>
        </w:rPr>
        <w:fldChar w:fldCharType="separate"/>
      </w:r>
      <w:r w:rsidR="00662F32" w:rsidRPr="002B1114">
        <w:t xml:space="preserve">Table </w:t>
      </w:r>
      <w:r w:rsidR="00662F32">
        <w:rPr>
          <w:noProof/>
        </w:rPr>
        <w:t>9.2</w:t>
      </w:r>
      <w:r w:rsidR="00662F32" w:rsidRPr="002B1114">
        <w:noBreakHyphen/>
      </w:r>
      <w:r w:rsidR="00662F32">
        <w:rPr>
          <w:noProof/>
        </w:rPr>
        <w:t>2</w:t>
      </w:r>
      <w:r>
        <w:rPr>
          <w:lang w:val="en-GB"/>
        </w:rPr>
        <w:fldChar w:fldCharType="end"/>
      </w:r>
      <w:r>
        <w:rPr>
          <w:lang w:val="en-GB"/>
        </w:rPr>
        <w:t xml:space="preserve"> (azoxystrobin). In case the selection of studies and endpoints for the risk assessment deviates from the results of the EU review process, justifications are provided below.</w:t>
      </w:r>
    </w:p>
    <w:p w14:paraId="32366920" w14:textId="77777777" w:rsidR="00E51CDD" w:rsidRPr="00963F22" w:rsidRDefault="00E51CDD" w:rsidP="00E51CDD">
      <w:pPr>
        <w:pStyle w:val="RepStandard"/>
      </w:pPr>
    </w:p>
    <w:p w14:paraId="6C6BB52F" w14:textId="64FB48EB" w:rsidR="00E51CDD" w:rsidRDefault="00E51CDD" w:rsidP="00E51CDD">
      <w:pPr>
        <w:pStyle w:val="RepLabel"/>
      </w:pPr>
      <w:bookmarkStart w:id="170" w:name="_Ref81489678"/>
      <w:r w:rsidRPr="002B1114">
        <w:t xml:space="preserve">Table </w:t>
      </w:r>
      <w:r w:rsidRPr="002B1114">
        <w:fldChar w:fldCharType="begin"/>
      </w:r>
      <w:r w:rsidRPr="002B1114">
        <w:instrText xml:space="preserve"> STYLEREF 2 \s </w:instrText>
      </w:r>
      <w:r w:rsidRPr="002B1114">
        <w:fldChar w:fldCharType="separate"/>
      </w:r>
      <w:r w:rsidR="00662F32">
        <w:rPr>
          <w:noProof/>
        </w:rPr>
        <w:t>9.2</w:t>
      </w:r>
      <w:r w:rsidRPr="002B1114">
        <w:fldChar w:fldCharType="end"/>
      </w:r>
      <w:r w:rsidRPr="002B1114">
        <w:noBreakHyphen/>
      </w:r>
      <w:r w:rsidRPr="002B1114">
        <w:fldChar w:fldCharType="begin"/>
      </w:r>
      <w:r w:rsidRPr="002B1114">
        <w:instrText xml:space="preserve"> SEQ Table \* ARABIC \s 2 </w:instrText>
      </w:r>
      <w:r w:rsidRPr="002B1114">
        <w:fldChar w:fldCharType="separate"/>
      </w:r>
      <w:r w:rsidR="00662F32">
        <w:rPr>
          <w:noProof/>
        </w:rPr>
        <w:t>1</w:t>
      </w:r>
      <w:r w:rsidRPr="002B1114">
        <w:fldChar w:fldCharType="end"/>
      </w:r>
      <w:bookmarkEnd w:id="170"/>
      <w:r w:rsidRPr="002B1114">
        <w:t>:</w:t>
      </w:r>
      <w:r w:rsidRPr="002B1114">
        <w:tab/>
      </w:r>
      <w:r>
        <w:t xml:space="preserve">Fluxapyroxad (BAS 700 F): </w:t>
      </w:r>
      <w:r w:rsidRPr="002B1114">
        <w:t>Endpoints relevant for the risk assessment for birds</w:t>
      </w:r>
    </w:p>
    <w:tbl>
      <w:tblPr>
        <w:tblW w:w="500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1"/>
        <w:gridCol w:w="1869"/>
        <w:gridCol w:w="1560"/>
        <w:gridCol w:w="2183"/>
        <w:gridCol w:w="1871"/>
      </w:tblGrid>
      <w:tr w:rsidR="00E51CDD" w14:paraId="1B21F64E" w14:textId="77777777" w:rsidTr="009938D9">
        <w:trPr>
          <w:cantSplit/>
        </w:trPr>
        <w:tc>
          <w:tcPr>
            <w:tcW w:w="1000" w:type="pct"/>
            <w:tcBorders>
              <w:top w:val="single" w:sz="4" w:space="0" w:color="auto"/>
              <w:left w:val="single" w:sz="4" w:space="0" w:color="auto"/>
              <w:bottom w:val="single" w:sz="4" w:space="0" w:color="auto"/>
              <w:right w:val="single" w:sz="4" w:space="0" w:color="auto"/>
            </w:tcBorders>
            <w:hideMark/>
          </w:tcPr>
          <w:p w14:paraId="7B12ADA1" w14:textId="77777777" w:rsidR="00E51CDD" w:rsidRDefault="00E51CDD" w:rsidP="009938D9">
            <w:pPr>
              <w:keepNext/>
              <w:keepLines/>
              <w:jc w:val="center"/>
              <w:rPr>
                <w:b/>
                <w:bCs/>
                <w:sz w:val="20"/>
                <w:szCs w:val="20"/>
                <w:lang w:val="de-DE"/>
              </w:rPr>
            </w:pPr>
            <w:r>
              <w:rPr>
                <w:b/>
                <w:bCs/>
                <w:sz w:val="20"/>
                <w:szCs w:val="20"/>
                <w:lang w:val="de-DE"/>
              </w:rPr>
              <w:t>Species</w:t>
            </w:r>
          </w:p>
        </w:tc>
        <w:tc>
          <w:tcPr>
            <w:tcW w:w="999" w:type="pct"/>
            <w:tcBorders>
              <w:top w:val="single" w:sz="4" w:space="0" w:color="auto"/>
              <w:left w:val="single" w:sz="4" w:space="0" w:color="auto"/>
              <w:bottom w:val="single" w:sz="4" w:space="0" w:color="auto"/>
              <w:right w:val="single" w:sz="4" w:space="0" w:color="auto"/>
            </w:tcBorders>
            <w:hideMark/>
          </w:tcPr>
          <w:p w14:paraId="169BE683" w14:textId="77777777" w:rsidR="00E51CDD" w:rsidRDefault="00E51CDD" w:rsidP="009938D9">
            <w:pPr>
              <w:keepNext/>
              <w:keepLines/>
              <w:jc w:val="center"/>
              <w:rPr>
                <w:b/>
                <w:bCs/>
                <w:sz w:val="20"/>
                <w:szCs w:val="20"/>
                <w:lang w:val="de-DE"/>
              </w:rPr>
            </w:pPr>
            <w:r>
              <w:rPr>
                <w:b/>
                <w:bCs/>
                <w:sz w:val="20"/>
                <w:szCs w:val="20"/>
                <w:lang w:val="de-DE"/>
              </w:rPr>
              <w:t>Substance</w:t>
            </w:r>
          </w:p>
        </w:tc>
        <w:tc>
          <w:tcPr>
            <w:tcW w:w="834" w:type="pct"/>
            <w:tcBorders>
              <w:top w:val="single" w:sz="4" w:space="0" w:color="auto"/>
              <w:left w:val="single" w:sz="4" w:space="0" w:color="auto"/>
              <w:bottom w:val="single" w:sz="4" w:space="0" w:color="auto"/>
              <w:right w:val="single" w:sz="4" w:space="0" w:color="auto"/>
            </w:tcBorders>
            <w:hideMark/>
          </w:tcPr>
          <w:p w14:paraId="75E6EE27" w14:textId="77777777" w:rsidR="00E51CDD" w:rsidRDefault="00E51CDD" w:rsidP="009938D9">
            <w:pPr>
              <w:keepNext/>
              <w:keepLines/>
              <w:jc w:val="center"/>
              <w:rPr>
                <w:b/>
                <w:bCs/>
                <w:sz w:val="20"/>
                <w:szCs w:val="20"/>
                <w:lang w:val="de-DE"/>
              </w:rPr>
            </w:pPr>
            <w:r>
              <w:rPr>
                <w:b/>
                <w:bCs/>
                <w:sz w:val="20"/>
                <w:szCs w:val="20"/>
                <w:lang w:val="de-DE"/>
              </w:rPr>
              <w:t>Exposure</w:t>
            </w:r>
          </w:p>
          <w:p w14:paraId="374B41B5" w14:textId="77777777" w:rsidR="00E51CDD" w:rsidRDefault="00E51CDD" w:rsidP="009938D9">
            <w:pPr>
              <w:keepNext/>
              <w:keepLines/>
              <w:jc w:val="center"/>
              <w:rPr>
                <w:b/>
                <w:bCs/>
                <w:sz w:val="20"/>
                <w:szCs w:val="20"/>
                <w:lang w:val="de-DE"/>
              </w:rPr>
            </w:pPr>
            <w:r>
              <w:rPr>
                <w:b/>
                <w:bCs/>
                <w:sz w:val="20"/>
                <w:szCs w:val="20"/>
                <w:lang w:val="de-DE"/>
              </w:rPr>
              <w:t>System</w:t>
            </w:r>
          </w:p>
        </w:tc>
        <w:tc>
          <w:tcPr>
            <w:tcW w:w="1167" w:type="pct"/>
            <w:tcBorders>
              <w:top w:val="single" w:sz="4" w:space="0" w:color="auto"/>
              <w:left w:val="single" w:sz="4" w:space="0" w:color="auto"/>
              <w:bottom w:val="single" w:sz="4" w:space="0" w:color="auto"/>
              <w:right w:val="single" w:sz="4" w:space="0" w:color="auto"/>
            </w:tcBorders>
            <w:hideMark/>
          </w:tcPr>
          <w:p w14:paraId="5D249A30" w14:textId="77777777" w:rsidR="00E51CDD" w:rsidRDefault="00E51CDD" w:rsidP="009938D9">
            <w:pPr>
              <w:keepNext/>
              <w:keepLines/>
              <w:jc w:val="center"/>
              <w:rPr>
                <w:b/>
                <w:bCs/>
                <w:sz w:val="20"/>
                <w:szCs w:val="20"/>
                <w:lang w:val="de-DE"/>
              </w:rPr>
            </w:pPr>
            <w:r>
              <w:rPr>
                <w:b/>
                <w:bCs/>
                <w:sz w:val="20"/>
                <w:szCs w:val="20"/>
                <w:lang w:val="de-DE"/>
              </w:rPr>
              <w:t>Results</w:t>
            </w:r>
          </w:p>
        </w:tc>
        <w:tc>
          <w:tcPr>
            <w:tcW w:w="1000" w:type="pct"/>
            <w:tcBorders>
              <w:top w:val="single" w:sz="4" w:space="0" w:color="auto"/>
              <w:left w:val="single" w:sz="4" w:space="0" w:color="auto"/>
              <w:bottom w:val="single" w:sz="4" w:space="0" w:color="auto"/>
              <w:right w:val="single" w:sz="4" w:space="0" w:color="auto"/>
            </w:tcBorders>
            <w:hideMark/>
          </w:tcPr>
          <w:p w14:paraId="603C10AE" w14:textId="77777777" w:rsidR="00E51CDD" w:rsidRDefault="00E51CDD" w:rsidP="009938D9">
            <w:pPr>
              <w:keepNext/>
              <w:keepLines/>
              <w:jc w:val="center"/>
              <w:rPr>
                <w:b/>
                <w:bCs/>
                <w:sz w:val="20"/>
                <w:szCs w:val="20"/>
                <w:lang w:val="de-DE"/>
              </w:rPr>
            </w:pPr>
            <w:r>
              <w:rPr>
                <w:b/>
                <w:bCs/>
                <w:sz w:val="20"/>
                <w:szCs w:val="20"/>
                <w:lang w:val="de-DE"/>
              </w:rPr>
              <w:t>Reference</w:t>
            </w:r>
          </w:p>
          <w:p w14:paraId="7B58DCF7" w14:textId="77777777" w:rsidR="00E51CDD" w:rsidRDefault="00E51CDD" w:rsidP="009938D9">
            <w:pPr>
              <w:keepNext/>
              <w:keepLines/>
              <w:jc w:val="center"/>
              <w:rPr>
                <w:b/>
                <w:bCs/>
                <w:sz w:val="20"/>
                <w:szCs w:val="20"/>
                <w:lang w:val="de-DE"/>
              </w:rPr>
            </w:pPr>
            <w:r>
              <w:rPr>
                <w:b/>
                <w:bCs/>
                <w:sz w:val="20"/>
                <w:szCs w:val="20"/>
                <w:lang w:val="de-DE"/>
              </w:rPr>
              <w:t>[BASF DocID]</w:t>
            </w:r>
          </w:p>
        </w:tc>
      </w:tr>
      <w:tr w:rsidR="00E51CDD" w14:paraId="24F5E0AB" w14:textId="77777777" w:rsidTr="009938D9">
        <w:trPr>
          <w:cantSplit/>
        </w:trPr>
        <w:tc>
          <w:tcPr>
            <w:tcW w:w="1000" w:type="pct"/>
            <w:tcBorders>
              <w:top w:val="single" w:sz="4" w:space="0" w:color="auto"/>
              <w:left w:val="single" w:sz="4" w:space="0" w:color="auto"/>
              <w:bottom w:val="single" w:sz="4" w:space="0" w:color="auto"/>
              <w:right w:val="single" w:sz="4" w:space="0" w:color="auto"/>
            </w:tcBorders>
            <w:hideMark/>
          </w:tcPr>
          <w:p w14:paraId="00F2CA82" w14:textId="77777777" w:rsidR="00E51CDD" w:rsidRDefault="00E51CDD" w:rsidP="009938D9">
            <w:pPr>
              <w:widowControl w:val="0"/>
              <w:rPr>
                <w:noProof/>
                <w:sz w:val="20"/>
                <w:szCs w:val="20"/>
                <w:lang w:val="en-GB"/>
              </w:rPr>
            </w:pPr>
            <w:r>
              <w:rPr>
                <w:i/>
                <w:noProof/>
                <w:sz w:val="20"/>
                <w:szCs w:val="20"/>
                <w:lang w:val="en-GB"/>
              </w:rPr>
              <w:t>Colinus virginianus</w:t>
            </w:r>
          </w:p>
        </w:tc>
        <w:tc>
          <w:tcPr>
            <w:tcW w:w="999" w:type="pct"/>
            <w:tcBorders>
              <w:top w:val="single" w:sz="4" w:space="0" w:color="auto"/>
              <w:left w:val="single" w:sz="4" w:space="0" w:color="auto"/>
              <w:bottom w:val="single" w:sz="4" w:space="0" w:color="auto"/>
              <w:right w:val="single" w:sz="4" w:space="0" w:color="auto"/>
            </w:tcBorders>
            <w:hideMark/>
          </w:tcPr>
          <w:p w14:paraId="7D4F8B3B" w14:textId="77777777" w:rsidR="00E51CDD" w:rsidRDefault="00E51CDD" w:rsidP="009938D9">
            <w:pPr>
              <w:widowControl w:val="0"/>
              <w:rPr>
                <w:noProof/>
                <w:sz w:val="20"/>
                <w:szCs w:val="20"/>
                <w:lang w:val="en-GB"/>
              </w:rPr>
            </w:pPr>
            <w:r>
              <w:rPr>
                <w:noProof/>
                <w:sz w:val="20"/>
                <w:lang w:val="en-GB"/>
              </w:rPr>
              <w:t>Fluxapyroxad</w:t>
            </w:r>
          </w:p>
        </w:tc>
        <w:tc>
          <w:tcPr>
            <w:tcW w:w="834" w:type="pct"/>
            <w:tcBorders>
              <w:top w:val="single" w:sz="4" w:space="0" w:color="auto"/>
              <w:left w:val="single" w:sz="4" w:space="0" w:color="auto"/>
              <w:bottom w:val="single" w:sz="4" w:space="0" w:color="auto"/>
              <w:right w:val="single" w:sz="4" w:space="0" w:color="auto"/>
            </w:tcBorders>
            <w:hideMark/>
          </w:tcPr>
          <w:p w14:paraId="6F9D4480" w14:textId="77777777" w:rsidR="00E51CDD" w:rsidRDefault="00E51CDD" w:rsidP="009938D9">
            <w:pPr>
              <w:widowControl w:val="0"/>
              <w:rPr>
                <w:noProof/>
                <w:sz w:val="20"/>
                <w:szCs w:val="20"/>
                <w:lang w:val="en-GB"/>
              </w:rPr>
            </w:pPr>
            <w:r>
              <w:rPr>
                <w:noProof/>
                <w:sz w:val="20"/>
                <w:szCs w:val="20"/>
                <w:lang w:val="en-GB"/>
              </w:rPr>
              <w:t>Oral, 1 d</w:t>
            </w:r>
            <w:r>
              <w:rPr>
                <w:noProof/>
                <w:sz w:val="20"/>
                <w:szCs w:val="20"/>
                <w:lang w:val="en-GB"/>
              </w:rPr>
              <w:br/>
              <w:t>Acute</w:t>
            </w:r>
          </w:p>
        </w:tc>
        <w:tc>
          <w:tcPr>
            <w:tcW w:w="1167" w:type="pct"/>
            <w:tcBorders>
              <w:top w:val="single" w:sz="4" w:space="0" w:color="auto"/>
              <w:left w:val="single" w:sz="4" w:space="0" w:color="auto"/>
              <w:bottom w:val="single" w:sz="4" w:space="0" w:color="auto"/>
              <w:right w:val="single" w:sz="4" w:space="0" w:color="auto"/>
            </w:tcBorders>
            <w:hideMark/>
          </w:tcPr>
          <w:p w14:paraId="7F59E7CB" w14:textId="77777777" w:rsidR="00E51CDD" w:rsidRDefault="00E51CDD" w:rsidP="009938D9">
            <w:pPr>
              <w:widowControl w:val="0"/>
              <w:rPr>
                <w:noProof/>
                <w:sz w:val="20"/>
                <w:szCs w:val="20"/>
                <w:lang w:val="en-GB"/>
              </w:rPr>
            </w:pPr>
            <w:r>
              <w:rPr>
                <w:noProof/>
                <w:sz w:val="20"/>
                <w:szCs w:val="20"/>
                <w:lang w:val="en-GB"/>
              </w:rPr>
              <w:t>LD</w:t>
            </w:r>
            <w:r>
              <w:rPr>
                <w:noProof/>
                <w:sz w:val="20"/>
                <w:szCs w:val="20"/>
                <w:vertAlign w:val="subscript"/>
                <w:lang w:val="en-GB"/>
              </w:rPr>
              <w:t>50</w:t>
            </w:r>
            <w:r>
              <w:rPr>
                <w:noProof/>
                <w:sz w:val="20"/>
                <w:szCs w:val="20"/>
                <w:lang w:val="en-GB"/>
              </w:rPr>
              <w:t xml:space="preserve"> &gt; 2000 mg a.s./kg b.w.</w:t>
            </w:r>
          </w:p>
        </w:tc>
        <w:tc>
          <w:tcPr>
            <w:tcW w:w="1000" w:type="pct"/>
            <w:tcBorders>
              <w:top w:val="single" w:sz="4" w:space="0" w:color="auto"/>
              <w:left w:val="single" w:sz="4" w:space="0" w:color="auto"/>
              <w:bottom w:val="single" w:sz="4" w:space="0" w:color="auto"/>
              <w:right w:val="single" w:sz="4" w:space="0" w:color="auto"/>
            </w:tcBorders>
            <w:hideMark/>
          </w:tcPr>
          <w:p w14:paraId="371E5C58" w14:textId="77777777" w:rsidR="00E51CDD" w:rsidRDefault="00E51CDD" w:rsidP="009938D9">
            <w:pPr>
              <w:widowControl w:val="0"/>
              <w:rPr>
                <w:sz w:val="20"/>
                <w:szCs w:val="20"/>
                <w:lang w:val="de-DE"/>
              </w:rPr>
            </w:pPr>
            <w:r>
              <w:rPr>
                <w:sz w:val="20"/>
                <w:szCs w:val="20"/>
                <w:lang w:val="de-DE"/>
              </w:rPr>
              <w:t>EFSA Journal 2012;10(1):2522</w:t>
            </w:r>
          </w:p>
          <w:p w14:paraId="22C970B7" w14:textId="77777777" w:rsidR="00E51CDD" w:rsidRDefault="00E51CDD" w:rsidP="009938D9">
            <w:pPr>
              <w:widowControl w:val="0"/>
              <w:rPr>
                <w:noProof/>
                <w:sz w:val="20"/>
                <w:szCs w:val="20"/>
                <w:lang w:val="en-GB"/>
              </w:rPr>
            </w:pPr>
            <w:r>
              <w:rPr>
                <w:noProof/>
                <w:sz w:val="20"/>
                <w:szCs w:val="20"/>
                <w:lang w:val="en-GB"/>
              </w:rPr>
              <w:t>[2007/1054365]</w:t>
            </w:r>
          </w:p>
        </w:tc>
      </w:tr>
      <w:tr w:rsidR="00E51CDD" w14:paraId="5771593A" w14:textId="77777777" w:rsidTr="009938D9">
        <w:trPr>
          <w:cantSplit/>
        </w:trPr>
        <w:tc>
          <w:tcPr>
            <w:tcW w:w="1000" w:type="pct"/>
            <w:tcBorders>
              <w:top w:val="single" w:sz="4" w:space="0" w:color="auto"/>
              <w:left w:val="single" w:sz="4" w:space="0" w:color="auto"/>
              <w:bottom w:val="single" w:sz="4" w:space="0" w:color="auto"/>
              <w:right w:val="single" w:sz="4" w:space="0" w:color="auto"/>
            </w:tcBorders>
            <w:hideMark/>
          </w:tcPr>
          <w:p w14:paraId="07B8BED7" w14:textId="77777777" w:rsidR="00E51CDD" w:rsidRDefault="00E51CDD" w:rsidP="009938D9">
            <w:pPr>
              <w:widowControl w:val="0"/>
              <w:rPr>
                <w:noProof/>
                <w:sz w:val="20"/>
                <w:szCs w:val="20"/>
                <w:lang w:val="en-GB"/>
              </w:rPr>
            </w:pPr>
            <w:r>
              <w:rPr>
                <w:i/>
                <w:noProof/>
                <w:sz w:val="20"/>
                <w:szCs w:val="20"/>
                <w:lang w:val="en-GB"/>
              </w:rPr>
              <w:t>Anas platyrhynchos</w:t>
            </w:r>
          </w:p>
        </w:tc>
        <w:tc>
          <w:tcPr>
            <w:tcW w:w="999" w:type="pct"/>
            <w:tcBorders>
              <w:top w:val="single" w:sz="4" w:space="0" w:color="auto"/>
              <w:left w:val="single" w:sz="4" w:space="0" w:color="auto"/>
              <w:bottom w:val="single" w:sz="4" w:space="0" w:color="auto"/>
              <w:right w:val="single" w:sz="4" w:space="0" w:color="auto"/>
            </w:tcBorders>
            <w:hideMark/>
          </w:tcPr>
          <w:p w14:paraId="557DF2DB" w14:textId="77777777" w:rsidR="00E51CDD" w:rsidRDefault="00E51CDD" w:rsidP="009938D9">
            <w:pPr>
              <w:widowControl w:val="0"/>
              <w:rPr>
                <w:noProof/>
                <w:sz w:val="20"/>
                <w:szCs w:val="20"/>
                <w:lang w:val="en-GB"/>
              </w:rPr>
            </w:pPr>
            <w:r>
              <w:rPr>
                <w:noProof/>
                <w:sz w:val="20"/>
                <w:lang w:val="en-GB"/>
              </w:rPr>
              <w:t>Fluxapyroxad</w:t>
            </w:r>
          </w:p>
        </w:tc>
        <w:tc>
          <w:tcPr>
            <w:tcW w:w="834" w:type="pct"/>
            <w:tcBorders>
              <w:top w:val="single" w:sz="4" w:space="0" w:color="auto"/>
              <w:left w:val="single" w:sz="4" w:space="0" w:color="auto"/>
              <w:bottom w:val="single" w:sz="4" w:space="0" w:color="auto"/>
              <w:right w:val="single" w:sz="4" w:space="0" w:color="auto"/>
            </w:tcBorders>
            <w:hideMark/>
          </w:tcPr>
          <w:p w14:paraId="5BDA909A" w14:textId="77777777" w:rsidR="00E51CDD" w:rsidRDefault="00E51CDD" w:rsidP="009938D9">
            <w:pPr>
              <w:widowControl w:val="0"/>
              <w:rPr>
                <w:noProof/>
                <w:sz w:val="20"/>
                <w:szCs w:val="20"/>
                <w:lang w:val="en-GB"/>
              </w:rPr>
            </w:pPr>
            <w:r>
              <w:rPr>
                <w:noProof/>
                <w:sz w:val="20"/>
                <w:szCs w:val="20"/>
                <w:lang w:val="en-GB"/>
              </w:rPr>
              <w:t>Oral, 1 d</w:t>
            </w:r>
            <w:r>
              <w:rPr>
                <w:noProof/>
                <w:sz w:val="20"/>
                <w:szCs w:val="20"/>
                <w:lang w:val="en-GB"/>
              </w:rPr>
              <w:br/>
              <w:t>Acute</w:t>
            </w:r>
          </w:p>
        </w:tc>
        <w:tc>
          <w:tcPr>
            <w:tcW w:w="1167" w:type="pct"/>
            <w:tcBorders>
              <w:top w:val="single" w:sz="4" w:space="0" w:color="auto"/>
              <w:left w:val="single" w:sz="4" w:space="0" w:color="auto"/>
              <w:bottom w:val="single" w:sz="4" w:space="0" w:color="auto"/>
              <w:right w:val="single" w:sz="4" w:space="0" w:color="auto"/>
            </w:tcBorders>
            <w:hideMark/>
          </w:tcPr>
          <w:p w14:paraId="6AEA4400" w14:textId="77777777" w:rsidR="00E51CDD" w:rsidRDefault="00E51CDD" w:rsidP="009938D9">
            <w:pPr>
              <w:widowControl w:val="0"/>
              <w:rPr>
                <w:noProof/>
                <w:sz w:val="20"/>
                <w:szCs w:val="20"/>
                <w:lang w:val="en-GB"/>
              </w:rPr>
            </w:pPr>
            <w:r>
              <w:rPr>
                <w:bCs/>
                <w:noProof/>
                <w:sz w:val="20"/>
                <w:szCs w:val="20"/>
                <w:lang w:val="en-GB"/>
              </w:rPr>
              <w:t>LD</w:t>
            </w:r>
            <w:r>
              <w:rPr>
                <w:bCs/>
                <w:noProof/>
                <w:sz w:val="20"/>
                <w:szCs w:val="20"/>
                <w:vertAlign w:val="subscript"/>
                <w:lang w:val="en-GB"/>
              </w:rPr>
              <w:t>50</w:t>
            </w:r>
            <w:r>
              <w:rPr>
                <w:bCs/>
                <w:noProof/>
                <w:sz w:val="20"/>
                <w:szCs w:val="20"/>
                <w:lang w:val="en-GB"/>
              </w:rPr>
              <w:t xml:space="preserve"> &gt; 2000 mg a.s./kg b.w.</w:t>
            </w:r>
          </w:p>
        </w:tc>
        <w:tc>
          <w:tcPr>
            <w:tcW w:w="1000" w:type="pct"/>
            <w:tcBorders>
              <w:top w:val="single" w:sz="4" w:space="0" w:color="auto"/>
              <w:left w:val="single" w:sz="4" w:space="0" w:color="auto"/>
              <w:bottom w:val="single" w:sz="4" w:space="0" w:color="auto"/>
              <w:right w:val="single" w:sz="4" w:space="0" w:color="auto"/>
            </w:tcBorders>
            <w:hideMark/>
          </w:tcPr>
          <w:p w14:paraId="383FAEF5" w14:textId="77777777" w:rsidR="00E51CDD" w:rsidRDefault="00E51CDD" w:rsidP="009938D9">
            <w:pPr>
              <w:widowControl w:val="0"/>
              <w:rPr>
                <w:sz w:val="20"/>
                <w:szCs w:val="20"/>
                <w:lang w:val="de-DE"/>
              </w:rPr>
            </w:pPr>
            <w:r>
              <w:rPr>
                <w:sz w:val="20"/>
                <w:szCs w:val="20"/>
                <w:lang w:val="de-DE"/>
              </w:rPr>
              <w:t>EFSA Journal 2012;10(1):2522</w:t>
            </w:r>
          </w:p>
          <w:p w14:paraId="7E27C9B0" w14:textId="77777777" w:rsidR="00E51CDD" w:rsidRDefault="00E51CDD" w:rsidP="009938D9">
            <w:pPr>
              <w:widowControl w:val="0"/>
              <w:rPr>
                <w:noProof/>
                <w:sz w:val="20"/>
                <w:szCs w:val="20"/>
                <w:lang w:val="en-GB"/>
              </w:rPr>
            </w:pPr>
            <w:r>
              <w:rPr>
                <w:noProof/>
                <w:sz w:val="20"/>
                <w:szCs w:val="20"/>
                <w:lang w:val="en-GB"/>
              </w:rPr>
              <w:t>[2008/1003797]</w:t>
            </w:r>
          </w:p>
        </w:tc>
      </w:tr>
      <w:tr w:rsidR="00E51CDD" w14:paraId="3BB72E97" w14:textId="77777777" w:rsidTr="009938D9">
        <w:trPr>
          <w:cantSplit/>
          <w:trHeight w:val="482"/>
        </w:trPr>
        <w:tc>
          <w:tcPr>
            <w:tcW w:w="1000" w:type="pct"/>
            <w:tcBorders>
              <w:top w:val="single" w:sz="4" w:space="0" w:color="auto"/>
              <w:left w:val="single" w:sz="4" w:space="0" w:color="auto"/>
              <w:bottom w:val="single" w:sz="4" w:space="0" w:color="auto"/>
              <w:right w:val="single" w:sz="4" w:space="0" w:color="auto"/>
            </w:tcBorders>
            <w:hideMark/>
          </w:tcPr>
          <w:p w14:paraId="3278DC50" w14:textId="77777777" w:rsidR="00E51CDD" w:rsidRDefault="00E51CDD" w:rsidP="009938D9">
            <w:pPr>
              <w:widowControl w:val="0"/>
              <w:rPr>
                <w:noProof/>
                <w:sz w:val="20"/>
                <w:szCs w:val="20"/>
                <w:lang w:val="en-GB"/>
              </w:rPr>
            </w:pPr>
            <w:r>
              <w:rPr>
                <w:i/>
                <w:noProof/>
                <w:sz w:val="20"/>
                <w:szCs w:val="20"/>
                <w:lang w:val="en-GB"/>
              </w:rPr>
              <w:t>Taeniopygia guttata</w:t>
            </w:r>
          </w:p>
        </w:tc>
        <w:tc>
          <w:tcPr>
            <w:tcW w:w="999" w:type="pct"/>
            <w:tcBorders>
              <w:top w:val="single" w:sz="4" w:space="0" w:color="auto"/>
              <w:left w:val="single" w:sz="4" w:space="0" w:color="auto"/>
              <w:bottom w:val="single" w:sz="4" w:space="0" w:color="auto"/>
              <w:right w:val="single" w:sz="4" w:space="0" w:color="auto"/>
            </w:tcBorders>
            <w:hideMark/>
          </w:tcPr>
          <w:p w14:paraId="61A8C586" w14:textId="77777777" w:rsidR="00E51CDD" w:rsidRDefault="00E51CDD" w:rsidP="009938D9">
            <w:pPr>
              <w:widowControl w:val="0"/>
              <w:rPr>
                <w:noProof/>
                <w:sz w:val="20"/>
                <w:szCs w:val="20"/>
                <w:lang w:val="en-GB"/>
              </w:rPr>
            </w:pPr>
            <w:r>
              <w:rPr>
                <w:noProof/>
                <w:sz w:val="20"/>
                <w:lang w:val="en-GB"/>
              </w:rPr>
              <w:t>Fluxapyroxad</w:t>
            </w:r>
          </w:p>
        </w:tc>
        <w:tc>
          <w:tcPr>
            <w:tcW w:w="834" w:type="pct"/>
            <w:tcBorders>
              <w:top w:val="single" w:sz="4" w:space="0" w:color="auto"/>
              <w:left w:val="single" w:sz="4" w:space="0" w:color="auto"/>
              <w:bottom w:val="single" w:sz="4" w:space="0" w:color="auto"/>
              <w:right w:val="single" w:sz="4" w:space="0" w:color="auto"/>
            </w:tcBorders>
            <w:hideMark/>
          </w:tcPr>
          <w:p w14:paraId="22AE8511" w14:textId="77777777" w:rsidR="00E51CDD" w:rsidRDefault="00E51CDD" w:rsidP="009938D9">
            <w:pPr>
              <w:widowControl w:val="0"/>
              <w:rPr>
                <w:noProof/>
                <w:sz w:val="20"/>
                <w:szCs w:val="20"/>
                <w:lang w:val="en-GB"/>
              </w:rPr>
            </w:pPr>
            <w:r>
              <w:rPr>
                <w:noProof/>
                <w:sz w:val="20"/>
                <w:szCs w:val="20"/>
                <w:lang w:val="en-GB"/>
              </w:rPr>
              <w:t>Oral, 1 d</w:t>
            </w:r>
            <w:r>
              <w:rPr>
                <w:noProof/>
                <w:sz w:val="20"/>
                <w:szCs w:val="20"/>
                <w:lang w:val="en-GB"/>
              </w:rPr>
              <w:br/>
              <w:t>Acute</w:t>
            </w:r>
          </w:p>
        </w:tc>
        <w:tc>
          <w:tcPr>
            <w:tcW w:w="1167" w:type="pct"/>
            <w:tcBorders>
              <w:top w:val="single" w:sz="4" w:space="0" w:color="auto"/>
              <w:left w:val="single" w:sz="4" w:space="0" w:color="auto"/>
              <w:bottom w:val="single" w:sz="4" w:space="0" w:color="auto"/>
              <w:right w:val="single" w:sz="4" w:space="0" w:color="auto"/>
            </w:tcBorders>
            <w:hideMark/>
          </w:tcPr>
          <w:p w14:paraId="1C33996C" w14:textId="77777777" w:rsidR="00E51CDD" w:rsidRDefault="00E51CDD" w:rsidP="009938D9">
            <w:pPr>
              <w:widowControl w:val="0"/>
              <w:rPr>
                <w:noProof/>
                <w:sz w:val="20"/>
                <w:szCs w:val="20"/>
                <w:lang w:val="en-GB"/>
              </w:rPr>
            </w:pPr>
            <w:r>
              <w:rPr>
                <w:bCs/>
                <w:noProof/>
                <w:sz w:val="20"/>
                <w:szCs w:val="20"/>
                <w:lang w:val="en-GB"/>
              </w:rPr>
              <w:t>LD</w:t>
            </w:r>
            <w:r>
              <w:rPr>
                <w:bCs/>
                <w:noProof/>
                <w:sz w:val="20"/>
                <w:szCs w:val="20"/>
                <w:vertAlign w:val="subscript"/>
                <w:lang w:val="en-GB"/>
              </w:rPr>
              <w:t>50</w:t>
            </w:r>
            <w:r>
              <w:rPr>
                <w:bCs/>
                <w:noProof/>
                <w:sz w:val="20"/>
                <w:szCs w:val="20"/>
                <w:lang w:val="en-GB"/>
              </w:rPr>
              <w:t xml:space="preserve"> &gt; 2000 mg a.s./kg b.w.</w:t>
            </w:r>
          </w:p>
        </w:tc>
        <w:tc>
          <w:tcPr>
            <w:tcW w:w="1000" w:type="pct"/>
            <w:tcBorders>
              <w:top w:val="single" w:sz="4" w:space="0" w:color="auto"/>
              <w:left w:val="single" w:sz="4" w:space="0" w:color="auto"/>
              <w:bottom w:val="single" w:sz="4" w:space="0" w:color="auto"/>
              <w:right w:val="single" w:sz="4" w:space="0" w:color="auto"/>
            </w:tcBorders>
            <w:hideMark/>
          </w:tcPr>
          <w:p w14:paraId="02917936" w14:textId="77777777" w:rsidR="00E51CDD" w:rsidRDefault="00E51CDD" w:rsidP="009938D9">
            <w:pPr>
              <w:widowControl w:val="0"/>
              <w:rPr>
                <w:noProof/>
                <w:sz w:val="20"/>
                <w:szCs w:val="20"/>
                <w:lang w:val="en-GB"/>
              </w:rPr>
            </w:pPr>
            <w:r>
              <w:rPr>
                <w:noProof/>
                <w:sz w:val="20"/>
                <w:szCs w:val="20"/>
                <w:lang w:val="en-GB"/>
              </w:rPr>
              <w:t>New study</w:t>
            </w:r>
          </w:p>
          <w:p w14:paraId="21E3D034" w14:textId="77777777" w:rsidR="00E51CDD" w:rsidRDefault="00E51CDD" w:rsidP="009938D9">
            <w:pPr>
              <w:widowControl w:val="0"/>
              <w:rPr>
                <w:noProof/>
                <w:sz w:val="20"/>
                <w:szCs w:val="20"/>
                <w:lang w:val="en-GB"/>
              </w:rPr>
            </w:pPr>
            <w:r>
              <w:rPr>
                <w:noProof/>
                <w:sz w:val="20"/>
                <w:szCs w:val="20"/>
                <w:lang w:val="en-GB"/>
              </w:rPr>
              <w:t>[2009/1050338]</w:t>
            </w:r>
          </w:p>
        </w:tc>
      </w:tr>
      <w:tr w:rsidR="00E51CDD" w14:paraId="35DBF035" w14:textId="77777777" w:rsidTr="009938D9">
        <w:trPr>
          <w:cantSplit/>
        </w:trPr>
        <w:tc>
          <w:tcPr>
            <w:tcW w:w="1000" w:type="pct"/>
            <w:tcBorders>
              <w:top w:val="single" w:sz="4" w:space="0" w:color="auto"/>
              <w:left w:val="single" w:sz="4" w:space="0" w:color="auto"/>
              <w:bottom w:val="single" w:sz="4" w:space="0" w:color="auto"/>
              <w:right w:val="single" w:sz="4" w:space="0" w:color="auto"/>
            </w:tcBorders>
            <w:hideMark/>
          </w:tcPr>
          <w:p w14:paraId="7D831D36" w14:textId="77777777" w:rsidR="00E51CDD" w:rsidRDefault="00E51CDD" w:rsidP="009938D9">
            <w:pPr>
              <w:widowControl w:val="0"/>
              <w:rPr>
                <w:noProof/>
                <w:sz w:val="20"/>
                <w:szCs w:val="20"/>
                <w:lang w:val="en-GB"/>
              </w:rPr>
            </w:pPr>
            <w:r>
              <w:rPr>
                <w:i/>
                <w:noProof/>
                <w:sz w:val="20"/>
                <w:szCs w:val="20"/>
                <w:lang w:val="en-GB"/>
              </w:rPr>
              <w:t>Colinus virginianus</w:t>
            </w:r>
          </w:p>
        </w:tc>
        <w:tc>
          <w:tcPr>
            <w:tcW w:w="999" w:type="pct"/>
            <w:tcBorders>
              <w:top w:val="single" w:sz="4" w:space="0" w:color="auto"/>
              <w:left w:val="single" w:sz="4" w:space="0" w:color="auto"/>
              <w:bottom w:val="single" w:sz="4" w:space="0" w:color="auto"/>
              <w:right w:val="single" w:sz="4" w:space="0" w:color="auto"/>
            </w:tcBorders>
            <w:hideMark/>
          </w:tcPr>
          <w:p w14:paraId="2A048FF6" w14:textId="77777777" w:rsidR="00E51CDD" w:rsidRDefault="00E51CDD" w:rsidP="009938D9">
            <w:pPr>
              <w:widowControl w:val="0"/>
              <w:rPr>
                <w:noProof/>
                <w:sz w:val="20"/>
                <w:szCs w:val="20"/>
                <w:lang w:val="en-GB"/>
              </w:rPr>
            </w:pPr>
            <w:r>
              <w:rPr>
                <w:noProof/>
                <w:sz w:val="20"/>
                <w:lang w:val="en-GB"/>
              </w:rPr>
              <w:t>Fluxapyroxad</w:t>
            </w:r>
          </w:p>
        </w:tc>
        <w:tc>
          <w:tcPr>
            <w:tcW w:w="834" w:type="pct"/>
            <w:tcBorders>
              <w:top w:val="single" w:sz="4" w:space="0" w:color="auto"/>
              <w:left w:val="single" w:sz="4" w:space="0" w:color="auto"/>
              <w:bottom w:val="single" w:sz="4" w:space="0" w:color="auto"/>
              <w:right w:val="single" w:sz="4" w:space="0" w:color="auto"/>
            </w:tcBorders>
            <w:hideMark/>
          </w:tcPr>
          <w:p w14:paraId="0C13A736" w14:textId="77777777" w:rsidR="00E51CDD" w:rsidRDefault="00E51CDD" w:rsidP="009938D9">
            <w:pPr>
              <w:widowControl w:val="0"/>
              <w:rPr>
                <w:noProof/>
                <w:sz w:val="20"/>
                <w:szCs w:val="20"/>
                <w:lang w:val="en-GB"/>
              </w:rPr>
            </w:pPr>
            <w:r>
              <w:rPr>
                <w:noProof/>
                <w:sz w:val="20"/>
                <w:szCs w:val="20"/>
                <w:lang w:val="en-GB"/>
              </w:rPr>
              <w:t>Dietary</w:t>
            </w:r>
            <w:r>
              <w:rPr>
                <w:noProof/>
                <w:sz w:val="20"/>
                <w:szCs w:val="20"/>
                <w:lang w:val="en-GB"/>
              </w:rPr>
              <w:br/>
              <w:t>Reproductive toxicity</w:t>
            </w:r>
          </w:p>
        </w:tc>
        <w:tc>
          <w:tcPr>
            <w:tcW w:w="1167" w:type="pct"/>
            <w:tcBorders>
              <w:top w:val="single" w:sz="4" w:space="0" w:color="auto"/>
              <w:left w:val="single" w:sz="4" w:space="0" w:color="auto"/>
              <w:bottom w:val="single" w:sz="4" w:space="0" w:color="auto"/>
              <w:right w:val="single" w:sz="4" w:space="0" w:color="auto"/>
            </w:tcBorders>
            <w:hideMark/>
          </w:tcPr>
          <w:p w14:paraId="69028A19" w14:textId="77777777" w:rsidR="00E51CDD" w:rsidRDefault="00E51CDD" w:rsidP="009938D9">
            <w:pPr>
              <w:widowControl w:val="0"/>
              <w:rPr>
                <w:noProof/>
                <w:sz w:val="20"/>
                <w:szCs w:val="20"/>
                <w:highlight w:val="yellow"/>
                <w:lang w:val="en-GB"/>
              </w:rPr>
            </w:pPr>
            <w:r>
              <w:rPr>
                <w:noProof/>
                <w:sz w:val="20"/>
                <w:szCs w:val="20"/>
                <w:lang w:val="en-GB"/>
              </w:rPr>
              <w:t xml:space="preserve">NOEL ≥ 74.6 mg a.s./kg b.w./d </w:t>
            </w:r>
            <w:r>
              <w:rPr>
                <w:noProof/>
                <w:sz w:val="20"/>
                <w:szCs w:val="20"/>
                <w:vertAlign w:val="superscript"/>
                <w:lang w:val="en-GB" w:eastAsia="zh-TW"/>
              </w:rPr>
              <w:t>1</w:t>
            </w:r>
            <w:r>
              <w:rPr>
                <w:noProof/>
                <w:sz w:val="20"/>
                <w:szCs w:val="20"/>
                <w:vertAlign w:val="superscript"/>
                <w:lang w:val="en-GB"/>
              </w:rPr>
              <w:t xml:space="preserve">) 2) </w:t>
            </w:r>
          </w:p>
        </w:tc>
        <w:tc>
          <w:tcPr>
            <w:tcW w:w="1000" w:type="pct"/>
            <w:tcBorders>
              <w:top w:val="single" w:sz="4" w:space="0" w:color="auto"/>
              <w:left w:val="single" w:sz="4" w:space="0" w:color="auto"/>
              <w:bottom w:val="single" w:sz="4" w:space="0" w:color="auto"/>
              <w:right w:val="single" w:sz="4" w:space="0" w:color="auto"/>
            </w:tcBorders>
            <w:hideMark/>
          </w:tcPr>
          <w:p w14:paraId="2178C5DD" w14:textId="77777777" w:rsidR="00E51CDD" w:rsidRPr="009C6EAB" w:rsidRDefault="00E51CDD" w:rsidP="009938D9">
            <w:pPr>
              <w:widowControl w:val="0"/>
              <w:rPr>
                <w:noProof/>
                <w:sz w:val="20"/>
                <w:szCs w:val="20"/>
              </w:rPr>
            </w:pPr>
            <w:r w:rsidRPr="009C6EAB">
              <w:rPr>
                <w:noProof/>
                <w:sz w:val="20"/>
                <w:szCs w:val="20"/>
              </w:rPr>
              <w:t>EFSA Journal 2012;10(1):2522</w:t>
            </w:r>
          </w:p>
          <w:p w14:paraId="314B6E87" w14:textId="77777777" w:rsidR="00E51CDD" w:rsidRDefault="00E51CDD" w:rsidP="009938D9">
            <w:pPr>
              <w:widowControl w:val="0"/>
              <w:rPr>
                <w:noProof/>
                <w:sz w:val="20"/>
                <w:szCs w:val="20"/>
                <w:lang w:val="en-GB"/>
              </w:rPr>
            </w:pPr>
            <w:r>
              <w:rPr>
                <w:noProof/>
                <w:sz w:val="20"/>
                <w:szCs w:val="20"/>
                <w:lang w:val="en-GB"/>
              </w:rPr>
              <w:t>[2008/1023021 and 2009/1079886 (amendment no.1), 2009/1099679 (amendment no.2)]</w:t>
            </w:r>
          </w:p>
        </w:tc>
      </w:tr>
      <w:tr w:rsidR="00E51CDD" w14:paraId="6D8C5765" w14:textId="77777777" w:rsidTr="009938D9">
        <w:trPr>
          <w:cantSplit/>
          <w:trHeight w:val="1191"/>
        </w:trPr>
        <w:tc>
          <w:tcPr>
            <w:tcW w:w="1000" w:type="pct"/>
            <w:tcBorders>
              <w:top w:val="single" w:sz="4" w:space="0" w:color="auto"/>
              <w:left w:val="single" w:sz="4" w:space="0" w:color="auto"/>
              <w:bottom w:val="single" w:sz="4" w:space="0" w:color="auto"/>
              <w:right w:val="single" w:sz="4" w:space="0" w:color="auto"/>
            </w:tcBorders>
            <w:hideMark/>
          </w:tcPr>
          <w:p w14:paraId="519AFFD0" w14:textId="77777777" w:rsidR="00E51CDD" w:rsidRDefault="00E51CDD" w:rsidP="009938D9">
            <w:pPr>
              <w:widowControl w:val="0"/>
              <w:rPr>
                <w:i/>
                <w:noProof/>
                <w:sz w:val="20"/>
                <w:szCs w:val="20"/>
                <w:lang w:val="en-GB"/>
              </w:rPr>
            </w:pPr>
            <w:r>
              <w:rPr>
                <w:i/>
                <w:noProof/>
                <w:sz w:val="20"/>
                <w:szCs w:val="20"/>
                <w:lang w:val="en-GB"/>
              </w:rPr>
              <w:t>Anas platyrhynchos</w:t>
            </w:r>
          </w:p>
        </w:tc>
        <w:tc>
          <w:tcPr>
            <w:tcW w:w="999" w:type="pct"/>
            <w:tcBorders>
              <w:top w:val="single" w:sz="4" w:space="0" w:color="auto"/>
              <w:left w:val="single" w:sz="4" w:space="0" w:color="auto"/>
              <w:bottom w:val="single" w:sz="4" w:space="0" w:color="auto"/>
              <w:right w:val="single" w:sz="4" w:space="0" w:color="auto"/>
            </w:tcBorders>
            <w:hideMark/>
          </w:tcPr>
          <w:p w14:paraId="4254B13E" w14:textId="77777777" w:rsidR="00E51CDD" w:rsidRDefault="00E51CDD" w:rsidP="009938D9">
            <w:pPr>
              <w:widowControl w:val="0"/>
              <w:rPr>
                <w:noProof/>
                <w:sz w:val="20"/>
                <w:szCs w:val="20"/>
                <w:lang w:val="en-GB"/>
              </w:rPr>
            </w:pPr>
            <w:r>
              <w:rPr>
                <w:noProof/>
                <w:sz w:val="20"/>
                <w:lang w:val="en-GB"/>
              </w:rPr>
              <w:t>Fluxapyroxad</w:t>
            </w:r>
          </w:p>
        </w:tc>
        <w:tc>
          <w:tcPr>
            <w:tcW w:w="834" w:type="pct"/>
            <w:tcBorders>
              <w:top w:val="single" w:sz="4" w:space="0" w:color="auto"/>
              <w:left w:val="single" w:sz="4" w:space="0" w:color="auto"/>
              <w:bottom w:val="single" w:sz="4" w:space="0" w:color="auto"/>
              <w:right w:val="single" w:sz="4" w:space="0" w:color="auto"/>
            </w:tcBorders>
            <w:hideMark/>
          </w:tcPr>
          <w:p w14:paraId="462079D4" w14:textId="77777777" w:rsidR="00E51CDD" w:rsidRDefault="00E51CDD" w:rsidP="009938D9">
            <w:pPr>
              <w:widowControl w:val="0"/>
              <w:rPr>
                <w:noProof/>
                <w:sz w:val="20"/>
                <w:szCs w:val="20"/>
                <w:lang w:val="en-GB"/>
              </w:rPr>
            </w:pPr>
            <w:r>
              <w:rPr>
                <w:noProof/>
                <w:sz w:val="20"/>
                <w:szCs w:val="20"/>
                <w:lang w:val="en-GB"/>
              </w:rPr>
              <w:t>Dietary</w:t>
            </w:r>
            <w:r>
              <w:rPr>
                <w:noProof/>
                <w:sz w:val="20"/>
                <w:szCs w:val="20"/>
                <w:lang w:val="en-GB"/>
              </w:rPr>
              <w:br/>
              <w:t>Reproductive toxicity</w:t>
            </w:r>
          </w:p>
        </w:tc>
        <w:tc>
          <w:tcPr>
            <w:tcW w:w="1167" w:type="pct"/>
            <w:tcBorders>
              <w:top w:val="single" w:sz="4" w:space="0" w:color="auto"/>
              <w:left w:val="single" w:sz="4" w:space="0" w:color="auto"/>
              <w:bottom w:val="single" w:sz="4" w:space="0" w:color="auto"/>
              <w:right w:val="single" w:sz="4" w:space="0" w:color="auto"/>
            </w:tcBorders>
            <w:hideMark/>
          </w:tcPr>
          <w:p w14:paraId="66EE9FD7" w14:textId="77777777" w:rsidR="00E51CDD" w:rsidRDefault="00E51CDD" w:rsidP="009938D9">
            <w:pPr>
              <w:widowControl w:val="0"/>
              <w:rPr>
                <w:noProof/>
                <w:sz w:val="20"/>
                <w:szCs w:val="20"/>
                <w:lang w:val="nl-NL"/>
              </w:rPr>
            </w:pPr>
            <w:r>
              <w:rPr>
                <w:bCs/>
                <w:noProof/>
                <w:sz w:val="20"/>
                <w:szCs w:val="20"/>
                <w:lang w:val="nl-NL"/>
              </w:rPr>
              <w:t xml:space="preserve">NOEL = 33.6 mg a.s./kg b.w./d </w:t>
            </w:r>
            <w:r>
              <w:rPr>
                <w:bCs/>
                <w:noProof/>
                <w:sz w:val="20"/>
                <w:szCs w:val="20"/>
                <w:vertAlign w:val="superscript"/>
                <w:lang w:val="nl-NL" w:eastAsia="zh-TW"/>
              </w:rPr>
              <w:t>1) 2)</w:t>
            </w:r>
          </w:p>
        </w:tc>
        <w:tc>
          <w:tcPr>
            <w:tcW w:w="1000" w:type="pct"/>
            <w:tcBorders>
              <w:top w:val="single" w:sz="4" w:space="0" w:color="auto"/>
              <w:left w:val="single" w:sz="4" w:space="0" w:color="auto"/>
              <w:bottom w:val="single" w:sz="4" w:space="0" w:color="auto"/>
              <w:right w:val="single" w:sz="4" w:space="0" w:color="auto"/>
            </w:tcBorders>
            <w:hideMark/>
          </w:tcPr>
          <w:p w14:paraId="6B76F589" w14:textId="77777777" w:rsidR="00E51CDD" w:rsidRPr="009C6EAB" w:rsidRDefault="00E51CDD" w:rsidP="009938D9">
            <w:pPr>
              <w:widowControl w:val="0"/>
              <w:rPr>
                <w:sz w:val="20"/>
                <w:szCs w:val="20"/>
                <w:lang w:eastAsia="en-US"/>
              </w:rPr>
            </w:pPr>
            <w:r w:rsidRPr="009C6EAB">
              <w:rPr>
                <w:sz w:val="20"/>
                <w:szCs w:val="20"/>
                <w:lang w:eastAsia="en-US"/>
              </w:rPr>
              <w:t>EFSA Journal 2012;10(1):2522</w:t>
            </w:r>
          </w:p>
          <w:p w14:paraId="4DB68154" w14:textId="77777777" w:rsidR="00E51CDD" w:rsidRDefault="00E51CDD" w:rsidP="009938D9">
            <w:pPr>
              <w:widowControl w:val="0"/>
              <w:rPr>
                <w:noProof/>
                <w:sz w:val="20"/>
                <w:szCs w:val="20"/>
                <w:highlight w:val="yellow"/>
                <w:lang w:val="en-GB"/>
              </w:rPr>
            </w:pPr>
            <w:r>
              <w:rPr>
                <w:noProof/>
                <w:sz w:val="20"/>
                <w:szCs w:val="20"/>
                <w:lang w:val="en-GB"/>
              </w:rPr>
              <w:t>[2008/1055153 and 2009/1079887 (amendment no.1)]</w:t>
            </w:r>
          </w:p>
        </w:tc>
      </w:tr>
      <w:tr w:rsidR="00E51CDD" w14:paraId="5ECF7BB6" w14:textId="77777777" w:rsidTr="009938D9">
        <w:trPr>
          <w:cantSplit/>
          <w:trHeight w:val="1644"/>
        </w:trPr>
        <w:tc>
          <w:tcPr>
            <w:tcW w:w="1000" w:type="pct"/>
            <w:tcBorders>
              <w:top w:val="single" w:sz="4" w:space="0" w:color="auto"/>
              <w:left w:val="single" w:sz="4" w:space="0" w:color="auto"/>
              <w:bottom w:val="single" w:sz="4" w:space="0" w:color="auto"/>
              <w:right w:val="single" w:sz="4" w:space="0" w:color="auto"/>
            </w:tcBorders>
            <w:hideMark/>
          </w:tcPr>
          <w:p w14:paraId="3C019C67" w14:textId="77777777" w:rsidR="00E51CDD" w:rsidRDefault="00E51CDD" w:rsidP="009938D9">
            <w:pPr>
              <w:widowControl w:val="0"/>
              <w:rPr>
                <w:b/>
                <w:noProof/>
                <w:sz w:val="20"/>
                <w:szCs w:val="20"/>
                <w:lang w:val="en-GB"/>
              </w:rPr>
            </w:pPr>
            <w:r>
              <w:rPr>
                <w:b/>
                <w:noProof/>
                <w:sz w:val="20"/>
                <w:szCs w:val="20"/>
                <w:lang w:val="en-GB"/>
              </w:rPr>
              <w:t>Endpoint used for acute assessment</w:t>
            </w:r>
          </w:p>
        </w:tc>
        <w:tc>
          <w:tcPr>
            <w:tcW w:w="999" w:type="pct"/>
            <w:tcBorders>
              <w:top w:val="single" w:sz="4" w:space="0" w:color="auto"/>
              <w:left w:val="single" w:sz="4" w:space="0" w:color="auto"/>
              <w:bottom w:val="single" w:sz="4" w:space="0" w:color="auto"/>
              <w:right w:val="single" w:sz="4" w:space="0" w:color="auto"/>
            </w:tcBorders>
            <w:hideMark/>
          </w:tcPr>
          <w:p w14:paraId="24D9E5AD" w14:textId="77777777" w:rsidR="00E51CDD" w:rsidRDefault="00E51CDD" w:rsidP="009938D9">
            <w:pPr>
              <w:widowControl w:val="0"/>
              <w:rPr>
                <w:b/>
                <w:noProof/>
                <w:sz w:val="20"/>
                <w:szCs w:val="20"/>
                <w:lang w:val="en-GB"/>
              </w:rPr>
            </w:pPr>
            <w:r>
              <w:rPr>
                <w:b/>
                <w:noProof/>
                <w:sz w:val="20"/>
                <w:lang w:val="en-GB"/>
              </w:rPr>
              <w:t>Fluxapyroxad</w:t>
            </w:r>
          </w:p>
        </w:tc>
        <w:tc>
          <w:tcPr>
            <w:tcW w:w="834" w:type="pct"/>
            <w:tcBorders>
              <w:top w:val="single" w:sz="4" w:space="0" w:color="auto"/>
              <w:left w:val="single" w:sz="4" w:space="0" w:color="auto"/>
              <w:bottom w:val="single" w:sz="4" w:space="0" w:color="auto"/>
              <w:right w:val="single" w:sz="4" w:space="0" w:color="auto"/>
            </w:tcBorders>
            <w:hideMark/>
          </w:tcPr>
          <w:p w14:paraId="564CD18C" w14:textId="77777777" w:rsidR="00E51CDD" w:rsidRDefault="00E51CDD" w:rsidP="009938D9">
            <w:pPr>
              <w:widowControl w:val="0"/>
              <w:rPr>
                <w:b/>
                <w:noProof/>
                <w:sz w:val="20"/>
                <w:szCs w:val="20"/>
                <w:lang w:val="en-GB"/>
              </w:rPr>
            </w:pPr>
            <w:r>
              <w:rPr>
                <w:b/>
                <w:noProof/>
                <w:sz w:val="20"/>
                <w:szCs w:val="20"/>
                <w:lang w:val="en-GB"/>
              </w:rPr>
              <w:t>Oral, 1 d</w:t>
            </w:r>
          </w:p>
          <w:p w14:paraId="5C0FCE6F" w14:textId="77777777" w:rsidR="00E51CDD" w:rsidRDefault="00E51CDD" w:rsidP="009938D9">
            <w:pPr>
              <w:widowControl w:val="0"/>
              <w:rPr>
                <w:b/>
                <w:noProof/>
                <w:sz w:val="20"/>
                <w:szCs w:val="20"/>
                <w:lang w:val="en-GB"/>
              </w:rPr>
            </w:pPr>
            <w:r>
              <w:rPr>
                <w:b/>
                <w:noProof/>
                <w:sz w:val="20"/>
                <w:szCs w:val="20"/>
                <w:lang w:val="en-GB"/>
              </w:rPr>
              <w:t>Acute</w:t>
            </w:r>
          </w:p>
        </w:tc>
        <w:tc>
          <w:tcPr>
            <w:tcW w:w="1167" w:type="pct"/>
            <w:tcBorders>
              <w:top w:val="single" w:sz="4" w:space="0" w:color="auto"/>
              <w:left w:val="single" w:sz="4" w:space="0" w:color="auto"/>
              <w:bottom w:val="single" w:sz="4" w:space="0" w:color="auto"/>
              <w:right w:val="single" w:sz="4" w:space="0" w:color="auto"/>
            </w:tcBorders>
            <w:hideMark/>
          </w:tcPr>
          <w:p w14:paraId="656F6BB6" w14:textId="77777777" w:rsidR="00E51CDD" w:rsidRDefault="00E51CDD" w:rsidP="009938D9">
            <w:pPr>
              <w:widowControl w:val="0"/>
              <w:rPr>
                <w:b/>
                <w:noProof/>
                <w:sz w:val="20"/>
                <w:szCs w:val="20"/>
                <w:lang w:val="en-GB"/>
              </w:rPr>
            </w:pPr>
            <w:r w:rsidRPr="009C6EAB">
              <w:rPr>
                <w:b/>
                <w:noProof/>
                <w:sz w:val="20"/>
                <w:szCs w:val="20"/>
              </w:rPr>
              <w:t>LD</w:t>
            </w:r>
            <w:r w:rsidRPr="009C6EAB">
              <w:rPr>
                <w:b/>
                <w:noProof/>
                <w:sz w:val="20"/>
                <w:szCs w:val="20"/>
                <w:vertAlign w:val="subscript"/>
              </w:rPr>
              <w:t>50 (extrapolated</w:t>
            </w:r>
            <w:r>
              <w:rPr>
                <w:b/>
                <w:noProof/>
                <w:sz w:val="20"/>
                <w:szCs w:val="20"/>
                <w:vertAlign w:val="subscript"/>
              </w:rPr>
              <w:t>, geometric mean</w:t>
            </w:r>
            <w:r w:rsidRPr="009C6EAB">
              <w:rPr>
                <w:b/>
                <w:noProof/>
                <w:sz w:val="20"/>
                <w:szCs w:val="20"/>
                <w:vertAlign w:val="subscript"/>
              </w:rPr>
              <w:t xml:space="preserve">) </w:t>
            </w:r>
            <w:r w:rsidRPr="009C6EAB">
              <w:rPr>
                <w:b/>
                <w:noProof/>
                <w:sz w:val="20"/>
                <w:szCs w:val="20"/>
              </w:rPr>
              <w:t>= 3776 mg/kg b.w. </w:t>
            </w:r>
            <w:r>
              <w:rPr>
                <w:b/>
                <w:bCs/>
                <w:noProof/>
                <w:sz w:val="20"/>
                <w:szCs w:val="20"/>
                <w:vertAlign w:val="superscript"/>
                <w:lang w:val="en-GB" w:eastAsia="zh-TW"/>
              </w:rPr>
              <w:t>3)</w:t>
            </w:r>
          </w:p>
        </w:tc>
        <w:tc>
          <w:tcPr>
            <w:tcW w:w="1000" w:type="pct"/>
            <w:tcBorders>
              <w:top w:val="single" w:sz="4" w:space="0" w:color="auto"/>
              <w:left w:val="single" w:sz="4" w:space="0" w:color="auto"/>
              <w:bottom w:val="single" w:sz="4" w:space="0" w:color="auto"/>
              <w:right w:val="single" w:sz="4" w:space="0" w:color="auto"/>
            </w:tcBorders>
            <w:hideMark/>
          </w:tcPr>
          <w:p w14:paraId="7E841AD3" w14:textId="77777777" w:rsidR="00E51CDD" w:rsidRDefault="00E51CDD" w:rsidP="009938D9">
            <w:pPr>
              <w:widowControl w:val="0"/>
              <w:rPr>
                <w:b/>
                <w:noProof/>
                <w:sz w:val="20"/>
                <w:szCs w:val="20"/>
                <w:lang w:val="en-GB"/>
              </w:rPr>
            </w:pPr>
            <w:r>
              <w:rPr>
                <w:b/>
                <w:noProof/>
                <w:sz w:val="20"/>
                <w:szCs w:val="20"/>
                <w:lang w:val="en-GB"/>
              </w:rPr>
              <w:t>Extrapolation and geometric mean of quail, mallard and zebra finch LD</w:t>
            </w:r>
            <w:r>
              <w:rPr>
                <w:b/>
                <w:noProof/>
                <w:sz w:val="20"/>
                <w:szCs w:val="20"/>
                <w:vertAlign w:val="subscript"/>
                <w:lang w:val="en-GB"/>
              </w:rPr>
              <w:t xml:space="preserve">50 </w:t>
            </w:r>
          </w:p>
          <w:p w14:paraId="2D061E91" w14:textId="77777777" w:rsidR="00E51CDD" w:rsidRDefault="00E51CDD" w:rsidP="009938D9">
            <w:pPr>
              <w:widowControl w:val="0"/>
              <w:rPr>
                <w:b/>
                <w:noProof/>
                <w:sz w:val="20"/>
                <w:szCs w:val="20"/>
                <w:lang w:val="en-GB"/>
              </w:rPr>
            </w:pPr>
            <w:r>
              <w:rPr>
                <w:b/>
                <w:noProof/>
                <w:sz w:val="20"/>
                <w:szCs w:val="20"/>
                <w:lang w:val="en-GB"/>
              </w:rPr>
              <w:t>[2007/1054365, 2008/1003797, 2009/1050338]</w:t>
            </w:r>
          </w:p>
        </w:tc>
      </w:tr>
      <w:tr w:rsidR="00E51CDD" w14:paraId="3EBEC501" w14:textId="77777777" w:rsidTr="009938D9">
        <w:trPr>
          <w:cantSplit/>
          <w:trHeight w:val="1191"/>
        </w:trPr>
        <w:tc>
          <w:tcPr>
            <w:tcW w:w="1000" w:type="pct"/>
            <w:tcBorders>
              <w:top w:val="single" w:sz="4" w:space="0" w:color="auto"/>
              <w:left w:val="single" w:sz="4" w:space="0" w:color="auto"/>
              <w:bottom w:val="single" w:sz="4" w:space="0" w:color="auto"/>
              <w:right w:val="single" w:sz="4" w:space="0" w:color="auto"/>
            </w:tcBorders>
            <w:hideMark/>
          </w:tcPr>
          <w:p w14:paraId="58C9E98E" w14:textId="77777777" w:rsidR="00E51CDD" w:rsidRDefault="00E51CDD" w:rsidP="009938D9">
            <w:pPr>
              <w:widowControl w:val="0"/>
              <w:rPr>
                <w:b/>
                <w:noProof/>
                <w:sz w:val="20"/>
                <w:szCs w:val="20"/>
                <w:lang w:val="en-GB"/>
              </w:rPr>
            </w:pPr>
            <w:r>
              <w:rPr>
                <w:b/>
                <w:noProof/>
                <w:sz w:val="20"/>
                <w:szCs w:val="20"/>
                <w:lang w:val="en-GB"/>
              </w:rPr>
              <w:lastRenderedPageBreak/>
              <w:t>Endpoint used for reproductive assessment</w:t>
            </w:r>
          </w:p>
        </w:tc>
        <w:tc>
          <w:tcPr>
            <w:tcW w:w="999" w:type="pct"/>
            <w:tcBorders>
              <w:top w:val="single" w:sz="4" w:space="0" w:color="auto"/>
              <w:left w:val="single" w:sz="4" w:space="0" w:color="auto"/>
              <w:bottom w:val="single" w:sz="4" w:space="0" w:color="auto"/>
              <w:right w:val="single" w:sz="4" w:space="0" w:color="auto"/>
            </w:tcBorders>
            <w:hideMark/>
          </w:tcPr>
          <w:p w14:paraId="5511D0C4" w14:textId="77777777" w:rsidR="00E51CDD" w:rsidRDefault="00E51CDD" w:rsidP="009938D9">
            <w:pPr>
              <w:widowControl w:val="0"/>
              <w:rPr>
                <w:b/>
                <w:noProof/>
                <w:sz w:val="20"/>
                <w:szCs w:val="20"/>
                <w:lang w:val="en-GB"/>
              </w:rPr>
            </w:pPr>
            <w:r>
              <w:rPr>
                <w:b/>
                <w:noProof/>
                <w:sz w:val="20"/>
                <w:lang w:val="en-GB"/>
              </w:rPr>
              <w:t>Fluxapyroxad</w:t>
            </w:r>
          </w:p>
        </w:tc>
        <w:tc>
          <w:tcPr>
            <w:tcW w:w="834" w:type="pct"/>
            <w:tcBorders>
              <w:top w:val="single" w:sz="4" w:space="0" w:color="auto"/>
              <w:left w:val="single" w:sz="4" w:space="0" w:color="auto"/>
              <w:bottom w:val="single" w:sz="4" w:space="0" w:color="auto"/>
              <w:right w:val="single" w:sz="4" w:space="0" w:color="auto"/>
            </w:tcBorders>
            <w:hideMark/>
          </w:tcPr>
          <w:p w14:paraId="2782C36D" w14:textId="77777777" w:rsidR="00E51CDD" w:rsidRDefault="00E51CDD" w:rsidP="009938D9">
            <w:pPr>
              <w:widowControl w:val="0"/>
              <w:rPr>
                <w:b/>
                <w:noProof/>
                <w:sz w:val="20"/>
                <w:szCs w:val="20"/>
                <w:lang w:val="en-GB"/>
              </w:rPr>
            </w:pPr>
            <w:r>
              <w:rPr>
                <w:b/>
                <w:noProof/>
                <w:sz w:val="20"/>
                <w:szCs w:val="20"/>
                <w:lang w:val="en-GB"/>
              </w:rPr>
              <w:t>Dietary</w:t>
            </w:r>
            <w:r>
              <w:rPr>
                <w:b/>
                <w:noProof/>
                <w:sz w:val="20"/>
                <w:szCs w:val="20"/>
                <w:lang w:val="en-GB"/>
              </w:rPr>
              <w:br/>
              <w:t>Reproductive toxicity – Tier 1</w:t>
            </w:r>
          </w:p>
        </w:tc>
        <w:tc>
          <w:tcPr>
            <w:tcW w:w="1167" w:type="pct"/>
            <w:tcBorders>
              <w:top w:val="single" w:sz="4" w:space="0" w:color="auto"/>
              <w:left w:val="single" w:sz="4" w:space="0" w:color="auto"/>
              <w:bottom w:val="single" w:sz="4" w:space="0" w:color="auto"/>
              <w:right w:val="single" w:sz="4" w:space="0" w:color="auto"/>
            </w:tcBorders>
            <w:hideMark/>
          </w:tcPr>
          <w:p w14:paraId="5E8FE65E" w14:textId="77777777" w:rsidR="00E51CDD" w:rsidRDefault="00E51CDD" w:rsidP="009938D9">
            <w:pPr>
              <w:widowControl w:val="0"/>
              <w:rPr>
                <w:b/>
                <w:noProof/>
                <w:sz w:val="20"/>
                <w:szCs w:val="20"/>
                <w:lang w:val="nl-NL"/>
              </w:rPr>
            </w:pPr>
            <w:r>
              <w:rPr>
                <w:b/>
                <w:bCs/>
                <w:noProof/>
                <w:sz w:val="20"/>
                <w:szCs w:val="20"/>
                <w:lang w:val="nl-NL"/>
              </w:rPr>
              <w:t xml:space="preserve">NOEL = 33.6 mg a.s./kg b.w./d </w:t>
            </w:r>
            <w:r>
              <w:rPr>
                <w:b/>
                <w:bCs/>
                <w:noProof/>
                <w:sz w:val="20"/>
                <w:szCs w:val="20"/>
                <w:vertAlign w:val="superscript"/>
                <w:lang w:val="nl-NL" w:eastAsia="zh-TW"/>
              </w:rPr>
              <w:t>1) 2)</w:t>
            </w:r>
          </w:p>
        </w:tc>
        <w:tc>
          <w:tcPr>
            <w:tcW w:w="1000" w:type="pct"/>
            <w:tcBorders>
              <w:top w:val="single" w:sz="4" w:space="0" w:color="auto"/>
              <w:left w:val="single" w:sz="4" w:space="0" w:color="auto"/>
              <w:bottom w:val="single" w:sz="4" w:space="0" w:color="auto"/>
              <w:right w:val="single" w:sz="4" w:space="0" w:color="auto"/>
            </w:tcBorders>
            <w:hideMark/>
          </w:tcPr>
          <w:p w14:paraId="51857FB6" w14:textId="77777777" w:rsidR="00E51CDD" w:rsidRPr="009C6EAB" w:rsidRDefault="00E51CDD" w:rsidP="009938D9">
            <w:pPr>
              <w:widowControl w:val="0"/>
              <w:rPr>
                <w:b/>
                <w:sz w:val="20"/>
                <w:szCs w:val="20"/>
                <w:lang w:eastAsia="en-US"/>
              </w:rPr>
            </w:pPr>
            <w:r w:rsidRPr="009C6EAB">
              <w:rPr>
                <w:b/>
                <w:sz w:val="20"/>
                <w:szCs w:val="20"/>
                <w:lang w:eastAsia="en-US"/>
              </w:rPr>
              <w:t>EFSA Journal 2012;10(1):2522</w:t>
            </w:r>
          </w:p>
          <w:p w14:paraId="0981419C" w14:textId="77777777" w:rsidR="00E51CDD" w:rsidRDefault="00E51CDD" w:rsidP="009938D9">
            <w:pPr>
              <w:widowControl w:val="0"/>
              <w:rPr>
                <w:b/>
                <w:noProof/>
                <w:sz w:val="20"/>
                <w:szCs w:val="20"/>
                <w:lang w:val="en-GB"/>
              </w:rPr>
            </w:pPr>
            <w:r>
              <w:rPr>
                <w:b/>
                <w:noProof/>
                <w:sz w:val="20"/>
                <w:szCs w:val="20"/>
                <w:lang w:val="en-GB"/>
              </w:rPr>
              <w:t>[2008/1055153 and 2009/1079887 (amendment no.1)]</w:t>
            </w:r>
          </w:p>
        </w:tc>
      </w:tr>
    </w:tbl>
    <w:p w14:paraId="37988E35" w14:textId="77777777" w:rsidR="00E51CDD" w:rsidRPr="00996D3E" w:rsidRDefault="00E51CDD" w:rsidP="00E51CDD">
      <w:pPr>
        <w:widowControl w:val="0"/>
        <w:tabs>
          <w:tab w:val="left" w:pos="360"/>
          <w:tab w:val="left" w:pos="720"/>
        </w:tabs>
        <w:ind w:left="360" w:hanging="360"/>
        <w:rPr>
          <w:sz w:val="18"/>
          <w:szCs w:val="18"/>
        </w:rPr>
      </w:pPr>
      <w:r w:rsidRPr="00996D3E">
        <w:rPr>
          <w:sz w:val="18"/>
          <w:szCs w:val="18"/>
          <w:vertAlign w:val="superscript"/>
        </w:rPr>
        <w:t>1)</w:t>
      </w:r>
      <w:r w:rsidRPr="00996D3E">
        <w:rPr>
          <w:sz w:val="18"/>
          <w:szCs w:val="18"/>
        </w:rPr>
        <w:tab/>
        <w:t xml:space="preserve">The Reproductive endpoints as calculated by the notifier for </w:t>
      </w:r>
      <w:r w:rsidRPr="00430289">
        <w:rPr>
          <w:i/>
          <w:noProof/>
          <w:sz w:val="18"/>
          <w:szCs w:val="18"/>
          <w:lang w:val="en-GB"/>
        </w:rPr>
        <w:t>Colinus virginianus</w:t>
      </w:r>
      <w:r w:rsidRPr="00430289">
        <w:rPr>
          <w:sz w:val="18"/>
          <w:szCs w:val="18"/>
        </w:rPr>
        <w:t xml:space="preserve"> and </w:t>
      </w:r>
      <w:r w:rsidRPr="00430289">
        <w:rPr>
          <w:i/>
          <w:noProof/>
          <w:sz w:val="18"/>
          <w:szCs w:val="18"/>
          <w:lang w:val="en-GB"/>
        </w:rPr>
        <w:t>Anas platyrhynchos</w:t>
      </w:r>
      <w:r w:rsidRPr="00430289">
        <w:rPr>
          <w:i/>
          <w:sz w:val="18"/>
          <w:szCs w:val="18"/>
        </w:rPr>
        <w:t xml:space="preserve"> </w:t>
      </w:r>
      <w:r w:rsidRPr="00430289">
        <w:rPr>
          <w:sz w:val="18"/>
          <w:szCs w:val="18"/>
        </w:rPr>
        <w:t>are slightly</w:t>
      </w:r>
      <w:r w:rsidRPr="00040A4C">
        <w:rPr>
          <w:sz w:val="18"/>
          <w:szCs w:val="18"/>
        </w:rPr>
        <w:t xml:space="preserve"> </w:t>
      </w:r>
      <w:r w:rsidRPr="00996D3E">
        <w:rPr>
          <w:sz w:val="18"/>
          <w:szCs w:val="18"/>
        </w:rPr>
        <w:t xml:space="preserve">are slightly different to the ones as derived during the Annex I inclusion process based on the same two studies. </w:t>
      </w:r>
    </w:p>
    <w:p w14:paraId="72944EBC" w14:textId="77777777" w:rsidR="00E51CDD" w:rsidRDefault="00E51CDD" w:rsidP="00E51CDD">
      <w:pPr>
        <w:widowControl w:val="0"/>
        <w:tabs>
          <w:tab w:val="left" w:pos="360"/>
          <w:tab w:val="left" w:pos="720"/>
        </w:tabs>
        <w:ind w:left="360" w:hanging="360"/>
        <w:rPr>
          <w:sz w:val="18"/>
          <w:szCs w:val="18"/>
        </w:rPr>
      </w:pPr>
      <w:r w:rsidRPr="00996D3E">
        <w:rPr>
          <w:sz w:val="18"/>
          <w:szCs w:val="18"/>
          <w:vertAlign w:val="superscript"/>
        </w:rPr>
        <w:t>2)</w:t>
      </w:r>
      <w:r w:rsidRPr="00996D3E">
        <w:rPr>
          <w:sz w:val="18"/>
          <w:szCs w:val="18"/>
        </w:rPr>
        <w:tab/>
        <w:t xml:space="preserve">Daily Dose [mg/kg b.w./d] calculated based on study data for food consumption and </w:t>
      </w:r>
      <w:r>
        <w:rPr>
          <w:sz w:val="18"/>
          <w:szCs w:val="18"/>
        </w:rPr>
        <w:t>body weight.</w:t>
      </w:r>
    </w:p>
    <w:p w14:paraId="3E9D6713" w14:textId="77777777" w:rsidR="00E51CDD" w:rsidRDefault="00E51CDD" w:rsidP="00E51CDD">
      <w:pPr>
        <w:keepNext/>
        <w:keepLines/>
        <w:ind w:left="357" w:hanging="357"/>
        <w:rPr>
          <w:sz w:val="18"/>
          <w:szCs w:val="18"/>
        </w:rPr>
      </w:pPr>
      <w:r>
        <w:rPr>
          <w:sz w:val="18"/>
          <w:szCs w:val="18"/>
          <w:vertAlign w:val="superscript"/>
        </w:rPr>
        <w:t>3)</w:t>
      </w:r>
      <w:r>
        <w:rPr>
          <w:sz w:val="18"/>
          <w:szCs w:val="18"/>
        </w:rPr>
        <w:tab/>
        <w:t>For details please refer to chapter 9.2.1.1.</w:t>
      </w:r>
    </w:p>
    <w:p w14:paraId="37882995" w14:textId="77777777" w:rsidR="00E51CDD" w:rsidRDefault="00E51CDD" w:rsidP="00E51CDD">
      <w:pPr>
        <w:pStyle w:val="RepStandard"/>
      </w:pPr>
    </w:p>
    <w:p w14:paraId="7DAFFF42" w14:textId="5CF1DD81" w:rsidR="00E51CDD" w:rsidRDefault="00E51CDD" w:rsidP="00E51CDD">
      <w:pPr>
        <w:pStyle w:val="RepLabel"/>
      </w:pPr>
      <w:bookmarkStart w:id="171" w:name="_Ref81489693"/>
      <w:r w:rsidRPr="002B1114">
        <w:t xml:space="preserve">Table </w:t>
      </w:r>
      <w:r w:rsidRPr="002B1114">
        <w:fldChar w:fldCharType="begin"/>
      </w:r>
      <w:r w:rsidRPr="002B1114">
        <w:instrText xml:space="preserve"> STYLEREF 2 \s </w:instrText>
      </w:r>
      <w:r w:rsidRPr="002B1114">
        <w:fldChar w:fldCharType="separate"/>
      </w:r>
      <w:r w:rsidR="00662F32">
        <w:rPr>
          <w:noProof/>
        </w:rPr>
        <w:t>9.2</w:t>
      </w:r>
      <w:r w:rsidRPr="002B1114">
        <w:fldChar w:fldCharType="end"/>
      </w:r>
      <w:r w:rsidRPr="002B1114">
        <w:noBreakHyphen/>
      </w:r>
      <w:r w:rsidRPr="002B1114">
        <w:fldChar w:fldCharType="begin"/>
      </w:r>
      <w:r w:rsidRPr="002B1114">
        <w:instrText xml:space="preserve"> SEQ Table \* ARABIC \s 2 </w:instrText>
      </w:r>
      <w:r w:rsidRPr="002B1114">
        <w:fldChar w:fldCharType="separate"/>
      </w:r>
      <w:r w:rsidR="00662F32">
        <w:rPr>
          <w:noProof/>
        </w:rPr>
        <w:t>2</w:t>
      </w:r>
      <w:r w:rsidRPr="002B1114">
        <w:fldChar w:fldCharType="end"/>
      </w:r>
      <w:bookmarkEnd w:id="171"/>
      <w:r w:rsidRPr="002B1114">
        <w:t>:</w:t>
      </w:r>
      <w:r w:rsidRPr="002B1114">
        <w:tab/>
      </w:r>
      <w:r>
        <w:t xml:space="preserve">Azoxystrobin: </w:t>
      </w:r>
      <w:r w:rsidRPr="002B1114">
        <w:t>Endpoints relevant for the risk assessment for birds</w:t>
      </w:r>
    </w:p>
    <w:tbl>
      <w:tblPr>
        <w:tblW w:w="5000" w:type="pct"/>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954"/>
        <w:gridCol w:w="1776"/>
        <w:gridCol w:w="1600"/>
        <w:gridCol w:w="2221"/>
        <w:gridCol w:w="1796"/>
      </w:tblGrid>
      <w:tr w:rsidR="00E51CDD" w:rsidRPr="00FC505F" w14:paraId="4F4373A9" w14:textId="77777777" w:rsidTr="009938D9">
        <w:trPr>
          <w:trHeight w:val="87"/>
          <w:tblHeader/>
        </w:trPr>
        <w:tc>
          <w:tcPr>
            <w:tcW w:w="1045" w:type="pct"/>
            <w:shd w:val="clear" w:color="auto" w:fill="auto"/>
          </w:tcPr>
          <w:p w14:paraId="63E087C7" w14:textId="77777777" w:rsidR="00E51CDD" w:rsidRPr="00FC505F" w:rsidRDefault="00E51CDD" w:rsidP="009938D9">
            <w:pPr>
              <w:pStyle w:val="RepTableHeader"/>
              <w:jc w:val="center"/>
            </w:pPr>
            <w:r w:rsidRPr="00FC505F">
              <w:t>Species</w:t>
            </w:r>
          </w:p>
        </w:tc>
        <w:tc>
          <w:tcPr>
            <w:tcW w:w="950" w:type="pct"/>
            <w:shd w:val="clear" w:color="auto" w:fill="auto"/>
          </w:tcPr>
          <w:p w14:paraId="37C5C06D" w14:textId="77777777" w:rsidR="00E51CDD" w:rsidRPr="00FC505F" w:rsidRDefault="00E51CDD" w:rsidP="009938D9">
            <w:pPr>
              <w:pStyle w:val="RepTableHeader"/>
              <w:jc w:val="center"/>
            </w:pPr>
            <w:r w:rsidRPr="00FC505F">
              <w:t>Substance</w:t>
            </w:r>
          </w:p>
        </w:tc>
        <w:tc>
          <w:tcPr>
            <w:tcW w:w="856" w:type="pct"/>
            <w:shd w:val="clear" w:color="auto" w:fill="auto"/>
          </w:tcPr>
          <w:p w14:paraId="3873D4FD" w14:textId="77777777" w:rsidR="00E51CDD" w:rsidRPr="00FC505F" w:rsidRDefault="00E51CDD" w:rsidP="009938D9">
            <w:pPr>
              <w:pStyle w:val="RepTableHeader"/>
              <w:jc w:val="center"/>
            </w:pPr>
            <w:r w:rsidRPr="00FC505F">
              <w:t>Exposure</w:t>
            </w:r>
          </w:p>
          <w:p w14:paraId="4EBEBB03" w14:textId="77777777" w:rsidR="00E51CDD" w:rsidRPr="00FC505F" w:rsidRDefault="00E51CDD" w:rsidP="009938D9">
            <w:pPr>
              <w:pStyle w:val="RepTableHeader"/>
              <w:jc w:val="center"/>
            </w:pPr>
            <w:r w:rsidRPr="00FC505F">
              <w:t>System</w:t>
            </w:r>
          </w:p>
        </w:tc>
        <w:tc>
          <w:tcPr>
            <w:tcW w:w="1188" w:type="pct"/>
          </w:tcPr>
          <w:p w14:paraId="06193869" w14:textId="77777777" w:rsidR="00E51CDD" w:rsidRPr="00FC505F" w:rsidRDefault="00E51CDD" w:rsidP="009938D9">
            <w:pPr>
              <w:pStyle w:val="RepTableHeader"/>
              <w:jc w:val="center"/>
            </w:pPr>
            <w:r w:rsidRPr="00FC505F">
              <w:t>Results</w:t>
            </w:r>
          </w:p>
          <w:p w14:paraId="1095D137" w14:textId="77777777" w:rsidR="00E51CDD" w:rsidRPr="00FC505F" w:rsidRDefault="00E51CDD" w:rsidP="009938D9">
            <w:pPr>
              <w:pStyle w:val="RepTableHeader"/>
              <w:jc w:val="center"/>
            </w:pPr>
          </w:p>
        </w:tc>
        <w:tc>
          <w:tcPr>
            <w:tcW w:w="961" w:type="pct"/>
            <w:shd w:val="clear" w:color="auto" w:fill="auto"/>
          </w:tcPr>
          <w:p w14:paraId="5E87DFE1" w14:textId="77777777" w:rsidR="00E51CDD" w:rsidRDefault="00E51CDD" w:rsidP="009938D9">
            <w:pPr>
              <w:pStyle w:val="RepTableHeader"/>
              <w:jc w:val="center"/>
            </w:pPr>
            <w:r w:rsidRPr="00FC505F">
              <w:t>Reference</w:t>
            </w:r>
          </w:p>
          <w:p w14:paraId="1DA49DB9" w14:textId="77777777" w:rsidR="00E51CDD" w:rsidRPr="00FC505F" w:rsidRDefault="00E51CDD" w:rsidP="009938D9">
            <w:pPr>
              <w:pStyle w:val="RepTableHeader"/>
              <w:jc w:val="center"/>
            </w:pPr>
            <w:r>
              <w:rPr>
                <w:bCs/>
                <w:lang w:val="de-DE"/>
              </w:rPr>
              <w:t>[Study ID]</w:t>
            </w:r>
          </w:p>
        </w:tc>
      </w:tr>
      <w:tr w:rsidR="00E51CDD" w:rsidRPr="005F778A" w14:paraId="440BBBED" w14:textId="77777777" w:rsidTr="009938D9">
        <w:tc>
          <w:tcPr>
            <w:tcW w:w="1045" w:type="pct"/>
            <w:shd w:val="clear" w:color="auto" w:fill="auto"/>
          </w:tcPr>
          <w:p w14:paraId="69B8EFBC" w14:textId="77777777" w:rsidR="00E51CDD" w:rsidRPr="00FC505F" w:rsidRDefault="00E51CDD" w:rsidP="009938D9">
            <w:pPr>
              <w:pStyle w:val="RepTable"/>
              <w:rPr>
                <w:noProof w:val="0"/>
              </w:rPr>
            </w:pPr>
            <w:r w:rsidRPr="00FC505F">
              <w:rPr>
                <w:noProof w:val="0"/>
              </w:rPr>
              <w:t>Bobwhite quail (</w:t>
            </w:r>
            <w:r w:rsidRPr="00FC505F">
              <w:rPr>
                <w:i/>
                <w:noProof w:val="0"/>
              </w:rPr>
              <w:t>Colinus virginianus</w:t>
            </w:r>
            <w:r w:rsidRPr="00FC505F">
              <w:rPr>
                <w:noProof w:val="0"/>
              </w:rPr>
              <w:t>)</w:t>
            </w:r>
          </w:p>
        </w:tc>
        <w:tc>
          <w:tcPr>
            <w:tcW w:w="950" w:type="pct"/>
            <w:shd w:val="clear" w:color="auto" w:fill="auto"/>
          </w:tcPr>
          <w:p w14:paraId="76D1FB3A" w14:textId="77777777" w:rsidR="00E51CDD" w:rsidRPr="00FC505F" w:rsidRDefault="00E51CDD" w:rsidP="009938D9">
            <w:pPr>
              <w:pStyle w:val="RepTable"/>
              <w:rPr>
                <w:noProof w:val="0"/>
              </w:rPr>
            </w:pPr>
            <w:r w:rsidRPr="00FC505F">
              <w:rPr>
                <w:noProof w:val="0"/>
              </w:rPr>
              <w:t>Azoxystrobin</w:t>
            </w:r>
          </w:p>
        </w:tc>
        <w:tc>
          <w:tcPr>
            <w:tcW w:w="856" w:type="pct"/>
            <w:shd w:val="clear" w:color="auto" w:fill="auto"/>
          </w:tcPr>
          <w:p w14:paraId="709FCA8A" w14:textId="77777777" w:rsidR="00E51CDD" w:rsidRPr="00FC505F" w:rsidRDefault="00E51CDD" w:rsidP="009938D9">
            <w:pPr>
              <w:pStyle w:val="RepTable"/>
              <w:rPr>
                <w:noProof w:val="0"/>
              </w:rPr>
            </w:pPr>
            <w:r w:rsidRPr="00FC505F">
              <w:rPr>
                <w:noProof w:val="0"/>
              </w:rPr>
              <w:t>Oral</w:t>
            </w:r>
            <w:r w:rsidRPr="00FC505F">
              <w:rPr>
                <w:noProof w:val="0"/>
              </w:rPr>
              <w:br/>
              <w:t>1 d</w:t>
            </w:r>
            <w:r w:rsidRPr="00FC505F">
              <w:rPr>
                <w:noProof w:val="0"/>
              </w:rPr>
              <w:br/>
              <w:t>Acute</w:t>
            </w:r>
          </w:p>
        </w:tc>
        <w:tc>
          <w:tcPr>
            <w:tcW w:w="1188" w:type="pct"/>
          </w:tcPr>
          <w:p w14:paraId="3D2A14AE" w14:textId="77777777" w:rsidR="00E51CDD" w:rsidRPr="009C6EAB" w:rsidRDefault="00E51CDD" w:rsidP="009938D9">
            <w:pPr>
              <w:pStyle w:val="RepTable"/>
              <w:rPr>
                <w:bCs/>
                <w:noProof w:val="0"/>
              </w:rPr>
            </w:pPr>
            <w:r w:rsidRPr="009C6EAB">
              <w:rPr>
                <w:bCs/>
                <w:noProof w:val="0"/>
              </w:rPr>
              <w:t>LD</w:t>
            </w:r>
            <w:r w:rsidRPr="009C6EAB">
              <w:rPr>
                <w:bCs/>
                <w:noProof w:val="0"/>
                <w:vertAlign w:val="subscript"/>
              </w:rPr>
              <w:t>50</w:t>
            </w:r>
            <w:r w:rsidRPr="009C6EAB">
              <w:rPr>
                <w:bCs/>
                <w:noProof w:val="0"/>
              </w:rPr>
              <w:t xml:space="preserve"> &gt; 2000 mg/kg b</w:t>
            </w:r>
            <w:r>
              <w:rPr>
                <w:bCs/>
                <w:noProof w:val="0"/>
              </w:rPr>
              <w:t>.</w:t>
            </w:r>
            <w:r w:rsidRPr="009C6EAB">
              <w:rPr>
                <w:bCs/>
                <w:noProof w:val="0"/>
              </w:rPr>
              <w:t>w</w:t>
            </w:r>
            <w:r>
              <w:rPr>
                <w:bCs/>
                <w:noProof w:val="0"/>
              </w:rPr>
              <w:t>.</w:t>
            </w:r>
          </w:p>
        </w:tc>
        <w:tc>
          <w:tcPr>
            <w:tcW w:w="961" w:type="pct"/>
            <w:shd w:val="clear" w:color="auto" w:fill="auto"/>
          </w:tcPr>
          <w:p w14:paraId="12683D7E" w14:textId="77777777" w:rsidR="00E51CDD" w:rsidRPr="00C81F9A" w:rsidRDefault="00E51CDD" w:rsidP="009938D9">
            <w:pPr>
              <w:pStyle w:val="RepTable"/>
              <w:rPr>
                <w:noProof w:val="0"/>
                <w:lang w:val="fr-FR"/>
              </w:rPr>
            </w:pPr>
            <w:r w:rsidRPr="00C81F9A">
              <w:rPr>
                <w:noProof w:val="0"/>
                <w:lang w:val="fr-FR"/>
              </w:rPr>
              <w:t xml:space="preserve">EFSA Journal 2010; 8(4):1542 </w:t>
            </w:r>
            <w:r w:rsidRPr="004F253D">
              <w:rPr>
                <w:szCs w:val="20"/>
                <w:lang w:val="de-DE"/>
              </w:rPr>
              <w:t>[</w:t>
            </w:r>
            <w:r w:rsidRPr="00C81F9A">
              <w:rPr>
                <w:noProof w:val="0"/>
                <w:lang w:val="fr-FR"/>
              </w:rPr>
              <w:t>ICI5504/0852</w:t>
            </w:r>
            <w:r w:rsidRPr="004F253D">
              <w:rPr>
                <w:szCs w:val="20"/>
                <w:lang w:val="de-DE"/>
              </w:rPr>
              <w:t>]</w:t>
            </w:r>
          </w:p>
        </w:tc>
      </w:tr>
      <w:tr w:rsidR="00E51CDD" w:rsidRPr="00FC505F" w14:paraId="57B6AF0B" w14:textId="77777777" w:rsidTr="009938D9">
        <w:tc>
          <w:tcPr>
            <w:tcW w:w="1045" w:type="pct"/>
            <w:shd w:val="clear" w:color="auto" w:fill="auto"/>
          </w:tcPr>
          <w:p w14:paraId="113552EF" w14:textId="77777777" w:rsidR="00E51CDD" w:rsidRPr="00FC505F" w:rsidRDefault="00E51CDD" w:rsidP="009938D9">
            <w:pPr>
              <w:pStyle w:val="RepTable"/>
              <w:rPr>
                <w:noProof w:val="0"/>
              </w:rPr>
            </w:pPr>
            <w:r w:rsidRPr="00FC505F">
              <w:rPr>
                <w:noProof w:val="0"/>
              </w:rPr>
              <w:t>Bobwhite quail (</w:t>
            </w:r>
            <w:r w:rsidRPr="00FC505F">
              <w:rPr>
                <w:i/>
                <w:noProof w:val="0"/>
              </w:rPr>
              <w:t>Colinus virginianus</w:t>
            </w:r>
            <w:r w:rsidRPr="00FC505F">
              <w:rPr>
                <w:noProof w:val="0"/>
              </w:rPr>
              <w:t>)</w:t>
            </w:r>
          </w:p>
        </w:tc>
        <w:tc>
          <w:tcPr>
            <w:tcW w:w="950" w:type="pct"/>
            <w:shd w:val="clear" w:color="auto" w:fill="auto"/>
          </w:tcPr>
          <w:p w14:paraId="45BB5A83" w14:textId="77777777" w:rsidR="00E51CDD" w:rsidRPr="00FC505F" w:rsidRDefault="00E51CDD" w:rsidP="009938D9">
            <w:pPr>
              <w:pStyle w:val="RepTable"/>
              <w:rPr>
                <w:noProof w:val="0"/>
              </w:rPr>
            </w:pPr>
            <w:r w:rsidRPr="00FC505F">
              <w:rPr>
                <w:noProof w:val="0"/>
              </w:rPr>
              <w:t>Azoxystrobin</w:t>
            </w:r>
          </w:p>
        </w:tc>
        <w:tc>
          <w:tcPr>
            <w:tcW w:w="856" w:type="pct"/>
            <w:shd w:val="clear" w:color="auto" w:fill="auto"/>
          </w:tcPr>
          <w:p w14:paraId="3F8C3C91" w14:textId="77777777" w:rsidR="00E51CDD" w:rsidRPr="00FC505F" w:rsidRDefault="00E51CDD" w:rsidP="009938D9">
            <w:pPr>
              <w:pStyle w:val="RepTable"/>
              <w:rPr>
                <w:noProof w:val="0"/>
              </w:rPr>
            </w:pPr>
            <w:r w:rsidRPr="00FC505F">
              <w:rPr>
                <w:noProof w:val="0"/>
              </w:rPr>
              <w:t>Dietary</w:t>
            </w:r>
            <w:r w:rsidRPr="00FC505F">
              <w:rPr>
                <w:noProof w:val="0"/>
              </w:rPr>
              <w:br/>
              <w:t>5 d</w:t>
            </w:r>
            <w:r w:rsidRPr="00FC505F">
              <w:rPr>
                <w:noProof w:val="0"/>
              </w:rPr>
              <w:br/>
              <w:t>Short-term</w:t>
            </w:r>
          </w:p>
        </w:tc>
        <w:tc>
          <w:tcPr>
            <w:tcW w:w="1188" w:type="pct"/>
          </w:tcPr>
          <w:p w14:paraId="01FC4C83" w14:textId="77777777" w:rsidR="00E51CDD" w:rsidRPr="007330A6" w:rsidRDefault="00E51CDD" w:rsidP="009938D9">
            <w:pPr>
              <w:pStyle w:val="RepTable"/>
              <w:rPr>
                <w:noProof w:val="0"/>
              </w:rPr>
            </w:pPr>
            <w:r w:rsidRPr="007330A6">
              <w:rPr>
                <w:noProof w:val="0"/>
              </w:rPr>
              <w:t>LDD</w:t>
            </w:r>
            <w:r w:rsidRPr="007330A6">
              <w:rPr>
                <w:noProof w:val="0"/>
                <w:vertAlign w:val="subscript"/>
              </w:rPr>
              <w:t>50</w:t>
            </w:r>
            <w:r w:rsidRPr="007330A6">
              <w:rPr>
                <w:noProof w:val="0"/>
              </w:rPr>
              <w:t xml:space="preserve"> &gt; 1179 </w:t>
            </w:r>
            <w:r w:rsidRPr="007330A6">
              <w:rPr>
                <w:noProof w:val="0"/>
                <w:vertAlign w:val="superscript"/>
              </w:rPr>
              <w:t xml:space="preserve">1) </w:t>
            </w:r>
            <w:r w:rsidRPr="007330A6">
              <w:rPr>
                <w:noProof w:val="0"/>
              </w:rPr>
              <w:t>mg/kg b.w./d</w:t>
            </w:r>
          </w:p>
        </w:tc>
        <w:tc>
          <w:tcPr>
            <w:tcW w:w="961" w:type="pct"/>
            <w:shd w:val="clear" w:color="auto" w:fill="auto"/>
          </w:tcPr>
          <w:p w14:paraId="470FFC28" w14:textId="77777777" w:rsidR="00E51CDD" w:rsidRPr="004F253D" w:rsidRDefault="00E51CDD" w:rsidP="009938D9">
            <w:pPr>
              <w:pStyle w:val="RepTable"/>
              <w:rPr>
                <w:noProof w:val="0"/>
                <w:lang w:val="fr-FR"/>
              </w:rPr>
            </w:pPr>
            <w:r w:rsidRPr="004F253D">
              <w:rPr>
                <w:noProof w:val="0"/>
                <w:lang w:val="fr-FR"/>
              </w:rPr>
              <w:t>EFSA Journal 2010; 8(4):1542</w:t>
            </w:r>
          </w:p>
          <w:p w14:paraId="4B4957B6" w14:textId="77777777" w:rsidR="00E51CDD" w:rsidRPr="004F253D" w:rsidRDefault="00E51CDD" w:rsidP="009938D9">
            <w:pPr>
              <w:pStyle w:val="RepTable"/>
              <w:rPr>
                <w:noProof w:val="0"/>
                <w:lang w:val="fr-FR"/>
              </w:rPr>
            </w:pPr>
            <w:r w:rsidRPr="004F253D">
              <w:rPr>
                <w:szCs w:val="20"/>
                <w:lang w:val="de-DE"/>
              </w:rPr>
              <w:t>[</w:t>
            </w:r>
            <w:r w:rsidRPr="004F253D">
              <w:rPr>
                <w:noProof w:val="0"/>
                <w:lang w:val="fr-FR"/>
              </w:rPr>
              <w:t>ICI5504/0854</w:t>
            </w:r>
            <w:r w:rsidRPr="004F253D">
              <w:rPr>
                <w:szCs w:val="20"/>
                <w:lang w:val="de-DE"/>
              </w:rPr>
              <w:t>]</w:t>
            </w:r>
          </w:p>
        </w:tc>
      </w:tr>
      <w:tr w:rsidR="00E51CDD" w:rsidRPr="00FC505F" w14:paraId="0865979B" w14:textId="77777777" w:rsidTr="009938D9">
        <w:tc>
          <w:tcPr>
            <w:tcW w:w="1045" w:type="pct"/>
            <w:shd w:val="clear" w:color="auto" w:fill="auto"/>
          </w:tcPr>
          <w:p w14:paraId="16660F3E" w14:textId="77777777" w:rsidR="00E51CDD" w:rsidRPr="00FC505F" w:rsidRDefault="00E51CDD" w:rsidP="009938D9">
            <w:pPr>
              <w:pStyle w:val="RepTable"/>
              <w:rPr>
                <w:noProof w:val="0"/>
              </w:rPr>
            </w:pPr>
            <w:r w:rsidRPr="00FC505F">
              <w:rPr>
                <w:noProof w:val="0"/>
              </w:rPr>
              <w:t>Bobwhite quail (</w:t>
            </w:r>
            <w:r w:rsidRPr="00FC505F">
              <w:rPr>
                <w:i/>
                <w:noProof w:val="0"/>
              </w:rPr>
              <w:t>Colinus virginianus</w:t>
            </w:r>
            <w:r w:rsidRPr="00FC505F">
              <w:rPr>
                <w:noProof w:val="0"/>
              </w:rPr>
              <w:t>)</w:t>
            </w:r>
          </w:p>
        </w:tc>
        <w:tc>
          <w:tcPr>
            <w:tcW w:w="950" w:type="pct"/>
            <w:shd w:val="clear" w:color="auto" w:fill="auto"/>
          </w:tcPr>
          <w:p w14:paraId="6463739F" w14:textId="77777777" w:rsidR="00E51CDD" w:rsidRPr="00FC505F" w:rsidRDefault="00E51CDD" w:rsidP="009938D9">
            <w:pPr>
              <w:pStyle w:val="RepTable"/>
              <w:rPr>
                <w:noProof w:val="0"/>
              </w:rPr>
            </w:pPr>
            <w:r w:rsidRPr="00FC505F">
              <w:rPr>
                <w:noProof w:val="0"/>
              </w:rPr>
              <w:t>Azoxystrobin</w:t>
            </w:r>
          </w:p>
        </w:tc>
        <w:tc>
          <w:tcPr>
            <w:tcW w:w="856" w:type="pct"/>
            <w:shd w:val="clear" w:color="auto" w:fill="auto"/>
          </w:tcPr>
          <w:p w14:paraId="56577A25" w14:textId="77777777" w:rsidR="00E51CDD" w:rsidRPr="00FC505F" w:rsidRDefault="00E51CDD" w:rsidP="009938D9">
            <w:pPr>
              <w:pStyle w:val="RepTable"/>
              <w:rPr>
                <w:noProof w:val="0"/>
              </w:rPr>
            </w:pPr>
            <w:r w:rsidRPr="00FC505F">
              <w:rPr>
                <w:noProof w:val="0"/>
              </w:rPr>
              <w:t>Dietary</w:t>
            </w:r>
            <w:r w:rsidRPr="00FC505F">
              <w:rPr>
                <w:noProof w:val="0"/>
              </w:rPr>
              <w:br/>
              <w:t>Reproductive toxicity</w:t>
            </w:r>
          </w:p>
        </w:tc>
        <w:tc>
          <w:tcPr>
            <w:tcW w:w="1188" w:type="pct"/>
          </w:tcPr>
          <w:p w14:paraId="74F5C00B" w14:textId="77777777" w:rsidR="00E51CDD" w:rsidRPr="00AD71DA" w:rsidRDefault="00E51CDD" w:rsidP="009938D9">
            <w:pPr>
              <w:pStyle w:val="RepTable"/>
              <w:rPr>
                <w:bCs/>
                <w:noProof w:val="0"/>
                <w:lang w:val="nl-BE"/>
              </w:rPr>
            </w:pPr>
            <w:r w:rsidRPr="00AD71DA">
              <w:rPr>
                <w:bCs/>
                <w:noProof w:val="0"/>
                <w:lang w:val="nl-BE"/>
              </w:rPr>
              <w:t xml:space="preserve">NOEL = 117 </w:t>
            </w:r>
            <w:r w:rsidRPr="00AD71DA">
              <w:rPr>
                <w:noProof w:val="0"/>
                <w:vertAlign w:val="superscript"/>
                <w:lang w:val="nl-BE"/>
              </w:rPr>
              <w:t>1)</w:t>
            </w:r>
            <w:r w:rsidRPr="00AD71DA">
              <w:rPr>
                <w:bCs/>
                <w:noProof w:val="0"/>
                <w:vertAlign w:val="superscript"/>
                <w:lang w:val="nl-BE"/>
              </w:rPr>
              <w:t xml:space="preserve"> </w:t>
            </w:r>
            <w:r w:rsidRPr="00AD71DA">
              <w:rPr>
                <w:bCs/>
                <w:noProof w:val="0"/>
                <w:lang w:val="nl-BE"/>
              </w:rPr>
              <w:t>mg/kg b.w./d</w:t>
            </w:r>
          </w:p>
        </w:tc>
        <w:tc>
          <w:tcPr>
            <w:tcW w:w="961" w:type="pct"/>
            <w:shd w:val="clear" w:color="auto" w:fill="auto"/>
          </w:tcPr>
          <w:p w14:paraId="12D567B3" w14:textId="77777777" w:rsidR="00E51CDD" w:rsidRPr="004F253D" w:rsidRDefault="00E51CDD" w:rsidP="009938D9">
            <w:pPr>
              <w:pStyle w:val="RepTable"/>
              <w:rPr>
                <w:noProof w:val="0"/>
                <w:lang w:val="fr-FR"/>
              </w:rPr>
            </w:pPr>
            <w:r w:rsidRPr="004F253D">
              <w:rPr>
                <w:noProof w:val="0"/>
                <w:lang w:val="fr-FR"/>
              </w:rPr>
              <w:t>EFSA Journal 2010; 8(4):1542</w:t>
            </w:r>
          </w:p>
          <w:p w14:paraId="1FF801B1" w14:textId="77777777" w:rsidR="00E51CDD" w:rsidRPr="004F253D" w:rsidRDefault="00E51CDD" w:rsidP="009938D9">
            <w:pPr>
              <w:pStyle w:val="RepTable"/>
              <w:rPr>
                <w:noProof w:val="0"/>
                <w:lang w:val="fr-FR"/>
              </w:rPr>
            </w:pPr>
            <w:r w:rsidRPr="004F253D">
              <w:rPr>
                <w:szCs w:val="20"/>
                <w:lang w:val="en-US"/>
              </w:rPr>
              <w:t>[</w:t>
            </w:r>
            <w:r w:rsidRPr="004F253D">
              <w:rPr>
                <w:noProof w:val="0"/>
                <w:lang w:val="fr-FR"/>
              </w:rPr>
              <w:t>ICI5504/0855</w:t>
            </w:r>
            <w:r w:rsidRPr="004F253D">
              <w:rPr>
                <w:szCs w:val="20"/>
                <w:lang w:val="en-US"/>
              </w:rPr>
              <w:t>]</w:t>
            </w:r>
            <w:r w:rsidRPr="004F253D">
              <w:rPr>
                <w:noProof w:val="0"/>
                <w:lang w:val="fr-FR"/>
              </w:rPr>
              <w:t xml:space="preserve"> </w:t>
            </w:r>
          </w:p>
        </w:tc>
      </w:tr>
      <w:tr w:rsidR="00E51CDD" w:rsidRPr="00FC505F" w14:paraId="3B87B361" w14:textId="77777777" w:rsidTr="009938D9">
        <w:tc>
          <w:tcPr>
            <w:tcW w:w="1045" w:type="pct"/>
            <w:shd w:val="clear" w:color="auto" w:fill="auto"/>
          </w:tcPr>
          <w:p w14:paraId="3C75C08B" w14:textId="77777777" w:rsidR="00E51CDD" w:rsidRPr="004F253D" w:rsidRDefault="00E51CDD" w:rsidP="009938D9">
            <w:pPr>
              <w:pStyle w:val="RepTable"/>
              <w:rPr>
                <w:b/>
                <w:noProof w:val="0"/>
              </w:rPr>
            </w:pPr>
            <w:r w:rsidRPr="004F253D">
              <w:rPr>
                <w:b/>
                <w:szCs w:val="20"/>
              </w:rPr>
              <w:t>Endpoint used for acute assessment</w:t>
            </w:r>
          </w:p>
        </w:tc>
        <w:tc>
          <w:tcPr>
            <w:tcW w:w="950" w:type="pct"/>
            <w:shd w:val="clear" w:color="auto" w:fill="auto"/>
          </w:tcPr>
          <w:p w14:paraId="0C6866EC" w14:textId="77777777" w:rsidR="00E51CDD" w:rsidRPr="004F253D" w:rsidRDefault="00E51CDD" w:rsidP="009938D9">
            <w:pPr>
              <w:pStyle w:val="RepTable"/>
              <w:rPr>
                <w:b/>
                <w:noProof w:val="0"/>
              </w:rPr>
            </w:pPr>
            <w:r w:rsidRPr="004F253D">
              <w:rPr>
                <w:b/>
                <w:noProof w:val="0"/>
              </w:rPr>
              <w:t>Azoxystrobin</w:t>
            </w:r>
          </w:p>
        </w:tc>
        <w:tc>
          <w:tcPr>
            <w:tcW w:w="856" w:type="pct"/>
            <w:shd w:val="clear" w:color="auto" w:fill="auto"/>
          </w:tcPr>
          <w:p w14:paraId="1C4117B8" w14:textId="77777777" w:rsidR="00E51CDD" w:rsidRPr="004F253D" w:rsidRDefault="00E51CDD" w:rsidP="009938D9">
            <w:pPr>
              <w:pStyle w:val="RepTable"/>
              <w:rPr>
                <w:b/>
                <w:noProof w:val="0"/>
              </w:rPr>
            </w:pPr>
            <w:r w:rsidRPr="004F253D">
              <w:rPr>
                <w:b/>
                <w:noProof w:val="0"/>
              </w:rPr>
              <w:t>Oral</w:t>
            </w:r>
            <w:r w:rsidRPr="004F253D">
              <w:rPr>
                <w:b/>
                <w:noProof w:val="0"/>
              </w:rPr>
              <w:br/>
              <w:t>1 d</w:t>
            </w:r>
            <w:r w:rsidRPr="004F253D">
              <w:rPr>
                <w:b/>
                <w:noProof w:val="0"/>
              </w:rPr>
              <w:br/>
              <w:t>Acute</w:t>
            </w:r>
          </w:p>
        </w:tc>
        <w:tc>
          <w:tcPr>
            <w:tcW w:w="1188" w:type="pct"/>
          </w:tcPr>
          <w:p w14:paraId="0837B93A" w14:textId="77777777" w:rsidR="00E51CDD" w:rsidRPr="004F253D" w:rsidRDefault="00E51CDD" w:rsidP="009938D9">
            <w:pPr>
              <w:pStyle w:val="RepTable"/>
              <w:rPr>
                <w:b/>
                <w:noProof w:val="0"/>
              </w:rPr>
            </w:pPr>
            <w:r w:rsidRPr="004F253D">
              <w:rPr>
                <w:b/>
                <w:noProof w:val="0"/>
              </w:rPr>
              <w:t>LD</w:t>
            </w:r>
            <w:r w:rsidRPr="004F253D">
              <w:rPr>
                <w:b/>
                <w:noProof w:val="0"/>
                <w:vertAlign w:val="subscript"/>
              </w:rPr>
              <w:t>50</w:t>
            </w:r>
            <w:r w:rsidRPr="004F253D">
              <w:rPr>
                <w:b/>
                <w:noProof w:val="0"/>
              </w:rPr>
              <w:t xml:space="preserve"> &gt; 2000 mg/kg b.w.</w:t>
            </w:r>
          </w:p>
        </w:tc>
        <w:tc>
          <w:tcPr>
            <w:tcW w:w="961" w:type="pct"/>
            <w:shd w:val="clear" w:color="auto" w:fill="auto"/>
          </w:tcPr>
          <w:p w14:paraId="5CC98F34" w14:textId="77777777" w:rsidR="00E51CDD" w:rsidRPr="004F253D" w:rsidRDefault="00E51CDD" w:rsidP="009938D9">
            <w:pPr>
              <w:pStyle w:val="RepTable"/>
              <w:rPr>
                <w:b/>
                <w:noProof w:val="0"/>
                <w:lang w:val="fr-FR"/>
              </w:rPr>
            </w:pPr>
            <w:r w:rsidRPr="004F253D">
              <w:rPr>
                <w:b/>
                <w:noProof w:val="0"/>
                <w:lang w:val="fr-FR"/>
              </w:rPr>
              <w:t xml:space="preserve">EFSA Journal 2010; 8(4):1542 </w:t>
            </w:r>
            <w:r w:rsidRPr="004F253D">
              <w:rPr>
                <w:b/>
                <w:szCs w:val="20"/>
                <w:lang w:val="de-DE"/>
              </w:rPr>
              <w:t>[</w:t>
            </w:r>
            <w:r w:rsidRPr="004F253D">
              <w:rPr>
                <w:b/>
                <w:noProof w:val="0"/>
                <w:lang w:val="fr-FR"/>
              </w:rPr>
              <w:t>ICI5504/0852</w:t>
            </w:r>
            <w:r w:rsidRPr="004F253D">
              <w:rPr>
                <w:b/>
                <w:szCs w:val="20"/>
                <w:lang w:val="de-DE"/>
              </w:rPr>
              <w:t>]</w:t>
            </w:r>
          </w:p>
        </w:tc>
      </w:tr>
      <w:tr w:rsidR="00E51CDD" w:rsidRPr="00FC505F" w14:paraId="56AF4365" w14:textId="77777777" w:rsidTr="009938D9">
        <w:tc>
          <w:tcPr>
            <w:tcW w:w="1045" w:type="pct"/>
            <w:shd w:val="clear" w:color="auto" w:fill="auto"/>
          </w:tcPr>
          <w:p w14:paraId="5FF962E2" w14:textId="77777777" w:rsidR="00E51CDD" w:rsidRPr="004F253D" w:rsidRDefault="00E51CDD" w:rsidP="009938D9">
            <w:pPr>
              <w:pStyle w:val="RepTable"/>
              <w:rPr>
                <w:b/>
                <w:noProof w:val="0"/>
              </w:rPr>
            </w:pPr>
            <w:r w:rsidRPr="004F253D">
              <w:rPr>
                <w:b/>
                <w:szCs w:val="20"/>
              </w:rPr>
              <w:t>Endpoint used for reproductive assessment</w:t>
            </w:r>
          </w:p>
        </w:tc>
        <w:tc>
          <w:tcPr>
            <w:tcW w:w="950" w:type="pct"/>
            <w:shd w:val="clear" w:color="auto" w:fill="auto"/>
          </w:tcPr>
          <w:p w14:paraId="7D535F59" w14:textId="77777777" w:rsidR="00E51CDD" w:rsidRPr="004F253D" w:rsidRDefault="00E51CDD" w:rsidP="009938D9">
            <w:pPr>
              <w:pStyle w:val="RepTable"/>
              <w:rPr>
                <w:b/>
                <w:noProof w:val="0"/>
              </w:rPr>
            </w:pPr>
            <w:r w:rsidRPr="004F253D">
              <w:rPr>
                <w:b/>
                <w:noProof w:val="0"/>
              </w:rPr>
              <w:t>Azoxystrobin</w:t>
            </w:r>
          </w:p>
        </w:tc>
        <w:tc>
          <w:tcPr>
            <w:tcW w:w="856" w:type="pct"/>
            <w:shd w:val="clear" w:color="auto" w:fill="auto"/>
          </w:tcPr>
          <w:p w14:paraId="027DE514" w14:textId="77777777" w:rsidR="00E51CDD" w:rsidRPr="004F253D" w:rsidRDefault="00E51CDD" w:rsidP="009938D9">
            <w:pPr>
              <w:pStyle w:val="RepTable"/>
              <w:rPr>
                <w:b/>
                <w:noProof w:val="0"/>
              </w:rPr>
            </w:pPr>
            <w:r w:rsidRPr="004F253D">
              <w:rPr>
                <w:b/>
                <w:noProof w:val="0"/>
              </w:rPr>
              <w:t>Dietary</w:t>
            </w:r>
            <w:r w:rsidRPr="004F253D">
              <w:rPr>
                <w:b/>
                <w:noProof w:val="0"/>
              </w:rPr>
              <w:br/>
              <w:t>Reproductive toxicity</w:t>
            </w:r>
          </w:p>
        </w:tc>
        <w:tc>
          <w:tcPr>
            <w:tcW w:w="1188" w:type="pct"/>
          </w:tcPr>
          <w:p w14:paraId="32C9DA9A" w14:textId="77777777" w:rsidR="00E51CDD" w:rsidRPr="00AD71DA" w:rsidRDefault="00E51CDD" w:rsidP="009938D9">
            <w:pPr>
              <w:pStyle w:val="RepTable"/>
              <w:rPr>
                <w:b/>
                <w:noProof w:val="0"/>
                <w:lang w:val="nl-BE"/>
              </w:rPr>
            </w:pPr>
            <w:r w:rsidRPr="00AD71DA">
              <w:rPr>
                <w:b/>
                <w:noProof w:val="0"/>
                <w:lang w:val="nl-BE"/>
              </w:rPr>
              <w:t>NOEL = 117 </w:t>
            </w:r>
            <w:r w:rsidRPr="00AD71DA">
              <w:rPr>
                <w:b/>
                <w:noProof w:val="0"/>
                <w:vertAlign w:val="superscript"/>
                <w:lang w:val="nl-BE"/>
              </w:rPr>
              <w:t xml:space="preserve">1) </w:t>
            </w:r>
            <w:r w:rsidRPr="00AD71DA">
              <w:rPr>
                <w:b/>
                <w:noProof w:val="0"/>
                <w:lang w:val="nl-BE"/>
              </w:rPr>
              <w:t>mg/kg b.w./d</w:t>
            </w:r>
          </w:p>
        </w:tc>
        <w:tc>
          <w:tcPr>
            <w:tcW w:w="961" w:type="pct"/>
            <w:shd w:val="clear" w:color="auto" w:fill="auto"/>
          </w:tcPr>
          <w:p w14:paraId="04D4117B" w14:textId="77777777" w:rsidR="00E51CDD" w:rsidRPr="004F253D" w:rsidRDefault="00E51CDD" w:rsidP="009938D9">
            <w:pPr>
              <w:pStyle w:val="RepTable"/>
              <w:rPr>
                <w:b/>
                <w:noProof w:val="0"/>
                <w:lang w:val="fr-FR"/>
              </w:rPr>
            </w:pPr>
            <w:r w:rsidRPr="004F253D">
              <w:rPr>
                <w:b/>
                <w:noProof w:val="0"/>
                <w:lang w:val="fr-FR"/>
              </w:rPr>
              <w:t xml:space="preserve">EFSA Journal 2010; 8(4):1542 </w:t>
            </w:r>
            <w:r w:rsidRPr="004F253D">
              <w:rPr>
                <w:b/>
                <w:szCs w:val="20"/>
                <w:lang w:val="de-DE"/>
              </w:rPr>
              <w:t>[</w:t>
            </w:r>
            <w:r w:rsidRPr="004F253D">
              <w:rPr>
                <w:b/>
                <w:noProof w:val="0"/>
                <w:lang w:val="fr-FR"/>
              </w:rPr>
              <w:t>ICI5504/0855</w:t>
            </w:r>
            <w:r w:rsidRPr="004F253D">
              <w:rPr>
                <w:b/>
                <w:szCs w:val="20"/>
                <w:lang w:val="de-DE"/>
              </w:rPr>
              <w:t>]</w:t>
            </w:r>
          </w:p>
        </w:tc>
      </w:tr>
    </w:tbl>
    <w:p w14:paraId="1CB95DDF" w14:textId="77777777" w:rsidR="00E51CDD" w:rsidRPr="00FC505F" w:rsidRDefault="00E51CDD" w:rsidP="00E51CDD">
      <w:pPr>
        <w:pStyle w:val="RepTableFootnote"/>
        <w:tabs>
          <w:tab w:val="clear" w:pos="425"/>
          <w:tab w:val="left" w:pos="0"/>
        </w:tabs>
        <w:ind w:left="0" w:firstLine="0"/>
        <w:jc w:val="both"/>
        <w:rPr>
          <w:noProof w:val="0"/>
          <w:lang w:val="en-GB"/>
        </w:rPr>
      </w:pPr>
      <w:r w:rsidRPr="00996D3E">
        <w:rPr>
          <w:noProof w:val="0"/>
          <w:vertAlign w:val="superscript"/>
          <w:lang w:val="en-US"/>
        </w:rPr>
        <w:t>1)</w:t>
      </w:r>
      <w:r w:rsidRPr="00996D3E">
        <w:rPr>
          <w:noProof w:val="0"/>
          <w:lang w:val="en-GB"/>
        </w:rPr>
        <w:t xml:space="preserve"> re-calculated endpoints in terms of daily dietary dose; it is the belief of </w:t>
      </w:r>
      <w:r>
        <w:rPr>
          <w:noProof w:val="0"/>
          <w:lang w:val="en-GB"/>
        </w:rPr>
        <w:t>the applicant</w:t>
      </w:r>
      <w:r w:rsidRPr="00996D3E">
        <w:rPr>
          <w:noProof w:val="0"/>
          <w:lang w:val="en-GB"/>
        </w:rPr>
        <w:t xml:space="preserve"> that the units are erroneously displayed in the EFSA Conclusion (2010); 8(4):1542</w:t>
      </w:r>
      <w:r w:rsidRPr="00FC505F">
        <w:rPr>
          <w:noProof w:val="0"/>
          <w:lang w:val="en-GB"/>
        </w:rPr>
        <w:t xml:space="preserve">. </w:t>
      </w:r>
    </w:p>
    <w:p w14:paraId="226F9F92" w14:textId="3C247289" w:rsidR="00E51CDD" w:rsidRDefault="00E51CDD" w:rsidP="00E51CDD">
      <w:pPr>
        <w:pStyle w:val="RepStandard"/>
      </w:pPr>
    </w:p>
    <w:p w14:paraId="5D4ACBAF" w14:textId="77777777" w:rsidR="008F34C2" w:rsidRDefault="008F34C2" w:rsidP="00E51CDD">
      <w:pPr>
        <w:pStyle w:val="RepStandard"/>
      </w:pPr>
    </w:p>
    <w:p w14:paraId="2F49593D" w14:textId="77777777" w:rsidR="00E51CDD" w:rsidRDefault="00E51CDD" w:rsidP="00E51CDD">
      <w:pPr>
        <w:widowControl w:val="0"/>
        <w:suppressAutoHyphens/>
        <w:jc w:val="both"/>
        <w:rPr>
          <w:b/>
          <w:u w:val="single"/>
        </w:rPr>
      </w:pPr>
      <w:r>
        <w:rPr>
          <w:b/>
          <w:u w:val="single"/>
        </w:rPr>
        <w:t>Metabolites</w:t>
      </w:r>
    </w:p>
    <w:p w14:paraId="2BF151A7" w14:textId="77777777" w:rsidR="00E51CDD" w:rsidRDefault="00E51CDD" w:rsidP="00E51CDD">
      <w:pPr>
        <w:widowControl w:val="0"/>
        <w:suppressAutoHyphens/>
      </w:pPr>
    </w:p>
    <w:p w14:paraId="63D63AFF" w14:textId="77777777" w:rsidR="00E51CDD" w:rsidRDefault="00E51CDD" w:rsidP="00E51CDD">
      <w:pPr>
        <w:widowControl w:val="0"/>
        <w:tabs>
          <w:tab w:val="left" w:pos="720"/>
        </w:tabs>
        <w:suppressAutoHyphens/>
        <w:jc w:val="both"/>
        <w:rPr>
          <w:b/>
          <w:bCs/>
        </w:rPr>
      </w:pPr>
      <w:r>
        <w:rPr>
          <w:b/>
          <w:bCs/>
        </w:rPr>
        <w:t>Metabolites of fluxapyroxad</w:t>
      </w:r>
    </w:p>
    <w:p w14:paraId="2CA245D8" w14:textId="77777777" w:rsidR="00E51CDD" w:rsidRDefault="00E51CDD" w:rsidP="00E51CDD">
      <w:pPr>
        <w:widowControl w:val="0"/>
        <w:tabs>
          <w:tab w:val="left" w:pos="720"/>
        </w:tabs>
        <w:suppressAutoHyphens/>
        <w:jc w:val="both"/>
        <w:rPr>
          <w:bCs/>
        </w:rPr>
      </w:pPr>
    </w:p>
    <w:p w14:paraId="685E36F3" w14:textId="77777777" w:rsidR="00E51CDD" w:rsidRDefault="00E51CDD" w:rsidP="00E51CDD">
      <w:pPr>
        <w:autoSpaceDE w:val="0"/>
        <w:autoSpaceDN w:val="0"/>
        <w:adjustRightInd w:val="0"/>
        <w:jc w:val="both"/>
        <w:rPr>
          <w:lang w:val="en-GB"/>
        </w:rPr>
      </w:pPr>
      <w:r>
        <w:rPr>
          <w:lang w:val="en-GB"/>
        </w:rPr>
        <w:t>In the assessment of the metabolites of fluxapyroxad carried out in the EU evaluation of this active substance (EFSA (2012) Scientific report 10 (1) 2522: Conclusion on the peer review of fluxapyroxad (BAS 700 F), it was concluded that no specific risk assessment for birds and mammals for any of the fluxapyroxad metabolites is necessary. Therefore, no risk assessment for metabolites is presented in this dossier.</w:t>
      </w:r>
    </w:p>
    <w:p w14:paraId="016EED0F" w14:textId="77777777" w:rsidR="00E51CDD" w:rsidRDefault="00E51CDD" w:rsidP="00E51CDD">
      <w:pPr>
        <w:pStyle w:val="RepStandard"/>
      </w:pPr>
    </w:p>
    <w:p w14:paraId="178917B1" w14:textId="77777777" w:rsidR="00E51CDD" w:rsidRDefault="00E51CDD" w:rsidP="00E51CDD">
      <w:pPr>
        <w:pStyle w:val="RepStandard"/>
      </w:pPr>
    </w:p>
    <w:p w14:paraId="015EA078" w14:textId="77777777" w:rsidR="00E51CDD" w:rsidRDefault="00E51CDD" w:rsidP="00E51CDD">
      <w:pPr>
        <w:widowControl w:val="0"/>
        <w:tabs>
          <w:tab w:val="left" w:pos="720"/>
        </w:tabs>
        <w:suppressAutoHyphens/>
        <w:jc w:val="both"/>
        <w:rPr>
          <w:b/>
          <w:bCs/>
        </w:rPr>
      </w:pPr>
      <w:r>
        <w:rPr>
          <w:b/>
          <w:bCs/>
        </w:rPr>
        <w:t>Metabolites of azoxystrobin</w:t>
      </w:r>
    </w:p>
    <w:p w14:paraId="263EDF4B" w14:textId="77777777" w:rsidR="00E51CDD" w:rsidRDefault="00E51CDD" w:rsidP="00E51CDD">
      <w:pPr>
        <w:widowControl w:val="0"/>
        <w:tabs>
          <w:tab w:val="left" w:pos="720"/>
        </w:tabs>
        <w:suppressAutoHyphens/>
        <w:jc w:val="both"/>
        <w:rPr>
          <w:b/>
          <w:bCs/>
        </w:rPr>
      </w:pPr>
    </w:p>
    <w:p w14:paraId="55090B36" w14:textId="77777777" w:rsidR="00E51CDD" w:rsidRPr="00FA7957" w:rsidRDefault="00E51CDD" w:rsidP="00E51CDD">
      <w:pPr>
        <w:autoSpaceDE w:val="0"/>
        <w:autoSpaceDN w:val="0"/>
        <w:adjustRightInd w:val="0"/>
        <w:jc w:val="both"/>
        <w:rPr>
          <w:lang w:val="en-GB"/>
        </w:rPr>
      </w:pPr>
      <w:r w:rsidRPr="00FA7957">
        <w:rPr>
          <w:lang w:val="en-GB"/>
        </w:rPr>
        <w:t>In the assessment of the metabolites of azoxystrobin carried out in the EU evaluation of this active substance (EFSA (2010) Scientific report 8 (4) 1542: Conclusion on the peer review of azoxystrobin, it was concluded that no specific risk assessment for birds and mammals for any of the azoxystrobin metabolites is necessary. Therefore, no risk assessment for metabolites is presented in this dossier.</w:t>
      </w:r>
    </w:p>
    <w:p w14:paraId="570004D6" w14:textId="77777777" w:rsidR="00E51CDD" w:rsidRPr="004A135A" w:rsidRDefault="00E51CDD" w:rsidP="00E51CDD">
      <w:pPr>
        <w:widowControl w:val="0"/>
        <w:tabs>
          <w:tab w:val="left" w:pos="720"/>
        </w:tabs>
        <w:suppressAutoHyphens/>
        <w:jc w:val="both"/>
      </w:pPr>
    </w:p>
    <w:p w14:paraId="36C66700" w14:textId="77777777" w:rsidR="00E51CDD" w:rsidRDefault="00E51CDD" w:rsidP="00E51CDD">
      <w:pPr>
        <w:pStyle w:val="RepStandard"/>
      </w:pPr>
    </w:p>
    <w:p w14:paraId="746A3BFF" w14:textId="77777777" w:rsidR="00E51CDD" w:rsidRDefault="00E51CDD" w:rsidP="00E51CDD">
      <w:pPr>
        <w:widowControl w:val="0"/>
        <w:jc w:val="both"/>
        <w:rPr>
          <w:b/>
          <w:u w:val="single"/>
          <w:lang w:val="en-GB"/>
        </w:rPr>
      </w:pPr>
      <w:r>
        <w:rPr>
          <w:b/>
          <w:u w:val="single"/>
          <w:lang w:val="en-GB"/>
        </w:rPr>
        <w:t>Formulation toxicity</w:t>
      </w:r>
    </w:p>
    <w:p w14:paraId="2A8C8D0A" w14:textId="77777777" w:rsidR="00E51CDD" w:rsidRDefault="00E51CDD" w:rsidP="00E51CDD">
      <w:pPr>
        <w:pStyle w:val="RepStandard"/>
      </w:pPr>
    </w:p>
    <w:p w14:paraId="6D0B8595" w14:textId="77777777" w:rsidR="00E51CDD" w:rsidRDefault="00E51CDD" w:rsidP="00E51CDD">
      <w:pPr>
        <w:widowControl w:val="0"/>
        <w:autoSpaceDE w:val="0"/>
        <w:autoSpaceDN w:val="0"/>
        <w:adjustRightInd w:val="0"/>
        <w:jc w:val="both"/>
        <w:rPr>
          <w:lang w:val="en-GB"/>
        </w:rPr>
      </w:pPr>
      <w:r w:rsidRPr="0026404C">
        <w:t>An acute toxicity test in bobwhite quails has been carried out with the formulation BAS 7</w:t>
      </w:r>
      <w:r>
        <w:t>36</w:t>
      </w:r>
      <w:r w:rsidRPr="0026404C">
        <w:t> 00 F (</w:t>
      </w:r>
      <w:r w:rsidRPr="0026404C">
        <w:rPr>
          <w:rFonts w:eastAsia="Batang"/>
          <w:lang w:val="en-GB" w:eastAsia="zh-CN"/>
        </w:rPr>
        <w:t xml:space="preserve">BASF </w:t>
      </w:r>
      <w:r w:rsidRPr="0026404C">
        <w:rPr>
          <w:rFonts w:eastAsia="Batang"/>
          <w:lang w:val="en-GB" w:eastAsia="zh-CN"/>
        </w:rPr>
        <w:lastRenderedPageBreak/>
        <w:t xml:space="preserve">DocID </w:t>
      </w:r>
      <w:r w:rsidRPr="0026404C">
        <w:rPr>
          <w:lang w:val="en-GB"/>
        </w:rPr>
        <w:t>20</w:t>
      </w:r>
      <w:r>
        <w:rPr>
          <w:lang w:val="en-GB"/>
        </w:rPr>
        <w:t>20</w:t>
      </w:r>
      <w:r w:rsidRPr="0026404C">
        <w:rPr>
          <w:lang w:val="en-GB"/>
        </w:rPr>
        <w:t>/</w:t>
      </w:r>
      <w:r>
        <w:rPr>
          <w:lang w:val="en-GB"/>
        </w:rPr>
        <w:t>2095640</w:t>
      </w:r>
      <w:r w:rsidRPr="0026404C">
        <w:rPr>
          <w:lang w:val="en-GB"/>
        </w:rPr>
        <w:t xml:space="preserve">; </w:t>
      </w:r>
      <w:r w:rsidRPr="00E96D51">
        <w:rPr>
          <w:lang w:val="en-GB"/>
        </w:rPr>
        <w:t>see section 9: Appendix 2.1.1</w:t>
      </w:r>
      <w:r w:rsidRPr="0026404C">
        <w:t xml:space="preserve">), </w:t>
      </w:r>
      <w:r w:rsidRPr="00623951">
        <w:t xml:space="preserve">as required by EU Commission Regulation </w:t>
      </w:r>
      <w:r w:rsidRPr="00623951">
        <w:rPr>
          <w:bCs/>
        </w:rPr>
        <w:t>No. 284/2013 due to the acute toxicity of the formulation to rats.</w:t>
      </w:r>
      <w:r w:rsidRPr="0026404C">
        <w:rPr>
          <w:bCs/>
        </w:rPr>
        <w:t xml:space="preserve"> </w:t>
      </w:r>
      <w:r w:rsidRPr="0026404C">
        <w:rPr>
          <w:lang w:val="en-GB"/>
        </w:rPr>
        <w:t>No mortality occurred in this study, with LD</w:t>
      </w:r>
      <w:r w:rsidRPr="0026404C">
        <w:rPr>
          <w:vertAlign w:val="subscript"/>
          <w:lang w:val="en-GB"/>
        </w:rPr>
        <w:t>50</w:t>
      </w:r>
      <w:r w:rsidRPr="0026404C">
        <w:rPr>
          <w:lang w:val="en-GB"/>
        </w:rPr>
        <w:t xml:space="preserve"> &gt; 2000 mg formulation/kg b.w.</w:t>
      </w:r>
      <w:r>
        <w:rPr>
          <w:lang w:val="en-GB"/>
        </w:rPr>
        <w:t>.</w:t>
      </w:r>
      <w:r w:rsidRPr="0026404C">
        <w:rPr>
          <w:lang w:val="en-GB"/>
        </w:rPr>
        <w:t xml:space="preserve"> This indicates low toxicity of the formulation and no increased toxicity of the formulation compared to the active substances. Consequently, the acute risk from the formulation is covered by the acute risk assessment for the active substances.</w:t>
      </w:r>
    </w:p>
    <w:p w14:paraId="0D05BDD6" w14:textId="77777777" w:rsidR="00E51CDD" w:rsidRPr="002B1114" w:rsidRDefault="00E51CDD" w:rsidP="00E51CDD">
      <w:pPr>
        <w:pStyle w:val="Nagwek4"/>
        <w:rPr>
          <w:lang w:val="en-GB"/>
        </w:rPr>
      </w:pPr>
      <w:bookmarkStart w:id="172" w:name="_Toc399353252"/>
      <w:bookmarkStart w:id="173" w:name="_Toc412643973"/>
      <w:bookmarkStart w:id="174" w:name="_Toc413916819"/>
      <w:bookmarkStart w:id="175" w:name="_Toc413916961"/>
      <w:bookmarkStart w:id="176" w:name="_Toc413922022"/>
      <w:bookmarkStart w:id="177" w:name="_Toc413922511"/>
      <w:bookmarkStart w:id="178" w:name="_Toc413922615"/>
      <w:bookmarkStart w:id="179" w:name="_Toc414955252"/>
      <w:bookmarkStart w:id="180" w:name="_Toc415214559"/>
      <w:bookmarkStart w:id="181" w:name="_Toc125446402"/>
      <w:r w:rsidRPr="002B1114">
        <w:rPr>
          <w:lang w:val="en-GB"/>
        </w:rPr>
        <w:t>Justification for new endpoints</w:t>
      </w:r>
      <w:bookmarkEnd w:id="172"/>
      <w:bookmarkEnd w:id="173"/>
      <w:bookmarkEnd w:id="174"/>
      <w:bookmarkEnd w:id="175"/>
      <w:bookmarkEnd w:id="176"/>
      <w:bookmarkEnd w:id="177"/>
      <w:bookmarkEnd w:id="178"/>
      <w:bookmarkEnd w:id="179"/>
      <w:bookmarkEnd w:id="180"/>
      <w:bookmarkEnd w:id="181"/>
    </w:p>
    <w:p w14:paraId="30507CE8" w14:textId="77777777" w:rsidR="00E51CDD" w:rsidRDefault="00E51CDD" w:rsidP="00E51CDD">
      <w:pPr>
        <w:widowControl w:val="0"/>
        <w:jc w:val="both"/>
        <w:rPr>
          <w:b/>
          <w:lang w:val="en-GB"/>
        </w:rPr>
      </w:pPr>
      <w:r>
        <w:rPr>
          <w:b/>
          <w:lang w:val="en-GB"/>
        </w:rPr>
        <w:t>Fluxapyroxad</w:t>
      </w:r>
    </w:p>
    <w:p w14:paraId="1AD492AC" w14:textId="77777777" w:rsidR="00E51CDD" w:rsidRDefault="00E51CDD" w:rsidP="00E51CDD">
      <w:pPr>
        <w:widowControl w:val="0"/>
        <w:jc w:val="both"/>
        <w:rPr>
          <w:lang w:val="en-GB"/>
        </w:rPr>
      </w:pPr>
    </w:p>
    <w:p w14:paraId="680B8169" w14:textId="77777777" w:rsidR="00E51CDD" w:rsidRDefault="00E51CDD" w:rsidP="00E51CDD">
      <w:pPr>
        <w:tabs>
          <w:tab w:val="left" w:pos="720"/>
        </w:tabs>
        <w:jc w:val="both"/>
      </w:pPr>
      <w:r>
        <w:rPr>
          <w:u w:val="single"/>
        </w:rPr>
        <w:t>Acute</w:t>
      </w:r>
      <w:r>
        <w:t xml:space="preserve"> – Because no mortality occurred in the acute oral gavage studies in quail (BASF DocID 2007/1054365), mallard (BASF DocID 2008/1003797) and zebra finch (BASF DocID 2009/1050338), the endpoints from each study (LD</w:t>
      </w:r>
      <w:r>
        <w:rPr>
          <w:vertAlign w:val="subscript"/>
        </w:rPr>
        <w:t>50</w:t>
      </w:r>
      <w:r>
        <w:t xml:space="preserve"> &gt; 2000 mg/kg b.w.) were extrapolated to LD</w:t>
      </w:r>
      <w:r>
        <w:rPr>
          <w:vertAlign w:val="subscript"/>
        </w:rPr>
        <w:t>50</w:t>
      </w:r>
      <w:r>
        <w:rPr>
          <w:rFonts w:eastAsia="SimSun"/>
          <w:bCs/>
          <w:vertAlign w:val="subscript"/>
          <w:lang w:eastAsia="zh-CN"/>
        </w:rPr>
        <w:t xml:space="preserve"> (extrapolated)</w:t>
      </w:r>
      <w:r>
        <w:t xml:space="preserve"> = 3 776 mg/kg b.w. </w:t>
      </w:r>
      <w:r>
        <w:rPr>
          <w:rFonts w:eastAsia="SimSun"/>
          <w:bCs/>
          <w:lang w:eastAsia="zh-CN"/>
        </w:rPr>
        <w:t>Determination of the geometric mean out of the three extrapolated LD</w:t>
      </w:r>
      <w:r>
        <w:rPr>
          <w:rFonts w:eastAsia="SimSun"/>
          <w:bCs/>
          <w:vertAlign w:val="subscript"/>
          <w:lang w:eastAsia="zh-CN"/>
        </w:rPr>
        <w:t>50</w:t>
      </w:r>
      <w:r>
        <w:rPr>
          <w:rFonts w:eastAsia="SimSun"/>
          <w:bCs/>
          <w:lang w:eastAsia="zh-CN"/>
        </w:rPr>
        <w:t xml:space="preserve"> values resulted in an LD</w:t>
      </w:r>
      <w:r>
        <w:rPr>
          <w:rFonts w:eastAsia="SimSun"/>
          <w:bCs/>
          <w:vertAlign w:val="subscript"/>
          <w:lang w:eastAsia="zh-CN"/>
        </w:rPr>
        <w:t>50</w:t>
      </w:r>
      <w:r>
        <w:rPr>
          <w:rFonts w:eastAsia="SimSun"/>
          <w:bCs/>
          <w:lang w:eastAsia="zh-CN"/>
        </w:rPr>
        <w:t xml:space="preserve"> </w:t>
      </w:r>
      <w:r>
        <w:rPr>
          <w:rFonts w:eastAsia="SimSun"/>
          <w:bCs/>
          <w:vertAlign w:val="subscript"/>
          <w:lang w:eastAsia="zh-CN"/>
        </w:rPr>
        <w:t>(extrapolated, geometric mean)</w:t>
      </w:r>
      <w:r>
        <w:rPr>
          <w:rFonts w:eastAsia="SimSun"/>
          <w:bCs/>
          <w:lang w:eastAsia="zh-CN"/>
        </w:rPr>
        <w:t> = 3 776 mg a.s./kg b.w. of the acute oral toxicity studies.</w:t>
      </w:r>
    </w:p>
    <w:p w14:paraId="1C708A70" w14:textId="77777777" w:rsidR="00E51CDD" w:rsidRDefault="00E51CDD" w:rsidP="00E51CDD">
      <w:pPr>
        <w:tabs>
          <w:tab w:val="left" w:pos="720"/>
        </w:tab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47"/>
      </w:tblGrid>
      <w:tr w:rsidR="002C2D66" w:rsidRPr="00DD5DB0" w14:paraId="28EC744E" w14:textId="77777777" w:rsidTr="00D3711F">
        <w:trPr>
          <w:trHeight w:val="668"/>
        </w:trPr>
        <w:tc>
          <w:tcPr>
            <w:tcW w:w="5000" w:type="pct"/>
            <w:shd w:val="clear" w:color="auto" w:fill="D9D9D9" w:themeFill="background1" w:themeFillShade="D9"/>
          </w:tcPr>
          <w:p w14:paraId="7B5391C0" w14:textId="77777777" w:rsidR="002C2D66" w:rsidRPr="00F5456E" w:rsidRDefault="002C2D66" w:rsidP="000B5615">
            <w:pPr>
              <w:pStyle w:val="TableText"/>
              <w:spacing w:before="120" w:after="120"/>
              <w:jc w:val="both"/>
              <w:rPr>
                <w:b/>
                <w:bCs/>
                <w:sz w:val="22"/>
                <w:szCs w:val="22"/>
                <w:lang w:eastAsia="en-US"/>
              </w:rPr>
            </w:pPr>
            <w:r w:rsidRPr="00F5456E">
              <w:rPr>
                <w:b/>
                <w:bCs/>
                <w:sz w:val="22"/>
                <w:szCs w:val="22"/>
                <w:lang w:eastAsia="en-US"/>
              </w:rPr>
              <w:t>Review Comments:</w:t>
            </w:r>
          </w:p>
          <w:p w14:paraId="46363718" w14:textId="0B0CBF6A" w:rsidR="000B5615" w:rsidRPr="000B5615" w:rsidRDefault="00324347" w:rsidP="000B5615">
            <w:pPr>
              <w:shd w:val="clear" w:color="auto" w:fill="D9D9D9"/>
              <w:spacing w:before="120" w:after="120"/>
              <w:jc w:val="both"/>
              <w:rPr>
                <w:bCs/>
                <w:lang w:val="en-GB"/>
              </w:rPr>
            </w:pPr>
            <w:r>
              <w:rPr>
                <w:rFonts w:cs="Arial"/>
              </w:rPr>
              <w:t>At the</w:t>
            </w:r>
            <w:r w:rsidR="002F1C8B">
              <w:rPr>
                <w:rFonts w:cs="Arial"/>
              </w:rPr>
              <w:t xml:space="preserve"> </w:t>
            </w:r>
            <w:r w:rsidR="002F1C8B">
              <w:rPr>
                <w:bCs/>
                <w:lang w:val="en-GB"/>
              </w:rPr>
              <w:t xml:space="preserve">screening step </w:t>
            </w:r>
            <w:r w:rsidR="000B5615">
              <w:rPr>
                <w:bCs/>
                <w:lang w:val="en-GB"/>
              </w:rPr>
              <w:t>LD</w:t>
            </w:r>
            <w:r w:rsidR="000B5615" w:rsidRPr="00997F22">
              <w:rPr>
                <w:bCs/>
                <w:vertAlign w:val="subscript"/>
                <w:lang w:val="en-GB"/>
              </w:rPr>
              <w:t>50</w:t>
            </w:r>
            <w:r w:rsidR="000B5615">
              <w:rPr>
                <w:bCs/>
                <w:lang w:val="en-GB"/>
              </w:rPr>
              <w:t xml:space="preserve"> value of &gt;2000 mg a.s./kg bw will be used in the risk assessment.</w:t>
            </w:r>
          </w:p>
        </w:tc>
      </w:tr>
    </w:tbl>
    <w:p w14:paraId="66FFB870" w14:textId="77777777" w:rsidR="002C2D66" w:rsidRDefault="002C2D66" w:rsidP="00E51CDD">
      <w:pPr>
        <w:tabs>
          <w:tab w:val="left" w:pos="720"/>
        </w:tabs>
        <w:jc w:val="both"/>
      </w:pPr>
    </w:p>
    <w:p w14:paraId="391E5883" w14:textId="77777777" w:rsidR="00E51CDD" w:rsidRDefault="00E51CDD" w:rsidP="00E51CDD">
      <w:pPr>
        <w:tabs>
          <w:tab w:val="left" w:pos="720"/>
        </w:tabs>
      </w:pPr>
      <w:r>
        <w:rPr>
          <w:u w:val="single"/>
        </w:rPr>
        <w:t>Reproductive</w:t>
      </w:r>
      <w:r>
        <w:t xml:space="preserve"> - </w:t>
      </w:r>
      <w:r>
        <w:rPr>
          <w:lang w:val="en-GB"/>
        </w:rPr>
        <w:t xml:space="preserve">Not applicable. Endpoint is EU agreed. </w:t>
      </w:r>
    </w:p>
    <w:p w14:paraId="5C3669FD" w14:textId="77777777" w:rsidR="00E51CDD" w:rsidRDefault="00E51CDD" w:rsidP="00E51CDD">
      <w:pPr>
        <w:pStyle w:val="RepStandard"/>
        <w:rPr>
          <w:lang w:val="en-US"/>
        </w:rPr>
      </w:pPr>
    </w:p>
    <w:p w14:paraId="2E8CE4EE" w14:textId="77777777" w:rsidR="00E51CDD" w:rsidRDefault="00E51CDD" w:rsidP="00E51CDD">
      <w:pPr>
        <w:pStyle w:val="RepStandard"/>
        <w:rPr>
          <w:lang w:val="en-US"/>
        </w:rPr>
      </w:pPr>
    </w:p>
    <w:p w14:paraId="6E374604" w14:textId="77777777" w:rsidR="00E51CDD" w:rsidRPr="00623951" w:rsidRDefault="00E51CDD" w:rsidP="00E51CDD">
      <w:pPr>
        <w:widowControl w:val="0"/>
        <w:jc w:val="both"/>
        <w:rPr>
          <w:b/>
          <w:lang w:val="en-GB"/>
        </w:rPr>
      </w:pPr>
      <w:r w:rsidRPr="00623951">
        <w:rPr>
          <w:b/>
          <w:lang w:val="en-GB"/>
        </w:rPr>
        <w:t>Azoxystrobin</w:t>
      </w:r>
    </w:p>
    <w:p w14:paraId="5985F333" w14:textId="77777777" w:rsidR="00E51CDD" w:rsidRPr="00623951" w:rsidRDefault="00E51CDD" w:rsidP="00E51CDD">
      <w:pPr>
        <w:widowControl w:val="0"/>
        <w:jc w:val="both"/>
        <w:rPr>
          <w:lang w:val="en-GB"/>
        </w:rPr>
      </w:pPr>
    </w:p>
    <w:p w14:paraId="02CFCD2A" w14:textId="77777777" w:rsidR="00E51CDD" w:rsidRPr="00623951" w:rsidRDefault="00E51CDD" w:rsidP="00E51CDD">
      <w:pPr>
        <w:widowControl w:val="0"/>
        <w:jc w:val="both"/>
        <w:rPr>
          <w:lang w:val="en-GB"/>
        </w:rPr>
      </w:pPr>
      <w:r w:rsidRPr="00623951">
        <w:rPr>
          <w:u w:val="single"/>
          <w:lang w:val="en-GB"/>
        </w:rPr>
        <w:t>Acute</w:t>
      </w:r>
      <w:r w:rsidRPr="00623951">
        <w:rPr>
          <w:lang w:val="en-GB"/>
        </w:rPr>
        <w:t xml:space="preserve"> – Not applicable. Endpoint is EU agreed.</w:t>
      </w:r>
    </w:p>
    <w:p w14:paraId="78FE6B5E" w14:textId="77777777" w:rsidR="00E51CDD" w:rsidRPr="00623951" w:rsidRDefault="00E51CDD" w:rsidP="00E51CDD">
      <w:pPr>
        <w:widowControl w:val="0"/>
        <w:jc w:val="both"/>
        <w:rPr>
          <w:lang w:val="en-GB"/>
        </w:rPr>
      </w:pPr>
    </w:p>
    <w:p w14:paraId="5369EE4F" w14:textId="7B7F1712" w:rsidR="00E51CDD" w:rsidRDefault="00E51CDD" w:rsidP="00E51CDD">
      <w:pPr>
        <w:pStyle w:val="RepStandard"/>
      </w:pPr>
      <w:r w:rsidRPr="00623951">
        <w:rPr>
          <w:u w:val="single"/>
        </w:rPr>
        <w:t>Reproductive</w:t>
      </w:r>
      <w:r w:rsidRPr="00623951">
        <w:t xml:space="preserve"> – Not applicable. Endpoint is EU agreed</w:t>
      </w:r>
    </w:p>
    <w:p w14:paraId="55A5001A" w14:textId="18FED70D" w:rsidR="008F34C2" w:rsidRDefault="008F34C2" w:rsidP="00E51CDD">
      <w:pPr>
        <w:pStyle w:val="RepStandard"/>
      </w:pPr>
    </w:p>
    <w:p w14:paraId="4A440E8B" w14:textId="77777777" w:rsidR="006166CC" w:rsidRPr="006166CC" w:rsidRDefault="006166CC" w:rsidP="006166CC">
      <w:pPr>
        <w:widowControl w:val="0"/>
        <w:jc w:val="both"/>
        <w:rPr>
          <w:b/>
          <w:highlight w:val="cyan"/>
          <w:u w:val="single"/>
          <w:lang w:val="en-GB"/>
        </w:rPr>
      </w:pPr>
      <w:r w:rsidRPr="006166CC">
        <w:rPr>
          <w:b/>
          <w:highlight w:val="cyan"/>
          <w:u w:val="single"/>
          <w:lang w:val="en-GB"/>
        </w:rPr>
        <w:t>Formulation toxicity</w:t>
      </w:r>
    </w:p>
    <w:p w14:paraId="2FEEC8FB" w14:textId="77777777" w:rsidR="006166CC" w:rsidRPr="006166CC" w:rsidRDefault="006166CC" w:rsidP="006166CC">
      <w:pPr>
        <w:pStyle w:val="RepStandard"/>
        <w:rPr>
          <w:highlight w:val="cyan"/>
        </w:rPr>
      </w:pPr>
    </w:p>
    <w:p w14:paraId="038CC3E6" w14:textId="76A120E5" w:rsidR="006166CC" w:rsidRDefault="006166CC" w:rsidP="006166CC">
      <w:pPr>
        <w:pStyle w:val="RepStandard"/>
      </w:pPr>
      <w:r w:rsidRPr="006166CC">
        <w:rPr>
          <w:highlight w:val="cyan"/>
        </w:rPr>
        <w:t>An acute toxicity test in bobwhite quails has been carried out with the formulation BAS 736 00 F</w:t>
      </w:r>
    </w:p>
    <w:p w14:paraId="3886DFBB" w14:textId="77777777" w:rsidR="00E51CDD" w:rsidRPr="002B1114" w:rsidRDefault="00E51CDD" w:rsidP="00E51CDD">
      <w:pPr>
        <w:pStyle w:val="Nagwek3"/>
      </w:pPr>
      <w:bookmarkStart w:id="182" w:name="_Toc399353254"/>
      <w:bookmarkStart w:id="183" w:name="_Ref405896905"/>
      <w:bookmarkStart w:id="184" w:name="_Toc412643974"/>
      <w:bookmarkStart w:id="185" w:name="_Toc413916820"/>
      <w:bookmarkStart w:id="186" w:name="_Toc413916962"/>
      <w:bookmarkStart w:id="187" w:name="_Toc413922023"/>
      <w:bookmarkStart w:id="188" w:name="_Toc413922512"/>
      <w:bookmarkStart w:id="189" w:name="_Toc413922616"/>
      <w:bookmarkStart w:id="190" w:name="_Toc414955253"/>
      <w:bookmarkStart w:id="191" w:name="_Ref414959980"/>
      <w:bookmarkStart w:id="192" w:name="_Toc415214560"/>
      <w:bookmarkStart w:id="193" w:name="_Toc125446403"/>
      <w:r w:rsidRPr="002B1114">
        <w:t>Risk assessment for spray applications</w:t>
      </w:r>
      <w:bookmarkEnd w:id="182"/>
      <w:bookmarkEnd w:id="183"/>
      <w:bookmarkEnd w:id="184"/>
      <w:bookmarkEnd w:id="185"/>
      <w:bookmarkEnd w:id="186"/>
      <w:bookmarkEnd w:id="187"/>
      <w:bookmarkEnd w:id="188"/>
      <w:bookmarkEnd w:id="189"/>
      <w:bookmarkEnd w:id="190"/>
      <w:bookmarkEnd w:id="191"/>
      <w:bookmarkEnd w:id="192"/>
      <w:bookmarkEnd w:id="193"/>
    </w:p>
    <w:p w14:paraId="2941ECBD" w14:textId="77777777" w:rsidR="00E51CDD" w:rsidRDefault="00E51CDD" w:rsidP="00E51CDD">
      <w:pPr>
        <w:jc w:val="both"/>
        <w:rPr>
          <w:b/>
          <w:szCs w:val="24"/>
        </w:rPr>
      </w:pPr>
      <w:r>
        <w:rPr>
          <w:b/>
          <w:bCs/>
        </w:rPr>
        <w:t>Proposed use pattern</w:t>
      </w:r>
      <w:r>
        <w:rPr>
          <w:b/>
          <w:szCs w:val="24"/>
        </w:rPr>
        <w:t xml:space="preserve"> for the risk assessments</w:t>
      </w:r>
    </w:p>
    <w:p w14:paraId="6123E666" w14:textId="77777777" w:rsidR="00E51CDD" w:rsidRDefault="00E51CDD" w:rsidP="00E51CDD">
      <w:pPr>
        <w:jc w:val="both"/>
        <w:rPr>
          <w:b/>
          <w:szCs w:val="24"/>
        </w:rPr>
      </w:pPr>
    </w:p>
    <w:p w14:paraId="394ACBCB" w14:textId="3D1A488E" w:rsidR="00E51CDD" w:rsidRPr="002860BC" w:rsidRDefault="00E51CDD" w:rsidP="00E51CDD">
      <w:pPr>
        <w:widowControl w:val="0"/>
        <w:jc w:val="both"/>
        <w:rPr>
          <w:bCs/>
          <w:szCs w:val="24"/>
          <w:lang w:val="en-GB"/>
        </w:rPr>
      </w:pPr>
      <w:bookmarkStart w:id="194" w:name="_Hlk41401429"/>
      <w:r>
        <w:rPr>
          <w:bCs/>
          <w:szCs w:val="24"/>
          <w:lang w:val="en-GB"/>
        </w:rPr>
        <w:t xml:space="preserve">The proposed use pattern for the use of BAS 736 00 F is summarized in </w:t>
      </w:r>
      <w:r>
        <w:rPr>
          <w:bCs/>
          <w:szCs w:val="24"/>
          <w:highlight w:val="yellow"/>
          <w:lang w:val="en-GB"/>
        </w:rPr>
        <w:fldChar w:fldCharType="begin"/>
      </w:r>
      <w:r>
        <w:rPr>
          <w:bCs/>
          <w:szCs w:val="24"/>
          <w:lang w:val="en-GB"/>
        </w:rPr>
        <w:instrText xml:space="preserve"> REF _Ref81492420 \h </w:instrText>
      </w:r>
      <w:r>
        <w:rPr>
          <w:bCs/>
          <w:szCs w:val="24"/>
          <w:highlight w:val="yellow"/>
          <w:lang w:val="en-GB"/>
        </w:rPr>
      </w:r>
      <w:r>
        <w:rPr>
          <w:bCs/>
          <w:szCs w:val="24"/>
          <w:highlight w:val="yellow"/>
          <w:lang w:val="en-GB"/>
        </w:rPr>
        <w:fldChar w:fldCharType="separate"/>
      </w:r>
      <w:r w:rsidR="00662F32" w:rsidRPr="002B1114">
        <w:t xml:space="preserve">Table </w:t>
      </w:r>
      <w:r w:rsidR="00662F32">
        <w:rPr>
          <w:noProof/>
        </w:rPr>
        <w:t>9.2</w:t>
      </w:r>
      <w:r w:rsidR="00662F32" w:rsidRPr="002B1114">
        <w:noBreakHyphen/>
      </w:r>
      <w:r w:rsidR="00662F32">
        <w:rPr>
          <w:noProof/>
        </w:rPr>
        <w:t>3</w:t>
      </w:r>
      <w:r>
        <w:rPr>
          <w:bCs/>
          <w:szCs w:val="24"/>
          <w:highlight w:val="yellow"/>
          <w:lang w:val="en-GB"/>
        </w:rPr>
        <w:fldChar w:fldCharType="end"/>
      </w:r>
      <w:r>
        <w:rPr>
          <w:bCs/>
          <w:szCs w:val="24"/>
          <w:lang w:val="en-GB"/>
        </w:rPr>
        <w:t xml:space="preserve">. </w:t>
      </w:r>
      <w:r>
        <w:rPr>
          <w:bCs/>
          <w:lang w:val="en-GB"/>
        </w:rPr>
        <w:t xml:space="preserve">The detailed use pattern table is presented at the beginning of the ecotoxicology chapter </w:t>
      </w:r>
      <w:r>
        <w:rPr>
          <w:bCs/>
          <w:szCs w:val="24"/>
          <w:lang w:val="en-GB"/>
        </w:rPr>
        <w:t>(section 9.1).</w:t>
      </w:r>
      <w:bookmarkEnd w:id="194"/>
    </w:p>
    <w:p w14:paraId="05790470" w14:textId="24DB295E" w:rsidR="00E51CDD" w:rsidRDefault="00E51CDD" w:rsidP="00E51CDD">
      <w:pPr>
        <w:pStyle w:val="RepLabel"/>
      </w:pPr>
      <w:bookmarkStart w:id="195" w:name="_Ref81492420"/>
      <w:r w:rsidRPr="002B1114">
        <w:t xml:space="preserve">Table </w:t>
      </w:r>
      <w:r w:rsidRPr="002B1114">
        <w:fldChar w:fldCharType="begin"/>
      </w:r>
      <w:r w:rsidRPr="002B1114">
        <w:instrText xml:space="preserve"> STYLEREF 2 \s </w:instrText>
      </w:r>
      <w:r w:rsidRPr="002B1114">
        <w:fldChar w:fldCharType="separate"/>
      </w:r>
      <w:r w:rsidR="00662F32">
        <w:rPr>
          <w:noProof/>
        </w:rPr>
        <w:t>9.2</w:t>
      </w:r>
      <w:r w:rsidRPr="002B1114">
        <w:fldChar w:fldCharType="end"/>
      </w:r>
      <w:r w:rsidRPr="002B1114">
        <w:noBreakHyphen/>
      </w:r>
      <w:r w:rsidRPr="002B1114">
        <w:fldChar w:fldCharType="begin"/>
      </w:r>
      <w:r w:rsidRPr="002B1114">
        <w:instrText xml:space="preserve"> SEQ Table \* ARABIC \s 2 </w:instrText>
      </w:r>
      <w:r w:rsidRPr="002B1114">
        <w:fldChar w:fldCharType="separate"/>
      </w:r>
      <w:r w:rsidR="00662F32">
        <w:rPr>
          <w:noProof/>
        </w:rPr>
        <w:t>3</w:t>
      </w:r>
      <w:r w:rsidRPr="002B1114">
        <w:fldChar w:fldCharType="end"/>
      </w:r>
      <w:bookmarkEnd w:id="195"/>
      <w:r w:rsidRPr="002B1114">
        <w:t>:</w:t>
      </w:r>
      <w:r w:rsidRPr="002B1114">
        <w:tab/>
      </w:r>
      <w:r>
        <w:t xml:space="preserve">Proposed use pattern </w:t>
      </w: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78"/>
        <w:gridCol w:w="1518"/>
        <w:gridCol w:w="1074"/>
        <w:gridCol w:w="804"/>
        <w:gridCol w:w="789"/>
        <w:gridCol w:w="1356"/>
        <w:gridCol w:w="1253"/>
        <w:gridCol w:w="1251"/>
      </w:tblGrid>
      <w:tr w:rsidR="00E51CDD" w14:paraId="753BF8AB" w14:textId="77777777" w:rsidTr="009938D9">
        <w:trPr>
          <w:cantSplit/>
          <w:trHeight w:val="412"/>
        </w:trPr>
        <w:tc>
          <w:tcPr>
            <w:tcW w:w="685" w:type="pct"/>
            <w:vMerge w:val="restart"/>
            <w:tcBorders>
              <w:top w:val="single" w:sz="4" w:space="0" w:color="auto"/>
              <w:left w:val="single" w:sz="4" w:space="0" w:color="auto"/>
              <w:right w:val="single" w:sz="4" w:space="0" w:color="auto"/>
            </w:tcBorders>
            <w:vAlign w:val="center"/>
          </w:tcPr>
          <w:p w14:paraId="0EAC006D" w14:textId="77777777" w:rsidR="00E51CDD" w:rsidRPr="00590DF7" w:rsidRDefault="00E51CDD" w:rsidP="009938D9">
            <w:pPr>
              <w:widowControl w:val="0"/>
              <w:spacing w:before="40" w:after="40"/>
              <w:jc w:val="center"/>
              <w:rPr>
                <w:b/>
                <w:bCs/>
                <w:sz w:val="20"/>
              </w:rPr>
            </w:pPr>
            <w:r>
              <w:rPr>
                <w:b/>
                <w:bCs/>
                <w:sz w:val="20"/>
                <w:lang w:val="de-DE"/>
              </w:rPr>
              <w:t>Crop</w:t>
            </w:r>
          </w:p>
        </w:tc>
        <w:tc>
          <w:tcPr>
            <w:tcW w:w="814" w:type="pct"/>
            <w:vMerge w:val="restart"/>
            <w:tcBorders>
              <w:top w:val="single" w:sz="4" w:space="0" w:color="auto"/>
              <w:left w:val="single" w:sz="4" w:space="0" w:color="auto"/>
              <w:right w:val="single" w:sz="4" w:space="0" w:color="auto"/>
            </w:tcBorders>
            <w:vAlign w:val="center"/>
          </w:tcPr>
          <w:p w14:paraId="779910DD" w14:textId="77777777" w:rsidR="00E51CDD" w:rsidRPr="00590DF7" w:rsidRDefault="00E51CDD" w:rsidP="009938D9">
            <w:pPr>
              <w:widowControl w:val="0"/>
              <w:spacing w:before="40" w:after="40"/>
              <w:jc w:val="center"/>
              <w:rPr>
                <w:b/>
                <w:bCs/>
                <w:sz w:val="20"/>
              </w:rPr>
            </w:pPr>
            <w:r w:rsidRPr="00590DF7">
              <w:rPr>
                <w:b/>
                <w:bCs/>
                <w:sz w:val="20"/>
              </w:rPr>
              <w:t>Crop group according to EFSA/2009/1438</w:t>
            </w:r>
          </w:p>
        </w:tc>
        <w:tc>
          <w:tcPr>
            <w:tcW w:w="576" w:type="pct"/>
            <w:vMerge w:val="restart"/>
            <w:tcBorders>
              <w:top w:val="single" w:sz="4" w:space="0" w:color="auto"/>
              <w:left w:val="single" w:sz="4" w:space="0" w:color="auto"/>
              <w:bottom w:val="single" w:sz="4" w:space="0" w:color="auto"/>
              <w:right w:val="single" w:sz="4" w:space="0" w:color="auto"/>
            </w:tcBorders>
            <w:vAlign w:val="center"/>
            <w:hideMark/>
          </w:tcPr>
          <w:p w14:paraId="4628E220" w14:textId="77777777" w:rsidR="00E51CDD" w:rsidRPr="00590DF7" w:rsidRDefault="00E51CDD" w:rsidP="009938D9">
            <w:pPr>
              <w:widowControl w:val="0"/>
              <w:spacing w:before="40" w:after="40"/>
              <w:jc w:val="center"/>
              <w:rPr>
                <w:b/>
                <w:bCs/>
                <w:sz w:val="20"/>
              </w:rPr>
            </w:pPr>
            <w:r w:rsidRPr="00590DF7">
              <w:rPr>
                <w:b/>
                <w:bCs/>
                <w:sz w:val="20"/>
              </w:rPr>
              <w:t>Application time</w:t>
            </w:r>
          </w:p>
          <w:p w14:paraId="2977B893" w14:textId="77777777" w:rsidR="00E51CDD" w:rsidRPr="00590DF7" w:rsidRDefault="00E51CDD" w:rsidP="009938D9">
            <w:pPr>
              <w:widowControl w:val="0"/>
              <w:spacing w:before="40" w:after="40"/>
              <w:jc w:val="center"/>
              <w:rPr>
                <w:b/>
                <w:bCs/>
                <w:sz w:val="20"/>
              </w:rPr>
            </w:pPr>
            <w:r w:rsidRPr="00590DF7">
              <w:rPr>
                <w:b/>
                <w:bCs/>
                <w:sz w:val="20"/>
              </w:rPr>
              <w:t>(BBCH growth stage)</w:t>
            </w:r>
          </w:p>
        </w:tc>
        <w:tc>
          <w:tcPr>
            <w:tcW w:w="431" w:type="pct"/>
            <w:vMerge w:val="restart"/>
            <w:tcBorders>
              <w:top w:val="single" w:sz="4" w:space="0" w:color="auto"/>
              <w:left w:val="single" w:sz="4" w:space="0" w:color="auto"/>
              <w:bottom w:val="single" w:sz="4" w:space="0" w:color="auto"/>
              <w:right w:val="single" w:sz="4" w:space="0" w:color="auto"/>
            </w:tcBorders>
            <w:vAlign w:val="center"/>
            <w:hideMark/>
          </w:tcPr>
          <w:p w14:paraId="70F095CC" w14:textId="77777777" w:rsidR="00E51CDD" w:rsidRDefault="00E51CDD" w:rsidP="009938D9">
            <w:pPr>
              <w:widowControl w:val="0"/>
              <w:spacing w:before="40" w:after="40"/>
              <w:jc w:val="center"/>
              <w:rPr>
                <w:b/>
                <w:bCs/>
                <w:sz w:val="20"/>
                <w:lang w:val="de-DE"/>
              </w:rPr>
            </w:pPr>
            <w:r>
              <w:rPr>
                <w:b/>
                <w:bCs/>
                <w:sz w:val="20"/>
                <w:lang w:val="de-DE"/>
              </w:rPr>
              <w:t>Number of applications</w:t>
            </w:r>
          </w:p>
        </w:tc>
        <w:tc>
          <w:tcPr>
            <w:tcW w:w="423" w:type="pct"/>
            <w:vMerge w:val="restart"/>
            <w:tcBorders>
              <w:top w:val="single" w:sz="4" w:space="0" w:color="auto"/>
              <w:left w:val="single" w:sz="4" w:space="0" w:color="auto"/>
              <w:bottom w:val="single" w:sz="4" w:space="0" w:color="auto"/>
              <w:right w:val="single" w:sz="4" w:space="0" w:color="auto"/>
            </w:tcBorders>
            <w:vAlign w:val="center"/>
            <w:hideMark/>
          </w:tcPr>
          <w:p w14:paraId="58AFAE5E" w14:textId="77777777" w:rsidR="00E51CDD" w:rsidRDefault="00E51CDD" w:rsidP="009938D9">
            <w:pPr>
              <w:widowControl w:val="0"/>
              <w:spacing w:before="40" w:after="40"/>
              <w:jc w:val="center"/>
              <w:rPr>
                <w:b/>
                <w:bCs/>
                <w:sz w:val="20"/>
                <w:lang w:val="de-DE"/>
              </w:rPr>
            </w:pPr>
            <w:r>
              <w:rPr>
                <w:b/>
                <w:bCs/>
                <w:sz w:val="20"/>
                <w:lang w:val="de-DE"/>
              </w:rPr>
              <w:t>Interval between applications</w:t>
            </w:r>
          </w:p>
          <w:p w14:paraId="66C11E58" w14:textId="77777777" w:rsidR="00E51CDD" w:rsidRDefault="00E51CDD" w:rsidP="009938D9">
            <w:pPr>
              <w:widowControl w:val="0"/>
              <w:spacing w:before="40" w:after="40"/>
              <w:jc w:val="center"/>
              <w:rPr>
                <w:b/>
                <w:bCs/>
                <w:sz w:val="20"/>
                <w:lang w:val="de-DE"/>
              </w:rPr>
            </w:pPr>
            <w:r>
              <w:rPr>
                <w:b/>
                <w:bCs/>
                <w:sz w:val="20"/>
                <w:lang w:val="de-DE"/>
              </w:rPr>
              <w:t>[d]</w:t>
            </w:r>
          </w:p>
        </w:tc>
        <w:tc>
          <w:tcPr>
            <w:tcW w:w="2070" w:type="pct"/>
            <w:gridSpan w:val="3"/>
            <w:tcBorders>
              <w:top w:val="single" w:sz="4" w:space="0" w:color="auto"/>
              <w:left w:val="single" w:sz="4" w:space="0" w:color="auto"/>
              <w:bottom w:val="single" w:sz="4" w:space="0" w:color="auto"/>
              <w:right w:val="single" w:sz="4" w:space="0" w:color="auto"/>
            </w:tcBorders>
            <w:vAlign w:val="center"/>
            <w:hideMark/>
          </w:tcPr>
          <w:p w14:paraId="19B5F9C7" w14:textId="77777777" w:rsidR="00E51CDD" w:rsidRPr="00667C5C" w:rsidRDefault="00E51CDD" w:rsidP="009938D9">
            <w:pPr>
              <w:widowControl w:val="0"/>
              <w:spacing w:before="40" w:after="40"/>
              <w:jc w:val="center"/>
              <w:rPr>
                <w:sz w:val="20"/>
              </w:rPr>
            </w:pPr>
            <w:r w:rsidRPr="00667C5C">
              <w:rPr>
                <w:b/>
                <w:sz w:val="20"/>
              </w:rPr>
              <w:t>Max. application rate per application</w:t>
            </w:r>
          </w:p>
        </w:tc>
      </w:tr>
      <w:tr w:rsidR="00E51CDD" w14:paraId="005A3411" w14:textId="77777777" w:rsidTr="009938D9">
        <w:trPr>
          <w:cantSplit/>
          <w:trHeight w:val="412"/>
        </w:trPr>
        <w:tc>
          <w:tcPr>
            <w:tcW w:w="685" w:type="pct"/>
            <w:vMerge/>
            <w:tcBorders>
              <w:left w:val="single" w:sz="4" w:space="0" w:color="auto"/>
              <w:bottom w:val="single" w:sz="4" w:space="0" w:color="auto"/>
              <w:right w:val="single" w:sz="4" w:space="0" w:color="auto"/>
            </w:tcBorders>
            <w:vAlign w:val="center"/>
          </w:tcPr>
          <w:p w14:paraId="18BFACDD" w14:textId="77777777" w:rsidR="00E51CDD" w:rsidRPr="00667C5C" w:rsidRDefault="00E51CDD" w:rsidP="009938D9">
            <w:pPr>
              <w:jc w:val="center"/>
              <w:rPr>
                <w:b/>
                <w:bCs/>
                <w:sz w:val="20"/>
              </w:rPr>
            </w:pPr>
          </w:p>
        </w:tc>
        <w:tc>
          <w:tcPr>
            <w:tcW w:w="814" w:type="pct"/>
            <w:vMerge/>
            <w:tcBorders>
              <w:left w:val="single" w:sz="4" w:space="0" w:color="auto"/>
              <w:bottom w:val="single" w:sz="4" w:space="0" w:color="auto"/>
              <w:right w:val="single" w:sz="4" w:space="0" w:color="auto"/>
            </w:tcBorders>
            <w:vAlign w:val="center"/>
          </w:tcPr>
          <w:p w14:paraId="0C574DC4" w14:textId="77777777" w:rsidR="00E51CDD" w:rsidRPr="00667C5C" w:rsidRDefault="00E51CDD" w:rsidP="009938D9">
            <w:pPr>
              <w:jc w:val="center"/>
              <w:rPr>
                <w:b/>
                <w:bCs/>
                <w:sz w:val="20"/>
              </w:rPr>
            </w:pPr>
          </w:p>
        </w:tc>
        <w:tc>
          <w:tcPr>
            <w:tcW w:w="576" w:type="pct"/>
            <w:vMerge/>
            <w:tcBorders>
              <w:top w:val="single" w:sz="4" w:space="0" w:color="auto"/>
              <w:left w:val="single" w:sz="4" w:space="0" w:color="auto"/>
              <w:bottom w:val="single" w:sz="4" w:space="0" w:color="auto"/>
              <w:right w:val="single" w:sz="4" w:space="0" w:color="auto"/>
            </w:tcBorders>
            <w:vAlign w:val="center"/>
            <w:hideMark/>
          </w:tcPr>
          <w:p w14:paraId="0C4F0384" w14:textId="77777777" w:rsidR="00E51CDD" w:rsidRPr="00667C5C" w:rsidRDefault="00E51CDD" w:rsidP="009938D9">
            <w:pPr>
              <w:jc w:val="center"/>
              <w:rPr>
                <w:b/>
                <w:bCs/>
                <w:sz w:val="20"/>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14:paraId="4E4691FB" w14:textId="77777777" w:rsidR="00E51CDD" w:rsidRPr="00667C5C" w:rsidRDefault="00E51CDD" w:rsidP="009938D9">
            <w:pPr>
              <w:jc w:val="center"/>
              <w:rPr>
                <w:b/>
                <w:bCs/>
                <w:sz w:val="20"/>
              </w:rPr>
            </w:pPr>
          </w:p>
        </w:tc>
        <w:tc>
          <w:tcPr>
            <w:tcW w:w="423" w:type="pct"/>
            <w:vMerge/>
            <w:tcBorders>
              <w:top w:val="single" w:sz="4" w:space="0" w:color="auto"/>
              <w:left w:val="single" w:sz="4" w:space="0" w:color="auto"/>
              <w:bottom w:val="single" w:sz="4" w:space="0" w:color="auto"/>
              <w:right w:val="single" w:sz="4" w:space="0" w:color="auto"/>
            </w:tcBorders>
            <w:vAlign w:val="center"/>
            <w:hideMark/>
          </w:tcPr>
          <w:p w14:paraId="045B186A" w14:textId="77777777" w:rsidR="00E51CDD" w:rsidRPr="00667C5C" w:rsidRDefault="00E51CDD" w:rsidP="009938D9">
            <w:pPr>
              <w:jc w:val="center"/>
              <w:rPr>
                <w:b/>
                <w:bCs/>
                <w:sz w:val="20"/>
              </w:rPr>
            </w:pPr>
          </w:p>
        </w:tc>
        <w:tc>
          <w:tcPr>
            <w:tcW w:w="727" w:type="pct"/>
            <w:tcBorders>
              <w:top w:val="single" w:sz="4" w:space="0" w:color="auto"/>
              <w:left w:val="single" w:sz="4" w:space="0" w:color="auto"/>
              <w:bottom w:val="single" w:sz="4" w:space="0" w:color="auto"/>
              <w:right w:val="single" w:sz="4" w:space="0" w:color="auto"/>
            </w:tcBorders>
            <w:vAlign w:val="center"/>
            <w:hideMark/>
          </w:tcPr>
          <w:p w14:paraId="35C43FE6" w14:textId="77777777" w:rsidR="00E51CDD" w:rsidRDefault="00E51CDD" w:rsidP="009938D9">
            <w:pPr>
              <w:widowControl w:val="0"/>
              <w:spacing w:before="40" w:after="40"/>
              <w:jc w:val="center"/>
              <w:rPr>
                <w:b/>
                <w:bCs/>
                <w:sz w:val="20"/>
                <w:lang w:val="de-DE"/>
              </w:rPr>
            </w:pPr>
            <w:r>
              <w:rPr>
                <w:b/>
                <w:bCs/>
                <w:sz w:val="20"/>
                <w:lang w:val="de-DE"/>
              </w:rPr>
              <w:t>Fluxapyroxad</w:t>
            </w:r>
            <w:r>
              <w:rPr>
                <w:b/>
                <w:bCs/>
                <w:sz w:val="20"/>
                <w:lang w:val="de-DE"/>
              </w:rPr>
              <w:br/>
              <w:t>[kg/ha]</w:t>
            </w:r>
          </w:p>
        </w:tc>
        <w:tc>
          <w:tcPr>
            <w:tcW w:w="672" w:type="pct"/>
            <w:tcBorders>
              <w:top w:val="single" w:sz="4" w:space="0" w:color="auto"/>
              <w:left w:val="single" w:sz="4" w:space="0" w:color="auto"/>
              <w:bottom w:val="single" w:sz="4" w:space="0" w:color="auto"/>
              <w:right w:val="single" w:sz="4" w:space="0" w:color="auto"/>
            </w:tcBorders>
            <w:vAlign w:val="center"/>
            <w:hideMark/>
          </w:tcPr>
          <w:p w14:paraId="44D42688" w14:textId="77777777" w:rsidR="00E51CDD" w:rsidRDefault="00E51CDD" w:rsidP="009938D9">
            <w:pPr>
              <w:widowControl w:val="0"/>
              <w:spacing w:before="40" w:after="40"/>
              <w:jc w:val="center"/>
              <w:rPr>
                <w:b/>
                <w:bCs/>
                <w:sz w:val="20"/>
                <w:lang w:val="de-DE"/>
              </w:rPr>
            </w:pPr>
            <w:r>
              <w:rPr>
                <w:b/>
                <w:bCs/>
                <w:sz w:val="20"/>
                <w:lang w:val="de-DE"/>
              </w:rPr>
              <w:t>Azoxystrobin</w:t>
            </w:r>
          </w:p>
          <w:p w14:paraId="19D7104B" w14:textId="77777777" w:rsidR="00E51CDD" w:rsidRDefault="00E51CDD" w:rsidP="009938D9">
            <w:pPr>
              <w:widowControl w:val="0"/>
              <w:spacing w:before="40" w:after="40"/>
              <w:jc w:val="center"/>
              <w:rPr>
                <w:b/>
                <w:bCs/>
                <w:sz w:val="20"/>
                <w:lang w:val="de-DE"/>
              </w:rPr>
            </w:pPr>
            <w:r>
              <w:rPr>
                <w:b/>
                <w:bCs/>
                <w:sz w:val="20"/>
                <w:lang w:val="de-DE"/>
              </w:rPr>
              <w:t>[kg/ha]</w:t>
            </w:r>
          </w:p>
        </w:tc>
        <w:tc>
          <w:tcPr>
            <w:tcW w:w="671" w:type="pct"/>
            <w:tcBorders>
              <w:top w:val="single" w:sz="4" w:space="0" w:color="auto"/>
              <w:left w:val="single" w:sz="4" w:space="0" w:color="auto"/>
              <w:bottom w:val="single" w:sz="4" w:space="0" w:color="auto"/>
              <w:right w:val="single" w:sz="4" w:space="0" w:color="auto"/>
            </w:tcBorders>
            <w:vAlign w:val="center"/>
            <w:hideMark/>
          </w:tcPr>
          <w:p w14:paraId="6A98BB66" w14:textId="77777777" w:rsidR="00E51CDD" w:rsidRDefault="00E51CDD" w:rsidP="009938D9">
            <w:pPr>
              <w:widowControl w:val="0"/>
              <w:spacing w:before="40" w:after="40"/>
              <w:jc w:val="center"/>
              <w:rPr>
                <w:b/>
                <w:bCs/>
                <w:sz w:val="20"/>
                <w:lang w:val="de-DE"/>
              </w:rPr>
            </w:pPr>
            <w:r>
              <w:rPr>
                <w:b/>
                <w:bCs/>
                <w:sz w:val="20"/>
                <w:lang w:val="de-DE"/>
              </w:rPr>
              <w:t>BAS 736 00 F</w:t>
            </w:r>
            <w:r>
              <w:rPr>
                <w:b/>
                <w:bCs/>
                <w:sz w:val="20"/>
                <w:lang w:val="de-DE"/>
              </w:rPr>
              <w:br/>
              <w:t>[L/ha]</w:t>
            </w:r>
          </w:p>
        </w:tc>
      </w:tr>
      <w:tr w:rsidR="00E51CDD" w14:paraId="31646003" w14:textId="77777777" w:rsidTr="009938D9">
        <w:trPr>
          <w:cantSplit/>
          <w:trHeight w:val="412"/>
        </w:trPr>
        <w:tc>
          <w:tcPr>
            <w:tcW w:w="685" w:type="pct"/>
            <w:tcBorders>
              <w:top w:val="single" w:sz="4" w:space="0" w:color="auto"/>
              <w:left w:val="single" w:sz="4" w:space="0" w:color="auto"/>
              <w:bottom w:val="single" w:sz="4" w:space="0" w:color="auto"/>
              <w:right w:val="single" w:sz="4" w:space="0" w:color="auto"/>
            </w:tcBorders>
            <w:vAlign w:val="center"/>
          </w:tcPr>
          <w:p w14:paraId="1F8C14E5" w14:textId="77777777" w:rsidR="00E51CDD" w:rsidRPr="00B57E70" w:rsidRDefault="00E51CDD" w:rsidP="009938D9">
            <w:pPr>
              <w:widowControl w:val="0"/>
              <w:overflowPunct w:val="0"/>
              <w:autoSpaceDE w:val="0"/>
              <w:autoSpaceDN w:val="0"/>
              <w:adjustRightInd w:val="0"/>
              <w:spacing w:before="40" w:after="40"/>
              <w:jc w:val="center"/>
              <w:textAlignment w:val="baseline"/>
              <w:rPr>
                <w:sz w:val="20"/>
              </w:rPr>
            </w:pPr>
            <w:r>
              <w:rPr>
                <w:sz w:val="20"/>
              </w:rPr>
              <w:t xml:space="preserve">Barley, Oat, Rye, Triticale, </w:t>
            </w:r>
            <w:r w:rsidRPr="00B57E70">
              <w:rPr>
                <w:sz w:val="20"/>
              </w:rPr>
              <w:t>Wheat</w:t>
            </w:r>
            <w:r>
              <w:rPr>
                <w:sz w:val="20"/>
              </w:rPr>
              <w:t xml:space="preserve"> </w:t>
            </w:r>
          </w:p>
        </w:tc>
        <w:tc>
          <w:tcPr>
            <w:tcW w:w="814" w:type="pct"/>
            <w:tcBorders>
              <w:top w:val="single" w:sz="4" w:space="0" w:color="auto"/>
              <w:left w:val="single" w:sz="4" w:space="0" w:color="auto"/>
              <w:right w:val="single" w:sz="4" w:space="0" w:color="auto"/>
            </w:tcBorders>
            <w:vAlign w:val="center"/>
          </w:tcPr>
          <w:p w14:paraId="5C0A48D1" w14:textId="77777777" w:rsidR="00E51CDD" w:rsidRDefault="00E51CDD" w:rsidP="009938D9">
            <w:pPr>
              <w:widowControl w:val="0"/>
              <w:overflowPunct w:val="0"/>
              <w:autoSpaceDE w:val="0"/>
              <w:autoSpaceDN w:val="0"/>
              <w:adjustRightInd w:val="0"/>
              <w:spacing w:before="40" w:after="40"/>
              <w:jc w:val="center"/>
              <w:textAlignment w:val="baseline"/>
              <w:rPr>
                <w:sz w:val="20"/>
                <w:lang w:val="de-DE"/>
              </w:rPr>
            </w:pPr>
            <w:r>
              <w:rPr>
                <w:sz w:val="20"/>
                <w:lang w:val="de-DE"/>
              </w:rPr>
              <w:t>Cereals</w:t>
            </w:r>
          </w:p>
        </w:tc>
        <w:tc>
          <w:tcPr>
            <w:tcW w:w="576" w:type="pct"/>
            <w:tcBorders>
              <w:top w:val="single" w:sz="4" w:space="0" w:color="auto"/>
              <w:left w:val="single" w:sz="4" w:space="0" w:color="auto"/>
              <w:bottom w:val="single" w:sz="4" w:space="0" w:color="auto"/>
              <w:right w:val="single" w:sz="4" w:space="0" w:color="auto"/>
            </w:tcBorders>
            <w:vAlign w:val="center"/>
          </w:tcPr>
          <w:p w14:paraId="119867EC" w14:textId="77777777" w:rsidR="00E51CDD" w:rsidRDefault="00E51CDD" w:rsidP="009938D9">
            <w:pPr>
              <w:widowControl w:val="0"/>
              <w:overflowPunct w:val="0"/>
              <w:autoSpaceDE w:val="0"/>
              <w:autoSpaceDN w:val="0"/>
              <w:adjustRightInd w:val="0"/>
              <w:spacing w:before="40" w:after="40"/>
              <w:jc w:val="center"/>
              <w:textAlignment w:val="baseline"/>
              <w:rPr>
                <w:sz w:val="20"/>
                <w:lang w:val="de-DE"/>
              </w:rPr>
            </w:pPr>
            <w:r>
              <w:rPr>
                <w:sz w:val="20"/>
                <w:lang w:val="de-DE"/>
              </w:rPr>
              <w:t>30-69</w:t>
            </w:r>
          </w:p>
        </w:tc>
        <w:tc>
          <w:tcPr>
            <w:tcW w:w="431" w:type="pct"/>
            <w:tcBorders>
              <w:top w:val="single" w:sz="4" w:space="0" w:color="auto"/>
              <w:left w:val="single" w:sz="4" w:space="0" w:color="auto"/>
              <w:bottom w:val="single" w:sz="4" w:space="0" w:color="auto"/>
              <w:right w:val="single" w:sz="4" w:space="0" w:color="auto"/>
            </w:tcBorders>
            <w:vAlign w:val="center"/>
          </w:tcPr>
          <w:p w14:paraId="1ED79517" w14:textId="77777777" w:rsidR="00E51CDD" w:rsidRDefault="00E51CDD" w:rsidP="009938D9">
            <w:pPr>
              <w:widowControl w:val="0"/>
              <w:overflowPunct w:val="0"/>
              <w:autoSpaceDE w:val="0"/>
              <w:autoSpaceDN w:val="0"/>
              <w:adjustRightInd w:val="0"/>
              <w:spacing w:before="40" w:after="40"/>
              <w:jc w:val="center"/>
              <w:textAlignment w:val="baseline"/>
              <w:rPr>
                <w:sz w:val="20"/>
                <w:lang w:val="de-DE"/>
              </w:rPr>
            </w:pPr>
            <w:r>
              <w:rPr>
                <w:sz w:val="20"/>
                <w:lang w:val="de-DE"/>
              </w:rPr>
              <w:t>1-2</w:t>
            </w:r>
          </w:p>
        </w:tc>
        <w:tc>
          <w:tcPr>
            <w:tcW w:w="423" w:type="pct"/>
            <w:tcBorders>
              <w:top w:val="single" w:sz="4" w:space="0" w:color="auto"/>
              <w:left w:val="single" w:sz="4" w:space="0" w:color="auto"/>
              <w:bottom w:val="single" w:sz="4" w:space="0" w:color="auto"/>
              <w:right w:val="single" w:sz="4" w:space="0" w:color="auto"/>
            </w:tcBorders>
            <w:vAlign w:val="center"/>
          </w:tcPr>
          <w:p w14:paraId="4F7F4A5A" w14:textId="77777777" w:rsidR="00E51CDD" w:rsidRDefault="00E51CDD" w:rsidP="009938D9">
            <w:pPr>
              <w:widowControl w:val="0"/>
              <w:overflowPunct w:val="0"/>
              <w:autoSpaceDE w:val="0"/>
              <w:autoSpaceDN w:val="0"/>
              <w:adjustRightInd w:val="0"/>
              <w:spacing w:before="40" w:after="40"/>
              <w:jc w:val="center"/>
              <w:textAlignment w:val="baseline"/>
              <w:rPr>
                <w:sz w:val="20"/>
                <w:lang w:val="de-DE"/>
              </w:rPr>
            </w:pPr>
            <w:r>
              <w:rPr>
                <w:sz w:val="20"/>
                <w:lang w:val="de-DE"/>
              </w:rPr>
              <w:t>21</w:t>
            </w:r>
          </w:p>
        </w:tc>
        <w:tc>
          <w:tcPr>
            <w:tcW w:w="727" w:type="pct"/>
            <w:tcBorders>
              <w:top w:val="single" w:sz="4" w:space="0" w:color="auto"/>
              <w:left w:val="single" w:sz="4" w:space="0" w:color="auto"/>
              <w:bottom w:val="single" w:sz="4" w:space="0" w:color="auto"/>
              <w:right w:val="single" w:sz="4" w:space="0" w:color="auto"/>
            </w:tcBorders>
            <w:vAlign w:val="center"/>
          </w:tcPr>
          <w:p w14:paraId="615444F9" w14:textId="77777777" w:rsidR="00E51CDD" w:rsidRDefault="00E51CDD" w:rsidP="009938D9">
            <w:pPr>
              <w:widowControl w:val="0"/>
              <w:spacing w:before="40" w:after="40"/>
              <w:jc w:val="center"/>
              <w:rPr>
                <w:sz w:val="20"/>
                <w:lang w:val="de-DE"/>
              </w:rPr>
            </w:pPr>
            <w:r>
              <w:rPr>
                <w:sz w:val="20"/>
                <w:lang w:val="de-DE"/>
              </w:rPr>
              <w:t>0.100</w:t>
            </w:r>
          </w:p>
        </w:tc>
        <w:tc>
          <w:tcPr>
            <w:tcW w:w="672" w:type="pct"/>
            <w:tcBorders>
              <w:top w:val="single" w:sz="4" w:space="0" w:color="auto"/>
              <w:left w:val="single" w:sz="4" w:space="0" w:color="auto"/>
              <w:bottom w:val="single" w:sz="4" w:space="0" w:color="auto"/>
              <w:right w:val="single" w:sz="4" w:space="0" w:color="auto"/>
            </w:tcBorders>
            <w:vAlign w:val="center"/>
          </w:tcPr>
          <w:p w14:paraId="78E6DBF8" w14:textId="77777777" w:rsidR="00E51CDD" w:rsidRDefault="00E51CDD" w:rsidP="009938D9">
            <w:pPr>
              <w:widowControl w:val="0"/>
              <w:spacing w:before="40" w:after="40"/>
              <w:jc w:val="center"/>
              <w:rPr>
                <w:sz w:val="20"/>
                <w:lang w:val="de-DE"/>
              </w:rPr>
            </w:pPr>
            <w:r>
              <w:rPr>
                <w:sz w:val="20"/>
                <w:lang w:val="de-DE"/>
              </w:rPr>
              <w:t>0.150</w:t>
            </w:r>
          </w:p>
        </w:tc>
        <w:tc>
          <w:tcPr>
            <w:tcW w:w="671" w:type="pct"/>
            <w:tcBorders>
              <w:top w:val="single" w:sz="4" w:space="0" w:color="auto"/>
              <w:left w:val="single" w:sz="4" w:space="0" w:color="auto"/>
              <w:bottom w:val="single" w:sz="4" w:space="0" w:color="auto"/>
              <w:right w:val="single" w:sz="4" w:space="0" w:color="auto"/>
            </w:tcBorders>
            <w:vAlign w:val="center"/>
          </w:tcPr>
          <w:p w14:paraId="4B91BF4A" w14:textId="77777777" w:rsidR="00E51CDD" w:rsidRDefault="00E51CDD" w:rsidP="009938D9">
            <w:pPr>
              <w:widowControl w:val="0"/>
              <w:spacing w:before="40" w:after="40"/>
              <w:jc w:val="center"/>
              <w:rPr>
                <w:sz w:val="20"/>
                <w:lang w:val="de-DE"/>
              </w:rPr>
            </w:pPr>
            <w:r w:rsidRPr="00F755A7">
              <w:rPr>
                <w:strike/>
                <w:color w:val="D9D9D9" w:themeColor="background1" w:themeShade="D9"/>
                <w:sz w:val="20"/>
                <w:lang w:val="de-DE"/>
              </w:rPr>
              <w:t>1.0-</w:t>
            </w:r>
            <w:r w:rsidRPr="00783F78">
              <w:rPr>
                <w:sz w:val="20"/>
                <w:shd w:val="clear" w:color="auto" w:fill="D9D9D9" w:themeFill="background1" w:themeFillShade="D9"/>
                <w:lang w:val="de-DE"/>
              </w:rPr>
              <w:t>2.0</w:t>
            </w:r>
          </w:p>
        </w:tc>
      </w:tr>
    </w:tbl>
    <w:p w14:paraId="72C41CAB" w14:textId="0732C95F" w:rsidR="00E51CDD" w:rsidRPr="002B1114" w:rsidRDefault="00E51CDD" w:rsidP="00E51CDD">
      <w:pPr>
        <w:pStyle w:val="Nagwek4"/>
        <w:rPr>
          <w:lang w:val="en-GB"/>
        </w:rPr>
      </w:pPr>
      <w:bookmarkStart w:id="196" w:name="_Ref360723760"/>
      <w:bookmarkStart w:id="197" w:name="_Toc412643975"/>
      <w:bookmarkStart w:id="198" w:name="_Toc413916821"/>
      <w:bookmarkStart w:id="199" w:name="_Toc413916963"/>
      <w:bookmarkStart w:id="200" w:name="_Toc413922024"/>
      <w:bookmarkStart w:id="201" w:name="_Toc413922513"/>
      <w:bookmarkStart w:id="202" w:name="_Toc413922617"/>
      <w:bookmarkStart w:id="203" w:name="_Toc414955254"/>
      <w:bookmarkStart w:id="204" w:name="_Toc415214561"/>
      <w:bookmarkStart w:id="205" w:name="_Toc125446404"/>
      <w:r w:rsidRPr="002B1114">
        <w:rPr>
          <w:lang w:val="en-GB"/>
        </w:rPr>
        <w:lastRenderedPageBreak/>
        <w:t>First-tier assessment (screening/generic focal species)</w:t>
      </w:r>
      <w:bookmarkEnd w:id="196"/>
      <w:bookmarkEnd w:id="197"/>
      <w:bookmarkEnd w:id="198"/>
      <w:bookmarkEnd w:id="199"/>
      <w:bookmarkEnd w:id="200"/>
      <w:bookmarkEnd w:id="201"/>
      <w:bookmarkEnd w:id="202"/>
      <w:bookmarkEnd w:id="203"/>
      <w:bookmarkEnd w:id="204"/>
      <w:bookmarkEnd w:id="205"/>
    </w:p>
    <w:p w14:paraId="62B05AE4" w14:textId="6A99AEBD" w:rsidR="008C0597" w:rsidRDefault="00E51CDD" w:rsidP="008C0597">
      <w:pPr>
        <w:widowControl w:val="0"/>
        <w:tabs>
          <w:tab w:val="left" w:pos="720"/>
        </w:tabs>
        <w:jc w:val="both"/>
        <w:rPr>
          <w:b/>
          <w:u w:val="single"/>
          <w:lang w:val="en-GB"/>
        </w:rPr>
      </w:pPr>
      <w:r>
        <w:rPr>
          <w:lang w:val="en-GB"/>
        </w:rPr>
        <w:t>The dietary TER acute (TER</w:t>
      </w:r>
      <w:r>
        <w:rPr>
          <w:vertAlign w:val="subscript"/>
          <w:lang w:val="en-GB"/>
        </w:rPr>
        <w:t>A</w:t>
      </w:r>
      <w:r>
        <w:rPr>
          <w:lang w:val="en-GB"/>
        </w:rPr>
        <w:t>) and reproductive (TER</w:t>
      </w:r>
      <w:r>
        <w:rPr>
          <w:vertAlign w:val="subscript"/>
          <w:lang w:val="en-GB"/>
        </w:rPr>
        <w:t>LT</w:t>
      </w:r>
      <w:r>
        <w:rPr>
          <w:lang w:val="en-GB"/>
        </w:rPr>
        <w:t>) values for the screening step and tier 1 risk assessment were calculated with the EFSA calculator tool (version of 9 July 2010, http://www.efsa.europa.eu/de/efsajournal/pub/1438.htm) according to EFSA/2009/1438.</w:t>
      </w:r>
      <w:r w:rsidR="008C0597">
        <w:rPr>
          <w:b/>
          <w:u w:val="single"/>
          <w:lang w:val="en-GB"/>
        </w:rPr>
        <w:br w:type="page"/>
      </w:r>
    </w:p>
    <w:p w14:paraId="3B98F01F" w14:textId="4C332F74" w:rsidR="00E51CDD" w:rsidRDefault="00E51CDD" w:rsidP="00E51CDD">
      <w:pPr>
        <w:widowControl w:val="0"/>
        <w:tabs>
          <w:tab w:val="left" w:pos="720"/>
        </w:tabs>
        <w:jc w:val="both"/>
        <w:rPr>
          <w:lang w:val="en-GB"/>
        </w:rPr>
      </w:pPr>
      <w:r>
        <w:rPr>
          <w:b/>
          <w:u w:val="single"/>
          <w:lang w:val="en-GB"/>
        </w:rPr>
        <w:lastRenderedPageBreak/>
        <w:t>Dietary risk assessment for the active substances</w:t>
      </w:r>
    </w:p>
    <w:p w14:paraId="754099D1" w14:textId="77777777" w:rsidR="00E51CDD" w:rsidRDefault="00E51CDD" w:rsidP="00E51CDD">
      <w:pPr>
        <w:widowControl w:val="0"/>
        <w:tabs>
          <w:tab w:val="left" w:pos="720"/>
        </w:tabs>
        <w:jc w:val="both"/>
        <w:rPr>
          <w:lang w:val="en-GB"/>
        </w:rPr>
      </w:pPr>
    </w:p>
    <w:p w14:paraId="4A59EED8" w14:textId="77777777" w:rsidR="00E51CDD" w:rsidRDefault="00E51CDD" w:rsidP="00E51CDD">
      <w:pPr>
        <w:widowControl w:val="0"/>
        <w:tabs>
          <w:tab w:val="left" w:pos="720"/>
        </w:tabs>
        <w:jc w:val="both"/>
        <w:rPr>
          <w:b/>
          <w:iCs/>
          <w:lang w:val="en-GB"/>
        </w:rPr>
      </w:pPr>
      <w:r>
        <w:rPr>
          <w:b/>
          <w:iCs/>
          <w:lang w:val="en-GB"/>
        </w:rPr>
        <w:t>Acute risk assessment</w:t>
      </w:r>
    </w:p>
    <w:p w14:paraId="772CC17D" w14:textId="77777777" w:rsidR="00E51CDD" w:rsidRDefault="00E51CDD" w:rsidP="00E51CDD">
      <w:pPr>
        <w:widowControl w:val="0"/>
        <w:tabs>
          <w:tab w:val="left" w:pos="720"/>
        </w:tabs>
        <w:jc w:val="both"/>
        <w:rPr>
          <w:lang w:val="en-GB"/>
        </w:rPr>
      </w:pPr>
    </w:p>
    <w:p w14:paraId="0B07BD44" w14:textId="6FC53529" w:rsidR="00E51CDD" w:rsidRPr="00C25908" w:rsidRDefault="00E51CDD" w:rsidP="00843A50">
      <w:pPr>
        <w:rPr>
          <w:color w:val="000000" w:themeColor="text1"/>
          <w:lang w:val="en-GB"/>
        </w:rPr>
      </w:pPr>
      <w:r>
        <w:rPr>
          <w:lang w:val="en-GB"/>
        </w:rPr>
        <w:t>The TER</w:t>
      </w:r>
      <w:r>
        <w:rPr>
          <w:vertAlign w:val="subscript"/>
          <w:lang w:val="en-GB"/>
        </w:rPr>
        <w:t>A</w:t>
      </w:r>
      <w:r>
        <w:rPr>
          <w:lang w:val="en-GB"/>
        </w:rPr>
        <w:t xml:space="preserve"> values are presented in </w:t>
      </w:r>
      <w:r>
        <w:rPr>
          <w:lang w:val="en-GB"/>
        </w:rPr>
        <w:fldChar w:fldCharType="begin"/>
      </w:r>
      <w:r>
        <w:rPr>
          <w:lang w:val="en-GB"/>
        </w:rPr>
        <w:instrText xml:space="preserve"> REF _Ref81552699 \h </w:instrText>
      </w:r>
      <w:r>
        <w:rPr>
          <w:lang w:val="en-GB"/>
        </w:rPr>
      </w:r>
      <w:r>
        <w:rPr>
          <w:lang w:val="en-GB"/>
        </w:rPr>
        <w:fldChar w:fldCharType="separate"/>
      </w:r>
      <w:r w:rsidR="00662F32" w:rsidRPr="002B1114">
        <w:t xml:space="preserve">Table </w:t>
      </w:r>
      <w:r w:rsidR="00662F32">
        <w:rPr>
          <w:noProof/>
        </w:rPr>
        <w:t>9.2</w:t>
      </w:r>
      <w:r w:rsidR="00662F32" w:rsidRPr="002B1114">
        <w:noBreakHyphen/>
      </w:r>
      <w:r w:rsidR="00662F32">
        <w:rPr>
          <w:noProof/>
        </w:rPr>
        <w:t>4</w:t>
      </w:r>
      <w:r>
        <w:rPr>
          <w:lang w:val="en-GB"/>
        </w:rPr>
        <w:fldChar w:fldCharType="end"/>
      </w:r>
      <w:r>
        <w:rPr>
          <w:lang w:val="en-GB"/>
        </w:rPr>
        <w:t xml:space="preserve"> for fluxapyroxad and in </w:t>
      </w:r>
      <w:r w:rsidR="00843A50">
        <w:rPr>
          <w:lang w:val="en-GB"/>
        </w:rPr>
        <w:fldChar w:fldCharType="begin"/>
      </w:r>
      <w:r w:rsidR="00843A50">
        <w:rPr>
          <w:lang w:val="en-GB"/>
        </w:rPr>
        <w:instrText xml:space="preserve"> REF _Ref88215906 \h </w:instrText>
      </w:r>
      <w:r w:rsidR="00843A50">
        <w:rPr>
          <w:lang w:val="en-GB"/>
        </w:rPr>
      </w:r>
      <w:r w:rsidR="00843A50">
        <w:rPr>
          <w:lang w:val="en-GB"/>
        </w:rPr>
        <w:fldChar w:fldCharType="separate"/>
      </w:r>
      <w:r w:rsidR="00662F32" w:rsidRPr="002B1114">
        <w:t xml:space="preserve">Table </w:t>
      </w:r>
      <w:r w:rsidR="00662F32">
        <w:rPr>
          <w:noProof/>
        </w:rPr>
        <w:t>9.2</w:t>
      </w:r>
      <w:r w:rsidR="00662F32" w:rsidRPr="002B1114">
        <w:noBreakHyphen/>
      </w:r>
      <w:r w:rsidR="00662F32">
        <w:rPr>
          <w:noProof/>
        </w:rPr>
        <w:t>5</w:t>
      </w:r>
      <w:r w:rsidR="00843A50">
        <w:rPr>
          <w:lang w:val="en-GB"/>
        </w:rPr>
        <w:fldChar w:fldCharType="end"/>
      </w:r>
      <w:r w:rsidR="00843A50">
        <w:rPr>
          <w:lang w:val="en-GB"/>
        </w:rPr>
        <w:t xml:space="preserve"> </w:t>
      </w:r>
      <w:r>
        <w:rPr>
          <w:lang w:val="en-GB"/>
        </w:rPr>
        <w:t xml:space="preserve">for </w:t>
      </w:r>
      <w:r>
        <w:rPr>
          <w:rFonts w:eastAsia="Batang"/>
          <w:lang w:eastAsia="zh-CN"/>
        </w:rPr>
        <w:t>azoxystrobin</w:t>
      </w:r>
      <w:r>
        <w:rPr>
          <w:lang w:val="en-GB"/>
        </w:rPr>
        <w:t xml:space="preserve">. </w:t>
      </w:r>
      <w:r w:rsidRPr="00C25908">
        <w:rPr>
          <w:color w:val="000000" w:themeColor="text1"/>
          <w:lang w:val="en-GB"/>
        </w:rPr>
        <w:t>All the TER</w:t>
      </w:r>
      <w:r w:rsidRPr="00C25908">
        <w:rPr>
          <w:color w:val="000000" w:themeColor="text1"/>
          <w:vertAlign w:val="subscript"/>
          <w:lang w:val="en-GB"/>
        </w:rPr>
        <w:t>A</w:t>
      </w:r>
      <w:r w:rsidRPr="00C25908">
        <w:rPr>
          <w:color w:val="000000" w:themeColor="text1"/>
          <w:lang w:val="en-GB"/>
        </w:rPr>
        <w:t xml:space="preserve"> values at the screening step are above the relevant trigger of 10 for acceptability of acute effects.</w:t>
      </w:r>
    </w:p>
    <w:p w14:paraId="42F4A010" w14:textId="469619E3" w:rsidR="00E51CDD" w:rsidRDefault="00E51CDD" w:rsidP="00E51CDD">
      <w:pPr>
        <w:pStyle w:val="RepLabel"/>
      </w:pPr>
      <w:bookmarkStart w:id="206" w:name="_Ref81552699"/>
      <w:r w:rsidRPr="002B1114">
        <w:t xml:space="preserve">Table </w:t>
      </w:r>
      <w:r w:rsidRPr="002B1114">
        <w:fldChar w:fldCharType="begin"/>
      </w:r>
      <w:r w:rsidRPr="002B1114">
        <w:instrText xml:space="preserve"> STYLEREF 2 \s </w:instrText>
      </w:r>
      <w:r w:rsidRPr="002B1114">
        <w:fldChar w:fldCharType="separate"/>
      </w:r>
      <w:r w:rsidR="00662F32">
        <w:rPr>
          <w:noProof/>
        </w:rPr>
        <w:t>9.2</w:t>
      </w:r>
      <w:r w:rsidRPr="002B1114">
        <w:fldChar w:fldCharType="end"/>
      </w:r>
      <w:r w:rsidRPr="002B1114">
        <w:noBreakHyphen/>
      </w:r>
      <w:r w:rsidRPr="002B1114">
        <w:fldChar w:fldCharType="begin"/>
      </w:r>
      <w:r w:rsidRPr="002B1114">
        <w:instrText xml:space="preserve"> SEQ Table \* ARABIC \s 2 </w:instrText>
      </w:r>
      <w:r w:rsidRPr="002B1114">
        <w:fldChar w:fldCharType="separate"/>
      </w:r>
      <w:r w:rsidR="00662F32">
        <w:rPr>
          <w:noProof/>
        </w:rPr>
        <w:t>4</w:t>
      </w:r>
      <w:r w:rsidRPr="002B1114">
        <w:fldChar w:fldCharType="end"/>
      </w:r>
      <w:bookmarkEnd w:id="206"/>
      <w:r w:rsidRPr="002B1114">
        <w:t>:</w:t>
      </w:r>
      <w:r w:rsidRPr="002B1114">
        <w:tab/>
      </w:r>
      <w:r>
        <w:t>Fluxapyroxad</w:t>
      </w:r>
      <w:r w:rsidRPr="00A92631">
        <w:t>: Screening step calculation of the acute risk for birds due to the use of BAS 7</w:t>
      </w:r>
      <w:r>
        <w:t>36</w:t>
      </w:r>
      <w:r w:rsidRPr="00A92631">
        <w:t> 00 F for the crop group “</w:t>
      </w:r>
      <w:r>
        <w:t>cereals</w:t>
      </w:r>
      <w:r w:rsidRPr="00A9263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1432"/>
        <w:gridCol w:w="1301"/>
        <w:gridCol w:w="1172"/>
        <w:gridCol w:w="1258"/>
        <w:gridCol w:w="1095"/>
        <w:gridCol w:w="867"/>
        <w:gridCol w:w="1038"/>
      </w:tblGrid>
      <w:tr w:rsidR="00E51CDD" w14:paraId="17D2B350" w14:textId="77777777" w:rsidTr="009938D9">
        <w:trPr>
          <w:trHeight w:val="373"/>
        </w:trPr>
        <w:tc>
          <w:tcPr>
            <w:tcW w:w="633" w:type="pct"/>
            <w:vMerge w:val="restart"/>
            <w:tcBorders>
              <w:top w:val="single" w:sz="4" w:space="0" w:color="auto"/>
              <w:left w:val="single" w:sz="4" w:space="0" w:color="auto"/>
              <w:bottom w:val="single" w:sz="4" w:space="0" w:color="auto"/>
              <w:right w:val="single" w:sz="4" w:space="0" w:color="auto"/>
            </w:tcBorders>
            <w:vAlign w:val="center"/>
            <w:hideMark/>
          </w:tcPr>
          <w:p w14:paraId="3DAD4ECB" w14:textId="77777777" w:rsidR="00E51CDD" w:rsidRDefault="00E51CDD" w:rsidP="009938D9">
            <w:pPr>
              <w:widowControl w:val="0"/>
              <w:tabs>
                <w:tab w:val="left" w:pos="720"/>
              </w:tabs>
              <w:rPr>
                <w:rFonts w:eastAsia="Batang"/>
                <w:b/>
                <w:bCs/>
                <w:sz w:val="16"/>
                <w:szCs w:val="16"/>
                <w:lang w:val="en-GB" w:eastAsia="zh-CN"/>
              </w:rPr>
            </w:pPr>
            <w:r>
              <w:rPr>
                <w:rFonts w:eastAsia="Batang"/>
                <w:b/>
                <w:bCs/>
                <w:sz w:val="16"/>
                <w:szCs w:val="16"/>
                <w:lang w:val="en-GB" w:eastAsia="zh-CN"/>
              </w:rPr>
              <w:t>Data from Data_Entry worksheet</w:t>
            </w:r>
          </w:p>
        </w:tc>
        <w:tc>
          <w:tcPr>
            <w:tcW w:w="766" w:type="pct"/>
            <w:tcBorders>
              <w:top w:val="single" w:sz="4" w:space="0" w:color="auto"/>
              <w:left w:val="single" w:sz="4" w:space="0" w:color="auto"/>
              <w:bottom w:val="single" w:sz="4" w:space="0" w:color="auto"/>
              <w:right w:val="single" w:sz="4" w:space="0" w:color="auto"/>
            </w:tcBorders>
            <w:vAlign w:val="center"/>
            <w:hideMark/>
          </w:tcPr>
          <w:p w14:paraId="3CB49870"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Crop</w:t>
            </w:r>
          </w:p>
        </w:tc>
        <w:tc>
          <w:tcPr>
            <w:tcW w:w="696" w:type="pct"/>
            <w:tcBorders>
              <w:top w:val="single" w:sz="4" w:space="0" w:color="auto"/>
              <w:left w:val="single" w:sz="4" w:space="0" w:color="auto"/>
              <w:bottom w:val="single" w:sz="4" w:space="0" w:color="auto"/>
              <w:right w:val="single" w:sz="4" w:space="0" w:color="auto"/>
            </w:tcBorders>
            <w:vAlign w:val="center"/>
            <w:hideMark/>
          </w:tcPr>
          <w:p w14:paraId="7748E098"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Application rate (kg a.s./ha)</w:t>
            </w:r>
          </w:p>
        </w:tc>
        <w:tc>
          <w:tcPr>
            <w:tcW w:w="627" w:type="pct"/>
            <w:tcBorders>
              <w:top w:val="single" w:sz="4" w:space="0" w:color="auto"/>
              <w:left w:val="single" w:sz="4" w:space="0" w:color="auto"/>
              <w:bottom w:val="single" w:sz="4" w:space="0" w:color="auto"/>
              <w:right w:val="single" w:sz="4" w:space="0" w:color="auto"/>
            </w:tcBorders>
            <w:vAlign w:val="center"/>
            <w:hideMark/>
          </w:tcPr>
          <w:p w14:paraId="41DD143D"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Number of applications</w:t>
            </w:r>
          </w:p>
        </w:tc>
        <w:tc>
          <w:tcPr>
            <w:tcW w:w="673" w:type="pct"/>
            <w:tcBorders>
              <w:top w:val="single" w:sz="4" w:space="0" w:color="auto"/>
              <w:left w:val="single" w:sz="4" w:space="0" w:color="auto"/>
              <w:bottom w:val="single" w:sz="4" w:space="0" w:color="auto"/>
              <w:right w:val="single" w:sz="4" w:space="0" w:color="auto"/>
            </w:tcBorders>
            <w:vAlign w:val="center"/>
            <w:hideMark/>
          </w:tcPr>
          <w:p w14:paraId="595E4D16"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Application Interval</w:t>
            </w:r>
          </w:p>
        </w:tc>
        <w:tc>
          <w:tcPr>
            <w:tcW w:w="586" w:type="pct"/>
            <w:tcBorders>
              <w:top w:val="single" w:sz="4" w:space="0" w:color="auto"/>
              <w:left w:val="single" w:sz="4" w:space="0" w:color="auto"/>
              <w:bottom w:val="single" w:sz="4" w:space="0" w:color="auto"/>
              <w:right w:val="single" w:sz="4" w:space="0" w:color="auto"/>
            </w:tcBorders>
            <w:vAlign w:val="center"/>
            <w:hideMark/>
          </w:tcPr>
          <w:p w14:paraId="11C03889"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DT</w:t>
            </w:r>
            <w:r>
              <w:rPr>
                <w:rFonts w:eastAsia="Batang"/>
                <w:b/>
                <w:bCs/>
                <w:sz w:val="16"/>
                <w:szCs w:val="16"/>
                <w:vertAlign w:val="subscript"/>
                <w:lang w:val="en-GB" w:eastAsia="zh-CN"/>
              </w:rPr>
              <w:t>50</w:t>
            </w:r>
          </w:p>
        </w:tc>
        <w:tc>
          <w:tcPr>
            <w:tcW w:w="464" w:type="pct"/>
            <w:tcBorders>
              <w:top w:val="single" w:sz="4" w:space="0" w:color="auto"/>
              <w:left w:val="single" w:sz="4" w:space="0" w:color="auto"/>
              <w:bottom w:val="single" w:sz="4" w:space="0" w:color="auto"/>
              <w:right w:val="single" w:sz="4" w:space="0" w:color="auto"/>
            </w:tcBorders>
            <w:vAlign w:val="center"/>
            <w:hideMark/>
          </w:tcPr>
          <w:p w14:paraId="164596B2"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LD</w:t>
            </w:r>
            <w:r>
              <w:rPr>
                <w:rFonts w:eastAsia="Batang"/>
                <w:b/>
                <w:bCs/>
                <w:sz w:val="16"/>
                <w:szCs w:val="16"/>
                <w:vertAlign w:val="subscript"/>
                <w:lang w:val="en-GB" w:eastAsia="zh-CN"/>
              </w:rPr>
              <w:t>50</w:t>
            </w:r>
          </w:p>
        </w:tc>
        <w:tc>
          <w:tcPr>
            <w:tcW w:w="555" w:type="pct"/>
            <w:tcBorders>
              <w:top w:val="single" w:sz="4" w:space="0" w:color="auto"/>
              <w:left w:val="single" w:sz="4" w:space="0" w:color="auto"/>
              <w:bottom w:val="single" w:sz="4" w:space="0" w:color="auto"/>
              <w:right w:val="single" w:sz="4" w:space="0" w:color="auto"/>
            </w:tcBorders>
            <w:noWrap/>
            <w:vAlign w:val="center"/>
            <w:hideMark/>
          </w:tcPr>
          <w:p w14:paraId="06B2E39D" w14:textId="77777777" w:rsidR="00E51CDD" w:rsidRDefault="00E51CDD" w:rsidP="009938D9">
            <w:pPr>
              <w:widowControl w:val="0"/>
              <w:tabs>
                <w:tab w:val="left" w:pos="720"/>
              </w:tabs>
              <w:jc w:val="both"/>
              <w:rPr>
                <w:rFonts w:eastAsia="Batang"/>
                <w:sz w:val="16"/>
                <w:szCs w:val="16"/>
                <w:lang w:val="en-GB" w:eastAsia="zh-CN"/>
              </w:rPr>
            </w:pPr>
            <w:r>
              <w:rPr>
                <w:rFonts w:eastAsia="Batang"/>
                <w:sz w:val="16"/>
                <w:szCs w:val="16"/>
                <w:lang w:val="en-GB" w:eastAsia="zh-CN"/>
              </w:rPr>
              <w:t> </w:t>
            </w:r>
          </w:p>
        </w:tc>
      </w:tr>
      <w:tr w:rsidR="00E51CDD" w14:paraId="33E0F50D" w14:textId="77777777" w:rsidTr="009938D9">
        <w:trPr>
          <w:trHeight w:val="2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35BD29" w14:textId="77777777" w:rsidR="00E51CDD" w:rsidRDefault="00E51CDD" w:rsidP="009938D9">
            <w:pPr>
              <w:rPr>
                <w:rFonts w:eastAsia="Batang"/>
                <w:b/>
                <w:bCs/>
                <w:sz w:val="16"/>
                <w:szCs w:val="16"/>
                <w:lang w:val="en-GB" w:eastAsia="zh-CN"/>
              </w:rPr>
            </w:pPr>
          </w:p>
        </w:tc>
        <w:tc>
          <w:tcPr>
            <w:tcW w:w="766" w:type="pct"/>
            <w:tcBorders>
              <w:top w:val="single" w:sz="4" w:space="0" w:color="auto"/>
              <w:left w:val="single" w:sz="4" w:space="0" w:color="auto"/>
              <w:bottom w:val="single" w:sz="4" w:space="0" w:color="auto"/>
              <w:right w:val="single" w:sz="4" w:space="0" w:color="auto"/>
            </w:tcBorders>
            <w:vAlign w:val="center"/>
            <w:hideMark/>
          </w:tcPr>
          <w:p w14:paraId="6DA6911A" w14:textId="77777777" w:rsidR="00E51CDD" w:rsidRDefault="00E51CDD" w:rsidP="009938D9">
            <w:pPr>
              <w:widowControl w:val="0"/>
              <w:tabs>
                <w:tab w:val="left" w:pos="720"/>
              </w:tabs>
              <w:jc w:val="center"/>
              <w:rPr>
                <w:sz w:val="16"/>
                <w:szCs w:val="16"/>
                <w:lang w:val="en-GB"/>
              </w:rPr>
            </w:pPr>
            <w:r>
              <w:rPr>
                <w:sz w:val="16"/>
                <w:szCs w:val="16"/>
                <w:lang w:val="en-GB"/>
              </w:rPr>
              <w:t>Cereals</w:t>
            </w:r>
          </w:p>
        </w:tc>
        <w:tc>
          <w:tcPr>
            <w:tcW w:w="696" w:type="pct"/>
            <w:tcBorders>
              <w:top w:val="single" w:sz="4" w:space="0" w:color="auto"/>
              <w:left w:val="single" w:sz="4" w:space="0" w:color="auto"/>
              <w:bottom w:val="single" w:sz="4" w:space="0" w:color="auto"/>
              <w:right w:val="single" w:sz="4" w:space="0" w:color="auto"/>
            </w:tcBorders>
            <w:vAlign w:val="center"/>
            <w:hideMark/>
          </w:tcPr>
          <w:p w14:paraId="2A199007" w14:textId="77777777" w:rsidR="00E51CDD" w:rsidRDefault="00E51CDD" w:rsidP="009938D9">
            <w:pPr>
              <w:widowControl w:val="0"/>
              <w:tabs>
                <w:tab w:val="left" w:pos="720"/>
              </w:tabs>
              <w:jc w:val="center"/>
              <w:rPr>
                <w:sz w:val="16"/>
                <w:szCs w:val="16"/>
                <w:lang w:val="en-GB"/>
              </w:rPr>
            </w:pPr>
            <w:r>
              <w:rPr>
                <w:sz w:val="16"/>
                <w:szCs w:val="16"/>
                <w:lang w:val="de-DE"/>
              </w:rPr>
              <w:t>0.100</w:t>
            </w:r>
          </w:p>
        </w:tc>
        <w:tc>
          <w:tcPr>
            <w:tcW w:w="627" w:type="pct"/>
            <w:tcBorders>
              <w:top w:val="single" w:sz="4" w:space="0" w:color="auto"/>
              <w:left w:val="single" w:sz="4" w:space="0" w:color="auto"/>
              <w:bottom w:val="single" w:sz="4" w:space="0" w:color="auto"/>
              <w:right w:val="single" w:sz="4" w:space="0" w:color="auto"/>
            </w:tcBorders>
            <w:vAlign w:val="center"/>
            <w:hideMark/>
          </w:tcPr>
          <w:p w14:paraId="31B72081" w14:textId="77777777" w:rsidR="00E51CDD" w:rsidRDefault="00E51CDD" w:rsidP="009938D9">
            <w:pPr>
              <w:widowControl w:val="0"/>
              <w:tabs>
                <w:tab w:val="left" w:pos="720"/>
              </w:tabs>
              <w:jc w:val="center"/>
              <w:rPr>
                <w:sz w:val="16"/>
                <w:szCs w:val="16"/>
                <w:lang w:val="en-GB"/>
              </w:rPr>
            </w:pPr>
            <w:r>
              <w:rPr>
                <w:sz w:val="16"/>
                <w:szCs w:val="16"/>
                <w:lang w:val="de-DE"/>
              </w:rPr>
              <w:t>2</w:t>
            </w:r>
          </w:p>
        </w:tc>
        <w:tc>
          <w:tcPr>
            <w:tcW w:w="673" w:type="pct"/>
            <w:tcBorders>
              <w:top w:val="single" w:sz="4" w:space="0" w:color="auto"/>
              <w:left w:val="single" w:sz="4" w:space="0" w:color="auto"/>
              <w:bottom w:val="single" w:sz="4" w:space="0" w:color="auto"/>
              <w:right w:val="single" w:sz="4" w:space="0" w:color="auto"/>
            </w:tcBorders>
            <w:vAlign w:val="center"/>
            <w:hideMark/>
          </w:tcPr>
          <w:p w14:paraId="5966C509" w14:textId="77777777" w:rsidR="00E51CDD" w:rsidRDefault="00E51CDD" w:rsidP="009938D9">
            <w:pPr>
              <w:widowControl w:val="0"/>
              <w:tabs>
                <w:tab w:val="left" w:pos="720"/>
              </w:tabs>
              <w:jc w:val="center"/>
              <w:rPr>
                <w:sz w:val="16"/>
                <w:szCs w:val="16"/>
                <w:lang w:val="en-GB"/>
              </w:rPr>
            </w:pPr>
            <w:r>
              <w:rPr>
                <w:sz w:val="16"/>
                <w:szCs w:val="16"/>
                <w:lang w:val="en-GB"/>
              </w:rPr>
              <w:t>21</w:t>
            </w:r>
          </w:p>
        </w:tc>
        <w:tc>
          <w:tcPr>
            <w:tcW w:w="586" w:type="pct"/>
            <w:tcBorders>
              <w:top w:val="single" w:sz="4" w:space="0" w:color="auto"/>
              <w:left w:val="single" w:sz="4" w:space="0" w:color="auto"/>
              <w:bottom w:val="single" w:sz="4" w:space="0" w:color="auto"/>
              <w:right w:val="single" w:sz="4" w:space="0" w:color="auto"/>
            </w:tcBorders>
            <w:vAlign w:val="center"/>
            <w:hideMark/>
          </w:tcPr>
          <w:p w14:paraId="56A1D1BF" w14:textId="77777777" w:rsidR="00E51CDD" w:rsidRDefault="00E51CDD" w:rsidP="009938D9">
            <w:pPr>
              <w:widowControl w:val="0"/>
              <w:tabs>
                <w:tab w:val="left" w:pos="720"/>
              </w:tabs>
              <w:jc w:val="center"/>
              <w:rPr>
                <w:sz w:val="16"/>
                <w:szCs w:val="16"/>
                <w:lang w:val="en-GB"/>
              </w:rPr>
            </w:pPr>
            <w:r>
              <w:rPr>
                <w:sz w:val="16"/>
                <w:szCs w:val="16"/>
                <w:lang w:val="de-DE"/>
              </w:rPr>
              <w:t>10.0</w:t>
            </w:r>
          </w:p>
        </w:tc>
        <w:tc>
          <w:tcPr>
            <w:tcW w:w="464" w:type="pct"/>
            <w:tcBorders>
              <w:top w:val="single" w:sz="4" w:space="0" w:color="auto"/>
              <w:left w:val="single" w:sz="4" w:space="0" w:color="auto"/>
              <w:bottom w:val="single" w:sz="4" w:space="0" w:color="auto"/>
              <w:right w:val="single" w:sz="4" w:space="0" w:color="auto"/>
            </w:tcBorders>
            <w:noWrap/>
            <w:vAlign w:val="center"/>
            <w:hideMark/>
          </w:tcPr>
          <w:p w14:paraId="57D0067B" w14:textId="77777777" w:rsidR="00E51CDD" w:rsidRPr="009A61A1" w:rsidRDefault="00E51CDD" w:rsidP="009938D9">
            <w:pPr>
              <w:widowControl w:val="0"/>
              <w:tabs>
                <w:tab w:val="left" w:pos="720"/>
              </w:tabs>
              <w:jc w:val="center"/>
              <w:rPr>
                <w:strike/>
                <w:color w:val="D9D9D9" w:themeColor="background1" w:themeShade="D9"/>
                <w:sz w:val="16"/>
                <w:szCs w:val="16"/>
                <w:lang w:val="de-DE"/>
              </w:rPr>
            </w:pPr>
            <w:r w:rsidRPr="009A61A1">
              <w:rPr>
                <w:strike/>
                <w:color w:val="D9D9D9" w:themeColor="background1" w:themeShade="D9"/>
                <w:sz w:val="16"/>
                <w:szCs w:val="16"/>
                <w:lang w:val="de-DE"/>
              </w:rPr>
              <w:t>3776.0</w:t>
            </w:r>
          </w:p>
          <w:p w14:paraId="18F8604F" w14:textId="2AD1A65A" w:rsidR="009A61A1" w:rsidRDefault="009A61A1" w:rsidP="009938D9">
            <w:pPr>
              <w:widowControl w:val="0"/>
              <w:tabs>
                <w:tab w:val="left" w:pos="720"/>
              </w:tabs>
              <w:jc w:val="center"/>
              <w:rPr>
                <w:sz w:val="16"/>
                <w:szCs w:val="16"/>
                <w:lang w:val="en-GB"/>
              </w:rPr>
            </w:pPr>
            <w:r w:rsidRPr="009A61A1">
              <w:rPr>
                <w:sz w:val="16"/>
                <w:szCs w:val="16"/>
                <w:shd w:val="clear" w:color="auto" w:fill="D9D9D9" w:themeFill="background1" w:themeFillShade="D9"/>
                <w:lang w:val="de-DE"/>
              </w:rPr>
              <w:t>&gt;2000</w:t>
            </w:r>
          </w:p>
        </w:tc>
        <w:tc>
          <w:tcPr>
            <w:tcW w:w="555" w:type="pct"/>
            <w:tcBorders>
              <w:top w:val="single" w:sz="4" w:space="0" w:color="auto"/>
              <w:left w:val="single" w:sz="4" w:space="0" w:color="auto"/>
              <w:bottom w:val="single" w:sz="4" w:space="0" w:color="auto"/>
              <w:right w:val="single" w:sz="4" w:space="0" w:color="auto"/>
            </w:tcBorders>
            <w:noWrap/>
            <w:vAlign w:val="center"/>
            <w:hideMark/>
          </w:tcPr>
          <w:p w14:paraId="0B937AF6" w14:textId="77777777" w:rsidR="00E51CDD" w:rsidRDefault="00E51CDD" w:rsidP="009938D9">
            <w:pPr>
              <w:widowControl w:val="0"/>
              <w:tabs>
                <w:tab w:val="left" w:pos="720"/>
              </w:tabs>
              <w:jc w:val="both"/>
              <w:rPr>
                <w:rFonts w:eastAsia="Batang"/>
                <w:sz w:val="16"/>
                <w:szCs w:val="16"/>
                <w:lang w:val="en-GB" w:eastAsia="zh-CN"/>
              </w:rPr>
            </w:pPr>
            <w:r>
              <w:rPr>
                <w:rFonts w:eastAsia="Batang"/>
                <w:sz w:val="16"/>
                <w:szCs w:val="16"/>
                <w:lang w:val="en-GB" w:eastAsia="zh-CN"/>
              </w:rPr>
              <w:t> </w:t>
            </w:r>
          </w:p>
        </w:tc>
      </w:tr>
      <w:tr w:rsidR="00E51CDD" w14:paraId="3CDEA3E6" w14:textId="77777777" w:rsidTr="009938D9">
        <w:trPr>
          <w:trHeight w:val="300"/>
        </w:trPr>
        <w:tc>
          <w:tcPr>
            <w:tcW w:w="5000" w:type="pct"/>
            <w:gridSpan w:val="8"/>
            <w:tcBorders>
              <w:top w:val="single" w:sz="4" w:space="0" w:color="auto"/>
              <w:left w:val="single" w:sz="4" w:space="0" w:color="auto"/>
              <w:bottom w:val="single" w:sz="4" w:space="0" w:color="auto"/>
              <w:right w:val="single" w:sz="4" w:space="0" w:color="auto"/>
            </w:tcBorders>
            <w:noWrap/>
            <w:vAlign w:val="center"/>
            <w:hideMark/>
          </w:tcPr>
          <w:p w14:paraId="5825CAB7" w14:textId="77777777" w:rsidR="00E51CDD" w:rsidRDefault="00E51CDD" w:rsidP="009938D9">
            <w:pPr>
              <w:widowControl w:val="0"/>
              <w:tabs>
                <w:tab w:val="left" w:pos="720"/>
              </w:tabs>
              <w:rPr>
                <w:rFonts w:eastAsia="Batang"/>
                <w:b/>
                <w:bCs/>
                <w:sz w:val="16"/>
                <w:szCs w:val="16"/>
                <w:lang w:val="en-GB" w:eastAsia="zh-CN"/>
              </w:rPr>
            </w:pPr>
            <w:r>
              <w:rPr>
                <w:rFonts w:eastAsia="Batang"/>
                <w:b/>
                <w:bCs/>
                <w:sz w:val="16"/>
                <w:szCs w:val="16"/>
                <w:lang w:val="en-GB" w:eastAsia="zh-CN"/>
              </w:rPr>
              <w:t>Screening step:</w:t>
            </w:r>
          </w:p>
        </w:tc>
      </w:tr>
      <w:tr w:rsidR="00E51CDD" w14:paraId="1227F48A" w14:textId="77777777" w:rsidTr="009938D9">
        <w:trPr>
          <w:trHeight w:val="868"/>
        </w:trPr>
        <w:tc>
          <w:tcPr>
            <w:tcW w:w="633" w:type="pct"/>
            <w:vMerge w:val="restart"/>
            <w:tcBorders>
              <w:top w:val="single" w:sz="4" w:space="0" w:color="auto"/>
              <w:left w:val="single" w:sz="4" w:space="0" w:color="auto"/>
              <w:bottom w:val="single" w:sz="4" w:space="0" w:color="auto"/>
              <w:right w:val="single" w:sz="4" w:space="0" w:color="auto"/>
            </w:tcBorders>
            <w:vAlign w:val="center"/>
            <w:hideMark/>
          </w:tcPr>
          <w:p w14:paraId="44428B17" w14:textId="77777777" w:rsidR="00E51CDD" w:rsidRDefault="00E51CDD" w:rsidP="009938D9">
            <w:pPr>
              <w:widowControl w:val="0"/>
              <w:tabs>
                <w:tab w:val="left" w:pos="720"/>
              </w:tabs>
              <w:rPr>
                <w:rFonts w:eastAsia="Batang"/>
                <w:sz w:val="16"/>
                <w:szCs w:val="16"/>
                <w:lang w:val="en-GB" w:eastAsia="zh-CN"/>
              </w:rPr>
            </w:pPr>
            <w:r>
              <w:rPr>
                <w:rFonts w:eastAsia="Batang"/>
                <w:sz w:val="16"/>
                <w:szCs w:val="16"/>
                <w:lang w:val="en-GB" w:eastAsia="zh-CN"/>
              </w:rPr>
              <w:t>Acute risk assessment screening step</w:t>
            </w:r>
          </w:p>
        </w:tc>
        <w:tc>
          <w:tcPr>
            <w:tcW w:w="766" w:type="pct"/>
            <w:tcBorders>
              <w:top w:val="single" w:sz="4" w:space="0" w:color="auto"/>
              <w:left w:val="single" w:sz="4" w:space="0" w:color="auto"/>
              <w:bottom w:val="single" w:sz="4" w:space="0" w:color="auto"/>
              <w:right w:val="single" w:sz="4" w:space="0" w:color="auto"/>
            </w:tcBorders>
            <w:vAlign w:val="center"/>
            <w:hideMark/>
          </w:tcPr>
          <w:p w14:paraId="47DED7B5"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Indicator species</w:t>
            </w:r>
          </w:p>
        </w:tc>
        <w:tc>
          <w:tcPr>
            <w:tcW w:w="696" w:type="pct"/>
            <w:tcBorders>
              <w:top w:val="single" w:sz="4" w:space="0" w:color="auto"/>
              <w:left w:val="single" w:sz="4" w:space="0" w:color="auto"/>
              <w:bottom w:val="single" w:sz="4" w:space="0" w:color="auto"/>
              <w:right w:val="single" w:sz="4" w:space="0" w:color="auto"/>
            </w:tcBorders>
            <w:vAlign w:val="center"/>
            <w:hideMark/>
          </w:tcPr>
          <w:p w14:paraId="4B06193D"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Shortcut value</w:t>
            </w:r>
          </w:p>
        </w:tc>
        <w:tc>
          <w:tcPr>
            <w:tcW w:w="627" w:type="pct"/>
            <w:tcBorders>
              <w:top w:val="single" w:sz="4" w:space="0" w:color="auto"/>
              <w:left w:val="single" w:sz="4" w:space="0" w:color="auto"/>
              <w:bottom w:val="single" w:sz="4" w:space="0" w:color="auto"/>
              <w:right w:val="single" w:sz="4" w:space="0" w:color="auto"/>
            </w:tcBorders>
            <w:vAlign w:val="center"/>
            <w:hideMark/>
          </w:tcPr>
          <w:p w14:paraId="440314DF"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Daily Dietary Dose (single)</w:t>
            </w:r>
          </w:p>
        </w:tc>
        <w:tc>
          <w:tcPr>
            <w:tcW w:w="673" w:type="pct"/>
            <w:tcBorders>
              <w:top w:val="single" w:sz="4" w:space="0" w:color="auto"/>
              <w:left w:val="single" w:sz="4" w:space="0" w:color="auto"/>
              <w:bottom w:val="single" w:sz="4" w:space="0" w:color="auto"/>
              <w:right w:val="single" w:sz="4" w:space="0" w:color="auto"/>
            </w:tcBorders>
            <w:vAlign w:val="center"/>
            <w:hideMark/>
          </w:tcPr>
          <w:p w14:paraId="45449570"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MAF (90)</w:t>
            </w:r>
          </w:p>
        </w:tc>
        <w:tc>
          <w:tcPr>
            <w:tcW w:w="586" w:type="pct"/>
            <w:tcBorders>
              <w:top w:val="single" w:sz="4" w:space="0" w:color="auto"/>
              <w:left w:val="single" w:sz="4" w:space="0" w:color="auto"/>
              <w:bottom w:val="single" w:sz="4" w:space="0" w:color="auto"/>
              <w:right w:val="single" w:sz="4" w:space="0" w:color="auto"/>
            </w:tcBorders>
            <w:vAlign w:val="center"/>
            <w:hideMark/>
          </w:tcPr>
          <w:p w14:paraId="7325CF23"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Daily Dietary Dose (Multiple)</w:t>
            </w:r>
          </w:p>
        </w:tc>
        <w:tc>
          <w:tcPr>
            <w:tcW w:w="464" w:type="pct"/>
            <w:tcBorders>
              <w:top w:val="single" w:sz="4" w:space="0" w:color="auto"/>
              <w:left w:val="single" w:sz="4" w:space="0" w:color="auto"/>
              <w:bottom w:val="single" w:sz="4" w:space="0" w:color="auto"/>
              <w:right w:val="single" w:sz="4" w:space="0" w:color="auto"/>
            </w:tcBorders>
            <w:vAlign w:val="center"/>
            <w:hideMark/>
          </w:tcPr>
          <w:p w14:paraId="0C886FAC"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TER</w:t>
            </w:r>
          </w:p>
        </w:tc>
        <w:tc>
          <w:tcPr>
            <w:tcW w:w="555" w:type="pct"/>
            <w:vMerge w:val="restart"/>
            <w:tcBorders>
              <w:top w:val="single" w:sz="4" w:space="0" w:color="auto"/>
              <w:left w:val="single" w:sz="4" w:space="0" w:color="auto"/>
              <w:bottom w:val="single" w:sz="4" w:space="0" w:color="auto"/>
              <w:right w:val="single" w:sz="4" w:space="0" w:color="auto"/>
            </w:tcBorders>
            <w:vAlign w:val="center"/>
            <w:hideMark/>
          </w:tcPr>
          <w:p w14:paraId="6930D9FF" w14:textId="77777777" w:rsidR="00E51CDD" w:rsidRDefault="00E51CDD" w:rsidP="009938D9">
            <w:pPr>
              <w:widowControl w:val="0"/>
              <w:tabs>
                <w:tab w:val="left" w:pos="720"/>
              </w:tabs>
              <w:jc w:val="center"/>
              <w:rPr>
                <w:bCs/>
                <w:sz w:val="16"/>
                <w:szCs w:val="16"/>
                <w:lang w:val="en-GB"/>
              </w:rPr>
            </w:pPr>
            <w:r>
              <w:rPr>
                <w:rFonts w:eastAsia="Batang"/>
                <w:bCs/>
                <w:sz w:val="16"/>
                <w:szCs w:val="16"/>
                <w:lang w:val="en-GB" w:eastAsia="zh-CN"/>
              </w:rPr>
              <w:t>No refinement step required</w:t>
            </w:r>
          </w:p>
        </w:tc>
      </w:tr>
      <w:tr w:rsidR="00E51CDD" w14:paraId="052E3CAE" w14:textId="77777777" w:rsidTr="009938D9">
        <w:trPr>
          <w:trHeight w:val="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DD1100" w14:textId="77777777" w:rsidR="00E51CDD" w:rsidRDefault="00E51CDD" w:rsidP="009938D9">
            <w:pPr>
              <w:rPr>
                <w:rFonts w:eastAsia="Batang"/>
                <w:sz w:val="16"/>
                <w:szCs w:val="16"/>
                <w:lang w:val="en-GB" w:eastAsia="zh-CN"/>
              </w:rPr>
            </w:pPr>
          </w:p>
        </w:tc>
        <w:tc>
          <w:tcPr>
            <w:tcW w:w="766" w:type="pct"/>
            <w:tcBorders>
              <w:top w:val="single" w:sz="4" w:space="0" w:color="auto"/>
              <w:left w:val="single" w:sz="4" w:space="0" w:color="auto"/>
              <w:bottom w:val="single" w:sz="4" w:space="0" w:color="auto"/>
              <w:right w:val="single" w:sz="4" w:space="0" w:color="auto"/>
            </w:tcBorders>
            <w:vAlign w:val="center"/>
            <w:hideMark/>
          </w:tcPr>
          <w:p w14:paraId="38E1EFB0" w14:textId="77777777" w:rsidR="00E51CDD" w:rsidRDefault="00E51CDD" w:rsidP="009938D9">
            <w:pPr>
              <w:widowControl w:val="0"/>
              <w:tabs>
                <w:tab w:val="left" w:pos="720"/>
              </w:tabs>
              <w:jc w:val="center"/>
              <w:rPr>
                <w:sz w:val="16"/>
                <w:szCs w:val="16"/>
                <w:lang w:val="en-GB"/>
              </w:rPr>
            </w:pPr>
            <w:r>
              <w:rPr>
                <w:sz w:val="16"/>
                <w:szCs w:val="16"/>
                <w:lang w:val="de-DE"/>
              </w:rPr>
              <w:t>Small omnivorous bird</w:t>
            </w:r>
          </w:p>
        </w:tc>
        <w:tc>
          <w:tcPr>
            <w:tcW w:w="696" w:type="pct"/>
            <w:tcBorders>
              <w:top w:val="single" w:sz="4" w:space="0" w:color="auto"/>
              <w:left w:val="single" w:sz="4" w:space="0" w:color="auto"/>
              <w:bottom w:val="single" w:sz="4" w:space="0" w:color="auto"/>
              <w:right w:val="single" w:sz="4" w:space="0" w:color="auto"/>
            </w:tcBorders>
            <w:vAlign w:val="center"/>
            <w:hideMark/>
          </w:tcPr>
          <w:p w14:paraId="4EB4FFBD" w14:textId="77777777" w:rsidR="00E51CDD" w:rsidRDefault="00E51CDD" w:rsidP="009938D9">
            <w:pPr>
              <w:widowControl w:val="0"/>
              <w:tabs>
                <w:tab w:val="left" w:pos="720"/>
              </w:tabs>
              <w:jc w:val="center"/>
              <w:rPr>
                <w:sz w:val="16"/>
                <w:szCs w:val="16"/>
                <w:lang w:val="en-GB"/>
              </w:rPr>
            </w:pPr>
            <w:r>
              <w:rPr>
                <w:sz w:val="16"/>
                <w:szCs w:val="16"/>
                <w:lang w:val="de-DE"/>
              </w:rPr>
              <w:t>158.8</w:t>
            </w:r>
          </w:p>
        </w:tc>
        <w:tc>
          <w:tcPr>
            <w:tcW w:w="627" w:type="pct"/>
            <w:tcBorders>
              <w:top w:val="single" w:sz="4" w:space="0" w:color="auto"/>
              <w:left w:val="single" w:sz="4" w:space="0" w:color="auto"/>
              <w:bottom w:val="single" w:sz="4" w:space="0" w:color="auto"/>
              <w:right w:val="single" w:sz="4" w:space="0" w:color="auto"/>
            </w:tcBorders>
            <w:vAlign w:val="center"/>
            <w:hideMark/>
          </w:tcPr>
          <w:p w14:paraId="10C3D679" w14:textId="77777777" w:rsidR="00E51CDD" w:rsidRDefault="00E51CDD" w:rsidP="009938D9">
            <w:pPr>
              <w:widowControl w:val="0"/>
              <w:tabs>
                <w:tab w:val="left" w:pos="720"/>
              </w:tabs>
              <w:jc w:val="center"/>
              <w:rPr>
                <w:sz w:val="16"/>
                <w:szCs w:val="16"/>
                <w:lang w:val="en-GB"/>
              </w:rPr>
            </w:pPr>
            <w:r>
              <w:rPr>
                <w:sz w:val="16"/>
                <w:szCs w:val="16"/>
                <w:lang w:val="de-DE"/>
              </w:rPr>
              <w:t>15.88</w:t>
            </w:r>
          </w:p>
        </w:tc>
        <w:tc>
          <w:tcPr>
            <w:tcW w:w="673" w:type="pct"/>
            <w:tcBorders>
              <w:top w:val="single" w:sz="4" w:space="0" w:color="auto"/>
              <w:left w:val="single" w:sz="4" w:space="0" w:color="auto"/>
              <w:bottom w:val="single" w:sz="4" w:space="0" w:color="auto"/>
              <w:right w:val="single" w:sz="4" w:space="0" w:color="auto"/>
            </w:tcBorders>
            <w:vAlign w:val="center"/>
            <w:hideMark/>
          </w:tcPr>
          <w:p w14:paraId="44078725" w14:textId="77777777" w:rsidR="00E51CDD" w:rsidRDefault="00E51CDD" w:rsidP="009938D9">
            <w:pPr>
              <w:widowControl w:val="0"/>
              <w:tabs>
                <w:tab w:val="left" w:pos="720"/>
              </w:tabs>
              <w:jc w:val="center"/>
              <w:rPr>
                <w:sz w:val="16"/>
                <w:szCs w:val="16"/>
                <w:lang w:val="en-GB"/>
              </w:rPr>
            </w:pPr>
            <w:r>
              <w:rPr>
                <w:sz w:val="16"/>
                <w:szCs w:val="16"/>
                <w:lang w:val="de-DE"/>
              </w:rPr>
              <w:t>1.1</w:t>
            </w:r>
          </w:p>
        </w:tc>
        <w:tc>
          <w:tcPr>
            <w:tcW w:w="586" w:type="pct"/>
            <w:tcBorders>
              <w:top w:val="single" w:sz="4" w:space="0" w:color="auto"/>
              <w:left w:val="single" w:sz="4" w:space="0" w:color="auto"/>
              <w:bottom w:val="single" w:sz="4" w:space="0" w:color="auto"/>
              <w:right w:val="single" w:sz="4" w:space="0" w:color="auto"/>
            </w:tcBorders>
            <w:noWrap/>
            <w:vAlign w:val="center"/>
            <w:hideMark/>
          </w:tcPr>
          <w:p w14:paraId="6FD87034" w14:textId="77777777" w:rsidR="00E51CDD" w:rsidRDefault="00E51CDD" w:rsidP="009938D9">
            <w:pPr>
              <w:widowControl w:val="0"/>
              <w:tabs>
                <w:tab w:val="left" w:pos="720"/>
              </w:tabs>
              <w:jc w:val="center"/>
              <w:rPr>
                <w:sz w:val="16"/>
                <w:szCs w:val="16"/>
                <w:lang w:val="en-GB"/>
              </w:rPr>
            </w:pPr>
            <w:r>
              <w:rPr>
                <w:sz w:val="16"/>
                <w:szCs w:val="16"/>
                <w:lang w:val="de-DE"/>
              </w:rPr>
              <w:t>17.47</w:t>
            </w:r>
          </w:p>
        </w:tc>
        <w:tc>
          <w:tcPr>
            <w:tcW w:w="464" w:type="pct"/>
            <w:tcBorders>
              <w:top w:val="single" w:sz="4" w:space="0" w:color="auto"/>
              <w:left w:val="single" w:sz="4" w:space="0" w:color="auto"/>
              <w:bottom w:val="single" w:sz="4" w:space="0" w:color="auto"/>
              <w:right w:val="single" w:sz="4" w:space="0" w:color="auto"/>
            </w:tcBorders>
            <w:vAlign w:val="center"/>
            <w:hideMark/>
          </w:tcPr>
          <w:p w14:paraId="73C6FE1A" w14:textId="77777777" w:rsidR="00E51CDD" w:rsidRPr="009A61A1" w:rsidRDefault="00E51CDD" w:rsidP="009938D9">
            <w:pPr>
              <w:widowControl w:val="0"/>
              <w:tabs>
                <w:tab w:val="left" w:pos="720"/>
              </w:tabs>
              <w:jc w:val="center"/>
              <w:rPr>
                <w:strike/>
                <w:color w:val="D9D9D9" w:themeColor="background1" w:themeShade="D9"/>
                <w:sz w:val="16"/>
                <w:szCs w:val="16"/>
                <w:lang w:val="de-DE"/>
              </w:rPr>
            </w:pPr>
            <w:r w:rsidRPr="009A61A1">
              <w:rPr>
                <w:strike/>
                <w:color w:val="D9D9D9" w:themeColor="background1" w:themeShade="D9"/>
                <w:sz w:val="16"/>
                <w:szCs w:val="16"/>
                <w:lang w:val="de-DE"/>
              </w:rPr>
              <w:t>216.2</w:t>
            </w:r>
          </w:p>
          <w:p w14:paraId="5D556BF5" w14:textId="0472153A" w:rsidR="009A61A1" w:rsidRDefault="005A4B43" w:rsidP="009938D9">
            <w:pPr>
              <w:widowControl w:val="0"/>
              <w:tabs>
                <w:tab w:val="left" w:pos="720"/>
              </w:tabs>
              <w:jc w:val="center"/>
              <w:rPr>
                <w:sz w:val="16"/>
                <w:szCs w:val="16"/>
                <w:lang w:val="en-GB"/>
              </w:rPr>
            </w:pPr>
            <w:r>
              <w:rPr>
                <w:sz w:val="16"/>
                <w:szCs w:val="16"/>
                <w:shd w:val="clear" w:color="auto" w:fill="D9D9D9" w:themeFill="background1" w:themeFillShade="D9"/>
                <w:lang w:val="de-DE"/>
              </w:rPr>
              <w:t>&gt;</w:t>
            </w:r>
            <w:r w:rsidR="009A61A1" w:rsidRPr="009A61A1">
              <w:rPr>
                <w:sz w:val="16"/>
                <w:szCs w:val="16"/>
                <w:shd w:val="clear" w:color="auto" w:fill="D9D9D9" w:themeFill="background1" w:themeFillShade="D9"/>
                <w:lang w:val="de-DE"/>
              </w:rPr>
              <w:t>114.5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1B7397" w14:textId="77777777" w:rsidR="00E51CDD" w:rsidRDefault="00E51CDD" w:rsidP="009938D9">
            <w:pPr>
              <w:rPr>
                <w:bCs/>
                <w:sz w:val="16"/>
                <w:szCs w:val="16"/>
                <w:lang w:val="en-GB"/>
              </w:rPr>
            </w:pPr>
          </w:p>
        </w:tc>
      </w:tr>
    </w:tbl>
    <w:p w14:paraId="59DA8400" w14:textId="77777777" w:rsidR="00E51CDD" w:rsidRPr="00DC74C3" w:rsidRDefault="00E51CDD" w:rsidP="00E51CDD">
      <w:pPr>
        <w:widowControl w:val="0"/>
        <w:jc w:val="both"/>
        <w:rPr>
          <w:sz w:val="2"/>
          <w:szCs w:val="2"/>
          <w:lang w:val="en-GB" w:eastAsia="en-US"/>
        </w:rPr>
      </w:pPr>
    </w:p>
    <w:p w14:paraId="3424967E" w14:textId="29BECAFA" w:rsidR="00E51CDD" w:rsidRDefault="00E51CDD" w:rsidP="00E51CDD">
      <w:pPr>
        <w:pStyle w:val="RepLabel"/>
      </w:pPr>
      <w:bookmarkStart w:id="207" w:name="_Ref81552896"/>
      <w:bookmarkStart w:id="208" w:name="_Ref88215906"/>
      <w:r w:rsidRPr="002B1114">
        <w:t xml:space="preserve">Table </w:t>
      </w:r>
      <w:r w:rsidRPr="002B1114">
        <w:fldChar w:fldCharType="begin"/>
      </w:r>
      <w:r w:rsidRPr="002B1114">
        <w:instrText xml:space="preserve"> STYLEREF 2 \s </w:instrText>
      </w:r>
      <w:r w:rsidRPr="002B1114">
        <w:fldChar w:fldCharType="separate"/>
      </w:r>
      <w:r w:rsidR="00662F32">
        <w:rPr>
          <w:noProof/>
        </w:rPr>
        <w:t>9.2</w:t>
      </w:r>
      <w:r w:rsidRPr="002B1114">
        <w:fldChar w:fldCharType="end"/>
      </w:r>
      <w:r w:rsidRPr="002B1114">
        <w:noBreakHyphen/>
      </w:r>
      <w:r w:rsidRPr="002B1114">
        <w:fldChar w:fldCharType="begin"/>
      </w:r>
      <w:r w:rsidRPr="002B1114">
        <w:instrText xml:space="preserve"> SEQ Table \* ARABIC \s 2 </w:instrText>
      </w:r>
      <w:r w:rsidRPr="002B1114">
        <w:fldChar w:fldCharType="separate"/>
      </w:r>
      <w:r w:rsidR="00662F32">
        <w:rPr>
          <w:noProof/>
        </w:rPr>
        <w:t>5</w:t>
      </w:r>
      <w:r w:rsidRPr="002B1114">
        <w:fldChar w:fldCharType="end"/>
      </w:r>
      <w:bookmarkEnd w:id="207"/>
      <w:bookmarkEnd w:id="208"/>
      <w:r w:rsidRPr="002B1114">
        <w:t>:</w:t>
      </w:r>
      <w:r w:rsidRPr="002B1114">
        <w:tab/>
      </w:r>
      <w:r>
        <w:t>Azoxystrobin</w:t>
      </w:r>
      <w:r w:rsidRPr="00A92631">
        <w:t>: Screening step calculation of the acute risk for birds due to the use of BAS 7</w:t>
      </w:r>
      <w:r>
        <w:t>36</w:t>
      </w:r>
      <w:r w:rsidRPr="00A92631">
        <w:t> 00 F for the crop group “</w:t>
      </w:r>
      <w:r>
        <w:t>cereals</w:t>
      </w:r>
      <w:r w:rsidRPr="00A9263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1432"/>
        <w:gridCol w:w="1301"/>
        <w:gridCol w:w="1172"/>
        <w:gridCol w:w="1258"/>
        <w:gridCol w:w="1095"/>
        <w:gridCol w:w="867"/>
        <w:gridCol w:w="1038"/>
      </w:tblGrid>
      <w:tr w:rsidR="00E51CDD" w14:paraId="0B9B94C3" w14:textId="77777777" w:rsidTr="009938D9">
        <w:trPr>
          <w:trHeight w:val="373"/>
        </w:trPr>
        <w:tc>
          <w:tcPr>
            <w:tcW w:w="633" w:type="pct"/>
            <w:vMerge w:val="restart"/>
            <w:tcBorders>
              <w:top w:val="single" w:sz="4" w:space="0" w:color="auto"/>
              <w:left w:val="single" w:sz="4" w:space="0" w:color="auto"/>
              <w:bottom w:val="single" w:sz="4" w:space="0" w:color="auto"/>
              <w:right w:val="single" w:sz="4" w:space="0" w:color="auto"/>
            </w:tcBorders>
            <w:vAlign w:val="center"/>
            <w:hideMark/>
          </w:tcPr>
          <w:p w14:paraId="7AAE314B" w14:textId="77777777" w:rsidR="00E51CDD" w:rsidRDefault="00E51CDD" w:rsidP="009938D9">
            <w:pPr>
              <w:widowControl w:val="0"/>
              <w:tabs>
                <w:tab w:val="left" w:pos="720"/>
              </w:tabs>
              <w:rPr>
                <w:rFonts w:eastAsia="Batang"/>
                <w:b/>
                <w:bCs/>
                <w:sz w:val="16"/>
                <w:szCs w:val="16"/>
                <w:lang w:val="en-GB" w:eastAsia="zh-CN"/>
              </w:rPr>
            </w:pPr>
            <w:r>
              <w:rPr>
                <w:rFonts w:eastAsia="Batang"/>
                <w:b/>
                <w:bCs/>
                <w:sz w:val="16"/>
                <w:szCs w:val="16"/>
                <w:lang w:val="en-GB" w:eastAsia="zh-CN"/>
              </w:rPr>
              <w:t>Data from Data_Entry worksheet</w:t>
            </w:r>
          </w:p>
        </w:tc>
        <w:tc>
          <w:tcPr>
            <w:tcW w:w="766" w:type="pct"/>
            <w:tcBorders>
              <w:top w:val="single" w:sz="4" w:space="0" w:color="auto"/>
              <w:left w:val="single" w:sz="4" w:space="0" w:color="auto"/>
              <w:bottom w:val="single" w:sz="4" w:space="0" w:color="auto"/>
              <w:right w:val="single" w:sz="4" w:space="0" w:color="auto"/>
            </w:tcBorders>
            <w:vAlign w:val="center"/>
            <w:hideMark/>
          </w:tcPr>
          <w:p w14:paraId="07A5FC11"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Crop</w:t>
            </w:r>
          </w:p>
        </w:tc>
        <w:tc>
          <w:tcPr>
            <w:tcW w:w="696" w:type="pct"/>
            <w:tcBorders>
              <w:top w:val="single" w:sz="4" w:space="0" w:color="auto"/>
              <w:left w:val="single" w:sz="4" w:space="0" w:color="auto"/>
              <w:bottom w:val="single" w:sz="4" w:space="0" w:color="auto"/>
              <w:right w:val="single" w:sz="4" w:space="0" w:color="auto"/>
            </w:tcBorders>
            <w:vAlign w:val="center"/>
            <w:hideMark/>
          </w:tcPr>
          <w:p w14:paraId="05C3C85C"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Application rate (kg a.s./ha)</w:t>
            </w:r>
          </w:p>
        </w:tc>
        <w:tc>
          <w:tcPr>
            <w:tcW w:w="627" w:type="pct"/>
            <w:tcBorders>
              <w:top w:val="single" w:sz="4" w:space="0" w:color="auto"/>
              <w:left w:val="single" w:sz="4" w:space="0" w:color="auto"/>
              <w:bottom w:val="single" w:sz="4" w:space="0" w:color="auto"/>
              <w:right w:val="single" w:sz="4" w:space="0" w:color="auto"/>
            </w:tcBorders>
            <w:vAlign w:val="center"/>
            <w:hideMark/>
          </w:tcPr>
          <w:p w14:paraId="42EA1D08"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Number of applications</w:t>
            </w:r>
          </w:p>
        </w:tc>
        <w:tc>
          <w:tcPr>
            <w:tcW w:w="673" w:type="pct"/>
            <w:tcBorders>
              <w:top w:val="single" w:sz="4" w:space="0" w:color="auto"/>
              <w:left w:val="single" w:sz="4" w:space="0" w:color="auto"/>
              <w:bottom w:val="single" w:sz="4" w:space="0" w:color="auto"/>
              <w:right w:val="single" w:sz="4" w:space="0" w:color="auto"/>
            </w:tcBorders>
            <w:vAlign w:val="center"/>
            <w:hideMark/>
          </w:tcPr>
          <w:p w14:paraId="2A688ACF"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Application Interval</w:t>
            </w:r>
          </w:p>
        </w:tc>
        <w:tc>
          <w:tcPr>
            <w:tcW w:w="586" w:type="pct"/>
            <w:tcBorders>
              <w:top w:val="single" w:sz="4" w:space="0" w:color="auto"/>
              <w:left w:val="single" w:sz="4" w:space="0" w:color="auto"/>
              <w:bottom w:val="single" w:sz="4" w:space="0" w:color="auto"/>
              <w:right w:val="single" w:sz="4" w:space="0" w:color="auto"/>
            </w:tcBorders>
            <w:vAlign w:val="center"/>
            <w:hideMark/>
          </w:tcPr>
          <w:p w14:paraId="07A1E4F2"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DT</w:t>
            </w:r>
            <w:r>
              <w:rPr>
                <w:rFonts w:eastAsia="Batang"/>
                <w:b/>
                <w:bCs/>
                <w:sz w:val="16"/>
                <w:szCs w:val="16"/>
                <w:vertAlign w:val="subscript"/>
                <w:lang w:val="en-GB" w:eastAsia="zh-CN"/>
              </w:rPr>
              <w:t>50</w:t>
            </w:r>
          </w:p>
        </w:tc>
        <w:tc>
          <w:tcPr>
            <w:tcW w:w="464" w:type="pct"/>
            <w:tcBorders>
              <w:top w:val="single" w:sz="4" w:space="0" w:color="auto"/>
              <w:left w:val="single" w:sz="4" w:space="0" w:color="auto"/>
              <w:bottom w:val="single" w:sz="4" w:space="0" w:color="auto"/>
              <w:right w:val="single" w:sz="4" w:space="0" w:color="auto"/>
            </w:tcBorders>
            <w:vAlign w:val="center"/>
            <w:hideMark/>
          </w:tcPr>
          <w:p w14:paraId="68D8BECD"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LD</w:t>
            </w:r>
            <w:r>
              <w:rPr>
                <w:rFonts w:eastAsia="Batang"/>
                <w:b/>
                <w:bCs/>
                <w:sz w:val="16"/>
                <w:szCs w:val="16"/>
                <w:vertAlign w:val="subscript"/>
                <w:lang w:val="en-GB" w:eastAsia="zh-CN"/>
              </w:rPr>
              <w:t>50</w:t>
            </w:r>
          </w:p>
        </w:tc>
        <w:tc>
          <w:tcPr>
            <w:tcW w:w="555" w:type="pct"/>
            <w:tcBorders>
              <w:top w:val="single" w:sz="4" w:space="0" w:color="auto"/>
              <w:left w:val="single" w:sz="4" w:space="0" w:color="auto"/>
              <w:bottom w:val="single" w:sz="4" w:space="0" w:color="auto"/>
              <w:right w:val="single" w:sz="4" w:space="0" w:color="auto"/>
            </w:tcBorders>
            <w:noWrap/>
            <w:vAlign w:val="center"/>
            <w:hideMark/>
          </w:tcPr>
          <w:p w14:paraId="5E1CA2BA" w14:textId="77777777" w:rsidR="00E51CDD" w:rsidRDefault="00E51CDD" w:rsidP="009938D9">
            <w:pPr>
              <w:widowControl w:val="0"/>
              <w:tabs>
                <w:tab w:val="left" w:pos="720"/>
              </w:tabs>
              <w:jc w:val="both"/>
              <w:rPr>
                <w:rFonts w:eastAsia="Batang"/>
                <w:sz w:val="16"/>
                <w:szCs w:val="16"/>
                <w:lang w:val="en-GB" w:eastAsia="zh-CN"/>
              </w:rPr>
            </w:pPr>
            <w:r>
              <w:rPr>
                <w:rFonts w:eastAsia="Batang"/>
                <w:sz w:val="16"/>
                <w:szCs w:val="16"/>
                <w:lang w:val="en-GB" w:eastAsia="zh-CN"/>
              </w:rPr>
              <w:t> </w:t>
            </w:r>
          </w:p>
        </w:tc>
      </w:tr>
      <w:tr w:rsidR="00E51CDD" w14:paraId="03530782" w14:textId="77777777" w:rsidTr="009938D9">
        <w:trPr>
          <w:trHeight w:val="2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A6B27C" w14:textId="77777777" w:rsidR="00E51CDD" w:rsidRDefault="00E51CDD" w:rsidP="009938D9">
            <w:pPr>
              <w:rPr>
                <w:rFonts w:eastAsia="Batang"/>
                <w:b/>
                <w:bCs/>
                <w:sz w:val="16"/>
                <w:szCs w:val="16"/>
                <w:lang w:val="en-GB" w:eastAsia="zh-CN"/>
              </w:rPr>
            </w:pPr>
          </w:p>
        </w:tc>
        <w:tc>
          <w:tcPr>
            <w:tcW w:w="766" w:type="pct"/>
            <w:tcBorders>
              <w:top w:val="single" w:sz="4" w:space="0" w:color="auto"/>
              <w:left w:val="single" w:sz="4" w:space="0" w:color="auto"/>
              <w:bottom w:val="single" w:sz="4" w:space="0" w:color="auto"/>
              <w:right w:val="single" w:sz="4" w:space="0" w:color="auto"/>
            </w:tcBorders>
            <w:vAlign w:val="center"/>
            <w:hideMark/>
          </w:tcPr>
          <w:p w14:paraId="181A415A" w14:textId="77777777" w:rsidR="00E51CDD" w:rsidRDefault="00E51CDD" w:rsidP="009938D9">
            <w:pPr>
              <w:widowControl w:val="0"/>
              <w:tabs>
                <w:tab w:val="left" w:pos="720"/>
              </w:tabs>
              <w:jc w:val="center"/>
              <w:rPr>
                <w:sz w:val="16"/>
                <w:szCs w:val="16"/>
                <w:lang w:val="en-GB"/>
              </w:rPr>
            </w:pPr>
            <w:r>
              <w:rPr>
                <w:sz w:val="16"/>
                <w:szCs w:val="16"/>
                <w:lang w:val="en-GB"/>
              </w:rPr>
              <w:t>Cereals</w:t>
            </w:r>
          </w:p>
        </w:tc>
        <w:tc>
          <w:tcPr>
            <w:tcW w:w="696" w:type="pct"/>
            <w:tcBorders>
              <w:top w:val="single" w:sz="4" w:space="0" w:color="auto"/>
              <w:left w:val="single" w:sz="4" w:space="0" w:color="auto"/>
              <w:bottom w:val="single" w:sz="4" w:space="0" w:color="auto"/>
              <w:right w:val="single" w:sz="4" w:space="0" w:color="auto"/>
            </w:tcBorders>
            <w:vAlign w:val="center"/>
            <w:hideMark/>
          </w:tcPr>
          <w:p w14:paraId="4249C84D" w14:textId="77777777" w:rsidR="00E51CDD" w:rsidRDefault="00E51CDD" w:rsidP="009938D9">
            <w:pPr>
              <w:widowControl w:val="0"/>
              <w:tabs>
                <w:tab w:val="left" w:pos="720"/>
              </w:tabs>
              <w:jc w:val="center"/>
              <w:rPr>
                <w:sz w:val="16"/>
                <w:szCs w:val="16"/>
                <w:lang w:val="en-GB"/>
              </w:rPr>
            </w:pPr>
            <w:r>
              <w:rPr>
                <w:sz w:val="16"/>
                <w:szCs w:val="16"/>
                <w:lang w:val="de-DE"/>
              </w:rPr>
              <w:t>0.150</w:t>
            </w:r>
          </w:p>
        </w:tc>
        <w:tc>
          <w:tcPr>
            <w:tcW w:w="627" w:type="pct"/>
            <w:tcBorders>
              <w:top w:val="single" w:sz="4" w:space="0" w:color="auto"/>
              <w:left w:val="single" w:sz="4" w:space="0" w:color="auto"/>
              <w:bottom w:val="single" w:sz="4" w:space="0" w:color="auto"/>
              <w:right w:val="single" w:sz="4" w:space="0" w:color="auto"/>
            </w:tcBorders>
            <w:vAlign w:val="center"/>
            <w:hideMark/>
          </w:tcPr>
          <w:p w14:paraId="23960B11" w14:textId="77777777" w:rsidR="00E51CDD" w:rsidRDefault="00E51CDD" w:rsidP="009938D9">
            <w:pPr>
              <w:widowControl w:val="0"/>
              <w:tabs>
                <w:tab w:val="left" w:pos="720"/>
              </w:tabs>
              <w:jc w:val="center"/>
              <w:rPr>
                <w:sz w:val="16"/>
                <w:szCs w:val="16"/>
                <w:lang w:val="en-GB"/>
              </w:rPr>
            </w:pPr>
            <w:r>
              <w:rPr>
                <w:sz w:val="16"/>
                <w:szCs w:val="16"/>
                <w:lang w:val="de-DE"/>
              </w:rPr>
              <w:t>2</w:t>
            </w:r>
          </w:p>
        </w:tc>
        <w:tc>
          <w:tcPr>
            <w:tcW w:w="673" w:type="pct"/>
            <w:tcBorders>
              <w:top w:val="single" w:sz="4" w:space="0" w:color="auto"/>
              <w:left w:val="single" w:sz="4" w:space="0" w:color="auto"/>
              <w:bottom w:val="single" w:sz="4" w:space="0" w:color="auto"/>
              <w:right w:val="single" w:sz="4" w:space="0" w:color="auto"/>
            </w:tcBorders>
            <w:vAlign w:val="center"/>
            <w:hideMark/>
          </w:tcPr>
          <w:p w14:paraId="4E333D87" w14:textId="77777777" w:rsidR="00E51CDD" w:rsidRDefault="00E51CDD" w:rsidP="009938D9">
            <w:pPr>
              <w:widowControl w:val="0"/>
              <w:tabs>
                <w:tab w:val="left" w:pos="720"/>
              </w:tabs>
              <w:jc w:val="center"/>
              <w:rPr>
                <w:sz w:val="16"/>
                <w:szCs w:val="16"/>
                <w:lang w:val="en-GB"/>
              </w:rPr>
            </w:pPr>
            <w:r>
              <w:rPr>
                <w:sz w:val="16"/>
                <w:szCs w:val="16"/>
                <w:lang w:val="en-GB"/>
              </w:rPr>
              <w:t>21</w:t>
            </w:r>
          </w:p>
        </w:tc>
        <w:tc>
          <w:tcPr>
            <w:tcW w:w="586" w:type="pct"/>
            <w:tcBorders>
              <w:top w:val="single" w:sz="4" w:space="0" w:color="auto"/>
              <w:left w:val="single" w:sz="4" w:space="0" w:color="auto"/>
              <w:bottom w:val="single" w:sz="4" w:space="0" w:color="auto"/>
              <w:right w:val="single" w:sz="4" w:space="0" w:color="auto"/>
            </w:tcBorders>
            <w:vAlign w:val="center"/>
            <w:hideMark/>
          </w:tcPr>
          <w:p w14:paraId="1ECC4048" w14:textId="77777777" w:rsidR="00E51CDD" w:rsidRDefault="00E51CDD" w:rsidP="009938D9">
            <w:pPr>
              <w:widowControl w:val="0"/>
              <w:tabs>
                <w:tab w:val="left" w:pos="720"/>
              </w:tabs>
              <w:jc w:val="center"/>
              <w:rPr>
                <w:sz w:val="16"/>
                <w:szCs w:val="16"/>
                <w:lang w:val="en-GB"/>
              </w:rPr>
            </w:pPr>
            <w:r>
              <w:rPr>
                <w:sz w:val="16"/>
                <w:szCs w:val="16"/>
                <w:lang w:val="de-DE"/>
              </w:rPr>
              <w:t>10.0</w:t>
            </w:r>
          </w:p>
        </w:tc>
        <w:tc>
          <w:tcPr>
            <w:tcW w:w="464" w:type="pct"/>
            <w:tcBorders>
              <w:top w:val="single" w:sz="4" w:space="0" w:color="auto"/>
              <w:left w:val="single" w:sz="4" w:space="0" w:color="auto"/>
              <w:bottom w:val="single" w:sz="4" w:space="0" w:color="auto"/>
              <w:right w:val="single" w:sz="4" w:space="0" w:color="auto"/>
            </w:tcBorders>
            <w:noWrap/>
            <w:vAlign w:val="center"/>
            <w:hideMark/>
          </w:tcPr>
          <w:p w14:paraId="1CCAD4A3" w14:textId="77777777" w:rsidR="00E51CDD" w:rsidRDefault="00E51CDD" w:rsidP="009938D9">
            <w:pPr>
              <w:widowControl w:val="0"/>
              <w:tabs>
                <w:tab w:val="left" w:pos="720"/>
              </w:tabs>
              <w:jc w:val="center"/>
              <w:rPr>
                <w:sz w:val="16"/>
                <w:szCs w:val="16"/>
                <w:lang w:val="en-GB"/>
              </w:rPr>
            </w:pPr>
            <w:r>
              <w:rPr>
                <w:sz w:val="16"/>
                <w:szCs w:val="16"/>
                <w:lang w:val="de-DE"/>
              </w:rPr>
              <w:t>&gt; 2000</w:t>
            </w:r>
          </w:p>
        </w:tc>
        <w:tc>
          <w:tcPr>
            <w:tcW w:w="555" w:type="pct"/>
            <w:tcBorders>
              <w:top w:val="single" w:sz="4" w:space="0" w:color="auto"/>
              <w:left w:val="single" w:sz="4" w:space="0" w:color="auto"/>
              <w:bottom w:val="single" w:sz="4" w:space="0" w:color="auto"/>
              <w:right w:val="single" w:sz="4" w:space="0" w:color="auto"/>
            </w:tcBorders>
            <w:noWrap/>
            <w:vAlign w:val="center"/>
            <w:hideMark/>
          </w:tcPr>
          <w:p w14:paraId="2C4C39D2" w14:textId="77777777" w:rsidR="00E51CDD" w:rsidRDefault="00E51CDD" w:rsidP="009938D9">
            <w:pPr>
              <w:widowControl w:val="0"/>
              <w:tabs>
                <w:tab w:val="left" w:pos="720"/>
              </w:tabs>
              <w:jc w:val="both"/>
              <w:rPr>
                <w:rFonts w:eastAsia="Batang"/>
                <w:sz w:val="16"/>
                <w:szCs w:val="16"/>
                <w:lang w:val="en-GB" w:eastAsia="zh-CN"/>
              </w:rPr>
            </w:pPr>
            <w:r>
              <w:rPr>
                <w:rFonts w:eastAsia="Batang"/>
                <w:sz w:val="16"/>
                <w:szCs w:val="16"/>
                <w:lang w:val="en-GB" w:eastAsia="zh-CN"/>
              </w:rPr>
              <w:t> </w:t>
            </w:r>
          </w:p>
        </w:tc>
      </w:tr>
      <w:tr w:rsidR="00E51CDD" w14:paraId="5C47943D" w14:textId="77777777" w:rsidTr="009938D9">
        <w:trPr>
          <w:trHeight w:val="300"/>
        </w:trPr>
        <w:tc>
          <w:tcPr>
            <w:tcW w:w="5000" w:type="pct"/>
            <w:gridSpan w:val="8"/>
            <w:tcBorders>
              <w:top w:val="single" w:sz="4" w:space="0" w:color="auto"/>
              <w:left w:val="single" w:sz="4" w:space="0" w:color="auto"/>
              <w:bottom w:val="single" w:sz="4" w:space="0" w:color="auto"/>
              <w:right w:val="single" w:sz="4" w:space="0" w:color="auto"/>
            </w:tcBorders>
            <w:noWrap/>
            <w:vAlign w:val="center"/>
            <w:hideMark/>
          </w:tcPr>
          <w:p w14:paraId="2353AE04" w14:textId="77777777" w:rsidR="00E51CDD" w:rsidRDefault="00E51CDD" w:rsidP="009938D9">
            <w:pPr>
              <w:widowControl w:val="0"/>
              <w:tabs>
                <w:tab w:val="left" w:pos="720"/>
              </w:tabs>
              <w:rPr>
                <w:rFonts w:eastAsia="Batang"/>
                <w:b/>
                <w:bCs/>
                <w:sz w:val="16"/>
                <w:szCs w:val="16"/>
                <w:lang w:val="en-GB" w:eastAsia="zh-CN"/>
              </w:rPr>
            </w:pPr>
            <w:r>
              <w:rPr>
                <w:rFonts w:eastAsia="Batang"/>
                <w:b/>
                <w:bCs/>
                <w:sz w:val="16"/>
                <w:szCs w:val="16"/>
                <w:lang w:val="en-GB" w:eastAsia="zh-CN"/>
              </w:rPr>
              <w:t>Screening step:</w:t>
            </w:r>
          </w:p>
        </w:tc>
      </w:tr>
      <w:tr w:rsidR="00E51CDD" w14:paraId="2A7CA6E7" w14:textId="77777777" w:rsidTr="009938D9">
        <w:trPr>
          <w:trHeight w:val="868"/>
        </w:trPr>
        <w:tc>
          <w:tcPr>
            <w:tcW w:w="633" w:type="pct"/>
            <w:vMerge w:val="restart"/>
            <w:tcBorders>
              <w:top w:val="single" w:sz="4" w:space="0" w:color="auto"/>
              <w:left w:val="single" w:sz="4" w:space="0" w:color="auto"/>
              <w:bottom w:val="single" w:sz="4" w:space="0" w:color="auto"/>
              <w:right w:val="single" w:sz="4" w:space="0" w:color="auto"/>
            </w:tcBorders>
            <w:vAlign w:val="center"/>
            <w:hideMark/>
          </w:tcPr>
          <w:p w14:paraId="410ECF43" w14:textId="77777777" w:rsidR="00E51CDD" w:rsidRDefault="00E51CDD" w:rsidP="009938D9">
            <w:pPr>
              <w:widowControl w:val="0"/>
              <w:tabs>
                <w:tab w:val="left" w:pos="720"/>
              </w:tabs>
              <w:rPr>
                <w:rFonts w:eastAsia="Batang"/>
                <w:sz w:val="16"/>
                <w:szCs w:val="16"/>
                <w:lang w:val="en-GB" w:eastAsia="zh-CN"/>
              </w:rPr>
            </w:pPr>
            <w:r>
              <w:rPr>
                <w:rFonts w:eastAsia="Batang"/>
                <w:sz w:val="16"/>
                <w:szCs w:val="16"/>
                <w:lang w:val="en-GB" w:eastAsia="zh-CN"/>
              </w:rPr>
              <w:t>Acute risk assessment screening step</w:t>
            </w:r>
          </w:p>
        </w:tc>
        <w:tc>
          <w:tcPr>
            <w:tcW w:w="766" w:type="pct"/>
            <w:tcBorders>
              <w:top w:val="single" w:sz="4" w:space="0" w:color="auto"/>
              <w:left w:val="single" w:sz="4" w:space="0" w:color="auto"/>
              <w:bottom w:val="single" w:sz="4" w:space="0" w:color="auto"/>
              <w:right w:val="single" w:sz="4" w:space="0" w:color="auto"/>
            </w:tcBorders>
            <w:vAlign w:val="center"/>
            <w:hideMark/>
          </w:tcPr>
          <w:p w14:paraId="703214C7"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Indicator species</w:t>
            </w:r>
          </w:p>
        </w:tc>
        <w:tc>
          <w:tcPr>
            <w:tcW w:w="696" w:type="pct"/>
            <w:tcBorders>
              <w:top w:val="single" w:sz="4" w:space="0" w:color="auto"/>
              <w:left w:val="single" w:sz="4" w:space="0" w:color="auto"/>
              <w:bottom w:val="single" w:sz="4" w:space="0" w:color="auto"/>
              <w:right w:val="single" w:sz="4" w:space="0" w:color="auto"/>
            </w:tcBorders>
            <w:vAlign w:val="center"/>
            <w:hideMark/>
          </w:tcPr>
          <w:p w14:paraId="4C541585"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Shortcut value</w:t>
            </w:r>
          </w:p>
        </w:tc>
        <w:tc>
          <w:tcPr>
            <w:tcW w:w="627" w:type="pct"/>
            <w:tcBorders>
              <w:top w:val="single" w:sz="4" w:space="0" w:color="auto"/>
              <w:left w:val="single" w:sz="4" w:space="0" w:color="auto"/>
              <w:bottom w:val="single" w:sz="4" w:space="0" w:color="auto"/>
              <w:right w:val="single" w:sz="4" w:space="0" w:color="auto"/>
            </w:tcBorders>
            <w:vAlign w:val="center"/>
            <w:hideMark/>
          </w:tcPr>
          <w:p w14:paraId="50CA79A4"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Daily Dietary Dose (single)</w:t>
            </w:r>
          </w:p>
        </w:tc>
        <w:tc>
          <w:tcPr>
            <w:tcW w:w="673" w:type="pct"/>
            <w:tcBorders>
              <w:top w:val="single" w:sz="4" w:space="0" w:color="auto"/>
              <w:left w:val="single" w:sz="4" w:space="0" w:color="auto"/>
              <w:bottom w:val="single" w:sz="4" w:space="0" w:color="auto"/>
              <w:right w:val="single" w:sz="4" w:space="0" w:color="auto"/>
            </w:tcBorders>
            <w:vAlign w:val="center"/>
            <w:hideMark/>
          </w:tcPr>
          <w:p w14:paraId="02A958C1"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MAF (90)</w:t>
            </w:r>
          </w:p>
        </w:tc>
        <w:tc>
          <w:tcPr>
            <w:tcW w:w="586" w:type="pct"/>
            <w:tcBorders>
              <w:top w:val="single" w:sz="4" w:space="0" w:color="auto"/>
              <w:left w:val="single" w:sz="4" w:space="0" w:color="auto"/>
              <w:bottom w:val="single" w:sz="4" w:space="0" w:color="auto"/>
              <w:right w:val="single" w:sz="4" w:space="0" w:color="auto"/>
            </w:tcBorders>
            <w:vAlign w:val="center"/>
            <w:hideMark/>
          </w:tcPr>
          <w:p w14:paraId="35BEA53A"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Daily Dietary Dose (Multiple)</w:t>
            </w:r>
          </w:p>
        </w:tc>
        <w:tc>
          <w:tcPr>
            <w:tcW w:w="464" w:type="pct"/>
            <w:tcBorders>
              <w:top w:val="single" w:sz="4" w:space="0" w:color="auto"/>
              <w:left w:val="single" w:sz="4" w:space="0" w:color="auto"/>
              <w:bottom w:val="single" w:sz="4" w:space="0" w:color="auto"/>
              <w:right w:val="single" w:sz="4" w:space="0" w:color="auto"/>
            </w:tcBorders>
            <w:vAlign w:val="center"/>
            <w:hideMark/>
          </w:tcPr>
          <w:p w14:paraId="6DD575FD"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TER</w:t>
            </w:r>
          </w:p>
        </w:tc>
        <w:tc>
          <w:tcPr>
            <w:tcW w:w="555" w:type="pct"/>
            <w:vMerge w:val="restart"/>
            <w:tcBorders>
              <w:top w:val="single" w:sz="4" w:space="0" w:color="auto"/>
              <w:left w:val="single" w:sz="4" w:space="0" w:color="auto"/>
              <w:bottom w:val="single" w:sz="4" w:space="0" w:color="auto"/>
              <w:right w:val="single" w:sz="4" w:space="0" w:color="auto"/>
            </w:tcBorders>
            <w:vAlign w:val="center"/>
            <w:hideMark/>
          </w:tcPr>
          <w:p w14:paraId="311C6C8A" w14:textId="77777777" w:rsidR="00E51CDD" w:rsidRDefault="00E51CDD" w:rsidP="009938D9">
            <w:pPr>
              <w:widowControl w:val="0"/>
              <w:tabs>
                <w:tab w:val="left" w:pos="720"/>
              </w:tabs>
              <w:jc w:val="center"/>
              <w:rPr>
                <w:bCs/>
                <w:sz w:val="16"/>
                <w:szCs w:val="16"/>
                <w:lang w:val="en-GB"/>
              </w:rPr>
            </w:pPr>
            <w:r>
              <w:rPr>
                <w:rFonts w:eastAsia="Batang"/>
                <w:bCs/>
                <w:sz w:val="16"/>
                <w:szCs w:val="16"/>
                <w:lang w:val="en-GB" w:eastAsia="zh-CN"/>
              </w:rPr>
              <w:t>No refinement step required</w:t>
            </w:r>
          </w:p>
        </w:tc>
      </w:tr>
      <w:tr w:rsidR="00E51CDD" w14:paraId="7FB6F4DF" w14:textId="77777777" w:rsidTr="009938D9">
        <w:trPr>
          <w:trHeight w:val="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1BAB50" w14:textId="77777777" w:rsidR="00E51CDD" w:rsidRDefault="00E51CDD" w:rsidP="009938D9">
            <w:pPr>
              <w:rPr>
                <w:rFonts w:eastAsia="Batang"/>
                <w:sz w:val="16"/>
                <w:szCs w:val="16"/>
                <w:lang w:val="en-GB" w:eastAsia="zh-CN"/>
              </w:rPr>
            </w:pPr>
          </w:p>
        </w:tc>
        <w:tc>
          <w:tcPr>
            <w:tcW w:w="766" w:type="pct"/>
            <w:tcBorders>
              <w:top w:val="single" w:sz="4" w:space="0" w:color="auto"/>
              <w:left w:val="single" w:sz="4" w:space="0" w:color="auto"/>
              <w:bottom w:val="single" w:sz="4" w:space="0" w:color="auto"/>
              <w:right w:val="single" w:sz="4" w:space="0" w:color="auto"/>
            </w:tcBorders>
            <w:vAlign w:val="center"/>
            <w:hideMark/>
          </w:tcPr>
          <w:p w14:paraId="3F87C2CD" w14:textId="77777777" w:rsidR="00E51CDD" w:rsidRDefault="00E51CDD" w:rsidP="009938D9">
            <w:pPr>
              <w:widowControl w:val="0"/>
              <w:tabs>
                <w:tab w:val="left" w:pos="720"/>
              </w:tabs>
              <w:jc w:val="center"/>
              <w:rPr>
                <w:sz w:val="16"/>
                <w:szCs w:val="16"/>
                <w:lang w:val="en-GB"/>
              </w:rPr>
            </w:pPr>
            <w:r>
              <w:rPr>
                <w:sz w:val="16"/>
                <w:szCs w:val="16"/>
                <w:lang w:val="de-DE"/>
              </w:rPr>
              <w:t>Small omnivorous bird</w:t>
            </w:r>
          </w:p>
        </w:tc>
        <w:tc>
          <w:tcPr>
            <w:tcW w:w="696" w:type="pct"/>
            <w:tcBorders>
              <w:top w:val="single" w:sz="4" w:space="0" w:color="auto"/>
              <w:left w:val="single" w:sz="4" w:space="0" w:color="auto"/>
              <w:bottom w:val="single" w:sz="4" w:space="0" w:color="auto"/>
              <w:right w:val="single" w:sz="4" w:space="0" w:color="auto"/>
            </w:tcBorders>
            <w:vAlign w:val="center"/>
            <w:hideMark/>
          </w:tcPr>
          <w:p w14:paraId="564908CA" w14:textId="77777777" w:rsidR="00E51CDD" w:rsidRDefault="00E51CDD" w:rsidP="009938D9">
            <w:pPr>
              <w:widowControl w:val="0"/>
              <w:tabs>
                <w:tab w:val="left" w:pos="720"/>
              </w:tabs>
              <w:jc w:val="center"/>
              <w:rPr>
                <w:sz w:val="16"/>
                <w:szCs w:val="16"/>
                <w:lang w:val="en-GB"/>
              </w:rPr>
            </w:pPr>
            <w:r>
              <w:rPr>
                <w:sz w:val="16"/>
                <w:szCs w:val="16"/>
                <w:lang w:val="de-DE"/>
              </w:rPr>
              <w:t>158.8</w:t>
            </w:r>
          </w:p>
        </w:tc>
        <w:tc>
          <w:tcPr>
            <w:tcW w:w="627" w:type="pct"/>
            <w:tcBorders>
              <w:top w:val="single" w:sz="4" w:space="0" w:color="auto"/>
              <w:left w:val="single" w:sz="4" w:space="0" w:color="auto"/>
              <w:bottom w:val="single" w:sz="4" w:space="0" w:color="auto"/>
              <w:right w:val="single" w:sz="4" w:space="0" w:color="auto"/>
            </w:tcBorders>
            <w:vAlign w:val="center"/>
            <w:hideMark/>
          </w:tcPr>
          <w:p w14:paraId="4AE310D0" w14:textId="77777777" w:rsidR="00E51CDD" w:rsidRDefault="00E51CDD" w:rsidP="009938D9">
            <w:pPr>
              <w:widowControl w:val="0"/>
              <w:tabs>
                <w:tab w:val="left" w:pos="720"/>
              </w:tabs>
              <w:jc w:val="center"/>
              <w:rPr>
                <w:sz w:val="16"/>
                <w:szCs w:val="16"/>
                <w:lang w:val="en-GB"/>
              </w:rPr>
            </w:pPr>
            <w:r>
              <w:rPr>
                <w:sz w:val="16"/>
                <w:szCs w:val="16"/>
                <w:lang w:val="de-DE"/>
              </w:rPr>
              <w:t>23.82</w:t>
            </w:r>
          </w:p>
        </w:tc>
        <w:tc>
          <w:tcPr>
            <w:tcW w:w="673" w:type="pct"/>
            <w:tcBorders>
              <w:top w:val="single" w:sz="4" w:space="0" w:color="auto"/>
              <w:left w:val="single" w:sz="4" w:space="0" w:color="auto"/>
              <w:bottom w:val="single" w:sz="4" w:space="0" w:color="auto"/>
              <w:right w:val="single" w:sz="4" w:space="0" w:color="auto"/>
            </w:tcBorders>
            <w:vAlign w:val="center"/>
            <w:hideMark/>
          </w:tcPr>
          <w:p w14:paraId="0408D6D4" w14:textId="77777777" w:rsidR="00E51CDD" w:rsidRDefault="00E51CDD" w:rsidP="009938D9">
            <w:pPr>
              <w:widowControl w:val="0"/>
              <w:tabs>
                <w:tab w:val="left" w:pos="720"/>
              </w:tabs>
              <w:jc w:val="center"/>
              <w:rPr>
                <w:sz w:val="16"/>
                <w:szCs w:val="16"/>
                <w:lang w:val="en-GB"/>
              </w:rPr>
            </w:pPr>
            <w:r>
              <w:rPr>
                <w:sz w:val="16"/>
                <w:szCs w:val="16"/>
                <w:lang w:val="de-DE"/>
              </w:rPr>
              <w:t>1.1</w:t>
            </w:r>
          </w:p>
        </w:tc>
        <w:tc>
          <w:tcPr>
            <w:tcW w:w="586" w:type="pct"/>
            <w:tcBorders>
              <w:top w:val="single" w:sz="4" w:space="0" w:color="auto"/>
              <w:left w:val="single" w:sz="4" w:space="0" w:color="auto"/>
              <w:bottom w:val="single" w:sz="4" w:space="0" w:color="auto"/>
              <w:right w:val="single" w:sz="4" w:space="0" w:color="auto"/>
            </w:tcBorders>
            <w:noWrap/>
            <w:vAlign w:val="center"/>
            <w:hideMark/>
          </w:tcPr>
          <w:p w14:paraId="62263FA1" w14:textId="77777777" w:rsidR="00E51CDD" w:rsidRDefault="00E51CDD" w:rsidP="009938D9">
            <w:pPr>
              <w:widowControl w:val="0"/>
              <w:tabs>
                <w:tab w:val="left" w:pos="720"/>
              </w:tabs>
              <w:jc w:val="center"/>
              <w:rPr>
                <w:sz w:val="16"/>
                <w:szCs w:val="16"/>
                <w:lang w:val="en-GB"/>
              </w:rPr>
            </w:pPr>
            <w:r>
              <w:rPr>
                <w:sz w:val="16"/>
                <w:szCs w:val="16"/>
                <w:lang w:val="de-DE"/>
              </w:rPr>
              <w:t>26.20</w:t>
            </w:r>
          </w:p>
        </w:tc>
        <w:tc>
          <w:tcPr>
            <w:tcW w:w="464" w:type="pct"/>
            <w:tcBorders>
              <w:top w:val="single" w:sz="4" w:space="0" w:color="auto"/>
              <w:left w:val="single" w:sz="4" w:space="0" w:color="auto"/>
              <w:bottom w:val="single" w:sz="4" w:space="0" w:color="auto"/>
              <w:right w:val="single" w:sz="4" w:space="0" w:color="auto"/>
            </w:tcBorders>
            <w:vAlign w:val="center"/>
            <w:hideMark/>
          </w:tcPr>
          <w:p w14:paraId="706401AA" w14:textId="77777777" w:rsidR="00E51CDD" w:rsidRDefault="00E51CDD" w:rsidP="009938D9">
            <w:pPr>
              <w:widowControl w:val="0"/>
              <w:tabs>
                <w:tab w:val="left" w:pos="720"/>
              </w:tabs>
              <w:jc w:val="center"/>
              <w:rPr>
                <w:sz w:val="16"/>
                <w:szCs w:val="16"/>
                <w:lang w:val="en-GB"/>
              </w:rPr>
            </w:pPr>
            <w:r>
              <w:rPr>
                <w:sz w:val="16"/>
                <w:szCs w:val="16"/>
                <w:lang w:val="de-DE"/>
              </w:rPr>
              <w:t>&gt; 76.3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A0D277" w14:textId="77777777" w:rsidR="00E51CDD" w:rsidRDefault="00E51CDD" w:rsidP="009938D9">
            <w:pPr>
              <w:rPr>
                <w:bCs/>
                <w:sz w:val="16"/>
                <w:szCs w:val="16"/>
                <w:lang w:val="en-GB"/>
              </w:rPr>
            </w:pPr>
          </w:p>
        </w:tc>
      </w:tr>
    </w:tbl>
    <w:p w14:paraId="28DD0074" w14:textId="77777777" w:rsidR="00E51CDD" w:rsidRDefault="00E51CDD" w:rsidP="00E51CDD">
      <w:pPr>
        <w:widowControl w:val="0"/>
        <w:jc w:val="both"/>
        <w:rPr>
          <w:lang w:val="en-GB" w:eastAsia="en-US"/>
        </w:rPr>
      </w:pPr>
    </w:p>
    <w:p w14:paraId="41673C48" w14:textId="77777777" w:rsidR="00E51CDD" w:rsidRDefault="00E51CDD" w:rsidP="00E51CDD">
      <w:pPr>
        <w:widowControl w:val="0"/>
        <w:jc w:val="both"/>
        <w:rPr>
          <w:lang w:val="en-GB" w:eastAsia="en-US"/>
        </w:rPr>
      </w:pPr>
    </w:p>
    <w:p w14:paraId="30805D57" w14:textId="77777777" w:rsidR="00E51CDD" w:rsidRDefault="00E51CDD" w:rsidP="00E51CDD">
      <w:pPr>
        <w:widowControl w:val="0"/>
        <w:jc w:val="both"/>
        <w:rPr>
          <w:b/>
          <w:iCs/>
          <w:lang w:val="en-GB" w:eastAsia="en-US"/>
        </w:rPr>
      </w:pPr>
      <w:r>
        <w:rPr>
          <w:b/>
          <w:iCs/>
          <w:lang w:val="en-GB" w:eastAsia="en-US"/>
        </w:rPr>
        <w:t>Reproductive risk assessment</w:t>
      </w:r>
    </w:p>
    <w:p w14:paraId="47899B83" w14:textId="77777777" w:rsidR="00E51CDD" w:rsidRDefault="00E51CDD" w:rsidP="00E51CDD">
      <w:pPr>
        <w:widowControl w:val="0"/>
        <w:jc w:val="both"/>
        <w:rPr>
          <w:i/>
          <w:lang w:val="en-GB" w:eastAsia="en-US"/>
        </w:rPr>
      </w:pPr>
    </w:p>
    <w:p w14:paraId="65CB4156" w14:textId="09C1A2BB" w:rsidR="00843A50" w:rsidRDefault="00E51CDD" w:rsidP="00843A50">
      <w:pPr>
        <w:widowControl w:val="0"/>
        <w:tabs>
          <w:tab w:val="left" w:pos="720"/>
        </w:tabs>
        <w:jc w:val="both"/>
        <w:rPr>
          <w:lang w:val="en-GB"/>
        </w:rPr>
      </w:pPr>
      <w:r>
        <w:rPr>
          <w:lang w:val="en-GB"/>
        </w:rPr>
        <w:t xml:space="preserve">The dietary TER reproductive values are presented in </w:t>
      </w:r>
      <w:r>
        <w:rPr>
          <w:lang w:val="en-GB"/>
        </w:rPr>
        <w:fldChar w:fldCharType="begin"/>
      </w:r>
      <w:r>
        <w:rPr>
          <w:lang w:val="en-GB"/>
        </w:rPr>
        <w:instrText xml:space="preserve"> REF _Ref438201380 \h  \* MERGEFORMAT </w:instrText>
      </w:r>
      <w:r>
        <w:rPr>
          <w:lang w:val="en-GB"/>
        </w:rPr>
      </w:r>
      <w:r>
        <w:rPr>
          <w:lang w:val="en-GB"/>
        </w:rPr>
        <w:fldChar w:fldCharType="separate"/>
      </w:r>
      <w:r w:rsidR="00662F32" w:rsidRPr="00662F32">
        <w:t xml:space="preserve">Table </w:t>
      </w:r>
      <w:r w:rsidR="00662F32" w:rsidRPr="00662F32">
        <w:rPr>
          <w:noProof/>
        </w:rPr>
        <w:t>9.2</w:t>
      </w:r>
      <w:r w:rsidR="00662F32" w:rsidRPr="00662F32">
        <w:rPr>
          <w:noProof/>
        </w:rPr>
        <w:noBreakHyphen/>
        <w:t>6</w:t>
      </w:r>
      <w:r>
        <w:rPr>
          <w:lang w:val="en-GB"/>
        </w:rPr>
        <w:fldChar w:fldCharType="end"/>
      </w:r>
      <w:r>
        <w:rPr>
          <w:lang w:val="en-GB"/>
        </w:rPr>
        <w:t xml:space="preserve"> for fluxapyroxad and in</w:t>
      </w:r>
      <w:r w:rsidRPr="00843A50">
        <w:rPr>
          <w:lang w:val="en-GB"/>
        </w:rPr>
        <w:t xml:space="preserve"> </w:t>
      </w:r>
      <w:r w:rsidR="00843A50" w:rsidRPr="00843A50">
        <w:rPr>
          <w:lang w:val="en-GB"/>
        </w:rPr>
        <w:fldChar w:fldCharType="begin"/>
      </w:r>
      <w:r w:rsidR="00843A50" w:rsidRPr="00843A50">
        <w:rPr>
          <w:lang w:val="en-GB"/>
        </w:rPr>
        <w:instrText xml:space="preserve"> REF _Ref85537194 \h  \* MERGEFORMAT </w:instrText>
      </w:r>
      <w:r w:rsidR="00843A50" w:rsidRPr="00843A50">
        <w:rPr>
          <w:lang w:val="en-GB"/>
        </w:rPr>
      </w:r>
      <w:r w:rsidR="00843A50" w:rsidRPr="00843A50">
        <w:rPr>
          <w:lang w:val="en-GB"/>
        </w:rPr>
        <w:fldChar w:fldCharType="separate"/>
      </w:r>
      <w:r w:rsidR="00662F32" w:rsidRPr="00662F32">
        <w:rPr>
          <w:lang w:val="en-GB"/>
        </w:rPr>
        <w:t xml:space="preserve">Table </w:t>
      </w:r>
      <w:r w:rsidR="00662F32" w:rsidRPr="00662F32">
        <w:rPr>
          <w:noProof/>
          <w:lang w:val="en-GB"/>
        </w:rPr>
        <w:t>9.2</w:t>
      </w:r>
      <w:r w:rsidR="00662F32" w:rsidRPr="00662F32">
        <w:rPr>
          <w:noProof/>
          <w:lang w:val="en-GB"/>
        </w:rPr>
        <w:noBreakHyphen/>
        <w:t>7</w:t>
      </w:r>
      <w:r w:rsidR="00843A50" w:rsidRPr="00843A50">
        <w:rPr>
          <w:lang w:val="en-GB"/>
        </w:rPr>
        <w:fldChar w:fldCharType="end"/>
      </w:r>
    </w:p>
    <w:p w14:paraId="051FC051" w14:textId="2E51AB6F" w:rsidR="00E51CDD" w:rsidRPr="00F02570" w:rsidRDefault="00E51CDD" w:rsidP="00E51CDD">
      <w:pPr>
        <w:widowControl w:val="0"/>
        <w:tabs>
          <w:tab w:val="left" w:pos="720"/>
        </w:tabs>
        <w:jc w:val="both"/>
      </w:pPr>
      <w:r>
        <w:rPr>
          <w:lang w:val="en-GB"/>
        </w:rPr>
        <w:t xml:space="preserve"> for azoxystrobin. All the TER</w:t>
      </w:r>
      <w:r>
        <w:rPr>
          <w:vertAlign w:val="subscript"/>
          <w:lang w:val="en-GB"/>
        </w:rPr>
        <w:t>LT</w:t>
      </w:r>
      <w:r>
        <w:rPr>
          <w:lang w:val="en-GB"/>
        </w:rPr>
        <w:t xml:space="preserve"> values at the screening step are above the relevant trigger of 5 for acceptability of reproductive effects.</w:t>
      </w:r>
    </w:p>
    <w:p w14:paraId="2E21A118" w14:textId="045AAF5C" w:rsidR="00E51CDD" w:rsidRDefault="00E51CDD" w:rsidP="00E51CDD">
      <w:pPr>
        <w:keepNext/>
        <w:keepLines/>
        <w:widowControl w:val="0"/>
        <w:tabs>
          <w:tab w:val="left" w:pos="1980"/>
        </w:tabs>
        <w:spacing w:before="200" w:after="120"/>
        <w:ind w:left="1980" w:hanging="1980"/>
        <w:jc w:val="both"/>
        <w:rPr>
          <w:b/>
          <w:bCs/>
          <w:lang w:val="en-GB" w:eastAsia="en-US"/>
        </w:rPr>
      </w:pPr>
      <w:bookmarkStart w:id="209" w:name="_Ref438201380"/>
      <w:r>
        <w:rPr>
          <w:b/>
          <w:bCs/>
          <w:lang w:val="en-GB"/>
        </w:rPr>
        <w:t xml:space="preserve">Table </w:t>
      </w:r>
      <w:r>
        <w:fldChar w:fldCharType="begin"/>
      </w:r>
      <w:r>
        <w:rPr>
          <w:b/>
          <w:bCs/>
          <w:lang w:val="en-GB"/>
        </w:rPr>
        <w:instrText xml:space="preserve"> STYLEREF 2 \s </w:instrText>
      </w:r>
      <w:r>
        <w:fldChar w:fldCharType="separate"/>
      </w:r>
      <w:r w:rsidR="00662F32">
        <w:rPr>
          <w:b/>
          <w:bCs/>
          <w:noProof/>
          <w:lang w:val="en-GB"/>
        </w:rPr>
        <w:t>9.2</w:t>
      </w:r>
      <w:r>
        <w:fldChar w:fldCharType="end"/>
      </w:r>
      <w:r>
        <w:rPr>
          <w:b/>
          <w:bCs/>
          <w:lang w:val="en-GB"/>
        </w:rPr>
        <w:noBreakHyphen/>
      </w:r>
      <w:r>
        <w:fldChar w:fldCharType="begin"/>
      </w:r>
      <w:r>
        <w:rPr>
          <w:b/>
          <w:bCs/>
          <w:lang w:val="en-GB"/>
        </w:rPr>
        <w:instrText xml:space="preserve"> SEQ Table \* ARABIC \s 2 </w:instrText>
      </w:r>
      <w:r>
        <w:fldChar w:fldCharType="separate"/>
      </w:r>
      <w:r w:rsidR="00662F32">
        <w:rPr>
          <w:b/>
          <w:bCs/>
          <w:noProof/>
          <w:lang w:val="en-GB"/>
        </w:rPr>
        <w:t>6</w:t>
      </w:r>
      <w:r>
        <w:fldChar w:fldCharType="end"/>
      </w:r>
      <w:bookmarkEnd w:id="209"/>
      <w:r>
        <w:rPr>
          <w:b/>
          <w:bCs/>
          <w:lang w:val="en-GB"/>
        </w:rPr>
        <w:t xml:space="preserve">: </w:t>
      </w:r>
      <w:r>
        <w:rPr>
          <w:b/>
          <w:bCs/>
          <w:lang w:val="en-GB"/>
        </w:rPr>
        <w:tab/>
        <w:t>Fluxapyroxad: Screening step calculation of the long-term/reproductive risk for birds due to the use of BAS 736 00 F for the crop group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9"/>
        <w:gridCol w:w="1092"/>
        <w:gridCol w:w="1092"/>
        <w:gridCol w:w="1153"/>
        <w:gridCol w:w="1090"/>
        <w:gridCol w:w="1381"/>
        <w:gridCol w:w="1245"/>
        <w:gridCol w:w="1125"/>
      </w:tblGrid>
      <w:tr w:rsidR="00E51CDD" w14:paraId="2E3D7747" w14:textId="77777777" w:rsidTr="009938D9">
        <w:trPr>
          <w:trHeight w:val="733"/>
        </w:trPr>
        <w:tc>
          <w:tcPr>
            <w:tcW w:w="625" w:type="pct"/>
            <w:vMerge w:val="restart"/>
            <w:tcBorders>
              <w:top w:val="single" w:sz="4" w:space="0" w:color="auto"/>
              <w:left w:val="single" w:sz="4" w:space="0" w:color="auto"/>
              <w:bottom w:val="single" w:sz="4" w:space="0" w:color="auto"/>
              <w:right w:val="single" w:sz="4" w:space="0" w:color="auto"/>
            </w:tcBorders>
            <w:vAlign w:val="center"/>
            <w:hideMark/>
          </w:tcPr>
          <w:p w14:paraId="5B2DDC00" w14:textId="77777777" w:rsidR="00E51CDD" w:rsidRDefault="00E51CDD" w:rsidP="009938D9">
            <w:pPr>
              <w:widowControl w:val="0"/>
              <w:tabs>
                <w:tab w:val="left" w:pos="720"/>
              </w:tabs>
              <w:rPr>
                <w:rFonts w:eastAsia="Batang"/>
                <w:b/>
                <w:bCs/>
                <w:sz w:val="16"/>
                <w:szCs w:val="16"/>
                <w:lang w:val="en-GB" w:eastAsia="zh-CN"/>
              </w:rPr>
            </w:pPr>
            <w:r>
              <w:rPr>
                <w:rFonts w:eastAsia="Batang"/>
                <w:b/>
                <w:bCs/>
                <w:sz w:val="16"/>
                <w:szCs w:val="16"/>
                <w:lang w:val="en-GB" w:eastAsia="zh-CN"/>
              </w:rPr>
              <w:t>Data from Data_Entry worksheet</w:t>
            </w:r>
          </w:p>
        </w:tc>
        <w:tc>
          <w:tcPr>
            <w:tcW w:w="584" w:type="pct"/>
            <w:tcBorders>
              <w:top w:val="single" w:sz="4" w:space="0" w:color="auto"/>
              <w:left w:val="single" w:sz="4" w:space="0" w:color="auto"/>
              <w:bottom w:val="single" w:sz="4" w:space="0" w:color="auto"/>
              <w:right w:val="single" w:sz="4" w:space="0" w:color="auto"/>
            </w:tcBorders>
            <w:vAlign w:val="center"/>
            <w:hideMark/>
          </w:tcPr>
          <w:p w14:paraId="095DD461"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Crop</w:t>
            </w:r>
          </w:p>
        </w:tc>
        <w:tc>
          <w:tcPr>
            <w:tcW w:w="584" w:type="pct"/>
            <w:tcBorders>
              <w:top w:val="single" w:sz="4" w:space="0" w:color="auto"/>
              <w:left w:val="single" w:sz="4" w:space="0" w:color="auto"/>
              <w:bottom w:val="single" w:sz="4" w:space="0" w:color="auto"/>
              <w:right w:val="single" w:sz="4" w:space="0" w:color="auto"/>
            </w:tcBorders>
            <w:vAlign w:val="center"/>
            <w:hideMark/>
          </w:tcPr>
          <w:p w14:paraId="6FA941AF"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Application rate (kg a.s./ha)</w:t>
            </w:r>
          </w:p>
        </w:tc>
        <w:tc>
          <w:tcPr>
            <w:tcW w:w="617" w:type="pct"/>
            <w:tcBorders>
              <w:top w:val="single" w:sz="4" w:space="0" w:color="auto"/>
              <w:left w:val="single" w:sz="4" w:space="0" w:color="auto"/>
              <w:bottom w:val="single" w:sz="4" w:space="0" w:color="auto"/>
              <w:right w:val="single" w:sz="4" w:space="0" w:color="auto"/>
            </w:tcBorders>
            <w:vAlign w:val="center"/>
            <w:hideMark/>
          </w:tcPr>
          <w:p w14:paraId="4B49DC79"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Number of applications</w:t>
            </w:r>
          </w:p>
        </w:tc>
        <w:tc>
          <w:tcPr>
            <w:tcW w:w="583" w:type="pct"/>
            <w:tcBorders>
              <w:top w:val="single" w:sz="4" w:space="0" w:color="auto"/>
              <w:left w:val="single" w:sz="4" w:space="0" w:color="auto"/>
              <w:bottom w:val="single" w:sz="4" w:space="0" w:color="auto"/>
              <w:right w:val="single" w:sz="4" w:space="0" w:color="auto"/>
            </w:tcBorders>
            <w:vAlign w:val="center"/>
            <w:hideMark/>
          </w:tcPr>
          <w:p w14:paraId="6B9BD835"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Application Interval</w:t>
            </w:r>
          </w:p>
        </w:tc>
        <w:tc>
          <w:tcPr>
            <w:tcW w:w="739" w:type="pct"/>
            <w:tcBorders>
              <w:top w:val="single" w:sz="4" w:space="0" w:color="auto"/>
              <w:left w:val="single" w:sz="4" w:space="0" w:color="auto"/>
              <w:bottom w:val="single" w:sz="4" w:space="0" w:color="auto"/>
              <w:right w:val="single" w:sz="4" w:space="0" w:color="auto"/>
            </w:tcBorders>
            <w:vAlign w:val="center"/>
            <w:hideMark/>
          </w:tcPr>
          <w:p w14:paraId="54C269AE"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DT</w:t>
            </w:r>
            <w:r>
              <w:rPr>
                <w:rFonts w:eastAsia="Batang"/>
                <w:b/>
                <w:bCs/>
                <w:sz w:val="16"/>
                <w:szCs w:val="16"/>
                <w:vertAlign w:val="subscript"/>
                <w:lang w:val="en-GB" w:eastAsia="zh-CN"/>
              </w:rPr>
              <w:t>50</w:t>
            </w:r>
          </w:p>
        </w:tc>
        <w:tc>
          <w:tcPr>
            <w:tcW w:w="666" w:type="pct"/>
            <w:tcBorders>
              <w:top w:val="single" w:sz="4" w:space="0" w:color="auto"/>
              <w:left w:val="single" w:sz="4" w:space="0" w:color="auto"/>
              <w:bottom w:val="single" w:sz="4" w:space="0" w:color="auto"/>
              <w:right w:val="single" w:sz="4" w:space="0" w:color="auto"/>
            </w:tcBorders>
            <w:vAlign w:val="center"/>
            <w:hideMark/>
          </w:tcPr>
          <w:p w14:paraId="415D1EF0"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Reproductive End Point (mg/kg b.w./d)</w:t>
            </w:r>
          </w:p>
        </w:tc>
        <w:tc>
          <w:tcPr>
            <w:tcW w:w="602" w:type="pct"/>
            <w:tcBorders>
              <w:top w:val="single" w:sz="4" w:space="0" w:color="auto"/>
              <w:left w:val="single" w:sz="4" w:space="0" w:color="auto"/>
              <w:bottom w:val="single" w:sz="4" w:space="0" w:color="auto"/>
              <w:right w:val="single" w:sz="4" w:space="0" w:color="auto"/>
            </w:tcBorders>
            <w:vAlign w:val="center"/>
            <w:hideMark/>
          </w:tcPr>
          <w:p w14:paraId="2C78B827"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Time weighted average (TWA)</w:t>
            </w:r>
          </w:p>
        </w:tc>
      </w:tr>
      <w:tr w:rsidR="00E51CDD" w14:paraId="2FAD102C" w14:textId="77777777" w:rsidTr="009938D9">
        <w:trPr>
          <w:trHeight w:val="2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15A0BC" w14:textId="77777777" w:rsidR="00E51CDD" w:rsidRDefault="00E51CDD" w:rsidP="009938D9">
            <w:pPr>
              <w:rPr>
                <w:rFonts w:eastAsia="Batang"/>
                <w:b/>
                <w:bCs/>
                <w:sz w:val="16"/>
                <w:szCs w:val="16"/>
                <w:lang w:val="en-GB" w:eastAsia="zh-CN"/>
              </w:rPr>
            </w:pPr>
          </w:p>
        </w:tc>
        <w:tc>
          <w:tcPr>
            <w:tcW w:w="584" w:type="pct"/>
            <w:tcBorders>
              <w:top w:val="single" w:sz="4" w:space="0" w:color="auto"/>
              <w:left w:val="single" w:sz="4" w:space="0" w:color="auto"/>
              <w:bottom w:val="single" w:sz="4" w:space="0" w:color="auto"/>
              <w:right w:val="single" w:sz="4" w:space="0" w:color="auto"/>
            </w:tcBorders>
            <w:vAlign w:val="center"/>
            <w:hideMark/>
          </w:tcPr>
          <w:p w14:paraId="63C3F9C7" w14:textId="77777777" w:rsidR="00E51CDD" w:rsidRDefault="00E51CDD" w:rsidP="009938D9">
            <w:pPr>
              <w:widowControl w:val="0"/>
              <w:tabs>
                <w:tab w:val="left" w:pos="720"/>
              </w:tabs>
              <w:jc w:val="center"/>
              <w:rPr>
                <w:rFonts w:eastAsia="Batang"/>
                <w:sz w:val="16"/>
                <w:szCs w:val="16"/>
                <w:lang w:val="en-GB" w:eastAsia="zh-CN"/>
              </w:rPr>
            </w:pPr>
            <w:r>
              <w:rPr>
                <w:sz w:val="16"/>
                <w:szCs w:val="16"/>
                <w:lang w:val="en-GB"/>
              </w:rPr>
              <w:t>Cereals</w:t>
            </w:r>
          </w:p>
        </w:tc>
        <w:tc>
          <w:tcPr>
            <w:tcW w:w="584" w:type="pct"/>
            <w:tcBorders>
              <w:top w:val="single" w:sz="4" w:space="0" w:color="auto"/>
              <w:left w:val="single" w:sz="4" w:space="0" w:color="auto"/>
              <w:bottom w:val="single" w:sz="4" w:space="0" w:color="auto"/>
              <w:right w:val="single" w:sz="4" w:space="0" w:color="auto"/>
            </w:tcBorders>
            <w:vAlign w:val="center"/>
            <w:hideMark/>
          </w:tcPr>
          <w:p w14:paraId="70522AF2" w14:textId="77777777" w:rsidR="00E51CDD" w:rsidRDefault="00E51CDD" w:rsidP="009938D9">
            <w:pPr>
              <w:widowControl w:val="0"/>
              <w:tabs>
                <w:tab w:val="left" w:pos="720"/>
              </w:tabs>
              <w:jc w:val="center"/>
              <w:rPr>
                <w:sz w:val="16"/>
                <w:szCs w:val="16"/>
                <w:lang w:val="en-GB"/>
              </w:rPr>
            </w:pPr>
            <w:r>
              <w:rPr>
                <w:sz w:val="16"/>
                <w:szCs w:val="16"/>
                <w:lang w:val="de-DE"/>
              </w:rPr>
              <w:t>0.100</w:t>
            </w:r>
          </w:p>
        </w:tc>
        <w:tc>
          <w:tcPr>
            <w:tcW w:w="617" w:type="pct"/>
            <w:tcBorders>
              <w:top w:val="single" w:sz="4" w:space="0" w:color="auto"/>
              <w:left w:val="single" w:sz="4" w:space="0" w:color="auto"/>
              <w:bottom w:val="single" w:sz="4" w:space="0" w:color="auto"/>
              <w:right w:val="single" w:sz="4" w:space="0" w:color="auto"/>
            </w:tcBorders>
            <w:vAlign w:val="center"/>
            <w:hideMark/>
          </w:tcPr>
          <w:p w14:paraId="1B467616" w14:textId="77777777" w:rsidR="00E51CDD" w:rsidRDefault="00E51CDD" w:rsidP="009938D9">
            <w:pPr>
              <w:widowControl w:val="0"/>
              <w:tabs>
                <w:tab w:val="left" w:pos="720"/>
              </w:tabs>
              <w:jc w:val="center"/>
              <w:rPr>
                <w:sz w:val="16"/>
                <w:szCs w:val="16"/>
                <w:lang w:val="en-GB"/>
              </w:rPr>
            </w:pPr>
            <w:r>
              <w:rPr>
                <w:sz w:val="16"/>
                <w:szCs w:val="16"/>
                <w:lang w:val="de-DE"/>
              </w:rPr>
              <w:t>2</w:t>
            </w:r>
          </w:p>
        </w:tc>
        <w:tc>
          <w:tcPr>
            <w:tcW w:w="583" w:type="pct"/>
            <w:tcBorders>
              <w:top w:val="single" w:sz="4" w:space="0" w:color="auto"/>
              <w:left w:val="single" w:sz="4" w:space="0" w:color="auto"/>
              <w:bottom w:val="single" w:sz="4" w:space="0" w:color="auto"/>
              <w:right w:val="single" w:sz="4" w:space="0" w:color="auto"/>
            </w:tcBorders>
            <w:vAlign w:val="center"/>
            <w:hideMark/>
          </w:tcPr>
          <w:p w14:paraId="792CDA51" w14:textId="77777777" w:rsidR="00E51CDD" w:rsidRDefault="00E51CDD" w:rsidP="009938D9">
            <w:pPr>
              <w:widowControl w:val="0"/>
              <w:tabs>
                <w:tab w:val="left" w:pos="720"/>
              </w:tabs>
              <w:jc w:val="center"/>
              <w:rPr>
                <w:sz w:val="16"/>
                <w:szCs w:val="16"/>
                <w:lang w:val="en-GB"/>
              </w:rPr>
            </w:pPr>
            <w:r>
              <w:rPr>
                <w:sz w:val="16"/>
                <w:szCs w:val="16"/>
                <w:lang w:val="de-DE"/>
              </w:rPr>
              <w:t>21</w:t>
            </w:r>
          </w:p>
        </w:tc>
        <w:tc>
          <w:tcPr>
            <w:tcW w:w="739" w:type="pct"/>
            <w:tcBorders>
              <w:top w:val="single" w:sz="4" w:space="0" w:color="auto"/>
              <w:left w:val="single" w:sz="4" w:space="0" w:color="auto"/>
              <w:bottom w:val="single" w:sz="4" w:space="0" w:color="auto"/>
              <w:right w:val="single" w:sz="4" w:space="0" w:color="auto"/>
            </w:tcBorders>
            <w:vAlign w:val="center"/>
            <w:hideMark/>
          </w:tcPr>
          <w:p w14:paraId="48C05BB2" w14:textId="77777777" w:rsidR="00E51CDD" w:rsidRDefault="00E51CDD" w:rsidP="009938D9">
            <w:pPr>
              <w:widowControl w:val="0"/>
              <w:tabs>
                <w:tab w:val="left" w:pos="720"/>
              </w:tabs>
              <w:jc w:val="center"/>
              <w:rPr>
                <w:sz w:val="16"/>
                <w:szCs w:val="16"/>
                <w:lang w:val="en-GB"/>
              </w:rPr>
            </w:pPr>
            <w:r>
              <w:rPr>
                <w:sz w:val="16"/>
                <w:szCs w:val="16"/>
                <w:lang w:val="de-DE"/>
              </w:rPr>
              <w:t>10</w:t>
            </w:r>
          </w:p>
        </w:tc>
        <w:tc>
          <w:tcPr>
            <w:tcW w:w="666" w:type="pct"/>
            <w:tcBorders>
              <w:top w:val="single" w:sz="4" w:space="0" w:color="auto"/>
              <w:left w:val="single" w:sz="4" w:space="0" w:color="auto"/>
              <w:bottom w:val="single" w:sz="4" w:space="0" w:color="auto"/>
              <w:right w:val="single" w:sz="4" w:space="0" w:color="auto"/>
            </w:tcBorders>
            <w:noWrap/>
            <w:vAlign w:val="center"/>
            <w:hideMark/>
          </w:tcPr>
          <w:p w14:paraId="168AA8B0" w14:textId="77777777" w:rsidR="00E51CDD" w:rsidRDefault="00E51CDD" w:rsidP="009938D9">
            <w:pPr>
              <w:widowControl w:val="0"/>
              <w:tabs>
                <w:tab w:val="left" w:pos="720"/>
              </w:tabs>
              <w:jc w:val="center"/>
              <w:rPr>
                <w:sz w:val="16"/>
                <w:szCs w:val="16"/>
                <w:lang w:val="en-GB"/>
              </w:rPr>
            </w:pPr>
            <w:r>
              <w:rPr>
                <w:sz w:val="16"/>
                <w:szCs w:val="16"/>
                <w:lang w:val="de-DE"/>
              </w:rPr>
              <w:t>33.6</w:t>
            </w:r>
          </w:p>
        </w:tc>
        <w:tc>
          <w:tcPr>
            <w:tcW w:w="602" w:type="pct"/>
            <w:tcBorders>
              <w:top w:val="single" w:sz="4" w:space="0" w:color="auto"/>
              <w:left w:val="single" w:sz="4" w:space="0" w:color="auto"/>
              <w:bottom w:val="single" w:sz="4" w:space="0" w:color="auto"/>
              <w:right w:val="single" w:sz="4" w:space="0" w:color="auto"/>
            </w:tcBorders>
            <w:vAlign w:val="center"/>
            <w:hideMark/>
          </w:tcPr>
          <w:p w14:paraId="6076266D" w14:textId="77777777" w:rsidR="00E51CDD" w:rsidRDefault="00E51CDD" w:rsidP="009938D9">
            <w:pPr>
              <w:widowControl w:val="0"/>
              <w:tabs>
                <w:tab w:val="left" w:pos="720"/>
              </w:tabs>
              <w:jc w:val="center"/>
              <w:rPr>
                <w:sz w:val="16"/>
                <w:szCs w:val="16"/>
                <w:lang w:val="en-GB"/>
              </w:rPr>
            </w:pPr>
            <w:r>
              <w:rPr>
                <w:sz w:val="16"/>
                <w:szCs w:val="16"/>
                <w:lang w:val="de-DE"/>
              </w:rPr>
              <w:t>0.53</w:t>
            </w:r>
          </w:p>
        </w:tc>
      </w:tr>
      <w:tr w:rsidR="00E51CDD" w14:paraId="7316A279" w14:textId="77777777" w:rsidTr="009938D9">
        <w:trPr>
          <w:trHeight w:val="300"/>
        </w:trPr>
        <w:tc>
          <w:tcPr>
            <w:tcW w:w="5000" w:type="pct"/>
            <w:gridSpan w:val="8"/>
            <w:tcBorders>
              <w:top w:val="single" w:sz="4" w:space="0" w:color="auto"/>
              <w:left w:val="single" w:sz="4" w:space="0" w:color="auto"/>
              <w:bottom w:val="single" w:sz="4" w:space="0" w:color="auto"/>
              <w:right w:val="single" w:sz="4" w:space="0" w:color="auto"/>
            </w:tcBorders>
            <w:noWrap/>
            <w:vAlign w:val="center"/>
            <w:hideMark/>
          </w:tcPr>
          <w:p w14:paraId="1D522308" w14:textId="77777777" w:rsidR="00E51CDD" w:rsidRDefault="00E51CDD" w:rsidP="009938D9">
            <w:pPr>
              <w:widowControl w:val="0"/>
              <w:tabs>
                <w:tab w:val="left" w:pos="720"/>
              </w:tabs>
              <w:rPr>
                <w:rFonts w:eastAsia="Batang"/>
                <w:b/>
                <w:bCs/>
                <w:sz w:val="16"/>
                <w:szCs w:val="16"/>
                <w:lang w:val="en-GB" w:eastAsia="zh-CN"/>
              </w:rPr>
            </w:pPr>
            <w:r>
              <w:rPr>
                <w:rFonts w:eastAsia="Batang"/>
                <w:b/>
                <w:bCs/>
                <w:sz w:val="16"/>
                <w:szCs w:val="16"/>
                <w:lang w:val="en-GB" w:eastAsia="zh-CN"/>
              </w:rPr>
              <w:t>Screening step:</w:t>
            </w:r>
          </w:p>
        </w:tc>
      </w:tr>
      <w:tr w:rsidR="00E51CDD" w14:paraId="0F73DF13" w14:textId="77777777" w:rsidTr="009938D9">
        <w:trPr>
          <w:trHeight w:val="751"/>
        </w:trPr>
        <w:tc>
          <w:tcPr>
            <w:tcW w:w="625" w:type="pct"/>
            <w:vMerge w:val="restart"/>
            <w:tcBorders>
              <w:top w:val="single" w:sz="4" w:space="0" w:color="auto"/>
              <w:left w:val="single" w:sz="4" w:space="0" w:color="auto"/>
              <w:bottom w:val="single" w:sz="4" w:space="0" w:color="auto"/>
              <w:right w:val="single" w:sz="4" w:space="0" w:color="auto"/>
            </w:tcBorders>
            <w:vAlign w:val="center"/>
            <w:hideMark/>
          </w:tcPr>
          <w:p w14:paraId="4664017B" w14:textId="77777777" w:rsidR="00E51CDD" w:rsidRDefault="00E51CDD" w:rsidP="009938D9">
            <w:pPr>
              <w:widowControl w:val="0"/>
              <w:tabs>
                <w:tab w:val="left" w:pos="720"/>
              </w:tabs>
              <w:rPr>
                <w:rFonts w:eastAsia="Batang"/>
                <w:sz w:val="16"/>
                <w:szCs w:val="16"/>
                <w:lang w:val="en-GB" w:eastAsia="zh-CN"/>
              </w:rPr>
            </w:pPr>
            <w:r>
              <w:rPr>
                <w:rFonts w:eastAsia="Batang"/>
                <w:sz w:val="16"/>
                <w:szCs w:val="16"/>
                <w:lang w:val="en-GB" w:eastAsia="zh-CN"/>
              </w:rPr>
              <w:t>Reproductive risk assessment screening step</w:t>
            </w:r>
          </w:p>
        </w:tc>
        <w:tc>
          <w:tcPr>
            <w:tcW w:w="584" w:type="pct"/>
            <w:tcBorders>
              <w:top w:val="single" w:sz="4" w:space="0" w:color="auto"/>
              <w:left w:val="single" w:sz="4" w:space="0" w:color="auto"/>
              <w:bottom w:val="single" w:sz="4" w:space="0" w:color="auto"/>
              <w:right w:val="single" w:sz="4" w:space="0" w:color="auto"/>
            </w:tcBorders>
            <w:vAlign w:val="center"/>
            <w:hideMark/>
          </w:tcPr>
          <w:p w14:paraId="0599998A"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Indicator species</w:t>
            </w:r>
          </w:p>
        </w:tc>
        <w:tc>
          <w:tcPr>
            <w:tcW w:w="584" w:type="pct"/>
            <w:tcBorders>
              <w:top w:val="single" w:sz="4" w:space="0" w:color="auto"/>
              <w:left w:val="single" w:sz="4" w:space="0" w:color="auto"/>
              <w:bottom w:val="single" w:sz="4" w:space="0" w:color="auto"/>
              <w:right w:val="single" w:sz="4" w:space="0" w:color="auto"/>
            </w:tcBorders>
            <w:vAlign w:val="center"/>
            <w:hideMark/>
          </w:tcPr>
          <w:p w14:paraId="70A3EC0B"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Shortcut value</w:t>
            </w:r>
          </w:p>
        </w:tc>
        <w:tc>
          <w:tcPr>
            <w:tcW w:w="617" w:type="pct"/>
            <w:tcBorders>
              <w:top w:val="single" w:sz="4" w:space="0" w:color="auto"/>
              <w:left w:val="single" w:sz="4" w:space="0" w:color="auto"/>
              <w:bottom w:val="single" w:sz="4" w:space="0" w:color="auto"/>
              <w:right w:val="single" w:sz="4" w:space="0" w:color="auto"/>
            </w:tcBorders>
            <w:vAlign w:val="center"/>
            <w:hideMark/>
          </w:tcPr>
          <w:p w14:paraId="5BA34294"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Daily Dietary Dose (single)</w:t>
            </w:r>
          </w:p>
        </w:tc>
        <w:tc>
          <w:tcPr>
            <w:tcW w:w="583" w:type="pct"/>
            <w:tcBorders>
              <w:top w:val="single" w:sz="4" w:space="0" w:color="auto"/>
              <w:left w:val="single" w:sz="4" w:space="0" w:color="auto"/>
              <w:bottom w:val="single" w:sz="4" w:space="0" w:color="auto"/>
              <w:right w:val="single" w:sz="4" w:space="0" w:color="auto"/>
            </w:tcBorders>
            <w:vAlign w:val="center"/>
            <w:hideMark/>
          </w:tcPr>
          <w:p w14:paraId="213E06DA"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MAF mean</w:t>
            </w:r>
          </w:p>
        </w:tc>
        <w:tc>
          <w:tcPr>
            <w:tcW w:w="739" w:type="pct"/>
            <w:tcBorders>
              <w:top w:val="single" w:sz="4" w:space="0" w:color="auto"/>
              <w:left w:val="single" w:sz="4" w:space="0" w:color="auto"/>
              <w:bottom w:val="single" w:sz="4" w:space="0" w:color="auto"/>
              <w:right w:val="single" w:sz="4" w:space="0" w:color="auto"/>
            </w:tcBorders>
            <w:vAlign w:val="center"/>
            <w:hideMark/>
          </w:tcPr>
          <w:p w14:paraId="63999FED"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Daily Dietary Dose (Multiple)</w:t>
            </w:r>
          </w:p>
        </w:tc>
        <w:tc>
          <w:tcPr>
            <w:tcW w:w="666" w:type="pct"/>
            <w:tcBorders>
              <w:top w:val="single" w:sz="4" w:space="0" w:color="auto"/>
              <w:left w:val="single" w:sz="4" w:space="0" w:color="auto"/>
              <w:bottom w:val="single" w:sz="4" w:space="0" w:color="auto"/>
              <w:right w:val="single" w:sz="4" w:space="0" w:color="auto"/>
            </w:tcBorders>
            <w:vAlign w:val="center"/>
            <w:hideMark/>
          </w:tcPr>
          <w:p w14:paraId="179932EC"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TER</w:t>
            </w:r>
          </w:p>
        </w:tc>
        <w:tc>
          <w:tcPr>
            <w:tcW w:w="602" w:type="pct"/>
            <w:vMerge w:val="restart"/>
            <w:tcBorders>
              <w:top w:val="single" w:sz="4" w:space="0" w:color="auto"/>
              <w:left w:val="single" w:sz="4" w:space="0" w:color="auto"/>
              <w:bottom w:val="single" w:sz="4" w:space="0" w:color="auto"/>
              <w:right w:val="single" w:sz="4" w:space="0" w:color="auto"/>
            </w:tcBorders>
            <w:vAlign w:val="center"/>
            <w:hideMark/>
          </w:tcPr>
          <w:p w14:paraId="6B4349D2" w14:textId="77777777" w:rsidR="00E51CDD" w:rsidRDefault="00E51CDD" w:rsidP="009938D9">
            <w:pPr>
              <w:widowControl w:val="0"/>
              <w:tabs>
                <w:tab w:val="left" w:pos="720"/>
              </w:tabs>
              <w:jc w:val="center"/>
              <w:rPr>
                <w:b/>
                <w:bCs/>
                <w:sz w:val="16"/>
                <w:szCs w:val="16"/>
                <w:lang w:val="en-GB"/>
              </w:rPr>
            </w:pPr>
            <w:r>
              <w:rPr>
                <w:rFonts w:eastAsia="Batang"/>
                <w:bCs/>
                <w:sz w:val="16"/>
                <w:szCs w:val="16"/>
                <w:lang w:val="de-DE" w:eastAsia="zh-CN"/>
              </w:rPr>
              <w:t>No refinement step required</w:t>
            </w:r>
          </w:p>
        </w:tc>
      </w:tr>
      <w:tr w:rsidR="00E51CDD" w14:paraId="62F487FB" w14:textId="77777777" w:rsidTr="009938D9">
        <w:trPr>
          <w:trHeight w:val="6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419106" w14:textId="77777777" w:rsidR="00E51CDD" w:rsidRDefault="00E51CDD" w:rsidP="009938D9">
            <w:pPr>
              <w:rPr>
                <w:rFonts w:eastAsia="Batang"/>
                <w:sz w:val="16"/>
                <w:szCs w:val="16"/>
                <w:lang w:val="en-GB" w:eastAsia="zh-CN"/>
              </w:rPr>
            </w:pPr>
          </w:p>
        </w:tc>
        <w:tc>
          <w:tcPr>
            <w:tcW w:w="584" w:type="pct"/>
            <w:tcBorders>
              <w:top w:val="single" w:sz="4" w:space="0" w:color="auto"/>
              <w:left w:val="single" w:sz="4" w:space="0" w:color="auto"/>
              <w:bottom w:val="single" w:sz="4" w:space="0" w:color="auto"/>
              <w:right w:val="single" w:sz="4" w:space="0" w:color="auto"/>
            </w:tcBorders>
            <w:vAlign w:val="center"/>
            <w:hideMark/>
          </w:tcPr>
          <w:p w14:paraId="4D658B11" w14:textId="77777777" w:rsidR="00E51CDD" w:rsidRDefault="00E51CDD" w:rsidP="009938D9">
            <w:pPr>
              <w:widowControl w:val="0"/>
              <w:tabs>
                <w:tab w:val="left" w:pos="720"/>
              </w:tabs>
              <w:jc w:val="center"/>
              <w:rPr>
                <w:sz w:val="16"/>
                <w:szCs w:val="16"/>
                <w:lang w:val="en-GB"/>
              </w:rPr>
            </w:pPr>
            <w:r>
              <w:rPr>
                <w:sz w:val="16"/>
                <w:szCs w:val="16"/>
                <w:lang w:val="de-DE"/>
              </w:rPr>
              <w:t>Small omnivorous bird</w:t>
            </w:r>
          </w:p>
        </w:tc>
        <w:tc>
          <w:tcPr>
            <w:tcW w:w="584" w:type="pct"/>
            <w:tcBorders>
              <w:top w:val="single" w:sz="4" w:space="0" w:color="auto"/>
              <w:left w:val="single" w:sz="4" w:space="0" w:color="auto"/>
              <w:bottom w:val="single" w:sz="4" w:space="0" w:color="auto"/>
              <w:right w:val="single" w:sz="4" w:space="0" w:color="auto"/>
            </w:tcBorders>
            <w:vAlign w:val="center"/>
            <w:hideMark/>
          </w:tcPr>
          <w:p w14:paraId="4B94D6A1" w14:textId="77777777" w:rsidR="00E51CDD" w:rsidRDefault="00E51CDD" w:rsidP="009938D9">
            <w:pPr>
              <w:widowControl w:val="0"/>
              <w:tabs>
                <w:tab w:val="left" w:pos="720"/>
              </w:tabs>
              <w:jc w:val="center"/>
              <w:rPr>
                <w:sz w:val="16"/>
                <w:szCs w:val="16"/>
                <w:lang w:val="en-GB"/>
              </w:rPr>
            </w:pPr>
            <w:r>
              <w:rPr>
                <w:sz w:val="16"/>
                <w:szCs w:val="16"/>
                <w:lang w:val="de-DE"/>
              </w:rPr>
              <w:t>64.8</w:t>
            </w:r>
          </w:p>
        </w:tc>
        <w:tc>
          <w:tcPr>
            <w:tcW w:w="617" w:type="pct"/>
            <w:tcBorders>
              <w:top w:val="single" w:sz="4" w:space="0" w:color="auto"/>
              <w:left w:val="single" w:sz="4" w:space="0" w:color="auto"/>
              <w:bottom w:val="single" w:sz="4" w:space="0" w:color="auto"/>
              <w:right w:val="single" w:sz="4" w:space="0" w:color="auto"/>
            </w:tcBorders>
            <w:vAlign w:val="center"/>
            <w:hideMark/>
          </w:tcPr>
          <w:p w14:paraId="27FAB4F5" w14:textId="77777777" w:rsidR="00E51CDD" w:rsidRDefault="00E51CDD" w:rsidP="009938D9">
            <w:pPr>
              <w:widowControl w:val="0"/>
              <w:tabs>
                <w:tab w:val="left" w:pos="720"/>
              </w:tabs>
              <w:jc w:val="center"/>
              <w:rPr>
                <w:sz w:val="16"/>
                <w:szCs w:val="16"/>
                <w:lang w:val="en-GB"/>
              </w:rPr>
            </w:pPr>
            <w:r>
              <w:rPr>
                <w:sz w:val="16"/>
                <w:szCs w:val="16"/>
                <w:lang w:val="de-DE"/>
              </w:rPr>
              <w:t>6.48</w:t>
            </w:r>
          </w:p>
        </w:tc>
        <w:tc>
          <w:tcPr>
            <w:tcW w:w="583" w:type="pct"/>
            <w:tcBorders>
              <w:top w:val="single" w:sz="4" w:space="0" w:color="auto"/>
              <w:left w:val="single" w:sz="4" w:space="0" w:color="auto"/>
              <w:bottom w:val="single" w:sz="4" w:space="0" w:color="auto"/>
              <w:right w:val="single" w:sz="4" w:space="0" w:color="auto"/>
            </w:tcBorders>
            <w:vAlign w:val="center"/>
            <w:hideMark/>
          </w:tcPr>
          <w:p w14:paraId="57FCE602" w14:textId="77777777" w:rsidR="00E51CDD" w:rsidRDefault="00E51CDD" w:rsidP="009938D9">
            <w:pPr>
              <w:widowControl w:val="0"/>
              <w:tabs>
                <w:tab w:val="left" w:pos="720"/>
              </w:tabs>
              <w:jc w:val="center"/>
              <w:rPr>
                <w:sz w:val="16"/>
                <w:szCs w:val="16"/>
                <w:lang w:val="en-GB"/>
              </w:rPr>
            </w:pPr>
            <w:r>
              <w:rPr>
                <w:sz w:val="16"/>
                <w:szCs w:val="16"/>
                <w:lang w:val="de-DE"/>
              </w:rPr>
              <w:t>1.2</w:t>
            </w:r>
          </w:p>
        </w:tc>
        <w:tc>
          <w:tcPr>
            <w:tcW w:w="739" w:type="pct"/>
            <w:tcBorders>
              <w:top w:val="single" w:sz="4" w:space="0" w:color="auto"/>
              <w:left w:val="single" w:sz="4" w:space="0" w:color="auto"/>
              <w:bottom w:val="single" w:sz="4" w:space="0" w:color="auto"/>
              <w:right w:val="single" w:sz="4" w:space="0" w:color="auto"/>
            </w:tcBorders>
            <w:noWrap/>
            <w:vAlign w:val="center"/>
            <w:hideMark/>
          </w:tcPr>
          <w:p w14:paraId="1C10ADC0" w14:textId="77777777" w:rsidR="00E51CDD" w:rsidRDefault="00E51CDD" w:rsidP="009938D9">
            <w:pPr>
              <w:widowControl w:val="0"/>
              <w:tabs>
                <w:tab w:val="left" w:pos="720"/>
              </w:tabs>
              <w:jc w:val="center"/>
              <w:rPr>
                <w:sz w:val="16"/>
                <w:szCs w:val="16"/>
                <w:lang w:val="en-GB"/>
              </w:rPr>
            </w:pPr>
            <w:r>
              <w:rPr>
                <w:sz w:val="16"/>
                <w:szCs w:val="16"/>
                <w:lang w:val="de-DE"/>
              </w:rPr>
              <w:t>4.12</w:t>
            </w:r>
          </w:p>
        </w:tc>
        <w:tc>
          <w:tcPr>
            <w:tcW w:w="666" w:type="pct"/>
            <w:tcBorders>
              <w:top w:val="single" w:sz="4" w:space="0" w:color="auto"/>
              <w:left w:val="single" w:sz="4" w:space="0" w:color="auto"/>
              <w:bottom w:val="single" w:sz="4" w:space="0" w:color="auto"/>
              <w:right w:val="single" w:sz="4" w:space="0" w:color="auto"/>
            </w:tcBorders>
            <w:vAlign w:val="center"/>
            <w:hideMark/>
          </w:tcPr>
          <w:p w14:paraId="46E65C1E" w14:textId="70AD3891" w:rsidR="00E51CDD" w:rsidRDefault="00E51CDD" w:rsidP="009938D9">
            <w:pPr>
              <w:widowControl w:val="0"/>
              <w:tabs>
                <w:tab w:val="left" w:pos="720"/>
              </w:tabs>
              <w:jc w:val="center"/>
              <w:rPr>
                <w:sz w:val="16"/>
                <w:szCs w:val="16"/>
                <w:lang w:val="en-GB"/>
              </w:rPr>
            </w:pPr>
            <w:r w:rsidRPr="00F1567C">
              <w:rPr>
                <w:strike/>
                <w:color w:val="D9D9D9" w:themeColor="background1" w:themeShade="D9"/>
                <w:sz w:val="16"/>
                <w:szCs w:val="16"/>
                <w:lang w:val="en-GB"/>
              </w:rPr>
              <w:t>8.2</w:t>
            </w:r>
            <w:r w:rsidR="00F1567C" w:rsidRPr="00F1567C">
              <w:rPr>
                <w:color w:val="D9D9D9" w:themeColor="background1" w:themeShade="D9"/>
                <w:sz w:val="16"/>
                <w:szCs w:val="16"/>
                <w:lang w:val="en-GB"/>
              </w:rPr>
              <w:t xml:space="preserve"> </w:t>
            </w:r>
            <w:r w:rsidR="00F1567C" w:rsidRPr="00F1567C">
              <w:rPr>
                <w:sz w:val="16"/>
                <w:szCs w:val="16"/>
                <w:shd w:val="clear" w:color="auto" w:fill="D9D9D9" w:themeFill="background1" w:themeFillShade="D9"/>
                <w:lang w:val="en-GB"/>
              </w:rPr>
              <w:t>8.1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8BBAD" w14:textId="77777777" w:rsidR="00E51CDD" w:rsidRDefault="00E51CDD" w:rsidP="009938D9">
            <w:pPr>
              <w:rPr>
                <w:b/>
                <w:bCs/>
                <w:sz w:val="16"/>
                <w:szCs w:val="16"/>
                <w:lang w:val="en-GB"/>
              </w:rPr>
            </w:pPr>
          </w:p>
        </w:tc>
      </w:tr>
    </w:tbl>
    <w:p w14:paraId="5A11817F" w14:textId="77777777" w:rsidR="00E51CDD" w:rsidRDefault="00E51CDD" w:rsidP="00E51CDD">
      <w:pPr>
        <w:keepNext/>
        <w:keepLines/>
        <w:widowControl w:val="0"/>
        <w:tabs>
          <w:tab w:val="left" w:pos="1980"/>
        </w:tabs>
        <w:spacing w:before="200" w:after="120"/>
        <w:ind w:left="1980" w:hanging="1980"/>
        <w:jc w:val="both"/>
        <w:rPr>
          <w:lang w:val="en-GB" w:eastAsia="en-US"/>
        </w:rPr>
      </w:pPr>
      <w:bookmarkStart w:id="210" w:name="_Ref438201367"/>
    </w:p>
    <w:p w14:paraId="171F2C5A" w14:textId="55D25721" w:rsidR="00E51CDD" w:rsidRDefault="00E51CDD" w:rsidP="00E51CDD">
      <w:pPr>
        <w:keepNext/>
        <w:keepLines/>
        <w:widowControl w:val="0"/>
        <w:tabs>
          <w:tab w:val="left" w:pos="1980"/>
        </w:tabs>
        <w:spacing w:before="200" w:after="120"/>
        <w:ind w:left="1980" w:hanging="1980"/>
        <w:jc w:val="both"/>
        <w:rPr>
          <w:b/>
          <w:bCs/>
          <w:lang w:val="en-GB"/>
        </w:rPr>
      </w:pPr>
      <w:bookmarkStart w:id="211" w:name="_Ref85537194"/>
      <w:r>
        <w:rPr>
          <w:b/>
          <w:bCs/>
          <w:lang w:val="en-GB"/>
        </w:rPr>
        <w:t xml:space="preserve">Table </w:t>
      </w:r>
      <w:r>
        <w:fldChar w:fldCharType="begin"/>
      </w:r>
      <w:r>
        <w:rPr>
          <w:b/>
          <w:bCs/>
          <w:lang w:val="en-GB"/>
        </w:rPr>
        <w:instrText xml:space="preserve"> STYLEREF 2 \s </w:instrText>
      </w:r>
      <w:r>
        <w:fldChar w:fldCharType="separate"/>
      </w:r>
      <w:r w:rsidR="00662F32">
        <w:rPr>
          <w:b/>
          <w:bCs/>
          <w:noProof/>
          <w:lang w:val="en-GB"/>
        </w:rPr>
        <w:t>9.2</w:t>
      </w:r>
      <w:r>
        <w:fldChar w:fldCharType="end"/>
      </w:r>
      <w:r>
        <w:rPr>
          <w:b/>
          <w:bCs/>
          <w:lang w:val="en-GB"/>
        </w:rPr>
        <w:noBreakHyphen/>
      </w:r>
      <w:r>
        <w:fldChar w:fldCharType="begin"/>
      </w:r>
      <w:r>
        <w:rPr>
          <w:b/>
          <w:bCs/>
          <w:lang w:val="en-GB"/>
        </w:rPr>
        <w:instrText xml:space="preserve"> SEQ Table \* ARABIC \s 2 </w:instrText>
      </w:r>
      <w:r>
        <w:fldChar w:fldCharType="separate"/>
      </w:r>
      <w:r w:rsidR="00662F32">
        <w:rPr>
          <w:b/>
          <w:bCs/>
          <w:noProof/>
          <w:lang w:val="en-GB"/>
        </w:rPr>
        <w:t>7</w:t>
      </w:r>
      <w:r>
        <w:fldChar w:fldCharType="end"/>
      </w:r>
      <w:bookmarkEnd w:id="210"/>
      <w:bookmarkEnd w:id="211"/>
      <w:r>
        <w:rPr>
          <w:b/>
          <w:bCs/>
          <w:lang w:val="en-GB"/>
        </w:rPr>
        <w:t xml:space="preserve">: </w:t>
      </w:r>
      <w:r>
        <w:rPr>
          <w:b/>
          <w:bCs/>
          <w:lang w:val="en-GB"/>
        </w:rPr>
        <w:tab/>
        <w:t>Azoxystrobin: Screening step calculation of the long-term/reproductive risk for birds due to the use of BAS 736 00 F for the crop group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2"/>
        <w:gridCol w:w="1088"/>
        <w:gridCol w:w="1017"/>
        <w:gridCol w:w="1249"/>
        <w:gridCol w:w="1092"/>
        <w:gridCol w:w="1378"/>
        <w:gridCol w:w="1241"/>
        <w:gridCol w:w="1120"/>
      </w:tblGrid>
      <w:tr w:rsidR="00E51CDD" w14:paraId="2B5F8298" w14:textId="77777777" w:rsidTr="009938D9">
        <w:trPr>
          <w:trHeight w:val="733"/>
        </w:trPr>
        <w:tc>
          <w:tcPr>
            <w:tcW w:w="622" w:type="pct"/>
            <w:vMerge w:val="restart"/>
            <w:tcBorders>
              <w:top w:val="single" w:sz="4" w:space="0" w:color="auto"/>
              <w:left w:val="single" w:sz="4" w:space="0" w:color="auto"/>
              <w:bottom w:val="single" w:sz="4" w:space="0" w:color="auto"/>
              <w:right w:val="single" w:sz="4" w:space="0" w:color="auto"/>
            </w:tcBorders>
            <w:vAlign w:val="center"/>
            <w:hideMark/>
          </w:tcPr>
          <w:p w14:paraId="21F54473" w14:textId="77777777" w:rsidR="00E51CDD" w:rsidRDefault="00E51CDD" w:rsidP="009938D9">
            <w:pPr>
              <w:widowControl w:val="0"/>
              <w:tabs>
                <w:tab w:val="left" w:pos="720"/>
              </w:tabs>
              <w:rPr>
                <w:rFonts w:eastAsia="Batang"/>
                <w:b/>
                <w:bCs/>
                <w:sz w:val="16"/>
                <w:szCs w:val="16"/>
                <w:lang w:val="en-GB" w:eastAsia="zh-CN"/>
              </w:rPr>
            </w:pPr>
            <w:r>
              <w:rPr>
                <w:rFonts w:eastAsia="Batang"/>
                <w:b/>
                <w:bCs/>
                <w:sz w:val="16"/>
                <w:szCs w:val="16"/>
                <w:lang w:val="en-GB" w:eastAsia="zh-CN"/>
              </w:rPr>
              <w:t>Data from Data_Entry worksheet</w:t>
            </w:r>
          </w:p>
        </w:tc>
        <w:tc>
          <w:tcPr>
            <w:tcW w:w="582" w:type="pct"/>
            <w:tcBorders>
              <w:top w:val="single" w:sz="4" w:space="0" w:color="auto"/>
              <w:left w:val="single" w:sz="4" w:space="0" w:color="auto"/>
              <w:bottom w:val="single" w:sz="4" w:space="0" w:color="auto"/>
              <w:right w:val="single" w:sz="4" w:space="0" w:color="auto"/>
            </w:tcBorders>
            <w:vAlign w:val="center"/>
            <w:hideMark/>
          </w:tcPr>
          <w:p w14:paraId="594FBBC1"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Crop</w:t>
            </w:r>
          </w:p>
        </w:tc>
        <w:tc>
          <w:tcPr>
            <w:tcW w:w="544" w:type="pct"/>
            <w:tcBorders>
              <w:top w:val="single" w:sz="4" w:space="0" w:color="auto"/>
              <w:left w:val="single" w:sz="4" w:space="0" w:color="auto"/>
              <w:bottom w:val="single" w:sz="4" w:space="0" w:color="auto"/>
              <w:right w:val="single" w:sz="4" w:space="0" w:color="auto"/>
            </w:tcBorders>
            <w:vAlign w:val="center"/>
            <w:hideMark/>
          </w:tcPr>
          <w:p w14:paraId="62E2BBFE"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Application rate (kg a.s./ha)</w:t>
            </w:r>
          </w:p>
        </w:tc>
        <w:tc>
          <w:tcPr>
            <w:tcW w:w="668" w:type="pct"/>
            <w:tcBorders>
              <w:top w:val="single" w:sz="4" w:space="0" w:color="auto"/>
              <w:left w:val="single" w:sz="4" w:space="0" w:color="auto"/>
              <w:bottom w:val="single" w:sz="4" w:space="0" w:color="auto"/>
              <w:right w:val="single" w:sz="4" w:space="0" w:color="auto"/>
            </w:tcBorders>
            <w:vAlign w:val="center"/>
            <w:hideMark/>
          </w:tcPr>
          <w:p w14:paraId="2F52FA28"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Number of applications</w:t>
            </w:r>
          </w:p>
        </w:tc>
        <w:tc>
          <w:tcPr>
            <w:tcW w:w="584" w:type="pct"/>
            <w:tcBorders>
              <w:top w:val="single" w:sz="4" w:space="0" w:color="auto"/>
              <w:left w:val="single" w:sz="4" w:space="0" w:color="auto"/>
              <w:bottom w:val="single" w:sz="4" w:space="0" w:color="auto"/>
              <w:right w:val="single" w:sz="4" w:space="0" w:color="auto"/>
            </w:tcBorders>
            <w:vAlign w:val="center"/>
            <w:hideMark/>
          </w:tcPr>
          <w:p w14:paraId="1D53A62D"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Application Interval</w:t>
            </w:r>
          </w:p>
        </w:tc>
        <w:tc>
          <w:tcPr>
            <w:tcW w:w="737" w:type="pct"/>
            <w:tcBorders>
              <w:top w:val="single" w:sz="4" w:space="0" w:color="auto"/>
              <w:left w:val="single" w:sz="4" w:space="0" w:color="auto"/>
              <w:bottom w:val="single" w:sz="4" w:space="0" w:color="auto"/>
              <w:right w:val="single" w:sz="4" w:space="0" w:color="auto"/>
            </w:tcBorders>
            <w:vAlign w:val="center"/>
            <w:hideMark/>
          </w:tcPr>
          <w:p w14:paraId="2D1AD76D"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DT</w:t>
            </w:r>
            <w:r>
              <w:rPr>
                <w:rFonts w:eastAsia="Batang"/>
                <w:b/>
                <w:bCs/>
                <w:sz w:val="16"/>
                <w:szCs w:val="16"/>
                <w:vertAlign w:val="subscript"/>
                <w:lang w:val="en-GB" w:eastAsia="zh-CN"/>
              </w:rPr>
              <w:t>50</w:t>
            </w:r>
          </w:p>
        </w:tc>
        <w:tc>
          <w:tcPr>
            <w:tcW w:w="664" w:type="pct"/>
            <w:tcBorders>
              <w:top w:val="single" w:sz="4" w:space="0" w:color="auto"/>
              <w:left w:val="single" w:sz="4" w:space="0" w:color="auto"/>
              <w:bottom w:val="single" w:sz="4" w:space="0" w:color="auto"/>
              <w:right w:val="single" w:sz="4" w:space="0" w:color="auto"/>
            </w:tcBorders>
            <w:vAlign w:val="center"/>
            <w:hideMark/>
          </w:tcPr>
          <w:p w14:paraId="79C74A95"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Reproductive End Point (mg/kg b.w./d)</w:t>
            </w:r>
          </w:p>
        </w:tc>
        <w:tc>
          <w:tcPr>
            <w:tcW w:w="599" w:type="pct"/>
            <w:tcBorders>
              <w:top w:val="single" w:sz="4" w:space="0" w:color="auto"/>
              <w:left w:val="single" w:sz="4" w:space="0" w:color="auto"/>
              <w:bottom w:val="single" w:sz="4" w:space="0" w:color="auto"/>
              <w:right w:val="single" w:sz="4" w:space="0" w:color="auto"/>
            </w:tcBorders>
            <w:vAlign w:val="center"/>
            <w:hideMark/>
          </w:tcPr>
          <w:p w14:paraId="6D853C19"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Time weighted average (TWA)</w:t>
            </w:r>
          </w:p>
        </w:tc>
      </w:tr>
      <w:tr w:rsidR="00E51CDD" w14:paraId="231FEDF9" w14:textId="77777777" w:rsidTr="009938D9">
        <w:trPr>
          <w:trHeight w:val="2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21D046" w14:textId="77777777" w:rsidR="00E51CDD" w:rsidRDefault="00E51CDD" w:rsidP="009938D9">
            <w:pPr>
              <w:rPr>
                <w:rFonts w:eastAsia="Batang"/>
                <w:b/>
                <w:bCs/>
                <w:sz w:val="16"/>
                <w:szCs w:val="16"/>
                <w:lang w:val="en-GB" w:eastAsia="zh-CN"/>
              </w:rPr>
            </w:pPr>
          </w:p>
        </w:tc>
        <w:tc>
          <w:tcPr>
            <w:tcW w:w="582" w:type="pct"/>
            <w:tcBorders>
              <w:top w:val="single" w:sz="4" w:space="0" w:color="auto"/>
              <w:left w:val="single" w:sz="4" w:space="0" w:color="auto"/>
              <w:bottom w:val="single" w:sz="4" w:space="0" w:color="auto"/>
              <w:right w:val="single" w:sz="4" w:space="0" w:color="auto"/>
            </w:tcBorders>
            <w:vAlign w:val="center"/>
            <w:hideMark/>
          </w:tcPr>
          <w:p w14:paraId="4E3FB2BE" w14:textId="77777777" w:rsidR="00E51CDD" w:rsidRDefault="00E51CDD" w:rsidP="009938D9">
            <w:pPr>
              <w:widowControl w:val="0"/>
              <w:tabs>
                <w:tab w:val="left" w:pos="720"/>
              </w:tabs>
              <w:jc w:val="center"/>
              <w:rPr>
                <w:rFonts w:eastAsia="Batang"/>
                <w:sz w:val="16"/>
                <w:szCs w:val="16"/>
                <w:lang w:val="en-GB" w:eastAsia="zh-CN"/>
              </w:rPr>
            </w:pPr>
            <w:r>
              <w:rPr>
                <w:rFonts w:eastAsia="Batang"/>
                <w:sz w:val="16"/>
                <w:szCs w:val="16"/>
                <w:lang w:val="en-GB" w:eastAsia="zh-CN"/>
              </w:rPr>
              <w:t>Cereals</w:t>
            </w:r>
          </w:p>
        </w:tc>
        <w:tc>
          <w:tcPr>
            <w:tcW w:w="544" w:type="pct"/>
            <w:tcBorders>
              <w:top w:val="single" w:sz="4" w:space="0" w:color="auto"/>
              <w:left w:val="single" w:sz="4" w:space="0" w:color="auto"/>
              <w:bottom w:val="single" w:sz="4" w:space="0" w:color="auto"/>
              <w:right w:val="single" w:sz="4" w:space="0" w:color="auto"/>
            </w:tcBorders>
            <w:vAlign w:val="center"/>
            <w:hideMark/>
          </w:tcPr>
          <w:p w14:paraId="7CB90E64" w14:textId="77777777" w:rsidR="00E51CDD" w:rsidRDefault="00E51CDD" w:rsidP="009938D9">
            <w:pPr>
              <w:widowControl w:val="0"/>
              <w:tabs>
                <w:tab w:val="left" w:pos="720"/>
              </w:tabs>
              <w:jc w:val="center"/>
              <w:rPr>
                <w:sz w:val="16"/>
                <w:szCs w:val="16"/>
                <w:lang w:val="en-GB"/>
              </w:rPr>
            </w:pPr>
            <w:r>
              <w:rPr>
                <w:sz w:val="16"/>
                <w:szCs w:val="16"/>
                <w:lang w:val="de-DE"/>
              </w:rPr>
              <w:t>0.150</w:t>
            </w:r>
          </w:p>
        </w:tc>
        <w:tc>
          <w:tcPr>
            <w:tcW w:w="668" w:type="pct"/>
            <w:tcBorders>
              <w:top w:val="single" w:sz="4" w:space="0" w:color="auto"/>
              <w:left w:val="single" w:sz="4" w:space="0" w:color="auto"/>
              <w:bottom w:val="single" w:sz="4" w:space="0" w:color="auto"/>
              <w:right w:val="single" w:sz="4" w:space="0" w:color="auto"/>
            </w:tcBorders>
            <w:vAlign w:val="center"/>
            <w:hideMark/>
          </w:tcPr>
          <w:p w14:paraId="626A1DB1" w14:textId="77777777" w:rsidR="00E51CDD" w:rsidRDefault="00E51CDD" w:rsidP="009938D9">
            <w:pPr>
              <w:widowControl w:val="0"/>
              <w:tabs>
                <w:tab w:val="left" w:pos="720"/>
              </w:tabs>
              <w:jc w:val="center"/>
              <w:rPr>
                <w:sz w:val="16"/>
                <w:szCs w:val="16"/>
                <w:lang w:val="en-GB"/>
              </w:rPr>
            </w:pPr>
            <w:r>
              <w:rPr>
                <w:sz w:val="16"/>
                <w:szCs w:val="16"/>
                <w:lang w:val="de-DE"/>
              </w:rPr>
              <w:t>2</w:t>
            </w:r>
          </w:p>
        </w:tc>
        <w:tc>
          <w:tcPr>
            <w:tcW w:w="584" w:type="pct"/>
            <w:tcBorders>
              <w:top w:val="single" w:sz="4" w:space="0" w:color="auto"/>
              <w:left w:val="single" w:sz="4" w:space="0" w:color="auto"/>
              <w:bottom w:val="single" w:sz="4" w:space="0" w:color="auto"/>
              <w:right w:val="single" w:sz="4" w:space="0" w:color="auto"/>
            </w:tcBorders>
            <w:vAlign w:val="center"/>
            <w:hideMark/>
          </w:tcPr>
          <w:p w14:paraId="1C0209D0" w14:textId="77777777" w:rsidR="00E51CDD" w:rsidRDefault="00E51CDD" w:rsidP="009938D9">
            <w:pPr>
              <w:widowControl w:val="0"/>
              <w:tabs>
                <w:tab w:val="left" w:pos="720"/>
              </w:tabs>
              <w:jc w:val="center"/>
              <w:rPr>
                <w:sz w:val="16"/>
                <w:szCs w:val="16"/>
                <w:lang w:val="en-GB"/>
              </w:rPr>
            </w:pPr>
            <w:r>
              <w:rPr>
                <w:sz w:val="16"/>
                <w:szCs w:val="16"/>
                <w:lang w:val="de-DE"/>
              </w:rPr>
              <w:t>21</w:t>
            </w:r>
          </w:p>
        </w:tc>
        <w:tc>
          <w:tcPr>
            <w:tcW w:w="737" w:type="pct"/>
            <w:tcBorders>
              <w:top w:val="single" w:sz="4" w:space="0" w:color="auto"/>
              <w:left w:val="single" w:sz="4" w:space="0" w:color="auto"/>
              <w:bottom w:val="single" w:sz="4" w:space="0" w:color="auto"/>
              <w:right w:val="single" w:sz="4" w:space="0" w:color="auto"/>
            </w:tcBorders>
            <w:vAlign w:val="center"/>
            <w:hideMark/>
          </w:tcPr>
          <w:p w14:paraId="153F235E" w14:textId="77777777" w:rsidR="00E51CDD" w:rsidRDefault="00E51CDD" w:rsidP="009938D9">
            <w:pPr>
              <w:widowControl w:val="0"/>
              <w:tabs>
                <w:tab w:val="left" w:pos="720"/>
              </w:tabs>
              <w:jc w:val="center"/>
              <w:rPr>
                <w:sz w:val="16"/>
                <w:szCs w:val="16"/>
                <w:lang w:val="en-GB"/>
              </w:rPr>
            </w:pPr>
            <w:r>
              <w:rPr>
                <w:sz w:val="16"/>
                <w:szCs w:val="16"/>
                <w:lang w:val="de-DE"/>
              </w:rPr>
              <w:t>10</w:t>
            </w:r>
          </w:p>
        </w:tc>
        <w:tc>
          <w:tcPr>
            <w:tcW w:w="664" w:type="pct"/>
            <w:tcBorders>
              <w:top w:val="single" w:sz="4" w:space="0" w:color="auto"/>
              <w:left w:val="single" w:sz="4" w:space="0" w:color="auto"/>
              <w:bottom w:val="single" w:sz="4" w:space="0" w:color="auto"/>
              <w:right w:val="single" w:sz="4" w:space="0" w:color="auto"/>
            </w:tcBorders>
            <w:noWrap/>
            <w:vAlign w:val="center"/>
            <w:hideMark/>
          </w:tcPr>
          <w:p w14:paraId="323C8678" w14:textId="77777777" w:rsidR="00E51CDD" w:rsidRDefault="00E51CDD" w:rsidP="009938D9">
            <w:pPr>
              <w:widowControl w:val="0"/>
              <w:tabs>
                <w:tab w:val="left" w:pos="720"/>
              </w:tabs>
              <w:jc w:val="center"/>
              <w:rPr>
                <w:sz w:val="16"/>
                <w:szCs w:val="16"/>
                <w:lang w:val="en-GB"/>
              </w:rPr>
            </w:pPr>
            <w:r>
              <w:rPr>
                <w:sz w:val="16"/>
                <w:szCs w:val="16"/>
                <w:lang w:val="de-DE"/>
              </w:rPr>
              <w:t>117.0</w:t>
            </w:r>
          </w:p>
        </w:tc>
        <w:tc>
          <w:tcPr>
            <w:tcW w:w="599" w:type="pct"/>
            <w:tcBorders>
              <w:top w:val="single" w:sz="4" w:space="0" w:color="auto"/>
              <w:left w:val="single" w:sz="4" w:space="0" w:color="auto"/>
              <w:bottom w:val="single" w:sz="4" w:space="0" w:color="auto"/>
              <w:right w:val="single" w:sz="4" w:space="0" w:color="auto"/>
            </w:tcBorders>
            <w:vAlign w:val="center"/>
            <w:hideMark/>
          </w:tcPr>
          <w:p w14:paraId="56FF81B5" w14:textId="77777777" w:rsidR="00E51CDD" w:rsidRDefault="00E51CDD" w:rsidP="009938D9">
            <w:pPr>
              <w:widowControl w:val="0"/>
              <w:tabs>
                <w:tab w:val="left" w:pos="720"/>
              </w:tabs>
              <w:jc w:val="center"/>
              <w:rPr>
                <w:sz w:val="16"/>
                <w:szCs w:val="16"/>
                <w:lang w:val="en-GB"/>
              </w:rPr>
            </w:pPr>
            <w:r>
              <w:rPr>
                <w:sz w:val="16"/>
                <w:szCs w:val="16"/>
                <w:lang w:val="de-DE"/>
              </w:rPr>
              <w:t>0.53</w:t>
            </w:r>
          </w:p>
        </w:tc>
      </w:tr>
      <w:tr w:rsidR="00E51CDD" w14:paraId="647B501A" w14:textId="77777777" w:rsidTr="009938D9">
        <w:trPr>
          <w:trHeight w:val="300"/>
        </w:trPr>
        <w:tc>
          <w:tcPr>
            <w:tcW w:w="5000" w:type="pct"/>
            <w:gridSpan w:val="8"/>
            <w:tcBorders>
              <w:top w:val="single" w:sz="4" w:space="0" w:color="auto"/>
              <w:left w:val="single" w:sz="4" w:space="0" w:color="auto"/>
              <w:bottom w:val="single" w:sz="4" w:space="0" w:color="auto"/>
              <w:right w:val="single" w:sz="4" w:space="0" w:color="auto"/>
            </w:tcBorders>
            <w:noWrap/>
            <w:vAlign w:val="center"/>
            <w:hideMark/>
          </w:tcPr>
          <w:p w14:paraId="1AF92E8B" w14:textId="77777777" w:rsidR="00E51CDD" w:rsidRDefault="00E51CDD" w:rsidP="009938D9">
            <w:pPr>
              <w:widowControl w:val="0"/>
              <w:tabs>
                <w:tab w:val="left" w:pos="720"/>
              </w:tabs>
              <w:rPr>
                <w:rFonts w:eastAsia="Batang"/>
                <w:b/>
                <w:bCs/>
                <w:sz w:val="16"/>
                <w:szCs w:val="16"/>
                <w:lang w:val="en-GB" w:eastAsia="zh-CN"/>
              </w:rPr>
            </w:pPr>
            <w:r>
              <w:rPr>
                <w:rFonts w:eastAsia="Batang"/>
                <w:b/>
                <w:bCs/>
                <w:sz w:val="16"/>
                <w:szCs w:val="16"/>
                <w:lang w:val="en-GB" w:eastAsia="zh-CN"/>
              </w:rPr>
              <w:t>Screening step:</w:t>
            </w:r>
          </w:p>
        </w:tc>
      </w:tr>
      <w:tr w:rsidR="00E51CDD" w14:paraId="30CB775C" w14:textId="77777777" w:rsidTr="009938D9">
        <w:trPr>
          <w:trHeight w:val="751"/>
        </w:trPr>
        <w:tc>
          <w:tcPr>
            <w:tcW w:w="622" w:type="pct"/>
            <w:vMerge w:val="restart"/>
            <w:tcBorders>
              <w:top w:val="single" w:sz="4" w:space="0" w:color="auto"/>
              <w:left w:val="single" w:sz="4" w:space="0" w:color="auto"/>
              <w:bottom w:val="single" w:sz="4" w:space="0" w:color="auto"/>
              <w:right w:val="single" w:sz="4" w:space="0" w:color="auto"/>
            </w:tcBorders>
            <w:vAlign w:val="center"/>
            <w:hideMark/>
          </w:tcPr>
          <w:p w14:paraId="69BCEBD4" w14:textId="77777777" w:rsidR="00E51CDD" w:rsidRDefault="00E51CDD" w:rsidP="009938D9">
            <w:pPr>
              <w:widowControl w:val="0"/>
              <w:tabs>
                <w:tab w:val="left" w:pos="720"/>
              </w:tabs>
              <w:rPr>
                <w:rFonts w:eastAsia="Batang"/>
                <w:sz w:val="16"/>
                <w:szCs w:val="16"/>
                <w:lang w:val="en-GB" w:eastAsia="zh-CN"/>
              </w:rPr>
            </w:pPr>
            <w:r>
              <w:rPr>
                <w:rFonts w:eastAsia="Batang"/>
                <w:sz w:val="16"/>
                <w:szCs w:val="16"/>
                <w:lang w:val="en-GB" w:eastAsia="zh-CN"/>
              </w:rPr>
              <w:t>Reproductive risk assessment screening step</w:t>
            </w:r>
          </w:p>
        </w:tc>
        <w:tc>
          <w:tcPr>
            <w:tcW w:w="582" w:type="pct"/>
            <w:tcBorders>
              <w:top w:val="single" w:sz="4" w:space="0" w:color="auto"/>
              <w:left w:val="single" w:sz="4" w:space="0" w:color="auto"/>
              <w:bottom w:val="single" w:sz="4" w:space="0" w:color="auto"/>
              <w:right w:val="single" w:sz="4" w:space="0" w:color="auto"/>
            </w:tcBorders>
            <w:vAlign w:val="center"/>
            <w:hideMark/>
          </w:tcPr>
          <w:p w14:paraId="0FB023EC"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Indicator species</w:t>
            </w:r>
          </w:p>
        </w:tc>
        <w:tc>
          <w:tcPr>
            <w:tcW w:w="544" w:type="pct"/>
            <w:tcBorders>
              <w:top w:val="single" w:sz="4" w:space="0" w:color="auto"/>
              <w:left w:val="single" w:sz="4" w:space="0" w:color="auto"/>
              <w:bottom w:val="single" w:sz="4" w:space="0" w:color="auto"/>
              <w:right w:val="single" w:sz="4" w:space="0" w:color="auto"/>
            </w:tcBorders>
            <w:vAlign w:val="center"/>
            <w:hideMark/>
          </w:tcPr>
          <w:p w14:paraId="735ECA88"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Shortcut value</w:t>
            </w:r>
          </w:p>
        </w:tc>
        <w:tc>
          <w:tcPr>
            <w:tcW w:w="668" w:type="pct"/>
            <w:tcBorders>
              <w:top w:val="single" w:sz="4" w:space="0" w:color="auto"/>
              <w:left w:val="single" w:sz="4" w:space="0" w:color="auto"/>
              <w:bottom w:val="single" w:sz="4" w:space="0" w:color="auto"/>
              <w:right w:val="single" w:sz="4" w:space="0" w:color="auto"/>
            </w:tcBorders>
            <w:vAlign w:val="center"/>
            <w:hideMark/>
          </w:tcPr>
          <w:p w14:paraId="168CAD48"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Daily Dietary Dose (single)</w:t>
            </w:r>
          </w:p>
        </w:tc>
        <w:tc>
          <w:tcPr>
            <w:tcW w:w="584" w:type="pct"/>
            <w:tcBorders>
              <w:top w:val="single" w:sz="4" w:space="0" w:color="auto"/>
              <w:left w:val="single" w:sz="4" w:space="0" w:color="auto"/>
              <w:bottom w:val="single" w:sz="4" w:space="0" w:color="auto"/>
              <w:right w:val="single" w:sz="4" w:space="0" w:color="auto"/>
            </w:tcBorders>
            <w:vAlign w:val="center"/>
            <w:hideMark/>
          </w:tcPr>
          <w:p w14:paraId="2DE06FF6"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MAF mean</w:t>
            </w:r>
          </w:p>
        </w:tc>
        <w:tc>
          <w:tcPr>
            <w:tcW w:w="737" w:type="pct"/>
            <w:tcBorders>
              <w:top w:val="single" w:sz="4" w:space="0" w:color="auto"/>
              <w:left w:val="single" w:sz="4" w:space="0" w:color="auto"/>
              <w:bottom w:val="single" w:sz="4" w:space="0" w:color="auto"/>
              <w:right w:val="single" w:sz="4" w:space="0" w:color="auto"/>
            </w:tcBorders>
            <w:vAlign w:val="center"/>
            <w:hideMark/>
          </w:tcPr>
          <w:p w14:paraId="1633EAD0"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Daily Dietary Dose (Multiple)</w:t>
            </w:r>
          </w:p>
        </w:tc>
        <w:tc>
          <w:tcPr>
            <w:tcW w:w="664" w:type="pct"/>
            <w:tcBorders>
              <w:top w:val="single" w:sz="4" w:space="0" w:color="auto"/>
              <w:left w:val="single" w:sz="4" w:space="0" w:color="auto"/>
              <w:bottom w:val="single" w:sz="4" w:space="0" w:color="auto"/>
              <w:right w:val="single" w:sz="4" w:space="0" w:color="auto"/>
            </w:tcBorders>
            <w:vAlign w:val="center"/>
            <w:hideMark/>
          </w:tcPr>
          <w:p w14:paraId="60C3FB1D"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TER</w:t>
            </w:r>
          </w:p>
        </w:tc>
        <w:tc>
          <w:tcPr>
            <w:tcW w:w="599" w:type="pct"/>
            <w:vMerge w:val="restart"/>
            <w:tcBorders>
              <w:top w:val="single" w:sz="4" w:space="0" w:color="auto"/>
              <w:left w:val="single" w:sz="4" w:space="0" w:color="auto"/>
              <w:bottom w:val="single" w:sz="4" w:space="0" w:color="auto"/>
              <w:right w:val="single" w:sz="4" w:space="0" w:color="auto"/>
            </w:tcBorders>
            <w:vAlign w:val="center"/>
            <w:hideMark/>
          </w:tcPr>
          <w:p w14:paraId="5985614C" w14:textId="77777777" w:rsidR="00E51CDD" w:rsidRDefault="00E51CDD" w:rsidP="009938D9">
            <w:pPr>
              <w:widowControl w:val="0"/>
              <w:jc w:val="center"/>
              <w:rPr>
                <w:rFonts w:eastAsia="Batang"/>
                <w:bCs/>
                <w:sz w:val="16"/>
                <w:szCs w:val="16"/>
                <w:lang w:val="de-DE" w:eastAsia="zh-CN"/>
              </w:rPr>
            </w:pPr>
            <w:r>
              <w:rPr>
                <w:rFonts w:eastAsia="Batang"/>
                <w:bCs/>
                <w:sz w:val="16"/>
                <w:szCs w:val="16"/>
                <w:lang w:val="de-DE" w:eastAsia="zh-CN"/>
              </w:rPr>
              <w:t>No refinement step</w:t>
            </w:r>
          </w:p>
          <w:p w14:paraId="6CF291AC" w14:textId="77777777" w:rsidR="00E51CDD" w:rsidRDefault="00E51CDD" w:rsidP="009938D9">
            <w:pPr>
              <w:widowControl w:val="0"/>
              <w:tabs>
                <w:tab w:val="left" w:pos="720"/>
              </w:tabs>
              <w:jc w:val="center"/>
              <w:rPr>
                <w:rFonts w:eastAsia="Batang"/>
                <w:b/>
                <w:bCs/>
                <w:sz w:val="16"/>
                <w:szCs w:val="16"/>
                <w:lang w:val="en-GB" w:eastAsia="zh-CN"/>
              </w:rPr>
            </w:pPr>
            <w:r>
              <w:rPr>
                <w:rFonts w:eastAsia="Batang"/>
                <w:bCs/>
                <w:sz w:val="16"/>
                <w:szCs w:val="16"/>
                <w:lang w:val="de-DE" w:eastAsia="zh-CN"/>
              </w:rPr>
              <w:t>required</w:t>
            </w:r>
          </w:p>
        </w:tc>
      </w:tr>
      <w:tr w:rsidR="00E51CDD" w14:paraId="17C874E9" w14:textId="77777777" w:rsidTr="009938D9">
        <w:trPr>
          <w:trHeight w:val="6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AED247" w14:textId="77777777" w:rsidR="00E51CDD" w:rsidRDefault="00E51CDD" w:rsidP="009938D9">
            <w:pPr>
              <w:rPr>
                <w:rFonts w:eastAsia="Batang"/>
                <w:sz w:val="16"/>
                <w:szCs w:val="16"/>
                <w:lang w:val="en-GB" w:eastAsia="zh-CN"/>
              </w:rPr>
            </w:pPr>
          </w:p>
        </w:tc>
        <w:tc>
          <w:tcPr>
            <w:tcW w:w="582" w:type="pct"/>
            <w:tcBorders>
              <w:top w:val="single" w:sz="4" w:space="0" w:color="auto"/>
              <w:left w:val="single" w:sz="4" w:space="0" w:color="auto"/>
              <w:bottom w:val="single" w:sz="4" w:space="0" w:color="auto"/>
              <w:right w:val="single" w:sz="4" w:space="0" w:color="auto"/>
            </w:tcBorders>
            <w:vAlign w:val="center"/>
            <w:hideMark/>
          </w:tcPr>
          <w:p w14:paraId="35C596B4" w14:textId="77777777" w:rsidR="00E51CDD" w:rsidRDefault="00E51CDD" w:rsidP="009938D9">
            <w:pPr>
              <w:widowControl w:val="0"/>
              <w:tabs>
                <w:tab w:val="left" w:pos="720"/>
              </w:tabs>
              <w:jc w:val="center"/>
              <w:rPr>
                <w:sz w:val="16"/>
                <w:szCs w:val="16"/>
                <w:lang w:val="en-GB"/>
              </w:rPr>
            </w:pPr>
            <w:r>
              <w:rPr>
                <w:sz w:val="16"/>
                <w:szCs w:val="16"/>
                <w:lang w:val="de-DE"/>
              </w:rPr>
              <w:t>Small omnivorous bird</w:t>
            </w:r>
          </w:p>
        </w:tc>
        <w:tc>
          <w:tcPr>
            <w:tcW w:w="544" w:type="pct"/>
            <w:tcBorders>
              <w:top w:val="single" w:sz="4" w:space="0" w:color="auto"/>
              <w:left w:val="single" w:sz="4" w:space="0" w:color="auto"/>
              <w:bottom w:val="single" w:sz="4" w:space="0" w:color="auto"/>
              <w:right w:val="single" w:sz="4" w:space="0" w:color="auto"/>
            </w:tcBorders>
            <w:vAlign w:val="center"/>
            <w:hideMark/>
          </w:tcPr>
          <w:p w14:paraId="783357F8" w14:textId="77777777" w:rsidR="00E51CDD" w:rsidRDefault="00E51CDD" w:rsidP="009938D9">
            <w:pPr>
              <w:widowControl w:val="0"/>
              <w:tabs>
                <w:tab w:val="left" w:pos="720"/>
              </w:tabs>
              <w:jc w:val="center"/>
              <w:rPr>
                <w:sz w:val="16"/>
                <w:szCs w:val="16"/>
                <w:lang w:val="en-GB"/>
              </w:rPr>
            </w:pPr>
            <w:r>
              <w:rPr>
                <w:sz w:val="16"/>
                <w:szCs w:val="16"/>
                <w:lang w:val="de-DE"/>
              </w:rPr>
              <w:t>64.8</w:t>
            </w:r>
          </w:p>
        </w:tc>
        <w:tc>
          <w:tcPr>
            <w:tcW w:w="668" w:type="pct"/>
            <w:tcBorders>
              <w:top w:val="single" w:sz="4" w:space="0" w:color="auto"/>
              <w:left w:val="single" w:sz="4" w:space="0" w:color="auto"/>
              <w:bottom w:val="single" w:sz="4" w:space="0" w:color="auto"/>
              <w:right w:val="single" w:sz="4" w:space="0" w:color="auto"/>
            </w:tcBorders>
            <w:vAlign w:val="center"/>
            <w:hideMark/>
          </w:tcPr>
          <w:p w14:paraId="64C2CA77" w14:textId="77777777" w:rsidR="00E51CDD" w:rsidRPr="00E430CC" w:rsidRDefault="00E51CDD" w:rsidP="009938D9">
            <w:pPr>
              <w:widowControl w:val="0"/>
              <w:tabs>
                <w:tab w:val="left" w:pos="720"/>
              </w:tabs>
              <w:jc w:val="center"/>
              <w:rPr>
                <w:sz w:val="16"/>
                <w:szCs w:val="16"/>
                <w:lang w:val="en-GB"/>
              </w:rPr>
            </w:pPr>
            <w:r w:rsidRPr="00E430CC">
              <w:rPr>
                <w:color w:val="000000"/>
                <w:sz w:val="16"/>
                <w:szCs w:val="16"/>
              </w:rPr>
              <w:t>9.72</w:t>
            </w:r>
          </w:p>
        </w:tc>
        <w:tc>
          <w:tcPr>
            <w:tcW w:w="584" w:type="pct"/>
            <w:tcBorders>
              <w:top w:val="single" w:sz="4" w:space="0" w:color="auto"/>
              <w:left w:val="single" w:sz="4" w:space="0" w:color="auto"/>
              <w:bottom w:val="single" w:sz="4" w:space="0" w:color="auto"/>
              <w:right w:val="single" w:sz="4" w:space="0" w:color="auto"/>
            </w:tcBorders>
            <w:vAlign w:val="center"/>
            <w:hideMark/>
          </w:tcPr>
          <w:p w14:paraId="1FDE1D5C" w14:textId="77777777" w:rsidR="00E51CDD" w:rsidRPr="00E430CC" w:rsidRDefault="00E51CDD" w:rsidP="009938D9">
            <w:pPr>
              <w:widowControl w:val="0"/>
              <w:tabs>
                <w:tab w:val="left" w:pos="720"/>
              </w:tabs>
              <w:jc w:val="center"/>
              <w:rPr>
                <w:sz w:val="16"/>
                <w:szCs w:val="16"/>
                <w:lang w:val="en-GB"/>
              </w:rPr>
            </w:pPr>
            <w:r w:rsidRPr="00E430CC">
              <w:rPr>
                <w:color w:val="000000"/>
                <w:sz w:val="16"/>
                <w:szCs w:val="16"/>
              </w:rPr>
              <w:t>1.2</w:t>
            </w:r>
          </w:p>
        </w:tc>
        <w:tc>
          <w:tcPr>
            <w:tcW w:w="737" w:type="pct"/>
            <w:tcBorders>
              <w:top w:val="single" w:sz="4" w:space="0" w:color="auto"/>
              <w:left w:val="single" w:sz="4" w:space="0" w:color="auto"/>
              <w:bottom w:val="single" w:sz="4" w:space="0" w:color="auto"/>
              <w:right w:val="single" w:sz="4" w:space="0" w:color="auto"/>
            </w:tcBorders>
            <w:noWrap/>
            <w:vAlign w:val="center"/>
            <w:hideMark/>
          </w:tcPr>
          <w:p w14:paraId="27191C01" w14:textId="77777777" w:rsidR="00E51CDD" w:rsidRPr="00E430CC" w:rsidRDefault="00E51CDD" w:rsidP="009938D9">
            <w:pPr>
              <w:widowControl w:val="0"/>
              <w:tabs>
                <w:tab w:val="left" w:pos="720"/>
              </w:tabs>
              <w:jc w:val="center"/>
              <w:rPr>
                <w:sz w:val="16"/>
                <w:szCs w:val="16"/>
                <w:lang w:val="en-GB"/>
              </w:rPr>
            </w:pPr>
            <w:r w:rsidRPr="00E430CC">
              <w:rPr>
                <w:color w:val="000000"/>
                <w:sz w:val="16"/>
                <w:szCs w:val="16"/>
              </w:rPr>
              <w:t>6.18</w:t>
            </w:r>
          </w:p>
        </w:tc>
        <w:tc>
          <w:tcPr>
            <w:tcW w:w="664" w:type="pct"/>
            <w:tcBorders>
              <w:top w:val="single" w:sz="4" w:space="0" w:color="auto"/>
              <w:left w:val="single" w:sz="4" w:space="0" w:color="auto"/>
              <w:bottom w:val="single" w:sz="4" w:space="0" w:color="auto"/>
              <w:right w:val="single" w:sz="4" w:space="0" w:color="auto"/>
            </w:tcBorders>
            <w:vAlign w:val="center"/>
            <w:hideMark/>
          </w:tcPr>
          <w:p w14:paraId="09541414" w14:textId="77777777" w:rsidR="00E51CDD" w:rsidRPr="00E430CC" w:rsidRDefault="00E51CDD" w:rsidP="009938D9">
            <w:pPr>
              <w:widowControl w:val="0"/>
              <w:tabs>
                <w:tab w:val="left" w:pos="720"/>
              </w:tabs>
              <w:jc w:val="center"/>
              <w:rPr>
                <w:b/>
                <w:bCs/>
                <w:sz w:val="16"/>
                <w:szCs w:val="16"/>
                <w:lang w:val="en-GB"/>
              </w:rPr>
            </w:pPr>
            <w:r w:rsidRPr="00E430CC">
              <w:rPr>
                <w:color w:val="000000"/>
                <w:sz w:val="16"/>
                <w:szCs w:val="16"/>
              </w:rPr>
              <w:t>18.9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930234" w14:textId="77777777" w:rsidR="00E51CDD" w:rsidRDefault="00E51CDD" w:rsidP="009938D9">
            <w:pPr>
              <w:rPr>
                <w:rFonts w:eastAsia="Batang"/>
                <w:b/>
                <w:bCs/>
                <w:sz w:val="16"/>
                <w:szCs w:val="16"/>
                <w:lang w:val="en-GB" w:eastAsia="zh-CN"/>
              </w:rPr>
            </w:pPr>
          </w:p>
        </w:tc>
      </w:tr>
    </w:tbl>
    <w:p w14:paraId="0039D767" w14:textId="77777777" w:rsidR="00E51CDD" w:rsidRDefault="00E51CDD" w:rsidP="00E51CDD">
      <w:pPr>
        <w:widowControl w:val="0"/>
        <w:jc w:val="both"/>
        <w:rPr>
          <w:rFonts w:eastAsia="Batang"/>
          <w:lang w:val="en-GB" w:eastAsia="zh-CN"/>
        </w:rPr>
      </w:pPr>
    </w:p>
    <w:p w14:paraId="46094C34" w14:textId="77777777" w:rsidR="00E51CDD" w:rsidRDefault="00E51CDD" w:rsidP="00E51CDD">
      <w:pPr>
        <w:widowControl w:val="0"/>
        <w:jc w:val="both"/>
        <w:rPr>
          <w:rFonts w:eastAsia="Batang"/>
          <w:lang w:val="en-GB" w:eastAsia="zh-CN"/>
        </w:rPr>
      </w:pPr>
    </w:p>
    <w:p w14:paraId="6DBD5329" w14:textId="1C9B02AC" w:rsidR="009938D9" w:rsidRDefault="00E51CDD" w:rsidP="00E51CDD">
      <w:pPr>
        <w:widowControl w:val="0"/>
        <w:jc w:val="both"/>
        <w:rPr>
          <w:rFonts w:eastAsia="Batang"/>
          <w:lang w:eastAsia="zh-CN"/>
        </w:rPr>
      </w:pPr>
      <w:r>
        <w:rPr>
          <w:rFonts w:eastAsia="Batang"/>
          <w:lang w:eastAsia="zh-CN"/>
        </w:rPr>
        <w:t xml:space="preserve">The conclusions for the dietary risk assessments for each of the active substances are as follows: acceptable acute and reproductive risks for birds were shown at the screening levels for both </w:t>
      </w:r>
      <w:r>
        <w:t>fluxapyroxad</w:t>
      </w:r>
      <w:r>
        <w:rPr>
          <w:rFonts w:eastAsia="Batang"/>
          <w:lang w:eastAsia="zh-CN"/>
        </w:rPr>
        <w:t xml:space="preserve"> and azoxystrobin. No higher-tier dietary risk assessments are necessary.</w:t>
      </w:r>
    </w:p>
    <w:p w14:paraId="248D16F9" w14:textId="11FCD9CB" w:rsidR="00E51CDD" w:rsidRDefault="009938D9" w:rsidP="009938D9">
      <w:pPr>
        <w:widowControl w:val="0"/>
        <w:jc w:val="both"/>
        <w:rPr>
          <w:lang w:val="en-GB"/>
        </w:rPr>
      </w:pPr>
      <w:r>
        <w:rPr>
          <w:rFonts w:eastAsia="Batang"/>
          <w:lang w:eastAsia="zh-CN"/>
        </w:rPr>
        <w:br w:type="page"/>
      </w:r>
    </w:p>
    <w:p w14:paraId="53B71424" w14:textId="77777777" w:rsidR="00E51CDD" w:rsidRDefault="00E51CDD" w:rsidP="00E51CDD">
      <w:pPr>
        <w:widowControl w:val="0"/>
        <w:tabs>
          <w:tab w:val="left" w:pos="720"/>
        </w:tabs>
        <w:jc w:val="both"/>
        <w:rPr>
          <w:b/>
          <w:lang w:val="en-GB"/>
        </w:rPr>
      </w:pPr>
      <w:r>
        <w:rPr>
          <w:b/>
          <w:u w:val="single"/>
          <w:lang w:val="en-GB"/>
        </w:rPr>
        <w:lastRenderedPageBreak/>
        <w:t>Dietary risk assessment for combined effects of simultaneous exposure to several active substances</w:t>
      </w:r>
    </w:p>
    <w:p w14:paraId="318C8012" w14:textId="77777777" w:rsidR="00E51CDD" w:rsidRDefault="00E51CDD" w:rsidP="00E51CDD">
      <w:pPr>
        <w:widowControl w:val="0"/>
        <w:tabs>
          <w:tab w:val="left" w:pos="720"/>
        </w:tabs>
        <w:jc w:val="both"/>
        <w:rPr>
          <w:b/>
          <w:lang w:val="en-GB"/>
        </w:rPr>
      </w:pPr>
    </w:p>
    <w:p w14:paraId="761A07F4" w14:textId="77777777" w:rsidR="00E51CDD" w:rsidRDefault="00E51CDD" w:rsidP="00E51CDD">
      <w:pPr>
        <w:widowControl w:val="0"/>
        <w:tabs>
          <w:tab w:val="left" w:pos="720"/>
        </w:tabs>
        <w:jc w:val="both"/>
        <w:rPr>
          <w:b/>
          <w:iCs/>
          <w:lang w:val="en-GB"/>
        </w:rPr>
      </w:pPr>
      <w:r>
        <w:rPr>
          <w:b/>
          <w:iCs/>
          <w:lang w:val="en-GB"/>
        </w:rPr>
        <w:t xml:space="preserve">Combined acute toxicity </w:t>
      </w:r>
    </w:p>
    <w:p w14:paraId="5FB01E8A" w14:textId="77777777" w:rsidR="00E51CDD" w:rsidRDefault="00E51CDD" w:rsidP="00E51CDD">
      <w:pPr>
        <w:widowControl w:val="0"/>
        <w:tabs>
          <w:tab w:val="left" w:pos="720"/>
        </w:tabs>
        <w:jc w:val="both"/>
        <w:rPr>
          <w:lang w:val="en-GB"/>
        </w:rPr>
      </w:pPr>
    </w:p>
    <w:p w14:paraId="02907A90" w14:textId="77777777" w:rsidR="00E51CDD" w:rsidRDefault="00E51CDD" w:rsidP="00E51CDD">
      <w:pPr>
        <w:widowControl w:val="0"/>
        <w:tabs>
          <w:tab w:val="left" w:pos="720"/>
        </w:tabs>
        <w:jc w:val="both"/>
      </w:pPr>
      <w:r>
        <w:t xml:space="preserve">According to EFSA/2009/1438 section 2.5, this assessment is relevant for </w:t>
      </w:r>
      <w:r>
        <w:rPr>
          <w:lang w:val="en-GB"/>
        </w:rPr>
        <w:t>BAS 736 00 F</w:t>
      </w:r>
      <w:r>
        <w:rPr>
          <w:szCs w:val="24"/>
          <w:lang w:val="en-GB"/>
        </w:rPr>
        <w:t xml:space="preserve"> </w:t>
      </w:r>
      <w:r>
        <w:t xml:space="preserve">because this formulation contains more than one active substance. </w:t>
      </w:r>
    </w:p>
    <w:p w14:paraId="7BBAA566" w14:textId="77777777" w:rsidR="00E51CDD" w:rsidRDefault="00E51CDD" w:rsidP="00E51CDD">
      <w:pPr>
        <w:widowControl w:val="0"/>
        <w:tabs>
          <w:tab w:val="left" w:pos="720"/>
        </w:tabs>
        <w:jc w:val="both"/>
      </w:pPr>
    </w:p>
    <w:p w14:paraId="42683803" w14:textId="02E11737" w:rsidR="00E51CDD" w:rsidRDefault="00E51CDD" w:rsidP="00E51CDD">
      <w:pPr>
        <w:widowControl w:val="0"/>
        <w:tabs>
          <w:tab w:val="left" w:pos="720"/>
        </w:tabs>
        <w:jc w:val="both"/>
        <w:rPr>
          <w:szCs w:val="24"/>
          <w:lang w:val="en-GB"/>
        </w:rPr>
      </w:pPr>
      <w:r>
        <w:t>Following Appendix B (step 1) in EFSA/2009/1438 a surrogate LD</w:t>
      </w:r>
      <w:r>
        <w:rPr>
          <w:vertAlign w:val="subscript"/>
        </w:rPr>
        <w:t>50</w:t>
      </w:r>
      <w:r>
        <w:t xml:space="preserve"> </w:t>
      </w:r>
      <w:r w:rsidRPr="00CD4A40">
        <w:rPr>
          <w:strike/>
          <w:color w:val="D9D9D9" w:themeColor="background1" w:themeShade="D9"/>
        </w:rPr>
        <w:t xml:space="preserve">= </w:t>
      </w:r>
      <w:r w:rsidRPr="00CD4A40">
        <w:rPr>
          <w:strike/>
          <w:color w:val="D9D9D9" w:themeColor="background1" w:themeShade="D9"/>
          <w:szCs w:val="24"/>
          <w:lang w:val="en-GB"/>
        </w:rPr>
        <w:t>2463.5</w:t>
      </w:r>
      <w:r w:rsidR="008C5828" w:rsidRPr="00CD4A40">
        <w:rPr>
          <w:color w:val="D9D9D9" w:themeColor="background1" w:themeShade="D9"/>
          <w:szCs w:val="24"/>
          <w:lang w:val="en-GB"/>
        </w:rPr>
        <w:t xml:space="preserve"> </w:t>
      </w:r>
      <w:r w:rsidR="008C5828" w:rsidRPr="00CD4A40">
        <w:rPr>
          <w:szCs w:val="24"/>
          <w:shd w:val="clear" w:color="auto" w:fill="D9D9D9" w:themeFill="background1" w:themeFillShade="D9"/>
          <w:lang w:val="en-GB"/>
        </w:rPr>
        <w:t>&gt; 2000</w:t>
      </w:r>
      <w:r>
        <w:rPr>
          <w:szCs w:val="24"/>
          <w:lang w:val="en-GB"/>
        </w:rPr>
        <w:t> mg/kg b.w.</w:t>
      </w:r>
      <w:r>
        <w:t xml:space="preserve"> is calculated based on the assumption of dose additivity (</w:t>
      </w:r>
      <w:fldSimple w:instr=" REF _Ref439853747  \* MERGEFORMAT ">
        <w:r w:rsidR="00662F32" w:rsidRPr="00662F32">
          <w:t xml:space="preserve">Table </w:t>
        </w:r>
        <w:r w:rsidR="00662F32" w:rsidRPr="00662F32">
          <w:rPr>
            <w:noProof/>
          </w:rPr>
          <w:t>9.2</w:t>
        </w:r>
        <w:r w:rsidR="00662F32" w:rsidRPr="00662F32">
          <w:rPr>
            <w:noProof/>
          </w:rPr>
          <w:noBreakHyphen/>
          <w:t>8</w:t>
        </w:r>
      </w:fldSimple>
      <w:r>
        <w:t xml:space="preserve">). </w:t>
      </w:r>
      <w:r>
        <w:rPr>
          <w:szCs w:val="24"/>
          <w:lang w:val="en-GB"/>
        </w:rPr>
        <w:t xml:space="preserve">A combined acute risk assessment is not required if for one active substance the deviation between ‘tox per fraction (a.s.)’ and ‘tox per fraction (mix)’ is ≤ 10% as in that case the risk is covered by the assessment for that active substance. For </w:t>
      </w:r>
      <w:r>
        <w:rPr>
          <w:lang w:val="en-GB"/>
        </w:rPr>
        <w:t>BAS 736 00 F</w:t>
      </w:r>
      <w:r>
        <w:rPr>
          <w:szCs w:val="24"/>
          <w:lang w:val="en-GB"/>
        </w:rPr>
        <w:t xml:space="preserve"> this does not apply because the deviation for both active substances is more than 10% (</w:t>
      </w:r>
      <w:r>
        <w:rPr>
          <w:szCs w:val="24"/>
          <w:lang w:val="en-GB"/>
        </w:rPr>
        <w:fldChar w:fldCharType="begin"/>
      </w:r>
      <w:r>
        <w:rPr>
          <w:szCs w:val="24"/>
          <w:lang w:val="en-GB"/>
        </w:rPr>
        <w:instrText xml:space="preserve"> REF _Ref439853747  \* MERGEFORMAT </w:instrText>
      </w:r>
      <w:r>
        <w:rPr>
          <w:szCs w:val="24"/>
          <w:lang w:val="en-GB"/>
        </w:rPr>
        <w:fldChar w:fldCharType="separate"/>
      </w:r>
      <w:r w:rsidR="00662F32" w:rsidRPr="00662F32">
        <w:t xml:space="preserve">Table </w:t>
      </w:r>
      <w:r w:rsidR="00662F32" w:rsidRPr="00662F32">
        <w:rPr>
          <w:noProof/>
        </w:rPr>
        <w:t>9.2</w:t>
      </w:r>
      <w:r w:rsidR="00662F32" w:rsidRPr="00662F32">
        <w:rPr>
          <w:noProof/>
        </w:rPr>
        <w:noBreakHyphen/>
        <w:t>8</w:t>
      </w:r>
      <w:r>
        <w:rPr>
          <w:szCs w:val="24"/>
          <w:lang w:val="en-GB"/>
        </w:rPr>
        <w:fldChar w:fldCharType="end"/>
      </w:r>
      <w:r>
        <w:rPr>
          <w:szCs w:val="24"/>
          <w:lang w:val="en-GB"/>
        </w:rPr>
        <w:t xml:space="preserve">). </w:t>
      </w:r>
    </w:p>
    <w:p w14:paraId="3339A288" w14:textId="0AF6D669" w:rsidR="00E51CDD" w:rsidRDefault="00E51CDD" w:rsidP="00E51CDD">
      <w:pPr>
        <w:keepNext/>
        <w:keepLines/>
        <w:widowControl w:val="0"/>
        <w:tabs>
          <w:tab w:val="left" w:pos="1980"/>
        </w:tabs>
        <w:spacing w:before="200" w:after="120"/>
        <w:ind w:left="1980" w:hanging="1980"/>
        <w:jc w:val="both"/>
        <w:rPr>
          <w:b/>
          <w:bCs/>
          <w:lang w:val="en-GB"/>
        </w:rPr>
      </w:pPr>
      <w:bookmarkStart w:id="212" w:name="_Ref439853747"/>
      <w:r>
        <w:rPr>
          <w:b/>
          <w:bCs/>
          <w:lang w:val="en-GB"/>
        </w:rPr>
        <w:t xml:space="preserve">Table </w:t>
      </w:r>
      <w:r>
        <w:fldChar w:fldCharType="begin"/>
      </w:r>
      <w:r>
        <w:rPr>
          <w:b/>
          <w:bCs/>
          <w:lang w:val="en-GB"/>
        </w:rPr>
        <w:instrText xml:space="preserve"> STYLEREF 2 \s </w:instrText>
      </w:r>
      <w:r>
        <w:fldChar w:fldCharType="separate"/>
      </w:r>
      <w:r w:rsidR="00662F32">
        <w:rPr>
          <w:b/>
          <w:bCs/>
          <w:noProof/>
          <w:lang w:val="en-GB"/>
        </w:rPr>
        <w:t>9.2</w:t>
      </w:r>
      <w:r>
        <w:fldChar w:fldCharType="end"/>
      </w:r>
      <w:r>
        <w:rPr>
          <w:b/>
          <w:bCs/>
          <w:lang w:val="en-GB"/>
        </w:rPr>
        <w:noBreakHyphen/>
      </w:r>
      <w:r>
        <w:fldChar w:fldCharType="begin"/>
      </w:r>
      <w:r>
        <w:rPr>
          <w:b/>
          <w:bCs/>
          <w:lang w:val="en-GB"/>
        </w:rPr>
        <w:instrText xml:space="preserve"> SEQ Table \* ARABIC \s 2 </w:instrText>
      </w:r>
      <w:r>
        <w:fldChar w:fldCharType="separate"/>
      </w:r>
      <w:r w:rsidR="00662F32">
        <w:rPr>
          <w:b/>
          <w:bCs/>
          <w:noProof/>
          <w:lang w:val="en-GB"/>
        </w:rPr>
        <w:t>8</w:t>
      </w:r>
      <w:r>
        <w:fldChar w:fldCharType="end"/>
      </w:r>
      <w:bookmarkEnd w:id="212"/>
      <w:r>
        <w:rPr>
          <w:b/>
          <w:bCs/>
          <w:lang w:val="en-GB"/>
        </w:rPr>
        <w:t xml:space="preserve">: </w:t>
      </w:r>
      <w:r>
        <w:rPr>
          <w:b/>
          <w:bCs/>
          <w:lang w:val="en-GB"/>
        </w:rPr>
        <w:tab/>
        <w:t>Calculation of surrogate LD</w:t>
      </w:r>
      <w:r>
        <w:rPr>
          <w:b/>
          <w:bCs/>
          <w:vertAlign w:val="subscript"/>
          <w:lang w:val="en-GB"/>
        </w:rPr>
        <w:t>50</w:t>
      </w:r>
      <w:r>
        <w:rPr>
          <w:b/>
          <w:bCs/>
          <w:lang w:val="en-GB"/>
        </w:rPr>
        <w:t xml:space="preserve"> for the mixture of active substances</w:t>
      </w:r>
    </w:p>
    <w:tbl>
      <w:tblPr>
        <w:tblW w:w="5000" w:type="pct"/>
        <w:tblLayout w:type="fixed"/>
        <w:tblLook w:val="0020" w:firstRow="1" w:lastRow="0" w:firstColumn="0" w:lastColumn="0" w:noHBand="0" w:noVBand="0"/>
      </w:tblPr>
      <w:tblGrid>
        <w:gridCol w:w="1339"/>
        <w:gridCol w:w="1142"/>
        <w:gridCol w:w="966"/>
        <w:gridCol w:w="1138"/>
        <w:gridCol w:w="1079"/>
        <w:gridCol w:w="1352"/>
        <w:gridCol w:w="910"/>
        <w:gridCol w:w="1421"/>
      </w:tblGrid>
      <w:tr w:rsidR="00E51CDD" w14:paraId="37B9F1CD" w14:textId="77777777" w:rsidTr="009938D9">
        <w:trPr>
          <w:trHeight w:val="974"/>
        </w:trPr>
        <w:tc>
          <w:tcPr>
            <w:tcW w:w="716" w:type="pct"/>
            <w:tcBorders>
              <w:top w:val="single" w:sz="4" w:space="0" w:color="auto"/>
              <w:left w:val="single" w:sz="4" w:space="0" w:color="auto"/>
              <w:bottom w:val="single" w:sz="4" w:space="0" w:color="auto"/>
              <w:right w:val="single" w:sz="6" w:space="0" w:color="000000"/>
            </w:tcBorders>
            <w:vAlign w:val="center"/>
            <w:hideMark/>
          </w:tcPr>
          <w:p w14:paraId="451D1445" w14:textId="77777777" w:rsidR="00E51CDD" w:rsidRPr="00BB1FB9" w:rsidRDefault="00E51CDD" w:rsidP="009938D9">
            <w:pPr>
              <w:keepNext/>
              <w:tabs>
                <w:tab w:val="left" w:pos="720"/>
              </w:tabs>
              <w:jc w:val="center"/>
              <w:rPr>
                <w:b/>
                <w:sz w:val="20"/>
                <w:szCs w:val="20"/>
                <w:lang w:val="en-GB"/>
              </w:rPr>
            </w:pPr>
            <w:r w:rsidRPr="00BB1FB9">
              <w:rPr>
                <w:b/>
                <w:sz w:val="20"/>
                <w:szCs w:val="20"/>
                <w:lang w:val="en-GB"/>
              </w:rPr>
              <w:t xml:space="preserve">Active </w:t>
            </w:r>
          </w:p>
          <w:p w14:paraId="079F853E" w14:textId="77777777" w:rsidR="00E51CDD" w:rsidRPr="00BB1FB9" w:rsidRDefault="00E51CDD" w:rsidP="009938D9">
            <w:pPr>
              <w:keepNext/>
              <w:tabs>
                <w:tab w:val="left" w:pos="720"/>
              </w:tabs>
              <w:jc w:val="center"/>
              <w:rPr>
                <w:b/>
                <w:sz w:val="20"/>
                <w:szCs w:val="20"/>
                <w:lang w:val="en-GB"/>
              </w:rPr>
            </w:pPr>
            <w:r w:rsidRPr="00BB1FB9">
              <w:rPr>
                <w:b/>
                <w:sz w:val="20"/>
                <w:szCs w:val="20"/>
                <w:lang w:val="en-GB"/>
              </w:rPr>
              <w:t>substance</w:t>
            </w:r>
          </w:p>
        </w:tc>
        <w:tc>
          <w:tcPr>
            <w:tcW w:w="611" w:type="pct"/>
            <w:tcBorders>
              <w:top w:val="single" w:sz="4" w:space="0" w:color="auto"/>
              <w:left w:val="single" w:sz="6" w:space="0" w:color="000000"/>
              <w:bottom w:val="single" w:sz="4" w:space="0" w:color="auto"/>
              <w:right w:val="single" w:sz="6" w:space="0" w:color="000000"/>
            </w:tcBorders>
            <w:vAlign w:val="center"/>
            <w:hideMark/>
          </w:tcPr>
          <w:p w14:paraId="0DC75DC3" w14:textId="77777777" w:rsidR="00E51CDD" w:rsidRPr="00BB1FB9" w:rsidRDefault="00E51CDD" w:rsidP="009938D9">
            <w:pPr>
              <w:keepNext/>
              <w:tabs>
                <w:tab w:val="left" w:pos="720"/>
              </w:tabs>
              <w:jc w:val="center"/>
              <w:rPr>
                <w:b/>
                <w:sz w:val="20"/>
                <w:szCs w:val="20"/>
                <w:lang w:val="en-GB"/>
              </w:rPr>
            </w:pPr>
            <w:r w:rsidRPr="00BB1FB9">
              <w:rPr>
                <w:b/>
                <w:sz w:val="20"/>
                <w:szCs w:val="20"/>
                <w:lang w:val="en-GB"/>
              </w:rPr>
              <w:t>Concentration a.s. in mixture</w:t>
            </w:r>
          </w:p>
          <w:p w14:paraId="3464CB32" w14:textId="77777777" w:rsidR="00E51CDD" w:rsidRPr="00BB1FB9" w:rsidRDefault="00E51CDD" w:rsidP="009938D9">
            <w:pPr>
              <w:keepNext/>
              <w:tabs>
                <w:tab w:val="left" w:pos="720"/>
              </w:tabs>
              <w:jc w:val="center"/>
              <w:rPr>
                <w:b/>
                <w:sz w:val="20"/>
                <w:szCs w:val="20"/>
                <w:lang w:val="en-GB"/>
              </w:rPr>
            </w:pPr>
            <w:r w:rsidRPr="00BB1FB9">
              <w:rPr>
                <w:b/>
                <w:sz w:val="20"/>
                <w:szCs w:val="20"/>
                <w:lang w:val="en-GB"/>
              </w:rPr>
              <w:t xml:space="preserve">[g/L] </w:t>
            </w:r>
          </w:p>
        </w:tc>
        <w:tc>
          <w:tcPr>
            <w:tcW w:w="517" w:type="pct"/>
            <w:tcBorders>
              <w:top w:val="single" w:sz="4" w:space="0" w:color="auto"/>
              <w:left w:val="single" w:sz="6" w:space="0" w:color="000000"/>
              <w:bottom w:val="single" w:sz="4" w:space="0" w:color="auto"/>
              <w:right w:val="single" w:sz="6" w:space="0" w:color="000000"/>
            </w:tcBorders>
            <w:vAlign w:val="center"/>
            <w:hideMark/>
          </w:tcPr>
          <w:p w14:paraId="19D41056" w14:textId="77777777" w:rsidR="00E51CDD" w:rsidRPr="00BB1FB9" w:rsidRDefault="00E51CDD" w:rsidP="009938D9">
            <w:pPr>
              <w:keepNext/>
              <w:tabs>
                <w:tab w:val="left" w:pos="720"/>
              </w:tabs>
              <w:jc w:val="center"/>
              <w:rPr>
                <w:b/>
                <w:sz w:val="20"/>
                <w:szCs w:val="20"/>
                <w:lang w:val="en-GB"/>
              </w:rPr>
            </w:pPr>
            <w:r w:rsidRPr="00BB1FB9">
              <w:rPr>
                <w:b/>
                <w:sz w:val="20"/>
                <w:szCs w:val="20"/>
                <w:lang w:val="en-GB"/>
              </w:rPr>
              <w:t>Fraction a.s. in mixture</w:t>
            </w:r>
          </w:p>
        </w:tc>
        <w:tc>
          <w:tcPr>
            <w:tcW w:w="609" w:type="pct"/>
            <w:tcBorders>
              <w:top w:val="single" w:sz="4" w:space="0" w:color="auto"/>
              <w:left w:val="single" w:sz="6" w:space="0" w:color="000000"/>
              <w:bottom w:val="single" w:sz="4" w:space="0" w:color="auto"/>
              <w:right w:val="single" w:sz="6" w:space="0" w:color="000000"/>
            </w:tcBorders>
            <w:noWrap/>
            <w:vAlign w:val="center"/>
            <w:hideMark/>
          </w:tcPr>
          <w:p w14:paraId="77837E8B" w14:textId="77777777" w:rsidR="00E51CDD" w:rsidRPr="00BB1FB9" w:rsidRDefault="00E51CDD" w:rsidP="009938D9">
            <w:pPr>
              <w:keepNext/>
              <w:tabs>
                <w:tab w:val="left" w:pos="720"/>
              </w:tabs>
              <w:jc w:val="center"/>
              <w:rPr>
                <w:b/>
                <w:sz w:val="20"/>
                <w:szCs w:val="20"/>
                <w:vertAlign w:val="superscript"/>
                <w:lang w:val="en-GB"/>
              </w:rPr>
            </w:pPr>
            <w:r w:rsidRPr="00BB1FB9">
              <w:rPr>
                <w:b/>
                <w:sz w:val="20"/>
                <w:szCs w:val="20"/>
                <w:lang w:val="en-GB"/>
              </w:rPr>
              <w:t>LD</w:t>
            </w:r>
            <w:r w:rsidRPr="00BB1FB9">
              <w:rPr>
                <w:b/>
                <w:sz w:val="20"/>
                <w:szCs w:val="20"/>
                <w:vertAlign w:val="subscript"/>
                <w:lang w:val="en-GB"/>
              </w:rPr>
              <w:t>50</w:t>
            </w:r>
            <w:r w:rsidRPr="00BB1FB9">
              <w:rPr>
                <w:b/>
                <w:sz w:val="20"/>
                <w:szCs w:val="20"/>
                <w:lang w:val="en-GB"/>
              </w:rPr>
              <w:t xml:space="preserve"> a.s.</w:t>
            </w:r>
          </w:p>
          <w:p w14:paraId="0A9A8965" w14:textId="77777777" w:rsidR="00E51CDD" w:rsidRPr="00BB1FB9" w:rsidRDefault="00E51CDD" w:rsidP="009938D9">
            <w:pPr>
              <w:keepNext/>
              <w:tabs>
                <w:tab w:val="left" w:pos="720"/>
              </w:tabs>
              <w:jc w:val="center"/>
              <w:rPr>
                <w:b/>
                <w:sz w:val="20"/>
                <w:szCs w:val="20"/>
                <w:lang w:val="en-GB"/>
              </w:rPr>
            </w:pPr>
            <w:r w:rsidRPr="00BB1FB9">
              <w:rPr>
                <w:b/>
                <w:sz w:val="20"/>
                <w:szCs w:val="20"/>
                <w:lang w:val="en-GB"/>
              </w:rPr>
              <w:t>[mg/kg b</w:t>
            </w:r>
            <w:r>
              <w:rPr>
                <w:b/>
                <w:sz w:val="20"/>
                <w:szCs w:val="20"/>
                <w:lang w:val="en-GB"/>
              </w:rPr>
              <w:t>.</w:t>
            </w:r>
            <w:r w:rsidRPr="00BB1FB9">
              <w:rPr>
                <w:b/>
                <w:sz w:val="20"/>
                <w:szCs w:val="20"/>
                <w:lang w:val="en-GB"/>
              </w:rPr>
              <w:t>w</w:t>
            </w:r>
            <w:r>
              <w:rPr>
                <w:b/>
                <w:sz w:val="20"/>
                <w:szCs w:val="20"/>
                <w:lang w:val="en-GB"/>
              </w:rPr>
              <w:t>.</w:t>
            </w:r>
            <w:r w:rsidRPr="00BB1FB9">
              <w:rPr>
                <w:b/>
                <w:sz w:val="20"/>
                <w:szCs w:val="20"/>
                <w:lang w:val="en-GB"/>
              </w:rPr>
              <w:t>]</w:t>
            </w:r>
          </w:p>
        </w:tc>
        <w:tc>
          <w:tcPr>
            <w:tcW w:w="577" w:type="pct"/>
            <w:tcBorders>
              <w:top w:val="single" w:sz="4" w:space="0" w:color="auto"/>
              <w:left w:val="single" w:sz="6" w:space="0" w:color="000000"/>
              <w:bottom w:val="single" w:sz="4" w:space="0" w:color="auto"/>
              <w:right w:val="single" w:sz="6" w:space="0" w:color="000000"/>
            </w:tcBorders>
            <w:vAlign w:val="center"/>
            <w:hideMark/>
          </w:tcPr>
          <w:p w14:paraId="65959492" w14:textId="77777777" w:rsidR="00E51CDD" w:rsidRPr="00BB1FB9" w:rsidRDefault="00E51CDD" w:rsidP="009938D9">
            <w:pPr>
              <w:keepNext/>
              <w:tabs>
                <w:tab w:val="left" w:pos="720"/>
              </w:tabs>
              <w:jc w:val="center"/>
              <w:rPr>
                <w:b/>
                <w:sz w:val="20"/>
                <w:szCs w:val="20"/>
                <w:lang w:val="en-GB"/>
              </w:rPr>
            </w:pPr>
            <w:r w:rsidRPr="00BB1FB9">
              <w:rPr>
                <w:b/>
                <w:sz w:val="20"/>
                <w:szCs w:val="20"/>
                <w:lang w:val="en-GB"/>
              </w:rPr>
              <w:t>Fraction a.s./</w:t>
            </w:r>
          </w:p>
          <w:p w14:paraId="36719DAD" w14:textId="77777777" w:rsidR="00E51CDD" w:rsidRPr="00BB1FB9" w:rsidRDefault="00E51CDD" w:rsidP="009938D9">
            <w:pPr>
              <w:keepNext/>
              <w:tabs>
                <w:tab w:val="left" w:pos="720"/>
              </w:tabs>
              <w:jc w:val="center"/>
              <w:rPr>
                <w:b/>
                <w:sz w:val="20"/>
                <w:szCs w:val="20"/>
                <w:vertAlign w:val="superscript"/>
                <w:lang w:val="en-GB"/>
              </w:rPr>
            </w:pPr>
            <w:r w:rsidRPr="00BB1FB9">
              <w:rPr>
                <w:b/>
                <w:sz w:val="20"/>
                <w:szCs w:val="20"/>
                <w:lang w:val="en-GB"/>
              </w:rPr>
              <w:t>LD</w:t>
            </w:r>
            <w:r w:rsidRPr="00BB1FB9">
              <w:rPr>
                <w:b/>
                <w:sz w:val="20"/>
                <w:szCs w:val="20"/>
                <w:vertAlign w:val="subscript"/>
                <w:lang w:val="en-GB"/>
              </w:rPr>
              <w:t xml:space="preserve">50 </w:t>
            </w:r>
            <w:r w:rsidRPr="00BB1FB9">
              <w:rPr>
                <w:b/>
                <w:sz w:val="20"/>
                <w:szCs w:val="20"/>
                <w:lang w:val="en-GB"/>
              </w:rPr>
              <w:t>a.s.</w:t>
            </w:r>
          </w:p>
        </w:tc>
        <w:tc>
          <w:tcPr>
            <w:tcW w:w="723" w:type="pct"/>
            <w:tcBorders>
              <w:top w:val="single" w:sz="4" w:space="0" w:color="auto"/>
              <w:left w:val="single" w:sz="6" w:space="0" w:color="000000"/>
              <w:bottom w:val="single" w:sz="4" w:space="0" w:color="auto"/>
              <w:right w:val="single" w:sz="4" w:space="0" w:color="auto"/>
            </w:tcBorders>
            <w:noWrap/>
            <w:vAlign w:val="center"/>
            <w:hideMark/>
          </w:tcPr>
          <w:p w14:paraId="3FBABA42" w14:textId="77777777" w:rsidR="00E51CDD" w:rsidRPr="007330A6" w:rsidRDefault="00E51CDD" w:rsidP="009938D9">
            <w:pPr>
              <w:keepNext/>
              <w:tabs>
                <w:tab w:val="left" w:pos="720"/>
              </w:tabs>
              <w:jc w:val="center"/>
              <w:rPr>
                <w:b/>
                <w:sz w:val="20"/>
                <w:szCs w:val="20"/>
                <w:vertAlign w:val="superscript"/>
                <w:lang w:val="fr-FR"/>
              </w:rPr>
            </w:pPr>
            <w:r w:rsidRPr="007330A6">
              <w:rPr>
                <w:b/>
                <w:sz w:val="20"/>
                <w:szCs w:val="20"/>
                <w:lang w:val="fr-FR"/>
              </w:rPr>
              <w:t>Surrogate LD</w:t>
            </w:r>
            <w:r w:rsidRPr="007330A6">
              <w:rPr>
                <w:b/>
                <w:sz w:val="20"/>
                <w:szCs w:val="20"/>
                <w:vertAlign w:val="subscript"/>
                <w:lang w:val="fr-FR"/>
              </w:rPr>
              <w:t>50</w:t>
            </w:r>
          </w:p>
          <w:p w14:paraId="79884998" w14:textId="77777777" w:rsidR="00E51CDD" w:rsidRPr="007330A6" w:rsidRDefault="00E51CDD" w:rsidP="009938D9">
            <w:pPr>
              <w:keepNext/>
              <w:tabs>
                <w:tab w:val="left" w:pos="720"/>
              </w:tabs>
              <w:jc w:val="center"/>
              <w:rPr>
                <w:b/>
                <w:sz w:val="20"/>
                <w:szCs w:val="20"/>
                <w:vertAlign w:val="superscript"/>
                <w:lang w:val="fr-FR"/>
              </w:rPr>
            </w:pPr>
            <w:r w:rsidRPr="007330A6">
              <w:rPr>
                <w:b/>
                <w:sz w:val="20"/>
                <w:szCs w:val="20"/>
                <w:lang w:val="fr-FR"/>
              </w:rPr>
              <w:t>[mg/kg b.w.]</w:t>
            </w:r>
          </w:p>
        </w:tc>
        <w:tc>
          <w:tcPr>
            <w:tcW w:w="487" w:type="pct"/>
            <w:tcBorders>
              <w:top w:val="single" w:sz="4" w:space="0" w:color="auto"/>
              <w:left w:val="single" w:sz="6" w:space="0" w:color="000000"/>
              <w:bottom w:val="single" w:sz="4" w:space="0" w:color="auto"/>
              <w:right w:val="single" w:sz="4" w:space="0" w:color="auto"/>
            </w:tcBorders>
            <w:vAlign w:val="center"/>
            <w:hideMark/>
          </w:tcPr>
          <w:p w14:paraId="7C7C4154" w14:textId="77777777" w:rsidR="00E51CDD" w:rsidRPr="00BB1FB9" w:rsidRDefault="00E51CDD" w:rsidP="009938D9">
            <w:pPr>
              <w:keepNext/>
              <w:tabs>
                <w:tab w:val="left" w:pos="720"/>
              </w:tabs>
              <w:jc w:val="center"/>
              <w:rPr>
                <w:b/>
                <w:sz w:val="20"/>
                <w:szCs w:val="20"/>
                <w:lang w:val="en-GB"/>
              </w:rPr>
            </w:pPr>
            <w:r w:rsidRPr="00BB1FB9">
              <w:rPr>
                <w:b/>
                <w:sz w:val="20"/>
                <w:szCs w:val="20"/>
                <w:lang w:val="en-GB"/>
              </w:rPr>
              <w:t>Tox per fraction (a.s.)</w:t>
            </w:r>
          </w:p>
        </w:tc>
        <w:tc>
          <w:tcPr>
            <w:tcW w:w="760" w:type="pct"/>
            <w:tcBorders>
              <w:top w:val="single" w:sz="4" w:space="0" w:color="auto"/>
              <w:left w:val="single" w:sz="6" w:space="0" w:color="000000"/>
              <w:bottom w:val="single" w:sz="4" w:space="0" w:color="auto"/>
              <w:right w:val="single" w:sz="4" w:space="0" w:color="auto"/>
            </w:tcBorders>
            <w:vAlign w:val="center"/>
            <w:hideMark/>
          </w:tcPr>
          <w:p w14:paraId="45E3301F" w14:textId="77777777" w:rsidR="00E51CDD" w:rsidRPr="00BB1FB9" w:rsidRDefault="00E51CDD" w:rsidP="009938D9">
            <w:pPr>
              <w:keepNext/>
              <w:tabs>
                <w:tab w:val="left" w:pos="720"/>
              </w:tabs>
              <w:jc w:val="center"/>
              <w:rPr>
                <w:b/>
                <w:sz w:val="20"/>
                <w:szCs w:val="20"/>
                <w:lang w:val="en-GB"/>
              </w:rPr>
            </w:pPr>
            <w:r w:rsidRPr="00BB1FB9">
              <w:rPr>
                <w:b/>
                <w:sz w:val="20"/>
                <w:szCs w:val="20"/>
                <w:lang w:val="en-GB"/>
              </w:rPr>
              <w:t>Deviation tox per fraction (a.s.) and tox per fraction (mix)</w:t>
            </w:r>
            <w:r w:rsidRPr="00BB1FB9">
              <w:rPr>
                <w:b/>
                <w:sz w:val="20"/>
                <w:szCs w:val="20"/>
                <w:vertAlign w:val="superscript"/>
                <w:lang w:val="en-GB"/>
              </w:rPr>
              <w:t xml:space="preserve"> </w:t>
            </w:r>
            <w:r w:rsidRPr="00BB1FB9">
              <w:rPr>
                <w:b/>
                <w:sz w:val="20"/>
                <w:szCs w:val="20"/>
                <w:lang w:val="en-GB"/>
              </w:rPr>
              <w:t>[%]</w:t>
            </w:r>
          </w:p>
        </w:tc>
      </w:tr>
      <w:tr w:rsidR="00E51CDD" w14:paraId="337DE583" w14:textId="77777777" w:rsidTr="009938D9">
        <w:trPr>
          <w:trHeight w:val="455"/>
        </w:trPr>
        <w:tc>
          <w:tcPr>
            <w:tcW w:w="716" w:type="pct"/>
            <w:tcBorders>
              <w:top w:val="single" w:sz="4" w:space="0" w:color="auto"/>
              <w:left w:val="single" w:sz="4" w:space="0" w:color="auto"/>
              <w:bottom w:val="single" w:sz="6" w:space="0" w:color="000000"/>
              <w:right w:val="single" w:sz="6" w:space="0" w:color="000000"/>
            </w:tcBorders>
            <w:vAlign w:val="center"/>
            <w:hideMark/>
          </w:tcPr>
          <w:p w14:paraId="737E0575" w14:textId="77777777" w:rsidR="00E51CDD" w:rsidRPr="00BB1FB9" w:rsidRDefault="00E51CDD" w:rsidP="009938D9">
            <w:pPr>
              <w:keepNext/>
              <w:tabs>
                <w:tab w:val="left" w:pos="720"/>
              </w:tabs>
              <w:jc w:val="center"/>
              <w:rPr>
                <w:bCs/>
                <w:sz w:val="20"/>
                <w:szCs w:val="20"/>
                <w:lang w:val="en-GB"/>
              </w:rPr>
            </w:pPr>
            <w:r w:rsidRPr="00BB1FB9">
              <w:rPr>
                <w:sz w:val="20"/>
                <w:szCs w:val="20"/>
                <w:lang w:val="en-GB"/>
              </w:rPr>
              <w:t>Fluxapyroxad</w:t>
            </w:r>
          </w:p>
        </w:tc>
        <w:tc>
          <w:tcPr>
            <w:tcW w:w="611" w:type="pct"/>
            <w:tcBorders>
              <w:top w:val="single" w:sz="4" w:space="0" w:color="auto"/>
              <w:left w:val="single" w:sz="6" w:space="0" w:color="000000"/>
              <w:bottom w:val="single" w:sz="6" w:space="0" w:color="000000"/>
              <w:right w:val="single" w:sz="6" w:space="0" w:color="000000"/>
            </w:tcBorders>
            <w:vAlign w:val="center"/>
            <w:hideMark/>
          </w:tcPr>
          <w:p w14:paraId="44A45E5A" w14:textId="77777777" w:rsidR="00E51CDD" w:rsidRPr="00BB1FB9" w:rsidRDefault="00E51CDD" w:rsidP="009938D9">
            <w:pPr>
              <w:keepNext/>
              <w:jc w:val="center"/>
              <w:rPr>
                <w:rFonts w:eastAsia="SimSun"/>
                <w:bCs/>
                <w:sz w:val="20"/>
                <w:szCs w:val="20"/>
                <w:lang w:val="en-GB" w:eastAsia="zh-CN"/>
              </w:rPr>
            </w:pPr>
            <w:r w:rsidRPr="00BB1FB9">
              <w:rPr>
                <w:bCs/>
                <w:sz w:val="20"/>
                <w:szCs w:val="20"/>
                <w:lang w:val="en-GB"/>
              </w:rPr>
              <w:t>50</w:t>
            </w:r>
          </w:p>
        </w:tc>
        <w:tc>
          <w:tcPr>
            <w:tcW w:w="517" w:type="pct"/>
            <w:tcBorders>
              <w:top w:val="single" w:sz="4" w:space="0" w:color="auto"/>
              <w:left w:val="single" w:sz="6" w:space="0" w:color="000000"/>
              <w:bottom w:val="single" w:sz="6" w:space="0" w:color="000000"/>
              <w:right w:val="single" w:sz="6" w:space="0" w:color="000000"/>
            </w:tcBorders>
            <w:vAlign w:val="center"/>
            <w:hideMark/>
          </w:tcPr>
          <w:p w14:paraId="70C47E7B" w14:textId="77777777" w:rsidR="00E51CDD" w:rsidRPr="00BB1FB9" w:rsidRDefault="00E51CDD" w:rsidP="009938D9">
            <w:pPr>
              <w:keepNext/>
              <w:jc w:val="center"/>
              <w:rPr>
                <w:bCs/>
                <w:sz w:val="20"/>
                <w:szCs w:val="20"/>
                <w:lang w:val="en-GB"/>
              </w:rPr>
            </w:pPr>
            <w:r w:rsidRPr="00BB1FB9">
              <w:rPr>
                <w:bCs/>
                <w:sz w:val="20"/>
                <w:szCs w:val="20"/>
                <w:lang w:val="en-GB"/>
              </w:rPr>
              <w:t>0.</w:t>
            </w:r>
            <w:r>
              <w:rPr>
                <w:bCs/>
                <w:sz w:val="20"/>
                <w:szCs w:val="20"/>
                <w:lang w:val="en-GB"/>
              </w:rPr>
              <w:t>4</w:t>
            </w:r>
          </w:p>
        </w:tc>
        <w:tc>
          <w:tcPr>
            <w:tcW w:w="609" w:type="pct"/>
            <w:tcBorders>
              <w:top w:val="single" w:sz="4" w:space="0" w:color="auto"/>
              <w:left w:val="single" w:sz="6" w:space="0" w:color="000000"/>
              <w:bottom w:val="single" w:sz="6" w:space="0" w:color="000000"/>
              <w:right w:val="single" w:sz="6" w:space="0" w:color="000000"/>
            </w:tcBorders>
            <w:noWrap/>
            <w:vAlign w:val="center"/>
            <w:hideMark/>
          </w:tcPr>
          <w:p w14:paraId="4E5AF771" w14:textId="77777777" w:rsidR="00E51CDD" w:rsidRPr="004A0092" w:rsidRDefault="00E51CDD" w:rsidP="009938D9">
            <w:pPr>
              <w:keepNext/>
              <w:jc w:val="center"/>
              <w:rPr>
                <w:rFonts w:eastAsia="SimSun"/>
                <w:bCs/>
                <w:strike/>
                <w:color w:val="D9D9D9" w:themeColor="background1" w:themeShade="D9"/>
                <w:sz w:val="20"/>
                <w:szCs w:val="20"/>
                <w:lang w:val="en-GB" w:eastAsia="zh-CN"/>
              </w:rPr>
            </w:pPr>
            <w:r w:rsidRPr="004A0092">
              <w:rPr>
                <w:rFonts w:eastAsia="SimSun"/>
                <w:bCs/>
                <w:strike/>
                <w:color w:val="D9D9D9" w:themeColor="background1" w:themeShade="D9"/>
                <w:sz w:val="20"/>
                <w:szCs w:val="20"/>
                <w:lang w:val="en-GB" w:eastAsia="zh-CN"/>
              </w:rPr>
              <w:t>3776</w:t>
            </w:r>
          </w:p>
          <w:p w14:paraId="3D352214" w14:textId="3C2D0AAB" w:rsidR="004A0092" w:rsidRPr="00BB1FB9" w:rsidRDefault="004A0092" w:rsidP="009938D9">
            <w:pPr>
              <w:keepNext/>
              <w:jc w:val="center"/>
              <w:rPr>
                <w:bCs/>
                <w:sz w:val="20"/>
                <w:szCs w:val="20"/>
                <w:lang w:val="en-GB"/>
              </w:rPr>
            </w:pPr>
            <w:r w:rsidRPr="004A0092">
              <w:rPr>
                <w:rFonts w:eastAsia="SimSun"/>
                <w:bCs/>
                <w:sz w:val="20"/>
                <w:szCs w:val="20"/>
                <w:shd w:val="clear" w:color="auto" w:fill="D9D9D9" w:themeFill="background1" w:themeFillShade="D9"/>
                <w:lang w:val="en-GB" w:eastAsia="zh-CN"/>
              </w:rPr>
              <w:t>&gt; 2000</w:t>
            </w:r>
          </w:p>
        </w:tc>
        <w:tc>
          <w:tcPr>
            <w:tcW w:w="577" w:type="pct"/>
            <w:tcBorders>
              <w:top w:val="single" w:sz="4" w:space="0" w:color="auto"/>
              <w:left w:val="single" w:sz="6" w:space="0" w:color="000000"/>
              <w:bottom w:val="single" w:sz="6" w:space="0" w:color="000000"/>
              <w:right w:val="single" w:sz="6" w:space="0" w:color="000000"/>
            </w:tcBorders>
            <w:vAlign w:val="center"/>
            <w:hideMark/>
          </w:tcPr>
          <w:p w14:paraId="78B9F38B" w14:textId="77777777" w:rsidR="00E51CDD" w:rsidRPr="004A0092" w:rsidRDefault="00E51CDD" w:rsidP="009938D9">
            <w:pPr>
              <w:keepNext/>
              <w:jc w:val="center"/>
              <w:rPr>
                <w:rFonts w:eastAsia="SimSun"/>
                <w:bCs/>
                <w:strike/>
                <w:color w:val="D9D9D9" w:themeColor="background1" w:themeShade="D9"/>
                <w:sz w:val="20"/>
                <w:szCs w:val="20"/>
                <w:lang w:val="en-GB" w:eastAsia="zh-CN"/>
              </w:rPr>
            </w:pPr>
            <w:r w:rsidRPr="004A0092">
              <w:rPr>
                <w:rFonts w:eastAsia="SimSun"/>
                <w:bCs/>
                <w:strike/>
                <w:color w:val="D9D9D9" w:themeColor="background1" w:themeShade="D9"/>
                <w:sz w:val="20"/>
                <w:szCs w:val="20"/>
                <w:lang w:val="en-GB" w:eastAsia="zh-CN"/>
              </w:rPr>
              <w:t>0.00011</w:t>
            </w:r>
          </w:p>
          <w:p w14:paraId="3A693A99" w14:textId="0A9DA6FD" w:rsidR="001103D2" w:rsidRPr="00BB1FB9" w:rsidRDefault="001103D2" w:rsidP="009938D9">
            <w:pPr>
              <w:keepNext/>
              <w:jc w:val="center"/>
              <w:rPr>
                <w:rFonts w:eastAsia="SimSun"/>
                <w:bCs/>
                <w:sz w:val="20"/>
                <w:szCs w:val="20"/>
                <w:lang w:val="en-GB" w:eastAsia="zh-CN"/>
              </w:rPr>
            </w:pPr>
            <w:r w:rsidRPr="004A0092">
              <w:rPr>
                <w:rFonts w:eastAsia="SimSun"/>
                <w:bCs/>
                <w:sz w:val="20"/>
                <w:szCs w:val="20"/>
                <w:shd w:val="clear" w:color="auto" w:fill="D9D9D9" w:themeFill="background1" w:themeFillShade="D9"/>
                <w:lang w:val="en-GB" w:eastAsia="zh-CN"/>
              </w:rPr>
              <w:t>0.0002</w:t>
            </w:r>
            <w:r w:rsidR="004A0092" w:rsidRPr="004A0092">
              <w:rPr>
                <w:rFonts w:eastAsia="SimSun"/>
                <w:bCs/>
                <w:sz w:val="20"/>
                <w:szCs w:val="20"/>
                <w:shd w:val="clear" w:color="auto" w:fill="D9D9D9" w:themeFill="background1" w:themeFillShade="D9"/>
                <w:lang w:val="en-GB" w:eastAsia="zh-CN"/>
              </w:rPr>
              <w:t>0</w:t>
            </w:r>
          </w:p>
        </w:tc>
        <w:tc>
          <w:tcPr>
            <w:tcW w:w="723" w:type="pct"/>
            <w:vMerge w:val="restart"/>
            <w:tcBorders>
              <w:top w:val="single" w:sz="4" w:space="0" w:color="auto"/>
              <w:left w:val="single" w:sz="6" w:space="0" w:color="000000"/>
              <w:bottom w:val="single" w:sz="4" w:space="0" w:color="auto"/>
              <w:right w:val="single" w:sz="4" w:space="0" w:color="auto"/>
            </w:tcBorders>
            <w:noWrap/>
            <w:vAlign w:val="center"/>
            <w:hideMark/>
          </w:tcPr>
          <w:p w14:paraId="66C5BB75" w14:textId="77777777" w:rsidR="00E51CDD" w:rsidRPr="00A10724" w:rsidRDefault="00E51CDD" w:rsidP="009938D9">
            <w:pPr>
              <w:jc w:val="center"/>
              <w:rPr>
                <w:rFonts w:eastAsia="SimSun"/>
                <w:b/>
                <w:strike/>
                <w:color w:val="D9D9D9" w:themeColor="background1" w:themeShade="D9"/>
                <w:sz w:val="20"/>
                <w:szCs w:val="20"/>
                <w:lang w:val="en-GB" w:eastAsia="zh-CN"/>
              </w:rPr>
            </w:pPr>
            <w:r w:rsidRPr="00A10724">
              <w:rPr>
                <w:rFonts w:eastAsia="SimSun"/>
                <w:b/>
                <w:strike/>
                <w:color w:val="D9D9D9" w:themeColor="background1" w:themeShade="D9"/>
                <w:sz w:val="20"/>
                <w:szCs w:val="20"/>
                <w:lang w:val="en-GB" w:eastAsia="zh-CN"/>
              </w:rPr>
              <w:t>2463.5</w:t>
            </w:r>
          </w:p>
          <w:p w14:paraId="71F9D78C" w14:textId="0EFBE5DF" w:rsidR="001A642C" w:rsidRPr="00BB1FB9" w:rsidRDefault="00E24268" w:rsidP="009938D9">
            <w:pPr>
              <w:jc w:val="center"/>
              <w:rPr>
                <w:rFonts w:eastAsia="SimSun"/>
                <w:b/>
                <w:sz w:val="20"/>
                <w:szCs w:val="20"/>
                <w:lang w:val="en-GB" w:eastAsia="zh-CN"/>
              </w:rPr>
            </w:pPr>
            <w:r w:rsidRPr="00E24268">
              <w:rPr>
                <w:rFonts w:eastAsia="SimSun"/>
                <w:b/>
                <w:sz w:val="20"/>
                <w:szCs w:val="20"/>
                <w:shd w:val="clear" w:color="auto" w:fill="D9D9D9" w:themeFill="background1" w:themeFillShade="D9"/>
                <w:lang w:val="en-GB" w:eastAsia="zh-CN"/>
              </w:rPr>
              <w:t>&gt;</w:t>
            </w:r>
            <w:r w:rsidR="001A642C" w:rsidRPr="00E24268">
              <w:rPr>
                <w:rFonts w:eastAsia="SimSun"/>
                <w:b/>
                <w:sz w:val="20"/>
                <w:szCs w:val="20"/>
                <w:shd w:val="clear" w:color="auto" w:fill="D9D9D9" w:themeFill="background1" w:themeFillShade="D9"/>
                <w:lang w:val="en-GB" w:eastAsia="zh-CN"/>
              </w:rPr>
              <w:t>2000</w:t>
            </w:r>
          </w:p>
        </w:tc>
        <w:tc>
          <w:tcPr>
            <w:tcW w:w="487" w:type="pct"/>
            <w:tcBorders>
              <w:top w:val="single" w:sz="4" w:space="0" w:color="auto"/>
              <w:left w:val="single" w:sz="6" w:space="0" w:color="000000"/>
              <w:bottom w:val="single" w:sz="4" w:space="0" w:color="auto"/>
              <w:right w:val="single" w:sz="4" w:space="0" w:color="auto"/>
            </w:tcBorders>
            <w:vAlign w:val="center"/>
          </w:tcPr>
          <w:p w14:paraId="516A58D9" w14:textId="77777777" w:rsidR="00E51CDD" w:rsidRPr="00F20013" w:rsidRDefault="00E51CDD" w:rsidP="009938D9">
            <w:pPr>
              <w:keepNext/>
              <w:jc w:val="center"/>
              <w:rPr>
                <w:rFonts w:eastAsia="SimSun"/>
                <w:bCs/>
                <w:strike/>
                <w:color w:val="D9D9D9" w:themeColor="background1" w:themeShade="D9"/>
                <w:sz w:val="20"/>
                <w:szCs w:val="20"/>
                <w:lang w:val="en-GB" w:eastAsia="zh-CN"/>
              </w:rPr>
            </w:pPr>
            <w:r w:rsidRPr="00F20013">
              <w:rPr>
                <w:rFonts w:eastAsia="SimSun"/>
                <w:bCs/>
                <w:strike/>
                <w:color w:val="D9D9D9" w:themeColor="background1" w:themeShade="D9"/>
                <w:sz w:val="20"/>
                <w:szCs w:val="20"/>
                <w:lang w:val="en-GB" w:eastAsia="zh-CN"/>
              </w:rPr>
              <w:t>9440</w:t>
            </w:r>
          </w:p>
          <w:p w14:paraId="18CEF924" w14:textId="76C5E916" w:rsidR="00903211" w:rsidRPr="00BB1FB9" w:rsidRDefault="00903211" w:rsidP="009938D9">
            <w:pPr>
              <w:keepNext/>
              <w:jc w:val="center"/>
              <w:rPr>
                <w:rFonts w:eastAsia="SimSun"/>
                <w:bCs/>
                <w:sz w:val="20"/>
                <w:szCs w:val="20"/>
                <w:lang w:val="en-GB" w:eastAsia="zh-CN"/>
              </w:rPr>
            </w:pPr>
            <w:r w:rsidRPr="00F20013">
              <w:rPr>
                <w:rFonts w:eastAsia="SimSun"/>
                <w:bCs/>
                <w:sz w:val="20"/>
                <w:szCs w:val="20"/>
                <w:shd w:val="clear" w:color="auto" w:fill="D9D9D9" w:themeFill="background1" w:themeFillShade="D9"/>
                <w:lang w:val="en-GB" w:eastAsia="zh-CN"/>
              </w:rPr>
              <w:t>5000</w:t>
            </w:r>
          </w:p>
        </w:tc>
        <w:tc>
          <w:tcPr>
            <w:tcW w:w="760" w:type="pct"/>
            <w:tcBorders>
              <w:top w:val="single" w:sz="4" w:space="0" w:color="auto"/>
              <w:left w:val="single" w:sz="6" w:space="0" w:color="000000"/>
              <w:bottom w:val="single" w:sz="4" w:space="0" w:color="auto"/>
              <w:right w:val="single" w:sz="4" w:space="0" w:color="auto"/>
            </w:tcBorders>
            <w:vAlign w:val="center"/>
            <w:hideMark/>
          </w:tcPr>
          <w:p w14:paraId="5738A77A" w14:textId="782F64E0" w:rsidR="00E51CDD" w:rsidRPr="00BB1FB9" w:rsidRDefault="00E51CDD" w:rsidP="009938D9">
            <w:pPr>
              <w:keepNext/>
              <w:jc w:val="center"/>
              <w:rPr>
                <w:rFonts w:eastAsia="SimSun"/>
                <w:bCs/>
                <w:sz w:val="20"/>
                <w:szCs w:val="20"/>
                <w:lang w:val="en-GB" w:eastAsia="zh-CN"/>
              </w:rPr>
            </w:pPr>
            <w:r w:rsidRPr="00260518">
              <w:rPr>
                <w:rFonts w:eastAsia="SimSun"/>
                <w:bCs/>
                <w:strike/>
                <w:color w:val="D9D9D9" w:themeColor="background1" w:themeShade="D9"/>
                <w:sz w:val="20"/>
                <w:szCs w:val="20"/>
                <w:lang w:val="en-GB" w:eastAsia="zh-CN"/>
              </w:rPr>
              <w:t>283</w:t>
            </w:r>
            <w:r w:rsidR="00260518">
              <w:rPr>
                <w:rFonts w:eastAsia="SimSun"/>
                <w:bCs/>
                <w:sz w:val="20"/>
                <w:szCs w:val="20"/>
                <w:lang w:val="en-GB" w:eastAsia="zh-CN"/>
              </w:rPr>
              <w:t xml:space="preserve"> </w:t>
            </w:r>
            <w:r w:rsidR="00260518" w:rsidRPr="00260518">
              <w:rPr>
                <w:rFonts w:eastAsia="SimSun"/>
                <w:bCs/>
                <w:sz w:val="20"/>
                <w:szCs w:val="20"/>
                <w:shd w:val="clear" w:color="auto" w:fill="D9D9D9" w:themeFill="background1" w:themeFillShade="D9"/>
                <w:lang w:val="en-GB" w:eastAsia="zh-CN"/>
              </w:rPr>
              <w:t>150</w:t>
            </w:r>
          </w:p>
        </w:tc>
      </w:tr>
      <w:tr w:rsidR="00E51CDD" w14:paraId="43FAF689" w14:textId="77777777" w:rsidTr="009938D9">
        <w:trPr>
          <w:trHeight w:val="487"/>
        </w:trPr>
        <w:tc>
          <w:tcPr>
            <w:tcW w:w="716" w:type="pct"/>
            <w:tcBorders>
              <w:top w:val="single" w:sz="4" w:space="0" w:color="auto"/>
              <w:left w:val="single" w:sz="4" w:space="0" w:color="auto"/>
              <w:bottom w:val="single" w:sz="4" w:space="0" w:color="auto"/>
              <w:right w:val="single" w:sz="6" w:space="0" w:color="000000"/>
            </w:tcBorders>
            <w:vAlign w:val="center"/>
          </w:tcPr>
          <w:p w14:paraId="7FDAA588" w14:textId="77777777" w:rsidR="00E51CDD" w:rsidRPr="00BB1FB9" w:rsidRDefault="00E51CDD" w:rsidP="009938D9">
            <w:pPr>
              <w:keepNext/>
              <w:tabs>
                <w:tab w:val="left" w:pos="720"/>
              </w:tabs>
              <w:jc w:val="center"/>
              <w:rPr>
                <w:bCs/>
                <w:sz w:val="20"/>
                <w:szCs w:val="20"/>
                <w:lang w:val="en-GB"/>
              </w:rPr>
            </w:pPr>
            <w:r>
              <w:rPr>
                <w:bCs/>
                <w:sz w:val="20"/>
                <w:szCs w:val="20"/>
                <w:lang w:val="en-GB"/>
              </w:rPr>
              <w:t>Azoxystrobin</w:t>
            </w:r>
          </w:p>
        </w:tc>
        <w:tc>
          <w:tcPr>
            <w:tcW w:w="611" w:type="pct"/>
            <w:tcBorders>
              <w:top w:val="single" w:sz="4" w:space="0" w:color="auto"/>
              <w:left w:val="single" w:sz="6" w:space="0" w:color="000000"/>
              <w:bottom w:val="single" w:sz="4" w:space="0" w:color="auto"/>
              <w:right w:val="single" w:sz="6" w:space="0" w:color="000000"/>
            </w:tcBorders>
            <w:vAlign w:val="center"/>
          </w:tcPr>
          <w:p w14:paraId="020D5589" w14:textId="77777777" w:rsidR="00E51CDD" w:rsidRPr="00BB1FB9" w:rsidRDefault="00E51CDD" w:rsidP="009938D9">
            <w:pPr>
              <w:keepNext/>
              <w:jc w:val="center"/>
              <w:rPr>
                <w:bCs/>
                <w:sz w:val="20"/>
                <w:szCs w:val="20"/>
                <w:lang w:val="en-GB"/>
              </w:rPr>
            </w:pPr>
            <w:r>
              <w:rPr>
                <w:bCs/>
                <w:sz w:val="20"/>
                <w:szCs w:val="20"/>
                <w:lang w:val="en-GB"/>
              </w:rPr>
              <w:t>75</w:t>
            </w:r>
          </w:p>
        </w:tc>
        <w:tc>
          <w:tcPr>
            <w:tcW w:w="517" w:type="pct"/>
            <w:tcBorders>
              <w:top w:val="single" w:sz="4" w:space="0" w:color="auto"/>
              <w:left w:val="single" w:sz="6" w:space="0" w:color="000000"/>
              <w:bottom w:val="single" w:sz="4" w:space="0" w:color="auto"/>
              <w:right w:val="single" w:sz="6" w:space="0" w:color="000000"/>
            </w:tcBorders>
            <w:vAlign w:val="center"/>
          </w:tcPr>
          <w:p w14:paraId="54971773" w14:textId="77777777" w:rsidR="00E51CDD" w:rsidRPr="00BB1FB9" w:rsidRDefault="00E51CDD" w:rsidP="009938D9">
            <w:pPr>
              <w:keepNext/>
              <w:jc w:val="center"/>
              <w:rPr>
                <w:bCs/>
                <w:sz w:val="20"/>
                <w:szCs w:val="20"/>
                <w:lang w:val="en-GB"/>
              </w:rPr>
            </w:pPr>
            <w:r>
              <w:rPr>
                <w:bCs/>
                <w:sz w:val="20"/>
                <w:szCs w:val="20"/>
                <w:lang w:val="en-GB"/>
              </w:rPr>
              <w:t>0.6</w:t>
            </w:r>
          </w:p>
        </w:tc>
        <w:tc>
          <w:tcPr>
            <w:tcW w:w="609" w:type="pct"/>
            <w:tcBorders>
              <w:top w:val="single" w:sz="4" w:space="0" w:color="auto"/>
              <w:left w:val="single" w:sz="6" w:space="0" w:color="000000"/>
              <w:bottom w:val="single" w:sz="4" w:space="0" w:color="auto"/>
              <w:right w:val="single" w:sz="6" w:space="0" w:color="000000"/>
            </w:tcBorders>
            <w:noWrap/>
            <w:vAlign w:val="center"/>
          </w:tcPr>
          <w:p w14:paraId="436B76D6" w14:textId="77777777" w:rsidR="00E51CDD" w:rsidRPr="00BB1FB9" w:rsidRDefault="00E51CDD" w:rsidP="009938D9">
            <w:pPr>
              <w:keepNext/>
              <w:jc w:val="center"/>
              <w:rPr>
                <w:bCs/>
                <w:sz w:val="20"/>
                <w:szCs w:val="20"/>
                <w:lang w:val="en-GB"/>
              </w:rPr>
            </w:pPr>
            <w:r>
              <w:rPr>
                <w:bCs/>
                <w:sz w:val="20"/>
                <w:szCs w:val="20"/>
                <w:lang w:val="en-GB"/>
              </w:rPr>
              <w:t>&gt; 2000</w:t>
            </w:r>
          </w:p>
        </w:tc>
        <w:tc>
          <w:tcPr>
            <w:tcW w:w="577" w:type="pct"/>
            <w:tcBorders>
              <w:top w:val="single" w:sz="4" w:space="0" w:color="auto"/>
              <w:left w:val="single" w:sz="6" w:space="0" w:color="000000"/>
              <w:bottom w:val="single" w:sz="4" w:space="0" w:color="auto"/>
              <w:right w:val="single" w:sz="6" w:space="0" w:color="000000"/>
            </w:tcBorders>
            <w:vAlign w:val="center"/>
          </w:tcPr>
          <w:p w14:paraId="0CBADB58" w14:textId="77777777" w:rsidR="00E51CDD" w:rsidRPr="00BB1FB9" w:rsidRDefault="00E51CDD" w:rsidP="009938D9">
            <w:pPr>
              <w:keepNext/>
              <w:jc w:val="center"/>
              <w:rPr>
                <w:rFonts w:eastAsia="SimSun"/>
                <w:bCs/>
                <w:sz w:val="20"/>
                <w:szCs w:val="20"/>
                <w:lang w:val="en-GB" w:eastAsia="zh-CN"/>
              </w:rPr>
            </w:pPr>
            <w:r>
              <w:rPr>
                <w:rFonts w:eastAsia="SimSun"/>
                <w:bCs/>
                <w:sz w:val="20"/>
                <w:szCs w:val="20"/>
                <w:lang w:val="en-GB" w:eastAsia="zh-CN"/>
              </w:rPr>
              <w:t>0.00030</w:t>
            </w:r>
          </w:p>
        </w:tc>
        <w:tc>
          <w:tcPr>
            <w:tcW w:w="723" w:type="pct"/>
            <w:vMerge/>
            <w:tcBorders>
              <w:top w:val="single" w:sz="4" w:space="0" w:color="auto"/>
              <w:left w:val="single" w:sz="6" w:space="0" w:color="000000"/>
              <w:bottom w:val="single" w:sz="4" w:space="0" w:color="auto"/>
              <w:right w:val="single" w:sz="4" w:space="0" w:color="auto"/>
            </w:tcBorders>
            <w:vAlign w:val="center"/>
            <w:hideMark/>
          </w:tcPr>
          <w:p w14:paraId="777D6C26" w14:textId="77777777" w:rsidR="00E51CDD" w:rsidRPr="00BB1FB9" w:rsidRDefault="00E51CDD" w:rsidP="009938D9">
            <w:pPr>
              <w:rPr>
                <w:rFonts w:eastAsia="SimSun"/>
                <w:b/>
                <w:sz w:val="20"/>
                <w:szCs w:val="20"/>
                <w:lang w:val="en-GB" w:eastAsia="zh-CN"/>
              </w:rPr>
            </w:pPr>
          </w:p>
        </w:tc>
        <w:tc>
          <w:tcPr>
            <w:tcW w:w="487" w:type="pct"/>
            <w:tcBorders>
              <w:top w:val="single" w:sz="4" w:space="0" w:color="auto"/>
              <w:left w:val="single" w:sz="4" w:space="0" w:color="auto"/>
              <w:bottom w:val="single" w:sz="4" w:space="0" w:color="auto"/>
              <w:right w:val="single" w:sz="4" w:space="0" w:color="auto"/>
            </w:tcBorders>
            <w:vAlign w:val="center"/>
          </w:tcPr>
          <w:p w14:paraId="21AADBF4" w14:textId="77777777" w:rsidR="00E51CDD" w:rsidRPr="00BB1FB9" w:rsidRDefault="00E51CDD" w:rsidP="009938D9">
            <w:pPr>
              <w:keepNext/>
              <w:tabs>
                <w:tab w:val="left" w:pos="720"/>
              </w:tabs>
              <w:jc w:val="center"/>
              <w:rPr>
                <w:rFonts w:eastAsia="SimSun"/>
                <w:bCs/>
                <w:sz w:val="20"/>
                <w:szCs w:val="20"/>
                <w:lang w:val="en-GB" w:eastAsia="zh-CN"/>
              </w:rPr>
            </w:pPr>
            <w:r>
              <w:rPr>
                <w:rFonts w:eastAsia="SimSun"/>
                <w:bCs/>
                <w:sz w:val="20"/>
                <w:szCs w:val="20"/>
                <w:lang w:val="en-GB" w:eastAsia="zh-CN"/>
              </w:rPr>
              <w:t>3333.3</w:t>
            </w:r>
          </w:p>
        </w:tc>
        <w:tc>
          <w:tcPr>
            <w:tcW w:w="760" w:type="pct"/>
            <w:tcBorders>
              <w:top w:val="single" w:sz="4" w:space="0" w:color="auto"/>
              <w:left w:val="single" w:sz="6" w:space="0" w:color="000000"/>
              <w:bottom w:val="single" w:sz="4" w:space="0" w:color="auto"/>
              <w:right w:val="single" w:sz="4" w:space="0" w:color="auto"/>
            </w:tcBorders>
            <w:vAlign w:val="center"/>
            <w:hideMark/>
          </w:tcPr>
          <w:p w14:paraId="32C4D3B8" w14:textId="726E5D3D" w:rsidR="00E51CDD" w:rsidRPr="00BB1FB9" w:rsidRDefault="00E51CDD" w:rsidP="009938D9">
            <w:pPr>
              <w:keepNext/>
              <w:tabs>
                <w:tab w:val="left" w:pos="720"/>
              </w:tabs>
              <w:jc w:val="center"/>
              <w:rPr>
                <w:rFonts w:eastAsia="SimSun"/>
                <w:bCs/>
                <w:sz w:val="20"/>
                <w:szCs w:val="20"/>
                <w:lang w:val="en-GB" w:eastAsia="zh-CN"/>
              </w:rPr>
            </w:pPr>
            <w:r w:rsidRPr="00E24268">
              <w:rPr>
                <w:rFonts w:eastAsia="SimSun"/>
                <w:bCs/>
                <w:strike/>
                <w:color w:val="D9D9D9" w:themeColor="background1" w:themeShade="D9"/>
                <w:sz w:val="20"/>
                <w:szCs w:val="20"/>
                <w:lang w:val="en-GB" w:eastAsia="zh-CN"/>
              </w:rPr>
              <w:t>35</w:t>
            </w:r>
            <w:r w:rsidR="00E24268">
              <w:rPr>
                <w:rFonts w:eastAsia="SimSun"/>
                <w:bCs/>
                <w:sz w:val="20"/>
                <w:szCs w:val="20"/>
                <w:lang w:val="en-GB" w:eastAsia="zh-CN"/>
              </w:rPr>
              <w:t xml:space="preserve"> </w:t>
            </w:r>
            <w:r w:rsidR="00E24268" w:rsidRPr="00E24268">
              <w:rPr>
                <w:rFonts w:eastAsia="SimSun"/>
                <w:bCs/>
                <w:sz w:val="20"/>
                <w:szCs w:val="20"/>
                <w:shd w:val="clear" w:color="auto" w:fill="D9D9D9" w:themeFill="background1" w:themeFillShade="D9"/>
                <w:lang w:val="en-GB" w:eastAsia="zh-CN"/>
              </w:rPr>
              <w:t>67</w:t>
            </w:r>
          </w:p>
        </w:tc>
      </w:tr>
    </w:tbl>
    <w:p w14:paraId="0DD0C48F" w14:textId="77777777" w:rsidR="00E51CDD" w:rsidRDefault="00E51CDD" w:rsidP="00E51CDD">
      <w:pPr>
        <w:widowControl w:val="0"/>
        <w:tabs>
          <w:tab w:val="left" w:pos="720"/>
        </w:tabs>
        <w:suppressAutoHyphens/>
        <w:jc w:val="both"/>
      </w:pPr>
    </w:p>
    <w:p w14:paraId="1D114CD0" w14:textId="77777777" w:rsidR="00E51CDD" w:rsidRDefault="00E51CDD" w:rsidP="00E51CDD">
      <w:pPr>
        <w:widowControl w:val="0"/>
        <w:tabs>
          <w:tab w:val="left" w:pos="720"/>
        </w:tabs>
        <w:suppressAutoHyphens/>
        <w:jc w:val="both"/>
      </w:pPr>
    </w:p>
    <w:p w14:paraId="3BBC7724" w14:textId="77777777" w:rsidR="00E51CDD" w:rsidRDefault="00E51CDD" w:rsidP="00E51CDD">
      <w:pPr>
        <w:widowControl w:val="0"/>
        <w:tabs>
          <w:tab w:val="left" w:pos="720"/>
        </w:tabs>
        <w:jc w:val="both"/>
        <w:rPr>
          <w:szCs w:val="24"/>
          <w:lang w:val="en-GB"/>
        </w:rPr>
      </w:pPr>
      <w:r>
        <w:rPr>
          <w:szCs w:val="24"/>
          <w:lang w:val="en-GB"/>
        </w:rPr>
        <w:t xml:space="preserve">A laboratory study on the acute toxicity of formulation BAS 736 00 F to birds </w:t>
      </w:r>
      <w:r>
        <w:t>(</w:t>
      </w:r>
      <w:r>
        <w:rPr>
          <w:rFonts w:eastAsia="Batang"/>
          <w:lang w:val="en-GB" w:eastAsia="zh-CN"/>
        </w:rPr>
        <w:t xml:space="preserve">BASF DocID </w:t>
      </w:r>
      <w:r>
        <w:rPr>
          <w:lang w:val="en-GB"/>
        </w:rPr>
        <w:t xml:space="preserve">2020/2095640) </w:t>
      </w:r>
      <w:r>
        <w:rPr>
          <w:szCs w:val="24"/>
          <w:lang w:val="en-GB"/>
        </w:rPr>
        <w:t>has been conducted and resulted in an acute LD</w:t>
      </w:r>
      <w:r>
        <w:rPr>
          <w:szCs w:val="24"/>
          <w:vertAlign w:val="subscript"/>
          <w:lang w:val="en-GB"/>
        </w:rPr>
        <w:t xml:space="preserve">50 </w:t>
      </w:r>
      <w:r>
        <w:rPr>
          <w:szCs w:val="24"/>
          <w:lang w:val="en-GB"/>
        </w:rPr>
        <w:t>&gt; 2000 mg/kg b.w. (see 9.2.1).</w:t>
      </w:r>
    </w:p>
    <w:p w14:paraId="7BD00768" w14:textId="77777777" w:rsidR="00E51CDD" w:rsidRDefault="00E51CDD" w:rsidP="00E51CDD">
      <w:pPr>
        <w:widowControl w:val="0"/>
        <w:tabs>
          <w:tab w:val="left" w:pos="720"/>
        </w:tabs>
        <w:jc w:val="both"/>
        <w:rPr>
          <w:szCs w:val="24"/>
          <w:lang w:val="en-GB"/>
        </w:rPr>
      </w:pPr>
    </w:p>
    <w:p w14:paraId="76B92840" w14:textId="77777777" w:rsidR="00E51CDD" w:rsidRDefault="00E51CDD" w:rsidP="00E51CDD">
      <w:pPr>
        <w:widowControl w:val="0"/>
        <w:tabs>
          <w:tab w:val="left" w:pos="720"/>
        </w:tabs>
        <w:jc w:val="both"/>
        <w:rPr>
          <w:szCs w:val="24"/>
          <w:lang w:val="en-GB"/>
        </w:rPr>
      </w:pPr>
      <w:r>
        <w:rPr>
          <w:szCs w:val="24"/>
          <w:lang w:val="en-GB"/>
        </w:rPr>
        <w:t>Appendix B of EFSA/2009/1438 recommends comparing the surrogate LD</w:t>
      </w:r>
      <w:r>
        <w:rPr>
          <w:szCs w:val="24"/>
          <w:vertAlign w:val="subscript"/>
          <w:lang w:val="en-GB"/>
        </w:rPr>
        <w:t>50</w:t>
      </w:r>
      <w:r>
        <w:rPr>
          <w:szCs w:val="24"/>
          <w:lang w:val="en-GB"/>
        </w:rPr>
        <w:t xml:space="preserve"> with the experimental LD</w:t>
      </w:r>
      <w:r>
        <w:rPr>
          <w:szCs w:val="24"/>
          <w:vertAlign w:val="subscript"/>
          <w:lang w:val="en-GB"/>
        </w:rPr>
        <w:t>50</w:t>
      </w:r>
      <w:r>
        <w:rPr>
          <w:szCs w:val="24"/>
          <w:lang w:val="en-GB"/>
        </w:rPr>
        <w:t xml:space="preserve"> from formulation testing and running the risk assessment with the lowest of the two values. However, Appendix B does not provide clear recommendations if, for the comparison of the two LD</w:t>
      </w:r>
      <w:r>
        <w:rPr>
          <w:szCs w:val="24"/>
          <w:vertAlign w:val="subscript"/>
          <w:lang w:val="en-GB"/>
        </w:rPr>
        <w:t>50</w:t>
      </w:r>
      <w:r>
        <w:rPr>
          <w:szCs w:val="24"/>
          <w:lang w:val="en-GB"/>
        </w:rPr>
        <w:t xml:space="preserve"> values and for the calculation of the exposure scenarios, only the content of the active substances should be considered as the surrogate LD</w:t>
      </w:r>
      <w:r>
        <w:rPr>
          <w:szCs w:val="24"/>
          <w:vertAlign w:val="subscript"/>
          <w:lang w:val="en-GB"/>
        </w:rPr>
        <w:t>50</w:t>
      </w:r>
      <w:r>
        <w:rPr>
          <w:szCs w:val="24"/>
          <w:lang w:val="en-GB"/>
        </w:rPr>
        <w:t xml:space="preserve"> is based on toxicity and concentration of active substances, while the experimental LD</w:t>
      </w:r>
      <w:r>
        <w:rPr>
          <w:szCs w:val="24"/>
          <w:vertAlign w:val="subscript"/>
          <w:lang w:val="en-GB"/>
        </w:rPr>
        <w:t>50</w:t>
      </w:r>
      <w:r>
        <w:rPr>
          <w:szCs w:val="24"/>
          <w:lang w:val="en-GB"/>
        </w:rPr>
        <w:t xml:space="preserve"> is based on all components of the formulation. Due to this lack of guidance in Appendix B the most comprehensive approach is adopted by the notifier by presenting the two possible risk assessments, one for the virtual compound and another for the formulation.</w:t>
      </w:r>
    </w:p>
    <w:p w14:paraId="384A08AD" w14:textId="3AFEE09D" w:rsidR="00E51CDD" w:rsidRDefault="00E51CDD" w:rsidP="00E51CDD">
      <w:pPr>
        <w:widowControl w:val="0"/>
        <w:tabs>
          <w:tab w:val="left" w:pos="720"/>
        </w:tabs>
        <w:jc w:val="both"/>
        <w:rPr>
          <w:lang w:val="en-GB"/>
        </w:rPr>
      </w:pPr>
    </w:p>
    <w:p w14:paraId="5EFBB1D0" w14:textId="77777777" w:rsidR="00286DBE" w:rsidRDefault="00286DBE" w:rsidP="00E51CDD">
      <w:pPr>
        <w:widowControl w:val="0"/>
        <w:tabs>
          <w:tab w:val="left" w:pos="720"/>
        </w:tabs>
        <w:jc w:val="both"/>
        <w:rPr>
          <w:lang w:val="en-GB"/>
        </w:rPr>
      </w:pPr>
    </w:p>
    <w:p w14:paraId="52E2C3E7" w14:textId="77777777" w:rsidR="00286DBE" w:rsidRDefault="00286DBE" w:rsidP="00E51CDD">
      <w:pPr>
        <w:widowControl w:val="0"/>
        <w:tabs>
          <w:tab w:val="left" w:pos="720"/>
        </w:tabs>
        <w:jc w:val="both"/>
        <w:rPr>
          <w:b/>
          <w:bCs/>
          <w:i/>
          <w:szCs w:val="24"/>
          <w:lang w:val="en-GB"/>
        </w:rPr>
      </w:pPr>
    </w:p>
    <w:p w14:paraId="09310411" w14:textId="6A86DD40" w:rsidR="00E51CDD" w:rsidRDefault="00E51CDD" w:rsidP="00E51CDD">
      <w:pPr>
        <w:widowControl w:val="0"/>
        <w:tabs>
          <w:tab w:val="left" w:pos="720"/>
        </w:tabs>
        <w:jc w:val="both"/>
        <w:rPr>
          <w:b/>
          <w:bCs/>
          <w:i/>
          <w:szCs w:val="24"/>
          <w:lang w:val="en-GB"/>
        </w:rPr>
      </w:pPr>
      <w:r>
        <w:rPr>
          <w:b/>
          <w:bCs/>
          <w:i/>
          <w:szCs w:val="24"/>
          <w:lang w:val="en-GB"/>
        </w:rPr>
        <w:t>Exposure and acute risk assessment for the combined active substances (</w:t>
      </w:r>
      <w:r>
        <w:rPr>
          <w:b/>
          <w:bCs/>
          <w:i/>
          <w:szCs w:val="24"/>
          <w:u w:val="single"/>
          <w:lang w:val="en-GB"/>
        </w:rPr>
        <w:t>virtual compound approach</w:t>
      </w:r>
      <w:r>
        <w:rPr>
          <w:b/>
          <w:bCs/>
          <w:i/>
          <w:szCs w:val="24"/>
          <w:lang w:val="en-GB"/>
        </w:rPr>
        <w:t>)</w:t>
      </w:r>
    </w:p>
    <w:p w14:paraId="3875A51E" w14:textId="77777777" w:rsidR="00E51CDD" w:rsidRDefault="00E51CDD" w:rsidP="00E51CDD">
      <w:pPr>
        <w:widowControl w:val="0"/>
        <w:tabs>
          <w:tab w:val="left" w:pos="720"/>
        </w:tabs>
        <w:jc w:val="both"/>
        <w:rPr>
          <w:iCs/>
          <w:szCs w:val="24"/>
          <w:lang w:val="en-GB"/>
        </w:rPr>
      </w:pPr>
    </w:p>
    <w:p w14:paraId="144C386F" w14:textId="77777777" w:rsidR="00E51CDD" w:rsidRDefault="00E51CDD" w:rsidP="00E51CDD">
      <w:pPr>
        <w:jc w:val="both"/>
        <w:rPr>
          <w:szCs w:val="24"/>
          <w:lang w:val="en-GB"/>
        </w:rPr>
      </w:pPr>
      <w:bookmarkStart w:id="213" w:name="_Hlk63234309"/>
      <w:r>
        <w:rPr>
          <w:lang w:val="en-GB"/>
        </w:rPr>
        <w:t xml:space="preserve">The potential exposure to the combined substances follows step 4 of </w:t>
      </w:r>
      <w:r>
        <w:t>Appendix B of EFSA/2009/1438</w:t>
      </w:r>
      <w:r>
        <w:rPr>
          <w:lang w:val="en-GB"/>
        </w:rPr>
        <w:t>. The maximum single application rate of formulation BAS 736 00 F is 2.0 L product/ha (corresponding to 0.1 kg/ha fluxapyroxad and 0.15 kg/ha azoxystrobin for the use in cereals);</w:t>
      </w:r>
      <w:r>
        <w:rPr>
          <w:szCs w:val="24"/>
          <w:lang w:val="en-GB"/>
        </w:rPr>
        <w:t xml:space="preserve"> applying the concept for dose additivity to the exposure calculations results in a </w:t>
      </w:r>
      <w:r>
        <w:t>combined application rate of 0.25 kg virtual compound/ha.</w:t>
      </w:r>
    </w:p>
    <w:bookmarkEnd w:id="213"/>
    <w:p w14:paraId="4B1DA735" w14:textId="77777777" w:rsidR="00E51CDD" w:rsidRDefault="00E51CDD" w:rsidP="00E51CDD">
      <w:pPr>
        <w:widowControl w:val="0"/>
        <w:tabs>
          <w:tab w:val="left" w:pos="720"/>
        </w:tabs>
        <w:jc w:val="both"/>
        <w:rPr>
          <w:szCs w:val="24"/>
          <w:lang w:val="en-GB"/>
        </w:rPr>
      </w:pPr>
    </w:p>
    <w:p w14:paraId="4BA46E86" w14:textId="55350429" w:rsidR="00E51CDD" w:rsidRDefault="00E51CDD" w:rsidP="00E51CDD">
      <w:pPr>
        <w:widowControl w:val="0"/>
        <w:tabs>
          <w:tab w:val="left" w:pos="720"/>
        </w:tabs>
        <w:jc w:val="both"/>
        <w:rPr>
          <w:lang w:val="en-GB"/>
        </w:rPr>
      </w:pPr>
      <w:r>
        <w:rPr>
          <w:lang w:val="en-GB"/>
        </w:rPr>
        <w:t xml:space="preserve">The dietary TER acute value for the screening step presented in </w:t>
      </w:r>
      <w:r w:rsidRPr="00403803">
        <w:rPr>
          <w:lang w:val="en-GB"/>
        </w:rPr>
        <w:fldChar w:fldCharType="begin"/>
      </w:r>
      <w:r w:rsidRPr="00403803">
        <w:rPr>
          <w:lang w:val="en-GB"/>
        </w:rPr>
        <w:instrText xml:space="preserve"> REF _Ref57292550  \* MERGEFORMAT </w:instrText>
      </w:r>
      <w:r w:rsidRPr="00403803">
        <w:rPr>
          <w:lang w:val="en-GB"/>
        </w:rPr>
        <w:fldChar w:fldCharType="separate"/>
      </w:r>
      <w:r w:rsidR="00662F32" w:rsidRPr="00662F32">
        <w:t xml:space="preserve">Table </w:t>
      </w:r>
      <w:r w:rsidR="00662F32" w:rsidRPr="00662F32">
        <w:rPr>
          <w:noProof/>
        </w:rPr>
        <w:t>9.2</w:t>
      </w:r>
      <w:r w:rsidR="00662F32" w:rsidRPr="00662F32">
        <w:rPr>
          <w:noProof/>
        </w:rPr>
        <w:noBreakHyphen/>
        <w:t>9</w:t>
      </w:r>
      <w:r w:rsidRPr="00403803">
        <w:rPr>
          <w:lang w:val="en-GB"/>
        </w:rPr>
        <w:fldChar w:fldCharType="end"/>
      </w:r>
      <w:r w:rsidRPr="00403803">
        <w:rPr>
          <w:lang w:val="en-GB"/>
        </w:rPr>
        <w:t xml:space="preserve"> </w:t>
      </w:r>
      <w:r w:rsidRPr="00403803">
        <w:t>is a</w:t>
      </w:r>
      <w:r>
        <w:t xml:space="preserve">bove the trigger of 10. </w:t>
      </w:r>
      <w:r>
        <w:rPr>
          <w:lang w:val="en-GB"/>
        </w:rPr>
        <w:t>Therefore, the acute risk to birds from combined effects of the two active substances in BAS 736 00 F is acceptable.</w:t>
      </w:r>
    </w:p>
    <w:p w14:paraId="7E30F573" w14:textId="77777777" w:rsidR="00E51CDD" w:rsidRDefault="00E51CDD" w:rsidP="00E51CDD">
      <w:pPr>
        <w:widowControl w:val="0"/>
        <w:tabs>
          <w:tab w:val="left" w:pos="720"/>
        </w:tabs>
        <w:jc w:val="both"/>
        <w:rPr>
          <w:lang w:val="en-GB"/>
        </w:rPr>
      </w:pPr>
    </w:p>
    <w:p w14:paraId="056CD39D" w14:textId="77777777" w:rsidR="00286DBE" w:rsidRDefault="00286DBE">
      <w:pPr>
        <w:rPr>
          <w:b/>
          <w:bCs/>
          <w:lang w:val="en-GB"/>
        </w:rPr>
      </w:pPr>
      <w:bookmarkStart w:id="214" w:name="_Ref57292550"/>
      <w:r>
        <w:rPr>
          <w:b/>
          <w:bCs/>
          <w:lang w:val="en-GB"/>
        </w:rPr>
        <w:br w:type="page"/>
      </w:r>
    </w:p>
    <w:p w14:paraId="374536C3" w14:textId="60826515" w:rsidR="00E51CDD" w:rsidRDefault="00E51CDD" w:rsidP="00E51CDD">
      <w:pPr>
        <w:widowControl w:val="0"/>
        <w:ind w:left="1980" w:hanging="1980"/>
        <w:jc w:val="both"/>
        <w:rPr>
          <w:b/>
          <w:bCs/>
          <w:lang w:val="en-GB"/>
        </w:rPr>
      </w:pPr>
      <w:r>
        <w:rPr>
          <w:b/>
          <w:bCs/>
          <w:lang w:val="en-GB"/>
        </w:rPr>
        <w:lastRenderedPageBreak/>
        <w:t xml:space="preserve">Table </w:t>
      </w:r>
      <w:r>
        <w:fldChar w:fldCharType="begin"/>
      </w:r>
      <w:r>
        <w:rPr>
          <w:b/>
          <w:bCs/>
          <w:lang w:val="en-GB"/>
        </w:rPr>
        <w:instrText xml:space="preserve"> STYLEREF 2 \s </w:instrText>
      </w:r>
      <w:r>
        <w:fldChar w:fldCharType="separate"/>
      </w:r>
      <w:r w:rsidR="00662F32">
        <w:rPr>
          <w:b/>
          <w:bCs/>
          <w:noProof/>
          <w:lang w:val="en-GB"/>
        </w:rPr>
        <w:t>9.2</w:t>
      </w:r>
      <w:r>
        <w:fldChar w:fldCharType="end"/>
      </w:r>
      <w:r>
        <w:rPr>
          <w:b/>
          <w:bCs/>
          <w:lang w:val="en-GB"/>
        </w:rPr>
        <w:noBreakHyphen/>
      </w:r>
      <w:r>
        <w:fldChar w:fldCharType="begin"/>
      </w:r>
      <w:r>
        <w:rPr>
          <w:b/>
          <w:bCs/>
          <w:lang w:val="en-GB"/>
        </w:rPr>
        <w:instrText xml:space="preserve"> SEQ Table \* ARABIC \s 2 </w:instrText>
      </w:r>
      <w:r>
        <w:fldChar w:fldCharType="separate"/>
      </w:r>
      <w:r w:rsidR="00662F32">
        <w:rPr>
          <w:b/>
          <w:bCs/>
          <w:noProof/>
          <w:lang w:val="en-GB"/>
        </w:rPr>
        <w:t>9</w:t>
      </w:r>
      <w:r>
        <w:fldChar w:fldCharType="end"/>
      </w:r>
      <w:bookmarkEnd w:id="214"/>
      <w:r>
        <w:rPr>
          <w:b/>
          <w:bCs/>
          <w:lang w:val="en-GB"/>
        </w:rPr>
        <w:t xml:space="preserve">: </w:t>
      </w:r>
      <w:r>
        <w:rPr>
          <w:b/>
          <w:bCs/>
          <w:lang w:val="en-GB"/>
        </w:rPr>
        <w:tab/>
        <w:t xml:space="preserve">Screening step calculation of the acute risk for birds due to the use of BAS 736 00 F in the crop group “cereals” – </w:t>
      </w:r>
      <w:r>
        <w:rPr>
          <w:b/>
          <w:bCs/>
          <w:lang w:val="en-GB" w:eastAsia="en-US"/>
        </w:rPr>
        <w:t>virtual compound approach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1432"/>
        <w:gridCol w:w="1301"/>
        <w:gridCol w:w="1172"/>
        <w:gridCol w:w="1258"/>
        <w:gridCol w:w="1095"/>
        <w:gridCol w:w="867"/>
        <w:gridCol w:w="1038"/>
      </w:tblGrid>
      <w:tr w:rsidR="00E51CDD" w14:paraId="06A54625" w14:textId="77777777" w:rsidTr="009938D9">
        <w:trPr>
          <w:trHeight w:val="373"/>
        </w:trPr>
        <w:tc>
          <w:tcPr>
            <w:tcW w:w="633" w:type="pct"/>
            <w:vMerge w:val="restart"/>
            <w:tcBorders>
              <w:top w:val="single" w:sz="4" w:space="0" w:color="auto"/>
              <w:left w:val="single" w:sz="4" w:space="0" w:color="auto"/>
              <w:bottom w:val="single" w:sz="4" w:space="0" w:color="auto"/>
              <w:right w:val="single" w:sz="4" w:space="0" w:color="auto"/>
            </w:tcBorders>
            <w:vAlign w:val="center"/>
            <w:hideMark/>
          </w:tcPr>
          <w:p w14:paraId="7552A596" w14:textId="77777777" w:rsidR="00E51CDD" w:rsidRDefault="00E51CDD" w:rsidP="009938D9">
            <w:pPr>
              <w:widowControl w:val="0"/>
              <w:tabs>
                <w:tab w:val="left" w:pos="720"/>
              </w:tabs>
              <w:rPr>
                <w:rFonts w:eastAsia="Batang"/>
                <w:b/>
                <w:bCs/>
                <w:sz w:val="16"/>
                <w:szCs w:val="16"/>
                <w:lang w:val="en-GB" w:eastAsia="zh-CN"/>
              </w:rPr>
            </w:pPr>
            <w:r>
              <w:rPr>
                <w:rFonts w:eastAsia="Batang"/>
                <w:b/>
                <w:bCs/>
                <w:sz w:val="16"/>
                <w:szCs w:val="16"/>
                <w:lang w:val="en-GB" w:eastAsia="zh-CN"/>
              </w:rPr>
              <w:t>Data from Data_Entry worksheet</w:t>
            </w:r>
          </w:p>
        </w:tc>
        <w:tc>
          <w:tcPr>
            <w:tcW w:w="766" w:type="pct"/>
            <w:tcBorders>
              <w:top w:val="single" w:sz="4" w:space="0" w:color="auto"/>
              <w:left w:val="single" w:sz="4" w:space="0" w:color="auto"/>
              <w:bottom w:val="single" w:sz="4" w:space="0" w:color="auto"/>
              <w:right w:val="single" w:sz="4" w:space="0" w:color="auto"/>
            </w:tcBorders>
            <w:vAlign w:val="center"/>
            <w:hideMark/>
          </w:tcPr>
          <w:p w14:paraId="7EA76805"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Crop</w:t>
            </w:r>
          </w:p>
        </w:tc>
        <w:tc>
          <w:tcPr>
            <w:tcW w:w="696" w:type="pct"/>
            <w:tcBorders>
              <w:top w:val="single" w:sz="4" w:space="0" w:color="auto"/>
              <w:left w:val="single" w:sz="4" w:space="0" w:color="auto"/>
              <w:bottom w:val="single" w:sz="4" w:space="0" w:color="auto"/>
              <w:right w:val="single" w:sz="4" w:space="0" w:color="auto"/>
            </w:tcBorders>
            <w:vAlign w:val="center"/>
            <w:hideMark/>
          </w:tcPr>
          <w:p w14:paraId="774E83D2"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Application rate (kg virtual compound/ha)</w:t>
            </w:r>
          </w:p>
        </w:tc>
        <w:tc>
          <w:tcPr>
            <w:tcW w:w="627" w:type="pct"/>
            <w:tcBorders>
              <w:top w:val="single" w:sz="4" w:space="0" w:color="auto"/>
              <w:left w:val="single" w:sz="4" w:space="0" w:color="auto"/>
              <w:bottom w:val="single" w:sz="4" w:space="0" w:color="auto"/>
              <w:right w:val="single" w:sz="4" w:space="0" w:color="auto"/>
            </w:tcBorders>
            <w:vAlign w:val="center"/>
            <w:hideMark/>
          </w:tcPr>
          <w:p w14:paraId="1A2400CF"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Number of applications</w:t>
            </w:r>
          </w:p>
        </w:tc>
        <w:tc>
          <w:tcPr>
            <w:tcW w:w="673" w:type="pct"/>
            <w:tcBorders>
              <w:top w:val="single" w:sz="4" w:space="0" w:color="auto"/>
              <w:left w:val="single" w:sz="4" w:space="0" w:color="auto"/>
              <w:bottom w:val="single" w:sz="4" w:space="0" w:color="auto"/>
              <w:right w:val="single" w:sz="4" w:space="0" w:color="auto"/>
            </w:tcBorders>
            <w:vAlign w:val="center"/>
            <w:hideMark/>
          </w:tcPr>
          <w:p w14:paraId="723FBFDE"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Application Interval</w:t>
            </w:r>
          </w:p>
        </w:tc>
        <w:tc>
          <w:tcPr>
            <w:tcW w:w="586" w:type="pct"/>
            <w:tcBorders>
              <w:top w:val="single" w:sz="4" w:space="0" w:color="auto"/>
              <w:left w:val="single" w:sz="4" w:space="0" w:color="auto"/>
              <w:bottom w:val="single" w:sz="4" w:space="0" w:color="auto"/>
              <w:right w:val="single" w:sz="4" w:space="0" w:color="auto"/>
            </w:tcBorders>
            <w:vAlign w:val="center"/>
            <w:hideMark/>
          </w:tcPr>
          <w:p w14:paraId="12B08A1B"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DT</w:t>
            </w:r>
            <w:r>
              <w:rPr>
                <w:rFonts w:eastAsia="Batang"/>
                <w:b/>
                <w:bCs/>
                <w:sz w:val="16"/>
                <w:szCs w:val="16"/>
                <w:vertAlign w:val="subscript"/>
                <w:lang w:val="en-GB" w:eastAsia="zh-CN"/>
              </w:rPr>
              <w:t>50</w:t>
            </w:r>
          </w:p>
        </w:tc>
        <w:tc>
          <w:tcPr>
            <w:tcW w:w="464" w:type="pct"/>
            <w:tcBorders>
              <w:top w:val="single" w:sz="4" w:space="0" w:color="auto"/>
              <w:left w:val="single" w:sz="4" w:space="0" w:color="auto"/>
              <w:bottom w:val="single" w:sz="4" w:space="0" w:color="auto"/>
              <w:right w:val="single" w:sz="4" w:space="0" w:color="auto"/>
            </w:tcBorders>
            <w:vAlign w:val="center"/>
            <w:hideMark/>
          </w:tcPr>
          <w:p w14:paraId="19AEFB5D"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LD</w:t>
            </w:r>
            <w:r>
              <w:rPr>
                <w:rFonts w:eastAsia="Batang"/>
                <w:b/>
                <w:bCs/>
                <w:sz w:val="16"/>
                <w:szCs w:val="16"/>
                <w:vertAlign w:val="subscript"/>
                <w:lang w:val="en-GB" w:eastAsia="zh-CN"/>
              </w:rPr>
              <w:t>50</w:t>
            </w:r>
          </w:p>
        </w:tc>
        <w:tc>
          <w:tcPr>
            <w:tcW w:w="555" w:type="pct"/>
            <w:tcBorders>
              <w:top w:val="single" w:sz="4" w:space="0" w:color="auto"/>
              <w:left w:val="single" w:sz="4" w:space="0" w:color="auto"/>
              <w:bottom w:val="single" w:sz="4" w:space="0" w:color="auto"/>
              <w:right w:val="single" w:sz="4" w:space="0" w:color="auto"/>
            </w:tcBorders>
            <w:noWrap/>
            <w:vAlign w:val="bottom"/>
            <w:hideMark/>
          </w:tcPr>
          <w:p w14:paraId="68EDD22F" w14:textId="77777777" w:rsidR="00E51CDD" w:rsidRDefault="00E51CDD" w:rsidP="009938D9">
            <w:pPr>
              <w:widowControl w:val="0"/>
              <w:tabs>
                <w:tab w:val="left" w:pos="720"/>
              </w:tabs>
              <w:jc w:val="both"/>
              <w:rPr>
                <w:rFonts w:eastAsia="Batang"/>
                <w:sz w:val="16"/>
                <w:szCs w:val="16"/>
                <w:lang w:val="en-GB" w:eastAsia="zh-CN"/>
              </w:rPr>
            </w:pPr>
            <w:r>
              <w:rPr>
                <w:rFonts w:eastAsia="Batang"/>
                <w:sz w:val="16"/>
                <w:szCs w:val="16"/>
                <w:lang w:val="en-GB" w:eastAsia="zh-CN"/>
              </w:rPr>
              <w:t> </w:t>
            </w:r>
          </w:p>
        </w:tc>
      </w:tr>
      <w:tr w:rsidR="00E51CDD" w14:paraId="3A5E880E" w14:textId="77777777" w:rsidTr="009938D9">
        <w:trPr>
          <w:trHeight w:val="2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80B098" w14:textId="77777777" w:rsidR="00E51CDD" w:rsidRDefault="00E51CDD" w:rsidP="009938D9">
            <w:pPr>
              <w:rPr>
                <w:rFonts w:eastAsia="Batang"/>
                <w:b/>
                <w:bCs/>
                <w:sz w:val="16"/>
                <w:szCs w:val="16"/>
                <w:lang w:val="en-GB" w:eastAsia="zh-CN"/>
              </w:rPr>
            </w:pPr>
          </w:p>
        </w:tc>
        <w:tc>
          <w:tcPr>
            <w:tcW w:w="766" w:type="pct"/>
            <w:tcBorders>
              <w:top w:val="single" w:sz="4" w:space="0" w:color="auto"/>
              <w:left w:val="single" w:sz="4" w:space="0" w:color="auto"/>
              <w:bottom w:val="single" w:sz="4" w:space="0" w:color="auto"/>
              <w:right w:val="single" w:sz="4" w:space="0" w:color="auto"/>
            </w:tcBorders>
            <w:vAlign w:val="center"/>
            <w:hideMark/>
          </w:tcPr>
          <w:p w14:paraId="1D035EB5" w14:textId="77777777" w:rsidR="00E51CDD" w:rsidRDefault="00E51CDD" w:rsidP="009938D9">
            <w:pPr>
              <w:widowControl w:val="0"/>
              <w:tabs>
                <w:tab w:val="left" w:pos="720"/>
              </w:tabs>
              <w:jc w:val="center"/>
              <w:rPr>
                <w:sz w:val="16"/>
                <w:szCs w:val="16"/>
                <w:lang w:val="en-GB"/>
              </w:rPr>
            </w:pPr>
            <w:r>
              <w:rPr>
                <w:sz w:val="16"/>
                <w:szCs w:val="16"/>
                <w:lang w:val="en-GB"/>
              </w:rPr>
              <w:t>Cereals</w:t>
            </w:r>
          </w:p>
        </w:tc>
        <w:tc>
          <w:tcPr>
            <w:tcW w:w="696" w:type="pct"/>
            <w:tcBorders>
              <w:top w:val="single" w:sz="4" w:space="0" w:color="auto"/>
              <w:left w:val="single" w:sz="4" w:space="0" w:color="auto"/>
              <w:bottom w:val="single" w:sz="4" w:space="0" w:color="auto"/>
              <w:right w:val="single" w:sz="4" w:space="0" w:color="auto"/>
            </w:tcBorders>
            <w:vAlign w:val="center"/>
            <w:hideMark/>
          </w:tcPr>
          <w:p w14:paraId="25551508" w14:textId="77777777" w:rsidR="00E51CDD" w:rsidRDefault="00E51CDD" w:rsidP="009938D9">
            <w:pPr>
              <w:widowControl w:val="0"/>
              <w:tabs>
                <w:tab w:val="left" w:pos="720"/>
              </w:tabs>
              <w:jc w:val="center"/>
              <w:rPr>
                <w:sz w:val="16"/>
                <w:szCs w:val="16"/>
                <w:lang w:val="en-GB"/>
              </w:rPr>
            </w:pPr>
            <w:r>
              <w:rPr>
                <w:sz w:val="16"/>
                <w:szCs w:val="16"/>
                <w:lang w:val="de-DE"/>
              </w:rPr>
              <w:t>0.250</w:t>
            </w:r>
          </w:p>
        </w:tc>
        <w:tc>
          <w:tcPr>
            <w:tcW w:w="627" w:type="pct"/>
            <w:tcBorders>
              <w:top w:val="single" w:sz="4" w:space="0" w:color="auto"/>
              <w:left w:val="single" w:sz="4" w:space="0" w:color="auto"/>
              <w:bottom w:val="single" w:sz="4" w:space="0" w:color="auto"/>
              <w:right w:val="single" w:sz="4" w:space="0" w:color="auto"/>
            </w:tcBorders>
            <w:vAlign w:val="center"/>
            <w:hideMark/>
          </w:tcPr>
          <w:p w14:paraId="4C148E20" w14:textId="77777777" w:rsidR="00E51CDD" w:rsidRDefault="00E51CDD" w:rsidP="009938D9">
            <w:pPr>
              <w:widowControl w:val="0"/>
              <w:tabs>
                <w:tab w:val="left" w:pos="720"/>
              </w:tabs>
              <w:jc w:val="center"/>
              <w:rPr>
                <w:sz w:val="16"/>
                <w:szCs w:val="16"/>
                <w:lang w:val="en-GB"/>
              </w:rPr>
            </w:pPr>
            <w:r>
              <w:rPr>
                <w:sz w:val="16"/>
                <w:szCs w:val="16"/>
                <w:lang w:val="de-DE"/>
              </w:rPr>
              <w:t>2</w:t>
            </w:r>
          </w:p>
        </w:tc>
        <w:tc>
          <w:tcPr>
            <w:tcW w:w="673" w:type="pct"/>
            <w:tcBorders>
              <w:top w:val="single" w:sz="4" w:space="0" w:color="auto"/>
              <w:left w:val="single" w:sz="4" w:space="0" w:color="auto"/>
              <w:bottom w:val="single" w:sz="4" w:space="0" w:color="auto"/>
              <w:right w:val="single" w:sz="4" w:space="0" w:color="auto"/>
            </w:tcBorders>
            <w:vAlign w:val="center"/>
            <w:hideMark/>
          </w:tcPr>
          <w:p w14:paraId="4B9D40A2" w14:textId="77777777" w:rsidR="00E51CDD" w:rsidRDefault="00E51CDD" w:rsidP="009938D9">
            <w:pPr>
              <w:widowControl w:val="0"/>
              <w:tabs>
                <w:tab w:val="left" w:pos="720"/>
              </w:tabs>
              <w:jc w:val="center"/>
              <w:rPr>
                <w:sz w:val="16"/>
                <w:szCs w:val="16"/>
                <w:lang w:val="en-GB"/>
              </w:rPr>
            </w:pPr>
            <w:r>
              <w:rPr>
                <w:sz w:val="16"/>
                <w:szCs w:val="16"/>
                <w:lang w:val="en-GB"/>
              </w:rPr>
              <w:t>21</w:t>
            </w:r>
          </w:p>
        </w:tc>
        <w:tc>
          <w:tcPr>
            <w:tcW w:w="586" w:type="pct"/>
            <w:tcBorders>
              <w:top w:val="single" w:sz="4" w:space="0" w:color="auto"/>
              <w:left w:val="single" w:sz="4" w:space="0" w:color="auto"/>
              <w:bottom w:val="single" w:sz="4" w:space="0" w:color="auto"/>
              <w:right w:val="single" w:sz="4" w:space="0" w:color="auto"/>
            </w:tcBorders>
            <w:vAlign w:val="center"/>
            <w:hideMark/>
          </w:tcPr>
          <w:p w14:paraId="6AC56CFA" w14:textId="77777777" w:rsidR="00E51CDD" w:rsidRDefault="00E51CDD" w:rsidP="009938D9">
            <w:pPr>
              <w:widowControl w:val="0"/>
              <w:tabs>
                <w:tab w:val="left" w:pos="720"/>
              </w:tabs>
              <w:jc w:val="center"/>
              <w:rPr>
                <w:sz w:val="16"/>
                <w:szCs w:val="16"/>
                <w:lang w:val="en-GB"/>
              </w:rPr>
            </w:pPr>
            <w:r>
              <w:rPr>
                <w:sz w:val="16"/>
                <w:szCs w:val="16"/>
                <w:lang w:val="de-DE"/>
              </w:rPr>
              <w:t>10.0</w:t>
            </w:r>
          </w:p>
        </w:tc>
        <w:tc>
          <w:tcPr>
            <w:tcW w:w="464" w:type="pct"/>
            <w:tcBorders>
              <w:top w:val="single" w:sz="4" w:space="0" w:color="auto"/>
              <w:left w:val="single" w:sz="4" w:space="0" w:color="auto"/>
              <w:bottom w:val="single" w:sz="4" w:space="0" w:color="auto"/>
              <w:right w:val="single" w:sz="4" w:space="0" w:color="auto"/>
            </w:tcBorders>
            <w:noWrap/>
            <w:vAlign w:val="center"/>
            <w:hideMark/>
          </w:tcPr>
          <w:p w14:paraId="74785743" w14:textId="77777777" w:rsidR="00E51CDD" w:rsidRPr="00CD4A40" w:rsidRDefault="00E51CDD" w:rsidP="009938D9">
            <w:pPr>
              <w:widowControl w:val="0"/>
              <w:tabs>
                <w:tab w:val="left" w:pos="720"/>
              </w:tabs>
              <w:jc w:val="center"/>
              <w:rPr>
                <w:strike/>
                <w:color w:val="D9D9D9" w:themeColor="background1" w:themeShade="D9"/>
                <w:sz w:val="16"/>
                <w:szCs w:val="16"/>
                <w:lang w:val="de-DE"/>
              </w:rPr>
            </w:pPr>
            <w:r w:rsidRPr="00CD4A40">
              <w:rPr>
                <w:strike/>
                <w:color w:val="D9D9D9" w:themeColor="background1" w:themeShade="D9"/>
                <w:sz w:val="16"/>
                <w:szCs w:val="16"/>
                <w:lang w:val="de-DE"/>
              </w:rPr>
              <w:t>2463.5</w:t>
            </w:r>
          </w:p>
          <w:p w14:paraId="32F2A2C4" w14:textId="09DEACF8" w:rsidR="00CD4A40" w:rsidRDefault="00CD4A40" w:rsidP="009938D9">
            <w:pPr>
              <w:widowControl w:val="0"/>
              <w:tabs>
                <w:tab w:val="left" w:pos="720"/>
              </w:tabs>
              <w:jc w:val="center"/>
              <w:rPr>
                <w:sz w:val="16"/>
                <w:szCs w:val="16"/>
                <w:lang w:val="en-GB"/>
              </w:rPr>
            </w:pPr>
            <w:r w:rsidRPr="00CD4A40">
              <w:rPr>
                <w:sz w:val="16"/>
                <w:szCs w:val="16"/>
                <w:shd w:val="clear" w:color="auto" w:fill="D9D9D9" w:themeFill="background1" w:themeFillShade="D9"/>
                <w:lang w:val="de-DE"/>
              </w:rPr>
              <w:t>2000</w:t>
            </w:r>
          </w:p>
        </w:tc>
        <w:tc>
          <w:tcPr>
            <w:tcW w:w="555" w:type="pct"/>
            <w:tcBorders>
              <w:top w:val="single" w:sz="4" w:space="0" w:color="auto"/>
              <w:left w:val="single" w:sz="4" w:space="0" w:color="auto"/>
              <w:bottom w:val="single" w:sz="4" w:space="0" w:color="auto"/>
              <w:right w:val="single" w:sz="4" w:space="0" w:color="auto"/>
            </w:tcBorders>
            <w:noWrap/>
            <w:vAlign w:val="bottom"/>
            <w:hideMark/>
          </w:tcPr>
          <w:p w14:paraId="215AFB11" w14:textId="77777777" w:rsidR="00E51CDD" w:rsidRDefault="00E51CDD" w:rsidP="009938D9">
            <w:pPr>
              <w:widowControl w:val="0"/>
              <w:tabs>
                <w:tab w:val="left" w:pos="720"/>
              </w:tabs>
              <w:jc w:val="both"/>
              <w:rPr>
                <w:rFonts w:eastAsia="Batang"/>
                <w:sz w:val="16"/>
                <w:szCs w:val="16"/>
                <w:lang w:val="en-GB" w:eastAsia="zh-CN"/>
              </w:rPr>
            </w:pPr>
            <w:r>
              <w:rPr>
                <w:rFonts w:eastAsia="Batang"/>
                <w:sz w:val="16"/>
                <w:szCs w:val="16"/>
                <w:lang w:val="en-GB" w:eastAsia="zh-CN"/>
              </w:rPr>
              <w:t> </w:t>
            </w:r>
          </w:p>
        </w:tc>
      </w:tr>
      <w:tr w:rsidR="00E51CDD" w14:paraId="3A81F1EE" w14:textId="77777777" w:rsidTr="009938D9">
        <w:trPr>
          <w:trHeight w:val="300"/>
        </w:trPr>
        <w:tc>
          <w:tcPr>
            <w:tcW w:w="5000" w:type="pct"/>
            <w:gridSpan w:val="8"/>
            <w:tcBorders>
              <w:top w:val="single" w:sz="4" w:space="0" w:color="auto"/>
              <w:left w:val="single" w:sz="4" w:space="0" w:color="auto"/>
              <w:bottom w:val="single" w:sz="4" w:space="0" w:color="auto"/>
              <w:right w:val="single" w:sz="4" w:space="0" w:color="auto"/>
            </w:tcBorders>
            <w:noWrap/>
            <w:vAlign w:val="center"/>
            <w:hideMark/>
          </w:tcPr>
          <w:p w14:paraId="5796427F" w14:textId="77777777" w:rsidR="00E51CDD" w:rsidRDefault="00E51CDD" w:rsidP="009938D9">
            <w:pPr>
              <w:widowControl w:val="0"/>
              <w:tabs>
                <w:tab w:val="left" w:pos="720"/>
              </w:tabs>
              <w:rPr>
                <w:rFonts w:eastAsia="Batang"/>
                <w:b/>
                <w:bCs/>
                <w:sz w:val="16"/>
                <w:szCs w:val="16"/>
                <w:lang w:val="en-GB" w:eastAsia="zh-CN"/>
              </w:rPr>
            </w:pPr>
            <w:r>
              <w:rPr>
                <w:rFonts w:eastAsia="Batang"/>
                <w:b/>
                <w:bCs/>
                <w:sz w:val="16"/>
                <w:szCs w:val="16"/>
                <w:lang w:val="en-GB" w:eastAsia="zh-CN"/>
              </w:rPr>
              <w:t>Screening step:</w:t>
            </w:r>
          </w:p>
        </w:tc>
      </w:tr>
      <w:tr w:rsidR="00E51CDD" w14:paraId="7DF2350A" w14:textId="77777777" w:rsidTr="009938D9">
        <w:trPr>
          <w:trHeight w:val="868"/>
        </w:trPr>
        <w:tc>
          <w:tcPr>
            <w:tcW w:w="633" w:type="pct"/>
            <w:vMerge w:val="restart"/>
            <w:tcBorders>
              <w:top w:val="single" w:sz="4" w:space="0" w:color="auto"/>
              <w:left w:val="single" w:sz="4" w:space="0" w:color="auto"/>
              <w:bottom w:val="single" w:sz="4" w:space="0" w:color="auto"/>
              <w:right w:val="single" w:sz="4" w:space="0" w:color="auto"/>
            </w:tcBorders>
            <w:vAlign w:val="center"/>
            <w:hideMark/>
          </w:tcPr>
          <w:p w14:paraId="262B119A" w14:textId="77777777" w:rsidR="00E51CDD" w:rsidRDefault="00E51CDD" w:rsidP="009938D9">
            <w:pPr>
              <w:widowControl w:val="0"/>
              <w:tabs>
                <w:tab w:val="left" w:pos="720"/>
              </w:tabs>
              <w:rPr>
                <w:rFonts w:eastAsia="Batang"/>
                <w:sz w:val="16"/>
                <w:szCs w:val="16"/>
                <w:lang w:val="en-GB" w:eastAsia="zh-CN"/>
              </w:rPr>
            </w:pPr>
            <w:r>
              <w:rPr>
                <w:rFonts w:eastAsia="Batang"/>
                <w:sz w:val="16"/>
                <w:szCs w:val="16"/>
                <w:lang w:val="en-GB" w:eastAsia="zh-CN"/>
              </w:rPr>
              <w:t>Acute risk assessment screening step</w:t>
            </w:r>
          </w:p>
        </w:tc>
        <w:tc>
          <w:tcPr>
            <w:tcW w:w="766" w:type="pct"/>
            <w:tcBorders>
              <w:top w:val="single" w:sz="4" w:space="0" w:color="auto"/>
              <w:left w:val="single" w:sz="4" w:space="0" w:color="auto"/>
              <w:bottom w:val="single" w:sz="4" w:space="0" w:color="auto"/>
              <w:right w:val="single" w:sz="4" w:space="0" w:color="auto"/>
            </w:tcBorders>
            <w:vAlign w:val="center"/>
            <w:hideMark/>
          </w:tcPr>
          <w:p w14:paraId="5D4F0820"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Indicator species</w:t>
            </w:r>
          </w:p>
        </w:tc>
        <w:tc>
          <w:tcPr>
            <w:tcW w:w="696" w:type="pct"/>
            <w:tcBorders>
              <w:top w:val="single" w:sz="4" w:space="0" w:color="auto"/>
              <w:left w:val="single" w:sz="4" w:space="0" w:color="auto"/>
              <w:bottom w:val="single" w:sz="4" w:space="0" w:color="auto"/>
              <w:right w:val="single" w:sz="4" w:space="0" w:color="auto"/>
            </w:tcBorders>
            <w:vAlign w:val="center"/>
            <w:hideMark/>
          </w:tcPr>
          <w:p w14:paraId="3BF7A2E5"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Shortcut value</w:t>
            </w:r>
          </w:p>
        </w:tc>
        <w:tc>
          <w:tcPr>
            <w:tcW w:w="627" w:type="pct"/>
            <w:tcBorders>
              <w:top w:val="single" w:sz="4" w:space="0" w:color="auto"/>
              <w:left w:val="single" w:sz="4" w:space="0" w:color="auto"/>
              <w:bottom w:val="single" w:sz="4" w:space="0" w:color="auto"/>
              <w:right w:val="single" w:sz="4" w:space="0" w:color="auto"/>
            </w:tcBorders>
            <w:vAlign w:val="center"/>
            <w:hideMark/>
          </w:tcPr>
          <w:p w14:paraId="2630FAEB"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Daily Dietary Dose (single)</w:t>
            </w:r>
          </w:p>
        </w:tc>
        <w:tc>
          <w:tcPr>
            <w:tcW w:w="673" w:type="pct"/>
            <w:tcBorders>
              <w:top w:val="single" w:sz="4" w:space="0" w:color="auto"/>
              <w:left w:val="single" w:sz="4" w:space="0" w:color="auto"/>
              <w:bottom w:val="single" w:sz="4" w:space="0" w:color="auto"/>
              <w:right w:val="single" w:sz="4" w:space="0" w:color="auto"/>
            </w:tcBorders>
            <w:vAlign w:val="center"/>
            <w:hideMark/>
          </w:tcPr>
          <w:p w14:paraId="4016C70A"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MAF (90)</w:t>
            </w:r>
          </w:p>
        </w:tc>
        <w:tc>
          <w:tcPr>
            <w:tcW w:w="586" w:type="pct"/>
            <w:tcBorders>
              <w:top w:val="single" w:sz="4" w:space="0" w:color="auto"/>
              <w:left w:val="single" w:sz="4" w:space="0" w:color="auto"/>
              <w:bottom w:val="single" w:sz="4" w:space="0" w:color="auto"/>
              <w:right w:val="single" w:sz="4" w:space="0" w:color="auto"/>
            </w:tcBorders>
            <w:vAlign w:val="center"/>
            <w:hideMark/>
          </w:tcPr>
          <w:p w14:paraId="44DE90EA"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Daily Dietary Dose (Multiple)</w:t>
            </w:r>
          </w:p>
        </w:tc>
        <w:tc>
          <w:tcPr>
            <w:tcW w:w="464" w:type="pct"/>
            <w:tcBorders>
              <w:top w:val="single" w:sz="4" w:space="0" w:color="auto"/>
              <w:left w:val="single" w:sz="4" w:space="0" w:color="auto"/>
              <w:bottom w:val="single" w:sz="4" w:space="0" w:color="auto"/>
              <w:right w:val="single" w:sz="4" w:space="0" w:color="auto"/>
            </w:tcBorders>
            <w:vAlign w:val="center"/>
            <w:hideMark/>
          </w:tcPr>
          <w:p w14:paraId="296A4962" w14:textId="77777777" w:rsidR="00E51CDD" w:rsidRDefault="00E51CDD" w:rsidP="009938D9">
            <w:pPr>
              <w:widowControl w:val="0"/>
              <w:tabs>
                <w:tab w:val="left" w:pos="720"/>
              </w:tabs>
              <w:jc w:val="center"/>
              <w:rPr>
                <w:rFonts w:eastAsia="Batang"/>
                <w:b/>
                <w:bCs/>
                <w:sz w:val="16"/>
                <w:szCs w:val="16"/>
                <w:lang w:val="en-GB" w:eastAsia="zh-CN"/>
              </w:rPr>
            </w:pPr>
            <w:r>
              <w:rPr>
                <w:rFonts w:eastAsia="Batang"/>
                <w:b/>
                <w:bCs/>
                <w:sz w:val="16"/>
                <w:szCs w:val="16"/>
                <w:lang w:val="en-GB" w:eastAsia="zh-CN"/>
              </w:rPr>
              <w:t>TER</w:t>
            </w:r>
          </w:p>
        </w:tc>
        <w:tc>
          <w:tcPr>
            <w:tcW w:w="555" w:type="pct"/>
            <w:vMerge w:val="restart"/>
            <w:tcBorders>
              <w:top w:val="single" w:sz="4" w:space="0" w:color="auto"/>
              <w:left w:val="single" w:sz="4" w:space="0" w:color="auto"/>
              <w:bottom w:val="single" w:sz="4" w:space="0" w:color="auto"/>
              <w:right w:val="single" w:sz="4" w:space="0" w:color="auto"/>
            </w:tcBorders>
            <w:vAlign w:val="center"/>
            <w:hideMark/>
          </w:tcPr>
          <w:p w14:paraId="6D8E0F6A" w14:textId="77777777" w:rsidR="00E51CDD" w:rsidRDefault="00E51CDD" w:rsidP="009938D9">
            <w:pPr>
              <w:widowControl w:val="0"/>
              <w:tabs>
                <w:tab w:val="left" w:pos="720"/>
              </w:tabs>
              <w:jc w:val="center"/>
              <w:rPr>
                <w:bCs/>
                <w:sz w:val="16"/>
                <w:szCs w:val="16"/>
                <w:lang w:val="en-GB"/>
              </w:rPr>
            </w:pPr>
            <w:r>
              <w:rPr>
                <w:rFonts w:eastAsia="Batang"/>
                <w:bCs/>
                <w:sz w:val="16"/>
                <w:szCs w:val="16"/>
                <w:lang w:val="en-GB" w:eastAsia="zh-CN"/>
              </w:rPr>
              <w:t>No refinement step required</w:t>
            </w:r>
          </w:p>
        </w:tc>
      </w:tr>
      <w:tr w:rsidR="00E51CDD" w14:paraId="5EBC91FC" w14:textId="77777777" w:rsidTr="009938D9">
        <w:trPr>
          <w:trHeight w:val="4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E9B140" w14:textId="77777777" w:rsidR="00E51CDD" w:rsidRDefault="00E51CDD" w:rsidP="009938D9">
            <w:pPr>
              <w:rPr>
                <w:rFonts w:eastAsia="Batang"/>
                <w:sz w:val="16"/>
                <w:szCs w:val="16"/>
                <w:lang w:val="en-GB" w:eastAsia="zh-CN"/>
              </w:rPr>
            </w:pPr>
          </w:p>
        </w:tc>
        <w:tc>
          <w:tcPr>
            <w:tcW w:w="766" w:type="pct"/>
            <w:tcBorders>
              <w:top w:val="single" w:sz="4" w:space="0" w:color="auto"/>
              <w:left w:val="single" w:sz="4" w:space="0" w:color="auto"/>
              <w:bottom w:val="single" w:sz="4" w:space="0" w:color="auto"/>
              <w:right w:val="single" w:sz="4" w:space="0" w:color="auto"/>
            </w:tcBorders>
            <w:vAlign w:val="center"/>
            <w:hideMark/>
          </w:tcPr>
          <w:p w14:paraId="5341BE63" w14:textId="77777777" w:rsidR="00E51CDD" w:rsidRDefault="00E51CDD" w:rsidP="009938D9">
            <w:pPr>
              <w:widowControl w:val="0"/>
              <w:tabs>
                <w:tab w:val="left" w:pos="720"/>
              </w:tabs>
              <w:jc w:val="center"/>
              <w:rPr>
                <w:sz w:val="16"/>
                <w:szCs w:val="16"/>
                <w:lang w:val="en-GB"/>
              </w:rPr>
            </w:pPr>
            <w:r>
              <w:rPr>
                <w:sz w:val="16"/>
                <w:szCs w:val="16"/>
                <w:lang w:val="de-DE"/>
              </w:rPr>
              <w:t>Small omnivorous bird</w:t>
            </w:r>
          </w:p>
        </w:tc>
        <w:tc>
          <w:tcPr>
            <w:tcW w:w="696" w:type="pct"/>
            <w:tcBorders>
              <w:top w:val="single" w:sz="4" w:space="0" w:color="auto"/>
              <w:left w:val="single" w:sz="4" w:space="0" w:color="auto"/>
              <w:bottom w:val="single" w:sz="4" w:space="0" w:color="auto"/>
              <w:right w:val="single" w:sz="4" w:space="0" w:color="auto"/>
            </w:tcBorders>
            <w:vAlign w:val="center"/>
            <w:hideMark/>
          </w:tcPr>
          <w:p w14:paraId="1C31C983" w14:textId="77777777" w:rsidR="00E51CDD" w:rsidRDefault="00E51CDD" w:rsidP="009938D9">
            <w:pPr>
              <w:widowControl w:val="0"/>
              <w:tabs>
                <w:tab w:val="left" w:pos="720"/>
              </w:tabs>
              <w:jc w:val="center"/>
              <w:rPr>
                <w:sz w:val="16"/>
                <w:szCs w:val="16"/>
                <w:lang w:val="en-GB"/>
              </w:rPr>
            </w:pPr>
            <w:r>
              <w:rPr>
                <w:sz w:val="16"/>
                <w:szCs w:val="16"/>
                <w:lang w:val="de-DE"/>
              </w:rPr>
              <w:t>158.8</w:t>
            </w:r>
          </w:p>
        </w:tc>
        <w:tc>
          <w:tcPr>
            <w:tcW w:w="627" w:type="pct"/>
            <w:tcBorders>
              <w:top w:val="single" w:sz="4" w:space="0" w:color="auto"/>
              <w:left w:val="single" w:sz="4" w:space="0" w:color="auto"/>
              <w:bottom w:val="single" w:sz="4" w:space="0" w:color="auto"/>
              <w:right w:val="single" w:sz="4" w:space="0" w:color="auto"/>
            </w:tcBorders>
            <w:vAlign w:val="center"/>
            <w:hideMark/>
          </w:tcPr>
          <w:p w14:paraId="3D0C6F7F" w14:textId="77777777" w:rsidR="00E51CDD" w:rsidRPr="00403803" w:rsidRDefault="00E51CDD" w:rsidP="009938D9">
            <w:pPr>
              <w:widowControl w:val="0"/>
              <w:tabs>
                <w:tab w:val="left" w:pos="720"/>
              </w:tabs>
              <w:jc w:val="center"/>
              <w:rPr>
                <w:sz w:val="16"/>
                <w:szCs w:val="16"/>
                <w:lang w:val="en-GB"/>
              </w:rPr>
            </w:pPr>
            <w:r w:rsidRPr="00403803">
              <w:rPr>
                <w:color w:val="000000"/>
                <w:sz w:val="16"/>
                <w:szCs w:val="16"/>
              </w:rPr>
              <w:t>39.70</w:t>
            </w:r>
          </w:p>
        </w:tc>
        <w:tc>
          <w:tcPr>
            <w:tcW w:w="673" w:type="pct"/>
            <w:tcBorders>
              <w:top w:val="single" w:sz="4" w:space="0" w:color="auto"/>
              <w:left w:val="single" w:sz="4" w:space="0" w:color="auto"/>
              <w:bottom w:val="single" w:sz="4" w:space="0" w:color="auto"/>
              <w:right w:val="single" w:sz="4" w:space="0" w:color="auto"/>
            </w:tcBorders>
            <w:vAlign w:val="center"/>
            <w:hideMark/>
          </w:tcPr>
          <w:p w14:paraId="211E2ADD" w14:textId="77777777" w:rsidR="00E51CDD" w:rsidRPr="00403803" w:rsidRDefault="00E51CDD" w:rsidP="009938D9">
            <w:pPr>
              <w:widowControl w:val="0"/>
              <w:tabs>
                <w:tab w:val="left" w:pos="720"/>
              </w:tabs>
              <w:jc w:val="center"/>
              <w:rPr>
                <w:sz w:val="16"/>
                <w:szCs w:val="16"/>
                <w:lang w:val="en-GB"/>
              </w:rPr>
            </w:pPr>
            <w:r w:rsidRPr="00403803">
              <w:rPr>
                <w:color w:val="000000"/>
                <w:sz w:val="16"/>
                <w:szCs w:val="16"/>
              </w:rPr>
              <w:t>1.1</w:t>
            </w:r>
          </w:p>
        </w:tc>
        <w:tc>
          <w:tcPr>
            <w:tcW w:w="586" w:type="pct"/>
            <w:tcBorders>
              <w:top w:val="single" w:sz="4" w:space="0" w:color="auto"/>
              <w:left w:val="single" w:sz="4" w:space="0" w:color="auto"/>
              <w:bottom w:val="single" w:sz="4" w:space="0" w:color="auto"/>
              <w:right w:val="single" w:sz="4" w:space="0" w:color="auto"/>
            </w:tcBorders>
            <w:noWrap/>
            <w:vAlign w:val="center"/>
            <w:hideMark/>
          </w:tcPr>
          <w:p w14:paraId="1D5F1DF4" w14:textId="77777777" w:rsidR="00E51CDD" w:rsidRPr="00403803" w:rsidRDefault="00E51CDD" w:rsidP="009938D9">
            <w:pPr>
              <w:widowControl w:val="0"/>
              <w:tabs>
                <w:tab w:val="left" w:pos="720"/>
              </w:tabs>
              <w:jc w:val="center"/>
              <w:rPr>
                <w:sz w:val="16"/>
                <w:szCs w:val="16"/>
                <w:lang w:val="en-GB"/>
              </w:rPr>
            </w:pPr>
            <w:r w:rsidRPr="00403803">
              <w:rPr>
                <w:color w:val="000000"/>
                <w:sz w:val="16"/>
                <w:szCs w:val="16"/>
              </w:rPr>
              <w:t>43.67</w:t>
            </w:r>
          </w:p>
        </w:tc>
        <w:tc>
          <w:tcPr>
            <w:tcW w:w="464" w:type="pct"/>
            <w:tcBorders>
              <w:top w:val="single" w:sz="4" w:space="0" w:color="auto"/>
              <w:left w:val="single" w:sz="4" w:space="0" w:color="auto"/>
              <w:bottom w:val="single" w:sz="4" w:space="0" w:color="auto"/>
              <w:right w:val="single" w:sz="4" w:space="0" w:color="auto"/>
            </w:tcBorders>
            <w:vAlign w:val="center"/>
            <w:hideMark/>
          </w:tcPr>
          <w:p w14:paraId="5CC7DD3C" w14:textId="77777777" w:rsidR="00E51CDD" w:rsidRPr="009E2BB4" w:rsidRDefault="00E51CDD" w:rsidP="009938D9">
            <w:pPr>
              <w:widowControl w:val="0"/>
              <w:tabs>
                <w:tab w:val="left" w:pos="720"/>
              </w:tabs>
              <w:jc w:val="center"/>
              <w:rPr>
                <w:strike/>
                <w:color w:val="D9D9D9" w:themeColor="background1" w:themeShade="D9"/>
                <w:sz w:val="16"/>
                <w:szCs w:val="16"/>
              </w:rPr>
            </w:pPr>
            <w:r w:rsidRPr="009E2BB4">
              <w:rPr>
                <w:strike/>
                <w:color w:val="D9D9D9" w:themeColor="background1" w:themeShade="D9"/>
                <w:sz w:val="16"/>
                <w:szCs w:val="16"/>
              </w:rPr>
              <w:t>56.4</w:t>
            </w:r>
          </w:p>
          <w:p w14:paraId="650CDFEC" w14:textId="65E93966" w:rsidR="00CD4A40" w:rsidRPr="00403803" w:rsidRDefault="009E2BB4" w:rsidP="009938D9">
            <w:pPr>
              <w:widowControl w:val="0"/>
              <w:tabs>
                <w:tab w:val="left" w:pos="720"/>
              </w:tabs>
              <w:jc w:val="center"/>
              <w:rPr>
                <w:sz w:val="16"/>
                <w:szCs w:val="16"/>
                <w:lang w:val="en-GB"/>
              </w:rPr>
            </w:pPr>
            <w:r w:rsidRPr="009E2BB4">
              <w:rPr>
                <w:color w:val="000000"/>
                <w:sz w:val="16"/>
                <w:szCs w:val="16"/>
                <w:shd w:val="clear" w:color="auto" w:fill="D9D9D9" w:themeFill="background1" w:themeFillShade="D9"/>
              </w:rPr>
              <w:t>45.8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F7491C" w14:textId="77777777" w:rsidR="00E51CDD" w:rsidRDefault="00E51CDD" w:rsidP="009938D9">
            <w:pPr>
              <w:rPr>
                <w:bCs/>
                <w:sz w:val="16"/>
                <w:szCs w:val="16"/>
                <w:lang w:val="en-GB"/>
              </w:rPr>
            </w:pPr>
          </w:p>
        </w:tc>
      </w:tr>
    </w:tbl>
    <w:p w14:paraId="03395016" w14:textId="77777777" w:rsidR="00E51CDD" w:rsidRDefault="00E51CDD" w:rsidP="00E51CDD">
      <w:pPr>
        <w:widowControl w:val="0"/>
        <w:jc w:val="both"/>
        <w:rPr>
          <w:lang w:val="en-GB"/>
        </w:rPr>
      </w:pPr>
    </w:p>
    <w:p w14:paraId="48C1FFCF" w14:textId="77777777" w:rsidR="00E51CDD" w:rsidRDefault="00E51CDD" w:rsidP="00E51CDD">
      <w:pPr>
        <w:widowControl w:val="0"/>
        <w:jc w:val="both"/>
        <w:rPr>
          <w:lang w:val="en-GB"/>
        </w:rPr>
      </w:pPr>
    </w:p>
    <w:p w14:paraId="557F7B4C" w14:textId="77777777" w:rsidR="00E51CDD" w:rsidRDefault="00E51CDD" w:rsidP="00E51CDD">
      <w:pPr>
        <w:widowControl w:val="0"/>
        <w:tabs>
          <w:tab w:val="left" w:pos="720"/>
        </w:tabs>
        <w:suppressAutoHyphens/>
        <w:jc w:val="both"/>
        <w:rPr>
          <w:lang w:eastAsia="en-US"/>
        </w:rPr>
      </w:pPr>
      <w:r>
        <w:t>Note that this virtual compound acute TER was calculated according to the concentration addition approach and thus gives the same value as if calculated using equation TER</w:t>
      </w:r>
      <w:r>
        <w:rPr>
          <w:vertAlign w:val="subscript"/>
        </w:rPr>
        <w:t>A combi</w:t>
      </w:r>
      <w:r>
        <w:t xml:space="preserve"> = trigger/((trigger/TER</w:t>
      </w:r>
      <w:r>
        <w:rPr>
          <w:vertAlign w:val="subscript"/>
        </w:rPr>
        <w:t>A substance 1</w:t>
      </w:r>
      <w:r>
        <w:t>)+(trigger/TER</w:t>
      </w:r>
      <w:r>
        <w:rPr>
          <w:vertAlign w:val="subscript"/>
        </w:rPr>
        <w:t>A substance 2</w:t>
      </w:r>
      <w:r>
        <w:t>)).</w:t>
      </w:r>
    </w:p>
    <w:p w14:paraId="16A9EDF3" w14:textId="77777777" w:rsidR="00E51CDD" w:rsidRDefault="00E51CDD" w:rsidP="00E51CDD">
      <w:pPr>
        <w:widowControl w:val="0"/>
        <w:jc w:val="both"/>
        <w:rPr>
          <w:b/>
          <w:lang w:eastAsia="en-US"/>
        </w:rPr>
      </w:pPr>
    </w:p>
    <w:p w14:paraId="004CB760" w14:textId="417C0738" w:rsidR="00D3711F" w:rsidRDefault="00D3711F" w:rsidP="00E51CDD">
      <w:pPr>
        <w:widowControl w:val="0"/>
        <w:tabs>
          <w:tab w:val="left" w:pos="720"/>
        </w:tabs>
        <w:jc w:val="both"/>
        <w:rPr>
          <w:b/>
          <w:bCs/>
          <w:i/>
          <w:szCs w:val="24"/>
          <w:lang w:val="en-GB"/>
        </w:rPr>
      </w:pPr>
    </w:p>
    <w:p w14:paraId="4E2DCC7B" w14:textId="77777777" w:rsidR="00286DBE" w:rsidRDefault="00286DBE" w:rsidP="00E51CDD">
      <w:pPr>
        <w:widowControl w:val="0"/>
        <w:tabs>
          <w:tab w:val="left" w:pos="720"/>
        </w:tabs>
        <w:jc w:val="both"/>
        <w:rPr>
          <w:b/>
          <w:bCs/>
          <w:i/>
          <w:szCs w:val="24"/>
          <w:lang w:val="en-GB"/>
        </w:rPr>
      </w:pPr>
    </w:p>
    <w:p w14:paraId="10F7F5E8" w14:textId="19F5A878" w:rsidR="00E51CDD" w:rsidRDefault="00E51CDD" w:rsidP="00E51CDD">
      <w:pPr>
        <w:widowControl w:val="0"/>
        <w:tabs>
          <w:tab w:val="left" w:pos="720"/>
        </w:tabs>
        <w:jc w:val="both"/>
        <w:rPr>
          <w:b/>
          <w:bCs/>
          <w:i/>
          <w:szCs w:val="24"/>
          <w:lang w:val="en-GB"/>
        </w:rPr>
      </w:pPr>
      <w:r>
        <w:rPr>
          <w:b/>
          <w:bCs/>
          <w:i/>
          <w:szCs w:val="24"/>
          <w:lang w:val="en-GB"/>
        </w:rPr>
        <w:t>Exposure and acute risk assessment for combined active substances (</w:t>
      </w:r>
      <w:r>
        <w:rPr>
          <w:b/>
          <w:bCs/>
          <w:i/>
          <w:szCs w:val="24"/>
          <w:u w:val="single"/>
          <w:lang w:val="en-GB"/>
        </w:rPr>
        <w:t>formulation approach</w:t>
      </w:r>
      <w:r>
        <w:rPr>
          <w:b/>
          <w:bCs/>
          <w:i/>
          <w:szCs w:val="24"/>
          <w:lang w:val="en-GB"/>
        </w:rPr>
        <w:t>)</w:t>
      </w:r>
    </w:p>
    <w:p w14:paraId="13A170F8" w14:textId="77777777" w:rsidR="00E51CDD" w:rsidRDefault="00E51CDD" w:rsidP="00E51CDD">
      <w:pPr>
        <w:widowControl w:val="0"/>
        <w:jc w:val="both"/>
        <w:rPr>
          <w:lang w:val="en-GB" w:eastAsia="en-US"/>
        </w:rPr>
      </w:pPr>
    </w:p>
    <w:p w14:paraId="33778999" w14:textId="77777777" w:rsidR="00E51CDD" w:rsidRDefault="00E51CDD" w:rsidP="00E51CDD">
      <w:pPr>
        <w:widowControl w:val="0"/>
        <w:jc w:val="both"/>
        <w:rPr>
          <w:lang w:val="en-GB" w:eastAsia="en-US"/>
        </w:rPr>
      </w:pPr>
      <w:bookmarkStart w:id="215" w:name="_Hlk63234342"/>
      <w:r>
        <w:rPr>
          <w:lang w:val="en-GB" w:eastAsia="en-US"/>
        </w:rPr>
        <w:t>BAS 736 00 F is intended to be used with a maximum single application rate of 2.0 L</w:t>
      </w:r>
      <w:r>
        <w:rPr>
          <w:lang w:val="en-GB"/>
        </w:rPr>
        <w:t xml:space="preserve"> product/ha in the crop group cereals</w:t>
      </w:r>
      <w:r>
        <w:rPr>
          <w:lang w:val="en-GB" w:eastAsia="en-US"/>
        </w:rPr>
        <w:t>. Taking into account the density of the formulation of 1.078 g/cm</w:t>
      </w:r>
      <w:r>
        <w:rPr>
          <w:vertAlign w:val="superscript"/>
          <w:lang w:val="en-GB" w:eastAsia="en-US"/>
        </w:rPr>
        <w:t>3</w:t>
      </w:r>
      <w:r>
        <w:rPr>
          <w:lang w:val="en-GB" w:eastAsia="en-US"/>
        </w:rPr>
        <w:t>, this will result in an application rate of 2.156 kg BAS 736 00 F/ha.</w:t>
      </w:r>
    </w:p>
    <w:bookmarkEnd w:id="215"/>
    <w:p w14:paraId="0BE69292" w14:textId="77777777" w:rsidR="00E51CDD" w:rsidRDefault="00E51CDD" w:rsidP="00E51CDD">
      <w:pPr>
        <w:widowControl w:val="0"/>
        <w:jc w:val="both"/>
        <w:rPr>
          <w:lang w:val="en-GB" w:eastAsia="en-US"/>
        </w:rPr>
      </w:pPr>
    </w:p>
    <w:p w14:paraId="2791924E" w14:textId="6B421D29" w:rsidR="00E51CDD" w:rsidRDefault="00E51CDD" w:rsidP="00E51CDD">
      <w:pPr>
        <w:widowControl w:val="0"/>
        <w:jc w:val="both"/>
        <w:rPr>
          <w:lang w:val="en-GB"/>
        </w:rPr>
      </w:pPr>
      <w:r>
        <w:rPr>
          <w:lang w:val="en-GB" w:eastAsia="en-US"/>
        </w:rPr>
        <w:t xml:space="preserve">The dietary TER acute values for the tier 1 risk assessment presented in </w:t>
      </w:r>
      <w:r>
        <w:rPr>
          <w:lang w:val="en-GB" w:eastAsia="en-US"/>
        </w:rPr>
        <w:fldChar w:fldCharType="begin"/>
      </w:r>
      <w:r>
        <w:rPr>
          <w:lang w:val="en-GB" w:eastAsia="en-US"/>
        </w:rPr>
        <w:instrText xml:space="preserve"> REF _Ref439853421  \* MERGEFORMAT </w:instrText>
      </w:r>
      <w:r>
        <w:rPr>
          <w:lang w:val="en-GB" w:eastAsia="en-US"/>
        </w:rPr>
        <w:fldChar w:fldCharType="separate"/>
      </w:r>
      <w:r w:rsidR="00662F32" w:rsidRPr="00662F32">
        <w:rPr>
          <w:lang w:val="en-GB"/>
        </w:rPr>
        <w:t>Table 9.2</w:t>
      </w:r>
      <w:r w:rsidR="00662F32" w:rsidRPr="00662F32">
        <w:rPr>
          <w:lang w:val="en-GB"/>
        </w:rPr>
        <w:noBreakHyphen/>
        <w:t>10</w:t>
      </w:r>
      <w:r>
        <w:rPr>
          <w:lang w:val="en-GB" w:eastAsia="en-US"/>
        </w:rPr>
        <w:fldChar w:fldCharType="end"/>
      </w:r>
      <w:r>
        <w:rPr>
          <w:lang w:val="en-GB" w:eastAsia="en-US"/>
        </w:rPr>
        <w:t xml:space="preserve"> are above the trigger of 10. </w:t>
      </w:r>
      <w:r>
        <w:rPr>
          <w:lang w:val="en-GB"/>
        </w:rPr>
        <w:t>Therefore, the acute risk to birds from exposure to BAS 736 00 F is acceptable.</w:t>
      </w:r>
    </w:p>
    <w:p w14:paraId="16A674B5" w14:textId="77777777" w:rsidR="00E51CDD" w:rsidRDefault="00E51CDD" w:rsidP="00E51CDD">
      <w:pPr>
        <w:widowControl w:val="0"/>
        <w:jc w:val="both"/>
        <w:rPr>
          <w:lang w:val="en-GB" w:eastAsia="en-US"/>
        </w:rPr>
      </w:pPr>
    </w:p>
    <w:p w14:paraId="0AD80A57" w14:textId="53159AF8" w:rsidR="00E51CDD" w:rsidRDefault="00E51CDD" w:rsidP="00E51CDD">
      <w:pPr>
        <w:tabs>
          <w:tab w:val="left" w:pos="1980"/>
        </w:tabs>
        <w:spacing w:before="200" w:after="120"/>
        <w:ind w:left="1980" w:hanging="1980"/>
        <w:jc w:val="both"/>
        <w:rPr>
          <w:rFonts w:eastAsia="Batang"/>
          <w:bCs/>
          <w:lang w:val="en-GB" w:eastAsia="zh-CN"/>
        </w:rPr>
      </w:pPr>
      <w:bookmarkStart w:id="216" w:name="_Ref439853421"/>
      <w:r>
        <w:rPr>
          <w:b/>
          <w:bCs/>
          <w:lang w:val="en-GB"/>
        </w:rPr>
        <w:t xml:space="preserve">Table </w:t>
      </w:r>
      <w:r>
        <w:fldChar w:fldCharType="begin"/>
      </w:r>
      <w:r>
        <w:rPr>
          <w:b/>
          <w:bCs/>
          <w:lang w:val="en-GB"/>
        </w:rPr>
        <w:instrText xml:space="preserve"> STYLEREF 2 \s </w:instrText>
      </w:r>
      <w:r>
        <w:fldChar w:fldCharType="separate"/>
      </w:r>
      <w:r w:rsidR="00662F32">
        <w:rPr>
          <w:b/>
          <w:bCs/>
          <w:noProof/>
          <w:lang w:val="en-GB"/>
        </w:rPr>
        <w:t>9.2</w:t>
      </w:r>
      <w:r>
        <w:fldChar w:fldCharType="end"/>
      </w:r>
      <w:r>
        <w:rPr>
          <w:b/>
          <w:bCs/>
          <w:lang w:val="en-GB"/>
        </w:rPr>
        <w:noBreakHyphen/>
      </w:r>
      <w:r>
        <w:fldChar w:fldCharType="begin"/>
      </w:r>
      <w:r>
        <w:rPr>
          <w:b/>
          <w:bCs/>
          <w:lang w:val="en-GB"/>
        </w:rPr>
        <w:instrText xml:space="preserve"> SEQ Table \* ARABIC \s 2 </w:instrText>
      </w:r>
      <w:r>
        <w:fldChar w:fldCharType="separate"/>
      </w:r>
      <w:r w:rsidR="00662F32">
        <w:rPr>
          <w:b/>
          <w:bCs/>
          <w:noProof/>
          <w:lang w:val="en-GB"/>
        </w:rPr>
        <w:t>10</w:t>
      </w:r>
      <w:r>
        <w:fldChar w:fldCharType="end"/>
      </w:r>
      <w:bookmarkEnd w:id="216"/>
      <w:r>
        <w:rPr>
          <w:b/>
          <w:bCs/>
          <w:lang w:val="en-GB"/>
        </w:rPr>
        <w:t xml:space="preserve">: </w:t>
      </w:r>
      <w:r>
        <w:rPr>
          <w:b/>
          <w:bCs/>
          <w:lang w:val="en-GB"/>
        </w:rPr>
        <w:tab/>
        <w:t xml:space="preserve">Screening step and tier 1 calculations of the acute risk for birds due to the use of BAS 736 00 F in the crop group “cereals” – </w:t>
      </w:r>
      <w:r>
        <w:rPr>
          <w:b/>
          <w:bCs/>
          <w:lang w:val="en-GB" w:eastAsia="en-US"/>
        </w:rPr>
        <w:t>formulation approach</w:t>
      </w:r>
      <w:r>
        <w:rPr>
          <w:rFonts w:eastAsia="Batang"/>
          <w:b/>
          <w:bCs/>
          <w:lang w:val="en-GB" w:eastAsia="zh-CN"/>
        </w:rPr>
        <w:t xml:space="preserve"> </w:t>
      </w:r>
    </w:p>
    <w:tbl>
      <w:tblPr>
        <w:tblW w:w="494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
        <w:gridCol w:w="12"/>
        <w:gridCol w:w="1026"/>
        <w:gridCol w:w="44"/>
        <w:gridCol w:w="1257"/>
        <w:gridCol w:w="1146"/>
        <w:gridCol w:w="1103"/>
        <w:gridCol w:w="1256"/>
        <w:gridCol w:w="27"/>
        <w:gridCol w:w="1074"/>
        <w:gridCol w:w="1247"/>
      </w:tblGrid>
      <w:tr w:rsidR="00E51CDD" w14:paraId="1B16C1B7" w14:textId="77777777" w:rsidTr="009938D9">
        <w:trPr>
          <w:trHeight w:val="681"/>
        </w:trPr>
        <w:tc>
          <w:tcPr>
            <w:tcW w:w="578"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D116321"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Data from Data_Entry worksheet</w:t>
            </w:r>
          </w:p>
        </w:tc>
        <w:tc>
          <w:tcPr>
            <w:tcW w:w="559" w:type="pct"/>
            <w:tcBorders>
              <w:top w:val="single" w:sz="4" w:space="0" w:color="auto"/>
              <w:left w:val="single" w:sz="4" w:space="0" w:color="auto"/>
              <w:bottom w:val="single" w:sz="4" w:space="0" w:color="auto"/>
              <w:right w:val="single" w:sz="4" w:space="0" w:color="auto"/>
            </w:tcBorders>
            <w:vAlign w:val="center"/>
            <w:hideMark/>
          </w:tcPr>
          <w:p w14:paraId="3F14B351"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Crop</w:t>
            </w:r>
          </w:p>
        </w:tc>
        <w:tc>
          <w:tcPr>
            <w:tcW w:w="687" w:type="pct"/>
            <w:gridSpan w:val="2"/>
            <w:tcBorders>
              <w:top w:val="single" w:sz="4" w:space="0" w:color="auto"/>
              <w:left w:val="single" w:sz="4" w:space="0" w:color="auto"/>
              <w:bottom w:val="single" w:sz="4" w:space="0" w:color="auto"/>
              <w:right w:val="single" w:sz="4" w:space="0" w:color="auto"/>
            </w:tcBorders>
            <w:vAlign w:val="center"/>
            <w:hideMark/>
          </w:tcPr>
          <w:p w14:paraId="18300B76"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Application rate (kg formulation/ha)</w:t>
            </w:r>
          </w:p>
        </w:tc>
        <w:tc>
          <w:tcPr>
            <w:tcW w:w="622" w:type="pct"/>
            <w:tcBorders>
              <w:top w:val="single" w:sz="4" w:space="0" w:color="auto"/>
              <w:left w:val="single" w:sz="4" w:space="0" w:color="auto"/>
              <w:bottom w:val="single" w:sz="4" w:space="0" w:color="auto"/>
              <w:right w:val="single" w:sz="4" w:space="0" w:color="auto"/>
            </w:tcBorders>
            <w:vAlign w:val="center"/>
            <w:hideMark/>
          </w:tcPr>
          <w:p w14:paraId="063469F7"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Number of applications</w:t>
            </w:r>
          </w:p>
        </w:tc>
        <w:tc>
          <w:tcPr>
            <w:tcW w:w="599" w:type="pct"/>
            <w:tcBorders>
              <w:top w:val="single" w:sz="4" w:space="0" w:color="auto"/>
              <w:left w:val="single" w:sz="4" w:space="0" w:color="auto"/>
              <w:bottom w:val="single" w:sz="4" w:space="0" w:color="auto"/>
              <w:right w:val="single" w:sz="4" w:space="0" w:color="auto"/>
            </w:tcBorders>
            <w:vAlign w:val="center"/>
            <w:hideMark/>
          </w:tcPr>
          <w:p w14:paraId="23D1CFC5"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Application Interval</w:t>
            </w:r>
          </w:p>
        </w:tc>
        <w:tc>
          <w:tcPr>
            <w:tcW w:w="696" w:type="pct"/>
            <w:gridSpan w:val="2"/>
            <w:tcBorders>
              <w:top w:val="single" w:sz="4" w:space="0" w:color="auto"/>
              <w:left w:val="single" w:sz="4" w:space="0" w:color="auto"/>
              <w:bottom w:val="single" w:sz="4" w:space="0" w:color="auto"/>
              <w:right w:val="single" w:sz="4" w:space="0" w:color="auto"/>
            </w:tcBorders>
            <w:vAlign w:val="center"/>
            <w:hideMark/>
          </w:tcPr>
          <w:p w14:paraId="431C8465"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DT</w:t>
            </w:r>
            <w:r>
              <w:rPr>
                <w:rFonts w:eastAsia="Batang"/>
                <w:b/>
                <w:bCs/>
                <w:sz w:val="16"/>
                <w:szCs w:val="16"/>
                <w:vertAlign w:val="subscript"/>
                <w:lang w:val="en-GB" w:eastAsia="zh-CN"/>
              </w:rPr>
              <w:t>50</w:t>
            </w:r>
          </w:p>
        </w:tc>
        <w:tc>
          <w:tcPr>
            <w:tcW w:w="579" w:type="pct"/>
            <w:tcBorders>
              <w:top w:val="single" w:sz="4" w:space="0" w:color="auto"/>
              <w:left w:val="single" w:sz="4" w:space="0" w:color="auto"/>
              <w:bottom w:val="single" w:sz="4" w:space="0" w:color="auto"/>
              <w:right w:val="single" w:sz="4" w:space="0" w:color="auto"/>
            </w:tcBorders>
            <w:vAlign w:val="center"/>
            <w:hideMark/>
          </w:tcPr>
          <w:p w14:paraId="380FE9A3"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LD</w:t>
            </w:r>
            <w:r>
              <w:rPr>
                <w:rFonts w:eastAsia="Batang"/>
                <w:b/>
                <w:bCs/>
                <w:sz w:val="16"/>
                <w:szCs w:val="16"/>
                <w:vertAlign w:val="subscript"/>
                <w:lang w:val="en-GB" w:eastAsia="zh-CN"/>
              </w:rPr>
              <w:t>50</w:t>
            </w:r>
          </w:p>
        </w:tc>
        <w:tc>
          <w:tcPr>
            <w:tcW w:w="680" w:type="pct"/>
            <w:tcBorders>
              <w:top w:val="single" w:sz="4" w:space="0" w:color="auto"/>
              <w:left w:val="single" w:sz="4" w:space="0" w:color="auto"/>
              <w:bottom w:val="single" w:sz="4" w:space="0" w:color="auto"/>
              <w:right w:val="single" w:sz="4" w:space="0" w:color="auto"/>
            </w:tcBorders>
            <w:noWrap/>
            <w:vAlign w:val="center"/>
          </w:tcPr>
          <w:p w14:paraId="5582EEFA" w14:textId="77777777" w:rsidR="00E51CDD" w:rsidRDefault="00E51CDD" w:rsidP="009938D9">
            <w:pPr>
              <w:spacing w:beforeLines="40" w:before="96" w:afterLines="40" w:after="96"/>
              <w:jc w:val="center"/>
              <w:rPr>
                <w:rFonts w:eastAsia="Batang"/>
                <w:sz w:val="16"/>
                <w:szCs w:val="16"/>
                <w:lang w:val="en-GB" w:eastAsia="zh-CN"/>
              </w:rPr>
            </w:pPr>
          </w:p>
        </w:tc>
      </w:tr>
      <w:tr w:rsidR="00E51CDD" w14:paraId="27FBEFC1" w14:textId="77777777" w:rsidTr="009938D9">
        <w:trPr>
          <w:trHeight w:val="16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125B9A" w14:textId="77777777" w:rsidR="00E51CDD" w:rsidRDefault="00E51CDD" w:rsidP="009938D9">
            <w:pPr>
              <w:rPr>
                <w:rFonts w:eastAsia="Batang"/>
                <w:b/>
                <w:bCs/>
                <w:sz w:val="16"/>
                <w:szCs w:val="16"/>
                <w:lang w:val="en-GB" w:eastAsia="zh-CN"/>
              </w:rPr>
            </w:pPr>
          </w:p>
        </w:tc>
        <w:tc>
          <w:tcPr>
            <w:tcW w:w="559" w:type="pct"/>
            <w:tcBorders>
              <w:top w:val="single" w:sz="4" w:space="0" w:color="auto"/>
              <w:left w:val="single" w:sz="4" w:space="0" w:color="auto"/>
              <w:bottom w:val="single" w:sz="4" w:space="0" w:color="auto"/>
              <w:right w:val="single" w:sz="4" w:space="0" w:color="auto"/>
            </w:tcBorders>
            <w:vAlign w:val="center"/>
            <w:hideMark/>
          </w:tcPr>
          <w:p w14:paraId="0250FFC9" w14:textId="77777777" w:rsidR="00E51CDD" w:rsidRDefault="00E51CDD" w:rsidP="009938D9">
            <w:pPr>
              <w:spacing w:beforeLines="40" w:before="96" w:afterLines="40" w:after="96"/>
              <w:jc w:val="center"/>
              <w:rPr>
                <w:rFonts w:eastAsia="Batang"/>
                <w:sz w:val="16"/>
                <w:szCs w:val="16"/>
                <w:lang w:val="en-GB" w:eastAsia="zh-CN"/>
              </w:rPr>
            </w:pPr>
            <w:r>
              <w:rPr>
                <w:rFonts w:eastAsia="Batang"/>
                <w:sz w:val="16"/>
                <w:szCs w:val="16"/>
                <w:lang w:val="en-GB" w:eastAsia="zh-CN"/>
              </w:rPr>
              <w:t>Cereals</w:t>
            </w:r>
          </w:p>
        </w:tc>
        <w:tc>
          <w:tcPr>
            <w:tcW w:w="687" w:type="pct"/>
            <w:gridSpan w:val="2"/>
            <w:tcBorders>
              <w:top w:val="single" w:sz="4" w:space="0" w:color="auto"/>
              <w:left w:val="single" w:sz="4" w:space="0" w:color="auto"/>
              <w:bottom w:val="single" w:sz="4" w:space="0" w:color="auto"/>
              <w:right w:val="single" w:sz="4" w:space="0" w:color="auto"/>
            </w:tcBorders>
            <w:vAlign w:val="center"/>
            <w:hideMark/>
          </w:tcPr>
          <w:p w14:paraId="78717784" w14:textId="77777777" w:rsidR="00E51CDD" w:rsidRDefault="00E51CDD" w:rsidP="009938D9">
            <w:pPr>
              <w:jc w:val="center"/>
              <w:rPr>
                <w:sz w:val="16"/>
                <w:szCs w:val="16"/>
                <w:lang w:val="en-GB"/>
              </w:rPr>
            </w:pPr>
            <w:r>
              <w:rPr>
                <w:sz w:val="16"/>
                <w:szCs w:val="16"/>
                <w:lang w:val="de-DE"/>
              </w:rPr>
              <w:t>2.156</w:t>
            </w:r>
          </w:p>
        </w:tc>
        <w:tc>
          <w:tcPr>
            <w:tcW w:w="622" w:type="pct"/>
            <w:tcBorders>
              <w:top w:val="single" w:sz="4" w:space="0" w:color="auto"/>
              <w:left w:val="single" w:sz="4" w:space="0" w:color="auto"/>
              <w:bottom w:val="single" w:sz="4" w:space="0" w:color="auto"/>
              <w:right w:val="single" w:sz="4" w:space="0" w:color="auto"/>
            </w:tcBorders>
            <w:vAlign w:val="center"/>
            <w:hideMark/>
          </w:tcPr>
          <w:p w14:paraId="3402F752" w14:textId="77777777" w:rsidR="00E51CDD" w:rsidRDefault="00E51CDD" w:rsidP="009938D9">
            <w:pPr>
              <w:jc w:val="center"/>
              <w:rPr>
                <w:sz w:val="16"/>
                <w:szCs w:val="16"/>
                <w:lang w:val="en-GB"/>
              </w:rPr>
            </w:pPr>
            <w:r>
              <w:rPr>
                <w:sz w:val="16"/>
                <w:szCs w:val="16"/>
                <w:lang w:val="de-DE"/>
              </w:rPr>
              <w:t>2</w:t>
            </w:r>
          </w:p>
        </w:tc>
        <w:tc>
          <w:tcPr>
            <w:tcW w:w="599" w:type="pct"/>
            <w:tcBorders>
              <w:top w:val="single" w:sz="4" w:space="0" w:color="auto"/>
              <w:left w:val="single" w:sz="4" w:space="0" w:color="auto"/>
              <w:bottom w:val="single" w:sz="4" w:space="0" w:color="auto"/>
              <w:right w:val="single" w:sz="4" w:space="0" w:color="auto"/>
            </w:tcBorders>
            <w:vAlign w:val="center"/>
            <w:hideMark/>
          </w:tcPr>
          <w:p w14:paraId="70D6D2A3" w14:textId="77777777" w:rsidR="00E51CDD" w:rsidRDefault="00E51CDD" w:rsidP="009938D9">
            <w:pPr>
              <w:jc w:val="center"/>
              <w:rPr>
                <w:sz w:val="16"/>
                <w:szCs w:val="16"/>
                <w:lang w:val="en-GB"/>
              </w:rPr>
            </w:pPr>
            <w:r>
              <w:rPr>
                <w:sz w:val="16"/>
                <w:szCs w:val="16"/>
                <w:lang w:val="en-GB"/>
              </w:rPr>
              <w:t>21</w:t>
            </w:r>
          </w:p>
        </w:tc>
        <w:tc>
          <w:tcPr>
            <w:tcW w:w="696" w:type="pct"/>
            <w:gridSpan w:val="2"/>
            <w:tcBorders>
              <w:top w:val="single" w:sz="4" w:space="0" w:color="auto"/>
              <w:left w:val="single" w:sz="4" w:space="0" w:color="auto"/>
              <w:bottom w:val="single" w:sz="4" w:space="0" w:color="auto"/>
              <w:right w:val="single" w:sz="4" w:space="0" w:color="auto"/>
            </w:tcBorders>
            <w:vAlign w:val="center"/>
            <w:hideMark/>
          </w:tcPr>
          <w:p w14:paraId="7C5BACD9" w14:textId="77777777" w:rsidR="00E51CDD" w:rsidRDefault="00E51CDD" w:rsidP="009938D9">
            <w:pPr>
              <w:jc w:val="center"/>
              <w:rPr>
                <w:sz w:val="16"/>
                <w:szCs w:val="16"/>
                <w:lang w:val="en-GB"/>
              </w:rPr>
            </w:pPr>
            <w:r>
              <w:rPr>
                <w:sz w:val="16"/>
                <w:szCs w:val="16"/>
                <w:lang w:val="de-DE"/>
              </w:rPr>
              <w:t>10.0</w:t>
            </w:r>
          </w:p>
        </w:tc>
        <w:tc>
          <w:tcPr>
            <w:tcW w:w="579" w:type="pct"/>
            <w:tcBorders>
              <w:top w:val="single" w:sz="4" w:space="0" w:color="auto"/>
              <w:left w:val="single" w:sz="4" w:space="0" w:color="auto"/>
              <w:bottom w:val="single" w:sz="4" w:space="0" w:color="auto"/>
              <w:right w:val="single" w:sz="4" w:space="0" w:color="auto"/>
            </w:tcBorders>
            <w:noWrap/>
            <w:vAlign w:val="center"/>
            <w:hideMark/>
          </w:tcPr>
          <w:p w14:paraId="640307ED" w14:textId="77777777" w:rsidR="00E51CDD" w:rsidRDefault="00E51CDD" w:rsidP="009938D9">
            <w:pPr>
              <w:jc w:val="center"/>
              <w:rPr>
                <w:sz w:val="16"/>
                <w:szCs w:val="16"/>
                <w:lang w:val="en-GB"/>
              </w:rPr>
            </w:pPr>
            <w:r>
              <w:rPr>
                <w:sz w:val="16"/>
                <w:szCs w:val="16"/>
                <w:lang w:val="en-GB"/>
              </w:rPr>
              <w:t>&gt; 2000</w:t>
            </w:r>
          </w:p>
        </w:tc>
        <w:tc>
          <w:tcPr>
            <w:tcW w:w="680" w:type="pct"/>
            <w:tcBorders>
              <w:top w:val="single" w:sz="4" w:space="0" w:color="auto"/>
              <w:left w:val="single" w:sz="4" w:space="0" w:color="auto"/>
              <w:bottom w:val="single" w:sz="4" w:space="0" w:color="auto"/>
              <w:right w:val="single" w:sz="4" w:space="0" w:color="auto"/>
            </w:tcBorders>
            <w:noWrap/>
            <w:vAlign w:val="center"/>
          </w:tcPr>
          <w:p w14:paraId="6353FC1E" w14:textId="77777777" w:rsidR="00E51CDD" w:rsidRDefault="00E51CDD" w:rsidP="009938D9">
            <w:pPr>
              <w:spacing w:beforeLines="40" w:before="96" w:afterLines="40" w:after="96"/>
              <w:jc w:val="center"/>
              <w:rPr>
                <w:rFonts w:eastAsia="Batang"/>
                <w:sz w:val="16"/>
                <w:szCs w:val="16"/>
                <w:lang w:val="en-GB" w:eastAsia="zh-CN"/>
              </w:rPr>
            </w:pPr>
          </w:p>
        </w:tc>
      </w:tr>
      <w:tr w:rsidR="00E51CDD" w14:paraId="5EEC7C32" w14:textId="77777777" w:rsidTr="009938D9">
        <w:trPr>
          <w:trHeight w:val="300"/>
        </w:trPr>
        <w:tc>
          <w:tcPr>
            <w:tcW w:w="5000" w:type="pct"/>
            <w:gridSpan w:val="11"/>
            <w:tcBorders>
              <w:top w:val="single" w:sz="4" w:space="0" w:color="auto"/>
              <w:left w:val="single" w:sz="4" w:space="0" w:color="auto"/>
              <w:bottom w:val="single" w:sz="4" w:space="0" w:color="auto"/>
              <w:right w:val="single" w:sz="4" w:space="0" w:color="auto"/>
            </w:tcBorders>
            <w:noWrap/>
            <w:vAlign w:val="center"/>
            <w:hideMark/>
          </w:tcPr>
          <w:p w14:paraId="07298553" w14:textId="77777777" w:rsidR="00E51CDD" w:rsidRDefault="00E51CDD" w:rsidP="009938D9">
            <w:pPr>
              <w:spacing w:beforeLines="40" w:before="96" w:afterLines="40" w:after="96"/>
              <w:rPr>
                <w:rFonts w:eastAsia="Batang"/>
                <w:b/>
                <w:bCs/>
                <w:sz w:val="16"/>
                <w:szCs w:val="16"/>
                <w:lang w:val="en-GB" w:eastAsia="zh-CN"/>
              </w:rPr>
            </w:pPr>
            <w:r>
              <w:rPr>
                <w:rFonts w:eastAsia="Batang"/>
                <w:b/>
                <w:bCs/>
                <w:sz w:val="16"/>
                <w:szCs w:val="16"/>
                <w:lang w:val="en-GB" w:eastAsia="zh-CN"/>
              </w:rPr>
              <w:t>Screening step:</w:t>
            </w:r>
          </w:p>
        </w:tc>
      </w:tr>
      <w:tr w:rsidR="00E51CDD" w14:paraId="6735A24E" w14:textId="77777777" w:rsidTr="009938D9">
        <w:trPr>
          <w:trHeight w:val="930"/>
        </w:trPr>
        <w:tc>
          <w:tcPr>
            <w:tcW w:w="578"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1656919" w14:textId="77777777" w:rsidR="00E51CDD" w:rsidRDefault="00E51CDD" w:rsidP="009938D9">
            <w:pPr>
              <w:spacing w:beforeLines="40" w:before="96" w:afterLines="40" w:after="96"/>
              <w:jc w:val="center"/>
              <w:rPr>
                <w:rFonts w:eastAsia="Batang"/>
                <w:sz w:val="16"/>
                <w:szCs w:val="16"/>
                <w:lang w:val="en-GB" w:eastAsia="zh-CN"/>
              </w:rPr>
            </w:pPr>
            <w:r>
              <w:rPr>
                <w:rFonts w:eastAsia="Batang"/>
                <w:sz w:val="16"/>
                <w:szCs w:val="16"/>
                <w:lang w:val="en-GB" w:eastAsia="zh-CN"/>
              </w:rPr>
              <w:t>Acute risk assessment screening step</w:t>
            </w:r>
          </w:p>
        </w:tc>
        <w:tc>
          <w:tcPr>
            <w:tcW w:w="559" w:type="pct"/>
            <w:tcBorders>
              <w:top w:val="single" w:sz="4" w:space="0" w:color="auto"/>
              <w:left w:val="single" w:sz="4" w:space="0" w:color="auto"/>
              <w:bottom w:val="single" w:sz="4" w:space="0" w:color="auto"/>
              <w:right w:val="single" w:sz="4" w:space="0" w:color="auto"/>
            </w:tcBorders>
            <w:vAlign w:val="center"/>
            <w:hideMark/>
          </w:tcPr>
          <w:p w14:paraId="1A7DC33E"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Indicator species</w:t>
            </w:r>
          </w:p>
        </w:tc>
        <w:tc>
          <w:tcPr>
            <w:tcW w:w="687" w:type="pct"/>
            <w:gridSpan w:val="2"/>
            <w:tcBorders>
              <w:top w:val="single" w:sz="4" w:space="0" w:color="auto"/>
              <w:left w:val="single" w:sz="4" w:space="0" w:color="auto"/>
              <w:bottom w:val="single" w:sz="4" w:space="0" w:color="auto"/>
              <w:right w:val="single" w:sz="4" w:space="0" w:color="auto"/>
            </w:tcBorders>
            <w:vAlign w:val="center"/>
            <w:hideMark/>
          </w:tcPr>
          <w:p w14:paraId="65B7EF39"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Shortcut value</w:t>
            </w:r>
          </w:p>
        </w:tc>
        <w:tc>
          <w:tcPr>
            <w:tcW w:w="622" w:type="pct"/>
            <w:tcBorders>
              <w:top w:val="single" w:sz="4" w:space="0" w:color="auto"/>
              <w:left w:val="single" w:sz="4" w:space="0" w:color="auto"/>
              <w:bottom w:val="single" w:sz="4" w:space="0" w:color="auto"/>
              <w:right w:val="single" w:sz="4" w:space="0" w:color="auto"/>
            </w:tcBorders>
            <w:vAlign w:val="center"/>
            <w:hideMark/>
          </w:tcPr>
          <w:p w14:paraId="5C614568"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Daily Dietary Dose (single)</w:t>
            </w:r>
          </w:p>
        </w:tc>
        <w:tc>
          <w:tcPr>
            <w:tcW w:w="599" w:type="pct"/>
            <w:tcBorders>
              <w:top w:val="single" w:sz="4" w:space="0" w:color="auto"/>
              <w:left w:val="single" w:sz="4" w:space="0" w:color="auto"/>
              <w:bottom w:val="single" w:sz="4" w:space="0" w:color="auto"/>
              <w:right w:val="single" w:sz="4" w:space="0" w:color="auto"/>
            </w:tcBorders>
            <w:vAlign w:val="center"/>
            <w:hideMark/>
          </w:tcPr>
          <w:p w14:paraId="1AB08F9C"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MAF (90)</w:t>
            </w:r>
          </w:p>
        </w:tc>
        <w:tc>
          <w:tcPr>
            <w:tcW w:w="696" w:type="pct"/>
            <w:gridSpan w:val="2"/>
            <w:tcBorders>
              <w:top w:val="single" w:sz="4" w:space="0" w:color="auto"/>
              <w:left w:val="single" w:sz="4" w:space="0" w:color="auto"/>
              <w:bottom w:val="single" w:sz="4" w:space="0" w:color="auto"/>
              <w:right w:val="single" w:sz="4" w:space="0" w:color="auto"/>
            </w:tcBorders>
            <w:vAlign w:val="center"/>
            <w:hideMark/>
          </w:tcPr>
          <w:p w14:paraId="02820B93"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Daily Dietary Dose (Multiple)</w:t>
            </w:r>
          </w:p>
        </w:tc>
        <w:tc>
          <w:tcPr>
            <w:tcW w:w="579" w:type="pct"/>
            <w:tcBorders>
              <w:top w:val="single" w:sz="4" w:space="0" w:color="auto"/>
              <w:left w:val="single" w:sz="4" w:space="0" w:color="auto"/>
              <w:bottom w:val="single" w:sz="4" w:space="0" w:color="auto"/>
              <w:right w:val="single" w:sz="4" w:space="0" w:color="auto"/>
            </w:tcBorders>
            <w:vAlign w:val="center"/>
            <w:hideMark/>
          </w:tcPr>
          <w:p w14:paraId="5202A6D8" w14:textId="77777777" w:rsidR="00E51CDD" w:rsidRDefault="00E51CDD" w:rsidP="009938D9">
            <w:pPr>
              <w:spacing w:beforeLines="40" w:before="96" w:afterLines="40" w:after="96"/>
              <w:jc w:val="center"/>
              <w:rPr>
                <w:rFonts w:eastAsia="Batang"/>
                <w:b/>
                <w:bCs/>
                <w:sz w:val="16"/>
                <w:szCs w:val="16"/>
                <w:lang w:val="en-GB" w:eastAsia="zh-CN"/>
              </w:rPr>
            </w:pPr>
            <w:r>
              <w:rPr>
                <w:rFonts w:eastAsia="Batang"/>
                <w:b/>
                <w:bCs/>
                <w:sz w:val="16"/>
                <w:szCs w:val="16"/>
                <w:lang w:val="en-GB" w:eastAsia="zh-CN"/>
              </w:rPr>
              <w:t>TER</w:t>
            </w:r>
          </w:p>
        </w:tc>
        <w:tc>
          <w:tcPr>
            <w:tcW w:w="680" w:type="pct"/>
            <w:vMerge w:val="restart"/>
            <w:tcBorders>
              <w:top w:val="single" w:sz="4" w:space="0" w:color="auto"/>
              <w:left w:val="single" w:sz="4" w:space="0" w:color="auto"/>
              <w:bottom w:val="single" w:sz="4" w:space="0" w:color="auto"/>
              <w:right w:val="single" w:sz="4" w:space="0" w:color="auto"/>
            </w:tcBorders>
            <w:vAlign w:val="center"/>
            <w:hideMark/>
          </w:tcPr>
          <w:p w14:paraId="4AC79F43" w14:textId="77777777" w:rsidR="00E51CDD" w:rsidRPr="00B52EF1" w:rsidRDefault="00E51CDD" w:rsidP="009938D9">
            <w:pPr>
              <w:spacing w:beforeLines="40" w:before="96" w:afterLines="40" w:after="96"/>
              <w:jc w:val="center"/>
              <w:rPr>
                <w:rFonts w:eastAsia="Batang"/>
                <w:b/>
                <w:sz w:val="16"/>
                <w:szCs w:val="16"/>
                <w:lang w:val="en-GB" w:eastAsia="zh-CN"/>
              </w:rPr>
            </w:pPr>
            <w:r w:rsidRPr="00B52EF1">
              <w:rPr>
                <w:rFonts w:eastAsia="Batang"/>
                <w:b/>
                <w:sz w:val="16"/>
                <w:szCs w:val="16"/>
                <w:lang w:val="en-GB" w:eastAsia="zh-CN"/>
              </w:rPr>
              <w:t>Please perform first tier risk assessment (see below)</w:t>
            </w:r>
          </w:p>
        </w:tc>
      </w:tr>
      <w:tr w:rsidR="00E51CDD" w14:paraId="233F5B3D" w14:textId="77777777" w:rsidTr="009938D9">
        <w:trPr>
          <w:trHeight w:val="616"/>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FA089CB" w14:textId="77777777" w:rsidR="00E51CDD" w:rsidRDefault="00E51CDD" w:rsidP="009938D9">
            <w:pPr>
              <w:rPr>
                <w:rFonts w:eastAsia="Batang"/>
                <w:sz w:val="16"/>
                <w:szCs w:val="16"/>
                <w:lang w:val="en-GB" w:eastAsia="zh-CN"/>
              </w:rPr>
            </w:pPr>
          </w:p>
        </w:tc>
        <w:tc>
          <w:tcPr>
            <w:tcW w:w="559" w:type="pct"/>
            <w:tcBorders>
              <w:top w:val="single" w:sz="4" w:space="0" w:color="auto"/>
              <w:left w:val="single" w:sz="4" w:space="0" w:color="auto"/>
              <w:bottom w:val="single" w:sz="4" w:space="0" w:color="auto"/>
              <w:right w:val="single" w:sz="4" w:space="0" w:color="auto"/>
            </w:tcBorders>
            <w:vAlign w:val="center"/>
            <w:hideMark/>
          </w:tcPr>
          <w:p w14:paraId="1CD2E31A" w14:textId="77777777" w:rsidR="00E51CDD" w:rsidRDefault="00E51CDD" w:rsidP="009938D9">
            <w:pPr>
              <w:spacing w:beforeLines="40" w:before="96" w:afterLines="40" w:after="96"/>
              <w:jc w:val="center"/>
              <w:rPr>
                <w:rFonts w:eastAsia="Batang"/>
                <w:sz w:val="16"/>
                <w:szCs w:val="16"/>
                <w:lang w:val="en-GB" w:eastAsia="zh-CN"/>
              </w:rPr>
            </w:pPr>
            <w:r>
              <w:rPr>
                <w:rFonts w:eastAsia="Batang"/>
                <w:sz w:val="16"/>
                <w:szCs w:val="16"/>
                <w:lang w:val="en-GB" w:eastAsia="zh-CN"/>
              </w:rPr>
              <w:t>Small omnivorous bird</w:t>
            </w:r>
          </w:p>
        </w:tc>
        <w:tc>
          <w:tcPr>
            <w:tcW w:w="687" w:type="pct"/>
            <w:gridSpan w:val="2"/>
            <w:tcBorders>
              <w:top w:val="single" w:sz="4" w:space="0" w:color="auto"/>
              <w:left w:val="single" w:sz="4" w:space="0" w:color="auto"/>
              <w:bottom w:val="single" w:sz="4" w:space="0" w:color="auto"/>
              <w:right w:val="single" w:sz="4" w:space="0" w:color="auto"/>
            </w:tcBorders>
            <w:vAlign w:val="center"/>
            <w:hideMark/>
          </w:tcPr>
          <w:p w14:paraId="615F1251" w14:textId="77777777" w:rsidR="00E51CDD" w:rsidRDefault="00E51CDD" w:rsidP="009938D9">
            <w:pPr>
              <w:jc w:val="center"/>
              <w:rPr>
                <w:sz w:val="16"/>
                <w:szCs w:val="16"/>
                <w:lang w:val="en-GB"/>
              </w:rPr>
            </w:pPr>
            <w:r>
              <w:rPr>
                <w:sz w:val="16"/>
                <w:szCs w:val="16"/>
                <w:lang w:val="de-DE"/>
              </w:rPr>
              <w:t>158.8</w:t>
            </w:r>
          </w:p>
        </w:tc>
        <w:tc>
          <w:tcPr>
            <w:tcW w:w="622" w:type="pct"/>
            <w:tcBorders>
              <w:top w:val="single" w:sz="4" w:space="0" w:color="auto"/>
              <w:left w:val="single" w:sz="4" w:space="0" w:color="auto"/>
              <w:bottom w:val="single" w:sz="4" w:space="0" w:color="auto"/>
              <w:right w:val="single" w:sz="4" w:space="0" w:color="auto"/>
            </w:tcBorders>
            <w:vAlign w:val="center"/>
            <w:hideMark/>
          </w:tcPr>
          <w:p w14:paraId="174E9E45" w14:textId="77777777" w:rsidR="00E51CDD" w:rsidRPr="00FE15CD" w:rsidRDefault="00E51CDD" w:rsidP="009938D9">
            <w:pPr>
              <w:jc w:val="center"/>
              <w:rPr>
                <w:sz w:val="16"/>
                <w:szCs w:val="16"/>
                <w:lang w:val="en-GB"/>
              </w:rPr>
            </w:pPr>
            <w:r w:rsidRPr="00FE15CD">
              <w:rPr>
                <w:color w:val="000000"/>
                <w:sz w:val="16"/>
                <w:szCs w:val="16"/>
              </w:rPr>
              <w:t>342.37</w:t>
            </w:r>
          </w:p>
        </w:tc>
        <w:tc>
          <w:tcPr>
            <w:tcW w:w="599" w:type="pct"/>
            <w:tcBorders>
              <w:top w:val="single" w:sz="4" w:space="0" w:color="auto"/>
              <w:left w:val="single" w:sz="4" w:space="0" w:color="auto"/>
              <w:bottom w:val="single" w:sz="4" w:space="0" w:color="auto"/>
              <w:right w:val="single" w:sz="4" w:space="0" w:color="auto"/>
            </w:tcBorders>
            <w:vAlign w:val="center"/>
            <w:hideMark/>
          </w:tcPr>
          <w:p w14:paraId="3E1A85AC" w14:textId="77777777" w:rsidR="00E51CDD" w:rsidRPr="00FE15CD" w:rsidRDefault="00E51CDD" w:rsidP="009938D9">
            <w:pPr>
              <w:jc w:val="center"/>
              <w:rPr>
                <w:sz w:val="16"/>
                <w:szCs w:val="16"/>
                <w:lang w:val="en-GB"/>
              </w:rPr>
            </w:pPr>
            <w:r w:rsidRPr="00FE15CD">
              <w:rPr>
                <w:color w:val="000000"/>
                <w:sz w:val="16"/>
                <w:szCs w:val="16"/>
              </w:rPr>
              <w:t>1.1</w:t>
            </w:r>
          </w:p>
        </w:tc>
        <w:tc>
          <w:tcPr>
            <w:tcW w:w="696" w:type="pct"/>
            <w:gridSpan w:val="2"/>
            <w:tcBorders>
              <w:top w:val="single" w:sz="4" w:space="0" w:color="auto"/>
              <w:left w:val="single" w:sz="4" w:space="0" w:color="auto"/>
              <w:bottom w:val="single" w:sz="4" w:space="0" w:color="auto"/>
              <w:right w:val="single" w:sz="4" w:space="0" w:color="auto"/>
            </w:tcBorders>
            <w:noWrap/>
            <w:vAlign w:val="center"/>
            <w:hideMark/>
          </w:tcPr>
          <w:p w14:paraId="1A86F1B3" w14:textId="77777777" w:rsidR="00E51CDD" w:rsidRPr="00FE15CD" w:rsidRDefault="00E51CDD" w:rsidP="009938D9">
            <w:pPr>
              <w:jc w:val="center"/>
              <w:rPr>
                <w:sz w:val="16"/>
                <w:szCs w:val="16"/>
                <w:lang w:val="en-GB"/>
              </w:rPr>
            </w:pPr>
            <w:r w:rsidRPr="00FE15CD">
              <w:rPr>
                <w:color w:val="000000"/>
                <w:sz w:val="16"/>
                <w:szCs w:val="16"/>
              </w:rPr>
              <w:t>376.61</w:t>
            </w:r>
          </w:p>
        </w:tc>
        <w:tc>
          <w:tcPr>
            <w:tcW w:w="579" w:type="pct"/>
            <w:tcBorders>
              <w:top w:val="single" w:sz="4" w:space="0" w:color="auto"/>
              <w:left w:val="single" w:sz="4" w:space="0" w:color="auto"/>
              <w:bottom w:val="single" w:sz="4" w:space="0" w:color="auto"/>
              <w:right w:val="single" w:sz="4" w:space="0" w:color="auto"/>
            </w:tcBorders>
            <w:vAlign w:val="center"/>
            <w:hideMark/>
          </w:tcPr>
          <w:p w14:paraId="45F32E2D" w14:textId="77777777" w:rsidR="00E51CDD" w:rsidRPr="00B52EF1" w:rsidRDefault="00E51CDD" w:rsidP="009938D9">
            <w:pPr>
              <w:jc w:val="center"/>
              <w:rPr>
                <w:b/>
                <w:bCs/>
                <w:sz w:val="16"/>
                <w:szCs w:val="16"/>
                <w:lang w:val="en-GB"/>
              </w:rPr>
            </w:pPr>
            <w:r>
              <w:rPr>
                <w:b/>
                <w:bCs/>
                <w:color w:val="000000" w:themeColor="text1"/>
                <w:sz w:val="16"/>
                <w:szCs w:val="16"/>
              </w:rPr>
              <w:t>&gt; </w:t>
            </w:r>
            <w:r w:rsidRPr="00B52EF1">
              <w:rPr>
                <w:b/>
                <w:bCs/>
                <w:color w:val="000000" w:themeColor="text1"/>
                <w:sz w:val="16"/>
                <w:szCs w:val="16"/>
              </w:rPr>
              <w:t>5.3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3F5F7F" w14:textId="77777777" w:rsidR="00E51CDD" w:rsidRDefault="00E51CDD" w:rsidP="009938D9">
            <w:pPr>
              <w:rPr>
                <w:rFonts w:eastAsia="Batang"/>
                <w:b/>
                <w:bCs/>
                <w:sz w:val="16"/>
                <w:szCs w:val="16"/>
                <w:lang w:val="en-GB" w:eastAsia="zh-CN"/>
              </w:rPr>
            </w:pPr>
          </w:p>
        </w:tc>
      </w:tr>
      <w:tr w:rsidR="00E51CDD" w14:paraId="08EBA161" w14:textId="77777777" w:rsidTr="009938D9">
        <w:trPr>
          <w:trHeight w:val="300"/>
        </w:trPr>
        <w:tc>
          <w:tcPr>
            <w:tcW w:w="5000" w:type="pct"/>
            <w:gridSpan w:val="11"/>
            <w:tcBorders>
              <w:top w:val="single" w:sz="4" w:space="0" w:color="auto"/>
              <w:left w:val="single" w:sz="4" w:space="0" w:color="auto"/>
              <w:bottom w:val="single" w:sz="4" w:space="0" w:color="auto"/>
              <w:right w:val="single" w:sz="4" w:space="0" w:color="auto"/>
            </w:tcBorders>
            <w:vAlign w:val="center"/>
            <w:hideMark/>
          </w:tcPr>
          <w:p w14:paraId="509BED4E" w14:textId="77777777" w:rsidR="00E51CDD" w:rsidRDefault="00E51CDD" w:rsidP="009938D9">
            <w:pPr>
              <w:widowControl w:val="0"/>
              <w:rPr>
                <w:b/>
                <w:bCs/>
                <w:sz w:val="16"/>
                <w:szCs w:val="16"/>
                <w:lang w:val="en-GB"/>
              </w:rPr>
            </w:pPr>
            <w:r>
              <w:rPr>
                <w:rFonts w:eastAsia="Batang"/>
                <w:b/>
                <w:bCs/>
                <w:sz w:val="16"/>
                <w:szCs w:val="16"/>
                <w:lang w:val="de-DE" w:eastAsia="zh-CN"/>
              </w:rPr>
              <w:t>First Tier Risk Assessment:</w:t>
            </w:r>
          </w:p>
        </w:tc>
      </w:tr>
      <w:tr w:rsidR="00E51CDD" w14:paraId="0EA73CF2" w14:textId="77777777" w:rsidTr="009938D9">
        <w:trPr>
          <w:trHeight w:val="383"/>
        </w:trPr>
        <w:tc>
          <w:tcPr>
            <w:tcW w:w="571" w:type="pct"/>
            <w:vMerge w:val="restart"/>
            <w:tcBorders>
              <w:top w:val="single" w:sz="4" w:space="0" w:color="auto"/>
              <w:left w:val="single" w:sz="4" w:space="0" w:color="auto"/>
              <w:bottom w:val="single" w:sz="4" w:space="0" w:color="auto"/>
              <w:right w:val="single" w:sz="4" w:space="0" w:color="auto"/>
            </w:tcBorders>
            <w:vAlign w:val="center"/>
            <w:hideMark/>
          </w:tcPr>
          <w:p w14:paraId="529ACA1F" w14:textId="77777777" w:rsidR="00E51CDD" w:rsidRDefault="00E51CDD" w:rsidP="009938D9">
            <w:pPr>
              <w:widowControl w:val="0"/>
              <w:rPr>
                <w:rFonts w:eastAsia="Batang"/>
                <w:sz w:val="16"/>
                <w:szCs w:val="16"/>
                <w:lang w:val="en-GB" w:eastAsia="zh-CN"/>
              </w:rPr>
            </w:pPr>
            <w:r>
              <w:rPr>
                <w:rFonts w:eastAsia="Batang"/>
                <w:sz w:val="16"/>
                <w:szCs w:val="16"/>
                <w:lang w:val="en-GB" w:eastAsia="zh-CN"/>
              </w:rPr>
              <w:t>Calculate TER for each generic focal species</w:t>
            </w:r>
          </w:p>
        </w:tc>
        <w:tc>
          <w:tcPr>
            <w:tcW w:w="589" w:type="pct"/>
            <w:gridSpan w:val="3"/>
            <w:tcBorders>
              <w:top w:val="single" w:sz="4" w:space="0" w:color="auto"/>
              <w:left w:val="single" w:sz="4" w:space="0" w:color="auto"/>
              <w:bottom w:val="single" w:sz="4" w:space="0" w:color="auto"/>
              <w:right w:val="single" w:sz="4" w:space="0" w:color="auto"/>
            </w:tcBorders>
            <w:vAlign w:val="center"/>
            <w:hideMark/>
          </w:tcPr>
          <w:p w14:paraId="1748F6D5" w14:textId="77777777" w:rsidR="00E51CDD" w:rsidRDefault="00E51CDD" w:rsidP="009938D9">
            <w:pPr>
              <w:widowControl w:val="0"/>
              <w:tabs>
                <w:tab w:val="left" w:pos="720"/>
              </w:tabs>
              <w:jc w:val="center"/>
              <w:rPr>
                <w:b/>
                <w:sz w:val="16"/>
                <w:szCs w:val="16"/>
                <w:lang w:val="en-GB"/>
              </w:rPr>
            </w:pPr>
            <w:r>
              <w:rPr>
                <w:b/>
                <w:sz w:val="16"/>
                <w:szCs w:val="16"/>
                <w:lang w:val="en-GB"/>
              </w:rPr>
              <w:t>Crop</w:t>
            </w:r>
          </w:p>
        </w:tc>
        <w:tc>
          <w:tcPr>
            <w:tcW w:w="1885" w:type="pct"/>
            <w:gridSpan w:val="3"/>
            <w:tcBorders>
              <w:top w:val="single" w:sz="4" w:space="0" w:color="auto"/>
              <w:left w:val="single" w:sz="4" w:space="0" w:color="auto"/>
              <w:bottom w:val="single" w:sz="4" w:space="0" w:color="auto"/>
              <w:right w:val="single" w:sz="4" w:space="0" w:color="auto"/>
            </w:tcBorders>
            <w:vAlign w:val="center"/>
            <w:hideMark/>
          </w:tcPr>
          <w:p w14:paraId="65320E9C" w14:textId="77777777" w:rsidR="00E51CDD" w:rsidRDefault="00E51CDD" w:rsidP="009938D9">
            <w:pPr>
              <w:widowControl w:val="0"/>
              <w:tabs>
                <w:tab w:val="left" w:pos="720"/>
              </w:tabs>
              <w:jc w:val="center"/>
              <w:rPr>
                <w:b/>
                <w:sz w:val="16"/>
                <w:szCs w:val="16"/>
                <w:lang w:val="en-GB"/>
              </w:rPr>
            </w:pPr>
            <w:r>
              <w:rPr>
                <w:b/>
                <w:sz w:val="16"/>
                <w:szCs w:val="16"/>
                <w:lang w:val="en-GB"/>
              </w:rPr>
              <w:t>Generic focal species</w:t>
            </w:r>
          </w:p>
        </w:tc>
        <w:tc>
          <w:tcPr>
            <w:tcW w:w="679" w:type="pct"/>
            <w:tcBorders>
              <w:top w:val="single" w:sz="4" w:space="0" w:color="auto"/>
              <w:left w:val="single" w:sz="4" w:space="0" w:color="auto"/>
              <w:bottom w:val="single" w:sz="4" w:space="0" w:color="auto"/>
              <w:right w:val="single" w:sz="4" w:space="0" w:color="auto"/>
            </w:tcBorders>
            <w:noWrap/>
            <w:vAlign w:val="center"/>
            <w:hideMark/>
          </w:tcPr>
          <w:p w14:paraId="4C677094" w14:textId="77777777" w:rsidR="00E51CDD" w:rsidRDefault="00E51CDD" w:rsidP="009938D9">
            <w:pPr>
              <w:widowControl w:val="0"/>
              <w:tabs>
                <w:tab w:val="left" w:pos="720"/>
              </w:tabs>
              <w:jc w:val="center"/>
              <w:rPr>
                <w:b/>
                <w:sz w:val="16"/>
                <w:szCs w:val="16"/>
                <w:lang w:val="en-GB"/>
              </w:rPr>
            </w:pPr>
            <w:r>
              <w:rPr>
                <w:b/>
                <w:sz w:val="16"/>
                <w:szCs w:val="16"/>
                <w:lang w:val="en-GB"/>
              </w:rPr>
              <w:t>Short cut value</w:t>
            </w:r>
          </w:p>
        </w:tc>
        <w:tc>
          <w:tcPr>
            <w:tcW w:w="600" w:type="pct"/>
            <w:gridSpan w:val="2"/>
            <w:tcBorders>
              <w:top w:val="single" w:sz="4" w:space="0" w:color="auto"/>
              <w:left w:val="single" w:sz="4" w:space="0" w:color="auto"/>
              <w:bottom w:val="single" w:sz="4" w:space="0" w:color="auto"/>
              <w:right w:val="single" w:sz="4" w:space="0" w:color="auto"/>
            </w:tcBorders>
            <w:vAlign w:val="center"/>
            <w:hideMark/>
          </w:tcPr>
          <w:p w14:paraId="3756CBE9" w14:textId="77777777" w:rsidR="00E51CDD" w:rsidRDefault="00E51CDD" w:rsidP="009938D9">
            <w:pPr>
              <w:widowControl w:val="0"/>
              <w:tabs>
                <w:tab w:val="left" w:pos="720"/>
              </w:tabs>
              <w:jc w:val="center"/>
              <w:rPr>
                <w:b/>
                <w:sz w:val="16"/>
                <w:szCs w:val="16"/>
                <w:lang w:val="en-GB"/>
              </w:rPr>
            </w:pPr>
            <w:r>
              <w:rPr>
                <w:b/>
                <w:sz w:val="16"/>
                <w:szCs w:val="16"/>
                <w:lang w:val="en-GB"/>
              </w:rPr>
              <w:t>TER</w:t>
            </w:r>
          </w:p>
        </w:tc>
        <w:tc>
          <w:tcPr>
            <w:tcW w:w="675" w:type="pct"/>
            <w:tcBorders>
              <w:top w:val="single" w:sz="4" w:space="0" w:color="auto"/>
              <w:left w:val="single" w:sz="4" w:space="0" w:color="auto"/>
              <w:bottom w:val="single" w:sz="4" w:space="0" w:color="auto"/>
              <w:right w:val="single" w:sz="4" w:space="0" w:color="auto"/>
            </w:tcBorders>
            <w:vAlign w:val="center"/>
          </w:tcPr>
          <w:p w14:paraId="17D983F0" w14:textId="77777777" w:rsidR="00E51CDD" w:rsidRDefault="00E51CDD" w:rsidP="009938D9">
            <w:pPr>
              <w:widowControl w:val="0"/>
              <w:jc w:val="center"/>
              <w:rPr>
                <w:b/>
                <w:bCs/>
                <w:sz w:val="16"/>
                <w:szCs w:val="16"/>
                <w:lang w:val="en-GB"/>
              </w:rPr>
            </w:pPr>
          </w:p>
        </w:tc>
      </w:tr>
      <w:tr w:rsidR="00E51CDD" w14:paraId="3680CA72" w14:textId="77777777" w:rsidTr="009938D9">
        <w:trPr>
          <w:trHeight w:val="78"/>
        </w:trPr>
        <w:tc>
          <w:tcPr>
            <w:tcW w:w="571" w:type="pct"/>
            <w:vMerge/>
            <w:tcBorders>
              <w:top w:val="single" w:sz="4" w:space="0" w:color="auto"/>
              <w:left w:val="single" w:sz="4" w:space="0" w:color="auto"/>
              <w:bottom w:val="single" w:sz="4" w:space="0" w:color="auto"/>
              <w:right w:val="single" w:sz="4" w:space="0" w:color="auto"/>
            </w:tcBorders>
            <w:vAlign w:val="center"/>
            <w:hideMark/>
          </w:tcPr>
          <w:p w14:paraId="40D9D094" w14:textId="77777777" w:rsidR="00E51CDD" w:rsidRDefault="00E51CDD" w:rsidP="009938D9">
            <w:pPr>
              <w:rPr>
                <w:rFonts w:eastAsia="Batang"/>
                <w:sz w:val="16"/>
                <w:szCs w:val="16"/>
                <w:lang w:val="en-GB" w:eastAsia="zh-CN"/>
              </w:rPr>
            </w:pPr>
          </w:p>
        </w:tc>
        <w:tc>
          <w:tcPr>
            <w:tcW w:w="589" w:type="pct"/>
            <w:gridSpan w:val="3"/>
            <w:tcBorders>
              <w:top w:val="single" w:sz="4" w:space="0" w:color="auto"/>
              <w:left w:val="single" w:sz="4" w:space="0" w:color="auto"/>
              <w:bottom w:val="single" w:sz="4" w:space="0" w:color="auto"/>
              <w:right w:val="single" w:sz="4" w:space="0" w:color="auto"/>
            </w:tcBorders>
            <w:vAlign w:val="center"/>
            <w:hideMark/>
          </w:tcPr>
          <w:p w14:paraId="7F238E3C" w14:textId="77777777" w:rsidR="00E51CDD" w:rsidRPr="00E430CC" w:rsidRDefault="00E51CDD" w:rsidP="009938D9">
            <w:pPr>
              <w:widowControl w:val="0"/>
              <w:tabs>
                <w:tab w:val="left" w:pos="720"/>
              </w:tabs>
              <w:jc w:val="center"/>
              <w:rPr>
                <w:sz w:val="16"/>
                <w:szCs w:val="16"/>
                <w:lang w:val="en-GB"/>
              </w:rPr>
            </w:pPr>
            <w:r w:rsidRPr="00E430CC">
              <w:rPr>
                <w:color w:val="000000"/>
                <w:sz w:val="16"/>
                <w:szCs w:val="16"/>
              </w:rPr>
              <w:t>Cereals BBCH 30 -39</w:t>
            </w:r>
          </w:p>
        </w:tc>
        <w:tc>
          <w:tcPr>
            <w:tcW w:w="1885" w:type="pct"/>
            <w:gridSpan w:val="3"/>
            <w:tcBorders>
              <w:top w:val="single" w:sz="4" w:space="0" w:color="auto"/>
              <w:left w:val="single" w:sz="4" w:space="0" w:color="auto"/>
              <w:bottom w:val="single" w:sz="4" w:space="0" w:color="auto"/>
              <w:right w:val="single" w:sz="4" w:space="0" w:color="auto"/>
            </w:tcBorders>
            <w:vAlign w:val="center"/>
            <w:hideMark/>
          </w:tcPr>
          <w:p w14:paraId="12149726" w14:textId="77777777" w:rsidR="00E51CDD" w:rsidRPr="00E430CC" w:rsidRDefault="00E51CDD" w:rsidP="009938D9">
            <w:pPr>
              <w:widowControl w:val="0"/>
              <w:tabs>
                <w:tab w:val="left" w:pos="720"/>
              </w:tabs>
              <w:jc w:val="center"/>
              <w:rPr>
                <w:sz w:val="16"/>
                <w:szCs w:val="16"/>
                <w:lang w:val="en-GB"/>
              </w:rPr>
            </w:pPr>
            <w:r w:rsidRPr="00E430CC">
              <w:rPr>
                <w:color w:val="000000"/>
                <w:sz w:val="16"/>
                <w:szCs w:val="16"/>
              </w:rPr>
              <w:t>Small omnivorous bird “lark” Combination (invertebrates with interception) 25% crop leaves 25% weed seeds 50% ground arthropods</w:t>
            </w:r>
          </w:p>
        </w:tc>
        <w:tc>
          <w:tcPr>
            <w:tcW w:w="679" w:type="pct"/>
            <w:tcBorders>
              <w:top w:val="single" w:sz="4" w:space="0" w:color="auto"/>
              <w:left w:val="single" w:sz="4" w:space="0" w:color="auto"/>
              <w:bottom w:val="single" w:sz="4" w:space="0" w:color="auto"/>
              <w:right w:val="single" w:sz="4" w:space="0" w:color="auto"/>
            </w:tcBorders>
            <w:noWrap/>
            <w:vAlign w:val="center"/>
            <w:hideMark/>
          </w:tcPr>
          <w:p w14:paraId="3AF75051" w14:textId="77777777" w:rsidR="00E51CDD" w:rsidRPr="002065B4" w:rsidRDefault="00E51CDD" w:rsidP="009938D9">
            <w:pPr>
              <w:widowControl w:val="0"/>
              <w:tabs>
                <w:tab w:val="left" w:pos="720"/>
              </w:tabs>
              <w:jc w:val="center"/>
              <w:rPr>
                <w:sz w:val="16"/>
                <w:szCs w:val="16"/>
                <w:lang w:val="en-GB"/>
              </w:rPr>
            </w:pPr>
            <w:r w:rsidRPr="002065B4">
              <w:rPr>
                <w:color w:val="000000"/>
                <w:sz w:val="16"/>
                <w:szCs w:val="16"/>
              </w:rPr>
              <w:t>12.0</w:t>
            </w:r>
          </w:p>
        </w:tc>
        <w:tc>
          <w:tcPr>
            <w:tcW w:w="600" w:type="pct"/>
            <w:gridSpan w:val="2"/>
            <w:tcBorders>
              <w:top w:val="single" w:sz="4" w:space="0" w:color="auto"/>
              <w:left w:val="single" w:sz="4" w:space="0" w:color="auto"/>
              <w:bottom w:val="single" w:sz="4" w:space="0" w:color="auto"/>
              <w:right w:val="single" w:sz="4" w:space="0" w:color="auto"/>
            </w:tcBorders>
            <w:vAlign w:val="center"/>
            <w:hideMark/>
          </w:tcPr>
          <w:p w14:paraId="3CD10027" w14:textId="77777777" w:rsidR="00E51CDD" w:rsidRPr="002065B4" w:rsidRDefault="00E51CDD" w:rsidP="009938D9">
            <w:pPr>
              <w:widowControl w:val="0"/>
              <w:tabs>
                <w:tab w:val="left" w:pos="720"/>
              </w:tabs>
              <w:jc w:val="center"/>
              <w:rPr>
                <w:sz w:val="16"/>
                <w:szCs w:val="16"/>
                <w:lang w:val="en-GB"/>
              </w:rPr>
            </w:pPr>
            <w:r>
              <w:rPr>
                <w:color w:val="000000"/>
                <w:sz w:val="16"/>
                <w:szCs w:val="16"/>
              </w:rPr>
              <w:t>&gt; </w:t>
            </w:r>
            <w:r w:rsidRPr="002065B4">
              <w:rPr>
                <w:color w:val="000000"/>
                <w:sz w:val="16"/>
                <w:szCs w:val="16"/>
              </w:rPr>
              <w:t>70.3</w:t>
            </w:r>
          </w:p>
        </w:tc>
        <w:tc>
          <w:tcPr>
            <w:tcW w:w="675" w:type="pct"/>
            <w:vMerge w:val="restart"/>
            <w:tcBorders>
              <w:top w:val="single" w:sz="4" w:space="0" w:color="auto"/>
              <w:left w:val="single" w:sz="4" w:space="0" w:color="auto"/>
              <w:bottom w:val="single" w:sz="4" w:space="0" w:color="auto"/>
              <w:right w:val="single" w:sz="4" w:space="0" w:color="auto"/>
            </w:tcBorders>
            <w:vAlign w:val="center"/>
            <w:hideMark/>
          </w:tcPr>
          <w:p w14:paraId="38FFB202" w14:textId="77777777" w:rsidR="00E51CDD" w:rsidRDefault="00E51CDD" w:rsidP="009938D9">
            <w:pPr>
              <w:widowControl w:val="0"/>
              <w:jc w:val="center"/>
              <w:rPr>
                <w:rFonts w:eastAsia="Batang"/>
                <w:bCs/>
                <w:sz w:val="16"/>
                <w:szCs w:val="16"/>
                <w:lang w:val="de-DE" w:eastAsia="zh-CN"/>
              </w:rPr>
            </w:pPr>
            <w:r>
              <w:rPr>
                <w:rFonts w:eastAsia="Batang"/>
                <w:bCs/>
                <w:sz w:val="16"/>
                <w:szCs w:val="16"/>
                <w:lang w:val="de-DE" w:eastAsia="zh-CN"/>
              </w:rPr>
              <w:t>No refinement</w:t>
            </w:r>
          </w:p>
          <w:p w14:paraId="445CC866" w14:textId="77777777" w:rsidR="00E51CDD" w:rsidRDefault="00E51CDD" w:rsidP="009938D9">
            <w:pPr>
              <w:widowControl w:val="0"/>
              <w:jc w:val="center"/>
              <w:rPr>
                <w:rFonts w:eastAsia="Batang"/>
                <w:bCs/>
                <w:sz w:val="16"/>
                <w:szCs w:val="16"/>
                <w:lang w:val="de-DE" w:eastAsia="zh-CN"/>
              </w:rPr>
            </w:pPr>
            <w:r>
              <w:rPr>
                <w:rFonts w:eastAsia="Batang"/>
                <w:bCs/>
                <w:sz w:val="16"/>
                <w:szCs w:val="16"/>
                <w:lang w:val="de-DE" w:eastAsia="zh-CN"/>
              </w:rPr>
              <w:t>required</w:t>
            </w:r>
          </w:p>
        </w:tc>
      </w:tr>
      <w:tr w:rsidR="00E51CDD" w14:paraId="74D8100E" w14:textId="77777777" w:rsidTr="009938D9">
        <w:trPr>
          <w:trHeight w:val="78"/>
        </w:trPr>
        <w:tc>
          <w:tcPr>
            <w:tcW w:w="571" w:type="pct"/>
            <w:vMerge/>
            <w:tcBorders>
              <w:top w:val="single" w:sz="4" w:space="0" w:color="auto"/>
              <w:left w:val="single" w:sz="4" w:space="0" w:color="auto"/>
              <w:bottom w:val="single" w:sz="4" w:space="0" w:color="auto"/>
              <w:right w:val="single" w:sz="4" w:space="0" w:color="auto"/>
            </w:tcBorders>
            <w:vAlign w:val="center"/>
            <w:hideMark/>
          </w:tcPr>
          <w:p w14:paraId="05E345A5" w14:textId="77777777" w:rsidR="00E51CDD" w:rsidRDefault="00E51CDD" w:rsidP="009938D9">
            <w:pPr>
              <w:rPr>
                <w:rFonts w:eastAsia="Batang"/>
                <w:sz w:val="16"/>
                <w:szCs w:val="16"/>
                <w:lang w:val="en-GB" w:eastAsia="zh-CN"/>
              </w:rPr>
            </w:pPr>
          </w:p>
        </w:tc>
        <w:tc>
          <w:tcPr>
            <w:tcW w:w="589" w:type="pct"/>
            <w:gridSpan w:val="3"/>
            <w:tcBorders>
              <w:top w:val="single" w:sz="4" w:space="0" w:color="auto"/>
              <w:left w:val="single" w:sz="4" w:space="0" w:color="auto"/>
              <w:bottom w:val="single" w:sz="4" w:space="0" w:color="auto"/>
              <w:right w:val="single" w:sz="4" w:space="0" w:color="auto"/>
            </w:tcBorders>
            <w:vAlign w:val="center"/>
            <w:hideMark/>
          </w:tcPr>
          <w:p w14:paraId="7AF37054" w14:textId="77777777" w:rsidR="00E51CDD" w:rsidRPr="00E430CC" w:rsidRDefault="00E51CDD" w:rsidP="009938D9">
            <w:pPr>
              <w:widowControl w:val="0"/>
              <w:tabs>
                <w:tab w:val="left" w:pos="720"/>
              </w:tabs>
              <w:jc w:val="center"/>
              <w:rPr>
                <w:sz w:val="16"/>
                <w:szCs w:val="16"/>
                <w:lang w:val="de-DE"/>
              </w:rPr>
            </w:pPr>
            <w:r w:rsidRPr="00E430CC">
              <w:rPr>
                <w:color w:val="000000"/>
                <w:sz w:val="16"/>
                <w:szCs w:val="16"/>
              </w:rPr>
              <w:t>Cereals BBCH ≥ 40</w:t>
            </w:r>
          </w:p>
        </w:tc>
        <w:tc>
          <w:tcPr>
            <w:tcW w:w="1885" w:type="pct"/>
            <w:gridSpan w:val="3"/>
            <w:tcBorders>
              <w:top w:val="single" w:sz="4" w:space="0" w:color="auto"/>
              <w:left w:val="single" w:sz="4" w:space="0" w:color="auto"/>
              <w:bottom w:val="single" w:sz="4" w:space="0" w:color="auto"/>
              <w:right w:val="single" w:sz="4" w:space="0" w:color="auto"/>
            </w:tcBorders>
            <w:vAlign w:val="center"/>
            <w:hideMark/>
          </w:tcPr>
          <w:p w14:paraId="682938DB" w14:textId="77777777" w:rsidR="00E51CDD" w:rsidRPr="00E430CC" w:rsidRDefault="00E51CDD" w:rsidP="009938D9">
            <w:pPr>
              <w:widowControl w:val="0"/>
              <w:tabs>
                <w:tab w:val="left" w:pos="720"/>
              </w:tabs>
              <w:jc w:val="center"/>
              <w:rPr>
                <w:sz w:val="16"/>
                <w:szCs w:val="16"/>
              </w:rPr>
            </w:pPr>
            <w:r w:rsidRPr="00E430CC">
              <w:rPr>
                <w:color w:val="000000"/>
                <w:sz w:val="16"/>
                <w:szCs w:val="16"/>
              </w:rPr>
              <w:t>Small omnivorous bird “lark” Combination (invertebrates with interception) 25% crop leaves 25% weed seeds 50% ground arthropods</w:t>
            </w:r>
          </w:p>
        </w:tc>
        <w:tc>
          <w:tcPr>
            <w:tcW w:w="679" w:type="pct"/>
            <w:tcBorders>
              <w:top w:val="single" w:sz="4" w:space="0" w:color="auto"/>
              <w:left w:val="single" w:sz="4" w:space="0" w:color="auto"/>
              <w:bottom w:val="single" w:sz="4" w:space="0" w:color="auto"/>
              <w:right w:val="single" w:sz="4" w:space="0" w:color="auto"/>
            </w:tcBorders>
            <w:noWrap/>
            <w:vAlign w:val="center"/>
            <w:hideMark/>
          </w:tcPr>
          <w:p w14:paraId="10770A98" w14:textId="77777777" w:rsidR="00E51CDD" w:rsidRPr="002065B4" w:rsidRDefault="00E51CDD" w:rsidP="009938D9">
            <w:pPr>
              <w:widowControl w:val="0"/>
              <w:tabs>
                <w:tab w:val="left" w:pos="720"/>
              </w:tabs>
              <w:jc w:val="center"/>
              <w:rPr>
                <w:sz w:val="16"/>
                <w:szCs w:val="16"/>
                <w:lang w:val="de-DE"/>
              </w:rPr>
            </w:pPr>
            <w:r w:rsidRPr="002065B4">
              <w:rPr>
                <w:color w:val="000000"/>
                <w:sz w:val="16"/>
                <w:szCs w:val="16"/>
              </w:rPr>
              <w:t>7.2</w:t>
            </w:r>
          </w:p>
        </w:tc>
        <w:tc>
          <w:tcPr>
            <w:tcW w:w="600" w:type="pct"/>
            <w:gridSpan w:val="2"/>
            <w:tcBorders>
              <w:top w:val="single" w:sz="4" w:space="0" w:color="auto"/>
              <w:left w:val="single" w:sz="4" w:space="0" w:color="auto"/>
              <w:bottom w:val="single" w:sz="4" w:space="0" w:color="auto"/>
              <w:right w:val="single" w:sz="4" w:space="0" w:color="auto"/>
            </w:tcBorders>
            <w:vAlign w:val="center"/>
            <w:hideMark/>
          </w:tcPr>
          <w:p w14:paraId="41DE2550" w14:textId="77777777" w:rsidR="00E51CDD" w:rsidRPr="002065B4" w:rsidRDefault="00E51CDD" w:rsidP="009938D9">
            <w:pPr>
              <w:widowControl w:val="0"/>
              <w:tabs>
                <w:tab w:val="left" w:pos="720"/>
              </w:tabs>
              <w:jc w:val="center"/>
              <w:rPr>
                <w:sz w:val="16"/>
                <w:szCs w:val="16"/>
                <w:lang w:val="de-DE"/>
              </w:rPr>
            </w:pPr>
            <w:r>
              <w:rPr>
                <w:color w:val="000000"/>
                <w:sz w:val="16"/>
                <w:szCs w:val="16"/>
              </w:rPr>
              <w:t>&gt; </w:t>
            </w:r>
            <w:r w:rsidRPr="002065B4">
              <w:rPr>
                <w:color w:val="000000"/>
                <w:sz w:val="16"/>
                <w:szCs w:val="16"/>
              </w:rPr>
              <w:t>117.1</w:t>
            </w:r>
          </w:p>
        </w:tc>
        <w:tc>
          <w:tcPr>
            <w:tcW w:w="675" w:type="pct"/>
            <w:vMerge/>
            <w:tcBorders>
              <w:top w:val="single" w:sz="4" w:space="0" w:color="auto"/>
              <w:left w:val="single" w:sz="4" w:space="0" w:color="auto"/>
              <w:bottom w:val="single" w:sz="4" w:space="0" w:color="auto"/>
              <w:right w:val="single" w:sz="4" w:space="0" w:color="auto"/>
            </w:tcBorders>
            <w:vAlign w:val="center"/>
            <w:hideMark/>
          </w:tcPr>
          <w:p w14:paraId="024A3B78" w14:textId="77777777" w:rsidR="00E51CDD" w:rsidRDefault="00E51CDD" w:rsidP="009938D9">
            <w:pPr>
              <w:rPr>
                <w:rFonts w:eastAsia="Batang"/>
                <w:bCs/>
                <w:sz w:val="16"/>
                <w:szCs w:val="16"/>
                <w:lang w:val="de-DE" w:eastAsia="zh-CN"/>
              </w:rPr>
            </w:pPr>
          </w:p>
        </w:tc>
      </w:tr>
    </w:tbl>
    <w:p w14:paraId="1FECE266" w14:textId="77777777" w:rsidR="00E51CDD" w:rsidRDefault="00E51CDD" w:rsidP="00E51CDD">
      <w:pPr>
        <w:jc w:val="both"/>
        <w:rPr>
          <w:lang w:val="en-GB" w:eastAsia="en-US"/>
        </w:rPr>
      </w:pPr>
      <w:r w:rsidRPr="0026404C">
        <w:rPr>
          <w:sz w:val="18"/>
          <w:szCs w:val="18"/>
          <w:lang w:val="en-GB"/>
        </w:rPr>
        <w:t xml:space="preserve">TER values in </w:t>
      </w:r>
      <w:r w:rsidRPr="0026404C">
        <w:rPr>
          <w:b/>
          <w:bCs/>
          <w:sz w:val="18"/>
          <w:szCs w:val="18"/>
          <w:lang w:val="en-GB"/>
        </w:rPr>
        <w:t>bold</w:t>
      </w:r>
      <w:r w:rsidRPr="0026404C">
        <w:rPr>
          <w:sz w:val="18"/>
          <w:szCs w:val="18"/>
          <w:lang w:val="en-GB"/>
        </w:rPr>
        <w:t xml:space="preserve"> are below the trigger.</w:t>
      </w:r>
    </w:p>
    <w:p w14:paraId="5DB63074" w14:textId="77777777" w:rsidR="00E51CDD" w:rsidRDefault="00E51CDD" w:rsidP="00E51CDD">
      <w:pPr>
        <w:widowControl w:val="0"/>
        <w:jc w:val="both"/>
        <w:rPr>
          <w:lang w:val="en-GB" w:eastAsia="en-US"/>
        </w:rPr>
      </w:pPr>
    </w:p>
    <w:p w14:paraId="316DC455" w14:textId="77777777" w:rsidR="00E51CDD" w:rsidRDefault="00E51CDD" w:rsidP="00E51CDD">
      <w:pPr>
        <w:widowControl w:val="0"/>
        <w:jc w:val="both"/>
        <w:rPr>
          <w:lang w:val="en-GB" w:eastAsia="en-US"/>
        </w:rPr>
      </w:pPr>
    </w:p>
    <w:p w14:paraId="5B11C3D3" w14:textId="77777777" w:rsidR="00E51CDD" w:rsidRDefault="00E51CDD" w:rsidP="00E51CDD">
      <w:pPr>
        <w:widowControl w:val="0"/>
        <w:jc w:val="both"/>
        <w:rPr>
          <w:rFonts w:eastAsia="Batang"/>
          <w:lang w:val="en-GB" w:eastAsia="zh-CN"/>
        </w:rPr>
      </w:pPr>
      <w:r>
        <w:rPr>
          <w:rFonts w:eastAsia="Batang"/>
          <w:lang w:val="en-GB" w:eastAsia="zh-CN"/>
        </w:rPr>
        <w:lastRenderedPageBreak/>
        <w:t xml:space="preserve">In conclusion, the two risk assessment approaches (combined toxicity of the active substances and formulation toxicity) have resulted in acute TER values that are above the trigger of 10 for acceptability of effects </w:t>
      </w:r>
      <w:bookmarkStart w:id="217" w:name="_Hlk85194912"/>
      <w:r>
        <w:rPr>
          <w:rFonts w:eastAsia="Batang"/>
          <w:lang w:val="en-GB" w:eastAsia="zh-CN"/>
        </w:rPr>
        <w:t>at the screening step and/or tier 1 risk assessment</w:t>
      </w:r>
      <w:bookmarkEnd w:id="217"/>
      <w:r>
        <w:rPr>
          <w:rFonts w:eastAsia="Batang"/>
          <w:lang w:val="en-GB" w:eastAsia="zh-CN"/>
        </w:rPr>
        <w:t xml:space="preserve">. Therefore, the acute dietary risk to birds from </w:t>
      </w:r>
      <w:r>
        <w:rPr>
          <w:rFonts w:eastAsia="Batang"/>
          <w:bCs/>
          <w:lang w:val="en-GB" w:eastAsia="zh-CN"/>
        </w:rPr>
        <w:t xml:space="preserve">BAS 736 00 F </w:t>
      </w:r>
      <w:r>
        <w:rPr>
          <w:rFonts w:eastAsia="Batang"/>
          <w:lang w:val="en-GB" w:eastAsia="zh-CN"/>
        </w:rPr>
        <w:t>is acceptable.</w:t>
      </w:r>
    </w:p>
    <w:p w14:paraId="7E7A68F6" w14:textId="77777777" w:rsidR="00286DBE" w:rsidRDefault="00286DBE" w:rsidP="00E51CDD">
      <w:pPr>
        <w:widowControl w:val="0"/>
        <w:jc w:val="both"/>
        <w:rPr>
          <w:b/>
          <w:bCs/>
          <w:iCs/>
        </w:rPr>
      </w:pPr>
    </w:p>
    <w:p w14:paraId="0CE751F6" w14:textId="77777777" w:rsidR="00286DBE" w:rsidRDefault="00286DBE" w:rsidP="00E51CDD">
      <w:pPr>
        <w:widowControl w:val="0"/>
        <w:jc w:val="both"/>
        <w:rPr>
          <w:b/>
          <w:bCs/>
          <w:iCs/>
        </w:rPr>
      </w:pPr>
    </w:p>
    <w:p w14:paraId="0A211E8B" w14:textId="69F8E7F3" w:rsidR="00E51CDD" w:rsidRDefault="00E51CDD" w:rsidP="00E51CDD">
      <w:pPr>
        <w:widowControl w:val="0"/>
        <w:jc w:val="both"/>
        <w:rPr>
          <w:b/>
          <w:bCs/>
          <w:iCs/>
        </w:rPr>
      </w:pPr>
      <w:r>
        <w:rPr>
          <w:b/>
          <w:bCs/>
          <w:iCs/>
        </w:rPr>
        <w:t>Combined reproductive toxicity</w:t>
      </w:r>
    </w:p>
    <w:p w14:paraId="339D70F8" w14:textId="77777777" w:rsidR="00E51CDD" w:rsidRDefault="00E51CDD" w:rsidP="00E51CDD">
      <w:pPr>
        <w:widowControl w:val="0"/>
        <w:jc w:val="both"/>
        <w:rPr>
          <w:b/>
          <w:bCs/>
        </w:rPr>
      </w:pPr>
    </w:p>
    <w:p w14:paraId="3A03B5F5" w14:textId="77777777" w:rsidR="00E51CDD" w:rsidRDefault="00E51CDD" w:rsidP="00E51CDD">
      <w:pPr>
        <w:widowControl w:val="0"/>
        <w:jc w:val="both"/>
      </w:pPr>
      <w:bookmarkStart w:id="218" w:name="_Hlk525725420"/>
      <w:r>
        <w:rPr>
          <w:lang w:val="en-GB"/>
        </w:rPr>
        <w:t xml:space="preserve">As requested in the summary report of the Steering Committee of the Central Zone Harmonisation workshop in April 2015 and update of October 2016 </w:t>
      </w:r>
      <w:bookmarkStart w:id="219" w:name="_Hlk526435298"/>
      <w:r>
        <w:rPr>
          <w:lang w:val="en-GB"/>
        </w:rPr>
        <w:t>(Central Zone Harmonisation Workshop, 2016)</w:t>
      </w:r>
      <w:bookmarkEnd w:id="219"/>
      <w:r>
        <w:rPr>
          <w:lang w:val="en-GB"/>
        </w:rPr>
        <w:t>, a long-term combination toxicity tier 1 risk assessment is presented. As proposed there, the calculations follow the concentration addition model.</w:t>
      </w:r>
    </w:p>
    <w:p w14:paraId="3B684601" w14:textId="77777777" w:rsidR="00E51CDD" w:rsidRDefault="00E51CDD" w:rsidP="00E51CDD">
      <w:pPr>
        <w:suppressAutoHyphens/>
        <w:jc w:val="both"/>
        <w:rPr>
          <w:lang w:eastAsia="en-US"/>
        </w:rPr>
      </w:pPr>
    </w:p>
    <w:p w14:paraId="2A527193" w14:textId="77777777" w:rsidR="00E51CDD" w:rsidRDefault="00E51CDD" w:rsidP="00E51CDD">
      <w:pPr>
        <w:autoSpaceDE w:val="0"/>
        <w:autoSpaceDN w:val="0"/>
        <w:adjustRightInd w:val="0"/>
      </w:pPr>
      <w:r>
        <w:t>The combined TER</w:t>
      </w:r>
      <w:r>
        <w:rPr>
          <w:vertAlign w:val="subscript"/>
        </w:rPr>
        <w:t>LT</w:t>
      </w:r>
      <w:r>
        <w:t xml:space="preserve"> value is calculated according to the following formula:</w:t>
      </w:r>
    </w:p>
    <w:p w14:paraId="37DBECBE" w14:textId="77777777" w:rsidR="00E51CDD" w:rsidRDefault="00E51CDD" w:rsidP="00E51CDD">
      <w:pPr>
        <w:autoSpaceDE w:val="0"/>
        <w:autoSpaceDN w:val="0"/>
        <w:adjustRightInd w:val="0"/>
      </w:pPr>
    </w:p>
    <w:p w14:paraId="0B1614C9" w14:textId="77777777" w:rsidR="00E51CDD" w:rsidRDefault="00E51CDD" w:rsidP="00E51CDD">
      <w:pPr>
        <w:autoSpaceDE w:val="0"/>
        <w:autoSpaceDN w:val="0"/>
        <w:adjustRightInd w:val="0"/>
        <w:jc w:val="center"/>
      </w:pPr>
      <w:r>
        <w:t>TER</w:t>
      </w:r>
      <w:r>
        <w:rPr>
          <w:vertAlign w:val="subscript"/>
        </w:rPr>
        <w:t>LT combi</w:t>
      </w:r>
      <w:r>
        <w:t xml:space="preserve"> = trigger/((trigger/TER</w:t>
      </w:r>
      <w:r>
        <w:rPr>
          <w:vertAlign w:val="subscript"/>
        </w:rPr>
        <w:t>LT</w:t>
      </w:r>
      <w:r>
        <w:t xml:space="preserve"> </w:t>
      </w:r>
      <w:r>
        <w:rPr>
          <w:vertAlign w:val="subscript"/>
        </w:rPr>
        <w:t>substance 1</w:t>
      </w:r>
      <w:r>
        <w:t>)+(trigger/TER</w:t>
      </w:r>
      <w:r>
        <w:rPr>
          <w:vertAlign w:val="subscript"/>
        </w:rPr>
        <w:t>LT substance 2</w:t>
      </w:r>
      <w:r>
        <w:t>))</w:t>
      </w:r>
    </w:p>
    <w:p w14:paraId="69281BBD" w14:textId="77777777" w:rsidR="00E51CDD" w:rsidRDefault="00E51CDD" w:rsidP="00E51CDD">
      <w:pPr>
        <w:autoSpaceDE w:val="0"/>
        <w:autoSpaceDN w:val="0"/>
        <w:adjustRightInd w:val="0"/>
      </w:pPr>
    </w:p>
    <w:p w14:paraId="42BD0EC2" w14:textId="77777777" w:rsidR="00E51CDD" w:rsidRDefault="00E51CDD" w:rsidP="00E51CDD">
      <w:pPr>
        <w:widowControl w:val="0"/>
        <w:tabs>
          <w:tab w:val="left" w:pos="720"/>
        </w:tabs>
        <w:jc w:val="both"/>
      </w:pPr>
      <w:r>
        <w:t>An acceptable risk is expected when TER</w:t>
      </w:r>
      <w:r>
        <w:rPr>
          <w:vertAlign w:val="subscript"/>
        </w:rPr>
        <w:t>LT combi</w:t>
      </w:r>
      <w:r>
        <w:t xml:space="preserve"> &gt; trigger.</w:t>
      </w:r>
    </w:p>
    <w:p w14:paraId="69EBEDEF" w14:textId="77777777" w:rsidR="00E51CDD" w:rsidRDefault="00E51CDD" w:rsidP="00E51CDD">
      <w:pPr>
        <w:widowControl w:val="0"/>
        <w:suppressAutoHyphens/>
        <w:jc w:val="both"/>
        <w:rPr>
          <w:lang w:eastAsia="en-US"/>
        </w:rPr>
      </w:pPr>
    </w:p>
    <w:bookmarkEnd w:id="218"/>
    <w:p w14:paraId="1B13D247" w14:textId="4B0410E9" w:rsidR="00E51CDD" w:rsidRDefault="00E51CDD" w:rsidP="00E51CDD">
      <w:pPr>
        <w:widowControl w:val="0"/>
        <w:jc w:val="both"/>
        <w:rPr>
          <w:lang w:eastAsia="en-US"/>
        </w:rPr>
      </w:pPr>
      <w:r>
        <w:rPr>
          <w:bCs/>
          <w:lang w:eastAsia="en-US"/>
        </w:rPr>
        <w:t xml:space="preserve">The </w:t>
      </w:r>
      <w:r>
        <w:rPr>
          <w:lang w:eastAsia="en-US"/>
        </w:rPr>
        <w:t>TER</w:t>
      </w:r>
      <w:r>
        <w:rPr>
          <w:vertAlign w:val="subscript"/>
          <w:lang w:eastAsia="en-US"/>
        </w:rPr>
        <w:t>LT combi</w:t>
      </w:r>
      <w:r>
        <w:rPr>
          <w:bCs/>
          <w:lang w:eastAsia="en-US"/>
        </w:rPr>
        <w:t xml:space="preserve"> values are calculated based on screening step TER values for the active substances. </w:t>
      </w:r>
      <w:r>
        <w:rPr>
          <w:lang w:eastAsia="en-US"/>
        </w:rPr>
        <w:t xml:space="preserve">The calculations of the </w:t>
      </w:r>
      <w:r>
        <w:rPr>
          <w:bCs/>
          <w:lang w:eastAsia="en-US"/>
        </w:rPr>
        <w:t>cumulative ecotoxicological effects</w:t>
      </w:r>
      <w:r>
        <w:rPr>
          <w:lang w:eastAsia="en-US"/>
        </w:rPr>
        <w:t xml:space="preserve"> are summarized in </w:t>
      </w:r>
      <w:r>
        <w:rPr>
          <w:lang w:eastAsia="en-US"/>
        </w:rPr>
        <w:fldChar w:fldCharType="begin"/>
      </w:r>
      <w:r>
        <w:rPr>
          <w:lang w:eastAsia="en-US"/>
        </w:rPr>
        <w:instrText xml:space="preserve"> REF _Ref39819223 \h  \* MERGEFORMAT </w:instrText>
      </w:r>
      <w:r>
        <w:rPr>
          <w:lang w:eastAsia="en-US"/>
        </w:rPr>
      </w:r>
      <w:r>
        <w:rPr>
          <w:lang w:eastAsia="en-US"/>
        </w:rPr>
        <w:fldChar w:fldCharType="separate"/>
      </w:r>
      <w:r w:rsidR="00662F32" w:rsidRPr="00662F32">
        <w:rPr>
          <w:lang w:val="en-GB" w:eastAsia="en-US"/>
        </w:rPr>
        <w:t xml:space="preserve">Table </w:t>
      </w:r>
      <w:r w:rsidR="00662F32" w:rsidRPr="00662F32">
        <w:rPr>
          <w:noProof/>
          <w:lang w:val="en-GB" w:eastAsia="en-US"/>
        </w:rPr>
        <w:t>9.2</w:t>
      </w:r>
      <w:r w:rsidR="00662F32" w:rsidRPr="00662F32">
        <w:rPr>
          <w:noProof/>
          <w:lang w:val="en-GB" w:eastAsia="en-US"/>
        </w:rPr>
        <w:noBreakHyphen/>
        <w:t>11</w:t>
      </w:r>
      <w:r>
        <w:rPr>
          <w:lang w:eastAsia="en-US"/>
        </w:rPr>
        <w:fldChar w:fldCharType="end"/>
      </w:r>
      <w:r>
        <w:rPr>
          <w:lang w:eastAsia="en-US"/>
        </w:rPr>
        <w:t>.</w:t>
      </w:r>
    </w:p>
    <w:p w14:paraId="6276A936" w14:textId="77777777" w:rsidR="00E51CDD" w:rsidRDefault="00E51CDD" w:rsidP="00E51CDD">
      <w:pPr>
        <w:widowControl w:val="0"/>
        <w:suppressAutoHyphens/>
        <w:jc w:val="both"/>
        <w:rPr>
          <w:lang w:eastAsia="en-US"/>
        </w:rPr>
      </w:pPr>
    </w:p>
    <w:p w14:paraId="7D465807" w14:textId="437B5978" w:rsidR="00E51CDD" w:rsidRDefault="00E51CDD" w:rsidP="00E51CDD">
      <w:pPr>
        <w:widowControl w:val="0"/>
        <w:tabs>
          <w:tab w:val="left" w:pos="1980"/>
        </w:tabs>
        <w:spacing w:before="200" w:after="120"/>
        <w:ind w:left="1980" w:hanging="1980"/>
        <w:jc w:val="both"/>
        <w:rPr>
          <w:b/>
          <w:bCs/>
          <w:lang w:val="en-GB"/>
        </w:rPr>
      </w:pPr>
      <w:bookmarkStart w:id="220" w:name="_Ref39819223"/>
      <w:bookmarkStart w:id="221" w:name="_Hlk525635624"/>
      <w:r>
        <w:rPr>
          <w:b/>
          <w:bCs/>
          <w:lang w:val="en-GB"/>
        </w:rPr>
        <w:t xml:space="preserve">Table </w:t>
      </w:r>
      <w:r>
        <w:fldChar w:fldCharType="begin"/>
      </w:r>
      <w:r>
        <w:rPr>
          <w:b/>
          <w:bCs/>
          <w:lang w:val="en-GB"/>
        </w:rPr>
        <w:instrText xml:space="preserve"> STYLEREF 2 \s </w:instrText>
      </w:r>
      <w:r>
        <w:fldChar w:fldCharType="separate"/>
      </w:r>
      <w:r w:rsidR="00662F32">
        <w:rPr>
          <w:b/>
          <w:bCs/>
          <w:noProof/>
          <w:lang w:val="en-GB"/>
        </w:rPr>
        <w:t>9.2</w:t>
      </w:r>
      <w:r>
        <w:fldChar w:fldCharType="end"/>
      </w:r>
      <w:r>
        <w:rPr>
          <w:b/>
          <w:bCs/>
          <w:lang w:val="en-GB"/>
        </w:rPr>
        <w:noBreakHyphen/>
      </w:r>
      <w:r>
        <w:fldChar w:fldCharType="begin"/>
      </w:r>
      <w:r>
        <w:rPr>
          <w:b/>
          <w:bCs/>
          <w:lang w:val="en-GB"/>
        </w:rPr>
        <w:instrText xml:space="preserve"> SEQ Table \* ARABIC \s 2 </w:instrText>
      </w:r>
      <w:r>
        <w:fldChar w:fldCharType="separate"/>
      </w:r>
      <w:r w:rsidR="00662F32">
        <w:rPr>
          <w:b/>
          <w:bCs/>
          <w:noProof/>
          <w:lang w:val="en-GB"/>
        </w:rPr>
        <w:t>11</w:t>
      </w:r>
      <w:r>
        <w:fldChar w:fldCharType="end"/>
      </w:r>
      <w:bookmarkEnd w:id="220"/>
      <w:r>
        <w:rPr>
          <w:b/>
          <w:bCs/>
          <w:lang w:val="en-GB"/>
        </w:rPr>
        <w:t xml:space="preserve">: </w:t>
      </w:r>
      <w:r>
        <w:rPr>
          <w:b/>
          <w:bCs/>
          <w:lang w:val="en-GB"/>
        </w:rPr>
        <w:tab/>
      </w:r>
      <w:bookmarkStart w:id="222" w:name="_Hlk525725431"/>
      <w:r>
        <w:rPr>
          <w:b/>
          <w:bCs/>
          <w:lang w:val="en-GB"/>
        </w:rPr>
        <w:t>Combined reproductive toxicity risk assessment for birds due to the use of BAS 736 00 F for the crop group “cereals”</w:t>
      </w:r>
      <w:bookmarkEnd w:id="2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716"/>
        <w:gridCol w:w="2397"/>
        <w:gridCol w:w="1690"/>
        <w:gridCol w:w="1410"/>
        <w:gridCol w:w="1267"/>
        <w:gridCol w:w="867"/>
      </w:tblGrid>
      <w:tr w:rsidR="00E51CDD" w:rsidRPr="008232EE" w14:paraId="51DF0486" w14:textId="77777777" w:rsidTr="009938D9">
        <w:trPr>
          <w:cantSplit/>
          <w:trHeight w:val="579"/>
          <w:tblHeader/>
        </w:trPr>
        <w:tc>
          <w:tcPr>
            <w:tcW w:w="2200" w:type="pct"/>
            <w:gridSpan w:val="2"/>
            <w:tcBorders>
              <w:top w:val="single" w:sz="4" w:space="0" w:color="auto"/>
              <w:left w:val="single" w:sz="4" w:space="0" w:color="auto"/>
              <w:bottom w:val="single" w:sz="4" w:space="0" w:color="auto"/>
              <w:right w:val="single" w:sz="4" w:space="0" w:color="auto"/>
            </w:tcBorders>
            <w:vAlign w:val="center"/>
            <w:hideMark/>
          </w:tcPr>
          <w:p w14:paraId="0EABF577" w14:textId="77777777" w:rsidR="00E51CDD" w:rsidRPr="008232EE" w:rsidRDefault="00E51CDD" w:rsidP="009938D9">
            <w:pPr>
              <w:widowControl w:val="0"/>
              <w:jc w:val="center"/>
              <w:rPr>
                <w:b/>
                <w:bCs/>
                <w:sz w:val="16"/>
                <w:szCs w:val="16"/>
              </w:rPr>
            </w:pPr>
            <w:r w:rsidRPr="008232EE">
              <w:rPr>
                <w:b/>
                <w:bCs/>
                <w:sz w:val="16"/>
                <w:szCs w:val="16"/>
              </w:rPr>
              <w:t>Crop scenario and/or indicator species</w:t>
            </w:r>
          </w:p>
        </w:tc>
        <w:tc>
          <w:tcPr>
            <w:tcW w:w="904" w:type="pct"/>
            <w:tcBorders>
              <w:top w:val="single" w:sz="4" w:space="0" w:color="auto"/>
              <w:left w:val="single" w:sz="4" w:space="0" w:color="auto"/>
              <w:bottom w:val="single" w:sz="4" w:space="0" w:color="auto"/>
              <w:right w:val="single" w:sz="4" w:space="0" w:color="auto"/>
            </w:tcBorders>
            <w:vAlign w:val="center"/>
            <w:hideMark/>
          </w:tcPr>
          <w:p w14:paraId="75F47F83" w14:textId="77777777" w:rsidR="00E51CDD" w:rsidRPr="008232EE" w:rsidRDefault="00E51CDD" w:rsidP="009938D9">
            <w:pPr>
              <w:widowControl w:val="0"/>
              <w:jc w:val="center"/>
              <w:rPr>
                <w:b/>
                <w:bCs/>
                <w:sz w:val="16"/>
                <w:szCs w:val="16"/>
                <w:lang w:val="de-DE"/>
              </w:rPr>
            </w:pPr>
            <w:r w:rsidRPr="008232EE">
              <w:rPr>
                <w:b/>
                <w:bCs/>
                <w:sz w:val="16"/>
                <w:szCs w:val="16"/>
                <w:lang w:val="de-DE"/>
              </w:rPr>
              <w:t>TER</w:t>
            </w:r>
            <w:r w:rsidRPr="008232EE">
              <w:rPr>
                <w:b/>
                <w:bCs/>
                <w:sz w:val="16"/>
                <w:szCs w:val="16"/>
                <w:vertAlign w:val="subscript"/>
                <w:lang w:val="de-DE"/>
              </w:rPr>
              <w:t>LT</w:t>
            </w:r>
            <w:r w:rsidRPr="008232EE">
              <w:rPr>
                <w:b/>
                <w:bCs/>
                <w:sz w:val="16"/>
                <w:szCs w:val="16"/>
                <w:lang w:val="de-DE"/>
              </w:rPr>
              <w:t> </w:t>
            </w:r>
            <w:r w:rsidRPr="008232EE">
              <w:rPr>
                <w:b/>
                <w:bCs/>
                <w:sz w:val="16"/>
                <w:szCs w:val="16"/>
                <w:vertAlign w:val="superscript"/>
                <w:lang w:val="de-DE"/>
              </w:rPr>
              <w:t>1)</w:t>
            </w:r>
          </w:p>
          <w:p w14:paraId="3FCCC804" w14:textId="77777777" w:rsidR="00E51CDD" w:rsidRPr="008232EE" w:rsidRDefault="00E51CDD" w:rsidP="009938D9">
            <w:pPr>
              <w:widowControl w:val="0"/>
              <w:jc w:val="center"/>
              <w:rPr>
                <w:b/>
                <w:bCs/>
                <w:sz w:val="16"/>
                <w:szCs w:val="16"/>
                <w:lang w:val="de-DE"/>
              </w:rPr>
            </w:pPr>
            <w:r w:rsidRPr="008232EE">
              <w:rPr>
                <w:b/>
                <w:bCs/>
                <w:sz w:val="16"/>
                <w:szCs w:val="16"/>
                <w:lang w:val="de-DE"/>
              </w:rPr>
              <w:t>fluxapyroxad</w:t>
            </w:r>
          </w:p>
        </w:tc>
        <w:tc>
          <w:tcPr>
            <w:tcW w:w="754" w:type="pct"/>
            <w:tcBorders>
              <w:top w:val="single" w:sz="4" w:space="0" w:color="auto"/>
              <w:left w:val="single" w:sz="4" w:space="0" w:color="auto"/>
              <w:bottom w:val="single" w:sz="4" w:space="0" w:color="auto"/>
              <w:right w:val="single" w:sz="4" w:space="0" w:color="auto"/>
            </w:tcBorders>
            <w:vAlign w:val="center"/>
            <w:hideMark/>
          </w:tcPr>
          <w:p w14:paraId="2E220C02" w14:textId="77777777" w:rsidR="00E51CDD" w:rsidRPr="008232EE" w:rsidRDefault="00E51CDD" w:rsidP="009938D9">
            <w:pPr>
              <w:widowControl w:val="0"/>
              <w:jc w:val="center"/>
              <w:rPr>
                <w:b/>
                <w:bCs/>
                <w:sz w:val="16"/>
                <w:szCs w:val="16"/>
                <w:lang w:val="de-DE"/>
              </w:rPr>
            </w:pPr>
            <w:r w:rsidRPr="008232EE">
              <w:rPr>
                <w:b/>
                <w:bCs/>
                <w:sz w:val="16"/>
                <w:szCs w:val="16"/>
                <w:lang w:val="de-DE"/>
              </w:rPr>
              <w:t>TER</w:t>
            </w:r>
            <w:r w:rsidRPr="008232EE">
              <w:rPr>
                <w:b/>
                <w:bCs/>
                <w:sz w:val="16"/>
                <w:szCs w:val="16"/>
                <w:vertAlign w:val="subscript"/>
                <w:lang w:val="de-DE"/>
              </w:rPr>
              <w:t>LT</w:t>
            </w:r>
            <w:r w:rsidRPr="008232EE">
              <w:rPr>
                <w:b/>
                <w:bCs/>
                <w:sz w:val="16"/>
                <w:szCs w:val="16"/>
                <w:lang w:val="de-DE"/>
              </w:rPr>
              <w:t> </w:t>
            </w:r>
            <w:r w:rsidRPr="008232EE">
              <w:rPr>
                <w:b/>
                <w:bCs/>
                <w:sz w:val="16"/>
                <w:szCs w:val="16"/>
                <w:vertAlign w:val="superscript"/>
                <w:lang w:val="de-DE"/>
              </w:rPr>
              <w:t>1)</w:t>
            </w:r>
          </w:p>
          <w:p w14:paraId="6B33784C" w14:textId="77777777" w:rsidR="00E51CDD" w:rsidRPr="008232EE" w:rsidRDefault="00E51CDD" w:rsidP="009938D9">
            <w:pPr>
              <w:widowControl w:val="0"/>
              <w:jc w:val="center"/>
              <w:rPr>
                <w:b/>
                <w:bCs/>
                <w:sz w:val="16"/>
                <w:szCs w:val="16"/>
                <w:lang w:val="de-DE"/>
              </w:rPr>
            </w:pPr>
            <w:r w:rsidRPr="008232EE">
              <w:rPr>
                <w:b/>
                <w:bCs/>
                <w:sz w:val="16"/>
                <w:szCs w:val="16"/>
                <w:lang w:val="de-DE"/>
              </w:rPr>
              <w:t>azoxystrobin</w:t>
            </w:r>
          </w:p>
        </w:tc>
        <w:tc>
          <w:tcPr>
            <w:tcW w:w="678" w:type="pct"/>
            <w:tcBorders>
              <w:top w:val="single" w:sz="4" w:space="0" w:color="auto"/>
              <w:left w:val="single" w:sz="4" w:space="0" w:color="auto"/>
              <w:bottom w:val="single" w:sz="4" w:space="0" w:color="auto"/>
              <w:right w:val="single" w:sz="4" w:space="0" w:color="auto"/>
            </w:tcBorders>
            <w:vAlign w:val="center"/>
            <w:hideMark/>
          </w:tcPr>
          <w:p w14:paraId="309AF811" w14:textId="77777777" w:rsidR="00E51CDD" w:rsidRPr="008232EE" w:rsidRDefault="00E51CDD" w:rsidP="009938D9">
            <w:pPr>
              <w:widowControl w:val="0"/>
              <w:jc w:val="center"/>
              <w:rPr>
                <w:b/>
                <w:bCs/>
                <w:sz w:val="16"/>
                <w:szCs w:val="16"/>
                <w:lang w:val="de-DE"/>
              </w:rPr>
            </w:pPr>
            <w:r w:rsidRPr="008232EE">
              <w:rPr>
                <w:b/>
                <w:bCs/>
                <w:sz w:val="16"/>
                <w:szCs w:val="16"/>
                <w:lang w:val="de-DE"/>
              </w:rPr>
              <w:t>TER</w:t>
            </w:r>
            <w:r w:rsidRPr="008232EE">
              <w:rPr>
                <w:b/>
                <w:bCs/>
                <w:sz w:val="16"/>
                <w:szCs w:val="16"/>
                <w:vertAlign w:val="subscript"/>
                <w:lang w:val="de-DE"/>
              </w:rPr>
              <w:t>LT combi</w:t>
            </w:r>
          </w:p>
        </w:tc>
        <w:tc>
          <w:tcPr>
            <w:tcW w:w="464" w:type="pct"/>
            <w:tcBorders>
              <w:top w:val="single" w:sz="4" w:space="0" w:color="auto"/>
              <w:left w:val="single" w:sz="4" w:space="0" w:color="auto"/>
              <w:bottom w:val="single" w:sz="4" w:space="0" w:color="auto"/>
              <w:right w:val="single" w:sz="4" w:space="0" w:color="auto"/>
            </w:tcBorders>
            <w:vAlign w:val="center"/>
            <w:hideMark/>
          </w:tcPr>
          <w:p w14:paraId="442B72C7" w14:textId="77777777" w:rsidR="00E51CDD" w:rsidRPr="008232EE" w:rsidRDefault="00E51CDD" w:rsidP="009938D9">
            <w:pPr>
              <w:widowControl w:val="0"/>
              <w:jc w:val="center"/>
              <w:rPr>
                <w:b/>
                <w:bCs/>
                <w:sz w:val="16"/>
                <w:szCs w:val="16"/>
                <w:lang w:val="de-DE"/>
              </w:rPr>
            </w:pPr>
            <w:r w:rsidRPr="008232EE">
              <w:rPr>
                <w:b/>
                <w:bCs/>
                <w:sz w:val="16"/>
                <w:szCs w:val="16"/>
                <w:lang w:val="de-DE"/>
              </w:rPr>
              <w:t>Trigger</w:t>
            </w:r>
          </w:p>
        </w:tc>
      </w:tr>
      <w:tr w:rsidR="00E51CDD" w:rsidRPr="008232EE" w14:paraId="440ED343" w14:textId="77777777" w:rsidTr="009938D9">
        <w:trPr>
          <w:cantSplit/>
          <w:trHeight w:val="30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73BD666A" w14:textId="77777777" w:rsidR="00E51CDD" w:rsidRPr="008232EE" w:rsidRDefault="00E51CDD" w:rsidP="009938D9">
            <w:pPr>
              <w:widowControl w:val="0"/>
              <w:rPr>
                <w:b/>
                <w:bCs/>
                <w:noProof/>
                <w:sz w:val="16"/>
                <w:szCs w:val="16"/>
                <w:lang w:val="de-DE" w:eastAsia="zh-CN"/>
              </w:rPr>
            </w:pPr>
            <w:r w:rsidRPr="008232EE">
              <w:rPr>
                <w:b/>
                <w:bCs/>
                <w:noProof/>
                <w:sz w:val="16"/>
                <w:szCs w:val="16"/>
                <w:lang w:val="de-DE"/>
              </w:rPr>
              <w:t>Reproductive (screening step)</w:t>
            </w:r>
          </w:p>
        </w:tc>
      </w:tr>
      <w:tr w:rsidR="00E51CDD" w:rsidRPr="008232EE" w14:paraId="478B1FDD" w14:textId="77777777" w:rsidTr="009938D9">
        <w:trPr>
          <w:cantSplit/>
        </w:trPr>
        <w:tc>
          <w:tcPr>
            <w:tcW w:w="918" w:type="pct"/>
            <w:tcBorders>
              <w:top w:val="single" w:sz="4" w:space="0" w:color="auto"/>
              <w:left w:val="single" w:sz="4" w:space="0" w:color="auto"/>
              <w:bottom w:val="single" w:sz="4" w:space="0" w:color="auto"/>
              <w:right w:val="single" w:sz="4" w:space="0" w:color="auto"/>
            </w:tcBorders>
            <w:vAlign w:val="center"/>
            <w:hideMark/>
          </w:tcPr>
          <w:p w14:paraId="07CB9AC5" w14:textId="77777777" w:rsidR="00E51CDD" w:rsidRPr="008232EE" w:rsidRDefault="00E51CDD" w:rsidP="009938D9">
            <w:pPr>
              <w:widowControl w:val="0"/>
              <w:jc w:val="center"/>
              <w:rPr>
                <w:sz w:val="16"/>
                <w:szCs w:val="16"/>
                <w:lang w:val="de-DE"/>
              </w:rPr>
            </w:pPr>
            <w:r w:rsidRPr="008232EE">
              <w:rPr>
                <w:sz w:val="16"/>
                <w:szCs w:val="16"/>
                <w:lang w:val="de-DE"/>
              </w:rPr>
              <w:t>Cereals</w:t>
            </w:r>
          </w:p>
        </w:tc>
        <w:tc>
          <w:tcPr>
            <w:tcW w:w="1282" w:type="pct"/>
            <w:tcBorders>
              <w:top w:val="single" w:sz="4" w:space="0" w:color="auto"/>
              <w:left w:val="single" w:sz="4" w:space="0" w:color="auto"/>
              <w:bottom w:val="single" w:sz="4" w:space="0" w:color="auto"/>
              <w:right w:val="single" w:sz="4" w:space="0" w:color="auto"/>
            </w:tcBorders>
            <w:vAlign w:val="center"/>
            <w:hideMark/>
          </w:tcPr>
          <w:p w14:paraId="28FD1A7C" w14:textId="77777777" w:rsidR="00E51CDD" w:rsidRPr="008232EE" w:rsidRDefault="00E51CDD" w:rsidP="009938D9">
            <w:pPr>
              <w:widowControl w:val="0"/>
              <w:jc w:val="center"/>
              <w:rPr>
                <w:sz w:val="16"/>
                <w:szCs w:val="16"/>
                <w:lang w:val="de-DE"/>
              </w:rPr>
            </w:pPr>
            <w:r w:rsidRPr="008232EE">
              <w:rPr>
                <w:sz w:val="16"/>
                <w:szCs w:val="16"/>
                <w:lang w:val="de-DE"/>
              </w:rPr>
              <w:t>Small omnivorous bird</w:t>
            </w:r>
          </w:p>
        </w:tc>
        <w:tc>
          <w:tcPr>
            <w:tcW w:w="904" w:type="pct"/>
            <w:tcBorders>
              <w:top w:val="single" w:sz="4" w:space="0" w:color="auto"/>
              <w:left w:val="single" w:sz="4" w:space="0" w:color="auto"/>
              <w:bottom w:val="single" w:sz="4" w:space="0" w:color="auto"/>
              <w:right w:val="single" w:sz="4" w:space="0" w:color="auto"/>
            </w:tcBorders>
            <w:vAlign w:val="center"/>
            <w:hideMark/>
          </w:tcPr>
          <w:p w14:paraId="10EDD341" w14:textId="34B9FB16" w:rsidR="00E51CDD" w:rsidRPr="008232EE" w:rsidRDefault="00E51CDD" w:rsidP="009938D9">
            <w:pPr>
              <w:widowControl w:val="0"/>
              <w:jc w:val="center"/>
              <w:rPr>
                <w:sz w:val="16"/>
                <w:szCs w:val="16"/>
                <w:lang w:val="de-DE"/>
              </w:rPr>
            </w:pPr>
            <w:r w:rsidRPr="001C3AE3">
              <w:rPr>
                <w:strike/>
                <w:color w:val="D9D9D9" w:themeColor="background1" w:themeShade="D9"/>
                <w:sz w:val="16"/>
                <w:szCs w:val="16"/>
                <w:lang w:val="de-DE"/>
              </w:rPr>
              <w:t>8.2</w:t>
            </w:r>
            <w:r w:rsidR="002E1726" w:rsidRPr="001C3AE3">
              <w:rPr>
                <w:color w:val="D9D9D9" w:themeColor="background1" w:themeShade="D9"/>
                <w:sz w:val="16"/>
                <w:szCs w:val="16"/>
                <w:lang w:val="de-DE"/>
              </w:rPr>
              <w:t xml:space="preserve"> </w:t>
            </w:r>
            <w:r w:rsidR="002E1726" w:rsidRPr="002E1726">
              <w:rPr>
                <w:sz w:val="16"/>
                <w:szCs w:val="16"/>
                <w:shd w:val="clear" w:color="auto" w:fill="D9D9D9" w:themeFill="background1" w:themeFillShade="D9"/>
                <w:lang w:val="de-DE"/>
              </w:rPr>
              <w:t>8.1</w:t>
            </w:r>
          </w:p>
        </w:tc>
        <w:tc>
          <w:tcPr>
            <w:tcW w:w="754" w:type="pct"/>
            <w:tcBorders>
              <w:top w:val="single" w:sz="4" w:space="0" w:color="auto"/>
              <w:left w:val="single" w:sz="4" w:space="0" w:color="auto"/>
              <w:bottom w:val="single" w:sz="4" w:space="0" w:color="auto"/>
              <w:right w:val="single" w:sz="4" w:space="0" w:color="auto"/>
            </w:tcBorders>
            <w:vAlign w:val="center"/>
            <w:hideMark/>
          </w:tcPr>
          <w:p w14:paraId="0ECE0DAD" w14:textId="77777777" w:rsidR="00E51CDD" w:rsidRPr="008232EE" w:rsidRDefault="00E51CDD" w:rsidP="009938D9">
            <w:pPr>
              <w:widowControl w:val="0"/>
              <w:jc w:val="center"/>
              <w:rPr>
                <w:sz w:val="16"/>
                <w:szCs w:val="16"/>
                <w:lang w:val="de-DE"/>
              </w:rPr>
            </w:pPr>
            <w:r w:rsidRPr="008232EE">
              <w:rPr>
                <w:sz w:val="16"/>
                <w:szCs w:val="16"/>
                <w:lang w:val="de-DE"/>
              </w:rPr>
              <w:t>18.9</w:t>
            </w:r>
          </w:p>
        </w:tc>
        <w:tc>
          <w:tcPr>
            <w:tcW w:w="678" w:type="pct"/>
            <w:tcBorders>
              <w:top w:val="single" w:sz="4" w:space="0" w:color="auto"/>
              <w:left w:val="single" w:sz="4" w:space="0" w:color="auto"/>
              <w:bottom w:val="single" w:sz="4" w:space="0" w:color="auto"/>
              <w:right w:val="single" w:sz="4" w:space="0" w:color="auto"/>
            </w:tcBorders>
            <w:vAlign w:val="center"/>
            <w:hideMark/>
          </w:tcPr>
          <w:p w14:paraId="11EF6E02" w14:textId="77777777" w:rsidR="00E51CDD" w:rsidRPr="008232EE" w:rsidRDefault="00E51CDD" w:rsidP="009938D9">
            <w:pPr>
              <w:widowControl w:val="0"/>
              <w:jc w:val="center"/>
              <w:rPr>
                <w:sz w:val="16"/>
                <w:szCs w:val="16"/>
                <w:lang w:val="de-DE"/>
              </w:rPr>
            </w:pPr>
            <w:r w:rsidRPr="008232EE">
              <w:rPr>
                <w:sz w:val="16"/>
                <w:szCs w:val="16"/>
                <w:lang w:val="de-DE"/>
              </w:rPr>
              <w:t>5.7</w:t>
            </w:r>
          </w:p>
        </w:tc>
        <w:tc>
          <w:tcPr>
            <w:tcW w:w="464" w:type="pct"/>
            <w:tcBorders>
              <w:top w:val="single" w:sz="4" w:space="0" w:color="auto"/>
              <w:left w:val="single" w:sz="4" w:space="0" w:color="auto"/>
              <w:bottom w:val="single" w:sz="4" w:space="0" w:color="auto"/>
              <w:right w:val="single" w:sz="4" w:space="0" w:color="auto"/>
            </w:tcBorders>
            <w:vAlign w:val="center"/>
            <w:hideMark/>
          </w:tcPr>
          <w:p w14:paraId="295BF322" w14:textId="77777777" w:rsidR="00E51CDD" w:rsidRPr="008232EE" w:rsidRDefault="00E51CDD" w:rsidP="009938D9">
            <w:pPr>
              <w:widowControl w:val="0"/>
              <w:jc w:val="center"/>
              <w:rPr>
                <w:sz w:val="16"/>
                <w:szCs w:val="16"/>
                <w:lang w:val="de-DE"/>
              </w:rPr>
            </w:pPr>
            <w:r w:rsidRPr="008232EE">
              <w:rPr>
                <w:sz w:val="16"/>
                <w:szCs w:val="16"/>
                <w:lang w:val="de-DE"/>
              </w:rPr>
              <w:t>5</w:t>
            </w:r>
          </w:p>
        </w:tc>
      </w:tr>
    </w:tbl>
    <w:p w14:paraId="3F524A2F" w14:textId="4BE6322D" w:rsidR="00E51CDD" w:rsidRPr="00F02570" w:rsidRDefault="00E51CDD" w:rsidP="00E51CDD">
      <w:pPr>
        <w:widowControl w:val="0"/>
        <w:suppressAutoHyphens/>
        <w:ind w:left="284" w:hanging="284"/>
        <w:rPr>
          <w:sz w:val="16"/>
          <w:szCs w:val="16"/>
        </w:rPr>
      </w:pPr>
      <w:r w:rsidRPr="008232EE">
        <w:rPr>
          <w:sz w:val="16"/>
          <w:szCs w:val="16"/>
          <w:vertAlign w:val="superscript"/>
        </w:rPr>
        <w:t>1)</w:t>
      </w:r>
      <w:r w:rsidRPr="008232EE">
        <w:rPr>
          <w:sz w:val="16"/>
          <w:szCs w:val="16"/>
        </w:rPr>
        <w:tab/>
        <w:t xml:space="preserve">Reproductive TER values are presented in  </w:t>
      </w:r>
      <w:r w:rsidRPr="008232EE">
        <w:rPr>
          <w:color w:val="000000" w:themeColor="text1"/>
          <w:sz w:val="16"/>
          <w:szCs w:val="16"/>
        </w:rPr>
        <w:fldChar w:fldCharType="begin"/>
      </w:r>
      <w:r w:rsidRPr="008232EE">
        <w:rPr>
          <w:color w:val="000000" w:themeColor="text1"/>
          <w:sz w:val="16"/>
          <w:szCs w:val="16"/>
        </w:rPr>
        <w:instrText xml:space="preserve"> REF _Ref438201380 \h  \* MERGEFORMAT </w:instrText>
      </w:r>
      <w:r w:rsidRPr="008232EE">
        <w:rPr>
          <w:color w:val="000000" w:themeColor="text1"/>
          <w:sz w:val="16"/>
          <w:szCs w:val="16"/>
        </w:rPr>
      </w:r>
      <w:r w:rsidRPr="008232EE">
        <w:rPr>
          <w:color w:val="000000" w:themeColor="text1"/>
          <w:sz w:val="16"/>
          <w:szCs w:val="16"/>
        </w:rPr>
        <w:fldChar w:fldCharType="separate"/>
      </w:r>
      <w:r w:rsidR="00662F32" w:rsidRPr="00662F32">
        <w:rPr>
          <w:color w:val="000000" w:themeColor="text1"/>
          <w:sz w:val="16"/>
          <w:szCs w:val="16"/>
        </w:rPr>
        <w:t xml:space="preserve">Table </w:t>
      </w:r>
      <w:r w:rsidR="00662F32" w:rsidRPr="00662F32">
        <w:rPr>
          <w:noProof/>
          <w:color w:val="000000" w:themeColor="text1"/>
          <w:sz w:val="16"/>
          <w:szCs w:val="16"/>
        </w:rPr>
        <w:t>9.2</w:t>
      </w:r>
      <w:r w:rsidR="00662F32" w:rsidRPr="00662F32">
        <w:rPr>
          <w:noProof/>
          <w:color w:val="000000" w:themeColor="text1"/>
          <w:sz w:val="16"/>
          <w:szCs w:val="16"/>
        </w:rPr>
        <w:noBreakHyphen/>
        <w:t>6</w:t>
      </w:r>
      <w:r w:rsidRPr="008232EE">
        <w:rPr>
          <w:color w:val="000000" w:themeColor="text1"/>
          <w:sz w:val="16"/>
          <w:szCs w:val="16"/>
        </w:rPr>
        <w:fldChar w:fldCharType="end"/>
      </w:r>
      <w:r>
        <w:rPr>
          <w:color w:val="000000" w:themeColor="text1"/>
          <w:sz w:val="16"/>
          <w:szCs w:val="16"/>
        </w:rPr>
        <w:t xml:space="preserve"> (fluxapyroxad)</w:t>
      </w:r>
      <w:r w:rsidRPr="008232EE">
        <w:rPr>
          <w:color w:val="000000" w:themeColor="text1"/>
          <w:sz w:val="16"/>
          <w:szCs w:val="16"/>
        </w:rPr>
        <w:t xml:space="preserve"> and </w:t>
      </w:r>
      <w:r w:rsidRPr="00F02570">
        <w:rPr>
          <w:color w:val="000000" w:themeColor="text1"/>
          <w:sz w:val="16"/>
          <w:szCs w:val="16"/>
        </w:rPr>
        <w:fldChar w:fldCharType="begin"/>
      </w:r>
      <w:r w:rsidRPr="00F02570">
        <w:rPr>
          <w:color w:val="000000" w:themeColor="text1"/>
          <w:sz w:val="16"/>
          <w:szCs w:val="16"/>
        </w:rPr>
        <w:instrText xml:space="preserve"> REF _Ref85537194 \h  \* MERGEFORMAT </w:instrText>
      </w:r>
      <w:r w:rsidRPr="00F02570">
        <w:rPr>
          <w:color w:val="000000" w:themeColor="text1"/>
          <w:sz w:val="16"/>
          <w:szCs w:val="16"/>
        </w:rPr>
      </w:r>
      <w:r w:rsidRPr="00F02570">
        <w:rPr>
          <w:color w:val="000000" w:themeColor="text1"/>
          <w:sz w:val="16"/>
          <w:szCs w:val="16"/>
        </w:rPr>
        <w:fldChar w:fldCharType="separate"/>
      </w:r>
      <w:r w:rsidR="00662F32" w:rsidRPr="00662F32">
        <w:rPr>
          <w:sz w:val="16"/>
          <w:szCs w:val="16"/>
          <w:lang w:val="en-GB"/>
        </w:rPr>
        <w:t xml:space="preserve">Table </w:t>
      </w:r>
      <w:r w:rsidR="00662F32" w:rsidRPr="00662F32">
        <w:rPr>
          <w:noProof/>
          <w:sz w:val="16"/>
          <w:szCs w:val="16"/>
          <w:lang w:val="en-GB"/>
        </w:rPr>
        <w:t>9.2</w:t>
      </w:r>
      <w:r w:rsidR="00662F32" w:rsidRPr="00662F32">
        <w:rPr>
          <w:noProof/>
          <w:sz w:val="16"/>
          <w:szCs w:val="16"/>
          <w:lang w:val="en-GB"/>
        </w:rPr>
        <w:noBreakHyphen/>
        <w:t>7</w:t>
      </w:r>
      <w:r w:rsidRPr="00F02570">
        <w:rPr>
          <w:color w:val="000000" w:themeColor="text1"/>
          <w:sz w:val="16"/>
          <w:szCs w:val="16"/>
        </w:rPr>
        <w:fldChar w:fldCharType="end"/>
      </w:r>
      <w:r>
        <w:rPr>
          <w:color w:val="000000" w:themeColor="text1"/>
          <w:sz w:val="16"/>
          <w:szCs w:val="16"/>
        </w:rPr>
        <w:t xml:space="preserve"> (azoxystrobin).</w:t>
      </w:r>
    </w:p>
    <w:p w14:paraId="52F4D24D" w14:textId="77777777" w:rsidR="00E51CDD" w:rsidRDefault="00E51CDD" w:rsidP="00E51CDD">
      <w:pPr>
        <w:widowControl w:val="0"/>
        <w:jc w:val="both"/>
        <w:rPr>
          <w:lang w:val="en-GB"/>
        </w:rPr>
      </w:pPr>
    </w:p>
    <w:p w14:paraId="1534BD06" w14:textId="77777777" w:rsidR="00E51CDD" w:rsidRDefault="00E51CDD" w:rsidP="00E51CDD">
      <w:pPr>
        <w:widowControl w:val="0"/>
        <w:jc w:val="both"/>
      </w:pPr>
    </w:p>
    <w:p w14:paraId="23445BFC" w14:textId="77777777" w:rsidR="00E51CDD" w:rsidRDefault="00E51CDD" w:rsidP="00E51CDD">
      <w:pPr>
        <w:widowControl w:val="0"/>
        <w:jc w:val="both"/>
        <w:rPr>
          <w:lang w:val="en-GB" w:eastAsia="en-US"/>
        </w:rPr>
      </w:pPr>
      <w:r>
        <w:rPr>
          <w:lang w:val="en-GB" w:eastAsia="en-US"/>
        </w:rPr>
        <w:t>The TER</w:t>
      </w:r>
      <w:r>
        <w:rPr>
          <w:vertAlign w:val="subscript"/>
          <w:lang w:val="en-GB" w:eastAsia="en-US"/>
        </w:rPr>
        <w:t>LT combi</w:t>
      </w:r>
      <w:r>
        <w:rPr>
          <w:lang w:val="en-GB" w:eastAsia="en-US"/>
        </w:rPr>
        <w:t xml:space="preserve"> value in the screening step is above the trigger value of 5. Thus, it can be concluded that the reproductive risk for birds </w:t>
      </w:r>
      <w:r>
        <w:rPr>
          <w:bCs/>
          <w:lang w:val="en-GB" w:eastAsia="en-US"/>
        </w:rPr>
        <w:t xml:space="preserve">for the combined exposure to the two active substances in the application of </w:t>
      </w:r>
      <w:r>
        <w:rPr>
          <w:lang w:val="en-GB" w:eastAsia="en-US"/>
        </w:rPr>
        <w:t xml:space="preserve">BAS 736 00 F </w:t>
      </w:r>
      <w:r>
        <w:rPr>
          <w:bCs/>
          <w:lang w:val="en-GB" w:eastAsia="en-US"/>
        </w:rPr>
        <w:t>according to good agricultural practice is low and acceptable.</w:t>
      </w:r>
      <w:bookmarkEnd w:id="221"/>
    </w:p>
    <w:p w14:paraId="1653BEDC" w14:textId="77777777" w:rsidR="00E51CDD" w:rsidRPr="002B1114" w:rsidRDefault="00E51CDD" w:rsidP="00E51CDD">
      <w:pPr>
        <w:pStyle w:val="Nagwek4"/>
        <w:rPr>
          <w:lang w:val="en-GB"/>
        </w:rPr>
      </w:pPr>
      <w:bookmarkStart w:id="223" w:name="_Toc412643976"/>
      <w:bookmarkStart w:id="224" w:name="_Toc413916822"/>
      <w:bookmarkStart w:id="225" w:name="_Toc413916964"/>
      <w:bookmarkStart w:id="226" w:name="_Toc413922025"/>
      <w:bookmarkStart w:id="227" w:name="_Toc413922514"/>
      <w:bookmarkStart w:id="228" w:name="_Toc413922618"/>
      <w:bookmarkStart w:id="229" w:name="_Toc414955255"/>
      <w:bookmarkStart w:id="230" w:name="_Toc415214562"/>
      <w:bookmarkStart w:id="231" w:name="_Toc125446405"/>
      <w:r w:rsidRPr="002B1114">
        <w:rPr>
          <w:lang w:val="en-GB"/>
        </w:rPr>
        <w:t>Higher-tier risk assessment</w:t>
      </w:r>
      <w:bookmarkEnd w:id="223"/>
      <w:bookmarkEnd w:id="224"/>
      <w:bookmarkEnd w:id="225"/>
      <w:bookmarkEnd w:id="226"/>
      <w:bookmarkEnd w:id="227"/>
      <w:bookmarkEnd w:id="228"/>
      <w:bookmarkEnd w:id="229"/>
      <w:bookmarkEnd w:id="230"/>
      <w:bookmarkEnd w:id="231"/>
    </w:p>
    <w:p w14:paraId="25CDCD33" w14:textId="77777777" w:rsidR="00E51CDD" w:rsidRDefault="00E51CDD" w:rsidP="00E51CDD">
      <w:pPr>
        <w:widowControl w:val="0"/>
        <w:jc w:val="both"/>
        <w:rPr>
          <w:lang w:val="en-GB"/>
        </w:rPr>
      </w:pPr>
      <w:r w:rsidRPr="0026404C">
        <w:rPr>
          <w:lang w:val="en-GB"/>
        </w:rPr>
        <w:t>Not necessary as acceptable acute and reproductive risks were shown with the screening and/or first-tier risk assessments for all scenarios.</w:t>
      </w:r>
    </w:p>
    <w:p w14:paraId="09729966" w14:textId="77777777" w:rsidR="00E51CDD" w:rsidRPr="002B1114" w:rsidRDefault="00E51CDD" w:rsidP="00E51CDD">
      <w:pPr>
        <w:pStyle w:val="Nagwek4"/>
        <w:rPr>
          <w:lang w:val="en-GB"/>
        </w:rPr>
      </w:pPr>
      <w:bookmarkStart w:id="232" w:name="_Toc267660797"/>
      <w:bookmarkStart w:id="233" w:name="_Toc269365856"/>
      <w:bookmarkStart w:id="234" w:name="_Toc321980187"/>
      <w:bookmarkStart w:id="235" w:name="_Toc412643977"/>
      <w:bookmarkStart w:id="236" w:name="_Toc413916823"/>
      <w:bookmarkStart w:id="237" w:name="_Toc413916965"/>
      <w:bookmarkStart w:id="238" w:name="_Toc413922026"/>
      <w:bookmarkStart w:id="239" w:name="_Toc413922515"/>
      <w:bookmarkStart w:id="240" w:name="_Toc413922619"/>
      <w:bookmarkStart w:id="241" w:name="_Toc414955256"/>
      <w:bookmarkStart w:id="242" w:name="_Toc415214563"/>
      <w:bookmarkStart w:id="243" w:name="_Toc125446406"/>
      <w:r w:rsidRPr="002B1114">
        <w:rPr>
          <w:lang w:val="en-GB"/>
        </w:rPr>
        <w:t>Drinking water exposure</w:t>
      </w:r>
      <w:bookmarkEnd w:id="232"/>
      <w:bookmarkEnd w:id="233"/>
      <w:bookmarkEnd w:id="234"/>
      <w:bookmarkEnd w:id="235"/>
      <w:bookmarkEnd w:id="236"/>
      <w:bookmarkEnd w:id="237"/>
      <w:bookmarkEnd w:id="238"/>
      <w:bookmarkEnd w:id="239"/>
      <w:bookmarkEnd w:id="240"/>
      <w:bookmarkEnd w:id="241"/>
      <w:bookmarkEnd w:id="242"/>
      <w:bookmarkEnd w:id="243"/>
      <w:r w:rsidRPr="002B1114">
        <w:rPr>
          <w:lang w:val="en-GB"/>
        </w:rPr>
        <w:t xml:space="preserve"> </w:t>
      </w:r>
    </w:p>
    <w:p w14:paraId="0C739DD2" w14:textId="77777777" w:rsidR="00E51CDD" w:rsidRPr="002B1114" w:rsidRDefault="00E51CDD" w:rsidP="00E51CDD">
      <w:pPr>
        <w:pStyle w:val="RepNewPart"/>
      </w:pPr>
      <w:bookmarkStart w:id="244" w:name="_Toc335031501"/>
      <w:r w:rsidRPr="002B1114">
        <w:t>Leaf scenario</w:t>
      </w:r>
      <w:bookmarkEnd w:id="244"/>
    </w:p>
    <w:p w14:paraId="4A7A4ADE" w14:textId="77777777" w:rsidR="00E51CDD" w:rsidRPr="002B1114" w:rsidRDefault="00E51CDD" w:rsidP="00E51CDD">
      <w:pPr>
        <w:pStyle w:val="RepStandard"/>
      </w:pPr>
      <w:r w:rsidRPr="002B1114">
        <w:t>Sinc</w:t>
      </w:r>
      <w:r>
        <w:t xml:space="preserve">e BAS 736 00 F </w:t>
      </w:r>
      <w:r w:rsidRPr="002B1114">
        <w:t>is not intended to be applied on leafy vegetables forming heads or crop plants with comparable water collecting structures</w:t>
      </w:r>
      <w:r w:rsidRPr="002B1114">
        <w:rPr>
          <w:rFonts w:eastAsia="Calibri"/>
          <w:lang w:eastAsia="en-US"/>
        </w:rPr>
        <w:t xml:space="preserve"> </w:t>
      </w:r>
      <w:r w:rsidRPr="002B1114">
        <w:t>at principal growth stage 4 or later, the leaf scenario does not have to be considered.</w:t>
      </w:r>
    </w:p>
    <w:p w14:paraId="50970EB9" w14:textId="77777777" w:rsidR="00E51CDD" w:rsidRPr="002B1114" w:rsidRDefault="00E51CDD" w:rsidP="00E51CDD">
      <w:pPr>
        <w:pStyle w:val="RepNewPart"/>
      </w:pPr>
      <w:r w:rsidRPr="002B1114">
        <w:t>Puddle scenario</w:t>
      </w:r>
    </w:p>
    <w:p w14:paraId="4E1CB482" w14:textId="77777777" w:rsidR="00E51CDD" w:rsidRPr="0026404C" w:rsidRDefault="00E51CDD" w:rsidP="00E51CDD">
      <w:pPr>
        <w:widowControl w:val="0"/>
        <w:jc w:val="both"/>
        <w:rPr>
          <w:lang w:val="en-GB"/>
        </w:rPr>
      </w:pPr>
      <w:r w:rsidRPr="0026404C">
        <w:rPr>
          <w:lang w:val="en-GB"/>
        </w:rPr>
        <w:t xml:space="preserve">Due to the characteristics of the exposure scenario in connection with the standard assumptions for water uptake by animals, no specific calculations of exposure and TER are necessary when the ratio of effective </w:t>
      </w:r>
      <w:r w:rsidRPr="0026404C">
        <w:rPr>
          <w:lang w:val="en-GB"/>
        </w:rPr>
        <w:lastRenderedPageBreak/>
        <w:t>application rate (in g/ha) to relevant endpoint (in mg/kg b.w./d) does not exceed 50 in the case of less sorptive substances (K</w:t>
      </w:r>
      <w:r w:rsidRPr="0026404C">
        <w:rPr>
          <w:vertAlign w:val="subscript"/>
          <w:lang w:val="en-GB"/>
        </w:rPr>
        <w:t>oc</w:t>
      </w:r>
      <w:r w:rsidRPr="0026404C">
        <w:rPr>
          <w:lang w:val="en-GB"/>
        </w:rPr>
        <w:t xml:space="preserve"> &lt; 500 L/kg) or 3000 in the case of more sorptive substances (K</w:t>
      </w:r>
      <w:r w:rsidRPr="0026404C">
        <w:rPr>
          <w:vertAlign w:val="subscript"/>
          <w:lang w:val="en-GB"/>
        </w:rPr>
        <w:t>oc</w:t>
      </w:r>
      <w:r w:rsidRPr="0026404C">
        <w:rPr>
          <w:lang w:val="en-GB"/>
        </w:rPr>
        <w:t xml:space="preserve"> ≥ 500 L/kg).</w:t>
      </w:r>
    </w:p>
    <w:p w14:paraId="3E45CF3F" w14:textId="77777777" w:rsidR="00E51CDD" w:rsidRPr="0026404C" w:rsidRDefault="00E51CDD" w:rsidP="00E51CDD">
      <w:pPr>
        <w:widowControl w:val="0"/>
        <w:jc w:val="both"/>
        <w:rPr>
          <w:lang w:val="en-GB"/>
        </w:rPr>
      </w:pPr>
    </w:p>
    <w:p w14:paraId="172C6C92" w14:textId="59E4C0ED" w:rsidR="00E51CDD" w:rsidRPr="0026404C" w:rsidRDefault="00E51CDD" w:rsidP="00E51CDD">
      <w:pPr>
        <w:widowControl w:val="0"/>
        <w:jc w:val="both"/>
        <w:rPr>
          <w:rFonts w:eastAsia="SimSun"/>
          <w:lang w:val="en-GB" w:eastAsia="zh-CN"/>
        </w:rPr>
      </w:pPr>
      <w:r w:rsidRPr="0026404C">
        <w:rPr>
          <w:rFonts w:eastAsia="SimSun"/>
          <w:lang w:val="en-GB" w:eastAsia="zh-CN"/>
        </w:rPr>
        <w:t xml:space="preserve">The ratio calculations for effective application rate to relevant endpoint are detailed in </w:t>
      </w:r>
      <w:r w:rsidRPr="0026404C">
        <w:rPr>
          <w:rFonts w:eastAsia="SimSun"/>
          <w:lang w:val="en-GB" w:eastAsia="zh-CN"/>
        </w:rPr>
        <w:fldChar w:fldCharType="begin"/>
      </w:r>
      <w:r w:rsidRPr="0026404C">
        <w:rPr>
          <w:rFonts w:eastAsia="SimSun"/>
          <w:lang w:val="en-GB" w:eastAsia="zh-CN"/>
        </w:rPr>
        <w:instrText xml:space="preserve"> REF _Ref26531260 \h  \* MERGEFORMAT </w:instrText>
      </w:r>
      <w:r w:rsidRPr="0026404C">
        <w:rPr>
          <w:rFonts w:eastAsia="SimSun"/>
          <w:lang w:val="en-GB" w:eastAsia="zh-CN"/>
        </w:rPr>
      </w:r>
      <w:r w:rsidRPr="0026404C">
        <w:rPr>
          <w:rFonts w:eastAsia="SimSun"/>
          <w:lang w:val="en-GB" w:eastAsia="zh-CN"/>
        </w:rPr>
        <w:fldChar w:fldCharType="separate"/>
      </w:r>
      <w:r w:rsidR="00662F32" w:rsidRPr="00662F32">
        <w:t xml:space="preserve">Table </w:t>
      </w:r>
      <w:r w:rsidR="00662F32" w:rsidRPr="00662F32">
        <w:rPr>
          <w:noProof/>
        </w:rPr>
        <w:t>9.2</w:t>
      </w:r>
      <w:r w:rsidR="00662F32" w:rsidRPr="00662F32">
        <w:rPr>
          <w:noProof/>
        </w:rPr>
        <w:noBreakHyphen/>
        <w:t>12</w:t>
      </w:r>
      <w:r w:rsidRPr="0026404C">
        <w:rPr>
          <w:rFonts w:eastAsia="SimSun"/>
          <w:lang w:val="en-GB" w:eastAsia="zh-CN"/>
        </w:rPr>
        <w:fldChar w:fldCharType="end"/>
      </w:r>
      <w:r w:rsidRPr="0026404C">
        <w:rPr>
          <w:rFonts w:eastAsia="SimSun"/>
          <w:lang w:val="en-GB" w:eastAsia="zh-CN"/>
        </w:rPr>
        <w:t xml:space="preserve"> </w:t>
      </w:r>
      <w:r>
        <w:rPr>
          <w:rFonts w:eastAsia="SimSun"/>
          <w:lang w:val="en-GB" w:eastAsia="zh-CN"/>
        </w:rPr>
        <w:t xml:space="preserve">(fluxapyroxad) </w:t>
      </w:r>
      <w:r w:rsidRPr="0026404C">
        <w:rPr>
          <w:rFonts w:eastAsia="SimSun"/>
          <w:lang w:val="en-GB" w:eastAsia="zh-CN"/>
        </w:rPr>
        <w:t xml:space="preserve">and </w:t>
      </w:r>
      <w:r w:rsidRPr="0026404C">
        <w:rPr>
          <w:rFonts w:eastAsia="SimSun"/>
          <w:lang w:val="en-GB" w:eastAsia="zh-CN"/>
        </w:rPr>
        <w:fldChar w:fldCharType="begin"/>
      </w:r>
      <w:r w:rsidRPr="0026404C">
        <w:rPr>
          <w:rFonts w:eastAsia="SimSun"/>
          <w:lang w:val="en-GB" w:eastAsia="zh-CN"/>
        </w:rPr>
        <w:instrText xml:space="preserve"> REF _Ref490480996 \h  \* MERGEFORMAT </w:instrText>
      </w:r>
      <w:r w:rsidRPr="0026404C">
        <w:rPr>
          <w:rFonts w:eastAsia="SimSun"/>
          <w:lang w:val="en-GB" w:eastAsia="zh-CN"/>
        </w:rPr>
      </w:r>
      <w:r w:rsidRPr="0026404C">
        <w:rPr>
          <w:rFonts w:eastAsia="SimSun"/>
          <w:lang w:val="en-GB" w:eastAsia="zh-CN"/>
        </w:rPr>
        <w:fldChar w:fldCharType="separate"/>
      </w:r>
      <w:r w:rsidR="00662F32" w:rsidRPr="00662F32">
        <w:t xml:space="preserve">Table </w:t>
      </w:r>
      <w:r w:rsidR="00662F32" w:rsidRPr="00662F32">
        <w:rPr>
          <w:noProof/>
        </w:rPr>
        <w:t>9.2</w:t>
      </w:r>
      <w:r w:rsidR="00662F32" w:rsidRPr="00662F32">
        <w:rPr>
          <w:noProof/>
        </w:rPr>
        <w:noBreakHyphen/>
        <w:t>13</w:t>
      </w:r>
      <w:r w:rsidRPr="0026404C">
        <w:rPr>
          <w:rFonts w:eastAsia="SimSun"/>
          <w:lang w:val="en-GB" w:eastAsia="zh-CN"/>
        </w:rPr>
        <w:fldChar w:fldCharType="end"/>
      </w:r>
      <w:r>
        <w:rPr>
          <w:rFonts w:eastAsia="SimSun"/>
          <w:lang w:val="en-GB" w:eastAsia="zh-CN"/>
        </w:rPr>
        <w:t xml:space="preserve"> (azoxystrobin)</w:t>
      </w:r>
      <w:r w:rsidRPr="0026404C">
        <w:rPr>
          <w:rFonts w:eastAsia="SimSun"/>
          <w:lang w:val="en-GB" w:eastAsia="zh-CN"/>
        </w:rPr>
        <w:t xml:space="preserve">. </w:t>
      </w:r>
      <w:r w:rsidRPr="0026404C">
        <w:rPr>
          <w:lang w:val="en-GB"/>
        </w:rPr>
        <w:t xml:space="preserve">The ratios for acute and reproductive endpoints for </w:t>
      </w:r>
      <w:r>
        <w:rPr>
          <w:lang w:val="en-GB"/>
        </w:rPr>
        <w:t>fluxapyroxad</w:t>
      </w:r>
      <w:r w:rsidRPr="0026404C">
        <w:rPr>
          <w:lang w:val="en-GB"/>
        </w:rPr>
        <w:t xml:space="preserve"> (0.</w:t>
      </w:r>
      <w:r>
        <w:rPr>
          <w:lang w:val="en-GB"/>
        </w:rPr>
        <w:t>05</w:t>
      </w:r>
      <w:r w:rsidRPr="0026404C">
        <w:rPr>
          <w:lang w:val="en-GB"/>
        </w:rPr>
        <w:t xml:space="preserve"> and </w:t>
      </w:r>
      <w:r>
        <w:rPr>
          <w:lang w:val="en-GB"/>
        </w:rPr>
        <w:t>5.68</w:t>
      </w:r>
      <w:r w:rsidRPr="0026404C">
        <w:rPr>
          <w:lang w:val="en-GB"/>
        </w:rPr>
        <w:t xml:space="preserve">, respectively) and for </w:t>
      </w:r>
      <w:r w:rsidRPr="00F02570">
        <w:rPr>
          <w:lang w:val="en-GB"/>
        </w:rPr>
        <w:t>azoxystrobin (&lt; 0.14 and 2.35, respectively</w:t>
      </w:r>
      <w:r w:rsidRPr="0026404C">
        <w:rPr>
          <w:lang w:val="en-GB"/>
        </w:rPr>
        <w:t>) do not exceed the threshold value of 3000</w:t>
      </w:r>
      <w:r>
        <w:rPr>
          <w:lang w:val="en-GB"/>
        </w:rPr>
        <w:t xml:space="preserve"> and 50, respectively</w:t>
      </w:r>
      <w:r w:rsidRPr="0026404C">
        <w:t>,</w:t>
      </w:r>
      <w:r w:rsidRPr="0026404C">
        <w:rPr>
          <w:lang w:val="en-GB"/>
        </w:rPr>
        <w:t xml:space="preserve"> </w:t>
      </w:r>
      <w:r w:rsidRPr="0026404C">
        <w:rPr>
          <w:rFonts w:eastAsia="SimSun"/>
          <w:lang w:val="en-GB" w:eastAsia="zh-CN"/>
        </w:rPr>
        <w:t xml:space="preserve">thus no specific calculations of exposure </w:t>
      </w:r>
      <w:r w:rsidRPr="0026404C">
        <w:rPr>
          <w:lang w:val="en-GB"/>
        </w:rPr>
        <w:t>for birds through drinking water for the puddle scenario</w:t>
      </w:r>
      <w:r w:rsidRPr="0026404C">
        <w:rPr>
          <w:rFonts w:eastAsia="SimSun"/>
          <w:lang w:val="en-GB" w:eastAsia="zh-CN"/>
        </w:rPr>
        <w:t xml:space="preserve"> are necessary</w:t>
      </w:r>
      <w:r w:rsidRPr="0026404C">
        <w:rPr>
          <w:lang w:val="en-GB"/>
        </w:rPr>
        <w:t>. Therefore, a quantitative drinking water risk assessment for the puddle scenario is not triggered.</w:t>
      </w:r>
    </w:p>
    <w:p w14:paraId="1E4DD7DC" w14:textId="2A781205" w:rsidR="00E51CDD" w:rsidRPr="0026404C" w:rsidRDefault="00E51CDD" w:rsidP="00E51CDD">
      <w:pPr>
        <w:keepNext/>
        <w:keepLines/>
        <w:tabs>
          <w:tab w:val="left" w:pos="1980"/>
        </w:tabs>
        <w:spacing w:before="200" w:after="120"/>
        <w:ind w:left="1980" w:hanging="1980"/>
        <w:jc w:val="both"/>
        <w:rPr>
          <w:b/>
          <w:bCs/>
          <w:lang w:val="en-GB"/>
        </w:rPr>
      </w:pPr>
      <w:bookmarkStart w:id="245" w:name="_Ref26531260"/>
      <w:bookmarkStart w:id="246" w:name="_Toc105318971"/>
      <w:bookmarkStart w:id="247" w:name="_Toc140312107"/>
      <w:bookmarkStart w:id="248" w:name="_Toc234290973"/>
      <w:bookmarkStart w:id="249" w:name="_Toc321980196"/>
      <w:bookmarkStart w:id="250" w:name="_Toc412643978"/>
      <w:bookmarkStart w:id="251" w:name="_Toc413916824"/>
      <w:bookmarkStart w:id="252" w:name="_Toc413916966"/>
      <w:bookmarkStart w:id="253" w:name="_Toc413922027"/>
      <w:bookmarkStart w:id="254" w:name="_Toc413922516"/>
      <w:bookmarkStart w:id="255" w:name="_Toc413922620"/>
      <w:bookmarkStart w:id="256" w:name="_Toc414955257"/>
      <w:bookmarkStart w:id="257" w:name="_Toc415214564"/>
      <w:r w:rsidRPr="0026404C">
        <w:rPr>
          <w:b/>
          <w:bCs/>
          <w:lang w:val="en-GB"/>
        </w:rPr>
        <w:t xml:space="preserve">Table </w:t>
      </w:r>
      <w:r w:rsidRPr="0026404C">
        <w:rPr>
          <w:b/>
          <w:bCs/>
          <w:lang w:val="en-GB"/>
        </w:rPr>
        <w:fldChar w:fldCharType="begin"/>
      </w:r>
      <w:r w:rsidRPr="0026404C">
        <w:rPr>
          <w:b/>
          <w:bCs/>
          <w:lang w:val="en-GB"/>
        </w:rPr>
        <w:instrText xml:space="preserve"> STYLEREF 2 \s </w:instrText>
      </w:r>
      <w:r w:rsidRPr="0026404C">
        <w:rPr>
          <w:b/>
          <w:bCs/>
          <w:lang w:val="en-GB"/>
        </w:rPr>
        <w:fldChar w:fldCharType="separate"/>
      </w:r>
      <w:r w:rsidR="00662F32">
        <w:rPr>
          <w:b/>
          <w:bCs/>
          <w:noProof/>
          <w:lang w:val="en-GB"/>
        </w:rPr>
        <w:t>9.2</w:t>
      </w:r>
      <w:r w:rsidRPr="0026404C">
        <w:rPr>
          <w:b/>
          <w:bCs/>
          <w:lang w:val="en-GB"/>
        </w:rPr>
        <w:fldChar w:fldCharType="end"/>
      </w:r>
      <w:r w:rsidRPr="0026404C">
        <w:rPr>
          <w:b/>
          <w:bCs/>
          <w:lang w:val="en-GB"/>
        </w:rPr>
        <w:noBreakHyphen/>
      </w:r>
      <w:r w:rsidRPr="0026404C">
        <w:rPr>
          <w:b/>
          <w:bCs/>
          <w:lang w:val="en-GB"/>
        </w:rPr>
        <w:fldChar w:fldCharType="begin"/>
      </w:r>
      <w:r w:rsidRPr="0026404C">
        <w:rPr>
          <w:b/>
          <w:bCs/>
          <w:lang w:val="en-GB"/>
        </w:rPr>
        <w:instrText xml:space="preserve"> SEQ Table \* ARABIC \s 2 </w:instrText>
      </w:r>
      <w:r w:rsidRPr="0026404C">
        <w:rPr>
          <w:b/>
          <w:bCs/>
          <w:lang w:val="en-GB"/>
        </w:rPr>
        <w:fldChar w:fldCharType="separate"/>
      </w:r>
      <w:r w:rsidR="00662F32">
        <w:rPr>
          <w:b/>
          <w:bCs/>
          <w:noProof/>
          <w:lang w:val="en-GB"/>
        </w:rPr>
        <w:t>12</w:t>
      </w:r>
      <w:r w:rsidRPr="0026404C">
        <w:rPr>
          <w:b/>
          <w:bCs/>
          <w:lang w:val="en-GB"/>
        </w:rPr>
        <w:fldChar w:fldCharType="end"/>
      </w:r>
      <w:bookmarkEnd w:id="245"/>
      <w:r w:rsidRPr="0026404C">
        <w:rPr>
          <w:b/>
          <w:bCs/>
          <w:lang w:val="en-GB"/>
        </w:rPr>
        <w:t>:</w:t>
      </w:r>
      <w:r w:rsidRPr="0026404C">
        <w:rPr>
          <w:b/>
          <w:bCs/>
          <w:lang w:val="en-GB"/>
        </w:rPr>
        <w:tab/>
        <w:t xml:space="preserve">Assessment of the risk for birds due to exposure to </w:t>
      </w:r>
      <w:r>
        <w:rPr>
          <w:b/>
          <w:bCs/>
          <w:lang w:val="en-GB"/>
        </w:rPr>
        <w:t>fluxapyroxad</w:t>
      </w:r>
      <w:r w:rsidRPr="0026404C">
        <w:rPr>
          <w:b/>
          <w:bCs/>
          <w:lang w:val="en-GB"/>
        </w:rPr>
        <w:t xml:space="preserve"> via contaminated drinking water in puddles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4"/>
        <w:gridCol w:w="2653"/>
        <w:gridCol w:w="2970"/>
      </w:tblGrid>
      <w:tr w:rsidR="00E51CDD" w:rsidRPr="0026404C" w14:paraId="68D318C6" w14:textId="77777777" w:rsidTr="009938D9">
        <w:tc>
          <w:tcPr>
            <w:tcW w:w="1992" w:type="pct"/>
            <w:vAlign w:val="center"/>
          </w:tcPr>
          <w:p w14:paraId="2B5EDCF4" w14:textId="77777777" w:rsidR="00E51CDD" w:rsidRPr="0026404C" w:rsidRDefault="00E51CDD" w:rsidP="009938D9">
            <w:pPr>
              <w:widowControl w:val="0"/>
              <w:tabs>
                <w:tab w:val="left" w:pos="720"/>
              </w:tabs>
              <w:suppressAutoHyphens/>
              <w:rPr>
                <w:b/>
                <w:bCs/>
                <w:sz w:val="20"/>
                <w:szCs w:val="20"/>
                <w:lang w:val="en-GB"/>
              </w:rPr>
            </w:pPr>
            <w:r w:rsidRPr="0026404C">
              <w:rPr>
                <w:b/>
                <w:bCs/>
                <w:sz w:val="20"/>
                <w:szCs w:val="20"/>
                <w:lang w:val="en-GB"/>
              </w:rPr>
              <w:t>Parameter</w:t>
            </w:r>
          </w:p>
        </w:tc>
        <w:tc>
          <w:tcPr>
            <w:tcW w:w="1419" w:type="pct"/>
          </w:tcPr>
          <w:p w14:paraId="714F41CC" w14:textId="77777777" w:rsidR="00E51CDD" w:rsidRPr="0026404C" w:rsidRDefault="00E51CDD" w:rsidP="009938D9">
            <w:pPr>
              <w:keepNext/>
              <w:keepLines/>
              <w:jc w:val="center"/>
              <w:rPr>
                <w:b/>
                <w:bCs/>
                <w:sz w:val="20"/>
                <w:szCs w:val="20"/>
                <w:lang w:val="en-GB"/>
              </w:rPr>
            </w:pPr>
            <w:r w:rsidRPr="0026404C">
              <w:rPr>
                <w:b/>
                <w:bCs/>
                <w:sz w:val="20"/>
                <w:szCs w:val="20"/>
                <w:lang w:val="en-GB"/>
              </w:rPr>
              <w:t>Fluxapyroxad</w:t>
            </w:r>
          </w:p>
        </w:tc>
        <w:tc>
          <w:tcPr>
            <w:tcW w:w="1589" w:type="pct"/>
            <w:shd w:val="clear" w:color="auto" w:fill="auto"/>
            <w:vAlign w:val="center"/>
          </w:tcPr>
          <w:p w14:paraId="089C220E" w14:textId="77777777" w:rsidR="00E51CDD" w:rsidRPr="0026404C" w:rsidRDefault="00E51CDD" w:rsidP="009938D9">
            <w:pPr>
              <w:keepNext/>
              <w:keepLines/>
              <w:tabs>
                <w:tab w:val="left" w:pos="720"/>
              </w:tabs>
              <w:jc w:val="center"/>
              <w:rPr>
                <w:b/>
                <w:bCs/>
                <w:sz w:val="20"/>
                <w:szCs w:val="20"/>
                <w:lang w:val="en-GB"/>
              </w:rPr>
            </w:pPr>
            <w:r w:rsidRPr="0026404C">
              <w:rPr>
                <w:b/>
                <w:bCs/>
                <w:sz w:val="20"/>
                <w:szCs w:val="20"/>
                <w:lang w:val="en-GB"/>
              </w:rPr>
              <w:t>Reference</w:t>
            </w:r>
          </w:p>
        </w:tc>
      </w:tr>
      <w:tr w:rsidR="00E51CDD" w:rsidRPr="0026404C" w14:paraId="7F9FEE5D" w14:textId="77777777" w:rsidTr="009938D9">
        <w:tc>
          <w:tcPr>
            <w:tcW w:w="1992" w:type="pct"/>
            <w:vAlign w:val="center"/>
          </w:tcPr>
          <w:p w14:paraId="056A4BC9"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K</w:t>
            </w:r>
            <w:r w:rsidRPr="004E0880">
              <w:rPr>
                <w:sz w:val="20"/>
                <w:szCs w:val="20"/>
                <w:vertAlign w:val="subscript"/>
                <w:lang w:val="en-GB"/>
              </w:rPr>
              <w:t>f</w:t>
            </w:r>
            <w:r w:rsidRPr="0026404C">
              <w:rPr>
                <w:sz w:val="20"/>
                <w:szCs w:val="20"/>
                <w:vertAlign w:val="subscript"/>
                <w:lang w:val="en-GB"/>
              </w:rPr>
              <w:t>oc</w:t>
            </w:r>
            <w:r w:rsidRPr="0026404C">
              <w:rPr>
                <w:sz w:val="20"/>
                <w:szCs w:val="20"/>
                <w:lang w:val="en-GB"/>
              </w:rPr>
              <w:t xml:space="preserve"> (geometric mean) [L/kg]</w:t>
            </w:r>
          </w:p>
        </w:tc>
        <w:tc>
          <w:tcPr>
            <w:tcW w:w="1419" w:type="pct"/>
            <w:vAlign w:val="center"/>
          </w:tcPr>
          <w:p w14:paraId="59EA080E" w14:textId="77777777" w:rsidR="00E51CDD" w:rsidRPr="0026404C" w:rsidRDefault="00E51CDD" w:rsidP="009938D9">
            <w:pPr>
              <w:keepNext/>
              <w:keepLines/>
              <w:numPr>
                <w:ilvl w:val="12"/>
                <w:numId w:val="0"/>
              </w:numPr>
              <w:jc w:val="center"/>
              <w:rPr>
                <w:rFonts w:eastAsia="SimSun"/>
                <w:sz w:val="20"/>
                <w:szCs w:val="20"/>
                <w:lang w:val="en-GB" w:eastAsia="zh-CN"/>
              </w:rPr>
            </w:pPr>
            <w:r>
              <w:rPr>
                <w:sz w:val="20"/>
                <w:szCs w:val="20"/>
                <w:lang w:val="en-GB"/>
              </w:rPr>
              <w:t>681</w:t>
            </w:r>
          </w:p>
        </w:tc>
        <w:tc>
          <w:tcPr>
            <w:tcW w:w="1589" w:type="pct"/>
            <w:shd w:val="clear" w:color="auto" w:fill="auto"/>
            <w:vAlign w:val="center"/>
          </w:tcPr>
          <w:p w14:paraId="0243D71C" w14:textId="77777777" w:rsidR="00E51CDD" w:rsidRPr="0026404C" w:rsidRDefault="00E51CDD" w:rsidP="009938D9">
            <w:pPr>
              <w:widowControl w:val="0"/>
              <w:jc w:val="center"/>
              <w:rPr>
                <w:sz w:val="20"/>
                <w:szCs w:val="20"/>
                <w:lang w:val="en-GB"/>
              </w:rPr>
            </w:pPr>
            <w:r w:rsidRPr="0026404C">
              <w:rPr>
                <w:sz w:val="20"/>
                <w:szCs w:val="20"/>
                <w:lang w:val="en-GB"/>
              </w:rPr>
              <w:t>Chapter 8.5.1</w:t>
            </w:r>
          </w:p>
        </w:tc>
      </w:tr>
      <w:tr w:rsidR="00E51CDD" w:rsidRPr="0026404C" w14:paraId="0561C084" w14:textId="77777777" w:rsidTr="009938D9">
        <w:tc>
          <w:tcPr>
            <w:tcW w:w="1992" w:type="pct"/>
            <w:vAlign w:val="center"/>
          </w:tcPr>
          <w:p w14:paraId="35885189"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DT</w:t>
            </w:r>
            <w:r w:rsidRPr="0026404C">
              <w:rPr>
                <w:sz w:val="20"/>
                <w:szCs w:val="20"/>
                <w:vertAlign w:val="subscript"/>
                <w:lang w:val="en-GB"/>
              </w:rPr>
              <w:t>50</w:t>
            </w:r>
            <w:r w:rsidRPr="0026404C">
              <w:rPr>
                <w:sz w:val="20"/>
                <w:szCs w:val="20"/>
                <w:lang w:val="en-GB"/>
              </w:rPr>
              <w:t xml:space="preserve"> (soil) [days]</w:t>
            </w:r>
            <w:r>
              <w:rPr>
                <w:sz w:val="20"/>
                <w:szCs w:val="20"/>
                <w:lang w:val="en-GB"/>
              </w:rPr>
              <w:t xml:space="preserve"> (geometric mean)</w:t>
            </w:r>
          </w:p>
        </w:tc>
        <w:tc>
          <w:tcPr>
            <w:tcW w:w="1419" w:type="pct"/>
            <w:vAlign w:val="center"/>
          </w:tcPr>
          <w:p w14:paraId="49ACC6F7" w14:textId="77777777" w:rsidR="00E51CDD" w:rsidRPr="0026404C" w:rsidRDefault="00E51CDD" w:rsidP="009938D9">
            <w:pPr>
              <w:keepNext/>
              <w:keepLines/>
              <w:jc w:val="center"/>
              <w:rPr>
                <w:sz w:val="20"/>
                <w:szCs w:val="20"/>
                <w:highlight w:val="yellow"/>
                <w:lang w:val="en-GB"/>
              </w:rPr>
            </w:pPr>
            <w:r w:rsidRPr="0026404C">
              <w:rPr>
                <w:sz w:val="20"/>
                <w:szCs w:val="20"/>
                <w:lang w:val="en-GB"/>
              </w:rPr>
              <w:t>151</w:t>
            </w:r>
          </w:p>
        </w:tc>
        <w:tc>
          <w:tcPr>
            <w:tcW w:w="1589" w:type="pct"/>
            <w:shd w:val="clear" w:color="auto" w:fill="auto"/>
            <w:vAlign w:val="center"/>
          </w:tcPr>
          <w:p w14:paraId="0459D58A" w14:textId="77777777" w:rsidR="00E51CDD" w:rsidRPr="0026404C" w:rsidRDefault="00E51CDD" w:rsidP="009938D9">
            <w:pPr>
              <w:widowControl w:val="0"/>
              <w:jc w:val="center"/>
              <w:rPr>
                <w:sz w:val="20"/>
                <w:szCs w:val="20"/>
                <w:highlight w:val="yellow"/>
                <w:lang w:val="en-GB"/>
              </w:rPr>
            </w:pPr>
            <w:r w:rsidRPr="0026404C">
              <w:rPr>
                <w:sz w:val="20"/>
                <w:szCs w:val="20"/>
                <w:lang w:val="en-GB"/>
              </w:rPr>
              <w:t>Chapter 8.9</w:t>
            </w:r>
          </w:p>
        </w:tc>
      </w:tr>
      <w:tr w:rsidR="00E51CDD" w:rsidRPr="0026404C" w14:paraId="625965B9" w14:textId="77777777" w:rsidTr="009938D9">
        <w:tc>
          <w:tcPr>
            <w:tcW w:w="1992" w:type="pct"/>
            <w:vAlign w:val="center"/>
          </w:tcPr>
          <w:p w14:paraId="12232FF8"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Number of applications</w:t>
            </w:r>
          </w:p>
        </w:tc>
        <w:tc>
          <w:tcPr>
            <w:tcW w:w="1419" w:type="pct"/>
          </w:tcPr>
          <w:p w14:paraId="6AF3F06B" w14:textId="77777777" w:rsidR="00E51CDD" w:rsidRPr="0026404C" w:rsidRDefault="00E51CDD" w:rsidP="009938D9">
            <w:pPr>
              <w:keepNext/>
              <w:keepLines/>
              <w:numPr>
                <w:ilvl w:val="12"/>
                <w:numId w:val="0"/>
              </w:numPr>
              <w:jc w:val="center"/>
              <w:rPr>
                <w:sz w:val="20"/>
                <w:szCs w:val="20"/>
                <w:lang w:val="en-GB"/>
              </w:rPr>
            </w:pPr>
            <w:r w:rsidRPr="0026404C">
              <w:rPr>
                <w:sz w:val="20"/>
                <w:szCs w:val="20"/>
                <w:lang w:val="en-GB"/>
              </w:rPr>
              <w:t>2</w:t>
            </w:r>
          </w:p>
        </w:tc>
        <w:tc>
          <w:tcPr>
            <w:tcW w:w="1589" w:type="pct"/>
            <w:shd w:val="clear" w:color="auto" w:fill="auto"/>
            <w:vAlign w:val="center"/>
          </w:tcPr>
          <w:p w14:paraId="2B5B22F9" w14:textId="77777777" w:rsidR="00E51CDD" w:rsidRPr="0026404C" w:rsidRDefault="00E51CDD" w:rsidP="009938D9">
            <w:pPr>
              <w:keepNext/>
              <w:keepLines/>
              <w:numPr>
                <w:ilvl w:val="12"/>
                <w:numId w:val="0"/>
              </w:numPr>
              <w:tabs>
                <w:tab w:val="left" w:pos="720"/>
              </w:tabs>
              <w:autoSpaceDE w:val="0"/>
              <w:autoSpaceDN w:val="0"/>
              <w:adjustRightInd w:val="0"/>
              <w:jc w:val="center"/>
              <w:rPr>
                <w:sz w:val="20"/>
                <w:szCs w:val="20"/>
                <w:lang w:val="en-GB"/>
              </w:rPr>
            </w:pPr>
            <w:r w:rsidRPr="0026404C">
              <w:rPr>
                <w:sz w:val="20"/>
                <w:szCs w:val="20"/>
                <w:lang w:val="en-GB"/>
              </w:rPr>
              <w:t>Chapter 9.1</w:t>
            </w:r>
          </w:p>
        </w:tc>
      </w:tr>
      <w:tr w:rsidR="00E51CDD" w:rsidRPr="0026404C" w14:paraId="2ECCA632" w14:textId="77777777" w:rsidTr="009938D9">
        <w:tc>
          <w:tcPr>
            <w:tcW w:w="1992" w:type="pct"/>
            <w:vAlign w:val="center"/>
          </w:tcPr>
          <w:p w14:paraId="1AA05E0C"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Interval [days]</w:t>
            </w:r>
          </w:p>
        </w:tc>
        <w:tc>
          <w:tcPr>
            <w:tcW w:w="1419" w:type="pct"/>
          </w:tcPr>
          <w:p w14:paraId="1544C528" w14:textId="77777777" w:rsidR="00E51CDD" w:rsidRPr="0026404C" w:rsidRDefault="00E51CDD" w:rsidP="009938D9">
            <w:pPr>
              <w:keepNext/>
              <w:keepLines/>
              <w:numPr>
                <w:ilvl w:val="12"/>
                <w:numId w:val="0"/>
              </w:numPr>
              <w:jc w:val="center"/>
              <w:rPr>
                <w:sz w:val="20"/>
                <w:szCs w:val="20"/>
                <w:lang w:val="en-GB"/>
              </w:rPr>
            </w:pPr>
            <w:r>
              <w:rPr>
                <w:sz w:val="20"/>
                <w:szCs w:val="20"/>
                <w:lang w:val="en-GB"/>
              </w:rPr>
              <w:t>21</w:t>
            </w:r>
          </w:p>
        </w:tc>
        <w:tc>
          <w:tcPr>
            <w:tcW w:w="1589" w:type="pct"/>
            <w:shd w:val="clear" w:color="auto" w:fill="auto"/>
            <w:vAlign w:val="center"/>
          </w:tcPr>
          <w:p w14:paraId="0A4C5E5C" w14:textId="77777777" w:rsidR="00E51CDD" w:rsidRPr="0026404C" w:rsidRDefault="00E51CDD" w:rsidP="009938D9">
            <w:pPr>
              <w:keepNext/>
              <w:keepLines/>
              <w:numPr>
                <w:ilvl w:val="12"/>
                <w:numId w:val="0"/>
              </w:numPr>
              <w:tabs>
                <w:tab w:val="left" w:pos="720"/>
              </w:tabs>
              <w:autoSpaceDE w:val="0"/>
              <w:autoSpaceDN w:val="0"/>
              <w:adjustRightInd w:val="0"/>
              <w:jc w:val="center"/>
              <w:rPr>
                <w:sz w:val="20"/>
                <w:szCs w:val="20"/>
                <w:lang w:val="en-GB"/>
              </w:rPr>
            </w:pPr>
            <w:r w:rsidRPr="0026404C">
              <w:rPr>
                <w:sz w:val="20"/>
                <w:szCs w:val="20"/>
                <w:lang w:val="en-GB"/>
              </w:rPr>
              <w:t>Chapter 9.1</w:t>
            </w:r>
          </w:p>
        </w:tc>
      </w:tr>
      <w:tr w:rsidR="00E51CDD" w:rsidRPr="0026404C" w14:paraId="2E57BA94" w14:textId="77777777" w:rsidTr="009938D9">
        <w:tc>
          <w:tcPr>
            <w:tcW w:w="1992" w:type="pct"/>
            <w:vAlign w:val="center"/>
          </w:tcPr>
          <w:p w14:paraId="7C109D88"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MAF</w:t>
            </w:r>
            <w:r w:rsidRPr="0026404C">
              <w:rPr>
                <w:sz w:val="20"/>
                <w:szCs w:val="20"/>
                <w:vertAlign w:val="subscript"/>
                <w:lang w:val="en-GB"/>
              </w:rPr>
              <w:t>m</w:t>
            </w:r>
            <w:r w:rsidRPr="0026404C">
              <w:rPr>
                <w:sz w:val="20"/>
                <w:szCs w:val="20"/>
                <w:lang w:val="en-GB"/>
              </w:rPr>
              <w:t> </w:t>
            </w:r>
            <w:r w:rsidRPr="0026404C">
              <w:rPr>
                <w:sz w:val="20"/>
                <w:szCs w:val="20"/>
                <w:vertAlign w:val="superscript"/>
                <w:lang w:val="en-GB"/>
              </w:rPr>
              <w:t>1)</w:t>
            </w:r>
          </w:p>
        </w:tc>
        <w:tc>
          <w:tcPr>
            <w:tcW w:w="1419" w:type="pct"/>
          </w:tcPr>
          <w:p w14:paraId="247874A7" w14:textId="77777777" w:rsidR="00E51CDD" w:rsidRPr="0026404C" w:rsidRDefault="00E51CDD" w:rsidP="009938D9">
            <w:pPr>
              <w:keepNext/>
              <w:keepLines/>
              <w:numPr>
                <w:ilvl w:val="12"/>
                <w:numId w:val="0"/>
              </w:numPr>
              <w:jc w:val="center"/>
              <w:rPr>
                <w:sz w:val="20"/>
                <w:szCs w:val="20"/>
                <w:lang w:val="en-GB"/>
              </w:rPr>
            </w:pPr>
            <w:r w:rsidRPr="0026404C">
              <w:rPr>
                <w:sz w:val="20"/>
                <w:szCs w:val="20"/>
                <w:lang w:val="en-GB"/>
              </w:rPr>
              <w:t>1.9</w:t>
            </w:r>
            <w:r>
              <w:rPr>
                <w:sz w:val="20"/>
                <w:szCs w:val="20"/>
                <w:lang w:val="en-GB"/>
              </w:rPr>
              <w:t>1</w:t>
            </w:r>
          </w:p>
        </w:tc>
        <w:tc>
          <w:tcPr>
            <w:tcW w:w="1589" w:type="pct"/>
            <w:shd w:val="clear" w:color="auto" w:fill="auto"/>
            <w:vAlign w:val="center"/>
          </w:tcPr>
          <w:p w14:paraId="3C1FE317" w14:textId="77777777" w:rsidR="00E51CDD" w:rsidRPr="0026404C" w:rsidRDefault="00E51CDD" w:rsidP="009938D9">
            <w:pPr>
              <w:keepNext/>
              <w:keepLines/>
              <w:numPr>
                <w:ilvl w:val="12"/>
                <w:numId w:val="0"/>
              </w:numPr>
              <w:tabs>
                <w:tab w:val="left" w:pos="720"/>
              </w:tabs>
              <w:autoSpaceDE w:val="0"/>
              <w:autoSpaceDN w:val="0"/>
              <w:adjustRightInd w:val="0"/>
              <w:jc w:val="center"/>
              <w:rPr>
                <w:sz w:val="20"/>
                <w:szCs w:val="20"/>
                <w:lang w:val="en-GB"/>
              </w:rPr>
            </w:pPr>
            <w:r w:rsidRPr="0026404C">
              <w:rPr>
                <w:sz w:val="20"/>
                <w:szCs w:val="20"/>
                <w:lang w:val="en-GB"/>
              </w:rPr>
              <w:t>--</w:t>
            </w:r>
          </w:p>
        </w:tc>
      </w:tr>
      <w:tr w:rsidR="00E51CDD" w:rsidRPr="0026404C" w14:paraId="7A88C8D2" w14:textId="77777777" w:rsidTr="009938D9">
        <w:tc>
          <w:tcPr>
            <w:tcW w:w="1992" w:type="pct"/>
            <w:vAlign w:val="center"/>
          </w:tcPr>
          <w:p w14:paraId="769D95B5"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Max use rate [g/ha]</w:t>
            </w:r>
          </w:p>
        </w:tc>
        <w:tc>
          <w:tcPr>
            <w:tcW w:w="1419" w:type="pct"/>
          </w:tcPr>
          <w:p w14:paraId="168527B5" w14:textId="77777777" w:rsidR="00E51CDD" w:rsidRPr="0026404C" w:rsidRDefault="00E51CDD" w:rsidP="009938D9">
            <w:pPr>
              <w:keepNext/>
              <w:keepLines/>
              <w:numPr>
                <w:ilvl w:val="12"/>
                <w:numId w:val="0"/>
              </w:numPr>
              <w:jc w:val="center"/>
              <w:rPr>
                <w:sz w:val="20"/>
                <w:szCs w:val="20"/>
                <w:lang w:val="en-GB"/>
              </w:rPr>
            </w:pPr>
            <w:r>
              <w:rPr>
                <w:sz w:val="20"/>
                <w:szCs w:val="20"/>
                <w:lang w:val="en-GB"/>
              </w:rPr>
              <w:t>100.0</w:t>
            </w:r>
          </w:p>
        </w:tc>
        <w:tc>
          <w:tcPr>
            <w:tcW w:w="1589" w:type="pct"/>
            <w:shd w:val="clear" w:color="auto" w:fill="auto"/>
            <w:vAlign w:val="center"/>
          </w:tcPr>
          <w:p w14:paraId="0D511469" w14:textId="77777777" w:rsidR="00E51CDD" w:rsidRPr="0026404C" w:rsidRDefault="00E51CDD" w:rsidP="009938D9">
            <w:pPr>
              <w:keepNext/>
              <w:keepLines/>
              <w:numPr>
                <w:ilvl w:val="12"/>
                <w:numId w:val="0"/>
              </w:numPr>
              <w:tabs>
                <w:tab w:val="left" w:pos="720"/>
              </w:tabs>
              <w:jc w:val="center"/>
              <w:rPr>
                <w:sz w:val="20"/>
                <w:szCs w:val="20"/>
                <w:lang w:val="en-GB"/>
              </w:rPr>
            </w:pPr>
            <w:r w:rsidRPr="0026404C">
              <w:rPr>
                <w:sz w:val="20"/>
                <w:szCs w:val="20"/>
                <w:lang w:val="en-GB"/>
              </w:rPr>
              <w:t>Chapter 9.1</w:t>
            </w:r>
          </w:p>
        </w:tc>
      </w:tr>
      <w:tr w:rsidR="00E51CDD" w:rsidRPr="0026404C" w14:paraId="17AB4BC5" w14:textId="77777777" w:rsidTr="009938D9">
        <w:tc>
          <w:tcPr>
            <w:tcW w:w="1992" w:type="pct"/>
            <w:vAlign w:val="center"/>
          </w:tcPr>
          <w:p w14:paraId="6C8D27D5"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AR</w:t>
            </w:r>
            <w:r w:rsidRPr="0026404C">
              <w:rPr>
                <w:sz w:val="20"/>
                <w:szCs w:val="20"/>
                <w:vertAlign w:val="subscript"/>
                <w:lang w:val="en-GB"/>
              </w:rPr>
              <w:t>eff</w:t>
            </w:r>
            <w:r w:rsidRPr="0026404C">
              <w:rPr>
                <w:sz w:val="20"/>
                <w:szCs w:val="20"/>
                <w:lang w:val="en-GB"/>
              </w:rPr>
              <w:t xml:space="preserve"> [g/ha] </w:t>
            </w:r>
            <w:r w:rsidRPr="0026404C">
              <w:rPr>
                <w:sz w:val="20"/>
                <w:szCs w:val="20"/>
                <w:vertAlign w:val="superscript"/>
                <w:lang w:val="en-GB"/>
              </w:rPr>
              <w:t>2)</w:t>
            </w:r>
          </w:p>
        </w:tc>
        <w:tc>
          <w:tcPr>
            <w:tcW w:w="1419" w:type="pct"/>
          </w:tcPr>
          <w:p w14:paraId="7E3E06D8" w14:textId="77777777" w:rsidR="00E51CDD" w:rsidRPr="0026404C" w:rsidRDefault="00E51CDD" w:rsidP="009938D9">
            <w:pPr>
              <w:keepNext/>
              <w:keepLines/>
              <w:numPr>
                <w:ilvl w:val="12"/>
                <w:numId w:val="0"/>
              </w:numPr>
              <w:jc w:val="center"/>
              <w:rPr>
                <w:sz w:val="20"/>
                <w:szCs w:val="20"/>
                <w:lang w:val="en-GB"/>
              </w:rPr>
            </w:pPr>
            <w:r>
              <w:rPr>
                <w:sz w:val="20"/>
                <w:szCs w:val="20"/>
                <w:lang w:val="en-GB"/>
              </w:rPr>
              <w:t>191.0</w:t>
            </w:r>
          </w:p>
        </w:tc>
        <w:tc>
          <w:tcPr>
            <w:tcW w:w="1589" w:type="pct"/>
            <w:shd w:val="clear" w:color="auto" w:fill="auto"/>
            <w:vAlign w:val="center"/>
          </w:tcPr>
          <w:p w14:paraId="2C997F09" w14:textId="77777777" w:rsidR="00E51CDD" w:rsidRPr="0026404C" w:rsidRDefault="00E51CDD" w:rsidP="009938D9">
            <w:pPr>
              <w:keepNext/>
              <w:keepLines/>
              <w:numPr>
                <w:ilvl w:val="12"/>
                <w:numId w:val="0"/>
              </w:numPr>
              <w:tabs>
                <w:tab w:val="left" w:pos="720"/>
              </w:tabs>
              <w:jc w:val="center"/>
              <w:rPr>
                <w:sz w:val="20"/>
                <w:szCs w:val="20"/>
                <w:lang w:val="en-GB"/>
              </w:rPr>
            </w:pPr>
            <w:r w:rsidRPr="0026404C">
              <w:rPr>
                <w:sz w:val="20"/>
                <w:szCs w:val="20"/>
                <w:lang w:val="en-GB"/>
              </w:rPr>
              <w:t>--</w:t>
            </w:r>
          </w:p>
        </w:tc>
      </w:tr>
      <w:tr w:rsidR="00E51CDD" w:rsidRPr="0026404C" w14:paraId="41A6C6A3" w14:textId="77777777" w:rsidTr="009938D9">
        <w:tc>
          <w:tcPr>
            <w:tcW w:w="1992" w:type="pct"/>
            <w:vAlign w:val="center"/>
          </w:tcPr>
          <w:p w14:paraId="218693B1"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LD</w:t>
            </w:r>
            <w:r w:rsidRPr="0026404C">
              <w:rPr>
                <w:sz w:val="20"/>
                <w:szCs w:val="20"/>
                <w:vertAlign w:val="subscript"/>
                <w:lang w:val="en-GB"/>
              </w:rPr>
              <w:t>50</w:t>
            </w:r>
            <w:r w:rsidRPr="0026404C">
              <w:rPr>
                <w:sz w:val="20"/>
                <w:szCs w:val="20"/>
                <w:lang w:val="en-GB"/>
              </w:rPr>
              <w:t xml:space="preserve"> [mg/kg b.w.]</w:t>
            </w:r>
          </w:p>
        </w:tc>
        <w:tc>
          <w:tcPr>
            <w:tcW w:w="1419" w:type="pct"/>
          </w:tcPr>
          <w:p w14:paraId="42DCBFF2" w14:textId="7696590A" w:rsidR="00E51CDD" w:rsidRPr="0026404C" w:rsidRDefault="00E51CDD" w:rsidP="009938D9">
            <w:pPr>
              <w:keepNext/>
              <w:keepLines/>
              <w:numPr>
                <w:ilvl w:val="12"/>
                <w:numId w:val="0"/>
              </w:numPr>
              <w:jc w:val="center"/>
              <w:rPr>
                <w:sz w:val="20"/>
                <w:szCs w:val="20"/>
                <w:lang w:val="en-GB"/>
              </w:rPr>
            </w:pPr>
            <w:r w:rsidRPr="0019041A">
              <w:rPr>
                <w:strike/>
                <w:color w:val="D9D9D9" w:themeColor="background1" w:themeShade="D9"/>
                <w:sz w:val="20"/>
                <w:szCs w:val="20"/>
                <w:lang w:val="en-GB"/>
              </w:rPr>
              <w:t>3776</w:t>
            </w:r>
            <w:r w:rsidR="0019041A">
              <w:rPr>
                <w:sz w:val="20"/>
                <w:szCs w:val="20"/>
                <w:lang w:val="en-GB"/>
              </w:rPr>
              <w:t xml:space="preserve"> </w:t>
            </w:r>
            <w:r w:rsidR="0019041A" w:rsidRPr="0019041A">
              <w:rPr>
                <w:sz w:val="20"/>
                <w:szCs w:val="20"/>
                <w:shd w:val="clear" w:color="auto" w:fill="D9D9D9" w:themeFill="background1" w:themeFillShade="D9"/>
                <w:lang w:val="en-GB"/>
              </w:rPr>
              <w:t>&gt;2000</w:t>
            </w:r>
          </w:p>
        </w:tc>
        <w:tc>
          <w:tcPr>
            <w:tcW w:w="1589" w:type="pct"/>
            <w:shd w:val="clear" w:color="auto" w:fill="auto"/>
            <w:vAlign w:val="center"/>
          </w:tcPr>
          <w:p w14:paraId="29BC8E2B" w14:textId="77777777" w:rsidR="00E51CDD" w:rsidRPr="0026404C" w:rsidRDefault="00E51CDD" w:rsidP="009938D9">
            <w:pPr>
              <w:keepNext/>
              <w:keepLines/>
              <w:numPr>
                <w:ilvl w:val="12"/>
                <w:numId w:val="0"/>
              </w:numPr>
              <w:tabs>
                <w:tab w:val="left" w:pos="720"/>
              </w:tabs>
              <w:jc w:val="center"/>
              <w:rPr>
                <w:sz w:val="20"/>
                <w:szCs w:val="20"/>
                <w:lang w:val="en-GB"/>
              </w:rPr>
            </w:pPr>
            <w:r w:rsidRPr="0026404C">
              <w:rPr>
                <w:sz w:val="20"/>
                <w:szCs w:val="20"/>
                <w:lang w:val="en-GB"/>
              </w:rPr>
              <w:t>Chapter 9.2.1</w:t>
            </w:r>
          </w:p>
        </w:tc>
      </w:tr>
      <w:tr w:rsidR="00E51CDD" w:rsidRPr="0026404C" w14:paraId="131BABF0" w14:textId="77777777" w:rsidTr="009938D9">
        <w:tc>
          <w:tcPr>
            <w:tcW w:w="1992" w:type="pct"/>
            <w:vAlign w:val="center"/>
          </w:tcPr>
          <w:p w14:paraId="361F2BD7"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Ratio (acute) </w:t>
            </w:r>
            <w:r w:rsidRPr="0026404C">
              <w:rPr>
                <w:sz w:val="20"/>
                <w:szCs w:val="20"/>
                <w:vertAlign w:val="superscript"/>
                <w:lang w:val="en-GB"/>
              </w:rPr>
              <w:t>3)</w:t>
            </w:r>
          </w:p>
        </w:tc>
        <w:tc>
          <w:tcPr>
            <w:tcW w:w="1419" w:type="pct"/>
          </w:tcPr>
          <w:p w14:paraId="64E19BAA" w14:textId="429E30F8" w:rsidR="00E51CDD" w:rsidRPr="0026404C" w:rsidRDefault="00E51CDD" w:rsidP="009938D9">
            <w:pPr>
              <w:keepNext/>
              <w:keepLines/>
              <w:numPr>
                <w:ilvl w:val="12"/>
                <w:numId w:val="0"/>
              </w:numPr>
              <w:jc w:val="center"/>
              <w:rPr>
                <w:sz w:val="20"/>
                <w:szCs w:val="20"/>
                <w:lang w:val="en-GB"/>
              </w:rPr>
            </w:pPr>
            <w:r w:rsidRPr="00A90EC7">
              <w:rPr>
                <w:strike/>
                <w:color w:val="D9D9D9" w:themeColor="background1" w:themeShade="D9"/>
                <w:sz w:val="20"/>
                <w:szCs w:val="20"/>
                <w:lang w:val="en-GB"/>
              </w:rPr>
              <w:t>0.05</w:t>
            </w:r>
            <w:r w:rsidR="00A90EC7" w:rsidRPr="00A90EC7">
              <w:rPr>
                <w:color w:val="D9D9D9" w:themeColor="background1" w:themeShade="D9"/>
                <w:sz w:val="20"/>
                <w:szCs w:val="20"/>
                <w:lang w:val="en-GB"/>
              </w:rPr>
              <w:t xml:space="preserve"> </w:t>
            </w:r>
            <w:r w:rsidR="00A90EC7" w:rsidRPr="00A90EC7">
              <w:rPr>
                <w:sz w:val="20"/>
                <w:szCs w:val="20"/>
                <w:shd w:val="clear" w:color="auto" w:fill="D9D9D9" w:themeFill="background1" w:themeFillShade="D9"/>
                <w:lang w:val="en-GB"/>
              </w:rPr>
              <w:t>0.096</w:t>
            </w:r>
            <w:r w:rsidR="0019041A">
              <w:rPr>
                <w:sz w:val="20"/>
                <w:szCs w:val="20"/>
                <w:lang w:val="en-GB"/>
              </w:rPr>
              <w:t xml:space="preserve"> </w:t>
            </w:r>
          </w:p>
        </w:tc>
        <w:tc>
          <w:tcPr>
            <w:tcW w:w="1589" w:type="pct"/>
            <w:shd w:val="clear" w:color="auto" w:fill="auto"/>
            <w:vAlign w:val="center"/>
          </w:tcPr>
          <w:p w14:paraId="3E1DAA51" w14:textId="77777777" w:rsidR="00E51CDD" w:rsidRPr="0026404C" w:rsidRDefault="00E51CDD" w:rsidP="009938D9">
            <w:pPr>
              <w:keepNext/>
              <w:keepLines/>
              <w:numPr>
                <w:ilvl w:val="12"/>
                <w:numId w:val="0"/>
              </w:numPr>
              <w:tabs>
                <w:tab w:val="left" w:pos="720"/>
              </w:tabs>
              <w:jc w:val="center"/>
              <w:rPr>
                <w:sz w:val="20"/>
                <w:szCs w:val="20"/>
                <w:lang w:val="en-GB"/>
              </w:rPr>
            </w:pPr>
            <w:r w:rsidRPr="0026404C">
              <w:rPr>
                <w:sz w:val="20"/>
                <w:szCs w:val="20"/>
                <w:lang w:val="en-GB"/>
              </w:rPr>
              <w:t>--</w:t>
            </w:r>
          </w:p>
        </w:tc>
      </w:tr>
      <w:tr w:rsidR="00E51CDD" w:rsidRPr="0026404C" w14:paraId="2056C404" w14:textId="77777777" w:rsidTr="009938D9">
        <w:tc>
          <w:tcPr>
            <w:tcW w:w="1992" w:type="pct"/>
            <w:vAlign w:val="center"/>
          </w:tcPr>
          <w:p w14:paraId="279FC6BE"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NO(A)EL [mg/kg b.w./d]</w:t>
            </w:r>
          </w:p>
        </w:tc>
        <w:tc>
          <w:tcPr>
            <w:tcW w:w="1419" w:type="pct"/>
          </w:tcPr>
          <w:p w14:paraId="37983579" w14:textId="77777777" w:rsidR="00E51CDD" w:rsidRPr="0026404C" w:rsidRDefault="00E51CDD" w:rsidP="009938D9">
            <w:pPr>
              <w:keepNext/>
              <w:keepLines/>
              <w:numPr>
                <w:ilvl w:val="12"/>
                <w:numId w:val="0"/>
              </w:numPr>
              <w:jc w:val="center"/>
              <w:rPr>
                <w:sz w:val="20"/>
                <w:szCs w:val="20"/>
                <w:lang w:val="en-GB"/>
              </w:rPr>
            </w:pPr>
            <w:r w:rsidRPr="0026404C">
              <w:rPr>
                <w:sz w:val="20"/>
                <w:szCs w:val="20"/>
                <w:lang w:val="en-GB"/>
              </w:rPr>
              <w:t>33.6</w:t>
            </w:r>
          </w:p>
        </w:tc>
        <w:tc>
          <w:tcPr>
            <w:tcW w:w="1589" w:type="pct"/>
            <w:shd w:val="clear" w:color="auto" w:fill="auto"/>
            <w:vAlign w:val="center"/>
          </w:tcPr>
          <w:p w14:paraId="6548439D" w14:textId="77777777" w:rsidR="00E51CDD" w:rsidRPr="0026404C" w:rsidRDefault="00E51CDD" w:rsidP="009938D9">
            <w:pPr>
              <w:keepNext/>
              <w:keepLines/>
              <w:numPr>
                <w:ilvl w:val="12"/>
                <w:numId w:val="0"/>
              </w:numPr>
              <w:tabs>
                <w:tab w:val="left" w:pos="720"/>
              </w:tabs>
              <w:jc w:val="center"/>
              <w:rPr>
                <w:sz w:val="20"/>
                <w:szCs w:val="20"/>
                <w:lang w:val="en-GB"/>
              </w:rPr>
            </w:pPr>
            <w:r w:rsidRPr="0026404C">
              <w:rPr>
                <w:sz w:val="20"/>
                <w:szCs w:val="20"/>
                <w:lang w:val="en-GB"/>
              </w:rPr>
              <w:t>Chapter 9.2.1</w:t>
            </w:r>
          </w:p>
        </w:tc>
      </w:tr>
      <w:tr w:rsidR="00E51CDD" w:rsidRPr="0026404C" w14:paraId="08E3D65B" w14:textId="77777777" w:rsidTr="009938D9">
        <w:tc>
          <w:tcPr>
            <w:tcW w:w="1992" w:type="pct"/>
            <w:vAlign w:val="center"/>
          </w:tcPr>
          <w:p w14:paraId="3BAA8919"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Ratio (repro) </w:t>
            </w:r>
            <w:r w:rsidRPr="0026404C">
              <w:rPr>
                <w:sz w:val="20"/>
                <w:szCs w:val="20"/>
                <w:vertAlign w:val="superscript"/>
                <w:lang w:val="en-GB"/>
              </w:rPr>
              <w:t>3)</w:t>
            </w:r>
          </w:p>
        </w:tc>
        <w:tc>
          <w:tcPr>
            <w:tcW w:w="1419" w:type="pct"/>
          </w:tcPr>
          <w:p w14:paraId="185A4E0A" w14:textId="77777777" w:rsidR="00E51CDD" w:rsidRPr="0026404C" w:rsidRDefault="00E51CDD" w:rsidP="009938D9">
            <w:pPr>
              <w:keepNext/>
              <w:keepLines/>
              <w:numPr>
                <w:ilvl w:val="12"/>
                <w:numId w:val="0"/>
              </w:numPr>
              <w:jc w:val="center"/>
              <w:rPr>
                <w:sz w:val="20"/>
                <w:szCs w:val="20"/>
                <w:lang w:val="en-GB"/>
              </w:rPr>
            </w:pPr>
            <w:r>
              <w:rPr>
                <w:sz w:val="20"/>
                <w:szCs w:val="20"/>
                <w:lang w:val="en-GB"/>
              </w:rPr>
              <w:t>5.68</w:t>
            </w:r>
          </w:p>
        </w:tc>
        <w:tc>
          <w:tcPr>
            <w:tcW w:w="1589" w:type="pct"/>
            <w:shd w:val="clear" w:color="auto" w:fill="auto"/>
            <w:vAlign w:val="center"/>
          </w:tcPr>
          <w:p w14:paraId="5B7093D2" w14:textId="77777777" w:rsidR="00E51CDD" w:rsidRPr="0026404C" w:rsidRDefault="00E51CDD" w:rsidP="009938D9">
            <w:pPr>
              <w:keepNext/>
              <w:keepLines/>
              <w:numPr>
                <w:ilvl w:val="12"/>
                <w:numId w:val="0"/>
              </w:numPr>
              <w:tabs>
                <w:tab w:val="left" w:pos="720"/>
              </w:tabs>
              <w:jc w:val="center"/>
              <w:rPr>
                <w:sz w:val="20"/>
                <w:szCs w:val="20"/>
                <w:lang w:val="en-GB"/>
              </w:rPr>
            </w:pPr>
            <w:r w:rsidRPr="0026404C">
              <w:rPr>
                <w:sz w:val="20"/>
                <w:szCs w:val="20"/>
                <w:lang w:val="en-GB"/>
              </w:rPr>
              <w:t>--</w:t>
            </w:r>
          </w:p>
        </w:tc>
      </w:tr>
      <w:tr w:rsidR="00E51CDD" w:rsidRPr="0026404C" w14:paraId="6762D38C" w14:textId="77777777" w:rsidTr="009938D9">
        <w:tc>
          <w:tcPr>
            <w:tcW w:w="1992" w:type="pct"/>
            <w:vAlign w:val="center"/>
          </w:tcPr>
          <w:p w14:paraId="27A3063A"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Trigger</w:t>
            </w:r>
          </w:p>
        </w:tc>
        <w:tc>
          <w:tcPr>
            <w:tcW w:w="1419" w:type="pct"/>
          </w:tcPr>
          <w:p w14:paraId="34329625" w14:textId="77777777" w:rsidR="00E51CDD" w:rsidRPr="0026404C" w:rsidRDefault="00E51CDD" w:rsidP="009938D9">
            <w:pPr>
              <w:keepNext/>
              <w:keepLines/>
              <w:numPr>
                <w:ilvl w:val="12"/>
                <w:numId w:val="0"/>
              </w:numPr>
              <w:jc w:val="center"/>
              <w:rPr>
                <w:sz w:val="20"/>
                <w:szCs w:val="20"/>
                <w:lang w:val="en-GB"/>
              </w:rPr>
            </w:pPr>
            <w:r w:rsidRPr="0026404C">
              <w:rPr>
                <w:sz w:val="20"/>
                <w:szCs w:val="20"/>
                <w:lang w:val="en-GB"/>
              </w:rPr>
              <w:t>3000</w:t>
            </w:r>
          </w:p>
        </w:tc>
        <w:tc>
          <w:tcPr>
            <w:tcW w:w="1589" w:type="pct"/>
            <w:shd w:val="clear" w:color="auto" w:fill="auto"/>
            <w:vAlign w:val="center"/>
          </w:tcPr>
          <w:p w14:paraId="13B6D054" w14:textId="77777777" w:rsidR="00E51CDD" w:rsidRPr="0026404C" w:rsidRDefault="00E51CDD" w:rsidP="009938D9">
            <w:pPr>
              <w:keepNext/>
              <w:keepLines/>
              <w:numPr>
                <w:ilvl w:val="12"/>
                <w:numId w:val="0"/>
              </w:numPr>
              <w:tabs>
                <w:tab w:val="left" w:pos="720"/>
              </w:tabs>
              <w:jc w:val="center"/>
              <w:rPr>
                <w:sz w:val="20"/>
                <w:szCs w:val="20"/>
                <w:lang w:val="en-GB"/>
              </w:rPr>
            </w:pPr>
            <w:r w:rsidRPr="0026404C">
              <w:rPr>
                <w:sz w:val="20"/>
                <w:szCs w:val="20"/>
                <w:lang w:val="en-GB"/>
              </w:rPr>
              <w:t>--</w:t>
            </w:r>
          </w:p>
        </w:tc>
      </w:tr>
      <w:tr w:rsidR="00E51CDD" w:rsidRPr="0026404C" w14:paraId="023FD334" w14:textId="77777777" w:rsidTr="009938D9">
        <w:trPr>
          <w:trHeight w:val="488"/>
        </w:trPr>
        <w:tc>
          <w:tcPr>
            <w:tcW w:w="1992" w:type="pct"/>
            <w:vAlign w:val="center"/>
          </w:tcPr>
          <w:p w14:paraId="555A8211"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Drinking water assessment</w:t>
            </w:r>
          </w:p>
          <w:p w14:paraId="0C3CA8B6" w14:textId="77777777" w:rsidR="00E51CDD" w:rsidRPr="0026404C" w:rsidRDefault="00E51CDD" w:rsidP="009938D9">
            <w:pPr>
              <w:keepNext/>
              <w:keepLines/>
              <w:numPr>
                <w:ilvl w:val="12"/>
                <w:numId w:val="0"/>
              </w:numPr>
              <w:tabs>
                <w:tab w:val="left" w:pos="720"/>
              </w:tabs>
              <w:rPr>
                <w:sz w:val="20"/>
                <w:szCs w:val="20"/>
                <w:lang w:val="en-GB"/>
              </w:rPr>
            </w:pPr>
            <w:r w:rsidRPr="0026404C">
              <w:rPr>
                <w:sz w:val="20"/>
                <w:szCs w:val="20"/>
                <w:lang w:val="en-GB"/>
              </w:rPr>
              <w:t>required [Yes/No]</w:t>
            </w:r>
          </w:p>
        </w:tc>
        <w:tc>
          <w:tcPr>
            <w:tcW w:w="1419" w:type="pct"/>
            <w:vAlign w:val="center"/>
          </w:tcPr>
          <w:p w14:paraId="0E20FC20" w14:textId="77777777" w:rsidR="00E51CDD" w:rsidRPr="0026404C" w:rsidRDefault="00E51CDD" w:rsidP="009938D9">
            <w:pPr>
              <w:keepNext/>
              <w:keepLines/>
              <w:numPr>
                <w:ilvl w:val="12"/>
                <w:numId w:val="0"/>
              </w:numPr>
              <w:jc w:val="center"/>
              <w:rPr>
                <w:sz w:val="20"/>
                <w:szCs w:val="20"/>
                <w:lang w:val="en-GB"/>
              </w:rPr>
            </w:pPr>
            <w:r w:rsidRPr="0026404C">
              <w:rPr>
                <w:sz w:val="20"/>
                <w:szCs w:val="20"/>
                <w:lang w:val="en-GB"/>
              </w:rPr>
              <w:t>No</w:t>
            </w:r>
          </w:p>
        </w:tc>
        <w:tc>
          <w:tcPr>
            <w:tcW w:w="1589" w:type="pct"/>
            <w:shd w:val="clear" w:color="auto" w:fill="auto"/>
            <w:vAlign w:val="center"/>
          </w:tcPr>
          <w:p w14:paraId="22751F55" w14:textId="77777777" w:rsidR="00E51CDD" w:rsidRPr="0026404C" w:rsidRDefault="00E51CDD" w:rsidP="009938D9">
            <w:pPr>
              <w:keepNext/>
              <w:keepLines/>
              <w:numPr>
                <w:ilvl w:val="12"/>
                <w:numId w:val="0"/>
              </w:numPr>
              <w:tabs>
                <w:tab w:val="left" w:pos="720"/>
              </w:tabs>
              <w:jc w:val="center"/>
              <w:rPr>
                <w:sz w:val="20"/>
                <w:szCs w:val="20"/>
                <w:lang w:val="en-GB"/>
              </w:rPr>
            </w:pPr>
            <w:r w:rsidRPr="0026404C">
              <w:rPr>
                <w:sz w:val="20"/>
                <w:szCs w:val="20"/>
                <w:lang w:val="en-GB"/>
              </w:rPr>
              <w:t>--</w:t>
            </w:r>
          </w:p>
        </w:tc>
      </w:tr>
    </w:tbl>
    <w:p w14:paraId="659624C4" w14:textId="77777777" w:rsidR="00E51CDD" w:rsidRPr="0026404C" w:rsidRDefault="00E51CDD" w:rsidP="00E51CDD">
      <w:pPr>
        <w:widowControl w:val="0"/>
        <w:tabs>
          <w:tab w:val="left" w:pos="360"/>
          <w:tab w:val="left" w:pos="720"/>
        </w:tabs>
        <w:suppressAutoHyphens/>
        <w:autoSpaceDE w:val="0"/>
        <w:autoSpaceDN w:val="0"/>
        <w:adjustRightInd w:val="0"/>
        <w:ind w:left="284" w:hanging="284"/>
        <w:rPr>
          <w:sz w:val="18"/>
          <w:szCs w:val="18"/>
          <w:lang w:val="en-GB"/>
        </w:rPr>
      </w:pPr>
      <w:r w:rsidRPr="0026404C">
        <w:rPr>
          <w:sz w:val="18"/>
          <w:szCs w:val="18"/>
          <w:vertAlign w:val="superscript"/>
          <w:lang w:val="en-GB"/>
        </w:rPr>
        <w:t>1)</w:t>
      </w:r>
      <w:r w:rsidRPr="0026404C">
        <w:rPr>
          <w:sz w:val="18"/>
          <w:szCs w:val="18"/>
          <w:lang w:val="en-GB"/>
        </w:rPr>
        <w:tab/>
        <w:t>MAF</w:t>
      </w:r>
      <w:r w:rsidRPr="00241320">
        <w:rPr>
          <w:sz w:val="18"/>
          <w:szCs w:val="18"/>
          <w:vertAlign w:val="subscript"/>
          <w:lang w:val="en-GB"/>
        </w:rPr>
        <w:t>m</w:t>
      </w:r>
      <w:r w:rsidRPr="0026404C">
        <w:rPr>
          <w:sz w:val="18"/>
          <w:szCs w:val="18"/>
          <w:lang w:val="en-GB"/>
        </w:rPr>
        <w:t xml:space="preserve"> = (1-e</w:t>
      </w:r>
      <w:r w:rsidRPr="0026404C">
        <w:rPr>
          <w:sz w:val="18"/>
          <w:szCs w:val="18"/>
          <w:vertAlign w:val="superscript"/>
          <w:lang w:val="en-GB"/>
        </w:rPr>
        <w:t>-nki</w:t>
      </w:r>
      <w:r w:rsidRPr="0026404C">
        <w:rPr>
          <w:sz w:val="18"/>
          <w:szCs w:val="18"/>
          <w:lang w:val="en-GB"/>
        </w:rPr>
        <w:t>) / (1-e</w:t>
      </w:r>
      <w:r w:rsidRPr="0026404C">
        <w:rPr>
          <w:sz w:val="18"/>
          <w:szCs w:val="18"/>
          <w:vertAlign w:val="superscript"/>
          <w:lang w:val="en-GB"/>
        </w:rPr>
        <w:t>-ki</w:t>
      </w:r>
      <w:r w:rsidRPr="0026404C">
        <w:rPr>
          <w:sz w:val="18"/>
          <w:szCs w:val="18"/>
          <w:lang w:val="en-GB"/>
        </w:rPr>
        <w:t>) with k = ln(2)/DT</w:t>
      </w:r>
      <w:r w:rsidRPr="0026404C">
        <w:rPr>
          <w:sz w:val="18"/>
          <w:szCs w:val="18"/>
          <w:vertAlign w:val="subscript"/>
          <w:lang w:val="en-GB"/>
        </w:rPr>
        <w:t>50</w:t>
      </w:r>
      <w:r w:rsidRPr="0026404C">
        <w:rPr>
          <w:sz w:val="18"/>
          <w:szCs w:val="18"/>
          <w:lang w:val="en-GB"/>
        </w:rPr>
        <w:t xml:space="preserve"> (rate constant), n = number of applications and i = application interval [d]</w:t>
      </w:r>
    </w:p>
    <w:p w14:paraId="4C0D59DB" w14:textId="77777777" w:rsidR="00E51CDD" w:rsidRPr="0026404C" w:rsidRDefault="00E51CDD" w:rsidP="00E51CDD">
      <w:pPr>
        <w:widowControl w:val="0"/>
        <w:tabs>
          <w:tab w:val="left" w:pos="360"/>
          <w:tab w:val="left" w:pos="720"/>
        </w:tabs>
        <w:suppressAutoHyphens/>
        <w:autoSpaceDE w:val="0"/>
        <w:autoSpaceDN w:val="0"/>
        <w:adjustRightInd w:val="0"/>
        <w:ind w:left="284" w:hanging="284"/>
        <w:rPr>
          <w:sz w:val="18"/>
          <w:szCs w:val="18"/>
          <w:vertAlign w:val="subscript"/>
          <w:lang w:val="en-GB"/>
        </w:rPr>
      </w:pPr>
      <w:r w:rsidRPr="0026404C">
        <w:rPr>
          <w:sz w:val="18"/>
          <w:szCs w:val="18"/>
          <w:vertAlign w:val="superscript"/>
          <w:lang w:val="en-GB"/>
        </w:rPr>
        <w:t>2)</w:t>
      </w:r>
      <w:r w:rsidRPr="0026404C">
        <w:rPr>
          <w:sz w:val="18"/>
          <w:szCs w:val="18"/>
          <w:lang w:val="en-GB"/>
        </w:rPr>
        <w:tab/>
        <w:t>AR</w:t>
      </w:r>
      <w:r w:rsidRPr="0026404C">
        <w:rPr>
          <w:sz w:val="18"/>
          <w:szCs w:val="18"/>
          <w:vertAlign w:val="subscript"/>
          <w:lang w:val="en-GB"/>
        </w:rPr>
        <w:t>eff</w:t>
      </w:r>
      <w:r w:rsidRPr="0026404C">
        <w:rPr>
          <w:sz w:val="18"/>
          <w:szCs w:val="18"/>
          <w:lang w:val="en-GB"/>
        </w:rPr>
        <w:t xml:space="preserve"> = Application rate (g/ha) x MAF</w:t>
      </w:r>
      <w:r>
        <w:rPr>
          <w:sz w:val="18"/>
          <w:szCs w:val="18"/>
          <w:vertAlign w:val="subscript"/>
          <w:lang w:val="en-GB"/>
        </w:rPr>
        <w:t>m</w:t>
      </w:r>
    </w:p>
    <w:p w14:paraId="373D118F" w14:textId="77777777" w:rsidR="00E51CDD" w:rsidRPr="0026404C" w:rsidRDefault="00E51CDD" w:rsidP="00E51CDD">
      <w:pPr>
        <w:widowControl w:val="0"/>
        <w:tabs>
          <w:tab w:val="left" w:pos="360"/>
          <w:tab w:val="left" w:pos="720"/>
        </w:tabs>
        <w:suppressAutoHyphens/>
        <w:autoSpaceDE w:val="0"/>
        <w:autoSpaceDN w:val="0"/>
        <w:adjustRightInd w:val="0"/>
        <w:ind w:left="284" w:hanging="284"/>
        <w:rPr>
          <w:sz w:val="18"/>
          <w:szCs w:val="18"/>
          <w:lang w:val="en-GB"/>
        </w:rPr>
      </w:pPr>
      <w:r w:rsidRPr="0026404C">
        <w:rPr>
          <w:sz w:val="18"/>
          <w:szCs w:val="18"/>
          <w:vertAlign w:val="superscript"/>
          <w:lang w:val="en-GB"/>
        </w:rPr>
        <w:t>3)</w:t>
      </w:r>
      <w:r w:rsidRPr="0026404C">
        <w:rPr>
          <w:sz w:val="18"/>
          <w:szCs w:val="18"/>
          <w:lang w:val="en-GB"/>
        </w:rPr>
        <w:tab/>
        <w:t>Ratio of AR</w:t>
      </w:r>
      <w:r w:rsidRPr="0026404C">
        <w:rPr>
          <w:sz w:val="18"/>
          <w:szCs w:val="18"/>
          <w:vertAlign w:val="subscript"/>
          <w:lang w:val="en-GB"/>
        </w:rPr>
        <w:t>eff</w:t>
      </w:r>
      <w:r w:rsidRPr="0026404C">
        <w:rPr>
          <w:sz w:val="18"/>
          <w:szCs w:val="18"/>
          <w:lang w:val="en-GB"/>
        </w:rPr>
        <w:t xml:space="preserve"> and relevant toxicity endpoint</w:t>
      </w:r>
    </w:p>
    <w:p w14:paraId="306A0897" w14:textId="77777777" w:rsidR="00286DBE" w:rsidRDefault="00286DBE" w:rsidP="00E51CDD">
      <w:pPr>
        <w:keepNext/>
        <w:keepLines/>
        <w:widowControl w:val="0"/>
        <w:tabs>
          <w:tab w:val="left" w:pos="1980"/>
        </w:tabs>
        <w:suppressAutoHyphens/>
        <w:spacing w:before="200" w:after="120"/>
        <w:ind w:left="1980" w:hanging="1980"/>
        <w:jc w:val="both"/>
        <w:rPr>
          <w:b/>
          <w:bCs/>
          <w:lang w:val="en-GB"/>
        </w:rPr>
      </w:pPr>
      <w:bookmarkStart w:id="258" w:name="_Ref490480996"/>
    </w:p>
    <w:p w14:paraId="2D1BE3EC" w14:textId="21400770" w:rsidR="00E51CDD" w:rsidRPr="0026404C" w:rsidRDefault="00E51CDD" w:rsidP="00E51CDD">
      <w:pPr>
        <w:keepNext/>
        <w:keepLines/>
        <w:widowControl w:val="0"/>
        <w:tabs>
          <w:tab w:val="left" w:pos="1980"/>
        </w:tabs>
        <w:suppressAutoHyphens/>
        <w:spacing w:before="200" w:after="120"/>
        <w:ind w:left="1980" w:hanging="1980"/>
        <w:jc w:val="both"/>
        <w:rPr>
          <w:b/>
          <w:bCs/>
          <w:lang w:val="en-GB"/>
        </w:rPr>
      </w:pPr>
      <w:r w:rsidRPr="0026404C">
        <w:rPr>
          <w:b/>
          <w:bCs/>
          <w:lang w:val="en-GB"/>
        </w:rPr>
        <w:t xml:space="preserve">Table </w:t>
      </w:r>
      <w:r w:rsidRPr="0026404C">
        <w:rPr>
          <w:b/>
          <w:bCs/>
          <w:lang w:val="en-GB"/>
        </w:rPr>
        <w:fldChar w:fldCharType="begin"/>
      </w:r>
      <w:r w:rsidRPr="0026404C">
        <w:rPr>
          <w:b/>
          <w:bCs/>
          <w:lang w:val="en-GB"/>
        </w:rPr>
        <w:instrText xml:space="preserve"> STYLEREF 2 \s </w:instrText>
      </w:r>
      <w:r w:rsidRPr="0026404C">
        <w:rPr>
          <w:b/>
          <w:bCs/>
          <w:lang w:val="en-GB"/>
        </w:rPr>
        <w:fldChar w:fldCharType="separate"/>
      </w:r>
      <w:r w:rsidR="00662F32">
        <w:rPr>
          <w:b/>
          <w:bCs/>
          <w:noProof/>
          <w:lang w:val="en-GB"/>
        </w:rPr>
        <w:t>9.2</w:t>
      </w:r>
      <w:r w:rsidRPr="0026404C">
        <w:rPr>
          <w:b/>
          <w:bCs/>
          <w:lang w:val="en-GB"/>
        </w:rPr>
        <w:fldChar w:fldCharType="end"/>
      </w:r>
      <w:r w:rsidRPr="0026404C">
        <w:rPr>
          <w:b/>
          <w:bCs/>
          <w:lang w:val="en-GB"/>
        </w:rPr>
        <w:noBreakHyphen/>
      </w:r>
      <w:r w:rsidRPr="0026404C">
        <w:rPr>
          <w:b/>
          <w:bCs/>
          <w:lang w:val="en-GB"/>
        </w:rPr>
        <w:fldChar w:fldCharType="begin"/>
      </w:r>
      <w:r w:rsidRPr="0026404C">
        <w:rPr>
          <w:b/>
          <w:bCs/>
          <w:lang w:val="en-GB"/>
        </w:rPr>
        <w:instrText xml:space="preserve"> SEQ Table \* ARABIC \s 2 </w:instrText>
      </w:r>
      <w:r w:rsidRPr="0026404C">
        <w:rPr>
          <w:b/>
          <w:bCs/>
          <w:lang w:val="en-GB"/>
        </w:rPr>
        <w:fldChar w:fldCharType="separate"/>
      </w:r>
      <w:r w:rsidR="00662F32">
        <w:rPr>
          <w:b/>
          <w:bCs/>
          <w:noProof/>
          <w:lang w:val="en-GB"/>
        </w:rPr>
        <w:t>13</w:t>
      </w:r>
      <w:r w:rsidRPr="0026404C">
        <w:rPr>
          <w:b/>
          <w:bCs/>
          <w:lang w:val="en-GB"/>
        </w:rPr>
        <w:fldChar w:fldCharType="end"/>
      </w:r>
      <w:bookmarkEnd w:id="258"/>
      <w:r w:rsidRPr="0026404C">
        <w:rPr>
          <w:b/>
          <w:bCs/>
          <w:lang w:val="en-GB"/>
        </w:rPr>
        <w:t>:</w:t>
      </w:r>
      <w:r w:rsidRPr="0026404C">
        <w:rPr>
          <w:b/>
          <w:bCs/>
          <w:lang w:val="en-GB"/>
        </w:rPr>
        <w:tab/>
        <w:t xml:space="preserve">Assessment of the risk for birds due to exposure to </w:t>
      </w:r>
      <w:r>
        <w:rPr>
          <w:b/>
          <w:bCs/>
          <w:lang w:val="en-GB"/>
        </w:rPr>
        <w:t>azoxystrobin</w:t>
      </w:r>
      <w:r w:rsidRPr="0026404C">
        <w:rPr>
          <w:b/>
          <w:bCs/>
          <w:lang w:val="en-GB"/>
        </w:rPr>
        <w:t xml:space="preserve"> via contaminated drinking water in puddles</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0"/>
        <w:gridCol w:w="2697"/>
        <w:gridCol w:w="2974"/>
      </w:tblGrid>
      <w:tr w:rsidR="00E51CDD" w:rsidRPr="0026404C" w14:paraId="37A8D595" w14:textId="77777777" w:rsidTr="009938D9">
        <w:tc>
          <w:tcPr>
            <w:tcW w:w="1968" w:type="pct"/>
            <w:vAlign w:val="center"/>
          </w:tcPr>
          <w:p w14:paraId="2203AC07" w14:textId="77777777" w:rsidR="00E51CDD" w:rsidRPr="0026404C" w:rsidRDefault="00E51CDD" w:rsidP="009938D9">
            <w:pPr>
              <w:widowControl w:val="0"/>
              <w:tabs>
                <w:tab w:val="left" w:pos="720"/>
              </w:tabs>
              <w:suppressAutoHyphens/>
              <w:rPr>
                <w:b/>
                <w:bCs/>
                <w:sz w:val="20"/>
                <w:szCs w:val="20"/>
                <w:lang w:val="en-GB"/>
              </w:rPr>
            </w:pPr>
            <w:r w:rsidRPr="0026404C">
              <w:rPr>
                <w:b/>
                <w:bCs/>
                <w:sz w:val="20"/>
                <w:szCs w:val="20"/>
                <w:lang w:val="en-GB"/>
              </w:rPr>
              <w:t>Parameter</w:t>
            </w:r>
          </w:p>
        </w:tc>
        <w:tc>
          <w:tcPr>
            <w:tcW w:w="1442" w:type="pct"/>
          </w:tcPr>
          <w:p w14:paraId="01EB537A" w14:textId="77777777" w:rsidR="00E51CDD" w:rsidRPr="0026404C" w:rsidRDefault="00E51CDD" w:rsidP="009938D9">
            <w:pPr>
              <w:widowControl w:val="0"/>
              <w:suppressAutoHyphens/>
              <w:jc w:val="center"/>
              <w:rPr>
                <w:b/>
                <w:bCs/>
                <w:sz w:val="20"/>
                <w:szCs w:val="20"/>
                <w:lang w:val="en-GB"/>
              </w:rPr>
            </w:pPr>
            <w:r>
              <w:rPr>
                <w:b/>
                <w:bCs/>
                <w:sz w:val="20"/>
                <w:szCs w:val="20"/>
                <w:lang w:val="en-GB"/>
              </w:rPr>
              <w:t>Azoxystrobin</w:t>
            </w:r>
          </w:p>
        </w:tc>
        <w:tc>
          <w:tcPr>
            <w:tcW w:w="1591" w:type="pct"/>
            <w:shd w:val="clear" w:color="auto" w:fill="auto"/>
            <w:vAlign w:val="center"/>
          </w:tcPr>
          <w:p w14:paraId="3BEE1503" w14:textId="77777777" w:rsidR="00E51CDD" w:rsidRPr="0026404C" w:rsidRDefault="00E51CDD" w:rsidP="009938D9">
            <w:pPr>
              <w:widowControl w:val="0"/>
              <w:tabs>
                <w:tab w:val="left" w:pos="720"/>
              </w:tabs>
              <w:suppressAutoHyphens/>
              <w:jc w:val="center"/>
              <w:rPr>
                <w:b/>
                <w:bCs/>
                <w:sz w:val="20"/>
                <w:szCs w:val="20"/>
                <w:lang w:val="en-GB"/>
              </w:rPr>
            </w:pPr>
            <w:r w:rsidRPr="0026404C">
              <w:rPr>
                <w:b/>
                <w:bCs/>
                <w:sz w:val="20"/>
                <w:szCs w:val="20"/>
                <w:lang w:val="en-GB"/>
              </w:rPr>
              <w:t>Reference</w:t>
            </w:r>
          </w:p>
        </w:tc>
      </w:tr>
      <w:tr w:rsidR="00E51CDD" w:rsidRPr="0026404C" w14:paraId="180C137B" w14:textId="77777777" w:rsidTr="009938D9">
        <w:tc>
          <w:tcPr>
            <w:tcW w:w="1968" w:type="pct"/>
            <w:vAlign w:val="center"/>
          </w:tcPr>
          <w:p w14:paraId="6316762A" w14:textId="77777777" w:rsidR="00E51CDD" w:rsidRPr="00F02570" w:rsidRDefault="00E51CDD" w:rsidP="009938D9">
            <w:pPr>
              <w:widowControl w:val="0"/>
              <w:numPr>
                <w:ilvl w:val="12"/>
                <w:numId w:val="0"/>
              </w:numPr>
              <w:tabs>
                <w:tab w:val="left" w:pos="720"/>
              </w:tabs>
              <w:suppressAutoHyphens/>
              <w:rPr>
                <w:sz w:val="20"/>
                <w:szCs w:val="20"/>
                <w:lang w:val="en-GB"/>
              </w:rPr>
            </w:pPr>
            <w:r w:rsidRPr="00F02570">
              <w:rPr>
                <w:sz w:val="20"/>
                <w:szCs w:val="20"/>
                <w:lang w:val="en-GB"/>
              </w:rPr>
              <w:t>K</w:t>
            </w:r>
            <w:r w:rsidRPr="00F02570">
              <w:rPr>
                <w:sz w:val="20"/>
                <w:szCs w:val="20"/>
                <w:vertAlign w:val="subscript"/>
                <w:lang w:val="en-GB"/>
              </w:rPr>
              <w:t>oc</w:t>
            </w:r>
            <w:r w:rsidRPr="00F02570">
              <w:rPr>
                <w:sz w:val="20"/>
                <w:szCs w:val="20"/>
                <w:lang w:val="en-GB"/>
              </w:rPr>
              <w:t xml:space="preserve"> (geometric mean) [L/kg]</w:t>
            </w:r>
          </w:p>
        </w:tc>
        <w:tc>
          <w:tcPr>
            <w:tcW w:w="1442" w:type="pct"/>
            <w:vAlign w:val="center"/>
          </w:tcPr>
          <w:p w14:paraId="6FC01C92" w14:textId="77777777" w:rsidR="00E51CDD" w:rsidRPr="00F02570" w:rsidRDefault="00E51CDD" w:rsidP="009938D9">
            <w:pPr>
              <w:widowControl w:val="0"/>
              <w:numPr>
                <w:ilvl w:val="12"/>
                <w:numId w:val="0"/>
              </w:numPr>
              <w:suppressAutoHyphens/>
              <w:jc w:val="center"/>
              <w:rPr>
                <w:rFonts w:eastAsia="SimSun"/>
                <w:sz w:val="20"/>
                <w:szCs w:val="20"/>
                <w:lang w:val="en-GB" w:eastAsia="zh-CN"/>
              </w:rPr>
            </w:pPr>
            <w:r w:rsidRPr="00F02570">
              <w:rPr>
                <w:sz w:val="20"/>
                <w:szCs w:val="20"/>
                <w:lang w:val="en-GB"/>
              </w:rPr>
              <w:t>392</w:t>
            </w:r>
          </w:p>
        </w:tc>
        <w:tc>
          <w:tcPr>
            <w:tcW w:w="1591" w:type="pct"/>
            <w:shd w:val="clear" w:color="auto" w:fill="auto"/>
            <w:vAlign w:val="center"/>
          </w:tcPr>
          <w:p w14:paraId="3814FBC9" w14:textId="77777777" w:rsidR="00E51CDD" w:rsidRPr="00F02570" w:rsidRDefault="00E51CDD" w:rsidP="009938D9">
            <w:pPr>
              <w:widowControl w:val="0"/>
              <w:numPr>
                <w:ilvl w:val="12"/>
                <w:numId w:val="0"/>
              </w:numPr>
              <w:tabs>
                <w:tab w:val="left" w:pos="720"/>
              </w:tabs>
              <w:suppressAutoHyphens/>
              <w:jc w:val="center"/>
              <w:rPr>
                <w:sz w:val="20"/>
                <w:szCs w:val="20"/>
              </w:rPr>
            </w:pPr>
            <w:r w:rsidRPr="00F02570">
              <w:rPr>
                <w:sz w:val="20"/>
                <w:szCs w:val="20"/>
                <w:lang w:val="en-GB"/>
              </w:rPr>
              <w:t>Chapter 8.5.1</w:t>
            </w:r>
          </w:p>
        </w:tc>
      </w:tr>
      <w:tr w:rsidR="00E51CDD" w:rsidRPr="0026404C" w14:paraId="24E588F1" w14:textId="77777777" w:rsidTr="009938D9">
        <w:tc>
          <w:tcPr>
            <w:tcW w:w="1968" w:type="pct"/>
            <w:vAlign w:val="center"/>
          </w:tcPr>
          <w:p w14:paraId="225417C6" w14:textId="77777777" w:rsidR="00E51CDD" w:rsidRPr="00A53BAC" w:rsidRDefault="00E51CDD" w:rsidP="009938D9">
            <w:pPr>
              <w:widowControl w:val="0"/>
              <w:numPr>
                <w:ilvl w:val="12"/>
                <w:numId w:val="0"/>
              </w:numPr>
              <w:tabs>
                <w:tab w:val="left" w:pos="720"/>
              </w:tabs>
              <w:suppressAutoHyphens/>
              <w:rPr>
                <w:sz w:val="20"/>
                <w:szCs w:val="20"/>
                <w:lang w:val="en-GB"/>
              </w:rPr>
            </w:pPr>
            <w:r w:rsidRPr="00A53BAC">
              <w:rPr>
                <w:sz w:val="20"/>
                <w:szCs w:val="20"/>
                <w:lang w:val="en-GB"/>
              </w:rPr>
              <w:t>DT</w:t>
            </w:r>
            <w:r w:rsidRPr="00A53BAC">
              <w:rPr>
                <w:sz w:val="20"/>
                <w:szCs w:val="20"/>
                <w:vertAlign w:val="subscript"/>
                <w:lang w:val="en-GB"/>
              </w:rPr>
              <w:t>50</w:t>
            </w:r>
            <w:r w:rsidRPr="00A53BAC">
              <w:rPr>
                <w:sz w:val="20"/>
                <w:szCs w:val="20"/>
                <w:lang w:val="en-GB"/>
              </w:rPr>
              <w:t xml:space="preserve"> (soil) (geometric mean) [days]</w:t>
            </w:r>
          </w:p>
        </w:tc>
        <w:tc>
          <w:tcPr>
            <w:tcW w:w="1442" w:type="pct"/>
            <w:vAlign w:val="center"/>
          </w:tcPr>
          <w:p w14:paraId="0F20C25A" w14:textId="77777777" w:rsidR="00E51CDD" w:rsidRPr="00A53BAC" w:rsidRDefault="00E51CDD" w:rsidP="009938D9">
            <w:pPr>
              <w:widowControl w:val="0"/>
              <w:numPr>
                <w:ilvl w:val="12"/>
                <w:numId w:val="0"/>
              </w:numPr>
              <w:suppressAutoHyphens/>
              <w:jc w:val="center"/>
              <w:rPr>
                <w:sz w:val="20"/>
                <w:szCs w:val="20"/>
                <w:lang w:val="en-GB"/>
              </w:rPr>
            </w:pPr>
            <w:r w:rsidRPr="00A53BAC">
              <w:rPr>
                <w:sz w:val="20"/>
                <w:szCs w:val="20"/>
                <w:lang w:val="en-GB"/>
              </w:rPr>
              <w:t xml:space="preserve">78 </w:t>
            </w:r>
          </w:p>
        </w:tc>
        <w:tc>
          <w:tcPr>
            <w:tcW w:w="1591" w:type="pct"/>
            <w:shd w:val="clear" w:color="auto" w:fill="auto"/>
            <w:vAlign w:val="center"/>
          </w:tcPr>
          <w:p w14:paraId="76CCABBE" w14:textId="77777777" w:rsidR="00E51CDD" w:rsidRPr="00A53BAC" w:rsidRDefault="00E51CDD" w:rsidP="009938D9">
            <w:pPr>
              <w:suppressAutoHyphens/>
              <w:autoSpaceDE w:val="0"/>
              <w:autoSpaceDN w:val="0"/>
              <w:adjustRightInd w:val="0"/>
              <w:jc w:val="center"/>
              <w:rPr>
                <w:strike/>
                <w:sz w:val="20"/>
                <w:szCs w:val="20"/>
                <w:lang w:val="en-GB"/>
              </w:rPr>
            </w:pPr>
            <w:r w:rsidRPr="00A53BAC">
              <w:rPr>
                <w:sz w:val="20"/>
                <w:szCs w:val="20"/>
                <w:lang w:val="en-GB"/>
              </w:rPr>
              <w:t>Chapter 8.9</w:t>
            </w:r>
          </w:p>
        </w:tc>
      </w:tr>
      <w:tr w:rsidR="00E51CDD" w:rsidRPr="0026404C" w14:paraId="6F659CF9" w14:textId="77777777" w:rsidTr="009938D9">
        <w:tc>
          <w:tcPr>
            <w:tcW w:w="1968" w:type="pct"/>
            <w:vAlign w:val="center"/>
          </w:tcPr>
          <w:p w14:paraId="14C35534"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Number of applications</w:t>
            </w:r>
          </w:p>
        </w:tc>
        <w:tc>
          <w:tcPr>
            <w:tcW w:w="1442" w:type="pct"/>
          </w:tcPr>
          <w:p w14:paraId="24A86297"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2</w:t>
            </w:r>
          </w:p>
        </w:tc>
        <w:tc>
          <w:tcPr>
            <w:tcW w:w="1591" w:type="pct"/>
            <w:shd w:val="clear" w:color="auto" w:fill="auto"/>
            <w:vAlign w:val="center"/>
          </w:tcPr>
          <w:p w14:paraId="6ADB0542" w14:textId="77777777" w:rsidR="00E51CDD" w:rsidRPr="0026404C" w:rsidRDefault="00E51CDD" w:rsidP="009938D9">
            <w:pPr>
              <w:widowControl w:val="0"/>
              <w:numPr>
                <w:ilvl w:val="12"/>
                <w:numId w:val="0"/>
              </w:numPr>
              <w:tabs>
                <w:tab w:val="left" w:pos="720"/>
              </w:tabs>
              <w:suppressAutoHyphens/>
              <w:autoSpaceDE w:val="0"/>
              <w:autoSpaceDN w:val="0"/>
              <w:adjustRightInd w:val="0"/>
              <w:jc w:val="center"/>
              <w:rPr>
                <w:sz w:val="20"/>
                <w:szCs w:val="20"/>
                <w:lang w:val="en-GB"/>
              </w:rPr>
            </w:pPr>
            <w:r w:rsidRPr="0026404C">
              <w:rPr>
                <w:sz w:val="20"/>
                <w:szCs w:val="20"/>
                <w:lang w:val="en-GB"/>
              </w:rPr>
              <w:t>Chapter 9.1</w:t>
            </w:r>
          </w:p>
        </w:tc>
      </w:tr>
      <w:tr w:rsidR="00E51CDD" w:rsidRPr="0026404C" w14:paraId="1C5968F6" w14:textId="77777777" w:rsidTr="009938D9">
        <w:tc>
          <w:tcPr>
            <w:tcW w:w="1968" w:type="pct"/>
            <w:vAlign w:val="center"/>
          </w:tcPr>
          <w:p w14:paraId="28440128"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Interval [days]</w:t>
            </w:r>
          </w:p>
        </w:tc>
        <w:tc>
          <w:tcPr>
            <w:tcW w:w="1442" w:type="pct"/>
          </w:tcPr>
          <w:p w14:paraId="53ED2961"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21</w:t>
            </w:r>
          </w:p>
        </w:tc>
        <w:tc>
          <w:tcPr>
            <w:tcW w:w="1591" w:type="pct"/>
            <w:shd w:val="clear" w:color="auto" w:fill="auto"/>
            <w:vAlign w:val="center"/>
          </w:tcPr>
          <w:p w14:paraId="4C5963E0" w14:textId="77777777" w:rsidR="00E51CDD" w:rsidRPr="0026404C" w:rsidRDefault="00E51CDD" w:rsidP="009938D9">
            <w:pPr>
              <w:widowControl w:val="0"/>
              <w:numPr>
                <w:ilvl w:val="12"/>
                <w:numId w:val="0"/>
              </w:numPr>
              <w:tabs>
                <w:tab w:val="left" w:pos="720"/>
              </w:tabs>
              <w:suppressAutoHyphens/>
              <w:autoSpaceDE w:val="0"/>
              <w:autoSpaceDN w:val="0"/>
              <w:adjustRightInd w:val="0"/>
              <w:jc w:val="center"/>
              <w:rPr>
                <w:sz w:val="20"/>
                <w:szCs w:val="20"/>
                <w:lang w:val="en-GB"/>
              </w:rPr>
            </w:pPr>
            <w:r w:rsidRPr="0026404C">
              <w:rPr>
                <w:sz w:val="20"/>
                <w:szCs w:val="20"/>
                <w:lang w:val="en-GB"/>
              </w:rPr>
              <w:t>Chapter 9.1</w:t>
            </w:r>
          </w:p>
        </w:tc>
      </w:tr>
      <w:tr w:rsidR="00E51CDD" w:rsidRPr="0026404C" w14:paraId="1ABD55D0" w14:textId="77777777" w:rsidTr="009938D9">
        <w:tc>
          <w:tcPr>
            <w:tcW w:w="1968" w:type="pct"/>
            <w:vAlign w:val="center"/>
          </w:tcPr>
          <w:p w14:paraId="2D1C5E04" w14:textId="77777777" w:rsidR="00E51CDD" w:rsidRPr="00A8300A" w:rsidRDefault="00E51CDD" w:rsidP="009938D9">
            <w:pPr>
              <w:widowControl w:val="0"/>
              <w:numPr>
                <w:ilvl w:val="12"/>
                <w:numId w:val="0"/>
              </w:numPr>
              <w:tabs>
                <w:tab w:val="left" w:pos="720"/>
              </w:tabs>
              <w:suppressAutoHyphens/>
              <w:rPr>
                <w:sz w:val="20"/>
                <w:szCs w:val="20"/>
                <w:lang w:val="en-GB"/>
              </w:rPr>
            </w:pPr>
            <w:r w:rsidRPr="00A8300A">
              <w:rPr>
                <w:sz w:val="20"/>
                <w:szCs w:val="20"/>
                <w:lang w:val="en-GB"/>
              </w:rPr>
              <w:t>MAF</w:t>
            </w:r>
            <w:r w:rsidRPr="00A8300A">
              <w:rPr>
                <w:sz w:val="20"/>
                <w:szCs w:val="20"/>
                <w:vertAlign w:val="subscript"/>
                <w:lang w:val="en-GB"/>
              </w:rPr>
              <w:t>m</w:t>
            </w:r>
            <w:r w:rsidRPr="00A8300A">
              <w:rPr>
                <w:sz w:val="20"/>
                <w:szCs w:val="20"/>
                <w:lang w:val="en-GB"/>
              </w:rPr>
              <w:t> </w:t>
            </w:r>
            <w:r>
              <w:rPr>
                <w:sz w:val="20"/>
                <w:szCs w:val="20"/>
                <w:vertAlign w:val="superscript"/>
                <w:lang w:val="en-GB"/>
              </w:rPr>
              <w:t>1</w:t>
            </w:r>
            <w:r w:rsidRPr="00A8300A">
              <w:rPr>
                <w:sz w:val="20"/>
                <w:szCs w:val="20"/>
                <w:vertAlign w:val="superscript"/>
                <w:lang w:val="en-GB"/>
              </w:rPr>
              <w:t>)</w:t>
            </w:r>
          </w:p>
        </w:tc>
        <w:tc>
          <w:tcPr>
            <w:tcW w:w="1442" w:type="pct"/>
          </w:tcPr>
          <w:p w14:paraId="344F7F38" w14:textId="77777777" w:rsidR="00E51CDD" w:rsidRPr="00A8300A" w:rsidRDefault="00E51CDD" w:rsidP="009938D9">
            <w:pPr>
              <w:widowControl w:val="0"/>
              <w:numPr>
                <w:ilvl w:val="12"/>
                <w:numId w:val="0"/>
              </w:numPr>
              <w:suppressAutoHyphens/>
              <w:jc w:val="center"/>
              <w:rPr>
                <w:sz w:val="20"/>
                <w:szCs w:val="20"/>
                <w:lang w:val="en-GB"/>
              </w:rPr>
            </w:pPr>
            <w:r w:rsidRPr="00A8300A">
              <w:rPr>
                <w:sz w:val="20"/>
                <w:szCs w:val="20"/>
                <w:lang w:val="en-GB"/>
              </w:rPr>
              <w:t>1.83</w:t>
            </w:r>
          </w:p>
        </w:tc>
        <w:tc>
          <w:tcPr>
            <w:tcW w:w="1591" w:type="pct"/>
            <w:shd w:val="clear" w:color="auto" w:fill="auto"/>
            <w:vAlign w:val="center"/>
          </w:tcPr>
          <w:p w14:paraId="68D050EC" w14:textId="77777777" w:rsidR="00E51CDD" w:rsidRPr="00A8300A" w:rsidRDefault="00E51CDD" w:rsidP="009938D9">
            <w:pPr>
              <w:widowControl w:val="0"/>
              <w:numPr>
                <w:ilvl w:val="12"/>
                <w:numId w:val="0"/>
              </w:numPr>
              <w:tabs>
                <w:tab w:val="left" w:pos="720"/>
              </w:tabs>
              <w:suppressAutoHyphens/>
              <w:autoSpaceDE w:val="0"/>
              <w:autoSpaceDN w:val="0"/>
              <w:adjustRightInd w:val="0"/>
              <w:jc w:val="center"/>
              <w:rPr>
                <w:sz w:val="20"/>
                <w:szCs w:val="20"/>
                <w:lang w:val="en-GB"/>
              </w:rPr>
            </w:pPr>
            <w:r w:rsidRPr="00A8300A">
              <w:rPr>
                <w:sz w:val="20"/>
                <w:szCs w:val="20"/>
                <w:lang w:val="en-GB"/>
              </w:rPr>
              <w:t>--</w:t>
            </w:r>
          </w:p>
        </w:tc>
      </w:tr>
      <w:tr w:rsidR="00E51CDD" w:rsidRPr="0026404C" w14:paraId="0BEA9AB1" w14:textId="77777777" w:rsidTr="009938D9">
        <w:tc>
          <w:tcPr>
            <w:tcW w:w="1968" w:type="pct"/>
            <w:vAlign w:val="center"/>
          </w:tcPr>
          <w:p w14:paraId="6C91CB80"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Max use rate [g/ha]</w:t>
            </w:r>
          </w:p>
        </w:tc>
        <w:tc>
          <w:tcPr>
            <w:tcW w:w="1442" w:type="pct"/>
          </w:tcPr>
          <w:p w14:paraId="3038DD85"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1</w:t>
            </w:r>
            <w:r w:rsidRPr="0026404C">
              <w:rPr>
                <w:sz w:val="20"/>
                <w:szCs w:val="20"/>
                <w:lang w:val="en-GB"/>
              </w:rPr>
              <w:t>50.0</w:t>
            </w:r>
          </w:p>
        </w:tc>
        <w:tc>
          <w:tcPr>
            <w:tcW w:w="1591" w:type="pct"/>
            <w:shd w:val="clear" w:color="auto" w:fill="auto"/>
            <w:vAlign w:val="center"/>
          </w:tcPr>
          <w:p w14:paraId="10970013"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Chapter 9.1</w:t>
            </w:r>
          </w:p>
        </w:tc>
      </w:tr>
      <w:tr w:rsidR="00E51CDD" w:rsidRPr="0026404C" w14:paraId="7FECA05D" w14:textId="77777777" w:rsidTr="009938D9">
        <w:tc>
          <w:tcPr>
            <w:tcW w:w="1968" w:type="pct"/>
            <w:vAlign w:val="center"/>
          </w:tcPr>
          <w:p w14:paraId="423D3E36"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AR</w:t>
            </w:r>
            <w:r w:rsidRPr="0026404C">
              <w:rPr>
                <w:sz w:val="20"/>
                <w:szCs w:val="20"/>
                <w:vertAlign w:val="subscript"/>
                <w:lang w:val="en-GB"/>
              </w:rPr>
              <w:t>eff</w:t>
            </w:r>
            <w:r w:rsidRPr="0026404C">
              <w:rPr>
                <w:sz w:val="20"/>
                <w:szCs w:val="20"/>
                <w:lang w:val="en-GB"/>
              </w:rPr>
              <w:t xml:space="preserve"> [g/ha] </w:t>
            </w:r>
            <w:r>
              <w:rPr>
                <w:sz w:val="20"/>
                <w:szCs w:val="20"/>
                <w:vertAlign w:val="superscript"/>
                <w:lang w:val="en-GB"/>
              </w:rPr>
              <w:t>2</w:t>
            </w:r>
            <w:r w:rsidRPr="0026404C">
              <w:rPr>
                <w:sz w:val="20"/>
                <w:szCs w:val="20"/>
                <w:vertAlign w:val="superscript"/>
                <w:lang w:val="en-GB"/>
              </w:rPr>
              <w:t>)</w:t>
            </w:r>
          </w:p>
        </w:tc>
        <w:tc>
          <w:tcPr>
            <w:tcW w:w="1442" w:type="pct"/>
          </w:tcPr>
          <w:p w14:paraId="42886327"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274.5</w:t>
            </w:r>
          </w:p>
        </w:tc>
        <w:tc>
          <w:tcPr>
            <w:tcW w:w="1591" w:type="pct"/>
            <w:shd w:val="clear" w:color="auto" w:fill="auto"/>
            <w:vAlign w:val="center"/>
          </w:tcPr>
          <w:p w14:paraId="0550983A"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w:t>
            </w:r>
          </w:p>
        </w:tc>
      </w:tr>
      <w:tr w:rsidR="00E51CDD" w:rsidRPr="0026404C" w14:paraId="7B4DC2B3" w14:textId="77777777" w:rsidTr="009938D9">
        <w:tc>
          <w:tcPr>
            <w:tcW w:w="1968" w:type="pct"/>
            <w:vAlign w:val="center"/>
          </w:tcPr>
          <w:p w14:paraId="33D111F0"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LD</w:t>
            </w:r>
            <w:r w:rsidRPr="0026404C">
              <w:rPr>
                <w:sz w:val="20"/>
                <w:szCs w:val="20"/>
                <w:vertAlign w:val="subscript"/>
                <w:lang w:val="en-GB"/>
              </w:rPr>
              <w:t>50</w:t>
            </w:r>
            <w:r w:rsidRPr="0026404C">
              <w:rPr>
                <w:sz w:val="20"/>
                <w:szCs w:val="20"/>
                <w:lang w:val="en-GB"/>
              </w:rPr>
              <w:t xml:space="preserve"> [mg/kg b.w.]</w:t>
            </w:r>
          </w:p>
        </w:tc>
        <w:tc>
          <w:tcPr>
            <w:tcW w:w="1442" w:type="pct"/>
          </w:tcPr>
          <w:p w14:paraId="76A9EB4B"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&gt; 2000</w:t>
            </w:r>
          </w:p>
        </w:tc>
        <w:tc>
          <w:tcPr>
            <w:tcW w:w="1591" w:type="pct"/>
            <w:shd w:val="clear" w:color="auto" w:fill="auto"/>
            <w:vAlign w:val="center"/>
          </w:tcPr>
          <w:p w14:paraId="6FB4848B"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Chapter 9.2.1</w:t>
            </w:r>
          </w:p>
        </w:tc>
      </w:tr>
      <w:tr w:rsidR="00E51CDD" w:rsidRPr="0026404C" w14:paraId="2DC77A48" w14:textId="77777777" w:rsidTr="009938D9">
        <w:tc>
          <w:tcPr>
            <w:tcW w:w="1968" w:type="pct"/>
            <w:vAlign w:val="center"/>
          </w:tcPr>
          <w:p w14:paraId="7133571E"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Ratio (acute) </w:t>
            </w:r>
            <w:r>
              <w:rPr>
                <w:sz w:val="20"/>
                <w:szCs w:val="20"/>
                <w:vertAlign w:val="superscript"/>
                <w:lang w:val="en-GB"/>
              </w:rPr>
              <w:t>3</w:t>
            </w:r>
            <w:r w:rsidRPr="0026404C">
              <w:rPr>
                <w:sz w:val="20"/>
                <w:szCs w:val="20"/>
                <w:vertAlign w:val="superscript"/>
                <w:lang w:val="en-GB"/>
              </w:rPr>
              <w:t>)</w:t>
            </w:r>
          </w:p>
        </w:tc>
        <w:tc>
          <w:tcPr>
            <w:tcW w:w="1442" w:type="pct"/>
          </w:tcPr>
          <w:p w14:paraId="59A2111C"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&lt; </w:t>
            </w:r>
            <w:r w:rsidRPr="0026404C">
              <w:rPr>
                <w:sz w:val="20"/>
                <w:szCs w:val="20"/>
                <w:lang w:val="en-GB"/>
              </w:rPr>
              <w:t>0.</w:t>
            </w:r>
            <w:r>
              <w:rPr>
                <w:sz w:val="20"/>
                <w:szCs w:val="20"/>
                <w:lang w:val="en-GB"/>
              </w:rPr>
              <w:t>14</w:t>
            </w:r>
          </w:p>
        </w:tc>
        <w:tc>
          <w:tcPr>
            <w:tcW w:w="1591" w:type="pct"/>
            <w:shd w:val="clear" w:color="auto" w:fill="auto"/>
            <w:vAlign w:val="center"/>
          </w:tcPr>
          <w:p w14:paraId="397738B6"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w:t>
            </w:r>
          </w:p>
        </w:tc>
      </w:tr>
      <w:tr w:rsidR="00E51CDD" w:rsidRPr="0026404C" w14:paraId="000AE529" w14:textId="77777777" w:rsidTr="009938D9">
        <w:tc>
          <w:tcPr>
            <w:tcW w:w="1968" w:type="pct"/>
            <w:vAlign w:val="center"/>
          </w:tcPr>
          <w:p w14:paraId="58AADFAA"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NO(A)EL [mg/kg b.w./d]</w:t>
            </w:r>
          </w:p>
        </w:tc>
        <w:tc>
          <w:tcPr>
            <w:tcW w:w="1442" w:type="pct"/>
          </w:tcPr>
          <w:p w14:paraId="2E536FD9"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117.0</w:t>
            </w:r>
          </w:p>
        </w:tc>
        <w:tc>
          <w:tcPr>
            <w:tcW w:w="1591" w:type="pct"/>
            <w:shd w:val="clear" w:color="auto" w:fill="auto"/>
            <w:vAlign w:val="center"/>
          </w:tcPr>
          <w:p w14:paraId="51F6B1AC"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Chapter 9.2.1</w:t>
            </w:r>
          </w:p>
        </w:tc>
      </w:tr>
      <w:tr w:rsidR="00E51CDD" w:rsidRPr="0026404C" w14:paraId="5A2BE9B3" w14:textId="77777777" w:rsidTr="009938D9">
        <w:tc>
          <w:tcPr>
            <w:tcW w:w="1968" w:type="pct"/>
            <w:vAlign w:val="center"/>
          </w:tcPr>
          <w:p w14:paraId="3D0608EC"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Ratio (repro) </w:t>
            </w:r>
            <w:r>
              <w:rPr>
                <w:sz w:val="20"/>
                <w:szCs w:val="20"/>
                <w:vertAlign w:val="superscript"/>
                <w:lang w:val="en-GB"/>
              </w:rPr>
              <w:t>3</w:t>
            </w:r>
            <w:r w:rsidRPr="0026404C">
              <w:rPr>
                <w:sz w:val="20"/>
                <w:szCs w:val="20"/>
                <w:vertAlign w:val="superscript"/>
                <w:lang w:val="en-GB"/>
              </w:rPr>
              <w:t>)</w:t>
            </w:r>
          </w:p>
        </w:tc>
        <w:tc>
          <w:tcPr>
            <w:tcW w:w="1442" w:type="pct"/>
          </w:tcPr>
          <w:p w14:paraId="2B9113F6"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2.35</w:t>
            </w:r>
          </w:p>
        </w:tc>
        <w:tc>
          <w:tcPr>
            <w:tcW w:w="1591" w:type="pct"/>
            <w:shd w:val="clear" w:color="auto" w:fill="auto"/>
            <w:vAlign w:val="center"/>
          </w:tcPr>
          <w:p w14:paraId="77B79DC1"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w:t>
            </w:r>
          </w:p>
        </w:tc>
      </w:tr>
      <w:tr w:rsidR="00E51CDD" w:rsidRPr="0026404C" w14:paraId="5528C6B5" w14:textId="77777777" w:rsidTr="009938D9">
        <w:tc>
          <w:tcPr>
            <w:tcW w:w="1968" w:type="pct"/>
            <w:vAlign w:val="center"/>
          </w:tcPr>
          <w:p w14:paraId="61B16A24"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Trigger</w:t>
            </w:r>
          </w:p>
        </w:tc>
        <w:tc>
          <w:tcPr>
            <w:tcW w:w="1442" w:type="pct"/>
          </w:tcPr>
          <w:p w14:paraId="6E41D96B"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50</w:t>
            </w:r>
          </w:p>
        </w:tc>
        <w:tc>
          <w:tcPr>
            <w:tcW w:w="1591" w:type="pct"/>
            <w:shd w:val="clear" w:color="auto" w:fill="auto"/>
            <w:vAlign w:val="center"/>
          </w:tcPr>
          <w:p w14:paraId="6F3EBEC0"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w:t>
            </w:r>
          </w:p>
        </w:tc>
      </w:tr>
      <w:tr w:rsidR="00E51CDD" w:rsidRPr="0026404C" w14:paraId="786A81F6" w14:textId="77777777" w:rsidTr="009938D9">
        <w:tc>
          <w:tcPr>
            <w:tcW w:w="1968" w:type="pct"/>
            <w:vAlign w:val="center"/>
          </w:tcPr>
          <w:p w14:paraId="185BEA71"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Drinking water assessment</w:t>
            </w:r>
          </w:p>
          <w:p w14:paraId="193DBEFB"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required [Yes/No]</w:t>
            </w:r>
          </w:p>
        </w:tc>
        <w:tc>
          <w:tcPr>
            <w:tcW w:w="1442" w:type="pct"/>
            <w:vAlign w:val="center"/>
          </w:tcPr>
          <w:p w14:paraId="70D4530F"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No</w:t>
            </w:r>
          </w:p>
        </w:tc>
        <w:tc>
          <w:tcPr>
            <w:tcW w:w="1591" w:type="pct"/>
            <w:shd w:val="clear" w:color="auto" w:fill="auto"/>
            <w:vAlign w:val="center"/>
          </w:tcPr>
          <w:p w14:paraId="1C836947"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w:t>
            </w:r>
          </w:p>
        </w:tc>
      </w:tr>
    </w:tbl>
    <w:p w14:paraId="2908AAE9" w14:textId="77777777" w:rsidR="00E51CDD" w:rsidRPr="0026404C" w:rsidRDefault="00E51CDD" w:rsidP="00E51CDD">
      <w:pPr>
        <w:widowControl w:val="0"/>
        <w:tabs>
          <w:tab w:val="left" w:pos="720"/>
          <w:tab w:val="left" w:pos="1260"/>
        </w:tabs>
        <w:suppressAutoHyphens/>
        <w:autoSpaceDE w:val="0"/>
        <w:autoSpaceDN w:val="0"/>
        <w:adjustRightInd w:val="0"/>
        <w:ind w:left="720" w:hanging="720"/>
        <w:rPr>
          <w:sz w:val="18"/>
          <w:szCs w:val="18"/>
          <w:lang w:val="en-GB"/>
        </w:rPr>
      </w:pPr>
      <w:r>
        <w:rPr>
          <w:sz w:val="18"/>
          <w:szCs w:val="18"/>
          <w:vertAlign w:val="superscript"/>
          <w:lang w:val="en-GB"/>
        </w:rPr>
        <w:t>1</w:t>
      </w:r>
      <w:r w:rsidRPr="0026404C">
        <w:rPr>
          <w:sz w:val="18"/>
          <w:szCs w:val="18"/>
          <w:vertAlign w:val="superscript"/>
          <w:lang w:val="en-GB"/>
        </w:rPr>
        <w:t>)</w:t>
      </w:r>
      <w:r>
        <w:rPr>
          <w:sz w:val="18"/>
          <w:szCs w:val="18"/>
          <w:vertAlign w:val="superscript"/>
          <w:lang w:val="en-GB"/>
        </w:rPr>
        <w:t xml:space="preserve">      </w:t>
      </w:r>
      <w:r w:rsidRPr="0026404C">
        <w:rPr>
          <w:sz w:val="18"/>
          <w:szCs w:val="18"/>
          <w:lang w:val="en-GB"/>
        </w:rPr>
        <w:t>MAF</w:t>
      </w:r>
      <w:r w:rsidRPr="007130C3">
        <w:rPr>
          <w:sz w:val="18"/>
          <w:szCs w:val="18"/>
          <w:vertAlign w:val="subscript"/>
          <w:lang w:val="en-GB"/>
        </w:rPr>
        <w:t>m</w:t>
      </w:r>
      <w:r w:rsidRPr="0026404C">
        <w:rPr>
          <w:sz w:val="18"/>
          <w:szCs w:val="18"/>
          <w:lang w:val="en-GB"/>
        </w:rPr>
        <w:t xml:space="preserve"> = (1-e</w:t>
      </w:r>
      <w:r w:rsidRPr="0026404C">
        <w:rPr>
          <w:sz w:val="18"/>
          <w:szCs w:val="18"/>
          <w:vertAlign w:val="superscript"/>
          <w:lang w:val="en-GB"/>
        </w:rPr>
        <w:t>-nki</w:t>
      </w:r>
      <w:r w:rsidRPr="0026404C">
        <w:rPr>
          <w:sz w:val="18"/>
          <w:szCs w:val="18"/>
          <w:lang w:val="en-GB"/>
        </w:rPr>
        <w:t>) / (1-e</w:t>
      </w:r>
      <w:r w:rsidRPr="0026404C">
        <w:rPr>
          <w:sz w:val="18"/>
          <w:szCs w:val="18"/>
          <w:vertAlign w:val="superscript"/>
          <w:lang w:val="en-GB"/>
        </w:rPr>
        <w:t>-ki</w:t>
      </w:r>
      <w:r w:rsidRPr="0026404C">
        <w:rPr>
          <w:sz w:val="18"/>
          <w:szCs w:val="18"/>
          <w:lang w:val="en-GB"/>
        </w:rPr>
        <w:t>) with k = ln(2)/DT</w:t>
      </w:r>
      <w:r w:rsidRPr="0026404C">
        <w:rPr>
          <w:sz w:val="18"/>
          <w:szCs w:val="18"/>
          <w:vertAlign w:val="subscript"/>
          <w:lang w:val="en-GB"/>
        </w:rPr>
        <w:t>50</w:t>
      </w:r>
      <w:r w:rsidRPr="0026404C">
        <w:rPr>
          <w:sz w:val="18"/>
          <w:szCs w:val="18"/>
          <w:lang w:val="en-GB"/>
        </w:rPr>
        <w:t xml:space="preserve"> (rate constant), n = number of applications and i = application interval [d]</w:t>
      </w:r>
    </w:p>
    <w:p w14:paraId="4C917FE4" w14:textId="77777777" w:rsidR="00E51CDD" w:rsidRPr="0026404C" w:rsidRDefault="00E51CDD" w:rsidP="00E51CDD">
      <w:pPr>
        <w:widowControl w:val="0"/>
        <w:tabs>
          <w:tab w:val="left" w:pos="360"/>
          <w:tab w:val="left" w:pos="720"/>
        </w:tabs>
        <w:suppressAutoHyphens/>
        <w:autoSpaceDE w:val="0"/>
        <w:autoSpaceDN w:val="0"/>
        <w:adjustRightInd w:val="0"/>
        <w:ind w:left="284" w:hanging="284"/>
        <w:rPr>
          <w:sz w:val="18"/>
          <w:szCs w:val="18"/>
          <w:vertAlign w:val="subscript"/>
          <w:lang w:val="en-GB"/>
        </w:rPr>
      </w:pPr>
      <w:r>
        <w:rPr>
          <w:sz w:val="18"/>
          <w:szCs w:val="18"/>
          <w:vertAlign w:val="superscript"/>
          <w:lang w:val="en-GB"/>
        </w:rPr>
        <w:t>2</w:t>
      </w:r>
      <w:r w:rsidRPr="0026404C">
        <w:rPr>
          <w:sz w:val="18"/>
          <w:szCs w:val="18"/>
          <w:vertAlign w:val="superscript"/>
          <w:lang w:val="en-GB"/>
        </w:rPr>
        <w:t>)</w:t>
      </w:r>
      <w:r w:rsidRPr="0026404C">
        <w:rPr>
          <w:sz w:val="18"/>
          <w:szCs w:val="18"/>
          <w:lang w:val="en-GB"/>
        </w:rPr>
        <w:tab/>
        <w:t>AR</w:t>
      </w:r>
      <w:r w:rsidRPr="0026404C">
        <w:rPr>
          <w:sz w:val="18"/>
          <w:szCs w:val="18"/>
          <w:vertAlign w:val="subscript"/>
          <w:lang w:val="en-GB"/>
        </w:rPr>
        <w:t>eff</w:t>
      </w:r>
      <w:r w:rsidRPr="0026404C">
        <w:rPr>
          <w:sz w:val="18"/>
          <w:szCs w:val="18"/>
          <w:lang w:val="en-GB"/>
        </w:rPr>
        <w:t xml:space="preserve"> = Application rate (g/ha) x MAF</w:t>
      </w:r>
      <w:r>
        <w:rPr>
          <w:sz w:val="18"/>
          <w:szCs w:val="18"/>
          <w:vertAlign w:val="subscript"/>
          <w:lang w:val="en-GB"/>
        </w:rPr>
        <w:t>m</w:t>
      </w:r>
    </w:p>
    <w:p w14:paraId="04E4201A" w14:textId="77777777" w:rsidR="00E51CDD" w:rsidRPr="0026404C" w:rsidRDefault="00E51CDD" w:rsidP="00E51CDD">
      <w:pPr>
        <w:widowControl w:val="0"/>
        <w:tabs>
          <w:tab w:val="left" w:pos="360"/>
          <w:tab w:val="left" w:pos="720"/>
        </w:tabs>
        <w:suppressAutoHyphens/>
        <w:autoSpaceDE w:val="0"/>
        <w:autoSpaceDN w:val="0"/>
        <w:adjustRightInd w:val="0"/>
        <w:ind w:left="284" w:hanging="284"/>
        <w:rPr>
          <w:sz w:val="18"/>
          <w:szCs w:val="18"/>
          <w:lang w:val="en-GB"/>
        </w:rPr>
      </w:pPr>
      <w:r>
        <w:rPr>
          <w:sz w:val="18"/>
          <w:szCs w:val="18"/>
          <w:vertAlign w:val="superscript"/>
          <w:lang w:val="en-GB"/>
        </w:rPr>
        <w:t>3</w:t>
      </w:r>
      <w:r w:rsidRPr="0026404C">
        <w:rPr>
          <w:sz w:val="18"/>
          <w:szCs w:val="18"/>
          <w:vertAlign w:val="superscript"/>
          <w:lang w:val="en-GB"/>
        </w:rPr>
        <w:t>)</w:t>
      </w:r>
      <w:r w:rsidRPr="0026404C">
        <w:rPr>
          <w:sz w:val="18"/>
          <w:szCs w:val="18"/>
          <w:lang w:val="en-GB"/>
        </w:rPr>
        <w:tab/>
        <w:t>Ratio of AR</w:t>
      </w:r>
      <w:r w:rsidRPr="0026404C">
        <w:rPr>
          <w:sz w:val="18"/>
          <w:szCs w:val="18"/>
          <w:vertAlign w:val="subscript"/>
          <w:lang w:val="en-GB"/>
        </w:rPr>
        <w:t>eff</w:t>
      </w:r>
      <w:r w:rsidRPr="0026404C">
        <w:rPr>
          <w:sz w:val="18"/>
          <w:szCs w:val="18"/>
          <w:lang w:val="en-GB"/>
        </w:rPr>
        <w:t xml:space="preserve"> and relevant toxicity endpoint</w:t>
      </w:r>
    </w:p>
    <w:p w14:paraId="3EB049DB" w14:textId="77777777" w:rsidR="00E51CDD" w:rsidRPr="0026404C" w:rsidRDefault="00E51CDD" w:rsidP="00E51CDD">
      <w:pPr>
        <w:widowControl w:val="0"/>
        <w:jc w:val="both"/>
        <w:rPr>
          <w:lang w:val="en-GB"/>
        </w:rPr>
      </w:pPr>
    </w:p>
    <w:p w14:paraId="0C0E2A2F" w14:textId="77777777" w:rsidR="00E51CDD" w:rsidRPr="0026404C" w:rsidRDefault="00E51CDD" w:rsidP="00E51CDD">
      <w:pPr>
        <w:widowControl w:val="0"/>
        <w:jc w:val="both"/>
        <w:rPr>
          <w:lang w:val="en-GB"/>
        </w:rPr>
      </w:pPr>
    </w:p>
    <w:p w14:paraId="1674F577" w14:textId="6ED84578" w:rsidR="00E51CDD" w:rsidRDefault="00E51CDD" w:rsidP="00E51CDD">
      <w:pPr>
        <w:widowControl w:val="0"/>
        <w:tabs>
          <w:tab w:val="left" w:pos="0"/>
        </w:tabs>
        <w:jc w:val="both"/>
        <w:rPr>
          <w:lang w:val="en-GB"/>
        </w:rPr>
      </w:pPr>
      <w:r w:rsidRPr="0026404C">
        <w:rPr>
          <w:noProof/>
          <w:lang w:val="en-GB"/>
        </w:rPr>
        <w:t>In conclusion, the risk to birds via drinking water from the intended use of BAS 7</w:t>
      </w:r>
      <w:r>
        <w:rPr>
          <w:noProof/>
          <w:lang w:val="en-GB"/>
        </w:rPr>
        <w:t>36</w:t>
      </w:r>
      <w:r w:rsidRPr="0026404C">
        <w:rPr>
          <w:noProof/>
          <w:lang w:val="en-GB"/>
        </w:rPr>
        <w:t xml:space="preserve"> 00 F </w:t>
      </w:r>
      <w:r w:rsidRPr="0026404C">
        <w:rPr>
          <w:lang w:val="en-GB"/>
        </w:rPr>
        <w:t>according to the proposed use pattern is acceptable.</w:t>
      </w:r>
    </w:p>
    <w:p w14:paraId="79EE0AC5" w14:textId="77777777" w:rsidR="00286DBE" w:rsidRDefault="00286DBE" w:rsidP="00E51CDD">
      <w:pPr>
        <w:widowControl w:val="0"/>
        <w:tabs>
          <w:tab w:val="left" w:pos="0"/>
        </w:tabs>
        <w:jc w:val="both"/>
        <w:rPr>
          <w:lang w:val="en-GB"/>
        </w:rPr>
      </w:pPr>
    </w:p>
    <w:p w14:paraId="56FD0858" w14:textId="77777777" w:rsidR="00E51CDD" w:rsidRDefault="00E51CDD" w:rsidP="00E51CDD">
      <w:pPr>
        <w:pStyle w:val="Nagwek4"/>
        <w:rPr>
          <w:lang w:val="en-GB"/>
        </w:rPr>
      </w:pPr>
      <w:bookmarkStart w:id="259" w:name="_Toc125446407"/>
      <w:r w:rsidRPr="002B1114">
        <w:rPr>
          <w:lang w:val="en-GB"/>
        </w:rPr>
        <w:lastRenderedPageBreak/>
        <w:t>Effects of secondary poisoning</w:t>
      </w:r>
      <w:bookmarkEnd w:id="246"/>
      <w:bookmarkEnd w:id="247"/>
      <w:bookmarkEnd w:id="248"/>
      <w:bookmarkEnd w:id="249"/>
      <w:bookmarkEnd w:id="250"/>
      <w:bookmarkEnd w:id="251"/>
      <w:bookmarkEnd w:id="252"/>
      <w:bookmarkEnd w:id="253"/>
      <w:bookmarkEnd w:id="254"/>
      <w:bookmarkEnd w:id="255"/>
      <w:bookmarkEnd w:id="256"/>
      <w:bookmarkEnd w:id="257"/>
      <w:bookmarkEnd w:id="259"/>
    </w:p>
    <w:p w14:paraId="4435FA33" w14:textId="77777777" w:rsidR="00E51CDD" w:rsidRPr="0026404C" w:rsidRDefault="00E51CDD" w:rsidP="00E51CDD">
      <w:pPr>
        <w:jc w:val="both"/>
      </w:pPr>
      <w:bookmarkStart w:id="260" w:name="_Hlk39845594"/>
      <w:r w:rsidRPr="0026404C">
        <w:rPr>
          <w:szCs w:val="24"/>
        </w:rPr>
        <w:t>The log P</w:t>
      </w:r>
      <w:r w:rsidRPr="0026404C">
        <w:rPr>
          <w:szCs w:val="24"/>
          <w:vertAlign w:val="subscript"/>
        </w:rPr>
        <w:t>ow</w:t>
      </w:r>
      <w:r w:rsidRPr="0026404C">
        <w:rPr>
          <w:szCs w:val="24"/>
        </w:rPr>
        <w:t xml:space="preserve"> of the active substance</w:t>
      </w:r>
      <w:r w:rsidRPr="0026404C">
        <w:rPr>
          <w:szCs w:val="24"/>
          <w:lang w:eastAsia="en-US"/>
        </w:rPr>
        <w:t xml:space="preserve"> </w:t>
      </w:r>
      <w:r w:rsidRPr="0026404C">
        <w:rPr>
          <w:szCs w:val="24"/>
        </w:rPr>
        <w:t>fluxapyroxad is 3.1 (</w:t>
      </w:r>
      <w:r w:rsidRPr="007130C3">
        <w:t>BASF DocID 2007/1057001</w:t>
      </w:r>
      <w:r w:rsidRPr="007130C3">
        <w:rPr>
          <w:szCs w:val="24"/>
        </w:rPr>
        <w:t>)</w:t>
      </w:r>
      <w:r w:rsidRPr="0026404C">
        <w:rPr>
          <w:szCs w:val="24"/>
        </w:rPr>
        <w:t xml:space="preserve">, </w:t>
      </w:r>
      <w:r w:rsidRPr="0026404C">
        <w:t>which triggers an assessment of the potential risk from secondary poisoning.</w:t>
      </w:r>
    </w:p>
    <w:p w14:paraId="65CC5562" w14:textId="77777777" w:rsidR="00E51CDD" w:rsidRPr="0062711C" w:rsidRDefault="00E51CDD" w:rsidP="00E51CDD">
      <w:pPr>
        <w:widowControl w:val="0"/>
        <w:jc w:val="both"/>
      </w:pPr>
    </w:p>
    <w:p w14:paraId="6AF48F27" w14:textId="77777777" w:rsidR="00E51CDD" w:rsidRPr="0062711C" w:rsidRDefault="00E51CDD" w:rsidP="00E51CDD">
      <w:pPr>
        <w:widowControl w:val="0"/>
        <w:jc w:val="both"/>
        <w:rPr>
          <w:lang w:val="en-GB"/>
        </w:rPr>
      </w:pPr>
      <w:r w:rsidRPr="0026404C">
        <w:rPr>
          <w:lang w:val="en-GB"/>
        </w:rPr>
        <w:t>The log P</w:t>
      </w:r>
      <w:r w:rsidRPr="0026404C">
        <w:rPr>
          <w:vertAlign w:val="subscript"/>
          <w:lang w:val="en-GB"/>
        </w:rPr>
        <w:t>ow</w:t>
      </w:r>
      <w:r w:rsidRPr="0026404C">
        <w:rPr>
          <w:lang w:val="en-GB"/>
        </w:rPr>
        <w:t xml:space="preserve"> of the active substance </w:t>
      </w:r>
      <w:r>
        <w:rPr>
          <w:lang w:val="en-GB"/>
        </w:rPr>
        <w:t>azoxystrobin</w:t>
      </w:r>
      <w:r w:rsidRPr="0026404C">
        <w:rPr>
          <w:lang w:val="en-GB"/>
        </w:rPr>
        <w:t xml:space="preserve"> is </w:t>
      </w:r>
      <w:r>
        <w:rPr>
          <w:lang w:val="en-GB"/>
        </w:rPr>
        <w:t>2.5</w:t>
      </w:r>
      <w:r w:rsidRPr="0026404C">
        <w:rPr>
          <w:lang w:val="en-GB"/>
        </w:rPr>
        <w:t xml:space="preserve"> (</w:t>
      </w:r>
      <w:r w:rsidRPr="000C24D6">
        <w:rPr>
          <w:lang w:val="en-GB"/>
        </w:rPr>
        <w:t>EFSA Journal 2010; 8(4): 1542</w:t>
      </w:r>
      <w:r w:rsidRPr="0026404C">
        <w:rPr>
          <w:lang w:val="en-GB"/>
        </w:rPr>
        <w:t xml:space="preserve">) and thus does </w:t>
      </w:r>
      <w:r>
        <w:rPr>
          <w:lang w:val="en-GB"/>
        </w:rPr>
        <w:t xml:space="preserve">not </w:t>
      </w:r>
      <w:r w:rsidRPr="0026404C">
        <w:rPr>
          <w:lang w:val="en-GB"/>
        </w:rPr>
        <w:t xml:space="preserve">exceed the trigger value of 3. A risk assessment for effects due to secondary poisoning is </w:t>
      </w:r>
      <w:r>
        <w:rPr>
          <w:lang w:val="en-GB"/>
        </w:rPr>
        <w:t xml:space="preserve">not </w:t>
      </w:r>
      <w:r w:rsidRPr="0026404C">
        <w:rPr>
          <w:lang w:val="en-GB"/>
        </w:rPr>
        <w:t>required.</w:t>
      </w:r>
      <w:bookmarkEnd w:id="260"/>
    </w:p>
    <w:p w14:paraId="4324C35A" w14:textId="77777777" w:rsidR="00E51CDD" w:rsidRPr="002B1114" w:rsidRDefault="00E51CDD" w:rsidP="00E51CDD">
      <w:pPr>
        <w:pStyle w:val="RepNewPart"/>
      </w:pPr>
      <w:r w:rsidRPr="002B1114">
        <w:t>Risk assessment for earthworm-eating birds via secondary poisoning</w:t>
      </w:r>
    </w:p>
    <w:p w14:paraId="74673B05" w14:textId="77777777" w:rsidR="00E51CDD" w:rsidRPr="0026404C" w:rsidRDefault="00E51CDD" w:rsidP="00E51CDD">
      <w:pPr>
        <w:widowControl w:val="0"/>
        <w:jc w:val="both"/>
        <w:rPr>
          <w:lang w:val="en-GB"/>
        </w:rPr>
      </w:pPr>
      <w:r w:rsidRPr="0026404C">
        <w:rPr>
          <w:lang w:val="en-GB"/>
        </w:rPr>
        <w:t>According to EFSA/2009/1438, the risk for vermivorous birds is assessed for a bird of 100 g body weight with a daily food consumption of 104.6 g. Bioaccumulation in earthworms is estimated based on predicted concentrations in soil.</w:t>
      </w:r>
    </w:p>
    <w:p w14:paraId="37501B2A" w14:textId="77777777" w:rsidR="00E51CDD" w:rsidRPr="0026404C" w:rsidRDefault="00E51CDD" w:rsidP="00E51CDD">
      <w:pPr>
        <w:widowControl w:val="0"/>
        <w:jc w:val="both"/>
        <w:rPr>
          <w:lang w:val="en-GB"/>
        </w:rPr>
      </w:pPr>
    </w:p>
    <w:p w14:paraId="172EE6EA" w14:textId="7F55C87D" w:rsidR="00E51CDD" w:rsidRDefault="00E51CDD" w:rsidP="00E51CDD">
      <w:pPr>
        <w:widowControl w:val="0"/>
        <w:suppressAutoHyphens/>
        <w:jc w:val="both"/>
      </w:pPr>
      <w:r w:rsidRPr="0026404C">
        <w:t xml:space="preserve">As shown in the following </w:t>
      </w:r>
      <w:r w:rsidRPr="00FE5A47">
        <w:fldChar w:fldCharType="begin"/>
      </w:r>
      <w:r w:rsidRPr="00FE5A47">
        <w:instrText xml:space="preserve"> REF _Ref447714678 \h  \* MERGEFORMAT </w:instrText>
      </w:r>
      <w:r w:rsidRPr="00FE5A47">
        <w:fldChar w:fldCharType="separate"/>
      </w:r>
      <w:r w:rsidR="00662F32" w:rsidRPr="00662F32">
        <w:t xml:space="preserve">Table </w:t>
      </w:r>
      <w:r w:rsidR="00662F32" w:rsidRPr="00662F32">
        <w:rPr>
          <w:noProof/>
        </w:rPr>
        <w:t>9.2</w:t>
      </w:r>
      <w:r w:rsidR="00662F32" w:rsidRPr="00662F32">
        <w:rPr>
          <w:noProof/>
        </w:rPr>
        <w:noBreakHyphen/>
        <w:t>14</w:t>
      </w:r>
      <w:r w:rsidRPr="00FE5A47">
        <w:fldChar w:fldCharType="end"/>
      </w:r>
      <w:r>
        <w:t xml:space="preserve"> </w:t>
      </w:r>
      <w:r w:rsidRPr="0026404C">
        <w:t>the TER</w:t>
      </w:r>
      <w:r w:rsidRPr="0026404C">
        <w:rPr>
          <w:vertAlign w:val="subscript"/>
        </w:rPr>
        <w:t>LT</w:t>
      </w:r>
      <w:r w:rsidRPr="0026404C">
        <w:t xml:space="preserve"> for fluxapyroxad exceeds the relevant trigger of 5 for acceptability of effects, indicating an acceptable risk to earthworm-eating birds via secondary poisoning. </w:t>
      </w:r>
    </w:p>
    <w:p w14:paraId="7D5D4B83" w14:textId="77777777" w:rsidR="00E51CDD" w:rsidRPr="0026404C" w:rsidRDefault="00E51CDD" w:rsidP="00E51CDD">
      <w:pPr>
        <w:widowControl w:val="0"/>
        <w:suppressAutoHyphens/>
        <w:jc w:val="both"/>
      </w:pPr>
    </w:p>
    <w:p w14:paraId="7F26DCBE" w14:textId="5D3066AD" w:rsidR="00E51CDD" w:rsidRPr="0026404C" w:rsidRDefault="00E51CDD" w:rsidP="00E51CDD">
      <w:pPr>
        <w:widowControl w:val="0"/>
        <w:suppressAutoHyphens/>
        <w:ind w:left="1980" w:hanging="1980"/>
        <w:jc w:val="both"/>
        <w:rPr>
          <w:b/>
          <w:bCs/>
        </w:rPr>
      </w:pPr>
      <w:bookmarkStart w:id="261" w:name="_Ref447714678"/>
      <w:r w:rsidRPr="0026404C">
        <w:rPr>
          <w:b/>
          <w:bCs/>
        </w:rPr>
        <w:t xml:space="preserve">Table </w:t>
      </w:r>
      <w:r w:rsidRPr="0026404C">
        <w:rPr>
          <w:b/>
          <w:bCs/>
        </w:rPr>
        <w:fldChar w:fldCharType="begin"/>
      </w:r>
      <w:r w:rsidRPr="0026404C">
        <w:rPr>
          <w:b/>
          <w:bCs/>
        </w:rPr>
        <w:instrText xml:space="preserve"> STYLEREF 2 \s </w:instrText>
      </w:r>
      <w:r w:rsidRPr="0026404C">
        <w:rPr>
          <w:b/>
          <w:bCs/>
        </w:rPr>
        <w:fldChar w:fldCharType="separate"/>
      </w:r>
      <w:r w:rsidR="00662F32">
        <w:rPr>
          <w:b/>
          <w:bCs/>
          <w:noProof/>
        </w:rPr>
        <w:t>9.2</w:t>
      </w:r>
      <w:r w:rsidRPr="0026404C">
        <w:rPr>
          <w:b/>
          <w:bCs/>
        </w:rPr>
        <w:fldChar w:fldCharType="end"/>
      </w:r>
      <w:r w:rsidRPr="0026404C">
        <w:rPr>
          <w:b/>
          <w:bCs/>
        </w:rPr>
        <w:noBreakHyphen/>
      </w:r>
      <w:r w:rsidRPr="0026404C">
        <w:rPr>
          <w:b/>
          <w:bCs/>
        </w:rPr>
        <w:fldChar w:fldCharType="begin"/>
      </w:r>
      <w:r w:rsidRPr="0026404C">
        <w:rPr>
          <w:b/>
          <w:bCs/>
        </w:rPr>
        <w:instrText xml:space="preserve"> SEQ Table \* ARABIC \s 2 </w:instrText>
      </w:r>
      <w:r w:rsidRPr="0026404C">
        <w:rPr>
          <w:b/>
          <w:bCs/>
        </w:rPr>
        <w:fldChar w:fldCharType="separate"/>
      </w:r>
      <w:r w:rsidR="00662F32">
        <w:rPr>
          <w:b/>
          <w:bCs/>
          <w:noProof/>
        </w:rPr>
        <w:t>14</w:t>
      </w:r>
      <w:r w:rsidRPr="0026404C">
        <w:rPr>
          <w:b/>
          <w:bCs/>
        </w:rPr>
        <w:fldChar w:fldCharType="end"/>
      </w:r>
      <w:bookmarkEnd w:id="261"/>
      <w:r w:rsidRPr="0026404C">
        <w:rPr>
          <w:b/>
          <w:bCs/>
        </w:rPr>
        <w:t>:</w:t>
      </w:r>
      <w:r w:rsidRPr="0026404C">
        <w:rPr>
          <w:b/>
          <w:bCs/>
        </w:rPr>
        <w:tab/>
        <w:t xml:space="preserve">Assessment of the risk for earthworm-eating birds due to exposure to fluxapyroxad via bioaccumulation in earthworms (secondary poisoning) for the intended use </w:t>
      </w:r>
    </w:p>
    <w:tbl>
      <w:tblPr>
        <w:tblW w:w="49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6"/>
        <w:gridCol w:w="2694"/>
        <w:gridCol w:w="3822"/>
      </w:tblGrid>
      <w:tr w:rsidR="00E51CDD" w:rsidRPr="00161A45" w14:paraId="2608CD99" w14:textId="77777777" w:rsidTr="009938D9">
        <w:trPr>
          <w:cantSplit/>
          <w:trHeight w:val="440"/>
          <w:tblHeader/>
          <w:jc w:val="center"/>
        </w:trPr>
        <w:tc>
          <w:tcPr>
            <w:tcW w:w="1474" w:type="pct"/>
            <w:vAlign w:val="center"/>
          </w:tcPr>
          <w:p w14:paraId="10EF647B" w14:textId="77777777" w:rsidR="00E51CDD" w:rsidRPr="00161A45" w:rsidRDefault="00E51CDD" w:rsidP="009938D9">
            <w:pPr>
              <w:widowControl w:val="0"/>
              <w:numPr>
                <w:ilvl w:val="12"/>
                <w:numId w:val="0"/>
              </w:numPr>
              <w:suppressAutoHyphens/>
              <w:jc w:val="center"/>
              <w:rPr>
                <w:b/>
                <w:color w:val="000000" w:themeColor="text1"/>
                <w:sz w:val="20"/>
                <w:szCs w:val="20"/>
              </w:rPr>
            </w:pPr>
            <w:r w:rsidRPr="00161A45">
              <w:rPr>
                <w:b/>
                <w:color w:val="000000" w:themeColor="text1"/>
                <w:sz w:val="20"/>
                <w:szCs w:val="20"/>
              </w:rPr>
              <w:t>Parameter</w:t>
            </w:r>
          </w:p>
        </w:tc>
        <w:tc>
          <w:tcPr>
            <w:tcW w:w="1457" w:type="pct"/>
            <w:vAlign w:val="center"/>
          </w:tcPr>
          <w:p w14:paraId="4AEE751C" w14:textId="77777777" w:rsidR="00E51CDD" w:rsidRPr="00161A45" w:rsidRDefault="00E51CDD" w:rsidP="009938D9">
            <w:pPr>
              <w:widowControl w:val="0"/>
              <w:tabs>
                <w:tab w:val="left" w:pos="-720"/>
              </w:tabs>
              <w:suppressAutoHyphens/>
              <w:jc w:val="center"/>
              <w:rPr>
                <w:b/>
                <w:color w:val="000000" w:themeColor="text1"/>
                <w:sz w:val="20"/>
                <w:szCs w:val="20"/>
              </w:rPr>
            </w:pPr>
            <w:r w:rsidRPr="00161A45">
              <w:rPr>
                <w:b/>
                <w:color w:val="000000" w:themeColor="text1"/>
                <w:sz w:val="20"/>
                <w:szCs w:val="20"/>
              </w:rPr>
              <w:t>Fluxapyroxad</w:t>
            </w:r>
          </w:p>
        </w:tc>
        <w:tc>
          <w:tcPr>
            <w:tcW w:w="2068" w:type="pct"/>
            <w:vAlign w:val="center"/>
          </w:tcPr>
          <w:p w14:paraId="390F9661" w14:textId="77777777" w:rsidR="00E51CDD" w:rsidRPr="00161A45" w:rsidRDefault="00E51CDD" w:rsidP="009938D9">
            <w:pPr>
              <w:widowControl w:val="0"/>
              <w:numPr>
                <w:ilvl w:val="12"/>
                <w:numId w:val="0"/>
              </w:numPr>
              <w:suppressAutoHyphens/>
              <w:ind w:left="-107"/>
              <w:jc w:val="center"/>
              <w:rPr>
                <w:b/>
                <w:bCs/>
                <w:color w:val="000000" w:themeColor="text1"/>
                <w:sz w:val="20"/>
                <w:szCs w:val="20"/>
              </w:rPr>
            </w:pPr>
            <w:r w:rsidRPr="00161A45">
              <w:rPr>
                <w:b/>
                <w:bCs/>
                <w:color w:val="000000" w:themeColor="text1"/>
                <w:sz w:val="20"/>
                <w:szCs w:val="20"/>
              </w:rPr>
              <w:t>Reference</w:t>
            </w:r>
          </w:p>
        </w:tc>
      </w:tr>
      <w:tr w:rsidR="00E51CDD" w:rsidRPr="00161A45" w14:paraId="11486017" w14:textId="77777777" w:rsidTr="009938D9">
        <w:trPr>
          <w:cantSplit/>
          <w:trHeight w:val="460"/>
          <w:jc w:val="center"/>
        </w:trPr>
        <w:tc>
          <w:tcPr>
            <w:tcW w:w="1474" w:type="pct"/>
            <w:vAlign w:val="center"/>
          </w:tcPr>
          <w:p w14:paraId="3AC42F90" w14:textId="77777777" w:rsidR="00E51CDD" w:rsidRPr="00161A45" w:rsidRDefault="00E51CDD" w:rsidP="009938D9">
            <w:pPr>
              <w:widowControl w:val="0"/>
              <w:numPr>
                <w:ilvl w:val="12"/>
                <w:numId w:val="0"/>
              </w:numPr>
              <w:suppressAutoHyphens/>
              <w:ind w:right="-125"/>
              <w:rPr>
                <w:color w:val="000000" w:themeColor="text1"/>
                <w:sz w:val="20"/>
                <w:szCs w:val="20"/>
              </w:rPr>
            </w:pPr>
            <w:r w:rsidRPr="00161A45">
              <w:rPr>
                <w:color w:val="000000" w:themeColor="text1"/>
                <w:sz w:val="20"/>
                <w:szCs w:val="20"/>
              </w:rPr>
              <w:t>PEC</w:t>
            </w:r>
            <w:r w:rsidRPr="00161A45">
              <w:rPr>
                <w:color w:val="000000" w:themeColor="text1"/>
                <w:sz w:val="20"/>
                <w:szCs w:val="20"/>
                <w:vertAlign w:val="subscript"/>
              </w:rPr>
              <w:t xml:space="preserve">soil </w:t>
            </w:r>
            <w:r w:rsidRPr="00161A45">
              <w:rPr>
                <w:color w:val="000000" w:themeColor="text1"/>
                <w:sz w:val="20"/>
                <w:szCs w:val="20"/>
              </w:rPr>
              <w:t xml:space="preserve">(accu) [mg/kg soil] </w:t>
            </w:r>
            <w:r w:rsidRPr="00161A45">
              <w:rPr>
                <w:color w:val="000000" w:themeColor="text1"/>
                <w:sz w:val="20"/>
                <w:szCs w:val="20"/>
                <w:vertAlign w:val="superscript"/>
              </w:rPr>
              <w:t>1)</w:t>
            </w:r>
          </w:p>
        </w:tc>
        <w:tc>
          <w:tcPr>
            <w:tcW w:w="1457" w:type="pct"/>
            <w:shd w:val="clear" w:color="auto" w:fill="FFFFFF"/>
            <w:vAlign w:val="center"/>
          </w:tcPr>
          <w:p w14:paraId="13617E02" w14:textId="77777777" w:rsidR="00E51CDD" w:rsidRPr="00161A45" w:rsidRDefault="00E51CDD" w:rsidP="009938D9">
            <w:pPr>
              <w:widowControl w:val="0"/>
              <w:numPr>
                <w:ilvl w:val="12"/>
                <w:numId w:val="0"/>
              </w:numPr>
              <w:suppressAutoHyphens/>
              <w:jc w:val="center"/>
              <w:rPr>
                <w:color w:val="000000" w:themeColor="text1"/>
                <w:sz w:val="20"/>
                <w:szCs w:val="20"/>
              </w:rPr>
            </w:pPr>
            <w:r w:rsidRPr="00161A45">
              <w:rPr>
                <w:color w:val="000000" w:themeColor="text1"/>
                <w:sz w:val="20"/>
                <w:szCs w:val="20"/>
              </w:rPr>
              <w:t>0.0</w:t>
            </w:r>
            <w:r>
              <w:rPr>
                <w:color w:val="000000" w:themeColor="text1"/>
                <w:sz w:val="20"/>
                <w:szCs w:val="20"/>
              </w:rPr>
              <w:t>78</w:t>
            </w:r>
          </w:p>
        </w:tc>
        <w:tc>
          <w:tcPr>
            <w:tcW w:w="2068" w:type="pct"/>
            <w:vAlign w:val="center"/>
          </w:tcPr>
          <w:p w14:paraId="1E2BCC46" w14:textId="77777777" w:rsidR="00E51CDD" w:rsidRPr="00161A45" w:rsidRDefault="00E51CDD" w:rsidP="009938D9">
            <w:pPr>
              <w:widowControl w:val="0"/>
              <w:suppressAutoHyphens/>
              <w:overflowPunct w:val="0"/>
              <w:autoSpaceDE w:val="0"/>
              <w:autoSpaceDN w:val="0"/>
              <w:adjustRightInd w:val="0"/>
              <w:jc w:val="center"/>
              <w:textAlignment w:val="baseline"/>
              <w:rPr>
                <w:color w:val="000000" w:themeColor="text1"/>
                <w:sz w:val="20"/>
                <w:szCs w:val="20"/>
              </w:rPr>
            </w:pPr>
            <w:r w:rsidRPr="00161A45">
              <w:rPr>
                <w:color w:val="000000" w:themeColor="text1"/>
                <w:sz w:val="20"/>
                <w:lang w:val="en-GB"/>
              </w:rPr>
              <w:t>Chapter 8.7</w:t>
            </w:r>
          </w:p>
        </w:tc>
      </w:tr>
      <w:tr w:rsidR="00E51CDD" w:rsidRPr="00161A45" w14:paraId="4523CE91" w14:textId="77777777" w:rsidTr="009938D9">
        <w:trPr>
          <w:cantSplit/>
          <w:trHeight w:val="460"/>
          <w:jc w:val="center"/>
        </w:trPr>
        <w:tc>
          <w:tcPr>
            <w:tcW w:w="1474" w:type="pct"/>
            <w:vAlign w:val="center"/>
          </w:tcPr>
          <w:p w14:paraId="209B10D9" w14:textId="77777777" w:rsidR="00E51CDD" w:rsidRPr="00161A45" w:rsidRDefault="00E51CDD" w:rsidP="009938D9">
            <w:pPr>
              <w:widowControl w:val="0"/>
              <w:numPr>
                <w:ilvl w:val="12"/>
                <w:numId w:val="0"/>
              </w:numPr>
              <w:suppressAutoHyphens/>
              <w:rPr>
                <w:color w:val="000000" w:themeColor="text1"/>
                <w:sz w:val="20"/>
                <w:szCs w:val="20"/>
              </w:rPr>
            </w:pPr>
            <w:r w:rsidRPr="00161A45">
              <w:rPr>
                <w:color w:val="000000" w:themeColor="text1"/>
                <w:sz w:val="20"/>
                <w:szCs w:val="20"/>
              </w:rPr>
              <w:t>K</w:t>
            </w:r>
            <w:r w:rsidRPr="00161A45">
              <w:rPr>
                <w:color w:val="000000" w:themeColor="text1"/>
                <w:sz w:val="20"/>
                <w:szCs w:val="20"/>
                <w:vertAlign w:val="subscript"/>
              </w:rPr>
              <w:t>ow</w:t>
            </w:r>
          </w:p>
        </w:tc>
        <w:tc>
          <w:tcPr>
            <w:tcW w:w="1457" w:type="pct"/>
            <w:vAlign w:val="center"/>
          </w:tcPr>
          <w:p w14:paraId="77E21B09" w14:textId="77777777" w:rsidR="00E51CDD" w:rsidRPr="00161A45" w:rsidRDefault="00E51CDD" w:rsidP="009938D9">
            <w:pPr>
              <w:widowControl w:val="0"/>
              <w:numPr>
                <w:ilvl w:val="12"/>
                <w:numId w:val="0"/>
              </w:numPr>
              <w:suppressAutoHyphens/>
              <w:jc w:val="center"/>
              <w:rPr>
                <w:color w:val="000000" w:themeColor="text1"/>
                <w:sz w:val="20"/>
                <w:szCs w:val="20"/>
              </w:rPr>
            </w:pPr>
            <w:r w:rsidRPr="00161A45">
              <w:rPr>
                <w:color w:val="000000" w:themeColor="text1"/>
                <w:sz w:val="20"/>
                <w:szCs w:val="20"/>
                <w:lang w:val="en-GB"/>
              </w:rPr>
              <w:t>1259</w:t>
            </w:r>
          </w:p>
        </w:tc>
        <w:tc>
          <w:tcPr>
            <w:tcW w:w="2068" w:type="pct"/>
            <w:vAlign w:val="center"/>
          </w:tcPr>
          <w:p w14:paraId="3834300A" w14:textId="77777777" w:rsidR="00E51CDD" w:rsidRPr="00161A45" w:rsidRDefault="00E51CDD" w:rsidP="009938D9">
            <w:pPr>
              <w:widowControl w:val="0"/>
              <w:suppressAutoHyphens/>
              <w:overflowPunct w:val="0"/>
              <w:autoSpaceDE w:val="0"/>
              <w:autoSpaceDN w:val="0"/>
              <w:adjustRightInd w:val="0"/>
              <w:jc w:val="center"/>
              <w:textAlignment w:val="baseline"/>
              <w:rPr>
                <w:color w:val="000000" w:themeColor="text1"/>
                <w:sz w:val="20"/>
                <w:szCs w:val="20"/>
              </w:rPr>
            </w:pPr>
            <w:r w:rsidRPr="00161A45">
              <w:rPr>
                <w:color w:val="000000" w:themeColor="text1"/>
                <w:sz w:val="20"/>
                <w:szCs w:val="20"/>
                <w:lang w:val="en-GB"/>
              </w:rPr>
              <w:t>BASF DocID 2007/1057001</w:t>
            </w:r>
          </w:p>
        </w:tc>
      </w:tr>
      <w:tr w:rsidR="00E51CDD" w:rsidRPr="00161A45" w14:paraId="7EF4AE92" w14:textId="77777777" w:rsidTr="009938D9">
        <w:trPr>
          <w:cantSplit/>
          <w:trHeight w:val="460"/>
          <w:jc w:val="center"/>
        </w:trPr>
        <w:tc>
          <w:tcPr>
            <w:tcW w:w="1474" w:type="pct"/>
            <w:vAlign w:val="center"/>
          </w:tcPr>
          <w:p w14:paraId="09B86FD7" w14:textId="77777777" w:rsidR="00E51CDD" w:rsidRPr="00161A45" w:rsidRDefault="00E51CDD" w:rsidP="009938D9">
            <w:pPr>
              <w:widowControl w:val="0"/>
              <w:numPr>
                <w:ilvl w:val="12"/>
                <w:numId w:val="0"/>
              </w:numPr>
              <w:tabs>
                <w:tab w:val="left" w:pos="720"/>
              </w:tabs>
              <w:suppressAutoHyphens/>
              <w:rPr>
                <w:color w:val="000000" w:themeColor="text1"/>
                <w:sz w:val="20"/>
                <w:szCs w:val="20"/>
                <w:lang w:val="en-GB"/>
              </w:rPr>
            </w:pPr>
            <w:r w:rsidRPr="00161A45">
              <w:rPr>
                <w:color w:val="000000" w:themeColor="text1"/>
                <w:sz w:val="20"/>
                <w:szCs w:val="20"/>
                <w:lang w:val="en-GB"/>
              </w:rPr>
              <w:t>K</w:t>
            </w:r>
            <w:r w:rsidRPr="00161A45">
              <w:rPr>
                <w:color w:val="000000" w:themeColor="text1"/>
                <w:sz w:val="20"/>
                <w:szCs w:val="20"/>
                <w:vertAlign w:val="subscript"/>
                <w:lang w:val="en-GB"/>
              </w:rPr>
              <w:t>oc</w:t>
            </w:r>
            <w:r w:rsidRPr="00161A45">
              <w:rPr>
                <w:color w:val="000000" w:themeColor="text1"/>
                <w:sz w:val="20"/>
                <w:szCs w:val="20"/>
                <w:lang w:val="en-GB"/>
              </w:rPr>
              <w:t xml:space="preserve"> (</w:t>
            </w:r>
            <w:r>
              <w:rPr>
                <w:color w:val="000000" w:themeColor="text1"/>
                <w:sz w:val="20"/>
                <w:szCs w:val="20"/>
                <w:lang w:val="en-GB"/>
              </w:rPr>
              <w:t>geometric</w:t>
            </w:r>
            <w:r w:rsidRPr="00161A45">
              <w:rPr>
                <w:color w:val="000000" w:themeColor="text1"/>
                <w:sz w:val="20"/>
                <w:szCs w:val="20"/>
                <w:lang w:val="en-GB"/>
              </w:rPr>
              <w:t xml:space="preserve"> mean) [L/kg]</w:t>
            </w:r>
          </w:p>
        </w:tc>
        <w:tc>
          <w:tcPr>
            <w:tcW w:w="1457" w:type="pct"/>
            <w:vAlign w:val="center"/>
          </w:tcPr>
          <w:p w14:paraId="03A73272" w14:textId="77777777" w:rsidR="00E51CDD" w:rsidRPr="00161A45" w:rsidRDefault="00E51CDD" w:rsidP="009938D9">
            <w:pPr>
              <w:widowControl w:val="0"/>
              <w:numPr>
                <w:ilvl w:val="12"/>
                <w:numId w:val="0"/>
              </w:numPr>
              <w:suppressAutoHyphens/>
              <w:jc w:val="center"/>
              <w:rPr>
                <w:rFonts w:eastAsia="SimSun"/>
                <w:color w:val="000000" w:themeColor="text1"/>
                <w:sz w:val="20"/>
                <w:szCs w:val="20"/>
                <w:lang w:val="en-GB" w:eastAsia="zh-CN"/>
              </w:rPr>
            </w:pPr>
            <w:r>
              <w:rPr>
                <w:color w:val="000000" w:themeColor="text1"/>
                <w:sz w:val="20"/>
                <w:szCs w:val="20"/>
                <w:lang w:val="en-GB"/>
              </w:rPr>
              <w:t>681</w:t>
            </w:r>
          </w:p>
        </w:tc>
        <w:tc>
          <w:tcPr>
            <w:tcW w:w="2068" w:type="pct"/>
            <w:vAlign w:val="center"/>
          </w:tcPr>
          <w:p w14:paraId="404700C0" w14:textId="77777777" w:rsidR="00E51CDD" w:rsidRPr="00161A45" w:rsidRDefault="00E51CDD" w:rsidP="009938D9">
            <w:pPr>
              <w:widowControl w:val="0"/>
              <w:numPr>
                <w:ilvl w:val="12"/>
                <w:numId w:val="0"/>
              </w:numPr>
              <w:tabs>
                <w:tab w:val="left" w:pos="720"/>
              </w:tabs>
              <w:suppressAutoHyphens/>
              <w:jc w:val="center"/>
              <w:rPr>
                <w:color w:val="000000" w:themeColor="text1"/>
                <w:sz w:val="20"/>
                <w:szCs w:val="20"/>
              </w:rPr>
            </w:pPr>
            <w:r w:rsidRPr="00161A45">
              <w:rPr>
                <w:color w:val="000000" w:themeColor="text1"/>
                <w:sz w:val="20"/>
                <w:szCs w:val="20"/>
                <w:lang w:val="en-GB"/>
              </w:rPr>
              <w:t>Chapter 8.5.1</w:t>
            </w:r>
          </w:p>
        </w:tc>
      </w:tr>
      <w:tr w:rsidR="00E51CDD" w:rsidRPr="00161A45" w14:paraId="22D56F8F" w14:textId="77777777" w:rsidTr="009938D9">
        <w:trPr>
          <w:cantSplit/>
          <w:trHeight w:val="460"/>
          <w:jc w:val="center"/>
        </w:trPr>
        <w:tc>
          <w:tcPr>
            <w:tcW w:w="1474" w:type="pct"/>
            <w:vAlign w:val="center"/>
          </w:tcPr>
          <w:p w14:paraId="0BDA1BAA" w14:textId="77777777" w:rsidR="00E51CDD" w:rsidRPr="00161A45" w:rsidRDefault="00E51CDD" w:rsidP="009938D9">
            <w:pPr>
              <w:widowControl w:val="0"/>
              <w:numPr>
                <w:ilvl w:val="12"/>
                <w:numId w:val="0"/>
              </w:numPr>
              <w:suppressAutoHyphens/>
              <w:rPr>
                <w:color w:val="000000" w:themeColor="text1"/>
                <w:sz w:val="20"/>
                <w:szCs w:val="20"/>
              </w:rPr>
            </w:pPr>
            <w:r w:rsidRPr="00161A45">
              <w:rPr>
                <w:color w:val="000000" w:themeColor="text1"/>
                <w:sz w:val="20"/>
                <w:szCs w:val="20"/>
              </w:rPr>
              <w:t>f</w:t>
            </w:r>
            <w:r w:rsidRPr="00161A45">
              <w:rPr>
                <w:color w:val="000000" w:themeColor="text1"/>
                <w:sz w:val="20"/>
                <w:szCs w:val="20"/>
                <w:vertAlign w:val="subscript"/>
              </w:rPr>
              <w:t>oc</w:t>
            </w:r>
            <w:r w:rsidRPr="00161A45">
              <w:rPr>
                <w:color w:val="000000" w:themeColor="text1"/>
                <w:sz w:val="20"/>
                <w:szCs w:val="20"/>
              </w:rPr>
              <w:t xml:space="preserve"> (default)</w:t>
            </w:r>
          </w:p>
        </w:tc>
        <w:tc>
          <w:tcPr>
            <w:tcW w:w="1457" w:type="pct"/>
            <w:vAlign w:val="center"/>
          </w:tcPr>
          <w:p w14:paraId="49640FB7" w14:textId="77777777" w:rsidR="00E51CDD" w:rsidRPr="00161A45" w:rsidRDefault="00E51CDD" w:rsidP="009938D9">
            <w:pPr>
              <w:widowControl w:val="0"/>
              <w:numPr>
                <w:ilvl w:val="12"/>
                <w:numId w:val="0"/>
              </w:numPr>
              <w:suppressAutoHyphens/>
              <w:jc w:val="center"/>
              <w:rPr>
                <w:color w:val="000000" w:themeColor="text1"/>
                <w:sz w:val="20"/>
                <w:szCs w:val="20"/>
              </w:rPr>
            </w:pPr>
            <w:r w:rsidRPr="00161A45">
              <w:rPr>
                <w:color w:val="000000" w:themeColor="text1"/>
                <w:sz w:val="20"/>
                <w:szCs w:val="20"/>
                <w:lang w:val="en-GB"/>
              </w:rPr>
              <w:t>0.02</w:t>
            </w:r>
          </w:p>
        </w:tc>
        <w:tc>
          <w:tcPr>
            <w:tcW w:w="2068" w:type="pct"/>
            <w:vAlign w:val="center"/>
          </w:tcPr>
          <w:p w14:paraId="1EBBB9D9" w14:textId="77777777" w:rsidR="00E51CDD" w:rsidRPr="00161A45" w:rsidRDefault="00E51CDD" w:rsidP="009938D9">
            <w:pPr>
              <w:widowControl w:val="0"/>
              <w:suppressAutoHyphens/>
              <w:overflowPunct w:val="0"/>
              <w:autoSpaceDE w:val="0"/>
              <w:autoSpaceDN w:val="0"/>
              <w:adjustRightInd w:val="0"/>
              <w:jc w:val="center"/>
              <w:textAlignment w:val="baseline"/>
              <w:rPr>
                <w:color w:val="000000" w:themeColor="text1"/>
                <w:sz w:val="20"/>
                <w:szCs w:val="20"/>
              </w:rPr>
            </w:pPr>
            <w:r w:rsidRPr="00161A45">
              <w:rPr>
                <w:color w:val="000000" w:themeColor="text1"/>
                <w:sz w:val="20"/>
                <w:lang w:val="en-GB"/>
              </w:rPr>
              <w:t>EFSA/2009/1438</w:t>
            </w:r>
          </w:p>
        </w:tc>
      </w:tr>
      <w:tr w:rsidR="00E51CDD" w:rsidRPr="00161A45" w14:paraId="6FC97222" w14:textId="77777777" w:rsidTr="009938D9">
        <w:trPr>
          <w:cantSplit/>
          <w:trHeight w:val="460"/>
          <w:jc w:val="center"/>
        </w:trPr>
        <w:tc>
          <w:tcPr>
            <w:tcW w:w="1474" w:type="pct"/>
            <w:vAlign w:val="center"/>
          </w:tcPr>
          <w:p w14:paraId="71257D7D" w14:textId="77777777" w:rsidR="00E51CDD" w:rsidRPr="00161A45" w:rsidRDefault="00E51CDD" w:rsidP="009938D9">
            <w:pPr>
              <w:widowControl w:val="0"/>
              <w:numPr>
                <w:ilvl w:val="12"/>
                <w:numId w:val="0"/>
              </w:numPr>
              <w:suppressAutoHyphens/>
              <w:rPr>
                <w:color w:val="000000" w:themeColor="text1"/>
                <w:sz w:val="20"/>
                <w:szCs w:val="20"/>
              </w:rPr>
            </w:pPr>
            <w:r w:rsidRPr="00161A45">
              <w:rPr>
                <w:color w:val="000000" w:themeColor="text1"/>
                <w:sz w:val="20"/>
                <w:szCs w:val="20"/>
              </w:rPr>
              <w:t xml:space="preserve">BCF </w:t>
            </w:r>
            <w:r w:rsidRPr="00161A45">
              <w:rPr>
                <w:color w:val="000000" w:themeColor="text1"/>
                <w:sz w:val="20"/>
                <w:szCs w:val="20"/>
                <w:vertAlign w:val="superscript"/>
              </w:rPr>
              <w:t>2)</w:t>
            </w:r>
          </w:p>
        </w:tc>
        <w:tc>
          <w:tcPr>
            <w:tcW w:w="1457" w:type="pct"/>
            <w:vAlign w:val="center"/>
          </w:tcPr>
          <w:p w14:paraId="464C1B9F" w14:textId="77777777" w:rsidR="00E51CDD" w:rsidRPr="00161A45" w:rsidRDefault="00E51CDD" w:rsidP="009938D9">
            <w:pPr>
              <w:widowControl w:val="0"/>
              <w:numPr>
                <w:ilvl w:val="12"/>
                <w:numId w:val="0"/>
              </w:numPr>
              <w:suppressAutoHyphens/>
              <w:jc w:val="center"/>
              <w:rPr>
                <w:color w:val="000000" w:themeColor="text1"/>
                <w:sz w:val="20"/>
                <w:szCs w:val="20"/>
              </w:rPr>
            </w:pPr>
            <w:r>
              <w:rPr>
                <w:color w:val="000000" w:themeColor="text1"/>
                <w:sz w:val="20"/>
                <w:szCs w:val="20"/>
                <w:lang w:val="en-GB"/>
              </w:rPr>
              <w:t>1.171</w:t>
            </w:r>
          </w:p>
        </w:tc>
        <w:tc>
          <w:tcPr>
            <w:tcW w:w="2068" w:type="pct"/>
            <w:vAlign w:val="center"/>
          </w:tcPr>
          <w:p w14:paraId="70CC7C4C" w14:textId="77777777" w:rsidR="00E51CDD" w:rsidRPr="00161A45" w:rsidRDefault="00E51CDD" w:rsidP="009938D9">
            <w:pPr>
              <w:widowControl w:val="0"/>
              <w:suppressAutoHyphens/>
              <w:overflowPunct w:val="0"/>
              <w:autoSpaceDE w:val="0"/>
              <w:autoSpaceDN w:val="0"/>
              <w:adjustRightInd w:val="0"/>
              <w:jc w:val="center"/>
              <w:textAlignment w:val="baseline"/>
              <w:rPr>
                <w:color w:val="000000" w:themeColor="text1"/>
                <w:sz w:val="20"/>
                <w:szCs w:val="20"/>
              </w:rPr>
            </w:pPr>
            <w:r w:rsidRPr="00161A45">
              <w:rPr>
                <w:color w:val="000000" w:themeColor="text1"/>
                <w:sz w:val="20"/>
                <w:lang w:val="en-GB"/>
              </w:rPr>
              <w:t>--</w:t>
            </w:r>
          </w:p>
        </w:tc>
      </w:tr>
      <w:tr w:rsidR="00E51CDD" w:rsidRPr="00161A45" w14:paraId="141E6640" w14:textId="77777777" w:rsidTr="009938D9">
        <w:trPr>
          <w:cantSplit/>
          <w:trHeight w:val="460"/>
          <w:jc w:val="center"/>
        </w:trPr>
        <w:tc>
          <w:tcPr>
            <w:tcW w:w="1474" w:type="pct"/>
            <w:vAlign w:val="center"/>
          </w:tcPr>
          <w:p w14:paraId="1E2C6C61" w14:textId="77777777" w:rsidR="00E51CDD" w:rsidRPr="00161A45" w:rsidRDefault="00E51CDD" w:rsidP="009938D9">
            <w:pPr>
              <w:widowControl w:val="0"/>
              <w:numPr>
                <w:ilvl w:val="12"/>
                <w:numId w:val="0"/>
              </w:numPr>
              <w:suppressAutoHyphens/>
              <w:rPr>
                <w:color w:val="000000" w:themeColor="text1"/>
                <w:sz w:val="20"/>
                <w:szCs w:val="20"/>
              </w:rPr>
            </w:pPr>
            <w:r w:rsidRPr="00161A45">
              <w:rPr>
                <w:color w:val="000000" w:themeColor="text1"/>
                <w:sz w:val="20"/>
                <w:szCs w:val="20"/>
              </w:rPr>
              <w:t>PEC</w:t>
            </w:r>
            <w:r w:rsidRPr="00161A45">
              <w:rPr>
                <w:color w:val="000000" w:themeColor="text1"/>
                <w:sz w:val="20"/>
                <w:szCs w:val="20"/>
                <w:vertAlign w:val="subscript"/>
              </w:rPr>
              <w:t>worm</w:t>
            </w:r>
            <w:r w:rsidRPr="00161A45">
              <w:rPr>
                <w:color w:val="000000" w:themeColor="text1"/>
                <w:sz w:val="20"/>
                <w:szCs w:val="20"/>
              </w:rPr>
              <w:t xml:space="preserve"> [mg/kg] </w:t>
            </w:r>
            <w:r w:rsidRPr="00161A45">
              <w:rPr>
                <w:color w:val="000000" w:themeColor="text1"/>
                <w:sz w:val="20"/>
                <w:szCs w:val="20"/>
                <w:vertAlign w:val="superscript"/>
              </w:rPr>
              <w:t>3)</w:t>
            </w:r>
          </w:p>
        </w:tc>
        <w:tc>
          <w:tcPr>
            <w:tcW w:w="1457" w:type="pct"/>
            <w:vAlign w:val="center"/>
          </w:tcPr>
          <w:p w14:paraId="2946799D" w14:textId="77777777" w:rsidR="00E51CDD" w:rsidRPr="00161A45" w:rsidRDefault="00E51CDD" w:rsidP="009938D9">
            <w:pPr>
              <w:widowControl w:val="0"/>
              <w:numPr>
                <w:ilvl w:val="12"/>
                <w:numId w:val="0"/>
              </w:numPr>
              <w:suppressAutoHyphens/>
              <w:ind w:left="-29"/>
              <w:jc w:val="center"/>
              <w:rPr>
                <w:color w:val="000000" w:themeColor="text1"/>
                <w:sz w:val="20"/>
                <w:szCs w:val="20"/>
              </w:rPr>
            </w:pPr>
            <w:r w:rsidRPr="00161A45">
              <w:rPr>
                <w:color w:val="000000" w:themeColor="text1"/>
                <w:sz w:val="20"/>
                <w:szCs w:val="20"/>
              </w:rPr>
              <w:t>0.0</w:t>
            </w:r>
            <w:r>
              <w:rPr>
                <w:color w:val="000000" w:themeColor="text1"/>
                <w:sz w:val="20"/>
                <w:szCs w:val="20"/>
              </w:rPr>
              <w:t>91</w:t>
            </w:r>
          </w:p>
        </w:tc>
        <w:tc>
          <w:tcPr>
            <w:tcW w:w="2068" w:type="pct"/>
            <w:vAlign w:val="center"/>
          </w:tcPr>
          <w:p w14:paraId="0FB4549B" w14:textId="77777777" w:rsidR="00E51CDD" w:rsidRPr="00161A45" w:rsidRDefault="00E51CDD" w:rsidP="009938D9">
            <w:pPr>
              <w:widowControl w:val="0"/>
              <w:suppressAutoHyphens/>
              <w:overflowPunct w:val="0"/>
              <w:autoSpaceDE w:val="0"/>
              <w:autoSpaceDN w:val="0"/>
              <w:adjustRightInd w:val="0"/>
              <w:jc w:val="center"/>
              <w:textAlignment w:val="baseline"/>
              <w:rPr>
                <w:color w:val="000000" w:themeColor="text1"/>
                <w:sz w:val="20"/>
                <w:szCs w:val="20"/>
              </w:rPr>
            </w:pPr>
            <w:r w:rsidRPr="00161A45">
              <w:rPr>
                <w:color w:val="000000" w:themeColor="text1"/>
                <w:sz w:val="20"/>
                <w:lang w:val="en-GB"/>
              </w:rPr>
              <w:t>--</w:t>
            </w:r>
          </w:p>
        </w:tc>
      </w:tr>
      <w:tr w:rsidR="00E51CDD" w:rsidRPr="00161A45" w14:paraId="45D863D7" w14:textId="77777777" w:rsidTr="009938D9">
        <w:trPr>
          <w:cantSplit/>
          <w:trHeight w:val="460"/>
          <w:jc w:val="center"/>
        </w:trPr>
        <w:tc>
          <w:tcPr>
            <w:tcW w:w="1474" w:type="pct"/>
            <w:vAlign w:val="center"/>
          </w:tcPr>
          <w:p w14:paraId="6D45519B" w14:textId="77777777" w:rsidR="00E51CDD" w:rsidRPr="00161A45" w:rsidRDefault="00E51CDD" w:rsidP="009938D9">
            <w:pPr>
              <w:widowControl w:val="0"/>
              <w:numPr>
                <w:ilvl w:val="12"/>
                <w:numId w:val="0"/>
              </w:numPr>
              <w:suppressAutoHyphens/>
              <w:ind w:right="-70"/>
              <w:rPr>
                <w:color w:val="000000" w:themeColor="text1"/>
                <w:sz w:val="20"/>
                <w:szCs w:val="20"/>
              </w:rPr>
            </w:pPr>
            <w:r w:rsidRPr="00161A45">
              <w:rPr>
                <w:color w:val="000000" w:themeColor="text1"/>
                <w:sz w:val="20"/>
                <w:szCs w:val="20"/>
              </w:rPr>
              <w:t xml:space="preserve">Daily dose [mg/kg b.w./d] </w:t>
            </w:r>
            <w:r w:rsidRPr="00161A45">
              <w:rPr>
                <w:color w:val="000000" w:themeColor="text1"/>
                <w:sz w:val="20"/>
                <w:szCs w:val="20"/>
                <w:vertAlign w:val="superscript"/>
              </w:rPr>
              <w:t>4)</w:t>
            </w:r>
          </w:p>
        </w:tc>
        <w:tc>
          <w:tcPr>
            <w:tcW w:w="1457" w:type="pct"/>
            <w:shd w:val="clear" w:color="auto" w:fill="FFFFFF"/>
            <w:vAlign w:val="center"/>
          </w:tcPr>
          <w:p w14:paraId="17589588" w14:textId="77777777" w:rsidR="00E51CDD" w:rsidRPr="00161A45" w:rsidRDefault="00E51CDD" w:rsidP="009938D9">
            <w:pPr>
              <w:widowControl w:val="0"/>
              <w:numPr>
                <w:ilvl w:val="12"/>
                <w:numId w:val="0"/>
              </w:numPr>
              <w:suppressAutoHyphens/>
              <w:ind w:left="-29"/>
              <w:jc w:val="center"/>
              <w:rPr>
                <w:color w:val="000000" w:themeColor="text1"/>
                <w:sz w:val="20"/>
                <w:szCs w:val="20"/>
              </w:rPr>
            </w:pPr>
            <w:r w:rsidRPr="00161A45">
              <w:rPr>
                <w:color w:val="000000" w:themeColor="text1"/>
                <w:sz w:val="20"/>
                <w:szCs w:val="20"/>
              </w:rPr>
              <w:t>0.0</w:t>
            </w:r>
            <w:r>
              <w:rPr>
                <w:color w:val="000000" w:themeColor="text1"/>
                <w:sz w:val="20"/>
                <w:szCs w:val="20"/>
              </w:rPr>
              <w:t>96</w:t>
            </w:r>
          </w:p>
        </w:tc>
        <w:tc>
          <w:tcPr>
            <w:tcW w:w="2068" w:type="pct"/>
            <w:vAlign w:val="center"/>
          </w:tcPr>
          <w:p w14:paraId="3C6D3D60" w14:textId="77777777" w:rsidR="00E51CDD" w:rsidRPr="00161A45" w:rsidRDefault="00E51CDD" w:rsidP="009938D9">
            <w:pPr>
              <w:widowControl w:val="0"/>
              <w:suppressAutoHyphens/>
              <w:overflowPunct w:val="0"/>
              <w:autoSpaceDE w:val="0"/>
              <w:autoSpaceDN w:val="0"/>
              <w:adjustRightInd w:val="0"/>
              <w:jc w:val="center"/>
              <w:textAlignment w:val="baseline"/>
              <w:rPr>
                <w:color w:val="000000" w:themeColor="text1"/>
                <w:sz w:val="20"/>
                <w:szCs w:val="20"/>
              </w:rPr>
            </w:pPr>
            <w:r w:rsidRPr="00161A45">
              <w:rPr>
                <w:color w:val="000000" w:themeColor="text1"/>
                <w:sz w:val="20"/>
                <w:lang w:val="en-GB"/>
              </w:rPr>
              <w:t>--</w:t>
            </w:r>
          </w:p>
        </w:tc>
      </w:tr>
      <w:tr w:rsidR="00E51CDD" w:rsidRPr="00161A45" w14:paraId="4B96F1E0" w14:textId="77777777" w:rsidTr="009938D9">
        <w:trPr>
          <w:cantSplit/>
          <w:trHeight w:val="460"/>
          <w:jc w:val="center"/>
        </w:trPr>
        <w:tc>
          <w:tcPr>
            <w:tcW w:w="1474" w:type="pct"/>
            <w:vAlign w:val="center"/>
          </w:tcPr>
          <w:p w14:paraId="197B1263" w14:textId="77777777" w:rsidR="00E51CDD" w:rsidRPr="00161A45" w:rsidRDefault="00E51CDD" w:rsidP="009938D9">
            <w:pPr>
              <w:widowControl w:val="0"/>
              <w:numPr>
                <w:ilvl w:val="12"/>
                <w:numId w:val="0"/>
              </w:numPr>
              <w:suppressAutoHyphens/>
              <w:rPr>
                <w:color w:val="000000" w:themeColor="text1"/>
                <w:sz w:val="20"/>
                <w:szCs w:val="20"/>
                <w:lang w:val="es-ES_tradnl"/>
              </w:rPr>
            </w:pPr>
            <w:r w:rsidRPr="00161A45">
              <w:rPr>
                <w:color w:val="000000" w:themeColor="text1"/>
                <w:sz w:val="20"/>
                <w:szCs w:val="20"/>
                <w:lang w:val="es-ES_tradnl"/>
              </w:rPr>
              <w:t>NO(A)EL [mg/kg b.w./d]</w:t>
            </w:r>
          </w:p>
        </w:tc>
        <w:tc>
          <w:tcPr>
            <w:tcW w:w="1457" w:type="pct"/>
            <w:vAlign w:val="center"/>
          </w:tcPr>
          <w:p w14:paraId="217D2D4B" w14:textId="77777777" w:rsidR="00E51CDD" w:rsidRPr="00161A45" w:rsidRDefault="00E51CDD" w:rsidP="009938D9">
            <w:pPr>
              <w:widowControl w:val="0"/>
              <w:numPr>
                <w:ilvl w:val="12"/>
                <w:numId w:val="0"/>
              </w:numPr>
              <w:suppressAutoHyphens/>
              <w:jc w:val="center"/>
              <w:rPr>
                <w:color w:val="000000" w:themeColor="text1"/>
                <w:sz w:val="20"/>
                <w:szCs w:val="20"/>
              </w:rPr>
            </w:pPr>
            <w:r w:rsidRPr="00161A45">
              <w:rPr>
                <w:color w:val="000000" w:themeColor="text1"/>
                <w:sz w:val="20"/>
                <w:szCs w:val="20"/>
                <w:lang w:val="en-GB"/>
              </w:rPr>
              <w:t>33.6</w:t>
            </w:r>
          </w:p>
        </w:tc>
        <w:tc>
          <w:tcPr>
            <w:tcW w:w="2068" w:type="pct"/>
            <w:vAlign w:val="center"/>
          </w:tcPr>
          <w:p w14:paraId="5A3F5B1B" w14:textId="77777777" w:rsidR="00E51CDD" w:rsidRPr="00161A45" w:rsidRDefault="00E51CDD" w:rsidP="009938D9">
            <w:pPr>
              <w:widowControl w:val="0"/>
              <w:tabs>
                <w:tab w:val="center" w:pos="4536"/>
                <w:tab w:val="right" w:pos="9072"/>
              </w:tabs>
              <w:suppressAutoHyphens/>
              <w:jc w:val="center"/>
              <w:rPr>
                <w:color w:val="000000" w:themeColor="text1"/>
                <w:sz w:val="20"/>
                <w:szCs w:val="20"/>
              </w:rPr>
            </w:pPr>
            <w:r w:rsidRPr="00161A45">
              <w:rPr>
                <w:color w:val="000000" w:themeColor="text1"/>
                <w:sz w:val="20"/>
                <w:szCs w:val="20"/>
                <w:lang w:val="en-GB"/>
              </w:rPr>
              <w:t>Chapter 9.2.1</w:t>
            </w:r>
          </w:p>
        </w:tc>
      </w:tr>
      <w:tr w:rsidR="00E51CDD" w:rsidRPr="00161A45" w14:paraId="1581B3A5" w14:textId="77777777" w:rsidTr="009938D9">
        <w:trPr>
          <w:cantSplit/>
          <w:trHeight w:val="460"/>
          <w:jc w:val="center"/>
        </w:trPr>
        <w:tc>
          <w:tcPr>
            <w:tcW w:w="1474" w:type="pct"/>
            <w:vAlign w:val="center"/>
          </w:tcPr>
          <w:p w14:paraId="78C9FAC2" w14:textId="77777777" w:rsidR="00E51CDD" w:rsidRPr="00161A45" w:rsidRDefault="00E51CDD" w:rsidP="009938D9">
            <w:pPr>
              <w:widowControl w:val="0"/>
              <w:numPr>
                <w:ilvl w:val="12"/>
                <w:numId w:val="0"/>
              </w:numPr>
              <w:suppressAutoHyphens/>
              <w:rPr>
                <w:color w:val="000000" w:themeColor="text1"/>
                <w:sz w:val="20"/>
                <w:szCs w:val="20"/>
                <w:vertAlign w:val="superscript"/>
              </w:rPr>
            </w:pPr>
            <w:r w:rsidRPr="00161A45">
              <w:rPr>
                <w:color w:val="000000" w:themeColor="text1"/>
                <w:sz w:val="20"/>
                <w:szCs w:val="20"/>
              </w:rPr>
              <w:t>TER</w:t>
            </w:r>
            <w:r w:rsidRPr="00161A45">
              <w:rPr>
                <w:caps/>
                <w:color w:val="000000" w:themeColor="text1"/>
                <w:sz w:val="20"/>
                <w:szCs w:val="20"/>
                <w:vertAlign w:val="subscript"/>
              </w:rPr>
              <w:t xml:space="preserve">lt </w:t>
            </w:r>
            <w:r w:rsidRPr="00161A45">
              <w:rPr>
                <w:caps/>
                <w:color w:val="000000" w:themeColor="text1"/>
                <w:sz w:val="20"/>
                <w:szCs w:val="20"/>
                <w:vertAlign w:val="superscript"/>
              </w:rPr>
              <w:t>5)</w:t>
            </w:r>
          </w:p>
        </w:tc>
        <w:tc>
          <w:tcPr>
            <w:tcW w:w="1457" w:type="pct"/>
            <w:vAlign w:val="center"/>
          </w:tcPr>
          <w:p w14:paraId="77A5E341" w14:textId="77777777" w:rsidR="00E51CDD" w:rsidRPr="00161A45" w:rsidRDefault="00E51CDD" w:rsidP="009938D9">
            <w:pPr>
              <w:widowControl w:val="0"/>
              <w:numPr>
                <w:ilvl w:val="12"/>
                <w:numId w:val="0"/>
              </w:numPr>
              <w:suppressAutoHyphens/>
              <w:ind w:left="-29"/>
              <w:jc w:val="center"/>
              <w:rPr>
                <w:color w:val="000000" w:themeColor="text1"/>
                <w:sz w:val="20"/>
                <w:szCs w:val="20"/>
              </w:rPr>
            </w:pPr>
            <w:r>
              <w:rPr>
                <w:color w:val="000000" w:themeColor="text1"/>
                <w:sz w:val="20"/>
                <w:szCs w:val="20"/>
              </w:rPr>
              <w:t>350.4</w:t>
            </w:r>
          </w:p>
        </w:tc>
        <w:tc>
          <w:tcPr>
            <w:tcW w:w="2068" w:type="pct"/>
            <w:vAlign w:val="center"/>
          </w:tcPr>
          <w:p w14:paraId="320C1B57" w14:textId="77777777" w:rsidR="00E51CDD" w:rsidRPr="00161A45" w:rsidRDefault="00E51CDD" w:rsidP="009938D9">
            <w:pPr>
              <w:widowControl w:val="0"/>
              <w:numPr>
                <w:ilvl w:val="12"/>
                <w:numId w:val="0"/>
              </w:numPr>
              <w:suppressAutoHyphens/>
              <w:ind w:left="36"/>
              <w:jc w:val="center"/>
              <w:rPr>
                <w:color w:val="000000" w:themeColor="text1"/>
                <w:sz w:val="20"/>
                <w:szCs w:val="20"/>
              </w:rPr>
            </w:pPr>
            <w:r w:rsidRPr="00161A45">
              <w:rPr>
                <w:color w:val="000000" w:themeColor="text1"/>
                <w:sz w:val="20"/>
                <w:szCs w:val="20"/>
                <w:lang w:val="en-GB"/>
              </w:rPr>
              <w:t>--</w:t>
            </w:r>
          </w:p>
        </w:tc>
      </w:tr>
    </w:tbl>
    <w:p w14:paraId="2BD58F05" w14:textId="77777777" w:rsidR="00E51CDD" w:rsidRPr="0026404C" w:rsidRDefault="00E51CDD" w:rsidP="00E51CDD">
      <w:pPr>
        <w:widowControl w:val="0"/>
        <w:ind w:left="426" w:hanging="426"/>
        <w:jc w:val="both"/>
        <w:rPr>
          <w:sz w:val="18"/>
          <w:szCs w:val="18"/>
          <w:lang w:val="en-GB"/>
        </w:rPr>
      </w:pPr>
      <w:bookmarkStart w:id="262" w:name="_Hlk63237664"/>
      <w:r w:rsidRPr="00161A45">
        <w:rPr>
          <w:sz w:val="18"/>
          <w:szCs w:val="18"/>
          <w:vertAlign w:val="superscript"/>
          <w:lang w:val="en-GB"/>
        </w:rPr>
        <w:t>1)</w:t>
      </w:r>
      <w:r w:rsidRPr="00161A45">
        <w:rPr>
          <w:sz w:val="18"/>
          <w:szCs w:val="18"/>
          <w:vertAlign w:val="superscript"/>
          <w:lang w:val="en-GB"/>
        </w:rPr>
        <w:tab/>
      </w:r>
      <w:r w:rsidRPr="00161A45">
        <w:rPr>
          <w:sz w:val="18"/>
          <w:szCs w:val="18"/>
          <w:lang w:val="en-GB"/>
        </w:rPr>
        <w:t>Worst case PEC</w:t>
      </w:r>
      <w:r w:rsidRPr="00161A45">
        <w:rPr>
          <w:sz w:val="18"/>
          <w:szCs w:val="18"/>
          <w:vertAlign w:val="subscript"/>
          <w:lang w:val="en-GB"/>
        </w:rPr>
        <w:t>soil</w:t>
      </w:r>
      <w:r w:rsidRPr="00161A45">
        <w:rPr>
          <w:sz w:val="18"/>
          <w:szCs w:val="18"/>
          <w:lang w:val="en-GB"/>
        </w:rPr>
        <w:t xml:space="preserve"> (accu) value was calculated for an application scenario of 2 x 100 g a.s./ha with 14-day interval in cereals. For details see chapter 8.7.</w:t>
      </w:r>
    </w:p>
    <w:bookmarkEnd w:id="262"/>
    <w:p w14:paraId="3ADC70A2" w14:textId="77777777" w:rsidR="00E51CDD" w:rsidRPr="0026404C" w:rsidRDefault="00E51CDD" w:rsidP="00E51CDD">
      <w:pPr>
        <w:widowControl w:val="0"/>
        <w:ind w:left="426" w:hanging="426"/>
        <w:jc w:val="both"/>
        <w:rPr>
          <w:sz w:val="18"/>
          <w:szCs w:val="18"/>
          <w:lang w:val="en-GB"/>
        </w:rPr>
      </w:pPr>
      <w:r w:rsidRPr="0026404C">
        <w:rPr>
          <w:sz w:val="18"/>
          <w:szCs w:val="18"/>
          <w:vertAlign w:val="superscript"/>
          <w:lang w:val="en-GB"/>
        </w:rPr>
        <w:t>2)</w:t>
      </w:r>
      <w:r w:rsidRPr="0026404C">
        <w:rPr>
          <w:sz w:val="18"/>
          <w:szCs w:val="18"/>
          <w:vertAlign w:val="superscript"/>
          <w:lang w:val="en-GB"/>
        </w:rPr>
        <w:tab/>
      </w:r>
      <w:r w:rsidRPr="0026404C">
        <w:rPr>
          <w:sz w:val="18"/>
          <w:szCs w:val="18"/>
          <w:lang w:val="en-GB"/>
        </w:rPr>
        <w:t>Bioconcentration factor (BCF) = (0.84 + 0.012 x K</w:t>
      </w:r>
      <w:r w:rsidRPr="0026404C">
        <w:rPr>
          <w:sz w:val="18"/>
          <w:szCs w:val="18"/>
          <w:vertAlign w:val="subscript"/>
          <w:lang w:val="en-GB"/>
        </w:rPr>
        <w:t>ow</w:t>
      </w:r>
      <w:r w:rsidRPr="0026404C">
        <w:rPr>
          <w:sz w:val="18"/>
          <w:szCs w:val="18"/>
          <w:lang w:val="en-GB"/>
        </w:rPr>
        <w:t>) / (f</w:t>
      </w:r>
      <w:r w:rsidRPr="0026404C">
        <w:rPr>
          <w:sz w:val="18"/>
          <w:szCs w:val="18"/>
          <w:vertAlign w:val="subscript"/>
          <w:lang w:val="en-GB"/>
        </w:rPr>
        <w:t>oc</w:t>
      </w:r>
      <w:r w:rsidRPr="0026404C">
        <w:rPr>
          <w:sz w:val="18"/>
          <w:szCs w:val="18"/>
          <w:lang w:val="en-GB"/>
        </w:rPr>
        <w:t xml:space="preserve"> x K</w:t>
      </w:r>
      <w:r w:rsidRPr="0026404C">
        <w:rPr>
          <w:sz w:val="18"/>
          <w:szCs w:val="18"/>
          <w:vertAlign w:val="subscript"/>
          <w:lang w:val="en-GB"/>
        </w:rPr>
        <w:t>oc</w:t>
      </w:r>
      <w:r w:rsidRPr="0026404C">
        <w:rPr>
          <w:sz w:val="18"/>
          <w:szCs w:val="18"/>
          <w:lang w:val="en-GB"/>
        </w:rPr>
        <w:t>)</w:t>
      </w:r>
    </w:p>
    <w:p w14:paraId="35D9CB12" w14:textId="77777777" w:rsidR="00E51CDD" w:rsidRPr="0026404C" w:rsidRDefault="00E51CDD" w:rsidP="00E51CDD">
      <w:pPr>
        <w:widowControl w:val="0"/>
        <w:ind w:left="426" w:hanging="426"/>
        <w:jc w:val="both"/>
        <w:rPr>
          <w:sz w:val="18"/>
          <w:szCs w:val="18"/>
          <w:lang w:val="en-GB"/>
        </w:rPr>
      </w:pPr>
      <w:r w:rsidRPr="0026404C">
        <w:rPr>
          <w:sz w:val="18"/>
          <w:szCs w:val="18"/>
          <w:vertAlign w:val="superscript"/>
          <w:lang w:val="en-GB"/>
        </w:rPr>
        <w:t>3)</w:t>
      </w:r>
      <w:r w:rsidRPr="0026404C">
        <w:rPr>
          <w:sz w:val="18"/>
          <w:szCs w:val="18"/>
          <w:vertAlign w:val="superscript"/>
          <w:lang w:val="en-GB"/>
        </w:rPr>
        <w:tab/>
      </w:r>
      <w:r w:rsidRPr="0026404C">
        <w:rPr>
          <w:sz w:val="18"/>
          <w:szCs w:val="18"/>
          <w:lang w:val="en-GB"/>
        </w:rPr>
        <w:t>PEC</w:t>
      </w:r>
      <w:r w:rsidRPr="0026404C">
        <w:rPr>
          <w:sz w:val="18"/>
          <w:szCs w:val="18"/>
          <w:vertAlign w:val="subscript"/>
          <w:lang w:val="en-GB"/>
        </w:rPr>
        <w:t>worm</w:t>
      </w:r>
      <w:r w:rsidRPr="0026404C">
        <w:rPr>
          <w:sz w:val="18"/>
          <w:szCs w:val="18"/>
          <w:lang w:val="en-GB"/>
        </w:rPr>
        <w:t xml:space="preserve"> = PEC</w:t>
      </w:r>
      <w:r w:rsidRPr="0026404C">
        <w:rPr>
          <w:sz w:val="18"/>
          <w:szCs w:val="18"/>
          <w:vertAlign w:val="subscript"/>
          <w:lang w:val="en-GB"/>
        </w:rPr>
        <w:t>soil</w:t>
      </w:r>
      <w:r w:rsidRPr="0026404C">
        <w:rPr>
          <w:sz w:val="18"/>
          <w:szCs w:val="18"/>
          <w:lang w:val="en-GB"/>
        </w:rPr>
        <w:t xml:space="preserve"> x BCF</w:t>
      </w:r>
    </w:p>
    <w:p w14:paraId="7F5051AB" w14:textId="77777777" w:rsidR="00E51CDD" w:rsidRPr="0026404C" w:rsidRDefault="00E51CDD" w:rsidP="00E51CDD">
      <w:pPr>
        <w:widowControl w:val="0"/>
        <w:ind w:left="426" w:hanging="426"/>
        <w:jc w:val="both"/>
        <w:rPr>
          <w:sz w:val="18"/>
          <w:szCs w:val="18"/>
          <w:lang w:val="en-GB"/>
        </w:rPr>
      </w:pPr>
      <w:r w:rsidRPr="0026404C">
        <w:rPr>
          <w:sz w:val="18"/>
          <w:szCs w:val="18"/>
          <w:vertAlign w:val="superscript"/>
          <w:lang w:val="en-GB"/>
        </w:rPr>
        <w:t>4)</w:t>
      </w:r>
      <w:r w:rsidRPr="0026404C">
        <w:rPr>
          <w:sz w:val="18"/>
          <w:szCs w:val="18"/>
          <w:vertAlign w:val="superscript"/>
          <w:lang w:val="en-GB"/>
        </w:rPr>
        <w:tab/>
      </w:r>
      <w:r w:rsidRPr="0026404C">
        <w:rPr>
          <w:sz w:val="18"/>
          <w:szCs w:val="18"/>
          <w:lang w:val="en-GB"/>
        </w:rPr>
        <w:t>Daily dose = 1.05 x PEC</w:t>
      </w:r>
      <w:r w:rsidRPr="0026404C">
        <w:rPr>
          <w:sz w:val="18"/>
          <w:szCs w:val="18"/>
          <w:vertAlign w:val="subscript"/>
          <w:lang w:val="en-GB"/>
        </w:rPr>
        <w:t>worm</w:t>
      </w:r>
    </w:p>
    <w:p w14:paraId="475A0F0C" w14:textId="77777777" w:rsidR="00E51CDD" w:rsidRPr="0026404C" w:rsidRDefault="00E51CDD" w:rsidP="00E51CDD">
      <w:pPr>
        <w:widowControl w:val="0"/>
        <w:ind w:left="426" w:hanging="426"/>
        <w:jc w:val="both"/>
        <w:rPr>
          <w:sz w:val="18"/>
          <w:szCs w:val="18"/>
          <w:lang w:val="en-GB"/>
        </w:rPr>
      </w:pPr>
      <w:r w:rsidRPr="0026404C">
        <w:rPr>
          <w:sz w:val="18"/>
          <w:szCs w:val="18"/>
          <w:vertAlign w:val="superscript"/>
          <w:lang w:val="en-GB"/>
        </w:rPr>
        <w:t>5)</w:t>
      </w:r>
      <w:r w:rsidRPr="0026404C">
        <w:rPr>
          <w:sz w:val="18"/>
          <w:szCs w:val="18"/>
          <w:vertAlign w:val="superscript"/>
          <w:lang w:val="en-GB"/>
        </w:rPr>
        <w:tab/>
      </w:r>
      <w:r w:rsidRPr="0026404C">
        <w:rPr>
          <w:sz w:val="18"/>
          <w:szCs w:val="18"/>
          <w:lang w:val="en-GB"/>
        </w:rPr>
        <w:t>TER</w:t>
      </w:r>
      <w:r w:rsidRPr="0026404C">
        <w:rPr>
          <w:sz w:val="18"/>
          <w:szCs w:val="18"/>
          <w:vertAlign w:val="subscript"/>
          <w:lang w:val="en-GB"/>
        </w:rPr>
        <w:t xml:space="preserve">LT </w:t>
      </w:r>
      <w:r w:rsidRPr="0026404C">
        <w:rPr>
          <w:sz w:val="18"/>
          <w:szCs w:val="18"/>
          <w:lang w:val="en-GB"/>
        </w:rPr>
        <w:t>= NO(A)EL / Daily dose.</w:t>
      </w:r>
    </w:p>
    <w:p w14:paraId="4FA58D45" w14:textId="2BFA650A" w:rsidR="00E51CDD" w:rsidRPr="0026404C" w:rsidRDefault="00E51CDD" w:rsidP="009938D9">
      <w:r>
        <w:br w:type="page"/>
      </w:r>
    </w:p>
    <w:p w14:paraId="1D295EAB" w14:textId="77777777" w:rsidR="00E51CDD" w:rsidRDefault="00E51CDD" w:rsidP="00E51CDD">
      <w:pPr>
        <w:pStyle w:val="RepNewPart"/>
      </w:pPr>
      <w:r w:rsidRPr="002B1114">
        <w:lastRenderedPageBreak/>
        <w:t>Risk assessment for fish-eating birds via secondary poisoning</w:t>
      </w:r>
    </w:p>
    <w:p w14:paraId="57218E5A" w14:textId="77777777" w:rsidR="00E51CDD" w:rsidRPr="0026404C" w:rsidRDefault="00E51CDD" w:rsidP="00E51CDD">
      <w:pPr>
        <w:widowControl w:val="0"/>
        <w:jc w:val="both"/>
        <w:rPr>
          <w:lang w:val="en-GB"/>
        </w:rPr>
      </w:pPr>
      <w:r w:rsidRPr="0026404C">
        <w:rPr>
          <w:lang w:val="en-GB"/>
        </w:rPr>
        <w:t>According to EFSA/2009/1438, the risk for piscivorous birds is assessed for a bird of 1000 g body weight with a daily food consumption of 159 g. Bioaccumulation in fish is estimated based on predicted concentrations in surface water.</w:t>
      </w:r>
    </w:p>
    <w:p w14:paraId="3D5EF06E" w14:textId="77777777" w:rsidR="00E51CDD" w:rsidRPr="0026404C" w:rsidRDefault="00E51CDD" w:rsidP="00E51CDD">
      <w:pPr>
        <w:widowControl w:val="0"/>
        <w:jc w:val="both"/>
        <w:rPr>
          <w:lang w:val="en-GB"/>
        </w:rPr>
      </w:pPr>
    </w:p>
    <w:p w14:paraId="7E3A8EB7" w14:textId="3E2255A8" w:rsidR="00E51CDD" w:rsidRDefault="00E51CDD" w:rsidP="00E51CDD">
      <w:pPr>
        <w:widowControl w:val="0"/>
        <w:suppressAutoHyphens/>
        <w:jc w:val="both"/>
      </w:pPr>
      <w:r w:rsidRPr="0026404C">
        <w:t>As shown in the following</w:t>
      </w:r>
      <w:r>
        <w:t xml:space="preserve"> </w:t>
      </w:r>
      <w:r w:rsidRPr="00FE5A47">
        <w:fldChar w:fldCharType="begin"/>
      </w:r>
      <w:r w:rsidRPr="00FE5A47">
        <w:instrText xml:space="preserve"> REF _Ref448128955 \h  \* MERGEFORMAT </w:instrText>
      </w:r>
      <w:r w:rsidRPr="00FE5A47">
        <w:fldChar w:fldCharType="separate"/>
      </w:r>
      <w:r w:rsidR="00662F32" w:rsidRPr="00662F32">
        <w:t xml:space="preserve">Table </w:t>
      </w:r>
      <w:r w:rsidR="00662F32" w:rsidRPr="00662F32">
        <w:rPr>
          <w:noProof/>
        </w:rPr>
        <w:t>9.2</w:t>
      </w:r>
      <w:r w:rsidR="00662F32" w:rsidRPr="00662F32">
        <w:rPr>
          <w:noProof/>
        </w:rPr>
        <w:noBreakHyphen/>
        <w:t>15</w:t>
      </w:r>
      <w:r w:rsidRPr="00FE5A47">
        <w:fldChar w:fldCharType="end"/>
      </w:r>
      <w:r w:rsidRPr="0026404C">
        <w:t>, the TER</w:t>
      </w:r>
      <w:r w:rsidRPr="0026404C">
        <w:rPr>
          <w:vertAlign w:val="subscript"/>
        </w:rPr>
        <w:t>LT</w:t>
      </w:r>
      <w:r w:rsidRPr="0026404C">
        <w:t xml:space="preserve"> for fluxapyroxad exceeds the relevant trigger of 5 for acceptability of effects, indicating an acceptable risk to fish-eating birds via secondary poisoning. </w:t>
      </w:r>
    </w:p>
    <w:p w14:paraId="2781EBC2" w14:textId="77777777" w:rsidR="00E51CDD" w:rsidRPr="0026404C" w:rsidRDefault="00E51CDD" w:rsidP="00E51CDD">
      <w:pPr>
        <w:widowControl w:val="0"/>
        <w:suppressAutoHyphens/>
        <w:jc w:val="both"/>
      </w:pPr>
    </w:p>
    <w:p w14:paraId="3E3E2CE5" w14:textId="5E953D15" w:rsidR="00E51CDD" w:rsidRPr="0026404C" w:rsidRDefault="00E51CDD" w:rsidP="00E51CDD">
      <w:pPr>
        <w:widowControl w:val="0"/>
        <w:tabs>
          <w:tab w:val="left" w:pos="1980"/>
        </w:tabs>
        <w:suppressAutoHyphens/>
        <w:ind w:left="1980" w:hanging="1980"/>
        <w:jc w:val="both"/>
        <w:rPr>
          <w:b/>
          <w:bCs/>
        </w:rPr>
      </w:pPr>
      <w:bookmarkStart w:id="263" w:name="_Ref448128955"/>
      <w:r w:rsidRPr="0026404C">
        <w:rPr>
          <w:b/>
          <w:bCs/>
        </w:rPr>
        <w:t xml:space="preserve">Table </w:t>
      </w:r>
      <w:r w:rsidRPr="0026404C">
        <w:rPr>
          <w:b/>
          <w:bCs/>
        </w:rPr>
        <w:fldChar w:fldCharType="begin"/>
      </w:r>
      <w:r w:rsidRPr="0026404C">
        <w:rPr>
          <w:b/>
          <w:bCs/>
        </w:rPr>
        <w:instrText xml:space="preserve"> STYLEREF 2 \s </w:instrText>
      </w:r>
      <w:r w:rsidRPr="0026404C">
        <w:rPr>
          <w:b/>
          <w:bCs/>
        </w:rPr>
        <w:fldChar w:fldCharType="separate"/>
      </w:r>
      <w:r w:rsidR="00662F32">
        <w:rPr>
          <w:b/>
          <w:bCs/>
          <w:noProof/>
        </w:rPr>
        <w:t>9.2</w:t>
      </w:r>
      <w:r w:rsidRPr="0026404C">
        <w:rPr>
          <w:b/>
          <w:bCs/>
        </w:rPr>
        <w:fldChar w:fldCharType="end"/>
      </w:r>
      <w:r w:rsidRPr="0026404C">
        <w:rPr>
          <w:b/>
          <w:bCs/>
        </w:rPr>
        <w:noBreakHyphen/>
      </w:r>
      <w:r w:rsidRPr="0026404C">
        <w:rPr>
          <w:b/>
          <w:bCs/>
        </w:rPr>
        <w:fldChar w:fldCharType="begin"/>
      </w:r>
      <w:r w:rsidRPr="0026404C">
        <w:rPr>
          <w:b/>
          <w:bCs/>
        </w:rPr>
        <w:instrText xml:space="preserve"> SEQ Table \* ARABIC \s 2 </w:instrText>
      </w:r>
      <w:r w:rsidRPr="0026404C">
        <w:rPr>
          <w:b/>
          <w:bCs/>
        </w:rPr>
        <w:fldChar w:fldCharType="separate"/>
      </w:r>
      <w:r w:rsidR="00662F32">
        <w:rPr>
          <w:b/>
          <w:bCs/>
          <w:noProof/>
        </w:rPr>
        <w:t>15</w:t>
      </w:r>
      <w:r w:rsidRPr="0026404C">
        <w:rPr>
          <w:b/>
          <w:bCs/>
        </w:rPr>
        <w:fldChar w:fldCharType="end"/>
      </w:r>
      <w:bookmarkEnd w:id="263"/>
      <w:r w:rsidRPr="0026404C">
        <w:rPr>
          <w:b/>
          <w:bCs/>
        </w:rPr>
        <w:t xml:space="preserve">: </w:t>
      </w:r>
      <w:r w:rsidRPr="0026404C">
        <w:rPr>
          <w:b/>
          <w:bCs/>
        </w:rPr>
        <w:tab/>
        <w:t>Assessment of the risk for fish-eating birds due to exposure to fluxapyroxad via bioaccumulation in fish (secondary poisoning) for the intended use</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9"/>
        <w:gridCol w:w="2701"/>
        <w:gridCol w:w="3682"/>
      </w:tblGrid>
      <w:tr w:rsidR="00E51CDD" w:rsidRPr="003F360C" w14:paraId="290AB2E3" w14:textId="77777777" w:rsidTr="009938D9">
        <w:trPr>
          <w:cantSplit/>
          <w:trHeight w:val="366"/>
          <w:tblHeader/>
        </w:trPr>
        <w:tc>
          <w:tcPr>
            <w:tcW w:w="1547" w:type="pct"/>
            <w:vAlign w:val="center"/>
          </w:tcPr>
          <w:p w14:paraId="724D289A" w14:textId="77777777" w:rsidR="00E51CDD" w:rsidRPr="003F360C" w:rsidRDefault="00E51CDD" w:rsidP="009938D9">
            <w:pPr>
              <w:widowControl w:val="0"/>
              <w:numPr>
                <w:ilvl w:val="12"/>
                <w:numId w:val="0"/>
              </w:numPr>
              <w:suppressAutoHyphens/>
              <w:jc w:val="center"/>
              <w:rPr>
                <w:b/>
                <w:color w:val="000000" w:themeColor="text1"/>
                <w:sz w:val="20"/>
              </w:rPr>
            </w:pPr>
            <w:r w:rsidRPr="003F360C">
              <w:rPr>
                <w:b/>
                <w:color w:val="000000" w:themeColor="text1"/>
                <w:sz w:val="20"/>
              </w:rPr>
              <w:t>Parameter</w:t>
            </w:r>
          </w:p>
        </w:tc>
        <w:tc>
          <w:tcPr>
            <w:tcW w:w="1461" w:type="pct"/>
            <w:vAlign w:val="center"/>
          </w:tcPr>
          <w:p w14:paraId="151B8CDD" w14:textId="77777777" w:rsidR="00E51CDD" w:rsidRPr="003F360C" w:rsidRDefault="00E51CDD" w:rsidP="009938D9">
            <w:pPr>
              <w:widowControl w:val="0"/>
              <w:numPr>
                <w:ilvl w:val="12"/>
                <w:numId w:val="0"/>
              </w:numPr>
              <w:suppressAutoHyphens/>
              <w:jc w:val="center"/>
              <w:rPr>
                <w:b/>
                <w:bCs/>
                <w:color w:val="000000" w:themeColor="text1"/>
                <w:sz w:val="20"/>
              </w:rPr>
            </w:pPr>
            <w:r w:rsidRPr="003F360C">
              <w:rPr>
                <w:b/>
                <w:bCs/>
                <w:color w:val="000000" w:themeColor="text1"/>
                <w:sz w:val="20"/>
              </w:rPr>
              <w:t>Fluxapyroxad</w:t>
            </w:r>
          </w:p>
        </w:tc>
        <w:tc>
          <w:tcPr>
            <w:tcW w:w="1993" w:type="pct"/>
            <w:vAlign w:val="center"/>
          </w:tcPr>
          <w:p w14:paraId="5CF7C9EF" w14:textId="77777777" w:rsidR="00E51CDD" w:rsidRPr="003F360C" w:rsidRDefault="00E51CDD" w:rsidP="009938D9">
            <w:pPr>
              <w:widowControl w:val="0"/>
              <w:numPr>
                <w:ilvl w:val="12"/>
                <w:numId w:val="0"/>
              </w:numPr>
              <w:suppressAutoHyphens/>
              <w:jc w:val="center"/>
              <w:rPr>
                <w:b/>
                <w:bCs/>
                <w:color w:val="000000" w:themeColor="text1"/>
                <w:sz w:val="20"/>
              </w:rPr>
            </w:pPr>
            <w:r w:rsidRPr="003F360C">
              <w:rPr>
                <w:b/>
                <w:bCs/>
                <w:color w:val="000000" w:themeColor="text1"/>
                <w:sz w:val="20"/>
              </w:rPr>
              <w:t>Reference</w:t>
            </w:r>
          </w:p>
        </w:tc>
      </w:tr>
      <w:tr w:rsidR="00E51CDD" w:rsidRPr="003F360C" w14:paraId="45FF4B5B" w14:textId="77777777" w:rsidTr="009938D9">
        <w:trPr>
          <w:cantSplit/>
          <w:trHeight w:val="403"/>
        </w:trPr>
        <w:tc>
          <w:tcPr>
            <w:tcW w:w="1547" w:type="pct"/>
            <w:vAlign w:val="center"/>
          </w:tcPr>
          <w:p w14:paraId="1A7D78DF" w14:textId="77777777" w:rsidR="00E51CDD" w:rsidRPr="00287E0F" w:rsidRDefault="00E51CDD" w:rsidP="009938D9">
            <w:pPr>
              <w:widowControl w:val="0"/>
              <w:numPr>
                <w:ilvl w:val="12"/>
                <w:numId w:val="0"/>
              </w:numPr>
              <w:suppressAutoHyphens/>
              <w:rPr>
                <w:color w:val="000000" w:themeColor="text1"/>
                <w:sz w:val="20"/>
                <w:szCs w:val="20"/>
                <w:lang w:val="de-DE"/>
              </w:rPr>
            </w:pPr>
            <w:r w:rsidRPr="00777C64">
              <w:rPr>
                <w:color w:val="000000" w:themeColor="text1"/>
                <w:sz w:val="20"/>
                <w:szCs w:val="20"/>
                <w:lang w:val="de-DE"/>
              </w:rPr>
              <w:t>PEC</w:t>
            </w:r>
            <w:r w:rsidRPr="00777C64">
              <w:rPr>
                <w:color w:val="000000" w:themeColor="text1"/>
                <w:sz w:val="20"/>
                <w:szCs w:val="20"/>
                <w:vertAlign w:val="subscript"/>
                <w:lang w:val="de-DE"/>
              </w:rPr>
              <w:t>sw</w:t>
            </w:r>
            <w:r w:rsidRPr="00287E0F">
              <w:rPr>
                <w:color w:val="000000" w:themeColor="text1"/>
                <w:sz w:val="20"/>
                <w:szCs w:val="20"/>
                <w:lang w:val="de-DE"/>
              </w:rPr>
              <w:t xml:space="preserve"> (twa, 21</w:t>
            </w:r>
            <w:r>
              <w:rPr>
                <w:color w:val="000000" w:themeColor="text1"/>
                <w:sz w:val="20"/>
                <w:szCs w:val="20"/>
                <w:lang w:val="de-DE"/>
              </w:rPr>
              <w:t> </w:t>
            </w:r>
            <w:r w:rsidRPr="00287E0F">
              <w:rPr>
                <w:color w:val="000000" w:themeColor="text1"/>
                <w:sz w:val="20"/>
                <w:szCs w:val="20"/>
                <w:lang w:val="de-DE"/>
              </w:rPr>
              <w:t>d) [mg/L]</w:t>
            </w:r>
            <w:r w:rsidRPr="00777C64">
              <w:rPr>
                <w:color w:val="000000" w:themeColor="text1"/>
                <w:sz w:val="20"/>
                <w:szCs w:val="20"/>
                <w:lang w:val="de-DE"/>
              </w:rPr>
              <w:t xml:space="preserve"> </w:t>
            </w:r>
            <w:r w:rsidRPr="00777C64">
              <w:rPr>
                <w:color w:val="000000" w:themeColor="text1"/>
                <w:sz w:val="20"/>
                <w:szCs w:val="20"/>
                <w:vertAlign w:val="superscript"/>
                <w:lang w:val="de-DE"/>
              </w:rPr>
              <w:t>1)</w:t>
            </w:r>
          </w:p>
        </w:tc>
        <w:tc>
          <w:tcPr>
            <w:tcW w:w="1461" w:type="pct"/>
            <w:shd w:val="clear" w:color="auto" w:fill="FFFFFF"/>
            <w:vAlign w:val="center"/>
          </w:tcPr>
          <w:p w14:paraId="5A92C4A6" w14:textId="77777777" w:rsidR="00E51CDD" w:rsidRPr="003F360C" w:rsidRDefault="00E51CDD" w:rsidP="009938D9">
            <w:pPr>
              <w:widowControl w:val="0"/>
              <w:numPr>
                <w:ilvl w:val="12"/>
                <w:numId w:val="0"/>
              </w:numPr>
              <w:suppressAutoHyphens/>
              <w:jc w:val="center"/>
              <w:rPr>
                <w:color w:val="000000" w:themeColor="text1"/>
                <w:sz w:val="20"/>
              </w:rPr>
            </w:pPr>
            <w:r>
              <w:rPr>
                <w:color w:val="000000" w:themeColor="text1"/>
                <w:sz w:val="20"/>
              </w:rPr>
              <w:t>6.123</w:t>
            </w:r>
            <w:r w:rsidRPr="003F360C">
              <w:rPr>
                <w:color w:val="000000" w:themeColor="text1"/>
                <w:sz w:val="20"/>
              </w:rPr>
              <w:t xml:space="preserve"> </w:t>
            </w:r>
            <w:r w:rsidRPr="003F360C">
              <w:rPr>
                <w:color w:val="000000" w:themeColor="text1"/>
                <w:sz w:val="20"/>
                <w:szCs w:val="20"/>
              </w:rPr>
              <w:t xml:space="preserve">× </w:t>
            </w:r>
            <w:r w:rsidRPr="003F360C">
              <w:rPr>
                <w:color w:val="000000" w:themeColor="text1"/>
                <w:sz w:val="20"/>
              </w:rPr>
              <w:t>10</w:t>
            </w:r>
            <w:r w:rsidRPr="003F360C">
              <w:rPr>
                <w:color w:val="000000" w:themeColor="text1"/>
                <w:sz w:val="20"/>
                <w:vertAlign w:val="superscript"/>
              </w:rPr>
              <w:t>-3</w:t>
            </w:r>
          </w:p>
        </w:tc>
        <w:tc>
          <w:tcPr>
            <w:tcW w:w="1993" w:type="pct"/>
            <w:vAlign w:val="center"/>
          </w:tcPr>
          <w:p w14:paraId="4B8EF2A4" w14:textId="01995FE9" w:rsidR="00E51CDD" w:rsidRPr="003F360C" w:rsidRDefault="00E51CDD" w:rsidP="009938D9">
            <w:pPr>
              <w:widowControl w:val="0"/>
              <w:suppressAutoHyphens/>
              <w:overflowPunct w:val="0"/>
              <w:autoSpaceDE w:val="0"/>
              <w:autoSpaceDN w:val="0"/>
              <w:adjustRightInd w:val="0"/>
              <w:jc w:val="center"/>
              <w:textAlignment w:val="baseline"/>
              <w:rPr>
                <w:color w:val="000000" w:themeColor="text1"/>
                <w:sz w:val="20"/>
                <w:szCs w:val="20"/>
              </w:rPr>
            </w:pPr>
            <w:r w:rsidRPr="003F360C">
              <w:rPr>
                <w:color w:val="000000" w:themeColor="text1"/>
                <w:sz w:val="20"/>
                <w:szCs w:val="20"/>
              </w:rPr>
              <w:t>Chapter 8.9</w:t>
            </w:r>
            <w:r w:rsidR="00E13653">
              <w:rPr>
                <w:color w:val="000000" w:themeColor="text1"/>
                <w:sz w:val="20"/>
                <w:szCs w:val="20"/>
              </w:rPr>
              <w:t xml:space="preserve"> </w:t>
            </w:r>
            <w:r w:rsidR="00E13653" w:rsidRPr="00B9764C">
              <w:rPr>
                <w:color w:val="000000" w:themeColor="text1"/>
                <w:sz w:val="20"/>
                <w:szCs w:val="20"/>
                <w:shd w:val="clear" w:color="auto" w:fill="D9D9D9" w:themeFill="background1" w:themeFillShade="D9"/>
              </w:rPr>
              <w:t>(Step 2</w:t>
            </w:r>
            <w:r w:rsidR="00B9764C" w:rsidRPr="00B9764C">
              <w:rPr>
                <w:color w:val="000000" w:themeColor="text1"/>
                <w:sz w:val="20"/>
                <w:szCs w:val="20"/>
                <w:shd w:val="clear" w:color="auto" w:fill="D9D9D9" w:themeFill="background1" w:themeFillShade="D9"/>
              </w:rPr>
              <w:t>, Northern Europe)</w:t>
            </w:r>
          </w:p>
        </w:tc>
      </w:tr>
      <w:tr w:rsidR="00E51CDD" w:rsidRPr="003F360C" w14:paraId="01AF47A6" w14:textId="77777777" w:rsidTr="009938D9">
        <w:trPr>
          <w:cantSplit/>
          <w:trHeight w:val="547"/>
        </w:trPr>
        <w:tc>
          <w:tcPr>
            <w:tcW w:w="1547" w:type="pct"/>
            <w:vAlign w:val="center"/>
          </w:tcPr>
          <w:p w14:paraId="6DFAAA5D" w14:textId="77777777" w:rsidR="00E51CDD" w:rsidRPr="003F360C" w:rsidRDefault="00E51CDD" w:rsidP="009938D9">
            <w:pPr>
              <w:widowControl w:val="0"/>
              <w:numPr>
                <w:ilvl w:val="12"/>
                <w:numId w:val="0"/>
              </w:numPr>
              <w:suppressAutoHyphens/>
              <w:rPr>
                <w:color w:val="000000" w:themeColor="text1"/>
                <w:sz w:val="20"/>
                <w:szCs w:val="20"/>
              </w:rPr>
            </w:pPr>
            <w:r w:rsidRPr="003F360C">
              <w:rPr>
                <w:color w:val="000000" w:themeColor="text1"/>
                <w:sz w:val="20"/>
                <w:szCs w:val="20"/>
              </w:rPr>
              <w:t>BCF</w:t>
            </w:r>
            <w:r w:rsidRPr="007130C3">
              <w:rPr>
                <w:color w:val="000000" w:themeColor="text1"/>
                <w:sz w:val="20"/>
                <w:szCs w:val="20"/>
                <w:vertAlign w:val="subscript"/>
              </w:rPr>
              <w:t>fish</w:t>
            </w:r>
            <w:r w:rsidRPr="003F360C">
              <w:rPr>
                <w:color w:val="000000" w:themeColor="text1"/>
                <w:sz w:val="20"/>
                <w:szCs w:val="20"/>
              </w:rPr>
              <w:t xml:space="preserve"> (max. worst case)</w:t>
            </w:r>
          </w:p>
        </w:tc>
        <w:tc>
          <w:tcPr>
            <w:tcW w:w="1461" w:type="pct"/>
            <w:vAlign w:val="center"/>
          </w:tcPr>
          <w:p w14:paraId="4466967D" w14:textId="77777777" w:rsidR="00E51CDD" w:rsidRPr="003F360C" w:rsidRDefault="00E51CDD" w:rsidP="009938D9">
            <w:pPr>
              <w:widowControl w:val="0"/>
              <w:numPr>
                <w:ilvl w:val="12"/>
                <w:numId w:val="0"/>
              </w:numPr>
              <w:suppressAutoHyphens/>
              <w:jc w:val="center"/>
              <w:rPr>
                <w:color w:val="000000" w:themeColor="text1"/>
                <w:sz w:val="20"/>
                <w:szCs w:val="20"/>
              </w:rPr>
            </w:pPr>
            <w:r w:rsidRPr="003F360C">
              <w:rPr>
                <w:color w:val="000000" w:themeColor="text1"/>
                <w:sz w:val="20"/>
                <w:szCs w:val="20"/>
                <w:lang w:val="en-GB"/>
              </w:rPr>
              <w:t>36</w:t>
            </w:r>
          </w:p>
        </w:tc>
        <w:tc>
          <w:tcPr>
            <w:tcW w:w="1993" w:type="pct"/>
            <w:vAlign w:val="center"/>
          </w:tcPr>
          <w:p w14:paraId="2EA8180C" w14:textId="77777777" w:rsidR="00E51CDD" w:rsidRPr="003F360C" w:rsidRDefault="00E51CDD" w:rsidP="009938D9">
            <w:pPr>
              <w:widowControl w:val="0"/>
              <w:tabs>
                <w:tab w:val="left" w:pos="720"/>
                <w:tab w:val="right" w:pos="9356"/>
              </w:tabs>
              <w:suppressAutoHyphens/>
              <w:jc w:val="center"/>
              <w:rPr>
                <w:color w:val="000000" w:themeColor="text1"/>
                <w:sz w:val="20"/>
                <w:szCs w:val="20"/>
              </w:rPr>
            </w:pPr>
            <w:r w:rsidRPr="003F360C">
              <w:rPr>
                <w:color w:val="000000" w:themeColor="text1"/>
                <w:sz w:val="20"/>
                <w:szCs w:val="20"/>
                <w:lang w:val="en-GB"/>
              </w:rPr>
              <w:t>EFSA Journal 2012; 10(1): 2522</w:t>
            </w:r>
          </w:p>
        </w:tc>
      </w:tr>
      <w:tr w:rsidR="00E51CDD" w:rsidRPr="003F360C" w14:paraId="6F9BF990" w14:textId="77777777" w:rsidTr="009938D9">
        <w:trPr>
          <w:cantSplit/>
          <w:trHeight w:val="397"/>
        </w:trPr>
        <w:tc>
          <w:tcPr>
            <w:tcW w:w="1547" w:type="pct"/>
            <w:vAlign w:val="center"/>
          </w:tcPr>
          <w:p w14:paraId="3C5C6320" w14:textId="77777777" w:rsidR="00E51CDD" w:rsidRPr="003F360C" w:rsidRDefault="00E51CDD" w:rsidP="009938D9">
            <w:pPr>
              <w:widowControl w:val="0"/>
              <w:numPr>
                <w:ilvl w:val="12"/>
                <w:numId w:val="0"/>
              </w:numPr>
              <w:suppressAutoHyphens/>
              <w:rPr>
                <w:color w:val="000000" w:themeColor="text1"/>
                <w:sz w:val="20"/>
              </w:rPr>
            </w:pPr>
            <w:r w:rsidRPr="003F360C">
              <w:rPr>
                <w:color w:val="000000" w:themeColor="text1"/>
                <w:sz w:val="20"/>
              </w:rPr>
              <w:t>PEC</w:t>
            </w:r>
            <w:r w:rsidRPr="003F360C">
              <w:rPr>
                <w:color w:val="000000" w:themeColor="text1"/>
                <w:sz w:val="20"/>
                <w:vertAlign w:val="subscript"/>
              </w:rPr>
              <w:t>fish</w:t>
            </w:r>
            <w:r w:rsidRPr="003F360C">
              <w:rPr>
                <w:color w:val="000000" w:themeColor="text1"/>
                <w:sz w:val="20"/>
              </w:rPr>
              <w:t xml:space="preserve"> [mg/kg] </w:t>
            </w:r>
            <w:r w:rsidRPr="003F360C">
              <w:rPr>
                <w:color w:val="000000" w:themeColor="text1"/>
                <w:sz w:val="20"/>
                <w:vertAlign w:val="superscript"/>
              </w:rPr>
              <w:t>2)</w:t>
            </w:r>
          </w:p>
        </w:tc>
        <w:tc>
          <w:tcPr>
            <w:tcW w:w="1461" w:type="pct"/>
            <w:vAlign w:val="center"/>
          </w:tcPr>
          <w:p w14:paraId="3F53A8D4" w14:textId="77777777" w:rsidR="00E51CDD" w:rsidRPr="003F360C" w:rsidRDefault="00E51CDD" w:rsidP="009938D9">
            <w:pPr>
              <w:widowControl w:val="0"/>
              <w:numPr>
                <w:ilvl w:val="12"/>
                <w:numId w:val="0"/>
              </w:numPr>
              <w:suppressAutoHyphens/>
              <w:jc w:val="center"/>
              <w:rPr>
                <w:color w:val="000000" w:themeColor="text1"/>
                <w:sz w:val="20"/>
                <w:szCs w:val="20"/>
              </w:rPr>
            </w:pPr>
            <w:r w:rsidRPr="003F360C">
              <w:rPr>
                <w:color w:val="000000" w:themeColor="text1"/>
                <w:sz w:val="20"/>
                <w:szCs w:val="20"/>
              </w:rPr>
              <w:t>0.</w:t>
            </w:r>
            <w:r>
              <w:rPr>
                <w:color w:val="000000" w:themeColor="text1"/>
                <w:sz w:val="20"/>
                <w:szCs w:val="20"/>
              </w:rPr>
              <w:t>220</w:t>
            </w:r>
          </w:p>
        </w:tc>
        <w:tc>
          <w:tcPr>
            <w:tcW w:w="1993" w:type="pct"/>
            <w:vAlign w:val="center"/>
          </w:tcPr>
          <w:p w14:paraId="0780B492" w14:textId="77777777" w:rsidR="00E51CDD" w:rsidRPr="003F360C" w:rsidRDefault="00E51CDD" w:rsidP="009938D9">
            <w:pPr>
              <w:widowControl w:val="0"/>
              <w:suppressAutoHyphens/>
              <w:overflowPunct w:val="0"/>
              <w:autoSpaceDE w:val="0"/>
              <w:autoSpaceDN w:val="0"/>
              <w:adjustRightInd w:val="0"/>
              <w:jc w:val="center"/>
              <w:textAlignment w:val="baseline"/>
              <w:rPr>
                <w:color w:val="000000" w:themeColor="text1"/>
                <w:sz w:val="20"/>
                <w:szCs w:val="20"/>
              </w:rPr>
            </w:pPr>
            <w:r w:rsidRPr="003F360C">
              <w:rPr>
                <w:color w:val="000000" w:themeColor="text1"/>
                <w:sz w:val="20"/>
                <w:szCs w:val="20"/>
              </w:rPr>
              <w:t>--</w:t>
            </w:r>
          </w:p>
        </w:tc>
      </w:tr>
      <w:tr w:rsidR="00E51CDD" w:rsidRPr="003F360C" w14:paraId="0EF315A2" w14:textId="77777777" w:rsidTr="009938D9">
        <w:trPr>
          <w:cantSplit/>
          <w:trHeight w:val="403"/>
        </w:trPr>
        <w:tc>
          <w:tcPr>
            <w:tcW w:w="1547" w:type="pct"/>
            <w:vAlign w:val="center"/>
          </w:tcPr>
          <w:p w14:paraId="4DC1EFD0" w14:textId="77777777" w:rsidR="00E51CDD" w:rsidRPr="003F360C" w:rsidRDefault="00E51CDD" w:rsidP="009938D9">
            <w:pPr>
              <w:widowControl w:val="0"/>
              <w:numPr>
                <w:ilvl w:val="12"/>
                <w:numId w:val="0"/>
              </w:numPr>
              <w:suppressAutoHyphens/>
              <w:rPr>
                <w:color w:val="000000" w:themeColor="text1"/>
                <w:sz w:val="20"/>
              </w:rPr>
            </w:pPr>
            <w:r w:rsidRPr="003F360C">
              <w:rPr>
                <w:color w:val="000000" w:themeColor="text1"/>
                <w:sz w:val="20"/>
              </w:rPr>
              <w:t xml:space="preserve">Daily dose [mg/kg b.w./d] </w:t>
            </w:r>
            <w:r w:rsidRPr="003F360C">
              <w:rPr>
                <w:color w:val="000000" w:themeColor="text1"/>
                <w:sz w:val="20"/>
                <w:vertAlign w:val="superscript"/>
              </w:rPr>
              <w:t>3)</w:t>
            </w:r>
          </w:p>
        </w:tc>
        <w:tc>
          <w:tcPr>
            <w:tcW w:w="1461" w:type="pct"/>
            <w:vAlign w:val="center"/>
          </w:tcPr>
          <w:p w14:paraId="2419EAFC" w14:textId="77777777" w:rsidR="00E51CDD" w:rsidRPr="003F360C" w:rsidRDefault="00E51CDD" w:rsidP="009938D9">
            <w:pPr>
              <w:widowControl w:val="0"/>
              <w:numPr>
                <w:ilvl w:val="12"/>
                <w:numId w:val="0"/>
              </w:numPr>
              <w:suppressAutoHyphens/>
              <w:jc w:val="center"/>
              <w:rPr>
                <w:color w:val="000000" w:themeColor="text1"/>
                <w:sz w:val="20"/>
                <w:szCs w:val="20"/>
              </w:rPr>
            </w:pPr>
            <w:r w:rsidRPr="003F360C">
              <w:rPr>
                <w:color w:val="000000" w:themeColor="text1"/>
                <w:sz w:val="20"/>
                <w:szCs w:val="20"/>
              </w:rPr>
              <w:t>0.0</w:t>
            </w:r>
            <w:r>
              <w:rPr>
                <w:color w:val="000000" w:themeColor="text1"/>
                <w:sz w:val="20"/>
                <w:szCs w:val="20"/>
              </w:rPr>
              <w:t>35</w:t>
            </w:r>
          </w:p>
        </w:tc>
        <w:tc>
          <w:tcPr>
            <w:tcW w:w="1993" w:type="pct"/>
            <w:vAlign w:val="center"/>
          </w:tcPr>
          <w:p w14:paraId="11589905" w14:textId="77777777" w:rsidR="00E51CDD" w:rsidRPr="003F360C" w:rsidRDefault="00E51CDD" w:rsidP="009938D9">
            <w:pPr>
              <w:widowControl w:val="0"/>
              <w:suppressAutoHyphens/>
              <w:overflowPunct w:val="0"/>
              <w:autoSpaceDE w:val="0"/>
              <w:autoSpaceDN w:val="0"/>
              <w:adjustRightInd w:val="0"/>
              <w:jc w:val="center"/>
              <w:textAlignment w:val="baseline"/>
              <w:rPr>
                <w:color w:val="000000" w:themeColor="text1"/>
                <w:sz w:val="20"/>
                <w:szCs w:val="20"/>
              </w:rPr>
            </w:pPr>
            <w:r w:rsidRPr="003F360C">
              <w:rPr>
                <w:color w:val="000000" w:themeColor="text1"/>
                <w:sz w:val="20"/>
                <w:szCs w:val="20"/>
              </w:rPr>
              <w:t>--</w:t>
            </w:r>
          </w:p>
        </w:tc>
      </w:tr>
      <w:tr w:rsidR="00E51CDD" w:rsidRPr="003F360C" w14:paraId="6FCA009B" w14:textId="77777777" w:rsidTr="009938D9">
        <w:trPr>
          <w:cantSplit/>
          <w:trHeight w:val="403"/>
        </w:trPr>
        <w:tc>
          <w:tcPr>
            <w:tcW w:w="1547" w:type="pct"/>
            <w:vAlign w:val="center"/>
          </w:tcPr>
          <w:p w14:paraId="1E919FE6" w14:textId="77777777" w:rsidR="00E51CDD" w:rsidRPr="003F360C" w:rsidRDefault="00E51CDD" w:rsidP="009938D9">
            <w:pPr>
              <w:widowControl w:val="0"/>
              <w:numPr>
                <w:ilvl w:val="12"/>
                <w:numId w:val="0"/>
              </w:numPr>
              <w:suppressAutoHyphens/>
              <w:rPr>
                <w:color w:val="000000" w:themeColor="text1"/>
                <w:sz w:val="20"/>
                <w:lang w:val="es-ES_tradnl"/>
              </w:rPr>
            </w:pPr>
            <w:r w:rsidRPr="003F360C">
              <w:rPr>
                <w:color w:val="000000" w:themeColor="text1"/>
                <w:sz w:val="20"/>
              </w:rPr>
              <w:t>NO(A)EL [mg/kg b.w./d]</w:t>
            </w:r>
          </w:p>
        </w:tc>
        <w:tc>
          <w:tcPr>
            <w:tcW w:w="1461" w:type="pct"/>
            <w:vAlign w:val="center"/>
          </w:tcPr>
          <w:p w14:paraId="53B00F4C" w14:textId="77777777" w:rsidR="00E51CDD" w:rsidRPr="003F360C" w:rsidRDefault="00E51CDD" w:rsidP="009938D9">
            <w:pPr>
              <w:widowControl w:val="0"/>
              <w:numPr>
                <w:ilvl w:val="12"/>
                <w:numId w:val="0"/>
              </w:numPr>
              <w:suppressAutoHyphens/>
              <w:jc w:val="center"/>
              <w:rPr>
                <w:color w:val="000000" w:themeColor="text1"/>
                <w:sz w:val="20"/>
                <w:szCs w:val="20"/>
              </w:rPr>
            </w:pPr>
            <w:r w:rsidRPr="003F360C">
              <w:rPr>
                <w:color w:val="000000" w:themeColor="text1"/>
                <w:sz w:val="20"/>
                <w:szCs w:val="20"/>
              </w:rPr>
              <w:t>33.6</w:t>
            </w:r>
          </w:p>
        </w:tc>
        <w:tc>
          <w:tcPr>
            <w:tcW w:w="1993" w:type="pct"/>
            <w:vAlign w:val="center"/>
          </w:tcPr>
          <w:p w14:paraId="2447C129" w14:textId="77777777" w:rsidR="00E51CDD" w:rsidRPr="003F360C" w:rsidRDefault="00E51CDD" w:rsidP="009938D9">
            <w:pPr>
              <w:widowControl w:val="0"/>
              <w:suppressAutoHyphens/>
              <w:overflowPunct w:val="0"/>
              <w:autoSpaceDE w:val="0"/>
              <w:autoSpaceDN w:val="0"/>
              <w:adjustRightInd w:val="0"/>
              <w:jc w:val="center"/>
              <w:textAlignment w:val="baseline"/>
              <w:rPr>
                <w:color w:val="000000" w:themeColor="text1"/>
                <w:sz w:val="20"/>
                <w:szCs w:val="20"/>
                <w:lang w:val="de-DE"/>
              </w:rPr>
            </w:pPr>
            <w:r w:rsidRPr="003F360C">
              <w:rPr>
                <w:color w:val="000000" w:themeColor="text1"/>
                <w:sz w:val="20"/>
                <w:szCs w:val="20"/>
                <w:lang w:val="de-DE"/>
              </w:rPr>
              <w:t>Chapter 9.2.1</w:t>
            </w:r>
          </w:p>
        </w:tc>
      </w:tr>
      <w:tr w:rsidR="00E51CDD" w:rsidRPr="003F360C" w14:paraId="4B8D0B9B" w14:textId="77777777" w:rsidTr="009938D9">
        <w:trPr>
          <w:cantSplit/>
          <w:trHeight w:val="397"/>
        </w:trPr>
        <w:tc>
          <w:tcPr>
            <w:tcW w:w="1547" w:type="pct"/>
            <w:vAlign w:val="center"/>
          </w:tcPr>
          <w:p w14:paraId="33863BC9" w14:textId="77777777" w:rsidR="00E51CDD" w:rsidRPr="003F360C" w:rsidRDefault="00E51CDD" w:rsidP="009938D9">
            <w:pPr>
              <w:widowControl w:val="0"/>
              <w:numPr>
                <w:ilvl w:val="12"/>
                <w:numId w:val="0"/>
              </w:numPr>
              <w:suppressAutoHyphens/>
              <w:rPr>
                <w:color w:val="000000" w:themeColor="text1"/>
                <w:sz w:val="20"/>
                <w:vertAlign w:val="superscript"/>
              </w:rPr>
            </w:pPr>
            <w:r w:rsidRPr="003F360C">
              <w:rPr>
                <w:color w:val="000000" w:themeColor="text1"/>
                <w:sz w:val="20"/>
              </w:rPr>
              <w:t>TER</w:t>
            </w:r>
            <w:r w:rsidRPr="003F360C">
              <w:rPr>
                <w:caps/>
                <w:color w:val="000000" w:themeColor="text1"/>
                <w:sz w:val="20"/>
                <w:vertAlign w:val="subscript"/>
              </w:rPr>
              <w:t xml:space="preserve">lt </w:t>
            </w:r>
            <w:r w:rsidRPr="003F360C">
              <w:rPr>
                <w:caps/>
                <w:color w:val="000000" w:themeColor="text1"/>
                <w:sz w:val="20"/>
                <w:vertAlign w:val="superscript"/>
              </w:rPr>
              <w:t>4)</w:t>
            </w:r>
          </w:p>
        </w:tc>
        <w:tc>
          <w:tcPr>
            <w:tcW w:w="1461" w:type="pct"/>
            <w:vAlign w:val="center"/>
          </w:tcPr>
          <w:p w14:paraId="3FB06310" w14:textId="77777777" w:rsidR="00E51CDD" w:rsidRPr="003F360C" w:rsidRDefault="00E51CDD" w:rsidP="009938D9">
            <w:pPr>
              <w:widowControl w:val="0"/>
              <w:numPr>
                <w:ilvl w:val="12"/>
                <w:numId w:val="0"/>
              </w:numPr>
              <w:suppressAutoHyphens/>
              <w:jc w:val="center"/>
              <w:rPr>
                <w:color w:val="000000" w:themeColor="text1"/>
                <w:sz w:val="20"/>
                <w:szCs w:val="20"/>
              </w:rPr>
            </w:pPr>
            <w:r>
              <w:rPr>
                <w:color w:val="000000" w:themeColor="text1"/>
                <w:sz w:val="20"/>
                <w:szCs w:val="20"/>
              </w:rPr>
              <w:t>958.7</w:t>
            </w:r>
          </w:p>
        </w:tc>
        <w:tc>
          <w:tcPr>
            <w:tcW w:w="1993" w:type="pct"/>
            <w:vAlign w:val="center"/>
          </w:tcPr>
          <w:p w14:paraId="6CD53CDE" w14:textId="77777777" w:rsidR="00E51CDD" w:rsidRPr="003F360C" w:rsidRDefault="00E51CDD" w:rsidP="009938D9">
            <w:pPr>
              <w:widowControl w:val="0"/>
              <w:suppressAutoHyphens/>
              <w:overflowPunct w:val="0"/>
              <w:autoSpaceDE w:val="0"/>
              <w:autoSpaceDN w:val="0"/>
              <w:adjustRightInd w:val="0"/>
              <w:jc w:val="center"/>
              <w:textAlignment w:val="baseline"/>
              <w:rPr>
                <w:color w:val="000000" w:themeColor="text1"/>
                <w:sz w:val="20"/>
                <w:szCs w:val="20"/>
              </w:rPr>
            </w:pPr>
            <w:r w:rsidRPr="003F360C">
              <w:rPr>
                <w:color w:val="000000" w:themeColor="text1"/>
                <w:sz w:val="20"/>
                <w:szCs w:val="20"/>
              </w:rPr>
              <w:t>--</w:t>
            </w:r>
          </w:p>
        </w:tc>
      </w:tr>
    </w:tbl>
    <w:p w14:paraId="7D0315FE" w14:textId="77777777" w:rsidR="00E51CDD" w:rsidRPr="003F360C" w:rsidRDefault="00E51CDD" w:rsidP="00E51CDD">
      <w:pPr>
        <w:widowControl w:val="0"/>
        <w:numPr>
          <w:ilvl w:val="12"/>
          <w:numId w:val="0"/>
        </w:numPr>
        <w:tabs>
          <w:tab w:val="left" w:pos="426"/>
          <w:tab w:val="left" w:pos="720"/>
        </w:tabs>
        <w:autoSpaceDE w:val="0"/>
        <w:autoSpaceDN w:val="0"/>
        <w:adjustRightInd w:val="0"/>
        <w:ind w:left="426" w:hanging="426"/>
        <w:jc w:val="both"/>
        <w:rPr>
          <w:sz w:val="18"/>
          <w:szCs w:val="18"/>
        </w:rPr>
      </w:pPr>
      <w:bookmarkStart w:id="264" w:name="_Hlk63237921"/>
      <w:r w:rsidRPr="003F360C">
        <w:rPr>
          <w:color w:val="000000" w:themeColor="text1"/>
          <w:sz w:val="18"/>
          <w:szCs w:val="18"/>
          <w:vertAlign w:val="superscript"/>
        </w:rPr>
        <w:t>1)</w:t>
      </w:r>
      <w:r w:rsidRPr="003F360C">
        <w:rPr>
          <w:color w:val="000000" w:themeColor="text1"/>
          <w:sz w:val="18"/>
          <w:szCs w:val="18"/>
          <w:vertAlign w:val="superscript"/>
        </w:rPr>
        <w:tab/>
      </w:r>
      <w:r w:rsidRPr="003F360C">
        <w:rPr>
          <w:color w:val="000000" w:themeColor="text1"/>
          <w:sz w:val="18"/>
          <w:szCs w:val="18"/>
        </w:rPr>
        <w:t>PEC</w:t>
      </w:r>
      <w:r w:rsidRPr="007130C3">
        <w:rPr>
          <w:color w:val="000000" w:themeColor="text1"/>
          <w:sz w:val="18"/>
          <w:szCs w:val="18"/>
          <w:vertAlign w:val="subscript"/>
        </w:rPr>
        <w:t>sw</w:t>
      </w:r>
      <w:r w:rsidRPr="003F360C">
        <w:rPr>
          <w:color w:val="000000" w:themeColor="text1"/>
          <w:sz w:val="18"/>
          <w:szCs w:val="18"/>
        </w:rPr>
        <w:t xml:space="preserve"> (</w:t>
      </w:r>
      <w:r>
        <w:rPr>
          <w:color w:val="000000" w:themeColor="text1"/>
          <w:sz w:val="18"/>
          <w:szCs w:val="24"/>
          <w:lang w:val="en-GB" w:eastAsia="en-US"/>
        </w:rPr>
        <w:t>twa, 21 d</w:t>
      </w:r>
      <w:r w:rsidRPr="003F360C">
        <w:rPr>
          <w:color w:val="000000" w:themeColor="text1"/>
          <w:sz w:val="18"/>
          <w:szCs w:val="18"/>
        </w:rPr>
        <w:t xml:space="preserve">) value calculated for a multiple application scenario of 2 x </w:t>
      </w:r>
      <w:r>
        <w:rPr>
          <w:color w:val="000000" w:themeColor="text1"/>
          <w:sz w:val="18"/>
          <w:szCs w:val="18"/>
        </w:rPr>
        <w:t>10</w:t>
      </w:r>
      <w:r w:rsidRPr="003F360C">
        <w:rPr>
          <w:color w:val="000000" w:themeColor="text1"/>
          <w:sz w:val="18"/>
          <w:szCs w:val="18"/>
        </w:rPr>
        <w:t xml:space="preserve">0 g a.s./ha to </w:t>
      </w:r>
      <w:r>
        <w:rPr>
          <w:color w:val="000000" w:themeColor="text1"/>
          <w:sz w:val="18"/>
          <w:szCs w:val="18"/>
        </w:rPr>
        <w:t>cereals</w:t>
      </w:r>
      <w:r w:rsidRPr="003F360C">
        <w:rPr>
          <w:color w:val="000000" w:themeColor="text1"/>
          <w:sz w:val="18"/>
          <w:szCs w:val="18"/>
        </w:rPr>
        <w:t xml:space="preserve"> from FOCU</w:t>
      </w:r>
      <w:r w:rsidRPr="003F360C">
        <w:rPr>
          <w:sz w:val="18"/>
          <w:szCs w:val="18"/>
        </w:rPr>
        <w:t>S Step 2 (North</w:t>
      </w:r>
      <w:r>
        <w:rPr>
          <w:sz w:val="18"/>
          <w:szCs w:val="18"/>
        </w:rPr>
        <w:t>ern</w:t>
      </w:r>
      <w:r w:rsidRPr="003F360C">
        <w:rPr>
          <w:sz w:val="18"/>
          <w:szCs w:val="18"/>
        </w:rPr>
        <w:t xml:space="preserve"> Europe</w:t>
      </w:r>
      <w:r>
        <w:rPr>
          <w:sz w:val="18"/>
          <w:szCs w:val="18"/>
        </w:rPr>
        <w:t xml:space="preserve"> scenario</w:t>
      </w:r>
      <w:r w:rsidRPr="003F360C">
        <w:rPr>
          <w:sz w:val="18"/>
          <w:szCs w:val="18"/>
        </w:rPr>
        <w:t>) as worst-case. For details see chapter 8.9</w:t>
      </w:r>
      <w:r>
        <w:rPr>
          <w:sz w:val="18"/>
          <w:szCs w:val="18"/>
        </w:rPr>
        <w:t xml:space="preserve">. </w:t>
      </w:r>
    </w:p>
    <w:bookmarkEnd w:id="264"/>
    <w:p w14:paraId="7A6FA58F" w14:textId="77777777" w:rsidR="00E51CDD" w:rsidRPr="003F360C" w:rsidRDefault="00E51CDD" w:rsidP="00E51CDD">
      <w:pPr>
        <w:widowControl w:val="0"/>
        <w:suppressAutoHyphens/>
        <w:ind w:left="426" w:hanging="426"/>
        <w:jc w:val="both"/>
        <w:rPr>
          <w:sz w:val="18"/>
          <w:szCs w:val="18"/>
        </w:rPr>
      </w:pPr>
      <w:r w:rsidRPr="003F360C">
        <w:rPr>
          <w:sz w:val="18"/>
          <w:szCs w:val="18"/>
          <w:vertAlign w:val="superscript"/>
        </w:rPr>
        <w:t>2)</w:t>
      </w:r>
      <w:r w:rsidRPr="003F360C">
        <w:rPr>
          <w:sz w:val="18"/>
          <w:szCs w:val="18"/>
          <w:vertAlign w:val="superscript"/>
        </w:rPr>
        <w:tab/>
      </w:r>
      <w:r w:rsidRPr="003F360C">
        <w:rPr>
          <w:sz w:val="18"/>
          <w:szCs w:val="18"/>
        </w:rPr>
        <w:t>PEC</w:t>
      </w:r>
      <w:r w:rsidRPr="003F360C">
        <w:rPr>
          <w:sz w:val="18"/>
          <w:szCs w:val="18"/>
          <w:vertAlign w:val="subscript"/>
        </w:rPr>
        <w:t>fish</w:t>
      </w:r>
      <w:r w:rsidRPr="003F360C">
        <w:rPr>
          <w:sz w:val="18"/>
          <w:szCs w:val="18"/>
        </w:rPr>
        <w:t xml:space="preserve"> = PEC</w:t>
      </w:r>
      <w:r w:rsidRPr="003F360C">
        <w:rPr>
          <w:sz w:val="18"/>
          <w:szCs w:val="18"/>
          <w:vertAlign w:val="subscript"/>
        </w:rPr>
        <w:t>sw</w:t>
      </w:r>
      <w:r>
        <w:rPr>
          <w:sz w:val="18"/>
          <w:szCs w:val="18"/>
        </w:rPr>
        <w:t xml:space="preserve"> </w:t>
      </w:r>
      <w:r w:rsidRPr="003F360C">
        <w:rPr>
          <w:sz w:val="18"/>
          <w:szCs w:val="18"/>
        </w:rPr>
        <w:t>(twa, 21 d) x BCF</w:t>
      </w:r>
    </w:p>
    <w:p w14:paraId="282F5B8F" w14:textId="77777777" w:rsidR="00E51CDD" w:rsidRPr="003F360C" w:rsidRDefault="00E51CDD" w:rsidP="00E51CDD">
      <w:pPr>
        <w:widowControl w:val="0"/>
        <w:suppressAutoHyphens/>
        <w:ind w:left="426" w:hanging="426"/>
        <w:jc w:val="both"/>
        <w:rPr>
          <w:sz w:val="18"/>
          <w:szCs w:val="18"/>
        </w:rPr>
      </w:pPr>
      <w:r w:rsidRPr="003F360C">
        <w:rPr>
          <w:sz w:val="18"/>
          <w:szCs w:val="18"/>
          <w:vertAlign w:val="superscript"/>
        </w:rPr>
        <w:t>3)</w:t>
      </w:r>
      <w:r w:rsidRPr="003F360C">
        <w:rPr>
          <w:sz w:val="18"/>
          <w:szCs w:val="18"/>
          <w:vertAlign w:val="superscript"/>
        </w:rPr>
        <w:tab/>
      </w:r>
      <w:r w:rsidRPr="003F360C">
        <w:rPr>
          <w:sz w:val="18"/>
          <w:szCs w:val="18"/>
        </w:rPr>
        <w:t>Daily dose = 0.159 x PEC</w:t>
      </w:r>
      <w:r w:rsidRPr="003F360C">
        <w:rPr>
          <w:sz w:val="18"/>
          <w:szCs w:val="18"/>
          <w:vertAlign w:val="subscript"/>
        </w:rPr>
        <w:t>fish</w:t>
      </w:r>
      <w:r w:rsidRPr="003F360C">
        <w:rPr>
          <w:sz w:val="18"/>
          <w:szCs w:val="18"/>
        </w:rPr>
        <w:t xml:space="preserve"> </w:t>
      </w:r>
    </w:p>
    <w:p w14:paraId="3BD8331F" w14:textId="77777777" w:rsidR="00E51CDD" w:rsidRDefault="00E51CDD" w:rsidP="00E51CDD">
      <w:pPr>
        <w:widowControl w:val="0"/>
        <w:suppressAutoHyphens/>
        <w:ind w:left="426" w:hanging="426"/>
        <w:jc w:val="both"/>
        <w:rPr>
          <w:sz w:val="18"/>
          <w:szCs w:val="18"/>
        </w:rPr>
      </w:pPr>
      <w:r w:rsidRPr="003F360C">
        <w:rPr>
          <w:sz w:val="18"/>
          <w:szCs w:val="18"/>
          <w:vertAlign w:val="superscript"/>
        </w:rPr>
        <w:t>4)</w:t>
      </w:r>
      <w:r w:rsidRPr="003F360C">
        <w:rPr>
          <w:sz w:val="18"/>
          <w:szCs w:val="18"/>
          <w:vertAlign w:val="superscript"/>
        </w:rPr>
        <w:tab/>
      </w:r>
      <w:r w:rsidRPr="003F360C">
        <w:rPr>
          <w:sz w:val="18"/>
          <w:szCs w:val="18"/>
        </w:rPr>
        <w:t>TER</w:t>
      </w:r>
      <w:r w:rsidRPr="003F360C">
        <w:rPr>
          <w:sz w:val="18"/>
          <w:szCs w:val="18"/>
          <w:vertAlign w:val="subscript"/>
        </w:rPr>
        <w:t>LT</w:t>
      </w:r>
      <w:r w:rsidRPr="003F360C">
        <w:rPr>
          <w:sz w:val="18"/>
          <w:szCs w:val="18"/>
        </w:rPr>
        <w:t xml:space="preserve"> = NO(A)EL / Daily dose.</w:t>
      </w:r>
    </w:p>
    <w:p w14:paraId="702E129C" w14:textId="40030A2C" w:rsidR="00E51CDD" w:rsidRDefault="00E51CDD" w:rsidP="00E51CDD">
      <w:pPr>
        <w:widowControl w:val="0"/>
        <w:suppressAutoHyphens/>
        <w:ind w:left="426" w:hanging="426"/>
        <w:jc w:val="both"/>
        <w:rPr>
          <w:sz w:val="18"/>
          <w:szCs w:val="18"/>
        </w:rPr>
      </w:pPr>
    </w:p>
    <w:p w14:paraId="328CEF85" w14:textId="77777777" w:rsidR="00E51CDD" w:rsidRPr="002B1114" w:rsidRDefault="00E51CDD" w:rsidP="00E51CDD">
      <w:pPr>
        <w:pStyle w:val="Nagwek4"/>
        <w:rPr>
          <w:lang w:val="en-GB"/>
        </w:rPr>
      </w:pPr>
      <w:bookmarkStart w:id="265" w:name="_Toc399353255"/>
      <w:bookmarkStart w:id="266" w:name="_Toc412643979"/>
      <w:bookmarkStart w:id="267" w:name="_Toc413916825"/>
      <w:bookmarkStart w:id="268" w:name="_Toc413916967"/>
      <w:bookmarkStart w:id="269" w:name="_Toc413922028"/>
      <w:bookmarkStart w:id="270" w:name="_Toc413922517"/>
      <w:bookmarkStart w:id="271" w:name="_Toc413922621"/>
      <w:bookmarkStart w:id="272" w:name="_Toc414955258"/>
      <w:bookmarkStart w:id="273" w:name="_Toc415214565"/>
      <w:bookmarkStart w:id="274" w:name="_Toc125446408"/>
      <w:r w:rsidRPr="002B1114">
        <w:rPr>
          <w:lang w:val="en-GB"/>
        </w:rPr>
        <w:t>Biomagnification in terrestrial food chains</w:t>
      </w:r>
      <w:bookmarkEnd w:id="265"/>
      <w:bookmarkEnd w:id="266"/>
      <w:bookmarkEnd w:id="267"/>
      <w:bookmarkEnd w:id="268"/>
      <w:bookmarkEnd w:id="269"/>
      <w:bookmarkEnd w:id="270"/>
      <w:bookmarkEnd w:id="271"/>
      <w:bookmarkEnd w:id="272"/>
      <w:bookmarkEnd w:id="273"/>
      <w:bookmarkEnd w:id="274"/>
    </w:p>
    <w:p w14:paraId="63CD9D1A" w14:textId="77777777" w:rsidR="00E51CDD" w:rsidRPr="0026404C" w:rsidRDefault="00E51CDD" w:rsidP="00E51CDD">
      <w:pPr>
        <w:widowControl w:val="0"/>
        <w:tabs>
          <w:tab w:val="left" w:pos="120"/>
        </w:tabs>
        <w:jc w:val="both"/>
        <w:rPr>
          <w:lang w:val="en-GB"/>
        </w:rPr>
      </w:pPr>
      <w:r w:rsidRPr="0026404C">
        <w:rPr>
          <w:rFonts w:eastAsia="SimSun"/>
          <w:lang w:val="en-GB" w:eastAsia="zh-CN"/>
        </w:rPr>
        <w:t xml:space="preserve">Low potential for accumulation in animal tissue was concluded in the EU review of </w:t>
      </w:r>
      <w:r w:rsidRPr="0026404C">
        <w:rPr>
          <w:lang w:val="en-GB" w:eastAsia="en-US"/>
        </w:rPr>
        <w:t>fluxapyroxad</w:t>
      </w:r>
      <w:r w:rsidRPr="0026404C">
        <w:rPr>
          <w:rFonts w:eastAsia="SimSun"/>
          <w:lang w:val="en-GB" w:eastAsia="zh-CN"/>
        </w:rPr>
        <w:t xml:space="preserve"> (</w:t>
      </w:r>
      <w:r w:rsidRPr="0026404C">
        <w:rPr>
          <w:lang w:val="en-GB"/>
        </w:rPr>
        <w:t>EFSA Journal 2012; 10(1):</w:t>
      </w:r>
      <w:r>
        <w:rPr>
          <w:lang w:val="en-GB"/>
        </w:rPr>
        <w:t> </w:t>
      </w:r>
      <w:r w:rsidRPr="0026404C">
        <w:rPr>
          <w:lang w:val="en-GB"/>
        </w:rPr>
        <w:t>2522).</w:t>
      </w:r>
    </w:p>
    <w:p w14:paraId="6210DBD7" w14:textId="77777777" w:rsidR="00E51CDD" w:rsidRDefault="00E51CDD" w:rsidP="00E51CDD">
      <w:pPr>
        <w:widowControl w:val="0"/>
        <w:tabs>
          <w:tab w:val="left" w:pos="720"/>
        </w:tabs>
        <w:suppressAutoHyphens/>
        <w:autoSpaceDE w:val="0"/>
        <w:autoSpaceDN w:val="0"/>
        <w:adjustRightInd w:val="0"/>
        <w:jc w:val="both"/>
        <w:rPr>
          <w:rFonts w:eastAsia="SimSun"/>
          <w:lang w:val="en-GB" w:eastAsia="zh-CN"/>
        </w:rPr>
      </w:pPr>
    </w:p>
    <w:p w14:paraId="3BCEA870" w14:textId="77777777" w:rsidR="00E51CDD" w:rsidRPr="000C24D6" w:rsidRDefault="00E51CDD" w:rsidP="00E51CDD">
      <w:pPr>
        <w:widowControl w:val="0"/>
        <w:tabs>
          <w:tab w:val="left" w:pos="720"/>
        </w:tabs>
        <w:suppressAutoHyphens/>
        <w:autoSpaceDE w:val="0"/>
        <w:autoSpaceDN w:val="0"/>
        <w:adjustRightInd w:val="0"/>
        <w:jc w:val="both"/>
        <w:rPr>
          <w:rFonts w:eastAsia="SimSun"/>
          <w:lang w:val="en-GB" w:eastAsia="zh-CN"/>
        </w:rPr>
      </w:pPr>
      <w:r w:rsidRPr="000C24D6">
        <w:rPr>
          <w:rFonts w:eastAsia="SimSun"/>
          <w:lang w:val="en-GB" w:eastAsia="zh-CN"/>
        </w:rPr>
        <w:t>No evidence of accumulation in animal tissue was concluded in the EU review of azoxystrobin from toxicokinetics studies (EFSA Journal 2010; 8(4): 1542)</w:t>
      </w:r>
      <w:r>
        <w:rPr>
          <w:rFonts w:eastAsia="SimSun"/>
          <w:lang w:val="en-GB" w:eastAsia="zh-CN"/>
        </w:rPr>
        <w:t>.</w:t>
      </w:r>
    </w:p>
    <w:p w14:paraId="0220A8A8" w14:textId="77777777" w:rsidR="00E51CDD" w:rsidRPr="0026404C" w:rsidRDefault="00E51CDD" w:rsidP="00E51CDD">
      <w:pPr>
        <w:widowControl w:val="0"/>
        <w:tabs>
          <w:tab w:val="left" w:pos="720"/>
        </w:tabs>
        <w:suppressAutoHyphens/>
        <w:autoSpaceDE w:val="0"/>
        <w:autoSpaceDN w:val="0"/>
        <w:adjustRightInd w:val="0"/>
        <w:jc w:val="both"/>
        <w:rPr>
          <w:rFonts w:eastAsia="SimSun"/>
          <w:lang w:val="en-GB" w:eastAsia="zh-CN"/>
        </w:rPr>
      </w:pPr>
    </w:p>
    <w:p w14:paraId="39F2F1F3" w14:textId="77777777" w:rsidR="00E51CDD" w:rsidRDefault="00E51CDD" w:rsidP="00E51CDD">
      <w:pPr>
        <w:widowControl w:val="0"/>
        <w:suppressAutoHyphens/>
        <w:jc w:val="both"/>
      </w:pPr>
      <w:r w:rsidRPr="0026404C">
        <w:t xml:space="preserve">Since the bioaccumulation potential of both fluxapyroxad </w:t>
      </w:r>
      <w:r>
        <w:t xml:space="preserve">and azoxystrobin </w:t>
      </w:r>
      <w:r w:rsidRPr="0026404C">
        <w:t>is low no further assessment on biomagnification is required</w:t>
      </w:r>
      <w:r w:rsidRPr="00136C44">
        <w:t>.</w:t>
      </w:r>
    </w:p>
    <w:p w14:paraId="74DB4A2B" w14:textId="4DA2882C" w:rsidR="00E51CDD" w:rsidRDefault="00E51CDD" w:rsidP="00E51CDD">
      <w:pPr>
        <w:widowControl w:val="0"/>
        <w:suppressAutoHyphens/>
        <w:jc w:val="both"/>
        <w:rPr>
          <w:b/>
          <w:bCs/>
        </w:rPr>
      </w:pPr>
    </w:p>
    <w:p w14:paraId="1BB947FD" w14:textId="77777777" w:rsidR="00E51CDD" w:rsidRPr="002B1114" w:rsidRDefault="00E51CDD" w:rsidP="00E51CDD">
      <w:pPr>
        <w:pStyle w:val="Nagwek3"/>
      </w:pPr>
      <w:bookmarkStart w:id="275" w:name="_Toc399353256"/>
      <w:bookmarkStart w:id="276" w:name="_Toc412643980"/>
      <w:bookmarkStart w:id="277" w:name="_Toc413916826"/>
      <w:bookmarkStart w:id="278" w:name="_Toc413916968"/>
      <w:bookmarkStart w:id="279" w:name="_Toc413922029"/>
      <w:bookmarkStart w:id="280" w:name="_Toc413922518"/>
      <w:bookmarkStart w:id="281" w:name="_Toc413922622"/>
      <w:bookmarkStart w:id="282" w:name="_Toc414955259"/>
      <w:bookmarkStart w:id="283" w:name="_Toc415214566"/>
      <w:bookmarkStart w:id="284" w:name="_Toc125446409"/>
      <w:r w:rsidRPr="002B1114">
        <w:t>Risk assessment for baits, pellets, granules, prills or treated seed</w:t>
      </w:r>
      <w:bookmarkEnd w:id="275"/>
      <w:bookmarkEnd w:id="276"/>
      <w:bookmarkEnd w:id="277"/>
      <w:bookmarkEnd w:id="278"/>
      <w:bookmarkEnd w:id="279"/>
      <w:bookmarkEnd w:id="280"/>
      <w:bookmarkEnd w:id="281"/>
      <w:bookmarkEnd w:id="282"/>
      <w:bookmarkEnd w:id="283"/>
      <w:bookmarkEnd w:id="284"/>
    </w:p>
    <w:p w14:paraId="2E0B6BD6" w14:textId="77777777" w:rsidR="00E51CDD" w:rsidRDefault="00E51CDD" w:rsidP="00E51CDD">
      <w:pPr>
        <w:pStyle w:val="RepStandard"/>
      </w:pPr>
      <w:r w:rsidRPr="002B1114">
        <w:t>Not relevant.</w:t>
      </w:r>
    </w:p>
    <w:p w14:paraId="0734A9B1" w14:textId="77777777" w:rsidR="00E51CDD" w:rsidRPr="002B1114" w:rsidRDefault="00E51CDD" w:rsidP="00E51CDD">
      <w:pPr>
        <w:pStyle w:val="RepStandard"/>
      </w:pPr>
    </w:p>
    <w:p w14:paraId="0A5EA094" w14:textId="77777777" w:rsidR="00E51CDD" w:rsidRPr="002B1114" w:rsidRDefault="00E51CDD" w:rsidP="00E51CDD">
      <w:pPr>
        <w:pStyle w:val="Nagwek3"/>
      </w:pPr>
      <w:bookmarkStart w:id="285" w:name="_Toc399353257"/>
      <w:bookmarkStart w:id="286" w:name="_Toc412643981"/>
      <w:bookmarkStart w:id="287" w:name="_Toc413916827"/>
      <w:bookmarkStart w:id="288" w:name="_Toc413916969"/>
      <w:bookmarkStart w:id="289" w:name="_Toc413922030"/>
      <w:bookmarkStart w:id="290" w:name="_Toc413922519"/>
      <w:bookmarkStart w:id="291" w:name="_Toc413922623"/>
      <w:bookmarkStart w:id="292" w:name="_Toc414955260"/>
      <w:bookmarkStart w:id="293" w:name="_Toc415214567"/>
      <w:bookmarkStart w:id="294" w:name="_Toc125446410"/>
      <w:r w:rsidRPr="002B1114">
        <w:t>Overall conclusions</w:t>
      </w:r>
      <w:bookmarkEnd w:id="285"/>
      <w:bookmarkEnd w:id="286"/>
      <w:bookmarkEnd w:id="287"/>
      <w:bookmarkEnd w:id="288"/>
      <w:bookmarkEnd w:id="289"/>
      <w:bookmarkEnd w:id="290"/>
      <w:bookmarkEnd w:id="291"/>
      <w:bookmarkEnd w:id="292"/>
      <w:bookmarkEnd w:id="293"/>
      <w:bookmarkEnd w:id="294"/>
    </w:p>
    <w:p w14:paraId="6B4306DC" w14:textId="77777777" w:rsidR="00E51CDD" w:rsidRPr="0026404C" w:rsidRDefault="00E51CDD" w:rsidP="00E51CDD">
      <w:pPr>
        <w:widowControl w:val="0"/>
        <w:jc w:val="both"/>
        <w:rPr>
          <w:b/>
          <w:bCs/>
          <w:lang w:val="en-GB" w:eastAsia="en-US"/>
        </w:rPr>
      </w:pPr>
      <w:r w:rsidRPr="0026404C">
        <w:rPr>
          <w:b/>
          <w:bCs/>
          <w:lang w:val="en-GB" w:eastAsia="en-US"/>
        </w:rPr>
        <w:t>It can be concluded that the risk to birds from the application of BAS 7</w:t>
      </w:r>
      <w:r>
        <w:rPr>
          <w:b/>
          <w:bCs/>
          <w:lang w:val="en-GB" w:eastAsia="en-US"/>
        </w:rPr>
        <w:t>36</w:t>
      </w:r>
      <w:r w:rsidRPr="0026404C">
        <w:rPr>
          <w:b/>
          <w:bCs/>
          <w:lang w:val="en-GB" w:eastAsia="en-US"/>
        </w:rPr>
        <w:t> 00 F according to good agricultural practice is acceptable.</w:t>
      </w:r>
    </w:p>
    <w:p w14:paraId="056B0F80" w14:textId="77777777" w:rsidR="00E51CDD" w:rsidRDefault="00E51CDD" w:rsidP="00E51CDD">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4A0" w:firstRow="1" w:lastRow="0" w:firstColumn="1" w:lastColumn="0" w:noHBand="0" w:noVBand="1"/>
      </w:tblPr>
      <w:tblGrid>
        <w:gridCol w:w="9347"/>
      </w:tblGrid>
      <w:tr w:rsidR="00B0739B" w:rsidRPr="00DD5DB0" w14:paraId="51D42037" w14:textId="77777777" w:rsidTr="00286DBE">
        <w:trPr>
          <w:trHeight w:val="2461"/>
        </w:trPr>
        <w:tc>
          <w:tcPr>
            <w:tcW w:w="5000" w:type="pct"/>
            <w:shd w:val="clear" w:color="auto" w:fill="D9D9D9" w:themeFill="background1" w:themeFillShade="D9"/>
          </w:tcPr>
          <w:p w14:paraId="6E33B979" w14:textId="77777777" w:rsidR="00B0739B" w:rsidRPr="00F5456E" w:rsidRDefault="00B0739B" w:rsidP="00230125">
            <w:pPr>
              <w:pStyle w:val="TableText"/>
              <w:spacing w:after="120"/>
              <w:jc w:val="both"/>
              <w:rPr>
                <w:b/>
                <w:bCs/>
                <w:sz w:val="22"/>
                <w:szCs w:val="22"/>
                <w:lang w:eastAsia="en-US"/>
              </w:rPr>
            </w:pPr>
            <w:r w:rsidRPr="00F5456E">
              <w:rPr>
                <w:b/>
                <w:bCs/>
                <w:sz w:val="22"/>
                <w:szCs w:val="22"/>
                <w:lang w:eastAsia="en-US"/>
              </w:rPr>
              <w:lastRenderedPageBreak/>
              <w:t>Review Comments:</w:t>
            </w:r>
          </w:p>
          <w:p w14:paraId="515F4D31" w14:textId="51D6FFBD" w:rsidR="00B0739B" w:rsidRPr="004F1653" w:rsidRDefault="00B0739B" w:rsidP="00230125">
            <w:pPr>
              <w:pStyle w:val="TableText9pt"/>
              <w:spacing w:before="0" w:after="120"/>
              <w:jc w:val="both"/>
              <w:rPr>
                <w:sz w:val="22"/>
                <w:szCs w:val="22"/>
                <w:lang w:val="en-GB"/>
              </w:rPr>
            </w:pPr>
            <w:r w:rsidRPr="004F1653">
              <w:rPr>
                <w:sz w:val="22"/>
                <w:szCs w:val="22"/>
                <w:lang w:val="en-GB"/>
              </w:rPr>
              <w:t>The acute and chronic risks of</w:t>
            </w:r>
            <w:r w:rsidRPr="004F1653">
              <w:rPr>
                <w:b/>
                <w:bCs/>
                <w:sz w:val="22"/>
                <w:szCs w:val="22"/>
                <w:lang w:val="en-GB" w:eastAsia="en-US"/>
              </w:rPr>
              <w:t xml:space="preserve"> </w:t>
            </w:r>
            <w:r w:rsidRPr="004F1653">
              <w:rPr>
                <w:bCs/>
                <w:sz w:val="22"/>
                <w:szCs w:val="22"/>
                <w:lang w:val="en-GB" w:eastAsia="en-US"/>
              </w:rPr>
              <w:t>BAS </w:t>
            </w:r>
            <w:r>
              <w:rPr>
                <w:bCs/>
                <w:sz w:val="22"/>
                <w:szCs w:val="22"/>
                <w:lang w:val="en-GB" w:eastAsia="en-US"/>
              </w:rPr>
              <w:t>736</w:t>
            </w:r>
            <w:r w:rsidRPr="004F1653">
              <w:rPr>
                <w:bCs/>
                <w:sz w:val="22"/>
                <w:szCs w:val="22"/>
                <w:lang w:val="en-GB" w:eastAsia="en-US"/>
              </w:rPr>
              <w:t> 00 </w:t>
            </w:r>
            <w:r>
              <w:rPr>
                <w:bCs/>
                <w:sz w:val="22"/>
                <w:szCs w:val="22"/>
                <w:lang w:val="en-GB" w:eastAsia="en-US"/>
              </w:rPr>
              <w:t>F</w:t>
            </w:r>
            <w:r w:rsidRPr="004F1653">
              <w:rPr>
                <w:sz w:val="22"/>
                <w:szCs w:val="22"/>
                <w:lang w:val="en-GB"/>
              </w:rPr>
              <w:t xml:space="preserve"> to birds were assessed from toxicity exposure ratios between toxicity endpoints, estimated from study with active ingredients and maximum residues occurring on food items. </w:t>
            </w:r>
          </w:p>
          <w:p w14:paraId="502142EA" w14:textId="7C3B2C1B" w:rsidR="00B0739B" w:rsidRPr="004F1653" w:rsidRDefault="00B0739B" w:rsidP="00230125">
            <w:pPr>
              <w:pStyle w:val="TableText"/>
              <w:spacing w:after="120"/>
              <w:jc w:val="both"/>
              <w:rPr>
                <w:sz w:val="22"/>
                <w:szCs w:val="22"/>
              </w:rPr>
            </w:pPr>
            <w:r w:rsidRPr="004F1653">
              <w:rPr>
                <w:sz w:val="22"/>
                <w:szCs w:val="22"/>
              </w:rPr>
              <w:t xml:space="preserve">All TER values exceed the relevant triggers indicating that </w:t>
            </w:r>
            <w:r w:rsidRPr="004F1653">
              <w:rPr>
                <w:bCs/>
                <w:sz w:val="22"/>
                <w:szCs w:val="22"/>
                <w:lang w:eastAsia="en-US"/>
              </w:rPr>
              <w:t>BAS </w:t>
            </w:r>
            <w:r>
              <w:rPr>
                <w:bCs/>
                <w:sz w:val="22"/>
                <w:szCs w:val="22"/>
                <w:lang w:eastAsia="en-US"/>
              </w:rPr>
              <w:t>736</w:t>
            </w:r>
            <w:r w:rsidRPr="004F1653">
              <w:rPr>
                <w:bCs/>
                <w:sz w:val="22"/>
                <w:szCs w:val="22"/>
                <w:lang w:eastAsia="en-US"/>
              </w:rPr>
              <w:t> 00 </w:t>
            </w:r>
            <w:r>
              <w:rPr>
                <w:bCs/>
                <w:sz w:val="22"/>
                <w:szCs w:val="22"/>
                <w:lang w:eastAsia="en-US"/>
              </w:rPr>
              <w:t>F</w:t>
            </w:r>
            <w:r w:rsidRPr="004F1653">
              <w:rPr>
                <w:sz w:val="22"/>
                <w:szCs w:val="22"/>
              </w:rPr>
              <w:t xml:space="preserve"> does not pose an unacceptable risk to birds following applications according to recommended use pattern.</w:t>
            </w:r>
          </w:p>
          <w:p w14:paraId="2710FD5A" w14:textId="77777777" w:rsidR="00B0739B" w:rsidRPr="00C24BD1" w:rsidRDefault="00B0739B" w:rsidP="00230125">
            <w:pPr>
              <w:shd w:val="clear" w:color="auto" w:fill="D9D9D9"/>
              <w:jc w:val="both"/>
              <w:rPr>
                <w:lang w:val="en-GB"/>
              </w:rPr>
            </w:pPr>
            <w:r w:rsidRPr="004F1653">
              <w:rPr>
                <w:lang w:val="en-GB" w:eastAsia="en-US"/>
              </w:rPr>
              <w:t xml:space="preserve">Evaluation of exposing to birds through the drinking water demonstrated the acceptable risk. </w:t>
            </w:r>
            <w:r>
              <w:rPr>
                <w:lang w:eastAsia="en-US"/>
              </w:rPr>
              <w:t>Th</w:t>
            </w:r>
            <w:r w:rsidRPr="00E33B05">
              <w:rPr>
                <w:rFonts w:cs="Arial"/>
              </w:rPr>
              <w:t>e potential risk of secondary poisoning is</w:t>
            </w:r>
            <w:r>
              <w:rPr>
                <w:rFonts w:cs="Arial"/>
              </w:rPr>
              <w:t xml:space="preserve"> low. </w:t>
            </w:r>
          </w:p>
        </w:tc>
      </w:tr>
    </w:tbl>
    <w:p w14:paraId="775FEA80" w14:textId="77777777" w:rsidR="00B9764C" w:rsidRPr="00B333FB" w:rsidRDefault="00B9764C" w:rsidP="00E51CDD">
      <w:pPr>
        <w:pStyle w:val="RepStandard"/>
      </w:pPr>
    </w:p>
    <w:p w14:paraId="773E526D" w14:textId="77777777" w:rsidR="00E51CDD" w:rsidRDefault="00E51CDD" w:rsidP="00E51CDD">
      <w:pPr>
        <w:pStyle w:val="StyleOECD-BASIS-TEXTLeft"/>
        <w:rPr>
          <w:sz w:val="22"/>
          <w:lang w:val="en-US"/>
        </w:rPr>
      </w:pPr>
    </w:p>
    <w:p w14:paraId="2CED10E4" w14:textId="77777777" w:rsidR="00E51CDD" w:rsidRDefault="00E51CDD" w:rsidP="00E51CDD">
      <w:pPr>
        <w:pStyle w:val="StyleOECD-BASIS-TEXTLeft"/>
        <w:rPr>
          <w:sz w:val="22"/>
          <w:lang w:val="en-US"/>
        </w:rPr>
      </w:pPr>
    </w:p>
    <w:p w14:paraId="6A421E7D" w14:textId="77777777" w:rsidR="00E51CDD" w:rsidRDefault="00E51CDD" w:rsidP="00CE08CB">
      <w:pPr>
        <w:pStyle w:val="StyleOECD-BASIS-TEXTLeft"/>
        <w:rPr>
          <w:sz w:val="22"/>
          <w:lang w:val="en-US"/>
        </w:rPr>
        <w:sectPr w:rsidR="00E51CDD" w:rsidSect="009938D9">
          <w:headerReference w:type="even" r:id="rId24"/>
          <w:footerReference w:type="even" r:id="rId25"/>
          <w:headerReference w:type="first" r:id="rId26"/>
          <w:footerReference w:type="first" r:id="rId27"/>
          <w:pgSz w:w="11909" w:h="16834" w:code="9"/>
          <w:pgMar w:top="1418" w:right="1134" w:bottom="1134" w:left="1418" w:header="709" w:footer="709" w:gutter="0"/>
          <w:pgNumType w:chapSep="period"/>
          <w:cols w:space="720"/>
          <w:noEndnote/>
          <w:docGrid w:linePitch="299"/>
        </w:sectPr>
      </w:pPr>
    </w:p>
    <w:p w14:paraId="17CBFAA6" w14:textId="77777777" w:rsidR="00E51CDD" w:rsidRPr="009938D9" w:rsidRDefault="00E51CDD" w:rsidP="009938D9">
      <w:pPr>
        <w:pStyle w:val="Nagwek2"/>
      </w:pPr>
      <w:bookmarkStart w:id="295" w:name="_Toc399487264"/>
      <w:bookmarkStart w:id="296" w:name="_Ref405399189"/>
      <w:bookmarkStart w:id="297" w:name="_Ref405923364"/>
      <w:bookmarkStart w:id="298" w:name="_Toc412643982"/>
      <w:bookmarkStart w:id="299" w:name="_Toc413916828"/>
      <w:bookmarkStart w:id="300" w:name="_Toc413916970"/>
      <w:bookmarkStart w:id="301" w:name="_Toc413922031"/>
      <w:bookmarkStart w:id="302" w:name="_Toc413922520"/>
      <w:bookmarkStart w:id="303" w:name="_Toc413922624"/>
      <w:bookmarkStart w:id="304" w:name="_Toc414955261"/>
      <w:bookmarkStart w:id="305" w:name="_Toc415214568"/>
      <w:bookmarkStart w:id="306" w:name="_Toc125446411"/>
      <w:r w:rsidRPr="009938D9">
        <w:lastRenderedPageBreak/>
        <w:t>Effects on terrestrial vertebrates other than birds (KCP 10.1.2)</w:t>
      </w:r>
      <w:bookmarkEnd w:id="295"/>
      <w:bookmarkEnd w:id="296"/>
      <w:bookmarkEnd w:id="297"/>
      <w:bookmarkEnd w:id="298"/>
      <w:bookmarkEnd w:id="299"/>
      <w:bookmarkEnd w:id="300"/>
      <w:bookmarkEnd w:id="301"/>
      <w:bookmarkEnd w:id="302"/>
      <w:bookmarkEnd w:id="303"/>
      <w:bookmarkEnd w:id="304"/>
      <w:bookmarkEnd w:id="305"/>
      <w:bookmarkEnd w:id="306"/>
    </w:p>
    <w:p w14:paraId="075B67A8" w14:textId="77777777" w:rsidR="00E51CDD" w:rsidRPr="00D121B2" w:rsidRDefault="00E51CDD" w:rsidP="00E51CDD">
      <w:pPr>
        <w:widowControl w:val="0"/>
        <w:jc w:val="both"/>
        <w:rPr>
          <w:szCs w:val="24"/>
          <w:lang w:val="en-GB"/>
        </w:rPr>
      </w:pPr>
      <w:r w:rsidRPr="0026404C">
        <w:rPr>
          <w:szCs w:val="24"/>
          <w:lang w:val="en-GB"/>
        </w:rPr>
        <w:t xml:space="preserve">The risk assessment for mammals is carried out following the latest guidance document by EFSA </w:t>
      </w:r>
      <w:r w:rsidRPr="0026404C">
        <w:rPr>
          <w:rFonts w:eastAsia="Batang"/>
          <w:szCs w:val="24"/>
          <w:lang w:val="en-GB" w:eastAsia="zh-CN"/>
        </w:rPr>
        <w:t>(EFSA</w:t>
      </w:r>
      <w:r w:rsidRPr="0026404C">
        <w:rPr>
          <w:szCs w:val="24"/>
          <w:lang w:val="en-GB"/>
        </w:rPr>
        <w:t>/2009/1438).</w:t>
      </w:r>
    </w:p>
    <w:p w14:paraId="58A45818" w14:textId="77777777" w:rsidR="00E51CDD" w:rsidRPr="002B1114" w:rsidRDefault="00E51CDD" w:rsidP="00E51CDD">
      <w:pPr>
        <w:pStyle w:val="Nagwek3"/>
      </w:pPr>
      <w:bookmarkStart w:id="307" w:name="_Toc412643983"/>
      <w:bookmarkStart w:id="308" w:name="_Toc413916829"/>
      <w:bookmarkStart w:id="309" w:name="_Toc413916971"/>
      <w:bookmarkStart w:id="310" w:name="_Toc413922032"/>
      <w:bookmarkStart w:id="311" w:name="_Toc413922521"/>
      <w:bookmarkStart w:id="312" w:name="_Toc413922625"/>
      <w:bookmarkStart w:id="313" w:name="_Toc414955262"/>
      <w:bookmarkStart w:id="314" w:name="_Toc415214569"/>
      <w:bookmarkStart w:id="315" w:name="_Toc125446412"/>
      <w:r w:rsidRPr="002B1114">
        <w:t>Toxicity data</w:t>
      </w:r>
      <w:bookmarkEnd w:id="307"/>
      <w:bookmarkEnd w:id="308"/>
      <w:bookmarkEnd w:id="309"/>
      <w:bookmarkEnd w:id="310"/>
      <w:bookmarkEnd w:id="311"/>
      <w:bookmarkEnd w:id="312"/>
      <w:bookmarkEnd w:id="313"/>
      <w:bookmarkEnd w:id="314"/>
      <w:bookmarkEnd w:id="315"/>
    </w:p>
    <w:p w14:paraId="33D4762C" w14:textId="77777777" w:rsidR="00E51CDD" w:rsidRPr="0026404C" w:rsidRDefault="00E51CDD" w:rsidP="00E51CDD">
      <w:pPr>
        <w:widowControl w:val="0"/>
        <w:jc w:val="both"/>
        <w:rPr>
          <w:lang w:val="en-GB"/>
        </w:rPr>
      </w:pPr>
      <w:r w:rsidRPr="0026404C">
        <w:rPr>
          <w:lang w:val="en-GB"/>
        </w:rPr>
        <w:t>Mammalian toxicity studies have been carried out with fluxapyroxad</w:t>
      </w:r>
      <w:r>
        <w:rPr>
          <w:lang w:val="en-GB"/>
        </w:rPr>
        <w:t xml:space="preserve"> and azoxystrobin</w:t>
      </w:r>
      <w:r w:rsidRPr="0026404C">
        <w:rPr>
          <w:lang w:val="en-GB"/>
        </w:rPr>
        <w:t>. Full details of these studies are provided in the respective EU DARs and related documents.</w:t>
      </w:r>
    </w:p>
    <w:p w14:paraId="78C64D93" w14:textId="77777777" w:rsidR="00E51CDD" w:rsidRPr="0026404C" w:rsidRDefault="00E51CDD" w:rsidP="00E51CDD">
      <w:pPr>
        <w:widowControl w:val="0"/>
        <w:jc w:val="both"/>
        <w:rPr>
          <w:lang w:val="en-GB"/>
        </w:rPr>
      </w:pPr>
    </w:p>
    <w:p w14:paraId="6A9AE734" w14:textId="77777777" w:rsidR="00E51CDD" w:rsidRPr="0026404C" w:rsidRDefault="00E51CDD" w:rsidP="00E51CDD">
      <w:pPr>
        <w:widowControl w:val="0"/>
        <w:jc w:val="both"/>
        <w:rPr>
          <w:lang w:val="en-GB"/>
        </w:rPr>
      </w:pPr>
    </w:p>
    <w:p w14:paraId="53A497D2" w14:textId="77777777" w:rsidR="00E51CDD" w:rsidRPr="0026404C" w:rsidRDefault="00E51CDD" w:rsidP="00E51CDD">
      <w:pPr>
        <w:widowControl w:val="0"/>
        <w:jc w:val="both"/>
        <w:rPr>
          <w:b/>
          <w:u w:val="single"/>
          <w:lang w:val="en-GB"/>
        </w:rPr>
      </w:pPr>
      <w:r w:rsidRPr="0026404C">
        <w:rPr>
          <w:b/>
          <w:u w:val="single"/>
          <w:lang w:val="en-GB"/>
        </w:rPr>
        <w:t>Active substances</w:t>
      </w:r>
    </w:p>
    <w:p w14:paraId="6C613CA3" w14:textId="77777777" w:rsidR="00E51CDD" w:rsidRPr="0026404C" w:rsidRDefault="00E51CDD" w:rsidP="00E51CDD">
      <w:pPr>
        <w:widowControl w:val="0"/>
        <w:jc w:val="both"/>
        <w:rPr>
          <w:b/>
          <w:u w:val="single"/>
          <w:lang w:val="en-GB"/>
        </w:rPr>
      </w:pPr>
    </w:p>
    <w:p w14:paraId="696021E3" w14:textId="1BDC6256" w:rsidR="00E51CDD" w:rsidRPr="0026404C" w:rsidRDefault="00E51CDD" w:rsidP="00E51CDD">
      <w:pPr>
        <w:widowControl w:val="0"/>
        <w:jc w:val="both"/>
        <w:rPr>
          <w:lang w:val="en-GB"/>
        </w:rPr>
      </w:pPr>
      <w:r w:rsidRPr="0026404C">
        <w:rPr>
          <w:lang w:val="en-GB"/>
        </w:rPr>
        <w:t xml:space="preserve">The selection of studies and endpoints for the risk assessment of </w:t>
      </w:r>
      <w:r>
        <w:rPr>
          <w:lang w:val="en-GB"/>
        </w:rPr>
        <w:t>fluxapyroxad</w:t>
      </w:r>
      <w:r w:rsidRPr="0026404C">
        <w:rPr>
          <w:lang w:val="en-GB"/>
        </w:rPr>
        <w:t xml:space="preserve"> (</w:t>
      </w:r>
      <w:r>
        <w:rPr>
          <w:lang w:val="en-GB"/>
        </w:rPr>
        <w:fldChar w:fldCharType="begin"/>
      </w:r>
      <w:r>
        <w:rPr>
          <w:lang w:val="en-GB"/>
        </w:rPr>
        <w:instrText xml:space="preserve"> REF _Ref81824166 \h </w:instrText>
      </w:r>
      <w:r>
        <w:rPr>
          <w:lang w:val="en-GB"/>
        </w:rPr>
      </w:r>
      <w:r>
        <w:rPr>
          <w:lang w:val="en-GB"/>
        </w:rPr>
        <w:fldChar w:fldCharType="separate"/>
      </w:r>
      <w:r w:rsidR="00662F32" w:rsidRPr="002B1114">
        <w:t xml:space="preserve">Table </w:t>
      </w:r>
      <w:r w:rsidR="00662F32">
        <w:rPr>
          <w:noProof/>
        </w:rPr>
        <w:t>9.3</w:t>
      </w:r>
      <w:r w:rsidR="00662F32" w:rsidRPr="002B1114">
        <w:noBreakHyphen/>
      </w:r>
      <w:r w:rsidR="00662F32">
        <w:rPr>
          <w:noProof/>
        </w:rPr>
        <w:t>1</w:t>
      </w:r>
      <w:r>
        <w:rPr>
          <w:lang w:val="en-GB"/>
        </w:rPr>
        <w:fldChar w:fldCharType="end"/>
      </w:r>
      <w:r>
        <w:rPr>
          <w:lang w:val="en-GB"/>
        </w:rPr>
        <w:t xml:space="preserve">) </w:t>
      </w:r>
      <w:r w:rsidRPr="0026404C">
        <w:rPr>
          <w:lang w:val="en-GB"/>
        </w:rPr>
        <w:t xml:space="preserve">and </w:t>
      </w:r>
      <w:r>
        <w:rPr>
          <w:lang w:val="en-GB"/>
        </w:rPr>
        <w:t>azoxystrobin</w:t>
      </w:r>
      <w:r w:rsidRPr="0026404C">
        <w:rPr>
          <w:lang w:val="en-GB"/>
        </w:rPr>
        <w:t xml:space="preserve"> </w:t>
      </w:r>
      <w:r>
        <w:rPr>
          <w:lang w:val="en-GB"/>
        </w:rPr>
        <w:t>(</w:t>
      </w:r>
      <w:r>
        <w:rPr>
          <w:lang w:val="en-GB"/>
        </w:rPr>
        <w:fldChar w:fldCharType="begin"/>
      </w:r>
      <w:r>
        <w:rPr>
          <w:lang w:val="en-GB"/>
        </w:rPr>
        <w:instrText xml:space="preserve"> REF _Ref81825411 \h </w:instrText>
      </w:r>
      <w:r>
        <w:rPr>
          <w:lang w:val="en-GB"/>
        </w:rPr>
      </w:r>
      <w:r>
        <w:rPr>
          <w:lang w:val="en-GB"/>
        </w:rPr>
        <w:fldChar w:fldCharType="separate"/>
      </w:r>
      <w:r w:rsidR="00662F32" w:rsidRPr="002B1114">
        <w:t xml:space="preserve">Table </w:t>
      </w:r>
      <w:r w:rsidR="00662F32">
        <w:rPr>
          <w:noProof/>
        </w:rPr>
        <w:t>9.3</w:t>
      </w:r>
      <w:r w:rsidR="00662F32" w:rsidRPr="002B1114">
        <w:noBreakHyphen/>
      </w:r>
      <w:r w:rsidR="00662F32">
        <w:rPr>
          <w:noProof/>
        </w:rPr>
        <w:t>2</w:t>
      </w:r>
      <w:r>
        <w:rPr>
          <w:lang w:val="en-GB"/>
        </w:rPr>
        <w:fldChar w:fldCharType="end"/>
      </w:r>
      <w:r w:rsidRPr="0026404C">
        <w:rPr>
          <w:lang w:val="en-GB"/>
        </w:rPr>
        <w:t>) is in line with the results of the EU review process.</w:t>
      </w:r>
    </w:p>
    <w:p w14:paraId="2800F83A" w14:textId="7A40DFFB" w:rsidR="00E51CDD" w:rsidRDefault="00E51CDD" w:rsidP="00E51CDD">
      <w:pPr>
        <w:pStyle w:val="RepLabel"/>
      </w:pPr>
      <w:bookmarkStart w:id="316" w:name="_Ref81824166"/>
      <w:r w:rsidRPr="002B1114">
        <w:t xml:space="preserve">Table </w:t>
      </w:r>
      <w:r w:rsidRPr="002B1114">
        <w:fldChar w:fldCharType="begin"/>
      </w:r>
      <w:r w:rsidRPr="002B1114">
        <w:instrText xml:space="preserve"> STYLEREF 2 \s </w:instrText>
      </w:r>
      <w:r w:rsidRPr="002B1114">
        <w:fldChar w:fldCharType="separate"/>
      </w:r>
      <w:r w:rsidR="00662F32">
        <w:rPr>
          <w:noProof/>
        </w:rPr>
        <w:t>9.3</w:t>
      </w:r>
      <w:r w:rsidRPr="002B1114">
        <w:fldChar w:fldCharType="end"/>
      </w:r>
      <w:r w:rsidRPr="002B1114">
        <w:noBreakHyphen/>
      </w:r>
      <w:r w:rsidRPr="002B1114">
        <w:fldChar w:fldCharType="begin"/>
      </w:r>
      <w:r w:rsidRPr="002B1114">
        <w:instrText xml:space="preserve"> SEQ Table \* ARABIC \s 2 </w:instrText>
      </w:r>
      <w:r w:rsidRPr="002B1114">
        <w:fldChar w:fldCharType="separate"/>
      </w:r>
      <w:r w:rsidR="00662F32">
        <w:rPr>
          <w:noProof/>
        </w:rPr>
        <w:t>1</w:t>
      </w:r>
      <w:r w:rsidRPr="002B1114">
        <w:fldChar w:fldCharType="end"/>
      </w:r>
      <w:bookmarkEnd w:id="316"/>
      <w:r w:rsidRPr="002B1114">
        <w:t>:</w:t>
      </w:r>
      <w:r w:rsidRPr="002B1114">
        <w:tab/>
      </w:r>
      <w:r>
        <w:t xml:space="preserve">Fluxapyroxad (BAS 700 F): </w:t>
      </w:r>
      <w:r w:rsidRPr="002B1114">
        <w:t>Endpoints relevant for the risk assessment for mammals</w:t>
      </w:r>
    </w:p>
    <w:tbl>
      <w:tblPr>
        <w:tblW w:w="49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850"/>
        <w:gridCol w:w="1854"/>
        <w:gridCol w:w="1852"/>
        <w:gridCol w:w="2142"/>
        <w:gridCol w:w="1608"/>
      </w:tblGrid>
      <w:tr w:rsidR="00E51CDD" w:rsidRPr="0026404C" w14:paraId="3D883AA1" w14:textId="77777777" w:rsidTr="009938D9">
        <w:trPr>
          <w:tblHeader/>
        </w:trPr>
        <w:tc>
          <w:tcPr>
            <w:tcW w:w="994" w:type="pct"/>
            <w:shd w:val="clear" w:color="auto" w:fill="auto"/>
          </w:tcPr>
          <w:p w14:paraId="483F9F16" w14:textId="77777777" w:rsidR="00E51CDD" w:rsidRPr="0026404C" w:rsidRDefault="00E51CDD" w:rsidP="009938D9">
            <w:pPr>
              <w:spacing w:before="60" w:after="60"/>
              <w:jc w:val="center"/>
              <w:rPr>
                <w:b/>
                <w:sz w:val="20"/>
                <w:szCs w:val="20"/>
                <w:lang w:val="en-GB"/>
              </w:rPr>
            </w:pPr>
            <w:r w:rsidRPr="0026404C">
              <w:rPr>
                <w:b/>
                <w:sz w:val="20"/>
                <w:szCs w:val="20"/>
                <w:lang w:val="en-GB"/>
              </w:rPr>
              <w:t>Species</w:t>
            </w:r>
          </w:p>
        </w:tc>
        <w:tc>
          <w:tcPr>
            <w:tcW w:w="996" w:type="pct"/>
            <w:shd w:val="clear" w:color="auto" w:fill="auto"/>
          </w:tcPr>
          <w:p w14:paraId="4BC6FCE9" w14:textId="77777777" w:rsidR="00E51CDD" w:rsidRPr="0026404C" w:rsidRDefault="00E51CDD" w:rsidP="009938D9">
            <w:pPr>
              <w:spacing w:before="60" w:after="60"/>
              <w:jc w:val="center"/>
              <w:rPr>
                <w:b/>
                <w:sz w:val="20"/>
                <w:szCs w:val="20"/>
                <w:lang w:val="en-GB"/>
              </w:rPr>
            </w:pPr>
            <w:r w:rsidRPr="0026404C">
              <w:rPr>
                <w:b/>
                <w:sz w:val="20"/>
                <w:szCs w:val="20"/>
                <w:lang w:val="en-GB"/>
              </w:rPr>
              <w:t>Substance</w:t>
            </w:r>
          </w:p>
        </w:tc>
        <w:tc>
          <w:tcPr>
            <w:tcW w:w="995" w:type="pct"/>
            <w:shd w:val="clear" w:color="auto" w:fill="auto"/>
          </w:tcPr>
          <w:p w14:paraId="2BE16265" w14:textId="77777777" w:rsidR="00E51CDD" w:rsidRPr="0026404C" w:rsidRDefault="00E51CDD" w:rsidP="009938D9">
            <w:pPr>
              <w:spacing w:before="60" w:after="60"/>
              <w:jc w:val="center"/>
              <w:rPr>
                <w:b/>
                <w:sz w:val="20"/>
                <w:szCs w:val="20"/>
                <w:lang w:val="en-GB"/>
              </w:rPr>
            </w:pPr>
            <w:r w:rsidRPr="0026404C">
              <w:rPr>
                <w:b/>
                <w:sz w:val="20"/>
                <w:szCs w:val="20"/>
                <w:lang w:val="en-GB"/>
              </w:rPr>
              <w:t>Exposure</w:t>
            </w:r>
          </w:p>
          <w:p w14:paraId="008877D0" w14:textId="77777777" w:rsidR="00E51CDD" w:rsidRPr="0026404C" w:rsidRDefault="00E51CDD" w:rsidP="009938D9">
            <w:pPr>
              <w:spacing w:before="60" w:after="60"/>
              <w:jc w:val="center"/>
              <w:rPr>
                <w:b/>
                <w:sz w:val="20"/>
                <w:szCs w:val="20"/>
                <w:lang w:val="en-GB"/>
              </w:rPr>
            </w:pPr>
            <w:r w:rsidRPr="0026404C">
              <w:rPr>
                <w:b/>
                <w:sz w:val="20"/>
                <w:szCs w:val="20"/>
                <w:lang w:val="en-GB"/>
              </w:rPr>
              <w:t>System</w:t>
            </w:r>
          </w:p>
        </w:tc>
        <w:tc>
          <w:tcPr>
            <w:tcW w:w="1151" w:type="pct"/>
            <w:shd w:val="clear" w:color="auto" w:fill="auto"/>
          </w:tcPr>
          <w:p w14:paraId="0E69261B" w14:textId="77777777" w:rsidR="00E51CDD" w:rsidRPr="0026404C" w:rsidRDefault="00E51CDD" w:rsidP="009938D9">
            <w:pPr>
              <w:spacing w:before="60" w:after="60"/>
              <w:jc w:val="center"/>
              <w:rPr>
                <w:b/>
                <w:sz w:val="20"/>
                <w:szCs w:val="20"/>
                <w:lang w:val="en-GB"/>
              </w:rPr>
            </w:pPr>
            <w:r w:rsidRPr="0026404C">
              <w:rPr>
                <w:b/>
                <w:sz w:val="20"/>
                <w:szCs w:val="20"/>
                <w:lang w:val="en-GB"/>
              </w:rPr>
              <w:t>Results</w:t>
            </w:r>
          </w:p>
        </w:tc>
        <w:tc>
          <w:tcPr>
            <w:tcW w:w="864" w:type="pct"/>
            <w:shd w:val="clear" w:color="auto" w:fill="auto"/>
          </w:tcPr>
          <w:p w14:paraId="72E78E7B" w14:textId="77777777" w:rsidR="00E51CDD" w:rsidRPr="0026404C" w:rsidRDefault="00E51CDD" w:rsidP="009938D9">
            <w:pPr>
              <w:jc w:val="center"/>
              <w:rPr>
                <w:b/>
                <w:bCs/>
                <w:sz w:val="20"/>
                <w:szCs w:val="20"/>
              </w:rPr>
            </w:pPr>
            <w:r w:rsidRPr="0026404C">
              <w:rPr>
                <w:b/>
                <w:bCs/>
                <w:sz w:val="20"/>
                <w:szCs w:val="20"/>
              </w:rPr>
              <w:t>Reference</w:t>
            </w:r>
          </w:p>
          <w:p w14:paraId="385204A0" w14:textId="77777777" w:rsidR="00E51CDD" w:rsidRPr="0026404C" w:rsidRDefault="00E51CDD" w:rsidP="009938D9">
            <w:pPr>
              <w:spacing w:before="60" w:after="60"/>
              <w:jc w:val="center"/>
              <w:rPr>
                <w:b/>
                <w:sz w:val="20"/>
                <w:szCs w:val="20"/>
                <w:lang w:val="en-GB"/>
              </w:rPr>
            </w:pPr>
            <w:r w:rsidRPr="0026404C">
              <w:rPr>
                <w:b/>
                <w:sz w:val="20"/>
                <w:szCs w:val="20"/>
              </w:rPr>
              <w:t>[BASF DocID]</w:t>
            </w:r>
          </w:p>
        </w:tc>
      </w:tr>
      <w:tr w:rsidR="00E51CDD" w:rsidRPr="0026404C" w14:paraId="4DED115B" w14:textId="77777777" w:rsidTr="009938D9">
        <w:tc>
          <w:tcPr>
            <w:tcW w:w="994" w:type="pct"/>
            <w:shd w:val="clear" w:color="auto" w:fill="auto"/>
          </w:tcPr>
          <w:p w14:paraId="2E3DF76C" w14:textId="77777777" w:rsidR="00E51CDD" w:rsidRPr="0026404C" w:rsidRDefault="00E51CDD" w:rsidP="009938D9">
            <w:pPr>
              <w:rPr>
                <w:noProof/>
                <w:sz w:val="20"/>
                <w:szCs w:val="20"/>
                <w:lang w:val="en-GB"/>
              </w:rPr>
            </w:pPr>
            <w:r w:rsidRPr="0026404C">
              <w:rPr>
                <w:noProof/>
                <w:sz w:val="20"/>
                <w:szCs w:val="20"/>
                <w:lang w:val="en-GB"/>
              </w:rPr>
              <w:t>Rat</w:t>
            </w:r>
          </w:p>
        </w:tc>
        <w:tc>
          <w:tcPr>
            <w:tcW w:w="996" w:type="pct"/>
            <w:shd w:val="clear" w:color="auto" w:fill="auto"/>
          </w:tcPr>
          <w:p w14:paraId="1A49C846" w14:textId="77777777" w:rsidR="00E51CDD" w:rsidRPr="0026404C" w:rsidRDefault="00E51CDD" w:rsidP="009938D9">
            <w:pPr>
              <w:rPr>
                <w:noProof/>
                <w:sz w:val="20"/>
                <w:szCs w:val="20"/>
                <w:lang w:val="en-GB"/>
              </w:rPr>
            </w:pPr>
            <w:r w:rsidRPr="0026404C">
              <w:rPr>
                <w:noProof/>
                <w:sz w:val="20"/>
                <w:szCs w:val="20"/>
                <w:lang w:val="en-GB"/>
              </w:rPr>
              <w:t>Fluxapyroxad</w:t>
            </w:r>
          </w:p>
        </w:tc>
        <w:tc>
          <w:tcPr>
            <w:tcW w:w="995" w:type="pct"/>
            <w:shd w:val="clear" w:color="auto" w:fill="auto"/>
          </w:tcPr>
          <w:p w14:paraId="1B94D756" w14:textId="77777777" w:rsidR="00E51CDD" w:rsidRPr="0026404C" w:rsidRDefault="00E51CDD" w:rsidP="009938D9">
            <w:pPr>
              <w:rPr>
                <w:noProof/>
                <w:sz w:val="20"/>
                <w:szCs w:val="20"/>
                <w:lang w:val="en-GB"/>
              </w:rPr>
            </w:pPr>
            <w:r w:rsidRPr="0026404C">
              <w:rPr>
                <w:noProof/>
                <w:sz w:val="20"/>
                <w:szCs w:val="20"/>
                <w:lang w:val="en-GB"/>
              </w:rPr>
              <w:t>Oral, 1 d</w:t>
            </w:r>
            <w:r w:rsidRPr="0026404C">
              <w:rPr>
                <w:noProof/>
                <w:sz w:val="20"/>
                <w:szCs w:val="20"/>
                <w:lang w:val="en-GB"/>
              </w:rPr>
              <w:br/>
              <w:t>Acute</w:t>
            </w:r>
          </w:p>
        </w:tc>
        <w:tc>
          <w:tcPr>
            <w:tcW w:w="1151" w:type="pct"/>
            <w:shd w:val="clear" w:color="auto" w:fill="auto"/>
            <w:vAlign w:val="center"/>
          </w:tcPr>
          <w:p w14:paraId="3815B0AB" w14:textId="77777777" w:rsidR="00E51CDD" w:rsidRPr="0026404C" w:rsidRDefault="00E51CDD" w:rsidP="009938D9">
            <w:pPr>
              <w:rPr>
                <w:noProof/>
                <w:sz w:val="20"/>
                <w:szCs w:val="20"/>
                <w:lang w:val="en-GB"/>
              </w:rPr>
            </w:pPr>
            <w:r w:rsidRPr="0026404C">
              <w:rPr>
                <w:noProof/>
                <w:sz w:val="20"/>
                <w:szCs w:val="20"/>
                <w:lang w:eastAsia="en-US"/>
              </w:rPr>
              <w:t>LD</w:t>
            </w:r>
            <w:r w:rsidRPr="0026404C">
              <w:rPr>
                <w:noProof/>
                <w:sz w:val="20"/>
                <w:szCs w:val="20"/>
                <w:vertAlign w:val="subscript"/>
                <w:lang w:eastAsia="en-US"/>
              </w:rPr>
              <w:t>50</w:t>
            </w:r>
            <w:r w:rsidRPr="0026404C">
              <w:rPr>
                <w:noProof/>
                <w:sz w:val="20"/>
                <w:szCs w:val="20"/>
                <w:lang w:eastAsia="en-US"/>
              </w:rPr>
              <w:t xml:space="preserve"> &gt; 2000 mg a.s./kg b.w.</w:t>
            </w:r>
          </w:p>
        </w:tc>
        <w:tc>
          <w:tcPr>
            <w:tcW w:w="864" w:type="pct"/>
            <w:shd w:val="clear" w:color="auto" w:fill="auto"/>
          </w:tcPr>
          <w:p w14:paraId="33277354" w14:textId="77777777" w:rsidR="00E51CDD" w:rsidRPr="0026404C" w:rsidRDefault="00E51CDD" w:rsidP="009938D9">
            <w:pPr>
              <w:rPr>
                <w:sz w:val="20"/>
                <w:szCs w:val="20"/>
              </w:rPr>
            </w:pPr>
            <w:r w:rsidRPr="0026404C">
              <w:rPr>
                <w:sz w:val="20"/>
                <w:szCs w:val="20"/>
              </w:rPr>
              <w:t>EFSA Journal 2012;10(1):2522</w:t>
            </w:r>
          </w:p>
          <w:p w14:paraId="0B8023E0" w14:textId="77777777" w:rsidR="00E51CDD" w:rsidRPr="0026404C" w:rsidRDefault="00E51CDD" w:rsidP="009938D9">
            <w:pPr>
              <w:rPr>
                <w:noProof/>
                <w:sz w:val="20"/>
                <w:szCs w:val="20"/>
                <w:lang w:val="en-GB"/>
              </w:rPr>
            </w:pPr>
            <w:r w:rsidRPr="0026404C">
              <w:rPr>
                <w:noProof/>
                <w:sz w:val="20"/>
                <w:szCs w:val="20"/>
                <w:lang w:eastAsia="en-US"/>
              </w:rPr>
              <w:t>[2008/1002441]</w:t>
            </w:r>
          </w:p>
        </w:tc>
      </w:tr>
      <w:tr w:rsidR="00E51CDD" w:rsidRPr="0026404C" w14:paraId="3A38CD00" w14:textId="77777777" w:rsidTr="009938D9">
        <w:tc>
          <w:tcPr>
            <w:tcW w:w="994" w:type="pct"/>
            <w:shd w:val="clear" w:color="auto" w:fill="auto"/>
          </w:tcPr>
          <w:p w14:paraId="1ABFA6C1" w14:textId="77777777" w:rsidR="00E51CDD" w:rsidRPr="0026404C" w:rsidRDefault="00E51CDD" w:rsidP="009938D9">
            <w:pPr>
              <w:rPr>
                <w:noProof/>
                <w:sz w:val="20"/>
                <w:szCs w:val="20"/>
                <w:lang w:val="en-GB"/>
              </w:rPr>
            </w:pPr>
            <w:r w:rsidRPr="0026404C">
              <w:rPr>
                <w:noProof/>
                <w:sz w:val="20"/>
                <w:szCs w:val="20"/>
                <w:lang w:val="en-GB"/>
              </w:rPr>
              <w:t>Rat</w:t>
            </w:r>
          </w:p>
        </w:tc>
        <w:tc>
          <w:tcPr>
            <w:tcW w:w="996" w:type="pct"/>
            <w:shd w:val="clear" w:color="auto" w:fill="auto"/>
          </w:tcPr>
          <w:p w14:paraId="456CF3A9" w14:textId="77777777" w:rsidR="00E51CDD" w:rsidRPr="0026404C" w:rsidRDefault="00E51CDD" w:rsidP="009938D9">
            <w:pPr>
              <w:rPr>
                <w:noProof/>
                <w:sz w:val="20"/>
                <w:szCs w:val="20"/>
                <w:lang w:val="en-GB"/>
              </w:rPr>
            </w:pPr>
            <w:r w:rsidRPr="0026404C">
              <w:rPr>
                <w:noProof/>
                <w:sz w:val="20"/>
                <w:szCs w:val="20"/>
                <w:lang w:val="en-GB"/>
              </w:rPr>
              <w:t>Fluxapyroxad</w:t>
            </w:r>
          </w:p>
        </w:tc>
        <w:tc>
          <w:tcPr>
            <w:tcW w:w="995" w:type="pct"/>
            <w:shd w:val="clear" w:color="auto" w:fill="auto"/>
          </w:tcPr>
          <w:p w14:paraId="7FCC610C" w14:textId="77777777" w:rsidR="00E51CDD" w:rsidRPr="0026404C" w:rsidRDefault="00E51CDD" w:rsidP="009938D9">
            <w:pPr>
              <w:rPr>
                <w:noProof/>
                <w:sz w:val="20"/>
                <w:szCs w:val="20"/>
                <w:lang w:val="en-GB"/>
              </w:rPr>
            </w:pPr>
            <w:r w:rsidRPr="0026404C">
              <w:rPr>
                <w:noProof/>
                <w:sz w:val="20"/>
                <w:szCs w:val="20"/>
                <w:lang w:val="en-GB"/>
              </w:rPr>
              <w:t>Dietary</w:t>
            </w:r>
            <w:r w:rsidRPr="0026404C">
              <w:rPr>
                <w:noProof/>
                <w:sz w:val="20"/>
                <w:szCs w:val="20"/>
                <w:lang w:val="en-GB"/>
              </w:rPr>
              <w:br/>
              <w:t>Reproductive toxicity</w:t>
            </w:r>
            <w:r w:rsidRPr="0026404C">
              <w:rPr>
                <w:noProof/>
                <w:sz w:val="20"/>
                <w:szCs w:val="20"/>
                <w:lang w:val="en-GB"/>
              </w:rPr>
              <w:br/>
              <w:t>Two-generation study</w:t>
            </w:r>
          </w:p>
        </w:tc>
        <w:tc>
          <w:tcPr>
            <w:tcW w:w="1151" w:type="pct"/>
            <w:shd w:val="clear" w:color="auto" w:fill="auto"/>
            <w:vAlign w:val="center"/>
          </w:tcPr>
          <w:p w14:paraId="5EB41493" w14:textId="77777777" w:rsidR="00E51CDD" w:rsidRPr="0026404C" w:rsidRDefault="00E51CDD" w:rsidP="009938D9">
            <w:pPr>
              <w:rPr>
                <w:noProof/>
                <w:sz w:val="20"/>
                <w:szCs w:val="20"/>
                <w:lang w:val="en-GB"/>
              </w:rPr>
            </w:pPr>
            <w:r w:rsidRPr="0026404C">
              <w:rPr>
                <w:noProof/>
                <w:sz w:val="20"/>
                <w:szCs w:val="20"/>
                <w:lang w:eastAsia="en-US"/>
              </w:rPr>
              <w:t>NOAEL = 10 mg a.s./kg b.w./d </w:t>
            </w:r>
            <w:r w:rsidRPr="0026404C">
              <w:rPr>
                <w:noProof/>
                <w:sz w:val="20"/>
                <w:szCs w:val="20"/>
                <w:vertAlign w:val="superscript"/>
                <w:lang w:eastAsia="en-US"/>
              </w:rPr>
              <w:t>1)</w:t>
            </w:r>
          </w:p>
        </w:tc>
        <w:tc>
          <w:tcPr>
            <w:tcW w:w="864" w:type="pct"/>
            <w:shd w:val="clear" w:color="auto" w:fill="auto"/>
          </w:tcPr>
          <w:p w14:paraId="3D863820" w14:textId="77777777" w:rsidR="00E51CDD" w:rsidRPr="0026404C" w:rsidRDefault="00E51CDD" w:rsidP="009938D9">
            <w:pPr>
              <w:rPr>
                <w:sz w:val="20"/>
                <w:szCs w:val="20"/>
              </w:rPr>
            </w:pPr>
            <w:r w:rsidRPr="0026404C">
              <w:rPr>
                <w:sz w:val="20"/>
                <w:szCs w:val="20"/>
              </w:rPr>
              <w:t>EFSA Journal 2012;10(1):2522</w:t>
            </w:r>
          </w:p>
          <w:p w14:paraId="6123EC9A" w14:textId="77777777" w:rsidR="00E51CDD" w:rsidRPr="0026404C" w:rsidRDefault="00E51CDD" w:rsidP="009938D9">
            <w:pPr>
              <w:rPr>
                <w:noProof/>
                <w:sz w:val="20"/>
                <w:szCs w:val="20"/>
                <w:lang w:val="en-GB"/>
              </w:rPr>
            </w:pPr>
            <w:r w:rsidRPr="0026404C">
              <w:rPr>
                <w:noProof/>
                <w:sz w:val="20"/>
                <w:szCs w:val="20"/>
                <w:lang w:eastAsia="en-US"/>
              </w:rPr>
              <w:t>[2009/1072491]</w:t>
            </w:r>
          </w:p>
        </w:tc>
      </w:tr>
      <w:tr w:rsidR="00E51CDD" w:rsidRPr="0026404C" w14:paraId="009FB78E" w14:textId="77777777" w:rsidTr="009938D9">
        <w:tc>
          <w:tcPr>
            <w:tcW w:w="994" w:type="pct"/>
            <w:shd w:val="clear" w:color="auto" w:fill="auto"/>
          </w:tcPr>
          <w:p w14:paraId="301D58E9" w14:textId="77777777" w:rsidR="00E51CDD" w:rsidRPr="0026404C" w:rsidRDefault="00E51CDD" w:rsidP="009938D9">
            <w:pPr>
              <w:rPr>
                <w:noProof/>
                <w:sz w:val="20"/>
                <w:szCs w:val="20"/>
                <w:highlight w:val="yellow"/>
                <w:lang w:val="en-GB"/>
              </w:rPr>
            </w:pPr>
            <w:r w:rsidRPr="0026404C">
              <w:rPr>
                <w:noProof/>
                <w:sz w:val="20"/>
                <w:szCs w:val="20"/>
                <w:lang w:val="en-GB"/>
              </w:rPr>
              <w:t>Rat</w:t>
            </w:r>
          </w:p>
        </w:tc>
        <w:tc>
          <w:tcPr>
            <w:tcW w:w="996" w:type="pct"/>
            <w:shd w:val="clear" w:color="auto" w:fill="auto"/>
          </w:tcPr>
          <w:p w14:paraId="70E8A94D" w14:textId="77777777" w:rsidR="00E51CDD" w:rsidRPr="0026404C" w:rsidRDefault="00E51CDD" w:rsidP="009938D9">
            <w:pPr>
              <w:rPr>
                <w:noProof/>
                <w:sz w:val="20"/>
                <w:szCs w:val="20"/>
                <w:highlight w:val="yellow"/>
                <w:lang w:val="en-GB"/>
              </w:rPr>
            </w:pPr>
            <w:r w:rsidRPr="0026404C">
              <w:rPr>
                <w:noProof/>
                <w:sz w:val="20"/>
                <w:szCs w:val="20"/>
                <w:lang w:val="en-GB"/>
              </w:rPr>
              <w:t>Fluxapyroxad</w:t>
            </w:r>
          </w:p>
        </w:tc>
        <w:tc>
          <w:tcPr>
            <w:tcW w:w="995" w:type="pct"/>
            <w:shd w:val="clear" w:color="auto" w:fill="auto"/>
          </w:tcPr>
          <w:p w14:paraId="28B3D3D4" w14:textId="77777777" w:rsidR="00E51CDD" w:rsidRPr="0026404C" w:rsidRDefault="00E51CDD" w:rsidP="009938D9">
            <w:pPr>
              <w:rPr>
                <w:noProof/>
                <w:sz w:val="20"/>
                <w:szCs w:val="20"/>
                <w:lang w:val="en-GB"/>
              </w:rPr>
            </w:pPr>
            <w:r w:rsidRPr="0026404C">
              <w:rPr>
                <w:noProof/>
                <w:sz w:val="20"/>
                <w:szCs w:val="20"/>
                <w:lang w:val="en-GB"/>
              </w:rPr>
              <w:t>Oral</w:t>
            </w:r>
            <w:r w:rsidRPr="0026404C">
              <w:rPr>
                <w:noProof/>
                <w:sz w:val="20"/>
                <w:szCs w:val="20"/>
                <w:lang w:val="en-GB"/>
              </w:rPr>
              <w:br/>
              <w:t>Prenatal Developmental toxicity</w:t>
            </w:r>
          </w:p>
        </w:tc>
        <w:tc>
          <w:tcPr>
            <w:tcW w:w="1151" w:type="pct"/>
            <w:shd w:val="clear" w:color="auto" w:fill="auto"/>
            <w:vAlign w:val="center"/>
          </w:tcPr>
          <w:p w14:paraId="15D23260" w14:textId="77777777" w:rsidR="00E51CDD" w:rsidRPr="0026404C" w:rsidRDefault="00E51CDD" w:rsidP="009938D9">
            <w:pPr>
              <w:rPr>
                <w:sz w:val="20"/>
                <w:szCs w:val="20"/>
                <w:lang w:eastAsia="en-US"/>
              </w:rPr>
            </w:pPr>
            <w:r w:rsidRPr="0026404C">
              <w:rPr>
                <w:sz w:val="20"/>
                <w:szCs w:val="20"/>
                <w:lang w:eastAsia="en-US"/>
              </w:rPr>
              <w:t>NOAEL </w:t>
            </w:r>
            <w:r w:rsidRPr="0026404C">
              <w:rPr>
                <w:sz w:val="20"/>
                <w:szCs w:val="20"/>
                <w:vertAlign w:val="subscript"/>
                <w:lang w:eastAsia="en-US"/>
              </w:rPr>
              <w:t>maternal tox</w:t>
            </w:r>
            <w:r w:rsidRPr="0026404C">
              <w:rPr>
                <w:sz w:val="20"/>
                <w:szCs w:val="20"/>
                <w:lang w:eastAsia="en-US"/>
              </w:rPr>
              <w:t xml:space="preserve"> = 25 mg a.s./kg b.w./d </w:t>
            </w:r>
            <w:r w:rsidRPr="0026404C">
              <w:rPr>
                <w:sz w:val="20"/>
                <w:szCs w:val="20"/>
                <w:vertAlign w:val="superscript"/>
                <w:lang w:eastAsia="en-US"/>
              </w:rPr>
              <w:t>1)</w:t>
            </w:r>
          </w:p>
          <w:p w14:paraId="3BE355DB" w14:textId="77777777" w:rsidR="00E51CDD" w:rsidRPr="0026404C" w:rsidRDefault="00E51CDD" w:rsidP="009938D9">
            <w:pPr>
              <w:rPr>
                <w:noProof/>
                <w:sz w:val="20"/>
                <w:szCs w:val="20"/>
                <w:highlight w:val="yellow"/>
                <w:lang w:val="en-GB"/>
              </w:rPr>
            </w:pPr>
            <w:r w:rsidRPr="0026404C">
              <w:rPr>
                <w:noProof/>
                <w:sz w:val="20"/>
                <w:szCs w:val="20"/>
                <w:lang w:eastAsia="en-US"/>
              </w:rPr>
              <w:t>NOAEL </w:t>
            </w:r>
            <w:r w:rsidRPr="0026404C">
              <w:rPr>
                <w:noProof/>
                <w:sz w:val="20"/>
                <w:szCs w:val="20"/>
                <w:vertAlign w:val="subscript"/>
                <w:lang w:eastAsia="en-US"/>
              </w:rPr>
              <w:t>developmental tox</w:t>
            </w:r>
            <w:r w:rsidRPr="0026404C">
              <w:rPr>
                <w:noProof/>
                <w:sz w:val="20"/>
                <w:szCs w:val="20"/>
                <w:lang w:eastAsia="en-US"/>
              </w:rPr>
              <w:t> = 1000 mg a.s./kg b.w./d </w:t>
            </w:r>
            <w:r w:rsidRPr="0026404C">
              <w:rPr>
                <w:noProof/>
                <w:sz w:val="20"/>
                <w:szCs w:val="20"/>
                <w:vertAlign w:val="superscript"/>
                <w:lang w:eastAsia="en-US"/>
              </w:rPr>
              <w:t>1)</w:t>
            </w:r>
          </w:p>
        </w:tc>
        <w:tc>
          <w:tcPr>
            <w:tcW w:w="864" w:type="pct"/>
            <w:shd w:val="clear" w:color="auto" w:fill="auto"/>
          </w:tcPr>
          <w:p w14:paraId="1B618941" w14:textId="77777777" w:rsidR="00E51CDD" w:rsidRPr="0026404C" w:rsidRDefault="00E51CDD" w:rsidP="009938D9">
            <w:pPr>
              <w:rPr>
                <w:sz w:val="20"/>
                <w:szCs w:val="20"/>
              </w:rPr>
            </w:pPr>
            <w:r w:rsidRPr="0026404C">
              <w:rPr>
                <w:sz w:val="20"/>
                <w:szCs w:val="20"/>
              </w:rPr>
              <w:t>EFSA Journal 2012;10(1):2522</w:t>
            </w:r>
          </w:p>
          <w:p w14:paraId="07DB3C29" w14:textId="77777777" w:rsidR="00E51CDD" w:rsidRPr="0026404C" w:rsidRDefault="00E51CDD" w:rsidP="009938D9">
            <w:pPr>
              <w:rPr>
                <w:noProof/>
                <w:sz w:val="20"/>
                <w:szCs w:val="20"/>
                <w:highlight w:val="yellow"/>
                <w:lang w:val="en-GB"/>
              </w:rPr>
            </w:pPr>
            <w:r w:rsidRPr="0026404C">
              <w:rPr>
                <w:noProof/>
                <w:sz w:val="20"/>
                <w:szCs w:val="20"/>
                <w:lang w:eastAsia="en-US"/>
              </w:rPr>
              <w:t>[2009/1072492]</w:t>
            </w:r>
          </w:p>
        </w:tc>
      </w:tr>
      <w:tr w:rsidR="00E51CDD" w:rsidRPr="0026404C" w14:paraId="74AFA23C" w14:textId="77777777" w:rsidTr="009938D9">
        <w:tc>
          <w:tcPr>
            <w:tcW w:w="994" w:type="pct"/>
            <w:shd w:val="clear" w:color="auto" w:fill="auto"/>
          </w:tcPr>
          <w:p w14:paraId="0A518114" w14:textId="77777777" w:rsidR="00E51CDD" w:rsidRPr="0026404C" w:rsidRDefault="00E51CDD" w:rsidP="009938D9">
            <w:pPr>
              <w:rPr>
                <w:noProof/>
                <w:sz w:val="20"/>
                <w:szCs w:val="20"/>
                <w:highlight w:val="yellow"/>
                <w:lang w:val="en-GB"/>
              </w:rPr>
            </w:pPr>
            <w:r w:rsidRPr="0026404C">
              <w:rPr>
                <w:noProof/>
                <w:sz w:val="20"/>
                <w:szCs w:val="20"/>
                <w:lang w:val="en-GB"/>
              </w:rPr>
              <w:t>Rabbit</w:t>
            </w:r>
          </w:p>
        </w:tc>
        <w:tc>
          <w:tcPr>
            <w:tcW w:w="996" w:type="pct"/>
            <w:shd w:val="clear" w:color="auto" w:fill="auto"/>
          </w:tcPr>
          <w:p w14:paraId="73D1A279" w14:textId="77777777" w:rsidR="00E51CDD" w:rsidRPr="0026404C" w:rsidRDefault="00E51CDD" w:rsidP="009938D9">
            <w:pPr>
              <w:rPr>
                <w:noProof/>
                <w:sz w:val="20"/>
                <w:szCs w:val="20"/>
                <w:highlight w:val="yellow"/>
                <w:lang w:val="en-GB"/>
              </w:rPr>
            </w:pPr>
            <w:r w:rsidRPr="0026404C">
              <w:rPr>
                <w:noProof/>
                <w:sz w:val="20"/>
                <w:szCs w:val="20"/>
                <w:lang w:val="en-GB"/>
              </w:rPr>
              <w:t>Fluxapyroxad</w:t>
            </w:r>
          </w:p>
        </w:tc>
        <w:tc>
          <w:tcPr>
            <w:tcW w:w="995" w:type="pct"/>
            <w:shd w:val="clear" w:color="auto" w:fill="auto"/>
          </w:tcPr>
          <w:p w14:paraId="4C52E8DD" w14:textId="77777777" w:rsidR="00E51CDD" w:rsidRPr="0026404C" w:rsidRDefault="00E51CDD" w:rsidP="009938D9">
            <w:pPr>
              <w:rPr>
                <w:noProof/>
                <w:sz w:val="20"/>
                <w:szCs w:val="20"/>
                <w:lang w:val="en-GB"/>
              </w:rPr>
            </w:pPr>
            <w:r w:rsidRPr="0026404C">
              <w:rPr>
                <w:noProof/>
                <w:sz w:val="20"/>
                <w:szCs w:val="20"/>
                <w:lang w:val="en-GB"/>
              </w:rPr>
              <w:t>Oral</w:t>
            </w:r>
            <w:r w:rsidRPr="0026404C">
              <w:rPr>
                <w:noProof/>
                <w:sz w:val="20"/>
                <w:szCs w:val="20"/>
                <w:lang w:val="en-GB"/>
              </w:rPr>
              <w:br/>
              <w:t>Prenatal Developmental toxicity</w:t>
            </w:r>
          </w:p>
        </w:tc>
        <w:tc>
          <w:tcPr>
            <w:tcW w:w="1151" w:type="pct"/>
            <w:shd w:val="clear" w:color="auto" w:fill="auto"/>
            <w:vAlign w:val="center"/>
          </w:tcPr>
          <w:p w14:paraId="23BC53E8" w14:textId="77777777" w:rsidR="00E51CDD" w:rsidRPr="0026404C" w:rsidRDefault="00E51CDD" w:rsidP="009938D9">
            <w:pPr>
              <w:rPr>
                <w:sz w:val="20"/>
                <w:szCs w:val="20"/>
                <w:vertAlign w:val="superscript"/>
                <w:lang w:eastAsia="en-US"/>
              </w:rPr>
            </w:pPr>
            <w:r w:rsidRPr="0026404C">
              <w:rPr>
                <w:sz w:val="20"/>
                <w:szCs w:val="20"/>
                <w:lang w:eastAsia="en-US"/>
              </w:rPr>
              <w:t>NOAEL </w:t>
            </w:r>
            <w:r w:rsidRPr="0026404C">
              <w:rPr>
                <w:sz w:val="20"/>
                <w:szCs w:val="20"/>
                <w:vertAlign w:val="subscript"/>
                <w:lang w:eastAsia="en-US"/>
              </w:rPr>
              <w:t>maternal tox</w:t>
            </w:r>
            <w:r w:rsidRPr="0026404C">
              <w:rPr>
                <w:sz w:val="20"/>
                <w:szCs w:val="20"/>
                <w:lang w:eastAsia="en-US"/>
              </w:rPr>
              <w:t xml:space="preserve"> = 25 mg a.s./kg b.w./d</w:t>
            </w:r>
            <w:r w:rsidRPr="0026404C">
              <w:rPr>
                <w:sz w:val="20"/>
                <w:szCs w:val="20"/>
                <w:vertAlign w:val="superscript"/>
                <w:lang w:eastAsia="en-US"/>
              </w:rPr>
              <w:t> 1)</w:t>
            </w:r>
          </w:p>
          <w:p w14:paraId="0AEBBB29" w14:textId="77777777" w:rsidR="00E51CDD" w:rsidRPr="0026404C" w:rsidRDefault="00E51CDD" w:rsidP="009938D9">
            <w:pPr>
              <w:rPr>
                <w:noProof/>
                <w:sz w:val="20"/>
                <w:szCs w:val="20"/>
                <w:highlight w:val="yellow"/>
                <w:lang w:val="en-GB"/>
              </w:rPr>
            </w:pPr>
            <w:r w:rsidRPr="0026404C">
              <w:rPr>
                <w:noProof/>
                <w:sz w:val="20"/>
                <w:szCs w:val="20"/>
                <w:lang w:eastAsia="en-US"/>
              </w:rPr>
              <w:t>NOAEL </w:t>
            </w:r>
            <w:r w:rsidRPr="0026404C">
              <w:rPr>
                <w:noProof/>
                <w:sz w:val="20"/>
                <w:szCs w:val="20"/>
                <w:vertAlign w:val="subscript"/>
                <w:lang w:eastAsia="en-US"/>
              </w:rPr>
              <w:t>developmental tox</w:t>
            </w:r>
            <w:r w:rsidRPr="0026404C">
              <w:rPr>
                <w:noProof/>
                <w:sz w:val="20"/>
                <w:szCs w:val="20"/>
                <w:lang w:eastAsia="en-US"/>
              </w:rPr>
              <w:t> = 25 mg a.s./kg b.w./d</w:t>
            </w:r>
            <w:r w:rsidRPr="0026404C">
              <w:rPr>
                <w:noProof/>
                <w:sz w:val="20"/>
                <w:szCs w:val="20"/>
                <w:vertAlign w:val="superscript"/>
                <w:lang w:eastAsia="en-US"/>
              </w:rPr>
              <w:t> 1)</w:t>
            </w:r>
          </w:p>
        </w:tc>
        <w:tc>
          <w:tcPr>
            <w:tcW w:w="864" w:type="pct"/>
            <w:shd w:val="clear" w:color="auto" w:fill="auto"/>
          </w:tcPr>
          <w:p w14:paraId="1077B923" w14:textId="77777777" w:rsidR="00E51CDD" w:rsidRPr="0026404C" w:rsidRDefault="00E51CDD" w:rsidP="009938D9">
            <w:pPr>
              <w:rPr>
                <w:sz w:val="20"/>
                <w:szCs w:val="20"/>
              </w:rPr>
            </w:pPr>
            <w:r w:rsidRPr="0026404C">
              <w:rPr>
                <w:sz w:val="20"/>
                <w:szCs w:val="20"/>
                <w:lang w:val="en-GB"/>
              </w:rPr>
              <w:t>EFSA Journal 2012;10(1):2522</w:t>
            </w:r>
          </w:p>
          <w:p w14:paraId="5C0631C1" w14:textId="77777777" w:rsidR="00E51CDD" w:rsidRPr="0026404C" w:rsidRDefault="00E51CDD" w:rsidP="009938D9">
            <w:pPr>
              <w:rPr>
                <w:noProof/>
                <w:sz w:val="20"/>
                <w:szCs w:val="20"/>
                <w:highlight w:val="yellow"/>
                <w:lang w:val="en-GB"/>
              </w:rPr>
            </w:pPr>
            <w:r w:rsidRPr="0026404C">
              <w:rPr>
                <w:noProof/>
                <w:sz w:val="20"/>
                <w:szCs w:val="20"/>
                <w:lang w:eastAsia="en-US"/>
              </w:rPr>
              <w:t>[2009/1072493]</w:t>
            </w:r>
          </w:p>
        </w:tc>
      </w:tr>
      <w:tr w:rsidR="00E51CDD" w:rsidRPr="0026404C" w14:paraId="7841436F" w14:textId="77777777" w:rsidTr="009938D9">
        <w:tc>
          <w:tcPr>
            <w:tcW w:w="994" w:type="pct"/>
            <w:tcBorders>
              <w:top w:val="single" w:sz="4" w:space="0" w:color="auto"/>
              <w:left w:val="single" w:sz="4" w:space="0" w:color="auto"/>
              <w:bottom w:val="single" w:sz="4" w:space="0" w:color="auto"/>
              <w:right w:val="single" w:sz="4" w:space="0" w:color="auto"/>
            </w:tcBorders>
            <w:shd w:val="clear" w:color="auto" w:fill="auto"/>
          </w:tcPr>
          <w:p w14:paraId="10EFD1EF" w14:textId="77777777" w:rsidR="00E51CDD" w:rsidRPr="0026404C" w:rsidRDefault="00E51CDD" w:rsidP="009938D9">
            <w:pPr>
              <w:rPr>
                <w:b/>
                <w:noProof/>
                <w:sz w:val="20"/>
                <w:szCs w:val="20"/>
              </w:rPr>
            </w:pPr>
            <w:r w:rsidRPr="0026404C">
              <w:rPr>
                <w:b/>
                <w:bCs/>
                <w:sz w:val="20"/>
                <w:szCs w:val="20"/>
              </w:rPr>
              <w:t>Endpoint used for acute risk assessment</w:t>
            </w:r>
          </w:p>
        </w:tc>
        <w:tc>
          <w:tcPr>
            <w:tcW w:w="996" w:type="pct"/>
            <w:tcBorders>
              <w:top w:val="single" w:sz="4" w:space="0" w:color="auto"/>
              <w:left w:val="single" w:sz="4" w:space="0" w:color="auto"/>
              <w:bottom w:val="single" w:sz="4" w:space="0" w:color="auto"/>
              <w:right w:val="single" w:sz="4" w:space="0" w:color="auto"/>
            </w:tcBorders>
            <w:shd w:val="clear" w:color="auto" w:fill="auto"/>
          </w:tcPr>
          <w:p w14:paraId="5B55744C" w14:textId="77777777" w:rsidR="00E51CDD" w:rsidRPr="0026404C" w:rsidRDefault="00E51CDD" w:rsidP="009938D9">
            <w:pPr>
              <w:rPr>
                <w:b/>
                <w:noProof/>
                <w:sz w:val="20"/>
                <w:szCs w:val="20"/>
                <w:lang w:val="en-GB"/>
              </w:rPr>
            </w:pPr>
            <w:r w:rsidRPr="0026404C">
              <w:rPr>
                <w:b/>
                <w:noProof/>
                <w:sz w:val="20"/>
                <w:szCs w:val="20"/>
                <w:lang w:val="en-GB"/>
              </w:rPr>
              <w:t>Fluxapyroxad</w:t>
            </w: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785B6378" w14:textId="77777777" w:rsidR="00E51CDD" w:rsidRPr="0026404C" w:rsidRDefault="00E51CDD" w:rsidP="009938D9">
            <w:pPr>
              <w:rPr>
                <w:b/>
                <w:noProof/>
                <w:sz w:val="20"/>
                <w:szCs w:val="20"/>
                <w:lang w:val="en-GB"/>
              </w:rPr>
            </w:pPr>
            <w:r w:rsidRPr="0026404C">
              <w:rPr>
                <w:b/>
                <w:noProof/>
                <w:sz w:val="20"/>
                <w:szCs w:val="20"/>
                <w:lang w:val="en-GB"/>
              </w:rPr>
              <w:t>Oral, 1 d</w:t>
            </w:r>
            <w:r w:rsidRPr="0026404C">
              <w:rPr>
                <w:b/>
                <w:noProof/>
                <w:sz w:val="20"/>
                <w:szCs w:val="20"/>
                <w:lang w:val="en-GB"/>
              </w:rPr>
              <w:br/>
              <w:t>Acute</w:t>
            </w:r>
          </w:p>
        </w:tc>
        <w:tc>
          <w:tcPr>
            <w:tcW w:w="1151" w:type="pct"/>
            <w:tcBorders>
              <w:top w:val="single" w:sz="4" w:space="0" w:color="auto"/>
              <w:left w:val="single" w:sz="4" w:space="0" w:color="auto"/>
              <w:bottom w:val="single" w:sz="4" w:space="0" w:color="auto"/>
              <w:right w:val="single" w:sz="4" w:space="0" w:color="auto"/>
            </w:tcBorders>
            <w:shd w:val="clear" w:color="auto" w:fill="auto"/>
          </w:tcPr>
          <w:p w14:paraId="6503E6F5" w14:textId="77777777" w:rsidR="00E51CDD" w:rsidRPr="0026404C" w:rsidRDefault="00E51CDD" w:rsidP="009938D9">
            <w:pPr>
              <w:rPr>
                <w:b/>
                <w:noProof/>
                <w:sz w:val="20"/>
                <w:szCs w:val="20"/>
              </w:rPr>
            </w:pPr>
            <w:r w:rsidRPr="0026404C">
              <w:rPr>
                <w:b/>
                <w:noProof/>
                <w:sz w:val="20"/>
                <w:szCs w:val="20"/>
                <w:lang w:eastAsia="en-US"/>
              </w:rPr>
              <w:t>LD</w:t>
            </w:r>
            <w:r w:rsidRPr="0026404C">
              <w:rPr>
                <w:b/>
                <w:noProof/>
                <w:sz w:val="20"/>
                <w:szCs w:val="20"/>
                <w:vertAlign w:val="subscript"/>
                <w:lang w:eastAsia="en-US"/>
              </w:rPr>
              <w:t>50</w:t>
            </w:r>
            <w:r w:rsidRPr="0026404C">
              <w:rPr>
                <w:b/>
                <w:noProof/>
                <w:sz w:val="20"/>
                <w:szCs w:val="20"/>
                <w:lang w:eastAsia="en-US"/>
              </w:rPr>
              <w:t xml:space="preserve"> &gt; 2000 mg a.s./kg b.w.</w:t>
            </w:r>
          </w:p>
        </w:tc>
        <w:tc>
          <w:tcPr>
            <w:tcW w:w="864" w:type="pct"/>
            <w:tcBorders>
              <w:top w:val="single" w:sz="4" w:space="0" w:color="auto"/>
              <w:left w:val="single" w:sz="4" w:space="0" w:color="auto"/>
              <w:bottom w:val="single" w:sz="4" w:space="0" w:color="auto"/>
              <w:right w:val="single" w:sz="4" w:space="0" w:color="auto"/>
            </w:tcBorders>
            <w:shd w:val="clear" w:color="auto" w:fill="auto"/>
          </w:tcPr>
          <w:p w14:paraId="61C0224A" w14:textId="77777777" w:rsidR="00E51CDD" w:rsidRPr="00535AD4" w:rsidRDefault="00E51CDD" w:rsidP="009938D9">
            <w:pPr>
              <w:rPr>
                <w:b/>
                <w:sz w:val="20"/>
                <w:szCs w:val="20"/>
              </w:rPr>
            </w:pPr>
            <w:r w:rsidRPr="00535AD4">
              <w:rPr>
                <w:b/>
                <w:sz w:val="20"/>
                <w:szCs w:val="20"/>
              </w:rPr>
              <w:t>EFSA Journal 2012;10(1):2522</w:t>
            </w:r>
          </w:p>
          <w:p w14:paraId="22F05032" w14:textId="77777777" w:rsidR="00E51CDD" w:rsidRPr="00535AD4" w:rsidRDefault="00E51CDD" w:rsidP="009938D9">
            <w:pPr>
              <w:rPr>
                <w:b/>
                <w:sz w:val="20"/>
                <w:szCs w:val="20"/>
              </w:rPr>
            </w:pPr>
            <w:r w:rsidRPr="00535AD4">
              <w:rPr>
                <w:b/>
                <w:noProof/>
                <w:sz w:val="20"/>
                <w:szCs w:val="20"/>
                <w:lang w:eastAsia="en-US"/>
              </w:rPr>
              <w:t>[2008/1002441]</w:t>
            </w:r>
          </w:p>
        </w:tc>
      </w:tr>
      <w:tr w:rsidR="00E51CDD" w:rsidRPr="0026404C" w14:paraId="14C3CF24" w14:textId="77777777" w:rsidTr="009938D9">
        <w:tc>
          <w:tcPr>
            <w:tcW w:w="994" w:type="pct"/>
            <w:tcBorders>
              <w:left w:val="single" w:sz="4" w:space="0" w:color="auto"/>
              <w:right w:val="single" w:sz="4" w:space="0" w:color="auto"/>
            </w:tcBorders>
            <w:shd w:val="clear" w:color="auto" w:fill="auto"/>
          </w:tcPr>
          <w:p w14:paraId="7AC4FF25" w14:textId="77777777" w:rsidR="00E51CDD" w:rsidRPr="0026404C" w:rsidRDefault="00E51CDD" w:rsidP="009938D9">
            <w:pPr>
              <w:keepNext/>
              <w:rPr>
                <w:b/>
                <w:noProof/>
                <w:sz w:val="20"/>
                <w:szCs w:val="20"/>
              </w:rPr>
            </w:pPr>
            <w:r w:rsidRPr="0026404C">
              <w:rPr>
                <w:b/>
                <w:bCs/>
                <w:sz w:val="20"/>
                <w:szCs w:val="20"/>
              </w:rPr>
              <w:t>Endpoint used for reproductive risk assessment</w:t>
            </w:r>
          </w:p>
        </w:tc>
        <w:tc>
          <w:tcPr>
            <w:tcW w:w="996" w:type="pct"/>
            <w:tcBorders>
              <w:top w:val="single" w:sz="4" w:space="0" w:color="auto"/>
              <w:left w:val="single" w:sz="4" w:space="0" w:color="auto"/>
              <w:bottom w:val="single" w:sz="4" w:space="0" w:color="auto"/>
              <w:right w:val="single" w:sz="4" w:space="0" w:color="auto"/>
            </w:tcBorders>
            <w:shd w:val="clear" w:color="auto" w:fill="auto"/>
          </w:tcPr>
          <w:p w14:paraId="727D182A" w14:textId="77777777" w:rsidR="00E51CDD" w:rsidRPr="0026404C" w:rsidRDefault="00E51CDD" w:rsidP="009938D9">
            <w:pPr>
              <w:keepNext/>
              <w:rPr>
                <w:b/>
                <w:noProof/>
                <w:sz w:val="20"/>
                <w:szCs w:val="20"/>
                <w:lang w:val="en-GB"/>
              </w:rPr>
            </w:pPr>
            <w:r w:rsidRPr="0026404C">
              <w:rPr>
                <w:b/>
                <w:noProof/>
                <w:sz w:val="20"/>
                <w:szCs w:val="20"/>
                <w:lang w:val="en-GB"/>
              </w:rPr>
              <w:t>Fluxapyroxad</w:t>
            </w:r>
          </w:p>
        </w:tc>
        <w:tc>
          <w:tcPr>
            <w:tcW w:w="995" w:type="pct"/>
            <w:tcBorders>
              <w:top w:val="single" w:sz="4" w:space="0" w:color="auto"/>
              <w:left w:val="single" w:sz="4" w:space="0" w:color="auto"/>
              <w:bottom w:val="single" w:sz="4" w:space="0" w:color="auto"/>
              <w:right w:val="single" w:sz="4" w:space="0" w:color="auto"/>
            </w:tcBorders>
            <w:shd w:val="clear" w:color="auto" w:fill="auto"/>
          </w:tcPr>
          <w:p w14:paraId="4414E87C" w14:textId="77777777" w:rsidR="00E51CDD" w:rsidRPr="0026404C" w:rsidRDefault="00E51CDD" w:rsidP="009938D9">
            <w:pPr>
              <w:keepNext/>
              <w:rPr>
                <w:b/>
                <w:noProof/>
                <w:sz w:val="20"/>
                <w:szCs w:val="20"/>
                <w:lang w:val="en-GB"/>
              </w:rPr>
            </w:pPr>
            <w:r w:rsidRPr="0026404C">
              <w:rPr>
                <w:b/>
                <w:noProof/>
                <w:sz w:val="20"/>
                <w:szCs w:val="20"/>
                <w:lang w:val="en-GB"/>
              </w:rPr>
              <w:t>Dietary</w:t>
            </w:r>
            <w:r w:rsidRPr="0026404C">
              <w:rPr>
                <w:b/>
                <w:noProof/>
                <w:sz w:val="20"/>
                <w:szCs w:val="20"/>
                <w:lang w:val="en-GB"/>
              </w:rPr>
              <w:br/>
              <w:t>Reproductive toxicity</w:t>
            </w:r>
            <w:r w:rsidRPr="0026404C">
              <w:rPr>
                <w:b/>
                <w:noProof/>
                <w:sz w:val="20"/>
                <w:szCs w:val="20"/>
                <w:lang w:val="en-GB"/>
              </w:rPr>
              <w:br/>
              <w:t>Two-generation study</w:t>
            </w:r>
          </w:p>
        </w:tc>
        <w:tc>
          <w:tcPr>
            <w:tcW w:w="1151" w:type="pct"/>
            <w:tcBorders>
              <w:top w:val="single" w:sz="4" w:space="0" w:color="auto"/>
              <w:left w:val="single" w:sz="4" w:space="0" w:color="auto"/>
              <w:bottom w:val="single" w:sz="4" w:space="0" w:color="auto"/>
              <w:right w:val="single" w:sz="4" w:space="0" w:color="auto"/>
            </w:tcBorders>
            <w:shd w:val="clear" w:color="auto" w:fill="auto"/>
          </w:tcPr>
          <w:p w14:paraId="7127C62B" w14:textId="77777777" w:rsidR="00E51CDD" w:rsidRPr="0026404C" w:rsidRDefault="00E51CDD" w:rsidP="009938D9">
            <w:pPr>
              <w:keepNext/>
              <w:rPr>
                <w:b/>
                <w:noProof/>
                <w:sz w:val="20"/>
                <w:szCs w:val="20"/>
                <w:lang w:eastAsia="en-US"/>
              </w:rPr>
            </w:pPr>
            <w:r w:rsidRPr="0026404C">
              <w:rPr>
                <w:b/>
                <w:noProof/>
                <w:sz w:val="20"/>
                <w:szCs w:val="20"/>
                <w:lang w:eastAsia="en-US"/>
              </w:rPr>
              <w:t>NOAEL = 10 mg a.s./kg b.w./d </w:t>
            </w:r>
            <w:r w:rsidRPr="0026404C">
              <w:rPr>
                <w:b/>
                <w:noProof/>
                <w:sz w:val="20"/>
                <w:szCs w:val="20"/>
                <w:vertAlign w:val="superscript"/>
                <w:lang w:eastAsia="en-US"/>
              </w:rPr>
              <w:t>1)</w:t>
            </w:r>
          </w:p>
        </w:tc>
        <w:tc>
          <w:tcPr>
            <w:tcW w:w="864" w:type="pct"/>
            <w:tcBorders>
              <w:top w:val="single" w:sz="4" w:space="0" w:color="auto"/>
              <w:left w:val="single" w:sz="4" w:space="0" w:color="auto"/>
              <w:bottom w:val="single" w:sz="4" w:space="0" w:color="auto"/>
              <w:right w:val="single" w:sz="4" w:space="0" w:color="auto"/>
            </w:tcBorders>
            <w:shd w:val="clear" w:color="auto" w:fill="auto"/>
          </w:tcPr>
          <w:p w14:paraId="1DEA59C2" w14:textId="77777777" w:rsidR="00E51CDD" w:rsidRPr="00535AD4" w:rsidRDefault="00E51CDD" w:rsidP="009938D9">
            <w:pPr>
              <w:keepNext/>
              <w:rPr>
                <w:b/>
                <w:sz w:val="20"/>
                <w:szCs w:val="20"/>
              </w:rPr>
            </w:pPr>
            <w:r w:rsidRPr="00535AD4">
              <w:rPr>
                <w:b/>
                <w:sz w:val="20"/>
                <w:szCs w:val="20"/>
              </w:rPr>
              <w:t>EFSA Journal 2012;10(1):2522</w:t>
            </w:r>
          </w:p>
          <w:p w14:paraId="42821DF3" w14:textId="77777777" w:rsidR="00E51CDD" w:rsidRPr="00535AD4" w:rsidRDefault="00E51CDD" w:rsidP="009938D9">
            <w:pPr>
              <w:keepNext/>
              <w:rPr>
                <w:b/>
                <w:sz w:val="20"/>
                <w:szCs w:val="20"/>
              </w:rPr>
            </w:pPr>
            <w:r w:rsidRPr="00535AD4">
              <w:rPr>
                <w:b/>
                <w:noProof/>
                <w:sz w:val="20"/>
                <w:szCs w:val="20"/>
                <w:lang w:eastAsia="en-US"/>
              </w:rPr>
              <w:t>[2009/1072491]</w:t>
            </w:r>
          </w:p>
        </w:tc>
      </w:tr>
    </w:tbl>
    <w:p w14:paraId="36EE6614" w14:textId="77777777" w:rsidR="00E51CDD" w:rsidRPr="0026404C" w:rsidRDefault="00E51CDD" w:rsidP="00E51CDD">
      <w:pPr>
        <w:keepNext/>
        <w:keepLines/>
        <w:tabs>
          <w:tab w:val="left" w:pos="426"/>
          <w:tab w:val="left" w:pos="720"/>
        </w:tabs>
        <w:ind w:left="426" w:hanging="284"/>
        <w:jc w:val="both"/>
        <w:rPr>
          <w:sz w:val="18"/>
          <w:szCs w:val="18"/>
          <w:lang w:eastAsia="en-US"/>
        </w:rPr>
      </w:pPr>
      <w:r>
        <w:rPr>
          <w:sz w:val="18"/>
          <w:szCs w:val="18"/>
          <w:vertAlign w:val="superscript"/>
          <w:lang w:eastAsia="en-US"/>
        </w:rPr>
        <w:t>1</w:t>
      </w:r>
      <w:r w:rsidRPr="0026404C">
        <w:rPr>
          <w:sz w:val="18"/>
          <w:szCs w:val="18"/>
          <w:vertAlign w:val="superscript"/>
          <w:lang w:eastAsia="en-US"/>
        </w:rPr>
        <w:t>)</w:t>
      </w:r>
      <w:r w:rsidRPr="0026404C">
        <w:rPr>
          <w:sz w:val="18"/>
          <w:szCs w:val="18"/>
          <w:lang w:eastAsia="en-US"/>
        </w:rPr>
        <w:tab/>
        <w:t>Daily Dose [mg/kg b.w./d] calculated based on study data for food consumption and body weight.</w:t>
      </w:r>
    </w:p>
    <w:p w14:paraId="72CEEA79" w14:textId="77777777" w:rsidR="00E51CDD" w:rsidRPr="00D121B2" w:rsidRDefault="00E51CDD" w:rsidP="00E51CDD">
      <w:pPr>
        <w:pStyle w:val="RepStandard"/>
        <w:rPr>
          <w:lang w:val="en-US"/>
        </w:rPr>
      </w:pPr>
    </w:p>
    <w:p w14:paraId="070622AA" w14:textId="77777777" w:rsidR="00E51CDD" w:rsidRDefault="00E51CDD" w:rsidP="00E51CDD">
      <w:pPr>
        <w:pStyle w:val="RepStandard"/>
      </w:pPr>
    </w:p>
    <w:p w14:paraId="116C8D3B" w14:textId="77777777" w:rsidR="00E51CDD" w:rsidRPr="005125E4" w:rsidRDefault="00E51CDD" w:rsidP="00E51CDD">
      <w:pPr>
        <w:pStyle w:val="RepStandard"/>
        <w:rPr>
          <w:vertAlign w:val="subscript"/>
        </w:rPr>
      </w:pPr>
      <w:r>
        <w:rPr>
          <w:vertAlign w:val="subscript"/>
        </w:rPr>
        <w:br w:type="page"/>
      </w:r>
    </w:p>
    <w:p w14:paraId="0C72D020" w14:textId="7F256751" w:rsidR="00E51CDD" w:rsidRDefault="00E51CDD" w:rsidP="00E51CDD">
      <w:pPr>
        <w:pStyle w:val="RepLabel"/>
      </w:pPr>
      <w:bookmarkStart w:id="317" w:name="_Ref81825411"/>
      <w:r w:rsidRPr="002B1114">
        <w:lastRenderedPageBreak/>
        <w:t xml:space="preserve">Table </w:t>
      </w:r>
      <w:r w:rsidRPr="002B1114">
        <w:fldChar w:fldCharType="begin"/>
      </w:r>
      <w:r w:rsidRPr="002B1114">
        <w:instrText xml:space="preserve"> STYLEREF 2 \s </w:instrText>
      </w:r>
      <w:r w:rsidRPr="002B1114">
        <w:fldChar w:fldCharType="separate"/>
      </w:r>
      <w:r w:rsidR="00662F32">
        <w:rPr>
          <w:noProof/>
        </w:rPr>
        <w:t>9.3</w:t>
      </w:r>
      <w:r w:rsidRPr="002B1114">
        <w:fldChar w:fldCharType="end"/>
      </w:r>
      <w:r w:rsidRPr="002B1114">
        <w:noBreakHyphen/>
      </w:r>
      <w:r w:rsidRPr="002B1114">
        <w:fldChar w:fldCharType="begin"/>
      </w:r>
      <w:r w:rsidRPr="002B1114">
        <w:instrText xml:space="preserve"> SEQ Table \* ARABIC \s 2 </w:instrText>
      </w:r>
      <w:r w:rsidRPr="002B1114">
        <w:fldChar w:fldCharType="separate"/>
      </w:r>
      <w:r w:rsidR="00662F32">
        <w:rPr>
          <w:noProof/>
        </w:rPr>
        <w:t>2</w:t>
      </w:r>
      <w:r w:rsidRPr="002B1114">
        <w:fldChar w:fldCharType="end"/>
      </w:r>
      <w:bookmarkEnd w:id="317"/>
      <w:r w:rsidRPr="002B1114">
        <w:t>:</w:t>
      </w:r>
      <w:r w:rsidRPr="002B1114">
        <w:tab/>
      </w:r>
      <w:r>
        <w:t xml:space="preserve">Azoxystrobin: </w:t>
      </w:r>
      <w:r w:rsidRPr="002B1114">
        <w:t>Endpoints and effect values relevant for the risk assessment for mammals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32"/>
        <w:gridCol w:w="1845"/>
        <w:gridCol w:w="1886"/>
        <w:gridCol w:w="2131"/>
        <w:gridCol w:w="1653"/>
      </w:tblGrid>
      <w:tr w:rsidR="00E51CDD" w:rsidRPr="00FC505F" w14:paraId="5BF24CE5" w14:textId="77777777" w:rsidTr="009938D9">
        <w:trPr>
          <w:tblHeader/>
        </w:trPr>
        <w:tc>
          <w:tcPr>
            <w:tcW w:w="980" w:type="pct"/>
            <w:shd w:val="clear" w:color="auto" w:fill="auto"/>
          </w:tcPr>
          <w:p w14:paraId="2BA71E3D" w14:textId="77777777" w:rsidR="00E51CDD" w:rsidRPr="00FC505F" w:rsidRDefault="00E51CDD" w:rsidP="009938D9">
            <w:pPr>
              <w:pStyle w:val="RepTableHeader"/>
              <w:jc w:val="center"/>
            </w:pPr>
            <w:r w:rsidRPr="00FC505F">
              <w:t>Species</w:t>
            </w:r>
          </w:p>
        </w:tc>
        <w:tc>
          <w:tcPr>
            <w:tcW w:w="987" w:type="pct"/>
            <w:shd w:val="clear" w:color="auto" w:fill="auto"/>
          </w:tcPr>
          <w:p w14:paraId="453FCFFE" w14:textId="77777777" w:rsidR="00E51CDD" w:rsidRPr="00FC505F" w:rsidRDefault="00E51CDD" w:rsidP="009938D9">
            <w:pPr>
              <w:pStyle w:val="RepTableHeader"/>
              <w:jc w:val="center"/>
            </w:pPr>
            <w:r w:rsidRPr="00FC505F">
              <w:t>Substance</w:t>
            </w:r>
          </w:p>
        </w:tc>
        <w:tc>
          <w:tcPr>
            <w:tcW w:w="1009" w:type="pct"/>
            <w:shd w:val="clear" w:color="auto" w:fill="auto"/>
          </w:tcPr>
          <w:p w14:paraId="3C1B2834" w14:textId="77777777" w:rsidR="00E51CDD" w:rsidRPr="00FC505F" w:rsidRDefault="00E51CDD" w:rsidP="009938D9">
            <w:pPr>
              <w:pStyle w:val="RepTableHeader"/>
              <w:jc w:val="center"/>
            </w:pPr>
            <w:r w:rsidRPr="00FC505F">
              <w:t>Exposure</w:t>
            </w:r>
          </w:p>
          <w:p w14:paraId="78E22010" w14:textId="77777777" w:rsidR="00E51CDD" w:rsidRPr="00FC505F" w:rsidRDefault="00E51CDD" w:rsidP="009938D9">
            <w:pPr>
              <w:pStyle w:val="RepTableHeader"/>
              <w:jc w:val="center"/>
            </w:pPr>
            <w:r w:rsidRPr="00FC505F">
              <w:t>System</w:t>
            </w:r>
          </w:p>
        </w:tc>
        <w:tc>
          <w:tcPr>
            <w:tcW w:w="1140" w:type="pct"/>
            <w:shd w:val="clear" w:color="auto" w:fill="auto"/>
          </w:tcPr>
          <w:p w14:paraId="15F50977" w14:textId="77777777" w:rsidR="00E51CDD" w:rsidRPr="00FC505F" w:rsidRDefault="00E51CDD" w:rsidP="009938D9">
            <w:pPr>
              <w:pStyle w:val="RepTableHeader"/>
              <w:jc w:val="center"/>
            </w:pPr>
            <w:r w:rsidRPr="00FC505F">
              <w:t>Results</w:t>
            </w:r>
          </w:p>
        </w:tc>
        <w:tc>
          <w:tcPr>
            <w:tcW w:w="884" w:type="pct"/>
            <w:shd w:val="clear" w:color="auto" w:fill="auto"/>
          </w:tcPr>
          <w:p w14:paraId="7478D33F" w14:textId="77777777" w:rsidR="00E51CDD" w:rsidRDefault="00E51CDD" w:rsidP="009938D9">
            <w:pPr>
              <w:pStyle w:val="RepTableHeader"/>
              <w:jc w:val="center"/>
            </w:pPr>
            <w:r w:rsidRPr="00FC505F">
              <w:t>Reference</w:t>
            </w:r>
          </w:p>
          <w:p w14:paraId="5A4D20DB" w14:textId="77777777" w:rsidR="00E51CDD" w:rsidRPr="00FC505F" w:rsidRDefault="00E51CDD" w:rsidP="009938D9">
            <w:pPr>
              <w:pStyle w:val="RepTableHeader"/>
              <w:jc w:val="center"/>
            </w:pPr>
            <w:r w:rsidRPr="0026404C">
              <w:t>[</w:t>
            </w:r>
            <w:r>
              <w:t xml:space="preserve">Study </w:t>
            </w:r>
            <w:r w:rsidRPr="0026404C">
              <w:t>ID]</w:t>
            </w:r>
          </w:p>
        </w:tc>
      </w:tr>
      <w:tr w:rsidR="00E51CDD" w:rsidRPr="005F778A" w14:paraId="18A89880" w14:textId="77777777" w:rsidTr="009938D9">
        <w:tc>
          <w:tcPr>
            <w:tcW w:w="980" w:type="pct"/>
            <w:shd w:val="clear" w:color="auto" w:fill="auto"/>
          </w:tcPr>
          <w:p w14:paraId="797CD723" w14:textId="77777777" w:rsidR="00E51CDD" w:rsidRPr="00FC505F" w:rsidRDefault="00E51CDD" w:rsidP="009938D9">
            <w:pPr>
              <w:pStyle w:val="RepTable"/>
              <w:rPr>
                <w:noProof w:val="0"/>
              </w:rPr>
            </w:pPr>
            <w:r w:rsidRPr="00FC505F">
              <w:rPr>
                <w:noProof w:val="0"/>
              </w:rPr>
              <w:t>Rat</w:t>
            </w:r>
          </w:p>
        </w:tc>
        <w:tc>
          <w:tcPr>
            <w:tcW w:w="987" w:type="pct"/>
            <w:shd w:val="clear" w:color="auto" w:fill="auto"/>
          </w:tcPr>
          <w:p w14:paraId="455653C6" w14:textId="77777777" w:rsidR="00E51CDD" w:rsidRPr="00FC505F" w:rsidRDefault="00E51CDD" w:rsidP="009938D9">
            <w:pPr>
              <w:pStyle w:val="RepTable"/>
              <w:rPr>
                <w:noProof w:val="0"/>
              </w:rPr>
            </w:pPr>
            <w:r w:rsidRPr="00FC505F">
              <w:rPr>
                <w:noProof w:val="0"/>
              </w:rPr>
              <w:t>Azoxystrobin</w:t>
            </w:r>
          </w:p>
        </w:tc>
        <w:tc>
          <w:tcPr>
            <w:tcW w:w="1009" w:type="pct"/>
            <w:shd w:val="clear" w:color="auto" w:fill="auto"/>
          </w:tcPr>
          <w:p w14:paraId="1BD8A8BA" w14:textId="77777777" w:rsidR="00E51CDD" w:rsidRPr="00FC505F" w:rsidRDefault="00E51CDD" w:rsidP="009938D9">
            <w:pPr>
              <w:pStyle w:val="RepTable"/>
              <w:rPr>
                <w:noProof w:val="0"/>
              </w:rPr>
            </w:pPr>
            <w:r w:rsidRPr="00FC505F">
              <w:rPr>
                <w:noProof w:val="0"/>
              </w:rPr>
              <w:t>Oral</w:t>
            </w:r>
            <w:r w:rsidRPr="00FC505F">
              <w:rPr>
                <w:noProof w:val="0"/>
              </w:rPr>
              <w:br/>
              <w:t>1 d</w:t>
            </w:r>
            <w:r w:rsidRPr="00FC505F">
              <w:rPr>
                <w:noProof w:val="0"/>
              </w:rPr>
              <w:br/>
              <w:t>Acute</w:t>
            </w:r>
          </w:p>
        </w:tc>
        <w:tc>
          <w:tcPr>
            <w:tcW w:w="1140" w:type="pct"/>
            <w:shd w:val="clear" w:color="auto" w:fill="auto"/>
          </w:tcPr>
          <w:p w14:paraId="61CD9A38" w14:textId="77777777" w:rsidR="00E51CDD" w:rsidRPr="0086555A" w:rsidRDefault="00E51CDD" w:rsidP="009938D9">
            <w:pPr>
              <w:pStyle w:val="RepTable"/>
              <w:rPr>
                <w:bCs/>
                <w:noProof w:val="0"/>
              </w:rPr>
            </w:pPr>
            <w:r w:rsidRPr="0086555A">
              <w:rPr>
                <w:bCs/>
                <w:noProof w:val="0"/>
              </w:rPr>
              <w:t>LD</w:t>
            </w:r>
            <w:r w:rsidRPr="0086555A">
              <w:rPr>
                <w:bCs/>
                <w:noProof w:val="0"/>
                <w:vertAlign w:val="subscript"/>
              </w:rPr>
              <w:t>50</w:t>
            </w:r>
            <w:r w:rsidRPr="0086555A">
              <w:rPr>
                <w:bCs/>
                <w:noProof w:val="0"/>
              </w:rPr>
              <w:t xml:space="preserve"> &gt; 5000 mg</w:t>
            </w:r>
            <w:r>
              <w:rPr>
                <w:bCs/>
                <w:noProof w:val="0"/>
              </w:rPr>
              <w:t xml:space="preserve"> a.s.</w:t>
            </w:r>
            <w:r w:rsidRPr="0086555A">
              <w:rPr>
                <w:bCs/>
                <w:noProof w:val="0"/>
              </w:rPr>
              <w:t>/kg b</w:t>
            </w:r>
            <w:r>
              <w:rPr>
                <w:bCs/>
                <w:noProof w:val="0"/>
              </w:rPr>
              <w:t>.w.</w:t>
            </w:r>
          </w:p>
        </w:tc>
        <w:tc>
          <w:tcPr>
            <w:tcW w:w="884" w:type="pct"/>
            <w:shd w:val="clear" w:color="auto" w:fill="auto"/>
          </w:tcPr>
          <w:p w14:paraId="27A24E75" w14:textId="77777777" w:rsidR="00E51CDD" w:rsidRPr="00C81F9A" w:rsidRDefault="00E51CDD" w:rsidP="009938D9">
            <w:pPr>
              <w:pStyle w:val="RepTable"/>
              <w:rPr>
                <w:noProof w:val="0"/>
                <w:lang w:val="fr-FR"/>
              </w:rPr>
            </w:pPr>
            <w:r w:rsidRPr="00C81F9A">
              <w:rPr>
                <w:noProof w:val="0"/>
                <w:lang w:val="fr-FR"/>
              </w:rPr>
              <w:t xml:space="preserve">EFSA Journal 2010; 8(4):1542 </w:t>
            </w:r>
            <w:r w:rsidRPr="0026404C">
              <w:rPr>
                <w:szCs w:val="20"/>
                <w:lang w:eastAsia="en-US"/>
              </w:rPr>
              <w:t>[</w:t>
            </w:r>
            <w:r w:rsidRPr="00C81F9A">
              <w:rPr>
                <w:noProof w:val="0"/>
                <w:lang w:val="fr-FR"/>
              </w:rPr>
              <w:t>ICI5504/0081</w:t>
            </w:r>
            <w:r w:rsidRPr="0026404C">
              <w:rPr>
                <w:szCs w:val="20"/>
                <w:lang w:eastAsia="en-US"/>
              </w:rPr>
              <w:t>]</w:t>
            </w:r>
          </w:p>
        </w:tc>
      </w:tr>
      <w:tr w:rsidR="00E51CDD" w:rsidRPr="005F778A" w14:paraId="1EB04B10" w14:textId="77777777" w:rsidTr="009938D9">
        <w:tc>
          <w:tcPr>
            <w:tcW w:w="980" w:type="pct"/>
            <w:shd w:val="clear" w:color="auto" w:fill="auto"/>
          </w:tcPr>
          <w:p w14:paraId="16EF309B" w14:textId="77777777" w:rsidR="00E51CDD" w:rsidRPr="00FC505F" w:rsidRDefault="00E51CDD" w:rsidP="009938D9">
            <w:pPr>
              <w:pStyle w:val="RepTable"/>
              <w:rPr>
                <w:noProof w:val="0"/>
              </w:rPr>
            </w:pPr>
            <w:r w:rsidRPr="00FC505F">
              <w:rPr>
                <w:noProof w:val="0"/>
              </w:rPr>
              <w:t>Rat</w:t>
            </w:r>
          </w:p>
        </w:tc>
        <w:tc>
          <w:tcPr>
            <w:tcW w:w="987" w:type="pct"/>
            <w:shd w:val="clear" w:color="auto" w:fill="auto"/>
          </w:tcPr>
          <w:p w14:paraId="7128766F" w14:textId="77777777" w:rsidR="00E51CDD" w:rsidRPr="00FC505F" w:rsidRDefault="00E51CDD" w:rsidP="009938D9">
            <w:pPr>
              <w:pStyle w:val="RepTable"/>
              <w:rPr>
                <w:noProof w:val="0"/>
              </w:rPr>
            </w:pPr>
            <w:r w:rsidRPr="00FC505F">
              <w:rPr>
                <w:noProof w:val="0"/>
              </w:rPr>
              <w:t>Azoxystrobin</w:t>
            </w:r>
          </w:p>
        </w:tc>
        <w:tc>
          <w:tcPr>
            <w:tcW w:w="1009" w:type="pct"/>
            <w:shd w:val="clear" w:color="auto" w:fill="auto"/>
          </w:tcPr>
          <w:p w14:paraId="38546F25" w14:textId="77777777" w:rsidR="00E51CDD" w:rsidRPr="00FC505F" w:rsidRDefault="00E51CDD" w:rsidP="009938D9">
            <w:pPr>
              <w:pStyle w:val="RepTable"/>
              <w:rPr>
                <w:noProof w:val="0"/>
              </w:rPr>
            </w:pPr>
            <w:r w:rsidRPr="00FC505F">
              <w:rPr>
                <w:noProof w:val="0"/>
              </w:rPr>
              <w:t>Dietary</w:t>
            </w:r>
            <w:r w:rsidRPr="00FC505F">
              <w:rPr>
                <w:noProof w:val="0"/>
              </w:rPr>
              <w:br/>
              <w:t>Reproductive toxicity</w:t>
            </w:r>
            <w:r w:rsidRPr="00FC505F">
              <w:rPr>
                <w:noProof w:val="0"/>
              </w:rPr>
              <w:br/>
              <w:t>Two-generation study</w:t>
            </w:r>
          </w:p>
        </w:tc>
        <w:tc>
          <w:tcPr>
            <w:tcW w:w="1140" w:type="pct"/>
            <w:shd w:val="clear" w:color="auto" w:fill="auto"/>
          </w:tcPr>
          <w:p w14:paraId="1A38AACC" w14:textId="77777777" w:rsidR="00E51CDD" w:rsidRPr="00430592" w:rsidRDefault="00E51CDD" w:rsidP="009938D9">
            <w:pPr>
              <w:pStyle w:val="RepTable"/>
              <w:rPr>
                <w:bCs/>
                <w:noProof w:val="0"/>
              </w:rPr>
            </w:pPr>
            <w:r w:rsidRPr="00430592">
              <w:rPr>
                <w:bCs/>
                <w:noProof w:val="0"/>
              </w:rPr>
              <w:t>NOAEL = 32 mg a.s./kg b.w./d</w:t>
            </w:r>
          </w:p>
          <w:p w14:paraId="0AFD0B1C" w14:textId="77777777" w:rsidR="00E51CDD" w:rsidRPr="0086555A" w:rsidRDefault="00E51CDD" w:rsidP="009938D9">
            <w:pPr>
              <w:pStyle w:val="RepTable"/>
              <w:rPr>
                <w:bCs/>
                <w:noProof w:val="0"/>
              </w:rPr>
            </w:pPr>
            <w:r w:rsidRPr="0086555A">
              <w:rPr>
                <w:bCs/>
                <w:noProof w:val="0"/>
              </w:rPr>
              <w:t>(offspring effects on pup weight)</w:t>
            </w:r>
          </w:p>
        </w:tc>
        <w:tc>
          <w:tcPr>
            <w:tcW w:w="884" w:type="pct"/>
            <w:shd w:val="clear" w:color="auto" w:fill="auto"/>
          </w:tcPr>
          <w:p w14:paraId="289FF116" w14:textId="77777777" w:rsidR="00E51CDD" w:rsidRDefault="00E51CDD" w:rsidP="009938D9">
            <w:pPr>
              <w:pStyle w:val="RepTable"/>
              <w:rPr>
                <w:noProof w:val="0"/>
                <w:lang w:val="fr-FR"/>
              </w:rPr>
            </w:pPr>
            <w:r w:rsidRPr="00C81F9A">
              <w:rPr>
                <w:noProof w:val="0"/>
                <w:lang w:val="fr-FR"/>
              </w:rPr>
              <w:t>EFSA Journal 2010; 8(4):1542</w:t>
            </w:r>
          </w:p>
          <w:p w14:paraId="1AF0B083" w14:textId="77777777" w:rsidR="00E51CDD" w:rsidRPr="00C81F9A" w:rsidRDefault="00E51CDD" w:rsidP="009938D9">
            <w:pPr>
              <w:pStyle w:val="RepTable"/>
              <w:rPr>
                <w:noProof w:val="0"/>
                <w:lang w:val="fr-FR"/>
              </w:rPr>
            </w:pPr>
            <w:r w:rsidRPr="0026404C">
              <w:rPr>
                <w:szCs w:val="20"/>
                <w:lang w:eastAsia="en-US"/>
              </w:rPr>
              <w:t>[</w:t>
            </w:r>
            <w:r w:rsidRPr="00C81F9A">
              <w:rPr>
                <w:noProof w:val="0"/>
                <w:lang w:val="fr-FR"/>
              </w:rPr>
              <w:t>ICI5504/0117</w:t>
            </w:r>
            <w:r w:rsidRPr="0026404C">
              <w:rPr>
                <w:szCs w:val="20"/>
                <w:lang w:eastAsia="en-US"/>
              </w:rPr>
              <w:t>]</w:t>
            </w:r>
          </w:p>
        </w:tc>
      </w:tr>
      <w:tr w:rsidR="00E51CDD" w:rsidRPr="005F778A" w14:paraId="00BFD7E4" w14:textId="77777777" w:rsidTr="009938D9">
        <w:tc>
          <w:tcPr>
            <w:tcW w:w="980" w:type="pct"/>
            <w:shd w:val="clear" w:color="auto" w:fill="auto"/>
          </w:tcPr>
          <w:p w14:paraId="6C3C6480" w14:textId="77777777" w:rsidR="00E51CDD" w:rsidRPr="00FC505F" w:rsidRDefault="00E51CDD" w:rsidP="009938D9">
            <w:pPr>
              <w:pStyle w:val="RepTable"/>
              <w:rPr>
                <w:noProof w:val="0"/>
              </w:rPr>
            </w:pPr>
            <w:r w:rsidRPr="0026404C">
              <w:rPr>
                <w:b/>
                <w:bCs/>
                <w:szCs w:val="20"/>
              </w:rPr>
              <w:t>Endpoint used for acute risk assessment</w:t>
            </w:r>
          </w:p>
        </w:tc>
        <w:tc>
          <w:tcPr>
            <w:tcW w:w="987" w:type="pct"/>
            <w:shd w:val="clear" w:color="auto" w:fill="auto"/>
          </w:tcPr>
          <w:p w14:paraId="63E86B79" w14:textId="77777777" w:rsidR="00E51CDD" w:rsidRPr="00C574F8" w:rsidRDefault="00E51CDD" w:rsidP="009938D9">
            <w:pPr>
              <w:pStyle w:val="RepTable"/>
              <w:rPr>
                <w:b/>
                <w:bCs/>
                <w:noProof w:val="0"/>
              </w:rPr>
            </w:pPr>
            <w:r w:rsidRPr="00C574F8">
              <w:rPr>
                <w:b/>
                <w:bCs/>
                <w:noProof w:val="0"/>
              </w:rPr>
              <w:t>Azoxystrobin</w:t>
            </w:r>
          </w:p>
        </w:tc>
        <w:tc>
          <w:tcPr>
            <w:tcW w:w="1009" w:type="pct"/>
            <w:shd w:val="clear" w:color="auto" w:fill="auto"/>
          </w:tcPr>
          <w:p w14:paraId="666FED3A" w14:textId="77777777" w:rsidR="00E51CDD" w:rsidRPr="00C574F8" w:rsidRDefault="00E51CDD" w:rsidP="009938D9">
            <w:pPr>
              <w:pStyle w:val="RepTable"/>
              <w:rPr>
                <w:b/>
                <w:bCs/>
                <w:noProof w:val="0"/>
              </w:rPr>
            </w:pPr>
            <w:r w:rsidRPr="00C574F8">
              <w:rPr>
                <w:b/>
                <w:bCs/>
                <w:noProof w:val="0"/>
              </w:rPr>
              <w:t>Oral</w:t>
            </w:r>
            <w:r w:rsidRPr="00C574F8">
              <w:rPr>
                <w:b/>
                <w:bCs/>
                <w:noProof w:val="0"/>
              </w:rPr>
              <w:br/>
              <w:t>1 d</w:t>
            </w:r>
            <w:r w:rsidRPr="00C574F8">
              <w:rPr>
                <w:b/>
                <w:bCs/>
                <w:noProof w:val="0"/>
              </w:rPr>
              <w:br/>
              <w:t>Acute</w:t>
            </w:r>
          </w:p>
        </w:tc>
        <w:tc>
          <w:tcPr>
            <w:tcW w:w="1140" w:type="pct"/>
            <w:shd w:val="clear" w:color="auto" w:fill="auto"/>
          </w:tcPr>
          <w:p w14:paraId="6EECB5F7" w14:textId="77777777" w:rsidR="00E51CDD" w:rsidRPr="00174FF4" w:rsidRDefault="00E51CDD" w:rsidP="009938D9">
            <w:pPr>
              <w:pStyle w:val="RepTable"/>
              <w:rPr>
                <w:b/>
                <w:bCs/>
                <w:noProof w:val="0"/>
              </w:rPr>
            </w:pPr>
            <w:r w:rsidRPr="00174FF4">
              <w:rPr>
                <w:b/>
                <w:bCs/>
                <w:noProof w:val="0"/>
              </w:rPr>
              <w:t>LD</w:t>
            </w:r>
            <w:r w:rsidRPr="00174FF4">
              <w:rPr>
                <w:b/>
                <w:bCs/>
                <w:noProof w:val="0"/>
                <w:vertAlign w:val="subscript"/>
              </w:rPr>
              <w:t>50</w:t>
            </w:r>
            <w:r w:rsidRPr="00174FF4">
              <w:rPr>
                <w:b/>
                <w:bCs/>
                <w:noProof w:val="0"/>
              </w:rPr>
              <w:t xml:space="preserve"> &gt; 5000 mg a.s./kg b.w.</w:t>
            </w:r>
          </w:p>
        </w:tc>
        <w:tc>
          <w:tcPr>
            <w:tcW w:w="884" w:type="pct"/>
            <w:shd w:val="clear" w:color="auto" w:fill="auto"/>
          </w:tcPr>
          <w:p w14:paraId="0A0DB427" w14:textId="77777777" w:rsidR="00E51CDD" w:rsidRPr="00174FF4" w:rsidRDefault="00E51CDD" w:rsidP="009938D9">
            <w:pPr>
              <w:pStyle w:val="RepTable"/>
              <w:rPr>
                <w:b/>
                <w:bCs/>
                <w:noProof w:val="0"/>
                <w:lang w:val="fr-FR"/>
              </w:rPr>
            </w:pPr>
            <w:r w:rsidRPr="00174FF4">
              <w:rPr>
                <w:b/>
                <w:bCs/>
                <w:noProof w:val="0"/>
                <w:lang w:val="fr-FR"/>
              </w:rPr>
              <w:t>EFSA Journal 2010; 8(4):1542</w:t>
            </w:r>
          </w:p>
          <w:p w14:paraId="4AC4F38A" w14:textId="77777777" w:rsidR="00E51CDD" w:rsidRPr="00174FF4" w:rsidRDefault="00E51CDD" w:rsidP="009938D9">
            <w:pPr>
              <w:pStyle w:val="RepTable"/>
              <w:rPr>
                <w:b/>
                <w:bCs/>
                <w:noProof w:val="0"/>
                <w:lang w:val="fr-FR"/>
              </w:rPr>
            </w:pPr>
            <w:r w:rsidRPr="00174FF4">
              <w:rPr>
                <w:b/>
                <w:bCs/>
                <w:szCs w:val="20"/>
                <w:lang w:eastAsia="en-US"/>
              </w:rPr>
              <w:t>[</w:t>
            </w:r>
            <w:r w:rsidRPr="00174FF4">
              <w:rPr>
                <w:b/>
                <w:bCs/>
                <w:noProof w:val="0"/>
                <w:lang w:val="fr-FR"/>
              </w:rPr>
              <w:t>ICI5504/0081</w:t>
            </w:r>
            <w:r w:rsidRPr="00174FF4">
              <w:rPr>
                <w:b/>
                <w:bCs/>
                <w:szCs w:val="20"/>
                <w:lang w:eastAsia="en-US"/>
              </w:rPr>
              <w:t>]</w:t>
            </w:r>
          </w:p>
        </w:tc>
      </w:tr>
      <w:tr w:rsidR="00E51CDD" w:rsidRPr="005F778A" w14:paraId="4050F7D5" w14:textId="77777777" w:rsidTr="009938D9">
        <w:tc>
          <w:tcPr>
            <w:tcW w:w="980" w:type="pct"/>
            <w:shd w:val="clear" w:color="auto" w:fill="auto"/>
          </w:tcPr>
          <w:p w14:paraId="5ACA08BD" w14:textId="77777777" w:rsidR="00E51CDD" w:rsidRPr="00FC505F" w:rsidRDefault="00E51CDD" w:rsidP="009938D9">
            <w:pPr>
              <w:pStyle w:val="RepTable"/>
              <w:rPr>
                <w:noProof w:val="0"/>
              </w:rPr>
            </w:pPr>
            <w:r w:rsidRPr="0026404C">
              <w:rPr>
                <w:b/>
                <w:bCs/>
                <w:szCs w:val="20"/>
              </w:rPr>
              <w:t>Endpoint used for reproductive risk assessment</w:t>
            </w:r>
          </w:p>
        </w:tc>
        <w:tc>
          <w:tcPr>
            <w:tcW w:w="987" w:type="pct"/>
            <w:shd w:val="clear" w:color="auto" w:fill="auto"/>
          </w:tcPr>
          <w:p w14:paraId="13BE1C5F" w14:textId="77777777" w:rsidR="00E51CDD" w:rsidRPr="00C574F8" w:rsidRDefault="00E51CDD" w:rsidP="009938D9">
            <w:pPr>
              <w:pStyle w:val="RepTable"/>
              <w:rPr>
                <w:b/>
                <w:bCs/>
                <w:noProof w:val="0"/>
              </w:rPr>
            </w:pPr>
            <w:r w:rsidRPr="00C574F8">
              <w:rPr>
                <w:b/>
                <w:bCs/>
                <w:noProof w:val="0"/>
              </w:rPr>
              <w:t>Azoxystrobin</w:t>
            </w:r>
          </w:p>
        </w:tc>
        <w:tc>
          <w:tcPr>
            <w:tcW w:w="1009" w:type="pct"/>
            <w:shd w:val="clear" w:color="auto" w:fill="auto"/>
          </w:tcPr>
          <w:p w14:paraId="7F53220E" w14:textId="77777777" w:rsidR="00E51CDD" w:rsidRDefault="00E51CDD" w:rsidP="009938D9">
            <w:pPr>
              <w:pStyle w:val="RepTable"/>
              <w:rPr>
                <w:b/>
                <w:bCs/>
                <w:noProof w:val="0"/>
              </w:rPr>
            </w:pPr>
            <w:r w:rsidRPr="00C574F8">
              <w:rPr>
                <w:b/>
                <w:bCs/>
                <w:noProof w:val="0"/>
              </w:rPr>
              <w:t>Dietary</w:t>
            </w:r>
            <w:r w:rsidRPr="00C574F8">
              <w:rPr>
                <w:b/>
                <w:bCs/>
                <w:noProof w:val="0"/>
              </w:rPr>
              <w:br/>
              <w:t xml:space="preserve">Reproductive </w:t>
            </w:r>
          </w:p>
          <w:p w14:paraId="334E601C" w14:textId="77777777" w:rsidR="00E51CDD" w:rsidRPr="00C574F8" w:rsidRDefault="00E51CDD" w:rsidP="009938D9">
            <w:pPr>
              <w:pStyle w:val="RepTable"/>
              <w:rPr>
                <w:b/>
                <w:bCs/>
                <w:noProof w:val="0"/>
              </w:rPr>
            </w:pPr>
            <w:r w:rsidRPr="00C574F8">
              <w:rPr>
                <w:b/>
                <w:bCs/>
                <w:noProof w:val="0"/>
              </w:rPr>
              <w:t>toxicity</w:t>
            </w:r>
            <w:r w:rsidRPr="00C574F8">
              <w:rPr>
                <w:b/>
                <w:bCs/>
                <w:noProof w:val="0"/>
              </w:rPr>
              <w:br/>
              <w:t>Two-generation study</w:t>
            </w:r>
          </w:p>
        </w:tc>
        <w:tc>
          <w:tcPr>
            <w:tcW w:w="1140" w:type="pct"/>
            <w:shd w:val="clear" w:color="auto" w:fill="auto"/>
          </w:tcPr>
          <w:p w14:paraId="60C9D0BC" w14:textId="77777777" w:rsidR="00E51CDD" w:rsidRPr="00174FF4" w:rsidRDefault="00E51CDD" w:rsidP="009938D9">
            <w:pPr>
              <w:pStyle w:val="RepTable"/>
              <w:rPr>
                <w:b/>
                <w:bCs/>
                <w:noProof w:val="0"/>
              </w:rPr>
            </w:pPr>
            <w:r w:rsidRPr="00174FF4">
              <w:rPr>
                <w:b/>
                <w:bCs/>
                <w:noProof w:val="0"/>
              </w:rPr>
              <w:t>NOAEL = 32 mg a.s./kg b.w./d</w:t>
            </w:r>
          </w:p>
          <w:p w14:paraId="3959AFD6" w14:textId="77777777" w:rsidR="00E51CDD" w:rsidRPr="00174FF4" w:rsidRDefault="00E51CDD" w:rsidP="009938D9">
            <w:pPr>
              <w:pStyle w:val="RepTable"/>
              <w:rPr>
                <w:b/>
                <w:bCs/>
                <w:noProof w:val="0"/>
              </w:rPr>
            </w:pPr>
          </w:p>
        </w:tc>
        <w:tc>
          <w:tcPr>
            <w:tcW w:w="884" w:type="pct"/>
            <w:shd w:val="clear" w:color="auto" w:fill="auto"/>
          </w:tcPr>
          <w:p w14:paraId="40BB8207" w14:textId="77777777" w:rsidR="00E51CDD" w:rsidRPr="00174FF4" w:rsidRDefault="00E51CDD" w:rsidP="009938D9">
            <w:pPr>
              <w:pStyle w:val="RepTable"/>
              <w:rPr>
                <w:b/>
                <w:bCs/>
                <w:noProof w:val="0"/>
                <w:lang w:val="fr-FR"/>
              </w:rPr>
            </w:pPr>
            <w:r w:rsidRPr="00174FF4">
              <w:rPr>
                <w:b/>
                <w:bCs/>
                <w:noProof w:val="0"/>
                <w:lang w:val="fr-FR"/>
              </w:rPr>
              <w:t>EFSA Journal 2010; 8(4):1542</w:t>
            </w:r>
          </w:p>
          <w:p w14:paraId="747825D9" w14:textId="77777777" w:rsidR="00E51CDD" w:rsidRPr="00174FF4" w:rsidRDefault="00E51CDD" w:rsidP="009938D9">
            <w:pPr>
              <w:pStyle w:val="RepTable"/>
              <w:rPr>
                <w:b/>
                <w:bCs/>
                <w:noProof w:val="0"/>
                <w:lang w:val="fr-FR"/>
              </w:rPr>
            </w:pPr>
            <w:r w:rsidRPr="00174FF4">
              <w:rPr>
                <w:b/>
                <w:bCs/>
                <w:szCs w:val="20"/>
                <w:lang w:eastAsia="en-US"/>
              </w:rPr>
              <w:t>[</w:t>
            </w:r>
            <w:r w:rsidRPr="00174FF4">
              <w:rPr>
                <w:b/>
                <w:bCs/>
                <w:noProof w:val="0"/>
                <w:lang w:val="fr-FR"/>
              </w:rPr>
              <w:t>ICI5504/0117</w:t>
            </w:r>
            <w:r w:rsidRPr="00174FF4">
              <w:rPr>
                <w:b/>
                <w:bCs/>
                <w:szCs w:val="20"/>
                <w:lang w:eastAsia="en-US"/>
              </w:rPr>
              <w:t>]</w:t>
            </w:r>
          </w:p>
        </w:tc>
      </w:tr>
    </w:tbl>
    <w:p w14:paraId="7D4085E9" w14:textId="77777777" w:rsidR="00E51CDD" w:rsidRPr="00B739D0" w:rsidRDefault="00E51CDD" w:rsidP="00E51CDD">
      <w:pPr>
        <w:pStyle w:val="RepStandard"/>
        <w:rPr>
          <w:lang w:val="en-US"/>
        </w:rPr>
      </w:pPr>
    </w:p>
    <w:p w14:paraId="2F5E2C30" w14:textId="77777777" w:rsidR="00E51CDD" w:rsidRDefault="00E51CDD" w:rsidP="00E51CDD">
      <w:pPr>
        <w:pStyle w:val="RepStandard"/>
      </w:pPr>
    </w:p>
    <w:p w14:paraId="4AD200AF" w14:textId="77777777" w:rsidR="00E51CDD" w:rsidRPr="0026404C" w:rsidRDefault="00E51CDD" w:rsidP="00E51CDD">
      <w:pPr>
        <w:widowControl w:val="0"/>
        <w:jc w:val="both"/>
        <w:rPr>
          <w:b/>
          <w:u w:val="single"/>
          <w:lang w:val="en-GB"/>
        </w:rPr>
      </w:pPr>
      <w:r w:rsidRPr="0026404C">
        <w:rPr>
          <w:b/>
          <w:u w:val="single"/>
          <w:lang w:val="en-GB"/>
        </w:rPr>
        <w:t xml:space="preserve">Metabolites </w:t>
      </w:r>
    </w:p>
    <w:p w14:paraId="75710BD8" w14:textId="77777777" w:rsidR="00E51CDD" w:rsidRPr="0026404C" w:rsidRDefault="00E51CDD" w:rsidP="00E51CDD">
      <w:pPr>
        <w:widowControl w:val="0"/>
        <w:jc w:val="both"/>
        <w:rPr>
          <w:b/>
          <w:bCs/>
        </w:rPr>
      </w:pPr>
    </w:p>
    <w:p w14:paraId="0CE0483F" w14:textId="77777777" w:rsidR="00E51CDD" w:rsidRPr="0026404C" w:rsidRDefault="00E51CDD" w:rsidP="00E51CDD">
      <w:pPr>
        <w:widowControl w:val="0"/>
        <w:jc w:val="both"/>
        <w:rPr>
          <w:b/>
          <w:bCs/>
          <w:i/>
          <w:iCs/>
        </w:rPr>
      </w:pPr>
      <w:r w:rsidRPr="0026404C">
        <w:rPr>
          <w:b/>
          <w:bCs/>
        </w:rPr>
        <w:t>Metabolites of fluxapyroxad</w:t>
      </w:r>
    </w:p>
    <w:p w14:paraId="13404639" w14:textId="77777777" w:rsidR="00E51CDD" w:rsidRPr="0026404C" w:rsidRDefault="00E51CDD" w:rsidP="00E51CDD">
      <w:pPr>
        <w:widowControl w:val="0"/>
        <w:jc w:val="both"/>
      </w:pPr>
    </w:p>
    <w:p w14:paraId="23D2A810" w14:textId="77777777" w:rsidR="00E51CDD" w:rsidRPr="0026404C" w:rsidRDefault="00E51CDD" w:rsidP="00E51CDD">
      <w:pPr>
        <w:jc w:val="both"/>
      </w:pPr>
      <w:r w:rsidRPr="0026404C">
        <w:t>See section 9.2.1 in the bird chapter.</w:t>
      </w:r>
    </w:p>
    <w:p w14:paraId="63863FDB" w14:textId="77777777" w:rsidR="00E51CDD" w:rsidRPr="0026404C" w:rsidRDefault="00E51CDD" w:rsidP="00E51CDD">
      <w:pPr>
        <w:widowControl w:val="0"/>
        <w:jc w:val="both"/>
        <w:rPr>
          <w:lang w:val="en-GB"/>
        </w:rPr>
      </w:pPr>
    </w:p>
    <w:p w14:paraId="304CB0CA" w14:textId="77777777" w:rsidR="00E51CDD" w:rsidRPr="0026404C" w:rsidRDefault="00E51CDD" w:rsidP="00E51CDD">
      <w:pPr>
        <w:widowControl w:val="0"/>
        <w:jc w:val="both"/>
        <w:rPr>
          <w:lang w:val="en-GB"/>
        </w:rPr>
      </w:pPr>
    </w:p>
    <w:p w14:paraId="0927155F" w14:textId="77777777" w:rsidR="00E51CDD" w:rsidRPr="0026404C" w:rsidRDefault="00E51CDD" w:rsidP="00E51CDD">
      <w:pPr>
        <w:widowControl w:val="0"/>
        <w:tabs>
          <w:tab w:val="left" w:pos="720"/>
        </w:tabs>
        <w:jc w:val="both"/>
        <w:rPr>
          <w:b/>
        </w:rPr>
      </w:pPr>
      <w:r w:rsidRPr="0026404C">
        <w:rPr>
          <w:b/>
          <w:bCs/>
        </w:rPr>
        <w:t xml:space="preserve">Metabolites of </w:t>
      </w:r>
      <w:r>
        <w:rPr>
          <w:b/>
          <w:bCs/>
        </w:rPr>
        <w:t>azoxystrobin</w:t>
      </w:r>
    </w:p>
    <w:p w14:paraId="3B6B84C6" w14:textId="77777777" w:rsidR="00E51CDD" w:rsidRPr="0026404C" w:rsidRDefault="00E51CDD" w:rsidP="00E51CDD">
      <w:pPr>
        <w:widowControl w:val="0"/>
        <w:tabs>
          <w:tab w:val="left" w:pos="720"/>
        </w:tabs>
        <w:jc w:val="both"/>
      </w:pPr>
    </w:p>
    <w:p w14:paraId="26D180AA" w14:textId="77777777" w:rsidR="00E51CDD" w:rsidRPr="0026404C" w:rsidRDefault="00E51CDD" w:rsidP="00E51CDD">
      <w:pPr>
        <w:jc w:val="both"/>
      </w:pPr>
      <w:r w:rsidRPr="0026404C">
        <w:t>See section 9.2.1 in the bird chapter.</w:t>
      </w:r>
    </w:p>
    <w:p w14:paraId="4E41C057" w14:textId="77777777" w:rsidR="00E51CDD" w:rsidRPr="0026404C" w:rsidRDefault="00E51CDD" w:rsidP="00E51CDD">
      <w:pPr>
        <w:widowControl w:val="0"/>
        <w:jc w:val="both"/>
        <w:rPr>
          <w:lang w:val="en-GB"/>
        </w:rPr>
      </w:pPr>
    </w:p>
    <w:p w14:paraId="4B7CA77E" w14:textId="77777777" w:rsidR="00E51CDD" w:rsidRPr="0026404C" w:rsidRDefault="00E51CDD" w:rsidP="00E51CDD">
      <w:pPr>
        <w:widowControl w:val="0"/>
        <w:suppressAutoHyphens/>
        <w:jc w:val="both"/>
      </w:pPr>
    </w:p>
    <w:p w14:paraId="0832571B" w14:textId="77777777" w:rsidR="00E51CDD" w:rsidRPr="0026404C" w:rsidRDefault="00E51CDD" w:rsidP="00E51CDD">
      <w:pPr>
        <w:widowControl w:val="0"/>
        <w:suppressAutoHyphens/>
        <w:jc w:val="both"/>
        <w:rPr>
          <w:b/>
          <w:u w:val="single"/>
        </w:rPr>
      </w:pPr>
      <w:r w:rsidRPr="0026404C">
        <w:rPr>
          <w:b/>
          <w:u w:val="single"/>
        </w:rPr>
        <w:t>Formulation toxicity</w:t>
      </w:r>
    </w:p>
    <w:p w14:paraId="0E44617B" w14:textId="77777777" w:rsidR="00E51CDD" w:rsidRPr="0026404C" w:rsidRDefault="00E51CDD" w:rsidP="00E51CDD">
      <w:pPr>
        <w:widowControl w:val="0"/>
        <w:suppressAutoHyphens/>
        <w:jc w:val="both"/>
        <w:rPr>
          <w:rFonts w:eastAsia="Batang"/>
          <w:lang w:eastAsia="zh-CN"/>
        </w:rPr>
      </w:pPr>
    </w:p>
    <w:p w14:paraId="705C67C6" w14:textId="77777777" w:rsidR="00E51CDD" w:rsidRDefault="00E51CDD" w:rsidP="00E51CDD">
      <w:pPr>
        <w:autoSpaceDE w:val="0"/>
        <w:autoSpaceDN w:val="0"/>
        <w:jc w:val="both"/>
        <w:rPr>
          <w:rFonts w:eastAsia="Calibri"/>
          <w:lang w:val="en-GB"/>
        </w:rPr>
      </w:pPr>
      <w:r w:rsidRPr="0026404C">
        <w:rPr>
          <w:rFonts w:eastAsia="Calibri"/>
          <w:lang w:val="en-GB" w:eastAsia="zh-CN"/>
        </w:rPr>
        <w:t>For toxicological classification and labeling purposes, an acute oral toxicity study with BAS 7</w:t>
      </w:r>
      <w:r>
        <w:rPr>
          <w:rFonts w:eastAsia="Calibri"/>
          <w:lang w:val="en-GB" w:eastAsia="zh-CN"/>
        </w:rPr>
        <w:t>36</w:t>
      </w:r>
      <w:r w:rsidRPr="0026404C">
        <w:rPr>
          <w:rFonts w:eastAsia="Calibri"/>
          <w:lang w:val="en-GB" w:eastAsia="zh-CN"/>
        </w:rPr>
        <w:t xml:space="preserve"> 00 F in rats was carried out according to the toxic class method described in OECD 423 (BASF DocID </w:t>
      </w:r>
      <w:r w:rsidRPr="0026404C">
        <w:rPr>
          <w:rFonts w:eastAsia="Calibri"/>
          <w:lang w:val="en-GB"/>
        </w:rPr>
        <w:t>20</w:t>
      </w:r>
      <w:r>
        <w:rPr>
          <w:rFonts w:eastAsia="Calibri"/>
          <w:lang w:val="en-GB"/>
        </w:rPr>
        <w:t>20/2080214</w:t>
      </w:r>
      <w:r w:rsidRPr="0026404C">
        <w:rPr>
          <w:rFonts w:eastAsia="Calibri"/>
          <w:lang w:val="en-GB"/>
        </w:rPr>
        <w:t>; see chapter 6.3 and Appendix 2 of chapter 6</w:t>
      </w:r>
      <w:r w:rsidRPr="0026404C">
        <w:rPr>
          <w:rFonts w:eastAsia="Calibri"/>
          <w:lang w:val="en-GB" w:eastAsia="zh-CN"/>
        </w:rPr>
        <w:t xml:space="preserve">). </w:t>
      </w:r>
      <w:r w:rsidRPr="0026404C">
        <w:rPr>
          <w:rFonts w:eastAsia="Calibri"/>
          <w:lang w:val="en-GB"/>
        </w:rPr>
        <w:t xml:space="preserve">No mortality occurred in 6 animals dosed with </w:t>
      </w:r>
      <w:r>
        <w:rPr>
          <w:rFonts w:eastAsia="Calibri"/>
          <w:lang w:val="en-GB"/>
        </w:rPr>
        <w:t>5</w:t>
      </w:r>
      <w:r w:rsidRPr="0026404C">
        <w:rPr>
          <w:rFonts w:eastAsia="Calibri"/>
          <w:lang w:val="en-GB"/>
        </w:rPr>
        <w:t>00 mg formulation/kg b.w., while two out of three animals dosed with 2000 mg formulation/kg b.w. died</w:t>
      </w:r>
      <w:r>
        <w:rPr>
          <w:rFonts w:eastAsia="Calibri"/>
          <w:lang w:val="en-GB"/>
        </w:rPr>
        <w:t xml:space="preserve">, </w:t>
      </w:r>
      <w:r w:rsidRPr="00EC0D65">
        <w:rPr>
          <w:rFonts w:eastAsia="Calibri"/>
          <w:lang w:val="en-GB"/>
        </w:rPr>
        <w:t>resulting in LD</w:t>
      </w:r>
      <w:r w:rsidRPr="00EC0D65">
        <w:rPr>
          <w:rFonts w:eastAsia="Calibri"/>
          <w:vertAlign w:val="subscript"/>
          <w:lang w:val="en-GB"/>
        </w:rPr>
        <w:t>50</w:t>
      </w:r>
      <w:r w:rsidRPr="00EC0D65">
        <w:rPr>
          <w:rFonts w:eastAsia="Calibri"/>
          <w:lang w:val="en-GB"/>
        </w:rPr>
        <w:t xml:space="preserve"> &gt; </w:t>
      </w:r>
      <w:r>
        <w:rPr>
          <w:rFonts w:eastAsia="Calibri"/>
          <w:lang w:val="en-GB"/>
        </w:rPr>
        <w:t>5</w:t>
      </w:r>
      <w:r w:rsidRPr="00EC0D65">
        <w:rPr>
          <w:rFonts w:eastAsia="Calibri"/>
          <w:lang w:val="en-GB"/>
        </w:rPr>
        <w:t xml:space="preserve">00 </w:t>
      </w:r>
      <w:r>
        <w:rPr>
          <w:rFonts w:eastAsia="Calibri"/>
          <w:lang w:val="en-GB"/>
        </w:rPr>
        <w:t>and</w:t>
      </w:r>
      <w:r w:rsidRPr="00EC0D65">
        <w:rPr>
          <w:rFonts w:eastAsia="Calibri"/>
          <w:lang w:val="en-GB"/>
        </w:rPr>
        <w:t xml:space="preserve"> &lt; 2000 mg formulation/kg b</w:t>
      </w:r>
      <w:r>
        <w:rPr>
          <w:rFonts w:eastAsia="Calibri"/>
          <w:lang w:val="en-GB"/>
        </w:rPr>
        <w:t>.</w:t>
      </w:r>
      <w:r w:rsidRPr="00EC0D65">
        <w:rPr>
          <w:rFonts w:eastAsia="Calibri"/>
          <w:lang w:val="en-GB"/>
        </w:rPr>
        <w:t>w.</w:t>
      </w:r>
      <w:r>
        <w:rPr>
          <w:rFonts w:eastAsia="Calibri"/>
          <w:lang w:val="en-GB"/>
        </w:rPr>
        <w:t>.</w:t>
      </w:r>
      <w:r w:rsidRPr="00EC0D65">
        <w:rPr>
          <w:rFonts w:eastAsia="Calibri"/>
          <w:lang w:val="en-GB"/>
        </w:rPr>
        <w:t xml:space="preserve"> </w:t>
      </w:r>
    </w:p>
    <w:p w14:paraId="24060AB2" w14:textId="4665F384" w:rsidR="00E51CDD" w:rsidRDefault="00E51CDD" w:rsidP="00E51CDD">
      <w:pPr>
        <w:autoSpaceDE w:val="0"/>
        <w:autoSpaceDN w:val="0"/>
        <w:jc w:val="both"/>
        <w:rPr>
          <w:rFonts w:eastAsia="Calibri"/>
          <w:color w:val="000000" w:themeColor="text1"/>
          <w:lang w:val="en-GB" w:eastAsia="zh-CN"/>
        </w:rPr>
      </w:pPr>
      <w:r w:rsidRPr="001D31FB">
        <w:rPr>
          <w:rFonts w:eastAsia="Calibri"/>
          <w:lang w:val="en-GB"/>
        </w:rPr>
        <w:t xml:space="preserve">In mammalian toxicology assessment, </w:t>
      </w:r>
      <w:r w:rsidRPr="00EC0D65">
        <w:rPr>
          <w:rFonts w:eastAsia="Calibri"/>
          <w:lang w:val="en-GB" w:eastAsia="zh-CN"/>
        </w:rPr>
        <w:t xml:space="preserve">the dose-response curve was fitted via the probit model </w:t>
      </w:r>
      <w:r>
        <w:rPr>
          <w:rFonts w:eastAsia="Calibri"/>
          <w:lang w:val="en-GB" w:eastAsia="zh-CN"/>
        </w:rPr>
        <w:t>according to Finney to estimate a bound</w:t>
      </w:r>
      <w:r w:rsidRPr="001D31FB">
        <w:rPr>
          <w:rFonts w:eastAsia="Calibri"/>
          <w:lang w:val="en-GB"/>
        </w:rPr>
        <w:t xml:space="preserve"> </w:t>
      </w:r>
      <w:r w:rsidRPr="001D31FB">
        <w:rPr>
          <w:rFonts w:eastAsia="Calibri"/>
          <w:lang w:val="en-GB" w:eastAsia="zh-CN"/>
        </w:rPr>
        <w:t>LD</w:t>
      </w:r>
      <w:r w:rsidRPr="001D31FB">
        <w:rPr>
          <w:rFonts w:eastAsia="Calibri"/>
          <w:vertAlign w:val="subscript"/>
          <w:lang w:val="en-GB" w:eastAsia="zh-CN"/>
        </w:rPr>
        <w:t>50</w:t>
      </w:r>
      <w:r w:rsidRPr="001D31FB">
        <w:rPr>
          <w:rFonts w:eastAsia="Calibri"/>
          <w:lang w:val="en-GB" w:eastAsia="zh-CN"/>
        </w:rPr>
        <w:t xml:space="preserve"> for BAS 736 00 F (</w:t>
      </w:r>
      <w:r w:rsidRPr="001D31FB">
        <w:rPr>
          <w:rFonts w:eastAsia="Calibri"/>
          <w:lang w:val="en-GB"/>
        </w:rPr>
        <w:t>see chapter 6.3 and Appendix 2 of chapter 6). This interpolated LD</w:t>
      </w:r>
      <w:r w:rsidRPr="001D31FB">
        <w:rPr>
          <w:rFonts w:eastAsia="Calibri"/>
          <w:vertAlign w:val="subscript"/>
          <w:lang w:val="en-GB"/>
        </w:rPr>
        <w:t>50</w:t>
      </w:r>
      <w:r w:rsidRPr="001D31FB">
        <w:rPr>
          <w:rFonts w:eastAsia="Calibri"/>
          <w:lang w:val="en-GB"/>
        </w:rPr>
        <w:t xml:space="preserve"> value</w:t>
      </w:r>
      <w:r>
        <w:rPr>
          <w:rFonts w:eastAsia="Calibri"/>
          <w:lang w:val="en-GB"/>
        </w:rPr>
        <w:t xml:space="preserve"> of 1848 </w:t>
      </w:r>
      <w:r w:rsidRPr="00EC0D65">
        <w:rPr>
          <w:rFonts w:eastAsia="Calibri"/>
          <w:lang w:val="en-GB" w:eastAsia="zh-CN"/>
        </w:rPr>
        <w:t>mg formulation/kg b</w:t>
      </w:r>
      <w:r>
        <w:rPr>
          <w:rFonts w:eastAsia="Calibri"/>
          <w:lang w:val="en-GB" w:eastAsia="zh-CN"/>
        </w:rPr>
        <w:t>.</w:t>
      </w:r>
      <w:r w:rsidRPr="00EC0D65">
        <w:rPr>
          <w:rFonts w:eastAsia="Calibri"/>
          <w:lang w:val="en-GB" w:eastAsia="zh-CN"/>
        </w:rPr>
        <w:t>w</w:t>
      </w:r>
      <w:r w:rsidRPr="009835D5">
        <w:rPr>
          <w:rFonts w:eastAsia="Calibri"/>
          <w:color w:val="000000" w:themeColor="text1"/>
          <w:lang w:val="en-GB" w:eastAsia="zh-CN"/>
        </w:rPr>
        <w:t>.</w:t>
      </w:r>
      <w:r>
        <w:rPr>
          <w:rFonts w:eastAsia="Calibri"/>
          <w:color w:val="000000" w:themeColor="text1"/>
          <w:lang w:val="en-GB" w:eastAsia="zh-CN"/>
        </w:rPr>
        <w:t xml:space="preserve"> </w:t>
      </w:r>
      <w:r>
        <w:rPr>
          <w:rFonts w:eastAsia="Calibri"/>
          <w:lang w:val="en-GB"/>
        </w:rPr>
        <w:t>is additionally</w:t>
      </w:r>
      <w:r w:rsidRPr="001D31FB">
        <w:rPr>
          <w:rFonts w:eastAsia="Calibri"/>
          <w:color w:val="000000" w:themeColor="text1"/>
          <w:lang w:val="en-GB" w:eastAsia="zh-CN"/>
        </w:rPr>
        <w:t xml:space="preserve"> considered in refined risk assessment.</w:t>
      </w:r>
      <w:r>
        <w:rPr>
          <w:rFonts w:eastAsia="Calibri"/>
          <w:color w:val="000000" w:themeColor="text1"/>
          <w:lang w:val="en-GB" w:eastAsia="zh-CN"/>
        </w:rPr>
        <w:t xml:space="preserve"> </w:t>
      </w:r>
    </w:p>
    <w:p w14:paraId="3C113213" w14:textId="6390AC66" w:rsidR="008E1621" w:rsidRDefault="008E1621" w:rsidP="00E51CDD">
      <w:pPr>
        <w:autoSpaceDE w:val="0"/>
        <w:autoSpaceDN w:val="0"/>
        <w:jc w:val="both"/>
      </w:pPr>
      <w:r w:rsidRPr="008E1621">
        <w:rPr>
          <w:highlight w:val="cyan"/>
        </w:rPr>
        <w:t>As an alternative approach a cut-off LD</w:t>
      </w:r>
      <w:r w:rsidRPr="008E1621">
        <w:rPr>
          <w:highlight w:val="cyan"/>
          <w:vertAlign w:val="subscript"/>
        </w:rPr>
        <w:t>50</w:t>
      </w:r>
      <w:r w:rsidRPr="008E1621">
        <w:rPr>
          <w:highlight w:val="cyan"/>
        </w:rPr>
        <w:t xml:space="preserve"> value can be determined following Annex 2d of OECD Test 423 (see figure 1 at the end of the commenting table). In a 1</w:t>
      </w:r>
      <w:r w:rsidRPr="008E1621">
        <w:rPr>
          <w:highlight w:val="cyan"/>
          <w:vertAlign w:val="superscript"/>
        </w:rPr>
        <w:t>st</w:t>
      </w:r>
      <w:r w:rsidRPr="008E1621">
        <w:rPr>
          <w:highlight w:val="cyan"/>
        </w:rPr>
        <w:t xml:space="preserve"> step, a cut-off LD</w:t>
      </w:r>
      <w:r w:rsidRPr="008E1621">
        <w:rPr>
          <w:highlight w:val="cyan"/>
          <w:vertAlign w:val="subscript"/>
        </w:rPr>
        <w:t>50</w:t>
      </w:r>
      <w:r w:rsidRPr="008E1621">
        <w:rPr>
          <w:highlight w:val="cyan"/>
        </w:rPr>
        <w:t xml:space="preserve"> of 1000 mg/kg bw can be estimated according to Annex 2d: 2/3 animals died at 2000 mg and no animals (2 x 3) died at 500 mg/kg bw. In a 2</w:t>
      </w:r>
      <w:r w:rsidRPr="008E1621">
        <w:rPr>
          <w:highlight w:val="cyan"/>
          <w:vertAlign w:val="superscript"/>
        </w:rPr>
        <w:t>nd</w:t>
      </w:r>
      <w:r w:rsidRPr="008E1621">
        <w:rPr>
          <w:highlight w:val="cyan"/>
        </w:rPr>
        <w:t xml:space="preserve"> step a pro-rata dose correction of the cut-off LD</w:t>
      </w:r>
      <w:r w:rsidRPr="008E1621">
        <w:rPr>
          <w:highlight w:val="cyan"/>
          <w:vertAlign w:val="subscript"/>
        </w:rPr>
        <w:t>50</w:t>
      </w:r>
      <w:r w:rsidRPr="008E1621">
        <w:rPr>
          <w:highlight w:val="cyan"/>
        </w:rPr>
        <w:t xml:space="preserve"> is deemed to be reasonable resulting in a cut-off LD</w:t>
      </w:r>
      <w:r w:rsidRPr="008E1621">
        <w:rPr>
          <w:highlight w:val="cyan"/>
          <w:vertAlign w:val="subscript"/>
        </w:rPr>
        <w:t>50</w:t>
      </w:r>
      <w:r w:rsidRPr="008E1621">
        <w:rPr>
          <w:highlight w:val="cyan"/>
        </w:rPr>
        <w:t xml:space="preserve"> of = 1667 mg/kg bw (500/300 x 1000). In this study 500 mg/kg bw were tested instead of 300 mg/kg bw, but no mortality was detected for 2 x 3 animals at the lower dose level. Therefore, it can be assumed that the cut-off LD</w:t>
      </w:r>
      <w:r w:rsidRPr="008E1621">
        <w:rPr>
          <w:highlight w:val="cyan"/>
          <w:vertAlign w:val="subscript"/>
        </w:rPr>
        <w:t>50</w:t>
      </w:r>
      <w:r w:rsidRPr="008E1621">
        <w:rPr>
          <w:highlight w:val="cyan"/>
        </w:rPr>
        <w:t xml:space="preserve"> of 1000 mg/kg would be overly conservative. A LD</w:t>
      </w:r>
      <w:r w:rsidRPr="008E1621">
        <w:rPr>
          <w:highlight w:val="cyan"/>
          <w:vertAlign w:val="subscript"/>
        </w:rPr>
        <w:t>50</w:t>
      </w:r>
      <w:r w:rsidRPr="008E1621">
        <w:rPr>
          <w:highlight w:val="cyan"/>
        </w:rPr>
        <w:t xml:space="preserve"> of 1667 mg/kg bw is further supported by the fact that 2 of 3 animals = 66% died at 2000 mg/kg bw, which indicates that the ‘true’ LD</w:t>
      </w:r>
      <w:r w:rsidRPr="008E1621">
        <w:rPr>
          <w:highlight w:val="cyan"/>
          <w:vertAlign w:val="subscript"/>
        </w:rPr>
        <w:t>50</w:t>
      </w:r>
      <w:r w:rsidRPr="008E1621">
        <w:rPr>
          <w:highlight w:val="cyan"/>
        </w:rPr>
        <w:t xml:space="preserve"> is likely to be close to 2000 mg/kg bw</w:t>
      </w:r>
      <w:r w:rsidR="006E4792">
        <w:t>.</w:t>
      </w:r>
    </w:p>
    <w:p w14:paraId="4032B78C" w14:textId="74B83E50" w:rsidR="006E4792" w:rsidRDefault="006E4792" w:rsidP="00E51CDD">
      <w:pPr>
        <w:autoSpaceDE w:val="0"/>
        <w:autoSpaceDN w:val="0"/>
        <w:jc w:val="both"/>
        <w:rPr>
          <w:rFonts w:eastAsia="Calibri"/>
          <w:color w:val="000000" w:themeColor="text1"/>
          <w:lang w:val="en-GB" w:eastAsia="zh-CN"/>
        </w:rPr>
      </w:pPr>
      <w:r w:rsidRPr="006E4792">
        <w:rPr>
          <w:highlight w:val="cyan"/>
          <w:lang w:val="en-GB" w:eastAsia="en-US"/>
        </w:rPr>
        <w:lastRenderedPageBreak/>
        <w:t>The ‘greater than’ LD</w:t>
      </w:r>
      <w:r w:rsidRPr="006E4792">
        <w:rPr>
          <w:highlight w:val="cyan"/>
          <w:vertAlign w:val="subscript"/>
          <w:lang w:val="en-GB" w:eastAsia="en-US"/>
        </w:rPr>
        <w:t>50</w:t>
      </w:r>
      <w:r w:rsidRPr="006E4792">
        <w:rPr>
          <w:highlight w:val="cyan"/>
          <w:lang w:val="en-GB" w:eastAsia="en-US"/>
        </w:rPr>
        <w:t xml:space="preserve"> of 500 mg formulation/kg b.w. is used for risk assessment as worst-case.</w:t>
      </w:r>
    </w:p>
    <w:p w14:paraId="08690698" w14:textId="77777777" w:rsidR="00E51CDD" w:rsidRPr="002B1114" w:rsidRDefault="00E51CDD" w:rsidP="00E51CDD">
      <w:pPr>
        <w:pStyle w:val="Nagwek4"/>
        <w:rPr>
          <w:lang w:val="en-GB"/>
        </w:rPr>
      </w:pPr>
      <w:bookmarkStart w:id="318" w:name="_Toc412643984"/>
      <w:bookmarkStart w:id="319" w:name="_Toc413916830"/>
      <w:bookmarkStart w:id="320" w:name="_Toc413916972"/>
      <w:bookmarkStart w:id="321" w:name="_Toc413922033"/>
      <w:bookmarkStart w:id="322" w:name="_Toc413922522"/>
      <w:bookmarkStart w:id="323" w:name="_Toc413922626"/>
      <w:bookmarkStart w:id="324" w:name="_Toc414955263"/>
      <w:bookmarkStart w:id="325" w:name="_Toc415214570"/>
      <w:bookmarkStart w:id="326" w:name="_Toc125446413"/>
      <w:r w:rsidRPr="002B1114">
        <w:rPr>
          <w:lang w:val="en-GB"/>
        </w:rPr>
        <w:t>Justification for new endpoints</w:t>
      </w:r>
      <w:bookmarkEnd w:id="318"/>
      <w:bookmarkEnd w:id="319"/>
      <w:bookmarkEnd w:id="320"/>
      <w:bookmarkEnd w:id="321"/>
      <w:bookmarkEnd w:id="322"/>
      <w:bookmarkEnd w:id="323"/>
      <w:bookmarkEnd w:id="324"/>
      <w:bookmarkEnd w:id="325"/>
      <w:bookmarkEnd w:id="326"/>
    </w:p>
    <w:p w14:paraId="402EA77F" w14:textId="77777777" w:rsidR="00E51CDD" w:rsidRPr="0026404C" w:rsidRDefault="00E51CDD" w:rsidP="00E51CDD">
      <w:pPr>
        <w:widowControl w:val="0"/>
        <w:suppressAutoHyphens/>
        <w:jc w:val="both"/>
        <w:rPr>
          <w:b/>
        </w:rPr>
      </w:pPr>
      <w:bookmarkStart w:id="327" w:name="_Ref405896911"/>
      <w:r w:rsidRPr="0026404C">
        <w:rPr>
          <w:b/>
        </w:rPr>
        <w:t>Fluxapyroxad</w:t>
      </w:r>
    </w:p>
    <w:p w14:paraId="58DC8867" w14:textId="77777777" w:rsidR="00E51CDD" w:rsidRPr="0026404C" w:rsidRDefault="00E51CDD" w:rsidP="00E51CDD">
      <w:pPr>
        <w:widowControl w:val="0"/>
        <w:suppressAutoHyphens/>
        <w:jc w:val="both"/>
      </w:pPr>
    </w:p>
    <w:p w14:paraId="1F69CC62" w14:textId="77777777" w:rsidR="00E51CDD" w:rsidRPr="0026404C" w:rsidRDefault="00E51CDD" w:rsidP="00E51CDD">
      <w:pPr>
        <w:widowControl w:val="0"/>
        <w:tabs>
          <w:tab w:val="left" w:pos="720"/>
        </w:tabs>
        <w:suppressAutoHyphens/>
      </w:pPr>
      <w:r w:rsidRPr="0026404C">
        <w:rPr>
          <w:u w:val="single"/>
        </w:rPr>
        <w:t>Acute</w:t>
      </w:r>
      <w:r w:rsidRPr="0026404C">
        <w:t xml:space="preserve"> - Not applicable. Endpoint is EU agreed.</w:t>
      </w:r>
    </w:p>
    <w:p w14:paraId="38D293D5" w14:textId="77777777" w:rsidR="00E51CDD" w:rsidRPr="0026404C" w:rsidRDefault="00E51CDD" w:rsidP="00E51CDD">
      <w:pPr>
        <w:widowControl w:val="0"/>
        <w:tabs>
          <w:tab w:val="left" w:pos="720"/>
        </w:tabs>
        <w:suppressAutoHyphens/>
      </w:pPr>
    </w:p>
    <w:p w14:paraId="017E301E" w14:textId="77777777" w:rsidR="00E51CDD" w:rsidRPr="0026404C" w:rsidRDefault="00E51CDD" w:rsidP="00E51CDD">
      <w:pPr>
        <w:widowControl w:val="0"/>
        <w:tabs>
          <w:tab w:val="left" w:pos="720"/>
        </w:tabs>
        <w:suppressAutoHyphens/>
        <w:jc w:val="both"/>
      </w:pPr>
      <w:r w:rsidRPr="0026404C">
        <w:rPr>
          <w:u w:val="single"/>
        </w:rPr>
        <w:t>Reproductive</w:t>
      </w:r>
      <w:r w:rsidRPr="0026404C">
        <w:t xml:space="preserve"> - Not applicable. Endpoint is EU agreed.</w:t>
      </w:r>
    </w:p>
    <w:p w14:paraId="6108AB4A" w14:textId="77777777" w:rsidR="00E51CDD" w:rsidRDefault="00E51CDD" w:rsidP="00E51CDD">
      <w:pPr>
        <w:widowControl w:val="0"/>
        <w:jc w:val="both"/>
        <w:rPr>
          <w:b/>
        </w:rPr>
      </w:pPr>
    </w:p>
    <w:p w14:paraId="24A01F29" w14:textId="77777777" w:rsidR="00E51CDD" w:rsidRDefault="00E51CDD" w:rsidP="00E51CDD">
      <w:pPr>
        <w:widowControl w:val="0"/>
        <w:jc w:val="both"/>
        <w:rPr>
          <w:b/>
        </w:rPr>
      </w:pPr>
    </w:p>
    <w:p w14:paraId="2DD82EB4" w14:textId="77777777" w:rsidR="00E51CDD" w:rsidRPr="0026404C" w:rsidRDefault="00E51CDD" w:rsidP="00E51CDD">
      <w:pPr>
        <w:widowControl w:val="0"/>
        <w:jc w:val="both"/>
        <w:rPr>
          <w:b/>
        </w:rPr>
      </w:pPr>
      <w:r>
        <w:rPr>
          <w:b/>
        </w:rPr>
        <w:t>Azoxystrobin</w:t>
      </w:r>
    </w:p>
    <w:p w14:paraId="59847BD1" w14:textId="77777777" w:rsidR="00E51CDD" w:rsidRPr="0026404C" w:rsidRDefault="00E51CDD" w:rsidP="00E51CDD">
      <w:pPr>
        <w:widowControl w:val="0"/>
        <w:jc w:val="both"/>
      </w:pPr>
    </w:p>
    <w:p w14:paraId="4A8EE541" w14:textId="77777777" w:rsidR="00E51CDD" w:rsidRPr="00430592" w:rsidRDefault="00E51CDD" w:rsidP="00E51CDD">
      <w:pPr>
        <w:widowControl w:val="0"/>
        <w:jc w:val="both"/>
      </w:pPr>
      <w:r w:rsidRPr="00430592">
        <w:rPr>
          <w:u w:val="single"/>
        </w:rPr>
        <w:t>Acute</w:t>
      </w:r>
      <w:r w:rsidRPr="00430592">
        <w:t xml:space="preserve"> – Not applicable. Endpoint is EU agreed.</w:t>
      </w:r>
    </w:p>
    <w:p w14:paraId="66FDD0C4" w14:textId="77777777" w:rsidR="00E51CDD" w:rsidRPr="00430592" w:rsidRDefault="00E51CDD" w:rsidP="00E51CDD">
      <w:pPr>
        <w:widowControl w:val="0"/>
        <w:jc w:val="both"/>
      </w:pPr>
    </w:p>
    <w:p w14:paraId="323EED75" w14:textId="77777777" w:rsidR="00E51CDD" w:rsidRDefault="00E51CDD" w:rsidP="00E51CDD">
      <w:pPr>
        <w:widowControl w:val="0"/>
        <w:jc w:val="both"/>
      </w:pPr>
      <w:r w:rsidRPr="00430592">
        <w:rPr>
          <w:u w:val="single"/>
        </w:rPr>
        <w:t>Reproductive</w:t>
      </w:r>
      <w:r w:rsidRPr="00430592">
        <w:t xml:space="preserve"> – Not applicable. Endpoint is EU agreed.</w:t>
      </w:r>
    </w:p>
    <w:p w14:paraId="2BE2E211" w14:textId="77777777" w:rsidR="002A1F06" w:rsidRDefault="002A1F06" w:rsidP="00E51CDD">
      <w:pPr>
        <w:widowControl w:val="0"/>
        <w:jc w:val="both"/>
      </w:pPr>
    </w:p>
    <w:p w14:paraId="3A0770CE" w14:textId="77777777" w:rsidR="002A1F06" w:rsidRPr="002A1F06" w:rsidRDefault="002A1F06" w:rsidP="002A1F06">
      <w:pPr>
        <w:widowControl w:val="0"/>
        <w:suppressAutoHyphens/>
        <w:jc w:val="both"/>
        <w:rPr>
          <w:b/>
          <w:highlight w:val="cyan"/>
        </w:rPr>
      </w:pPr>
      <w:r w:rsidRPr="002A1F06">
        <w:rPr>
          <w:b/>
          <w:highlight w:val="cyan"/>
        </w:rPr>
        <w:t>Formulation toxicity</w:t>
      </w:r>
    </w:p>
    <w:p w14:paraId="4A7F70E1" w14:textId="77777777" w:rsidR="002A1F06" w:rsidRPr="002A1F06" w:rsidRDefault="002A1F06" w:rsidP="002A1F06">
      <w:pPr>
        <w:widowControl w:val="0"/>
        <w:suppressAutoHyphens/>
        <w:jc w:val="both"/>
        <w:rPr>
          <w:rFonts w:eastAsia="Batang"/>
          <w:highlight w:val="cyan"/>
          <w:lang w:eastAsia="zh-CN"/>
        </w:rPr>
      </w:pPr>
    </w:p>
    <w:p w14:paraId="33287DD1" w14:textId="7E673ECE" w:rsidR="00E51CDD" w:rsidRPr="0026404C" w:rsidRDefault="002A1F06" w:rsidP="002A1F06">
      <w:pPr>
        <w:widowControl w:val="0"/>
        <w:jc w:val="both"/>
      </w:pPr>
      <w:r w:rsidRPr="002A1F06">
        <w:rPr>
          <w:rFonts w:eastAsia="Calibri"/>
          <w:highlight w:val="cyan"/>
          <w:lang w:val="en-GB" w:eastAsia="zh-CN"/>
        </w:rPr>
        <w:t>An acute oral toxicity study with BAS 736 00 F in rats was carried out</w:t>
      </w:r>
      <w:r w:rsidRPr="002A1F06">
        <w:rPr>
          <w:highlight w:val="cyan"/>
        </w:rPr>
        <w:t xml:space="preserve"> and used in the risk assessment.</w:t>
      </w:r>
      <w:r>
        <w:t xml:space="preserve"> </w:t>
      </w:r>
      <w:r w:rsidR="00E51CDD">
        <w:br w:type="page"/>
      </w:r>
    </w:p>
    <w:p w14:paraId="336F8C60" w14:textId="77777777" w:rsidR="00E51CDD" w:rsidRDefault="00E51CDD" w:rsidP="00E51CDD">
      <w:pPr>
        <w:pStyle w:val="Nagwek3"/>
      </w:pPr>
      <w:bookmarkStart w:id="328" w:name="_Toc412643985"/>
      <w:bookmarkStart w:id="329" w:name="_Toc413916831"/>
      <w:bookmarkStart w:id="330" w:name="_Toc413916973"/>
      <w:bookmarkStart w:id="331" w:name="_Toc413922034"/>
      <w:bookmarkStart w:id="332" w:name="_Toc413922523"/>
      <w:bookmarkStart w:id="333" w:name="_Toc413922627"/>
      <w:bookmarkStart w:id="334" w:name="_Toc414955264"/>
      <w:bookmarkStart w:id="335" w:name="_Ref414971625"/>
      <w:bookmarkStart w:id="336" w:name="_Toc415214571"/>
      <w:bookmarkStart w:id="337" w:name="_Toc125446414"/>
      <w:r w:rsidRPr="002B1114">
        <w:lastRenderedPageBreak/>
        <w:t>Risk assessment for spray applications</w:t>
      </w:r>
      <w:bookmarkEnd w:id="327"/>
      <w:bookmarkEnd w:id="328"/>
      <w:bookmarkEnd w:id="329"/>
      <w:bookmarkEnd w:id="330"/>
      <w:bookmarkEnd w:id="331"/>
      <w:bookmarkEnd w:id="332"/>
      <w:bookmarkEnd w:id="333"/>
      <w:bookmarkEnd w:id="334"/>
      <w:bookmarkEnd w:id="335"/>
      <w:bookmarkEnd w:id="336"/>
      <w:bookmarkEnd w:id="337"/>
    </w:p>
    <w:p w14:paraId="5969035C" w14:textId="77777777" w:rsidR="00E51CDD" w:rsidRPr="0026404C" w:rsidRDefault="00E51CDD" w:rsidP="00E51CDD">
      <w:pPr>
        <w:jc w:val="both"/>
        <w:rPr>
          <w:b/>
          <w:szCs w:val="24"/>
        </w:rPr>
      </w:pPr>
      <w:r w:rsidRPr="0026404C">
        <w:rPr>
          <w:b/>
          <w:bCs/>
        </w:rPr>
        <w:t>Proposed use pattern</w:t>
      </w:r>
      <w:r w:rsidRPr="0026404C">
        <w:rPr>
          <w:b/>
          <w:szCs w:val="24"/>
        </w:rPr>
        <w:t xml:space="preserve"> for the risk assessments</w:t>
      </w:r>
    </w:p>
    <w:p w14:paraId="2CB2BB03" w14:textId="77777777" w:rsidR="00E51CDD" w:rsidRPr="0026404C" w:rsidRDefault="00E51CDD" w:rsidP="00E51CDD">
      <w:pPr>
        <w:jc w:val="both"/>
        <w:rPr>
          <w:b/>
          <w:szCs w:val="24"/>
        </w:rPr>
      </w:pPr>
    </w:p>
    <w:p w14:paraId="5FBD2CB8" w14:textId="41A85847" w:rsidR="00E51CDD" w:rsidRPr="0026404C" w:rsidRDefault="00E51CDD" w:rsidP="00E51CDD">
      <w:pPr>
        <w:widowControl w:val="0"/>
        <w:jc w:val="both"/>
        <w:rPr>
          <w:bCs/>
          <w:szCs w:val="24"/>
          <w:lang w:val="en-GB"/>
        </w:rPr>
      </w:pPr>
      <w:bookmarkStart w:id="338" w:name="_Hlk57210262"/>
      <w:r w:rsidRPr="0026404C">
        <w:rPr>
          <w:bCs/>
          <w:szCs w:val="24"/>
          <w:lang w:val="en-GB"/>
        </w:rPr>
        <w:t>The proposed use pattern for the use of BAS 7</w:t>
      </w:r>
      <w:r>
        <w:rPr>
          <w:bCs/>
          <w:szCs w:val="24"/>
          <w:lang w:val="en-GB"/>
        </w:rPr>
        <w:t>36</w:t>
      </w:r>
      <w:r w:rsidRPr="0026404C">
        <w:rPr>
          <w:bCs/>
          <w:szCs w:val="24"/>
          <w:lang w:val="en-GB"/>
        </w:rPr>
        <w:t> 00 F is summarized i</w:t>
      </w:r>
      <w:r>
        <w:rPr>
          <w:bCs/>
          <w:szCs w:val="24"/>
          <w:lang w:val="en-GB"/>
        </w:rPr>
        <w:t xml:space="preserve">n </w:t>
      </w:r>
      <w:r w:rsidRPr="00A970EA">
        <w:rPr>
          <w:bCs/>
          <w:szCs w:val="24"/>
          <w:lang w:val="en-GB"/>
        </w:rPr>
        <w:fldChar w:fldCharType="begin"/>
      </w:r>
      <w:r w:rsidRPr="00A970EA">
        <w:rPr>
          <w:bCs/>
          <w:szCs w:val="24"/>
          <w:lang w:val="en-GB"/>
        </w:rPr>
        <w:instrText xml:space="preserve"> REF _Ref81825613 \h  \* MERGEFORMAT </w:instrText>
      </w:r>
      <w:r w:rsidRPr="00A970EA">
        <w:rPr>
          <w:bCs/>
          <w:szCs w:val="24"/>
          <w:lang w:val="en-GB"/>
        </w:rPr>
      </w:r>
      <w:r w:rsidRPr="00A970EA">
        <w:rPr>
          <w:bCs/>
          <w:szCs w:val="24"/>
          <w:lang w:val="en-GB"/>
        </w:rPr>
        <w:fldChar w:fldCharType="separate"/>
      </w:r>
      <w:r w:rsidR="00662F32" w:rsidRPr="00662F32">
        <w:rPr>
          <w:bCs/>
        </w:rPr>
        <w:t xml:space="preserve">Table </w:t>
      </w:r>
      <w:r w:rsidR="00662F32" w:rsidRPr="00662F32">
        <w:rPr>
          <w:bCs/>
          <w:noProof/>
        </w:rPr>
        <w:t>9.3</w:t>
      </w:r>
      <w:r w:rsidR="00662F32" w:rsidRPr="00662F32">
        <w:rPr>
          <w:bCs/>
          <w:noProof/>
        </w:rPr>
        <w:noBreakHyphen/>
        <w:t>3</w:t>
      </w:r>
      <w:r w:rsidRPr="00A970EA">
        <w:rPr>
          <w:bCs/>
          <w:szCs w:val="24"/>
          <w:lang w:val="en-GB"/>
        </w:rPr>
        <w:fldChar w:fldCharType="end"/>
      </w:r>
      <w:r w:rsidRPr="0026404C">
        <w:rPr>
          <w:bCs/>
          <w:szCs w:val="24"/>
          <w:lang w:val="en-GB"/>
        </w:rPr>
        <w:t xml:space="preserve">. </w:t>
      </w:r>
      <w:r w:rsidRPr="0026404C">
        <w:rPr>
          <w:bCs/>
          <w:lang w:val="en-GB"/>
        </w:rPr>
        <w:t>The detailed use</w:t>
      </w:r>
      <w:r w:rsidRPr="0026404C">
        <w:rPr>
          <w:lang w:val="en-GB"/>
        </w:rPr>
        <w:t xml:space="preserve"> pattern table is presented at the beginning of the ecotoxicology chapter </w:t>
      </w:r>
      <w:r w:rsidRPr="0026404C">
        <w:rPr>
          <w:bCs/>
          <w:szCs w:val="24"/>
          <w:lang w:val="en-GB"/>
        </w:rPr>
        <w:t>(section 9.1).</w:t>
      </w:r>
    </w:p>
    <w:bookmarkEnd w:id="338"/>
    <w:p w14:paraId="77696562" w14:textId="77777777" w:rsidR="00E51CDD" w:rsidRPr="0026404C" w:rsidRDefault="00E51CDD" w:rsidP="00E51CDD">
      <w:pPr>
        <w:widowControl w:val="0"/>
        <w:suppressAutoHyphens/>
        <w:jc w:val="both"/>
        <w:rPr>
          <w:bCs/>
        </w:rPr>
      </w:pPr>
    </w:p>
    <w:p w14:paraId="216358F0" w14:textId="3965AB90" w:rsidR="00E51CDD" w:rsidRPr="0026404C" w:rsidRDefault="00E51CDD" w:rsidP="00E51CDD">
      <w:pPr>
        <w:widowControl w:val="0"/>
        <w:tabs>
          <w:tab w:val="left" w:pos="1985"/>
        </w:tabs>
        <w:spacing w:before="200" w:after="120"/>
        <w:ind w:left="1985" w:hanging="1985"/>
      </w:pPr>
      <w:bookmarkStart w:id="339" w:name="_Ref81825613"/>
      <w:r w:rsidRPr="0026404C">
        <w:rPr>
          <w:b/>
          <w:bCs/>
        </w:rPr>
        <w:t xml:space="preserve">Table </w:t>
      </w:r>
      <w:r w:rsidRPr="0026404C">
        <w:rPr>
          <w:b/>
          <w:bCs/>
        </w:rPr>
        <w:fldChar w:fldCharType="begin"/>
      </w:r>
      <w:r w:rsidRPr="0026404C">
        <w:rPr>
          <w:b/>
          <w:bCs/>
        </w:rPr>
        <w:instrText xml:space="preserve"> STYLEREF 2 \s </w:instrText>
      </w:r>
      <w:r w:rsidRPr="0026404C">
        <w:rPr>
          <w:b/>
          <w:bCs/>
        </w:rPr>
        <w:fldChar w:fldCharType="separate"/>
      </w:r>
      <w:r w:rsidR="00662F32">
        <w:rPr>
          <w:b/>
          <w:bCs/>
          <w:noProof/>
        </w:rPr>
        <w:t>9.3</w:t>
      </w:r>
      <w:r w:rsidRPr="0026404C">
        <w:rPr>
          <w:b/>
          <w:bCs/>
        </w:rPr>
        <w:fldChar w:fldCharType="end"/>
      </w:r>
      <w:r w:rsidRPr="0026404C">
        <w:rPr>
          <w:b/>
          <w:bCs/>
        </w:rPr>
        <w:noBreakHyphen/>
      </w:r>
      <w:r w:rsidRPr="0026404C">
        <w:rPr>
          <w:b/>
          <w:bCs/>
        </w:rPr>
        <w:fldChar w:fldCharType="begin"/>
      </w:r>
      <w:r w:rsidRPr="0026404C">
        <w:rPr>
          <w:b/>
          <w:bCs/>
        </w:rPr>
        <w:instrText xml:space="preserve"> SEQ Table \* ARABIC \s 2 </w:instrText>
      </w:r>
      <w:r w:rsidRPr="0026404C">
        <w:rPr>
          <w:b/>
          <w:bCs/>
        </w:rPr>
        <w:fldChar w:fldCharType="separate"/>
      </w:r>
      <w:r w:rsidR="00662F32">
        <w:rPr>
          <w:b/>
          <w:bCs/>
          <w:noProof/>
        </w:rPr>
        <w:t>3</w:t>
      </w:r>
      <w:r w:rsidRPr="0026404C">
        <w:rPr>
          <w:b/>
          <w:bCs/>
        </w:rPr>
        <w:fldChar w:fldCharType="end"/>
      </w:r>
      <w:bookmarkEnd w:id="339"/>
      <w:r w:rsidRPr="0026404C">
        <w:rPr>
          <w:b/>
          <w:bCs/>
        </w:rPr>
        <w:t>:</w:t>
      </w:r>
      <w:r w:rsidRPr="0026404C">
        <w:rPr>
          <w:b/>
          <w:bCs/>
        </w:rPr>
        <w:tab/>
        <w:t>Proposed use pattern</w:t>
      </w:r>
    </w:p>
    <w:tbl>
      <w:tblPr>
        <w:tblW w:w="48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79"/>
        <w:gridCol w:w="1520"/>
        <w:gridCol w:w="894"/>
        <w:gridCol w:w="803"/>
        <w:gridCol w:w="966"/>
        <w:gridCol w:w="1249"/>
        <w:gridCol w:w="1192"/>
        <w:gridCol w:w="1240"/>
      </w:tblGrid>
      <w:tr w:rsidR="00E51CDD" w14:paraId="5F343A8F" w14:textId="77777777" w:rsidTr="009938D9">
        <w:trPr>
          <w:cantSplit/>
          <w:trHeight w:val="412"/>
        </w:trPr>
        <w:tc>
          <w:tcPr>
            <w:tcW w:w="699" w:type="pct"/>
            <w:vMerge w:val="restart"/>
            <w:tcBorders>
              <w:top w:val="single" w:sz="4" w:space="0" w:color="auto"/>
              <w:left w:val="single" w:sz="4" w:space="0" w:color="auto"/>
              <w:right w:val="single" w:sz="4" w:space="0" w:color="auto"/>
            </w:tcBorders>
            <w:vAlign w:val="center"/>
          </w:tcPr>
          <w:p w14:paraId="7B57BE3C" w14:textId="77777777" w:rsidR="00E51CDD" w:rsidRPr="00590DF7" w:rsidRDefault="00E51CDD" w:rsidP="009938D9">
            <w:pPr>
              <w:widowControl w:val="0"/>
              <w:spacing w:before="40" w:after="40"/>
              <w:jc w:val="center"/>
              <w:rPr>
                <w:b/>
                <w:bCs/>
                <w:sz w:val="20"/>
              </w:rPr>
            </w:pPr>
            <w:bookmarkStart w:id="340" w:name="_Hlk81492253"/>
            <w:r>
              <w:rPr>
                <w:b/>
                <w:bCs/>
                <w:sz w:val="20"/>
                <w:lang w:val="de-DE"/>
              </w:rPr>
              <w:t>Crop</w:t>
            </w:r>
          </w:p>
        </w:tc>
        <w:tc>
          <w:tcPr>
            <w:tcW w:w="831" w:type="pct"/>
            <w:vMerge w:val="restart"/>
            <w:tcBorders>
              <w:top w:val="single" w:sz="4" w:space="0" w:color="auto"/>
              <w:left w:val="single" w:sz="4" w:space="0" w:color="auto"/>
              <w:right w:val="single" w:sz="4" w:space="0" w:color="auto"/>
            </w:tcBorders>
          </w:tcPr>
          <w:p w14:paraId="7029F5D6" w14:textId="77777777" w:rsidR="00E51CDD" w:rsidRPr="00590DF7" w:rsidRDefault="00E51CDD" w:rsidP="009938D9">
            <w:pPr>
              <w:widowControl w:val="0"/>
              <w:spacing w:before="40" w:after="40"/>
              <w:jc w:val="center"/>
              <w:rPr>
                <w:b/>
                <w:bCs/>
                <w:sz w:val="20"/>
              </w:rPr>
            </w:pPr>
            <w:r w:rsidRPr="00590DF7">
              <w:rPr>
                <w:b/>
                <w:bCs/>
                <w:sz w:val="20"/>
              </w:rPr>
              <w:t>Crop group according to EFSA/2009/1438</w:t>
            </w:r>
          </w:p>
        </w:tc>
        <w:tc>
          <w:tcPr>
            <w:tcW w:w="489" w:type="pct"/>
            <w:vMerge w:val="restart"/>
            <w:tcBorders>
              <w:top w:val="single" w:sz="4" w:space="0" w:color="auto"/>
              <w:left w:val="single" w:sz="4" w:space="0" w:color="auto"/>
              <w:bottom w:val="single" w:sz="4" w:space="0" w:color="auto"/>
              <w:right w:val="single" w:sz="4" w:space="0" w:color="auto"/>
            </w:tcBorders>
            <w:vAlign w:val="center"/>
            <w:hideMark/>
          </w:tcPr>
          <w:p w14:paraId="14C8FE44" w14:textId="77777777" w:rsidR="00E51CDD" w:rsidRPr="00590DF7" w:rsidRDefault="00E51CDD" w:rsidP="009938D9">
            <w:pPr>
              <w:widowControl w:val="0"/>
              <w:spacing w:before="40" w:after="40"/>
              <w:jc w:val="center"/>
              <w:rPr>
                <w:b/>
                <w:bCs/>
                <w:sz w:val="20"/>
              </w:rPr>
            </w:pPr>
            <w:r w:rsidRPr="00590DF7">
              <w:rPr>
                <w:b/>
                <w:bCs/>
                <w:sz w:val="20"/>
              </w:rPr>
              <w:t>Application time</w:t>
            </w:r>
          </w:p>
          <w:p w14:paraId="7DCF435A" w14:textId="77777777" w:rsidR="00E51CDD" w:rsidRPr="00590DF7" w:rsidRDefault="00E51CDD" w:rsidP="009938D9">
            <w:pPr>
              <w:widowControl w:val="0"/>
              <w:spacing w:before="40" w:after="40"/>
              <w:jc w:val="center"/>
              <w:rPr>
                <w:b/>
                <w:bCs/>
                <w:sz w:val="20"/>
              </w:rPr>
            </w:pPr>
            <w:r w:rsidRPr="00590DF7">
              <w:rPr>
                <w:b/>
                <w:bCs/>
                <w:sz w:val="20"/>
              </w:rPr>
              <w:t>(BBCH growth stage)</w:t>
            </w:r>
          </w:p>
        </w:tc>
        <w:tc>
          <w:tcPr>
            <w:tcW w:w="439" w:type="pct"/>
            <w:vMerge w:val="restart"/>
            <w:tcBorders>
              <w:top w:val="single" w:sz="4" w:space="0" w:color="auto"/>
              <w:left w:val="single" w:sz="4" w:space="0" w:color="auto"/>
              <w:bottom w:val="single" w:sz="4" w:space="0" w:color="auto"/>
              <w:right w:val="single" w:sz="4" w:space="0" w:color="auto"/>
            </w:tcBorders>
            <w:vAlign w:val="center"/>
            <w:hideMark/>
          </w:tcPr>
          <w:p w14:paraId="1357CCEF" w14:textId="77777777" w:rsidR="00E51CDD" w:rsidRDefault="00E51CDD" w:rsidP="009938D9">
            <w:pPr>
              <w:widowControl w:val="0"/>
              <w:spacing w:before="40" w:after="40"/>
              <w:jc w:val="center"/>
              <w:rPr>
                <w:b/>
                <w:bCs/>
                <w:sz w:val="20"/>
                <w:lang w:val="de-DE"/>
              </w:rPr>
            </w:pPr>
            <w:r>
              <w:rPr>
                <w:b/>
                <w:bCs/>
                <w:sz w:val="20"/>
                <w:lang w:val="de-DE"/>
              </w:rPr>
              <w:t>Number of applications</w:t>
            </w:r>
          </w:p>
        </w:tc>
        <w:tc>
          <w:tcPr>
            <w:tcW w:w="528" w:type="pct"/>
            <w:vMerge w:val="restart"/>
            <w:tcBorders>
              <w:top w:val="single" w:sz="4" w:space="0" w:color="auto"/>
              <w:left w:val="single" w:sz="4" w:space="0" w:color="auto"/>
              <w:bottom w:val="single" w:sz="4" w:space="0" w:color="auto"/>
              <w:right w:val="single" w:sz="4" w:space="0" w:color="auto"/>
            </w:tcBorders>
            <w:vAlign w:val="center"/>
            <w:hideMark/>
          </w:tcPr>
          <w:p w14:paraId="2A5D9C68" w14:textId="77777777" w:rsidR="00E51CDD" w:rsidRDefault="00E51CDD" w:rsidP="009938D9">
            <w:pPr>
              <w:widowControl w:val="0"/>
              <w:spacing w:before="40" w:after="40"/>
              <w:jc w:val="center"/>
              <w:rPr>
                <w:b/>
                <w:bCs/>
                <w:sz w:val="20"/>
                <w:lang w:val="de-DE"/>
              </w:rPr>
            </w:pPr>
            <w:r>
              <w:rPr>
                <w:b/>
                <w:bCs/>
                <w:sz w:val="20"/>
                <w:lang w:val="de-DE"/>
              </w:rPr>
              <w:t>Interval between applications</w:t>
            </w:r>
          </w:p>
          <w:p w14:paraId="6446025E" w14:textId="77777777" w:rsidR="00E51CDD" w:rsidRDefault="00E51CDD" w:rsidP="009938D9">
            <w:pPr>
              <w:widowControl w:val="0"/>
              <w:spacing w:before="40" w:after="40"/>
              <w:jc w:val="center"/>
              <w:rPr>
                <w:b/>
                <w:bCs/>
                <w:sz w:val="20"/>
                <w:lang w:val="de-DE"/>
              </w:rPr>
            </w:pPr>
            <w:r>
              <w:rPr>
                <w:b/>
                <w:bCs/>
                <w:sz w:val="20"/>
                <w:lang w:val="de-DE"/>
              </w:rPr>
              <w:t>[d]</w:t>
            </w:r>
          </w:p>
        </w:tc>
        <w:tc>
          <w:tcPr>
            <w:tcW w:w="2013" w:type="pct"/>
            <w:gridSpan w:val="3"/>
            <w:tcBorders>
              <w:top w:val="single" w:sz="4" w:space="0" w:color="auto"/>
              <w:left w:val="single" w:sz="4" w:space="0" w:color="auto"/>
              <w:bottom w:val="single" w:sz="4" w:space="0" w:color="auto"/>
              <w:right w:val="single" w:sz="4" w:space="0" w:color="auto"/>
            </w:tcBorders>
            <w:vAlign w:val="center"/>
            <w:hideMark/>
          </w:tcPr>
          <w:p w14:paraId="6CD5C004" w14:textId="77777777" w:rsidR="00E51CDD" w:rsidRPr="00667C5C" w:rsidRDefault="00E51CDD" w:rsidP="009938D9">
            <w:pPr>
              <w:widowControl w:val="0"/>
              <w:spacing w:before="40" w:after="40"/>
              <w:jc w:val="center"/>
              <w:rPr>
                <w:sz w:val="20"/>
              </w:rPr>
            </w:pPr>
            <w:r w:rsidRPr="00667C5C">
              <w:rPr>
                <w:b/>
                <w:sz w:val="20"/>
              </w:rPr>
              <w:t>Max. application rate per application</w:t>
            </w:r>
          </w:p>
        </w:tc>
      </w:tr>
      <w:tr w:rsidR="00E51CDD" w14:paraId="7E7C505A" w14:textId="77777777" w:rsidTr="009938D9">
        <w:trPr>
          <w:cantSplit/>
          <w:trHeight w:val="412"/>
        </w:trPr>
        <w:tc>
          <w:tcPr>
            <w:tcW w:w="699" w:type="pct"/>
            <w:vMerge/>
            <w:tcBorders>
              <w:left w:val="single" w:sz="4" w:space="0" w:color="auto"/>
              <w:bottom w:val="single" w:sz="4" w:space="0" w:color="auto"/>
              <w:right w:val="single" w:sz="4" w:space="0" w:color="auto"/>
            </w:tcBorders>
            <w:vAlign w:val="center"/>
          </w:tcPr>
          <w:p w14:paraId="71B7695F" w14:textId="77777777" w:rsidR="00E51CDD" w:rsidRPr="00667C5C" w:rsidRDefault="00E51CDD" w:rsidP="009938D9">
            <w:pPr>
              <w:rPr>
                <w:b/>
                <w:bCs/>
                <w:sz w:val="20"/>
              </w:rPr>
            </w:pPr>
          </w:p>
        </w:tc>
        <w:tc>
          <w:tcPr>
            <w:tcW w:w="831" w:type="pct"/>
            <w:vMerge/>
            <w:tcBorders>
              <w:left w:val="single" w:sz="4" w:space="0" w:color="auto"/>
              <w:bottom w:val="single" w:sz="4" w:space="0" w:color="auto"/>
              <w:right w:val="single" w:sz="4" w:space="0" w:color="auto"/>
            </w:tcBorders>
          </w:tcPr>
          <w:p w14:paraId="24525128" w14:textId="77777777" w:rsidR="00E51CDD" w:rsidRPr="00667C5C" w:rsidRDefault="00E51CDD" w:rsidP="009938D9">
            <w:pPr>
              <w:rPr>
                <w:b/>
                <w:bCs/>
                <w:sz w:val="20"/>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14:paraId="050037E3" w14:textId="77777777" w:rsidR="00E51CDD" w:rsidRPr="00667C5C" w:rsidRDefault="00E51CDD" w:rsidP="009938D9">
            <w:pPr>
              <w:rPr>
                <w:b/>
                <w:bCs/>
                <w:sz w:val="20"/>
              </w:rPr>
            </w:pPr>
          </w:p>
        </w:tc>
        <w:tc>
          <w:tcPr>
            <w:tcW w:w="439" w:type="pct"/>
            <w:vMerge/>
            <w:tcBorders>
              <w:top w:val="single" w:sz="4" w:space="0" w:color="auto"/>
              <w:left w:val="single" w:sz="4" w:space="0" w:color="auto"/>
              <w:bottom w:val="single" w:sz="4" w:space="0" w:color="auto"/>
              <w:right w:val="single" w:sz="4" w:space="0" w:color="auto"/>
            </w:tcBorders>
            <w:vAlign w:val="center"/>
            <w:hideMark/>
          </w:tcPr>
          <w:p w14:paraId="746CB676" w14:textId="77777777" w:rsidR="00E51CDD" w:rsidRPr="00667C5C" w:rsidRDefault="00E51CDD" w:rsidP="009938D9">
            <w:pPr>
              <w:rPr>
                <w:b/>
                <w:bCs/>
                <w:sz w:val="20"/>
              </w:rPr>
            </w:pPr>
          </w:p>
        </w:tc>
        <w:tc>
          <w:tcPr>
            <w:tcW w:w="528" w:type="pct"/>
            <w:vMerge/>
            <w:tcBorders>
              <w:top w:val="single" w:sz="4" w:space="0" w:color="auto"/>
              <w:left w:val="single" w:sz="4" w:space="0" w:color="auto"/>
              <w:bottom w:val="single" w:sz="4" w:space="0" w:color="auto"/>
              <w:right w:val="single" w:sz="4" w:space="0" w:color="auto"/>
            </w:tcBorders>
            <w:vAlign w:val="center"/>
            <w:hideMark/>
          </w:tcPr>
          <w:p w14:paraId="09A0B326" w14:textId="77777777" w:rsidR="00E51CDD" w:rsidRPr="00667C5C" w:rsidRDefault="00E51CDD" w:rsidP="009938D9">
            <w:pPr>
              <w:rPr>
                <w:b/>
                <w:bCs/>
                <w:sz w:val="20"/>
              </w:rPr>
            </w:pPr>
          </w:p>
        </w:tc>
        <w:tc>
          <w:tcPr>
            <w:tcW w:w="683" w:type="pct"/>
            <w:tcBorders>
              <w:top w:val="single" w:sz="4" w:space="0" w:color="auto"/>
              <w:left w:val="single" w:sz="4" w:space="0" w:color="auto"/>
              <w:bottom w:val="single" w:sz="4" w:space="0" w:color="auto"/>
              <w:right w:val="single" w:sz="4" w:space="0" w:color="auto"/>
            </w:tcBorders>
            <w:vAlign w:val="center"/>
            <w:hideMark/>
          </w:tcPr>
          <w:p w14:paraId="75056A08" w14:textId="77777777" w:rsidR="00E51CDD" w:rsidRDefault="00E51CDD" w:rsidP="009938D9">
            <w:pPr>
              <w:widowControl w:val="0"/>
              <w:spacing w:before="40" w:after="40"/>
              <w:jc w:val="center"/>
              <w:rPr>
                <w:b/>
                <w:bCs/>
                <w:sz w:val="20"/>
                <w:lang w:val="de-DE"/>
              </w:rPr>
            </w:pPr>
            <w:r>
              <w:rPr>
                <w:b/>
                <w:bCs/>
                <w:sz w:val="20"/>
                <w:lang w:val="de-DE"/>
              </w:rPr>
              <w:t>Fluxapyroxad</w:t>
            </w:r>
            <w:r>
              <w:rPr>
                <w:b/>
                <w:bCs/>
                <w:sz w:val="20"/>
                <w:lang w:val="de-DE"/>
              </w:rPr>
              <w:br/>
              <w:t>[kg/ha]</w:t>
            </w:r>
          </w:p>
        </w:tc>
        <w:tc>
          <w:tcPr>
            <w:tcW w:w="652" w:type="pct"/>
            <w:tcBorders>
              <w:top w:val="single" w:sz="4" w:space="0" w:color="auto"/>
              <w:left w:val="single" w:sz="4" w:space="0" w:color="auto"/>
              <w:bottom w:val="single" w:sz="4" w:space="0" w:color="auto"/>
              <w:right w:val="single" w:sz="4" w:space="0" w:color="auto"/>
            </w:tcBorders>
            <w:vAlign w:val="center"/>
            <w:hideMark/>
          </w:tcPr>
          <w:p w14:paraId="6BC19BB5" w14:textId="77777777" w:rsidR="00E51CDD" w:rsidRDefault="00E51CDD" w:rsidP="009938D9">
            <w:pPr>
              <w:widowControl w:val="0"/>
              <w:spacing w:before="40" w:after="40"/>
              <w:jc w:val="center"/>
              <w:rPr>
                <w:b/>
                <w:bCs/>
                <w:sz w:val="20"/>
                <w:lang w:val="de-DE"/>
              </w:rPr>
            </w:pPr>
            <w:r>
              <w:rPr>
                <w:b/>
                <w:bCs/>
                <w:sz w:val="20"/>
                <w:lang w:val="de-DE"/>
              </w:rPr>
              <w:t>Azoxystrobin</w:t>
            </w:r>
          </w:p>
          <w:p w14:paraId="7D7F50AF" w14:textId="77777777" w:rsidR="00E51CDD" w:rsidRDefault="00E51CDD" w:rsidP="009938D9">
            <w:pPr>
              <w:widowControl w:val="0"/>
              <w:spacing w:before="40" w:after="40"/>
              <w:jc w:val="center"/>
              <w:rPr>
                <w:b/>
                <w:bCs/>
                <w:sz w:val="20"/>
                <w:lang w:val="de-DE"/>
              </w:rPr>
            </w:pPr>
            <w:r>
              <w:rPr>
                <w:b/>
                <w:bCs/>
                <w:sz w:val="20"/>
                <w:lang w:val="de-DE"/>
              </w:rPr>
              <w:t>[kg/ha]</w:t>
            </w:r>
          </w:p>
        </w:tc>
        <w:tc>
          <w:tcPr>
            <w:tcW w:w="678" w:type="pct"/>
            <w:tcBorders>
              <w:top w:val="single" w:sz="4" w:space="0" w:color="auto"/>
              <w:left w:val="single" w:sz="4" w:space="0" w:color="auto"/>
              <w:bottom w:val="single" w:sz="4" w:space="0" w:color="auto"/>
              <w:right w:val="single" w:sz="4" w:space="0" w:color="auto"/>
            </w:tcBorders>
            <w:vAlign w:val="center"/>
            <w:hideMark/>
          </w:tcPr>
          <w:p w14:paraId="18473300" w14:textId="77777777" w:rsidR="00E51CDD" w:rsidRDefault="00E51CDD" w:rsidP="009938D9">
            <w:pPr>
              <w:widowControl w:val="0"/>
              <w:spacing w:before="40" w:after="40"/>
              <w:jc w:val="center"/>
              <w:rPr>
                <w:b/>
                <w:bCs/>
                <w:sz w:val="20"/>
                <w:lang w:val="de-DE"/>
              </w:rPr>
            </w:pPr>
            <w:r>
              <w:rPr>
                <w:b/>
                <w:bCs/>
                <w:sz w:val="20"/>
                <w:lang w:val="de-DE"/>
              </w:rPr>
              <w:t>BAS 736 00 F</w:t>
            </w:r>
            <w:r>
              <w:rPr>
                <w:b/>
                <w:bCs/>
                <w:sz w:val="20"/>
                <w:lang w:val="de-DE"/>
              </w:rPr>
              <w:br/>
              <w:t>[L/ha]</w:t>
            </w:r>
          </w:p>
        </w:tc>
      </w:tr>
      <w:tr w:rsidR="00E51CDD" w14:paraId="0BB42331" w14:textId="77777777" w:rsidTr="009938D9">
        <w:trPr>
          <w:cantSplit/>
          <w:trHeight w:val="412"/>
        </w:trPr>
        <w:tc>
          <w:tcPr>
            <w:tcW w:w="699" w:type="pct"/>
            <w:tcBorders>
              <w:top w:val="single" w:sz="4" w:space="0" w:color="auto"/>
              <w:left w:val="single" w:sz="4" w:space="0" w:color="auto"/>
              <w:bottom w:val="single" w:sz="4" w:space="0" w:color="auto"/>
              <w:right w:val="single" w:sz="4" w:space="0" w:color="auto"/>
            </w:tcBorders>
            <w:vAlign w:val="center"/>
          </w:tcPr>
          <w:p w14:paraId="0223863C" w14:textId="77777777" w:rsidR="00E51CDD" w:rsidRPr="00B57E70" w:rsidRDefault="00E51CDD" w:rsidP="009938D9">
            <w:pPr>
              <w:widowControl w:val="0"/>
              <w:overflowPunct w:val="0"/>
              <w:autoSpaceDE w:val="0"/>
              <w:autoSpaceDN w:val="0"/>
              <w:adjustRightInd w:val="0"/>
              <w:spacing w:before="40" w:after="40"/>
              <w:jc w:val="center"/>
              <w:textAlignment w:val="baseline"/>
              <w:rPr>
                <w:sz w:val="20"/>
              </w:rPr>
            </w:pPr>
            <w:r>
              <w:rPr>
                <w:sz w:val="20"/>
              </w:rPr>
              <w:t xml:space="preserve">Barley, Oat, Rye, Triticale, </w:t>
            </w:r>
            <w:r w:rsidRPr="00B57E70">
              <w:rPr>
                <w:sz w:val="20"/>
              </w:rPr>
              <w:t>Wheat</w:t>
            </w:r>
          </w:p>
        </w:tc>
        <w:tc>
          <w:tcPr>
            <w:tcW w:w="831" w:type="pct"/>
            <w:tcBorders>
              <w:top w:val="single" w:sz="4" w:space="0" w:color="auto"/>
              <w:left w:val="single" w:sz="4" w:space="0" w:color="auto"/>
              <w:right w:val="single" w:sz="4" w:space="0" w:color="auto"/>
            </w:tcBorders>
            <w:vAlign w:val="center"/>
          </w:tcPr>
          <w:p w14:paraId="27E150E3" w14:textId="77777777" w:rsidR="00E51CDD" w:rsidRDefault="00E51CDD" w:rsidP="009938D9">
            <w:pPr>
              <w:widowControl w:val="0"/>
              <w:overflowPunct w:val="0"/>
              <w:autoSpaceDE w:val="0"/>
              <w:autoSpaceDN w:val="0"/>
              <w:adjustRightInd w:val="0"/>
              <w:spacing w:before="40" w:after="40"/>
              <w:jc w:val="center"/>
              <w:textAlignment w:val="baseline"/>
              <w:rPr>
                <w:sz w:val="20"/>
                <w:lang w:val="de-DE"/>
              </w:rPr>
            </w:pPr>
            <w:r>
              <w:rPr>
                <w:sz w:val="20"/>
                <w:lang w:val="de-DE"/>
              </w:rPr>
              <w:t>Cereals</w:t>
            </w:r>
          </w:p>
        </w:tc>
        <w:tc>
          <w:tcPr>
            <w:tcW w:w="489" w:type="pct"/>
            <w:tcBorders>
              <w:top w:val="single" w:sz="4" w:space="0" w:color="auto"/>
              <w:left w:val="single" w:sz="4" w:space="0" w:color="auto"/>
              <w:bottom w:val="single" w:sz="4" w:space="0" w:color="auto"/>
              <w:right w:val="single" w:sz="4" w:space="0" w:color="auto"/>
            </w:tcBorders>
            <w:vAlign w:val="center"/>
          </w:tcPr>
          <w:p w14:paraId="09E8EAF0" w14:textId="77777777" w:rsidR="00E51CDD" w:rsidRDefault="00E51CDD" w:rsidP="009938D9">
            <w:pPr>
              <w:widowControl w:val="0"/>
              <w:overflowPunct w:val="0"/>
              <w:autoSpaceDE w:val="0"/>
              <w:autoSpaceDN w:val="0"/>
              <w:adjustRightInd w:val="0"/>
              <w:spacing w:before="40" w:after="40"/>
              <w:jc w:val="center"/>
              <w:textAlignment w:val="baseline"/>
              <w:rPr>
                <w:sz w:val="20"/>
                <w:lang w:val="de-DE"/>
              </w:rPr>
            </w:pPr>
            <w:r>
              <w:rPr>
                <w:sz w:val="20"/>
                <w:lang w:val="de-DE"/>
              </w:rPr>
              <w:t>30-69</w:t>
            </w:r>
          </w:p>
        </w:tc>
        <w:tc>
          <w:tcPr>
            <w:tcW w:w="439" w:type="pct"/>
            <w:tcBorders>
              <w:top w:val="single" w:sz="4" w:space="0" w:color="auto"/>
              <w:left w:val="single" w:sz="4" w:space="0" w:color="auto"/>
              <w:bottom w:val="single" w:sz="4" w:space="0" w:color="auto"/>
              <w:right w:val="single" w:sz="4" w:space="0" w:color="auto"/>
            </w:tcBorders>
            <w:vAlign w:val="center"/>
          </w:tcPr>
          <w:p w14:paraId="4789B4D5" w14:textId="77777777" w:rsidR="00E51CDD" w:rsidRDefault="00E51CDD" w:rsidP="009938D9">
            <w:pPr>
              <w:widowControl w:val="0"/>
              <w:overflowPunct w:val="0"/>
              <w:autoSpaceDE w:val="0"/>
              <w:autoSpaceDN w:val="0"/>
              <w:adjustRightInd w:val="0"/>
              <w:spacing w:before="40" w:after="40"/>
              <w:jc w:val="center"/>
              <w:textAlignment w:val="baseline"/>
              <w:rPr>
                <w:sz w:val="20"/>
                <w:lang w:val="de-DE"/>
              </w:rPr>
            </w:pPr>
            <w:r>
              <w:rPr>
                <w:sz w:val="20"/>
                <w:lang w:val="de-DE"/>
              </w:rPr>
              <w:t>1-2</w:t>
            </w:r>
          </w:p>
        </w:tc>
        <w:tc>
          <w:tcPr>
            <w:tcW w:w="528" w:type="pct"/>
            <w:tcBorders>
              <w:top w:val="single" w:sz="4" w:space="0" w:color="auto"/>
              <w:left w:val="single" w:sz="4" w:space="0" w:color="auto"/>
              <w:bottom w:val="single" w:sz="4" w:space="0" w:color="auto"/>
              <w:right w:val="single" w:sz="4" w:space="0" w:color="auto"/>
            </w:tcBorders>
            <w:vAlign w:val="center"/>
          </w:tcPr>
          <w:p w14:paraId="08EB1956" w14:textId="77777777" w:rsidR="00E51CDD" w:rsidRDefault="00E51CDD" w:rsidP="009938D9">
            <w:pPr>
              <w:widowControl w:val="0"/>
              <w:overflowPunct w:val="0"/>
              <w:autoSpaceDE w:val="0"/>
              <w:autoSpaceDN w:val="0"/>
              <w:adjustRightInd w:val="0"/>
              <w:spacing w:before="40" w:after="40"/>
              <w:jc w:val="center"/>
              <w:textAlignment w:val="baseline"/>
              <w:rPr>
                <w:sz w:val="20"/>
                <w:lang w:val="de-DE"/>
              </w:rPr>
            </w:pPr>
            <w:r>
              <w:rPr>
                <w:sz w:val="20"/>
                <w:lang w:val="de-DE"/>
              </w:rPr>
              <w:t>21</w:t>
            </w:r>
          </w:p>
        </w:tc>
        <w:tc>
          <w:tcPr>
            <w:tcW w:w="683" w:type="pct"/>
            <w:tcBorders>
              <w:top w:val="single" w:sz="4" w:space="0" w:color="auto"/>
              <w:left w:val="single" w:sz="4" w:space="0" w:color="auto"/>
              <w:bottom w:val="single" w:sz="4" w:space="0" w:color="auto"/>
              <w:right w:val="single" w:sz="4" w:space="0" w:color="auto"/>
            </w:tcBorders>
            <w:vAlign w:val="center"/>
          </w:tcPr>
          <w:p w14:paraId="3E37B66F" w14:textId="77777777" w:rsidR="00E51CDD" w:rsidRDefault="00E51CDD" w:rsidP="009938D9">
            <w:pPr>
              <w:widowControl w:val="0"/>
              <w:spacing w:before="40" w:after="40"/>
              <w:jc w:val="center"/>
              <w:rPr>
                <w:sz w:val="20"/>
                <w:lang w:val="de-DE"/>
              </w:rPr>
            </w:pPr>
            <w:r>
              <w:rPr>
                <w:sz w:val="20"/>
                <w:lang w:val="de-DE"/>
              </w:rPr>
              <w:t>0.100</w:t>
            </w:r>
          </w:p>
        </w:tc>
        <w:tc>
          <w:tcPr>
            <w:tcW w:w="652" w:type="pct"/>
            <w:tcBorders>
              <w:top w:val="single" w:sz="4" w:space="0" w:color="auto"/>
              <w:left w:val="single" w:sz="4" w:space="0" w:color="auto"/>
              <w:bottom w:val="single" w:sz="4" w:space="0" w:color="auto"/>
              <w:right w:val="single" w:sz="4" w:space="0" w:color="auto"/>
            </w:tcBorders>
            <w:vAlign w:val="center"/>
          </w:tcPr>
          <w:p w14:paraId="7A5E9105" w14:textId="77777777" w:rsidR="00E51CDD" w:rsidRDefault="00E51CDD" w:rsidP="009938D9">
            <w:pPr>
              <w:widowControl w:val="0"/>
              <w:spacing w:before="40" w:after="40"/>
              <w:jc w:val="center"/>
              <w:rPr>
                <w:sz w:val="20"/>
                <w:lang w:val="de-DE"/>
              </w:rPr>
            </w:pPr>
            <w:r>
              <w:rPr>
                <w:sz w:val="20"/>
                <w:lang w:val="de-DE"/>
              </w:rPr>
              <w:t>0.150</w:t>
            </w:r>
          </w:p>
        </w:tc>
        <w:tc>
          <w:tcPr>
            <w:tcW w:w="678" w:type="pct"/>
            <w:tcBorders>
              <w:top w:val="single" w:sz="4" w:space="0" w:color="auto"/>
              <w:left w:val="single" w:sz="4" w:space="0" w:color="auto"/>
              <w:bottom w:val="single" w:sz="4" w:space="0" w:color="auto"/>
              <w:right w:val="single" w:sz="4" w:space="0" w:color="auto"/>
            </w:tcBorders>
            <w:vAlign w:val="center"/>
          </w:tcPr>
          <w:p w14:paraId="18EE5EB6" w14:textId="77777777" w:rsidR="00E51CDD" w:rsidRDefault="00E51CDD" w:rsidP="009938D9">
            <w:pPr>
              <w:widowControl w:val="0"/>
              <w:spacing w:before="40" w:after="40"/>
              <w:jc w:val="center"/>
              <w:rPr>
                <w:sz w:val="20"/>
                <w:lang w:val="de-DE"/>
              </w:rPr>
            </w:pPr>
            <w:r w:rsidRPr="000265A8">
              <w:rPr>
                <w:strike/>
                <w:color w:val="D9D9D9" w:themeColor="background1" w:themeShade="D9"/>
                <w:sz w:val="20"/>
                <w:lang w:val="de-DE"/>
              </w:rPr>
              <w:t>1.0-</w:t>
            </w:r>
            <w:r w:rsidRPr="00783F78">
              <w:rPr>
                <w:sz w:val="20"/>
                <w:shd w:val="clear" w:color="auto" w:fill="D9D9D9" w:themeFill="background1" w:themeFillShade="D9"/>
                <w:lang w:val="de-DE"/>
              </w:rPr>
              <w:t>2.0</w:t>
            </w:r>
          </w:p>
        </w:tc>
      </w:tr>
    </w:tbl>
    <w:p w14:paraId="18B6D5B0" w14:textId="77777777" w:rsidR="00E51CDD" w:rsidRDefault="00E51CDD" w:rsidP="00E51CDD">
      <w:pPr>
        <w:rPr>
          <w:lang w:val="en-GB"/>
        </w:rPr>
      </w:pPr>
      <w:bookmarkStart w:id="341" w:name="_Toc412643986"/>
      <w:bookmarkStart w:id="342" w:name="_Toc413916832"/>
      <w:bookmarkStart w:id="343" w:name="_Toc413916974"/>
      <w:bookmarkStart w:id="344" w:name="_Toc413922035"/>
      <w:bookmarkStart w:id="345" w:name="_Toc413922524"/>
      <w:bookmarkStart w:id="346" w:name="_Toc413922628"/>
      <w:bookmarkStart w:id="347" w:name="_Toc414955265"/>
      <w:bookmarkStart w:id="348" w:name="_Toc415214572"/>
      <w:bookmarkEnd w:id="340"/>
    </w:p>
    <w:p w14:paraId="39306DF8" w14:textId="77777777" w:rsidR="00E51CDD" w:rsidRPr="002B1114" w:rsidRDefault="00E51CDD" w:rsidP="00E51CDD">
      <w:pPr>
        <w:pStyle w:val="Nagwek4"/>
        <w:rPr>
          <w:lang w:val="en-GB"/>
        </w:rPr>
      </w:pPr>
      <w:bookmarkStart w:id="349" w:name="_Toc125446415"/>
      <w:r w:rsidRPr="002B1114">
        <w:rPr>
          <w:lang w:val="en-GB"/>
        </w:rPr>
        <w:t>First-tier assessment (screening/generic focal species)</w:t>
      </w:r>
      <w:bookmarkEnd w:id="341"/>
      <w:bookmarkEnd w:id="342"/>
      <w:bookmarkEnd w:id="343"/>
      <w:bookmarkEnd w:id="344"/>
      <w:bookmarkEnd w:id="345"/>
      <w:bookmarkEnd w:id="346"/>
      <w:bookmarkEnd w:id="347"/>
      <w:bookmarkEnd w:id="348"/>
      <w:bookmarkEnd w:id="349"/>
    </w:p>
    <w:p w14:paraId="11F7A34E" w14:textId="77777777" w:rsidR="00E51CDD" w:rsidRPr="0026404C" w:rsidRDefault="00E51CDD" w:rsidP="00E51CDD">
      <w:pPr>
        <w:widowControl w:val="0"/>
        <w:tabs>
          <w:tab w:val="left" w:pos="720"/>
        </w:tabs>
        <w:jc w:val="both"/>
        <w:rPr>
          <w:lang w:val="en-GB"/>
        </w:rPr>
      </w:pPr>
      <w:r w:rsidRPr="0026404C">
        <w:rPr>
          <w:lang w:val="en-GB"/>
        </w:rPr>
        <w:t>The dietary TER acute (TER</w:t>
      </w:r>
      <w:r w:rsidRPr="0026404C">
        <w:rPr>
          <w:vertAlign w:val="subscript"/>
          <w:lang w:val="en-GB"/>
        </w:rPr>
        <w:t>A</w:t>
      </w:r>
      <w:r w:rsidRPr="0026404C">
        <w:rPr>
          <w:lang w:val="en-GB"/>
        </w:rPr>
        <w:t>) and reproductive (TER</w:t>
      </w:r>
      <w:r w:rsidRPr="0026404C">
        <w:rPr>
          <w:vertAlign w:val="subscript"/>
          <w:lang w:val="en-GB"/>
        </w:rPr>
        <w:t>LT</w:t>
      </w:r>
      <w:r w:rsidRPr="0026404C">
        <w:rPr>
          <w:lang w:val="en-GB"/>
        </w:rPr>
        <w:t>) values for the screening step and tier 1 risk assessment were calculated with the EFSA calculator tool (version of 9 July 2010, http://www.efsa.europa.eu/de/efsajournal/pub/1438.htm) according to EFSA/2009/1438.</w:t>
      </w:r>
    </w:p>
    <w:p w14:paraId="6440A380" w14:textId="77777777" w:rsidR="00E51CDD" w:rsidRPr="0026404C" w:rsidRDefault="00E51CDD" w:rsidP="00E51CDD">
      <w:pPr>
        <w:widowControl w:val="0"/>
        <w:tabs>
          <w:tab w:val="left" w:pos="720"/>
        </w:tabs>
        <w:jc w:val="both"/>
        <w:rPr>
          <w:b/>
          <w:u w:val="single"/>
          <w:lang w:val="en-GB"/>
        </w:rPr>
      </w:pPr>
    </w:p>
    <w:p w14:paraId="1ECD603C" w14:textId="77777777" w:rsidR="00E51CDD" w:rsidRPr="0026404C" w:rsidRDefault="00E51CDD" w:rsidP="00E51CDD">
      <w:pPr>
        <w:widowControl w:val="0"/>
        <w:tabs>
          <w:tab w:val="left" w:pos="720"/>
        </w:tabs>
        <w:jc w:val="both"/>
        <w:rPr>
          <w:b/>
          <w:u w:val="single"/>
          <w:lang w:val="en-GB"/>
        </w:rPr>
      </w:pPr>
    </w:p>
    <w:p w14:paraId="47F1A581" w14:textId="77777777" w:rsidR="00E51CDD" w:rsidRPr="0026404C" w:rsidRDefault="00E51CDD" w:rsidP="00E51CDD">
      <w:pPr>
        <w:widowControl w:val="0"/>
        <w:tabs>
          <w:tab w:val="left" w:pos="720"/>
        </w:tabs>
        <w:jc w:val="both"/>
        <w:rPr>
          <w:b/>
          <w:u w:val="single"/>
          <w:lang w:val="en-GB"/>
        </w:rPr>
      </w:pPr>
      <w:r w:rsidRPr="0026404C">
        <w:rPr>
          <w:b/>
          <w:u w:val="single"/>
          <w:lang w:val="en-GB"/>
        </w:rPr>
        <w:t>Dietary risk assessment for the active substances</w:t>
      </w:r>
    </w:p>
    <w:p w14:paraId="1C671930" w14:textId="77777777" w:rsidR="00E51CDD" w:rsidRPr="0026404C" w:rsidRDefault="00E51CDD" w:rsidP="00E51CDD">
      <w:pPr>
        <w:widowControl w:val="0"/>
        <w:tabs>
          <w:tab w:val="left" w:pos="720"/>
        </w:tabs>
        <w:jc w:val="both"/>
        <w:rPr>
          <w:lang w:val="en-GB"/>
        </w:rPr>
      </w:pPr>
    </w:p>
    <w:p w14:paraId="3A3DF951" w14:textId="77777777" w:rsidR="00E51CDD" w:rsidRPr="0026404C" w:rsidRDefault="00E51CDD" w:rsidP="00E51CDD">
      <w:pPr>
        <w:widowControl w:val="0"/>
        <w:tabs>
          <w:tab w:val="left" w:pos="720"/>
        </w:tabs>
        <w:jc w:val="both"/>
        <w:rPr>
          <w:b/>
          <w:iCs/>
          <w:lang w:val="en-GB"/>
        </w:rPr>
      </w:pPr>
      <w:r w:rsidRPr="0026404C">
        <w:rPr>
          <w:b/>
          <w:iCs/>
          <w:lang w:val="en-GB"/>
        </w:rPr>
        <w:t>Acute risk assessment</w:t>
      </w:r>
    </w:p>
    <w:p w14:paraId="769258B6" w14:textId="77777777" w:rsidR="00E51CDD" w:rsidRPr="0026404C" w:rsidRDefault="00E51CDD" w:rsidP="00E51CDD">
      <w:pPr>
        <w:widowControl w:val="0"/>
        <w:tabs>
          <w:tab w:val="left" w:pos="720"/>
        </w:tabs>
        <w:jc w:val="both"/>
        <w:rPr>
          <w:lang w:val="en-GB"/>
        </w:rPr>
      </w:pPr>
    </w:p>
    <w:p w14:paraId="67623879" w14:textId="5EAC6F36" w:rsidR="00E51CDD" w:rsidRPr="00535AD4" w:rsidRDefault="00E51CDD" w:rsidP="00E51CDD">
      <w:pPr>
        <w:jc w:val="both"/>
        <w:rPr>
          <w:color w:val="0033CC"/>
        </w:rPr>
      </w:pPr>
      <w:r w:rsidRPr="00A970EA">
        <w:rPr>
          <w:color w:val="000000" w:themeColor="text1"/>
          <w:lang w:val="en-GB"/>
        </w:rPr>
        <w:t>The TER</w:t>
      </w:r>
      <w:r w:rsidRPr="00A970EA">
        <w:rPr>
          <w:color w:val="000000" w:themeColor="text1"/>
          <w:vertAlign w:val="subscript"/>
          <w:lang w:val="en-GB"/>
        </w:rPr>
        <w:t>A</w:t>
      </w:r>
      <w:r w:rsidRPr="00A970EA">
        <w:rPr>
          <w:color w:val="000000" w:themeColor="text1"/>
          <w:lang w:val="en-GB"/>
        </w:rPr>
        <w:t xml:space="preserve"> values are presented in </w:t>
      </w:r>
      <w:r w:rsidRPr="00A970EA">
        <w:rPr>
          <w:color w:val="000000" w:themeColor="text1"/>
          <w:lang w:val="en-GB"/>
        </w:rPr>
        <w:fldChar w:fldCharType="begin"/>
      </w:r>
      <w:r w:rsidRPr="00A970EA">
        <w:rPr>
          <w:color w:val="000000" w:themeColor="text1"/>
          <w:lang w:val="en-GB"/>
        </w:rPr>
        <w:instrText xml:space="preserve"> REF _Ref81825781 \h  \* MERGEFORMAT </w:instrText>
      </w:r>
      <w:r w:rsidRPr="00A970EA">
        <w:rPr>
          <w:color w:val="000000" w:themeColor="text1"/>
          <w:lang w:val="en-GB"/>
        </w:rPr>
      </w:r>
      <w:r w:rsidRPr="00A970EA">
        <w:rPr>
          <w:color w:val="000000" w:themeColor="text1"/>
          <w:lang w:val="en-GB"/>
        </w:rPr>
        <w:fldChar w:fldCharType="separate"/>
      </w:r>
      <w:r w:rsidR="00662F32" w:rsidRPr="00662F32">
        <w:rPr>
          <w:color w:val="000000" w:themeColor="text1"/>
        </w:rPr>
        <w:t xml:space="preserve">Table </w:t>
      </w:r>
      <w:r w:rsidR="00662F32" w:rsidRPr="00662F32">
        <w:rPr>
          <w:noProof/>
          <w:color w:val="000000" w:themeColor="text1"/>
        </w:rPr>
        <w:t>9.3</w:t>
      </w:r>
      <w:r w:rsidR="00662F32" w:rsidRPr="00662F32">
        <w:rPr>
          <w:noProof/>
          <w:color w:val="000000" w:themeColor="text1"/>
        </w:rPr>
        <w:noBreakHyphen/>
        <w:t>4</w:t>
      </w:r>
      <w:r w:rsidRPr="00A970EA">
        <w:rPr>
          <w:color w:val="000000" w:themeColor="text1"/>
          <w:lang w:val="en-GB"/>
        </w:rPr>
        <w:fldChar w:fldCharType="end"/>
      </w:r>
      <w:r w:rsidRPr="00A970EA">
        <w:rPr>
          <w:color w:val="000000" w:themeColor="text1"/>
          <w:lang w:val="en-GB"/>
        </w:rPr>
        <w:t xml:space="preserve"> </w:t>
      </w:r>
      <w:r w:rsidRPr="00A970EA">
        <w:rPr>
          <w:color w:val="000000" w:themeColor="text1"/>
        </w:rPr>
        <w:t xml:space="preserve">for fluxapyroxad and in </w:t>
      </w:r>
      <w:r w:rsidRPr="00A970EA">
        <w:rPr>
          <w:color w:val="000000" w:themeColor="text1"/>
          <w:lang w:val="en-GB"/>
        </w:rPr>
        <w:fldChar w:fldCharType="begin"/>
      </w:r>
      <w:r w:rsidRPr="00A970EA">
        <w:rPr>
          <w:color w:val="000000" w:themeColor="text1"/>
        </w:rPr>
        <w:instrText xml:space="preserve"> REF _Ref81825793 \h </w:instrText>
      </w:r>
      <w:r w:rsidRPr="00A970EA">
        <w:rPr>
          <w:color w:val="000000" w:themeColor="text1"/>
          <w:lang w:val="en-GB"/>
        </w:rPr>
        <w:instrText xml:space="preserve"> \* MERGEFORMAT </w:instrText>
      </w:r>
      <w:r w:rsidRPr="00A970EA">
        <w:rPr>
          <w:color w:val="000000" w:themeColor="text1"/>
          <w:lang w:val="en-GB"/>
        </w:rPr>
      </w:r>
      <w:r w:rsidRPr="00A970EA">
        <w:rPr>
          <w:color w:val="000000" w:themeColor="text1"/>
          <w:lang w:val="en-GB"/>
        </w:rPr>
        <w:fldChar w:fldCharType="separate"/>
      </w:r>
      <w:r w:rsidR="00662F32" w:rsidRPr="00662F32">
        <w:rPr>
          <w:color w:val="000000" w:themeColor="text1"/>
        </w:rPr>
        <w:t xml:space="preserve">Table </w:t>
      </w:r>
      <w:r w:rsidR="00662F32" w:rsidRPr="00662F32">
        <w:rPr>
          <w:noProof/>
          <w:color w:val="000000" w:themeColor="text1"/>
        </w:rPr>
        <w:t>9.3</w:t>
      </w:r>
      <w:r w:rsidR="00662F32" w:rsidRPr="00662F32">
        <w:rPr>
          <w:noProof/>
          <w:color w:val="000000" w:themeColor="text1"/>
        </w:rPr>
        <w:noBreakHyphen/>
        <w:t>5</w:t>
      </w:r>
      <w:r w:rsidRPr="00A970EA">
        <w:rPr>
          <w:color w:val="000000" w:themeColor="text1"/>
          <w:lang w:val="en-GB"/>
        </w:rPr>
        <w:fldChar w:fldCharType="end"/>
      </w:r>
      <w:r w:rsidRPr="00A970EA">
        <w:rPr>
          <w:color w:val="000000" w:themeColor="text1"/>
          <w:lang w:val="en-GB"/>
        </w:rPr>
        <w:t xml:space="preserve"> </w:t>
      </w:r>
      <w:r w:rsidRPr="00A970EA">
        <w:rPr>
          <w:color w:val="000000" w:themeColor="text1"/>
        </w:rPr>
        <w:t xml:space="preserve">for </w:t>
      </w:r>
      <w:r w:rsidRPr="00A970EA">
        <w:rPr>
          <w:rFonts w:eastAsia="Batang"/>
          <w:color w:val="000000" w:themeColor="text1"/>
          <w:lang w:eastAsia="zh-CN"/>
        </w:rPr>
        <w:t>azoxystrobin</w:t>
      </w:r>
      <w:r w:rsidRPr="00A970EA">
        <w:rPr>
          <w:color w:val="000000" w:themeColor="text1"/>
        </w:rPr>
        <w:t xml:space="preserve">. </w:t>
      </w:r>
      <w:r w:rsidRPr="00672779">
        <w:rPr>
          <w:color w:val="000000" w:themeColor="text1"/>
          <w:lang w:val="en-GB"/>
        </w:rPr>
        <w:t>All the TER</w:t>
      </w:r>
      <w:r w:rsidRPr="00672779">
        <w:rPr>
          <w:color w:val="000000" w:themeColor="text1"/>
          <w:vertAlign w:val="subscript"/>
          <w:lang w:val="en-GB"/>
        </w:rPr>
        <w:t>A</w:t>
      </w:r>
      <w:r w:rsidRPr="00672779">
        <w:rPr>
          <w:color w:val="000000" w:themeColor="text1"/>
          <w:lang w:val="en-GB"/>
        </w:rPr>
        <w:t xml:space="preserve"> values at the screening step are above the relevant trigger of 10 for acceptability of acute effects.</w:t>
      </w:r>
    </w:p>
    <w:p w14:paraId="3E1D6BA0" w14:textId="77777777" w:rsidR="00E51CDD" w:rsidRPr="0026404C" w:rsidRDefault="00E51CDD" w:rsidP="00E51CDD">
      <w:pPr>
        <w:jc w:val="both"/>
      </w:pPr>
    </w:p>
    <w:p w14:paraId="09B6A1A9" w14:textId="3011445A" w:rsidR="00E51CDD" w:rsidRPr="0026404C" w:rsidRDefault="00E51CDD" w:rsidP="00E51CDD">
      <w:pPr>
        <w:spacing w:before="200" w:after="120"/>
        <w:ind w:left="1980" w:hanging="1980"/>
        <w:jc w:val="both"/>
        <w:rPr>
          <w:b/>
          <w:sz w:val="24"/>
          <w:szCs w:val="24"/>
          <w:lang w:val="en-GB" w:eastAsia="en-GB"/>
        </w:rPr>
      </w:pPr>
      <w:bookmarkStart w:id="350" w:name="_Ref81825781"/>
      <w:r w:rsidRPr="00A970EA">
        <w:rPr>
          <w:b/>
          <w:bCs/>
        </w:rPr>
        <w:t xml:space="preserve">Table </w:t>
      </w:r>
      <w:r w:rsidRPr="00A970EA">
        <w:rPr>
          <w:b/>
          <w:bCs/>
        </w:rPr>
        <w:fldChar w:fldCharType="begin"/>
      </w:r>
      <w:r w:rsidRPr="00A970EA">
        <w:rPr>
          <w:b/>
          <w:bCs/>
        </w:rPr>
        <w:instrText xml:space="preserve"> STYLEREF 2 \s </w:instrText>
      </w:r>
      <w:r w:rsidRPr="00A970EA">
        <w:rPr>
          <w:b/>
          <w:bCs/>
        </w:rPr>
        <w:fldChar w:fldCharType="separate"/>
      </w:r>
      <w:r w:rsidR="00662F32">
        <w:rPr>
          <w:b/>
          <w:bCs/>
          <w:noProof/>
        </w:rPr>
        <w:t>9.3</w:t>
      </w:r>
      <w:r w:rsidRPr="00A970EA">
        <w:rPr>
          <w:b/>
          <w:bCs/>
        </w:rPr>
        <w:fldChar w:fldCharType="end"/>
      </w:r>
      <w:r w:rsidRPr="00A970EA">
        <w:rPr>
          <w:b/>
          <w:bCs/>
        </w:rPr>
        <w:noBreakHyphen/>
      </w:r>
      <w:r w:rsidRPr="00A970EA">
        <w:rPr>
          <w:b/>
          <w:bCs/>
        </w:rPr>
        <w:fldChar w:fldCharType="begin"/>
      </w:r>
      <w:r w:rsidRPr="00A970EA">
        <w:rPr>
          <w:b/>
          <w:bCs/>
        </w:rPr>
        <w:instrText xml:space="preserve"> SEQ Table \* ARABIC \s 2 </w:instrText>
      </w:r>
      <w:r w:rsidRPr="00A970EA">
        <w:rPr>
          <w:b/>
          <w:bCs/>
        </w:rPr>
        <w:fldChar w:fldCharType="separate"/>
      </w:r>
      <w:r w:rsidR="00662F32">
        <w:rPr>
          <w:b/>
          <w:bCs/>
          <w:noProof/>
        </w:rPr>
        <w:t>4</w:t>
      </w:r>
      <w:r w:rsidRPr="00A970EA">
        <w:rPr>
          <w:b/>
          <w:bCs/>
        </w:rPr>
        <w:fldChar w:fldCharType="end"/>
      </w:r>
      <w:bookmarkEnd w:id="350"/>
      <w:r w:rsidRPr="00A970EA">
        <w:rPr>
          <w:b/>
          <w:bCs/>
        </w:rPr>
        <w:t xml:space="preserve">: </w:t>
      </w:r>
      <w:r w:rsidRPr="00A970EA">
        <w:rPr>
          <w:b/>
          <w:bCs/>
        </w:rPr>
        <w:tab/>
        <w:t>Fluxapyroxad</w:t>
      </w:r>
      <w:r w:rsidRPr="0026404C">
        <w:rPr>
          <w:b/>
        </w:rPr>
        <w:t>: Screening step calculation of the acute risk for mammals due to the use of BAS 7</w:t>
      </w:r>
      <w:r>
        <w:rPr>
          <w:b/>
        </w:rPr>
        <w:t>36</w:t>
      </w:r>
      <w:r w:rsidRPr="0026404C">
        <w:rPr>
          <w:b/>
        </w:rPr>
        <w:t> 00 F for the crop group “</w:t>
      </w:r>
      <w:r>
        <w:rPr>
          <w:b/>
        </w:rPr>
        <w:t>cereals</w:t>
      </w:r>
      <w:r w:rsidRPr="0026404C">
        <w:rPr>
          <w:b/>
        </w:rPr>
        <w:t>”</w:t>
      </w:r>
      <w:r w:rsidRPr="0026404C">
        <w:rPr>
          <w:b/>
          <w:sz w:val="24"/>
          <w:szCs w:val="24"/>
          <w:lang w:val="en-GB"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3"/>
        <w:gridCol w:w="981"/>
        <w:gridCol w:w="84"/>
        <w:gridCol w:w="1131"/>
        <w:gridCol w:w="1133"/>
        <w:gridCol w:w="1131"/>
        <w:gridCol w:w="1275"/>
        <w:gridCol w:w="1380"/>
        <w:gridCol w:w="1019"/>
      </w:tblGrid>
      <w:tr w:rsidR="00E51CDD" w:rsidRPr="0026404C" w14:paraId="741DDD75" w14:textId="77777777" w:rsidTr="009938D9">
        <w:trPr>
          <w:trHeight w:val="436"/>
        </w:trPr>
        <w:tc>
          <w:tcPr>
            <w:tcW w:w="649" w:type="pct"/>
            <w:vMerge w:val="restart"/>
            <w:shd w:val="clear" w:color="auto" w:fill="auto"/>
            <w:vAlign w:val="center"/>
          </w:tcPr>
          <w:p w14:paraId="3E647D47" w14:textId="77777777" w:rsidR="00E51CDD" w:rsidRPr="0026404C" w:rsidRDefault="00E51CDD" w:rsidP="009938D9">
            <w:pPr>
              <w:widowControl w:val="0"/>
              <w:spacing w:beforeLines="40" w:before="96" w:afterLines="40" w:after="96"/>
              <w:rPr>
                <w:rFonts w:eastAsia="Batang"/>
                <w:b/>
                <w:bCs/>
                <w:sz w:val="16"/>
                <w:szCs w:val="16"/>
                <w:lang w:eastAsia="zh-CN"/>
              </w:rPr>
            </w:pPr>
            <w:r w:rsidRPr="0026404C">
              <w:rPr>
                <w:rFonts w:eastAsia="Batang"/>
                <w:b/>
                <w:bCs/>
                <w:sz w:val="16"/>
                <w:szCs w:val="16"/>
                <w:lang w:eastAsia="zh-CN"/>
              </w:rPr>
              <w:t>Data from Data_Entry worksheet</w:t>
            </w:r>
          </w:p>
        </w:tc>
        <w:tc>
          <w:tcPr>
            <w:tcW w:w="570" w:type="pct"/>
            <w:gridSpan w:val="2"/>
            <w:shd w:val="clear" w:color="auto" w:fill="auto"/>
            <w:vAlign w:val="center"/>
          </w:tcPr>
          <w:p w14:paraId="3026DF11"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Crop</w:t>
            </w:r>
          </w:p>
        </w:tc>
        <w:tc>
          <w:tcPr>
            <w:tcW w:w="605" w:type="pct"/>
            <w:shd w:val="clear" w:color="auto" w:fill="auto"/>
            <w:vAlign w:val="center"/>
          </w:tcPr>
          <w:p w14:paraId="5E485395"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Application rate (kg a.s./ha)</w:t>
            </w:r>
          </w:p>
        </w:tc>
        <w:tc>
          <w:tcPr>
            <w:tcW w:w="606" w:type="pct"/>
            <w:shd w:val="clear" w:color="auto" w:fill="auto"/>
            <w:vAlign w:val="center"/>
          </w:tcPr>
          <w:p w14:paraId="17BB751D"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Number of applications</w:t>
            </w:r>
          </w:p>
        </w:tc>
        <w:tc>
          <w:tcPr>
            <w:tcW w:w="605" w:type="pct"/>
            <w:shd w:val="clear" w:color="auto" w:fill="auto"/>
            <w:vAlign w:val="center"/>
          </w:tcPr>
          <w:p w14:paraId="0D88A84A"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Application Interval</w:t>
            </w:r>
          </w:p>
        </w:tc>
        <w:tc>
          <w:tcPr>
            <w:tcW w:w="682" w:type="pct"/>
            <w:shd w:val="clear" w:color="auto" w:fill="auto"/>
            <w:vAlign w:val="center"/>
          </w:tcPr>
          <w:p w14:paraId="4EACCEB0"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DT</w:t>
            </w:r>
            <w:r w:rsidRPr="0026404C">
              <w:rPr>
                <w:rFonts w:eastAsia="Batang"/>
                <w:b/>
                <w:bCs/>
                <w:sz w:val="16"/>
                <w:szCs w:val="16"/>
                <w:vertAlign w:val="subscript"/>
                <w:lang w:eastAsia="zh-CN"/>
              </w:rPr>
              <w:t>50</w:t>
            </w:r>
          </w:p>
        </w:tc>
        <w:tc>
          <w:tcPr>
            <w:tcW w:w="738" w:type="pct"/>
            <w:shd w:val="clear" w:color="auto" w:fill="auto"/>
            <w:vAlign w:val="center"/>
          </w:tcPr>
          <w:p w14:paraId="56820B6E"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LD</w:t>
            </w:r>
            <w:r w:rsidRPr="0026404C">
              <w:rPr>
                <w:rFonts w:eastAsia="Batang"/>
                <w:b/>
                <w:bCs/>
                <w:sz w:val="16"/>
                <w:szCs w:val="16"/>
                <w:vertAlign w:val="subscript"/>
                <w:lang w:eastAsia="zh-CN"/>
              </w:rPr>
              <w:t>50</w:t>
            </w:r>
          </w:p>
        </w:tc>
        <w:tc>
          <w:tcPr>
            <w:tcW w:w="546" w:type="pct"/>
            <w:shd w:val="clear" w:color="auto" w:fill="auto"/>
            <w:noWrap/>
            <w:vAlign w:val="center"/>
          </w:tcPr>
          <w:p w14:paraId="55FD5E77" w14:textId="77777777" w:rsidR="00E51CDD" w:rsidRPr="0026404C" w:rsidRDefault="00E51CDD" w:rsidP="009938D9">
            <w:pPr>
              <w:widowControl w:val="0"/>
              <w:spacing w:beforeLines="40" w:before="96" w:afterLines="40" w:after="96"/>
              <w:rPr>
                <w:rFonts w:eastAsia="Batang"/>
                <w:sz w:val="16"/>
                <w:szCs w:val="16"/>
                <w:lang w:eastAsia="zh-CN"/>
              </w:rPr>
            </w:pPr>
            <w:r w:rsidRPr="0026404C">
              <w:rPr>
                <w:rFonts w:eastAsia="Batang"/>
                <w:sz w:val="16"/>
                <w:szCs w:val="16"/>
                <w:lang w:eastAsia="zh-CN"/>
              </w:rPr>
              <w:t> </w:t>
            </w:r>
          </w:p>
        </w:tc>
      </w:tr>
      <w:tr w:rsidR="00E51CDD" w:rsidRPr="0026404C" w14:paraId="54C0DD8E" w14:textId="77777777" w:rsidTr="009938D9">
        <w:trPr>
          <w:trHeight w:val="60"/>
        </w:trPr>
        <w:tc>
          <w:tcPr>
            <w:tcW w:w="649" w:type="pct"/>
            <w:vMerge/>
            <w:shd w:val="clear" w:color="auto" w:fill="auto"/>
            <w:vAlign w:val="center"/>
          </w:tcPr>
          <w:p w14:paraId="38C5D6BA" w14:textId="77777777" w:rsidR="00E51CDD" w:rsidRPr="0026404C" w:rsidRDefault="00E51CDD" w:rsidP="009938D9">
            <w:pPr>
              <w:widowControl w:val="0"/>
              <w:spacing w:beforeLines="40" w:before="96" w:afterLines="40" w:after="96"/>
              <w:rPr>
                <w:rFonts w:eastAsia="Batang"/>
                <w:b/>
                <w:bCs/>
                <w:sz w:val="16"/>
                <w:szCs w:val="16"/>
                <w:lang w:eastAsia="zh-CN"/>
              </w:rPr>
            </w:pPr>
          </w:p>
        </w:tc>
        <w:tc>
          <w:tcPr>
            <w:tcW w:w="570" w:type="pct"/>
            <w:gridSpan w:val="2"/>
            <w:shd w:val="clear" w:color="auto" w:fill="auto"/>
            <w:vAlign w:val="center"/>
          </w:tcPr>
          <w:p w14:paraId="18CB75EA" w14:textId="77777777" w:rsidR="00E51CDD" w:rsidRPr="0026404C" w:rsidRDefault="00E51CDD" w:rsidP="009938D9">
            <w:pPr>
              <w:widowControl w:val="0"/>
              <w:spacing w:beforeLines="40" w:before="96" w:afterLines="40" w:after="96"/>
              <w:jc w:val="center"/>
              <w:rPr>
                <w:rFonts w:eastAsia="Batang"/>
                <w:sz w:val="16"/>
                <w:szCs w:val="16"/>
                <w:lang w:eastAsia="zh-CN"/>
              </w:rPr>
            </w:pPr>
            <w:r>
              <w:rPr>
                <w:rFonts w:eastAsia="Batang"/>
                <w:sz w:val="16"/>
                <w:szCs w:val="16"/>
                <w:lang w:eastAsia="zh-CN"/>
              </w:rPr>
              <w:t>Cereals</w:t>
            </w:r>
          </w:p>
        </w:tc>
        <w:tc>
          <w:tcPr>
            <w:tcW w:w="605" w:type="pct"/>
            <w:shd w:val="clear" w:color="auto" w:fill="auto"/>
            <w:vAlign w:val="center"/>
          </w:tcPr>
          <w:p w14:paraId="50774B67" w14:textId="77777777" w:rsidR="00E51CDD" w:rsidRPr="0026404C" w:rsidRDefault="00E51CDD" w:rsidP="009938D9">
            <w:pPr>
              <w:widowControl w:val="0"/>
              <w:jc w:val="center"/>
              <w:rPr>
                <w:sz w:val="16"/>
                <w:szCs w:val="16"/>
              </w:rPr>
            </w:pPr>
            <w:r w:rsidRPr="0026404C">
              <w:rPr>
                <w:sz w:val="16"/>
                <w:szCs w:val="16"/>
              </w:rPr>
              <w:t>0.</w:t>
            </w:r>
            <w:r>
              <w:rPr>
                <w:sz w:val="16"/>
                <w:szCs w:val="16"/>
              </w:rPr>
              <w:t>100</w:t>
            </w:r>
          </w:p>
        </w:tc>
        <w:tc>
          <w:tcPr>
            <w:tcW w:w="606" w:type="pct"/>
            <w:shd w:val="clear" w:color="auto" w:fill="auto"/>
            <w:vAlign w:val="center"/>
          </w:tcPr>
          <w:p w14:paraId="0B948D81" w14:textId="77777777" w:rsidR="00E51CDD" w:rsidRPr="0026404C" w:rsidRDefault="00E51CDD" w:rsidP="009938D9">
            <w:pPr>
              <w:widowControl w:val="0"/>
              <w:jc w:val="center"/>
              <w:rPr>
                <w:sz w:val="16"/>
                <w:szCs w:val="16"/>
              </w:rPr>
            </w:pPr>
            <w:r w:rsidRPr="0026404C">
              <w:rPr>
                <w:sz w:val="16"/>
                <w:szCs w:val="16"/>
              </w:rPr>
              <w:t>2</w:t>
            </w:r>
          </w:p>
        </w:tc>
        <w:tc>
          <w:tcPr>
            <w:tcW w:w="605" w:type="pct"/>
            <w:shd w:val="clear" w:color="auto" w:fill="auto"/>
            <w:vAlign w:val="center"/>
          </w:tcPr>
          <w:p w14:paraId="5D055498" w14:textId="77777777" w:rsidR="00E51CDD" w:rsidRPr="0026404C" w:rsidRDefault="00E51CDD" w:rsidP="009938D9">
            <w:pPr>
              <w:widowControl w:val="0"/>
              <w:jc w:val="center"/>
              <w:rPr>
                <w:sz w:val="16"/>
                <w:szCs w:val="16"/>
              </w:rPr>
            </w:pPr>
            <w:r>
              <w:rPr>
                <w:sz w:val="16"/>
                <w:szCs w:val="16"/>
              </w:rPr>
              <w:t>21</w:t>
            </w:r>
          </w:p>
        </w:tc>
        <w:tc>
          <w:tcPr>
            <w:tcW w:w="682" w:type="pct"/>
            <w:shd w:val="clear" w:color="auto" w:fill="auto"/>
            <w:vAlign w:val="center"/>
          </w:tcPr>
          <w:p w14:paraId="308B370B" w14:textId="77777777" w:rsidR="00E51CDD" w:rsidRPr="0026404C" w:rsidRDefault="00E51CDD" w:rsidP="009938D9">
            <w:pPr>
              <w:widowControl w:val="0"/>
              <w:jc w:val="center"/>
              <w:rPr>
                <w:sz w:val="16"/>
                <w:szCs w:val="16"/>
              </w:rPr>
            </w:pPr>
            <w:r w:rsidRPr="0026404C">
              <w:rPr>
                <w:sz w:val="16"/>
                <w:szCs w:val="16"/>
              </w:rPr>
              <w:t>10.0</w:t>
            </w:r>
          </w:p>
        </w:tc>
        <w:tc>
          <w:tcPr>
            <w:tcW w:w="738" w:type="pct"/>
            <w:shd w:val="clear" w:color="auto" w:fill="auto"/>
            <w:noWrap/>
            <w:vAlign w:val="center"/>
          </w:tcPr>
          <w:p w14:paraId="67CB6315" w14:textId="77777777" w:rsidR="00E51CDD" w:rsidRPr="0026404C" w:rsidRDefault="00E51CDD" w:rsidP="009938D9">
            <w:pPr>
              <w:widowControl w:val="0"/>
              <w:jc w:val="center"/>
              <w:rPr>
                <w:sz w:val="16"/>
                <w:szCs w:val="16"/>
              </w:rPr>
            </w:pPr>
            <w:r w:rsidRPr="0026404C">
              <w:rPr>
                <w:sz w:val="16"/>
                <w:szCs w:val="16"/>
              </w:rPr>
              <w:t>&gt;</w:t>
            </w:r>
            <w:r>
              <w:rPr>
                <w:sz w:val="16"/>
                <w:szCs w:val="16"/>
              </w:rPr>
              <w:t> </w:t>
            </w:r>
            <w:r w:rsidRPr="0026404C">
              <w:rPr>
                <w:sz w:val="16"/>
                <w:szCs w:val="16"/>
              </w:rPr>
              <w:t>2000.0</w:t>
            </w:r>
          </w:p>
        </w:tc>
        <w:tc>
          <w:tcPr>
            <w:tcW w:w="546" w:type="pct"/>
            <w:shd w:val="clear" w:color="auto" w:fill="auto"/>
            <w:noWrap/>
            <w:vAlign w:val="center"/>
          </w:tcPr>
          <w:p w14:paraId="00A4FE6A" w14:textId="77777777" w:rsidR="00E51CDD" w:rsidRPr="0026404C" w:rsidRDefault="00E51CDD" w:rsidP="009938D9">
            <w:pPr>
              <w:widowControl w:val="0"/>
              <w:spacing w:beforeLines="40" w:before="96" w:afterLines="40" w:after="96"/>
              <w:rPr>
                <w:rFonts w:eastAsia="Batang"/>
                <w:sz w:val="16"/>
                <w:szCs w:val="16"/>
                <w:lang w:eastAsia="zh-CN"/>
              </w:rPr>
            </w:pPr>
            <w:r w:rsidRPr="0026404C">
              <w:rPr>
                <w:rFonts w:eastAsia="Batang"/>
                <w:sz w:val="16"/>
                <w:szCs w:val="16"/>
                <w:lang w:eastAsia="zh-CN"/>
              </w:rPr>
              <w:t> </w:t>
            </w:r>
          </w:p>
        </w:tc>
      </w:tr>
      <w:tr w:rsidR="00E51CDD" w:rsidRPr="0026404C" w14:paraId="5C750CE6" w14:textId="77777777" w:rsidTr="009938D9">
        <w:trPr>
          <w:trHeight w:val="300"/>
        </w:trPr>
        <w:tc>
          <w:tcPr>
            <w:tcW w:w="5000" w:type="pct"/>
            <w:gridSpan w:val="9"/>
            <w:shd w:val="clear" w:color="auto" w:fill="auto"/>
            <w:noWrap/>
            <w:vAlign w:val="center"/>
          </w:tcPr>
          <w:p w14:paraId="06008182" w14:textId="77777777" w:rsidR="00E51CDD" w:rsidRPr="0026404C" w:rsidRDefault="00E51CDD" w:rsidP="009938D9">
            <w:pPr>
              <w:widowControl w:val="0"/>
              <w:spacing w:beforeLines="40" w:before="96" w:afterLines="40" w:after="96"/>
              <w:rPr>
                <w:rFonts w:eastAsia="Batang"/>
                <w:b/>
                <w:bCs/>
                <w:sz w:val="16"/>
                <w:szCs w:val="16"/>
                <w:lang w:eastAsia="zh-CN"/>
              </w:rPr>
            </w:pPr>
            <w:r w:rsidRPr="0026404C">
              <w:rPr>
                <w:rFonts w:eastAsia="Batang"/>
                <w:b/>
                <w:bCs/>
                <w:sz w:val="16"/>
                <w:szCs w:val="16"/>
                <w:lang w:eastAsia="zh-CN"/>
              </w:rPr>
              <w:t>Screening step:</w:t>
            </w:r>
          </w:p>
        </w:tc>
      </w:tr>
      <w:tr w:rsidR="00E51CDD" w:rsidRPr="0026404C" w14:paraId="6BB0CA2C" w14:textId="77777777" w:rsidTr="009938D9">
        <w:trPr>
          <w:trHeight w:val="930"/>
        </w:trPr>
        <w:tc>
          <w:tcPr>
            <w:tcW w:w="649" w:type="pct"/>
            <w:vMerge w:val="restart"/>
            <w:shd w:val="clear" w:color="auto" w:fill="auto"/>
            <w:vAlign w:val="center"/>
          </w:tcPr>
          <w:p w14:paraId="117CC7FF" w14:textId="77777777" w:rsidR="00E51CDD" w:rsidRPr="0026404C" w:rsidRDefault="00E51CDD" w:rsidP="009938D9">
            <w:pPr>
              <w:widowControl w:val="0"/>
              <w:spacing w:beforeLines="40" w:before="96" w:afterLines="40" w:after="96"/>
              <w:rPr>
                <w:rFonts w:eastAsia="Batang"/>
                <w:sz w:val="16"/>
                <w:szCs w:val="16"/>
                <w:lang w:eastAsia="zh-CN"/>
              </w:rPr>
            </w:pPr>
            <w:r w:rsidRPr="0026404C">
              <w:rPr>
                <w:rFonts w:eastAsia="Batang"/>
                <w:sz w:val="16"/>
                <w:szCs w:val="16"/>
                <w:lang w:eastAsia="zh-CN"/>
              </w:rPr>
              <w:t>Acute risk assessment screening step</w:t>
            </w:r>
          </w:p>
        </w:tc>
        <w:tc>
          <w:tcPr>
            <w:tcW w:w="525" w:type="pct"/>
            <w:shd w:val="clear" w:color="auto" w:fill="auto"/>
            <w:vAlign w:val="center"/>
          </w:tcPr>
          <w:p w14:paraId="7B113F73"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Indicator species</w:t>
            </w:r>
          </w:p>
        </w:tc>
        <w:tc>
          <w:tcPr>
            <w:tcW w:w="650" w:type="pct"/>
            <w:gridSpan w:val="2"/>
            <w:shd w:val="clear" w:color="auto" w:fill="auto"/>
            <w:vAlign w:val="center"/>
          </w:tcPr>
          <w:p w14:paraId="5FBC195C"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Shortcut value</w:t>
            </w:r>
          </w:p>
        </w:tc>
        <w:tc>
          <w:tcPr>
            <w:tcW w:w="606" w:type="pct"/>
            <w:shd w:val="clear" w:color="auto" w:fill="auto"/>
            <w:vAlign w:val="center"/>
          </w:tcPr>
          <w:p w14:paraId="4E25BE8E"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Daily Dietary Dose (single)</w:t>
            </w:r>
          </w:p>
        </w:tc>
        <w:tc>
          <w:tcPr>
            <w:tcW w:w="605" w:type="pct"/>
            <w:shd w:val="clear" w:color="auto" w:fill="auto"/>
            <w:vAlign w:val="center"/>
          </w:tcPr>
          <w:p w14:paraId="190C2927"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MAF (90)</w:t>
            </w:r>
          </w:p>
        </w:tc>
        <w:tc>
          <w:tcPr>
            <w:tcW w:w="682" w:type="pct"/>
            <w:shd w:val="clear" w:color="auto" w:fill="auto"/>
            <w:vAlign w:val="center"/>
          </w:tcPr>
          <w:p w14:paraId="02936F4D"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Daily Dietary Dose (Multiple)</w:t>
            </w:r>
          </w:p>
        </w:tc>
        <w:tc>
          <w:tcPr>
            <w:tcW w:w="738" w:type="pct"/>
            <w:shd w:val="clear" w:color="auto" w:fill="auto"/>
            <w:vAlign w:val="center"/>
          </w:tcPr>
          <w:p w14:paraId="6D217DF0"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TER</w:t>
            </w:r>
          </w:p>
        </w:tc>
        <w:tc>
          <w:tcPr>
            <w:tcW w:w="546" w:type="pct"/>
            <w:vMerge w:val="restart"/>
            <w:shd w:val="clear" w:color="auto" w:fill="auto"/>
            <w:vAlign w:val="center"/>
          </w:tcPr>
          <w:p w14:paraId="38E95D65"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Cs/>
                <w:sz w:val="16"/>
                <w:szCs w:val="16"/>
                <w:lang w:eastAsia="zh-CN"/>
              </w:rPr>
              <w:t>No refinement step required</w:t>
            </w:r>
          </w:p>
        </w:tc>
      </w:tr>
      <w:tr w:rsidR="00E51CDD" w:rsidRPr="0026404C" w14:paraId="512C1DFD" w14:textId="77777777" w:rsidTr="009938D9">
        <w:trPr>
          <w:trHeight w:val="515"/>
        </w:trPr>
        <w:tc>
          <w:tcPr>
            <w:tcW w:w="649" w:type="pct"/>
            <w:vMerge/>
            <w:shd w:val="clear" w:color="auto" w:fill="auto"/>
            <w:vAlign w:val="center"/>
          </w:tcPr>
          <w:p w14:paraId="7848FC0F" w14:textId="77777777" w:rsidR="00E51CDD" w:rsidRPr="0026404C" w:rsidRDefault="00E51CDD" w:rsidP="009938D9">
            <w:pPr>
              <w:widowControl w:val="0"/>
              <w:spacing w:beforeLines="40" w:before="96" w:afterLines="40" w:after="96"/>
              <w:rPr>
                <w:rFonts w:eastAsia="Batang"/>
                <w:sz w:val="16"/>
                <w:szCs w:val="16"/>
                <w:lang w:eastAsia="zh-CN"/>
              </w:rPr>
            </w:pPr>
          </w:p>
        </w:tc>
        <w:tc>
          <w:tcPr>
            <w:tcW w:w="525" w:type="pct"/>
            <w:shd w:val="clear" w:color="auto" w:fill="auto"/>
            <w:vAlign w:val="center"/>
          </w:tcPr>
          <w:p w14:paraId="22FAB1E1" w14:textId="77777777" w:rsidR="00E51CDD" w:rsidRPr="0026404C" w:rsidRDefault="00E51CDD" w:rsidP="009938D9">
            <w:pPr>
              <w:widowControl w:val="0"/>
              <w:spacing w:beforeLines="40" w:before="96" w:afterLines="40" w:after="96"/>
              <w:jc w:val="center"/>
              <w:rPr>
                <w:rFonts w:eastAsia="Batang"/>
                <w:sz w:val="16"/>
                <w:szCs w:val="16"/>
                <w:lang w:eastAsia="zh-CN"/>
              </w:rPr>
            </w:pPr>
            <w:r w:rsidRPr="0026404C">
              <w:rPr>
                <w:rFonts w:eastAsia="Batang"/>
                <w:sz w:val="16"/>
                <w:szCs w:val="16"/>
                <w:lang w:eastAsia="zh-CN"/>
              </w:rPr>
              <w:t>Small herbivorous mammal</w:t>
            </w:r>
          </w:p>
        </w:tc>
        <w:tc>
          <w:tcPr>
            <w:tcW w:w="650" w:type="pct"/>
            <w:gridSpan w:val="2"/>
            <w:shd w:val="clear" w:color="auto" w:fill="auto"/>
            <w:vAlign w:val="center"/>
          </w:tcPr>
          <w:p w14:paraId="0686C3E8" w14:textId="77777777" w:rsidR="00E51CDD" w:rsidRPr="0026404C" w:rsidRDefault="00E51CDD" w:rsidP="009938D9">
            <w:pPr>
              <w:widowControl w:val="0"/>
              <w:jc w:val="center"/>
              <w:rPr>
                <w:sz w:val="16"/>
                <w:szCs w:val="16"/>
              </w:rPr>
            </w:pPr>
            <w:r w:rsidRPr="0026404C">
              <w:rPr>
                <w:sz w:val="16"/>
                <w:szCs w:val="16"/>
              </w:rPr>
              <w:t>118.4</w:t>
            </w:r>
          </w:p>
        </w:tc>
        <w:tc>
          <w:tcPr>
            <w:tcW w:w="606" w:type="pct"/>
            <w:shd w:val="clear" w:color="auto" w:fill="auto"/>
            <w:vAlign w:val="center"/>
          </w:tcPr>
          <w:p w14:paraId="7B165379" w14:textId="77777777" w:rsidR="00E51CDD" w:rsidRPr="004B50B7" w:rsidRDefault="00E51CDD" w:rsidP="009938D9">
            <w:pPr>
              <w:widowControl w:val="0"/>
              <w:jc w:val="center"/>
              <w:rPr>
                <w:sz w:val="16"/>
                <w:szCs w:val="16"/>
              </w:rPr>
            </w:pPr>
            <w:r w:rsidRPr="004B50B7">
              <w:rPr>
                <w:color w:val="000000"/>
                <w:sz w:val="16"/>
                <w:szCs w:val="16"/>
              </w:rPr>
              <w:t>11.84</w:t>
            </w:r>
          </w:p>
        </w:tc>
        <w:tc>
          <w:tcPr>
            <w:tcW w:w="605" w:type="pct"/>
            <w:shd w:val="clear" w:color="auto" w:fill="auto"/>
            <w:vAlign w:val="center"/>
          </w:tcPr>
          <w:p w14:paraId="228D5201" w14:textId="77777777" w:rsidR="00E51CDD" w:rsidRPr="004B50B7" w:rsidRDefault="00E51CDD" w:rsidP="009938D9">
            <w:pPr>
              <w:widowControl w:val="0"/>
              <w:jc w:val="center"/>
              <w:rPr>
                <w:sz w:val="16"/>
                <w:szCs w:val="16"/>
              </w:rPr>
            </w:pPr>
            <w:r w:rsidRPr="004B50B7">
              <w:rPr>
                <w:color w:val="000000"/>
                <w:sz w:val="16"/>
                <w:szCs w:val="16"/>
              </w:rPr>
              <w:t>1.1</w:t>
            </w:r>
          </w:p>
        </w:tc>
        <w:tc>
          <w:tcPr>
            <w:tcW w:w="682" w:type="pct"/>
            <w:shd w:val="clear" w:color="auto" w:fill="auto"/>
            <w:noWrap/>
            <w:vAlign w:val="center"/>
          </w:tcPr>
          <w:p w14:paraId="228FAC62" w14:textId="77777777" w:rsidR="00E51CDD" w:rsidRPr="004B50B7" w:rsidRDefault="00E51CDD" w:rsidP="009938D9">
            <w:pPr>
              <w:widowControl w:val="0"/>
              <w:jc w:val="center"/>
              <w:rPr>
                <w:sz w:val="16"/>
                <w:szCs w:val="16"/>
              </w:rPr>
            </w:pPr>
            <w:r w:rsidRPr="004B50B7">
              <w:rPr>
                <w:color w:val="000000"/>
                <w:sz w:val="16"/>
                <w:szCs w:val="16"/>
              </w:rPr>
              <w:t>13.02</w:t>
            </w:r>
          </w:p>
        </w:tc>
        <w:tc>
          <w:tcPr>
            <w:tcW w:w="738" w:type="pct"/>
            <w:shd w:val="clear" w:color="auto" w:fill="auto"/>
            <w:vAlign w:val="center"/>
          </w:tcPr>
          <w:p w14:paraId="7CD4F208" w14:textId="77777777" w:rsidR="00E51CDD" w:rsidRPr="004B50B7" w:rsidRDefault="00E51CDD" w:rsidP="009938D9">
            <w:pPr>
              <w:widowControl w:val="0"/>
              <w:jc w:val="center"/>
              <w:rPr>
                <w:sz w:val="16"/>
                <w:szCs w:val="16"/>
              </w:rPr>
            </w:pPr>
            <w:r>
              <w:rPr>
                <w:color w:val="000000"/>
                <w:sz w:val="16"/>
                <w:szCs w:val="16"/>
              </w:rPr>
              <w:t>&gt; </w:t>
            </w:r>
            <w:r w:rsidRPr="004B50B7">
              <w:rPr>
                <w:color w:val="000000"/>
                <w:sz w:val="16"/>
                <w:szCs w:val="16"/>
              </w:rPr>
              <w:t>153.6</w:t>
            </w:r>
          </w:p>
        </w:tc>
        <w:tc>
          <w:tcPr>
            <w:tcW w:w="546" w:type="pct"/>
            <w:vMerge/>
            <w:shd w:val="clear" w:color="auto" w:fill="auto"/>
            <w:vAlign w:val="center"/>
          </w:tcPr>
          <w:p w14:paraId="10561339" w14:textId="77777777" w:rsidR="00E51CDD" w:rsidRPr="0026404C" w:rsidRDefault="00E51CDD" w:rsidP="009938D9">
            <w:pPr>
              <w:widowControl w:val="0"/>
              <w:spacing w:beforeLines="40" w:before="96" w:afterLines="40" w:after="96"/>
              <w:rPr>
                <w:rFonts w:eastAsia="Batang"/>
                <w:b/>
                <w:bCs/>
                <w:sz w:val="16"/>
                <w:szCs w:val="16"/>
                <w:lang w:eastAsia="zh-CN"/>
              </w:rPr>
            </w:pPr>
          </w:p>
        </w:tc>
      </w:tr>
    </w:tbl>
    <w:p w14:paraId="24875A2A" w14:textId="77777777" w:rsidR="00E51CDD" w:rsidRDefault="00E51CDD" w:rsidP="00E51CDD"/>
    <w:p w14:paraId="779ABC45" w14:textId="77777777" w:rsidR="00E51CDD" w:rsidRPr="0026404C" w:rsidRDefault="00E51CDD" w:rsidP="00E51CDD">
      <w:r>
        <w:br w:type="page"/>
      </w:r>
    </w:p>
    <w:p w14:paraId="06359A0E" w14:textId="5ACA198C" w:rsidR="00E51CDD" w:rsidRPr="0026404C" w:rsidRDefault="00E51CDD" w:rsidP="00E51CDD">
      <w:pPr>
        <w:ind w:left="1979" w:hanging="1979"/>
        <w:jc w:val="both"/>
        <w:rPr>
          <w:b/>
          <w:sz w:val="24"/>
          <w:szCs w:val="24"/>
          <w:lang w:val="en-GB" w:eastAsia="en-GB"/>
        </w:rPr>
      </w:pPr>
      <w:bookmarkStart w:id="351" w:name="_Ref81825793"/>
      <w:r w:rsidRPr="00A970EA">
        <w:rPr>
          <w:b/>
          <w:bCs/>
        </w:rPr>
        <w:lastRenderedPageBreak/>
        <w:t xml:space="preserve">Table </w:t>
      </w:r>
      <w:r w:rsidRPr="00A970EA">
        <w:rPr>
          <w:b/>
          <w:bCs/>
        </w:rPr>
        <w:fldChar w:fldCharType="begin"/>
      </w:r>
      <w:r w:rsidRPr="00A970EA">
        <w:rPr>
          <w:b/>
          <w:bCs/>
        </w:rPr>
        <w:instrText xml:space="preserve"> STYLEREF 2 \s </w:instrText>
      </w:r>
      <w:r w:rsidRPr="00A970EA">
        <w:rPr>
          <w:b/>
          <w:bCs/>
        </w:rPr>
        <w:fldChar w:fldCharType="separate"/>
      </w:r>
      <w:r w:rsidR="00662F32">
        <w:rPr>
          <w:b/>
          <w:bCs/>
          <w:noProof/>
        </w:rPr>
        <w:t>9.3</w:t>
      </w:r>
      <w:r w:rsidRPr="00A970EA">
        <w:rPr>
          <w:b/>
          <w:bCs/>
        </w:rPr>
        <w:fldChar w:fldCharType="end"/>
      </w:r>
      <w:r w:rsidRPr="00A970EA">
        <w:rPr>
          <w:b/>
          <w:bCs/>
        </w:rPr>
        <w:noBreakHyphen/>
      </w:r>
      <w:r w:rsidRPr="00A970EA">
        <w:rPr>
          <w:b/>
          <w:bCs/>
        </w:rPr>
        <w:fldChar w:fldCharType="begin"/>
      </w:r>
      <w:r w:rsidRPr="00A970EA">
        <w:rPr>
          <w:b/>
          <w:bCs/>
        </w:rPr>
        <w:instrText xml:space="preserve"> SEQ Table \* ARABIC \s 2 </w:instrText>
      </w:r>
      <w:r w:rsidRPr="00A970EA">
        <w:rPr>
          <w:b/>
          <w:bCs/>
        </w:rPr>
        <w:fldChar w:fldCharType="separate"/>
      </w:r>
      <w:r w:rsidR="00662F32">
        <w:rPr>
          <w:b/>
          <w:bCs/>
          <w:noProof/>
        </w:rPr>
        <w:t>5</w:t>
      </w:r>
      <w:r w:rsidRPr="00A970EA">
        <w:rPr>
          <w:b/>
          <w:bCs/>
        </w:rPr>
        <w:fldChar w:fldCharType="end"/>
      </w:r>
      <w:bookmarkEnd w:id="351"/>
      <w:r w:rsidRPr="00A970EA">
        <w:rPr>
          <w:b/>
          <w:bCs/>
        </w:rPr>
        <w:t xml:space="preserve">: </w:t>
      </w:r>
      <w:r w:rsidRPr="00A970EA">
        <w:rPr>
          <w:b/>
          <w:bCs/>
        </w:rPr>
        <w:tab/>
      </w:r>
      <w:r>
        <w:rPr>
          <w:b/>
          <w:bCs/>
        </w:rPr>
        <w:t>Azoxystrobin</w:t>
      </w:r>
      <w:r w:rsidRPr="0026404C">
        <w:rPr>
          <w:b/>
        </w:rPr>
        <w:t>: Screening step calculation of the acute risk for mammals due to the use of BAS 7</w:t>
      </w:r>
      <w:r>
        <w:rPr>
          <w:b/>
        </w:rPr>
        <w:t>36</w:t>
      </w:r>
      <w:r w:rsidRPr="0026404C">
        <w:rPr>
          <w:b/>
        </w:rPr>
        <w:t> 00 F for the crop group “</w:t>
      </w:r>
      <w:r>
        <w:rPr>
          <w:b/>
        </w:rPr>
        <w:t>cereals</w:t>
      </w:r>
      <w:r w:rsidRPr="0026404C">
        <w:rPr>
          <w:b/>
        </w:rPr>
        <w:t>”</w:t>
      </w:r>
      <w:r w:rsidRPr="0026404C">
        <w:rPr>
          <w:b/>
          <w:sz w:val="24"/>
          <w:szCs w:val="24"/>
          <w:lang w:val="en-GB" w:eastAsia="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3"/>
        <w:gridCol w:w="981"/>
        <w:gridCol w:w="84"/>
        <w:gridCol w:w="1131"/>
        <w:gridCol w:w="1133"/>
        <w:gridCol w:w="1131"/>
        <w:gridCol w:w="1275"/>
        <w:gridCol w:w="1380"/>
        <w:gridCol w:w="1019"/>
      </w:tblGrid>
      <w:tr w:rsidR="00E51CDD" w:rsidRPr="0026404C" w14:paraId="71C7C989" w14:textId="77777777" w:rsidTr="009938D9">
        <w:trPr>
          <w:trHeight w:val="436"/>
        </w:trPr>
        <w:tc>
          <w:tcPr>
            <w:tcW w:w="649" w:type="pct"/>
            <w:vMerge w:val="restart"/>
            <w:shd w:val="clear" w:color="auto" w:fill="auto"/>
            <w:vAlign w:val="center"/>
          </w:tcPr>
          <w:p w14:paraId="5163CFA5" w14:textId="77777777" w:rsidR="00E51CDD" w:rsidRPr="0026404C" w:rsidRDefault="00E51CDD" w:rsidP="009938D9">
            <w:pPr>
              <w:widowControl w:val="0"/>
              <w:spacing w:beforeLines="40" w:before="96" w:afterLines="40" w:after="96"/>
              <w:rPr>
                <w:rFonts w:eastAsia="Batang"/>
                <w:b/>
                <w:bCs/>
                <w:sz w:val="16"/>
                <w:szCs w:val="16"/>
                <w:lang w:eastAsia="zh-CN"/>
              </w:rPr>
            </w:pPr>
            <w:r w:rsidRPr="0026404C">
              <w:rPr>
                <w:rFonts w:eastAsia="Batang"/>
                <w:b/>
                <w:bCs/>
                <w:sz w:val="16"/>
                <w:szCs w:val="16"/>
                <w:lang w:eastAsia="zh-CN"/>
              </w:rPr>
              <w:t>Data from Data_Entry worksheet</w:t>
            </w:r>
          </w:p>
        </w:tc>
        <w:tc>
          <w:tcPr>
            <w:tcW w:w="570" w:type="pct"/>
            <w:gridSpan w:val="2"/>
            <w:shd w:val="clear" w:color="auto" w:fill="auto"/>
            <w:vAlign w:val="center"/>
          </w:tcPr>
          <w:p w14:paraId="7D21CE7F"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Crop</w:t>
            </w:r>
          </w:p>
        </w:tc>
        <w:tc>
          <w:tcPr>
            <w:tcW w:w="605" w:type="pct"/>
            <w:shd w:val="clear" w:color="auto" w:fill="auto"/>
            <w:vAlign w:val="center"/>
          </w:tcPr>
          <w:p w14:paraId="14FBCB03"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Application rate (kg a.s./ha)</w:t>
            </w:r>
          </w:p>
        </w:tc>
        <w:tc>
          <w:tcPr>
            <w:tcW w:w="606" w:type="pct"/>
            <w:shd w:val="clear" w:color="auto" w:fill="auto"/>
            <w:vAlign w:val="center"/>
          </w:tcPr>
          <w:p w14:paraId="1AA7E2B9"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Number of applications</w:t>
            </w:r>
          </w:p>
        </w:tc>
        <w:tc>
          <w:tcPr>
            <w:tcW w:w="605" w:type="pct"/>
            <w:shd w:val="clear" w:color="auto" w:fill="auto"/>
            <w:vAlign w:val="center"/>
          </w:tcPr>
          <w:p w14:paraId="35B18243"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Application Interval</w:t>
            </w:r>
          </w:p>
        </w:tc>
        <w:tc>
          <w:tcPr>
            <w:tcW w:w="682" w:type="pct"/>
            <w:shd w:val="clear" w:color="auto" w:fill="auto"/>
            <w:vAlign w:val="center"/>
          </w:tcPr>
          <w:p w14:paraId="75DF20E0"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DT</w:t>
            </w:r>
            <w:r w:rsidRPr="0026404C">
              <w:rPr>
                <w:rFonts w:eastAsia="Batang"/>
                <w:b/>
                <w:bCs/>
                <w:sz w:val="16"/>
                <w:szCs w:val="16"/>
                <w:vertAlign w:val="subscript"/>
                <w:lang w:eastAsia="zh-CN"/>
              </w:rPr>
              <w:t>50</w:t>
            </w:r>
          </w:p>
        </w:tc>
        <w:tc>
          <w:tcPr>
            <w:tcW w:w="738" w:type="pct"/>
            <w:shd w:val="clear" w:color="auto" w:fill="auto"/>
            <w:vAlign w:val="center"/>
          </w:tcPr>
          <w:p w14:paraId="0BFD17BB"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LD</w:t>
            </w:r>
            <w:r w:rsidRPr="0026404C">
              <w:rPr>
                <w:rFonts w:eastAsia="Batang"/>
                <w:b/>
                <w:bCs/>
                <w:sz w:val="16"/>
                <w:szCs w:val="16"/>
                <w:vertAlign w:val="subscript"/>
                <w:lang w:eastAsia="zh-CN"/>
              </w:rPr>
              <w:t>50</w:t>
            </w:r>
          </w:p>
        </w:tc>
        <w:tc>
          <w:tcPr>
            <w:tcW w:w="546" w:type="pct"/>
            <w:shd w:val="clear" w:color="auto" w:fill="auto"/>
            <w:noWrap/>
            <w:vAlign w:val="center"/>
          </w:tcPr>
          <w:p w14:paraId="07841935" w14:textId="77777777" w:rsidR="00E51CDD" w:rsidRPr="0026404C" w:rsidRDefault="00E51CDD" w:rsidP="009938D9">
            <w:pPr>
              <w:widowControl w:val="0"/>
              <w:spacing w:beforeLines="40" w:before="96" w:afterLines="40" w:after="96"/>
              <w:rPr>
                <w:rFonts w:eastAsia="Batang"/>
                <w:sz w:val="16"/>
                <w:szCs w:val="16"/>
                <w:lang w:eastAsia="zh-CN"/>
              </w:rPr>
            </w:pPr>
            <w:r w:rsidRPr="0026404C">
              <w:rPr>
                <w:rFonts w:eastAsia="Batang"/>
                <w:sz w:val="16"/>
                <w:szCs w:val="16"/>
                <w:lang w:eastAsia="zh-CN"/>
              </w:rPr>
              <w:t> </w:t>
            </w:r>
          </w:p>
        </w:tc>
      </w:tr>
      <w:tr w:rsidR="00E51CDD" w:rsidRPr="0026404C" w14:paraId="166D4239" w14:textId="77777777" w:rsidTr="009938D9">
        <w:trPr>
          <w:trHeight w:val="60"/>
        </w:trPr>
        <w:tc>
          <w:tcPr>
            <w:tcW w:w="649" w:type="pct"/>
            <w:vMerge/>
            <w:shd w:val="clear" w:color="auto" w:fill="auto"/>
            <w:vAlign w:val="center"/>
          </w:tcPr>
          <w:p w14:paraId="188B9152" w14:textId="77777777" w:rsidR="00E51CDD" w:rsidRPr="0026404C" w:rsidRDefault="00E51CDD" w:rsidP="009938D9">
            <w:pPr>
              <w:widowControl w:val="0"/>
              <w:spacing w:beforeLines="40" w:before="96" w:afterLines="40" w:after="96"/>
              <w:rPr>
                <w:rFonts w:eastAsia="Batang"/>
                <w:b/>
                <w:bCs/>
                <w:sz w:val="16"/>
                <w:szCs w:val="16"/>
                <w:lang w:eastAsia="zh-CN"/>
              </w:rPr>
            </w:pPr>
          </w:p>
        </w:tc>
        <w:tc>
          <w:tcPr>
            <w:tcW w:w="570" w:type="pct"/>
            <w:gridSpan w:val="2"/>
            <w:shd w:val="clear" w:color="auto" w:fill="auto"/>
            <w:vAlign w:val="center"/>
          </w:tcPr>
          <w:p w14:paraId="3D52B6B4" w14:textId="77777777" w:rsidR="00E51CDD" w:rsidRPr="0026404C" w:rsidRDefault="00E51CDD" w:rsidP="009938D9">
            <w:pPr>
              <w:widowControl w:val="0"/>
              <w:spacing w:beforeLines="40" w:before="96" w:afterLines="40" w:after="96"/>
              <w:jc w:val="center"/>
              <w:rPr>
                <w:rFonts w:eastAsia="Batang"/>
                <w:sz w:val="16"/>
                <w:szCs w:val="16"/>
                <w:lang w:eastAsia="zh-CN"/>
              </w:rPr>
            </w:pPr>
            <w:r>
              <w:rPr>
                <w:rFonts w:eastAsia="Batang"/>
                <w:sz w:val="16"/>
                <w:szCs w:val="16"/>
                <w:lang w:eastAsia="zh-CN"/>
              </w:rPr>
              <w:t>Cereals</w:t>
            </w:r>
          </w:p>
        </w:tc>
        <w:tc>
          <w:tcPr>
            <w:tcW w:w="605" w:type="pct"/>
            <w:shd w:val="clear" w:color="auto" w:fill="auto"/>
            <w:vAlign w:val="center"/>
          </w:tcPr>
          <w:p w14:paraId="2937EEE9" w14:textId="77777777" w:rsidR="00E51CDD" w:rsidRPr="0026404C" w:rsidRDefault="00E51CDD" w:rsidP="009938D9">
            <w:pPr>
              <w:widowControl w:val="0"/>
              <w:jc w:val="center"/>
              <w:rPr>
                <w:sz w:val="16"/>
                <w:szCs w:val="16"/>
              </w:rPr>
            </w:pPr>
            <w:r w:rsidRPr="0026404C">
              <w:rPr>
                <w:sz w:val="16"/>
                <w:szCs w:val="16"/>
              </w:rPr>
              <w:t>0.</w:t>
            </w:r>
            <w:r>
              <w:rPr>
                <w:sz w:val="16"/>
                <w:szCs w:val="16"/>
              </w:rPr>
              <w:t>1</w:t>
            </w:r>
            <w:r w:rsidRPr="0026404C">
              <w:rPr>
                <w:sz w:val="16"/>
                <w:szCs w:val="16"/>
              </w:rPr>
              <w:t>5</w:t>
            </w:r>
            <w:r>
              <w:rPr>
                <w:sz w:val="16"/>
                <w:szCs w:val="16"/>
              </w:rPr>
              <w:t>0</w:t>
            </w:r>
          </w:p>
        </w:tc>
        <w:tc>
          <w:tcPr>
            <w:tcW w:w="606" w:type="pct"/>
            <w:shd w:val="clear" w:color="auto" w:fill="auto"/>
            <w:vAlign w:val="center"/>
          </w:tcPr>
          <w:p w14:paraId="61D51A1D" w14:textId="77777777" w:rsidR="00E51CDD" w:rsidRPr="0026404C" w:rsidRDefault="00E51CDD" w:rsidP="009938D9">
            <w:pPr>
              <w:widowControl w:val="0"/>
              <w:jc w:val="center"/>
              <w:rPr>
                <w:sz w:val="16"/>
                <w:szCs w:val="16"/>
              </w:rPr>
            </w:pPr>
            <w:r w:rsidRPr="0026404C">
              <w:rPr>
                <w:sz w:val="16"/>
                <w:szCs w:val="16"/>
              </w:rPr>
              <w:t>2</w:t>
            </w:r>
          </w:p>
        </w:tc>
        <w:tc>
          <w:tcPr>
            <w:tcW w:w="605" w:type="pct"/>
            <w:shd w:val="clear" w:color="auto" w:fill="auto"/>
            <w:vAlign w:val="center"/>
          </w:tcPr>
          <w:p w14:paraId="4757B096" w14:textId="77777777" w:rsidR="00E51CDD" w:rsidRPr="0026404C" w:rsidRDefault="00E51CDD" w:rsidP="009938D9">
            <w:pPr>
              <w:widowControl w:val="0"/>
              <w:jc w:val="center"/>
              <w:rPr>
                <w:sz w:val="16"/>
                <w:szCs w:val="16"/>
              </w:rPr>
            </w:pPr>
            <w:r>
              <w:rPr>
                <w:sz w:val="16"/>
                <w:szCs w:val="16"/>
              </w:rPr>
              <w:t>21</w:t>
            </w:r>
          </w:p>
        </w:tc>
        <w:tc>
          <w:tcPr>
            <w:tcW w:w="682" w:type="pct"/>
            <w:shd w:val="clear" w:color="auto" w:fill="auto"/>
            <w:vAlign w:val="center"/>
          </w:tcPr>
          <w:p w14:paraId="0A1E5378" w14:textId="77777777" w:rsidR="00E51CDD" w:rsidRPr="0026404C" w:rsidRDefault="00E51CDD" w:rsidP="009938D9">
            <w:pPr>
              <w:widowControl w:val="0"/>
              <w:jc w:val="center"/>
              <w:rPr>
                <w:sz w:val="16"/>
                <w:szCs w:val="16"/>
              </w:rPr>
            </w:pPr>
            <w:r w:rsidRPr="0026404C">
              <w:rPr>
                <w:sz w:val="16"/>
                <w:szCs w:val="16"/>
              </w:rPr>
              <w:t>10.0</w:t>
            </w:r>
          </w:p>
        </w:tc>
        <w:tc>
          <w:tcPr>
            <w:tcW w:w="738" w:type="pct"/>
            <w:shd w:val="clear" w:color="auto" w:fill="auto"/>
            <w:noWrap/>
            <w:vAlign w:val="center"/>
          </w:tcPr>
          <w:p w14:paraId="4874E86D" w14:textId="77777777" w:rsidR="00E51CDD" w:rsidRPr="0026404C" w:rsidRDefault="00E51CDD" w:rsidP="009938D9">
            <w:pPr>
              <w:widowControl w:val="0"/>
              <w:jc w:val="center"/>
              <w:rPr>
                <w:sz w:val="16"/>
                <w:szCs w:val="16"/>
              </w:rPr>
            </w:pPr>
            <w:r w:rsidRPr="0026404C">
              <w:rPr>
                <w:sz w:val="16"/>
                <w:szCs w:val="16"/>
              </w:rPr>
              <w:t>&gt;</w:t>
            </w:r>
            <w:r>
              <w:rPr>
                <w:sz w:val="16"/>
                <w:szCs w:val="16"/>
              </w:rPr>
              <w:t> 5</w:t>
            </w:r>
            <w:r w:rsidRPr="0026404C">
              <w:rPr>
                <w:sz w:val="16"/>
                <w:szCs w:val="16"/>
              </w:rPr>
              <w:t>000.0</w:t>
            </w:r>
          </w:p>
        </w:tc>
        <w:tc>
          <w:tcPr>
            <w:tcW w:w="546" w:type="pct"/>
            <w:shd w:val="clear" w:color="auto" w:fill="auto"/>
            <w:noWrap/>
            <w:vAlign w:val="center"/>
          </w:tcPr>
          <w:p w14:paraId="48058287" w14:textId="77777777" w:rsidR="00E51CDD" w:rsidRPr="0026404C" w:rsidRDefault="00E51CDD" w:rsidP="009938D9">
            <w:pPr>
              <w:widowControl w:val="0"/>
              <w:spacing w:beforeLines="40" w:before="96" w:afterLines="40" w:after="96"/>
              <w:rPr>
                <w:rFonts w:eastAsia="Batang"/>
                <w:sz w:val="16"/>
                <w:szCs w:val="16"/>
                <w:lang w:eastAsia="zh-CN"/>
              </w:rPr>
            </w:pPr>
            <w:r w:rsidRPr="0026404C">
              <w:rPr>
                <w:rFonts w:eastAsia="Batang"/>
                <w:sz w:val="16"/>
                <w:szCs w:val="16"/>
                <w:lang w:eastAsia="zh-CN"/>
              </w:rPr>
              <w:t> </w:t>
            </w:r>
          </w:p>
        </w:tc>
      </w:tr>
      <w:tr w:rsidR="00E51CDD" w:rsidRPr="0026404C" w14:paraId="1D066ECD" w14:textId="77777777" w:rsidTr="009938D9">
        <w:trPr>
          <w:trHeight w:val="300"/>
        </w:trPr>
        <w:tc>
          <w:tcPr>
            <w:tcW w:w="5000" w:type="pct"/>
            <w:gridSpan w:val="9"/>
            <w:shd w:val="clear" w:color="auto" w:fill="auto"/>
            <w:noWrap/>
            <w:vAlign w:val="center"/>
          </w:tcPr>
          <w:p w14:paraId="78923BA0" w14:textId="77777777" w:rsidR="00E51CDD" w:rsidRPr="0026404C" w:rsidRDefault="00E51CDD" w:rsidP="009938D9">
            <w:pPr>
              <w:widowControl w:val="0"/>
              <w:spacing w:beforeLines="40" w:before="96" w:afterLines="40" w:after="96"/>
              <w:rPr>
                <w:rFonts w:eastAsia="Batang"/>
                <w:b/>
                <w:bCs/>
                <w:sz w:val="16"/>
                <w:szCs w:val="16"/>
                <w:lang w:eastAsia="zh-CN"/>
              </w:rPr>
            </w:pPr>
            <w:r w:rsidRPr="0026404C">
              <w:rPr>
                <w:rFonts w:eastAsia="Batang"/>
                <w:b/>
                <w:bCs/>
                <w:sz w:val="16"/>
                <w:szCs w:val="16"/>
                <w:lang w:eastAsia="zh-CN"/>
              </w:rPr>
              <w:t>Screening step:</w:t>
            </w:r>
          </w:p>
        </w:tc>
      </w:tr>
      <w:tr w:rsidR="00E51CDD" w:rsidRPr="0026404C" w14:paraId="22D499C5" w14:textId="77777777" w:rsidTr="009938D9">
        <w:trPr>
          <w:trHeight w:val="930"/>
        </w:trPr>
        <w:tc>
          <w:tcPr>
            <w:tcW w:w="649" w:type="pct"/>
            <w:vMerge w:val="restart"/>
            <w:shd w:val="clear" w:color="auto" w:fill="auto"/>
            <w:vAlign w:val="center"/>
          </w:tcPr>
          <w:p w14:paraId="1AD563C0" w14:textId="77777777" w:rsidR="00E51CDD" w:rsidRPr="0026404C" w:rsidRDefault="00E51CDD" w:rsidP="009938D9">
            <w:pPr>
              <w:widowControl w:val="0"/>
              <w:spacing w:beforeLines="40" w:before="96" w:afterLines="40" w:after="96"/>
              <w:rPr>
                <w:rFonts w:eastAsia="Batang"/>
                <w:sz w:val="16"/>
                <w:szCs w:val="16"/>
                <w:lang w:eastAsia="zh-CN"/>
              </w:rPr>
            </w:pPr>
            <w:r w:rsidRPr="0026404C">
              <w:rPr>
                <w:rFonts w:eastAsia="Batang"/>
                <w:sz w:val="16"/>
                <w:szCs w:val="16"/>
                <w:lang w:eastAsia="zh-CN"/>
              </w:rPr>
              <w:t>Acute risk assessment screening step</w:t>
            </w:r>
          </w:p>
        </w:tc>
        <w:tc>
          <w:tcPr>
            <w:tcW w:w="525" w:type="pct"/>
            <w:shd w:val="clear" w:color="auto" w:fill="auto"/>
            <w:vAlign w:val="center"/>
          </w:tcPr>
          <w:p w14:paraId="076075D9"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Indicator species</w:t>
            </w:r>
          </w:p>
        </w:tc>
        <w:tc>
          <w:tcPr>
            <w:tcW w:w="650" w:type="pct"/>
            <w:gridSpan w:val="2"/>
            <w:shd w:val="clear" w:color="auto" w:fill="auto"/>
            <w:vAlign w:val="center"/>
          </w:tcPr>
          <w:p w14:paraId="1A95C90C"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Shortcut value</w:t>
            </w:r>
          </w:p>
        </w:tc>
        <w:tc>
          <w:tcPr>
            <w:tcW w:w="606" w:type="pct"/>
            <w:shd w:val="clear" w:color="auto" w:fill="auto"/>
            <w:vAlign w:val="center"/>
          </w:tcPr>
          <w:p w14:paraId="7F4E8236"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Daily Dietary Dose (single)</w:t>
            </w:r>
          </w:p>
        </w:tc>
        <w:tc>
          <w:tcPr>
            <w:tcW w:w="605" w:type="pct"/>
            <w:shd w:val="clear" w:color="auto" w:fill="auto"/>
            <w:vAlign w:val="center"/>
          </w:tcPr>
          <w:p w14:paraId="01E63BF2"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MAF (90)</w:t>
            </w:r>
          </w:p>
        </w:tc>
        <w:tc>
          <w:tcPr>
            <w:tcW w:w="682" w:type="pct"/>
            <w:shd w:val="clear" w:color="auto" w:fill="auto"/>
            <w:vAlign w:val="center"/>
          </w:tcPr>
          <w:p w14:paraId="78965CCC"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Daily Dietary Dose (Multiple)</w:t>
            </w:r>
          </w:p>
        </w:tc>
        <w:tc>
          <w:tcPr>
            <w:tcW w:w="738" w:type="pct"/>
            <w:shd w:val="clear" w:color="auto" w:fill="auto"/>
            <w:vAlign w:val="center"/>
          </w:tcPr>
          <w:p w14:paraId="3B72EC8E"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TER</w:t>
            </w:r>
          </w:p>
        </w:tc>
        <w:tc>
          <w:tcPr>
            <w:tcW w:w="546" w:type="pct"/>
            <w:vMerge w:val="restart"/>
            <w:shd w:val="clear" w:color="auto" w:fill="auto"/>
            <w:vAlign w:val="center"/>
          </w:tcPr>
          <w:p w14:paraId="42E9EA76"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Cs/>
                <w:sz w:val="16"/>
                <w:szCs w:val="16"/>
                <w:lang w:eastAsia="zh-CN"/>
              </w:rPr>
              <w:t>No refinement step required</w:t>
            </w:r>
          </w:p>
        </w:tc>
      </w:tr>
      <w:tr w:rsidR="00E51CDD" w:rsidRPr="0026404C" w14:paraId="57A862D0" w14:textId="77777777" w:rsidTr="009938D9">
        <w:trPr>
          <w:trHeight w:val="515"/>
        </w:trPr>
        <w:tc>
          <w:tcPr>
            <w:tcW w:w="649" w:type="pct"/>
            <w:vMerge/>
            <w:shd w:val="clear" w:color="auto" w:fill="auto"/>
            <w:vAlign w:val="center"/>
          </w:tcPr>
          <w:p w14:paraId="511BD96E" w14:textId="77777777" w:rsidR="00E51CDD" w:rsidRPr="0026404C" w:rsidRDefault="00E51CDD" w:rsidP="009938D9">
            <w:pPr>
              <w:widowControl w:val="0"/>
              <w:spacing w:beforeLines="40" w:before="96" w:afterLines="40" w:after="96"/>
              <w:rPr>
                <w:rFonts w:eastAsia="Batang"/>
                <w:sz w:val="16"/>
                <w:szCs w:val="16"/>
                <w:lang w:eastAsia="zh-CN"/>
              </w:rPr>
            </w:pPr>
          </w:p>
        </w:tc>
        <w:tc>
          <w:tcPr>
            <w:tcW w:w="525" w:type="pct"/>
            <w:shd w:val="clear" w:color="auto" w:fill="auto"/>
            <w:vAlign w:val="center"/>
          </w:tcPr>
          <w:p w14:paraId="34713A03" w14:textId="77777777" w:rsidR="00E51CDD" w:rsidRPr="0026404C" w:rsidRDefault="00E51CDD" w:rsidP="009938D9">
            <w:pPr>
              <w:widowControl w:val="0"/>
              <w:spacing w:beforeLines="40" w:before="96" w:afterLines="40" w:after="96"/>
              <w:jc w:val="center"/>
              <w:rPr>
                <w:rFonts w:eastAsia="Batang"/>
                <w:sz w:val="16"/>
                <w:szCs w:val="16"/>
                <w:lang w:eastAsia="zh-CN"/>
              </w:rPr>
            </w:pPr>
            <w:r w:rsidRPr="0026404C">
              <w:rPr>
                <w:rFonts w:eastAsia="Batang"/>
                <w:sz w:val="16"/>
                <w:szCs w:val="16"/>
                <w:lang w:eastAsia="zh-CN"/>
              </w:rPr>
              <w:t>Small herbivorous mammal</w:t>
            </w:r>
          </w:p>
        </w:tc>
        <w:tc>
          <w:tcPr>
            <w:tcW w:w="650" w:type="pct"/>
            <w:gridSpan w:val="2"/>
            <w:shd w:val="clear" w:color="auto" w:fill="auto"/>
            <w:vAlign w:val="center"/>
          </w:tcPr>
          <w:p w14:paraId="76CB51E3" w14:textId="77777777" w:rsidR="00E51CDD" w:rsidRPr="0026404C" w:rsidRDefault="00E51CDD" w:rsidP="009938D9">
            <w:pPr>
              <w:widowControl w:val="0"/>
              <w:jc w:val="center"/>
              <w:rPr>
                <w:sz w:val="16"/>
                <w:szCs w:val="16"/>
              </w:rPr>
            </w:pPr>
            <w:r w:rsidRPr="0026404C">
              <w:rPr>
                <w:sz w:val="16"/>
                <w:szCs w:val="16"/>
              </w:rPr>
              <w:t>118.4</w:t>
            </w:r>
          </w:p>
        </w:tc>
        <w:tc>
          <w:tcPr>
            <w:tcW w:w="606" w:type="pct"/>
            <w:shd w:val="clear" w:color="auto" w:fill="auto"/>
            <w:vAlign w:val="center"/>
          </w:tcPr>
          <w:p w14:paraId="711178A2" w14:textId="77777777" w:rsidR="00E51CDD" w:rsidRPr="00672779" w:rsidRDefault="00E51CDD" w:rsidP="009938D9">
            <w:pPr>
              <w:widowControl w:val="0"/>
              <w:jc w:val="center"/>
              <w:rPr>
                <w:sz w:val="16"/>
                <w:szCs w:val="16"/>
              </w:rPr>
            </w:pPr>
            <w:r w:rsidRPr="00672779">
              <w:rPr>
                <w:color w:val="000000"/>
                <w:sz w:val="16"/>
                <w:szCs w:val="16"/>
              </w:rPr>
              <w:t>17.76</w:t>
            </w:r>
          </w:p>
        </w:tc>
        <w:tc>
          <w:tcPr>
            <w:tcW w:w="605" w:type="pct"/>
            <w:shd w:val="clear" w:color="auto" w:fill="auto"/>
            <w:vAlign w:val="center"/>
          </w:tcPr>
          <w:p w14:paraId="464DD2C4" w14:textId="77777777" w:rsidR="00E51CDD" w:rsidRPr="00672779" w:rsidRDefault="00E51CDD" w:rsidP="009938D9">
            <w:pPr>
              <w:widowControl w:val="0"/>
              <w:jc w:val="center"/>
              <w:rPr>
                <w:sz w:val="16"/>
                <w:szCs w:val="16"/>
              </w:rPr>
            </w:pPr>
            <w:r w:rsidRPr="00672779">
              <w:rPr>
                <w:color w:val="000000"/>
                <w:sz w:val="16"/>
                <w:szCs w:val="16"/>
              </w:rPr>
              <w:t>1.1</w:t>
            </w:r>
          </w:p>
        </w:tc>
        <w:tc>
          <w:tcPr>
            <w:tcW w:w="682" w:type="pct"/>
            <w:shd w:val="clear" w:color="auto" w:fill="auto"/>
            <w:noWrap/>
            <w:vAlign w:val="center"/>
          </w:tcPr>
          <w:p w14:paraId="329B830B" w14:textId="77777777" w:rsidR="00E51CDD" w:rsidRPr="00672779" w:rsidRDefault="00E51CDD" w:rsidP="009938D9">
            <w:pPr>
              <w:widowControl w:val="0"/>
              <w:jc w:val="center"/>
              <w:rPr>
                <w:sz w:val="16"/>
                <w:szCs w:val="16"/>
              </w:rPr>
            </w:pPr>
            <w:r w:rsidRPr="00672779">
              <w:rPr>
                <w:color w:val="000000"/>
                <w:sz w:val="16"/>
                <w:szCs w:val="16"/>
              </w:rPr>
              <w:t>19.54</w:t>
            </w:r>
          </w:p>
        </w:tc>
        <w:tc>
          <w:tcPr>
            <w:tcW w:w="738" w:type="pct"/>
            <w:shd w:val="clear" w:color="auto" w:fill="auto"/>
            <w:vAlign w:val="center"/>
          </w:tcPr>
          <w:p w14:paraId="12FF0EAC" w14:textId="77777777" w:rsidR="00E51CDD" w:rsidRPr="00672779" w:rsidRDefault="00E51CDD" w:rsidP="009938D9">
            <w:pPr>
              <w:widowControl w:val="0"/>
              <w:jc w:val="center"/>
              <w:rPr>
                <w:sz w:val="16"/>
                <w:szCs w:val="16"/>
              </w:rPr>
            </w:pPr>
            <w:r>
              <w:rPr>
                <w:color w:val="000000"/>
                <w:sz w:val="16"/>
                <w:szCs w:val="16"/>
              </w:rPr>
              <w:t>&gt; </w:t>
            </w:r>
            <w:r w:rsidRPr="00672779">
              <w:rPr>
                <w:color w:val="000000"/>
                <w:sz w:val="16"/>
                <w:szCs w:val="16"/>
              </w:rPr>
              <w:t>255.9</w:t>
            </w:r>
          </w:p>
        </w:tc>
        <w:tc>
          <w:tcPr>
            <w:tcW w:w="546" w:type="pct"/>
            <w:vMerge/>
            <w:shd w:val="clear" w:color="auto" w:fill="auto"/>
            <w:vAlign w:val="center"/>
          </w:tcPr>
          <w:p w14:paraId="5DE28F82" w14:textId="77777777" w:rsidR="00E51CDD" w:rsidRPr="0026404C" w:rsidRDefault="00E51CDD" w:rsidP="009938D9">
            <w:pPr>
              <w:widowControl w:val="0"/>
              <w:spacing w:beforeLines="40" w:before="96" w:afterLines="40" w:after="96"/>
              <w:rPr>
                <w:rFonts w:eastAsia="Batang"/>
                <w:b/>
                <w:bCs/>
                <w:sz w:val="16"/>
                <w:szCs w:val="16"/>
                <w:lang w:eastAsia="zh-CN"/>
              </w:rPr>
            </w:pPr>
          </w:p>
        </w:tc>
      </w:tr>
    </w:tbl>
    <w:p w14:paraId="71E3B7AD" w14:textId="77777777" w:rsidR="00E51CDD" w:rsidRDefault="00E51CDD" w:rsidP="00E51CDD"/>
    <w:p w14:paraId="480A5A30" w14:textId="77777777" w:rsidR="00E51CDD" w:rsidRDefault="00E51CDD" w:rsidP="00E51CDD"/>
    <w:p w14:paraId="5032C478" w14:textId="77777777" w:rsidR="00E51CDD" w:rsidRPr="0026404C" w:rsidRDefault="00E51CDD" w:rsidP="00E51CDD">
      <w:pPr>
        <w:widowControl w:val="0"/>
        <w:jc w:val="both"/>
        <w:rPr>
          <w:b/>
          <w:iCs/>
          <w:lang w:val="en-GB"/>
        </w:rPr>
      </w:pPr>
      <w:r w:rsidRPr="0026404C">
        <w:rPr>
          <w:b/>
          <w:iCs/>
          <w:lang w:val="en-GB"/>
        </w:rPr>
        <w:t xml:space="preserve">Reproductive risk assessment </w:t>
      </w:r>
    </w:p>
    <w:p w14:paraId="46A8120D" w14:textId="77777777" w:rsidR="00E51CDD" w:rsidRPr="0026404C" w:rsidRDefault="00E51CDD" w:rsidP="00E51CDD">
      <w:pPr>
        <w:widowControl w:val="0"/>
        <w:jc w:val="both"/>
        <w:rPr>
          <w:lang w:val="en-GB" w:eastAsia="en-US"/>
        </w:rPr>
      </w:pPr>
    </w:p>
    <w:p w14:paraId="38C94A20" w14:textId="526941D9" w:rsidR="00E51CDD" w:rsidRPr="00535AD4" w:rsidRDefault="00E51CDD" w:rsidP="00E51CDD">
      <w:pPr>
        <w:widowControl w:val="0"/>
        <w:tabs>
          <w:tab w:val="left" w:pos="720"/>
        </w:tabs>
        <w:jc w:val="both"/>
      </w:pPr>
      <w:r w:rsidRPr="0026404C">
        <w:rPr>
          <w:lang w:val="en-GB"/>
        </w:rPr>
        <w:t>The dietary TER reproductive values for the screening step and tier 1 risk assessment are presented i</w:t>
      </w:r>
      <w:r>
        <w:rPr>
          <w:lang w:val="en-GB"/>
        </w:rPr>
        <w:t xml:space="preserve">n </w:t>
      </w:r>
      <w:r w:rsidRPr="000F5A78">
        <w:rPr>
          <w:lang w:val="en-GB"/>
        </w:rPr>
        <w:fldChar w:fldCharType="begin"/>
      </w:r>
      <w:r w:rsidRPr="000F5A78">
        <w:rPr>
          <w:lang w:val="en-GB"/>
        </w:rPr>
        <w:instrText xml:space="preserve"> REF _Ref439852674 \h  \* MERGEFORMAT </w:instrText>
      </w:r>
      <w:r w:rsidRPr="000F5A78">
        <w:rPr>
          <w:lang w:val="en-GB"/>
        </w:rPr>
      </w:r>
      <w:r w:rsidRPr="000F5A78">
        <w:rPr>
          <w:lang w:val="en-GB"/>
        </w:rPr>
        <w:fldChar w:fldCharType="separate"/>
      </w:r>
      <w:r w:rsidR="00662F32" w:rsidRPr="00662F32">
        <w:t xml:space="preserve">Table </w:t>
      </w:r>
      <w:r w:rsidR="00662F32" w:rsidRPr="00662F32">
        <w:rPr>
          <w:noProof/>
        </w:rPr>
        <w:t>9.3</w:t>
      </w:r>
      <w:r w:rsidR="00662F32" w:rsidRPr="00662F32">
        <w:rPr>
          <w:noProof/>
        </w:rPr>
        <w:noBreakHyphen/>
        <w:t>6</w:t>
      </w:r>
      <w:r w:rsidRPr="000F5A78">
        <w:rPr>
          <w:lang w:val="en-GB"/>
        </w:rPr>
        <w:fldChar w:fldCharType="end"/>
      </w:r>
      <w:r w:rsidRPr="000F5A78">
        <w:rPr>
          <w:lang w:val="en-GB"/>
        </w:rPr>
        <w:t xml:space="preserve"> </w:t>
      </w:r>
      <w:r w:rsidRPr="000F5A78">
        <w:t xml:space="preserve">for fluxapyroxad and in </w:t>
      </w:r>
      <w:r w:rsidRPr="000F5A78">
        <w:fldChar w:fldCharType="begin"/>
      </w:r>
      <w:r w:rsidRPr="000F5A78">
        <w:instrText xml:space="preserve"> REF _Ref81826376 \h  \* MERGEFORMAT </w:instrText>
      </w:r>
      <w:r w:rsidRPr="000F5A78">
        <w:fldChar w:fldCharType="separate"/>
      </w:r>
      <w:r w:rsidR="00662F32" w:rsidRPr="00662F32">
        <w:t xml:space="preserve">Table </w:t>
      </w:r>
      <w:r w:rsidR="00662F32" w:rsidRPr="00662F32">
        <w:rPr>
          <w:noProof/>
        </w:rPr>
        <w:t>9.3</w:t>
      </w:r>
      <w:r w:rsidR="00662F32" w:rsidRPr="00662F32">
        <w:rPr>
          <w:noProof/>
        </w:rPr>
        <w:noBreakHyphen/>
        <w:t>7</w:t>
      </w:r>
      <w:r w:rsidRPr="000F5A78">
        <w:fldChar w:fldCharType="end"/>
      </w:r>
      <w:r w:rsidRPr="000F5A78">
        <w:t xml:space="preserve"> for</w:t>
      </w:r>
      <w:r w:rsidRPr="0026404C">
        <w:t xml:space="preserve"> </w:t>
      </w:r>
      <w:r>
        <w:t>azoxystrobin</w:t>
      </w:r>
      <w:r w:rsidRPr="0026404C">
        <w:t xml:space="preserve">. </w:t>
      </w:r>
      <w:r w:rsidRPr="009045D7">
        <w:rPr>
          <w:lang w:val="en-GB"/>
        </w:rPr>
        <w:t>All the TER</w:t>
      </w:r>
      <w:r w:rsidRPr="009045D7">
        <w:rPr>
          <w:vertAlign w:val="subscript"/>
          <w:lang w:val="en-GB"/>
        </w:rPr>
        <w:t>LT</w:t>
      </w:r>
      <w:r w:rsidRPr="009045D7">
        <w:rPr>
          <w:lang w:val="en-GB"/>
        </w:rPr>
        <w:t xml:space="preserve"> values at the screening step or at tier 1 are above the relevant trigger of 5 for acceptability of reproductive effects.</w:t>
      </w:r>
    </w:p>
    <w:p w14:paraId="1D2D7974" w14:textId="77777777" w:rsidR="00E51CDD" w:rsidRDefault="00E51CDD" w:rsidP="00E51CDD">
      <w:pPr>
        <w:widowControl w:val="0"/>
        <w:tabs>
          <w:tab w:val="left" w:pos="720"/>
        </w:tabs>
        <w:jc w:val="both"/>
        <w:rPr>
          <w:color w:val="0033CC"/>
          <w:lang w:val="en-GB"/>
        </w:rPr>
      </w:pPr>
    </w:p>
    <w:p w14:paraId="74992A15" w14:textId="2189E71E" w:rsidR="00E51CDD" w:rsidRPr="0026404C" w:rsidRDefault="00E51CDD" w:rsidP="00E51CDD">
      <w:pPr>
        <w:widowControl w:val="0"/>
        <w:ind w:left="1980" w:hanging="1980"/>
        <w:jc w:val="both"/>
        <w:rPr>
          <w:b/>
        </w:rPr>
      </w:pPr>
      <w:bookmarkStart w:id="352" w:name="_Ref439852674"/>
      <w:r w:rsidRPr="0026404C">
        <w:rPr>
          <w:b/>
        </w:rPr>
        <w:t xml:space="preserve">Table </w:t>
      </w:r>
      <w:r w:rsidRPr="0026404C">
        <w:rPr>
          <w:b/>
        </w:rPr>
        <w:fldChar w:fldCharType="begin"/>
      </w:r>
      <w:r w:rsidRPr="0026404C">
        <w:rPr>
          <w:b/>
        </w:rPr>
        <w:instrText xml:space="preserve"> STYLEREF 2 \s </w:instrText>
      </w:r>
      <w:r w:rsidRPr="0026404C">
        <w:rPr>
          <w:b/>
        </w:rPr>
        <w:fldChar w:fldCharType="separate"/>
      </w:r>
      <w:r w:rsidR="00662F32">
        <w:rPr>
          <w:b/>
          <w:noProof/>
        </w:rPr>
        <w:t>9.3</w:t>
      </w:r>
      <w:r w:rsidRPr="0026404C">
        <w:rPr>
          <w:b/>
        </w:rPr>
        <w:fldChar w:fldCharType="end"/>
      </w:r>
      <w:r w:rsidRPr="0026404C">
        <w:rPr>
          <w:b/>
        </w:rPr>
        <w:noBreakHyphen/>
      </w:r>
      <w:r w:rsidRPr="0026404C">
        <w:rPr>
          <w:b/>
        </w:rPr>
        <w:fldChar w:fldCharType="begin"/>
      </w:r>
      <w:r w:rsidRPr="0026404C">
        <w:rPr>
          <w:b/>
        </w:rPr>
        <w:instrText xml:space="preserve"> SEQ Table \* ARABIC \s 2 </w:instrText>
      </w:r>
      <w:r w:rsidRPr="0026404C">
        <w:rPr>
          <w:b/>
        </w:rPr>
        <w:fldChar w:fldCharType="separate"/>
      </w:r>
      <w:r w:rsidR="00662F32">
        <w:rPr>
          <w:b/>
          <w:noProof/>
        </w:rPr>
        <w:t>6</w:t>
      </w:r>
      <w:r w:rsidRPr="0026404C">
        <w:rPr>
          <w:b/>
        </w:rPr>
        <w:fldChar w:fldCharType="end"/>
      </w:r>
      <w:bookmarkEnd w:id="352"/>
      <w:r w:rsidRPr="0026404C">
        <w:rPr>
          <w:b/>
        </w:rPr>
        <w:t xml:space="preserve">: </w:t>
      </w:r>
      <w:r w:rsidRPr="0026404C">
        <w:rPr>
          <w:b/>
        </w:rPr>
        <w:tab/>
        <w:t>Fluxapyroxad: Screening step and tier 1 calculations of the long-term/reproductive risk for mammals due to the use of BAS 7</w:t>
      </w:r>
      <w:r>
        <w:rPr>
          <w:b/>
        </w:rPr>
        <w:t>36</w:t>
      </w:r>
      <w:r w:rsidRPr="0026404C">
        <w:rPr>
          <w:b/>
        </w:rPr>
        <w:t> 00 F for the crop group “</w:t>
      </w:r>
      <w:r>
        <w:rPr>
          <w:b/>
        </w:rPr>
        <w:t>cereals</w:t>
      </w:r>
      <w:r w:rsidRPr="0026404C">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4"/>
        <w:gridCol w:w="1191"/>
        <w:gridCol w:w="1224"/>
        <w:gridCol w:w="1183"/>
        <w:gridCol w:w="1140"/>
        <w:gridCol w:w="13"/>
        <w:gridCol w:w="1122"/>
        <w:gridCol w:w="1135"/>
        <w:gridCol w:w="1125"/>
      </w:tblGrid>
      <w:tr w:rsidR="00E51CDD" w:rsidRPr="0026404C" w14:paraId="7F2B256A" w14:textId="77777777" w:rsidTr="009938D9">
        <w:trPr>
          <w:trHeight w:val="796"/>
        </w:trPr>
        <w:tc>
          <w:tcPr>
            <w:tcW w:w="649" w:type="pct"/>
            <w:vMerge w:val="restart"/>
            <w:shd w:val="clear" w:color="auto" w:fill="auto"/>
            <w:vAlign w:val="center"/>
          </w:tcPr>
          <w:p w14:paraId="32F06AC1" w14:textId="77777777" w:rsidR="00E51CDD" w:rsidRPr="0026404C" w:rsidRDefault="00E51CDD" w:rsidP="009938D9">
            <w:pPr>
              <w:widowControl w:val="0"/>
              <w:spacing w:beforeLines="40" w:before="96" w:afterLines="40" w:after="96"/>
              <w:rPr>
                <w:rFonts w:eastAsia="Batang"/>
                <w:b/>
                <w:bCs/>
                <w:sz w:val="16"/>
                <w:szCs w:val="16"/>
                <w:lang w:eastAsia="zh-CN"/>
              </w:rPr>
            </w:pPr>
            <w:r w:rsidRPr="0026404C">
              <w:rPr>
                <w:rFonts w:eastAsia="Batang"/>
                <w:b/>
                <w:bCs/>
                <w:sz w:val="16"/>
                <w:szCs w:val="16"/>
                <w:lang w:eastAsia="zh-CN"/>
              </w:rPr>
              <w:t>Data from Data_Entry worksheet</w:t>
            </w:r>
          </w:p>
        </w:tc>
        <w:tc>
          <w:tcPr>
            <w:tcW w:w="637" w:type="pct"/>
            <w:shd w:val="clear" w:color="auto" w:fill="auto"/>
            <w:vAlign w:val="center"/>
          </w:tcPr>
          <w:p w14:paraId="4C3C4328"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Crop</w:t>
            </w:r>
          </w:p>
        </w:tc>
        <w:tc>
          <w:tcPr>
            <w:tcW w:w="655" w:type="pct"/>
            <w:shd w:val="clear" w:color="auto" w:fill="auto"/>
            <w:vAlign w:val="center"/>
          </w:tcPr>
          <w:p w14:paraId="3EE93597"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Application rate (kg a.s./ha)</w:t>
            </w:r>
          </w:p>
        </w:tc>
        <w:tc>
          <w:tcPr>
            <w:tcW w:w="633" w:type="pct"/>
            <w:shd w:val="clear" w:color="auto" w:fill="auto"/>
            <w:vAlign w:val="center"/>
          </w:tcPr>
          <w:p w14:paraId="13B9B674"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Number of applications</w:t>
            </w:r>
          </w:p>
        </w:tc>
        <w:tc>
          <w:tcPr>
            <w:tcW w:w="617" w:type="pct"/>
            <w:gridSpan w:val="2"/>
            <w:shd w:val="clear" w:color="auto" w:fill="auto"/>
            <w:vAlign w:val="center"/>
          </w:tcPr>
          <w:p w14:paraId="56993663"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Application Interval</w:t>
            </w:r>
          </w:p>
        </w:tc>
        <w:tc>
          <w:tcPr>
            <w:tcW w:w="600" w:type="pct"/>
            <w:shd w:val="clear" w:color="auto" w:fill="auto"/>
            <w:vAlign w:val="center"/>
          </w:tcPr>
          <w:p w14:paraId="4EC86149"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DT</w:t>
            </w:r>
            <w:r w:rsidRPr="0026404C">
              <w:rPr>
                <w:rFonts w:eastAsia="Batang"/>
                <w:b/>
                <w:bCs/>
                <w:sz w:val="16"/>
                <w:szCs w:val="16"/>
                <w:vertAlign w:val="subscript"/>
                <w:lang w:eastAsia="zh-CN"/>
              </w:rPr>
              <w:t>50</w:t>
            </w:r>
          </w:p>
        </w:tc>
        <w:tc>
          <w:tcPr>
            <w:tcW w:w="607" w:type="pct"/>
            <w:shd w:val="clear" w:color="auto" w:fill="auto"/>
            <w:vAlign w:val="center"/>
          </w:tcPr>
          <w:p w14:paraId="784907E1"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Reproductive End Point (mg/kg b.w./d)</w:t>
            </w:r>
          </w:p>
        </w:tc>
        <w:tc>
          <w:tcPr>
            <w:tcW w:w="602" w:type="pct"/>
            <w:shd w:val="clear" w:color="auto" w:fill="auto"/>
            <w:vAlign w:val="center"/>
          </w:tcPr>
          <w:p w14:paraId="24C04531"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Time weighted average (TWA)</w:t>
            </w:r>
          </w:p>
        </w:tc>
      </w:tr>
      <w:tr w:rsidR="00E51CDD" w:rsidRPr="0026404C" w14:paraId="32BAF988" w14:textId="77777777" w:rsidTr="009938D9">
        <w:trPr>
          <w:trHeight w:val="319"/>
        </w:trPr>
        <w:tc>
          <w:tcPr>
            <w:tcW w:w="649" w:type="pct"/>
            <w:vMerge/>
            <w:shd w:val="clear" w:color="auto" w:fill="auto"/>
            <w:vAlign w:val="center"/>
          </w:tcPr>
          <w:p w14:paraId="354751B0" w14:textId="77777777" w:rsidR="00E51CDD" w:rsidRPr="0026404C" w:rsidRDefault="00E51CDD" w:rsidP="009938D9">
            <w:pPr>
              <w:widowControl w:val="0"/>
              <w:spacing w:beforeLines="40" w:before="96" w:afterLines="40" w:after="96"/>
              <w:rPr>
                <w:rFonts w:eastAsia="Batang"/>
                <w:b/>
                <w:bCs/>
                <w:sz w:val="16"/>
                <w:szCs w:val="16"/>
                <w:lang w:eastAsia="zh-CN"/>
              </w:rPr>
            </w:pPr>
          </w:p>
        </w:tc>
        <w:tc>
          <w:tcPr>
            <w:tcW w:w="637" w:type="pct"/>
            <w:shd w:val="clear" w:color="auto" w:fill="auto"/>
            <w:vAlign w:val="center"/>
          </w:tcPr>
          <w:p w14:paraId="0C15A249" w14:textId="77777777" w:rsidR="00E51CDD" w:rsidRPr="0026404C" w:rsidRDefault="00E51CDD" w:rsidP="009938D9">
            <w:pPr>
              <w:widowControl w:val="0"/>
              <w:spacing w:beforeLines="40" w:before="96" w:afterLines="40" w:after="96"/>
              <w:jc w:val="center"/>
              <w:rPr>
                <w:rFonts w:eastAsia="Batang"/>
                <w:sz w:val="16"/>
                <w:szCs w:val="16"/>
                <w:lang w:eastAsia="zh-CN"/>
              </w:rPr>
            </w:pPr>
            <w:r>
              <w:rPr>
                <w:rFonts w:eastAsia="Batang"/>
                <w:sz w:val="16"/>
                <w:szCs w:val="16"/>
                <w:lang w:eastAsia="zh-CN"/>
              </w:rPr>
              <w:t>Cereals</w:t>
            </w:r>
          </w:p>
        </w:tc>
        <w:tc>
          <w:tcPr>
            <w:tcW w:w="655" w:type="pct"/>
            <w:shd w:val="clear" w:color="auto" w:fill="auto"/>
            <w:vAlign w:val="center"/>
          </w:tcPr>
          <w:p w14:paraId="34FF79BA" w14:textId="77777777" w:rsidR="00E51CDD" w:rsidRPr="0026404C" w:rsidRDefault="00E51CDD" w:rsidP="009938D9">
            <w:pPr>
              <w:widowControl w:val="0"/>
              <w:jc w:val="center"/>
              <w:rPr>
                <w:sz w:val="16"/>
                <w:szCs w:val="16"/>
              </w:rPr>
            </w:pPr>
            <w:r w:rsidRPr="0026404C">
              <w:rPr>
                <w:sz w:val="16"/>
                <w:szCs w:val="16"/>
              </w:rPr>
              <w:t>0.</w:t>
            </w:r>
            <w:r>
              <w:rPr>
                <w:sz w:val="16"/>
                <w:szCs w:val="16"/>
              </w:rPr>
              <w:t>100</w:t>
            </w:r>
          </w:p>
        </w:tc>
        <w:tc>
          <w:tcPr>
            <w:tcW w:w="633" w:type="pct"/>
            <w:shd w:val="clear" w:color="auto" w:fill="auto"/>
            <w:vAlign w:val="center"/>
          </w:tcPr>
          <w:p w14:paraId="47ED98AE" w14:textId="77777777" w:rsidR="00E51CDD" w:rsidRPr="0026404C" w:rsidRDefault="00E51CDD" w:rsidP="009938D9">
            <w:pPr>
              <w:widowControl w:val="0"/>
              <w:jc w:val="center"/>
              <w:rPr>
                <w:sz w:val="16"/>
                <w:szCs w:val="16"/>
              </w:rPr>
            </w:pPr>
            <w:r w:rsidRPr="0026404C">
              <w:rPr>
                <w:sz w:val="16"/>
                <w:szCs w:val="16"/>
              </w:rPr>
              <w:t>2</w:t>
            </w:r>
          </w:p>
        </w:tc>
        <w:tc>
          <w:tcPr>
            <w:tcW w:w="617" w:type="pct"/>
            <w:gridSpan w:val="2"/>
            <w:shd w:val="clear" w:color="auto" w:fill="auto"/>
            <w:vAlign w:val="center"/>
          </w:tcPr>
          <w:p w14:paraId="01072953" w14:textId="77777777" w:rsidR="00E51CDD" w:rsidRPr="0026404C" w:rsidRDefault="00E51CDD" w:rsidP="009938D9">
            <w:pPr>
              <w:widowControl w:val="0"/>
              <w:jc w:val="center"/>
              <w:rPr>
                <w:sz w:val="16"/>
                <w:szCs w:val="16"/>
              </w:rPr>
            </w:pPr>
            <w:r>
              <w:rPr>
                <w:sz w:val="16"/>
                <w:szCs w:val="16"/>
              </w:rPr>
              <w:t>21</w:t>
            </w:r>
          </w:p>
        </w:tc>
        <w:tc>
          <w:tcPr>
            <w:tcW w:w="600" w:type="pct"/>
            <w:shd w:val="clear" w:color="auto" w:fill="auto"/>
            <w:vAlign w:val="center"/>
          </w:tcPr>
          <w:p w14:paraId="0AC90E07" w14:textId="77777777" w:rsidR="00E51CDD" w:rsidRPr="0026404C" w:rsidRDefault="00E51CDD" w:rsidP="009938D9">
            <w:pPr>
              <w:widowControl w:val="0"/>
              <w:jc w:val="center"/>
              <w:rPr>
                <w:sz w:val="16"/>
                <w:szCs w:val="16"/>
              </w:rPr>
            </w:pPr>
            <w:r w:rsidRPr="0026404C">
              <w:rPr>
                <w:sz w:val="16"/>
                <w:szCs w:val="16"/>
              </w:rPr>
              <w:t>10</w:t>
            </w:r>
          </w:p>
        </w:tc>
        <w:tc>
          <w:tcPr>
            <w:tcW w:w="607" w:type="pct"/>
            <w:shd w:val="clear" w:color="auto" w:fill="auto"/>
            <w:noWrap/>
            <w:vAlign w:val="center"/>
          </w:tcPr>
          <w:p w14:paraId="5E2BD0D9" w14:textId="77777777" w:rsidR="00E51CDD" w:rsidRPr="0026404C" w:rsidRDefault="00E51CDD" w:rsidP="009938D9">
            <w:pPr>
              <w:widowControl w:val="0"/>
              <w:jc w:val="center"/>
              <w:rPr>
                <w:sz w:val="16"/>
                <w:szCs w:val="16"/>
              </w:rPr>
            </w:pPr>
            <w:r w:rsidRPr="0026404C">
              <w:rPr>
                <w:sz w:val="16"/>
                <w:szCs w:val="16"/>
              </w:rPr>
              <w:t>10.0</w:t>
            </w:r>
          </w:p>
        </w:tc>
        <w:tc>
          <w:tcPr>
            <w:tcW w:w="602" w:type="pct"/>
            <w:shd w:val="clear" w:color="auto" w:fill="auto"/>
            <w:vAlign w:val="center"/>
          </w:tcPr>
          <w:p w14:paraId="51F803EA" w14:textId="77777777" w:rsidR="00E51CDD" w:rsidRPr="0026404C" w:rsidRDefault="00E51CDD" w:rsidP="009938D9">
            <w:pPr>
              <w:widowControl w:val="0"/>
              <w:jc w:val="center"/>
              <w:rPr>
                <w:sz w:val="16"/>
                <w:szCs w:val="16"/>
              </w:rPr>
            </w:pPr>
            <w:r w:rsidRPr="0026404C">
              <w:rPr>
                <w:sz w:val="16"/>
                <w:szCs w:val="16"/>
              </w:rPr>
              <w:t>0.53</w:t>
            </w:r>
          </w:p>
        </w:tc>
      </w:tr>
      <w:tr w:rsidR="00E51CDD" w:rsidRPr="0026404C" w14:paraId="08654B65" w14:textId="77777777" w:rsidTr="009938D9">
        <w:trPr>
          <w:trHeight w:val="300"/>
        </w:trPr>
        <w:tc>
          <w:tcPr>
            <w:tcW w:w="5000" w:type="pct"/>
            <w:gridSpan w:val="9"/>
            <w:shd w:val="clear" w:color="auto" w:fill="auto"/>
            <w:noWrap/>
            <w:vAlign w:val="center"/>
          </w:tcPr>
          <w:p w14:paraId="4A03A1DC" w14:textId="77777777" w:rsidR="00E51CDD" w:rsidRPr="0026404C" w:rsidRDefault="00E51CDD" w:rsidP="009938D9">
            <w:pPr>
              <w:widowControl w:val="0"/>
              <w:spacing w:beforeLines="40" w:before="96" w:afterLines="40" w:after="96"/>
              <w:rPr>
                <w:rFonts w:eastAsia="Batang"/>
                <w:b/>
                <w:bCs/>
                <w:sz w:val="16"/>
                <w:szCs w:val="16"/>
                <w:lang w:eastAsia="zh-CN"/>
              </w:rPr>
            </w:pPr>
            <w:r w:rsidRPr="0026404C">
              <w:rPr>
                <w:rFonts w:eastAsia="Batang"/>
                <w:b/>
                <w:bCs/>
                <w:sz w:val="16"/>
                <w:szCs w:val="16"/>
                <w:lang w:eastAsia="zh-CN"/>
              </w:rPr>
              <w:t>Screening step:</w:t>
            </w:r>
          </w:p>
        </w:tc>
      </w:tr>
      <w:tr w:rsidR="00E51CDD" w:rsidRPr="0026404C" w14:paraId="005A805F" w14:textId="77777777" w:rsidTr="009938D9">
        <w:trPr>
          <w:trHeight w:val="868"/>
        </w:trPr>
        <w:tc>
          <w:tcPr>
            <w:tcW w:w="649" w:type="pct"/>
            <w:vMerge w:val="restart"/>
            <w:shd w:val="clear" w:color="auto" w:fill="auto"/>
            <w:vAlign w:val="center"/>
          </w:tcPr>
          <w:p w14:paraId="310A0655" w14:textId="77777777" w:rsidR="00E51CDD" w:rsidRPr="0026404C" w:rsidRDefault="00E51CDD" w:rsidP="009938D9">
            <w:pPr>
              <w:widowControl w:val="0"/>
              <w:spacing w:beforeLines="40" w:before="96" w:afterLines="40" w:after="96"/>
              <w:rPr>
                <w:rFonts w:eastAsia="Batang"/>
                <w:sz w:val="16"/>
                <w:szCs w:val="16"/>
                <w:lang w:eastAsia="zh-CN"/>
              </w:rPr>
            </w:pPr>
            <w:r w:rsidRPr="0026404C">
              <w:rPr>
                <w:rFonts w:eastAsia="Batang"/>
                <w:sz w:val="16"/>
                <w:szCs w:val="16"/>
                <w:lang w:eastAsia="zh-CN"/>
              </w:rPr>
              <w:t>Reproductive risk assessment screening step</w:t>
            </w:r>
          </w:p>
        </w:tc>
        <w:tc>
          <w:tcPr>
            <w:tcW w:w="637" w:type="pct"/>
            <w:shd w:val="clear" w:color="auto" w:fill="auto"/>
            <w:vAlign w:val="center"/>
          </w:tcPr>
          <w:p w14:paraId="68A1BDE6"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Indicator species</w:t>
            </w:r>
          </w:p>
        </w:tc>
        <w:tc>
          <w:tcPr>
            <w:tcW w:w="655" w:type="pct"/>
            <w:shd w:val="clear" w:color="auto" w:fill="auto"/>
            <w:vAlign w:val="center"/>
          </w:tcPr>
          <w:p w14:paraId="1FFF0449"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Shortcut value</w:t>
            </w:r>
          </w:p>
        </w:tc>
        <w:tc>
          <w:tcPr>
            <w:tcW w:w="633" w:type="pct"/>
            <w:shd w:val="clear" w:color="auto" w:fill="auto"/>
            <w:vAlign w:val="center"/>
          </w:tcPr>
          <w:p w14:paraId="1554354C"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Daily Dietary Dose (single)</w:t>
            </w:r>
          </w:p>
        </w:tc>
        <w:tc>
          <w:tcPr>
            <w:tcW w:w="610" w:type="pct"/>
            <w:shd w:val="clear" w:color="auto" w:fill="auto"/>
            <w:vAlign w:val="center"/>
          </w:tcPr>
          <w:p w14:paraId="5A8D50BE"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MAF mean</w:t>
            </w:r>
          </w:p>
        </w:tc>
        <w:tc>
          <w:tcPr>
            <w:tcW w:w="607" w:type="pct"/>
            <w:gridSpan w:val="2"/>
            <w:shd w:val="clear" w:color="auto" w:fill="auto"/>
            <w:vAlign w:val="center"/>
          </w:tcPr>
          <w:p w14:paraId="7A5F6256"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Daily Dietary Dose (Multiple)</w:t>
            </w:r>
          </w:p>
        </w:tc>
        <w:tc>
          <w:tcPr>
            <w:tcW w:w="607" w:type="pct"/>
            <w:shd w:val="clear" w:color="auto" w:fill="auto"/>
            <w:vAlign w:val="center"/>
          </w:tcPr>
          <w:p w14:paraId="384C6ADD"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TER</w:t>
            </w:r>
          </w:p>
        </w:tc>
        <w:tc>
          <w:tcPr>
            <w:tcW w:w="602" w:type="pct"/>
            <w:vMerge w:val="restart"/>
            <w:shd w:val="clear" w:color="auto" w:fill="auto"/>
            <w:vAlign w:val="center"/>
          </w:tcPr>
          <w:p w14:paraId="66AC703B" w14:textId="77777777" w:rsidR="00E51CDD" w:rsidRPr="0026404C" w:rsidRDefault="00E51CDD" w:rsidP="009938D9">
            <w:pPr>
              <w:widowControl w:val="0"/>
              <w:jc w:val="center"/>
              <w:rPr>
                <w:rFonts w:eastAsia="Batang"/>
                <w:b/>
                <w:bCs/>
                <w:sz w:val="16"/>
                <w:szCs w:val="16"/>
                <w:lang w:eastAsia="zh-CN"/>
              </w:rPr>
            </w:pPr>
            <w:r>
              <w:rPr>
                <w:rFonts w:eastAsia="Batang"/>
                <w:bCs/>
                <w:sz w:val="16"/>
                <w:szCs w:val="16"/>
                <w:lang w:eastAsia="zh-CN"/>
              </w:rPr>
              <w:t>Please perform first tier risk assessment (see below)</w:t>
            </w:r>
          </w:p>
        </w:tc>
      </w:tr>
      <w:tr w:rsidR="00E51CDD" w:rsidRPr="0026404C" w14:paraId="2D66DAAE" w14:textId="77777777" w:rsidTr="009938D9">
        <w:trPr>
          <w:trHeight w:val="300"/>
        </w:trPr>
        <w:tc>
          <w:tcPr>
            <w:tcW w:w="649" w:type="pct"/>
            <w:vMerge/>
            <w:shd w:val="clear" w:color="auto" w:fill="auto"/>
            <w:vAlign w:val="center"/>
          </w:tcPr>
          <w:p w14:paraId="2AFB766F" w14:textId="77777777" w:rsidR="00E51CDD" w:rsidRPr="0026404C" w:rsidRDefault="00E51CDD" w:rsidP="009938D9">
            <w:pPr>
              <w:widowControl w:val="0"/>
              <w:spacing w:beforeLines="40" w:before="96" w:afterLines="40" w:after="96"/>
              <w:rPr>
                <w:rFonts w:eastAsia="Batang"/>
                <w:sz w:val="16"/>
                <w:szCs w:val="16"/>
                <w:lang w:eastAsia="zh-CN"/>
              </w:rPr>
            </w:pPr>
          </w:p>
        </w:tc>
        <w:tc>
          <w:tcPr>
            <w:tcW w:w="637" w:type="pct"/>
            <w:shd w:val="clear" w:color="auto" w:fill="auto"/>
            <w:vAlign w:val="center"/>
          </w:tcPr>
          <w:p w14:paraId="0BFB4377" w14:textId="77777777" w:rsidR="00E51CDD" w:rsidRPr="0026404C" w:rsidRDefault="00E51CDD" w:rsidP="009938D9">
            <w:pPr>
              <w:widowControl w:val="0"/>
              <w:spacing w:beforeLines="40" w:before="96" w:afterLines="40" w:after="96"/>
              <w:jc w:val="center"/>
              <w:rPr>
                <w:rFonts w:eastAsia="Batang"/>
                <w:sz w:val="16"/>
                <w:szCs w:val="16"/>
                <w:lang w:eastAsia="zh-CN"/>
              </w:rPr>
            </w:pPr>
            <w:r w:rsidRPr="0026404C">
              <w:rPr>
                <w:rFonts w:eastAsia="Batang"/>
                <w:sz w:val="16"/>
                <w:szCs w:val="16"/>
                <w:lang w:eastAsia="zh-CN"/>
              </w:rPr>
              <w:t>Small herbivorous mammal</w:t>
            </w:r>
          </w:p>
        </w:tc>
        <w:tc>
          <w:tcPr>
            <w:tcW w:w="655" w:type="pct"/>
            <w:shd w:val="clear" w:color="auto" w:fill="auto"/>
            <w:vAlign w:val="center"/>
          </w:tcPr>
          <w:p w14:paraId="4157E480" w14:textId="77777777" w:rsidR="00E51CDD" w:rsidRPr="0026404C" w:rsidRDefault="00E51CDD" w:rsidP="009938D9">
            <w:pPr>
              <w:widowControl w:val="0"/>
              <w:spacing w:beforeLines="40" w:before="96" w:afterLines="40" w:after="96"/>
              <w:jc w:val="center"/>
              <w:rPr>
                <w:rFonts w:eastAsia="Batang"/>
                <w:sz w:val="16"/>
                <w:szCs w:val="16"/>
                <w:lang w:eastAsia="zh-CN"/>
              </w:rPr>
            </w:pPr>
            <w:r w:rsidRPr="0026404C">
              <w:rPr>
                <w:sz w:val="16"/>
                <w:szCs w:val="16"/>
              </w:rPr>
              <w:t>48.3</w:t>
            </w:r>
          </w:p>
        </w:tc>
        <w:tc>
          <w:tcPr>
            <w:tcW w:w="633" w:type="pct"/>
            <w:shd w:val="clear" w:color="auto" w:fill="auto"/>
            <w:vAlign w:val="center"/>
          </w:tcPr>
          <w:p w14:paraId="63E5EC26" w14:textId="77777777" w:rsidR="00E51CDD" w:rsidRPr="008727C5" w:rsidRDefault="00E51CDD" w:rsidP="009938D9">
            <w:pPr>
              <w:widowControl w:val="0"/>
              <w:spacing w:beforeLines="40" w:before="96" w:afterLines="40" w:after="96"/>
              <w:jc w:val="center"/>
              <w:rPr>
                <w:rFonts w:eastAsia="Batang"/>
                <w:sz w:val="16"/>
                <w:szCs w:val="16"/>
                <w:lang w:eastAsia="zh-CN"/>
              </w:rPr>
            </w:pPr>
            <w:r w:rsidRPr="008727C5">
              <w:rPr>
                <w:color w:val="000000"/>
                <w:sz w:val="16"/>
                <w:szCs w:val="16"/>
              </w:rPr>
              <w:t>4.83</w:t>
            </w:r>
          </w:p>
        </w:tc>
        <w:tc>
          <w:tcPr>
            <w:tcW w:w="610" w:type="pct"/>
            <w:shd w:val="clear" w:color="auto" w:fill="auto"/>
            <w:vAlign w:val="center"/>
          </w:tcPr>
          <w:p w14:paraId="06A14BFE" w14:textId="77777777" w:rsidR="00E51CDD" w:rsidRPr="008727C5" w:rsidRDefault="00E51CDD" w:rsidP="009938D9">
            <w:pPr>
              <w:widowControl w:val="0"/>
              <w:spacing w:beforeLines="40" w:before="96" w:afterLines="40" w:after="96"/>
              <w:jc w:val="center"/>
              <w:rPr>
                <w:rFonts w:eastAsia="Batang"/>
                <w:sz w:val="16"/>
                <w:szCs w:val="16"/>
                <w:lang w:eastAsia="zh-CN"/>
              </w:rPr>
            </w:pPr>
            <w:r w:rsidRPr="008727C5">
              <w:rPr>
                <w:color w:val="000000"/>
                <w:sz w:val="16"/>
                <w:szCs w:val="16"/>
              </w:rPr>
              <w:t>1.2</w:t>
            </w:r>
          </w:p>
        </w:tc>
        <w:tc>
          <w:tcPr>
            <w:tcW w:w="607" w:type="pct"/>
            <w:gridSpan w:val="2"/>
            <w:shd w:val="clear" w:color="auto" w:fill="auto"/>
            <w:noWrap/>
            <w:vAlign w:val="center"/>
          </w:tcPr>
          <w:p w14:paraId="74ED0F1C" w14:textId="77777777" w:rsidR="00E51CDD" w:rsidRPr="008727C5" w:rsidRDefault="00E51CDD" w:rsidP="009938D9">
            <w:pPr>
              <w:widowControl w:val="0"/>
              <w:spacing w:beforeLines="40" w:before="96" w:afterLines="40" w:after="96"/>
              <w:jc w:val="center"/>
              <w:rPr>
                <w:rFonts w:eastAsia="Batang"/>
                <w:sz w:val="16"/>
                <w:szCs w:val="16"/>
                <w:lang w:eastAsia="zh-CN"/>
              </w:rPr>
            </w:pPr>
            <w:r w:rsidRPr="008727C5">
              <w:rPr>
                <w:color w:val="000000"/>
                <w:sz w:val="16"/>
                <w:szCs w:val="16"/>
              </w:rPr>
              <w:t>3.07</w:t>
            </w:r>
          </w:p>
        </w:tc>
        <w:tc>
          <w:tcPr>
            <w:tcW w:w="607" w:type="pct"/>
            <w:shd w:val="clear" w:color="auto" w:fill="auto"/>
            <w:vAlign w:val="center"/>
          </w:tcPr>
          <w:p w14:paraId="45699C15" w14:textId="77777777" w:rsidR="00E51CDD" w:rsidRPr="008727C5" w:rsidRDefault="00E51CDD" w:rsidP="009938D9">
            <w:pPr>
              <w:widowControl w:val="0"/>
              <w:spacing w:beforeLines="40" w:before="96" w:afterLines="40" w:after="96"/>
              <w:jc w:val="center"/>
              <w:rPr>
                <w:rFonts w:eastAsia="Batang"/>
                <w:b/>
                <w:bCs/>
                <w:sz w:val="16"/>
                <w:szCs w:val="16"/>
                <w:lang w:eastAsia="zh-CN"/>
              </w:rPr>
            </w:pPr>
            <w:r w:rsidRPr="008727C5">
              <w:rPr>
                <w:b/>
                <w:bCs/>
                <w:sz w:val="16"/>
                <w:szCs w:val="16"/>
              </w:rPr>
              <w:t>3.26</w:t>
            </w:r>
          </w:p>
        </w:tc>
        <w:tc>
          <w:tcPr>
            <w:tcW w:w="602" w:type="pct"/>
            <w:vMerge/>
            <w:shd w:val="clear" w:color="auto" w:fill="auto"/>
            <w:vAlign w:val="center"/>
          </w:tcPr>
          <w:p w14:paraId="7F95B5A8" w14:textId="77777777" w:rsidR="00E51CDD" w:rsidRPr="0026404C" w:rsidRDefault="00E51CDD" w:rsidP="009938D9">
            <w:pPr>
              <w:widowControl w:val="0"/>
              <w:spacing w:beforeLines="40" w:before="96" w:afterLines="40" w:after="96"/>
              <w:rPr>
                <w:rFonts w:eastAsia="Batang"/>
                <w:b/>
                <w:bCs/>
                <w:sz w:val="16"/>
                <w:szCs w:val="16"/>
                <w:lang w:eastAsia="zh-CN"/>
              </w:rPr>
            </w:pPr>
          </w:p>
        </w:tc>
      </w:tr>
      <w:tr w:rsidR="00E51CDD" w:rsidRPr="0026404C" w14:paraId="7687B042" w14:textId="77777777" w:rsidTr="009938D9">
        <w:trPr>
          <w:trHeight w:val="300"/>
        </w:trPr>
        <w:tc>
          <w:tcPr>
            <w:tcW w:w="5000" w:type="pct"/>
            <w:gridSpan w:val="9"/>
            <w:shd w:val="clear" w:color="auto" w:fill="auto"/>
            <w:noWrap/>
            <w:vAlign w:val="center"/>
          </w:tcPr>
          <w:p w14:paraId="5DE0075F" w14:textId="77777777" w:rsidR="00E51CDD" w:rsidRPr="0026404C" w:rsidRDefault="00E51CDD" w:rsidP="009938D9">
            <w:pPr>
              <w:widowControl w:val="0"/>
              <w:spacing w:beforeLines="40" w:before="96" w:afterLines="40" w:after="96"/>
              <w:rPr>
                <w:rFonts w:eastAsia="Batang"/>
                <w:b/>
                <w:bCs/>
                <w:sz w:val="16"/>
                <w:szCs w:val="16"/>
                <w:lang w:eastAsia="zh-CN"/>
              </w:rPr>
            </w:pPr>
            <w:r w:rsidRPr="0026404C">
              <w:rPr>
                <w:rFonts w:eastAsia="Batang"/>
                <w:b/>
                <w:bCs/>
                <w:sz w:val="16"/>
                <w:szCs w:val="16"/>
                <w:lang w:eastAsia="zh-CN"/>
              </w:rPr>
              <w:t>First Tier Risk Assessment:</w:t>
            </w:r>
            <w:r w:rsidRPr="0026404C">
              <w:rPr>
                <w:rFonts w:eastAsia="Batang"/>
                <w:b/>
                <w:bCs/>
                <w:sz w:val="16"/>
                <w:szCs w:val="16"/>
                <w:vertAlign w:val="superscript"/>
                <w:lang w:eastAsia="zh-CN"/>
              </w:rPr>
              <w:t xml:space="preserve"> </w:t>
            </w:r>
          </w:p>
        </w:tc>
      </w:tr>
      <w:tr w:rsidR="00E51CDD" w:rsidRPr="0026404C" w14:paraId="2670DE65" w14:textId="77777777" w:rsidTr="009938D9">
        <w:trPr>
          <w:trHeight w:val="600"/>
        </w:trPr>
        <w:tc>
          <w:tcPr>
            <w:tcW w:w="649" w:type="pct"/>
            <w:vMerge w:val="restart"/>
            <w:shd w:val="clear" w:color="auto" w:fill="auto"/>
            <w:vAlign w:val="center"/>
          </w:tcPr>
          <w:p w14:paraId="4E81D1A1" w14:textId="77777777" w:rsidR="00E51CDD" w:rsidRPr="0026404C" w:rsidRDefault="00E51CDD" w:rsidP="009938D9">
            <w:pPr>
              <w:widowControl w:val="0"/>
              <w:spacing w:beforeLines="40" w:before="96" w:afterLines="40" w:after="96"/>
              <w:rPr>
                <w:rFonts w:eastAsia="Batang"/>
                <w:sz w:val="16"/>
                <w:szCs w:val="16"/>
                <w:lang w:eastAsia="zh-CN"/>
              </w:rPr>
            </w:pPr>
            <w:r w:rsidRPr="0026404C">
              <w:rPr>
                <w:rFonts w:eastAsia="Batang"/>
                <w:sz w:val="16"/>
                <w:szCs w:val="16"/>
                <w:lang w:eastAsia="zh-CN"/>
              </w:rPr>
              <w:t>Calculate TER for each generic focal species selected</w:t>
            </w:r>
          </w:p>
        </w:tc>
        <w:tc>
          <w:tcPr>
            <w:tcW w:w="637" w:type="pct"/>
            <w:shd w:val="clear" w:color="auto" w:fill="auto"/>
            <w:vAlign w:val="center"/>
          </w:tcPr>
          <w:p w14:paraId="6553FEDA"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Crop</w:t>
            </w:r>
          </w:p>
        </w:tc>
        <w:tc>
          <w:tcPr>
            <w:tcW w:w="1898" w:type="pct"/>
            <w:gridSpan w:val="3"/>
            <w:shd w:val="clear" w:color="auto" w:fill="auto"/>
            <w:vAlign w:val="center"/>
          </w:tcPr>
          <w:p w14:paraId="6264EA94"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Generic focal species</w:t>
            </w:r>
          </w:p>
        </w:tc>
        <w:tc>
          <w:tcPr>
            <w:tcW w:w="607" w:type="pct"/>
            <w:gridSpan w:val="2"/>
            <w:shd w:val="clear" w:color="auto" w:fill="auto"/>
            <w:vAlign w:val="center"/>
          </w:tcPr>
          <w:p w14:paraId="5488137F"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Shortcut value</w:t>
            </w:r>
          </w:p>
        </w:tc>
        <w:tc>
          <w:tcPr>
            <w:tcW w:w="607" w:type="pct"/>
            <w:shd w:val="clear" w:color="auto" w:fill="auto"/>
            <w:vAlign w:val="center"/>
          </w:tcPr>
          <w:p w14:paraId="0360BFEA"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TER</w:t>
            </w:r>
          </w:p>
        </w:tc>
        <w:tc>
          <w:tcPr>
            <w:tcW w:w="602" w:type="pct"/>
            <w:vMerge w:val="restart"/>
            <w:shd w:val="clear" w:color="auto" w:fill="auto"/>
            <w:noWrap/>
            <w:vAlign w:val="center"/>
          </w:tcPr>
          <w:p w14:paraId="31AF2024" w14:textId="77777777" w:rsidR="00E51CDD" w:rsidRPr="0026404C" w:rsidRDefault="00E51CDD" w:rsidP="009938D9">
            <w:pPr>
              <w:widowControl w:val="0"/>
              <w:jc w:val="center"/>
              <w:rPr>
                <w:rFonts w:eastAsia="Batang"/>
                <w:b/>
                <w:bCs/>
                <w:sz w:val="16"/>
                <w:szCs w:val="16"/>
                <w:lang w:eastAsia="zh-CN"/>
              </w:rPr>
            </w:pPr>
            <w:r w:rsidRPr="0026404C">
              <w:rPr>
                <w:rFonts w:eastAsia="Batang"/>
                <w:bCs/>
                <w:sz w:val="16"/>
                <w:szCs w:val="16"/>
                <w:lang w:eastAsia="zh-CN"/>
              </w:rPr>
              <w:t>No refinement required</w:t>
            </w:r>
          </w:p>
        </w:tc>
      </w:tr>
      <w:tr w:rsidR="00E51CDD" w:rsidRPr="0026404C" w14:paraId="610F4138" w14:textId="77777777" w:rsidTr="009938D9">
        <w:trPr>
          <w:trHeight w:val="600"/>
        </w:trPr>
        <w:tc>
          <w:tcPr>
            <w:tcW w:w="649" w:type="pct"/>
            <w:vMerge/>
            <w:shd w:val="clear" w:color="auto" w:fill="auto"/>
          </w:tcPr>
          <w:p w14:paraId="53108FF3" w14:textId="77777777" w:rsidR="00E51CDD" w:rsidRPr="0026404C" w:rsidRDefault="00E51CDD" w:rsidP="009938D9">
            <w:pPr>
              <w:widowControl w:val="0"/>
              <w:spacing w:beforeLines="40" w:before="96" w:afterLines="40" w:after="96"/>
              <w:rPr>
                <w:rFonts w:eastAsia="Batang"/>
                <w:sz w:val="16"/>
                <w:szCs w:val="16"/>
                <w:lang w:eastAsia="zh-CN"/>
              </w:rPr>
            </w:pPr>
          </w:p>
        </w:tc>
        <w:tc>
          <w:tcPr>
            <w:tcW w:w="637" w:type="pct"/>
            <w:shd w:val="clear" w:color="auto" w:fill="auto"/>
            <w:vAlign w:val="center"/>
          </w:tcPr>
          <w:p w14:paraId="3D6F2D27" w14:textId="77777777" w:rsidR="00E51CDD" w:rsidRPr="008727C5" w:rsidRDefault="00E51CDD" w:rsidP="009938D9">
            <w:pPr>
              <w:widowControl w:val="0"/>
              <w:spacing w:beforeLines="40" w:before="96" w:afterLines="40" w:after="96"/>
              <w:jc w:val="center"/>
              <w:rPr>
                <w:rFonts w:eastAsia="Batang"/>
                <w:sz w:val="16"/>
                <w:szCs w:val="16"/>
                <w:lang w:eastAsia="zh-CN"/>
              </w:rPr>
            </w:pPr>
            <w:r w:rsidRPr="008727C5">
              <w:rPr>
                <w:color w:val="000000"/>
                <w:sz w:val="16"/>
                <w:szCs w:val="16"/>
              </w:rPr>
              <w:t>Cereals BBCH ≥ 20</w:t>
            </w:r>
          </w:p>
        </w:tc>
        <w:tc>
          <w:tcPr>
            <w:tcW w:w="1898" w:type="pct"/>
            <w:gridSpan w:val="3"/>
            <w:shd w:val="clear" w:color="auto" w:fill="auto"/>
            <w:vAlign w:val="center"/>
          </w:tcPr>
          <w:p w14:paraId="6D23FCC5" w14:textId="77777777" w:rsidR="00E51CDD" w:rsidRPr="008727C5" w:rsidRDefault="00E51CDD" w:rsidP="009938D9">
            <w:pPr>
              <w:widowControl w:val="0"/>
              <w:spacing w:beforeLines="40" w:before="96" w:afterLines="40" w:after="96"/>
              <w:jc w:val="center"/>
              <w:rPr>
                <w:rFonts w:eastAsia="Batang"/>
                <w:sz w:val="16"/>
                <w:szCs w:val="16"/>
                <w:lang w:eastAsia="zh-CN"/>
              </w:rPr>
            </w:pPr>
            <w:r w:rsidRPr="008727C5">
              <w:rPr>
                <w:color w:val="000000"/>
                <w:sz w:val="16"/>
                <w:szCs w:val="16"/>
              </w:rPr>
              <w:t>Small insectivorous mammal "shrew" ground dwelling invertebrates with interception 100% ground arthropods</w:t>
            </w:r>
          </w:p>
        </w:tc>
        <w:tc>
          <w:tcPr>
            <w:tcW w:w="607" w:type="pct"/>
            <w:gridSpan w:val="2"/>
            <w:shd w:val="clear" w:color="auto" w:fill="auto"/>
            <w:vAlign w:val="center"/>
          </w:tcPr>
          <w:p w14:paraId="18A4F5F9" w14:textId="77777777" w:rsidR="00E51CDD" w:rsidRPr="008727C5" w:rsidRDefault="00E51CDD" w:rsidP="009938D9">
            <w:pPr>
              <w:widowControl w:val="0"/>
              <w:spacing w:beforeLines="40" w:before="96" w:afterLines="40" w:after="96"/>
              <w:jc w:val="center"/>
              <w:rPr>
                <w:rFonts w:eastAsia="Batang"/>
                <w:sz w:val="16"/>
                <w:szCs w:val="16"/>
                <w:lang w:eastAsia="zh-CN"/>
              </w:rPr>
            </w:pPr>
            <w:r w:rsidRPr="008727C5">
              <w:rPr>
                <w:color w:val="000000"/>
                <w:sz w:val="16"/>
                <w:szCs w:val="16"/>
              </w:rPr>
              <w:t>1.9</w:t>
            </w:r>
          </w:p>
        </w:tc>
        <w:tc>
          <w:tcPr>
            <w:tcW w:w="607" w:type="pct"/>
            <w:shd w:val="clear" w:color="auto" w:fill="auto"/>
            <w:vAlign w:val="center"/>
          </w:tcPr>
          <w:p w14:paraId="0B7D1439" w14:textId="77777777" w:rsidR="00E51CDD" w:rsidRPr="008727C5" w:rsidRDefault="00E51CDD" w:rsidP="009938D9">
            <w:pPr>
              <w:widowControl w:val="0"/>
              <w:spacing w:beforeLines="40" w:before="96" w:afterLines="40" w:after="96"/>
              <w:jc w:val="center"/>
              <w:rPr>
                <w:rFonts w:eastAsia="Batang"/>
                <w:sz w:val="16"/>
                <w:szCs w:val="16"/>
                <w:lang w:eastAsia="zh-CN"/>
              </w:rPr>
            </w:pPr>
            <w:r w:rsidRPr="008727C5">
              <w:rPr>
                <w:color w:val="000000"/>
                <w:sz w:val="16"/>
                <w:szCs w:val="16"/>
              </w:rPr>
              <w:t>82.8</w:t>
            </w:r>
          </w:p>
        </w:tc>
        <w:tc>
          <w:tcPr>
            <w:tcW w:w="602" w:type="pct"/>
            <w:vMerge/>
            <w:shd w:val="clear" w:color="auto" w:fill="auto"/>
            <w:noWrap/>
            <w:vAlign w:val="center"/>
          </w:tcPr>
          <w:p w14:paraId="587D7C1D" w14:textId="77777777" w:rsidR="00E51CDD" w:rsidRPr="0026404C" w:rsidRDefault="00E51CDD" w:rsidP="009938D9">
            <w:pPr>
              <w:widowControl w:val="0"/>
              <w:jc w:val="center"/>
              <w:rPr>
                <w:rFonts w:eastAsia="Batang"/>
                <w:bCs/>
                <w:sz w:val="16"/>
                <w:szCs w:val="16"/>
                <w:lang w:eastAsia="zh-CN"/>
              </w:rPr>
            </w:pPr>
          </w:p>
        </w:tc>
      </w:tr>
      <w:tr w:rsidR="00E51CDD" w:rsidRPr="0026404C" w14:paraId="38C3966F" w14:textId="77777777" w:rsidTr="009938D9">
        <w:trPr>
          <w:trHeight w:val="597"/>
        </w:trPr>
        <w:tc>
          <w:tcPr>
            <w:tcW w:w="649" w:type="pct"/>
            <w:vMerge/>
            <w:shd w:val="clear" w:color="auto" w:fill="auto"/>
            <w:vAlign w:val="center"/>
          </w:tcPr>
          <w:p w14:paraId="2145F5A2" w14:textId="77777777" w:rsidR="00E51CDD" w:rsidRPr="0026404C" w:rsidRDefault="00E51CDD" w:rsidP="009938D9">
            <w:pPr>
              <w:widowControl w:val="0"/>
              <w:spacing w:beforeLines="40" w:before="96" w:afterLines="40" w:after="96"/>
              <w:rPr>
                <w:rFonts w:eastAsia="Batang"/>
                <w:sz w:val="16"/>
                <w:szCs w:val="16"/>
                <w:lang w:val="en-GB" w:eastAsia="zh-CN"/>
              </w:rPr>
            </w:pPr>
          </w:p>
        </w:tc>
        <w:tc>
          <w:tcPr>
            <w:tcW w:w="637" w:type="pct"/>
            <w:shd w:val="clear" w:color="auto" w:fill="auto"/>
            <w:vAlign w:val="center"/>
          </w:tcPr>
          <w:p w14:paraId="13ED1E19" w14:textId="77777777" w:rsidR="00E51CDD" w:rsidRPr="008727C5" w:rsidRDefault="00E51CDD" w:rsidP="009938D9">
            <w:pPr>
              <w:widowControl w:val="0"/>
              <w:spacing w:beforeLines="40" w:before="96" w:afterLines="40" w:after="96"/>
              <w:jc w:val="center"/>
              <w:rPr>
                <w:rFonts w:eastAsia="Batang"/>
                <w:sz w:val="16"/>
                <w:szCs w:val="16"/>
                <w:lang w:eastAsia="zh-CN"/>
              </w:rPr>
            </w:pPr>
            <w:r w:rsidRPr="008727C5">
              <w:rPr>
                <w:color w:val="000000"/>
                <w:sz w:val="16"/>
                <w:szCs w:val="16"/>
              </w:rPr>
              <w:t>Cereals BBCH 30 - 39</w:t>
            </w:r>
          </w:p>
        </w:tc>
        <w:tc>
          <w:tcPr>
            <w:tcW w:w="1898" w:type="pct"/>
            <w:gridSpan w:val="3"/>
            <w:shd w:val="clear" w:color="auto" w:fill="auto"/>
            <w:vAlign w:val="center"/>
          </w:tcPr>
          <w:p w14:paraId="0AA85B2F" w14:textId="77777777" w:rsidR="00E51CDD" w:rsidRPr="008727C5" w:rsidRDefault="00E51CDD" w:rsidP="009938D9">
            <w:pPr>
              <w:widowControl w:val="0"/>
              <w:spacing w:beforeLines="40" w:before="96" w:afterLines="40" w:after="96"/>
              <w:jc w:val="center"/>
              <w:rPr>
                <w:rFonts w:eastAsia="Batang"/>
                <w:sz w:val="16"/>
                <w:szCs w:val="16"/>
                <w:lang w:eastAsia="zh-CN"/>
              </w:rPr>
            </w:pPr>
            <w:r w:rsidRPr="008727C5">
              <w:rPr>
                <w:color w:val="000000"/>
                <w:sz w:val="16"/>
                <w:szCs w:val="16"/>
              </w:rPr>
              <w:t>Small omnivorous mammal “mouse” Combination (invertebrates with interception) 25% weeds 50% weed seeds 25% ground arthropods</w:t>
            </w:r>
          </w:p>
        </w:tc>
        <w:tc>
          <w:tcPr>
            <w:tcW w:w="607" w:type="pct"/>
            <w:gridSpan w:val="2"/>
            <w:shd w:val="clear" w:color="auto" w:fill="auto"/>
            <w:noWrap/>
            <w:vAlign w:val="center"/>
          </w:tcPr>
          <w:p w14:paraId="77BED317" w14:textId="77777777" w:rsidR="00E51CDD" w:rsidRPr="008727C5" w:rsidRDefault="00E51CDD" w:rsidP="009938D9">
            <w:pPr>
              <w:widowControl w:val="0"/>
              <w:spacing w:beforeLines="40" w:before="96" w:afterLines="40" w:after="96"/>
              <w:jc w:val="center"/>
              <w:rPr>
                <w:rFonts w:eastAsia="Batang"/>
                <w:sz w:val="16"/>
                <w:szCs w:val="16"/>
                <w:lang w:eastAsia="zh-CN"/>
              </w:rPr>
            </w:pPr>
            <w:r w:rsidRPr="008727C5">
              <w:rPr>
                <w:color w:val="000000"/>
                <w:sz w:val="16"/>
                <w:szCs w:val="16"/>
              </w:rPr>
              <w:t>3.9</w:t>
            </w:r>
          </w:p>
        </w:tc>
        <w:tc>
          <w:tcPr>
            <w:tcW w:w="607" w:type="pct"/>
            <w:shd w:val="clear" w:color="auto" w:fill="auto"/>
            <w:noWrap/>
            <w:vAlign w:val="center"/>
          </w:tcPr>
          <w:p w14:paraId="6EB52252" w14:textId="77777777" w:rsidR="00E51CDD" w:rsidRPr="008727C5" w:rsidRDefault="00E51CDD" w:rsidP="009938D9">
            <w:pPr>
              <w:widowControl w:val="0"/>
              <w:spacing w:beforeLines="40" w:before="96" w:afterLines="40" w:after="96"/>
              <w:jc w:val="center"/>
              <w:rPr>
                <w:rFonts w:eastAsia="Batang"/>
                <w:sz w:val="16"/>
                <w:szCs w:val="16"/>
                <w:lang w:eastAsia="zh-CN"/>
              </w:rPr>
            </w:pPr>
            <w:r w:rsidRPr="008727C5">
              <w:rPr>
                <w:color w:val="000000"/>
                <w:sz w:val="16"/>
                <w:szCs w:val="16"/>
              </w:rPr>
              <w:t>40.3</w:t>
            </w:r>
          </w:p>
        </w:tc>
        <w:tc>
          <w:tcPr>
            <w:tcW w:w="602" w:type="pct"/>
            <w:vMerge/>
            <w:shd w:val="clear" w:color="auto" w:fill="auto"/>
            <w:vAlign w:val="center"/>
          </w:tcPr>
          <w:p w14:paraId="35F2A57E" w14:textId="77777777" w:rsidR="00E51CDD" w:rsidRPr="0026404C" w:rsidRDefault="00E51CDD" w:rsidP="009938D9">
            <w:pPr>
              <w:widowControl w:val="0"/>
              <w:jc w:val="center"/>
              <w:rPr>
                <w:rFonts w:eastAsia="Batang"/>
                <w:bCs/>
                <w:sz w:val="16"/>
                <w:szCs w:val="16"/>
                <w:lang w:eastAsia="zh-CN"/>
              </w:rPr>
            </w:pPr>
          </w:p>
        </w:tc>
      </w:tr>
      <w:tr w:rsidR="00E51CDD" w:rsidRPr="0026404C" w14:paraId="0DA1D80D" w14:textId="77777777" w:rsidTr="009938D9">
        <w:trPr>
          <w:trHeight w:val="597"/>
        </w:trPr>
        <w:tc>
          <w:tcPr>
            <w:tcW w:w="649" w:type="pct"/>
            <w:vMerge/>
            <w:shd w:val="clear" w:color="auto" w:fill="auto"/>
            <w:vAlign w:val="center"/>
          </w:tcPr>
          <w:p w14:paraId="426EFAFD" w14:textId="77777777" w:rsidR="00E51CDD" w:rsidRPr="0026404C" w:rsidRDefault="00E51CDD" w:rsidP="009938D9">
            <w:pPr>
              <w:widowControl w:val="0"/>
              <w:spacing w:beforeLines="40" w:before="96" w:afterLines="40" w:after="96"/>
              <w:rPr>
                <w:rFonts w:eastAsia="Batang"/>
                <w:sz w:val="16"/>
                <w:szCs w:val="16"/>
                <w:lang w:val="en-GB" w:eastAsia="zh-CN"/>
              </w:rPr>
            </w:pPr>
          </w:p>
        </w:tc>
        <w:tc>
          <w:tcPr>
            <w:tcW w:w="637" w:type="pct"/>
            <w:shd w:val="clear" w:color="auto" w:fill="auto"/>
            <w:vAlign w:val="center"/>
          </w:tcPr>
          <w:p w14:paraId="369F8D82" w14:textId="77777777" w:rsidR="00E51CDD" w:rsidRPr="008727C5" w:rsidRDefault="00E51CDD" w:rsidP="009938D9">
            <w:pPr>
              <w:widowControl w:val="0"/>
              <w:spacing w:beforeLines="40" w:before="96" w:afterLines="40" w:after="96"/>
              <w:jc w:val="center"/>
              <w:rPr>
                <w:rFonts w:eastAsia="Batang"/>
                <w:b/>
                <w:bCs/>
                <w:sz w:val="16"/>
                <w:szCs w:val="16"/>
                <w:lang w:eastAsia="zh-CN"/>
              </w:rPr>
            </w:pPr>
            <w:r w:rsidRPr="008727C5">
              <w:rPr>
                <w:color w:val="000000"/>
                <w:sz w:val="16"/>
                <w:szCs w:val="16"/>
              </w:rPr>
              <w:t>Cereals BBCH ≥ 40</w:t>
            </w:r>
          </w:p>
        </w:tc>
        <w:tc>
          <w:tcPr>
            <w:tcW w:w="1898" w:type="pct"/>
            <w:gridSpan w:val="3"/>
            <w:shd w:val="clear" w:color="auto" w:fill="auto"/>
            <w:vAlign w:val="center"/>
          </w:tcPr>
          <w:p w14:paraId="220486A6" w14:textId="77777777" w:rsidR="00E51CDD" w:rsidRPr="008727C5" w:rsidRDefault="00E51CDD" w:rsidP="009938D9">
            <w:pPr>
              <w:widowControl w:val="0"/>
              <w:spacing w:beforeLines="40" w:before="96" w:afterLines="40" w:after="96"/>
              <w:jc w:val="center"/>
              <w:rPr>
                <w:rFonts w:eastAsia="Batang"/>
                <w:b/>
                <w:bCs/>
                <w:sz w:val="16"/>
                <w:szCs w:val="16"/>
                <w:lang w:eastAsia="zh-CN"/>
              </w:rPr>
            </w:pPr>
            <w:r w:rsidRPr="008727C5">
              <w:rPr>
                <w:color w:val="000000"/>
                <w:sz w:val="16"/>
                <w:szCs w:val="16"/>
              </w:rPr>
              <w:t>Small herbivorous mammal "vole Grass + cereals 100% grass</w:t>
            </w:r>
          </w:p>
        </w:tc>
        <w:tc>
          <w:tcPr>
            <w:tcW w:w="607" w:type="pct"/>
            <w:gridSpan w:val="2"/>
            <w:shd w:val="clear" w:color="auto" w:fill="auto"/>
            <w:noWrap/>
            <w:vAlign w:val="center"/>
          </w:tcPr>
          <w:p w14:paraId="22AE60A7" w14:textId="77777777" w:rsidR="00E51CDD" w:rsidRPr="008727C5" w:rsidRDefault="00E51CDD" w:rsidP="009938D9">
            <w:pPr>
              <w:widowControl w:val="0"/>
              <w:spacing w:beforeLines="40" w:before="96" w:afterLines="40" w:after="96"/>
              <w:jc w:val="center"/>
              <w:rPr>
                <w:rFonts w:eastAsia="Batang"/>
                <w:b/>
                <w:bCs/>
                <w:sz w:val="16"/>
                <w:szCs w:val="16"/>
                <w:lang w:eastAsia="zh-CN"/>
              </w:rPr>
            </w:pPr>
            <w:r w:rsidRPr="008727C5">
              <w:rPr>
                <w:color w:val="000000"/>
                <w:sz w:val="16"/>
                <w:szCs w:val="16"/>
              </w:rPr>
              <w:t>21.7</w:t>
            </w:r>
          </w:p>
        </w:tc>
        <w:tc>
          <w:tcPr>
            <w:tcW w:w="607" w:type="pct"/>
            <w:shd w:val="clear" w:color="auto" w:fill="auto"/>
            <w:noWrap/>
            <w:vAlign w:val="center"/>
          </w:tcPr>
          <w:p w14:paraId="16BEB20C" w14:textId="77777777" w:rsidR="00E51CDD" w:rsidRPr="008727C5" w:rsidRDefault="00E51CDD" w:rsidP="009938D9">
            <w:pPr>
              <w:widowControl w:val="0"/>
              <w:spacing w:beforeLines="40" w:before="96" w:afterLines="40" w:after="96"/>
              <w:jc w:val="center"/>
              <w:rPr>
                <w:rFonts w:eastAsia="Batang"/>
                <w:b/>
                <w:bCs/>
                <w:sz w:val="16"/>
                <w:szCs w:val="16"/>
                <w:lang w:eastAsia="zh-CN"/>
              </w:rPr>
            </w:pPr>
            <w:r w:rsidRPr="008727C5">
              <w:rPr>
                <w:color w:val="000000"/>
                <w:sz w:val="16"/>
                <w:szCs w:val="16"/>
              </w:rPr>
              <w:t>7.2</w:t>
            </w:r>
          </w:p>
        </w:tc>
        <w:tc>
          <w:tcPr>
            <w:tcW w:w="602" w:type="pct"/>
            <w:vMerge/>
            <w:shd w:val="clear" w:color="auto" w:fill="auto"/>
            <w:vAlign w:val="center"/>
          </w:tcPr>
          <w:p w14:paraId="2CC145DC" w14:textId="77777777" w:rsidR="00E51CDD" w:rsidRPr="0026404C" w:rsidRDefault="00E51CDD" w:rsidP="009938D9">
            <w:pPr>
              <w:widowControl w:val="0"/>
              <w:jc w:val="center"/>
              <w:rPr>
                <w:rFonts w:eastAsia="Batang"/>
                <w:b/>
                <w:sz w:val="16"/>
                <w:szCs w:val="16"/>
                <w:lang w:eastAsia="zh-CN"/>
              </w:rPr>
            </w:pPr>
          </w:p>
        </w:tc>
      </w:tr>
      <w:tr w:rsidR="00E51CDD" w:rsidRPr="0026404C" w14:paraId="1F3CAC9A" w14:textId="77777777" w:rsidTr="009938D9">
        <w:trPr>
          <w:trHeight w:val="597"/>
        </w:trPr>
        <w:tc>
          <w:tcPr>
            <w:tcW w:w="649" w:type="pct"/>
            <w:vMerge/>
            <w:shd w:val="clear" w:color="auto" w:fill="auto"/>
            <w:vAlign w:val="center"/>
          </w:tcPr>
          <w:p w14:paraId="14EA1702" w14:textId="77777777" w:rsidR="00E51CDD" w:rsidRPr="0026404C" w:rsidRDefault="00E51CDD" w:rsidP="009938D9">
            <w:pPr>
              <w:widowControl w:val="0"/>
              <w:spacing w:beforeLines="40" w:before="96" w:afterLines="40" w:after="96"/>
              <w:rPr>
                <w:rFonts w:eastAsia="Batang"/>
                <w:sz w:val="16"/>
                <w:szCs w:val="16"/>
                <w:lang w:val="en-GB" w:eastAsia="zh-CN"/>
              </w:rPr>
            </w:pPr>
          </w:p>
        </w:tc>
        <w:tc>
          <w:tcPr>
            <w:tcW w:w="637" w:type="pct"/>
            <w:shd w:val="clear" w:color="auto" w:fill="auto"/>
            <w:vAlign w:val="center"/>
          </w:tcPr>
          <w:p w14:paraId="7381689D" w14:textId="77777777" w:rsidR="00E51CDD" w:rsidRPr="008727C5" w:rsidRDefault="00E51CDD" w:rsidP="009938D9">
            <w:pPr>
              <w:widowControl w:val="0"/>
              <w:spacing w:beforeLines="40" w:before="96" w:afterLines="40" w:after="96"/>
              <w:jc w:val="center"/>
              <w:rPr>
                <w:sz w:val="16"/>
                <w:szCs w:val="16"/>
              </w:rPr>
            </w:pPr>
            <w:r w:rsidRPr="008727C5">
              <w:rPr>
                <w:color w:val="000000"/>
                <w:sz w:val="16"/>
                <w:szCs w:val="16"/>
              </w:rPr>
              <w:t>Cereals BBCH ≥ 40</w:t>
            </w:r>
          </w:p>
        </w:tc>
        <w:tc>
          <w:tcPr>
            <w:tcW w:w="1898" w:type="pct"/>
            <w:gridSpan w:val="3"/>
            <w:shd w:val="clear" w:color="auto" w:fill="auto"/>
            <w:vAlign w:val="center"/>
          </w:tcPr>
          <w:p w14:paraId="4697346A" w14:textId="77777777" w:rsidR="00E51CDD" w:rsidRPr="008727C5" w:rsidRDefault="00E51CDD" w:rsidP="009938D9">
            <w:pPr>
              <w:widowControl w:val="0"/>
              <w:spacing w:beforeLines="40" w:before="96" w:afterLines="40" w:after="96"/>
              <w:jc w:val="center"/>
              <w:rPr>
                <w:sz w:val="16"/>
                <w:szCs w:val="16"/>
              </w:rPr>
            </w:pPr>
            <w:r w:rsidRPr="008727C5">
              <w:rPr>
                <w:color w:val="000000"/>
                <w:sz w:val="16"/>
                <w:szCs w:val="16"/>
              </w:rPr>
              <w:t>Small omnivorous mammal “mouse” Combination (invertebrates with interception) 25% weeds 50% weed seeds 25% ground arthropods</w:t>
            </w:r>
          </w:p>
        </w:tc>
        <w:tc>
          <w:tcPr>
            <w:tcW w:w="607" w:type="pct"/>
            <w:gridSpan w:val="2"/>
            <w:shd w:val="clear" w:color="auto" w:fill="auto"/>
            <w:noWrap/>
            <w:vAlign w:val="center"/>
          </w:tcPr>
          <w:p w14:paraId="31C29735" w14:textId="77777777" w:rsidR="00E51CDD" w:rsidRPr="008727C5" w:rsidRDefault="00E51CDD" w:rsidP="009938D9">
            <w:pPr>
              <w:widowControl w:val="0"/>
              <w:spacing w:beforeLines="40" w:before="96" w:afterLines="40" w:after="96"/>
              <w:jc w:val="center"/>
              <w:rPr>
                <w:sz w:val="16"/>
                <w:szCs w:val="16"/>
              </w:rPr>
            </w:pPr>
            <w:r w:rsidRPr="008727C5">
              <w:rPr>
                <w:color w:val="000000"/>
                <w:sz w:val="16"/>
                <w:szCs w:val="16"/>
              </w:rPr>
              <w:t>2.3</w:t>
            </w:r>
          </w:p>
        </w:tc>
        <w:tc>
          <w:tcPr>
            <w:tcW w:w="607" w:type="pct"/>
            <w:shd w:val="clear" w:color="auto" w:fill="auto"/>
            <w:noWrap/>
            <w:vAlign w:val="center"/>
          </w:tcPr>
          <w:p w14:paraId="112F97C9" w14:textId="77777777" w:rsidR="00E51CDD" w:rsidRPr="008727C5" w:rsidRDefault="00E51CDD" w:rsidP="009938D9">
            <w:pPr>
              <w:widowControl w:val="0"/>
              <w:spacing w:beforeLines="40" w:before="96" w:afterLines="40" w:after="96"/>
              <w:jc w:val="center"/>
              <w:rPr>
                <w:sz w:val="16"/>
                <w:szCs w:val="16"/>
              </w:rPr>
            </w:pPr>
            <w:r w:rsidRPr="008727C5">
              <w:rPr>
                <w:color w:val="000000"/>
                <w:sz w:val="16"/>
                <w:szCs w:val="16"/>
              </w:rPr>
              <w:t>68.4</w:t>
            </w:r>
          </w:p>
        </w:tc>
        <w:tc>
          <w:tcPr>
            <w:tcW w:w="602" w:type="pct"/>
            <w:vMerge/>
            <w:shd w:val="clear" w:color="auto" w:fill="auto"/>
            <w:vAlign w:val="center"/>
          </w:tcPr>
          <w:p w14:paraId="69DEB117" w14:textId="77777777" w:rsidR="00E51CDD" w:rsidRPr="0026404C" w:rsidRDefault="00E51CDD" w:rsidP="009938D9">
            <w:pPr>
              <w:widowControl w:val="0"/>
              <w:jc w:val="center"/>
              <w:rPr>
                <w:rFonts w:eastAsia="Batang"/>
                <w:b/>
                <w:sz w:val="16"/>
                <w:szCs w:val="16"/>
                <w:lang w:eastAsia="zh-CN"/>
              </w:rPr>
            </w:pPr>
          </w:p>
        </w:tc>
      </w:tr>
    </w:tbl>
    <w:p w14:paraId="710DE0D0" w14:textId="598D5477" w:rsidR="00E51CDD" w:rsidRDefault="00E51CDD" w:rsidP="00E51CDD">
      <w:pPr>
        <w:widowControl w:val="0"/>
        <w:jc w:val="both"/>
        <w:rPr>
          <w:b/>
        </w:rPr>
      </w:pPr>
      <w:r w:rsidRPr="00F85A92">
        <w:rPr>
          <w:sz w:val="18"/>
          <w:lang w:val="en-GB"/>
        </w:rPr>
        <w:t>TER</w:t>
      </w:r>
      <w:r>
        <w:rPr>
          <w:sz w:val="18"/>
          <w:lang w:val="en-GB"/>
        </w:rPr>
        <w:t xml:space="preserve"> values in </w:t>
      </w:r>
      <w:r w:rsidRPr="00F85A92">
        <w:rPr>
          <w:b/>
          <w:bCs/>
          <w:sz w:val="18"/>
          <w:lang w:val="en-GB"/>
        </w:rPr>
        <w:t>bold</w:t>
      </w:r>
      <w:r>
        <w:rPr>
          <w:sz w:val="18"/>
          <w:lang w:val="en-GB"/>
        </w:rPr>
        <w:t xml:space="preserve"> are below the trigger </w:t>
      </w:r>
      <w:r>
        <w:rPr>
          <w:sz w:val="18"/>
          <w:lang w:val="en-GB"/>
        </w:rPr>
        <w:br w:type="page"/>
      </w:r>
    </w:p>
    <w:p w14:paraId="3C766E18" w14:textId="559A1107" w:rsidR="00E51CDD" w:rsidRPr="0026404C" w:rsidRDefault="00E51CDD" w:rsidP="00E51CDD">
      <w:pPr>
        <w:widowControl w:val="0"/>
        <w:ind w:left="1980" w:hanging="1980"/>
        <w:jc w:val="both"/>
        <w:rPr>
          <w:b/>
        </w:rPr>
      </w:pPr>
      <w:bookmarkStart w:id="353" w:name="_Ref81826376"/>
      <w:r w:rsidRPr="0026404C">
        <w:rPr>
          <w:b/>
        </w:rPr>
        <w:lastRenderedPageBreak/>
        <w:t xml:space="preserve">Table </w:t>
      </w:r>
      <w:r w:rsidRPr="0026404C">
        <w:rPr>
          <w:b/>
        </w:rPr>
        <w:fldChar w:fldCharType="begin"/>
      </w:r>
      <w:r w:rsidRPr="0026404C">
        <w:rPr>
          <w:b/>
        </w:rPr>
        <w:instrText xml:space="preserve"> STYLEREF 2 \s </w:instrText>
      </w:r>
      <w:r w:rsidRPr="0026404C">
        <w:rPr>
          <w:b/>
        </w:rPr>
        <w:fldChar w:fldCharType="separate"/>
      </w:r>
      <w:r w:rsidR="00662F32">
        <w:rPr>
          <w:b/>
          <w:noProof/>
        </w:rPr>
        <w:t>9.3</w:t>
      </w:r>
      <w:r w:rsidRPr="0026404C">
        <w:rPr>
          <w:b/>
        </w:rPr>
        <w:fldChar w:fldCharType="end"/>
      </w:r>
      <w:r w:rsidRPr="0026404C">
        <w:rPr>
          <w:b/>
        </w:rPr>
        <w:noBreakHyphen/>
      </w:r>
      <w:r w:rsidRPr="0026404C">
        <w:rPr>
          <w:b/>
        </w:rPr>
        <w:fldChar w:fldCharType="begin"/>
      </w:r>
      <w:r w:rsidRPr="0026404C">
        <w:rPr>
          <w:b/>
        </w:rPr>
        <w:instrText xml:space="preserve"> SEQ Table \* ARABIC \s 2 </w:instrText>
      </w:r>
      <w:r w:rsidRPr="0026404C">
        <w:rPr>
          <w:b/>
        </w:rPr>
        <w:fldChar w:fldCharType="separate"/>
      </w:r>
      <w:r w:rsidR="00662F32">
        <w:rPr>
          <w:b/>
          <w:noProof/>
        </w:rPr>
        <w:t>7</w:t>
      </w:r>
      <w:r w:rsidRPr="0026404C">
        <w:rPr>
          <w:b/>
        </w:rPr>
        <w:fldChar w:fldCharType="end"/>
      </w:r>
      <w:bookmarkEnd w:id="353"/>
      <w:r w:rsidRPr="0026404C">
        <w:rPr>
          <w:b/>
        </w:rPr>
        <w:t xml:space="preserve">: </w:t>
      </w:r>
      <w:r w:rsidRPr="0026404C">
        <w:rPr>
          <w:b/>
        </w:rPr>
        <w:tab/>
      </w:r>
      <w:r>
        <w:rPr>
          <w:b/>
        </w:rPr>
        <w:t>Azoxystrobin</w:t>
      </w:r>
      <w:r w:rsidRPr="0026404C">
        <w:rPr>
          <w:b/>
        </w:rPr>
        <w:t>: Screening step and tier 1 calculations of the long-term/reproductive risk for mammals due to the use of BAS 7</w:t>
      </w:r>
      <w:r>
        <w:rPr>
          <w:b/>
        </w:rPr>
        <w:t>36</w:t>
      </w:r>
      <w:r w:rsidRPr="0026404C">
        <w:rPr>
          <w:b/>
        </w:rPr>
        <w:t> 00 F for the crop group “</w:t>
      </w:r>
      <w:r>
        <w:rPr>
          <w:b/>
        </w:rPr>
        <w:t>cereals</w:t>
      </w:r>
      <w:r w:rsidRPr="0026404C">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4"/>
        <w:gridCol w:w="1191"/>
        <w:gridCol w:w="1224"/>
        <w:gridCol w:w="1183"/>
        <w:gridCol w:w="1140"/>
        <w:gridCol w:w="13"/>
        <w:gridCol w:w="1122"/>
        <w:gridCol w:w="1135"/>
        <w:gridCol w:w="1125"/>
      </w:tblGrid>
      <w:tr w:rsidR="00E51CDD" w:rsidRPr="0026404C" w14:paraId="2FC58CEA" w14:textId="77777777" w:rsidTr="009938D9">
        <w:trPr>
          <w:trHeight w:val="796"/>
        </w:trPr>
        <w:tc>
          <w:tcPr>
            <w:tcW w:w="649" w:type="pct"/>
            <w:vMerge w:val="restart"/>
            <w:shd w:val="clear" w:color="auto" w:fill="auto"/>
            <w:vAlign w:val="center"/>
          </w:tcPr>
          <w:p w14:paraId="266A632A" w14:textId="77777777" w:rsidR="00E51CDD" w:rsidRPr="0026404C" w:rsidRDefault="00E51CDD" w:rsidP="009938D9">
            <w:pPr>
              <w:widowControl w:val="0"/>
              <w:spacing w:beforeLines="40" w:before="96" w:afterLines="40" w:after="96"/>
              <w:rPr>
                <w:rFonts w:eastAsia="Batang"/>
                <w:b/>
                <w:bCs/>
                <w:sz w:val="16"/>
                <w:szCs w:val="16"/>
                <w:lang w:eastAsia="zh-CN"/>
              </w:rPr>
            </w:pPr>
            <w:r w:rsidRPr="0026404C">
              <w:rPr>
                <w:rFonts w:eastAsia="Batang"/>
                <w:b/>
                <w:bCs/>
                <w:sz w:val="16"/>
                <w:szCs w:val="16"/>
                <w:lang w:eastAsia="zh-CN"/>
              </w:rPr>
              <w:t>Data from Data_Entry worksheet</w:t>
            </w:r>
          </w:p>
        </w:tc>
        <w:tc>
          <w:tcPr>
            <w:tcW w:w="637" w:type="pct"/>
            <w:shd w:val="clear" w:color="auto" w:fill="auto"/>
            <w:vAlign w:val="center"/>
          </w:tcPr>
          <w:p w14:paraId="5A6B10EE"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Crop</w:t>
            </w:r>
          </w:p>
        </w:tc>
        <w:tc>
          <w:tcPr>
            <w:tcW w:w="655" w:type="pct"/>
            <w:shd w:val="clear" w:color="auto" w:fill="auto"/>
            <w:vAlign w:val="center"/>
          </w:tcPr>
          <w:p w14:paraId="58757006"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Application rate (kg a.s./ha)</w:t>
            </w:r>
          </w:p>
        </w:tc>
        <w:tc>
          <w:tcPr>
            <w:tcW w:w="633" w:type="pct"/>
            <w:shd w:val="clear" w:color="auto" w:fill="auto"/>
            <w:vAlign w:val="center"/>
          </w:tcPr>
          <w:p w14:paraId="2C576FCC"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Number of applications</w:t>
            </w:r>
          </w:p>
        </w:tc>
        <w:tc>
          <w:tcPr>
            <w:tcW w:w="617" w:type="pct"/>
            <w:gridSpan w:val="2"/>
            <w:shd w:val="clear" w:color="auto" w:fill="auto"/>
            <w:vAlign w:val="center"/>
          </w:tcPr>
          <w:p w14:paraId="3168A1E1"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Application Interval</w:t>
            </w:r>
          </w:p>
        </w:tc>
        <w:tc>
          <w:tcPr>
            <w:tcW w:w="600" w:type="pct"/>
            <w:shd w:val="clear" w:color="auto" w:fill="auto"/>
            <w:vAlign w:val="center"/>
          </w:tcPr>
          <w:p w14:paraId="1616F421"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DT</w:t>
            </w:r>
            <w:r w:rsidRPr="0026404C">
              <w:rPr>
                <w:rFonts w:eastAsia="Batang"/>
                <w:b/>
                <w:bCs/>
                <w:sz w:val="16"/>
                <w:szCs w:val="16"/>
                <w:vertAlign w:val="subscript"/>
                <w:lang w:eastAsia="zh-CN"/>
              </w:rPr>
              <w:t>50</w:t>
            </w:r>
          </w:p>
        </w:tc>
        <w:tc>
          <w:tcPr>
            <w:tcW w:w="607" w:type="pct"/>
            <w:shd w:val="clear" w:color="auto" w:fill="auto"/>
            <w:vAlign w:val="center"/>
          </w:tcPr>
          <w:p w14:paraId="09A06318"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Reproductive End Point (mg/kg b.w./d)</w:t>
            </w:r>
          </w:p>
        </w:tc>
        <w:tc>
          <w:tcPr>
            <w:tcW w:w="602" w:type="pct"/>
            <w:shd w:val="clear" w:color="auto" w:fill="auto"/>
            <w:vAlign w:val="center"/>
          </w:tcPr>
          <w:p w14:paraId="69063FAC"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Time weighted average (TWA)</w:t>
            </w:r>
          </w:p>
        </w:tc>
      </w:tr>
      <w:tr w:rsidR="00E51CDD" w:rsidRPr="0026404C" w14:paraId="533FF90E" w14:textId="77777777" w:rsidTr="009938D9">
        <w:trPr>
          <w:trHeight w:val="319"/>
        </w:trPr>
        <w:tc>
          <w:tcPr>
            <w:tcW w:w="649" w:type="pct"/>
            <w:vMerge/>
            <w:shd w:val="clear" w:color="auto" w:fill="auto"/>
            <w:vAlign w:val="center"/>
          </w:tcPr>
          <w:p w14:paraId="48BBC845" w14:textId="77777777" w:rsidR="00E51CDD" w:rsidRPr="0026404C" w:rsidRDefault="00E51CDD" w:rsidP="009938D9">
            <w:pPr>
              <w:widowControl w:val="0"/>
              <w:spacing w:beforeLines="40" w:before="96" w:afterLines="40" w:after="96"/>
              <w:rPr>
                <w:rFonts w:eastAsia="Batang"/>
                <w:b/>
                <w:bCs/>
                <w:sz w:val="16"/>
                <w:szCs w:val="16"/>
                <w:lang w:eastAsia="zh-CN"/>
              </w:rPr>
            </w:pPr>
          </w:p>
        </w:tc>
        <w:tc>
          <w:tcPr>
            <w:tcW w:w="637" w:type="pct"/>
            <w:shd w:val="clear" w:color="auto" w:fill="auto"/>
            <w:vAlign w:val="center"/>
          </w:tcPr>
          <w:p w14:paraId="66FEE20B" w14:textId="77777777" w:rsidR="00E51CDD" w:rsidRPr="0026404C" w:rsidRDefault="00E51CDD" w:rsidP="009938D9">
            <w:pPr>
              <w:widowControl w:val="0"/>
              <w:spacing w:beforeLines="40" w:before="96" w:afterLines="40" w:after="96"/>
              <w:jc w:val="center"/>
              <w:rPr>
                <w:rFonts w:eastAsia="Batang"/>
                <w:sz w:val="16"/>
                <w:szCs w:val="16"/>
                <w:lang w:eastAsia="zh-CN"/>
              </w:rPr>
            </w:pPr>
            <w:r>
              <w:rPr>
                <w:rFonts w:eastAsia="Batang"/>
                <w:sz w:val="16"/>
                <w:szCs w:val="16"/>
                <w:lang w:eastAsia="zh-CN"/>
              </w:rPr>
              <w:t>Cereals</w:t>
            </w:r>
          </w:p>
        </w:tc>
        <w:tc>
          <w:tcPr>
            <w:tcW w:w="655" w:type="pct"/>
            <w:shd w:val="clear" w:color="auto" w:fill="auto"/>
            <w:vAlign w:val="center"/>
          </w:tcPr>
          <w:p w14:paraId="5B32BE2D" w14:textId="77777777" w:rsidR="00E51CDD" w:rsidRPr="0026404C" w:rsidRDefault="00E51CDD" w:rsidP="009938D9">
            <w:pPr>
              <w:widowControl w:val="0"/>
              <w:jc w:val="center"/>
              <w:rPr>
                <w:sz w:val="16"/>
                <w:szCs w:val="16"/>
              </w:rPr>
            </w:pPr>
            <w:r w:rsidRPr="0026404C">
              <w:rPr>
                <w:sz w:val="16"/>
                <w:szCs w:val="16"/>
              </w:rPr>
              <w:t>0.</w:t>
            </w:r>
            <w:r>
              <w:rPr>
                <w:sz w:val="16"/>
                <w:szCs w:val="16"/>
              </w:rPr>
              <w:t>150</w:t>
            </w:r>
          </w:p>
        </w:tc>
        <w:tc>
          <w:tcPr>
            <w:tcW w:w="633" w:type="pct"/>
            <w:shd w:val="clear" w:color="auto" w:fill="auto"/>
            <w:vAlign w:val="center"/>
          </w:tcPr>
          <w:p w14:paraId="44B699B1" w14:textId="77777777" w:rsidR="00E51CDD" w:rsidRPr="0026404C" w:rsidRDefault="00E51CDD" w:rsidP="009938D9">
            <w:pPr>
              <w:widowControl w:val="0"/>
              <w:jc w:val="center"/>
              <w:rPr>
                <w:sz w:val="16"/>
                <w:szCs w:val="16"/>
              </w:rPr>
            </w:pPr>
            <w:r w:rsidRPr="0026404C">
              <w:rPr>
                <w:sz w:val="16"/>
                <w:szCs w:val="16"/>
              </w:rPr>
              <w:t>2</w:t>
            </w:r>
          </w:p>
        </w:tc>
        <w:tc>
          <w:tcPr>
            <w:tcW w:w="617" w:type="pct"/>
            <w:gridSpan w:val="2"/>
            <w:shd w:val="clear" w:color="auto" w:fill="auto"/>
            <w:vAlign w:val="center"/>
          </w:tcPr>
          <w:p w14:paraId="2C32F0DF" w14:textId="77777777" w:rsidR="00E51CDD" w:rsidRPr="0026404C" w:rsidRDefault="00E51CDD" w:rsidP="009938D9">
            <w:pPr>
              <w:widowControl w:val="0"/>
              <w:jc w:val="center"/>
              <w:rPr>
                <w:sz w:val="16"/>
                <w:szCs w:val="16"/>
              </w:rPr>
            </w:pPr>
            <w:r>
              <w:rPr>
                <w:sz w:val="16"/>
                <w:szCs w:val="16"/>
              </w:rPr>
              <w:t>21</w:t>
            </w:r>
          </w:p>
        </w:tc>
        <w:tc>
          <w:tcPr>
            <w:tcW w:w="600" w:type="pct"/>
            <w:shd w:val="clear" w:color="auto" w:fill="auto"/>
            <w:vAlign w:val="center"/>
          </w:tcPr>
          <w:p w14:paraId="394F5F1F" w14:textId="77777777" w:rsidR="00E51CDD" w:rsidRPr="0026404C" w:rsidRDefault="00E51CDD" w:rsidP="009938D9">
            <w:pPr>
              <w:widowControl w:val="0"/>
              <w:jc w:val="center"/>
              <w:rPr>
                <w:sz w:val="16"/>
                <w:szCs w:val="16"/>
              </w:rPr>
            </w:pPr>
            <w:r w:rsidRPr="0026404C">
              <w:rPr>
                <w:sz w:val="16"/>
                <w:szCs w:val="16"/>
              </w:rPr>
              <w:t>10</w:t>
            </w:r>
          </w:p>
        </w:tc>
        <w:tc>
          <w:tcPr>
            <w:tcW w:w="607" w:type="pct"/>
            <w:shd w:val="clear" w:color="auto" w:fill="auto"/>
            <w:noWrap/>
            <w:vAlign w:val="center"/>
          </w:tcPr>
          <w:p w14:paraId="3501065F" w14:textId="77777777" w:rsidR="00E51CDD" w:rsidRPr="0026404C" w:rsidRDefault="00E51CDD" w:rsidP="009938D9">
            <w:pPr>
              <w:widowControl w:val="0"/>
              <w:jc w:val="center"/>
              <w:rPr>
                <w:sz w:val="16"/>
                <w:szCs w:val="16"/>
              </w:rPr>
            </w:pPr>
            <w:r>
              <w:rPr>
                <w:sz w:val="16"/>
                <w:szCs w:val="16"/>
              </w:rPr>
              <w:t>32</w:t>
            </w:r>
            <w:r w:rsidRPr="0026404C">
              <w:rPr>
                <w:sz w:val="16"/>
                <w:szCs w:val="16"/>
              </w:rPr>
              <w:t>.0</w:t>
            </w:r>
          </w:p>
        </w:tc>
        <w:tc>
          <w:tcPr>
            <w:tcW w:w="602" w:type="pct"/>
            <w:shd w:val="clear" w:color="auto" w:fill="auto"/>
            <w:vAlign w:val="center"/>
          </w:tcPr>
          <w:p w14:paraId="035E49C0" w14:textId="77777777" w:rsidR="00E51CDD" w:rsidRPr="0026404C" w:rsidRDefault="00E51CDD" w:rsidP="009938D9">
            <w:pPr>
              <w:widowControl w:val="0"/>
              <w:jc w:val="center"/>
              <w:rPr>
                <w:sz w:val="16"/>
                <w:szCs w:val="16"/>
              </w:rPr>
            </w:pPr>
            <w:r w:rsidRPr="0026404C">
              <w:rPr>
                <w:sz w:val="16"/>
                <w:szCs w:val="16"/>
              </w:rPr>
              <w:t>0.53</w:t>
            </w:r>
          </w:p>
        </w:tc>
      </w:tr>
      <w:tr w:rsidR="00E51CDD" w:rsidRPr="0026404C" w14:paraId="080F6FF6" w14:textId="77777777" w:rsidTr="009938D9">
        <w:trPr>
          <w:trHeight w:val="300"/>
        </w:trPr>
        <w:tc>
          <w:tcPr>
            <w:tcW w:w="5000" w:type="pct"/>
            <w:gridSpan w:val="9"/>
            <w:shd w:val="clear" w:color="auto" w:fill="auto"/>
            <w:noWrap/>
            <w:vAlign w:val="center"/>
          </w:tcPr>
          <w:p w14:paraId="584271AA" w14:textId="77777777" w:rsidR="00E51CDD" w:rsidRPr="0026404C" w:rsidRDefault="00E51CDD" w:rsidP="009938D9">
            <w:pPr>
              <w:widowControl w:val="0"/>
              <w:spacing w:beforeLines="40" w:before="96" w:afterLines="40" w:after="96"/>
              <w:rPr>
                <w:rFonts w:eastAsia="Batang"/>
                <w:b/>
                <w:bCs/>
                <w:sz w:val="16"/>
                <w:szCs w:val="16"/>
                <w:lang w:eastAsia="zh-CN"/>
              </w:rPr>
            </w:pPr>
            <w:r w:rsidRPr="0026404C">
              <w:rPr>
                <w:rFonts w:eastAsia="Batang"/>
                <w:b/>
                <w:bCs/>
                <w:sz w:val="16"/>
                <w:szCs w:val="16"/>
                <w:lang w:eastAsia="zh-CN"/>
              </w:rPr>
              <w:t>Screening step:</w:t>
            </w:r>
          </w:p>
        </w:tc>
      </w:tr>
      <w:tr w:rsidR="00E51CDD" w:rsidRPr="0026404C" w14:paraId="239D650C" w14:textId="77777777" w:rsidTr="009938D9">
        <w:trPr>
          <w:trHeight w:val="868"/>
        </w:trPr>
        <w:tc>
          <w:tcPr>
            <w:tcW w:w="649" w:type="pct"/>
            <w:vMerge w:val="restart"/>
            <w:shd w:val="clear" w:color="auto" w:fill="auto"/>
            <w:vAlign w:val="center"/>
          </w:tcPr>
          <w:p w14:paraId="5346E4BE" w14:textId="77777777" w:rsidR="00E51CDD" w:rsidRPr="0026404C" w:rsidRDefault="00E51CDD" w:rsidP="009938D9">
            <w:pPr>
              <w:widowControl w:val="0"/>
              <w:spacing w:beforeLines="40" w:before="96" w:afterLines="40" w:after="96"/>
              <w:rPr>
                <w:rFonts w:eastAsia="Batang"/>
                <w:sz w:val="16"/>
                <w:szCs w:val="16"/>
                <w:lang w:eastAsia="zh-CN"/>
              </w:rPr>
            </w:pPr>
            <w:r w:rsidRPr="0026404C">
              <w:rPr>
                <w:rFonts w:eastAsia="Batang"/>
                <w:sz w:val="16"/>
                <w:szCs w:val="16"/>
                <w:lang w:eastAsia="zh-CN"/>
              </w:rPr>
              <w:t>Reproductive risk assessment screening step</w:t>
            </w:r>
          </w:p>
        </w:tc>
        <w:tc>
          <w:tcPr>
            <w:tcW w:w="637" w:type="pct"/>
            <w:shd w:val="clear" w:color="auto" w:fill="auto"/>
            <w:vAlign w:val="center"/>
          </w:tcPr>
          <w:p w14:paraId="61C22596"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Indicator species</w:t>
            </w:r>
          </w:p>
        </w:tc>
        <w:tc>
          <w:tcPr>
            <w:tcW w:w="655" w:type="pct"/>
            <w:shd w:val="clear" w:color="auto" w:fill="auto"/>
            <w:vAlign w:val="center"/>
          </w:tcPr>
          <w:p w14:paraId="7028E027"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Shortcut value</w:t>
            </w:r>
          </w:p>
        </w:tc>
        <w:tc>
          <w:tcPr>
            <w:tcW w:w="633" w:type="pct"/>
            <w:shd w:val="clear" w:color="auto" w:fill="auto"/>
            <w:vAlign w:val="center"/>
          </w:tcPr>
          <w:p w14:paraId="6B2C3140"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Daily Dietary Dose (single)</w:t>
            </w:r>
          </w:p>
        </w:tc>
        <w:tc>
          <w:tcPr>
            <w:tcW w:w="610" w:type="pct"/>
            <w:shd w:val="clear" w:color="auto" w:fill="auto"/>
            <w:vAlign w:val="center"/>
          </w:tcPr>
          <w:p w14:paraId="196A5279"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MAF mean</w:t>
            </w:r>
          </w:p>
        </w:tc>
        <w:tc>
          <w:tcPr>
            <w:tcW w:w="607" w:type="pct"/>
            <w:gridSpan w:val="2"/>
            <w:shd w:val="clear" w:color="auto" w:fill="auto"/>
            <w:vAlign w:val="center"/>
          </w:tcPr>
          <w:p w14:paraId="1EEAA6EE"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Daily Dietary Dose (Multiple)</w:t>
            </w:r>
          </w:p>
        </w:tc>
        <w:tc>
          <w:tcPr>
            <w:tcW w:w="607" w:type="pct"/>
            <w:shd w:val="clear" w:color="auto" w:fill="auto"/>
            <w:vAlign w:val="center"/>
          </w:tcPr>
          <w:p w14:paraId="2B12AA11"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TER</w:t>
            </w:r>
          </w:p>
        </w:tc>
        <w:tc>
          <w:tcPr>
            <w:tcW w:w="602" w:type="pct"/>
            <w:vMerge w:val="restart"/>
            <w:shd w:val="clear" w:color="auto" w:fill="auto"/>
            <w:vAlign w:val="center"/>
          </w:tcPr>
          <w:p w14:paraId="06130B19" w14:textId="77777777" w:rsidR="00E51CDD" w:rsidRPr="0026404C" w:rsidRDefault="00E51CDD" w:rsidP="009938D9">
            <w:pPr>
              <w:widowControl w:val="0"/>
              <w:jc w:val="center"/>
              <w:rPr>
                <w:rFonts w:eastAsia="Batang"/>
                <w:b/>
                <w:bCs/>
                <w:sz w:val="16"/>
                <w:szCs w:val="16"/>
                <w:lang w:eastAsia="zh-CN"/>
              </w:rPr>
            </w:pPr>
            <w:r w:rsidRPr="0026404C">
              <w:rPr>
                <w:rFonts w:eastAsia="Batang"/>
                <w:bCs/>
                <w:sz w:val="16"/>
                <w:szCs w:val="16"/>
                <w:lang w:eastAsia="zh-CN"/>
              </w:rPr>
              <w:t>No refinement step required</w:t>
            </w:r>
          </w:p>
        </w:tc>
      </w:tr>
      <w:tr w:rsidR="00E51CDD" w:rsidRPr="0026404C" w14:paraId="0C6E4C1C" w14:textId="77777777" w:rsidTr="009938D9">
        <w:trPr>
          <w:trHeight w:val="300"/>
        </w:trPr>
        <w:tc>
          <w:tcPr>
            <w:tcW w:w="649" w:type="pct"/>
            <w:vMerge/>
            <w:shd w:val="clear" w:color="auto" w:fill="auto"/>
            <w:vAlign w:val="center"/>
          </w:tcPr>
          <w:p w14:paraId="683A4237" w14:textId="77777777" w:rsidR="00E51CDD" w:rsidRPr="0026404C" w:rsidRDefault="00E51CDD" w:rsidP="009938D9">
            <w:pPr>
              <w:widowControl w:val="0"/>
              <w:spacing w:beforeLines="40" w:before="96" w:afterLines="40" w:after="96"/>
              <w:rPr>
                <w:rFonts w:eastAsia="Batang"/>
                <w:sz w:val="16"/>
                <w:szCs w:val="16"/>
                <w:lang w:eastAsia="zh-CN"/>
              </w:rPr>
            </w:pPr>
          </w:p>
        </w:tc>
        <w:tc>
          <w:tcPr>
            <w:tcW w:w="637" w:type="pct"/>
            <w:shd w:val="clear" w:color="auto" w:fill="auto"/>
            <w:vAlign w:val="center"/>
          </w:tcPr>
          <w:p w14:paraId="1E0B356A" w14:textId="77777777" w:rsidR="00E51CDD" w:rsidRPr="0026404C" w:rsidRDefault="00E51CDD" w:rsidP="009938D9">
            <w:pPr>
              <w:widowControl w:val="0"/>
              <w:spacing w:beforeLines="40" w:before="96" w:afterLines="40" w:after="96"/>
              <w:jc w:val="center"/>
              <w:rPr>
                <w:rFonts w:eastAsia="Batang"/>
                <w:sz w:val="16"/>
                <w:szCs w:val="16"/>
                <w:lang w:eastAsia="zh-CN"/>
              </w:rPr>
            </w:pPr>
            <w:r w:rsidRPr="0026404C">
              <w:rPr>
                <w:rFonts w:eastAsia="Batang"/>
                <w:sz w:val="16"/>
                <w:szCs w:val="16"/>
                <w:lang w:eastAsia="zh-CN"/>
              </w:rPr>
              <w:t>Small herbivorous mammal</w:t>
            </w:r>
          </w:p>
        </w:tc>
        <w:tc>
          <w:tcPr>
            <w:tcW w:w="655" w:type="pct"/>
            <w:shd w:val="clear" w:color="auto" w:fill="auto"/>
            <w:vAlign w:val="center"/>
          </w:tcPr>
          <w:p w14:paraId="2F0CD988" w14:textId="77777777" w:rsidR="00E51CDD" w:rsidRPr="0026404C" w:rsidRDefault="00E51CDD" w:rsidP="009938D9">
            <w:pPr>
              <w:widowControl w:val="0"/>
              <w:spacing w:beforeLines="40" w:before="96" w:afterLines="40" w:after="96"/>
              <w:jc w:val="center"/>
              <w:rPr>
                <w:rFonts w:eastAsia="Batang"/>
                <w:sz w:val="16"/>
                <w:szCs w:val="16"/>
                <w:lang w:eastAsia="zh-CN"/>
              </w:rPr>
            </w:pPr>
            <w:r w:rsidRPr="0026404C">
              <w:rPr>
                <w:sz w:val="16"/>
                <w:szCs w:val="16"/>
              </w:rPr>
              <w:t>48.3</w:t>
            </w:r>
          </w:p>
        </w:tc>
        <w:tc>
          <w:tcPr>
            <w:tcW w:w="633" w:type="pct"/>
            <w:shd w:val="clear" w:color="auto" w:fill="auto"/>
            <w:vAlign w:val="center"/>
          </w:tcPr>
          <w:p w14:paraId="1B020ED3" w14:textId="77777777" w:rsidR="00E51CDD" w:rsidRPr="00F85A92" w:rsidRDefault="00E51CDD" w:rsidP="009938D9">
            <w:pPr>
              <w:widowControl w:val="0"/>
              <w:spacing w:beforeLines="40" w:before="96" w:afterLines="40" w:after="96"/>
              <w:jc w:val="center"/>
              <w:rPr>
                <w:rFonts w:eastAsia="Batang"/>
                <w:sz w:val="16"/>
                <w:szCs w:val="16"/>
                <w:lang w:eastAsia="zh-CN"/>
              </w:rPr>
            </w:pPr>
            <w:r w:rsidRPr="00F85A92">
              <w:rPr>
                <w:color w:val="000000"/>
                <w:sz w:val="16"/>
                <w:szCs w:val="16"/>
              </w:rPr>
              <w:t>7.25</w:t>
            </w:r>
          </w:p>
        </w:tc>
        <w:tc>
          <w:tcPr>
            <w:tcW w:w="610" w:type="pct"/>
            <w:shd w:val="clear" w:color="auto" w:fill="auto"/>
            <w:vAlign w:val="center"/>
          </w:tcPr>
          <w:p w14:paraId="38FF7504" w14:textId="77777777" w:rsidR="00E51CDD" w:rsidRPr="00F85A92" w:rsidRDefault="00E51CDD" w:rsidP="009938D9">
            <w:pPr>
              <w:widowControl w:val="0"/>
              <w:spacing w:beforeLines="40" w:before="96" w:afterLines="40" w:after="96"/>
              <w:jc w:val="center"/>
              <w:rPr>
                <w:rFonts w:eastAsia="Batang"/>
                <w:sz w:val="16"/>
                <w:szCs w:val="16"/>
                <w:lang w:eastAsia="zh-CN"/>
              </w:rPr>
            </w:pPr>
            <w:r w:rsidRPr="00F85A92">
              <w:rPr>
                <w:color w:val="000000"/>
                <w:sz w:val="16"/>
                <w:szCs w:val="16"/>
              </w:rPr>
              <w:t>1.2</w:t>
            </w:r>
          </w:p>
        </w:tc>
        <w:tc>
          <w:tcPr>
            <w:tcW w:w="607" w:type="pct"/>
            <w:gridSpan w:val="2"/>
            <w:shd w:val="clear" w:color="auto" w:fill="auto"/>
            <w:noWrap/>
            <w:vAlign w:val="center"/>
          </w:tcPr>
          <w:p w14:paraId="3B38F56B" w14:textId="77777777" w:rsidR="00E51CDD" w:rsidRPr="00F85A92" w:rsidRDefault="00E51CDD" w:rsidP="009938D9">
            <w:pPr>
              <w:widowControl w:val="0"/>
              <w:spacing w:beforeLines="40" w:before="96" w:afterLines="40" w:after="96"/>
              <w:jc w:val="center"/>
              <w:rPr>
                <w:rFonts w:eastAsia="Batang"/>
                <w:sz w:val="16"/>
                <w:szCs w:val="16"/>
                <w:lang w:eastAsia="zh-CN"/>
              </w:rPr>
            </w:pPr>
            <w:r w:rsidRPr="00F85A92">
              <w:rPr>
                <w:color w:val="000000"/>
                <w:sz w:val="16"/>
                <w:szCs w:val="16"/>
              </w:rPr>
              <w:t>4.61</w:t>
            </w:r>
          </w:p>
        </w:tc>
        <w:tc>
          <w:tcPr>
            <w:tcW w:w="607" w:type="pct"/>
            <w:shd w:val="clear" w:color="auto" w:fill="auto"/>
            <w:vAlign w:val="center"/>
          </w:tcPr>
          <w:p w14:paraId="132BD0FB" w14:textId="77777777" w:rsidR="00E51CDD" w:rsidRPr="00F85A92" w:rsidRDefault="00E51CDD" w:rsidP="009938D9">
            <w:pPr>
              <w:widowControl w:val="0"/>
              <w:spacing w:beforeLines="40" w:before="96" w:afterLines="40" w:after="96"/>
              <w:jc w:val="center"/>
              <w:rPr>
                <w:rFonts w:eastAsia="Batang"/>
                <w:b/>
                <w:bCs/>
                <w:sz w:val="16"/>
                <w:szCs w:val="16"/>
                <w:lang w:eastAsia="zh-CN"/>
              </w:rPr>
            </w:pPr>
            <w:r w:rsidRPr="00F85A92">
              <w:rPr>
                <w:color w:val="000000"/>
                <w:sz w:val="16"/>
                <w:szCs w:val="16"/>
              </w:rPr>
              <w:t>6.94</w:t>
            </w:r>
          </w:p>
        </w:tc>
        <w:tc>
          <w:tcPr>
            <w:tcW w:w="602" w:type="pct"/>
            <w:vMerge/>
            <w:shd w:val="clear" w:color="auto" w:fill="auto"/>
            <w:vAlign w:val="center"/>
          </w:tcPr>
          <w:p w14:paraId="12FCEF20" w14:textId="77777777" w:rsidR="00E51CDD" w:rsidRPr="0026404C" w:rsidRDefault="00E51CDD" w:rsidP="009938D9">
            <w:pPr>
              <w:widowControl w:val="0"/>
              <w:spacing w:beforeLines="40" w:before="96" w:afterLines="40" w:after="96"/>
              <w:rPr>
                <w:rFonts w:eastAsia="Batang"/>
                <w:b/>
                <w:bCs/>
                <w:sz w:val="16"/>
                <w:szCs w:val="16"/>
                <w:lang w:eastAsia="zh-CN"/>
              </w:rPr>
            </w:pPr>
          </w:p>
        </w:tc>
      </w:tr>
      <w:tr w:rsidR="00E51CDD" w:rsidRPr="0026404C" w14:paraId="58751E09" w14:textId="77777777" w:rsidTr="009938D9">
        <w:trPr>
          <w:trHeight w:val="300"/>
        </w:trPr>
        <w:tc>
          <w:tcPr>
            <w:tcW w:w="5000" w:type="pct"/>
            <w:gridSpan w:val="9"/>
            <w:shd w:val="clear" w:color="auto" w:fill="auto"/>
            <w:noWrap/>
            <w:vAlign w:val="center"/>
          </w:tcPr>
          <w:p w14:paraId="7E6A8B76" w14:textId="77777777" w:rsidR="00E51CDD" w:rsidRPr="0026404C" w:rsidRDefault="00E51CDD" w:rsidP="009938D9">
            <w:pPr>
              <w:widowControl w:val="0"/>
              <w:spacing w:beforeLines="40" w:before="96" w:afterLines="40" w:after="96"/>
              <w:rPr>
                <w:rFonts w:eastAsia="Batang"/>
                <w:b/>
                <w:bCs/>
                <w:sz w:val="16"/>
                <w:szCs w:val="16"/>
                <w:lang w:eastAsia="zh-CN"/>
              </w:rPr>
            </w:pPr>
            <w:r w:rsidRPr="0026404C">
              <w:rPr>
                <w:rFonts w:eastAsia="Batang"/>
                <w:b/>
                <w:bCs/>
                <w:sz w:val="16"/>
                <w:szCs w:val="16"/>
                <w:lang w:eastAsia="zh-CN"/>
              </w:rPr>
              <w:t>First Tier Risk Assessment:</w:t>
            </w:r>
            <w:r w:rsidRPr="0026404C">
              <w:rPr>
                <w:rFonts w:eastAsia="Batang"/>
                <w:b/>
                <w:bCs/>
                <w:sz w:val="16"/>
                <w:szCs w:val="16"/>
                <w:vertAlign w:val="superscript"/>
                <w:lang w:eastAsia="zh-CN"/>
              </w:rPr>
              <w:t xml:space="preserve"> 1)</w:t>
            </w:r>
          </w:p>
        </w:tc>
      </w:tr>
      <w:tr w:rsidR="00E51CDD" w:rsidRPr="0026404C" w14:paraId="6BC1955C" w14:textId="77777777" w:rsidTr="009938D9">
        <w:trPr>
          <w:trHeight w:val="600"/>
        </w:trPr>
        <w:tc>
          <w:tcPr>
            <w:tcW w:w="649" w:type="pct"/>
            <w:vMerge w:val="restart"/>
            <w:shd w:val="clear" w:color="auto" w:fill="auto"/>
            <w:vAlign w:val="center"/>
          </w:tcPr>
          <w:p w14:paraId="200E15F7" w14:textId="77777777" w:rsidR="00E51CDD" w:rsidRPr="0026404C" w:rsidRDefault="00E51CDD" w:rsidP="009938D9">
            <w:pPr>
              <w:widowControl w:val="0"/>
              <w:spacing w:beforeLines="40" w:before="96" w:afterLines="40" w:after="96"/>
              <w:rPr>
                <w:rFonts w:eastAsia="Batang"/>
                <w:sz w:val="16"/>
                <w:szCs w:val="16"/>
                <w:lang w:eastAsia="zh-CN"/>
              </w:rPr>
            </w:pPr>
            <w:r w:rsidRPr="0026404C">
              <w:rPr>
                <w:rFonts w:eastAsia="Batang"/>
                <w:sz w:val="16"/>
                <w:szCs w:val="16"/>
                <w:lang w:eastAsia="zh-CN"/>
              </w:rPr>
              <w:t>Calculate TER for each generic focal species selected</w:t>
            </w:r>
          </w:p>
        </w:tc>
        <w:tc>
          <w:tcPr>
            <w:tcW w:w="637" w:type="pct"/>
            <w:shd w:val="clear" w:color="auto" w:fill="auto"/>
            <w:vAlign w:val="center"/>
          </w:tcPr>
          <w:p w14:paraId="576D5E46"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Crop</w:t>
            </w:r>
          </w:p>
        </w:tc>
        <w:tc>
          <w:tcPr>
            <w:tcW w:w="1898" w:type="pct"/>
            <w:gridSpan w:val="3"/>
            <w:shd w:val="clear" w:color="auto" w:fill="auto"/>
            <w:vAlign w:val="center"/>
          </w:tcPr>
          <w:p w14:paraId="19C69074"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Generic focal species</w:t>
            </w:r>
          </w:p>
        </w:tc>
        <w:tc>
          <w:tcPr>
            <w:tcW w:w="607" w:type="pct"/>
            <w:gridSpan w:val="2"/>
            <w:shd w:val="clear" w:color="auto" w:fill="auto"/>
            <w:vAlign w:val="center"/>
          </w:tcPr>
          <w:p w14:paraId="71A070A1"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Shortcut value</w:t>
            </w:r>
          </w:p>
        </w:tc>
        <w:tc>
          <w:tcPr>
            <w:tcW w:w="607" w:type="pct"/>
            <w:shd w:val="clear" w:color="auto" w:fill="auto"/>
            <w:vAlign w:val="center"/>
          </w:tcPr>
          <w:p w14:paraId="330DBD0F" w14:textId="77777777" w:rsidR="00E51CDD" w:rsidRPr="0026404C" w:rsidRDefault="00E51CDD" w:rsidP="009938D9">
            <w:pPr>
              <w:widowControl w:val="0"/>
              <w:spacing w:beforeLines="40" w:before="96" w:afterLines="40" w:after="96"/>
              <w:jc w:val="center"/>
              <w:rPr>
                <w:rFonts w:eastAsia="Batang"/>
                <w:b/>
                <w:bCs/>
                <w:sz w:val="16"/>
                <w:szCs w:val="16"/>
                <w:lang w:eastAsia="zh-CN"/>
              </w:rPr>
            </w:pPr>
            <w:r w:rsidRPr="0026404C">
              <w:rPr>
                <w:rFonts w:eastAsia="Batang"/>
                <w:b/>
                <w:bCs/>
                <w:sz w:val="16"/>
                <w:szCs w:val="16"/>
                <w:lang w:eastAsia="zh-CN"/>
              </w:rPr>
              <w:t>TER</w:t>
            </w:r>
          </w:p>
        </w:tc>
        <w:tc>
          <w:tcPr>
            <w:tcW w:w="602" w:type="pct"/>
            <w:vMerge w:val="restart"/>
            <w:shd w:val="clear" w:color="auto" w:fill="auto"/>
            <w:noWrap/>
            <w:vAlign w:val="center"/>
          </w:tcPr>
          <w:p w14:paraId="311AC9EF" w14:textId="77777777" w:rsidR="00E51CDD" w:rsidRPr="0026404C" w:rsidRDefault="00E51CDD" w:rsidP="009938D9">
            <w:pPr>
              <w:widowControl w:val="0"/>
              <w:jc w:val="center"/>
              <w:rPr>
                <w:rFonts w:eastAsia="Batang"/>
                <w:b/>
                <w:bCs/>
                <w:sz w:val="16"/>
                <w:szCs w:val="16"/>
                <w:lang w:eastAsia="zh-CN"/>
              </w:rPr>
            </w:pPr>
            <w:r w:rsidRPr="0026404C">
              <w:rPr>
                <w:rFonts w:eastAsia="Batang"/>
                <w:bCs/>
                <w:sz w:val="16"/>
                <w:szCs w:val="16"/>
                <w:lang w:eastAsia="zh-CN"/>
              </w:rPr>
              <w:t>No refinement required</w:t>
            </w:r>
          </w:p>
        </w:tc>
      </w:tr>
      <w:tr w:rsidR="00E51CDD" w:rsidRPr="0026404C" w14:paraId="461EE266" w14:textId="77777777" w:rsidTr="009938D9">
        <w:trPr>
          <w:trHeight w:val="600"/>
        </w:trPr>
        <w:tc>
          <w:tcPr>
            <w:tcW w:w="649" w:type="pct"/>
            <w:vMerge/>
            <w:shd w:val="clear" w:color="auto" w:fill="auto"/>
          </w:tcPr>
          <w:p w14:paraId="7C8BEBD2" w14:textId="77777777" w:rsidR="00E51CDD" w:rsidRPr="0026404C" w:rsidRDefault="00E51CDD" w:rsidP="009938D9">
            <w:pPr>
              <w:widowControl w:val="0"/>
              <w:spacing w:beforeLines="40" w:before="96" w:afterLines="40" w:after="96"/>
              <w:rPr>
                <w:rFonts w:eastAsia="Batang"/>
                <w:sz w:val="16"/>
                <w:szCs w:val="16"/>
                <w:lang w:eastAsia="zh-CN"/>
              </w:rPr>
            </w:pPr>
          </w:p>
        </w:tc>
        <w:tc>
          <w:tcPr>
            <w:tcW w:w="637" w:type="pct"/>
            <w:shd w:val="clear" w:color="auto" w:fill="auto"/>
            <w:vAlign w:val="center"/>
          </w:tcPr>
          <w:p w14:paraId="1EE2CBCE" w14:textId="77777777" w:rsidR="00E51CDD" w:rsidRPr="00F85A92" w:rsidRDefault="00E51CDD" w:rsidP="009938D9">
            <w:pPr>
              <w:widowControl w:val="0"/>
              <w:spacing w:beforeLines="40" w:before="96" w:afterLines="40" w:after="96"/>
              <w:jc w:val="center"/>
              <w:rPr>
                <w:rFonts w:eastAsia="Batang"/>
                <w:sz w:val="16"/>
                <w:szCs w:val="16"/>
                <w:lang w:eastAsia="zh-CN"/>
              </w:rPr>
            </w:pPr>
            <w:r w:rsidRPr="00F85A92">
              <w:rPr>
                <w:color w:val="000000"/>
                <w:sz w:val="16"/>
                <w:szCs w:val="16"/>
              </w:rPr>
              <w:t>Cereals BBCH ≥ 20</w:t>
            </w:r>
          </w:p>
        </w:tc>
        <w:tc>
          <w:tcPr>
            <w:tcW w:w="1898" w:type="pct"/>
            <w:gridSpan w:val="3"/>
            <w:shd w:val="clear" w:color="auto" w:fill="auto"/>
            <w:vAlign w:val="center"/>
          </w:tcPr>
          <w:p w14:paraId="7DB162B1" w14:textId="77777777" w:rsidR="00E51CDD" w:rsidRPr="00F85A92" w:rsidRDefault="00E51CDD" w:rsidP="009938D9">
            <w:pPr>
              <w:widowControl w:val="0"/>
              <w:spacing w:beforeLines="40" w:before="96" w:afterLines="40" w:after="96"/>
              <w:jc w:val="center"/>
              <w:rPr>
                <w:rFonts w:eastAsia="Batang"/>
                <w:sz w:val="16"/>
                <w:szCs w:val="16"/>
                <w:lang w:eastAsia="zh-CN"/>
              </w:rPr>
            </w:pPr>
            <w:r w:rsidRPr="00F85A92">
              <w:rPr>
                <w:color w:val="000000"/>
                <w:sz w:val="16"/>
                <w:szCs w:val="16"/>
              </w:rPr>
              <w:t>Small insectivorous mammal "shrew" ground dwelling invertebrates with interception 100% ground arthropods</w:t>
            </w:r>
          </w:p>
        </w:tc>
        <w:tc>
          <w:tcPr>
            <w:tcW w:w="607" w:type="pct"/>
            <w:gridSpan w:val="2"/>
            <w:shd w:val="clear" w:color="auto" w:fill="auto"/>
            <w:vAlign w:val="center"/>
          </w:tcPr>
          <w:p w14:paraId="19241DBC" w14:textId="77777777" w:rsidR="00E51CDD" w:rsidRPr="00F85A92" w:rsidRDefault="00E51CDD" w:rsidP="009938D9">
            <w:pPr>
              <w:widowControl w:val="0"/>
              <w:spacing w:beforeLines="40" w:before="96" w:afterLines="40" w:after="96"/>
              <w:jc w:val="center"/>
              <w:rPr>
                <w:rFonts w:eastAsia="Batang"/>
                <w:sz w:val="16"/>
                <w:szCs w:val="16"/>
                <w:lang w:eastAsia="zh-CN"/>
              </w:rPr>
            </w:pPr>
            <w:r w:rsidRPr="00F85A92">
              <w:rPr>
                <w:color w:val="000000"/>
                <w:sz w:val="16"/>
                <w:szCs w:val="16"/>
              </w:rPr>
              <w:t>1.9</w:t>
            </w:r>
          </w:p>
        </w:tc>
        <w:tc>
          <w:tcPr>
            <w:tcW w:w="607" w:type="pct"/>
            <w:shd w:val="clear" w:color="auto" w:fill="auto"/>
            <w:vAlign w:val="center"/>
          </w:tcPr>
          <w:p w14:paraId="19956B79" w14:textId="77777777" w:rsidR="00E51CDD" w:rsidRPr="00F85A92" w:rsidRDefault="00E51CDD" w:rsidP="009938D9">
            <w:pPr>
              <w:widowControl w:val="0"/>
              <w:spacing w:beforeLines="40" w:before="96" w:afterLines="40" w:after="96"/>
              <w:jc w:val="center"/>
              <w:rPr>
                <w:rFonts w:eastAsia="Batang"/>
                <w:sz w:val="16"/>
                <w:szCs w:val="16"/>
                <w:lang w:eastAsia="zh-CN"/>
              </w:rPr>
            </w:pPr>
            <w:r w:rsidRPr="00F85A92">
              <w:rPr>
                <w:color w:val="000000"/>
                <w:sz w:val="16"/>
                <w:szCs w:val="16"/>
              </w:rPr>
              <w:t>176.5</w:t>
            </w:r>
          </w:p>
        </w:tc>
        <w:tc>
          <w:tcPr>
            <w:tcW w:w="602" w:type="pct"/>
            <w:vMerge/>
            <w:shd w:val="clear" w:color="auto" w:fill="auto"/>
            <w:noWrap/>
            <w:vAlign w:val="center"/>
          </w:tcPr>
          <w:p w14:paraId="1448C0F3" w14:textId="77777777" w:rsidR="00E51CDD" w:rsidRPr="0026404C" w:rsidRDefault="00E51CDD" w:rsidP="009938D9">
            <w:pPr>
              <w:widowControl w:val="0"/>
              <w:jc w:val="center"/>
              <w:rPr>
                <w:rFonts w:eastAsia="Batang"/>
                <w:bCs/>
                <w:sz w:val="16"/>
                <w:szCs w:val="16"/>
                <w:lang w:eastAsia="zh-CN"/>
              </w:rPr>
            </w:pPr>
          </w:p>
        </w:tc>
      </w:tr>
      <w:tr w:rsidR="00E51CDD" w:rsidRPr="0026404C" w14:paraId="0679385D" w14:textId="77777777" w:rsidTr="009938D9">
        <w:trPr>
          <w:trHeight w:val="597"/>
        </w:trPr>
        <w:tc>
          <w:tcPr>
            <w:tcW w:w="649" w:type="pct"/>
            <w:vMerge/>
            <w:shd w:val="clear" w:color="auto" w:fill="auto"/>
            <w:vAlign w:val="center"/>
          </w:tcPr>
          <w:p w14:paraId="29E03EC5" w14:textId="77777777" w:rsidR="00E51CDD" w:rsidRPr="0026404C" w:rsidRDefault="00E51CDD" w:rsidP="009938D9">
            <w:pPr>
              <w:widowControl w:val="0"/>
              <w:spacing w:beforeLines="40" w:before="96" w:afterLines="40" w:after="96"/>
              <w:rPr>
                <w:rFonts w:eastAsia="Batang"/>
                <w:sz w:val="16"/>
                <w:szCs w:val="16"/>
                <w:lang w:val="en-GB" w:eastAsia="zh-CN"/>
              </w:rPr>
            </w:pPr>
          </w:p>
        </w:tc>
        <w:tc>
          <w:tcPr>
            <w:tcW w:w="637" w:type="pct"/>
            <w:shd w:val="clear" w:color="auto" w:fill="auto"/>
            <w:vAlign w:val="center"/>
          </w:tcPr>
          <w:p w14:paraId="1AD4CBA2" w14:textId="77777777" w:rsidR="00E51CDD" w:rsidRPr="00F85A92" w:rsidRDefault="00E51CDD" w:rsidP="009938D9">
            <w:pPr>
              <w:widowControl w:val="0"/>
              <w:spacing w:beforeLines="40" w:before="96" w:afterLines="40" w:after="96"/>
              <w:jc w:val="center"/>
              <w:rPr>
                <w:rFonts w:eastAsia="Batang"/>
                <w:sz w:val="16"/>
                <w:szCs w:val="16"/>
                <w:lang w:eastAsia="zh-CN"/>
              </w:rPr>
            </w:pPr>
            <w:r w:rsidRPr="00F85A92">
              <w:rPr>
                <w:color w:val="000000"/>
                <w:sz w:val="16"/>
                <w:szCs w:val="16"/>
              </w:rPr>
              <w:t>Cereals BBCH 30 - 39</w:t>
            </w:r>
          </w:p>
        </w:tc>
        <w:tc>
          <w:tcPr>
            <w:tcW w:w="1898" w:type="pct"/>
            <w:gridSpan w:val="3"/>
            <w:shd w:val="clear" w:color="auto" w:fill="auto"/>
            <w:vAlign w:val="center"/>
          </w:tcPr>
          <w:p w14:paraId="7094C4F0" w14:textId="77777777" w:rsidR="00E51CDD" w:rsidRPr="00F85A92" w:rsidRDefault="00E51CDD" w:rsidP="009938D9">
            <w:pPr>
              <w:widowControl w:val="0"/>
              <w:spacing w:beforeLines="40" w:before="96" w:afterLines="40" w:after="96"/>
              <w:jc w:val="center"/>
              <w:rPr>
                <w:rFonts w:eastAsia="Batang"/>
                <w:sz w:val="16"/>
                <w:szCs w:val="16"/>
                <w:lang w:eastAsia="zh-CN"/>
              </w:rPr>
            </w:pPr>
            <w:r w:rsidRPr="00F85A92">
              <w:rPr>
                <w:color w:val="000000"/>
                <w:sz w:val="16"/>
                <w:szCs w:val="16"/>
              </w:rPr>
              <w:t>Small omnivorous mammal “mouse” Combination (invertebrates with interception) 25% weeds 50% weed seeds 25% ground arthropods</w:t>
            </w:r>
          </w:p>
        </w:tc>
        <w:tc>
          <w:tcPr>
            <w:tcW w:w="607" w:type="pct"/>
            <w:gridSpan w:val="2"/>
            <w:shd w:val="clear" w:color="auto" w:fill="auto"/>
            <w:noWrap/>
            <w:vAlign w:val="center"/>
          </w:tcPr>
          <w:p w14:paraId="16542925" w14:textId="77777777" w:rsidR="00E51CDD" w:rsidRPr="00F85A92" w:rsidRDefault="00E51CDD" w:rsidP="009938D9">
            <w:pPr>
              <w:widowControl w:val="0"/>
              <w:spacing w:beforeLines="40" w:before="96" w:afterLines="40" w:after="96"/>
              <w:jc w:val="center"/>
              <w:rPr>
                <w:rFonts w:eastAsia="Batang"/>
                <w:sz w:val="16"/>
                <w:szCs w:val="16"/>
                <w:lang w:eastAsia="zh-CN"/>
              </w:rPr>
            </w:pPr>
            <w:r w:rsidRPr="00F85A92">
              <w:rPr>
                <w:color w:val="000000"/>
                <w:sz w:val="16"/>
                <w:szCs w:val="16"/>
              </w:rPr>
              <w:t>3.9</w:t>
            </w:r>
          </w:p>
        </w:tc>
        <w:tc>
          <w:tcPr>
            <w:tcW w:w="607" w:type="pct"/>
            <w:shd w:val="clear" w:color="auto" w:fill="auto"/>
            <w:noWrap/>
            <w:vAlign w:val="center"/>
          </w:tcPr>
          <w:p w14:paraId="35BB30F5" w14:textId="77777777" w:rsidR="00E51CDD" w:rsidRPr="00F85A92" w:rsidRDefault="00E51CDD" w:rsidP="009938D9">
            <w:pPr>
              <w:widowControl w:val="0"/>
              <w:spacing w:beforeLines="40" w:before="96" w:afterLines="40" w:after="96"/>
              <w:jc w:val="center"/>
              <w:rPr>
                <w:rFonts w:eastAsia="Batang"/>
                <w:sz w:val="16"/>
                <w:szCs w:val="16"/>
                <w:lang w:eastAsia="zh-CN"/>
              </w:rPr>
            </w:pPr>
            <w:r w:rsidRPr="00F85A92">
              <w:rPr>
                <w:color w:val="000000"/>
                <w:sz w:val="16"/>
                <w:szCs w:val="16"/>
              </w:rPr>
              <w:t>86.0</w:t>
            </w:r>
          </w:p>
        </w:tc>
        <w:tc>
          <w:tcPr>
            <w:tcW w:w="602" w:type="pct"/>
            <w:vMerge/>
            <w:shd w:val="clear" w:color="auto" w:fill="auto"/>
            <w:vAlign w:val="center"/>
          </w:tcPr>
          <w:p w14:paraId="6951E98A" w14:textId="77777777" w:rsidR="00E51CDD" w:rsidRPr="0026404C" w:rsidRDefault="00E51CDD" w:rsidP="009938D9">
            <w:pPr>
              <w:widowControl w:val="0"/>
              <w:jc w:val="center"/>
              <w:rPr>
                <w:rFonts w:eastAsia="Batang"/>
                <w:bCs/>
                <w:sz w:val="16"/>
                <w:szCs w:val="16"/>
                <w:lang w:eastAsia="zh-CN"/>
              </w:rPr>
            </w:pPr>
          </w:p>
        </w:tc>
      </w:tr>
      <w:tr w:rsidR="00E51CDD" w:rsidRPr="0026404C" w14:paraId="3C313883" w14:textId="77777777" w:rsidTr="009938D9">
        <w:trPr>
          <w:trHeight w:val="597"/>
        </w:trPr>
        <w:tc>
          <w:tcPr>
            <w:tcW w:w="649" w:type="pct"/>
            <w:vMerge/>
            <w:shd w:val="clear" w:color="auto" w:fill="auto"/>
            <w:vAlign w:val="center"/>
          </w:tcPr>
          <w:p w14:paraId="73740A78" w14:textId="77777777" w:rsidR="00E51CDD" w:rsidRPr="0026404C" w:rsidRDefault="00E51CDD" w:rsidP="009938D9">
            <w:pPr>
              <w:widowControl w:val="0"/>
              <w:spacing w:beforeLines="40" w:before="96" w:afterLines="40" w:after="96"/>
              <w:rPr>
                <w:rFonts w:eastAsia="Batang"/>
                <w:sz w:val="16"/>
                <w:szCs w:val="16"/>
                <w:lang w:val="en-GB" w:eastAsia="zh-CN"/>
              </w:rPr>
            </w:pPr>
          </w:p>
        </w:tc>
        <w:tc>
          <w:tcPr>
            <w:tcW w:w="637" w:type="pct"/>
            <w:shd w:val="clear" w:color="auto" w:fill="auto"/>
            <w:vAlign w:val="center"/>
          </w:tcPr>
          <w:p w14:paraId="45C290C2" w14:textId="77777777" w:rsidR="00E51CDD" w:rsidRPr="00F85A92" w:rsidRDefault="00E51CDD" w:rsidP="009938D9">
            <w:pPr>
              <w:widowControl w:val="0"/>
              <w:spacing w:beforeLines="40" w:before="96" w:afterLines="40" w:after="96"/>
              <w:jc w:val="center"/>
              <w:rPr>
                <w:rFonts w:eastAsia="Batang"/>
                <w:b/>
                <w:bCs/>
                <w:sz w:val="16"/>
                <w:szCs w:val="16"/>
                <w:lang w:eastAsia="zh-CN"/>
              </w:rPr>
            </w:pPr>
            <w:r w:rsidRPr="00F85A92">
              <w:rPr>
                <w:color w:val="000000"/>
                <w:sz w:val="16"/>
                <w:szCs w:val="16"/>
              </w:rPr>
              <w:t>Cereals BBCH ≥ 40</w:t>
            </w:r>
          </w:p>
        </w:tc>
        <w:tc>
          <w:tcPr>
            <w:tcW w:w="1898" w:type="pct"/>
            <w:gridSpan w:val="3"/>
            <w:shd w:val="clear" w:color="auto" w:fill="auto"/>
            <w:vAlign w:val="center"/>
          </w:tcPr>
          <w:p w14:paraId="5438435C" w14:textId="77777777" w:rsidR="00E51CDD" w:rsidRPr="00F85A92" w:rsidRDefault="00E51CDD" w:rsidP="009938D9">
            <w:pPr>
              <w:widowControl w:val="0"/>
              <w:spacing w:beforeLines="40" w:before="96" w:afterLines="40" w:after="96"/>
              <w:jc w:val="center"/>
              <w:rPr>
                <w:rFonts w:eastAsia="Batang"/>
                <w:b/>
                <w:bCs/>
                <w:sz w:val="16"/>
                <w:szCs w:val="16"/>
                <w:lang w:eastAsia="zh-CN"/>
              </w:rPr>
            </w:pPr>
            <w:r w:rsidRPr="00F85A92">
              <w:rPr>
                <w:color w:val="000000"/>
                <w:sz w:val="16"/>
                <w:szCs w:val="16"/>
              </w:rPr>
              <w:t>Small herbivorous mammal "vole Grass + cereals 100% grass</w:t>
            </w:r>
          </w:p>
        </w:tc>
        <w:tc>
          <w:tcPr>
            <w:tcW w:w="607" w:type="pct"/>
            <w:gridSpan w:val="2"/>
            <w:shd w:val="clear" w:color="auto" w:fill="auto"/>
            <w:noWrap/>
            <w:vAlign w:val="center"/>
          </w:tcPr>
          <w:p w14:paraId="0D7CF4F2" w14:textId="77777777" w:rsidR="00E51CDD" w:rsidRPr="00F85A92" w:rsidRDefault="00E51CDD" w:rsidP="009938D9">
            <w:pPr>
              <w:widowControl w:val="0"/>
              <w:spacing w:beforeLines="40" w:before="96" w:afterLines="40" w:after="96"/>
              <w:jc w:val="center"/>
              <w:rPr>
                <w:rFonts w:eastAsia="Batang"/>
                <w:b/>
                <w:bCs/>
                <w:sz w:val="16"/>
                <w:szCs w:val="16"/>
                <w:lang w:eastAsia="zh-CN"/>
              </w:rPr>
            </w:pPr>
            <w:r w:rsidRPr="00F85A92">
              <w:rPr>
                <w:color w:val="000000"/>
                <w:sz w:val="16"/>
                <w:szCs w:val="16"/>
              </w:rPr>
              <w:t>21.7</w:t>
            </w:r>
          </w:p>
        </w:tc>
        <w:tc>
          <w:tcPr>
            <w:tcW w:w="607" w:type="pct"/>
            <w:shd w:val="clear" w:color="auto" w:fill="auto"/>
            <w:noWrap/>
            <w:vAlign w:val="center"/>
          </w:tcPr>
          <w:p w14:paraId="0DCD9732" w14:textId="77777777" w:rsidR="00E51CDD" w:rsidRPr="00F85A92" w:rsidRDefault="00E51CDD" w:rsidP="009938D9">
            <w:pPr>
              <w:widowControl w:val="0"/>
              <w:spacing w:beforeLines="40" w:before="96" w:afterLines="40" w:after="96"/>
              <w:jc w:val="center"/>
              <w:rPr>
                <w:rFonts w:eastAsia="Batang"/>
                <w:b/>
                <w:bCs/>
                <w:sz w:val="16"/>
                <w:szCs w:val="16"/>
                <w:lang w:eastAsia="zh-CN"/>
              </w:rPr>
            </w:pPr>
            <w:r w:rsidRPr="00F85A92">
              <w:rPr>
                <w:color w:val="000000"/>
                <w:sz w:val="16"/>
                <w:szCs w:val="16"/>
              </w:rPr>
              <w:t>15.5</w:t>
            </w:r>
          </w:p>
        </w:tc>
        <w:tc>
          <w:tcPr>
            <w:tcW w:w="602" w:type="pct"/>
            <w:vMerge/>
            <w:shd w:val="clear" w:color="auto" w:fill="auto"/>
            <w:vAlign w:val="center"/>
          </w:tcPr>
          <w:p w14:paraId="232E243F" w14:textId="77777777" w:rsidR="00E51CDD" w:rsidRPr="0026404C" w:rsidRDefault="00E51CDD" w:rsidP="009938D9">
            <w:pPr>
              <w:widowControl w:val="0"/>
              <w:jc w:val="center"/>
              <w:rPr>
                <w:rFonts w:eastAsia="Batang"/>
                <w:b/>
                <w:sz w:val="16"/>
                <w:szCs w:val="16"/>
                <w:lang w:eastAsia="zh-CN"/>
              </w:rPr>
            </w:pPr>
          </w:p>
        </w:tc>
      </w:tr>
      <w:tr w:rsidR="00E51CDD" w:rsidRPr="0026404C" w14:paraId="23FDD9E2" w14:textId="77777777" w:rsidTr="009938D9">
        <w:trPr>
          <w:trHeight w:val="597"/>
        </w:trPr>
        <w:tc>
          <w:tcPr>
            <w:tcW w:w="649" w:type="pct"/>
            <w:vMerge/>
            <w:shd w:val="clear" w:color="auto" w:fill="auto"/>
            <w:vAlign w:val="center"/>
          </w:tcPr>
          <w:p w14:paraId="4751D933" w14:textId="77777777" w:rsidR="00E51CDD" w:rsidRPr="0026404C" w:rsidRDefault="00E51CDD" w:rsidP="009938D9">
            <w:pPr>
              <w:widowControl w:val="0"/>
              <w:spacing w:beforeLines="40" w:before="96" w:afterLines="40" w:after="96"/>
              <w:rPr>
                <w:rFonts w:eastAsia="Batang"/>
                <w:sz w:val="16"/>
                <w:szCs w:val="16"/>
                <w:lang w:val="en-GB" w:eastAsia="zh-CN"/>
              </w:rPr>
            </w:pPr>
          </w:p>
        </w:tc>
        <w:tc>
          <w:tcPr>
            <w:tcW w:w="637" w:type="pct"/>
            <w:shd w:val="clear" w:color="auto" w:fill="auto"/>
            <w:vAlign w:val="center"/>
          </w:tcPr>
          <w:p w14:paraId="2A064AAD" w14:textId="77777777" w:rsidR="00E51CDD" w:rsidRPr="00F85A92" w:rsidRDefault="00E51CDD" w:rsidP="009938D9">
            <w:pPr>
              <w:widowControl w:val="0"/>
              <w:spacing w:beforeLines="40" w:before="96" w:afterLines="40" w:after="96"/>
              <w:jc w:val="center"/>
              <w:rPr>
                <w:sz w:val="16"/>
                <w:szCs w:val="16"/>
              </w:rPr>
            </w:pPr>
            <w:r w:rsidRPr="00F85A92">
              <w:rPr>
                <w:color w:val="000000"/>
                <w:sz w:val="16"/>
                <w:szCs w:val="16"/>
              </w:rPr>
              <w:t>Cereals BBCH ≥ 40</w:t>
            </w:r>
          </w:p>
        </w:tc>
        <w:tc>
          <w:tcPr>
            <w:tcW w:w="1898" w:type="pct"/>
            <w:gridSpan w:val="3"/>
            <w:shd w:val="clear" w:color="auto" w:fill="auto"/>
            <w:vAlign w:val="center"/>
          </w:tcPr>
          <w:p w14:paraId="4E6B9DD2" w14:textId="77777777" w:rsidR="00E51CDD" w:rsidRPr="00F85A92" w:rsidRDefault="00E51CDD" w:rsidP="009938D9">
            <w:pPr>
              <w:widowControl w:val="0"/>
              <w:spacing w:beforeLines="40" w:before="96" w:afterLines="40" w:after="96"/>
              <w:jc w:val="center"/>
              <w:rPr>
                <w:sz w:val="16"/>
                <w:szCs w:val="16"/>
              </w:rPr>
            </w:pPr>
            <w:r w:rsidRPr="00F85A92">
              <w:rPr>
                <w:color w:val="000000"/>
                <w:sz w:val="16"/>
                <w:szCs w:val="16"/>
              </w:rPr>
              <w:t>Small omnivorous mammal “mouse” Combination (invertebrates with interception) 25% weeds 50% weed seeds 25% ground arthropods</w:t>
            </w:r>
          </w:p>
        </w:tc>
        <w:tc>
          <w:tcPr>
            <w:tcW w:w="607" w:type="pct"/>
            <w:gridSpan w:val="2"/>
            <w:shd w:val="clear" w:color="auto" w:fill="auto"/>
            <w:noWrap/>
            <w:vAlign w:val="center"/>
          </w:tcPr>
          <w:p w14:paraId="11926C5D" w14:textId="77777777" w:rsidR="00E51CDD" w:rsidRPr="00F85A92" w:rsidRDefault="00E51CDD" w:rsidP="009938D9">
            <w:pPr>
              <w:widowControl w:val="0"/>
              <w:spacing w:beforeLines="40" w:before="96" w:afterLines="40" w:after="96"/>
              <w:jc w:val="center"/>
              <w:rPr>
                <w:sz w:val="16"/>
                <w:szCs w:val="16"/>
              </w:rPr>
            </w:pPr>
            <w:r w:rsidRPr="00F85A92">
              <w:rPr>
                <w:color w:val="000000"/>
                <w:sz w:val="16"/>
                <w:szCs w:val="16"/>
              </w:rPr>
              <w:t>2.3</w:t>
            </w:r>
          </w:p>
        </w:tc>
        <w:tc>
          <w:tcPr>
            <w:tcW w:w="607" w:type="pct"/>
            <w:shd w:val="clear" w:color="auto" w:fill="auto"/>
            <w:noWrap/>
            <w:vAlign w:val="center"/>
          </w:tcPr>
          <w:p w14:paraId="3953F4EA" w14:textId="77777777" w:rsidR="00E51CDD" w:rsidRPr="00F85A92" w:rsidRDefault="00E51CDD" w:rsidP="009938D9">
            <w:pPr>
              <w:widowControl w:val="0"/>
              <w:spacing w:beforeLines="40" w:before="96" w:afterLines="40" w:after="96"/>
              <w:jc w:val="center"/>
              <w:rPr>
                <w:sz w:val="16"/>
                <w:szCs w:val="16"/>
              </w:rPr>
            </w:pPr>
            <w:r w:rsidRPr="00F85A92">
              <w:rPr>
                <w:color w:val="000000"/>
                <w:sz w:val="16"/>
                <w:szCs w:val="16"/>
              </w:rPr>
              <w:t>145.8</w:t>
            </w:r>
          </w:p>
        </w:tc>
        <w:tc>
          <w:tcPr>
            <w:tcW w:w="602" w:type="pct"/>
            <w:vMerge/>
            <w:shd w:val="clear" w:color="auto" w:fill="auto"/>
            <w:vAlign w:val="center"/>
          </w:tcPr>
          <w:p w14:paraId="64E799A2" w14:textId="77777777" w:rsidR="00E51CDD" w:rsidRPr="0026404C" w:rsidRDefault="00E51CDD" w:rsidP="009938D9">
            <w:pPr>
              <w:widowControl w:val="0"/>
              <w:jc w:val="center"/>
              <w:rPr>
                <w:rFonts w:eastAsia="Batang"/>
                <w:b/>
                <w:sz w:val="16"/>
                <w:szCs w:val="16"/>
                <w:lang w:eastAsia="zh-CN"/>
              </w:rPr>
            </w:pPr>
          </w:p>
        </w:tc>
      </w:tr>
    </w:tbl>
    <w:p w14:paraId="5C9C7A82" w14:textId="77777777" w:rsidR="00E51CDD" w:rsidRPr="0026404C" w:rsidRDefault="00E51CDD" w:rsidP="00E51CDD">
      <w:pPr>
        <w:widowControl w:val="0"/>
        <w:ind w:left="284" w:hanging="284"/>
        <w:jc w:val="both"/>
        <w:rPr>
          <w:sz w:val="18"/>
          <w:lang w:val="en-GB"/>
        </w:rPr>
      </w:pPr>
      <w:r w:rsidRPr="0026404C">
        <w:rPr>
          <w:sz w:val="18"/>
          <w:vertAlign w:val="superscript"/>
          <w:lang w:val="en-GB"/>
        </w:rPr>
        <w:t>1)</w:t>
      </w:r>
      <w:r w:rsidRPr="0026404C">
        <w:rPr>
          <w:sz w:val="18"/>
          <w:lang w:val="en-GB"/>
        </w:rPr>
        <w:tab/>
        <w:t>The screening step resulted in a TER value above the relevant trigger of 5. Hence, a first-tier risk assessment is not necessary. However, first-tier TER calculations are presented as they are required for calculation of combined reproductive toxicity.</w:t>
      </w:r>
    </w:p>
    <w:p w14:paraId="7A14AB09" w14:textId="77777777" w:rsidR="00E51CDD" w:rsidRDefault="00E51CDD" w:rsidP="00E51CDD">
      <w:pPr>
        <w:widowControl w:val="0"/>
        <w:jc w:val="both"/>
        <w:rPr>
          <w:b/>
          <w:lang w:val="en-GB"/>
        </w:rPr>
      </w:pPr>
    </w:p>
    <w:p w14:paraId="05F261FF" w14:textId="77777777" w:rsidR="00E51CDD" w:rsidRPr="009045D7" w:rsidRDefault="00E51CDD" w:rsidP="00E51CDD">
      <w:pPr>
        <w:widowControl w:val="0"/>
        <w:jc w:val="both"/>
        <w:rPr>
          <w:b/>
          <w:lang w:val="en-GB"/>
        </w:rPr>
      </w:pPr>
    </w:p>
    <w:p w14:paraId="3EA63281" w14:textId="77777777" w:rsidR="00E51CDD" w:rsidRPr="009045D7" w:rsidRDefault="00E51CDD" w:rsidP="00E51CDD">
      <w:pPr>
        <w:widowControl w:val="0"/>
        <w:jc w:val="both"/>
        <w:rPr>
          <w:bCs/>
          <w:lang w:val="en-GB"/>
        </w:rPr>
      </w:pPr>
      <w:r w:rsidRPr="009045D7">
        <w:rPr>
          <w:rFonts w:eastAsia="Batang"/>
          <w:lang w:eastAsia="zh-CN"/>
        </w:rPr>
        <w:t>The conclusions for the first-tier dietary risk assessments for each of the active substances are as follows: acceptable acute and reproductive risks for mammals were shown at the screening and/or tier 1 levels for both fluxapyroxad and azoxystrobin. No higher-tier dietary risk assessments are necessary.</w:t>
      </w:r>
    </w:p>
    <w:p w14:paraId="08EC418E" w14:textId="77777777" w:rsidR="00E51CDD" w:rsidRDefault="00E51CDD" w:rsidP="00E51CDD"/>
    <w:p w14:paraId="6A9B8B06" w14:textId="77777777" w:rsidR="00E51CDD" w:rsidRDefault="00E51CDD" w:rsidP="00E51CDD">
      <w:r>
        <w:br w:type="page"/>
      </w:r>
    </w:p>
    <w:p w14:paraId="6C3145FC" w14:textId="77777777" w:rsidR="00E51CDD" w:rsidRPr="0026404C" w:rsidRDefault="00E51CDD" w:rsidP="00E51CDD">
      <w:pPr>
        <w:widowControl w:val="0"/>
        <w:tabs>
          <w:tab w:val="left" w:pos="720"/>
        </w:tabs>
        <w:jc w:val="both"/>
        <w:rPr>
          <w:b/>
          <w:lang w:val="en-GB"/>
        </w:rPr>
      </w:pPr>
      <w:r w:rsidRPr="0026404C">
        <w:rPr>
          <w:b/>
          <w:u w:val="single"/>
          <w:lang w:val="en-GB"/>
        </w:rPr>
        <w:lastRenderedPageBreak/>
        <w:t>Dietary risk assessment for combined effects of simultaneous exposure to several active substances</w:t>
      </w:r>
    </w:p>
    <w:p w14:paraId="3956C876" w14:textId="77777777" w:rsidR="00E51CDD" w:rsidRPr="0026404C" w:rsidRDefault="00E51CDD" w:rsidP="00E51CDD">
      <w:pPr>
        <w:widowControl w:val="0"/>
        <w:tabs>
          <w:tab w:val="left" w:pos="720"/>
        </w:tabs>
        <w:jc w:val="both"/>
        <w:rPr>
          <w:b/>
          <w:lang w:val="en-GB"/>
        </w:rPr>
      </w:pPr>
    </w:p>
    <w:p w14:paraId="515530B5" w14:textId="77777777" w:rsidR="00E51CDD" w:rsidRPr="0026404C" w:rsidRDefault="00E51CDD" w:rsidP="00E51CDD">
      <w:pPr>
        <w:widowControl w:val="0"/>
        <w:tabs>
          <w:tab w:val="left" w:pos="720"/>
        </w:tabs>
        <w:jc w:val="both"/>
        <w:rPr>
          <w:b/>
          <w:iCs/>
          <w:lang w:val="en-GB"/>
        </w:rPr>
      </w:pPr>
      <w:r w:rsidRPr="0026404C">
        <w:rPr>
          <w:b/>
          <w:iCs/>
          <w:lang w:val="en-GB"/>
        </w:rPr>
        <w:t>Combined acute toxicity</w:t>
      </w:r>
    </w:p>
    <w:p w14:paraId="4C3A616D" w14:textId="77777777" w:rsidR="00E51CDD" w:rsidRPr="0026404C" w:rsidRDefault="00E51CDD" w:rsidP="00E51CDD">
      <w:pPr>
        <w:widowControl w:val="0"/>
        <w:tabs>
          <w:tab w:val="left" w:pos="720"/>
        </w:tabs>
        <w:jc w:val="both"/>
        <w:rPr>
          <w:lang w:val="en-GB"/>
        </w:rPr>
      </w:pPr>
    </w:p>
    <w:p w14:paraId="76B86BFC" w14:textId="77777777" w:rsidR="00E51CDD" w:rsidRPr="0026404C" w:rsidRDefault="00E51CDD" w:rsidP="00E51CDD">
      <w:pPr>
        <w:widowControl w:val="0"/>
        <w:tabs>
          <w:tab w:val="left" w:pos="720"/>
        </w:tabs>
        <w:jc w:val="both"/>
      </w:pPr>
      <w:r w:rsidRPr="0026404C">
        <w:t xml:space="preserve">According to EFSA/2009/1438 section 2.5 this assessment is relevant for </w:t>
      </w:r>
      <w:r w:rsidRPr="0026404C">
        <w:rPr>
          <w:lang w:val="en-GB"/>
        </w:rPr>
        <w:t>BAS 7</w:t>
      </w:r>
      <w:r>
        <w:rPr>
          <w:lang w:val="en-GB"/>
        </w:rPr>
        <w:t>36</w:t>
      </w:r>
      <w:r w:rsidRPr="0026404C">
        <w:rPr>
          <w:lang w:val="en-GB"/>
        </w:rPr>
        <w:t> 00 F</w:t>
      </w:r>
      <w:r w:rsidRPr="0026404C">
        <w:rPr>
          <w:szCs w:val="24"/>
          <w:lang w:val="en-GB"/>
        </w:rPr>
        <w:t xml:space="preserve"> </w:t>
      </w:r>
      <w:r w:rsidRPr="0026404C">
        <w:t xml:space="preserve">because this formulation contains more than one active substance. </w:t>
      </w:r>
    </w:p>
    <w:p w14:paraId="1C139723" w14:textId="77777777" w:rsidR="00E51CDD" w:rsidRPr="0026404C" w:rsidRDefault="00E51CDD" w:rsidP="00E51CDD">
      <w:pPr>
        <w:widowControl w:val="0"/>
        <w:tabs>
          <w:tab w:val="left" w:pos="720"/>
        </w:tabs>
        <w:jc w:val="both"/>
      </w:pPr>
    </w:p>
    <w:p w14:paraId="3699E578" w14:textId="56FF71B0" w:rsidR="00E51CDD" w:rsidRPr="0026404C" w:rsidRDefault="00E51CDD" w:rsidP="00E51CDD">
      <w:pPr>
        <w:widowControl w:val="0"/>
        <w:tabs>
          <w:tab w:val="left" w:pos="720"/>
        </w:tabs>
        <w:jc w:val="both"/>
        <w:rPr>
          <w:szCs w:val="24"/>
          <w:lang w:val="en-GB"/>
        </w:rPr>
      </w:pPr>
      <w:r w:rsidRPr="0026404C">
        <w:t>Following Appendix B (step 1) in EFSA/2009/1438 a surrogate LD</w:t>
      </w:r>
      <w:r w:rsidRPr="0026404C">
        <w:rPr>
          <w:vertAlign w:val="subscript"/>
        </w:rPr>
        <w:t>50</w:t>
      </w:r>
      <w:r w:rsidRPr="0026404C">
        <w:t xml:space="preserve"> </w:t>
      </w:r>
      <w:r w:rsidRPr="002E6FC9">
        <w:t xml:space="preserve">= </w:t>
      </w:r>
      <w:r w:rsidRPr="002E6FC9">
        <w:rPr>
          <w:szCs w:val="24"/>
        </w:rPr>
        <w:t>3125</w:t>
      </w:r>
      <w:r>
        <w:rPr>
          <w:szCs w:val="24"/>
        </w:rPr>
        <w:t>.0</w:t>
      </w:r>
      <w:r w:rsidRPr="002E6FC9">
        <w:rPr>
          <w:szCs w:val="24"/>
          <w:lang w:val="en-GB"/>
        </w:rPr>
        <w:t> mg/kg b.</w:t>
      </w:r>
      <w:r w:rsidRPr="0026404C">
        <w:rPr>
          <w:szCs w:val="24"/>
          <w:lang w:val="en-GB"/>
        </w:rPr>
        <w:t>w.</w:t>
      </w:r>
      <w:r w:rsidRPr="0026404C">
        <w:t xml:space="preserve"> is calculated based on the assumption of dose additivity (</w:t>
      </w:r>
      <w:fldSimple w:instr=" REF _Ref439852415  \* MERGEFORMAT ">
        <w:r w:rsidR="00662F32" w:rsidRPr="00662F32">
          <w:t xml:space="preserve">Table </w:t>
        </w:r>
        <w:r w:rsidR="00662F32" w:rsidRPr="00662F32">
          <w:rPr>
            <w:noProof/>
          </w:rPr>
          <w:t>9.3</w:t>
        </w:r>
        <w:r w:rsidR="00662F32" w:rsidRPr="00662F32">
          <w:rPr>
            <w:noProof/>
          </w:rPr>
          <w:noBreakHyphen/>
          <w:t>8</w:t>
        </w:r>
      </w:fldSimple>
      <w:r w:rsidRPr="0026404C">
        <w:t xml:space="preserve">). </w:t>
      </w:r>
      <w:r w:rsidRPr="0026404C">
        <w:rPr>
          <w:szCs w:val="24"/>
          <w:lang w:val="en-GB"/>
        </w:rPr>
        <w:t xml:space="preserve">A combined acute risk assessment is not required if for one active substance the deviation between ‘tox per fraction (a.s.)’ and ‘tox per fraction (mix)’ is ≤ 10% as in that case the risk is covered by the assessment for that active substance. For </w:t>
      </w:r>
      <w:r w:rsidRPr="0026404C">
        <w:rPr>
          <w:lang w:val="en-GB"/>
        </w:rPr>
        <w:t>BAS 7</w:t>
      </w:r>
      <w:r>
        <w:rPr>
          <w:lang w:val="en-GB"/>
        </w:rPr>
        <w:t>36</w:t>
      </w:r>
      <w:r w:rsidRPr="0026404C">
        <w:rPr>
          <w:lang w:val="en-GB"/>
        </w:rPr>
        <w:t> 00 F</w:t>
      </w:r>
      <w:r w:rsidRPr="0026404C">
        <w:rPr>
          <w:szCs w:val="24"/>
          <w:lang w:val="en-GB"/>
        </w:rPr>
        <w:t xml:space="preserve"> this does not apply because the deviation for both active substances is more than 10% (</w:t>
      </w:r>
      <w:r w:rsidRPr="0026404C">
        <w:rPr>
          <w:szCs w:val="24"/>
          <w:lang w:val="en-GB"/>
        </w:rPr>
        <w:fldChar w:fldCharType="begin"/>
      </w:r>
      <w:r w:rsidRPr="0026404C">
        <w:rPr>
          <w:szCs w:val="24"/>
          <w:lang w:val="en-GB"/>
        </w:rPr>
        <w:instrText xml:space="preserve"> REF _Ref439852415  \* MERGEFORMAT </w:instrText>
      </w:r>
      <w:r w:rsidRPr="0026404C">
        <w:rPr>
          <w:szCs w:val="24"/>
          <w:lang w:val="en-GB"/>
        </w:rPr>
        <w:fldChar w:fldCharType="separate"/>
      </w:r>
      <w:r w:rsidR="00662F32" w:rsidRPr="00662F32">
        <w:t xml:space="preserve">Table </w:t>
      </w:r>
      <w:r w:rsidR="00662F32" w:rsidRPr="00662F32">
        <w:rPr>
          <w:noProof/>
        </w:rPr>
        <w:t>9.3</w:t>
      </w:r>
      <w:r w:rsidR="00662F32" w:rsidRPr="00662F32">
        <w:rPr>
          <w:noProof/>
        </w:rPr>
        <w:noBreakHyphen/>
        <w:t>8</w:t>
      </w:r>
      <w:r w:rsidRPr="0026404C">
        <w:rPr>
          <w:szCs w:val="24"/>
          <w:lang w:val="en-GB"/>
        </w:rPr>
        <w:fldChar w:fldCharType="end"/>
      </w:r>
      <w:r w:rsidRPr="0026404C">
        <w:rPr>
          <w:szCs w:val="24"/>
          <w:lang w:val="en-GB"/>
        </w:rPr>
        <w:t xml:space="preserve">). </w:t>
      </w:r>
    </w:p>
    <w:p w14:paraId="4904F892" w14:textId="5D65C62E" w:rsidR="00E51CDD" w:rsidRPr="0026404C" w:rsidRDefault="00E51CDD" w:rsidP="00E51CDD">
      <w:pPr>
        <w:spacing w:before="200" w:after="120"/>
        <w:ind w:left="1980" w:hanging="1980"/>
        <w:jc w:val="both"/>
        <w:rPr>
          <w:b/>
        </w:rPr>
      </w:pPr>
      <w:bookmarkStart w:id="354" w:name="_Ref439852415"/>
      <w:r w:rsidRPr="0026404C">
        <w:rPr>
          <w:b/>
        </w:rPr>
        <w:t xml:space="preserve">Table </w:t>
      </w:r>
      <w:r w:rsidRPr="0026404C">
        <w:rPr>
          <w:b/>
        </w:rPr>
        <w:fldChar w:fldCharType="begin"/>
      </w:r>
      <w:r w:rsidRPr="0026404C">
        <w:rPr>
          <w:b/>
        </w:rPr>
        <w:instrText xml:space="preserve"> STYLEREF 2 \s </w:instrText>
      </w:r>
      <w:r w:rsidRPr="0026404C">
        <w:rPr>
          <w:b/>
        </w:rPr>
        <w:fldChar w:fldCharType="separate"/>
      </w:r>
      <w:r w:rsidR="00662F32">
        <w:rPr>
          <w:b/>
          <w:noProof/>
        </w:rPr>
        <w:t>9.3</w:t>
      </w:r>
      <w:r w:rsidRPr="0026404C">
        <w:rPr>
          <w:b/>
        </w:rPr>
        <w:fldChar w:fldCharType="end"/>
      </w:r>
      <w:r w:rsidRPr="0026404C">
        <w:rPr>
          <w:b/>
        </w:rPr>
        <w:noBreakHyphen/>
      </w:r>
      <w:r w:rsidRPr="0026404C">
        <w:rPr>
          <w:b/>
        </w:rPr>
        <w:fldChar w:fldCharType="begin"/>
      </w:r>
      <w:r w:rsidRPr="0026404C">
        <w:rPr>
          <w:b/>
        </w:rPr>
        <w:instrText xml:space="preserve"> SEQ Table \* ARABIC \s 2 </w:instrText>
      </w:r>
      <w:r w:rsidRPr="0026404C">
        <w:rPr>
          <w:b/>
        </w:rPr>
        <w:fldChar w:fldCharType="separate"/>
      </w:r>
      <w:r w:rsidR="00662F32">
        <w:rPr>
          <w:b/>
          <w:noProof/>
        </w:rPr>
        <w:t>8</w:t>
      </w:r>
      <w:r w:rsidRPr="0026404C">
        <w:rPr>
          <w:b/>
        </w:rPr>
        <w:fldChar w:fldCharType="end"/>
      </w:r>
      <w:bookmarkEnd w:id="354"/>
      <w:r w:rsidRPr="0026404C">
        <w:rPr>
          <w:b/>
        </w:rPr>
        <w:t xml:space="preserve">: </w:t>
      </w:r>
      <w:r w:rsidRPr="0026404C">
        <w:rPr>
          <w:b/>
        </w:rPr>
        <w:tab/>
        <w:t>Calculation of surrogate LD</w:t>
      </w:r>
      <w:r w:rsidRPr="0026404C">
        <w:rPr>
          <w:b/>
          <w:vertAlign w:val="subscript"/>
        </w:rPr>
        <w:t>50</w:t>
      </w:r>
      <w:r w:rsidRPr="0026404C">
        <w:rPr>
          <w:b/>
        </w:rPr>
        <w:t xml:space="preserve"> for the mixture of active substances</w:t>
      </w:r>
    </w:p>
    <w:tbl>
      <w:tblPr>
        <w:tblW w:w="5000" w:type="pct"/>
        <w:tblLayout w:type="fixed"/>
        <w:tblLook w:val="0020" w:firstRow="1" w:lastRow="0" w:firstColumn="0" w:lastColumn="0" w:noHBand="0" w:noVBand="0"/>
      </w:tblPr>
      <w:tblGrid>
        <w:gridCol w:w="1459"/>
        <w:gridCol w:w="1169"/>
        <w:gridCol w:w="1024"/>
        <w:gridCol w:w="1023"/>
        <w:gridCol w:w="1024"/>
        <w:gridCol w:w="1170"/>
        <w:gridCol w:w="880"/>
        <w:gridCol w:w="1598"/>
      </w:tblGrid>
      <w:tr w:rsidR="00E51CDD" w:rsidRPr="0026404C" w14:paraId="2150EFF2" w14:textId="77777777" w:rsidTr="009938D9">
        <w:trPr>
          <w:trHeight w:val="974"/>
        </w:trPr>
        <w:tc>
          <w:tcPr>
            <w:tcW w:w="780" w:type="pct"/>
            <w:tcBorders>
              <w:top w:val="single" w:sz="4" w:space="0" w:color="auto"/>
              <w:left w:val="single" w:sz="4" w:space="0" w:color="auto"/>
              <w:bottom w:val="single" w:sz="4" w:space="0" w:color="auto"/>
              <w:right w:val="single" w:sz="6" w:space="0" w:color="000000"/>
            </w:tcBorders>
            <w:vAlign w:val="center"/>
          </w:tcPr>
          <w:p w14:paraId="5EC0D9EB" w14:textId="77777777" w:rsidR="00E51CDD" w:rsidRPr="0026404C" w:rsidRDefault="00E51CDD" w:rsidP="009938D9">
            <w:pPr>
              <w:widowControl w:val="0"/>
              <w:spacing w:beforeLines="40" w:before="96" w:afterLines="40" w:after="96"/>
              <w:jc w:val="center"/>
              <w:rPr>
                <w:b/>
                <w:bCs/>
                <w:sz w:val="20"/>
                <w:szCs w:val="20"/>
                <w:lang w:val="en-GB"/>
              </w:rPr>
            </w:pPr>
            <w:r w:rsidRPr="0026404C">
              <w:rPr>
                <w:rFonts w:eastAsia="Batang"/>
                <w:b/>
                <w:bCs/>
                <w:sz w:val="20"/>
                <w:szCs w:val="20"/>
                <w:lang w:eastAsia="zh-CN"/>
              </w:rPr>
              <w:t>Active</w:t>
            </w:r>
            <w:r w:rsidRPr="0026404C">
              <w:rPr>
                <w:b/>
                <w:bCs/>
                <w:sz w:val="20"/>
                <w:szCs w:val="20"/>
                <w:lang w:val="en-GB"/>
              </w:rPr>
              <w:t xml:space="preserve"> substance</w:t>
            </w:r>
          </w:p>
        </w:tc>
        <w:tc>
          <w:tcPr>
            <w:tcW w:w="625" w:type="pct"/>
            <w:tcBorders>
              <w:top w:val="single" w:sz="4" w:space="0" w:color="auto"/>
              <w:left w:val="single" w:sz="6" w:space="0" w:color="000000"/>
              <w:bottom w:val="single" w:sz="4" w:space="0" w:color="auto"/>
              <w:right w:val="single" w:sz="6" w:space="0" w:color="000000"/>
            </w:tcBorders>
            <w:vAlign w:val="center"/>
          </w:tcPr>
          <w:p w14:paraId="27750741" w14:textId="77777777" w:rsidR="00E51CDD" w:rsidRPr="002E6FC9" w:rsidRDefault="00E51CDD" w:rsidP="009938D9">
            <w:pPr>
              <w:keepNext/>
              <w:tabs>
                <w:tab w:val="left" w:pos="720"/>
              </w:tabs>
              <w:jc w:val="center"/>
              <w:rPr>
                <w:b/>
                <w:sz w:val="20"/>
                <w:szCs w:val="20"/>
                <w:lang w:val="en-GB"/>
              </w:rPr>
            </w:pPr>
            <w:r w:rsidRPr="002E6FC9">
              <w:rPr>
                <w:b/>
                <w:sz w:val="20"/>
                <w:szCs w:val="20"/>
                <w:lang w:val="en-GB"/>
              </w:rPr>
              <w:t>Concentration a.s. in mixture</w:t>
            </w:r>
          </w:p>
          <w:p w14:paraId="4FA41E41" w14:textId="77777777" w:rsidR="00E51CDD" w:rsidRPr="002E6FC9" w:rsidRDefault="00E51CDD" w:rsidP="009938D9">
            <w:pPr>
              <w:keepNext/>
              <w:tabs>
                <w:tab w:val="left" w:pos="720"/>
              </w:tabs>
              <w:jc w:val="center"/>
              <w:rPr>
                <w:b/>
                <w:sz w:val="20"/>
                <w:szCs w:val="20"/>
                <w:lang w:val="en-GB"/>
              </w:rPr>
            </w:pPr>
            <w:r w:rsidRPr="002E6FC9">
              <w:rPr>
                <w:b/>
                <w:sz w:val="20"/>
                <w:szCs w:val="20"/>
                <w:lang w:val="en-GB"/>
              </w:rPr>
              <w:t xml:space="preserve">[g/L] </w:t>
            </w:r>
          </w:p>
        </w:tc>
        <w:tc>
          <w:tcPr>
            <w:tcW w:w="548" w:type="pct"/>
            <w:tcBorders>
              <w:top w:val="single" w:sz="4" w:space="0" w:color="auto"/>
              <w:left w:val="single" w:sz="6" w:space="0" w:color="000000"/>
              <w:bottom w:val="single" w:sz="4" w:space="0" w:color="auto"/>
              <w:right w:val="single" w:sz="6" w:space="0" w:color="000000"/>
            </w:tcBorders>
            <w:vAlign w:val="center"/>
          </w:tcPr>
          <w:p w14:paraId="6629950D" w14:textId="77777777" w:rsidR="00E51CDD" w:rsidRPr="002E6FC9" w:rsidRDefault="00E51CDD" w:rsidP="009938D9">
            <w:pPr>
              <w:keepNext/>
              <w:tabs>
                <w:tab w:val="left" w:pos="720"/>
              </w:tabs>
              <w:jc w:val="center"/>
              <w:rPr>
                <w:b/>
                <w:sz w:val="20"/>
                <w:szCs w:val="20"/>
                <w:lang w:val="en-GB"/>
              </w:rPr>
            </w:pPr>
            <w:r w:rsidRPr="002E6FC9">
              <w:rPr>
                <w:b/>
                <w:sz w:val="20"/>
                <w:szCs w:val="20"/>
                <w:lang w:val="en-GB"/>
              </w:rPr>
              <w:t>Fraction a.s. in mixture</w:t>
            </w:r>
          </w:p>
        </w:tc>
        <w:tc>
          <w:tcPr>
            <w:tcW w:w="547" w:type="pct"/>
            <w:tcBorders>
              <w:top w:val="single" w:sz="4" w:space="0" w:color="auto"/>
              <w:left w:val="single" w:sz="6" w:space="0" w:color="000000"/>
              <w:bottom w:val="single" w:sz="4" w:space="0" w:color="auto"/>
              <w:right w:val="single" w:sz="6" w:space="0" w:color="000000"/>
            </w:tcBorders>
            <w:noWrap/>
            <w:vAlign w:val="center"/>
          </w:tcPr>
          <w:p w14:paraId="64481413" w14:textId="77777777" w:rsidR="00E51CDD" w:rsidRPr="002E6FC9" w:rsidRDefault="00E51CDD" w:rsidP="009938D9">
            <w:pPr>
              <w:keepNext/>
              <w:tabs>
                <w:tab w:val="left" w:pos="720"/>
              </w:tabs>
              <w:jc w:val="center"/>
              <w:rPr>
                <w:b/>
                <w:sz w:val="20"/>
                <w:szCs w:val="20"/>
                <w:vertAlign w:val="superscript"/>
                <w:lang w:val="en-GB"/>
              </w:rPr>
            </w:pPr>
            <w:r w:rsidRPr="002E6FC9">
              <w:rPr>
                <w:b/>
                <w:sz w:val="20"/>
                <w:szCs w:val="20"/>
                <w:lang w:val="en-GB"/>
              </w:rPr>
              <w:t>LD</w:t>
            </w:r>
            <w:r w:rsidRPr="002E6FC9">
              <w:rPr>
                <w:b/>
                <w:sz w:val="20"/>
                <w:szCs w:val="20"/>
                <w:vertAlign w:val="subscript"/>
                <w:lang w:val="en-GB"/>
              </w:rPr>
              <w:t>50</w:t>
            </w:r>
            <w:r w:rsidRPr="002E6FC9">
              <w:rPr>
                <w:b/>
                <w:sz w:val="20"/>
                <w:szCs w:val="20"/>
                <w:lang w:val="en-GB"/>
              </w:rPr>
              <w:t xml:space="preserve"> a.s.</w:t>
            </w:r>
          </w:p>
          <w:p w14:paraId="3C36FC83" w14:textId="77777777" w:rsidR="00E51CDD" w:rsidRPr="002E6FC9" w:rsidRDefault="00E51CDD" w:rsidP="009938D9">
            <w:pPr>
              <w:keepNext/>
              <w:tabs>
                <w:tab w:val="left" w:pos="720"/>
              </w:tabs>
              <w:jc w:val="center"/>
              <w:rPr>
                <w:b/>
                <w:sz w:val="20"/>
                <w:szCs w:val="20"/>
                <w:lang w:val="en-GB"/>
              </w:rPr>
            </w:pPr>
            <w:r w:rsidRPr="002E6FC9">
              <w:rPr>
                <w:b/>
                <w:sz w:val="20"/>
                <w:szCs w:val="20"/>
                <w:lang w:val="en-GB"/>
              </w:rPr>
              <w:t>[mg/kg b.w.]</w:t>
            </w:r>
          </w:p>
        </w:tc>
        <w:tc>
          <w:tcPr>
            <w:tcW w:w="548" w:type="pct"/>
            <w:tcBorders>
              <w:top w:val="single" w:sz="4" w:space="0" w:color="auto"/>
              <w:left w:val="single" w:sz="6" w:space="0" w:color="000000"/>
              <w:bottom w:val="single" w:sz="4" w:space="0" w:color="auto"/>
              <w:right w:val="single" w:sz="6" w:space="0" w:color="000000"/>
            </w:tcBorders>
            <w:vAlign w:val="center"/>
          </w:tcPr>
          <w:p w14:paraId="2481FEBD" w14:textId="77777777" w:rsidR="00E51CDD" w:rsidRPr="002E6FC9" w:rsidRDefault="00E51CDD" w:rsidP="009938D9">
            <w:pPr>
              <w:keepNext/>
              <w:tabs>
                <w:tab w:val="left" w:pos="720"/>
              </w:tabs>
              <w:jc w:val="center"/>
              <w:rPr>
                <w:b/>
                <w:sz w:val="20"/>
                <w:szCs w:val="20"/>
                <w:lang w:val="en-GB"/>
              </w:rPr>
            </w:pPr>
            <w:r w:rsidRPr="002E6FC9">
              <w:rPr>
                <w:b/>
                <w:sz w:val="20"/>
                <w:szCs w:val="20"/>
                <w:lang w:val="en-GB"/>
              </w:rPr>
              <w:t>Fraction a.s./</w:t>
            </w:r>
          </w:p>
          <w:p w14:paraId="2A1667A3" w14:textId="77777777" w:rsidR="00E51CDD" w:rsidRPr="002E6FC9" w:rsidRDefault="00E51CDD" w:rsidP="009938D9">
            <w:pPr>
              <w:keepNext/>
              <w:tabs>
                <w:tab w:val="left" w:pos="720"/>
              </w:tabs>
              <w:jc w:val="center"/>
              <w:rPr>
                <w:b/>
                <w:sz w:val="20"/>
                <w:szCs w:val="20"/>
                <w:vertAlign w:val="superscript"/>
                <w:lang w:val="en-GB"/>
              </w:rPr>
            </w:pPr>
            <w:r w:rsidRPr="002E6FC9">
              <w:rPr>
                <w:b/>
                <w:sz w:val="20"/>
                <w:szCs w:val="20"/>
                <w:lang w:val="en-GB"/>
              </w:rPr>
              <w:t>LD</w:t>
            </w:r>
            <w:r w:rsidRPr="002E6FC9">
              <w:rPr>
                <w:b/>
                <w:sz w:val="20"/>
                <w:szCs w:val="20"/>
                <w:vertAlign w:val="subscript"/>
                <w:lang w:val="en-GB"/>
              </w:rPr>
              <w:t xml:space="preserve">50 </w:t>
            </w:r>
            <w:r w:rsidRPr="002E6FC9">
              <w:rPr>
                <w:b/>
                <w:sz w:val="20"/>
                <w:szCs w:val="20"/>
                <w:lang w:val="en-GB"/>
              </w:rPr>
              <w:t>a.s.</w:t>
            </w:r>
          </w:p>
        </w:tc>
        <w:tc>
          <w:tcPr>
            <w:tcW w:w="626" w:type="pct"/>
            <w:tcBorders>
              <w:top w:val="single" w:sz="4" w:space="0" w:color="auto"/>
              <w:left w:val="single" w:sz="6" w:space="0" w:color="000000"/>
              <w:bottom w:val="single" w:sz="4" w:space="0" w:color="auto"/>
              <w:right w:val="single" w:sz="4" w:space="0" w:color="auto"/>
            </w:tcBorders>
            <w:noWrap/>
            <w:vAlign w:val="center"/>
          </w:tcPr>
          <w:p w14:paraId="38929CED" w14:textId="77777777" w:rsidR="00E51CDD" w:rsidRPr="007330A6" w:rsidRDefault="00E51CDD" w:rsidP="009938D9">
            <w:pPr>
              <w:keepNext/>
              <w:tabs>
                <w:tab w:val="left" w:pos="720"/>
              </w:tabs>
              <w:jc w:val="center"/>
              <w:rPr>
                <w:b/>
                <w:sz w:val="20"/>
                <w:szCs w:val="20"/>
                <w:vertAlign w:val="superscript"/>
                <w:lang w:val="fr-FR"/>
              </w:rPr>
            </w:pPr>
            <w:r w:rsidRPr="007330A6">
              <w:rPr>
                <w:b/>
                <w:sz w:val="20"/>
                <w:szCs w:val="20"/>
                <w:lang w:val="fr-FR"/>
              </w:rPr>
              <w:t>Surrogate LD</w:t>
            </w:r>
            <w:r w:rsidRPr="007330A6">
              <w:rPr>
                <w:b/>
                <w:sz w:val="20"/>
                <w:szCs w:val="20"/>
                <w:vertAlign w:val="subscript"/>
                <w:lang w:val="fr-FR"/>
              </w:rPr>
              <w:t>50</w:t>
            </w:r>
          </w:p>
          <w:p w14:paraId="6B9AF93A" w14:textId="77777777" w:rsidR="00E51CDD" w:rsidRPr="007330A6" w:rsidRDefault="00E51CDD" w:rsidP="009938D9">
            <w:pPr>
              <w:keepNext/>
              <w:tabs>
                <w:tab w:val="left" w:pos="720"/>
              </w:tabs>
              <w:jc w:val="center"/>
              <w:rPr>
                <w:b/>
                <w:sz w:val="20"/>
                <w:szCs w:val="20"/>
                <w:vertAlign w:val="superscript"/>
                <w:lang w:val="fr-FR"/>
              </w:rPr>
            </w:pPr>
            <w:r w:rsidRPr="007330A6">
              <w:rPr>
                <w:b/>
                <w:sz w:val="20"/>
                <w:szCs w:val="20"/>
                <w:lang w:val="fr-FR"/>
              </w:rPr>
              <w:t>[mg/kg b.w.]</w:t>
            </w:r>
          </w:p>
        </w:tc>
        <w:tc>
          <w:tcPr>
            <w:tcW w:w="471" w:type="pct"/>
            <w:tcBorders>
              <w:top w:val="single" w:sz="4" w:space="0" w:color="auto"/>
              <w:left w:val="single" w:sz="6" w:space="0" w:color="000000"/>
              <w:bottom w:val="single" w:sz="4" w:space="0" w:color="auto"/>
              <w:right w:val="single" w:sz="4" w:space="0" w:color="auto"/>
            </w:tcBorders>
            <w:vAlign w:val="center"/>
          </w:tcPr>
          <w:p w14:paraId="33580AB3" w14:textId="77777777" w:rsidR="00E51CDD" w:rsidRPr="002E6FC9" w:rsidRDefault="00E51CDD" w:rsidP="009938D9">
            <w:pPr>
              <w:keepNext/>
              <w:tabs>
                <w:tab w:val="left" w:pos="720"/>
              </w:tabs>
              <w:jc w:val="center"/>
              <w:rPr>
                <w:b/>
                <w:sz w:val="20"/>
                <w:szCs w:val="20"/>
                <w:lang w:val="en-GB"/>
              </w:rPr>
            </w:pPr>
            <w:r w:rsidRPr="002E6FC9">
              <w:rPr>
                <w:b/>
                <w:sz w:val="20"/>
                <w:szCs w:val="20"/>
                <w:lang w:val="en-GB"/>
              </w:rPr>
              <w:t>Tox per fraction (a.s.)</w:t>
            </w:r>
          </w:p>
        </w:tc>
        <w:tc>
          <w:tcPr>
            <w:tcW w:w="855" w:type="pct"/>
            <w:tcBorders>
              <w:top w:val="single" w:sz="4" w:space="0" w:color="auto"/>
              <w:left w:val="single" w:sz="6" w:space="0" w:color="000000"/>
              <w:bottom w:val="single" w:sz="4" w:space="0" w:color="auto"/>
              <w:right w:val="single" w:sz="4" w:space="0" w:color="auto"/>
            </w:tcBorders>
            <w:vAlign w:val="center"/>
          </w:tcPr>
          <w:p w14:paraId="539F4CC4" w14:textId="77777777" w:rsidR="00E51CDD" w:rsidRPr="002E6FC9" w:rsidRDefault="00E51CDD" w:rsidP="009938D9">
            <w:pPr>
              <w:keepNext/>
              <w:tabs>
                <w:tab w:val="left" w:pos="720"/>
              </w:tabs>
              <w:jc w:val="center"/>
              <w:rPr>
                <w:b/>
                <w:sz w:val="20"/>
                <w:szCs w:val="20"/>
                <w:lang w:val="en-GB"/>
              </w:rPr>
            </w:pPr>
            <w:r w:rsidRPr="002E6FC9">
              <w:rPr>
                <w:b/>
                <w:sz w:val="20"/>
                <w:szCs w:val="20"/>
                <w:lang w:val="en-GB"/>
              </w:rPr>
              <w:t>Deviation tox per fraction (a.s.) and tox per fraction (mix)</w:t>
            </w:r>
            <w:r w:rsidRPr="002E6FC9">
              <w:rPr>
                <w:b/>
                <w:sz w:val="20"/>
                <w:szCs w:val="20"/>
                <w:vertAlign w:val="superscript"/>
                <w:lang w:val="en-GB"/>
              </w:rPr>
              <w:t xml:space="preserve"> </w:t>
            </w:r>
            <w:r w:rsidRPr="002E6FC9">
              <w:rPr>
                <w:b/>
                <w:sz w:val="20"/>
                <w:szCs w:val="20"/>
                <w:lang w:val="en-GB"/>
              </w:rPr>
              <w:t>[%]</w:t>
            </w:r>
          </w:p>
        </w:tc>
      </w:tr>
      <w:tr w:rsidR="00E51CDD" w:rsidRPr="0026404C" w14:paraId="656FE4A0" w14:textId="77777777" w:rsidTr="009938D9">
        <w:trPr>
          <w:trHeight w:val="455"/>
        </w:trPr>
        <w:tc>
          <w:tcPr>
            <w:tcW w:w="780" w:type="pct"/>
            <w:tcBorders>
              <w:top w:val="single" w:sz="4" w:space="0" w:color="auto"/>
              <w:left w:val="single" w:sz="4" w:space="0" w:color="auto"/>
              <w:bottom w:val="single" w:sz="6" w:space="0" w:color="000000"/>
              <w:right w:val="single" w:sz="6" w:space="0" w:color="000000"/>
            </w:tcBorders>
            <w:vAlign w:val="center"/>
          </w:tcPr>
          <w:p w14:paraId="3911CA3E" w14:textId="77777777" w:rsidR="00E51CDD" w:rsidRPr="0026404C" w:rsidRDefault="00E51CDD" w:rsidP="009938D9">
            <w:pPr>
              <w:widowControl w:val="0"/>
              <w:spacing w:beforeLines="40" w:before="96" w:afterLines="40" w:after="96"/>
              <w:jc w:val="center"/>
              <w:rPr>
                <w:rFonts w:eastAsia="Batang"/>
                <w:sz w:val="20"/>
                <w:szCs w:val="20"/>
                <w:lang w:eastAsia="zh-CN"/>
              </w:rPr>
            </w:pPr>
            <w:r w:rsidRPr="0026404C">
              <w:rPr>
                <w:sz w:val="20"/>
                <w:szCs w:val="20"/>
                <w:lang w:val="en-GB"/>
              </w:rPr>
              <w:t>Fluxapyroxad</w:t>
            </w:r>
          </w:p>
        </w:tc>
        <w:tc>
          <w:tcPr>
            <w:tcW w:w="625" w:type="pct"/>
            <w:tcBorders>
              <w:top w:val="single" w:sz="4" w:space="0" w:color="auto"/>
              <w:left w:val="single" w:sz="6" w:space="0" w:color="000000"/>
              <w:bottom w:val="single" w:sz="6" w:space="0" w:color="000000"/>
              <w:right w:val="single" w:sz="6" w:space="0" w:color="000000"/>
            </w:tcBorders>
            <w:vAlign w:val="center"/>
          </w:tcPr>
          <w:p w14:paraId="7A887041" w14:textId="77777777" w:rsidR="00E51CDD" w:rsidRPr="0026404C" w:rsidRDefault="00E51CDD" w:rsidP="009938D9">
            <w:pPr>
              <w:keepNext/>
              <w:jc w:val="center"/>
              <w:rPr>
                <w:rFonts w:eastAsia="SimSun"/>
                <w:bCs/>
                <w:sz w:val="20"/>
                <w:szCs w:val="20"/>
                <w:lang w:val="en-GB" w:eastAsia="zh-CN"/>
              </w:rPr>
            </w:pPr>
            <w:r w:rsidRPr="0026404C">
              <w:rPr>
                <w:rFonts w:eastAsia="SimSun"/>
                <w:bCs/>
                <w:sz w:val="18"/>
                <w:szCs w:val="18"/>
                <w:lang w:val="en-GB" w:eastAsia="zh-CN"/>
              </w:rPr>
              <w:t>50</w:t>
            </w:r>
          </w:p>
        </w:tc>
        <w:tc>
          <w:tcPr>
            <w:tcW w:w="548" w:type="pct"/>
            <w:tcBorders>
              <w:top w:val="single" w:sz="4" w:space="0" w:color="auto"/>
              <w:left w:val="single" w:sz="6" w:space="0" w:color="000000"/>
              <w:bottom w:val="single" w:sz="6" w:space="0" w:color="000000"/>
              <w:right w:val="single" w:sz="6" w:space="0" w:color="000000"/>
            </w:tcBorders>
            <w:vAlign w:val="center"/>
          </w:tcPr>
          <w:p w14:paraId="5F47759B" w14:textId="77777777" w:rsidR="00E51CDD" w:rsidRPr="0026404C" w:rsidRDefault="00E51CDD" w:rsidP="009938D9">
            <w:pPr>
              <w:keepNext/>
              <w:jc w:val="center"/>
              <w:rPr>
                <w:rFonts w:eastAsia="SimSun"/>
                <w:bCs/>
                <w:sz w:val="20"/>
                <w:szCs w:val="20"/>
                <w:lang w:val="en-GB" w:eastAsia="zh-CN"/>
              </w:rPr>
            </w:pPr>
            <w:r w:rsidRPr="0026404C">
              <w:rPr>
                <w:sz w:val="18"/>
                <w:szCs w:val="18"/>
                <w:lang w:val="en-GB"/>
              </w:rPr>
              <w:t>0.</w:t>
            </w:r>
            <w:r>
              <w:rPr>
                <w:sz w:val="18"/>
                <w:szCs w:val="18"/>
                <w:lang w:val="en-GB"/>
              </w:rPr>
              <w:t>4</w:t>
            </w:r>
          </w:p>
        </w:tc>
        <w:tc>
          <w:tcPr>
            <w:tcW w:w="547" w:type="pct"/>
            <w:tcBorders>
              <w:top w:val="single" w:sz="4" w:space="0" w:color="auto"/>
              <w:left w:val="single" w:sz="6" w:space="0" w:color="000000"/>
              <w:bottom w:val="single" w:sz="6" w:space="0" w:color="000000"/>
              <w:right w:val="single" w:sz="6" w:space="0" w:color="000000"/>
            </w:tcBorders>
            <w:noWrap/>
            <w:vAlign w:val="center"/>
          </w:tcPr>
          <w:p w14:paraId="5377AF39" w14:textId="77777777" w:rsidR="00E51CDD" w:rsidRPr="0026404C" w:rsidRDefault="00E51CDD" w:rsidP="009938D9">
            <w:pPr>
              <w:keepNext/>
              <w:jc w:val="center"/>
              <w:rPr>
                <w:bCs/>
                <w:sz w:val="20"/>
                <w:szCs w:val="20"/>
                <w:lang w:val="en-GB"/>
              </w:rPr>
            </w:pPr>
            <w:r w:rsidRPr="0026404C">
              <w:rPr>
                <w:rFonts w:eastAsia="SimSun"/>
                <w:bCs/>
                <w:sz w:val="18"/>
                <w:szCs w:val="18"/>
                <w:lang w:val="en-GB" w:eastAsia="zh-CN"/>
              </w:rPr>
              <w:t>&gt;</w:t>
            </w:r>
            <w:r>
              <w:rPr>
                <w:rFonts w:eastAsia="SimSun"/>
                <w:bCs/>
                <w:sz w:val="18"/>
                <w:szCs w:val="18"/>
                <w:lang w:val="en-GB" w:eastAsia="zh-CN"/>
              </w:rPr>
              <w:t> </w:t>
            </w:r>
            <w:r w:rsidRPr="0026404C">
              <w:rPr>
                <w:rFonts w:eastAsia="SimSun"/>
                <w:bCs/>
                <w:sz w:val="18"/>
                <w:szCs w:val="18"/>
                <w:lang w:val="en-GB" w:eastAsia="zh-CN"/>
              </w:rPr>
              <w:t>2000</w:t>
            </w:r>
          </w:p>
        </w:tc>
        <w:tc>
          <w:tcPr>
            <w:tcW w:w="548" w:type="pct"/>
            <w:tcBorders>
              <w:top w:val="single" w:sz="4" w:space="0" w:color="auto"/>
              <w:left w:val="single" w:sz="6" w:space="0" w:color="000000"/>
              <w:bottom w:val="single" w:sz="6" w:space="0" w:color="000000"/>
              <w:right w:val="single" w:sz="6" w:space="0" w:color="000000"/>
            </w:tcBorders>
            <w:vAlign w:val="center"/>
          </w:tcPr>
          <w:p w14:paraId="3189F779" w14:textId="77777777" w:rsidR="00E51CDD" w:rsidRPr="0026404C" w:rsidRDefault="00E51CDD" w:rsidP="009938D9">
            <w:pPr>
              <w:keepNext/>
              <w:jc w:val="center"/>
              <w:rPr>
                <w:sz w:val="20"/>
                <w:szCs w:val="20"/>
                <w:lang w:val="en-GB"/>
              </w:rPr>
            </w:pPr>
            <w:r w:rsidRPr="0026404C">
              <w:rPr>
                <w:sz w:val="18"/>
                <w:szCs w:val="18"/>
                <w:lang w:val="en-GB"/>
              </w:rPr>
              <w:t>0.000</w:t>
            </w:r>
            <w:r>
              <w:rPr>
                <w:sz w:val="18"/>
                <w:szCs w:val="18"/>
                <w:lang w:val="en-GB"/>
              </w:rPr>
              <w:t>2</w:t>
            </w:r>
          </w:p>
        </w:tc>
        <w:tc>
          <w:tcPr>
            <w:tcW w:w="626" w:type="pct"/>
            <w:vMerge w:val="restart"/>
            <w:tcBorders>
              <w:top w:val="single" w:sz="4" w:space="0" w:color="auto"/>
              <w:left w:val="single" w:sz="6" w:space="0" w:color="000000"/>
              <w:bottom w:val="single" w:sz="4" w:space="0" w:color="auto"/>
              <w:right w:val="single" w:sz="4" w:space="0" w:color="auto"/>
            </w:tcBorders>
            <w:noWrap/>
            <w:vAlign w:val="center"/>
          </w:tcPr>
          <w:p w14:paraId="14E7A7AA" w14:textId="77777777" w:rsidR="00E51CDD" w:rsidRPr="0026404C" w:rsidRDefault="00E51CDD" w:rsidP="009938D9">
            <w:pPr>
              <w:keepNext/>
              <w:jc w:val="center"/>
              <w:rPr>
                <w:b/>
                <w:sz w:val="20"/>
                <w:szCs w:val="20"/>
                <w:lang w:val="en-GB"/>
              </w:rPr>
            </w:pPr>
            <w:r>
              <w:rPr>
                <w:b/>
                <w:sz w:val="20"/>
                <w:szCs w:val="20"/>
                <w:lang w:val="en-GB"/>
              </w:rPr>
              <w:t>3125.0</w:t>
            </w:r>
          </w:p>
        </w:tc>
        <w:tc>
          <w:tcPr>
            <w:tcW w:w="471" w:type="pct"/>
            <w:tcBorders>
              <w:top w:val="single" w:sz="4" w:space="0" w:color="auto"/>
              <w:left w:val="single" w:sz="6" w:space="0" w:color="000000"/>
              <w:bottom w:val="single" w:sz="4" w:space="0" w:color="auto"/>
              <w:right w:val="single" w:sz="4" w:space="0" w:color="auto"/>
            </w:tcBorders>
            <w:vAlign w:val="center"/>
          </w:tcPr>
          <w:p w14:paraId="1617DBE8" w14:textId="77777777" w:rsidR="00E51CDD" w:rsidRPr="0026404C" w:rsidRDefault="00E51CDD" w:rsidP="009938D9">
            <w:pPr>
              <w:keepNext/>
              <w:jc w:val="center"/>
              <w:rPr>
                <w:sz w:val="20"/>
                <w:szCs w:val="20"/>
                <w:lang w:val="en-GB"/>
              </w:rPr>
            </w:pPr>
            <w:r>
              <w:rPr>
                <w:sz w:val="18"/>
                <w:szCs w:val="18"/>
                <w:lang w:val="en-GB"/>
              </w:rPr>
              <w:t>5</w:t>
            </w:r>
            <w:r w:rsidRPr="0026404C">
              <w:rPr>
                <w:sz w:val="18"/>
                <w:szCs w:val="18"/>
                <w:lang w:val="en-GB"/>
              </w:rPr>
              <w:t>000</w:t>
            </w:r>
          </w:p>
        </w:tc>
        <w:tc>
          <w:tcPr>
            <w:tcW w:w="855" w:type="pct"/>
            <w:tcBorders>
              <w:top w:val="single" w:sz="4" w:space="0" w:color="auto"/>
              <w:left w:val="single" w:sz="6" w:space="0" w:color="000000"/>
              <w:bottom w:val="single" w:sz="4" w:space="0" w:color="auto"/>
              <w:right w:val="single" w:sz="4" w:space="0" w:color="auto"/>
            </w:tcBorders>
            <w:vAlign w:val="center"/>
          </w:tcPr>
          <w:p w14:paraId="2C5C2122" w14:textId="77777777" w:rsidR="00E51CDD" w:rsidRPr="0026404C" w:rsidRDefault="00E51CDD" w:rsidP="009938D9">
            <w:pPr>
              <w:keepNext/>
              <w:jc w:val="center"/>
              <w:rPr>
                <w:sz w:val="20"/>
                <w:szCs w:val="20"/>
                <w:lang w:val="en-GB"/>
              </w:rPr>
            </w:pPr>
            <w:r>
              <w:rPr>
                <w:sz w:val="20"/>
                <w:szCs w:val="20"/>
                <w:lang w:val="en-GB"/>
              </w:rPr>
              <w:t>60</w:t>
            </w:r>
          </w:p>
        </w:tc>
      </w:tr>
      <w:tr w:rsidR="00E51CDD" w:rsidRPr="0026404C" w14:paraId="00969893" w14:textId="77777777" w:rsidTr="009938D9">
        <w:trPr>
          <w:trHeight w:val="487"/>
        </w:trPr>
        <w:tc>
          <w:tcPr>
            <w:tcW w:w="780" w:type="pct"/>
            <w:tcBorders>
              <w:top w:val="single" w:sz="4" w:space="0" w:color="auto"/>
              <w:left w:val="single" w:sz="4" w:space="0" w:color="auto"/>
              <w:bottom w:val="single" w:sz="4" w:space="0" w:color="auto"/>
              <w:right w:val="single" w:sz="6" w:space="0" w:color="000000"/>
            </w:tcBorders>
            <w:vAlign w:val="center"/>
          </w:tcPr>
          <w:p w14:paraId="10A2AEB6" w14:textId="77777777" w:rsidR="00E51CDD" w:rsidRPr="0026404C" w:rsidRDefault="00E51CDD" w:rsidP="009938D9">
            <w:pPr>
              <w:widowControl w:val="0"/>
              <w:spacing w:beforeLines="40" w:before="96" w:afterLines="40" w:after="96"/>
              <w:jc w:val="center"/>
              <w:rPr>
                <w:bCs/>
                <w:sz w:val="20"/>
                <w:szCs w:val="20"/>
                <w:lang w:val="en-GB"/>
              </w:rPr>
            </w:pPr>
            <w:r>
              <w:rPr>
                <w:sz w:val="20"/>
                <w:szCs w:val="20"/>
                <w:lang w:val="en-GB"/>
              </w:rPr>
              <w:t>Azoxystrobin</w:t>
            </w:r>
          </w:p>
        </w:tc>
        <w:tc>
          <w:tcPr>
            <w:tcW w:w="625" w:type="pct"/>
            <w:tcBorders>
              <w:top w:val="single" w:sz="4" w:space="0" w:color="auto"/>
              <w:left w:val="single" w:sz="6" w:space="0" w:color="000000"/>
              <w:bottom w:val="single" w:sz="4" w:space="0" w:color="auto"/>
              <w:right w:val="single" w:sz="6" w:space="0" w:color="000000"/>
            </w:tcBorders>
            <w:vAlign w:val="center"/>
          </w:tcPr>
          <w:p w14:paraId="4C1534C3" w14:textId="77777777" w:rsidR="00E51CDD" w:rsidRPr="0026404C" w:rsidRDefault="00E51CDD" w:rsidP="009938D9">
            <w:pPr>
              <w:keepNext/>
              <w:jc w:val="center"/>
              <w:rPr>
                <w:bCs/>
                <w:sz w:val="20"/>
                <w:szCs w:val="20"/>
                <w:lang w:val="en-GB"/>
              </w:rPr>
            </w:pPr>
            <w:r>
              <w:rPr>
                <w:bCs/>
                <w:sz w:val="20"/>
                <w:szCs w:val="20"/>
                <w:lang w:val="en-GB"/>
              </w:rPr>
              <w:t>75</w:t>
            </w:r>
          </w:p>
        </w:tc>
        <w:tc>
          <w:tcPr>
            <w:tcW w:w="548" w:type="pct"/>
            <w:tcBorders>
              <w:top w:val="single" w:sz="4" w:space="0" w:color="auto"/>
              <w:left w:val="single" w:sz="6" w:space="0" w:color="000000"/>
              <w:bottom w:val="single" w:sz="4" w:space="0" w:color="auto"/>
              <w:right w:val="single" w:sz="6" w:space="0" w:color="000000"/>
            </w:tcBorders>
            <w:vAlign w:val="center"/>
          </w:tcPr>
          <w:p w14:paraId="649602F7" w14:textId="77777777" w:rsidR="00E51CDD" w:rsidRPr="0026404C" w:rsidRDefault="00E51CDD" w:rsidP="009938D9">
            <w:pPr>
              <w:keepNext/>
              <w:jc w:val="center"/>
              <w:rPr>
                <w:bCs/>
                <w:sz w:val="20"/>
                <w:szCs w:val="20"/>
                <w:lang w:val="en-GB"/>
              </w:rPr>
            </w:pPr>
            <w:r w:rsidRPr="0026404C">
              <w:rPr>
                <w:sz w:val="18"/>
                <w:szCs w:val="18"/>
                <w:lang w:val="en-GB"/>
              </w:rPr>
              <w:t>0.</w:t>
            </w:r>
            <w:r>
              <w:rPr>
                <w:sz w:val="18"/>
                <w:szCs w:val="18"/>
                <w:lang w:val="en-GB"/>
              </w:rPr>
              <w:t>6</w:t>
            </w:r>
          </w:p>
        </w:tc>
        <w:tc>
          <w:tcPr>
            <w:tcW w:w="547" w:type="pct"/>
            <w:tcBorders>
              <w:top w:val="single" w:sz="4" w:space="0" w:color="auto"/>
              <w:left w:val="single" w:sz="6" w:space="0" w:color="000000"/>
              <w:bottom w:val="single" w:sz="4" w:space="0" w:color="auto"/>
              <w:right w:val="single" w:sz="6" w:space="0" w:color="000000"/>
            </w:tcBorders>
            <w:noWrap/>
            <w:vAlign w:val="center"/>
          </w:tcPr>
          <w:p w14:paraId="69FCADAC" w14:textId="77777777" w:rsidR="00E51CDD" w:rsidRPr="0026404C" w:rsidRDefault="00E51CDD" w:rsidP="009938D9">
            <w:pPr>
              <w:keepNext/>
              <w:jc w:val="center"/>
              <w:rPr>
                <w:bCs/>
                <w:sz w:val="20"/>
                <w:szCs w:val="20"/>
                <w:lang w:val="en-GB"/>
              </w:rPr>
            </w:pPr>
            <w:r w:rsidRPr="0026404C">
              <w:rPr>
                <w:rFonts w:eastAsia="SimSun"/>
                <w:bCs/>
                <w:sz w:val="18"/>
                <w:szCs w:val="18"/>
                <w:lang w:val="en-GB" w:eastAsia="zh-CN"/>
              </w:rPr>
              <w:t>&gt;</w:t>
            </w:r>
            <w:r>
              <w:rPr>
                <w:rFonts w:eastAsia="SimSun"/>
                <w:bCs/>
                <w:sz w:val="18"/>
                <w:szCs w:val="18"/>
                <w:lang w:val="en-GB" w:eastAsia="zh-CN"/>
              </w:rPr>
              <w:t> 5</w:t>
            </w:r>
            <w:r w:rsidRPr="0026404C">
              <w:rPr>
                <w:rFonts w:eastAsia="SimSun"/>
                <w:bCs/>
                <w:sz w:val="18"/>
                <w:szCs w:val="18"/>
                <w:lang w:val="en-GB" w:eastAsia="zh-CN"/>
              </w:rPr>
              <w:t>000</w:t>
            </w:r>
          </w:p>
        </w:tc>
        <w:tc>
          <w:tcPr>
            <w:tcW w:w="548" w:type="pct"/>
            <w:tcBorders>
              <w:top w:val="single" w:sz="4" w:space="0" w:color="auto"/>
              <w:left w:val="single" w:sz="6" w:space="0" w:color="000000"/>
              <w:bottom w:val="single" w:sz="4" w:space="0" w:color="auto"/>
              <w:right w:val="single" w:sz="6" w:space="0" w:color="000000"/>
            </w:tcBorders>
            <w:vAlign w:val="center"/>
          </w:tcPr>
          <w:p w14:paraId="1D9F8790" w14:textId="77777777" w:rsidR="00E51CDD" w:rsidRPr="0026404C" w:rsidRDefault="00E51CDD" w:rsidP="009938D9">
            <w:pPr>
              <w:keepNext/>
              <w:jc w:val="center"/>
              <w:rPr>
                <w:sz w:val="20"/>
                <w:szCs w:val="20"/>
                <w:lang w:val="en-GB"/>
              </w:rPr>
            </w:pPr>
            <w:r w:rsidRPr="0026404C">
              <w:rPr>
                <w:sz w:val="18"/>
                <w:szCs w:val="18"/>
                <w:lang w:val="en-GB"/>
              </w:rPr>
              <w:t>0.000</w:t>
            </w:r>
            <w:r>
              <w:rPr>
                <w:sz w:val="18"/>
                <w:szCs w:val="18"/>
                <w:lang w:val="en-GB"/>
              </w:rPr>
              <w:t>12</w:t>
            </w:r>
          </w:p>
        </w:tc>
        <w:tc>
          <w:tcPr>
            <w:tcW w:w="626" w:type="pct"/>
            <w:vMerge/>
            <w:tcBorders>
              <w:top w:val="double" w:sz="4" w:space="0" w:color="auto"/>
              <w:left w:val="single" w:sz="6" w:space="0" w:color="000000"/>
              <w:bottom w:val="single" w:sz="4" w:space="0" w:color="auto"/>
              <w:right w:val="single" w:sz="4" w:space="0" w:color="auto"/>
            </w:tcBorders>
            <w:noWrap/>
            <w:vAlign w:val="center"/>
          </w:tcPr>
          <w:p w14:paraId="0C205E41" w14:textId="77777777" w:rsidR="00E51CDD" w:rsidRPr="0026404C" w:rsidRDefault="00E51CDD" w:rsidP="009938D9">
            <w:pPr>
              <w:keepNext/>
              <w:tabs>
                <w:tab w:val="left" w:pos="720"/>
              </w:tabs>
              <w:jc w:val="center"/>
              <w:rPr>
                <w:bCs/>
                <w:sz w:val="20"/>
                <w:szCs w:val="20"/>
                <w:lang w:val="en-GB"/>
              </w:rPr>
            </w:pPr>
          </w:p>
        </w:tc>
        <w:tc>
          <w:tcPr>
            <w:tcW w:w="471" w:type="pct"/>
            <w:tcBorders>
              <w:top w:val="single" w:sz="4" w:space="0" w:color="auto"/>
              <w:left w:val="single" w:sz="4" w:space="0" w:color="auto"/>
              <w:bottom w:val="single" w:sz="4" w:space="0" w:color="auto"/>
              <w:right w:val="single" w:sz="4" w:space="0" w:color="auto"/>
            </w:tcBorders>
            <w:vAlign w:val="center"/>
          </w:tcPr>
          <w:p w14:paraId="50CCAD44" w14:textId="77777777" w:rsidR="00E51CDD" w:rsidRPr="0026404C" w:rsidRDefault="00E51CDD" w:rsidP="009938D9">
            <w:pPr>
              <w:keepNext/>
              <w:tabs>
                <w:tab w:val="left" w:pos="720"/>
              </w:tabs>
              <w:jc w:val="center"/>
              <w:rPr>
                <w:bCs/>
                <w:sz w:val="20"/>
                <w:szCs w:val="20"/>
                <w:lang w:val="en-GB"/>
              </w:rPr>
            </w:pPr>
            <w:r>
              <w:rPr>
                <w:bCs/>
                <w:sz w:val="18"/>
                <w:szCs w:val="18"/>
                <w:lang w:val="en-GB"/>
              </w:rPr>
              <w:t>8333</w:t>
            </w:r>
          </w:p>
        </w:tc>
        <w:tc>
          <w:tcPr>
            <w:tcW w:w="855" w:type="pct"/>
            <w:tcBorders>
              <w:top w:val="single" w:sz="4" w:space="0" w:color="auto"/>
              <w:left w:val="single" w:sz="6" w:space="0" w:color="000000"/>
              <w:bottom w:val="single" w:sz="4" w:space="0" w:color="auto"/>
              <w:right w:val="single" w:sz="4" w:space="0" w:color="auto"/>
            </w:tcBorders>
            <w:vAlign w:val="center"/>
          </w:tcPr>
          <w:p w14:paraId="571FF8BF" w14:textId="77777777" w:rsidR="00E51CDD" w:rsidRPr="0026404C" w:rsidRDefault="00E51CDD" w:rsidP="009938D9">
            <w:pPr>
              <w:keepNext/>
              <w:tabs>
                <w:tab w:val="left" w:pos="720"/>
              </w:tabs>
              <w:jc w:val="center"/>
              <w:rPr>
                <w:bCs/>
                <w:sz w:val="20"/>
                <w:szCs w:val="20"/>
                <w:lang w:val="en-GB"/>
              </w:rPr>
            </w:pPr>
            <w:r>
              <w:rPr>
                <w:bCs/>
                <w:sz w:val="20"/>
                <w:szCs w:val="20"/>
                <w:lang w:val="en-GB"/>
              </w:rPr>
              <w:t>167</w:t>
            </w:r>
          </w:p>
        </w:tc>
      </w:tr>
    </w:tbl>
    <w:p w14:paraId="2C67E312" w14:textId="77777777" w:rsidR="00E51CDD" w:rsidRDefault="00E51CDD" w:rsidP="00E51CDD">
      <w:pPr>
        <w:widowControl w:val="0"/>
        <w:tabs>
          <w:tab w:val="left" w:pos="720"/>
        </w:tabs>
        <w:suppressAutoHyphens/>
        <w:jc w:val="both"/>
        <w:rPr>
          <w:color w:val="000000" w:themeColor="text1"/>
          <w:szCs w:val="24"/>
        </w:rPr>
      </w:pPr>
    </w:p>
    <w:p w14:paraId="287EEEB3" w14:textId="77777777" w:rsidR="00E51CDD" w:rsidRPr="008C45EC" w:rsidRDefault="00E51CDD" w:rsidP="00E51CDD">
      <w:pPr>
        <w:widowControl w:val="0"/>
        <w:tabs>
          <w:tab w:val="left" w:pos="720"/>
        </w:tabs>
        <w:suppressAutoHyphens/>
        <w:jc w:val="both"/>
        <w:rPr>
          <w:color w:val="000000" w:themeColor="text1"/>
          <w:szCs w:val="24"/>
        </w:rPr>
      </w:pPr>
    </w:p>
    <w:p w14:paraId="2898211B" w14:textId="77777777" w:rsidR="00E51CDD" w:rsidRPr="008C45EC" w:rsidRDefault="00E51CDD" w:rsidP="00E51CDD">
      <w:pPr>
        <w:widowControl w:val="0"/>
        <w:tabs>
          <w:tab w:val="left" w:pos="720"/>
        </w:tabs>
        <w:jc w:val="both"/>
        <w:rPr>
          <w:color w:val="000000" w:themeColor="text1"/>
          <w:szCs w:val="24"/>
          <w:lang w:val="en-GB"/>
        </w:rPr>
      </w:pPr>
      <w:bookmarkStart w:id="355" w:name="_Hlk41402755"/>
      <w:r w:rsidRPr="003029A8">
        <w:rPr>
          <w:color w:val="000000" w:themeColor="text1"/>
          <w:szCs w:val="24"/>
          <w:lang w:val="en-GB"/>
        </w:rPr>
        <w:t xml:space="preserve">A laboratory study on the acute toxicity of formulation </w:t>
      </w:r>
      <w:r w:rsidRPr="003029A8">
        <w:rPr>
          <w:color w:val="000000" w:themeColor="text1"/>
        </w:rPr>
        <w:t xml:space="preserve">BAS 736 00 F </w:t>
      </w:r>
      <w:r w:rsidRPr="003029A8">
        <w:rPr>
          <w:color w:val="000000" w:themeColor="text1"/>
          <w:szCs w:val="24"/>
          <w:lang w:val="en-GB"/>
        </w:rPr>
        <w:t xml:space="preserve">to rats </w:t>
      </w:r>
      <w:r>
        <w:rPr>
          <w:color w:val="000000" w:themeColor="text1"/>
          <w:szCs w:val="24"/>
          <w:lang w:val="en-GB"/>
        </w:rPr>
        <w:t xml:space="preserve">(BASF DocID </w:t>
      </w:r>
      <w:r w:rsidRPr="0026404C">
        <w:rPr>
          <w:rFonts w:eastAsia="Calibri"/>
          <w:lang w:val="en-GB"/>
        </w:rPr>
        <w:t>20</w:t>
      </w:r>
      <w:r>
        <w:rPr>
          <w:rFonts w:eastAsia="Calibri"/>
          <w:lang w:val="en-GB"/>
        </w:rPr>
        <w:t>20/2080214</w:t>
      </w:r>
      <w:r>
        <w:rPr>
          <w:color w:val="000000" w:themeColor="text1"/>
          <w:szCs w:val="24"/>
          <w:lang w:val="en-GB"/>
        </w:rPr>
        <w:t xml:space="preserve">) </w:t>
      </w:r>
      <w:r w:rsidRPr="003029A8">
        <w:rPr>
          <w:color w:val="000000" w:themeColor="text1"/>
          <w:szCs w:val="24"/>
          <w:lang w:val="en-GB"/>
        </w:rPr>
        <w:t xml:space="preserve">resulted in </w:t>
      </w:r>
      <w:r w:rsidRPr="003029A8">
        <w:rPr>
          <w:color w:val="000000" w:themeColor="text1"/>
        </w:rPr>
        <w:t>LD</w:t>
      </w:r>
      <w:r w:rsidRPr="003029A8">
        <w:rPr>
          <w:color w:val="000000" w:themeColor="text1"/>
          <w:vertAlign w:val="subscript"/>
        </w:rPr>
        <w:t>50</w:t>
      </w:r>
      <w:r w:rsidRPr="003029A8">
        <w:rPr>
          <w:color w:val="000000" w:themeColor="text1"/>
        </w:rPr>
        <w:t xml:space="preserve"> &gt; 500 and &lt; 2000 mg formulation/kg b.w.</w:t>
      </w:r>
      <w:r>
        <w:rPr>
          <w:color w:val="000000" w:themeColor="text1"/>
        </w:rPr>
        <w:t xml:space="preserve"> (see 9.3.1)</w:t>
      </w:r>
      <w:r w:rsidRPr="003029A8">
        <w:rPr>
          <w:color w:val="000000" w:themeColor="text1"/>
          <w:szCs w:val="24"/>
          <w:lang w:val="en-GB"/>
        </w:rPr>
        <w:t>.</w:t>
      </w:r>
    </w:p>
    <w:p w14:paraId="6F3AE35B" w14:textId="77777777" w:rsidR="00E51CDD" w:rsidRPr="0026404C" w:rsidRDefault="00E51CDD" w:rsidP="00E51CDD">
      <w:pPr>
        <w:widowControl w:val="0"/>
        <w:tabs>
          <w:tab w:val="left" w:pos="720"/>
        </w:tabs>
        <w:suppressAutoHyphens/>
        <w:jc w:val="both"/>
        <w:rPr>
          <w:lang w:val="en-GB" w:eastAsia="zh-CN"/>
        </w:rPr>
      </w:pPr>
    </w:p>
    <w:bookmarkEnd w:id="355"/>
    <w:p w14:paraId="41311AC0" w14:textId="77777777" w:rsidR="00E51CDD" w:rsidRPr="0026404C" w:rsidRDefault="00E51CDD" w:rsidP="00E51CDD">
      <w:pPr>
        <w:widowControl w:val="0"/>
        <w:tabs>
          <w:tab w:val="left" w:pos="720"/>
        </w:tabs>
        <w:jc w:val="both"/>
        <w:rPr>
          <w:szCs w:val="24"/>
          <w:lang w:val="en-GB"/>
        </w:rPr>
      </w:pPr>
      <w:r w:rsidRPr="0026404C">
        <w:rPr>
          <w:szCs w:val="24"/>
          <w:lang w:val="en-GB"/>
        </w:rPr>
        <w:t>Appendix B of EFSA/2009/1438 recommends comparing the surrogate LD</w:t>
      </w:r>
      <w:r w:rsidRPr="0026404C">
        <w:rPr>
          <w:szCs w:val="24"/>
          <w:vertAlign w:val="subscript"/>
          <w:lang w:val="en-GB"/>
        </w:rPr>
        <w:t>50</w:t>
      </w:r>
      <w:r w:rsidRPr="0026404C">
        <w:rPr>
          <w:szCs w:val="24"/>
          <w:lang w:val="en-GB"/>
        </w:rPr>
        <w:t xml:space="preserve"> with the experimental LD</w:t>
      </w:r>
      <w:r w:rsidRPr="0026404C">
        <w:rPr>
          <w:szCs w:val="24"/>
          <w:vertAlign w:val="subscript"/>
          <w:lang w:val="en-GB"/>
        </w:rPr>
        <w:t>50</w:t>
      </w:r>
      <w:r w:rsidRPr="0026404C">
        <w:rPr>
          <w:szCs w:val="24"/>
          <w:lang w:val="en-GB"/>
        </w:rPr>
        <w:t xml:space="preserve"> from formulation testing</w:t>
      </w:r>
      <w:r w:rsidRPr="0026404C" w:rsidDel="0007098D">
        <w:rPr>
          <w:szCs w:val="24"/>
          <w:lang w:val="en-GB"/>
        </w:rPr>
        <w:t xml:space="preserve"> </w:t>
      </w:r>
      <w:r w:rsidRPr="0026404C">
        <w:rPr>
          <w:szCs w:val="24"/>
          <w:lang w:val="en-GB"/>
        </w:rPr>
        <w:t>and to run the risk assessment with the lowest of the two values. However, Appendix B does not provide clear recommendations if, for the comparison of the two LD</w:t>
      </w:r>
      <w:r w:rsidRPr="0026404C">
        <w:rPr>
          <w:szCs w:val="24"/>
          <w:vertAlign w:val="subscript"/>
          <w:lang w:val="en-GB"/>
        </w:rPr>
        <w:t>50</w:t>
      </w:r>
      <w:r w:rsidRPr="0026404C">
        <w:rPr>
          <w:szCs w:val="24"/>
          <w:lang w:val="en-GB"/>
        </w:rPr>
        <w:t xml:space="preserve"> values and for the calculation of the exposure scenarios, only the content of the active substances should be considered as the surrogate LD</w:t>
      </w:r>
      <w:r w:rsidRPr="0026404C">
        <w:rPr>
          <w:szCs w:val="24"/>
          <w:vertAlign w:val="subscript"/>
          <w:lang w:val="en-GB"/>
        </w:rPr>
        <w:t>50</w:t>
      </w:r>
      <w:r w:rsidRPr="0026404C">
        <w:rPr>
          <w:szCs w:val="24"/>
          <w:lang w:val="en-GB"/>
        </w:rPr>
        <w:t xml:space="preserve"> is based on toxicity and concentration of active substances, while the experimental LD</w:t>
      </w:r>
      <w:r w:rsidRPr="0026404C">
        <w:rPr>
          <w:szCs w:val="24"/>
          <w:vertAlign w:val="subscript"/>
          <w:lang w:val="en-GB"/>
        </w:rPr>
        <w:t>50</w:t>
      </w:r>
      <w:r w:rsidRPr="0026404C">
        <w:rPr>
          <w:szCs w:val="24"/>
          <w:lang w:val="en-GB"/>
        </w:rPr>
        <w:t xml:space="preserve"> is based on all components of the formulation. Due to this lack of guidance in Appendix B the most comprehensive approach is adopted by the notifier by presenting the two possible risk assessments, one for the virtual compound and another for the formulation.</w:t>
      </w:r>
    </w:p>
    <w:p w14:paraId="13DBFD36" w14:textId="77777777" w:rsidR="00E51CDD" w:rsidRPr="0026404C" w:rsidRDefault="00E51CDD" w:rsidP="00E51CDD">
      <w:pPr>
        <w:widowControl w:val="0"/>
        <w:tabs>
          <w:tab w:val="left" w:pos="720"/>
        </w:tabs>
        <w:jc w:val="both"/>
        <w:rPr>
          <w:szCs w:val="24"/>
          <w:lang w:val="en-GB"/>
        </w:rPr>
      </w:pPr>
    </w:p>
    <w:p w14:paraId="798DC2B3" w14:textId="77777777" w:rsidR="00E51CDD" w:rsidRPr="0026404C" w:rsidRDefault="00E51CDD" w:rsidP="00E51CDD">
      <w:pPr>
        <w:widowControl w:val="0"/>
        <w:tabs>
          <w:tab w:val="left" w:pos="720"/>
        </w:tabs>
        <w:jc w:val="both"/>
        <w:rPr>
          <w:lang w:val="en-GB"/>
        </w:rPr>
      </w:pPr>
      <w:r>
        <w:rPr>
          <w:lang w:val="en-GB"/>
        </w:rPr>
        <w:br w:type="page"/>
      </w:r>
    </w:p>
    <w:p w14:paraId="4E73552C" w14:textId="77777777" w:rsidR="00E51CDD" w:rsidRPr="0026404C" w:rsidRDefault="00E51CDD" w:rsidP="00E51CDD">
      <w:pPr>
        <w:widowControl w:val="0"/>
        <w:tabs>
          <w:tab w:val="left" w:pos="720"/>
        </w:tabs>
        <w:jc w:val="both"/>
        <w:rPr>
          <w:b/>
          <w:bCs/>
          <w:i/>
          <w:szCs w:val="24"/>
          <w:lang w:val="en-GB"/>
        </w:rPr>
      </w:pPr>
      <w:r w:rsidRPr="0026404C">
        <w:rPr>
          <w:b/>
          <w:bCs/>
          <w:i/>
          <w:szCs w:val="24"/>
          <w:lang w:val="en-GB"/>
        </w:rPr>
        <w:lastRenderedPageBreak/>
        <w:t>Exposure and acute risk assessment for combined active substances (</w:t>
      </w:r>
      <w:r w:rsidRPr="0026404C">
        <w:rPr>
          <w:b/>
          <w:bCs/>
          <w:i/>
          <w:szCs w:val="24"/>
          <w:u w:val="single"/>
          <w:lang w:val="en-GB"/>
        </w:rPr>
        <w:t>virtual compound approach</w:t>
      </w:r>
      <w:r w:rsidRPr="0026404C">
        <w:rPr>
          <w:b/>
          <w:bCs/>
          <w:i/>
          <w:szCs w:val="24"/>
          <w:lang w:val="en-GB"/>
        </w:rPr>
        <w:t>)</w:t>
      </w:r>
    </w:p>
    <w:p w14:paraId="39975479" w14:textId="77777777" w:rsidR="00E51CDD" w:rsidRPr="0026404C" w:rsidRDefault="00E51CDD" w:rsidP="00E51CDD">
      <w:pPr>
        <w:widowControl w:val="0"/>
        <w:tabs>
          <w:tab w:val="left" w:pos="720"/>
        </w:tabs>
        <w:jc w:val="both"/>
        <w:rPr>
          <w:i/>
          <w:szCs w:val="24"/>
          <w:lang w:val="en-GB"/>
        </w:rPr>
      </w:pPr>
    </w:p>
    <w:p w14:paraId="7D90777A" w14:textId="77777777" w:rsidR="00E51CDD" w:rsidRPr="0026404C" w:rsidRDefault="00E51CDD" w:rsidP="00E51CDD">
      <w:pPr>
        <w:jc w:val="both"/>
        <w:rPr>
          <w:szCs w:val="24"/>
          <w:lang w:val="en-GB"/>
        </w:rPr>
      </w:pPr>
      <w:r w:rsidRPr="0026404C">
        <w:rPr>
          <w:lang w:val="en-GB"/>
        </w:rPr>
        <w:t xml:space="preserve">The potential exposure to the combined substances follows step 4 of </w:t>
      </w:r>
      <w:r w:rsidRPr="0026404C">
        <w:t>Appendix B of EFSA/2009/1438</w:t>
      </w:r>
      <w:r w:rsidRPr="0026404C">
        <w:rPr>
          <w:lang w:val="en-GB"/>
        </w:rPr>
        <w:t xml:space="preserve">. The maximum </w:t>
      </w:r>
      <w:r>
        <w:rPr>
          <w:lang w:val="en-GB"/>
        </w:rPr>
        <w:t xml:space="preserve">single </w:t>
      </w:r>
      <w:r w:rsidRPr="0026404C">
        <w:rPr>
          <w:lang w:val="en-GB"/>
        </w:rPr>
        <w:t>application rate of formulation BAS 7</w:t>
      </w:r>
      <w:r>
        <w:rPr>
          <w:lang w:val="en-GB"/>
        </w:rPr>
        <w:t>36</w:t>
      </w:r>
      <w:r w:rsidRPr="0026404C">
        <w:rPr>
          <w:lang w:val="en-GB"/>
        </w:rPr>
        <w:t xml:space="preserve"> 00 F is </w:t>
      </w:r>
      <w:r>
        <w:rPr>
          <w:lang w:val="en-GB"/>
        </w:rPr>
        <w:t>2</w:t>
      </w:r>
      <w:r w:rsidRPr="0026404C">
        <w:rPr>
          <w:lang w:val="en-GB"/>
        </w:rPr>
        <w:t>.0 L product/ha (corresponding to 0.1 kg/ha fluxapyroxad</w:t>
      </w:r>
      <w:r>
        <w:rPr>
          <w:lang w:val="en-GB"/>
        </w:rPr>
        <w:t xml:space="preserve"> and 0.15 kg/ha azoxystrobin</w:t>
      </w:r>
      <w:r w:rsidRPr="0026404C">
        <w:rPr>
          <w:lang w:val="en-GB"/>
        </w:rPr>
        <w:t xml:space="preserve"> for the use in </w:t>
      </w:r>
      <w:r>
        <w:rPr>
          <w:lang w:val="en-GB"/>
        </w:rPr>
        <w:t>cereals</w:t>
      </w:r>
      <w:r w:rsidRPr="0026404C">
        <w:rPr>
          <w:lang w:val="en-GB"/>
        </w:rPr>
        <w:t>);</w:t>
      </w:r>
      <w:r w:rsidRPr="0026404C">
        <w:rPr>
          <w:szCs w:val="24"/>
          <w:lang w:val="en-GB"/>
        </w:rPr>
        <w:t xml:space="preserve"> applying the concept for dose additivity to the exposure calculations results in a </w:t>
      </w:r>
      <w:r w:rsidRPr="0026404C">
        <w:t>combined application rate of 0.</w:t>
      </w:r>
      <w:r>
        <w:t>2</w:t>
      </w:r>
      <w:r w:rsidRPr="0026404C">
        <w:t>5 kg virtual compound/ha.</w:t>
      </w:r>
    </w:p>
    <w:p w14:paraId="2A447523" w14:textId="77777777" w:rsidR="00E51CDD" w:rsidRPr="0026404C" w:rsidRDefault="00E51CDD" w:rsidP="00E51CDD">
      <w:pPr>
        <w:widowControl w:val="0"/>
        <w:tabs>
          <w:tab w:val="left" w:pos="720"/>
        </w:tabs>
        <w:jc w:val="both"/>
        <w:rPr>
          <w:szCs w:val="24"/>
          <w:lang w:val="en-GB"/>
        </w:rPr>
      </w:pPr>
    </w:p>
    <w:p w14:paraId="1F4E9642" w14:textId="757A954B" w:rsidR="00E51CDD" w:rsidRPr="0026404C" w:rsidRDefault="00E51CDD" w:rsidP="00E51CDD">
      <w:pPr>
        <w:widowControl w:val="0"/>
        <w:tabs>
          <w:tab w:val="left" w:pos="720"/>
        </w:tabs>
        <w:jc w:val="both"/>
        <w:rPr>
          <w:lang w:val="en-GB"/>
        </w:rPr>
      </w:pPr>
      <w:bookmarkStart w:id="356" w:name="_Hlk85093761"/>
      <w:r w:rsidRPr="0026404C">
        <w:rPr>
          <w:lang w:val="en-GB"/>
        </w:rPr>
        <w:t xml:space="preserve">The dietary TER acute value for the screening step presented in </w:t>
      </w:r>
      <w:r w:rsidRPr="0026404C">
        <w:rPr>
          <w:lang w:val="en-GB"/>
        </w:rPr>
        <w:fldChar w:fldCharType="begin"/>
      </w:r>
      <w:r w:rsidRPr="0026404C">
        <w:rPr>
          <w:lang w:val="en-GB"/>
        </w:rPr>
        <w:instrText xml:space="preserve"> REF _Ref440877152  \* MERGEFORMAT </w:instrText>
      </w:r>
      <w:r w:rsidRPr="0026404C">
        <w:rPr>
          <w:lang w:val="en-GB"/>
        </w:rPr>
        <w:fldChar w:fldCharType="separate"/>
      </w:r>
      <w:r w:rsidR="00662F32" w:rsidRPr="00662F32">
        <w:t xml:space="preserve">Table </w:t>
      </w:r>
      <w:r w:rsidR="00662F32" w:rsidRPr="00662F32">
        <w:rPr>
          <w:noProof/>
        </w:rPr>
        <w:t>9.3</w:t>
      </w:r>
      <w:r w:rsidR="00662F32" w:rsidRPr="00662F32">
        <w:rPr>
          <w:noProof/>
        </w:rPr>
        <w:noBreakHyphen/>
        <w:t>9</w:t>
      </w:r>
      <w:r w:rsidRPr="0026404C">
        <w:rPr>
          <w:lang w:val="en-GB"/>
        </w:rPr>
        <w:fldChar w:fldCharType="end"/>
      </w:r>
      <w:r w:rsidRPr="0026404C">
        <w:rPr>
          <w:lang w:val="en-GB"/>
        </w:rPr>
        <w:t xml:space="preserve"> is </w:t>
      </w:r>
      <w:r w:rsidRPr="0026404C">
        <w:t>above the trigger of 10</w:t>
      </w:r>
      <w:bookmarkEnd w:id="356"/>
      <w:r w:rsidRPr="0026404C">
        <w:t xml:space="preserve">. </w:t>
      </w:r>
      <w:r w:rsidRPr="0026404C">
        <w:rPr>
          <w:lang w:val="en-GB"/>
        </w:rPr>
        <w:t>Therefore, the acute risk to mammals from combined effects of the two active substances in BAS 7</w:t>
      </w:r>
      <w:r>
        <w:rPr>
          <w:lang w:val="en-GB"/>
        </w:rPr>
        <w:t>36</w:t>
      </w:r>
      <w:r w:rsidRPr="0026404C">
        <w:rPr>
          <w:lang w:val="en-GB"/>
        </w:rPr>
        <w:t> 00 F is acceptable.</w:t>
      </w:r>
    </w:p>
    <w:p w14:paraId="24E733F3" w14:textId="3F4444F9" w:rsidR="00E51CDD" w:rsidRPr="0026404C" w:rsidRDefault="00E51CDD" w:rsidP="00E51CDD">
      <w:pPr>
        <w:keepNext/>
        <w:keepLines/>
        <w:widowControl w:val="0"/>
        <w:tabs>
          <w:tab w:val="left" w:pos="1980"/>
        </w:tabs>
        <w:spacing w:before="200" w:after="120"/>
        <w:ind w:left="1980" w:hanging="1980"/>
        <w:jc w:val="both"/>
        <w:rPr>
          <w:bCs/>
          <w:lang w:val="en-GB"/>
        </w:rPr>
      </w:pPr>
      <w:bookmarkStart w:id="357" w:name="_Ref440877152"/>
      <w:r w:rsidRPr="0026404C">
        <w:rPr>
          <w:b/>
          <w:bCs/>
          <w:lang w:val="en-GB"/>
        </w:rPr>
        <w:t xml:space="preserve">Table </w:t>
      </w:r>
      <w:r w:rsidRPr="0026404C">
        <w:rPr>
          <w:b/>
          <w:bCs/>
          <w:lang w:val="en-GB"/>
        </w:rPr>
        <w:fldChar w:fldCharType="begin"/>
      </w:r>
      <w:r w:rsidRPr="0026404C">
        <w:rPr>
          <w:b/>
          <w:bCs/>
          <w:lang w:val="en-GB"/>
        </w:rPr>
        <w:instrText xml:space="preserve"> STYLEREF 2 \s </w:instrText>
      </w:r>
      <w:r w:rsidRPr="0026404C">
        <w:rPr>
          <w:b/>
          <w:bCs/>
          <w:lang w:val="en-GB"/>
        </w:rPr>
        <w:fldChar w:fldCharType="separate"/>
      </w:r>
      <w:r w:rsidR="00662F32">
        <w:rPr>
          <w:b/>
          <w:bCs/>
          <w:noProof/>
          <w:lang w:val="en-GB"/>
        </w:rPr>
        <w:t>9.3</w:t>
      </w:r>
      <w:r w:rsidRPr="0026404C">
        <w:rPr>
          <w:b/>
          <w:bCs/>
          <w:lang w:val="en-GB"/>
        </w:rPr>
        <w:fldChar w:fldCharType="end"/>
      </w:r>
      <w:r w:rsidRPr="0026404C">
        <w:rPr>
          <w:b/>
          <w:bCs/>
          <w:lang w:val="en-GB"/>
        </w:rPr>
        <w:noBreakHyphen/>
      </w:r>
      <w:r w:rsidRPr="0026404C">
        <w:rPr>
          <w:b/>
          <w:bCs/>
          <w:lang w:val="en-GB"/>
        </w:rPr>
        <w:fldChar w:fldCharType="begin"/>
      </w:r>
      <w:r w:rsidRPr="0026404C">
        <w:rPr>
          <w:b/>
          <w:bCs/>
          <w:lang w:val="en-GB"/>
        </w:rPr>
        <w:instrText xml:space="preserve"> SEQ Table \* ARABIC \s 2 </w:instrText>
      </w:r>
      <w:r w:rsidRPr="0026404C">
        <w:rPr>
          <w:b/>
          <w:bCs/>
          <w:lang w:val="en-GB"/>
        </w:rPr>
        <w:fldChar w:fldCharType="separate"/>
      </w:r>
      <w:r w:rsidR="00662F32">
        <w:rPr>
          <w:b/>
          <w:bCs/>
          <w:noProof/>
          <w:lang w:val="en-GB"/>
        </w:rPr>
        <w:t>9</w:t>
      </w:r>
      <w:r w:rsidRPr="0026404C">
        <w:rPr>
          <w:b/>
          <w:bCs/>
          <w:lang w:val="en-GB"/>
        </w:rPr>
        <w:fldChar w:fldCharType="end"/>
      </w:r>
      <w:bookmarkEnd w:id="357"/>
      <w:r w:rsidRPr="0026404C">
        <w:rPr>
          <w:b/>
          <w:bCs/>
          <w:lang w:val="en-GB"/>
        </w:rPr>
        <w:t xml:space="preserve">: </w:t>
      </w:r>
      <w:r w:rsidRPr="0026404C">
        <w:rPr>
          <w:b/>
          <w:bCs/>
          <w:lang w:val="en-GB"/>
        </w:rPr>
        <w:tab/>
        <w:t>Screening step calculation of the acute risk for mammals due to the use of BAS 7</w:t>
      </w:r>
      <w:r>
        <w:rPr>
          <w:b/>
          <w:bCs/>
          <w:lang w:val="en-GB"/>
        </w:rPr>
        <w:t>36</w:t>
      </w:r>
      <w:r w:rsidRPr="0026404C">
        <w:rPr>
          <w:b/>
          <w:bCs/>
          <w:lang w:val="en-GB"/>
        </w:rPr>
        <w:t> 00 F in “</w:t>
      </w:r>
      <w:r>
        <w:rPr>
          <w:b/>
          <w:bCs/>
          <w:lang w:val="en-GB"/>
        </w:rPr>
        <w:t>cereals</w:t>
      </w:r>
      <w:r w:rsidRPr="0026404C">
        <w:rPr>
          <w:b/>
          <w:bCs/>
          <w:lang w:val="en-GB"/>
        </w:rPr>
        <w:t xml:space="preserve">” – </w:t>
      </w:r>
      <w:r>
        <w:rPr>
          <w:b/>
          <w:bCs/>
          <w:lang w:val="en-GB" w:eastAsia="en-US"/>
        </w:rPr>
        <w:t>virtual compound approach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0"/>
        <w:gridCol w:w="1207"/>
        <w:gridCol w:w="1580"/>
        <w:gridCol w:w="1208"/>
        <w:gridCol w:w="1178"/>
        <w:gridCol w:w="1047"/>
        <w:gridCol w:w="830"/>
        <w:gridCol w:w="1107"/>
      </w:tblGrid>
      <w:tr w:rsidR="00E51CDD" w:rsidRPr="0026404C" w14:paraId="3DE052A2" w14:textId="77777777" w:rsidTr="009938D9">
        <w:trPr>
          <w:trHeight w:val="436"/>
        </w:trPr>
        <w:tc>
          <w:tcPr>
            <w:tcW w:w="637" w:type="pct"/>
            <w:vMerge w:val="restart"/>
            <w:shd w:val="clear" w:color="auto" w:fill="auto"/>
            <w:vAlign w:val="center"/>
          </w:tcPr>
          <w:p w14:paraId="54C0C02D" w14:textId="77777777" w:rsidR="00E51CDD" w:rsidRPr="0026404C" w:rsidRDefault="00E51CDD" w:rsidP="009938D9">
            <w:pPr>
              <w:widowControl w:val="0"/>
              <w:spacing w:beforeLines="40" w:before="96" w:afterLines="40" w:after="96"/>
              <w:rPr>
                <w:rFonts w:eastAsia="Batang"/>
                <w:b/>
                <w:bCs/>
                <w:sz w:val="18"/>
                <w:szCs w:val="18"/>
                <w:lang w:eastAsia="zh-CN"/>
              </w:rPr>
            </w:pPr>
            <w:r w:rsidRPr="0026404C">
              <w:rPr>
                <w:rFonts w:eastAsia="Batang"/>
                <w:b/>
                <w:bCs/>
                <w:sz w:val="18"/>
                <w:szCs w:val="18"/>
                <w:lang w:eastAsia="zh-CN"/>
              </w:rPr>
              <w:t>Data from Data_Entry worksheet</w:t>
            </w:r>
          </w:p>
        </w:tc>
        <w:tc>
          <w:tcPr>
            <w:tcW w:w="646" w:type="pct"/>
            <w:shd w:val="clear" w:color="auto" w:fill="auto"/>
            <w:vAlign w:val="center"/>
          </w:tcPr>
          <w:p w14:paraId="01996275"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Crop</w:t>
            </w:r>
          </w:p>
        </w:tc>
        <w:tc>
          <w:tcPr>
            <w:tcW w:w="845" w:type="pct"/>
            <w:shd w:val="clear" w:color="auto" w:fill="auto"/>
            <w:vAlign w:val="center"/>
          </w:tcPr>
          <w:p w14:paraId="7462C964"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Application rate (kg virtual compound/ha)</w:t>
            </w:r>
          </w:p>
        </w:tc>
        <w:tc>
          <w:tcPr>
            <w:tcW w:w="646" w:type="pct"/>
            <w:shd w:val="clear" w:color="auto" w:fill="auto"/>
            <w:vAlign w:val="center"/>
          </w:tcPr>
          <w:p w14:paraId="0CD4E596"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Number of applications</w:t>
            </w:r>
          </w:p>
        </w:tc>
        <w:tc>
          <w:tcPr>
            <w:tcW w:w="630" w:type="pct"/>
            <w:shd w:val="clear" w:color="auto" w:fill="auto"/>
            <w:vAlign w:val="center"/>
          </w:tcPr>
          <w:p w14:paraId="5E786BDB"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Application Interval</w:t>
            </w:r>
          </w:p>
        </w:tc>
        <w:tc>
          <w:tcPr>
            <w:tcW w:w="560" w:type="pct"/>
            <w:shd w:val="clear" w:color="auto" w:fill="auto"/>
            <w:vAlign w:val="center"/>
          </w:tcPr>
          <w:p w14:paraId="4CCE8B85"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DT</w:t>
            </w:r>
            <w:r w:rsidRPr="0026404C">
              <w:rPr>
                <w:rFonts w:eastAsia="Batang"/>
                <w:b/>
                <w:bCs/>
                <w:sz w:val="18"/>
                <w:szCs w:val="18"/>
                <w:vertAlign w:val="subscript"/>
                <w:lang w:eastAsia="zh-CN"/>
              </w:rPr>
              <w:t>50</w:t>
            </w:r>
          </w:p>
        </w:tc>
        <w:tc>
          <w:tcPr>
            <w:tcW w:w="444" w:type="pct"/>
            <w:shd w:val="clear" w:color="auto" w:fill="auto"/>
            <w:vAlign w:val="center"/>
          </w:tcPr>
          <w:p w14:paraId="2ACB5ACA"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LD</w:t>
            </w:r>
            <w:r w:rsidRPr="0026404C">
              <w:rPr>
                <w:rFonts w:eastAsia="Batang"/>
                <w:b/>
                <w:bCs/>
                <w:sz w:val="18"/>
                <w:szCs w:val="18"/>
                <w:vertAlign w:val="subscript"/>
                <w:lang w:eastAsia="zh-CN"/>
              </w:rPr>
              <w:t>50</w:t>
            </w:r>
          </w:p>
        </w:tc>
        <w:tc>
          <w:tcPr>
            <w:tcW w:w="592" w:type="pct"/>
            <w:shd w:val="clear" w:color="auto" w:fill="auto"/>
            <w:noWrap/>
            <w:vAlign w:val="center"/>
          </w:tcPr>
          <w:p w14:paraId="5666B952" w14:textId="77777777" w:rsidR="00E51CDD" w:rsidRPr="0026404C" w:rsidRDefault="00E51CDD" w:rsidP="009938D9">
            <w:pPr>
              <w:widowControl w:val="0"/>
              <w:spacing w:beforeLines="40" w:before="96" w:afterLines="40" w:after="96"/>
              <w:jc w:val="center"/>
              <w:rPr>
                <w:rFonts w:eastAsia="Batang"/>
                <w:sz w:val="18"/>
                <w:szCs w:val="18"/>
                <w:lang w:eastAsia="zh-CN"/>
              </w:rPr>
            </w:pPr>
          </w:p>
        </w:tc>
      </w:tr>
      <w:tr w:rsidR="00E51CDD" w:rsidRPr="0026404C" w14:paraId="05444D43" w14:textId="77777777" w:rsidTr="009938D9">
        <w:trPr>
          <w:trHeight w:val="271"/>
        </w:trPr>
        <w:tc>
          <w:tcPr>
            <w:tcW w:w="637" w:type="pct"/>
            <w:vMerge/>
            <w:shd w:val="clear" w:color="auto" w:fill="auto"/>
            <w:vAlign w:val="center"/>
          </w:tcPr>
          <w:p w14:paraId="61CEF481" w14:textId="77777777" w:rsidR="00E51CDD" w:rsidRPr="0026404C" w:rsidRDefault="00E51CDD" w:rsidP="009938D9">
            <w:pPr>
              <w:widowControl w:val="0"/>
              <w:spacing w:beforeLines="40" w:before="96" w:afterLines="40" w:after="96"/>
              <w:rPr>
                <w:rFonts w:eastAsia="Batang"/>
                <w:b/>
                <w:bCs/>
                <w:sz w:val="18"/>
                <w:szCs w:val="18"/>
                <w:lang w:eastAsia="zh-CN"/>
              </w:rPr>
            </w:pPr>
          </w:p>
        </w:tc>
        <w:tc>
          <w:tcPr>
            <w:tcW w:w="646" w:type="pct"/>
            <w:shd w:val="clear" w:color="auto" w:fill="auto"/>
            <w:vAlign w:val="center"/>
          </w:tcPr>
          <w:p w14:paraId="5B86E908" w14:textId="77777777" w:rsidR="00E51CDD" w:rsidRPr="0026404C" w:rsidRDefault="00E51CDD" w:rsidP="009938D9">
            <w:pPr>
              <w:widowControl w:val="0"/>
              <w:spacing w:beforeLines="40" w:before="96" w:afterLines="40" w:after="96"/>
              <w:jc w:val="center"/>
              <w:rPr>
                <w:rFonts w:eastAsia="Batang"/>
                <w:sz w:val="18"/>
                <w:szCs w:val="18"/>
                <w:lang w:eastAsia="zh-CN"/>
              </w:rPr>
            </w:pPr>
            <w:r>
              <w:rPr>
                <w:rFonts w:eastAsia="Batang"/>
                <w:sz w:val="18"/>
                <w:szCs w:val="18"/>
                <w:lang w:eastAsia="zh-CN"/>
              </w:rPr>
              <w:t>Cereals</w:t>
            </w:r>
          </w:p>
        </w:tc>
        <w:tc>
          <w:tcPr>
            <w:tcW w:w="845" w:type="pct"/>
            <w:shd w:val="clear" w:color="auto" w:fill="auto"/>
            <w:vAlign w:val="center"/>
          </w:tcPr>
          <w:p w14:paraId="61A6AE86" w14:textId="77777777" w:rsidR="00E51CDD" w:rsidRPr="0026404C" w:rsidRDefault="00E51CDD" w:rsidP="009938D9">
            <w:pPr>
              <w:widowControl w:val="0"/>
              <w:jc w:val="center"/>
              <w:rPr>
                <w:sz w:val="18"/>
                <w:szCs w:val="18"/>
              </w:rPr>
            </w:pPr>
            <w:r w:rsidRPr="0026404C">
              <w:rPr>
                <w:sz w:val="18"/>
                <w:szCs w:val="18"/>
              </w:rPr>
              <w:t>0.</w:t>
            </w:r>
            <w:r>
              <w:rPr>
                <w:sz w:val="18"/>
                <w:szCs w:val="18"/>
              </w:rPr>
              <w:t>2</w:t>
            </w:r>
            <w:r w:rsidRPr="0026404C">
              <w:rPr>
                <w:sz w:val="18"/>
                <w:szCs w:val="18"/>
              </w:rPr>
              <w:t>5</w:t>
            </w:r>
          </w:p>
        </w:tc>
        <w:tc>
          <w:tcPr>
            <w:tcW w:w="646" w:type="pct"/>
            <w:shd w:val="clear" w:color="auto" w:fill="auto"/>
            <w:vAlign w:val="center"/>
          </w:tcPr>
          <w:p w14:paraId="5282239E" w14:textId="77777777" w:rsidR="00E51CDD" w:rsidRPr="0026404C" w:rsidRDefault="00E51CDD" w:rsidP="009938D9">
            <w:pPr>
              <w:widowControl w:val="0"/>
              <w:jc w:val="center"/>
              <w:rPr>
                <w:sz w:val="18"/>
                <w:szCs w:val="18"/>
              </w:rPr>
            </w:pPr>
            <w:r w:rsidRPr="0026404C">
              <w:rPr>
                <w:sz w:val="18"/>
                <w:szCs w:val="18"/>
              </w:rPr>
              <w:t>2</w:t>
            </w:r>
          </w:p>
        </w:tc>
        <w:tc>
          <w:tcPr>
            <w:tcW w:w="630" w:type="pct"/>
            <w:shd w:val="clear" w:color="auto" w:fill="auto"/>
            <w:vAlign w:val="center"/>
          </w:tcPr>
          <w:p w14:paraId="659D558A" w14:textId="77777777" w:rsidR="00E51CDD" w:rsidRPr="0026404C" w:rsidRDefault="00E51CDD" w:rsidP="009938D9">
            <w:pPr>
              <w:widowControl w:val="0"/>
              <w:jc w:val="center"/>
              <w:rPr>
                <w:sz w:val="18"/>
                <w:szCs w:val="18"/>
              </w:rPr>
            </w:pPr>
            <w:r>
              <w:rPr>
                <w:sz w:val="18"/>
                <w:szCs w:val="18"/>
              </w:rPr>
              <w:t>21</w:t>
            </w:r>
          </w:p>
        </w:tc>
        <w:tc>
          <w:tcPr>
            <w:tcW w:w="560" w:type="pct"/>
            <w:shd w:val="clear" w:color="auto" w:fill="auto"/>
            <w:vAlign w:val="center"/>
          </w:tcPr>
          <w:p w14:paraId="5FE7739C" w14:textId="77777777" w:rsidR="00E51CDD" w:rsidRPr="0026404C" w:rsidRDefault="00E51CDD" w:rsidP="009938D9">
            <w:pPr>
              <w:widowControl w:val="0"/>
              <w:jc w:val="center"/>
              <w:rPr>
                <w:sz w:val="18"/>
                <w:szCs w:val="18"/>
              </w:rPr>
            </w:pPr>
            <w:r w:rsidRPr="0026404C">
              <w:rPr>
                <w:sz w:val="18"/>
                <w:szCs w:val="18"/>
              </w:rPr>
              <w:t>10.0</w:t>
            </w:r>
          </w:p>
        </w:tc>
        <w:tc>
          <w:tcPr>
            <w:tcW w:w="444" w:type="pct"/>
            <w:shd w:val="clear" w:color="auto" w:fill="auto"/>
            <w:noWrap/>
            <w:vAlign w:val="center"/>
          </w:tcPr>
          <w:p w14:paraId="4D4B17C4" w14:textId="77777777" w:rsidR="00E51CDD" w:rsidRPr="0026404C" w:rsidRDefault="00E51CDD" w:rsidP="009938D9">
            <w:pPr>
              <w:widowControl w:val="0"/>
              <w:jc w:val="center"/>
              <w:rPr>
                <w:sz w:val="18"/>
                <w:szCs w:val="18"/>
              </w:rPr>
            </w:pPr>
            <w:r>
              <w:rPr>
                <w:sz w:val="18"/>
                <w:szCs w:val="18"/>
              </w:rPr>
              <w:t>3125.0</w:t>
            </w:r>
          </w:p>
        </w:tc>
        <w:tc>
          <w:tcPr>
            <w:tcW w:w="592" w:type="pct"/>
            <w:shd w:val="clear" w:color="auto" w:fill="auto"/>
            <w:noWrap/>
            <w:vAlign w:val="center"/>
          </w:tcPr>
          <w:p w14:paraId="54DB89DA" w14:textId="77777777" w:rsidR="00E51CDD" w:rsidRPr="0026404C" w:rsidRDefault="00E51CDD" w:rsidP="009938D9">
            <w:pPr>
              <w:widowControl w:val="0"/>
              <w:spacing w:beforeLines="40" w:before="96" w:afterLines="40" w:after="96"/>
              <w:rPr>
                <w:rFonts w:eastAsia="Batang"/>
                <w:sz w:val="18"/>
                <w:szCs w:val="18"/>
                <w:lang w:eastAsia="zh-CN"/>
              </w:rPr>
            </w:pPr>
            <w:r w:rsidRPr="0026404C">
              <w:rPr>
                <w:rFonts w:eastAsia="Batang"/>
                <w:sz w:val="18"/>
                <w:szCs w:val="18"/>
                <w:lang w:eastAsia="zh-CN"/>
              </w:rPr>
              <w:t> </w:t>
            </w:r>
          </w:p>
        </w:tc>
      </w:tr>
      <w:tr w:rsidR="00E51CDD" w:rsidRPr="0026404C" w14:paraId="52A61C3D" w14:textId="77777777" w:rsidTr="009938D9">
        <w:trPr>
          <w:trHeight w:val="217"/>
        </w:trPr>
        <w:tc>
          <w:tcPr>
            <w:tcW w:w="5000" w:type="pct"/>
            <w:gridSpan w:val="8"/>
            <w:shd w:val="clear" w:color="auto" w:fill="auto"/>
            <w:noWrap/>
            <w:vAlign w:val="center"/>
          </w:tcPr>
          <w:p w14:paraId="2854A762" w14:textId="77777777" w:rsidR="00E51CDD" w:rsidRPr="0026404C" w:rsidRDefault="00E51CDD" w:rsidP="009938D9">
            <w:pPr>
              <w:widowControl w:val="0"/>
              <w:spacing w:beforeLines="40" w:before="96" w:afterLines="40" w:after="96"/>
              <w:rPr>
                <w:rFonts w:eastAsia="Batang"/>
                <w:b/>
                <w:bCs/>
                <w:sz w:val="18"/>
                <w:szCs w:val="18"/>
                <w:lang w:eastAsia="zh-CN"/>
              </w:rPr>
            </w:pPr>
            <w:r w:rsidRPr="0026404C">
              <w:rPr>
                <w:rFonts w:eastAsia="Batang"/>
                <w:b/>
                <w:bCs/>
                <w:sz w:val="18"/>
                <w:szCs w:val="18"/>
                <w:lang w:eastAsia="zh-CN"/>
              </w:rPr>
              <w:t>Screening step:</w:t>
            </w:r>
          </w:p>
        </w:tc>
      </w:tr>
      <w:tr w:rsidR="00E51CDD" w:rsidRPr="0026404C" w14:paraId="2A43C464" w14:textId="77777777" w:rsidTr="009938D9">
        <w:trPr>
          <w:trHeight w:val="691"/>
        </w:trPr>
        <w:tc>
          <w:tcPr>
            <w:tcW w:w="637" w:type="pct"/>
            <w:vMerge w:val="restart"/>
            <w:shd w:val="clear" w:color="auto" w:fill="auto"/>
            <w:vAlign w:val="center"/>
          </w:tcPr>
          <w:p w14:paraId="49962E7F" w14:textId="77777777" w:rsidR="00E51CDD" w:rsidRPr="0026404C" w:rsidRDefault="00E51CDD" w:rsidP="009938D9">
            <w:pPr>
              <w:widowControl w:val="0"/>
              <w:spacing w:beforeLines="40" w:before="96" w:afterLines="40" w:after="96"/>
              <w:rPr>
                <w:rFonts w:eastAsia="Batang"/>
                <w:sz w:val="18"/>
                <w:szCs w:val="18"/>
                <w:lang w:eastAsia="zh-CN"/>
              </w:rPr>
            </w:pPr>
            <w:r w:rsidRPr="0026404C">
              <w:rPr>
                <w:rFonts w:eastAsia="Batang"/>
                <w:sz w:val="18"/>
                <w:szCs w:val="18"/>
                <w:lang w:eastAsia="zh-CN"/>
              </w:rPr>
              <w:t>Acute risk assessment screening step</w:t>
            </w:r>
          </w:p>
        </w:tc>
        <w:tc>
          <w:tcPr>
            <w:tcW w:w="646" w:type="pct"/>
            <w:shd w:val="clear" w:color="auto" w:fill="auto"/>
            <w:vAlign w:val="center"/>
          </w:tcPr>
          <w:p w14:paraId="21828BEA"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Indicator species</w:t>
            </w:r>
          </w:p>
        </w:tc>
        <w:tc>
          <w:tcPr>
            <w:tcW w:w="845" w:type="pct"/>
            <w:shd w:val="clear" w:color="auto" w:fill="auto"/>
            <w:vAlign w:val="center"/>
          </w:tcPr>
          <w:p w14:paraId="283E5851"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Shortcut value</w:t>
            </w:r>
          </w:p>
        </w:tc>
        <w:tc>
          <w:tcPr>
            <w:tcW w:w="646" w:type="pct"/>
            <w:shd w:val="clear" w:color="auto" w:fill="auto"/>
            <w:vAlign w:val="center"/>
          </w:tcPr>
          <w:p w14:paraId="7ACED9C3"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Daily Dietary Dose (single)</w:t>
            </w:r>
          </w:p>
        </w:tc>
        <w:tc>
          <w:tcPr>
            <w:tcW w:w="630" w:type="pct"/>
            <w:shd w:val="clear" w:color="auto" w:fill="auto"/>
            <w:vAlign w:val="center"/>
          </w:tcPr>
          <w:p w14:paraId="6C8512D6"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MAF (90)</w:t>
            </w:r>
          </w:p>
        </w:tc>
        <w:tc>
          <w:tcPr>
            <w:tcW w:w="560" w:type="pct"/>
            <w:shd w:val="clear" w:color="auto" w:fill="auto"/>
            <w:vAlign w:val="center"/>
          </w:tcPr>
          <w:p w14:paraId="48308577"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Daily Dietary Dose (Multiple)</w:t>
            </w:r>
          </w:p>
        </w:tc>
        <w:tc>
          <w:tcPr>
            <w:tcW w:w="444" w:type="pct"/>
            <w:shd w:val="clear" w:color="auto" w:fill="auto"/>
            <w:vAlign w:val="center"/>
          </w:tcPr>
          <w:p w14:paraId="087D0B76" w14:textId="77777777" w:rsidR="00E51CDD" w:rsidRPr="0026404C" w:rsidRDefault="00E51CDD" w:rsidP="009938D9">
            <w:pPr>
              <w:widowControl w:val="0"/>
              <w:spacing w:beforeLines="40" w:before="96" w:afterLines="40" w:after="96"/>
              <w:jc w:val="center"/>
              <w:rPr>
                <w:rFonts w:eastAsia="Batang"/>
                <w:b/>
                <w:bCs/>
                <w:sz w:val="18"/>
                <w:szCs w:val="18"/>
                <w:lang w:eastAsia="zh-CN"/>
              </w:rPr>
            </w:pPr>
            <w:r w:rsidRPr="0026404C">
              <w:rPr>
                <w:rFonts w:eastAsia="Batang"/>
                <w:b/>
                <w:bCs/>
                <w:sz w:val="18"/>
                <w:szCs w:val="18"/>
                <w:lang w:eastAsia="zh-CN"/>
              </w:rPr>
              <w:t>TER</w:t>
            </w:r>
          </w:p>
        </w:tc>
        <w:tc>
          <w:tcPr>
            <w:tcW w:w="592" w:type="pct"/>
            <w:vMerge w:val="restart"/>
            <w:shd w:val="clear" w:color="auto" w:fill="auto"/>
            <w:vAlign w:val="center"/>
          </w:tcPr>
          <w:p w14:paraId="402D708E" w14:textId="77777777" w:rsidR="00E51CDD" w:rsidRPr="0026404C" w:rsidRDefault="00E51CDD" w:rsidP="009938D9">
            <w:pPr>
              <w:widowControl w:val="0"/>
              <w:spacing w:beforeLines="40" w:before="96" w:afterLines="40" w:after="96"/>
              <w:jc w:val="center"/>
              <w:rPr>
                <w:rFonts w:eastAsia="Batang"/>
                <w:bCs/>
                <w:sz w:val="18"/>
                <w:szCs w:val="18"/>
                <w:lang w:eastAsia="zh-CN"/>
              </w:rPr>
            </w:pPr>
            <w:r w:rsidRPr="0026404C">
              <w:rPr>
                <w:rFonts w:eastAsia="Batang"/>
                <w:bCs/>
                <w:sz w:val="18"/>
                <w:szCs w:val="18"/>
                <w:lang w:eastAsia="zh-CN"/>
              </w:rPr>
              <w:t>No refinement step required</w:t>
            </w:r>
          </w:p>
        </w:tc>
      </w:tr>
      <w:tr w:rsidR="00E51CDD" w:rsidRPr="0026404C" w14:paraId="0C9E542E" w14:textId="77777777" w:rsidTr="009938D9">
        <w:trPr>
          <w:trHeight w:val="461"/>
        </w:trPr>
        <w:tc>
          <w:tcPr>
            <w:tcW w:w="637" w:type="pct"/>
            <w:vMerge/>
            <w:shd w:val="clear" w:color="auto" w:fill="auto"/>
            <w:vAlign w:val="center"/>
          </w:tcPr>
          <w:p w14:paraId="04D1EAC7" w14:textId="77777777" w:rsidR="00E51CDD" w:rsidRPr="0026404C" w:rsidRDefault="00E51CDD" w:rsidP="009938D9">
            <w:pPr>
              <w:widowControl w:val="0"/>
              <w:spacing w:beforeLines="40" w:before="96" w:afterLines="40" w:after="96"/>
              <w:rPr>
                <w:rFonts w:eastAsia="Batang"/>
                <w:sz w:val="18"/>
                <w:szCs w:val="18"/>
                <w:lang w:eastAsia="zh-CN"/>
              </w:rPr>
            </w:pPr>
          </w:p>
        </w:tc>
        <w:tc>
          <w:tcPr>
            <w:tcW w:w="646" w:type="pct"/>
            <w:shd w:val="clear" w:color="auto" w:fill="auto"/>
            <w:vAlign w:val="center"/>
          </w:tcPr>
          <w:p w14:paraId="04287B7C" w14:textId="77777777" w:rsidR="00E51CDD" w:rsidRPr="0026404C" w:rsidRDefault="00E51CDD" w:rsidP="009938D9">
            <w:pPr>
              <w:widowControl w:val="0"/>
              <w:spacing w:beforeLines="40" w:before="96" w:afterLines="40" w:after="96"/>
              <w:jc w:val="center"/>
              <w:rPr>
                <w:rFonts w:eastAsia="Batang"/>
                <w:sz w:val="18"/>
                <w:szCs w:val="18"/>
                <w:lang w:eastAsia="zh-CN"/>
              </w:rPr>
            </w:pPr>
            <w:r w:rsidRPr="0026404C">
              <w:rPr>
                <w:rFonts w:eastAsia="Batang"/>
                <w:sz w:val="18"/>
                <w:szCs w:val="18"/>
                <w:lang w:eastAsia="zh-CN"/>
              </w:rPr>
              <w:t>Small herbivorous mammal</w:t>
            </w:r>
          </w:p>
        </w:tc>
        <w:tc>
          <w:tcPr>
            <w:tcW w:w="845" w:type="pct"/>
            <w:shd w:val="clear" w:color="auto" w:fill="auto"/>
            <w:vAlign w:val="center"/>
          </w:tcPr>
          <w:p w14:paraId="2015F773" w14:textId="77777777" w:rsidR="00E51CDD" w:rsidRPr="0026404C" w:rsidRDefault="00E51CDD" w:rsidP="009938D9">
            <w:pPr>
              <w:widowControl w:val="0"/>
              <w:jc w:val="center"/>
              <w:rPr>
                <w:sz w:val="18"/>
                <w:szCs w:val="18"/>
              </w:rPr>
            </w:pPr>
            <w:r w:rsidRPr="0026404C">
              <w:rPr>
                <w:sz w:val="18"/>
                <w:szCs w:val="18"/>
              </w:rPr>
              <w:t>118.4</w:t>
            </w:r>
          </w:p>
        </w:tc>
        <w:tc>
          <w:tcPr>
            <w:tcW w:w="646" w:type="pct"/>
            <w:shd w:val="clear" w:color="auto" w:fill="auto"/>
            <w:vAlign w:val="center"/>
          </w:tcPr>
          <w:p w14:paraId="05C2C17C" w14:textId="77777777" w:rsidR="00E51CDD" w:rsidRPr="00D52556" w:rsidRDefault="00E51CDD" w:rsidP="009938D9">
            <w:pPr>
              <w:widowControl w:val="0"/>
              <w:jc w:val="center"/>
              <w:rPr>
                <w:sz w:val="16"/>
                <w:szCs w:val="16"/>
              </w:rPr>
            </w:pPr>
            <w:r w:rsidRPr="00D52556">
              <w:rPr>
                <w:color w:val="000000"/>
                <w:sz w:val="16"/>
                <w:szCs w:val="16"/>
              </w:rPr>
              <w:t>29.60</w:t>
            </w:r>
          </w:p>
        </w:tc>
        <w:tc>
          <w:tcPr>
            <w:tcW w:w="630" w:type="pct"/>
            <w:shd w:val="clear" w:color="auto" w:fill="auto"/>
            <w:vAlign w:val="center"/>
          </w:tcPr>
          <w:p w14:paraId="1B856932" w14:textId="77777777" w:rsidR="00E51CDD" w:rsidRPr="00D52556" w:rsidRDefault="00E51CDD" w:rsidP="009938D9">
            <w:pPr>
              <w:widowControl w:val="0"/>
              <w:jc w:val="center"/>
              <w:rPr>
                <w:sz w:val="16"/>
                <w:szCs w:val="16"/>
              </w:rPr>
            </w:pPr>
            <w:r w:rsidRPr="00D52556">
              <w:rPr>
                <w:color w:val="000000"/>
                <w:sz w:val="16"/>
                <w:szCs w:val="16"/>
              </w:rPr>
              <w:t>1.1</w:t>
            </w:r>
          </w:p>
        </w:tc>
        <w:tc>
          <w:tcPr>
            <w:tcW w:w="560" w:type="pct"/>
            <w:shd w:val="clear" w:color="auto" w:fill="auto"/>
            <w:noWrap/>
            <w:vAlign w:val="center"/>
          </w:tcPr>
          <w:p w14:paraId="68217103" w14:textId="77777777" w:rsidR="00E51CDD" w:rsidRPr="00D52556" w:rsidRDefault="00E51CDD" w:rsidP="009938D9">
            <w:pPr>
              <w:widowControl w:val="0"/>
              <w:jc w:val="center"/>
              <w:rPr>
                <w:sz w:val="16"/>
                <w:szCs w:val="16"/>
              </w:rPr>
            </w:pPr>
            <w:r w:rsidRPr="00D52556">
              <w:rPr>
                <w:color w:val="000000"/>
                <w:sz w:val="16"/>
                <w:szCs w:val="16"/>
              </w:rPr>
              <w:t>32.56</w:t>
            </w:r>
          </w:p>
        </w:tc>
        <w:tc>
          <w:tcPr>
            <w:tcW w:w="444" w:type="pct"/>
            <w:shd w:val="clear" w:color="auto" w:fill="auto"/>
            <w:vAlign w:val="center"/>
          </w:tcPr>
          <w:p w14:paraId="65F975BA" w14:textId="77777777" w:rsidR="00E51CDD" w:rsidRPr="00D52556" w:rsidRDefault="00E51CDD" w:rsidP="009938D9">
            <w:pPr>
              <w:widowControl w:val="0"/>
              <w:jc w:val="center"/>
              <w:rPr>
                <w:sz w:val="16"/>
                <w:szCs w:val="16"/>
              </w:rPr>
            </w:pPr>
            <w:r w:rsidRPr="00D52556">
              <w:rPr>
                <w:color w:val="000000"/>
                <w:sz w:val="16"/>
                <w:szCs w:val="16"/>
              </w:rPr>
              <w:t>96.0</w:t>
            </w:r>
          </w:p>
        </w:tc>
        <w:tc>
          <w:tcPr>
            <w:tcW w:w="592" w:type="pct"/>
            <w:vMerge/>
            <w:shd w:val="clear" w:color="auto" w:fill="auto"/>
            <w:vAlign w:val="center"/>
          </w:tcPr>
          <w:p w14:paraId="2E264127" w14:textId="77777777" w:rsidR="00E51CDD" w:rsidRPr="0026404C" w:rsidRDefault="00E51CDD" w:rsidP="009938D9">
            <w:pPr>
              <w:widowControl w:val="0"/>
              <w:spacing w:beforeLines="40" w:before="96" w:afterLines="40" w:after="96"/>
              <w:rPr>
                <w:rFonts w:eastAsia="Batang"/>
                <w:b/>
                <w:bCs/>
                <w:sz w:val="18"/>
                <w:szCs w:val="18"/>
                <w:lang w:eastAsia="zh-CN"/>
              </w:rPr>
            </w:pPr>
          </w:p>
        </w:tc>
      </w:tr>
    </w:tbl>
    <w:p w14:paraId="3110287A" w14:textId="77777777" w:rsidR="00E51CDD" w:rsidRDefault="00E51CDD" w:rsidP="00E51CDD">
      <w:pPr>
        <w:widowControl w:val="0"/>
        <w:tabs>
          <w:tab w:val="left" w:pos="720"/>
        </w:tabs>
        <w:jc w:val="both"/>
        <w:rPr>
          <w:bCs/>
          <w:lang w:eastAsia="en-US"/>
        </w:rPr>
      </w:pPr>
    </w:p>
    <w:p w14:paraId="53ED99E6" w14:textId="77777777" w:rsidR="00E51CDD" w:rsidRPr="0026404C" w:rsidRDefault="00E51CDD" w:rsidP="00E51CDD">
      <w:pPr>
        <w:widowControl w:val="0"/>
        <w:tabs>
          <w:tab w:val="left" w:pos="720"/>
        </w:tabs>
        <w:jc w:val="both"/>
        <w:rPr>
          <w:bCs/>
          <w:lang w:eastAsia="en-US"/>
        </w:rPr>
      </w:pPr>
    </w:p>
    <w:p w14:paraId="5D35F4A1" w14:textId="77777777" w:rsidR="00E51CDD" w:rsidRPr="0026404C" w:rsidRDefault="00E51CDD" w:rsidP="00E51CDD">
      <w:pPr>
        <w:widowControl w:val="0"/>
        <w:tabs>
          <w:tab w:val="left" w:pos="720"/>
        </w:tabs>
        <w:suppressAutoHyphens/>
        <w:jc w:val="both"/>
      </w:pPr>
      <w:r w:rsidRPr="0026404C">
        <w:t>Note that this virtual compound acute TER was calculated according to the concentration addition approach and thus gives the same value as if calculated using equation TER</w:t>
      </w:r>
      <w:r w:rsidRPr="0026404C">
        <w:rPr>
          <w:vertAlign w:val="subscript"/>
        </w:rPr>
        <w:t>A combi</w:t>
      </w:r>
      <w:r w:rsidRPr="0026404C">
        <w:t xml:space="preserve"> = trigger/((trigger/TER</w:t>
      </w:r>
      <w:r w:rsidRPr="0026404C">
        <w:rPr>
          <w:vertAlign w:val="subscript"/>
        </w:rPr>
        <w:t>A substance 1</w:t>
      </w:r>
      <w:r w:rsidRPr="0026404C">
        <w:t>)+(trigger/TER</w:t>
      </w:r>
      <w:r w:rsidRPr="0026404C">
        <w:rPr>
          <w:vertAlign w:val="subscript"/>
        </w:rPr>
        <w:t>A substance 2</w:t>
      </w:r>
      <w:r w:rsidRPr="0026404C">
        <w:t>)).</w:t>
      </w:r>
    </w:p>
    <w:p w14:paraId="79F6A9CA" w14:textId="77777777" w:rsidR="00E51CDD" w:rsidRPr="0026404C" w:rsidRDefault="00E51CDD" w:rsidP="00E51CDD">
      <w:pPr>
        <w:widowControl w:val="0"/>
        <w:tabs>
          <w:tab w:val="left" w:pos="720"/>
        </w:tabs>
        <w:jc w:val="both"/>
        <w:rPr>
          <w:iCs/>
          <w:szCs w:val="24"/>
        </w:rPr>
      </w:pPr>
    </w:p>
    <w:p w14:paraId="06DC9A68" w14:textId="77777777" w:rsidR="00E51CDD" w:rsidRPr="0026404C" w:rsidRDefault="00E51CDD" w:rsidP="00E51CDD">
      <w:pPr>
        <w:widowControl w:val="0"/>
        <w:tabs>
          <w:tab w:val="left" w:pos="720"/>
        </w:tabs>
        <w:jc w:val="both"/>
        <w:rPr>
          <w:iCs/>
          <w:szCs w:val="24"/>
          <w:lang w:val="en-GB"/>
        </w:rPr>
      </w:pPr>
      <w:r>
        <w:rPr>
          <w:iCs/>
          <w:szCs w:val="24"/>
          <w:lang w:val="en-GB"/>
        </w:rPr>
        <w:br w:type="page"/>
      </w:r>
    </w:p>
    <w:p w14:paraId="581C2A2C" w14:textId="77777777" w:rsidR="00E51CDD" w:rsidRPr="0026404C" w:rsidRDefault="00E51CDD" w:rsidP="00E51CDD">
      <w:pPr>
        <w:widowControl w:val="0"/>
        <w:tabs>
          <w:tab w:val="left" w:pos="720"/>
        </w:tabs>
        <w:jc w:val="both"/>
        <w:rPr>
          <w:b/>
          <w:bCs/>
          <w:i/>
          <w:szCs w:val="24"/>
          <w:lang w:val="en-GB"/>
        </w:rPr>
      </w:pPr>
      <w:r w:rsidRPr="0026404C">
        <w:rPr>
          <w:b/>
          <w:bCs/>
          <w:i/>
          <w:szCs w:val="24"/>
          <w:lang w:val="en-GB"/>
        </w:rPr>
        <w:lastRenderedPageBreak/>
        <w:t>Exposure and acute risk assessment for combined active substances (</w:t>
      </w:r>
      <w:r w:rsidRPr="0026404C">
        <w:rPr>
          <w:b/>
          <w:bCs/>
          <w:i/>
          <w:szCs w:val="24"/>
          <w:u w:val="single"/>
          <w:lang w:val="en-GB"/>
        </w:rPr>
        <w:t>formulation approach</w:t>
      </w:r>
      <w:r w:rsidRPr="0026404C">
        <w:rPr>
          <w:b/>
          <w:bCs/>
          <w:i/>
          <w:szCs w:val="24"/>
          <w:lang w:val="en-GB"/>
        </w:rPr>
        <w:t>)</w:t>
      </w:r>
    </w:p>
    <w:p w14:paraId="4B8AC222" w14:textId="77777777" w:rsidR="00E51CDD" w:rsidRPr="0026404C" w:rsidRDefault="00E51CDD" w:rsidP="00E51CDD">
      <w:pPr>
        <w:widowControl w:val="0"/>
        <w:jc w:val="both"/>
        <w:rPr>
          <w:lang w:val="en-GB" w:eastAsia="en-US"/>
        </w:rPr>
      </w:pPr>
    </w:p>
    <w:p w14:paraId="25467EA0" w14:textId="1E5DDD26" w:rsidR="00E51CDD" w:rsidRPr="0026404C" w:rsidRDefault="00E51CDD" w:rsidP="00E51CDD">
      <w:pPr>
        <w:widowControl w:val="0"/>
        <w:jc w:val="both"/>
        <w:rPr>
          <w:lang w:eastAsia="en-US"/>
        </w:rPr>
      </w:pPr>
      <w:r w:rsidRPr="0026404C">
        <w:rPr>
          <w:lang w:val="en-GB" w:eastAsia="en-US"/>
        </w:rPr>
        <w:t>BAS 7</w:t>
      </w:r>
      <w:r>
        <w:rPr>
          <w:lang w:val="en-GB" w:eastAsia="en-US"/>
        </w:rPr>
        <w:t>36</w:t>
      </w:r>
      <w:r w:rsidRPr="0026404C">
        <w:rPr>
          <w:lang w:val="en-GB" w:eastAsia="en-US"/>
        </w:rPr>
        <w:t xml:space="preserve"> 00 F is intended to be used with a maximum single application rate of </w:t>
      </w:r>
      <w:r>
        <w:rPr>
          <w:lang w:val="en-GB" w:eastAsia="en-US"/>
        </w:rPr>
        <w:t>2</w:t>
      </w:r>
      <w:r w:rsidRPr="0026404C">
        <w:rPr>
          <w:lang w:val="en-GB" w:eastAsia="en-US"/>
        </w:rPr>
        <w:t>.0 L</w:t>
      </w:r>
      <w:r w:rsidRPr="0026404C">
        <w:rPr>
          <w:lang w:val="en-GB"/>
        </w:rPr>
        <w:t xml:space="preserve"> product/ha in the crop group </w:t>
      </w:r>
      <w:r>
        <w:rPr>
          <w:lang w:val="en-GB"/>
        </w:rPr>
        <w:t>cereals</w:t>
      </w:r>
      <w:r w:rsidRPr="0026404C">
        <w:rPr>
          <w:lang w:val="en-GB" w:eastAsia="en-US"/>
        </w:rPr>
        <w:t>. Taking into account the density of the formulation of 1.0</w:t>
      </w:r>
      <w:r>
        <w:rPr>
          <w:lang w:val="en-GB" w:eastAsia="en-US"/>
        </w:rPr>
        <w:t>78</w:t>
      </w:r>
      <w:r w:rsidRPr="0026404C">
        <w:rPr>
          <w:lang w:val="en-GB" w:eastAsia="en-US"/>
        </w:rPr>
        <w:t xml:space="preserve"> g/cm</w:t>
      </w:r>
      <w:r w:rsidRPr="0026404C">
        <w:rPr>
          <w:vertAlign w:val="superscript"/>
          <w:lang w:val="en-GB" w:eastAsia="en-US"/>
        </w:rPr>
        <w:t>3</w:t>
      </w:r>
      <w:r w:rsidRPr="0026404C">
        <w:rPr>
          <w:lang w:val="en-GB" w:eastAsia="en-US"/>
        </w:rPr>
        <w:t xml:space="preserve">, this will result in an application rate of </w:t>
      </w:r>
      <w:r>
        <w:rPr>
          <w:lang w:val="en-GB" w:eastAsia="en-US"/>
        </w:rPr>
        <w:t>2</w:t>
      </w:r>
      <w:r w:rsidRPr="0026404C">
        <w:rPr>
          <w:lang w:val="en-GB" w:eastAsia="en-US"/>
        </w:rPr>
        <w:t>.</w:t>
      </w:r>
      <w:r>
        <w:rPr>
          <w:lang w:val="en-GB" w:eastAsia="en-US"/>
        </w:rPr>
        <w:t>156</w:t>
      </w:r>
      <w:r w:rsidRPr="0026404C">
        <w:rPr>
          <w:lang w:val="en-GB" w:eastAsia="en-US"/>
        </w:rPr>
        <w:t> kg BAS 7</w:t>
      </w:r>
      <w:r>
        <w:rPr>
          <w:lang w:val="en-GB" w:eastAsia="en-US"/>
        </w:rPr>
        <w:t>36</w:t>
      </w:r>
      <w:r w:rsidRPr="0026404C">
        <w:rPr>
          <w:lang w:val="en-GB" w:eastAsia="en-US"/>
        </w:rPr>
        <w:t> 00 F/ha.</w:t>
      </w:r>
      <w:r>
        <w:rPr>
          <w:lang w:val="en-GB" w:eastAsia="en-US"/>
        </w:rPr>
        <w:t xml:space="preserve"> The ‘greater than’ LD</w:t>
      </w:r>
      <w:r w:rsidRPr="00C02753">
        <w:rPr>
          <w:vertAlign w:val="subscript"/>
          <w:lang w:val="en-GB" w:eastAsia="en-US"/>
        </w:rPr>
        <w:t>50</w:t>
      </w:r>
      <w:r>
        <w:rPr>
          <w:lang w:val="en-GB" w:eastAsia="en-US"/>
        </w:rPr>
        <w:t xml:space="preserve"> of 500 mg formulation/kg b.w. is used for risk assessment as worst-case. </w:t>
      </w:r>
      <w:r w:rsidRPr="0026404C">
        <w:rPr>
          <w:lang w:eastAsia="en-US"/>
        </w:rPr>
        <w:t xml:space="preserve">The </w:t>
      </w:r>
      <w:r w:rsidRPr="0026404C">
        <w:rPr>
          <w:lang w:val="en-GB"/>
        </w:rPr>
        <w:t xml:space="preserve">dietary TER acute </w:t>
      </w:r>
      <w:r w:rsidRPr="0026404C">
        <w:rPr>
          <w:lang w:eastAsia="en-US"/>
        </w:rPr>
        <w:t>value</w:t>
      </w:r>
      <w:r>
        <w:rPr>
          <w:lang w:eastAsia="en-US"/>
        </w:rPr>
        <w:t>s</w:t>
      </w:r>
      <w:r w:rsidRPr="0026404C">
        <w:rPr>
          <w:lang w:eastAsia="en-US"/>
        </w:rPr>
        <w:t xml:space="preserve"> for the </w:t>
      </w:r>
      <w:r>
        <w:rPr>
          <w:lang w:eastAsia="en-US"/>
        </w:rPr>
        <w:t xml:space="preserve">screening step and </w:t>
      </w:r>
      <w:r>
        <w:rPr>
          <w:lang w:val="en-GB"/>
        </w:rPr>
        <w:t>tier 1 risk assessment</w:t>
      </w:r>
      <w:r w:rsidRPr="0026404C">
        <w:rPr>
          <w:lang w:val="en-GB"/>
        </w:rPr>
        <w:t xml:space="preserve"> </w:t>
      </w:r>
      <w:r>
        <w:rPr>
          <w:lang w:val="en-GB"/>
        </w:rPr>
        <w:t xml:space="preserve">are </w:t>
      </w:r>
      <w:r w:rsidRPr="0026404C">
        <w:rPr>
          <w:lang w:val="en-GB" w:eastAsia="en-US"/>
        </w:rPr>
        <w:t xml:space="preserve">presented in </w:t>
      </w:r>
      <w:r w:rsidRPr="00E522B8">
        <w:rPr>
          <w:lang w:val="en-GB" w:eastAsia="en-US"/>
        </w:rPr>
        <w:fldChar w:fldCharType="begin"/>
      </w:r>
      <w:r w:rsidRPr="00E522B8">
        <w:rPr>
          <w:lang w:val="en-GB" w:eastAsia="en-US"/>
        </w:rPr>
        <w:instrText xml:space="preserve"> REF _Ref81834935 \h  \* MERGEFORMAT </w:instrText>
      </w:r>
      <w:r w:rsidRPr="00E522B8">
        <w:rPr>
          <w:lang w:val="en-GB" w:eastAsia="en-US"/>
        </w:rPr>
      </w:r>
      <w:r w:rsidRPr="00E522B8">
        <w:rPr>
          <w:lang w:val="en-GB" w:eastAsia="en-US"/>
        </w:rPr>
        <w:fldChar w:fldCharType="separate"/>
      </w:r>
      <w:r w:rsidR="00662F32" w:rsidRPr="00662F32">
        <w:rPr>
          <w:lang w:val="en-GB"/>
        </w:rPr>
        <w:t xml:space="preserve">Table </w:t>
      </w:r>
      <w:r w:rsidR="00662F32" w:rsidRPr="00662F32">
        <w:rPr>
          <w:noProof/>
          <w:lang w:val="en-GB"/>
        </w:rPr>
        <w:t>9.3</w:t>
      </w:r>
      <w:r w:rsidR="00662F32" w:rsidRPr="00662F32">
        <w:rPr>
          <w:noProof/>
          <w:lang w:val="en-GB"/>
        </w:rPr>
        <w:noBreakHyphen/>
        <w:t>10</w:t>
      </w:r>
      <w:r w:rsidRPr="00E522B8">
        <w:rPr>
          <w:lang w:val="en-GB" w:eastAsia="en-US"/>
        </w:rPr>
        <w:fldChar w:fldCharType="end"/>
      </w:r>
      <w:r>
        <w:rPr>
          <w:lang w:val="en-GB" w:eastAsia="en-US"/>
        </w:rPr>
        <w:t xml:space="preserve">. </w:t>
      </w:r>
    </w:p>
    <w:p w14:paraId="1C7485A9" w14:textId="7E66CAE2" w:rsidR="00E51CDD" w:rsidRPr="0026404C" w:rsidRDefault="00E51CDD" w:rsidP="00E51CDD">
      <w:pPr>
        <w:keepNext/>
        <w:tabs>
          <w:tab w:val="left" w:pos="1980"/>
        </w:tabs>
        <w:spacing w:before="200" w:after="120"/>
        <w:ind w:left="1980" w:hanging="1980"/>
        <w:jc w:val="both"/>
        <w:rPr>
          <w:b/>
          <w:bCs/>
          <w:lang w:val="en-GB"/>
        </w:rPr>
      </w:pPr>
      <w:bookmarkStart w:id="358" w:name="_Ref81834935"/>
      <w:r w:rsidRPr="0026404C">
        <w:rPr>
          <w:b/>
          <w:bCs/>
          <w:lang w:val="en-GB"/>
        </w:rPr>
        <w:t xml:space="preserve">Table </w:t>
      </w:r>
      <w:r w:rsidRPr="0026404C">
        <w:rPr>
          <w:b/>
          <w:bCs/>
          <w:lang w:val="en-GB"/>
        </w:rPr>
        <w:fldChar w:fldCharType="begin"/>
      </w:r>
      <w:r w:rsidRPr="0026404C">
        <w:rPr>
          <w:b/>
          <w:bCs/>
          <w:lang w:val="en-GB"/>
        </w:rPr>
        <w:instrText xml:space="preserve"> STYLEREF 2 \s </w:instrText>
      </w:r>
      <w:r w:rsidRPr="0026404C">
        <w:rPr>
          <w:b/>
          <w:bCs/>
          <w:lang w:val="en-GB"/>
        </w:rPr>
        <w:fldChar w:fldCharType="separate"/>
      </w:r>
      <w:r w:rsidR="00662F32">
        <w:rPr>
          <w:b/>
          <w:bCs/>
          <w:noProof/>
          <w:lang w:val="en-GB"/>
        </w:rPr>
        <w:t>9.3</w:t>
      </w:r>
      <w:r w:rsidRPr="0026404C">
        <w:rPr>
          <w:b/>
          <w:bCs/>
          <w:lang w:val="en-GB"/>
        </w:rPr>
        <w:fldChar w:fldCharType="end"/>
      </w:r>
      <w:r w:rsidRPr="0026404C">
        <w:rPr>
          <w:b/>
          <w:bCs/>
          <w:lang w:val="en-GB"/>
        </w:rPr>
        <w:noBreakHyphen/>
      </w:r>
      <w:r w:rsidRPr="0026404C">
        <w:rPr>
          <w:b/>
          <w:bCs/>
          <w:lang w:val="en-GB"/>
        </w:rPr>
        <w:fldChar w:fldCharType="begin"/>
      </w:r>
      <w:r w:rsidRPr="0026404C">
        <w:rPr>
          <w:b/>
          <w:bCs/>
          <w:lang w:val="en-GB"/>
        </w:rPr>
        <w:instrText xml:space="preserve"> SEQ Table \* ARABIC \s 2 </w:instrText>
      </w:r>
      <w:r w:rsidRPr="0026404C">
        <w:rPr>
          <w:b/>
          <w:bCs/>
          <w:lang w:val="en-GB"/>
        </w:rPr>
        <w:fldChar w:fldCharType="separate"/>
      </w:r>
      <w:r w:rsidR="00662F32">
        <w:rPr>
          <w:b/>
          <w:bCs/>
          <w:noProof/>
          <w:lang w:val="en-GB"/>
        </w:rPr>
        <w:t>10</w:t>
      </w:r>
      <w:r w:rsidRPr="0026404C">
        <w:rPr>
          <w:b/>
          <w:bCs/>
          <w:lang w:val="en-GB"/>
        </w:rPr>
        <w:fldChar w:fldCharType="end"/>
      </w:r>
      <w:bookmarkEnd w:id="358"/>
      <w:r w:rsidRPr="0026404C">
        <w:rPr>
          <w:b/>
          <w:bCs/>
          <w:lang w:val="en-GB"/>
        </w:rPr>
        <w:t xml:space="preserve">: </w:t>
      </w:r>
      <w:r w:rsidRPr="0026404C">
        <w:rPr>
          <w:b/>
          <w:bCs/>
          <w:lang w:val="en-GB"/>
        </w:rPr>
        <w:tab/>
        <w:t xml:space="preserve">Screening step </w:t>
      </w:r>
      <w:r>
        <w:rPr>
          <w:b/>
          <w:bCs/>
          <w:lang w:val="en-GB"/>
        </w:rPr>
        <w:t xml:space="preserve">and tier 1 </w:t>
      </w:r>
      <w:r w:rsidRPr="0026404C">
        <w:rPr>
          <w:b/>
          <w:bCs/>
          <w:lang w:val="en-GB"/>
        </w:rPr>
        <w:t>calculation</w:t>
      </w:r>
      <w:r>
        <w:rPr>
          <w:b/>
          <w:bCs/>
          <w:lang w:val="en-GB"/>
        </w:rPr>
        <w:t>s</w:t>
      </w:r>
      <w:r w:rsidRPr="0026404C">
        <w:rPr>
          <w:b/>
          <w:bCs/>
          <w:lang w:val="en-GB"/>
        </w:rPr>
        <w:t xml:space="preserve"> of the acute risk for mammals due to the use of BAS 7</w:t>
      </w:r>
      <w:r>
        <w:rPr>
          <w:b/>
          <w:bCs/>
          <w:lang w:val="en-GB"/>
        </w:rPr>
        <w:t>36</w:t>
      </w:r>
      <w:r w:rsidRPr="0026404C">
        <w:rPr>
          <w:b/>
          <w:bCs/>
          <w:lang w:val="en-GB"/>
        </w:rPr>
        <w:t> 00 F in “</w:t>
      </w:r>
      <w:r>
        <w:rPr>
          <w:b/>
          <w:bCs/>
          <w:lang w:val="en-GB"/>
        </w:rPr>
        <w:t>cereals</w:t>
      </w:r>
      <w:r w:rsidRPr="0026404C">
        <w:rPr>
          <w:b/>
          <w:bCs/>
          <w:lang w:val="en-GB"/>
        </w:rPr>
        <w:t xml:space="preserve">” </w:t>
      </w:r>
      <w:bookmarkStart w:id="359" w:name="_Hlk84841610"/>
      <w:r w:rsidRPr="0026404C">
        <w:rPr>
          <w:b/>
          <w:bCs/>
          <w:lang w:val="en-GB"/>
        </w:rPr>
        <w:t xml:space="preserve">– </w:t>
      </w:r>
      <w:r>
        <w:rPr>
          <w:b/>
          <w:bCs/>
          <w:lang w:val="en-GB"/>
        </w:rPr>
        <w:t xml:space="preserve">exposure to </w:t>
      </w:r>
      <w:r w:rsidRPr="0026404C">
        <w:rPr>
          <w:b/>
          <w:bCs/>
          <w:lang w:val="en-GB" w:eastAsia="en-US"/>
        </w:rPr>
        <w:t xml:space="preserve">formulation </w:t>
      </w:r>
      <w:r>
        <w:rPr>
          <w:b/>
          <w:bCs/>
          <w:lang w:val="en-GB" w:eastAsia="en-US"/>
        </w:rPr>
        <w:t>with LD</w:t>
      </w:r>
      <w:r w:rsidRPr="009A26DD">
        <w:rPr>
          <w:b/>
          <w:bCs/>
          <w:vertAlign w:val="subscript"/>
          <w:lang w:val="en-GB" w:eastAsia="en-US"/>
        </w:rPr>
        <w:t>50</w:t>
      </w:r>
      <w:r>
        <w:rPr>
          <w:b/>
          <w:bCs/>
          <w:lang w:val="en-GB" w:eastAsia="en-US"/>
        </w:rPr>
        <w:t xml:space="preserve"> &gt; 500 mg/kg b.w.</w:t>
      </w:r>
      <w:r w:rsidRPr="0026404C" w:rsidDel="002957D2">
        <w:rPr>
          <w:rFonts w:eastAsia="Batang"/>
          <w:b/>
          <w:bCs/>
          <w:lang w:val="en-GB" w:eastAsia="zh-CN"/>
        </w:rPr>
        <w:t xml:space="preserve"> </w:t>
      </w:r>
      <w:bookmarkEnd w:id="3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5"/>
        <w:gridCol w:w="70"/>
        <w:gridCol w:w="1201"/>
        <w:gridCol w:w="143"/>
        <w:gridCol w:w="1301"/>
        <w:gridCol w:w="1165"/>
        <w:gridCol w:w="685"/>
        <w:gridCol w:w="434"/>
        <w:gridCol w:w="892"/>
        <w:gridCol w:w="63"/>
        <w:gridCol w:w="1092"/>
        <w:gridCol w:w="17"/>
        <w:gridCol w:w="1249"/>
      </w:tblGrid>
      <w:tr w:rsidR="00E51CDD" w:rsidRPr="0026404C" w14:paraId="6EA7B571" w14:textId="77777777" w:rsidTr="009938D9">
        <w:trPr>
          <w:trHeight w:val="681"/>
        </w:trPr>
        <w:tc>
          <w:tcPr>
            <w:tcW w:w="555" w:type="pct"/>
            <w:vMerge w:val="restart"/>
            <w:shd w:val="clear" w:color="auto" w:fill="auto"/>
            <w:vAlign w:val="center"/>
          </w:tcPr>
          <w:p w14:paraId="3D386D73" w14:textId="77777777" w:rsidR="00E51CDD" w:rsidRPr="0026404C" w:rsidRDefault="00E51CDD" w:rsidP="009938D9">
            <w:pPr>
              <w:widowControl w:val="0"/>
              <w:spacing w:beforeLines="40" w:before="96" w:afterLines="40" w:after="96"/>
              <w:rPr>
                <w:rFonts w:eastAsia="Batang"/>
                <w:b/>
                <w:sz w:val="16"/>
                <w:szCs w:val="16"/>
                <w:lang w:eastAsia="zh-CN"/>
              </w:rPr>
            </w:pPr>
            <w:r w:rsidRPr="0026404C">
              <w:rPr>
                <w:rFonts w:eastAsia="Batang"/>
                <w:b/>
                <w:sz w:val="16"/>
                <w:szCs w:val="16"/>
                <w:lang w:eastAsia="zh-CN"/>
              </w:rPr>
              <w:t>Data from Data_Entry worksheet</w:t>
            </w:r>
          </w:p>
        </w:tc>
        <w:tc>
          <w:tcPr>
            <w:tcW w:w="761" w:type="pct"/>
            <w:gridSpan w:val="3"/>
            <w:shd w:val="clear" w:color="auto" w:fill="auto"/>
            <w:vAlign w:val="center"/>
          </w:tcPr>
          <w:p w14:paraId="38CBB270"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Crop</w:t>
            </w:r>
          </w:p>
        </w:tc>
        <w:tc>
          <w:tcPr>
            <w:tcW w:w="680" w:type="pct"/>
            <w:shd w:val="clear" w:color="auto" w:fill="auto"/>
            <w:vAlign w:val="center"/>
          </w:tcPr>
          <w:p w14:paraId="79894E79"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Application rate (kg formulation/ha)</w:t>
            </w:r>
          </w:p>
        </w:tc>
        <w:tc>
          <w:tcPr>
            <w:tcW w:w="625" w:type="pct"/>
            <w:shd w:val="clear" w:color="auto" w:fill="auto"/>
            <w:vAlign w:val="center"/>
          </w:tcPr>
          <w:p w14:paraId="2394655B"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Number of applications</w:t>
            </w:r>
          </w:p>
        </w:tc>
        <w:tc>
          <w:tcPr>
            <w:tcW w:w="602" w:type="pct"/>
            <w:gridSpan w:val="2"/>
            <w:shd w:val="clear" w:color="auto" w:fill="auto"/>
            <w:vAlign w:val="center"/>
          </w:tcPr>
          <w:p w14:paraId="0F010F08"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Application Interval</w:t>
            </w:r>
          </w:p>
        </w:tc>
        <w:tc>
          <w:tcPr>
            <w:tcW w:w="513" w:type="pct"/>
            <w:gridSpan w:val="2"/>
            <w:shd w:val="clear" w:color="auto" w:fill="auto"/>
            <w:vAlign w:val="center"/>
          </w:tcPr>
          <w:p w14:paraId="36AA5782"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DT</w:t>
            </w:r>
            <w:r w:rsidRPr="0026404C">
              <w:rPr>
                <w:rFonts w:eastAsia="Batang"/>
                <w:b/>
                <w:bCs/>
                <w:sz w:val="16"/>
                <w:szCs w:val="16"/>
                <w:vertAlign w:val="subscript"/>
                <w:lang w:eastAsia="zh-CN"/>
              </w:rPr>
              <w:t>50</w:t>
            </w:r>
          </w:p>
        </w:tc>
        <w:tc>
          <w:tcPr>
            <w:tcW w:w="585" w:type="pct"/>
            <w:shd w:val="clear" w:color="auto" w:fill="auto"/>
            <w:vAlign w:val="center"/>
          </w:tcPr>
          <w:p w14:paraId="3FEBF982"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LD</w:t>
            </w:r>
            <w:r w:rsidRPr="0026404C">
              <w:rPr>
                <w:rFonts w:eastAsia="Batang"/>
                <w:b/>
                <w:bCs/>
                <w:sz w:val="16"/>
                <w:szCs w:val="16"/>
                <w:vertAlign w:val="subscript"/>
                <w:lang w:eastAsia="zh-CN"/>
              </w:rPr>
              <w:t>50</w:t>
            </w:r>
          </w:p>
        </w:tc>
        <w:tc>
          <w:tcPr>
            <w:tcW w:w="679" w:type="pct"/>
            <w:gridSpan w:val="2"/>
            <w:shd w:val="clear" w:color="auto" w:fill="auto"/>
            <w:noWrap/>
            <w:vAlign w:val="center"/>
          </w:tcPr>
          <w:p w14:paraId="5ACFBD8D" w14:textId="77777777" w:rsidR="00E51CDD" w:rsidRPr="0026404C" w:rsidRDefault="00E51CDD" w:rsidP="009938D9">
            <w:pPr>
              <w:keepNext/>
              <w:keepLines/>
              <w:spacing w:beforeLines="40" w:before="96" w:afterLines="40" w:after="96"/>
              <w:jc w:val="center"/>
              <w:rPr>
                <w:rFonts w:eastAsia="Batang"/>
                <w:sz w:val="16"/>
                <w:szCs w:val="16"/>
                <w:lang w:eastAsia="zh-CN"/>
              </w:rPr>
            </w:pPr>
          </w:p>
        </w:tc>
      </w:tr>
      <w:tr w:rsidR="00E51CDD" w:rsidRPr="0026404C" w14:paraId="04047001" w14:textId="77777777" w:rsidTr="009938D9">
        <w:trPr>
          <w:trHeight w:val="166"/>
        </w:trPr>
        <w:tc>
          <w:tcPr>
            <w:tcW w:w="555" w:type="pct"/>
            <w:vMerge/>
            <w:shd w:val="clear" w:color="auto" w:fill="auto"/>
            <w:vAlign w:val="center"/>
          </w:tcPr>
          <w:p w14:paraId="32E8AD7B" w14:textId="77777777" w:rsidR="00E51CDD" w:rsidRPr="0026404C" w:rsidRDefault="00E51CDD" w:rsidP="009938D9">
            <w:pPr>
              <w:keepNext/>
              <w:keepLines/>
              <w:spacing w:beforeLines="40" w:before="96" w:afterLines="40" w:after="96"/>
              <w:rPr>
                <w:rFonts w:eastAsia="Batang"/>
                <w:b/>
                <w:bCs/>
                <w:sz w:val="16"/>
                <w:szCs w:val="16"/>
                <w:lang w:eastAsia="zh-CN"/>
              </w:rPr>
            </w:pPr>
          </w:p>
        </w:tc>
        <w:tc>
          <w:tcPr>
            <w:tcW w:w="761" w:type="pct"/>
            <w:gridSpan w:val="3"/>
            <w:shd w:val="clear" w:color="auto" w:fill="auto"/>
            <w:vAlign w:val="center"/>
          </w:tcPr>
          <w:p w14:paraId="23542439" w14:textId="77777777" w:rsidR="00E51CDD" w:rsidRPr="0026404C" w:rsidRDefault="00E51CDD" w:rsidP="009938D9">
            <w:pPr>
              <w:keepNext/>
              <w:keepLines/>
              <w:spacing w:beforeLines="40" w:before="96" w:afterLines="40" w:after="96"/>
              <w:jc w:val="center"/>
              <w:rPr>
                <w:rFonts w:eastAsia="Batang"/>
                <w:sz w:val="16"/>
                <w:szCs w:val="16"/>
                <w:lang w:eastAsia="zh-CN"/>
              </w:rPr>
            </w:pPr>
            <w:r>
              <w:rPr>
                <w:rFonts w:eastAsia="Batang"/>
                <w:sz w:val="16"/>
                <w:szCs w:val="16"/>
                <w:lang w:eastAsia="zh-CN"/>
              </w:rPr>
              <w:t xml:space="preserve">Cereals </w:t>
            </w:r>
          </w:p>
        </w:tc>
        <w:tc>
          <w:tcPr>
            <w:tcW w:w="680" w:type="pct"/>
            <w:shd w:val="clear" w:color="auto" w:fill="auto"/>
            <w:vAlign w:val="center"/>
          </w:tcPr>
          <w:p w14:paraId="6DFE5EB1" w14:textId="77777777" w:rsidR="00E51CDD" w:rsidRPr="0026404C" w:rsidRDefault="00E51CDD" w:rsidP="009938D9">
            <w:pPr>
              <w:keepNext/>
              <w:keepLines/>
              <w:jc w:val="center"/>
              <w:rPr>
                <w:sz w:val="16"/>
                <w:szCs w:val="16"/>
              </w:rPr>
            </w:pPr>
            <w:r>
              <w:rPr>
                <w:sz w:val="16"/>
                <w:szCs w:val="16"/>
              </w:rPr>
              <w:t>2.156</w:t>
            </w:r>
          </w:p>
        </w:tc>
        <w:tc>
          <w:tcPr>
            <w:tcW w:w="625" w:type="pct"/>
            <w:shd w:val="clear" w:color="auto" w:fill="auto"/>
            <w:vAlign w:val="center"/>
          </w:tcPr>
          <w:p w14:paraId="5283B126" w14:textId="77777777" w:rsidR="00E51CDD" w:rsidRPr="0026404C" w:rsidRDefault="00E51CDD" w:rsidP="009938D9">
            <w:pPr>
              <w:keepNext/>
              <w:keepLines/>
              <w:jc w:val="center"/>
              <w:rPr>
                <w:sz w:val="16"/>
                <w:szCs w:val="16"/>
              </w:rPr>
            </w:pPr>
            <w:r w:rsidRPr="0026404C">
              <w:rPr>
                <w:sz w:val="16"/>
                <w:szCs w:val="16"/>
              </w:rPr>
              <w:t>2</w:t>
            </w:r>
          </w:p>
        </w:tc>
        <w:tc>
          <w:tcPr>
            <w:tcW w:w="602" w:type="pct"/>
            <w:gridSpan w:val="2"/>
            <w:shd w:val="clear" w:color="auto" w:fill="auto"/>
            <w:vAlign w:val="center"/>
          </w:tcPr>
          <w:p w14:paraId="212FDA98" w14:textId="77777777" w:rsidR="00E51CDD" w:rsidRPr="0026404C" w:rsidRDefault="00E51CDD" w:rsidP="009938D9">
            <w:pPr>
              <w:keepNext/>
              <w:keepLines/>
              <w:jc w:val="center"/>
              <w:rPr>
                <w:sz w:val="16"/>
                <w:szCs w:val="16"/>
              </w:rPr>
            </w:pPr>
            <w:r>
              <w:rPr>
                <w:sz w:val="16"/>
                <w:szCs w:val="16"/>
              </w:rPr>
              <w:t>21</w:t>
            </w:r>
          </w:p>
        </w:tc>
        <w:tc>
          <w:tcPr>
            <w:tcW w:w="513" w:type="pct"/>
            <w:gridSpan w:val="2"/>
            <w:shd w:val="clear" w:color="auto" w:fill="auto"/>
            <w:vAlign w:val="center"/>
          </w:tcPr>
          <w:p w14:paraId="43E1C040" w14:textId="77777777" w:rsidR="00E51CDD" w:rsidRPr="0026404C" w:rsidRDefault="00E51CDD" w:rsidP="009938D9">
            <w:pPr>
              <w:keepNext/>
              <w:keepLines/>
              <w:jc w:val="center"/>
              <w:rPr>
                <w:sz w:val="16"/>
                <w:szCs w:val="16"/>
              </w:rPr>
            </w:pPr>
            <w:r w:rsidRPr="0026404C">
              <w:rPr>
                <w:sz w:val="16"/>
                <w:szCs w:val="16"/>
              </w:rPr>
              <w:t>10.0</w:t>
            </w:r>
          </w:p>
        </w:tc>
        <w:tc>
          <w:tcPr>
            <w:tcW w:w="585" w:type="pct"/>
            <w:shd w:val="clear" w:color="auto" w:fill="auto"/>
            <w:noWrap/>
            <w:vAlign w:val="center"/>
          </w:tcPr>
          <w:p w14:paraId="46993895" w14:textId="77777777" w:rsidR="00E51CDD" w:rsidRPr="0026404C" w:rsidRDefault="00E51CDD" w:rsidP="009938D9">
            <w:pPr>
              <w:keepNext/>
              <w:keepLines/>
              <w:jc w:val="center"/>
              <w:rPr>
                <w:sz w:val="16"/>
                <w:szCs w:val="16"/>
              </w:rPr>
            </w:pPr>
            <w:r>
              <w:rPr>
                <w:sz w:val="16"/>
                <w:szCs w:val="16"/>
              </w:rPr>
              <w:t>&gt; 500</w:t>
            </w:r>
          </w:p>
        </w:tc>
        <w:tc>
          <w:tcPr>
            <w:tcW w:w="679" w:type="pct"/>
            <w:gridSpan w:val="2"/>
            <w:shd w:val="clear" w:color="auto" w:fill="auto"/>
            <w:noWrap/>
            <w:vAlign w:val="center"/>
          </w:tcPr>
          <w:p w14:paraId="7F1C8417" w14:textId="77777777" w:rsidR="00E51CDD" w:rsidRPr="0026404C" w:rsidRDefault="00E51CDD" w:rsidP="009938D9">
            <w:pPr>
              <w:keepNext/>
              <w:keepLines/>
              <w:spacing w:beforeLines="40" w:before="96" w:afterLines="40" w:after="96"/>
              <w:rPr>
                <w:rFonts w:eastAsia="Batang"/>
                <w:sz w:val="16"/>
                <w:szCs w:val="16"/>
                <w:lang w:eastAsia="zh-CN"/>
              </w:rPr>
            </w:pPr>
            <w:r w:rsidRPr="0026404C">
              <w:rPr>
                <w:rFonts w:eastAsia="Batang"/>
                <w:sz w:val="16"/>
                <w:szCs w:val="16"/>
                <w:lang w:eastAsia="zh-CN"/>
              </w:rPr>
              <w:t> </w:t>
            </w:r>
          </w:p>
        </w:tc>
      </w:tr>
      <w:tr w:rsidR="00E51CDD" w:rsidRPr="0026404C" w14:paraId="535CA43F" w14:textId="77777777" w:rsidTr="009938D9">
        <w:trPr>
          <w:trHeight w:val="300"/>
        </w:trPr>
        <w:tc>
          <w:tcPr>
            <w:tcW w:w="5000" w:type="pct"/>
            <w:gridSpan w:val="13"/>
            <w:shd w:val="clear" w:color="auto" w:fill="auto"/>
            <w:noWrap/>
            <w:vAlign w:val="center"/>
          </w:tcPr>
          <w:p w14:paraId="39497D67" w14:textId="77777777" w:rsidR="00E51CDD" w:rsidRPr="0026404C" w:rsidRDefault="00E51CDD" w:rsidP="009938D9">
            <w:pPr>
              <w:widowControl w:val="0"/>
              <w:spacing w:beforeLines="40" w:before="96" w:afterLines="40" w:after="96"/>
              <w:rPr>
                <w:rFonts w:eastAsia="Batang"/>
                <w:b/>
                <w:sz w:val="16"/>
                <w:szCs w:val="16"/>
                <w:lang w:eastAsia="zh-CN"/>
              </w:rPr>
            </w:pPr>
            <w:r w:rsidRPr="0026404C">
              <w:rPr>
                <w:rFonts w:eastAsia="Batang"/>
                <w:b/>
                <w:sz w:val="16"/>
                <w:szCs w:val="16"/>
                <w:lang w:eastAsia="zh-CN"/>
              </w:rPr>
              <w:t>Screening step:</w:t>
            </w:r>
          </w:p>
        </w:tc>
      </w:tr>
      <w:tr w:rsidR="00E51CDD" w:rsidRPr="0026404C" w14:paraId="16074C47" w14:textId="77777777" w:rsidTr="009938D9">
        <w:trPr>
          <w:trHeight w:val="930"/>
        </w:trPr>
        <w:tc>
          <w:tcPr>
            <w:tcW w:w="555" w:type="pct"/>
            <w:vMerge w:val="restart"/>
            <w:shd w:val="clear" w:color="auto" w:fill="auto"/>
            <w:vAlign w:val="center"/>
          </w:tcPr>
          <w:p w14:paraId="2415D7D6" w14:textId="77777777" w:rsidR="00E51CDD" w:rsidRPr="0026404C" w:rsidRDefault="00E51CDD" w:rsidP="009938D9">
            <w:pPr>
              <w:widowControl w:val="0"/>
              <w:spacing w:beforeLines="40" w:before="96" w:afterLines="40" w:after="96"/>
              <w:rPr>
                <w:rFonts w:eastAsia="Batang"/>
                <w:sz w:val="16"/>
                <w:szCs w:val="16"/>
                <w:lang w:eastAsia="zh-CN"/>
              </w:rPr>
            </w:pPr>
            <w:r w:rsidRPr="0026404C">
              <w:rPr>
                <w:rFonts w:eastAsia="Batang"/>
                <w:sz w:val="16"/>
                <w:szCs w:val="16"/>
                <w:lang w:eastAsia="zh-CN"/>
              </w:rPr>
              <w:t>Acute risk assessment screening step</w:t>
            </w:r>
          </w:p>
        </w:tc>
        <w:tc>
          <w:tcPr>
            <w:tcW w:w="761" w:type="pct"/>
            <w:gridSpan w:val="3"/>
            <w:shd w:val="clear" w:color="auto" w:fill="auto"/>
            <w:vAlign w:val="center"/>
          </w:tcPr>
          <w:p w14:paraId="7505E323"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Indicator species</w:t>
            </w:r>
          </w:p>
        </w:tc>
        <w:tc>
          <w:tcPr>
            <w:tcW w:w="680" w:type="pct"/>
            <w:shd w:val="clear" w:color="auto" w:fill="auto"/>
            <w:vAlign w:val="center"/>
          </w:tcPr>
          <w:p w14:paraId="7DE7B0F8"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Shortcut value</w:t>
            </w:r>
          </w:p>
        </w:tc>
        <w:tc>
          <w:tcPr>
            <w:tcW w:w="625" w:type="pct"/>
            <w:shd w:val="clear" w:color="auto" w:fill="auto"/>
            <w:vAlign w:val="center"/>
          </w:tcPr>
          <w:p w14:paraId="3C7D12A7"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Daily Dietary Dose (single)</w:t>
            </w:r>
          </w:p>
        </w:tc>
        <w:tc>
          <w:tcPr>
            <w:tcW w:w="602" w:type="pct"/>
            <w:gridSpan w:val="2"/>
            <w:shd w:val="clear" w:color="auto" w:fill="auto"/>
            <w:vAlign w:val="center"/>
          </w:tcPr>
          <w:p w14:paraId="2541748D"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MAF (90)</w:t>
            </w:r>
          </w:p>
        </w:tc>
        <w:tc>
          <w:tcPr>
            <w:tcW w:w="513" w:type="pct"/>
            <w:gridSpan w:val="2"/>
            <w:shd w:val="clear" w:color="auto" w:fill="auto"/>
            <w:vAlign w:val="center"/>
          </w:tcPr>
          <w:p w14:paraId="5B20FD91"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Daily Dietary Dose (Multiple)</w:t>
            </w:r>
          </w:p>
        </w:tc>
        <w:tc>
          <w:tcPr>
            <w:tcW w:w="585" w:type="pct"/>
            <w:shd w:val="clear" w:color="auto" w:fill="auto"/>
            <w:vAlign w:val="center"/>
          </w:tcPr>
          <w:p w14:paraId="1BAC944C"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
                <w:bCs/>
                <w:sz w:val="16"/>
                <w:szCs w:val="16"/>
                <w:lang w:eastAsia="zh-CN"/>
              </w:rPr>
              <w:t>TER</w:t>
            </w:r>
          </w:p>
        </w:tc>
        <w:tc>
          <w:tcPr>
            <w:tcW w:w="679" w:type="pct"/>
            <w:gridSpan w:val="2"/>
            <w:vMerge w:val="restart"/>
            <w:shd w:val="clear" w:color="auto" w:fill="auto"/>
            <w:vAlign w:val="center"/>
          </w:tcPr>
          <w:p w14:paraId="46C1DB4F" w14:textId="77777777" w:rsidR="00E51CDD" w:rsidRPr="0026404C" w:rsidRDefault="00E51CDD" w:rsidP="009938D9">
            <w:pPr>
              <w:keepNext/>
              <w:keepLines/>
              <w:spacing w:beforeLines="40" w:before="96" w:afterLines="40" w:after="96"/>
              <w:jc w:val="center"/>
              <w:rPr>
                <w:rFonts w:eastAsia="Batang"/>
                <w:b/>
                <w:bCs/>
                <w:sz w:val="16"/>
                <w:szCs w:val="16"/>
                <w:lang w:eastAsia="zh-CN"/>
              </w:rPr>
            </w:pPr>
            <w:r w:rsidRPr="0026404C">
              <w:rPr>
                <w:rFonts w:eastAsia="Batang"/>
                <w:bCs/>
                <w:sz w:val="16"/>
                <w:szCs w:val="16"/>
                <w:lang w:eastAsia="zh-CN"/>
              </w:rPr>
              <w:t>Please perform first tier risk assessment</w:t>
            </w:r>
          </w:p>
        </w:tc>
      </w:tr>
      <w:tr w:rsidR="00E51CDD" w:rsidRPr="0026404C" w14:paraId="3069CB1F" w14:textId="77777777" w:rsidTr="009938D9">
        <w:trPr>
          <w:trHeight w:val="473"/>
        </w:trPr>
        <w:tc>
          <w:tcPr>
            <w:tcW w:w="555" w:type="pct"/>
            <w:vMerge/>
            <w:shd w:val="clear" w:color="auto" w:fill="auto"/>
            <w:vAlign w:val="center"/>
          </w:tcPr>
          <w:p w14:paraId="31060CD2" w14:textId="77777777" w:rsidR="00E51CDD" w:rsidRPr="0026404C" w:rsidRDefault="00E51CDD" w:rsidP="009938D9">
            <w:pPr>
              <w:keepNext/>
              <w:keepLines/>
              <w:spacing w:beforeLines="40" w:before="96" w:afterLines="40" w:after="96"/>
              <w:rPr>
                <w:rFonts w:eastAsia="Batang"/>
                <w:sz w:val="16"/>
                <w:szCs w:val="16"/>
                <w:lang w:eastAsia="zh-CN"/>
              </w:rPr>
            </w:pPr>
          </w:p>
        </w:tc>
        <w:tc>
          <w:tcPr>
            <w:tcW w:w="761" w:type="pct"/>
            <w:gridSpan w:val="3"/>
            <w:shd w:val="clear" w:color="auto" w:fill="auto"/>
            <w:vAlign w:val="center"/>
          </w:tcPr>
          <w:p w14:paraId="5026A3A3" w14:textId="77777777" w:rsidR="00E51CDD" w:rsidRPr="0026404C" w:rsidRDefault="00E51CDD" w:rsidP="009938D9">
            <w:pPr>
              <w:keepNext/>
              <w:keepLines/>
              <w:jc w:val="center"/>
              <w:rPr>
                <w:sz w:val="16"/>
                <w:szCs w:val="16"/>
              </w:rPr>
            </w:pPr>
            <w:r w:rsidRPr="0026404C">
              <w:rPr>
                <w:sz w:val="16"/>
                <w:szCs w:val="16"/>
              </w:rPr>
              <w:t>Small herbivorous mammal</w:t>
            </w:r>
          </w:p>
        </w:tc>
        <w:tc>
          <w:tcPr>
            <w:tcW w:w="680" w:type="pct"/>
            <w:shd w:val="clear" w:color="auto" w:fill="auto"/>
            <w:vAlign w:val="center"/>
          </w:tcPr>
          <w:p w14:paraId="75608BC3" w14:textId="77777777" w:rsidR="00E51CDD" w:rsidRPr="0026404C" w:rsidRDefault="00E51CDD" w:rsidP="009938D9">
            <w:pPr>
              <w:keepNext/>
              <w:keepLines/>
              <w:jc w:val="center"/>
              <w:rPr>
                <w:sz w:val="16"/>
                <w:szCs w:val="16"/>
              </w:rPr>
            </w:pPr>
            <w:r w:rsidRPr="0026404C">
              <w:rPr>
                <w:sz w:val="16"/>
                <w:szCs w:val="16"/>
              </w:rPr>
              <w:t>118.4</w:t>
            </w:r>
          </w:p>
        </w:tc>
        <w:tc>
          <w:tcPr>
            <w:tcW w:w="625" w:type="pct"/>
            <w:shd w:val="clear" w:color="auto" w:fill="auto"/>
            <w:vAlign w:val="center"/>
          </w:tcPr>
          <w:p w14:paraId="13DEB918" w14:textId="77777777" w:rsidR="00E51CDD" w:rsidRPr="00E522B8" w:rsidRDefault="00E51CDD" w:rsidP="009938D9">
            <w:pPr>
              <w:keepNext/>
              <w:keepLines/>
              <w:jc w:val="center"/>
              <w:rPr>
                <w:sz w:val="16"/>
                <w:szCs w:val="16"/>
              </w:rPr>
            </w:pPr>
            <w:r w:rsidRPr="00E522B8">
              <w:rPr>
                <w:color w:val="000000"/>
                <w:sz w:val="16"/>
                <w:szCs w:val="16"/>
              </w:rPr>
              <w:t>255.27</w:t>
            </w:r>
          </w:p>
        </w:tc>
        <w:tc>
          <w:tcPr>
            <w:tcW w:w="602" w:type="pct"/>
            <w:gridSpan w:val="2"/>
            <w:shd w:val="clear" w:color="auto" w:fill="auto"/>
            <w:vAlign w:val="center"/>
          </w:tcPr>
          <w:p w14:paraId="626F8DEE" w14:textId="77777777" w:rsidR="00E51CDD" w:rsidRPr="00E522B8" w:rsidRDefault="00E51CDD" w:rsidP="009938D9">
            <w:pPr>
              <w:keepNext/>
              <w:keepLines/>
              <w:jc w:val="center"/>
              <w:rPr>
                <w:sz w:val="16"/>
                <w:szCs w:val="16"/>
              </w:rPr>
            </w:pPr>
            <w:r w:rsidRPr="00E522B8">
              <w:rPr>
                <w:color w:val="000000"/>
                <w:sz w:val="16"/>
                <w:szCs w:val="16"/>
              </w:rPr>
              <w:t>1.1</w:t>
            </w:r>
          </w:p>
        </w:tc>
        <w:tc>
          <w:tcPr>
            <w:tcW w:w="513" w:type="pct"/>
            <w:gridSpan w:val="2"/>
            <w:shd w:val="clear" w:color="auto" w:fill="auto"/>
            <w:noWrap/>
            <w:vAlign w:val="center"/>
          </w:tcPr>
          <w:p w14:paraId="6CA4D6D9" w14:textId="77777777" w:rsidR="00E51CDD" w:rsidRPr="00E522B8" w:rsidRDefault="00E51CDD" w:rsidP="009938D9">
            <w:pPr>
              <w:keepNext/>
              <w:keepLines/>
              <w:jc w:val="center"/>
              <w:rPr>
                <w:sz w:val="16"/>
                <w:szCs w:val="16"/>
              </w:rPr>
            </w:pPr>
            <w:r w:rsidRPr="00E522B8">
              <w:rPr>
                <w:color w:val="000000"/>
                <w:sz w:val="16"/>
                <w:szCs w:val="16"/>
              </w:rPr>
              <w:t>280.80</w:t>
            </w:r>
          </w:p>
        </w:tc>
        <w:tc>
          <w:tcPr>
            <w:tcW w:w="585" w:type="pct"/>
            <w:shd w:val="clear" w:color="auto" w:fill="auto"/>
            <w:vAlign w:val="center"/>
          </w:tcPr>
          <w:p w14:paraId="0AD3388C" w14:textId="77777777" w:rsidR="00E51CDD" w:rsidRPr="00E522B8" w:rsidRDefault="00E51CDD" w:rsidP="009938D9">
            <w:pPr>
              <w:keepNext/>
              <w:keepLines/>
              <w:jc w:val="center"/>
              <w:rPr>
                <w:b/>
                <w:bCs/>
                <w:sz w:val="16"/>
                <w:szCs w:val="16"/>
              </w:rPr>
            </w:pPr>
            <w:r>
              <w:rPr>
                <w:b/>
                <w:bCs/>
                <w:sz w:val="16"/>
                <w:szCs w:val="16"/>
              </w:rPr>
              <w:t>&gt; 1.8</w:t>
            </w:r>
          </w:p>
        </w:tc>
        <w:tc>
          <w:tcPr>
            <w:tcW w:w="679" w:type="pct"/>
            <w:gridSpan w:val="2"/>
            <w:vMerge/>
            <w:shd w:val="clear" w:color="auto" w:fill="auto"/>
            <w:vAlign w:val="center"/>
          </w:tcPr>
          <w:p w14:paraId="642D141F" w14:textId="77777777" w:rsidR="00E51CDD" w:rsidRPr="0026404C" w:rsidRDefault="00E51CDD" w:rsidP="009938D9">
            <w:pPr>
              <w:keepNext/>
              <w:keepLines/>
              <w:spacing w:beforeLines="40" w:before="96" w:afterLines="40" w:after="96"/>
              <w:rPr>
                <w:rFonts w:eastAsia="Batang"/>
                <w:b/>
                <w:bCs/>
                <w:sz w:val="16"/>
                <w:szCs w:val="16"/>
                <w:lang w:eastAsia="zh-CN"/>
              </w:rPr>
            </w:pPr>
          </w:p>
        </w:tc>
      </w:tr>
      <w:tr w:rsidR="00E51CDD" w:rsidRPr="0026404C" w14:paraId="17BD3097" w14:textId="77777777" w:rsidTr="009938D9">
        <w:tblPrEx>
          <w:tblLook w:val="04A0" w:firstRow="1" w:lastRow="0" w:firstColumn="1" w:lastColumn="0" w:noHBand="0" w:noVBand="1"/>
        </w:tblPrEx>
        <w:trPr>
          <w:trHeight w:val="300"/>
        </w:trPr>
        <w:tc>
          <w:tcPr>
            <w:tcW w:w="5000" w:type="pct"/>
            <w:gridSpan w:val="13"/>
            <w:tcBorders>
              <w:bottom w:val="single" w:sz="4" w:space="0" w:color="auto"/>
            </w:tcBorders>
            <w:vAlign w:val="center"/>
          </w:tcPr>
          <w:p w14:paraId="65A22047" w14:textId="77777777" w:rsidR="00E51CDD" w:rsidRPr="0026404C" w:rsidRDefault="00E51CDD" w:rsidP="009938D9">
            <w:pPr>
              <w:widowControl w:val="0"/>
              <w:rPr>
                <w:b/>
                <w:bCs/>
                <w:sz w:val="16"/>
                <w:szCs w:val="16"/>
                <w:lang w:val="en-GB"/>
              </w:rPr>
            </w:pPr>
            <w:r w:rsidRPr="0026404C">
              <w:rPr>
                <w:rFonts w:eastAsia="Batang"/>
                <w:b/>
                <w:bCs/>
                <w:sz w:val="16"/>
                <w:szCs w:val="16"/>
                <w:lang w:eastAsia="zh-CN"/>
              </w:rPr>
              <w:t>First Tier Risk Assessment:</w:t>
            </w:r>
          </w:p>
        </w:tc>
      </w:tr>
      <w:tr w:rsidR="00E51CDD" w:rsidRPr="0026404C" w14:paraId="6C1C3228" w14:textId="77777777" w:rsidTr="009938D9">
        <w:tblPrEx>
          <w:tblLook w:val="04A0" w:firstRow="1" w:lastRow="0" w:firstColumn="1" w:lastColumn="0" w:noHBand="0" w:noVBand="1"/>
        </w:tblPrEx>
        <w:trPr>
          <w:trHeight w:val="383"/>
        </w:trPr>
        <w:tc>
          <w:tcPr>
            <w:tcW w:w="594" w:type="pct"/>
            <w:gridSpan w:val="2"/>
            <w:vMerge w:val="restart"/>
            <w:vAlign w:val="center"/>
          </w:tcPr>
          <w:p w14:paraId="4FFDE0CE" w14:textId="77777777" w:rsidR="00E51CDD" w:rsidRPr="0026404C" w:rsidRDefault="00E51CDD" w:rsidP="009938D9">
            <w:pPr>
              <w:widowControl w:val="0"/>
              <w:rPr>
                <w:rFonts w:eastAsia="Batang"/>
                <w:sz w:val="16"/>
                <w:szCs w:val="16"/>
                <w:lang w:val="en-GB" w:eastAsia="zh-CN"/>
              </w:rPr>
            </w:pPr>
            <w:r w:rsidRPr="0026404C">
              <w:rPr>
                <w:rFonts w:eastAsia="Batang"/>
                <w:sz w:val="16"/>
                <w:szCs w:val="16"/>
                <w:lang w:val="en-GB" w:eastAsia="zh-CN"/>
              </w:rPr>
              <w:t>Calculate TER for each generic focal species</w:t>
            </w:r>
          </w:p>
        </w:tc>
        <w:tc>
          <w:tcPr>
            <w:tcW w:w="644" w:type="pct"/>
            <w:vAlign w:val="center"/>
          </w:tcPr>
          <w:p w14:paraId="59A61168" w14:textId="77777777" w:rsidR="00E51CDD" w:rsidRPr="0026404C" w:rsidRDefault="00E51CDD" w:rsidP="009938D9">
            <w:pPr>
              <w:widowControl w:val="0"/>
              <w:tabs>
                <w:tab w:val="left" w:pos="720"/>
              </w:tabs>
              <w:jc w:val="center"/>
              <w:rPr>
                <w:b/>
                <w:sz w:val="16"/>
                <w:szCs w:val="16"/>
                <w:lang w:val="en-GB"/>
              </w:rPr>
            </w:pPr>
            <w:r w:rsidRPr="0026404C">
              <w:rPr>
                <w:b/>
                <w:sz w:val="16"/>
                <w:szCs w:val="16"/>
                <w:lang w:val="en-GB"/>
              </w:rPr>
              <w:t>Crop</w:t>
            </w:r>
          </w:p>
        </w:tc>
        <w:tc>
          <w:tcPr>
            <w:tcW w:w="1751" w:type="pct"/>
            <w:gridSpan w:val="4"/>
            <w:vAlign w:val="center"/>
          </w:tcPr>
          <w:p w14:paraId="52F6A310" w14:textId="77777777" w:rsidR="00E51CDD" w:rsidRPr="0026404C" w:rsidRDefault="00E51CDD" w:rsidP="009938D9">
            <w:pPr>
              <w:widowControl w:val="0"/>
              <w:tabs>
                <w:tab w:val="left" w:pos="720"/>
              </w:tabs>
              <w:jc w:val="center"/>
              <w:rPr>
                <w:b/>
                <w:sz w:val="16"/>
                <w:szCs w:val="16"/>
                <w:lang w:val="en-GB"/>
              </w:rPr>
            </w:pPr>
            <w:r w:rsidRPr="0026404C">
              <w:rPr>
                <w:b/>
                <w:sz w:val="16"/>
                <w:szCs w:val="16"/>
                <w:lang w:val="en-GB"/>
              </w:rPr>
              <w:t>Generic focal species</w:t>
            </w:r>
          </w:p>
        </w:tc>
        <w:tc>
          <w:tcPr>
            <w:tcW w:w="712" w:type="pct"/>
            <w:gridSpan w:val="2"/>
            <w:noWrap/>
            <w:vAlign w:val="center"/>
          </w:tcPr>
          <w:p w14:paraId="5ADA864F" w14:textId="77777777" w:rsidR="00E51CDD" w:rsidRPr="0026404C" w:rsidRDefault="00E51CDD" w:rsidP="009938D9">
            <w:pPr>
              <w:widowControl w:val="0"/>
              <w:tabs>
                <w:tab w:val="left" w:pos="720"/>
              </w:tabs>
              <w:jc w:val="center"/>
              <w:rPr>
                <w:b/>
                <w:sz w:val="16"/>
                <w:szCs w:val="16"/>
                <w:lang w:val="en-GB"/>
              </w:rPr>
            </w:pPr>
            <w:r w:rsidRPr="0026404C">
              <w:rPr>
                <w:b/>
                <w:sz w:val="16"/>
                <w:szCs w:val="16"/>
                <w:lang w:val="en-GB"/>
              </w:rPr>
              <w:t>Short cut value</w:t>
            </w:r>
          </w:p>
        </w:tc>
        <w:tc>
          <w:tcPr>
            <w:tcW w:w="630" w:type="pct"/>
            <w:gridSpan w:val="3"/>
            <w:vAlign w:val="center"/>
          </w:tcPr>
          <w:p w14:paraId="0C5F7B50" w14:textId="77777777" w:rsidR="00E51CDD" w:rsidRPr="0026404C" w:rsidRDefault="00E51CDD" w:rsidP="009938D9">
            <w:pPr>
              <w:widowControl w:val="0"/>
              <w:tabs>
                <w:tab w:val="left" w:pos="720"/>
              </w:tabs>
              <w:jc w:val="center"/>
              <w:rPr>
                <w:b/>
                <w:sz w:val="16"/>
                <w:szCs w:val="16"/>
                <w:lang w:val="en-GB"/>
              </w:rPr>
            </w:pPr>
            <w:r w:rsidRPr="0026404C">
              <w:rPr>
                <w:b/>
                <w:sz w:val="16"/>
                <w:szCs w:val="16"/>
                <w:lang w:val="en-GB"/>
              </w:rPr>
              <w:t>TER</w:t>
            </w:r>
          </w:p>
        </w:tc>
        <w:tc>
          <w:tcPr>
            <w:tcW w:w="669" w:type="pct"/>
            <w:vMerge w:val="restart"/>
            <w:shd w:val="clear" w:color="auto" w:fill="auto"/>
            <w:vAlign w:val="center"/>
          </w:tcPr>
          <w:p w14:paraId="460A7425" w14:textId="77777777" w:rsidR="00E51CDD" w:rsidRPr="0026404C" w:rsidRDefault="00E51CDD" w:rsidP="009938D9">
            <w:pPr>
              <w:widowControl w:val="0"/>
              <w:suppressAutoHyphens/>
              <w:jc w:val="center"/>
              <w:rPr>
                <w:rFonts w:eastAsia="Batang"/>
                <w:bCs/>
                <w:sz w:val="16"/>
                <w:szCs w:val="16"/>
                <w:lang w:eastAsia="zh-CN"/>
              </w:rPr>
            </w:pPr>
            <w:r w:rsidRPr="0026404C">
              <w:rPr>
                <w:rFonts w:eastAsia="Batang"/>
                <w:bCs/>
                <w:sz w:val="16"/>
                <w:szCs w:val="16"/>
                <w:lang w:eastAsia="zh-CN"/>
              </w:rPr>
              <w:t>No refinement</w:t>
            </w:r>
          </w:p>
          <w:p w14:paraId="1A167F3E" w14:textId="77777777" w:rsidR="00E51CDD" w:rsidRPr="0026404C" w:rsidRDefault="00E51CDD" w:rsidP="009938D9">
            <w:pPr>
              <w:widowControl w:val="0"/>
              <w:jc w:val="center"/>
              <w:rPr>
                <w:b/>
                <w:bCs/>
                <w:sz w:val="16"/>
                <w:szCs w:val="16"/>
                <w:lang w:val="en-GB"/>
              </w:rPr>
            </w:pPr>
            <w:r w:rsidRPr="0026404C">
              <w:rPr>
                <w:rFonts w:eastAsia="Batang"/>
                <w:bCs/>
                <w:sz w:val="16"/>
                <w:szCs w:val="16"/>
                <w:lang w:eastAsia="zh-CN"/>
              </w:rPr>
              <w:t>required</w:t>
            </w:r>
          </w:p>
        </w:tc>
      </w:tr>
      <w:tr w:rsidR="00E51CDD" w:rsidRPr="0026404C" w14:paraId="53D9D4B4" w14:textId="77777777" w:rsidTr="009938D9">
        <w:tblPrEx>
          <w:tblLook w:val="04A0" w:firstRow="1" w:lastRow="0" w:firstColumn="1" w:lastColumn="0" w:noHBand="0" w:noVBand="1"/>
        </w:tblPrEx>
        <w:trPr>
          <w:trHeight w:val="478"/>
        </w:trPr>
        <w:tc>
          <w:tcPr>
            <w:tcW w:w="594" w:type="pct"/>
            <w:gridSpan w:val="2"/>
            <w:vMerge/>
            <w:vAlign w:val="center"/>
          </w:tcPr>
          <w:p w14:paraId="10BD110F" w14:textId="77777777" w:rsidR="00E51CDD" w:rsidRPr="0026404C" w:rsidRDefault="00E51CDD" w:rsidP="009938D9">
            <w:pPr>
              <w:widowControl w:val="0"/>
              <w:rPr>
                <w:rFonts w:eastAsia="Batang"/>
                <w:sz w:val="16"/>
                <w:szCs w:val="16"/>
                <w:lang w:val="en-GB" w:eastAsia="zh-CN"/>
              </w:rPr>
            </w:pPr>
          </w:p>
        </w:tc>
        <w:tc>
          <w:tcPr>
            <w:tcW w:w="644" w:type="pct"/>
            <w:vAlign w:val="center"/>
          </w:tcPr>
          <w:p w14:paraId="40442EE9" w14:textId="77777777" w:rsidR="00E51CDD" w:rsidRPr="00E522B8" w:rsidRDefault="00E51CDD" w:rsidP="009938D9">
            <w:pPr>
              <w:widowControl w:val="0"/>
              <w:tabs>
                <w:tab w:val="left" w:pos="720"/>
              </w:tabs>
              <w:jc w:val="center"/>
              <w:rPr>
                <w:sz w:val="16"/>
                <w:szCs w:val="16"/>
                <w:lang w:val="en-GB"/>
              </w:rPr>
            </w:pPr>
            <w:r w:rsidRPr="00E522B8">
              <w:rPr>
                <w:color w:val="000000"/>
                <w:sz w:val="16"/>
                <w:szCs w:val="16"/>
              </w:rPr>
              <w:t>Cereals BBCH ≥ 20</w:t>
            </w:r>
          </w:p>
        </w:tc>
        <w:tc>
          <w:tcPr>
            <w:tcW w:w="1751" w:type="pct"/>
            <w:gridSpan w:val="4"/>
            <w:vAlign w:val="center"/>
          </w:tcPr>
          <w:p w14:paraId="12C87EE8" w14:textId="77777777" w:rsidR="00E51CDD" w:rsidRPr="00E522B8" w:rsidRDefault="00E51CDD" w:rsidP="009938D9">
            <w:pPr>
              <w:widowControl w:val="0"/>
              <w:tabs>
                <w:tab w:val="left" w:pos="720"/>
              </w:tabs>
              <w:jc w:val="center"/>
              <w:rPr>
                <w:sz w:val="16"/>
                <w:szCs w:val="16"/>
                <w:lang w:val="en-GB"/>
              </w:rPr>
            </w:pPr>
            <w:r w:rsidRPr="00E522B8">
              <w:rPr>
                <w:color w:val="000000"/>
                <w:sz w:val="16"/>
                <w:szCs w:val="16"/>
              </w:rPr>
              <w:t>Small insectivorous mammal "shrew" ground dwelling invertebrates with interception 100% ground arthropods</w:t>
            </w:r>
          </w:p>
        </w:tc>
        <w:tc>
          <w:tcPr>
            <w:tcW w:w="712" w:type="pct"/>
            <w:gridSpan w:val="2"/>
            <w:noWrap/>
            <w:vAlign w:val="center"/>
          </w:tcPr>
          <w:p w14:paraId="30B95117" w14:textId="77777777" w:rsidR="00E51CDD" w:rsidRPr="00E522B8" w:rsidRDefault="00E51CDD" w:rsidP="009938D9">
            <w:pPr>
              <w:widowControl w:val="0"/>
              <w:tabs>
                <w:tab w:val="left" w:pos="720"/>
              </w:tabs>
              <w:jc w:val="center"/>
              <w:rPr>
                <w:sz w:val="16"/>
                <w:szCs w:val="16"/>
                <w:lang w:val="en-GB"/>
              </w:rPr>
            </w:pPr>
            <w:r w:rsidRPr="00E522B8">
              <w:rPr>
                <w:color w:val="000000"/>
                <w:sz w:val="16"/>
                <w:szCs w:val="16"/>
              </w:rPr>
              <w:t>5.4</w:t>
            </w:r>
          </w:p>
        </w:tc>
        <w:tc>
          <w:tcPr>
            <w:tcW w:w="630" w:type="pct"/>
            <w:gridSpan w:val="3"/>
            <w:vAlign w:val="center"/>
          </w:tcPr>
          <w:p w14:paraId="5068ABC8" w14:textId="77777777" w:rsidR="00E51CDD" w:rsidRPr="00865B8F" w:rsidRDefault="00E51CDD" w:rsidP="009938D9">
            <w:pPr>
              <w:widowControl w:val="0"/>
              <w:tabs>
                <w:tab w:val="left" w:pos="720"/>
              </w:tabs>
              <w:jc w:val="center"/>
              <w:rPr>
                <w:color w:val="000000" w:themeColor="text1"/>
                <w:sz w:val="16"/>
                <w:szCs w:val="16"/>
                <w:lang w:val="en-GB"/>
              </w:rPr>
            </w:pPr>
            <w:r>
              <w:rPr>
                <w:color w:val="000000" w:themeColor="text1"/>
                <w:sz w:val="16"/>
                <w:szCs w:val="16"/>
              </w:rPr>
              <w:t>&gt; </w:t>
            </w:r>
            <w:r w:rsidRPr="00865B8F">
              <w:rPr>
                <w:color w:val="000000" w:themeColor="text1"/>
                <w:sz w:val="16"/>
                <w:szCs w:val="16"/>
              </w:rPr>
              <w:t>39.0</w:t>
            </w:r>
          </w:p>
        </w:tc>
        <w:tc>
          <w:tcPr>
            <w:tcW w:w="669" w:type="pct"/>
            <w:vMerge/>
            <w:shd w:val="clear" w:color="auto" w:fill="auto"/>
            <w:vAlign w:val="center"/>
          </w:tcPr>
          <w:p w14:paraId="5A92FBFC" w14:textId="77777777" w:rsidR="00E51CDD" w:rsidRPr="0026404C" w:rsidRDefault="00E51CDD" w:rsidP="009938D9">
            <w:pPr>
              <w:widowControl w:val="0"/>
              <w:jc w:val="center"/>
              <w:rPr>
                <w:bCs/>
                <w:sz w:val="16"/>
                <w:szCs w:val="16"/>
                <w:lang w:val="en-GB"/>
              </w:rPr>
            </w:pPr>
          </w:p>
        </w:tc>
      </w:tr>
      <w:tr w:rsidR="00E51CDD" w:rsidRPr="0026404C" w14:paraId="092C78FF" w14:textId="77777777" w:rsidTr="009938D9">
        <w:tblPrEx>
          <w:tblLook w:val="04A0" w:firstRow="1" w:lastRow="0" w:firstColumn="1" w:lastColumn="0" w:noHBand="0" w:noVBand="1"/>
        </w:tblPrEx>
        <w:trPr>
          <w:trHeight w:val="502"/>
        </w:trPr>
        <w:tc>
          <w:tcPr>
            <w:tcW w:w="594" w:type="pct"/>
            <w:gridSpan w:val="2"/>
            <w:vMerge/>
            <w:vAlign w:val="center"/>
          </w:tcPr>
          <w:p w14:paraId="66C1D548" w14:textId="77777777" w:rsidR="00E51CDD" w:rsidRPr="0026404C" w:rsidRDefault="00E51CDD" w:rsidP="009938D9">
            <w:pPr>
              <w:widowControl w:val="0"/>
              <w:rPr>
                <w:rFonts w:eastAsia="Batang"/>
                <w:sz w:val="16"/>
                <w:szCs w:val="16"/>
                <w:lang w:val="en-GB" w:eastAsia="zh-CN"/>
              </w:rPr>
            </w:pPr>
          </w:p>
        </w:tc>
        <w:tc>
          <w:tcPr>
            <w:tcW w:w="644" w:type="pct"/>
            <w:vAlign w:val="center"/>
          </w:tcPr>
          <w:p w14:paraId="35200778" w14:textId="77777777" w:rsidR="00E51CDD" w:rsidRPr="00E522B8" w:rsidRDefault="00E51CDD" w:rsidP="009938D9">
            <w:pPr>
              <w:widowControl w:val="0"/>
              <w:tabs>
                <w:tab w:val="left" w:pos="720"/>
              </w:tabs>
              <w:jc w:val="center"/>
              <w:rPr>
                <w:sz w:val="16"/>
                <w:szCs w:val="16"/>
                <w:lang w:val="en-GB"/>
              </w:rPr>
            </w:pPr>
            <w:r w:rsidRPr="00E522B8">
              <w:rPr>
                <w:color w:val="000000"/>
                <w:sz w:val="16"/>
                <w:szCs w:val="16"/>
              </w:rPr>
              <w:t>Cereals BBCH 30 - 39</w:t>
            </w:r>
          </w:p>
        </w:tc>
        <w:tc>
          <w:tcPr>
            <w:tcW w:w="1751" w:type="pct"/>
            <w:gridSpan w:val="4"/>
            <w:vAlign w:val="center"/>
          </w:tcPr>
          <w:p w14:paraId="28CB580B" w14:textId="77777777" w:rsidR="00E51CDD" w:rsidRPr="00E522B8" w:rsidRDefault="00E51CDD" w:rsidP="009938D9">
            <w:pPr>
              <w:widowControl w:val="0"/>
              <w:tabs>
                <w:tab w:val="left" w:pos="720"/>
              </w:tabs>
              <w:jc w:val="center"/>
              <w:rPr>
                <w:sz w:val="16"/>
                <w:szCs w:val="16"/>
                <w:lang w:val="en-GB"/>
              </w:rPr>
            </w:pPr>
            <w:r w:rsidRPr="00E522B8">
              <w:rPr>
                <w:color w:val="000000"/>
                <w:sz w:val="16"/>
                <w:szCs w:val="16"/>
              </w:rPr>
              <w:t>Small omnivorous mammal “mouse” Combination (invertebrates with interception) 25% weeds 50% weed seeds 25% ground arthropods</w:t>
            </w:r>
          </w:p>
        </w:tc>
        <w:tc>
          <w:tcPr>
            <w:tcW w:w="712" w:type="pct"/>
            <w:gridSpan w:val="2"/>
            <w:noWrap/>
            <w:vAlign w:val="center"/>
          </w:tcPr>
          <w:p w14:paraId="1BFD627C" w14:textId="77777777" w:rsidR="00E51CDD" w:rsidRPr="00E522B8" w:rsidRDefault="00E51CDD" w:rsidP="009938D9">
            <w:pPr>
              <w:widowControl w:val="0"/>
              <w:tabs>
                <w:tab w:val="left" w:pos="720"/>
              </w:tabs>
              <w:jc w:val="center"/>
              <w:rPr>
                <w:sz w:val="16"/>
                <w:szCs w:val="16"/>
                <w:lang w:val="en-GB"/>
              </w:rPr>
            </w:pPr>
            <w:r w:rsidRPr="00E522B8">
              <w:rPr>
                <w:color w:val="000000"/>
                <w:sz w:val="16"/>
                <w:szCs w:val="16"/>
              </w:rPr>
              <w:t>8.6</w:t>
            </w:r>
          </w:p>
        </w:tc>
        <w:tc>
          <w:tcPr>
            <w:tcW w:w="630" w:type="pct"/>
            <w:gridSpan w:val="3"/>
            <w:vAlign w:val="center"/>
          </w:tcPr>
          <w:p w14:paraId="62B7E345" w14:textId="77777777" w:rsidR="00E51CDD" w:rsidRPr="00865B8F" w:rsidRDefault="00E51CDD" w:rsidP="009938D9">
            <w:pPr>
              <w:widowControl w:val="0"/>
              <w:tabs>
                <w:tab w:val="left" w:pos="720"/>
              </w:tabs>
              <w:jc w:val="center"/>
              <w:rPr>
                <w:color w:val="000000" w:themeColor="text1"/>
                <w:sz w:val="16"/>
                <w:szCs w:val="16"/>
                <w:lang w:val="en-GB"/>
              </w:rPr>
            </w:pPr>
            <w:r>
              <w:rPr>
                <w:color w:val="000000" w:themeColor="text1"/>
                <w:sz w:val="16"/>
                <w:szCs w:val="16"/>
              </w:rPr>
              <w:t>&gt; </w:t>
            </w:r>
            <w:r w:rsidRPr="00865B8F">
              <w:rPr>
                <w:color w:val="000000" w:themeColor="text1"/>
                <w:sz w:val="16"/>
                <w:szCs w:val="16"/>
              </w:rPr>
              <w:t>24.5</w:t>
            </w:r>
          </w:p>
        </w:tc>
        <w:tc>
          <w:tcPr>
            <w:tcW w:w="669" w:type="pct"/>
            <w:vMerge/>
            <w:shd w:val="clear" w:color="auto" w:fill="auto"/>
            <w:vAlign w:val="center"/>
          </w:tcPr>
          <w:p w14:paraId="4396BF0F" w14:textId="77777777" w:rsidR="00E51CDD" w:rsidRPr="0026404C" w:rsidRDefault="00E51CDD" w:rsidP="009938D9">
            <w:pPr>
              <w:widowControl w:val="0"/>
              <w:rPr>
                <w:bCs/>
                <w:sz w:val="16"/>
                <w:szCs w:val="16"/>
                <w:lang w:val="en-GB"/>
              </w:rPr>
            </w:pPr>
          </w:p>
        </w:tc>
      </w:tr>
      <w:tr w:rsidR="00E51CDD" w:rsidRPr="0026404C" w14:paraId="6D453C99" w14:textId="77777777" w:rsidTr="009938D9">
        <w:tblPrEx>
          <w:tblLook w:val="04A0" w:firstRow="1" w:lastRow="0" w:firstColumn="1" w:lastColumn="0" w:noHBand="0" w:noVBand="1"/>
        </w:tblPrEx>
        <w:trPr>
          <w:trHeight w:val="502"/>
        </w:trPr>
        <w:tc>
          <w:tcPr>
            <w:tcW w:w="594" w:type="pct"/>
            <w:gridSpan w:val="2"/>
            <w:vMerge/>
            <w:vAlign w:val="center"/>
          </w:tcPr>
          <w:p w14:paraId="0A2A7A40" w14:textId="77777777" w:rsidR="00E51CDD" w:rsidRPr="0026404C" w:rsidRDefault="00E51CDD" w:rsidP="009938D9">
            <w:pPr>
              <w:widowControl w:val="0"/>
              <w:rPr>
                <w:rFonts w:eastAsia="Batang"/>
                <w:sz w:val="16"/>
                <w:szCs w:val="16"/>
                <w:lang w:val="en-GB" w:eastAsia="zh-CN"/>
              </w:rPr>
            </w:pPr>
          </w:p>
        </w:tc>
        <w:tc>
          <w:tcPr>
            <w:tcW w:w="644" w:type="pct"/>
            <w:vAlign w:val="center"/>
          </w:tcPr>
          <w:p w14:paraId="1AA091CA" w14:textId="77777777" w:rsidR="00E51CDD" w:rsidRPr="00E522B8" w:rsidRDefault="00E51CDD" w:rsidP="009938D9">
            <w:pPr>
              <w:widowControl w:val="0"/>
              <w:tabs>
                <w:tab w:val="left" w:pos="720"/>
              </w:tabs>
              <w:jc w:val="center"/>
              <w:rPr>
                <w:sz w:val="16"/>
                <w:szCs w:val="16"/>
              </w:rPr>
            </w:pPr>
            <w:r w:rsidRPr="00E522B8">
              <w:rPr>
                <w:color w:val="000000"/>
                <w:sz w:val="16"/>
                <w:szCs w:val="16"/>
              </w:rPr>
              <w:t>Cereals BBCH ≥ 40</w:t>
            </w:r>
          </w:p>
        </w:tc>
        <w:tc>
          <w:tcPr>
            <w:tcW w:w="1751" w:type="pct"/>
            <w:gridSpan w:val="4"/>
            <w:vAlign w:val="center"/>
          </w:tcPr>
          <w:p w14:paraId="1D05B020" w14:textId="77777777" w:rsidR="00E51CDD" w:rsidRPr="00E522B8" w:rsidRDefault="00E51CDD" w:rsidP="009938D9">
            <w:pPr>
              <w:widowControl w:val="0"/>
              <w:tabs>
                <w:tab w:val="left" w:pos="720"/>
              </w:tabs>
              <w:jc w:val="center"/>
              <w:rPr>
                <w:sz w:val="16"/>
                <w:szCs w:val="16"/>
              </w:rPr>
            </w:pPr>
            <w:r w:rsidRPr="00E522B8">
              <w:rPr>
                <w:color w:val="000000"/>
                <w:sz w:val="16"/>
                <w:szCs w:val="16"/>
              </w:rPr>
              <w:t>Small herbivorous mammal "vole Grass + cereals 100% grass</w:t>
            </w:r>
          </w:p>
        </w:tc>
        <w:tc>
          <w:tcPr>
            <w:tcW w:w="712" w:type="pct"/>
            <w:gridSpan w:val="2"/>
            <w:noWrap/>
            <w:vAlign w:val="center"/>
          </w:tcPr>
          <w:p w14:paraId="7E4288DF" w14:textId="77777777" w:rsidR="00E51CDD" w:rsidRPr="00E522B8" w:rsidRDefault="00E51CDD" w:rsidP="009938D9">
            <w:pPr>
              <w:widowControl w:val="0"/>
              <w:tabs>
                <w:tab w:val="left" w:pos="720"/>
              </w:tabs>
              <w:jc w:val="center"/>
              <w:rPr>
                <w:sz w:val="16"/>
                <w:szCs w:val="16"/>
              </w:rPr>
            </w:pPr>
            <w:r w:rsidRPr="00E522B8">
              <w:rPr>
                <w:color w:val="000000"/>
                <w:sz w:val="16"/>
                <w:szCs w:val="16"/>
              </w:rPr>
              <w:t>40.9</w:t>
            </w:r>
          </w:p>
        </w:tc>
        <w:tc>
          <w:tcPr>
            <w:tcW w:w="630" w:type="pct"/>
            <w:gridSpan w:val="3"/>
            <w:vAlign w:val="center"/>
          </w:tcPr>
          <w:p w14:paraId="5989DDA1" w14:textId="77777777" w:rsidR="00E51CDD" w:rsidRPr="00865B8F" w:rsidRDefault="00E51CDD" w:rsidP="009938D9">
            <w:pPr>
              <w:widowControl w:val="0"/>
              <w:tabs>
                <w:tab w:val="left" w:pos="720"/>
              </w:tabs>
              <w:jc w:val="center"/>
              <w:rPr>
                <w:b/>
                <w:bCs/>
                <w:color w:val="000000" w:themeColor="text1"/>
                <w:sz w:val="16"/>
                <w:szCs w:val="16"/>
              </w:rPr>
            </w:pPr>
            <w:r>
              <w:rPr>
                <w:b/>
                <w:bCs/>
                <w:color w:val="000000" w:themeColor="text1"/>
                <w:sz w:val="16"/>
                <w:szCs w:val="16"/>
              </w:rPr>
              <w:t>&gt; </w:t>
            </w:r>
            <w:r w:rsidRPr="00865B8F">
              <w:rPr>
                <w:b/>
                <w:bCs/>
                <w:color w:val="000000" w:themeColor="text1"/>
                <w:sz w:val="16"/>
                <w:szCs w:val="16"/>
              </w:rPr>
              <w:t>5.2</w:t>
            </w:r>
          </w:p>
        </w:tc>
        <w:tc>
          <w:tcPr>
            <w:tcW w:w="669" w:type="pct"/>
            <w:shd w:val="clear" w:color="auto" w:fill="auto"/>
            <w:vAlign w:val="center"/>
          </w:tcPr>
          <w:p w14:paraId="190844D4" w14:textId="77777777" w:rsidR="00E51CDD" w:rsidRPr="00800779" w:rsidRDefault="00E51CDD" w:rsidP="009938D9">
            <w:pPr>
              <w:widowControl w:val="0"/>
              <w:jc w:val="center"/>
              <w:rPr>
                <w:b/>
                <w:sz w:val="16"/>
                <w:szCs w:val="16"/>
                <w:lang w:val="en-GB"/>
              </w:rPr>
            </w:pPr>
            <w:r w:rsidRPr="00800779">
              <w:rPr>
                <w:b/>
                <w:sz w:val="16"/>
                <w:szCs w:val="16"/>
                <w:lang w:val="en-GB"/>
              </w:rPr>
              <w:t>Higher tier risk assessment required</w:t>
            </w:r>
          </w:p>
        </w:tc>
      </w:tr>
      <w:tr w:rsidR="00E51CDD" w:rsidRPr="0026404C" w14:paraId="2EFDCE5B" w14:textId="77777777" w:rsidTr="009938D9">
        <w:tblPrEx>
          <w:tblLook w:val="04A0" w:firstRow="1" w:lastRow="0" w:firstColumn="1" w:lastColumn="0" w:noHBand="0" w:noVBand="1"/>
        </w:tblPrEx>
        <w:trPr>
          <w:trHeight w:val="736"/>
        </w:trPr>
        <w:tc>
          <w:tcPr>
            <w:tcW w:w="594" w:type="pct"/>
            <w:gridSpan w:val="2"/>
            <w:vMerge/>
            <w:vAlign w:val="center"/>
          </w:tcPr>
          <w:p w14:paraId="1432B3A5" w14:textId="77777777" w:rsidR="00E51CDD" w:rsidRPr="0026404C" w:rsidRDefault="00E51CDD" w:rsidP="009938D9">
            <w:pPr>
              <w:widowControl w:val="0"/>
              <w:rPr>
                <w:rFonts w:eastAsia="Batang"/>
                <w:sz w:val="16"/>
                <w:szCs w:val="16"/>
                <w:lang w:val="en-GB" w:eastAsia="zh-CN"/>
              </w:rPr>
            </w:pPr>
          </w:p>
        </w:tc>
        <w:tc>
          <w:tcPr>
            <w:tcW w:w="644" w:type="pct"/>
            <w:vAlign w:val="center"/>
          </w:tcPr>
          <w:p w14:paraId="7822705E" w14:textId="77777777" w:rsidR="00E51CDD" w:rsidRPr="00E522B8" w:rsidRDefault="00E51CDD" w:rsidP="009938D9">
            <w:pPr>
              <w:widowControl w:val="0"/>
              <w:tabs>
                <w:tab w:val="left" w:pos="720"/>
              </w:tabs>
              <w:jc w:val="center"/>
              <w:rPr>
                <w:sz w:val="16"/>
                <w:szCs w:val="16"/>
                <w:lang w:val="en-GB"/>
              </w:rPr>
            </w:pPr>
            <w:r w:rsidRPr="00E522B8">
              <w:rPr>
                <w:color w:val="000000"/>
                <w:sz w:val="16"/>
                <w:szCs w:val="16"/>
              </w:rPr>
              <w:t>Cereals BBCH ≥ 40</w:t>
            </w:r>
          </w:p>
        </w:tc>
        <w:tc>
          <w:tcPr>
            <w:tcW w:w="1751" w:type="pct"/>
            <w:gridSpan w:val="4"/>
            <w:vAlign w:val="center"/>
          </w:tcPr>
          <w:p w14:paraId="5C3DC586" w14:textId="77777777" w:rsidR="00E51CDD" w:rsidRPr="00E522B8" w:rsidRDefault="00E51CDD" w:rsidP="009938D9">
            <w:pPr>
              <w:widowControl w:val="0"/>
              <w:tabs>
                <w:tab w:val="left" w:pos="720"/>
              </w:tabs>
              <w:jc w:val="center"/>
              <w:rPr>
                <w:sz w:val="16"/>
                <w:szCs w:val="16"/>
                <w:lang w:val="en-GB"/>
              </w:rPr>
            </w:pPr>
            <w:r w:rsidRPr="00E522B8">
              <w:rPr>
                <w:color w:val="000000"/>
                <w:sz w:val="16"/>
                <w:szCs w:val="16"/>
              </w:rPr>
              <w:t>Small omnivorous mammal “mouse” Combination (invertebrates with interception) 25% weeds 50% weed seeds 25% ground arthropods</w:t>
            </w:r>
          </w:p>
        </w:tc>
        <w:tc>
          <w:tcPr>
            <w:tcW w:w="712" w:type="pct"/>
            <w:gridSpan w:val="2"/>
            <w:noWrap/>
            <w:vAlign w:val="center"/>
          </w:tcPr>
          <w:p w14:paraId="48CF9DCA" w14:textId="77777777" w:rsidR="00E51CDD" w:rsidRPr="00E522B8" w:rsidRDefault="00E51CDD" w:rsidP="009938D9">
            <w:pPr>
              <w:widowControl w:val="0"/>
              <w:tabs>
                <w:tab w:val="left" w:pos="720"/>
              </w:tabs>
              <w:jc w:val="center"/>
              <w:rPr>
                <w:sz w:val="16"/>
                <w:szCs w:val="16"/>
                <w:lang w:val="en-GB"/>
              </w:rPr>
            </w:pPr>
            <w:r w:rsidRPr="00E522B8">
              <w:rPr>
                <w:color w:val="000000"/>
                <w:sz w:val="16"/>
                <w:szCs w:val="16"/>
              </w:rPr>
              <w:t>5.2</w:t>
            </w:r>
          </w:p>
        </w:tc>
        <w:tc>
          <w:tcPr>
            <w:tcW w:w="630" w:type="pct"/>
            <w:gridSpan w:val="3"/>
            <w:vAlign w:val="center"/>
          </w:tcPr>
          <w:p w14:paraId="5FE52EBD" w14:textId="77777777" w:rsidR="00E51CDD" w:rsidRPr="00865B8F" w:rsidRDefault="00E51CDD" w:rsidP="009938D9">
            <w:pPr>
              <w:widowControl w:val="0"/>
              <w:tabs>
                <w:tab w:val="left" w:pos="720"/>
              </w:tabs>
              <w:jc w:val="center"/>
              <w:rPr>
                <w:color w:val="000000" w:themeColor="text1"/>
                <w:sz w:val="16"/>
                <w:szCs w:val="16"/>
                <w:lang w:val="en-GB"/>
              </w:rPr>
            </w:pPr>
            <w:r>
              <w:rPr>
                <w:color w:val="000000" w:themeColor="text1"/>
                <w:sz w:val="16"/>
                <w:szCs w:val="16"/>
              </w:rPr>
              <w:t>&gt; </w:t>
            </w:r>
            <w:r w:rsidRPr="00865B8F">
              <w:rPr>
                <w:color w:val="000000" w:themeColor="text1"/>
                <w:sz w:val="16"/>
                <w:szCs w:val="16"/>
              </w:rPr>
              <w:t>40.5</w:t>
            </w:r>
          </w:p>
        </w:tc>
        <w:tc>
          <w:tcPr>
            <w:tcW w:w="669" w:type="pct"/>
            <w:shd w:val="clear" w:color="auto" w:fill="auto"/>
            <w:vAlign w:val="center"/>
          </w:tcPr>
          <w:p w14:paraId="763EF920" w14:textId="77777777" w:rsidR="00E51CDD" w:rsidRPr="0026404C" w:rsidRDefault="00E51CDD" w:rsidP="009938D9">
            <w:pPr>
              <w:widowControl w:val="0"/>
              <w:suppressAutoHyphens/>
              <w:jc w:val="center"/>
              <w:rPr>
                <w:rFonts w:eastAsia="Batang"/>
                <w:bCs/>
                <w:sz w:val="16"/>
                <w:szCs w:val="16"/>
                <w:lang w:eastAsia="zh-CN"/>
              </w:rPr>
            </w:pPr>
            <w:r w:rsidRPr="0026404C">
              <w:rPr>
                <w:rFonts w:eastAsia="Batang"/>
                <w:bCs/>
                <w:sz w:val="16"/>
                <w:szCs w:val="16"/>
                <w:lang w:eastAsia="zh-CN"/>
              </w:rPr>
              <w:t>No refinement</w:t>
            </w:r>
          </w:p>
          <w:p w14:paraId="68E8331D" w14:textId="77777777" w:rsidR="00E51CDD" w:rsidRPr="0026404C" w:rsidRDefault="00E51CDD" w:rsidP="009938D9">
            <w:pPr>
              <w:widowControl w:val="0"/>
              <w:jc w:val="center"/>
              <w:rPr>
                <w:b/>
                <w:bCs/>
                <w:sz w:val="16"/>
                <w:szCs w:val="16"/>
                <w:lang w:val="en-GB"/>
              </w:rPr>
            </w:pPr>
            <w:r w:rsidRPr="0026404C">
              <w:rPr>
                <w:rFonts w:eastAsia="Batang"/>
                <w:bCs/>
                <w:sz w:val="16"/>
                <w:szCs w:val="16"/>
                <w:lang w:eastAsia="zh-CN"/>
              </w:rPr>
              <w:t>required</w:t>
            </w:r>
          </w:p>
        </w:tc>
      </w:tr>
    </w:tbl>
    <w:p w14:paraId="59E24556" w14:textId="77777777" w:rsidR="00E51CDD" w:rsidRPr="0026404C" w:rsidRDefault="00E51CDD" w:rsidP="00E51CDD">
      <w:pPr>
        <w:widowControl w:val="0"/>
        <w:jc w:val="both"/>
        <w:rPr>
          <w:lang w:val="en-GB"/>
        </w:rPr>
      </w:pPr>
      <w:r w:rsidRPr="0026404C">
        <w:rPr>
          <w:sz w:val="18"/>
          <w:szCs w:val="18"/>
          <w:lang w:val="en-GB"/>
        </w:rPr>
        <w:t xml:space="preserve">TER values in </w:t>
      </w:r>
      <w:r w:rsidRPr="0026404C">
        <w:rPr>
          <w:b/>
          <w:bCs/>
          <w:sz w:val="18"/>
          <w:szCs w:val="18"/>
          <w:lang w:val="en-GB"/>
        </w:rPr>
        <w:t>bold</w:t>
      </w:r>
      <w:r w:rsidRPr="0026404C">
        <w:rPr>
          <w:sz w:val="18"/>
          <w:szCs w:val="18"/>
          <w:lang w:val="en-GB"/>
        </w:rPr>
        <w:t xml:space="preserve"> are below the trigger.</w:t>
      </w:r>
    </w:p>
    <w:p w14:paraId="588ACAA2" w14:textId="77777777" w:rsidR="00E51CDD" w:rsidRDefault="00E51CDD" w:rsidP="00E51CDD">
      <w:pPr>
        <w:widowControl w:val="0"/>
        <w:jc w:val="both"/>
        <w:rPr>
          <w:rFonts w:eastAsia="Batang"/>
          <w:lang w:eastAsia="zh-CN"/>
        </w:rPr>
      </w:pPr>
    </w:p>
    <w:p w14:paraId="5F8C9340" w14:textId="77777777" w:rsidR="00E51CDD" w:rsidRPr="0026404C" w:rsidRDefault="00E51CDD" w:rsidP="00E51CDD">
      <w:pPr>
        <w:widowControl w:val="0"/>
        <w:jc w:val="both"/>
        <w:rPr>
          <w:rFonts w:eastAsia="Batang"/>
          <w:lang w:eastAsia="zh-CN"/>
        </w:rPr>
      </w:pPr>
    </w:p>
    <w:p w14:paraId="2EF9D565" w14:textId="77777777" w:rsidR="00E51CDD" w:rsidRDefault="00E51CDD" w:rsidP="00E51CDD">
      <w:pPr>
        <w:jc w:val="both"/>
      </w:pPr>
      <w:bookmarkStart w:id="360" w:name="_Hlk11664490"/>
      <w:bookmarkStart w:id="361" w:name="_Hlk11164706"/>
      <w:bookmarkStart w:id="362" w:name="_Hlk84841938"/>
      <w:r w:rsidRPr="008C45EC">
        <w:rPr>
          <w:rFonts w:eastAsia="Batang"/>
          <w:color w:val="000000" w:themeColor="text1"/>
          <w:lang w:eastAsia="zh-CN"/>
        </w:rPr>
        <w:t>Based on the LD</w:t>
      </w:r>
      <w:r w:rsidRPr="008C45EC">
        <w:rPr>
          <w:rFonts w:eastAsia="Batang"/>
          <w:color w:val="000000" w:themeColor="text1"/>
          <w:vertAlign w:val="subscript"/>
          <w:lang w:eastAsia="zh-CN"/>
        </w:rPr>
        <w:t>50</w:t>
      </w:r>
      <w:r w:rsidRPr="008C45EC">
        <w:rPr>
          <w:rFonts w:eastAsia="Batang"/>
          <w:color w:val="000000" w:themeColor="text1"/>
          <w:lang w:eastAsia="zh-CN"/>
        </w:rPr>
        <w:t xml:space="preserve"> &gt; 500 mg/kg b.w. </w:t>
      </w:r>
      <w:bookmarkStart w:id="363" w:name="_Hlk85093917"/>
      <w:r w:rsidRPr="008C45EC">
        <w:rPr>
          <w:rFonts w:eastAsia="Batang"/>
          <w:color w:val="000000" w:themeColor="text1"/>
          <w:lang w:eastAsia="zh-CN"/>
        </w:rPr>
        <w:t xml:space="preserve">the tier 1 risk assessment resulted in TER values above the trigger of 10 for acceptability of effects for all scenarios, except for the small herbivorous mammal “vole” scenario at BBCH </w:t>
      </w:r>
      <w:r w:rsidRPr="008C45EC">
        <w:rPr>
          <w:color w:val="000000" w:themeColor="text1"/>
        </w:rPr>
        <w:t>≥ 40</w:t>
      </w:r>
      <w:r>
        <w:rPr>
          <w:rFonts w:eastAsia="Batang"/>
          <w:color w:val="000000" w:themeColor="text1"/>
          <w:lang w:eastAsia="zh-CN"/>
        </w:rPr>
        <w:t xml:space="preserve"> </w:t>
      </w:r>
      <w:bookmarkEnd w:id="363"/>
      <w:r>
        <w:rPr>
          <w:rFonts w:eastAsia="Batang"/>
          <w:color w:val="000000" w:themeColor="text1"/>
          <w:lang w:eastAsia="zh-CN"/>
        </w:rPr>
        <w:t xml:space="preserve">and a </w:t>
      </w:r>
      <w:r>
        <w:t>higher tier risk assessment is presented in chapter 9.3.2.2.</w:t>
      </w:r>
      <w:r w:rsidRPr="008C45EC">
        <w:rPr>
          <w:rFonts w:eastAsia="Batang"/>
          <w:color w:val="000000" w:themeColor="text1"/>
          <w:lang w:eastAsia="zh-CN"/>
        </w:rPr>
        <w:t xml:space="preserve"> </w:t>
      </w:r>
      <w:bookmarkStart w:id="364" w:name="_Hlk84841954"/>
      <w:bookmarkEnd w:id="360"/>
      <w:bookmarkEnd w:id="361"/>
      <w:bookmarkEnd w:id="362"/>
    </w:p>
    <w:p w14:paraId="417C40AF" w14:textId="77777777" w:rsidR="00E51CDD" w:rsidRPr="00F00DDB" w:rsidRDefault="00E51CDD" w:rsidP="00E51CDD">
      <w:pPr>
        <w:jc w:val="both"/>
      </w:pPr>
    </w:p>
    <w:bookmarkEnd w:id="364"/>
    <w:p w14:paraId="56CA4DDE" w14:textId="77777777" w:rsidR="00E51CDD" w:rsidRPr="0026404C" w:rsidRDefault="00E51CDD" w:rsidP="00E51CDD">
      <w:pPr>
        <w:widowControl w:val="0"/>
        <w:jc w:val="both"/>
        <w:rPr>
          <w:rFonts w:eastAsia="Batang"/>
          <w:lang w:eastAsia="zh-CN"/>
        </w:rPr>
      </w:pPr>
    </w:p>
    <w:p w14:paraId="2A1A24C0" w14:textId="77777777" w:rsidR="00E51CDD" w:rsidRDefault="00E51CDD" w:rsidP="00E51CDD">
      <w:pPr>
        <w:widowControl w:val="0"/>
        <w:jc w:val="both"/>
        <w:rPr>
          <w:b/>
          <w:bCs/>
          <w:iCs/>
          <w:lang w:val="en-GB"/>
        </w:rPr>
      </w:pPr>
      <w:r>
        <w:rPr>
          <w:b/>
          <w:bCs/>
          <w:iCs/>
          <w:lang w:val="en-GB"/>
        </w:rPr>
        <w:br w:type="page"/>
      </w:r>
    </w:p>
    <w:p w14:paraId="4800B131" w14:textId="77777777" w:rsidR="00E51CDD" w:rsidRPr="0026404C" w:rsidRDefault="00E51CDD" w:rsidP="00E51CDD">
      <w:pPr>
        <w:widowControl w:val="0"/>
        <w:jc w:val="both"/>
        <w:rPr>
          <w:b/>
          <w:bCs/>
          <w:iCs/>
          <w:lang w:val="en-GB"/>
        </w:rPr>
      </w:pPr>
      <w:r w:rsidRPr="0026404C">
        <w:rPr>
          <w:b/>
          <w:bCs/>
          <w:iCs/>
          <w:lang w:val="en-GB"/>
        </w:rPr>
        <w:lastRenderedPageBreak/>
        <w:t xml:space="preserve">Combined reproductive toxicity </w:t>
      </w:r>
    </w:p>
    <w:p w14:paraId="5D9A7DAA" w14:textId="77777777" w:rsidR="00E51CDD" w:rsidRPr="0026404C" w:rsidRDefault="00E51CDD" w:rsidP="00E51CDD">
      <w:pPr>
        <w:widowControl w:val="0"/>
        <w:jc w:val="both"/>
        <w:rPr>
          <w:b/>
          <w:bCs/>
          <w:lang w:val="en-GB"/>
        </w:rPr>
      </w:pPr>
    </w:p>
    <w:p w14:paraId="0AD3CCEF" w14:textId="77777777" w:rsidR="00E51CDD" w:rsidRPr="0026404C" w:rsidRDefault="00E51CDD" w:rsidP="00E51CDD">
      <w:pPr>
        <w:widowControl w:val="0"/>
        <w:jc w:val="both"/>
      </w:pPr>
      <w:r w:rsidRPr="0026404C">
        <w:rPr>
          <w:lang w:val="en-GB"/>
        </w:rPr>
        <w:t>As requested in the summary report of the Steering Committee of the Central Zone Harmonisation workshop in April 2015 and update of October 2016 (Central Zone Harmonisation Workshop, 2016), a long-term combination toxicity tier 1 risk assessment is presented. As proposed there, the calculations follow the concentration addition model.</w:t>
      </w:r>
    </w:p>
    <w:p w14:paraId="7A69AF0F" w14:textId="77777777" w:rsidR="00E51CDD" w:rsidRPr="0026404C" w:rsidRDefault="00E51CDD" w:rsidP="00E51CDD">
      <w:pPr>
        <w:suppressAutoHyphens/>
        <w:jc w:val="both"/>
        <w:rPr>
          <w:lang w:val="en-GB" w:eastAsia="en-US"/>
        </w:rPr>
      </w:pPr>
    </w:p>
    <w:p w14:paraId="436DC22B" w14:textId="77777777" w:rsidR="00E51CDD" w:rsidRPr="0026404C" w:rsidRDefault="00E51CDD" w:rsidP="00E51CDD">
      <w:pPr>
        <w:autoSpaceDE w:val="0"/>
        <w:autoSpaceDN w:val="0"/>
        <w:adjustRightInd w:val="0"/>
      </w:pPr>
      <w:r w:rsidRPr="0026404C">
        <w:t>The combined TER</w:t>
      </w:r>
      <w:r w:rsidRPr="0026404C">
        <w:rPr>
          <w:vertAlign w:val="subscript"/>
        </w:rPr>
        <w:t>LT</w:t>
      </w:r>
      <w:r w:rsidRPr="0026404C">
        <w:t xml:space="preserve"> value is calculated according to the following formula:</w:t>
      </w:r>
    </w:p>
    <w:p w14:paraId="64BEBEDD" w14:textId="77777777" w:rsidR="00E51CDD" w:rsidRPr="0026404C" w:rsidRDefault="00E51CDD" w:rsidP="00E51CDD">
      <w:pPr>
        <w:autoSpaceDE w:val="0"/>
        <w:autoSpaceDN w:val="0"/>
        <w:adjustRightInd w:val="0"/>
      </w:pPr>
    </w:p>
    <w:p w14:paraId="04AD1CEC" w14:textId="77777777" w:rsidR="00E51CDD" w:rsidRPr="00523339" w:rsidRDefault="00E51CDD" w:rsidP="00E51CDD">
      <w:pPr>
        <w:autoSpaceDE w:val="0"/>
        <w:autoSpaceDN w:val="0"/>
        <w:adjustRightInd w:val="0"/>
        <w:jc w:val="center"/>
      </w:pPr>
      <w:r w:rsidRPr="00523339">
        <w:t>TER</w:t>
      </w:r>
      <w:r w:rsidRPr="00523339">
        <w:rPr>
          <w:vertAlign w:val="subscript"/>
        </w:rPr>
        <w:t>LT combi</w:t>
      </w:r>
      <w:r w:rsidRPr="00523339">
        <w:t xml:space="preserve"> = trigger/((trigger/TER</w:t>
      </w:r>
      <w:r w:rsidRPr="00523339">
        <w:rPr>
          <w:vertAlign w:val="subscript"/>
        </w:rPr>
        <w:t>LT substance 1</w:t>
      </w:r>
      <w:r w:rsidRPr="00523339">
        <w:t>)+(trigger/TER</w:t>
      </w:r>
      <w:r w:rsidRPr="00523339">
        <w:rPr>
          <w:vertAlign w:val="subscript"/>
        </w:rPr>
        <w:t>LT substance 2</w:t>
      </w:r>
      <w:r w:rsidRPr="00523339">
        <w:t>))</w:t>
      </w:r>
    </w:p>
    <w:p w14:paraId="003B4E26" w14:textId="77777777" w:rsidR="00E51CDD" w:rsidRPr="00523339" w:rsidRDefault="00E51CDD" w:rsidP="00E51CDD">
      <w:pPr>
        <w:autoSpaceDE w:val="0"/>
        <w:autoSpaceDN w:val="0"/>
        <w:adjustRightInd w:val="0"/>
      </w:pPr>
    </w:p>
    <w:p w14:paraId="7E31B50F" w14:textId="77777777" w:rsidR="00E51CDD" w:rsidRPr="00523339" w:rsidRDefault="00E51CDD" w:rsidP="00E51CDD">
      <w:pPr>
        <w:widowControl w:val="0"/>
        <w:tabs>
          <w:tab w:val="left" w:pos="720"/>
        </w:tabs>
        <w:jc w:val="both"/>
      </w:pPr>
      <w:r w:rsidRPr="00523339">
        <w:t>An acceptable risk is expected when TER</w:t>
      </w:r>
      <w:r w:rsidRPr="00523339">
        <w:rPr>
          <w:vertAlign w:val="subscript"/>
        </w:rPr>
        <w:t>LT combi</w:t>
      </w:r>
      <w:r w:rsidRPr="00523339">
        <w:t xml:space="preserve"> &gt; trigger.</w:t>
      </w:r>
    </w:p>
    <w:p w14:paraId="53FBF590" w14:textId="77777777" w:rsidR="00E51CDD" w:rsidRPr="00523339" w:rsidRDefault="00E51CDD" w:rsidP="00E51CDD">
      <w:pPr>
        <w:widowControl w:val="0"/>
        <w:suppressAutoHyphens/>
        <w:jc w:val="both"/>
        <w:rPr>
          <w:lang w:eastAsia="en-US"/>
        </w:rPr>
      </w:pPr>
    </w:p>
    <w:p w14:paraId="040879F2" w14:textId="5E8952BD" w:rsidR="00E51CDD" w:rsidRPr="0026404C" w:rsidRDefault="00E51CDD" w:rsidP="00E51CDD">
      <w:pPr>
        <w:widowControl w:val="0"/>
        <w:jc w:val="both"/>
        <w:rPr>
          <w:lang w:eastAsia="en-US"/>
        </w:rPr>
      </w:pPr>
      <w:r w:rsidRPr="00523339">
        <w:rPr>
          <w:bCs/>
          <w:lang w:eastAsia="en-US"/>
        </w:rPr>
        <w:t xml:space="preserve">The </w:t>
      </w:r>
      <w:r w:rsidRPr="00523339">
        <w:rPr>
          <w:lang w:eastAsia="en-US"/>
        </w:rPr>
        <w:t>TER</w:t>
      </w:r>
      <w:r w:rsidRPr="00523339">
        <w:rPr>
          <w:vertAlign w:val="subscript"/>
          <w:lang w:eastAsia="en-US"/>
        </w:rPr>
        <w:t>LT combi</w:t>
      </w:r>
      <w:r w:rsidRPr="00523339">
        <w:rPr>
          <w:bCs/>
          <w:lang w:eastAsia="en-US"/>
        </w:rPr>
        <w:t xml:space="preserve"> values are calculated based on screening step and tier 1 TER values for the active substances. </w:t>
      </w:r>
      <w:r w:rsidRPr="00523339">
        <w:rPr>
          <w:lang w:eastAsia="en-US"/>
        </w:rPr>
        <w:t xml:space="preserve">The calculations </w:t>
      </w:r>
      <w:r w:rsidRPr="0026404C">
        <w:rPr>
          <w:lang w:eastAsia="en-US"/>
        </w:rPr>
        <w:t xml:space="preserve">of the </w:t>
      </w:r>
      <w:r w:rsidRPr="0026404C">
        <w:rPr>
          <w:bCs/>
          <w:lang w:eastAsia="en-US"/>
        </w:rPr>
        <w:t>cumulative ecotoxicological effects</w:t>
      </w:r>
      <w:r w:rsidRPr="0026404C">
        <w:rPr>
          <w:lang w:eastAsia="en-US"/>
        </w:rPr>
        <w:t xml:space="preserve"> are summarized in </w:t>
      </w:r>
      <w:r w:rsidRPr="0026404C">
        <w:rPr>
          <w:lang w:eastAsia="en-US"/>
        </w:rPr>
        <w:fldChar w:fldCharType="begin"/>
      </w:r>
      <w:r w:rsidRPr="0026404C">
        <w:rPr>
          <w:lang w:eastAsia="en-US"/>
        </w:rPr>
        <w:instrText xml:space="preserve"> REF _Ref57391270  \* MERGEFORMAT </w:instrText>
      </w:r>
      <w:r w:rsidRPr="0026404C">
        <w:rPr>
          <w:lang w:eastAsia="en-US"/>
        </w:rPr>
        <w:fldChar w:fldCharType="separate"/>
      </w:r>
      <w:r w:rsidR="00662F32" w:rsidRPr="00662F32">
        <w:rPr>
          <w:lang w:val="en-GB" w:eastAsia="en-US"/>
        </w:rPr>
        <w:t xml:space="preserve">Table </w:t>
      </w:r>
      <w:r w:rsidR="00662F32" w:rsidRPr="00662F32">
        <w:rPr>
          <w:noProof/>
          <w:lang w:val="en-GB" w:eastAsia="en-US"/>
        </w:rPr>
        <w:t>9.3</w:t>
      </w:r>
      <w:r w:rsidR="00662F32" w:rsidRPr="00662F32">
        <w:rPr>
          <w:noProof/>
          <w:lang w:val="en-GB" w:eastAsia="en-US"/>
        </w:rPr>
        <w:noBreakHyphen/>
        <w:t>11</w:t>
      </w:r>
      <w:r w:rsidRPr="0026404C">
        <w:rPr>
          <w:lang w:eastAsia="en-US"/>
        </w:rPr>
        <w:fldChar w:fldCharType="end"/>
      </w:r>
      <w:r w:rsidRPr="0026404C">
        <w:rPr>
          <w:lang w:eastAsia="en-US"/>
        </w:rPr>
        <w:t>.</w:t>
      </w:r>
    </w:p>
    <w:p w14:paraId="543AEA37" w14:textId="1CBB846A" w:rsidR="00E51CDD" w:rsidRPr="0026404C" w:rsidRDefault="00E51CDD" w:rsidP="00E51CDD">
      <w:pPr>
        <w:keepNext/>
        <w:keepLines/>
        <w:widowControl w:val="0"/>
        <w:tabs>
          <w:tab w:val="left" w:pos="1980"/>
        </w:tabs>
        <w:spacing w:before="200" w:after="120"/>
        <w:ind w:left="1980" w:hanging="1980"/>
        <w:jc w:val="both"/>
        <w:rPr>
          <w:b/>
          <w:bCs/>
          <w:sz w:val="16"/>
          <w:szCs w:val="16"/>
          <w:lang w:val="en-GB"/>
        </w:rPr>
      </w:pPr>
      <w:bookmarkStart w:id="365" w:name="_Ref57391270"/>
      <w:r w:rsidRPr="0026404C">
        <w:rPr>
          <w:b/>
          <w:bCs/>
          <w:lang w:val="en-GB"/>
        </w:rPr>
        <w:t xml:space="preserve">Table </w:t>
      </w:r>
      <w:r w:rsidRPr="0026404C">
        <w:rPr>
          <w:b/>
          <w:bCs/>
          <w:lang w:val="en-GB"/>
        </w:rPr>
        <w:fldChar w:fldCharType="begin"/>
      </w:r>
      <w:r w:rsidRPr="0026404C">
        <w:rPr>
          <w:b/>
          <w:bCs/>
          <w:lang w:val="en-GB"/>
        </w:rPr>
        <w:instrText xml:space="preserve"> STYLEREF 2 \s </w:instrText>
      </w:r>
      <w:r w:rsidRPr="0026404C">
        <w:rPr>
          <w:b/>
          <w:bCs/>
          <w:lang w:val="en-GB"/>
        </w:rPr>
        <w:fldChar w:fldCharType="separate"/>
      </w:r>
      <w:r w:rsidR="00662F32">
        <w:rPr>
          <w:b/>
          <w:bCs/>
          <w:noProof/>
          <w:lang w:val="en-GB"/>
        </w:rPr>
        <w:t>9.3</w:t>
      </w:r>
      <w:r w:rsidRPr="0026404C">
        <w:rPr>
          <w:b/>
          <w:bCs/>
          <w:lang w:val="en-GB"/>
        </w:rPr>
        <w:fldChar w:fldCharType="end"/>
      </w:r>
      <w:r w:rsidRPr="0026404C">
        <w:rPr>
          <w:b/>
          <w:bCs/>
          <w:lang w:val="en-GB"/>
        </w:rPr>
        <w:noBreakHyphen/>
      </w:r>
      <w:r w:rsidRPr="0026404C">
        <w:rPr>
          <w:b/>
          <w:bCs/>
          <w:lang w:val="en-GB"/>
        </w:rPr>
        <w:fldChar w:fldCharType="begin"/>
      </w:r>
      <w:r w:rsidRPr="0026404C">
        <w:rPr>
          <w:b/>
          <w:bCs/>
          <w:lang w:val="en-GB"/>
        </w:rPr>
        <w:instrText xml:space="preserve"> SEQ Table \* ARABIC \s 2 </w:instrText>
      </w:r>
      <w:r w:rsidRPr="0026404C">
        <w:rPr>
          <w:b/>
          <w:bCs/>
          <w:lang w:val="en-GB"/>
        </w:rPr>
        <w:fldChar w:fldCharType="separate"/>
      </w:r>
      <w:r w:rsidR="00662F32">
        <w:rPr>
          <w:b/>
          <w:bCs/>
          <w:noProof/>
          <w:lang w:val="en-GB"/>
        </w:rPr>
        <w:t>11</w:t>
      </w:r>
      <w:r w:rsidRPr="0026404C">
        <w:rPr>
          <w:b/>
          <w:bCs/>
          <w:lang w:val="en-GB"/>
        </w:rPr>
        <w:fldChar w:fldCharType="end"/>
      </w:r>
      <w:bookmarkEnd w:id="365"/>
      <w:r w:rsidRPr="0026404C">
        <w:rPr>
          <w:b/>
          <w:bCs/>
          <w:lang w:val="en-GB"/>
        </w:rPr>
        <w:t xml:space="preserve">: </w:t>
      </w:r>
      <w:r w:rsidRPr="0026404C">
        <w:rPr>
          <w:b/>
          <w:bCs/>
          <w:lang w:val="en-GB"/>
        </w:rPr>
        <w:tab/>
        <w:t xml:space="preserve">Combined reproductive toxicity risk assessment for mammals </w:t>
      </w:r>
      <w:r>
        <w:rPr>
          <w:b/>
          <w:bCs/>
          <w:lang w:val="en-GB"/>
        </w:rPr>
        <w:t xml:space="preserve">due to the use of BAS 736 00 F </w:t>
      </w:r>
      <w:r w:rsidRPr="0026404C">
        <w:rPr>
          <w:b/>
          <w:bCs/>
          <w:lang w:val="en-GB"/>
        </w:rPr>
        <w:t>for the crop group “</w:t>
      </w:r>
      <w:r>
        <w:rPr>
          <w:b/>
          <w:bCs/>
          <w:lang w:val="en-GB"/>
        </w:rPr>
        <w:t>cereals</w:t>
      </w:r>
      <w:r w:rsidRPr="0026404C">
        <w:rPr>
          <w:b/>
          <w:bCs/>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1837"/>
        <w:gridCol w:w="2412"/>
        <w:gridCol w:w="1701"/>
        <w:gridCol w:w="1419"/>
        <w:gridCol w:w="1114"/>
        <w:gridCol w:w="864"/>
      </w:tblGrid>
      <w:tr w:rsidR="00E51CDD" w:rsidRPr="0026404C" w14:paraId="151510F1" w14:textId="77777777" w:rsidTr="009938D9">
        <w:trPr>
          <w:cantSplit/>
          <w:trHeight w:val="579"/>
          <w:tblHeader/>
        </w:trPr>
        <w:tc>
          <w:tcPr>
            <w:tcW w:w="2273" w:type="pct"/>
            <w:gridSpan w:val="2"/>
            <w:tcBorders>
              <w:bottom w:val="single" w:sz="4" w:space="0" w:color="auto"/>
            </w:tcBorders>
            <w:vAlign w:val="center"/>
          </w:tcPr>
          <w:p w14:paraId="73382DBF" w14:textId="77777777" w:rsidR="00E51CDD" w:rsidRPr="0026404C" w:rsidRDefault="00E51CDD" w:rsidP="009938D9">
            <w:pPr>
              <w:keepNext/>
              <w:keepLines/>
              <w:jc w:val="center"/>
              <w:rPr>
                <w:b/>
                <w:bCs/>
                <w:sz w:val="18"/>
                <w:szCs w:val="18"/>
              </w:rPr>
            </w:pPr>
            <w:r w:rsidRPr="0026404C">
              <w:rPr>
                <w:b/>
                <w:bCs/>
                <w:sz w:val="18"/>
                <w:szCs w:val="18"/>
              </w:rPr>
              <w:t>Crop scenario and/or indicator species</w:t>
            </w:r>
          </w:p>
        </w:tc>
        <w:tc>
          <w:tcPr>
            <w:tcW w:w="910" w:type="pct"/>
            <w:tcBorders>
              <w:bottom w:val="single" w:sz="4" w:space="0" w:color="auto"/>
            </w:tcBorders>
            <w:vAlign w:val="center"/>
          </w:tcPr>
          <w:p w14:paraId="4D3FFC8F" w14:textId="77777777" w:rsidR="00E51CDD" w:rsidRPr="0026404C" w:rsidRDefault="00E51CDD" w:rsidP="009938D9">
            <w:pPr>
              <w:keepNext/>
              <w:jc w:val="center"/>
              <w:rPr>
                <w:b/>
                <w:bCs/>
                <w:sz w:val="18"/>
                <w:szCs w:val="18"/>
              </w:rPr>
            </w:pPr>
            <w:r w:rsidRPr="0026404C">
              <w:rPr>
                <w:b/>
                <w:bCs/>
                <w:sz w:val="18"/>
                <w:szCs w:val="18"/>
              </w:rPr>
              <w:t>TER</w:t>
            </w:r>
            <w:r w:rsidRPr="0026404C">
              <w:rPr>
                <w:b/>
                <w:bCs/>
                <w:sz w:val="18"/>
                <w:szCs w:val="18"/>
                <w:vertAlign w:val="subscript"/>
              </w:rPr>
              <w:t>LT</w:t>
            </w:r>
            <w:r w:rsidRPr="0026404C">
              <w:rPr>
                <w:b/>
                <w:bCs/>
                <w:sz w:val="18"/>
                <w:szCs w:val="18"/>
              </w:rPr>
              <w:t> </w:t>
            </w:r>
            <w:r w:rsidRPr="0026404C">
              <w:rPr>
                <w:b/>
                <w:bCs/>
                <w:sz w:val="18"/>
                <w:szCs w:val="18"/>
                <w:vertAlign w:val="superscript"/>
              </w:rPr>
              <w:t>1)</w:t>
            </w:r>
          </w:p>
          <w:p w14:paraId="2AC8E3AD" w14:textId="77777777" w:rsidR="00E51CDD" w:rsidRPr="0026404C" w:rsidRDefault="00E51CDD" w:rsidP="009938D9">
            <w:pPr>
              <w:keepNext/>
              <w:jc w:val="center"/>
              <w:rPr>
                <w:b/>
                <w:bCs/>
                <w:sz w:val="18"/>
                <w:szCs w:val="18"/>
              </w:rPr>
            </w:pPr>
            <w:r w:rsidRPr="0026404C">
              <w:rPr>
                <w:b/>
                <w:bCs/>
                <w:sz w:val="18"/>
                <w:szCs w:val="18"/>
              </w:rPr>
              <w:t>fluxapyroxad</w:t>
            </w:r>
          </w:p>
        </w:tc>
        <w:tc>
          <w:tcPr>
            <w:tcW w:w="759" w:type="pct"/>
            <w:tcBorders>
              <w:bottom w:val="single" w:sz="4" w:space="0" w:color="auto"/>
            </w:tcBorders>
            <w:vAlign w:val="center"/>
          </w:tcPr>
          <w:p w14:paraId="77D322A2" w14:textId="77777777" w:rsidR="00E51CDD" w:rsidRPr="0026404C" w:rsidRDefault="00E51CDD" w:rsidP="009938D9">
            <w:pPr>
              <w:keepNext/>
              <w:jc w:val="center"/>
              <w:rPr>
                <w:b/>
                <w:bCs/>
                <w:sz w:val="18"/>
                <w:szCs w:val="18"/>
              </w:rPr>
            </w:pPr>
            <w:r w:rsidRPr="0026404C">
              <w:rPr>
                <w:b/>
                <w:bCs/>
                <w:sz w:val="18"/>
                <w:szCs w:val="18"/>
              </w:rPr>
              <w:t>TER</w:t>
            </w:r>
            <w:r w:rsidRPr="0026404C">
              <w:rPr>
                <w:b/>
                <w:bCs/>
                <w:sz w:val="18"/>
                <w:szCs w:val="18"/>
                <w:vertAlign w:val="subscript"/>
              </w:rPr>
              <w:t>LT</w:t>
            </w:r>
            <w:r w:rsidRPr="0026404C">
              <w:rPr>
                <w:b/>
                <w:bCs/>
                <w:sz w:val="18"/>
                <w:szCs w:val="18"/>
              </w:rPr>
              <w:t> </w:t>
            </w:r>
            <w:r w:rsidRPr="0026404C">
              <w:rPr>
                <w:b/>
                <w:bCs/>
                <w:sz w:val="18"/>
                <w:szCs w:val="18"/>
                <w:vertAlign w:val="superscript"/>
              </w:rPr>
              <w:t>1)</w:t>
            </w:r>
          </w:p>
          <w:p w14:paraId="79E4A94B" w14:textId="77777777" w:rsidR="00E51CDD" w:rsidRPr="0026404C" w:rsidRDefault="00E51CDD" w:rsidP="009938D9">
            <w:pPr>
              <w:keepNext/>
              <w:jc w:val="center"/>
              <w:rPr>
                <w:b/>
                <w:bCs/>
                <w:sz w:val="18"/>
                <w:szCs w:val="18"/>
              </w:rPr>
            </w:pPr>
            <w:r>
              <w:rPr>
                <w:b/>
                <w:bCs/>
                <w:sz w:val="18"/>
                <w:szCs w:val="18"/>
              </w:rPr>
              <w:t>azoxystrobin</w:t>
            </w:r>
          </w:p>
        </w:tc>
        <w:tc>
          <w:tcPr>
            <w:tcW w:w="596" w:type="pct"/>
            <w:tcBorders>
              <w:bottom w:val="single" w:sz="4" w:space="0" w:color="auto"/>
            </w:tcBorders>
            <w:vAlign w:val="center"/>
          </w:tcPr>
          <w:p w14:paraId="543F999B" w14:textId="77777777" w:rsidR="00E51CDD" w:rsidRPr="0026404C" w:rsidRDefault="00E51CDD" w:rsidP="009938D9">
            <w:pPr>
              <w:keepNext/>
              <w:keepLines/>
              <w:jc w:val="center"/>
              <w:rPr>
                <w:b/>
                <w:bCs/>
                <w:sz w:val="18"/>
                <w:szCs w:val="18"/>
              </w:rPr>
            </w:pPr>
            <w:r w:rsidRPr="0026404C">
              <w:rPr>
                <w:b/>
                <w:bCs/>
                <w:sz w:val="18"/>
                <w:szCs w:val="18"/>
              </w:rPr>
              <w:t>TER</w:t>
            </w:r>
            <w:r w:rsidRPr="0026404C">
              <w:rPr>
                <w:b/>
                <w:bCs/>
                <w:sz w:val="18"/>
                <w:szCs w:val="18"/>
                <w:vertAlign w:val="subscript"/>
              </w:rPr>
              <w:t>LT combi</w:t>
            </w:r>
          </w:p>
        </w:tc>
        <w:tc>
          <w:tcPr>
            <w:tcW w:w="462" w:type="pct"/>
            <w:tcBorders>
              <w:bottom w:val="single" w:sz="4" w:space="0" w:color="auto"/>
            </w:tcBorders>
            <w:vAlign w:val="center"/>
          </w:tcPr>
          <w:p w14:paraId="26F4B6C9" w14:textId="77777777" w:rsidR="00E51CDD" w:rsidRPr="0026404C" w:rsidRDefault="00E51CDD" w:rsidP="009938D9">
            <w:pPr>
              <w:keepNext/>
              <w:keepLines/>
              <w:jc w:val="center"/>
              <w:rPr>
                <w:b/>
                <w:bCs/>
                <w:sz w:val="18"/>
                <w:szCs w:val="18"/>
              </w:rPr>
            </w:pPr>
            <w:r w:rsidRPr="0026404C">
              <w:rPr>
                <w:b/>
                <w:bCs/>
                <w:sz w:val="18"/>
                <w:szCs w:val="18"/>
              </w:rPr>
              <w:t>Trigger</w:t>
            </w:r>
          </w:p>
        </w:tc>
      </w:tr>
      <w:tr w:rsidR="00E51CDD" w:rsidRPr="0026404C" w14:paraId="47AD3E3F" w14:textId="77777777" w:rsidTr="009938D9">
        <w:trPr>
          <w:cantSplit/>
          <w:trHeight w:val="300"/>
        </w:trPr>
        <w:tc>
          <w:tcPr>
            <w:tcW w:w="5000" w:type="pct"/>
            <w:gridSpan w:val="6"/>
            <w:vAlign w:val="center"/>
          </w:tcPr>
          <w:p w14:paraId="6437B1CF" w14:textId="77777777" w:rsidR="00E51CDD" w:rsidRPr="0026404C" w:rsidRDefault="00E51CDD" w:rsidP="009938D9">
            <w:pPr>
              <w:keepNext/>
              <w:keepLines/>
              <w:rPr>
                <w:noProof/>
                <w:sz w:val="18"/>
                <w:szCs w:val="18"/>
                <w:lang w:eastAsia="zh-CN"/>
              </w:rPr>
            </w:pPr>
            <w:r w:rsidRPr="0026404C">
              <w:rPr>
                <w:b/>
                <w:noProof/>
                <w:sz w:val="18"/>
                <w:szCs w:val="18"/>
              </w:rPr>
              <w:t>Reproductive (screening step)</w:t>
            </w:r>
          </w:p>
        </w:tc>
      </w:tr>
      <w:tr w:rsidR="00E51CDD" w:rsidRPr="0026404C" w14:paraId="6729D852" w14:textId="77777777" w:rsidTr="009938D9">
        <w:trPr>
          <w:cantSplit/>
        </w:trPr>
        <w:tc>
          <w:tcPr>
            <w:tcW w:w="983" w:type="pct"/>
            <w:shd w:val="clear" w:color="auto" w:fill="auto"/>
            <w:vAlign w:val="center"/>
          </w:tcPr>
          <w:p w14:paraId="5C39CDE1" w14:textId="77777777" w:rsidR="00E51CDD" w:rsidRPr="0026404C" w:rsidRDefault="00E51CDD" w:rsidP="009938D9">
            <w:pPr>
              <w:keepNext/>
              <w:jc w:val="center"/>
              <w:rPr>
                <w:sz w:val="18"/>
                <w:szCs w:val="18"/>
              </w:rPr>
            </w:pPr>
            <w:r>
              <w:rPr>
                <w:sz w:val="18"/>
                <w:szCs w:val="18"/>
              </w:rPr>
              <w:t>Cereals</w:t>
            </w:r>
          </w:p>
        </w:tc>
        <w:tc>
          <w:tcPr>
            <w:tcW w:w="1290" w:type="pct"/>
            <w:shd w:val="clear" w:color="auto" w:fill="auto"/>
            <w:vAlign w:val="center"/>
          </w:tcPr>
          <w:p w14:paraId="309C0628" w14:textId="77777777" w:rsidR="00E51CDD" w:rsidRPr="0026404C" w:rsidRDefault="00E51CDD" w:rsidP="009938D9">
            <w:pPr>
              <w:keepNext/>
              <w:jc w:val="center"/>
              <w:rPr>
                <w:sz w:val="18"/>
                <w:szCs w:val="18"/>
              </w:rPr>
            </w:pPr>
            <w:r w:rsidRPr="0026404C">
              <w:rPr>
                <w:sz w:val="18"/>
                <w:szCs w:val="18"/>
              </w:rPr>
              <w:t>Small herbivorous mammal</w:t>
            </w:r>
          </w:p>
        </w:tc>
        <w:tc>
          <w:tcPr>
            <w:tcW w:w="910" w:type="pct"/>
            <w:shd w:val="clear" w:color="auto" w:fill="auto"/>
          </w:tcPr>
          <w:p w14:paraId="6CA50911" w14:textId="77777777" w:rsidR="00E51CDD" w:rsidRPr="0026404C" w:rsidRDefault="00E51CDD" w:rsidP="009938D9">
            <w:pPr>
              <w:keepNext/>
              <w:jc w:val="center"/>
              <w:rPr>
                <w:b/>
                <w:bCs/>
                <w:sz w:val="18"/>
                <w:szCs w:val="18"/>
              </w:rPr>
            </w:pPr>
            <w:r>
              <w:rPr>
                <w:b/>
                <w:bCs/>
                <w:sz w:val="18"/>
                <w:szCs w:val="18"/>
              </w:rPr>
              <w:t>3.3</w:t>
            </w:r>
          </w:p>
        </w:tc>
        <w:tc>
          <w:tcPr>
            <w:tcW w:w="759" w:type="pct"/>
          </w:tcPr>
          <w:p w14:paraId="1259B788" w14:textId="77777777" w:rsidR="00E51CDD" w:rsidRPr="0026404C" w:rsidRDefault="00E51CDD" w:rsidP="009938D9">
            <w:pPr>
              <w:keepNext/>
              <w:jc w:val="center"/>
              <w:rPr>
                <w:sz w:val="18"/>
                <w:szCs w:val="18"/>
              </w:rPr>
            </w:pPr>
            <w:r>
              <w:rPr>
                <w:sz w:val="18"/>
                <w:szCs w:val="18"/>
              </w:rPr>
              <w:t>6.9</w:t>
            </w:r>
          </w:p>
        </w:tc>
        <w:tc>
          <w:tcPr>
            <w:tcW w:w="596" w:type="pct"/>
            <w:vAlign w:val="center"/>
          </w:tcPr>
          <w:p w14:paraId="16E294AE" w14:textId="77777777" w:rsidR="00E51CDD" w:rsidRPr="0026404C" w:rsidRDefault="00E51CDD" w:rsidP="009938D9">
            <w:pPr>
              <w:keepNext/>
              <w:jc w:val="center"/>
              <w:rPr>
                <w:b/>
                <w:bCs/>
                <w:sz w:val="18"/>
                <w:szCs w:val="18"/>
              </w:rPr>
            </w:pPr>
            <w:r w:rsidRPr="0026404C">
              <w:rPr>
                <w:b/>
                <w:bCs/>
                <w:sz w:val="18"/>
                <w:szCs w:val="18"/>
              </w:rPr>
              <w:t>2.</w:t>
            </w:r>
            <w:r>
              <w:rPr>
                <w:b/>
                <w:bCs/>
                <w:sz w:val="18"/>
                <w:szCs w:val="18"/>
              </w:rPr>
              <w:t>2</w:t>
            </w:r>
          </w:p>
        </w:tc>
        <w:tc>
          <w:tcPr>
            <w:tcW w:w="462" w:type="pct"/>
            <w:vAlign w:val="center"/>
          </w:tcPr>
          <w:p w14:paraId="0D6E9A80" w14:textId="77777777" w:rsidR="00E51CDD" w:rsidRPr="0026404C" w:rsidRDefault="00E51CDD" w:rsidP="009938D9">
            <w:pPr>
              <w:keepNext/>
              <w:jc w:val="center"/>
              <w:rPr>
                <w:sz w:val="18"/>
                <w:szCs w:val="18"/>
              </w:rPr>
            </w:pPr>
            <w:r w:rsidRPr="0026404C">
              <w:rPr>
                <w:sz w:val="18"/>
                <w:szCs w:val="18"/>
              </w:rPr>
              <w:t>5</w:t>
            </w:r>
          </w:p>
        </w:tc>
      </w:tr>
      <w:tr w:rsidR="00E51CDD" w:rsidRPr="0026404C" w14:paraId="3CA58BD2" w14:textId="77777777" w:rsidTr="009938D9">
        <w:trPr>
          <w:cantSplit/>
          <w:trHeight w:val="300"/>
        </w:trPr>
        <w:tc>
          <w:tcPr>
            <w:tcW w:w="5000" w:type="pct"/>
            <w:gridSpan w:val="6"/>
            <w:vAlign w:val="center"/>
          </w:tcPr>
          <w:p w14:paraId="4B5CA7FE" w14:textId="77777777" w:rsidR="00E51CDD" w:rsidRPr="0026404C" w:rsidRDefault="00E51CDD" w:rsidP="009938D9">
            <w:pPr>
              <w:keepNext/>
              <w:keepLines/>
              <w:rPr>
                <w:noProof/>
                <w:sz w:val="18"/>
                <w:szCs w:val="18"/>
                <w:vertAlign w:val="superscript"/>
                <w:lang w:val="fr-FR"/>
              </w:rPr>
            </w:pPr>
            <w:r w:rsidRPr="0026404C">
              <w:rPr>
                <w:b/>
                <w:noProof/>
                <w:sz w:val="18"/>
                <w:szCs w:val="18"/>
              </w:rPr>
              <w:t xml:space="preserve">Reproductive (tier 1) </w:t>
            </w:r>
            <w:r w:rsidRPr="0026404C">
              <w:rPr>
                <w:b/>
                <w:noProof/>
                <w:sz w:val="18"/>
                <w:szCs w:val="18"/>
                <w:vertAlign w:val="superscript"/>
              </w:rPr>
              <w:t>1)</w:t>
            </w:r>
          </w:p>
        </w:tc>
      </w:tr>
      <w:tr w:rsidR="00E51CDD" w:rsidRPr="0026404C" w14:paraId="44775910" w14:textId="77777777" w:rsidTr="009938D9">
        <w:trPr>
          <w:cantSplit/>
        </w:trPr>
        <w:tc>
          <w:tcPr>
            <w:tcW w:w="983" w:type="pct"/>
            <w:shd w:val="clear" w:color="auto" w:fill="auto"/>
          </w:tcPr>
          <w:p w14:paraId="35F1DB3F" w14:textId="77777777" w:rsidR="00E51CDD" w:rsidRPr="006D1199" w:rsidRDefault="00E51CDD" w:rsidP="009938D9">
            <w:pPr>
              <w:keepNext/>
              <w:jc w:val="center"/>
              <w:rPr>
                <w:sz w:val="18"/>
                <w:szCs w:val="18"/>
              </w:rPr>
            </w:pPr>
            <w:r w:rsidRPr="006D1199">
              <w:rPr>
                <w:color w:val="000000"/>
                <w:sz w:val="18"/>
                <w:szCs w:val="18"/>
              </w:rPr>
              <w:t>Cereals BBCH ≥ 20</w:t>
            </w:r>
          </w:p>
        </w:tc>
        <w:tc>
          <w:tcPr>
            <w:tcW w:w="1290" w:type="pct"/>
            <w:shd w:val="clear" w:color="auto" w:fill="auto"/>
          </w:tcPr>
          <w:p w14:paraId="1A74BF34" w14:textId="77777777" w:rsidR="00E51CDD" w:rsidRPr="006D1199" w:rsidRDefault="00E51CDD" w:rsidP="009938D9">
            <w:pPr>
              <w:keepNext/>
              <w:jc w:val="center"/>
              <w:rPr>
                <w:sz w:val="18"/>
                <w:szCs w:val="18"/>
              </w:rPr>
            </w:pPr>
            <w:r w:rsidRPr="006D1199">
              <w:rPr>
                <w:color w:val="000000"/>
                <w:sz w:val="18"/>
                <w:szCs w:val="18"/>
              </w:rPr>
              <w:t xml:space="preserve">Small insectivorous mammal </w:t>
            </w:r>
            <w:r>
              <w:rPr>
                <w:color w:val="000000"/>
                <w:sz w:val="18"/>
                <w:szCs w:val="18"/>
              </w:rPr>
              <w:t>“</w:t>
            </w:r>
            <w:r w:rsidRPr="006D1199">
              <w:rPr>
                <w:color w:val="000000"/>
                <w:sz w:val="18"/>
                <w:szCs w:val="18"/>
              </w:rPr>
              <w:t>shrew</w:t>
            </w:r>
            <w:r>
              <w:rPr>
                <w:color w:val="000000"/>
                <w:sz w:val="18"/>
                <w:szCs w:val="18"/>
              </w:rPr>
              <w:t>”</w:t>
            </w:r>
            <w:r w:rsidRPr="006D1199">
              <w:rPr>
                <w:color w:val="000000"/>
                <w:sz w:val="18"/>
                <w:szCs w:val="18"/>
              </w:rPr>
              <w:t xml:space="preserve"> </w:t>
            </w:r>
          </w:p>
        </w:tc>
        <w:tc>
          <w:tcPr>
            <w:tcW w:w="910" w:type="pct"/>
            <w:shd w:val="clear" w:color="auto" w:fill="auto"/>
            <w:vAlign w:val="center"/>
          </w:tcPr>
          <w:p w14:paraId="0BD7F407" w14:textId="77777777" w:rsidR="00E51CDD" w:rsidRPr="0026404C" w:rsidRDefault="00E51CDD" w:rsidP="009938D9">
            <w:pPr>
              <w:keepNext/>
              <w:jc w:val="center"/>
              <w:rPr>
                <w:sz w:val="18"/>
                <w:szCs w:val="18"/>
              </w:rPr>
            </w:pPr>
            <w:r>
              <w:rPr>
                <w:sz w:val="18"/>
                <w:szCs w:val="18"/>
              </w:rPr>
              <w:t>82.8</w:t>
            </w:r>
          </w:p>
        </w:tc>
        <w:tc>
          <w:tcPr>
            <w:tcW w:w="759" w:type="pct"/>
            <w:vAlign w:val="center"/>
          </w:tcPr>
          <w:p w14:paraId="76B9649D" w14:textId="77777777" w:rsidR="00E51CDD" w:rsidRPr="0026404C" w:rsidRDefault="00E51CDD" w:rsidP="009938D9">
            <w:pPr>
              <w:keepNext/>
              <w:jc w:val="center"/>
              <w:rPr>
                <w:sz w:val="18"/>
                <w:szCs w:val="18"/>
              </w:rPr>
            </w:pPr>
            <w:r>
              <w:rPr>
                <w:sz w:val="18"/>
                <w:szCs w:val="18"/>
              </w:rPr>
              <w:t>176.5</w:t>
            </w:r>
          </w:p>
        </w:tc>
        <w:tc>
          <w:tcPr>
            <w:tcW w:w="596" w:type="pct"/>
            <w:vAlign w:val="center"/>
          </w:tcPr>
          <w:p w14:paraId="4155E474" w14:textId="77777777" w:rsidR="00E51CDD" w:rsidRPr="0026404C" w:rsidRDefault="00E51CDD" w:rsidP="009938D9">
            <w:pPr>
              <w:keepNext/>
              <w:jc w:val="center"/>
              <w:rPr>
                <w:sz w:val="18"/>
                <w:szCs w:val="18"/>
              </w:rPr>
            </w:pPr>
            <w:r>
              <w:rPr>
                <w:sz w:val="18"/>
                <w:szCs w:val="18"/>
              </w:rPr>
              <w:t>56.4</w:t>
            </w:r>
          </w:p>
        </w:tc>
        <w:tc>
          <w:tcPr>
            <w:tcW w:w="462" w:type="pct"/>
            <w:vAlign w:val="center"/>
          </w:tcPr>
          <w:p w14:paraId="172A1514" w14:textId="77777777" w:rsidR="00E51CDD" w:rsidRPr="0026404C" w:rsidRDefault="00E51CDD" w:rsidP="009938D9">
            <w:pPr>
              <w:keepNext/>
              <w:jc w:val="center"/>
              <w:rPr>
                <w:sz w:val="18"/>
                <w:szCs w:val="18"/>
              </w:rPr>
            </w:pPr>
            <w:r w:rsidRPr="0026404C">
              <w:rPr>
                <w:sz w:val="18"/>
                <w:szCs w:val="18"/>
              </w:rPr>
              <w:t>5</w:t>
            </w:r>
          </w:p>
        </w:tc>
      </w:tr>
      <w:tr w:rsidR="00E51CDD" w:rsidRPr="0026404C" w14:paraId="6C36F3BC" w14:textId="77777777" w:rsidTr="009938D9">
        <w:trPr>
          <w:cantSplit/>
          <w:trHeight w:val="105"/>
        </w:trPr>
        <w:tc>
          <w:tcPr>
            <w:tcW w:w="983" w:type="pct"/>
            <w:shd w:val="clear" w:color="auto" w:fill="auto"/>
          </w:tcPr>
          <w:p w14:paraId="31A08884" w14:textId="77777777" w:rsidR="00E51CDD" w:rsidRPr="006D1199" w:rsidRDefault="00E51CDD" w:rsidP="009938D9">
            <w:pPr>
              <w:keepNext/>
              <w:jc w:val="center"/>
              <w:rPr>
                <w:sz w:val="18"/>
                <w:szCs w:val="18"/>
              </w:rPr>
            </w:pPr>
            <w:r w:rsidRPr="006D1199">
              <w:rPr>
                <w:color w:val="000000"/>
                <w:sz w:val="18"/>
                <w:szCs w:val="18"/>
              </w:rPr>
              <w:t>Cereals BBCH 30 - 39</w:t>
            </w:r>
          </w:p>
        </w:tc>
        <w:tc>
          <w:tcPr>
            <w:tcW w:w="1290" w:type="pct"/>
            <w:shd w:val="clear" w:color="auto" w:fill="auto"/>
          </w:tcPr>
          <w:p w14:paraId="76A1F14A" w14:textId="77777777" w:rsidR="00E51CDD" w:rsidRPr="006D1199" w:rsidRDefault="00E51CDD" w:rsidP="009938D9">
            <w:pPr>
              <w:keepNext/>
              <w:jc w:val="center"/>
              <w:rPr>
                <w:sz w:val="18"/>
                <w:szCs w:val="18"/>
              </w:rPr>
            </w:pPr>
            <w:r w:rsidRPr="006D1199">
              <w:rPr>
                <w:color w:val="000000"/>
                <w:sz w:val="18"/>
                <w:szCs w:val="18"/>
              </w:rPr>
              <w:t>Small omnivorous mammal “mouse</w:t>
            </w:r>
            <w:r>
              <w:rPr>
                <w:color w:val="000000"/>
                <w:sz w:val="18"/>
                <w:szCs w:val="18"/>
              </w:rPr>
              <w:t>”</w:t>
            </w:r>
          </w:p>
        </w:tc>
        <w:tc>
          <w:tcPr>
            <w:tcW w:w="910" w:type="pct"/>
            <w:shd w:val="clear" w:color="auto" w:fill="auto"/>
            <w:vAlign w:val="center"/>
          </w:tcPr>
          <w:p w14:paraId="3DB28CB5" w14:textId="77777777" w:rsidR="00E51CDD" w:rsidRPr="0026404C" w:rsidRDefault="00E51CDD" w:rsidP="009938D9">
            <w:pPr>
              <w:keepNext/>
              <w:jc w:val="center"/>
              <w:rPr>
                <w:sz w:val="18"/>
                <w:szCs w:val="18"/>
              </w:rPr>
            </w:pPr>
            <w:r>
              <w:rPr>
                <w:sz w:val="18"/>
                <w:szCs w:val="18"/>
              </w:rPr>
              <w:t>40.3</w:t>
            </w:r>
          </w:p>
        </w:tc>
        <w:tc>
          <w:tcPr>
            <w:tcW w:w="759" w:type="pct"/>
            <w:vAlign w:val="center"/>
          </w:tcPr>
          <w:p w14:paraId="05CCDA18" w14:textId="77777777" w:rsidR="00E51CDD" w:rsidRPr="0026404C" w:rsidRDefault="00E51CDD" w:rsidP="009938D9">
            <w:pPr>
              <w:keepNext/>
              <w:jc w:val="center"/>
              <w:rPr>
                <w:sz w:val="18"/>
                <w:szCs w:val="18"/>
              </w:rPr>
            </w:pPr>
            <w:r>
              <w:rPr>
                <w:sz w:val="18"/>
                <w:szCs w:val="18"/>
              </w:rPr>
              <w:t>86.0</w:t>
            </w:r>
          </w:p>
        </w:tc>
        <w:tc>
          <w:tcPr>
            <w:tcW w:w="596" w:type="pct"/>
            <w:vAlign w:val="center"/>
          </w:tcPr>
          <w:p w14:paraId="1ED77222" w14:textId="77777777" w:rsidR="00E51CDD" w:rsidRPr="0026404C" w:rsidRDefault="00E51CDD" w:rsidP="009938D9">
            <w:pPr>
              <w:keepNext/>
              <w:jc w:val="center"/>
              <w:rPr>
                <w:sz w:val="18"/>
                <w:szCs w:val="18"/>
              </w:rPr>
            </w:pPr>
            <w:r>
              <w:rPr>
                <w:sz w:val="18"/>
                <w:szCs w:val="18"/>
              </w:rPr>
              <w:t>27.4</w:t>
            </w:r>
          </w:p>
        </w:tc>
        <w:tc>
          <w:tcPr>
            <w:tcW w:w="462" w:type="pct"/>
            <w:vAlign w:val="center"/>
          </w:tcPr>
          <w:p w14:paraId="4A424AA8" w14:textId="77777777" w:rsidR="00E51CDD" w:rsidRPr="0026404C" w:rsidRDefault="00E51CDD" w:rsidP="009938D9">
            <w:pPr>
              <w:keepNext/>
              <w:jc w:val="center"/>
              <w:rPr>
                <w:sz w:val="18"/>
                <w:szCs w:val="18"/>
              </w:rPr>
            </w:pPr>
            <w:r w:rsidRPr="0026404C">
              <w:rPr>
                <w:sz w:val="18"/>
                <w:szCs w:val="18"/>
              </w:rPr>
              <w:t>5</w:t>
            </w:r>
          </w:p>
        </w:tc>
      </w:tr>
      <w:tr w:rsidR="00E51CDD" w:rsidRPr="0026404C" w14:paraId="1F154D75" w14:textId="77777777" w:rsidTr="009938D9">
        <w:trPr>
          <w:cantSplit/>
          <w:trHeight w:val="216"/>
        </w:trPr>
        <w:tc>
          <w:tcPr>
            <w:tcW w:w="983" w:type="pct"/>
            <w:tcBorders>
              <w:bottom w:val="single" w:sz="4" w:space="0" w:color="auto"/>
            </w:tcBorders>
            <w:shd w:val="clear" w:color="auto" w:fill="auto"/>
          </w:tcPr>
          <w:p w14:paraId="133151EF" w14:textId="77777777" w:rsidR="00E51CDD" w:rsidRPr="008574D2" w:rsidRDefault="00E51CDD" w:rsidP="009938D9">
            <w:pPr>
              <w:keepNext/>
              <w:jc w:val="center"/>
              <w:rPr>
                <w:color w:val="000000" w:themeColor="text1"/>
                <w:sz w:val="18"/>
                <w:szCs w:val="18"/>
              </w:rPr>
            </w:pPr>
            <w:r w:rsidRPr="008574D2">
              <w:rPr>
                <w:color w:val="000000" w:themeColor="text1"/>
                <w:sz w:val="18"/>
                <w:szCs w:val="18"/>
              </w:rPr>
              <w:t>Cereals BBCH ≥ 40</w:t>
            </w:r>
          </w:p>
        </w:tc>
        <w:tc>
          <w:tcPr>
            <w:tcW w:w="1290" w:type="pct"/>
            <w:tcBorders>
              <w:bottom w:val="single" w:sz="4" w:space="0" w:color="auto"/>
            </w:tcBorders>
            <w:shd w:val="clear" w:color="auto" w:fill="auto"/>
          </w:tcPr>
          <w:p w14:paraId="6621012F" w14:textId="77777777" w:rsidR="00E51CDD" w:rsidRPr="008574D2" w:rsidRDefault="00E51CDD" w:rsidP="009938D9">
            <w:pPr>
              <w:keepNext/>
              <w:jc w:val="center"/>
              <w:rPr>
                <w:color w:val="000000" w:themeColor="text1"/>
                <w:sz w:val="18"/>
                <w:szCs w:val="18"/>
              </w:rPr>
            </w:pPr>
            <w:r w:rsidRPr="008574D2">
              <w:rPr>
                <w:color w:val="000000" w:themeColor="text1"/>
                <w:sz w:val="18"/>
                <w:szCs w:val="18"/>
              </w:rPr>
              <w:t>Small herbivorous mammal “vole”</w:t>
            </w:r>
          </w:p>
        </w:tc>
        <w:tc>
          <w:tcPr>
            <w:tcW w:w="910" w:type="pct"/>
            <w:tcBorders>
              <w:bottom w:val="single" w:sz="4" w:space="0" w:color="auto"/>
            </w:tcBorders>
            <w:shd w:val="clear" w:color="auto" w:fill="auto"/>
            <w:vAlign w:val="center"/>
          </w:tcPr>
          <w:p w14:paraId="1B374D3B" w14:textId="77777777" w:rsidR="00E51CDD" w:rsidRPr="008574D2" w:rsidRDefault="00E51CDD" w:rsidP="009938D9">
            <w:pPr>
              <w:keepNext/>
              <w:jc w:val="center"/>
              <w:rPr>
                <w:color w:val="000000" w:themeColor="text1"/>
                <w:sz w:val="18"/>
                <w:szCs w:val="18"/>
              </w:rPr>
            </w:pPr>
            <w:r w:rsidRPr="008574D2">
              <w:rPr>
                <w:color w:val="000000" w:themeColor="text1"/>
                <w:sz w:val="18"/>
                <w:szCs w:val="18"/>
              </w:rPr>
              <w:t>7.2</w:t>
            </w:r>
          </w:p>
        </w:tc>
        <w:tc>
          <w:tcPr>
            <w:tcW w:w="759" w:type="pct"/>
            <w:tcBorders>
              <w:bottom w:val="single" w:sz="4" w:space="0" w:color="auto"/>
            </w:tcBorders>
            <w:vAlign w:val="center"/>
          </w:tcPr>
          <w:p w14:paraId="339A8C27" w14:textId="77777777" w:rsidR="00E51CDD" w:rsidRPr="008574D2" w:rsidRDefault="00E51CDD" w:rsidP="009938D9">
            <w:pPr>
              <w:keepNext/>
              <w:jc w:val="center"/>
              <w:rPr>
                <w:color w:val="000000" w:themeColor="text1"/>
                <w:sz w:val="18"/>
                <w:szCs w:val="18"/>
              </w:rPr>
            </w:pPr>
            <w:r w:rsidRPr="008574D2">
              <w:rPr>
                <w:color w:val="000000" w:themeColor="text1"/>
                <w:sz w:val="18"/>
                <w:szCs w:val="18"/>
              </w:rPr>
              <w:t>15.5</w:t>
            </w:r>
          </w:p>
        </w:tc>
        <w:tc>
          <w:tcPr>
            <w:tcW w:w="596" w:type="pct"/>
            <w:tcBorders>
              <w:bottom w:val="single" w:sz="4" w:space="0" w:color="auto"/>
            </w:tcBorders>
            <w:vAlign w:val="center"/>
          </w:tcPr>
          <w:p w14:paraId="4AFF8517" w14:textId="77777777" w:rsidR="00E51CDD" w:rsidRPr="008574D2" w:rsidRDefault="00E51CDD" w:rsidP="009938D9">
            <w:pPr>
              <w:keepNext/>
              <w:jc w:val="center"/>
              <w:rPr>
                <w:b/>
                <w:bCs/>
                <w:color w:val="000000" w:themeColor="text1"/>
                <w:sz w:val="18"/>
                <w:szCs w:val="18"/>
              </w:rPr>
            </w:pPr>
            <w:r w:rsidRPr="008574D2">
              <w:rPr>
                <w:b/>
                <w:bCs/>
                <w:color w:val="000000" w:themeColor="text1"/>
                <w:sz w:val="18"/>
                <w:szCs w:val="18"/>
              </w:rPr>
              <w:t>4.9</w:t>
            </w:r>
          </w:p>
        </w:tc>
        <w:tc>
          <w:tcPr>
            <w:tcW w:w="462" w:type="pct"/>
            <w:tcBorders>
              <w:bottom w:val="single" w:sz="4" w:space="0" w:color="auto"/>
            </w:tcBorders>
            <w:vAlign w:val="center"/>
          </w:tcPr>
          <w:p w14:paraId="47A1A3CA" w14:textId="77777777" w:rsidR="00E51CDD" w:rsidRPr="008574D2" w:rsidRDefault="00E51CDD" w:rsidP="009938D9">
            <w:pPr>
              <w:keepNext/>
              <w:jc w:val="center"/>
              <w:rPr>
                <w:color w:val="000000" w:themeColor="text1"/>
                <w:sz w:val="18"/>
                <w:szCs w:val="18"/>
              </w:rPr>
            </w:pPr>
            <w:r w:rsidRPr="008574D2">
              <w:rPr>
                <w:color w:val="000000" w:themeColor="text1"/>
                <w:sz w:val="18"/>
                <w:szCs w:val="18"/>
              </w:rPr>
              <w:t>5</w:t>
            </w:r>
          </w:p>
        </w:tc>
      </w:tr>
      <w:tr w:rsidR="00E51CDD" w:rsidRPr="0026404C" w14:paraId="6BA1CF14" w14:textId="77777777" w:rsidTr="009938D9">
        <w:trPr>
          <w:cantSplit/>
          <w:trHeight w:val="216"/>
        </w:trPr>
        <w:tc>
          <w:tcPr>
            <w:tcW w:w="983" w:type="pct"/>
            <w:tcBorders>
              <w:top w:val="single" w:sz="4" w:space="0" w:color="auto"/>
              <w:left w:val="single" w:sz="4" w:space="0" w:color="auto"/>
              <w:bottom w:val="single" w:sz="4" w:space="0" w:color="auto"/>
              <w:right w:val="single" w:sz="4" w:space="0" w:color="auto"/>
            </w:tcBorders>
            <w:shd w:val="clear" w:color="auto" w:fill="auto"/>
          </w:tcPr>
          <w:p w14:paraId="0F494983" w14:textId="77777777" w:rsidR="00E51CDD" w:rsidRPr="006D1199" w:rsidRDefault="00E51CDD" w:rsidP="009938D9">
            <w:pPr>
              <w:keepNext/>
              <w:jc w:val="center"/>
              <w:rPr>
                <w:sz w:val="18"/>
                <w:szCs w:val="18"/>
              </w:rPr>
            </w:pPr>
            <w:r w:rsidRPr="006D1199">
              <w:rPr>
                <w:color w:val="000000"/>
                <w:sz w:val="18"/>
                <w:szCs w:val="18"/>
              </w:rPr>
              <w:t>Cereals BBCH ≥ 40</w:t>
            </w:r>
          </w:p>
        </w:tc>
        <w:tc>
          <w:tcPr>
            <w:tcW w:w="1290" w:type="pct"/>
            <w:tcBorders>
              <w:top w:val="single" w:sz="4" w:space="0" w:color="auto"/>
              <w:left w:val="single" w:sz="4" w:space="0" w:color="auto"/>
              <w:bottom w:val="single" w:sz="4" w:space="0" w:color="auto"/>
              <w:right w:val="single" w:sz="4" w:space="0" w:color="auto"/>
            </w:tcBorders>
            <w:shd w:val="clear" w:color="auto" w:fill="auto"/>
          </w:tcPr>
          <w:p w14:paraId="0995EF6C" w14:textId="77777777" w:rsidR="00E51CDD" w:rsidRPr="006D1199" w:rsidRDefault="00E51CDD" w:rsidP="009938D9">
            <w:pPr>
              <w:keepNext/>
              <w:jc w:val="center"/>
              <w:rPr>
                <w:sz w:val="18"/>
                <w:szCs w:val="18"/>
              </w:rPr>
            </w:pPr>
            <w:r w:rsidRPr="006D1199">
              <w:rPr>
                <w:color w:val="000000"/>
                <w:sz w:val="18"/>
                <w:szCs w:val="18"/>
              </w:rPr>
              <w:t xml:space="preserve">Small omnivorous mammal “mouse” </w:t>
            </w:r>
          </w:p>
        </w:tc>
        <w:tc>
          <w:tcPr>
            <w:tcW w:w="910" w:type="pct"/>
            <w:tcBorders>
              <w:top w:val="single" w:sz="4" w:space="0" w:color="auto"/>
              <w:left w:val="single" w:sz="4" w:space="0" w:color="auto"/>
              <w:bottom w:val="single" w:sz="4" w:space="0" w:color="auto"/>
              <w:right w:val="single" w:sz="4" w:space="0" w:color="auto"/>
            </w:tcBorders>
            <w:shd w:val="clear" w:color="auto" w:fill="auto"/>
            <w:vAlign w:val="center"/>
          </w:tcPr>
          <w:p w14:paraId="580ECAFD" w14:textId="77777777" w:rsidR="00E51CDD" w:rsidRPr="0026404C" w:rsidRDefault="00E51CDD" w:rsidP="009938D9">
            <w:pPr>
              <w:keepNext/>
              <w:jc w:val="center"/>
              <w:rPr>
                <w:sz w:val="18"/>
                <w:szCs w:val="18"/>
              </w:rPr>
            </w:pPr>
            <w:r>
              <w:rPr>
                <w:sz w:val="18"/>
                <w:szCs w:val="18"/>
              </w:rPr>
              <w:t>68.4</w:t>
            </w:r>
          </w:p>
        </w:tc>
        <w:tc>
          <w:tcPr>
            <w:tcW w:w="759" w:type="pct"/>
            <w:tcBorders>
              <w:top w:val="single" w:sz="4" w:space="0" w:color="auto"/>
              <w:left w:val="single" w:sz="4" w:space="0" w:color="auto"/>
              <w:bottom w:val="single" w:sz="4" w:space="0" w:color="auto"/>
              <w:right w:val="single" w:sz="4" w:space="0" w:color="auto"/>
            </w:tcBorders>
            <w:vAlign w:val="center"/>
          </w:tcPr>
          <w:p w14:paraId="4A8E340F" w14:textId="77777777" w:rsidR="00E51CDD" w:rsidRPr="0026404C" w:rsidRDefault="00E51CDD" w:rsidP="009938D9">
            <w:pPr>
              <w:keepNext/>
              <w:jc w:val="center"/>
              <w:rPr>
                <w:sz w:val="18"/>
                <w:szCs w:val="18"/>
              </w:rPr>
            </w:pPr>
            <w:r>
              <w:rPr>
                <w:sz w:val="18"/>
                <w:szCs w:val="18"/>
              </w:rPr>
              <w:t>145.8</w:t>
            </w:r>
          </w:p>
        </w:tc>
        <w:tc>
          <w:tcPr>
            <w:tcW w:w="596" w:type="pct"/>
            <w:tcBorders>
              <w:top w:val="single" w:sz="4" w:space="0" w:color="auto"/>
              <w:left w:val="single" w:sz="4" w:space="0" w:color="auto"/>
              <w:bottom w:val="single" w:sz="4" w:space="0" w:color="auto"/>
              <w:right w:val="single" w:sz="4" w:space="0" w:color="auto"/>
            </w:tcBorders>
            <w:vAlign w:val="center"/>
          </w:tcPr>
          <w:p w14:paraId="4C700FB8" w14:textId="77777777" w:rsidR="00E51CDD" w:rsidRPr="0026404C" w:rsidRDefault="00E51CDD" w:rsidP="009938D9">
            <w:pPr>
              <w:keepNext/>
              <w:jc w:val="center"/>
              <w:rPr>
                <w:sz w:val="18"/>
                <w:szCs w:val="18"/>
              </w:rPr>
            </w:pPr>
            <w:r>
              <w:rPr>
                <w:sz w:val="18"/>
                <w:szCs w:val="18"/>
              </w:rPr>
              <w:t>46.5</w:t>
            </w:r>
          </w:p>
        </w:tc>
        <w:tc>
          <w:tcPr>
            <w:tcW w:w="462" w:type="pct"/>
            <w:tcBorders>
              <w:top w:val="single" w:sz="4" w:space="0" w:color="auto"/>
              <w:left w:val="single" w:sz="4" w:space="0" w:color="auto"/>
              <w:bottom w:val="single" w:sz="4" w:space="0" w:color="auto"/>
              <w:right w:val="single" w:sz="4" w:space="0" w:color="auto"/>
            </w:tcBorders>
            <w:vAlign w:val="center"/>
          </w:tcPr>
          <w:p w14:paraId="0217F1BF" w14:textId="77777777" w:rsidR="00E51CDD" w:rsidRPr="0026404C" w:rsidRDefault="00E51CDD" w:rsidP="009938D9">
            <w:pPr>
              <w:keepNext/>
              <w:jc w:val="center"/>
              <w:rPr>
                <w:sz w:val="18"/>
                <w:szCs w:val="18"/>
              </w:rPr>
            </w:pPr>
            <w:r w:rsidRPr="0026404C">
              <w:rPr>
                <w:sz w:val="18"/>
                <w:szCs w:val="18"/>
              </w:rPr>
              <w:t>5</w:t>
            </w:r>
          </w:p>
        </w:tc>
      </w:tr>
    </w:tbl>
    <w:p w14:paraId="39920FEE" w14:textId="77777777" w:rsidR="00E51CDD" w:rsidRPr="008C45EC" w:rsidRDefault="00E51CDD" w:rsidP="00E51CDD">
      <w:pPr>
        <w:widowControl w:val="0"/>
        <w:suppressAutoHyphens/>
        <w:jc w:val="both"/>
        <w:rPr>
          <w:sz w:val="2"/>
          <w:szCs w:val="2"/>
        </w:rPr>
      </w:pPr>
    </w:p>
    <w:p w14:paraId="3379E9F7" w14:textId="77777777" w:rsidR="00E51CDD" w:rsidRPr="006D1199" w:rsidRDefault="00E51CDD" w:rsidP="00E51CDD">
      <w:pPr>
        <w:widowControl w:val="0"/>
        <w:suppressAutoHyphens/>
        <w:jc w:val="both"/>
        <w:rPr>
          <w:sz w:val="18"/>
          <w:szCs w:val="18"/>
        </w:rPr>
      </w:pPr>
      <w:r w:rsidRPr="006D1199">
        <w:rPr>
          <w:sz w:val="18"/>
          <w:szCs w:val="18"/>
        </w:rPr>
        <w:t xml:space="preserve">TER values shown in </w:t>
      </w:r>
      <w:r w:rsidRPr="008574D2">
        <w:rPr>
          <w:b/>
          <w:bCs/>
          <w:sz w:val="18"/>
          <w:szCs w:val="18"/>
        </w:rPr>
        <w:t>bold</w:t>
      </w:r>
      <w:r w:rsidRPr="006D1199">
        <w:rPr>
          <w:sz w:val="18"/>
          <w:szCs w:val="18"/>
        </w:rPr>
        <w:t xml:space="preserve"> fall below the relevant trigger</w:t>
      </w:r>
    </w:p>
    <w:p w14:paraId="67116DAA" w14:textId="3ACFA47B" w:rsidR="00E51CDD" w:rsidRPr="006D1199" w:rsidRDefault="00E51CDD" w:rsidP="00E51CDD">
      <w:pPr>
        <w:suppressAutoHyphens/>
        <w:ind w:left="284" w:hanging="284"/>
        <w:rPr>
          <w:sz w:val="18"/>
          <w:szCs w:val="18"/>
        </w:rPr>
      </w:pPr>
      <w:r w:rsidRPr="006D1199">
        <w:rPr>
          <w:sz w:val="18"/>
          <w:szCs w:val="18"/>
          <w:vertAlign w:val="superscript"/>
        </w:rPr>
        <w:t>1)</w:t>
      </w:r>
      <w:r w:rsidRPr="006D1199">
        <w:rPr>
          <w:sz w:val="18"/>
          <w:szCs w:val="18"/>
        </w:rPr>
        <w:tab/>
        <w:t xml:space="preserve">Reproductive TER values are presented in </w:t>
      </w:r>
      <w:r w:rsidRPr="006D1199">
        <w:rPr>
          <w:sz w:val="18"/>
          <w:szCs w:val="18"/>
        </w:rPr>
        <w:fldChar w:fldCharType="begin"/>
      </w:r>
      <w:r w:rsidRPr="006D1199">
        <w:rPr>
          <w:sz w:val="18"/>
          <w:szCs w:val="18"/>
        </w:rPr>
        <w:instrText xml:space="preserve"> REF _Ref439852674 \h  \* MERGEFORMAT </w:instrText>
      </w:r>
      <w:r w:rsidRPr="006D1199">
        <w:rPr>
          <w:sz w:val="18"/>
          <w:szCs w:val="18"/>
        </w:rPr>
      </w:r>
      <w:r w:rsidRPr="006D1199">
        <w:rPr>
          <w:sz w:val="18"/>
          <w:szCs w:val="18"/>
        </w:rPr>
        <w:fldChar w:fldCharType="separate"/>
      </w:r>
      <w:r w:rsidR="00662F32" w:rsidRPr="00662F32">
        <w:rPr>
          <w:sz w:val="18"/>
          <w:szCs w:val="18"/>
        </w:rPr>
        <w:t xml:space="preserve">Table </w:t>
      </w:r>
      <w:r w:rsidR="00662F32" w:rsidRPr="00662F32">
        <w:rPr>
          <w:noProof/>
          <w:sz w:val="18"/>
          <w:szCs w:val="18"/>
        </w:rPr>
        <w:t>9.3</w:t>
      </w:r>
      <w:r w:rsidR="00662F32" w:rsidRPr="00662F32">
        <w:rPr>
          <w:noProof/>
          <w:sz w:val="18"/>
          <w:szCs w:val="18"/>
        </w:rPr>
        <w:noBreakHyphen/>
        <w:t>6</w:t>
      </w:r>
      <w:r w:rsidRPr="006D1199">
        <w:rPr>
          <w:sz w:val="18"/>
          <w:szCs w:val="18"/>
        </w:rPr>
        <w:fldChar w:fldCharType="end"/>
      </w:r>
      <w:r w:rsidRPr="006D1199">
        <w:rPr>
          <w:sz w:val="18"/>
          <w:szCs w:val="18"/>
        </w:rPr>
        <w:t xml:space="preserve"> and </w:t>
      </w:r>
      <w:r w:rsidRPr="006D1199">
        <w:rPr>
          <w:sz w:val="18"/>
          <w:szCs w:val="18"/>
        </w:rPr>
        <w:fldChar w:fldCharType="begin"/>
      </w:r>
      <w:r w:rsidRPr="006D1199">
        <w:rPr>
          <w:sz w:val="18"/>
          <w:szCs w:val="18"/>
        </w:rPr>
        <w:instrText xml:space="preserve"> REF _Ref81826376 \h  \* MERGEFORMAT </w:instrText>
      </w:r>
      <w:r w:rsidRPr="006D1199">
        <w:rPr>
          <w:sz w:val="18"/>
          <w:szCs w:val="18"/>
        </w:rPr>
      </w:r>
      <w:r w:rsidRPr="006D1199">
        <w:rPr>
          <w:sz w:val="18"/>
          <w:szCs w:val="18"/>
        </w:rPr>
        <w:fldChar w:fldCharType="separate"/>
      </w:r>
      <w:r w:rsidR="00662F32" w:rsidRPr="00662F32">
        <w:rPr>
          <w:sz w:val="18"/>
          <w:szCs w:val="18"/>
        </w:rPr>
        <w:t xml:space="preserve">Table </w:t>
      </w:r>
      <w:r w:rsidR="00662F32" w:rsidRPr="00662F32">
        <w:rPr>
          <w:noProof/>
          <w:sz w:val="18"/>
          <w:szCs w:val="18"/>
        </w:rPr>
        <w:t>9.3</w:t>
      </w:r>
      <w:r w:rsidR="00662F32" w:rsidRPr="00662F32">
        <w:rPr>
          <w:noProof/>
          <w:sz w:val="18"/>
          <w:szCs w:val="18"/>
        </w:rPr>
        <w:noBreakHyphen/>
        <w:t>7</w:t>
      </w:r>
      <w:r w:rsidRPr="006D1199">
        <w:rPr>
          <w:sz w:val="18"/>
          <w:szCs w:val="18"/>
        </w:rPr>
        <w:fldChar w:fldCharType="end"/>
      </w:r>
      <w:r w:rsidRPr="006D1199">
        <w:rPr>
          <w:sz w:val="18"/>
          <w:szCs w:val="18"/>
        </w:rPr>
        <w:t>.</w:t>
      </w:r>
    </w:p>
    <w:p w14:paraId="22A8F0CC" w14:textId="77777777" w:rsidR="00E51CDD" w:rsidRDefault="00E51CDD" w:rsidP="00E51CDD">
      <w:pPr>
        <w:widowControl w:val="0"/>
        <w:suppressAutoHyphens/>
        <w:jc w:val="both"/>
      </w:pPr>
    </w:p>
    <w:p w14:paraId="462A7403" w14:textId="77777777" w:rsidR="00E51CDD" w:rsidRPr="0026404C" w:rsidRDefault="00E51CDD" w:rsidP="00E51CDD">
      <w:pPr>
        <w:widowControl w:val="0"/>
        <w:suppressAutoHyphens/>
        <w:jc w:val="both"/>
      </w:pPr>
    </w:p>
    <w:p w14:paraId="65B16FE1" w14:textId="77777777" w:rsidR="00E51CDD" w:rsidRDefault="00E51CDD" w:rsidP="00E51CDD">
      <w:pPr>
        <w:widowControl w:val="0"/>
        <w:jc w:val="both"/>
      </w:pPr>
      <w:r w:rsidRPr="00324B14">
        <w:rPr>
          <w:color w:val="000000" w:themeColor="text1"/>
          <w:lang w:val="en-GB" w:eastAsia="en-US"/>
        </w:rPr>
        <w:t>The TER</w:t>
      </w:r>
      <w:r w:rsidRPr="00324B14">
        <w:rPr>
          <w:color w:val="000000" w:themeColor="text1"/>
          <w:vertAlign w:val="subscript"/>
          <w:lang w:val="en-GB" w:eastAsia="en-US"/>
        </w:rPr>
        <w:t>LT combi</w:t>
      </w:r>
      <w:r w:rsidRPr="00324B14">
        <w:rPr>
          <w:color w:val="000000" w:themeColor="text1"/>
          <w:lang w:val="en-GB" w:eastAsia="en-US"/>
        </w:rPr>
        <w:t xml:space="preserve"> values for the relevant scenarios are all above the trigger value of 5 at tier 1, except</w:t>
      </w:r>
      <w:r>
        <w:rPr>
          <w:color w:val="000000" w:themeColor="text1"/>
          <w:lang w:val="en-GB" w:eastAsia="en-US"/>
        </w:rPr>
        <w:t xml:space="preserve"> the</w:t>
      </w:r>
      <w:r w:rsidRPr="00324B14">
        <w:rPr>
          <w:color w:val="000000" w:themeColor="text1"/>
          <w:lang w:val="en-GB" w:eastAsia="en-US"/>
        </w:rPr>
        <w:t xml:space="preserve"> small herbivorous mammal “vole” scenario</w:t>
      </w:r>
      <w:r>
        <w:rPr>
          <w:color w:val="000000" w:themeColor="text1"/>
          <w:lang w:val="en-GB" w:eastAsia="en-US"/>
        </w:rPr>
        <w:t xml:space="preserve"> </w:t>
      </w:r>
      <w:r>
        <w:rPr>
          <w:rFonts w:eastAsia="Batang"/>
          <w:lang w:val="en-GB" w:eastAsia="zh-CN"/>
        </w:rPr>
        <w:t>at BBCH ≥ 40</w:t>
      </w:r>
      <w:r w:rsidRPr="00324B14">
        <w:rPr>
          <w:color w:val="000000" w:themeColor="text1"/>
          <w:lang w:val="en-GB" w:eastAsia="en-US"/>
        </w:rPr>
        <w:t xml:space="preserve">, which </w:t>
      </w:r>
      <w:r>
        <w:rPr>
          <w:color w:val="000000" w:themeColor="text1"/>
          <w:lang w:val="en-GB" w:eastAsia="en-US"/>
        </w:rPr>
        <w:t>is just</w:t>
      </w:r>
      <w:r w:rsidRPr="00324B14">
        <w:rPr>
          <w:color w:val="000000" w:themeColor="text1"/>
          <w:lang w:val="en-GB" w:eastAsia="en-US"/>
        </w:rPr>
        <w:t xml:space="preserve"> below the trigger</w:t>
      </w:r>
      <w:r>
        <w:rPr>
          <w:color w:val="000000" w:themeColor="text1"/>
          <w:lang w:val="en-GB" w:eastAsia="en-US"/>
        </w:rPr>
        <w:t xml:space="preserve"> </w:t>
      </w:r>
      <w:r w:rsidRPr="00A92D73">
        <w:rPr>
          <w:color w:val="000000" w:themeColor="text1"/>
          <w:lang w:val="en-GB" w:eastAsia="en-US"/>
        </w:rPr>
        <w:t xml:space="preserve">with a </w:t>
      </w:r>
      <w:r w:rsidRPr="00523339">
        <w:t>TER</w:t>
      </w:r>
      <w:r w:rsidRPr="00523339">
        <w:rPr>
          <w:vertAlign w:val="subscript"/>
        </w:rPr>
        <w:t>LT combi</w:t>
      </w:r>
      <w:r w:rsidRPr="00523339">
        <w:t xml:space="preserve"> = 4.9</w:t>
      </w:r>
      <w:r w:rsidRPr="00324B14">
        <w:rPr>
          <w:color w:val="000000" w:themeColor="text1"/>
          <w:lang w:val="en-GB" w:eastAsia="en-US"/>
        </w:rPr>
        <w:t>. Therefore, further consideration of the combined reproductive risk to mammals is required for the use in cereals at BBCH ≥ 40</w:t>
      </w:r>
      <w:r>
        <w:rPr>
          <w:color w:val="000000" w:themeColor="text1"/>
          <w:lang w:val="en-GB" w:eastAsia="en-US"/>
        </w:rPr>
        <w:t xml:space="preserve"> and a</w:t>
      </w:r>
      <w:r w:rsidRPr="00324B14">
        <w:rPr>
          <w:color w:val="000000" w:themeColor="text1"/>
          <w:lang w:val="en-GB" w:eastAsia="en-US"/>
        </w:rPr>
        <w:t xml:space="preserve"> </w:t>
      </w:r>
      <w:r>
        <w:t xml:space="preserve">higher tier risk assessment is presented in chapter 9.3.2.2. </w:t>
      </w:r>
    </w:p>
    <w:p w14:paraId="631DEDF1" w14:textId="77777777" w:rsidR="00E51CDD" w:rsidRDefault="00E51CDD" w:rsidP="00E51CDD">
      <w:pPr>
        <w:widowControl w:val="0"/>
        <w:jc w:val="both"/>
        <w:rPr>
          <w:lang w:eastAsia="en-US"/>
        </w:rPr>
      </w:pPr>
      <w:r>
        <w:br w:type="page"/>
      </w:r>
    </w:p>
    <w:p w14:paraId="0E3E2346" w14:textId="77777777" w:rsidR="00E51CDD" w:rsidRPr="002B1114" w:rsidRDefault="00E51CDD" w:rsidP="00E51CDD">
      <w:pPr>
        <w:pStyle w:val="Nagwek4"/>
        <w:rPr>
          <w:lang w:val="en-GB"/>
        </w:rPr>
      </w:pPr>
      <w:bookmarkStart w:id="366" w:name="_Toc412643987"/>
      <w:bookmarkStart w:id="367" w:name="_Toc413916833"/>
      <w:bookmarkStart w:id="368" w:name="_Toc413916975"/>
      <w:bookmarkStart w:id="369" w:name="_Toc413922036"/>
      <w:bookmarkStart w:id="370" w:name="_Toc413922525"/>
      <w:bookmarkStart w:id="371" w:name="_Toc413922629"/>
      <w:bookmarkStart w:id="372" w:name="_Toc414955266"/>
      <w:bookmarkStart w:id="373" w:name="_Toc415214573"/>
      <w:bookmarkStart w:id="374" w:name="_Ref83817345"/>
      <w:bookmarkStart w:id="375" w:name="_Toc125446416"/>
      <w:r w:rsidRPr="002B1114">
        <w:rPr>
          <w:lang w:val="en-GB"/>
        </w:rPr>
        <w:lastRenderedPageBreak/>
        <w:t>Higher-tier risk assessment</w:t>
      </w:r>
      <w:bookmarkEnd w:id="366"/>
      <w:bookmarkEnd w:id="367"/>
      <w:bookmarkEnd w:id="368"/>
      <w:bookmarkEnd w:id="369"/>
      <w:bookmarkEnd w:id="370"/>
      <w:bookmarkEnd w:id="371"/>
      <w:bookmarkEnd w:id="372"/>
      <w:bookmarkEnd w:id="373"/>
      <w:bookmarkEnd w:id="374"/>
      <w:bookmarkEnd w:id="375"/>
    </w:p>
    <w:p w14:paraId="00DBFD6A" w14:textId="77777777" w:rsidR="00E51CDD" w:rsidRDefault="00E51CDD" w:rsidP="00E51CDD">
      <w:pPr>
        <w:widowControl w:val="0"/>
        <w:suppressAutoHyphens/>
        <w:jc w:val="both"/>
      </w:pPr>
      <w:bookmarkStart w:id="376" w:name="_Toc412643988"/>
      <w:bookmarkStart w:id="377" w:name="_Toc413916834"/>
      <w:bookmarkStart w:id="378" w:name="_Toc413916976"/>
      <w:bookmarkStart w:id="379" w:name="_Toc413922037"/>
      <w:bookmarkStart w:id="380" w:name="_Toc413922526"/>
      <w:bookmarkStart w:id="381" w:name="_Toc413922630"/>
      <w:bookmarkStart w:id="382" w:name="_Toc414955267"/>
      <w:bookmarkStart w:id="383" w:name="_Toc415214574"/>
      <w:r>
        <w:t xml:space="preserve">Based on the calculations presented in chapter 9.3.2.1 (first-tier risk assessment), a higher tier risk assessment for dietary exposure is required for the following scenarios: </w:t>
      </w:r>
    </w:p>
    <w:p w14:paraId="12957BD7" w14:textId="77777777" w:rsidR="00E51CDD" w:rsidRDefault="00E51CDD" w:rsidP="00E51CDD">
      <w:pPr>
        <w:widowControl w:val="0"/>
        <w:suppressAutoHyphens/>
        <w:jc w:val="both"/>
      </w:pPr>
    </w:p>
    <w:p w14:paraId="0BBCA0A8" w14:textId="77777777" w:rsidR="00E51CDD" w:rsidRPr="00F00DDB" w:rsidRDefault="00E51CDD" w:rsidP="00E51CDD">
      <w:pPr>
        <w:widowControl w:val="0"/>
        <w:numPr>
          <w:ilvl w:val="0"/>
          <w:numId w:val="32"/>
        </w:numPr>
        <w:suppressAutoHyphens/>
        <w:jc w:val="both"/>
        <w:rPr>
          <w:bCs/>
          <w:lang w:val="en-GB"/>
        </w:rPr>
      </w:pPr>
      <w:r>
        <w:t xml:space="preserve">Combined acute risk assessment for the </w:t>
      </w:r>
      <w:r w:rsidRPr="00F00DDB">
        <w:rPr>
          <w:rFonts w:eastAsia="Batang"/>
          <w:bCs/>
          <w:lang w:eastAsia="zh-CN"/>
        </w:rPr>
        <w:t xml:space="preserve">small herbivorous mammal “vole” scenario </w:t>
      </w:r>
      <w:r w:rsidRPr="00F00DDB">
        <w:rPr>
          <w:rFonts w:eastAsia="Batang"/>
          <w:bCs/>
          <w:lang w:val="en-GB" w:eastAsia="zh-CN"/>
        </w:rPr>
        <w:t>at BBCH ≥ 40</w:t>
      </w:r>
      <w:r>
        <w:rPr>
          <w:bCs/>
          <w:lang w:val="en-GB"/>
        </w:rPr>
        <w:t xml:space="preserve"> (formulation approach). </w:t>
      </w:r>
    </w:p>
    <w:p w14:paraId="5E6BF8D3" w14:textId="77777777" w:rsidR="00E51CDD" w:rsidRPr="00F00DDB" w:rsidRDefault="00E51CDD" w:rsidP="00E51CDD">
      <w:pPr>
        <w:widowControl w:val="0"/>
        <w:numPr>
          <w:ilvl w:val="0"/>
          <w:numId w:val="32"/>
        </w:numPr>
        <w:suppressAutoHyphens/>
        <w:jc w:val="both"/>
        <w:rPr>
          <w:bCs/>
          <w:lang w:val="en-GB"/>
        </w:rPr>
      </w:pPr>
      <w:r>
        <w:rPr>
          <w:bCs/>
        </w:rPr>
        <w:t>C</w:t>
      </w:r>
      <w:r w:rsidRPr="00F00DDB">
        <w:rPr>
          <w:bCs/>
        </w:rPr>
        <w:t xml:space="preserve">ombined reproductive risk assessment for the </w:t>
      </w:r>
      <w:r w:rsidRPr="00F00DDB">
        <w:rPr>
          <w:rFonts w:eastAsia="Batang"/>
          <w:bCs/>
          <w:lang w:eastAsia="zh-CN"/>
        </w:rPr>
        <w:t xml:space="preserve">small herbivorous mammal “vole” scenario </w:t>
      </w:r>
      <w:r w:rsidRPr="00F00DDB">
        <w:rPr>
          <w:rFonts w:eastAsia="Batang"/>
          <w:bCs/>
          <w:lang w:val="en-GB" w:eastAsia="zh-CN"/>
        </w:rPr>
        <w:t>at BBCH ≥ 40</w:t>
      </w:r>
      <w:r w:rsidRPr="00F00DDB">
        <w:rPr>
          <w:bCs/>
          <w:lang w:val="en-GB"/>
        </w:rPr>
        <w:t xml:space="preserve">. </w:t>
      </w:r>
    </w:p>
    <w:p w14:paraId="6F35AA27" w14:textId="77777777" w:rsidR="00E51CDD" w:rsidRDefault="00E51CDD" w:rsidP="00E51CDD">
      <w:pPr>
        <w:widowControl w:val="0"/>
        <w:suppressAutoHyphens/>
        <w:jc w:val="both"/>
        <w:rPr>
          <w:lang w:val="en-GB"/>
        </w:rPr>
      </w:pPr>
    </w:p>
    <w:p w14:paraId="78CD871C" w14:textId="77777777" w:rsidR="00E51CDD" w:rsidRDefault="00E51CDD" w:rsidP="00E51CDD">
      <w:pPr>
        <w:widowControl w:val="0"/>
        <w:jc w:val="both"/>
        <w:rPr>
          <w:iCs/>
          <w:szCs w:val="24"/>
          <w:lang w:val="en-GB"/>
        </w:rPr>
      </w:pPr>
    </w:p>
    <w:p w14:paraId="7FC54191" w14:textId="77777777" w:rsidR="00E51CDD" w:rsidRPr="005452A7" w:rsidRDefault="00E51CDD" w:rsidP="00E51CDD">
      <w:pPr>
        <w:widowControl w:val="0"/>
        <w:jc w:val="both"/>
        <w:rPr>
          <w:b/>
          <w:bCs/>
          <w:iCs/>
          <w:szCs w:val="24"/>
          <w:lang w:val="en-GB"/>
        </w:rPr>
      </w:pPr>
      <w:r w:rsidRPr="005452A7">
        <w:rPr>
          <w:b/>
          <w:bCs/>
          <w:iCs/>
          <w:szCs w:val="24"/>
          <w:lang w:val="en-GB"/>
        </w:rPr>
        <w:t xml:space="preserve">Refinement of the combined acute risk assessment </w:t>
      </w:r>
      <w:r w:rsidRPr="000113BA">
        <w:rPr>
          <w:rFonts w:eastAsia="Batang"/>
          <w:b/>
          <w:bCs/>
          <w:lang w:eastAsia="zh-CN"/>
        </w:rPr>
        <w:t>of the formulation approach</w:t>
      </w:r>
      <w:r w:rsidRPr="000113BA">
        <w:rPr>
          <w:b/>
          <w:bCs/>
          <w:iCs/>
          <w:szCs w:val="24"/>
          <w:lang w:val="en-GB"/>
        </w:rPr>
        <w:t xml:space="preserve"> </w:t>
      </w:r>
      <w:r w:rsidRPr="0004291B">
        <w:rPr>
          <w:b/>
          <w:bCs/>
          <w:iCs/>
          <w:szCs w:val="24"/>
          <w:lang w:val="en-GB"/>
        </w:rPr>
        <w:t xml:space="preserve">for the </w:t>
      </w:r>
      <w:r w:rsidRPr="0004291B">
        <w:rPr>
          <w:rFonts w:eastAsia="Batang"/>
          <w:b/>
          <w:bCs/>
          <w:lang w:eastAsia="zh-CN"/>
        </w:rPr>
        <w:t>small herbivorous mammal “vole”</w:t>
      </w:r>
      <w:r w:rsidRPr="005452A7">
        <w:rPr>
          <w:rFonts w:eastAsia="Batang"/>
          <w:b/>
          <w:bCs/>
          <w:lang w:eastAsia="zh-CN"/>
        </w:rPr>
        <w:t xml:space="preserve"> </w:t>
      </w:r>
      <w:r w:rsidRPr="000113BA">
        <w:rPr>
          <w:rFonts w:eastAsia="Batang"/>
          <w:b/>
          <w:bCs/>
          <w:lang w:eastAsia="zh-CN"/>
        </w:rPr>
        <w:t xml:space="preserve">scenario at BBCH </w:t>
      </w:r>
      <w:r w:rsidRPr="00523339">
        <w:rPr>
          <w:b/>
          <w:bCs/>
          <w:color w:val="000000" w:themeColor="text1"/>
          <w:lang w:val="en-GB" w:eastAsia="en-US"/>
        </w:rPr>
        <w:t>≥ 40</w:t>
      </w:r>
    </w:p>
    <w:p w14:paraId="4D715661" w14:textId="77777777" w:rsidR="00E51CDD" w:rsidRDefault="00E51CDD" w:rsidP="00E51CDD">
      <w:pPr>
        <w:widowControl w:val="0"/>
        <w:jc w:val="both"/>
        <w:rPr>
          <w:iCs/>
          <w:szCs w:val="24"/>
          <w:lang w:val="en-GB"/>
        </w:rPr>
      </w:pPr>
    </w:p>
    <w:p w14:paraId="100BA713" w14:textId="77777777" w:rsidR="00E51CDD" w:rsidRDefault="00E51CDD" w:rsidP="00E51CDD">
      <w:pPr>
        <w:widowControl w:val="0"/>
        <w:jc w:val="both"/>
        <w:rPr>
          <w:iCs/>
          <w:szCs w:val="24"/>
          <w:lang w:val="en-GB"/>
        </w:rPr>
      </w:pPr>
    </w:p>
    <w:p w14:paraId="2A154398" w14:textId="77777777" w:rsidR="00E51CDD" w:rsidRDefault="00E51CDD" w:rsidP="00E51CDD">
      <w:pPr>
        <w:widowControl w:val="0"/>
        <w:jc w:val="both"/>
        <w:rPr>
          <w:iCs/>
          <w:szCs w:val="24"/>
          <w:lang w:val="en-GB"/>
        </w:rPr>
      </w:pPr>
      <w:r>
        <w:rPr>
          <w:iCs/>
          <w:szCs w:val="24"/>
          <w:lang w:val="en-GB"/>
        </w:rPr>
        <w:t xml:space="preserve">Please note </w:t>
      </w:r>
      <w:bookmarkStart w:id="384" w:name="_Hlk85094017"/>
      <w:r>
        <w:rPr>
          <w:iCs/>
          <w:szCs w:val="24"/>
          <w:lang w:val="en-GB"/>
        </w:rPr>
        <w:t>that two different refinement approaches are presented. In the first approach the acute higher tier risk assessment for the formulation is based on the refinement of the deposition factor, whereas the second approach is based on the interpolated LD</w:t>
      </w:r>
      <w:r w:rsidRPr="00523339">
        <w:rPr>
          <w:iCs/>
          <w:szCs w:val="24"/>
          <w:vertAlign w:val="subscript"/>
          <w:lang w:val="en-GB"/>
        </w:rPr>
        <w:t>50</w:t>
      </w:r>
      <w:r>
        <w:rPr>
          <w:iCs/>
          <w:szCs w:val="24"/>
          <w:lang w:val="en-GB"/>
        </w:rPr>
        <w:t xml:space="preserve"> value of 1848 mg/kg b.w.</w:t>
      </w:r>
      <w:bookmarkEnd w:id="384"/>
      <w:r>
        <w:rPr>
          <w:iCs/>
          <w:szCs w:val="24"/>
          <w:lang w:val="en-GB"/>
        </w:rPr>
        <w:t xml:space="preserve"> for BAS 736 00 F as refinement parameter.</w:t>
      </w:r>
    </w:p>
    <w:p w14:paraId="0CCEE0D5" w14:textId="77777777" w:rsidR="00E51CDD" w:rsidRDefault="00E51CDD" w:rsidP="00E51CDD">
      <w:pPr>
        <w:widowControl w:val="0"/>
        <w:jc w:val="both"/>
        <w:rPr>
          <w:iCs/>
          <w:szCs w:val="24"/>
          <w:lang w:val="en-GB"/>
        </w:rPr>
      </w:pPr>
    </w:p>
    <w:p w14:paraId="77941136" w14:textId="77777777" w:rsidR="00E51CDD" w:rsidRPr="00EC0D65" w:rsidRDefault="00E51CDD" w:rsidP="00E51CDD">
      <w:pPr>
        <w:widowControl w:val="0"/>
        <w:suppressAutoHyphens/>
        <w:ind w:left="426"/>
        <w:rPr>
          <w:i/>
          <w:lang w:val="en-GB"/>
        </w:rPr>
      </w:pPr>
      <w:r>
        <w:rPr>
          <w:i/>
          <w:lang w:val="en-GB"/>
        </w:rPr>
        <w:t xml:space="preserve">Approach 1: </w:t>
      </w:r>
      <w:r w:rsidRPr="00EC0D65">
        <w:rPr>
          <w:i/>
          <w:lang w:val="en-GB"/>
        </w:rPr>
        <w:t xml:space="preserve">Relevant deposition factor (DF) for cereals at </w:t>
      </w:r>
      <w:r w:rsidRPr="00EC0D65">
        <w:rPr>
          <w:i/>
          <w:szCs w:val="24"/>
          <w:lang w:val="en-GB"/>
        </w:rPr>
        <w:t>BBCH ≥40</w:t>
      </w:r>
    </w:p>
    <w:p w14:paraId="0665298D" w14:textId="77777777" w:rsidR="00E51CDD" w:rsidRDefault="00E51CDD" w:rsidP="00E51CDD">
      <w:pPr>
        <w:widowControl w:val="0"/>
        <w:jc w:val="both"/>
        <w:rPr>
          <w:iCs/>
          <w:szCs w:val="24"/>
          <w:lang w:val="en-GB"/>
        </w:rPr>
      </w:pPr>
    </w:p>
    <w:p w14:paraId="71F7AD1C" w14:textId="77777777" w:rsidR="00E51CDD" w:rsidRPr="00523339" w:rsidRDefault="00E51CDD" w:rsidP="00E51CDD">
      <w:pPr>
        <w:widowControl w:val="0"/>
        <w:jc w:val="both"/>
        <w:rPr>
          <w:iCs/>
          <w:szCs w:val="24"/>
          <w:lang w:val="en-GB"/>
        </w:rPr>
      </w:pPr>
      <w:r w:rsidRPr="00324B14">
        <w:rPr>
          <w:iCs/>
          <w:szCs w:val="24"/>
          <w:lang w:val="en-GB"/>
        </w:rPr>
        <w:t>Following EFSA guidance for evaluating laboratory and field dissipation studies to obtain D</w:t>
      </w:r>
      <w:r>
        <w:rPr>
          <w:iCs/>
          <w:szCs w:val="24"/>
          <w:lang w:val="en-GB"/>
        </w:rPr>
        <w:t>eg</w:t>
      </w:r>
      <w:r w:rsidRPr="00324B14">
        <w:rPr>
          <w:iCs/>
          <w:szCs w:val="24"/>
          <w:lang w:val="en-GB"/>
        </w:rPr>
        <w:t>T</w:t>
      </w:r>
      <w:r w:rsidRPr="00324B14">
        <w:rPr>
          <w:iCs/>
          <w:szCs w:val="24"/>
          <w:vertAlign w:val="subscript"/>
          <w:lang w:val="en-GB"/>
        </w:rPr>
        <w:t>50</w:t>
      </w:r>
      <w:r w:rsidRPr="00324B14">
        <w:rPr>
          <w:iCs/>
          <w:szCs w:val="24"/>
          <w:lang w:val="en-GB"/>
        </w:rPr>
        <w:t xml:space="preserve"> values (EFSA Journal 2014; 12(5):3662, p. 28, Table 1.5) and </w:t>
      </w:r>
      <w:r>
        <w:rPr>
          <w:iCs/>
          <w:szCs w:val="24"/>
          <w:lang w:val="en-GB"/>
        </w:rPr>
        <w:t>Ctgb</w:t>
      </w:r>
      <w:r w:rsidRPr="00324B14">
        <w:rPr>
          <w:iCs/>
          <w:szCs w:val="24"/>
          <w:lang w:val="en-GB"/>
        </w:rPr>
        <w:t xml:space="preserve"> guidance for risk assessment of plant protection products (</w:t>
      </w:r>
      <w:r>
        <w:rPr>
          <w:iCs/>
          <w:szCs w:val="24"/>
          <w:lang w:val="en-GB"/>
        </w:rPr>
        <w:t>Ctgb</w:t>
      </w:r>
      <w:r w:rsidRPr="00324B14">
        <w:rPr>
          <w:iCs/>
          <w:szCs w:val="24"/>
          <w:lang w:val="en-GB"/>
        </w:rPr>
        <w:t>, 20</w:t>
      </w:r>
      <w:r>
        <w:rPr>
          <w:iCs/>
          <w:szCs w:val="24"/>
          <w:lang w:val="en-GB"/>
        </w:rPr>
        <w:t>20</w:t>
      </w:r>
      <w:r w:rsidRPr="00324B14">
        <w:rPr>
          <w:iCs/>
          <w:szCs w:val="24"/>
          <w:lang w:val="en-GB"/>
        </w:rPr>
        <w:t>, p. 1</w:t>
      </w:r>
      <w:r>
        <w:rPr>
          <w:iCs/>
          <w:szCs w:val="24"/>
          <w:lang w:val="en-GB"/>
        </w:rPr>
        <w:t>4</w:t>
      </w:r>
      <w:r w:rsidRPr="00324B14">
        <w:rPr>
          <w:iCs/>
          <w:szCs w:val="24"/>
          <w:lang w:val="en-GB"/>
        </w:rPr>
        <w:t>-1</w:t>
      </w:r>
      <w:r>
        <w:rPr>
          <w:iCs/>
          <w:szCs w:val="24"/>
          <w:lang w:val="en-GB"/>
        </w:rPr>
        <w:t>5</w:t>
      </w:r>
      <w:r w:rsidRPr="00324B14">
        <w:rPr>
          <w:iCs/>
          <w:szCs w:val="24"/>
          <w:lang w:val="en-GB"/>
        </w:rPr>
        <w:t>, Table 2, version 2.</w:t>
      </w:r>
      <w:r>
        <w:rPr>
          <w:iCs/>
          <w:szCs w:val="24"/>
          <w:lang w:val="en-GB"/>
        </w:rPr>
        <w:t>4</w:t>
      </w:r>
      <w:r w:rsidRPr="00324B14">
        <w:rPr>
          <w:iCs/>
          <w:szCs w:val="24"/>
          <w:lang w:val="en-GB"/>
        </w:rPr>
        <w:t xml:space="preserve">, </w:t>
      </w:r>
      <w:r>
        <w:rPr>
          <w:iCs/>
          <w:szCs w:val="24"/>
          <w:lang w:val="en-GB"/>
        </w:rPr>
        <w:t>January</w:t>
      </w:r>
      <w:r w:rsidRPr="00324B14">
        <w:rPr>
          <w:iCs/>
          <w:szCs w:val="24"/>
          <w:lang w:val="en-GB"/>
        </w:rPr>
        <w:t xml:space="preserve"> 20</w:t>
      </w:r>
      <w:r>
        <w:rPr>
          <w:iCs/>
          <w:szCs w:val="24"/>
          <w:lang w:val="en-GB"/>
        </w:rPr>
        <w:t>20</w:t>
      </w:r>
      <w:r w:rsidRPr="00324B14">
        <w:rPr>
          <w:iCs/>
          <w:szCs w:val="24"/>
          <w:lang w:val="en-GB"/>
        </w:rPr>
        <w:t xml:space="preserve">), a </w:t>
      </w:r>
      <w:r w:rsidRPr="00EF2BBE">
        <w:rPr>
          <w:b/>
          <w:bCs/>
          <w:iCs/>
          <w:szCs w:val="24"/>
          <w:lang w:val="en-GB"/>
        </w:rPr>
        <w:t>DF of 0.1</w:t>
      </w:r>
      <w:r w:rsidRPr="00324B14">
        <w:rPr>
          <w:iCs/>
          <w:szCs w:val="24"/>
          <w:lang w:val="en-GB"/>
        </w:rPr>
        <w:t xml:space="preserve"> for cereals at BBCH 40-69 will be applied for the small herbivorous mammal scenario at BBCH ≥</w:t>
      </w:r>
      <w:r>
        <w:rPr>
          <w:iCs/>
          <w:szCs w:val="24"/>
          <w:lang w:val="en-GB"/>
        </w:rPr>
        <w:t> </w:t>
      </w:r>
      <w:r w:rsidRPr="00324B14">
        <w:rPr>
          <w:iCs/>
          <w:szCs w:val="24"/>
          <w:lang w:val="en-GB"/>
        </w:rPr>
        <w:t>40 in cereals</w:t>
      </w:r>
      <w:r>
        <w:rPr>
          <w:iCs/>
          <w:szCs w:val="24"/>
          <w:lang w:val="en-GB"/>
        </w:rPr>
        <w:t xml:space="preserve">. </w:t>
      </w:r>
    </w:p>
    <w:p w14:paraId="45B8EF6D" w14:textId="77777777" w:rsidR="00E51CDD" w:rsidRDefault="00E51CDD" w:rsidP="00E51CDD">
      <w:pPr>
        <w:widowControl w:val="0"/>
        <w:jc w:val="both"/>
        <w:rPr>
          <w:rFonts w:eastAsia="Batang"/>
          <w:lang w:eastAsia="zh-CN"/>
        </w:rPr>
      </w:pPr>
    </w:p>
    <w:p w14:paraId="62C603EF" w14:textId="29BACA6D" w:rsidR="00E51CDD" w:rsidRDefault="00E51CDD" w:rsidP="00E51CDD">
      <w:pPr>
        <w:widowControl w:val="0"/>
        <w:jc w:val="both"/>
        <w:rPr>
          <w:rFonts w:eastAsia="Batang"/>
          <w:lang w:eastAsia="zh-CN"/>
        </w:rPr>
      </w:pPr>
      <w:r>
        <w:rPr>
          <w:rFonts w:eastAsia="Batang"/>
          <w:lang w:eastAsia="zh-CN"/>
        </w:rPr>
        <w:t xml:space="preserve">The refined acute TER for the formulation </w:t>
      </w:r>
      <w:r>
        <w:rPr>
          <w:lang w:val="en-GB" w:eastAsia="en-US"/>
        </w:rPr>
        <w:t xml:space="preserve">considering the refinement of the deposition factor is presented in </w:t>
      </w:r>
      <w:r w:rsidRPr="003029A8">
        <w:rPr>
          <w:lang w:val="en-GB" w:eastAsia="en-US"/>
        </w:rPr>
        <w:fldChar w:fldCharType="begin"/>
      </w:r>
      <w:r w:rsidRPr="003029A8">
        <w:rPr>
          <w:lang w:val="en-GB" w:eastAsia="en-US"/>
        </w:rPr>
        <w:instrText xml:space="preserve"> REF _Ref84939143 \h  \* MERGEFORMAT </w:instrText>
      </w:r>
      <w:r w:rsidRPr="003029A8">
        <w:rPr>
          <w:lang w:val="en-GB" w:eastAsia="en-US"/>
        </w:rPr>
      </w:r>
      <w:r w:rsidRPr="003029A8">
        <w:rPr>
          <w:lang w:val="en-GB" w:eastAsia="en-US"/>
        </w:rPr>
        <w:fldChar w:fldCharType="separate"/>
      </w:r>
      <w:r w:rsidR="00662F32" w:rsidRPr="00662F32">
        <w:rPr>
          <w:iCs/>
          <w:lang w:val="en-GB"/>
        </w:rPr>
        <w:t xml:space="preserve">Table </w:t>
      </w:r>
      <w:r w:rsidR="00662F32" w:rsidRPr="00662F32">
        <w:rPr>
          <w:iCs/>
          <w:noProof/>
          <w:lang w:val="en-GB"/>
        </w:rPr>
        <w:t>9.3</w:t>
      </w:r>
      <w:r w:rsidR="00662F32" w:rsidRPr="00662F32">
        <w:rPr>
          <w:iCs/>
          <w:noProof/>
          <w:lang w:val="en-GB"/>
        </w:rPr>
        <w:noBreakHyphen/>
        <w:t>12</w:t>
      </w:r>
      <w:r w:rsidRPr="003029A8">
        <w:rPr>
          <w:lang w:val="en-GB" w:eastAsia="en-US"/>
        </w:rPr>
        <w:fldChar w:fldCharType="end"/>
      </w:r>
      <w:r>
        <w:rPr>
          <w:lang w:val="en-GB" w:eastAsia="en-US"/>
        </w:rPr>
        <w:t>.</w:t>
      </w:r>
    </w:p>
    <w:p w14:paraId="6191D1C5" w14:textId="106D87BD" w:rsidR="00E51CDD" w:rsidRPr="00E74319" w:rsidRDefault="00E51CDD" w:rsidP="00E51CDD">
      <w:pPr>
        <w:widowControl w:val="0"/>
        <w:tabs>
          <w:tab w:val="left" w:pos="1985"/>
        </w:tabs>
        <w:spacing w:before="200"/>
        <w:ind w:left="1985" w:hanging="1985"/>
        <w:jc w:val="both"/>
        <w:rPr>
          <w:rFonts w:eastAsia="Batang"/>
          <w:b/>
          <w:bCs/>
          <w:color w:val="000000" w:themeColor="text1"/>
          <w:lang w:val="en-GB" w:eastAsia="zh-CN"/>
        </w:rPr>
      </w:pPr>
      <w:bookmarkStart w:id="385" w:name="_Ref84939143"/>
      <w:r w:rsidRPr="00A268BF">
        <w:rPr>
          <w:b/>
          <w:bCs/>
          <w:iCs/>
          <w:lang w:val="en-GB"/>
        </w:rPr>
        <w:t xml:space="preserve">Table </w:t>
      </w:r>
      <w:r w:rsidRPr="00A268BF">
        <w:rPr>
          <w:iCs/>
        </w:rPr>
        <w:fldChar w:fldCharType="begin"/>
      </w:r>
      <w:r w:rsidRPr="00A268BF">
        <w:rPr>
          <w:b/>
          <w:bCs/>
          <w:iCs/>
          <w:lang w:val="en-GB"/>
        </w:rPr>
        <w:instrText xml:space="preserve"> STYLEREF 2 \s </w:instrText>
      </w:r>
      <w:r w:rsidRPr="00A268BF">
        <w:rPr>
          <w:iCs/>
        </w:rPr>
        <w:fldChar w:fldCharType="separate"/>
      </w:r>
      <w:r w:rsidR="00662F32">
        <w:rPr>
          <w:b/>
          <w:bCs/>
          <w:iCs/>
          <w:noProof/>
          <w:lang w:val="en-GB"/>
        </w:rPr>
        <w:t>9.3</w:t>
      </w:r>
      <w:r w:rsidRPr="00A268BF">
        <w:rPr>
          <w:iCs/>
        </w:rPr>
        <w:fldChar w:fldCharType="end"/>
      </w:r>
      <w:r w:rsidRPr="00A268BF">
        <w:rPr>
          <w:b/>
          <w:bCs/>
          <w:iCs/>
          <w:lang w:val="en-GB"/>
        </w:rPr>
        <w:noBreakHyphen/>
      </w:r>
      <w:r w:rsidRPr="00A268BF">
        <w:rPr>
          <w:iCs/>
        </w:rPr>
        <w:fldChar w:fldCharType="begin"/>
      </w:r>
      <w:r w:rsidRPr="00A268BF">
        <w:rPr>
          <w:b/>
          <w:bCs/>
          <w:iCs/>
          <w:lang w:val="en-GB"/>
        </w:rPr>
        <w:instrText xml:space="preserve"> SEQ Table \* ARABIC \s 2 </w:instrText>
      </w:r>
      <w:r w:rsidRPr="00A268BF">
        <w:rPr>
          <w:iCs/>
        </w:rPr>
        <w:fldChar w:fldCharType="separate"/>
      </w:r>
      <w:r w:rsidR="00662F32">
        <w:rPr>
          <w:b/>
          <w:bCs/>
          <w:iCs/>
          <w:noProof/>
          <w:lang w:val="en-GB"/>
        </w:rPr>
        <w:t>12</w:t>
      </w:r>
      <w:r w:rsidRPr="00A268BF">
        <w:rPr>
          <w:iCs/>
        </w:rPr>
        <w:fldChar w:fldCharType="end"/>
      </w:r>
      <w:bookmarkEnd w:id="385"/>
      <w:r w:rsidRPr="00A268BF">
        <w:rPr>
          <w:b/>
          <w:bCs/>
          <w:iCs/>
          <w:lang w:val="en-GB"/>
        </w:rPr>
        <w:t xml:space="preserve">: </w:t>
      </w:r>
      <w:r w:rsidRPr="00A268BF">
        <w:rPr>
          <w:b/>
          <w:bCs/>
          <w:iCs/>
          <w:lang w:val="en-GB"/>
        </w:rPr>
        <w:tab/>
      </w:r>
      <w:r>
        <w:rPr>
          <w:b/>
          <w:bCs/>
          <w:iCs/>
          <w:lang w:val="en-GB"/>
        </w:rPr>
        <w:t xml:space="preserve">BAS 736 00 F: </w:t>
      </w:r>
      <w:r w:rsidRPr="00A268BF">
        <w:rPr>
          <w:b/>
          <w:bCs/>
          <w:iCs/>
          <w:lang w:val="en-GB"/>
        </w:rPr>
        <w:t xml:space="preserve">Refined </w:t>
      </w:r>
      <w:r>
        <w:rPr>
          <w:b/>
          <w:bCs/>
          <w:iCs/>
          <w:lang w:val="en-GB"/>
        </w:rPr>
        <w:t>acute</w:t>
      </w:r>
      <w:r w:rsidRPr="00A268BF">
        <w:rPr>
          <w:b/>
          <w:bCs/>
          <w:iCs/>
          <w:lang w:val="en-GB"/>
        </w:rPr>
        <w:t xml:space="preserve"> dietary risk assessment </w:t>
      </w:r>
      <w:r w:rsidRPr="008C45EC">
        <w:rPr>
          <w:b/>
          <w:bCs/>
          <w:color w:val="000000" w:themeColor="text1"/>
          <w:lang w:val="en-GB"/>
        </w:rPr>
        <w:t xml:space="preserve">for the small herbivorous mammal “vole” </w:t>
      </w:r>
      <w:r>
        <w:rPr>
          <w:b/>
          <w:bCs/>
          <w:color w:val="000000" w:themeColor="text1"/>
          <w:lang w:val="en-GB"/>
        </w:rPr>
        <w:t xml:space="preserve">scenario </w:t>
      </w:r>
      <w:r w:rsidRPr="008C45EC">
        <w:rPr>
          <w:b/>
          <w:bCs/>
          <w:color w:val="000000" w:themeColor="text1"/>
          <w:lang w:val="en-GB"/>
        </w:rPr>
        <w:t xml:space="preserve">in cereals </w:t>
      </w:r>
      <w:r>
        <w:rPr>
          <w:b/>
          <w:bCs/>
          <w:color w:val="000000" w:themeColor="text1"/>
          <w:lang w:val="en-GB"/>
        </w:rPr>
        <w:t>based on a refined deposition factor – approach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1030"/>
        <w:gridCol w:w="983"/>
        <w:gridCol w:w="705"/>
        <w:gridCol w:w="1093"/>
        <w:gridCol w:w="746"/>
        <w:gridCol w:w="876"/>
        <w:gridCol w:w="701"/>
        <w:gridCol w:w="1050"/>
        <w:gridCol w:w="1151"/>
      </w:tblGrid>
      <w:tr w:rsidR="00E51CDD" w:rsidRPr="00A268BF" w14:paraId="7E15868C" w14:textId="77777777" w:rsidTr="009938D9">
        <w:trPr>
          <w:trHeight w:val="615"/>
        </w:trPr>
        <w:tc>
          <w:tcPr>
            <w:tcW w:w="544" w:type="pct"/>
            <w:tcBorders>
              <w:top w:val="single" w:sz="4" w:space="0" w:color="auto"/>
              <w:left w:val="single" w:sz="4" w:space="0" w:color="auto"/>
              <w:bottom w:val="single" w:sz="4" w:space="0" w:color="auto"/>
              <w:right w:val="single" w:sz="4" w:space="0" w:color="auto"/>
            </w:tcBorders>
            <w:noWrap/>
            <w:vAlign w:val="center"/>
            <w:hideMark/>
          </w:tcPr>
          <w:p w14:paraId="32296CA0"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Food type</w:t>
            </w:r>
          </w:p>
        </w:tc>
        <w:tc>
          <w:tcPr>
            <w:tcW w:w="553" w:type="pct"/>
            <w:tcBorders>
              <w:top w:val="single" w:sz="4" w:space="0" w:color="auto"/>
              <w:left w:val="single" w:sz="4" w:space="0" w:color="auto"/>
              <w:bottom w:val="single" w:sz="4" w:space="0" w:color="auto"/>
              <w:right w:val="single" w:sz="4" w:space="0" w:color="auto"/>
            </w:tcBorders>
            <w:noWrap/>
            <w:vAlign w:val="center"/>
            <w:hideMark/>
          </w:tcPr>
          <w:p w14:paraId="7A390BD7"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FIR/bw</w:t>
            </w:r>
          </w:p>
        </w:tc>
        <w:tc>
          <w:tcPr>
            <w:tcW w:w="528" w:type="pct"/>
            <w:tcBorders>
              <w:top w:val="single" w:sz="4" w:space="0" w:color="auto"/>
              <w:left w:val="single" w:sz="4" w:space="0" w:color="auto"/>
              <w:bottom w:val="single" w:sz="4" w:space="0" w:color="auto"/>
              <w:right w:val="single" w:sz="4" w:space="0" w:color="auto"/>
            </w:tcBorders>
            <w:noWrap/>
            <w:vAlign w:val="center"/>
            <w:hideMark/>
          </w:tcPr>
          <w:p w14:paraId="79882F83"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PD</w:t>
            </w:r>
            <w:r w:rsidRPr="00A268BF">
              <w:rPr>
                <w:rFonts w:eastAsia="SimSun"/>
                <w:b/>
                <w:bCs/>
                <w:iCs/>
                <w:sz w:val="18"/>
                <w:szCs w:val="18"/>
                <w:vertAlign w:val="subscript"/>
                <w:lang w:val="en-GB" w:eastAsia="zh-CN"/>
              </w:rPr>
              <w:t>i</w:t>
            </w:r>
            <w:r w:rsidRPr="00A268BF">
              <w:rPr>
                <w:rFonts w:eastAsia="SimSun"/>
                <w:b/>
                <w:bCs/>
                <w:iCs/>
                <w:sz w:val="18"/>
                <w:szCs w:val="18"/>
                <w:lang w:val="en-GB" w:eastAsia="zh-CN"/>
              </w:rPr>
              <w:t>, fresh</w:t>
            </w:r>
          </w:p>
        </w:tc>
        <w:tc>
          <w:tcPr>
            <w:tcW w:w="379" w:type="pct"/>
            <w:tcBorders>
              <w:top w:val="single" w:sz="4" w:space="0" w:color="auto"/>
              <w:left w:val="single" w:sz="4" w:space="0" w:color="auto"/>
              <w:bottom w:val="single" w:sz="4" w:space="0" w:color="auto"/>
              <w:right w:val="single" w:sz="4" w:space="0" w:color="auto"/>
            </w:tcBorders>
            <w:noWrap/>
            <w:vAlign w:val="center"/>
            <w:hideMark/>
          </w:tcPr>
          <w:p w14:paraId="7893B0E5"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PT</w:t>
            </w:r>
          </w:p>
        </w:tc>
        <w:tc>
          <w:tcPr>
            <w:tcW w:w="587" w:type="pct"/>
            <w:tcBorders>
              <w:top w:val="single" w:sz="4" w:space="0" w:color="auto"/>
              <w:left w:val="single" w:sz="4" w:space="0" w:color="auto"/>
              <w:bottom w:val="single" w:sz="4" w:space="0" w:color="auto"/>
              <w:right w:val="single" w:sz="4" w:space="0" w:color="auto"/>
            </w:tcBorders>
            <w:vAlign w:val="center"/>
            <w:hideMark/>
          </w:tcPr>
          <w:p w14:paraId="54F62838" w14:textId="77777777" w:rsidR="00E51CDD" w:rsidRPr="00A268BF" w:rsidRDefault="00E51CDD" w:rsidP="009938D9">
            <w:pPr>
              <w:keepNext/>
              <w:keepLines/>
              <w:jc w:val="center"/>
              <w:rPr>
                <w:rFonts w:eastAsia="SimSun"/>
                <w:b/>
                <w:bCs/>
                <w:iCs/>
                <w:sz w:val="18"/>
                <w:szCs w:val="18"/>
                <w:vertAlign w:val="superscript"/>
                <w:lang w:val="en-GB" w:eastAsia="zh-CN"/>
              </w:rPr>
            </w:pPr>
            <w:r w:rsidRPr="00A268BF">
              <w:rPr>
                <w:rFonts w:eastAsia="SimSun"/>
                <w:b/>
                <w:bCs/>
                <w:iCs/>
                <w:sz w:val="18"/>
                <w:szCs w:val="18"/>
                <w:lang w:val="en-GB" w:eastAsia="zh-CN"/>
              </w:rPr>
              <w:t>RUD</w:t>
            </w:r>
            <w:r w:rsidRPr="004A4DB2">
              <w:rPr>
                <w:rFonts w:eastAsia="SimSun"/>
                <w:b/>
                <w:bCs/>
                <w:iCs/>
                <w:sz w:val="18"/>
                <w:szCs w:val="18"/>
                <w:vertAlign w:val="subscript"/>
                <w:lang w:val="en-GB" w:eastAsia="zh-CN"/>
              </w:rPr>
              <w:t>90</w:t>
            </w:r>
            <w:r w:rsidRPr="00A268BF">
              <w:rPr>
                <w:rFonts w:eastAsia="SimSun"/>
                <w:b/>
                <w:bCs/>
                <w:iCs/>
                <w:sz w:val="18"/>
                <w:szCs w:val="18"/>
                <w:lang w:val="en-GB" w:eastAsia="zh-CN"/>
              </w:rPr>
              <w:br/>
              <w:t>[mg a.s./kg]</w:t>
            </w:r>
          </w:p>
        </w:tc>
        <w:tc>
          <w:tcPr>
            <w:tcW w:w="379" w:type="pct"/>
            <w:tcBorders>
              <w:top w:val="single" w:sz="4" w:space="0" w:color="auto"/>
              <w:left w:val="single" w:sz="4" w:space="0" w:color="auto"/>
              <w:bottom w:val="single" w:sz="4" w:space="0" w:color="auto"/>
              <w:right w:val="single" w:sz="4" w:space="0" w:color="auto"/>
            </w:tcBorders>
            <w:vAlign w:val="center"/>
          </w:tcPr>
          <w:p w14:paraId="0271BCE5" w14:textId="77777777" w:rsidR="00E51CDD" w:rsidRPr="00A268BF" w:rsidRDefault="00E51CDD" w:rsidP="009938D9">
            <w:pPr>
              <w:keepNext/>
              <w:keepLines/>
              <w:jc w:val="center"/>
              <w:rPr>
                <w:b/>
                <w:iCs/>
                <w:sz w:val="18"/>
                <w:szCs w:val="18"/>
                <w:lang w:val="en-GB"/>
              </w:rPr>
            </w:pPr>
            <w:r>
              <w:rPr>
                <w:b/>
                <w:iCs/>
                <w:sz w:val="18"/>
                <w:szCs w:val="18"/>
                <w:lang w:val="en-GB"/>
              </w:rPr>
              <w:t>MAF</w:t>
            </w:r>
            <w:r>
              <w:rPr>
                <w:b/>
                <w:iCs/>
                <w:sz w:val="18"/>
                <w:szCs w:val="18"/>
                <w:vertAlign w:val="subscript"/>
                <w:lang w:val="en-GB"/>
              </w:rPr>
              <w:t>90</w:t>
            </w:r>
          </w:p>
        </w:tc>
        <w:tc>
          <w:tcPr>
            <w:tcW w:w="471" w:type="pct"/>
            <w:tcBorders>
              <w:top w:val="single" w:sz="4" w:space="0" w:color="auto"/>
              <w:left w:val="single" w:sz="4" w:space="0" w:color="auto"/>
              <w:bottom w:val="single" w:sz="4" w:space="0" w:color="auto"/>
              <w:right w:val="single" w:sz="4" w:space="0" w:color="auto"/>
            </w:tcBorders>
            <w:vAlign w:val="center"/>
            <w:hideMark/>
          </w:tcPr>
          <w:p w14:paraId="60685AC8" w14:textId="77777777" w:rsidR="00E51CDD" w:rsidRPr="00A268BF" w:rsidRDefault="00E51CDD" w:rsidP="009938D9">
            <w:pPr>
              <w:keepNext/>
              <w:keepLines/>
              <w:jc w:val="center"/>
              <w:rPr>
                <w:rFonts w:eastAsia="SimSun"/>
                <w:b/>
                <w:bCs/>
                <w:iCs/>
                <w:sz w:val="18"/>
                <w:szCs w:val="18"/>
                <w:lang w:val="en-GB" w:eastAsia="zh-CN"/>
              </w:rPr>
            </w:pPr>
            <w:r>
              <w:rPr>
                <w:b/>
                <w:iCs/>
                <w:sz w:val="18"/>
                <w:szCs w:val="18"/>
                <w:lang w:val="en-GB"/>
              </w:rPr>
              <w:t>fTWA</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1E6F9057"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DF</w:t>
            </w:r>
          </w:p>
        </w:tc>
        <w:tc>
          <w:tcPr>
            <w:tcW w:w="564" w:type="pct"/>
            <w:tcBorders>
              <w:top w:val="single" w:sz="4" w:space="0" w:color="auto"/>
              <w:left w:val="single" w:sz="4" w:space="0" w:color="auto"/>
              <w:bottom w:val="single" w:sz="4" w:space="0" w:color="auto"/>
              <w:right w:val="single" w:sz="4" w:space="0" w:color="auto"/>
            </w:tcBorders>
            <w:vAlign w:val="center"/>
            <w:hideMark/>
          </w:tcPr>
          <w:p w14:paraId="39011061"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Use rate</w:t>
            </w:r>
            <w:r w:rsidRPr="00A268BF">
              <w:rPr>
                <w:rFonts w:eastAsia="SimSun"/>
                <w:b/>
                <w:bCs/>
                <w:iCs/>
                <w:sz w:val="18"/>
                <w:szCs w:val="18"/>
                <w:lang w:val="en-GB" w:eastAsia="zh-CN"/>
              </w:rPr>
              <w:br/>
              <w:t>[kg a.s./ha]</w:t>
            </w:r>
          </w:p>
        </w:tc>
        <w:tc>
          <w:tcPr>
            <w:tcW w:w="618" w:type="pct"/>
            <w:tcBorders>
              <w:top w:val="single" w:sz="4" w:space="0" w:color="auto"/>
              <w:left w:val="single" w:sz="4" w:space="0" w:color="auto"/>
              <w:bottom w:val="single" w:sz="4" w:space="0" w:color="auto"/>
              <w:right w:val="single" w:sz="4" w:space="0" w:color="auto"/>
            </w:tcBorders>
            <w:vAlign w:val="center"/>
            <w:hideMark/>
          </w:tcPr>
          <w:p w14:paraId="78DE2A9B"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DDD</w:t>
            </w:r>
            <w:r w:rsidRPr="00A268BF">
              <w:rPr>
                <w:rFonts w:eastAsia="SimSun"/>
                <w:b/>
                <w:bCs/>
                <w:iCs/>
                <w:sz w:val="18"/>
                <w:szCs w:val="18"/>
                <w:lang w:val="en-GB" w:eastAsia="zh-CN"/>
              </w:rPr>
              <w:br/>
              <w:t>[mg a.s./kg b.w./d]</w:t>
            </w:r>
          </w:p>
        </w:tc>
      </w:tr>
      <w:tr w:rsidR="00E51CDD" w:rsidRPr="00A268BF" w14:paraId="06F6B208" w14:textId="77777777" w:rsidTr="009938D9">
        <w:trPr>
          <w:trHeight w:val="562"/>
        </w:trPr>
        <w:tc>
          <w:tcPr>
            <w:tcW w:w="544" w:type="pct"/>
            <w:tcBorders>
              <w:top w:val="single" w:sz="4" w:space="0" w:color="auto"/>
              <w:left w:val="single" w:sz="4" w:space="0" w:color="auto"/>
              <w:bottom w:val="single" w:sz="4" w:space="0" w:color="auto"/>
              <w:right w:val="single" w:sz="4" w:space="0" w:color="auto"/>
            </w:tcBorders>
            <w:hideMark/>
          </w:tcPr>
          <w:p w14:paraId="1AD7AE02"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Grasses/</w:t>
            </w:r>
          </w:p>
          <w:p w14:paraId="5F3B5406" w14:textId="77777777" w:rsidR="00E51CDD" w:rsidRPr="00A268BF" w:rsidRDefault="00E51CDD" w:rsidP="009938D9">
            <w:pPr>
              <w:keepNext/>
              <w:keepLines/>
              <w:rPr>
                <w:rFonts w:eastAsia="SimSun"/>
                <w:iCs/>
                <w:sz w:val="18"/>
                <w:szCs w:val="18"/>
                <w:lang w:val="en-GB" w:eastAsia="zh-CN"/>
              </w:rPr>
            </w:pPr>
            <w:r w:rsidRPr="00A268BF">
              <w:rPr>
                <w:rFonts w:eastAsia="SimSun"/>
                <w:b/>
                <w:bCs/>
                <w:iCs/>
                <w:sz w:val="18"/>
                <w:szCs w:val="18"/>
                <w:lang w:val="en-GB" w:eastAsia="zh-CN"/>
              </w:rPr>
              <w:t>Cereal shoots</w:t>
            </w:r>
          </w:p>
        </w:tc>
        <w:tc>
          <w:tcPr>
            <w:tcW w:w="553" w:type="pct"/>
            <w:tcBorders>
              <w:top w:val="single" w:sz="4" w:space="0" w:color="auto"/>
              <w:left w:val="single" w:sz="4" w:space="0" w:color="auto"/>
              <w:bottom w:val="single" w:sz="4" w:space="0" w:color="auto"/>
              <w:right w:val="single" w:sz="4" w:space="0" w:color="auto"/>
            </w:tcBorders>
            <w:noWrap/>
            <w:vAlign w:val="center"/>
            <w:hideMark/>
          </w:tcPr>
          <w:p w14:paraId="02134718"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1.</w:t>
            </w:r>
            <w:r>
              <w:rPr>
                <w:rFonts w:eastAsia="SimSun"/>
                <w:iCs/>
                <w:sz w:val="18"/>
                <w:szCs w:val="18"/>
                <w:lang w:val="en-GB" w:eastAsia="zh-CN"/>
              </w:rPr>
              <w:t>334</w:t>
            </w:r>
          </w:p>
        </w:tc>
        <w:tc>
          <w:tcPr>
            <w:tcW w:w="528" w:type="pct"/>
            <w:tcBorders>
              <w:top w:val="single" w:sz="4" w:space="0" w:color="auto"/>
              <w:left w:val="single" w:sz="4" w:space="0" w:color="auto"/>
              <w:bottom w:val="single" w:sz="4" w:space="0" w:color="auto"/>
              <w:right w:val="single" w:sz="4" w:space="0" w:color="auto"/>
            </w:tcBorders>
            <w:noWrap/>
            <w:vAlign w:val="center"/>
            <w:hideMark/>
          </w:tcPr>
          <w:p w14:paraId="389B2030"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1.0</w:t>
            </w:r>
          </w:p>
        </w:tc>
        <w:tc>
          <w:tcPr>
            <w:tcW w:w="379" w:type="pct"/>
            <w:tcBorders>
              <w:top w:val="single" w:sz="4" w:space="0" w:color="auto"/>
              <w:left w:val="single" w:sz="4" w:space="0" w:color="auto"/>
              <w:bottom w:val="single" w:sz="4" w:space="0" w:color="auto"/>
              <w:right w:val="single" w:sz="4" w:space="0" w:color="auto"/>
            </w:tcBorders>
            <w:noWrap/>
            <w:vAlign w:val="center"/>
            <w:hideMark/>
          </w:tcPr>
          <w:p w14:paraId="322E9B52"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1.0</w:t>
            </w:r>
          </w:p>
        </w:tc>
        <w:tc>
          <w:tcPr>
            <w:tcW w:w="587" w:type="pct"/>
            <w:tcBorders>
              <w:top w:val="single" w:sz="4" w:space="0" w:color="auto"/>
              <w:left w:val="single" w:sz="4" w:space="0" w:color="auto"/>
              <w:bottom w:val="single" w:sz="4" w:space="0" w:color="auto"/>
              <w:right w:val="single" w:sz="4" w:space="0" w:color="auto"/>
            </w:tcBorders>
            <w:noWrap/>
            <w:vAlign w:val="center"/>
            <w:hideMark/>
          </w:tcPr>
          <w:p w14:paraId="41096704"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102.3</w:t>
            </w:r>
          </w:p>
        </w:tc>
        <w:tc>
          <w:tcPr>
            <w:tcW w:w="379" w:type="pct"/>
            <w:tcBorders>
              <w:top w:val="single" w:sz="4" w:space="0" w:color="auto"/>
              <w:left w:val="single" w:sz="4" w:space="0" w:color="auto"/>
              <w:bottom w:val="single" w:sz="4" w:space="0" w:color="auto"/>
              <w:right w:val="single" w:sz="4" w:space="0" w:color="auto"/>
            </w:tcBorders>
            <w:vAlign w:val="center"/>
          </w:tcPr>
          <w:p w14:paraId="20C1D035"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1.14</w:t>
            </w:r>
            <w:r w:rsidRPr="002341B9">
              <w:rPr>
                <w:rFonts w:eastAsia="SimSun"/>
                <w:iCs/>
                <w:strike/>
                <w:color w:val="D9D9D9" w:themeColor="background1" w:themeShade="D9"/>
                <w:sz w:val="18"/>
                <w:szCs w:val="18"/>
                <w:vertAlign w:val="superscript"/>
                <w:lang w:val="en-GB" w:eastAsia="zh-CN"/>
              </w:rPr>
              <w:t>)</w:t>
            </w:r>
          </w:p>
        </w:tc>
        <w:tc>
          <w:tcPr>
            <w:tcW w:w="471" w:type="pct"/>
            <w:tcBorders>
              <w:top w:val="single" w:sz="4" w:space="0" w:color="auto"/>
              <w:left w:val="single" w:sz="4" w:space="0" w:color="auto"/>
              <w:bottom w:val="single" w:sz="4" w:space="0" w:color="auto"/>
              <w:right w:val="single" w:sz="4" w:space="0" w:color="auto"/>
            </w:tcBorders>
            <w:vAlign w:val="center"/>
            <w:hideMark/>
          </w:tcPr>
          <w:p w14:paraId="465D4D3B"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0468B152"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0.1</w:t>
            </w:r>
            <w:r>
              <w:rPr>
                <w:rFonts w:eastAsia="SimSun"/>
                <w:iCs/>
                <w:sz w:val="18"/>
                <w:szCs w:val="18"/>
                <w:lang w:val="en-GB" w:eastAsia="zh-CN"/>
              </w:rPr>
              <w:t> </w:t>
            </w:r>
            <w:r>
              <w:rPr>
                <w:rFonts w:eastAsia="SimSun"/>
                <w:iCs/>
                <w:sz w:val="18"/>
                <w:szCs w:val="18"/>
                <w:vertAlign w:val="superscript"/>
                <w:lang w:val="en-GB" w:eastAsia="zh-CN"/>
              </w:rPr>
              <w:t>1</w:t>
            </w:r>
            <w:r w:rsidRPr="00A268BF">
              <w:rPr>
                <w:rFonts w:eastAsia="SimSun"/>
                <w:iCs/>
                <w:sz w:val="18"/>
                <w:szCs w:val="18"/>
                <w:vertAlign w:val="superscript"/>
                <w:lang w:val="en-GB" w:eastAsia="zh-CN"/>
              </w:rPr>
              <w:t>)</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3F6744F2"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2.156</w:t>
            </w:r>
          </w:p>
        </w:tc>
        <w:tc>
          <w:tcPr>
            <w:tcW w:w="618" w:type="pct"/>
            <w:tcBorders>
              <w:top w:val="single" w:sz="4" w:space="0" w:color="auto"/>
              <w:left w:val="single" w:sz="4" w:space="0" w:color="auto"/>
              <w:bottom w:val="single" w:sz="4" w:space="0" w:color="auto"/>
              <w:right w:val="single" w:sz="4" w:space="0" w:color="auto"/>
            </w:tcBorders>
            <w:noWrap/>
            <w:vAlign w:val="center"/>
            <w:hideMark/>
          </w:tcPr>
          <w:p w14:paraId="77CCCD8E"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33.535</w:t>
            </w:r>
          </w:p>
        </w:tc>
      </w:tr>
      <w:tr w:rsidR="00E51CDD" w:rsidRPr="00A268BF" w14:paraId="70EDEB61" w14:textId="77777777" w:rsidTr="009938D9">
        <w:trPr>
          <w:trHeight w:val="351"/>
        </w:trPr>
        <w:tc>
          <w:tcPr>
            <w:tcW w:w="4382" w:type="pct"/>
            <w:gridSpan w:val="9"/>
            <w:tcBorders>
              <w:top w:val="single" w:sz="4" w:space="0" w:color="auto"/>
              <w:left w:val="single" w:sz="4" w:space="0" w:color="auto"/>
              <w:bottom w:val="single" w:sz="4" w:space="0" w:color="auto"/>
              <w:right w:val="single" w:sz="4" w:space="0" w:color="auto"/>
            </w:tcBorders>
          </w:tcPr>
          <w:p w14:paraId="411890AF"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Toxicity endpoint [mg a.s./kg b.w./d]</w:t>
            </w:r>
          </w:p>
        </w:tc>
        <w:tc>
          <w:tcPr>
            <w:tcW w:w="618" w:type="pct"/>
            <w:tcBorders>
              <w:top w:val="single" w:sz="4" w:space="0" w:color="auto"/>
              <w:left w:val="single" w:sz="4" w:space="0" w:color="auto"/>
              <w:bottom w:val="single" w:sz="4" w:space="0" w:color="auto"/>
              <w:right w:val="single" w:sz="4" w:space="0" w:color="auto"/>
            </w:tcBorders>
            <w:noWrap/>
            <w:vAlign w:val="center"/>
            <w:hideMark/>
          </w:tcPr>
          <w:p w14:paraId="667350C1"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&gt; 500</w:t>
            </w:r>
          </w:p>
        </w:tc>
      </w:tr>
      <w:tr w:rsidR="00E51CDD" w:rsidRPr="00A268BF" w14:paraId="5156A36E" w14:textId="77777777" w:rsidTr="009938D9">
        <w:trPr>
          <w:trHeight w:val="270"/>
        </w:trPr>
        <w:tc>
          <w:tcPr>
            <w:tcW w:w="4382" w:type="pct"/>
            <w:gridSpan w:val="9"/>
            <w:tcBorders>
              <w:top w:val="single" w:sz="4" w:space="0" w:color="auto"/>
              <w:left w:val="single" w:sz="4" w:space="0" w:color="auto"/>
              <w:bottom w:val="single" w:sz="4" w:space="0" w:color="auto"/>
              <w:right w:val="single" w:sz="4" w:space="0" w:color="auto"/>
            </w:tcBorders>
          </w:tcPr>
          <w:p w14:paraId="726BDE53"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TER</w:t>
            </w:r>
            <w:r>
              <w:rPr>
                <w:rFonts w:eastAsia="SimSun"/>
                <w:b/>
                <w:bCs/>
                <w:iCs/>
                <w:sz w:val="18"/>
                <w:szCs w:val="18"/>
                <w:vertAlign w:val="subscript"/>
                <w:lang w:val="en-GB" w:eastAsia="zh-CN"/>
              </w:rPr>
              <w:t>A</w:t>
            </w:r>
          </w:p>
        </w:tc>
        <w:tc>
          <w:tcPr>
            <w:tcW w:w="618" w:type="pct"/>
            <w:tcBorders>
              <w:top w:val="single" w:sz="4" w:space="0" w:color="auto"/>
              <w:left w:val="single" w:sz="4" w:space="0" w:color="auto"/>
              <w:bottom w:val="single" w:sz="4" w:space="0" w:color="auto"/>
              <w:right w:val="single" w:sz="4" w:space="0" w:color="auto"/>
            </w:tcBorders>
            <w:noWrap/>
            <w:vAlign w:val="center"/>
            <w:hideMark/>
          </w:tcPr>
          <w:p w14:paraId="2F3CFA2F"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&gt; 14.91</w:t>
            </w:r>
          </w:p>
        </w:tc>
      </w:tr>
    </w:tbl>
    <w:p w14:paraId="03C8A24F" w14:textId="77777777" w:rsidR="00E51CDD" w:rsidRPr="00E74319" w:rsidRDefault="00E51CDD" w:rsidP="00E51CDD">
      <w:pPr>
        <w:jc w:val="both"/>
        <w:rPr>
          <w:sz w:val="2"/>
          <w:szCs w:val="2"/>
          <w:lang w:val="en-GB"/>
        </w:rPr>
      </w:pPr>
    </w:p>
    <w:p w14:paraId="43076107" w14:textId="77777777" w:rsidR="00E51CDD" w:rsidRDefault="00E51CDD" w:rsidP="00E51CDD">
      <w:pPr>
        <w:widowControl w:val="0"/>
        <w:jc w:val="both"/>
        <w:rPr>
          <w:iCs/>
          <w:sz w:val="18"/>
          <w:szCs w:val="18"/>
          <w:lang w:val="en-GB" w:eastAsia="zh-CN"/>
        </w:rPr>
      </w:pPr>
      <w:r>
        <w:rPr>
          <w:iCs/>
          <w:sz w:val="18"/>
          <w:szCs w:val="18"/>
          <w:vertAlign w:val="superscript"/>
          <w:lang w:val="en-GB" w:eastAsia="zh-CN"/>
        </w:rPr>
        <w:t>1</w:t>
      </w:r>
      <w:r w:rsidRPr="00A268BF">
        <w:rPr>
          <w:iCs/>
          <w:sz w:val="18"/>
          <w:szCs w:val="18"/>
          <w:vertAlign w:val="superscript"/>
          <w:lang w:val="en-GB" w:eastAsia="zh-CN"/>
        </w:rPr>
        <w:t>)</w:t>
      </w:r>
      <w:r w:rsidRPr="00A268BF">
        <w:rPr>
          <w:iCs/>
          <w:sz w:val="18"/>
          <w:szCs w:val="18"/>
          <w:lang w:val="en-GB" w:eastAsia="zh-CN"/>
        </w:rPr>
        <w:t xml:space="preserve"> Refined parameter</w:t>
      </w:r>
    </w:p>
    <w:p w14:paraId="0D222974" w14:textId="77777777" w:rsidR="00E51CDD" w:rsidRDefault="00E51CDD" w:rsidP="00E51CDD">
      <w:pPr>
        <w:widowControl w:val="0"/>
        <w:jc w:val="both"/>
        <w:rPr>
          <w:iCs/>
          <w:sz w:val="18"/>
          <w:szCs w:val="18"/>
          <w:lang w:val="en-GB"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0812D9" w:rsidRPr="00DD5DB0" w14:paraId="6D54C113" w14:textId="77777777" w:rsidTr="00482A2A">
        <w:trPr>
          <w:trHeight w:val="1541"/>
        </w:trPr>
        <w:tc>
          <w:tcPr>
            <w:tcW w:w="5000" w:type="pct"/>
            <w:shd w:val="clear" w:color="auto" w:fill="D9D9D9"/>
          </w:tcPr>
          <w:p w14:paraId="3681C18F" w14:textId="77777777" w:rsidR="000812D9" w:rsidRPr="00F5456E" w:rsidRDefault="000812D9" w:rsidP="00482A2A">
            <w:pPr>
              <w:pStyle w:val="TableText"/>
              <w:spacing w:before="120" w:after="120"/>
              <w:jc w:val="both"/>
              <w:rPr>
                <w:b/>
                <w:bCs/>
                <w:sz w:val="22"/>
                <w:szCs w:val="22"/>
                <w:lang w:eastAsia="en-US"/>
              </w:rPr>
            </w:pPr>
            <w:r w:rsidRPr="00F5456E">
              <w:rPr>
                <w:b/>
                <w:bCs/>
                <w:sz w:val="22"/>
                <w:szCs w:val="22"/>
                <w:lang w:eastAsia="en-US"/>
              </w:rPr>
              <w:t>Review Comments:</w:t>
            </w:r>
          </w:p>
          <w:p w14:paraId="3C038010" w14:textId="4CAA493E" w:rsidR="000812D9" w:rsidRPr="00C24BD1" w:rsidRDefault="000812D9" w:rsidP="00482A2A">
            <w:pPr>
              <w:shd w:val="clear" w:color="auto" w:fill="D9D9D9"/>
              <w:spacing w:before="120" w:after="120"/>
              <w:jc w:val="both"/>
              <w:rPr>
                <w:lang w:val="en-GB"/>
              </w:rPr>
            </w:pPr>
            <w:r>
              <w:rPr>
                <w:rFonts w:cs="Arial"/>
              </w:rPr>
              <w:t xml:space="preserve">According to </w:t>
            </w:r>
            <w:r w:rsidR="00140D95">
              <w:rPr>
                <w:rFonts w:cs="Arial"/>
              </w:rPr>
              <w:t xml:space="preserve">“Working document on Risk Assessment of Plant Protection Products in the Central Zone – Ecotoxicology” (May 2021), point </w:t>
            </w:r>
            <w:r w:rsidR="000724EE">
              <w:rPr>
                <w:rFonts w:cs="Arial"/>
              </w:rPr>
              <w:t xml:space="preserve">3.2.15, the interception values following EFSA </w:t>
            </w:r>
            <w:r w:rsidR="00A34C1E">
              <w:t>Guidance Document to obtain DegT50 values</w:t>
            </w:r>
            <w:r w:rsidR="00482A2A">
              <w:t xml:space="preserve"> (EFSA Journal 2014;12(5):3662), can be use in the Tier 2 risk assessment. Therefore, the Applicant proposal was accepted. </w:t>
            </w:r>
            <w:r>
              <w:rPr>
                <w:rFonts w:cs="Arial"/>
              </w:rPr>
              <w:t xml:space="preserve"> </w:t>
            </w:r>
          </w:p>
        </w:tc>
      </w:tr>
    </w:tbl>
    <w:p w14:paraId="4644083A" w14:textId="77777777" w:rsidR="000812D9" w:rsidRDefault="000812D9" w:rsidP="00E51CDD">
      <w:pPr>
        <w:widowControl w:val="0"/>
        <w:jc w:val="both"/>
        <w:rPr>
          <w:iCs/>
          <w:sz w:val="18"/>
          <w:szCs w:val="18"/>
          <w:lang w:val="en-GB" w:eastAsia="zh-CN"/>
        </w:rPr>
      </w:pPr>
    </w:p>
    <w:p w14:paraId="7F7B4136" w14:textId="77777777" w:rsidR="000812D9" w:rsidRDefault="000812D9" w:rsidP="00E51CDD">
      <w:pPr>
        <w:widowControl w:val="0"/>
        <w:jc w:val="both"/>
        <w:rPr>
          <w:iCs/>
          <w:sz w:val="18"/>
          <w:szCs w:val="18"/>
          <w:lang w:val="en-GB" w:eastAsia="zh-CN"/>
        </w:rPr>
      </w:pPr>
    </w:p>
    <w:p w14:paraId="0E272FF7" w14:textId="77777777" w:rsidR="00E51CDD" w:rsidRPr="00F64054" w:rsidRDefault="00E51CDD" w:rsidP="00E51CDD">
      <w:pPr>
        <w:widowControl w:val="0"/>
        <w:ind w:left="426"/>
        <w:jc w:val="both"/>
        <w:rPr>
          <w:rFonts w:eastAsia="Batang"/>
          <w:i/>
          <w:iCs/>
          <w:color w:val="000000" w:themeColor="text1"/>
          <w:lang w:eastAsia="zh-CN"/>
        </w:rPr>
      </w:pPr>
      <w:r>
        <w:rPr>
          <w:i/>
          <w:lang w:val="en-GB"/>
        </w:rPr>
        <w:t xml:space="preserve">Approach 2: </w:t>
      </w:r>
      <w:r w:rsidRPr="00F64054">
        <w:rPr>
          <w:rFonts w:eastAsia="Batang"/>
          <w:i/>
          <w:iCs/>
          <w:color w:val="000000" w:themeColor="text1"/>
          <w:lang w:eastAsia="zh-CN"/>
        </w:rPr>
        <w:t xml:space="preserve">Refined acute endpoint from the formulation study </w:t>
      </w:r>
    </w:p>
    <w:p w14:paraId="1067DD17" w14:textId="77777777" w:rsidR="00E51CDD" w:rsidRDefault="00E51CDD" w:rsidP="00E51CDD">
      <w:pPr>
        <w:widowControl w:val="0"/>
        <w:jc w:val="both"/>
        <w:rPr>
          <w:rFonts w:eastAsia="Batang"/>
          <w:color w:val="000000" w:themeColor="text1"/>
          <w:lang w:eastAsia="zh-CN"/>
        </w:rPr>
      </w:pPr>
    </w:p>
    <w:p w14:paraId="7B998455" w14:textId="77777777" w:rsidR="00E51CDD" w:rsidRPr="008C45EC" w:rsidRDefault="00E51CDD" w:rsidP="00E51CDD">
      <w:pPr>
        <w:widowControl w:val="0"/>
        <w:jc w:val="both"/>
        <w:rPr>
          <w:rFonts w:eastAsia="Batang"/>
          <w:color w:val="000000" w:themeColor="text1"/>
          <w:lang w:eastAsia="zh-CN"/>
        </w:rPr>
      </w:pPr>
      <w:r w:rsidRPr="00F64054">
        <w:rPr>
          <w:color w:val="000000" w:themeColor="text1"/>
        </w:rPr>
        <w:t>It is acknowledged that the rat toxicity study that was conducted for classification and labeling purposes is not suitable to derive precise LD</w:t>
      </w:r>
      <w:r w:rsidRPr="00F64054">
        <w:rPr>
          <w:color w:val="000000" w:themeColor="text1"/>
          <w:vertAlign w:val="subscript"/>
        </w:rPr>
        <w:t>50</w:t>
      </w:r>
      <w:r w:rsidRPr="00F64054">
        <w:rPr>
          <w:color w:val="000000" w:themeColor="text1"/>
        </w:rPr>
        <w:t xml:space="preserve"> values. </w:t>
      </w:r>
      <w:r w:rsidRPr="008C45EC">
        <w:rPr>
          <w:rFonts w:eastAsia="Batang"/>
          <w:color w:val="000000" w:themeColor="text1"/>
          <w:lang w:eastAsia="zh-CN"/>
        </w:rPr>
        <w:t>The dose of 500 mg/kg b.w. did not lead to any mortality and thus the use of this dose level as surrogate for an LD</w:t>
      </w:r>
      <w:r w:rsidRPr="008C45EC">
        <w:rPr>
          <w:rFonts w:eastAsia="Batang"/>
          <w:color w:val="000000" w:themeColor="text1"/>
          <w:vertAlign w:val="subscript"/>
          <w:lang w:eastAsia="zh-CN"/>
        </w:rPr>
        <w:t>50</w:t>
      </w:r>
      <w:r w:rsidRPr="008C45EC">
        <w:rPr>
          <w:rFonts w:eastAsia="Batang"/>
          <w:color w:val="000000" w:themeColor="text1"/>
          <w:lang w:eastAsia="zh-CN"/>
        </w:rPr>
        <w:t xml:space="preserve"> represents an unrealistic assessment of the risk. </w:t>
      </w:r>
      <w:r w:rsidRPr="008C45EC">
        <w:rPr>
          <w:rFonts w:eastAsia="Batang"/>
          <w:color w:val="000000" w:themeColor="text1"/>
          <w:lang w:eastAsia="zh-CN"/>
        </w:rPr>
        <w:lastRenderedPageBreak/>
        <w:t xml:space="preserve">Therefore, the interpolated </w:t>
      </w:r>
      <w:r w:rsidRPr="008C45EC">
        <w:rPr>
          <w:color w:val="000000" w:themeColor="text1"/>
        </w:rPr>
        <w:t>LD</w:t>
      </w:r>
      <w:r w:rsidRPr="008C45EC">
        <w:rPr>
          <w:color w:val="000000" w:themeColor="text1"/>
          <w:vertAlign w:val="subscript"/>
        </w:rPr>
        <w:t>50</w:t>
      </w:r>
      <w:r w:rsidRPr="008C45EC">
        <w:rPr>
          <w:color w:val="000000" w:themeColor="text1"/>
        </w:rPr>
        <w:t xml:space="preserve"> of 1848 mg/kg b.w. for BAS 736 00 F</w:t>
      </w:r>
      <w:r>
        <w:rPr>
          <w:color w:val="000000" w:themeColor="text1"/>
        </w:rPr>
        <w:t xml:space="preserve"> </w:t>
      </w:r>
      <w:r w:rsidRPr="008C45EC">
        <w:rPr>
          <w:color w:val="000000" w:themeColor="text1"/>
        </w:rPr>
        <w:t xml:space="preserve">(see chapter 9.3.1) </w:t>
      </w:r>
      <w:r>
        <w:rPr>
          <w:color w:val="000000" w:themeColor="text1"/>
        </w:rPr>
        <w:t xml:space="preserve">has been considered in the refined risk assessment. </w:t>
      </w:r>
    </w:p>
    <w:p w14:paraId="4B76ADEF" w14:textId="77777777" w:rsidR="00E51CDD" w:rsidRDefault="00E51CDD" w:rsidP="00E51CDD">
      <w:pPr>
        <w:widowControl w:val="0"/>
        <w:jc w:val="both"/>
        <w:rPr>
          <w:iCs/>
          <w:sz w:val="18"/>
          <w:szCs w:val="18"/>
          <w:lang w:val="en-GB" w:eastAsia="zh-CN"/>
        </w:rPr>
      </w:pPr>
    </w:p>
    <w:p w14:paraId="22FB89CF" w14:textId="05CDD05A" w:rsidR="00E51CDD" w:rsidRDefault="00E51CDD" w:rsidP="00E51CDD">
      <w:pPr>
        <w:widowControl w:val="0"/>
        <w:jc w:val="both"/>
        <w:rPr>
          <w:rFonts w:eastAsia="Batang"/>
          <w:lang w:eastAsia="zh-CN"/>
        </w:rPr>
      </w:pPr>
      <w:r>
        <w:rPr>
          <w:rFonts w:eastAsia="Batang"/>
          <w:lang w:eastAsia="zh-CN"/>
        </w:rPr>
        <w:t xml:space="preserve">The refined combined acute TER for the formulation </w:t>
      </w:r>
      <w:r>
        <w:rPr>
          <w:lang w:val="en-GB" w:eastAsia="en-US"/>
        </w:rPr>
        <w:t xml:space="preserve">considering the refined acute endpoint is presented in </w:t>
      </w:r>
      <w:r w:rsidRPr="003029A8">
        <w:rPr>
          <w:lang w:val="en-GB" w:eastAsia="en-US"/>
        </w:rPr>
        <w:fldChar w:fldCharType="begin"/>
      </w:r>
      <w:r w:rsidRPr="003029A8">
        <w:rPr>
          <w:lang w:val="en-GB" w:eastAsia="en-US"/>
        </w:rPr>
        <w:instrText xml:space="preserve"> REF _Ref4764954 \h  \* MERGEFORMAT </w:instrText>
      </w:r>
      <w:r w:rsidRPr="003029A8">
        <w:rPr>
          <w:lang w:val="en-GB" w:eastAsia="en-US"/>
        </w:rPr>
      </w:r>
      <w:r w:rsidRPr="003029A8">
        <w:rPr>
          <w:lang w:val="en-GB" w:eastAsia="en-US"/>
        </w:rPr>
        <w:fldChar w:fldCharType="separate"/>
      </w:r>
      <w:r w:rsidR="00662F32" w:rsidRPr="00662F32">
        <w:rPr>
          <w:color w:val="000000" w:themeColor="text1"/>
          <w:lang w:val="en-GB"/>
        </w:rPr>
        <w:t xml:space="preserve">Table </w:t>
      </w:r>
      <w:r w:rsidR="00662F32" w:rsidRPr="00662F32">
        <w:rPr>
          <w:noProof/>
          <w:color w:val="000000" w:themeColor="text1"/>
          <w:lang w:val="en-GB"/>
        </w:rPr>
        <w:t>9.3</w:t>
      </w:r>
      <w:r w:rsidR="00662F32" w:rsidRPr="00662F32">
        <w:rPr>
          <w:noProof/>
          <w:color w:val="000000" w:themeColor="text1"/>
          <w:lang w:val="en-GB"/>
        </w:rPr>
        <w:noBreakHyphen/>
        <w:t>13</w:t>
      </w:r>
      <w:r w:rsidRPr="003029A8">
        <w:rPr>
          <w:lang w:val="en-GB" w:eastAsia="en-US"/>
        </w:rPr>
        <w:fldChar w:fldCharType="end"/>
      </w:r>
      <w:r>
        <w:rPr>
          <w:lang w:val="en-GB" w:eastAsia="en-US"/>
        </w:rPr>
        <w:t>.</w:t>
      </w:r>
    </w:p>
    <w:p w14:paraId="26E297D4" w14:textId="2733C50C" w:rsidR="00E51CDD" w:rsidRPr="008C45EC" w:rsidRDefault="00E51CDD" w:rsidP="00E51CDD">
      <w:pPr>
        <w:widowControl w:val="0"/>
        <w:tabs>
          <w:tab w:val="left" w:pos="1985"/>
        </w:tabs>
        <w:spacing w:before="200"/>
        <w:ind w:left="1985" w:hanging="1985"/>
        <w:jc w:val="both"/>
        <w:rPr>
          <w:rFonts w:eastAsia="Batang"/>
          <w:b/>
          <w:bCs/>
          <w:color w:val="000000" w:themeColor="text1"/>
          <w:lang w:val="en-GB" w:eastAsia="zh-CN"/>
        </w:rPr>
      </w:pPr>
      <w:bookmarkStart w:id="386" w:name="_Ref4764954"/>
      <w:bookmarkStart w:id="387" w:name="_Hlk534882224"/>
      <w:bookmarkStart w:id="388" w:name="_Hlk366110"/>
      <w:r w:rsidRPr="008C45EC">
        <w:rPr>
          <w:b/>
          <w:bCs/>
          <w:color w:val="000000" w:themeColor="text1"/>
          <w:lang w:val="en-GB"/>
        </w:rPr>
        <w:t xml:space="preserve">Table </w:t>
      </w:r>
      <w:r w:rsidRPr="008C45EC">
        <w:rPr>
          <w:color w:val="000000" w:themeColor="text1"/>
        </w:rPr>
        <w:fldChar w:fldCharType="begin"/>
      </w:r>
      <w:r w:rsidRPr="008C45EC">
        <w:rPr>
          <w:b/>
          <w:bCs/>
          <w:color w:val="000000" w:themeColor="text1"/>
          <w:lang w:val="en-GB"/>
        </w:rPr>
        <w:instrText xml:space="preserve"> STYLEREF 2 \s </w:instrText>
      </w:r>
      <w:r w:rsidRPr="008C45EC">
        <w:rPr>
          <w:color w:val="000000" w:themeColor="text1"/>
        </w:rPr>
        <w:fldChar w:fldCharType="separate"/>
      </w:r>
      <w:r w:rsidR="00662F32">
        <w:rPr>
          <w:b/>
          <w:bCs/>
          <w:noProof/>
          <w:color w:val="000000" w:themeColor="text1"/>
          <w:lang w:val="en-GB"/>
        </w:rPr>
        <w:t>9.3</w:t>
      </w:r>
      <w:r w:rsidRPr="008C45EC">
        <w:rPr>
          <w:color w:val="000000" w:themeColor="text1"/>
        </w:rPr>
        <w:fldChar w:fldCharType="end"/>
      </w:r>
      <w:r w:rsidRPr="008C45EC">
        <w:rPr>
          <w:b/>
          <w:bCs/>
          <w:color w:val="000000" w:themeColor="text1"/>
          <w:lang w:val="en-GB"/>
        </w:rPr>
        <w:noBreakHyphen/>
      </w:r>
      <w:r w:rsidRPr="008C45EC">
        <w:rPr>
          <w:color w:val="000000" w:themeColor="text1"/>
        </w:rPr>
        <w:fldChar w:fldCharType="begin"/>
      </w:r>
      <w:r w:rsidRPr="008C45EC">
        <w:rPr>
          <w:b/>
          <w:bCs/>
          <w:color w:val="000000" w:themeColor="text1"/>
          <w:lang w:val="en-GB"/>
        </w:rPr>
        <w:instrText xml:space="preserve"> SEQ Table \* ARABIC \s 2 </w:instrText>
      </w:r>
      <w:r w:rsidRPr="008C45EC">
        <w:rPr>
          <w:color w:val="000000" w:themeColor="text1"/>
        </w:rPr>
        <w:fldChar w:fldCharType="separate"/>
      </w:r>
      <w:r w:rsidR="00662F32">
        <w:rPr>
          <w:b/>
          <w:bCs/>
          <w:noProof/>
          <w:color w:val="000000" w:themeColor="text1"/>
          <w:lang w:val="en-GB"/>
        </w:rPr>
        <w:t>13</w:t>
      </w:r>
      <w:r w:rsidRPr="008C45EC">
        <w:rPr>
          <w:color w:val="000000" w:themeColor="text1"/>
        </w:rPr>
        <w:fldChar w:fldCharType="end"/>
      </w:r>
      <w:bookmarkEnd w:id="386"/>
      <w:r w:rsidRPr="008C45EC">
        <w:rPr>
          <w:b/>
          <w:bCs/>
          <w:color w:val="000000" w:themeColor="text1"/>
          <w:lang w:val="en-GB"/>
        </w:rPr>
        <w:t xml:space="preserve">: </w:t>
      </w:r>
      <w:r w:rsidRPr="008C45EC">
        <w:rPr>
          <w:b/>
          <w:bCs/>
          <w:color w:val="000000" w:themeColor="text1"/>
          <w:lang w:val="en-GB"/>
        </w:rPr>
        <w:tab/>
      </w:r>
      <w:r>
        <w:rPr>
          <w:b/>
          <w:bCs/>
          <w:iCs/>
          <w:lang w:val="en-GB"/>
        </w:rPr>
        <w:t xml:space="preserve">BAS 736 00 F: </w:t>
      </w:r>
      <w:r>
        <w:rPr>
          <w:b/>
          <w:bCs/>
          <w:color w:val="000000" w:themeColor="text1"/>
          <w:lang w:val="en-GB"/>
        </w:rPr>
        <w:t>Refined</w:t>
      </w:r>
      <w:r w:rsidRPr="008C45EC">
        <w:rPr>
          <w:b/>
          <w:bCs/>
          <w:color w:val="000000" w:themeColor="text1"/>
          <w:lang w:val="en-GB"/>
        </w:rPr>
        <w:t xml:space="preserve"> acute </w:t>
      </w:r>
      <w:r>
        <w:rPr>
          <w:b/>
          <w:bCs/>
          <w:color w:val="000000" w:themeColor="text1"/>
          <w:lang w:val="en-GB"/>
        </w:rPr>
        <w:t xml:space="preserve">dietary </w:t>
      </w:r>
      <w:r w:rsidRPr="008C45EC">
        <w:rPr>
          <w:b/>
          <w:bCs/>
          <w:color w:val="000000" w:themeColor="text1"/>
          <w:lang w:val="en-GB"/>
        </w:rPr>
        <w:t xml:space="preserve">risk assessment </w:t>
      </w:r>
      <w:bookmarkStart w:id="389" w:name="_Hlk20918868"/>
      <w:r w:rsidRPr="008C45EC">
        <w:rPr>
          <w:b/>
          <w:bCs/>
          <w:color w:val="000000" w:themeColor="text1"/>
          <w:lang w:val="en-GB"/>
        </w:rPr>
        <w:t xml:space="preserve">for the small herbivorous mammal “vole” scenario </w:t>
      </w:r>
      <w:bookmarkEnd w:id="389"/>
      <w:r w:rsidRPr="008C45EC">
        <w:rPr>
          <w:b/>
          <w:bCs/>
          <w:color w:val="000000" w:themeColor="text1"/>
          <w:lang w:val="en-GB"/>
        </w:rPr>
        <w:t xml:space="preserve">in cereals </w:t>
      </w:r>
      <w:r>
        <w:rPr>
          <w:b/>
          <w:bCs/>
          <w:color w:val="000000" w:themeColor="text1"/>
          <w:lang w:val="en-GB"/>
        </w:rPr>
        <w:t>based on the interpolated</w:t>
      </w:r>
      <w:r w:rsidRPr="008C45EC">
        <w:rPr>
          <w:b/>
          <w:bCs/>
          <w:color w:val="000000" w:themeColor="text1"/>
          <w:lang w:val="en-GB"/>
        </w:rPr>
        <w:t xml:space="preserve"> LD</w:t>
      </w:r>
      <w:r w:rsidRPr="008C45EC">
        <w:rPr>
          <w:b/>
          <w:bCs/>
          <w:color w:val="000000" w:themeColor="text1"/>
          <w:vertAlign w:val="subscript"/>
          <w:lang w:val="en-GB"/>
        </w:rPr>
        <w:t>50</w:t>
      </w:r>
      <w:r>
        <w:rPr>
          <w:b/>
          <w:bCs/>
          <w:color w:val="000000" w:themeColor="text1"/>
          <w:lang w:val="en-GB"/>
        </w:rPr>
        <w:t xml:space="preserve"> value – approach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1030"/>
        <w:gridCol w:w="981"/>
        <w:gridCol w:w="705"/>
        <w:gridCol w:w="1093"/>
        <w:gridCol w:w="746"/>
        <w:gridCol w:w="877"/>
        <w:gridCol w:w="701"/>
        <w:gridCol w:w="1050"/>
        <w:gridCol w:w="1151"/>
      </w:tblGrid>
      <w:tr w:rsidR="00E51CDD" w:rsidRPr="00A268BF" w14:paraId="33557049" w14:textId="77777777" w:rsidTr="009938D9">
        <w:trPr>
          <w:trHeight w:val="615"/>
        </w:trPr>
        <w:tc>
          <w:tcPr>
            <w:tcW w:w="543" w:type="pct"/>
            <w:tcBorders>
              <w:top w:val="single" w:sz="4" w:space="0" w:color="auto"/>
              <w:left w:val="single" w:sz="4" w:space="0" w:color="auto"/>
              <w:bottom w:val="single" w:sz="4" w:space="0" w:color="auto"/>
              <w:right w:val="single" w:sz="4" w:space="0" w:color="auto"/>
            </w:tcBorders>
            <w:noWrap/>
            <w:vAlign w:val="center"/>
            <w:hideMark/>
          </w:tcPr>
          <w:p w14:paraId="5DE75A62"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Food type</w:t>
            </w:r>
          </w:p>
        </w:tc>
        <w:tc>
          <w:tcPr>
            <w:tcW w:w="552" w:type="pct"/>
            <w:tcBorders>
              <w:top w:val="single" w:sz="4" w:space="0" w:color="auto"/>
              <w:left w:val="single" w:sz="4" w:space="0" w:color="auto"/>
              <w:bottom w:val="single" w:sz="4" w:space="0" w:color="auto"/>
              <w:right w:val="single" w:sz="4" w:space="0" w:color="auto"/>
            </w:tcBorders>
            <w:noWrap/>
            <w:vAlign w:val="center"/>
            <w:hideMark/>
          </w:tcPr>
          <w:p w14:paraId="0F834E8D"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FIR/bw</w:t>
            </w:r>
          </w:p>
        </w:tc>
        <w:tc>
          <w:tcPr>
            <w:tcW w:w="526" w:type="pct"/>
            <w:tcBorders>
              <w:top w:val="single" w:sz="4" w:space="0" w:color="auto"/>
              <w:left w:val="single" w:sz="4" w:space="0" w:color="auto"/>
              <w:bottom w:val="single" w:sz="4" w:space="0" w:color="auto"/>
              <w:right w:val="single" w:sz="4" w:space="0" w:color="auto"/>
            </w:tcBorders>
            <w:noWrap/>
            <w:vAlign w:val="center"/>
            <w:hideMark/>
          </w:tcPr>
          <w:p w14:paraId="3B692EBF"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PD</w:t>
            </w:r>
            <w:r w:rsidRPr="00A268BF">
              <w:rPr>
                <w:rFonts w:eastAsia="SimSun"/>
                <w:b/>
                <w:bCs/>
                <w:iCs/>
                <w:sz w:val="18"/>
                <w:szCs w:val="18"/>
                <w:vertAlign w:val="subscript"/>
                <w:lang w:val="en-GB" w:eastAsia="zh-CN"/>
              </w:rPr>
              <w:t>i</w:t>
            </w:r>
            <w:r w:rsidRPr="00A268BF">
              <w:rPr>
                <w:rFonts w:eastAsia="SimSun"/>
                <w:b/>
                <w:bCs/>
                <w:iCs/>
                <w:sz w:val="18"/>
                <w:szCs w:val="18"/>
                <w:lang w:val="en-GB" w:eastAsia="zh-CN"/>
              </w:rPr>
              <w:t>, fresh</w:t>
            </w:r>
          </w:p>
        </w:tc>
        <w:tc>
          <w:tcPr>
            <w:tcW w:w="378" w:type="pct"/>
            <w:tcBorders>
              <w:top w:val="single" w:sz="4" w:space="0" w:color="auto"/>
              <w:left w:val="single" w:sz="4" w:space="0" w:color="auto"/>
              <w:bottom w:val="single" w:sz="4" w:space="0" w:color="auto"/>
              <w:right w:val="single" w:sz="4" w:space="0" w:color="auto"/>
            </w:tcBorders>
            <w:noWrap/>
            <w:vAlign w:val="center"/>
            <w:hideMark/>
          </w:tcPr>
          <w:p w14:paraId="4D331FB7"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PT</w:t>
            </w:r>
          </w:p>
        </w:tc>
        <w:tc>
          <w:tcPr>
            <w:tcW w:w="586" w:type="pct"/>
            <w:tcBorders>
              <w:top w:val="single" w:sz="4" w:space="0" w:color="auto"/>
              <w:left w:val="single" w:sz="4" w:space="0" w:color="auto"/>
              <w:bottom w:val="single" w:sz="4" w:space="0" w:color="auto"/>
              <w:right w:val="single" w:sz="4" w:space="0" w:color="auto"/>
            </w:tcBorders>
            <w:vAlign w:val="center"/>
            <w:hideMark/>
          </w:tcPr>
          <w:p w14:paraId="3D549083" w14:textId="77777777" w:rsidR="00E51CDD" w:rsidRPr="00A268BF" w:rsidRDefault="00E51CDD" w:rsidP="009938D9">
            <w:pPr>
              <w:keepNext/>
              <w:keepLines/>
              <w:jc w:val="center"/>
              <w:rPr>
                <w:rFonts w:eastAsia="SimSun"/>
                <w:b/>
                <w:bCs/>
                <w:iCs/>
                <w:sz w:val="18"/>
                <w:szCs w:val="18"/>
                <w:vertAlign w:val="superscript"/>
                <w:lang w:val="en-GB" w:eastAsia="zh-CN"/>
              </w:rPr>
            </w:pPr>
            <w:r w:rsidRPr="00A268BF">
              <w:rPr>
                <w:rFonts w:eastAsia="SimSun"/>
                <w:b/>
                <w:bCs/>
                <w:iCs/>
                <w:sz w:val="18"/>
                <w:szCs w:val="18"/>
                <w:lang w:val="en-GB" w:eastAsia="zh-CN"/>
              </w:rPr>
              <w:t>RUD</w:t>
            </w:r>
            <w:r w:rsidRPr="004A4DB2">
              <w:rPr>
                <w:rFonts w:eastAsia="SimSun"/>
                <w:b/>
                <w:bCs/>
                <w:iCs/>
                <w:sz w:val="18"/>
                <w:szCs w:val="18"/>
                <w:vertAlign w:val="subscript"/>
                <w:lang w:val="en-GB" w:eastAsia="zh-CN"/>
              </w:rPr>
              <w:t>90</w:t>
            </w:r>
            <w:r w:rsidRPr="00A268BF">
              <w:rPr>
                <w:rFonts w:eastAsia="SimSun"/>
                <w:b/>
                <w:bCs/>
                <w:iCs/>
                <w:sz w:val="18"/>
                <w:szCs w:val="18"/>
                <w:lang w:val="en-GB" w:eastAsia="zh-CN"/>
              </w:rPr>
              <w:br/>
              <w:t>[mg a.s./kg]</w:t>
            </w:r>
          </w:p>
        </w:tc>
        <w:tc>
          <w:tcPr>
            <w:tcW w:w="390" w:type="pct"/>
            <w:tcBorders>
              <w:top w:val="single" w:sz="4" w:space="0" w:color="auto"/>
              <w:left w:val="single" w:sz="4" w:space="0" w:color="auto"/>
              <w:bottom w:val="single" w:sz="4" w:space="0" w:color="auto"/>
              <w:right w:val="single" w:sz="4" w:space="0" w:color="auto"/>
            </w:tcBorders>
            <w:vAlign w:val="center"/>
          </w:tcPr>
          <w:p w14:paraId="7038D40B" w14:textId="77777777" w:rsidR="00E51CDD" w:rsidRPr="00A268BF" w:rsidRDefault="00E51CDD" w:rsidP="009938D9">
            <w:pPr>
              <w:keepNext/>
              <w:keepLines/>
              <w:jc w:val="center"/>
              <w:rPr>
                <w:b/>
                <w:iCs/>
                <w:sz w:val="18"/>
                <w:szCs w:val="18"/>
                <w:lang w:val="en-GB"/>
              </w:rPr>
            </w:pPr>
            <w:r>
              <w:rPr>
                <w:b/>
                <w:iCs/>
                <w:sz w:val="18"/>
                <w:szCs w:val="18"/>
                <w:lang w:val="en-GB"/>
              </w:rPr>
              <w:t>MAF</w:t>
            </w:r>
            <w:r>
              <w:rPr>
                <w:b/>
                <w:iCs/>
                <w:sz w:val="18"/>
                <w:szCs w:val="18"/>
                <w:vertAlign w:val="subscript"/>
                <w:lang w:val="en-GB"/>
              </w:rPr>
              <w:t>90</w:t>
            </w:r>
          </w:p>
        </w:tc>
        <w:tc>
          <w:tcPr>
            <w:tcW w:w="470" w:type="pct"/>
            <w:tcBorders>
              <w:top w:val="single" w:sz="4" w:space="0" w:color="auto"/>
              <w:left w:val="single" w:sz="4" w:space="0" w:color="auto"/>
              <w:bottom w:val="single" w:sz="4" w:space="0" w:color="auto"/>
              <w:right w:val="single" w:sz="4" w:space="0" w:color="auto"/>
            </w:tcBorders>
            <w:vAlign w:val="center"/>
            <w:hideMark/>
          </w:tcPr>
          <w:p w14:paraId="4F2B9DC2" w14:textId="77777777" w:rsidR="00E51CDD" w:rsidRPr="00A268BF" w:rsidRDefault="00E51CDD" w:rsidP="009938D9">
            <w:pPr>
              <w:keepNext/>
              <w:keepLines/>
              <w:jc w:val="center"/>
              <w:rPr>
                <w:rFonts w:eastAsia="SimSun"/>
                <w:b/>
                <w:bCs/>
                <w:iCs/>
                <w:sz w:val="18"/>
                <w:szCs w:val="18"/>
                <w:lang w:val="en-GB" w:eastAsia="zh-CN"/>
              </w:rPr>
            </w:pPr>
            <w:r>
              <w:rPr>
                <w:b/>
                <w:iCs/>
                <w:sz w:val="18"/>
                <w:szCs w:val="18"/>
                <w:lang w:val="en-GB"/>
              </w:rPr>
              <w:t>fTWA</w:t>
            </w:r>
          </w:p>
        </w:tc>
        <w:tc>
          <w:tcPr>
            <w:tcW w:w="376" w:type="pct"/>
            <w:tcBorders>
              <w:top w:val="single" w:sz="4" w:space="0" w:color="auto"/>
              <w:left w:val="single" w:sz="4" w:space="0" w:color="auto"/>
              <w:bottom w:val="single" w:sz="4" w:space="0" w:color="auto"/>
              <w:right w:val="single" w:sz="4" w:space="0" w:color="auto"/>
            </w:tcBorders>
            <w:noWrap/>
            <w:vAlign w:val="center"/>
            <w:hideMark/>
          </w:tcPr>
          <w:p w14:paraId="57500DBE"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DF</w:t>
            </w:r>
          </w:p>
        </w:tc>
        <w:tc>
          <w:tcPr>
            <w:tcW w:w="563" w:type="pct"/>
            <w:tcBorders>
              <w:top w:val="single" w:sz="4" w:space="0" w:color="auto"/>
              <w:left w:val="single" w:sz="4" w:space="0" w:color="auto"/>
              <w:bottom w:val="single" w:sz="4" w:space="0" w:color="auto"/>
              <w:right w:val="single" w:sz="4" w:space="0" w:color="auto"/>
            </w:tcBorders>
            <w:vAlign w:val="center"/>
            <w:hideMark/>
          </w:tcPr>
          <w:p w14:paraId="352C0BF0"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Use rate</w:t>
            </w:r>
            <w:r w:rsidRPr="00A268BF">
              <w:rPr>
                <w:rFonts w:eastAsia="SimSun"/>
                <w:b/>
                <w:bCs/>
                <w:iCs/>
                <w:sz w:val="18"/>
                <w:szCs w:val="18"/>
                <w:lang w:val="en-GB" w:eastAsia="zh-CN"/>
              </w:rPr>
              <w:br/>
              <w:t>[kg a.s./ha]</w:t>
            </w:r>
          </w:p>
        </w:tc>
        <w:tc>
          <w:tcPr>
            <w:tcW w:w="617" w:type="pct"/>
            <w:tcBorders>
              <w:top w:val="single" w:sz="4" w:space="0" w:color="auto"/>
              <w:left w:val="single" w:sz="4" w:space="0" w:color="auto"/>
              <w:bottom w:val="single" w:sz="4" w:space="0" w:color="auto"/>
              <w:right w:val="single" w:sz="4" w:space="0" w:color="auto"/>
            </w:tcBorders>
            <w:vAlign w:val="center"/>
            <w:hideMark/>
          </w:tcPr>
          <w:p w14:paraId="75D2CED3"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DDD</w:t>
            </w:r>
            <w:r w:rsidRPr="00A268BF">
              <w:rPr>
                <w:rFonts w:eastAsia="SimSun"/>
                <w:b/>
                <w:bCs/>
                <w:iCs/>
                <w:sz w:val="18"/>
                <w:szCs w:val="18"/>
                <w:lang w:val="en-GB" w:eastAsia="zh-CN"/>
              </w:rPr>
              <w:br/>
              <w:t>[mg a.s./kg b.w./d]</w:t>
            </w:r>
          </w:p>
        </w:tc>
      </w:tr>
      <w:tr w:rsidR="00E51CDD" w:rsidRPr="00A268BF" w14:paraId="4CFE92C0" w14:textId="77777777" w:rsidTr="009938D9">
        <w:trPr>
          <w:trHeight w:val="562"/>
        </w:trPr>
        <w:tc>
          <w:tcPr>
            <w:tcW w:w="543" w:type="pct"/>
            <w:tcBorders>
              <w:top w:val="single" w:sz="4" w:space="0" w:color="auto"/>
              <w:left w:val="single" w:sz="4" w:space="0" w:color="auto"/>
              <w:bottom w:val="single" w:sz="4" w:space="0" w:color="auto"/>
              <w:right w:val="single" w:sz="4" w:space="0" w:color="auto"/>
            </w:tcBorders>
            <w:hideMark/>
          </w:tcPr>
          <w:p w14:paraId="6FC16F44"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Grasses/</w:t>
            </w:r>
          </w:p>
          <w:p w14:paraId="6AD6803B" w14:textId="77777777" w:rsidR="00E51CDD" w:rsidRPr="00A268BF" w:rsidRDefault="00E51CDD" w:rsidP="009938D9">
            <w:pPr>
              <w:keepNext/>
              <w:keepLines/>
              <w:rPr>
                <w:rFonts w:eastAsia="SimSun"/>
                <w:iCs/>
                <w:sz w:val="18"/>
                <w:szCs w:val="18"/>
                <w:lang w:val="en-GB" w:eastAsia="zh-CN"/>
              </w:rPr>
            </w:pPr>
            <w:r w:rsidRPr="00A268BF">
              <w:rPr>
                <w:rFonts w:eastAsia="SimSun"/>
                <w:b/>
                <w:bCs/>
                <w:iCs/>
                <w:sz w:val="18"/>
                <w:szCs w:val="18"/>
                <w:lang w:val="en-GB" w:eastAsia="zh-CN"/>
              </w:rPr>
              <w:t>Cereal shoots</w:t>
            </w:r>
          </w:p>
        </w:tc>
        <w:tc>
          <w:tcPr>
            <w:tcW w:w="552" w:type="pct"/>
            <w:tcBorders>
              <w:top w:val="single" w:sz="4" w:space="0" w:color="auto"/>
              <w:left w:val="single" w:sz="4" w:space="0" w:color="auto"/>
              <w:bottom w:val="single" w:sz="4" w:space="0" w:color="auto"/>
              <w:right w:val="single" w:sz="4" w:space="0" w:color="auto"/>
            </w:tcBorders>
            <w:noWrap/>
            <w:vAlign w:val="center"/>
            <w:hideMark/>
          </w:tcPr>
          <w:p w14:paraId="42025371"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1.</w:t>
            </w:r>
            <w:r>
              <w:rPr>
                <w:rFonts w:eastAsia="SimSun"/>
                <w:iCs/>
                <w:sz w:val="18"/>
                <w:szCs w:val="18"/>
                <w:lang w:val="en-GB" w:eastAsia="zh-CN"/>
              </w:rPr>
              <w:t>334 </w:t>
            </w:r>
          </w:p>
        </w:tc>
        <w:tc>
          <w:tcPr>
            <w:tcW w:w="526" w:type="pct"/>
            <w:tcBorders>
              <w:top w:val="single" w:sz="4" w:space="0" w:color="auto"/>
              <w:left w:val="single" w:sz="4" w:space="0" w:color="auto"/>
              <w:bottom w:val="single" w:sz="4" w:space="0" w:color="auto"/>
              <w:right w:val="single" w:sz="4" w:space="0" w:color="auto"/>
            </w:tcBorders>
            <w:noWrap/>
            <w:vAlign w:val="center"/>
            <w:hideMark/>
          </w:tcPr>
          <w:p w14:paraId="6E47E134"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1.0</w:t>
            </w:r>
          </w:p>
        </w:tc>
        <w:tc>
          <w:tcPr>
            <w:tcW w:w="378" w:type="pct"/>
            <w:tcBorders>
              <w:top w:val="single" w:sz="4" w:space="0" w:color="auto"/>
              <w:left w:val="single" w:sz="4" w:space="0" w:color="auto"/>
              <w:bottom w:val="single" w:sz="4" w:space="0" w:color="auto"/>
              <w:right w:val="single" w:sz="4" w:space="0" w:color="auto"/>
            </w:tcBorders>
            <w:noWrap/>
            <w:vAlign w:val="center"/>
            <w:hideMark/>
          </w:tcPr>
          <w:p w14:paraId="569768D9"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1.0</w:t>
            </w:r>
          </w:p>
        </w:tc>
        <w:tc>
          <w:tcPr>
            <w:tcW w:w="586" w:type="pct"/>
            <w:tcBorders>
              <w:top w:val="single" w:sz="4" w:space="0" w:color="auto"/>
              <w:left w:val="single" w:sz="4" w:space="0" w:color="auto"/>
              <w:bottom w:val="single" w:sz="4" w:space="0" w:color="auto"/>
              <w:right w:val="single" w:sz="4" w:space="0" w:color="auto"/>
            </w:tcBorders>
            <w:noWrap/>
            <w:vAlign w:val="center"/>
            <w:hideMark/>
          </w:tcPr>
          <w:p w14:paraId="099E2879"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102.3 </w:t>
            </w:r>
          </w:p>
        </w:tc>
        <w:tc>
          <w:tcPr>
            <w:tcW w:w="390" w:type="pct"/>
            <w:tcBorders>
              <w:top w:val="single" w:sz="4" w:space="0" w:color="auto"/>
              <w:left w:val="single" w:sz="4" w:space="0" w:color="auto"/>
              <w:bottom w:val="single" w:sz="4" w:space="0" w:color="auto"/>
              <w:right w:val="single" w:sz="4" w:space="0" w:color="auto"/>
            </w:tcBorders>
            <w:vAlign w:val="center"/>
          </w:tcPr>
          <w:p w14:paraId="1383630E"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1.14</w:t>
            </w:r>
          </w:p>
        </w:tc>
        <w:tc>
          <w:tcPr>
            <w:tcW w:w="470" w:type="pct"/>
            <w:tcBorders>
              <w:top w:val="single" w:sz="4" w:space="0" w:color="auto"/>
              <w:left w:val="single" w:sz="4" w:space="0" w:color="auto"/>
              <w:bottom w:val="single" w:sz="4" w:space="0" w:color="auto"/>
              <w:right w:val="single" w:sz="4" w:space="0" w:color="auto"/>
            </w:tcBorders>
            <w:vAlign w:val="center"/>
            <w:hideMark/>
          </w:tcPr>
          <w:p w14:paraId="327BD34C"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w:t>
            </w:r>
          </w:p>
        </w:tc>
        <w:tc>
          <w:tcPr>
            <w:tcW w:w="376" w:type="pct"/>
            <w:tcBorders>
              <w:top w:val="single" w:sz="4" w:space="0" w:color="auto"/>
              <w:left w:val="single" w:sz="4" w:space="0" w:color="auto"/>
              <w:bottom w:val="single" w:sz="4" w:space="0" w:color="auto"/>
              <w:right w:val="single" w:sz="4" w:space="0" w:color="auto"/>
            </w:tcBorders>
            <w:noWrap/>
            <w:vAlign w:val="center"/>
            <w:hideMark/>
          </w:tcPr>
          <w:p w14:paraId="5365E1D3"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0.</w:t>
            </w:r>
            <w:r>
              <w:rPr>
                <w:rFonts w:eastAsia="SimSun"/>
                <w:iCs/>
                <w:sz w:val="18"/>
                <w:szCs w:val="18"/>
                <w:lang w:val="en-GB" w:eastAsia="zh-CN"/>
              </w:rPr>
              <w:t>3</w:t>
            </w:r>
          </w:p>
        </w:tc>
        <w:tc>
          <w:tcPr>
            <w:tcW w:w="563" w:type="pct"/>
            <w:tcBorders>
              <w:top w:val="single" w:sz="4" w:space="0" w:color="auto"/>
              <w:left w:val="single" w:sz="4" w:space="0" w:color="auto"/>
              <w:bottom w:val="single" w:sz="4" w:space="0" w:color="auto"/>
              <w:right w:val="single" w:sz="4" w:space="0" w:color="auto"/>
            </w:tcBorders>
            <w:noWrap/>
            <w:vAlign w:val="center"/>
            <w:hideMark/>
          </w:tcPr>
          <w:p w14:paraId="069545FB"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2.156</w:t>
            </w:r>
          </w:p>
        </w:tc>
        <w:tc>
          <w:tcPr>
            <w:tcW w:w="617" w:type="pct"/>
            <w:tcBorders>
              <w:top w:val="single" w:sz="4" w:space="0" w:color="auto"/>
              <w:left w:val="single" w:sz="4" w:space="0" w:color="auto"/>
              <w:bottom w:val="single" w:sz="4" w:space="0" w:color="auto"/>
              <w:right w:val="single" w:sz="4" w:space="0" w:color="auto"/>
            </w:tcBorders>
            <w:noWrap/>
            <w:vAlign w:val="center"/>
            <w:hideMark/>
          </w:tcPr>
          <w:p w14:paraId="27AA57FF"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97.074</w:t>
            </w:r>
          </w:p>
        </w:tc>
      </w:tr>
      <w:tr w:rsidR="00E51CDD" w:rsidRPr="00A268BF" w14:paraId="1A4C8213" w14:textId="77777777" w:rsidTr="009938D9">
        <w:trPr>
          <w:trHeight w:val="351"/>
        </w:trPr>
        <w:tc>
          <w:tcPr>
            <w:tcW w:w="4383" w:type="pct"/>
            <w:gridSpan w:val="9"/>
            <w:tcBorders>
              <w:top w:val="single" w:sz="4" w:space="0" w:color="auto"/>
              <w:left w:val="single" w:sz="4" w:space="0" w:color="auto"/>
              <w:bottom w:val="single" w:sz="4" w:space="0" w:color="auto"/>
              <w:right w:val="single" w:sz="4" w:space="0" w:color="auto"/>
            </w:tcBorders>
          </w:tcPr>
          <w:p w14:paraId="5D50A3AB" w14:textId="6757675D"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 xml:space="preserve">Toxicity endpoint [mg </w:t>
            </w:r>
            <w:r w:rsidRPr="00D76F07">
              <w:rPr>
                <w:rFonts w:eastAsia="SimSun"/>
                <w:b/>
                <w:bCs/>
                <w:iCs/>
                <w:strike/>
                <w:sz w:val="18"/>
                <w:szCs w:val="18"/>
                <w:highlight w:val="cyan"/>
                <w:lang w:val="en-GB" w:eastAsia="zh-CN"/>
              </w:rPr>
              <w:t>a.s.</w:t>
            </w:r>
            <w:r w:rsidR="00D76F07" w:rsidRPr="00D76F07">
              <w:rPr>
                <w:rFonts w:eastAsia="SimSun"/>
                <w:b/>
                <w:bCs/>
                <w:iCs/>
                <w:sz w:val="18"/>
                <w:szCs w:val="18"/>
                <w:highlight w:val="cyan"/>
                <w:lang w:val="en-GB" w:eastAsia="zh-CN"/>
              </w:rPr>
              <w:t xml:space="preserve"> formulation</w:t>
            </w:r>
            <w:r w:rsidRPr="00A268BF">
              <w:rPr>
                <w:rFonts w:eastAsia="SimSun"/>
                <w:b/>
                <w:bCs/>
                <w:iCs/>
                <w:sz w:val="18"/>
                <w:szCs w:val="18"/>
                <w:lang w:val="en-GB" w:eastAsia="zh-CN"/>
              </w:rPr>
              <w:t>/kg b.w./d]</w:t>
            </w:r>
          </w:p>
        </w:tc>
        <w:tc>
          <w:tcPr>
            <w:tcW w:w="617" w:type="pct"/>
            <w:tcBorders>
              <w:top w:val="single" w:sz="4" w:space="0" w:color="auto"/>
              <w:left w:val="single" w:sz="4" w:space="0" w:color="auto"/>
              <w:bottom w:val="single" w:sz="4" w:space="0" w:color="auto"/>
              <w:right w:val="single" w:sz="4" w:space="0" w:color="auto"/>
            </w:tcBorders>
            <w:noWrap/>
            <w:vAlign w:val="center"/>
            <w:hideMark/>
          </w:tcPr>
          <w:p w14:paraId="79A3C1BE" w14:textId="2F5D4A60"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1848</w:t>
            </w:r>
            <w:r w:rsidR="00E332A4" w:rsidRPr="00E332A4">
              <w:rPr>
                <w:rFonts w:eastAsia="SimSun"/>
                <w:iCs/>
                <w:sz w:val="18"/>
                <w:szCs w:val="18"/>
                <w:highlight w:val="cyan"/>
                <w:lang w:val="en-GB" w:eastAsia="zh-CN"/>
              </w:rPr>
              <w:t>/1667</w:t>
            </w:r>
            <w:r>
              <w:rPr>
                <w:rFonts w:eastAsia="SimSun"/>
                <w:iCs/>
                <w:sz w:val="18"/>
                <w:szCs w:val="18"/>
                <w:lang w:val="en-GB" w:eastAsia="zh-CN"/>
              </w:rPr>
              <w:t> </w:t>
            </w:r>
            <w:r w:rsidRPr="00523339">
              <w:rPr>
                <w:rFonts w:eastAsia="SimSun"/>
                <w:iCs/>
                <w:sz w:val="18"/>
                <w:szCs w:val="18"/>
                <w:vertAlign w:val="superscript"/>
                <w:lang w:val="en-GB" w:eastAsia="zh-CN"/>
              </w:rPr>
              <w:t>1)</w:t>
            </w:r>
          </w:p>
        </w:tc>
      </w:tr>
      <w:tr w:rsidR="00E51CDD" w:rsidRPr="00A268BF" w14:paraId="1E3407F9" w14:textId="77777777" w:rsidTr="009938D9">
        <w:trPr>
          <w:trHeight w:val="270"/>
        </w:trPr>
        <w:tc>
          <w:tcPr>
            <w:tcW w:w="4383" w:type="pct"/>
            <w:gridSpan w:val="9"/>
            <w:tcBorders>
              <w:top w:val="single" w:sz="4" w:space="0" w:color="auto"/>
              <w:left w:val="single" w:sz="4" w:space="0" w:color="auto"/>
              <w:bottom w:val="single" w:sz="4" w:space="0" w:color="auto"/>
              <w:right w:val="single" w:sz="4" w:space="0" w:color="auto"/>
            </w:tcBorders>
          </w:tcPr>
          <w:p w14:paraId="0426C3AF"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TER</w:t>
            </w:r>
            <w:r>
              <w:rPr>
                <w:rFonts w:eastAsia="SimSun"/>
                <w:b/>
                <w:bCs/>
                <w:iCs/>
                <w:sz w:val="18"/>
                <w:szCs w:val="18"/>
                <w:vertAlign w:val="subscript"/>
                <w:lang w:val="en-GB" w:eastAsia="zh-CN"/>
              </w:rPr>
              <w:t>A</w:t>
            </w:r>
          </w:p>
        </w:tc>
        <w:tc>
          <w:tcPr>
            <w:tcW w:w="617" w:type="pct"/>
            <w:tcBorders>
              <w:top w:val="single" w:sz="4" w:space="0" w:color="auto"/>
              <w:left w:val="single" w:sz="4" w:space="0" w:color="auto"/>
              <w:bottom w:val="single" w:sz="4" w:space="0" w:color="auto"/>
              <w:right w:val="single" w:sz="4" w:space="0" w:color="auto"/>
            </w:tcBorders>
            <w:noWrap/>
            <w:vAlign w:val="center"/>
            <w:hideMark/>
          </w:tcPr>
          <w:p w14:paraId="5E2DCD90" w14:textId="11636792"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18.4</w:t>
            </w:r>
            <w:r w:rsidR="00E332A4" w:rsidRPr="00E332A4">
              <w:rPr>
                <w:rFonts w:eastAsia="SimSun"/>
                <w:iCs/>
                <w:sz w:val="18"/>
                <w:szCs w:val="18"/>
                <w:highlight w:val="cyan"/>
                <w:lang w:val="en-GB" w:eastAsia="zh-CN"/>
              </w:rPr>
              <w:t>/17.2</w:t>
            </w:r>
          </w:p>
        </w:tc>
      </w:tr>
    </w:tbl>
    <w:p w14:paraId="4D229C32" w14:textId="77777777" w:rsidR="00E51CDD" w:rsidRPr="00E74319" w:rsidRDefault="00E51CDD" w:rsidP="00E51CDD">
      <w:pPr>
        <w:jc w:val="both"/>
        <w:rPr>
          <w:sz w:val="2"/>
          <w:szCs w:val="2"/>
          <w:lang w:val="en-GB"/>
        </w:rPr>
      </w:pPr>
    </w:p>
    <w:p w14:paraId="43CF019B" w14:textId="77777777" w:rsidR="00E51CDD" w:rsidRDefault="00E51CDD" w:rsidP="00E51CDD">
      <w:pPr>
        <w:widowControl w:val="0"/>
        <w:jc w:val="both"/>
        <w:rPr>
          <w:iCs/>
          <w:sz w:val="18"/>
          <w:szCs w:val="18"/>
          <w:lang w:val="en-GB" w:eastAsia="zh-CN"/>
        </w:rPr>
      </w:pPr>
      <w:r>
        <w:rPr>
          <w:iCs/>
          <w:sz w:val="18"/>
          <w:szCs w:val="18"/>
          <w:vertAlign w:val="superscript"/>
          <w:lang w:val="en-GB" w:eastAsia="zh-CN"/>
        </w:rPr>
        <w:t>1</w:t>
      </w:r>
      <w:r w:rsidRPr="00A268BF">
        <w:rPr>
          <w:iCs/>
          <w:sz w:val="18"/>
          <w:szCs w:val="18"/>
          <w:vertAlign w:val="superscript"/>
          <w:lang w:val="en-GB" w:eastAsia="zh-CN"/>
        </w:rPr>
        <w:t>)</w:t>
      </w:r>
      <w:r w:rsidRPr="00A268BF">
        <w:rPr>
          <w:iCs/>
          <w:sz w:val="18"/>
          <w:szCs w:val="18"/>
          <w:lang w:val="en-GB" w:eastAsia="zh-CN"/>
        </w:rPr>
        <w:t xml:space="preserve"> Refined parameter</w:t>
      </w:r>
    </w:p>
    <w:p w14:paraId="777D702C" w14:textId="77777777" w:rsidR="00E51CDD" w:rsidRDefault="00E51CDD" w:rsidP="00E51CDD">
      <w:pPr>
        <w:widowControl w:val="0"/>
        <w:jc w:val="both"/>
        <w:rPr>
          <w:color w:val="000000" w:themeColor="text1"/>
        </w:rPr>
      </w:pPr>
    </w:p>
    <w:p w14:paraId="53A21135" w14:textId="77777777" w:rsidR="00E51CDD" w:rsidRDefault="00E51CDD" w:rsidP="00E51CDD">
      <w:pPr>
        <w:widowControl w:val="0"/>
        <w:suppressAutoHyphens/>
        <w:jc w:val="both"/>
        <w:rPr>
          <w:rFonts w:eastAsia="Batang"/>
          <w:color w:val="000000" w:themeColor="text1"/>
          <w:lang w:eastAsia="zh-CN"/>
        </w:rPr>
      </w:pPr>
      <w:bookmarkStart w:id="390" w:name="_Hlk12881615"/>
      <w:bookmarkStart w:id="391" w:name="_Hlk11664519"/>
      <w:bookmarkEnd w:id="387"/>
      <w:bookmarkEnd w:id="388"/>
      <w:r>
        <w:rPr>
          <w:rFonts w:eastAsia="Batang"/>
          <w:color w:val="000000" w:themeColor="text1"/>
          <w:lang w:eastAsia="zh-CN"/>
        </w:rPr>
        <w:t>T</w:t>
      </w:r>
      <w:r w:rsidRPr="008C45EC">
        <w:rPr>
          <w:rFonts w:eastAsia="Batang"/>
          <w:color w:val="000000" w:themeColor="text1"/>
          <w:lang w:eastAsia="zh-CN"/>
        </w:rPr>
        <w:t xml:space="preserve">he </w:t>
      </w:r>
      <w:r>
        <w:rPr>
          <w:rFonts w:eastAsia="Batang"/>
          <w:color w:val="000000" w:themeColor="text1"/>
          <w:lang w:eastAsia="zh-CN"/>
        </w:rPr>
        <w:t>refined TER</w:t>
      </w:r>
      <w:r w:rsidRPr="00A2340E">
        <w:rPr>
          <w:rFonts w:eastAsia="Batang"/>
          <w:color w:val="000000" w:themeColor="text1"/>
          <w:vertAlign w:val="subscript"/>
          <w:lang w:eastAsia="zh-CN"/>
        </w:rPr>
        <w:t>A</w:t>
      </w:r>
      <w:r w:rsidRPr="008C45EC">
        <w:rPr>
          <w:rFonts w:eastAsia="Batang"/>
          <w:color w:val="000000" w:themeColor="text1"/>
          <w:lang w:eastAsia="zh-CN"/>
        </w:rPr>
        <w:t xml:space="preserve"> for the formulation toxicity of BAS 736 00 H </w:t>
      </w:r>
      <w:bookmarkStart w:id="392" w:name="_Hlk85094113"/>
      <w:r w:rsidRPr="008C45EC">
        <w:rPr>
          <w:rFonts w:eastAsia="Batang"/>
          <w:color w:val="000000" w:themeColor="text1"/>
          <w:lang w:eastAsia="zh-CN"/>
        </w:rPr>
        <w:t>result</w:t>
      </w:r>
      <w:r>
        <w:rPr>
          <w:rFonts w:eastAsia="Batang"/>
          <w:color w:val="000000" w:themeColor="text1"/>
          <w:lang w:eastAsia="zh-CN"/>
        </w:rPr>
        <w:t>ed</w:t>
      </w:r>
      <w:r w:rsidRPr="008C45EC">
        <w:rPr>
          <w:rFonts w:eastAsia="Batang"/>
          <w:color w:val="000000" w:themeColor="text1"/>
          <w:lang w:eastAsia="zh-CN"/>
        </w:rPr>
        <w:t xml:space="preserve"> in TER value</w:t>
      </w:r>
      <w:r>
        <w:rPr>
          <w:rFonts w:eastAsia="Batang"/>
          <w:color w:val="000000" w:themeColor="text1"/>
          <w:lang w:eastAsia="zh-CN"/>
        </w:rPr>
        <w:t>s</w:t>
      </w:r>
      <w:r w:rsidRPr="008C45EC">
        <w:rPr>
          <w:rFonts w:eastAsia="Batang"/>
          <w:color w:val="000000" w:themeColor="text1"/>
          <w:lang w:eastAsia="zh-CN"/>
        </w:rPr>
        <w:t xml:space="preserve"> above the trigger of 10 for acceptability of effects for the small herbivorous mammal “vole” scenario at BBCH </w:t>
      </w:r>
      <w:r w:rsidRPr="008C45EC">
        <w:rPr>
          <w:color w:val="000000" w:themeColor="text1"/>
        </w:rPr>
        <w:t>≥ 40</w:t>
      </w:r>
      <w:r>
        <w:rPr>
          <w:color w:val="000000" w:themeColor="text1"/>
        </w:rPr>
        <w:t xml:space="preserve"> </w:t>
      </w:r>
      <w:bookmarkEnd w:id="392"/>
      <w:r>
        <w:rPr>
          <w:color w:val="000000" w:themeColor="text1"/>
        </w:rPr>
        <w:t>for both approaches</w:t>
      </w:r>
      <w:r w:rsidRPr="008C45EC">
        <w:rPr>
          <w:rFonts w:eastAsia="Batang"/>
          <w:color w:val="000000" w:themeColor="text1"/>
          <w:lang w:eastAsia="zh-CN"/>
        </w:rPr>
        <w:t xml:space="preserve">. Therefore, the acute dietary risk to mammals from </w:t>
      </w:r>
      <w:r w:rsidRPr="008C45EC">
        <w:rPr>
          <w:rFonts w:eastAsia="Batang"/>
          <w:bCs/>
          <w:color w:val="000000" w:themeColor="text1"/>
          <w:lang w:eastAsia="zh-CN"/>
        </w:rPr>
        <w:t xml:space="preserve">BAS 736 00 H </w:t>
      </w:r>
      <w:r w:rsidRPr="008C45EC">
        <w:rPr>
          <w:rFonts w:eastAsia="Batang"/>
          <w:color w:val="000000" w:themeColor="text1"/>
          <w:lang w:eastAsia="zh-CN"/>
        </w:rPr>
        <w:t>is acceptable.</w:t>
      </w:r>
    </w:p>
    <w:p w14:paraId="7CCB6310" w14:textId="77777777" w:rsidR="00937130" w:rsidRDefault="00937130" w:rsidP="00E51CDD">
      <w:pPr>
        <w:widowControl w:val="0"/>
        <w:suppressAutoHyphens/>
        <w:jc w:val="both"/>
        <w:rPr>
          <w:rFonts w:eastAsia="Batang"/>
          <w:color w:val="000000" w:themeColor="text1"/>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937130" w:rsidRPr="00DD5DB0" w14:paraId="2C381BA9" w14:textId="77777777" w:rsidTr="00230125">
        <w:trPr>
          <w:trHeight w:val="1541"/>
        </w:trPr>
        <w:tc>
          <w:tcPr>
            <w:tcW w:w="5000" w:type="pct"/>
            <w:shd w:val="clear" w:color="auto" w:fill="D9D9D9"/>
          </w:tcPr>
          <w:p w14:paraId="5B44C382" w14:textId="77777777" w:rsidR="00937130" w:rsidRPr="00F5456E" w:rsidRDefault="00937130" w:rsidP="00230125">
            <w:pPr>
              <w:pStyle w:val="TableText"/>
              <w:spacing w:before="120" w:after="120"/>
              <w:jc w:val="both"/>
              <w:rPr>
                <w:b/>
                <w:bCs/>
                <w:sz w:val="22"/>
                <w:szCs w:val="22"/>
                <w:lang w:eastAsia="en-US"/>
              </w:rPr>
            </w:pPr>
            <w:r w:rsidRPr="00F5456E">
              <w:rPr>
                <w:b/>
                <w:bCs/>
                <w:sz w:val="22"/>
                <w:szCs w:val="22"/>
                <w:lang w:eastAsia="en-US"/>
              </w:rPr>
              <w:t>Review Comments:</w:t>
            </w:r>
          </w:p>
          <w:p w14:paraId="780D2B03" w14:textId="3814A561" w:rsidR="00937130" w:rsidRPr="00C24BD1" w:rsidRDefault="00B57E4F" w:rsidP="00230125">
            <w:pPr>
              <w:shd w:val="clear" w:color="auto" w:fill="D9D9D9"/>
              <w:spacing w:before="120" w:after="120"/>
              <w:jc w:val="both"/>
              <w:rPr>
                <w:lang w:val="en-GB"/>
              </w:rPr>
            </w:pPr>
            <w:r>
              <w:rPr>
                <w:rFonts w:eastAsia="Calibri"/>
                <w:lang w:val="en-GB" w:eastAsia="zh-CN"/>
              </w:rPr>
              <w:t>A</w:t>
            </w:r>
            <w:r w:rsidRPr="0026404C">
              <w:rPr>
                <w:rFonts w:eastAsia="Calibri"/>
                <w:lang w:val="en-GB" w:eastAsia="zh-CN"/>
              </w:rPr>
              <w:t>n acute oral toxicity study with BAS 7</w:t>
            </w:r>
            <w:r>
              <w:rPr>
                <w:rFonts w:eastAsia="Calibri"/>
                <w:lang w:val="en-GB" w:eastAsia="zh-CN"/>
              </w:rPr>
              <w:t>36</w:t>
            </w:r>
            <w:r w:rsidRPr="0026404C">
              <w:rPr>
                <w:rFonts w:eastAsia="Calibri"/>
                <w:lang w:val="en-GB" w:eastAsia="zh-CN"/>
              </w:rPr>
              <w:t> 00 F in rats was</w:t>
            </w:r>
            <w:r w:rsidR="00A25204">
              <w:rPr>
                <w:rFonts w:eastAsia="Calibri"/>
                <w:lang w:val="en-GB" w:eastAsia="zh-CN"/>
              </w:rPr>
              <w:t xml:space="preserve"> evaluated in</w:t>
            </w:r>
            <w:r w:rsidR="007D6F6B" w:rsidRPr="001D31FB">
              <w:rPr>
                <w:rFonts w:eastAsia="Calibri"/>
                <w:lang w:val="en-GB"/>
              </w:rPr>
              <w:t xml:space="preserve"> mammalian toxicology assessment</w:t>
            </w:r>
            <w:r w:rsidR="007D6F6B">
              <w:rPr>
                <w:rFonts w:eastAsia="Calibri"/>
                <w:lang w:val="en-GB"/>
              </w:rPr>
              <w:t xml:space="preserve">. For more details about </w:t>
            </w:r>
            <w:r w:rsidR="002F44BD">
              <w:rPr>
                <w:rFonts w:eastAsia="Calibri"/>
                <w:lang w:val="en-GB"/>
              </w:rPr>
              <w:t xml:space="preserve">fitted of </w:t>
            </w:r>
            <w:r w:rsidR="00DD58E8">
              <w:rPr>
                <w:rFonts w:eastAsia="Calibri"/>
                <w:lang w:val="en-GB"/>
              </w:rPr>
              <w:t>t</w:t>
            </w:r>
            <w:r w:rsidR="00DD58E8" w:rsidRPr="00EC0D65">
              <w:rPr>
                <w:rFonts w:eastAsia="Calibri"/>
                <w:lang w:val="en-GB" w:eastAsia="zh-CN"/>
              </w:rPr>
              <w:t xml:space="preserve">he dose-response curve via the probit model </w:t>
            </w:r>
            <w:r w:rsidR="00DD58E8">
              <w:rPr>
                <w:rFonts w:eastAsia="Calibri"/>
                <w:lang w:val="en-GB" w:eastAsia="zh-CN"/>
              </w:rPr>
              <w:t>according to Finney</w:t>
            </w:r>
            <w:r w:rsidR="00D03205">
              <w:rPr>
                <w:rFonts w:eastAsia="Calibri"/>
                <w:lang w:val="en-GB" w:eastAsia="zh-CN"/>
              </w:rPr>
              <w:t>,</w:t>
            </w:r>
            <w:r w:rsidR="00DD58E8">
              <w:rPr>
                <w:rFonts w:eastAsia="Calibri"/>
                <w:lang w:val="en-GB" w:eastAsia="zh-CN"/>
              </w:rPr>
              <w:t xml:space="preserve"> please refer to section B6. </w:t>
            </w:r>
          </w:p>
        </w:tc>
      </w:tr>
      <w:bookmarkEnd w:id="390"/>
      <w:bookmarkEnd w:id="391"/>
    </w:tbl>
    <w:p w14:paraId="0B7AEE95" w14:textId="77777777" w:rsidR="00E51CDD" w:rsidRPr="00F00DDB" w:rsidRDefault="00E51CDD" w:rsidP="00E51CDD">
      <w:pPr>
        <w:widowControl w:val="0"/>
        <w:jc w:val="both"/>
        <w:rPr>
          <w:iCs/>
        </w:rPr>
      </w:pPr>
    </w:p>
    <w:p w14:paraId="061F72D2" w14:textId="77777777" w:rsidR="00E51CDD" w:rsidRPr="00161892" w:rsidRDefault="00E51CDD" w:rsidP="00E51CDD">
      <w:pPr>
        <w:widowControl w:val="0"/>
        <w:jc w:val="both"/>
        <w:rPr>
          <w:b/>
          <w:bCs/>
          <w:iCs/>
          <w:szCs w:val="24"/>
          <w:lang w:val="en-GB"/>
        </w:rPr>
      </w:pPr>
      <w:r w:rsidRPr="00F64054">
        <w:rPr>
          <w:b/>
          <w:bCs/>
          <w:iCs/>
          <w:szCs w:val="24"/>
          <w:lang w:val="en-GB"/>
        </w:rPr>
        <w:t xml:space="preserve">Refinement of the combined </w:t>
      </w:r>
      <w:r>
        <w:rPr>
          <w:b/>
          <w:bCs/>
          <w:iCs/>
          <w:szCs w:val="24"/>
          <w:lang w:val="en-GB"/>
        </w:rPr>
        <w:t>reproductive</w:t>
      </w:r>
      <w:r w:rsidRPr="00F64054">
        <w:rPr>
          <w:b/>
          <w:bCs/>
          <w:iCs/>
          <w:szCs w:val="24"/>
          <w:lang w:val="en-GB"/>
        </w:rPr>
        <w:t xml:space="preserve"> risk assessment for the </w:t>
      </w:r>
      <w:r w:rsidRPr="00F64054">
        <w:rPr>
          <w:rFonts w:eastAsia="Batang"/>
          <w:b/>
          <w:bCs/>
          <w:lang w:eastAsia="zh-CN"/>
        </w:rPr>
        <w:t>small herbivorous mammal “vole”</w:t>
      </w:r>
      <w:r>
        <w:rPr>
          <w:rFonts w:eastAsia="Batang"/>
          <w:b/>
          <w:bCs/>
          <w:lang w:eastAsia="zh-CN"/>
        </w:rPr>
        <w:t xml:space="preserve"> </w:t>
      </w:r>
      <w:r w:rsidRPr="00265210">
        <w:rPr>
          <w:rFonts w:eastAsia="Batang"/>
          <w:b/>
          <w:bCs/>
          <w:lang w:eastAsia="zh-CN"/>
        </w:rPr>
        <w:t xml:space="preserve">scenario at BBCH </w:t>
      </w:r>
      <w:r w:rsidRPr="00265210">
        <w:rPr>
          <w:b/>
          <w:bCs/>
          <w:color w:val="000000" w:themeColor="text1"/>
          <w:lang w:val="en-GB" w:eastAsia="en-US"/>
        </w:rPr>
        <w:t>≥ 40</w:t>
      </w:r>
    </w:p>
    <w:p w14:paraId="7F84879A" w14:textId="77777777" w:rsidR="00E51CDD" w:rsidRDefault="00E51CDD" w:rsidP="00E51CDD">
      <w:pPr>
        <w:widowControl w:val="0"/>
        <w:suppressAutoHyphens/>
        <w:rPr>
          <w:i/>
          <w:lang w:val="en-GB"/>
        </w:rPr>
      </w:pPr>
    </w:p>
    <w:p w14:paraId="1A530A52" w14:textId="77777777" w:rsidR="00E51CDD" w:rsidRPr="00A268BF" w:rsidRDefault="00E51CDD" w:rsidP="00E51CDD">
      <w:pPr>
        <w:widowControl w:val="0"/>
        <w:jc w:val="both"/>
        <w:rPr>
          <w:iCs/>
          <w:lang w:val="en-GB"/>
        </w:rPr>
      </w:pPr>
      <w:r w:rsidRPr="00A268BF">
        <w:rPr>
          <w:iCs/>
          <w:lang w:val="en-GB"/>
        </w:rPr>
        <w:t xml:space="preserve">In the summary report of the Steering Committee of the Central Zone Harmonisation workshop in April 2015 and update of October 2016, the Member States did not provide specific guidance for applicants and risk assessors from the competent regulatory authorities on how to proceed in case the tier 1 calculation fails the trigger. In the words of the summary report, “refinement options [for the long-term combined toxicity risk assessment] remain unclear.” To address the issue in this case, the applicant has decided to refine the tier 1 risk assessment for each active ingredient and use these refined TER values in a higher tier combined reproductive toxicity risk assessment.  </w:t>
      </w:r>
    </w:p>
    <w:p w14:paraId="7EBFAA80" w14:textId="77777777" w:rsidR="00E51CDD" w:rsidRDefault="00E51CDD" w:rsidP="00E51CDD">
      <w:pPr>
        <w:widowControl w:val="0"/>
        <w:suppressAutoHyphens/>
        <w:rPr>
          <w:i/>
          <w:lang w:val="en-GB"/>
        </w:rPr>
      </w:pPr>
    </w:p>
    <w:p w14:paraId="19FCF1FB" w14:textId="77777777" w:rsidR="00E51CDD" w:rsidRDefault="00E51CDD" w:rsidP="00E51CDD">
      <w:pPr>
        <w:widowControl w:val="0"/>
        <w:suppressAutoHyphens/>
        <w:jc w:val="both"/>
        <w:rPr>
          <w:i/>
          <w:lang w:val="en-GB"/>
        </w:rPr>
      </w:pPr>
      <w:r>
        <w:rPr>
          <w:iCs/>
          <w:szCs w:val="24"/>
          <w:lang w:val="en-GB"/>
        </w:rPr>
        <w:t>The reproductive higher tier risk assessment is based on the refinement of the deposition factor as introduced in the acute higher tier risk assessment above.</w:t>
      </w:r>
    </w:p>
    <w:p w14:paraId="17DBD8DE" w14:textId="77777777" w:rsidR="00E51CDD" w:rsidRDefault="00E51CDD" w:rsidP="00E51CDD">
      <w:pPr>
        <w:widowControl w:val="0"/>
        <w:suppressAutoHyphens/>
        <w:rPr>
          <w:i/>
          <w:lang w:val="en-GB"/>
        </w:rPr>
      </w:pPr>
    </w:p>
    <w:p w14:paraId="681B7657" w14:textId="5427E6C9" w:rsidR="00E51CDD" w:rsidRPr="00A268BF" w:rsidRDefault="00E51CDD" w:rsidP="00E51CDD">
      <w:pPr>
        <w:widowControl w:val="0"/>
        <w:suppressAutoHyphens/>
        <w:jc w:val="both"/>
        <w:rPr>
          <w:iCs/>
          <w:lang w:val="en-GB"/>
        </w:rPr>
      </w:pPr>
      <w:r w:rsidRPr="00A268BF">
        <w:rPr>
          <w:iCs/>
          <w:lang w:val="en-GB"/>
        </w:rPr>
        <w:t xml:space="preserve">The refined </w:t>
      </w:r>
      <w:r>
        <w:rPr>
          <w:iCs/>
          <w:lang w:val="en-GB"/>
        </w:rPr>
        <w:t xml:space="preserve">long-term </w:t>
      </w:r>
      <w:r w:rsidRPr="00A268BF">
        <w:rPr>
          <w:iCs/>
          <w:lang w:val="en-GB"/>
        </w:rPr>
        <w:t>TER</w:t>
      </w:r>
      <w:r w:rsidRPr="00A268BF">
        <w:rPr>
          <w:iCs/>
          <w:vertAlign w:val="subscript"/>
          <w:lang w:val="en-GB"/>
        </w:rPr>
        <w:t xml:space="preserve"> </w:t>
      </w:r>
      <w:r w:rsidRPr="00A268BF">
        <w:rPr>
          <w:iCs/>
          <w:lang w:val="en-GB"/>
        </w:rPr>
        <w:t>is provided in</w:t>
      </w:r>
      <w:r>
        <w:rPr>
          <w:iCs/>
          <w:lang w:val="en-GB"/>
        </w:rPr>
        <w:t xml:space="preserve"> </w:t>
      </w:r>
      <w:r w:rsidRPr="007F37D8">
        <w:rPr>
          <w:iCs/>
          <w:lang w:val="en-GB"/>
        </w:rPr>
        <w:fldChar w:fldCharType="begin"/>
      </w:r>
      <w:r w:rsidRPr="007F37D8">
        <w:rPr>
          <w:iCs/>
          <w:lang w:val="en-GB"/>
        </w:rPr>
        <w:instrText xml:space="preserve"> REF _Ref85538245 \h  \* MERGEFORMAT </w:instrText>
      </w:r>
      <w:r w:rsidRPr="007F37D8">
        <w:rPr>
          <w:iCs/>
          <w:lang w:val="en-GB"/>
        </w:rPr>
      </w:r>
      <w:r w:rsidRPr="007F37D8">
        <w:rPr>
          <w:iCs/>
          <w:lang w:val="en-GB"/>
        </w:rPr>
        <w:fldChar w:fldCharType="separate"/>
      </w:r>
      <w:r w:rsidR="00662F32" w:rsidRPr="00662F32">
        <w:rPr>
          <w:iCs/>
          <w:lang w:val="en-GB"/>
        </w:rPr>
        <w:t xml:space="preserve">Table </w:t>
      </w:r>
      <w:r w:rsidR="00662F32" w:rsidRPr="00662F32">
        <w:rPr>
          <w:iCs/>
          <w:noProof/>
          <w:lang w:val="en-GB"/>
        </w:rPr>
        <w:t>9.3</w:t>
      </w:r>
      <w:r w:rsidR="00662F32" w:rsidRPr="00662F32">
        <w:rPr>
          <w:iCs/>
          <w:noProof/>
          <w:lang w:val="en-GB"/>
        </w:rPr>
        <w:noBreakHyphen/>
        <w:t>14</w:t>
      </w:r>
      <w:r w:rsidRPr="007F37D8">
        <w:rPr>
          <w:iCs/>
          <w:lang w:val="en-GB"/>
        </w:rPr>
        <w:fldChar w:fldCharType="end"/>
      </w:r>
      <w:r w:rsidRPr="007F37D8">
        <w:rPr>
          <w:iCs/>
          <w:lang w:val="en-GB"/>
        </w:rPr>
        <w:t xml:space="preserve"> </w:t>
      </w:r>
      <w:r w:rsidRPr="00A268BF">
        <w:rPr>
          <w:iCs/>
          <w:lang w:val="en-GB"/>
        </w:rPr>
        <w:t xml:space="preserve">for </w:t>
      </w:r>
      <w:r>
        <w:rPr>
          <w:iCs/>
          <w:lang w:val="en-GB"/>
        </w:rPr>
        <w:t>fluxapyroxad</w:t>
      </w:r>
      <w:r w:rsidRPr="00A268BF">
        <w:rPr>
          <w:iCs/>
          <w:lang w:val="en-GB"/>
        </w:rPr>
        <w:t xml:space="preserve"> and </w:t>
      </w:r>
      <w:r w:rsidRPr="00A268BF">
        <w:rPr>
          <w:iCs/>
          <w:lang w:val="en-GB"/>
        </w:rPr>
        <w:fldChar w:fldCharType="begin"/>
      </w:r>
      <w:r w:rsidRPr="00A268BF">
        <w:rPr>
          <w:iCs/>
          <w:lang w:val="en-GB"/>
        </w:rPr>
        <w:instrText xml:space="preserve"> REF _Ref516566228  \* MERGEFORMAT </w:instrText>
      </w:r>
      <w:r w:rsidRPr="00A268BF">
        <w:rPr>
          <w:iCs/>
          <w:lang w:val="en-GB"/>
        </w:rPr>
        <w:fldChar w:fldCharType="separate"/>
      </w:r>
      <w:r w:rsidR="00662F32" w:rsidRPr="00662F32">
        <w:rPr>
          <w:iCs/>
          <w:lang w:val="en-GB"/>
        </w:rPr>
        <w:t>Table 9.3</w:t>
      </w:r>
      <w:r w:rsidR="00662F32" w:rsidRPr="00662F32">
        <w:rPr>
          <w:iCs/>
          <w:lang w:val="en-GB"/>
        </w:rPr>
        <w:noBreakHyphen/>
        <w:t>15</w:t>
      </w:r>
      <w:r w:rsidRPr="00A268BF">
        <w:rPr>
          <w:iCs/>
          <w:lang w:val="en-GB"/>
        </w:rPr>
        <w:fldChar w:fldCharType="end"/>
      </w:r>
      <w:r w:rsidRPr="00A268BF">
        <w:rPr>
          <w:iCs/>
          <w:lang w:val="en-GB"/>
        </w:rPr>
        <w:t xml:space="preserve"> for </w:t>
      </w:r>
      <w:r>
        <w:rPr>
          <w:iCs/>
          <w:lang w:val="en-GB"/>
        </w:rPr>
        <w:t>azoxystrobin</w:t>
      </w:r>
      <w:r w:rsidRPr="00A268BF">
        <w:rPr>
          <w:iCs/>
          <w:lang w:val="en-GB"/>
        </w:rPr>
        <w:t xml:space="preserve">. Using these refined TERs for the active </w:t>
      </w:r>
      <w:r>
        <w:rPr>
          <w:iCs/>
          <w:lang w:val="en-GB"/>
        </w:rPr>
        <w:t>substances</w:t>
      </w:r>
      <w:r w:rsidRPr="00A268BF">
        <w:rPr>
          <w:iCs/>
          <w:lang w:val="en-GB"/>
        </w:rPr>
        <w:t>, the TER</w:t>
      </w:r>
      <w:r w:rsidRPr="00A268BF">
        <w:rPr>
          <w:iCs/>
          <w:vertAlign w:val="subscript"/>
          <w:lang w:val="en-GB"/>
        </w:rPr>
        <w:t>LT</w:t>
      </w:r>
      <w:r>
        <w:rPr>
          <w:iCs/>
          <w:vertAlign w:val="subscript"/>
          <w:lang w:val="en-GB"/>
        </w:rPr>
        <w:t> </w:t>
      </w:r>
      <w:r w:rsidRPr="00A268BF">
        <w:rPr>
          <w:iCs/>
          <w:vertAlign w:val="subscript"/>
          <w:lang w:val="en-GB"/>
        </w:rPr>
        <w:t>combi</w:t>
      </w:r>
      <w:r w:rsidRPr="00A268BF">
        <w:rPr>
          <w:iCs/>
          <w:lang w:val="en-GB"/>
        </w:rPr>
        <w:t xml:space="preserve"> are provided in </w:t>
      </w:r>
      <w:r w:rsidRPr="00EF2BBE">
        <w:rPr>
          <w:iCs/>
          <w:lang w:val="en-GB"/>
        </w:rPr>
        <w:fldChar w:fldCharType="begin"/>
      </w:r>
      <w:r w:rsidRPr="00EF2BBE">
        <w:rPr>
          <w:iCs/>
          <w:lang w:val="en-GB"/>
        </w:rPr>
        <w:instrText xml:space="preserve"> REF _Ref516566365 \h  \* MERGEFORMAT </w:instrText>
      </w:r>
      <w:r w:rsidRPr="00EF2BBE">
        <w:rPr>
          <w:iCs/>
          <w:lang w:val="en-GB"/>
        </w:rPr>
      </w:r>
      <w:r w:rsidRPr="00EF2BBE">
        <w:rPr>
          <w:iCs/>
          <w:lang w:val="en-GB"/>
        </w:rPr>
        <w:fldChar w:fldCharType="separate"/>
      </w:r>
      <w:r w:rsidR="00662F32" w:rsidRPr="00662F32">
        <w:rPr>
          <w:iCs/>
          <w:lang w:val="en-GB"/>
        </w:rPr>
        <w:t xml:space="preserve">Table </w:t>
      </w:r>
      <w:r w:rsidR="00662F32" w:rsidRPr="00662F32">
        <w:rPr>
          <w:iCs/>
          <w:noProof/>
          <w:lang w:val="en-GB"/>
        </w:rPr>
        <w:t>9.3</w:t>
      </w:r>
      <w:r w:rsidR="00662F32" w:rsidRPr="00662F32">
        <w:rPr>
          <w:iCs/>
          <w:noProof/>
          <w:lang w:val="en-GB"/>
        </w:rPr>
        <w:noBreakHyphen/>
        <w:t>16</w:t>
      </w:r>
      <w:r w:rsidRPr="00EF2BBE">
        <w:rPr>
          <w:iCs/>
          <w:lang w:val="en-GB"/>
        </w:rPr>
        <w:fldChar w:fldCharType="end"/>
      </w:r>
      <w:r w:rsidRPr="00EF2BBE">
        <w:rPr>
          <w:iCs/>
          <w:lang w:val="en-GB"/>
        </w:rPr>
        <w:t>.</w:t>
      </w:r>
      <w:r>
        <w:rPr>
          <w:iCs/>
          <w:lang w:val="en-GB"/>
        </w:rPr>
        <w:t xml:space="preserve"> </w:t>
      </w:r>
    </w:p>
    <w:p w14:paraId="63BE2BB9" w14:textId="77777777" w:rsidR="00030C20" w:rsidRDefault="00030C20" w:rsidP="00E51CDD">
      <w:pPr>
        <w:widowControl w:val="0"/>
        <w:tabs>
          <w:tab w:val="left" w:pos="1985"/>
        </w:tabs>
        <w:suppressAutoHyphens/>
        <w:ind w:left="1985" w:hanging="1985"/>
        <w:jc w:val="both"/>
        <w:rPr>
          <w:b/>
          <w:bCs/>
          <w:iCs/>
          <w:lang w:val="en-GB"/>
        </w:rPr>
      </w:pPr>
      <w:bookmarkStart w:id="393" w:name="_Ref516566220"/>
      <w:bookmarkStart w:id="394" w:name="_Ref85538245"/>
    </w:p>
    <w:p w14:paraId="49D50638" w14:textId="77777777" w:rsidR="00030C20" w:rsidRDefault="00030C20">
      <w:pPr>
        <w:rPr>
          <w:b/>
          <w:bCs/>
          <w:iCs/>
          <w:lang w:val="en-GB"/>
        </w:rPr>
      </w:pPr>
      <w:r>
        <w:rPr>
          <w:b/>
          <w:bCs/>
          <w:iCs/>
          <w:lang w:val="en-GB"/>
        </w:rPr>
        <w:br w:type="page"/>
      </w:r>
    </w:p>
    <w:p w14:paraId="5DDB8AEC" w14:textId="11A03319" w:rsidR="00E51CDD" w:rsidRPr="00A268BF" w:rsidRDefault="00E51CDD" w:rsidP="00E51CDD">
      <w:pPr>
        <w:widowControl w:val="0"/>
        <w:tabs>
          <w:tab w:val="left" w:pos="1985"/>
        </w:tabs>
        <w:suppressAutoHyphens/>
        <w:ind w:left="1985" w:hanging="1985"/>
        <w:jc w:val="both"/>
        <w:rPr>
          <w:b/>
          <w:bCs/>
          <w:iCs/>
          <w:lang w:val="en-GB"/>
        </w:rPr>
      </w:pPr>
      <w:r w:rsidRPr="00A268BF">
        <w:rPr>
          <w:b/>
          <w:bCs/>
          <w:iCs/>
          <w:lang w:val="en-GB"/>
        </w:rPr>
        <w:lastRenderedPageBreak/>
        <w:t xml:space="preserve">Table </w:t>
      </w:r>
      <w:r w:rsidRPr="00A268BF">
        <w:rPr>
          <w:iCs/>
        </w:rPr>
        <w:fldChar w:fldCharType="begin"/>
      </w:r>
      <w:r w:rsidRPr="00A268BF">
        <w:rPr>
          <w:b/>
          <w:bCs/>
          <w:iCs/>
          <w:lang w:val="en-GB"/>
        </w:rPr>
        <w:instrText xml:space="preserve"> STYLEREF 2 \s </w:instrText>
      </w:r>
      <w:r w:rsidRPr="00A268BF">
        <w:rPr>
          <w:iCs/>
        </w:rPr>
        <w:fldChar w:fldCharType="separate"/>
      </w:r>
      <w:r w:rsidR="00662F32">
        <w:rPr>
          <w:b/>
          <w:bCs/>
          <w:iCs/>
          <w:noProof/>
          <w:lang w:val="en-GB"/>
        </w:rPr>
        <w:t>9.3</w:t>
      </w:r>
      <w:r w:rsidRPr="00A268BF">
        <w:rPr>
          <w:iCs/>
        </w:rPr>
        <w:fldChar w:fldCharType="end"/>
      </w:r>
      <w:r w:rsidRPr="00A268BF">
        <w:rPr>
          <w:b/>
          <w:bCs/>
          <w:iCs/>
          <w:lang w:val="en-GB"/>
        </w:rPr>
        <w:noBreakHyphen/>
      </w:r>
      <w:r w:rsidRPr="00A268BF">
        <w:rPr>
          <w:iCs/>
        </w:rPr>
        <w:fldChar w:fldCharType="begin"/>
      </w:r>
      <w:r w:rsidRPr="00A268BF">
        <w:rPr>
          <w:b/>
          <w:bCs/>
          <w:iCs/>
          <w:lang w:val="en-GB"/>
        </w:rPr>
        <w:instrText xml:space="preserve"> SEQ Table \* ARABIC \s 2 </w:instrText>
      </w:r>
      <w:r w:rsidRPr="00A268BF">
        <w:rPr>
          <w:iCs/>
        </w:rPr>
        <w:fldChar w:fldCharType="separate"/>
      </w:r>
      <w:r w:rsidR="00662F32">
        <w:rPr>
          <w:b/>
          <w:bCs/>
          <w:iCs/>
          <w:noProof/>
          <w:lang w:val="en-GB"/>
        </w:rPr>
        <w:t>14</w:t>
      </w:r>
      <w:r w:rsidRPr="00A268BF">
        <w:rPr>
          <w:iCs/>
        </w:rPr>
        <w:fldChar w:fldCharType="end"/>
      </w:r>
      <w:bookmarkEnd w:id="393"/>
      <w:bookmarkEnd w:id="394"/>
      <w:r w:rsidRPr="00A268BF">
        <w:rPr>
          <w:b/>
          <w:bCs/>
          <w:iCs/>
          <w:lang w:val="en-GB"/>
        </w:rPr>
        <w:t xml:space="preserve">: </w:t>
      </w:r>
      <w:r w:rsidRPr="00A268BF">
        <w:rPr>
          <w:b/>
          <w:bCs/>
          <w:iCs/>
          <w:lang w:val="en-GB"/>
        </w:rPr>
        <w:tab/>
      </w:r>
      <w:r>
        <w:rPr>
          <w:b/>
          <w:bCs/>
          <w:iCs/>
          <w:lang w:val="en-GB"/>
        </w:rPr>
        <w:t xml:space="preserve">Fluxapyroxad: </w:t>
      </w:r>
      <w:r w:rsidRPr="00A268BF">
        <w:rPr>
          <w:b/>
          <w:bCs/>
          <w:iCs/>
          <w:lang w:val="en-GB"/>
        </w:rPr>
        <w:t>Refined reproductive dietary risk assessment for the “vole” (common vole) scenario in cereals at BBCH ≥ 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032"/>
        <w:gridCol w:w="985"/>
        <w:gridCol w:w="707"/>
        <w:gridCol w:w="1095"/>
        <w:gridCol w:w="726"/>
        <w:gridCol w:w="878"/>
        <w:gridCol w:w="703"/>
        <w:gridCol w:w="1052"/>
        <w:gridCol w:w="1154"/>
      </w:tblGrid>
      <w:tr w:rsidR="00E51CDD" w:rsidRPr="00A268BF" w14:paraId="324F2B77" w14:textId="77777777" w:rsidTr="009938D9">
        <w:trPr>
          <w:trHeight w:val="615"/>
        </w:trPr>
        <w:tc>
          <w:tcPr>
            <w:tcW w:w="544" w:type="pct"/>
            <w:tcBorders>
              <w:top w:val="single" w:sz="4" w:space="0" w:color="auto"/>
              <w:left w:val="single" w:sz="4" w:space="0" w:color="auto"/>
              <w:bottom w:val="single" w:sz="4" w:space="0" w:color="auto"/>
              <w:right w:val="single" w:sz="4" w:space="0" w:color="auto"/>
            </w:tcBorders>
            <w:noWrap/>
            <w:vAlign w:val="center"/>
            <w:hideMark/>
          </w:tcPr>
          <w:p w14:paraId="4A6D6D0E"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Food type</w:t>
            </w:r>
          </w:p>
        </w:tc>
        <w:tc>
          <w:tcPr>
            <w:tcW w:w="553" w:type="pct"/>
            <w:tcBorders>
              <w:top w:val="single" w:sz="4" w:space="0" w:color="auto"/>
              <w:left w:val="single" w:sz="4" w:space="0" w:color="auto"/>
              <w:bottom w:val="single" w:sz="4" w:space="0" w:color="auto"/>
              <w:right w:val="single" w:sz="4" w:space="0" w:color="auto"/>
            </w:tcBorders>
            <w:noWrap/>
            <w:vAlign w:val="center"/>
            <w:hideMark/>
          </w:tcPr>
          <w:p w14:paraId="62FD97E9"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FIR/bw</w:t>
            </w:r>
          </w:p>
        </w:tc>
        <w:tc>
          <w:tcPr>
            <w:tcW w:w="528" w:type="pct"/>
            <w:tcBorders>
              <w:top w:val="single" w:sz="4" w:space="0" w:color="auto"/>
              <w:left w:val="single" w:sz="4" w:space="0" w:color="auto"/>
              <w:bottom w:val="single" w:sz="4" w:space="0" w:color="auto"/>
              <w:right w:val="single" w:sz="4" w:space="0" w:color="auto"/>
            </w:tcBorders>
            <w:noWrap/>
            <w:vAlign w:val="center"/>
            <w:hideMark/>
          </w:tcPr>
          <w:p w14:paraId="35B9C014"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PD</w:t>
            </w:r>
            <w:r w:rsidRPr="00A268BF">
              <w:rPr>
                <w:rFonts w:eastAsia="SimSun"/>
                <w:b/>
                <w:bCs/>
                <w:iCs/>
                <w:sz w:val="18"/>
                <w:szCs w:val="18"/>
                <w:vertAlign w:val="subscript"/>
                <w:lang w:val="en-GB" w:eastAsia="zh-CN"/>
              </w:rPr>
              <w:t>i</w:t>
            </w:r>
            <w:r w:rsidRPr="00A268BF">
              <w:rPr>
                <w:rFonts w:eastAsia="SimSun"/>
                <w:b/>
                <w:bCs/>
                <w:iCs/>
                <w:sz w:val="18"/>
                <w:szCs w:val="18"/>
                <w:lang w:val="en-GB" w:eastAsia="zh-CN"/>
              </w:rPr>
              <w:t>, fresh</w:t>
            </w:r>
          </w:p>
        </w:tc>
        <w:tc>
          <w:tcPr>
            <w:tcW w:w="379" w:type="pct"/>
            <w:tcBorders>
              <w:top w:val="single" w:sz="4" w:space="0" w:color="auto"/>
              <w:left w:val="single" w:sz="4" w:space="0" w:color="auto"/>
              <w:bottom w:val="single" w:sz="4" w:space="0" w:color="auto"/>
              <w:right w:val="single" w:sz="4" w:space="0" w:color="auto"/>
            </w:tcBorders>
            <w:noWrap/>
            <w:vAlign w:val="center"/>
            <w:hideMark/>
          </w:tcPr>
          <w:p w14:paraId="320A9177"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PT</w:t>
            </w:r>
          </w:p>
        </w:tc>
        <w:tc>
          <w:tcPr>
            <w:tcW w:w="587" w:type="pct"/>
            <w:tcBorders>
              <w:top w:val="single" w:sz="4" w:space="0" w:color="auto"/>
              <w:left w:val="single" w:sz="4" w:space="0" w:color="auto"/>
              <w:bottom w:val="single" w:sz="4" w:space="0" w:color="auto"/>
              <w:right w:val="single" w:sz="4" w:space="0" w:color="auto"/>
            </w:tcBorders>
            <w:vAlign w:val="center"/>
            <w:hideMark/>
          </w:tcPr>
          <w:p w14:paraId="5A7B3FAC" w14:textId="77777777" w:rsidR="00E51CDD" w:rsidRPr="00A268BF" w:rsidRDefault="00E51CDD" w:rsidP="009938D9">
            <w:pPr>
              <w:keepNext/>
              <w:keepLines/>
              <w:jc w:val="center"/>
              <w:rPr>
                <w:rFonts w:eastAsia="SimSun"/>
                <w:b/>
                <w:bCs/>
                <w:iCs/>
                <w:sz w:val="18"/>
                <w:szCs w:val="18"/>
                <w:vertAlign w:val="superscript"/>
                <w:lang w:val="en-GB" w:eastAsia="zh-CN"/>
              </w:rPr>
            </w:pPr>
            <w:r w:rsidRPr="00A268BF">
              <w:rPr>
                <w:rFonts w:eastAsia="SimSun"/>
                <w:b/>
                <w:bCs/>
                <w:iCs/>
                <w:sz w:val="18"/>
                <w:szCs w:val="18"/>
                <w:lang w:val="en-GB" w:eastAsia="zh-CN"/>
              </w:rPr>
              <w:t>RUD</w:t>
            </w:r>
            <w:r w:rsidRPr="00A268BF">
              <w:rPr>
                <w:rFonts w:eastAsia="SimSun"/>
                <w:b/>
                <w:bCs/>
                <w:iCs/>
                <w:sz w:val="18"/>
                <w:szCs w:val="18"/>
                <w:lang w:val="en-GB" w:eastAsia="zh-CN"/>
              </w:rPr>
              <w:br/>
              <w:t>[mg a.s./kg]</w:t>
            </w:r>
          </w:p>
        </w:tc>
        <w:tc>
          <w:tcPr>
            <w:tcW w:w="379" w:type="pct"/>
            <w:tcBorders>
              <w:top w:val="single" w:sz="4" w:space="0" w:color="auto"/>
              <w:left w:val="single" w:sz="4" w:space="0" w:color="auto"/>
              <w:bottom w:val="single" w:sz="4" w:space="0" w:color="auto"/>
              <w:right w:val="single" w:sz="4" w:space="0" w:color="auto"/>
            </w:tcBorders>
            <w:vAlign w:val="center"/>
          </w:tcPr>
          <w:p w14:paraId="4546813A" w14:textId="77777777" w:rsidR="00E51CDD" w:rsidRPr="00A268BF" w:rsidRDefault="00E51CDD" w:rsidP="009938D9">
            <w:pPr>
              <w:keepNext/>
              <w:keepLines/>
              <w:jc w:val="center"/>
              <w:rPr>
                <w:b/>
                <w:iCs/>
                <w:sz w:val="18"/>
                <w:szCs w:val="18"/>
                <w:lang w:val="en-GB"/>
              </w:rPr>
            </w:pPr>
            <w:r>
              <w:rPr>
                <w:b/>
                <w:iCs/>
                <w:sz w:val="18"/>
                <w:szCs w:val="18"/>
                <w:lang w:val="en-GB"/>
              </w:rPr>
              <w:t>MAF</w:t>
            </w:r>
            <w:r w:rsidRPr="00D10569">
              <w:rPr>
                <w:b/>
                <w:iCs/>
                <w:sz w:val="18"/>
                <w:szCs w:val="18"/>
                <w:vertAlign w:val="subscript"/>
                <w:lang w:val="en-GB"/>
              </w:rPr>
              <w:t>m</w:t>
            </w:r>
          </w:p>
        </w:tc>
        <w:tc>
          <w:tcPr>
            <w:tcW w:w="471" w:type="pct"/>
            <w:tcBorders>
              <w:top w:val="single" w:sz="4" w:space="0" w:color="auto"/>
              <w:left w:val="single" w:sz="4" w:space="0" w:color="auto"/>
              <w:bottom w:val="single" w:sz="4" w:space="0" w:color="auto"/>
              <w:right w:val="single" w:sz="4" w:space="0" w:color="auto"/>
            </w:tcBorders>
            <w:vAlign w:val="center"/>
            <w:hideMark/>
          </w:tcPr>
          <w:p w14:paraId="3CD85C72" w14:textId="77777777" w:rsidR="00E51CDD" w:rsidRPr="00A268BF" w:rsidRDefault="00E51CDD" w:rsidP="009938D9">
            <w:pPr>
              <w:keepNext/>
              <w:keepLines/>
              <w:jc w:val="center"/>
              <w:rPr>
                <w:rFonts w:eastAsia="SimSun"/>
                <w:b/>
                <w:bCs/>
                <w:iCs/>
                <w:sz w:val="18"/>
                <w:szCs w:val="18"/>
                <w:lang w:val="en-GB" w:eastAsia="zh-CN"/>
              </w:rPr>
            </w:pPr>
            <w:r>
              <w:rPr>
                <w:b/>
                <w:iCs/>
                <w:sz w:val="18"/>
                <w:szCs w:val="18"/>
                <w:lang w:val="en-GB"/>
              </w:rPr>
              <w:t>fTWA</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535F5B1A"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DF</w:t>
            </w:r>
          </w:p>
        </w:tc>
        <w:tc>
          <w:tcPr>
            <w:tcW w:w="564" w:type="pct"/>
            <w:tcBorders>
              <w:top w:val="single" w:sz="4" w:space="0" w:color="auto"/>
              <w:left w:val="single" w:sz="4" w:space="0" w:color="auto"/>
              <w:bottom w:val="single" w:sz="4" w:space="0" w:color="auto"/>
              <w:right w:val="single" w:sz="4" w:space="0" w:color="auto"/>
            </w:tcBorders>
            <w:vAlign w:val="center"/>
            <w:hideMark/>
          </w:tcPr>
          <w:p w14:paraId="0C36DE8C"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Use rate</w:t>
            </w:r>
            <w:r w:rsidRPr="00A268BF">
              <w:rPr>
                <w:rFonts w:eastAsia="SimSun"/>
                <w:b/>
                <w:bCs/>
                <w:iCs/>
                <w:sz w:val="18"/>
                <w:szCs w:val="18"/>
                <w:lang w:val="en-GB" w:eastAsia="zh-CN"/>
              </w:rPr>
              <w:br/>
              <w:t>[kg a.s./ha]</w:t>
            </w:r>
          </w:p>
        </w:tc>
        <w:tc>
          <w:tcPr>
            <w:tcW w:w="618" w:type="pct"/>
            <w:tcBorders>
              <w:top w:val="single" w:sz="4" w:space="0" w:color="auto"/>
              <w:left w:val="single" w:sz="4" w:space="0" w:color="auto"/>
              <w:bottom w:val="single" w:sz="4" w:space="0" w:color="auto"/>
              <w:right w:val="single" w:sz="4" w:space="0" w:color="auto"/>
            </w:tcBorders>
            <w:vAlign w:val="center"/>
            <w:hideMark/>
          </w:tcPr>
          <w:p w14:paraId="30045C21"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DDD</w:t>
            </w:r>
            <w:r w:rsidRPr="00A268BF">
              <w:rPr>
                <w:rFonts w:eastAsia="SimSun"/>
                <w:b/>
                <w:bCs/>
                <w:iCs/>
                <w:sz w:val="18"/>
                <w:szCs w:val="18"/>
                <w:lang w:val="en-GB" w:eastAsia="zh-CN"/>
              </w:rPr>
              <w:br/>
              <w:t>[mg a.s./kg b.w./d]</w:t>
            </w:r>
          </w:p>
        </w:tc>
      </w:tr>
      <w:tr w:rsidR="00E51CDD" w:rsidRPr="00A268BF" w14:paraId="1847F622" w14:textId="77777777" w:rsidTr="009938D9">
        <w:trPr>
          <w:trHeight w:val="562"/>
        </w:trPr>
        <w:tc>
          <w:tcPr>
            <w:tcW w:w="544" w:type="pct"/>
            <w:tcBorders>
              <w:top w:val="single" w:sz="4" w:space="0" w:color="auto"/>
              <w:left w:val="single" w:sz="4" w:space="0" w:color="auto"/>
              <w:bottom w:val="single" w:sz="4" w:space="0" w:color="auto"/>
              <w:right w:val="single" w:sz="4" w:space="0" w:color="auto"/>
            </w:tcBorders>
            <w:hideMark/>
          </w:tcPr>
          <w:p w14:paraId="22434707"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Grasses/</w:t>
            </w:r>
          </w:p>
          <w:p w14:paraId="0A08A65F" w14:textId="77777777" w:rsidR="00E51CDD" w:rsidRPr="00A268BF" w:rsidRDefault="00E51CDD" w:rsidP="009938D9">
            <w:pPr>
              <w:keepNext/>
              <w:keepLines/>
              <w:rPr>
                <w:rFonts w:eastAsia="SimSun"/>
                <w:iCs/>
                <w:sz w:val="18"/>
                <w:szCs w:val="18"/>
                <w:lang w:val="en-GB" w:eastAsia="zh-CN"/>
              </w:rPr>
            </w:pPr>
            <w:r w:rsidRPr="00A268BF">
              <w:rPr>
                <w:rFonts w:eastAsia="SimSun"/>
                <w:b/>
                <w:bCs/>
                <w:iCs/>
                <w:sz w:val="18"/>
                <w:szCs w:val="18"/>
                <w:lang w:val="en-GB" w:eastAsia="zh-CN"/>
              </w:rPr>
              <w:t>Cereal shoots</w:t>
            </w:r>
          </w:p>
        </w:tc>
        <w:tc>
          <w:tcPr>
            <w:tcW w:w="553" w:type="pct"/>
            <w:tcBorders>
              <w:top w:val="single" w:sz="4" w:space="0" w:color="auto"/>
              <w:left w:val="single" w:sz="4" w:space="0" w:color="auto"/>
              <w:bottom w:val="single" w:sz="4" w:space="0" w:color="auto"/>
              <w:right w:val="single" w:sz="4" w:space="0" w:color="auto"/>
            </w:tcBorders>
            <w:noWrap/>
            <w:vAlign w:val="center"/>
            <w:hideMark/>
          </w:tcPr>
          <w:p w14:paraId="08E3414A"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1.</w:t>
            </w:r>
            <w:r>
              <w:rPr>
                <w:rFonts w:eastAsia="SimSun"/>
                <w:iCs/>
                <w:sz w:val="18"/>
                <w:szCs w:val="18"/>
                <w:lang w:val="en-GB" w:eastAsia="zh-CN"/>
              </w:rPr>
              <w:t>334</w:t>
            </w:r>
          </w:p>
        </w:tc>
        <w:tc>
          <w:tcPr>
            <w:tcW w:w="528" w:type="pct"/>
            <w:tcBorders>
              <w:top w:val="single" w:sz="4" w:space="0" w:color="auto"/>
              <w:left w:val="single" w:sz="4" w:space="0" w:color="auto"/>
              <w:bottom w:val="single" w:sz="4" w:space="0" w:color="auto"/>
              <w:right w:val="single" w:sz="4" w:space="0" w:color="auto"/>
            </w:tcBorders>
            <w:noWrap/>
            <w:vAlign w:val="center"/>
            <w:hideMark/>
          </w:tcPr>
          <w:p w14:paraId="114C5EE5"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1.0</w:t>
            </w:r>
          </w:p>
        </w:tc>
        <w:tc>
          <w:tcPr>
            <w:tcW w:w="379" w:type="pct"/>
            <w:tcBorders>
              <w:top w:val="single" w:sz="4" w:space="0" w:color="auto"/>
              <w:left w:val="single" w:sz="4" w:space="0" w:color="auto"/>
              <w:bottom w:val="single" w:sz="4" w:space="0" w:color="auto"/>
              <w:right w:val="single" w:sz="4" w:space="0" w:color="auto"/>
            </w:tcBorders>
            <w:noWrap/>
            <w:vAlign w:val="center"/>
            <w:hideMark/>
          </w:tcPr>
          <w:p w14:paraId="39E134B5"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1.0</w:t>
            </w:r>
          </w:p>
        </w:tc>
        <w:tc>
          <w:tcPr>
            <w:tcW w:w="587" w:type="pct"/>
            <w:tcBorders>
              <w:top w:val="single" w:sz="4" w:space="0" w:color="auto"/>
              <w:left w:val="single" w:sz="4" w:space="0" w:color="auto"/>
              <w:bottom w:val="single" w:sz="4" w:space="0" w:color="auto"/>
              <w:right w:val="single" w:sz="4" w:space="0" w:color="auto"/>
            </w:tcBorders>
            <w:noWrap/>
            <w:vAlign w:val="center"/>
            <w:hideMark/>
          </w:tcPr>
          <w:p w14:paraId="0FAFE277"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54.2</w:t>
            </w:r>
            <w:r>
              <w:rPr>
                <w:rFonts w:eastAsia="SimSun"/>
                <w:iCs/>
                <w:sz w:val="18"/>
                <w:szCs w:val="18"/>
                <w:lang w:val="en-GB" w:eastAsia="zh-CN"/>
              </w:rPr>
              <w:t> </w:t>
            </w:r>
          </w:p>
        </w:tc>
        <w:tc>
          <w:tcPr>
            <w:tcW w:w="379" w:type="pct"/>
            <w:tcBorders>
              <w:top w:val="single" w:sz="4" w:space="0" w:color="auto"/>
              <w:left w:val="single" w:sz="4" w:space="0" w:color="auto"/>
              <w:bottom w:val="single" w:sz="4" w:space="0" w:color="auto"/>
              <w:right w:val="single" w:sz="4" w:space="0" w:color="auto"/>
            </w:tcBorders>
            <w:vAlign w:val="center"/>
          </w:tcPr>
          <w:p w14:paraId="698FB97B"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1.23</w:t>
            </w:r>
          </w:p>
        </w:tc>
        <w:tc>
          <w:tcPr>
            <w:tcW w:w="471" w:type="pct"/>
            <w:tcBorders>
              <w:top w:val="single" w:sz="4" w:space="0" w:color="auto"/>
              <w:left w:val="single" w:sz="4" w:space="0" w:color="auto"/>
              <w:bottom w:val="single" w:sz="4" w:space="0" w:color="auto"/>
              <w:right w:val="single" w:sz="4" w:space="0" w:color="auto"/>
            </w:tcBorders>
            <w:vAlign w:val="center"/>
            <w:hideMark/>
          </w:tcPr>
          <w:p w14:paraId="49CBA41C"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0.</w:t>
            </w:r>
            <w:r>
              <w:rPr>
                <w:rFonts w:eastAsia="SimSun"/>
                <w:iCs/>
                <w:sz w:val="18"/>
                <w:szCs w:val="18"/>
                <w:lang w:val="en-GB" w:eastAsia="zh-CN"/>
              </w:rPr>
              <w:t>53</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2463ACC0"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 xml:space="preserve">0.1 </w:t>
            </w:r>
            <w:r>
              <w:rPr>
                <w:rFonts w:eastAsia="SimSun"/>
                <w:iCs/>
                <w:sz w:val="18"/>
                <w:szCs w:val="18"/>
                <w:vertAlign w:val="superscript"/>
                <w:lang w:val="en-GB" w:eastAsia="zh-CN"/>
              </w:rPr>
              <w:t>1</w:t>
            </w:r>
            <w:r w:rsidRPr="00A268BF">
              <w:rPr>
                <w:rFonts w:eastAsia="SimSun"/>
                <w:iCs/>
                <w:sz w:val="18"/>
                <w:szCs w:val="18"/>
                <w:vertAlign w:val="superscript"/>
                <w:lang w:val="en-GB" w:eastAsia="zh-CN"/>
              </w:rPr>
              <w:t>)</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1EE70EC7"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0.1</w:t>
            </w:r>
            <w:r>
              <w:rPr>
                <w:rFonts w:eastAsia="SimSun"/>
                <w:iCs/>
                <w:sz w:val="18"/>
                <w:szCs w:val="18"/>
                <w:lang w:val="en-GB" w:eastAsia="zh-CN"/>
              </w:rPr>
              <w:t>0</w:t>
            </w:r>
          </w:p>
        </w:tc>
        <w:tc>
          <w:tcPr>
            <w:tcW w:w="618" w:type="pct"/>
            <w:tcBorders>
              <w:top w:val="single" w:sz="4" w:space="0" w:color="auto"/>
              <w:left w:val="single" w:sz="4" w:space="0" w:color="auto"/>
              <w:bottom w:val="single" w:sz="4" w:space="0" w:color="auto"/>
              <w:right w:val="single" w:sz="4" w:space="0" w:color="auto"/>
            </w:tcBorders>
            <w:noWrap/>
            <w:vAlign w:val="center"/>
            <w:hideMark/>
          </w:tcPr>
          <w:p w14:paraId="212EB7A5"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0.</w:t>
            </w:r>
            <w:r>
              <w:rPr>
                <w:rFonts w:eastAsia="SimSun"/>
                <w:iCs/>
                <w:sz w:val="18"/>
                <w:szCs w:val="18"/>
                <w:lang w:val="en-GB" w:eastAsia="zh-CN"/>
              </w:rPr>
              <w:t>471</w:t>
            </w:r>
          </w:p>
        </w:tc>
      </w:tr>
      <w:tr w:rsidR="00E51CDD" w:rsidRPr="00A268BF" w14:paraId="6CE6B2CB" w14:textId="77777777" w:rsidTr="009938D9">
        <w:trPr>
          <w:trHeight w:val="351"/>
        </w:trPr>
        <w:tc>
          <w:tcPr>
            <w:tcW w:w="4382" w:type="pct"/>
            <w:gridSpan w:val="9"/>
            <w:tcBorders>
              <w:top w:val="single" w:sz="4" w:space="0" w:color="auto"/>
              <w:left w:val="single" w:sz="4" w:space="0" w:color="auto"/>
              <w:bottom w:val="single" w:sz="4" w:space="0" w:color="auto"/>
              <w:right w:val="single" w:sz="4" w:space="0" w:color="auto"/>
            </w:tcBorders>
          </w:tcPr>
          <w:p w14:paraId="1BBA2AE1"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Toxicity endpoint [mg a.s./kg b.w./d]</w:t>
            </w:r>
          </w:p>
        </w:tc>
        <w:tc>
          <w:tcPr>
            <w:tcW w:w="618" w:type="pct"/>
            <w:tcBorders>
              <w:top w:val="single" w:sz="4" w:space="0" w:color="auto"/>
              <w:left w:val="single" w:sz="4" w:space="0" w:color="auto"/>
              <w:bottom w:val="single" w:sz="4" w:space="0" w:color="auto"/>
              <w:right w:val="single" w:sz="4" w:space="0" w:color="auto"/>
            </w:tcBorders>
            <w:noWrap/>
            <w:vAlign w:val="center"/>
            <w:hideMark/>
          </w:tcPr>
          <w:p w14:paraId="500BB9E0"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1</w:t>
            </w:r>
            <w:r>
              <w:rPr>
                <w:rFonts w:eastAsia="SimSun"/>
                <w:iCs/>
                <w:sz w:val="18"/>
                <w:szCs w:val="18"/>
                <w:lang w:val="en-GB" w:eastAsia="zh-CN"/>
              </w:rPr>
              <w:t>0</w:t>
            </w:r>
          </w:p>
        </w:tc>
      </w:tr>
      <w:tr w:rsidR="00E51CDD" w:rsidRPr="00A268BF" w14:paraId="7721C6B3" w14:textId="77777777" w:rsidTr="009938D9">
        <w:trPr>
          <w:trHeight w:val="270"/>
        </w:trPr>
        <w:tc>
          <w:tcPr>
            <w:tcW w:w="4382" w:type="pct"/>
            <w:gridSpan w:val="9"/>
            <w:tcBorders>
              <w:top w:val="single" w:sz="4" w:space="0" w:color="auto"/>
              <w:left w:val="single" w:sz="4" w:space="0" w:color="auto"/>
              <w:bottom w:val="single" w:sz="4" w:space="0" w:color="auto"/>
              <w:right w:val="single" w:sz="4" w:space="0" w:color="auto"/>
            </w:tcBorders>
          </w:tcPr>
          <w:p w14:paraId="69660F94"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TER</w:t>
            </w:r>
            <w:r w:rsidRPr="00A268BF">
              <w:rPr>
                <w:rFonts w:eastAsia="SimSun"/>
                <w:b/>
                <w:bCs/>
                <w:iCs/>
                <w:sz w:val="18"/>
                <w:szCs w:val="18"/>
                <w:vertAlign w:val="subscript"/>
                <w:lang w:val="en-GB" w:eastAsia="zh-CN"/>
              </w:rPr>
              <w:t>LT</w:t>
            </w:r>
          </w:p>
        </w:tc>
        <w:tc>
          <w:tcPr>
            <w:tcW w:w="618" w:type="pct"/>
            <w:tcBorders>
              <w:top w:val="single" w:sz="4" w:space="0" w:color="auto"/>
              <w:left w:val="single" w:sz="4" w:space="0" w:color="auto"/>
              <w:bottom w:val="single" w:sz="4" w:space="0" w:color="auto"/>
              <w:right w:val="single" w:sz="4" w:space="0" w:color="auto"/>
            </w:tcBorders>
            <w:noWrap/>
            <w:vAlign w:val="center"/>
            <w:hideMark/>
          </w:tcPr>
          <w:p w14:paraId="0B708818"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21.2</w:t>
            </w:r>
          </w:p>
        </w:tc>
      </w:tr>
    </w:tbl>
    <w:p w14:paraId="65D0B3E4" w14:textId="77777777" w:rsidR="00E51CDD" w:rsidRPr="00A268BF" w:rsidRDefault="00E51CDD" w:rsidP="00E51CDD">
      <w:pPr>
        <w:widowControl w:val="0"/>
        <w:jc w:val="both"/>
        <w:rPr>
          <w:iCs/>
          <w:sz w:val="18"/>
          <w:szCs w:val="18"/>
          <w:lang w:val="en-GB" w:eastAsia="zh-CN"/>
        </w:rPr>
      </w:pPr>
      <w:r>
        <w:rPr>
          <w:iCs/>
          <w:sz w:val="18"/>
          <w:szCs w:val="18"/>
          <w:vertAlign w:val="superscript"/>
          <w:lang w:val="en-GB" w:eastAsia="zh-CN"/>
        </w:rPr>
        <w:t>1</w:t>
      </w:r>
      <w:r w:rsidRPr="00A268BF">
        <w:rPr>
          <w:iCs/>
          <w:sz w:val="18"/>
          <w:szCs w:val="18"/>
          <w:vertAlign w:val="superscript"/>
          <w:lang w:val="en-GB" w:eastAsia="zh-CN"/>
        </w:rPr>
        <w:t>)</w:t>
      </w:r>
      <w:r w:rsidRPr="00A268BF">
        <w:rPr>
          <w:iCs/>
          <w:sz w:val="18"/>
          <w:szCs w:val="18"/>
          <w:lang w:val="en-GB" w:eastAsia="zh-CN"/>
        </w:rPr>
        <w:t xml:space="preserve"> Refined parameter</w:t>
      </w:r>
    </w:p>
    <w:p w14:paraId="12921D34" w14:textId="77777777" w:rsidR="00E51CDD" w:rsidRDefault="00E51CDD" w:rsidP="00E51CDD">
      <w:pPr>
        <w:widowControl w:val="0"/>
        <w:jc w:val="both"/>
        <w:rPr>
          <w:iCs/>
          <w:lang w:val="en-GB"/>
        </w:rPr>
      </w:pPr>
    </w:p>
    <w:p w14:paraId="0A771289" w14:textId="77777777" w:rsidR="00E51CDD" w:rsidRPr="00A268BF" w:rsidRDefault="00E51CDD" w:rsidP="00E51CDD">
      <w:pPr>
        <w:widowControl w:val="0"/>
        <w:jc w:val="both"/>
        <w:rPr>
          <w:iCs/>
          <w:lang w:val="en-GB"/>
        </w:rPr>
      </w:pPr>
    </w:p>
    <w:p w14:paraId="150EBF8E" w14:textId="1C8CD050" w:rsidR="00E51CDD" w:rsidRDefault="00E51CDD" w:rsidP="00E51CDD">
      <w:pPr>
        <w:widowControl w:val="0"/>
        <w:tabs>
          <w:tab w:val="left" w:pos="1985"/>
        </w:tabs>
        <w:suppressAutoHyphens/>
        <w:ind w:left="1985" w:hanging="1985"/>
        <w:jc w:val="both"/>
        <w:rPr>
          <w:b/>
          <w:bCs/>
          <w:iCs/>
          <w:lang w:val="en-GB"/>
        </w:rPr>
      </w:pPr>
      <w:bookmarkStart w:id="395" w:name="_Ref516566228"/>
      <w:r w:rsidRPr="00A268BF">
        <w:rPr>
          <w:b/>
          <w:bCs/>
          <w:iCs/>
          <w:lang w:val="en-GB"/>
        </w:rPr>
        <w:t xml:space="preserve">Table </w:t>
      </w:r>
      <w:r w:rsidRPr="00A268BF">
        <w:rPr>
          <w:iCs/>
        </w:rPr>
        <w:fldChar w:fldCharType="begin"/>
      </w:r>
      <w:r w:rsidRPr="00A268BF">
        <w:rPr>
          <w:b/>
          <w:bCs/>
          <w:iCs/>
          <w:lang w:val="en-GB"/>
        </w:rPr>
        <w:instrText xml:space="preserve"> STYLEREF 2 \s </w:instrText>
      </w:r>
      <w:r w:rsidRPr="00A268BF">
        <w:rPr>
          <w:iCs/>
        </w:rPr>
        <w:fldChar w:fldCharType="separate"/>
      </w:r>
      <w:r w:rsidR="00662F32">
        <w:rPr>
          <w:b/>
          <w:bCs/>
          <w:iCs/>
          <w:noProof/>
          <w:lang w:val="en-GB"/>
        </w:rPr>
        <w:t>9.3</w:t>
      </w:r>
      <w:r w:rsidRPr="00A268BF">
        <w:rPr>
          <w:iCs/>
        </w:rPr>
        <w:fldChar w:fldCharType="end"/>
      </w:r>
      <w:r w:rsidRPr="00A268BF">
        <w:rPr>
          <w:b/>
          <w:bCs/>
          <w:iCs/>
          <w:lang w:val="en-GB"/>
        </w:rPr>
        <w:noBreakHyphen/>
      </w:r>
      <w:r w:rsidRPr="00A268BF">
        <w:rPr>
          <w:iCs/>
        </w:rPr>
        <w:fldChar w:fldCharType="begin"/>
      </w:r>
      <w:r w:rsidRPr="00A268BF">
        <w:rPr>
          <w:b/>
          <w:bCs/>
          <w:iCs/>
          <w:lang w:val="en-GB"/>
        </w:rPr>
        <w:instrText xml:space="preserve"> SEQ Table \* ARABIC \s 2 </w:instrText>
      </w:r>
      <w:r w:rsidRPr="00A268BF">
        <w:rPr>
          <w:iCs/>
        </w:rPr>
        <w:fldChar w:fldCharType="separate"/>
      </w:r>
      <w:r w:rsidR="00662F32">
        <w:rPr>
          <w:b/>
          <w:bCs/>
          <w:iCs/>
          <w:noProof/>
          <w:lang w:val="en-GB"/>
        </w:rPr>
        <w:t>15</w:t>
      </w:r>
      <w:r w:rsidRPr="00A268BF">
        <w:rPr>
          <w:iCs/>
        </w:rPr>
        <w:fldChar w:fldCharType="end"/>
      </w:r>
      <w:bookmarkEnd w:id="395"/>
      <w:r w:rsidRPr="00A268BF">
        <w:rPr>
          <w:b/>
          <w:bCs/>
          <w:iCs/>
          <w:lang w:val="en-GB"/>
        </w:rPr>
        <w:t xml:space="preserve">: </w:t>
      </w:r>
      <w:r w:rsidRPr="00A268BF">
        <w:rPr>
          <w:b/>
          <w:bCs/>
          <w:iCs/>
          <w:lang w:val="en-GB"/>
        </w:rPr>
        <w:tab/>
      </w:r>
      <w:r>
        <w:rPr>
          <w:b/>
          <w:bCs/>
          <w:iCs/>
          <w:lang w:val="en-GB"/>
        </w:rPr>
        <w:t xml:space="preserve">Azoxystrobin: </w:t>
      </w:r>
      <w:r w:rsidRPr="00A268BF">
        <w:rPr>
          <w:b/>
          <w:bCs/>
          <w:iCs/>
          <w:lang w:val="en-GB"/>
        </w:rPr>
        <w:t xml:space="preserve">Refined reproductive dietary risk assessment for the “vole” (common vole) scenario in cereals at BBCH ≥ 40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032"/>
        <w:gridCol w:w="985"/>
        <w:gridCol w:w="707"/>
        <w:gridCol w:w="1095"/>
        <w:gridCol w:w="726"/>
        <w:gridCol w:w="878"/>
        <w:gridCol w:w="703"/>
        <w:gridCol w:w="1052"/>
        <w:gridCol w:w="1154"/>
      </w:tblGrid>
      <w:tr w:rsidR="00E51CDD" w:rsidRPr="00A268BF" w14:paraId="48608111" w14:textId="77777777" w:rsidTr="009938D9">
        <w:trPr>
          <w:trHeight w:val="615"/>
        </w:trPr>
        <w:tc>
          <w:tcPr>
            <w:tcW w:w="544" w:type="pct"/>
            <w:tcBorders>
              <w:top w:val="single" w:sz="4" w:space="0" w:color="auto"/>
              <w:left w:val="single" w:sz="4" w:space="0" w:color="auto"/>
              <w:bottom w:val="single" w:sz="4" w:space="0" w:color="auto"/>
              <w:right w:val="single" w:sz="4" w:space="0" w:color="auto"/>
            </w:tcBorders>
            <w:noWrap/>
            <w:vAlign w:val="center"/>
            <w:hideMark/>
          </w:tcPr>
          <w:p w14:paraId="71D75D62"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Food type</w:t>
            </w:r>
          </w:p>
        </w:tc>
        <w:tc>
          <w:tcPr>
            <w:tcW w:w="553" w:type="pct"/>
            <w:tcBorders>
              <w:top w:val="single" w:sz="4" w:space="0" w:color="auto"/>
              <w:left w:val="single" w:sz="4" w:space="0" w:color="auto"/>
              <w:bottom w:val="single" w:sz="4" w:space="0" w:color="auto"/>
              <w:right w:val="single" w:sz="4" w:space="0" w:color="auto"/>
            </w:tcBorders>
            <w:noWrap/>
            <w:vAlign w:val="center"/>
            <w:hideMark/>
          </w:tcPr>
          <w:p w14:paraId="6E267EA5"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FIR/bw</w:t>
            </w:r>
          </w:p>
        </w:tc>
        <w:tc>
          <w:tcPr>
            <w:tcW w:w="528" w:type="pct"/>
            <w:tcBorders>
              <w:top w:val="single" w:sz="4" w:space="0" w:color="auto"/>
              <w:left w:val="single" w:sz="4" w:space="0" w:color="auto"/>
              <w:bottom w:val="single" w:sz="4" w:space="0" w:color="auto"/>
              <w:right w:val="single" w:sz="4" w:space="0" w:color="auto"/>
            </w:tcBorders>
            <w:noWrap/>
            <w:vAlign w:val="center"/>
            <w:hideMark/>
          </w:tcPr>
          <w:p w14:paraId="55D57E7F"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PD</w:t>
            </w:r>
            <w:r w:rsidRPr="00A268BF">
              <w:rPr>
                <w:rFonts w:eastAsia="SimSun"/>
                <w:b/>
                <w:bCs/>
                <w:iCs/>
                <w:sz w:val="18"/>
                <w:szCs w:val="18"/>
                <w:vertAlign w:val="subscript"/>
                <w:lang w:val="en-GB" w:eastAsia="zh-CN"/>
              </w:rPr>
              <w:t>i</w:t>
            </w:r>
            <w:r w:rsidRPr="00A268BF">
              <w:rPr>
                <w:rFonts w:eastAsia="SimSun"/>
                <w:b/>
                <w:bCs/>
                <w:iCs/>
                <w:sz w:val="18"/>
                <w:szCs w:val="18"/>
                <w:lang w:val="en-GB" w:eastAsia="zh-CN"/>
              </w:rPr>
              <w:t>, fresh</w:t>
            </w:r>
          </w:p>
        </w:tc>
        <w:tc>
          <w:tcPr>
            <w:tcW w:w="379" w:type="pct"/>
            <w:tcBorders>
              <w:top w:val="single" w:sz="4" w:space="0" w:color="auto"/>
              <w:left w:val="single" w:sz="4" w:space="0" w:color="auto"/>
              <w:bottom w:val="single" w:sz="4" w:space="0" w:color="auto"/>
              <w:right w:val="single" w:sz="4" w:space="0" w:color="auto"/>
            </w:tcBorders>
            <w:noWrap/>
            <w:vAlign w:val="center"/>
            <w:hideMark/>
          </w:tcPr>
          <w:p w14:paraId="7A62A008"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PT</w:t>
            </w:r>
          </w:p>
        </w:tc>
        <w:tc>
          <w:tcPr>
            <w:tcW w:w="587" w:type="pct"/>
            <w:tcBorders>
              <w:top w:val="single" w:sz="4" w:space="0" w:color="auto"/>
              <w:left w:val="single" w:sz="4" w:space="0" w:color="auto"/>
              <w:bottom w:val="single" w:sz="4" w:space="0" w:color="auto"/>
              <w:right w:val="single" w:sz="4" w:space="0" w:color="auto"/>
            </w:tcBorders>
            <w:vAlign w:val="center"/>
            <w:hideMark/>
          </w:tcPr>
          <w:p w14:paraId="34A24134" w14:textId="77777777" w:rsidR="00E51CDD" w:rsidRPr="00A268BF" w:rsidRDefault="00E51CDD" w:rsidP="009938D9">
            <w:pPr>
              <w:keepNext/>
              <w:keepLines/>
              <w:jc w:val="center"/>
              <w:rPr>
                <w:rFonts w:eastAsia="SimSun"/>
                <w:b/>
                <w:bCs/>
                <w:iCs/>
                <w:sz w:val="18"/>
                <w:szCs w:val="18"/>
                <w:vertAlign w:val="superscript"/>
                <w:lang w:val="en-GB" w:eastAsia="zh-CN"/>
              </w:rPr>
            </w:pPr>
            <w:r w:rsidRPr="00A268BF">
              <w:rPr>
                <w:rFonts w:eastAsia="SimSun"/>
                <w:b/>
                <w:bCs/>
                <w:iCs/>
                <w:sz w:val="18"/>
                <w:szCs w:val="18"/>
                <w:lang w:val="en-GB" w:eastAsia="zh-CN"/>
              </w:rPr>
              <w:t>RUD</w:t>
            </w:r>
            <w:r w:rsidRPr="00A268BF">
              <w:rPr>
                <w:rFonts w:eastAsia="SimSun"/>
                <w:b/>
                <w:bCs/>
                <w:iCs/>
                <w:sz w:val="18"/>
                <w:szCs w:val="18"/>
                <w:lang w:val="en-GB" w:eastAsia="zh-CN"/>
              </w:rPr>
              <w:br/>
              <w:t>[mg a.s./kg]</w:t>
            </w:r>
          </w:p>
        </w:tc>
        <w:tc>
          <w:tcPr>
            <w:tcW w:w="379" w:type="pct"/>
            <w:tcBorders>
              <w:top w:val="single" w:sz="4" w:space="0" w:color="auto"/>
              <w:left w:val="single" w:sz="4" w:space="0" w:color="auto"/>
              <w:bottom w:val="single" w:sz="4" w:space="0" w:color="auto"/>
              <w:right w:val="single" w:sz="4" w:space="0" w:color="auto"/>
            </w:tcBorders>
            <w:vAlign w:val="center"/>
          </w:tcPr>
          <w:p w14:paraId="4FAC29C1" w14:textId="77777777" w:rsidR="00E51CDD" w:rsidRPr="00A268BF" w:rsidRDefault="00E51CDD" w:rsidP="009938D9">
            <w:pPr>
              <w:keepNext/>
              <w:keepLines/>
              <w:jc w:val="center"/>
              <w:rPr>
                <w:b/>
                <w:iCs/>
                <w:sz w:val="18"/>
                <w:szCs w:val="18"/>
                <w:lang w:val="en-GB"/>
              </w:rPr>
            </w:pPr>
            <w:r>
              <w:rPr>
                <w:b/>
                <w:iCs/>
                <w:sz w:val="18"/>
                <w:szCs w:val="18"/>
                <w:lang w:val="en-GB"/>
              </w:rPr>
              <w:t>MAF</w:t>
            </w:r>
            <w:r w:rsidRPr="00D10569">
              <w:rPr>
                <w:b/>
                <w:iCs/>
                <w:sz w:val="18"/>
                <w:szCs w:val="18"/>
                <w:vertAlign w:val="subscript"/>
                <w:lang w:val="en-GB"/>
              </w:rPr>
              <w:t>m</w:t>
            </w:r>
          </w:p>
        </w:tc>
        <w:tc>
          <w:tcPr>
            <w:tcW w:w="471" w:type="pct"/>
            <w:tcBorders>
              <w:top w:val="single" w:sz="4" w:space="0" w:color="auto"/>
              <w:left w:val="single" w:sz="4" w:space="0" w:color="auto"/>
              <w:bottom w:val="single" w:sz="4" w:space="0" w:color="auto"/>
              <w:right w:val="single" w:sz="4" w:space="0" w:color="auto"/>
            </w:tcBorders>
            <w:vAlign w:val="center"/>
            <w:hideMark/>
          </w:tcPr>
          <w:p w14:paraId="1ACA9DFE" w14:textId="77777777" w:rsidR="00E51CDD" w:rsidRPr="00A268BF" w:rsidRDefault="00E51CDD" w:rsidP="009938D9">
            <w:pPr>
              <w:keepNext/>
              <w:keepLines/>
              <w:jc w:val="center"/>
              <w:rPr>
                <w:rFonts w:eastAsia="SimSun"/>
                <w:b/>
                <w:bCs/>
                <w:iCs/>
                <w:sz w:val="18"/>
                <w:szCs w:val="18"/>
                <w:lang w:val="en-GB" w:eastAsia="zh-CN"/>
              </w:rPr>
            </w:pPr>
            <w:r>
              <w:rPr>
                <w:b/>
                <w:iCs/>
                <w:sz w:val="18"/>
                <w:szCs w:val="18"/>
                <w:lang w:val="en-GB"/>
              </w:rPr>
              <w:t>fTWA</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6A1BDAAF"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DF</w:t>
            </w:r>
          </w:p>
        </w:tc>
        <w:tc>
          <w:tcPr>
            <w:tcW w:w="564" w:type="pct"/>
            <w:tcBorders>
              <w:top w:val="single" w:sz="4" w:space="0" w:color="auto"/>
              <w:left w:val="single" w:sz="4" w:space="0" w:color="auto"/>
              <w:bottom w:val="single" w:sz="4" w:space="0" w:color="auto"/>
              <w:right w:val="single" w:sz="4" w:space="0" w:color="auto"/>
            </w:tcBorders>
            <w:vAlign w:val="center"/>
            <w:hideMark/>
          </w:tcPr>
          <w:p w14:paraId="49A15B5E"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Use rate</w:t>
            </w:r>
            <w:r w:rsidRPr="00A268BF">
              <w:rPr>
                <w:rFonts w:eastAsia="SimSun"/>
                <w:b/>
                <w:bCs/>
                <w:iCs/>
                <w:sz w:val="18"/>
                <w:szCs w:val="18"/>
                <w:lang w:val="en-GB" w:eastAsia="zh-CN"/>
              </w:rPr>
              <w:br/>
              <w:t>[kg a.s./ha]</w:t>
            </w:r>
          </w:p>
        </w:tc>
        <w:tc>
          <w:tcPr>
            <w:tcW w:w="618" w:type="pct"/>
            <w:tcBorders>
              <w:top w:val="single" w:sz="4" w:space="0" w:color="auto"/>
              <w:left w:val="single" w:sz="4" w:space="0" w:color="auto"/>
              <w:bottom w:val="single" w:sz="4" w:space="0" w:color="auto"/>
              <w:right w:val="single" w:sz="4" w:space="0" w:color="auto"/>
            </w:tcBorders>
            <w:vAlign w:val="center"/>
            <w:hideMark/>
          </w:tcPr>
          <w:p w14:paraId="4E3AFF49" w14:textId="77777777" w:rsidR="00E51CDD" w:rsidRPr="00A268BF" w:rsidRDefault="00E51CDD" w:rsidP="009938D9">
            <w:pPr>
              <w:keepNext/>
              <w:keepLines/>
              <w:jc w:val="center"/>
              <w:rPr>
                <w:rFonts w:eastAsia="SimSun"/>
                <w:b/>
                <w:bCs/>
                <w:iCs/>
                <w:sz w:val="18"/>
                <w:szCs w:val="18"/>
                <w:lang w:val="en-GB" w:eastAsia="zh-CN"/>
              </w:rPr>
            </w:pPr>
            <w:r w:rsidRPr="00A268BF">
              <w:rPr>
                <w:rFonts w:eastAsia="SimSun"/>
                <w:b/>
                <w:bCs/>
                <w:iCs/>
                <w:sz w:val="18"/>
                <w:szCs w:val="18"/>
                <w:lang w:val="en-GB" w:eastAsia="zh-CN"/>
              </w:rPr>
              <w:t>DDD</w:t>
            </w:r>
            <w:r w:rsidRPr="00A268BF">
              <w:rPr>
                <w:rFonts w:eastAsia="SimSun"/>
                <w:b/>
                <w:bCs/>
                <w:iCs/>
                <w:sz w:val="18"/>
                <w:szCs w:val="18"/>
                <w:lang w:val="en-GB" w:eastAsia="zh-CN"/>
              </w:rPr>
              <w:br/>
              <w:t>[mg a.s./kg b.w./d]</w:t>
            </w:r>
          </w:p>
        </w:tc>
      </w:tr>
      <w:tr w:rsidR="00E51CDD" w:rsidRPr="00A268BF" w14:paraId="5E6E9F12" w14:textId="77777777" w:rsidTr="009938D9">
        <w:trPr>
          <w:trHeight w:val="562"/>
        </w:trPr>
        <w:tc>
          <w:tcPr>
            <w:tcW w:w="544" w:type="pct"/>
            <w:tcBorders>
              <w:top w:val="single" w:sz="4" w:space="0" w:color="auto"/>
              <w:left w:val="single" w:sz="4" w:space="0" w:color="auto"/>
              <w:bottom w:val="single" w:sz="4" w:space="0" w:color="auto"/>
              <w:right w:val="single" w:sz="4" w:space="0" w:color="auto"/>
            </w:tcBorders>
            <w:hideMark/>
          </w:tcPr>
          <w:p w14:paraId="39443215"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Grasses/</w:t>
            </w:r>
          </w:p>
          <w:p w14:paraId="08421F5B" w14:textId="77777777" w:rsidR="00E51CDD" w:rsidRPr="00A268BF" w:rsidRDefault="00E51CDD" w:rsidP="009938D9">
            <w:pPr>
              <w:keepNext/>
              <w:keepLines/>
              <w:rPr>
                <w:rFonts w:eastAsia="SimSun"/>
                <w:iCs/>
                <w:sz w:val="18"/>
                <w:szCs w:val="18"/>
                <w:lang w:val="en-GB" w:eastAsia="zh-CN"/>
              </w:rPr>
            </w:pPr>
            <w:r w:rsidRPr="00A268BF">
              <w:rPr>
                <w:rFonts w:eastAsia="SimSun"/>
                <w:b/>
                <w:bCs/>
                <w:iCs/>
                <w:sz w:val="18"/>
                <w:szCs w:val="18"/>
                <w:lang w:val="en-GB" w:eastAsia="zh-CN"/>
              </w:rPr>
              <w:t>Cereal shoots</w:t>
            </w:r>
          </w:p>
        </w:tc>
        <w:tc>
          <w:tcPr>
            <w:tcW w:w="553" w:type="pct"/>
            <w:tcBorders>
              <w:top w:val="single" w:sz="4" w:space="0" w:color="auto"/>
              <w:left w:val="single" w:sz="4" w:space="0" w:color="auto"/>
              <w:bottom w:val="single" w:sz="4" w:space="0" w:color="auto"/>
              <w:right w:val="single" w:sz="4" w:space="0" w:color="auto"/>
            </w:tcBorders>
            <w:noWrap/>
            <w:vAlign w:val="center"/>
            <w:hideMark/>
          </w:tcPr>
          <w:p w14:paraId="6BB9A3B9"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1.</w:t>
            </w:r>
            <w:r>
              <w:rPr>
                <w:rFonts w:eastAsia="SimSun"/>
                <w:iCs/>
                <w:sz w:val="18"/>
                <w:szCs w:val="18"/>
                <w:lang w:val="en-GB" w:eastAsia="zh-CN"/>
              </w:rPr>
              <w:t>334</w:t>
            </w:r>
          </w:p>
        </w:tc>
        <w:tc>
          <w:tcPr>
            <w:tcW w:w="528" w:type="pct"/>
            <w:tcBorders>
              <w:top w:val="single" w:sz="4" w:space="0" w:color="auto"/>
              <w:left w:val="single" w:sz="4" w:space="0" w:color="auto"/>
              <w:bottom w:val="single" w:sz="4" w:space="0" w:color="auto"/>
              <w:right w:val="single" w:sz="4" w:space="0" w:color="auto"/>
            </w:tcBorders>
            <w:noWrap/>
            <w:vAlign w:val="center"/>
            <w:hideMark/>
          </w:tcPr>
          <w:p w14:paraId="4BCADCDA"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1.0</w:t>
            </w:r>
          </w:p>
        </w:tc>
        <w:tc>
          <w:tcPr>
            <w:tcW w:w="379" w:type="pct"/>
            <w:tcBorders>
              <w:top w:val="single" w:sz="4" w:space="0" w:color="auto"/>
              <w:left w:val="single" w:sz="4" w:space="0" w:color="auto"/>
              <w:bottom w:val="single" w:sz="4" w:space="0" w:color="auto"/>
              <w:right w:val="single" w:sz="4" w:space="0" w:color="auto"/>
            </w:tcBorders>
            <w:noWrap/>
            <w:vAlign w:val="center"/>
            <w:hideMark/>
          </w:tcPr>
          <w:p w14:paraId="40877FB8"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1.0</w:t>
            </w:r>
          </w:p>
        </w:tc>
        <w:tc>
          <w:tcPr>
            <w:tcW w:w="587" w:type="pct"/>
            <w:tcBorders>
              <w:top w:val="single" w:sz="4" w:space="0" w:color="auto"/>
              <w:left w:val="single" w:sz="4" w:space="0" w:color="auto"/>
              <w:bottom w:val="single" w:sz="4" w:space="0" w:color="auto"/>
              <w:right w:val="single" w:sz="4" w:space="0" w:color="auto"/>
            </w:tcBorders>
            <w:noWrap/>
            <w:vAlign w:val="center"/>
            <w:hideMark/>
          </w:tcPr>
          <w:p w14:paraId="293B9E98"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54.2</w:t>
            </w:r>
          </w:p>
        </w:tc>
        <w:tc>
          <w:tcPr>
            <w:tcW w:w="379" w:type="pct"/>
            <w:tcBorders>
              <w:top w:val="single" w:sz="4" w:space="0" w:color="auto"/>
              <w:left w:val="single" w:sz="4" w:space="0" w:color="auto"/>
              <w:bottom w:val="single" w:sz="4" w:space="0" w:color="auto"/>
              <w:right w:val="single" w:sz="4" w:space="0" w:color="auto"/>
            </w:tcBorders>
            <w:vAlign w:val="center"/>
          </w:tcPr>
          <w:p w14:paraId="6F400482"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1.23</w:t>
            </w:r>
          </w:p>
        </w:tc>
        <w:tc>
          <w:tcPr>
            <w:tcW w:w="471" w:type="pct"/>
            <w:tcBorders>
              <w:top w:val="single" w:sz="4" w:space="0" w:color="auto"/>
              <w:left w:val="single" w:sz="4" w:space="0" w:color="auto"/>
              <w:bottom w:val="single" w:sz="4" w:space="0" w:color="auto"/>
              <w:right w:val="single" w:sz="4" w:space="0" w:color="auto"/>
            </w:tcBorders>
            <w:vAlign w:val="center"/>
            <w:hideMark/>
          </w:tcPr>
          <w:p w14:paraId="05F9E086"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0.</w:t>
            </w:r>
            <w:r>
              <w:rPr>
                <w:rFonts w:eastAsia="SimSun"/>
                <w:iCs/>
                <w:sz w:val="18"/>
                <w:szCs w:val="18"/>
                <w:lang w:val="en-GB" w:eastAsia="zh-CN"/>
              </w:rPr>
              <w:t>53</w:t>
            </w:r>
          </w:p>
        </w:tc>
        <w:tc>
          <w:tcPr>
            <w:tcW w:w="377" w:type="pct"/>
            <w:tcBorders>
              <w:top w:val="single" w:sz="4" w:space="0" w:color="auto"/>
              <w:left w:val="single" w:sz="4" w:space="0" w:color="auto"/>
              <w:bottom w:val="single" w:sz="4" w:space="0" w:color="auto"/>
              <w:right w:val="single" w:sz="4" w:space="0" w:color="auto"/>
            </w:tcBorders>
            <w:noWrap/>
            <w:vAlign w:val="center"/>
            <w:hideMark/>
          </w:tcPr>
          <w:p w14:paraId="5E271A5E"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 xml:space="preserve">0.1 </w:t>
            </w:r>
            <w:r>
              <w:rPr>
                <w:rFonts w:eastAsia="SimSun"/>
                <w:iCs/>
                <w:sz w:val="18"/>
                <w:szCs w:val="18"/>
                <w:vertAlign w:val="superscript"/>
                <w:lang w:val="en-GB" w:eastAsia="zh-CN"/>
              </w:rPr>
              <w:t>1</w:t>
            </w:r>
            <w:r w:rsidRPr="00A268BF">
              <w:rPr>
                <w:rFonts w:eastAsia="SimSun"/>
                <w:iCs/>
                <w:sz w:val="18"/>
                <w:szCs w:val="18"/>
                <w:vertAlign w:val="superscript"/>
                <w:lang w:val="en-GB" w:eastAsia="zh-CN"/>
              </w:rPr>
              <w:t>)</w:t>
            </w:r>
          </w:p>
        </w:tc>
        <w:tc>
          <w:tcPr>
            <w:tcW w:w="564" w:type="pct"/>
            <w:tcBorders>
              <w:top w:val="single" w:sz="4" w:space="0" w:color="auto"/>
              <w:left w:val="single" w:sz="4" w:space="0" w:color="auto"/>
              <w:bottom w:val="single" w:sz="4" w:space="0" w:color="auto"/>
              <w:right w:val="single" w:sz="4" w:space="0" w:color="auto"/>
            </w:tcBorders>
            <w:noWrap/>
            <w:vAlign w:val="center"/>
            <w:hideMark/>
          </w:tcPr>
          <w:p w14:paraId="1D2B7000" w14:textId="77777777" w:rsidR="00E51CDD" w:rsidRPr="00A268BF" w:rsidRDefault="00E51CDD" w:rsidP="009938D9">
            <w:pPr>
              <w:keepNext/>
              <w:keepLines/>
              <w:jc w:val="center"/>
              <w:rPr>
                <w:rFonts w:eastAsia="SimSun"/>
                <w:iCs/>
                <w:sz w:val="18"/>
                <w:szCs w:val="18"/>
                <w:lang w:val="en-GB" w:eastAsia="zh-CN"/>
              </w:rPr>
            </w:pPr>
            <w:r w:rsidRPr="00A268BF">
              <w:rPr>
                <w:rFonts w:eastAsia="SimSun"/>
                <w:iCs/>
                <w:sz w:val="18"/>
                <w:szCs w:val="18"/>
                <w:lang w:val="en-GB" w:eastAsia="zh-CN"/>
              </w:rPr>
              <w:t>0.1</w:t>
            </w:r>
            <w:r>
              <w:rPr>
                <w:rFonts w:eastAsia="SimSun"/>
                <w:iCs/>
                <w:sz w:val="18"/>
                <w:szCs w:val="18"/>
                <w:lang w:val="en-GB" w:eastAsia="zh-CN"/>
              </w:rPr>
              <w:t>5</w:t>
            </w:r>
          </w:p>
        </w:tc>
        <w:tc>
          <w:tcPr>
            <w:tcW w:w="618" w:type="pct"/>
            <w:tcBorders>
              <w:top w:val="single" w:sz="4" w:space="0" w:color="auto"/>
              <w:left w:val="single" w:sz="4" w:space="0" w:color="auto"/>
              <w:bottom w:val="single" w:sz="4" w:space="0" w:color="auto"/>
              <w:right w:val="single" w:sz="4" w:space="0" w:color="auto"/>
            </w:tcBorders>
            <w:noWrap/>
            <w:vAlign w:val="center"/>
            <w:hideMark/>
          </w:tcPr>
          <w:p w14:paraId="26748066"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0.707</w:t>
            </w:r>
          </w:p>
        </w:tc>
      </w:tr>
      <w:tr w:rsidR="00E51CDD" w:rsidRPr="00A268BF" w14:paraId="742457BB" w14:textId="77777777" w:rsidTr="009938D9">
        <w:trPr>
          <w:trHeight w:val="351"/>
        </w:trPr>
        <w:tc>
          <w:tcPr>
            <w:tcW w:w="4382" w:type="pct"/>
            <w:gridSpan w:val="9"/>
            <w:tcBorders>
              <w:top w:val="single" w:sz="4" w:space="0" w:color="auto"/>
              <w:left w:val="single" w:sz="4" w:space="0" w:color="auto"/>
              <w:bottom w:val="single" w:sz="4" w:space="0" w:color="auto"/>
              <w:right w:val="single" w:sz="4" w:space="0" w:color="auto"/>
            </w:tcBorders>
          </w:tcPr>
          <w:p w14:paraId="54D96375"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Toxicity endpoint [mg a.s./kg b.w./d]</w:t>
            </w:r>
          </w:p>
        </w:tc>
        <w:tc>
          <w:tcPr>
            <w:tcW w:w="618" w:type="pct"/>
            <w:tcBorders>
              <w:top w:val="single" w:sz="4" w:space="0" w:color="auto"/>
              <w:left w:val="single" w:sz="4" w:space="0" w:color="auto"/>
              <w:bottom w:val="single" w:sz="4" w:space="0" w:color="auto"/>
              <w:right w:val="single" w:sz="4" w:space="0" w:color="auto"/>
            </w:tcBorders>
            <w:noWrap/>
            <w:vAlign w:val="center"/>
            <w:hideMark/>
          </w:tcPr>
          <w:p w14:paraId="32C96B40"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32</w:t>
            </w:r>
          </w:p>
        </w:tc>
      </w:tr>
      <w:tr w:rsidR="00E51CDD" w:rsidRPr="00A268BF" w14:paraId="60D1B8BB" w14:textId="77777777" w:rsidTr="009938D9">
        <w:trPr>
          <w:trHeight w:val="270"/>
        </w:trPr>
        <w:tc>
          <w:tcPr>
            <w:tcW w:w="4382" w:type="pct"/>
            <w:gridSpan w:val="9"/>
            <w:tcBorders>
              <w:top w:val="single" w:sz="4" w:space="0" w:color="auto"/>
              <w:left w:val="single" w:sz="4" w:space="0" w:color="auto"/>
              <w:bottom w:val="single" w:sz="4" w:space="0" w:color="auto"/>
              <w:right w:val="single" w:sz="4" w:space="0" w:color="auto"/>
            </w:tcBorders>
          </w:tcPr>
          <w:p w14:paraId="314686D6" w14:textId="77777777" w:rsidR="00E51CDD" w:rsidRPr="00A268BF" w:rsidRDefault="00E51CDD" w:rsidP="009938D9">
            <w:pPr>
              <w:keepNext/>
              <w:keepLines/>
              <w:rPr>
                <w:rFonts w:eastAsia="SimSun"/>
                <w:b/>
                <w:bCs/>
                <w:iCs/>
                <w:sz w:val="18"/>
                <w:szCs w:val="18"/>
                <w:lang w:val="en-GB" w:eastAsia="zh-CN"/>
              </w:rPr>
            </w:pPr>
            <w:r w:rsidRPr="00A268BF">
              <w:rPr>
                <w:rFonts w:eastAsia="SimSun"/>
                <w:b/>
                <w:bCs/>
                <w:iCs/>
                <w:sz w:val="18"/>
                <w:szCs w:val="18"/>
                <w:lang w:val="en-GB" w:eastAsia="zh-CN"/>
              </w:rPr>
              <w:t>TER</w:t>
            </w:r>
            <w:r w:rsidRPr="00A268BF">
              <w:rPr>
                <w:rFonts w:eastAsia="SimSun"/>
                <w:b/>
                <w:bCs/>
                <w:iCs/>
                <w:sz w:val="18"/>
                <w:szCs w:val="18"/>
                <w:vertAlign w:val="subscript"/>
                <w:lang w:val="en-GB" w:eastAsia="zh-CN"/>
              </w:rPr>
              <w:t>LT</w:t>
            </w:r>
          </w:p>
        </w:tc>
        <w:tc>
          <w:tcPr>
            <w:tcW w:w="618" w:type="pct"/>
            <w:tcBorders>
              <w:top w:val="single" w:sz="4" w:space="0" w:color="auto"/>
              <w:left w:val="single" w:sz="4" w:space="0" w:color="auto"/>
              <w:bottom w:val="single" w:sz="4" w:space="0" w:color="auto"/>
              <w:right w:val="single" w:sz="4" w:space="0" w:color="auto"/>
            </w:tcBorders>
            <w:noWrap/>
            <w:vAlign w:val="center"/>
            <w:hideMark/>
          </w:tcPr>
          <w:p w14:paraId="79AF9AC7" w14:textId="77777777" w:rsidR="00E51CDD" w:rsidRPr="00A268BF" w:rsidRDefault="00E51CDD" w:rsidP="009938D9">
            <w:pPr>
              <w:keepNext/>
              <w:keepLines/>
              <w:jc w:val="center"/>
              <w:rPr>
                <w:rFonts w:eastAsia="SimSun"/>
                <w:iCs/>
                <w:sz w:val="18"/>
                <w:szCs w:val="18"/>
                <w:lang w:val="en-GB" w:eastAsia="zh-CN"/>
              </w:rPr>
            </w:pPr>
            <w:r>
              <w:rPr>
                <w:rFonts w:eastAsia="SimSun"/>
                <w:iCs/>
                <w:sz w:val="18"/>
                <w:szCs w:val="18"/>
                <w:lang w:val="en-GB" w:eastAsia="zh-CN"/>
              </w:rPr>
              <w:t>45.3</w:t>
            </w:r>
          </w:p>
        </w:tc>
      </w:tr>
    </w:tbl>
    <w:p w14:paraId="68A8C243" w14:textId="77777777" w:rsidR="00E51CDD" w:rsidRPr="00A268BF" w:rsidRDefault="00E51CDD" w:rsidP="00E51CDD">
      <w:pPr>
        <w:widowControl w:val="0"/>
        <w:jc w:val="both"/>
        <w:rPr>
          <w:iCs/>
          <w:sz w:val="18"/>
          <w:szCs w:val="18"/>
          <w:lang w:val="en-GB" w:eastAsia="zh-CN"/>
        </w:rPr>
      </w:pPr>
      <w:r>
        <w:rPr>
          <w:iCs/>
          <w:sz w:val="18"/>
          <w:szCs w:val="18"/>
          <w:vertAlign w:val="superscript"/>
          <w:lang w:val="en-GB" w:eastAsia="zh-CN"/>
        </w:rPr>
        <w:t>1</w:t>
      </w:r>
      <w:r w:rsidRPr="00A268BF">
        <w:rPr>
          <w:iCs/>
          <w:sz w:val="18"/>
          <w:szCs w:val="18"/>
          <w:vertAlign w:val="superscript"/>
          <w:lang w:val="en-GB" w:eastAsia="zh-CN"/>
        </w:rPr>
        <w:t>)</w:t>
      </w:r>
      <w:r w:rsidRPr="00A268BF">
        <w:rPr>
          <w:iCs/>
          <w:sz w:val="18"/>
          <w:szCs w:val="18"/>
          <w:lang w:val="en-GB" w:eastAsia="zh-CN"/>
        </w:rPr>
        <w:t xml:space="preserve"> Refined parameter</w:t>
      </w:r>
    </w:p>
    <w:p w14:paraId="2D31667F" w14:textId="77777777" w:rsidR="00E51CDD" w:rsidRDefault="00E51CDD" w:rsidP="00E51CDD">
      <w:pPr>
        <w:widowControl w:val="0"/>
        <w:jc w:val="both"/>
        <w:rPr>
          <w:iCs/>
          <w:lang w:val="en-GB"/>
        </w:rPr>
      </w:pPr>
    </w:p>
    <w:p w14:paraId="5B35EE07" w14:textId="77777777" w:rsidR="00E51CDD" w:rsidRPr="00A268BF" w:rsidRDefault="00E51CDD" w:rsidP="00E51CDD">
      <w:pPr>
        <w:widowControl w:val="0"/>
        <w:jc w:val="both"/>
        <w:rPr>
          <w:iCs/>
          <w:lang w:val="en-GB"/>
        </w:rPr>
      </w:pPr>
    </w:p>
    <w:p w14:paraId="3EF95EDB" w14:textId="05C84189" w:rsidR="00E51CDD" w:rsidRPr="00A268BF" w:rsidRDefault="00E51CDD" w:rsidP="00E51CDD">
      <w:pPr>
        <w:widowControl w:val="0"/>
        <w:tabs>
          <w:tab w:val="left" w:pos="1985"/>
        </w:tabs>
        <w:suppressAutoHyphens/>
        <w:ind w:left="1985" w:hanging="1985"/>
        <w:jc w:val="both"/>
        <w:rPr>
          <w:b/>
          <w:bCs/>
          <w:iCs/>
          <w:lang w:val="en-GB"/>
        </w:rPr>
      </w:pPr>
      <w:bookmarkStart w:id="396" w:name="_Ref516566365"/>
      <w:r w:rsidRPr="00A268BF">
        <w:rPr>
          <w:b/>
          <w:bCs/>
          <w:iCs/>
          <w:lang w:val="en-GB"/>
        </w:rPr>
        <w:t xml:space="preserve">Table </w:t>
      </w:r>
      <w:r w:rsidRPr="00A268BF">
        <w:rPr>
          <w:iCs/>
        </w:rPr>
        <w:fldChar w:fldCharType="begin"/>
      </w:r>
      <w:r w:rsidRPr="00A268BF">
        <w:rPr>
          <w:b/>
          <w:bCs/>
          <w:iCs/>
          <w:lang w:val="en-GB"/>
        </w:rPr>
        <w:instrText xml:space="preserve"> STYLEREF 2 \s </w:instrText>
      </w:r>
      <w:r w:rsidRPr="00A268BF">
        <w:rPr>
          <w:iCs/>
        </w:rPr>
        <w:fldChar w:fldCharType="separate"/>
      </w:r>
      <w:r w:rsidR="00662F32">
        <w:rPr>
          <w:b/>
          <w:bCs/>
          <w:iCs/>
          <w:noProof/>
          <w:lang w:val="en-GB"/>
        </w:rPr>
        <w:t>9.3</w:t>
      </w:r>
      <w:r w:rsidRPr="00A268BF">
        <w:rPr>
          <w:iCs/>
        </w:rPr>
        <w:fldChar w:fldCharType="end"/>
      </w:r>
      <w:r w:rsidRPr="00A268BF">
        <w:rPr>
          <w:b/>
          <w:bCs/>
          <w:iCs/>
          <w:lang w:val="en-GB"/>
        </w:rPr>
        <w:noBreakHyphen/>
      </w:r>
      <w:r w:rsidRPr="00A268BF">
        <w:rPr>
          <w:iCs/>
        </w:rPr>
        <w:fldChar w:fldCharType="begin"/>
      </w:r>
      <w:r w:rsidRPr="00A268BF">
        <w:rPr>
          <w:b/>
          <w:bCs/>
          <w:iCs/>
          <w:lang w:val="en-GB"/>
        </w:rPr>
        <w:instrText xml:space="preserve"> SEQ Table \* ARABIC \s 2 </w:instrText>
      </w:r>
      <w:r w:rsidRPr="00A268BF">
        <w:rPr>
          <w:iCs/>
        </w:rPr>
        <w:fldChar w:fldCharType="separate"/>
      </w:r>
      <w:r w:rsidR="00662F32">
        <w:rPr>
          <w:b/>
          <w:bCs/>
          <w:iCs/>
          <w:noProof/>
          <w:lang w:val="en-GB"/>
        </w:rPr>
        <w:t>16</w:t>
      </w:r>
      <w:r w:rsidRPr="00A268BF">
        <w:rPr>
          <w:iCs/>
        </w:rPr>
        <w:fldChar w:fldCharType="end"/>
      </w:r>
      <w:bookmarkEnd w:id="396"/>
      <w:r w:rsidRPr="00A268BF">
        <w:rPr>
          <w:b/>
          <w:bCs/>
          <w:iCs/>
          <w:lang w:val="en-GB"/>
        </w:rPr>
        <w:t xml:space="preserve">: </w:t>
      </w:r>
      <w:r w:rsidRPr="00A268BF">
        <w:rPr>
          <w:b/>
          <w:bCs/>
          <w:iCs/>
          <w:lang w:val="en-GB"/>
        </w:rPr>
        <w:tab/>
        <w:t>Cereals: Refined combination toxicity risk assessment for the “vole” scenario in cereals at BBCH ≥ 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859"/>
        <w:gridCol w:w="1830"/>
        <w:gridCol w:w="1970"/>
        <w:gridCol w:w="1828"/>
        <w:gridCol w:w="1181"/>
        <w:gridCol w:w="679"/>
      </w:tblGrid>
      <w:tr w:rsidR="00E51CDD" w:rsidRPr="00EF2BBE" w14:paraId="26498A92" w14:textId="77777777" w:rsidTr="009938D9">
        <w:trPr>
          <w:cantSplit/>
          <w:tblHeader/>
        </w:trPr>
        <w:tc>
          <w:tcPr>
            <w:tcW w:w="1973" w:type="pct"/>
            <w:gridSpan w:val="2"/>
            <w:tcBorders>
              <w:top w:val="single" w:sz="4" w:space="0" w:color="auto"/>
              <w:left w:val="single" w:sz="4" w:space="0" w:color="auto"/>
              <w:bottom w:val="single" w:sz="4" w:space="0" w:color="auto"/>
              <w:right w:val="single" w:sz="4" w:space="0" w:color="auto"/>
            </w:tcBorders>
            <w:hideMark/>
          </w:tcPr>
          <w:p w14:paraId="7FB8C901" w14:textId="77777777" w:rsidR="00E51CDD" w:rsidRPr="00EF2BBE" w:rsidRDefault="00E51CDD" w:rsidP="009938D9">
            <w:pPr>
              <w:widowControl w:val="0"/>
              <w:rPr>
                <w:b/>
                <w:bCs/>
                <w:iCs/>
                <w:sz w:val="18"/>
                <w:szCs w:val="18"/>
                <w:lang w:val="en-GB"/>
              </w:rPr>
            </w:pPr>
            <w:r w:rsidRPr="00EF2BBE">
              <w:rPr>
                <w:b/>
                <w:bCs/>
                <w:iCs/>
                <w:sz w:val="18"/>
                <w:szCs w:val="18"/>
                <w:lang w:val="en-GB"/>
              </w:rPr>
              <w:t>Crop scenario and/or indicator species</w:t>
            </w:r>
          </w:p>
        </w:tc>
        <w:tc>
          <w:tcPr>
            <w:tcW w:w="1054" w:type="pct"/>
            <w:tcBorders>
              <w:top w:val="single" w:sz="4" w:space="0" w:color="auto"/>
              <w:left w:val="single" w:sz="4" w:space="0" w:color="auto"/>
              <w:bottom w:val="single" w:sz="4" w:space="0" w:color="auto"/>
              <w:right w:val="single" w:sz="4" w:space="0" w:color="auto"/>
            </w:tcBorders>
            <w:hideMark/>
          </w:tcPr>
          <w:p w14:paraId="6F041635" w14:textId="77777777" w:rsidR="00E51CDD" w:rsidRPr="00EF2BBE" w:rsidRDefault="00E51CDD" w:rsidP="009938D9">
            <w:pPr>
              <w:widowControl w:val="0"/>
              <w:jc w:val="center"/>
              <w:rPr>
                <w:b/>
                <w:bCs/>
                <w:iCs/>
                <w:sz w:val="18"/>
                <w:szCs w:val="18"/>
                <w:vertAlign w:val="superscript"/>
                <w:lang w:val="en-GB"/>
              </w:rPr>
            </w:pPr>
            <w:r w:rsidRPr="00EF2BBE">
              <w:rPr>
                <w:b/>
                <w:bCs/>
                <w:iCs/>
                <w:sz w:val="18"/>
                <w:szCs w:val="18"/>
                <w:lang w:val="en-GB"/>
              </w:rPr>
              <w:t>TER</w:t>
            </w:r>
            <w:r w:rsidRPr="00EF2BBE">
              <w:rPr>
                <w:b/>
                <w:bCs/>
                <w:iCs/>
                <w:sz w:val="18"/>
                <w:szCs w:val="18"/>
                <w:vertAlign w:val="subscript"/>
                <w:lang w:val="en-GB"/>
              </w:rPr>
              <w:t>LT</w:t>
            </w:r>
            <w:r w:rsidRPr="00EF2BBE">
              <w:rPr>
                <w:b/>
                <w:bCs/>
                <w:iCs/>
                <w:sz w:val="18"/>
                <w:szCs w:val="18"/>
                <w:lang w:val="en-GB"/>
              </w:rPr>
              <w:t xml:space="preserve"> (higher tier)</w:t>
            </w:r>
          </w:p>
          <w:p w14:paraId="0AD4F05C" w14:textId="77777777" w:rsidR="00E51CDD" w:rsidRPr="00EF2BBE" w:rsidRDefault="00E51CDD" w:rsidP="009938D9">
            <w:pPr>
              <w:widowControl w:val="0"/>
              <w:jc w:val="center"/>
              <w:rPr>
                <w:b/>
                <w:bCs/>
                <w:iCs/>
                <w:sz w:val="18"/>
                <w:szCs w:val="18"/>
                <w:lang w:val="en-GB"/>
              </w:rPr>
            </w:pPr>
            <w:r w:rsidRPr="00EF2BBE">
              <w:rPr>
                <w:b/>
                <w:bCs/>
                <w:iCs/>
                <w:sz w:val="18"/>
                <w:szCs w:val="18"/>
                <w:lang w:val="en-GB"/>
              </w:rPr>
              <w:t>fluxapyroxad</w:t>
            </w:r>
          </w:p>
        </w:tc>
        <w:tc>
          <w:tcPr>
            <w:tcW w:w="978" w:type="pct"/>
            <w:tcBorders>
              <w:top w:val="single" w:sz="4" w:space="0" w:color="auto"/>
              <w:left w:val="single" w:sz="4" w:space="0" w:color="auto"/>
              <w:bottom w:val="single" w:sz="4" w:space="0" w:color="auto"/>
              <w:right w:val="single" w:sz="4" w:space="0" w:color="auto"/>
            </w:tcBorders>
            <w:hideMark/>
          </w:tcPr>
          <w:p w14:paraId="2615ABB3" w14:textId="77777777" w:rsidR="00E51CDD" w:rsidRPr="00EF2BBE" w:rsidRDefault="00E51CDD" w:rsidP="009938D9">
            <w:pPr>
              <w:widowControl w:val="0"/>
              <w:jc w:val="center"/>
              <w:rPr>
                <w:b/>
                <w:bCs/>
                <w:iCs/>
                <w:sz w:val="18"/>
                <w:szCs w:val="18"/>
                <w:vertAlign w:val="superscript"/>
                <w:lang w:val="en-GB"/>
              </w:rPr>
            </w:pPr>
            <w:r w:rsidRPr="00EF2BBE">
              <w:rPr>
                <w:b/>
                <w:bCs/>
                <w:iCs/>
                <w:sz w:val="18"/>
                <w:szCs w:val="18"/>
                <w:lang w:val="en-GB"/>
              </w:rPr>
              <w:t>TER</w:t>
            </w:r>
            <w:r w:rsidRPr="00EF2BBE">
              <w:rPr>
                <w:b/>
                <w:bCs/>
                <w:iCs/>
                <w:sz w:val="18"/>
                <w:szCs w:val="18"/>
                <w:vertAlign w:val="subscript"/>
                <w:lang w:val="en-GB"/>
              </w:rPr>
              <w:t>LT</w:t>
            </w:r>
            <w:r w:rsidRPr="00EF2BBE">
              <w:rPr>
                <w:b/>
                <w:bCs/>
                <w:iCs/>
                <w:sz w:val="18"/>
                <w:szCs w:val="18"/>
                <w:lang w:val="en-GB"/>
              </w:rPr>
              <w:t xml:space="preserve"> (higher tier)</w:t>
            </w:r>
          </w:p>
          <w:p w14:paraId="2868C74C" w14:textId="77777777" w:rsidR="00E51CDD" w:rsidRPr="00EF2BBE" w:rsidRDefault="00E51CDD" w:rsidP="009938D9">
            <w:pPr>
              <w:widowControl w:val="0"/>
              <w:jc w:val="center"/>
              <w:rPr>
                <w:b/>
                <w:bCs/>
                <w:iCs/>
                <w:sz w:val="18"/>
                <w:szCs w:val="18"/>
                <w:lang w:val="en-GB"/>
              </w:rPr>
            </w:pPr>
            <w:r w:rsidRPr="00EF2BBE">
              <w:rPr>
                <w:b/>
                <w:bCs/>
                <w:iCs/>
                <w:sz w:val="18"/>
                <w:szCs w:val="18"/>
                <w:lang w:val="en-GB"/>
              </w:rPr>
              <w:t>azoxystrobin</w:t>
            </w:r>
          </w:p>
        </w:tc>
        <w:tc>
          <w:tcPr>
            <w:tcW w:w="632" w:type="pct"/>
            <w:tcBorders>
              <w:top w:val="single" w:sz="4" w:space="0" w:color="auto"/>
              <w:left w:val="single" w:sz="4" w:space="0" w:color="auto"/>
              <w:bottom w:val="single" w:sz="4" w:space="0" w:color="auto"/>
              <w:right w:val="single" w:sz="4" w:space="0" w:color="auto"/>
            </w:tcBorders>
            <w:hideMark/>
          </w:tcPr>
          <w:p w14:paraId="56B27D35" w14:textId="77777777" w:rsidR="00E51CDD" w:rsidRPr="00EF2BBE" w:rsidRDefault="00E51CDD" w:rsidP="009938D9">
            <w:pPr>
              <w:widowControl w:val="0"/>
              <w:jc w:val="center"/>
              <w:rPr>
                <w:b/>
                <w:bCs/>
                <w:iCs/>
                <w:sz w:val="18"/>
                <w:szCs w:val="18"/>
                <w:lang w:val="en-GB"/>
              </w:rPr>
            </w:pPr>
            <w:r w:rsidRPr="00EF2BBE">
              <w:rPr>
                <w:b/>
                <w:bCs/>
                <w:sz w:val="18"/>
                <w:szCs w:val="18"/>
              </w:rPr>
              <w:t>TER</w:t>
            </w:r>
            <w:r w:rsidRPr="00EF2BBE">
              <w:rPr>
                <w:b/>
                <w:bCs/>
                <w:sz w:val="18"/>
                <w:szCs w:val="18"/>
                <w:vertAlign w:val="subscript"/>
              </w:rPr>
              <w:t>LT combi</w:t>
            </w:r>
          </w:p>
        </w:tc>
        <w:tc>
          <w:tcPr>
            <w:tcW w:w="362" w:type="pct"/>
            <w:tcBorders>
              <w:top w:val="single" w:sz="4" w:space="0" w:color="auto"/>
              <w:left w:val="single" w:sz="4" w:space="0" w:color="auto"/>
              <w:bottom w:val="single" w:sz="4" w:space="0" w:color="auto"/>
              <w:right w:val="single" w:sz="4" w:space="0" w:color="auto"/>
            </w:tcBorders>
            <w:hideMark/>
          </w:tcPr>
          <w:p w14:paraId="187A48DA" w14:textId="77777777" w:rsidR="00E51CDD" w:rsidRPr="00EF2BBE" w:rsidRDefault="00E51CDD" w:rsidP="009938D9">
            <w:pPr>
              <w:widowControl w:val="0"/>
              <w:rPr>
                <w:b/>
                <w:bCs/>
                <w:iCs/>
                <w:sz w:val="18"/>
                <w:szCs w:val="18"/>
                <w:lang w:val="en-GB"/>
              </w:rPr>
            </w:pPr>
            <w:r w:rsidRPr="00EF2BBE">
              <w:rPr>
                <w:b/>
                <w:bCs/>
                <w:iCs/>
                <w:sz w:val="18"/>
                <w:szCs w:val="18"/>
                <w:lang w:val="en-GB"/>
              </w:rPr>
              <w:t>Trigger</w:t>
            </w:r>
          </w:p>
        </w:tc>
      </w:tr>
      <w:tr w:rsidR="00E51CDD" w:rsidRPr="00EF2BBE" w14:paraId="6A9DC83C" w14:textId="77777777" w:rsidTr="009938D9">
        <w:trPr>
          <w:cantSplit/>
        </w:trPr>
        <w:tc>
          <w:tcPr>
            <w:tcW w:w="5000" w:type="pct"/>
            <w:gridSpan w:val="6"/>
            <w:tcBorders>
              <w:top w:val="single" w:sz="4" w:space="0" w:color="auto"/>
              <w:left w:val="single" w:sz="4" w:space="0" w:color="auto"/>
              <w:bottom w:val="single" w:sz="4" w:space="0" w:color="auto"/>
              <w:right w:val="single" w:sz="4" w:space="0" w:color="auto"/>
            </w:tcBorders>
            <w:hideMark/>
          </w:tcPr>
          <w:p w14:paraId="6E55BF6E" w14:textId="77777777" w:rsidR="00E51CDD" w:rsidRPr="00EF2BBE" w:rsidRDefault="00E51CDD" w:rsidP="009938D9">
            <w:pPr>
              <w:widowControl w:val="0"/>
              <w:rPr>
                <w:b/>
                <w:iCs/>
                <w:sz w:val="18"/>
                <w:szCs w:val="18"/>
                <w:lang w:val="en-GB"/>
              </w:rPr>
            </w:pPr>
            <w:r w:rsidRPr="00EF2BBE">
              <w:rPr>
                <w:b/>
                <w:bCs/>
                <w:iCs/>
                <w:sz w:val="18"/>
                <w:szCs w:val="18"/>
                <w:lang w:val="en-GB"/>
              </w:rPr>
              <w:t>Reproductive – Higher tier</w:t>
            </w:r>
          </w:p>
        </w:tc>
      </w:tr>
      <w:tr w:rsidR="00E51CDD" w:rsidRPr="00EF2BBE" w14:paraId="62197F89" w14:textId="77777777" w:rsidTr="009938D9">
        <w:trPr>
          <w:cantSplit/>
        </w:trPr>
        <w:tc>
          <w:tcPr>
            <w:tcW w:w="994" w:type="pct"/>
            <w:tcBorders>
              <w:top w:val="single" w:sz="4" w:space="0" w:color="auto"/>
              <w:left w:val="single" w:sz="4" w:space="0" w:color="auto"/>
              <w:bottom w:val="single" w:sz="4" w:space="0" w:color="auto"/>
              <w:right w:val="single" w:sz="4" w:space="0" w:color="auto"/>
            </w:tcBorders>
            <w:vAlign w:val="center"/>
            <w:hideMark/>
          </w:tcPr>
          <w:p w14:paraId="42178794" w14:textId="77777777" w:rsidR="00E51CDD" w:rsidRPr="00EF2BBE" w:rsidRDefault="00E51CDD" w:rsidP="009938D9">
            <w:pPr>
              <w:widowControl w:val="0"/>
              <w:tabs>
                <w:tab w:val="left" w:pos="4048"/>
              </w:tabs>
              <w:rPr>
                <w:iCs/>
                <w:sz w:val="18"/>
                <w:szCs w:val="18"/>
                <w:lang w:val="en-GB"/>
              </w:rPr>
            </w:pPr>
            <w:r w:rsidRPr="00EF2BBE">
              <w:rPr>
                <w:iCs/>
                <w:sz w:val="18"/>
                <w:szCs w:val="18"/>
                <w:lang w:val="en-GB"/>
              </w:rPr>
              <w:t>Cereals BBCH ≥ 40</w:t>
            </w:r>
          </w:p>
        </w:tc>
        <w:tc>
          <w:tcPr>
            <w:tcW w:w="979" w:type="pct"/>
            <w:tcBorders>
              <w:top w:val="single" w:sz="4" w:space="0" w:color="auto"/>
              <w:left w:val="single" w:sz="4" w:space="0" w:color="auto"/>
              <w:bottom w:val="single" w:sz="4" w:space="0" w:color="auto"/>
              <w:right w:val="single" w:sz="4" w:space="0" w:color="auto"/>
            </w:tcBorders>
            <w:hideMark/>
          </w:tcPr>
          <w:p w14:paraId="1BB9142E" w14:textId="77777777" w:rsidR="00E51CDD" w:rsidRPr="00EF2BBE" w:rsidRDefault="00E51CDD" w:rsidP="009938D9">
            <w:pPr>
              <w:widowControl w:val="0"/>
              <w:tabs>
                <w:tab w:val="left" w:pos="4048"/>
              </w:tabs>
              <w:rPr>
                <w:iCs/>
                <w:sz w:val="18"/>
                <w:szCs w:val="18"/>
                <w:lang w:val="en-GB"/>
              </w:rPr>
            </w:pPr>
            <w:r w:rsidRPr="00EF2BBE">
              <w:rPr>
                <w:iCs/>
                <w:sz w:val="18"/>
                <w:szCs w:val="18"/>
                <w:lang w:val="en-GB"/>
              </w:rPr>
              <w:t xml:space="preserve">Small herbivorous mammal "vole” </w:t>
            </w:r>
          </w:p>
        </w:tc>
        <w:tc>
          <w:tcPr>
            <w:tcW w:w="1054" w:type="pct"/>
            <w:tcBorders>
              <w:top w:val="single" w:sz="4" w:space="0" w:color="auto"/>
              <w:left w:val="single" w:sz="4" w:space="0" w:color="auto"/>
              <w:bottom w:val="single" w:sz="4" w:space="0" w:color="auto"/>
              <w:right w:val="single" w:sz="4" w:space="0" w:color="auto"/>
            </w:tcBorders>
            <w:vAlign w:val="center"/>
            <w:hideMark/>
          </w:tcPr>
          <w:p w14:paraId="2647F344" w14:textId="77777777" w:rsidR="00E51CDD" w:rsidRPr="00EF2BBE" w:rsidRDefault="00E51CDD" w:rsidP="009938D9">
            <w:pPr>
              <w:widowControl w:val="0"/>
              <w:jc w:val="center"/>
              <w:rPr>
                <w:bCs/>
                <w:iCs/>
                <w:sz w:val="18"/>
                <w:szCs w:val="18"/>
                <w:vertAlign w:val="superscript"/>
                <w:lang w:val="en-GB"/>
              </w:rPr>
            </w:pPr>
            <w:r>
              <w:rPr>
                <w:bCs/>
                <w:iCs/>
                <w:sz w:val="18"/>
                <w:szCs w:val="18"/>
                <w:lang w:val="en-GB"/>
              </w:rPr>
              <w:t>21.2</w:t>
            </w:r>
          </w:p>
        </w:tc>
        <w:tc>
          <w:tcPr>
            <w:tcW w:w="978" w:type="pct"/>
            <w:tcBorders>
              <w:top w:val="single" w:sz="4" w:space="0" w:color="auto"/>
              <w:left w:val="single" w:sz="4" w:space="0" w:color="auto"/>
              <w:bottom w:val="single" w:sz="4" w:space="0" w:color="auto"/>
              <w:right w:val="single" w:sz="4" w:space="0" w:color="auto"/>
            </w:tcBorders>
            <w:vAlign w:val="center"/>
            <w:hideMark/>
          </w:tcPr>
          <w:p w14:paraId="314C4747" w14:textId="77777777" w:rsidR="00E51CDD" w:rsidRPr="00EF2BBE" w:rsidRDefault="00E51CDD" w:rsidP="009938D9">
            <w:pPr>
              <w:widowControl w:val="0"/>
              <w:jc w:val="center"/>
              <w:rPr>
                <w:bCs/>
                <w:iCs/>
                <w:sz w:val="18"/>
                <w:szCs w:val="18"/>
                <w:lang w:val="en-GB"/>
              </w:rPr>
            </w:pPr>
            <w:r>
              <w:rPr>
                <w:bCs/>
                <w:iCs/>
                <w:sz w:val="18"/>
                <w:szCs w:val="18"/>
                <w:lang w:val="en-GB"/>
              </w:rPr>
              <w:t>45.3</w:t>
            </w:r>
          </w:p>
        </w:tc>
        <w:tc>
          <w:tcPr>
            <w:tcW w:w="632" w:type="pct"/>
            <w:tcBorders>
              <w:top w:val="single" w:sz="4" w:space="0" w:color="auto"/>
              <w:left w:val="single" w:sz="4" w:space="0" w:color="auto"/>
              <w:bottom w:val="single" w:sz="4" w:space="0" w:color="auto"/>
              <w:right w:val="single" w:sz="4" w:space="0" w:color="auto"/>
            </w:tcBorders>
            <w:vAlign w:val="center"/>
            <w:hideMark/>
          </w:tcPr>
          <w:p w14:paraId="565744E2" w14:textId="77777777" w:rsidR="00E51CDD" w:rsidRPr="00EF2BBE" w:rsidRDefault="00E51CDD" w:rsidP="009938D9">
            <w:pPr>
              <w:widowControl w:val="0"/>
              <w:jc w:val="center"/>
              <w:rPr>
                <w:iCs/>
                <w:sz w:val="18"/>
                <w:szCs w:val="18"/>
                <w:lang w:val="en-GB"/>
              </w:rPr>
            </w:pPr>
            <w:r w:rsidRPr="00EF2BBE">
              <w:rPr>
                <w:iCs/>
                <w:sz w:val="18"/>
                <w:szCs w:val="18"/>
                <w:lang w:val="en-GB"/>
              </w:rPr>
              <w:t>1</w:t>
            </w:r>
            <w:r>
              <w:rPr>
                <w:iCs/>
                <w:sz w:val="18"/>
                <w:szCs w:val="18"/>
                <w:lang w:val="en-GB"/>
              </w:rPr>
              <w:t>4.4</w:t>
            </w:r>
          </w:p>
        </w:tc>
        <w:tc>
          <w:tcPr>
            <w:tcW w:w="362" w:type="pct"/>
            <w:tcBorders>
              <w:top w:val="single" w:sz="4" w:space="0" w:color="auto"/>
              <w:left w:val="single" w:sz="4" w:space="0" w:color="auto"/>
              <w:bottom w:val="single" w:sz="4" w:space="0" w:color="auto"/>
              <w:right w:val="single" w:sz="4" w:space="0" w:color="auto"/>
            </w:tcBorders>
            <w:vAlign w:val="center"/>
            <w:hideMark/>
          </w:tcPr>
          <w:p w14:paraId="6CFA86FD" w14:textId="77777777" w:rsidR="00E51CDD" w:rsidRPr="00EF2BBE" w:rsidRDefault="00E51CDD" w:rsidP="009938D9">
            <w:pPr>
              <w:widowControl w:val="0"/>
              <w:jc w:val="center"/>
              <w:rPr>
                <w:iCs/>
                <w:sz w:val="18"/>
                <w:szCs w:val="18"/>
                <w:lang w:val="en-GB"/>
              </w:rPr>
            </w:pPr>
            <w:r w:rsidRPr="00EF2BBE">
              <w:rPr>
                <w:iCs/>
                <w:sz w:val="18"/>
                <w:szCs w:val="18"/>
                <w:lang w:val="en-GB"/>
              </w:rPr>
              <w:t>5</w:t>
            </w:r>
          </w:p>
        </w:tc>
      </w:tr>
    </w:tbl>
    <w:p w14:paraId="073E8CB4" w14:textId="77777777" w:rsidR="00E51CDD" w:rsidRPr="003B53AB" w:rsidRDefault="00E51CDD" w:rsidP="00E51CDD">
      <w:pPr>
        <w:widowControl w:val="0"/>
        <w:suppressAutoHyphens/>
        <w:rPr>
          <w:bCs/>
          <w:iCs/>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937130" w:rsidRPr="00DD5DB0" w14:paraId="061BBED7" w14:textId="77777777" w:rsidTr="00230125">
        <w:trPr>
          <w:trHeight w:val="1541"/>
        </w:trPr>
        <w:tc>
          <w:tcPr>
            <w:tcW w:w="5000" w:type="pct"/>
            <w:shd w:val="clear" w:color="auto" w:fill="D9D9D9"/>
          </w:tcPr>
          <w:p w14:paraId="1D0663ED" w14:textId="77777777" w:rsidR="00937130" w:rsidRPr="00F5456E" w:rsidRDefault="00937130" w:rsidP="00230125">
            <w:pPr>
              <w:pStyle w:val="TableText"/>
              <w:spacing w:before="120" w:after="120"/>
              <w:jc w:val="both"/>
              <w:rPr>
                <w:b/>
                <w:bCs/>
                <w:sz w:val="22"/>
                <w:szCs w:val="22"/>
                <w:lang w:eastAsia="en-US"/>
              </w:rPr>
            </w:pPr>
            <w:r w:rsidRPr="00F5456E">
              <w:rPr>
                <w:b/>
                <w:bCs/>
                <w:sz w:val="22"/>
                <w:szCs w:val="22"/>
                <w:lang w:eastAsia="en-US"/>
              </w:rPr>
              <w:t>Review Comments:</w:t>
            </w:r>
          </w:p>
          <w:p w14:paraId="19344A86" w14:textId="77777777" w:rsidR="00937130" w:rsidRPr="00C24BD1" w:rsidRDefault="00937130" w:rsidP="00230125">
            <w:pPr>
              <w:shd w:val="clear" w:color="auto" w:fill="D9D9D9"/>
              <w:spacing w:before="120" w:after="120"/>
              <w:jc w:val="both"/>
              <w:rPr>
                <w:lang w:val="en-GB"/>
              </w:rPr>
            </w:pPr>
            <w:r>
              <w:rPr>
                <w:rFonts w:cs="Arial"/>
              </w:rPr>
              <w:t xml:space="preserve">According to “Working document on Risk Assessment of Plant Protection Products in the Central Zone – Ecotoxicology” (May 2021), point 3.2.15, the interception values following EFSA </w:t>
            </w:r>
            <w:r>
              <w:t xml:space="preserve">Guidance Document to obtain DegT50 values (EFSA Journal 2014;12(5):3662), can be use in the Tier 2 risk assessment. Therefore, the Applicant proposal was accepted. </w:t>
            </w:r>
            <w:r>
              <w:rPr>
                <w:rFonts w:cs="Arial"/>
              </w:rPr>
              <w:t xml:space="preserve"> </w:t>
            </w:r>
          </w:p>
        </w:tc>
      </w:tr>
    </w:tbl>
    <w:p w14:paraId="2FEA838D" w14:textId="77777777" w:rsidR="00E51CDD" w:rsidRDefault="00E51CDD" w:rsidP="00E51CDD">
      <w:pPr>
        <w:widowControl w:val="0"/>
        <w:suppressAutoHyphens/>
        <w:jc w:val="both"/>
        <w:rPr>
          <w:b/>
          <w:bCs/>
          <w:lang w:val="en-GB"/>
        </w:rPr>
      </w:pPr>
    </w:p>
    <w:p w14:paraId="52C5888C" w14:textId="77777777" w:rsidR="00E51CDD" w:rsidRPr="00A644BC" w:rsidRDefault="00E51CDD" w:rsidP="00E51CDD">
      <w:pPr>
        <w:widowControl w:val="0"/>
        <w:suppressAutoHyphens/>
        <w:jc w:val="both"/>
        <w:rPr>
          <w:b/>
          <w:bCs/>
          <w:lang w:val="en-GB"/>
        </w:rPr>
      </w:pPr>
      <w:r w:rsidRPr="00A644BC">
        <w:rPr>
          <w:b/>
          <w:bCs/>
          <w:lang w:val="en-GB"/>
        </w:rPr>
        <w:t>Summary and conclusions of the combined acute and long-term dietary risk assessment</w:t>
      </w:r>
      <w:r>
        <w:rPr>
          <w:b/>
          <w:bCs/>
          <w:lang w:val="en-GB"/>
        </w:rPr>
        <w:t>s</w:t>
      </w:r>
      <w:r w:rsidRPr="00A644BC">
        <w:rPr>
          <w:b/>
          <w:bCs/>
          <w:lang w:val="en-GB"/>
        </w:rPr>
        <w:t xml:space="preserve"> </w:t>
      </w:r>
    </w:p>
    <w:p w14:paraId="7F1431E8" w14:textId="77777777" w:rsidR="00E51CDD" w:rsidRDefault="00E51CDD" w:rsidP="00E51CDD">
      <w:pPr>
        <w:widowControl w:val="0"/>
        <w:suppressAutoHyphens/>
        <w:jc w:val="both"/>
        <w:rPr>
          <w:lang w:val="en-GB"/>
        </w:rPr>
      </w:pPr>
    </w:p>
    <w:p w14:paraId="44CB8352" w14:textId="77777777" w:rsidR="00E51CDD" w:rsidRPr="00A2340E" w:rsidRDefault="00E51CDD" w:rsidP="00E51CDD">
      <w:pPr>
        <w:widowControl w:val="0"/>
        <w:jc w:val="both"/>
        <w:rPr>
          <w:rFonts w:eastAsia="Batang"/>
          <w:color w:val="000000" w:themeColor="text1"/>
          <w:lang w:eastAsia="zh-CN"/>
        </w:rPr>
      </w:pPr>
      <w:r w:rsidRPr="00A644BC">
        <w:rPr>
          <w:rFonts w:eastAsia="Batang"/>
          <w:color w:val="000000" w:themeColor="text1"/>
          <w:lang w:eastAsia="zh-CN"/>
        </w:rPr>
        <w:t>The acute risk assessment for the combined toxicity of the active substances resulted in TER</w:t>
      </w:r>
      <w:r w:rsidRPr="00A644BC">
        <w:rPr>
          <w:rFonts w:eastAsia="Batang"/>
          <w:color w:val="000000" w:themeColor="text1"/>
          <w:vertAlign w:val="subscript"/>
          <w:lang w:eastAsia="zh-CN"/>
        </w:rPr>
        <w:t>A</w:t>
      </w:r>
      <w:r w:rsidRPr="00A644BC">
        <w:rPr>
          <w:rFonts w:eastAsia="Batang"/>
          <w:color w:val="000000" w:themeColor="text1"/>
          <w:lang w:eastAsia="zh-CN"/>
        </w:rPr>
        <w:t xml:space="preserve"> values above the trigger of 10 for acceptability of effects both for the virtual compound and formulation approaches</w:t>
      </w:r>
      <w:r>
        <w:rPr>
          <w:rFonts w:eastAsia="Batang"/>
          <w:color w:val="000000" w:themeColor="text1"/>
          <w:lang w:eastAsia="zh-CN"/>
        </w:rPr>
        <w:t xml:space="preserve">, with exception of the small </w:t>
      </w:r>
      <w:r w:rsidRPr="00324B14">
        <w:rPr>
          <w:color w:val="000000" w:themeColor="text1"/>
          <w:lang w:val="en-GB" w:eastAsia="en-US"/>
        </w:rPr>
        <w:t>herbivorous mammal “vole” scenario</w:t>
      </w:r>
      <w:r>
        <w:rPr>
          <w:color w:val="000000" w:themeColor="text1"/>
          <w:lang w:val="en-GB" w:eastAsia="en-US"/>
        </w:rPr>
        <w:t xml:space="preserve"> </w:t>
      </w:r>
      <w:r>
        <w:rPr>
          <w:rFonts w:eastAsia="Batang"/>
          <w:lang w:val="en-GB" w:eastAsia="zh-CN"/>
        </w:rPr>
        <w:t xml:space="preserve">at BBCH ≥ 40. </w:t>
      </w:r>
      <w:r>
        <w:rPr>
          <w:lang w:eastAsia="en-US"/>
        </w:rPr>
        <w:t xml:space="preserve">Based on </w:t>
      </w:r>
      <w:r>
        <w:rPr>
          <w:lang w:val="en-GB" w:eastAsia="en-US"/>
        </w:rPr>
        <w:t xml:space="preserve">the refinement of the deposition factor (approach 1) and the interpolated </w:t>
      </w:r>
      <w:r w:rsidRPr="008C45EC">
        <w:rPr>
          <w:rFonts w:eastAsia="Batang"/>
          <w:color w:val="000000" w:themeColor="text1"/>
          <w:lang w:eastAsia="zh-CN"/>
        </w:rPr>
        <w:t>LD</w:t>
      </w:r>
      <w:r w:rsidRPr="008C45EC">
        <w:rPr>
          <w:rFonts w:eastAsia="Batang"/>
          <w:color w:val="000000" w:themeColor="text1"/>
          <w:vertAlign w:val="subscript"/>
          <w:lang w:eastAsia="zh-CN"/>
        </w:rPr>
        <w:t>50</w:t>
      </w:r>
      <w:r>
        <w:rPr>
          <w:rFonts w:eastAsia="Batang"/>
          <w:color w:val="000000" w:themeColor="text1"/>
          <w:vertAlign w:val="subscript"/>
          <w:lang w:eastAsia="zh-CN"/>
        </w:rPr>
        <w:t xml:space="preserve"> </w:t>
      </w:r>
      <w:r>
        <w:rPr>
          <w:rFonts w:eastAsia="Batang"/>
          <w:color w:val="000000" w:themeColor="text1"/>
          <w:lang w:eastAsia="zh-CN"/>
        </w:rPr>
        <w:t xml:space="preserve">value (approach 2) an acceptable acute risk to small </w:t>
      </w:r>
      <w:r>
        <w:rPr>
          <w:lang w:val="en-GB" w:eastAsia="en-US"/>
        </w:rPr>
        <w:t xml:space="preserve">herbivorous mammal could be identified in both approaches. </w:t>
      </w:r>
    </w:p>
    <w:p w14:paraId="4E79CC50" w14:textId="77777777" w:rsidR="00E51CDD" w:rsidRDefault="00E51CDD" w:rsidP="00E51CDD">
      <w:pPr>
        <w:widowControl w:val="0"/>
        <w:suppressAutoHyphens/>
        <w:jc w:val="both"/>
      </w:pPr>
    </w:p>
    <w:p w14:paraId="319FE5A4" w14:textId="77777777" w:rsidR="00E51CDD" w:rsidRDefault="00E51CDD" w:rsidP="00E51CDD">
      <w:pPr>
        <w:widowControl w:val="0"/>
        <w:jc w:val="both"/>
        <w:rPr>
          <w:lang w:val="en-GB" w:eastAsia="en-US"/>
        </w:rPr>
      </w:pPr>
      <w:r w:rsidRPr="00324B14">
        <w:rPr>
          <w:color w:val="000000" w:themeColor="text1"/>
          <w:lang w:val="en-GB" w:eastAsia="en-US"/>
        </w:rPr>
        <w:t>The TER</w:t>
      </w:r>
      <w:r w:rsidRPr="00324B14">
        <w:rPr>
          <w:color w:val="000000" w:themeColor="text1"/>
          <w:vertAlign w:val="subscript"/>
          <w:lang w:val="en-GB" w:eastAsia="en-US"/>
        </w:rPr>
        <w:t>LT combi</w:t>
      </w:r>
      <w:r w:rsidRPr="00324B14">
        <w:rPr>
          <w:color w:val="000000" w:themeColor="text1"/>
          <w:lang w:val="en-GB" w:eastAsia="en-US"/>
        </w:rPr>
        <w:t xml:space="preserve"> values </w:t>
      </w:r>
      <w:r>
        <w:rPr>
          <w:color w:val="000000" w:themeColor="text1"/>
          <w:lang w:val="en-GB" w:eastAsia="en-US"/>
        </w:rPr>
        <w:t xml:space="preserve">at tier 1 risk assessment </w:t>
      </w:r>
      <w:r w:rsidRPr="00324B14">
        <w:rPr>
          <w:color w:val="000000" w:themeColor="text1"/>
          <w:lang w:val="en-GB" w:eastAsia="en-US"/>
        </w:rPr>
        <w:t xml:space="preserve">are all above the trigger value of 5 </w:t>
      </w:r>
      <w:r>
        <w:rPr>
          <w:color w:val="000000" w:themeColor="text1"/>
          <w:lang w:val="en-GB" w:eastAsia="en-US"/>
        </w:rPr>
        <w:t>for the relevant scenarios</w:t>
      </w:r>
      <w:r w:rsidRPr="00324B14">
        <w:rPr>
          <w:color w:val="000000" w:themeColor="text1"/>
          <w:lang w:val="en-GB" w:eastAsia="en-US"/>
        </w:rPr>
        <w:t>, except small herbivorous mammal “vole” scenario</w:t>
      </w:r>
      <w:r>
        <w:rPr>
          <w:color w:val="000000" w:themeColor="text1"/>
          <w:lang w:val="en-GB" w:eastAsia="en-US"/>
        </w:rPr>
        <w:t xml:space="preserve"> </w:t>
      </w:r>
      <w:r>
        <w:rPr>
          <w:rFonts w:eastAsia="Batang"/>
          <w:lang w:val="en-GB" w:eastAsia="zh-CN"/>
        </w:rPr>
        <w:t>at BBCH ≥ 40</w:t>
      </w:r>
      <w:r>
        <w:rPr>
          <w:color w:val="000000" w:themeColor="text1"/>
          <w:lang w:val="en-GB" w:eastAsia="en-US"/>
        </w:rPr>
        <w:t xml:space="preserve">. </w:t>
      </w:r>
      <w:r>
        <w:rPr>
          <w:lang w:val="en-GB" w:eastAsia="en-US"/>
        </w:rPr>
        <w:t xml:space="preserve">Based on the higher tier risk assessment considering the refinement of the deposition factor for both active substances an acceptable combined long-term risk to small herbivorous mammal could be identified. </w:t>
      </w:r>
    </w:p>
    <w:p w14:paraId="5E39907B" w14:textId="77777777" w:rsidR="00E51CDD" w:rsidRDefault="00E51CDD" w:rsidP="00E51CDD">
      <w:pPr>
        <w:widowControl w:val="0"/>
        <w:jc w:val="both"/>
        <w:rPr>
          <w:lang w:val="en-GB" w:eastAsia="en-US"/>
        </w:rPr>
      </w:pPr>
    </w:p>
    <w:p w14:paraId="04B2FE3A" w14:textId="7F5264B9" w:rsidR="00E51CDD" w:rsidRPr="00DC340D" w:rsidRDefault="00E51CDD" w:rsidP="00E51CDD">
      <w:pPr>
        <w:widowControl w:val="0"/>
        <w:jc w:val="both"/>
        <w:rPr>
          <w:rFonts w:eastAsia="Batang"/>
          <w:color w:val="000000" w:themeColor="text1"/>
          <w:lang w:eastAsia="zh-CN"/>
        </w:rPr>
      </w:pPr>
      <w:r>
        <w:rPr>
          <w:lang w:val="en-GB" w:eastAsia="en-US"/>
        </w:rPr>
        <w:t xml:space="preserve">In conclusion, </w:t>
      </w:r>
      <w:r>
        <w:rPr>
          <w:rFonts w:eastAsia="Batang"/>
          <w:color w:val="000000" w:themeColor="text1"/>
          <w:lang w:eastAsia="zh-CN"/>
        </w:rPr>
        <w:t xml:space="preserve">the risk assessment shows that combined dietary acute and reproductive risks to mammals from the intended use of BAS 736 00 F are acceptable. </w:t>
      </w:r>
      <w:r>
        <w:rPr>
          <w:rFonts w:eastAsia="Batang"/>
          <w:color w:val="000000" w:themeColor="text1"/>
          <w:lang w:eastAsia="zh-CN"/>
        </w:rPr>
        <w:br w:type="page"/>
      </w:r>
    </w:p>
    <w:p w14:paraId="61CFA5F9" w14:textId="77777777" w:rsidR="00E51CDD" w:rsidRPr="002B1114" w:rsidRDefault="00E51CDD" w:rsidP="00E51CDD">
      <w:pPr>
        <w:pStyle w:val="Nagwek4"/>
        <w:rPr>
          <w:lang w:val="en-GB"/>
        </w:rPr>
      </w:pPr>
      <w:bookmarkStart w:id="397" w:name="_Toc125446417"/>
      <w:r w:rsidRPr="002B1114">
        <w:rPr>
          <w:lang w:val="en-GB"/>
        </w:rPr>
        <w:lastRenderedPageBreak/>
        <w:t>Drinking water exposure</w:t>
      </w:r>
      <w:bookmarkEnd w:id="376"/>
      <w:bookmarkEnd w:id="377"/>
      <w:bookmarkEnd w:id="378"/>
      <w:bookmarkEnd w:id="379"/>
      <w:bookmarkEnd w:id="380"/>
      <w:bookmarkEnd w:id="381"/>
      <w:bookmarkEnd w:id="382"/>
      <w:bookmarkEnd w:id="383"/>
      <w:bookmarkEnd w:id="397"/>
      <w:r w:rsidRPr="002B1114">
        <w:rPr>
          <w:lang w:val="en-GB"/>
        </w:rPr>
        <w:t xml:space="preserve"> </w:t>
      </w:r>
    </w:p>
    <w:p w14:paraId="761F366B" w14:textId="77777777" w:rsidR="00E51CDD" w:rsidRPr="002B1114" w:rsidRDefault="00E51CDD" w:rsidP="00E51CDD">
      <w:pPr>
        <w:pStyle w:val="RepNewPart"/>
      </w:pPr>
      <w:r w:rsidRPr="002B1114">
        <w:t>Puddle scenario</w:t>
      </w:r>
    </w:p>
    <w:p w14:paraId="26779578" w14:textId="77777777" w:rsidR="00E51CDD" w:rsidRPr="0026404C" w:rsidRDefault="00E51CDD" w:rsidP="00E51CDD">
      <w:pPr>
        <w:widowControl w:val="0"/>
        <w:jc w:val="both"/>
        <w:rPr>
          <w:lang w:val="en-GB"/>
        </w:rPr>
      </w:pPr>
      <w:r w:rsidRPr="0026404C">
        <w:rPr>
          <w:lang w:val="en-GB"/>
        </w:rPr>
        <w:t>Due to the characteristics of the exposure scenario in connection with the standard assumptions for water uptake by animals, no specific calculations of exposure and TER are necessary when the ratio of effective application rate (in g/ha) to relevant endpoint (in mg/kg b.w./d) does not exceed 50 in the case of less sorptive substances (K</w:t>
      </w:r>
      <w:r w:rsidRPr="0026404C">
        <w:rPr>
          <w:vertAlign w:val="subscript"/>
          <w:lang w:val="en-GB"/>
        </w:rPr>
        <w:t xml:space="preserve">oc </w:t>
      </w:r>
      <w:r w:rsidRPr="0026404C">
        <w:rPr>
          <w:lang w:val="en-GB"/>
        </w:rPr>
        <w:t>&lt; 500 L/kg) or 3000 in the case of more sorptive substances (K</w:t>
      </w:r>
      <w:r w:rsidRPr="0026404C">
        <w:rPr>
          <w:vertAlign w:val="subscript"/>
          <w:lang w:val="en-GB"/>
        </w:rPr>
        <w:t>oc</w:t>
      </w:r>
      <w:r w:rsidRPr="0026404C">
        <w:rPr>
          <w:lang w:val="en-GB"/>
        </w:rPr>
        <w:t xml:space="preserve"> ≥ 500 L/kg).</w:t>
      </w:r>
    </w:p>
    <w:p w14:paraId="54ADD3F7" w14:textId="77777777" w:rsidR="00E51CDD" w:rsidRPr="0026404C" w:rsidRDefault="00E51CDD" w:rsidP="00E51CDD">
      <w:pPr>
        <w:widowControl w:val="0"/>
        <w:jc w:val="both"/>
        <w:rPr>
          <w:rFonts w:eastAsia="SimSun"/>
          <w:lang w:val="en-GB" w:eastAsia="zh-CN"/>
        </w:rPr>
      </w:pPr>
    </w:p>
    <w:p w14:paraId="2BA98D7D" w14:textId="46EC6118" w:rsidR="00E51CDD" w:rsidRDefault="00E51CDD" w:rsidP="00E51CDD">
      <w:pPr>
        <w:widowControl w:val="0"/>
        <w:jc w:val="both"/>
        <w:rPr>
          <w:lang w:val="en-GB"/>
        </w:rPr>
      </w:pPr>
      <w:r w:rsidRPr="0026404C">
        <w:rPr>
          <w:rFonts w:eastAsia="SimSun"/>
          <w:lang w:val="en-GB" w:eastAsia="zh-CN"/>
        </w:rPr>
        <w:t xml:space="preserve">The ratio calculations for effective application rate to relevant endpoint are detailed in </w:t>
      </w:r>
      <w:r w:rsidRPr="0026404C">
        <w:rPr>
          <w:rFonts w:eastAsia="SimSun"/>
          <w:lang w:val="en-GB" w:eastAsia="zh-CN"/>
        </w:rPr>
        <w:fldChar w:fldCharType="begin"/>
      </w:r>
      <w:r w:rsidRPr="0026404C">
        <w:rPr>
          <w:rFonts w:eastAsia="SimSun"/>
          <w:lang w:val="en-GB" w:eastAsia="zh-CN"/>
        </w:rPr>
        <w:instrText xml:space="preserve"> REF _Ref448319895 \h  \* MERGEFORMAT </w:instrText>
      </w:r>
      <w:r w:rsidRPr="0026404C">
        <w:rPr>
          <w:rFonts w:eastAsia="SimSun"/>
          <w:lang w:val="en-GB" w:eastAsia="zh-CN"/>
        </w:rPr>
      </w:r>
      <w:r w:rsidRPr="0026404C">
        <w:rPr>
          <w:rFonts w:eastAsia="SimSun"/>
          <w:lang w:val="en-GB" w:eastAsia="zh-CN"/>
        </w:rPr>
        <w:fldChar w:fldCharType="separate"/>
      </w:r>
      <w:r w:rsidR="00662F32" w:rsidRPr="00662F32">
        <w:t xml:space="preserve">Table </w:t>
      </w:r>
      <w:r w:rsidR="00662F32" w:rsidRPr="00662F32">
        <w:rPr>
          <w:noProof/>
        </w:rPr>
        <w:t>9.3</w:t>
      </w:r>
      <w:r w:rsidR="00662F32" w:rsidRPr="00662F32">
        <w:rPr>
          <w:noProof/>
        </w:rPr>
        <w:noBreakHyphen/>
        <w:t>17</w:t>
      </w:r>
      <w:r w:rsidRPr="0026404C">
        <w:rPr>
          <w:rFonts w:eastAsia="SimSun"/>
          <w:lang w:val="en-GB" w:eastAsia="zh-CN"/>
        </w:rPr>
        <w:fldChar w:fldCharType="end"/>
      </w:r>
      <w:r w:rsidRPr="0026404C">
        <w:rPr>
          <w:rFonts w:eastAsia="SimSun"/>
          <w:lang w:val="en-GB" w:eastAsia="zh-CN"/>
        </w:rPr>
        <w:t xml:space="preserve"> and </w:t>
      </w:r>
      <w:r w:rsidRPr="0026404C">
        <w:rPr>
          <w:rFonts w:eastAsia="SimSun"/>
          <w:lang w:val="en-GB" w:eastAsia="zh-CN"/>
        </w:rPr>
        <w:fldChar w:fldCharType="begin"/>
      </w:r>
      <w:r w:rsidRPr="0026404C">
        <w:rPr>
          <w:rFonts w:eastAsia="SimSun"/>
          <w:lang w:val="en-GB" w:eastAsia="zh-CN"/>
        </w:rPr>
        <w:instrText xml:space="preserve"> REF _Ref439853144  \* MERGEFORMAT </w:instrText>
      </w:r>
      <w:r w:rsidRPr="0026404C">
        <w:rPr>
          <w:rFonts w:eastAsia="SimSun"/>
          <w:lang w:val="en-GB" w:eastAsia="zh-CN"/>
        </w:rPr>
        <w:fldChar w:fldCharType="separate"/>
      </w:r>
      <w:r w:rsidR="00662F32" w:rsidRPr="00662F32">
        <w:t xml:space="preserve">Table </w:t>
      </w:r>
      <w:r w:rsidR="00662F32" w:rsidRPr="00662F32">
        <w:rPr>
          <w:noProof/>
        </w:rPr>
        <w:t>9.3</w:t>
      </w:r>
      <w:r w:rsidR="00662F32" w:rsidRPr="00662F32">
        <w:rPr>
          <w:noProof/>
        </w:rPr>
        <w:noBreakHyphen/>
        <w:t>18</w:t>
      </w:r>
      <w:r w:rsidRPr="0026404C">
        <w:rPr>
          <w:rFonts w:eastAsia="SimSun"/>
          <w:lang w:val="en-GB" w:eastAsia="zh-CN"/>
        </w:rPr>
        <w:fldChar w:fldCharType="end"/>
      </w:r>
      <w:bookmarkStart w:id="398" w:name="_Hlk57626612"/>
      <w:r w:rsidRPr="0026404C">
        <w:rPr>
          <w:lang w:val="en-GB"/>
        </w:rPr>
        <w:t xml:space="preserve">. </w:t>
      </w:r>
      <w:bookmarkEnd w:id="398"/>
      <w:r w:rsidRPr="0026404C">
        <w:rPr>
          <w:lang w:val="en-GB"/>
        </w:rPr>
        <w:t xml:space="preserve">The ratios for acute and reproductive endpoints for fluxapyroxad (&lt; 0.1 and </w:t>
      </w:r>
      <w:r>
        <w:rPr>
          <w:lang w:val="en-GB"/>
        </w:rPr>
        <w:t>19.1</w:t>
      </w:r>
      <w:r w:rsidRPr="0026404C">
        <w:rPr>
          <w:lang w:val="en-GB"/>
        </w:rPr>
        <w:t xml:space="preserve">, respectively) and for </w:t>
      </w:r>
      <w:r>
        <w:rPr>
          <w:lang w:val="en-GB"/>
        </w:rPr>
        <w:t>azoxystrobin</w:t>
      </w:r>
      <w:r w:rsidRPr="0026404C">
        <w:rPr>
          <w:lang w:val="en-GB"/>
        </w:rPr>
        <w:t xml:space="preserve"> (&lt; 0.05 and </w:t>
      </w:r>
      <w:r>
        <w:rPr>
          <w:lang w:val="en-GB"/>
        </w:rPr>
        <w:t>8.6</w:t>
      </w:r>
      <w:r w:rsidRPr="0026404C">
        <w:rPr>
          <w:lang w:val="en-GB"/>
        </w:rPr>
        <w:t>, respectively) do not exceed the threshold values of 3000</w:t>
      </w:r>
      <w:r>
        <w:rPr>
          <w:lang w:val="en-GB"/>
        </w:rPr>
        <w:t xml:space="preserve"> and 50, respectively, </w:t>
      </w:r>
      <w:r w:rsidRPr="0026404C">
        <w:rPr>
          <w:rFonts w:eastAsia="SimSun"/>
          <w:lang w:val="en-GB" w:eastAsia="zh-CN"/>
        </w:rPr>
        <w:t xml:space="preserve">thus no specific calculations of exposure </w:t>
      </w:r>
      <w:r w:rsidRPr="0026404C">
        <w:rPr>
          <w:lang w:val="en-GB"/>
        </w:rPr>
        <w:t>for mammals through drinking water for the puddle scenario</w:t>
      </w:r>
      <w:r w:rsidRPr="0026404C">
        <w:rPr>
          <w:rFonts w:eastAsia="SimSun"/>
          <w:lang w:val="en-GB" w:eastAsia="zh-CN"/>
        </w:rPr>
        <w:t xml:space="preserve"> are necessary</w:t>
      </w:r>
      <w:r w:rsidRPr="0026404C">
        <w:rPr>
          <w:lang w:val="en-GB"/>
        </w:rPr>
        <w:t>. Therefore, a quantitative drinking water risk assessment for the puddle scenario is not triggered.</w:t>
      </w:r>
    </w:p>
    <w:p w14:paraId="22A5B753" w14:textId="5A12CE89" w:rsidR="00E51CDD" w:rsidRPr="0026404C" w:rsidRDefault="00E51CDD" w:rsidP="00E51CDD">
      <w:pPr>
        <w:widowControl w:val="0"/>
        <w:tabs>
          <w:tab w:val="left" w:pos="1980"/>
        </w:tabs>
        <w:suppressAutoHyphens/>
        <w:spacing w:before="200" w:after="120"/>
        <w:ind w:left="1980" w:hanging="1980"/>
        <w:jc w:val="both"/>
        <w:rPr>
          <w:b/>
          <w:bCs/>
          <w:lang w:val="en-GB"/>
        </w:rPr>
      </w:pPr>
      <w:bookmarkStart w:id="399" w:name="_Ref448319895"/>
      <w:r w:rsidRPr="0026404C">
        <w:rPr>
          <w:b/>
          <w:bCs/>
          <w:lang w:val="en-GB"/>
        </w:rPr>
        <w:t xml:space="preserve">Table </w:t>
      </w:r>
      <w:r w:rsidRPr="0026404C">
        <w:rPr>
          <w:b/>
          <w:bCs/>
          <w:lang w:val="en-GB"/>
        </w:rPr>
        <w:fldChar w:fldCharType="begin"/>
      </w:r>
      <w:r w:rsidRPr="0026404C">
        <w:rPr>
          <w:b/>
          <w:bCs/>
          <w:lang w:val="en-GB"/>
        </w:rPr>
        <w:instrText xml:space="preserve"> STYLEREF 2 \s </w:instrText>
      </w:r>
      <w:r w:rsidRPr="0026404C">
        <w:rPr>
          <w:b/>
          <w:bCs/>
          <w:lang w:val="en-GB"/>
        </w:rPr>
        <w:fldChar w:fldCharType="separate"/>
      </w:r>
      <w:r w:rsidR="00662F32">
        <w:rPr>
          <w:b/>
          <w:bCs/>
          <w:noProof/>
          <w:lang w:val="en-GB"/>
        </w:rPr>
        <w:t>9.3</w:t>
      </w:r>
      <w:r w:rsidRPr="0026404C">
        <w:rPr>
          <w:b/>
          <w:bCs/>
          <w:lang w:val="en-GB"/>
        </w:rPr>
        <w:fldChar w:fldCharType="end"/>
      </w:r>
      <w:r w:rsidRPr="0026404C">
        <w:rPr>
          <w:b/>
          <w:bCs/>
          <w:lang w:val="en-GB"/>
        </w:rPr>
        <w:noBreakHyphen/>
      </w:r>
      <w:r w:rsidRPr="0026404C">
        <w:rPr>
          <w:b/>
          <w:bCs/>
          <w:lang w:val="en-GB"/>
        </w:rPr>
        <w:fldChar w:fldCharType="begin"/>
      </w:r>
      <w:r w:rsidRPr="0026404C">
        <w:rPr>
          <w:b/>
          <w:bCs/>
          <w:lang w:val="en-GB"/>
        </w:rPr>
        <w:instrText xml:space="preserve"> SEQ Table \* ARABIC \s 2 </w:instrText>
      </w:r>
      <w:r w:rsidRPr="0026404C">
        <w:rPr>
          <w:b/>
          <w:bCs/>
          <w:lang w:val="en-GB"/>
        </w:rPr>
        <w:fldChar w:fldCharType="separate"/>
      </w:r>
      <w:r w:rsidR="00662F32">
        <w:rPr>
          <w:b/>
          <w:bCs/>
          <w:noProof/>
          <w:lang w:val="en-GB"/>
        </w:rPr>
        <w:t>17</w:t>
      </w:r>
      <w:r w:rsidRPr="0026404C">
        <w:rPr>
          <w:b/>
          <w:bCs/>
          <w:lang w:val="en-GB"/>
        </w:rPr>
        <w:fldChar w:fldCharType="end"/>
      </w:r>
      <w:bookmarkEnd w:id="399"/>
      <w:r w:rsidRPr="0026404C">
        <w:rPr>
          <w:b/>
          <w:bCs/>
          <w:lang w:val="en-GB"/>
        </w:rPr>
        <w:t>:</w:t>
      </w:r>
      <w:r w:rsidRPr="0026404C">
        <w:rPr>
          <w:b/>
          <w:bCs/>
          <w:lang w:val="en-GB"/>
        </w:rPr>
        <w:tab/>
        <w:t>Assessment of the risk for mammals due to exposure to fluxapyroxad via contaminated drinking water in puddles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2"/>
        <w:gridCol w:w="2719"/>
        <w:gridCol w:w="2908"/>
      </w:tblGrid>
      <w:tr w:rsidR="00E51CDD" w:rsidRPr="0026404C" w14:paraId="1B6C020A" w14:textId="77777777" w:rsidTr="009938D9">
        <w:tc>
          <w:tcPr>
            <w:tcW w:w="1991" w:type="pct"/>
            <w:vAlign w:val="center"/>
          </w:tcPr>
          <w:p w14:paraId="4A76A67F" w14:textId="77777777" w:rsidR="00E51CDD" w:rsidRPr="0026404C" w:rsidRDefault="00E51CDD" w:rsidP="009938D9">
            <w:pPr>
              <w:widowControl w:val="0"/>
              <w:tabs>
                <w:tab w:val="left" w:pos="720"/>
              </w:tabs>
              <w:suppressAutoHyphens/>
              <w:rPr>
                <w:b/>
                <w:bCs/>
                <w:sz w:val="20"/>
                <w:szCs w:val="20"/>
                <w:lang w:val="en-GB"/>
              </w:rPr>
            </w:pPr>
            <w:r w:rsidRPr="0026404C">
              <w:rPr>
                <w:b/>
                <w:bCs/>
                <w:sz w:val="20"/>
                <w:szCs w:val="20"/>
                <w:lang w:val="en-GB"/>
              </w:rPr>
              <w:t>Parameter</w:t>
            </w:r>
          </w:p>
        </w:tc>
        <w:tc>
          <w:tcPr>
            <w:tcW w:w="1454" w:type="pct"/>
          </w:tcPr>
          <w:p w14:paraId="44DE2A95" w14:textId="77777777" w:rsidR="00E51CDD" w:rsidRPr="0026404C" w:rsidRDefault="00E51CDD" w:rsidP="009938D9">
            <w:pPr>
              <w:widowControl w:val="0"/>
              <w:suppressAutoHyphens/>
              <w:jc w:val="center"/>
              <w:rPr>
                <w:b/>
                <w:bCs/>
                <w:sz w:val="20"/>
                <w:szCs w:val="20"/>
                <w:lang w:val="en-GB"/>
              </w:rPr>
            </w:pPr>
            <w:r w:rsidRPr="0026404C">
              <w:rPr>
                <w:b/>
                <w:bCs/>
                <w:sz w:val="20"/>
                <w:szCs w:val="20"/>
                <w:lang w:val="en-GB"/>
              </w:rPr>
              <w:t>Fluxapyroxad</w:t>
            </w:r>
          </w:p>
        </w:tc>
        <w:tc>
          <w:tcPr>
            <w:tcW w:w="1555" w:type="pct"/>
            <w:shd w:val="clear" w:color="auto" w:fill="auto"/>
            <w:vAlign w:val="center"/>
          </w:tcPr>
          <w:p w14:paraId="1A1464CE" w14:textId="77777777" w:rsidR="00E51CDD" w:rsidRPr="0026404C" w:rsidRDefault="00E51CDD" w:rsidP="009938D9">
            <w:pPr>
              <w:widowControl w:val="0"/>
              <w:tabs>
                <w:tab w:val="left" w:pos="720"/>
              </w:tabs>
              <w:suppressAutoHyphens/>
              <w:jc w:val="center"/>
              <w:rPr>
                <w:b/>
                <w:bCs/>
                <w:sz w:val="20"/>
                <w:szCs w:val="20"/>
                <w:lang w:val="en-GB"/>
              </w:rPr>
            </w:pPr>
            <w:r w:rsidRPr="0026404C">
              <w:rPr>
                <w:b/>
                <w:bCs/>
                <w:sz w:val="20"/>
                <w:szCs w:val="20"/>
                <w:lang w:val="en-GB"/>
              </w:rPr>
              <w:t>Reference</w:t>
            </w:r>
          </w:p>
        </w:tc>
      </w:tr>
      <w:tr w:rsidR="00E51CDD" w:rsidRPr="0026404C" w14:paraId="738CCC89" w14:textId="77777777" w:rsidTr="009938D9">
        <w:tc>
          <w:tcPr>
            <w:tcW w:w="1991" w:type="pct"/>
            <w:vAlign w:val="center"/>
          </w:tcPr>
          <w:p w14:paraId="1996ECE3"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K</w:t>
            </w:r>
            <w:r w:rsidRPr="003269A6">
              <w:rPr>
                <w:sz w:val="20"/>
                <w:szCs w:val="20"/>
                <w:vertAlign w:val="subscript"/>
                <w:lang w:val="en-GB"/>
              </w:rPr>
              <w:t>f</w:t>
            </w:r>
            <w:r w:rsidRPr="0026404C">
              <w:rPr>
                <w:sz w:val="20"/>
                <w:szCs w:val="20"/>
                <w:vertAlign w:val="subscript"/>
                <w:lang w:val="en-GB"/>
              </w:rPr>
              <w:t>oc</w:t>
            </w:r>
            <w:r w:rsidRPr="0026404C">
              <w:rPr>
                <w:sz w:val="20"/>
                <w:szCs w:val="20"/>
                <w:lang w:val="en-GB"/>
              </w:rPr>
              <w:t xml:space="preserve"> (</w:t>
            </w:r>
            <w:r>
              <w:rPr>
                <w:sz w:val="20"/>
                <w:szCs w:val="20"/>
                <w:lang w:val="en-GB"/>
              </w:rPr>
              <w:t>geometric</w:t>
            </w:r>
            <w:r w:rsidRPr="0026404C">
              <w:rPr>
                <w:sz w:val="20"/>
                <w:szCs w:val="20"/>
                <w:lang w:val="en-GB"/>
              </w:rPr>
              <w:t xml:space="preserve"> mean) [L/kg]</w:t>
            </w:r>
          </w:p>
        </w:tc>
        <w:tc>
          <w:tcPr>
            <w:tcW w:w="1454" w:type="pct"/>
            <w:vAlign w:val="center"/>
          </w:tcPr>
          <w:p w14:paraId="4E0A7D3B" w14:textId="77777777" w:rsidR="00E51CDD" w:rsidRPr="0026404C" w:rsidRDefault="00E51CDD" w:rsidP="009938D9">
            <w:pPr>
              <w:widowControl w:val="0"/>
              <w:numPr>
                <w:ilvl w:val="12"/>
                <w:numId w:val="0"/>
              </w:numPr>
              <w:suppressAutoHyphens/>
              <w:jc w:val="center"/>
              <w:rPr>
                <w:rFonts w:eastAsia="SimSun"/>
                <w:sz w:val="20"/>
                <w:szCs w:val="20"/>
                <w:lang w:val="en-GB" w:eastAsia="zh-CN"/>
              </w:rPr>
            </w:pPr>
            <w:r>
              <w:rPr>
                <w:rFonts w:eastAsia="SimSun"/>
                <w:sz w:val="20"/>
                <w:szCs w:val="20"/>
                <w:lang w:val="en-GB" w:eastAsia="zh-CN"/>
              </w:rPr>
              <w:t>681</w:t>
            </w:r>
          </w:p>
        </w:tc>
        <w:tc>
          <w:tcPr>
            <w:tcW w:w="1555" w:type="pct"/>
            <w:shd w:val="clear" w:color="auto" w:fill="auto"/>
            <w:vAlign w:val="center"/>
          </w:tcPr>
          <w:p w14:paraId="03732631" w14:textId="77777777" w:rsidR="00E51CDD" w:rsidRPr="0026404C" w:rsidRDefault="00E51CDD" w:rsidP="009938D9">
            <w:pPr>
              <w:widowControl w:val="0"/>
              <w:jc w:val="center"/>
              <w:rPr>
                <w:sz w:val="20"/>
                <w:szCs w:val="20"/>
                <w:lang w:val="en-GB"/>
              </w:rPr>
            </w:pPr>
            <w:r w:rsidRPr="0026404C">
              <w:rPr>
                <w:sz w:val="20"/>
                <w:szCs w:val="20"/>
                <w:lang w:val="en-GB"/>
              </w:rPr>
              <w:t>Chapter 8.5.1</w:t>
            </w:r>
          </w:p>
        </w:tc>
      </w:tr>
      <w:tr w:rsidR="00E51CDD" w:rsidRPr="0026404C" w14:paraId="2F511DCE" w14:textId="77777777" w:rsidTr="009938D9">
        <w:tc>
          <w:tcPr>
            <w:tcW w:w="1991" w:type="pct"/>
            <w:vAlign w:val="center"/>
          </w:tcPr>
          <w:p w14:paraId="7B8FA072"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DT</w:t>
            </w:r>
            <w:r w:rsidRPr="0026404C">
              <w:rPr>
                <w:sz w:val="20"/>
                <w:szCs w:val="20"/>
                <w:vertAlign w:val="subscript"/>
                <w:lang w:val="en-GB"/>
              </w:rPr>
              <w:t>50</w:t>
            </w:r>
            <w:r w:rsidRPr="0026404C">
              <w:rPr>
                <w:sz w:val="20"/>
                <w:szCs w:val="20"/>
                <w:lang w:val="en-GB"/>
              </w:rPr>
              <w:t xml:space="preserve"> (soil) (geometric mean) [days]</w:t>
            </w:r>
          </w:p>
        </w:tc>
        <w:tc>
          <w:tcPr>
            <w:tcW w:w="1454" w:type="pct"/>
            <w:vAlign w:val="center"/>
          </w:tcPr>
          <w:p w14:paraId="500B3F35"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151</w:t>
            </w:r>
          </w:p>
        </w:tc>
        <w:tc>
          <w:tcPr>
            <w:tcW w:w="1555" w:type="pct"/>
            <w:shd w:val="clear" w:color="auto" w:fill="auto"/>
            <w:vAlign w:val="center"/>
          </w:tcPr>
          <w:p w14:paraId="5A84AF97" w14:textId="77777777" w:rsidR="00E51CDD" w:rsidRPr="0026404C" w:rsidRDefault="00E51CDD" w:rsidP="009938D9">
            <w:pPr>
              <w:widowControl w:val="0"/>
              <w:suppressAutoHyphens/>
              <w:autoSpaceDE w:val="0"/>
              <w:autoSpaceDN w:val="0"/>
              <w:adjustRightInd w:val="0"/>
              <w:jc w:val="center"/>
              <w:rPr>
                <w:strike/>
                <w:sz w:val="20"/>
                <w:szCs w:val="20"/>
                <w:lang w:val="en-GB"/>
              </w:rPr>
            </w:pPr>
            <w:r w:rsidRPr="0026404C">
              <w:rPr>
                <w:sz w:val="20"/>
                <w:szCs w:val="20"/>
              </w:rPr>
              <w:t>Chapter 8.9</w:t>
            </w:r>
          </w:p>
        </w:tc>
      </w:tr>
      <w:tr w:rsidR="00E51CDD" w:rsidRPr="0026404C" w14:paraId="2E57FB5B" w14:textId="77777777" w:rsidTr="009938D9">
        <w:tc>
          <w:tcPr>
            <w:tcW w:w="1991" w:type="pct"/>
            <w:vAlign w:val="center"/>
          </w:tcPr>
          <w:p w14:paraId="55F13B88"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Number of applications</w:t>
            </w:r>
          </w:p>
        </w:tc>
        <w:tc>
          <w:tcPr>
            <w:tcW w:w="1454" w:type="pct"/>
            <w:vAlign w:val="center"/>
          </w:tcPr>
          <w:p w14:paraId="2285A620"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2</w:t>
            </w:r>
          </w:p>
        </w:tc>
        <w:tc>
          <w:tcPr>
            <w:tcW w:w="1555" w:type="pct"/>
            <w:shd w:val="clear" w:color="auto" w:fill="auto"/>
            <w:vAlign w:val="center"/>
          </w:tcPr>
          <w:p w14:paraId="7C42EBAB" w14:textId="77777777" w:rsidR="00E51CDD" w:rsidRPr="0026404C" w:rsidRDefault="00E51CDD" w:rsidP="009938D9">
            <w:pPr>
              <w:widowControl w:val="0"/>
              <w:numPr>
                <w:ilvl w:val="12"/>
                <w:numId w:val="0"/>
              </w:numPr>
              <w:tabs>
                <w:tab w:val="left" w:pos="720"/>
              </w:tabs>
              <w:suppressAutoHyphens/>
              <w:autoSpaceDE w:val="0"/>
              <w:autoSpaceDN w:val="0"/>
              <w:adjustRightInd w:val="0"/>
              <w:jc w:val="center"/>
              <w:rPr>
                <w:sz w:val="20"/>
                <w:szCs w:val="20"/>
                <w:lang w:val="en-GB"/>
              </w:rPr>
            </w:pPr>
            <w:r w:rsidRPr="0026404C">
              <w:rPr>
                <w:sz w:val="20"/>
                <w:szCs w:val="20"/>
                <w:lang w:val="en-GB"/>
              </w:rPr>
              <w:t>Chapter 9.1</w:t>
            </w:r>
          </w:p>
        </w:tc>
      </w:tr>
      <w:tr w:rsidR="00E51CDD" w:rsidRPr="0026404C" w14:paraId="61123EC5" w14:textId="77777777" w:rsidTr="009938D9">
        <w:tc>
          <w:tcPr>
            <w:tcW w:w="1991" w:type="pct"/>
            <w:vAlign w:val="center"/>
          </w:tcPr>
          <w:p w14:paraId="00528BD5"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Interval [days]</w:t>
            </w:r>
          </w:p>
        </w:tc>
        <w:tc>
          <w:tcPr>
            <w:tcW w:w="1454" w:type="pct"/>
            <w:vAlign w:val="center"/>
          </w:tcPr>
          <w:p w14:paraId="79CB1F93"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21</w:t>
            </w:r>
          </w:p>
        </w:tc>
        <w:tc>
          <w:tcPr>
            <w:tcW w:w="1555" w:type="pct"/>
            <w:shd w:val="clear" w:color="auto" w:fill="auto"/>
            <w:vAlign w:val="center"/>
          </w:tcPr>
          <w:p w14:paraId="00874943" w14:textId="77777777" w:rsidR="00E51CDD" w:rsidRPr="0026404C" w:rsidRDefault="00E51CDD" w:rsidP="009938D9">
            <w:pPr>
              <w:widowControl w:val="0"/>
              <w:numPr>
                <w:ilvl w:val="12"/>
                <w:numId w:val="0"/>
              </w:numPr>
              <w:tabs>
                <w:tab w:val="left" w:pos="720"/>
              </w:tabs>
              <w:suppressAutoHyphens/>
              <w:autoSpaceDE w:val="0"/>
              <w:autoSpaceDN w:val="0"/>
              <w:adjustRightInd w:val="0"/>
              <w:jc w:val="center"/>
              <w:rPr>
                <w:sz w:val="20"/>
                <w:szCs w:val="20"/>
                <w:lang w:val="en-GB"/>
              </w:rPr>
            </w:pPr>
            <w:r w:rsidRPr="0026404C">
              <w:rPr>
                <w:sz w:val="20"/>
                <w:szCs w:val="20"/>
                <w:lang w:val="en-GB"/>
              </w:rPr>
              <w:t>Chapter 9.1</w:t>
            </w:r>
          </w:p>
        </w:tc>
      </w:tr>
      <w:tr w:rsidR="00E51CDD" w:rsidRPr="0026404C" w14:paraId="15E6CDAD" w14:textId="77777777" w:rsidTr="009938D9">
        <w:tc>
          <w:tcPr>
            <w:tcW w:w="1991" w:type="pct"/>
            <w:vAlign w:val="center"/>
          </w:tcPr>
          <w:p w14:paraId="13FEE496"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MAF</w:t>
            </w:r>
            <w:r w:rsidRPr="0026404C">
              <w:rPr>
                <w:sz w:val="20"/>
                <w:szCs w:val="20"/>
                <w:vertAlign w:val="subscript"/>
                <w:lang w:val="en-GB"/>
              </w:rPr>
              <w:t>m</w:t>
            </w:r>
            <w:r w:rsidRPr="0026404C">
              <w:rPr>
                <w:sz w:val="20"/>
                <w:szCs w:val="20"/>
                <w:lang w:val="en-GB"/>
              </w:rPr>
              <w:t> </w:t>
            </w:r>
            <w:r w:rsidRPr="0026404C">
              <w:rPr>
                <w:sz w:val="20"/>
                <w:szCs w:val="20"/>
                <w:vertAlign w:val="superscript"/>
                <w:lang w:val="en-GB"/>
              </w:rPr>
              <w:t>1)</w:t>
            </w:r>
          </w:p>
        </w:tc>
        <w:tc>
          <w:tcPr>
            <w:tcW w:w="1454" w:type="pct"/>
            <w:vAlign w:val="center"/>
          </w:tcPr>
          <w:p w14:paraId="34940557"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1.9</w:t>
            </w:r>
            <w:r>
              <w:rPr>
                <w:sz w:val="20"/>
                <w:szCs w:val="20"/>
                <w:lang w:val="en-GB"/>
              </w:rPr>
              <w:t>1</w:t>
            </w:r>
          </w:p>
        </w:tc>
        <w:tc>
          <w:tcPr>
            <w:tcW w:w="1555" w:type="pct"/>
            <w:shd w:val="clear" w:color="auto" w:fill="auto"/>
            <w:vAlign w:val="center"/>
          </w:tcPr>
          <w:p w14:paraId="2D9DB2F3" w14:textId="77777777" w:rsidR="00E51CDD" w:rsidRPr="0026404C" w:rsidRDefault="00E51CDD" w:rsidP="009938D9">
            <w:pPr>
              <w:widowControl w:val="0"/>
              <w:numPr>
                <w:ilvl w:val="12"/>
                <w:numId w:val="0"/>
              </w:numPr>
              <w:tabs>
                <w:tab w:val="left" w:pos="720"/>
              </w:tabs>
              <w:suppressAutoHyphens/>
              <w:autoSpaceDE w:val="0"/>
              <w:autoSpaceDN w:val="0"/>
              <w:adjustRightInd w:val="0"/>
              <w:jc w:val="center"/>
              <w:rPr>
                <w:sz w:val="20"/>
                <w:szCs w:val="20"/>
                <w:lang w:val="en-GB"/>
              </w:rPr>
            </w:pPr>
            <w:r w:rsidRPr="0026404C">
              <w:rPr>
                <w:sz w:val="20"/>
                <w:szCs w:val="20"/>
                <w:lang w:val="en-GB"/>
              </w:rPr>
              <w:t>--</w:t>
            </w:r>
          </w:p>
        </w:tc>
      </w:tr>
      <w:tr w:rsidR="00E51CDD" w:rsidRPr="0026404C" w14:paraId="585E806A" w14:textId="77777777" w:rsidTr="009938D9">
        <w:tc>
          <w:tcPr>
            <w:tcW w:w="1991" w:type="pct"/>
            <w:vAlign w:val="center"/>
          </w:tcPr>
          <w:p w14:paraId="526D1E91"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Max use rate [g/ha]</w:t>
            </w:r>
          </w:p>
        </w:tc>
        <w:tc>
          <w:tcPr>
            <w:tcW w:w="1454" w:type="pct"/>
            <w:vAlign w:val="center"/>
          </w:tcPr>
          <w:p w14:paraId="3F3A8DC6"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100</w:t>
            </w:r>
          </w:p>
        </w:tc>
        <w:tc>
          <w:tcPr>
            <w:tcW w:w="1555" w:type="pct"/>
            <w:shd w:val="clear" w:color="auto" w:fill="auto"/>
            <w:vAlign w:val="center"/>
          </w:tcPr>
          <w:p w14:paraId="445DAA63"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Chapter 9.1</w:t>
            </w:r>
          </w:p>
        </w:tc>
      </w:tr>
      <w:tr w:rsidR="00E51CDD" w:rsidRPr="0026404C" w14:paraId="427D26D5" w14:textId="77777777" w:rsidTr="009938D9">
        <w:tc>
          <w:tcPr>
            <w:tcW w:w="1991" w:type="pct"/>
            <w:vAlign w:val="center"/>
          </w:tcPr>
          <w:p w14:paraId="3C71444A"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AR</w:t>
            </w:r>
            <w:r w:rsidRPr="0026404C">
              <w:rPr>
                <w:sz w:val="20"/>
                <w:szCs w:val="20"/>
                <w:vertAlign w:val="subscript"/>
                <w:lang w:val="en-GB"/>
              </w:rPr>
              <w:t>eff</w:t>
            </w:r>
            <w:r w:rsidRPr="0026404C">
              <w:rPr>
                <w:sz w:val="20"/>
                <w:szCs w:val="20"/>
                <w:lang w:val="en-GB"/>
              </w:rPr>
              <w:t xml:space="preserve"> [g/ha] </w:t>
            </w:r>
            <w:r w:rsidRPr="0026404C">
              <w:rPr>
                <w:sz w:val="20"/>
                <w:szCs w:val="20"/>
                <w:vertAlign w:val="superscript"/>
                <w:lang w:val="en-GB"/>
              </w:rPr>
              <w:t>2)</w:t>
            </w:r>
          </w:p>
        </w:tc>
        <w:tc>
          <w:tcPr>
            <w:tcW w:w="1454" w:type="pct"/>
            <w:vAlign w:val="center"/>
          </w:tcPr>
          <w:p w14:paraId="6055A64B"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191</w:t>
            </w:r>
          </w:p>
        </w:tc>
        <w:tc>
          <w:tcPr>
            <w:tcW w:w="1555" w:type="pct"/>
            <w:shd w:val="clear" w:color="auto" w:fill="auto"/>
            <w:vAlign w:val="center"/>
          </w:tcPr>
          <w:p w14:paraId="50D97C2A"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w:t>
            </w:r>
          </w:p>
        </w:tc>
      </w:tr>
      <w:tr w:rsidR="00E51CDD" w:rsidRPr="0026404C" w14:paraId="42D7318E" w14:textId="77777777" w:rsidTr="009938D9">
        <w:tc>
          <w:tcPr>
            <w:tcW w:w="1991" w:type="pct"/>
            <w:vAlign w:val="center"/>
          </w:tcPr>
          <w:p w14:paraId="56478F78"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LD</w:t>
            </w:r>
            <w:r w:rsidRPr="0026404C">
              <w:rPr>
                <w:sz w:val="20"/>
                <w:szCs w:val="20"/>
                <w:vertAlign w:val="subscript"/>
                <w:lang w:val="en-GB"/>
              </w:rPr>
              <w:t>50</w:t>
            </w:r>
            <w:r w:rsidRPr="0026404C">
              <w:rPr>
                <w:sz w:val="20"/>
                <w:szCs w:val="20"/>
                <w:lang w:val="en-GB"/>
              </w:rPr>
              <w:t xml:space="preserve"> [mg/kg b.w.]</w:t>
            </w:r>
          </w:p>
        </w:tc>
        <w:tc>
          <w:tcPr>
            <w:tcW w:w="1454" w:type="pct"/>
            <w:vAlign w:val="center"/>
          </w:tcPr>
          <w:p w14:paraId="1257E37C"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&gt;</w:t>
            </w:r>
            <w:r>
              <w:rPr>
                <w:sz w:val="20"/>
                <w:szCs w:val="20"/>
                <w:lang w:val="en-GB"/>
              </w:rPr>
              <w:t> </w:t>
            </w:r>
            <w:r w:rsidRPr="0026404C">
              <w:rPr>
                <w:sz w:val="20"/>
                <w:szCs w:val="20"/>
                <w:lang w:val="en-GB"/>
              </w:rPr>
              <w:t>2000</w:t>
            </w:r>
          </w:p>
        </w:tc>
        <w:tc>
          <w:tcPr>
            <w:tcW w:w="1555" w:type="pct"/>
            <w:shd w:val="clear" w:color="auto" w:fill="auto"/>
            <w:vAlign w:val="center"/>
          </w:tcPr>
          <w:p w14:paraId="50BECD4F"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Chapter 9.3.1</w:t>
            </w:r>
          </w:p>
        </w:tc>
      </w:tr>
      <w:tr w:rsidR="00E51CDD" w:rsidRPr="0026404C" w14:paraId="6F2DC2EB" w14:textId="77777777" w:rsidTr="009938D9">
        <w:tc>
          <w:tcPr>
            <w:tcW w:w="1991" w:type="pct"/>
            <w:vAlign w:val="center"/>
          </w:tcPr>
          <w:p w14:paraId="5494F6F7"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Ratio (acute) </w:t>
            </w:r>
            <w:r w:rsidRPr="0026404C">
              <w:rPr>
                <w:sz w:val="20"/>
                <w:szCs w:val="20"/>
                <w:vertAlign w:val="superscript"/>
                <w:lang w:val="en-GB"/>
              </w:rPr>
              <w:t>3)</w:t>
            </w:r>
          </w:p>
        </w:tc>
        <w:tc>
          <w:tcPr>
            <w:tcW w:w="1454" w:type="pct"/>
            <w:vAlign w:val="center"/>
          </w:tcPr>
          <w:p w14:paraId="71D34E86"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&lt;</w:t>
            </w:r>
            <w:r>
              <w:rPr>
                <w:sz w:val="20"/>
                <w:szCs w:val="20"/>
                <w:lang w:val="en-GB"/>
              </w:rPr>
              <w:t> </w:t>
            </w:r>
            <w:r w:rsidRPr="0026404C">
              <w:rPr>
                <w:sz w:val="20"/>
                <w:szCs w:val="20"/>
                <w:lang w:val="en-GB"/>
              </w:rPr>
              <w:t>0.</w:t>
            </w:r>
            <w:r>
              <w:rPr>
                <w:sz w:val="20"/>
                <w:szCs w:val="20"/>
                <w:lang w:val="en-GB"/>
              </w:rPr>
              <w:t>1</w:t>
            </w:r>
          </w:p>
        </w:tc>
        <w:tc>
          <w:tcPr>
            <w:tcW w:w="1555" w:type="pct"/>
            <w:shd w:val="clear" w:color="auto" w:fill="auto"/>
            <w:vAlign w:val="center"/>
          </w:tcPr>
          <w:p w14:paraId="527860FE"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w:t>
            </w:r>
          </w:p>
        </w:tc>
      </w:tr>
      <w:tr w:rsidR="00E51CDD" w:rsidRPr="0026404C" w14:paraId="3B640BE2" w14:textId="77777777" w:rsidTr="009938D9">
        <w:tc>
          <w:tcPr>
            <w:tcW w:w="1991" w:type="pct"/>
            <w:vAlign w:val="center"/>
          </w:tcPr>
          <w:p w14:paraId="499B989F"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NO(A)EL [mg/kg b.w./d]</w:t>
            </w:r>
          </w:p>
        </w:tc>
        <w:tc>
          <w:tcPr>
            <w:tcW w:w="1454" w:type="pct"/>
            <w:vAlign w:val="center"/>
          </w:tcPr>
          <w:p w14:paraId="713AF149"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10</w:t>
            </w:r>
          </w:p>
        </w:tc>
        <w:tc>
          <w:tcPr>
            <w:tcW w:w="1555" w:type="pct"/>
            <w:shd w:val="clear" w:color="auto" w:fill="auto"/>
            <w:vAlign w:val="center"/>
          </w:tcPr>
          <w:p w14:paraId="7D478270"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Chapter 9.3.1</w:t>
            </w:r>
          </w:p>
        </w:tc>
      </w:tr>
      <w:tr w:rsidR="00E51CDD" w:rsidRPr="0026404C" w14:paraId="2755AB53" w14:textId="77777777" w:rsidTr="009938D9">
        <w:tc>
          <w:tcPr>
            <w:tcW w:w="1991" w:type="pct"/>
            <w:vAlign w:val="center"/>
          </w:tcPr>
          <w:p w14:paraId="0828A70F"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Ratio (repro) </w:t>
            </w:r>
            <w:r w:rsidRPr="0026404C">
              <w:rPr>
                <w:sz w:val="20"/>
                <w:szCs w:val="20"/>
                <w:vertAlign w:val="superscript"/>
                <w:lang w:val="en-GB"/>
              </w:rPr>
              <w:t>3)</w:t>
            </w:r>
          </w:p>
        </w:tc>
        <w:tc>
          <w:tcPr>
            <w:tcW w:w="1454" w:type="pct"/>
            <w:vAlign w:val="center"/>
          </w:tcPr>
          <w:p w14:paraId="1A9DA8A4"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19.1</w:t>
            </w:r>
          </w:p>
        </w:tc>
        <w:tc>
          <w:tcPr>
            <w:tcW w:w="1555" w:type="pct"/>
            <w:shd w:val="clear" w:color="auto" w:fill="auto"/>
            <w:vAlign w:val="center"/>
          </w:tcPr>
          <w:p w14:paraId="2D5B6C47"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w:t>
            </w:r>
          </w:p>
        </w:tc>
      </w:tr>
      <w:tr w:rsidR="00E51CDD" w:rsidRPr="0026404C" w14:paraId="7E405A79" w14:textId="77777777" w:rsidTr="009938D9">
        <w:tc>
          <w:tcPr>
            <w:tcW w:w="1991" w:type="pct"/>
            <w:vAlign w:val="center"/>
          </w:tcPr>
          <w:p w14:paraId="1C9A463A"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rPr>
              <w:t>Trigger</w:t>
            </w:r>
          </w:p>
        </w:tc>
        <w:tc>
          <w:tcPr>
            <w:tcW w:w="1454" w:type="pct"/>
          </w:tcPr>
          <w:p w14:paraId="6584E5F3" w14:textId="77777777" w:rsidR="00E51CDD" w:rsidRPr="0026404C" w:rsidRDefault="00E51CDD" w:rsidP="009938D9">
            <w:pPr>
              <w:widowControl w:val="0"/>
              <w:numPr>
                <w:ilvl w:val="12"/>
                <w:numId w:val="0"/>
              </w:numPr>
              <w:suppressAutoHyphens/>
              <w:jc w:val="center"/>
              <w:rPr>
                <w:sz w:val="20"/>
                <w:szCs w:val="20"/>
              </w:rPr>
            </w:pPr>
            <w:r w:rsidRPr="0026404C">
              <w:rPr>
                <w:sz w:val="20"/>
                <w:szCs w:val="20"/>
              </w:rPr>
              <w:t>3000</w:t>
            </w:r>
          </w:p>
        </w:tc>
        <w:tc>
          <w:tcPr>
            <w:tcW w:w="1555" w:type="pct"/>
            <w:shd w:val="clear" w:color="auto" w:fill="auto"/>
            <w:vAlign w:val="center"/>
          </w:tcPr>
          <w:p w14:paraId="36769509"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rPr>
              <w:t>--</w:t>
            </w:r>
          </w:p>
        </w:tc>
      </w:tr>
      <w:tr w:rsidR="00E51CDD" w:rsidRPr="0026404C" w14:paraId="50F6EA2D" w14:textId="77777777" w:rsidTr="009938D9">
        <w:tc>
          <w:tcPr>
            <w:tcW w:w="1991" w:type="pct"/>
            <w:vAlign w:val="center"/>
          </w:tcPr>
          <w:p w14:paraId="05DBDCDB" w14:textId="77777777" w:rsidR="00E51CDD" w:rsidRPr="0026404C" w:rsidRDefault="00E51CDD" w:rsidP="009938D9">
            <w:pPr>
              <w:widowControl w:val="0"/>
              <w:numPr>
                <w:ilvl w:val="12"/>
                <w:numId w:val="0"/>
              </w:numPr>
              <w:tabs>
                <w:tab w:val="left" w:pos="720"/>
              </w:tabs>
              <w:suppressAutoHyphens/>
              <w:rPr>
                <w:sz w:val="20"/>
                <w:szCs w:val="20"/>
              </w:rPr>
            </w:pPr>
            <w:r w:rsidRPr="0026404C">
              <w:rPr>
                <w:sz w:val="20"/>
                <w:szCs w:val="20"/>
              </w:rPr>
              <w:t>Drinking water assessment</w:t>
            </w:r>
          </w:p>
          <w:p w14:paraId="5EB46BA3"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rPr>
              <w:t>required [Yes/No]</w:t>
            </w:r>
          </w:p>
        </w:tc>
        <w:tc>
          <w:tcPr>
            <w:tcW w:w="1454" w:type="pct"/>
            <w:vAlign w:val="center"/>
          </w:tcPr>
          <w:p w14:paraId="4A924141" w14:textId="77777777" w:rsidR="00E51CDD" w:rsidRPr="0026404C" w:rsidRDefault="00E51CDD" w:rsidP="009938D9">
            <w:pPr>
              <w:widowControl w:val="0"/>
              <w:numPr>
                <w:ilvl w:val="12"/>
                <w:numId w:val="0"/>
              </w:numPr>
              <w:suppressAutoHyphens/>
              <w:jc w:val="center"/>
              <w:rPr>
                <w:sz w:val="20"/>
                <w:szCs w:val="20"/>
              </w:rPr>
            </w:pPr>
            <w:r w:rsidRPr="0026404C">
              <w:rPr>
                <w:sz w:val="20"/>
                <w:szCs w:val="20"/>
              </w:rPr>
              <w:t>No</w:t>
            </w:r>
          </w:p>
        </w:tc>
        <w:tc>
          <w:tcPr>
            <w:tcW w:w="1555" w:type="pct"/>
            <w:shd w:val="clear" w:color="auto" w:fill="auto"/>
            <w:vAlign w:val="center"/>
          </w:tcPr>
          <w:p w14:paraId="67DE29CF"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rPr>
              <w:t>--</w:t>
            </w:r>
          </w:p>
        </w:tc>
      </w:tr>
    </w:tbl>
    <w:p w14:paraId="2B82A37B" w14:textId="77777777" w:rsidR="00E51CDD" w:rsidRPr="0026404C" w:rsidRDefault="00E51CDD" w:rsidP="00E51CDD">
      <w:pPr>
        <w:widowControl w:val="0"/>
        <w:tabs>
          <w:tab w:val="left" w:pos="360"/>
          <w:tab w:val="left" w:pos="720"/>
        </w:tabs>
        <w:suppressAutoHyphens/>
        <w:autoSpaceDE w:val="0"/>
        <w:autoSpaceDN w:val="0"/>
        <w:adjustRightInd w:val="0"/>
        <w:ind w:left="284" w:hanging="284"/>
        <w:rPr>
          <w:sz w:val="18"/>
          <w:szCs w:val="18"/>
          <w:lang w:val="en-GB"/>
        </w:rPr>
      </w:pPr>
      <w:r w:rsidRPr="0026404C">
        <w:rPr>
          <w:sz w:val="18"/>
          <w:szCs w:val="18"/>
          <w:vertAlign w:val="superscript"/>
          <w:lang w:val="en-GB"/>
        </w:rPr>
        <w:t>1)</w:t>
      </w:r>
      <w:r w:rsidRPr="0026404C">
        <w:rPr>
          <w:sz w:val="18"/>
          <w:szCs w:val="18"/>
          <w:lang w:val="en-GB"/>
        </w:rPr>
        <w:tab/>
        <w:t>MAF</w:t>
      </w:r>
      <w:r w:rsidRPr="008574D2">
        <w:rPr>
          <w:sz w:val="18"/>
          <w:szCs w:val="18"/>
          <w:vertAlign w:val="subscript"/>
          <w:lang w:val="en-GB"/>
        </w:rPr>
        <w:t>m</w:t>
      </w:r>
      <w:r w:rsidRPr="0026404C">
        <w:rPr>
          <w:sz w:val="18"/>
          <w:szCs w:val="18"/>
          <w:lang w:val="en-GB"/>
        </w:rPr>
        <w:t xml:space="preserve"> = (1-e</w:t>
      </w:r>
      <w:r w:rsidRPr="0026404C">
        <w:rPr>
          <w:sz w:val="18"/>
          <w:szCs w:val="18"/>
          <w:vertAlign w:val="superscript"/>
          <w:lang w:val="en-GB"/>
        </w:rPr>
        <w:t>-nki</w:t>
      </w:r>
      <w:r w:rsidRPr="0026404C">
        <w:rPr>
          <w:sz w:val="18"/>
          <w:szCs w:val="18"/>
          <w:lang w:val="en-GB"/>
        </w:rPr>
        <w:t>) / (1-e</w:t>
      </w:r>
      <w:r w:rsidRPr="0026404C">
        <w:rPr>
          <w:sz w:val="18"/>
          <w:szCs w:val="18"/>
          <w:vertAlign w:val="superscript"/>
          <w:lang w:val="en-GB"/>
        </w:rPr>
        <w:t>-ki</w:t>
      </w:r>
      <w:r w:rsidRPr="0026404C">
        <w:rPr>
          <w:sz w:val="18"/>
          <w:szCs w:val="18"/>
          <w:lang w:val="en-GB"/>
        </w:rPr>
        <w:t>) with k = ln(2)/DT</w:t>
      </w:r>
      <w:r w:rsidRPr="0026404C">
        <w:rPr>
          <w:sz w:val="18"/>
          <w:szCs w:val="18"/>
          <w:vertAlign w:val="subscript"/>
          <w:lang w:val="en-GB"/>
        </w:rPr>
        <w:t>50</w:t>
      </w:r>
      <w:r w:rsidRPr="0026404C">
        <w:rPr>
          <w:sz w:val="18"/>
          <w:szCs w:val="18"/>
          <w:lang w:val="en-GB"/>
        </w:rPr>
        <w:t xml:space="preserve"> (rate constant), n = number of applications and i = application interval [d]</w:t>
      </w:r>
    </w:p>
    <w:p w14:paraId="4DC66513" w14:textId="77777777" w:rsidR="00E51CDD" w:rsidRPr="0026404C" w:rsidRDefault="00E51CDD" w:rsidP="00E51CDD">
      <w:pPr>
        <w:widowControl w:val="0"/>
        <w:tabs>
          <w:tab w:val="left" w:pos="360"/>
          <w:tab w:val="left" w:pos="720"/>
        </w:tabs>
        <w:suppressAutoHyphens/>
        <w:autoSpaceDE w:val="0"/>
        <w:autoSpaceDN w:val="0"/>
        <w:adjustRightInd w:val="0"/>
        <w:ind w:left="284" w:hanging="284"/>
        <w:rPr>
          <w:sz w:val="18"/>
          <w:szCs w:val="18"/>
          <w:vertAlign w:val="subscript"/>
          <w:lang w:val="en-GB"/>
        </w:rPr>
      </w:pPr>
      <w:r w:rsidRPr="0026404C">
        <w:rPr>
          <w:sz w:val="18"/>
          <w:szCs w:val="18"/>
          <w:vertAlign w:val="superscript"/>
          <w:lang w:val="en-GB"/>
        </w:rPr>
        <w:t>2)</w:t>
      </w:r>
      <w:r w:rsidRPr="0026404C">
        <w:rPr>
          <w:sz w:val="18"/>
          <w:szCs w:val="18"/>
          <w:lang w:val="en-GB"/>
        </w:rPr>
        <w:tab/>
        <w:t>AR</w:t>
      </w:r>
      <w:r w:rsidRPr="0026404C">
        <w:rPr>
          <w:sz w:val="18"/>
          <w:szCs w:val="18"/>
          <w:vertAlign w:val="subscript"/>
          <w:lang w:val="en-GB"/>
        </w:rPr>
        <w:t>eff</w:t>
      </w:r>
      <w:r w:rsidRPr="0026404C">
        <w:rPr>
          <w:sz w:val="18"/>
          <w:szCs w:val="18"/>
          <w:lang w:val="en-GB"/>
        </w:rPr>
        <w:t xml:space="preserve"> = Application rate (g/ha) x MAF</w:t>
      </w:r>
      <w:r w:rsidRPr="0026404C">
        <w:rPr>
          <w:sz w:val="18"/>
          <w:szCs w:val="18"/>
          <w:vertAlign w:val="subscript"/>
          <w:lang w:val="en-GB"/>
        </w:rPr>
        <w:t>m</w:t>
      </w:r>
    </w:p>
    <w:p w14:paraId="4F205701" w14:textId="77777777" w:rsidR="00E51CDD" w:rsidRPr="0026404C" w:rsidRDefault="00E51CDD" w:rsidP="00E51CDD">
      <w:pPr>
        <w:widowControl w:val="0"/>
        <w:tabs>
          <w:tab w:val="left" w:pos="360"/>
          <w:tab w:val="left" w:pos="720"/>
        </w:tabs>
        <w:suppressAutoHyphens/>
        <w:autoSpaceDE w:val="0"/>
        <w:autoSpaceDN w:val="0"/>
        <w:adjustRightInd w:val="0"/>
        <w:ind w:left="284" w:hanging="284"/>
        <w:rPr>
          <w:sz w:val="18"/>
          <w:szCs w:val="18"/>
          <w:lang w:val="en-GB"/>
        </w:rPr>
      </w:pPr>
      <w:r w:rsidRPr="0026404C">
        <w:rPr>
          <w:sz w:val="18"/>
          <w:szCs w:val="18"/>
          <w:vertAlign w:val="superscript"/>
          <w:lang w:val="en-GB"/>
        </w:rPr>
        <w:t>3)</w:t>
      </w:r>
      <w:r w:rsidRPr="0026404C">
        <w:rPr>
          <w:sz w:val="18"/>
          <w:szCs w:val="18"/>
          <w:lang w:val="en-GB"/>
        </w:rPr>
        <w:tab/>
        <w:t>Ratio of AR</w:t>
      </w:r>
      <w:r w:rsidRPr="0026404C">
        <w:rPr>
          <w:sz w:val="18"/>
          <w:szCs w:val="18"/>
          <w:vertAlign w:val="subscript"/>
          <w:lang w:val="en-GB"/>
        </w:rPr>
        <w:t>eff</w:t>
      </w:r>
      <w:r w:rsidRPr="0026404C">
        <w:rPr>
          <w:sz w:val="18"/>
          <w:szCs w:val="18"/>
          <w:lang w:val="en-GB"/>
        </w:rPr>
        <w:t xml:space="preserve"> and relevant toxicity endpoint</w:t>
      </w:r>
    </w:p>
    <w:p w14:paraId="45E5D1A4" w14:textId="5D6EB7DE" w:rsidR="00E51CDD" w:rsidRPr="0026404C" w:rsidRDefault="00E51CDD" w:rsidP="00E51CDD">
      <w:pPr>
        <w:widowControl w:val="0"/>
        <w:suppressAutoHyphens/>
        <w:spacing w:before="200" w:after="120"/>
        <w:ind w:left="1980" w:hanging="1980"/>
        <w:jc w:val="both"/>
        <w:rPr>
          <w:b/>
          <w:bCs/>
          <w:lang w:val="en-GB"/>
        </w:rPr>
      </w:pPr>
      <w:bookmarkStart w:id="400" w:name="_Ref439853144"/>
      <w:r w:rsidRPr="0026404C">
        <w:rPr>
          <w:b/>
          <w:bCs/>
          <w:lang w:val="en-GB"/>
        </w:rPr>
        <w:t xml:space="preserve">Table </w:t>
      </w:r>
      <w:r w:rsidRPr="0026404C">
        <w:rPr>
          <w:b/>
          <w:bCs/>
          <w:lang w:val="en-GB"/>
        </w:rPr>
        <w:fldChar w:fldCharType="begin"/>
      </w:r>
      <w:r w:rsidRPr="0026404C">
        <w:rPr>
          <w:b/>
          <w:bCs/>
          <w:lang w:val="en-GB"/>
        </w:rPr>
        <w:instrText xml:space="preserve"> STYLEREF 2 \s </w:instrText>
      </w:r>
      <w:r w:rsidRPr="0026404C">
        <w:rPr>
          <w:b/>
          <w:bCs/>
          <w:lang w:val="en-GB"/>
        </w:rPr>
        <w:fldChar w:fldCharType="separate"/>
      </w:r>
      <w:r w:rsidR="00662F32">
        <w:rPr>
          <w:b/>
          <w:bCs/>
          <w:noProof/>
          <w:lang w:val="en-GB"/>
        </w:rPr>
        <w:t>9.3</w:t>
      </w:r>
      <w:r w:rsidRPr="0026404C">
        <w:rPr>
          <w:b/>
          <w:bCs/>
          <w:lang w:val="en-GB"/>
        </w:rPr>
        <w:fldChar w:fldCharType="end"/>
      </w:r>
      <w:r w:rsidRPr="0026404C">
        <w:rPr>
          <w:b/>
          <w:bCs/>
          <w:lang w:val="en-GB"/>
        </w:rPr>
        <w:noBreakHyphen/>
      </w:r>
      <w:r w:rsidRPr="0026404C">
        <w:rPr>
          <w:b/>
          <w:bCs/>
          <w:lang w:val="en-GB"/>
        </w:rPr>
        <w:fldChar w:fldCharType="begin"/>
      </w:r>
      <w:r w:rsidRPr="0026404C">
        <w:rPr>
          <w:b/>
          <w:bCs/>
          <w:lang w:val="en-GB"/>
        </w:rPr>
        <w:instrText xml:space="preserve"> SEQ Table \* ARABIC \s 2 </w:instrText>
      </w:r>
      <w:r w:rsidRPr="0026404C">
        <w:rPr>
          <w:b/>
          <w:bCs/>
          <w:lang w:val="en-GB"/>
        </w:rPr>
        <w:fldChar w:fldCharType="separate"/>
      </w:r>
      <w:r w:rsidR="00662F32">
        <w:rPr>
          <w:b/>
          <w:bCs/>
          <w:noProof/>
          <w:lang w:val="en-GB"/>
        </w:rPr>
        <w:t>18</w:t>
      </w:r>
      <w:r w:rsidRPr="0026404C">
        <w:rPr>
          <w:b/>
          <w:bCs/>
          <w:lang w:val="en-GB"/>
        </w:rPr>
        <w:fldChar w:fldCharType="end"/>
      </w:r>
      <w:bookmarkEnd w:id="400"/>
      <w:r w:rsidRPr="0026404C">
        <w:rPr>
          <w:b/>
          <w:bCs/>
          <w:lang w:val="en-GB"/>
        </w:rPr>
        <w:t>:</w:t>
      </w:r>
      <w:r w:rsidRPr="0026404C">
        <w:rPr>
          <w:b/>
          <w:bCs/>
          <w:lang w:val="en-GB"/>
        </w:rPr>
        <w:tab/>
        <w:t xml:space="preserve">Assessment of the risk for mammals due to exposure to </w:t>
      </w:r>
      <w:r>
        <w:rPr>
          <w:b/>
          <w:bCs/>
          <w:lang w:val="en-GB"/>
        </w:rPr>
        <w:t>azoxystrobin</w:t>
      </w:r>
      <w:r w:rsidRPr="0026404C">
        <w:rPr>
          <w:b/>
          <w:bCs/>
          <w:lang w:val="en-GB"/>
        </w:rPr>
        <w:t xml:space="preserve"> via contaminated drinking water in puddles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22"/>
        <w:gridCol w:w="2718"/>
        <w:gridCol w:w="2907"/>
      </w:tblGrid>
      <w:tr w:rsidR="00E51CDD" w:rsidRPr="0026404C" w14:paraId="34F58B8C" w14:textId="77777777" w:rsidTr="009938D9">
        <w:tc>
          <w:tcPr>
            <w:tcW w:w="1991" w:type="pct"/>
            <w:vAlign w:val="center"/>
          </w:tcPr>
          <w:p w14:paraId="1CA85BD8" w14:textId="77777777" w:rsidR="00E51CDD" w:rsidRPr="0026404C" w:rsidRDefault="00E51CDD" w:rsidP="009938D9">
            <w:pPr>
              <w:widowControl w:val="0"/>
              <w:tabs>
                <w:tab w:val="left" w:pos="720"/>
              </w:tabs>
              <w:suppressAutoHyphens/>
              <w:rPr>
                <w:b/>
                <w:bCs/>
                <w:sz w:val="20"/>
                <w:szCs w:val="20"/>
                <w:lang w:val="en-GB"/>
              </w:rPr>
            </w:pPr>
            <w:r w:rsidRPr="0026404C">
              <w:rPr>
                <w:b/>
                <w:bCs/>
                <w:sz w:val="20"/>
                <w:szCs w:val="20"/>
                <w:lang w:val="en-GB"/>
              </w:rPr>
              <w:t>Parameter</w:t>
            </w:r>
          </w:p>
        </w:tc>
        <w:tc>
          <w:tcPr>
            <w:tcW w:w="1454" w:type="pct"/>
          </w:tcPr>
          <w:p w14:paraId="01D82A17" w14:textId="77777777" w:rsidR="00E51CDD" w:rsidRPr="0026404C" w:rsidRDefault="00E51CDD" w:rsidP="009938D9">
            <w:pPr>
              <w:widowControl w:val="0"/>
              <w:suppressAutoHyphens/>
              <w:jc w:val="center"/>
              <w:rPr>
                <w:b/>
                <w:bCs/>
                <w:sz w:val="20"/>
                <w:szCs w:val="20"/>
                <w:lang w:val="en-GB"/>
              </w:rPr>
            </w:pPr>
            <w:r>
              <w:rPr>
                <w:b/>
                <w:bCs/>
                <w:sz w:val="20"/>
                <w:szCs w:val="20"/>
                <w:lang w:val="en-GB"/>
              </w:rPr>
              <w:t>Azoxystrobin</w:t>
            </w:r>
          </w:p>
        </w:tc>
        <w:tc>
          <w:tcPr>
            <w:tcW w:w="1555" w:type="pct"/>
            <w:shd w:val="clear" w:color="auto" w:fill="auto"/>
            <w:vAlign w:val="center"/>
          </w:tcPr>
          <w:p w14:paraId="5CD365CF" w14:textId="77777777" w:rsidR="00E51CDD" w:rsidRPr="0026404C" w:rsidRDefault="00E51CDD" w:rsidP="009938D9">
            <w:pPr>
              <w:widowControl w:val="0"/>
              <w:tabs>
                <w:tab w:val="left" w:pos="720"/>
              </w:tabs>
              <w:suppressAutoHyphens/>
              <w:jc w:val="center"/>
              <w:rPr>
                <w:b/>
                <w:bCs/>
                <w:sz w:val="20"/>
                <w:szCs w:val="20"/>
                <w:lang w:val="en-GB"/>
              </w:rPr>
            </w:pPr>
            <w:r w:rsidRPr="0026404C">
              <w:rPr>
                <w:b/>
                <w:bCs/>
                <w:sz w:val="20"/>
                <w:szCs w:val="20"/>
                <w:lang w:val="en-GB"/>
              </w:rPr>
              <w:t>Reference</w:t>
            </w:r>
          </w:p>
        </w:tc>
      </w:tr>
      <w:tr w:rsidR="00E51CDD" w:rsidRPr="0026404C" w14:paraId="06D4A0FA" w14:textId="77777777" w:rsidTr="009938D9">
        <w:tc>
          <w:tcPr>
            <w:tcW w:w="1991" w:type="pct"/>
            <w:vAlign w:val="center"/>
          </w:tcPr>
          <w:p w14:paraId="4AF74011"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K</w:t>
            </w:r>
            <w:r w:rsidRPr="0026404C">
              <w:rPr>
                <w:sz w:val="20"/>
                <w:szCs w:val="20"/>
                <w:vertAlign w:val="subscript"/>
                <w:lang w:val="en-GB"/>
              </w:rPr>
              <w:t>oc</w:t>
            </w:r>
            <w:r w:rsidRPr="0026404C">
              <w:rPr>
                <w:sz w:val="20"/>
                <w:szCs w:val="20"/>
                <w:lang w:val="en-GB"/>
              </w:rPr>
              <w:t xml:space="preserve"> (</w:t>
            </w:r>
            <w:r>
              <w:rPr>
                <w:sz w:val="20"/>
                <w:szCs w:val="20"/>
                <w:lang w:val="en-GB"/>
              </w:rPr>
              <w:t>geometric</w:t>
            </w:r>
            <w:r w:rsidRPr="0026404C">
              <w:rPr>
                <w:sz w:val="20"/>
                <w:szCs w:val="20"/>
                <w:lang w:val="en-GB"/>
              </w:rPr>
              <w:t xml:space="preserve"> mean) [L/kg]</w:t>
            </w:r>
          </w:p>
        </w:tc>
        <w:tc>
          <w:tcPr>
            <w:tcW w:w="1454" w:type="pct"/>
            <w:vAlign w:val="center"/>
          </w:tcPr>
          <w:p w14:paraId="0A61AD96"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392</w:t>
            </w:r>
          </w:p>
        </w:tc>
        <w:tc>
          <w:tcPr>
            <w:tcW w:w="1555" w:type="pct"/>
            <w:shd w:val="clear" w:color="auto" w:fill="auto"/>
            <w:vAlign w:val="center"/>
          </w:tcPr>
          <w:p w14:paraId="604D0C10"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Chapter 8.5.1</w:t>
            </w:r>
          </w:p>
        </w:tc>
      </w:tr>
      <w:tr w:rsidR="00E51CDD" w:rsidRPr="0026404C" w14:paraId="05834E3E" w14:textId="77777777" w:rsidTr="009938D9">
        <w:tc>
          <w:tcPr>
            <w:tcW w:w="1991" w:type="pct"/>
            <w:vAlign w:val="center"/>
          </w:tcPr>
          <w:p w14:paraId="26303E29"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DT</w:t>
            </w:r>
            <w:r w:rsidRPr="0026404C">
              <w:rPr>
                <w:sz w:val="20"/>
                <w:szCs w:val="20"/>
                <w:vertAlign w:val="subscript"/>
                <w:lang w:val="en-GB"/>
              </w:rPr>
              <w:t>50</w:t>
            </w:r>
            <w:r w:rsidRPr="0026404C">
              <w:rPr>
                <w:sz w:val="20"/>
                <w:szCs w:val="20"/>
                <w:lang w:val="en-GB"/>
              </w:rPr>
              <w:t xml:space="preserve"> (soil) (geometric mean) [days]</w:t>
            </w:r>
          </w:p>
        </w:tc>
        <w:tc>
          <w:tcPr>
            <w:tcW w:w="1454" w:type="pct"/>
            <w:vAlign w:val="center"/>
          </w:tcPr>
          <w:p w14:paraId="23CD6C3C"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78</w:t>
            </w:r>
          </w:p>
        </w:tc>
        <w:tc>
          <w:tcPr>
            <w:tcW w:w="1555" w:type="pct"/>
            <w:shd w:val="clear" w:color="auto" w:fill="auto"/>
            <w:vAlign w:val="center"/>
          </w:tcPr>
          <w:p w14:paraId="1ABDFC43" w14:textId="77777777" w:rsidR="00E51CDD" w:rsidRPr="0026404C" w:rsidRDefault="00E51CDD" w:rsidP="009938D9">
            <w:pPr>
              <w:widowControl w:val="0"/>
              <w:suppressAutoHyphens/>
              <w:autoSpaceDE w:val="0"/>
              <w:autoSpaceDN w:val="0"/>
              <w:adjustRightInd w:val="0"/>
              <w:jc w:val="center"/>
              <w:rPr>
                <w:strike/>
                <w:sz w:val="20"/>
                <w:szCs w:val="20"/>
                <w:lang w:val="en-GB"/>
              </w:rPr>
            </w:pPr>
            <w:r w:rsidRPr="0026404C">
              <w:rPr>
                <w:sz w:val="20"/>
                <w:szCs w:val="20"/>
              </w:rPr>
              <w:t>Chapter 8.9</w:t>
            </w:r>
          </w:p>
        </w:tc>
      </w:tr>
      <w:tr w:rsidR="00E51CDD" w:rsidRPr="0026404C" w14:paraId="34E84C19" w14:textId="77777777" w:rsidTr="009938D9">
        <w:tc>
          <w:tcPr>
            <w:tcW w:w="1991" w:type="pct"/>
            <w:vAlign w:val="center"/>
          </w:tcPr>
          <w:p w14:paraId="195D40F8"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Number of applications</w:t>
            </w:r>
          </w:p>
        </w:tc>
        <w:tc>
          <w:tcPr>
            <w:tcW w:w="1454" w:type="pct"/>
            <w:vAlign w:val="center"/>
          </w:tcPr>
          <w:p w14:paraId="29923686"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2</w:t>
            </w:r>
          </w:p>
        </w:tc>
        <w:tc>
          <w:tcPr>
            <w:tcW w:w="1555" w:type="pct"/>
            <w:shd w:val="clear" w:color="auto" w:fill="auto"/>
            <w:vAlign w:val="center"/>
          </w:tcPr>
          <w:p w14:paraId="694270A5" w14:textId="77777777" w:rsidR="00E51CDD" w:rsidRPr="0026404C" w:rsidRDefault="00E51CDD" w:rsidP="009938D9">
            <w:pPr>
              <w:widowControl w:val="0"/>
              <w:numPr>
                <w:ilvl w:val="12"/>
                <w:numId w:val="0"/>
              </w:numPr>
              <w:tabs>
                <w:tab w:val="left" w:pos="720"/>
              </w:tabs>
              <w:suppressAutoHyphens/>
              <w:autoSpaceDE w:val="0"/>
              <w:autoSpaceDN w:val="0"/>
              <w:adjustRightInd w:val="0"/>
              <w:jc w:val="center"/>
              <w:rPr>
                <w:sz w:val="20"/>
                <w:szCs w:val="20"/>
                <w:lang w:val="en-GB"/>
              </w:rPr>
            </w:pPr>
            <w:r w:rsidRPr="0026404C">
              <w:rPr>
                <w:sz w:val="20"/>
                <w:szCs w:val="20"/>
                <w:lang w:val="en-GB"/>
              </w:rPr>
              <w:t>Chapter 9.1</w:t>
            </w:r>
          </w:p>
        </w:tc>
      </w:tr>
      <w:tr w:rsidR="00E51CDD" w:rsidRPr="0026404C" w14:paraId="41F67EF0" w14:textId="77777777" w:rsidTr="009938D9">
        <w:tc>
          <w:tcPr>
            <w:tcW w:w="1991" w:type="pct"/>
            <w:vAlign w:val="center"/>
          </w:tcPr>
          <w:p w14:paraId="4EBC32F9"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Interval [days]</w:t>
            </w:r>
          </w:p>
        </w:tc>
        <w:tc>
          <w:tcPr>
            <w:tcW w:w="1454" w:type="pct"/>
            <w:vAlign w:val="center"/>
          </w:tcPr>
          <w:p w14:paraId="24FC56C5"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21</w:t>
            </w:r>
          </w:p>
        </w:tc>
        <w:tc>
          <w:tcPr>
            <w:tcW w:w="1555" w:type="pct"/>
            <w:shd w:val="clear" w:color="auto" w:fill="auto"/>
            <w:vAlign w:val="center"/>
          </w:tcPr>
          <w:p w14:paraId="7F999503" w14:textId="77777777" w:rsidR="00E51CDD" w:rsidRPr="0026404C" w:rsidRDefault="00E51CDD" w:rsidP="009938D9">
            <w:pPr>
              <w:widowControl w:val="0"/>
              <w:numPr>
                <w:ilvl w:val="12"/>
                <w:numId w:val="0"/>
              </w:numPr>
              <w:tabs>
                <w:tab w:val="left" w:pos="720"/>
              </w:tabs>
              <w:suppressAutoHyphens/>
              <w:autoSpaceDE w:val="0"/>
              <w:autoSpaceDN w:val="0"/>
              <w:adjustRightInd w:val="0"/>
              <w:jc w:val="center"/>
              <w:rPr>
                <w:sz w:val="20"/>
                <w:szCs w:val="20"/>
                <w:lang w:val="en-GB"/>
              </w:rPr>
            </w:pPr>
            <w:r w:rsidRPr="0026404C">
              <w:rPr>
                <w:sz w:val="20"/>
                <w:szCs w:val="20"/>
                <w:lang w:val="en-GB"/>
              </w:rPr>
              <w:t>Chapter 9.1</w:t>
            </w:r>
          </w:p>
        </w:tc>
      </w:tr>
      <w:tr w:rsidR="00E51CDD" w:rsidRPr="0026404C" w14:paraId="0CB6692D" w14:textId="77777777" w:rsidTr="009938D9">
        <w:tc>
          <w:tcPr>
            <w:tcW w:w="1991" w:type="pct"/>
            <w:vAlign w:val="center"/>
          </w:tcPr>
          <w:p w14:paraId="287097ED"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MAF</w:t>
            </w:r>
            <w:r w:rsidRPr="0026404C">
              <w:rPr>
                <w:sz w:val="20"/>
                <w:szCs w:val="20"/>
                <w:vertAlign w:val="subscript"/>
                <w:lang w:val="en-GB"/>
              </w:rPr>
              <w:t>m</w:t>
            </w:r>
            <w:r w:rsidRPr="0026404C">
              <w:rPr>
                <w:sz w:val="20"/>
                <w:szCs w:val="20"/>
                <w:lang w:val="en-GB"/>
              </w:rPr>
              <w:t> </w:t>
            </w:r>
            <w:r>
              <w:rPr>
                <w:sz w:val="20"/>
                <w:szCs w:val="20"/>
                <w:vertAlign w:val="superscript"/>
                <w:lang w:val="en-GB"/>
              </w:rPr>
              <w:t>1</w:t>
            </w:r>
            <w:r w:rsidRPr="0026404C">
              <w:rPr>
                <w:sz w:val="20"/>
                <w:szCs w:val="20"/>
                <w:vertAlign w:val="superscript"/>
                <w:lang w:val="en-GB"/>
              </w:rPr>
              <w:t>)</w:t>
            </w:r>
          </w:p>
        </w:tc>
        <w:tc>
          <w:tcPr>
            <w:tcW w:w="1454" w:type="pct"/>
            <w:vAlign w:val="center"/>
          </w:tcPr>
          <w:p w14:paraId="028137AB"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1.</w:t>
            </w:r>
            <w:r>
              <w:rPr>
                <w:sz w:val="20"/>
                <w:szCs w:val="20"/>
                <w:lang w:val="en-GB"/>
              </w:rPr>
              <w:t>83</w:t>
            </w:r>
          </w:p>
        </w:tc>
        <w:tc>
          <w:tcPr>
            <w:tcW w:w="1555" w:type="pct"/>
            <w:shd w:val="clear" w:color="auto" w:fill="auto"/>
            <w:vAlign w:val="center"/>
          </w:tcPr>
          <w:p w14:paraId="3241430F" w14:textId="77777777" w:rsidR="00E51CDD" w:rsidRPr="0026404C" w:rsidRDefault="00E51CDD" w:rsidP="009938D9">
            <w:pPr>
              <w:widowControl w:val="0"/>
              <w:numPr>
                <w:ilvl w:val="12"/>
                <w:numId w:val="0"/>
              </w:numPr>
              <w:tabs>
                <w:tab w:val="left" w:pos="720"/>
              </w:tabs>
              <w:suppressAutoHyphens/>
              <w:autoSpaceDE w:val="0"/>
              <w:autoSpaceDN w:val="0"/>
              <w:adjustRightInd w:val="0"/>
              <w:jc w:val="center"/>
              <w:rPr>
                <w:sz w:val="20"/>
                <w:szCs w:val="20"/>
                <w:lang w:val="en-GB"/>
              </w:rPr>
            </w:pPr>
            <w:r w:rsidRPr="0026404C">
              <w:rPr>
                <w:sz w:val="20"/>
                <w:szCs w:val="20"/>
                <w:lang w:val="en-GB"/>
              </w:rPr>
              <w:t>--</w:t>
            </w:r>
          </w:p>
        </w:tc>
      </w:tr>
      <w:tr w:rsidR="00E51CDD" w:rsidRPr="0026404C" w14:paraId="0588034F" w14:textId="77777777" w:rsidTr="009938D9">
        <w:tc>
          <w:tcPr>
            <w:tcW w:w="1991" w:type="pct"/>
            <w:vAlign w:val="center"/>
          </w:tcPr>
          <w:p w14:paraId="4CED9BD8"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Max use rate [g/ha]</w:t>
            </w:r>
          </w:p>
        </w:tc>
        <w:tc>
          <w:tcPr>
            <w:tcW w:w="1454" w:type="pct"/>
            <w:vAlign w:val="center"/>
          </w:tcPr>
          <w:p w14:paraId="528085A9"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1</w:t>
            </w:r>
            <w:r w:rsidRPr="0026404C">
              <w:rPr>
                <w:sz w:val="20"/>
                <w:szCs w:val="20"/>
                <w:lang w:val="en-GB"/>
              </w:rPr>
              <w:t>50</w:t>
            </w:r>
          </w:p>
        </w:tc>
        <w:tc>
          <w:tcPr>
            <w:tcW w:w="1555" w:type="pct"/>
            <w:shd w:val="clear" w:color="auto" w:fill="auto"/>
            <w:vAlign w:val="center"/>
          </w:tcPr>
          <w:p w14:paraId="27947638"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Chapter 9.1</w:t>
            </w:r>
          </w:p>
        </w:tc>
      </w:tr>
      <w:tr w:rsidR="00E51CDD" w:rsidRPr="0026404C" w14:paraId="5492EB90" w14:textId="77777777" w:rsidTr="009938D9">
        <w:tc>
          <w:tcPr>
            <w:tcW w:w="1991" w:type="pct"/>
            <w:vAlign w:val="center"/>
          </w:tcPr>
          <w:p w14:paraId="4DF3B3AF"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AR</w:t>
            </w:r>
            <w:r w:rsidRPr="0026404C">
              <w:rPr>
                <w:sz w:val="20"/>
                <w:szCs w:val="20"/>
                <w:vertAlign w:val="subscript"/>
                <w:lang w:val="en-GB"/>
              </w:rPr>
              <w:t>eff</w:t>
            </w:r>
            <w:r w:rsidRPr="0026404C">
              <w:rPr>
                <w:sz w:val="20"/>
                <w:szCs w:val="20"/>
                <w:lang w:val="en-GB"/>
              </w:rPr>
              <w:t xml:space="preserve"> [g/ha] </w:t>
            </w:r>
            <w:r>
              <w:rPr>
                <w:sz w:val="20"/>
                <w:szCs w:val="20"/>
                <w:vertAlign w:val="superscript"/>
                <w:lang w:val="en-GB"/>
              </w:rPr>
              <w:t>2</w:t>
            </w:r>
            <w:r w:rsidRPr="0026404C">
              <w:rPr>
                <w:sz w:val="20"/>
                <w:szCs w:val="20"/>
                <w:vertAlign w:val="superscript"/>
                <w:lang w:val="en-GB"/>
              </w:rPr>
              <w:t>)</w:t>
            </w:r>
          </w:p>
        </w:tc>
        <w:tc>
          <w:tcPr>
            <w:tcW w:w="1454" w:type="pct"/>
            <w:vAlign w:val="center"/>
          </w:tcPr>
          <w:p w14:paraId="19410D14"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274.5</w:t>
            </w:r>
          </w:p>
        </w:tc>
        <w:tc>
          <w:tcPr>
            <w:tcW w:w="1555" w:type="pct"/>
            <w:shd w:val="clear" w:color="auto" w:fill="auto"/>
            <w:vAlign w:val="center"/>
          </w:tcPr>
          <w:p w14:paraId="6F9F7D32"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w:t>
            </w:r>
          </w:p>
        </w:tc>
      </w:tr>
      <w:tr w:rsidR="00E51CDD" w:rsidRPr="0026404C" w14:paraId="2895714F" w14:textId="77777777" w:rsidTr="009938D9">
        <w:tc>
          <w:tcPr>
            <w:tcW w:w="1991" w:type="pct"/>
            <w:vAlign w:val="center"/>
          </w:tcPr>
          <w:p w14:paraId="2363CBA8"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LD</w:t>
            </w:r>
            <w:r w:rsidRPr="0026404C">
              <w:rPr>
                <w:sz w:val="20"/>
                <w:szCs w:val="20"/>
                <w:vertAlign w:val="subscript"/>
                <w:lang w:val="en-GB"/>
              </w:rPr>
              <w:t>50</w:t>
            </w:r>
            <w:r w:rsidRPr="0026404C">
              <w:rPr>
                <w:sz w:val="20"/>
                <w:szCs w:val="20"/>
                <w:lang w:val="en-GB"/>
              </w:rPr>
              <w:t xml:space="preserve"> [mg/kg b.w.]</w:t>
            </w:r>
          </w:p>
        </w:tc>
        <w:tc>
          <w:tcPr>
            <w:tcW w:w="1454" w:type="pct"/>
            <w:vAlign w:val="center"/>
          </w:tcPr>
          <w:p w14:paraId="4688A56D"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&gt;</w:t>
            </w:r>
            <w:r>
              <w:rPr>
                <w:sz w:val="20"/>
                <w:szCs w:val="20"/>
                <w:lang w:val="en-GB"/>
              </w:rPr>
              <w:t> 5</w:t>
            </w:r>
            <w:r w:rsidRPr="0026404C">
              <w:rPr>
                <w:sz w:val="20"/>
                <w:szCs w:val="20"/>
                <w:lang w:val="en-GB"/>
              </w:rPr>
              <w:t>000</w:t>
            </w:r>
          </w:p>
        </w:tc>
        <w:tc>
          <w:tcPr>
            <w:tcW w:w="1555" w:type="pct"/>
            <w:shd w:val="clear" w:color="auto" w:fill="auto"/>
            <w:vAlign w:val="center"/>
          </w:tcPr>
          <w:p w14:paraId="033F25B0"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Chapter 9.3.1</w:t>
            </w:r>
          </w:p>
        </w:tc>
      </w:tr>
      <w:tr w:rsidR="00E51CDD" w:rsidRPr="0026404C" w14:paraId="41268494" w14:textId="77777777" w:rsidTr="009938D9">
        <w:tc>
          <w:tcPr>
            <w:tcW w:w="1991" w:type="pct"/>
            <w:vAlign w:val="center"/>
          </w:tcPr>
          <w:p w14:paraId="0828A92A"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Ratio (acute) </w:t>
            </w:r>
            <w:r>
              <w:rPr>
                <w:sz w:val="20"/>
                <w:szCs w:val="20"/>
                <w:vertAlign w:val="superscript"/>
                <w:lang w:val="en-GB"/>
              </w:rPr>
              <w:t>3</w:t>
            </w:r>
            <w:r w:rsidRPr="0026404C">
              <w:rPr>
                <w:sz w:val="20"/>
                <w:szCs w:val="20"/>
                <w:vertAlign w:val="superscript"/>
                <w:lang w:val="en-GB"/>
              </w:rPr>
              <w:t>)</w:t>
            </w:r>
          </w:p>
        </w:tc>
        <w:tc>
          <w:tcPr>
            <w:tcW w:w="1454" w:type="pct"/>
            <w:vAlign w:val="center"/>
          </w:tcPr>
          <w:p w14:paraId="1AEE62FD"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lang w:val="en-GB"/>
              </w:rPr>
              <w:t>&lt;</w:t>
            </w:r>
            <w:r>
              <w:rPr>
                <w:sz w:val="20"/>
                <w:szCs w:val="20"/>
                <w:lang w:val="en-GB"/>
              </w:rPr>
              <w:t> </w:t>
            </w:r>
            <w:r w:rsidRPr="0026404C">
              <w:rPr>
                <w:sz w:val="20"/>
                <w:szCs w:val="20"/>
                <w:lang w:val="en-GB"/>
              </w:rPr>
              <w:t>0.05</w:t>
            </w:r>
          </w:p>
        </w:tc>
        <w:tc>
          <w:tcPr>
            <w:tcW w:w="1555" w:type="pct"/>
            <w:shd w:val="clear" w:color="auto" w:fill="auto"/>
            <w:vAlign w:val="center"/>
          </w:tcPr>
          <w:p w14:paraId="46583643"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w:t>
            </w:r>
          </w:p>
        </w:tc>
      </w:tr>
      <w:tr w:rsidR="00E51CDD" w:rsidRPr="0026404C" w14:paraId="5002E3EE" w14:textId="77777777" w:rsidTr="009938D9">
        <w:tc>
          <w:tcPr>
            <w:tcW w:w="1991" w:type="pct"/>
            <w:vAlign w:val="center"/>
          </w:tcPr>
          <w:p w14:paraId="7DB8EC3E"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NO(A)EL [mg/kg b.w./d]</w:t>
            </w:r>
          </w:p>
        </w:tc>
        <w:tc>
          <w:tcPr>
            <w:tcW w:w="1454" w:type="pct"/>
            <w:vAlign w:val="center"/>
          </w:tcPr>
          <w:p w14:paraId="3A4BF57E"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32</w:t>
            </w:r>
          </w:p>
        </w:tc>
        <w:tc>
          <w:tcPr>
            <w:tcW w:w="1555" w:type="pct"/>
            <w:shd w:val="clear" w:color="auto" w:fill="auto"/>
            <w:vAlign w:val="center"/>
          </w:tcPr>
          <w:p w14:paraId="0F15BD11"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Chapter 9.3.1</w:t>
            </w:r>
          </w:p>
        </w:tc>
      </w:tr>
      <w:tr w:rsidR="00E51CDD" w:rsidRPr="0026404C" w14:paraId="0D1A6FCC" w14:textId="77777777" w:rsidTr="009938D9">
        <w:tc>
          <w:tcPr>
            <w:tcW w:w="1991" w:type="pct"/>
            <w:vAlign w:val="center"/>
          </w:tcPr>
          <w:p w14:paraId="19EF087D"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lang w:val="en-GB"/>
              </w:rPr>
              <w:t>Ratio (repro) </w:t>
            </w:r>
            <w:r>
              <w:rPr>
                <w:sz w:val="20"/>
                <w:szCs w:val="20"/>
                <w:vertAlign w:val="superscript"/>
                <w:lang w:val="en-GB"/>
              </w:rPr>
              <w:t>3</w:t>
            </w:r>
            <w:r w:rsidRPr="0026404C">
              <w:rPr>
                <w:sz w:val="20"/>
                <w:szCs w:val="20"/>
                <w:vertAlign w:val="superscript"/>
                <w:lang w:val="en-GB"/>
              </w:rPr>
              <w:t>)</w:t>
            </w:r>
          </w:p>
        </w:tc>
        <w:tc>
          <w:tcPr>
            <w:tcW w:w="1454" w:type="pct"/>
            <w:vAlign w:val="center"/>
          </w:tcPr>
          <w:p w14:paraId="022573E3" w14:textId="77777777" w:rsidR="00E51CDD" w:rsidRPr="0026404C" w:rsidRDefault="00E51CDD" w:rsidP="009938D9">
            <w:pPr>
              <w:widowControl w:val="0"/>
              <w:numPr>
                <w:ilvl w:val="12"/>
                <w:numId w:val="0"/>
              </w:numPr>
              <w:suppressAutoHyphens/>
              <w:jc w:val="center"/>
              <w:rPr>
                <w:sz w:val="20"/>
                <w:szCs w:val="20"/>
                <w:lang w:val="en-GB"/>
              </w:rPr>
            </w:pPr>
            <w:r>
              <w:rPr>
                <w:sz w:val="20"/>
                <w:szCs w:val="20"/>
                <w:lang w:val="en-GB"/>
              </w:rPr>
              <w:t>8.6</w:t>
            </w:r>
          </w:p>
        </w:tc>
        <w:tc>
          <w:tcPr>
            <w:tcW w:w="1555" w:type="pct"/>
            <w:shd w:val="clear" w:color="auto" w:fill="auto"/>
            <w:vAlign w:val="center"/>
          </w:tcPr>
          <w:p w14:paraId="71DB8216"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lang w:val="en-GB"/>
              </w:rPr>
              <w:t>--</w:t>
            </w:r>
          </w:p>
        </w:tc>
      </w:tr>
      <w:tr w:rsidR="00E51CDD" w:rsidRPr="0026404C" w14:paraId="482EEEA4" w14:textId="77777777" w:rsidTr="009938D9">
        <w:tc>
          <w:tcPr>
            <w:tcW w:w="1991" w:type="pct"/>
            <w:vAlign w:val="center"/>
          </w:tcPr>
          <w:p w14:paraId="4A3F9B95"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rPr>
              <w:t>Trigger</w:t>
            </w:r>
          </w:p>
        </w:tc>
        <w:tc>
          <w:tcPr>
            <w:tcW w:w="1454" w:type="pct"/>
          </w:tcPr>
          <w:p w14:paraId="05407EFF" w14:textId="77777777" w:rsidR="00E51CDD" w:rsidRPr="0026404C" w:rsidRDefault="00E51CDD" w:rsidP="009938D9">
            <w:pPr>
              <w:widowControl w:val="0"/>
              <w:numPr>
                <w:ilvl w:val="12"/>
                <w:numId w:val="0"/>
              </w:numPr>
              <w:suppressAutoHyphens/>
              <w:jc w:val="center"/>
              <w:rPr>
                <w:sz w:val="20"/>
                <w:szCs w:val="20"/>
                <w:lang w:val="en-GB"/>
              </w:rPr>
            </w:pPr>
            <w:r>
              <w:rPr>
                <w:sz w:val="20"/>
                <w:szCs w:val="20"/>
              </w:rPr>
              <w:t>50</w:t>
            </w:r>
          </w:p>
        </w:tc>
        <w:tc>
          <w:tcPr>
            <w:tcW w:w="1555" w:type="pct"/>
            <w:shd w:val="clear" w:color="auto" w:fill="auto"/>
            <w:vAlign w:val="center"/>
          </w:tcPr>
          <w:p w14:paraId="1654A447"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rPr>
              <w:t>--</w:t>
            </w:r>
          </w:p>
        </w:tc>
      </w:tr>
      <w:tr w:rsidR="00E51CDD" w:rsidRPr="0026404C" w14:paraId="4D7232AC" w14:textId="77777777" w:rsidTr="009938D9">
        <w:tc>
          <w:tcPr>
            <w:tcW w:w="1991" w:type="pct"/>
            <w:vAlign w:val="center"/>
          </w:tcPr>
          <w:p w14:paraId="4B85E1EB" w14:textId="77777777" w:rsidR="00E51CDD" w:rsidRPr="0026404C" w:rsidRDefault="00E51CDD" w:rsidP="009938D9">
            <w:pPr>
              <w:widowControl w:val="0"/>
              <w:numPr>
                <w:ilvl w:val="12"/>
                <w:numId w:val="0"/>
              </w:numPr>
              <w:tabs>
                <w:tab w:val="left" w:pos="720"/>
              </w:tabs>
              <w:suppressAutoHyphens/>
              <w:rPr>
                <w:sz w:val="20"/>
                <w:szCs w:val="20"/>
              </w:rPr>
            </w:pPr>
            <w:r w:rsidRPr="0026404C">
              <w:rPr>
                <w:sz w:val="20"/>
                <w:szCs w:val="20"/>
              </w:rPr>
              <w:t>Drinking water assessment</w:t>
            </w:r>
          </w:p>
          <w:p w14:paraId="6A38D421" w14:textId="77777777" w:rsidR="00E51CDD" w:rsidRPr="0026404C" w:rsidRDefault="00E51CDD" w:rsidP="009938D9">
            <w:pPr>
              <w:widowControl w:val="0"/>
              <w:numPr>
                <w:ilvl w:val="12"/>
                <w:numId w:val="0"/>
              </w:numPr>
              <w:tabs>
                <w:tab w:val="left" w:pos="720"/>
              </w:tabs>
              <w:suppressAutoHyphens/>
              <w:rPr>
                <w:sz w:val="20"/>
                <w:szCs w:val="20"/>
                <w:lang w:val="en-GB"/>
              </w:rPr>
            </w:pPr>
            <w:r w:rsidRPr="0026404C">
              <w:rPr>
                <w:sz w:val="20"/>
                <w:szCs w:val="20"/>
              </w:rPr>
              <w:t>required [Yes/No]</w:t>
            </w:r>
          </w:p>
        </w:tc>
        <w:tc>
          <w:tcPr>
            <w:tcW w:w="1454" w:type="pct"/>
            <w:vAlign w:val="center"/>
          </w:tcPr>
          <w:p w14:paraId="212ED513" w14:textId="77777777" w:rsidR="00E51CDD" w:rsidRPr="0026404C" w:rsidRDefault="00E51CDD" w:rsidP="009938D9">
            <w:pPr>
              <w:widowControl w:val="0"/>
              <w:numPr>
                <w:ilvl w:val="12"/>
                <w:numId w:val="0"/>
              </w:numPr>
              <w:suppressAutoHyphens/>
              <w:jc w:val="center"/>
              <w:rPr>
                <w:sz w:val="20"/>
                <w:szCs w:val="20"/>
                <w:lang w:val="en-GB"/>
              </w:rPr>
            </w:pPr>
            <w:r w:rsidRPr="0026404C">
              <w:rPr>
                <w:sz w:val="20"/>
                <w:szCs w:val="20"/>
              </w:rPr>
              <w:t>No</w:t>
            </w:r>
          </w:p>
        </w:tc>
        <w:tc>
          <w:tcPr>
            <w:tcW w:w="1555" w:type="pct"/>
            <w:shd w:val="clear" w:color="auto" w:fill="auto"/>
            <w:vAlign w:val="center"/>
          </w:tcPr>
          <w:p w14:paraId="1CB100A3" w14:textId="77777777" w:rsidR="00E51CDD" w:rsidRPr="0026404C" w:rsidRDefault="00E51CDD" w:rsidP="009938D9">
            <w:pPr>
              <w:widowControl w:val="0"/>
              <w:numPr>
                <w:ilvl w:val="12"/>
                <w:numId w:val="0"/>
              </w:numPr>
              <w:tabs>
                <w:tab w:val="left" w:pos="720"/>
              </w:tabs>
              <w:suppressAutoHyphens/>
              <w:jc w:val="center"/>
              <w:rPr>
                <w:sz w:val="20"/>
                <w:szCs w:val="20"/>
                <w:lang w:val="en-GB"/>
              </w:rPr>
            </w:pPr>
            <w:r w:rsidRPr="0026404C">
              <w:rPr>
                <w:sz w:val="20"/>
                <w:szCs w:val="20"/>
              </w:rPr>
              <w:t>--</w:t>
            </w:r>
          </w:p>
        </w:tc>
      </w:tr>
    </w:tbl>
    <w:p w14:paraId="310ED8F0" w14:textId="77777777" w:rsidR="00E51CDD" w:rsidRPr="0026404C" w:rsidRDefault="00E51CDD" w:rsidP="00E51CDD">
      <w:pPr>
        <w:widowControl w:val="0"/>
        <w:tabs>
          <w:tab w:val="left" w:pos="360"/>
          <w:tab w:val="left" w:pos="720"/>
        </w:tabs>
        <w:suppressAutoHyphens/>
        <w:autoSpaceDE w:val="0"/>
        <w:autoSpaceDN w:val="0"/>
        <w:adjustRightInd w:val="0"/>
        <w:ind w:left="284" w:hanging="284"/>
        <w:rPr>
          <w:sz w:val="18"/>
          <w:szCs w:val="18"/>
          <w:lang w:val="en-GB"/>
        </w:rPr>
      </w:pPr>
      <w:r w:rsidRPr="0026404C">
        <w:rPr>
          <w:sz w:val="18"/>
          <w:szCs w:val="18"/>
          <w:vertAlign w:val="superscript"/>
          <w:lang w:val="en-GB"/>
        </w:rPr>
        <w:t>1)</w:t>
      </w:r>
      <w:r w:rsidRPr="0026404C">
        <w:rPr>
          <w:sz w:val="18"/>
          <w:szCs w:val="18"/>
          <w:lang w:val="en-GB"/>
        </w:rPr>
        <w:tab/>
        <w:t>MAF</w:t>
      </w:r>
      <w:r w:rsidRPr="008574D2">
        <w:rPr>
          <w:sz w:val="18"/>
          <w:szCs w:val="18"/>
          <w:vertAlign w:val="subscript"/>
          <w:lang w:val="en-GB"/>
        </w:rPr>
        <w:t>m</w:t>
      </w:r>
      <w:r w:rsidRPr="0026404C">
        <w:rPr>
          <w:sz w:val="18"/>
          <w:szCs w:val="18"/>
          <w:lang w:val="en-GB"/>
        </w:rPr>
        <w:t xml:space="preserve"> = (1-e</w:t>
      </w:r>
      <w:r w:rsidRPr="0026404C">
        <w:rPr>
          <w:sz w:val="18"/>
          <w:szCs w:val="18"/>
          <w:vertAlign w:val="superscript"/>
          <w:lang w:val="en-GB"/>
        </w:rPr>
        <w:t>-nki</w:t>
      </w:r>
      <w:r w:rsidRPr="0026404C">
        <w:rPr>
          <w:sz w:val="18"/>
          <w:szCs w:val="18"/>
          <w:lang w:val="en-GB"/>
        </w:rPr>
        <w:t>) / (1-e</w:t>
      </w:r>
      <w:r w:rsidRPr="0026404C">
        <w:rPr>
          <w:sz w:val="18"/>
          <w:szCs w:val="18"/>
          <w:vertAlign w:val="superscript"/>
          <w:lang w:val="en-GB"/>
        </w:rPr>
        <w:t>-ki</w:t>
      </w:r>
      <w:r w:rsidRPr="0026404C">
        <w:rPr>
          <w:sz w:val="18"/>
          <w:szCs w:val="18"/>
          <w:lang w:val="en-GB"/>
        </w:rPr>
        <w:t>) with k = ln(2)/DT</w:t>
      </w:r>
      <w:r w:rsidRPr="0026404C">
        <w:rPr>
          <w:sz w:val="18"/>
          <w:szCs w:val="18"/>
          <w:vertAlign w:val="subscript"/>
          <w:lang w:val="en-GB"/>
        </w:rPr>
        <w:t>50</w:t>
      </w:r>
      <w:r w:rsidRPr="0026404C">
        <w:rPr>
          <w:sz w:val="18"/>
          <w:szCs w:val="18"/>
          <w:lang w:val="en-GB"/>
        </w:rPr>
        <w:t xml:space="preserve"> (rate constant), n = number of applications and i = application interval [d]</w:t>
      </w:r>
    </w:p>
    <w:p w14:paraId="21A52A9C" w14:textId="77777777" w:rsidR="00E51CDD" w:rsidRPr="0026404C" w:rsidRDefault="00E51CDD" w:rsidP="00E51CDD">
      <w:pPr>
        <w:widowControl w:val="0"/>
        <w:tabs>
          <w:tab w:val="left" w:pos="360"/>
          <w:tab w:val="left" w:pos="720"/>
        </w:tabs>
        <w:suppressAutoHyphens/>
        <w:autoSpaceDE w:val="0"/>
        <w:autoSpaceDN w:val="0"/>
        <w:adjustRightInd w:val="0"/>
        <w:ind w:left="284" w:hanging="284"/>
        <w:rPr>
          <w:sz w:val="18"/>
          <w:szCs w:val="18"/>
          <w:vertAlign w:val="subscript"/>
          <w:lang w:val="en-GB"/>
        </w:rPr>
      </w:pPr>
      <w:r w:rsidRPr="0026404C">
        <w:rPr>
          <w:sz w:val="18"/>
          <w:szCs w:val="18"/>
          <w:vertAlign w:val="superscript"/>
          <w:lang w:val="en-GB"/>
        </w:rPr>
        <w:t>2)</w:t>
      </w:r>
      <w:r w:rsidRPr="0026404C">
        <w:rPr>
          <w:sz w:val="18"/>
          <w:szCs w:val="18"/>
          <w:lang w:val="en-GB"/>
        </w:rPr>
        <w:tab/>
        <w:t>AR</w:t>
      </w:r>
      <w:r w:rsidRPr="0026404C">
        <w:rPr>
          <w:sz w:val="18"/>
          <w:szCs w:val="18"/>
          <w:vertAlign w:val="subscript"/>
          <w:lang w:val="en-GB"/>
        </w:rPr>
        <w:t>eff</w:t>
      </w:r>
      <w:r w:rsidRPr="0026404C">
        <w:rPr>
          <w:sz w:val="18"/>
          <w:szCs w:val="18"/>
          <w:lang w:val="en-GB"/>
        </w:rPr>
        <w:t xml:space="preserve"> = Application rate (g/ha) x MAF</w:t>
      </w:r>
      <w:r w:rsidRPr="0026404C">
        <w:rPr>
          <w:sz w:val="18"/>
          <w:szCs w:val="18"/>
          <w:vertAlign w:val="subscript"/>
          <w:lang w:val="en-GB"/>
        </w:rPr>
        <w:t>m</w:t>
      </w:r>
    </w:p>
    <w:p w14:paraId="586057B8" w14:textId="77777777" w:rsidR="00E51CDD" w:rsidRPr="0026404C" w:rsidRDefault="00E51CDD" w:rsidP="00E51CDD">
      <w:pPr>
        <w:widowControl w:val="0"/>
        <w:tabs>
          <w:tab w:val="left" w:pos="360"/>
          <w:tab w:val="left" w:pos="720"/>
        </w:tabs>
        <w:suppressAutoHyphens/>
        <w:autoSpaceDE w:val="0"/>
        <w:autoSpaceDN w:val="0"/>
        <w:adjustRightInd w:val="0"/>
        <w:ind w:left="284" w:hanging="284"/>
        <w:rPr>
          <w:sz w:val="18"/>
          <w:szCs w:val="18"/>
          <w:lang w:val="en-GB"/>
        </w:rPr>
      </w:pPr>
      <w:r w:rsidRPr="0026404C">
        <w:rPr>
          <w:sz w:val="18"/>
          <w:szCs w:val="18"/>
          <w:vertAlign w:val="superscript"/>
          <w:lang w:val="en-GB"/>
        </w:rPr>
        <w:t>3)</w:t>
      </w:r>
      <w:r w:rsidRPr="0026404C">
        <w:rPr>
          <w:sz w:val="18"/>
          <w:szCs w:val="18"/>
          <w:lang w:val="en-GB"/>
        </w:rPr>
        <w:tab/>
        <w:t>Ratio of AR</w:t>
      </w:r>
      <w:r w:rsidRPr="0026404C">
        <w:rPr>
          <w:sz w:val="18"/>
          <w:szCs w:val="18"/>
          <w:vertAlign w:val="subscript"/>
          <w:lang w:val="en-GB"/>
        </w:rPr>
        <w:t>eff</w:t>
      </w:r>
      <w:r w:rsidRPr="0026404C">
        <w:rPr>
          <w:sz w:val="18"/>
          <w:szCs w:val="18"/>
          <w:lang w:val="en-GB"/>
        </w:rPr>
        <w:t xml:space="preserve"> and relevant toxicity endpoint</w:t>
      </w:r>
    </w:p>
    <w:p w14:paraId="03121EC4" w14:textId="77777777" w:rsidR="00E51CDD" w:rsidRDefault="00E51CDD" w:rsidP="00E51CDD">
      <w:pPr>
        <w:rPr>
          <w:lang w:val="en-GB"/>
        </w:rPr>
      </w:pPr>
    </w:p>
    <w:p w14:paraId="6932EE69" w14:textId="77777777" w:rsidR="00E51CDD" w:rsidRPr="0026404C" w:rsidRDefault="00E51CDD" w:rsidP="00E51CDD">
      <w:pPr>
        <w:rPr>
          <w:lang w:val="en-GB"/>
        </w:rPr>
      </w:pPr>
    </w:p>
    <w:p w14:paraId="5377F8AC" w14:textId="77777777" w:rsidR="00030C20" w:rsidRDefault="00E51CDD" w:rsidP="00E51CDD">
      <w:pPr>
        <w:widowControl w:val="0"/>
        <w:tabs>
          <w:tab w:val="left" w:pos="0"/>
        </w:tabs>
        <w:jc w:val="both"/>
        <w:rPr>
          <w:lang w:val="en-GB"/>
        </w:rPr>
      </w:pPr>
      <w:r w:rsidRPr="0026404C">
        <w:rPr>
          <w:noProof/>
          <w:lang w:val="en-GB"/>
        </w:rPr>
        <w:t>In conclusion, the risk to mammals via drinking water from the intended use of BAS 7</w:t>
      </w:r>
      <w:r>
        <w:rPr>
          <w:noProof/>
          <w:lang w:val="en-GB"/>
        </w:rPr>
        <w:t>36</w:t>
      </w:r>
      <w:r w:rsidRPr="0026404C">
        <w:rPr>
          <w:noProof/>
          <w:lang w:val="en-GB"/>
        </w:rPr>
        <w:t xml:space="preserve"> 00 F </w:t>
      </w:r>
      <w:r w:rsidRPr="0026404C">
        <w:rPr>
          <w:lang w:val="en-GB"/>
        </w:rPr>
        <w:t>according to the proposed use pattern is acceptable.</w:t>
      </w:r>
    </w:p>
    <w:p w14:paraId="15799385" w14:textId="77777777" w:rsidR="00E51CDD" w:rsidRPr="002B1114" w:rsidRDefault="00E51CDD" w:rsidP="00E51CDD">
      <w:pPr>
        <w:pStyle w:val="Nagwek4"/>
        <w:rPr>
          <w:lang w:val="en-GB"/>
        </w:rPr>
      </w:pPr>
      <w:bookmarkStart w:id="401" w:name="_Toc412643989"/>
      <w:bookmarkStart w:id="402" w:name="_Toc413916835"/>
      <w:bookmarkStart w:id="403" w:name="_Toc413916977"/>
      <w:bookmarkStart w:id="404" w:name="_Toc413922038"/>
      <w:bookmarkStart w:id="405" w:name="_Toc413922527"/>
      <w:bookmarkStart w:id="406" w:name="_Toc413922631"/>
      <w:bookmarkStart w:id="407" w:name="_Toc414955268"/>
      <w:bookmarkStart w:id="408" w:name="_Toc415214575"/>
      <w:bookmarkStart w:id="409" w:name="_Toc125446418"/>
      <w:r w:rsidRPr="002B1114">
        <w:rPr>
          <w:lang w:val="en-GB"/>
        </w:rPr>
        <w:t>Effects of secondary poisoning</w:t>
      </w:r>
      <w:bookmarkEnd w:id="401"/>
      <w:bookmarkEnd w:id="402"/>
      <w:bookmarkEnd w:id="403"/>
      <w:bookmarkEnd w:id="404"/>
      <w:bookmarkEnd w:id="405"/>
      <w:bookmarkEnd w:id="406"/>
      <w:bookmarkEnd w:id="407"/>
      <w:bookmarkEnd w:id="408"/>
      <w:bookmarkEnd w:id="409"/>
    </w:p>
    <w:p w14:paraId="741D11C8" w14:textId="77777777" w:rsidR="00E51CDD" w:rsidRDefault="00E51CDD" w:rsidP="00E51CDD">
      <w:pPr>
        <w:jc w:val="both"/>
      </w:pPr>
      <w:r w:rsidRPr="0026404C">
        <w:rPr>
          <w:szCs w:val="24"/>
        </w:rPr>
        <w:t>The log P</w:t>
      </w:r>
      <w:r w:rsidRPr="0026404C">
        <w:rPr>
          <w:szCs w:val="24"/>
          <w:vertAlign w:val="subscript"/>
        </w:rPr>
        <w:t>ow</w:t>
      </w:r>
      <w:r w:rsidRPr="0026404C">
        <w:rPr>
          <w:szCs w:val="24"/>
        </w:rPr>
        <w:t xml:space="preserve"> of the active substance</w:t>
      </w:r>
      <w:r w:rsidRPr="0026404C">
        <w:rPr>
          <w:szCs w:val="24"/>
          <w:lang w:eastAsia="en-US"/>
        </w:rPr>
        <w:t xml:space="preserve"> </w:t>
      </w:r>
      <w:r w:rsidRPr="0026404C">
        <w:rPr>
          <w:szCs w:val="24"/>
        </w:rPr>
        <w:t>fluxapyroxad is 3.1 (</w:t>
      </w:r>
      <w:r w:rsidRPr="0026404C">
        <w:t>BASF DocID 2007/1057001</w:t>
      </w:r>
      <w:r w:rsidRPr="0026404C">
        <w:rPr>
          <w:szCs w:val="24"/>
        </w:rPr>
        <w:t xml:space="preserve">), </w:t>
      </w:r>
      <w:r w:rsidRPr="0026404C">
        <w:t>which triggers an assessment of the potential risk from secondary poisoning.</w:t>
      </w:r>
    </w:p>
    <w:p w14:paraId="1A4015E7" w14:textId="77777777" w:rsidR="00E51CDD" w:rsidRDefault="00E51CDD" w:rsidP="00E51CDD">
      <w:pPr>
        <w:jc w:val="both"/>
      </w:pPr>
    </w:p>
    <w:p w14:paraId="2794F64B" w14:textId="77777777" w:rsidR="00E51CDD" w:rsidRPr="00FC505F" w:rsidRDefault="00E51CDD" w:rsidP="00E51CDD">
      <w:pPr>
        <w:pStyle w:val="RepStandard"/>
      </w:pPr>
      <w:r w:rsidRPr="00FC505F">
        <w:t>The log P</w:t>
      </w:r>
      <w:r w:rsidRPr="00FC505F">
        <w:rPr>
          <w:vertAlign w:val="subscript"/>
        </w:rPr>
        <w:t>ow</w:t>
      </w:r>
      <w:r w:rsidRPr="00FC505F">
        <w:t xml:space="preserve"> of azoxystrobin is 2.5</w:t>
      </w:r>
      <w:r>
        <w:t xml:space="preserve"> (EFSA Journal 2010; 8(4):1542)</w:t>
      </w:r>
      <w:r w:rsidRPr="00FC505F">
        <w:t xml:space="preserve"> and thus does not exceed the trigger value of 3. A risk assessment for effects due to secondary poisoning is not required.</w:t>
      </w:r>
    </w:p>
    <w:p w14:paraId="18B957A4" w14:textId="77777777" w:rsidR="00E51CDD" w:rsidRPr="0013132C" w:rsidRDefault="00E51CDD" w:rsidP="00E51CDD">
      <w:pPr>
        <w:jc w:val="both"/>
        <w:rPr>
          <w:lang w:val="en-GB"/>
        </w:rPr>
      </w:pPr>
    </w:p>
    <w:p w14:paraId="1963F17E" w14:textId="77777777" w:rsidR="00E51CDD" w:rsidRPr="002B1114" w:rsidRDefault="00E51CDD" w:rsidP="00E51CDD">
      <w:pPr>
        <w:pStyle w:val="RepNewPart"/>
      </w:pPr>
      <w:r w:rsidRPr="002B1114">
        <w:t>Risk assessment for earthworm-eating mammals via secondary poisoning</w:t>
      </w:r>
    </w:p>
    <w:p w14:paraId="2A342A1E" w14:textId="77777777" w:rsidR="00E51CDD" w:rsidRPr="0026404C" w:rsidRDefault="00E51CDD" w:rsidP="00E51CDD">
      <w:pPr>
        <w:widowControl w:val="0"/>
        <w:jc w:val="both"/>
        <w:rPr>
          <w:lang w:val="en-GB"/>
        </w:rPr>
      </w:pPr>
      <w:r w:rsidRPr="0026404C">
        <w:rPr>
          <w:lang w:val="en-GB"/>
        </w:rPr>
        <w:t>According to EFSA/2009/1438, the risk for vermivorous mammals is assessed for a small mammal of 10 g body weight with a daily food consumption of 12.8 g. Bioaccumulation in earthworms is estimated based on predicted concentrations in soil.</w:t>
      </w:r>
    </w:p>
    <w:p w14:paraId="2E409558" w14:textId="77777777" w:rsidR="00E51CDD" w:rsidRPr="0026404C" w:rsidRDefault="00E51CDD" w:rsidP="00E51CDD">
      <w:pPr>
        <w:widowControl w:val="0"/>
        <w:jc w:val="both"/>
        <w:rPr>
          <w:lang w:val="en-GB"/>
        </w:rPr>
      </w:pPr>
    </w:p>
    <w:p w14:paraId="7EAE1FA4" w14:textId="07F01A13" w:rsidR="00E51CDD" w:rsidRPr="00DC512F" w:rsidRDefault="00E51CDD" w:rsidP="00E51CDD">
      <w:pPr>
        <w:widowControl w:val="0"/>
        <w:jc w:val="both"/>
        <w:rPr>
          <w:color w:val="000000" w:themeColor="text1"/>
          <w:lang w:val="en-GB"/>
        </w:rPr>
      </w:pPr>
      <w:r w:rsidRPr="00DC512F">
        <w:rPr>
          <w:color w:val="000000" w:themeColor="text1"/>
          <w:lang w:val="en-GB"/>
        </w:rPr>
        <w:t xml:space="preserve">As shown in the following </w:t>
      </w:r>
      <w:r w:rsidRPr="00DC512F">
        <w:rPr>
          <w:color w:val="000000" w:themeColor="text1"/>
          <w:lang w:val="en-GB"/>
        </w:rPr>
        <w:fldChar w:fldCharType="begin"/>
      </w:r>
      <w:r w:rsidRPr="00DC512F">
        <w:rPr>
          <w:color w:val="000000" w:themeColor="text1"/>
          <w:lang w:val="en-GB"/>
        </w:rPr>
        <w:instrText xml:space="preserve"> REF _Ref39845653 \h  \* MERGEFORMAT </w:instrText>
      </w:r>
      <w:r w:rsidRPr="00DC512F">
        <w:rPr>
          <w:color w:val="000000" w:themeColor="text1"/>
          <w:lang w:val="en-GB"/>
        </w:rPr>
      </w:r>
      <w:r w:rsidRPr="00DC512F">
        <w:rPr>
          <w:color w:val="000000" w:themeColor="text1"/>
          <w:lang w:val="en-GB"/>
        </w:rPr>
        <w:fldChar w:fldCharType="separate"/>
      </w:r>
      <w:r w:rsidR="00662F32" w:rsidRPr="00662F32">
        <w:rPr>
          <w:color w:val="000000" w:themeColor="text1"/>
          <w:lang w:val="en-GB"/>
        </w:rPr>
        <w:t xml:space="preserve">Table </w:t>
      </w:r>
      <w:r w:rsidR="00662F32" w:rsidRPr="00662F32">
        <w:rPr>
          <w:noProof/>
          <w:color w:val="000000" w:themeColor="text1"/>
          <w:lang w:val="en-GB"/>
        </w:rPr>
        <w:t>9.3</w:t>
      </w:r>
      <w:r w:rsidR="00662F32" w:rsidRPr="00662F32">
        <w:rPr>
          <w:noProof/>
          <w:color w:val="000000" w:themeColor="text1"/>
          <w:lang w:val="en-GB"/>
        </w:rPr>
        <w:noBreakHyphen/>
        <w:t>19</w:t>
      </w:r>
      <w:r w:rsidRPr="00DC512F">
        <w:rPr>
          <w:color w:val="000000" w:themeColor="text1"/>
          <w:lang w:val="en-GB"/>
        </w:rPr>
        <w:fldChar w:fldCharType="end"/>
      </w:r>
      <w:r w:rsidRPr="00DC512F">
        <w:rPr>
          <w:color w:val="000000" w:themeColor="text1"/>
          <w:lang w:val="en-GB"/>
        </w:rPr>
        <w:t>, the TER</w:t>
      </w:r>
      <w:r w:rsidRPr="00DC512F">
        <w:rPr>
          <w:color w:val="000000" w:themeColor="text1"/>
          <w:vertAlign w:val="subscript"/>
          <w:lang w:val="en-GB"/>
        </w:rPr>
        <w:t>LT</w:t>
      </w:r>
      <w:r w:rsidRPr="00DC512F">
        <w:rPr>
          <w:color w:val="000000" w:themeColor="text1"/>
          <w:lang w:val="en-GB"/>
        </w:rPr>
        <w:t xml:space="preserve"> for fluxapyroxad exceeds the relevant trigger of 5 for acceptability of effects, indicating an acceptable risk to earthworm-eating mammals via secondary poisoning. </w:t>
      </w:r>
    </w:p>
    <w:p w14:paraId="7900CC23" w14:textId="5759C7A8" w:rsidR="00E51CDD" w:rsidRPr="00DC512F" w:rsidRDefault="00E51CDD" w:rsidP="00E51CDD">
      <w:pPr>
        <w:keepNext/>
        <w:keepLines/>
        <w:widowControl w:val="0"/>
        <w:tabs>
          <w:tab w:val="left" w:pos="1980"/>
        </w:tabs>
        <w:spacing w:before="200" w:after="120"/>
        <w:ind w:left="1980" w:hanging="1980"/>
        <w:jc w:val="both"/>
        <w:rPr>
          <w:b/>
          <w:bCs/>
          <w:color w:val="000000" w:themeColor="text1"/>
          <w:lang w:val="en-GB"/>
        </w:rPr>
      </w:pPr>
      <w:bookmarkStart w:id="410" w:name="_Ref39845653"/>
      <w:r w:rsidRPr="00DC512F">
        <w:rPr>
          <w:b/>
          <w:bCs/>
          <w:color w:val="000000" w:themeColor="text1"/>
          <w:lang w:val="en-GB"/>
        </w:rPr>
        <w:t xml:space="preserve">Table </w:t>
      </w:r>
      <w:r w:rsidRPr="00DC512F">
        <w:rPr>
          <w:b/>
          <w:bCs/>
          <w:color w:val="000000" w:themeColor="text1"/>
          <w:lang w:val="en-GB"/>
        </w:rPr>
        <w:fldChar w:fldCharType="begin"/>
      </w:r>
      <w:r w:rsidRPr="00DC512F">
        <w:rPr>
          <w:b/>
          <w:bCs/>
          <w:color w:val="000000" w:themeColor="text1"/>
          <w:lang w:val="en-GB"/>
        </w:rPr>
        <w:instrText xml:space="preserve"> STYLEREF 2 \s </w:instrText>
      </w:r>
      <w:r w:rsidRPr="00DC512F">
        <w:rPr>
          <w:b/>
          <w:bCs/>
          <w:color w:val="000000" w:themeColor="text1"/>
          <w:lang w:val="en-GB"/>
        </w:rPr>
        <w:fldChar w:fldCharType="separate"/>
      </w:r>
      <w:r w:rsidR="00662F32">
        <w:rPr>
          <w:b/>
          <w:bCs/>
          <w:noProof/>
          <w:color w:val="000000" w:themeColor="text1"/>
          <w:lang w:val="en-GB"/>
        </w:rPr>
        <w:t>9.3</w:t>
      </w:r>
      <w:r w:rsidRPr="00DC512F">
        <w:rPr>
          <w:b/>
          <w:bCs/>
          <w:color w:val="000000" w:themeColor="text1"/>
          <w:lang w:val="en-GB"/>
        </w:rPr>
        <w:fldChar w:fldCharType="end"/>
      </w:r>
      <w:r w:rsidRPr="00DC512F">
        <w:rPr>
          <w:b/>
          <w:bCs/>
          <w:color w:val="000000" w:themeColor="text1"/>
          <w:lang w:val="en-GB"/>
        </w:rPr>
        <w:noBreakHyphen/>
      </w:r>
      <w:r w:rsidRPr="00DC512F">
        <w:rPr>
          <w:b/>
          <w:bCs/>
          <w:color w:val="000000" w:themeColor="text1"/>
          <w:lang w:val="en-GB"/>
        </w:rPr>
        <w:fldChar w:fldCharType="begin"/>
      </w:r>
      <w:r w:rsidRPr="00DC512F">
        <w:rPr>
          <w:b/>
          <w:bCs/>
          <w:color w:val="000000" w:themeColor="text1"/>
          <w:lang w:val="en-GB"/>
        </w:rPr>
        <w:instrText xml:space="preserve"> SEQ Table \* ARABIC \s 2 </w:instrText>
      </w:r>
      <w:r w:rsidRPr="00DC512F">
        <w:rPr>
          <w:b/>
          <w:bCs/>
          <w:color w:val="000000" w:themeColor="text1"/>
          <w:lang w:val="en-GB"/>
        </w:rPr>
        <w:fldChar w:fldCharType="separate"/>
      </w:r>
      <w:r w:rsidR="00662F32">
        <w:rPr>
          <w:b/>
          <w:bCs/>
          <w:noProof/>
          <w:color w:val="000000" w:themeColor="text1"/>
          <w:lang w:val="en-GB"/>
        </w:rPr>
        <w:t>19</w:t>
      </w:r>
      <w:r w:rsidRPr="00DC512F">
        <w:rPr>
          <w:b/>
          <w:bCs/>
          <w:color w:val="000000" w:themeColor="text1"/>
          <w:lang w:val="en-GB"/>
        </w:rPr>
        <w:fldChar w:fldCharType="end"/>
      </w:r>
      <w:bookmarkEnd w:id="410"/>
      <w:r w:rsidRPr="00DC512F">
        <w:rPr>
          <w:b/>
          <w:bCs/>
          <w:color w:val="000000" w:themeColor="text1"/>
          <w:lang w:val="en-GB"/>
        </w:rPr>
        <w:t>:</w:t>
      </w:r>
      <w:r w:rsidRPr="00DC512F">
        <w:rPr>
          <w:b/>
          <w:bCs/>
          <w:color w:val="000000" w:themeColor="text1"/>
          <w:lang w:val="en-GB"/>
        </w:rPr>
        <w:tab/>
        <w:t>Assessment of the risk for earthworm-eating mammals due to exposure to fluxapyroxad via bioaccumulation in earthworms (secondary poisoning) for the intended use</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0"/>
        <w:gridCol w:w="2550"/>
        <w:gridCol w:w="3684"/>
      </w:tblGrid>
      <w:tr w:rsidR="00E51CDD" w:rsidRPr="00DC512F" w14:paraId="01C963AE" w14:textId="77777777" w:rsidTr="009938D9">
        <w:trPr>
          <w:cantSplit/>
          <w:trHeight w:val="440"/>
          <w:tblHeader/>
          <w:jc w:val="center"/>
        </w:trPr>
        <w:tc>
          <w:tcPr>
            <w:tcW w:w="1595" w:type="pct"/>
            <w:vAlign w:val="center"/>
          </w:tcPr>
          <w:p w14:paraId="2EA45AC5" w14:textId="77777777" w:rsidR="00E51CDD" w:rsidRPr="00DC512F" w:rsidRDefault="00E51CDD" w:rsidP="009938D9">
            <w:pPr>
              <w:widowControl w:val="0"/>
              <w:numPr>
                <w:ilvl w:val="12"/>
                <w:numId w:val="0"/>
              </w:numPr>
              <w:jc w:val="center"/>
              <w:rPr>
                <w:b/>
                <w:color w:val="000000" w:themeColor="text1"/>
                <w:sz w:val="20"/>
                <w:szCs w:val="20"/>
                <w:lang w:val="en-GB"/>
              </w:rPr>
            </w:pPr>
            <w:r w:rsidRPr="00DC512F">
              <w:rPr>
                <w:b/>
                <w:color w:val="000000" w:themeColor="text1"/>
                <w:sz w:val="20"/>
                <w:szCs w:val="20"/>
                <w:lang w:val="en-GB"/>
              </w:rPr>
              <w:t>Parameter</w:t>
            </w:r>
          </w:p>
        </w:tc>
        <w:tc>
          <w:tcPr>
            <w:tcW w:w="1393" w:type="pct"/>
            <w:vAlign w:val="center"/>
          </w:tcPr>
          <w:p w14:paraId="723AFB60" w14:textId="77777777" w:rsidR="00E51CDD" w:rsidRPr="00DC512F" w:rsidRDefault="00E51CDD" w:rsidP="009938D9">
            <w:pPr>
              <w:widowControl w:val="0"/>
              <w:tabs>
                <w:tab w:val="left" w:pos="-720"/>
              </w:tabs>
              <w:jc w:val="center"/>
              <w:rPr>
                <w:b/>
                <w:color w:val="000000" w:themeColor="text1"/>
                <w:sz w:val="20"/>
                <w:szCs w:val="20"/>
                <w:lang w:val="en-GB"/>
              </w:rPr>
            </w:pPr>
            <w:r w:rsidRPr="00DC512F">
              <w:rPr>
                <w:b/>
                <w:color w:val="000000" w:themeColor="text1"/>
                <w:sz w:val="20"/>
                <w:szCs w:val="20"/>
                <w:lang w:val="en-GB"/>
              </w:rPr>
              <w:t>Fluxapyroxad</w:t>
            </w:r>
          </w:p>
        </w:tc>
        <w:tc>
          <w:tcPr>
            <w:tcW w:w="2012" w:type="pct"/>
            <w:vAlign w:val="center"/>
          </w:tcPr>
          <w:p w14:paraId="5BCA7A79" w14:textId="77777777" w:rsidR="00E51CDD" w:rsidRPr="00DC512F" w:rsidRDefault="00E51CDD" w:rsidP="009938D9">
            <w:pPr>
              <w:widowControl w:val="0"/>
              <w:numPr>
                <w:ilvl w:val="12"/>
                <w:numId w:val="0"/>
              </w:numPr>
              <w:ind w:left="-107"/>
              <w:jc w:val="center"/>
              <w:rPr>
                <w:b/>
                <w:bCs/>
                <w:color w:val="000000" w:themeColor="text1"/>
                <w:sz w:val="20"/>
                <w:szCs w:val="20"/>
                <w:lang w:val="en-GB"/>
              </w:rPr>
            </w:pPr>
            <w:r w:rsidRPr="00DC512F">
              <w:rPr>
                <w:b/>
                <w:bCs/>
                <w:color w:val="000000" w:themeColor="text1"/>
                <w:sz w:val="20"/>
                <w:szCs w:val="20"/>
                <w:lang w:val="en-GB"/>
              </w:rPr>
              <w:t>Reference</w:t>
            </w:r>
          </w:p>
        </w:tc>
      </w:tr>
      <w:tr w:rsidR="00E51CDD" w:rsidRPr="00DC512F" w14:paraId="66620649" w14:textId="77777777" w:rsidTr="009938D9">
        <w:trPr>
          <w:cantSplit/>
          <w:trHeight w:val="510"/>
          <w:jc w:val="center"/>
        </w:trPr>
        <w:tc>
          <w:tcPr>
            <w:tcW w:w="1595" w:type="pct"/>
            <w:vAlign w:val="center"/>
          </w:tcPr>
          <w:p w14:paraId="2601B705" w14:textId="77777777" w:rsidR="00E51CDD" w:rsidRPr="00DC512F" w:rsidRDefault="00E51CDD" w:rsidP="009938D9">
            <w:pPr>
              <w:widowControl w:val="0"/>
              <w:numPr>
                <w:ilvl w:val="12"/>
                <w:numId w:val="0"/>
              </w:numPr>
              <w:ind w:right="-125"/>
              <w:rPr>
                <w:color w:val="000000" w:themeColor="text1"/>
                <w:sz w:val="20"/>
                <w:szCs w:val="20"/>
                <w:lang w:val="en-GB"/>
              </w:rPr>
            </w:pPr>
            <w:r w:rsidRPr="00DC512F">
              <w:rPr>
                <w:color w:val="000000" w:themeColor="text1"/>
                <w:sz w:val="20"/>
                <w:szCs w:val="20"/>
              </w:rPr>
              <w:t>PEC</w:t>
            </w:r>
            <w:r w:rsidRPr="00DC512F">
              <w:rPr>
                <w:color w:val="000000" w:themeColor="text1"/>
                <w:sz w:val="20"/>
                <w:szCs w:val="20"/>
                <w:vertAlign w:val="subscript"/>
              </w:rPr>
              <w:t xml:space="preserve">soil </w:t>
            </w:r>
            <w:r w:rsidRPr="00DC512F">
              <w:rPr>
                <w:color w:val="000000" w:themeColor="text1"/>
                <w:sz w:val="20"/>
                <w:szCs w:val="20"/>
              </w:rPr>
              <w:t xml:space="preserve">(accu) [mg/kg soil] </w:t>
            </w:r>
            <w:r w:rsidRPr="00DC512F">
              <w:rPr>
                <w:color w:val="000000" w:themeColor="text1"/>
                <w:sz w:val="20"/>
                <w:szCs w:val="20"/>
                <w:vertAlign w:val="superscript"/>
              </w:rPr>
              <w:t>1)</w:t>
            </w:r>
          </w:p>
        </w:tc>
        <w:tc>
          <w:tcPr>
            <w:tcW w:w="1393" w:type="pct"/>
            <w:shd w:val="clear" w:color="auto" w:fill="FFFFFF"/>
            <w:vAlign w:val="center"/>
          </w:tcPr>
          <w:p w14:paraId="2AD70620" w14:textId="77777777" w:rsidR="00E51CDD" w:rsidRPr="00DC512F" w:rsidRDefault="00E51CDD" w:rsidP="009938D9">
            <w:pPr>
              <w:widowControl w:val="0"/>
              <w:numPr>
                <w:ilvl w:val="12"/>
                <w:numId w:val="0"/>
              </w:numPr>
              <w:ind w:hanging="12"/>
              <w:jc w:val="center"/>
              <w:rPr>
                <w:color w:val="000000" w:themeColor="text1"/>
                <w:sz w:val="20"/>
                <w:szCs w:val="20"/>
                <w:lang w:val="en-GB"/>
              </w:rPr>
            </w:pPr>
            <w:r w:rsidRPr="00DC512F">
              <w:rPr>
                <w:color w:val="000000" w:themeColor="text1"/>
                <w:sz w:val="20"/>
                <w:szCs w:val="20"/>
                <w:lang w:val="en-GB"/>
              </w:rPr>
              <w:t>0.0</w:t>
            </w:r>
            <w:r>
              <w:rPr>
                <w:color w:val="000000" w:themeColor="text1"/>
                <w:sz w:val="20"/>
                <w:szCs w:val="20"/>
                <w:lang w:val="en-GB"/>
              </w:rPr>
              <w:t>78</w:t>
            </w:r>
          </w:p>
        </w:tc>
        <w:tc>
          <w:tcPr>
            <w:tcW w:w="2012" w:type="pct"/>
            <w:vAlign w:val="center"/>
          </w:tcPr>
          <w:p w14:paraId="1612B2CC" w14:textId="77777777" w:rsidR="00E51CDD" w:rsidRPr="00DC512F" w:rsidRDefault="00E51CDD" w:rsidP="009938D9">
            <w:pPr>
              <w:widowControl w:val="0"/>
              <w:overflowPunct w:val="0"/>
              <w:autoSpaceDE w:val="0"/>
              <w:autoSpaceDN w:val="0"/>
              <w:adjustRightInd w:val="0"/>
              <w:jc w:val="center"/>
              <w:textAlignment w:val="baseline"/>
              <w:rPr>
                <w:color w:val="000000" w:themeColor="text1"/>
                <w:sz w:val="20"/>
                <w:szCs w:val="20"/>
              </w:rPr>
            </w:pPr>
            <w:r w:rsidRPr="00DC512F">
              <w:rPr>
                <w:color w:val="000000" w:themeColor="text1"/>
                <w:sz w:val="20"/>
                <w:szCs w:val="20"/>
                <w:lang w:val="de-DE"/>
              </w:rPr>
              <w:t>Chapter 8.7</w:t>
            </w:r>
          </w:p>
        </w:tc>
      </w:tr>
      <w:tr w:rsidR="00E51CDD" w:rsidRPr="00DC512F" w14:paraId="43CD2AF7" w14:textId="77777777" w:rsidTr="009938D9">
        <w:trPr>
          <w:cantSplit/>
          <w:trHeight w:val="510"/>
          <w:jc w:val="center"/>
        </w:trPr>
        <w:tc>
          <w:tcPr>
            <w:tcW w:w="1595" w:type="pct"/>
            <w:vAlign w:val="center"/>
          </w:tcPr>
          <w:p w14:paraId="599817FA" w14:textId="77777777" w:rsidR="00E51CDD" w:rsidRPr="00DC512F" w:rsidRDefault="00E51CDD" w:rsidP="009938D9">
            <w:pPr>
              <w:widowControl w:val="0"/>
              <w:numPr>
                <w:ilvl w:val="12"/>
                <w:numId w:val="0"/>
              </w:numPr>
              <w:rPr>
                <w:color w:val="000000" w:themeColor="text1"/>
                <w:sz w:val="20"/>
                <w:szCs w:val="20"/>
                <w:lang w:val="en-GB"/>
              </w:rPr>
            </w:pPr>
            <w:r w:rsidRPr="00DC512F">
              <w:rPr>
                <w:color w:val="000000" w:themeColor="text1"/>
                <w:sz w:val="20"/>
                <w:szCs w:val="20"/>
              </w:rPr>
              <w:t>K</w:t>
            </w:r>
            <w:r w:rsidRPr="00DC512F">
              <w:rPr>
                <w:color w:val="000000" w:themeColor="text1"/>
                <w:sz w:val="20"/>
                <w:szCs w:val="20"/>
                <w:vertAlign w:val="subscript"/>
              </w:rPr>
              <w:t>ow</w:t>
            </w:r>
          </w:p>
        </w:tc>
        <w:tc>
          <w:tcPr>
            <w:tcW w:w="1393" w:type="pct"/>
            <w:vAlign w:val="center"/>
          </w:tcPr>
          <w:p w14:paraId="3ADCBC85" w14:textId="77777777" w:rsidR="00E51CDD" w:rsidRPr="00DC512F" w:rsidRDefault="00E51CDD" w:rsidP="009938D9">
            <w:pPr>
              <w:widowControl w:val="0"/>
              <w:numPr>
                <w:ilvl w:val="12"/>
                <w:numId w:val="0"/>
              </w:numPr>
              <w:jc w:val="center"/>
              <w:rPr>
                <w:color w:val="000000" w:themeColor="text1"/>
                <w:sz w:val="20"/>
                <w:szCs w:val="20"/>
                <w:lang w:val="en-GB"/>
              </w:rPr>
            </w:pPr>
            <w:r w:rsidRPr="00DC512F">
              <w:rPr>
                <w:color w:val="000000" w:themeColor="text1"/>
                <w:sz w:val="20"/>
                <w:szCs w:val="20"/>
                <w:lang w:val="en-GB"/>
              </w:rPr>
              <w:t>1259</w:t>
            </w:r>
          </w:p>
        </w:tc>
        <w:tc>
          <w:tcPr>
            <w:tcW w:w="2012" w:type="pct"/>
            <w:vAlign w:val="center"/>
          </w:tcPr>
          <w:p w14:paraId="413906F8" w14:textId="77777777" w:rsidR="00E51CDD" w:rsidRPr="00DC512F" w:rsidRDefault="00E51CDD" w:rsidP="009938D9">
            <w:pPr>
              <w:widowControl w:val="0"/>
              <w:overflowPunct w:val="0"/>
              <w:autoSpaceDE w:val="0"/>
              <w:autoSpaceDN w:val="0"/>
              <w:adjustRightInd w:val="0"/>
              <w:jc w:val="center"/>
              <w:textAlignment w:val="baseline"/>
              <w:rPr>
                <w:color w:val="000000" w:themeColor="text1"/>
                <w:sz w:val="20"/>
                <w:szCs w:val="20"/>
                <w:lang w:val="en-GB"/>
              </w:rPr>
            </w:pPr>
            <w:r w:rsidRPr="00DC512F">
              <w:rPr>
                <w:color w:val="000000" w:themeColor="text1"/>
                <w:sz w:val="20"/>
                <w:szCs w:val="20"/>
                <w:lang w:val="en-GB"/>
              </w:rPr>
              <w:t>BASF DocID 2007/1057001</w:t>
            </w:r>
          </w:p>
        </w:tc>
      </w:tr>
      <w:tr w:rsidR="00E51CDD" w:rsidRPr="00DC512F" w14:paraId="3EE2FE94" w14:textId="77777777" w:rsidTr="009938D9">
        <w:trPr>
          <w:cantSplit/>
          <w:trHeight w:val="510"/>
          <w:jc w:val="center"/>
        </w:trPr>
        <w:tc>
          <w:tcPr>
            <w:tcW w:w="1595" w:type="pct"/>
            <w:vAlign w:val="center"/>
          </w:tcPr>
          <w:p w14:paraId="30F61B86" w14:textId="77777777" w:rsidR="00E51CDD" w:rsidRPr="00DC512F" w:rsidRDefault="00E51CDD" w:rsidP="009938D9">
            <w:pPr>
              <w:widowControl w:val="0"/>
              <w:numPr>
                <w:ilvl w:val="12"/>
                <w:numId w:val="0"/>
              </w:numPr>
              <w:rPr>
                <w:color w:val="000000" w:themeColor="text1"/>
                <w:sz w:val="20"/>
                <w:szCs w:val="20"/>
                <w:lang w:val="en-GB"/>
              </w:rPr>
            </w:pPr>
            <w:r w:rsidRPr="00161A45">
              <w:rPr>
                <w:color w:val="000000" w:themeColor="text1"/>
                <w:sz w:val="20"/>
                <w:szCs w:val="20"/>
                <w:lang w:val="en-GB"/>
              </w:rPr>
              <w:t>K</w:t>
            </w:r>
            <w:r w:rsidRPr="00161A45">
              <w:rPr>
                <w:color w:val="000000" w:themeColor="text1"/>
                <w:sz w:val="20"/>
                <w:szCs w:val="20"/>
                <w:vertAlign w:val="subscript"/>
                <w:lang w:val="en-GB"/>
              </w:rPr>
              <w:t>oc</w:t>
            </w:r>
            <w:r w:rsidRPr="00161A45">
              <w:rPr>
                <w:color w:val="000000" w:themeColor="text1"/>
                <w:sz w:val="20"/>
                <w:szCs w:val="20"/>
                <w:lang w:val="en-GB"/>
              </w:rPr>
              <w:t xml:space="preserve"> (</w:t>
            </w:r>
            <w:r>
              <w:rPr>
                <w:color w:val="000000" w:themeColor="text1"/>
                <w:sz w:val="20"/>
                <w:szCs w:val="20"/>
                <w:lang w:val="en-GB"/>
              </w:rPr>
              <w:t>geometric</w:t>
            </w:r>
            <w:r w:rsidRPr="00161A45">
              <w:rPr>
                <w:color w:val="000000" w:themeColor="text1"/>
                <w:sz w:val="20"/>
                <w:szCs w:val="20"/>
                <w:lang w:val="en-GB"/>
              </w:rPr>
              <w:t xml:space="preserve"> mean) [L/kg]</w:t>
            </w:r>
          </w:p>
        </w:tc>
        <w:tc>
          <w:tcPr>
            <w:tcW w:w="1393" w:type="pct"/>
            <w:vAlign w:val="center"/>
          </w:tcPr>
          <w:p w14:paraId="6C8ABCB1" w14:textId="77777777" w:rsidR="00E51CDD" w:rsidRPr="00DC512F" w:rsidRDefault="00E51CDD" w:rsidP="009938D9">
            <w:pPr>
              <w:widowControl w:val="0"/>
              <w:numPr>
                <w:ilvl w:val="12"/>
                <w:numId w:val="0"/>
              </w:numPr>
              <w:jc w:val="center"/>
              <w:rPr>
                <w:color w:val="000000" w:themeColor="text1"/>
                <w:sz w:val="20"/>
                <w:szCs w:val="20"/>
                <w:lang w:val="en-GB"/>
              </w:rPr>
            </w:pPr>
            <w:r>
              <w:rPr>
                <w:color w:val="000000" w:themeColor="text1"/>
                <w:sz w:val="20"/>
                <w:szCs w:val="20"/>
                <w:lang w:val="en-GB"/>
              </w:rPr>
              <w:t>681</w:t>
            </w:r>
          </w:p>
        </w:tc>
        <w:tc>
          <w:tcPr>
            <w:tcW w:w="2012" w:type="pct"/>
            <w:vAlign w:val="center"/>
          </w:tcPr>
          <w:p w14:paraId="2175CA6A" w14:textId="77777777" w:rsidR="00E51CDD" w:rsidRPr="00DC512F" w:rsidRDefault="00E51CDD" w:rsidP="009938D9">
            <w:pPr>
              <w:widowControl w:val="0"/>
              <w:ind w:right="72"/>
              <w:jc w:val="center"/>
              <w:rPr>
                <w:color w:val="000000" w:themeColor="text1"/>
                <w:sz w:val="20"/>
                <w:szCs w:val="20"/>
                <w:lang w:val="en-GB"/>
              </w:rPr>
            </w:pPr>
            <w:r w:rsidRPr="00DC512F">
              <w:rPr>
                <w:color w:val="000000" w:themeColor="text1"/>
                <w:sz w:val="20"/>
                <w:szCs w:val="20"/>
                <w:lang w:val="en-GB"/>
              </w:rPr>
              <w:t>Chapter 8.5.1</w:t>
            </w:r>
          </w:p>
        </w:tc>
      </w:tr>
      <w:tr w:rsidR="00E51CDD" w:rsidRPr="00DC512F" w14:paraId="2E312FE8" w14:textId="77777777" w:rsidTr="009938D9">
        <w:trPr>
          <w:cantSplit/>
          <w:trHeight w:val="397"/>
          <w:jc w:val="center"/>
        </w:trPr>
        <w:tc>
          <w:tcPr>
            <w:tcW w:w="1595" w:type="pct"/>
            <w:vAlign w:val="center"/>
          </w:tcPr>
          <w:p w14:paraId="254D44D7" w14:textId="77777777" w:rsidR="00E51CDD" w:rsidRPr="00DC512F" w:rsidRDefault="00E51CDD" w:rsidP="009938D9">
            <w:pPr>
              <w:widowControl w:val="0"/>
              <w:numPr>
                <w:ilvl w:val="12"/>
                <w:numId w:val="0"/>
              </w:numPr>
              <w:rPr>
                <w:color w:val="000000" w:themeColor="text1"/>
                <w:sz w:val="20"/>
                <w:szCs w:val="20"/>
                <w:lang w:val="en-GB"/>
              </w:rPr>
            </w:pPr>
            <w:r w:rsidRPr="00161A45">
              <w:rPr>
                <w:color w:val="000000" w:themeColor="text1"/>
                <w:sz w:val="20"/>
                <w:szCs w:val="20"/>
              </w:rPr>
              <w:t>f</w:t>
            </w:r>
            <w:r w:rsidRPr="00161A45">
              <w:rPr>
                <w:color w:val="000000" w:themeColor="text1"/>
                <w:sz w:val="20"/>
                <w:szCs w:val="20"/>
                <w:vertAlign w:val="subscript"/>
              </w:rPr>
              <w:t>oc</w:t>
            </w:r>
            <w:r w:rsidRPr="00161A45">
              <w:rPr>
                <w:color w:val="000000" w:themeColor="text1"/>
                <w:sz w:val="20"/>
                <w:szCs w:val="20"/>
              </w:rPr>
              <w:t xml:space="preserve"> (default)</w:t>
            </w:r>
          </w:p>
        </w:tc>
        <w:tc>
          <w:tcPr>
            <w:tcW w:w="1393" w:type="pct"/>
            <w:vAlign w:val="center"/>
          </w:tcPr>
          <w:p w14:paraId="2056B41D" w14:textId="77777777" w:rsidR="00E51CDD" w:rsidRPr="00DC512F" w:rsidRDefault="00E51CDD" w:rsidP="009938D9">
            <w:pPr>
              <w:widowControl w:val="0"/>
              <w:numPr>
                <w:ilvl w:val="12"/>
                <w:numId w:val="0"/>
              </w:numPr>
              <w:jc w:val="center"/>
              <w:rPr>
                <w:color w:val="000000" w:themeColor="text1"/>
                <w:sz w:val="20"/>
                <w:szCs w:val="20"/>
                <w:lang w:val="en-GB"/>
              </w:rPr>
            </w:pPr>
            <w:r w:rsidRPr="00161A45">
              <w:rPr>
                <w:color w:val="000000" w:themeColor="text1"/>
                <w:sz w:val="20"/>
                <w:szCs w:val="20"/>
                <w:lang w:val="en-GB"/>
              </w:rPr>
              <w:t>0.02</w:t>
            </w:r>
          </w:p>
        </w:tc>
        <w:tc>
          <w:tcPr>
            <w:tcW w:w="2012" w:type="pct"/>
            <w:vAlign w:val="center"/>
          </w:tcPr>
          <w:p w14:paraId="3948855E" w14:textId="77777777" w:rsidR="00E51CDD" w:rsidRPr="00DC512F" w:rsidRDefault="00E51CDD" w:rsidP="009938D9">
            <w:pPr>
              <w:widowControl w:val="0"/>
              <w:overflowPunct w:val="0"/>
              <w:autoSpaceDE w:val="0"/>
              <w:autoSpaceDN w:val="0"/>
              <w:adjustRightInd w:val="0"/>
              <w:jc w:val="center"/>
              <w:textAlignment w:val="baseline"/>
              <w:rPr>
                <w:color w:val="000000" w:themeColor="text1"/>
                <w:sz w:val="20"/>
                <w:szCs w:val="20"/>
                <w:lang w:val="en-GB"/>
              </w:rPr>
            </w:pPr>
            <w:r w:rsidRPr="00DC512F">
              <w:rPr>
                <w:color w:val="000000" w:themeColor="text1"/>
                <w:sz w:val="20"/>
                <w:szCs w:val="20"/>
                <w:lang w:val="de-DE"/>
              </w:rPr>
              <w:t>EFSA/2009/1438</w:t>
            </w:r>
          </w:p>
        </w:tc>
      </w:tr>
      <w:tr w:rsidR="00E51CDD" w:rsidRPr="00DC512F" w14:paraId="1690581F" w14:textId="77777777" w:rsidTr="009938D9">
        <w:trPr>
          <w:cantSplit/>
          <w:trHeight w:val="397"/>
          <w:jc w:val="center"/>
        </w:trPr>
        <w:tc>
          <w:tcPr>
            <w:tcW w:w="1595" w:type="pct"/>
            <w:vAlign w:val="center"/>
          </w:tcPr>
          <w:p w14:paraId="30079912" w14:textId="77777777" w:rsidR="00E51CDD" w:rsidRPr="00DC512F" w:rsidRDefault="00E51CDD" w:rsidP="009938D9">
            <w:pPr>
              <w:widowControl w:val="0"/>
              <w:numPr>
                <w:ilvl w:val="12"/>
                <w:numId w:val="0"/>
              </w:numPr>
              <w:rPr>
                <w:color w:val="000000" w:themeColor="text1"/>
                <w:sz w:val="20"/>
                <w:szCs w:val="20"/>
                <w:lang w:val="en-GB"/>
              </w:rPr>
            </w:pPr>
            <w:r w:rsidRPr="00161A45">
              <w:rPr>
                <w:color w:val="000000" w:themeColor="text1"/>
                <w:sz w:val="20"/>
                <w:szCs w:val="20"/>
              </w:rPr>
              <w:t xml:space="preserve">BCF </w:t>
            </w:r>
            <w:r w:rsidRPr="00161A45">
              <w:rPr>
                <w:color w:val="000000" w:themeColor="text1"/>
                <w:sz w:val="20"/>
                <w:szCs w:val="20"/>
                <w:vertAlign w:val="superscript"/>
              </w:rPr>
              <w:t>2)</w:t>
            </w:r>
          </w:p>
        </w:tc>
        <w:tc>
          <w:tcPr>
            <w:tcW w:w="1393" w:type="pct"/>
            <w:vAlign w:val="center"/>
          </w:tcPr>
          <w:p w14:paraId="2E880D73" w14:textId="77777777" w:rsidR="00E51CDD" w:rsidRPr="00DC512F" w:rsidRDefault="00E51CDD" w:rsidP="009938D9">
            <w:pPr>
              <w:widowControl w:val="0"/>
              <w:numPr>
                <w:ilvl w:val="12"/>
                <w:numId w:val="0"/>
              </w:numPr>
              <w:jc w:val="center"/>
              <w:rPr>
                <w:color w:val="000000" w:themeColor="text1"/>
                <w:sz w:val="20"/>
                <w:szCs w:val="20"/>
                <w:lang w:val="en-GB"/>
              </w:rPr>
            </w:pPr>
            <w:r>
              <w:rPr>
                <w:color w:val="000000" w:themeColor="text1"/>
                <w:sz w:val="20"/>
                <w:szCs w:val="20"/>
                <w:lang w:val="en-GB"/>
              </w:rPr>
              <w:t>1.171</w:t>
            </w:r>
          </w:p>
        </w:tc>
        <w:tc>
          <w:tcPr>
            <w:tcW w:w="2012" w:type="pct"/>
            <w:vAlign w:val="center"/>
          </w:tcPr>
          <w:p w14:paraId="3478BA50" w14:textId="77777777" w:rsidR="00E51CDD" w:rsidRPr="00DC512F" w:rsidRDefault="00E51CDD" w:rsidP="009938D9">
            <w:pPr>
              <w:keepNext/>
              <w:keepLines/>
              <w:overflowPunct w:val="0"/>
              <w:autoSpaceDE w:val="0"/>
              <w:autoSpaceDN w:val="0"/>
              <w:adjustRightInd w:val="0"/>
              <w:jc w:val="center"/>
              <w:textAlignment w:val="baseline"/>
              <w:rPr>
                <w:color w:val="000000" w:themeColor="text1"/>
                <w:sz w:val="20"/>
                <w:szCs w:val="20"/>
                <w:lang w:val="en-GB"/>
              </w:rPr>
            </w:pPr>
            <w:r w:rsidRPr="00DC512F">
              <w:rPr>
                <w:color w:val="000000" w:themeColor="text1"/>
                <w:sz w:val="20"/>
                <w:szCs w:val="20"/>
                <w:lang w:val="de-DE"/>
              </w:rPr>
              <w:t>--</w:t>
            </w:r>
          </w:p>
        </w:tc>
      </w:tr>
      <w:tr w:rsidR="00E51CDD" w:rsidRPr="00DC512F" w14:paraId="121271A3" w14:textId="77777777" w:rsidTr="009938D9">
        <w:trPr>
          <w:cantSplit/>
          <w:trHeight w:val="397"/>
          <w:jc w:val="center"/>
        </w:trPr>
        <w:tc>
          <w:tcPr>
            <w:tcW w:w="1595" w:type="pct"/>
            <w:vAlign w:val="center"/>
          </w:tcPr>
          <w:p w14:paraId="3A91548F" w14:textId="77777777" w:rsidR="00E51CDD" w:rsidRPr="00DC512F" w:rsidRDefault="00E51CDD" w:rsidP="009938D9">
            <w:pPr>
              <w:widowControl w:val="0"/>
              <w:numPr>
                <w:ilvl w:val="12"/>
                <w:numId w:val="0"/>
              </w:numPr>
              <w:rPr>
                <w:color w:val="000000" w:themeColor="text1"/>
                <w:sz w:val="20"/>
                <w:szCs w:val="20"/>
                <w:lang w:val="en-GB"/>
              </w:rPr>
            </w:pPr>
            <w:r w:rsidRPr="00161A45">
              <w:rPr>
                <w:color w:val="000000" w:themeColor="text1"/>
                <w:sz w:val="20"/>
                <w:szCs w:val="20"/>
              </w:rPr>
              <w:t>PEC</w:t>
            </w:r>
            <w:r w:rsidRPr="00161A45">
              <w:rPr>
                <w:color w:val="000000" w:themeColor="text1"/>
                <w:sz w:val="20"/>
                <w:szCs w:val="20"/>
                <w:vertAlign w:val="subscript"/>
              </w:rPr>
              <w:t>worm</w:t>
            </w:r>
            <w:r w:rsidRPr="00161A45">
              <w:rPr>
                <w:color w:val="000000" w:themeColor="text1"/>
                <w:sz w:val="20"/>
                <w:szCs w:val="20"/>
              </w:rPr>
              <w:t xml:space="preserve"> [mg/kg] </w:t>
            </w:r>
            <w:r w:rsidRPr="00161A45">
              <w:rPr>
                <w:color w:val="000000" w:themeColor="text1"/>
                <w:sz w:val="20"/>
                <w:szCs w:val="20"/>
                <w:vertAlign w:val="superscript"/>
              </w:rPr>
              <w:t>3)</w:t>
            </w:r>
          </w:p>
        </w:tc>
        <w:tc>
          <w:tcPr>
            <w:tcW w:w="1393" w:type="pct"/>
            <w:vAlign w:val="center"/>
          </w:tcPr>
          <w:p w14:paraId="7465CDBC" w14:textId="77777777" w:rsidR="00E51CDD" w:rsidRPr="00DC512F" w:rsidRDefault="00E51CDD" w:rsidP="009938D9">
            <w:pPr>
              <w:widowControl w:val="0"/>
              <w:numPr>
                <w:ilvl w:val="12"/>
                <w:numId w:val="0"/>
              </w:numPr>
              <w:ind w:left="-29"/>
              <w:jc w:val="center"/>
              <w:rPr>
                <w:color w:val="000000" w:themeColor="text1"/>
                <w:sz w:val="20"/>
                <w:szCs w:val="20"/>
                <w:lang w:val="en-GB"/>
              </w:rPr>
            </w:pPr>
            <w:r w:rsidRPr="00161A45">
              <w:rPr>
                <w:color w:val="000000" w:themeColor="text1"/>
                <w:sz w:val="20"/>
                <w:szCs w:val="20"/>
              </w:rPr>
              <w:t>0.0</w:t>
            </w:r>
            <w:r>
              <w:rPr>
                <w:color w:val="000000" w:themeColor="text1"/>
                <w:sz w:val="20"/>
                <w:szCs w:val="20"/>
              </w:rPr>
              <w:t>91</w:t>
            </w:r>
          </w:p>
        </w:tc>
        <w:tc>
          <w:tcPr>
            <w:tcW w:w="2012" w:type="pct"/>
            <w:vAlign w:val="center"/>
          </w:tcPr>
          <w:p w14:paraId="009292B2" w14:textId="77777777" w:rsidR="00E51CDD" w:rsidRPr="00DC512F" w:rsidRDefault="00E51CDD" w:rsidP="009938D9">
            <w:pPr>
              <w:keepNext/>
              <w:keepLines/>
              <w:overflowPunct w:val="0"/>
              <w:autoSpaceDE w:val="0"/>
              <w:autoSpaceDN w:val="0"/>
              <w:adjustRightInd w:val="0"/>
              <w:jc w:val="center"/>
              <w:textAlignment w:val="baseline"/>
              <w:rPr>
                <w:color w:val="000000" w:themeColor="text1"/>
                <w:sz w:val="20"/>
                <w:szCs w:val="20"/>
                <w:lang w:val="en-GB"/>
              </w:rPr>
            </w:pPr>
            <w:r w:rsidRPr="00DC512F">
              <w:rPr>
                <w:color w:val="000000" w:themeColor="text1"/>
                <w:sz w:val="20"/>
                <w:szCs w:val="20"/>
                <w:lang w:val="de-DE"/>
              </w:rPr>
              <w:t>--</w:t>
            </w:r>
          </w:p>
        </w:tc>
      </w:tr>
      <w:tr w:rsidR="00E51CDD" w:rsidRPr="00DC512F" w14:paraId="369F8124" w14:textId="77777777" w:rsidTr="009938D9">
        <w:trPr>
          <w:cantSplit/>
          <w:trHeight w:val="397"/>
          <w:jc w:val="center"/>
        </w:trPr>
        <w:tc>
          <w:tcPr>
            <w:tcW w:w="1595" w:type="pct"/>
            <w:vAlign w:val="center"/>
          </w:tcPr>
          <w:p w14:paraId="689E2BD1" w14:textId="77777777" w:rsidR="00E51CDD" w:rsidRPr="00DC512F" w:rsidRDefault="00E51CDD" w:rsidP="009938D9">
            <w:pPr>
              <w:widowControl w:val="0"/>
              <w:numPr>
                <w:ilvl w:val="12"/>
                <w:numId w:val="0"/>
              </w:numPr>
              <w:ind w:right="-70"/>
              <w:rPr>
                <w:color w:val="000000" w:themeColor="text1"/>
                <w:sz w:val="20"/>
                <w:szCs w:val="20"/>
                <w:lang w:val="en-GB"/>
              </w:rPr>
            </w:pPr>
            <w:r w:rsidRPr="00DC512F">
              <w:rPr>
                <w:color w:val="000000" w:themeColor="text1"/>
                <w:sz w:val="20"/>
                <w:szCs w:val="20"/>
                <w:lang w:val="en-GB"/>
              </w:rPr>
              <w:t>Daily dose [mg/kg b.w./d]</w:t>
            </w:r>
          </w:p>
        </w:tc>
        <w:tc>
          <w:tcPr>
            <w:tcW w:w="1393" w:type="pct"/>
            <w:shd w:val="clear" w:color="auto" w:fill="FFFFFF"/>
            <w:vAlign w:val="center"/>
          </w:tcPr>
          <w:p w14:paraId="1703DFB6" w14:textId="77777777" w:rsidR="00E51CDD" w:rsidRPr="00DC512F" w:rsidRDefault="00E51CDD" w:rsidP="009938D9">
            <w:pPr>
              <w:widowControl w:val="0"/>
              <w:numPr>
                <w:ilvl w:val="12"/>
                <w:numId w:val="0"/>
              </w:numPr>
              <w:jc w:val="center"/>
              <w:rPr>
                <w:color w:val="000000" w:themeColor="text1"/>
                <w:sz w:val="20"/>
                <w:szCs w:val="20"/>
              </w:rPr>
            </w:pPr>
            <w:r w:rsidRPr="00DC512F">
              <w:rPr>
                <w:color w:val="000000" w:themeColor="text1"/>
                <w:sz w:val="20"/>
                <w:szCs w:val="20"/>
              </w:rPr>
              <w:t>0.</w:t>
            </w:r>
            <w:r>
              <w:rPr>
                <w:color w:val="000000" w:themeColor="text1"/>
                <w:sz w:val="20"/>
                <w:szCs w:val="20"/>
              </w:rPr>
              <w:t>117</w:t>
            </w:r>
          </w:p>
        </w:tc>
        <w:tc>
          <w:tcPr>
            <w:tcW w:w="2012" w:type="pct"/>
            <w:vAlign w:val="center"/>
          </w:tcPr>
          <w:p w14:paraId="0AA9FEC5" w14:textId="77777777" w:rsidR="00E51CDD" w:rsidRPr="00DC512F" w:rsidRDefault="00E51CDD" w:rsidP="009938D9">
            <w:pPr>
              <w:widowControl w:val="0"/>
              <w:overflowPunct w:val="0"/>
              <w:autoSpaceDE w:val="0"/>
              <w:autoSpaceDN w:val="0"/>
              <w:adjustRightInd w:val="0"/>
              <w:jc w:val="center"/>
              <w:textAlignment w:val="baseline"/>
              <w:rPr>
                <w:color w:val="000000" w:themeColor="text1"/>
                <w:sz w:val="20"/>
                <w:szCs w:val="20"/>
                <w:lang w:val="en-GB"/>
              </w:rPr>
            </w:pPr>
            <w:r w:rsidRPr="00DC512F">
              <w:rPr>
                <w:color w:val="000000" w:themeColor="text1"/>
                <w:sz w:val="20"/>
                <w:szCs w:val="20"/>
                <w:lang w:val="en-GB"/>
              </w:rPr>
              <w:t>--</w:t>
            </w:r>
          </w:p>
        </w:tc>
      </w:tr>
      <w:tr w:rsidR="00E51CDD" w:rsidRPr="00DC512F" w14:paraId="0D200203" w14:textId="77777777" w:rsidTr="009938D9">
        <w:trPr>
          <w:cantSplit/>
          <w:trHeight w:val="372"/>
          <w:jc w:val="center"/>
        </w:trPr>
        <w:tc>
          <w:tcPr>
            <w:tcW w:w="1595" w:type="pct"/>
            <w:vAlign w:val="center"/>
          </w:tcPr>
          <w:p w14:paraId="202A170D" w14:textId="77777777" w:rsidR="00E51CDD" w:rsidRPr="00DC512F" w:rsidRDefault="00E51CDD" w:rsidP="009938D9">
            <w:pPr>
              <w:widowControl w:val="0"/>
              <w:numPr>
                <w:ilvl w:val="12"/>
                <w:numId w:val="0"/>
              </w:numPr>
              <w:rPr>
                <w:color w:val="000000" w:themeColor="text1"/>
                <w:sz w:val="20"/>
                <w:szCs w:val="20"/>
                <w:lang w:val="es-ES_tradnl"/>
              </w:rPr>
            </w:pPr>
            <w:r w:rsidRPr="00DC512F">
              <w:rPr>
                <w:color w:val="000000" w:themeColor="text1"/>
                <w:sz w:val="20"/>
                <w:szCs w:val="20"/>
                <w:lang w:val="es-ES_tradnl"/>
              </w:rPr>
              <w:t>NO(A)EL [mg/kg b.w./d]</w:t>
            </w:r>
          </w:p>
        </w:tc>
        <w:tc>
          <w:tcPr>
            <w:tcW w:w="1393" w:type="pct"/>
            <w:vAlign w:val="center"/>
          </w:tcPr>
          <w:p w14:paraId="09C30074" w14:textId="77777777" w:rsidR="00E51CDD" w:rsidRPr="00DC512F" w:rsidRDefault="00E51CDD" w:rsidP="009938D9">
            <w:pPr>
              <w:widowControl w:val="0"/>
              <w:numPr>
                <w:ilvl w:val="12"/>
                <w:numId w:val="0"/>
              </w:numPr>
              <w:jc w:val="center"/>
              <w:rPr>
                <w:color w:val="000000" w:themeColor="text1"/>
                <w:sz w:val="20"/>
                <w:szCs w:val="20"/>
              </w:rPr>
            </w:pPr>
            <w:r w:rsidRPr="00DC512F">
              <w:rPr>
                <w:color w:val="000000" w:themeColor="text1"/>
                <w:sz w:val="20"/>
                <w:szCs w:val="20"/>
              </w:rPr>
              <w:t>10</w:t>
            </w:r>
          </w:p>
        </w:tc>
        <w:tc>
          <w:tcPr>
            <w:tcW w:w="2012" w:type="pct"/>
            <w:vAlign w:val="center"/>
          </w:tcPr>
          <w:p w14:paraId="18F5147F" w14:textId="77777777" w:rsidR="00E51CDD" w:rsidRPr="00DC512F" w:rsidRDefault="00E51CDD" w:rsidP="009938D9">
            <w:pPr>
              <w:widowControl w:val="0"/>
              <w:tabs>
                <w:tab w:val="center" w:pos="4536"/>
                <w:tab w:val="right" w:pos="9072"/>
              </w:tabs>
              <w:jc w:val="center"/>
              <w:rPr>
                <w:color w:val="000000" w:themeColor="text1"/>
                <w:sz w:val="20"/>
                <w:szCs w:val="20"/>
                <w:lang w:val="en-GB"/>
              </w:rPr>
            </w:pPr>
            <w:r w:rsidRPr="00DC512F">
              <w:rPr>
                <w:color w:val="000000" w:themeColor="text1"/>
                <w:sz w:val="20"/>
                <w:szCs w:val="20"/>
                <w:lang w:val="en-GB"/>
              </w:rPr>
              <w:t>Chapter 9.3.1</w:t>
            </w:r>
          </w:p>
        </w:tc>
      </w:tr>
      <w:tr w:rsidR="00E51CDD" w:rsidRPr="00DC512F" w14:paraId="058714AF" w14:textId="77777777" w:rsidTr="009938D9">
        <w:trPr>
          <w:cantSplit/>
          <w:trHeight w:val="397"/>
          <w:jc w:val="center"/>
        </w:trPr>
        <w:tc>
          <w:tcPr>
            <w:tcW w:w="1595" w:type="pct"/>
            <w:vAlign w:val="center"/>
          </w:tcPr>
          <w:p w14:paraId="1FF9F792" w14:textId="77777777" w:rsidR="00E51CDD" w:rsidRPr="00DC512F" w:rsidRDefault="00E51CDD" w:rsidP="009938D9">
            <w:pPr>
              <w:widowControl w:val="0"/>
              <w:numPr>
                <w:ilvl w:val="12"/>
                <w:numId w:val="0"/>
              </w:numPr>
              <w:rPr>
                <w:color w:val="000000" w:themeColor="text1"/>
                <w:sz w:val="20"/>
                <w:szCs w:val="20"/>
                <w:vertAlign w:val="superscript"/>
                <w:lang w:val="en-GB"/>
              </w:rPr>
            </w:pPr>
            <w:r w:rsidRPr="00DC512F">
              <w:rPr>
                <w:color w:val="000000" w:themeColor="text1"/>
                <w:sz w:val="20"/>
                <w:szCs w:val="20"/>
                <w:lang w:val="en-GB"/>
              </w:rPr>
              <w:t>TER</w:t>
            </w:r>
            <w:r w:rsidRPr="00DC512F">
              <w:rPr>
                <w:caps/>
                <w:color w:val="000000" w:themeColor="text1"/>
                <w:sz w:val="20"/>
                <w:szCs w:val="20"/>
                <w:vertAlign w:val="subscript"/>
                <w:lang w:val="en-GB"/>
              </w:rPr>
              <w:t>lt</w:t>
            </w:r>
          </w:p>
        </w:tc>
        <w:tc>
          <w:tcPr>
            <w:tcW w:w="1393" w:type="pct"/>
            <w:vAlign w:val="center"/>
          </w:tcPr>
          <w:p w14:paraId="539B64A5" w14:textId="77777777" w:rsidR="00E51CDD" w:rsidRPr="00DC512F" w:rsidRDefault="00E51CDD" w:rsidP="009938D9">
            <w:pPr>
              <w:widowControl w:val="0"/>
              <w:numPr>
                <w:ilvl w:val="12"/>
                <w:numId w:val="0"/>
              </w:numPr>
              <w:jc w:val="center"/>
              <w:rPr>
                <w:color w:val="000000" w:themeColor="text1"/>
                <w:sz w:val="20"/>
                <w:szCs w:val="20"/>
              </w:rPr>
            </w:pPr>
            <w:r>
              <w:rPr>
                <w:color w:val="000000" w:themeColor="text1"/>
                <w:sz w:val="20"/>
                <w:szCs w:val="20"/>
              </w:rPr>
              <w:t>85.5</w:t>
            </w:r>
          </w:p>
        </w:tc>
        <w:tc>
          <w:tcPr>
            <w:tcW w:w="2012" w:type="pct"/>
            <w:vAlign w:val="center"/>
          </w:tcPr>
          <w:p w14:paraId="0B70E829" w14:textId="77777777" w:rsidR="00E51CDD" w:rsidRPr="00DC512F" w:rsidRDefault="00E51CDD" w:rsidP="009938D9">
            <w:pPr>
              <w:widowControl w:val="0"/>
              <w:numPr>
                <w:ilvl w:val="12"/>
                <w:numId w:val="0"/>
              </w:numPr>
              <w:jc w:val="center"/>
              <w:rPr>
                <w:color w:val="000000" w:themeColor="text1"/>
                <w:sz w:val="20"/>
                <w:szCs w:val="20"/>
                <w:lang w:val="en-GB"/>
              </w:rPr>
            </w:pPr>
            <w:r w:rsidRPr="00DC512F">
              <w:rPr>
                <w:color w:val="000000" w:themeColor="text1"/>
                <w:sz w:val="20"/>
                <w:szCs w:val="20"/>
                <w:lang w:val="en-GB"/>
              </w:rPr>
              <w:t>--</w:t>
            </w:r>
          </w:p>
        </w:tc>
      </w:tr>
    </w:tbl>
    <w:p w14:paraId="2A31425C" w14:textId="77777777" w:rsidR="00E51CDD" w:rsidRPr="00DC512F" w:rsidRDefault="00E51CDD" w:rsidP="00E51CDD">
      <w:pPr>
        <w:widowControl w:val="0"/>
        <w:ind w:left="284" w:hanging="284"/>
        <w:jc w:val="both"/>
        <w:rPr>
          <w:color w:val="000000" w:themeColor="text1"/>
          <w:sz w:val="18"/>
          <w:szCs w:val="18"/>
          <w:lang w:val="en-GB"/>
        </w:rPr>
      </w:pPr>
      <w:r w:rsidRPr="00DC512F">
        <w:rPr>
          <w:color w:val="000000" w:themeColor="text1"/>
          <w:sz w:val="18"/>
          <w:szCs w:val="18"/>
          <w:vertAlign w:val="superscript"/>
          <w:lang w:val="en-GB"/>
        </w:rPr>
        <w:t>1)</w:t>
      </w:r>
      <w:r w:rsidRPr="00DC512F">
        <w:rPr>
          <w:color w:val="000000" w:themeColor="text1"/>
          <w:sz w:val="18"/>
          <w:szCs w:val="18"/>
          <w:vertAlign w:val="superscript"/>
          <w:lang w:val="en-GB"/>
        </w:rPr>
        <w:tab/>
      </w:r>
      <w:r w:rsidRPr="00DC512F">
        <w:rPr>
          <w:color w:val="000000" w:themeColor="text1"/>
          <w:sz w:val="18"/>
          <w:szCs w:val="18"/>
          <w:lang w:val="en-GB"/>
        </w:rPr>
        <w:t>Worst case PEC</w:t>
      </w:r>
      <w:r w:rsidRPr="00DC512F">
        <w:rPr>
          <w:color w:val="000000" w:themeColor="text1"/>
          <w:sz w:val="18"/>
          <w:szCs w:val="18"/>
          <w:vertAlign w:val="subscript"/>
          <w:lang w:val="en-GB"/>
        </w:rPr>
        <w:t>soil</w:t>
      </w:r>
      <w:r w:rsidRPr="00DC512F">
        <w:rPr>
          <w:color w:val="000000" w:themeColor="text1"/>
          <w:sz w:val="18"/>
          <w:szCs w:val="18"/>
          <w:lang w:val="en-GB"/>
        </w:rPr>
        <w:t xml:space="preserve"> (accu) value was calculated for an application scenario of 2 x </w:t>
      </w:r>
      <w:r>
        <w:rPr>
          <w:color w:val="000000" w:themeColor="text1"/>
          <w:sz w:val="18"/>
          <w:szCs w:val="18"/>
          <w:lang w:val="en-GB"/>
        </w:rPr>
        <w:t>100</w:t>
      </w:r>
      <w:r w:rsidRPr="00DC512F">
        <w:rPr>
          <w:color w:val="000000" w:themeColor="text1"/>
          <w:sz w:val="18"/>
          <w:szCs w:val="18"/>
          <w:lang w:val="en-GB"/>
        </w:rPr>
        <w:t xml:space="preserve"> g a.s./ha with 14-day interval in </w:t>
      </w:r>
      <w:r>
        <w:rPr>
          <w:color w:val="000000" w:themeColor="text1"/>
          <w:sz w:val="18"/>
          <w:szCs w:val="18"/>
          <w:lang w:val="en-GB"/>
        </w:rPr>
        <w:t>cereals</w:t>
      </w:r>
      <w:r w:rsidRPr="00DC512F">
        <w:rPr>
          <w:color w:val="000000" w:themeColor="text1"/>
          <w:sz w:val="18"/>
          <w:szCs w:val="18"/>
          <w:lang w:val="en-GB"/>
        </w:rPr>
        <w:t>. For details see chapter 8.7.</w:t>
      </w:r>
    </w:p>
    <w:p w14:paraId="3ECB9385" w14:textId="77777777" w:rsidR="00E51CDD" w:rsidRPr="00DC512F" w:rsidRDefault="00E51CDD" w:rsidP="00E51CDD">
      <w:pPr>
        <w:widowControl w:val="0"/>
        <w:numPr>
          <w:ilvl w:val="12"/>
          <w:numId w:val="0"/>
        </w:numPr>
        <w:tabs>
          <w:tab w:val="left" w:pos="360"/>
          <w:tab w:val="left" w:pos="720"/>
        </w:tabs>
        <w:autoSpaceDE w:val="0"/>
        <w:autoSpaceDN w:val="0"/>
        <w:adjustRightInd w:val="0"/>
        <w:ind w:left="284" w:hanging="284"/>
        <w:jc w:val="both"/>
        <w:rPr>
          <w:color w:val="000000" w:themeColor="text1"/>
          <w:sz w:val="18"/>
          <w:szCs w:val="18"/>
          <w:vertAlign w:val="superscript"/>
        </w:rPr>
      </w:pPr>
      <w:r w:rsidRPr="00DC512F">
        <w:rPr>
          <w:color w:val="000000" w:themeColor="text1"/>
          <w:sz w:val="18"/>
          <w:szCs w:val="18"/>
          <w:vertAlign w:val="superscript"/>
        </w:rPr>
        <w:t>2)</w:t>
      </w:r>
      <w:r w:rsidRPr="00DC512F">
        <w:rPr>
          <w:color w:val="000000" w:themeColor="text1"/>
          <w:sz w:val="18"/>
          <w:szCs w:val="18"/>
          <w:vertAlign w:val="superscript"/>
        </w:rPr>
        <w:tab/>
      </w:r>
      <w:r w:rsidRPr="00DC512F">
        <w:rPr>
          <w:color w:val="000000" w:themeColor="text1"/>
          <w:sz w:val="18"/>
          <w:szCs w:val="18"/>
        </w:rPr>
        <w:t>Bioconcentration factor (BCF) = (0.84 + 0.012 x K</w:t>
      </w:r>
      <w:r w:rsidRPr="00DC512F">
        <w:rPr>
          <w:color w:val="000000" w:themeColor="text1"/>
          <w:sz w:val="18"/>
          <w:szCs w:val="18"/>
          <w:vertAlign w:val="subscript"/>
        </w:rPr>
        <w:t>ow</w:t>
      </w:r>
      <w:r w:rsidRPr="00DC512F">
        <w:rPr>
          <w:color w:val="000000" w:themeColor="text1"/>
          <w:sz w:val="18"/>
          <w:szCs w:val="18"/>
        </w:rPr>
        <w:t>) / (f</w:t>
      </w:r>
      <w:r w:rsidRPr="00DC512F">
        <w:rPr>
          <w:color w:val="000000" w:themeColor="text1"/>
          <w:sz w:val="18"/>
          <w:szCs w:val="18"/>
          <w:vertAlign w:val="subscript"/>
        </w:rPr>
        <w:t>oc</w:t>
      </w:r>
      <w:r w:rsidRPr="00DC512F">
        <w:rPr>
          <w:color w:val="000000" w:themeColor="text1"/>
          <w:sz w:val="18"/>
          <w:szCs w:val="18"/>
        </w:rPr>
        <w:t xml:space="preserve"> x K</w:t>
      </w:r>
      <w:r w:rsidRPr="00DC512F">
        <w:rPr>
          <w:color w:val="000000" w:themeColor="text1"/>
          <w:sz w:val="18"/>
          <w:szCs w:val="18"/>
          <w:vertAlign w:val="subscript"/>
        </w:rPr>
        <w:t>oc</w:t>
      </w:r>
      <w:r w:rsidRPr="00DC512F">
        <w:rPr>
          <w:color w:val="000000" w:themeColor="text1"/>
          <w:sz w:val="18"/>
          <w:szCs w:val="18"/>
        </w:rPr>
        <w:t>)</w:t>
      </w:r>
    </w:p>
    <w:p w14:paraId="22E735D3" w14:textId="77777777" w:rsidR="00E51CDD" w:rsidRPr="00DC512F" w:rsidRDefault="00E51CDD" w:rsidP="00E51CDD">
      <w:pPr>
        <w:widowControl w:val="0"/>
        <w:numPr>
          <w:ilvl w:val="12"/>
          <w:numId w:val="0"/>
        </w:numPr>
        <w:tabs>
          <w:tab w:val="left" w:pos="360"/>
          <w:tab w:val="left" w:pos="720"/>
        </w:tabs>
        <w:autoSpaceDE w:val="0"/>
        <w:autoSpaceDN w:val="0"/>
        <w:adjustRightInd w:val="0"/>
        <w:ind w:left="284" w:hanging="284"/>
        <w:jc w:val="both"/>
        <w:rPr>
          <w:color w:val="000000" w:themeColor="text1"/>
          <w:sz w:val="18"/>
          <w:szCs w:val="18"/>
        </w:rPr>
      </w:pPr>
      <w:r w:rsidRPr="00DC512F">
        <w:rPr>
          <w:color w:val="000000" w:themeColor="text1"/>
          <w:sz w:val="18"/>
          <w:szCs w:val="18"/>
          <w:vertAlign w:val="superscript"/>
        </w:rPr>
        <w:t>3)</w:t>
      </w:r>
      <w:r w:rsidRPr="00DC512F">
        <w:rPr>
          <w:color w:val="000000" w:themeColor="text1"/>
          <w:sz w:val="18"/>
          <w:szCs w:val="18"/>
          <w:vertAlign w:val="superscript"/>
        </w:rPr>
        <w:tab/>
      </w:r>
      <w:r w:rsidRPr="00DC512F">
        <w:rPr>
          <w:color w:val="000000" w:themeColor="text1"/>
          <w:sz w:val="18"/>
          <w:szCs w:val="18"/>
        </w:rPr>
        <w:t>PEC</w:t>
      </w:r>
      <w:r w:rsidRPr="00DC512F">
        <w:rPr>
          <w:color w:val="000000" w:themeColor="text1"/>
          <w:sz w:val="18"/>
          <w:szCs w:val="18"/>
          <w:vertAlign w:val="subscript"/>
        </w:rPr>
        <w:t>worm</w:t>
      </w:r>
      <w:r w:rsidRPr="00DC512F">
        <w:rPr>
          <w:color w:val="000000" w:themeColor="text1"/>
          <w:sz w:val="18"/>
          <w:szCs w:val="18"/>
        </w:rPr>
        <w:t xml:space="preserve"> = PEC</w:t>
      </w:r>
      <w:r w:rsidRPr="00DC512F">
        <w:rPr>
          <w:color w:val="000000" w:themeColor="text1"/>
          <w:sz w:val="18"/>
          <w:szCs w:val="18"/>
          <w:vertAlign w:val="subscript"/>
        </w:rPr>
        <w:t>soil</w:t>
      </w:r>
      <w:r w:rsidRPr="00DC512F">
        <w:rPr>
          <w:color w:val="000000" w:themeColor="text1"/>
          <w:sz w:val="18"/>
          <w:szCs w:val="18"/>
        </w:rPr>
        <w:t xml:space="preserve"> x BCF</w:t>
      </w:r>
    </w:p>
    <w:p w14:paraId="1B08B7B2" w14:textId="77777777" w:rsidR="00E51CDD" w:rsidRPr="00DC512F" w:rsidRDefault="00E51CDD" w:rsidP="00E51CDD">
      <w:pPr>
        <w:widowControl w:val="0"/>
        <w:numPr>
          <w:ilvl w:val="12"/>
          <w:numId w:val="0"/>
        </w:numPr>
        <w:tabs>
          <w:tab w:val="left" w:pos="360"/>
          <w:tab w:val="left" w:pos="720"/>
        </w:tabs>
        <w:autoSpaceDE w:val="0"/>
        <w:autoSpaceDN w:val="0"/>
        <w:adjustRightInd w:val="0"/>
        <w:ind w:left="284" w:hanging="284"/>
        <w:jc w:val="both"/>
        <w:rPr>
          <w:color w:val="000000" w:themeColor="text1"/>
          <w:sz w:val="18"/>
          <w:szCs w:val="18"/>
        </w:rPr>
      </w:pPr>
      <w:r w:rsidRPr="00DC512F">
        <w:rPr>
          <w:color w:val="000000" w:themeColor="text1"/>
          <w:sz w:val="18"/>
          <w:szCs w:val="18"/>
          <w:vertAlign w:val="superscript"/>
        </w:rPr>
        <w:t>4)</w:t>
      </w:r>
      <w:r w:rsidRPr="00DC512F">
        <w:rPr>
          <w:color w:val="000000" w:themeColor="text1"/>
          <w:sz w:val="18"/>
          <w:szCs w:val="18"/>
          <w:vertAlign w:val="superscript"/>
        </w:rPr>
        <w:tab/>
      </w:r>
      <w:r w:rsidRPr="00DC512F">
        <w:rPr>
          <w:color w:val="000000" w:themeColor="text1"/>
          <w:sz w:val="18"/>
          <w:szCs w:val="18"/>
        </w:rPr>
        <w:t>Daily dose = 1.28 x PEC</w:t>
      </w:r>
      <w:r w:rsidRPr="00DC512F">
        <w:rPr>
          <w:color w:val="000000" w:themeColor="text1"/>
          <w:sz w:val="18"/>
          <w:szCs w:val="18"/>
          <w:vertAlign w:val="subscript"/>
        </w:rPr>
        <w:t>worm</w:t>
      </w:r>
    </w:p>
    <w:p w14:paraId="387BEB8D" w14:textId="77777777" w:rsidR="00E51CDD" w:rsidRDefault="00E51CDD" w:rsidP="00E51CDD">
      <w:pPr>
        <w:widowControl w:val="0"/>
        <w:numPr>
          <w:ilvl w:val="12"/>
          <w:numId w:val="0"/>
        </w:numPr>
        <w:tabs>
          <w:tab w:val="left" w:pos="360"/>
          <w:tab w:val="left" w:pos="720"/>
        </w:tabs>
        <w:autoSpaceDE w:val="0"/>
        <w:autoSpaceDN w:val="0"/>
        <w:adjustRightInd w:val="0"/>
        <w:ind w:left="284" w:hanging="284"/>
        <w:jc w:val="both"/>
        <w:rPr>
          <w:color w:val="000000" w:themeColor="text1"/>
          <w:sz w:val="18"/>
          <w:szCs w:val="18"/>
        </w:rPr>
      </w:pPr>
      <w:r w:rsidRPr="00DC512F">
        <w:rPr>
          <w:color w:val="000000" w:themeColor="text1"/>
          <w:sz w:val="18"/>
          <w:szCs w:val="18"/>
          <w:vertAlign w:val="superscript"/>
        </w:rPr>
        <w:t>5)</w:t>
      </w:r>
      <w:r w:rsidRPr="00DC512F">
        <w:rPr>
          <w:color w:val="000000" w:themeColor="text1"/>
          <w:sz w:val="18"/>
          <w:szCs w:val="18"/>
          <w:vertAlign w:val="superscript"/>
        </w:rPr>
        <w:tab/>
      </w:r>
      <w:r w:rsidRPr="00DC512F">
        <w:rPr>
          <w:color w:val="000000" w:themeColor="text1"/>
          <w:sz w:val="18"/>
          <w:szCs w:val="18"/>
        </w:rPr>
        <w:t>TER</w:t>
      </w:r>
      <w:r w:rsidRPr="00DC512F">
        <w:rPr>
          <w:color w:val="000000" w:themeColor="text1"/>
          <w:sz w:val="18"/>
          <w:szCs w:val="18"/>
          <w:vertAlign w:val="subscript"/>
        </w:rPr>
        <w:t xml:space="preserve">LT </w:t>
      </w:r>
      <w:r w:rsidRPr="00DC512F">
        <w:rPr>
          <w:color w:val="000000" w:themeColor="text1"/>
          <w:sz w:val="18"/>
          <w:szCs w:val="18"/>
        </w:rPr>
        <w:t>= NO(A)EL / Daily dose.</w:t>
      </w:r>
    </w:p>
    <w:p w14:paraId="0508496E" w14:textId="77777777" w:rsidR="00E51CDD" w:rsidRPr="00DC512F" w:rsidRDefault="00E51CDD" w:rsidP="00E51CDD">
      <w:pPr>
        <w:widowControl w:val="0"/>
        <w:numPr>
          <w:ilvl w:val="12"/>
          <w:numId w:val="0"/>
        </w:numPr>
        <w:tabs>
          <w:tab w:val="left" w:pos="360"/>
          <w:tab w:val="left" w:pos="720"/>
        </w:tabs>
        <w:autoSpaceDE w:val="0"/>
        <w:autoSpaceDN w:val="0"/>
        <w:adjustRightInd w:val="0"/>
        <w:ind w:left="284" w:hanging="284"/>
        <w:jc w:val="both"/>
        <w:rPr>
          <w:color w:val="000000" w:themeColor="text1"/>
          <w:sz w:val="18"/>
          <w:szCs w:val="18"/>
        </w:rPr>
      </w:pPr>
      <w:r>
        <w:rPr>
          <w:color w:val="000000" w:themeColor="text1"/>
          <w:sz w:val="18"/>
          <w:szCs w:val="18"/>
        </w:rPr>
        <w:br w:type="page"/>
      </w:r>
    </w:p>
    <w:p w14:paraId="29F5C632" w14:textId="77777777" w:rsidR="00E51CDD" w:rsidRPr="00DC512F" w:rsidRDefault="00E51CDD" w:rsidP="00E51CDD">
      <w:pPr>
        <w:pStyle w:val="RepNewPart"/>
        <w:rPr>
          <w:color w:val="000000" w:themeColor="text1"/>
        </w:rPr>
      </w:pPr>
      <w:r w:rsidRPr="00DC512F">
        <w:rPr>
          <w:color w:val="000000" w:themeColor="text1"/>
        </w:rPr>
        <w:lastRenderedPageBreak/>
        <w:t>Risk assessment for fish-eating mammals via secondary poisoning</w:t>
      </w:r>
    </w:p>
    <w:p w14:paraId="54C13FB5" w14:textId="77777777" w:rsidR="00E51CDD" w:rsidRPr="00DC512F" w:rsidRDefault="00E51CDD" w:rsidP="00E51CDD">
      <w:pPr>
        <w:widowControl w:val="0"/>
        <w:jc w:val="both"/>
        <w:rPr>
          <w:color w:val="000000" w:themeColor="text1"/>
          <w:lang w:val="en-GB"/>
        </w:rPr>
      </w:pPr>
      <w:bookmarkStart w:id="411" w:name="_Toc412643990"/>
      <w:bookmarkStart w:id="412" w:name="_Toc413916836"/>
      <w:bookmarkStart w:id="413" w:name="_Toc413916978"/>
      <w:bookmarkStart w:id="414" w:name="_Toc413922039"/>
      <w:bookmarkStart w:id="415" w:name="_Toc413922528"/>
      <w:bookmarkStart w:id="416" w:name="_Toc413922632"/>
      <w:bookmarkStart w:id="417" w:name="_Toc414955269"/>
      <w:bookmarkStart w:id="418" w:name="_Toc415214576"/>
      <w:r w:rsidRPr="00DC512F">
        <w:rPr>
          <w:color w:val="000000" w:themeColor="text1"/>
          <w:lang w:val="en-GB"/>
        </w:rPr>
        <w:t>According to EFSA/2009/1438, the risk for piscivorous mammals is assessed for a mammal of 3000 g body weight with a daily food consumption of 425 g. Bioaccumulation in fish is estimated based on predicted concentrations in surface water.</w:t>
      </w:r>
    </w:p>
    <w:p w14:paraId="14B5F0E7" w14:textId="77777777" w:rsidR="00E51CDD" w:rsidRPr="00DC512F" w:rsidRDefault="00E51CDD" w:rsidP="00E51CDD">
      <w:pPr>
        <w:widowControl w:val="0"/>
        <w:jc w:val="both"/>
        <w:rPr>
          <w:color w:val="000000" w:themeColor="text1"/>
          <w:lang w:val="en-GB"/>
        </w:rPr>
      </w:pPr>
    </w:p>
    <w:p w14:paraId="22E781D8" w14:textId="1B999200" w:rsidR="00E51CDD" w:rsidRPr="00DC512F" w:rsidRDefault="00E51CDD" w:rsidP="00E51CDD">
      <w:pPr>
        <w:widowControl w:val="0"/>
        <w:jc w:val="both"/>
        <w:rPr>
          <w:color w:val="000000" w:themeColor="text1"/>
          <w:lang w:val="en-GB"/>
        </w:rPr>
      </w:pPr>
      <w:r w:rsidRPr="00DC512F">
        <w:rPr>
          <w:color w:val="000000" w:themeColor="text1"/>
          <w:lang w:val="en-GB"/>
        </w:rPr>
        <w:t xml:space="preserve">As shown in the following </w:t>
      </w:r>
      <w:r w:rsidRPr="003B53AB">
        <w:rPr>
          <w:color w:val="000000" w:themeColor="text1"/>
          <w:lang w:val="en-GB"/>
        </w:rPr>
        <w:fldChar w:fldCharType="begin"/>
      </w:r>
      <w:r w:rsidRPr="003B53AB">
        <w:rPr>
          <w:color w:val="000000" w:themeColor="text1"/>
          <w:lang w:val="en-GB"/>
        </w:rPr>
        <w:instrText xml:space="preserve"> REF _Ref85204775 \h  \* MERGEFORMAT </w:instrText>
      </w:r>
      <w:r w:rsidRPr="003B53AB">
        <w:rPr>
          <w:color w:val="000000" w:themeColor="text1"/>
          <w:lang w:val="en-GB"/>
        </w:rPr>
      </w:r>
      <w:r w:rsidRPr="003B53AB">
        <w:rPr>
          <w:color w:val="000000" w:themeColor="text1"/>
          <w:lang w:val="en-GB"/>
        </w:rPr>
        <w:fldChar w:fldCharType="separate"/>
      </w:r>
      <w:r w:rsidR="00662F32" w:rsidRPr="00662F32">
        <w:rPr>
          <w:color w:val="000000" w:themeColor="text1"/>
          <w:lang w:val="en-GB"/>
        </w:rPr>
        <w:t xml:space="preserve">Table </w:t>
      </w:r>
      <w:r w:rsidR="00662F32" w:rsidRPr="00662F32">
        <w:rPr>
          <w:noProof/>
          <w:color w:val="000000" w:themeColor="text1"/>
          <w:lang w:val="en-GB"/>
        </w:rPr>
        <w:t>9.3</w:t>
      </w:r>
      <w:r w:rsidR="00662F32" w:rsidRPr="00662F32">
        <w:rPr>
          <w:noProof/>
          <w:color w:val="000000" w:themeColor="text1"/>
          <w:lang w:val="en-GB"/>
        </w:rPr>
        <w:noBreakHyphen/>
        <w:t>20</w:t>
      </w:r>
      <w:r w:rsidRPr="003B53AB">
        <w:rPr>
          <w:color w:val="000000" w:themeColor="text1"/>
          <w:lang w:val="en-GB"/>
        </w:rPr>
        <w:fldChar w:fldCharType="end"/>
      </w:r>
      <w:r>
        <w:rPr>
          <w:color w:val="000000" w:themeColor="text1"/>
          <w:lang w:val="en-GB"/>
        </w:rPr>
        <w:t xml:space="preserve">, </w:t>
      </w:r>
      <w:r w:rsidRPr="00DC512F">
        <w:rPr>
          <w:color w:val="000000" w:themeColor="text1"/>
          <w:lang w:val="en-GB"/>
        </w:rPr>
        <w:t>the TER</w:t>
      </w:r>
      <w:r w:rsidRPr="00DC512F">
        <w:rPr>
          <w:color w:val="000000" w:themeColor="text1"/>
          <w:vertAlign w:val="subscript"/>
          <w:lang w:val="en-GB"/>
        </w:rPr>
        <w:t>LT</w:t>
      </w:r>
      <w:r w:rsidRPr="00DC512F">
        <w:rPr>
          <w:color w:val="000000" w:themeColor="text1"/>
          <w:lang w:val="en-GB"/>
        </w:rPr>
        <w:t xml:space="preserve"> for both fluxapyroxad exceeds the relevant trigger of 5 for acceptability of effects, indicating an acceptable risk to fish-eating mammals via secondary poisoning.</w:t>
      </w:r>
    </w:p>
    <w:p w14:paraId="266D1097" w14:textId="77777777" w:rsidR="00E51CDD" w:rsidRDefault="00E51CDD" w:rsidP="00E51CDD">
      <w:pPr>
        <w:widowControl w:val="0"/>
        <w:ind w:left="1440" w:hanging="1440"/>
        <w:jc w:val="both"/>
        <w:rPr>
          <w:b/>
          <w:bCs/>
          <w:color w:val="000000" w:themeColor="text1"/>
          <w:lang w:val="en-GB"/>
        </w:rPr>
      </w:pPr>
      <w:bookmarkStart w:id="419" w:name="_Ref39845664"/>
    </w:p>
    <w:p w14:paraId="41223185" w14:textId="74196F79" w:rsidR="00E51CDD" w:rsidRPr="00245A0B" w:rsidRDefault="00E51CDD" w:rsidP="00E51CDD">
      <w:pPr>
        <w:widowControl w:val="0"/>
        <w:ind w:left="1980" w:hanging="1980"/>
        <w:jc w:val="both"/>
        <w:rPr>
          <w:b/>
          <w:bCs/>
          <w:color w:val="000000" w:themeColor="text1"/>
          <w:lang w:val="en-GB"/>
        </w:rPr>
      </w:pPr>
      <w:bookmarkStart w:id="420" w:name="_Ref85204775"/>
      <w:r w:rsidRPr="00245A0B">
        <w:rPr>
          <w:b/>
          <w:bCs/>
          <w:color w:val="000000" w:themeColor="text1"/>
          <w:lang w:val="en-GB"/>
        </w:rPr>
        <w:t xml:space="preserve">Table </w:t>
      </w:r>
      <w:r w:rsidRPr="00245A0B">
        <w:rPr>
          <w:b/>
          <w:bCs/>
          <w:color w:val="000000" w:themeColor="text1"/>
          <w:lang w:val="en-GB"/>
        </w:rPr>
        <w:fldChar w:fldCharType="begin"/>
      </w:r>
      <w:r w:rsidRPr="00245A0B">
        <w:rPr>
          <w:b/>
          <w:bCs/>
          <w:color w:val="000000" w:themeColor="text1"/>
          <w:lang w:val="en-GB"/>
        </w:rPr>
        <w:instrText xml:space="preserve"> STYLEREF 2 \s </w:instrText>
      </w:r>
      <w:r w:rsidRPr="00245A0B">
        <w:rPr>
          <w:b/>
          <w:bCs/>
          <w:color w:val="000000" w:themeColor="text1"/>
          <w:lang w:val="en-GB"/>
        </w:rPr>
        <w:fldChar w:fldCharType="separate"/>
      </w:r>
      <w:r w:rsidR="00662F32">
        <w:rPr>
          <w:b/>
          <w:bCs/>
          <w:noProof/>
          <w:color w:val="000000" w:themeColor="text1"/>
          <w:lang w:val="en-GB"/>
        </w:rPr>
        <w:t>9.3</w:t>
      </w:r>
      <w:r w:rsidRPr="00245A0B">
        <w:rPr>
          <w:b/>
          <w:bCs/>
          <w:color w:val="000000" w:themeColor="text1"/>
          <w:lang w:val="en-GB"/>
        </w:rPr>
        <w:fldChar w:fldCharType="end"/>
      </w:r>
      <w:r w:rsidRPr="00245A0B">
        <w:rPr>
          <w:b/>
          <w:bCs/>
          <w:color w:val="000000" w:themeColor="text1"/>
          <w:lang w:val="en-GB"/>
        </w:rPr>
        <w:noBreakHyphen/>
      </w:r>
      <w:r w:rsidRPr="00245A0B">
        <w:rPr>
          <w:b/>
          <w:bCs/>
          <w:color w:val="000000" w:themeColor="text1"/>
          <w:lang w:val="en-GB"/>
        </w:rPr>
        <w:fldChar w:fldCharType="begin"/>
      </w:r>
      <w:r w:rsidRPr="00245A0B">
        <w:rPr>
          <w:b/>
          <w:bCs/>
          <w:color w:val="000000" w:themeColor="text1"/>
          <w:lang w:val="en-GB"/>
        </w:rPr>
        <w:instrText xml:space="preserve"> SEQ Table \* ARABIC \s 2 </w:instrText>
      </w:r>
      <w:r w:rsidRPr="00245A0B">
        <w:rPr>
          <w:b/>
          <w:bCs/>
          <w:color w:val="000000" w:themeColor="text1"/>
          <w:lang w:val="en-GB"/>
        </w:rPr>
        <w:fldChar w:fldCharType="separate"/>
      </w:r>
      <w:r w:rsidR="00662F32">
        <w:rPr>
          <w:b/>
          <w:bCs/>
          <w:noProof/>
          <w:color w:val="000000" w:themeColor="text1"/>
          <w:lang w:val="en-GB"/>
        </w:rPr>
        <w:t>20</w:t>
      </w:r>
      <w:r w:rsidRPr="00245A0B">
        <w:rPr>
          <w:b/>
          <w:bCs/>
          <w:color w:val="000000" w:themeColor="text1"/>
          <w:lang w:val="en-GB"/>
        </w:rPr>
        <w:fldChar w:fldCharType="end"/>
      </w:r>
      <w:bookmarkEnd w:id="419"/>
      <w:bookmarkEnd w:id="420"/>
      <w:r w:rsidRPr="00245A0B">
        <w:rPr>
          <w:b/>
          <w:bCs/>
          <w:color w:val="000000" w:themeColor="text1"/>
          <w:lang w:val="en-GB"/>
        </w:rPr>
        <w:t>:</w:t>
      </w:r>
      <w:r w:rsidRPr="00245A0B">
        <w:rPr>
          <w:b/>
          <w:bCs/>
          <w:color w:val="000000" w:themeColor="text1"/>
          <w:lang w:val="en-GB"/>
        </w:rPr>
        <w:tab/>
        <w:t>Assessment of the risk for fish-eating mammals due to exposure to fluxapyroxad via bioaccumulation in fish (secondary poisoning) for the intended use</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52"/>
        <w:gridCol w:w="2693"/>
        <w:gridCol w:w="3397"/>
      </w:tblGrid>
      <w:tr w:rsidR="00E51CDD" w:rsidRPr="00245A0B" w14:paraId="45863C09" w14:textId="77777777" w:rsidTr="009938D9">
        <w:trPr>
          <w:cantSplit/>
          <w:trHeight w:val="366"/>
          <w:tblHeader/>
        </w:trPr>
        <w:tc>
          <w:tcPr>
            <w:tcW w:w="1705" w:type="pct"/>
            <w:vAlign w:val="center"/>
          </w:tcPr>
          <w:p w14:paraId="57D28BCA" w14:textId="77777777" w:rsidR="00E51CDD" w:rsidRPr="00245A0B" w:rsidRDefault="00E51CDD" w:rsidP="009938D9">
            <w:pPr>
              <w:widowControl w:val="0"/>
              <w:numPr>
                <w:ilvl w:val="12"/>
                <w:numId w:val="0"/>
              </w:numPr>
              <w:jc w:val="center"/>
              <w:rPr>
                <w:b/>
                <w:color w:val="000000" w:themeColor="text1"/>
                <w:sz w:val="20"/>
                <w:szCs w:val="20"/>
                <w:lang w:val="en-GB"/>
              </w:rPr>
            </w:pPr>
            <w:r w:rsidRPr="00245A0B">
              <w:rPr>
                <w:b/>
                <w:color w:val="000000" w:themeColor="text1"/>
                <w:sz w:val="20"/>
                <w:szCs w:val="20"/>
                <w:lang w:val="en-GB"/>
              </w:rPr>
              <w:t>Parameter</w:t>
            </w:r>
          </w:p>
        </w:tc>
        <w:tc>
          <w:tcPr>
            <w:tcW w:w="1457" w:type="pct"/>
            <w:vAlign w:val="center"/>
          </w:tcPr>
          <w:p w14:paraId="4349A15E" w14:textId="77777777" w:rsidR="00E51CDD" w:rsidRPr="00245A0B" w:rsidRDefault="00E51CDD" w:rsidP="009938D9">
            <w:pPr>
              <w:widowControl w:val="0"/>
              <w:numPr>
                <w:ilvl w:val="12"/>
                <w:numId w:val="0"/>
              </w:numPr>
              <w:jc w:val="center"/>
              <w:rPr>
                <w:b/>
                <w:bCs/>
                <w:color w:val="000000" w:themeColor="text1"/>
                <w:sz w:val="20"/>
                <w:szCs w:val="20"/>
                <w:lang w:val="en-GB"/>
              </w:rPr>
            </w:pPr>
            <w:r w:rsidRPr="00245A0B">
              <w:rPr>
                <w:b/>
                <w:bCs/>
                <w:color w:val="000000" w:themeColor="text1"/>
                <w:sz w:val="20"/>
              </w:rPr>
              <w:t>Fluxapyroxad</w:t>
            </w:r>
          </w:p>
        </w:tc>
        <w:tc>
          <w:tcPr>
            <w:tcW w:w="1838" w:type="pct"/>
            <w:vAlign w:val="center"/>
          </w:tcPr>
          <w:p w14:paraId="7AC07CF2" w14:textId="77777777" w:rsidR="00E51CDD" w:rsidRPr="00245A0B" w:rsidRDefault="00E51CDD" w:rsidP="009938D9">
            <w:pPr>
              <w:widowControl w:val="0"/>
              <w:numPr>
                <w:ilvl w:val="12"/>
                <w:numId w:val="0"/>
              </w:numPr>
              <w:jc w:val="center"/>
              <w:rPr>
                <w:b/>
                <w:bCs/>
                <w:color w:val="000000" w:themeColor="text1"/>
                <w:sz w:val="20"/>
                <w:szCs w:val="20"/>
                <w:lang w:val="en-GB"/>
              </w:rPr>
            </w:pPr>
            <w:r w:rsidRPr="00245A0B">
              <w:rPr>
                <w:b/>
                <w:bCs/>
                <w:color w:val="000000" w:themeColor="text1"/>
                <w:sz w:val="20"/>
              </w:rPr>
              <w:t>Reference</w:t>
            </w:r>
          </w:p>
        </w:tc>
      </w:tr>
      <w:tr w:rsidR="00E51CDD" w:rsidRPr="00245A0B" w14:paraId="62E2A280" w14:textId="77777777" w:rsidTr="009938D9">
        <w:trPr>
          <w:cantSplit/>
          <w:trHeight w:val="403"/>
        </w:trPr>
        <w:tc>
          <w:tcPr>
            <w:tcW w:w="1705" w:type="pct"/>
            <w:vAlign w:val="center"/>
          </w:tcPr>
          <w:p w14:paraId="49BA034E" w14:textId="77777777" w:rsidR="00E51CDD" w:rsidRPr="00245A0B" w:rsidRDefault="00E51CDD" w:rsidP="009938D9">
            <w:pPr>
              <w:widowControl w:val="0"/>
              <w:numPr>
                <w:ilvl w:val="12"/>
                <w:numId w:val="0"/>
              </w:numPr>
              <w:rPr>
                <w:color w:val="000000" w:themeColor="text1"/>
                <w:sz w:val="20"/>
                <w:szCs w:val="20"/>
                <w:lang w:val="de-DE"/>
              </w:rPr>
            </w:pPr>
            <w:r w:rsidRPr="00245A0B">
              <w:rPr>
                <w:color w:val="000000" w:themeColor="text1"/>
                <w:sz w:val="20"/>
                <w:lang w:val="de-DE"/>
              </w:rPr>
              <w:t>PEC</w:t>
            </w:r>
            <w:r w:rsidRPr="00245A0B">
              <w:rPr>
                <w:color w:val="000000" w:themeColor="text1"/>
                <w:sz w:val="20"/>
                <w:vertAlign w:val="subscript"/>
                <w:lang w:val="de-DE"/>
              </w:rPr>
              <w:t>sw</w:t>
            </w:r>
            <w:r w:rsidRPr="00245A0B">
              <w:rPr>
                <w:color w:val="000000" w:themeColor="text1"/>
                <w:sz w:val="20"/>
                <w:lang w:val="de-DE"/>
              </w:rPr>
              <w:t xml:space="preserve"> (twa, 21 d) [mg/L] </w:t>
            </w:r>
            <w:r w:rsidRPr="00245A0B">
              <w:rPr>
                <w:color w:val="000000" w:themeColor="text1"/>
                <w:sz w:val="20"/>
                <w:vertAlign w:val="superscript"/>
                <w:lang w:val="de-DE"/>
              </w:rPr>
              <w:t>1)</w:t>
            </w:r>
          </w:p>
        </w:tc>
        <w:tc>
          <w:tcPr>
            <w:tcW w:w="1457" w:type="pct"/>
            <w:shd w:val="clear" w:color="auto" w:fill="FFFFFF"/>
            <w:vAlign w:val="center"/>
          </w:tcPr>
          <w:p w14:paraId="001D9F9B" w14:textId="77777777" w:rsidR="00E51CDD" w:rsidRPr="00245A0B" w:rsidRDefault="00E51CDD" w:rsidP="009938D9">
            <w:pPr>
              <w:widowControl w:val="0"/>
              <w:numPr>
                <w:ilvl w:val="12"/>
                <w:numId w:val="0"/>
              </w:numPr>
              <w:jc w:val="center"/>
              <w:rPr>
                <w:color w:val="000000" w:themeColor="text1"/>
                <w:sz w:val="20"/>
                <w:szCs w:val="20"/>
                <w:lang w:val="en-GB"/>
              </w:rPr>
            </w:pPr>
            <w:r>
              <w:rPr>
                <w:color w:val="000000" w:themeColor="text1"/>
                <w:sz w:val="20"/>
              </w:rPr>
              <w:t>6.123</w:t>
            </w:r>
            <w:r w:rsidRPr="00245A0B">
              <w:rPr>
                <w:color w:val="000000" w:themeColor="text1"/>
                <w:sz w:val="20"/>
              </w:rPr>
              <w:t xml:space="preserve"> </w:t>
            </w:r>
            <w:r w:rsidRPr="00245A0B">
              <w:rPr>
                <w:color w:val="000000" w:themeColor="text1"/>
                <w:sz w:val="20"/>
                <w:szCs w:val="20"/>
              </w:rPr>
              <w:t xml:space="preserve">× </w:t>
            </w:r>
            <w:r w:rsidRPr="00245A0B">
              <w:rPr>
                <w:color w:val="000000" w:themeColor="text1"/>
                <w:sz w:val="20"/>
              </w:rPr>
              <w:t>10</w:t>
            </w:r>
            <w:r w:rsidRPr="00245A0B">
              <w:rPr>
                <w:color w:val="000000" w:themeColor="text1"/>
                <w:sz w:val="20"/>
                <w:vertAlign w:val="superscript"/>
              </w:rPr>
              <w:t>-3</w:t>
            </w:r>
          </w:p>
        </w:tc>
        <w:tc>
          <w:tcPr>
            <w:tcW w:w="1838" w:type="pct"/>
            <w:vAlign w:val="center"/>
          </w:tcPr>
          <w:p w14:paraId="0B80AFBD" w14:textId="72E34BCF" w:rsidR="00E51CDD" w:rsidRPr="00245A0B" w:rsidRDefault="00E51CDD" w:rsidP="009938D9">
            <w:pPr>
              <w:widowControl w:val="0"/>
              <w:overflowPunct w:val="0"/>
              <w:autoSpaceDE w:val="0"/>
              <w:autoSpaceDN w:val="0"/>
              <w:adjustRightInd w:val="0"/>
              <w:jc w:val="center"/>
              <w:textAlignment w:val="baseline"/>
              <w:rPr>
                <w:strike/>
                <w:color w:val="000000" w:themeColor="text1"/>
                <w:sz w:val="20"/>
                <w:szCs w:val="20"/>
                <w:lang w:val="en-GB"/>
              </w:rPr>
            </w:pPr>
            <w:r w:rsidRPr="00245A0B">
              <w:rPr>
                <w:color w:val="000000" w:themeColor="text1"/>
                <w:sz w:val="20"/>
                <w:szCs w:val="20"/>
                <w:lang w:val="de-DE"/>
              </w:rPr>
              <w:t>Chapter 8.9</w:t>
            </w:r>
            <w:r w:rsidR="00925DBD">
              <w:rPr>
                <w:color w:val="000000" w:themeColor="text1"/>
                <w:sz w:val="20"/>
                <w:szCs w:val="20"/>
                <w:lang w:val="de-DE"/>
              </w:rPr>
              <w:t xml:space="preserve"> </w:t>
            </w:r>
            <w:r w:rsidR="00925DBD" w:rsidRPr="00B9764C">
              <w:rPr>
                <w:color w:val="000000" w:themeColor="text1"/>
                <w:sz w:val="20"/>
                <w:szCs w:val="20"/>
                <w:shd w:val="clear" w:color="auto" w:fill="D9D9D9" w:themeFill="background1" w:themeFillShade="D9"/>
              </w:rPr>
              <w:t>(Step 2, Northern Europe)</w:t>
            </w:r>
          </w:p>
        </w:tc>
      </w:tr>
      <w:tr w:rsidR="00E51CDD" w:rsidRPr="00245A0B" w14:paraId="40D1C798" w14:textId="77777777" w:rsidTr="009938D9">
        <w:trPr>
          <w:cantSplit/>
          <w:trHeight w:val="547"/>
        </w:trPr>
        <w:tc>
          <w:tcPr>
            <w:tcW w:w="1705" w:type="pct"/>
            <w:vAlign w:val="center"/>
          </w:tcPr>
          <w:p w14:paraId="2B810399" w14:textId="77777777" w:rsidR="00E51CDD" w:rsidRPr="00245A0B" w:rsidRDefault="00E51CDD" w:rsidP="009938D9">
            <w:pPr>
              <w:widowControl w:val="0"/>
              <w:numPr>
                <w:ilvl w:val="12"/>
                <w:numId w:val="0"/>
              </w:numPr>
              <w:rPr>
                <w:color w:val="000000" w:themeColor="text1"/>
                <w:sz w:val="20"/>
                <w:szCs w:val="20"/>
                <w:lang w:val="en-GB"/>
              </w:rPr>
            </w:pPr>
            <w:r w:rsidRPr="00245A0B">
              <w:rPr>
                <w:color w:val="000000" w:themeColor="text1"/>
                <w:sz w:val="20"/>
                <w:szCs w:val="20"/>
              </w:rPr>
              <w:t>BC</w:t>
            </w:r>
            <w:r>
              <w:rPr>
                <w:color w:val="000000" w:themeColor="text1"/>
                <w:sz w:val="20"/>
                <w:szCs w:val="20"/>
              </w:rPr>
              <w:t>F</w:t>
            </w:r>
            <w:r w:rsidRPr="008574D2">
              <w:rPr>
                <w:color w:val="000000" w:themeColor="text1"/>
                <w:sz w:val="20"/>
                <w:szCs w:val="20"/>
                <w:vertAlign w:val="subscript"/>
              </w:rPr>
              <w:t>fish</w:t>
            </w:r>
            <w:r w:rsidRPr="00245A0B">
              <w:rPr>
                <w:color w:val="000000" w:themeColor="text1"/>
                <w:sz w:val="20"/>
                <w:szCs w:val="20"/>
              </w:rPr>
              <w:t xml:space="preserve"> (max. worst case)</w:t>
            </w:r>
          </w:p>
        </w:tc>
        <w:tc>
          <w:tcPr>
            <w:tcW w:w="1457" w:type="pct"/>
            <w:vAlign w:val="center"/>
          </w:tcPr>
          <w:p w14:paraId="0F73DFD9" w14:textId="77777777" w:rsidR="00E51CDD" w:rsidRPr="00245A0B" w:rsidRDefault="00E51CDD" w:rsidP="009938D9">
            <w:pPr>
              <w:widowControl w:val="0"/>
              <w:numPr>
                <w:ilvl w:val="12"/>
                <w:numId w:val="0"/>
              </w:numPr>
              <w:jc w:val="center"/>
              <w:rPr>
                <w:color w:val="000000" w:themeColor="text1"/>
                <w:sz w:val="20"/>
                <w:szCs w:val="20"/>
                <w:lang w:val="en-GB"/>
              </w:rPr>
            </w:pPr>
            <w:r w:rsidRPr="00245A0B">
              <w:rPr>
                <w:color w:val="000000" w:themeColor="text1"/>
                <w:sz w:val="20"/>
                <w:szCs w:val="20"/>
                <w:lang w:val="en-GB"/>
              </w:rPr>
              <w:t>36</w:t>
            </w:r>
          </w:p>
        </w:tc>
        <w:tc>
          <w:tcPr>
            <w:tcW w:w="1838" w:type="pct"/>
            <w:vAlign w:val="center"/>
          </w:tcPr>
          <w:p w14:paraId="6B5F4472" w14:textId="77777777" w:rsidR="00E51CDD" w:rsidRPr="00245A0B" w:rsidRDefault="00E51CDD" w:rsidP="009938D9">
            <w:pPr>
              <w:widowControl w:val="0"/>
              <w:ind w:right="72"/>
              <w:jc w:val="center"/>
              <w:rPr>
                <w:color w:val="000000" w:themeColor="text1"/>
                <w:sz w:val="20"/>
                <w:szCs w:val="20"/>
                <w:lang w:val="en-GB"/>
              </w:rPr>
            </w:pPr>
            <w:r w:rsidRPr="00245A0B">
              <w:rPr>
                <w:color w:val="000000" w:themeColor="text1"/>
                <w:sz w:val="20"/>
                <w:szCs w:val="20"/>
                <w:lang w:val="en-GB"/>
              </w:rPr>
              <w:t>EFSA Journal 2012;10(1): 2522</w:t>
            </w:r>
          </w:p>
        </w:tc>
      </w:tr>
      <w:tr w:rsidR="00E51CDD" w:rsidRPr="00245A0B" w14:paraId="1381C3CE" w14:textId="77777777" w:rsidTr="009938D9">
        <w:trPr>
          <w:cantSplit/>
          <w:trHeight w:val="397"/>
        </w:trPr>
        <w:tc>
          <w:tcPr>
            <w:tcW w:w="1705" w:type="pct"/>
            <w:vAlign w:val="center"/>
          </w:tcPr>
          <w:p w14:paraId="4AE2E790" w14:textId="77777777" w:rsidR="00E51CDD" w:rsidRPr="00245A0B" w:rsidRDefault="00E51CDD" w:rsidP="009938D9">
            <w:pPr>
              <w:widowControl w:val="0"/>
              <w:numPr>
                <w:ilvl w:val="12"/>
                <w:numId w:val="0"/>
              </w:numPr>
              <w:rPr>
                <w:color w:val="000000" w:themeColor="text1"/>
                <w:sz w:val="20"/>
                <w:szCs w:val="20"/>
                <w:lang w:val="en-GB"/>
              </w:rPr>
            </w:pPr>
            <w:r w:rsidRPr="00245A0B">
              <w:rPr>
                <w:color w:val="000000" w:themeColor="text1"/>
                <w:sz w:val="20"/>
              </w:rPr>
              <w:t>PEC</w:t>
            </w:r>
            <w:r w:rsidRPr="00245A0B">
              <w:rPr>
                <w:color w:val="000000" w:themeColor="text1"/>
                <w:sz w:val="20"/>
                <w:vertAlign w:val="subscript"/>
              </w:rPr>
              <w:t>fish</w:t>
            </w:r>
            <w:r w:rsidRPr="00245A0B">
              <w:rPr>
                <w:color w:val="000000" w:themeColor="text1"/>
                <w:sz w:val="20"/>
              </w:rPr>
              <w:t xml:space="preserve"> [mg/kg] </w:t>
            </w:r>
            <w:r w:rsidRPr="00245A0B">
              <w:rPr>
                <w:color w:val="000000" w:themeColor="text1"/>
                <w:sz w:val="20"/>
                <w:vertAlign w:val="superscript"/>
              </w:rPr>
              <w:t>2)</w:t>
            </w:r>
          </w:p>
        </w:tc>
        <w:tc>
          <w:tcPr>
            <w:tcW w:w="1457" w:type="pct"/>
            <w:vAlign w:val="center"/>
          </w:tcPr>
          <w:p w14:paraId="7DDA54E1" w14:textId="77777777" w:rsidR="00E51CDD" w:rsidRPr="00245A0B" w:rsidRDefault="00E51CDD" w:rsidP="009938D9">
            <w:pPr>
              <w:widowControl w:val="0"/>
              <w:numPr>
                <w:ilvl w:val="12"/>
                <w:numId w:val="0"/>
              </w:numPr>
              <w:jc w:val="center"/>
              <w:rPr>
                <w:color w:val="000000" w:themeColor="text1"/>
                <w:sz w:val="20"/>
                <w:szCs w:val="20"/>
              </w:rPr>
            </w:pPr>
            <w:r w:rsidRPr="00245A0B">
              <w:rPr>
                <w:color w:val="000000" w:themeColor="text1"/>
                <w:sz w:val="20"/>
                <w:szCs w:val="20"/>
              </w:rPr>
              <w:t>0.</w:t>
            </w:r>
            <w:r>
              <w:rPr>
                <w:color w:val="000000" w:themeColor="text1"/>
                <w:sz w:val="20"/>
                <w:szCs w:val="20"/>
              </w:rPr>
              <w:t>220</w:t>
            </w:r>
          </w:p>
        </w:tc>
        <w:tc>
          <w:tcPr>
            <w:tcW w:w="1838" w:type="pct"/>
            <w:vAlign w:val="center"/>
          </w:tcPr>
          <w:p w14:paraId="3BF72636" w14:textId="77777777" w:rsidR="00E51CDD" w:rsidRPr="00245A0B" w:rsidRDefault="00E51CDD" w:rsidP="009938D9">
            <w:pPr>
              <w:widowControl w:val="0"/>
              <w:overflowPunct w:val="0"/>
              <w:autoSpaceDE w:val="0"/>
              <w:autoSpaceDN w:val="0"/>
              <w:adjustRightInd w:val="0"/>
              <w:jc w:val="center"/>
              <w:textAlignment w:val="baseline"/>
              <w:rPr>
                <w:color w:val="000000" w:themeColor="text1"/>
                <w:sz w:val="20"/>
                <w:szCs w:val="20"/>
                <w:lang w:val="en-GB"/>
              </w:rPr>
            </w:pPr>
            <w:r w:rsidRPr="00245A0B">
              <w:rPr>
                <w:color w:val="000000" w:themeColor="text1"/>
                <w:sz w:val="20"/>
                <w:szCs w:val="20"/>
                <w:lang w:val="de-DE"/>
              </w:rPr>
              <w:t xml:space="preserve">-- </w:t>
            </w:r>
          </w:p>
        </w:tc>
      </w:tr>
      <w:tr w:rsidR="00E51CDD" w:rsidRPr="00245A0B" w14:paraId="62DD5B7D" w14:textId="77777777" w:rsidTr="009938D9">
        <w:trPr>
          <w:cantSplit/>
          <w:trHeight w:val="397"/>
        </w:trPr>
        <w:tc>
          <w:tcPr>
            <w:tcW w:w="1705" w:type="pct"/>
            <w:vAlign w:val="center"/>
          </w:tcPr>
          <w:p w14:paraId="744175AC" w14:textId="77777777" w:rsidR="00E51CDD" w:rsidRPr="00245A0B" w:rsidRDefault="00E51CDD" w:rsidP="009938D9">
            <w:pPr>
              <w:widowControl w:val="0"/>
              <w:numPr>
                <w:ilvl w:val="12"/>
                <w:numId w:val="0"/>
              </w:numPr>
              <w:rPr>
                <w:color w:val="000000" w:themeColor="text1"/>
                <w:sz w:val="20"/>
                <w:szCs w:val="20"/>
                <w:lang w:val="en-GB"/>
              </w:rPr>
            </w:pPr>
            <w:r w:rsidRPr="00245A0B">
              <w:rPr>
                <w:color w:val="000000" w:themeColor="text1"/>
                <w:sz w:val="20"/>
              </w:rPr>
              <w:t xml:space="preserve">Daily dose [mg/kg b.w./d] </w:t>
            </w:r>
            <w:r w:rsidRPr="00245A0B">
              <w:rPr>
                <w:color w:val="000000" w:themeColor="text1"/>
                <w:sz w:val="20"/>
                <w:vertAlign w:val="superscript"/>
              </w:rPr>
              <w:t>3)</w:t>
            </w:r>
          </w:p>
        </w:tc>
        <w:tc>
          <w:tcPr>
            <w:tcW w:w="1457" w:type="pct"/>
            <w:vAlign w:val="center"/>
          </w:tcPr>
          <w:p w14:paraId="0E4C3E66" w14:textId="77777777" w:rsidR="00E51CDD" w:rsidRPr="00245A0B" w:rsidRDefault="00E51CDD" w:rsidP="009938D9">
            <w:pPr>
              <w:widowControl w:val="0"/>
              <w:numPr>
                <w:ilvl w:val="12"/>
                <w:numId w:val="0"/>
              </w:numPr>
              <w:jc w:val="center"/>
              <w:rPr>
                <w:color w:val="000000" w:themeColor="text1"/>
                <w:sz w:val="20"/>
                <w:szCs w:val="20"/>
              </w:rPr>
            </w:pPr>
            <w:r w:rsidRPr="00245A0B">
              <w:rPr>
                <w:color w:val="000000" w:themeColor="text1"/>
                <w:sz w:val="20"/>
                <w:szCs w:val="20"/>
              </w:rPr>
              <w:t>0.0</w:t>
            </w:r>
            <w:r>
              <w:rPr>
                <w:color w:val="000000" w:themeColor="text1"/>
                <w:sz w:val="20"/>
                <w:szCs w:val="20"/>
              </w:rPr>
              <w:t>31</w:t>
            </w:r>
          </w:p>
        </w:tc>
        <w:tc>
          <w:tcPr>
            <w:tcW w:w="1838" w:type="pct"/>
            <w:vAlign w:val="center"/>
          </w:tcPr>
          <w:p w14:paraId="1E028CB9" w14:textId="77777777" w:rsidR="00E51CDD" w:rsidRPr="00245A0B" w:rsidRDefault="00E51CDD" w:rsidP="009938D9">
            <w:pPr>
              <w:widowControl w:val="0"/>
              <w:overflowPunct w:val="0"/>
              <w:autoSpaceDE w:val="0"/>
              <w:autoSpaceDN w:val="0"/>
              <w:adjustRightInd w:val="0"/>
              <w:jc w:val="center"/>
              <w:textAlignment w:val="baseline"/>
              <w:rPr>
                <w:color w:val="000000" w:themeColor="text1"/>
                <w:sz w:val="20"/>
                <w:szCs w:val="20"/>
                <w:lang w:val="en-GB"/>
              </w:rPr>
            </w:pPr>
            <w:r w:rsidRPr="00245A0B">
              <w:rPr>
                <w:color w:val="000000" w:themeColor="text1"/>
                <w:sz w:val="20"/>
                <w:szCs w:val="20"/>
                <w:lang w:val="en-GB"/>
              </w:rPr>
              <w:t>--</w:t>
            </w:r>
          </w:p>
        </w:tc>
      </w:tr>
      <w:tr w:rsidR="00E51CDD" w:rsidRPr="00245A0B" w14:paraId="344E3830" w14:textId="77777777" w:rsidTr="009938D9">
        <w:trPr>
          <w:cantSplit/>
          <w:trHeight w:val="403"/>
        </w:trPr>
        <w:tc>
          <w:tcPr>
            <w:tcW w:w="1705" w:type="pct"/>
            <w:vAlign w:val="center"/>
          </w:tcPr>
          <w:p w14:paraId="610BB2C9" w14:textId="77777777" w:rsidR="00E51CDD" w:rsidRPr="00245A0B" w:rsidRDefault="00E51CDD" w:rsidP="009938D9">
            <w:pPr>
              <w:widowControl w:val="0"/>
              <w:numPr>
                <w:ilvl w:val="12"/>
                <w:numId w:val="0"/>
              </w:numPr>
              <w:rPr>
                <w:color w:val="000000" w:themeColor="text1"/>
                <w:sz w:val="20"/>
                <w:szCs w:val="20"/>
                <w:lang w:val="es-ES_tradnl"/>
              </w:rPr>
            </w:pPr>
            <w:r w:rsidRPr="00245A0B">
              <w:rPr>
                <w:color w:val="000000" w:themeColor="text1"/>
                <w:sz w:val="20"/>
              </w:rPr>
              <w:t>NO(A)EL [mg/kg b.w./d]</w:t>
            </w:r>
          </w:p>
        </w:tc>
        <w:tc>
          <w:tcPr>
            <w:tcW w:w="1457" w:type="pct"/>
            <w:vAlign w:val="center"/>
          </w:tcPr>
          <w:p w14:paraId="18D6A3D6" w14:textId="77777777" w:rsidR="00E51CDD" w:rsidRPr="00245A0B" w:rsidRDefault="00E51CDD" w:rsidP="009938D9">
            <w:pPr>
              <w:widowControl w:val="0"/>
              <w:numPr>
                <w:ilvl w:val="12"/>
                <w:numId w:val="0"/>
              </w:numPr>
              <w:jc w:val="center"/>
              <w:rPr>
                <w:color w:val="000000" w:themeColor="text1"/>
                <w:sz w:val="20"/>
                <w:szCs w:val="20"/>
              </w:rPr>
            </w:pPr>
            <w:r w:rsidRPr="00245A0B">
              <w:rPr>
                <w:color w:val="000000" w:themeColor="text1"/>
                <w:sz w:val="20"/>
                <w:szCs w:val="20"/>
              </w:rPr>
              <w:t>10.0</w:t>
            </w:r>
          </w:p>
        </w:tc>
        <w:tc>
          <w:tcPr>
            <w:tcW w:w="1838" w:type="pct"/>
            <w:vAlign w:val="center"/>
          </w:tcPr>
          <w:p w14:paraId="7D5801E9" w14:textId="77777777" w:rsidR="00E51CDD" w:rsidRPr="00245A0B" w:rsidRDefault="00E51CDD" w:rsidP="009938D9">
            <w:pPr>
              <w:widowControl w:val="0"/>
              <w:overflowPunct w:val="0"/>
              <w:autoSpaceDE w:val="0"/>
              <w:autoSpaceDN w:val="0"/>
              <w:adjustRightInd w:val="0"/>
              <w:jc w:val="center"/>
              <w:textAlignment w:val="baseline"/>
              <w:rPr>
                <w:color w:val="000000" w:themeColor="text1"/>
                <w:sz w:val="20"/>
                <w:szCs w:val="20"/>
                <w:lang w:val="en-GB"/>
              </w:rPr>
            </w:pPr>
            <w:r w:rsidRPr="00245A0B">
              <w:rPr>
                <w:color w:val="000000" w:themeColor="text1"/>
                <w:sz w:val="20"/>
                <w:szCs w:val="20"/>
                <w:lang w:val="en-GB"/>
              </w:rPr>
              <w:t>Chapter 9.3.1</w:t>
            </w:r>
          </w:p>
        </w:tc>
      </w:tr>
      <w:tr w:rsidR="00E51CDD" w:rsidRPr="00245A0B" w14:paraId="300E1226" w14:textId="77777777" w:rsidTr="009938D9">
        <w:trPr>
          <w:cantSplit/>
          <w:trHeight w:val="397"/>
        </w:trPr>
        <w:tc>
          <w:tcPr>
            <w:tcW w:w="1705" w:type="pct"/>
            <w:vAlign w:val="center"/>
          </w:tcPr>
          <w:p w14:paraId="37CE5CAF" w14:textId="77777777" w:rsidR="00E51CDD" w:rsidRPr="00245A0B" w:rsidRDefault="00E51CDD" w:rsidP="009938D9">
            <w:pPr>
              <w:widowControl w:val="0"/>
              <w:numPr>
                <w:ilvl w:val="12"/>
                <w:numId w:val="0"/>
              </w:numPr>
              <w:rPr>
                <w:color w:val="000000" w:themeColor="text1"/>
                <w:sz w:val="20"/>
                <w:szCs w:val="20"/>
                <w:vertAlign w:val="superscript"/>
                <w:lang w:val="en-GB"/>
              </w:rPr>
            </w:pPr>
            <w:r w:rsidRPr="00245A0B">
              <w:rPr>
                <w:color w:val="000000" w:themeColor="text1"/>
                <w:sz w:val="20"/>
              </w:rPr>
              <w:t>TER</w:t>
            </w:r>
            <w:r w:rsidRPr="00245A0B">
              <w:rPr>
                <w:caps/>
                <w:color w:val="000000" w:themeColor="text1"/>
                <w:sz w:val="20"/>
                <w:vertAlign w:val="subscript"/>
              </w:rPr>
              <w:t xml:space="preserve">lt </w:t>
            </w:r>
            <w:r w:rsidRPr="00245A0B">
              <w:rPr>
                <w:caps/>
                <w:color w:val="000000" w:themeColor="text1"/>
                <w:sz w:val="20"/>
                <w:vertAlign w:val="superscript"/>
              </w:rPr>
              <w:t>4)</w:t>
            </w:r>
          </w:p>
        </w:tc>
        <w:tc>
          <w:tcPr>
            <w:tcW w:w="1457" w:type="pct"/>
            <w:vAlign w:val="center"/>
          </w:tcPr>
          <w:p w14:paraId="02C677D9" w14:textId="77777777" w:rsidR="00E51CDD" w:rsidRPr="00245A0B" w:rsidRDefault="00E51CDD" w:rsidP="009938D9">
            <w:pPr>
              <w:widowControl w:val="0"/>
              <w:numPr>
                <w:ilvl w:val="12"/>
                <w:numId w:val="0"/>
              </w:numPr>
              <w:jc w:val="center"/>
              <w:rPr>
                <w:color w:val="000000" w:themeColor="text1"/>
                <w:sz w:val="20"/>
                <w:szCs w:val="20"/>
              </w:rPr>
            </w:pPr>
            <w:r>
              <w:rPr>
                <w:color w:val="000000" w:themeColor="text1"/>
                <w:sz w:val="20"/>
                <w:szCs w:val="20"/>
              </w:rPr>
              <w:t>319.5</w:t>
            </w:r>
          </w:p>
        </w:tc>
        <w:tc>
          <w:tcPr>
            <w:tcW w:w="1838" w:type="pct"/>
            <w:vAlign w:val="center"/>
          </w:tcPr>
          <w:p w14:paraId="12F0843F" w14:textId="77777777" w:rsidR="00E51CDD" w:rsidRPr="00245A0B" w:rsidRDefault="00E51CDD" w:rsidP="009938D9">
            <w:pPr>
              <w:widowControl w:val="0"/>
              <w:overflowPunct w:val="0"/>
              <w:autoSpaceDE w:val="0"/>
              <w:autoSpaceDN w:val="0"/>
              <w:adjustRightInd w:val="0"/>
              <w:jc w:val="center"/>
              <w:textAlignment w:val="baseline"/>
              <w:rPr>
                <w:color w:val="000000" w:themeColor="text1"/>
                <w:sz w:val="20"/>
                <w:szCs w:val="20"/>
                <w:lang w:val="en-GB"/>
              </w:rPr>
            </w:pPr>
            <w:r w:rsidRPr="00245A0B">
              <w:rPr>
                <w:color w:val="000000" w:themeColor="text1"/>
                <w:sz w:val="20"/>
                <w:szCs w:val="20"/>
                <w:lang w:val="en-GB"/>
              </w:rPr>
              <w:t>--</w:t>
            </w:r>
          </w:p>
        </w:tc>
      </w:tr>
    </w:tbl>
    <w:p w14:paraId="26DAFB32" w14:textId="77777777" w:rsidR="00E51CDD" w:rsidRPr="00245A0B" w:rsidRDefault="00E51CDD" w:rsidP="00E51CDD">
      <w:pPr>
        <w:widowControl w:val="0"/>
        <w:numPr>
          <w:ilvl w:val="12"/>
          <w:numId w:val="0"/>
        </w:numPr>
        <w:tabs>
          <w:tab w:val="left" w:pos="284"/>
        </w:tabs>
        <w:autoSpaceDE w:val="0"/>
        <w:autoSpaceDN w:val="0"/>
        <w:adjustRightInd w:val="0"/>
        <w:ind w:left="284" w:hanging="284"/>
        <w:jc w:val="both"/>
        <w:rPr>
          <w:color w:val="000000" w:themeColor="text1"/>
          <w:sz w:val="18"/>
          <w:szCs w:val="18"/>
        </w:rPr>
      </w:pPr>
      <w:r w:rsidRPr="00245A0B">
        <w:rPr>
          <w:color w:val="000000" w:themeColor="text1"/>
          <w:sz w:val="18"/>
          <w:szCs w:val="18"/>
          <w:vertAlign w:val="superscript"/>
        </w:rPr>
        <w:t>1)</w:t>
      </w:r>
      <w:r w:rsidRPr="00245A0B">
        <w:rPr>
          <w:color w:val="000000" w:themeColor="text1"/>
          <w:sz w:val="18"/>
          <w:szCs w:val="18"/>
          <w:vertAlign w:val="superscript"/>
        </w:rPr>
        <w:tab/>
      </w:r>
      <w:r w:rsidRPr="00245A0B">
        <w:rPr>
          <w:color w:val="000000" w:themeColor="text1"/>
          <w:sz w:val="18"/>
          <w:szCs w:val="18"/>
        </w:rPr>
        <w:t>PEC</w:t>
      </w:r>
      <w:r w:rsidRPr="00E97C93">
        <w:rPr>
          <w:color w:val="000000" w:themeColor="text1"/>
          <w:sz w:val="18"/>
          <w:szCs w:val="18"/>
          <w:vertAlign w:val="subscript"/>
        </w:rPr>
        <w:t>sw</w:t>
      </w:r>
      <w:r w:rsidRPr="00245A0B">
        <w:rPr>
          <w:color w:val="000000" w:themeColor="text1"/>
          <w:sz w:val="18"/>
          <w:szCs w:val="18"/>
        </w:rPr>
        <w:t xml:space="preserve"> (</w:t>
      </w:r>
      <w:r>
        <w:rPr>
          <w:color w:val="000000" w:themeColor="text1"/>
          <w:sz w:val="18"/>
          <w:szCs w:val="24"/>
          <w:lang w:eastAsia="en-US"/>
        </w:rPr>
        <w:t>twa, 21 d</w:t>
      </w:r>
      <w:r w:rsidRPr="00245A0B">
        <w:rPr>
          <w:color w:val="000000" w:themeColor="text1"/>
          <w:sz w:val="18"/>
          <w:szCs w:val="18"/>
        </w:rPr>
        <w:t xml:space="preserve">) value calculated for a multiple application scenario of 2 x </w:t>
      </w:r>
      <w:r>
        <w:rPr>
          <w:color w:val="000000" w:themeColor="text1"/>
          <w:sz w:val="18"/>
          <w:szCs w:val="18"/>
        </w:rPr>
        <w:t>10</w:t>
      </w:r>
      <w:r w:rsidRPr="00245A0B">
        <w:rPr>
          <w:color w:val="000000" w:themeColor="text1"/>
          <w:sz w:val="18"/>
          <w:szCs w:val="18"/>
        </w:rPr>
        <w:t xml:space="preserve">0 g a.s./ha to </w:t>
      </w:r>
      <w:r>
        <w:rPr>
          <w:color w:val="000000" w:themeColor="text1"/>
          <w:sz w:val="18"/>
          <w:szCs w:val="18"/>
        </w:rPr>
        <w:t>cereals</w:t>
      </w:r>
      <w:r w:rsidRPr="00245A0B">
        <w:rPr>
          <w:color w:val="000000" w:themeColor="text1"/>
          <w:sz w:val="18"/>
          <w:szCs w:val="18"/>
        </w:rPr>
        <w:t xml:space="preserve"> from FOCUS Step 2 (North</w:t>
      </w:r>
      <w:r>
        <w:rPr>
          <w:color w:val="000000" w:themeColor="text1"/>
          <w:sz w:val="18"/>
          <w:szCs w:val="18"/>
        </w:rPr>
        <w:t>ern</w:t>
      </w:r>
      <w:r w:rsidRPr="00245A0B">
        <w:rPr>
          <w:color w:val="000000" w:themeColor="text1"/>
          <w:sz w:val="18"/>
          <w:szCs w:val="18"/>
        </w:rPr>
        <w:t xml:space="preserve"> Europe</w:t>
      </w:r>
      <w:r>
        <w:rPr>
          <w:color w:val="000000" w:themeColor="text1"/>
          <w:sz w:val="18"/>
          <w:szCs w:val="18"/>
        </w:rPr>
        <w:t xml:space="preserve"> scenario</w:t>
      </w:r>
      <w:r w:rsidRPr="00245A0B">
        <w:rPr>
          <w:color w:val="000000" w:themeColor="text1"/>
          <w:sz w:val="18"/>
          <w:szCs w:val="18"/>
        </w:rPr>
        <w:t>) as worst-case. For details see chapter 8.9</w:t>
      </w:r>
      <w:r>
        <w:rPr>
          <w:color w:val="000000" w:themeColor="text1"/>
          <w:sz w:val="18"/>
          <w:szCs w:val="18"/>
        </w:rPr>
        <w:t xml:space="preserve">. </w:t>
      </w:r>
    </w:p>
    <w:p w14:paraId="39E37A44" w14:textId="77777777" w:rsidR="00E51CDD" w:rsidRPr="00245A0B" w:rsidRDefault="00E51CDD" w:rsidP="00E51CDD">
      <w:pPr>
        <w:widowControl w:val="0"/>
        <w:numPr>
          <w:ilvl w:val="12"/>
          <w:numId w:val="0"/>
        </w:numPr>
        <w:tabs>
          <w:tab w:val="left" w:pos="360"/>
          <w:tab w:val="left" w:pos="720"/>
        </w:tabs>
        <w:autoSpaceDE w:val="0"/>
        <w:autoSpaceDN w:val="0"/>
        <w:adjustRightInd w:val="0"/>
        <w:ind w:left="284" w:hanging="284"/>
        <w:jc w:val="both"/>
        <w:rPr>
          <w:color w:val="000000" w:themeColor="text1"/>
          <w:sz w:val="18"/>
          <w:szCs w:val="18"/>
        </w:rPr>
      </w:pPr>
      <w:r w:rsidRPr="00245A0B">
        <w:rPr>
          <w:color w:val="000000" w:themeColor="text1"/>
          <w:sz w:val="18"/>
          <w:szCs w:val="18"/>
          <w:vertAlign w:val="superscript"/>
        </w:rPr>
        <w:t>2)</w:t>
      </w:r>
      <w:r w:rsidRPr="00245A0B">
        <w:rPr>
          <w:color w:val="000000" w:themeColor="text1"/>
          <w:sz w:val="18"/>
          <w:szCs w:val="18"/>
          <w:vertAlign w:val="superscript"/>
        </w:rPr>
        <w:tab/>
      </w:r>
      <w:r w:rsidRPr="00245A0B">
        <w:rPr>
          <w:color w:val="000000" w:themeColor="text1"/>
          <w:sz w:val="18"/>
          <w:szCs w:val="18"/>
        </w:rPr>
        <w:t>PEC</w:t>
      </w:r>
      <w:r w:rsidRPr="00245A0B">
        <w:rPr>
          <w:color w:val="000000" w:themeColor="text1"/>
          <w:sz w:val="18"/>
          <w:szCs w:val="18"/>
          <w:vertAlign w:val="subscript"/>
        </w:rPr>
        <w:t>fish</w:t>
      </w:r>
      <w:r w:rsidRPr="00245A0B">
        <w:rPr>
          <w:color w:val="000000" w:themeColor="text1"/>
          <w:sz w:val="18"/>
          <w:szCs w:val="18"/>
        </w:rPr>
        <w:t xml:space="preserve"> = PEC</w:t>
      </w:r>
      <w:r w:rsidRPr="00245A0B">
        <w:rPr>
          <w:color w:val="000000" w:themeColor="text1"/>
          <w:sz w:val="18"/>
          <w:szCs w:val="18"/>
          <w:vertAlign w:val="subscript"/>
        </w:rPr>
        <w:t>sw</w:t>
      </w:r>
      <w:r w:rsidRPr="00245A0B">
        <w:rPr>
          <w:color w:val="000000" w:themeColor="text1"/>
          <w:sz w:val="18"/>
          <w:szCs w:val="18"/>
        </w:rPr>
        <w:t xml:space="preserve"> (twa, 21</w:t>
      </w:r>
      <w:r>
        <w:rPr>
          <w:color w:val="000000" w:themeColor="text1"/>
          <w:sz w:val="18"/>
          <w:szCs w:val="18"/>
        </w:rPr>
        <w:t> d</w:t>
      </w:r>
      <w:r w:rsidRPr="00245A0B">
        <w:rPr>
          <w:color w:val="000000" w:themeColor="text1"/>
          <w:sz w:val="18"/>
          <w:szCs w:val="18"/>
        </w:rPr>
        <w:t>) x BCF</w:t>
      </w:r>
    </w:p>
    <w:p w14:paraId="66D65905" w14:textId="77777777" w:rsidR="00E51CDD" w:rsidRPr="00245A0B" w:rsidRDefault="00E51CDD" w:rsidP="00E51CDD">
      <w:pPr>
        <w:widowControl w:val="0"/>
        <w:numPr>
          <w:ilvl w:val="12"/>
          <w:numId w:val="0"/>
        </w:numPr>
        <w:tabs>
          <w:tab w:val="left" w:pos="360"/>
          <w:tab w:val="left" w:pos="720"/>
        </w:tabs>
        <w:autoSpaceDE w:val="0"/>
        <w:autoSpaceDN w:val="0"/>
        <w:adjustRightInd w:val="0"/>
        <w:ind w:left="284" w:hanging="284"/>
        <w:jc w:val="both"/>
        <w:rPr>
          <w:color w:val="000000" w:themeColor="text1"/>
          <w:sz w:val="18"/>
          <w:szCs w:val="18"/>
        </w:rPr>
      </w:pPr>
      <w:r w:rsidRPr="00245A0B">
        <w:rPr>
          <w:color w:val="000000" w:themeColor="text1"/>
          <w:sz w:val="18"/>
          <w:szCs w:val="18"/>
          <w:vertAlign w:val="superscript"/>
        </w:rPr>
        <w:t>3)</w:t>
      </w:r>
      <w:r w:rsidRPr="00245A0B">
        <w:rPr>
          <w:color w:val="000000" w:themeColor="text1"/>
          <w:sz w:val="18"/>
          <w:szCs w:val="18"/>
          <w:vertAlign w:val="superscript"/>
        </w:rPr>
        <w:tab/>
      </w:r>
      <w:r w:rsidRPr="00245A0B">
        <w:rPr>
          <w:color w:val="000000" w:themeColor="text1"/>
          <w:sz w:val="18"/>
          <w:szCs w:val="18"/>
        </w:rPr>
        <w:t>Daily dose = 0.142 x PEC</w:t>
      </w:r>
      <w:r w:rsidRPr="00245A0B">
        <w:rPr>
          <w:color w:val="000000" w:themeColor="text1"/>
          <w:sz w:val="18"/>
          <w:szCs w:val="18"/>
          <w:vertAlign w:val="subscript"/>
        </w:rPr>
        <w:t xml:space="preserve">fish </w:t>
      </w:r>
    </w:p>
    <w:p w14:paraId="4821F83F" w14:textId="77777777" w:rsidR="00E51CDD" w:rsidRDefault="00E51CDD" w:rsidP="00E51CDD">
      <w:pPr>
        <w:widowControl w:val="0"/>
        <w:numPr>
          <w:ilvl w:val="12"/>
          <w:numId w:val="0"/>
        </w:numPr>
        <w:tabs>
          <w:tab w:val="left" w:pos="360"/>
          <w:tab w:val="left" w:pos="720"/>
        </w:tabs>
        <w:autoSpaceDE w:val="0"/>
        <w:autoSpaceDN w:val="0"/>
        <w:adjustRightInd w:val="0"/>
        <w:ind w:left="284" w:hanging="284"/>
        <w:jc w:val="both"/>
        <w:rPr>
          <w:color w:val="000000" w:themeColor="text1"/>
          <w:sz w:val="18"/>
          <w:szCs w:val="18"/>
        </w:rPr>
      </w:pPr>
      <w:r w:rsidRPr="00245A0B">
        <w:rPr>
          <w:color w:val="000000" w:themeColor="text1"/>
          <w:sz w:val="18"/>
          <w:szCs w:val="18"/>
          <w:vertAlign w:val="superscript"/>
        </w:rPr>
        <w:t>4)</w:t>
      </w:r>
      <w:r w:rsidRPr="00245A0B">
        <w:rPr>
          <w:color w:val="000000" w:themeColor="text1"/>
          <w:sz w:val="18"/>
          <w:szCs w:val="18"/>
          <w:vertAlign w:val="superscript"/>
        </w:rPr>
        <w:tab/>
      </w:r>
      <w:r w:rsidRPr="00245A0B">
        <w:rPr>
          <w:color w:val="000000" w:themeColor="text1"/>
          <w:sz w:val="18"/>
          <w:szCs w:val="18"/>
        </w:rPr>
        <w:t>TER</w:t>
      </w:r>
      <w:r w:rsidRPr="00245A0B">
        <w:rPr>
          <w:color w:val="000000" w:themeColor="text1"/>
          <w:sz w:val="18"/>
          <w:szCs w:val="18"/>
          <w:vertAlign w:val="subscript"/>
        </w:rPr>
        <w:t>LT</w:t>
      </w:r>
      <w:r w:rsidRPr="00245A0B">
        <w:rPr>
          <w:color w:val="000000" w:themeColor="text1"/>
          <w:sz w:val="18"/>
          <w:szCs w:val="18"/>
        </w:rPr>
        <w:t xml:space="preserve"> = NO(A)EL / Daily dose.</w:t>
      </w:r>
    </w:p>
    <w:p w14:paraId="5A3D6426" w14:textId="77777777" w:rsidR="00E51CDD" w:rsidRPr="00245A0B" w:rsidRDefault="00E51CDD" w:rsidP="00E51CDD">
      <w:pPr>
        <w:widowControl w:val="0"/>
        <w:numPr>
          <w:ilvl w:val="12"/>
          <w:numId w:val="0"/>
        </w:numPr>
        <w:tabs>
          <w:tab w:val="left" w:pos="360"/>
          <w:tab w:val="left" w:pos="720"/>
        </w:tabs>
        <w:autoSpaceDE w:val="0"/>
        <w:autoSpaceDN w:val="0"/>
        <w:adjustRightInd w:val="0"/>
        <w:ind w:left="284" w:hanging="284"/>
        <w:jc w:val="both"/>
        <w:rPr>
          <w:color w:val="000000" w:themeColor="text1"/>
          <w:sz w:val="18"/>
          <w:szCs w:val="18"/>
        </w:rPr>
      </w:pPr>
    </w:p>
    <w:p w14:paraId="0037E8CA" w14:textId="77777777" w:rsidR="00E51CDD" w:rsidRPr="002B1114" w:rsidRDefault="00E51CDD" w:rsidP="00E51CDD">
      <w:pPr>
        <w:pStyle w:val="Nagwek4"/>
        <w:rPr>
          <w:lang w:val="en-GB"/>
        </w:rPr>
      </w:pPr>
      <w:bookmarkStart w:id="421" w:name="_Toc125446419"/>
      <w:r w:rsidRPr="002B1114">
        <w:rPr>
          <w:lang w:val="en-GB"/>
        </w:rPr>
        <w:t>Biomagnification in terrestrial food chains</w:t>
      </w:r>
      <w:bookmarkEnd w:id="411"/>
      <w:bookmarkEnd w:id="412"/>
      <w:bookmarkEnd w:id="413"/>
      <w:bookmarkEnd w:id="414"/>
      <w:bookmarkEnd w:id="415"/>
      <w:bookmarkEnd w:id="416"/>
      <w:bookmarkEnd w:id="417"/>
      <w:bookmarkEnd w:id="418"/>
      <w:bookmarkEnd w:id="421"/>
    </w:p>
    <w:p w14:paraId="7BEA3ED5" w14:textId="77777777" w:rsidR="00E51CDD" w:rsidRPr="0026404C" w:rsidRDefault="00E51CDD" w:rsidP="00E51CDD">
      <w:pPr>
        <w:widowControl w:val="0"/>
        <w:tabs>
          <w:tab w:val="left" w:pos="120"/>
        </w:tabs>
        <w:jc w:val="both"/>
        <w:rPr>
          <w:lang w:val="en-GB"/>
        </w:rPr>
      </w:pPr>
      <w:r w:rsidRPr="0026404C">
        <w:rPr>
          <w:rFonts w:eastAsia="SimSun"/>
          <w:lang w:val="en-GB" w:eastAsia="zh-CN"/>
        </w:rPr>
        <w:t xml:space="preserve">Low potential for accumulation in animal tissue was concluded in the EU review of </w:t>
      </w:r>
      <w:r w:rsidRPr="0026404C">
        <w:rPr>
          <w:lang w:val="en-GB" w:eastAsia="en-US"/>
        </w:rPr>
        <w:t>fluxapyroxad</w:t>
      </w:r>
      <w:r w:rsidRPr="0026404C">
        <w:rPr>
          <w:rFonts w:eastAsia="SimSun"/>
          <w:lang w:val="en-GB" w:eastAsia="zh-CN"/>
        </w:rPr>
        <w:t xml:space="preserve"> (</w:t>
      </w:r>
      <w:r w:rsidRPr="0026404C">
        <w:rPr>
          <w:lang w:val="en-GB"/>
        </w:rPr>
        <w:t>EFSA Journal 2012; 10(1):</w:t>
      </w:r>
      <w:r>
        <w:rPr>
          <w:lang w:val="en-GB"/>
        </w:rPr>
        <w:t> </w:t>
      </w:r>
      <w:r w:rsidRPr="0026404C">
        <w:rPr>
          <w:lang w:val="en-GB"/>
        </w:rPr>
        <w:t>2522).</w:t>
      </w:r>
    </w:p>
    <w:p w14:paraId="64796D16" w14:textId="77777777" w:rsidR="00E51CDD" w:rsidRDefault="00E51CDD" w:rsidP="00E51CDD">
      <w:pPr>
        <w:widowControl w:val="0"/>
        <w:tabs>
          <w:tab w:val="left" w:pos="720"/>
        </w:tabs>
        <w:suppressAutoHyphens/>
        <w:autoSpaceDE w:val="0"/>
        <w:autoSpaceDN w:val="0"/>
        <w:adjustRightInd w:val="0"/>
        <w:jc w:val="both"/>
        <w:rPr>
          <w:rFonts w:eastAsia="SimSun"/>
          <w:lang w:val="en-GB" w:eastAsia="zh-CN"/>
        </w:rPr>
      </w:pPr>
    </w:p>
    <w:p w14:paraId="215AC906" w14:textId="77777777" w:rsidR="00E51CDD" w:rsidRPr="004B5A8B" w:rsidRDefault="00E51CDD" w:rsidP="00E51CDD">
      <w:pPr>
        <w:widowControl w:val="0"/>
        <w:tabs>
          <w:tab w:val="left" w:pos="720"/>
        </w:tabs>
        <w:suppressAutoHyphens/>
        <w:autoSpaceDE w:val="0"/>
        <w:autoSpaceDN w:val="0"/>
        <w:adjustRightInd w:val="0"/>
        <w:jc w:val="both"/>
        <w:rPr>
          <w:rFonts w:eastAsia="SimSun"/>
          <w:lang w:val="en-GB" w:eastAsia="zh-CN"/>
        </w:rPr>
      </w:pPr>
      <w:r w:rsidRPr="004B5A8B">
        <w:rPr>
          <w:rFonts w:eastAsia="SimSun"/>
          <w:lang w:val="en-GB" w:eastAsia="zh-CN"/>
        </w:rPr>
        <w:t>No evidence of accumulation in animal tissue was concluded in the EU review of azoxystrobin from toxicokinetics studies (EFSA Journal 2010; 8(4): 1542)</w:t>
      </w:r>
      <w:r>
        <w:rPr>
          <w:rFonts w:eastAsia="SimSun"/>
          <w:lang w:val="en-GB" w:eastAsia="zh-CN"/>
        </w:rPr>
        <w:t xml:space="preserve">. </w:t>
      </w:r>
    </w:p>
    <w:p w14:paraId="32DEB177" w14:textId="77777777" w:rsidR="00E51CDD" w:rsidRPr="0026404C" w:rsidRDefault="00E51CDD" w:rsidP="00E51CDD">
      <w:pPr>
        <w:widowControl w:val="0"/>
        <w:tabs>
          <w:tab w:val="left" w:pos="720"/>
        </w:tabs>
        <w:suppressAutoHyphens/>
        <w:autoSpaceDE w:val="0"/>
        <w:autoSpaceDN w:val="0"/>
        <w:adjustRightInd w:val="0"/>
        <w:jc w:val="both"/>
        <w:rPr>
          <w:rFonts w:eastAsia="SimSun"/>
          <w:lang w:val="en-GB" w:eastAsia="zh-CN"/>
        </w:rPr>
      </w:pPr>
    </w:p>
    <w:p w14:paraId="244AE43F" w14:textId="77777777" w:rsidR="00E51CDD" w:rsidRDefault="00E51CDD" w:rsidP="00E51CDD">
      <w:pPr>
        <w:widowControl w:val="0"/>
        <w:suppressAutoHyphens/>
        <w:jc w:val="both"/>
      </w:pPr>
      <w:r w:rsidRPr="0026404C">
        <w:t xml:space="preserve">Since the bioaccumulation potential of both fluxapyroxad </w:t>
      </w:r>
      <w:r>
        <w:t xml:space="preserve">and azoxystrobin </w:t>
      </w:r>
      <w:r w:rsidRPr="0026404C">
        <w:t>is low no further assessment on biomagnification is required</w:t>
      </w:r>
      <w:r w:rsidRPr="003B53AB">
        <w:t>.</w:t>
      </w:r>
    </w:p>
    <w:p w14:paraId="6822F956" w14:textId="77777777" w:rsidR="00E51CDD" w:rsidRPr="0026404C" w:rsidRDefault="00E51CDD" w:rsidP="00E51CDD">
      <w:pPr>
        <w:widowControl w:val="0"/>
        <w:suppressAutoHyphens/>
        <w:jc w:val="both"/>
        <w:rPr>
          <w:b/>
          <w:bCs/>
        </w:rPr>
      </w:pPr>
      <w:r>
        <w:br w:type="page"/>
      </w:r>
    </w:p>
    <w:p w14:paraId="20C437C7" w14:textId="77777777" w:rsidR="00E51CDD" w:rsidRPr="002B1114" w:rsidRDefault="00E51CDD" w:rsidP="00E51CDD">
      <w:pPr>
        <w:pStyle w:val="Nagwek3"/>
      </w:pPr>
      <w:bookmarkStart w:id="422" w:name="_Toc412643991"/>
      <w:bookmarkStart w:id="423" w:name="_Toc413916837"/>
      <w:bookmarkStart w:id="424" w:name="_Toc413916979"/>
      <w:bookmarkStart w:id="425" w:name="_Toc413922040"/>
      <w:bookmarkStart w:id="426" w:name="_Toc413922529"/>
      <w:bookmarkStart w:id="427" w:name="_Toc413922633"/>
      <w:bookmarkStart w:id="428" w:name="_Toc414955270"/>
      <w:bookmarkStart w:id="429" w:name="_Toc415214577"/>
      <w:bookmarkStart w:id="430" w:name="_Toc125446420"/>
      <w:r w:rsidRPr="002B1114">
        <w:lastRenderedPageBreak/>
        <w:t>Risk assessment for baits, pellets, granules, prills or treated seed</w:t>
      </w:r>
      <w:bookmarkEnd w:id="422"/>
      <w:bookmarkEnd w:id="423"/>
      <w:bookmarkEnd w:id="424"/>
      <w:bookmarkEnd w:id="425"/>
      <w:bookmarkEnd w:id="426"/>
      <w:bookmarkEnd w:id="427"/>
      <w:bookmarkEnd w:id="428"/>
      <w:bookmarkEnd w:id="429"/>
      <w:bookmarkEnd w:id="430"/>
    </w:p>
    <w:p w14:paraId="229C9779" w14:textId="77777777" w:rsidR="00E51CDD" w:rsidRPr="002B1114" w:rsidRDefault="00E51CDD" w:rsidP="00E51CDD">
      <w:pPr>
        <w:pStyle w:val="RepStandard"/>
      </w:pPr>
      <w:r w:rsidRPr="002B1114">
        <w:t>Not relevant.</w:t>
      </w:r>
    </w:p>
    <w:p w14:paraId="6C6BD00D" w14:textId="77777777" w:rsidR="00E51CDD" w:rsidRDefault="00E51CDD" w:rsidP="00E51CDD">
      <w:pPr>
        <w:pStyle w:val="RepStandard"/>
      </w:pPr>
    </w:p>
    <w:p w14:paraId="0D8794E4" w14:textId="77777777" w:rsidR="00E51CDD" w:rsidRPr="002B1114" w:rsidRDefault="00E51CDD" w:rsidP="00E51CDD">
      <w:pPr>
        <w:pStyle w:val="Nagwek3"/>
      </w:pPr>
      <w:bookmarkStart w:id="431" w:name="_Toc412643992"/>
      <w:bookmarkStart w:id="432" w:name="_Toc413916838"/>
      <w:bookmarkStart w:id="433" w:name="_Toc413916980"/>
      <w:bookmarkStart w:id="434" w:name="_Toc413922041"/>
      <w:bookmarkStart w:id="435" w:name="_Toc413922530"/>
      <w:bookmarkStart w:id="436" w:name="_Toc413922634"/>
      <w:bookmarkStart w:id="437" w:name="_Toc414955271"/>
      <w:bookmarkStart w:id="438" w:name="_Toc415214578"/>
      <w:bookmarkStart w:id="439" w:name="_Toc125446421"/>
      <w:r w:rsidRPr="002B1114">
        <w:t>Overall conclusions</w:t>
      </w:r>
      <w:bookmarkEnd w:id="431"/>
      <w:bookmarkEnd w:id="432"/>
      <w:bookmarkEnd w:id="433"/>
      <w:bookmarkEnd w:id="434"/>
      <w:bookmarkEnd w:id="435"/>
      <w:bookmarkEnd w:id="436"/>
      <w:bookmarkEnd w:id="437"/>
      <w:bookmarkEnd w:id="438"/>
      <w:bookmarkEnd w:id="439"/>
    </w:p>
    <w:p w14:paraId="25679B6A" w14:textId="77777777" w:rsidR="00E51CDD" w:rsidRDefault="00E51CDD" w:rsidP="00E51CDD">
      <w:pPr>
        <w:widowControl w:val="0"/>
        <w:jc w:val="both"/>
        <w:rPr>
          <w:b/>
          <w:bCs/>
          <w:lang w:val="en-GB" w:eastAsia="en-US"/>
        </w:rPr>
      </w:pPr>
      <w:bookmarkStart w:id="440" w:name="_Toc399487270"/>
      <w:bookmarkStart w:id="441" w:name="_Ref405399513"/>
      <w:r w:rsidRPr="0026404C">
        <w:rPr>
          <w:b/>
          <w:bCs/>
          <w:lang w:val="en-GB" w:eastAsia="en-US"/>
        </w:rPr>
        <w:t>It can be concluded that the risk to mammals from the application of BAS 7</w:t>
      </w:r>
      <w:r>
        <w:rPr>
          <w:b/>
          <w:bCs/>
          <w:lang w:val="en-GB" w:eastAsia="en-US"/>
        </w:rPr>
        <w:t>36</w:t>
      </w:r>
      <w:r w:rsidRPr="0026404C">
        <w:rPr>
          <w:b/>
          <w:bCs/>
          <w:lang w:val="en-GB" w:eastAsia="en-US"/>
        </w:rPr>
        <w:t> 00 F according to good agricultural practice is acceptable.</w:t>
      </w:r>
    </w:p>
    <w:p w14:paraId="12C1E7E9" w14:textId="77777777" w:rsidR="00E51CDD" w:rsidRDefault="00E51CDD" w:rsidP="00E51CDD">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413EEB" w:rsidRPr="00DD5DB0" w14:paraId="0553C0CE" w14:textId="77777777" w:rsidTr="00230125">
        <w:trPr>
          <w:trHeight w:val="2477"/>
        </w:trPr>
        <w:tc>
          <w:tcPr>
            <w:tcW w:w="5000" w:type="pct"/>
            <w:shd w:val="clear" w:color="auto" w:fill="D9D9D9"/>
          </w:tcPr>
          <w:p w14:paraId="75F4344E" w14:textId="77777777" w:rsidR="00413EEB" w:rsidRPr="00C56C96" w:rsidRDefault="00413EEB" w:rsidP="00454766">
            <w:pPr>
              <w:pStyle w:val="TableText"/>
              <w:spacing w:before="120" w:after="120"/>
              <w:jc w:val="both"/>
              <w:rPr>
                <w:b/>
                <w:bCs/>
                <w:sz w:val="22"/>
                <w:szCs w:val="22"/>
                <w:lang w:eastAsia="en-US"/>
              </w:rPr>
            </w:pPr>
            <w:r w:rsidRPr="00C56C96">
              <w:rPr>
                <w:b/>
                <w:bCs/>
                <w:sz w:val="22"/>
                <w:szCs w:val="22"/>
                <w:lang w:eastAsia="en-US"/>
              </w:rPr>
              <w:t>Review Comments:</w:t>
            </w:r>
          </w:p>
          <w:p w14:paraId="34877C56" w14:textId="669FA2EC" w:rsidR="00413EEB" w:rsidRPr="00272D03" w:rsidRDefault="00413EEB" w:rsidP="00454766">
            <w:pPr>
              <w:pStyle w:val="TableText9pt"/>
              <w:spacing w:before="120" w:after="120"/>
              <w:jc w:val="both"/>
              <w:rPr>
                <w:sz w:val="22"/>
                <w:szCs w:val="22"/>
                <w:lang w:val="en-GB"/>
              </w:rPr>
            </w:pPr>
            <w:r w:rsidRPr="00272D03">
              <w:rPr>
                <w:sz w:val="22"/>
                <w:szCs w:val="22"/>
                <w:lang w:val="en-GB"/>
              </w:rPr>
              <w:t>The acute and chronic risks of</w:t>
            </w:r>
            <w:r w:rsidRPr="00272D03">
              <w:rPr>
                <w:b/>
                <w:bCs/>
                <w:sz w:val="22"/>
                <w:szCs w:val="22"/>
                <w:lang w:val="en-GB" w:eastAsia="en-US"/>
              </w:rPr>
              <w:t xml:space="preserve"> </w:t>
            </w:r>
            <w:r w:rsidRPr="00272D03">
              <w:rPr>
                <w:bCs/>
                <w:sz w:val="22"/>
                <w:szCs w:val="22"/>
                <w:lang w:val="en-GB" w:eastAsia="en-US"/>
              </w:rPr>
              <w:t>BAS 736 00 F</w:t>
            </w:r>
            <w:r w:rsidRPr="00272D03">
              <w:rPr>
                <w:sz w:val="22"/>
                <w:szCs w:val="22"/>
                <w:lang w:val="en-GB"/>
              </w:rPr>
              <w:t xml:space="preserve"> to mammals were assessed from toxicity exposure ratios between toxicity endpoints, estimated from study with active ingredients and maximum residues occurring on food items.</w:t>
            </w:r>
            <w:r w:rsidR="00272D03" w:rsidRPr="00272D03">
              <w:rPr>
                <w:sz w:val="22"/>
                <w:szCs w:val="22"/>
                <w:lang w:val="en-GB"/>
              </w:rPr>
              <w:t xml:space="preserve"> A</w:t>
            </w:r>
            <w:r w:rsidR="00272D03" w:rsidRPr="00272D03">
              <w:rPr>
                <w:rFonts w:eastAsia="Calibri"/>
                <w:sz w:val="22"/>
                <w:szCs w:val="22"/>
                <w:lang w:val="en-GB" w:eastAsia="zh-CN"/>
              </w:rPr>
              <w:t>n acute oral toxicity study with BAS 736 00 F in rats was taken to consideration in the evaluation.</w:t>
            </w:r>
          </w:p>
          <w:p w14:paraId="4CB9CD94" w14:textId="65668649" w:rsidR="00413EEB" w:rsidRPr="00272D03" w:rsidRDefault="00413EEB" w:rsidP="00454766">
            <w:pPr>
              <w:widowControl w:val="0"/>
              <w:suppressAutoHyphens/>
              <w:spacing w:before="120" w:after="120"/>
              <w:jc w:val="both"/>
              <w:rPr>
                <w:lang w:val="en-GB" w:eastAsia="en-US"/>
              </w:rPr>
            </w:pPr>
            <w:r w:rsidRPr="00272D03">
              <w:t>All TER values exceed the relevant triggers</w:t>
            </w:r>
            <w:r w:rsidR="00F25B2C" w:rsidRPr="00272D03">
              <w:t xml:space="preserve"> </w:t>
            </w:r>
            <w:r w:rsidR="00C56C96" w:rsidRPr="00272D03">
              <w:t>i</w:t>
            </w:r>
            <w:r w:rsidR="00F25B2C" w:rsidRPr="00272D03">
              <w:rPr>
                <w:lang w:val="en-GB" w:eastAsia="en-US"/>
              </w:rPr>
              <w:t xml:space="preserve">n the screening step </w:t>
            </w:r>
            <w:r w:rsidR="00F25B2C" w:rsidRPr="00272D03">
              <w:rPr>
                <w:lang w:val="en-GB"/>
              </w:rPr>
              <w:t xml:space="preserve">or </w:t>
            </w:r>
            <w:r w:rsidR="00C56C96" w:rsidRPr="00272D03">
              <w:t>T</w:t>
            </w:r>
            <w:r w:rsidR="00F25B2C" w:rsidRPr="00272D03">
              <w:rPr>
                <w:lang w:val="en-GB"/>
              </w:rPr>
              <w:t>ier 1 risk assessment</w:t>
            </w:r>
            <w:r w:rsidR="00C56C96" w:rsidRPr="00272D03">
              <w:t xml:space="preserve"> </w:t>
            </w:r>
            <w:r w:rsidR="00C56C96" w:rsidRPr="00272D03">
              <w:rPr>
                <w:lang w:val="en-GB" w:eastAsia="en-US"/>
              </w:rPr>
              <w:t xml:space="preserve">for </w:t>
            </w:r>
            <w:r w:rsidR="00C56C96" w:rsidRPr="00272D03">
              <w:rPr>
                <w:lang w:val="en-GB"/>
              </w:rPr>
              <w:t>fluxapyroxad</w:t>
            </w:r>
            <w:r w:rsidR="00E57C55" w:rsidRPr="00272D03">
              <w:t>,</w:t>
            </w:r>
            <w:r w:rsidR="00C56C96" w:rsidRPr="00272D03">
              <w:rPr>
                <w:lang w:val="en-GB"/>
              </w:rPr>
              <w:t xml:space="preserve"> azoxystrobin</w:t>
            </w:r>
            <w:r w:rsidR="00E57C55" w:rsidRPr="00272D03">
              <w:t xml:space="preserve"> and </w:t>
            </w:r>
            <w:r w:rsidR="00D132FC" w:rsidRPr="00272D03">
              <w:t>for</w:t>
            </w:r>
            <w:r w:rsidR="00D132FC" w:rsidRPr="00272D03">
              <w:rPr>
                <w:lang w:val="en-GB"/>
              </w:rPr>
              <w:t xml:space="preserve"> combined active substances (virtual compound approach)</w:t>
            </w:r>
            <w:r w:rsidR="00C56C96" w:rsidRPr="00272D03">
              <w:t>.</w:t>
            </w:r>
            <w:r w:rsidR="00492D02" w:rsidRPr="00272D03">
              <w:t xml:space="preserve"> Based on</w:t>
            </w:r>
            <w:r w:rsidR="00DD0995" w:rsidRPr="00272D03">
              <w:t xml:space="preserve"> </w:t>
            </w:r>
            <w:r w:rsidR="00DD0995" w:rsidRPr="00272D03">
              <w:rPr>
                <w:iCs/>
                <w:lang w:val="en-GB"/>
              </w:rPr>
              <w:t>the higher tier risk assessment</w:t>
            </w:r>
            <w:r w:rsidR="00DD0995" w:rsidRPr="00272D03">
              <w:rPr>
                <w:iCs/>
              </w:rPr>
              <w:t xml:space="preserve">, where </w:t>
            </w:r>
            <w:r w:rsidR="00670CC4" w:rsidRPr="00272D03">
              <w:rPr>
                <w:iCs/>
                <w:lang w:val="en-GB"/>
              </w:rPr>
              <w:t>the deposition factor</w:t>
            </w:r>
            <w:r w:rsidR="00670CC4" w:rsidRPr="00272D03">
              <w:rPr>
                <w:iCs/>
              </w:rPr>
              <w:t xml:space="preserve"> was </w:t>
            </w:r>
            <w:r w:rsidR="00CF03A0">
              <w:rPr>
                <w:iCs/>
              </w:rPr>
              <w:t>modified</w:t>
            </w:r>
            <w:r w:rsidR="00670CC4" w:rsidRPr="00272D03">
              <w:rPr>
                <w:iCs/>
              </w:rPr>
              <w:t xml:space="preserve">, </w:t>
            </w:r>
            <w:r w:rsidR="00DD0995" w:rsidRPr="00272D03">
              <w:rPr>
                <w:iCs/>
                <w:lang w:val="en-GB"/>
              </w:rPr>
              <w:t>for the formulation</w:t>
            </w:r>
            <w:r w:rsidR="00E35CDC" w:rsidRPr="00272D03">
              <w:rPr>
                <w:iCs/>
              </w:rPr>
              <w:t xml:space="preserve"> (acute)</w:t>
            </w:r>
            <w:r w:rsidR="00DD0995" w:rsidRPr="00272D03">
              <w:rPr>
                <w:iCs/>
              </w:rPr>
              <w:t xml:space="preserve"> and </w:t>
            </w:r>
            <w:r w:rsidR="00E35CDC" w:rsidRPr="00272D03">
              <w:t>for</w:t>
            </w:r>
            <w:r w:rsidR="00E35CDC" w:rsidRPr="00272D03">
              <w:rPr>
                <w:lang w:val="en-GB"/>
              </w:rPr>
              <w:t xml:space="preserve"> combined active substances</w:t>
            </w:r>
            <w:r w:rsidR="00783F78">
              <w:rPr>
                <w:lang w:val="en-GB"/>
              </w:rPr>
              <w:t xml:space="preserve"> risk assessment</w:t>
            </w:r>
            <w:r w:rsidR="00E35CDC" w:rsidRPr="00272D03">
              <w:t xml:space="preserve"> </w:t>
            </w:r>
            <w:r w:rsidR="00314A51" w:rsidRPr="00272D03">
              <w:t xml:space="preserve">(chronic), </w:t>
            </w:r>
            <w:r w:rsidR="002F70A8" w:rsidRPr="00272D03">
              <w:t>the TER</w:t>
            </w:r>
            <w:r w:rsidR="00A209CD">
              <w:t>s</w:t>
            </w:r>
            <w:r w:rsidR="00CD6630" w:rsidRPr="00272D03">
              <w:t xml:space="preserve"> </w:t>
            </w:r>
            <w:r w:rsidR="00CD6630" w:rsidRPr="00272D03">
              <w:rPr>
                <w:lang w:val="en-GB" w:eastAsia="en-US"/>
              </w:rPr>
              <w:t xml:space="preserve">exceed the trigger values set by Commission regulation (EU) 546/2011 for acceptability of effects. </w:t>
            </w:r>
            <w:r w:rsidR="00454766" w:rsidRPr="00272D03">
              <w:rPr>
                <w:lang w:val="en-GB" w:eastAsia="en-US"/>
              </w:rPr>
              <w:t xml:space="preserve">Therefore, </w:t>
            </w:r>
            <w:r w:rsidRPr="00272D03">
              <w:rPr>
                <w:bCs/>
                <w:lang w:eastAsia="en-US"/>
              </w:rPr>
              <w:t>BAS </w:t>
            </w:r>
            <w:r w:rsidR="00454766" w:rsidRPr="00272D03">
              <w:rPr>
                <w:bCs/>
                <w:lang w:eastAsia="en-US"/>
              </w:rPr>
              <w:t>736</w:t>
            </w:r>
            <w:r w:rsidRPr="00272D03">
              <w:rPr>
                <w:bCs/>
                <w:lang w:eastAsia="en-US"/>
              </w:rPr>
              <w:t> 00 F</w:t>
            </w:r>
            <w:r w:rsidRPr="00272D03">
              <w:t xml:space="preserve"> does not pose an unacceptable risk to mammals following applications according to recommended use pattern.</w:t>
            </w:r>
          </w:p>
          <w:p w14:paraId="0F10748B" w14:textId="77777777" w:rsidR="00413EEB" w:rsidRPr="00C24BD1" w:rsidRDefault="00413EEB" w:rsidP="00454766">
            <w:pPr>
              <w:shd w:val="clear" w:color="auto" w:fill="D9D9D9"/>
              <w:spacing w:before="120" w:after="120"/>
              <w:jc w:val="both"/>
              <w:rPr>
                <w:lang w:val="en-GB"/>
              </w:rPr>
            </w:pPr>
            <w:r w:rsidRPr="004F1653">
              <w:rPr>
                <w:lang w:val="en-GB" w:eastAsia="en-US"/>
              </w:rPr>
              <w:t xml:space="preserve">Evaluation of exposing to </w:t>
            </w:r>
            <w:r>
              <w:rPr>
                <w:lang w:val="en-GB" w:eastAsia="en-US"/>
              </w:rPr>
              <w:t>mammals</w:t>
            </w:r>
            <w:r w:rsidRPr="004F1653">
              <w:rPr>
                <w:lang w:val="en-GB" w:eastAsia="en-US"/>
              </w:rPr>
              <w:t xml:space="preserve"> through the drinking water demonstrated the acceptable risk. </w:t>
            </w:r>
            <w:r>
              <w:rPr>
                <w:lang w:eastAsia="en-US"/>
              </w:rPr>
              <w:t>Th</w:t>
            </w:r>
            <w:r w:rsidRPr="00E33B05">
              <w:rPr>
                <w:rFonts w:cs="Arial"/>
              </w:rPr>
              <w:t>e potential risk of secondary poisoning is</w:t>
            </w:r>
            <w:r>
              <w:rPr>
                <w:rFonts w:cs="Arial"/>
              </w:rPr>
              <w:t xml:space="preserve"> low. </w:t>
            </w:r>
          </w:p>
        </w:tc>
      </w:tr>
    </w:tbl>
    <w:p w14:paraId="04E0F137" w14:textId="77777777" w:rsidR="00260453" w:rsidRPr="00E178F2" w:rsidRDefault="00260453" w:rsidP="00E51CDD">
      <w:pPr>
        <w:pStyle w:val="RepStandard"/>
      </w:pPr>
    </w:p>
    <w:bookmarkEnd w:id="440"/>
    <w:bookmarkEnd w:id="441"/>
    <w:p w14:paraId="33EA842D" w14:textId="77777777" w:rsidR="00E51CDD" w:rsidRDefault="00E51CDD" w:rsidP="00E51CDD">
      <w:pPr>
        <w:pStyle w:val="StyleOECD-BASIS-TEXTLeft"/>
        <w:rPr>
          <w:sz w:val="22"/>
          <w:lang w:val="en-US"/>
        </w:rPr>
      </w:pPr>
    </w:p>
    <w:p w14:paraId="46DD8478" w14:textId="77777777" w:rsidR="00E51CDD" w:rsidRPr="00985E91" w:rsidRDefault="00E51CDD" w:rsidP="00E51CDD">
      <w:pPr>
        <w:pStyle w:val="StyleOECD-BASIS-TEXTLeft"/>
        <w:rPr>
          <w:b/>
          <w:bCs/>
          <w:sz w:val="22"/>
          <w:lang w:val="en-US"/>
        </w:rPr>
      </w:pPr>
      <w:r w:rsidRPr="00985E91">
        <w:rPr>
          <w:b/>
          <w:bCs/>
          <w:sz w:val="22"/>
          <w:lang w:val="en-US"/>
        </w:rPr>
        <w:t>References</w:t>
      </w:r>
    </w:p>
    <w:p w14:paraId="3B2FCC6E" w14:textId="77777777" w:rsidR="00E51CDD" w:rsidRDefault="00E51CDD" w:rsidP="00E51CDD">
      <w:pPr>
        <w:autoSpaceDE w:val="0"/>
        <w:autoSpaceDN w:val="0"/>
        <w:jc w:val="both"/>
        <w:rPr>
          <w:rFonts w:eastAsia="Calibri"/>
          <w:color w:val="000000"/>
        </w:rPr>
      </w:pPr>
      <w:bookmarkStart w:id="442" w:name="_Hlk517956428"/>
    </w:p>
    <w:p w14:paraId="33C273D3" w14:textId="77777777" w:rsidR="00E51CDD" w:rsidRPr="00EC0D65" w:rsidRDefault="00E51CDD" w:rsidP="00E51CDD">
      <w:pPr>
        <w:autoSpaceDE w:val="0"/>
        <w:autoSpaceDN w:val="0"/>
        <w:jc w:val="both"/>
        <w:rPr>
          <w:rFonts w:eastAsia="Calibri"/>
          <w:color w:val="000000"/>
          <w:lang w:val="en-GB"/>
        </w:rPr>
      </w:pPr>
      <w:r w:rsidRPr="00EC0D65">
        <w:rPr>
          <w:rFonts w:eastAsia="Calibri"/>
          <w:color w:val="000000"/>
          <w:lang w:val="en-GB"/>
        </w:rPr>
        <w:t>C</w:t>
      </w:r>
      <w:r>
        <w:rPr>
          <w:rFonts w:eastAsia="Calibri"/>
          <w:color w:val="000000"/>
          <w:lang w:val="en-GB"/>
        </w:rPr>
        <w:t>tgb</w:t>
      </w:r>
      <w:r w:rsidRPr="00EC0D65">
        <w:rPr>
          <w:rFonts w:eastAsia="Calibri"/>
          <w:color w:val="000000"/>
          <w:lang w:val="en-GB"/>
        </w:rPr>
        <w:t>. 20</w:t>
      </w:r>
      <w:r>
        <w:rPr>
          <w:rFonts w:eastAsia="Calibri"/>
          <w:color w:val="000000"/>
          <w:lang w:val="en-GB"/>
        </w:rPr>
        <w:t>20</w:t>
      </w:r>
      <w:r w:rsidRPr="00EC0D65">
        <w:rPr>
          <w:rFonts w:eastAsia="Calibri"/>
          <w:color w:val="000000"/>
          <w:lang w:val="en-GB"/>
        </w:rPr>
        <w:t xml:space="preserve">. </w:t>
      </w:r>
      <w:r w:rsidRPr="00EC0D65">
        <w:rPr>
          <w:rFonts w:eastAsia="Calibri"/>
          <w:bCs/>
          <w:color w:val="000000"/>
          <w:lang w:val="en-GB"/>
        </w:rPr>
        <w:t>Evaluation Manual for the Authorisation of plant protection products according to Regulation (EC) No 1107/2009. EU part. Plant protection products. Chapter 7 Ecotoxicology: terrestrial; birds and mammals. version 2.</w:t>
      </w:r>
      <w:r>
        <w:rPr>
          <w:rFonts w:eastAsia="Calibri"/>
          <w:bCs/>
          <w:color w:val="000000"/>
          <w:lang w:val="en-GB"/>
        </w:rPr>
        <w:t>4</w:t>
      </w:r>
      <w:r w:rsidRPr="00EC0D65">
        <w:rPr>
          <w:rFonts w:eastAsia="Calibri"/>
          <w:bCs/>
          <w:color w:val="000000"/>
          <w:lang w:val="en-GB"/>
        </w:rPr>
        <w:t xml:space="preserve">; </w:t>
      </w:r>
      <w:r>
        <w:rPr>
          <w:rFonts w:eastAsia="Calibri"/>
          <w:bCs/>
          <w:color w:val="000000"/>
          <w:lang w:val="en-GB"/>
        </w:rPr>
        <w:t>January 2020</w:t>
      </w:r>
      <w:r w:rsidRPr="00EC0D65">
        <w:rPr>
          <w:rFonts w:eastAsia="Calibri"/>
          <w:bCs/>
          <w:color w:val="000000"/>
          <w:lang w:val="en-GB"/>
        </w:rPr>
        <w:t>. Board for the Authorisation of plant protection products and biocides (ctgb).</w:t>
      </w:r>
    </w:p>
    <w:bookmarkEnd w:id="442"/>
    <w:p w14:paraId="45E233A7" w14:textId="77777777" w:rsidR="00E51CDD" w:rsidRPr="00EC0D65" w:rsidRDefault="00E51CDD" w:rsidP="00E51CDD">
      <w:pPr>
        <w:widowControl w:val="0"/>
        <w:jc w:val="both"/>
        <w:rPr>
          <w:bCs/>
          <w:lang w:val="en-GB" w:eastAsia="en-US"/>
        </w:rPr>
      </w:pPr>
    </w:p>
    <w:p w14:paraId="11E46AE2" w14:textId="77777777" w:rsidR="00E51CDD" w:rsidRPr="00EC0D65" w:rsidRDefault="00E51CDD" w:rsidP="00E51CDD">
      <w:pPr>
        <w:widowControl w:val="0"/>
        <w:autoSpaceDE w:val="0"/>
        <w:autoSpaceDN w:val="0"/>
        <w:adjustRightInd w:val="0"/>
        <w:ind w:leftChars="-1" w:hanging="2"/>
        <w:jc w:val="both"/>
        <w:rPr>
          <w:szCs w:val="24"/>
          <w:lang w:val="en-GB"/>
        </w:rPr>
      </w:pPr>
      <w:r w:rsidRPr="00EC0D65">
        <w:rPr>
          <w:szCs w:val="24"/>
          <w:lang w:val="en-GB"/>
        </w:rPr>
        <w:t>EFSA/2014/3662. EFSA Guidance Document for evaluating laboratory and field dissipation studies to obtain DegT50 values of active substances of plant protection products and transformation products of these active substances in soil. EFSA Journal 2014; 12(5):3662.</w:t>
      </w:r>
    </w:p>
    <w:p w14:paraId="02E51215" w14:textId="77777777" w:rsidR="00E51CDD" w:rsidRPr="00EC0D65" w:rsidRDefault="00E51CDD" w:rsidP="00E51CDD">
      <w:pPr>
        <w:widowControl w:val="0"/>
        <w:jc w:val="both"/>
        <w:rPr>
          <w:color w:val="000000"/>
          <w:lang w:val="en-GB" w:eastAsia="zh-CN"/>
        </w:rPr>
      </w:pPr>
    </w:p>
    <w:p w14:paraId="31EC9AA7" w14:textId="77777777" w:rsidR="00E51CDD" w:rsidRDefault="00E51CDD" w:rsidP="00CE08CB">
      <w:pPr>
        <w:pStyle w:val="StyleOECD-BASIS-TEXTLeft"/>
        <w:rPr>
          <w:sz w:val="22"/>
          <w:lang w:val="en-US"/>
        </w:rPr>
        <w:sectPr w:rsidR="00E51CDD" w:rsidSect="009938D9">
          <w:headerReference w:type="even" r:id="rId28"/>
          <w:footerReference w:type="even" r:id="rId29"/>
          <w:headerReference w:type="first" r:id="rId30"/>
          <w:footerReference w:type="first" r:id="rId31"/>
          <w:pgSz w:w="11909" w:h="16834" w:code="9"/>
          <w:pgMar w:top="1418" w:right="1134" w:bottom="1134" w:left="1418" w:header="709" w:footer="709" w:gutter="0"/>
          <w:pgNumType w:chapSep="period"/>
          <w:cols w:space="720"/>
          <w:noEndnote/>
          <w:docGrid w:linePitch="299"/>
        </w:sectPr>
      </w:pPr>
    </w:p>
    <w:p w14:paraId="0E87E802" w14:textId="77777777" w:rsidR="00E51CDD" w:rsidRDefault="00E51CDD" w:rsidP="00E51CDD">
      <w:pPr>
        <w:pStyle w:val="StyleOECD-BASIS-TEXTLeft"/>
        <w:rPr>
          <w:sz w:val="22"/>
          <w:lang w:val="en-US"/>
        </w:rPr>
      </w:pPr>
    </w:p>
    <w:p w14:paraId="1F33FD7C" w14:textId="657AADA8" w:rsidR="009938D9" w:rsidRDefault="009938D9" w:rsidP="009938D9">
      <w:pPr>
        <w:pStyle w:val="Nagwek2"/>
      </w:pPr>
      <w:bookmarkStart w:id="443" w:name="_Toc125446422"/>
      <w:r w:rsidRPr="009938D9">
        <w:t>Effects on other terrestrial vertebrate wildlife (reptiles and amphibians) (KCP 10.1.3)</w:t>
      </w:r>
      <w:bookmarkEnd w:id="443"/>
    </w:p>
    <w:p w14:paraId="328E92CA" w14:textId="28902F0D" w:rsidR="00E51CDD" w:rsidRDefault="00E51CDD" w:rsidP="00E51CDD">
      <w:pPr>
        <w:pStyle w:val="RepStandard"/>
      </w:pPr>
      <w:r>
        <w:t>According to the revised data requirements under regulation 1107/2009 (Commission Regulations (EU) 283/2013 and 284/2013 for the active ingredient and the plant protection products, respectively), the risk to terrestrial life-stages of amphibians and reptiles shall be addressed, yet toxicity testing is not required.</w:t>
      </w:r>
    </w:p>
    <w:p w14:paraId="22A221BB" w14:textId="77777777" w:rsidR="00E51CDD" w:rsidRDefault="00E51CDD" w:rsidP="00E51CDD">
      <w:pPr>
        <w:pStyle w:val="RepStandard"/>
      </w:pPr>
    </w:p>
    <w:p w14:paraId="40F4CE50" w14:textId="77777777" w:rsidR="00E51CDD" w:rsidRDefault="00E51CDD" w:rsidP="00E51CDD">
      <w:pPr>
        <w:pStyle w:val="RepStandard"/>
      </w:pPr>
      <w:r>
        <w:t xml:space="preserve">In general, information on the toxicity of chemicals to terrestrial life-stages of amphibians is scarce. However, in the cases where terrestrial life-stages of amphibians were tested in the same type of study as birds and mammals, the general pattern is that amphibians are less sensitive than the latter two taxa (see Table 12 and 13 in Fryday and Thompson, 2012). A review compiling data on 26 chemicals for birds, mammals and amphibians confirmed this pattern (Crane et al., 2016). </w:t>
      </w:r>
    </w:p>
    <w:p w14:paraId="0A9BA291" w14:textId="77777777" w:rsidR="00E51CDD" w:rsidRDefault="00E51CDD" w:rsidP="00E51CDD">
      <w:pPr>
        <w:pStyle w:val="RepStandard"/>
      </w:pPr>
    </w:p>
    <w:p w14:paraId="0FB83D71" w14:textId="77777777" w:rsidR="00E51CDD" w:rsidRDefault="00E51CDD" w:rsidP="00E51CDD">
      <w:pPr>
        <w:pStyle w:val="RepStandard"/>
      </w:pPr>
      <w:r>
        <w:t>For reptiles, there is even less information available than for amphibians (see the review by Fryday and Thompson, 2009).</w:t>
      </w:r>
    </w:p>
    <w:p w14:paraId="2A19C456" w14:textId="77777777" w:rsidR="00E51CDD" w:rsidRDefault="00E51CDD" w:rsidP="00E51CDD">
      <w:pPr>
        <w:pStyle w:val="RepStandard"/>
      </w:pPr>
    </w:p>
    <w:p w14:paraId="398DD821" w14:textId="77777777" w:rsidR="00E51CDD" w:rsidRDefault="00E51CDD" w:rsidP="00E51CDD">
      <w:pPr>
        <w:pStyle w:val="RepStandard"/>
      </w:pPr>
      <w:r>
        <w:t>For the time being, it is assumed that the risk assessments for birds and mammals are protective for terrestrial life-stages of amphibians and reptiles; an approach that is also used by US-EPA (US-EPA 2004).</w:t>
      </w:r>
    </w:p>
    <w:p w14:paraId="11A94F5F" w14:textId="77777777" w:rsidR="00E51CDD" w:rsidRDefault="00E51CDD" w:rsidP="00E51CDD">
      <w:pPr>
        <w:pStyle w:val="RepStandard"/>
      </w:pPr>
    </w:p>
    <w:p w14:paraId="275699C6" w14:textId="77777777" w:rsidR="00E51CDD" w:rsidRDefault="00E51CDD" w:rsidP="00E51CDD">
      <w:pPr>
        <w:pStyle w:val="RepStandard"/>
        <w:rPr>
          <w:b/>
          <w:bCs/>
        </w:rPr>
      </w:pPr>
    </w:p>
    <w:p w14:paraId="4056057D" w14:textId="77777777" w:rsidR="00E51CDD" w:rsidRDefault="00E51CDD" w:rsidP="00E51CDD">
      <w:pPr>
        <w:pStyle w:val="RepStandard"/>
        <w:rPr>
          <w:b/>
          <w:bCs/>
        </w:rPr>
      </w:pPr>
      <w:r>
        <w:rPr>
          <w:b/>
          <w:bCs/>
        </w:rPr>
        <w:t>References</w:t>
      </w:r>
    </w:p>
    <w:p w14:paraId="3F1D6DF8" w14:textId="77777777" w:rsidR="00E51CDD" w:rsidRDefault="00E51CDD" w:rsidP="00E51CDD">
      <w:pPr>
        <w:pStyle w:val="RepStandard"/>
      </w:pPr>
    </w:p>
    <w:p w14:paraId="67108999" w14:textId="77777777" w:rsidR="00E51CDD" w:rsidRDefault="00E51CDD" w:rsidP="00E51CDD">
      <w:pPr>
        <w:pStyle w:val="RepStandard"/>
      </w:pPr>
      <w:r>
        <w:t>Commission Regulation (EU) No 283/2013 setting out data requirements for active substances, in accordance with Regulation (EC) No 1107/2009 of the European Parliament and of the Council concerning the placing of plant protection products on the market. Official Journal of the European Union: 1st March 2013.</w:t>
      </w:r>
    </w:p>
    <w:p w14:paraId="007BAFDE" w14:textId="77777777" w:rsidR="00E51CDD" w:rsidRDefault="00E51CDD" w:rsidP="00E51CDD">
      <w:pPr>
        <w:pStyle w:val="RepStandard"/>
      </w:pPr>
    </w:p>
    <w:p w14:paraId="24167FBD" w14:textId="77777777" w:rsidR="00E51CDD" w:rsidRDefault="00E51CDD" w:rsidP="00E51CDD">
      <w:pPr>
        <w:pStyle w:val="RepStandard"/>
      </w:pPr>
      <w:r>
        <w:t>Commission Regulation (EU) No 284/2013: setting out the data requirements for plant protection products, in accordance with Regulation (EC) No 1107/2009 of the European Parliament and of the Council concerning the placing of plant protection products on the market. Official Journal of the European Union: 1st March 2013.</w:t>
      </w:r>
    </w:p>
    <w:p w14:paraId="0E2F2FF5" w14:textId="77777777" w:rsidR="00E51CDD" w:rsidRDefault="00E51CDD" w:rsidP="00E51CDD">
      <w:pPr>
        <w:pStyle w:val="RepStandard"/>
      </w:pPr>
    </w:p>
    <w:p w14:paraId="434F951F" w14:textId="77777777" w:rsidR="00E51CDD" w:rsidRDefault="00E51CDD" w:rsidP="00E51CDD">
      <w:pPr>
        <w:pStyle w:val="RepStandard"/>
      </w:pPr>
      <w:r>
        <w:t>Crane, M., Finnegan, M., Weltje, L., Kosmala-Grzechnik, S., Gross, M. and Wheeler, J.R. 2016. Acute oral toxicity of chemicals in terrestrial life stages of amphibians: Comparisons to birds and mammals. Regulatory Toxicology and Pharmacology, 80: 335-341.</w:t>
      </w:r>
    </w:p>
    <w:p w14:paraId="5F18908D" w14:textId="77777777" w:rsidR="00E51CDD" w:rsidRDefault="00E51CDD" w:rsidP="00E51CDD">
      <w:pPr>
        <w:pStyle w:val="RepStandard"/>
      </w:pPr>
    </w:p>
    <w:p w14:paraId="4C6E61EA" w14:textId="77777777" w:rsidR="00E51CDD" w:rsidRDefault="00E51CDD" w:rsidP="00E51CDD">
      <w:pPr>
        <w:pStyle w:val="RepStandard"/>
      </w:pPr>
      <w:r>
        <w:t>Fryday, S. and Thompson, H. 2009. Compared toxicity of chemicals to reptiles and other vertebrates. EFSA Supporting Publications, 6, EN-14: 169 pp.</w:t>
      </w:r>
    </w:p>
    <w:p w14:paraId="41AF2F0A" w14:textId="77777777" w:rsidR="00E51CDD" w:rsidRDefault="00E51CDD" w:rsidP="00E51CDD">
      <w:pPr>
        <w:pStyle w:val="RepStandard"/>
      </w:pPr>
    </w:p>
    <w:p w14:paraId="78AC7516" w14:textId="77777777" w:rsidR="00E51CDD" w:rsidRDefault="00E51CDD" w:rsidP="00E51CDD">
      <w:pPr>
        <w:pStyle w:val="RepStandard"/>
      </w:pPr>
      <w:r>
        <w:t>Fryday, S. and Thompson, H. 2012. Toxicity of pesticides to aquatic and terrestrial life stages of amphibians and occurrence, habitat use and exposure of amphibian species in agricultural environments. EFSA Supporting Publications, 9, EN-343: 348 pp.</w:t>
      </w:r>
    </w:p>
    <w:p w14:paraId="0B14C0C3" w14:textId="77777777" w:rsidR="00E51CDD" w:rsidRDefault="00E51CDD" w:rsidP="00E51CDD">
      <w:pPr>
        <w:pStyle w:val="RepStandard"/>
      </w:pPr>
    </w:p>
    <w:p w14:paraId="36339E61" w14:textId="77777777" w:rsidR="00E51CDD" w:rsidRDefault="00E51CDD" w:rsidP="00E51CDD">
      <w:pPr>
        <w:pStyle w:val="RepStandard"/>
      </w:pPr>
      <w:r>
        <w:rPr>
          <w:lang w:val="en-US"/>
        </w:rPr>
        <w:t>US-EPA 2004. Overview of the ecological risk assessment process in the Office of Pesticide Programs, U.S. Environmental Protection Agency: Endangered and Threatened Species Effects Determinations. Office of Prevention, Pesticides and Toxic Substances; Office of Pesticide Programs, Washington, D.C. 92 pp.</w:t>
      </w:r>
    </w:p>
    <w:p w14:paraId="754FC926" w14:textId="77777777" w:rsidR="00E51CDD" w:rsidRPr="00BE38F9" w:rsidRDefault="00E51CDD" w:rsidP="00E51CDD">
      <w:pPr>
        <w:pStyle w:val="RepStandard"/>
      </w:pPr>
    </w:p>
    <w:p w14:paraId="10E4B5D0" w14:textId="77777777" w:rsidR="00E51CDD" w:rsidRDefault="00E51CDD" w:rsidP="00E51CDD">
      <w:pPr>
        <w:pStyle w:val="StyleOECD-BASIS-TEXTLeft"/>
        <w:rPr>
          <w:sz w:val="22"/>
          <w:lang w:val="en-US"/>
        </w:rPr>
      </w:pPr>
    </w:p>
    <w:p w14:paraId="34A3F2F0" w14:textId="77777777" w:rsidR="00E51CDD" w:rsidRDefault="00E51CDD" w:rsidP="00CE08CB">
      <w:pPr>
        <w:pStyle w:val="StyleOECD-BASIS-TEXTLeft"/>
        <w:rPr>
          <w:sz w:val="22"/>
          <w:lang w:val="en-US"/>
        </w:rPr>
        <w:sectPr w:rsidR="00E51CDD" w:rsidSect="009938D9">
          <w:pgSz w:w="11909" w:h="16834" w:code="9"/>
          <w:pgMar w:top="1418" w:right="1134" w:bottom="1134" w:left="1418" w:header="709" w:footer="709" w:gutter="0"/>
          <w:pgNumType w:chapSep="period"/>
          <w:cols w:space="720"/>
          <w:noEndnote/>
          <w:docGrid w:linePitch="299"/>
        </w:sectPr>
      </w:pPr>
    </w:p>
    <w:p w14:paraId="3A788345" w14:textId="77777777" w:rsidR="00E51CDD" w:rsidRDefault="00E51CDD" w:rsidP="00E51CDD">
      <w:pPr>
        <w:pStyle w:val="StyleOECD-BASIS-TEXTLeft"/>
        <w:rPr>
          <w:sz w:val="22"/>
          <w:lang w:val="en-US"/>
        </w:rPr>
      </w:pPr>
    </w:p>
    <w:p w14:paraId="3C50C55C" w14:textId="77777777" w:rsidR="00E51CDD" w:rsidRPr="00844A12" w:rsidRDefault="00E51CDD" w:rsidP="00E51CDD">
      <w:pPr>
        <w:pStyle w:val="Nagwek2"/>
      </w:pPr>
      <w:bookmarkStart w:id="444" w:name="_Toc399487271"/>
      <w:bookmarkStart w:id="445" w:name="_Ref405399214"/>
      <w:bookmarkStart w:id="446" w:name="_Toc412643994"/>
      <w:bookmarkStart w:id="447" w:name="_Toc413916840"/>
      <w:bookmarkStart w:id="448" w:name="_Toc413916982"/>
      <w:bookmarkStart w:id="449" w:name="_Toc413922043"/>
      <w:bookmarkStart w:id="450" w:name="_Toc413922532"/>
      <w:bookmarkStart w:id="451" w:name="_Toc413922636"/>
      <w:bookmarkStart w:id="452" w:name="_Toc414955273"/>
      <w:bookmarkStart w:id="453" w:name="_Toc415214580"/>
      <w:bookmarkStart w:id="454" w:name="_Toc125446423"/>
      <w:r w:rsidRPr="00844A12">
        <w:t>Effects on aquatic organisms (KCP 10.2)</w:t>
      </w:r>
      <w:bookmarkEnd w:id="444"/>
      <w:bookmarkEnd w:id="445"/>
      <w:bookmarkEnd w:id="446"/>
      <w:bookmarkEnd w:id="447"/>
      <w:bookmarkEnd w:id="448"/>
      <w:bookmarkEnd w:id="449"/>
      <w:bookmarkEnd w:id="450"/>
      <w:bookmarkEnd w:id="451"/>
      <w:bookmarkEnd w:id="452"/>
      <w:bookmarkEnd w:id="453"/>
      <w:bookmarkEnd w:id="454"/>
    </w:p>
    <w:p w14:paraId="01B0255B" w14:textId="77777777" w:rsidR="00E51CDD" w:rsidRPr="00227BE0" w:rsidRDefault="00E51CDD" w:rsidP="00E51CDD">
      <w:pPr>
        <w:pStyle w:val="Nagwek3"/>
      </w:pPr>
      <w:bookmarkStart w:id="455" w:name="_Toc412643995"/>
      <w:bookmarkStart w:id="456" w:name="_Toc413916841"/>
      <w:bookmarkStart w:id="457" w:name="_Toc413916983"/>
      <w:bookmarkStart w:id="458" w:name="_Toc413922044"/>
      <w:bookmarkStart w:id="459" w:name="_Toc413922533"/>
      <w:bookmarkStart w:id="460" w:name="_Toc413922637"/>
      <w:bookmarkStart w:id="461" w:name="_Toc414955274"/>
      <w:bookmarkStart w:id="462" w:name="_Toc415214581"/>
      <w:bookmarkStart w:id="463" w:name="_Toc125446424"/>
      <w:r w:rsidRPr="00227BE0">
        <w:t>Toxicity data</w:t>
      </w:r>
      <w:bookmarkEnd w:id="455"/>
      <w:bookmarkEnd w:id="456"/>
      <w:bookmarkEnd w:id="457"/>
      <w:bookmarkEnd w:id="458"/>
      <w:bookmarkEnd w:id="459"/>
      <w:bookmarkEnd w:id="460"/>
      <w:bookmarkEnd w:id="461"/>
      <w:bookmarkEnd w:id="462"/>
      <w:bookmarkEnd w:id="463"/>
    </w:p>
    <w:p w14:paraId="5D95B9BF" w14:textId="77777777" w:rsidR="00E51CDD" w:rsidRPr="00227BE0" w:rsidRDefault="00E51CDD" w:rsidP="00E51CDD">
      <w:pPr>
        <w:widowControl w:val="0"/>
        <w:suppressAutoHyphens/>
        <w:jc w:val="both"/>
      </w:pPr>
      <w:r w:rsidRPr="00227BE0">
        <w:t>Studies on the toxicity to aquatic organisms have been carried out with the formulation BAS 736 00 F, the active substances fluxapyroxad (BAS 700 F), azoxystrobin (</w:t>
      </w:r>
      <w:bookmarkStart w:id="464" w:name="_Hlk82443535"/>
      <w:r w:rsidRPr="00227BE0">
        <w:t>BAS 9164 F</w:t>
      </w:r>
      <w:bookmarkEnd w:id="464"/>
      <w:r w:rsidRPr="00227BE0">
        <w:t>) and their relevant metabolites. Full details of these studies are provided in the EU DAR of fluxapyroxad (DAR, Vol. 1, B.9, Feb. 2011) and azoxystrobin (DAR Vol. 1 B.9 May 20079 and EFSA conclusions of fluxapyroxad (EFSA Journal 2012; 10(1):2522), azoxystrobin (EFSA Journal 2010; 8(4):1542) and related documents, as well as in Appendix 2 of this document (new studies).</w:t>
      </w:r>
    </w:p>
    <w:p w14:paraId="5403BC3D" w14:textId="77777777" w:rsidR="00E51CDD" w:rsidRPr="00227BE0" w:rsidRDefault="00E51CDD" w:rsidP="00E51CDD">
      <w:pPr>
        <w:widowControl w:val="0"/>
        <w:suppressAutoHyphens/>
        <w:jc w:val="both"/>
      </w:pPr>
    </w:p>
    <w:p w14:paraId="2E595790" w14:textId="77777777" w:rsidR="00E51CDD" w:rsidRPr="00227BE0" w:rsidRDefault="00E51CDD" w:rsidP="00E51CDD">
      <w:pPr>
        <w:widowControl w:val="0"/>
        <w:suppressAutoHyphens/>
        <w:jc w:val="both"/>
      </w:pPr>
      <w:r w:rsidRPr="00227BE0">
        <w:t>The selection of studies and endpoints and the risk assessments (RAs) for fluxapyroxad and azoxystrobin are generally in line with the results of the EU review process (justification in case of deviations is provided below).</w:t>
      </w:r>
    </w:p>
    <w:p w14:paraId="3480FC44" w14:textId="77777777" w:rsidR="00E51CDD" w:rsidRPr="00227BE0" w:rsidRDefault="00E51CDD" w:rsidP="00E51CDD">
      <w:pPr>
        <w:widowControl w:val="0"/>
        <w:suppressAutoHyphens/>
        <w:jc w:val="both"/>
      </w:pPr>
    </w:p>
    <w:p w14:paraId="535A8515" w14:textId="77777777" w:rsidR="00E51CDD" w:rsidRPr="00227BE0" w:rsidRDefault="00E51CDD" w:rsidP="00E51CDD">
      <w:pPr>
        <w:widowControl w:val="0"/>
        <w:suppressAutoHyphens/>
        <w:jc w:val="both"/>
      </w:pPr>
      <w:r w:rsidRPr="00227BE0">
        <w:t>Effects on aquatic organisms of product BAS 736 00 F were not evaluated previously as part of the EU assessment of the active substances. New data submitted with this application are listed in Appendix 1 and summarized in Appendix 2.</w:t>
      </w:r>
    </w:p>
    <w:p w14:paraId="52B0624D" w14:textId="77777777" w:rsidR="00E51CDD" w:rsidRPr="00227BE0" w:rsidRDefault="00E51CDD" w:rsidP="00E51CDD">
      <w:pPr>
        <w:widowControl w:val="0"/>
        <w:suppressAutoHyphens/>
        <w:jc w:val="both"/>
      </w:pPr>
    </w:p>
    <w:p w14:paraId="53B7FE7C" w14:textId="77777777" w:rsidR="00E51CDD" w:rsidRPr="00227BE0" w:rsidRDefault="00E51CDD" w:rsidP="00E51CDD">
      <w:pPr>
        <w:widowControl w:val="0"/>
        <w:spacing w:before="40" w:after="40"/>
        <w:jc w:val="both"/>
        <w:rPr>
          <w:lang w:eastAsia="zh-CN"/>
        </w:rPr>
      </w:pPr>
      <w:r w:rsidRPr="00227BE0">
        <w:rPr>
          <w:lang w:eastAsia="zh-CN"/>
        </w:rPr>
        <w:t>Appropriate RAs for aquatic organisms for the active substances, its major metabolites and the formulated product BAS 736 00 F for the proposed use pattern are provided based on available toxicity data.</w:t>
      </w:r>
    </w:p>
    <w:p w14:paraId="54AAC512" w14:textId="77777777" w:rsidR="00E51CDD" w:rsidRPr="00227BE0" w:rsidRDefault="00E51CDD" w:rsidP="00E51CDD">
      <w:pPr>
        <w:widowControl w:val="0"/>
        <w:spacing w:before="40" w:after="40"/>
        <w:jc w:val="both"/>
        <w:rPr>
          <w:lang w:eastAsia="zh-CN"/>
        </w:rPr>
      </w:pPr>
    </w:p>
    <w:p w14:paraId="36571E34" w14:textId="77777777" w:rsidR="00E51CDD" w:rsidRPr="00227BE0" w:rsidRDefault="00E51CDD" w:rsidP="00E51CDD">
      <w:pPr>
        <w:widowControl w:val="0"/>
        <w:jc w:val="both"/>
        <w:rPr>
          <w:lang w:val="en-GB" w:eastAsia="zh-CN"/>
        </w:rPr>
      </w:pPr>
      <w:r w:rsidRPr="00227BE0">
        <w:rPr>
          <w:lang w:val="en-GB" w:eastAsia="zh-CN"/>
        </w:rPr>
        <w:t>Full references to cited literature are given at the end of this document.</w:t>
      </w:r>
    </w:p>
    <w:p w14:paraId="472E827D" w14:textId="77777777" w:rsidR="00E51CDD" w:rsidRDefault="00E51CDD" w:rsidP="00E51CDD">
      <w:pPr>
        <w:widowControl w:val="0"/>
        <w:jc w:val="both"/>
        <w:rPr>
          <w:b/>
          <w:u w:val="single"/>
        </w:rPr>
      </w:pPr>
      <w:bookmarkStart w:id="465" w:name="_Hlk82084875"/>
    </w:p>
    <w:p w14:paraId="5E50C7D4" w14:textId="77777777" w:rsidR="00E51CDD" w:rsidRPr="00227BE0" w:rsidRDefault="00E51CDD" w:rsidP="00E51CDD">
      <w:pPr>
        <w:widowControl w:val="0"/>
        <w:jc w:val="both"/>
        <w:rPr>
          <w:lang w:val="en-GB"/>
        </w:rPr>
      </w:pPr>
      <w:r w:rsidRPr="00227BE0">
        <w:rPr>
          <w:b/>
          <w:u w:val="single"/>
        </w:rPr>
        <w:t>Fluxapyroxad and metabolites</w:t>
      </w:r>
    </w:p>
    <w:p w14:paraId="5C0F08B9" w14:textId="77777777" w:rsidR="00E51CDD" w:rsidRPr="00227BE0" w:rsidRDefault="00E51CDD" w:rsidP="00E51CDD">
      <w:pPr>
        <w:pStyle w:val="RepStandard"/>
        <w:suppressAutoHyphens/>
        <w:rPr>
          <w:lang w:val="en-US"/>
        </w:rPr>
      </w:pPr>
    </w:p>
    <w:p w14:paraId="47CE92F3" w14:textId="3D150AE2" w:rsidR="00E51CDD" w:rsidRPr="00227BE0" w:rsidRDefault="00E51CDD" w:rsidP="00E51CDD">
      <w:pPr>
        <w:widowControl w:val="0"/>
        <w:suppressAutoHyphens/>
        <w:jc w:val="both"/>
      </w:pPr>
      <w:r w:rsidRPr="00227BE0">
        <w:rPr>
          <w:szCs w:val="24"/>
        </w:rPr>
        <w:t xml:space="preserve">The results from toxicity tests with representative aquatic species conducted with the active substance fluxapyroxad and its metabolites found in aquatic systems are summarized in </w:t>
      </w:r>
      <w:r w:rsidRPr="00227BE0">
        <w:rPr>
          <w:szCs w:val="24"/>
        </w:rPr>
        <w:fldChar w:fldCharType="begin"/>
      </w:r>
      <w:r w:rsidRPr="00227BE0">
        <w:rPr>
          <w:szCs w:val="24"/>
        </w:rPr>
        <w:instrText xml:space="preserve"> REF _Ref83031117 \h  \* MERGEFORMAT </w:instrText>
      </w:r>
      <w:r w:rsidRPr="00227BE0">
        <w:rPr>
          <w:szCs w:val="24"/>
        </w:rPr>
      </w:r>
      <w:r w:rsidRPr="00227BE0">
        <w:rPr>
          <w:szCs w:val="24"/>
        </w:rPr>
        <w:fldChar w:fldCharType="separate"/>
      </w:r>
      <w:r w:rsidR="00662F32" w:rsidRPr="00662F32">
        <w:rPr>
          <w:bCs/>
        </w:rPr>
        <w:t xml:space="preserve">Table </w:t>
      </w:r>
      <w:r w:rsidR="00662F32" w:rsidRPr="00662F32">
        <w:rPr>
          <w:bCs/>
          <w:noProof/>
        </w:rPr>
        <w:t>9.5</w:t>
      </w:r>
      <w:r w:rsidR="00662F32" w:rsidRPr="00662F32">
        <w:rPr>
          <w:bCs/>
          <w:noProof/>
        </w:rPr>
        <w:noBreakHyphen/>
        <w:t>1</w:t>
      </w:r>
      <w:r w:rsidRPr="00227BE0">
        <w:rPr>
          <w:szCs w:val="24"/>
        </w:rPr>
        <w:fldChar w:fldCharType="end"/>
      </w:r>
      <w:r w:rsidRPr="00227BE0">
        <w:t>.</w:t>
      </w:r>
    </w:p>
    <w:p w14:paraId="5AE843C6" w14:textId="77777777" w:rsidR="00E51CDD" w:rsidRPr="00227BE0" w:rsidRDefault="00E51CDD" w:rsidP="00E51CDD">
      <w:pPr>
        <w:widowControl w:val="0"/>
        <w:tabs>
          <w:tab w:val="left" w:pos="567"/>
        </w:tabs>
        <w:suppressAutoHyphens/>
        <w:jc w:val="both"/>
        <w:rPr>
          <w:b/>
          <w:bCs/>
        </w:rPr>
      </w:pPr>
    </w:p>
    <w:p w14:paraId="1B7CF86B" w14:textId="7803E4B0" w:rsidR="00E51CDD" w:rsidRPr="00227BE0" w:rsidRDefault="00E51CDD" w:rsidP="00E51CDD">
      <w:pPr>
        <w:widowControl w:val="0"/>
        <w:tabs>
          <w:tab w:val="left" w:pos="567"/>
          <w:tab w:val="left" w:pos="1985"/>
        </w:tabs>
        <w:suppressAutoHyphens/>
        <w:ind w:left="1985" w:hanging="1985"/>
        <w:jc w:val="both"/>
        <w:rPr>
          <w:b/>
          <w:bCs/>
        </w:rPr>
      </w:pPr>
      <w:bookmarkStart w:id="466" w:name="_Ref83031117"/>
      <w:r w:rsidRPr="00227BE0">
        <w:rPr>
          <w:b/>
          <w:bCs/>
        </w:rPr>
        <w:t xml:space="preserve">Table </w:t>
      </w:r>
      <w:r w:rsidRPr="00227BE0">
        <w:rPr>
          <w:b/>
          <w:bCs/>
        </w:rPr>
        <w:fldChar w:fldCharType="begin"/>
      </w:r>
      <w:r w:rsidRPr="00227BE0">
        <w:rPr>
          <w:b/>
          <w:bCs/>
        </w:rPr>
        <w:instrText xml:space="preserve"> STYLEREF 2 \s </w:instrText>
      </w:r>
      <w:r w:rsidRPr="00227BE0">
        <w:rPr>
          <w:b/>
          <w:bCs/>
        </w:rPr>
        <w:fldChar w:fldCharType="separate"/>
      </w:r>
      <w:r w:rsidR="00662F32">
        <w:rPr>
          <w:b/>
          <w:bCs/>
          <w:noProof/>
        </w:rPr>
        <w:t>9.5</w:t>
      </w:r>
      <w:r w:rsidRPr="00227BE0">
        <w:rPr>
          <w:b/>
          <w:bCs/>
        </w:rPr>
        <w:fldChar w:fldCharType="end"/>
      </w:r>
      <w:r w:rsidRPr="00227BE0">
        <w:rPr>
          <w:b/>
          <w:bCs/>
        </w:rPr>
        <w:noBreakHyphen/>
      </w:r>
      <w:r w:rsidRPr="00227BE0">
        <w:rPr>
          <w:b/>
          <w:bCs/>
        </w:rPr>
        <w:fldChar w:fldCharType="begin"/>
      </w:r>
      <w:r w:rsidRPr="00227BE0">
        <w:rPr>
          <w:b/>
          <w:bCs/>
        </w:rPr>
        <w:instrText xml:space="preserve"> SEQ Table \* ARABIC \s 2 </w:instrText>
      </w:r>
      <w:r w:rsidRPr="00227BE0">
        <w:rPr>
          <w:b/>
          <w:bCs/>
        </w:rPr>
        <w:fldChar w:fldCharType="separate"/>
      </w:r>
      <w:r w:rsidR="00662F32">
        <w:rPr>
          <w:b/>
          <w:bCs/>
          <w:noProof/>
        </w:rPr>
        <w:t>1</w:t>
      </w:r>
      <w:r w:rsidRPr="00227BE0">
        <w:rPr>
          <w:b/>
          <w:bCs/>
        </w:rPr>
        <w:fldChar w:fldCharType="end"/>
      </w:r>
      <w:bookmarkEnd w:id="466"/>
      <w:r w:rsidRPr="00227BE0">
        <w:rPr>
          <w:b/>
          <w:bCs/>
        </w:rPr>
        <w:t>:</w:t>
      </w:r>
      <w:r w:rsidRPr="00227BE0">
        <w:rPr>
          <w:b/>
          <w:bCs/>
        </w:rPr>
        <w:tab/>
        <w:t>Endpoints and effect values relevant for the risk assessment for aquatic organisms – fluxapyroxad and relevant metabolites</w:t>
      </w:r>
    </w:p>
    <w:tbl>
      <w:tblPr>
        <w:tblW w:w="4999" w:type="pct"/>
        <w:tblInd w:w="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57" w:type="dxa"/>
          <w:left w:w="57" w:type="dxa"/>
          <w:bottom w:w="57" w:type="dxa"/>
          <w:right w:w="57" w:type="dxa"/>
        </w:tblCellMar>
        <w:tblLook w:val="01E0" w:firstRow="1" w:lastRow="1" w:firstColumn="1" w:lastColumn="1" w:noHBand="0" w:noVBand="0"/>
      </w:tblPr>
      <w:tblGrid>
        <w:gridCol w:w="2049"/>
        <w:gridCol w:w="1712"/>
        <w:gridCol w:w="1711"/>
        <w:gridCol w:w="1714"/>
        <w:gridCol w:w="2159"/>
      </w:tblGrid>
      <w:tr w:rsidR="00E51CDD" w:rsidRPr="00227BE0" w14:paraId="44675557" w14:textId="77777777" w:rsidTr="009938D9">
        <w:trPr>
          <w:tblHeader/>
        </w:trPr>
        <w:tc>
          <w:tcPr>
            <w:tcW w:w="1100" w:type="pct"/>
            <w:tcBorders>
              <w:top w:val="single" w:sz="4" w:space="0" w:color="auto"/>
              <w:left w:val="single" w:sz="4" w:space="0" w:color="auto"/>
              <w:bottom w:val="single" w:sz="6" w:space="0" w:color="auto"/>
              <w:right w:val="single" w:sz="6" w:space="0" w:color="auto"/>
            </w:tcBorders>
            <w:hideMark/>
          </w:tcPr>
          <w:p w14:paraId="2452F385" w14:textId="77777777" w:rsidR="00E51CDD" w:rsidRPr="00227BE0" w:rsidRDefault="00E51CDD" w:rsidP="009938D9">
            <w:pPr>
              <w:widowControl w:val="0"/>
              <w:suppressAutoHyphens/>
              <w:spacing w:line="254" w:lineRule="auto"/>
              <w:rPr>
                <w:b/>
                <w:sz w:val="20"/>
                <w:szCs w:val="20"/>
              </w:rPr>
            </w:pPr>
            <w:bookmarkStart w:id="467" w:name="_Hlk86231134"/>
            <w:bookmarkStart w:id="468" w:name="_Hlk86231460"/>
            <w:r w:rsidRPr="00227BE0">
              <w:rPr>
                <w:b/>
                <w:sz w:val="20"/>
                <w:szCs w:val="20"/>
              </w:rPr>
              <w:t>Species</w:t>
            </w:r>
          </w:p>
        </w:tc>
        <w:tc>
          <w:tcPr>
            <w:tcW w:w="920" w:type="pct"/>
            <w:tcBorders>
              <w:top w:val="single" w:sz="4" w:space="0" w:color="auto"/>
              <w:left w:val="single" w:sz="6" w:space="0" w:color="auto"/>
              <w:bottom w:val="single" w:sz="6" w:space="0" w:color="auto"/>
              <w:right w:val="single" w:sz="6" w:space="0" w:color="auto"/>
            </w:tcBorders>
            <w:hideMark/>
          </w:tcPr>
          <w:p w14:paraId="1D54F635" w14:textId="77777777" w:rsidR="00E51CDD" w:rsidRPr="00227BE0" w:rsidRDefault="00E51CDD" w:rsidP="009938D9">
            <w:pPr>
              <w:widowControl w:val="0"/>
              <w:suppressAutoHyphens/>
              <w:spacing w:line="254" w:lineRule="auto"/>
              <w:rPr>
                <w:b/>
                <w:sz w:val="20"/>
                <w:szCs w:val="20"/>
              </w:rPr>
            </w:pPr>
            <w:r w:rsidRPr="00227BE0">
              <w:rPr>
                <w:b/>
                <w:sz w:val="20"/>
                <w:szCs w:val="20"/>
              </w:rPr>
              <w:t>Substance</w:t>
            </w:r>
          </w:p>
        </w:tc>
        <w:tc>
          <w:tcPr>
            <w:tcW w:w="919" w:type="pct"/>
            <w:tcBorders>
              <w:top w:val="single" w:sz="4" w:space="0" w:color="auto"/>
              <w:left w:val="single" w:sz="6" w:space="0" w:color="auto"/>
              <w:bottom w:val="single" w:sz="6" w:space="0" w:color="auto"/>
              <w:right w:val="single" w:sz="6" w:space="0" w:color="auto"/>
            </w:tcBorders>
            <w:hideMark/>
          </w:tcPr>
          <w:p w14:paraId="5F760E44" w14:textId="77777777" w:rsidR="00E51CDD" w:rsidRPr="00227BE0" w:rsidRDefault="00E51CDD" w:rsidP="009938D9">
            <w:pPr>
              <w:widowControl w:val="0"/>
              <w:suppressAutoHyphens/>
              <w:spacing w:line="254" w:lineRule="auto"/>
              <w:rPr>
                <w:b/>
                <w:sz w:val="20"/>
                <w:szCs w:val="20"/>
              </w:rPr>
            </w:pPr>
            <w:r w:rsidRPr="00227BE0">
              <w:rPr>
                <w:b/>
                <w:sz w:val="20"/>
                <w:szCs w:val="20"/>
              </w:rPr>
              <w:t>Exposure</w:t>
            </w:r>
          </w:p>
          <w:p w14:paraId="4F0E3DB0" w14:textId="77777777" w:rsidR="00E51CDD" w:rsidRPr="00227BE0" w:rsidRDefault="00E51CDD" w:rsidP="009938D9">
            <w:pPr>
              <w:widowControl w:val="0"/>
              <w:suppressAutoHyphens/>
              <w:spacing w:line="254" w:lineRule="auto"/>
              <w:rPr>
                <w:b/>
                <w:sz w:val="20"/>
                <w:szCs w:val="20"/>
              </w:rPr>
            </w:pPr>
            <w:r w:rsidRPr="00227BE0">
              <w:rPr>
                <w:b/>
                <w:sz w:val="20"/>
                <w:szCs w:val="20"/>
              </w:rPr>
              <w:t>System</w:t>
            </w:r>
          </w:p>
        </w:tc>
        <w:tc>
          <w:tcPr>
            <w:tcW w:w="921" w:type="pct"/>
            <w:tcBorders>
              <w:top w:val="single" w:sz="4" w:space="0" w:color="auto"/>
              <w:left w:val="single" w:sz="6" w:space="0" w:color="auto"/>
              <w:bottom w:val="single" w:sz="6" w:space="0" w:color="auto"/>
              <w:right w:val="single" w:sz="6" w:space="0" w:color="auto"/>
            </w:tcBorders>
            <w:hideMark/>
          </w:tcPr>
          <w:p w14:paraId="706173DC" w14:textId="77777777" w:rsidR="00E51CDD" w:rsidRPr="00227BE0" w:rsidRDefault="00E51CDD" w:rsidP="009938D9">
            <w:pPr>
              <w:widowControl w:val="0"/>
              <w:suppressAutoHyphens/>
              <w:spacing w:line="254" w:lineRule="auto"/>
              <w:rPr>
                <w:b/>
                <w:sz w:val="20"/>
                <w:szCs w:val="20"/>
              </w:rPr>
            </w:pPr>
            <w:r w:rsidRPr="00227BE0">
              <w:rPr>
                <w:b/>
                <w:sz w:val="20"/>
                <w:szCs w:val="20"/>
              </w:rPr>
              <w:t>Results</w:t>
            </w:r>
          </w:p>
        </w:tc>
        <w:tc>
          <w:tcPr>
            <w:tcW w:w="1140" w:type="pct"/>
            <w:tcBorders>
              <w:top w:val="single" w:sz="4" w:space="0" w:color="auto"/>
              <w:left w:val="single" w:sz="6" w:space="0" w:color="auto"/>
              <w:bottom w:val="single" w:sz="6" w:space="0" w:color="auto"/>
              <w:right w:val="single" w:sz="4" w:space="0" w:color="auto"/>
            </w:tcBorders>
            <w:hideMark/>
          </w:tcPr>
          <w:p w14:paraId="65A6A07A" w14:textId="77777777" w:rsidR="00E51CDD" w:rsidRPr="00227BE0" w:rsidRDefault="00E51CDD" w:rsidP="009938D9">
            <w:pPr>
              <w:widowControl w:val="0"/>
              <w:suppressAutoHyphens/>
              <w:spacing w:line="254" w:lineRule="auto"/>
              <w:rPr>
                <w:b/>
                <w:sz w:val="20"/>
                <w:szCs w:val="20"/>
              </w:rPr>
            </w:pPr>
            <w:r w:rsidRPr="00227BE0">
              <w:rPr>
                <w:b/>
                <w:sz w:val="20"/>
                <w:szCs w:val="20"/>
              </w:rPr>
              <w:t>Reference / BASF DocID</w:t>
            </w:r>
          </w:p>
        </w:tc>
      </w:tr>
      <w:tr w:rsidR="00E51CDD" w:rsidRPr="00227BE0" w14:paraId="5FB6F5CA"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4B41CF75"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Oncorhynchus mykiss</w:t>
            </w:r>
          </w:p>
        </w:tc>
        <w:tc>
          <w:tcPr>
            <w:tcW w:w="920" w:type="pct"/>
            <w:tcBorders>
              <w:top w:val="single" w:sz="6" w:space="0" w:color="auto"/>
              <w:left w:val="single" w:sz="6" w:space="0" w:color="auto"/>
              <w:bottom w:val="single" w:sz="6" w:space="0" w:color="auto"/>
              <w:right w:val="single" w:sz="6" w:space="0" w:color="auto"/>
            </w:tcBorders>
            <w:hideMark/>
          </w:tcPr>
          <w:p w14:paraId="36C0A813"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17FCC250"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96 h, s</w:t>
            </w:r>
          </w:p>
        </w:tc>
        <w:tc>
          <w:tcPr>
            <w:tcW w:w="921" w:type="pct"/>
            <w:tcBorders>
              <w:top w:val="single" w:sz="6" w:space="0" w:color="auto"/>
              <w:left w:val="single" w:sz="6" w:space="0" w:color="auto"/>
              <w:bottom w:val="single" w:sz="6" w:space="0" w:color="auto"/>
              <w:right w:val="single" w:sz="6" w:space="0" w:color="auto"/>
            </w:tcBorders>
            <w:hideMark/>
          </w:tcPr>
          <w:p w14:paraId="56B72FA2" w14:textId="77777777" w:rsidR="00E51CDD" w:rsidRPr="00227BE0" w:rsidRDefault="00E51CDD" w:rsidP="009938D9">
            <w:pPr>
              <w:widowControl w:val="0"/>
              <w:suppressAutoHyphens/>
              <w:spacing w:line="254" w:lineRule="auto"/>
              <w:rPr>
                <w:noProof/>
                <w:sz w:val="20"/>
                <w:szCs w:val="20"/>
                <w:lang w:val="fr-FR"/>
              </w:rPr>
            </w:pPr>
            <w:r w:rsidRPr="00227BE0">
              <w:rPr>
                <w:noProof/>
                <w:sz w:val="20"/>
                <w:szCs w:val="20"/>
                <w:lang w:val="fr-FR"/>
              </w:rPr>
              <w:t>LC</w:t>
            </w:r>
            <w:r w:rsidRPr="00227BE0">
              <w:rPr>
                <w:noProof/>
                <w:sz w:val="20"/>
                <w:szCs w:val="20"/>
                <w:vertAlign w:val="subscript"/>
                <w:lang w:val="fr-FR"/>
              </w:rPr>
              <w:t xml:space="preserve">50 </w:t>
            </w:r>
            <w:r w:rsidRPr="00227BE0">
              <w:rPr>
                <w:noProof/>
                <w:sz w:val="20"/>
                <w:szCs w:val="20"/>
                <w:lang w:val="fr-FR"/>
              </w:rPr>
              <w:t>= 0.546 mg a.s./L </w:t>
            </w:r>
            <w:r w:rsidRPr="00227BE0">
              <w:rPr>
                <w:noProof/>
                <w:sz w:val="20"/>
                <w:szCs w:val="20"/>
                <w:vertAlign w:val="subscript"/>
                <w:lang w:val="fr-FR"/>
              </w:rPr>
              <w:t>nom</w:t>
            </w:r>
          </w:p>
        </w:tc>
        <w:tc>
          <w:tcPr>
            <w:tcW w:w="1140" w:type="pct"/>
            <w:tcBorders>
              <w:top w:val="single" w:sz="6" w:space="0" w:color="auto"/>
              <w:left w:val="single" w:sz="6" w:space="0" w:color="auto"/>
              <w:bottom w:val="single" w:sz="6" w:space="0" w:color="auto"/>
              <w:right w:val="single" w:sz="4" w:space="0" w:color="auto"/>
            </w:tcBorders>
            <w:hideMark/>
          </w:tcPr>
          <w:p w14:paraId="4CAB3903" w14:textId="77777777" w:rsidR="00E51CDD" w:rsidRPr="00227BE0" w:rsidRDefault="00E51CDD" w:rsidP="009938D9">
            <w:pPr>
              <w:widowControl w:val="0"/>
              <w:suppressAutoHyphens/>
              <w:spacing w:line="254" w:lineRule="auto"/>
              <w:rPr>
                <w:noProof/>
                <w:sz w:val="20"/>
                <w:szCs w:val="20"/>
              </w:rPr>
            </w:pPr>
            <w:r w:rsidRPr="00227BE0">
              <w:rPr>
                <w:bCs/>
                <w:iCs/>
                <w:noProof/>
                <w:sz w:val="20"/>
                <w:szCs w:val="20"/>
              </w:rPr>
              <w:t>EFSA Journal 2012; 10(1):2522</w:t>
            </w:r>
            <w:r w:rsidRPr="00227BE0">
              <w:rPr>
                <w:bCs/>
                <w:iCs/>
                <w:noProof/>
                <w:sz w:val="20"/>
                <w:szCs w:val="20"/>
              </w:rPr>
              <w:br/>
            </w:r>
            <w:r w:rsidRPr="00227BE0">
              <w:rPr>
                <w:noProof/>
                <w:sz w:val="20"/>
                <w:szCs w:val="20"/>
              </w:rPr>
              <w:t>2007/1057974</w:t>
            </w:r>
          </w:p>
        </w:tc>
      </w:tr>
      <w:tr w:rsidR="00E51CDD" w:rsidRPr="00227BE0" w14:paraId="7BC7FF76"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09002E16"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Lepomis macrochirus</w:t>
            </w:r>
          </w:p>
        </w:tc>
        <w:tc>
          <w:tcPr>
            <w:tcW w:w="920" w:type="pct"/>
            <w:tcBorders>
              <w:top w:val="single" w:sz="6" w:space="0" w:color="auto"/>
              <w:left w:val="single" w:sz="6" w:space="0" w:color="auto"/>
              <w:bottom w:val="single" w:sz="6" w:space="0" w:color="auto"/>
              <w:right w:val="single" w:sz="6" w:space="0" w:color="auto"/>
            </w:tcBorders>
            <w:hideMark/>
          </w:tcPr>
          <w:p w14:paraId="66F4C474"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57217466"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96 h, s</w:t>
            </w:r>
          </w:p>
        </w:tc>
        <w:tc>
          <w:tcPr>
            <w:tcW w:w="921" w:type="pct"/>
            <w:tcBorders>
              <w:top w:val="single" w:sz="6" w:space="0" w:color="auto"/>
              <w:left w:val="single" w:sz="6" w:space="0" w:color="auto"/>
              <w:bottom w:val="single" w:sz="6" w:space="0" w:color="auto"/>
              <w:right w:val="single" w:sz="6" w:space="0" w:color="auto"/>
            </w:tcBorders>
            <w:hideMark/>
          </w:tcPr>
          <w:p w14:paraId="397B5A3A" w14:textId="77777777" w:rsidR="00E51CDD" w:rsidRPr="00227BE0" w:rsidRDefault="00E51CDD" w:rsidP="009938D9">
            <w:pPr>
              <w:widowControl w:val="0"/>
              <w:suppressAutoHyphens/>
              <w:spacing w:line="254" w:lineRule="auto"/>
              <w:rPr>
                <w:noProof/>
                <w:sz w:val="20"/>
                <w:szCs w:val="20"/>
              </w:rPr>
            </w:pPr>
            <w:r w:rsidRPr="00227BE0">
              <w:rPr>
                <w:noProof/>
                <w:sz w:val="20"/>
                <w:szCs w:val="20"/>
              </w:rPr>
              <w:t>LC</w:t>
            </w:r>
            <w:r w:rsidRPr="00227BE0">
              <w:rPr>
                <w:noProof/>
                <w:sz w:val="20"/>
                <w:szCs w:val="20"/>
                <w:vertAlign w:val="subscript"/>
              </w:rPr>
              <w:t xml:space="preserve">50 </w:t>
            </w:r>
            <w:r w:rsidRPr="00227BE0">
              <w:rPr>
                <w:noProof/>
                <w:sz w:val="20"/>
                <w:szCs w:val="20"/>
              </w:rPr>
              <w:t>=1.15 mg a.s./L </w:t>
            </w:r>
            <w:r w:rsidRPr="00227BE0">
              <w:rPr>
                <w:noProof/>
                <w:sz w:val="20"/>
                <w:szCs w:val="20"/>
                <w:vertAlign w:val="subscript"/>
              </w:rPr>
              <w:t>mm</w:t>
            </w:r>
          </w:p>
        </w:tc>
        <w:tc>
          <w:tcPr>
            <w:tcW w:w="1140" w:type="pct"/>
            <w:tcBorders>
              <w:top w:val="single" w:sz="6" w:space="0" w:color="auto"/>
              <w:left w:val="single" w:sz="6" w:space="0" w:color="auto"/>
              <w:bottom w:val="single" w:sz="6" w:space="0" w:color="auto"/>
              <w:right w:val="single" w:sz="4" w:space="0" w:color="auto"/>
            </w:tcBorders>
            <w:hideMark/>
          </w:tcPr>
          <w:p w14:paraId="4C412F7F"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2008/1010605</w:t>
            </w:r>
          </w:p>
        </w:tc>
      </w:tr>
      <w:tr w:rsidR="00E51CDD" w:rsidRPr="00227BE0" w14:paraId="13E1D906"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42A05A63"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Pimephales promelas</w:t>
            </w:r>
          </w:p>
        </w:tc>
        <w:tc>
          <w:tcPr>
            <w:tcW w:w="920" w:type="pct"/>
            <w:tcBorders>
              <w:top w:val="single" w:sz="6" w:space="0" w:color="auto"/>
              <w:left w:val="single" w:sz="6" w:space="0" w:color="auto"/>
              <w:bottom w:val="single" w:sz="6" w:space="0" w:color="auto"/>
              <w:right w:val="single" w:sz="6" w:space="0" w:color="auto"/>
            </w:tcBorders>
            <w:hideMark/>
          </w:tcPr>
          <w:p w14:paraId="1CB86002"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6847F09C"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96 h, s</w:t>
            </w:r>
          </w:p>
        </w:tc>
        <w:tc>
          <w:tcPr>
            <w:tcW w:w="921" w:type="pct"/>
            <w:tcBorders>
              <w:top w:val="single" w:sz="6" w:space="0" w:color="auto"/>
              <w:left w:val="single" w:sz="6" w:space="0" w:color="auto"/>
              <w:bottom w:val="single" w:sz="6" w:space="0" w:color="auto"/>
              <w:right w:val="single" w:sz="6" w:space="0" w:color="auto"/>
            </w:tcBorders>
            <w:hideMark/>
          </w:tcPr>
          <w:p w14:paraId="2AE6803E" w14:textId="77777777" w:rsidR="00E51CDD" w:rsidRPr="00227BE0" w:rsidRDefault="00E51CDD" w:rsidP="009938D9">
            <w:pPr>
              <w:widowControl w:val="0"/>
              <w:suppressAutoHyphens/>
              <w:spacing w:line="254" w:lineRule="auto"/>
              <w:rPr>
                <w:noProof/>
                <w:sz w:val="20"/>
                <w:szCs w:val="20"/>
              </w:rPr>
            </w:pPr>
            <w:r w:rsidRPr="00227BE0">
              <w:rPr>
                <w:noProof/>
                <w:sz w:val="20"/>
                <w:szCs w:val="20"/>
              </w:rPr>
              <w:t>LC</w:t>
            </w:r>
            <w:r w:rsidRPr="00227BE0">
              <w:rPr>
                <w:noProof/>
                <w:sz w:val="20"/>
                <w:szCs w:val="20"/>
                <w:vertAlign w:val="subscript"/>
              </w:rPr>
              <w:t xml:space="preserve">50 </w:t>
            </w:r>
            <w:r w:rsidRPr="00227BE0">
              <w:rPr>
                <w:noProof/>
                <w:sz w:val="20"/>
                <w:szCs w:val="20"/>
              </w:rPr>
              <w:t>=0.466 mg a.s./L </w:t>
            </w:r>
            <w:r w:rsidRPr="00227BE0">
              <w:rPr>
                <w:noProof/>
                <w:sz w:val="20"/>
                <w:szCs w:val="20"/>
                <w:vertAlign w:val="subscript"/>
              </w:rPr>
              <w:t>mm</w:t>
            </w:r>
          </w:p>
        </w:tc>
        <w:tc>
          <w:tcPr>
            <w:tcW w:w="1140" w:type="pct"/>
            <w:tcBorders>
              <w:top w:val="single" w:sz="6" w:space="0" w:color="auto"/>
              <w:left w:val="single" w:sz="6" w:space="0" w:color="auto"/>
              <w:bottom w:val="single" w:sz="6" w:space="0" w:color="auto"/>
              <w:right w:val="single" w:sz="4" w:space="0" w:color="auto"/>
            </w:tcBorders>
            <w:hideMark/>
          </w:tcPr>
          <w:p w14:paraId="67D28FC1"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2009/1025414</w:t>
            </w:r>
          </w:p>
        </w:tc>
      </w:tr>
      <w:tr w:rsidR="00E51CDD" w:rsidRPr="00227BE0" w14:paraId="509C7A0D"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5A4F82F6"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Cyprinus carpio</w:t>
            </w:r>
          </w:p>
        </w:tc>
        <w:tc>
          <w:tcPr>
            <w:tcW w:w="920" w:type="pct"/>
            <w:tcBorders>
              <w:top w:val="single" w:sz="6" w:space="0" w:color="auto"/>
              <w:left w:val="single" w:sz="6" w:space="0" w:color="auto"/>
              <w:bottom w:val="single" w:sz="6" w:space="0" w:color="auto"/>
              <w:right w:val="single" w:sz="6" w:space="0" w:color="auto"/>
            </w:tcBorders>
            <w:hideMark/>
          </w:tcPr>
          <w:p w14:paraId="375FF1A8"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76C68F26"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96 h, ss</w:t>
            </w:r>
          </w:p>
        </w:tc>
        <w:tc>
          <w:tcPr>
            <w:tcW w:w="921" w:type="pct"/>
            <w:tcBorders>
              <w:top w:val="single" w:sz="6" w:space="0" w:color="auto"/>
              <w:left w:val="single" w:sz="6" w:space="0" w:color="auto"/>
              <w:bottom w:val="single" w:sz="6" w:space="0" w:color="auto"/>
              <w:right w:val="single" w:sz="6" w:space="0" w:color="auto"/>
            </w:tcBorders>
            <w:hideMark/>
          </w:tcPr>
          <w:p w14:paraId="3A6E8BD5" w14:textId="77777777" w:rsidR="00E51CDD" w:rsidRPr="00227BE0" w:rsidRDefault="00E51CDD" w:rsidP="009938D9">
            <w:pPr>
              <w:widowControl w:val="0"/>
              <w:suppressAutoHyphens/>
              <w:spacing w:line="254" w:lineRule="auto"/>
              <w:rPr>
                <w:b/>
                <w:sz w:val="20"/>
                <w:szCs w:val="20"/>
              </w:rPr>
            </w:pPr>
            <w:r w:rsidRPr="00227BE0">
              <w:rPr>
                <w:b/>
                <w:sz w:val="20"/>
                <w:szCs w:val="20"/>
                <w:lang w:eastAsia="en-US"/>
              </w:rPr>
              <w:t>LC</w:t>
            </w:r>
            <w:r w:rsidRPr="00227BE0">
              <w:rPr>
                <w:b/>
                <w:sz w:val="20"/>
                <w:szCs w:val="20"/>
                <w:vertAlign w:val="subscript"/>
                <w:lang w:eastAsia="en-US"/>
              </w:rPr>
              <w:t xml:space="preserve">50 </w:t>
            </w:r>
            <w:r w:rsidRPr="00227BE0">
              <w:rPr>
                <w:b/>
                <w:sz w:val="20"/>
                <w:szCs w:val="20"/>
                <w:lang w:eastAsia="en-US"/>
              </w:rPr>
              <w:t>= 0.290</w:t>
            </w:r>
            <w:r w:rsidRPr="00227BE0">
              <w:rPr>
                <w:b/>
                <w:sz w:val="20"/>
                <w:szCs w:val="20"/>
              </w:rPr>
              <w:t xml:space="preserve"> mg a.s./L </w:t>
            </w:r>
            <w:r w:rsidRPr="00227BE0">
              <w:rPr>
                <w:b/>
                <w:sz w:val="20"/>
                <w:szCs w:val="20"/>
                <w:vertAlign w:val="subscript"/>
              </w:rPr>
              <w:t>mm</w:t>
            </w:r>
          </w:p>
        </w:tc>
        <w:tc>
          <w:tcPr>
            <w:tcW w:w="1140" w:type="pct"/>
            <w:tcBorders>
              <w:top w:val="single" w:sz="6" w:space="0" w:color="auto"/>
              <w:left w:val="single" w:sz="6" w:space="0" w:color="auto"/>
              <w:bottom w:val="single" w:sz="6" w:space="0" w:color="auto"/>
              <w:right w:val="single" w:sz="4" w:space="0" w:color="auto"/>
            </w:tcBorders>
            <w:hideMark/>
          </w:tcPr>
          <w:p w14:paraId="3DF73AED"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2008/1064998</w:t>
            </w:r>
          </w:p>
        </w:tc>
      </w:tr>
      <w:tr w:rsidR="00E51CDD" w:rsidRPr="00227BE0" w14:paraId="63F4B56C"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1E032A67" w14:textId="77777777" w:rsidR="00E51CDD" w:rsidRPr="00227BE0" w:rsidRDefault="00E51CDD" w:rsidP="009938D9">
            <w:pPr>
              <w:keepNext/>
              <w:widowControl w:val="0"/>
              <w:suppressAutoHyphens/>
              <w:spacing w:line="254" w:lineRule="auto"/>
              <w:rPr>
                <w:i/>
                <w:sz w:val="20"/>
                <w:szCs w:val="20"/>
              </w:rPr>
            </w:pPr>
            <w:r w:rsidRPr="00227BE0">
              <w:rPr>
                <w:i/>
                <w:iCs/>
                <w:sz w:val="20"/>
                <w:szCs w:val="20"/>
                <w:lang w:eastAsia="en-US"/>
              </w:rPr>
              <w:lastRenderedPageBreak/>
              <w:t xml:space="preserve">Cyprinodon variegatus </w:t>
            </w:r>
            <w:r w:rsidRPr="00227BE0">
              <w:rPr>
                <w:i/>
                <w:iCs/>
                <w:sz w:val="20"/>
                <w:szCs w:val="20"/>
                <w:vertAlign w:val="superscript"/>
                <w:lang w:eastAsia="en-US"/>
              </w:rPr>
              <w:t>1)</w:t>
            </w:r>
          </w:p>
        </w:tc>
        <w:tc>
          <w:tcPr>
            <w:tcW w:w="920" w:type="pct"/>
            <w:tcBorders>
              <w:top w:val="single" w:sz="6" w:space="0" w:color="auto"/>
              <w:left w:val="single" w:sz="6" w:space="0" w:color="auto"/>
              <w:bottom w:val="single" w:sz="6" w:space="0" w:color="auto"/>
              <w:right w:val="single" w:sz="6" w:space="0" w:color="auto"/>
            </w:tcBorders>
            <w:hideMark/>
          </w:tcPr>
          <w:p w14:paraId="7A7E778C" w14:textId="77777777" w:rsidR="00E51CDD" w:rsidRPr="00227BE0" w:rsidRDefault="00E51CDD" w:rsidP="009938D9">
            <w:pPr>
              <w:keepNext/>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60BD36A9" w14:textId="77777777" w:rsidR="00E51CDD" w:rsidRPr="00227BE0" w:rsidRDefault="00E51CDD" w:rsidP="009938D9">
            <w:pPr>
              <w:keepNext/>
              <w:widowControl w:val="0"/>
              <w:suppressAutoHyphens/>
              <w:spacing w:line="254" w:lineRule="auto"/>
              <w:rPr>
                <w:sz w:val="20"/>
                <w:szCs w:val="20"/>
              </w:rPr>
            </w:pPr>
            <w:r w:rsidRPr="00227BE0">
              <w:rPr>
                <w:sz w:val="20"/>
                <w:szCs w:val="20"/>
                <w:lang w:eastAsia="en-US"/>
              </w:rPr>
              <w:t>96 h, s</w:t>
            </w:r>
          </w:p>
        </w:tc>
        <w:tc>
          <w:tcPr>
            <w:tcW w:w="921" w:type="pct"/>
            <w:tcBorders>
              <w:top w:val="single" w:sz="6" w:space="0" w:color="auto"/>
              <w:left w:val="single" w:sz="6" w:space="0" w:color="auto"/>
              <w:bottom w:val="single" w:sz="6" w:space="0" w:color="auto"/>
              <w:right w:val="single" w:sz="6" w:space="0" w:color="auto"/>
            </w:tcBorders>
            <w:hideMark/>
          </w:tcPr>
          <w:p w14:paraId="55E6D486" w14:textId="77777777" w:rsidR="00E51CDD" w:rsidRPr="00227BE0" w:rsidRDefault="00E51CDD" w:rsidP="009938D9">
            <w:pPr>
              <w:keepNext/>
              <w:widowControl w:val="0"/>
              <w:suppressAutoHyphens/>
              <w:spacing w:line="254" w:lineRule="auto"/>
              <w:rPr>
                <w:sz w:val="20"/>
                <w:szCs w:val="20"/>
              </w:rPr>
            </w:pPr>
            <w:r w:rsidRPr="00227BE0">
              <w:rPr>
                <w:sz w:val="20"/>
                <w:szCs w:val="20"/>
                <w:lang w:eastAsia="en-US"/>
              </w:rPr>
              <w:t>LC</w:t>
            </w:r>
            <w:r w:rsidRPr="00227BE0">
              <w:rPr>
                <w:sz w:val="20"/>
                <w:szCs w:val="20"/>
                <w:vertAlign w:val="subscript"/>
                <w:lang w:eastAsia="en-US"/>
              </w:rPr>
              <w:t xml:space="preserve">50 </w:t>
            </w:r>
            <w:r w:rsidRPr="00227BE0">
              <w:rPr>
                <w:sz w:val="20"/>
                <w:szCs w:val="20"/>
                <w:lang w:eastAsia="en-US"/>
              </w:rPr>
              <w:t>= 1.30</w:t>
            </w:r>
            <w:r w:rsidRPr="00227BE0">
              <w:rPr>
                <w:sz w:val="20"/>
                <w:szCs w:val="20"/>
              </w:rPr>
              <w:t xml:space="preserve"> mg a.s./L </w:t>
            </w:r>
            <w:r w:rsidRPr="00227BE0">
              <w:rPr>
                <w:sz w:val="20"/>
                <w:szCs w:val="20"/>
                <w:vertAlign w:val="subscript"/>
              </w:rPr>
              <w:t>mm</w:t>
            </w:r>
          </w:p>
        </w:tc>
        <w:tc>
          <w:tcPr>
            <w:tcW w:w="1140" w:type="pct"/>
            <w:tcBorders>
              <w:top w:val="single" w:sz="6" w:space="0" w:color="auto"/>
              <w:left w:val="single" w:sz="6" w:space="0" w:color="auto"/>
              <w:bottom w:val="single" w:sz="6" w:space="0" w:color="auto"/>
              <w:right w:val="single" w:sz="4" w:space="0" w:color="auto"/>
            </w:tcBorders>
            <w:hideMark/>
          </w:tcPr>
          <w:p w14:paraId="1373FE6F" w14:textId="77777777" w:rsidR="00E51CDD" w:rsidRPr="00227BE0" w:rsidRDefault="00E51CDD" w:rsidP="009938D9">
            <w:pPr>
              <w:keepNext/>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2008/7015417</w:t>
            </w:r>
          </w:p>
        </w:tc>
      </w:tr>
      <w:tr w:rsidR="00E51CDD" w:rsidRPr="00227BE0" w14:paraId="451357DF" w14:textId="77777777" w:rsidTr="009938D9">
        <w:tc>
          <w:tcPr>
            <w:tcW w:w="1100" w:type="pct"/>
            <w:tcBorders>
              <w:top w:val="single" w:sz="6" w:space="0" w:color="auto"/>
              <w:left w:val="single" w:sz="4" w:space="0" w:color="auto"/>
              <w:right w:val="single" w:sz="6" w:space="0" w:color="auto"/>
            </w:tcBorders>
            <w:vAlign w:val="center"/>
          </w:tcPr>
          <w:p w14:paraId="3DE0ECEA" w14:textId="77777777" w:rsidR="00E51CDD" w:rsidRPr="00227BE0" w:rsidRDefault="00E51CDD" w:rsidP="009938D9">
            <w:pPr>
              <w:widowControl w:val="0"/>
              <w:suppressAutoHyphens/>
              <w:spacing w:line="254" w:lineRule="auto"/>
              <w:rPr>
                <w:i/>
                <w:iCs/>
                <w:sz w:val="20"/>
                <w:szCs w:val="20"/>
                <w:lang w:eastAsia="en-US"/>
              </w:rPr>
            </w:pPr>
            <w:r w:rsidRPr="00227BE0">
              <w:rPr>
                <w:iCs/>
                <w:sz w:val="20"/>
                <w:szCs w:val="20"/>
              </w:rPr>
              <w:t xml:space="preserve">Fish (acute) SSD </w:t>
            </w:r>
            <w:r w:rsidRPr="00227BE0">
              <w:rPr>
                <w:iCs/>
                <w:sz w:val="20"/>
                <w:szCs w:val="20"/>
              </w:rPr>
              <w:br/>
              <w:t xml:space="preserve">calculations </w:t>
            </w:r>
            <w:r w:rsidRPr="00227BE0">
              <w:rPr>
                <w:iCs/>
                <w:sz w:val="20"/>
                <w:szCs w:val="20"/>
              </w:rPr>
              <w:br/>
              <w:t>(96 h NOEC data for 5 fish species)</w:t>
            </w:r>
          </w:p>
        </w:tc>
        <w:tc>
          <w:tcPr>
            <w:tcW w:w="920" w:type="pct"/>
            <w:tcBorders>
              <w:top w:val="single" w:sz="6" w:space="0" w:color="auto"/>
              <w:left w:val="single" w:sz="6" w:space="0" w:color="auto"/>
              <w:right w:val="single" w:sz="6" w:space="0" w:color="auto"/>
            </w:tcBorders>
            <w:vAlign w:val="center"/>
          </w:tcPr>
          <w:p w14:paraId="78EDB06F" w14:textId="77777777" w:rsidR="00E51CDD" w:rsidRPr="00227BE0" w:rsidRDefault="00E51CDD" w:rsidP="009938D9">
            <w:pPr>
              <w:widowControl w:val="0"/>
              <w:suppressAutoHyphens/>
              <w:spacing w:line="254" w:lineRule="auto"/>
              <w:rPr>
                <w:sz w:val="20"/>
                <w:szCs w:val="20"/>
              </w:rPr>
            </w:pPr>
            <w:r w:rsidRPr="00227BE0">
              <w:rPr>
                <w:sz w:val="20"/>
                <w:szCs w:val="20"/>
                <w:lang w:val="de-DE"/>
              </w:rPr>
              <w:t>fluxapyroxad</w:t>
            </w:r>
          </w:p>
        </w:tc>
        <w:tc>
          <w:tcPr>
            <w:tcW w:w="919" w:type="pct"/>
            <w:tcBorders>
              <w:top w:val="single" w:sz="6" w:space="0" w:color="auto"/>
              <w:left w:val="single" w:sz="6" w:space="0" w:color="auto"/>
              <w:right w:val="single" w:sz="6" w:space="0" w:color="auto"/>
            </w:tcBorders>
            <w:vAlign w:val="center"/>
          </w:tcPr>
          <w:p w14:paraId="519693F3" w14:textId="77777777" w:rsidR="00E51CDD" w:rsidRPr="00227BE0" w:rsidRDefault="00E51CDD" w:rsidP="009938D9">
            <w:pPr>
              <w:widowControl w:val="0"/>
              <w:suppressAutoHyphens/>
              <w:spacing w:line="254" w:lineRule="auto"/>
              <w:rPr>
                <w:sz w:val="20"/>
                <w:szCs w:val="20"/>
                <w:lang w:eastAsia="en-US"/>
              </w:rPr>
            </w:pPr>
            <w:r w:rsidRPr="00227BE0">
              <w:rPr>
                <w:sz w:val="20"/>
                <w:szCs w:val="20"/>
                <w:lang w:val="de-DE"/>
              </w:rPr>
              <w:t>--</w:t>
            </w:r>
          </w:p>
        </w:tc>
        <w:tc>
          <w:tcPr>
            <w:tcW w:w="921" w:type="pct"/>
            <w:tcBorders>
              <w:top w:val="single" w:sz="6" w:space="0" w:color="auto"/>
              <w:left w:val="single" w:sz="6" w:space="0" w:color="auto"/>
              <w:bottom w:val="single" w:sz="6" w:space="0" w:color="auto"/>
              <w:right w:val="single" w:sz="6" w:space="0" w:color="auto"/>
            </w:tcBorders>
            <w:vAlign w:val="center"/>
          </w:tcPr>
          <w:p w14:paraId="18B6B469" w14:textId="77777777" w:rsidR="00E51CDD" w:rsidRPr="00227BE0" w:rsidRDefault="00E51CDD" w:rsidP="009938D9">
            <w:pPr>
              <w:widowControl w:val="0"/>
              <w:suppressAutoHyphens/>
              <w:spacing w:line="254" w:lineRule="auto"/>
              <w:rPr>
                <w:b/>
                <w:sz w:val="20"/>
                <w:szCs w:val="20"/>
                <w:lang w:eastAsia="en-US"/>
              </w:rPr>
            </w:pPr>
            <w:r w:rsidRPr="00227BE0">
              <w:rPr>
                <w:sz w:val="20"/>
                <w:szCs w:val="20"/>
              </w:rPr>
              <w:t>HC</w:t>
            </w:r>
            <w:r w:rsidRPr="00227BE0">
              <w:rPr>
                <w:sz w:val="20"/>
                <w:szCs w:val="20"/>
                <w:vertAlign w:val="subscript"/>
              </w:rPr>
              <w:t>5 fish, acute</w:t>
            </w:r>
            <w:r w:rsidRPr="00227BE0">
              <w:rPr>
                <w:sz w:val="20"/>
                <w:szCs w:val="20"/>
              </w:rPr>
              <w:t xml:space="preserve"> = 0.148 mg a.s./L</w:t>
            </w:r>
          </w:p>
        </w:tc>
        <w:tc>
          <w:tcPr>
            <w:tcW w:w="1140" w:type="pct"/>
            <w:tcBorders>
              <w:top w:val="single" w:sz="6" w:space="0" w:color="auto"/>
              <w:left w:val="single" w:sz="6" w:space="0" w:color="auto"/>
              <w:bottom w:val="single" w:sz="6" w:space="0" w:color="auto"/>
              <w:right w:val="single" w:sz="4" w:space="0" w:color="auto"/>
            </w:tcBorders>
            <w:vAlign w:val="center"/>
          </w:tcPr>
          <w:p w14:paraId="3433DF89" w14:textId="77777777" w:rsidR="00E51CDD" w:rsidRPr="00227BE0" w:rsidRDefault="00E51CDD" w:rsidP="009938D9">
            <w:pPr>
              <w:widowControl w:val="0"/>
              <w:suppressAutoHyphens/>
              <w:spacing w:line="254" w:lineRule="auto"/>
              <w:rPr>
                <w:bCs/>
                <w:iCs/>
                <w:sz w:val="20"/>
                <w:szCs w:val="20"/>
              </w:rPr>
            </w:pPr>
            <w:r w:rsidRPr="00227BE0">
              <w:rPr>
                <w:sz w:val="20"/>
                <w:szCs w:val="20"/>
                <w:lang w:val="de-DE"/>
              </w:rPr>
              <w:t xml:space="preserve">New calculations </w:t>
            </w:r>
            <w:r w:rsidRPr="00227BE0">
              <w:rPr>
                <w:sz w:val="20"/>
                <w:szCs w:val="20"/>
                <w:lang w:val="de-DE"/>
              </w:rPr>
              <w:br/>
              <w:t>(see below)</w:t>
            </w:r>
          </w:p>
        </w:tc>
      </w:tr>
      <w:tr w:rsidR="00E51CDD" w:rsidRPr="00227BE0" w14:paraId="6CAEF0C5" w14:textId="77777777" w:rsidTr="009938D9">
        <w:tc>
          <w:tcPr>
            <w:tcW w:w="1100" w:type="pct"/>
            <w:vMerge w:val="restart"/>
            <w:tcBorders>
              <w:top w:val="single" w:sz="6" w:space="0" w:color="auto"/>
              <w:left w:val="single" w:sz="4" w:space="0" w:color="auto"/>
              <w:right w:val="single" w:sz="6" w:space="0" w:color="auto"/>
            </w:tcBorders>
            <w:hideMark/>
          </w:tcPr>
          <w:p w14:paraId="121EDC55" w14:textId="77777777" w:rsidR="00E51CDD" w:rsidRPr="00227BE0" w:rsidRDefault="00E51CDD" w:rsidP="009938D9">
            <w:pPr>
              <w:widowControl w:val="0"/>
              <w:suppressAutoHyphens/>
              <w:spacing w:line="254" w:lineRule="auto"/>
              <w:rPr>
                <w:i/>
                <w:sz w:val="20"/>
                <w:szCs w:val="20"/>
              </w:rPr>
            </w:pPr>
            <w:bookmarkStart w:id="469" w:name="_Hlk82419501"/>
            <w:r w:rsidRPr="00227BE0">
              <w:rPr>
                <w:i/>
                <w:iCs/>
                <w:sz w:val="20"/>
                <w:szCs w:val="20"/>
                <w:lang w:eastAsia="en-US"/>
              </w:rPr>
              <w:t xml:space="preserve">Pimephales promelas </w:t>
            </w:r>
          </w:p>
        </w:tc>
        <w:tc>
          <w:tcPr>
            <w:tcW w:w="920" w:type="pct"/>
            <w:vMerge w:val="restart"/>
            <w:tcBorders>
              <w:top w:val="single" w:sz="6" w:space="0" w:color="auto"/>
              <w:left w:val="single" w:sz="6" w:space="0" w:color="auto"/>
              <w:right w:val="single" w:sz="6" w:space="0" w:color="auto"/>
            </w:tcBorders>
            <w:hideMark/>
          </w:tcPr>
          <w:p w14:paraId="44F765F2"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vMerge w:val="restart"/>
            <w:tcBorders>
              <w:top w:val="single" w:sz="6" w:space="0" w:color="auto"/>
              <w:left w:val="single" w:sz="6" w:space="0" w:color="auto"/>
              <w:right w:val="single" w:sz="6" w:space="0" w:color="auto"/>
            </w:tcBorders>
            <w:hideMark/>
          </w:tcPr>
          <w:p w14:paraId="620ED02D"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33 d (ELS), f</w:t>
            </w:r>
          </w:p>
        </w:tc>
        <w:tc>
          <w:tcPr>
            <w:tcW w:w="921" w:type="pct"/>
            <w:tcBorders>
              <w:top w:val="single" w:sz="6" w:space="0" w:color="auto"/>
              <w:left w:val="single" w:sz="6" w:space="0" w:color="auto"/>
              <w:bottom w:val="single" w:sz="6" w:space="0" w:color="auto"/>
              <w:right w:val="single" w:sz="6" w:space="0" w:color="auto"/>
            </w:tcBorders>
            <w:hideMark/>
          </w:tcPr>
          <w:p w14:paraId="6D553153" w14:textId="77777777" w:rsidR="00E51CDD" w:rsidRPr="002262EA" w:rsidRDefault="00E51CDD" w:rsidP="009938D9">
            <w:pPr>
              <w:widowControl w:val="0"/>
              <w:suppressAutoHyphens/>
              <w:spacing w:line="254" w:lineRule="auto"/>
              <w:rPr>
                <w:b/>
                <w:sz w:val="20"/>
                <w:szCs w:val="20"/>
                <w:vertAlign w:val="subscript"/>
                <w:lang w:val="nl-BE"/>
              </w:rPr>
            </w:pPr>
            <w:r w:rsidRPr="002262EA">
              <w:rPr>
                <w:b/>
                <w:sz w:val="20"/>
                <w:szCs w:val="20"/>
                <w:lang w:val="nl-BE" w:eastAsia="en-US"/>
              </w:rPr>
              <w:t>NOEC = 0.0359</w:t>
            </w:r>
            <w:r w:rsidRPr="002262EA">
              <w:rPr>
                <w:b/>
                <w:sz w:val="20"/>
                <w:szCs w:val="20"/>
                <w:lang w:val="nl-BE"/>
              </w:rPr>
              <w:t xml:space="preserve"> mg a.s./L </w:t>
            </w:r>
            <w:r w:rsidRPr="002262EA">
              <w:rPr>
                <w:b/>
                <w:sz w:val="20"/>
                <w:szCs w:val="20"/>
                <w:vertAlign w:val="subscript"/>
                <w:lang w:val="nl-BE"/>
              </w:rPr>
              <w:t>mm</w:t>
            </w:r>
          </w:p>
        </w:tc>
        <w:tc>
          <w:tcPr>
            <w:tcW w:w="1140" w:type="pct"/>
            <w:tcBorders>
              <w:top w:val="single" w:sz="6" w:space="0" w:color="auto"/>
              <w:left w:val="single" w:sz="6" w:space="0" w:color="auto"/>
              <w:bottom w:val="single" w:sz="6" w:space="0" w:color="auto"/>
              <w:right w:val="single" w:sz="4" w:space="0" w:color="auto"/>
            </w:tcBorders>
            <w:hideMark/>
          </w:tcPr>
          <w:p w14:paraId="78523B54" w14:textId="77777777" w:rsidR="00E51CDD" w:rsidRPr="00227BE0" w:rsidRDefault="00E51CDD" w:rsidP="009938D9">
            <w:pPr>
              <w:widowControl w:val="0"/>
              <w:suppressAutoHyphens/>
              <w:spacing w:line="254" w:lineRule="auto"/>
              <w:rPr>
                <w:sz w:val="20"/>
                <w:szCs w:val="20"/>
                <w:lang w:eastAsia="en-US"/>
              </w:rPr>
            </w:pPr>
            <w:r w:rsidRPr="00227BE0">
              <w:rPr>
                <w:bCs/>
                <w:iCs/>
                <w:sz w:val="20"/>
                <w:szCs w:val="20"/>
              </w:rPr>
              <w:t>EFSA Journal 2012; 10(1):2522</w:t>
            </w:r>
            <w:r w:rsidRPr="00227BE0">
              <w:rPr>
                <w:bCs/>
                <w:iCs/>
                <w:sz w:val="20"/>
                <w:szCs w:val="20"/>
              </w:rPr>
              <w:br/>
            </w:r>
            <w:r w:rsidRPr="00227BE0">
              <w:rPr>
                <w:sz w:val="20"/>
                <w:szCs w:val="20"/>
                <w:lang w:eastAsia="en-US"/>
              </w:rPr>
              <w:t>2008/1090791</w:t>
            </w:r>
          </w:p>
          <w:p w14:paraId="05BB013A" w14:textId="77777777" w:rsidR="00E51CDD" w:rsidRPr="00227BE0" w:rsidRDefault="00E51CDD" w:rsidP="009938D9">
            <w:pPr>
              <w:widowControl w:val="0"/>
              <w:suppressAutoHyphens/>
              <w:spacing w:line="254" w:lineRule="auto"/>
              <w:rPr>
                <w:sz w:val="20"/>
                <w:szCs w:val="20"/>
                <w:lang w:eastAsia="en-US"/>
              </w:rPr>
            </w:pPr>
            <w:r w:rsidRPr="00227BE0">
              <w:rPr>
                <w:sz w:val="20"/>
                <w:szCs w:val="20"/>
                <w:lang w:eastAsia="en-US"/>
              </w:rPr>
              <w:t>(+Amendment:</w:t>
            </w:r>
          </w:p>
          <w:p w14:paraId="722ABD59" w14:textId="77777777" w:rsidR="00E51CDD" w:rsidRPr="00227BE0" w:rsidRDefault="00E51CDD" w:rsidP="009938D9">
            <w:pPr>
              <w:widowControl w:val="0"/>
              <w:suppressAutoHyphens/>
              <w:spacing w:line="254" w:lineRule="auto"/>
              <w:rPr>
                <w:sz w:val="20"/>
                <w:szCs w:val="20"/>
                <w:lang w:eastAsia="en-US"/>
              </w:rPr>
            </w:pPr>
            <w:r w:rsidRPr="00227BE0">
              <w:rPr>
                <w:sz w:val="20"/>
                <w:szCs w:val="20"/>
                <w:lang w:eastAsia="en-US"/>
              </w:rPr>
              <w:t>2016/1027732)</w:t>
            </w:r>
          </w:p>
        </w:tc>
      </w:tr>
      <w:tr w:rsidR="00E51CDD" w:rsidRPr="00227BE0" w14:paraId="76261C01" w14:textId="77777777" w:rsidTr="009938D9">
        <w:tc>
          <w:tcPr>
            <w:tcW w:w="1100" w:type="pct"/>
            <w:vMerge/>
            <w:tcBorders>
              <w:left w:val="single" w:sz="4" w:space="0" w:color="auto"/>
              <w:bottom w:val="single" w:sz="6" w:space="0" w:color="auto"/>
              <w:right w:val="single" w:sz="6" w:space="0" w:color="auto"/>
            </w:tcBorders>
          </w:tcPr>
          <w:p w14:paraId="0E57B612" w14:textId="77777777" w:rsidR="00E51CDD" w:rsidRPr="00227BE0" w:rsidRDefault="00E51CDD" w:rsidP="009938D9">
            <w:pPr>
              <w:widowControl w:val="0"/>
              <w:suppressAutoHyphens/>
              <w:spacing w:line="254" w:lineRule="auto"/>
              <w:rPr>
                <w:i/>
                <w:iCs/>
                <w:sz w:val="20"/>
                <w:szCs w:val="20"/>
                <w:lang w:eastAsia="en-US"/>
              </w:rPr>
            </w:pPr>
          </w:p>
        </w:tc>
        <w:tc>
          <w:tcPr>
            <w:tcW w:w="920" w:type="pct"/>
            <w:vMerge/>
            <w:tcBorders>
              <w:left w:val="single" w:sz="6" w:space="0" w:color="auto"/>
              <w:bottom w:val="single" w:sz="6" w:space="0" w:color="auto"/>
              <w:right w:val="single" w:sz="6" w:space="0" w:color="auto"/>
            </w:tcBorders>
          </w:tcPr>
          <w:p w14:paraId="55F097CB" w14:textId="77777777" w:rsidR="00E51CDD" w:rsidRPr="00227BE0" w:rsidRDefault="00E51CDD" w:rsidP="009938D9">
            <w:pPr>
              <w:widowControl w:val="0"/>
              <w:suppressAutoHyphens/>
              <w:spacing w:line="254" w:lineRule="auto"/>
              <w:rPr>
                <w:sz w:val="20"/>
                <w:szCs w:val="20"/>
              </w:rPr>
            </w:pPr>
          </w:p>
        </w:tc>
        <w:tc>
          <w:tcPr>
            <w:tcW w:w="919" w:type="pct"/>
            <w:vMerge/>
            <w:tcBorders>
              <w:left w:val="single" w:sz="6" w:space="0" w:color="auto"/>
              <w:bottom w:val="single" w:sz="6" w:space="0" w:color="auto"/>
              <w:right w:val="single" w:sz="6" w:space="0" w:color="auto"/>
            </w:tcBorders>
          </w:tcPr>
          <w:p w14:paraId="09FC3CFD" w14:textId="77777777" w:rsidR="00E51CDD" w:rsidRPr="00227BE0" w:rsidRDefault="00E51CDD" w:rsidP="009938D9">
            <w:pPr>
              <w:widowControl w:val="0"/>
              <w:suppressAutoHyphens/>
              <w:spacing w:line="254" w:lineRule="auto"/>
              <w:rPr>
                <w:sz w:val="20"/>
                <w:szCs w:val="20"/>
                <w:lang w:eastAsia="en-US"/>
              </w:rPr>
            </w:pPr>
          </w:p>
        </w:tc>
        <w:tc>
          <w:tcPr>
            <w:tcW w:w="921" w:type="pct"/>
            <w:tcBorders>
              <w:top w:val="single" w:sz="6" w:space="0" w:color="auto"/>
              <w:left w:val="single" w:sz="6" w:space="0" w:color="auto"/>
              <w:bottom w:val="single" w:sz="6" w:space="0" w:color="auto"/>
              <w:right w:val="single" w:sz="6" w:space="0" w:color="auto"/>
            </w:tcBorders>
          </w:tcPr>
          <w:p w14:paraId="2CBC5B27" w14:textId="77777777" w:rsidR="00E51CDD" w:rsidRPr="009459AD" w:rsidRDefault="00E51CDD" w:rsidP="009938D9">
            <w:pPr>
              <w:widowControl w:val="0"/>
              <w:suppressAutoHyphens/>
              <w:spacing w:line="254" w:lineRule="auto"/>
              <w:rPr>
                <w:b/>
                <w:strike/>
                <w:color w:val="D9D9D9" w:themeColor="background1" w:themeShade="D9"/>
                <w:sz w:val="20"/>
                <w:szCs w:val="20"/>
                <w:lang w:val="nl-BE" w:eastAsia="en-US"/>
              </w:rPr>
            </w:pPr>
            <w:r w:rsidRPr="009459AD">
              <w:rPr>
                <w:b/>
                <w:strike/>
                <w:color w:val="D9D9D9" w:themeColor="background1" w:themeShade="D9"/>
                <w:sz w:val="20"/>
                <w:szCs w:val="20"/>
                <w:lang w:val="nl-BE" w:eastAsia="en-US"/>
              </w:rPr>
              <w:t>NOEC = 0.0676</w:t>
            </w:r>
            <w:r w:rsidRPr="009459AD">
              <w:rPr>
                <w:b/>
                <w:strike/>
                <w:color w:val="D9D9D9" w:themeColor="background1" w:themeShade="D9"/>
                <w:sz w:val="20"/>
                <w:szCs w:val="20"/>
                <w:lang w:val="nl-BE"/>
              </w:rPr>
              <w:t xml:space="preserve"> mg a.s./L </w:t>
            </w:r>
            <w:r w:rsidRPr="009459AD">
              <w:rPr>
                <w:b/>
                <w:strike/>
                <w:color w:val="D9D9D9" w:themeColor="background1" w:themeShade="D9"/>
                <w:sz w:val="20"/>
                <w:szCs w:val="20"/>
                <w:vertAlign w:val="subscript"/>
                <w:lang w:val="nl-BE"/>
              </w:rPr>
              <w:t>mm</w:t>
            </w:r>
            <w:r w:rsidRPr="009459AD">
              <w:rPr>
                <w:b/>
                <w:strike/>
                <w:color w:val="D9D9D9" w:themeColor="background1" w:themeShade="D9"/>
                <w:sz w:val="20"/>
                <w:szCs w:val="20"/>
                <w:vertAlign w:val="superscript"/>
                <w:lang w:val="nl-BE"/>
              </w:rPr>
              <w:t>*</w:t>
            </w:r>
          </w:p>
        </w:tc>
        <w:tc>
          <w:tcPr>
            <w:tcW w:w="1140" w:type="pct"/>
            <w:tcBorders>
              <w:top w:val="single" w:sz="6" w:space="0" w:color="auto"/>
              <w:left w:val="single" w:sz="6" w:space="0" w:color="auto"/>
              <w:bottom w:val="single" w:sz="6" w:space="0" w:color="auto"/>
              <w:right w:val="single" w:sz="4" w:space="0" w:color="auto"/>
            </w:tcBorders>
          </w:tcPr>
          <w:p w14:paraId="5101A535" w14:textId="77777777" w:rsidR="00E51CDD" w:rsidRPr="009459AD" w:rsidRDefault="00E51CDD" w:rsidP="009938D9">
            <w:pPr>
              <w:widowControl w:val="0"/>
              <w:suppressAutoHyphens/>
              <w:spacing w:line="254" w:lineRule="auto"/>
              <w:rPr>
                <w:strike/>
                <w:color w:val="D9D9D9" w:themeColor="background1" w:themeShade="D9"/>
                <w:sz w:val="20"/>
                <w:szCs w:val="20"/>
                <w:lang w:eastAsia="en-US"/>
              </w:rPr>
            </w:pPr>
            <w:r w:rsidRPr="009459AD">
              <w:rPr>
                <w:strike/>
                <w:color w:val="D9D9D9" w:themeColor="background1" w:themeShade="D9"/>
                <w:sz w:val="20"/>
                <w:szCs w:val="20"/>
                <w:lang w:eastAsia="en-US"/>
              </w:rPr>
              <w:t>New re-evaluation</w:t>
            </w:r>
          </w:p>
          <w:p w14:paraId="472BCB61" w14:textId="77777777" w:rsidR="00E51CDD" w:rsidRPr="009459AD" w:rsidRDefault="00E51CDD" w:rsidP="009938D9">
            <w:pPr>
              <w:widowControl w:val="0"/>
              <w:suppressAutoHyphens/>
              <w:spacing w:line="254" w:lineRule="auto"/>
              <w:rPr>
                <w:bCs/>
                <w:iCs/>
                <w:strike/>
                <w:color w:val="D9D9D9" w:themeColor="background1" w:themeShade="D9"/>
                <w:sz w:val="20"/>
                <w:szCs w:val="20"/>
              </w:rPr>
            </w:pPr>
            <w:r w:rsidRPr="009459AD">
              <w:rPr>
                <w:strike/>
                <w:color w:val="D9D9D9" w:themeColor="background1" w:themeShade="D9"/>
                <w:sz w:val="20"/>
                <w:szCs w:val="20"/>
                <w:lang w:eastAsia="en-US"/>
              </w:rPr>
              <w:t>2020/2095131</w:t>
            </w:r>
          </w:p>
        </w:tc>
      </w:tr>
      <w:bookmarkEnd w:id="469"/>
      <w:tr w:rsidR="00E51CDD" w:rsidRPr="00227BE0" w14:paraId="6AB38700"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2F0D556A" w14:textId="77777777" w:rsidR="00E51CDD" w:rsidRPr="00227BE0" w:rsidRDefault="00E51CDD" w:rsidP="009938D9">
            <w:pPr>
              <w:widowControl w:val="0"/>
              <w:suppressAutoHyphens/>
              <w:spacing w:line="254" w:lineRule="auto"/>
              <w:rPr>
                <w:i/>
                <w:iCs/>
                <w:sz w:val="20"/>
                <w:szCs w:val="20"/>
                <w:lang w:eastAsia="en-US"/>
              </w:rPr>
            </w:pPr>
            <w:r w:rsidRPr="00227BE0">
              <w:rPr>
                <w:i/>
                <w:iCs/>
                <w:sz w:val="20"/>
                <w:szCs w:val="20"/>
                <w:lang w:eastAsia="en-US"/>
              </w:rPr>
              <w:t>Lepomis macrochirus</w:t>
            </w:r>
          </w:p>
        </w:tc>
        <w:tc>
          <w:tcPr>
            <w:tcW w:w="920" w:type="pct"/>
            <w:tcBorders>
              <w:top w:val="single" w:sz="6" w:space="0" w:color="auto"/>
              <w:left w:val="single" w:sz="6" w:space="0" w:color="auto"/>
              <w:bottom w:val="single" w:sz="6" w:space="0" w:color="auto"/>
              <w:right w:val="single" w:sz="6" w:space="0" w:color="auto"/>
            </w:tcBorders>
            <w:hideMark/>
          </w:tcPr>
          <w:p w14:paraId="2D929182"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6AE5056F" w14:textId="77777777" w:rsidR="00E51CDD" w:rsidRPr="00227BE0" w:rsidRDefault="00E51CDD" w:rsidP="009938D9">
            <w:pPr>
              <w:widowControl w:val="0"/>
              <w:suppressAutoHyphens/>
              <w:spacing w:line="254" w:lineRule="auto"/>
              <w:rPr>
                <w:sz w:val="20"/>
                <w:szCs w:val="20"/>
                <w:lang w:eastAsia="en-US"/>
              </w:rPr>
            </w:pPr>
            <w:r w:rsidRPr="00227BE0">
              <w:rPr>
                <w:rFonts w:eastAsia="PMingLiU"/>
                <w:sz w:val="20"/>
                <w:szCs w:val="20"/>
              </w:rPr>
              <w:t>Bioconcentration study with 28 d exposure, 16 d depuration)</w:t>
            </w:r>
          </w:p>
        </w:tc>
        <w:tc>
          <w:tcPr>
            <w:tcW w:w="921" w:type="pct"/>
            <w:tcBorders>
              <w:top w:val="single" w:sz="6" w:space="0" w:color="auto"/>
              <w:left w:val="single" w:sz="6" w:space="0" w:color="auto"/>
              <w:bottom w:val="single" w:sz="6" w:space="0" w:color="auto"/>
              <w:right w:val="single" w:sz="6" w:space="0" w:color="auto"/>
            </w:tcBorders>
            <w:hideMark/>
          </w:tcPr>
          <w:p w14:paraId="6F0E7207" w14:textId="77777777" w:rsidR="00E51CDD" w:rsidRPr="00227BE0" w:rsidRDefault="00E51CDD" w:rsidP="009938D9">
            <w:pPr>
              <w:widowControl w:val="0"/>
              <w:suppressAutoHyphens/>
              <w:spacing w:line="254" w:lineRule="auto"/>
              <w:rPr>
                <w:b/>
                <w:sz w:val="20"/>
                <w:szCs w:val="20"/>
                <w:lang w:eastAsia="en-US"/>
              </w:rPr>
            </w:pPr>
            <w:r w:rsidRPr="00227BE0">
              <w:rPr>
                <w:rFonts w:eastAsia="PMingLiU"/>
                <w:sz w:val="20"/>
                <w:szCs w:val="20"/>
              </w:rPr>
              <w:t xml:space="preserve">BCF </w:t>
            </w:r>
            <w:r w:rsidRPr="00227BE0">
              <w:rPr>
                <w:rFonts w:eastAsia="PMingLiU"/>
                <w:sz w:val="20"/>
                <w:szCs w:val="20"/>
                <w:vertAlign w:val="subscript"/>
              </w:rPr>
              <w:t xml:space="preserve">(whole fish) </w:t>
            </w:r>
            <w:r w:rsidRPr="00227BE0">
              <w:rPr>
                <w:rFonts w:eastAsia="PMingLiU"/>
                <w:sz w:val="20"/>
                <w:szCs w:val="20"/>
              </w:rPr>
              <w:t>= 37</w:t>
            </w:r>
          </w:p>
        </w:tc>
        <w:tc>
          <w:tcPr>
            <w:tcW w:w="1140" w:type="pct"/>
            <w:tcBorders>
              <w:top w:val="single" w:sz="6" w:space="0" w:color="auto"/>
              <w:left w:val="single" w:sz="6" w:space="0" w:color="auto"/>
              <w:bottom w:val="single" w:sz="6" w:space="0" w:color="auto"/>
              <w:right w:val="single" w:sz="4" w:space="0" w:color="auto"/>
            </w:tcBorders>
            <w:hideMark/>
          </w:tcPr>
          <w:p w14:paraId="18395661" w14:textId="77777777" w:rsidR="00E51CDD" w:rsidRPr="00227BE0" w:rsidRDefault="00E51CDD" w:rsidP="009938D9">
            <w:pPr>
              <w:widowControl w:val="0"/>
              <w:suppressAutoHyphens/>
              <w:spacing w:line="254" w:lineRule="auto"/>
              <w:rPr>
                <w:rFonts w:eastAsia="PMingLiU"/>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2009/1012801</w:t>
            </w:r>
          </w:p>
        </w:tc>
      </w:tr>
      <w:tr w:rsidR="00E51CDD" w:rsidRPr="00227BE0" w14:paraId="596FAD51"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044EFAF2" w14:textId="77777777" w:rsidR="00E51CDD" w:rsidRPr="004D0CF5" w:rsidRDefault="00E51CDD" w:rsidP="009938D9">
            <w:pPr>
              <w:widowControl w:val="0"/>
              <w:suppressAutoHyphens/>
              <w:spacing w:line="254" w:lineRule="auto"/>
              <w:rPr>
                <w:i/>
                <w:strike/>
                <w:color w:val="D9D9D9" w:themeColor="background1" w:themeShade="D9"/>
                <w:sz w:val="20"/>
                <w:szCs w:val="20"/>
              </w:rPr>
            </w:pPr>
            <w:r w:rsidRPr="004D0CF5">
              <w:rPr>
                <w:i/>
                <w:iCs/>
                <w:strike/>
                <w:color w:val="D9D9D9" w:themeColor="background1" w:themeShade="D9"/>
                <w:sz w:val="20"/>
                <w:szCs w:val="20"/>
                <w:lang w:eastAsia="en-US"/>
              </w:rPr>
              <w:t>Daphnia magna</w:t>
            </w:r>
          </w:p>
        </w:tc>
        <w:tc>
          <w:tcPr>
            <w:tcW w:w="920" w:type="pct"/>
            <w:tcBorders>
              <w:top w:val="single" w:sz="6" w:space="0" w:color="auto"/>
              <w:left w:val="single" w:sz="6" w:space="0" w:color="auto"/>
              <w:bottom w:val="single" w:sz="6" w:space="0" w:color="auto"/>
              <w:right w:val="single" w:sz="6" w:space="0" w:color="auto"/>
            </w:tcBorders>
            <w:hideMark/>
          </w:tcPr>
          <w:p w14:paraId="64FDD7A0" w14:textId="77777777" w:rsidR="00E51CDD" w:rsidRPr="004D0CF5" w:rsidRDefault="00E51CDD" w:rsidP="009938D9">
            <w:pPr>
              <w:widowControl w:val="0"/>
              <w:suppressAutoHyphens/>
              <w:spacing w:line="254" w:lineRule="auto"/>
              <w:rPr>
                <w:strike/>
                <w:color w:val="D9D9D9" w:themeColor="background1" w:themeShade="D9"/>
                <w:sz w:val="20"/>
                <w:szCs w:val="20"/>
              </w:rPr>
            </w:pPr>
            <w:r w:rsidRPr="004D0CF5">
              <w:rPr>
                <w:strike/>
                <w:color w:val="D9D9D9" w:themeColor="background1" w:themeShade="D9"/>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7945FA6D" w14:textId="77777777" w:rsidR="00E51CDD" w:rsidRPr="004D0CF5" w:rsidRDefault="00E51CDD" w:rsidP="009938D9">
            <w:pPr>
              <w:widowControl w:val="0"/>
              <w:suppressAutoHyphens/>
              <w:spacing w:line="254" w:lineRule="auto"/>
              <w:rPr>
                <w:strike/>
                <w:color w:val="D9D9D9" w:themeColor="background1" w:themeShade="D9"/>
                <w:sz w:val="20"/>
                <w:szCs w:val="20"/>
              </w:rPr>
            </w:pPr>
            <w:r w:rsidRPr="004D0CF5">
              <w:rPr>
                <w:strike/>
                <w:color w:val="D9D9D9" w:themeColor="background1" w:themeShade="D9"/>
                <w:sz w:val="20"/>
                <w:szCs w:val="20"/>
                <w:lang w:eastAsia="en-US"/>
              </w:rPr>
              <w:t>48 h, s</w:t>
            </w:r>
          </w:p>
        </w:tc>
        <w:tc>
          <w:tcPr>
            <w:tcW w:w="921" w:type="pct"/>
            <w:tcBorders>
              <w:top w:val="single" w:sz="6" w:space="0" w:color="auto"/>
              <w:left w:val="single" w:sz="6" w:space="0" w:color="auto"/>
              <w:bottom w:val="single" w:sz="6" w:space="0" w:color="auto"/>
              <w:right w:val="single" w:sz="6" w:space="0" w:color="auto"/>
            </w:tcBorders>
            <w:hideMark/>
          </w:tcPr>
          <w:p w14:paraId="0CA5179E" w14:textId="77777777" w:rsidR="00E51CDD" w:rsidRPr="004D0CF5" w:rsidRDefault="00E51CDD" w:rsidP="009938D9">
            <w:pPr>
              <w:widowControl w:val="0"/>
              <w:suppressAutoHyphens/>
              <w:spacing w:line="254" w:lineRule="auto"/>
              <w:rPr>
                <w:b/>
                <w:strike/>
                <w:color w:val="D9D9D9" w:themeColor="background1" w:themeShade="D9"/>
                <w:sz w:val="20"/>
                <w:szCs w:val="20"/>
              </w:rPr>
            </w:pPr>
            <w:r w:rsidRPr="004D0CF5">
              <w:rPr>
                <w:b/>
                <w:strike/>
                <w:color w:val="D9D9D9" w:themeColor="background1" w:themeShade="D9"/>
                <w:sz w:val="20"/>
                <w:szCs w:val="20"/>
                <w:lang w:eastAsia="en-US"/>
              </w:rPr>
              <w:t>EC</w:t>
            </w:r>
            <w:r w:rsidRPr="004D0CF5">
              <w:rPr>
                <w:b/>
                <w:strike/>
                <w:color w:val="D9D9D9" w:themeColor="background1" w:themeShade="D9"/>
                <w:sz w:val="20"/>
                <w:szCs w:val="20"/>
                <w:vertAlign w:val="subscript"/>
                <w:lang w:eastAsia="en-US"/>
              </w:rPr>
              <w:t xml:space="preserve">50 </w:t>
            </w:r>
            <w:r w:rsidRPr="004D0CF5">
              <w:rPr>
                <w:b/>
                <w:strike/>
                <w:color w:val="D9D9D9" w:themeColor="background1" w:themeShade="D9"/>
                <w:sz w:val="20"/>
                <w:szCs w:val="20"/>
                <w:lang w:eastAsia="en-US"/>
              </w:rPr>
              <w:t>= 6.78</w:t>
            </w:r>
            <w:r w:rsidRPr="004D0CF5">
              <w:rPr>
                <w:b/>
                <w:strike/>
                <w:color w:val="D9D9D9" w:themeColor="background1" w:themeShade="D9"/>
                <w:sz w:val="20"/>
                <w:szCs w:val="20"/>
              </w:rPr>
              <w:t xml:space="preserve"> mg a.s./L </w:t>
            </w:r>
            <w:r w:rsidRPr="004D0CF5">
              <w:rPr>
                <w:b/>
                <w:strike/>
                <w:color w:val="D9D9D9" w:themeColor="background1" w:themeShade="D9"/>
                <w:sz w:val="20"/>
                <w:szCs w:val="20"/>
                <w:vertAlign w:val="subscript"/>
              </w:rPr>
              <w:t>mm</w:t>
            </w:r>
          </w:p>
        </w:tc>
        <w:tc>
          <w:tcPr>
            <w:tcW w:w="1140" w:type="pct"/>
            <w:tcBorders>
              <w:top w:val="single" w:sz="6" w:space="0" w:color="auto"/>
              <w:left w:val="single" w:sz="6" w:space="0" w:color="auto"/>
              <w:bottom w:val="single" w:sz="6" w:space="0" w:color="auto"/>
              <w:right w:val="single" w:sz="4" w:space="0" w:color="auto"/>
            </w:tcBorders>
            <w:hideMark/>
          </w:tcPr>
          <w:p w14:paraId="3487D128" w14:textId="77777777" w:rsidR="00E51CDD" w:rsidRPr="004D0CF5" w:rsidRDefault="00E51CDD" w:rsidP="009938D9">
            <w:pPr>
              <w:widowControl w:val="0"/>
              <w:suppressAutoHyphens/>
              <w:spacing w:line="254" w:lineRule="auto"/>
              <w:rPr>
                <w:strike/>
                <w:color w:val="D9D9D9" w:themeColor="background1" w:themeShade="D9"/>
                <w:sz w:val="20"/>
                <w:szCs w:val="20"/>
              </w:rPr>
            </w:pPr>
            <w:r w:rsidRPr="004D0CF5">
              <w:rPr>
                <w:bCs/>
                <w:iCs/>
                <w:strike/>
                <w:color w:val="D9D9D9" w:themeColor="background1" w:themeShade="D9"/>
                <w:sz w:val="20"/>
                <w:szCs w:val="20"/>
              </w:rPr>
              <w:t>EFSA Journal 2012; 10(1):2522</w:t>
            </w:r>
            <w:r w:rsidRPr="004D0CF5">
              <w:rPr>
                <w:bCs/>
                <w:iCs/>
                <w:strike/>
                <w:color w:val="D9D9D9" w:themeColor="background1" w:themeShade="D9"/>
                <w:sz w:val="20"/>
                <w:szCs w:val="20"/>
              </w:rPr>
              <w:br/>
            </w:r>
            <w:r w:rsidRPr="004D0CF5">
              <w:rPr>
                <w:strike/>
                <w:color w:val="D9D9D9" w:themeColor="background1" w:themeShade="D9"/>
                <w:sz w:val="20"/>
                <w:szCs w:val="20"/>
                <w:lang w:eastAsia="en-US"/>
              </w:rPr>
              <w:t>2008/1028252</w:t>
            </w:r>
          </w:p>
        </w:tc>
      </w:tr>
      <w:tr w:rsidR="00E51CDD" w:rsidRPr="00227BE0" w14:paraId="21708CF2"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2C58E8B3" w14:textId="77777777" w:rsidR="00E51CDD" w:rsidRPr="004D0CF5" w:rsidRDefault="00E51CDD" w:rsidP="009938D9">
            <w:pPr>
              <w:widowControl w:val="0"/>
              <w:suppressAutoHyphens/>
              <w:spacing w:line="254" w:lineRule="auto"/>
              <w:rPr>
                <w:i/>
                <w:strike/>
                <w:color w:val="D9D9D9" w:themeColor="background1" w:themeShade="D9"/>
                <w:sz w:val="20"/>
                <w:szCs w:val="20"/>
              </w:rPr>
            </w:pPr>
            <w:r w:rsidRPr="004D0CF5">
              <w:rPr>
                <w:i/>
                <w:iCs/>
                <w:strike/>
                <w:color w:val="D9D9D9" w:themeColor="background1" w:themeShade="D9"/>
                <w:sz w:val="20"/>
                <w:szCs w:val="20"/>
                <w:lang w:eastAsia="en-US"/>
              </w:rPr>
              <w:t>Americamysis bahia </w:t>
            </w:r>
            <w:r w:rsidRPr="004D0CF5">
              <w:rPr>
                <w:i/>
                <w:iCs/>
                <w:strike/>
                <w:color w:val="D9D9D9" w:themeColor="background1" w:themeShade="D9"/>
                <w:sz w:val="20"/>
                <w:szCs w:val="20"/>
                <w:vertAlign w:val="superscript"/>
                <w:lang w:eastAsia="en-US"/>
              </w:rPr>
              <w:t>1)</w:t>
            </w:r>
          </w:p>
        </w:tc>
        <w:tc>
          <w:tcPr>
            <w:tcW w:w="920" w:type="pct"/>
            <w:tcBorders>
              <w:top w:val="single" w:sz="6" w:space="0" w:color="auto"/>
              <w:left w:val="single" w:sz="6" w:space="0" w:color="auto"/>
              <w:bottom w:val="single" w:sz="6" w:space="0" w:color="auto"/>
              <w:right w:val="single" w:sz="6" w:space="0" w:color="auto"/>
            </w:tcBorders>
            <w:hideMark/>
          </w:tcPr>
          <w:p w14:paraId="69E3E08F" w14:textId="77777777" w:rsidR="00E51CDD" w:rsidRPr="004D0CF5" w:rsidRDefault="00E51CDD" w:rsidP="009938D9">
            <w:pPr>
              <w:widowControl w:val="0"/>
              <w:suppressAutoHyphens/>
              <w:spacing w:line="254" w:lineRule="auto"/>
              <w:rPr>
                <w:strike/>
                <w:color w:val="D9D9D9" w:themeColor="background1" w:themeShade="D9"/>
                <w:sz w:val="20"/>
                <w:szCs w:val="20"/>
              </w:rPr>
            </w:pPr>
            <w:r w:rsidRPr="004D0CF5">
              <w:rPr>
                <w:strike/>
                <w:color w:val="D9D9D9" w:themeColor="background1" w:themeShade="D9"/>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662ABD5E" w14:textId="77777777" w:rsidR="00E51CDD" w:rsidRPr="004D0CF5" w:rsidRDefault="00E51CDD" w:rsidP="009938D9">
            <w:pPr>
              <w:widowControl w:val="0"/>
              <w:suppressAutoHyphens/>
              <w:spacing w:line="254" w:lineRule="auto"/>
              <w:rPr>
                <w:strike/>
                <w:color w:val="D9D9D9" w:themeColor="background1" w:themeShade="D9"/>
                <w:sz w:val="20"/>
                <w:szCs w:val="20"/>
              </w:rPr>
            </w:pPr>
            <w:r w:rsidRPr="004D0CF5">
              <w:rPr>
                <w:strike/>
                <w:color w:val="D9D9D9" w:themeColor="background1" w:themeShade="D9"/>
                <w:sz w:val="20"/>
                <w:szCs w:val="20"/>
                <w:lang w:eastAsia="en-US"/>
              </w:rPr>
              <w:t>48 h, s</w:t>
            </w:r>
          </w:p>
        </w:tc>
        <w:tc>
          <w:tcPr>
            <w:tcW w:w="921" w:type="pct"/>
            <w:tcBorders>
              <w:top w:val="single" w:sz="6" w:space="0" w:color="auto"/>
              <w:left w:val="single" w:sz="6" w:space="0" w:color="auto"/>
              <w:bottom w:val="single" w:sz="6" w:space="0" w:color="auto"/>
              <w:right w:val="single" w:sz="6" w:space="0" w:color="auto"/>
            </w:tcBorders>
            <w:hideMark/>
          </w:tcPr>
          <w:p w14:paraId="10AF9CD0" w14:textId="77777777" w:rsidR="00E51CDD" w:rsidRPr="004D0CF5" w:rsidRDefault="00E51CDD" w:rsidP="009938D9">
            <w:pPr>
              <w:widowControl w:val="0"/>
              <w:suppressAutoHyphens/>
              <w:spacing w:line="254" w:lineRule="auto"/>
              <w:rPr>
                <w:b/>
                <w:bCs/>
                <w:strike/>
                <w:color w:val="D9D9D9" w:themeColor="background1" w:themeShade="D9"/>
                <w:sz w:val="20"/>
                <w:szCs w:val="20"/>
                <w:vertAlign w:val="subscript"/>
                <w:lang w:eastAsia="en-US"/>
              </w:rPr>
            </w:pPr>
            <w:r w:rsidRPr="004D0CF5">
              <w:rPr>
                <w:b/>
                <w:bCs/>
                <w:strike/>
                <w:color w:val="D9D9D9" w:themeColor="background1" w:themeShade="D9"/>
                <w:sz w:val="20"/>
                <w:szCs w:val="20"/>
                <w:lang w:eastAsia="en-US"/>
              </w:rPr>
              <w:t>LC</w:t>
            </w:r>
            <w:r w:rsidRPr="004D0CF5">
              <w:rPr>
                <w:b/>
                <w:bCs/>
                <w:strike/>
                <w:color w:val="D9D9D9" w:themeColor="background1" w:themeShade="D9"/>
                <w:sz w:val="20"/>
                <w:szCs w:val="20"/>
                <w:vertAlign w:val="subscript"/>
                <w:lang w:eastAsia="en-US"/>
              </w:rPr>
              <w:t xml:space="preserve">50 </w:t>
            </w:r>
            <w:r w:rsidRPr="004D0CF5">
              <w:rPr>
                <w:b/>
                <w:bCs/>
                <w:strike/>
                <w:color w:val="D9D9D9" w:themeColor="background1" w:themeShade="D9"/>
                <w:sz w:val="20"/>
                <w:szCs w:val="20"/>
                <w:lang w:eastAsia="en-US"/>
              </w:rPr>
              <w:t>= 6.1</w:t>
            </w:r>
            <w:r w:rsidRPr="004D0CF5">
              <w:rPr>
                <w:b/>
                <w:bCs/>
                <w:strike/>
                <w:color w:val="D9D9D9" w:themeColor="background1" w:themeShade="D9"/>
                <w:sz w:val="20"/>
                <w:szCs w:val="20"/>
              </w:rPr>
              <w:t xml:space="preserve"> mg a.s./L </w:t>
            </w:r>
            <w:r w:rsidRPr="004D0CF5">
              <w:rPr>
                <w:b/>
                <w:bCs/>
                <w:strike/>
                <w:color w:val="D9D9D9" w:themeColor="background1" w:themeShade="D9"/>
                <w:sz w:val="20"/>
                <w:szCs w:val="20"/>
                <w:vertAlign w:val="subscript"/>
              </w:rPr>
              <w:t>mm</w:t>
            </w:r>
            <w:r w:rsidRPr="004D0CF5">
              <w:rPr>
                <w:b/>
                <w:bCs/>
                <w:strike/>
                <w:color w:val="D9D9D9" w:themeColor="background1" w:themeShade="D9"/>
                <w:sz w:val="20"/>
                <w:szCs w:val="20"/>
                <w:vertAlign w:val="superscript"/>
              </w:rPr>
              <w:t> 2)</w:t>
            </w:r>
          </w:p>
        </w:tc>
        <w:tc>
          <w:tcPr>
            <w:tcW w:w="1140" w:type="pct"/>
            <w:tcBorders>
              <w:top w:val="single" w:sz="6" w:space="0" w:color="auto"/>
              <w:left w:val="single" w:sz="6" w:space="0" w:color="auto"/>
              <w:bottom w:val="single" w:sz="6" w:space="0" w:color="auto"/>
              <w:right w:val="single" w:sz="4" w:space="0" w:color="auto"/>
            </w:tcBorders>
            <w:hideMark/>
          </w:tcPr>
          <w:p w14:paraId="3C1F8CFD" w14:textId="77777777" w:rsidR="00E51CDD" w:rsidRPr="004D0CF5" w:rsidRDefault="00E51CDD" w:rsidP="009938D9">
            <w:pPr>
              <w:widowControl w:val="0"/>
              <w:suppressAutoHyphens/>
              <w:spacing w:line="254" w:lineRule="auto"/>
              <w:rPr>
                <w:strike/>
                <w:color w:val="D9D9D9" w:themeColor="background1" w:themeShade="D9"/>
                <w:sz w:val="20"/>
                <w:szCs w:val="20"/>
              </w:rPr>
            </w:pPr>
            <w:r w:rsidRPr="004D0CF5">
              <w:rPr>
                <w:bCs/>
                <w:iCs/>
                <w:strike/>
                <w:color w:val="D9D9D9" w:themeColor="background1" w:themeShade="D9"/>
                <w:sz w:val="20"/>
                <w:szCs w:val="20"/>
              </w:rPr>
              <w:t>EFSA Journal 2012; 10(1):2522</w:t>
            </w:r>
            <w:r w:rsidRPr="004D0CF5">
              <w:rPr>
                <w:bCs/>
                <w:iCs/>
                <w:strike/>
                <w:color w:val="D9D9D9" w:themeColor="background1" w:themeShade="D9"/>
                <w:sz w:val="20"/>
                <w:szCs w:val="20"/>
              </w:rPr>
              <w:br/>
            </w:r>
            <w:r w:rsidRPr="004D0CF5">
              <w:rPr>
                <w:strike/>
                <w:color w:val="D9D9D9" w:themeColor="background1" w:themeShade="D9"/>
                <w:sz w:val="20"/>
                <w:szCs w:val="20"/>
                <w:lang w:eastAsia="en-US"/>
              </w:rPr>
              <w:t>2009/7000069</w:t>
            </w:r>
          </w:p>
        </w:tc>
      </w:tr>
      <w:tr w:rsidR="00E51CDD" w:rsidRPr="00227BE0" w14:paraId="499EDBA2"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75DBDAE1"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Crassostrea virginica </w:t>
            </w:r>
            <w:r w:rsidRPr="00227BE0">
              <w:rPr>
                <w:i/>
                <w:iCs/>
                <w:sz w:val="20"/>
                <w:szCs w:val="20"/>
                <w:vertAlign w:val="superscript"/>
                <w:lang w:eastAsia="en-US"/>
              </w:rPr>
              <w:t>1)</w:t>
            </w:r>
          </w:p>
        </w:tc>
        <w:tc>
          <w:tcPr>
            <w:tcW w:w="920" w:type="pct"/>
            <w:tcBorders>
              <w:top w:val="single" w:sz="6" w:space="0" w:color="auto"/>
              <w:left w:val="single" w:sz="6" w:space="0" w:color="auto"/>
              <w:bottom w:val="single" w:sz="6" w:space="0" w:color="auto"/>
              <w:right w:val="single" w:sz="6" w:space="0" w:color="auto"/>
            </w:tcBorders>
            <w:hideMark/>
          </w:tcPr>
          <w:p w14:paraId="0E68E812"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699BB79A"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48 h, f</w:t>
            </w:r>
          </w:p>
        </w:tc>
        <w:tc>
          <w:tcPr>
            <w:tcW w:w="921" w:type="pct"/>
            <w:tcBorders>
              <w:top w:val="single" w:sz="6" w:space="0" w:color="auto"/>
              <w:left w:val="single" w:sz="6" w:space="0" w:color="auto"/>
              <w:bottom w:val="single" w:sz="6" w:space="0" w:color="auto"/>
              <w:right w:val="single" w:sz="6" w:space="0" w:color="auto"/>
            </w:tcBorders>
            <w:hideMark/>
          </w:tcPr>
          <w:p w14:paraId="15DF9093" w14:textId="36D248CA" w:rsidR="00E51CDD" w:rsidRPr="00227BE0" w:rsidRDefault="00E51CDD" w:rsidP="009938D9">
            <w:pPr>
              <w:widowControl w:val="0"/>
              <w:suppressAutoHyphens/>
              <w:spacing w:line="254" w:lineRule="auto"/>
              <w:rPr>
                <w:b/>
                <w:sz w:val="20"/>
                <w:szCs w:val="20"/>
              </w:rPr>
            </w:pPr>
            <w:r w:rsidRPr="00227BE0">
              <w:rPr>
                <w:b/>
                <w:sz w:val="20"/>
                <w:szCs w:val="20"/>
                <w:lang w:eastAsia="en-US"/>
              </w:rPr>
              <w:t>EC</w:t>
            </w:r>
            <w:r w:rsidRPr="00227BE0">
              <w:rPr>
                <w:b/>
                <w:sz w:val="20"/>
                <w:szCs w:val="20"/>
                <w:vertAlign w:val="subscript"/>
                <w:lang w:eastAsia="en-US"/>
              </w:rPr>
              <w:t xml:space="preserve">50 </w:t>
            </w:r>
            <w:r w:rsidRPr="00B925F0">
              <w:rPr>
                <w:b/>
                <w:strike/>
                <w:sz w:val="20"/>
                <w:szCs w:val="20"/>
                <w:highlight w:val="cyan"/>
                <w:lang w:eastAsia="en-US"/>
              </w:rPr>
              <w:t>&gt;</w:t>
            </w:r>
            <w:r w:rsidR="00B925F0">
              <w:rPr>
                <w:b/>
                <w:sz w:val="20"/>
                <w:szCs w:val="20"/>
                <w:highlight w:val="cyan"/>
                <w:lang w:eastAsia="en-US"/>
              </w:rPr>
              <w:t xml:space="preserve"> </w:t>
            </w:r>
            <w:r w:rsidR="00B925F0" w:rsidRPr="00B925F0">
              <w:rPr>
                <w:b/>
                <w:sz w:val="20"/>
                <w:szCs w:val="20"/>
                <w:highlight w:val="cyan"/>
                <w:lang w:eastAsia="en-US"/>
              </w:rPr>
              <w:t>=</w:t>
            </w:r>
            <w:r w:rsidRPr="00227BE0">
              <w:rPr>
                <w:b/>
                <w:sz w:val="20"/>
                <w:szCs w:val="20"/>
                <w:lang w:eastAsia="en-US"/>
              </w:rPr>
              <w:t xml:space="preserve"> </w:t>
            </w:r>
            <w:r w:rsidRPr="00E24661">
              <w:rPr>
                <w:b/>
                <w:strike/>
                <w:color w:val="D9D9D9" w:themeColor="background1" w:themeShade="D9"/>
                <w:sz w:val="20"/>
                <w:szCs w:val="20"/>
                <w:lang w:eastAsia="en-US"/>
              </w:rPr>
              <w:t>2.2</w:t>
            </w:r>
            <w:r w:rsidRPr="00E24661">
              <w:rPr>
                <w:b/>
                <w:color w:val="D9D9D9" w:themeColor="background1" w:themeShade="D9"/>
                <w:sz w:val="20"/>
                <w:szCs w:val="20"/>
              </w:rPr>
              <w:t xml:space="preserve"> </w:t>
            </w:r>
            <w:r w:rsidR="00E24661" w:rsidRPr="00E24661">
              <w:rPr>
                <w:b/>
                <w:sz w:val="20"/>
                <w:szCs w:val="20"/>
                <w:shd w:val="clear" w:color="auto" w:fill="D9D9D9" w:themeFill="background1" w:themeFillShade="D9"/>
              </w:rPr>
              <w:t>1.1</w:t>
            </w:r>
            <w:r w:rsidR="00E24661">
              <w:rPr>
                <w:b/>
                <w:sz w:val="20"/>
                <w:szCs w:val="20"/>
              </w:rPr>
              <w:t xml:space="preserve"> </w:t>
            </w:r>
            <w:r w:rsidRPr="00227BE0">
              <w:rPr>
                <w:b/>
                <w:sz w:val="20"/>
                <w:szCs w:val="20"/>
              </w:rPr>
              <w:t>mg a.s./L </w:t>
            </w:r>
            <w:r w:rsidRPr="00227BE0">
              <w:rPr>
                <w:b/>
                <w:sz w:val="20"/>
                <w:szCs w:val="20"/>
                <w:vertAlign w:val="subscript"/>
              </w:rPr>
              <w:t>mm  </w:t>
            </w:r>
            <w:r w:rsidRPr="00227BE0">
              <w:rPr>
                <w:b/>
                <w:sz w:val="20"/>
                <w:szCs w:val="20"/>
                <w:vertAlign w:val="superscript"/>
              </w:rPr>
              <w:t>2)</w:t>
            </w:r>
          </w:p>
        </w:tc>
        <w:tc>
          <w:tcPr>
            <w:tcW w:w="1140" w:type="pct"/>
            <w:tcBorders>
              <w:top w:val="single" w:sz="6" w:space="0" w:color="auto"/>
              <w:left w:val="single" w:sz="6" w:space="0" w:color="auto"/>
              <w:bottom w:val="single" w:sz="6" w:space="0" w:color="auto"/>
              <w:right w:val="single" w:sz="4" w:space="0" w:color="auto"/>
            </w:tcBorders>
            <w:hideMark/>
          </w:tcPr>
          <w:p w14:paraId="3CBA1405"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2009/7000165</w:t>
            </w:r>
          </w:p>
        </w:tc>
      </w:tr>
      <w:tr w:rsidR="00E51CDD" w:rsidRPr="00227BE0" w14:paraId="7265F3C6"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6E5CAB31"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Daphnia magna</w:t>
            </w:r>
          </w:p>
        </w:tc>
        <w:tc>
          <w:tcPr>
            <w:tcW w:w="920" w:type="pct"/>
            <w:tcBorders>
              <w:top w:val="single" w:sz="6" w:space="0" w:color="auto"/>
              <w:left w:val="single" w:sz="6" w:space="0" w:color="auto"/>
              <w:bottom w:val="single" w:sz="6" w:space="0" w:color="auto"/>
              <w:right w:val="single" w:sz="6" w:space="0" w:color="auto"/>
            </w:tcBorders>
            <w:hideMark/>
          </w:tcPr>
          <w:p w14:paraId="742072BB"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1BDE5A8F"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21 d, s</w:t>
            </w:r>
          </w:p>
        </w:tc>
        <w:tc>
          <w:tcPr>
            <w:tcW w:w="921" w:type="pct"/>
            <w:tcBorders>
              <w:top w:val="single" w:sz="6" w:space="0" w:color="auto"/>
              <w:left w:val="single" w:sz="6" w:space="0" w:color="auto"/>
              <w:bottom w:val="single" w:sz="6" w:space="0" w:color="auto"/>
              <w:right w:val="single" w:sz="6" w:space="0" w:color="auto"/>
            </w:tcBorders>
            <w:hideMark/>
          </w:tcPr>
          <w:p w14:paraId="3C44E5B5" w14:textId="77777777" w:rsidR="00E51CDD" w:rsidRPr="00227BE0" w:rsidRDefault="00E51CDD" w:rsidP="009938D9">
            <w:pPr>
              <w:widowControl w:val="0"/>
              <w:suppressAutoHyphens/>
              <w:spacing w:line="254" w:lineRule="auto"/>
              <w:rPr>
                <w:b/>
                <w:sz w:val="20"/>
                <w:szCs w:val="20"/>
                <w:lang w:val="fr-FR"/>
              </w:rPr>
            </w:pPr>
            <w:r w:rsidRPr="00227BE0">
              <w:rPr>
                <w:b/>
                <w:sz w:val="20"/>
                <w:szCs w:val="20"/>
                <w:lang w:val="fr-FR" w:eastAsia="en-US"/>
              </w:rPr>
              <w:t>NOEC = 0.500</w:t>
            </w:r>
            <w:r w:rsidRPr="00227BE0">
              <w:rPr>
                <w:b/>
                <w:sz w:val="20"/>
                <w:szCs w:val="20"/>
                <w:lang w:val="fr-FR"/>
              </w:rPr>
              <w:t xml:space="preserve"> mg a.s./L </w:t>
            </w:r>
            <w:r w:rsidRPr="00227BE0">
              <w:rPr>
                <w:b/>
                <w:sz w:val="20"/>
                <w:szCs w:val="20"/>
                <w:vertAlign w:val="subscript"/>
                <w:lang w:val="fr-FR"/>
              </w:rPr>
              <w:t>nom</w:t>
            </w:r>
          </w:p>
        </w:tc>
        <w:tc>
          <w:tcPr>
            <w:tcW w:w="1140" w:type="pct"/>
            <w:tcBorders>
              <w:top w:val="single" w:sz="6" w:space="0" w:color="auto"/>
              <w:left w:val="single" w:sz="6" w:space="0" w:color="auto"/>
              <w:bottom w:val="single" w:sz="6" w:space="0" w:color="auto"/>
              <w:right w:val="single" w:sz="4" w:space="0" w:color="auto"/>
            </w:tcBorders>
            <w:hideMark/>
          </w:tcPr>
          <w:p w14:paraId="3A2D2EB7"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2008/1055084</w:t>
            </w:r>
          </w:p>
        </w:tc>
      </w:tr>
      <w:tr w:rsidR="00E51CDD" w:rsidRPr="00227BE0" w14:paraId="5427BAA5"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4C45F634" w14:textId="77777777" w:rsidR="00E51CDD" w:rsidRPr="00227BE0" w:rsidRDefault="00E51CDD" w:rsidP="009938D9">
            <w:pPr>
              <w:widowControl w:val="0"/>
              <w:suppressAutoHyphens/>
              <w:spacing w:line="254" w:lineRule="auto"/>
              <w:rPr>
                <w:i/>
                <w:iCs/>
                <w:sz w:val="20"/>
                <w:szCs w:val="20"/>
                <w:lang w:eastAsia="en-US"/>
              </w:rPr>
            </w:pPr>
            <w:r w:rsidRPr="00227BE0">
              <w:rPr>
                <w:i/>
                <w:iCs/>
                <w:sz w:val="20"/>
                <w:szCs w:val="20"/>
                <w:lang w:eastAsia="en-US"/>
              </w:rPr>
              <w:t>Chironomus riparius</w:t>
            </w:r>
          </w:p>
        </w:tc>
        <w:tc>
          <w:tcPr>
            <w:tcW w:w="920" w:type="pct"/>
            <w:tcBorders>
              <w:top w:val="single" w:sz="6" w:space="0" w:color="auto"/>
              <w:left w:val="single" w:sz="6" w:space="0" w:color="auto"/>
              <w:bottom w:val="single" w:sz="6" w:space="0" w:color="auto"/>
              <w:right w:val="single" w:sz="6" w:space="0" w:color="auto"/>
            </w:tcBorders>
            <w:hideMark/>
          </w:tcPr>
          <w:p w14:paraId="33030BB9"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16E58217" w14:textId="77777777" w:rsidR="00E51CDD" w:rsidRPr="00227BE0" w:rsidRDefault="00E51CDD" w:rsidP="009938D9">
            <w:pPr>
              <w:widowControl w:val="0"/>
              <w:suppressAutoHyphens/>
              <w:spacing w:line="254" w:lineRule="auto"/>
              <w:rPr>
                <w:sz w:val="20"/>
                <w:szCs w:val="20"/>
                <w:lang w:eastAsia="en-US"/>
              </w:rPr>
            </w:pPr>
            <w:r w:rsidRPr="00227BE0">
              <w:rPr>
                <w:sz w:val="20"/>
                <w:szCs w:val="20"/>
                <w:lang w:eastAsia="en-US"/>
              </w:rPr>
              <w:t xml:space="preserve">28 d, </w:t>
            </w:r>
            <w:r w:rsidRPr="00227BE0">
              <w:rPr>
                <w:sz w:val="20"/>
                <w:szCs w:val="20"/>
              </w:rPr>
              <w:t>spiked sediment</w:t>
            </w:r>
          </w:p>
        </w:tc>
        <w:tc>
          <w:tcPr>
            <w:tcW w:w="921" w:type="pct"/>
            <w:tcBorders>
              <w:top w:val="single" w:sz="6" w:space="0" w:color="auto"/>
              <w:left w:val="single" w:sz="6" w:space="0" w:color="auto"/>
              <w:bottom w:val="single" w:sz="6" w:space="0" w:color="auto"/>
              <w:right w:val="single" w:sz="6" w:space="0" w:color="auto"/>
            </w:tcBorders>
            <w:hideMark/>
          </w:tcPr>
          <w:p w14:paraId="7DBC6393" w14:textId="77777777" w:rsidR="00E51CDD" w:rsidRPr="00227BE0" w:rsidRDefault="00E51CDD" w:rsidP="009938D9">
            <w:pPr>
              <w:widowControl w:val="0"/>
              <w:suppressAutoHyphens/>
              <w:spacing w:line="254" w:lineRule="auto"/>
              <w:rPr>
                <w:b/>
                <w:sz w:val="20"/>
                <w:szCs w:val="20"/>
                <w:lang w:eastAsia="en-US"/>
              </w:rPr>
            </w:pPr>
            <w:r w:rsidRPr="00227BE0">
              <w:rPr>
                <w:b/>
                <w:sz w:val="20"/>
                <w:szCs w:val="20"/>
              </w:rPr>
              <w:t>NOEC = 75.9 mg a.s./kg sed. (dw) </w:t>
            </w:r>
            <w:r w:rsidRPr="00227BE0">
              <w:rPr>
                <w:b/>
                <w:sz w:val="20"/>
                <w:szCs w:val="20"/>
                <w:vertAlign w:val="subscript"/>
              </w:rPr>
              <w:t>im</w:t>
            </w:r>
          </w:p>
        </w:tc>
        <w:tc>
          <w:tcPr>
            <w:tcW w:w="1140" w:type="pct"/>
            <w:tcBorders>
              <w:top w:val="single" w:sz="6" w:space="0" w:color="auto"/>
              <w:left w:val="single" w:sz="6" w:space="0" w:color="auto"/>
              <w:bottom w:val="single" w:sz="6" w:space="0" w:color="auto"/>
              <w:right w:val="single" w:sz="4" w:space="0" w:color="auto"/>
            </w:tcBorders>
            <w:hideMark/>
          </w:tcPr>
          <w:p w14:paraId="3F44F996" w14:textId="77777777" w:rsidR="00E51CDD" w:rsidRPr="00227BE0" w:rsidRDefault="00E51CDD" w:rsidP="009938D9">
            <w:pPr>
              <w:widowControl w:val="0"/>
              <w:suppressAutoHyphens/>
              <w:spacing w:line="254" w:lineRule="auto"/>
              <w:rPr>
                <w:bCs/>
                <w:iCs/>
                <w:sz w:val="20"/>
                <w:szCs w:val="20"/>
              </w:rPr>
            </w:pPr>
            <w:r w:rsidRPr="00227BE0">
              <w:rPr>
                <w:bCs/>
                <w:iCs/>
                <w:sz w:val="20"/>
                <w:szCs w:val="20"/>
              </w:rPr>
              <w:t>EFSA Journal 2012; 10(1):2522</w:t>
            </w:r>
            <w:r w:rsidRPr="00227BE0">
              <w:rPr>
                <w:bCs/>
                <w:iCs/>
                <w:sz w:val="20"/>
                <w:szCs w:val="20"/>
              </w:rPr>
              <w:br/>
            </w:r>
            <w:r w:rsidRPr="00227BE0">
              <w:rPr>
                <w:sz w:val="20"/>
                <w:szCs w:val="20"/>
              </w:rPr>
              <w:t>2009/1037085</w:t>
            </w:r>
          </w:p>
        </w:tc>
      </w:tr>
      <w:tr w:rsidR="00E51CDD" w:rsidRPr="00227BE0" w14:paraId="50938325"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13302CE7" w14:textId="77777777" w:rsidR="00E51CDD" w:rsidRPr="00227BE0" w:rsidRDefault="00E51CDD" w:rsidP="009938D9">
            <w:pPr>
              <w:widowControl w:val="0"/>
              <w:suppressAutoHyphens/>
              <w:spacing w:line="254" w:lineRule="auto"/>
              <w:rPr>
                <w:i/>
                <w:sz w:val="20"/>
                <w:szCs w:val="20"/>
                <w:lang w:val="de-DE"/>
              </w:rPr>
            </w:pPr>
            <w:r w:rsidRPr="00227BE0">
              <w:rPr>
                <w:i/>
                <w:sz w:val="20"/>
                <w:szCs w:val="20"/>
                <w:lang w:val="de-DE" w:eastAsia="en-US"/>
              </w:rPr>
              <w:t xml:space="preserve">Pseudokirchneriella subcapitata </w:t>
            </w:r>
            <w:r w:rsidRPr="00227BE0">
              <w:rPr>
                <w:i/>
                <w:sz w:val="20"/>
                <w:szCs w:val="20"/>
                <w:lang w:val="de-DE" w:eastAsia="en-US"/>
              </w:rPr>
              <w:br/>
              <w:t xml:space="preserve">(Syn. Ankistrodesmus bibraianus) </w:t>
            </w:r>
          </w:p>
        </w:tc>
        <w:tc>
          <w:tcPr>
            <w:tcW w:w="920" w:type="pct"/>
            <w:tcBorders>
              <w:top w:val="single" w:sz="6" w:space="0" w:color="auto"/>
              <w:left w:val="single" w:sz="6" w:space="0" w:color="auto"/>
              <w:bottom w:val="single" w:sz="6" w:space="0" w:color="auto"/>
              <w:right w:val="single" w:sz="6" w:space="0" w:color="auto"/>
            </w:tcBorders>
            <w:hideMark/>
          </w:tcPr>
          <w:p w14:paraId="3A374F0B"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76E02A84"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72 h, s</w:t>
            </w:r>
          </w:p>
        </w:tc>
        <w:tc>
          <w:tcPr>
            <w:tcW w:w="921" w:type="pct"/>
            <w:tcBorders>
              <w:top w:val="single" w:sz="6" w:space="0" w:color="auto"/>
              <w:left w:val="single" w:sz="6" w:space="0" w:color="auto"/>
              <w:bottom w:val="single" w:sz="6" w:space="0" w:color="auto"/>
              <w:right w:val="single" w:sz="6" w:space="0" w:color="auto"/>
            </w:tcBorders>
            <w:hideMark/>
          </w:tcPr>
          <w:p w14:paraId="10CBFBC6" w14:textId="77777777" w:rsidR="00E51CDD" w:rsidRPr="00227BE0" w:rsidRDefault="00E51CDD" w:rsidP="009938D9">
            <w:pPr>
              <w:widowControl w:val="0"/>
              <w:suppressAutoHyphens/>
              <w:spacing w:line="254" w:lineRule="auto"/>
              <w:rPr>
                <w:sz w:val="20"/>
                <w:szCs w:val="20"/>
                <w:lang w:val="fr-FR"/>
              </w:rPr>
            </w:pPr>
            <w:r w:rsidRPr="00227BE0">
              <w:rPr>
                <w:b/>
                <w:sz w:val="20"/>
                <w:szCs w:val="20"/>
                <w:lang w:val="fr-FR"/>
              </w:rPr>
              <w:t>E</w:t>
            </w:r>
            <w:r w:rsidRPr="00227BE0">
              <w:rPr>
                <w:b/>
                <w:sz w:val="20"/>
                <w:szCs w:val="20"/>
                <w:vertAlign w:val="subscript"/>
                <w:lang w:val="fr-FR"/>
              </w:rPr>
              <w:t>r</w:t>
            </w:r>
            <w:r w:rsidRPr="00227BE0">
              <w:rPr>
                <w:b/>
                <w:sz w:val="20"/>
                <w:szCs w:val="20"/>
                <w:lang w:val="fr-FR"/>
              </w:rPr>
              <w:t>C</w:t>
            </w:r>
            <w:r w:rsidRPr="00227BE0">
              <w:rPr>
                <w:b/>
                <w:sz w:val="20"/>
                <w:szCs w:val="20"/>
                <w:vertAlign w:val="subscript"/>
                <w:lang w:val="fr-FR"/>
              </w:rPr>
              <w:t>50</w:t>
            </w:r>
            <w:r w:rsidRPr="00227BE0">
              <w:rPr>
                <w:b/>
                <w:sz w:val="20"/>
                <w:szCs w:val="20"/>
                <w:lang w:val="fr-FR"/>
              </w:rPr>
              <w:t xml:space="preserve"> = </w:t>
            </w:r>
            <w:r w:rsidRPr="00227BE0">
              <w:rPr>
                <w:b/>
                <w:bCs/>
                <w:sz w:val="20"/>
                <w:szCs w:val="20"/>
                <w:lang w:val="fr-FR" w:eastAsia="en-US"/>
              </w:rPr>
              <w:t>0.700</w:t>
            </w:r>
            <w:r w:rsidRPr="00227BE0">
              <w:rPr>
                <w:b/>
                <w:sz w:val="20"/>
                <w:szCs w:val="20"/>
                <w:lang w:val="fr-FR"/>
              </w:rPr>
              <w:t xml:space="preserve"> mg a.s./L </w:t>
            </w:r>
            <w:r w:rsidRPr="00227BE0">
              <w:rPr>
                <w:b/>
                <w:sz w:val="20"/>
                <w:szCs w:val="20"/>
                <w:vertAlign w:val="subscript"/>
                <w:lang w:val="fr-FR"/>
              </w:rPr>
              <w:t>nom</w:t>
            </w:r>
            <w:r w:rsidRPr="00227BE0">
              <w:rPr>
                <w:b/>
                <w:bCs/>
                <w:sz w:val="20"/>
                <w:szCs w:val="20"/>
                <w:lang w:val="fr-FR" w:eastAsia="en-US"/>
              </w:rPr>
              <w:t xml:space="preserve"> </w:t>
            </w:r>
            <w:r w:rsidRPr="00227BE0">
              <w:rPr>
                <w:b/>
                <w:bCs/>
                <w:sz w:val="20"/>
                <w:szCs w:val="20"/>
                <w:vertAlign w:val="superscript"/>
                <w:lang w:val="fr-FR" w:eastAsia="en-US"/>
              </w:rPr>
              <w:t>3)</w:t>
            </w:r>
            <w:r w:rsidRPr="00227BE0">
              <w:rPr>
                <w:bCs/>
                <w:sz w:val="20"/>
                <w:szCs w:val="20"/>
                <w:lang w:val="fr-FR" w:eastAsia="en-US"/>
              </w:rPr>
              <w:br/>
            </w:r>
            <w:r w:rsidRPr="00227BE0">
              <w:rPr>
                <w:sz w:val="20"/>
                <w:szCs w:val="20"/>
                <w:lang w:val="fr-FR"/>
              </w:rPr>
              <w:t>E</w:t>
            </w:r>
            <w:r w:rsidRPr="00227BE0">
              <w:rPr>
                <w:sz w:val="20"/>
                <w:szCs w:val="20"/>
                <w:vertAlign w:val="subscript"/>
                <w:lang w:val="fr-FR"/>
              </w:rPr>
              <w:t>y</w:t>
            </w:r>
            <w:r w:rsidRPr="00227BE0">
              <w:rPr>
                <w:sz w:val="20"/>
                <w:szCs w:val="20"/>
                <w:lang w:val="fr-FR"/>
              </w:rPr>
              <w:t>C</w:t>
            </w:r>
            <w:r w:rsidRPr="00227BE0">
              <w:rPr>
                <w:sz w:val="20"/>
                <w:szCs w:val="20"/>
                <w:vertAlign w:val="subscript"/>
                <w:lang w:val="fr-FR"/>
              </w:rPr>
              <w:t>50</w:t>
            </w:r>
            <w:r w:rsidRPr="00227BE0">
              <w:rPr>
                <w:sz w:val="20"/>
                <w:szCs w:val="20"/>
                <w:lang w:val="fr-FR"/>
              </w:rPr>
              <w:t xml:space="preserve"> =</w:t>
            </w:r>
            <w:r w:rsidRPr="00227BE0">
              <w:rPr>
                <w:bCs/>
                <w:sz w:val="20"/>
                <w:szCs w:val="20"/>
                <w:lang w:val="fr-FR" w:eastAsia="en-US"/>
              </w:rPr>
              <w:t>0.400</w:t>
            </w:r>
            <w:r w:rsidRPr="00227BE0">
              <w:rPr>
                <w:sz w:val="20"/>
                <w:szCs w:val="20"/>
                <w:lang w:val="fr-FR"/>
              </w:rPr>
              <w:t xml:space="preserve"> mg a.s./L </w:t>
            </w:r>
            <w:r w:rsidRPr="00227BE0">
              <w:rPr>
                <w:sz w:val="20"/>
                <w:szCs w:val="20"/>
                <w:vertAlign w:val="subscript"/>
                <w:lang w:val="fr-FR"/>
              </w:rPr>
              <w:t>nom</w:t>
            </w:r>
          </w:p>
        </w:tc>
        <w:tc>
          <w:tcPr>
            <w:tcW w:w="1140" w:type="pct"/>
            <w:tcBorders>
              <w:top w:val="single" w:sz="6" w:space="0" w:color="auto"/>
              <w:left w:val="single" w:sz="6" w:space="0" w:color="auto"/>
              <w:bottom w:val="single" w:sz="6" w:space="0" w:color="auto"/>
              <w:right w:val="single" w:sz="4" w:space="0" w:color="auto"/>
            </w:tcBorders>
            <w:hideMark/>
          </w:tcPr>
          <w:p w14:paraId="7C868B1B"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 xml:space="preserve">2008/1022788 </w:t>
            </w:r>
            <w:r w:rsidRPr="00227BE0">
              <w:rPr>
                <w:sz w:val="20"/>
                <w:szCs w:val="20"/>
                <w:lang w:eastAsia="en-US"/>
              </w:rPr>
              <w:br/>
              <w:t>(+ Amendment: 2009/1015272, 2010/1016358)</w:t>
            </w:r>
          </w:p>
        </w:tc>
      </w:tr>
      <w:tr w:rsidR="00E51CDD" w:rsidRPr="00227BE0" w14:paraId="1D06C123"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461AF17E"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 xml:space="preserve">Anabaena flos-aquae </w:t>
            </w:r>
          </w:p>
        </w:tc>
        <w:tc>
          <w:tcPr>
            <w:tcW w:w="920" w:type="pct"/>
            <w:tcBorders>
              <w:top w:val="single" w:sz="6" w:space="0" w:color="auto"/>
              <w:left w:val="single" w:sz="6" w:space="0" w:color="auto"/>
              <w:bottom w:val="single" w:sz="6" w:space="0" w:color="auto"/>
              <w:right w:val="single" w:sz="6" w:space="0" w:color="auto"/>
            </w:tcBorders>
            <w:hideMark/>
          </w:tcPr>
          <w:p w14:paraId="12AF3A74"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67623926"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72 h, s</w:t>
            </w:r>
          </w:p>
        </w:tc>
        <w:tc>
          <w:tcPr>
            <w:tcW w:w="921" w:type="pct"/>
            <w:tcBorders>
              <w:top w:val="single" w:sz="6" w:space="0" w:color="auto"/>
              <w:left w:val="single" w:sz="6" w:space="0" w:color="auto"/>
              <w:bottom w:val="single" w:sz="6" w:space="0" w:color="auto"/>
              <w:right w:val="single" w:sz="6" w:space="0" w:color="auto"/>
            </w:tcBorders>
            <w:hideMark/>
          </w:tcPr>
          <w:p w14:paraId="3E374BCF" w14:textId="77777777" w:rsidR="00E51CDD" w:rsidRPr="00227BE0" w:rsidRDefault="00E51CDD" w:rsidP="009938D9">
            <w:pPr>
              <w:widowControl w:val="0"/>
              <w:suppressAutoHyphens/>
              <w:spacing w:line="254" w:lineRule="auto"/>
              <w:rPr>
                <w:sz w:val="20"/>
                <w:szCs w:val="20"/>
              </w:rPr>
            </w:pPr>
            <w:r w:rsidRPr="00227BE0">
              <w:rPr>
                <w:sz w:val="20"/>
                <w:szCs w:val="20"/>
              </w:rPr>
              <w:t>E</w:t>
            </w:r>
            <w:r w:rsidRPr="00227BE0">
              <w:rPr>
                <w:sz w:val="20"/>
                <w:szCs w:val="20"/>
                <w:vertAlign w:val="subscript"/>
              </w:rPr>
              <w:t>r</w:t>
            </w:r>
            <w:r w:rsidRPr="00227BE0">
              <w:rPr>
                <w:sz w:val="20"/>
                <w:szCs w:val="20"/>
              </w:rPr>
              <w:t>C</w:t>
            </w:r>
            <w:r w:rsidRPr="00227BE0">
              <w:rPr>
                <w:sz w:val="20"/>
                <w:szCs w:val="20"/>
                <w:vertAlign w:val="subscript"/>
              </w:rPr>
              <w:t>50</w:t>
            </w:r>
            <w:r w:rsidRPr="00227BE0">
              <w:rPr>
                <w:sz w:val="20"/>
                <w:szCs w:val="20"/>
              </w:rPr>
              <w:t xml:space="preserve"> = </w:t>
            </w:r>
            <w:r w:rsidRPr="00227BE0">
              <w:rPr>
                <w:sz w:val="20"/>
                <w:szCs w:val="20"/>
                <w:lang w:eastAsia="en-US"/>
              </w:rPr>
              <w:t xml:space="preserve">2.61 </w:t>
            </w:r>
            <w:r w:rsidRPr="00227BE0">
              <w:rPr>
                <w:sz w:val="20"/>
                <w:szCs w:val="20"/>
              </w:rPr>
              <w:t>mg a.s./L </w:t>
            </w:r>
            <w:r w:rsidRPr="00227BE0">
              <w:rPr>
                <w:sz w:val="20"/>
                <w:szCs w:val="20"/>
                <w:vertAlign w:val="subscript"/>
              </w:rPr>
              <w:t>mm</w:t>
            </w:r>
            <w:r w:rsidRPr="00227BE0">
              <w:rPr>
                <w:bCs/>
                <w:sz w:val="20"/>
                <w:szCs w:val="20"/>
                <w:vertAlign w:val="superscript"/>
                <w:lang w:eastAsia="en-US"/>
              </w:rPr>
              <w:t xml:space="preserve"> 3)</w:t>
            </w:r>
            <w:r w:rsidRPr="00227BE0">
              <w:rPr>
                <w:sz w:val="20"/>
                <w:szCs w:val="20"/>
                <w:lang w:eastAsia="en-US"/>
              </w:rPr>
              <w:br/>
            </w:r>
            <w:r w:rsidRPr="00227BE0">
              <w:rPr>
                <w:sz w:val="20"/>
                <w:szCs w:val="20"/>
              </w:rPr>
              <w:t>E</w:t>
            </w:r>
            <w:r w:rsidRPr="00227BE0">
              <w:rPr>
                <w:sz w:val="20"/>
                <w:szCs w:val="20"/>
                <w:vertAlign w:val="subscript"/>
              </w:rPr>
              <w:t>y</w:t>
            </w:r>
            <w:r w:rsidRPr="00227BE0">
              <w:rPr>
                <w:sz w:val="20"/>
                <w:szCs w:val="20"/>
              </w:rPr>
              <w:t>C</w:t>
            </w:r>
            <w:r w:rsidRPr="00227BE0">
              <w:rPr>
                <w:sz w:val="20"/>
                <w:szCs w:val="20"/>
                <w:vertAlign w:val="subscript"/>
              </w:rPr>
              <w:t>50</w:t>
            </w:r>
            <w:r w:rsidRPr="00227BE0">
              <w:rPr>
                <w:sz w:val="20"/>
                <w:szCs w:val="20"/>
              </w:rPr>
              <w:t xml:space="preserve"> =</w:t>
            </w:r>
            <w:r w:rsidRPr="00227BE0">
              <w:rPr>
                <w:sz w:val="20"/>
                <w:szCs w:val="20"/>
                <w:lang w:eastAsia="en-US"/>
              </w:rPr>
              <w:t>1.38</w:t>
            </w:r>
            <w:r w:rsidRPr="00227BE0">
              <w:rPr>
                <w:sz w:val="20"/>
                <w:szCs w:val="20"/>
              </w:rPr>
              <w:t xml:space="preserve"> mg a.s./L </w:t>
            </w:r>
            <w:r w:rsidRPr="00227BE0">
              <w:rPr>
                <w:sz w:val="20"/>
                <w:szCs w:val="20"/>
                <w:vertAlign w:val="subscript"/>
              </w:rPr>
              <w:t>mm</w:t>
            </w:r>
          </w:p>
        </w:tc>
        <w:tc>
          <w:tcPr>
            <w:tcW w:w="1140" w:type="pct"/>
            <w:tcBorders>
              <w:top w:val="single" w:sz="6" w:space="0" w:color="auto"/>
              <w:left w:val="single" w:sz="6" w:space="0" w:color="auto"/>
              <w:bottom w:val="single" w:sz="6" w:space="0" w:color="auto"/>
              <w:right w:val="single" w:sz="4" w:space="0" w:color="auto"/>
            </w:tcBorders>
            <w:hideMark/>
          </w:tcPr>
          <w:p w14:paraId="6A641857"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2009/1079883</w:t>
            </w:r>
          </w:p>
        </w:tc>
      </w:tr>
      <w:tr w:rsidR="00E51CDD" w:rsidRPr="00227BE0" w14:paraId="4FC47B13"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272C1509"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 xml:space="preserve">Navicula pelliculosa </w:t>
            </w:r>
          </w:p>
        </w:tc>
        <w:tc>
          <w:tcPr>
            <w:tcW w:w="920" w:type="pct"/>
            <w:tcBorders>
              <w:top w:val="single" w:sz="6" w:space="0" w:color="auto"/>
              <w:left w:val="single" w:sz="6" w:space="0" w:color="auto"/>
              <w:bottom w:val="single" w:sz="6" w:space="0" w:color="auto"/>
              <w:right w:val="single" w:sz="6" w:space="0" w:color="auto"/>
            </w:tcBorders>
            <w:hideMark/>
          </w:tcPr>
          <w:p w14:paraId="612FD262" w14:textId="77777777" w:rsidR="00E51CDD" w:rsidRPr="00227BE0" w:rsidRDefault="00E51CDD" w:rsidP="009938D9">
            <w:pPr>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02A6EAD3"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72 h, s</w:t>
            </w:r>
          </w:p>
        </w:tc>
        <w:tc>
          <w:tcPr>
            <w:tcW w:w="921" w:type="pct"/>
            <w:tcBorders>
              <w:top w:val="single" w:sz="6" w:space="0" w:color="auto"/>
              <w:left w:val="single" w:sz="6" w:space="0" w:color="auto"/>
              <w:bottom w:val="single" w:sz="6" w:space="0" w:color="auto"/>
              <w:right w:val="single" w:sz="6" w:space="0" w:color="auto"/>
            </w:tcBorders>
            <w:hideMark/>
          </w:tcPr>
          <w:p w14:paraId="588B3F5F" w14:textId="77777777" w:rsidR="00E51CDD" w:rsidRPr="00227BE0" w:rsidRDefault="00E51CDD" w:rsidP="009938D9">
            <w:pPr>
              <w:widowControl w:val="0"/>
              <w:suppressAutoHyphens/>
              <w:spacing w:line="254" w:lineRule="auto"/>
              <w:rPr>
                <w:noProof/>
                <w:sz w:val="20"/>
                <w:szCs w:val="20"/>
              </w:rPr>
            </w:pPr>
            <w:r w:rsidRPr="00227BE0">
              <w:rPr>
                <w:noProof/>
                <w:sz w:val="20"/>
                <w:szCs w:val="20"/>
              </w:rPr>
              <w:t>E</w:t>
            </w:r>
            <w:r w:rsidRPr="00227BE0">
              <w:rPr>
                <w:noProof/>
                <w:sz w:val="20"/>
                <w:szCs w:val="20"/>
                <w:vertAlign w:val="subscript"/>
              </w:rPr>
              <w:t>r</w:t>
            </w:r>
            <w:r w:rsidRPr="00227BE0">
              <w:rPr>
                <w:noProof/>
                <w:sz w:val="20"/>
                <w:szCs w:val="20"/>
              </w:rPr>
              <w:t>C</w:t>
            </w:r>
            <w:r w:rsidRPr="00227BE0">
              <w:rPr>
                <w:noProof/>
                <w:sz w:val="20"/>
                <w:szCs w:val="20"/>
                <w:vertAlign w:val="subscript"/>
              </w:rPr>
              <w:t>50</w:t>
            </w:r>
            <w:r w:rsidRPr="00227BE0">
              <w:rPr>
                <w:noProof/>
                <w:sz w:val="20"/>
                <w:szCs w:val="20"/>
              </w:rPr>
              <w:t xml:space="preserve"> &gt; 3.42 mg a.s./L </w:t>
            </w:r>
            <w:r w:rsidRPr="00227BE0">
              <w:rPr>
                <w:noProof/>
                <w:sz w:val="20"/>
                <w:szCs w:val="20"/>
                <w:vertAlign w:val="subscript"/>
              </w:rPr>
              <w:t>mm</w:t>
            </w:r>
            <w:r w:rsidRPr="00227BE0">
              <w:rPr>
                <w:bCs/>
                <w:noProof/>
                <w:sz w:val="20"/>
                <w:szCs w:val="20"/>
                <w:vertAlign w:val="superscript"/>
              </w:rPr>
              <w:t xml:space="preserve"> 3)</w:t>
            </w:r>
            <w:r w:rsidRPr="00227BE0">
              <w:rPr>
                <w:noProof/>
                <w:sz w:val="20"/>
                <w:szCs w:val="20"/>
                <w:vertAlign w:val="superscript"/>
              </w:rPr>
              <w:br/>
            </w:r>
            <w:r w:rsidRPr="00227BE0">
              <w:rPr>
                <w:noProof/>
                <w:sz w:val="20"/>
                <w:szCs w:val="20"/>
              </w:rPr>
              <w:t>E</w:t>
            </w:r>
            <w:r w:rsidRPr="00227BE0">
              <w:rPr>
                <w:noProof/>
                <w:sz w:val="20"/>
                <w:szCs w:val="20"/>
                <w:vertAlign w:val="subscript"/>
              </w:rPr>
              <w:t>y</w:t>
            </w:r>
            <w:r w:rsidRPr="00227BE0">
              <w:rPr>
                <w:noProof/>
                <w:sz w:val="20"/>
                <w:szCs w:val="20"/>
              </w:rPr>
              <w:t>C</w:t>
            </w:r>
            <w:r w:rsidRPr="00227BE0">
              <w:rPr>
                <w:noProof/>
                <w:sz w:val="20"/>
                <w:szCs w:val="20"/>
                <w:vertAlign w:val="subscript"/>
              </w:rPr>
              <w:t>50</w:t>
            </w:r>
            <w:r w:rsidRPr="00227BE0">
              <w:rPr>
                <w:noProof/>
                <w:sz w:val="20"/>
                <w:szCs w:val="20"/>
              </w:rPr>
              <w:t xml:space="preserve"> = 2.31 mg a.s./L </w:t>
            </w:r>
            <w:r w:rsidRPr="00227BE0">
              <w:rPr>
                <w:noProof/>
                <w:sz w:val="20"/>
                <w:szCs w:val="20"/>
                <w:vertAlign w:val="subscript"/>
              </w:rPr>
              <w:t>mm</w:t>
            </w:r>
          </w:p>
        </w:tc>
        <w:tc>
          <w:tcPr>
            <w:tcW w:w="1140" w:type="pct"/>
            <w:tcBorders>
              <w:top w:val="single" w:sz="6" w:space="0" w:color="auto"/>
              <w:left w:val="single" w:sz="6" w:space="0" w:color="auto"/>
              <w:bottom w:val="single" w:sz="6" w:space="0" w:color="auto"/>
              <w:right w:val="single" w:sz="4" w:space="0" w:color="auto"/>
            </w:tcBorders>
            <w:hideMark/>
          </w:tcPr>
          <w:p w14:paraId="710B0B7C" w14:textId="77777777" w:rsidR="00E51CDD" w:rsidRPr="00227BE0" w:rsidRDefault="00E51CDD" w:rsidP="009938D9">
            <w:pPr>
              <w:widowControl w:val="0"/>
              <w:suppressAutoHyphens/>
              <w:spacing w:line="254" w:lineRule="auto"/>
              <w:rPr>
                <w:noProof/>
                <w:sz w:val="20"/>
                <w:szCs w:val="20"/>
              </w:rPr>
            </w:pPr>
            <w:r w:rsidRPr="00227BE0">
              <w:rPr>
                <w:bCs/>
                <w:iCs/>
                <w:noProof/>
                <w:sz w:val="20"/>
                <w:szCs w:val="20"/>
              </w:rPr>
              <w:t>EFSA Journal 2012; 10(1):2522</w:t>
            </w:r>
            <w:r w:rsidRPr="00227BE0">
              <w:rPr>
                <w:bCs/>
                <w:iCs/>
                <w:noProof/>
                <w:sz w:val="20"/>
                <w:szCs w:val="20"/>
              </w:rPr>
              <w:br/>
            </w:r>
            <w:r w:rsidRPr="00227BE0">
              <w:rPr>
                <w:noProof/>
                <w:sz w:val="20"/>
                <w:szCs w:val="20"/>
              </w:rPr>
              <w:t>2009/1079885</w:t>
            </w:r>
          </w:p>
        </w:tc>
      </w:tr>
      <w:tr w:rsidR="00E51CDD" w:rsidRPr="00227BE0" w14:paraId="70E39180"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3FB25873" w14:textId="77777777" w:rsidR="00E51CDD" w:rsidRPr="00227BE0" w:rsidRDefault="00E51CDD" w:rsidP="009938D9">
            <w:pPr>
              <w:keepNext/>
              <w:widowControl w:val="0"/>
              <w:suppressAutoHyphens/>
              <w:spacing w:line="254" w:lineRule="auto"/>
              <w:rPr>
                <w:i/>
                <w:iCs/>
                <w:sz w:val="20"/>
                <w:szCs w:val="20"/>
                <w:lang w:eastAsia="en-US"/>
              </w:rPr>
            </w:pPr>
            <w:r w:rsidRPr="00227BE0">
              <w:rPr>
                <w:i/>
                <w:iCs/>
                <w:sz w:val="20"/>
                <w:szCs w:val="20"/>
                <w:lang w:eastAsia="en-US"/>
              </w:rPr>
              <w:lastRenderedPageBreak/>
              <w:t>Lemna gibba</w:t>
            </w:r>
          </w:p>
        </w:tc>
        <w:tc>
          <w:tcPr>
            <w:tcW w:w="920" w:type="pct"/>
            <w:tcBorders>
              <w:top w:val="single" w:sz="6" w:space="0" w:color="auto"/>
              <w:left w:val="single" w:sz="6" w:space="0" w:color="auto"/>
              <w:bottom w:val="single" w:sz="6" w:space="0" w:color="auto"/>
              <w:right w:val="single" w:sz="6" w:space="0" w:color="auto"/>
            </w:tcBorders>
            <w:hideMark/>
          </w:tcPr>
          <w:p w14:paraId="37F817BC" w14:textId="77777777" w:rsidR="00E51CDD" w:rsidRPr="00227BE0" w:rsidRDefault="00E51CDD" w:rsidP="009938D9">
            <w:pPr>
              <w:keepNext/>
              <w:widowControl w:val="0"/>
              <w:suppressAutoHyphens/>
              <w:spacing w:line="254" w:lineRule="auto"/>
              <w:rPr>
                <w:sz w:val="20"/>
                <w:szCs w:val="20"/>
              </w:rPr>
            </w:pPr>
            <w:r w:rsidRPr="00227BE0">
              <w:rPr>
                <w:sz w:val="20"/>
                <w:szCs w:val="20"/>
              </w:rPr>
              <w:t>fluxapyroxad</w:t>
            </w:r>
          </w:p>
        </w:tc>
        <w:tc>
          <w:tcPr>
            <w:tcW w:w="919" w:type="pct"/>
            <w:tcBorders>
              <w:top w:val="single" w:sz="6" w:space="0" w:color="auto"/>
              <w:left w:val="single" w:sz="6" w:space="0" w:color="auto"/>
              <w:bottom w:val="single" w:sz="6" w:space="0" w:color="auto"/>
              <w:right w:val="single" w:sz="6" w:space="0" w:color="auto"/>
            </w:tcBorders>
            <w:hideMark/>
          </w:tcPr>
          <w:p w14:paraId="43B3469D" w14:textId="77777777" w:rsidR="00E51CDD" w:rsidRPr="00227BE0" w:rsidRDefault="00E51CDD" w:rsidP="009938D9">
            <w:pPr>
              <w:keepNext/>
              <w:widowControl w:val="0"/>
              <w:suppressAutoHyphens/>
              <w:spacing w:line="254" w:lineRule="auto"/>
              <w:rPr>
                <w:sz w:val="20"/>
                <w:szCs w:val="20"/>
                <w:lang w:eastAsia="en-US"/>
              </w:rPr>
            </w:pPr>
            <w:r w:rsidRPr="00227BE0">
              <w:rPr>
                <w:sz w:val="20"/>
                <w:szCs w:val="20"/>
                <w:lang w:eastAsia="en-US"/>
              </w:rPr>
              <w:t>7 d, s</w:t>
            </w:r>
          </w:p>
        </w:tc>
        <w:tc>
          <w:tcPr>
            <w:tcW w:w="921" w:type="pct"/>
            <w:tcBorders>
              <w:top w:val="single" w:sz="6" w:space="0" w:color="auto"/>
              <w:left w:val="single" w:sz="6" w:space="0" w:color="auto"/>
              <w:bottom w:val="single" w:sz="6" w:space="0" w:color="auto"/>
              <w:right w:val="single" w:sz="6" w:space="0" w:color="auto"/>
            </w:tcBorders>
            <w:hideMark/>
          </w:tcPr>
          <w:p w14:paraId="4FA8BB2B" w14:textId="77777777" w:rsidR="00E51CDD" w:rsidRPr="00227BE0" w:rsidRDefault="00E51CDD" w:rsidP="009938D9">
            <w:pPr>
              <w:keepNext/>
              <w:widowControl w:val="0"/>
              <w:suppressAutoHyphens/>
              <w:spacing w:line="254" w:lineRule="auto"/>
              <w:rPr>
                <w:noProof/>
                <w:sz w:val="20"/>
                <w:szCs w:val="20"/>
                <w:lang w:eastAsia="en-US"/>
              </w:rPr>
            </w:pPr>
            <w:r w:rsidRPr="00227BE0">
              <w:rPr>
                <w:b/>
                <w:noProof/>
                <w:sz w:val="20"/>
                <w:szCs w:val="20"/>
              </w:rPr>
              <w:t>E</w:t>
            </w:r>
            <w:r w:rsidRPr="00227BE0">
              <w:rPr>
                <w:b/>
                <w:noProof/>
                <w:sz w:val="20"/>
                <w:szCs w:val="20"/>
                <w:vertAlign w:val="subscript"/>
              </w:rPr>
              <w:t>r</w:t>
            </w:r>
            <w:r w:rsidRPr="00227BE0">
              <w:rPr>
                <w:b/>
                <w:noProof/>
                <w:sz w:val="20"/>
                <w:szCs w:val="20"/>
              </w:rPr>
              <w:t>C</w:t>
            </w:r>
            <w:r w:rsidRPr="00227BE0">
              <w:rPr>
                <w:b/>
                <w:noProof/>
                <w:sz w:val="20"/>
                <w:szCs w:val="20"/>
                <w:vertAlign w:val="subscript"/>
              </w:rPr>
              <w:t>50</w:t>
            </w:r>
            <w:r w:rsidRPr="00227BE0">
              <w:rPr>
                <w:b/>
                <w:noProof/>
                <w:sz w:val="20"/>
                <w:szCs w:val="20"/>
              </w:rPr>
              <w:t xml:space="preserve"> &gt; 3.43 mg a.s./L </w:t>
            </w:r>
            <w:r w:rsidRPr="00227BE0">
              <w:rPr>
                <w:b/>
                <w:noProof/>
                <w:sz w:val="20"/>
                <w:szCs w:val="20"/>
                <w:vertAlign w:val="subscript"/>
              </w:rPr>
              <w:t>mm</w:t>
            </w:r>
            <w:r w:rsidRPr="00227BE0">
              <w:rPr>
                <w:b/>
                <w:bCs/>
                <w:noProof/>
                <w:sz w:val="20"/>
                <w:szCs w:val="20"/>
                <w:vertAlign w:val="superscript"/>
              </w:rPr>
              <w:t xml:space="preserve"> 3)</w:t>
            </w:r>
            <w:r w:rsidRPr="00227BE0">
              <w:rPr>
                <w:noProof/>
                <w:sz w:val="20"/>
                <w:szCs w:val="20"/>
                <w:vertAlign w:val="superscript"/>
              </w:rPr>
              <w:br/>
            </w:r>
            <w:r w:rsidRPr="00227BE0">
              <w:rPr>
                <w:noProof/>
                <w:sz w:val="20"/>
                <w:szCs w:val="20"/>
              </w:rPr>
              <w:t>E</w:t>
            </w:r>
            <w:r w:rsidRPr="00227BE0">
              <w:rPr>
                <w:noProof/>
                <w:sz w:val="20"/>
                <w:szCs w:val="20"/>
                <w:vertAlign w:val="subscript"/>
              </w:rPr>
              <w:t>y</w:t>
            </w:r>
            <w:r w:rsidRPr="00227BE0">
              <w:rPr>
                <w:noProof/>
                <w:sz w:val="20"/>
                <w:szCs w:val="20"/>
              </w:rPr>
              <w:t>C</w:t>
            </w:r>
            <w:r w:rsidRPr="00227BE0">
              <w:rPr>
                <w:noProof/>
                <w:sz w:val="20"/>
                <w:szCs w:val="20"/>
                <w:vertAlign w:val="subscript"/>
              </w:rPr>
              <w:t>50</w:t>
            </w:r>
            <w:r w:rsidRPr="00227BE0">
              <w:rPr>
                <w:noProof/>
                <w:sz w:val="20"/>
                <w:szCs w:val="20"/>
              </w:rPr>
              <w:t xml:space="preserve"> = 2.19 mg a.s./L </w:t>
            </w:r>
            <w:r w:rsidRPr="00227BE0">
              <w:rPr>
                <w:noProof/>
                <w:sz w:val="20"/>
                <w:szCs w:val="20"/>
                <w:vertAlign w:val="subscript"/>
              </w:rPr>
              <w:t>mm</w:t>
            </w:r>
          </w:p>
        </w:tc>
        <w:tc>
          <w:tcPr>
            <w:tcW w:w="1140" w:type="pct"/>
            <w:tcBorders>
              <w:top w:val="single" w:sz="6" w:space="0" w:color="auto"/>
              <w:left w:val="single" w:sz="6" w:space="0" w:color="auto"/>
              <w:bottom w:val="single" w:sz="6" w:space="0" w:color="auto"/>
              <w:right w:val="single" w:sz="4" w:space="0" w:color="auto"/>
            </w:tcBorders>
            <w:hideMark/>
          </w:tcPr>
          <w:p w14:paraId="17213B10" w14:textId="77777777" w:rsidR="00E51CDD" w:rsidRPr="00227BE0" w:rsidRDefault="00E51CDD" w:rsidP="009938D9">
            <w:pPr>
              <w:keepNext/>
              <w:widowControl w:val="0"/>
              <w:suppressAutoHyphens/>
              <w:spacing w:line="254" w:lineRule="auto"/>
              <w:rPr>
                <w:bCs/>
                <w:iCs/>
                <w:noProof/>
                <w:sz w:val="20"/>
                <w:szCs w:val="20"/>
              </w:rPr>
            </w:pPr>
            <w:r w:rsidRPr="00227BE0">
              <w:rPr>
                <w:bCs/>
                <w:iCs/>
                <w:noProof/>
                <w:sz w:val="20"/>
                <w:szCs w:val="20"/>
              </w:rPr>
              <w:t>EFSA Journal 2012; 10(1):2522</w:t>
            </w:r>
            <w:r w:rsidRPr="00227BE0">
              <w:rPr>
                <w:noProof/>
                <w:sz w:val="20"/>
                <w:szCs w:val="20"/>
              </w:rPr>
              <w:br/>
              <w:t>2009/1086122</w:t>
            </w:r>
          </w:p>
        </w:tc>
      </w:tr>
      <w:tr w:rsidR="00E51CDD" w:rsidRPr="00227BE0" w14:paraId="00D2A1D8"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6551E0A5"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Oncorhynchus mykiss</w:t>
            </w:r>
          </w:p>
        </w:tc>
        <w:tc>
          <w:tcPr>
            <w:tcW w:w="920" w:type="pct"/>
            <w:tcBorders>
              <w:top w:val="single" w:sz="6" w:space="0" w:color="auto"/>
              <w:left w:val="single" w:sz="6" w:space="0" w:color="auto"/>
              <w:bottom w:val="single" w:sz="6" w:space="0" w:color="auto"/>
              <w:right w:val="single" w:sz="6" w:space="0" w:color="auto"/>
            </w:tcBorders>
            <w:hideMark/>
          </w:tcPr>
          <w:p w14:paraId="1124119B" w14:textId="77777777" w:rsidR="00E51CDD" w:rsidRPr="00227BE0" w:rsidRDefault="00E51CDD" w:rsidP="009938D9">
            <w:pPr>
              <w:widowControl w:val="0"/>
              <w:suppressAutoHyphens/>
              <w:spacing w:line="254" w:lineRule="auto"/>
              <w:rPr>
                <w:sz w:val="20"/>
                <w:szCs w:val="20"/>
              </w:rPr>
            </w:pPr>
            <w:r w:rsidRPr="00227BE0">
              <w:rPr>
                <w:bCs/>
                <w:sz w:val="20"/>
                <w:szCs w:val="20"/>
                <w:lang w:eastAsia="en-US"/>
              </w:rPr>
              <w:t>M700F001</w:t>
            </w:r>
          </w:p>
        </w:tc>
        <w:tc>
          <w:tcPr>
            <w:tcW w:w="919" w:type="pct"/>
            <w:tcBorders>
              <w:top w:val="single" w:sz="6" w:space="0" w:color="auto"/>
              <w:left w:val="single" w:sz="6" w:space="0" w:color="auto"/>
              <w:bottom w:val="single" w:sz="6" w:space="0" w:color="auto"/>
              <w:right w:val="single" w:sz="6" w:space="0" w:color="auto"/>
            </w:tcBorders>
            <w:hideMark/>
          </w:tcPr>
          <w:p w14:paraId="2FC41DDC"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96 h, s</w:t>
            </w:r>
          </w:p>
        </w:tc>
        <w:tc>
          <w:tcPr>
            <w:tcW w:w="921" w:type="pct"/>
            <w:tcBorders>
              <w:top w:val="single" w:sz="6" w:space="0" w:color="auto"/>
              <w:left w:val="single" w:sz="6" w:space="0" w:color="auto"/>
              <w:bottom w:val="single" w:sz="6" w:space="0" w:color="auto"/>
              <w:right w:val="single" w:sz="6" w:space="0" w:color="auto"/>
            </w:tcBorders>
            <w:hideMark/>
          </w:tcPr>
          <w:p w14:paraId="11BA3D64"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LC</w:t>
            </w:r>
            <w:r w:rsidRPr="00227BE0">
              <w:rPr>
                <w:sz w:val="20"/>
                <w:szCs w:val="20"/>
                <w:vertAlign w:val="subscript"/>
                <w:lang w:eastAsia="en-US"/>
              </w:rPr>
              <w:t xml:space="preserve">50 </w:t>
            </w:r>
            <w:r w:rsidRPr="00227BE0">
              <w:rPr>
                <w:sz w:val="20"/>
                <w:szCs w:val="20"/>
                <w:lang w:eastAsia="en-US"/>
              </w:rPr>
              <w:t>&gt; 100 mg/L </w:t>
            </w:r>
            <w:r w:rsidRPr="00227BE0">
              <w:rPr>
                <w:sz w:val="20"/>
                <w:szCs w:val="20"/>
                <w:vertAlign w:val="subscript"/>
                <w:lang w:eastAsia="en-US"/>
              </w:rPr>
              <w:t>nom</w:t>
            </w:r>
          </w:p>
        </w:tc>
        <w:tc>
          <w:tcPr>
            <w:tcW w:w="1140" w:type="pct"/>
            <w:tcBorders>
              <w:top w:val="single" w:sz="6" w:space="0" w:color="auto"/>
              <w:left w:val="single" w:sz="6" w:space="0" w:color="auto"/>
              <w:bottom w:val="single" w:sz="6" w:space="0" w:color="auto"/>
              <w:right w:val="single" w:sz="4" w:space="0" w:color="auto"/>
            </w:tcBorders>
            <w:hideMark/>
          </w:tcPr>
          <w:p w14:paraId="30D1EF35"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2009/1021591</w:t>
            </w:r>
          </w:p>
        </w:tc>
      </w:tr>
      <w:tr w:rsidR="00E51CDD" w:rsidRPr="00227BE0" w14:paraId="1EC5AC41"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2B9789ED" w14:textId="77777777" w:rsidR="00E51CDD" w:rsidRPr="00227BE0" w:rsidRDefault="00E51CDD" w:rsidP="009938D9">
            <w:pPr>
              <w:widowControl w:val="0"/>
              <w:suppressAutoHyphens/>
              <w:spacing w:line="256" w:lineRule="auto"/>
              <w:rPr>
                <w:i/>
                <w:sz w:val="20"/>
                <w:szCs w:val="20"/>
              </w:rPr>
            </w:pPr>
            <w:r w:rsidRPr="00227BE0">
              <w:rPr>
                <w:i/>
                <w:iCs/>
                <w:sz w:val="20"/>
                <w:szCs w:val="20"/>
                <w:lang w:eastAsia="en-US"/>
              </w:rPr>
              <w:t>Oncorhynchus mykiss</w:t>
            </w:r>
          </w:p>
        </w:tc>
        <w:tc>
          <w:tcPr>
            <w:tcW w:w="920" w:type="pct"/>
            <w:tcBorders>
              <w:top w:val="single" w:sz="6" w:space="0" w:color="auto"/>
              <w:left w:val="single" w:sz="6" w:space="0" w:color="auto"/>
              <w:bottom w:val="single" w:sz="6" w:space="0" w:color="auto"/>
              <w:right w:val="single" w:sz="6" w:space="0" w:color="auto"/>
            </w:tcBorders>
            <w:hideMark/>
          </w:tcPr>
          <w:p w14:paraId="6F931440" w14:textId="77777777" w:rsidR="00E51CDD" w:rsidRPr="00227BE0" w:rsidRDefault="00E51CDD" w:rsidP="009938D9">
            <w:pPr>
              <w:widowControl w:val="0"/>
              <w:suppressAutoHyphens/>
              <w:spacing w:line="256" w:lineRule="auto"/>
              <w:rPr>
                <w:sz w:val="20"/>
                <w:szCs w:val="20"/>
              </w:rPr>
            </w:pPr>
            <w:r w:rsidRPr="00227BE0">
              <w:rPr>
                <w:bCs/>
                <w:sz w:val="20"/>
                <w:szCs w:val="20"/>
                <w:lang w:eastAsia="en-US"/>
              </w:rPr>
              <w:t>M700F002</w:t>
            </w:r>
          </w:p>
        </w:tc>
        <w:tc>
          <w:tcPr>
            <w:tcW w:w="919" w:type="pct"/>
            <w:tcBorders>
              <w:top w:val="single" w:sz="6" w:space="0" w:color="auto"/>
              <w:left w:val="single" w:sz="6" w:space="0" w:color="auto"/>
              <w:bottom w:val="single" w:sz="6" w:space="0" w:color="auto"/>
              <w:right w:val="single" w:sz="6" w:space="0" w:color="auto"/>
            </w:tcBorders>
            <w:hideMark/>
          </w:tcPr>
          <w:p w14:paraId="787CC7B5" w14:textId="77777777" w:rsidR="00E51CDD" w:rsidRPr="00227BE0" w:rsidRDefault="00E51CDD" w:rsidP="009938D9">
            <w:pPr>
              <w:widowControl w:val="0"/>
              <w:suppressAutoHyphens/>
              <w:spacing w:line="256" w:lineRule="auto"/>
              <w:rPr>
                <w:sz w:val="20"/>
                <w:szCs w:val="20"/>
              </w:rPr>
            </w:pPr>
            <w:r w:rsidRPr="00227BE0">
              <w:rPr>
                <w:sz w:val="20"/>
                <w:szCs w:val="20"/>
                <w:lang w:eastAsia="en-US"/>
              </w:rPr>
              <w:t>96 h, s</w:t>
            </w:r>
          </w:p>
        </w:tc>
        <w:tc>
          <w:tcPr>
            <w:tcW w:w="921" w:type="pct"/>
            <w:tcBorders>
              <w:top w:val="single" w:sz="6" w:space="0" w:color="auto"/>
              <w:left w:val="single" w:sz="6" w:space="0" w:color="auto"/>
              <w:bottom w:val="single" w:sz="6" w:space="0" w:color="auto"/>
              <w:right w:val="single" w:sz="6" w:space="0" w:color="auto"/>
            </w:tcBorders>
            <w:hideMark/>
          </w:tcPr>
          <w:p w14:paraId="660654ED" w14:textId="77777777" w:rsidR="00E51CDD" w:rsidRPr="00227BE0" w:rsidRDefault="00E51CDD" w:rsidP="009938D9">
            <w:pPr>
              <w:widowControl w:val="0"/>
              <w:suppressAutoHyphens/>
              <w:spacing w:line="256" w:lineRule="auto"/>
              <w:rPr>
                <w:sz w:val="20"/>
                <w:szCs w:val="20"/>
              </w:rPr>
            </w:pPr>
            <w:r w:rsidRPr="00227BE0">
              <w:rPr>
                <w:sz w:val="20"/>
                <w:szCs w:val="20"/>
                <w:lang w:eastAsia="en-US"/>
              </w:rPr>
              <w:t>LC</w:t>
            </w:r>
            <w:r w:rsidRPr="00227BE0">
              <w:rPr>
                <w:sz w:val="20"/>
                <w:szCs w:val="20"/>
                <w:vertAlign w:val="subscript"/>
                <w:lang w:eastAsia="en-US"/>
              </w:rPr>
              <w:t xml:space="preserve">50 </w:t>
            </w:r>
            <w:r w:rsidRPr="00227BE0">
              <w:rPr>
                <w:sz w:val="20"/>
                <w:szCs w:val="20"/>
                <w:lang w:eastAsia="en-US"/>
              </w:rPr>
              <w:t>&gt; 100 mg/L </w:t>
            </w:r>
            <w:r w:rsidRPr="00227BE0">
              <w:rPr>
                <w:sz w:val="20"/>
                <w:szCs w:val="20"/>
                <w:vertAlign w:val="subscript"/>
                <w:lang w:eastAsia="en-US"/>
              </w:rPr>
              <w:t>nom</w:t>
            </w:r>
          </w:p>
        </w:tc>
        <w:tc>
          <w:tcPr>
            <w:tcW w:w="1140" w:type="pct"/>
            <w:tcBorders>
              <w:top w:val="single" w:sz="6" w:space="0" w:color="auto"/>
              <w:left w:val="single" w:sz="6" w:space="0" w:color="auto"/>
              <w:bottom w:val="single" w:sz="6" w:space="0" w:color="auto"/>
              <w:right w:val="single" w:sz="4" w:space="0" w:color="auto"/>
            </w:tcBorders>
            <w:hideMark/>
          </w:tcPr>
          <w:p w14:paraId="1BF4F0C6" w14:textId="77777777" w:rsidR="00E51CDD" w:rsidRPr="00227BE0" w:rsidRDefault="00E51CDD" w:rsidP="009938D9">
            <w:pPr>
              <w:widowControl w:val="0"/>
              <w:suppressAutoHyphens/>
              <w:spacing w:line="256" w:lineRule="auto"/>
              <w:rPr>
                <w:sz w:val="20"/>
                <w:szCs w:val="20"/>
              </w:rPr>
            </w:pPr>
            <w:r w:rsidRPr="00227BE0">
              <w:rPr>
                <w:bCs/>
                <w:iCs/>
                <w:sz w:val="20"/>
                <w:szCs w:val="20"/>
              </w:rPr>
              <w:t>EFSA Journal 2012; 10(1):2522</w:t>
            </w:r>
            <w:r w:rsidRPr="00227BE0">
              <w:rPr>
                <w:bCs/>
                <w:iCs/>
                <w:sz w:val="20"/>
                <w:szCs w:val="20"/>
              </w:rPr>
              <w:br w:type="page"/>
            </w:r>
            <w:r w:rsidRPr="00227BE0">
              <w:rPr>
                <w:sz w:val="20"/>
                <w:szCs w:val="20"/>
                <w:lang w:eastAsia="en-US"/>
              </w:rPr>
              <w:t>2009/1021595</w:t>
            </w:r>
          </w:p>
        </w:tc>
      </w:tr>
      <w:tr w:rsidR="00E51CDD" w:rsidRPr="00227BE0" w14:paraId="2CDF84DF"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206E08AA"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Oncorhynchus mykiss</w:t>
            </w:r>
          </w:p>
        </w:tc>
        <w:tc>
          <w:tcPr>
            <w:tcW w:w="920" w:type="pct"/>
            <w:tcBorders>
              <w:top w:val="single" w:sz="6" w:space="0" w:color="auto"/>
              <w:left w:val="single" w:sz="6" w:space="0" w:color="auto"/>
              <w:bottom w:val="single" w:sz="6" w:space="0" w:color="auto"/>
              <w:right w:val="single" w:sz="6" w:space="0" w:color="auto"/>
            </w:tcBorders>
            <w:hideMark/>
          </w:tcPr>
          <w:p w14:paraId="384F2D70" w14:textId="77777777" w:rsidR="00E51CDD" w:rsidRPr="00227BE0" w:rsidRDefault="00E51CDD" w:rsidP="009938D9">
            <w:pPr>
              <w:widowControl w:val="0"/>
              <w:suppressAutoHyphens/>
              <w:spacing w:line="254" w:lineRule="auto"/>
              <w:rPr>
                <w:sz w:val="20"/>
                <w:szCs w:val="20"/>
              </w:rPr>
            </w:pPr>
            <w:r w:rsidRPr="00227BE0">
              <w:rPr>
                <w:bCs/>
                <w:sz w:val="20"/>
                <w:szCs w:val="20"/>
                <w:lang w:eastAsia="en-US"/>
              </w:rPr>
              <w:t>M700F007</w:t>
            </w:r>
          </w:p>
        </w:tc>
        <w:tc>
          <w:tcPr>
            <w:tcW w:w="919" w:type="pct"/>
            <w:tcBorders>
              <w:top w:val="single" w:sz="6" w:space="0" w:color="auto"/>
              <w:left w:val="single" w:sz="6" w:space="0" w:color="auto"/>
              <w:bottom w:val="single" w:sz="6" w:space="0" w:color="auto"/>
              <w:right w:val="single" w:sz="6" w:space="0" w:color="auto"/>
            </w:tcBorders>
            <w:hideMark/>
          </w:tcPr>
          <w:p w14:paraId="508EE6B2"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96 h, s</w:t>
            </w:r>
          </w:p>
        </w:tc>
        <w:tc>
          <w:tcPr>
            <w:tcW w:w="921" w:type="pct"/>
            <w:tcBorders>
              <w:top w:val="single" w:sz="6" w:space="0" w:color="auto"/>
              <w:left w:val="single" w:sz="6" w:space="0" w:color="auto"/>
              <w:bottom w:val="single" w:sz="6" w:space="0" w:color="auto"/>
              <w:right w:val="single" w:sz="6" w:space="0" w:color="auto"/>
            </w:tcBorders>
            <w:hideMark/>
          </w:tcPr>
          <w:p w14:paraId="15351FAC"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LC</w:t>
            </w:r>
            <w:r w:rsidRPr="00227BE0">
              <w:rPr>
                <w:sz w:val="20"/>
                <w:szCs w:val="20"/>
                <w:vertAlign w:val="subscript"/>
                <w:lang w:eastAsia="en-US"/>
              </w:rPr>
              <w:t xml:space="preserve">50 </w:t>
            </w:r>
            <w:r w:rsidRPr="00227BE0">
              <w:rPr>
                <w:sz w:val="20"/>
                <w:szCs w:val="20"/>
                <w:lang w:eastAsia="en-US"/>
              </w:rPr>
              <w:t>&gt; 100 mg/L </w:t>
            </w:r>
            <w:r w:rsidRPr="00227BE0">
              <w:rPr>
                <w:sz w:val="20"/>
                <w:szCs w:val="20"/>
                <w:vertAlign w:val="subscript"/>
                <w:lang w:eastAsia="en-US"/>
              </w:rPr>
              <w:t>nom</w:t>
            </w:r>
          </w:p>
        </w:tc>
        <w:tc>
          <w:tcPr>
            <w:tcW w:w="1140" w:type="pct"/>
            <w:tcBorders>
              <w:top w:val="single" w:sz="6" w:space="0" w:color="auto"/>
              <w:left w:val="single" w:sz="6" w:space="0" w:color="auto"/>
              <w:bottom w:val="single" w:sz="6" w:space="0" w:color="auto"/>
              <w:right w:val="single" w:sz="4" w:space="0" w:color="auto"/>
            </w:tcBorders>
            <w:hideMark/>
          </w:tcPr>
          <w:p w14:paraId="320CB744"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2009/1026001</w:t>
            </w:r>
          </w:p>
        </w:tc>
      </w:tr>
      <w:tr w:rsidR="00E51CDD" w:rsidRPr="00227BE0" w14:paraId="7BA44180"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15F91856"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Daphnia magna</w:t>
            </w:r>
          </w:p>
        </w:tc>
        <w:tc>
          <w:tcPr>
            <w:tcW w:w="920" w:type="pct"/>
            <w:tcBorders>
              <w:top w:val="single" w:sz="6" w:space="0" w:color="auto"/>
              <w:left w:val="single" w:sz="6" w:space="0" w:color="auto"/>
              <w:bottom w:val="single" w:sz="6" w:space="0" w:color="auto"/>
              <w:right w:val="single" w:sz="6" w:space="0" w:color="auto"/>
            </w:tcBorders>
            <w:hideMark/>
          </w:tcPr>
          <w:p w14:paraId="10274CFF" w14:textId="77777777" w:rsidR="00E51CDD" w:rsidRPr="00227BE0" w:rsidRDefault="00E51CDD" w:rsidP="009938D9">
            <w:pPr>
              <w:widowControl w:val="0"/>
              <w:suppressAutoHyphens/>
              <w:spacing w:line="254" w:lineRule="auto"/>
              <w:rPr>
                <w:sz w:val="20"/>
                <w:szCs w:val="20"/>
              </w:rPr>
            </w:pPr>
            <w:r w:rsidRPr="00227BE0">
              <w:rPr>
                <w:bCs/>
                <w:sz w:val="20"/>
                <w:szCs w:val="20"/>
                <w:lang w:eastAsia="en-US"/>
              </w:rPr>
              <w:t>M700F001</w:t>
            </w:r>
          </w:p>
        </w:tc>
        <w:tc>
          <w:tcPr>
            <w:tcW w:w="919" w:type="pct"/>
            <w:tcBorders>
              <w:top w:val="single" w:sz="6" w:space="0" w:color="auto"/>
              <w:left w:val="single" w:sz="6" w:space="0" w:color="auto"/>
              <w:bottom w:val="single" w:sz="6" w:space="0" w:color="auto"/>
              <w:right w:val="single" w:sz="6" w:space="0" w:color="auto"/>
            </w:tcBorders>
            <w:hideMark/>
          </w:tcPr>
          <w:p w14:paraId="4EC19D7D"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48 h, s</w:t>
            </w:r>
          </w:p>
        </w:tc>
        <w:tc>
          <w:tcPr>
            <w:tcW w:w="921" w:type="pct"/>
            <w:tcBorders>
              <w:top w:val="single" w:sz="6" w:space="0" w:color="auto"/>
              <w:left w:val="single" w:sz="6" w:space="0" w:color="auto"/>
              <w:bottom w:val="single" w:sz="6" w:space="0" w:color="auto"/>
              <w:right w:val="single" w:sz="6" w:space="0" w:color="auto"/>
            </w:tcBorders>
            <w:hideMark/>
          </w:tcPr>
          <w:p w14:paraId="74C3AFDB"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EC</w:t>
            </w:r>
            <w:r w:rsidRPr="00227BE0">
              <w:rPr>
                <w:sz w:val="20"/>
                <w:szCs w:val="20"/>
                <w:vertAlign w:val="subscript"/>
                <w:lang w:eastAsia="en-US"/>
              </w:rPr>
              <w:t xml:space="preserve">50 </w:t>
            </w:r>
            <w:r w:rsidRPr="00227BE0">
              <w:rPr>
                <w:sz w:val="20"/>
                <w:szCs w:val="20"/>
                <w:lang w:eastAsia="en-US"/>
              </w:rPr>
              <w:t>&gt; 100 mg/L </w:t>
            </w:r>
            <w:r w:rsidRPr="00227BE0">
              <w:rPr>
                <w:sz w:val="20"/>
                <w:szCs w:val="20"/>
                <w:vertAlign w:val="subscript"/>
                <w:lang w:eastAsia="en-US"/>
              </w:rPr>
              <w:t>nom</w:t>
            </w:r>
          </w:p>
        </w:tc>
        <w:tc>
          <w:tcPr>
            <w:tcW w:w="1140" w:type="pct"/>
            <w:tcBorders>
              <w:top w:val="single" w:sz="6" w:space="0" w:color="auto"/>
              <w:left w:val="single" w:sz="6" w:space="0" w:color="auto"/>
              <w:bottom w:val="single" w:sz="6" w:space="0" w:color="auto"/>
              <w:right w:val="single" w:sz="4" w:space="0" w:color="auto"/>
            </w:tcBorders>
            <w:hideMark/>
          </w:tcPr>
          <w:p w14:paraId="123E5089"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2009/1021592</w:t>
            </w:r>
          </w:p>
        </w:tc>
      </w:tr>
      <w:tr w:rsidR="00E51CDD" w:rsidRPr="00227BE0" w14:paraId="0732FD53"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6771D25E" w14:textId="77777777" w:rsidR="00E51CDD" w:rsidRPr="00227BE0" w:rsidRDefault="00E51CDD" w:rsidP="009938D9">
            <w:pPr>
              <w:widowControl w:val="0"/>
              <w:suppressAutoHyphens/>
              <w:spacing w:line="254" w:lineRule="auto"/>
              <w:rPr>
                <w:i/>
                <w:noProof/>
                <w:sz w:val="20"/>
                <w:szCs w:val="20"/>
              </w:rPr>
            </w:pPr>
            <w:r w:rsidRPr="00227BE0">
              <w:rPr>
                <w:i/>
                <w:iCs/>
                <w:noProof/>
                <w:sz w:val="20"/>
                <w:szCs w:val="20"/>
              </w:rPr>
              <w:t>Daphnia magna</w:t>
            </w:r>
          </w:p>
        </w:tc>
        <w:tc>
          <w:tcPr>
            <w:tcW w:w="920" w:type="pct"/>
            <w:tcBorders>
              <w:top w:val="single" w:sz="6" w:space="0" w:color="auto"/>
              <w:left w:val="single" w:sz="6" w:space="0" w:color="auto"/>
              <w:bottom w:val="single" w:sz="6" w:space="0" w:color="auto"/>
              <w:right w:val="single" w:sz="6" w:space="0" w:color="auto"/>
            </w:tcBorders>
            <w:hideMark/>
          </w:tcPr>
          <w:p w14:paraId="14A05E8E" w14:textId="77777777" w:rsidR="00E51CDD" w:rsidRPr="00227BE0" w:rsidRDefault="00E51CDD" w:rsidP="009938D9">
            <w:pPr>
              <w:widowControl w:val="0"/>
              <w:suppressAutoHyphens/>
              <w:spacing w:line="254" w:lineRule="auto"/>
              <w:rPr>
                <w:sz w:val="20"/>
                <w:szCs w:val="20"/>
              </w:rPr>
            </w:pPr>
            <w:r w:rsidRPr="00227BE0">
              <w:rPr>
                <w:bCs/>
                <w:sz w:val="20"/>
                <w:szCs w:val="20"/>
                <w:lang w:eastAsia="en-US"/>
              </w:rPr>
              <w:t>M700F002</w:t>
            </w:r>
          </w:p>
        </w:tc>
        <w:tc>
          <w:tcPr>
            <w:tcW w:w="919" w:type="pct"/>
            <w:tcBorders>
              <w:top w:val="single" w:sz="6" w:space="0" w:color="auto"/>
              <w:left w:val="single" w:sz="6" w:space="0" w:color="auto"/>
              <w:bottom w:val="single" w:sz="6" w:space="0" w:color="auto"/>
              <w:right w:val="single" w:sz="6" w:space="0" w:color="auto"/>
            </w:tcBorders>
            <w:hideMark/>
          </w:tcPr>
          <w:p w14:paraId="67583178"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48 h, s</w:t>
            </w:r>
          </w:p>
        </w:tc>
        <w:tc>
          <w:tcPr>
            <w:tcW w:w="921" w:type="pct"/>
            <w:tcBorders>
              <w:top w:val="single" w:sz="6" w:space="0" w:color="auto"/>
              <w:left w:val="single" w:sz="6" w:space="0" w:color="auto"/>
              <w:bottom w:val="single" w:sz="6" w:space="0" w:color="auto"/>
              <w:right w:val="single" w:sz="6" w:space="0" w:color="auto"/>
            </w:tcBorders>
            <w:hideMark/>
          </w:tcPr>
          <w:p w14:paraId="3D6EB82A"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EC</w:t>
            </w:r>
            <w:r w:rsidRPr="00227BE0">
              <w:rPr>
                <w:sz w:val="20"/>
                <w:szCs w:val="20"/>
                <w:vertAlign w:val="subscript"/>
                <w:lang w:eastAsia="en-US"/>
              </w:rPr>
              <w:t xml:space="preserve">50 </w:t>
            </w:r>
            <w:r w:rsidRPr="00227BE0">
              <w:rPr>
                <w:sz w:val="20"/>
                <w:szCs w:val="20"/>
                <w:lang w:eastAsia="en-US"/>
              </w:rPr>
              <w:t>&gt; 100 mg/L </w:t>
            </w:r>
            <w:r w:rsidRPr="00227BE0">
              <w:rPr>
                <w:sz w:val="20"/>
                <w:szCs w:val="20"/>
                <w:vertAlign w:val="subscript"/>
                <w:lang w:eastAsia="en-US"/>
              </w:rPr>
              <w:t>nom</w:t>
            </w:r>
          </w:p>
        </w:tc>
        <w:tc>
          <w:tcPr>
            <w:tcW w:w="1140" w:type="pct"/>
            <w:tcBorders>
              <w:top w:val="single" w:sz="6" w:space="0" w:color="auto"/>
              <w:left w:val="single" w:sz="6" w:space="0" w:color="auto"/>
              <w:bottom w:val="single" w:sz="6" w:space="0" w:color="auto"/>
              <w:right w:val="single" w:sz="4" w:space="0" w:color="auto"/>
            </w:tcBorders>
            <w:hideMark/>
          </w:tcPr>
          <w:p w14:paraId="5B9BE87D"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2009/1021596</w:t>
            </w:r>
          </w:p>
        </w:tc>
      </w:tr>
      <w:tr w:rsidR="00E51CDD" w:rsidRPr="00227BE0" w14:paraId="6C7FE59A"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4A2CFA92"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Daphnia magna</w:t>
            </w:r>
          </w:p>
        </w:tc>
        <w:tc>
          <w:tcPr>
            <w:tcW w:w="920" w:type="pct"/>
            <w:tcBorders>
              <w:top w:val="single" w:sz="6" w:space="0" w:color="auto"/>
              <w:left w:val="single" w:sz="6" w:space="0" w:color="auto"/>
              <w:bottom w:val="single" w:sz="6" w:space="0" w:color="auto"/>
              <w:right w:val="single" w:sz="6" w:space="0" w:color="auto"/>
            </w:tcBorders>
            <w:hideMark/>
          </w:tcPr>
          <w:p w14:paraId="3A958D54" w14:textId="77777777" w:rsidR="00E51CDD" w:rsidRPr="00227BE0" w:rsidRDefault="00E51CDD" w:rsidP="009938D9">
            <w:pPr>
              <w:widowControl w:val="0"/>
              <w:suppressAutoHyphens/>
              <w:spacing w:line="254" w:lineRule="auto"/>
              <w:rPr>
                <w:sz w:val="20"/>
                <w:szCs w:val="20"/>
              </w:rPr>
            </w:pPr>
            <w:r w:rsidRPr="00227BE0">
              <w:rPr>
                <w:bCs/>
                <w:sz w:val="20"/>
                <w:szCs w:val="20"/>
                <w:lang w:eastAsia="en-US"/>
              </w:rPr>
              <w:t>M700F007</w:t>
            </w:r>
          </w:p>
        </w:tc>
        <w:tc>
          <w:tcPr>
            <w:tcW w:w="919" w:type="pct"/>
            <w:tcBorders>
              <w:top w:val="single" w:sz="6" w:space="0" w:color="auto"/>
              <w:left w:val="single" w:sz="6" w:space="0" w:color="auto"/>
              <w:bottom w:val="single" w:sz="6" w:space="0" w:color="auto"/>
              <w:right w:val="single" w:sz="6" w:space="0" w:color="auto"/>
            </w:tcBorders>
            <w:hideMark/>
          </w:tcPr>
          <w:p w14:paraId="165BA4A3"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48 h, s</w:t>
            </w:r>
          </w:p>
        </w:tc>
        <w:tc>
          <w:tcPr>
            <w:tcW w:w="921" w:type="pct"/>
            <w:tcBorders>
              <w:top w:val="single" w:sz="6" w:space="0" w:color="auto"/>
              <w:left w:val="single" w:sz="6" w:space="0" w:color="auto"/>
              <w:bottom w:val="single" w:sz="6" w:space="0" w:color="auto"/>
              <w:right w:val="single" w:sz="6" w:space="0" w:color="auto"/>
            </w:tcBorders>
            <w:hideMark/>
          </w:tcPr>
          <w:p w14:paraId="54C7C1E1"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EC</w:t>
            </w:r>
            <w:r w:rsidRPr="00227BE0">
              <w:rPr>
                <w:sz w:val="20"/>
                <w:szCs w:val="20"/>
                <w:vertAlign w:val="subscript"/>
                <w:lang w:eastAsia="en-US"/>
              </w:rPr>
              <w:t xml:space="preserve">50 </w:t>
            </w:r>
            <w:r w:rsidRPr="00227BE0">
              <w:rPr>
                <w:sz w:val="20"/>
                <w:szCs w:val="20"/>
                <w:lang w:eastAsia="en-US"/>
              </w:rPr>
              <w:t>&gt; 100 mg/L </w:t>
            </w:r>
            <w:r w:rsidRPr="00227BE0">
              <w:rPr>
                <w:sz w:val="20"/>
                <w:szCs w:val="20"/>
                <w:vertAlign w:val="subscript"/>
                <w:lang w:eastAsia="en-US"/>
              </w:rPr>
              <w:t>nom</w:t>
            </w:r>
          </w:p>
        </w:tc>
        <w:tc>
          <w:tcPr>
            <w:tcW w:w="1140" w:type="pct"/>
            <w:tcBorders>
              <w:top w:val="single" w:sz="6" w:space="0" w:color="auto"/>
              <w:left w:val="single" w:sz="6" w:space="0" w:color="auto"/>
              <w:bottom w:val="single" w:sz="6" w:space="0" w:color="auto"/>
              <w:right w:val="single" w:sz="4" w:space="0" w:color="auto"/>
            </w:tcBorders>
            <w:hideMark/>
          </w:tcPr>
          <w:p w14:paraId="0E65A537"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lang w:eastAsia="en-US"/>
              </w:rPr>
              <w:t>2009/1026002</w:t>
            </w:r>
          </w:p>
        </w:tc>
      </w:tr>
      <w:tr w:rsidR="00E51CDD" w:rsidRPr="00227BE0" w14:paraId="77FE29CB"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01982EC0"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Pseudokirchneriella subcapitata</w:t>
            </w:r>
          </w:p>
        </w:tc>
        <w:tc>
          <w:tcPr>
            <w:tcW w:w="920" w:type="pct"/>
            <w:tcBorders>
              <w:top w:val="single" w:sz="6" w:space="0" w:color="auto"/>
              <w:left w:val="single" w:sz="6" w:space="0" w:color="auto"/>
              <w:bottom w:val="single" w:sz="6" w:space="0" w:color="auto"/>
              <w:right w:val="single" w:sz="6" w:space="0" w:color="auto"/>
            </w:tcBorders>
            <w:hideMark/>
          </w:tcPr>
          <w:p w14:paraId="46461B25" w14:textId="77777777" w:rsidR="00E51CDD" w:rsidRPr="00227BE0" w:rsidRDefault="00E51CDD" w:rsidP="009938D9">
            <w:pPr>
              <w:widowControl w:val="0"/>
              <w:suppressAutoHyphens/>
              <w:spacing w:line="254" w:lineRule="auto"/>
              <w:rPr>
                <w:sz w:val="20"/>
                <w:szCs w:val="20"/>
              </w:rPr>
            </w:pPr>
            <w:r w:rsidRPr="00227BE0">
              <w:rPr>
                <w:bCs/>
                <w:sz w:val="20"/>
                <w:szCs w:val="20"/>
                <w:lang w:eastAsia="en-US"/>
              </w:rPr>
              <w:t>M700F001</w:t>
            </w:r>
          </w:p>
        </w:tc>
        <w:tc>
          <w:tcPr>
            <w:tcW w:w="919" w:type="pct"/>
            <w:tcBorders>
              <w:top w:val="single" w:sz="6" w:space="0" w:color="auto"/>
              <w:left w:val="single" w:sz="6" w:space="0" w:color="auto"/>
              <w:bottom w:val="single" w:sz="6" w:space="0" w:color="auto"/>
              <w:right w:val="single" w:sz="6" w:space="0" w:color="auto"/>
            </w:tcBorders>
            <w:hideMark/>
          </w:tcPr>
          <w:p w14:paraId="0A8C3868"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72 h, s</w:t>
            </w:r>
          </w:p>
        </w:tc>
        <w:tc>
          <w:tcPr>
            <w:tcW w:w="921" w:type="pct"/>
            <w:tcBorders>
              <w:top w:val="single" w:sz="6" w:space="0" w:color="auto"/>
              <w:left w:val="single" w:sz="6" w:space="0" w:color="auto"/>
              <w:bottom w:val="single" w:sz="6" w:space="0" w:color="auto"/>
              <w:right w:val="single" w:sz="6" w:space="0" w:color="auto"/>
            </w:tcBorders>
            <w:hideMark/>
          </w:tcPr>
          <w:p w14:paraId="405CA42E" w14:textId="77777777" w:rsidR="00E51CDD" w:rsidRPr="00227BE0" w:rsidRDefault="00E51CDD" w:rsidP="009938D9">
            <w:pPr>
              <w:widowControl w:val="0"/>
              <w:suppressAutoHyphens/>
              <w:spacing w:line="254" w:lineRule="auto"/>
              <w:rPr>
                <w:sz w:val="20"/>
                <w:szCs w:val="20"/>
                <w:lang w:val="fr-FR"/>
              </w:rPr>
            </w:pPr>
            <w:r w:rsidRPr="00227BE0">
              <w:rPr>
                <w:b/>
                <w:sz w:val="20"/>
                <w:szCs w:val="20"/>
                <w:lang w:val="fr-FR" w:eastAsia="en-US"/>
              </w:rPr>
              <w:t>E</w:t>
            </w:r>
            <w:r w:rsidRPr="00227BE0">
              <w:rPr>
                <w:b/>
                <w:sz w:val="20"/>
                <w:szCs w:val="20"/>
                <w:vertAlign w:val="subscript"/>
                <w:lang w:val="fr-FR" w:eastAsia="en-US"/>
              </w:rPr>
              <w:t>r</w:t>
            </w:r>
            <w:r w:rsidRPr="00227BE0">
              <w:rPr>
                <w:b/>
                <w:sz w:val="20"/>
                <w:szCs w:val="20"/>
                <w:lang w:val="fr-FR" w:eastAsia="en-US"/>
              </w:rPr>
              <w:t>C</w:t>
            </w:r>
            <w:r w:rsidRPr="00227BE0">
              <w:rPr>
                <w:b/>
                <w:sz w:val="20"/>
                <w:szCs w:val="20"/>
                <w:vertAlign w:val="subscript"/>
                <w:lang w:val="fr-FR" w:eastAsia="en-US"/>
              </w:rPr>
              <w:t>50</w:t>
            </w:r>
            <w:r w:rsidRPr="00227BE0">
              <w:rPr>
                <w:b/>
                <w:sz w:val="20"/>
                <w:szCs w:val="20"/>
                <w:lang w:val="fr-FR" w:eastAsia="en-US"/>
              </w:rPr>
              <w:t xml:space="preserve"> =</w:t>
            </w:r>
            <w:r w:rsidRPr="00227BE0">
              <w:rPr>
                <w:b/>
                <w:sz w:val="20"/>
                <w:szCs w:val="20"/>
                <w:vertAlign w:val="subscript"/>
                <w:lang w:val="fr-FR" w:eastAsia="en-US"/>
              </w:rPr>
              <w:t xml:space="preserve"> </w:t>
            </w:r>
            <w:r w:rsidRPr="00227BE0">
              <w:rPr>
                <w:b/>
                <w:sz w:val="20"/>
                <w:szCs w:val="20"/>
                <w:lang w:val="fr-FR" w:eastAsia="en-US"/>
              </w:rPr>
              <w:t>36.31 mg/L </w:t>
            </w:r>
            <w:r w:rsidRPr="00227BE0">
              <w:rPr>
                <w:b/>
                <w:sz w:val="20"/>
                <w:szCs w:val="20"/>
                <w:vertAlign w:val="subscript"/>
                <w:lang w:val="fr-FR" w:eastAsia="en-US"/>
              </w:rPr>
              <w:t>nom</w:t>
            </w:r>
            <w:r w:rsidRPr="00227BE0">
              <w:rPr>
                <w:b/>
                <w:sz w:val="20"/>
                <w:szCs w:val="20"/>
                <w:vertAlign w:val="superscript"/>
                <w:lang w:val="fr-FR" w:eastAsia="en-US"/>
              </w:rPr>
              <w:t xml:space="preserve"> </w:t>
            </w:r>
            <w:r w:rsidRPr="00227BE0">
              <w:rPr>
                <w:b/>
                <w:bCs/>
                <w:sz w:val="20"/>
                <w:szCs w:val="20"/>
                <w:vertAlign w:val="superscript"/>
                <w:lang w:val="fr-FR" w:eastAsia="en-US"/>
              </w:rPr>
              <w:t>3)</w:t>
            </w:r>
            <w:r w:rsidRPr="00227BE0">
              <w:rPr>
                <w:sz w:val="20"/>
                <w:szCs w:val="20"/>
                <w:vertAlign w:val="superscript"/>
                <w:lang w:val="fr-FR" w:eastAsia="en-US"/>
              </w:rPr>
              <w:br/>
            </w:r>
            <w:r w:rsidRPr="00227BE0">
              <w:rPr>
                <w:sz w:val="20"/>
                <w:szCs w:val="20"/>
                <w:lang w:val="fr-FR" w:eastAsia="en-US"/>
              </w:rPr>
              <w:t>E</w:t>
            </w:r>
            <w:r w:rsidRPr="00227BE0">
              <w:rPr>
                <w:sz w:val="20"/>
                <w:szCs w:val="20"/>
                <w:vertAlign w:val="subscript"/>
                <w:lang w:val="fr-FR" w:eastAsia="en-US"/>
              </w:rPr>
              <w:t>y</w:t>
            </w:r>
            <w:r w:rsidRPr="00227BE0">
              <w:rPr>
                <w:sz w:val="20"/>
                <w:szCs w:val="20"/>
                <w:lang w:val="fr-FR" w:eastAsia="en-US"/>
              </w:rPr>
              <w:t>C</w:t>
            </w:r>
            <w:r w:rsidRPr="00227BE0">
              <w:rPr>
                <w:sz w:val="20"/>
                <w:szCs w:val="20"/>
                <w:vertAlign w:val="subscript"/>
                <w:lang w:val="fr-FR" w:eastAsia="en-US"/>
              </w:rPr>
              <w:t xml:space="preserve">50 </w:t>
            </w:r>
            <w:r w:rsidRPr="00227BE0">
              <w:rPr>
                <w:sz w:val="20"/>
                <w:szCs w:val="20"/>
                <w:lang w:val="fr-FR" w:eastAsia="en-US"/>
              </w:rPr>
              <w:t>= 26.42 mg/L </w:t>
            </w:r>
            <w:r w:rsidRPr="00227BE0">
              <w:rPr>
                <w:sz w:val="20"/>
                <w:szCs w:val="20"/>
                <w:vertAlign w:val="subscript"/>
                <w:lang w:val="fr-FR" w:eastAsia="en-US"/>
              </w:rPr>
              <w:t>nom</w:t>
            </w:r>
          </w:p>
        </w:tc>
        <w:tc>
          <w:tcPr>
            <w:tcW w:w="1140" w:type="pct"/>
            <w:tcBorders>
              <w:top w:val="single" w:sz="6" w:space="0" w:color="auto"/>
              <w:left w:val="single" w:sz="6" w:space="0" w:color="auto"/>
              <w:bottom w:val="single" w:sz="6" w:space="0" w:color="auto"/>
              <w:right w:val="single" w:sz="4" w:space="0" w:color="auto"/>
            </w:tcBorders>
            <w:hideMark/>
          </w:tcPr>
          <w:p w14:paraId="3D134D9B" w14:textId="77777777" w:rsidR="00E51CDD" w:rsidRPr="00227BE0" w:rsidRDefault="00E51CDD" w:rsidP="009938D9">
            <w:pPr>
              <w:widowControl w:val="0"/>
              <w:suppressAutoHyphens/>
              <w:spacing w:line="254" w:lineRule="auto"/>
              <w:rPr>
                <w:sz w:val="20"/>
                <w:szCs w:val="20"/>
                <w:lang w:eastAsia="en-US"/>
              </w:rPr>
            </w:pPr>
            <w:r w:rsidRPr="00227BE0">
              <w:rPr>
                <w:bCs/>
                <w:iCs/>
                <w:sz w:val="20"/>
                <w:szCs w:val="20"/>
              </w:rPr>
              <w:t>EFSA Journal 2012; 10(1):2522</w:t>
            </w:r>
            <w:r w:rsidRPr="00227BE0">
              <w:rPr>
                <w:bCs/>
                <w:iCs/>
                <w:sz w:val="20"/>
                <w:szCs w:val="20"/>
              </w:rPr>
              <w:br/>
            </w:r>
            <w:r w:rsidRPr="00227BE0">
              <w:rPr>
                <w:sz w:val="20"/>
                <w:szCs w:val="20"/>
                <w:lang w:eastAsia="en-US"/>
              </w:rPr>
              <w:t>2009/1021593</w:t>
            </w:r>
          </w:p>
          <w:p w14:paraId="2895056F"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 Amendment 2009/1102103)</w:t>
            </w:r>
          </w:p>
        </w:tc>
      </w:tr>
      <w:tr w:rsidR="00E51CDD" w:rsidRPr="00227BE0" w14:paraId="33786763"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6C9652F8" w14:textId="77777777" w:rsidR="00E51CDD" w:rsidRPr="00227BE0" w:rsidRDefault="00E51CDD" w:rsidP="009938D9">
            <w:pPr>
              <w:widowControl w:val="0"/>
              <w:suppressAutoHyphens/>
              <w:spacing w:line="254" w:lineRule="auto"/>
              <w:rPr>
                <w:i/>
                <w:sz w:val="20"/>
                <w:szCs w:val="20"/>
              </w:rPr>
            </w:pPr>
            <w:r w:rsidRPr="00227BE0">
              <w:rPr>
                <w:i/>
                <w:iCs/>
                <w:sz w:val="20"/>
                <w:szCs w:val="20"/>
                <w:lang w:eastAsia="en-US"/>
              </w:rPr>
              <w:t>Pseudokirchneriella subcapitata</w:t>
            </w:r>
          </w:p>
        </w:tc>
        <w:tc>
          <w:tcPr>
            <w:tcW w:w="920" w:type="pct"/>
            <w:tcBorders>
              <w:top w:val="single" w:sz="6" w:space="0" w:color="auto"/>
              <w:left w:val="single" w:sz="6" w:space="0" w:color="auto"/>
              <w:bottom w:val="single" w:sz="6" w:space="0" w:color="auto"/>
              <w:right w:val="single" w:sz="6" w:space="0" w:color="auto"/>
            </w:tcBorders>
            <w:hideMark/>
          </w:tcPr>
          <w:p w14:paraId="5DF9E89B" w14:textId="77777777" w:rsidR="00E51CDD" w:rsidRPr="00227BE0" w:rsidRDefault="00E51CDD" w:rsidP="009938D9">
            <w:pPr>
              <w:widowControl w:val="0"/>
              <w:suppressAutoHyphens/>
              <w:spacing w:line="254" w:lineRule="auto"/>
              <w:rPr>
                <w:sz w:val="20"/>
                <w:szCs w:val="20"/>
              </w:rPr>
            </w:pPr>
            <w:r w:rsidRPr="00227BE0">
              <w:rPr>
                <w:bCs/>
                <w:sz w:val="20"/>
                <w:szCs w:val="20"/>
                <w:lang w:eastAsia="en-US"/>
              </w:rPr>
              <w:t>M700F002</w:t>
            </w:r>
          </w:p>
        </w:tc>
        <w:tc>
          <w:tcPr>
            <w:tcW w:w="919" w:type="pct"/>
            <w:tcBorders>
              <w:top w:val="single" w:sz="6" w:space="0" w:color="auto"/>
              <w:left w:val="single" w:sz="6" w:space="0" w:color="auto"/>
              <w:bottom w:val="single" w:sz="6" w:space="0" w:color="auto"/>
              <w:right w:val="single" w:sz="6" w:space="0" w:color="auto"/>
            </w:tcBorders>
            <w:hideMark/>
          </w:tcPr>
          <w:p w14:paraId="575D6D88"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72 h, s</w:t>
            </w:r>
          </w:p>
        </w:tc>
        <w:tc>
          <w:tcPr>
            <w:tcW w:w="921" w:type="pct"/>
            <w:tcBorders>
              <w:top w:val="single" w:sz="6" w:space="0" w:color="auto"/>
              <w:left w:val="single" w:sz="6" w:space="0" w:color="auto"/>
              <w:bottom w:val="single" w:sz="6" w:space="0" w:color="auto"/>
              <w:right w:val="single" w:sz="6" w:space="0" w:color="auto"/>
            </w:tcBorders>
            <w:hideMark/>
          </w:tcPr>
          <w:p w14:paraId="363FD179" w14:textId="77777777" w:rsidR="00E51CDD" w:rsidRPr="00227BE0" w:rsidRDefault="00E51CDD" w:rsidP="009938D9">
            <w:pPr>
              <w:widowControl w:val="0"/>
              <w:suppressAutoHyphens/>
              <w:spacing w:line="254" w:lineRule="auto"/>
              <w:rPr>
                <w:sz w:val="20"/>
                <w:szCs w:val="20"/>
                <w:lang w:val="fr-FR"/>
              </w:rPr>
            </w:pPr>
            <w:r w:rsidRPr="00227BE0">
              <w:rPr>
                <w:b/>
                <w:sz w:val="20"/>
                <w:szCs w:val="20"/>
                <w:lang w:val="fr-FR" w:eastAsia="en-US"/>
              </w:rPr>
              <w:t>E</w:t>
            </w:r>
            <w:r w:rsidRPr="00227BE0">
              <w:rPr>
                <w:b/>
                <w:sz w:val="20"/>
                <w:szCs w:val="20"/>
                <w:vertAlign w:val="subscript"/>
                <w:lang w:val="fr-FR" w:eastAsia="en-US"/>
              </w:rPr>
              <w:t>r</w:t>
            </w:r>
            <w:r w:rsidRPr="00227BE0">
              <w:rPr>
                <w:b/>
                <w:sz w:val="20"/>
                <w:szCs w:val="20"/>
                <w:lang w:val="fr-FR" w:eastAsia="en-US"/>
              </w:rPr>
              <w:t>C</w:t>
            </w:r>
            <w:r w:rsidRPr="00227BE0">
              <w:rPr>
                <w:b/>
                <w:sz w:val="20"/>
                <w:szCs w:val="20"/>
                <w:vertAlign w:val="subscript"/>
                <w:lang w:val="fr-FR" w:eastAsia="en-US"/>
              </w:rPr>
              <w:t>50</w:t>
            </w:r>
            <w:r w:rsidRPr="00227BE0">
              <w:rPr>
                <w:b/>
                <w:sz w:val="20"/>
                <w:szCs w:val="20"/>
                <w:lang w:val="fr-FR" w:eastAsia="en-US"/>
              </w:rPr>
              <w:t xml:space="preserve"> =</w:t>
            </w:r>
            <w:r w:rsidRPr="00227BE0">
              <w:rPr>
                <w:b/>
                <w:sz w:val="20"/>
                <w:szCs w:val="20"/>
                <w:vertAlign w:val="subscript"/>
                <w:lang w:val="fr-FR" w:eastAsia="en-US"/>
              </w:rPr>
              <w:t xml:space="preserve"> </w:t>
            </w:r>
            <w:r w:rsidRPr="00227BE0">
              <w:rPr>
                <w:b/>
                <w:sz w:val="20"/>
                <w:szCs w:val="20"/>
                <w:lang w:val="fr-FR" w:eastAsia="en-US"/>
              </w:rPr>
              <w:t>26.52 mg/L </w:t>
            </w:r>
            <w:r w:rsidRPr="00227BE0">
              <w:rPr>
                <w:b/>
                <w:sz w:val="20"/>
                <w:szCs w:val="20"/>
                <w:vertAlign w:val="subscript"/>
                <w:lang w:val="fr-FR" w:eastAsia="en-US"/>
              </w:rPr>
              <w:t>nom</w:t>
            </w:r>
            <w:r w:rsidRPr="00227BE0">
              <w:rPr>
                <w:b/>
                <w:sz w:val="20"/>
                <w:szCs w:val="20"/>
                <w:vertAlign w:val="superscript"/>
                <w:lang w:val="fr-FR" w:eastAsia="en-US"/>
              </w:rPr>
              <w:t xml:space="preserve"> </w:t>
            </w:r>
            <w:r w:rsidRPr="00227BE0">
              <w:rPr>
                <w:b/>
                <w:bCs/>
                <w:sz w:val="20"/>
                <w:szCs w:val="20"/>
                <w:vertAlign w:val="superscript"/>
                <w:lang w:val="fr-FR" w:eastAsia="en-US"/>
              </w:rPr>
              <w:t>3)</w:t>
            </w:r>
            <w:r w:rsidRPr="00227BE0">
              <w:rPr>
                <w:bCs/>
                <w:sz w:val="20"/>
                <w:szCs w:val="20"/>
                <w:vertAlign w:val="superscript"/>
                <w:lang w:val="fr-FR" w:eastAsia="en-US"/>
              </w:rPr>
              <w:br/>
            </w:r>
            <w:r w:rsidRPr="00227BE0">
              <w:rPr>
                <w:sz w:val="20"/>
                <w:szCs w:val="20"/>
                <w:lang w:val="fr-FR" w:eastAsia="en-US"/>
              </w:rPr>
              <w:t>E</w:t>
            </w:r>
            <w:r w:rsidRPr="00227BE0">
              <w:rPr>
                <w:sz w:val="20"/>
                <w:szCs w:val="20"/>
                <w:vertAlign w:val="subscript"/>
                <w:lang w:val="fr-FR" w:eastAsia="en-US"/>
              </w:rPr>
              <w:t>y</w:t>
            </w:r>
            <w:r w:rsidRPr="00227BE0">
              <w:rPr>
                <w:sz w:val="20"/>
                <w:szCs w:val="20"/>
                <w:lang w:val="fr-FR" w:eastAsia="en-US"/>
              </w:rPr>
              <w:t>C</w:t>
            </w:r>
            <w:r w:rsidRPr="00227BE0">
              <w:rPr>
                <w:sz w:val="20"/>
                <w:szCs w:val="20"/>
                <w:vertAlign w:val="subscript"/>
                <w:lang w:val="fr-FR" w:eastAsia="en-US"/>
              </w:rPr>
              <w:t xml:space="preserve">50 </w:t>
            </w:r>
            <w:r w:rsidRPr="00227BE0">
              <w:rPr>
                <w:sz w:val="20"/>
                <w:szCs w:val="20"/>
                <w:lang w:val="fr-FR" w:eastAsia="en-US"/>
              </w:rPr>
              <w:t>= 22.44 mg/L </w:t>
            </w:r>
            <w:r w:rsidRPr="00227BE0">
              <w:rPr>
                <w:sz w:val="20"/>
                <w:szCs w:val="20"/>
                <w:vertAlign w:val="subscript"/>
                <w:lang w:val="fr-FR" w:eastAsia="en-US"/>
              </w:rPr>
              <w:t>nom</w:t>
            </w:r>
          </w:p>
        </w:tc>
        <w:tc>
          <w:tcPr>
            <w:tcW w:w="1140" w:type="pct"/>
            <w:tcBorders>
              <w:top w:val="single" w:sz="6" w:space="0" w:color="auto"/>
              <w:left w:val="single" w:sz="6" w:space="0" w:color="auto"/>
              <w:bottom w:val="single" w:sz="6" w:space="0" w:color="auto"/>
              <w:right w:val="single" w:sz="4" w:space="0" w:color="auto"/>
            </w:tcBorders>
            <w:hideMark/>
          </w:tcPr>
          <w:p w14:paraId="4953EB58" w14:textId="77777777" w:rsidR="00E51CDD" w:rsidRPr="00227BE0" w:rsidRDefault="00E51CDD" w:rsidP="009938D9">
            <w:pPr>
              <w:widowControl w:val="0"/>
              <w:suppressAutoHyphens/>
              <w:spacing w:line="254" w:lineRule="auto"/>
              <w:rPr>
                <w:sz w:val="20"/>
                <w:szCs w:val="20"/>
              </w:rPr>
            </w:pPr>
            <w:r w:rsidRPr="00227BE0">
              <w:rPr>
                <w:bCs/>
                <w:iCs/>
                <w:sz w:val="20"/>
                <w:szCs w:val="20"/>
              </w:rPr>
              <w:t>EFSA Journal 2012; 10(1):2522</w:t>
            </w:r>
            <w:r w:rsidRPr="00227BE0">
              <w:rPr>
                <w:bCs/>
                <w:iCs/>
                <w:sz w:val="20"/>
                <w:szCs w:val="20"/>
              </w:rPr>
              <w:br/>
            </w:r>
            <w:r w:rsidRPr="00227BE0">
              <w:rPr>
                <w:sz w:val="20"/>
                <w:szCs w:val="20"/>
              </w:rPr>
              <w:t>2009/1021597</w:t>
            </w:r>
          </w:p>
        </w:tc>
      </w:tr>
      <w:tr w:rsidR="00E51CDD" w:rsidRPr="00227BE0" w14:paraId="041F57E0" w14:textId="77777777" w:rsidTr="009938D9">
        <w:tc>
          <w:tcPr>
            <w:tcW w:w="1100" w:type="pct"/>
            <w:tcBorders>
              <w:top w:val="single" w:sz="6" w:space="0" w:color="auto"/>
              <w:left w:val="single" w:sz="4" w:space="0" w:color="auto"/>
              <w:bottom w:val="single" w:sz="6" w:space="0" w:color="auto"/>
              <w:right w:val="single" w:sz="6" w:space="0" w:color="auto"/>
            </w:tcBorders>
            <w:hideMark/>
          </w:tcPr>
          <w:p w14:paraId="2D230154" w14:textId="77777777" w:rsidR="00E51CDD" w:rsidRPr="00227BE0" w:rsidRDefault="00E51CDD" w:rsidP="009938D9">
            <w:pPr>
              <w:widowControl w:val="0"/>
              <w:suppressAutoHyphens/>
              <w:spacing w:line="254" w:lineRule="auto"/>
              <w:rPr>
                <w:i/>
                <w:noProof/>
                <w:sz w:val="20"/>
                <w:szCs w:val="20"/>
              </w:rPr>
            </w:pPr>
            <w:r w:rsidRPr="00227BE0">
              <w:rPr>
                <w:i/>
                <w:iCs/>
                <w:noProof/>
                <w:sz w:val="20"/>
                <w:szCs w:val="20"/>
              </w:rPr>
              <w:t>Pseudokirchneriella subcapitata</w:t>
            </w:r>
          </w:p>
        </w:tc>
        <w:tc>
          <w:tcPr>
            <w:tcW w:w="920" w:type="pct"/>
            <w:tcBorders>
              <w:top w:val="single" w:sz="6" w:space="0" w:color="auto"/>
              <w:left w:val="single" w:sz="6" w:space="0" w:color="auto"/>
              <w:bottom w:val="single" w:sz="6" w:space="0" w:color="auto"/>
              <w:right w:val="single" w:sz="6" w:space="0" w:color="auto"/>
            </w:tcBorders>
            <w:hideMark/>
          </w:tcPr>
          <w:p w14:paraId="32F6CE7B" w14:textId="77777777" w:rsidR="00E51CDD" w:rsidRPr="00227BE0" w:rsidRDefault="00E51CDD" w:rsidP="009938D9">
            <w:pPr>
              <w:widowControl w:val="0"/>
              <w:suppressAutoHyphens/>
              <w:spacing w:line="254" w:lineRule="auto"/>
              <w:rPr>
                <w:sz w:val="20"/>
                <w:szCs w:val="20"/>
              </w:rPr>
            </w:pPr>
            <w:r w:rsidRPr="00227BE0">
              <w:rPr>
                <w:bCs/>
                <w:sz w:val="20"/>
                <w:szCs w:val="20"/>
                <w:lang w:eastAsia="en-US"/>
              </w:rPr>
              <w:t>M700F007</w:t>
            </w:r>
          </w:p>
        </w:tc>
        <w:tc>
          <w:tcPr>
            <w:tcW w:w="919" w:type="pct"/>
            <w:tcBorders>
              <w:top w:val="single" w:sz="6" w:space="0" w:color="auto"/>
              <w:left w:val="single" w:sz="6" w:space="0" w:color="auto"/>
              <w:bottom w:val="single" w:sz="6" w:space="0" w:color="auto"/>
              <w:right w:val="single" w:sz="6" w:space="0" w:color="auto"/>
            </w:tcBorders>
            <w:hideMark/>
          </w:tcPr>
          <w:p w14:paraId="415C0BCA" w14:textId="77777777" w:rsidR="00E51CDD" w:rsidRPr="00227BE0" w:rsidRDefault="00E51CDD" w:rsidP="009938D9">
            <w:pPr>
              <w:widowControl w:val="0"/>
              <w:suppressAutoHyphens/>
              <w:spacing w:line="254" w:lineRule="auto"/>
              <w:rPr>
                <w:sz w:val="20"/>
                <w:szCs w:val="20"/>
              </w:rPr>
            </w:pPr>
            <w:r w:rsidRPr="00227BE0">
              <w:rPr>
                <w:sz w:val="20"/>
                <w:szCs w:val="20"/>
                <w:lang w:eastAsia="en-US"/>
              </w:rPr>
              <w:t>72 h, s</w:t>
            </w:r>
          </w:p>
        </w:tc>
        <w:tc>
          <w:tcPr>
            <w:tcW w:w="921" w:type="pct"/>
            <w:tcBorders>
              <w:top w:val="single" w:sz="6" w:space="0" w:color="auto"/>
              <w:left w:val="single" w:sz="6" w:space="0" w:color="auto"/>
              <w:bottom w:val="single" w:sz="6" w:space="0" w:color="auto"/>
              <w:right w:val="single" w:sz="6" w:space="0" w:color="auto"/>
            </w:tcBorders>
            <w:hideMark/>
          </w:tcPr>
          <w:p w14:paraId="033D2CB0" w14:textId="77777777" w:rsidR="00E51CDD" w:rsidRPr="00227BE0" w:rsidRDefault="00E51CDD" w:rsidP="009938D9">
            <w:pPr>
              <w:widowControl w:val="0"/>
              <w:suppressAutoHyphens/>
              <w:spacing w:line="254" w:lineRule="auto"/>
              <w:rPr>
                <w:sz w:val="20"/>
                <w:szCs w:val="20"/>
                <w:lang w:val="fr-FR"/>
              </w:rPr>
            </w:pPr>
            <w:r w:rsidRPr="00227BE0">
              <w:rPr>
                <w:b/>
                <w:sz w:val="20"/>
                <w:szCs w:val="20"/>
                <w:lang w:val="fr-FR" w:eastAsia="en-US"/>
              </w:rPr>
              <w:t>E</w:t>
            </w:r>
            <w:r w:rsidRPr="00227BE0">
              <w:rPr>
                <w:b/>
                <w:sz w:val="20"/>
                <w:szCs w:val="20"/>
                <w:vertAlign w:val="subscript"/>
                <w:lang w:val="fr-FR" w:eastAsia="en-US"/>
              </w:rPr>
              <w:t>r</w:t>
            </w:r>
            <w:r w:rsidRPr="00227BE0">
              <w:rPr>
                <w:b/>
                <w:sz w:val="20"/>
                <w:szCs w:val="20"/>
                <w:lang w:val="fr-FR" w:eastAsia="en-US"/>
              </w:rPr>
              <w:t>C</w:t>
            </w:r>
            <w:r w:rsidRPr="00227BE0">
              <w:rPr>
                <w:b/>
                <w:sz w:val="20"/>
                <w:szCs w:val="20"/>
                <w:vertAlign w:val="subscript"/>
                <w:lang w:val="fr-FR" w:eastAsia="en-US"/>
              </w:rPr>
              <w:t xml:space="preserve">50 </w:t>
            </w:r>
            <w:r w:rsidRPr="00227BE0">
              <w:rPr>
                <w:sz w:val="20"/>
                <w:szCs w:val="20"/>
                <w:lang w:val="fr-FR" w:eastAsia="en-US"/>
              </w:rPr>
              <w:t>/ E</w:t>
            </w:r>
            <w:r w:rsidRPr="00227BE0">
              <w:rPr>
                <w:sz w:val="20"/>
                <w:szCs w:val="20"/>
                <w:vertAlign w:val="subscript"/>
                <w:lang w:val="fr-FR" w:eastAsia="en-US"/>
              </w:rPr>
              <w:t>y</w:t>
            </w:r>
            <w:r w:rsidRPr="00227BE0">
              <w:rPr>
                <w:sz w:val="20"/>
                <w:szCs w:val="20"/>
                <w:lang w:val="fr-FR" w:eastAsia="en-US"/>
              </w:rPr>
              <w:t>C</w:t>
            </w:r>
            <w:r w:rsidRPr="00227BE0">
              <w:rPr>
                <w:sz w:val="20"/>
                <w:szCs w:val="20"/>
                <w:vertAlign w:val="subscript"/>
                <w:lang w:val="fr-FR" w:eastAsia="en-US"/>
              </w:rPr>
              <w:t xml:space="preserve">50 </w:t>
            </w:r>
            <w:r w:rsidRPr="00227BE0">
              <w:rPr>
                <w:b/>
                <w:bCs/>
                <w:sz w:val="20"/>
                <w:szCs w:val="20"/>
                <w:lang w:val="fr-FR" w:eastAsia="en-US"/>
              </w:rPr>
              <w:t>&gt; 100 mg/L </w:t>
            </w:r>
            <w:r w:rsidRPr="00227BE0">
              <w:rPr>
                <w:b/>
                <w:bCs/>
                <w:sz w:val="20"/>
                <w:szCs w:val="20"/>
                <w:vertAlign w:val="subscript"/>
                <w:lang w:val="fr-FR" w:eastAsia="en-US"/>
              </w:rPr>
              <w:t>nom</w:t>
            </w:r>
          </w:p>
        </w:tc>
        <w:tc>
          <w:tcPr>
            <w:tcW w:w="1140" w:type="pct"/>
            <w:tcBorders>
              <w:top w:val="single" w:sz="6" w:space="0" w:color="auto"/>
              <w:left w:val="single" w:sz="6" w:space="0" w:color="auto"/>
              <w:bottom w:val="single" w:sz="6" w:space="0" w:color="auto"/>
              <w:right w:val="single" w:sz="4" w:space="0" w:color="auto"/>
            </w:tcBorders>
            <w:hideMark/>
          </w:tcPr>
          <w:p w14:paraId="5CE8096B" w14:textId="77777777" w:rsidR="00E51CDD" w:rsidRPr="00227BE0" w:rsidRDefault="00E51CDD" w:rsidP="009938D9">
            <w:pPr>
              <w:widowControl w:val="0"/>
              <w:suppressAutoHyphens/>
              <w:overflowPunct w:val="0"/>
              <w:autoSpaceDE w:val="0"/>
              <w:autoSpaceDN w:val="0"/>
              <w:adjustRightInd w:val="0"/>
              <w:spacing w:line="254" w:lineRule="auto"/>
              <w:textAlignment w:val="baseline"/>
              <w:rPr>
                <w:bCs/>
                <w:iCs/>
                <w:sz w:val="20"/>
                <w:szCs w:val="20"/>
              </w:rPr>
            </w:pPr>
            <w:r w:rsidRPr="00227BE0">
              <w:rPr>
                <w:bCs/>
                <w:iCs/>
                <w:sz w:val="20"/>
                <w:szCs w:val="20"/>
              </w:rPr>
              <w:t>EFSA Journal 2012; 10(1):2522</w:t>
            </w:r>
          </w:p>
          <w:p w14:paraId="4CBE3187" w14:textId="77777777" w:rsidR="00E51CDD" w:rsidRPr="00227BE0" w:rsidRDefault="00E51CDD" w:rsidP="009938D9">
            <w:pPr>
              <w:widowControl w:val="0"/>
              <w:suppressAutoHyphens/>
              <w:spacing w:line="254" w:lineRule="auto"/>
              <w:rPr>
                <w:noProof/>
                <w:sz w:val="20"/>
                <w:szCs w:val="20"/>
              </w:rPr>
            </w:pPr>
            <w:r w:rsidRPr="00227BE0">
              <w:rPr>
                <w:noProof/>
                <w:sz w:val="20"/>
                <w:szCs w:val="20"/>
              </w:rPr>
              <w:t>2009/1026003</w:t>
            </w:r>
          </w:p>
          <w:p w14:paraId="377EE8DA" w14:textId="77777777" w:rsidR="00E51CDD" w:rsidRPr="00227BE0" w:rsidRDefault="00E51CDD" w:rsidP="009938D9">
            <w:pPr>
              <w:widowControl w:val="0"/>
              <w:suppressAutoHyphens/>
              <w:spacing w:line="254" w:lineRule="auto"/>
              <w:rPr>
                <w:noProof/>
                <w:sz w:val="20"/>
                <w:szCs w:val="20"/>
              </w:rPr>
            </w:pPr>
            <w:r w:rsidRPr="00227BE0">
              <w:rPr>
                <w:noProof/>
                <w:sz w:val="20"/>
                <w:szCs w:val="20"/>
              </w:rPr>
              <w:t>(+Amendment 2009/1102104)</w:t>
            </w:r>
          </w:p>
          <w:p w14:paraId="1AB7C0C0" w14:textId="77777777" w:rsidR="00E51CDD" w:rsidRPr="00227BE0" w:rsidRDefault="00E51CDD" w:rsidP="009938D9">
            <w:pPr>
              <w:widowControl w:val="0"/>
              <w:suppressAutoHyphens/>
              <w:spacing w:line="254" w:lineRule="auto"/>
              <w:rPr>
                <w:noProof/>
                <w:sz w:val="20"/>
                <w:szCs w:val="20"/>
              </w:rPr>
            </w:pPr>
            <w:r w:rsidRPr="00227BE0">
              <w:rPr>
                <w:noProof/>
                <w:sz w:val="20"/>
                <w:szCs w:val="20"/>
              </w:rPr>
              <w:t xml:space="preserve">(+ new recalculation: </w:t>
            </w:r>
          </w:p>
          <w:p w14:paraId="166A3927" w14:textId="77777777" w:rsidR="00E51CDD" w:rsidRPr="00227BE0" w:rsidRDefault="00E51CDD" w:rsidP="009938D9">
            <w:pPr>
              <w:widowControl w:val="0"/>
              <w:suppressAutoHyphens/>
              <w:spacing w:line="254" w:lineRule="auto"/>
              <w:rPr>
                <w:noProof/>
                <w:sz w:val="20"/>
                <w:szCs w:val="20"/>
              </w:rPr>
            </w:pPr>
            <w:r w:rsidRPr="00227BE0">
              <w:rPr>
                <w:noProof/>
                <w:sz w:val="20"/>
                <w:szCs w:val="20"/>
              </w:rPr>
              <w:t>2020/2033571)</w:t>
            </w:r>
          </w:p>
        </w:tc>
      </w:tr>
    </w:tbl>
    <w:p w14:paraId="417AE386" w14:textId="77777777" w:rsidR="00E51CDD" w:rsidRPr="00BB3E8D" w:rsidRDefault="00E51CDD" w:rsidP="00E51CDD">
      <w:pPr>
        <w:widowControl w:val="0"/>
        <w:tabs>
          <w:tab w:val="left" w:pos="284"/>
          <w:tab w:val="left" w:pos="2640"/>
        </w:tabs>
        <w:suppressAutoHyphens/>
        <w:ind w:left="284" w:hanging="284"/>
        <w:jc w:val="both"/>
        <w:rPr>
          <w:rFonts w:eastAsia="PMingLiU"/>
          <w:sz w:val="16"/>
          <w:szCs w:val="16"/>
          <w:u w:val="single"/>
        </w:rPr>
      </w:pPr>
      <w:r w:rsidRPr="00BB3E8D">
        <w:rPr>
          <w:b/>
          <w:bCs/>
          <w:sz w:val="16"/>
          <w:szCs w:val="16"/>
        </w:rPr>
        <w:t>Bold</w:t>
      </w:r>
      <w:r w:rsidRPr="00BB3E8D">
        <w:rPr>
          <w:sz w:val="16"/>
          <w:szCs w:val="16"/>
        </w:rPr>
        <w:t xml:space="preserve"> figures: Endpoint used in standard tier 1 risk assessment if more than one endpoint is available for the respective group or organism. </w:t>
      </w:r>
    </w:p>
    <w:p w14:paraId="22775988" w14:textId="77777777" w:rsidR="00E51CDD" w:rsidRPr="00BB3E8D" w:rsidRDefault="00E51CDD" w:rsidP="00E51CDD">
      <w:pPr>
        <w:widowControl w:val="0"/>
        <w:tabs>
          <w:tab w:val="left" w:pos="284"/>
          <w:tab w:val="left" w:pos="2640"/>
        </w:tabs>
        <w:suppressAutoHyphens/>
        <w:ind w:left="284" w:hanging="284"/>
        <w:jc w:val="both"/>
        <w:rPr>
          <w:noProof/>
          <w:sz w:val="16"/>
          <w:szCs w:val="16"/>
        </w:rPr>
      </w:pPr>
      <w:r w:rsidRPr="00BB3E8D">
        <w:rPr>
          <w:rFonts w:eastAsia="PMingLiU"/>
          <w:sz w:val="16"/>
          <w:szCs w:val="16"/>
          <w:u w:val="single"/>
        </w:rPr>
        <w:t>Abbreviations:</w:t>
      </w:r>
      <w:r w:rsidRPr="00BB3E8D">
        <w:rPr>
          <w:rFonts w:eastAsia="PMingLiU"/>
          <w:sz w:val="16"/>
          <w:szCs w:val="16"/>
        </w:rPr>
        <w:t xml:space="preserve"> ELS = early life stage, BCF = bioconcentration factor, </w:t>
      </w:r>
      <w:r w:rsidRPr="00BB3E8D">
        <w:rPr>
          <w:noProof/>
          <w:sz w:val="16"/>
          <w:szCs w:val="16"/>
        </w:rPr>
        <w:t>s: static; ss: semi-static; f: flow-through; nom: based on nominal concentrations; mm: based on mean measured concentrations; im: based on initial measured concentrations; dw: dry weight</w:t>
      </w:r>
    </w:p>
    <w:p w14:paraId="57B285AE" w14:textId="77777777" w:rsidR="00E51CDD" w:rsidRPr="00BB3E8D" w:rsidRDefault="00E51CDD" w:rsidP="00E51CDD">
      <w:pPr>
        <w:widowControl w:val="0"/>
        <w:suppressAutoHyphens/>
        <w:ind w:left="284" w:hanging="284"/>
        <w:jc w:val="both"/>
        <w:rPr>
          <w:rFonts w:eastAsia="PMingLiU"/>
          <w:sz w:val="16"/>
          <w:szCs w:val="16"/>
          <w:lang w:eastAsia="en-US"/>
        </w:rPr>
      </w:pPr>
      <w:r w:rsidRPr="00BB3E8D">
        <w:rPr>
          <w:rFonts w:eastAsia="PMingLiU"/>
          <w:sz w:val="16"/>
          <w:szCs w:val="16"/>
          <w:vertAlign w:val="superscript"/>
          <w:lang w:eastAsia="en-US"/>
        </w:rPr>
        <w:t>+</w:t>
      </w:r>
      <w:r w:rsidRPr="00BB3E8D">
        <w:rPr>
          <w:rFonts w:eastAsia="PMingLiU"/>
          <w:sz w:val="16"/>
          <w:szCs w:val="16"/>
          <w:vertAlign w:val="superscript"/>
          <w:lang w:eastAsia="en-US"/>
        </w:rPr>
        <w:tab/>
      </w:r>
      <w:r w:rsidRPr="00BB3E8D">
        <w:rPr>
          <w:rFonts w:eastAsia="PMingLiU"/>
          <w:sz w:val="16"/>
          <w:szCs w:val="16"/>
          <w:lang w:eastAsia="en-US"/>
        </w:rPr>
        <w:t>In accordance with the EFSA Aquatic Guidance Document (EFSA, 2013) and OECD guideline 201 (2011) the 72 h endpoints obtained in the 96-h alga study are considered as relevant endpoints and are presented here.</w:t>
      </w:r>
    </w:p>
    <w:p w14:paraId="76BF44CA" w14:textId="77777777" w:rsidR="00E51CDD" w:rsidRPr="00BB3E8D" w:rsidRDefault="00E51CDD" w:rsidP="00E51CDD">
      <w:pPr>
        <w:widowControl w:val="0"/>
        <w:suppressAutoHyphens/>
        <w:ind w:left="284" w:hanging="284"/>
        <w:jc w:val="both"/>
        <w:rPr>
          <w:rFonts w:eastAsia="PMingLiU"/>
          <w:iCs/>
          <w:sz w:val="16"/>
          <w:szCs w:val="16"/>
          <w:lang w:eastAsia="en-US"/>
        </w:rPr>
      </w:pPr>
      <w:r w:rsidRPr="00BB3E8D">
        <w:rPr>
          <w:rFonts w:eastAsia="PMingLiU"/>
          <w:sz w:val="16"/>
          <w:szCs w:val="16"/>
          <w:lang w:eastAsia="en-US"/>
        </w:rPr>
        <w:t>*</w:t>
      </w:r>
      <w:r w:rsidRPr="00BB3E8D">
        <w:rPr>
          <w:rFonts w:eastAsia="PMingLiU"/>
          <w:sz w:val="16"/>
          <w:szCs w:val="16"/>
          <w:lang w:eastAsia="en-US"/>
        </w:rPr>
        <w:tab/>
        <w:t xml:space="preserve">Chronic fish endpoint is diverging from EFSA conclusion since has been recalculated due to new statistical requirements stated in the relevant OECD test guideline 210 (OECD 2013). Therefore, the new endpoint will be used in the risk assessment. </w:t>
      </w:r>
    </w:p>
    <w:p w14:paraId="22BEFEC2" w14:textId="77777777" w:rsidR="00E51CDD" w:rsidRPr="00BB3E8D" w:rsidRDefault="00E51CDD" w:rsidP="00E51CDD">
      <w:pPr>
        <w:widowControl w:val="0"/>
        <w:suppressAutoHyphens/>
        <w:ind w:left="284" w:hanging="284"/>
        <w:jc w:val="both"/>
        <w:rPr>
          <w:sz w:val="16"/>
          <w:szCs w:val="16"/>
        </w:rPr>
      </w:pPr>
      <w:r w:rsidRPr="00BB3E8D">
        <w:rPr>
          <w:iCs/>
          <w:sz w:val="16"/>
          <w:szCs w:val="16"/>
          <w:vertAlign w:val="superscript"/>
          <w:lang w:eastAsia="en-US"/>
        </w:rPr>
        <w:t>1)</w:t>
      </w:r>
      <w:r w:rsidRPr="00BB3E8D">
        <w:rPr>
          <w:iCs/>
          <w:sz w:val="16"/>
          <w:szCs w:val="16"/>
          <w:vertAlign w:val="superscript"/>
          <w:lang w:eastAsia="en-US"/>
        </w:rPr>
        <w:tab/>
      </w:r>
      <w:r w:rsidRPr="00BB3E8D">
        <w:rPr>
          <w:sz w:val="16"/>
          <w:szCs w:val="16"/>
        </w:rPr>
        <w:t>Marine species</w:t>
      </w:r>
    </w:p>
    <w:p w14:paraId="1440183E" w14:textId="77777777" w:rsidR="00E51CDD" w:rsidRPr="00BB3E8D" w:rsidRDefault="00E51CDD" w:rsidP="00E51CDD">
      <w:pPr>
        <w:widowControl w:val="0"/>
        <w:suppressAutoHyphens/>
        <w:ind w:left="284" w:hanging="284"/>
        <w:jc w:val="both"/>
        <w:rPr>
          <w:sz w:val="16"/>
          <w:szCs w:val="16"/>
        </w:rPr>
      </w:pPr>
      <w:bookmarkStart w:id="470" w:name="_Hlk86228080"/>
      <w:r w:rsidRPr="00BB3E8D">
        <w:rPr>
          <w:sz w:val="16"/>
          <w:szCs w:val="16"/>
          <w:vertAlign w:val="superscript"/>
        </w:rPr>
        <w:t>2)</w:t>
      </w:r>
      <w:r w:rsidRPr="00BB3E8D">
        <w:rPr>
          <w:sz w:val="16"/>
          <w:szCs w:val="16"/>
          <w:vertAlign w:val="superscript"/>
        </w:rPr>
        <w:tab/>
      </w:r>
      <w:r w:rsidRPr="00BB3E8D">
        <w:rPr>
          <w:sz w:val="16"/>
          <w:szCs w:val="16"/>
        </w:rPr>
        <w:t>According to the new regulation 283/2013, the 48-h endpoint obtained in the 96-h study is considered as relevant for the risk assessment.</w:t>
      </w:r>
    </w:p>
    <w:bookmarkEnd w:id="470"/>
    <w:p w14:paraId="79EECC1A" w14:textId="77777777" w:rsidR="00E51CDD" w:rsidRPr="00BB3E8D" w:rsidRDefault="00E51CDD" w:rsidP="00E51CDD">
      <w:pPr>
        <w:widowControl w:val="0"/>
        <w:suppressAutoHyphens/>
        <w:ind w:left="284" w:hanging="284"/>
        <w:jc w:val="both"/>
        <w:rPr>
          <w:rFonts w:eastAsia="PMingLiU"/>
          <w:sz w:val="16"/>
          <w:szCs w:val="16"/>
        </w:rPr>
      </w:pPr>
      <w:r w:rsidRPr="00BB3E8D">
        <w:rPr>
          <w:sz w:val="16"/>
          <w:szCs w:val="16"/>
          <w:vertAlign w:val="superscript"/>
        </w:rPr>
        <w:t>3)</w:t>
      </w:r>
      <w:r w:rsidRPr="00BB3E8D">
        <w:rPr>
          <w:sz w:val="16"/>
          <w:szCs w:val="16"/>
        </w:rPr>
        <w:tab/>
      </w:r>
      <w:r w:rsidRPr="00BB3E8D">
        <w:rPr>
          <w:rFonts w:eastAsia="PMingLiU"/>
          <w:sz w:val="16"/>
          <w:szCs w:val="16"/>
        </w:rPr>
        <w:t>In accordance with the EFSA Aquatic Guidance Document (EFSA, 2013) only the EC</w:t>
      </w:r>
      <w:r w:rsidRPr="00BB3E8D">
        <w:rPr>
          <w:rFonts w:eastAsia="PMingLiU"/>
          <w:sz w:val="16"/>
          <w:szCs w:val="16"/>
          <w:vertAlign w:val="subscript"/>
        </w:rPr>
        <w:t>50</w:t>
      </w:r>
      <w:r w:rsidRPr="00BB3E8D">
        <w:rPr>
          <w:rFonts w:eastAsia="PMingLiU"/>
          <w:sz w:val="16"/>
          <w:szCs w:val="16"/>
        </w:rPr>
        <w:t xml:space="preserve"> values determined for the endpoint 'growth rate' (E</w:t>
      </w:r>
      <w:r w:rsidRPr="00BB3E8D">
        <w:rPr>
          <w:rFonts w:eastAsia="PMingLiU"/>
          <w:sz w:val="16"/>
          <w:szCs w:val="16"/>
          <w:vertAlign w:val="subscript"/>
        </w:rPr>
        <w:t>r</w:t>
      </w:r>
      <w:r w:rsidRPr="00BB3E8D">
        <w:rPr>
          <w:rFonts w:eastAsia="PMingLiU"/>
          <w:sz w:val="16"/>
          <w:szCs w:val="16"/>
        </w:rPr>
        <w:t>C</w:t>
      </w:r>
      <w:r w:rsidRPr="00BB3E8D">
        <w:rPr>
          <w:rFonts w:eastAsia="PMingLiU"/>
          <w:sz w:val="16"/>
          <w:szCs w:val="16"/>
          <w:vertAlign w:val="subscript"/>
        </w:rPr>
        <w:t>50</w:t>
      </w:r>
      <w:r w:rsidRPr="00BB3E8D">
        <w:rPr>
          <w:rFonts w:eastAsia="PMingLiU"/>
          <w:sz w:val="16"/>
          <w:szCs w:val="16"/>
        </w:rPr>
        <w:t>) are considered for the risk assessment for aquatic primary producers if both “growth rate” and “yield / biomass” endpoints are available.</w:t>
      </w:r>
    </w:p>
    <w:p w14:paraId="5918E985" w14:textId="77777777" w:rsidR="00E51CDD" w:rsidRPr="00227BE0" w:rsidRDefault="00E51CDD" w:rsidP="00E51CDD">
      <w:pPr>
        <w:widowControl w:val="0"/>
        <w:suppressAutoHyphens/>
        <w:jc w:val="both"/>
      </w:pPr>
    </w:p>
    <w:bookmarkEnd w:id="467"/>
    <w:p w14:paraId="2BC378B2" w14:textId="77777777" w:rsidR="00E51CDD" w:rsidRPr="00227BE0" w:rsidRDefault="00E51CDD" w:rsidP="00E51CDD">
      <w:pPr>
        <w:pStyle w:val="RepStandard"/>
      </w:pPr>
    </w:p>
    <w:bookmarkEnd w:id="468"/>
    <w:p w14:paraId="04FA154A" w14:textId="77777777" w:rsidR="00E51CDD" w:rsidRPr="00227BE0" w:rsidRDefault="00E51CDD" w:rsidP="00E51CDD">
      <w:pPr>
        <w:widowControl w:val="0"/>
        <w:tabs>
          <w:tab w:val="left" w:pos="567"/>
        </w:tabs>
        <w:suppressAutoHyphens/>
        <w:jc w:val="both"/>
        <w:rPr>
          <w:b/>
          <w:u w:val="single"/>
        </w:rPr>
      </w:pPr>
      <w:r w:rsidRPr="00227BE0">
        <w:rPr>
          <w:b/>
          <w:u w:val="single"/>
        </w:rPr>
        <w:br w:type="page"/>
      </w:r>
      <w:r w:rsidRPr="00227BE0">
        <w:rPr>
          <w:b/>
          <w:u w:val="single"/>
        </w:rPr>
        <w:lastRenderedPageBreak/>
        <w:t>Azoxystrobin and metabolites</w:t>
      </w:r>
    </w:p>
    <w:p w14:paraId="090F7C72" w14:textId="77777777" w:rsidR="00E51CDD" w:rsidRPr="00227BE0" w:rsidRDefault="00E51CDD" w:rsidP="00E51CDD">
      <w:pPr>
        <w:widowControl w:val="0"/>
        <w:suppressAutoHyphens/>
        <w:jc w:val="both"/>
        <w:rPr>
          <w:szCs w:val="24"/>
        </w:rPr>
      </w:pPr>
    </w:p>
    <w:p w14:paraId="3225DC9C" w14:textId="0B6590DE" w:rsidR="00E51CDD" w:rsidRPr="00227BE0" w:rsidRDefault="00E51CDD" w:rsidP="00E51CDD">
      <w:pPr>
        <w:widowControl w:val="0"/>
        <w:suppressAutoHyphens/>
        <w:jc w:val="both"/>
      </w:pPr>
      <w:r w:rsidRPr="00227BE0">
        <w:rPr>
          <w:szCs w:val="24"/>
        </w:rPr>
        <w:t xml:space="preserve">The results from toxicity tests with representative aquatic species conducted with the active substance azoxystrobin and its metabolites found in aquatic systems are summarized in </w:t>
      </w:r>
      <w:r w:rsidRPr="00227BE0">
        <w:rPr>
          <w:szCs w:val="24"/>
        </w:rPr>
        <w:fldChar w:fldCharType="begin"/>
      </w:r>
      <w:r w:rsidRPr="00227BE0">
        <w:rPr>
          <w:szCs w:val="24"/>
        </w:rPr>
        <w:instrText xml:space="preserve"> REF _Ref452557206 \h </w:instrText>
      </w:r>
      <w:r>
        <w:rPr>
          <w:szCs w:val="24"/>
        </w:rPr>
        <w:instrText xml:space="preserve"> \* MERGEFORMAT </w:instrText>
      </w:r>
      <w:r w:rsidRPr="00227BE0">
        <w:rPr>
          <w:szCs w:val="24"/>
        </w:rPr>
      </w:r>
      <w:r w:rsidRPr="00227BE0">
        <w:rPr>
          <w:szCs w:val="24"/>
        </w:rPr>
        <w:fldChar w:fldCharType="separate"/>
      </w:r>
      <w:r w:rsidR="00662F32" w:rsidRPr="00227BE0">
        <w:t xml:space="preserve">Table </w:t>
      </w:r>
      <w:r w:rsidR="00662F32">
        <w:rPr>
          <w:noProof/>
        </w:rPr>
        <w:t>9.5</w:t>
      </w:r>
      <w:r w:rsidR="00662F32" w:rsidRPr="00227BE0">
        <w:rPr>
          <w:noProof/>
        </w:rPr>
        <w:noBreakHyphen/>
      </w:r>
      <w:r w:rsidR="00662F32">
        <w:rPr>
          <w:noProof/>
        </w:rPr>
        <w:t>2</w:t>
      </w:r>
      <w:r w:rsidRPr="00227BE0">
        <w:rPr>
          <w:szCs w:val="24"/>
        </w:rPr>
        <w:fldChar w:fldCharType="end"/>
      </w:r>
      <w:r w:rsidRPr="00227BE0">
        <w:t>.</w:t>
      </w:r>
    </w:p>
    <w:p w14:paraId="718D132D" w14:textId="77777777" w:rsidR="00E51CDD" w:rsidRPr="00227BE0" w:rsidRDefault="00E51CDD" w:rsidP="00E51CDD">
      <w:pPr>
        <w:pStyle w:val="RepStandard"/>
        <w:rPr>
          <w:lang w:val="en-US"/>
        </w:rPr>
      </w:pPr>
    </w:p>
    <w:p w14:paraId="4C25A2A1" w14:textId="022F78FD" w:rsidR="00E51CDD" w:rsidRPr="00227BE0" w:rsidRDefault="00E51CDD" w:rsidP="00E51CDD">
      <w:pPr>
        <w:pStyle w:val="RepLabel"/>
        <w:jc w:val="both"/>
      </w:pPr>
      <w:bookmarkStart w:id="471" w:name="_Ref452557206"/>
      <w:r w:rsidRPr="00227BE0">
        <w:t xml:space="preserve">Table </w:t>
      </w:r>
      <w:r w:rsidRPr="00227BE0">
        <w:fldChar w:fldCharType="begin"/>
      </w:r>
      <w:r w:rsidRPr="00227BE0">
        <w:instrText>STYLEREF 2 \s</w:instrText>
      </w:r>
      <w:r w:rsidRPr="00227BE0">
        <w:fldChar w:fldCharType="separate"/>
      </w:r>
      <w:r w:rsidR="00662F32">
        <w:rPr>
          <w:noProof/>
        </w:rPr>
        <w:t>9.5</w:t>
      </w:r>
      <w:r w:rsidRPr="00227BE0">
        <w:fldChar w:fldCharType="end"/>
      </w:r>
      <w:r w:rsidRPr="00227BE0">
        <w:noBreakHyphen/>
      </w:r>
      <w:r w:rsidRPr="00227BE0">
        <w:fldChar w:fldCharType="begin"/>
      </w:r>
      <w:r w:rsidRPr="00227BE0">
        <w:instrText>SEQ Table \* ARABIC \s 2</w:instrText>
      </w:r>
      <w:r w:rsidRPr="00227BE0">
        <w:fldChar w:fldCharType="separate"/>
      </w:r>
      <w:r w:rsidR="00662F32">
        <w:rPr>
          <w:noProof/>
        </w:rPr>
        <w:t>2</w:t>
      </w:r>
      <w:r w:rsidRPr="00227BE0">
        <w:fldChar w:fldCharType="end"/>
      </w:r>
      <w:bookmarkEnd w:id="471"/>
      <w:r w:rsidRPr="00227BE0">
        <w:t>:</w:t>
      </w:r>
      <w:r w:rsidRPr="00227BE0">
        <w:tab/>
        <w:t>Endpoints and effect values relevant for the risk assessment for aquatic organisms – azoxystrobin and relevant metabolites</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022"/>
        <w:gridCol w:w="1818"/>
        <w:gridCol w:w="1680"/>
        <w:gridCol w:w="1678"/>
        <w:gridCol w:w="2155"/>
      </w:tblGrid>
      <w:tr w:rsidR="00E51CDD" w:rsidRPr="00227BE0" w14:paraId="501A7CFE" w14:textId="77777777" w:rsidTr="009938D9">
        <w:trPr>
          <w:cantSplit/>
          <w:tblHeader/>
        </w:trPr>
        <w:tc>
          <w:tcPr>
            <w:tcW w:w="1081" w:type="pct"/>
            <w:shd w:val="clear" w:color="auto" w:fill="auto"/>
          </w:tcPr>
          <w:p w14:paraId="5ADCC8F0" w14:textId="77777777" w:rsidR="00E51CDD" w:rsidRPr="00227BE0" w:rsidRDefault="00E51CDD" w:rsidP="009938D9">
            <w:pPr>
              <w:pStyle w:val="RepTableHeader"/>
            </w:pPr>
            <w:r w:rsidRPr="00227BE0">
              <w:t>Species</w:t>
            </w:r>
          </w:p>
        </w:tc>
        <w:tc>
          <w:tcPr>
            <w:tcW w:w="972" w:type="pct"/>
            <w:shd w:val="clear" w:color="auto" w:fill="auto"/>
          </w:tcPr>
          <w:p w14:paraId="63157FD8" w14:textId="77777777" w:rsidR="00E51CDD" w:rsidRPr="00227BE0" w:rsidRDefault="00E51CDD" w:rsidP="009938D9">
            <w:pPr>
              <w:pStyle w:val="RepTableHeader"/>
            </w:pPr>
            <w:r w:rsidRPr="00227BE0">
              <w:t>Substance</w:t>
            </w:r>
          </w:p>
        </w:tc>
        <w:tc>
          <w:tcPr>
            <w:tcW w:w="898" w:type="pct"/>
            <w:shd w:val="clear" w:color="auto" w:fill="auto"/>
          </w:tcPr>
          <w:p w14:paraId="4AD66772" w14:textId="77777777" w:rsidR="00E51CDD" w:rsidRPr="00227BE0" w:rsidRDefault="00E51CDD" w:rsidP="009938D9">
            <w:pPr>
              <w:pStyle w:val="RepTableHeader"/>
            </w:pPr>
            <w:r w:rsidRPr="00227BE0">
              <w:t>Exposure System</w:t>
            </w:r>
          </w:p>
        </w:tc>
        <w:tc>
          <w:tcPr>
            <w:tcW w:w="897" w:type="pct"/>
            <w:shd w:val="clear" w:color="auto" w:fill="auto"/>
          </w:tcPr>
          <w:p w14:paraId="1E4B626C" w14:textId="77777777" w:rsidR="00E51CDD" w:rsidRPr="00227BE0" w:rsidRDefault="00E51CDD" w:rsidP="009938D9">
            <w:pPr>
              <w:pStyle w:val="RepTableHeader"/>
            </w:pPr>
            <w:r w:rsidRPr="00227BE0">
              <w:t>Results</w:t>
            </w:r>
          </w:p>
        </w:tc>
        <w:tc>
          <w:tcPr>
            <w:tcW w:w="1152" w:type="pct"/>
            <w:shd w:val="clear" w:color="auto" w:fill="auto"/>
          </w:tcPr>
          <w:p w14:paraId="4D0B9330" w14:textId="77777777" w:rsidR="00E51CDD" w:rsidRPr="00227BE0" w:rsidRDefault="00E51CDD" w:rsidP="009938D9">
            <w:pPr>
              <w:pStyle w:val="RepTableHeader"/>
            </w:pPr>
            <w:r w:rsidRPr="00227BE0">
              <w:t>Reference</w:t>
            </w:r>
          </w:p>
        </w:tc>
      </w:tr>
      <w:tr w:rsidR="00E51CDD" w:rsidRPr="00227BE0" w14:paraId="3A73591D" w14:textId="77777777" w:rsidTr="009938D9">
        <w:trPr>
          <w:cantSplit/>
        </w:trPr>
        <w:tc>
          <w:tcPr>
            <w:tcW w:w="1081" w:type="pct"/>
            <w:shd w:val="clear" w:color="auto" w:fill="auto"/>
          </w:tcPr>
          <w:p w14:paraId="2339ECF9" w14:textId="77777777" w:rsidR="00E51CDD" w:rsidRPr="00227BE0" w:rsidRDefault="00E51CDD" w:rsidP="009938D9">
            <w:pPr>
              <w:pStyle w:val="RepTable"/>
              <w:rPr>
                <w:i/>
                <w:noProof w:val="0"/>
              </w:rPr>
            </w:pPr>
            <w:r w:rsidRPr="00227BE0">
              <w:rPr>
                <w:i/>
                <w:noProof w:val="0"/>
              </w:rPr>
              <w:t>Oncorhynchus mykiss</w:t>
            </w:r>
          </w:p>
        </w:tc>
        <w:tc>
          <w:tcPr>
            <w:tcW w:w="972" w:type="pct"/>
            <w:shd w:val="clear" w:color="auto" w:fill="auto"/>
          </w:tcPr>
          <w:p w14:paraId="0044D7FD" w14:textId="77777777" w:rsidR="00E51CDD" w:rsidRPr="00227BE0" w:rsidRDefault="00E51CDD" w:rsidP="009938D9">
            <w:pPr>
              <w:pStyle w:val="RepTable"/>
              <w:rPr>
                <w:noProof w:val="0"/>
                <w:szCs w:val="24"/>
              </w:rPr>
            </w:pPr>
            <w:r w:rsidRPr="00227BE0">
              <w:rPr>
                <w:noProof w:val="0"/>
              </w:rPr>
              <w:t>azoxystrobin</w:t>
            </w:r>
          </w:p>
        </w:tc>
        <w:tc>
          <w:tcPr>
            <w:tcW w:w="898" w:type="pct"/>
            <w:shd w:val="clear" w:color="auto" w:fill="auto"/>
          </w:tcPr>
          <w:p w14:paraId="6C1EBBFB" w14:textId="77777777" w:rsidR="00E51CDD" w:rsidRPr="00227BE0" w:rsidRDefault="00E51CDD" w:rsidP="009938D9">
            <w:pPr>
              <w:pStyle w:val="RepTable"/>
              <w:rPr>
                <w:noProof w:val="0"/>
              </w:rPr>
            </w:pPr>
            <w:r w:rsidRPr="00227BE0">
              <w:rPr>
                <w:noProof w:val="0"/>
              </w:rPr>
              <w:t>96 h, f</w:t>
            </w:r>
          </w:p>
        </w:tc>
        <w:tc>
          <w:tcPr>
            <w:tcW w:w="897" w:type="pct"/>
            <w:shd w:val="clear" w:color="auto" w:fill="auto"/>
          </w:tcPr>
          <w:p w14:paraId="721E796E" w14:textId="77777777" w:rsidR="00E51CDD" w:rsidRPr="00227BE0" w:rsidRDefault="00E51CDD" w:rsidP="009938D9">
            <w:pPr>
              <w:pStyle w:val="RepTable"/>
              <w:rPr>
                <w:b/>
                <w:noProof w:val="0"/>
                <w:vertAlign w:val="subscript"/>
              </w:rPr>
            </w:pPr>
            <w:r w:rsidRPr="00227BE0">
              <w:rPr>
                <w:b/>
                <w:noProof w:val="0"/>
              </w:rPr>
              <w:t>LC</w:t>
            </w:r>
            <w:r w:rsidRPr="00227BE0">
              <w:rPr>
                <w:b/>
                <w:noProof w:val="0"/>
                <w:vertAlign w:val="subscript"/>
              </w:rPr>
              <w:t>50</w:t>
            </w:r>
            <w:r w:rsidRPr="00227BE0">
              <w:rPr>
                <w:b/>
                <w:noProof w:val="0"/>
              </w:rPr>
              <w:t xml:space="preserve"> = 0.47 mg a.s./L </w:t>
            </w:r>
            <w:r w:rsidRPr="00227BE0">
              <w:rPr>
                <w:b/>
                <w:noProof w:val="0"/>
                <w:vertAlign w:val="subscript"/>
              </w:rPr>
              <w:t>mm</w:t>
            </w:r>
          </w:p>
        </w:tc>
        <w:tc>
          <w:tcPr>
            <w:tcW w:w="1152" w:type="pct"/>
            <w:shd w:val="clear" w:color="auto" w:fill="auto"/>
          </w:tcPr>
          <w:p w14:paraId="162552BF" w14:textId="77777777" w:rsidR="00E51CDD" w:rsidRPr="00227BE0" w:rsidRDefault="00E51CDD" w:rsidP="009938D9">
            <w:pPr>
              <w:pStyle w:val="RepTable"/>
              <w:rPr>
                <w:noProof w:val="0"/>
              </w:rPr>
            </w:pPr>
            <w:r w:rsidRPr="00227BE0">
              <w:rPr>
                <w:noProof w:val="0"/>
              </w:rPr>
              <w:t>EFSA Journal 2010; 8(4):1542,</w:t>
            </w:r>
          </w:p>
          <w:p w14:paraId="30E41E83" w14:textId="77777777" w:rsidR="00E51CDD" w:rsidRPr="00227BE0" w:rsidRDefault="00E51CDD" w:rsidP="009938D9">
            <w:pPr>
              <w:pStyle w:val="RepTable"/>
              <w:rPr>
                <w:noProof w:val="0"/>
              </w:rPr>
            </w:pPr>
            <w:r w:rsidRPr="00227BE0">
              <w:rPr>
                <w:noProof w:val="0"/>
              </w:rPr>
              <w:t>Cornish, S., Caunter, J.,Sankey S.,Craig, N., 1993, ICI5504/0909</w:t>
            </w:r>
          </w:p>
        </w:tc>
      </w:tr>
      <w:tr w:rsidR="00E51CDD" w:rsidRPr="00227BE0" w14:paraId="1A3A21E8" w14:textId="77777777" w:rsidTr="009938D9">
        <w:trPr>
          <w:cantSplit/>
        </w:trPr>
        <w:tc>
          <w:tcPr>
            <w:tcW w:w="1081" w:type="pct"/>
            <w:shd w:val="clear" w:color="auto" w:fill="auto"/>
          </w:tcPr>
          <w:p w14:paraId="762E78FC" w14:textId="77777777" w:rsidR="00E51CDD" w:rsidRPr="00227BE0" w:rsidRDefault="00E51CDD" w:rsidP="009938D9">
            <w:pPr>
              <w:pStyle w:val="RepTable"/>
              <w:rPr>
                <w:i/>
                <w:noProof w:val="0"/>
              </w:rPr>
            </w:pPr>
            <w:r w:rsidRPr="00227BE0">
              <w:rPr>
                <w:i/>
                <w:noProof w:val="0"/>
              </w:rPr>
              <w:t>Lepomis macrochirus</w:t>
            </w:r>
          </w:p>
        </w:tc>
        <w:tc>
          <w:tcPr>
            <w:tcW w:w="972" w:type="pct"/>
            <w:shd w:val="clear" w:color="auto" w:fill="auto"/>
          </w:tcPr>
          <w:p w14:paraId="6FE45860"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261F4C65" w14:textId="77777777" w:rsidR="00E51CDD" w:rsidRPr="00227BE0" w:rsidRDefault="00E51CDD" w:rsidP="009938D9">
            <w:pPr>
              <w:pStyle w:val="RepTable"/>
              <w:rPr>
                <w:noProof w:val="0"/>
              </w:rPr>
            </w:pPr>
            <w:r w:rsidRPr="00227BE0">
              <w:rPr>
                <w:noProof w:val="0"/>
              </w:rPr>
              <w:t>96 h, f</w:t>
            </w:r>
          </w:p>
        </w:tc>
        <w:tc>
          <w:tcPr>
            <w:tcW w:w="897" w:type="pct"/>
            <w:shd w:val="clear" w:color="auto" w:fill="auto"/>
          </w:tcPr>
          <w:p w14:paraId="19C2795D" w14:textId="77777777" w:rsidR="00E51CDD" w:rsidRPr="00227BE0" w:rsidRDefault="00E51CDD" w:rsidP="009938D9">
            <w:pPr>
              <w:pStyle w:val="RepTable"/>
              <w:rPr>
                <w:noProof w:val="0"/>
                <w:vertAlign w:val="subscript"/>
              </w:rPr>
            </w:pPr>
            <w:r w:rsidRPr="00227BE0">
              <w:rPr>
                <w:noProof w:val="0"/>
              </w:rPr>
              <w:t>LC</w:t>
            </w:r>
            <w:r w:rsidRPr="00227BE0">
              <w:rPr>
                <w:noProof w:val="0"/>
                <w:vertAlign w:val="subscript"/>
              </w:rPr>
              <w:t>50</w:t>
            </w:r>
            <w:r w:rsidRPr="00227BE0">
              <w:rPr>
                <w:noProof w:val="0"/>
              </w:rPr>
              <w:t xml:space="preserve"> = 1.1 mg a.s./L </w:t>
            </w:r>
            <w:r w:rsidRPr="00227BE0">
              <w:rPr>
                <w:noProof w:val="0"/>
                <w:vertAlign w:val="subscript"/>
              </w:rPr>
              <w:t>mm</w:t>
            </w:r>
          </w:p>
        </w:tc>
        <w:tc>
          <w:tcPr>
            <w:tcW w:w="1152" w:type="pct"/>
            <w:shd w:val="clear" w:color="auto" w:fill="auto"/>
          </w:tcPr>
          <w:p w14:paraId="54B6A0E0" w14:textId="77777777" w:rsidR="00E51CDD" w:rsidRPr="00227BE0" w:rsidRDefault="00E51CDD" w:rsidP="009938D9">
            <w:pPr>
              <w:pStyle w:val="RepTable"/>
              <w:rPr>
                <w:noProof w:val="0"/>
              </w:rPr>
            </w:pPr>
            <w:r w:rsidRPr="00227BE0">
              <w:rPr>
                <w:noProof w:val="0"/>
              </w:rPr>
              <w:t>EFSA Journal 2010; 8(4):1542,</w:t>
            </w:r>
          </w:p>
          <w:p w14:paraId="7D46A523" w14:textId="77777777" w:rsidR="00E51CDD" w:rsidRPr="00227BE0" w:rsidRDefault="00E51CDD" w:rsidP="009938D9">
            <w:pPr>
              <w:pStyle w:val="RepTable"/>
              <w:rPr>
                <w:noProof w:val="0"/>
              </w:rPr>
            </w:pPr>
            <w:r w:rsidRPr="00227BE0">
              <w:rPr>
                <w:noProof w:val="0"/>
              </w:rPr>
              <w:t>Cornish, S., Maddock, B., Kent, S., Sankey S., 1993, ICI5504/0910</w:t>
            </w:r>
          </w:p>
        </w:tc>
      </w:tr>
      <w:tr w:rsidR="00E51CDD" w:rsidRPr="007330A6" w14:paraId="398C5010" w14:textId="77777777" w:rsidTr="009938D9">
        <w:trPr>
          <w:cantSplit/>
        </w:trPr>
        <w:tc>
          <w:tcPr>
            <w:tcW w:w="1081" w:type="pct"/>
            <w:shd w:val="clear" w:color="auto" w:fill="auto"/>
          </w:tcPr>
          <w:p w14:paraId="4333943A" w14:textId="77777777" w:rsidR="00E51CDD" w:rsidRPr="00227BE0" w:rsidRDefault="00E51CDD" w:rsidP="009938D9">
            <w:pPr>
              <w:pStyle w:val="RepTable"/>
              <w:rPr>
                <w:i/>
                <w:noProof w:val="0"/>
              </w:rPr>
            </w:pPr>
            <w:r w:rsidRPr="00227BE0">
              <w:rPr>
                <w:i/>
                <w:noProof w:val="0"/>
              </w:rPr>
              <w:t>Pimephales promelas</w:t>
            </w:r>
          </w:p>
        </w:tc>
        <w:tc>
          <w:tcPr>
            <w:tcW w:w="972" w:type="pct"/>
            <w:shd w:val="clear" w:color="auto" w:fill="auto"/>
          </w:tcPr>
          <w:p w14:paraId="2CCA51D5"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68B22D45" w14:textId="77777777" w:rsidR="00E51CDD" w:rsidRPr="00227BE0" w:rsidRDefault="00E51CDD" w:rsidP="009938D9">
            <w:pPr>
              <w:pStyle w:val="RepTable"/>
              <w:rPr>
                <w:noProof w:val="0"/>
              </w:rPr>
            </w:pPr>
            <w:r w:rsidRPr="00227BE0">
              <w:rPr>
                <w:noProof w:val="0"/>
              </w:rPr>
              <w:t>33 d (ELS), f</w:t>
            </w:r>
          </w:p>
        </w:tc>
        <w:tc>
          <w:tcPr>
            <w:tcW w:w="897" w:type="pct"/>
            <w:shd w:val="clear" w:color="auto" w:fill="auto"/>
          </w:tcPr>
          <w:p w14:paraId="167FA88E" w14:textId="77777777" w:rsidR="00E51CDD" w:rsidRPr="002262EA" w:rsidRDefault="00E51CDD" w:rsidP="009938D9">
            <w:pPr>
              <w:pStyle w:val="RepTable"/>
              <w:rPr>
                <w:noProof w:val="0"/>
                <w:vertAlign w:val="subscript"/>
                <w:lang w:val="nl-BE"/>
              </w:rPr>
            </w:pPr>
            <w:r w:rsidRPr="002262EA">
              <w:rPr>
                <w:noProof w:val="0"/>
                <w:lang w:val="nl-BE"/>
              </w:rPr>
              <w:t>NOEC = 0.147 mg a.s./L </w:t>
            </w:r>
            <w:r w:rsidRPr="002262EA">
              <w:rPr>
                <w:noProof w:val="0"/>
                <w:vertAlign w:val="subscript"/>
                <w:lang w:val="nl-BE"/>
              </w:rPr>
              <w:t>mm</w:t>
            </w:r>
          </w:p>
        </w:tc>
        <w:tc>
          <w:tcPr>
            <w:tcW w:w="1152" w:type="pct"/>
            <w:shd w:val="clear" w:color="auto" w:fill="auto"/>
          </w:tcPr>
          <w:p w14:paraId="3A72060F" w14:textId="77777777" w:rsidR="00E51CDD" w:rsidRPr="00227BE0" w:rsidRDefault="00E51CDD" w:rsidP="009938D9">
            <w:pPr>
              <w:pStyle w:val="RepTable"/>
              <w:rPr>
                <w:noProof w:val="0"/>
                <w:lang w:val="fr-FR"/>
              </w:rPr>
            </w:pPr>
            <w:r w:rsidRPr="00227BE0">
              <w:rPr>
                <w:noProof w:val="0"/>
                <w:lang w:val="fr-FR"/>
              </w:rPr>
              <w:t xml:space="preserve">EFSA Journal 2010; 8(4):1542, </w:t>
            </w:r>
          </w:p>
          <w:p w14:paraId="435F4950" w14:textId="77777777" w:rsidR="00E51CDD" w:rsidRPr="00227BE0" w:rsidRDefault="00E51CDD" w:rsidP="009938D9">
            <w:pPr>
              <w:pStyle w:val="RepTable"/>
              <w:rPr>
                <w:noProof w:val="0"/>
                <w:lang w:val="fr-FR"/>
              </w:rPr>
            </w:pPr>
            <w:r w:rsidRPr="00227BE0">
              <w:rPr>
                <w:noProof w:val="0"/>
                <w:lang w:val="fr-FR"/>
              </w:rPr>
              <w:t>Rhodes, J.E., 1994, ICI5504/0924</w:t>
            </w:r>
          </w:p>
        </w:tc>
      </w:tr>
      <w:tr w:rsidR="00E51CDD" w:rsidRPr="00227BE0" w14:paraId="01A34682" w14:textId="77777777" w:rsidTr="009938D9">
        <w:trPr>
          <w:cantSplit/>
        </w:trPr>
        <w:tc>
          <w:tcPr>
            <w:tcW w:w="1081" w:type="pct"/>
            <w:shd w:val="clear" w:color="auto" w:fill="auto"/>
          </w:tcPr>
          <w:p w14:paraId="56E85306" w14:textId="77777777" w:rsidR="00E51CDD" w:rsidRPr="00227BE0" w:rsidRDefault="00E51CDD" w:rsidP="009938D9">
            <w:pPr>
              <w:pStyle w:val="RepTable"/>
              <w:rPr>
                <w:i/>
                <w:noProof w:val="0"/>
              </w:rPr>
            </w:pPr>
            <w:r w:rsidRPr="00227BE0">
              <w:rPr>
                <w:i/>
                <w:noProof w:val="0"/>
              </w:rPr>
              <w:t>Daphnia magna</w:t>
            </w:r>
          </w:p>
        </w:tc>
        <w:tc>
          <w:tcPr>
            <w:tcW w:w="972" w:type="pct"/>
            <w:shd w:val="clear" w:color="auto" w:fill="auto"/>
          </w:tcPr>
          <w:p w14:paraId="29C5E586"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2802FF14" w14:textId="77777777" w:rsidR="00E51CDD" w:rsidRPr="00227BE0" w:rsidRDefault="00E51CDD" w:rsidP="009938D9">
            <w:pPr>
              <w:pStyle w:val="RepTable"/>
              <w:rPr>
                <w:noProof w:val="0"/>
              </w:rPr>
            </w:pPr>
            <w:r w:rsidRPr="00227BE0">
              <w:rPr>
                <w:noProof w:val="0"/>
              </w:rPr>
              <w:t>48 h, s</w:t>
            </w:r>
          </w:p>
        </w:tc>
        <w:tc>
          <w:tcPr>
            <w:tcW w:w="897" w:type="pct"/>
            <w:shd w:val="clear" w:color="auto" w:fill="auto"/>
          </w:tcPr>
          <w:p w14:paraId="16005AFD" w14:textId="77777777" w:rsidR="00E51CDD" w:rsidRPr="00227BE0" w:rsidRDefault="00E51CDD" w:rsidP="009938D9">
            <w:pPr>
              <w:pStyle w:val="RepTable"/>
              <w:rPr>
                <w:b/>
                <w:noProof w:val="0"/>
                <w:vertAlign w:val="subscript"/>
              </w:rPr>
            </w:pPr>
            <w:r w:rsidRPr="00227BE0">
              <w:rPr>
                <w:b/>
                <w:noProof w:val="0"/>
              </w:rPr>
              <w:t>EC</w:t>
            </w:r>
            <w:r w:rsidRPr="00227BE0">
              <w:rPr>
                <w:b/>
                <w:noProof w:val="0"/>
                <w:vertAlign w:val="subscript"/>
              </w:rPr>
              <w:t>50</w:t>
            </w:r>
            <w:r w:rsidRPr="00227BE0">
              <w:rPr>
                <w:b/>
                <w:noProof w:val="0"/>
              </w:rPr>
              <w:t xml:space="preserve"> = 0.23 mg a.s./L </w:t>
            </w:r>
            <w:r w:rsidRPr="00227BE0">
              <w:rPr>
                <w:b/>
                <w:noProof w:val="0"/>
                <w:vertAlign w:val="subscript"/>
              </w:rPr>
              <w:t>mm</w:t>
            </w:r>
          </w:p>
        </w:tc>
        <w:tc>
          <w:tcPr>
            <w:tcW w:w="1152" w:type="pct"/>
            <w:shd w:val="clear" w:color="auto" w:fill="auto"/>
          </w:tcPr>
          <w:p w14:paraId="26AF62A5" w14:textId="77777777" w:rsidR="00E51CDD" w:rsidRPr="00227BE0" w:rsidRDefault="00E51CDD" w:rsidP="009938D9">
            <w:pPr>
              <w:pStyle w:val="RepTable"/>
              <w:rPr>
                <w:noProof w:val="0"/>
              </w:rPr>
            </w:pPr>
            <w:r w:rsidRPr="00227BE0">
              <w:rPr>
                <w:noProof w:val="0"/>
              </w:rPr>
              <w:t xml:space="preserve">EFSA Journal 2010; 8(4):1542, </w:t>
            </w:r>
          </w:p>
          <w:p w14:paraId="31681967" w14:textId="77777777" w:rsidR="00E51CDD" w:rsidRPr="00227BE0" w:rsidRDefault="00E51CDD" w:rsidP="009938D9">
            <w:pPr>
              <w:pStyle w:val="RepTable"/>
              <w:rPr>
                <w:noProof w:val="0"/>
              </w:rPr>
            </w:pPr>
            <w:r w:rsidRPr="00227BE0">
              <w:rPr>
                <w:noProof w:val="0"/>
              </w:rPr>
              <w:t xml:space="preserve">Farrelly, E., Hamer, M.J., 1994, </w:t>
            </w:r>
            <w:r w:rsidRPr="00227BE0">
              <w:rPr>
                <w:noProof w:val="0"/>
                <w:szCs w:val="20"/>
              </w:rPr>
              <w:t>ICIA5504</w:t>
            </w:r>
            <w:r w:rsidRPr="00227BE0">
              <w:rPr>
                <w:rStyle w:val="Odwoaniedokomentarza"/>
                <w:noProof w:val="0"/>
                <w:sz w:val="20"/>
                <w:szCs w:val="20"/>
              </w:rPr>
              <w:t>/0931</w:t>
            </w:r>
          </w:p>
        </w:tc>
      </w:tr>
      <w:tr w:rsidR="00E51CDD" w:rsidRPr="00227BE0" w14:paraId="23C5B506" w14:textId="77777777" w:rsidTr="009938D9">
        <w:trPr>
          <w:cantSplit/>
        </w:trPr>
        <w:tc>
          <w:tcPr>
            <w:tcW w:w="1081" w:type="pct"/>
            <w:shd w:val="clear" w:color="auto" w:fill="auto"/>
          </w:tcPr>
          <w:p w14:paraId="6FD4A4A4" w14:textId="77777777" w:rsidR="00E51CDD" w:rsidRPr="00227BE0" w:rsidRDefault="00E51CDD" w:rsidP="009938D9">
            <w:pPr>
              <w:pStyle w:val="RepTable"/>
              <w:rPr>
                <w:i/>
                <w:noProof w:val="0"/>
              </w:rPr>
            </w:pPr>
            <w:r w:rsidRPr="00227BE0">
              <w:rPr>
                <w:i/>
                <w:noProof w:val="0"/>
              </w:rPr>
              <w:t>Macrocyclops fuscus</w:t>
            </w:r>
          </w:p>
        </w:tc>
        <w:tc>
          <w:tcPr>
            <w:tcW w:w="972" w:type="pct"/>
            <w:shd w:val="clear" w:color="auto" w:fill="auto"/>
          </w:tcPr>
          <w:p w14:paraId="4BBD295B"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32E85E27" w14:textId="77777777" w:rsidR="00E51CDD" w:rsidRPr="00227BE0" w:rsidRDefault="00E51CDD" w:rsidP="009938D9">
            <w:pPr>
              <w:pStyle w:val="RepTable"/>
              <w:rPr>
                <w:noProof w:val="0"/>
              </w:rPr>
            </w:pPr>
            <w:r w:rsidRPr="00227BE0">
              <w:rPr>
                <w:noProof w:val="0"/>
              </w:rPr>
              <w:t>48 h, s</w:t>
            </w:r>
          </w:p>
        </w:tc>
        <w:tc>
          <w:tcPr>
            <w:tcW w:w="897" w:type="pct"/>
            <w:shd w:val="clear" w:color="auto" w:fill="auto"/>
          </w:tcPr>
          <w:p w14:paraId="1770CCB2" w14:textId="77777777" w:rsidR="00E51CDD" w:rsidRPr="00227BE0" w:rsidRDefault="00E51CDD" w:rsidP="009938D9">
            <w:pPr>
              <w:pStyle w:val="RepTable"/>
              <w:rPr>
                <w:noProof w:val="0"/>
                <w:vertAlign w:val="subscript"/>
                <w:lang w:val="fr-FR"/>
              </w:rPr>
            </w:pPr>
            <w:r w:rsidRPr="00227BE0">
              <w:rPr>
                <w:noProof w:val="0"/>
                <w:lang w:val="fr-FR"/>
              </w:rPr>
              <w:t>EC</w:t>
            </w:r>
            <w:r w:rsidRPr="00227BE0">
              <w:rPr>
                <w:noProof w:val="0"/>
                <w:vertAlign w:val="subscript"/>
                <w:lang w:val="fr-FR"/>
              </w:rPr>
              <w:t>50</w:t>
            </w:r>
            <w:r w:rsidRPr="00227BE0">
              <w:rPr>
                <w:noProof w:val="0"/>
                <w:lang w:val="fr-FR"/>
              </w:rPr>
              <w:t xml:space="preserve"> = 0.13 mg a.s./L </w:t>
            </w:r>
            <w:r w:rsidRPr="00227BE0">
              <w:rPr>
                <w:noProof w:val="0"/>
                <w:vertAlign w:val="subscript"/>
                <w:lang w:val="fr-FR"/>
              </w:rPr>
              <w:t>nom</w:t>
            </w:r>
          </w:p>
        </w:tc>
        <w:tc>
          <w:tcPr>
            <w:tcW w:w="1152" w:type="pct"/>
            <w:shd w:val="clear" w:color="auto" w:fill="auto"/>
          </w:tcPr>
          <w:p w14:paraId="5D6989ED" w14:textId="77777777" w:rsidR="00E51CDD" w:rsidRPr="00227BE0" w:rsidRDefault="00E51CDD" w:rsidP="009938D9">
            <w:pPr>
              <w:pStyle w:val="RepTable"/>
              <w:rPr>
                <w:noProof w:val="0"/>
              </w:rPr>
            </w:pPr>
            <w:r w:rsidRPr="00227BE0">
              <w:rPr>
                <w:noProof w:val="0"/>
              </w:rPr>
              <w:t>EFSA Journal 2010; 8(4):1542,</w:t>
            </w:r>
          </w:p>
          <w:p w14:paraId="34DD2AF4" w14:textId="77777777" w:rsidR="00E51CDD" w:rsidRPr="00227BE0" w:rsidRDefault="00E51CDD" w:rsidP="009938D9">
            <w:pPr>
              <w:pStyle w:val="RepTable"/>
              <w:rPr>
                <w:noProof w:val="0"/>
              </w:rPr>
            </w:pPr>
            <w:r w:rsidRPr="00227BE0">
              <w:rPr>
                <w:noProof w:val="0"/>
              </w:rPr>
              <w:t>Farrelly, E., Kearson, L.L., Rapley, J.H., Hamer, 1995, ICIA5504/0940</w:t>
            </w:r>
          </w:p>
        </w:tc>
      </w:tr>
      <w:tr w:rsidR="00E51CDD" w:rsidRPr="007330A6" w14:paraId="2D7D211A" w14:textId="77777777" w:rsidTr="009938D9">
        <w:trPr>
          <w:cantSplit/>
        </w:trPr>
        <w:tc>
          <w:tcPr>
            <w:tcW w:w="1081" w:type="pct"/>
            <w:shd w:val="clear" w:color="auto" w:fill="auto"/>
          </w:tcPr>
          <w:p w14:paraId="72BE6D9C" w14:textId="77777777" w:rsidR="00E51CDD" w:rsidRPr="00227BE0" w:rsidRDefault="00E51CDD" w:rsidP="009938D9">
            <w:pPr>
              <w:pStyle w:val="RepTable"/>
              <w:rPr>
                <w:i/>
                <w:noProof w:val="0"/>
              </w:rPr>
            </w:pPr>
            <w:r w:rsidRPr="00227BE0">
              <w:rPr>
                <w:i/>
                <w:noProof w:val="0"/>
              </w:rPr>
              <w:t>Mysidopsis bahia</w:t>
            </w:r>
          </w:p>
        </w:tc>
        <w:tc>
          <w:tcPr>
            <w:tcW w:w="972" w:type="pct"/>
            <w:shd w:val="clear" w:color="auto" w:fill="auto"/>
          </w:tcPr>
          <w:p w14:paraId="0E7FEFFD"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5D266931" w14:textId="77777777" w:rsidR="00E51CDD" w:rsidRPr="00227BE0" w:rsidRDefault="00E51CDD" w:rsidP="009938D9">
            <w:pPr>
              <w:pStyle w:val="RepTable"/>
              <w:rPr>
                <w:noProof w:val="0"/>
              </w:rPr>
            </w:pPr>
            <w:r w:rsidRPr="00227BE0">
              <w:rPr>
                <w:noProof w:val="0"/>
              </w:rPr>
              <w:t>96 h, s</w:t>
            </w:r>
          </w:p>
        </w:tc>
        <w:tc>
          <w:tcPr>
            <w:tcW w:w="897" w:type="pct"/>
            <w:shd w:val="clear" w:color="auto" w:fill="auto"/>
          </w:tcPr>
          <w:p w14:paraId="259E640E" w14:textId="77777777" w:rsidR="00E51CDD" w:rsidRPr="00227BE0" w:rsidRDefault="00E51CDD" w:rsidP="009938D9">
            <w:pPr>
              <w:pStyle w:val="RepTable"/>
              <w:rPr>
                <w:noProof w:val="0"/>
                <w:vertAlign w:val="subscript"/>
                <w:lang w:val="fr-FR"/>
              </w:rPr>
            </w:pPr>
            <w:r w:rsidRPr="00227BE0">
              <w:rPr>
                <w:noProof w:val="0"/>
                <w:lang w:val="fr-FR"/>
              </w:rPr>
              <w:t>EC</w:t>
            </w:r>
            <w:r w:rsidRPr="00227BE0">
              <w:rPr>
                <w:noProof w:val="0"/>
                <w:vertAlign w:val="subscript"/>
                <w:lang w:val="fr-FR"/>
              </w:rPr>
              <w:t>50</w:t>
            </w:r>
            <w:r w:rsidRPr="00227BE0">
              <w:rPr>
                <w:noProof w:val="0"/>
                <w:lang w:val="fr-FR"/>
              </w:rPr>
              <w:t xml:space="preserve"> = 0.055 mg a.s./L </w:t>
            </w:r>
            <w:r w:rsidRPr="00227BE0">
              <w:rPr>
                <w:noProof w:val="0"/>
                <w:vertAlign w:val="subscript"/>
                <w:lang w:val="fr-FR"/>
              </w:rPr>
              <w:t>nom</w:t>
            </w:r>
          </w:p>
        </w:tc>
        <w:tc>
          <w:tcPr>
            <w:tcW w:w="1152" w:type="pct"/>
            <w:shd w:val="clear" w:color="auto" w:fill="auto"/>
          </w:tcPr>
          <w:p w14:paraId="48712C1A" w14:textId="77777777" w:rsidR="00E51CDD" w:rsidRPr="00227BE0" w:rsidRDefault="00E51CDD" w:rsidP="009938D9">
            <w:pPr>
              <w:pStyle w:val="RepTable"/>
              <w:rPr>
                <w:noProof w:val="0"/>
                <w:lang w:val="fr-FR"/>
              </w:rPr>
            </w:pPr>
            <w:r w:rsidRPr="00227BE0">
              <w:rPr>
                <w:noProof w:val="0"/>
                <w:lang w:val="fr-FR"/>
              </w:rPr>
              <w:t>EFSA Journal 2010; 8(4):1542,</w:t>
            </w:r>
          </w:p>
          <w:p w14:paraId="38B5B212" w14:textId="77777777" w:rsidR="00E51CDD" w:rsidRPr="00227BE0" w:rsidRDefault="00E51CDD" w:rsidP="009938D9">
            <w:pPr>
              <w:pStyle w:val="RepTable"/>
              <w:rPr>
                <w:noProof w:val="0"/>
                <w:lang w:val="fr-FR"/>
              </w:rPr>
            </w:pPr>
            <w:r w:rsidRPr="00227BE0">
              <w:rPr>
                <w:noProof w:val="0"/>
                <w:lang w:val="fr-FR"/>
              </w:rPr>
              <w:t>Kent, S.J., Sankey, S.A., Grinell, A.J., 1993, ICI5504/0925</w:t>
            </w:r>
          </w:p>
        </w:tc>
      </w:tr>
      <w:tr w:rsidR="00E51CDD" w:rsidRPr="007330A6" w14:paraId="2D19BC34" w14:textId="77777777" w:rsidTr="009938D9">
        <w:trPr>
          <w:cantSplit/>
        </w:trPr>
        <w:tc>
          <w:tcPr>
            <w:tcW w:w="1081" w:type="pct"/>
            <w:shd w:val="clear" w:color="auto" w:fill="auto"/>
          </w:tcPr>
          <w:p w14:paraId="346B9DA4" w14:textId="77777777" w:rsidR="00E51CDD" w:rsidRPr="00227BE0" w:rsidRDefault="00E51CDD" w:rsidP="009938D9">
            <w:pPr>
              <w:pStyle w:val="RepTable"/>
              <w:rPr>
                <w:i/>
                <w:noProof w:val="0"/>
              </w:rPr>
            </w:pPr>
            <w:r w:rsidRPr="00227BE0">
              <w:rPr>
                <w:i/>
                <w:noProof w:val="0"/>
              </w:rPr>
              <w:t>Mysidopsis bahia</w:t>
            </w:r>
          </w:p>
        </w:tc>
        <w:tc>
          <w:tcPr>
            <w:tcW w:w="972" w:type="pct"/>
            <w:shd w:val="clear" w:color="auto" w:fill="auto"/>
          </w:tcPr>
          <w:p w14:paraId="1F8B6317"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416519E9" w14:textId="77777777" w:rsidR="00E51CDD" w:rsidRPr="00227BE0" w:rsidRDefault="00E51CDD" w:rsidP="009938D9">
            <w:pPr>
              <w:pStyle w:val="RepTable"/>
              <w:rPr>
                <w:noProof w:val="0"/>
              </w:rPr>
            </w:pPr>
            <w:r w:rsidRPr="00227BE0">
              <w:rPr>
                <w:noProof w:val="0"/>
              </w:rPr>
              <w:t>48 h, s</w:t>
            </w:r>
          </w:p>
        </w:tc>
        <w:tc>
          <w:tcPr>
            <w:tcW w:w="897" w:type="pct"/>
            <w:shd w:val="clear" w:color="auto" w:fill="auto"/>
          </w:tcPr>
          <w:p w14:paraId="5E9FCE18" w14:textId="77777777" w:rsidR="00E51CDD" w:rsidRPr="00227BE0" w:rsidRDefault="00E51CDD" w:rsidP="009938D9">
            <w:pPr>
              <w:pStyle w:val="RepTable"/>
              <w:rPr>
                <w:noProof w:val="0"/>
                <w:vertAlign w:val="subscript"/>
                <w:lang w:val="fr-FR"/>
              </w:rPr>
            </w:pPr>
            <w:r w:rsidRPr="00227BE0">
              <w:rPr>
                <w:noProof w:val="0"/>
                <w:lang w:val="fr-FR"/>
              </w:rPr>
              <w:t>EC</w:t>
            </w:r>
            <w:r w:rsidRPr="00227BE0">
              <w:rPr>
                <w:noProof w:val="0"/>
                <w:vertAlign w:val="subscript"/>
                <w:lang w:val="fr-FR"/>
              </w:rPr>
              <w:t>50</w:t>
            </w:r>
            <w:r w:rsidRPr="00227BE0">
              <w:rPr>
                <w:noProof w:val="0"/>
                <w:lang w:val="fr-FR"/>
              </w:rPr>
              <w:t xml:space="preserve"> = 0.068 mg a.s./L </w:t>
            </w:r>
            <w:r w:rsidRPr="00227BE0">
              <w:rPr>
                <w:noProof w:val="0"/>
                <w:vertAlign w:val="subscript"/>
                <w:lang w:val="fr-FR"/>
              </w:rPr>
              <w:t>nom</w:t>
            </w:r>
          </w:p>
        </w:tc>
        <w:tc>
          <w:tcPr>
            <w:tcW w:w="1152" w:type="pct"/>
            <w:shd w:val="clear" w:color="auto" w:fill="auto"/>
          </w:tcPr>
          <w:p w14:paraId="33B24F61" w14:textId="77777777" w:rsidR="00E51CDD" w:rsidRPr="00227BE0" w:rsidRDefault="00E51CDD" w:rsidP="009938D9">
            <w:pPr>
              <w:pStyle w:val="RepTable"/>
              <w:rPr>
                <w:noProof w:val="0"/>
                <w:lang w:val="fr-FR"/>
              </w:rPr>
            </w:pPr>
            <w:r w:rsidRPr="00227BE0">
              <w:rPr>
                <w:noProof w:val="0"/>
                <w:lang w:val="fr-FR"/>
              </w:rPr>
              <w:t>EFSA Journal 2010; 8(4):1542</w:t>
            </w:r>
          </w:p>
          <w:p w14:paraId="5A9BFBDA" w14:textId="77777777" w:rsidR="00E51CDD" w:rsidRPr="00227BE0" w:rsidRDefault="00E51CDD" w:rsidP="009938D9">
            <w:pPr>
              <w:pStyle w:val="RepTable"/>
              <w:rPr>
                <w:noProof w:val="0"/>
                <w:lang w:val="fr-FR"/>
              </w:rPr>
            </w:pPr>
            <w:r w:rsidRPr="00227BE0">
              <w:rPr>
                <w:noProof w:val="0"/>
                <w:lang w:val="fr-FR"/>
              </w:rPr>
              <w:t>Ward TJ, Magazu JP, Boeri RL, ICI5504/0958</w:t>
            </w:r>
          </w:p>
        </w:tc>
      </w:tr>
      <w:tr w:rsidR="00E51CDD" w:rsidRPr="007330A6" w14:paraId="6A39D222" w14:textId="77777777" w:rsidTr="009938D9">
        <w:trPr>
          <w:cantSplit/>
        </w:trPr>
        <w:tc>
          <w:tcPr>
            <w:tcW w:w="1081" w:type="pct"/>
            <w:shd w:val="clear" w:color="auto" w:fill="auto"/>
          </w:tcPr>
          <w:p w14:paraId="4F55E0D8" w14:textId="77777777" w:rsidR="00E51CDD" w:rsidRPr="00227BE0" w:rsidRDefault="00E51CDD" w:rsidP="009938D9">
            <w:pPr>
              <w:pStyle w:val="RepTable"/>
              <w:rPr>
                <w:i/>
                <w:noProof w:val="0"/>
              </w:rPr>
            </w:pPr>
            <w:r w:rsidRPr="00227BE0">
              <w:rPr>
                <w:i/>
                <w:noProof w:val="0"/>
              </w:rPr>
              <w:t>Crassostrea gigas</w:t>
            </w:r>
          </w:p>
        </w:tc>
        <w:tc>
          <w:tcPr>
            <w:tcW w:w="972" w:type="pct"/>
            <w:shd w:val="clear" w:color="auto" w:fill="auto"/>
          </w:tcPr>
          <w:p w14:paraId="2C9FA306"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033DEDE2" w14:textId="77777777" w:rsidR="00E51CDD" w:rsidRPr="00227BE0" w:rsidRDefault="00E51CDD" w:rsidP="009938D9">
            <w:pPr>
              <w:pStyle w:val="RepTable"/>
              <w:rPr>
                <w:noProof w:val="0"/>
              </w:rPr>
            </w:pPr>
            <w:r w:rsidRPr="00227BE0">
              <w:rPr>
                <w:noProof w:val="0"/>
              </w:rPr>
              <w:t>48 h, s</w:t>
            </w:r>
          </w:p>
        </w:tc>
        <w:tc>
          <w:tcPr>
            <w:tcW w:w="897" w:type="pct"/>
            <w:shd w:val="clear" w:color="auto" w:fill="auto"/>
          </w:tcPr>
          <w:p w14:paraId="79DB9C43" w14:textId="77777777" w:rsidR="00E51CDD" w:rsidRPr="00227BE0" w:rsidRDefault="00E51CDD" w:rsidP="009938D9">
            <w:pPr>
              <w:pStyle w:val="RepTable"/>
              <w:rPr>
                <w:noProof w:val="0"/>
                <w:vertAlign w:val="subscript"/>
                <w:lang w:val="fr-FR"/>
              </w:rPr>
            </w:pPr>
            <w:r w:rsidRPr="00227BE0">
              <w:rPr>
                <w:noProof w:val="0"/>
                <w:lang w:val="fr-FR"/>
              </w:rPr>
              <w:t>EC</w:t>
            </w:r>
            <w:r w:rsidRPr="00227BE0">
              <w:rPr>
                <w:noProof w:val="0"/>
                <w:vertAlign w:val="subscript"/>
                <w:lang w:val="fr-FR"/>
              </w:rPr>
              <w:t>50</w:t>
            </w:r>
            <w:r w:rsidRPr="00227BE0">
              <w:rPr>
                <w:noProof w:val="0"/>
                <w:lang w:val="fr-FR"/>
              </w:rPr>
              <w:t xml:space="preserve"> = 1.3 mg a.s./L </w:t>
            </w:r>
            <w:r w:rsidRPr="00227BE0">
              <w:rPr>
                <w:noProof w:val="0"/>
                <w:vertAlign w:val="subscript"/>
                <w:lang w:val="fr-FR"/>
              </w:rPr>
              <w:t>nom</w:t>
            </w:r>
          </w:p>
        </w:tc>
        <w:tc>
          <w:tcPr>
            <w:tcW w:w="1152" w:type="pct"/>
            <w:shd w:val="clear" w:color="auto" w:fill="auto"/>
          </w:tcPr>
          <w:p w14:paraId="7906BA23" w14:textId="77777777" w:rsidR="00E51CDD" w:rsidRPr="00227BE0" w:rsidRDefault="00E51CDD" w:rsidP="009938D9">
            <w:pPr>
              <w:pStyle w:val="RepTable"/>
              <w:rPr>
                <w:noProof w:val="0"/>
                <w:lang w:val="fr-FR"/>
              </w:rPr>
            </w:pPr>
            <w:r w:rsidRPr="00227BE0">
              <w:rPr>
                <w:noProof w:val="0"/>
                <w:lang w:val="fr-FR"/>
              </w:rPr>
              <w:t>EFSA Journal 2010; 8(4):1542,</w:t>
            </w:r>
          </w:p>
          <w:p w14:paraId="121FD4F7" w14:textId="77777777" w:rsidR="00E51CDD" w:rsidRPr="00227BE0" w:rsidRDefault="00E51CDD" w:rsidP="009938D9">
            <w:pPr>
              <w:pStyle w:val="RepTable"/>
              <w:rPr>
                <w:noProof w:val="0"/>
                <w:lang w:val="fr-FR"/>
              </w:rPr>
            </w:pPr>
            <w:r w:rsidRPr="00227BE0">
              <w:rPr>
                <w:noProof w:val="0"/>
                <w:lang w:val="fr-FR"/>
              </w:rPr>
              <w:t>Kent, S.J., Sankey, S.A., Cautner, J.E., Grinell, A.J., 1994, ICI5504/0927</w:t>
            </w:r>
          </w:p>
        </w:tc>
      </w:tr>
      <w:tr w:rsidR="00E51CDD" w:rsidRPr="007330A6" w14:paraId="31AE9639" w14:textId="77777777" w:rsidTr="009938D9">
        <w:trPr>
          <w:cantSplit/>
        </w:trPr>
        <w:tc>
          <w:tcPr>
            <w:tcW w:w="1081" w:type="pct"/>
            <w:shd w:val="clear" w:color="auto" w:fill="auto"/>
          </w:tcPr>
          <w:p w14:paraId="473F4A5A" w14:textId="77777777" w:rsidR="00E51CDD" w:rsidRPr="00227BE0" w:rsidRDefault="00E51CDD" w:rsidP="009938D9">
            <w:pPr>
              <w:pStyle w:val="RepTable"/>
              <w:rPr>
                <w:i/>
                <w:noProof w:val="0"/>
              </w:rPr>
            </w:pPr>
            <w:r w:rsidRPr="00227BE0">
              <w:rPr>
                <w:i/>
                <w:noProof w:val="0"/>
              </w:rPr>
              <w:t>Daphnia magna</w:t>
            </w:r>
          </w:p>
        </w:tc>
        <w:tc>
          <w:tcPr>
            <w:tcW w:w="972" w:type="pct"/>
            <w:shd w:val="clear" w:color="auto" w:fill="auto"/>
          </w:tcPr>
          <w:p w14:paraId="62143D07"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3D7629AF" w14:textId="77777777" w:rsidR="00E51CDD" w:rsidRPr="00227BE0" w:rsidRDefault="00E51CDD" w:rsidP="009938D9">
            <w:pPr>
              <w:pStyle w:val="RepTable"/>
              <w:rPr>
                <w:noProof w:val="0"/>
              </w:rPr>
            </w:pPr>
            <w:r w:rsidRPr="00227BE0">
              <w:rPr>
                <w:noProof w:val="0"/>
              </w:rPr>
              <w:t>21 d, s</w:t>
            </w:r>
          </w:p>
        </w:tc>
        <w:tc>
          <w:tcPr>
            <w:tcW w:w="897" w:type="pct"/>
            <w:shd w:val="clear" w:color="auto" w:fill="auto"/>
          </w:tcPr>
          <w:p w14:paraId="7929E6E0" w14:textId="77777777" w:rsidR="00E51CDD" w:rsidRPr="002262EA" w:rsidRDefault="00E51CDD" w:rsidP="009938D9">
            <w:pPr>
              <w:pStyle w:val="RepTable"/>
              <w:rPr>
                <w:b/>
                <w:bCs/>
                <w:noProof w:val="0"/>
                <w:lang w:val="nl-BE"/>
              </w:rPr>
            </w:pPr>
            <w:r w:rsidRPr="002262EA">
              <w:rPr>
                <w:b/>
                <w:bCs/>
                <w:noProof w:val="0"/>
                <w:lang w:val="nl-BE"/>
              </w:rPr>
              <w:t>NOEC = 0.044 mg a.s./L </w:t>
            </w:r>
            <w:r w:rsidRPr="002262EA">
              <w:rPr>
                <w:b/>
                <w:bCs/>
                <w:noProof w:val="0"/>
                <w:vertAlign w:val="subscript"/>
                <w:lang w:val="nl-BE"/>
              </w:rPr>
              <w:t>mm</w:t>
            </w:r>
          </w:p>
        </w:tc>
        <w:tc>
          <w:tcPr>
            <w:tcW w:w="1152" w:type="pct"/>
            <w:shd w:val="clear" w:color="auto" w:fill="auto"/>
          </w:tcPr>
          <w:p w14:paraId="578B2A71" w14:textId="77777777" w:rsidR="00E51CDD" w:rsidRPr="00227BE0" w:rsidRDefault="00E51CDD" w:rsidP="009938D9">
            <w:pPr>
              <w:pStyle w:val="RepTable"/>
              <w:rPr>
                <w:noProof w:val="0"/>
                <w:lang w:val="fr-FR"/>
              </w:rPr>
            </w:pPr>
            <w:r w:rsidRPr="00227BE0">
              <w:rPr>
                <w:noProof w:val="0"/>
                <w:lang w:val="fr-FR"/>
              </w:rPr>
              <w:t xml:space="preserve">EFSA Journal 2010; 8(4):1542, </w:t>
            </w:r>
          </w:p>
          <w:p w14:paraId="10E80FB0" w14:textId="77777777" w:rsidR="00E51CDD" w:rsidRPr="00227BE0" w:rsidRDefault="00E51CDD" w:rsidP="009938D9">
            <w:pPr>
              <w:pStyle w:val="RepTable"/>
              <w:rPr>
                <w:noProof w:val="0"/>
                <w:lang w:val="fr-FR"/>
              </w:rPr>
            </w:pPr>
            <w:r w:rsidRPr="00227BE0">
              <w:rPr>
                <w:noProof w:val="0"/>
                <w:lang w:val="fr-FR"/>
              </w:rPr>
              <w:t>Rapley et al., 1994, ICI5504/0957</w:t>
            </w:r>
          </w:p>
        </w:tc>
      </w:tr>
      <w:tr w:rsidR="00E51CDD" w:rsidRPr="007330A6" w14:paraId="58F3C127" w14:textId="77777777" w:rsidTr="009938D9">
        <w:trPr>
          <w:cantSplit/>
        </w:trPr>
        <w:tc>
          <w:tcPr>
            <w:tcW w:w="1081" w:type="pct"/>
            <w:shd w:val="clear" w:color="auto" w:fill="auto"/>
          </w:tcPr>
          <w:p w14:paraId="11C5E6E5" w14:textId="77777777" w:rsidR="00E51CDD" w:rsidRPr="00227BE0" w:rsidRDefault="00E51CDD" w:rsidP="009938D9">
            <w:pPr>
              <w:pStyle w:val="RepTable"/>
              <w:rPr>
                <w:i/>
                <w:noProof w:val="0"/>
              </w:rPr>
            </w:pPr>
            <w:r w:rsidRPr="00227BE0">
              <w:rPr>
                <w:i/>
                <w:noProof w:val="0"/>
              </w:rPr>
              <w:lastRenderedPageBreak/>
              <w:t>Mysidopsis bahia</w:t>
            </w:r>
          </w:p>
        </w:tc>
        <w:tc>
          <w:tcPr>
            <w:tcW w:w="972" w:type="pct"/>
            <w:shd w:val="clear" w:color="auto" w:fill="auto"/>
          </w:tcPr>
          <w:p w14:paraId="70379F07"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20DCC675" w14:textId="77777777" w:rsidR="00E51CDD" w:rsidRPr="00227BE0" w:rsidRDefault="00E51CDD" w:rsidP="009938D9">
            <w:pPr>
              <w:pStyle w:val="RepTable"/>
              <w:rPr>
                <w:noProof w:val="0"/>
              </w:rPr>
            </w:pPr>
            <w:r w:rsidRPr="00227BE0">
              <w:rPr>
                <w:noProof w:val="0"/>
              </w:rPr>
              <w:t>21 d, s</w:t>
            </w:r>
          </w:p>
        </w:tc>
        <w:tc>
          <w:tcPr>
            <w:tcW w:w="897" w:type="pct"/>
            <w:shd w:val="clear" w:color="auto" w:fill="auto"/>
          </w:tcPr>
          <w:p w14:paraId="50B6342B" w14:textId="77777777" w:rsidR="00E51CDD" w:rsidRPr="002262EA" w:rsidRDefault="00E51CDD" w:rsidP="009938D9">
            <w:pPr>
              <w:pStyle w:val="RepTable"/>
              <w:rPr>
                <w:noProof w:val="0"/>
                <w:lang w:val="nl-BE"/>
              </w:rPr>
            </w:pPr>
            <w:r w:rsidRPr="002262EA">
              <w:rPr>
                <w:noProof w:val="0"/>
                <w:lang w:val="nl-BE"/>
              </w:rPr>
              <w:t>NOEC = 0.00954 mg a.s./L </w:t>
            </w:r>
            <w:r w:rsidRPr="002262EA">
              <w:rPr>
                <w:noProof w:val="0"/>
                <w:vertAlign w:val="subscript"/>
                <w:lang w:val="nl-BE"/>
              </w:rPr>
              <w:t>mm</w:t>
            </w:r>
          </w:p>
        </w:tc>
        <w:tc>
          <w:tcPr>
            <w:tcW w:w="1152" w:type="pct"/>
            <w:shd w:val="clear" w:color="auto" w:fill="auto"/>
          </w:tcPr>
          <w:p w14:paraId="78FC4244" w14:textId="77777777" w:rsidR="00E51CDD" w:rsidRPr="00227BE0" w:rsidRDefault="00E51CDD" w:rsidP="009938D9">
            <w:pPr>
              <w:pStyle w:val="RepTable"/>
              <w:rPr>
                <w:noProof w:val="0"/>
                <w:lang w:val="fr-FR"/>
              </w:rPr>
            </w:pPr>
            <w:r w:rsidRPr="00227BE0">
              <w:rPr>
                <w:noProof w:val="0"/>
                <w:lang w:val="fr-FR"/>
              </w:rPr>
              <w:t>EFSA Journal 2010; 8(4):1542,</w:t>
            </w:r>
          </w:p>
          <w:p w14:paraId="00871315" w14:textId="77777777" w:rsidR="00E51CDD" w:rsidRPr="00227BE0" w:rsidRDefault="00E51CDD" w:rsidP="009938D9">
            <w:pPr>
              <w:pStyle w:val="RepTable"/>
              <w:rPr>
                <w:noProof w:val="0"/>
                <w:lang w:val="fr-FR"/>
              </w:rPr>
            </w:pPr>
            <w:r w:rsidRPr="00227BE0">
              <w:rPr>
                <w:noProof w:val="0"/>
                <w:lang w:val="fr-FR"/>
              </w:rPr>
              <w:t>Boeri, R.L., Magazu J.P., Ward, T.J., 1997, ICI5504/0952</w:t>
            </w:r>
          </w:p>
        </w:tc>
      </w:tr>
      <w:tr w:rsidR="00E51CDD" w:rsidRPr="00227BE0" w14:paraId="7C4BC647" w14:textId="77777777" w:rsidTr="009938D9">
        <w:trPr>
          <w:cantSplit/>
        </w:trPr>
        <w:tc>
          <w:tcPr>
            <w:tcW w:w="1081" w:type="pct"/>
            <w:shd w:val="clear" w:color="auto" w:fill="auto"/>
          </w:tcPr>
          <w:p w14:paraId="1A45DBAC" w14:textId="77777777" w:rsidR="00E51CDD" w:rsidRPr="00227BE0" w:rsidRDefault="00E51CDD" w:rsidP="009938D9">
            <w:pPr>
              <w:pStyle w:val="RepTable"/>
              <w:rPr>
                <w:i/>
                <w:noProof w:val="0"/>
              </w:rPr>
            </w:pPr>
            <w:r w:rsidRPr="00227BE0">
              <w:rPr>
                <w:i/>
                <w:noProof w:val="0"/>
              </w:rPr>
              <w:t>Chironomus riparius</w:t>
            </w:r>
          </w:p>
          <w:p w14:paraId="05092703" w14:textId="77777777" w:rsidR="00E51CDD" w:rsidRPr="00227BE0" w:rsidRDefault="00E51CDD" w:rsidP="009938D9">
            <w:pPr>
              <w:pStyle w:val="RepTable"/>
              <w:rPr>
                <w:noProof w:val="0"/>
              </w:rPr>
            </w:pPr>
            <w:r w:rsidRPr="00227BE0">
              <w:rPr>
                <w:noProof w:val="0"/>
              </w:rPr>
              <w:t>(spiked water)</w:t>
            </w:r>
          </w:p>
        </w:tc>
        <w:tc>
          <w:tcPr>
            <w:tcW w:w="972" w:type="pct"/>
            <w:shd w:val="clear" w:color="auto" w:fill="auto"/>
          </w:tcPr>
          <w:p w14:paraId="4B2A432E"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2F60122E" w14:textId="77777777" w:rsidR="00E51CDD" w:rsidRPr="00227BE0" w:rsidRDefault="00E51CDD" w:rsidP="009938D9">
            <w:pPr>
              <w:pStyle w:val="RepTable"/>
              <w:rPr>
                <w:noProof w:val="0"/>
              </w:rPr>
            </w:pPr>
            <w:r w:rsidRPr="00227BE0">
              <w:rPr>
                <w:noProof w:val="0"/>
              </w:rPr>
              <w:t>28 d, s</w:t>
            </w:r>
          </w:p>
        </w:tc>
        <w:tc>
          <w:tcPr>
            <w:tcW w:w="897" w:type="pct"/>
            <w:shd w:val="clear" w:color="auto" w:fill="auto"/>
          </w:tcPr>
          <w:p w14:paraId="13A639B8" w14:textId="77777777" w:rsidR="00E51CDD" w:rsidRPr="00227BE0" w:rsidRDefault="00E51CDD" w:rsidP="009938D9">
            <w:pPr>
              <w:pStyle w:val="RepTable"/>
              <w:rPr>
                <w:noProof w:val="0"/>
                <w:lang w:val="fr-FR"/>
              </w:rPr>
            </w:pPr>
            <w:r w:rsidRPr="00227BE0">
              <w:rPr>
                <w:noProof w:val="0"/>
                <w:lang w:val="fr-FR"/>
              </w:rPr>
              <w:t>NOEC = 0.8 mg a.s./L </w:t>
            </w:r>
            <w:r w:rsidRPr="00227BE0">
              <w:rPr>
                <w:noProof w:val="0"/>
                <w:vertAlign w:val="subscript"/>
                <w:lang w:val="fr-FR"/>
              </w:rPr>
              <w:t>nom</w:t>
            </w:r>
          </w:p>
        </w:tc>
        <w:tc>
          <w:tcPr>
            <w:tcW w:w="1152" w:type="pct"/>
            <w:shd w:val="clear" w:color="auto" w:fill="auto"/>
          </w:tcPr>
          <w:p w14:paraId="6B00F480" w14:textId="77777777" w:rsidR="00E51CDD" w:rsidRPr="00227BE0" w:rsidRDefault="00E51CDD" w:rsidP="009938D9">
            <w:pPr>
              <w:pStyle w:val="RepTable"/>
              <w:rPr>
                <w:noProof w:val="0"/>
              </w:rPr>
            </w:pPr>
            <w:r w:rsidRPr="00227BE0">
              <w:rPr>
                <w:noProof w:val="0"/>
              </w:rPr>
              <w:t xml:space="preserve">EFSA Journal 2010; 8(4):1542, </w:t>
            </w:r>
          </w:p>
          <w:p w14:paraId="1EB0B63B" w14:textId="77777777" w:rsidR="00E51CDD" w:rsidRPr="00227BE0" w:rsidRDefault="00E51CDD" w:rsidP="009938D9">
            <w:pPr>
              <w:pStyle w:val="RepTable"/>
              <w:rPr>
                <w:noProof w:val="0"/>
              </w:rPr>
            </w:pPr>
            <w:r w:rsidRPr="00227BE0">
              <w:rPr>
                <w:noProof w:val="0"/>
              </w:rPr>
              <w:t>Rapley, J.H. &amp; Gentle, W.E., 1997, ICI5504/0956</w:t>
            </w:r>
          </w:p>
        </w:tc>
      </w:tr>
      <w:tr w:rsidR="00E51CDD" w:rsidRPr="00662F32" w14:paraId="05B7A858" w14:textId="77777777" w:rsidTr="009938D9">
        <w:trPr>
          <w:cantSplit/>
        </w:trPr>
        <w:tc>
          <w:tcPr>
            <w:tcW w:w="1081" w:type="pct"/>
            <w:shd w:val="clear" w:color="auto" w:fill="auto"/>
          </w:tcPr>
          <w:p w14:paraId="020291A0" w14:textId="77777777" w:rsidR="00E51CDD" w:rsidRPr="00227BE0" w:rsidRDefault="00E51CDD" w:rsidP="009938D9">
            <w:pPr>
              <w:pStyle w:val="RepTable"/>
              <w:rPr>
                <w:i/>
                <w:noProof w:val="0"/>
              </w:rPr>
            </w:pPr>
            <w:r w:rsidRPr="00227BE0">
              <w:rPr>
                <w:i/>
                <w:noProof w:val="0"/>
              </w:rPr>
              <w:t>Chironomus riparius</w:t>
            </w:r>
          </w:p>
          <w:p w14:paraId="3799561B" w14:textId="77777777" w:rsidR="00E51CDD" w:rsidRPr="00227BE0" w:rsidRDefault="00E51CDD" w:rsidP="009938D9">
            <w:pPr>
              <w:pStyle w:val="RepTable"/>
              <w:rPr>
                <w:noProof w:val="0"/>
              </w:rPr>
            </w:pPr>
            <w:r w:rsidRPr="00227BE0">
              <w:rPr>
                <w:noProof w:val="0"/>
              </w:rPr>
              <w:t>(spiked sediment)</w:t>
            </w:r>
          </w:p>
        </w:tc>
        <w:tc>
          <w:tcPr>
            <w:tcW w:w="972" w:type="pct"/>
            <w:shd w:val="clear" w:color="auto" w:fill="auto"/>
          </w:tcPr>
          <w:p w14:paraId="10891F62"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7785A759" w14:textId="77777777" w:rsidR="00E51CDD" w:rsidRPr="00227BE0" w:rsidRDefault="00E51CDD" w:rsidP="009938D9">
            <w:pPr>
              <w:pStyle w:val="RepTable"/>
              <w:rPr>
                <w:noProof w:val="0"/>
              </w:rPr>
            </w:pPr>
            <w:r w:rsidRPr="00227BE0">
              <w:rPr>
                <w:noProof w:val="0"/>
              </w:rPr>
              <w:t>28 d, s</w:t>
            </w:r>
          </w:p>
        </w:tc>
        <w:tc>
          <w:tcPr>
            <w:tcW w:w="897" w:type="pct"/>
            <w:shd w:val="clear" w:color="auto" w:fill="auto"/>
          </w:tcPr>
          <w:p w14:paraId="5D71FCBD" w14:textId="77777777" w:rsidR="00E51CDD" w:rsidRPr="007330A6" w:rsidRDefault="00E51CDD" w:rsidP="009938D9">
            <w:pPr>
              <w:pStyle w:val="RepTable"/>
              <w:rPr>
                <w:noProof w:val="0"/>
                <w:lang w:val="fr-FR"/>
              </w:rPr>
            </w:pPr>
            <w:r w:rsidRPr="007330A6">
              <w:rPr>
                <w:noProof w:val="0"/>
                <w:lang w:val="fr-FR"/>
              </w:rPr>
              <w:t>NOEC = 23 mg a.s./kg </w:t>
            </w:r>
            <w:r w:rsidRPr="007330A6">
              <w:rPr>
                <w:noProof w:val="0"/>
                <w:vertAlign w:val="subscript"/>
                <w:lang w:val="fr-FR"/>
              </w:rPr>
              <w:t>nom</w:t>
            </w:r>
          </w:p>
        </w:tc>
        <w:tc>
          <w:tcPr>
            <w:tcW w:w="1152" w:type="pct"/>
            <w:shd w:val="clear" w:color="auto" w:fill="auto"/>
          </w:tcPr>
          <w:p w14:paraId="78F9BECA" w14:textId="77777777" w:rsidR="00E51CDD" w:rsidRPr="00227BE0" w:rsidRDefault="00E51CDD" w:rsidP="009938D9">
            <w:pPr>
              <w:pStyle w:val="RepTable"/>
              <w:rPr>
                <w:noProof w:val="0"/>
                <w:lang w:val="de-CH"/>
              </w:rPr>
            </w:pPr>
            <w:r w:rsidRPr="00227BE0">
              <w:rPr>
                <w:noProof w:val="0"/>
                <w:lang w:val="de-CH"/>
              </w:rPr>
              <w:t xml:space="preserve">Azoxystrobin DAR 2010, </w:t>
            </w:r>
          </w:p>
          <w:p w14:paraId="20194D50" w14:textId="77777777" w:rsidR="00E51CDD" w:rsidRPr="00227BE0" w:rsidRDefault="00E51CDD" w:rsidP="009938D9">
            <w:pPr>
              <w:pStyle w:val="RepTable"/>
              <w:rPr>
                <w:noProof w:val="0"/>
                <w:lang w:val="de-CH"/>
              </w:rPr>
            </w:pPr>
            <w:r w:rsidRPr="00227BE0">
              <w:rPr>
                <w:noProof w:val="0"/>
                <w:lang w:val="de-CH"/>
              </w:rPr>
              <w:t>Gentle, W.E., 1997, ICI5504/0954</w:t>
            </w:r>
          </w:p>
        </w:tc>
      </w:tr>
      <w:tr w:rsidR="00E51CDD" w:rsidRPr="00227BE0" w14:paraId="33F8B454" w14:textId="77777777" w:rsidTr="009938D9">
        <w:trPr>
          <w:cantSplit/>
        </w:trPr>
        <w:tc>
          <w:tcPr>
            <w:tcW w:w="1081" w:type="pct"/>
            <w:shd w:val="clear" w:color="auto" w:fill="auto"/>
          </w:tcPr>
          <w:p w14:paraId="71C1E6DF" w14:textId="77777777" w:rsidR="00E51CDD" w:rsidRPr="00227BE0" w:rsidRDefault="00E51CDD" w:rsidP="009938D9">
            <w:pPr>
              <w:pStyle w:val="RepTable"/>
              <w:rPr>
                <w:i/>
                <w:noProof w:val="0"/>
                <w:vertAlign w:val="superscript"/>
              </w:rPr>
            </w:pPr>
            <w:r w:rsidRPr="00227BE0">
              <w:rPr>
                <w:i/>
                <w:noProof w:val="0"/>
              </w:rPr>
              <w:t>Pseudokirchneriella subcapitata</w:t>
            </w:r>
          </w:p>
        </w:tc>
        <w:tc>
          <w:tcPr>
            <w:tcW w:w="972" w:type="pct"/>
            <w:shd w:val="clear" w:color="auto" w:fill="auto"/>
          </w:tcPr>
          <w:p w14:paraId="36C2EDFA"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6F305820" w14:textId="77777777" w:rsidR="00E51CDD" w:rsidRPr="00227BE0" w:rsidRDefault="00E51CDD" w:rsidP="009938D9">
            <w:pPr>
              <w:pStyle w:val="RepTable"/>
              <w:rPr>
                <w:noProof w:val="0"/>
              </w:rPr>
            </w:pPr>
            <w:r w:rsidRPr="00227BE0">
              <w:rPr>
                <w:noProof w:val="0"/>
              </w:rPr>
              <w:t>72 h, s</w:t>
            </w:r>
          </w:p>
        </w:tc>
        <w:tc>
          <w:tcPr>
            <w:tcW w:w="897" w:type="pct"/>
            <w:shd w:val="clear" w:color="auto" w:fill="auto"/>
          </w:tcPr>
          <w:p w14:paraId="4F1A4298" w14:textId="77777777" w:rsidR="00E51CDD" w:rsidRDefault="00E51CDD" w:rsidP="009938D9">
            <w:pPr>
              <w:pStyle w:val="RepTable"/>
              <w:rPr>
                <w:noProof w:val="0"/>
                <w:vertAlign w:val="superscript"/>
                <w:lang w:val="fr-FR"/>
              </w:rPr>
            </w:pPr>
            <w:r w:rsidRPr="00227BE0">
              <w:rPr>
                <w:noProof w:val="0"/>
                <w:lang w:val="fr-FR"/>
              </w:rPr>
              <w:t>EC</w:t>
            </w:r>
            <w:r w:rsidRPr="00227BE0">
              <w:rPr>
                <w:noProof w:val="0"/>
                <w:vertAlign w:val="subscript"/>
                <w:lang w:val="fr-FR"/>
              </w:rPr>
              <w:t>50</w:t>
            </w:r>
            <w:r w:rsidRPr="00227BE0">
              <w:rPr>
                <w:noProof w:val="0"/>
                <w:lang w:val="fr-FR"/>
              </w:rPr>
              <w:t xml:space="preserve"> = 0.183 mg a.s./L </w:t>
            </w:r>
            <w:r w:rsidRPr="00227BE0">
              <w:rPr>
                <w:noProof w:val="0"/>
                <w:vertAlign w:val="subscript"/>
                <w:lang w:val="fr-FR"/>
              </w:rPr>
              <w:t>nom </w:t>
            </w:r>
            <w:r w:rsidRPr="00227BE0">
              <w:rPr>
                <w:noProof w:val="0"/>
                <w:vertAlign w:val="superscript"/>
                <w:lang w:val="fr-FR"/>
              </w:rPr>
              <w:t>1)</w:t>
            </w:r>
          </w:p>
          <w:p w14:paraId="2CB1A855" w14:textId="582CF9E0" w:rsidR="00F10C55" w:rsidRPr="00227BE0" w:rsidRDefault="00F10C55" w:rsidP="009938D9">
            <w:pPr>
              <w:pStyle w:val="RepTable"/>
              <w:rPr>
                <w:noProof w:val="0"/>
                <w:lang w:val="fr-FR"/>
              </w:rPr>
            </w:pPr>
            <w:r w:rsidRPr="00F10C55">
              <w:rPr>
                <w:shd w:val="clear" w:color="auto" w:fill="D9D9D9" w:themeFill="background1" w:themeFillShade="D9"/>
              </w:rPr>
              <w:t>EC</w:t>
            </w:r>
            <w:r w:rsidRPr="00F10C55">
              <w:rPr>
                <w:shd w:val="clear" w:color="auto" w:fill="D9D9D9" w:themeFill="background1" w:themeFillShade="D9"/>
                <w:vertAlign w:val="subscript"/>
              </w:rPr>
              <w:t>50</w:t>
            </w:r>
            <w:r w:rsidRPr="00F10C55">
              <w:rPr>
                <w:shd w:val="clear" w:color="auto" w:fill="D9D9D9" w:themeFill="background1" w:themeFillShade="D9"/>
              </w:rPr>
              <w:t xml:space="preserve"> = 0.36 mg a.s./L (m)</w:t>
            </w:r>
          </w:p>
        </w:tc>
        <w:tc>
          <w:tcPr>
            <w:tcW w:w="1152" w:type="pct"/>
            <w:shd w:val="clear" w:color="auto" w:fill="auto"/>
          </w:tcPr>
          <w:p w14:paraId="36937D27" w14:textId="77777777" w:rsidR="00E51CDD" w:rsidRPr="00227BE0" w:rsidRDefault="00E51CDD" w:rsidP="009938D9">
            <w:pPr>
              <w:pStyle w:val="RepTable"/>
              <w:rPr>
                <w:noProof w:val="0"/>
              </w:rPr>
            </w:pPr>
            <w:r w:rsidRPr="00227BE0">
              <w:rPr>
                <w:noProof w:val="0"/>
              </w:rPr>
              <w:t xml:space="preserve">EFSA Journal 2010; 8(4):1542, </w:t>
            </w:r>
          </w:p>
          <w:p w14:paraId="53350474" w14:textId="77777777" w:rsidR="00E51CDD" w:rsidRPr="00227BE0" w:rsidRDefault="00E51CDD" w:rsidP="009938D9">
            <w:pPr>
              <w:pStyle w:val="RepTable"/>
              <w:rPr>
                <w:noProof w:val="0"/>
              </w:rPr>
            </w:pPr>
            <w:r w:rsidRPr="00227BE0">
              <w:rPr>
                <w:noProof w:val="0"/>
              </w:rPr>
              <w:t>Grinell A., Sankey S., Craig N., Kent S., Smyth D.1993, ICI5504/0961</w:t>
            </w:r>
          </w:p>
        </w:tc>
      </w:tr>
      <w:tr w:rsidR="00E51CDD" w:rsidRPr="007330A6" w14:paraId="144ADFF2" w14:textId="77777777" w:rsidTr="009938D9">
        <w:trPr>
          <w:cantSplit/>
        </w:trPr>
        <w:tc>
          <w:tcPr>
            <w:tcW w:w="1081" w:type="pct"/>
            <w:shd w:val="clear" w:color="auto" w:fill="auto"/>
          </w:tcPr>
          <w:p w14:paraId="672ABA5A" w14:textId="77777777" w:rsidR="00E51CDD" w:rsidRPr="00227BE0" w:rsidRDefault="00E51CDD" w:rsidP="009938D9">
            <w:pPr>
              <w:pStyle w:val="RepTable"/>
              <w:rPr>
                <w:i/>
                <w:noProof w:val="0"/>
              </w:rPr>
            </w:pPr>
            <w:r w:rsidRPr="00227BE0">
              <w:rPr>
                <w:i/>
                <w:noProof w:val="0"/>
              </w:rPr>
              <w:t>Skeletonema costatum</w:t>
            </w:r>
          </w:p>
        </w:tc>
        <w:tc>
          <w:tcPr>
            <w:tcW w:w="972" w:type="pct"/>
            <w:shd w:val="clear" w:color="auto" w:fill="auto"/>
          </w:tcPr>
          <w:p w14:paraId="6D3C059B"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32AFEF44" w14:textId="77777777" w:rsidR="00E51CDD" w:rsidRPr="00227BE0" w:rsidRDefault="00E51CDD" w:rsidP="009938D9">
            <w:pPr>
              <w:pStyle w:val="RepTable"/>
              <w:rPr>
                <w:noProof w:val="0"/>
              </w:rPr>
            </w:pPr>
            <w:r w:rsidRPr="00227BE0">
              <w:rPr>
                <w:noProof w:val="0"/>
              </w:rPr>
              <w:t>72 h, s</w:t>
            </w:r>
          </w:p>
        </w:tc>
        <w:tc>
          <w:tcPr>
            <w:tcW w:w="897" w:type="pct"/>
            <w:shd w:val="clear" w:color="auto" w:fill="auto"/>
          </w:tcPr>
          <w:p w14:paraId="0EAAE47F" w14:textId="77777777" w:rsidR="00E51CDD" w:rsidRDefault="00E51CDD" w:rsidP="009938D9">
            <w:pPr>
              <w:pStyle w:val="RepTable"/>
              <w:rPr>
                <w:noProof w:val="0"/>
                <w:vertAlign w:val="subscript"/>
                <w:lang w:val="fr-FR"/>
              </w:rPr>
            </w:pPr>
            <w:r w:rsidRPr="00227BE0">
              <w:rPr>
                <w:noProof w:val="0"/>
                <w:lang w:val="fr-FR"/>
              </w:rPr>
              <w:t>E</w:t>
            </w:r>
            <w:r w:rsidRPr="00227BE0">
              <w:rPr>
                <w:noProof w:val="0"/>
                <w:vertAlign w:val="subscript"/>
                <w:lang w:val="fr-FR"/>
              </w:rPr>
              <w:t>b</w:t>
            </w:r>
            <w:r w:rsidRPr="00227BE0">
              <w:rPr>
                <w:noProof w:val="0"/>
                <w:lang w:val="fr-FR"/>
              </w:rPr>
              <w:t>C</w:t>
            </w:r>
            <w:r w:rsidRPr="00227BE0">
              <w:rPr>
                <w:noProof w:val="0"/>
                <w:vertAlign w:val="subscript"/>
                <w:lang w:val="fr-FR"/>
              </w:rPr>
              <w:t>50</w:t>
            </w:r>
            <w:r w:rsidRPr="00227BE0">
              <w:rPr>
                <w:noProof w:val="0"/>
                <w:lang w:val="fr-FR"/>
              </w:rPr>
              <w:t xml:space="preserve"> = 0.098 mg a.s./L </w:t>
            </w:r>
            <w:r w:rsidRPr="00227BE0">
              <w:rPr>
                <w:noProof w:val="0"/>
                <w:vertAlign w:val="subscript"/>
                <w:lang w:val="fr-FR"/>
              </w:rPr>
              <w:t>nom</w:t>
            </w:r>
          </w:p>
          <w:p w14:paraId="4D0C899E" w14:textId="77777777" w:rsidR="0033110D" w:rsidRDefault="0033110D" w:rsidP="0033110D">
            <w:pPr>
              <w:pStyle w:val="RepTable"/>
              <w:shd w:val="clear" w:color="auto" w:fill="D9D9D9" w:themeFill="background1" w:themeFillShade="D9"/>
            </w:pPr>
            <w:r w:rsidRPr="00A07F56">
              <w:t>E</w:t>
            </w:r>
            <w:r w:rsidRPr="00A07F56">
              <w:rPr>
                <w:vertAlign w:val="subscript"/>
              </w:rPr>
              <w:t>r</w:t>
            </w:r>
            <w:r w:rsidRPr="00A07F56">
              <w:t>C</w:t>
            </w:r>
            <w:r w:rsidRPr="00A07F56">
              <w:rPr>
                <w:vertAlign w:val="subscript"/>
              </w:rPr>
              <w:t>50</w:t>
            </w:r>
            <w:r w:rsidRPr="00A07F56">
              <w:t xml:space="preserve"> = </w:t>
            </w:r>
            <w:r>
              <w:t>0.3</w:t>
            </w:r>
            <w:r w:rsidRPr="00A07F56">
              <w:t xml:space="preserve"> mg </w:t>
            </w:r>
            <w:r>
              <w:t>a.s.</w:t>
            </w:r>
            <w:r w:rsidRPr="00A07F56">
              <w:t xml:space="preserve">/L </w:t>
            </w:r>
            <w:r>
              <w:t>(n)</w:t>
            </w:r>
          </w:p>
          <w:p w14:paraId="227AC32B" w14:textId="12F9A7E6" w:rsidR="0033110D" w:rsidRPr="00227BE0" w:rsidRDefault="0033110D" w:rsidP="009938D9">
            <w:pPr>
              <w:pStyle w:val="RepTable"/>
              <w:rPr>
                <w:noProof w:val="0"/>
                <w:lang w:val="fr-FR"/>
              </w:rPr>
            </w:pPr>
          </w:p>
        </w:tc>
        <w:tc>
          <w:tcPr>
            <w:tcW w:w="1152" w:type="pct"/>
            <w:shd w:val="clear" w:color="auto" w:fill="auto"/>
          </w:tcPr>
          <w:p w14:paraId="5A9E1CB0" w14:textId="77777777" w:rsidR="00E51CDD" w:rsidRPr="00227BE0" w:rsidRDefault="00E51CDD" w:rsidP="009938D9">
            <w:pPr>
              <w:pStyle w:val="RepTable"/>
              <w:rPr>
                <w:noProof w:val="0"/>
                <w:lang w:val="fr-FR"/>
              </w:rPr>
            </w:pPr>
            <w:r w:rsidRPr="00227BE0">
              <w:rPr>
                <w:noProof w:val="0"/>
                <w:lang w:val="fr-FR"/>
              </w:rPr>
              <w:t>EFSA Journal 2010; 8(4):1542,</w:t>
            </w:r>
          </w:p>
          <w:p w14:paraId="7EBF847E" w14:textId="77777777" w:rsidR="00E51CDD" w:rsidRPr="00227BE0" w:rsidRDefault="00E51CDD" w:rsidP="009938D9">
            <w:pPr>
              <w:pStyle w:val="RepTable"/>
              <w:rPr>
                <w:noProof w:val="0"/>
                <w:lang w:val="fr-FR"/>
              </w:rPr>
            </w:pPr>
            <w:r w:rsidRPr="00227BE0">
              <w:rPr>
                <w:noProof w:val="0"/>
                <w:lang w:val="fr-FR"/>
              </w:rPr>
              <w:t>Smyth, D.V., Kent, S.J., Sankey, S.A., Johnson, P.A., 1994, ICI5504/0966</w:t>
            </w:r>
          </w:p>
        </w:tc>
      </w:tr>
      <w:tr w:rsidR="00E51CDD" w:rsidRPr="00662F32" w14:paraId="2243978F" w14:textId="77777777" w:rsidTr="009938D9">
        <w:trPr>
          <w:cantSplit/>
        </w:trPr>
        <w:tc>
          <w:tcPr>
            <w:tcW w:w="1081" w:type="pct"/>
            <w:shd w:val="clear" w:color="auto" w:fill="auto"/>
          </w:tcPr>
          <w:p w14:paraId="177DF84B" w14:textId="77777777" w:rsidR="00E51CDD" w:rsidRPr="00227BE0" w:rsidRDefault="00E51CDD" w:rsidP="009938D9">
            <w:pPr>
              <w:pStyle w:val="RepTable"/>
              <w:rPr>
                <w:i/>
                <w:noProof w:val="0"/>
              </w:rPr>
            </w:pPr>
            <w:r w:rsidRPr="00227BE0">
              <w:rPr>
                <w:i/>
                <w:noProof w:val="0"/>
              </w:rPr>
              <w:t>Navicula pelliculosa</w:t>
            </w:r>
          </w:p>
        </w:tc>
        <w:tc>
          <w:tcPr>
            <w:tcW w:w="972" w:type="pct"/>
            <w:shd w:val="clear" w:color="auto" w:fill="auto"/>
          </w:tcPr>
          <w:p w14:paraId="56AB239F"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7E826473" w14:textId="77777777" w:rsidR="00E51CDD" w:rsidRPr="00227BE0" w:rsidRDefault="00E51CDD" w:rsidP="009938D9">
            <w:pPr>
              <w:pStyle w:val="RepTable"/>
              <w:rPr>
                <w:noProof w:val="0"/>
              </w:rPr>
            </w:pPr>
            <w:r w:rsidRPr="00227BE0">
              <w:rPr>
                <w:noProof w:val="0"/>
              </w:rPr>
              <w:t>120 h, s</w:t>
            </w:r>
          </w:p>
        </w:tc>
        <w:tc>
          <w:tcPr>
            <w:tcW w:w="897" w:type="pct"/>
            <w:shd w:val="clear" w:color="auto" w:fill="auto"/>
          </w:tcPr>
          <w:p w14:paraId="292384B2" w14:textId="77777777" w:rsidR="00E51CDD" w:rsidRDefault="00E51CDD" w:rsidP="009938D9">
            <w:pPr>
              <w:pStyle w:val="RepTable"/>
              <w:rPr>
                <w:noProof w:val="0"/>
                <w:vertAlign w:val="subscript"/>
                <w:lang w:val="fr-FR"/>
              </w:rPr>
            </w:pPr>
            <w:r w:rsidRPr="00227BE0">
              <w:rPr>
                <w:noProof w:val="0"/>
                <w:lang w:val="fr-FR"/>
              </w:rPr>
              <w:t>E</w:t>
            </w:r>
            <w:r w:rsidRPr="00227BE0">
              <w:rPr>
                <w:noProof w:val="0"/>
                <w:vertAlign w:val="subscript"/>
                <w:lang w:val="fr-FR"/>
              </w:rPr>
              <w:t>b</w:t>
            </w:r>
            <w:r w:rsidRPr="00227BE0">
              <w:rPr>
                <w:noProof w:val="0"/>
                <w:lang w:val="fr-FR"/>
              </w:rPr>
              <w:t>C</w:t>
            </w:r>
            <w:r w:rsidRPr="00227BE0">
              <w:rPr>
                <w:noProof w:val="0"/>
                <w:vertAlign w:val="subscript"/>
                <w:lang w:val="fr-FR"/>
              </w:rPr>
              <w:t>50</w:t>
            </w:r>
            <w:r w:rsidRPr="00227BE0">
              <w:rPr>
                <w:noProof w:val="0"/>
                <w:lang w:val="fr-FR"/>
              </w:rPr>
              <w:t xml:space="preserve"> = 0.014 mg a.s./L </w:t>
            </w:r>
            <w:r w:rsidRPr="00227BE0">
              <w:rPr>
                <w:noProof w:val="0"/>
                <w:vertAlign w:val="subscript"/>
                <w:lang w:val="fr-FR"/>
              </w:rPr>
              <w:t>nom</w:t>
            </w:r>
          </w:p>
          <w:p w14:paraId="52A65F87" w14:textId="77777777" w:rsidR="007E7341" w:rsidRPr="00E03D54" w:rsidRDefault="007E7341" w:rsidP="007E7341">
            <w:pPr>
              <w:pStyle w:val="RepTable"/>
              <w:shd w:val="clear" w:color="auto" w:fill="D9D9D9" w:themeFill="background1" w:themeFillShade="D9"/>
              <w:rPr>
                <w:szCs w:val="20"/>
              </w:rPr>
            </w:pPr>
            <w:r w:rsidRPr="00871C0A">
              <w:rPr>
                <w:b/>
                <w:bCs/>
                <w:szCs w:val="20"/>
              </w:rPr>
              <w:t>E</w:t>
            </w:r>
            <w:r w:rsidRPr="00871C0A">
              <w:rPr>
                <w:b/>
                <w:bCs/>
                <w:szCs w:val="20"/>
                <w:vertAlign w:val="subscript"/>
              </w:rPr>
              <w:t>r</w:t>
            </w:r>
            <w:r w:rsidRPr="00871C0A">
              <w:rPr>
                <w:b/>
                <w:bCs/>
                <w:szCs w:val="20"/>
              </w:rPr>
              <w:t>C</w:t>
            </w:r>
            <w:r w:rsidRPr="00871C0A">
              <w:rPr>
                <w:b/>
                <w:bCs/>
                <w:szCs w:val="20"/>
                <w:vertAlign w:val="subscript"/>
              </w:rPr>
              <w:t>50</w:t>
            </w:r>
            <w:r w:rsidRPr="00871C0A">
              <w:rPr>
                <w:b/>
                <w:bCs/>
                <w:szCs w:val="20"/>
              </w:rPr>
              <w:t xml:space="preserve"> = 0.146</w:t>
            </w:r>
            <w:r w:rsidRPr="00E03D54">
              <w:rPr>
                <w:szCs w:val="20"/>
              </w:rPr>
              <w:t xml:space="preserve"> mg a.s./L (n)</w:t>
            </w:r>
          </w:p>
          <w:p w14:paraId="6B5479E0" w14:textId="78387669" w:rsidR="007E7341" w:rsidRPr="00227BE0" w:rsidRDefault="007E7341" w:rsidP="009938D9">
            <w:pPr>
              <w:pStyle w:val="RepTable"/>
              <w:rPr>
                <w:noProof w:val="0"/>
                <w:lang w:val="fr-FR"/>
              </w:rPr>
            </w:pPr>
          </w:p>
        </w:tc>
        <w:tc>
          <w:tcPr>
            <w:tcW w:w="1152" w:type="pct"/>
            <w:shd w:val="clear" w:color="auto" w:fill="auto"/>
          </w:tcPr>
          <w:p w14:paraId="22D46802" w14:textId="77777777" w:rsidR="00E51CDD" w:rsidRPr="00227BE0" w:rsidRDefault="00E51CDD" w:rsidP="009938D9">
            <w:pPr>
              <w:pStyle w:val="RepTable"/>
              <w:rPr>
                <w:noProof w:val="0"/>
                <w:lang w:val="fr-FR"/>
              </w:rPr>
            </w:pPr>
            <w:r w:rsidRPr="00227BE0">
              <w:rPr>
                <w:noProof w:val="0"/>
                <w:lang w:val="fr-FR"/>
              </w:rPr>
              <w:t>EFSA Journal 2010; 8(4):1542,</w:t>
            </w:r>
          </w:p>
          <w:p w14:paraId="49A6E247" w14:textId="77777777" w:rsidR="00E51CDD" w:rsidRPr="00227BE0" w:rsidRDefault="00E51CDD" w:rsidP="009938D9">
            <w:pPr>
              <w:pStyle w:val="RepTable"/>
              <w:rPr>
                <w:noProof w:val="0"/>
                <w:lang w:val="fr-FR"/>
              </w:rPr>
            </w:pPr>
            <w:r w:rsidRPr="00227BE0">
              <w:rPr>
                <w:noProof w:val="0"/>
                <w:lang w:val="fr-FR"/>
              </w:rPr>
              <w:t>Smyth, D.V., Sankey, S.A., Kent, S.J., Stanley, R.D., 1994, ICI5504/0965</w:t>
            </w:r>
          </w:p>
        </w:tc>
      </w:tr>
      <w:tr w:rsidR="00E51CDD" w:rsidRPr="007330A6" w14:paraId="654C380B" w14:textId="77777777" w:rsidTr="009938D9">
        <w:trPr>
          <w:cantSplit/>
        </w:trPr>
        <w:tc>
          <w:tcPr>
            <w:tcW w:w="1081" w:type="pct"/>
            <w:shd w:val="clear" w:color="auto" w:fill="auto"/>
          </w:tcPr>
          <w:p w14:paraId="161A13A8" w14:textId="77777777" w:rsidR="00E51CDD" w:rsidRPr="00227BE0" w:rsidRDefault="00E51CDD" w:rsidP="009938D9">
            <w:pPr>
              <w:pStyle w:val="RepTable"/>
              <w:rPr>
                <w:i/>
                <w:noProof w:val="0"/>
              </w:rPr>
            </w:pPr>
            <w:r w:rsidRPr="00227BE0">
              <w:rPr>
                <w:i/>
                <w:noProof w:val="0"/>
              </w:rPr>
              <w:t>Anabaena flos-aquae</w:t>
            </w:r>
          </w:p>
        </w:tc>
        <w:tc>
          <w:tcPr>
            <w:tcW w:w="972" w:type="pct"/>
            <w:shd w:val="clear" w:color="auto" w:fill="auto"/>
          </w:tcPr>
          <w:p w14:paraId="0170CB2F"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5F2F718F" w14:textId="77777777" w:rsidR="00E51CDD" w:rsidRPr="00227BE0" w:rsidRDefault="00E51CDD" w:rsidP="009938D9">
            <w:pPr>
              <w:pStyle w:val="RepTable"/>
              <w:rPr>
                <w:noProof w:val="0"/>
              </w:rPr>
            </w:pPr>
            <w:r w:rsidRPr="00227BE0">
              <w:rPr>
                <w:noProof w:val="0"/>
              </w:rPr>
              <w:t>120 h, s</w:t>
            </w:r>
          </w:p>
        </w:tc>
        <w:tc>
          <w:tcPr>
            <w:tcW w:w="897" w:type="pct"/>
            <w:shd w:val="clear" w:color="auto" w:fill="auto"/>
          </w:tcPr>
          <w:p w14:paraId="5F1F426F" w14:textId="77777777" w:rsidR="00E51CDD" w:rsidRDefault="00E51CDD" w:rsidP="009938D9">
            <w:pPr>
              <w:pStyle w:val="RepTable"/>
              <w:rPr>
                <w:noProof w:val="0"/>
                <w:vertAlign w:val="subscript"/>
                <w:lang w:val="fr-FR"/>
              </w:rPr>
            </w:pPr>
            <w:r w:rsidRPr="00227BE0">
              <w:rPr>
                <w:noProof w:val="0"/>
                <w:lang w:val="fr-FR"/>
              </w:rPr>
              <w:t>E</w:t>
            </w:r>
            <w:r w:rsidRPr="00227BE0">
              <w:rPr>
                <w:noProof w:val="0"/>
                <w:vertAlign w:val="subscript"/>
                <w:lang w:val="fr-FR"/>
              </w:rPr>
              <w:t>b</w:t>
            </w:r>
            <w:r w:rsidRPr="00227BE0">
              <w:rPr>
                <w:noProof w:val="0"/>
                <w:lang w:val="fr-FR"/>
              </w:rPr>
              <w:t>C</w:t>
            </w:r>
            <w:r w:rsidRPr="00227BE0">
              <w:rPr>
                <w:noProof w:val="0"/>
                <w:vertAlign w:val="subscript"/>
                <w:lang w:val="fr-FR"/>
              </w:rPr>
              <w:t>50</w:t>
            </w:r>
            <w:r w:rsidRPr="00227BE0">
              <w:rPr>
                <w:noProof w:val="0"/>
                <w:lang w:val="fr-FR"/>
              </w:rPr>
              <w:t xml:space="preserve"> = 9.5 mg a.s./L </w:t>
            </w:r>
            <w:r w:rsidRPr="00227BE0">
              <w:rPr>
                <w:noProof w:val="0"/>
                <w:vertAlign w:val="subscript"/>
                <w:lang w:val="fr-FR"/>
              </w:rPr>
              <w:t>nom</w:t>
            </w:r>
          </w:p>
          <w:p w14:paraId="4D447C28" w14:textId="77777777" w:rsidR="00CD713F" w:rsidRDefault="00CD713F" w:rsidP="00CD713F">
            <w:pPr>
              <w:pStyle w:val="RepTable"/>
              <w:shd w:val="clear" w:color="auto" w:fill="D9D9D9" w:themeFill="background1" w:themeFillShade="D9"/>
            </w:pPr>
            <w:r w:rsidRPr="00A07F56">
              <w:t>E</w:t>
            </w:r>
            <w:r w:rsidRPr="00A07F56">
              <w:rPr>
                <w:vertAlign w:val="subscript"/>
              </w:rPr>
              <w:t>r</w:t>
            </w:r>
            <w:r w:rsidRPr="00A07F56">
              <w:t>C</w:t>
            </w:r>
            <w:r w:rsidRPr="00A07F56">
              <w:rPr>
                <w:vertAlign w:val="subscript"/>
              </w:rPr>
              <w:t>50</w:t>
            </w:r>
            <w:r w:rsidRPr="00A07F56">
              <w:t xml:space="preserve"> = </w:t>
            </w:r>
            <w:r>
              <w:t>13.9</w:t>
            </w:r>
            <w:r w:rsidRPr="00A07F56">
              <w:t xml:space="preserve"> mg </w:t>
            </w:r>
            <w:r>
              <w:t>a.s.</w:t>
            </w:r>
            <w:r w:rsidRPr="00A07F56">
              <w:t xml:space="preserve">/L </w:t>
            </w:r>
            <w:r>
              <w:t>(m)</w:t>
            </w:r>
          </w:p>
          <w:p w14:paraId="3A247097" w14:textId="357831E7" w:rsidR="00CD713F" w:rsidRPr="00227BE0" w:rsidRDefault="00CD713F" w:rsidP="009938D9">
            <w:pPr>
              <w:pStyle w:val="RepTable"/>
              <w:rPr>
                <w:noProof w:val="0"/>
                <w:lang w:val="fr-FR"/>
              </w:rPr>
            </w:pPr>
          </w:p>
        </w:tc>
        <w:tc>
          <w:tcPr>
            <w:tcW w:w="1152" w:type="pct"/>
            <w:shd w:val="clear" w:color="auto" w:fill="auto"/>
          </w:tcPr>
          <w:p w14:paraId="2300168A" w14:textId="77777777" w:rsidR="00E51CDD" w:rsidRPr="00227BE0" w:rsidRDefault="00E51CDD" w:rsidP="009938D9">
            <w:pPr>
              <w:pStyle w:val="RepTable"/>
              <w:rPr>
                <w:noProof w:val="0"/>
                <w:lang w:val="fr-FR"/>
              </w:rPr>
            </w:pPr>
            <w:r w:rsidRPr="00227BE0">
              <w:rPr>
                <w:noProof w:val="0"/>
                <w:lang w:val="fr-FR"/>
              </w:rPr>
              <w:t>EFSA Journal 2010; 8(4):1542,</w:t>
            </w:r>
          </w:p>
          <w:p w14:paraId="556D8320" w14:textId="77777777" w:rsidR="00E51CDD" w:rsidRPr="00227BE0" w:rsidRDefault="00E51CDD" w:rsidP="009938D9">
            <w:pPr>
              <w:pStyle w:val="RepTable"/>
              <w:rPr>
                <w:noProof w:val="0"/>
                <w:lang w:val="fr-FR"/>
              </w:rPr>
            </w:pPr>
            <w:r w:rsidRPr="00227BE0">
              <w:rPr>
                <w:noProof w:val="0"/>
                <w:lang w:val="fr-FR"/>
              </w:rPr>
              <w:t>Smyth, D.V., Kent, S.J., Sankey, S.A., Shearing, J.M., 1994, ICI5504/0967</w:t>
            </w:r>
          </w:p>
        </w:tc>
      </w:tr>
      <w:tr w:rsidR="00E51CDD" w:rsidRPr="00227BE0" w14:paraId="617056D4" w14:textId="77777777" w:rsidTr="009938D9">
        <w:trPr>
          <w:cantSplit/>
        </w:trPr>
        <w:tc>
          <w:tcPr>
            <w:tcW w:w="1081" w:type="pct"/>
            <w:shd w:val="clear" w:color="auto" w:fill="auto"/>
          </w:tcPr>
          <w:p w14:paraId="380EDA89" w14:textId="77777777" w:rsidR="00E51CDD" w:rsidRPr="00817925" w:rsidRDefault="00E51CDD" w:rsidP="009938D9">
            <w:pPr>
              <w:pStyle w:val="RepTable"/>
              <w:rPr>
                <w:strike/>
                <w:noProof w:val="0"/>
                <w:color w:val="D9D9D9" w:themeColor="background1" w:themeShade="D9"/>
              </w:rPr>
            </w:pPr>
            <w:r w:rsidRPr="00817925">
              <w:rPr>
                <w:strike/>
                <w:noProof w:val="0"/>
                <w:color w:val="D9D9D9" w:themeColor="background1" w:themeShade="D9"/>
              </w:rPr>
              <w:t>Geomean (EC/E</w:t>
            </w:r>
            <w:r w:rsidRPr="00817925">
              <w:rPr>
                <w:strike/>
                <w:noProof w:val="0"/>
                <w:color w:val="D9D9D9" w:themeColor="background1" w:themeShade="D9"/>
                <w:vertAlign w:val="subscript"/>
              </w:rPr>
              <w:t>b</w:t>
            </w:r>
            <w:r w:rsidRPr="00817925">
              <w:rPr>
                <w:strike/>
                <w:noProof w:val="0"/>
                <w:color w:val="D9D9D9" w:themeColor="background1" w:themeShade="D9"/>
              </w:rPr>
              <w:t>C</w:t>
            </w:r>
            <w:r w:rsidRPr="00817925">
              <w:rPr>
                <w:strike/>
                <w:noProof w:val="0"/>
                <w:color w:val="D9D9D9" w:themeColor="background1" w:themeShade="D9"/>
                <w:vertAlign w:val="subscript"/>
              </w:rPr>
              <w:t>50</w:t>
            </w:r>
            <w:r w:rsidRPr="00817925">
              <w:rPr>
                <w:strike/>
                <w:noProof w:val="0"/>
                <w:color w:val="D9D9D9" w:themeColor="background1" w:themeShade="D9"/>
              </w:rPr>
              <w:t xml:space="preserve">  data for 3 algal species)</w:t>
            </w:r>
            <w:r w:rsidRPr="00817925">
              <w:rPr>
                <w:strike/>
                <w:noProof w:val="0"/>
                <w:color w:val="D9D9D9" w:themeColor="background1" w:themeShade="D9"/>
                <w:vertAlign w:val="superscript"/>
              </w:rPr>
              <w:t> 2)</w:t>
            </w:r>
          </w:p>
        </w:tc>
        <w:tc>
          <w:tcPr>
            <w:tcW w:w="972" w:type="pct"/>
            <w:shd w:val="clear" w:color="auto" w:fill="auto"/>
          </w:tcPr>
          <w:p w14:paraId="2CE279C3" w14:textId="77777777" w:rsidR="00E51CDD" w:rsidRPr="00817925" w:rsidRDefault="00E51CDD" w:rsidP="009938D9">
            <w:pPr>
              <w:pStyle w:val="RepTable"/>
              <w:rPr>
                <w:strike/>
                <w:noProof w:val="0"/>
                <w:color w:val="D9D9D9" w:themeColor="background1" w:themeShade="D9"/>
                <w:sz w:val="18"/>
              </w:rPr>
            </w:pPr>
            <w:r w:rsidRPr="00817925">
              <w:rPr>
                <w:strike/>
                <w:noProof w:val="0"/>
                <w:color w:val="D9D9D9" w:themeColor="background1" w:themeShade="D9"/>
              </w:rPr>
              <w:t>azoxystrobin</w:t>
            </w:r>
          </w:p>
        </w:tc>
        <w:tc>
          <w:tcPr>
            <w:tcW w:w="898" w:type="pct"/>
            <w:shd w:val="clear" w:color="auto" w:fill="auto"/>
          </w:tcPr>
          <w:p w14:paraId="0765E5F7" w14:textId="77777777" w:rsidR="00E51CDD" w:rsidRPr="00817925" w:rsidRDefault="00E51CDD" w:rsidP="009938D9">
            <w:pPr>
              <w:pStyle w:val="RepTable"/>
              <w:rPr>
                <w:strike/>
                <w:noProof w:val="0"/>
                <w:color w:val="D9D9D9" w:themeColor="background1" w:themeShade="D9"/>
              </w:rPr>
            </w:pPr>
            <w:r w:rsidRPr="00817925">
              <w:rPr>
                <w:strike/>
                <w:noProof w:val="0"/>
                <w:color w:val="D9D9D9" w:themeColor="background1" w:themeShade="D9"/>
              </w:rPr>
              <w:t>--</w:t>
            </w:r>
          </w:p>
        </w:tc>
        <w:tc>
          <w:tcPr>
            <w:tcW w:w="897" w:type="pct"/>
            <w:shd w:val="clear" w:color="auto" w:fill="auto"/>
          </w:tcPr>
          <w:p w14:paraId="6B33EA14" w14:textId="77777777" w:rsidR="00E51CDD" w:rsidRPr="00817925" w:rsidRDefault="00E51CDD" w:rsidP="009938D9">
            <w:pPr>
              <w:pStyle w:val="RepTable"/>
              <w:rPr>
                <w:b/>
                <w:strike/>
                <w:noProof w:val="0"/>
                <w:color w:val="D9D9D9" w:themeColor="background1" w:themeShade="D9"/>
                <w:lang w:val="en-US"/>
              </w:rPr>
            </w:pPr>
            <w:r w:rsidRPr="00817925">
              <w:rPr>
                <w:b/>
                <w:strike/>
                <w:noProof w:val="0"/>
                <w:color w:val="D9D9D9" w:themeColor="background1" w:themeShade="D9"/>
                <w:lang w:val="en-US"/>
              </w:rPr>
              <w:t>Geomean-EC</w:t>
            </w:r>
            <w:r w:rsidRPr="00817925">
              <w:rPr>
                <w:b/>
                <w:strike/>
                <w:noProof w:val="0"/>
                <w:color w:val="D9D9D9" w:themeColor="background1" w:themeShade="D9"/>
                <w:vertAlign w:val="subscript"/>
                <w:lang w:val="en-US"/>
              </w:rPr>
              <w:t>50</w:t>
            </w:r>
            <w:r w:rsidRPr="00817925">
              <w:rPr>
                <w:b/>
                <w:strike/>
                <w:noProof w:val="0"/>
                <w:color w:val="D9D9D9" w:themeColor="background1" w:themeShade="D9"/>
                <w:lang w:val="en-US"/>
              </w:rPr>
              <w:t xml:space="preserve"> = </w:t>
            </w:r>
            <w:r w:rsidRPr="00817925">
              <w:rPr>
                <w:b/>
                <w:strike/>
                <w:noProof w:val="0"/>
                <w:color w:val="D9D9D9" w:themeColor="background1" w:themeShade="D9"/>
              </w:rPr>
              <w:t>0.063 mg a.s./L</w:t>
            </w:r>
          </w:p>
        </w:tc>
        <w:tc>
          <w:tcPr>
            <w:tcW w:w="1152" w:type="pct"/>
            <w:shd w:val="clear" w:color="auto" w:fill="auto"/>
          </w:tcPr>
          <w:p w14:paraId="41A7E7B1" w14:textId="77777777" w:rsidR="00E51CDD" w:rsidRPr="00817925" w:rsidRDefault="00E51CDD" w:rsidP="009938D9">
            <w:pPr>
              <w:pStyle w:val="RepTable"/>
              <w:rPr>
                <w:strike/>
                <w:noProof w:val="0"/>
                <w:color w:val="D9D9D9" w:themeColor="background1" w:themeShade="D9"/>
              </w:rPr>
            </w:pPr>
            <w:r w:rsidRPr="00817925">
              <w:rPr>
                <w:strike/>
                <w:noProof w:val="0"/>
                <w:color w:val="D9D9D9" w:themeColor="background1" w:themeShade="D9"/>
              </w:rPr>
              <w:t>--</w:t>
            </w:r>
          </w:p>
        </w:tc>
      </w:tr>
      <w:tr w:rsidR="00E51CDD" w:rsidRPr="007330A6" w14:paraId="12E3D35E" w14:textId="77777777" w:rsidTr="009938D9">
        <w:trPr>
          <w:cantSplit/>
        </w:trPr>
        <w:tc>
          <w:tcPr>
            <w:tcW w:w="1081" w:type="pct"/>
            <w:shd w:val="clear" w:color="auto" w:fill="auto"/>
          </w:tcPr>
          <w:p w14:paraId="2DBFE194" w14:textId="77777777" w:rsidR="00E51CDD" w:rsidRPr="00227BE0" w:rsidRDefault="00E51CDD" w:rsidP="009938D9">
            <w:pPr>
              <w:pStyle w:val="RepTable"/>
              <w:rPr>
                <w:i/>
                <w:noProof w:val="0"/>
              </w:rPr>
            </w:pPr>
            <w:r w:rsidRPr="00227BE0">
              <w:rPr>
                <w:i/>
                <w:noProof w:val="0"/>
              </w:rPr>
              <w:t>Lemna gibba</w:t>
            </w:r>
          </w:p>
        </w:tc>
        <w:tc>
          <w:tcPr>
            <w:tcW w:w="972" w:type="pct"/>
            <w:shd w:val="clear" w:color="auto" w:fill="auto"/>
          </w:tcPr>
          <w:p w14:paraId="353DA715" w14:textId="77777777" w:rsidR="00E51CDD" w:rsidRPr="00227BE0" w:rsidRDefault="00E51CDD" w:rsidP="009938D9">
            <w:pPr>
              <w:pStyle w:val="RepTable"/>
              <w:rPr>
                <w:noProof w:val="0"/>
              </w:rPr>
            </w:pPr>
            <w:r w:rsidRPr="00227BE0">
              <w:rPr>
                <w:noProof w:val="0"/>
              </w:rPr>
              <w:t>azoxystrobin</w:t>
            </w:r>
          </w:p>
        </w:tc>
        <w:tc>
          <w:tcPr>
            <w:tcW w:w="898" w:type="pct"/>
            <w:shd w:val="clear" w:color="auto" w:fill="auto"/>
          </w:tcPr>
          <w:p w14:paraId="193FB2F0" w14:textId="77777777" w:rsidR="00E51CDD" w:rsidRPr="00227BE0" w:rsidRDefault="00E51CDD" w:rsidP="009938D9">
            <w:pPr>
              <w:pStyle w:val="RepTable"/>
              <w:rPr>
                <w:noProof w:val="0"/>
              </w:rPr>
            </w:pPr>
            <w:r w:rsidRPr="00227BE0">
              <w:rPr>
                <w:noProof w:val="0"/>
              </w:rPr>
              <w:t>14 d, ss</w:t>
            </w:r>
          </w:p>
        </w:tc>
        <w:tc>
          <w:tcPr>
            <w:tcW w:w="897" w:type="pct"/>
            <w:shd w:val="clear" w:color="auto" w:fill="auto"/>
          </w:tcPr>
          <w:p w14:paraId="3BC060A7" w14:textId="77777777" w:rsidR="00E51CDD" w:rsidRPr="00227BE0" w:rsidRDefault="00E51CDD" w:rsidP="009938D9">
            <w:pPr>
              <w:pStyle w:val="RepTable"/>
              <w:rPr>
                <w:noProof w:val="0"/>
                <w:lang w:val="fr-FR"/>
              </w:rPr>
            </w:pPr>
            <w:r w:rsidRPr="00227BE0">
              <w:rPr>
                <w:noProof w:val="0"/>
                <w:lang w:val="fr-FR"/>
              </w:rPr>
              <w:t>EC</w:t>
            </w:r>
            <w:r w:rsidRPr="00227BE0">
              <w:rPr>
                <w:noProof w:val="0"/>
                <w:vertAlign w:val="subscript"/>
                <w:lang w:val="fr-FR"/>
              </w:rPr>
              <w:t>50</w:t>
            </w:r>
            <w:r w:rsidRPr="00227BE0">
              <w:rPr>
                <w:noProof w:val="0"/>
                <w:lang w:val="fr-FR"/>
              </w:rPr>
              <w:t xml:space="preserve"> = 3.2 mg a.s./L </w:t>
            </w:r>
            <w:r w:rsidRPr="00227BE0">
              <w:rPr>
                <w:noProof w:val="0"/>
                <w:vertAlign w:val="subscript"/>
                <w:lang w:val="fr-FR"/>
              </w:rPr>
              <w:t>nom</w:t>
            </w:r>
          </w:p>
        </w:tc>
        <w:tc>
          <w:tcPr>
            <w:tcW w:w="1152" w:type="pct"/>
            <w:shd w:val="clear" w:color="auto" w:fill="auto"/>
          </w:tcPr>
          <w:p w14:paraId="5E48BABC" w14:textId="77777777" w:rsidR="00E51CDD" w:rsidRPr="00227BE0" w:rsidRDefault="00E51CDD" w:rsidP="009938D9">
            <w:pPr>
              <w:pStyle w:val="RepTable"/>
              <w:rPr>
                <w:noProof w:val="0"/>
                <w:lang w:val="fr-FR"/>
              </w:rPr>
            </w:pPr>
            <w:r w:rsidRPr="00227BE0">
              <w:rPr>
                <w:noProof w:val="0"/>
                <w:lang w:val="fr-FR"/>
              </w:rPr>
              <w:t>EFSA Journal 2010; 8(4):1542,</w:t>
            </w:r>
          </w:p>
          <w:p w14:paraId="2730B6DC" w14:textId="77777777" w:rsidR="00E51CDD" w:rsidRPr="00227BE0" w:rsidRDefault="00E51CDD" w:rsidP="009938D9">
            <w:pPr>
              <w:pStyle w:val="RepTable"/>
              <w:rPr>
                <w:noProof w:val="0"/>
                <w:lang w:val="fr-FR"/>
              </w:rPr>
            </w:pPr>
            <w:r w:rsidRPr="00227BE0">
              <w:rPr>
                <w:noProof w:val="0"/>
                <w:lang w:val="fr-FR"/>
              </w:rPr>
              <w:t>Smyth, D.V., Sankey, S.A., Kent, S.J., Stanley, R.D., 1994a, ICI5504/0963</w:t>
            </w:r>
          </w:p>
        </w:tc>
      </w:tr>
      <w:tr w:rsidR="00E51CDD" w:rsidRPr="00662F32" w14:paraId="39EB038C" w14:textId="77777777" w:rsidTr="009938D9">
        <w:trPr>
          <w:cantSplit/>
        </w:trPr>
        <w:tc>
          <w:tcPr>
            <w:tcW w:w="1081" w:type="pct"/>
            <w:shd w:val="clear" w:color="auto" w:fill="auto"/>
          </w:tcPr>
          <w:p w14:paraId="49306E87" w14:textId="77777777" w:rsidR="00E51CDD" w:rsidRPr="00227BE0" w:rsidRDefault="00E51CDD" w:rsidP="009938D9">
            <w:pPr>
              <w:pStyle w:val="RepTable"/>
              <w:rPr>
                <w:i/>
                <w:noProof w:val="0"/>
              </w:rPr>
            </w:pPr>
            <w:r w:rsidRPr="00227BE0">
              <w:rPr>
                <w:i/>
                <w:noProof w:val="0"/>
              </w:rPr>
              <w:t>Oncorhynchus mykiss</w:t>
            </w:r>
          </w:p>
        </w:tc>
        <w:tc>
          <w:tcPr>
            <w:tcW w:w="972" w:type="pct"/>
            <w:shd w:val="clear" w:color="auto" w:fill="auto"/>
          </w:tcPr>
          <w:p w14:paraId="620CFF6B" w14:textId="77777777" w:rsidR="00E51CDD" w:rsidRPr="00227BE0" w:rsidRDefault="00E51CDD" w:rsidP="009938D9">
            <w:pPr>
              <w:pStyle w:val="RepTable"/>
              <w:rPr>
                <w:noProof w:val="0"/>
                <w:szCs w:val="24"/>
              </w:rPr>
            </w:pPr>
            <w:r w:rsidRPr="00227BE0">
              <w:rPr>
                <w:noProof w:val="0"/>
              </w:rPr>
              <w:t>R234886</w:t>
            </w:r>
          </w:p>
        </w:tc>
        <w:tc>
          <w:tcPr>
            <w:tcW w:w="898" w:type="pct"/>
            <w:shd w:val="clear" w:color="auto" w:fill="auto"/>
          </w:tcPr>
          <w:p w14:paraId="27AF8590" w14:textId="77777777" w:rsidR="00E51CDD" w:rsidRPr="00227BE0" w:rsidRDefault="00E51CDD" w:rsidP="009938D9">
            <w:pPr>
              <w:pStyle w:val="RepTable"/>
              <w:rPr>
                <w:noProof w:val="0"/>
              </w:rPr>
            </w:pPr>
            <w:r w:rsidRPr="00227BE0">
              <w:rPr>
                <w:noProof w:val="0"/>
              </w:rPr>
              <w:t>96 h, f</w:t>
            </w:r>
          </w:p>
        </w:tc>
        <w:tc>
          <w:tcPr>
            <w:tcW w:w="897" w:type="pct"/>
            <w:shd w:val="clear" w:color="auto" w:fill="auto"/>
          </w:tcPr>
          <w:p w14:paraId="13A3A90D" w14:textId="77777777" w:rsidR="00E51CDD" w:rsidRPr="00227BE0" w:rsidRDefault="00E51CDD" w:rsidP="009938D9">
            <w:pPr>
              <w:pStyle w:val="RepTable"/>
              <w:rPr>
                <w:noProof w:val="0"/>
                <w:vertAlign w:val="subscript"/>
              </w:rPr>
            </w:pPr>
            <w:r w:rsidRPr="00227BE0">
              <w:rPr>
                <w:noProof w:val="0"/>
              </w:rPr>
              <w:t>LC</w:t>
            </w:r>
            <w:r w:rsidRPr="00227BE0">
              <w:rPr>
                <w:noProof w:val="0"/>
                <w:vertAlign w:val="subscript"/>
              </w:rPr>
              <w:t>50</w:t>
            </w:r>
            <w:r w:rsidRPr="00227BE0">
              <w:rPr>
                <w:noProof w:val="0"/>
              </w:rPr>
              <w:t xml:space="preserve"> &gt; 150 mg/L </w:t>
            </w:r>
            <w:r w:rsidRPr="00227BE0">
              <w:rPr>
                <w:noProof w:val="0"/>
                <w:vertAlign w:val="subscript"/>
              </w:rPr>
              <w:t>mm</w:t>
            </w:r>
          </w:p>
        </w:tc>
        <w:tc>
          <w:tcPr>
            <w:tcW w:w="1152" w:type="pct"/>
            <w:shd w:val="clear" w:color="auto" w:fill="auto"/>
          </w:tcPr>
          <w:p w14:paraId="089912FF" w14:textId="77777777" w:rsidR="00E51CDD" w:rsidRPr="00227BE0" w:rsidRDefault="00E51CDD" w:rsidP="009938D9">
            <w:pPr>
              <w:pStyle w:val="RepTable"/>
              <w:rPr>
                <w:noProof w:val="0"/>
                <w:lang w:val="fr-FR"/>
              </w:rPr>
            </w:pPr>
            <w:r w:rsidRPr="00227BE0">
              <w:rPr>
                <w:noProof w:val="0"/>
                <w:lang w:val="fr-FR"/>
              </w:rPr>
              <w:t>EFSA Journal 2010; 8(4):1542,</w:t>
            </w:r>
          </w:p>
          <w:p w14:paraId="737A67BF" w14:textId="77777777" w:rsidR="00E51CDD" w:rsidRPr="00227BE0" w:rsidRDefault="00E51CDD" w:rsidP="009938D9">
            <w:pPr>
              <w:pStyle w:val="RepTable"/>
              <w:rPr>
                <w:noProof w:val="0"/>
                <w:lang w:val="fr-FR"/>
              </w:rPr>
            </w:pPr>
            <w:r w:rsidRPr="00227BE0">
              <w:rPr>
                <w:noProof w:val="0"/>
                <w:lang w:val="fr-FR"/>
              </w:rPr>
              <w:t>Kent et al, 1993, ICI15504/0913</w:t>
            </w:r>
          </w:p>
        </w:tc>
      </w:tr>
      <w:tr w:rsidR="00E51CDD" w:rsidRPr="00227BE0" w14:paraId="084FE62E" w14:textId="77777777" w:rsidTr="009938D9">
        <w:trPr>
          <w:cantSplit/>
        </w:trPr>
        <w:tc>
          <w:tcPr>
            <w:tcW w:w="1081" w:type="pct"/>
            <w:shd w:val="clear" w:color="auto" w:fill="auto"/>
          </w:tcPr>
          <w:p w14:paraId="07F3E0C3" w14:textId="77777777" w:rsidR="00E51CDD" w:rsidRPr="00227BE0" w:rsidRDefault="00E51CDD" w:rsidP="009938D9">
            <w:pPr>
              <w:pStyle w:val="RepTable"/>
              <w:rPr>
                <w:i/>
                <w:noProof w:val="0"/>
              </w:rPr>
            </w:pPr>
            <w:r w:rsidRPr="00227BE0">
              <w:rPr>
                <w:i/>
                <w:noProof w:val="0"/>
              </w:rPr>
              <w:lastRenderedPageBreak/>
              <w:t>Oncorhynchus mykiss</w:t>
            </w:r>
          </w:p>
        </w:tc>
        <w:tc>
          <w:tcPr>
            <w:tcW w:w="972" w:type="pct"/>
            <w:shd w:val="clear" w:color="auto" w:fill="auto"/>
          </w:tcPr>
          <w:p w14:paraId="32025695" w14:textId="77777777" w:rsidR="00E51CDD" w:rsidRPr="00227BE0" w:rsidRDefault="00E51CDD" w:rsidP="009938D9">
            <w:pPr>
              <w:pStyle w:val="RepTable"/>
              <w:rPr>
                <w:noProof w:val="0"/>
                <w:szCs w:val="24"/>
              </w:rPr>
            </w:pPr>
            <w:r w:rsidRPr="00227BE0">
              <w:rPr>
                <w:noProof w:val="0"/>
              </w:rPr>
              <w:t>R402173</w:t>
            </w:r>
          </w:p>
        </w:tc>
        <w:tc>
          <w:tcPr>
            <w:tcW w:w="898" w:type="pct"/>
            <w:shd w:val="clear" w:color="auto" w:fill="auto"/>
          </w:tcPr>
          <w:p w14:paraId="1EC05F62" w14:textId="77777777" w:rsidR="00E51CDD" w:rsidRPr="00227BE0" w:rsidRDefault="00E51CDD" w:rsidP="009938D9">
            <w:pPr>
              <w:pStyle w:val="RepTable"/>
              <w:rPr>
                <w:noProof w:val="0"/>
              </w:rPr>
            </w:pPr>
            <w:r w:rsidRPr="00227BE0">
              <w:rPr>
                <w:noProof w:val="0"/>
              </w:rPr>
              <w:t>96 h, s</w:t>
            </w:r>
          </w:p>
        </w:tc>
        <w:tc>
          <w:tcPr>
            <w:tcW w:w="897" w:type="pct"/>
            <w:shd w:val="clear" w:color="auto" w:fill="auto"/>
          </w:tcPr>
          <w:p w14:paraId="5517F07E" w14:textId="77777777" w:rsidR="00E51CDD" w:rsidRPr="00227BE0" w:rsidRDefault="00E51CDD" w:rsidP="009938D9">
            <w:pPr>
              <w:pStyle w:val="RepTable"/>
              <w:rPr>
                <w:noProof w:val="0"/>
                <w:vertAlign w:val="subscript"/>
              </w:rPr>
            </w:pPr>
            <w:r w:rsidRPr="00227BE0">
              <w:rPr>
                <w:noProof w:val="0"/>
              </w:rPr>
              <w:t>LC</w:t>
            </w:r>
            <w:r w:rsidRPr="00227BE0">
              <w:rPr>
                <w:noProof w:val="0"/>
                <w:vertAlign w:val="subscript"/>
              </w:rPr>
              <w:t>50</w:t>
            </w:r>
            <w:r w:rsidRPr="00227BE0">
              <w:rPr>
                <w:noProof w:val="0"/>
              </w:rPr>
              <w:t xml:space="preserve"> = 62 mg/L </w:t>
            </w:r>
            <w:r w:rsidRPr="00227BE0">
              <w:rPr>
                <w:noProof w:val="0"/>
                <w:vertAlign w:val="subscript"/>
              </w:rPr>
              <w:t>mm</w:t>
            </w:r>
          </w:p>
        </w:tc>
        <w:tc>
          <w:tcPr>
            <w:tcW w:w="1152" w:type="pct"/>
            <w:shd w:val="clear" w:color="auto" w:fill="auto"/>
          </w:tcPr>
          <w:p w14:paraId="1271ECF7" w14:textId="77777777" w:rsidR="00E51CDD" w:rsidRPr="00227BE0" w:rsidRDefault="00E51CDD" w:rsidP="009938D9">
            <w:pPr>
              <w:pStyle w:val="RepTable"/>
              <w:rPr>
                <w:noProof w:val="0"/>
              </w:rPr>
            </w:pPr>
            <w:r w:rsidRPr="00227BE0">
              <w:rPr>
                <w:noProof w:val="0"/>
              </w:rPr>
              <w:t>EFSA Journal 2010; 8(4):1542,</w:t>
            </w:r>
          </w:p>
          <w:p w14:paraId="379C7561" w14:textId="77777777" w:rsidR="00E51CDD" w:rsidRPr="00227BE0" w:rsidRDefault="00E51CDD" w:rsidP="009938D9">
            <w:pPr>
              <w:pStyle w:val="RepTable"/>
              <w:rPr>
                <w:noProof w:val="0"/>
              </w:rPr>
            </w:pPr>
            <w:r w:rsidRPr="00227BE0">
              <w:rPr>
                <w:noProof w:val="0"/>
              </w:rPr>
              <w:t>Wallace, S.J., 2002, SYN511114/0001</w:t>
            </w:r>
          </w:p>
        </w:tc>
      </w:tr>
      <w:tr w:rsidR="00E51CDD" w:rsidRPr="00227BE0" w14:paraId="2D842077" w14:textId="77777777" w:rsidTr="009938D9">
        <w:trPr>
          <w:cantSplit/>
        </w:trPr>
        <w:tc>
          <w:tcPr>
            <w:tcW w:w="1081" w:type="pct"/>
            <w:shd w:val="clear" w:color="auto" w:fill="auto"/>
          </w:tcPr>
          <w:p w14:paraId="7C3E2150" w14:textId="77777777" w:rsidR="00E51CDD" w:rsidRPr="00227BE0" w:rsidRDefault="00E51CDD" w:rsidP="009938D9">
            <w:pPr>
              <w:pStyle w:val="RepTable"/>
              <w:rPr>
                <w:i/>
                <w:noProof w:val="0"/>
              </w:rPr>
            </w:pPr>
            <w:r w:rsidRPr="00227BE0">
              <w:rPr>
                <w:i/>
                <w:noProof w:val="0"/>
              </w:rPr>
              <w:t>Oncorhynchus mykiss</w:t>
            </w:r>
          </w:p>
        </w:tc>
        <w:tc>
          <w:tcPr>
            <w:tcW w:w="972" w:type="pct"/>
            <w:shd w:val="clear" w:color="auto" w:fill="auto"/>
          </w:tcPr>
          <w:p w14:paraId="7690F983" w14:textId="77777777" w:rsidR="00E51CDD" w:rsidRPr="00227BE0" w:rsidRDefault="00E51CDD" w:rsidP="009938D9">
            <w:pPr>
              <w:pStyle w:val="RepTable"/>
              <w:rPr>
                <w:noProof w:val="0"/>
                <w:szCs w:val="24"/>
              </w:rPr>
            </w:pPr>
            <w:r w:rsidRPr="00227BE0">
              <w:rPr>
                <w:noProof w:val="0"/>
              </w:rPr>
              <w:t>R401553</w:t>
            </w:r>
          </w:p>
        </w:tc>
        <w:tc>
          <w:tcPr>
            <w:tcW w:w="898" w:type="pct"/>
            <w:shd w:val="clear" w:color="auto" w:fill="auto"/>
          </w:tcPr>
          <w:p w14:paraId="32C115BF" w14:textId="77777777" w:rsidR="00E51CDD" w:rsidRPr="00227BE0" w:rsidRDefault="00E51CDD" w:rsidP="009938D9">
            <w:pPr>
              <w:pStyle w:val="RepTable"/>
              <w:rPr>
                <w:noProof w:val="0"/>
              </w:rPr>
            </w:pPr>
            <w:r w:rsidRPr="00227BE0">
              <w:rPr>
                <w:noProof w:val="0"/>
              </w:rPr>
              <w:t>96 h, s</w:t>
            </w:r>
          </w:p>
        </w:tc>
        <w:tc>
          <w:tcPr>
            <w:tcW w:w="897" w:type="pct"/>
            <w:shd w:val="clear" w:color="auto" w:fill="auto"/>
          </w:tcPr>
          <w:p w14:paraId="346BFD4E" w14:textId="77777777" w:rsidR="00E51CDD" w:rsidRPr="00227BE0" w:rsidRDefault="00E51CDD" w:rsidP="009938D9">
            <w:pPr>
              <w:pStyle w:val="RepTable"/>
              <w:rPr>
                <w:noProof w:val="0"/>
                <w:vertAlign w:val="subscript"/>
                <w:lang w:val="fr-FR"/>
              </w:rPr>
            </w:pPr>
            <w:r w:rsidRPr="00227BE0">
              <w:rPr>
                <w:noProof w:val="0"/>
                <w:lang w:val="fr-FR"/>
              </w:rPr>
              <w:t>LC</w:t>
            </w:r>
            <w:r w:rsidRPr="00227BE0">
              <w:rPr>
                <w:noProof w:val="0"/>
                <w:vertAlign w:val="subscript"/>
                <w:lang w:val="fr-FR"/>
              </w:rPr>
              <w:t>50</w:t>
            </w:r>
            <w:r w:rsidRPr="00227BE0">
              <w:rPr>
                <w:noProof w:val="0"/>
                <w:lang w:val="fr-FR"/>
              </w:rPr>
              <w:t xml:space="preserve"> &gt; 120 mg/L </w:t>
            </w:r>
            <w:r w:rsidRPr="00227BE0">
              <w:rPr>
                <w:noProof w:val="0"/>
                <w:vertAlign w:val="subscript"/>
                <w:lang w:val="fr-FR"/>
              </w:rPr>
              <w:t>nom</w:t>
            </w:r>
          </w:p>
        </w:tc>
        <w:tc>
          <w:tcPr>
            <w:tcW w:w="1152" w:type="pct"/>
            <w:shd w:val="clear" w:color="auto" w:fill="auto"/>
          </w:tcPr>
          <w:p w14:paraId="2DE166AA" w14:textId="77777777" w:rsidR="00E51CDD" w:rsidRPr="00227BE0" w:rsidRDefault="00E51CDD" w:rsidP="009938D9">
            <w:pPr>
              <w:pStyle w:val="RepTable"/>
              <w:rPr>
                <w:noProof w:val="0"/>
              </w:rPr>
            </w:pPr>
            <w:r w:rsidRPr="00227BE0">
              <w:rPr>
                <w:noProof w:val="0"/>
              </w:rPr>
              <w:t>EFSA Journal 2010; 8(4):1542,</w:t>
            </w:r>
          </w:p>
          <w:p w14:paraId="3B2C4C9E" w14:textId="77777777" w:rsidR="00E51CDD" w:rsidRPr="00227BE0" w:rsidRDefault="00E51CDD" w:rsidP="009938D9">
            <w:pPr>
              <w:pStyle w:val="RepTable"/>
              <w:rPr>
                <w:noProof w:val="0"/>
              </w:rPr>
            </w:pPr>
            <w:r w:rsidRPr="00227BE0">
              <w:rPr>
                <w:noProof w:val="0"/>
              </w:rPr>
              <w:t>Bowles, A.J., Wallace, S.J., 2002, SYN501657/0002</w:t>
            </w:r>
          </w:p>
        </w:tc>
      </w:tr>
      <w:tr w:rsidR="00E51CDD" w:rsidRPr="007330A6" w14:paraId="66E2E641" w14:textId="77777777" w:rsidTr="009938D9">
        <w:trPr>
          <w:cantSplit/>
        </w:trPr>
        <w:tc>
          <w:tcPr>
            <w:tcW w:w="1081" w:type="pct"/>
            <w:shd w:val="clear" w:color="auto" w:fill="auto"/>
          </w:tcPr>
          <w:p w14:paraId="40DE519E" w14:textId="77777777" w:rsidR="00E51CDD" w:rsidRPr="00227BE0" w:rsidRDefault="00E51CDD" w:rsidP="009938D9">
            <w:pPr>
              <w:pStyle w:val="RepTable"/>
              <w:rPr>
                <w:i/>
                <w:noProof w:val="0"/>
              </w:rPr>
            </w:pPr>
            <w:r w:rsidRPr="00227BE0">
              <w:rPr>
                <w:i/>
                <w:noProof w:val="0"/>
              </w:rPr>
              <w:t>Daphnia magna</w:t>
            </w:r>
          </w:p>
        </w:tc>
        <w:tc>
          <w:tcPr>
            <w:tcW w:w="972" w:type="pct"/>
            <w:shd w:val="clear" w:color="auto" w:fill="auto"/>
          </w:tcPr>
          <w:p w14:paraId="2BEDF2D1" w14:textId="77777777" w:rsidR="00E51CDD" w:rsidRPr="00227BE0" w:rsidRDefault="00E51CDD" w:rsidP="009938D9">
            <w:pPr>
              <w:pStyle w:val="RepTable"/>
              <w:rPr>
                <w:noProof w:val="0"/>
                <w:szCs w:val="24"/>
              </w:rPr>
            </w:pPr>
            <w:r w:rsidRPr="00227BE0">
              <w:rPr>
                <w:noProof w:val="0"/>
              </w:rPr>
              <w:t>R234886</w:t>
            </w:r>
          </w:p>
        </w:tc>
        <w:tc>
          <w:tcPr>
            <w:tcW w:w="898" w:type="pct"/>
            <w:shd w:val="clear" w:color="auto" w:fill="auto"/>
          </w:tcPr>
          <w:p w14:paraId="6288FC4A" w14:textId="77777777" w:rsidR="00E51CDD" w:rsidRPr="00227BE0" w:rsidRDefault="00E51CDD" w:rsidP="009938D9">
            <w:pPr>
              <w:pStyle w:val="RepTable"/>
              <w:rPr>
                <w:noProof w:val="0"/>
              </w:rPr>
            </w:pPr>
            <w:r w:rsidRPr="00227BE0">
              <w:rPr>
                <w:noProof w:val="0"/>
              </w:rPr>
              <w:t>48 h, s</w:t>
            </w:r>
          </w:p>
        </w:tc>
        <w:tc>
          <w:tcPr>
            <w:tcW w:w="897" w:type="pct"/>
            <w:shd w:val="clear" w:color="auto" w:fill="auto"/>
          </w:tcPr>
          <w:p w14:paraId="3C437DD9" w14:textId="77777777" w:rsidR="00E51CDD" w:rsidRPr="00227BE0" w:rsidRDefault="00E51CDD" w:rsidP="009938D9">
            <w:pPr>
              <w:pStyle w:val="RepTable"/>
              <w:rPr>
                <w:noProof w:val="0"/>
                <w:vertAlign w:val="subscript"/>
                <w:lang w:val="fr-FR"/>
              </w:rPr>
            </w:pPr>
            <w:r w:rsidRPr="00227BE0">
              <w:rPr>
                <w:noProof w:val="0"/>
                <w:lang w:val="fr-FR"/>
              </w:rPr>
              <w:t>EC</w:t>
            </w:r>
            <w:r w:rsidRPr="00227BE0">
              <w:rPr>
                <w:noProof w:val="0"/>
                <w:vertAlign w:val="subscript"/>
                <w:lang w:val="fr-FR"/>
              </w:rPr>
              <w:t>50</w:t>
            </w:r>
            <w:r w:rsidRPr="00227BE0">
              <w:rPr>
                <w:noProof w:val="0"/>
                <w:lang w:val="fr-FR"/>
              </w:rPr>
              <w:t xml:space="preserve"> &gt; 180 mg/L </w:t>
            </w:r>
            <w:r w:rsidRPr="00227BE0">
              <w:rPr>
                <w:noProof w:val="0"/>
                <w:vertAlign w:val="subscript"/>
                <w:lang w:val="fr-FR"/>
              </w:rPr>
              <w:t>nom</w:t>
            </w:r>
          </w:p>
        </w:tc>
        <w:tc>
          <w:tcPr>
            <w:tcW w:w="1152" w:type="pct"/>
            <w:shd w:val="clear" w:color="auto" w:fill="auto"/>
          </w:tcPr>
          <w:p w14:paraId="043FB4F1" w14:textId="77777777" w:rsidR="00E51CDD" w:rsidRPr="00227BE0" w:rsidRDefault="00E51CDD" w:rsidP="009938D9">
            <w:pPr>
              <w:pStyle w:val="RepTable"/>
              <w:rPr>
                <w:noProof w:val="0"/>
                <w:lang w:val="fr-FR"/>
              </w:rPr>
            </w:pPr>
            <w:r w:rsidRPr="00227BE0">
              <w:rPr>
                <w:noProof w:val="0"/>
                <w:lang w:val="fr-FR"/>
              </w:rPr>
              <w:t xml:space="preserve">EFSA Journal 2010; 8(4):1542, </w:t>
            </w:r>
          </w:p>
          <w:p w14:paraId="1B0D437E" w14:textId="77777777" w:rsidR="00E51CDD" w:rsidRPr="00227BE0" w:rsidRDefault="00E51CDD" w:rsidP="009938D9">
            <w:pPr>
              <w:pStyle w:val="RepTable"/>
              <w:rPr>
                <w:noProof w:val="0"/>
                <w:lang w:val="fr-FR"/>
              </w:rPr>
            </w:pPr>
            <w:r w:rsidRPr="00227BE0">
              <w:rPr>
                <w:noProof w:val="0"/>
                <w:lang w:val="fr-FR"/>
              </w:rPr>
              <w:t>Johnson P., Banner A., Sankey S., Kent S., 1993, ICI5504/0926</w:t>
            </w:r>
          </w:p>
        </w:tc>
      </w:tr>
      <w:tr w:rsidR="00E51CDD" w:rsidRPr="00227BE0" w14:paraId="3C8F5BD0" w14:textId="77777777" w:rsidTr="009938D9">
        <w:trPr>
          <w:cantSplit/>
        </w:trPr>
        <w:tc>
          <w:tcPr>
            <w:tcW w:w="1081" w:type="pct"/>
            <w:shd w:val="clear" w:color="auto" w:fill="auto"/>
          </w:tcPr>
          <w:p w14:paraId="29A82F45" w14:textId="77777777" w:rsidR="00E51CDD" w:rsidRPr="00227BE0" w:rsidRDefault="00E51CDD" w:rsidP="009938D9">
            <w:pPr>
              <w:pStyle w:val="RepTable"/>
              <w:rPr>
                <w:i/>
                <w:noProof w:val="0"/>
              </w:rPr>
            </w:pPr>
            <w:r w:rsidRPr="00227BE0">
              <w:rPr>
                <w:i/>
                <w:noProof w:val="0"/>
              </w:rPr>
              <w:t>Daphnia magna</w:t>
            </w:r>
          </w:p>
        </w:tc>
        <w:tc>
          <w:tcPr>
            <w:tcW w:w="972" w:type="pct"/>
            <w:shd w:val="clear" w:color="auto" w:fill="auto"/>
          </w:tcPr>
          <w:p w14:paraId="342A33DF" w14:textId="77777777" w:rsidR="00E51CDD" w:rsidRPr="00227BE0" w:rsidRDefault="00E51CDD" w:rsidP="009938D9">
            <w:pPr>
              <w:pStyle w:val="RepTable"/>
              <w:rPr>
                <w:noProof w:val="0"/>
                <w:szCs w:val="24"/>
              </w:rPr>
            </w:pPr>
            <w:r w:rsidRPr="00227BE0">
              <w:rPr>
                <w:noProof w:val="0"/>
              </w:rPr>
              <w:t>R402173</w:t>
            </w:r>
          </w:p>
        </w:tc>
        <w:tc>
          <w:tcPr>
            <w:tcW w:w="898" w:type="pct"/>
            <w:shd w:val="clear" w:color="auto" w:fill="auto"/>
          </w:tcPr>
          <w:p w14:paraId="5214C8A1" w14:textId="77777777" w:rsidR="00E51CDD" w:rsidRPr="00227BE0" w:rsidRDefault="00E51CDD" w:rsidP="009938D9">
            <w:pPr>
              <w:pStyle w:val="RepTable"/>
              <w:rPr>
                <w:noProof w:val="0"/>
              </w:rPr>
            </w:pPr>
            <w:r w:rsidRPr="00227BE0">
              <w:rPr>
                <w:noProof w:val="0"/>
              </w:rPr>
              <w:t>48 h, s</w:t>
            </w:r>
          </w:p>
        </w:tc>
        <w:tc>
          <w:tcPr>
            <w:tcW w:w="897" w:type="pct"/>
            <w:shd w:val="clear" w:color="auto" w:fill="auto"/>
          </w:tcPr>
          <w:p w14:paraId="0261A16F" w14:textId="77777777" w:rsidR="00E51CDD" w:rsidRPr="00227BE0" w:rsidRDefault="00E51CDD" w:rsidP="009938D9">
            <w:pPr>
              <w:pStyle w:val="RepTable"/>
              <w:rPr>
                <w:noProof w:val="0"/>
                <w:vertAlign w:val="subscript"/>
                <w:lang w:val="fr-FR"/>
              </w:rPr>
            </w:pPr>
            <w:r w:rsidRPr="00227BE0">
              <w:rPr>
                <w:noProof w:val="0"/>
                <w:lang w:val="fr-FR"/>
              </w:rPr>
              <w:t>EC</w:t>
            </w:r>
            <w:r w:rsidRPr="00227BE0">
              <w:rPr>
                <w:noProof w:val="0"/>
                <w:vertAlign w:val="subscript"/>
                <w:lang w:val="fr-FR"/>
              </w:rPr>
              <w:t>50</w:t>
            </w:r>
            <w:r w:rsidRPr="00227BE0">
              <w:rPr>
                <w:noProof w:val="0"/>
                <w:lang w:val="fr-FR"/>
              </w:rPr>
              <w:t xml:space="preserve"> &gt; 100 mg/L </w:t>
            </w:r>
            <w:r w:rsidRPr="00227BE0">
              <w:rPr>
                <w:noProof w:val="0"/>
                <w:vertAlign w:val="subscript"/>
                <w:lang w:val="fr-FR"/>
              </w:rPr>
              <w:t>nom</w:t>
            </w:r>
          </w:p>
        </w:tc>
        <w:tc>
          <w:tcPr>
            <w:tcW w:w="1152" w:type="pct"/>
            <w:shd w:val="clear" w:color="auto" w:fill="auto"/>
          </w:tcPr>
          <w:p w14:paraId="767AC3BD" w14:textId="77777777" w:rsidR="00E51CDD" w:rsidRPr="00227BE0" w:rsidRDefault="00E51CDD" w:rsidP="009938D9">
            <w:pPr>
              <w:pStyle w:val="RepTable"/>
              <w:rPr>
                <w:noProof w:val="0"/>
              </w:rPr>
            </w:pPr>
            <w:r w:rsidRPr="00227BE0">
              <w:rPr>
                <w:noProof w:val="0"/>
              </w:rPr>
              <w:t>EFSA Journal 2010; 8(4):1542,</w:t>
            </w:r>
          </w:p>
          <w:p w14:paraId="5EB40E24" w14:textId="77777777" w:rsidR="00E51CDD" w:rsidRPr="00227BE0" w:rsidRDefault="00E51CDD" w:rsidP="009938D9">
            <w:pPr>
              <w:pStyle w:val="RepTable"/>
              <w:rPr>
                <w:noProof w:val="0"/>
              </w:rPr>
            </w:pPr>
            <w:r w:rsidRPr="00227BE0">
              <w:rPr>
                <w:noProof w:val="0"/>
              </w:rPr>
              <w:t>Wallace, S.J., 2002a, SYN501114/0002</w:t>
            </w:r>
          </w:p>
        </w:tc>
      </w:tr>
      <w:tr w:rsidR="00E51CDD" w:rsidRPr="00227BE0" w14:paraId="1F08CE9C" w14:textId="77777777" w:rsidTr="009938D9">
        <w:trPr>
          <w:cantSplit/>
        </w:trPr>
        <w:tc>
          <w:tcPr>
            <w:tcW w:w="1081" w:type="pct"/>
            <w:shd w:val="clear" w:color="auto" w:fill="auto"/>
          </w:tcPr>
          <w:p w14:paraId="62C20125" w14:textId="77777777" w:rsidR="00E51CDD" w:rsidRPr="00227BE0" w:rsidRDefault="00E51CDD" w:rsidP="009938D9">
            <w:pPr>
              <w:pStyle w:val="RepTable"/>
              <w:rPr>
                <w:i/>
                <w:noProof w:val="0"/>
              </w:rPr>
            </w:pPr>
            <w:r w:rsidRPr="00227BE0">
              <w:rPr>
                <w:i/>
                <w:noProof w:val="0"/>
              </w:rPr>
              <w:t>Daphnia magna</w:t>
            </w:r>
          </w:p>
        </w:tc>
        <w:tc>
          <w:tcPr>
            <w:tcW w:w="972" w:type="pct"/>
            <w:shd w:val="clear" w:color="auto" w:fill="auto"/>
          </w:tcPr>
          <w:p w14:paraId="47B2C654" w14:textId="77777777" w:rsidR="00E51CDD" w:rsidRPr="00227BE0" w:rsidRDefault="00E51CDD" w:rsidP="009938D9">
            <w:pPr>
              <w:pStyle w:val="RepTable"/>
              <w:rPr>
                <w:noProof w:val="0"/>
                <w:szCs w:val="24"/>
              </w:rPr>
            </w:pPr>
            <w:r w:rsidRPr="00227BE0">
              <w:rPr>
                <w:noProof w:val="0"/>
              </w:rPr>
              <w:t>R401553</w:t>
            </w:r>
          </w:p>
        </w:tc>
        <w:tc>
          <w:tcPr>
            <w:tcW w:w="898" w:type="pct"/>
            <w:shd w:val="clear" w:color="auto" w:fill="auto"/>
          </w:tcPr>
          <w:p w14:paraId="306F4ED9" w14:textId="77777777" w:rsidR="00E51CDD" w:rsidRPr="00227BE0" w:rsidRDefault="00E51CDD" w:rsidP="009938D9">
            <w:pPr>
              <w:pStyle w:val="RepTable"/>
              <w:rPr>
                <w:noProof w:val="0"/>
              </w:rPr>
            </w:pPr>
            <w:r w:rsidRPr="00227BE0">
              <w:rPr>
                <w:noProof w:val="0"/>
              </w:rPr>
              <w:t>48 h, s</w:t>
            </w:r>
          </w:p>
        </w:tc>
        <w:tc>
          <w:tcPr>
            <w:tcW w:w="897" w:type="pct"/>
            <w:shd w:val="clear" w:color="auto" w:fill="auto"/>
          </w:tcPr>
          <w:p w14:paraId="39309580" w14:textId="77777777" w:rsidR="00E51CDD" w:rsidRPr="00227BE0" w:rsidRDefault="00E51CDD" w:rsidP="009938D9">
            <w:pPr>
              <w:pStyle w:val="RepTable"/>
              <w:rPr>
                <w:noProof w:val="0"/>
                <w:color w:val="0070C0"/>
                <w:vertAlign w:val="subscript"/>
                <w:lang w:val="fr-FR"/>
              </w:rPr>
            </w:pPr>
            <w:r w:rsidRPr="00227BE0">
              <w:rPr>
                <w:noProof w:val="0"/>
                <w:lang w:val="fr-FR"/>
              </w:rPr>
              <w:t>EC</w:t>
            </w:r>
            <w:r w:rsidRPr="00227BE0">
              <w:rPr>
                <w:noProof w:val="0"/>
                <w:vertAlign w:val="subscript"/>
                <w:lang w:val="fr-FR"/>
              </w:rPr>
              <w:t>50</w:t>
            </w:r>
            <w:r w:rsidRPr="00227BE0">
              <w:rPr>
                <w:noProof w:val="0"/>
                <w:lang w:val="fr-FR"/>
              </w:rPr>
              <w:t xml:space="preserve"> &gt; 120 mg/L </w:t>
            </w:r>
            <w:r w:rsidRPr="00227BE0">
              <w:rPr>
                <w:noProof w:val="0"/>
                <w:vertAlign w:val="subscript"/>
                <w:lang w:val="fr-FR"/>
              </w:rPr>
              <w:t>nom</w:t>
            </w:r>
          </w:p>
        </w:tc>
        <w:tc>
          <w:tcPr>
            <w:tcW w:w="1152" w:type="pct"/>
            <w:shd w:val="clear" w:color="auto" w:fill="auto"/>
          </w:tcPr>
          <w:p w14:paraId="17E431F5" w14:textId="77777777" w:rsidR="00E51CDD" w:rsidRPr="00227BE0" w:rsidRDefault="00E51CDD" w:rsidP="009938D9">
            <w:pPr>
              <w:pStyle w:val="RepTable"/>
              <w:rPr>
                <w:noProof w:val="0"/>
              </w:rPr>
            </w:pPr>
            <w:r w:rsidRPr="00227BE0">
              <w:rPr>
                <w:noProof w:val="0"/>
              </w:rPr>
              <w:t>EFSA Journal 2010; 8(4):1542,</w:t>
            </w:r>
          </w:p>
          <w:p w14:paraId="285D5168" w14:textId="77777777" w:rsidR="00E51CDD" w:rsidRPr="00227BE0" w:rsidRDefault="00E51CDD" w:rsidP="009938D9">
            <w:pPr>
              <w:pStyle w:val="RepTable"/>
              <w:rPr>
                <w:noProof w:val="0"/>
              </w:rPr>
            </w:pPr>
            <w:r w:rsidRPr="00227BE0">
              <w:rPr>
                <w:noProof w:val="0"/>
              </w:rPr>
              <w:t>Bowles, A.J., Wallace, S.J., 2002a, SYN501657/0003</w:t>
            </w:r>
          </w:p>
        </w:tc>
      </w:tr>
      <w:tr w:rsidR="00E51CDD" w:rsidRPr="007330A6" w14:paraId="13CEE6B4" w14:textId="77777777" w:rsidTr="009938D9">
        <w:trPr>
          <w:cantSplit/>
        </w:trPr>
        <w:tc>
          <w:tcPr>
            <w:tcW w:w="1081" w:type="pct"/>
            <w:shd w:val="clear" w:color="auto" w:fill="auto"/>
          </w:tcPr>
          <w:p w14:paraId="2FEB099E" w14:textId="77777777" w:rsidR="00E51CDD" w:rsidRPr="00227BE0" w:rsidRDefault="00E51CDD" w:rsidP="009938D9">
            <w:pPr>
              <w:pStyle w:val="RepTable"/>
              <w:rPr>
                <w:i/>
                <w:noProof w:val="0"/>
              </w:rPr>
            </w:pPr>
            <w:r w:rsidRPr="00227BE0">
              <w:rPr>
                <w:i/>
                <w:noProof w:val="0"/>
              </w:rPr>
              <w:t>Pseudokirchneriella subcapitata</w:t>
            </w:r>
          </w:p>
        </w:tc>
        <w:tc>
          <w:tcPr>
            <w:tcW w:w="972" w:type="pct"/>
            <w:shd w:val="clear" w:color="auto" w:fill="auto"/>
          </w:tcPr>
          <w:p w14:paraId="66DCCF28" w14:textId="77777777" w:rsidR="00E51CDD" w:rsidRPr="00227BE0" w:rsidRDefault="00E51CDD" w:rsidP="009938D9">
            <w:pPr>
              <w:pStyle w:val="RepTable"/>
              <w:rPr>
                <w:noProof w:val="0"/>
                <w:szCs w:val="24"/>
              </w:rPr>
            </w:pPr>
            <w:r w:rsidRPr="00227BE0">
              <w:rPr>
                <w:noProof w:val="0"/>
                <w:szCs w:val="24"/>
              </w:rPr>
              <w:t>R234886</w:t>
            </w:r>
          </w:p>
        </w:tc>
        <w:tc>
          <w:tcPr>
            <w:tcW w:w="898" w:type="pct"/>
            <w:shd w:val="clear" w:color="auto" w:fill="auto"/>
          </w:tcPr>
          <w:p w14:paraId="40042CCA" w14:textId="77777777" w:rsidR="00E51CDD" w:rsidRPr="00227BE0" w:rsidRDefault="00E51CDD" w:rsidP="009938D9">
            <w:pPr>
              <w:pStyle w:val="RepTable"/>
              <w:rPr>
                <w:noProof w:val="0"/>
              </w:rPr>
            </w:pPr>
            <w:r w:rsidRPr="00227BE0">
              <w:rPr>
                <w:noProof w:val="0"/>
              </w:rPr>
              <w:t>72 h, s</w:t>
            </w:r>
          </w:p>
        </w:tc>
        <w:tc>
          <w:tcPr>
            <w:tcW w:w="897" w:type="pct"/>
            <w:shd w:val="clear" w:color="auto" w:fill="auto"/>
          </w:tcPr>
          <w:p w14:paraId="7B371380" w14:textId="77777777" w:rsidR="00E51CDD" w:rsidRPr="00227BE0" w:rsidRDefault="00E51CDD" w:rsidP="009938D9">
            <w:pPr>
              <w:pStyle w:val="RepTable"/>
              <w:rPr>
                <w:noProof w:val="0"/>
              </w:rPr>
            </w:pPr>
            <w:r w:rsidRPr="00227BE0">
              <w:rPr>
                <w:noProof w:val="0"/>
              </w:rPr>
              <w:t>E</w:t>
            </w:r>
            <w:r w:rsidRPr="00227BE0">
              <w:rPr>
                <w:noProof w:val="0"/>
                <w:vertAlign w:val="subscript"/>
              </w:rPr>
              <w:t>b</w:t>
            </w:r>
            <w:r w:rsidRPr="00227BE0">
              <w:rPr>
                <w:noProof w:val="0"/>
              </w:rPr>
              <w:t>C</w:t>
            </w:r>
            <w:r w:rsidRPr="00227BE0">
              <w:rPr>
                <w:noProof w:val="0"/>
                <w:vertAlign w:val="subscript"/>
              </w:rPr>
              <w:t>50</w:t>
            </w:r>
            <w:r w:rsidRPr="00227BE0">
              <w:rPr>
                <w:noProof w:val="0"/>
              </w:rPr>
              <w:t xml:space="preserve"> = 47 mg/L </w:t>
            </w:r>
            <w:r w:rsidRPr="00227BE0">
              <w:rPr>
                <w:noProof w:val="0"/>
                <w:vertAlign w:val="subscript"/>
              </w:rPr>
              <w:t>mm</w:t>
            </w:r>
          </w:p>
        </w:tc>
        <w:tc>
          <w:tcPr>
            <w:tcW w:w="1152" w:type="pct"/>
            <w:shd w:val="clear" w:color="auto" w:fill="auto"/>
          </w:tcPr>
          <w:p w14:paraId="0AF418B4" w14:textId="77777777" w:rsidR="00E51CDD" w:rsidRPr="00227BE0" w:rsidRDefault="00E51CDD" w:rsidP="009938D9">
            <w:pPr>
              <w:pStyle w:val="RepTable"/>
              <w:rPr>
                <w:noProof w:val="0"/>
                <w:lang w:val="fr-FR"/>
              </w:rPr>
            </w:pPr>
            <w:r w:rsidRPr="00227BE0">
              <w:rPr>
                <w:noProof w:val="0"/>
                <w:lang w:val="fr-FR"/>
              </w:rPr>
              <w:t xml:space="preserve">EFSA Journal 2010; 8(4):1542, </w:t>
            </w:r>
          </w:p>
          <w:p w14:paraId="516466F7" w14:textId="77777777" w:rsidR="00E51CDD" w:rsidRPr="00227BE0" w:rsidRDefault="00E51CDD" w:rsidP="009938D9">
            <w:pPr>
              <w:pStyle w:val="RepTable"/>
              <w:rPr>
                <w:noProof w:val="0"/>
                <w:lang w:val="fr-FR"/>
              </w:rPr>
            </w:pPr>
            <w:r w:rsidRPr="00227BE0">
              <w:rPr>
                <w:noProof w:val="0"/>
                <w:lang w:val="fr-FR"/>
              </w:rPr>
              <w:t>Smyth et al, 1993, ICI5504/0962</w:t>
            </w:r>
          </w:p>
        </w:tc>
      </w:tr>
      <w:tr w:rsidR="00E51CDD" w:rsidRPr="00227BE0" w14:paraId="70A0A661" w14:textId="77777777" w:rsidTr="009938D9">
        <w:trPr>
          <w:cantSplit/>
        </w:trPr>
        <w:tc>
          <w:tcPr>
            <w:tcW w:w="1081" w:type="pct"/>
            <w:shd w:val="clear" w:color="auto" w:fill="auto"/>
          </w:tcPr>
          <w:p w14:paraId="03753A1F" w14:textId="77777777" w:rsidR="00E51CDD" w:rsidRPr="00227BE0" w:rsidRDefault="00E51CDD" w:rsidP="009938D9">
            <w:pPr>
              <w:pStyle w:val="RepTable"/>
              <w:rPr>
                <w:i/>
                <w:noProof w:val="0"/>
              </w:rPr>
            </w:pPr>
            <w:r w:rsidRPr="00227BE0">
              <w:rPr>
                <w:i/>
                <w:noProof w:val="0"/>
              </w:rPr>
              <w:t>Pseudokirchneriella subcapitata</w:t>
            </w:r>
          </w:p>
        </w:tc>
        <w:tc>
          <w:tcPr>
            <w:tcW w:w="972" w:type="pct"/>
            <w:shd w:val="clear" w:color="auto" w:fill="auto"/>
          </w:tcPr>
          <w:p w14:paraId="4343699D" w14:textId="77777777" w:rsidR="00E51CDD" w:rsidRPr="00227BE0" w:rsidRDefault="00E51CDD" w:rsidP="009938D9">
            <w:pPr>
              <w:pStyle w:val="RepTable"/>
              <w:rPr>
                <w:noProof w:val="0"/>
                <w:szCs w:val="24"/>
              </w:rPr>
            </w:pPr>
            <w:r w:rsidRPr="00227BE0">
              <w:rPr>
                <w:noProof w:val="0"/>
                <w:szCs w:val="24"/>
              </w:rPr>
              <w:t>R402173</w:t>
            </w:r>
          </w:p>
        </w:tc>
        <w:tc>
          <w:tcPr>
            <w:tcW w:w="898" w:type="pct"/>
            <w:shd w:val="clear" w:color="auto" w:fill="auto"/>
          </w:tcPr>
          <w:p w14:paraId="0C378846" w14:textId="77777777" w:rsidR="00E51CDD" w:rsidRPr="00227BE0" w:rsidRDefault="00E51CDD" w:rsidP="009938D9">
            <w:pPr>
              <w:pStyle w:val="RepTable"/>
              <w:rPr>
                <w:noProof w:val="0"/>
              </w:rPr>
            </w:pPr>
            <w:r w:rsidRPr="00227BE0">
              <w:rPr>
                <w:noProof w:val="0"/>
              </w:rPr>
              <w:t>72 h, s</w:t>
            </w:r>
          </w:p>
        </w:tc>
        <w:tc>
          <w:tcPr>
            <w:tcW w:w="897" w:type="pct"/>
            <w:shd w:val="clear" w:color="auto" w:fill="auto"/>
          </w:tcPr>
          <w:p w14:paraId="6F7D932E" w14:textId="77777777" w:rsidR="00E51CDD" w:rsidRDefault="00E51CDD" w:rsidP="009938D9">
            <w:pPr>
              <w:pStyle w:val="RepTable"/>
              <w:rPr>
                <w:noProof w:val="0"/>
                <w:vertAlign w:val="subscript"/>
                <w:lang w:val="fr-FR"/>
              </w:rPr>
            </w:pPr>
            <w:r w:rsidRPr="00227BE0">
              <w:rPr>
                <w:noProof w:val="0"/>
                <w:lang w:val="fr-FR"/>
              </w:rPr>
              <w:t>E</w:t>
            </w:r>
            <w:r w:rsidRPr="00227BE0">
              <w:rPr>
                <w:noProof w:val="0"/>
                <w:vertAlign w:val="subscript"/>
                <w:lang w:val="fr-FR"/>
              </w:rPr>
              <w:t>b</w:t>
            </w:r>
            <w:r w:rsidRPr="00227BE0">
              <w:rPr>
                <w:noProof w:val="0"/>
                <w:lang w:val="fr-FR"/>
              </w:rPr>
              <w:t>C</w:t>
            </w:r>
            <w:r w:rsidRPr="00227BE0">
              <w:rPr>
                <w:noProof w:val="0"/>
                <w:vertAlign w:val="subscript"/>
                <w:lang w:val="fr-FR"/>
              </w:rPr>
              <w:t>50</w:t>
            </w:r>
            <w:r w:rsidRPr="00227BE0">
              <w:rPr>
                <w:noProof w:val="0"/>
                <w:lang w:val="fr-FR"/>
              </w:rPr>
              <w:t xml:space="preserve"> = 67 mg/L </w:t>
            </w:r>
            <w:r w:rsidRPr="00227BE0">
              <w:rPr>
                <w:noProof w:val="0"/>
                <w:vertAlign w:val="subscript"/>
                <w:lang w:val="fr-FR"/>
              </w:rPr>
              <w:t>nom</w:t>
            </w:r>
          </w:p>
          <w:p w14:paraId="3F8448FE" w14:textId="77777777" w:rsidR="004E5CD1" w:rsidRPr="004E5CD1" w:rsidRDefault="004E5CD1" w:rsidP="004E5CD1">
            <w:pPr>
              <w:pStyle w:val="RepTable"/>
              <w:shd w:val="clear" w:color="auto" w:fill="D9D9D9" w:themeFill="background1" w:themeFillShade="D9"/>
            </w:pPr>
            <w:r w:rsidRPr="004E5CD1">
              <w:t>E</w:t>
            </w:r>
            <w:r w:rsidRPr="004E5CD1">
              <w:rPr>
                <w:vertAlign w:val="subscript"/>
              </w:rPr>
              <w:t>r</w:t>
            </w:r>
            <w:r w:rsidRPr="004E5CD1">
              <w:t>C</w:t>
            </w:r>
            <w:r w:rsidRPr="004E5CD1">
              <w:rPr>
                <w:vertAlign w:val="subscript"/>
              </w:rPr>
              <w:t>50</w:t>
            </w:r>
            <w:r w:rsidRPr="004E5CD1">
              <w:t xml:space="preserve"> = 67 mg a.s./L (n)</w:t>
            </w:r>
          </w:p>
          <w:p w14:paraId="4973AFE8" w14:textId="2BB23A91" w:rsidR="004E5CD1" w:rsidRPr="00227BE0" w:rsidRDefault="004E5CD1" w:rsidP="009938D9">
            <w:pPr>
              <w:pStyle w:val="RepTable"/>
              <w:rPr>
                <w:noProof w:val="0"/>
                <w:lang w:val="fr-FR"/>
              </w:rPr>
            </w:pPr>
          </w:p>
        </w:tc>
        <w:tc>
          <w:tcPr>
            <w:tcW w:w="1152" w:type="pct"/>
            <w:shd w:val="clear" w:color="auto" w:fill="auto"/>
          </w:tcPr>
          <w:p w14:paraId="7630463F" w14:textId="77777777" w:rsidR="00E51CDD" w:rsidRPr="00227BE0" w:rsidRDefault="00E51CDD" w:rsidP="009938D9">
            <w:pPr>
              <w:pStyle w:val="RepTable"/>
              <w:rPr>
                <w:noProof w:val="0"/>
              </w:rPr>
            </w:pPr>
            <w:r w:rsidRPr="00227BE0">
              <w:rPr>
                <w:noProof w:val="0"/>
              </w:rPr>
              <w:t>EFSA Journal 2010; 8(4):1542,</w:t>
            </w:r>
          </w:p>
          <w:p w14:paraId="3503DF77" w14:textId="77777777" w:rsidR="00E51CDD" w:rsidRPr="00227BE0" w:rsidRDefault="00E51CDD" w:rsidP="009938D9">
            <w:pPr>
              <w:pStyle w:val="RepTable"/>
              <w:rPr>
                <w:noProof w:val="0"/>
              </w:rPr>
            </w:pPr>
            <w:r w:rsidRPr="00227BE0">
              <w:rPr>
                <w:noProof w:val="0"/>
              </w:rPr>
              <w:t>Wallace, S.J., Woodyer, J.M., 2002, SYN511114/0003</w:t>
            </w:r>
          </w:p>
        </w:tc>
      </w:tr>
      <w:tr w:rsidR="00E51CDD" w:rsidRPr="00227BE0" w14:paraId="6C517CB0" w14:textId="77777777" w:rsidTr="009938D9">
        <w:trPr>
          <w:cantSplit/>
        </w:trPr>
        <w:tc>
          <w:tcPr>
            <w:tcW w:w="1081" w:type="pct"/>
            <w:shd w:val="clear" w:color="auto" w:fill="auto"/>
          </w:tcPr>
          <w:p w14:paraId="5E1BC262" w14:textId="77777777" w:rsidR="00E51CDD" w:rsidRPr="00227BE0" w:rsidRDefault="00E51CDD" w:rsidP="009938D9">
            <w:pPr>
              <w:pStyle w:val="RepTable"/>
              <w:rPr>
                <w:i/>
                <w:noProof w:val="0"/>
              </w:rPr>
            </w:pPr>
            <w:r w:rsidRPr="00227BE0">
              <w:rPr>
                <w:i/>
                <w:noProof w:val="0"/>
              </w:rPr>
              <w:t>Pseudokirchneriella subcapitata</w:t>
            </w:r>
          </w:p>
        </w:tc>
        <w:tc>
          <w:tcPr>
            <w:tcW w:w="972" w:type="pct"/>
            <w:shd w:val="clear" w:color="auto" w:fill="auto"/>
          </w:tcPr>
          <w:p w14:paraId="69FD2036" w14:textId="77777777" w:rsidR="00E51CDD" w:rsidRPr="00227BE0" w:rsidRDefault="00E51CDD" w:rsidP="009938D9">
            <w:pPr>
              <w:pStyle w:val="RepTable"/>
              <w:rPr>
                <w:noProof w:val="0"/>
                <w:szCs w:val="24"/>
              </w:rPr>
            </w:pPr>
            <w:r w:rsidRPr="00227BE0">
              <w:rPr>
                <w:noProof w:val="0"/>
                <w:szCs w:val="24"/>
              </w:rPr>
              <w:t>R401553</w:t>
            </w:r>
          </w:p>
        </w:tc>
        <w:tc>
          <w:tcPr>
            <w:tcW w:w="898" w:type="pct"/>
            <w:shd w:val="clear" w:color="auto" w:fill="auto"/>
          </w:tcPr>
          <w:p w14:paraId="2EC9A610" w14:textId="77777777" w:rsidR="00E51CDD" w:rsidRPr="00DB0900" w:rsidRDefault="00E51CDD" w:rsidP="009938D9">
            <w:pPr>
              <w:pStyle w:val="RepTable"/>
              <w:rPr>
                <w:noProof w:val="0"/>
              </w:rPr>
            </w:pPr>
            <w:r w:rsidRPr="00DB0900">
              <w:rPr>
                <w:noProof w:val="0"/>
              </w:rPr>
              <w:t>72 h, s</w:t>
            </w:r>
          </w:p>
        </w:tc>
        <w:tc>
          <w:tcPr>
            <w:tcW w:w="897" w:type="pct"/>
            <w:shd w:val="clear" w:color="auto" w:fill="auto"/>
          </w:tcPr>
          <w:p w14:paraId="4AF23FFB" w14:textId="77777777" w:rsidR="00E51CDD" w:rsidRPr="00DB0900" w:rsidRDefault="00E51CDD" w:rsidP="009938D9">
            <w:pPr>
              <w:pStyle w:val="RepTable"/>
              <w:rPr>
                <w:noProof w:val="0"/>
                <w:vertAlign w:val="subscript"/>
                <w:lang w:val="fr-FR"/>
              </w:rPr>
            </w:pPr>
            <w:r w:rsidRPr="00DB0900">
              <w:rPr>
                <w:noProof w:val="0"/>
                <w:lang w:val="fr-FR"/>
              </w:rPr>
              <w:t>E</w:t>
            </w:r>
            <w:r w:rsidRPr="00DB0900">
              <w:rPr>
                <w:noProof w:val="0"/>
                <w:vertAlign w:val="subscript"/>
                <w:lang w:val="fr-FR"/>
              </w:rPr>
              <w:t>b</w:t>
            </w:r>
            <w:r w:rsidRPr="00DB0900">
              <w:rPr>
                <w:noProof w:val="0"/>
                <w:lang w:val="fr-FR"/>
              </w:rPr>
              <w:t>C</w:t>
            </w:r>
            <w:r w:rsidRPr="00DB0900">
              <w:rPr>
                <w:noProof w:val="0"/>
                <w:vertAlign w:val="subscript"/>
                <w:lang w:val="fr-FR"/>
              </w:rPr>
              <w:t>50</w:t>
            </w:r>
            <w:r w:rsidRPr="00DB0900">
              <w:rPr>
                <w:noProof w:val="0"/>
                <w:lang w:val="fr-FR"/>
              </w:rPr>
              <w:t xml:space="preserve"> &gt; 120 mg/L </w:t>
            </w:r>
            <w:r w:rsidRPr="00DB0900">
              <w:rPr>
                <w:noProof w:val="0"/>
                <w:vertAlign w:val="subscript"/>
                <w:lang w:val="fr-FR"/>
              </w:rPr>
              <w:t>nom</w:t>
            </w:r>
          </w:p>
          <w:p w14:paraId="4A8D547A" w14:textId="42EBFAED" w:rsidR="00DB0900" w:rsidRPr="00DB0900" w:rsidRDefault="00DB0900" w:rsidP="00DB0900">
            <w:pPr>
              <w:pStyle w:val="RepTable"/>
              <w:shd w:val="clear" w:color="auto" w:fill="D9D9D9" w:themeFill="background1" w:themeFillShade="D9"/>
            </w:pPr>
            <w:r w:rsidRPr="00DB0900">
              <w:t>E</w:t>
            </w:r>
            <w:r w:rsidRPr="00DB0900">
              <w:rPr>
                <w:vertAlign w:val="subscript"/>
              </w:rPr>
              <w:t>r</w:t>
            </w:r>
            <w:r w:rsidRPr="00DB0900">
              <w:t>C</w:t>
            </w:r>
            <w:r w:rsidRPr="00DB0900">
              <w:rPr>
                <w:vertAlign w:val="subscript"/>
              </w:rPr>
              <w:t>50</w:t>
            </w:r>
            <w:r w:rsidRPr="00DB0900">
              <w:t xml:space="preserve"> &gt; 120 mg a.s./L (n)</w:t>
            </w:r>
          </w:p>
          <w:p w14:paraId="08F4839D" w14:textId="7CEDD430" w:rsidR="00DB0900" w:rsidRPr="00DB0900" w:rsidRDefault="00DB0900" w:rsidP="009938D9">
            <w:pPr>
              <w:pStyle w:val="RepTable"/>
              <w:rPr>
                <w:noProof w:val="0"/>
                <w:lang w:val="fr-FR"/>
              </w:rPr>
            </w:pPr>
          </w:p>
        </w:tc>
        <w:tc>
          <w:tcPr>
            <w:tcW w:w="1152" w:type="pct"/>
            <w:shd w:val="clear" w:color="auto" w:fill="auto"/>
          </w:tcPr>
          <w:p w14:paraId="2769E2AC" w14:textId="77777777" w:rsidR="00E51CDD" w:rsidRPr="00227BE0" w:rsidRDefault="00E51CDD" w:rsidP="009938D9">
            <w:pPr>
              <w:pStyle w:val="RepTable"/>
              <w:rPr>
                <w:noProof w:val="0"/>
              </w:rPr>
            </w:pPr>
            <w:r w:rsidRPr="00227BE0">
              <w:rPr>
                <w:noProof w:val="0"/>
              </w:rPr>
              <w:t>EFSA Journal 2010; 8(4):1542,</w:t>
            </w:r>
          </w:p>
          <w:p w14:paraId="2429A2A6" w14:textId="77777777" w:rsidR="00E51CDD" w:rsidRPr="00227BE0" w:rsidRDefault="00E51CDD" w:rsidP="009938D9">
            <w:pPr>
              <w:pStyle w:val="RepTable"/>
              <w:rPr>
                <w:noProof w:val="0"/>
              </w:rPr>
            </w:pPr>
            <w:r w:rsidRPr="00227BE0">
              <w:rPr>
                <w:noProof w:val="0"/>
              </w:rPr>
              <w:t>Bowles, A.J., Wallace, S.J., 2002b, SYN501657/0004</w:t>
            </w:r>
          </w:p>
        </w:tc>
      </w:tr>
      <w:tr w:rsidR="00E51CDD" w:rsidRPr="00227BE0" w14:paraId="08C4B73A" w14:textId="77777777" w:rsidTr="009938D9">
        <w:trPr>
          <w:cantSplit/>
        </w:trPr>
        <w:tc>
          <w:tcPr>
            <w:tcW w:w="5000" w:type="pct"/>
            <w:gridSpan w:val="5"/>
            <w:shd w:val="clear" w:color="auto" w:fill="auto"/>
            <w:vAlign w:val="center"/>
          </w:tcPr>
          <w:p w14:paraId="0D296998" w14:textId="77777777" w:rsidR="00E51CDD" w:rsidRPr="00227BE0" w:rsidRDefault="00E51CDD" w:rsidP="009938D9">
            <w:pPr>
              <w:pStyle w:val="RepTable"/>
              <w:keepNext/>
              <w:keepLines/>
              <w:rPr>
                <w:b/>
                <w:noProof w:val="0"/>
              </w:rPr>
            </w:pPr>
            <w:r w:rsidRPr="00227BE0">
              <w:rPr>
                <w:b/>
                <w:noProof w:val="0"/>
              </w:rPr>
              <w:t>Higher-tier studies (micro- or mesocosm studies)</w:t>
            </w:r>
          </w:p>
        </w:tc>
      </w:tr>
      <w:tr w:rsidR="00E51CDD" w:rsidRPr="00227BE0" w14:paraId="48742671" w14:textId="77777777" w:rsidTr="009938D9">
        <w:tc>
          <w:tcPr>
            <w:tcW w:w="3848" w:type="pct"/>
            <w:gridSpan w:val="4"/>
            <w:shd w:val="clear" w:color="auto" w:fill="auto"/>
          </w:tcPr>
          <w:p w14:paraId="7DB5D8B9" w14:textId="77777777" w:rsidR="00E51CDD" w:rsidRPr="00227BE0" w:rsidRDefault="00E51CDD" w:rsidP="009938D9">
            <w:pPr>
              <w:pStyle w:val="RepTable"/>
              <w:jc w:val="both"/>
              <w:rPr>
                <w:noProof w:val="0"/>
              </w:rPr>
            </w:pPr>
            <w:r w:rsidRPr="00227BE0">
              <w:rPr>
                <w:noProof w:val="0"/>
              </w:rPr>
              <w:t>The mesocosm study is considered to be a well-conducted mesocosm with an appropriate diversity and abundance of species. It should be noted that azoxystrobin was only applied once, and concentrations were only measured 21 hours after application and not throughout the course of the study. Species/groups were present in sufficient numbers to allow appropriate statistical analysis.</w:t>
            </w:r>
          </w:p>
          <w:p w14:paraId="44483B4D" w14:textId="77777777" w:rsidR="00E51CDD" w:rsidRPr="00227BE0" w:rsidRDefault="00E51CDD" w:rsidP="009938D9">
            <w:pPr>
              <w:pStyle w:val="RepTable"/>
              <w:jc w:val="both"/>
              <w:rPr>
                <w:noProof w:val="0"/>
              </w:rPr>
            </w:pPr>
            <w:r w:rsidRPr="00227BE0">
              <w:rPr>
                <w:noProof w:val="0"/>
              </w:rPr>
              <w:t>The Notifier proposed that the no observed ecologically adverse effects concentration (NOEAEC) is 10 μg/L. No uncertainty or assessment factor was proposed.</w:t>
            </w:r>
          </w:p>
          <w:p w14:paraId="2217C9D3" w14:textId="77777777" w:rsidR="00E51CDD" w:rsidRPr="00227BE0" w:rsidRDefault="00E51CDD" w:rsidP="009938D9">
            <w:pPr>
              <w:pStyle w:val="RepTable"/>
              <w:jc w:val="both"/>
              <w:rPr>
                <w:noProof w:val="0"/>
              </w:rPr>
            </w:pPr>
            <w:r w:rsidRPr="00227BE0">
              <w:rPr>
                <w:noProof w:val="0"/>
              </w:rPr>
              <w:t>From the summary above it can be concluded that there were effects at all concentrations, hence it is not possible to establish a NOEC. The treatment related effects at 10 μg/L were considered to be relatively short-lived and restricted to decreases in the following parameters:</w:t>
            </w:r>
          </w:p>
          <w:p w14:paraId="05A656C2" w14:textId="77777777" w:rsidR="00E51CDD" w:rsidRPr="00227BE0" w:rsidRDefault="00E51CDD" w:rsidP="00E51CDD">
            <w:pPr>
              <w:pStyle w:val="RepTable"/>
              <w:numPr>
                <w:ilvl w:val="0"/>
                <w:numId w:val="34"/>
              </w:numPr>
              <w:jc w:val="both"/>
              <w:rPr>
                <w:noProof w:val="0"/>
              </w:rPr>
            </w:pPr>
            <w:r w:rsidRPr="00227BE0">
              <w:rPr>
                <w:noProof w:val="0"/>
              </w:rPr>
              <w:t>Daphnia spp. – effects at 10 μg/L were noted at 3, 7 and 14 days</w:t>
            </w:r>
          </w:p>
          <w:p w14:paraId="595AFF4E" w14:textId="77777777" w:rsidR="00E51CDD" w:rsidRPr="00227BE0" w:rsidRDefault="00E51CDD" w:rsidP="00E51CDD">
            <w:pPr>
              <w:pStyle w:val="RepTable"/>
              <w:numPr>
                <w:ilvl w:val="0"/>
                <w:numId w:val="34"/>
              </w:numPr>
              <w:jc w:val="both"/>
              <w:rPr>
                <w:noProof w:val="0"/>
              </w:rPr>
            </w:pPr>
            <w:r w:rsidRPr="00227BE0">
              <w:rPr>
                <w:noProof w:val="0"/>
              </w:rPr>
              <w:t>Total cladocera – effects at 10 μg/L were noted at 3, 7 and 14 days</w:t>
            </w:r>
          </w:p>
          <w:p w14:paraId="13014155" w14:textId="77777777" w:rsidR="00E51CDD" w:rsidRPr="00227BE0" w:rsidRDefault="00E51CDD" w:rsidP="00E51CDD">
            <w:pPr>
              <w:pStyle w:val="RepTable"/>
              <w:numPr>
                <w:ilvl w:val="0"/>
                <w:numId w:val="34"/>
              </w:numPr>
              <w:jc w:val="both"/>
              <w:rPr>
                <w:noProof w:val="0"/>
              </w:rPr>
            </w:pPr>
            <w:r w:rsidRPr="00227BE0">
              <w:rPr>
                <w:noProof w:val="0"/>
              </w:rPr>
              <w:t>Copepoda nauplii – effects at day 35</w:t>
            </w:r>
          </w:p>
          <w:p w14:paraId="3234263B" w14:textId="77777777" w:rsidR="00E51CDD" w:rsidRPr="00227BE0" w:rsidRDefault="00E51CDD" w:rsidP="00E51CDD">
            <w:pPr>
              <w:pStyle w:val="RepTable"/>
              <w:numPr>
                <w:ilvl w:val="0"/>
                <w:numId w:val="34"/>
              </w:numPr>
              <w:jc w:val="both"/>
              <w:rPr>
                <w:noProof w:val="0"/>
              </w:rPr>
            </w:pPr>
            <w:r w:rsidRPr="00227BE0">
              <w:rPr>
                <w:noProof w:val="0"/>
              </w:rPr>
              <w:t>Copepoda Cyclopoid copepodites – effects at 10 μg/L were noted at days 7 and 10,</w:t>
            </w:r>
          </w:p>
          <w:p w14:paraId="15AB82CC" w14:textId="77777777" w:rsidR="00E51CDD" w:rsidRPr="00227BE0" w:rsidRDefault="00E51CDD" w:rsidP="00E51CDD">
            <w:pPr>
              <w:pStyle w:val="RepTable"/>
              <w:numPr>
                <w:ilvl w:val="0"/>
                <w:numId w:val="34"/>
              </w:numPr>
              <w:jc w:val="both"/>
              <w:rPr>
                <w:noProof w:val="0"/>
              </w:rPr>
            </w:pPr>
            <w:r w:rsidRPr="00227BE0">
              <w:rPr>
                <w:noProof w:val="0"/>
              </w:rPr>
              <w:t>Copepoda Cyclopoid adults – effects were noted on day 3 only</w:t>
            </w:r>
          </w:p>
          <w:p w14:paraId="6FC58C05" w14:textId="77777777" w:rsidR="00E51CDD" w:rsidRPr="00227BE0" w:rsidRDefault="00E51CDD" w:rsidP="00E51CDD">
            <w:pPr>
              <w:pStyle w:val="RepTable"/>
              <w:numPr>
                <w:ilvl w:val="0"/>
                <w:numId w:val="34"/>
              </w:numPr>
              <w:jc w:val="both"/>
              <w:rPr>
                <w:noProof w:val="0"/>
              </w:rPr>
            </w:pPr>
            <w:r w:rsidRPr="00227BE0">
              <w:rPr>
                <w:noProof w:val="0"/>
              </w:rPr>
              <w:lastRenderedPageBreak/>
              <w:t>Sphaeriidae – significantly fewer on days 72 and 93 for samples collected via nets, there were significantly fewer on days 22, 30 44 and 72.</w:t>
            </w:r>
          </w:p>
          <w:p w14:paraId="089999B3" w14:textId="77777777" w:rsidR="00E51CDD" w:rsidRPr="00227BE0" w:rsidRDefault="00E51CDD" w:rsidP="00E51CDD">
            <w:pPr>
              <w:pStyle w:val="RepTable"/>
              <w:numPr>
                <w:ilvl w:val="0"/>
                <w:numId w:val="34"/>
              </w:numPr>
              <w:jc w:val="both"/>
              <w:rPr>
                <w:noProof w:val="0"/>
              </w:rPr>
            </w:pPr>
            <w:r w:rsidRPr="00227BE0">
              <w:rPr>
                <w:noProof w:val="0"/>
              </w:rPr>
              <w:t>Total mollusc – in samples collected via nets were lower on days 22 and 72</w:t>
            </w:r>
          </w:p>
          <w:p w14:paraId="07AA2180" w14:textId="77777777" w:rsidR="00E51CDD" w:rsidRPr="00227BE0" w:rsidRDefault="00E51CDD" w:rsidP="00E51CDD">
            <w:pPr>
              <w:pStyle w:val="RepTable"/>
              <w:numPr>
                <w:ilvl w:val="0"/>
                <w:numId w:val="34"/>
              </w:numPr>
              <w:jc w:val="both"/>
              <w:rPr>
                <w:noProof w:val="0"/>
              </w:rPr>
            </w:pPr>
            <w:r w:rsidRPr="00227BE0">
              <w:rPr>
                <w:noProof w:val="0"/>
              </w:rPr>
              <w:t>Total macroinvertebrates – in sample collected via nets were lower on day 30.</w:t>
            </w:r>
          </w:p>
          <w:p w14:paraId="24D3EB31" w14:textId="77777777" w:rsidR="00E51CDD" w:rsidRPr="00227BE0" w:rsidRDefault="00E51CDD" w:rsidP="009938D9">
            <w:pPr>
              <w:pStyle w:val="RepTable"/>
              <w:jc w:val="both"/>
              <w:rPr>
                <w:noProof w:val="0"/>
              </w:rPr>
            </w:pPr>
            <w:r w:rsidRPr="00227BE0">
              <w:rPr>
                <w:noProof w:val="0"/>
              </w:rPr>
              <w:t>The following groups increased and were probably the result of indirect effects:</w:t>
            </w:r>
          </w:p>
          <w:p w14:paraId="70F27969" w14:textId="77777777" w:rsidR="00E51CDD" w:rsidRPr="00227BE0" w:rsidRDefault="00E51CDD" w:rsidP="00E51CDD">
            <w:pPr>
              <w:pStyle w:val="RepTable"/>
              <w:numPr>
                <w:ilvl w:val="0"/>
                <w:numId w:val="34"/>
              </w:numPr>
              <w:jc w:val="both"/>
              <w:rPr>
                <w:noProof w:val="0"/>
              </w:rPr>
            </w:pPr>
            <w:r w:rsidRPr="00227BE0">
              <w:rPr>
                <w:noProof w:val="0"/>
              </w:rPr>
              <w:t>Chydorus – significantly greater numbers on study day 10 and 28</w:t>
            </w:r>
          </w:p>
          <w:p w14:paraId="21289D58" w14:textId="77777777" w:rsidR="00E51CDD" w:rsidRPr="00227BE0" w:rsidRDefault="00E51CDD" w:rsidP="00E51CDD">
            <w:pPr>
              <w:pStyle w:val="RepTable"/>
              <w:numPr>
                <w:ilvl w:val="0"/>
                <w:numId w:val="34"/>
              </w:numPr>
              <w:jc w:val="both"/>
              <w:rPr>
                <w:noProof w:val="0"/>
              </w:rPr>
            </w:pPr>
            <w:r w:rsidRPr="00227BE0">
              <w:rPr>
                <w:noProof w:val="0"/>
              </w:rPr>
              <w:t>Pompholyx sp – significantly greater numbers than the control on day 14 only</w:t>
            </w:r>
          </w:p>
          <w:p w14:paraId="2E28F789" w14:textId="77777777" w:rsidR="00E51CDD" w:rsidRPr="00227BE0" w:rsidRDefault="00E51CDD" w:rsidP="00E51CDD">
            <w:pPr>
              <w:pStyle w:val="RepTable"/>
              <w:numPr>
                <w:ilvl w:val="0"/>
                <w:numId w:val="34"/>
              </w:numPr>
              <w:jc w:val="both"/>
              <w:rPr>
                <w:noProof w:val="0"/>
              </w:rPr>
            </w:pPr>
            <w:r w:rsidRPr="00227BE0">
              <w:rPr>
                <w:noProof w:val="0"/>
              </w:rPr>
              <w:t>Testudinella sp – there were significantly greater numbers than the control on days 42 and 35.</w:t>
            </w:r>
          </w:p>
          <w:p w14:paraId="74AD0FF1" w14:textId="77777777" w:rsidR="00E51CDD" w:rsidRPr="00227BE0" w:rsidRDefault="00E51CDD" w:rsidP="00E51CDD">
            <w:pPr>
              <w:pStyle w:val="RepTable"/>
              <w:numPr>
                <w:ilvl w:val="0"/>
                <w:numId w:val="34"/>
              </w:numPr>
              <w:jc w:val="both"/>
              <w:rPr>
                <w:noProof w:val="0"/>
              </w:rPr>
            </w:pPr>
            <w:r w:rsidRPr="00227BE0">
              <w:rPr>
                <w:noProof w:val="0"/>
              </w:rPr>
              <w:t>Total rotifer – there were significantly greater numbers than the control on days 3, 35, 42 and 56.</w:t>
            </w:r>
          </w:p>
          <w:p w14:paraId="2E499434" w14:textId="77777777" w:rsidR="00E51CDD" w:rsidRPr="00227BE0" w:rsidRDefault="00E51CDD" w:rsidP="009938D9">
            <w:pPr>
              <w:pStyle w:val="RepTable"/>
              <w:jc w:val="both"/>
              <w:rPr>
                <w:noProof w:val="0"/>
              </w:rPr>
            </w:pPr>
            <w:r w:rsidRPr="00227BE0">
              <w:rPr>
                <w:noProof w:val="0"/>
              </w:rPr>
              <w:t>It should however be noted that there was only one application and there was only chemical analysis 21 hours after application; due to this it is proposed that the effect concentrations should be based on the initial nominal concentrations.</w:t>
            </w:r>
          </w:p>
          <w:p w14:paraId="57C747E9" w14:textId="77777777" w:rsidR="00E51CDD" w:rsidRPr="00227BE0" w:rsidRDefault="00E51CDD" w:rsidP="009938D9">
            <w:pPr>
              <w:pStyle w:val="RepTable"/>
              <w:jc w:val="both"/>
              <w:rPr>
                <w:b/>
                <w:noProof w:val="0"/>
              </w:rPr>
            </w:pPr>
            <w:r w:rsidRPr="00227BE0">
              <w:rPr>
                <w:b/>
                <w:noProof w:val="0"/>
              </w:rPr>
              <w:t>The acute and chronic RAC for aquatic invertebrates should be set at 3.3 μg a.s./L</w:t>
            </w:r>
          </w:p>
        </w:tc>
        <w:tc>
          <w:tcPr>
            <w:tcW w:w="1152" w:type="pct"/>
            <w:shd w:val="clear" w:color="auto" w:fill="auto"/>
          </w:tcPr>
          <w:p w14:paraId="131E9841" w14:textId="77777777" w:rsidR="00E51CDD" w:rsidRPr="00227BE0" w:rsidRDefault="00E51CDD" w:rsidP="009938D9">
            <w:pPr>
              <w:pStyle w:val="RepTable"/>
              <w:rPr>
                <w:noProof w:val="0"/>
              </w:rPr>
            </w:pPr>
            <w:r w:rsidRPr="00227BE0">
              <w:rPr>
                <w:noProof w:val="0"/>
              </w:rPr>
              <w:lastRenderedPageBreak/>
              <w:t>EFSA Journal 2010; 8(4):1542,</w:t>
            </w:r>
          </w:p>
          <w:p w14:paraId="17C3AA97" w14:textId="77777777" w:rsidR="00E51CDD" w:rsidRPr="00227BE0" w:rsidRDefault="00E51CDD" w:rsidP="009938D9">
            <w:pPr>
              <w:pStyle w:val="RepTable"/>
              <w:rPr>
                <w:noProof w:val="0"/>
              </w:rPr>
            </w:pPr>
            <w:r w:rsidRPr="00227BE0">
              <w:rPr>
                <w:noProof w:val="0"/>
              </w:rPr>
              <w:t>Cole, J.F.H., Everett, C.J., Gentle, W., Ashwell, J.A., Goggin, U., 2000, ICI5504/0976</w:t>
            </w:r>
          </w:p>
        </w:tc>
      </w:tr>
    </w:tbl>
    <w:p w14:paraId="2AF390BF" w14:textId="77777777" w:rsidR="00E51CDD" w:rsidRPr="00227BE0" w:rsidRDefault="00E51CDD" w:rsidP="00E51CDD">
      <w:pPr>
        <w:widowControl w:val="0"/>
        <w:tabs>
          <w:tab w:val="left" w:pos="284"/>
          <w:tab w:val="left" w:pos="2640"/>
        </w:tabs>
        <w:suppressAutoHyphens/>
        <w:ind w:left="284" w:hanging="284"/>
        <w:jc w:val="both"/>
        <w:rPr>
          <w:b/>
          <w:bCs/>
          <w:sz w:val="14"/>
          <w:szCs w:val="14"/>
        </w:rPr>
      </w:pPr>
      <w:r w:rsidRPr="00227BE0">
        <w:rPr>
          <w:sz w:val="18"/>
          <w:szCs w:val="18"/>
          <w:u w:val="single"/>
          <w:lang w:val="en-GB"/>
        </w:rPr>
        <w:t xml:space="preserve">Abbreviations: </w:t>
      </w:r>
      <w:r w:rsidRPr="00227BE0">
        <w:rPr>
          <w:sz w:val="18"/>
          <w:szCs w:val="18"/>
          <w:lang w:val="en-GB"/>
        </w:rPr>
        <w:t>s: static; ss: semi-static; f: flow-through; nom: based on nominal concentrations; mm: based on mean measured concentrations</w:t>
      </w:r>
      <w:r w:rsidRPr="00227BE0">
        <w:rPr>
          <w:b/>
          <w:bCs/>
          <w:sz w:val="14"/>
          <w:szCs w:val="14"/>
        </w:rPr>
        <w:t xml:space="preserve"> </w:t>
      </w:r>
    </w:p>
    <w:p w14:paraId="5D04C51A" w14:textId="77777777" w:rsidR="00E51CDD" w:rsidRPr="00227BE0" w:rsidRDefault="00E51CDD" w:rsidP="00E51CDD">
      <w:pPr>
        <w:widowControl w:val="0"/>
        <w:tabs>
          <w:tab w:val="left" w:pos="284"/>
          <w:tab w:val="left" w:pos="2640"/>
        </w:tabs>
        <w:suppressAutoHyphens/>
        <w:ind w:left="284" w:hanging="284"/>
        <w:jc w:val="both"/>
        <w:rPr>
          <w:rFonts w:eastAsia="PMingLiU"/>
          <w:sz w:val="18"/>
          <w:szCs w:val="18"/>
          <w:u w:val="single"/>
        </w:rPr>
      </w:pPr>
      <w:r w:rsidRPr="00227BE0">
        <w:rPr>
          <w:b/>
          <w:bCs/>
          <w:sz w:val="18"/>
          <w:szCs w:val="18"/>
        </w:rPr>
        <w:t>Bold</w:t>
      </w:r>
      <w:r w:rsidRPr="00227BE0">
        <w:rPr>
          <w:sz w:val="18"/>
          <w:szCs w:val="18"/>
        </w:rPr>
        <w:t xml:space="preserve"> figures: Endpoint used in standard tier 1 risk assessment if more than one endpoint is available for the respective group or organism. </w:t>
      </w:r>
    </w:p>
    <w:p w14:paraId="1B0A6EDC" w14:textId="77777777" w:rsidR="00E51CDD" w:rsidRPr="00227BE0" w:rsidRDefault="00E51CDD" w:rsidP="00E51CDD">
      <w:pPr>
        <w:pStyle w:val="RepTableFootnote"/>
        <w:ind w:left="284" w:hanging="284"/>
        <w:jc w:val="both"/>
        <w:rPr>
          <w:noProof w:val="0"/>
          <w:lang w:val="en-GB"/>
        </w:rPr>
      </w:pPr>
      <w:r w:rsidRPr="00227BE0">
        <w:rPr>
          <w:vertAlign w:val="superscript"/>
          <w:lang w:val="en-US"/>
        </w:rPr>
        <w:t>1)</w:t>
      </w:r>
      <w:r w:rsidRPr="00227BE0">
        <w:rPr>
          <w:vertAlign w:val="superscript"/>
          <w:lang w:val="en-US"/>
        </w:rPr>
        <w:tab/>
      </w:r>
      <w:r w:rsidRPr="00227BE0">
        <w:rPr>
          <w:noProof w:val="0"/>
          <w:lang w:val="en-GB"/>
        </w:rPr>
        <w:t>The 72- and 96-hour EC</w:t>
      </w:r>
      <w:r w:rsidRPr="00227BE0">
        <w:rPr>
          <w:noProof w:val="0"/>
          <w:vertAlign w:val="subscript"/>
          <w:lang w:val="en-GB"/>
        </w:rPr>
        <w:t>50</w:t>
      </w:r>
      <w:r w:rsidRPr="00227BE0">
        <w:rPr>
          <w:noProof w:val="0"/>
          <w:lang w:val="en-GB"/>
        </w:rPr>
        <w:t xml:space="preserve"> values of azoxystrobin for </w:t>
      </w:r>
      <w:r w:rsidRPr="00227BE0">
        <w:rPr>
          <w:i/>
          <w:noProof w:val="0"/>
          <w:lang w:val="en-GB"/>
        </w:rPr>
        <w:t xml:space="preserve">Pseudokirchneriella subcapitata </w:t>
      </w:r>
      <w:r w:rsidRPr="00227BE0">
        <w:rPr>
          <w:noProof w:val="0"/>
          <w:lang w:val="en-GB"/>
        </w:rPr>
        <w:t xml:space="preserve">(formerly known as Selenastrum capricornutum) are 0.183 mg/L and 0.36 mg/L respectively; it is in the belief of Syngenta that the 72-h EC50 endpoint is erroneously presented as 0.36 mg/L in the EFSA Conclusion (2010); 8(4):1542. </w:t>
      </w:r>
    </w:p>
    <w:p w14:paraId="7A4B9D6C" w14:textId="77777777" w:rsidR="00E51CDD" w:rsidRPr="00227BE0" w:rsidRDefault="00E51CDD" w:rsidP="00E51CDD">
      <w:pPr>
        <w:pStyle w:val="RepTable"/>
        <w:ind w:left="284" w:hanging="284"/>
        <w:rPr>
          <w:sz w:val="18"/>
          <w:szCs w:val="20"/>
        </w:rPr>
      </w:pPr>
      <w:r w:rsidRPr="00227BE0">
        <w:rPr>
          <w:sz w:val="18"/>
          <w:szCs w:val="20"/>
          <w:vertAlign w:val="superscript"/>
        </w:rPr>
        <w:t>2)</w:t>
      </w:r>
      <w:r w:rsidRPr="00227BE0">
        <w:rPr>
          <w:sz w:val="18"/>
          <w:szCs w:val="20"/>
        </w:rPr>
        <w:tab/>
      </w:r>
      <w:r w:rsidRPr="00227BE0">
        <w:rPr>
          <w:noProof w:val="0"/>
          <w:sz w:val="18"/>
          <w:szCs w:val="20"/>
        </w:rPr>
        <w:t>Proposed new acute endpoint for algae</w:t>
      </w:r>
      <w:r w:rsidRPr="00227BE0">
        <w:rPr>
          <w:i/>
          <w:noProof w:val="0"/>
          <w:sz w:val="18"/>
          <w:szCs w:val="20"/>
        </w:rPr>
        <w:t xml:space="preserve"> </w:t>
      </w:r>
      <w:r w:rsidRPr="00227BE0">
        <w:rPr>
          <w:noProof w:val="0"/>
          <w:sz w:val="18"/>
          <w:szCs w:val="20"/>
        </w:rPr>
        <w:t xml:space="preserve">for azoxystrobin. Geomean of </w:t>
      </w:r>
      <w:r w:rsidRPr="00227BE0">
        <w:rPr>
          <w:i/>
          <w:noProof w:val="0"/>
          <w:sz w:val="18"/>
          <w:szCs w:val="20"/>
        </w:rPr>
        <w:t xml:space="preserve">Pseudokirchneriella subcapitata </w:t>
      </w:r>
      <w:r w:rsidRPr="00227BE0">
        <w:rPr>
          <w:noProof w:val="0"/>
          <w:sz w:val="18"/>
          <w:szCs w:val="20"/>
        </w:rPr>
        <w:t>(0.183 mg a.s./L </w:t>
      </w:r>
      <w:r w:rsidRPr="00227BE0">
        <w:rPr>
          <w:noProof w:val="0"/>
          <w:sz w:val="18"/>
          <w:szCs w:val="20"/>
          <w:vertAlign w:val="subscript"/>
        </w:rPr>
        <w:t>nom</w:t>
      </w:r>
      <w:r w:rsidRPr="00227BE0">
        <w:rPr>
          <w:noProof w:val="0"/>
          <w:sz w:val="18"/>
          <w:szCs w:val="20"/>
        </w:rPr>
        <w:t xml:space="preserve">), </w:t>
      </w:r>
      <w:r w:rsidRPr="00227BE0">
        <w:rPr>
          <w:i/>
          <w:noProof w:val="0"/>
          <w:sz w:val="18"/>
          <w:szCs w:val="20"/>
        </w:rPr>
        <w:t xml:space="preserve">Skeletonema costatum </w:t>
      </w:r>
      <w:r w:rsidRPr="00227BE0">
        <w:rPr>
          <w:noProof w:val="0"/>
          <w:sz w:val="18"/>
          <w:szCs w:val="20"/>
        </w:rPr>
        <w:t>(0.098 mg a.s./L </w:t>
      </w:r>
      <w:r w:rsidRPr="00227BE0">
        <w:rPr>
          <w:noProof w:val="0"/>
          <w:sz w:val="18"/>
          <w:szCs w:val="20"/>
          <w:vertAlign w:val="subscript"/>
        </w:rPr>
        <w:t>nom</w:t>
      </w:r>
      <w:r w:rsidRPr="00227BE0">
        <w:rPr>
          <w:noProof w:val="0"/>
          <w:sz w:val="18"/>
          <w:szCs w:val="20"/>
        </w:rPr>
        <w:t xml:space="preserve">) and </w:t>
      </w:r>
      <w:r w:rsidRPr="00227BE0">
        <w:rPr>
          <w:i/>
          <w:noProof w:val="0"/>
          <w:sz w:val="18"/>
          <w:szCs w:val="20"/>
        </w:rPr>
        <w:t xml:space="preserve">Navicula pelliculosa </w:t>
      </w:r>
      <w:r w:rsidRPr="00227BE0">
        <w:rPr>
          <w:noProof w:val="0"/>
          <w:sz w:val="18"/>
          <w:szCs w:val="20"/>
        </w:rPr>
        <w:t>(0.014 mg a.s./L </w:t>
      </w:r>
      <w:r w:rsidRPr="00227BE0">
        <w:rPr>
          <w:noProof w:val="0"/>
          <w:sz w:val="18"/>
          <w:szCs w:val="20"/>
          <w:vertAlign w:val="subscript"/>
        </w:rPr>
        <w:t>nom</w:t>
      </w:r>
      <w:r w:rsidRPr="00227BE0">
        <w:rPr>
          <w:noProof w:val="0"/>
          <w:sz w:val="18"/>
          <w:szCs w:val="20"/>
        </w:rPr>
        <w:t>). For details, please refer to chapter 9.5.1.1</w:t>
      </w:r>
    </w:p>
    <w:p w14:paraId="41E33E95" w14:textId="77777777" w:rsidR="00E51CDD" w:rsidRPr="00227BE0" w:rsidRDefault="00E51CDD" w:rsidP="00E51CDD">
      <w:pPr>
        <w:pStyle w:val="RepStandard"/>
      </w:pPr>
    </w:p>
    <w:p w14:paraId="45E4A7D4" w14:textId="77777777" w:rsidR="00E51CDD" w:rsidRPr="00227BE0" w:rsidRDefault="00E51CDD" w:rsidP="00E51CDD">
      <w:pPr>
        <w:pStyle w:val="RepStandard"/>
      </w:pPr>
    </w:p>
    <w:p w14:paraId="700757B7" w14:textId="77777777" w:rsidR="00E51CDD" w:rsidRPr="00227BE0" w:rsidRDefault="00E51CDD" w:rsidP="00E51CDD">
      <w:pPr>
        <w:widowControl w:val="0"/>
        <w:jc w:val="both"/>
        <w:rPr>
          <w:b/>
          <w:u w:val="single"/>
          <w:lang w:val="en-GB"/>
        </w:rPr>
      </w:pPr>
      <w:r w:rsidRPr="00227BE0">
        <w:rPr>
          <w:b/>
          <w:u w:val="single"/>
          <w:lang w:val="en-GB"/>
        </w:rPr>
        <w:br w:type="page"/>
      </w:r>
      <w:r w:rsidRPr="00227BE0">
        <w:rPr>
          <w:b/>
          <w:u w:val="single"/>
          <w:lang w:val="en-GB"/>
        </w:rPr>
        <w:lastRenderedPageBreak/>
        <w:t>Formulated product (BAS 736 00 F)</w:t>
      </w:r>
    </w:p>
    <w:p w14:paraId="64BCF04E" w14:textId="77777777" w:rsidR="00E51CDD" w:rsidRPr="00227BE0" w:rsidRDefault="00E51CDD" w:rsidP="00E51CDD">
      <w:pPr>
        <w:widowControl w:val="0"/>
        <w:jc w:val="both"/>
        <w:rPr>
          <w:bCs/>
          <w:lang w:val="en-GB"/>
        </w:rPr>
      </w:pPr>
    </w:p>
    <w:p w14:paraId="3F5BBEAC" w14:textId="0E7C50D7" w:rsidR="00E51CDD" w:rsidRPr="00227BE0" w:rsidRDefault="00E51CDD" w:rsidP="00E51CDD">
      <w:pPr>
        <w:pStyle w:val="OECD-BASIS-TEXT"/>
        <w:tabs>
          <w:tab w:val="left" w:pos="1984"/>
        </w:tabs>
        <w:rPr>
          <w:b/>
          <w:color w:val="auto"/>
        </w:rPr>
      </w:pPr>
      <w:r w:rsidRPr="00227BE0">
        <w:rPr>
          <w:color w:val="auto"/>
        </w:rPr>
        <w:t xml:space="preserve">The results from the toxicity tests with representative aquatic species conducted with the formulation BAS 736 00 F found in aquatic systems are summarized in </w:t>
      </w:r>
      <w:r w:rsidRPr="00227BE0">
        <w:rPr>
          <w:color w:val="auto"/>
        </w:rPr>
        <w:fldChar w:fldCharType="begin"/>
      </w:r>
      <w:r w:rsidRPr="00227BE0">
        <w:rPr>
          <w:color w:val="auto"/>
        </w:rPr>
        <w:instrText xml:space="preserve"> REF _Ref83032109 \h </w:instrText>
      </w:r>
      <w:r>
        <w:rPr>
          <w:color w:val="auto"/>
        </w:rPr>
        <w:instrText xml:space="preserve"> \* MERGEFORMAT </w:instrText>
      </w:r>
      <w:r w:rsidRPr="00227BE0">
        <w:rPr>
          <w:color w:val="auto"/>
        </w:rPr>
      </w:r>
      <w:r w:rsidRPr="00227BE0">
        <w:rPr>
          <w:color w:val="auto"/>
        </w:rPr>
        <w:fldChar w:fldCharType="separate"/>
      </w:r>
      <w:r w:rsidR="00662F32" w:rsidRPr="00227BE0">
        <w:t xml:space="preserve">Table </w:t>
      </w:r>
      <w:r w:rsidR="00662F32">
        <w:rPr>
          <w:noProof/>
        </w:rPr>
        <w:t>9.5</w:t>
      </w:r>
      <w:r w:rsidR="00662F32" w:rsidRPr="00227BE0">
        <w:rPr>
          <w:noProof/>
        </w:rPr>
        <w:noBreakHyphen/>
      </w:r>
      <w:r w:rsidR="00662F32">
        <w:rPr>
          <w:noProof/>
        </w:rPr>
        <w:t>3</w:t>
      </w:r>
      <w:r w:rsidRPr="00227BE0">
        <w:rPr>
          <w:color w:val="auto"/>
        </w:rPr>
        <w:fldChar w:fldCharType="end"/>
      </w:r>
      <w:r w:rsidRPr="00227BE0">
        <w:rPr>
          <w:color w:val="auto"/>
        </w:rPr>
        <w:t>.</w:t>
      </w:r>
    </w:p>
    <w:p w14:paraId="3DAE9A43" w14:textId="77777777" w:rsidR="00E51CDD" w:rsidRPr="00227BE0" w:rsidRDefault="00E51CDD" w:rsidP="00E51CDD">
      <w:pPr>
        <w:pStyle w:val="RepStandard"/>
      </w:pPr>
    </w:p>
    <w:p w14:paraId="6E60C4A5" w14:textId="3276E98F" w:rsidR="00E51CDD" w:rsidRPr="00227BE0" w:rsidRDefault="00E51CDD" w:rsidP="00E51CDD">
      <w:pPr>
        <w:pStyle w:val="RepLabel"/>
      </w:pPr>
      <w:bookmarkStart w:id="472" w:name="_Ref83032109"/>
      <w:r w:rsidRPr="00227BE0">
        <w:t xml:space="preserve">Table </w:t>
      </w:r>
      <w:r w:rsidRPr="00227BE0">
        <w:fldChar w:fldCharType="begin"/>
      </w:r>
      <w:r w:rsidRPr="00227BE0">
        <w:instrText xml:space="preserve"> STYLEREF 2 \s </w:instrText>
      </w:r>
      <w:r w:rsidRPr="00227BE0">
        <w:fldChar w:fldCharType="separate"/>
      </w:r>
      <w:r w:rsidR="00662F32">
        <w:rPr>
          <w:noProof/>
        </w:rPr>
        <w:t>9.5</w:t>
      </w:r>
      <w:r w:rsidRPr="00227BE0">
        <w:fldChar w:fldCharType="end"/>
      </w:r>
      <w:r w:rsidRPr="00227BE0">
        <w:noBreakHyphen/>
      </w:r>
      <w:r w:rsidRPr="00227BE0">
        <w:fldChar w:fldCharType="begin"/>
      </w:r>
      <w:r w:rsidRPr="00227BE0">
        <w:instrText xml:space="preserve"> SEQ Table \* ARABIC \s 2 </w:instrText>
      </w:r>
      <w:r w:rsidRPr="00227BE0">
        <w:fldChar w:fldCharType="separate"/>
      </w:r>
      <w:r w:rsidR="00662F32">
        <w:rPr>
          <w:noProof/>
        </w:rPr>
        <w:t>3</w:t>
      </w:r>
      <w:r w:rsidRPr="00227BE0">
        <w:fldChar w:fldCharType="end"/>
      </w:r>
      <w:bookmarkEnd w:id="472"/>
      <w:r w:rsidRPr="00227BE0">
        <w:t>:</w:t>
      </w:r>
      <w:r w:rsidRPr="00227BE0">
        <w:tab/>
        <w:t>Endpoints and effect values relevant for the risk assessment for aquatic organisms – BAS 736 00 F</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70"/>
        <w:gridCol w:w="1869"/>
        <w:gridCol w:w="1866"/>
        <w:gridCol w:w="1871"/>
        <w:gridCol w:w="1871"/>
      </w:tblGrid>
      <w:tr w:rsidR="00E51CDD" w:rsidRPr="00227BE0" w14:paraId="22A5E12D" w14:textId="77777777" w:rsidTr="009938D9">
        <w:trPr>
          <w:tblHeader/>
        </w:trPr>
        <w:tc>
          <w:tcPr>
            <w:tcW w:w="1000" w:type="pct"/>
            <w:shd w:val="clear" w:color="auto" w:fill="auto"/>
          </w:tcPr>
          <w:p w14:paraId="1164D2A6" w14:textId="77777777" w:rsidR="00E51CDD" w:rsidRPr="00227BE0" w:rsidRDefault="00E51CDD" w:rsidP="009938D9">
            <w:pPr>
              <w:pStyle w:val="RepTableHeader"/>
              <w:jc w:val="center"/>
              <w:rPr>
                <w:lang w:val="en-GB"/>
              </w:rPr>
            </w:pPr>
            <w:r w:rsidRPr="00227BE0">
              <w:rPr>
                <w:lang w:val="en-GB"/>
              </w:rPr>
              <w:t>Species</w:t>
            </w:r>
          </w:p>
        </w:tc>
        <w:tc>
          <w:tcPr>
            <w:tcW w:w="1000" w:type="pct"/>
            <w:shd w:val="clear" w:color="auto" w:fill="auto"/>
          </w:tcPr>
          <w:p w14:paraId="63F1E293" w14:textId="77777777" w:rsidR="00E51CDD" w:rsidRPr="00227BE0" w:rsidRDefault="00E51CDD" w:rsidP="009938D9">
            <w:pPr>
              <w:pStyle w:val="RepTableHeader"/>
              <w:jc w:val="center"/>
              <w:rPr>
                <w:lang w:val="en-GB"/>
              </w:rPr>
            </w:pPr>
            <w:r w:rsidRPr="00227BE0">
              <w:rPr>
                <w:lang w:val="en-GB"/>
              </w:rPr>
              <w:t>Substance</w:t>
            </w:r>
          </w:p>
        </w:tc>
        <w:tc>
          <w:tcPr>
            <w:tcW w:w="998" w:type="pct"/>
            <w:shd w:val="clear" w:color="auto" w:fill="auto"/>
          </w:tcPr>
          <w:p w14:paraId="518E0B0D" w14:textId="77777777" w:rsidR="00E51CDD" w:rsidRPr="00227BE0" w:rsidRDefault="00E51CDD" w:rsidP="009938D9">
            <w:pPr>
              <w:pStyle w:val="RepTableHeader"/>
              <w:jc w:val="center"/>
              <w:rPr>
                <w:lang w:val="en-GB"/>
              </w:rPr>
            </w:pPr>
            <w:r w:rsidRPr="00227BE0">
              <w:rPr>
                <w:lang w:val="en-GB"/>
              </w:rPr>
              <w:t>Exposure</w:t>
            </w:r>
          </w:p>
          <w:p w14:paraId="514ACFE8" w14:textId="77777777" w:rsidR="00E51CDD" w:rsidRPr="00227BE0" w:rsidRDefault="00E51CDD" w:rsidP="009938D9">
            <w:pPr>
              <w:pStyle w:val="RepTableHeader"/>
              <w:jc w:val="center"/>
              <w:rPr>
                <w:lang w:val="en-GB"/>
              </w:rPr>
            </w:pPr>
            <w:r w:rsidRPr="00227BE0">
              <w:rPr>
                <w:lang w:val="en-GB"/>
              </w:rPr>
              <w:t>System</w:t>
            </w:r>
          </w:p>
        </w:tc>
        <w:tc>
          <w:tcPr>
            <w:tcW w:w="1001" w:type="pct"/>
            <w:shd w:val="clear" w:color="auto" w:fill="auto"/>
          </w:tcPr>
          <w:p w14:paraId="3E16DD7C" w14:textId="77777777" w:rsidR="00E51CDD" w:rsidRPr="00227BE0" w:rsidRDefault="00E51CDD" w:rsidP="009938D9">
            <w:pPr>
              <w:pStyle w:val="RepTableHeader"/>
              <w:jc w:val="center"/>
              <w:rPr>
                <w:lang w:val="en-GB"/>
              </w:rPr>
            </w:pPr>
            <w:r w:rsidRPr="00227BE0">
              <w:rPr>
                <w:lang w:val="en-GB"/>
              </w:rPr>
              <w:t>Results</w:t>
            </w:r>
          </w:p>
        </w:tc>
        <w:tc>
          <w:tcPr>
            <w:tcW w:w="1001" w:type="pct"/>
            <w:shd w:val="clear" w:color="auto" w:fill="auto"/>
          </w:tcPr>
          <w:p w14:paraId="0E3BAE99" w14:textId="77777777" w:rsidR="00E51CDD" w:rsidRPr="00227BE0" w:rsidRDefault="00E51CDD" w:rsidP="009938D9">
            <w:pPr>
              <w:pStyle w:val="RepTableHeader"/>
              <w:jc w:val="center"/>
              <w:rPr>
                <w:lang w:val="en-GB"/>
              </w:rPr>
            </w:pPr>
            <w:r w:rsidRPr="00227BE0">
              <w:rPr>
                <w:lang w:val="en-GB"/>
              </w:rPr>
              <w:t>Reference</w:t>
            </w:r>
          </w:p>
        </w:tc>
      </w:tr>
      <w:tr w:rsidR="00E51CDD" w:rsidRPr="00227BE0" w14:paraId="62AF8320" w14:textId="77777777" w:rsidTr="009938D9">
        <w:tc>
          <w:tcPr>
            <w:tcW w:w="1000" w:type="pct"/>
            <w:shd w:val="clear" w:color="auto" w:fill="auto"/>
          </w:tcPr>
          <w:p w14:paraId="50BC3AA9" w14:textId="77777777" w:rsidR="00E51CDD" w:rsidRPr="00227BE0" w:rsidRDefault="00E51CDD" w:rsidP="009938D9">
            <w:pPr>
              <w:pStyle w:val="RepTable"/>
              <w:rPr>
                <w:i/>
              </w:rPr>
            </w:pPr>
            <w:r w:rsidRPr="00227BE0">
              <w:rPr>
                <w:i/>
              </w:rPr>
              <w:t>Oncorhynchus mykiss</w:t>
            </w:r>
          </w:p>
        </w:tc>
        <w:tc>
          <w:tcPr>
            <w:tcW w:w="1000" w:type="pct"/>
            <w:shd w:val="clear" w:color="auto" w:fill="auto"/>
          </w:tcPr>
          <w:p w14:paraId="602351E4" w14:textId="77777777" w:rsidR="00E51CDD" w:rsidRPr="00227BE0" w:rsidRDefault="00E51CDD" w:rsidP="009938D9">
            <w:pPr>
              <w:pStyle w:val="RepTable"/>
            </w:pPr>
            <w:r w:rsidRPr="00227BE0">
              <w:t>BAS 736 00 F</w:t>
            </w:r>
          </w:p>
        </w:tc>
        <w:tc>
          <w:tcPr>
            <w:tcW w:w="998" w:type="pct"/>
            <w:shd w:val="clear" w:color="auto" w:fill="auto"/>
          </w:tcPr>
          <w:p w14:paraId="46097244" w14:textId="77777777" w:rsidR="00E51CDD" w:rsidRPr="00227BE0" w:rsidRDefault="00E51CDD" w:rsidP="009938D9">
            <w:pPr>
              <w:pStyle w:val="RepTable"/>
            </w:pPr>
            <w:r w:rsidRPr="00227BE0">
              <w:t>96 h, s</w:t>
            </w:r>
          </w:p>
        </w:tc>
        <w:tc>
          <w:tcPr>
            <w:tcW w:w="1001" w:type="pct"/>
            <w:shd w:val="clear" w:color="auto" w:fill="auto"/>
          </w:tcPr>
          <w:p w14:paraId="73717DC1" w14:textId="77777777" w:rsidR="00E51CDD" w:rsidRPr="00227BE0" w:rsidRDefault="00E51CDD" w:rsidP="009938D9">
            <w:pPr>
              <w:pStyle w:val="RepTable"/>
              <w:rPr>
                <w:vertAlign w:val="subscript"/>
                <w:lang w:val="fr-FR"/>
              </w:rPr>
            </w:pPr>
            <w:r w:rsidRPr="00227BE0">
              <w:rPr>
                <w:lang w:val="fr-FR"/>
              </w:rPr>
              <w:t>LC</w:t>
            </w:r>
            <w:r w:rsidRPr="00227BE0">
              <w:rPr>
                <w:vertAlign w:val="subscript"/>
                <w:lang w:val="fr-FR"/>
              </w:rPr>
              <w:t>50</w:t>
            </w:r>
            <w:r w:rsidRPr="00227BE0">
              <w:rPr>
                <w:lang w:val="fr-FR"/>
              </w:rPr>
              <w:t xml:space="preserve"> = 2.83 mg/L </w:t>
            </w:r>
            <w:r w:rsidRPr="00227BE0">
              <w:rPr>
                <w:vertAlign w:val="subscript"/>
                <w:lang w:val="fr-FR"/>
              </w:rPr>
              <w:t>nom</w:t>
            </w:r>
          </w:p>
        </w:tc>
        <w:tc>
          <w:tcPr>
            <w:tcW w:w="1001" w:type="pct"/>
            <w:shd w:val="clear" w:color="auto" w:fill="auto"/>
          </w:tcPr>
          <w:p w14:paraId="63F25A42" w14:textId="77777777" w:rsidR="00E51CDD" w:rsidRPr="00227BE0" w:rsidRDefault="00E51CDD" w:rsidP="009938D9">
            <w:pPr>
              <w:pStyle w:val="RepTable"/>
            </w:pPr>
            <w:r w:rsidRPr="00227BE0">
              <w:t>New Study – Not EU agreed</w:t>
            </w:r>
          </w:p>
          <w:p w14:paraId="637D8DA3" w14:textId="77777777" w:rsidR="00E51CDD" w:rsidRPr="00227BE0" w:rsidRDefault="00E51CDD" w:rsidP="009938D9">
            <w:pPr>
              <w:pStyle w:val="RepTable"/>
            </w:pPr>
            <w:r w:rsidRPr="00227BE0">
              <w:t>2019/2039621</w:t>
            </w:r>
          </w:p>
        </w:tc>
      </w:tr>
      <w:tr w:rsidR="00E51CDD" w:rsidRPr="00227BE0" w14:paraId="59E0E0A6" w14:textId="77777777" w:rsidTr="009938D9">
        <w:tc>
          <w:tcPr>
            <w:tcW w:w="1000" w:type="pct"/>
            <w:shd w:val="clear" w:color="auto" w:fill="auto"/>
          </w:tcPr>
          <w:p w14:paraId="02464576" w14:textId="77777777" w:rsidR="00E51CDD" w:rsidRPr="00227BE0" w:rsidRDefault="00E51CDD" w:rsidP="009938D9">
            <w:pPr>
              <w:pStyle w:val="RepTable"/>
              <w:rPr>
                <w:i/>
              </w:rPr>
            </w:pPr>
            <w:r w:rsidRPr="00227BE0">
              <w:rPr>
                <w:i/>
              </w:rPr>
              <w:t>Daphnia magna</w:t>
            </w:r>
          </w:p>
        </w:tc>
        <w:tc>
          <w:tcPr>
            <w:tcW w:w="1000" w:type="pct"/>
            <w:shd w:val="clear" w:color="auto" w:fill="auto"/>
          </w:tcPr>
          <w:p w14:paraId="5CE36362" w14:textId="77777777" w:rsidR="00E51CDD" w:rsidRPr="00227BE0" w:rsidRDefault="00E51CDD" w:rsidP="009938D9">
            <w:pPr>
              <w:pStyle w:val="RepTable"/>
            </w:pPr>
            <w:r w:rsidRPr="00227BE0">
              <w:t>BAS 736 00 F</w:t>
            </w:r>
          </w:p>
        </w:tc>
        <w:tc>
          <w:tcPr>
            <w:tcW w:w="998" w:type="pct"/>
            <w:shd w:val="clear" w:color="auto" w:fill="auto"/>
          </w:tcPr>
          <w:p w14:paraId="1A688431" w14:textId="77777777" w:rsidR="00E51CDD" w:rsidRPr="00227BE0" w:rsidRDefault="00E51CDD" w:rsidP="009938D9">
            <w:pPr>
              <w:pStyle w:val="RepTable"/>
            </w:pPr>
            <w:r w:rsidRPr="00227BE0">
              <w:t>48 h, s</w:t>
            </w:r>
          </w:p>
        </w:tc>
        <w:tc>
          <w:tcPr>
            <w:tcW w:w="1001" w:type="pct"/>
            <w:shd w:val="clear" w:color="auto" w:fill="auto"/>
          </w:tcPr>
          <w:p w14:paraId="36A41143" w14:textId="77777777" w:rsidR="00E51CDD" w:rsidRPr="00227BE0" w:rsidRDefault="00E51CDD" w:rsidP="009938D9">
            <w:pPr>
              <w:pStyle w:val="RepTable"/>
              <w:rPr>
                <w:vertAlign w:val="subscript"/>
                <w:lang w:val="fr-FR"/>
              </w:rPr>
            </w:pPr>
            <w:r w:rsidRPr="00227BE0">
              <w:rPr>
                <w:lang w:val="fr-FR"/>
              </w:rPr>
              <w:t>EC</w:t>
            </w:r>
            <w:r w:rsidRPr="00227BE0">
              <w:rPr>
                <w:vertAlign w:val="subscript"/>
                <w:lang w:val="fr-FR"/>
              </w:rPr>
              <w:t>50</w:t>
            </w:r>
            <w:r w:rsidRPr="00227BE0">
              <w:rPr>
                <w:lang w:val="fr-FR"/>
              </w:rPr>
              <w:t xml:space="preserve"> = 1.57 mg/L </w:t>
            </w:r>
            <w:r w:rsidRPr="00227BE0">
              <w:rPr>
                <w:vertAlign w:val="subscript"/>
                <w:lang w:val="fr-FR"/>
              </w:rPr>
              <w:t>nom</w:t>
            </w:r>
          </w:p>
        </w:tc>
        <w:tc>
          <w:tcPr>
            <w:tcW w:w="1001" w:type="pct"/>
            <w:shd w:val="clear" w:color="auto" w:fill="auto"/>
          </w:tcPr>
          <w:p w14:paraId="4F36F96D" w14:textId="77777777" w:rsidR="00E51CDD" w:rsidRPr="00227BE0" w:rsidRDefault="00E51CDD" w:rsidP="009938D9">
            <w:pPr>
              <w:pStyle w:val="RepTable"/>
            </w:pPr>
            <w:r w:rsidRPr="00227BE0">
              <w:t>New Study – Not EU agreed</w:t>
            </w:r>
          </w:p>
          <w:p w14:paraId="0B0BAC62" w14:textId="77777777" w:rsidR="00E51CDD" w:rsidRPr="00227BE0" w:rsidRDefault="00E51CDD" w:rsidP="009938D9">
            <w:pPr>
              <w:pStyle w:val="RepTable"/>
            </w:pPr>
            <w:r w:rsidRPr="00227BE0">
              <w:t>2019/2039622</w:t>
            </w:r>
          </w:p>
        </w:tc>
      </w:tr>
      <w:tr w:rsidR="00E51CDD" w:rsidRPr="00227BE0" w14:paraId="2A42C9C2" w14:textId="77777777" w:rsidTr="009938D9">
        <w:tc>
          <w:tcPr>
            <w:tcW w:w="1000" w:type="pct"/>
            <w:shd w:val="clear" w:color="auto" w:fill="auto"/>
          </w:tcPr>
          <w:p w14:paraId="23173139" w14:textId="77777777" w:rsidR="00E51CDD" w:rsidRPr="00227BE0" w:rsidRDefault="00E51CDD" w:rsidP="009938D9">
            <w:pPr>
              <w:pStyle w:val="RepTable"/>
              <w:rPr>
                <w:i/>
              </w:rPr>
            </w:pPr>
            <w:r w:rsidRPr="00227BE0">
              <w:rPr>
                <w:i/>
              </w:rPr>
              <w:t>Pseudokirchneriella subcapitata</w:t>
            </w:r>
          </w:p>
        </w:tc>
        <w:tc>
          <w:tcPr>
            <w:tcW w:w="1000" w:type="pct"/>
            <w:shd w:val="clear" w:color="auto" w:fill="auto"/>
          </w:tcPr>
          <w:p w14:paraId="4BC82748" w14:textId="77777777" w:rsidR="00E51CDD" w:rsidRPr="00227BE0" w:rsidRDefault="00E51CDD" w:rsidP="009938D9">
            <w:pPr>
              <w:pStyle w:val="RepTable"/>
            </w:pPr>
            <w:r w:rsidRPr="00227BE0">
              <w:t>BAS 736 00 F</w:t>
            </w:r>
          </w:p>
        </w:tc>
        <w:tc>
          <w:tcPr>
            <w:tcW w:w="998" w:type="pct"/>
            <w:shd w:val="clear" w:color="auto" w:fill="auto"/>
          </w:tcPr>
          <w:p w14:paraId="5897CB3F" w14:textId="77777777" w:rsidR="00E51CDD" w:rsidRPr="00227BE0" w:rsidRDefault="00E51CDD" w:rsidP="009938D9">
            <w:pPr>
              <w:pStyle w:val="RepTable"/>
            </w:pPr>
            <w:r w:rsidRPr="00227BE0">
              <w:t>72 h, s</w:t>
            </w:r>
          </w:p>
        </w:tc>
        <w:tc>
          <w:tcPr>
            <w:tcW w:w="1001" w:type="pct"/>
            <w:shd w:val="clear" w:color="auto" w:fill="auto"/>
          </w:tcPr>
          <w:p w14:paraId="525D24C6" w14:textId="77777777" w:rsidR="00E51CDD" w:rsidRPr="00227BE0" w:rsidRDefault="00E51CDD" w:rsidP="009938D9">
            <w:pPr>
              <w:pStyle w:val="RepTable"/>
              <w:rPr>
                <w:lang w:val="fr-FR"/>
              </w:rPr>
            </w:pPr>
            <w:r w:rsidRPr="00227BE0">
              <w:rPr>
                <w:lang w:val="fr-FR"/>
              </w:rPr>
              <w:t>E</w:t>
            </w:r>
            <w:r w:rsidRPr="00227BE0">
              <w:rPr>
                <w:vertAlign w:val="subscript"/>
                <w:lang w:val="fr-FR"/>
              </w:rPr>
              <w:t>r</w:t>
            </w:r>
            <w:r w:rsidRPr="00227BE0">
              <w:rPr>
                <w:lang w:val="fr-FR"/>
              </w:rPr>
              <w:t>C</w:t>
            </w:r>
            <w:r w:rsidRPr="00227BE0">
              <w:rPr>
                <w:vertAlign w:val="subscript"/>
                <w:lang w:val="fr-FR"/>
              </w:rPr>
              <w:t>50</w:t>
            </w:r>
            <w:r w:rsidRPr="00227BE0">
              <w:rPr>
                <w:lang w:val="fr-FR"/>
              </w:rPr>
              <w:t xml:space="preserve"> = 4.19 mg/L </w:t>
            </w:r>
            <w:r w:rsidRPr="00227BE0">
              <w:rPr>
                <w:vertAlign w:val="subscript"/>
                <w:lang w:val="fr-FR"/>
              </w:rPr>
              <w:t>nom</w:t>
            </w:r>
          </w:p>
          <w:p w14:paraId="5A58A78E" w14:textId="77777777" w:rsidR="00E51CDD" w:rsidRPr="00227BE0" w:rsidRDefault="00E51CDD" w:rsidP="009938D9">
            <w:pPr>
              <w:pStyle w:val="RepTable"/>
              <w:rPr>
                <w:lang w:val="fr-FR"/>
              </w:rPr>
            </w:pPr>
            <w:r w:rsidRPr="00227BE0">
              <w:rPr>
                <w:lang w:val="fr-FR"/>
              </w:rPr>
              <w:t>E</w:t>
            </w:r>
            <w:r w:rsidRPr="00227BE0">
              <w:rPr>
                <w:vertAlign w:val="subscript"/>
                <w:lang w:val="fr-FR"/>
              </w:rPr>
              <w:t>y</w:t>
            </w:r>
            <w:r w:rsidRPr="00227BE0">
              <w:rPr>
                <w:lang w:val="fr-FR"/>
              </w:rPr>
              <w:t>C</w:t>
            </w:r>
            <w:r w:rsidRPr="00227BE0">
              <w:rPr>
                <w:vertAlign w:val="subscript"/>
                <w:lang w:val="fr-FR"/>
              </w:rPr>
              <w:t>50</w:t>
            </w:r>
            <w:r w:rsidRPr="00227BE0">
              <w:rPr>
                <w:lang w:val="fr-FR"/>
              </w:rPr>
              <w:t xml:space="preserve"> = 1.46 mg/L </w:t>
            </w:r>
            <w:r w:rsidRPr="00227BE0">
              <w:rPr>
                <w:vertAlign w:val="subscript"/>
                <w:lang w:val="fr-FR"/>
              </w:rPr>
              <w:t>nom</w:t>
            </w:r>
          </w:p>
        </w:tc>
        <w:tc>
          <w:tcPr>
            <w:tcW w:w="1001" w:type="pct"/>
            <w:shd w:val="clear" w:color="auto" w:fill="auto"/>
          </w:tcPr>
          <w:p w14:paraId="1620D472" w14:textId="77777777" w:rsidR="00E51CDD" w:rsidRPr="00227BE0" w:rsidRDefault="00E51CDD" w:rsidP="009938D9">
            <w:pPr>
              <w:pStyle w:val="RepTable"/>
            </w:pPr>
            <w:r w:rsidRPr="00227BE0">
              <w:t>New Study – Not EU agreed</w:t>
            </w:r>
          </w:p>
          <w:p w14:paraId="0482D570" w14:textId="77777777" w:rsidR="00E51CDD" w:rsidRPr="00227BE0" w:rsidRDefault="00E51CDD" w:rsidP="009938D9">
            <w:pPr>
              <w:pStyle w:val="RepTable"/>
            </w:pPr>
            <w:r w:rsidRPr="00227BE0">
              <w:t>2019/2039623</w:t>
            </w:r>
          </w:p>
        </w:tc>
      </w:tr>
    </w:tbl>
    <w:p w14:paraId="5F42E76C" w14:textId="401A9547" w:rsidR="00E51CDD" w:rsidRDefault="00E51CDD" w:rsidP="00E51CDD">
      <w:pPr>
        <w:pStyle w:val="RepTableFootnote"/>
        <w:rPr>
          <w:lang w:val="en-GB"/>
        </w:rPr>
      </w:pPr>
      <w:r w:rsidRPr="00227BE0">
        <w:rPr>
          <w:noProof w:val="0"/>
          <w:u w:val="single"/>
          <w:lang w:val="en-GB"/>
        </w:rPr>
        <w:t>Abbreviations:</w:t>
      </w:r>
      <w:r w:rsidRPr="00227BE0">
        <w:rPr>
          <w:noProof w:val="0"/>
          <w:lang w:val="en-GB"/>
        </w:rPr>
        <w:t xml:space="preserve"> </w:t>
      </w:r>
      <w:r w:rsidRPr="00227BE0">
        <w:rPr>
          <w:lang w:val="en-GB"/>
        </w:rPr>
        <w:t>s: static; nom: based on nominal concentrations</w:t>
      </w:r>
    </w:p>
    <w:p w14:paraId="1CB7B5AD" w14:textId="4EC16059" w:rsidR="00956558" w:rsidRDefault="00956558" w:rsidP="00956558">
      <w:pPr>
        <w:pStyle w:val="RepStandard"/>
      </w:pPr>
    </w:p>
    <w:p w14:paraId="7D6CDF6A" w14:textId="12DDDD77" w:rsidR="00E51CDD" w:rsidRPr="00227BE0" w:rsidRDefault="00E51CDD" w:rsidP="00E51CDD">
      <w:pPr>
        <w:pStyle w:val="Nagwek4"/>
        <w:rPr>
          <w:lang w:val="en-GB"/>
        </w:rPr>
      </w:pPr>
      <w:bookmarkStart w:id="473" w:name="_Toc412643996"/>
      <w:bookmarkStart w:id="474" w:name="_Toc413916842"/>
      <w:bookmarkStart w:id="475" w:name="_Toc413916984"/>
      <w:bookmarkStart w:id="476" w:name="_Toc413922045"/>
      <w:bookmarkStart w:id="477" w:name="_Toc413922534"/>
      <w:bookmarkStart w:id="478" w:name="_Toc413922638"/>
      <w:bookmarkStart w:id="479" w:name="_Toc414955275"/>
      <w:bookmarkStart w:id="480" w:name="_Toc415214582"/>
      <w:bookmarkStart w:id="481" w:name="_Toc125446425"/>
      <w:bookmarkEnd w:id="465"/>
      <w:r w:rsidRPr="00227BE0">
        <w:rPr>
          <w:lang w:val="en-GB"/>
        </w:rPr>
        <w:t>Justification for new endpoints</w:t>
      </w:r>
      <w:bookmarkEnd w:id="473"/>
      <w:bookmarkEnd w:id="474"/>
      <w:bookmarkEnd w:id="475"/>
      <w:bookmarkEnd w:id="476"/>
      <w:bookmarkEnd w:id="477"/>
      <w:bookmarkEnd w:id="478"/>
      <w:bookmarkEnd w:id="479"/>
      <w:bookmarkEnd w:id="480"/>
      <w:bookmarkEnd w:id="481"/>
    </w:p>
    <w:p w14:paraId="54C3DC1E" w14:textId="77777777" w:rsidR="00E51CDD" w:rsidRPr="00227BE0" w:rsidRDefault="00E51CDD" w:rsidP="00E51CDD">
      <w:pPr>
        <w:rPr>
          <w:b/>
          <w:u w:val="single"/>
        </w:rPr>
      </w:pPr>
      <w:bookmarkStart w:id="482" w:name="_Toc399353271"/>
      <w:r w:rsidRPr="00227BE0">
        <w:rPr>
          <w:b/>
          <w:u w:val="single"/>
        </w:rPr>
        <w:t>Fluxapyroxad</w:t>
      </w:r>
    </w:p>
    <w:p w14:paraId="78E0596A" w14:textId="77777777" w:rsidR="00E51CDD" w:rsidRPr="00227BE0" w:rsidRDefault="00E51CDD" w:rsidP="00E51CDD">
      <w:pPr>
        <w:widowControl w:val="0"/>
        <w:suppressAutoHyphens/>
        <w:jc w:val="both"/>
      </w:pPr>
      <w:r w:rsidRPr="00227BE0">
        <w:t xml:space="preserve">For fluxapyroxad, an acute study on the marine crustacean species </w:t>
      </w:r>
      <w:r w:rsidRPr="00227BE0">
        <w:rPr>
          <w:i/>
        </w:rPr>
        <w:t xml:space="preserve">A. bahia </w:t>
      </w:r>
      <w:r w:rsidRPr="00227BE0">
        <w:t>was submitted for Annex I inclusion</w:t>
      </w:r>
      <w:r w:rsidRPr="00227BE0">
        <w:rPr>
          <w:i/>
        </w:rPr>
        <w:t xml:space="preserve">. </w:t>
      </w:r>
      <w:r w:rsidRPr="00227BE0">
        <w:t xml:space="preserve">In the LoEP (list of endpoints) in the </w:t>
      </w:r>
      <w:r w:rsidRPr="00227BE0">
        <w:rPr>
          <w:bCs/>
          <w:iCs/>
        </w:rPr>
        <w:t xml:space="preserve">EFSA Peer review Report for fluxapyroxad (2012), the </w:t>
      </w:r>
      <w:r w:rsidRPr="00227BE0">
        <w:t>96-h LC</w:t>
      </w:r>
      <w:r w:rsidRPr="00227BE0">
        <w:rPr>
          <w:vertAlign w:val="subscript"/>
        </w:rPr>
        <w:t xml:space="preserve">50 </w:t>
      </w:r>
      <w:r w:rsidRPr="00227BE0">
        <w:t>value</w:t>
      </w:r>
      <w:r w:rsidRPr="00227BE0">
        <w:rPr>
          <w:vertAlign w:val="subscript"/>
        </w:rPr>
        <w:t xml:space="preserve"> </w:t>
      </w:r>
      <w:r w:rsidRPr="00227BE0">
        <w:t>(</w:t>
      </w:r>
      <w:r w:rsidRPr="00227BE0">
        <w:rPr>
          <w:i/>
          <w:iCs/>
        </w:rPr>
        <w:t>i.e.</w:t>
      </w:r>
      <w:r w:rsidRPr="00227BE0">
        <w:t xml:space="preserve"> 3.6 mg a.s./L) resulting from this study is listed. This EU agreed endpoint is used for the risk assessment. The higher 48-h LC</w:t>
      </w:r>
      <w:r w:rsidRPr="00227BE0">
        <w:rPr>
          <w:vertAlign w:val="subscript"/>
        </w:rPr>
        <w:t xml:space="preserve">50 </w:t>
      </w:r>
      <w:r w:rsidRPr="00227BE0">
        <w:t>value (</w:t>
      </w:r>
      <w:r w:rsidRPr="00227BE0">
        <w:rPr>
          <w:i/>
          <w:iCs/>
        </w:rPr>
        <w:t>i.e.</w:t>
      </w:r>
      <w:r w:rsidRPr="00227BE0">
        <w:t xml:space="preserve"> 6.1 mg a.s./L) is not considered for the risk assessment. </w:t>
      </w:r>
    </w:p>
    <w:p w14:paraId="51D334A3" w14:textId="77777777" w:rsidR="00E51CDD" w:rsidRPr="00227BE0" w:rsidRDefault="00E51CDD" w:rsidP="00E51CDD">
      <w:pPr>
        <w:widowControl w:val="0"/>
        <w:suppressAutoHyphens/>
        <w:jc w:val="both"/>
      </w:pPr>
    </w:p>
    <w:p w14:paraId="2E97383E" w14:textId="77777777" w:rsidR="00E51CDD" w:rsidRPr="00227BE0" w:rsidRDefault="00E51CDD" w:rsidP="00E51CDD">
      <w:pPr>
        <w:widowControl w:val="0"/>
        <w:suppressAutoHyphens/>
        <w:jc w:val="both"/>
      </w:pPr>
      <w:r w:rsidRPr="00227BE0">
        <w:t xml:space="preserve">Additionally, diverging from the EFSA conclusion for fluxapyroxad and according to new statistical requirements according to OECD TG 210 (OECD 2013), the endpoint for the chronic fish study on </w:t>
      </w:r>
      <w:r w:rsidRPr="00227BE0">
        <w:rPr>
          <w:i/>
        </w:rPr>
        <w:t>Pimephales promelas</w:t>
      </w:r>
      <w:r w:rsidRPr="00227BE0">
        <w:t xml:space="preserve"> (i.e., NOEC = 0.0359 mg a.s./L) has been recalculated to NOEC = 0.0676 mg a.s./L. The recalculated value will be considered in the risk assessment. </w:t>
      </w:r>
    </w:p>
    <w:p w14:paraId="7A5572FE" w14:textId="77777777" w:rsidR="00E51CDD" w:rsidRPr="00227BE0" w:rsidRDefault="00E51CDD" w:rsidP="00E51CDD">
      <w:pPr>
        <w:widowControl w:val="0"/>
        <w:suppressAutoHyphens/>
        <w:jc w:val="both"/>
      </w:pPr>
      <w:bookmarkStart w:id="483" w:name="_Hlk86231545"/>
    </w:p>
    <w:p w14:paraId="3B297DA0" w14:textId="77777777" w:rsidR="00E51CDD" w:rsidRDefault="00E51CDD" w:rsidP="00E51CDD">
      <w:pPr>
        <w:widowControl w:val="0"/>
        <w:suppressAutoHyphens/>
        <w:jc w:val="both"/>
        <w:rPr>
          <w:bCs/>
          <w:iCs/>
        </w:rPr>
      </w:pPr>
      <w:bookmarkStart w:id="484" w:name="_Hlk86231247"/>
      <w:r w:rsidRPr="00227BE0">
        <w:t>In addition</w:t>
      </w:r>
      <w:r w:rsidRPr="00227BE0">
        <w:rPr>
          <w:bCs/>
          <w:iCs/>
        </w:rPr>
        <w:t xml:space="preserve">, a Species Sensitivity Distribution (SSD) has been calculated based on the no observed effect concentration (NOEC) endpoints  obtained from acute studies using 5 different fish species (i.e. </w:t>
      </w:r>
      <w:r w:rsidRPr="00227BE0">
        <w:rPr>
          <w:bCs/>
          <w:i/>
          <w:iCs/>
        </w:rPr>
        <w:t>O. mykiss</w:t>
      </w:r>
      <w:r w:rsidRPr="00227BE0">
        <w:rPr>
          <w:bCs/>
          <w:iCs/>
        </w:rPr>
        <w:t xml:space="preserve">, </w:t>
      </w:r>
      <w:r w:rsidRPr="00227BE0">
        <w:rPr>
          <w:bCs/>
          <w:i/>
          <w:iCs/>
        </w:rPr>
        <w:t>L. macrochirus</w:t>
      </w:r>
      <w:r w:rsidRPr="00227BE0">
        <w:rPr>
          <w:bCs/>
          <w:iCs/>
        </w:rPr>
        <w:t xml:space="preserve">, </w:t>
      </w:r>
      <w:r w:rsidRPr="00227BE0">
        <w:rPr>
          <w:bCs/>
          <w:i/>
          <w:iCs/>
        </w:rPr>
        <w:t>P. promelas</w:t>
      </w:r>
      <w:r w:rsidRPr="00227BE0">
        <w:rPr>
          <w:bCs/>
          <w:iCs/>
        </w:rPr>
        <w:t xml:space="preserve">, </w:t>
      </w:r>
      <w:r w:rsidRPr="00227BE0">
        <w:rPr>
          <w:bCs/>
          <w:i/>
          <w:iCs/>
        </w:rPr>
        <w:t>C. carpio</w:t>
      </w:r>
      <w:r w:rsidRPr="00227BE0">
        <w:rPr>
          <w:bCs/>
          <w:iCs/>
        </w:rPr>
        <w:t xml:space="preserve"> and </w:t>
      </w:r>
      <w:r w:rsidRPr="00227BE0">
        <w:rPr>
          <w:bCs/>
          <w:i/>
          <w:iCs/>
        </w:rPr>
        <w:t>C. variegatus</w:t>
      </w:r>
      <w:r w:rsidRPr="00227BE0">
        <w:rPr>
          <w:bCs/>
          <w:iCs/>
        </w:rPr>
        <w:t>). The resulting HC</w:t>
      </w:r>
      <w:r w:rsidRPr="00227BE0">
        <w:rPr>
          <w:bCs/>
          <w:iCs/>
          <w:vertAlign w:val="subscript"/>
        </w:rPr>
        <w:t xml:space="preserve">5 </w:t>
      </w:r>
      <w:r w:rsidRPr="00227BE0">
        <w:rPr>
          <w:bCs/>
          <w:iCs/>
        </w:rPr>
        <w:t xml:space="preserve">is used to refine the RA of the active substance fluxapyroxad. Please refer to refined risk assessment. </w:t>
      </w:r>
    </w:p>
    <w:p w14:paraId="19D676FC" w14:textId="77777777" w:rsidR="005A45B3" w:rsidRDefault="005A45B3" w:rsidP="00E51CDD">
      <w:pPr>
        <w:widowControl w:val="0"/>
        <w:suppressAutoHyphens/>
        <w:jc w:val="both"/>
        <w:rPr>
          <w:bCs/>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5A45B3" w:rsidRPr="00DD5DB0" w14:paraId="70EA71EE" w14:textId="77777777" w:rsidTr="00956558">
        <w:trPr>
          <w:trHeight w:val="1770"/>
        </w:trPr>
        <w:tc>
          <w:tcPr>
            <w:tcW w:w="5000" w:type="pct"/>
            <w:shd w:val="clear" w:color="auto" w:fill="D9D9D9"/>
          </w:tcPr>
          <w:p w14:paraId="2D2523FB" w14:textId="77777777" w:rsidR="005A45B3" w:rsidRPr="00DC2CFF" w:rsidRDefault="005A45B3" w:rsidP="002B58E2">
            <w:pPr>
              <w:pStyle w:val="TableText"/>
              <w:spacing w:after="120"/>
              <w:jc w:val="both"/>
              <w:rPr>
                <w:b/>
                <w:bCs/>
                <w:sz w:val="22"/>
                <w:szCs w:val="22"/>
                <w:lang w:eastAsia="en-US"/>
              </w:rPr>
            </w:pPr>
            <w:r w:rsidRPr="00DC2CFF">
              <w:rPr>
                <w:b/>
                <w:bCs/>
                <w:sz w:val="22"/>
                <w:szCs w:val="22"/>
                <w:lang w:eastAsia="en-US"/>
              </w:rPr>
              <w:t>Review Comments:</w:t>
            </w:r>
          </w:p>
          <w:p w14:paraId="3690F6AF" w14:textId="77777777" w:rsidR="005A45B3" w:rsidRDefault="00340B3C" w:rsidP="002B58E2">
            <w:pPr>
              <w:shd w:val="clear" w:color="auto" w:fill="D9D9D9"/>
              <w:jc w:val="both"/>
              <w:rPr>
                <w:lang w:val="en-GB"/>
              </w:rPr>
            </w:pPr>
            <w:r>
              <w:rPr>
                <w:lang w:val="en-GB"/>
              </w:rPr>
              <w:t>T</w:t>
            </w:r>
            <w:r w:rsidRPr="00EC0D65">
              <w:rPr>
                <w:lang w:val="en-GB"/>
              </w:rPr>
              <w:t>he zRMS is of the opinion that the endpoints given in the L</w:t>
            </w:r>
            <w:r w:rsidR="00866C8A">
              <w:rPr>
                <w:lang w:val="en-GB"/>
              </w:rPr>
              <w:t>oEP</w:t>
            </w:r>
            <w:r w:rsidRPr="00EC0D65">
              <w:rPr>
                <w:lang w:val="en-GB"/>
              </w:rPr>
              <w:t xml:space="preserve"> should be considered for the risk assessment</w:t>
            </w:r>
            <w:r>
              <w:rPr>
                <w:lang w:val="en-GB"/>
              </w:rPr>
              <w:t xml:space="preserve">. Therefore, </w:t>
            </w:r>
            <w:r w:rsidR="00193937">
              <w:rPr>
                <w:lang w:val="en-GB"/>
              </w:rPr>
              <w:t>t</w:t>
            </w:r>
            <w:r w:rsidR="00193937" w:rsidRPr="00EC0D65">
              <w:rPr>
                <w:lang w:val="en-GB"/>
              </w:rPr>
              <w:t>he endpoint of 1.1 mg a.s./L</w:t>
            </w:r>
            <w:r w:rsidR="00866C8A" w:rsidRPr="00EC0D65">
              <w:rPr>
                <w:lang w:val="en-GB"/>
              </w:rPr>
              <w:t xml:space="preserve"> for </w:t>
            </w:r>
            <w:r w:rsidR="00866C8A" w:rsidRPr="00EC0D65">
              <w:rPr>
                <w:i/>
                <w:lang w:val="en-GB"/>
              </w:rPr>
              <w:t>C. virginica</w:t>
            </w:r>
            <w:r w:rsidR="00866C8A" w:rsidRPr="00EC0D65">
              <w:rPr>
                <w:lang w:val="en-GB"/>
              </w:rPr>
              <w:t xml:space="preserve"> </w:t>
            </w:r>
            <w:r w:rsidR="00866C8A">
              <w:rPr>
                <w:lang w:val="en-GB"/>
              </w:rPr>
              <w:t>will be</w:t>
            </w:r>
            <w:r w:rsidR="00866C8A" w:rsidRPr="00EC0D65">
              <w:rPr>
                <w:lang w:val="en-GB"/>
              </w:rPr>
              <w:t xml:space="preserve"> considered for the acute risk assessment for aquatic invertebrates.</w:t>
            </w:r>
          </w:p>
          <w:p w14:paraId="04E2191F" w14:textId="1C0A7519" w:rsidR="00866C8A" w:rsidRPr="00C24BD1" w:rsidRDefault="00484818" w:rsidP="002B58E2">
            <w:pPr>
              <w:shd w:val="clear" w:color="auto" w:fill="D9D9D9"/>
              <w:jc w:val="both"/>
              <w:rPr>
                <w:lang w:val="en-GB"/>
              </w:rPr>
            </w:pPr>
            <w:r>
              <w:rPr>
                <w:lang w:val="en-GB"/>
              </w:rPr>
              <w:t xml:space="preserve">In addition, </w:t>
            </w:r>
            <w:r w:rsidR="005609E0" w:rsidRPr="00EC0D65">
              <w:rPr>
                <w:lang w:val="en-GB"/>
              </w:rPr>
              <w:t>a refined risk assessment for</w:t>
            </w:r>
            <w:r w:rsidR="005609E0">
              <w:rPr>
                <w:lang w:val="en-GB"/>
              </w:rPr>
              <w:t xml:space="preserve"> fish </w:t>
            </w:r>
            <w:r w:rsidR="001747D9">
              <w:rPr>
                <w:lang w:val="en-GB"/>
              </w:rPr>
              <w:t xml:space="preserve">based on SSD </w:t>
            </w:r>
            <w:r w:rsidR="00465A78">
              <w:rPr>
                <w:lang w:val="en-GB"/>
              </w:rPr>
              <w:t>calculation</w:t>
            </w:r>
            <w:r w:rsidR="00CA094A">
              <w:rPr>
                <w:lang w:val="en-GB"/>
              </w:rPr>
              <w:t xml:space="preserve"> is not required, as safe use can be concluded using FOCUS Step 3 values. </w:t>
            </w:r>
          </w:p>
        </w:tc>
      </w:tr>
    </w:tbl>
    <w:p w14:paraId="0B6AA933" w14:textId="77777777" w:rsidR="005A45B3" w:rsidRPr="00227BE0" w:rsidRDefault="005A45B3" w:rsidP="00E51CDD">
      <w:pPr>
        <w:widowControl w:val="0"/>
        <w:suppressAutoHyphens/>
        <w:jc w:val="both"/>
      </w:pPr>
    </w:p>
    <w:p w14:paraId="41C526A3" w14:textId="77777777" w:rsidR="00E51CDD" w:rsidRPr="00227BE0" w:rsidRDefault="00E51CDD" w:rsidP="00E51CDD">
      <w:pPr>
        <w:pStyle w:val="RepStandard"/>
        <w:rPr>
          <w:color w:val="4472C4" w:themeColor="accent1"/>
          <w:lang w:val="en-US"/>
        </w:rPr>
      </w:pPr>
      <w:bookmarkStart w:id="485" w:name="_Hlk82080291"/>
      <w:bookmarkEnd w:id="483"/>
      <w:bookmarkEnd w:id="484"/>
    </w:p>
    <w:p w14:paraId="47F57ECA" w14:textId="77777777" w:rsidR="00956558" w:rsidRDefault="00956558">
      <w:pPr>
        <w:rPr>
          <w:b/>
          <w:u w:val="single"/>
        </w:rPr>
      </w:pPr>
      <w:r>
        <w:rPr>
          <w:b/>
          <w:u w:val="single"/>
        </w:rPr>
        <w:br w:type="page"/>
      </w:r>
    </w:p>
    <w:p w14:paraId="436807F1" w14:textId="218A0BDA" w:rsidR="00E51CDD" w:rsidRPr="00227BE0" w:rsidRDefault="00E51CDD" w:rsidP="00E51CDD">
      <w:pPr>
        <w:rPr>
          <w:b/>
          <w:u w:val="single"/>
        </w:rPr>
      </w:pPr>
      <w:r w:rsidRPr="00227BE0">
        <w:rPr>
          <w:b/>
          <w:u w:val="single"/>
        </w:rPr>
        <w:lastRenderedPageBreak/>
        <w:t>Azoxystrobin</w:t>
      </w:r>
    </w:p>
    <w:p w14:paraId="09058265" w14:textId="77777777" w:rsidR="00E51CDD" w:rsidRPr="00227BE0" w:rsidRDefault="00E51CDD" w:rsidP="00E51CDD">
      <w:pPr>
        <w:pStyle w:val="RepLabel"/>
      </w:pPr>
      <w:r w:rsidRPr="00227BE0">
        <w:t>Acute and chronic aquatic invertebrate endpoint for azoxystrobin</w:t>
      </w:r>
    </w:p>
    <w:p w14:paraId="33680800" w14:textId="77777777" w:rsidR="00E51CDD" w:rsidRPr="00227BE0" w:rsidRDefault="00E51CDD" w:rsidP="00E51CDD">
      <w:pPr>
        <w:pStyle w:val="RepStandard"/>
      </w:pPr>
      <w:r w:rsidRPr="00227BE0">
        <w:t xml:space="preserve">In the case of azoxystrobin, laboratory acute toxicity data are available for 12 freshwater and two marine invertebrate species. The effects of azoxystrobin on phytoplankton, zooplankton and macro-invertebrate populations have also been evaluated in an outdoor mesocosm study. The NOAEC from this mesocosm study was considered to be 10 µg a.s./L. </w:t>
      </w:r>
    </w:p>
    <w:p w14:paraId="3907C164" w14:textId="77777777" w:rsidR="00E51CDD" w:rsidRPr="00227BE0" w:rsidRDefault="00E51CDD" w:rsidP="00E51CDD">
      <w:pPr>
        <w:pStyle w:val="RepStandard"/>
      </w:pPr>
    </w:p>
    <w:p w14:paraId="7992E78D" w14:textId="77777777" w:rsidR="00E51CDD" w:rsidRPr="00227BE0" w:rsidRDefault="00E51CDD" w:rsidP="00E51CDD">
      <w:pPr>
        <w:pStyle w:val="RepStandard"/>
      </w:pPr>
      <w:r w:rsidRPr="00227BE0">
        <w:t xml:space="preserve">These studies were evaluated during the Annex 1 Review and were used to derive a regulatory acceptable concentration (RAC) for azoxystrobin. Several approaches were considered in the derivation of a RAC. </w:t>
      </w:r>
    </w:p>
    <w:p w14:paraId="13C9FE57" w14:textId="77777777" w:rsidR="00E51CDD" w:rsidRPr="00227BE0" w:rsidRDefault="00E51CDD" w:rsidP="00E51CDD">
      <w:pPr>
        <w:pStyle w:val="RepStandard"/>
      </w:pPr>
    </w:p>
    <w:p w14:paraId="472F1BA8" w14:textId="77777777" w:rsidR="00E51CDD" w:rsidRPr="00227BE0" w:rsidRDefault="00E51CDD" w:rsidP="00E51CDD">
      <w:pPr>
        <w:pStyle w:val="RepStandard"/>
        <w:numPr>
          <w:ilvl w:val="0"/>
          <w:numId w:val="35"/>
        </w:numPr>
      </w:pPr>
      <w:r w:rsidRPr="00227BE0">
        <w:t xml:space="preserve">Geometric mean of acute laboratory endpoints of 8.9 µg a.s./L </w:t>
      </w:r>
    </w:p>
    <w:p w14:paraId="7544E3E1" w14:textId="77777777" w:rsidR="00E51CDD" w:rsidRPr="00227BE0" w:rsidRDefault="00E51CDD" w:rsidP="00E51CDD">
      <w:pPr>
        <w:pStyle w:val="RepStandard"/>
        <w:numPr>
          <w:ilvl w:val="0"/>
          <w:numId w:val="35"/>
        </w:numPr>
      </w:pPr>
      <w:r w:rsidRPr="00227BE0">
        <w:t>Lower limit of the HC</w:t>
      </w:r>
      <w:r w:rsidRPr="00227BE0">
        <w:rPr>
          <w:vertAlign w:val="subscript"/>
        </w:rPr>
        <w:t>5</w:t>
      </w:r>
      <w:r w:rsidRPr="00227BE0">
        <w:t xml:space="preserve"> based on acute laboratory data of 7.15 µg a.s./L</w:t>
      </w:r>
    </w:p>
    <w:p w14:paraId="6EE7257F" w14:textId="77777777" w:rsidR="00E51CDD" w:rsidRPr="00227BE0" w:rsidRDefault="00E51CDD" w:rsidP="00E51CDD">
      <w:pPr>
        <w:pStyle w:val="RepStandard"/>
        <w:numPr>
          <w:ilvl w:val="0"/>
          <w:numId w:val="35"/>
        </w:numPr>
      </w:pPr>
      <w:r w:rsidRPr="00227BE0">
        <w:t xml:space="preserve">Mesocosm study NOAEC of 10 µg a.s./L. </w:t>
      </w:r>
    </w:p>
    <w:p w14:paraId="34967598" w14:textId="77777777" w:rsidR="00E51CDD" w:rsidRPr="00227BE0" w:rsidRDefault="00E51CDD" w:rsidP="00E51CDD">
      <w:pPr>
        <w:pStyle w:val="RepStandard"/>
      </w:pPr>
    </w:p>
    <w:p w14:paraId="0B2A16D2" w14:textId="77777777" w:rsidR="00E51CDD" w:rsidRDefault="00E51CDD" w:rsidP="00E51CDD">
      <w:pPr>
        <w:pStyle w:val="RepStandard"/>
      </w:pPr>
      <w:r w:rsidRPr="00227BE0">
        <w:t>Following consideration of all lines of evidence, the RAC for azoxystrobin was considered to be equivalent to the mesocosm NOAEC of 10 µg a.s./L with a safety factor of 3, i.e. 3.3 µg a.s./L and was solely used for the risk assessment.</w:t>
      </w:r>
    </w:p>
    <w:p w14:paraId="756FBE89" w14:textId="77777777" w:rsidR="002D59E5" w:rsidRDefault="002D59E5" w:rsidP="00E51CDD">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CF40CF" w:rsidRPr="00DD5DB0" w14:paraId="22CC4966" w14:textId="77777777" w:rsidTr="002B58E2">
        <w:trPr>
          <w:trHeight w:val="980"/>
        </w:trPr>
        <w:tc>
          <w:tcPr>
            <w:tcW w:w="5000" w:type="pct"/>
            <w:shd w:val="clear" w:color="auto" w:fill="D9D9D9"/>
          </w:tcPr>
          <w:p w14:paraId="1C1FAAAC" w14:textId="77777777" w:rsidR="00CF40CF" w:rsidRPr="00DC2CFF" w:rsidRDefault="00CF40CF" w:rsidP="002B58E2">
            <w:pPr>
              <w:pStyle w:val="TableText"/>
              <w:spacing w:after="120"/>
              <w:jc w:val="both"/>
              <w:rPr>
                <w:b/>
                <w:bCs/>
                <w:sz w:val="22"/>
                <w:szCs w:val="22"/>
                <w:lang w:eastAsia="en-US"/>
              </w:rPr>
            </w:pPr>
            <w:r w:rsidRPr="00DC2CFF">
              <w:rPr>
                <w:b/>
                <w:bCs/>
                <w:sz w:val="22"/>
                <w:szCs w:val="22"/>
                <w:lang w:eastAsia="en-US"/>
              </w:rPr>
              <w:t>Review Comments:</w:t>
            </w:r>
          </w:p>
          <w:p w14:paraId="7DFB0A6F" w14:textId="300DE7FF" w:rsidR="00CF40CF" w:rsidRPr="00C24BD1" w:rsidRDefault="00CF40CF" w:rsidP="00956558">
            <w:pPr>
              <w:shd w:val="clear" w:color="auto" w:fill="D9D9D9"/>
              <w:jc w:val="both"/>
              <w:rPr>
                <w:lang w:val="en-GB"/>
              </w:rPr>
            </w:pPr>
            <w:r>
              <w:rPr>
                <w:lang w:val="en-GB"/>
              </w:rPr>
              <w:t>T</w:t>
            </w:r>
            <w:r w:rsidRPr="00EC0D65">
              <w:rPr>
                <w:lang w:val="en-GB"/>
              </w:rPr>
              <w:t xml:space="preserve">he </w:t>
            </w:r>
            <w:r w:rsidR="00B44A10">
              <w:rPr>
                <w:lang w:val="en-GB"/>
              </w:rPr>
              <w:t xml:space="preserve">RAC value of </w:t>
            </w:r>
            <w:r w:rsidR="003414CA">
              <w:rPr>
                <w:lang w:val="en-GB"/>
              </w:rPr>
              <w:t>3.3</w:t>
            </w:r>
            <w:r w:rsidR="00092BC1" w:rsidRPr="00347881">
              <w:t xml:space="preserve"> µg/L</w:t>
            </w:r>
            <w:r w:rsidR="00092BC1">
              <w:t xml:space="preserve"> was accepted by zRMS </w:t>
            </w:r>
            <w:r w:rsidR="00752799">
              <w:t>to refin</w:t>
            </w:r>
            <w:r w:rsidR="00BE5D79">
              <w:t>e</w:t>
            </w:r>
            <w:r w:rsidR="00752799">
              <w:t xml:space="preserve"> </w:t>
            </w:r>
            <w:r w:rsidR="00516579" w:rsidRPr="00347881">
              <w:t>acute and chronic</w:t>
            </w:r>
            <w:r w:rsidR="00516579">
              <w:t xml:space="preserve"> risk to</w:t>
            </w:r>
            <w:r w:rsidR="00516579" w:rsidRPr="00347881">
              <w:t xml:space="preserve"> aquatic invertebrate</w:t>
            </w:r>
            <w:r w:rsidR="00516579">
              <w:t>.</w:t>
            </w:r>
            <w:r w:rsidR="00516579" w:rsidRPr="00347881">
              <w:t xml:space="preserve"> </w:t>
            </w:r>
            <w:r w:rsidR="00516579">
              <w:t xml:space="preserve"> </w:t>
            </w:r>
            <w:r w:rsidR="00092BC1" w:rsidRPr="00347881">
              <w:t xml:space="preserve"> </w:t>
            </w:r>
            <w:r w:rsidR="00092BC1">
              <w:t xml:space="preserve"> </w:t>
            </w:r>
          </w:p>
        </w:tc>
      </w:tr>
    </w:tbl>
    <w:p w14:paraId="68BA3E85" w14:textId="77777777" w:rsidR="00E51CDD" w:rsidRPr="00227BE0" w:rsidRDefault="00E51CDD" w:rsidP="00E51CDD">
      <w:pPr>
        <w:pStyle w:val="RepStandard"/>
      </w:pPr>
    </w:p>
    <w:p w14:paraId="4BFD520D" w14:textId="77777777" w:rsidR="00E51CDD" w:rsidRPr="00227BE0" w:rsidRDefault="00E51CDD" w:rsidP="00E51CDD">
      <w:pPr>
        <w:pStyle w:val="RepLabel"/>
      </w:pPr>
      <w:r w:rsidRPr="00227BE0">
        <w:t>Algal endpoint for azoxystrobin</w:t>
      </w:r>
    </w:p>
    <w:p w14:paraId="50419F7A" w14:textId="77777777" w:rsidR="00E51CDD" w:rsidRDefault="00E51CDD" w:rsidP="00E51CDD">
      <w:pPr>
        <w:pStyle w:val="RepStandard"/>
      </w:pPr>
      <w:r w:rsidRPr="00227BE0">
        <w:t xml:space="preserve">The assessment will be refined by consideration of all available algal data for azoxystrobin. In addition to the data for the standard freshwater species, </w:t>
      </w:r>
      <w:r w:rsidRPr="00227BE0">
        <w:rPr>
          <w:i/>
          <w:iCs/>
        </w:rPr>
        <w:t>Pseudokirchneriella subcapitata (previously known as Selenastrum capricornutum),</w:t>
      </w:r>
      <w:r w:rsidRPr="00227BE0">
        <w:t xml:space="preserve"> data are also available for the freshwater species, </w:t>
      </w:r>
      <w:r w:rsidRPr="00227BE0">
        <w:rPr>
          <w:i/>
          <w:iCs/>
        </w:rPr>
        <w:t>Navicula pelliculosa</w:t>
      </w:r>
      <w:r w:rsidRPr="00227BE0">
        <w:t xml:space="preserve"> and </w:t>
      </w:r>
      <w:r w:rsidRPr="00227BE0">
        <w:rPr>
          <w:i/>
          <w:iCs/>
        </w:rPr>
        <w:t>Anabaena flos-aquae</w:t>
      </w:r>
      <w:r w:rsidRPr="00227BE0">
        <w:t xml:space="preserve"> species, and the marine species </w:t>
      </w:r>
      <w:r w:rsidRPr="00227BE0">
        <w:rPr>
          <w:i/>
          <w:iCs/>
        </w:rPr>
        <w:t>Skeletonema costatum</w:t>
      </w:r>
      <w:r w:rsidRPr="00227BE0">
        <w:t>. Recently the EFSA Aquatic GD (2013) indicates that in cases where legislation requires the testing of a single standard species but data are available for more than one species, risk assessments may be performed using the geometric mean of available endpoints and the standard safety factor.</w:t>
      </w:r>
    </w:p>
    <w:p w14:paraId="1B60A2A2" w14:textId="77777777" w:rsidR="00871C0A" w:rsidRDefault="00871C0A" w:rsidP="00E51CDD">
      <w:pPr>
        <w:pStyle w:val="RepStandard"/>
      </w:pPr>
    </w:p>
    <w:p w14:paraId="063EF48C" w14:textId="7D1783A9" w:rsidR="00E51CDD" w:rsidRDefault="00E51CDD" w:rsidP="00E51CDD">
      <w:pPr>
        <w:pStyle w:val="RepStandard"/>
      </w:pPr>
      <w:r w:rsidRPr="00227BE0">
        <w:t xml:space="preserve">The EFSA conclusion for azoxystrobin uses a refined algal endpoint of 262 µg a.s./L, based on endpoints of 360, 98, 14 and 9500 µg a.s./L. However, the value of 360 µg a.s./L quoted for </w:t>
      </w:r>
      <w:r w:rsidRPr="00227BE0">
        <w:rPr>
          <w:i/>
        </w:rPr>
        <w:t>Pseudokirchneriella subcapitata</w:t>
      </w:r>
      <w:r w:rsidRPr="00227BE0">
        <w:t xml:space="preserve"> represents the 96-h endpoint whereas EU risk assessments are typically based on 72-h endpoints. Consequently, the correct geometric mean of 72-h E</w:t>
      </w:r>
      <w:r w:rsidRPr="00227BE0">
        <w:rPr>
          <w:vertAlign w:val="subscript"/>
        </w:rPr>
        <w:t>b</w:t>
      </w:r>
      <w:r w:rsidRPr="00227BE0">
        <w:t>C</w:t>
      </w:r>
      <w:r w:rsidRPr="00227BE0">
        <w:rPr>
          <w:vertAlign w:val="subscript"/>
        </w:rPr>
        <w:t>50</w:t>
      </w:r>
      <w:r w:rsidRPr="00227BE0">
        <w:t xml:space="preserve"> values for the available species is 221 µg a.s./L based on endpoints of 183, 98, 14 and 9500 µg a.s./L. However, the endpoint for </w:t>
      </w:r>
      <w:r w:rsidRPr="00227BE0">
        <w:rPr>
          <w:i/>
          <w:iCs/>
        </w:rPr>
        <w:t>Anabaena flos-aquae</w:t>
      </w:r>
      <w:r w:rsidRPr="00227BE0">
        <w:t xml:space="preserve"> of 9500 µg a.s./L may be considered an outlier and exclusion of this endpoint from the geometric mean calculation, produces a value of 63 µg a.s./L. </w:t>
      </w:r>
    </w:p>
    <w:p w14:paraId="77EAE8C6" w14:textId="77777777" w:rsidR="00D56186" w:rsidRDefault="00D56186" w:rsidP="00E51CDD">
      <w:pPr>
        <w:pStyle w:val="RepStandard"/>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7"/>
      </w:tblGrid>
      <w:tr w:rsidR="00D56186" w:rsidRPr="00DD5DB0" w14:paraId="6C30051C" w14:textId="77777777" w:rsidTr="00956558">
        <w:trPr>
          <w:trHeight w:val="2251"/>
        </w:trPr>
        <w:tc>
          <w:tcPr>
            <w:tcW w:w="5000" w:type="pct"/>
            <w:shd w:val="clear" w:color="auto" w:fill="D9D9D9"/>
          </w:tcPr>
          <w:p w14:paraId="77A7D0B8" w14:textId="77777777" w:rsidR="00D56186" w:rsidRPr="00DC2CFF" w:rsidRDefault="00D56186" w:rsidP="002B58E2">
            <w:pPr>
              <w:pStyle w:val="TableText"/>
              <w:spacing w:after="120"/>
              <w:jc w:val="both"/>
              <w:rPr>
                <w:b/>
                <w:bCs/>
                <w:sz w:val="22"/>
                <w:szCs w:val="22"/>
                <w:lang w:eastAsia="en-US"/>
              </w:rPr>
            </w:pPr>
            <w:r w:rsidRPr="00DC2CFF">
              <w:rPr>
                <w:b/>
                <w:bCs/>
                <w:sz w:val="22"/>
                <w:szCs w:val="22"/>
                <w:lang w:eastAsia="en-US"/>
              </w:rPr>
              <w:t>Review Comments:</w:t>
            </w:r>
          </w:p>
          <w:p w14:paraId="1B5360AE" w14:textId="1E2E456B" w:rsidR="00145F2C" w:rsidRPr="00227BE0" w:rsidRDefault="00145F2C" w:rsidP="00145F2C">
            <w:pPr>
              <w:tabs>
                <w:tab w:val="left" w:pos="720"/>
              </w:tabs>
              <w:suppressAutoHyphens/>
              <w:jc w:val="both"/>
            </w:pPr>
            <w:r w:rsidRPr="00227BE0">
              <w:rPr>
                <w:lang w:eastAsia="zh-CN"/>
              </w:rPr>
              <w:t xml:space="preserve">In accordance with the EFSA </w:t>
            </w:r>
            <w:r w:rsidRPr="00227BE0">
              <w:t xml:space="preserve">AGD, </w:t>
            </w:r>
            <w:r w:rsidR="008659C9">
              <w:t xml:space="preserve"> the </w:t>
            </w:r>
            <w:r w:rsidRPr="00227BE0">
              <w:rPr>
                <w:lang w:eastAsia="zh-CN"/>
              </w:rPr>
              <w:t xml:space="preserve">risk assessment </w:t>
            </w:r>
            <w:r w:rsidRPr="00227BE0">
              <w:t xml:space="preserve">for algae </w:t>
            </w:r>
            <w:r w:rsidR="000C2802">
              <w:t xml:space="preserve">should be </w:t>
            </w:r>
            <w:r w:rsidRPr="00227BE0">
              <w:t>performed considering th</w:t>
            </w:r>
            <w:r w:rsidR="008659C9">
              <w:t>e</w:t>
            </w:r>
            <w:r w:rsidRPr="00227BE0">
              <w:t xml:space="preserve"> E</w:t>
            </w:r>
            <w:r w:rsidRPr="00227BE0">
              <w:rPr>
                <w:vertAlign w:val="subscript"/>
              </w:rPr>
              <w:t>r</w:t>
            </w:r>
            <w:r w:rsidRPr="00227BE0">
              <w:t>C</w:t>
            </w:r>
            <w:r w:rsidRPr="00227BE0">
              <w:rPr>
                <w:vertAlign w:val="subscript"/>
              </w:rPr>
              <w:t>50</w:t>
            </w:r>
            <w:r w:rsidR="006B43CC">
              <w:t xml:space="preserve">, </w:t>
            </w:r>
            <w:r w:rsidRPr="00227BE0">
              <w:t xml:space="preserve">where possible. </w:t>
            </w:r>
          </w:p>
          <w:p w14:paraId="720740F1" w14:textId="77777777" w:rsidR="00145F2C" w:rsidRPr="00145F2C" w:rsidRDefault="00145F2C" w:rsidP="002B58E2">
            <w:pPr>
              <w:shd w:val="clear" w:color="auto" w:fill="D9D9D9"/>
              <w:jc w:val="both"/>
            </w:pPr>
          </w:p>
          <w:p w14:paraId="7BFF1DA6" w14:textId="57D3CFA5" w:rsidR="00D56186" w:rsidRDefault="00D56186" w:rsidP="002B58E2">
            <w:pPr>
              <w:shd w:val="clear" w:color="auto" w:fill="D9D9D9"/>
              <w:jc w:val="both"/>
              <w:rPr>
                <w:lang w:val="en-GB"/>
              </w:rPr>
            </w:pPr>
            <w:r>
              <w:rPr>
                <w:lang w:val="en-GB"/>
              </w:rPr>
              <w:t>T</w:t>
            </w:r>
            <w:r w:rsidRPr="00EC0D65">
              <w:rPr>
                <w:lang w:val="en-GB"/>
              </w:rPr>
              <w:t xml:space="preserve">he zRMS is of the opinion that the </w:t>
            </w:r>
            <w:r>
              <w:rPr>
                <w:lang w:val="en-GB"/>
              </w:rPr>
              <w:t xml:space="preserve">lowest </w:t>
            </w:r>
            <w:r w:rsidRPr="00EC0D65">
              <w:rPr>
                <w:lang w:val="en-GB"/>
              </w:rPr>
              <w:t>endpoint</w:t>
            </w:r>
            <w:r>
              <w:rPr>
                <w:lang w:val="en-GB"/>
              </w:rPr>
              <w:t xml:space="preserve"> of </w:t>
            </w:r>
            <w:r w:rsidRPr="00E03D54">
              <w:rPr>
                <w:szCs w:val="20"/>
              </w:rPr>
              <w:t>E</w:t>
            </w:r>
            <w:r w:rsidRPr="00E03D54">
              <w:rPr>
                <w:szCs w:val="20"/>
                <w:vertAlign w:val="subscript"/>
              </w:rPr>
              <w:t>r</w:t>
            </w:r>
            <w:r w:rsidRPr="00E03D54">
              <w:rPr>
                <w:szCs w:val="20"/>
              </w:rPr>
              <w:t>C</w:t>
            </w:r>
            <w:r w:rsidRPr="00E03D54">
              <w:rPr>
                <w:szCs w:val="20"/>
                <w:vertAlign w:val="subscript"/>
              </w:rPr>
              <w:t>50</w:t>
            </w:r>
            <w:r w:rsidRPr="00E03D54">
              <w:rPr>
                <w:szCs w:val="20"/>
              </w:rPr>
              <w:t xml:space="preserve"> = 0.146 mg a.s./L</w:t>
            </w:r>
            <w:r>
              <w:rPr>
                <w:szCs w:val="20"/>
              </w:rPr>
              <w:t xml:space="preserve"> for </w:t>
            </w:r>
            <w:r w:rsidRPr="007F1411">
              <w:rPr>
                <w:i/>
                <w:iCs/>
                <w:szCs w:val="20"/>
              </w:rPr>
              <w:t>N. pelliculosa</w:t>
            </w:r>
            <w:r>
              <w:rPr>
                <w:szCs w:val="20"/>
              </w:rPr>
              <w:t>,</w:t>
            </w:r>
            <w:r w:rsidRPr="00EC0D65">
              <w:rPr>
                <w:lang w:val="en-GB"/>
              </w:rPr>
              <w:t xml:space="preserve"> given in the L</w:t>
            </w:r>
            <w:r>
              <w:rPr>
                <w:lang w:val="en-GB"/>
              </w:rPr>
              <w:t>oEP</w:t>
            </w:r>
            <w:r w:rsidR="006D7178">
              <w:rPr>
                <w:lang w:val="en-GB"/>
              </w:rPr>
              <w:t>,</w:t>
            </w:r>
            <w:r w:rsidRPr="00EC0D65">
              <w:rPr>
                <w:lang w:val="en-GB"/>
              </w:rPr>
              <w:t xml:space="preserve"> should be considered for the risk assessment</w:t>
            </w:r>
            <w:r>
              <w:rPr>
                <w:lang w:val="en-GB"/>
              </w:rPr>
              <w:t xml:space="preserve">. </w:t>
            </w:r>
          </w:p>
          <w:p w14:paraId="05215E6C" w14:textId="77777777" w:rsidR="00D56186" w:rsidRPr="00C24BD1" w:rsidRDefault="00D56186" w:rsidP="002B58E2">
            <w:pPr>
              <w:shd w:val="clear" w:color="auto" w:fill="D9D9D9"/>
              <w:jc w:val="both"/>
              <w:rPr>
                <w:lang w:val="en-GB"/>
              </w:rPr>
            </w:pPr>
            <w:r>
              <w:rPr>
                <w:lang w:val="en-GB"/>
              </w:rPr>
              <w:t xml:space="preserve">In addition, </w:t>
            </w:r>
            <w:r w:rsidRPr="00EC0D65">
              <w:rPr>
                <w:lang w:val="en-GB"/>
              </w:rPr>
              <w:t>a refined risk assessment for</w:t>
            </w:r>
            <w:r>
              <w:rPr>
                <w:lang w:val="en-GB"/>
              </w:rPr>
              <w:t xml:space="preserve"> algae based geometric mean calculation is not required, as safe use can be concluded using FOCUS Step 3 values. </w:t>
            </w:r>
          </w:p>
        </w:tc>
      </w:tr>
    </w:tbl>
    <w:p w14:paraId="383852AC" w14:textId="4AEF3C57" w:rsidR="00E51CDD" w:rsidRDefault="00E51CDD" w:rsidP="00E51CDD">
      <w:pPr>
        <w:pStyle w:val="RepStandard"/>
        <w:rPr>
          <w:color w:val="4472C4" w:themeColor="accent1"/>
        </w:rPr>
      </w:pPr>
    </w:p>
    <w:p w14:paraId="69A43353" w14:textId="77777777" w:rsidR="00B925F0" w:rsidRPr="00B925F0" w:rsidRDefault="00B925F0" w:rsidP="00B925F0">
      <w:pPr>
        <w:widowControl w:val="0"/>
        <w:jc w:val="both"/>
        <w:rPr>
          <w:b/>
          <w:highlight w:val="cyan"/>
          <w:lang w:val="en-GB"/>
        </w:rPr>
      </w:pPr>
      <w:r w:rsidRPr="00B925F0">
        <w:rPr>
          <w:b/>
          <w:highlight w:val="cyan"/>
          <w:lang w:val="en-GB"/>
        </w:rPr>
        <w:t>Formulated product (BAS 736 00 F)</w:t>
      </w:r>
    </w:p>
    <w:p w14:paraId="5B51EA17" w14:textId="77777777" w:rsidR="00B925F0" w:rsidRPr="00B925F0" w:rsidRDefault="00B925F0" w:rsidP="00B925F0">
      <w:pPr>
        <w:widowControl w:val="0"/>
        <w:jc w:val="both"/>
        <w:rPr>
          <w:bCs/>
          <w:highlight w:val="cyan"/>
          <w:lang w:val="en-GB"/>
        </w:rPr>
      </w:pPr>
    </w:p>
    <w:p w14:paraId="56EABEF4" w14:textId="5C1029FB" w:rsidR="00B925F0" w:rsidRPr="00227BE0" w:rsidRDefault="00B925F0" w:rsidP="00B925F0">
      <w:pPr>
        <w:pStyle w:val="RepStandard"/>
        <w:rPr>
          <w:color w:val="4472C4" w:themeColor="accent1"/>
        </w:rPr>
      </w:pPr>
      <w:r w:rsidRPr="00B925F0">
        <w:rPr>
          <w:highlight w:val="cyan"/>
        </w:rPr>
        <w:t>The toxicity tests with representative aquatic species were conducted with the formulation BAS 736 00 F.</w:t>
      </w:r>
    </w:p>
    <w:p w14:paraId="63C86E55" w14:textId="77777777" w:rsidR="00E51CDD" w:rsidRPr="00227BE0" w:rsidRDefault="00E51CDD" w:rsidP="00E51CDD">
      <w:pPr>
        <w:pStyle w:val="Nagwek3"/>
      </w:pPr>
      <w:bookmarkStart w:id="486" w:name="_Toc412643997"/>
      <w:bookmarkStart w:id="487" w:name="_Toc413916843"/>
      <w:bookmarkStart w:id="488" w:name="_Toc413916985"/>
      <w:bookmarkStart w:id="489" w:name="_Toc413922046"/>
      <w:bookmarkStart w:id="490" w:name="_Toc413922535"/>
      <w:bookmarkStart w:id="491" w:name="_Toc413922639"/>
      <w:bookmarkStart w:id="492" w:name="_Toc414955276"/>
      <w:bookmarkStart w:id="493" w:name="_Toc415214583"/>
      <w:bookmarkStart w:id="494" w:name="_Toc125446426"/>
      <w:bookmarkEnd w:id="485"/>
      <w:r w:rsidRPr="00227BE0">
        <w:lastRenderedPageBreak/>
        <w:t>Risk assessment</w:t>
      </w:r>
      <w:bookmarkEnd w:id="482"/>
      <w:bookmarkEnd w:id="486"/>
      <w:bookmarkEnd w:id="487"/>
      <w:bookmarkEnd w:id="488"/>
      <w:bookmarkEnd w:id="489"/>
      <w:bookmarkEnd w:id="490"/>
      <w:bookmarkEnd w:id="491"/>
      <w:bookmarkEnd w:id="492"/>
      <w:bookmarkEnd w:id="493"/>
      <w:bookmarkEnd w:id="494"/>
    </w:p>
    <w:p w14:paraId="1B3D8CF2" w14:textId="77777777" w:rsidR="00E51CDD" w:rsidRPr="00227BE0" w:rsidRDefault="00E51CDD" w:rsidP="00E51CDD">
      <w:pPr>
        <w:widowControl w:val="0"/>
        <w:suppressAutoHyphens/>
        <w:jc w:val="both"/>
        <w:rPr>
          <w:iCs/>
        </w:rPr>
      </w:pPr>
      <w:r w:rsidRPr="00227BE0">
        <w:t xml:space="preserve">The evaluation of the risk for aquatic organisms was performed in accordance with the recommendations of the “Guidance document on tiered risk assessment for plant protection products for aquatic organisms in edge-of-field surface waters (EFSA Aquatic GD) in the context of Regulation (EC) No 1107/2009”, as provided by the Commission Services (SANTE-2015-00080, 15 January 2015). </w:t>
      </w:r>
    </w:p>
    <w:p w14:paraId="2354E021" w14:textId="77777777" w:rsidR="00E51CDD" w:rsidRPr="00227BE0" w:rsidRDefault="00E51CDD" w:rsidP="00E51CDD">
      <w:pPr>
        <w:pStyle w:val="RepStandard"/>
      </w:pPr>
    </w:p>
    <w:p w14:paraId="0A271F05" w14:textId="77777777" w:rsidR="00E51CDD" w:rsidRPr="00227BE0" w:rsidRDefault="00E51CDD" w:rsidP="00E51CDD">
      <w:pPr>
        <w:tabs>
          <w:tab w:val="left" w:pos="720"/>
        </w:tabs>
        <w:suppressAutoHyphens/>
        <w:jc w:val="both"/>
      </w:pPr>
      <w:r w:rsidRPr="00227BE0">
        <w:rPr>
          <w:lang w:eastAsia="zh-CN"/>
        </w:rPr>
        <w:t xml:space="preserve">In accordance with the EFSA </w:t>
      </w:r>
      <w:r w:rsidRPr="00227BE0">
        <w:t xml:space="preserve">AGD, </w:t>
      </w:r>
      <w:r w:rsidRPr="00227BE0">
        <w:rPr>
          <w:lang w:eastAsia="zh-CN"/>
        </w:rPr>
        <w:t xml:space="preserve">risk assessment </w:t>
      </w:r>
      <w:r w:rsidRPr="00227BE0">
        <w:t>for algae and higher aquatic plants was performed considering only the more relevant endpoint “growth rate” (E</w:t>
      </w:r>
      <w:r w:rsidRPr="00227BE0">
        <w:rPr>
          <w:vertAlign w:val="subscript"/>
        </w:rPr>
        <w:t>r</w:t>
      </w:r>
      <w:r w:rsidRPr="00227BE0">
        <w:t>C</w:t>
      </w:r>
      <w:r w:rsidRPr="00227BE0">
        <w:rPr>
          <w:vertAlign w:val="subscript"/>
        </w:rPr>
        <w:t>50</w:t>
      </w:r>
      <w:r w:rsidRPr="00227BE0">
        <w:t xml:space="preserve">) where possible. </w:t>
      </w:r>
    </w:p>
    <w:p w14:paraId="19DDABCE" w14:textId="77777777" w:rsidR="00E51CDD" w:rsidRPr="00227BE0" w:rsidRDefault="00E51CDD" w:rsidP="00E51CDD">
      <w:pPr>
        <w:widowControl w:val="0"/>
        <w:suppressAutoHyphens/>
        <w:jc w:val="both"/>
        <w:rPr>
          <w:color w:val="4472C4" w:themeColor="accent1"/>
        </w:rPr>
      </w:pPr>
    </w:p>
    <w:p w14:paraId="6814BF05" w14:textId="77777777" w:rsidR="00E51CDD" w:rsidRPr="005B0BF9" w:rsidRDefault="00E51CDD" w:rsidP="00E51CDD">
      <w:pPr>
        <w:widowControl w:val="0"/>
        <w:suppressAutoHyphens/>
        <w:jc w:val="both"/>
        <w:rPr>
          <w:strike/>
          <w:color w:val="D9D9D9" w:themeColor="background1" w:themeShade="D9"/>
        </w:rPr>
      </w:pPr>
      <w:r w:rsidRPr="005B0BF9">
        <w:rPr>
          <w:strike/>
          <w:color w:val="D9D9D9" w:themeColor="background1" w:themeShade="D9"/>
        </w:rPr>
        <w:t>Furthermore, according to the EFSA Aquatic GD, the risk to aquatic life-stages of amphibians shall be addressed. In general, regarding the aquatic risk assessment, several data analyses indicate that the risk assessment for aquatic organisms (and fish in particular) covers the risk assessment for aquatic phases of amphibians (Fryday S. and Thompson H., 2012, Weltje et al., 2013). Based on these extensive data reviews, it can be concluded that the acute and chronic risk to aquatic life stages of amphibians can be addressed by the currently requested and conducted risk assessment for aquatic organisms. This is also acknowledged in the Aquatic Guidance Document (EFSA, 2013).</w:t>
      </w:r>
    </w:p>
    <w:p w14:paraId="7EF12410" w14:textId="77777777" w:rsidR="00E51CDD" w:rsidRPr="00227BE0" w:rsidRDefault="00E51CDD" w:rsidP="00E51CDD">
      <w:pPr>
        <w:widowControl w:val="0"/>
        <w:suppressAutoHyphens/>
        <w:jc w:val="both"/>
      </w:pPr>
    </w:p>
    <w:p w14:paraId="040186AF" w14:textId="77777777" w:rsidR="00E51CDD" w:rsidRPr="00227BE0" w:rsidRDefault="00E51CDD" w:rsidP="00E51CDD">
      <w:pPr>
        <w:suppressAutoHyphens/>
        <w:jc w:val="both"/>
        <w:rPr>
          <w:b/>
          <w:u w:val="single"/>
        </w:rPr>
      </w:pPr>
      <w:r w:rsidRPr="00227BE0">
        <w:rPr>
          <w:b/>
          <w:lang w:eastAsia="en-US"/>
        </w:rPr>
        <w:t>Acceptability of risk for fluxapyroxad (BAS 700 F)</w:t>
      </w:r>
    </w:p>
    <w:p w14:paraId="49988745" w14:textId="77777777" w:rsidR="00E51CDD" w:rsidRPr="00227BE0" w:rsidRDefault="00E51CDD" w:rsidP="00E51CDD">
      <w:pPr>
        <w:pStyle w:val="RepStandard"/>
      </w:pPr>
    </w:p>
    <w:p w14:paraId="7B8A3589" w14:textId="77777777" w:rsidR="00E51CDD" w:rsidRPr="00227BE0" w:rsidRDefault="00E51CDD" w:rsidP="00E51CDD">
      <w:pPr>
        <w:suppressAutoHyphens/>
        <w:jc w:val="both"/>
      </w:pPr>
      <w:r w:rsidRPr="00227BE0">
        <w:t xml:space="preserve">The EU agreed studies were used for risk assessment on aquatic organisms for the active substance fluxapyroxad and its relevant metabolites. </w:t>
      </w:r>
    </w:p>
    <w:p w14:paraId="0034AFF3" w14:textId="77777777" w:rsidR="00E51CDD" w:rsidRPr="00227BE0" w:rsidRDefault="00E51CDD" w:rsidP="00E51CDD">
      <w:pPr>
        <w:suppressAutoHyphens/>
        <w:jc w:val="both"/>
      </w:pPr>
    </w:p>
    <w:p w14:paraId="004EB567" w14:textId="77777777" w:rsidR="00E51CDD" w:rsidRPr="004D0CF5" w:rsidRDefault="00E51CDD" w:rsidP="00E51CDD">
      <w:pPr>
        <w:suppressAutoHyphens/>
        <w:jc w:val="both"/>
        <w:rPr>
          <w:strike/>
          <w:color w:val="D9D9D9" w:themeColor="background1" w:themeShade="D9"/>
        </w:rPr>
      </w:pPr>
      <w:r w:rsidRPr="004D0CF5">
        <w:rPr>
          <w:strike/>
          <w:color w:val="D9D9D9" w:themeColor="background1" w:themeShade="D9"/>
        </w:rPr>
        <w:t xml:space="preserve">Besides the studies on the standard invertebrate test species </w:t>
      </w:r>
      <w:r w:rsidRPr="004D0CF5">
        <w:rPr>
          <w:i/>
          <w:strike/>
          <w:color w:val="D9D9D9" w:themeColor="background1" w:themeShade="D9"/>
        </w:rPr>
        <w:t>D. magna</w:t>
      </w:r>
      <w:r w:rsidRPr="004D0CF5">
        <w:rPr>
          <w:strike/>
          <w:color w:val="D9D9D9" w:themeColor="background1" w:themeShade="D9"/>
        </w:rPr>
        <w:t xml:space="preserve">, acute and chronic studies using the active substance fluxapyroxad were conducted on the marine crustacean species </w:t>
      </w:r>
      <w:r w:rsidRPr="004D0CF5">
        <w:rPr>
          <w:i/>
          <w:strike/>
          <w:color w:val="D9D9D9" w:themeColor="background1" w:themeShade="D9"/>
        </w:rPr>
        <w:t xml:space="preserve">A bahia. </w:t>
      </w:r>
      <w:r w:rsidRPr="004D0CF5">
        <w:rPr>
          <w:strike/>
          <w:color w:val="D9D9D9" w:themeColor="background1" w:themeShade="D9"/>
        </w:rPr>
        <w:t>Testing on marine crustaceans</w:t>
      </w:r>
      <w:r w:rsidRPr="004D0CF5">
        <w:rPr>
          <w:i/>
          <w:strike/>
          <w:color w:val="D9D9D9" w:themeColor="background1" w:themeShade="D9"/>
        </w:rPr>
        <w:t xml:space="preserve"> </w:t>
      </w:r>
      <w:r w:rsidRPr="004D0CF5">
        <w:rPr>
          <w:strike/>
          <w:color w:val="D9D9D9" w:themeColor="background1" w:themeShade="D9"/>
        </w:rPr>
        <w:t xml:space="preserve">is not a data requirement in the EU, however, the acute endpoints for </w:t>
      </w:r>
      <w:r w:rsidRPr="004D0CF5">
        <w:rPr>
          <w:i/>
          <w:strike/>
          <w:color w:val="D9D9D9" w:themeColor="background1" w:themeShade="D9"/>
        </w:rPr>
        <w:t>A. bahia</w:t>
      </w:r>
      <w:r w:rsidRPr="004D0CF5">
        <w:rPr>
          <w:strike/>
          <w:color w:val="D9D9D9" w:themeColor="background1" w:themeShade="D9"/>
        </w:rPr>
        <w:t xml:space="preserve"> is also considered for the risk assessment as it is an EU agreed endpoint. </w:t>
      </w:r>
      <w:bookmarkStart w:id="495" w:name="_Toc105318983"/>
      <w:bookmarkStart w:id="496" w:name="_Toc140312119"/>
      <w:bookmarkStart w:id="497" w:name="_Toc234290985"/>
      <w:r w:rsidRPr="004D0CF5">
        <w:rPr>
          <w:strike/>
          <w:color w:val="D9D9D9" w:themeColor="background1" w:themeShade="D9"/>
        </w:rPr>
        <w:t xml:space="preserve">Furthermore, an acute study on the marine bivalve mollusk species </w:t>
      </w:r>
      <w:r w:rsidRPr="004D0CF5">
        <w:rPr>
          <w:i/>
          <w:strike/>
          <w:color w:val="D9D9D9" w:themeColor="background1" w:themeShade="D9"/>
        </w:rPr>
        <w:t>C. virginica</w:t>
      </w:r>
      <w:r w:rsidRPr="004D0CF5">
        <w:rPr>
          <w:strike/>
          <w:color w:val="D9D9D9" w:themeColor="background1" w:themeShade="D9"/>
        </w:rPr>
        <w:t xml:space="preserve"> has been performed with fluxapyroxad. The acute endpoint obtained for </w:t>
      </w:r>
      <w:r w:rsidRPr="004D0CF5">
        <w:rPr>
          <w:i/>
          <w:strike/>
          <w:color w:val="D9D9D9" w:themeColor="background1" w:themeShade="D9"/>
        </w:rPr>
        <w:t xml:space="preserve">C. virginica </w:t>
      </w:r>
      <w:r w:rsidRPr="004D0CF5">
        <w:rPr>
          <w:strike/>
          <w:color w:val="D9D9D9" w:themeColor="background1" w:themeShade="D9"/>
        </w:rPr>
        <w:t xml:space="preserve">provides the lowest endpoint for aquatic invertebrates and is thus also considered in the following ETR </w:t>
      </w:r>
      <w:bookmarkEnd w:id="495"/>
      <w:bookmarkEnd w:id="496"/>
      <w:bookmarkEnd w:id="497"/>
      <w:r w:rsidRPr="004D0CF5">
        <w:rPr>
          <w:strike/>
          <w:color w:val="D9D9D9" w:themeColor="background1" w:themeShade="D9"/>
        </w:rPr>
        <w:t>calculations.</w:t>
      </w:r>
    </w:p>
    <w:p w14:paraId="6691E5C4" w14:textId="77777777" w:rsidR="00E51CDD" w:rsidRPr="004D0CF5" w:rsidRDefault="00E51CDD" w:rsidP="00E51CDD">
      <w:pPr>
        <w:suppressAutoHyphens/>
        <w:jc w:val="both"/>
        <w:rPr>
          <w:strike/>
          <w:color w:val="D9D9D9" w:themeColor="background1" w:themeShade="D9"/>
        </w:rPr>
      </w:pPr>
    </w:p>
    <w:p w14:paraId="06288502" w14:textId="77777777" w:rsidR="00E51CDD" w:rsidRPr="004D0CF5" w:rsidRDefault="00E51CDD" w:rsidP="00E51CDD">
      <w:pPr>
        <w:suppressAutoHyphens/>
        <w:jc w:val="both"/>
        <w:rPr>
          <w:strike/>
          <w:color w:val="D9D9D9" w:themeColor="background1" w:themeShade="D9"/>
        </w:rPr>
      </w:pPr>
      <w:r w:rsidRPr="004D0CF5">
        <w:rPr>
          <w:strike/>
          <w:color w:val="D9D9D9" w:themeColor="background1" w:themeShade="D9"/>
        </w:rPr>
        <w:t xml:space="preserve">To address chronic risk to fish, the recalculated endpoint for </w:t>
      </w:r>
      <w:r w:rsidRPr="004D0CF5">
        <w:rPr>
          <w:i/>
          <w:strike/>
          <w:color w:val="D9D9D9" w:themeColor="background1" w:themeShade="D9"/>
        </w:rPr>
        <w:t>P. promelas</w:t>
      </w:r>
      <w:r w:rsidRPr="004D0CF5">
        <w:rPr>
          <w:strike/>
          <w:color w:val="D9D9D9" w:themeColor="background1" w:themeShade="D9"/>
        </w:rPr>
        <w:t xml:space="preserve"> has been used (for details please refer to justification of endpoints).</w:t>
      </w:r>
    </w:p>
    <w:p w14:paraId="5B835266" w14:textId="77777777" w:rsidR="00E51CDD" w:rsidRPr="00227BE0" w:rsidRDefault="00E51CDD" w:rsidP="00E51CDD">
      <w:pPr>
        <w:suppressAutoHyphens/>
        <w:jc w:val="both"/>
      </w:pPr>
    </w:p>
    <w:p w14:paraId="57FD077E" w14:textId="40C79AA8" w:rsidR="00E51CDD" w:rsidRPr="00227BE0" w:rsidRDefault="00E51CDD" w:rsidP="00E51CDD">
      <w:pPr>
        <w:widowControl w:val="0"/>
        <w:suppressAutoHyphens/>
        <w:jc w:val="both"/>
      </w:pPr>
      <w:r w:rsidRPr="00227BE0">
        <w:t>The relevant worst-case predicted environmental concentrations in surface water bodies (PEC</w:t>
      </w:r>
      <w:r w:rsidRPr="00227BE0">
        <w:rPr>
          <w:vertAlign w:val="subscript"/>
        </w:rPr>
        <w:t>sw</w:t>
      </w:r>
      <w:r w:rsidRPr="00227BE0">
        <w:t xml:space="preserve"> and PEC</w:t>
      </w:r>
      <w:r w:rsidRPr="00227BE0">
        <w:rPr>
          <w:vertAlign w:val="subscript"/>
        </w:rPr>
        <w:t>sed</w:t>
      </w:r>
      <w:r w:rsidRPr="00227BE0">
        <w:t xml:space="preserve">), regulatory acceptable concentrations (RAC) for aquatic organisms and the resulting PEC/RAC ratios (ETR) for the single and twofold application of fluxapyroxad in ‘winter and spring cereals’ are given per intended use, each organism group and are presented in </w:t>
      </w:r>
      <w:r w:rsidRPr="00227BE0">
        <w:fldChar w:fldCharType="begin"/>
      </w:r>
      <w:r w:rsidRPr="00227BE0">
        <w:instrText xml:space="preserve"> REF _Ref429720194 \h  \* MERGEFORMAT </w:instrText>
      </w:r>
      <w:r w:rsidRPr="00227BE0">
        <w:fldChar w:fldCharType="separate"/>
      </w:r>
      <w:r w:rsidR="00662F32" w:rsidRPr="00662F32">
        <w:t xml:space="preserve">Table </w:t>
      </w:r>
      <w:r w:rsidR="00662F32" w:rsidRPr="00662F32">
        <w:rPr>
          <w:noProof/>
        </w:rPr>
        <w:t>9.5</w:t>
      </w:r>
      <w:r w:rsidR="00662F32" w:rsidRPr="00662F32">
        <w:rPr>
          <w:noProof/>
        </w:rPr>
        <w:noBreakHyphen/>
        <w:t>4</w:t>
      </w:r>
      <w:r w:rsidRPr="00227BE0">
        <w:fldChar w:fldCharType="end"/>
      </w:r>
      <w:r w:rsidRPr="00227BE0">
        <w:t xml:space="preserve"> and </w:t>
      </w:r>
      <w:r w:rsidRPr="00227BE0">
        <w:fldChar w:fldCharType="begin"/>
      </w:r>
      <w:r w:rsidRPr="00227BE0">
        <w:instrText xml:space="preserve"> REF _Ref82080248 \h  \* MERGEFORMAT </w:instrText>
      </w:r>
      <w:r w:rsidRPr="00227BE0">
        <w:fldChar w:fldCharType="separate"/>
      </w:r>
      <w:r w:rsidR="00662F32" w:rsidRPr="00662F32">
        <w:rPr>
          <w:bCs/>
        </w:rPr>
        <w:t xml:space="preserve">Table </w:t>
      </w:r>
      <w:r w:rsidR="00662F32" w:rsidRPr="00662F32">
        <w:rPr>
          <w:bCs/>
          <w:noProof/>
        </w:rPr>
        <w:t>9.5</w:t>
      </w:r>
      <w:r w:rsidR="00662F32" w:rsidRPr="00662F32">
        <w:rPr>
          <w:bCs/>
          <w:noProof/>
        </w:rPr>
        <w:noBreakHyphen/>
        <w:t>5</w:t>
      </w:r>
      <w:r w:rsidRPr="00227BE0">
        <w:fldChar w:fldCharType="end"/>
      </w:r>
      <w:r w:rsidRPr="00227BE0">
        <w:t>. Worst-case PEC values for either single or twofold application are considered in a risk envelope approach. For details on the PEC calculations please refer to Part B, Section 8.9.</w:t>
      </w:r>
    </w:p>
    <w:p w14:paraId="211550F4" w14:textId="77777777" w:rsidR="00E51CDD" w:rsidRPr="00227BE0" w:rsidRDefault="00E51CDD" w:rsidP="00E51CDD"/>
    <w:p w14:paraId="49CF74DC" w14:textId="77777777" w:rsidR="00E51CDD" w:rsidRPr="00227BE0" w:rsidRDefault="00E51CDD" w:rsidP="00E51CDD">
      <w:pPr>
        <w:sectPr w:rsidR="00E51CDD" w:rsidRPr="00227BE0">
          <w:pgSz w:w="11909" w:h="16834"/>
          <w:pgMar w:top="1418" w:right="1134" w:bottom="1134" w:left="1418" w:header="709" w:footer="709" w:gutter="0"/>
          <w:pgNumType w:chapSep="period"/>
          <w:cols w:space="720"/>
        </w:sectPr>
      </w:pPr>
    </w:p>
    <w:p w14:paraId="36C2FC0E" w14:textId="30E836A0" w:rsidR="00E51CDD" w:rsidRPr="00227BE0" w:rsidRDefault="00E51CDD" w:rsidP="00E51CDD">
      <w:pPr>
        <w:keepNext/>
        <w:keepLines/>
        <w:widowControl w:val="0"/>
        <w:tabs>
          <w:tab w:val="left" w:pos="1985"/>
        </w:tabs>
        <w:suppressAutoHyphens/>
        <w:spacing w:before="200" w:after="120"/>
        <w:ind w:left="1985" w:hanging="1985"/>
        <w:jc w:val="both"/>
        <w:rPr>
          <w:b/>
          <w:bCs/>
        </w:rPr>
      </w:pPr>
      <w:bookmarkStart w:id="498" w:name="_Ref429720194"/>
      <w:bookmarkStart w:id="499" w:name="_Ref433617879"/>
      <w:r w:rsidRPr="00227BE0">
        <w:rPr>
          <w:b/>
          <w:bCs/>
        </w:rPr>
        <w:lastRenderedPageBreak/>
        <w:t xml:space="preserve">Table </w:t>
      </w:r>
      <w:r w:rsidRPr="00227BE0">
        <w:fldChar w:fldCharType="begin"/>
      </w:r>
      <w:r w:rsidRPr="00227BE0">
        <w:rPr>
          <w:b/>
          <w:bCs/>
        </w:rPr>
        <w:instrText xml:space="preserve"> STYLEREF 2 \s </w:instrText>
      </w:r>
      <w:r w:rsidRPr="00227BE0">
        <w:fldChar w:fldCharType="separate"/>
      </w:r>
      <w:r w:rsidR="00662F32">
        <w:rPr>
          <w:b/>
          <w:bCs/>
          <w:noProof/>
        </w:rPr>
        <w:t>9.5</w:t>
      </w:r>
      <w:r w:rsidRPr="00227BE0">
        <w:fldChar w:fldCharType="end"/>
      </w:r>
      <w:r w:rsidRPr="00227BE0">
        <w:rPr>
          <w:b/>
          <w:bCs/>
        </w:rPr>
        <w:noBreakHyphen/>
      </w:r>
      <w:r w:rsidRPr="00227BE0">
        <w:fldChar w:fldCharType="begin"/>
      </w:r>
      <w:r w:rsidRPr="00227BE0">
        <w:rPr>
          <w:b/>
          <w:bCs/>
        </w:rPr>
        <w:instrText xml:space="preserve"> SEQ Table \* ARABIC \s 2 </w:instrText>
      </w:r>
      <w:r w:rsidRPr="00227BE0">
        <w:fldChar w:fldCharType="separate"/>
      </w:r>
      <w:r w:rsidR="00662F32">
        <w:rPr>
          <w:b/>
          <w:bCs/>
          <w:noProof/>
        </w:rPr>
        <w:t>4</w:t>
      </w:r>
      <w:r w:rsidRPr="00227BE0">
        <w:fldChar w:fldCharType="end"/>
      </w:r>
      <w:bookmarkEnd w:id="498"/>
      <w:bookmarkEnd w:id="499"/>
      <w:r w:rsidRPr="00227BE0">
        <w:rPr>
          <w:b/>
          <w:bCs/>
        </w:rPr>
        <w:t>:</w:t>
      </w:r>
      <w:r w:rsidRPr="00227BE0">
        <w:rPr>
          <w:b/>
          <w:bCs/>
        </w:rPr>
        <w:tab/>
        <w:t xml:space="preserve">Aquatic organisms: acceptability of risk (PEC/RAC &lt; 1) for </w:t>
      </w:r>
      <w:r w:rsidRPr="00227BE0">
        <w:rPr>
          <w:b/>
          <w:bCs/>
          <w:iCs/>
        </w:rPr>
        <w:t xml:space="preserve">fluxapyroxad </w:t>
      </w:r>
      <w:r w:rsidRPr="00227BE0">
        <w:rPr>
          <w:b/>
          <w:bCs/>
        </w:rPr>
        <w:t>for each organism group based on standard worst-case calculations following single and twofold application (1x and 2x 100 g a.s./ha) of BAS 736 00 F in ‘winter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335"/>
        <w:gridCol w:w="797"/>
        <w:gridCol w:w="823"/>
        <w:gridCol w:w="124"/>
        <w:gridCol w:w="857"/>
        <w:gridCol w:w="981"/>
        <w:gridCol w:w="930"/>
        <w:gridCol w:w="1114"/>
        <w:gridCol w:w="1164"/>
        <w:gridCol w:w="981"/>
        <w:gridCol w:w="1167"/>
        <w:gridCol w:w="943"/>
        <w:gridCol w:w="1167"/>
        <w:gridCol w:w="1170"/>
        <w:gridCol w:w="1003"/>
      </w:tblGrid>
      <w:tr w:rsidR="00526FEC" w:rsidRPr="00227BE0" w14:paraId="091F5E6B" w14:textId="77777777" w:rsidTr="00B67E21">
        <w:trPr>
          <w:cantSplit/>
          <w:tblHeader/>
        </w:trPr>
        <w:tc>
          <w:tcPr>
            <w:tcW w:w="460" w:type="pct"/>
            <w:tcBorders>
              <w:top w:val="single" w:sz="4" w:space="0" w:color="auto"/>
              <w:left w:val="single" w:sz="4" w:space="0" w:color="auto"/>
              <w:bottom w:val="single" w:sz="4" w:space="0" w:color="auto"/>
              <w:right w:val="single" w:sz="4" w:space="0" w:color="auto"/>
            </w:tcBorders>
            <w:vAlign w:val="center"/>
            <w:hideMark/>
          </w:tcPr>
          <w:p w14:paraId="714C80A5" w14:textId="77777777" w:rsidR="00526FEC" w:rsidRPr="00227BE0" w:rsidRDefault="00526FEC" w:rsidP="00526FEC">
            <w:pPr>
              <w:widowControl w:val="0"/>
              <w:suppressAutoHyphens/>
              <w:rPr>
                <w:b/>
                <w:bCs/>
                <w:sz w:val="20"/>
                <w:szCs w:val="20"/>
              </w:rPr>
            </w:pPr>
            <w:r w:rsidRPr="00227BE0">
              <w:rPr>
                <w:b/>
                <w:bCs/>
                <w:sz w:val="20"/>
                <w:szCs w:val="20"/>
              </w:rPr>
              <w:t>Group</w:t>
            </w:r>
          </w:p>
        </w:tc>
        <w:tc>
          <w:tcPr>
            <w:tcW w:w="275" w:type="pct"/>
            <w:tcBorders>
              <w:top w:val="single" w:sz="4" w:space="0" w:color="auto"/>
              <w:left w:val="single" w:sz="4" w:space="0" w:color="auto"/>
              <w:bottom w:val="nil"/>
              <w:right w:val="single" w:sz="4" w:space="0" w:color="auto"/>
            </w:tcBorders>
            <w:vAlign w:val="center"/>
          </w:tcPr>
          <w:p w14:paraId="1EF038CC" w14:textId="77777777" w:rsidR="00526FEC" w:rsidRPr="00227BE0" w:rsidRDefault="00526FEC" w:rsidP="00526FEC">
            <w:pPr>
              <w:widowControl w:val="0"/>
              <w:suppressAutoHyphens/>
              <w:rPr>
                <w:noProof/>
                <w:sz w:val="20"/>
                <w:szCs w:val="20"/>
              </w:rPr>
            </w:pPr>
          </w:p>
        </w:tc>
        <w:tc>
          <w:tcPr>
            <w:tcW w:w="284" w:type="pct"/>
            <w:tcBorders>
              <w:top w:val="single" w:sz="4" w:space="0" w:color="auto"/>
              <w:left w:val="single" w:sz="4" w:space="0" w:color="auto"/>
              <w:bottom w:val="single" w:sz="4" w:space="0" w:color="auto"/>
              <w:right w:val="single" w:sz="4" w:space="0" w:color="auto"/>
            </w:tcBorders>
            <w:vAlign w:val="center"/>
            <w:hideMark/>
          </w:tcPr>
          <w:p w14:paraId="00BFB185" w14:textId="77777777" w:rsidR="00526FEC" w:rsidRPr="00227BE0" w:rsidRDefault="00526FEC" w:rsidP="00526FEC">
            <w:pPr>
              <w:widowControl w:val="0"/>
              <w:suppressAutoHyphens/>
              <w:jc w:val="center"/>
              <w:rPr>
                <w:b/>
                <w:bCs/>
                <w:sz w:val="20"/>
                <w:szCs w:val="20"/>
              </w:rPr>
            </w:pPr>
            <w:r w:rsidRPr="00227BE0">
              <w:rPr>
                <w:b/>
                <w:bCs/>
                <w:sz w:val="20"/>
                <w:szCs w:val="20"/>
              </w:rPr>
              <w:t>Fish acute</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2027E0" w14:textId="20C37A75" w:rsidR="00526FEC" w:rsidRPr="00227BE0" w:rsidRDefault="00526FEC" w:rsidP="00526FEC">
            <w:pPr>
              <w:widowControl w:val="0"/>
              <w:suppressAutoHyphens/>
              <w:jc w:val="center"/>
              <w:rPr>
                <w:b/>
                <w:bCs/>
                <w:sz w:val="20"/>
                <w:szCs w:val="20"/>
              </w:rPr>
            </w:pPr>
            <w:r w:rsidRPr="00227BE0">
              <w:rPr>
                <w:b/>
                <w:bCs/>
                <w:sz w:val="20"/>
                <w:szCs w:val="20"/>
              </w:rPr>
              <w:t>Fish prolonged</w:t>
            </w:r>
          </w:p>
        </w:tc>
        <w:tc>
          <w:tcPr>
            <w:tcW w:w="337" w:type="pct"/>
            <w:tcBorders>
              <w:top w:val="single" w:sz="4" w:space="0" w:color="auto"/>
              <w:left w:val="single" w:sz="4" w:space="0" w:color="auto"/>
              <w:bottom w:val="single" w:sz="4" w:space="0" w:color="auto"/>
              <w:right w:val="single" w:sz="4" w:space="0" w:color="auto"/>
            </w:tcBorders>
            <w:vAlign w:val="center"/>
            <w:hideMark/>
          </w:tcPr>
          <w:p w14:paraId="5509F2C3" w14:textId="308BE014" w:rsidR="00526FEC" w:rsidRPr="00B67E21" w:rsidRDefault="00526FEC" w:rsidP="00526FEC">
            <w:pPr>
              <w:widowControl w:val="0"/>
              <w:suppressAutoHyphens/>
              <w:jc w:val="center"/>
              <w:rPr>
                <w:b/>
                <w:bCs/>
                <w:strike/>
                <w:color w:val="D9D9D9" w:themeColor="background1" w:themeShade="D9"/>
                <w:sz w:val="20"/>
                <w:szCs w:val="20"/>
              </w:rPr>
            </w:pPr>
            <w:r w:rsidRPr="00B67E21">
              <w:rPr>
                <w:b/>
                <w:bCs/>
                <w:strike/>
                <w:color w:val="D9D9D9" w:themeColor="background1" w:themeShade="D9"/>
                <w:sz w:val="20"/>
                <w:szCs w:val="20"/>
              </w:rPr>
              <w:t>Fish prolonged</w:t>
            </w:r>
          </w:p>
        </w:tc>
        <w:tc>
          <w:tcPr>
            <w:tcW w:w="321" w:type="pct"/>
            <w:tcBorders>
              <w:top w:val="single" w:sz="4" w:space="0" w:color="auto"/>
              <w:left w:val="single" w:sz="4" w:space="0" w:color="auto"/>
              <w:bottom w:val="single" w:sz="4" w:space="0" w:color="auto"/>
              <w:right w:val="single" w:sz="4" w:space="0" w:color="auto"/>
            </w:tcBorders>
            <w:vAlign w:val="center"/>
            <w:hideMark/>
          </w:tcPr>
          <w:p w14:paraId="79B30C90" w14:textId="77777777" w:rsidR="00526FEC" w:rsidRPr="00526FEC" w:rsidRDefault="00526FEC" w:rsidP="00526FEC">
            <w:pPr>
              <w:widowControl w:val="0"/>
              <w:suppressAutoHyphens/>
              <w:jc w:val="center"/>
              <w:rPr>
                <w:b/>
                <w:bCs/>
                <w:strike/>
                <w:color w:val="D9D9D9" w:themeColor="background1" w:themeShade="D9"/>
                <w:sz w:val="20"/>
                <w:szCs w:val="20"/>
              </w:rPr>
            </w:pPr>
            <w:r w:rsidRPr="00526FEC">
              <w:rPr>
                <w:b/>
                <w:bCs/>
                <w:strike/>
                <w:color w:val="D9D9D9" w:themeColor="background1" w:themeShade="D9"/>
                <w:sz w:val="20"/>
                <w:szCs w:val="20"/>
              </w:rPr>
              <w:t>Inverteb. acute</w:t>
            </w:r>
          </w:p>
        </w:tc>
        <w:tc>
          <w:tcPr>
            <w:tcW w:w="383" w:type="pct"/>
            <w:tcBorders>
              <w:top w:val="single" w:sz="4" w:space="0" w:color="auto"/>
              <w:left w:val="single" w:sz="4" w:space="0" w:color="auto"/>
              <w:bottom w:val="single" w:sz="4" w:space="0" w:color="auto"/>
              <w:right w:val="single" w:sz="4" w:space="0" w:color="auto"/>
            </w:tcBorders>
            <w:vAlign w:val="center"/>
            <w:hideMark/>
          </w:tcPr>
          <w:p w14:paraId="64F5E0EE" w14:textId="77777777" w:rsidR="00526FEC" w:rsidRPr="00526FEC" w:rsidRDefault="00526FEC" w:rsidP="00526FEC">
            <w:pPr>
              <w:widowControl w:val="0"/>
              <w:suppressAutoHyphens/>
              <w:jc w:val="center"/>
              <w:rPr>
                <w:b/>
                <w:bCs/>
                <w:strike/>
                <w:color w:val="D9D9D9" w:themeColor="background1" w:themeShade="D9"/>
                <w:sz w:val="20"/>
                <w:szCs w:val="20"/>
              </w:rPr>
            </w:pPr>
            <w:r w:rsidRPr="00526FEC">
              <w:rPr>
                <w:b/>
                <w:bCs/>
                <w:strike/>
                <w:noProof/>
                <w:color w:val="D9D9D9" w:themeColor="background1" w:themeShade="D9"/>
                <w:sz w:val="20"/>
                <w:szCs w:val="20"/>
              </w:rPr>
              <w:t>Aquatic crustaceans acute</w:t>
            </w:r>
          </w:p>
        </w:tc>
        <w:tc>
          <w:tcPr>
            <w:tcW w:w="402" w:type="pct"/>
            <w:tcBorders>
              <w:top w:val="single" w:sz="4" w:space="0" w:color="auto"/>
              <w:left w:val="single" w:sz="4" w:space="0" w:color="auto"/>
              <w:bottom w:val="single" w:sz="4" w:space="0" w:color="auto"/>
              <w:right w:val="single" w:sz="4" w:space="0" w:color="auto"/>
            </w:tcBorders>
            <w:vAlign w:val="center"/>
            <w:hideMark/>
          </w:tcPr>
          <w:p w14:paraId="47C2E499" w14:textId="77777777" w:rsidR="00526FEC" w:rsidRPr="00227BE0" w:rsidRDefault="00526FEC" w:rsidP="00526FEC">
            <w:pPr>
              <w:widowControl w:val="0"/>
              <w:suppressAutoHyphens/>
              <w:jc w:val="center"/>
              <w:rPr>
                <w:b/>
                <w:bCs/>
                <w:sz w:val="20"/>
                <w:szCs w:val="20"/>
              </w:rPr>
            </w:pPr>
            <w:r w:rsidRPr="00227BE0">
              <w:rPr>
                <w:b/>
                <w:bCs/>
                <w:sz w:val="20"/>
                <w:szCs w:val="20"/>
              </w:rPr>
              <w:t>Aquatic gastropod molluscs acute</w:t>
            </w:r>
          </w:p>
        </w:tc>
        <w:tc>
          <w:tcPr>
            <w:tcW w:w="337" w:type="pct"/>
            <w:tcBorders>
              <w:top w:val="single" w:sz="4" w:space="0" w:color="auto"/>
              <w:left w:val="single" w:sz="4" w:space="0" w:color="auto"/>
              <w:bottom w:val="single" w:sz="4" w:space="0" w:color="auto"/>
              <w:right w:val="single" w:sz="4" w:space="0" w:color="auto"/>
            </w:tcBorders>
            <w:vAlign w:val="center"/>
            <w:hideMark/>
          </w:tcPr>
          <w:p w14:paraId="1AC8AF21" w14:textId="77777777" w:rsidR="00526FEC" w:rsidRPr="00227BE0" w:rsidRDefault="00526FEC" w:rsidP="00526FEC">
            <w:pPr>
              <w:widowControl w:val="0"/>
              <w:suppressAutoHyphens/>
              <w:jc w:val="center"/>
              <w:rPr>
                <w:b/>
                <w:bCs/>
                <w:sz w:val="20"/>
                <w:szCs w:val="20"/>
              </w:rPr>
            </w:pPr>
            <w:r w:rsidRPr="00227BE0">
              <w:rPr>
                <w:b/>
                <w:bCs/>
                <w:sz w:val="20"/>
                <w:szCs w:val="20"/>
              </w:rPr>
              <w:t>Inverteb. prolonged</w:t>
            </w:r>
          </w:p>
        </w:tc>
        <w:tc>
          <w:tcPr>
            <w:tcW w:w="402" w:type="pct"/>
            <w:tcBorders>
              <w:top w:val="single" w:sz="4" w:space="0" w:color="auto"/>
              <w:left w:val="single" w:sz="4" w:space="0" w:color="auto"/>
              <w:bottom w:val="single" w:sz="4" w:space="0" w:color="auto"/>
              <w:right w:val="single" w:sz="4" w:space="0" w:color="auto"/>
            </w:tcBorders>
            <w:vAlign w:val="center"/>
            <w:hideMark/>
          </w:tcPr>
          <w:p w14:paraId="1FF34DE5" w14:textId="77777777" w:rsidR="00526FEC" w:rsidRPr="00227BE0" w:rsidRDefault="00526FEC" w:rsidP="00526FEC">
            <w:pPr>
              <w:widowControl w:val="0"/>
              <w:suppressAutoHyphens/>
              <w:jc w:val="center"/>
              <w:rPr>
                <w:b/>
                <w:bCs/>
                <w:sz w:val="20"/>
                <w:szCs w:val="20"/>
              </w:rPr>
            </w:pPr>
            <w:r w:rsidRPr="00227BE0">
              <w:rPr>
                <w:b/>
                <w:bCs/>
                <w:sz w:val="20"/>
                <w:szCs w:val="20"/>
              </w:rPr>
              <w:t>Algae</w:t>
            </w:r>
          </w:p>
        </w:tc>
        <w:tc>
          <w:tcPr>
            <w:tcW w:w="325" w:type="pct"/>
            <w:tcBorders>
              <w:top w:val="single" w:sz="4" w:space="0" w:color="auto"/>
              <w:left w:val="single" w:sz="4" w:space="0" w:color="auto"/>
              <w:bottom w:val="single" w:sz="4" w:space="0" w:color="auto"/>
              <w:right w:val="single" w:sz="4" w:space="0" w:color="auto"/>
            </w:tcBorders>
            <w:vAlign w:val="center"/>
            <w:hideMark/>
          </w:tcPr>
          <w:p w14:paraId="540019EA" w14:textId="77777777" w:rsidR="00526FEC" w:rsidRPr="00227BE0" w:rsidRDefault="00526FEC" w:rsidP="00526FEC">
            <w:pPr>
              <w:suppressAutoHyphens/>
              <w:jc w:val="center"/>
              <w:rPr>
                <w:b/>
                <w:bCs/>
                <w:sz w:val="20"/>
                <w:szCs w:val="20"/>
              </w:rPr>
            </w:pPr>
            <w:r w:rsidRPr="00227BE0">
              <w:rPr>
                <w:b/>
                <w:bCs/>
                <w:sz w:val="20"/>
                <w:szCs w:val="20"/>
              </w:rPr>
              <w:t>Aquatic plants</w:t>
            </w:r>
          </w:p>
        </w:tc>
        <w:tc>
          <w:tcPr>
            <w:tcW w:w="402" w:type="pct"/>
            <w:tcBorders>
              <w:top w:val="single" w:sz="4" w:space="0" w:color="auto"/>
              <w:left w:val="single" w:sz="4" w:space="0" w:color="auto"/>
              <w:bottom w:val="single" w:sz="4" w:space="0" w:color="auto"/>
              <w:right w:val="single" w:sz="4" w:space="0" w:color="auto"/>
            </w:tcBorders>
            <w:vAlign w:val="center"/>
          </w:tcPr>
          <w:p w14:paraId="22EF0A0A" w14:textId="77777777" w:rsidR="00526FEC" w:rsidRPr="00444D21" w:rsidRDefault="00526FEC" w:rsidP="00526FEC">
            <w:pPr>
              <w:widowControl w:val="0"/>
              <w:suppressAutoHyphens/>
              <w:jc w:val="center"/>
              <w:rPr>
                <w:b/>
                <w:strike/>
                <w:noProof/>
                <w:color w:val="D9D9D9" w:themeColor="background1" w:themeShade="D9"/>
                <w:sz w:val="20"/>
                <w:szCs w:val="20"/>
              </w:rPr>
            </w:pPr>
            <w:r w:rsidRPr="00444D21">
              <w:rPr>
                <w:b/>
                <w:strike/>
                <w:noProof/>
                <w:color w:val="D9D9D9" w:themeColor="background1" w:themeShade="D9"/>
                <w:sz w:val="20"/>
                <w:szCs w:val="20"/>
              </w:rPr>
              <w:t>Higher tier information</w:t>
            </w:r>
          </w:p>
        </w:tc>
        <w:tc>
          <w:tcPr>
            <w:tcW w:w="403" w:type="pct"/>
            <w:tcBorders>
              <w:top w:val="single" w:sz="4" w:space="0" w:color="auto"/>
              <w:left w:val="single" w:sz="4" w:space="0" w:color="auto"/>
              <w:bottom w:val="single" w:sz="4" w:space="0" w:color="auto"/>
              <w:right w:val="single" w:sz="4" w:space="0" w:color="auto"/>
            </w:tcBorders>
            <w:vAlign w:val="center"/>
            <w:hideMark/>
          </w:tcPr>
          <w:p w14:paraId="4760E7EA" w14:textId="77777777" w:rsidR="00526FEC" w:rsidRPr="00227BE0" w:rsidRDefault="00526FEC" w:rsidP="00526FEC">
            <w:pPr>
              <w:widowControl w:val="0"/>
              <w:suppressAutoHyphens/>
              <w:rPr>
                <w:noProof/>
                <w:sz w:val="20"/>
                <w:szCs w:val="20"/>
              </w:rPr>
            </w:pPr>
            <w:r w:rsidRPr="00227BE0">
              <w:rPr>
                <w:b/>
                <w:noProof/>
                <w:sz w:val="20"/>
                <w:szCs w:val="20"/>
              </w:rPr>
              <w:t>Group</w:t>
            </w:r>
          </w:p>
        </w:tc>
        <w:tc>
          <w:tcPr>
            <w:tcW w:w="345" w:type="pct"/>
            <w:tcBorders>
              <w:top w:val="single" w:sz="4" w:space="0" w:color="auto"/>
              <w:left w:val="single" w:sz="4" w:space="0" w:color="auto"/>
              <w:bottom w:val="single" w:sz="4" w:space="0" w:color="auto"/>
              <w:right w:val="single" w:sz="4" w:space="0" w:color="auto"/>
            </w:tcBorders>
            <w:vAlign w:val="center"/>
            <w:hideMark/>
          </w:tcPr>
          <w:p w14:paraId="6BADE461" w14:textId="77777777" w:rsidR="00526FEC" w:rsidRPr="00227BE0" w:rsidRDefault="00526FEC" w:rsidP="00526FEC">
            <w:pPr>
              <w:widowControl w:val="0"/>
              <w:suppressAutoHyphens/>
              <w:jc w:val="center"/>
              <w:rPr>
                <w:b/>
                <w:bCs/>
                <w:sz w:val="20"/>
                <w:szCs w:val="20"/>
              </w:rPr>
            </w:pPr>
            <w:r w:rsidRPr="00227BE0">
              <w:rPr>
                <w:b/>
                <w:bCs/>
                <w:sz w:val="20"/>
                <w:szCs w:val="20"/>
              </w:rPr>
              <w:t>Sed. dwell. prolonged</w:t>
            </w:r>
          </w:p>
        </w:tc>
      </w:tr>
      <w:tr w:rsidR="00526FEC" w:rsidRPr="00227BE0" w14:paraId="5BF783BC" w14:textId="77777777" w:rsidTr="00526FEC">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1375E80B" w14:textId="77777777" w:rsidR="00526FEC" w:rsidRPr="00227BE0" w:rsidRDefault="00526FEC" w:rsidP="00526FEC">
            <w:pPr>
              <w:widowControl w:val="0"/>
              <w:suppressAutoHyphens/>
              <w:rPr>
                <w:b/>
                <w:bCs/>
                <w:sz w:val="20"/>
                <w:szCs w:val="20"/>
              </w:rPr>
            </w:pPr>
            <w:r w:rsidRPr="00227BE0">
              <w:rPr>
                <w:b/>
                <w:bCs/>
                <w:sz w:val="20"/>
                <w:szCs w:val="20"/>
              </w:rPr>
              <w:t>Test species</w:t>
            </w:r>
          </w:p>
        </w:tc>
        <w:tc>
          <w:tcPr>
            <w:tcW w:w="275" w:type="pct"/>
            <w:tcBorders>
              <w:top w:val="nil"/>
              <w:left w:val="single" w:sz="4" w:space="0" w:color="auto"/>
              <w:bottom w:val="nil"/>
              <w:right w:val="single" w:sz="4" w:space="0" w:color="auto"/>
            </w:tcBorders>
            <w:vAlign w:val="center"/>
          </w:tcPr>
          <w:p w14:paraId="2D53B82D" w14:textId="77777777" w:rsidR="00526FEC" w:rsidRPr="00227BE0" w:rsidRDefault="00526FEC" w:rsidP="00526FEC">
            <w:pPr>
              <w:widowControl w:val="0"/>
              <w:suppressAutoHyphens/>
              <w:rPr>
                <w:noProof/>
                <w:sz w:val="20"/>
                <w:szCs w:val="20"/>
              </w:rPr>
            </w:pPr>
          </w:p>
        </w:tc>
        <w:tc>
          <w:tcPr>
            <w:tcW w:w="284" w:type="pct"/>
            <w:tcBorders>
              <w:top w:val="single" w:sz="4" w:space="0" w:color="auto"/>
              <w:left w:val="single" w:sz="4" w:space="0" w:color="auto"/>
              <w:bottom w:val="single" w:sz="4" w:space="0" w:color="auto"/>
              <w:right w:val="single" w:sz="4" w:space="0" w:color="auto"/>
            </w:tcBorders>
            <w:vAlign w:val="center"/>
            <w:hideMark/>
          </w:tcPr>
          <w:p w14:paraId="7FCD6971" w14:textId="77777777" w:rsidR="00526FEC" w:rsidRPr="00227BE0" w:rsidRDefault="00526FEC" w:rsidP="00526FEC">
            <w:pPr>
              <w:widowControl w:val="0"/>
              <w:suppressAutoHyphens/>
              <w:jc w:val="center"/>
              <w:rPr>
                <w:b/>
                <w:bCs/>
                <w:sz w:val="20"/>
                <w:szCs w:val="20"/>
              </w:rPr>
            </w:pPr>
            <w:r w:rsidRPr="00227BE0">
              <w:rPr>
                <w:b/>
                <w:bCs/>
                <w:i/>
                <w:iCs/>
                <w:sz w:val="20"/>
                <w:szCs w:val="20"/>
              </w:rPr>
              <w:t>C. carpio</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B31816" w14:textId="063DA343" w:rsidR="00526FEC" w:rsidRPr="00227BE0" w:rsidRDefault="00526FEC" w:rsidP="00526FEC">
            <w:pPr>
              <w:widowControl w:val="0"/>
              <w:suppressAutoHyphens/>
              <w:jc w:val="center"/>
              <w:rPr>
                <w:b/>
                <w:bCs/>
                <w:i/>
                <w:sz w:val="20"/>
                <w:szCs w:val="20"/>
              </w:rPr>
            </w:pPr>
            <w:r w:rsidRPr="00227BE0">
              <w:rPr>
                <w:b/>
                <w:bCs/>
                <w:i/>
                <w:sz w:val="20"/>
                <w:szCs w:val="20"/>
              </w:rPr>
              <w:t>P. promelas</w:t>
            </w:r>
          </w:p>
        </w:tc>
        <w:tc>
          <w:tcPr>
            <w:tcW w:w="337" w:type="pct"/>
            <w:tcBorders>
              <w:top w:val="single" w:sz="4" w:space="0" w:color="auto"/>
              <w:left w:val="single" w:sz="4" w:space="0" w:color="auto"/>
              <w:bottom w:val="single" w:sz="4" w:space="0" w:color="auto"/>
              <w:right w:val="single" w:sz="4" w:space="0" w:color="auto"/>
            </w:tcBorders>
            <w:vAlign w:val="center"/>
            <w:hideMark/>
          </w:tcPr>
          <w:p w14:paraId="0652FEC1" w14:textId="671C6DF4" w:rsidR="00526FEC" w:rsidRPr="00526FEC" w:rsidRDefault="00526FEC" w:rsidP="00526FEC">
            <w:pPr>
              <w:widowControl w:val="0"/>
              <w:suppressAutoHyphens/>
              <w:jc w:val="center"/>
              <w:rPr>
                <w:b/>
                <w:bCs/>
                <w:i/>
                <w:strike/>
                <w:color w:val="D9D9D9" w:themeColor="background1" w:themeShade="D9"/>
                <w:sz w:val="20"/>
                <w:szCs w:val="20"/>
              </w:rPr>
            </w:pPr>
            <w:r w:rsidRPr="00526FEC">
              <w:rPr>
                <w:b/>
                <w:bCs/>
                <w:i/>
                <w:strike/>
                <w:color w:val="D9D9D9" w:themeColor="background1" w:themeShade="D9"/>
                <w:sz w:val="20"/>
                <w:szCs w:val="20"/>
              </w:rPr>
              <w:t>P. promelas</w:t>
            </w:r>
          </w:p>
        </w:tc>
        <w:tc>
          <w:tcPr>
            <w:tcW w:w="321" w:type="pct"/>
            <w:tcBorders>
              <w:top w:val="single" w:sz="4" w:space="0" w:color="auto"/>
              <w:left w:val="single" w:sz="4" w:space="0" w:color="auto"/>
              <w:bottom w:val="single" w:sz="4" w:space="0" w:color="auto"/>
              <w:right w:val="single" w:sz="4" w:space="0" w:color="auto"/>
            </w:tcBorders>
            <w:vAlign w:val="center"/>
            <w:hideMark/>
          </w:tcPr>
          <w:p w14:paraId="3903D867" w14:textId="77777777" w:rsidR="00526FEC" w:rsidRPr="00526FEC" w:rsidRDefault="00526FEC" w:rsidP="00526FEC">
            <w:pPr>
              <w:widowControl w:val="0"/>
              <w:suppressAutoHyphens/>
              <w:jc w:val="center"/>
              <w:rPr>
                <w:b/>
                <w:bCs/>
                <w:strike/>
                <w:color w:val="D9D9D9" w:themeColor="background1" w:themeShade="D9"/>
                <w:sz w:val="20"/>
                <w:szCs w:val="20"/>
              </w:rPr>
            </w:pPr>
            <w:r w:rsidRPr="00526FEC">
              <w:rPr>
                <w:b/>
                <w:bCs/>
                <w:i/>
                <w:iCs/>
                <w:strike/>
                <w:color w:val="D9D9D9" w:themeColor="background1" w:themeShade="D9"/>
                <w:sz w:val="20"/>
                <w:szCs w:val="20"/>
              </w:rPr>
              <w:t>D. magna</w:t>
            </w:r>
          </w:p>
        </w:tc>
        <w:tc>
          <w:tcPr>
            <w:tcW w:w="383" w:type="pct"/>
            <w:tcBorders>
              <w:top w:val="single" w:sz="4" w:space="0" w:color="auto"/>
              <w:left w:val="single" w:sz="4" w:space="0" w:color="auto"/>
              <w:bottom w:val="single" w:sz="4" w:space="0" w:color="auto"/>
              <w:right w:val="single" w:sz="4" w:space="0" w:color="auto"/>
            </w:tcBorders>
            <w:vAlign w:val="center"/>
            <w:hideMark/>
          </w:tcPr>
          <w:p w14:paraId="6391BA49" w14:textId="77777777" w:rsidR="00526FEC" w:rsidRPr="00526FEC" w:rsidRDefault="00526FEC" w:rsidP="00526FEC">
            <w:pPr>
              <w:widowControl w:val="0"/>
              <w:suppressAutoHyphens/>
              <w:jc w:val="center"/>
              <w:rPr>
                <w:b/>
                <w:bCs/>
                <w:i/>
                <w:iCs/>
                <w:strike/>
                <w:color w:val="D9D9D9" w:themeColor="background1" w:themeShade="D9"/>
                <w:sz w:val="20"/>
                <w:szCs w:val="20"/>
              </w:rPr>
            </w:pPr>
            <w:r w:rsidRPr="00526FEC">
              <w:rPr>
                <w:b/>
                <w:bCs/>
                <w:i/>
                <w:iCs/>
                <w:strike/>
                <w:color w:val="D9D9D9" w:themeColor="background1" w:themeShade="D9"/>
                <w:sz w:val="20"/>
                <w:szCs w:val="20"/>
              </w:rPr>
              <w:t>A. bahia</w:t>
            </w:r>
          </w:p>
        </w:tc>
        <w:tc>
          <w:tcPr>
            <w:tcW w:w="402" w:type="pct"/>
            <w:tcBorders>
              <w:top w:val="single" w:sz="4" w:space="0" w:color="auto"/>
              <w:left w:val="single" w:sz="4" w:space="0" w:color="auto"/>
              <w:bottom w:val="single" w:sz="4" w:space="0" w:color="auto"/>
              <w:right w:val="single" w:sz="4" w:space="0" w:color="auto"/>
            </w:tcBorders>
            <w:vAlign w:val="center"/>
            <w:hideMark/>
          </w:tcPr>
          <w:p w14:paraId="68A47EAC" w14:textId="77777777" w:rsidR="00526FEC" w:rsidRPr="00227BE0" w:rsidRDefault="00526FEC" w:rsidP="00526FEC">
            <w:pPr>
              <w:widowControl w:val="0"/>
              <w:suppressAutoHyphens/>
              <w:jc w:val="center"/>
              <w:rPr>
                <w:b/>
                <w:bCs/>
                <w:i/>
                <w:iCs/>
                <w:sz w:val="20"/>
                <w:szCs w:val="20"/>
              </w:rPr>
            </w:pPr>
            <w:r w:rsidRPr="00227BE0">
              <w:rPr>
                <w:b/>
                <w:bCs/>
                <w:i/>
                <w:iCs/>
                <w:sz w:val="20"/>
                <w:szCs w:val="20"/>
                <w:lang w:eastAsia="en-US"/>
              </w:rPr>
              <w:t>C. virginica</w:t>
            </w:r>
          </w:p>
        </w:tc>
        <w:tc>
          <w:tcPr>
            <w:tcW w:w="337" w:type="pct"/>
            <w:tcBorders>
              <w:top w:val="single" w:sz="4" w:space="0" w:color="auto"/>
              <w:left w:val="single" w:sz="4" w:space="0" w:color="auto"/>
              <w:bottom w:val="single" w:sz="4" w:space="0" w:color="auto"/>
              <w:right w:val="single" w:sz="4" w:space="0" w:color="auto"/>
            </w:tcBorders>
            <w:vAlign w:val="center"/>
            <w:hideMark/>
          </w:tcPr>
          <w:p w14:paraId="099C8BDE" w14:textId="77777777" w:rsidR="00526FEC" w:rsidRPr="00227BE0" w:rsidRDefault="00526FEC" w:rsidP="00526FEC">
            <w:pPr>
              <w:widowControl w:val="0"/>
              <w:suppressAutoHyphens/>
              <w:jc w:val="center"/>
              <w:rPr>
                <w:b/>
                <w:bCs/>
                <w:i/>
                <w:iCs/>
                <w:sz w:val="20"/>
                <w:szCs w:val="20"/>
              </w:rPr>
            </w:pPr>
            <w:r w:rsidRPr="00227BE0">
              <w:rPr>
                <w:b/>
                <w:bCs/>
                <w:i/>
                <w:iCs/>
                <w:sz w:val="20"/>
                <w:szCs w:val="20"/>
              </w:rPr>
              <w:t>D. magna</w:t>
            </w:r>
          </w:p>
        </w:tc>
        <w:tc>
          <w:tcPr>
            <w:tcW w:w="402" w:type="pct"/>
            <w:tcBorders>
              <w:top w:val="single" w:sz="4" w:space="0" w:color="auto"/>
              <w:left w:val="single" w:sz="4" w:space="0" w:color="auto"/>
              <w:bottom w:val="single" w:sz="4" w:space="0" w:color="auto"/>
              <w:right w:val="single" w:sz="4" w:space="0" w:color="auto"/>
            </w:tcBorders>
            <w:vAlign w:val="center"/>
            <w:hideMark/>
          </w:tcPr>
          <w:p w14:paraId="55AE6F08" w14:textId="77777777" w:rsidR="00526FEC" w:rsidRPr="00227BE0" w:rsidRDefault="00526FEC" w:rsidP="00526FEC">
            <w:pPr>
              <w:widowControl w:val="0"/>
              <w:suppressAutoHyphens/>
              <w:jc w:val="center"/>
              <w:rPr>
                <w:b/>
                <w:bCs/>
                <w:sz w:val="20"/>
                <w:szCs w:val="20"/>
              </w:rPr>
            </w:pPr>
            <w:r w:rsidRPr="00227BE0">
              <w:rPr>
                <w:b/>
                <w:bCs/>
                <w:i/>
                <w:iCs/>
                <w:sz w:val="20"/>
                <w:szCs w:val="20"/>
              </w:rPr>
              <w:t>P. subcapitata</w:t>
            </w:r>
          </w:p>
        </w:tc>
        <w:tc>
          <w:tcPr>
            <w:tcW w:w="325" w:type="pct"/>
            <w:tcBorders>
              <w:top w:val="single" w:sz="4" w:space="0" w:color="auto"/>
              <w:left w:val="single" w:sz="4" w:space="0" w:color="auto"/>
              <w:bottom w:val="single" w:sz="4" w:space="0" w:color="auto"/>
              <w:right w:val="single" w:sz="4" w:space="0" w:color="auto"/>
            </w:tcBorders>
            <w:vAlign w:val="center"/>
            <w:hideMark/>
          </w:tcPr>
          <w:p w14:paraId="1FE66644" w14:textId="77777777" w:rsidR="00526FEC" w:rsidRPr="00227BE0" w:rsidRDefault="00526FEC" w:rsidP="00526FEC">
            <w:pPr>
              <w:widowControl w:val="0"/>
              <w:suppressAutoHyphens/>
              <w:jc w:val="center"/>
              <w:rPr>
                <w:b/>
                <w:bCs/>
                <w:i/>
                <w:iCs/>
                <w:sz w:val="20"/>
                <w:szCs w:val="20"/>
              </w:rPr>
            </w:pPr>
            <w:r w:rsidRPr="00227BE0">
              <w:rPr>
                <w:b/>
                <w:bCs/>
                <w:i/>
                <w:iCs/>
                <w:sz w:val="20"/>
                <w:szCs w:val="20"/>
              </w:rPr>
              <w:t>L. gibba</w:t>
            </w:r>
          </w:p>
        </w:tc>
        <w:tc>
          <w:tcPr>
            <w:tcW w:w="402" w:type="pct"/>
            <w:tcBorders>
              <w:top w:val="single" w:sz="4" w:space="0" w:color="auto"/>
              <w:left w:val="single" w:sz="4" w:space="0" w:color="auto"/>
              <w:bottom w:val="single" w:sz="4" w:space="0" w:color="auto"/>
              <w:right w:val="single" w:sz="4" w:space="0" w:color="auto"/>
            </w:tcBorders>
          </w:tcPr>
          <w:p w14:paraId="64EE08CE" w14:textId="77777777" w:rsidR="00526FEC" w:rsidRPr="00444D21" w:rsidRDefault="00526FEC" w:rsidP="00526FEC">
            <w:pPr>
              <w:widowControl w:val="0"/>
              <w:suppressAutoHyphens/>
              <w:jc w:val="center"/>
              <w:rPr>
                <w:b/>
                <w:strike/>
                <w:noProof/>
                <w:color w:val="D9D9D9" w:themeColor="background1" w:themeShade="D9"/>
                <w:sz w:val="20"/>
                <w:szCs w:val="20"/>
              </w:rPr>
            </w:pPr>
            <w:r w:rsidRPr="00444D21">
              <w:rPr>
                <w:b/>
                <w:i/>
                <w:strike/>
                <w:color w:val="D9D9D9" w:themeColor="background1" w:themeShade="D9"/>
                <w:sz w:val="20"/>
                <w:szCs w:val="20"/>
              </w:rPr>
              <w:t xml:space="preserve">Fish acute: </w:t>
            </w:r>
            <w:r w:rsidRPr="00444D21">
              <w:rPr>
                <w:iCs/>
                <w:strike/>
                <w:color w:val="D9D9D9" w:themeColor="background1" w:themeShade="D9"/>
                <w:sz w:val="20"/>
                <w:szCs w:val="20"/>
              </w:rPr>
              <w:t>SSD based on 96 h NOECs for 5 fish species</w:t>
            </w:r>
          </w:p>
        </w:tc>
        <w:tc>
          <w:tcPr>
            <w:tcW w:w="403" w:type="pct"/>
            <w:tcBorders>
              <w:top w:val="single" w:sz="4" w:space="0" w:color="auto"/>
              <w:left w:val="single" w:sz="4" w:space="0" w:color="auto"/>
              <w:bottom w:val="single" w:sz="4" w:space="0" w:color="auto"/>
              <w:right w:val="single" w:sz="4" w:space="0" w:color="auto"/>
            </w:tcBorders>
            <w:vAlign w:val="center"/>
            <w:hideMark/>
          </w:tcPr>
          <w:p w14:paraId="1AD4B954" w14:textId="77777777" w:rsidR="00526FEC" w:rsidRPr="00227BE0" w:rsidRDefault="00526FEC" w:rsidP="00526FEC">
            <w:pPr>
              <w:widowControl w:val="0"/>
              <w:suppressAutoHyphens/>
              <w:rPr>
                <w:noProof/>
                <w:sz w:val="20"/>
                <w:szCs w:val="20"/>
              </w:rPr>
            </w:pPr>
            <w:r w:rsidRPr="00227BE0">
              <w:rPr>
                <w:b/>
                <w:noProof/>
                <w:sz w:val="20"/>
                <w:szCs w:val="20"/>
              </w:rPr>
              <w:t>Test species</w:t>
            </w:r>
          </w:p>
        </w:tc>
        <w:tc>
          <w:tcPr>
            <w:tcW w:w="345" w:type="pct"/>
            <w:tcBorders>
              <w:top w:val="single" w:sz="4" w:space="0" w:color="auto"/>
              <w:left w:val="single" w:sz="4" w:space="0" w:color="auto"/>
              <w:bottom w:val="single" w:sz="4" w:space="0" w:color="auto"/>
              <w:right w:val="single" w:sz="4" w:space="0" w:color="auto"/>
            </w:tcBorders>
            <w:vAlign w:val="center"/>
            <w:hideMark/>
          </w:tcPr>
          <w:p w14:paraId="6DD693F8" w14:textId="77777777" w:rsidR="00526FEC" w:rsidRPr="00227BE0" w:rsidRDefault="00526FEC" w:rsidP="00526FEC">
            <w:pPr>
              <w:widowControl w:val="0"/>
              <w:suppressAutoHyphens/>
              <w:jc w:val="center"/>
              <w:rPr>
                <w:b/>
                <w:bCs/>
                <w:sz w:val="20"/>
                <w:szCs w:val="20"/>
              </w:rPr>
            </w:pPr>
            <w:r w:rsidRPr="00227BE0">
              <w:rPr>
                <w:b/>
                <w:bCs/>
                <w:i/>
                <w:iCs/>
                <w:sz w:val="20"/>
                <w:szCs w:val="20"/>
              </w:rPr>
              <w:t>C. riparius</w:t>
            </w:r>
          </w:p>
        </w:tc>
      </w:tr>
      <w:tr w:rsidR="00526FEC" w:rsidRPr="00227BE0" w14:paraId="23F98B64" w14:textId="77777777" w:rsidTr="00526FEC">
        <w:trPr>
          <w:cantSplit/>
        </w:trPr>
        <w:tc>
          <w:tcPr>
            <w:tcW w:w="460" w:type="pct"/>
            <w:tcBorders>
              <w:top w:val="single" w:sz="4" w:space="0" w:color="auto"/>
              <w:left w:val="single" w:sz="4" w:space="0" w:color="auto"/>
              <w:bottom w:val="nil"/>
              <w:right w:val="single" w:sz="4" w:space="0" w:color="auto"/>
            </w:tcBorders>
            <w:vAlign w:val="center"/>
            <w:hideMark/>
          </w:tcPr>
          <w:p w14:paraId="418599D7" w14:textId="77777777" w:rsidR="00526FEC" w:rsidRPr="00227BE0" w:rsidRDefault="00526FEC" w:rsidP="00526FEC">
            <w:pPr>
              <w:widowControl w:val="0"/>
              <w:suppressAutoHyphens/>
              <w:rPr>
                <w:b/>
                <w:bCs/>
                <w:sz w:val="20"/>
                <w:szCs w:val="20"/>
              </w:rPr>
            </w:pPr>
            <w:r w:rsidRPr="00227BE0">
              <w:rPr>
                <w:b/>
                <w:bCs/>
                <w:sz w:val="20"/>
                <w:szCs w:val="20"/>
              </w:rPr>
              <w:t>Endpoint</w:t>
            </w:r>
          </w:p>
        </w:tc>
        <w:tc>
          <w:tcPr>
            <w:tcW w:w="275" w:type="pct"/>
            <w:tcBorders>
              <w:top w:val="nil"/>
              <w:left w:val="single" w:sz="4" w:space="0" w:color="auto"/>
              <w:bottom w:val="nil"/>
              <w:right w:val="single" w:sz="4" w:space="0" w:color="auto"/>
            </w:tcBorders>
            <w:vAlign w:val="center"/>
          </w:tcPr>
          <w:p w14:paraId="3D6B9F14" w14:textId="77777777" w:rsidR="00526FEC" w:rsidRPr="00227BE0" w:rsidRDefault="00526FEC" w:rsidP="00526FEC">
            <w:pPr>
              <w:keepNext/>
              <w:keepLines/>
              <w:widowControl w:val="0"/>
              <w:suppressAutoHyphens/>
              <w:rPr>
                <w:noProof/>
                <w:sz w:val="20"/>
                <w:szCs w:val="20"/>
              </w:rPr>
            </w:pPr>
          </w:p>
        </w:tc>
        <w:tc>
          <w:tcPr>
            <w:tcW w:w="284" w:type="pct"/>
            <w:tcBorders>
              <w:top w:val="single" w:sz="4" w:space="0" w:color="auto"/>
              <w:left w:val="single" w:sz="4" w:space="0" w:color="auto"/>
              <w:bottom w:val="nil"/>
              <w:right w:val="single" w:sz="4" w:space="0" w:color="auto"/>
            </w:tcBorders>
            <w:vAlign w:val="center"/>
            <w:hideMark/>
          </w:tcPr>
          <w:p w14:paraId="64C2912A" w14:textId="77777777" w:rsidR="00526FEC" w:rsidRPr="00227BE0" w:rsidRDefault="00526FEC" w:rsidP="00526FEC">
            <w:pPr>
              <w:widowControl w:val="0"/>
              <w:suppressAutoHyphens/>
              <w:jc w:val="center"/>
              <w:rPr>
                <w:noProof/>
                <w:sz w:val="20"/>
                <w:szCs w:val="20"/>
              </w:rPr>
            </w:pPr>
            <w:r w:rsidRPr="00227BE0">
              <w:rPr>
                <w:noProof/>
                <w:sz w:val="20"/>
                <w:szCs w:val="20"/>
              </w:rPr>
              <w:t>LC</w:t>
            </w:r>
            <w:r w:rsidRPr="00227BE0">
              <w:rPr>
                <w:noProof/>
                <w:sz w:val="20"/>
                <w:szCs w:val="20"/>
                <w:vertAlign w:val="subscript"/>
              </w:rPr>
              <w:t>50</w:t>
            </w:r>
          </w:p>
        </w:tc>
        <w:tc>
          <w:tcPr>
            <w:tcW w:w="325" w:type="pct"/>
            <w:gridSpan w:val="2"/>
            <w:tcBorders>
              <w:top w:val="single" w:sz="4" w:space="0" w:color="auto"/>
              <w:left w:val="single" w:sz="4" w:space="0" w:color="auto"/>
              <w:bottom w:val="nil"/>
              <w:right w:val="single" w:sz="4" w:space="0" w:color="auto"/>
            </w:tcBorders>
            <w:shd w:val="clear" w:color="auto" w:fill="D9D9D9" w:themeFill="background1" w:themeFillShade="D9"/>
            <w:vAlign w:val="center"/>
          </w:tcPr>
          <w:p w14:paraId="5487FD97" w14:textId="05AD0321" w:rsidR="00526FEC" w:rsidRPr="00227BE0" w:rsidRDefault="00526FEC" w:rsidP="00526FEC">
            <w:pPr>
              <w:widowControl w:val="0"/>
              <w:suppressAutoHyphens/>
              <w:jc w:val="center"/>
              <w:rPr>
                <w:noProof/>
                <w:sz w:val="20"/>
                <w:szCs w:val="20"/>
              </w:rPr>
            </w:pPr>
            <w:r w:rsidRPr="00227BE0">
              <w:rPr>
                <w:noProof/>
                <w:sz w:val="20"/>
                <w:szCs w:val="20"/>
              </w:rPr>
              <w:t>NOEC</w:t>
            </w:r>
          </w:p>
        </w:tc>
        <w:tc>
          <w:tcPr>
            <w:tcW w:w="337" w:type="pct"/>
            <w:tcBorders>
              <w:top w:val="single" w:sz="4" w:space="0" w:color="auto"/>
              <w:left w:val="single" w:sz="4" w:space="0" w:color="auto"/>
              <w:bottom w:val="nil"/>
              <w:right w:val="single" w:sz="4" w:space="0" w:color="auto"/>
            </w:tcBorders>
            <w:vAlign w:val="center"/>
            <w:hideMark/>
          </w:tcPr>
          <w:p w14:paraId="1747DC5D" w14:textId="49BF8CC3" w:rsidR="00526FEC" w:rsidRPr="00526FEC" w:rsidRDefault="00526FEC" w:rsidP="00526FEC">
            <w:pPr>
              <w:widowControl w:val="0"/>
              <w:suppressAutoHyphens/>
              <w:jc w:val="center"/>
              <w:rPr>
                <w:strike/>
                <w:noProof/>
                <w:color w:val="D9D9D9" w:themeColor="background1" w:themeShade="D9"/>
                <w:sz w:val="20"/>
                <w:szCs w:val="20"/>
              </w:rPr>
            </w:pPr>
            <w:r w:rsidRPr="00526FEC">
              <w:rPr>
                <w:strike/>
                <w:noProof/>
                <w:color w:val="D9D9D9" w:themeColor="background1" w:themeShade="D9"/>
                <w:sz w:val="20"/>
                <w:szCs w:val="20"/>
              </w:rPr>
              <w:t>NOEC</w:t>
            </w:r>
          </w:p>
        </w:tc>
        <w:tc>
          <w:tcPr>
            <w:tcW w:w="321" w:type="pct"/>
            <w:tcBorders>
              <w:top w:val="single" w:sz="4" w:space="0" w:color="auto"/>
              <w:left w:val="single" w:sz="4" w:space="0" w:color="auto"/>
              <w:bottom w:val="nil"/>
              <w:right w:val="single" w:sz="4" w:space="0" w:color="auto"/>
            </w:tcBorders>
            <w:vAlign w:val="center"/>
            <w:hideMark/>
          </w:tcPr>
          <w:p w14:paraId="3ADDA909" w14:textId="77777777" w:rsidR="00526FEC" w:rsidRPr="00526FEC" w:rsidRDefault="00526FEC" w:rsidP="00526FEC">
            <w:pPr>
              <w:widowControl w:val="0"/>
              <w:suppressAutoHyphens/>
              <w:jc w:val="center"/>
              <w:rPr>
                <w:strike/>
                <w:noProof/>
                <w:color w:val="D9D9D9" w:themeColor="background1" w:themeShade="D9"/>
                <w:sz w:val="20"/>
                <w:szCs w:val="20"/>
              </w:rPr>
            </w:pPr>
            <w:r w:rsidRPr="00526FEC">
              <w:rPr>
                <w:strike/>
                <w:noProof/>
                <w:color w:val="D9D9D9" w:themeColor="background1" w:themeShade="D9"/>
                <w:sz w:val="20"/>
                <w:szCs w:val="20"/>
              </w:rPr>
              <w:t>EC</w:t>
            </w:r>
            <w:r w:rsidRPr="00526FEC">
              <w:rPr>
                <w:strike/>
                <w:noProof/>
                <w:color w:val="D9D9D9" w:themeColor="background1" w:themeShade="D9"/>
                <w:sz w:val="20"/>
                <w:szCs w:val="20"/>
                <w:vertAlign w:val="subscript"/>
              </w:rPr>
              <w:t>50</w:t>
            </w:r>
          </w:p>
        </w:tc>
        <w:tc>
          <w:tcPr>
            <w:tcW w:w="383" w:type="pct"/>
            <w:tcBorders>
              <w:top w:val="single" w:sz="4" w:space="0" w:color="auto"/>
              <w:left w:val="single" w:sz="4" w:space="0" w:color="auto"/>
              <w:bottom w:val="nil"/>
              <w:right w:val="single" w:sz="4" w:space="0" w:color="auto"/>
            </w:tcBorders>
            <w:vAlign w:val="center"/>
            <w:hideMark/>
          </w:tcPr>
          <w:p w14:paraId="64AAA286" w14:textId="77777777" w:rsidR="00526FEC" w:rsidRPr="00526FEC" w:rsidRDefault="00526FEC" w:rsidP="00526FEC">
            <w:pPr>
              <w:widowControl w:val="0"/>
              <w:suppressAutoHyphens/>
              <w:jc w:val="center"/>
              <w:rPr>
                <w:strike/>
                <w:noProof/>
                <w:color w:val="D9D9D9" w:themeColor="background1" w:themeShade="D9"/>
                <w:sz w:val="20"/>
                <w:szCs w:val="20"/>
              </w:rPr>
            </w:pPr>
            <w:r w:rsidRPr="00526FEC">
              <w:rPr>
                <w:strike/>
                <w:color w:val="D9D9D9" w:themeColor="background1" w:themeShade="D9"/>
                <w:sz w:val="20"/>
                <w:szCs w:val="20"/>
                <w:lang w:val="de-DE" w:eastAsia="en-US"/>
              </w:rPr>
              <w:t>LC</w:t>
            </w:r>
            <w:r w:rsidRPr="00526FEC">
              <w:rPr>
                <w:strike/>
                <w:color w:val="D9D9D9" w:themeColor="background1" w:themeShade="D9"/>
                <w:sz w:val="20"/>
                <w:szCs w:val="20"/>
                <w:vertAlign w:val="subscript"/>
                <w:lang w:val="de-DE" w:eastAsia="en-US"/>
              </w:rPr>
              <w:t>50</w:t>
            </w:r>
          </w:p>
        </w:tc>
        <w:tc>
          <w:tcPr>
            <w:tcW w:w="402" w:type="pct"/>
            <w:tcBorders>
              <w:top w:val="single" w:sz="4" w:space="0" w:color="auto"/>
              <w:left w:val="single" w:sz="4" w:space="0" w:color="auto"/>
              <w:bottom w:val="nil"/>
              <w:right w:val="single" w:sz="4" w:space="0" w:color="auto"/>
            </w:tcBorders>
            <w:vAlign w:val="center"/>
            <w:hideMark/>
          </w:tcPr>
          <w:p w14:paraId="0129C9DF" w14:textId="77777777" w:rsidR="00526FEC" w:rsidRPr="00227BE0" w:rsidRDefault="00526FEC" w:rsidP="00526FEC">
            <w:pPr>
              <w:widowControl w:val="0"/>
              <w:suppressAutoHyphens/>
              <w:jc w:val="center"/>
              <w:rPr>
                <w:noProof/>
                <w:sz w:val="20"/>
                <w:szCs w:val="20"/>
              </w:rPr>
            </w:pPr>
            <w:r w:rsidRPr="00227BE0">
              <w:rPr>
                <w:noProof/>
                <w:sz w:val="20"/>
                <w:szCs w:val="20"/>
              </w:rPr>
              <w:t>EC</w:t>
            </w:r>
            <w:r w:rsidRPr="00227BE0">
              <w:rPr>
                <w:noProof/>
                <w:sz w:val="20"/>
                <w:szCs w:val="20"/>
                <w:vertAlign w:val="subscript"/>
              </w:rPr>
              <w:t>50</w:t>
            </w:r>
          </w:p>
        </w:tc>
        <w:tc>
          <w:tcPr>
            <w:tcW w:w="337" w:type="pct"/>
            <w:tcBorders>
              <w:top w:val="single" w:sz="4" w:space="0" w:color="auto"/>
              <w:left w:val="single" w:sz="4" w:space="0" w:color="auto"/>
              <w:bottom w:val="nil"/>
              <w:right w:val="single" w:sz="4" w:space="0" w:color="auto"/>
            </w:tcBorders>
            <w:vAlign w:val="center"/>
            <w:hideMark/>
          </w:tcPr>
          <w:p w14:paraId="3B3225A9" w14:textId="77777777" w:rsidR="00526FEC" w:rsidRPr="00227BE0" w:rsidRDefault="00526FEC" w:rsidP="00526FEC">
            <w:pPr>
              <w:widowControl w:val="0"/>
              <w:suppressAutoHyphens/>
              <w:jc w:val="center"/>
              <w:rPr>
                <w:noProof/>
                <w:sz w:val="20"/>
                <w:szCs w:val="20"/>
              </w:rPr>
            </w:pPr>
            <w:r w:rsidRPr="00227BE0">
              <w:rPr>
                <w:noProof/>
                <w:sz w:val="20"/>
                <w:szCs w:val="20"/>
              </w:rPr>
              <w:t>NOEC</w:t>
            </w:r>
          </w:p>
        </w:tc>
        <w:tc>
          <w:tcPr>
            <w:tcW w:w="402" w:type="pct"/>
            <w:tcBorders>
              <w:top w:val="single" w:sz="4" w:space="0" w:color="auto"/>
              <w:left w:val="single" w:sz="4" w:space="0" w:color="auto"/>
              <w:bottom w:val="nil"/>
              <w:right w:val="single" w:sz="4" w:space="0" w:color="auto"/>
            </w:tcBorders>
            <w:vAlign w:val="center"/>
            <w:hideMark/>
          </w:tcPr>
          <w:p w14:paraId="0DDBA056" w14:textId="77777777" w:rsidR="00526FEC" w:rsidRPr="00227BE0" w:rsidRDefault="00526FEC" w:rsidP="00526FEC">
            <w:pPr>
              <w:widowControl w:val="0"/>
              <w:suppressAutoHyphens/>
              <w:jc w:val="center"/>
              <w:rPr>
                <w:noProof/>
                <w:sz w:val="20"/>
                <w:szCs w:val="20"/>
              </w:rPr>
            </w:pPr>
            <w:r w:rsidRPr="00227BE0">
              <w:rPr>
                <w:noProof/>
                <w:sz w:val="20"/>
                <w:szCs w:val="20"/>
              </w:rPr>
              <w:t>E</w:t>
            </w:r>
            <w:r w:rsidRPr="00227BE0">
              <w:rPr>
                <w:noProof/>
                <w:sz w:val="20"/>
                <w:szCs w:val="20"/>
                <w:vertAlign w:val="subscript"/>
              </w:rPr>
              <w:t>r</w:t>
            </w:r>
            <w:r w:rsidRPr="00227BE0">
              <w:rPr>
                <w:noProof/>
                <w:sz w:val="20"/>
                <w:szCs w:val="20"/>
              </w:rPr>
              <w:t>C</w:t>
            </w:r>
            <w:r w:rsidRPr="00227BE0">
              <w:rPr>
                <w:noProof/>
                <w:sz w:val="20"/>
                <w:szCs w:val="20"/>
                <w:vertAlign w:val="subscript"/>
              </w:rPr>
              <w:t>50</w:t>
            </w:r>
          </w:p>
        </w:tc>
        <w:tc>
          <w:tcPr>
            <w:tcW w:w="325" w:type="pct"/>
            <w:tcBorders>
              <w:top w:val="single" w:sz="4" w:space="0" w:color="auto"/>
              <w:left w:val="single" w:sz="4" w:space="0" w:color="auto"/>
              <w:bottom w:val="nil"/>
              <w:right w:val="single" w:sz="4" w:space="0" w:color="auto"/>
            </w:tcBorders>
            <w:vAlign w:val="center"/>
            <w:hideMark/>
          </w:tcPr>
          <w:p w14:paraId="3DA2BD50" w14:textId="77777777" w:rsidR="00526FEC" w:rsidRPr="00227BE0" w:rsidRDefault="00526FEC" w:rsidP="00526FEC">
            <w:pPr>
              <w:widowControl w:val="0"/>
              <w:suppressAutoHyphens/>
              <w:jc w:val="center"/>
              <w:rPr>
                <w:noProof/>
                <w:sz w:val="20"/>
                <w:szCs w:val="20"/>
              </w:rPr>
            </w:pPr>
            <w:r w:rsidRPr="00227BE0">
              <w:rPr>
                <w:noProof/>
                <w:sz w:val="20"/>
                <w:szCs w:val="20"/>
              </w:rPr>
              <w:t>E</w:t>
            </w:r>
            <w:r w:rsidRPr="00227BE0">
              <w:rPr>
                <w:noProof/>
                <w:sz w:val="20"/>
                <w:szCs w:val="20"/>
                <w:vertAlign w:val="subscript"/>
              </w:rPr>
              <w:t>r</w:t>
            </w:r>
            <w:r w:rsidRPr="00227BE0">
              <w:rPr>
                <w:noProof/>
                <w:sz w:val="20"/>
                <w:szCs w:val="20"/>
              </w:rPr>
              <w:t>C</w:t>
            </w:r>
            <w:r w:rsidRPr="00227BE0">
              <w:rPr>
                <w:noProof/>
                <w:sz w:val="20"/>
                <w:szCs w:val="20"/>
                <w:vertAlign w:val="subscript"/>
              </w:rPr>
              <w:t>50</w:t>
            </w:r>
          </w:p>
        </w:tc>
        <w:tc>
          <w:tcPr>
            <w:tcW w:w="402" w:type="pct"/>
            <w:tcBorders>
              <w:top w:val="single" w:sz="4" w:space="0" w:color="auto"/>
              <w:left w:val="single" w:sz="4" w:space="0" w:color="auto"/>
              <w:bottom w:val="nil"/>
              <w:right w:val="single" w:sz="4" w:space="0" w:color="auto"/>
            </w:tcBorders>
          </w:tcPr>
          <w:p w14:paraId="27457723" w14:textId="77777777" w:rsidR="00526FEC" w:rsidRPr="00444D21" w:rsidRDefault="00526FEC" w:rsidP="00526FEC">
            <w:pPr>
              <w:keepNext/>
              <w:keepLines/>
              <w:widowControl w:val="0"/>
              <w:suppressAutoHyphens/>
              <w:jc w:val="center"/>
              <w:rPr>
                <w:b/>
                <w:strike/>
                <w:noProof/>
                <w:color w:val="D9D9D9" w:themeColor="background1" w:themeShade="D9"/>
                <w:sz w:val="20"/>
                <w:szCs w:val="20"/>
              </w:rPr>
            </w:pPr>
            <w:r w:rsidRPr="00444D21">
              <w:rPr>
                <w:strike/>
                <w:noProof/>
                <w:color w:val="D9D9D9" w:themeColor="background1" w:themeShade="D9"/>
                <w:sz w:val="20"/>
                <w:lang w:val="de-DE" w:eastAsia="zh-CN"/>
              </w:rPr>
              <w:t>HC</w:t>
            </w:r>
            <w:r w:rsidRPr="00444D21">
              <w:rPr>
                <w:strike/>
                <w:noProof/>
                <w:color w:val="D9D9D9" w:themeColor="background1" w:themeShade="D9"/>
                <w:sz w:val="20"/>
                <w:vertAlign w:val="subscript"/>
                <w:lang w:val="de-DE" w:eastAsia="zh-CN"/>
              </w:rPr>
              <w:t>5</w:t>
            </w:r>
          </w:p>
        </w:tc>
        <w:tc>
          <w:tcPr>
            <w:tcW w:w="403" w:type="pct"/>
            <w:tcBorders>
              <w:top w:val="single" w:sz="4" w:space="0" w:color="auto"/>
              <w:left w:val="single" w:sz="4" w:space="0" w:color="auto"/>
              <w:bottom w:val="nil"/>
              <w:right w:val="single" w:sz="4" w:space="0" w:color="auto"/>
            </w:tcBorders>
            <w:vAlign w:val="center"/>
            <w:hideMark/>
          </w:tcPr>
          <w:p w14:paraId="2EF841B9" w14:textId="77777777" w:rsidR="00526FEC" w:rsidRPr="00227BE0" w:rsidRDefault="00526FEC" w:rsidP="00526FEC">
            <w:pPr>
              <w:keepNext/>
              <w:keepLines/>
              <w:widowControl w:val="0"/>
              <w:suppressAutoHyphens/>
              <w:rPr>
                <w:noProof/>
                <w:sz w:val="20"/>
                <w:szCs w:val="20"/>
              </w:rPr>
            </w:pPr>
            <w:r w:rsidRPr="00227BE0">
              <w:rPr>
                <w:b/>
                <w:noProof/>
                <w:sz w:val="20"/>
                <w:szCs w:val="20"/>
              </w:rPr>
              <w:t>Endpoint</w:t>
            </w:r>
          </w:p>
        </w:tc>
        <w:tc>
          <w:tcPr>
            <w:tcW w:w="345" w:type="pct"/>
            <w:tcBorders>
              <w:top w:val="single" w:sz="4" w:space="0" w:color="auto"/>
              <w:left w:val="single" w:sz="4" w:space="0" w:color="auto"/>
              <w:bottom w:val="nil"/>
              <w:right w:val="single" w:sz="4" w:space="0" w:color="auto"/>
            </w:tcBorders>
            <w:hideMark/>
          </w:tcPr>
          <w:p w14:paraId="04FE1F0B" w14:textId="77777777" w:rsidR="00526FEC" w:rsidRPr="00227BE0" w:rsidRDefault="00526FEC" w:rsidP="00526FEC">
            <w:pPr>
              <w:widowControl w:val="0"/>
              <w:suppressAutoHyphens/>
              <w:jc w:val="center"/>
              <w:rPr>
                <w:noProof/>
                <w:sz w:val="20"/>
                <w:szCs w:val="20"/>
              </w:rPr>
            </w:pPr>
            <w:r w:rsidRPr="00227BE0">
              <w:rPr>
                <w:noProof/>
                <w:sz w:val="20"/>
                <w:szCs w:val="20"/>
              </w:rPr>
              <w:t>NOEC</w:t>
            </w:r>
          </w:p>
        </w:tc>
      </w:tr>
      <w:tr w:rsidR="00526FEC" w:rsidRPr="00227BE0" w14:paraId="148955B1" w14:textId="77777777" w:rsidTr="00526FEC">
        <w:trPr>
          <w:cantSplit/>
        </w:trPr>
        <w:tc>
          <w:tcPr>
            <w:tcW w:w="460" w:type="pct"/>
            <w:tcBorders>
              <w:top w:val="nil"/>
              <w:left w:val="single" w:sz="4" w:space="0" w:color="auto"/>
              <w:bottom w:val="single" w:sz="4" w:space="0" w:color="auto"/>
              <w:right w:val="single" w:sz="4" w:space="0" w:color="auto"/>
            </w:tcBorders>
            <w:vAlign w:val="center"/>
            <w:hideMark/>
          </w:tcPr>
          <w:p w14:paraId="37653D1E" w14:textId="77777777" w:rsidR="00526FEC" w:rsidRPr="00227BE0" w:rsidRDefault="00526FEC" w:rsidP="00526FEC">
            <w:pPr>
              <w:widowControl w:val="0"/>
              <w:suppressAutoHyphens/>
              <w:rPr>
                <w:b/>
                <w:bCs/>
                <w:sz w:val="20"/>
                <w:szCs w:val="20"/>
              </w:rPr>
            </w:pPr>
            <w:r w:rsidRPr="00227BE0">
              <w:rPr>
                <w:b/>
                <w:bCs/>
                <w:sz w:val="20"/>
                <w:szCs w:val="20"/>
              </w:rPr>
              <w:t>(µg/L)</w:t>
            </w:r>
          </w:p>
        </w:tc>
        <w:tc>
          <w:tcPr>
            <w:tcW w:w="275" w:type="pct"/>
            <w:tcBorders>
              <w:top w:val="nil"/>
              <w:left w:val="single" w:sz="4" w:space="0" w:color="auto"/>
              <w:bottom w:val="nil"/>
              <w:right w:val="single" w:sz="4" w:space="0" w:color="auto"/>
            </w:tcBorders>
            <w:vAlign w:val="center"/>
          </w:tcPr>
          <w:p w14:paraId="41E66DCF" w14:textId="77777777" w:rsidR="00526FEC" w:rsidRPr="00227BE0" w:rsidRDefault="00526FEC" w:rsidP="00526FEC">
            <w:pPr>
              <w:keepNext/>
              <w:keepLines/>
              <w:widowControl w:val="0"/>
              <w:suppressAutoHyphens/>
              <w:rPr>
                <w:noProof/>
                <w:sz w:val="20"/>
                <w:szCs w:val="20"/>
              </w:rPr>
            </w:pPr>
          </w:p>
        </w:tc>
        <w:tc>
          <w:tcPr>
            <w:tcW w:w="284" w:type="pct"/>
            <w:tcBorders>
              <w:top w:val="nil"/>
              <w:left w:val="single" w:sz="4" w:space="0" w:color="auto"/>
              <w:bottom w:val="single" w:sz="4" w:space="0" w:color="auto"/>
              <w:right w:val="single" w:sz="4" w:space="0" w:color="auto"/>
            </w:tcBorders>
            <w:vAlign w:val="center"/>
            <w:hideMark/>
          </w:tcPr>
          <w:p w14:paraId="400F63BC" w14:textId="77777777" w:rsidR="00526FEC" w:rsidRPr="00227BE0" w:rsidRDefault="00526FEC" w:rsidP="00526FEC">
            <w:pPr>
              <w:widowControl w:val="0"/>
              <w:suppressAutoHyphens/>
              <w:jc w:val="center"/>
              <w:rPr>
                <w:noProof/>
                <w:sz w:val="20"/>
                <w:szCs w:val="20"/>
              </w:rPr>
            </w:pPr>
            <w:r w:rsidRPr="00227BE0">
              <w:rPr>
                <w:noProof/>
                <w:sz w:val="20"/>
                <w:szCs w:val="20"/>
              </w:rPr>
              <w:t>290</w:t>
            </w:r>
          </w:p>
        </w:tc>
        <w:tc>
          <w:tcPr>
            <w:tcW w:w="325" w:type="pct"/>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781DA4D1" w14:textId="736F95A2" w:rsidR="00526FEC" w:rsidRPr="00227BE0" w:rsidRDefault="00526FEC" w:rsidP="00526FEC">
            <w:pPr>
              <w:widowControl w:val="0"/>
              <w:suppressAutoHyphens/>
              <w:jc w:val="center"/>
              <w:rPr>
                <w:noProof/>
                <w:sz w:val="20"/>
                <w:szCs w:val="20"/>
              </w:rPr>
            </w:pPr>
            <w:r>
              <w:rPr>
                <w:noProof/>
                <w:sz w:val="20"/>
                <w:szCs w:val="20"/>
              </w:rPr>
              <w:t>35.9</w:t>
            </w:r>
          </w:p>
        </w:tc>
        <w:tc>
          <w:tcPr>
            <w:tcW w:w="337" w:type="pct"/>
            <w:tcBorders>
              <w:top w:val="nil"/>
              <w:left w:val="single" w:sz="4" w:space="0" w:color="auto"/>
              <w:bottom w:val="single" w:sz="4" w:space="0" w:color="auto"/>
              <w:right w:val="single" w:sz="4" w:space="0" w:color="auto"/>
            </w:tcBorders>
            <w:vAlign w:val="center"/>
            <w:hideMark/>
          </w:tcPr>
          <w:p w14:paraId="2971EC5B" w14:textId="21092D5A" w:rsidR="00526FEC" w:rsidRPr="00526FEC" w:rsidRDefault="00526FEC" w:rsidP="00526FEC">
            <w:pPr>
              <w:widowControl w:val="0"/>
              <w:suppressAutoHyphens/>
              <w:jc w:val="center"/>
              <w:rPr>
                <w:strike/>
                <w:noProof/>
                <w:color w:val="D9D9D9" w:themeColor="background1" w:themeShade="D9"/>
                <w:sz w:val="20"/>
                <w:szCs w:val="20"/>
              </w:rPr>
            </w:pPr>
            <w:r w:rsidRPr="00526FEC">
              <w:rPr>
                <w:strike/>
                <w:noProof/>
                <w:color w:val="D9D9D9" w:themeColor="background1" w:themeShade="D9"/>
                <w:sz w:val="20"/>
                <w:szCs w:val="20"/>
              </w:rPr>
              <w:t>67.6</w:t>
            </w:r>
          </w:p>
        </w:tc>
        <w:tc>
          <w:tcPr>
            <w:tcW w:w="321" w:type="pct"/>
            <w:tcBorders>
              <w:top w:val="nil"/>
              <w:left w:val="single" w:sz="4" w:space="0" w:color="auto"/>
              <w:bottom w:val="single" w:sz="4" w:space="0" w:color="auto"/>
              <w:right w:val="single" w:sz="4" w:space="0" w:color="auto"/>
            </w:tcBorders>
            <w:vAlign w:val="center"/>
            <w:hideMark/>
          </w:tcPr>
          <w:p w14:paraId="1285165C" w14:textId="77777777" w:rsidR="00526FEC" w:rsidRPr="00526FEC" w:rsidRDefault="00526FEC" w:rsidP="00526FEC">
            <w:pPr>
              <w:widowControl w:val="0"/>
              <w:suppressAutoHyphens/>
              <w:jc w:val="center"/>
              <w:rPr>
                <w:strike/>
                <w:noProof/>
                <w:color w:val="D9D9D9" w:themeColor="background1" w:themeShade="D9"/>
                <w:sz w:val="20"/>
                <w:szCs w:val="20"/>
              </w:rPr>
            </w:pPr>
            <w:r w:rsidRPr="00526FEC">
              <w:rPr>
                <w:strike/>
                <w:noProof/>
                <w:color w:val="D9D9D9" w:themeColor="background1" w:themeShade="D9"/>
                <w:sz w:val="20"/>
                <w:szCs w:val="20"/>
              </w:rPr>
              <w:t>6780</w:t>
            </w:r>
          </w:p>
        </w:tc>
        <w:tc>
          <w:tcPr>
            <w:tcW w:w="383" w:type="pct"/>
            <w:tcBorders>
              <w:top w:val="nil"/>
              <w:left w:val="single" w:sz="4" w:space="0" w:color="auto"/>
              <w:bottom w:val="single" w:sz="4" w:space="0" w:color="auto"/>
              <w:right w:val="single" w:sz="4" w:space="0" w:color="auto"/>
            </w:tcBorders>
            <w:vAlign w:val="center"/>
            <w:hideMark/>
          </w:tcPr>
          <w:p w14:paraId="16B77CD9" w14:textId="77777777" w:rsidR="00526FEC" w:rsidRPr="00526FEC" w:rsidRDefault="00526FEC" w:rsidP="00526FEC">
            <w:pPr>
              <w:widowControl w:val="0"/>
              <w:suppressAutoHyphens/>
              <w:jc w:val="center"/>
              <w:rPr>
                <w:strike/>
                <w:noProof/>
                <w:color w:val="D9D9D9" w:themeColor="background1" w:themeShade="D9"/>
                <w:sz w:val="20"/>
                <w:szCs w:val="20"/>
              </w:rPr>
            </w:pPr>
            <w:r w:rsidRPr="00526FEC">
              <w:rPr>
                <w:strike/>
                <w:noProof/>
                <w:color w:val="D9D9D9" w:themeColor="background1" w:themeShade="D9"/>
                <w:sz w:val="20"/>
                <w:szCs w:val="20"/>
              </w:rPr>
              <w:t>6100</w:t>
            </w:r>
          </w:p>
        </w:tc>
        <w:tc>
          <w:tcPr>
            <w:tcW w:w="402" w:type="pct"/>
            <w:tcBorders>
              <w:top w:val="nil"/>
              <w:left w:val="single" w:sz="4" w:space="0" w:color="auto"/>
              <w:bottom w:val="single" w:sz="4" w:space="0" w:color="auto"/>
              <w:right w:val="single" w:sz="4" w:space="0" w:color="auto"/>
            </w:tcBorders>
            <w:vAlign w:val="center"/>
            <w:hideMark/>
          </w:tcPr>
          <w:p w14:paraId="4949F65F" w14:textId="6D0D61FE" w:rsidR="00BF7A83" w:rsidRPr="00F449A3" w:rsidRDefault="00BF7A83" w:rsidP="00BF7A83">
            <w:pPr>
              <w:widowControl w:val="0"/>
              <w:jc w:val="center"/>
              <w:rPr>
                <w:strike/>
                <w:color w:val="D9D9D9" w:themeColor="background1" w:themeShade="D9"/>
                <w:sz w:val="20"/>
                <w:vertAlign w:val="superscript"/>
                <w:lang w:val="en-GB"/>
              </w:rPr>
            </w:pPr>
            <w:r w:rsidRPr="00F449A3">
              <w:rPr>
                <w:strike/>
                <w:color w:val="D9D9D9" w:themeColor="background1" w:themeShade="D9"/>
                <w:sz w:val="20"/>
                <w:lang w:val="en-GB"/>
              </w:rPr>
              <w:t>&gt; 2200</w:t>
            </w:r>
          </w:p>
          <w:p w14:paraId="183D57DE" w14:textId="357D7CAB" w:rsidR="00526FEC" w:rsidRPr="00227BE0" w:rsidRDefault="00BF7A83" w:rsidP="00BF7A83">
            <w:pPr>
              <w:widowControl w:val="0"/>
              <w:suppressAutoHyphens/>
              <w:jc w:val="center"/>
              <w:rPr>
                <w:noProof/>
                <w:sz w:val="20"/>
                <w:szCs w:val="20"/>
              </w:rPr>
            </w:pPr>
            <w:r w:rsidRPr="00F449A3">
              <w:rPr>
                <w:sz w:val="20"/>
                <w:shd w:val="clear" w:color="auto" w:fill="D9D9D9" w:themeFill="background1" w:themeFillShade="D9"/>
                <w:lang w:val="en-GB"/>
              </w:rPr>
              <w:t>1100</w:t>
            </w:r>
          </w:p>
        </w:tc>
        <w:tc>
          <w:tcPr>
            <w:tcW w:w="337" w:type="pct"/>
            <w:tcBorders>
              <w:top w:val="nil"/>
              <w:left w:val="single" w:sz="4" w:space="0" w:color="auto"/>
              <w:bottom w:val="single" w:sz="4" w:space="0" w:color="auto"/>
              <w:right w:val="single" w:sz="4" w:space="0" w:color="auto"/>
            </w:tcBorders>
            <w:vAlign w:val="center"/>
            <w:hideMark/>
          </w:tcPr>
          <w:p w14:paraId="04609A9F" w14:textId="77777777" w:rsidR="00526FEC" w:rsidRPr="00227BE0" w:rsidRDefault="00526FEC" w:rsidP="00526FEC">
            <w:pPr>
              <w:widowControl w:val="0"/>
              <w:suppressAutoHyphens/>
              <w:jc w:val="center"/>
              <w:rPr>
                <w:noProof/>
                <w:sz w:val="20"/>
                <w:szCs w:val="20"/>
              </w:rPr>
            </w:pPr>
            <w:r w:rsidRPr="00227BE0">
              <w:rPr>
                <w:noProof/>
                <w:sz w:val="20"/>
                <w:szCs w:val="20"/>
              </w:rPr>
              <w:t>500</w:t>
            </w:r>
          </w:p>
        </w:tc>
        <w:tc>
          <w:tcPr>
            <w:tcW w:w="402" w:type="pct"/>
            <w:tcBorders>
              <w:top w:val="nil"/>
              <w:left w:val="single" w:sz="4" w:space="0" w:color="auto"/>
              <w:bottom w:val="single" w:sz="4" w:space="0" w:color="auto"/>
              <w:right w:val="single" w:sz="4" w:space="0" w:color="auto"/>
            </w:tcBorders>
            <w:vAlign w:val="center"/>
            <w:hideMark/>
          </w:tcPr>
          <w:p w14:paraId="0918775E" w14:textId="77777777" w:rsidR="00526FEC" w:rsidRPr="00227BE0" w:rsidRDefault="00526FEC" w:rsidP="00526FEC">
            <w:pPr>
              <w:widowControl w:val="0"/>
              <w:suppressAutoHyphens/>
              <w:jc w:val="center"/>
              <w:rPr>
                <w:noProof/>
                <w:sz w:val="20"/>
                <w:szCs w:val="20"/>
              </w:rPr>
            </w:pPr>
            <w:r w:rsidRPr="00227BE0">
              <w:rPr>
                <w:noProof/>
                <w:sz w:val="20"/>
                <w:szCs w:val="20"/>
              </w:rPr>
              <w:t>700</w:t>
            </w:r>
          </w:p>
        </w:tc>
        <w:tc>
          <w:tcPr>
            <w:tcW w:w="325" w:type="pct"/>
            <w:tcBorders>
              <w:top w:val="nil"/>
              <w:left w:val="single" w:sz="4" w:space="0" w:color="auto"/>
              <w:bottom w:val="single" w:sz="4" w:space="0" w:color="auto"/>
              <w:right w:val="single" w:sz="4" w:space="0" w:color="auto"/>
            </w:tcBorders>
            <w:vAlign w:val="center"/>
            <w:hideMark/>
          </w:tcPr>
          <w:p w14:paraId="0AA80E12" w14:textId="77777777" w:rsidR="00526FEC" w:rsidRPr="00227BE0" w:rsidRDefault="00526FEC" w:rsidP="00526FEC">
            <w:pPr>
              <w:widowControl w:val="0"/>
              <w:suppressAutoHyphens/>
              <w:jc w:val="center"/>
              <w:rPr>
                <w:noProof/>
                <w:sz w:val="20"/>
                <w:szCs w:val="20"/>
              </w:rPr>
            </w:pPr>
            <w:r w:rsidRPr="00227BE0">
              <w:rPr>
                <w:noProof/>
                <w:sz w:val="20"/>
                <w:szCs w:val="20"/>
              </w:rPr>
              <w:t>&gt; 3430</w:t>
            </w:r>
          </w:p>
        </w:tc>
        <w:tc>
          <w:tcPr>
            <w:tcW w:w="402" w:type="pct"/>
            <w:tcBorders>
              <w:top w:val="nil"/>
              <w:left w:val="single" w:sz="4" w:space="0" w:color="auto"/>
              <w:bottom w:val="single" w:sz="4" w:space="0" w:color="auto"/>
              <w:right w:val="single" w:sz="4" w:space="0" w:color="auto"/>
            </w:tcBorders>
          </w:tcPr>
          <w:p w14:paraId="6C306F80" w14:textId="77777777" w:rsidR="00526FEC" w:rsidRPr="00444D21" w:rsidRDefault="00526FEC" w:rsidP="00526FEC">
            <w:pPr>
              <w:keepNext/>
              <w:keepLines/>
              <w:widowControl w:val="0"/>
              <w:suppressAutoHyphens/>
              <w:jc w:val="center"/>
              <w:rPr>
                <w:b/>
                <w:strike/>
                <w:noProof/>
                <w:color w:val="D9D9D9" w:themeColor="background1" w:themeShade="D9"/>
                <w:sz w:val="20"/>
                <w:szCs w:val="20"/>
              </w:rPr>
            </w:pPr>
            <w:r w:rsidRPr="00444D21">
              <w:rPr>
                <w:strike/>
                <w:noProof/>
                <w:color w:val="D9D9D9" w:themeColor="background1" w:themeShade="D9"/>
                <w:sz w:val="20"/>
                <w:lang w:val="de-DE" w:eastAsia="zh-CN"/>
              </w:rPr>
              <w:t>148</w:t>
            </w:r>
          </w:p>
        </w:tc>
        <w:tc>
          <w:tcPr>
            <w:tcW w:w="403" w:type="pct"/>
            <w:tcBorders>
              <w:top w:val="nil"/>
              <w:left w:val="single" w:sz="4" w:space="0" w:color="auto"/>
              <w:bottom w:val="single" w:sz="4" w:space="0" w:color="auto"/>
              <w:right w:val="single" w:sz="4" w:space="0" w:color="auto"/>
            </w:tcBorders>
            <w:vAlign w:val="center"/>
            <w:hideMark/>
          </w:tcPr>
          <w:p w14:paraId="19326CBA" w14:textId="77777777" w:rsidR="00526FEC" w:rsidRPr="00227BE0" w:rsidRDefault="00526FEC" w:rsidP="00526FEC">
            <w:pPr>
              <w:keepNext/>
              <w:keepLines/>
              <w:widowControl w:val="0"/>
              <w:suppressAutoHyphens/>
              <w:rPr>
                <w:noProof/>
                <w:sz w:val="20"/>
                <w:szCs w:val="20"/>
              </w:rPr>
            </w:pPr>
            <w:r w:rsidRPr="00227BE0">
              <w:rPr>
                <w:b/>
                <w:noProof/>
                <w:sz w:val="20"/>
                <w:szCs w:val="20"/>
              </w:rPr>
              <w:t>(µg/kg)</w:t>
            </w:r>
          </w:p>
        </w:tc>
        <w:tc>
          <w:tcPr>
            <w:tcW w:w="345" w:type="pct"/>
            <w:tcBorders>
              <w:top w:val="nil"/>
              <w:left w:val="single" w:sz="4" w:space="0" w:color="auto"/>
              <w:bottom w:val="single" w:sz="4" w:space="0" w:color="auto"/>
              <w:right w:val="single" w:sz="4" w:space="0" w:color="auto"/>
            </w:tcBorders>
            <w:hideMark/>
          </w:tcPr>
          <w:p w14:paraId="3E81CC59" w14:textId="77777777" w:rsidR="00526FEC" w:rsidRPr="00227BE0" w:rsidRDefault="00526FEC" w:rsidP="00526FEC">
            <w:pPr>
              <w:widowControl w:val="0"/>
              <w:suppressAutoHyphens/>
              <w:jc w:val="center"/>
              <w:rPr>
                <w:noProof/>
                <w:sz w:val="20"/>
                <w:szCs w:val="20"/>
              </w:rPr>
            </w:pPr>
            <w:r w:rsidRPr="00227BE0">
              <w:rPr>
                <w:noProof/>
                <w:sz w:val="20"/>
                <w:szCs w:val="20"/>
              </w:rPr>
              <w:t>75900</w:t>
            </w:r>
          </w:p>
        </w:tc>
      </w:tr>
      <w:tr w:rsidR="00526FEC" w:rsidRPr="00227BE0" w14:paraId="15ECE0DA" w14:textId="77777777" w:rsidTr="00526FEC">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73A9153B" w14:textId="77777777" w:rsidR="00526FEC" w:rsidRPr="00227BE0" w:rsidRDefault="00526FEC" w:rsidP="00526FEC">
            <w:pPr>
              <w:widowControl w:val="0"/>
              <w:suppressAutoHyphens/>
              <w:rPr>
                <w:b/>
                <w:bCs/>
                <w:sz w:val="20"/>
                <w:szCs w:val="20"/>
              </w:rPr>
            </w:pPr>
            <w:r w:rsidRPr="00227BE0">
              <w:rPr>
                <w:b/>
                <w:bCs/>
                <w:sz w:val="20"/>
                <w:szCs w:val="20"/>
              </w:rPr>
              <w:t>AF</w:t>
            </w:r>
          </w:p>
        </w:tc>
        <w:tc>
          <w:tcPr>
            <w:tcW w:w="275" w:type="pct"/>
            <w:tcBorders>
              <w:top w:val="nil"/>
              <w:left w:val="single" w:sz="4" w:space="0" w:color="auto"/>
              <w:bottom w:val="nil"/>
              <w:right w:val="single" w:sz="4" w:space="0" w:color="auto"/>
            </w:tcBorders>
            <w:vAlign w:val="center"/>
          </w:tcPr>
          <w:p w14:paraId="38A05F89" w14:textId="77777777" w:rsidR="00526FEC" w:rsidRPr="00227BE0" w:rsidRDefault="00526FEC" w:rsidP="00526FEC">
            <w:pPr>
              <w:keepNext/>
              <w:keepLines/>
              <w:widowControl w:val="0"/>
              <w:suppressAutoHyphens/>
              <w:rPr>
                <w:noProof/>
                <w:sz w:val="20"/>
                <w:szCs w:val="20"/>
              </w:rPr>
            </w:pPr>
          </w:p>
        </w:tc>
        <w:tc>
          <w:tcPr>
            <w:tcW w:w="284" w:type="pct"/>
            <w:tcBorders>
              <w:top w:val="single" w:sz="4" w:space="0" w:color="auto"/>
              <w:left w:val="single" w:sz="4" w:space="0" w:color="auto"/>
              <w:bottom w:val="single" w:sz="4" w:space="0" w:color="auto"/>
              <w:right w:val="single" w:sz="4" w:space="0" w:color="auto"/>
            </w:tcBorders>
            <w:vAlign w:val="center"/>
            <w:hideMark/>
          </w:tcPr>
          <w:p w14:paraId="7B7DE235" w14:textId="77777777" w:rsidR="00526FEC" w:rsidRPr="00227BE0" w:rsidRDefault="00526FEC" w:rsidP="00526FEC">
            <w:pPr>
              <w:widowControl w:val="0"/>
              <w:suppressAutoHyphens/>
              <w:jc w:val="center"/>
              <w:rPr>
                <w:noProof/>
                <w:sz w:val="20"/>
                <w:szCs w:val="20"/>
              </w:rPr>
            </w:pPr>
            <w:r w:rsidRPr="00227BE0">
              <w:rPr>
                <w:noProof/>
                <w:sz w:val="20"/>
                <w:szCs w:val="20"/>
              </w:rPr>
              <w:t>100</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3ED8AB" w14:textId="7ED71316" w:rsidR="00526FEC" w:rsidRPr="00227BE0" w:rsidRDefault="00526FEC" w:rsidP="00526FEC">
            <w:pPr>
              <w:widowControl w:val="0"/>
              <w:suppressAutoHyphens/>
              <w:jc w:val="center"/>
              <w:rPr>
                <w:noProof/>
                <w:sz w:val="20"/>
                <w:szCs w:val="20"/>
              </w:rPr>
            </w:pPr>
            <w:r w:rsidRPr="00227BE0">
              <w:rPr>
                <w:noProof/>
                <w:sz w:val="20"/>
                <w:szCs w:val="20"/>
              </w:rPr>
              <w:t>10</w:t>
            </w:r>
          </w:p>
        </w:tc>
        <w:tc>
          <w:tcPr>
            <w:tcW w:w="337" w:type="pct"/>
            <w:tcBorders>
              <w:top w:val="single" w:sz="4" w:space="0" w:color="auto"/>
              <w:left w:val="single" w:sz="4" w:space="0" w:color="auto"/>
              <w:bottom w:val="single" w:sz="4" w:space="0" w:color="auto"/>
              <w:right w:val="single" w:sz="4" w:space="0" w:color="auto"/>
            </w:tcBorders>
            <w:vAlign w:val="center"/>
            <w:hideMark/>
          </w:tcPr>
          <w:p w14:paraId="275C0A7C" w14:textId="2231C427" w:rsidR="00526FEC" w:rsidRPr="00526FEC" w:rsidRDefault="00526FEC" w:rsidP="00526FEC">
            <w:pPr>
              <w:widowControl w:val="0"/>
              <w:suppressAutoHyphens/>
              <w:jc w:val="center"/>
              <w:rPr>
                <w:strike/>
                <w:noProof/>
                <w:color w:val="D9D9D9" w:themeColor="background1" w:themeShade="D9"/>
                <w:sz w:val="20"/>
                <w:szCs w:val="20"/>
              </w:rPr>
            </w:pPr>
            <w:r w:rsidRPr="00526FEC">
              <w:rPr>
                <w:strike/>
                <w:noProof/>
                <w:color w:val="D9D9D9" w:themeColor="background1" w:themeShade="D9"/>
                <w:sz w:val="20"/>
                <w:szCs w:val="20"/>
              </w:rPr>
              <w:t>10</w:t>
            </w:r>
          </w:p>
        </w:tc>
        <w:tc>
          <w:tcPr>
            <w:tcW w:w="321" w:type="pct"/>
            <w:tcBorders>
              <w:top w:val="single" w:sz="4" w:space="0" w:color="auto"/>
              <w:left w:val="single" w:sz="4" w:space="0" w:color="auto"/>
              <w:bottom w:val="single" w:sz="4" w:space="0" w:color="auto"/>
              <w:right w:val="single" w:sz="4" w:space="0" w:color="auto"/>
            </w:tcBorders>
            <w:vAlign w:val="center"/>
            <w:hideMark/>
          </w:tcPr>
          <w:p w14:paraId="110AFB03" w14:textId="77777777" w:rsidR="00526FEC" w:rsidRPr="00526FEC" w:rsidRDefault="00526FEC" w:rsidP="00526FEC">
            <w:pPr>
              <w:widowControl w:val="0"/>
              <w:suppressAutoHyphens/>
              <w:jc w:val="center"/>
              <w:rPr>
                <w:strike/>
                <w:noProof/>
                <w:color w:val="D9D9D9" w:themeColor="background1" w:themeShade="D9"/>
                <w:sz w:val="20"/>
                <w:szCs w:val="20"/>
              </w:rPr>
            </w:pPr>
            <w:r w:rsidRPr="00526FEC">
              <w:rPr>
                <w:strike/>
                <w:noProof/>
                <w:color w:val="D9D9D9" w:themeColor="background1" w:themeShade="D9"/>
                <w:sz w:val="20"/>
                <w:szCs w:val="20"/>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14:paraId="6D4C4BE6" w14:textId="77777777" w:rsidR="00526FEC" w:rsidRPr="00526FEC" w:rsidRDefault="00526FEC" w:rsidP="00526FEC">
            <w:pPr>
              <w:widowControl w:val="0"/>
              <w:suppressAutoHyphens/>
              <w:jc w:val="center"/>
              <w:rPr>
                <w:strike/>
                <w:noProof/>
                <w:color w:val="D9D9D9" w:themeColor="background1" w:themeShade="D9"/>
                <w:sz w:val="20"/>
                <w:szCs w:val="20"/>
              </w:rPr>
            </w:pPr>
            <w:r w:rsidRPr="00526FEC">
              <w:rPr>
                <w:strike/>
                <w:noProof/>
                <w:color w:val="D9D9D9" w:themeColor="background1" w:themeShade="D9"/>
                <w:sz w:val="20"/>
                <w:szCs w:val="20"/>
              </w:rPr>
              <w:t>100</w:t>
            </w:r>
          </w:p>
        </w:tc>
        <w:tc>
          <w:tcPr>
            <w:tcW w:w="402" w:type="pct"/>
            <w:tcBorders>
              <w:top w:val="single" w:sz="4" w:space="0" w:color="auto"/>
              <w:left w:val="single" w:sz="4" w:space="0" w:color="auto"/>
              <w:bottom w:val="single" w:sz="4" w:space="0" w:color="auto"/>
              <w:right w:val="single" w:sz="4" w:space="0" w:color="auto"/>
            </w:tcBorders>
            <w:vAlign w:val="center"/>
            <w:hideMark/>
          </w:tcPr>
          <w:p w14:paraId="23089E08" w14:textId="77777777" w:rsidR="00526FEC" w:rsidRPr="00227BE0" w:rsidRDefault="00526FEC" w:rsidP="00526FEC">
            <w:pPr>
              <w:widowControl w:val="0"/>
              <w:suppressAutoHyphens/>
              <w:jc w:val="center"/>
              <w:rPr>
                <w:noProof/>
                <w:sz w:val="20"/>
                <w:szCs w:val="20"/>
              </w:rPr>
            </w:pPr>
            <w:r w:rsidRPr="00227BE0">
              <w:rPr>
                <w:noProof/>
                <w:sz w:val="20"/>
                <w:szCs w:val="20"/>
                <w:lang w:val="en-GB" w:eastAsia="en-US"/>
              </w:rPr>
              <w:t>100</w:t>
            </w:r>
          </w:p>
        </w:tc>
        <w:tc>
          <w:tcPr>
            <w:tcW w:w="337" w:type="pct"/>
            <w:tcBorders>
              <w:top w:val="single" w:sz="4" w:space="0" w:color="auto"/>
              <w:left w:val="single" w:sz="4" w:space="0" w:color="auto"/>
              <w:bottom w:val="single" w:sz="4" w:space="0" w:color="auto"/>
              <w:right w:val="single" w:sz="4" w:space="0" w:color="auto"/>
            </w:tcBorders>
            <w:vAlign w:val="center"/>
            <w:hideMark/>
          </w:tcPr>
          <w:p w14:paraId="1CA36CE7" w14:textId="77777777" w:rsidR="00526FEC" w:rsidRPr="00227BE0" w:rsidRDefault="00526FEC" w:rsidP="00526FEC">
            <w:pPr>
              <w:widowControl w:val="0"/>
              <w:suppressAutoHyphens/>
              <w:jc w:val="center"/>
              <w:rPr>
                <w:noProof/>
                <w:sz w:val="20"/>
                <w:szCs w:val="20"/>
              </w:rPr>
            </w:pPr>
            <w:r w:rsidRPr="00227BE0">
              <w:rPr>
                <w:noProof/>
                <w:sz w:val="20"/>
                <w:szCs w:val="20"/>
              </w:rPr>
              <w:t>10</w:t>
            </w:r>
          </w:p>
        </w:tc>
        <w:tc>
          <w:tcPr>
            <w:tcW w:w="402" w:type="pct"/>
            <w:tcBorders>
              <w:top w:val="single" w:sz="4" w:space="0" w:color="auto"/>
              <w:left w:val="single" w:sz="4" w:space="0" w:color="auto"/>
              <w:bottom w:val="single" w:sz="4" w:space="0" w:color="auto"/>
              <w:right w:val="single" w:sz="4" w:space="0" w:color="auto"/>
            </w:tcBorders>
            <w:vAlign w:val="center"/>
            <w:hideMark/>
          </w:tcPr>
          <w:p w14:paraId="4495A525" w14:textId="77777777" w:rsidR="00526FEC" w:rsidRPr="00227BE0" w:rsidRDefault="00526FEC" w:rsidP="00526FEC">
            <w:pPr>
              <w:widowControl w:val="0"/>
              <w:suppressAutoHyphens/>
              <w:jc w:val="center"/>
              <w:rPr>
                <w:noProof/>
                <w:sz w:val="20"/>
                <w:szCs w:val="20"/>
              </w:rPr>
            </w:pPr>
            <w:r w:rsidRPr="00227BE0">
              <w:rPr>
                <w:noProof/>
                <w:sz w:val="20"/>
                <w:szCs w:val="20"/>
              </w:rPr>
              <w:t>10</w:t>
            </w:r>
          </w:p>
        </w:tc>
        <w:tc>
          <w:tcPr>
            <w:tcW w:w="325" w:type="pct"/>
            <w:tcBorders>
              <w:top w:val="single" w:sz="4" w:space="0" w:color="auto"/>
              <w:left w:val="single" w:sz="4" w:space="0" w:color="auto"/>
              <w:bottom w:val="single" w:sz="4" w:space="0" w:color="auto"/>
              <w:right w:val="single" w:sz="4" w:space="0" w:color="auto"/>
            </w:tcBorders>
            <w:vAlign w:val="center"/>
            <w:hideMark/>
          </w:tcPr>
          <w:p w14:paraId="3BED645E" w14:textId="77777777" w:rsidR="00526FEC" w:rsidRPr="00227BE0" w:rsidRDefault="00526FEC" w:rsidP="00526FEC">
            <w:pPr>
              <w:widowControl w:val="0"/>
              <w:suppressAutoHyphens/>
              <w:jc w:val="center"/>
              <w:rPr>
                <w:noProof/>
                <w:sz w:val="20"/>
                <w:szCs w:val="20"/>
              </w:rPr>
            </w:pPr>
            <w:r w:rsidRPr="00227BE0">
              <w:rPr>
                <w:noProof/>
                <w:sz w:val="20"/>
                <w:szCs w:val="20"/>
              </w:rPr>
              <w:t>10</w:t>
            </w:r>
          </w:p>
        </w:tc>
        <w:tc>
          <w:tcPr>
            <w:tcW w:w="402" w:type="pct"/>
            <w:tcBorders>
              <w:top w:val="single" w:sz="4" w:space="0" w:color="auto"/>
              <w:left w:val="single" w:sz="4" w:space="0" w:color="auto"/>
              <w:bottom w:val="single" w:sz="4" w:space="0" w:color="auto"/>
              <w:right w:val="single" w:sz="4" w:space="0" w:color="auto"/>
            </w:tcBorders>
            <w:vAlign w:val="center"/>
          </w:tcPr>
          <w:p w14:paraId="1D304184" w14:textId="77777777" w:rsidR="00526FEC" w:rsidRPr="00444D21" w:rsidRDefault="00526FEC" w:rsidP="00526FEC">
            <w:pPr>
              <w:keepNext/>
              <w:keepLines/>
              <w:widowControl w:val="0"/>
              <w:suppressAutoHyphens/>
              <w:jc w:val="center"/>
              <w:rPr>
                <w:b/>
                <w:strike/>
                <w:noProof/>
                <w:color w:val="D9D9D9" w:themeColor="background1" w:themeShade="D9"/>
                <w:sz w:val="20"/>
                <w:szCs w:val="20"/>
              </w:rPr>
            </w:pPr>
            <w:r w:rsidRPr="00444D21">
              <w:rPr>
                <w:strike/>
                <w:noProof/>
                <w:color w:val="D9D9D9" w:themeColor="background1" w:themeShade="D9"/>
                <w:sz w:val="20"/>
                <w:lang w:val="de-DE" w:eastAsia="zh-CN"/>
              </w:rPr>
              <w:t>3</w:t>
            </w:r>
          </w:p>
        </w:tc>
        <w:tc>
          <w:tcPr>
            <w:tcW w:w="403" w:type="pct"/>
            <w:tcBorders>
              <w:top w:val="single" w:sz="4" w:space="0" w:color="auto"/>
              <w:left w:val="single" w:sz="4" w:space="0" w:color="auto"/>
              <w:bottom w:val="single" w:sz="4" w:space="0" w:color="auto"/>
              <w:right w:val="single" w:sz="4" w:space="0" w:color="auto"/>
            </w:tcBorders>
            <w:vAlign w:val="center"/>
            <w:hideMark/>
          </w:tcPr>
          <w:p w14:paraId="5F4E36D9" w14:textId="77777777" w:rsidR="00526FEC" w:rsidRPr="00227BE0" w:rsidRDefault="00526FEC" w:rsidP="00526FEC">
            <w:pPr>
              <w:keepNext/>
              <w:keepLines/>
              <w:widowControl w:val="0"/>
              <w:suppressAutoHyphens/>
              <w:rPr>
                <w:noProof/>
                <w:sz w:val="20"/>
                <w:szCs w:val="20"/>
              </w:rPr>
            </w:pPr>
            <w:r w:rsidRPr="00227BE0">
              <w:rPr>
                <w:b/>
                <w:noProof/>
                <w:sz w:val="20"/>
                <w:szCs w:val="20"/>
              </w:rPr>
              <w:t>AF</w:t>
            </w:r>
          </w:p>
        </w:tc>
        <w:tc>
          <w:tcPr>
            <w:tcW w:w="345" w:type="pct"/>
            <w:tcBorders>
              <w:top w:val="single" w:sz="4" w:space="0" w:color="auto"/>
              <w:left w:val="single" w:sz="4" w:space="0" w:color="auto"/>
              <w:bottom w:val="single" w:sz="4" w:space="0" w:color="auto"/>
              <w:right w:val="single" w:sz="4" w:space="0" w:color="auto"/>
            </w:tcBorders>
            <w:hideMark/>
          </w:tcPr>
          <w:p w14:paraId="569B1120" w14:textId="77777777" w:rsidR="00526FEC" w:rsidRPr="00227BE0" w:rsidRDefault="00526FEC" w:rsidP="00526FEC">
            <w:pPr>
              <w:widowControl w:val="0"/>
              <w:suppressAutoHyphens/>
              <w:jc w:val="center"/>
              <w:rPr>
                <w:noProof/>
                <w:sz w:val="20"/>
                <w:szCs w:val="20"/>
              </w:rPr>
            </w:pPr>
            <w:r w:rsidRPr="00227BE0">
              <w:rPr>
                <w:noProof/>
                <w:sz w:val="20"/>
                <w:szCs w:val="20"/>
              </w:rPr>
              <w:t>10</w:t>
            </w:r>
          </w:p>
        </w:tc>
      </w:tr>
      <w:tr w:rsidR="00526FEC" w:rsidRPr="00227BE0" w14:paraId="3BB1A74B" w14:textId="77777777" w:rsidTr="00526FEC">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3B7AD813" w14:textId="77777777" w:rsidR="00526FEC" w:rsidRPr="00227BE0" w:rsidRDefault="00526FEC" w:rsidP="00526FEC">
            <w:pPr>
              <w:widowControl w:val="0"/>
              <w:suppressAutoHyphens/>
              <w:rPr>
                <w:b/>
                <w:bCs/>
                <w:sz w:val="20"/>
                <w:szCs w:val="20"/>
              </w:rPr>
            </w:pPr>
            <w:r w:rsidRPr="00227BE0">
              <w:rPr>
                <w:b/>
                <w:bCs/>
                <w:sz w:val="20"/>
                <w:szCs w:val="20"/>
              </w:rPr>
              <w:t>RAC (µg/L)</w:t>
            </w:r>
          </w:p>
        </w:tc>
        <w:tc>
          <w:tcPr>
            <w:tcW w:w="275" w:type="pct"/>
            <w:tcBorders>
              <w:top w:val="nil"/>
              <w:left w:val="single" w:sz="4" w:space="0" w:color="auto"/>
              <w:bottom w:val="single" w:sz="4" w:space="0" w:color="auto"/>
              <w:right w:val="single" w:sz="4" w:space="0" w:color="auto"/>
            </w:tcBorders>
            <w:vAlign w:val="center"/>
          </w:tcPr>
          <w:p w14:paraId="72C01250" w14:textId="77777777" w:rsidR="00526FEC" w:rsidRPr="00227BE0" w:rsidRDefault="00526FEC" w:rsidP="00526FEC">
            <w:pPr>
              <w:keepNext/>
              <w:keepLines/>
              <w:widowControl w:val="0"/>
              <w:suppressAutoHyphens/>
              <w:rPr>
                <w:noProof/>
                <w:sz w:val="20"/>
                <w:szCs w:val="20"/>
              </w:rPr>
            </w:pPr>
          </w:p>
        </w:tc>
        <w:tc>
          <w:tcPr>
            <w:tcW w:w="284" w:type="pct"/>
            <w:tcBorders>
              <w:top w:val="single" w:sz="4" w:space="0" w:color="auto"/>
              <w:left w:val="single" w:sz="4" w:space="0" w:color="auto"/>
              <w:bottom w:val="single" w:sz="4" w:space="0" w:color="auto"/>
              <w:right w:val="single" w:sz="4" w:space="0" w:color="auto"/>
            </w:tcBorders>
            <w:vAlign w:val="center"/>
            <w:hideMark/>
          </w:tcPr>
          <w:p w14:paraId="4D8B76DB" w14:textId="77777777" w:rsidR="00526FEC" w:rsidRPr="00227BE0" w:rsidRDefault="00526FEC" w:rsidP="00526FEC">
            <w:pPr>
              <w:widowControl w:val="0"/>
              <w:suppressAutoHyphens/>
              <w:jc w:val="center"/>
              <w:rPr>
                <w:noProof/>
                <w:sz w:val="20"/>
                <w:szCs w:val="20"/>
              </w:rPr>
            </w:pPr>
            <w:r w:rsidRPr="00227BE0">
              <w:rPr>
                <w:noProof/>
                <w:sz w:val="20"/>
                <w:szCs w:val="20"/>
              </w:rPr>
              <w:t>2.9</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A324A7" w14:textId="143290CA" w:rsidR="00526FEC" w:rsidRPr="00227BE0" w:rsidRDefault="00526FEC" w:rsidP="00526FEC">
            <w:pPr>
              <w:widowControl w:val="0"/>
              <w:suppressAutoHyphens/>
              <w:jc w:val="center"/>
              <w:rPr>
                <w:noProof/>
                <w:sz w:val="20"/>
                <w:szCs w:val="20"/>
              </w:rPr>
            </w:pPr>
            <w:r>
              <w:rPr>
                <w:noProof/>
                <w:sz w:val="20"/>
                <w:szCs w:val="20"/>
              </w:rPr>
              <w:t>3.59</w:t>
            </w:r>
          </w:p>
        </w:tc>
        <w:tc>
          <w:tcPr>
            <w:tcW w:w="337" w:type="pct"/>
            <w:tcBorders>
              <w:top w:val="single" w:sz="4" w:space="0" w:color="auto"/>
              <w:left w:val="single" w:sz="4" w:space="0" w:color="auto"/>
              <w:bottom w:val="single" w:sz="4" w:space="0" w:color="auto"/>
              <w:right w:val="single" w:sz="4" w:space="0" w:color="auto"/>
            </w:tcBorders>
            <w:vAlign w:val="center"/>
            <w:hideMark/>
          </w:tcPr>
          <w:p w14:paraId="7A5B89B2" w14:textId="6DAF858B" w:rsidR="00526FEC" w:rsidRPr="00526FEC" w:rsidRDefault="00526FEC" w:rsidP="00526FEC">
            <w:pPr>
              <w:widowControl w:val="0"/>
              <w:suppressAutoHyphens/>
              <w:jc w:val="center"/>
              <w:rPr>
                <w:strike/>
                <w:noProof/>
                <w:color w:val="D9D9D9" w:themeColor="background1" w:themeShade="D9"/>
                <w:sz w:val="20"/>
                <w:szCs w:val="20"/>
              </w:rPr>
            </w:pPr>
            <w:r w:rsidRPr="00526FEC">
              <w:rPr>
                <w:strike/>
                <w:noProof/>
                <w:color w:val="D9D9D9" w:themeColor="background1" w:themeShade="D9"/>
                <w:sz w:val="20"/>
                <w:szCs w:val="20"/>
              </w:rPr>
              <w:t>6.76</w:t>
            </w:r>
          </w:p>
        </w:tc>
        <w:tc>
          <w:tcPr>
            <w:tcW w:w="321" w:type="pct"/>
            <w:tcBorders>
              <w:top w:val="single" w:sz="4" w:space="0" w:color="auto"/>
              <w:left w:val="single" w:sz="4" w:space="0" w:color="auto"/>
              <w:bottom w:val="single" w:sz="4" w:space="0" w:color="auto"/>
              <w:right w:val="single" w:sz="4" w:space="0" w:color="auto"/>
            </w:tcBorders>
            <w:vAlign w:val="center"/>
            <w:hideMark/>
          </w:tcPr>
          <w:p w14:paraId="24BE5F36" w14:textId="77777777" w:rsidR="00526FEC" w:rsidRPr="00526FEC" w:rsidRDefault="00526FEC" w:rsidP="00526FEC">
            <w:pPr>
              <w:widowControl w:val="0"/>
              <w:suppressAutoHyphens/>
              <w:jc w:val="center"/>
              <w:rPr>
                <w:strike/>
                <w:noProof/>
                <w:color w:val="D9D9D9" w:themeColor="background1" w:themeShade="D9"/>
                <w:sz w:val="20"/>
                <w:szCs w:val="20"/>
              </w:rPr>
            </w:pPr>
            <w:r w:rsidRPr="00526FEC">
              <w:rPr>
                <w:strike/>
                <w:noProof/>
                <w:color w:val="D9D9D9" w:themeColor="background1" w:themeShade="D9"/>
                <w:sz w:val="20"/>
                <w:szCs w:val="20"/>
              </w:rPr>
              <w:t>67.8</w:t>
            </w:r>
          </w:p>
        </w:tc>
        <w:tc>
          <w:tcPr>
            <w:tcW w:w="383" w:type="pct"/>
            <w:tcBorders>
              <w:top w:val="single" w:sz="4" w:space="0" w:color="auto"/>
              <w:left w:val="single" w:sz="4" w:space="0" w:color="auto"/>
              <w:bottom w:val="single" w:sz="4" w:space="0" w:color="auto"/>
              <w:right w:val="single" w:sz="4" w:space="0" w:color="auto"/>
            </w:tcBorders>
            <w:vAlign w:val="center"/>
            <w:hideMark/>
          </w:tcPr>
          <w:p w14:paraId="365763AC" w14:textId="77777777" w:rsidR="00526FEC" w:rsidRPr="00526FEC" w:rsidRDefault="00526FEC" w:rsidP="00526FEC">
            <w:pPr>
              <w:widowControl w:val="0"/>
              <w:suppressAutoHyphens/>
              <w:jc w:val="center"/>
              <w:rPr>
                <w:strike/>
                <w:noProof/>
                <w:color w:val="D9D9D9" w:themeColor="background1" w:themeShade="D9"/>
                <w:sz w:val="20"/>
                <w:szCs w:val="20"/>
              </w:rPr>
            </w:pPr>
            <w:r w:rsidRPr="00526FEC">
              <w:rPr>
                <w:strike/>
                <w:noProof/>
                <w:color w:val="D9D9D9" w:themeColor="background1" w:themeShade="D9"/>
                <w:sz w:val="20"/>
                <w:szCs w:val="20"/>
              </w:rPr>
              <w:t>61</w:t>
            </w:r>
          </w:p>
        </w:tc>
        <w:tc>
          <w:tcPr>
            <w:tcW w:w="402" w:type="pct"/>
            <w:tcBorders>
              <w:top w:val="single" w:sz="4" w:space="0" w:color="auto"/>
              <w:left w:val="single" w:sz="4" w:space="0" w:color="auto"/>
              <w:bottom w:val="single" w:sz="4" w:space="0" w:color="auto"/>
              <w:right w:val="single" w:sz="4" w:space="0" w:color="auto"/>
            </w:tcBorders>
            <w:vAlign w:val="center"/>
            <w:hideMark/>
          </w:tcPr>
          <w:p w14:paraId="51979B25" w14:textId="25A256A4" w:rsidR="00526FEC" w:rsidRPr="00227BE0" w:rsidRDefault="00444D21" w:rsidP="00526FEC">
            <w:pPr>
              <w:widowControl w:val="0"/>
              <w:suppressAutoHyphens/>
              <w:jc w:val="center"/>
              <w:rPr>
                <w:noProof/>
                <w:sz w:val="20"/>
                <w:szCs w:val="20"/>
              </w:rPr>
            </w:pPr>
            <w:r w:rsidRPr="00B25830">
              <w:rPr>
                <w:strike/>
                <w:color w:val="D9D9D9" w:themeColor="background1" w:themeShade="D9"/>
                <w:sz w:val="20"/>
                <w:lang w:val="en-GB"/>
              </w:rPr>
              <w:t>&gt; 22</w:t>
            </w:r>
            <w:r w:rsidRPr="00B25830">
              <w:rPr>
                <w:color w:val="D9D9D9" w:themeColor="background1" w:themeShade="D9"/>
                <w:sz w:val="20"/>
                <w:lang w:val="en-GB"/>
              </w:rPr>
              <w:t xml:space="preserve"> </w:t>
            </w:r>
            <w:r w:rsidRPr="00B25830">
              <w:rPr>
                <w:sz w:val="20"/>
                <w:shd w:val="clear" w:color="auto" w:fill="D9D9D9" w:themeFill="background1" w:themeFillShade="D9"/>
                <w:lang w:val="en-GB"/>
              </w:rPr>
              <w:t>11</w:t>
            </w:r>
          </w:p>
        </w:tc>
        <w:tc>
          <w:tcPr>
            <w:tcW w:w="337" w:type="pct"/>
            <w:tcBorders>
              <w:top w:val="single" w:sz="4" w:space="0" w:color="auto"/>
              <w:left w:val="single" w:sz="4" w:space="0" w:color="auto"/>
              <w:bottom w:val="single" w:sz="4" w:space="0" w:color="auto"/>
              <w:right w:val="single" w:sz="4" w:space="0" w:color="auto"/>
            </w:tcBorders>
            <w:vAlign w:val="center"/>
            <w:hideMark/>
          </w:tcPr>
          <w:p w14:paraId="4027B63B" w14:textId="77777777" w:rsidR="00526FEC" w:rsidRPr="00227BE0" w:rsidRDefault="00526FEC" w:rsidP="00526FEC">
            <w:pPr>
              <w:widowControl w:val="0"/>
              <w:suppressAutoHyphens/>
              <w:jc w:val="center"/>
              <w:rPr>
                <w:noProof/>
                <w:sz w:val="20"/>
                <w:szCs w:val="20"/>
              </w:rPr>
            </w:pPr>
            <w:r w:rsidRPr="00227BE0">
              <w:rPr>
                <w:noProof/>
                <w:sz w:val="20"/>
                <w:szCs w:val="20"/>
              </w:rPr>
              <w:t>50</w:t>
            </w:r>
          </w:p>
        </w:tc>
        <w:tc>
          <w:tcPr>
            <w:tcW w:w="402" w:type="pct"/>
            <w:tcBorders>
              <w:top w:val="single" w:sz="4" w:space="0" w:color="auto"/>
              <w:left w:val="single" w:sz="4" w:space="0" w:color="auto"/>
              <w:bottom w:val="single" w:sz="4" w:space="0" w:color="auto"/>
              <w:right w:val="single" w:sz="4" w:space="0" w:color="auto"/>
            </w:tcBorders>
            <w:vAlign w:val="center"/>
            <w:hideMark/>
          </w:tcPr>
          <w:p w14:paraId="4E86BC77" w14:textId="77777777" w:rsidR="00526FEC" w:rsidRPr="00227BE0" w:rsidRDefault="00526FEC" w:rsidP="00526FEC">
            <w:pPr>
              <w:widowControl w:val="0"/>
              <w:suppressAutoHyphens/>
              <w:jc w:val="center"/>
              <w:rPr>
                <w:noProof/>
                <w:sz w:val="20"/>
                <w:szCs w:val="20"/>
              </w:rPr>
            </w:pPr>
            <w:r w:rsidRPr="00227BE0">
              <w:rPr>
                <w:noProof/>
                <w:sz w:val="20"/>
                <w:szCs w:val="20"/>
              </w:rPr>
              <w:t>70</w:t>
            </w:r>
          </w:p>
        </w:tc>
        <w:tc>
          <w:tcPr>
            <w:tcW w:w="325" w:type="pct"/>
            <w:tcBorders>
              <w:top w:val="single" w:sz="4" w:space="0" w:color="auto"/>
              <w:left w:val="single" w:sz="4" w:space="0" w:color="auto"/>
              <w:bottom w:val="single" w:sz="4" w:space="0" w:color="auto"/>
              <w:right w:val="single" w:sz="4" w:space="0" w:color="auto"/>
            </w:tcBorders>
            <w:vAlign w:val="center"/>
            <w:hideMark/>
          </w:tcPr>
          <w:p w14:paraId="21F90291" w14:textId="77777777" w:rsidR="00526FEC" w:rsidRPr="00227BE0" w:rsidRDefault="00526FEC" w:rsidP="00526FEC">
            <w:pPr>
              <w:widowControl w:val="0"/>
              <w:suppressAutoHyphens/>
              <w:jc w:val="center"/>
              <w:rPr>
                <w:noProof/>
                <w:sz w:val="20"/>
                <w:szCs w:val="20"/>
              </w:rPr>
            </w:pPr>
            <w:r w:rsidRPr="00227BE0">
              <w:rPr>
                <w:noProof/>
                <w:sz w:val="20"/>
                <w:szCs w:val="20"/>
              </w:rPr>
              <w:t>&gt; 343</w:t>
            </w:r>
          </w:p>
        </w:tc>
        <w:tc>
          <w:tcPr>
            <w:tcW w:w="402" w:type="pct"/>
            <w:tcBorders>
              <w:top w:val="single" w:sz="4" w:space="0" w:color="auto"/>
              <w:left w:val="single" w:sz="4" w:space="0" w:color="auto"/>
              <w:bottom w:val="single" w:sz="4" w:space="0" w:color="auto"/>
              <w:right w:val="single" w:sz="4" w:space="0" w:color="auto"/>
            </w:tcBorders>
            <w:vAlign w:val="center"/>
          </w:tcPr>
          <w:p w14:paraId="68E42647" w14:textId="77777777" w:rsidR="00526FEC" w:rsidRPr="00444D21" w:rsidRDefault="00526FEC" w:rsidP="00526FEC">
            <w:pPr>
              <w:keepNext/>
              <w:keepLines/>
              <w:widowControl w:val="0"/>
              <w:suppressAutoHyphens/>
              <w:jc w:val="center"/>
              <w:rPr>
                <w:b/>
                <w:strike/>
                <w:noProof/>
                <w:color w:val="D9D9D9" w:themeColor="background1" w:themeShade="D9"/>
                <w:sz w:val="20"/>
                <w:szCs w:val="20"/>
              </w:rPr>
            </w:pPr>
            <w:r w:rsidRPr="00444D21">
              <w:rPr>
                <w:strike/>
                <w:noProof/>
                <w:color w:val="D9D9D9" w:themeColor="background1" w:themeShade="D9"/>
                <w:sz w:val="20"/>
                <w:lang w:val="de-DE" w:eastAsia="zh-CN"/>
              </w:rPr>
              <w:t>49.33</w:t>
            </w:r>
          </w:p>
        </w:tc>
        <w:tc>
          <w:tcPr>
            <w:tcW w:w="403" w:type="pct"/>
            <w:tcBorders>
              <w:top w:val="single" w:sz="4" w:space="0" w:color="auto"/>
              <w:left w:val="single" w:sz="4" w:space="0" w:color="auto"/>
              <w:bottom w:val="single" w:sz="4" w:space="0" w:color="auto"/>
              <w:right w:val="single" w:sz="4" w:space="0" w:color="auto"/>
            </w:tcBorders>
            <w:vAlign w:val="center"/>
            <w:hideMark/>
          </w:tcPr>
          <w:p w14:paraId="139D5513" w14:textId="77777777" w:rsidR="00526FEC" w:rsidRPr="00227BE0" w:rsidRDefault="00526FEC" w:rsidP="00526FEC">
            <w:pPr>
              <w:keepNext/>
              <w:keepLines/>
              <w:widowControl w:val="0"/>
              <w:suppressAutoHyphens/>
              <w:rPr>
                <w:noProof/>
                <w:sz w:val="20"/>
                <w:szCs w:val="20"/>
              </w:rPr>
            </w:pPr>
            <w:r w:rsidRPr="00227BE0">
              <w:rPr>
                <w:b/>
                <w:noProof/>
                <w:sz w:val="20"/>
                <w:szCs w:val="20"/>
              </w:rPr>
              <w:t>RAC (µg/kg)</w:t>
            </w:r>
          </w:p>
        </w:tc>
        <w:tc>
          <w:tcPr>
            <w:tcW w:w="345" w:type="pct"/>
            <w:tcBorders>
              <w:top w:val="single" w:sz="4" w:space="0" w:color="auto"/>
              <w:left w:val="single" w:sz="4" w:space="0" w:color="auto"/>
              <w:bottom w:val="single" w:sz="4" w:space="0" w:color="auto"/>
              <w:right w:val="single" w:sz="4" w:space="0" w:color="auto"/>
            </w:tcBorders>
            <w:vAlign w:val="center"/>
            <w:hideMark/>
          </w:tcPr>
          <w:p w14:paraId="15D5873B" w14:textId="77777777" w:rsidR="00526FEC" w:rsidRPr="00227BE0" w:rsidRDefault="00526FEC" w:rsidP="00526FEC">
            <w:pPr>
              <w:widowControl w:val="0"/>
              <w:suppressAutoHyphens/>
              <w:jc w:val="center"/>
              <w:rPr>
                <w:noProof/>
                <w:sz w:val="20"/>
                <w:szCs w:val="20"/>
              </w:rPr>
            </w:pPr>
            <w:r w:rsidRPr="00227BE0">
              <w:rPr>
                <w:noProof/>
                <w:sz w:val="20"/>
                <w:szCs w:val="20"/>
              </w:rPr>
              <w:t>7590</w:t>
            </w:r>
          </w:p>
        </w:tc>
      </w:tr>
      <w:tr w:rsidR="00526FEC" w:rsidRPr="00227BE0" w14:paraId="62D31FD5" w14:textId="77777777" w:rsidTr="00526FEC">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296BBF51" w14:textId="77777777" w:rsidR="00526FEC" w:rsidRPr="00227BE0" w:rsidRDefault="00526FEC" w:rsidP="00526FEC">
            <w:pPr>
              <w:widowControl w:val="0"/>
              <w:suppressAutoHyphens/>
              <w:rPr>
                <w:b/>
                <w:bCs/>
                <w:sz w:val="20"/>
                <w:szCs w:val="20"/>
              </w:rPr>
            </w:pPr>
            <w:r w:rsidRPr="00227BE0">
              <w:rPr>
                <w:b/>
                <w:sz w:val="20"/>
                <w:szCs w:val="20"/>
                <w:lang w:val="en-GB"/>
              </w:rPr>
              <w:t>FOCUS Scenario</w:t>
            </w:r>
          </w:p>
        </w:tc>
        <w:tc>
          <w:tcPr>
            <w:tcW w:w="275" w:type="pct"/>
            <w:tcBorders>
              <w:top w:val="single" w:sz="4" w:space="0" w:color="auto"/>
              <w:left w:val="single" w:sz="4" w:space="0" w:color="auto"/>
              <w:bottom w:val="single" w:sz="4" w:space="0" w:color="auto"/>
              <w:right w:val="single" w:sz="4" w:space="0" w:color="auto"/>
            </w:tcBorders>
            <w:vAlign w:val="center"/>
            <w:hideMark/>
          </w:tcPr>
          <w:p w14:paraId="25973C73" w14:textId="77777777" w:rsidR="00526FEC" w:rsidRPr="00227BE0" w:rsidRDefault="00526FEC" w:rsidP="00526FEC">
            <w:pPr>
              <w:widowControl w:val="0"/>
              <w:suppressAutoHyphens/>
              <w:rPr>
                <w:b/>
                <w:bCs/>
                <w:sz w:val="20"/>
                <w:szCs w:val="20"/>
              </w:rPr>
            </w:pPr>
            <w:r w:rsidRPr="00227BE0">
              <w:rPr>
                <w:b/>
                <w:bCs/>
                <w:sz w:val="20"/>
                <w:szCs w:val="20"/>
              </w:rPr>
              <w:t xml:space="preserve">PEC </w:t>
            </w:r>
            <w:r w:rsidRPr="00227BE0">
              <w:rPr>
                <w:b/>
                <w:bCs/>
                <w:sz w:val="20"/>
                <w:szCs w:val="20"/>
                <w:vertAlign w:val="subscript"/>
              </w:rPr>
              <w:t>gl-max</w:t>
            </w:r>
            <w:r w:rsidRPr="00227BE0">
              <w:rPr>
                <w:b/>
                <w:bCs/>
                <w:sz w:val="20"/>
                <w:szCs w:val="20"/>
              </w:rPr>
              <w:t xml:space="preserve"> (µg/L)</w:t>
            </w:r>
            <w:r w:rsidRPr="00227BE0">
              <w:rPr>
                <w:b/>
                <w:bCs/>
                <w:sz w:val="20"/>
                <w:szCs w:val="20"/>
                <w:vertAlign w:val="superscript"/>
              </w:rPr>
              <w:t>#</w:t>
            </w:r>
          </w:p>
        </w:tc>
        <w:tc>
          <w:tcPr>
            <w:tcW w:w="3517" w:type="pct"/>
            <w:gridSpan w:val="11"/>
            <w:tcBorders>
              <w:top w:val="single" w:sz="4" w:space="0" w:color="auto"/>
              <w:left w:val="single" w:sz="4" w:space="0" w:color="auto"/>
              <w:bottom w:val="single" w:sz="4" w:space="0" w:color="auto"/>
              <w:right w:val="single" w:sz="4" w:space="0" w:color="auto"/>
            </w:tcBorders>
          </w:tcPr>
          <w:p w14:paraId="35F6E032" w14:textId="0A73E29E" w:rsidR="00526FEC" w:rsidRPr="00227BE0" w:rsidRDefault="00526FEC" w:rsidP="00526FEC">
            <w:pPr>
              <w:widowControl w:val="0"/>
              <w:suppressAutoHyphens/>
              <w:jc w:val="center"/>
              <w:rPr>
                <w:b/>
                <w:bCs/>
                <w:sz w:val="20"/>
                <w:szCs w:val="20"/>
              </w:rPr>
            </w:pPr>
            <w:r w:rsidRPr="00227BE0">
              <w:rPr>
                <w:b/>
                <w:bCs/>
                <w:noProof/>
                <w:sz w:val="20"/>
                <w:szCs w:val="20"/>
              </w:rPr>
              <w:t>PEC/RAC (= ETR)</w:t>
            </w:r>
          </w:p>
        </w:tc>
        <w:tc>
          <w:tcPr>
            <w:tcW w:w="403" w:type="pct"/>
            <w:tcBorders>
              <w:top w:val="single" w:sz="4" w:space="0" w:color="auto"/>
              <w:left w:val="single" w:sz="4" w:space="0" w:color="auto"/>
              <w:bottom w:val="single" w:sz="4" w:space="0" w:color="auto"/>
              <w:right w:val="single" w:sz="4" w:space="0" w:color="auto"/>
            </w:tcBorders>
            <w:vAlign w:val="center"/>
            <w:hideMark/>
          </w:tcPr>
          <w:p w14:paraId="5B039E87" w14:textId="77777777" w:rsidR="00526FEC" w:rsidRPr="00227BE0" w:rsidRDefault="00526FEC" w:rsidP="00526FEC">
            <w:pPr>
              <w:widowControl w:val="0"/>
              <w:suppressAutoHyphens/>
              <w:rPr>
                <w:b/>
                <w:bCs/>
                <w:sz w:val="20"/>
                <w:szCs w:val="20"/>
              </w:rPr>
            </w:pPr>
            <w:r w:rsidRPr="00227BE0">
              <w:rPr>
                <w:b/>
                <w:bCs/>
                <w:sz w:val="20"/>
                <w:szCs w:val="20"/>
              </w:rPr>
              <w:t xml:space="preserve">PEC </w:t>
            </w:r>
            <w:r w:rsidRPr="00227BE0">
              <w:rPr>
                <w:b/>
                <w:bCs/>
                <w:sz w:val="20"/>
                <w:szCs w:val="20"/>
                <w:vertAlign w:val="subscript"/>
              </w:rPr>
              <w:t>gl-max</w:t>
            </w:r>
            <w:r w:rsidRPr="00227BE0">
              <w:rPr>
                <w:b/>
                <w:bCs/>
                <w:sz w:val="20"/>
                <w:szCs w:val="20"/>
              </w:rPr>
              <w:t xml:space="preserve"> (µg/kg)</w:t>
            </w:r>
          </w:p>
        </w:tc>
        <w:tc>
          <w:tcPr>
            <w:tcW w:w="345" w:type="pct"/>
            <w:tcBorders>
              <w:top w:val="single" w:sz="4" w:space="0" w:color="auto"/>
              <w:left w:val="single" w:sz="4" w:space="0" w:color="auto"/>
              <w:bottom w:val="single" w:sz="4" w:space="0" w:color="auto"/>
              <w:right w:val="single" w:sz="4" w:space="0" w:color="auto"/>
            </w:tcBorders>
            <w:vAlign w:val="center"/>
            <w:hideMark/>
          </w:tcPr>
          <w:p w14:paraId="34E57C02" w14:textId="77777777" w:rsidR="00526FEC" w:rsidRPr="00227BE0" w:rsidRDefault="00526FEC" w:rsidP="00526FEC">
            <w:pPr>
              <w:widowControl w:val="0"/>
              <w:suppressAutoHyphens/>
              <w:jc w:val="center"/>
              <w:rPr>
                <w:noProof/>
                <w:sz w:val="20"/>
                <w:szCs w:val="20"/>
              </w:rPr>
            </w:pPr>
            <w:r w:rsidRPr="00227BE0">
              <w:rPr>
                <w:b/>
                <w:bCs/>
                <w:noProof/>
                <w:sz w:val="20"/>
                <w:szCs w:val="20"/>
              </w:rPr>
              <w:t>PEC/RAC (= ETR)</w:t>
            </w:r>
          </w:p>
        </w:tc>
      </w:tr>
      <w:tr w:rsidR="00526FEC" w:rsidRPr="00227BE0" w14:paraId="560F3F23" w14:textId="77777777" w:rsidTr="00526FEC">
        <w:trPr>
          <w:cantSplit/>
        </w:trPr>
        <w:tc>
          <w:tcPr>
            <w:tcW w:w="460" w:type="pct"/>
            <w:tcBorders>
              <w:top w:val="single" w:sz="4" w:space="0" w:color="auto"/>
              <w:left w:val="single" w:sz="4" w:space="0" w:color="auto"/>
              <w:bottom w:val="single" w:sz="4" w:space="0" w:color="auto"/>
              <w:right w:val="nil"/>
            </w:tcBorders>
            <w:vAlign w:val="center"/>
          </w:tcPr>
          <w:p w14:paraId="587916AE" w14:textId="77777777" w:rsidR="00526FEC" w:rsidRPr="00227BE0" w:rsidRDefault="00526FEC" w:rsidP="00526FEC">
            <w:pPr>
              <w:widowControl w:val="0"/>
              <w:suppressAutoHyphens/>
              <w:rPr>
                <w:b/>
                <w:sz w:val="20"/>
                <w:szCs w:val="20"/>
                <w:lang w:val="en-GB"/>
              </w:rPr>
            </w:pPr>
            <w:r w:rsidRPr="00227BE0">
              <w:rPr>
                <w:b/>
                <w:sz w:val="20"/>
                <w:szCs w:val="20"/>
                <w:lang w:val="en-GB"/>
              </w:rPr>
              <w:t>Step 1</w:t>
            </w:r>
          </w:p>
        </w:tc>
        <w:tc>
          <w:tcPr>
            <w:tcW w:w="275" w:type="pct"/>
            <w:tcBorders>
              <w:top w:val="single" w:sz="4" w:space="0" w:color="auto"/>
              <w:left w:val="nil"/>
              <w:bottom w:val="single" w:sz="4" w:space="0" w:color="auto"/>
              <w:right w:val="nil"/>
            </w:tcBorders>
            <w:vAlign w:val="center"/>
          </w:tcPr>
          <w:p w14:paraId="3867E50E" w14:textId="77777777" w:rsidR="00526FEC" w:rsidRPr="00227BE0" w:rsidRDefault="00526FEC" w:rsidP="00526FEC">
            <w:pPr>
              <w:widowControl w:val="0"/>
              <w:suppressAutoHyphens/>
              <w:rPr>
                <w:b/>
                <w:bCs/>
                <w:sz w:val="20"/>
                <w:szCs w:val="20"/>
              </w:rPr>
            </w:pPr>
          </w:p>
        </w:tc>
        <w:tc>
          <w:tcPr>
            <w:tcW w:w="325" w:type="pct"/>
            <w:gridSpan w:val="2"/>
            <w:tcBorders>
              <w:top w:val="single" w:sz="4" w:space="0" w:color="auto"/>
              <w:left w:val="nil"/>
              <w:bottom w:val="single" w:sz="4" w:space="0" w:color="auto"/>
              <w:right w:val="nil"/>
            </w:tcBorders>
          </w:tcPr>
          <w:p w14:paraId="20C89A71" w14:textId="77777777" w:rsidR="00526FEC" w:rsidRPr="00227BE0" w:rsidRDefault="00526FEC" w:rsidP="00526FEC">
            <w:pPr>
              <w:keepNext/>
              <w:keepLines/>
              <w:widowControl w:val="0"/>
              <w:suppressAutoHyphens/>
              <w:jc w:val="center"/>
              <w:rPr>
                <w:b/>
                <w:bCs/>
                <w:noProof/>
                <w:sz w:val="20"/>
                <w:szCs w:val="20"/>
              </w:rPr>
            </w:pPr>
          </w:p>
        </w:tc>
        <w:tc>
          <w:tcPr>
            <w:tcW w:w="2791" w:type="pct"/>
            <w:gridSpan w:val="8"/>
            <w:tcBorders>
              <w:top w:val="single" w:sz="4" w:space="0" w:color="auto"/>
              <w:left w:val="nil"/>
              <w:bottom w:val="single" w:sz="4" w:space="0" w:color="auto"/>
              <w:right w:val="nil"/>
            </w:tcBorders>
            <w:vAlign w:val="center"/>
          </w:tcPr>
          <w:p w14:paraId="04CB2DBF" w14:textId="2FCE84C7" w:rsidR="00526FEC" w:rsidRPr="00227BE0" w:rsidRDefault="00526FEC" w:rsidP="00526FEC">
            <w:pPr>
              <w:keepNext/>
              <w:keepLines/>
              <w:widowControl w:val="0"/>
              <w:suppressAutoHyphens/>
              <w:jc w:val="center"/>
              <w:rPr>
                <w:b/>
                <w:bCs/>
                <w:noProof/>
                <w:sz w:val="20"/>
                <w:szCs w:val="20"/>
              </w:rPr>
            </w:pPr>
          </w:p>
        </w:tc>
        <w:tc>
          <w:tcPr>
            <w:tcW w:w="402" w:type="pct"/>
            <w:tcBorders>
              <w:top w:val="single" w:sz="4" w:space="0" w:color="auto"/>
              <w:left w:val="nil"/>
              <w:bottom w:val="single" w:sz="4" w:space="0" w:color="auto"/>
              <w:right w:val="nil"/>
            </w:tcBorders>
          </w:tcPr>
          <w:p w14:paraId="01A69BD5" w14:textId="77777777" w:rsidR="00526FEC" w:rsidRPr="00227BE0" w:rsidRDefault="00526FEC" w:rsidP="00526FEC">
            <w:pPr>
              <w:widowControl w:val="0"/>
              <w:suppressAutoHyphens/>
              <w:rPr>
                <w:b/>
                <w:bCs/>
                <w:sz w:val="20"/>
                <w:szCs w:val="20"/>
              </w:rPr>
            </w:pPr>
          </w:p>
        </w:tc>
        <w:tc>
          <w:tcPr>
            <w:tcW w:w="403" w:type="pct"/>
            <w:tcBorders>
              <w:top w:val="single" w:sz="4" w:space="0" w:color="auto"/>
              <w:left w:val="nil"/>
              <w:bottom w:val="single" w:sz="4" w:space="0" w:color="auto"/>
              <w:right w:val="nil"/>
            </w:tcBorders>
            <w:vAlign w:val="center"/>
          </w:tcPr>
          <w:p w14:paraId="6FB4EAA1" w14:textId="77777777" w:rsidR="00526FEC" w:rsidRPr="00227BE0" w:rsidRDefault="00526FEC" w:rsidP="00526FEC">
            <w:pPr>
              <w:widowControl w:val="0"/>
              <w:suppressAutoHyphens/>
              <w:rPr>
                <w:b/>
                <w:bCs/>
                <w:sz w:val="20"/>
                <w:szCs w:val="20"/>
              </w:rPr>
            </w:pPr>
          </w:p>
        </w:tc>
        <w:tc>
          <w:tcPr>
            <w:tcW w:w="345" w:type="pct"/>
            <w:tcBorders>
              <w:top w:val="single" w:sz="4" w:space="0" w:color="auto"/>
              <w:left w:val="nil"/>
              <w:bottom w:val="single" w:sz="4" w:space="0" w:color="auto"/>
              <w:right w:val="single" w:sz="4" w:space="0" w:color="auto"/>
            </w:tcBorders>
            <w:vAlign w:val="center"/>
          </w:tcPr>
          <w:p w14:paraId="0A9A21CC" w14:textId="77777777" w:rsidR="00526FEC" w:rsidRPr="00227BE0" w:rsidRDefault="00526FEC" w:rsidP="00526FEC">
            <w:pPr>
              <w:widowControl w:val="0"/>
              <w:suppressAutoHyphens/>
              <w:jc w:val="center"/>
              <w:rPr>
                <w:b/>
                <w:bCs/>
                <w:noProof/>
                <w:sz w:val="20"/>
                <w:szCs w:val="20"/>
              </w:rPr>
            </w:pPr>
          </w:p>
        </w:tc>
      </w:tr>
      <w:tr w:rsidR="00526FEC" w:rsidRPr="00227BE0" w14:paraId="14C01902" w14:textId="77777777" w:rsidTr="00B67E21">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21F60C1D" w14:textId="77777777" w:rsidR="00526FEC" w:rsidRPr="00227BE0" w:rsidRDefault="00526FEC" w:rsidP="00526FEC">
            <w:pPr>
              <w:widowControl w:val="0"/>
              <w:suppressAutoHyphens/>
              <w:rPr>
                <w:noProof/>
                <w:sz w:val="20"/>
                <w:szCs w:val="20"/>
              </w:rPr>
            </w:pPr>
          </w:p>
        </w:tc>
        <w:tc>
          <w:tcPr>
            <w:tcW w:w="275" w:type="pct"/>
            <w:tcBorders>
              <w:top w:val="single" w:sz="4" w:space="0" w:color="auto"/>
              <w:left w:val="single" w:sz="4" w:space="0" w:color="auto"/>
              <w:bottom w:val="single" w:sz="4" w:space="0" w:color="auto"/>
              <w:right w:val="single" w:sz="4" w:space="0" w:color="auto"/>
            </w:tcBorders>
            <w:vAlign w:val="center"/>
            <w:hideMark/>
          </w:tcPr>
          <w:p w14:paraId="773B8BAC" w14:textId="77777777" w:rsidR="00526FEC" w:rsidRPr="00227BE0" w:rsidRDefault="00526FEC" w:rsidP="00526FEC">
            <w:pPr>
              <w:widowControl w:val="0"/>
              <w:suppressAutoHyphens/>
              <w:rPr>
                <w:noProof/>
                <w:sz w:val="20"/>
                <w:szCs w:val="20"/>
              </w:rPr>
            </w:pPr>
            <w:r w:rsidRPr="00227BE0">
              <w:rPr>
                <w:noProof/>
                <w:sz w:val="20"/>
                <w:szCs w:val="20"/>
              </w:rPr>
              <w:t>36.780</w:t>
            </w:r>
          </w:p>
        </w:tc>
        <w:tc>
          <w:tcPr>
            <w:tcW w:w="284" w:type="pct"/>
            <w:tcBorders>
              <w:top w:val="single" w:sz="4" w:space="0" w:color="auto"/>
              <w:left w:val="single" w:sz="4" w:space="0" w:color="auto"/>
              <w:bottom w:val="single" w:sz="4" w:space="0" w:color="auto"/>
              <w:right w:val="single" w:sz="4" w:space="0" w:color="auto"/>
            </w:tcBorders>
            <w:vAlign w:val="center"/>
          </w:tcPr>
          <w:p w14:paraId="426A4F34" w14:textId="77777777" w:rsidR="00526FEC" w:rsidRPr="00227BE0" w:rsidRDefault="00526FEC" w:rsidP="00526FEC">
            <w:pPr>
              <w:widowControl w:val="0"/>
              <w:suppressAutoHyphens/>
              <w:jc w:val="center"/>
              <w:rPr>
                <w:b/>
                <w:noProof/>
                <w:sz w:val="20"/>
                <w:szCs w:val="20"/>
              </w:rPr>
            </w:pPr>
            <w:r w:rsidRPr="00227BE0">
              <w:rPr>
                <w:b/>
                <w:color w:val="000000"/>
                <w:sz w:val="20"/>
                <w:szCs w:val="20"/>
              </w:rPr>
              <w:t>13</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0CC869" w14:textId="55E563D5" w:rsidR="00526FEC" w:rsidRPr="00227BE0" w:rsidRDefault="001E1052" w:rsidP="00526FEC">
            <w:pPr>
              <w:widowControl w:val="0"/>
              <w:suppressAutoHyphens/>
              <w:jc w:val="center"/>
              <w:rPr>
                <w:b/>
                <w:color w:val="000000"/>
                <w:sz w:val="20"/>
                <w:szCs w:val="20"/>
              </w:rPr>
            </w:pPr>
            <w:r>
              <w:rPr>
                <w:b/>
                <w:color w:val="000000"/>
                <w:sz w:val="20"/>
                <w:szCs w:val="20"/>
              </w:rPr>
              <w:t>10.2</w:t>
            </w:r>
          </w:p>
        </w:tc>
        <w:tc>
          <w:tcPr>
            <w:tcW w:w="337" w:type="pct"/>
            <w:tcBorders>
              <w:top w:val="single" w:sz="4" w:space="0" w:color="auto"/>
              <w:left w:val="single" w:sz="4" w:space="0" w:color="auto"/>
              <w:bottom w:val="single" w:sz="4" w:space="0" w:color="auto"/>
              <w:right w:val="single" w:sz="4" w:space="0" w:color="auto"/>
            </w:tcBorders>
            <w:vAlign w:val="center"/>
          </w:tcPr>
          <w:p w14:paraId="036D5257" w14:textId="50911CDA" w:rsidR="00526FEC" w:rsidRPr="00526FEC" w:rsidRDefault="00526FEC" w:rsidP="00526FEC">
            <w:pPr>
              <w:widowControl w:val="0"/>
              <w:suppressAutoHyphens/>
              <w:jc w:val="center"/>
              <w:rPr>
                <w:b/>
                <w:strike/>
                <w:noProof/>
                <w:color w:val="D9D9D9" w:themeColor="background1" w:themeShade="D9"/>
                <w:sz w:val="20"/>
                <w:szCs w:val="20"/>
              </w:rPr>
            </w:pPr>
            <w:r w:rsidRPr="00526FEC">
              <w:rPr>
                <w:b/>
                <w:strike/>
                <w:color w:val="D9D9D9" w:themeColor="background1" w:themeShade="D9"/>
                <w:sz w:val="20"/>
                <w:szCs w:val="20"/>
              </w:rPr>
              <w:t>5.4</w:t>
            </w:r>
          </w:p>
        </w:tc>
        <w:tc>
          <w:tcPr>
            <w:tcW w:w="321" w:type="pct"/>
            <w:tcBorders>
              <w:top w:val="single" w:sz="4" w:space="0" w:color="auto"/>
              <w:left w:val="single" w:sz="4" w:space="0" w:color="auto"/>
              <w:bottom w:val="single" w:sz="4" w:space="0" w:color="auto"/>
              <w:right w:val="single" w:sz="4" w:space="0" w:color="auto"/>
            </w:tcBorders>
            <w:vAlign w:val="center"/>
          </w:tcPr>
          <w:p w14:paraId="13FC7BEB" w14:textId="77777777" w:rsidR="00526FEC" w:rsidRPr="00526FEC" w:rsidRDefault="00526FEC" w:rsidP="00526FEC">
            <w:pPr>
              <w:widowControl w:val="0"/>
              <w:suppressAutoHyphens/>
              <w:jc w:val="center"/>
              <w:rPr>
                <w:strike/>
                <w:noProof/>
                <w:color w:val="D9D9D9" w:themeColor="background1" w:themeShade="D9"/>
                <w:sz w:val="20"/>
                <w:szCs w:val="20"/>
              </w:rPr>
            </w:pPr>
            <w:r w:rsidRPr="00526FEC">
              <w:rPr>
                <w:strike/>
                <w:color w:val="D9D9D9" w:themeColor="background1" w:themeShade="D9"/>
                <w:sz w:val="20"/>
                <w:szCs w:val="20"/>
              </w:rPr>
              <w:t>0.5</w:t>
            </w:r>
          </w:p>
        </w:tc>
        <w:tc>
          <w:tcPr>
            <w:tcW w:w="383" w:type="pct"/>
            <w:tcBorders>
              <w:top w:val="single" w:sz="4" w:space="0" w:color="auto"/>
              <w:left w:val="single" w:sz="4" w:space="0" w:color="auto"/>
              <w:bottom w:val="single" w:sz="4" w:space="0" w:color="auto"/>
              <w:right w:val="single" w:sz="4" w:space="0" w:color="auto"/>
            </w:tcBorders>
            <w:vAlign w:val="center"/>
          </w:tcPr>
          <w:p w14:paraId="582AB592" w14:textId="77777777" w:rsidR="00526FEC" w:rsidRPr="00526FEC" w:rsidRDefault="00526FEC" w:rsidP="00526FEC">
            <w:pPr>
              <w:widowControl w:val="0"/>
              <w:suppressAutoHyphens/>
              <w:jc w:val="center"/>
              <w:rPr>
                <w:strike/>
                <w:noProof/>
                <w:color w:val="D9D9D9" w:themeColor="background1" w:themeShade="D9"/>
                <w:sz w:val="20"/>
                <w:szCs w:val="20"/>
              </w:rPr>
            </w:pPr>
            <w:r w:rsidRPr="00526FEC">
              <w:rPr>
                <w:strike/>
                <w:color w:val="D9D9D9" w:themeColor="background1" w:themeShade="D9"/>
                <w:sz w:val="20"/>
                <w:szCs w:val="20"/>
              </w:rPr>
              <w:t>0.6</w:t>
            </w:r>
          </w:p>
        </w:tc>
        <w:tc>
          <w:tcPr>
            <w:tcW w:w="402" w:type="pct"/>
            <w:tcBorders>
              <w:top w:val="single" w:sz="4" w:space="0" w:color="auto"/>
              <w:left w:val="single" w:sz="4" w:space="0" w:color="auto"/>
              <w:bottom w:val="single" w:sz="4" w:space="0" w:color="auto"/>
              <w:right w:val="single" w:sz="4" w:space="0" w:color="auto"/>
            </w:tcBorders>
            <w:vAlign w:val="center"/>
          </w:tcPr>
          <w:p w14:paraId="79847BA6" w14:textId="655BCAE1" w:rsidR="00526FEC" w:rsidRPr="00227BE0" w:rsidRDefault="00526FEC" w:rsidP="00526FEC">
            <w:pPr>
              <w:widowControl w:val="0"/>
              <w:suppressAutoHyphens/>
              <w:jc w:val="center"/>
              <w:rPr>
                <w:b/>
                <w:noProof/>
                <w:sz w:val="20"/>
                <w:szCs w:val="20"/>
              </w:rPr>
            </w:pPr>
            <w:r w:rsidRPr="00113139">
              <w:rPr>
                <w:b/>
                <w:strike/>
                <w:color w:val="D9D9D9" w:themeColor="background1" w:themeShade="D9"/>
                <w:sz w:val="20"/>
                <w:szCs w:val="20"/>
              </w:rPr>
              <w:t>&lt; 1.7</w:t>
            </w:r>
            <w:r w:rsidR="00113139" w:rsidRPr="00113139">
              <w:rPr>
                <w:b/>
                <w:color w:val="D9D9D9" w:themeColor="background1" w:themeShade="D9"/>
                <w:sz w:val="20"/>
                <w:szCs w:val="20"/>
              </w:rPr>
              <w:t xml:space="preserve"> </w:t>
            </w:r>
            <w:r w:rsidR="00113139" w:rsidRPr="00113139">
              <w:rPr>
                <w:b/>
                <w:color w:val="000000"/>
                <w:sz w:val="20"/>
                <w:szCs w:val="20"/>
                <w:shd w:val="clear" w:color="auto" w:fill="D9D9D9" w:themeFill="background1" w:themeFillShade="D9"/>
              </w:rPr>
              <w:t>3.3</w:t>
            </w:r>
          </w:p>
        </w:tc>
        <w:tc>
          <w:tcPr>
            <w:tcW w:w="337" w:type="pct"/>
            <w:tcBorders>
              <w:top w:val="single" w:sz="4" w:space="0" w:color="auto"/>
              <w:left w:val="single" w:sz="4" w:space="0" w:color="auto"/>
              <w:bottom w:val="single" w:sz="4" w:space="0" w:color="auto"/>
              <w:right w:val="single" w:sz="4" w:space="0" w:color="auto"/>
            </w:tcBorders>
            <w:vAlign w:val="center"/>
          </w:tcPr>
          <w:p w14:paraId="6A8898CC" w14:textId="77777777" w:rsidR="00526FEC" w:rsidRPr="00227BE0" w:rsidRDefault="00526FEC" w:rsidP="00526FEC">
            <w:pPr>
              <w:widowControl w:val="0"/>
              <w:suppressAutoHyphens/>
              <w:jc w:val="center"/>
              <w:rPr>
                <w:noProof/>
                <w:sz w:val="20"/>
                <w:szCs w:val="20"/>
              </w:rPr>
            </w:pPr>
            <w:r w:rsidRPr="00227BE0">
              <w:rPr>
                <w:color w:val="000000"/>
                <w:sz w:val="20"/>
                <w:szCs w:val="20"/>
              </w:rPr>
              <w:t>0.7</w:t>
            </w:r>
          </w:p>
        </w:tc>
        <w:tc>
          <w:tcPr>
            <w:tcW w:w="402" w:type="pct"/>
            <w:tcBorders>
              <w:top w:val="single" w:sz="4" w:space="0" w:color="auto"/>
              <w:left w:val="single" w:sz="4" w:space="0" w:color="auto"/>
              <w:bottom w:val="single" w:sz="4" w:space="0" w:color="auto"/>
              <w:right w:val="single" w:sz="4" w:space="0" w:color="auto"/>
            </w:tcBorders>
            <w:vAlign w:val="center"/>
          </w:tcPr>
          <w:p w14:paraId="155AAFF1" w14:textId="77777777" w:rsidR="00526FEC" w:rsidRPr="00227BE0" w:rsidRDefault="00526FEC" w:rsidP="00526FEC">
            <w:pPr>
              <w:widowControl w:val="0"/>
              <w:suppressAutoHyphens/>
              <w:jc w:val="center"/>
              <w:rPr>
                <w:noProof/>
                <w:sz w:val="20"/>
                <w:szCs w:val="20"/>
              </w:rPr>
            </w:pPr>
            <w:r w:rsidRPr="00227BE0">
              <w:rPr>
                <w:color w:val="000000"/>
                <w:sz w:val="20"/>
                <w:szCs w:val="20"/>
              </w:rPr>
              <w:t>0.5</w:t>
            </w:r>
          </w:p>
        </w:tc>
        <w:tc>
          <w:tcPr>
            <w:tcW w:w="325" w:type="pct"/>
            <w:tcBorders>
              <w:top w:val="single" w:sz="4" w:space="0" w:color="auto"/>
              <w:left w:val="single" w:sz="4" w:space="0" w:color="auto"/>
              <w:bottom w:val="single" w:sz="4" w:space="0" w:color="auto"/>
              <w:right w:val="single" w:sz="4" w:space="0" w:color="auto"/>
            </w:tcBorders>
            <w:vAlign w:val="center"/>
          </w:tcPr>
          <w:p w14:paraId="531C5E42" w14:textId="77777777" w:rsidR="00526FEC" w:rsidRPr="00227BE0" w:rsidRDefault="00526FEC" w:rsidP="00526FEC">
            <w:pPr>
              <w:widowControl w:val="0"/>
              <w:suppressAutoHyphens/>
              <w:jc w:val="center"/>
              <w:rPr>
                <w:noProof/>
                <w:sz w:val="20"/>
                <w:szCs w:val="20"/>
              </w:rPr>
            </w:pPr>
            <w:r w:rsidRPr="00227BE0">
              <w:rPr>
                <w:color w:val="000000"/>
                <w:sz w:val="20"/>
                <w:szCs w:val="20"/>
              </w:rPr>
              <w:t>&lt; 0.1</w:t>
            </w:r>
          </w:p>
        </w:tc>
        <w:tc>
          <w:tcPr>
            <w:tcW w:w="402" w:type="pct"/>
            <w:tcBorders>
              <w:top w:val="single" w:sz="4" w:space="0" w:color="auto"/>
              <w:left w:val="single" w:sz="4" w:space="0" w:color="auto"/>
              <w:bottom w:val="single" w:sz="4" w:space="0" w:color="auto"/>
              <w:right w:val="single" w:sz="4" w:space="0" w:color="auto"/>
            </w:tcBorders>
            <w:vAlign w:val="center"/>
          </w:tcPr>
          <w:p w14:paraId="0258DC2D" w14:textId="77777777" w:rsidR="00526FEC" w:rsidRPr="00444D21" w:rsidRDefault="00526FEC" w:rsidP="00526FEC">
            <w:pPr>
              <w:suppressAutoHyphens/>
              <w:jc w:val="center"/>
              <w:rPr>
                <w:strike/>
                <w:color w:val="D9D9D9" w:themeColor="background1" w:themeShade="D9"/>
                <w:sz w:val="20"/>
                <w:szCs w:val="20"/>
                <w:lang w:eastAsia="en-US"/>
              </w:rPr>
            </w:pPr>
            <w:r w:rsidRPr="00444D21">
              <w:rPr>
                <w:strike/>
                <w:color w:val="D9D9D9" w:themeColor="background1" w:themeShade="D9"/>
                <w:sz w:val="20"/>
                <w:szCs w:val="20"/>
                <w:lang w:eastAsia="en-US"/>
              </w:rPr>
              <w:t>0.7</w:t>
            </w:r>
          </w:p>
        </w:tc>
        <w:tc>
          <w:tcPr>
            <w:tcW w:w="403" w:type="pct"/>
            <w:tcBorders>
              <w:top w:val="single" w:sz="4" w:space="0" w:color="auto"/>
              <w:left w:val="single" w:sz="4" w:space="0" w:color="auto"/>
              <w:bottom w:val="single" w:sz="4" w:space="0" w:color="auto"/>
              <w:right w:val="single" w:sz="4" w:space="0" w:color="auto"/>
            </w:tcBorders>
            <w:vAlign w:val="center"/>
          </w:tcPr>
          <w:p w14:paraId="260367CA" w14:textId="77777777" w:rsidR="00526FEC" w:rsidRPr="00227BE0" w:rsidRDefault="00526FEC" w:rsidP="00526FEC">
            <w:pPr>
              <w:suppressAutoHyphens/>
              <w:rPr>
                <w:sz w:val="20"/>
                <w:szCs w:val="20"/>
                <w:lang w:eastAsia="en-US"/>
              </w:rPr>
            </w:pPr>
            <w:r w:rsidRPr="00227BE0">
              <w:rPr>
                <w:sz w:val="20"/>
                <w:szCs w:val="20"/>
                <w:lang w:eastAsia="en-US"/>
              </w:rPr>
              <w:t>244.341</w:t>
            </w:r>
          </w:p>
        </w:tc>
        <w:tc>
          <w:tcPr>
            <w:tcW w:w="345" w:type="pct"/>
            <w:tcBorders>
              <w:top w:val="single" w:sz="4" w:space="0" w:color="auto"/>
              <w:left w:val="single" w:sz="4" w:space="0" w:color="auto"/>
              <w:bottom w:val="single" w:sz="4" w:space="0" w:color="auto"/>
              <w:right w:val="single" w:sz="4" w:space="0" w:color="auto"/>
            </w:tcBorders>
            <w:vAlign w:val="center"/>
          </w:tcPr>
          <w:p w14:paraId="6BB18820" w14:textId="77777777" w:rsidR="00526FEC" w:rsidRPr="00227BE0" w:rsidRDefault="00526FEC" w:rsidP="00526FEC">
            <w:pPr>
              <w:jc w:val="center"/>
              <w:rPr>
                <w:color w:val="000000"/>
                <w:sz w:val="20"/>
                <w:szCs w:val="20"/>
              </w:rPr>
            </w:pPr>
            <w:r w:rsidRPr="00227BE0">
              <w:rPr>
                <w:color w:val="000000"/>
                <w:sz w:val="20"/>
                <w:szCs w:val="20"/>
              </w:rPr>
              <w:t>0.03</w:t>
            </w:r>
          </w:p>
        </w:tc>
      </w:tr>
      <w:tr w:rsidR="00526FEC" w:rsidRPr="00227BE0" w14:paraId="3EDBC77B" w14:textId="77777777" w:rsidTr="00526FEC">
        <w:trPr>
          <w:cantSplit/>
        </w:trPr>
        <w:tc>
          <w:tcPr>
            <w:tcW w:w="460" w:type="pct"/>
            <w:tcBorders>
              <w:top w:val="single" w:sz="4" w:space="0" w:color="auto"/>
              <w:left w:val="single" w:sz="4" w:space="0" w:color="auto"/>
              <w:bottom w:val="single" w:sz="4" w:space="0" w:color="auto"/>
              <w:right w:val="nil"/>
            </w:tcBorders>
            <w:vAlign w:val="center"/>
          </w:tcPr>
          <w:p w14:paraId="288C0C10" w14:textId="77777777" w:rsidR="00526FEC" w:rsidRPr="00227BE0" w:rsidRDefault="00526FEC" w:rsidP="00526FEC">
            <w:pPr>
              <w:widowControl w:val="0"/>
              <w:suppressAutoHyphens/>
              <w:rPr>
                <w:b/>
                <w:sz w:val="20"/>
                <w:szCs w:val="20"/>
                <w:lang w:val="en-GB"/>
              </w:rPr>
            </w:pPr>
            <w:r w:rsidRPr="00227BE0">
              <w:rPr>
                <w:b/>
                <w:sz w:val="20"/>
                <w:szCs w:val="20"/>
                <w:lang w:val="en-GB"/>
              </w:rPr>
              <w:t>Step 2</w:t>
            </w:r>
          </w:p>
        </w:tc>
        <w:tc>
          <w:tcPr>
            <w:tcW w:w="275" w:type="pct"/>
            <w:tcBorders>
              <w:top w:val="single" w:sz="4" w:space="0" w:color="auto"/>
              <w:left w:val="nil"/>
              <w:bottom w:val="single" w:sz="4" w:space="0" w:color="auto"/>
              <w:right w:val="nil"/>
            </w:tcBorders>
            <w:vAlign w:val="center"/>
          </w:tcPr>
          <w:p w14:paraId="1FB78D58" w14:textId="77777777" w:rsidR="00526FEC" w:rsidRPr="00227BE0" w:rsidRDefault="00526FEC" w:rsidP="00526FEC">
            <w:pPr>
              <w:widowControl w:val="0"/>
              <w:suppressAutoHyphens/>
              <w:rPr>
                <w:b/>
                <w:bCs/>
                <w:sz w:val="20"/>
                <w:szCs w:val="20"/>
              </w:rPr>
            </w:pPr>
          </w:p>
        </w:tc>
        <w:tc>
          <w:tcPr>
            <w:tcW w:w="325" w:type="pct"/>
            <w:gridSpan w:val="2"/>
            <w:tcBorders>
              <w:top w:val="single" w:sz="4" w:space="0" w:color="auto"/>
              <w:left w:val="nil"/>
              <w:bottom w:val="single" w:sz="4" w:space="0" w:color="auto"/>
              <w:right w:val="nil"/>
            </w:tcBorders>
          </w:tcPr>
          <w:p w14:paraId="6191F12C" w14:textId="77777777" w:rsidR="00526FEC" w:rsidRPr="00227BE0" w:rsidRDefault="00526FEC" w:rsidP="00526FEC">
            <w:pPr>
              <w:keepNext/>
              <w:keepLines/>
              <w:widowControl w:val="0"/>
              <w:suppressAutoHyphens/>
              <w:jc w:val="center"/>
              <w:rPr>
                <w:b/>
                <w:bCs/>
                <w:noProof/>
                <w:sz w:val="20"/>
                <w:szCs w:val="20"/>
              </w:rPr>
            </w:pPr>
          </w:p>
        </w:tc>
        <w:tc>
          <w:tcPr>
            <w:tcW w:w="2791" w:type="pct"/>
            <w:gridSpan w:val="8"/>
            <w:tcBorders>
              <w:top w:val="single" w:sz="4" w:space="0" w:color="auto"/>
              <w:left w:val="nil"/>
              <w:bottom w:val="single" w:sz="4" w:space="0" w:color="auto"/>
              <w:right w:val="nil"/>
            </w:tcBorders>
            <w:vAlign w:val="center"/>
          </w:tcPr>
          <w:p w14:paraId="5FB6200A" w14:textId="2E28780A" w:rsidR="00526FEC" w:rsidRPr="00227BE0" w:rsidRDefault="00526FEC" w:rsidP="00526FEC">
            <w:pPr>
              <w:keepNext/>
              <w:keepLines/>
              <w:widowControl w:val="0"/>
              <w:suppressAutoHyphens/>
              <w:jc w:val="center"/>
              <w:rPr>
                <w:b/>
                <w:bCs/>
                <w:noProof/>
                <w:sz w:val="20"/>
                <w:szCs w:val="20"/>
              </w:rPr>
            </w:pPr>
          </w:p>
        </w:tc>
        <w:tc>
          <w:tcPr>
            <w:tcW w:w="402" w:type="pct"/>
            <w:tcBorders>
              <w:top w:val="single" w:sz="4" w:space="0" w:color="auto"/>
              <w:left w:val="nil"/>
              <w:bottom w:val="single" w:sz="4" w:space="0" w:color="auto"/>
              <w:right w:val="nil"/>
            </w:tcBorders>
          </w:tcPr>
          <w:p w14:paraId="68F80CE0" w14:textId="77777777" w:rsidR="00526FEC" w:rsidRPr="00227BE0" w:rsidRDefault="00526FEC" w:rsidP="00526FEC">
            <w:pPr>
              <w:widowControl w:val="0"/>
              <w:suppressAutoHyphens/>
              <w:rPr>
                <w:b/>
                <w:bCs/>
                <w:sz w:val="20"/>
                <w:szCs w:val="20"/>
              </w:rPr>
            </w:pPr>
          </w:p>
        </w:tc>
        <w:tc>
          <w:tcPr>
            <w:tcW w:w="403" w:type="pct"/>
            <w:tcBorders>
              <w:top w:val="single" w:sz="4" w:space="0" w:color="auto"/>
              <w:left w:val="nil"/>
              <w:bottom w:val="single" w:sz="4" w:space="0" w:color="auto"/>
              <w:right w:val="nil"/>
            </w:tcBorders>
            <w:vAlign w:val="bottom"/>
          </w:tcPr>
          <w:p w14:paraId="0F12E723" w14:textId="77777777" w:rsidR="00526FEC" w:rsidRPr="00227BE0" w:rsidRDefault="00526FEC" w:rsidP="00526FEC">
            <w:pPr>
              <w:widowControl w:val="0"/>
              <w:suppressAutoHyphens/>
              <w:rPr>
                <w:b/>
                <w:bCs/>
                <w:sz w:val="20"/>
                <w:szCs w:val="20"/>
              </w:rPr>
            </w:pPr>
          </w:p>
        </w:tc>
        <w:tc>
          <w:tcPr>
            <w:tcW w:w="345" w:type="pct"/>
            <w:tcBorders>
              <w:top w:val="single" w:sz="4" w:space="0" w:color="auto"/>
              <w:left w:val="nil"/>
              <w:bottom w:val="single" w:sz="4" w:space="0" w:color="auto"/>
              <w:right w:val="single" w:sz="4" w:space="0" w:color="auto"/>
            </w:tcBorders>
            <w:vAlign w:val="bottom"/>
          </w:tcPr>
          <w:p w14:paraId="6339E38F" w14:textId="77777777" w:rsidR="00526FEC" w:rsidRPr="00227BE0" w:rsidRDefault="00526FEC" w:rsidP="00526FEC">
            <w:pPr>
              <w:widowControl w:val="0"/>
              <w:suppressAutoHyphens/>
              <w:jc w:val="center"/>
              <w:rPr>
                <w:b/>
                <w:bCs/>
                <w:noProof/>
                <w:sz w:val="20"/>
                <w:szCs w:val="20"/>
              </w:rPr>
            </w:pPr>
          </w:p>
        </w:tc>
      </w:tr>
      <w:tr w:rsidR="00526FEC" w:rsidRPr="00227BE0" w14:paraId="2BA06A30" w14:textId="77777777" w:rsidTr="00B67E21">
        <w:trPr>
          <w:cantSplit/>
          <w:trHeight w:val="332"/>
        </w:trPr>
        <w:tc>
          <w:tcPr>
            <w:tcW w:w="460" w:type="pct"/>
            <w:tcBorders>
              <w:top w:val="single" w:sz="4" w:space="0" w:color="auto"/>
              <w:left w:val="single" w:sz="4" w:space="0" w:color="auto"/>
              <w:bottom w:val="single" w:sz="4" w:space="0" w:color="auto"/>
              <w:right w:val="single" w:sz="4" w:space="0" w:color="auto"/>
            </w:tcBorders>
            <w:vAlign w:val="center"/>
            <w:hideMark/>
          </w:tcPr>
          <w:p w14:paraId="10808E0E" w14:textId="77777777" w:rsidR="00526FEC" w:rsidRPr="00227BE0" w:rsidRDefault="00526FEC" w:rsidP="00526FEC">
            <w:pPr>
              <w:widowControl w:val="0"/>
              <w:suppressAutoHyphens/>
              <w:rPr>
                <w:noProof/>
                <w:sz w:val="20"/>
                <w:szCs w:val="20"/>
                <w:vertAlign w:val="superscript"/>
              </w:rPr>
            </w:pPr>
            <w:r w:rsidRPr="00227BE0">
              <w:rPr>
                <w:sz w:val="20"/>
                <w:szCs w:val="20"/>
              </w:rPr>
              <w:t>N-Europe</w:t>
            </w:r>
          </w:p>
        </w:tc>
        <w:tc>
          <w:tcPr>
            <w:tcW w:w="275" w:type="pct"/>
            <w:tcBorders>
              <w:top w:val="single" w:sz="4" w:space="0" w:color="auto"/>
              <w:left w:val="single" w:sz="4" w:space="0" w:color="auto"/>
              <w:bottom w:val="single" w:sz="4" w:space="0" w:color="auto"/>
              <w:right w:val="single" w:sz="4" w:space="0" w:color="auto"/>
            </w:tcBorders>
            <w:vAlign w:val="center"/>
          </w:tcPr>
          <w:p w14:paraId="2ED676CB" w14:textId="77777777" w:rsidR="00526FEC" w:rsidRPr="00227BE0" w:rsidRDefault="00526FEC" w:rsidP="00526FEC">
            <w:pPr>
              <w:widowControl w:val="0"/>
              <w:suppressAutoHyphens/>
              <w:rPr>
                <w:noProof/>
                <w:sz w:val="20"/>
                <w:szCs w:val="20"/>
              </w:rPr>
            </w:pPr>
            <w:r w:rsidRPr="00227BE0">
              <w:rPr>
                <w:noProof/>
                <w:sz w:val="20"/>
                <w:szCs w:val="20"/>
              </w:rPr>
              <w:t>6.323</w:t>
            </w:r>
          </w:p>
        </w:tc>
        <w:tc>
          <w:tcPr>
            <w:tcW w:w="284" w:type="pct"/>
            <w:tcBorders>
              <w:top w:val="single" w:sz="4" w:space="0" w:color="auto"/>
              <w:left w:val="single" w:sz="4" w:space="0" w:color="auto"/>
              <w:bottom w:val="single" w:sz="4" w:space="0" w:color="auto"/>
              <w:right w:val="single" w:sz="4" w:space="0" w:color="auto"/>
            </w:tcBorders>
            <w:vAlign w:val="center"/>
          </w:tcPr>
          <w:p w14:paraId="74981D10" w14:textId="77777777" w:rsidR="00526FEC" w:rsidRPr="00227BE0" w:rsidRDefault="00526FEC" w:rsidP="00526FEC">
            <w:pPr>
              <w:widowControl w:val="0"/>
              <w:suppressAutoHyphens/>
              <w:jc w:val="center"/>
              <w:rPr>
                <w:b/>
                <w:noProof/>
                <w:sz w:val="20"/>
                <w:szCs w:val="20"/>
              </w:rPr>
            </w:pPr>
            <w:r w:rsidRPr="00227BE0">
              <w:rPr>
                <w:b/>
                <w:color w:val="000000"/>
                <w:sz w:val="20"/>
                <w:szCs w:val="20"/>
              </w:rPr>
              <w:t>2.2</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BEC402" w14:textId="1A8CA5FA" w:rsidR="00526FEC" w:rsidRPr="00B67E21" w:rsidRDefault="00B67E21" w:rsidP="00526FEC">
            <w:pPr>
              <w:widowControl w:val="0"/>
              <w:suppressAutoHyphens/>
              <w:jc w:val="center"/>
              <w:rPr>
                <w:b/>
                <w:bCs/>
                <w:color w:val="000000"/>
                <w:sz w:val="20"/>
                <w:szCs w:val="20"/>
              </w:rPr>
            </w:pPr>
            <w:r w:rsidRPr="00B67E21">
              <w:rPr>
                <w:b/>
                <w:bCs/>
                <w:color w:val="000000"/>
                <w:sz w:val="20"/>
                <w:szCs w:val="20"/>
              </w:rPr>
              <w:t>1.8</w:t>
            </w:r>
          </w:p>
        </w:tc>
        <w:tc>
          <w:tcPr>
            <w:tcW w:w="337" w:type="pct"/>
            <w:tcBorders>
              <w:top w:val="single" w:sz="4" w:space="0" w:color="auto"/>
              <w:left w:val="single" w:sz="4" w:space="0" w:color="auto"/>
              <w:bottom w:val="single" w:sz="4" w:space="0" w:color="auto"/>
              <w:right w:val="single" w:sz="4" w:space="0" w:color="auto"/>
            </w:tcBorders>
            <w:vAlign w:val="center"/>
          </w:tcPr>
          <w:p w14:paraId="0A9FEE6B" w14:textId="68373A26" w:rsidR="00526FEC" w:rsidRPr="00526FEC" w:rsidRDefault="00526FEC" w:rsidP="00526FEC">
            <w:pPr>
              <w:widowControl w:val="0"/>
              <w:suppressAutoHyphens/>
              <w:jc w:val="center"/>
              <w:rPr>
                <w:b/>
                <w:strike/>
                <w:noProof/>
                <w:color w:val="D9D9D9" w:themeColor="background1" w:themeShade="D9"/>
                <w:sz w:val="20"/>
                <w:szCs w:val="20"/>
              </w:rPr>
            </w:pPr>
            <w:r w:rsidRPr="00526FEC">
              <w:rPr>
                <w:strike/>
                <w:color w:val="D9D9D9" w:themeColor="background1" w:themeShade="D9"/>
                <w:sz w:val="20"/>
                <w:szCs w:val="20"/>
              </w:rPr>
              <w:t>0.9</w:t>
            </w:r>
          </w:p>
        </w:tc>
        <w:tc>
          <w:tcPr>
            <w:tcW w:w="321" w:type="pct"/>
            <w:tcBorders>
              <w:top w:val="single" w:sz="4" w:space="0" w:color="auto"/>
              <w:left w:val="single" w:sz="4" w:space="0" w:color="auto"/>
              <w:bottom w:val="single" w:sz="4" w:space="0" w:color="auto"/>
              <w:right w:val="single" w:sz="4" w:space="0" w:color="auto"/>
            </w:tcBorders>
            <w:vAlign w:val="center"/>
          </w:tcPr>
          <w:p w14:paraId="348A3F3C"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36A8BBC3"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0237EEF3" w14:textId="6311CDEA" w:rsidR="00526FEC" w:rsidRPr="00227BE0" w:rsidRDefault="00526FEC" w:rsidP="00526FEC">
            <w:pPr>
              <w:widowControl w:val="0"/>
              <w:suppressAutoHyphens/>
              <w:jc w:val="center"/>
              <w:rPr>
                <w:noProof/>
                <w:sz w:val="20"/>
                <w:szCs w:val="20"/>
              </w:rPr>
            </w:pPr>
            <w:r w:rsidRPr="00B4754E">
              <w:rPr>
                <w:strike/>
                <w:noProof/>
                <w:color w:val="D9D9D9" w:themeColor="background1" w:themeShade="D9"/>
                <w:sz w:val="20"/>
                <w:szCs w:val="20"/>
              </w:rPr>
              <w:t>&lt; 0.3</w:t>
            </w:r>
            <w:r w:rsidR="00113139" w:rsidRPr="00B4754E">
              <w:rPr>
                <w:noProof/>
                <w:color w:val="D9D9D9" w:themeColor="background1" w:themeShade="D9"/>
                <w:sz w:val="20"/>
                <w:szCs w:val="20"/>
              </w:rPr>
              <w:t xml:space="preserve"> </w:t>
            </w:r>
            <w:r w:rsidR="00B4754E" w:rsidRPr="00B4754E">
              <w:rPr>
                <w:noProof/>
                <w:sz w:val="20"/>
                <w:szCs w:val="20"/>
                <w:shd w:val="clear" w:color="auto" w:fill="D9D9D9" w:themeFill="background1" w:themeFillShade="D9"/>
              </w:rPr>
              <w:t>0.6</w:t>
            </w:r>
          </w:p>
        </w:tc>
        <w:tc>
          <w:tcPr>
            <w:tcW w:w="337" w:type="pct"/>
            <w:tcBorders>
              <w:top w:val="single" w:sz="4" w:space="0" w:color="auto"/>
              <w:left w:val="single" w:sz="4" w:space="0" w:color="auto"/>
              <w:bottom w:val="single" w:sz="4" w:space="0" w:color="auto"/>
              <w:right w:val="single" w:sz="4" w:space="0" w:color="auto"/>
            </w:tcBorders>
            <w:vAlign w:val="center"/>
          </w:tcPr>
          <w:p w14:paraId="36D6A237"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6319EBD3"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7478F84F"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5FDAD5CD" w14:textId="77777777" w:rsidR="00526FEC" w:rsidRPr="00227BE0" w:rsidRDefault="00526FEC" w:rsidP="00526FEC">
            <w:pPr>
              <w:suppressAutoHyphens/>
              <w:jc w:val="center"/>
              <w:rPr>
                <w:sz w:val="20"/>
                <w:szCs w:val="20"/>
              </w:rPr>
            </w:pPr>
            <w:r w:rsidRPr="00227BE0">
              <w:rPr>
                <w:noProof/>
                <w:sz w:val="20"/>
                <w:szCs w:val="20"/>
              </w:rPr>
              <w:t>--</w:t>
            </w:r>
          </w:p>
        </w:tc>
        <w:tc>
          <w:tcPr>
            <w:tcW w:w="403" w:type="pct"/>
            <w:tcBorders>
              <w:top w:val="single" w:sz="4" w:space="0" w:color="auto"/>
              <w:left w:val="single" w:sz="4" w:space="0" w:color="auto"/>
              <w:bottom w:val="single" w:sz="4" w:space="0" w:color="auto"/>
              <w:right w:val="single" w:sz="4" w:space="0" w:color="auto"/>
            </w:tcBorders>
            <w:vAlign w:val="center"/>
          </w:tcPr>
          <w:p w14:paraId="6948F0E9" w14:textId="77777777" w:rsidR="00526FEC" w:rsidRPr="00227BE0" w:rsidRDefault="00526FEC" w:rsidP="00526FEC">
            <w:pPr>
              <w:suppressAutoHyphens/>
              <w:rPr>
                <w:sz w:val="20"/>
                <w:szCs w:val="20"/>
              </w:rPr>
            </w:pPr>
            <w:r w:rsidRPr="00227BE0">
              <w:rPr>
                <w:sz w:val="20"/>
                <w:szCs w:val="20"/>
              </w:rPr>
              <w:t>41.943</w:t>
            </w:r>
          </w:p>
        </w:tc>
        <w:tc>
          <w:tcPr>
            <w:tcW w:w="345" w:type="pct"/>
            <w:tcBorders>
              <w:top w:val="single" w:sz="4" w:space="0" w:color="auto"/>
              <w:left w:val="single" w:sz="4" w:space="0" w:color="auto"/>
              <w:bottom w:val="single" w:sz="4" w:space="0" w:color="auto"/>
              <w:right w:val="single" w:sz="4" w:space="0" w:color="auto"/>
            </w:tcBorders>
            <w:vAlign w:val="center"/>
          </w:tcPr>
          <w:p w14:paraId="2E4F19E0" w14:textId="77777777" w:rsidR="00526FEC" w:rsidRPr="00227BE0" w:rsidRDefault="00526FEC" w:rsidP="00526FEC">
            <w:pPr>
              <w:widowControl w:val="0"/>
              <w:suppressAutoHyphens/>
              <w:jc w:val="center"/>
              <w:rPr>
                <w:noProof/>
                <w:sz w:val="20"/>
                <w:szCs w:val="20"/>
              </w:rPr>
            </w:pPr>
            <w:r w:rsidRPr="00227BE0">
              <w:rPr>
                <w:noProof/>
                <w:sz w:val="20"/>
                <w:szCs w:val="20"/>
              </w:rPr>
              <w:t>--</w:t>
            </w:r>
          </w:p>
        </w:tc>
      </w:tr>
      <w:tr w:rsidR="00526FEC" w:rsidRPr="00227BE0" w14:paraId="03D01574" w14:textId="77777777" w:rsidTr="00B67E21">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441675AD" w14:textId="77777777" w:rsidR="00526FEC" w:rsidRPr="00227BE0" w:rsidRDefault="00526FEC" w:rsidP="00526FEC">
            <w:pPr>
              <w:widowControl w:val="0"/>
              <w:suppressAutoHyphens/>
              <w:rPr>
                <w:noProof/>
                <w:sz w:val="20"/>
                <w:szCs w:val="20"/>
                <w:vertAlign w:val="superscript"/>
              </w:rPr>
            </w:pPr>
            <w:r w:rsidRPr="00227BE0">
              <w:rPr>
                <w:sz w:val="20"/>
                <w:szCs w:val="20"/>
              </w:rPr>
              <w:t>S-Europe</w:t>
            </w:r>
          </w:p>
        </w:tc>
        <w:tc>
          <w:tcPr>
            <w:tcW w:w="275" w:type="pct"/>
            <w:tcBorders>
              <w:top w:val="single" w:sz="4" w:space="0" w:color="auto"/>
              <w:left w:val="single" w:sz="4" w:space="0" w:color="auto"/>
              <w:bottom w:val="single" w:sz="4" w:space="0" w:color="auto"/>
              <w:right w:val="single" w:sz="4" w:space="0" w:color="auto"/>
            </w:tcBorders>
            <w:vAlign w:val="center"/>
          </w:tcPr>
          <w:p w14:paraId="2CAD3734" w14:textId="77777777" w:rsidR="00526FEC" w:rsidRPr="00227BE0" w:rsidRDefault="00526FEC" w:rsidP="00526FEC">
            <w:pPr>
              <w:widowControl w:val="0"/>
              <w:suppressAutoHyphens/>
              <w:rPr>
                <w:noProof/>
                <w:sz w:val="20"/>
                <w:szCs w:val="20"/>
              </w:rPr>
            </w:pPr>
            <w:r w:rsidRPr="00227BE0">
              <w:rPr>
                <w:noProof/>
                <w:sz w:val="20"/>
                <w:szCs w:val="20"/>
              </w:rPr>
              <w:t>11.641</w:t>
            </w:r>
          </w:p>
        </w:tc>
        <w:tc>
          <w:tcPr>
            <w:tcW w:w="284" w:type="pct"/>
            <w:tcBorders>
              <w:top w:val="single" w:sz="4" w:space="0" w:color="auto"/>
              <w:left w:val="single" w:sz="4" w:space="0" w:color="auto"/>
              <w:bottom w:val="single" w:sz="4" w:space="0" w:color="auto"/>
              <w:right w:val="single" w:sz="4" w:space="0" w:color="auto"/>
            </w:tcBorders>
            <w:vAlign w:val="center"/>
          </w:tcPr>
          <w:p w14:paraId="0C2B9911" w14:textId="77777777" w:rsidR="00526FEC" w:rsidRPr="00227BE0" w:rsidRDefault="00526FEC" w:rsidP="00526FEC">
            <w:pPr>
              <w:widowControl w:val="0"/>
              <w:suppressAutoHyphens/>
              <w:jc w:val="center"/>
              <w:rPr>
                <w:b/>
                <w:noProof/>
                <w:sz w:val="20"/>
                <w:szCs w:val="20"/>
              </w:rPr>
            </w:pPr>
            <w:r w:rsidRPr="00227BE0">
              <w:rPr>
                <w:b/>
                <w:color w:val="000000"/>
                <w:sz w:val="20"/>
                <w:szCs w:val="20"/>
              </w:rPr>
              <w:t>4.0</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2F2255" w14:textId="65764D05" w:rsidR="00526FEC" w:rsidRPr="00227BE0" w:rsidRDefault="00B67E21" w:rsidP="00526FEC">
            <w:pPr>
              <w:widowControl w:val="0"/>
              <w:suppressAutoHyphens/>
              <w:jc w:val="center"/>
              <w:rPr>
                <w:b/>
                <w:color w:val="000000"/>
                <w:sz w:val="20"/>
                <w:szCs w:val="20"/>
              </w:rPr>
            </w:pPr>
            <w:r>
              <w:rPr>
                <w:b/>
                <w:color w:val="000000"/>
                <w:sz w:val="20"/>
                <w:szCs w:val="20"/>
              </w:rPr>
              <w:t>3.2</w:t>
            </w:r>
          </w:p>
        </w:tc>
        <w:tc>
          <w:tcPr>
            <w:tcW w:w="337" w:type="pct"/>
            <w:tcBorders>
              <w:top w:val="single" w:sz="4" w:space="0" w:color="auto"/>
              <w:left w:val="single" w:sz="4" w:space="0" w:color="auto"/>
              <w:bottom w:val="single" w:sz="4" w:space="0" w:color="auto"/>
              <w:right w:val="single" w:sz="4" w:space="0" w:color="auto"/>
            </w:tcBorders>
            <w:vAlign w:val="center"/>
          </w:tcPr>
          <w:p w14:paraId="7F9BC61D" w14:textId="55AE9FA3" w:rsidR="00526FEC" w:rsidRPr="00526FEC" w:rsidRDefault="00526FEC" w:rsidP="00526FEC">
            <w:pPr>
              <w:widowControl w:val="0"/>
              <w:suppressAutoHyphens/>
              <w:jc w:val="center"/>
              <w:rPr>
                <w:b/>
                <w:strike/>
                <w:noProof/>
                <w:color w:val="D9D9D9" w:themeColor="background1" w:themeShade="D9"/>
                <w:sz w:val="20"/>
                <w:szCs w:val="20"/>
              </w:rPr>
            </w:pPr>
            <w:r w:rsidRPr="00526FEC">
              <w:rPr>
                <w:b/>
                <w:strike/>
                <w:color w:val="D9D9D9" w:themeColor="background1" w:themeShade="D9"/>
                <w:sz w:val="20"/>
                <w:szCs w:val="20"/>
              </w:rPr>
              <w:t>1.7</w:t>
            </w:r>
          </w:p>
        </w:tc>
        <w:tc>
          <w:tcPr>
            <w:tcW w:w="321" w:type="pct"/>
            <w:tcBorders>
              <w:top w:val="single" w:sz="4" w:space="0" w:color="auto"/>
              <w:left w:val="single" w:sz="4" w:space="0" w:color="auto"/>
              <w:bottom w:val="single" w:sz="4" w:space="0" w:color="auto"/>
              <w:right w:val="single" w:sz="4" w:space="0" w:color="auto"/>
            </w:tcBorders>
            <w:vAlign w:val="center"/>
          </w:tcPr>
          <w:p w14:paraId="160C356F"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6D6A9034"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2C2B1387" w14:textId="008433F4" w:rsidR="00526FEC" w:rsidRPr="00227BE0" w:rsidRDefault="00526FEC" w:rsidP="00526FEC">
            <w:pPr>
              <w:widowControl w:val="0"/>
              <w:suppressAutoHyphens/>
              <w:jc w:val="center"/>
              <w:rPr>
                <w:noProof/>
                <w:sz w:val="20"/>
                <w:szCs w:val="20"/>
              </w:rPr>
            </w:pPr>
            <w:r w:rsidRPr="00CA7CC2">
              <w:rPr>
                <w:strike/>
                <w:color w:val="D9D9D9" w:themeColor="background1" w:themeShade="D9"/>
                <w:sz w:val="20"/>
                <w:szCs w:val="20"/>
              </w:rPr>
              <w:t>&lt; 0.5</w:t>
            </w:r>
            <w:r w:rsidR="00B4754E" w:rsidRPr="00CA7CC2">
              <w:rPr>
                <w:color w:val="D9D9D9" w:themeColor="background1" w:themeShade="D9"/>
                <w:sz w:val="20"/>
                <w:szCs w:val="20"/>
              </w:rPr>
              <w:t xml:space="preserve"> </w:t>
            </w:r>
            <w:r w:rsidR="00CA7CC2" w:rsidRPr="00CA7CC2">
              <w:rPr>
                <w:b/>
                <w:bCs/>
                <w:color w:val="000000"/>
                <w:sz w:val="20"/>
                <w:szCs w:val="20"/>
                <w:shd w:val="clear" w:color="auto" w:fill="D9D9D9" w:themeFill="background1" w:themeFillShade="D9"/>
              </w:rPr>
              <w:t>1.1</w:t>
            </w:r>
          </w:p>
        </w:tc>
        <w:tc>
          <w:tcPr>
            <w:tcW w:w="337" w:type="pct"/>
            <w:tcBorders>
              <w:top w:val="single" w:sz="4" w:space="0" w:color="auto"/>
              <w:left w:val="single" w:sz="4" w:space="0" w:color="auto"/>
              <w:bottom w:val="single" w:sz="4" w:space="0" w:color="auto"/>
              <w:right w:val="single" w:sz="4" w:space="0" w:color="auto"/>
            </w:tcBorders>
            <w:vAlign w:val="center"/>
          </w:tcPr>
          <w:p w14:paraId="0B98E69B"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03D38382"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6468B25E"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1F8FBD6E" w14:textId="77777777" w:rsidR="00526FEC" w:rsidRPr="00227BE0" w:rsidRDefault="00526FEC" w:rsidP="00526FEC">
            <w:pPr>
              <w:suppressAutoHyphens/>
              <w:jc w:val="center"/>
              <w:rPr>
                <w:sz w:val="20"/>
                <w:szCs w:val="20"/>
              </w:rPr>
            </w:pPr>
            <w:r w:rsidRPr="00227BE0">
              <w:rPr>
                <w:noProof/>
                <w:sz w:val="20"/>
                <w:szCs w:val="20"/>
              </w:rPr>
              <w:t>--</w:t>
            </w:r>
          </w:p>
        </w:tc>
        <w:tc>
          <w:tcPr>
            <w:tcW w:w="403" w:type="pct"/>
            <w:tcBorders>
              <w:top w:val="single" w:sz="4" w:space="0" w:color="auto"/>
              <w:left w:val="single" w:sz="4" w:space="0" w:color="auto"/>
              <w:bottom w:val="single" w:sz="4" w:space="0" w:color="auto"/>
              <w:right w:val="single" w:sz="4" w:space="0" w:color="auto"/>
            </w:tcBorders>
            <w:vAlign w:val="center"/>
          </w:tcPr>
          <w:p w14:paraId="6862F369" w14:textId="77777777" w:rsidR="00526FEC" w:rsidRPr="00227BE0" w:rsidRDefault="00526FEC" w:rsidP="00526FEC">
            <w:pPr>
              <w:suppressAutoHyphens/>
              <w:rPr>
                <w:sz w:val="20"/>
                <w:szCs w:val="20"/>
              </w:rPr>
            </w:pPr>
            <w:r w:rsidRPr="00227BE0">
              <w:rPr>
                <w:sz w:val="20"/>
                <w:szCs w:val="20"/>
              </w:rPr>
              <w:t>78.134</w:t>
            </w:r>
          </w:p>
        </w:tc>
        <w:tc>
          <w:tcPr>
            <w:tcW w:w="345" w:type="pct"/>
            <w:tcBorders>
              <w:top w:val="single" w:sz="4" w:space="0" w:color="auto"/>
              <w:left w:val="single" w:sz="4" w:space="0" w:color="auto"/>
              <w:bottom w:val="single" w:sz="4" w:space="0" w:color="auto"/>
              <w:right w:val="single" w:sz="4" w:space="0" w:color="auto"/>
            </w:tcBorders>
            <w:vAlign w:val="center"/>
          </w:tcPr>
          <w:p w14:paraId="3720E3CE" w14:textId="77777777" w:rsidR="00526FEC" w:rsidRPr="00227BE0" w:rsidRDefault="00526FEC" w:rsidP="00526FEC">
            <w:pPr>
              <w:widowControl w:val="0"/>
              <w:suppressAutoHyphens/>
              <w:jc w:val="center"/>
              <w:rPr>
                <w:noProof/>
                <w:sz w:val="20"/>
                <w:szCs w:val="20"/>
              </w:rPr>
            </w:pPr>
            <w:r w:rsidRPr="00227BE0">
              <w:rPr>
                <w:noProof/>
                <w:sz w:val="20"/>
                <w:szCs w:val="20"/>
              </w:rPr>
              <w:t>--</w:t>
            </w:r>
          </w:p>
        </w:tc>
      </w:tr>
      <w:tr w:rsidR="00526FEC" w:rsidRPr="00227BE0" w14:paraId="43155846" w14:textId="77777777" w:rsidTr="00526FEC">
        <w:trPr>
          <w:cantSplit/>
        </w:trPr>
        <w:tc>
          <w:tcPr>
            <w:tcW w:w="460" w:type="pct"/>
            <w:tcBorders>
              <w:top w:val="single" w:sz="4" w:space="0" w:color="auto"/>
              <w:left w:val="single" w:sz="4" w:space="0" w:color="auto"/>
              <w:bottom w:val="single" w:sz="4" w:space="0" w:color="auto"/>
              <w:right w:val="nil"/>
            </w:tcBorders>
            <w:vAlign w:val="center"/>
          </w:tcPr>
          <w:p w14:paraId="60D3BEC8" w14:textId="77777777" w:rsidR="00526FEC" w:rsidRPr="00227BE0" w:rsidRDefault="00526FEC" w:rsidP="00526FEC">
            <w:pPr>
              <w:widowControl w:val="0"/>
              <w:suppressAutoHyphens/>
              <w:rPr>
                <w:b/>
                <w:sz w:val="20"/>
                <w:szCs w:val="20"/>
                <w:lang w:val="en-GB"/>
              </w:rPr>
            </w:pPr>
            <w:r w:rsidRPr="00227BE0">
              <w:rPr>
                <w:b/>
                <w:sz w:val="20"/>
                <w:szCs w:val="20"/>
                <w:lang w:val="en-GB"/>
              </w:rPr>
              <w:t>Step 3</w:t>
            </w:r>
          </w:p>
        </w:tc>
        <w:tc>
          <w:tcPr>
            <w:tcW w:w="275" w:type="pct"/>
            <w:tcBorders>
              <w:top w:val="single" w:sz="4" w:space="0" w:color="auto"/>
              <w:left w:val="nil"/>
              <w:bottom w:val="single" w:sz="4" w:space="0" w:color="auto"/>
              <w:right w:val="nil"/>
            </w:tcBorders>
            <w:vAlign w:val="center"/>
          </w:tcPr>
          <w:p w14:paraId="364AEEFA" w14:textId="77777777" w:rsidR="00526FEC" w:rsidRPr="00227BE0" w:rsidRDefault="00526FEC" w:rsidP="00526FEC">
            <w:pPr>
              <w:widowControl w:val="0"/>
              <w:suppressAutoHyphens/>
              <w:rPr>
                <w:b/>
                <w:bCs/>
                <w:sz w:val="20"/>
                <w:szCs w:val="20"/>
              </w:rPr>
            </w:pPr>
          </w:p>
        </w:tc>
        <w:tc>
          <w:tcPr>
            <w:tcW w:w="325" w:type="pct"/>
            <w:gridSpan w:val="2"/>
            <w:tcBorders>
              <w:top w:val="single" w:sz="4" w:space="0" w:color="auto"/>
              <w:left w:val="nil"/>
              <w:bottom w:val="single" w:sz="4" w:space="0" w:color="auto"/>
              <w:right w:val="nil"/>
            </w:tcBorders>
          </w:tcPr>
          <w:p w14:paraId="0717B9B0" w14:textId="77777777" w:rsidR="00526FEC" w:rsidRPr="00227BE0" w:rsidRDefault="00526FEC" w:rsidP="00526FEC">
            <w:pPr>
              <w:keepNext/>
              <w:keepLines/>
              <w:widowControl w:val="0"/>
              <w:suppressAutoHyphens/>
              <w:jc w:val="center"/>
              <w:rPr>
                <w:b/>
                <w:bCs/>
                <w:noProof/>
                <w:sz w:val="20"/>
                <w:szCs w:val="20"/>
              </w:rPr>
            </w:pPr>
          </w:p>
        </w:tc>
        <w:tc>
          <w:tcPr>
            <w:tcW w:w="2791" w:type="pct"/>
            <w:gridSpan w:val="8"/>
            <w:tcBorders>
              <w:top w:val="single" w:sz="4" w:space="0" w:color="auto"/>
              <w:left w:val="nil"/>
              <w:bottom w:val="single" w:sz="4" w:space="0" w:color="auto"/>
              <w:right w:val="nil"/>
            </w:tcBorders>
            <w:vAlign w:val="center"/>
          </w:tcPr>
          <w:p w14:paraId="73BEAB02" w14:textId="7812DF91" w:rsidR="00526FEC" w:rsidRPr="00227BE0" w:rsidRDefault="00526FEC" w:rsidP="00526FEC">
            <w:pPr>
              <w:keepNext/>
              <w:keepLines/>
              <w:widowControl w:val="0"/>
              <w:suppressAutoHyphens/>
              <w:jc w:val="center"/>
              <w:rPr>
                <w:b/>
                <w:bCs/>
                <w:noProof/>
                <w:sz w:val="20"/>
                <w:szCs w:val="20"/>
              </w:rPr>
            </w:pPr>
          </w:p>
        </w:tc>
        <w:tc>
          <w:tcPr>
            <w:tcW w:w="402" w:type="pct"/>
            <w:tcBorders>
              <w:top w:val="single" w:sz="4" w:space="0" w:color="auto"/>
              <w:left w:val="nil"/>
              <w:bottom w:val="single" w:sz="4" w:space="0" w:color="auto"/>
              <w:right w:val="nil"/>
            </w:tcBorders>
          </w:tcPr>
          <w:p w14:paraId="74B362C9" w14:textId="77777777" w:rsidR="00526FEC" w:rsidRPr="00227BE0" w:rsidRDefault="00526FEC" w:rsidP="00526FEC">
            <w:pPr>
              <w:widowControl w:val="0"/>
              <w:suppressAutoHyphens/>
              <w:rPr>
                <w:b/>
                <w:bCs/>
                <w:sz w:val="20"/>
                <w:szCs w:val="20"/>
              </w:rPr>
            </w:pPr>
          </w:p>
        </w:tc>
        <w:tc>
          <w:tcPr>
            <w:tcW w:w="403" w:type="pct"/>
            <w:tcBorders>
              <w:top w:val="single" w:sz="4" w:space="0" w:color="auto"/>
              <w:left w:val="nil"/>
              <w:bottom w:val="single" w:sz="4" w:space="0" w:color="auto"/>
              <w:right w:val="nil"/>
            </w:tcBorders>
            <w:vAlign w:val="bottom"/>
          </w:tcPr>
          <w:p w14:paraId="20E1AAFD" w14:textId="77777777" w:rsidR="00526FEC" w:rsidRPr="00227BE0" w:rsidRDefault="00526FEC" w:rsidP="00526FEC">
            <w:pPr>
              <w:widowControl w:val="0"/>
              <w:suppressAutoHyphens/>
              <w:rPr>
                <w:b/>
                <w:bCs/>
                <w:sz w:val="20"/>
                <w:szCs w:val="20"/>
              </w:rPr>
            </w:pPr>
          </w:p>
        </w:tc>
        <w:tc>
          <w:tcPr>
            <w:tcW w:w="345" w:type="pct"/>
            <w:tcBorders>
              <w:top w:val="single" w:sz="4" w:space="0" w:color="auto"/>
              <w:left w:val="nil"/>
              <w:bottom w:val="single" w:sz="4" w:space="0" w:color="auto"/>
              <w:right w:val="single" w:sz="4" w:space="0" w:color="auto"/>
            </w:tcBorders>
            <w:vAlign w:val="bottom"/>
          </w:tcPr>
          <w:p w14:paraId="0C696A07" w14:textId="77777777" w:rsidR="00526FEC" w:rsidRPr="00227BE0" w:rsidRDefault="00526FEC" w:rsidP="00526FEC">
            <w:pPr>
              <w:widowControl w:val="0"/>
              <w:suppressAutoHyphens/>
              <w:jc w:val="center"/>
              <w:rPr>
                <w:b/>
                <w:bCs/>
                <w:noProof/>
                <w:sz w:val="20"/>
                <w:szCs w:val="20"/>
              </w:rPr>
            </w:pPr>
          </w:p>
        </w:tc>
      </w:tr>
      <w:tr w:rsidR="00526FEC" w:rsidRPr="00227BE0" w14:paraId="6FF624D6" w14:textId="77777777" w:rsidTr="003D2B5A">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24E84515" w14:textId="77777777" w:rsidR="00526FEC" w:rsidRPr="00227BE0" w:rsidRDefault="00526FEC" w:rsidP="00526FEC">
            <w:pPr>
              <w:widowControl w:val="0"/>
              <w:suppressAutoHyphens/>
              <w:rPr>
                <w:noProof/>
                <w:sz w:val="20"/>
                <w:szCs w:val="20"/>
                <w:vertAlign w:val="superscript"/>
              </w:rPr>
            </w:pPr>
            <w:r w:rsidRPr="00227BE0">
              <w:rPr>
                <w:sz w:val="20"/>
                <w:szCs w:val="20"/>
              </w:rPr>
              <w:t>D3 ditch</w:t>
            </w:r>
          </w:p>
        </w:tc>
        <w:tc>
          <w:tcPr>
            <w:tcW w:w="275" w:type="pct"/>
            <w:tcBorders>
              <w:top w:val="single" w:sz="4" w:space="0" w:color="auto"/>
              <w:left w:val="single" w:sz="4" w:space="0" w:color="auto"/>
              <w:bottom w:val="single" w:sz="4" w:space="0" w:color="auto"/>
              <w:right w:val="single" w:sz="4" w:space="0" w:color="auto"/>
            </w:tcBorders>
            <w:vAlign w:val="center"/>
          </w:tcPr>
          <w:p w14:paraId="7DAEED53" w14:textId="77777777" w:rsidR="00526FEC" w:rsidRPr="00227BE0" w:rsidRDefault="00526FEC" w:rsidP="00526FEC">
            <w:pPr>
              <w:widowControl w:val="0"/>
              <w:suppressAutoHyphens/>
              <w:rPr>
                <w:noProof/>
                <w:sz w:val="20"/>
                <w:szCs w:val="20"/>
              </w:rPr>
            </w:pPr>
            <w:r w:rsidRPr="00227BE0">
              <w:rPr>
                <w:rFonts w:eastAsia="SimSun"/>
                <w:sz w:val="20"/>
                <w:szCs w:val="20"/>
              </w:rPr>
              <w:t>0.634</w:t>
            </w:r>
          </w:p>
        </w:tc>
        <w:tc>
          <w:tcPr>
            <w:tcW w:w="284" w:type="pct"/>
            <w:tcBorders>
              <w:top w:val="single" w:sz="4" w:space="0" w:color="auto"/>
              <w:left w:val="single" w:sz="4" w:space="0" w:color="auto"/>
              <w:bottom w:val="single" w:sz="4" w:space="0" w:color="auto"/>
              <w:right w:val="single" w:sz="4" w:space="0" w:color="auto"/>
            </w:tcBorders>
            <w:vAlign w:val="center"/>
          </w:tcPr>
          <w:p w14:paraId="3AD379EC" w14:textId="77777777" w:rsidR="00526FEC" w:rsidRPr="00227BE0" w:rsidRDefault="00526FEC" w:rsidP="00526FEC">
            <w:pPr>
              <w:widowControl w:val="0"/>
              <w:suppressAutoHyphens/>
              <w:jc w:val="center"/>
              <w:rPr>
                <w:b/>
                <w:noProof/>
                <w:sz w:val="20"/>
                <w:szCs w:val="20"/>
              </w:rPr>
            </w:pPr>
            <w:r w:rsidRPr="00227BE0">
              <w:rPr>
                <w:color w:val="000000"/>
                <w:sz w:val="20"/>
                <w:szCs w:val="20"/>
              </w:rPr>
              <w:t>0.2</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D90DEE" w14:textId="2E1B6DF4" w:rsidR="00526FEC" w:rsidRPr="00227BE0" w:rsidRDefault="009A4091" w:rsidP="00526FEC">
            <w:pPr>
              <w:widowControl w:val="0"/>
              <w:suppressAutoHyphens/>
              <w:jc w:val="center"/>
              <w:rPr>
                <w:color w:val="000000"/>
                <w:sz w:val="20"/>
                <w:szCs w:val="20"/>
              </w:rPr>
            </w:pPr>
            <w:r>
              <w:rPr>
                <w:color w:val="000000"/>
                <w:sz w:val="20"/>
                <w:szCs w:val="20"/>
              </w:rPr>
              <w:t>0.</w:t>
            </w:r>
            <w:r w:rsidR="00612F06">
              <w:rPr>
                <w:color w:val="000000"/>
                <w:sz w:val="20"/>
                <w:szCs w:val="20"/>
              </w:rPr>
              <w:t>18</w:t>
            </w:r>
          </w:p>
        </w:tc>
        <w:tc>
          <w:tcPr>
            <w:tcW w:w="337" w:type="pct"/>
            <w:tcBorders>
              <w:top w:val="single" w:sz="4" w:space="0" w:color="auto"/>
              <w:left w:val="single" w:sz="4" w:space="0" w:color="auto"/>
              <w:bottom w:val="single" w:sz="4" w:space="0" w:color="auto"/>
              <w:right w:val="single" w:sz="4" w:space="0" w:color="auto"/>
            </w:tcBorders>
            <w:vAlign w:val="center"/>
          </w:tcPr>
          <w:p w14:paraId="5DF91472" w14:textId="48039788" w:rsidR="00526FEC" w:rsidRPr="00526FEC" w:rsidRDefault="00526FEC" w:rsidP="00526FEC">
            <w:pPr>
              <w:widowControl w:val="0"/>
              <w:suppressAutoHyphens/>
              <w:jc w:val="center"/>
              <w:rPr>
                <w:b/>
                <w:strike/>
                <w:noProof/>
                <w:color w:val="D9D9D9" w:themeColor="background1" w:themeShade="D9"/>
                <w:sz w:val="20"/>
                <w:szCs w:val="20"/>
              </w:rPr>
            </w:pPr>
            <w:r w:rsidRPr="00526FEC">
              <w:rPr>
                <w:strike/>
                <w:color w:val="D9D9D9" w:themeColor="background1" w:themeShade="D9"/>
                <w:sz w:val="20"/>
                <w:szCs w:val="20"/>
              </w:rPr>
              <w:t>0.09</w:t>
            </w:r>
          </w:p>
        </w:tc>
        <w:tc>
          <w:tcPr>
            <w:tcW w:w="321" w:type="pct"/>
            <w:tcBorders>
              <w:top w:val="single" w:sz="4" w:space="0" w:color="auto"/>
              <w:left w:val="single" w:sz="4" w:space="0" w:color="auto"/>
              <w:bottom w:val="single" w:sz="4" w:space="0" w:color="auto"/>
              <w:right w:val="single" w:sz="4" w:space="0" w:color="auto"/>
            </w:tcBorders>
            <w:vAlign w:val="center"/>
          </w:tcPr>
          <w:p w14:paraId="37923EB8"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007CE281"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0A112E" w14:textId="78DA5A27" w:rsidR="00526FEC" w:rsidRPr="00227BE0" w:rsidRDefault="005E2637" w:rsidP="00526FEC">
            <w:pPr>
              <w:widowControl w:val="0"/>
              <w:suppressAutoHyphens/>
              <w:jc w:val="center"/>
              <w:rPr>
                <w:noProof/>
                <w:sz w:val="20"/>
                <w:szCs w:val="20"/>
              </w:rPr>
            </w:pPr>
            <w:r>
              <w:rPr>
                <w:noProof/>
                <w:sz w:val="20"/>
                <w:szCs w:val="20"/>
              </w:rPr>
              <w:t>0.</w:t>
            </w:r>
            <w:r w:rsidR="003D2B5A">
              <w:rPr>
                <w:noProof/>
                <w:sz w:val="20"/>
                <w:szCs w:val="20"/>
              </w:rPr>
              <w:t>06</w:t>
            </w:r>
          </w:p>
        </w:tc>
        <w:tc>
          <w:tcPr>
            <w:tcW w:w="337" w:type="pct"/>
            <w:tcBorders>
              <w:top w:val="single" w:sz="4" w:space="0" w:color="auto"/>
              <w:left w:val="single" w:sz="4" w:space="0" w:color="auto"/>
              <w:bottom w:val="single" w:sz="4" w:space="0" w:color="auto"/>
              <w:right w:val="single" w:sz="4" w:space="0" w:color="auto"/>
            </w:tcBorders>
            <w:vAlign w:val="center"/>
          </w:tcPr>
          <w:p w14:paraId="6741F2E4"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681010AF"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4B5CED14"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46FFFA7F" w14:textId="77777777" w:rsidR="00526FEC" w:rsidRPr="00227BE0" w:rsidRDefault="00526FEC" w:rsidP="00526FEC">
            <w:pPr>
              <w:suppressAutoHyphens/>
              <w:jc w:val="center"/>
              <w:rPr>
                <w:rFonts w:eastAsia="SimSun"/>
                <w:sz w:val="20"/>
                <w:szCs w:val="20"/>
              </w:rPr>
            </w:pPr>
            <w:r w:rsidRPr="00227BE0">
              <w:rPr>
                <w:noProof/>
                <w:sz w:val="20"/>
                <w:szCs w:val="20"/>
              </w:rPr>
              <w:t>--</w:t>
            </w:r>
          </w:p>
        </w:tc>
        <w:tc>
          <w:tcPr>
            <w:tcW w:w="403" w:type="pct"/>
            <w:tcBorders>
              <w:top w:val="single" w:sz="4" w:space="0" w:color="auto"/>
              <w:left w:val="single" w:sz="4" w:space="0" w:color="auto"/>
              <w:bottom w:val="single" w:sz="4" w:space="0" w:color="auto"/>
              <w:right w:val="single" w:sz="4" w:space="0" w:color="auto"/>
            </w:tcBorders>
            <w:vAlign w:val="center"/>
          </w:tcPr>
          <w:p w14:paraId="6539B8FE" w14:textId="77777777" w:rsidR="00526FEC" w:rsidRPr="00227BE0" w:rsidRDefault="00526FEC" w:rsidP="00526FEC">
            <w:pPr>
              <w:suppressAutoHyphens/>
              <w:rPr>
                <w:sz w:val="20"/>
                <w:szCs w:val="20"/>
              </w:rPr>
            </w:pPr>
            <w:r w:rsidRPr="00227BE0">
              <w:rPr>
                <w:rFonts w:eastAsia="SimSun"/>
                <w:sz w:val="20"/>
                <w:szCs w:val="20"/>
              </w:rPr>
              <w:t>0.379</w:t>
            </w:r>
          </w:p>
        </w:tc>
        <w:tc>
          <w:tcPr>
            <w:tcW w:w="345" w:type="pct"/>
            <w:tcBorders>
              <w:top w:val="single" w:sz="4" w:space="0" w:color="auto"/>
              <w:left w:val="single" w:sz="4" w:space="0" w:color="auto"/>
              <w:bottom w:val="single" w:sz="4" w:space="0" w:color="auto"/>
              <w:right w:val="single" w:sz="4" w:space="0" w:color="auto"/>
            </w:tcBorders>
            <w:vAlign w:val="center"/>
          </w:tcPr>
          <w:p w14:paraId="727AE6D3" w14:textId="77777777" w:rsidR="00526FEC" w:rsidRPr="00227BE0" w:rsidRDefault="00526FEC" w:rsidP="00526FEC">
            <w:pPr>
              <w:widowControl w:val="0"/>
              <w:suppressAutoHyphens/>
              <w:jc w:val="center"/>
              <w:rPr>
                <w:noProof/>
                <w:sz w:val="20"/>
                <w:szCs w:val="20"/>
              </w:rPr>
            </w:pPr>
            <w:r w:rsidRPr="00227BE0">
              <w:rPr>
                <w:noProof/>
                <w:sz w:val="20"/>
                <w:szCs w:val="20"/>
              </w:rPr>
              <w:t>--</w:t>
            </w:r>
          </w:p>
        </w:tc>
      </w:tr>
      <w:tr w:rsidR="00526FEC" w:rsidRPr="00227BE0" w14:paraId="71AD4AFD" w14:textId="77777777" w:rsidTr="003D2B5A">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50F00D11" w14:textId="77777777" w:rsidR="00526FEC" w:rsidRPr="00227BE0" w:rsidRDefault="00526FEC" w:rsidP="00526FEC">
            <w:pPr>
              <w:widowControl w:val="0"/>
              <w:suppressAutoHyphens/>
              <w:rPr>
                <w:noProof/>
                <w:sz w:val="20"/>
                <w:szCs w:val="20"/>
                <w:vertAlign w:val="superscript"/>
              </w:rPr>
            </w:pPr>
            <w:r w:rsidRPr="00227BE0">
              <w:rPr>
                <w:sz w:val="20"/>
                <w:szCs w:val="20"/>
              </w:rPr>
              <w:t>D4 pond</w:t>
            </w:r>
          </w:p>
        </w:tc>
        <w:tc>
          <w:tcPr>
            <w:tcW w:w="275" w:type="pct"/>
            <w:tcBorders>
              <w:top w:val="single" w:sz="4" w:space="0" w:color="auto"/>
              <w:left w:val="single" w:sz="4" w:space="0" w:color="auto"/>
              <w:bottom w:val="single" w:sz="4" w:space="0" w:color="auto"/>
              <w:right w:val="single" w:sz="4" w:space="0" w:color="auto"/>
            </w:tcBorders>
            <w:vAlign w:val="center"/>
          </w:tcPr>
          <w:p w14:paraId="24323199" w14:textId="77777777" w:rsidR="00526FEC" w:rsidRPr="00227BE0" w:rsidRDefault="00526FEC" w:rsidP="00526FEC">
            <w:pPr>
              <w:widowControl w:val="0"/>
              <w:suppressAutoHyphens/>
              <w:rPr>
                <w:noProof/>
                <w:sz w:val="20"/>
                <w:szCs w:val="20"/>
              </w:rPr>
            </w:pPr>
            <w:r w:rsidRPr="00227BE0">
              <w:rPr>
                <w:rFonts w:eastAsia="SimSun"/>
                <w:sz w:val="20"/>
                <w:szCs w:val="20"/>
              </w:rPr>
              <w:t>0.440</w:t>
            </w:r>
          </w:p>
        </w:tc>
        <w:tc>
          <w:tcPr>
            <w:tcW w:w="284" w:type="pct"/>
            <w:tcBorders>
              <w:top w:val="single" w:sz="4" w:space="0" w:color="auto"/>
              <w:left w:val="single" w:sz="4" w:space="0" w:color="auto"/>
              <w:bottom w:val="single" w:sz="4" w:space="0" w:color="auto"/>
              <w:right w:val="single" w:sz="4" w:space="0" w:color="auto"/>
            </w:tcBorders>
            <w:vAlign w:val="center"/>
          </w:tcPr>
          <w:p w14:paraId="34A58E0E" w14:textId="77777777" w:rsidR="00526FEC" w:rsidRPr="00227BE0" w:rsidRDefault="00526FEC" w:rsidP="00526FEC">
            <w:pPr>
              <w:widowControl w:val="0"/>
              <w:suppressAutoHyphens/>
              <w:jc w:val="center"/>
              <w:rPr>
                <w:b/>
                <w:noProof/>
                <w:sz w:val="20"/>
                <w:szCs w:val="20"/>
              </w:rPr>
            </w:pPr>
            <w:r w:rsidRPr="00227BE0">
              <w:rPr>
                <w:color w:val="000000"/>
                <w:sz w:val="20"/>
                <w:szCs w:val="20"/>
              </w:rPr>
              <w:t>0.2</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532E7" w14:textId="6A90DF8B" w:rsidR="00526FEC" w:rsidRPr="00227BE0" w:rsidRDefault="00612F06" w:rsidP="00526FEC">
            <w:pPr>
              <w:widowControl w:val="0"/>
              <w:suppressAutoHyphens/>
              <w:jc w:val="center"/>
              <w:rPr>
                <w:color w:val="000000"/>
                <w:sz w:val="20"/>
                <w:szCs w:val="20"/>
              </w:rPr>
            </w:pPr>
            <w:r>
              <w:rPr>
                <w:color w:val="000000"/>
                <w:sz w:val="20"/>
                <w:szCs w:val="20"/>
              </w:rPr>
              <w:t>0.12</w:t>
            </w:r>
          </w:p>
        </w:tc>
        <w:tc>
          <w:tcPr>
            <w:tcW w:w="337" w:type="pct"/>
            <w:tcBorders>
              <w:top w:val="single" w:sz="4" w:space="0" w:color="auto"/>
              <w:left w:val="single" w:sz="4" w:space="0" w:color="auto"/>
              <w:bottom w:val="single" w:sz="4" w:space="0" w:color="auto"/>
              <w:right w:val="single" w:sz="4" w:space="0" w:color="auto"/>
            </w:tcBorders>
            <w:vAlign w:val="center"/>
          </w:tcPr>
          <w:p w14:paraId="4E476FE6" w14:textId="11467438" w:rsidR="00526FEC" w:rsidRPr="00526FEC" w:rsidRDefault="00526FEC" w:rsidP="00526FEC">
            <w:pPr>
              <w:widowControl w:val="0"/>
              <w:suppressAutoHyphens/>
              <w:jc w:val="center"/>
              <w:rPr>
                <w:b/>
                <w:strike/>
                <w:noProof/>
                <w:color w:val="D9D9D9" w:themeColor="background1" w:themeShade="D9"/>
                <w:sz w:val="20"/>
                <w:szCs w:val="20"/>
              </w:rPr>
            </w:pPr>
            <w:r w:rsidRPr="00526FEC">
              <w:rPr>
                <w:strike/>
                <w:color w:val="D9D9D9" w:themeColor="background1" w:themeShade="D9"/>
                <w:sz w:val="20"/>
                <w:szCs w:val="20"/>
              </w:rPr>
              <w:t>0.07</w:t>
            </w:r>
          </w:p>
        </w:tc>
        <w:tc>
          <w:tcPr>
            <w:tcW w:w="321" w:type="pct"/>
            <w:tcBorders>
              <w:top w:val="single" w:sz="4" w:space="0" w:color="auto"/>
              <w:left w:val="single" w:sz="4" w:space="0" w:color="auto"/>
              <w:bottom w:val="single" w:sz="4" w:space="0" w:color="auto"/>
              <w:right w:val="single" w:sz="4" w:space="0" w:color="auto"/>
            </w:tcBorders>
            <w:vAlign w:val="center"/>
          </w:tcPr>
          <w:p w14:paraId="259CA8F7"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060AE07A"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526C81" w14:textId="5B1F1E99" w:rsidR="00526FEC" w:rsidRPr="00227BE0" w:rsidRDefault="003D2B5A" w:rsidP="00526FEC">
            <w:pPr>
              <w:widowControl w:val="0"/>
              <w:suppressAutoHyphens/>
              <w:jc w:val="center"/>
              <w:rPr>
                <w:noProof/>
                <w:sz w:val="20"/>
                <w:szCs w:val="20"/>
              </w:rPr>
            </w:pPr>
            <w:r>
              <w:rPr>
                <w:noProof/>
                <w:sz w:val="20"/>
                <w:szCs w:val="20"/>
              </w:rPr>
              <w:t>0.04</w:t>
            </w:r>
          </w:p>
        </w:tc>
        <w:tc>
          <w:tcPr>
            <w:tcW w:w="337" w:type="pct"/>
            <w:tcBorders>
              <w:top w:val="single" w:sz="4" w:space="0" w:color="auto"/>
              <w:left w:val="single" w:sz="4" w:space="0" w:color="auto"/>
              <w:bottom w:val="single" w:sz="4" w:space="0" w:color="auto"/>
              <w:right w:val="single" w:sz="4" w:space="0" w:color="auto"/>
            </w:tcBorders>
            <w:vAlign w:val="center"/>
          </w:tcPr>
          <w:p w14:paraId="771975F0"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26CE79AA"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5A1E43CD"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561BEF88" w14:textId="77777777" w:rsidR="00526FEC" w:rsidRPr="00227BE0" w:rsidRDefault="00526FEC" w:rsidP="00526FEC">
            <w:pPr>
              <w:suppressAutoHyphens/>
              <w:jc w:val="center"/>
              <w:rPr>
                <w:rFonts w:eastAsia="SimSun"/>
                <w:sz w:val="20"/>
                <w:szCs w:val="20"/>
              </w:rPr>
            </w:pPr>
            <w:r w:rsidRPr="00227BE0">
              <w:rPr>
                <w:noProof/>
                <w:sz w:val="20"/>
                <w:szCs w:val="20"/>
              </w:rPr>
              <w:t>--</w:t>
            </w:r>
          </w:p>
        </w:tc>
        <w:tc>
          <w:tcPr>
            <w:tcW w:w="403" w:type="pct"/>
            <w:tcBorders>
              <w:top w:val="single" w:sz="4" w:space="0" w:color="auto"/>
              <w:left w:val="single" w:sz="4" w:space="0" w:color="auto"/>
              <w:bottom w:val="single" w:sz="4" w:space="0" w:color="auto"/>
              <w:right w:val="single" w:sz="4" w:space="0" w:color="auto"/>
            </w:tcBorders>
            <w:vAlign w:val="center"/>
          </w:tcPr>
          <w:p w14:paraId="08C10901" w14:textId="77777777" w:rsidR="00526FEC" w:rsidRPr="00227BE0" w:rsidRDefault="00526FEC" w:rsidP="00526FEC">
            <w:pPr>
              <w:suppressAutoHyphens/>
              <w:rPr>
                <w:sz w:val="20"/>
                <w:szCs w:val="20"/>
              </w:rPr>
            </w:pPr>
            <w:r w:rsidRPr="00227BE0">
              <w:rPr>
                <w:rFonts w:eastAsia="SimSun"/>
                <w:sz w:val="20"/>
                <w:szCs w:val="20"/>
              </w:rPr>
              <w:t>3.181</w:t>
            </w:r>
          </w:p>
        </w:tc>
        <w:tc>
          <w:tcPr>
            <w:tcW w:w="345" w:type="pct"/>
            <w:tcBorders>
              <w:top w:val="single" w:sz="4" w:space="0" w:color="auto"/>
              <w:left w:val="single" w:sz="4" w:space="0" w:color="auto"/>
              <w:bottom w:val="single" w:sz="4" w:space="0" w:color="auto"/>
              <w:right w:val="single" w:sz="4" w:space="0" w:color="auto"/>
            </w:tcBorders>
            <w:vAlign w:val="center"/>
          </w:tcPr>
          <w:p w14:paraId="7083219C" w14:textId="77777777" w:rsidR="00526FEC" w:rsidRPr="00227BE0" w:rsidRDefault="00526FEC" w:rsidP="00526FEC">
            <w:pPr>
              <w:widowControl w:val="0"/>
              <w:suppressAutoHyphens/>
              <w:jc w:val="center"/>
              <w:rPr>
                <w:noProof/>
                <w:sz w:val="20"/>
                <w:szCs w:val="20"/>
              </w:rPr>
            </w:pPr>
            <w:r w:rsidRPr="00227BE0">
              <w:rPr>
                <w:noProof/>
                <w:sz w:val="20"/>
                <w:szCs w:val="20"/>
              </w:rPr>
              <w:t>--</w:t>
            </w:r>
          </w:p>
        </w:tc>
      </w:tr>
      <w:tr w:rsidR="00526FEC" w:rsidRPr="00227BE0" w14:paraId="128B1691" w14:textId="77777777" w:rsidTr="003D2B5A">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2022CCB7" w14:textId="77777777" w:rsidR="00526FEC" w:rsidRPr="00227BE0" w:rsidRDefault="00526FEC" w:rsidP="00526FEC">
            <w:pPr>
              <w:widowControl w:val="0"/>
              <w:suppressAutoHyphens/>
              <w:rPr>
                <w:noProof/>
                <w:sz w:val="20"/>
                <w:szCs w:val="20"/>
                <w:vertAlign w:val="superscript"/>
              </w:rPr>
            </w:pPr>
            <w:r w:rsidRPr="00227BE0">
              <w:rPr>
                <w:sz w:val="20"/>
                <w:szCs w:val="20"/>
              </w:rPr>
              <w:lastRenderedPageBreak/>
              <w:t>D4 stream</w:t>
            </w:r>
          </w:p>
        </w:tc>
        <w:tc>
          <w:tcPr>
            <w:tcW w:w="275" w:type="pct"/>
            <w:tcBorders>
              <w:top w:val="single" w:sz="4" w:space="0" w:color="auto"/>
              <w:left w:val="single" w:sz="4" w:space="0" w:color="auto"/>
              <w:bottom w:val="single" w:sz="4" w:space="0" w:color="auto"/>
              <w:right w:val="single" w:sz="4" w:space="0" w:color="auto"/>
            </w:tcBorders>
            <w:vAlign w:val="center"/>
          </w:tcPr>
          <w:p w14:paraId="7214453F" w14:textId="77777777" w:rsidR="00526FEC" w:rsidRPr="00227BE0" w:rsidRDefault="00526FEC" w:rsidP="00526FEC">
            <w:pPr>
              <w:widowControl w:val="0"/>
              <w:suppressAutoHyphens/>
              <w:rPr>
                <w:noProof/>
                <w:sz w:val="20"/>
                <w:szCs w:val="20"/>
              </w:rPr>
            </w:pPr>
            <w:r w:rsidRPr="00227BE0">
              <w:rPr>
                <w:rFonts w:eastAsia="SimSun"/>
                <w:sz w:val="20"/>
                <w:szCs w:val="20"/>
              </w:rPr>
              <w:t>0.582</w:t>
            </w:r>
          </w:p>
        </w:tc>
        <w:tc>
          <w:tcPr>
            <w:tcW w:w="284" w:type="pct"/>
            <w:tcBorders>
              <w:top w:val="single" w:sz="4" w:space="0" w:color="auto"/>
              <w:left w:val="single" w:sz="4" w:space="0" w:color="auto"/>
              <w:bottom w:val="single" w:sz="4" w:space="0" w:color="auto"/>
              <w:right w:val="single" w:sz="4" w:space="0" w:color="auto"/>
            </w:tcBorders>
            <w:vAlign w:val="center"/>
          </w:tcPr>
          <w:p w14:paraId="0EB167A5" w14:textId="77777777" w:rsidR="00526FEC" w:rsidRPr="00227BE0" w:rsidRDefault="00526FEC" w:rsidP="00526FEC">
            <w:pPr>
              <w:widowControl w:val="0"/>
              <w:suppressAutoHyphens/>
              <w:jc w:val="center"/>
              <w:rPr>
                <w:b/>
                <w:noProof/>
                <w:sz w:val="20"/>
                <w:szCs w:val="20"/>
              </w:rPr>
            </w:pPr>
            <w:r w:rsidRPr="00227BE0">
              <w:rPr>
                <w:color w:val="000000"/>
                <w:sz w:val="20"/>
                <w:szCs w:val="20"/>
              </w:rPr>
              <w:t>0.2</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07863B" w14:textId="78DD07B3" w:rsidR="00526FEC" w:rsidRPr="00227BE0" w:rsidRDefault="00612F06" w:rsidP="00526FEC">
            <w:pPr>
              <w:widowControl w:val="0"/>
              <w:suppressAutoHyphens/>
              <w:jc w:val="center"/>
              <w:rPr>
                <w:color w:val="000000"/>
                <w:sz w:val="20"/>
                <w:szCs w:val="20"/>
              </w:rPr>
            </w:pPr>
            <w:r>
              <w:rPr>
                <w:color w:val="000000"/>
                <w:sz w:val="20"/>
                <w:szCs w:val="20"/>
              </w:rPr>
              <w:t>0.16</w:t>
            </w:r>
          </w:p>
        </w:tc>
        <w:tc>
          <w:tcPr>
            <w:tcW w:w="337" w:type="pct"/>
            <w:tcBorders>
              <w:top w:val="single" w:sz="4" w:space="0" w:color="auto"/>
              <w:left w:val="single" w:sz="4" w:space="0" w:color="auto"/>
              <w:bottom w:val="single" w:sz="4" w:space="0" w:color="auto"/>
              <w:right w:val="single" w:sz="4" w:space="0" w:color="auto"/>
            </w:tcBorders>
            <w:vAlign w:val="center"/>
          </w:tcPr>
          <w:p w14:paraId="46E1CBD4" w14:textId="3D002E93" w:rsidR="00526FEC" w:rsidRPr="00526FEC" w:rsidRDefault="00526FEC" w:rsidP="00526FEC">
            <w:pPr>
              <w:widowControl w:val="0"/>
              <w:suppressAutoHyphens/>
              <w:jc w:val="center"/>
              <w:rPr>
                <w:b/>
                <w:strike/>
                <w:noProof/>
                <w:color w:val="D9D9D9" w:themeColor="background1" w:themeShade="D9"/>
                <w:sz w:val="20"/>
                <w:szCs w:val="20"/>
              </w:rPr>
            </w:pPr>
            <w:r w:rsidRPr="00526FEC">
              <w:rPr>
                <w:strike/>
                <w:color w:val="D9D9D9" w:themeColor="background1" w:themeShade="D9"/>
                <w:sz w:val="20"/>
                <w:szCs w:val="20"/>
              </w:rPr>
              <w:t>0.09</w:t>
            </w:r>
          </w:p>
        </w:tc>
        <w:tc>
          <w:tcPr>
            <w:tcW w:w="321" w:type="pct"/>
            <w:tcBorders>
              <w:top w:val="single" w:sz="4" w:space="0" w:color="auto"/>
              <w:left w:val="single" w:sz="4" w:space="0" w:color="auto"/>
              <w:bottom w:val="single" w:sz="4" w:space="0" w:color="auto"/>
              <w:right w:val="single" w:sz="4" w:space="0" w:color="auto"/>
            </w:tcBorders>
            <w:vAlign w:val="center"/>
          </w:tcPr>
          <w:p w14:paraId="5F556845"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6A8DFA40"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C66BA0" w14:textId="4DD0D3DA" w:rsidR="00526FEC" w:rsidRPr="00227BE0" w:rsidRDefault="003D2B5A" w:rsidP="00526FEC">
            <w:pPr>
              <w:widowControl w:val="0"/>
              <w:suppressAutoHyphens/>
              <w:jc w:val="center"/>
              <w:rPr>
                <w:noProof/>
                <w:sz w:val="20"/>
                <w:szCs w:val="20"/>
              </w:rPr>
            </w:pPr>
            <w:r>
              <w:rPr>
                <w:noProof/>
                <w:sz w:val="20"/>
                <w:szCs w:val="20"/>
              </w:rPr>
              <w:t>0.05</w:t>
            </w:r>
          </w:p>
        </w:tc>
        <w:tc>
          <w:tcPr>
            <w:tcW w:w="337" w:type="pct"/>
            <w:tcBorders>
              <w:top w:val="single" w:sz="4" w:space="0" w:color="auto"/>
              <w:left w:val="single" w:sz="4" w:space="0" w:color="auto"/>
              <w:bottom w:val="single" w:sz="4" w:space="0" w:color="auto"/>
              <w:right w:val="single" w:sz="4" w:space="0" w:color="auto"/>
            </w:tcBorders>
            <w:vAlign w:val="center"/>
          </w:tcPr>
          <w:p w14:paraId="4E1BB510"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17FDFBC9"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05B100C0"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72767819" w14:textId="77777777" w:rsidR="00526FEC" w:rsidRPr="00227BE0" w:rsidRDefault="00526FEC" w:rsidP="00526FEC">
            <w:pPr>
              <w:suppressAutoHyphens/>
              <w:jc w:val="center"/>
              <w:rPr>
                <w:rFonts w:eastAsia="SimSun"/>
                <w:sz w:val="20"/>
                <w:szCs w:val="20"/>
              </w:rPr>
            </w:pPr>
            <w:r w:rsidRPr="00227BE0">
              <w:rPr>
                <w:noProof/>
                <w:sz w:val="20"/>
                <w:szCs w:val="20"/>
              </w:rPr>
              <w:t>--</w:t>
            </w:r>
          </w:p>
        </w:tc>
        <w:tc>
          <w:tcPr>
            <w:tcW w:w="403" w:type="pct"/>
            <w:tcBorders>
              <w:top w:val="single" w:sz="4" w:space="0" w:color="auto"/>
              <w:left w:val="single" w:sz="4" w:space="0" w:color="auto"/>
              <w:bottom w:val="single" w:sz="4" w:space="0" w:color="auto"/>
              <w:right w:val="single" w:sz="4" w:space="0" w:color="auto"/>
            </w:tcBorders>
            <w:vAlign w:val="center"/>
          </w:tcPr>
          <w:p w14:paraId="45EA59AF" w14:textId="77777777" w:rsidR="00526FEC" w:rsidRPr="00227BE0" w:rsidRDefault="00526FEC" w:rsidP="00526FEC">
            <w:pPr>
              <w:suppressAutoHyphens/>
              <w:rPr>
                <w:sz w:val="20"/>
                <w:szCs w:val="20"/>
              </w:rPr>
            </w:pPr>
            <w:r w:rsidRPr="00227BE0">
              <w:rPr>
                <w:rFonts w:eastAsia="SimSun"/>
                <w:sz w:val="20"/>
                <w:szCs w:val="20"/>
              </w:rPr>
              <w:t>1.065</w:t>
            </w:r>
          </w:p>
        </w:tc>
        <w:tc>
          <w:tcPr>
            <w:tcW w:w="345" w:type="pct"/>
            <w:tcBorders>
              <w:top w:val="single" w:sz="4" w:space="0" w:color="auto"/>
              <w:left w:val="single" w:sz="4" w:space="0" w:color="auto"/>
              <w:bottom w:val="single" w:sz="4" w:space="0" w:color="auto"/>
              <w:right w:val="single" w:sz="4" w:space="0" w:color="auto"/>
            </w:tcBorders>
            <w:vAlign w:val="center"/>
          </w:tcPr>
          <w:p w14:paraId="4A7F5921" w14:textId="77777777" w:rsidR="00526FEC" w:rsidRPr="00227BE0" w:rsidRDefault="00526FEC" w:rsidP="00526FEC">
            <w:pPr>
              <w:widowControl w:val="0"/>
              <w:suppressAutoHyphens/>
              <w:jc w:val="center"/>
              <w:rPr>
                <w:noProof/>
                <w:sz w:val="20"/>
                <w:szCs w:val="20"/>
              </w:rPr>
            </w:pPr>
            <w:r w:rsidRPr="00227BE0">
              <w:rPr>
                <w:noProof/>
                <w:sz w:val="20"/>
                <w:szCs w:val="20"/>
              </w:rPr>
              <w:t>--</w:t>
            </w:r>
          </w:p>
        </w:tc>
      </w:tr>
      <w:tr w:rsidR="00526FEC" w:rsidRPr="00227BE0" w14:paraId="09812C46" w14:textId="77777777" w:rsidTr="003D2B5A">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7CED6867" w14:textId="77777777" w:rsidR="00526FEC" w:rsidRPr="00227BE0" w:rsidRDefault="00526FEC" w:rsidP="00526FEC">
            <w:pPr>
              <w:widowControl w:val="0"/>
              <w:suppressAutoHyphens/>
              <w:rPr>
                <w:noProof/>
                <w:sz w:val="20"/>
                <w:szCs w:val="20"/>
                <w:vertAlign w:val="superscript"/>
              </w:rPr>
            </w:pPr>
            <w:r w:rsidRPr="00227BE0">
              <w:rPr>
                <w:sz w:val="20"/>
                <w:szCs w:val="20"/>
              </w:rPr>
              <w:t>D5 pond</w:t>
            </w:r>
          </w:p>
        </w:tc>
        <w:tc>
          <w:tcPr>
            <w:tcW w:w="275" w:type="pct"/>
            <w:tcBorders>
              <w:top w:val="single" w:sz="4" w:space="0" w:color="auto"/>
              <w:left w:val="single" w:sz="4" w:space="0" w:color="auto"/>
              <w:bottom w:val="single" w:sz="4" w:space="0" w:color="auto"/>
              <w:right w:val="single" w:sz="4" w:space="0" w:color="auto"/>
            </w:tcBorders>
            <w:vAlign w:val="center"/>
          </w:tcPr>
          <w:p w14:paraId="3ACB2C4F" w14:textId="77777777" w:rsidR="00526FEC" w:rsidRPr="00227BE0" w:rsidRDefault="00526FEC" w:rsidP="00526FEC">
            <w:pPr>
              <w:widowControl w:val="0"/>
              <w:suppressAutoHyphens/>
              <w:rPr>
                <w:noProof/>
                <w:sz w:val="20"/>
                <w:szCs w:val="20"/>
              </w:rPr>
            </w:pPr>
            <w:r w:rsidRPr="00227BE0">
              <w:rPr>
                <w:rFonts w:eastAsia="SimSun"/>
                <w:sz w:val="20"/>
                <w:szCs w:val="20"/>
              </w:rPr>
              <w:t>0.338</w:t>
            </w:r>
          </w:p>
        </w:tc>
        <w:tc>
          <w:tcPr>
            <w:tcW w:w="284" w:type="pct"/>
            <w:tcBorders>
              <w:top w:val="single" w:sz="4" w:space="0" w:color="auto"/>
              <w:left w:val="single" w:sz="4" w:space="0" w:color="auto"/>
              <w:bottom w:val="single" w:sz="4" w:space="0" w:color="auto"/>
              <w:right w:val="single" w:sz="4" w:space="0" w:color="auto"/>
            </w:tcBorders>
            <w:vAlign w:val="center"/>
          </w:tcPr>
          <w:p w14:paraId="1F6F93F7" w14:textId="77777777" w:rsidR="00526FEC" w:rsidRPr="00227BE0" w:rsidRDefault="00526FEC" w:rsidP="00526FEC">
            <w:pPr>
              <w:widowControl w:val="0"/>
              <w:suppressAutoHyphens/>
              <w:jc w:val="center"/>
              <w:rPr>
                <w:b/>
                <w:noProof/>
                <w:sz w:val="20"/>
                <w:szCs w:val="20"/>
              </w:rPr>
            </w:pPr>
            <w:r w:rsidRPr="00227BE0">
              <w:rPr>
                <w:color w:val="000000"/>
                <w:sz w:val="20"/>
                <w:szCs w:val="20"/>
              </w:rPr>
              <w:t>0.1</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87814B" w14:textId="5BE2F250" w:rsidR="00526FEC" w:rsidRPr="00227BE0" w:rsidRDefault="00612F06" w:rsidP="00526FEC">
            <w:pPr>
              <w:widowControl w:val="0"/>
              <w:suppressAutoHyphens/>
              <w:jc w:val="center"/>
              <w:rPr>
                <w:color w:val="000000"/>
                <w:sz w:val="20"/>
                <w:szCs w:val="20"/>
              </w:rPr>
            </w:pPr>
            <w:r>
              <w:rPr>
                <w:color w:val="000000"/>
                <w:sz w:val="20"/>
                <w:szCs w:val="20"/>
              </w:rPr>
              <w:t>0.09</w:t>
            </w:r>
          </w:p>
        </w:tc>
        <w:tc>
          <w:tcPr>
            <w:tcW w:w="337" w:type="pct"/>
            <w:tcBorders>
              <w:top w:val="single" w:sz="4" w:space="0" w:color="auto"/>
              <w:left w:val="single" w:sz="4" w:space="0" w:color="auto"/>
              <w:bottom w:val="single" w:sz="4" w:space="0" w:color="auto"/>
              <w:right w:val="single" w:sz="4" w:space="0" w:color="auto"/>
            </w:tcBorders>
            <w:vAlign w:val="center"/>
          </w:tcPr>
          <w:p w14:paraId="168C263A" w14:textId="5EEA81EE" w:rsidR="00526FEC" w:rsidRPr="00526FEC" w:rsidRDefault="00526FEC" w:rsidP="00526FEC">
            <w:pPr>
              <w:widowControl w:val="0"/>
              <w:suppressAutoHyphens/>
              <w:jc w:val="center"/>
              <w:rPr>
                <w:b/>
                <w:strike/>
                <w:noProof/>
                <w:color w:val="D9D9D9" w:themeColor="background1" w:themeShade="D9"/>
                <w:sz w:val="20"/>
                <w:szCs w:val="20"/>
              </w:rPr>
            </w:pPr>
            <w:r w:rsidRPr="00526FEC">
              <w:rPr>
                <w:strike/>
                <w:color w:val="D9D9D9" w:themeColor="background1" w:themeShade="D9"/>
                <w:sz w:val="20"/>
                <w:szCs w:val="20"/>
              </w:rPr>
              <w:t>0.05</w:t>
            </w:r>
          </w:p>
        </w:tc>
        <w:tc>
          <w:tcPr>
            <w:tcW w:w="321" w:type="pct"/>
            <w:tcBorders>
              <w:top w:val="single" w:sz="4" w:space="0" w:color="auto"/>
              <w:left w:val="single" w:sz="4" w:space="0" w:color="auto"/>
              <w:bottom w:val="single" w:sz="4" w:space="0" w:color="auto"/>
              <w:right w:val="single" w:sz="4" w:space="0" w:color="auto"/>
            </w:tcBorders>
            <w:vAlign w:val="center"/>
          </w:tcPr>
          <w:p w14:paraId="19A33B17"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261EA7CA"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117C056" w14:textId="1A2D1232" w:rsidR="00526FEC" w:rsidRPr="00227BE0" w:rsidRDefault="003D2B5A" w:rsidP="00526FEC">
            <w:pPr>
              <w:widowControl w:val="0"/>
              <w:suppressAutoHyphens/>
              <w:jc w:val="center"/>
              <w:rPr>
                <w:noProof/>
                <w:sz w:val="20"/>
                <w:szCs w:val="20"/>
              </w:rPr>
            </w:pPr>
            <w:r>
              <w:rPr>
                <w:noProof/>
                <w:sz w:val="20"/>
                <w:szCs w:val="20"/>
              </w:rPr>
              <w:t>0.03</w:t>
            </w:r>
          </w:p>
        </w:tc>
        <w:tc>
          <w:tcPr>
            <w:tcW w:w="337" w:type="pct"/>
            <w:tcBorders>
              <w:top w:val="single" w:sz="4" w:space="0" w:color="auto"/>
              <w:left w:val="single" w:sz="4" w:space="0" w:color="auto"/>
              <w:bottom w:val="single" w:sz="4" w:space="0" w:color="auto"/>
              <w:right w:val="single" w:sz="4" w:space="0" w:color="auto"/>
            </w:tcBorders>
            <w:vAlign w:val="center"/>
          </w:tcPr>
          <w:p w14:paraId="073A4F74"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6306CF0F"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17426774"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698785A2" w14:textId="77777777" w:rsidR="00526FEC" w:rsidRPr="00227BE0" w:rsidRDefault="00526FEC" w:rsidP="00526FEC">
            <w:pPr>
              <w:suppressAutoHyphens/>
              <w:jc w:val="center"/>
              <w:rPr>
                <w:rFonts w:eastAsia="SimSun"/>
                <w:sz w:val="20"/>
                <w:szCs w:val="20"/>
              </w:rPr>
            </w:pPr>
            <w:r w:rsidRPr="00227BE0">
              <w:rPr>
                <w:noProof/>
                <w:sz w:val="20"/>
                <w:szCs w:val="20"/>
              </w:rPr>
              <w:t>--</w:t>
            </w:r>
          </w:p>
        </w:tc>
        <w:tc>
          <w:tcPr>
            <w:tcW w:w="403" w:type="pct"/>
            <w:tcBorders>
              <w:top w:val="single" w:sz="4" w:space="0" w:color="auto"/>
              <w:left w:val="single" w:sz="4" w:space="0" w:color="auto"/>
              <w:bottom w:val="single" w:sz="4" w:space="0" w:color="auto"/>
              <w:right w:val="single" w:sz="4" w:space="0" w:color="auto"/>
            </w:tcBorders>
            <w:vAlign w:val="center"/>
          </w:tcPr>
          <w:p w14:paraId="0F1E9669" w14:textId="77777777" w:rsidR="00526FEC" w:rsidRPr="00227BE0" w:rsidRDefault="00526FEC" w:rsidP="00526FEC">
            <w:pPr>
              <w:suppressAutoHyphens/>
              <w:rPr>
                <w:sz w:val="20"/>
                <w:szCs w:val="20"/>
              </w:rPr>
            </w:pPr>
            <w:r w:rsidRPr="00227BE0">
              <w:rPr>
                <w:rFonts w:eastAsia="SimSun"/>
                <w:sz w:val="20"/>
                <w:szCs w:val="20"/>
              </w:rPr>
              <w:t>3.516</w:t>
            </w:r>
          </w:p>
        </w:tc>
        <w:tc>
          <w:tcPr>
            <w:tcW w:w="345" w:type="pct"/>
            <w:tcBorders>
              <w:top w:val="single" w:sz="4" w:space="0" w:color="auto"/>
              <w:left w:val="single" w:sz="4" w:space="0" w:color="auto"/>
              <w:bottom w:val="single" w:sz="4" w:space="0" w:color="auto"/>
              <w:right w:val="single" w:sz="4" w:space="0" w:color="auto"/>
            </w:tcBorders>
            <w:vAlign w:val="center"/>
          </w:tcPr>
          <w:p w14:paraId="237CE59B" w14:textId="77777777" w:rsidR="00526FEC" w:rsidRPr="00227BE0" w:rsidRDefault="00526FEC" w:rsidP="00526FEC">
            <w:pPr>
              <w:widowControl w:val="0"/>
              <w:suppressAutoHyphens/>
              <w:jc w:val="center"/>
              <w:rPr>
                <w:noProof/>
                <w:sz w:val="20"/>
                <w:szCs w:val="20"/>
              </w:rPr>
            </w:pPr>
            <w:r w:rsidRPr="00227BE0">
              <w:rPr>
                <w:noProof/>
                <w:sz w:val="20"/>
                <w:szCs w:val="20"/>
              </w:rPr>
              <w:t>--</w:t>
            </w:r>
          </w:p>
        </w:tc>
      </w:tr>
      <w:tr w:rsidR="00526FEC" w:rsidRPr="00227BE0" w14:paraId="72BB21E7" w14:textId="77777777" w:rsidTr="003D2B5A">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3B8C3F6A" w14:textId="77777777" w:rsidR="00526FEC" w:rsidRPr="00227BE0" w:rsidRDefault="00526FEC" w:rsidP="00526FEC">
            <w:pPr>
              <w:widowControl w:val="0"/>
              <w:suppressAutoHyphens/>
              <w:rPr>
                <w:noProof/>
                <w:sz w:val="20"/>
                <w:szCs w:val="20"/>
                <w:vertAlign w:val="superscript"/>
              </w:rPr>
            </w:pPr>
            <w:r w:rsidRPr="00227BE0">
              <w:rPr>
                <w:sz w:val="20"/>
                <w:szCs w:val="20"/>
              </w:rPr>
              <w:t>D5 stream</w:t>
            </w:r>
          </w:p>
        </w:tc>
        <w:tc>
          <w:tcPr>
            <w:tcW w:w="275" w:type="pct"/>
            <w:tcBorders>
              <w:top w:val="single" w:sz="4" w:space="0" w:color="auto"/>
              <w:left w:val="single" w:sz="4" w:space="0" w:color="auto"/>
              <w:bottom w:val="single" w:sz="4" w:space="0" w:color="auto"/>
              <w:right w:val="single" w:sz="4" w:space="0" w:color="auto"/>
            </w:tcBorders>
            <w:vAlign w:val="center"/>
          </w:tcPr>
          <w:p w14:paraId="0E699203" w14:textId="77777777" w:rsidR="00526FEC" w:rsidRPr="00227BE0" w:rsidRDefault="00526FEC" w:rsidP="00526FEC">
            <w:pPr>
              <w:widowControl w:val="0"/>
              <w:suppressAutoHyphens/>
              <w:rPr>
                <w:noProof/>
                <w:sz w:val="20"/>
                <w:szCs w:val="20"/>
              </w:rPr>
            </w:pPr>
            <w:r w:rsidRPr="00227BE0">
              <w:rPr>
                <w:rFonts w:eastAsia="SimSun"/>
                <w:sz w:val="20"/>
                <w:szCs w:val="20"/>
              </w:rPr>
              <w:t>0.549</w:t>
            </w:r>
          </w:p>
        </w:tc>
        <w:tc>
          <w:tcPr>
            <w:tcW w:w="284" w:type="pct"/>
            <w:tcBorders>
              <w:top w:val="single" w:sz="4" w:space="0" w:color="auto"/>
              <w:left w:val="single" w:sz="4" w:space="0" w:color="auto"/>
              <w:bottom w:val="single" w:sz="4" w:space="0" w:color="auto"/>
              <w:right w:val="single" w:sz="4" w:space="0" w:color="auto"/>
            </w:tcBorders>
            <w:vAlign w:val="center"/>
          </w:tcPr>
          <w:p w14:paraId="03134207" w14:textId="77777777" w:rsidR="00526FEC" w:rsidRPr="00227BE0" w:rsidRDefault="00526FEC" w:rsidP="00526FEC">
            <w:pPr>
              <w:widowControl w:val="0"/>
              <w:suppressAutoHyphens/>
              <w:jc w:val="center"/>
              <w:rPr>
                <w:b/>
                <w:noProof/>
                <w:sz w:val="20"/>
                <w:szCs w:val="20"/>
              </w:rPr>
            </w:pPr>
            <w:r w:rsidRPr="00227BE0">
              <w:rPr>
                <w:color w:val="000000"/>
                <w:sz w:val="20"/>
                <w:szCs w:val="20"/>
              </w:rPr>
              <w:t>0.2</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67F420" w14:textId="3FC6FF65" w:rsidR="00526FEC" w:rsidRPr="00227BE0" w:rsidRDefault="00612F06" w:rsidP="00526FEC">
            <w:pPr>
              <w:widowControl w:val="0"/>
              <w:suppressAutoHyphens/>
              <w:jc w:val="center"/>
              <w:rPr>
                <w:color w:val="000000"/>
                <w:sz w:val="20"/>
                <w:szCs w:val="20"/>
              </w:rPr>
            </w:pPr>
            <w:r>
              <w:rPr>
                <w:color w:val="000000"/>
                <w:sz w:val="20"/>
                <w:szCs w:val="20"/>
              </w:rPr>
              <w:t>0.15</w:t>
            </w:r>
          </w:p>
        </w:tc>
        <w:tc>
          <w:tcPr>
            <w:tcW w:w="337" w:type="pct"/>
            <w:tcBorders>
              <w:top w:val="single" w:sz="4" w:space="0" w:color="auto"/>
              <w:left w:val="single" w:sz="4" w:space="0" w:color="auto"/>
              <w:bottom w:val="single" w:sz="4" w:space="0" w:color="auto"/>
              <w:right w:val="single" w:sz="4" w:space="0" w:color="auto"/>
            </w:tcBorders>
            <w:vAlign w:val="center"/>
          </w:tcPr>
          <w:p w14:paraId="14D8BE38" w14:textId="649710AF" w:rsidR="00526FEC" w:rsidRPr="00526FEC" w:rsidRDefault="00526FEC" w:rsidP="00526FEC">
            <w:pPr>
              <w:widowControl w:val="0"/>
              <w:suppressAutoHyphens/>
              <w:jc w:val="center"/>
              <w:rPr>
                <w:b/>
                <w:strike/>
                <w:noProof/>
                <w:color w:val="D9D9D9" w:themeColor="background1" w:themeShade="D9"/>
                <w:sz w:val="20"/>
                <w:szCs w:val="20"/>
              </w:rPr>
            </w:pPr>
            <w:r w:rsidRPr="00526FEC">
              <w:rPr>
                <w:strike/>
                <w:color w:val="D9D9D9" w:themeColor="background1" w:themeShade="D9"/>
                <w:sz w:val="20"/>
                <w:szCs w:val="20"/>
              </w:rPr>
              <w:t>0.08</w:t>
            </w:r>
          </w:p>
        </w:tc>
        <w:tc>
          <w:tcPr>
            <w:tcW w:w="321" w:type="pct"/>
            <w:tcBorders>
              <w:top w:val="single" w:sz="4" w:space="0" w:color="auto"/>
              <w:left w:val="single" w:sz="4" w:space="0" w:color="auto"/>
              <w:bottom w:val="single" w:sz="4" w:space="0" w:color="auto"/>
              <w:right w:val="single" w:sz="4" w:space="0" w:color="auto"/>
            </w:tcBorders>
            <w:vAlign w:val="center"/>
          </w:tcPr>
          <w:p w14:paraId="5A061C3F"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37768CAE"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FFC959" w14:textId="2E3167E3" w:rsidR="00526FEC" w:rsidRPr="00227BE0" w:rsidRDefault="003D2B5A" w:rsidP="00526FEC">
            <w:pPr>
              <w:widowControl w:val="0"/>
              <w:suppressAutoHyphens/>
              <w:jc w:val="center"/>
              <w:rPr>
                <w:noProof/>
                <w:sz w:val="20"/>
                <w:szCs w:val="20"/>
              </w:rPr>
            </w:pPr>
            <w:r>
              <w:rPr>
                <w:noProof/>
                <w:sz w:val="20"/>
                <w:szCs w:val="20"/>
              </w:rPr>
              <w:t>0.05</w:t>
            </w:r>
          </w:p>
        </w:tc>
        <w:tc>
          <w:tcPr>
            <w:tcW w:w="337" w:type="pct"/>
            <w:tcBorders>
              <w:top w:val="single" w:sz="4" w:space="0" w:color="auto"/>
              <w:left w:val="single" w:sz="4" w:space="0" w:color="auto"/>
              <w:bottom w:val="single" w:sz="4" w:space="0" w:color="auto"/>
              <w:right w:val="single" w:sz="4" w:space="0" w:color="auto"/>
            </w:tcBorders>
            <w:vAlign w:val="center"/>
          </w:tcPr>
          <w:p w14:paraId="44DC48E1"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51E4A8A5"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4C2691AA"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7EAF0AC9" w14:textId="77777777" w:rsidR="00526FEC" w:rsidRPr="00227BE0" w:rsidRDefault="00526FEC" w:rsidP="00526FEC">
            <w:pPr>
              <w:suppressAutoHyphens/>
              <w:jc w:val="center"/>
              <w:rPr>
                <w:rFonts w:eastAsia="SimSun"/>
                <w:sz w:val="20"/>
                <w:szCs w:val="20"/>
              </w:rPr>
            </w:pPr>
            <w:r w:rsidRPr="00227BE0">
              <w:rPr>
                <w:noProof/>
                <w:sz w:val="20"/>
                <w:szCs w:val="20"/>
              </w:rPr>
              <w:t>--</w:t>
            </w:r>
          </w:p>
        </w:tc>
        <w:tc>
          <w:tcPr>
            <w:tcW w:w="403" w:type="pct"/>
            <w:tcBorders>
              <w:top w:val="single" w:sz="4" w:space="0" w:color="auto"/>
              <w:left w:val="single" w:sz="4" w:space="0" w:color="auto"/>
              <w:bottom w:val="single" w:sz="4" w:space="0" w:color="auto"/>
              <w:right w:val="single" w:sz="4" w:space="0" w:color="auto"/>
            </w:tcBorders>
            <w:vAlign w:val="center"/>
          </w:tcPr>
          <w:p w14:paraId="1C3DADAB" w14:textId="77777777" w:rsidR="00526FEC" w:rsidRPr="00227BE0" w:rsidRDefault="00526FEC" w:rsidP="00526FEC">
            <w:pPr>
              <w:suppressAutoHyphens/>
              <w:rPr>
                <w:sz w:val="20"/>
                <w:szCs w:val="20"/>
              </w:rPr>
            </w:pPr>
            <w:r w:rsidRPr="00227BE0">
              <w:rPr>
                <w:rFonts w:eastAsia="SimSun"/>
                <w:sz w:val="20"/>
                <w:szCs w:val="20"/>
              </w:rPr>
              <w:t>0.643</w:t>
            </w:r>
          </w:p>
        </w:tc>
        <w:tc>
          <w:tcPr>
            <w:tcW w:w="345" w:type="pct"/>
            <w:tcBorders>
              <w:top w:val="single" w:sz="4" w:space="0" w:color="auto"/>
              <w:left w:val="single" w:sz="4" w:space="0" w:color="auto"/>
              <w:bottom w:val="single" w:sz="4" w:space="0" w:color="auto"/>
              <w:right w:val="single" w:sz="4" w:space="0" w:color="auto"/>
            </w:tcBorders>
            <w:vAlign w:val="center"/>
          </w:tcPr>
          <w:p w14:paraId="053C3B49" w14:textId="77777777" w:rsidR="00526FEC" w:rsidRPr="00227BE0" w:rsidRDefault="00526FEC" w:rsidP="00526FEC">
            <w:pPr>
              <w:widowControl w:val="0"/>
              <w:suppressAutoHyphens/>
              <w:jc w:val="center"/>
              <w:rPr>
                <w:noProof/>
                <w:sz w:val="20"/>
                <w:szCs w:val="20"/>
              </w:rPr>
            </w:pPr>
            <w:r w:rsidRPr="00227BE0">
              <w:rPr>
                <w:noProof/>
                <w:sz w:val="20"/>
                <w:szCs w:val="20"/>
              </w:rPr>
              <w:t>--</w:t>
            </w:r>
          </w:p>
        </w:tc>
      </w:tr>
      <w:tr w:rsidR="00526FEC" w:rsidRPr="00227BE0" w14:paraId="0443A2F7" w14:textId="77777777" w:rsidTr="003D2B5A">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10109893" w14:textId="77777777" w:rsidR="00526FEC" w:rsidRPr="00227BE0" w:rsidRDefault="00526FEC" w:rsidP="00526FEC">
            <w:pPr>
              <w:widowControl w:val="0"/>
              <w:suppressAutoHyphens/>
              <w:rPr>
                <w:noProof/>
                <w:sz w:val="20"/>
                <w:szCs w:val="20"/>
                <w:vertAlign w:val="superscript"/>
              </w:rPr>
            </w:pPr>
            <w:r w:rsidRPr="00227BE0">
              <w:rPr>
                <w:sz w:val="20"/>
                <w:szCs w:val="20"/>
              </w:rPr>
              <w:t>R1 pond</w:t>
            </w:r>
          </w:p>
        </w:tc>
        <w:tc>
          <w:tcPr>
            <w:tcW w:w="275" w:type="pct"/>
            <w:tcBorders>
              <w:top w:val="single" w:sz="4" w:space="0" w:color="auto"/>
              <w:left w:val="single" w:sz="4" w:space="0" w:color="auto"/>
              <w:bottom w:val="single" w:sz="4" w:space="0" w:color="auto"/>
              <w:right w:val="single" w:sz="4" w:space="0" w:color="auto"/>
            </w:tcBorders>
            <w:vAlign w:val="center"/>
          </w:tcPr>
          <w:p w14:paraId="67BA0A67" w14:textId="77777777" w:rsidR="00526FEC" w:rsidRPr="00227BE0" w:rsidRDefault="00526FEC" w:rsidP="00526FEC">
            <w:pPr>
              <w:widowControl w:val="0"/>
              <w:suppressAutoHyphens/>
              <w:rPr>
                <w:noProof/>
                <w:sz w:val="20"/>
                <w:szCs w:val="20"/>
              </w:rPr>
            </w:pPr>
            <w:r w:rsidRPr="00227BE0">
              <w:rPr>
                <w:rFonts w:eastAsia="SimSun"/>
                <w:sz w:val="20"/>
                <w:szCs w:val="20"/>
              </w:rPr>
              <w:t>0.167</w:t>
            </w:r>
          </w:p>
        </w:tc>
        <w:tc>
          <w:tcPr>
            <w:tcW w:w="284" w:type="pct"/>
            <w:tcBorders>
              <w:top w:val="single" w:sz="4" w:space="0" w:color="auto"/>
              <w:left w:val="single" w:sz="4" w:space="0" w:color="auto"/>
              <w:bottom w:val="single" w:sz="4" w:space="0" w:color="auto"/>
              <w:right w:val="single" w:sz="4" w:space="0" w:color="auto"/>
            </w:tcBorders>
            <w:vAlign w:val="center"/>
          </w:tcPr>
          <w:p w14:paraId="672E0ACD" w14:textId="77777777" w:rsidR="00526FEC" w:rsidRPr="00227BE0" w:rsidRDefault="00526FEC" w:rsidP="00526FEC">
            <w:pPr>
              <w:widowControl w:val="0"/>
              <w:suppressAutoHyphens/>
              <w:jc w:val="center"/>
              <w:rPr>
                <w:b/>
                <w:noProof/>
                <w:sz w:val="20"/>
                <w:szCs w:val="20"/>
              </w:rPr>
            </w:pPr>
            <w:r w:rsidRPr="00227BE0">
              <w:rPr>
                <w:color w:val="000000"/>
                <w:sz w:val="20"/>
                <w:szCs w:val="20"/>
              </w:rPr>
              <w:t>0.06</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003986" w14:textId="7C133DA9" w:rsidR="00526FEC" w:rsidRPr="00227BE0" w:rsidRDefault="00612F06" w:rsidP="00526FEC">
            <w:pPr>
              <w:widowControl w:val="0"/>
              <w:suppressAutoHyphens/>
              <w:jc w:val="center"/>
              <w:rPr>
                <w:color w:val="000000"/>
                <w:sz w:val="20"/>
                <w:szCs w:val="20"/>
              </w:rPr>
            </w:pPr>
            <w:r>
              <w:rPr>
                <w:color w:val="000000"/>
                <w:sz w:val="20"/>
                <w:szCs w:val="20"/>
              </w:rPr>
              <w:t>0.05</w:t>
            </w:r>
          </w:p>
        </w:tc>
        <w:tc>
          <w:tcPr>
            <w:tcW w:w="337" w:type="pct"/>
            <w:tcBorders>
              <w:top w:val="single" w:sz="4" w:space="0" w:color="auto"/>
              <w:left w:val="single" w:sz="4" w:space="0" w:color="auto"/>
              <w:bottom w:val="single" w:sz="4" w:space="0" w:color="auto"/>
              <w:right w:val="single" w:sz="4" w:space="0" w:color="auto"/>
            </w:tcBorders>
            <w:vAlign w:val="center"/>
          </w:tcPr>
          <w:p w14:paraId="6C613E33" w14:textId="23B759E4" w:rsidR="00526FEC" w:rsidRPr="00526FEC" w:rsidRDefault="00526FEC" w:rsidP="00526FEC">
            <w:pPr>
              <w:widowControl w:val="0"/>
              <w:suppressAutoHyphens/>
              <w:jc w:val="center"/>
              <w:rPr>
                <w:b/>
                <w:strike/>
                <w:noProof/>
                <w:color w:val="D9D9D9" w:themeColor="background1" w:themeShade="D9"/>
                <w:sz w:val="20"/>
                <w:szCs w:val="20"/>
              </w:rPr>
            </w:pPr>
            <w:r w:rsidRPr="00526FEC">
              <w:rPr>
                <w:strike/>
                <w:color w:val="D9D9D9" w:themeColor="background1" w:themeShade="D9"/>
                <w:sz w:val="20"/>
                <w:szCs w:val="20"/>
              </w:rPr>
              <w:t>0.02</w:t>
            </w:r>
          </w:p>
        </w:tc>
        <w:tc>
          <w:tcPr>
            <w:tcW w:w="321" w:type="pct"/>
            <w:tcBorders>
              <w:top w:val="single" w:sz="4" w:space="0" w:color="auto"/>
              <w:left w:val="single" w:sz="4" w:space="0" w:color="auto"/>
              <w:bottom w:val="single" w:sz="4" w:space="0" w:color="auto"/>
              <w:right w:val="single" w:sz="4" w:space="0" w:color="auto"/>
            </w:tcBorders>
            <w:vAlign w:val="center"/>
          </w:tcPr>
          <w:p w14:paraId="699C21A9"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25C44968"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40DBAB" w14:textId="6FF7DEA1" w:rsidR="00526FEC" w:rsidRPr="00227BE0" w:rsidRDefault="003D2B5A" w:rsidP="00526FEC">
            <w:pPr>
              <w:widowControl w:val="0"/>
              <w:suppressAutoHyphens/>
              <w:jc w:val="center"/>
              <w:rPr>
                <w:noProof/>
                <w:sz w:val="20"/>
                <w:szCs w:val="20"/>
              </w:rPr>
            </w:pPr>
            <w:r>
              <w:rPr>
                <w:noProof/>
                <w:sz w:val="20"/>
                <w:szCs w:val="20"/>
              </w:rPr>
              <w:t>0.015</w:t>
            </w:r>
          </w:p>
        </w:tc>
        <w:tc>
          <w:tcPr>
            <w:tcW w:w="337" w:type="pct"/>
            <w:tcBorders>
              <w:top w:val="single" w:sz="4" w:space="0" w:color="auto"/>
              <w:left w:val="single" w:sz="4" w:space="0" w:color="auto"/>
              <w:bottom w:val="single" w:sz="4" w:space="0" w:color="auto"/>
              <w:right w:val="single" w:sz="4" w:space="0" w:color="auto"/>
            </w:tcBorders>
            <w:vAlign w:val="center"/>
          </w:tcPr>
          <w:p w14:paraId="31381480"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4F774332"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2D59C70E"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68364185" w14:textId="77777777" w:rsidR="00526FEC" w:rsidRPr="00227BE0" w:rsidRDefault="00526FEC" w:rsidP="00526FEC">
            <w:pPr>
              <w:suppressAutoHyphens/>
              <w:jc w:val="center"/>
              <w:rPr>
                <w:rFonts w:eastAsia="SimSun"/>
                <w:sz w:val="20"/>
                <w:szCs w:val="20"/>
              </w:rPr>
            </w:pPr>
            <w:r w:rsidRPr="00227BE0">
              <w:rPr>
                <w:noProof/>
                <w:sz w:val="20"/>
                <w:szCs w:val="20"/>
              </w:rPr>
              <w:t>--</w:t>
            </w:r>
          </w:p>
        </w:tc>
        <w:tc>
          <w:tcPr>
            <w:tcW w:w="403" w:type="pct"/>
            <w:tcBorders>
              <w:top w:val="single" w:sz="4" w:space="0" w:color="auto"/>
              <w:left w:val="single" w:sz="4" w:space="0" w:color="auto"/>
              <w:bottom w:val="single" w:sz="4" w:space="0" w:color="auto"/>
              <w:right w:val="single" w:sz="4" w:space="0" w:color="auto"/>
            </w:tcBorders>
            <w:vAlign w:val="center"/>
          </w:tcPr>
          <w:p w14:paraId="047C7891" w14:textId="77777777" w:rsidR="00526FEC" w:rsidRPr="00227BE0" w:rsidRDefault="00526FEC" w:rsidP="00526FEC">
            <w:pPr>
              <w:suppressAutoHyphens/>
              <w:rPr>
                <w:sz w:val="20"/>
                <w:szCs w:val="20"/>
              </w:rPr>
            </w:pPr>
            <w:r w:rsidRPr="00227BE0">
              <w:rPr>
                <w:rFonts w:eastAsia="SimSun"/>
                <w:sz w:val="20"/>
                <w:szCs w:val="20"/>
              </w:rPr>
              <w:t>1.313</w:t>
            </w:r>
          </w:p>
        </w:tc>
        <w:tc>
          <w:tcPr>
            <w:tcW w:w="345" w:type="pct"/>
            <w:tcBorders>
              <w:top w:val="single" w:sz="4" w:space="0" w:color="auto"/>
              <w:left w:val="single" w:sz="4" w:space="0" w:color="auto"/>
              <w:bottom w:val="single" w:sz="4" w:space="0" w:color="auto"/>
              <w:right w:val="single" w:sz="4" w:space="0" w:color="auto"/>
            </w:tcBorders>
            <w:vAlign w:val="center"/>
          </w:tcPr>
          <w:p w14:paraId="3629FFB5" w14:textId="77777777" w:rsidR="00526FEC" w:rsidRPr="00227BE0" w:rsidRDefault="00526FEC" w:rsidP="00526FEC">
            <w:pPr>
              <w:widowControl w:val="0"/>
              <w:suppressAutoHyphens/>
              <w:jc w:val="center"/>
              <w:rPr>
                <w:noProof/>
                <w:sz w:val="20"/>
                <w:szCs w:val="20"/>
              </w:rPr>
            </w:pPr>
            <w:r w:rsidRPr="00227BE0">
              <w:rPr>
                <w:noProof/>
                <w:sz w:val="20"/>
                <w:szCs w:val="20"/>
              </w:rPr>
              <w:t>--</w:t>
            </w:r>
          </w:p>
        </w:tc>
      </w:tr>
      <w:tr w:rsidR="00526FEC" w:rsidRPr="00227BE0" w14:paraId="47472226" w14:textId="77777777" w:rsidTr="003D2B5A">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31CF99E6" w14:textId="77777777" w:rsidR="00526FEC" w:rsidRPr="00227BE0" w:rsidRDefault="00526FEC" w:rsidP="00526FEC">
            <w:pPr>
              <w:widowControl w:val="0"/>
              <w:suppressAutoHyphens/>
              <w:rPr>
                <w:noProof/>
                <w:sz w:val="20"/>
                <w:szCs w:val="20"/>
                <w:vertAlign w:val="superscript"/>
              </w:rPr>
            </w:pPr>
            <w:r w:rsidRPr="00227BE0">
              <w:rPr>
                <w:sz w:val="20"/>
                <w:szCs w:val="20"/>
              </w:rPr>
              <w:t>R1 stream</w:t>
            </w:r>
          </w:p>
        </w:tc>
        <w:tc>
          <w:tcPr>
            <w:tcW w:w="275" w:type="pct"/>
            <w:tcBorders>
              <w:top w:val="single" w:sz="4" w:space="0" w:color="auto"/>
              <w:left w:val="single" w:sz="4" w:space="0" w:color="auto"/>
              <w:bottom w:val="single" w:sz="4" w:space="0" w:color="auto"/>
              <w:right w:val="single" w:sz="4" w:space="0" w:color="auto"/>
            </w:tcBorders>
            <w:vAlign w:val="center"/>
          </w:tcPr>
          <w:p w14:paraId="044FE0EE" w14:textId="77777777" w:rsidR="00526FEC" w:rsidRPr="00227BE0" w:rsidRDefault="00526FEC" w:rsidP="00526FEC">
            <w:pPr>
              <w:widowControl w:val="0"/>
              <w:suppressAutoHyphens/>
              <w:rPr>
                <w:noProof/>
                <w:sz w:val="20"/>
                <w:szCs w:val="20"/>
              </w:rPr>
            </w:pPr>
            <w:r w:rsidRPr="00227BE0">
              <w:rPr>
                <w:rFonts w:eastAsia="SimSun"/>
                <w:sz w:val="20"/>
                <w:szCs w:val="20"/>
              </w:rPr>
              <w:t>0.956</w:t>
            </w:r>
          </w:p>
        </w:tc>
        <w:tc>
          <w:tcPr>
            <w:tcW w:w="284" w:type="pct"/>
            <w:tcBorders>
              <w:top w:val="single" w:sz="4" w:space="0" w:color="auto"/>
              <w:left w:val="single" w:sz="4" w:space="0" w:color="auto"/>
              <w:bottom w:val="single" w:sz="4" w:space="0" w:color="auto"/>
              <w:right w:val="single" w:sz="4" w:space="0" w:color="auto"/>
            </w:tcBorders>
            <w:vAlign w:val="center"/>
          </w:tcPr>
          <w:p w14:paraId="0774ABCF" w14:textId="77777777" w:rsidR="00526FEC" w:rsidRPr="00227BE0" w:rsidRDefault="00526FEC" w:rsidP="00526FEC">
            <w:pPr>
              <w:widowControl w:val="0"/>
              <w:suppressAutoHyphens/>
              <w:jc w:val="center"/>
              <w:rPr>
                <w:b/>
                <w:noProof/>
                <w:sz w:val="20"/>
                <w:szCs w:val="20"/>
              </w:rPr>
            </w:pPr>
            <w:r w:rsidRPr="00227BE0">
              <w:rPr>
                <w:color w:val="000000"/>
                <w:sz w:val="20"/>
                <w:szCs w:val="20"/>
              </w:rPr>
              <w:t>0.3</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086701" w14:textId="70C79D39" w:rsidR="00526FEC" w:rsidRPr="00227BE0" w:rsidRDefault="00620B31" w:rsidP="00526FEC">
            <w:pPr>
              <w:widowControl w:val="0"/>
              <w:suppressAutoHyphens/>
              <w:jc w:val="center"/>
              <w:rPr>
                <w:color w:val="000000"/>
                <w:sz w:val="20"/>
                <w:szCs w:val="20"/>
              </w:rPr>
            </w:pPr>
            <w:r>
              <w:rPr>
                <w:color w:val="000000"/>
                <w:sz w:val="20"/>
                <w:szCs w:val="20"/>
              </w:rPr>
              <w:t>0.27</w:t>
            </w:r>
          </w:p>
        </w:tc>
        <w:tc>
          <w:tcPr>
            <w:tcW w:w="337" w:type="pct"/>
            <w:tcBorders>
              <w:top w:val="single" w:sz="4" w:space="0" w:color="auto"/>
              <w:left w:val="single" w:sz="4" w:space="0" w:color="auto"/>
              <w:bottom w:val="single" w:sz="4" w:space="0" w:color="auto"/>
              <w:right w:val="single" w:sz="4" w:space="0" w:color="auto"/>
            </w:tcBorders>
            <w:vAlign w:val="center"/>
          </w:tcPr>
          <w:p w14:paraId="21EFD129" w14:textId="7D4B2CF3" w:rsidR="00526FEC" w:rsidRPr="00526FEC" w:rsidRDefault="00526FEC" w:rsidP="00526FEC">
            <w:pPr>
              <w:widowControl w:val="0"/>
              <w:suppressAutoHyphens/>
              <w:jc w:val="center"/>
              <w:rPr>
                <w:b/>
                <w:strike/>
                <w:noProof/>
                <w:color w:val="D9D9D9" w:themeColor="background1" w:themeShade="D9"/>
                <w:sz w:val="20"/>
                <w:szCs w:val="20"/>
              </w:rPr>
            </w:pPr>
            <w:r w:rsidRPr="00526FEC">
              <w:rPr>
                <w:strike/>
                <w:color w:val="D9D9D9" w:themeColor="background1" w:themeShade="D9"/>
                <w:sz w:val="20"/>
                <w:szCs w:val="20"/>
              </w:rPr>
              <w:t>0.1</w:t>
            </w:r>
          </w:p>
        </w:tc>
        <w:tc>
          <w:tcPr>
            <w:tcW w:w="321" w:type="pct"/>
            <w:tcBorders>
              <w:top w:val="single" w:sz="4" w:space="0" w:color="auto"/>
              <w:left w:val="single" w:sz="4" w:space="0" w:color="auto"/>
              <w:bottom w:val="single" w:sz="4" w:space="0" w:color="auto"/>
              <w:right w:val="single" w:sz="4" w:space="0" w:color="auto"/>
            </w:tcBorders>
            <w:vAlign w:val="center"/>
          </w:tcPr>
          <w:p w14:paraId="0837C4C6"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5E84A037"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035857" w14:textId="526102FA" w:rsidR="00526FEC" w:rsidRPr="00227BE0" w:rsidRDefault="003D2B5A" w:rsidP="00526FEC">
            <w:pPr>
              <w:widowControl w:val="0"/>
              <w:suppressAutoHyphens/>
              <w:jc w:val="center"/>
              <w:rPr>
                <w:noProof/>
                <w:sz w:val="20"/>
                <w:szCs w:val="20"/>
              </w:rPr>
            </w:pPr>
            <w:r>
              <w:rPr>
                <w:noProof/>
                <w:sz w:val="20"/>
                <w:szCs w:val="20"/>
              </w:rPr>
              <w:t>0.09</w:t>
            </w:r>
          </w:p>
        </w:tc>
        <w:tc>
          <w:tcPr>
            <w:tcW w:w="337" w:type="pct"/>
            <w:tcBorders>
              <w:top w:val="single" w:sz="4" w:space="0" w:color="auto"/>
              <w:left w:val="single" w:sz="4" w:space="0" w:color="auto"/>
              <w:bottom w:val="single" w:sz="4" w:space="0" w:color="auto"/>
              <w:right w:val="single" w:sz="4" w:space="0" w:color="auto"/>
            </w:tcBorders>
            <w:vAlign w:val="center"/>
          </w:tcPr>
          <w:p w14:paraId="1860CCD6"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549EEF4E"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704F5AB3"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2F577D4A" w14:textId="77777777" w:rsidR="00526FEC" w:rsidRPr="00227BE0" w:rsidRDefault="00526FEC" w:rsidP="00526FEC">
            <w:pPr>
              <w:suppressAutoHyphens/>
              <w:jc w:val="center"/>
              <w:rPr>
                <w:rFonts w:eastAsia="SimSun"/>
                <w:sz w:val="20"/>
                <w:szCs w:val="20"/>
              </w:rPr>
            </w:pPr>
            <w:r w:rsidRPr="00227BE0">
              <w:rPr>
                <w:noProof/>
                <w:sz w:val="20"/>
                <w:szCs w:val="20"/>
              </w:rPr>
              <w:t>--</w:t>
            </w:r>
          </w:p>
        </w:tc>
        <w:tc>
          <w:tcPr>
            <w:tcW w:w="403" w:type="pct"/>
            <w:tcBorders>
              <w:top w:val="single" w:sz="4" w:space="0" w:color="auto"/>
              <w:left w:val="single" w:sz="4" w:space="0" w:color="auto"/>
              <w:bottom w:val="single" w:sz="4" w:space="0" w:color="auto"/>
              <w:right w:val="single" w:sz="4" w:space="0" w:color="auto"/>
            </w:tcBorders>
            <w:vAlign w:val="center"/>
          </w:tcPr>
          <w:p w14:paraId="4A6E47E3" w14:textId="77777777" w:rsidR="00526FEC" w:rsidRPr="00227BE0" w:rsidRDefault="00526FEC" w:rsidP="00526FEC">
            <w:pPr>
              <w:suppressAutoHyphens/>
              <w:rPr>
                <w:sz w:val="20"/>
                <w:szCs w:val="20"/>
              </w:rPr>
            </w:pPr>
            <w:r w:rsidRPr="00227BE0">
              <w:rPr>
                <w:rFonts w:eastAsia="SimSun"/>
                <w:sz w:val="20"/>
                <w:szCs w:val="20"/>
              </w:rPr>
              <w:t>1.299</w:t>
            </w:r>
          </w:p>
        </w:tc>
        <w:tc>
          <w:tcPr>
            <w:tcW w:w="345" w:type="pct"/>
            <w:tcBorders>
              <w:top w:val="single" w:sz="4" w:space="0" w:color="auto"/>
              <w:left w:val="single" w:sz="4" w:space="0" w:color="auto"/>
              <w:bottom w:val="single" w:sz="4" w:space="0" w:color="auto"/>
              <w:right w:val="single" w:sz="4" w:space="0" w:color="auto"/>
            </w:tcBorders>
            <w:vAlign w:val="center"/>
          </w:tcPr>
          <w:p w14:paraId="03C8BEAA" w14:textId="77777777" w:rsidR="00526FEC" w:rsidRPr="00227BE0" w:rsidRDefault="00526FEC" w:rsidP="00526FEC">
            <w:pPr>
              <w:widowControl w:val="0"/>
              <w:suppressAutoHyphens/>
              <w:jc w:val="center"/>
              <w:rPr>
                <w:noProof/>
                <w:sz w:val="20"/>
                <w:szCs w:val="20"/>
              </w:rPr>
            </w:pPr>
            <w:r w:rsidRPr="00227BE0">
              <w:rPr>
                <w:noProof/>
                <w:sz w:val="20"/>
                <w:szCs w:val="20"/>
              </w:rPr>
              <w:t>--</w:t>
            </w:r>
          </w:p>
        </w:tc>
      </w:tr>
      <w:tr w:rsidR="00526FEC" w:rsidRPr="00227BE0" w14:paraId="3DF15A36" w14:textId="77777777" w:rsidTr="003D2B5A">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0EF5F3F5" w14:textId="77777777" w:rsidR="00526FEC" w:rsidRPr="00227BE0" w:rsidRDefault="00526FEC" w:rsidP="00526FEC">
            <w:pPr>
              <w:widowControl w:val="0"/>
              <w:suppressAutoHyphens/>
              <w:rPr>
                <w:noProof/>
                <w:sz w:val="20"/>
                <w:szCs w:val="20"/>
                <w:vertAlign w:val="superscript"/>
              </w:rPr>
            </w:pPr>
            <w:r w:rsidRPr="00227BE0">
              <w:rPr>
                <w:sz w:val="20"/>
                <w:szCs w:val="20"/>
              </w:rPr>
              <w:t>R3 stream</w:t>
            </w:r>
          </w:p>
        </w:tc>
        <w:tc>
          <w:tcPr>
            <w:tcW w:w="275" w:type="pct"/>
            <w:tcBorders>
              <w:top w:val="single" w:sz="4" w:space="0" w:color="auto"/>
              <w:left w:val="single" w:sz="4" w:space="0" w:color="auto"/>
              <w:bottom w:val="single" w:sz="4" w:space="0" w:color="auto"/>
              <w:right w:val="single" w:sz="4" w:space="0" w:color="auto"/>
            </w:tcBorders>
            <w:vAlign w:val="center"/>
          </w:tcPr>
          <w:p w14:paraId="0C9CC3EA" w14:textId="77777777" w:rsidR="00526FEC" w:rsidRPr="00227BE0" w:rsidRDefault="00526FEC" w:rsidP="00526FEC">
            <w:pPr>
              <w:widowControl w:val="0"/>
              <w:suppressAutoHyphens/>
              <w:rPr>
                <w:noProof/>
                <w:sz w:val="20"/>
                <w:szCs w:val="20"/>
              </w:rPr>
            </w:pPr>
            <w:r w:rsidRPr="00227BE0">
              <w:rPr>
                <w:rFonts w:eastAsia="SimSun"/>
                <w:sz w:val="20"/>
                <w:szCs w:val="20"/>
              </w:rPr>
              <w:t>1.535</w:t>
            </w:r>
          </w:p>
        </w:tc>
        <w:tc>
          <w:tcPr>
            <w:tcW w:w="284" w:type="pct"/>
            <w:tcBorders>
              <w:top w:val="single" w:sz="4" w:space="0" w:color="auto"/>
              <w:left w:val="single" w:sz="4" w:space="0" w:color="auto"/>
              <w:bottom w:val="single" w:sz="4" w:space="0" w:color="auto"/>
              <w:right w:val="single" w:sz="4" w:space="0" w:color="auto"/>
            </w:tcBorders>
            <w:vAlign w:val="center"/>
          </w:tcPr>
          <w:p w14:paraId="7514AD8A" w14:textId="77777777" w:rsidR="00526FEC" w:rsidRPr="00227BE0" w:rsidRDefault="00526FEC" w:rsidP="00526FEC">
            <w:pPr>
              <w:widowControl w:val="0"/>
              <w:suppressAutoHyphens/>
              <w:jc w:val="center"/>
              <w:rPr>
                <w:b/>
                <w:noProof/>
                <w:sz w:val="20"/>
                <w:szCs w:val="20"/>
              </w:rPr>
            </w:pPr>
            <w:r w:rsidRPr="00227BE0">
              <w:rPr>
                <w:color w:val="000000"/>
                <w:sz w:val="20"/>
                <w:szCs w:val="20"/>
              </w:rPr>
              <w:t>0.5</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49FA2F" w14:textId="7602F5A8" w:rsidR="00526FEC" w:rsidRPr="00227BE0" w:rsidRDefault="00620B31" w:rsidP="00526FEC">
            <w:pPr>
              <w:widowControl w:val="0"/>
              <w:suppressAutoHyphens/>
              <w:jc w:val="center"/>
              <w:rPr>
                <w:color w:val="000000"/>
                <w:sz w:val="20"/>
                <w:szCs w:val="20"/>
              </w:rPr>
            </w:pPr>
            <w:r>
              <w:rPr>
                <w:color w:val="000000"/>
                <w:sz w:val="20"/>
                <w:szCs w:val="20"/>
              </w:rPr>
              <w:t>0.43</w:t>
            </w:r>
          </w:p>
        </w:tc>
        <w:tc>
          <w:tcPr>
            <w:tcW w:w="337" w:type="pct"/>
            <w:tcBorders>
              <w:top w:val="single" w:sz="4" w:space="0" w:color="auto"/>
              <w:left w:val="single" w:sz="4" w:space="0" w:color="auto"/>
              <w:bottom w:val="single" w:sz="4" w:space="0" w:color="auto"/>
              <w:right w:val="single" w:sz="4" w:space="0" w:color="auto"/>
            </w:tcBorders>
            <w:vAlign w:val="center"/>
          </w:tcPr>
          <w:p w14:paraId="3552768D" w14:textId="7D6B5933" w:rsidR="00526FEC" w:rsidRPr="00526FEC" w:rsidRDefault="00526FEC" w:rsidP="00526FEC">
            <w:pPr>
              <w:widowControl w:val="0"/>
              <w:suppressAutoHyphens/>
              <w:jc w:val="center"/>
              <w:rPr>
                <w:b/>
                <w:strike/>
                <w:noProof/>
                <w:color w:val="D9D9D9" w:themeColor="background1" w:themeShade="D9"/>
                <w:sz w:val="20"/>
                <w:szCs w:val="20"/>
              </w:rPr>
            </w:pPr>
            <w:r w:rsidRPr="00526FEC">
              <w:rPr>
                <w:strike/>
                <w:color w:val="D9D9D9" w:themeColor="background1" w:themeShade="D9"/>
                <w:sz w:val="20"/>
                <w:szCs w:val="20"/>
              </w:rPr>
              <w:t>0.2</w:t>
            </w:r>
          </w:p>
        </w:tc>
        <w:tc>
          <w:tcPr>
            <w:tcW w:w="321" w:type="pct"/>
            <w:tcBorders>
              <w:top w:val="single" w:sz="4" w:space="0" w:color="auto"/>
              <w:left w:val="single" w:sz="4" w:space="0" w:color="auto"/>
              <w:bottom w:val="single" w:sz="4" w:space="0" w:color="auto"/>
              <w:right w:val="single" w:sz="4" w:space="0" w:color="auto"/>
            </w:tcBorders>
            <w:vAlign w:val="center"/>
          </w:tcPr>
          <w:p w14:paraId="379ADCF5"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4B1B85C2"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E74CBF" w14:textId="7F2F2EE8" w:rsidR="00526FEC" w:rsidRPr="00227BE0" w:rsidRDefault="003D2B5A" w:rsidP="00526FEC">
            <w:pPr>
              <w:widowControl w:val="0"/>
              <w:suppressAutoHyphens/>
              <w:jc w:val="center"/>
              <w:rPr>
                <w:noProof/>
                <w:sz w:val="20"/>
                <w:szCs w:val="20"/>
              </w:rPr>
            </w:pPr>
            <w:r>
              <w:rPr>
                <w:noProof/>
                <w:sz w:val="20"/>
                <w:szCs w:val="20"/>
              </w:rPr>
              <w:t>0.14</w:t>
            </w:r>
          </w:p>
        </w:tc>
        <w:tc>
          <w:tcPr>
            <w:tcW w:w="337" w:type="pct"/>
            <w:tcBorders>
              <w:top w:val="single" w:sz="4" w:space="0" w:color="auto"/>
              <w:left w:val="single" w:sz="4" w:space="0" w:color="auto"/>
              <w:bottom w:val="single" w:sz="4" w:space="0" w:color="auto"/>
              <w:right w:val="single" w:sz="4" w:space="0" w:color="auto"/>
            </w:tcBorders>
            <w:vAlign w:val="center"/>
          </w:tcPr>
          <w:p w14:paraId="39784375"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55C0B3F2"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5CC43FF3"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6FD642D6" w14:textId="77777777" w:rsidR="00526FEC" w:rsidRPr="00227BE0" w:rsidRDefault="00526FEC" w:rsidP="00526FEC">
            <w:pPr>
              <w:suppressAutoHyphens/>
              <w:jc w:val="center"/>
              <w:rPr>
                <w:rFonts w:eastAsia="SimSun"/>
                <w:sz w:val="20"/>
                <w:szCs w:val="20"/>
              </w:rPr>
            </w:pPr>
            <w:r w:rsidRPr="00227BE0">
              <w:rPr>
                <w:noProof/>
                <w:sz w:val="20"/>
                <w:szCs w:val="20"/>
              </w:rPr>
              <w:t>--</w:t>
            </w:r>
          </w:p>
        </w:tc>
        <w:tc>
          <w:tcPr>
            <w:tcW w:w="403" w:type="pct"/>
            <w:tcBorders>
              <w:top w:val="single" w:sz="4" w:space="0" w:color="auto"/>
              <w:left w:val="single" w:sz="4" w:space="0" w:color="auto"/>
              <w:bottom w:val="single" w:sz="4" w:space="0" w:color="auto"/>
              <w:right w:val="single" w:sz="4" w:space="0" w:color="auto"/>
            </w:tcBorders>
            <w:vAlign w:val="center"/>
          </w:tcPr>
          <w:p w14:paraId="09CF0BB9" w14:textId="77777777" w:rsidR="00526FEC" w:rsidRPr="00227BE0" w:rsidRDefault="00526FEC" w:rsidP="00526FEC">
            <w:pPr>
              <w:suppressAutoHyphens/>
              <w:rPr>
                <w:sz w:val="20"/>
                <w:szCs w:val="20"/>
              </w:rPr>
            </w:pPr>
            <w:r w:rsidRPr="00227BE0">
              <w:rPr>
                <w:rFonts w:eastAsia="SimSun"/>
                <w:sz w:val="20"/>
                <w:szCs w:val="20"/>
              </w:rPr>
              <w:t>1.442</w:t>
            </w:r>
          </w:p>
        </w:tc>
        <w:tc>
          <w:tcPr>
            <w:tcW w:w="345" w:type="pct"/>
            <w:tcBorders>
              <w:top w:val="single" w:sz="4" w:space="0" w:color="auto"/>
              <w:left w:val="single" w:sz="4" w:space="0" w:color="auto"/>
              <w:bottom w:val="single" w:sz="4" w:space="0" w:color="auto"/>
              <w:right w:val="single" w:sz="4" w:space="0" w:color="auto"/>
            </w:tcBorders>
            <w:vAlign w:val="center"/>
          </w:tcPr>
          <w:p w14:paraId="670174F9" w14:textId="77777777" w:rsidR="00526FEC" w:rsidRPr="00227BE0" w:rsidRDefault="00526FEC" w:rsidP="00526FEC">
            <w:pPr>
              <w:widowControl w:val="0"/>
              <w:suppressAutoHyphens/>
              <w:jc w:val="center"/>
              <w:rPr>
                <w:noProof/>
                <w:sz w:val="20"/>
                <w:szCs w:val="20"/>
              </w:rPr>
            </w:pPr>
            <w:r w:rsidRPr="00227BE0">
              <w:rPr>
                <w:noProof/>
                <w:sz w:val="20"/>
                <w:szCs w:val="20"/>
              </w:rPr>
              <w:t>--</w:t>
            </w:r>
          </w:p>
        </w:tc>
      </w:tr>
      <w:tr w:rsidR="00526FEC" w:rsidRPr="00227BE0" w14:paraId="23B2B50B" w14:textId="77777777" w:rsidTr="003D2B5A">
        <w:trPr>
          <w:cantSplit/>
        </w:trPr>
        <w:tc>
          <w:tcPr>
            <w:tcW w:w="460" w:type="pct"/>
            <w:tcBorders>
              <w:top w:val="single" w:sz="4" w:space="0" w:color="auto"/>
              <w:left w:val="single" w:sz="4" w:space="0" w:color="auto"/>
              <w:bottom w:val="single" w:sz="4" w:space="0" w:color="auto"/>
              <w:right w:val="single" w:sz="4" w:space="0" w:color="auto"/>
            </w:tcBorders>
            <w:vAlign w:val="center"/>
            <w:hideMark/>
          </w:tcPr>
          <w:p w14:paraId="6F1E96B7" w14:textId="77777777" w:rsidR="00526FEC" w:rsidRPr="00227BE0" w:rsidRDefault="00526FEC" w:rsidP="00526FEC">
            <w:pPr>
              <w:widowControl w:val="0"/>
              <w:suppressAutoHyphens/>
              <w:rPr>
                <w:noProof/>
                <w:sz w:val="20"/>
                <w:szCs w:val="20"/>
                <w:vertAlign w:val="superscript"/>
              </w:rPr>
            </w:pPr>
            <w:r w:rsidRPr="00227BE0">
              <w:rPr>
                <w:sz w:val="20"/>
                <w:szCs w:val="20"/>
              </w:rPr>
              <w:t>R4 stream</w:t>
            </w:r>
          </w:p>
        </w:tc>
        <w:tc>
          <w:tcPr>
            <w:tcW w:w="275" w:type="pct"/>
            <w:tcBorders>
              <w:top w:val="single" w:sz="4" w:space="0" w:color="auto"/>
              <w:left w:val="single" w:sz="4" w:space="0" w:color="auto"/>
              <w:bottom w:val="single" w:sz="4" w:space="0" w:color="auto"/>
              <w:right w:val="single" w:sz="4" w:space="0" w:color="auto"/>
            </w:tcBorders>
            <w:vAlign w:val="center"/>
          </w:tcPr>
          <w:p w14:paraId="0388E72A" w14:textId="77777777" w:rsidR="00526FEC" w:rsidRPr="00227BE0" w:rsidRDefault="00526FEC" w:rsidP="00526FEC">
            <w:pPr>
              <w:widowControl w:val="0"/>
              <w:suppressAutoHyphens/>
              <w:rPr>
                <w:noProof/>
                <w:sz w:val="20"/>
                <w:szCs w:val="20"/>
              </w:rPr>
            </w:pPr>
            <w:r w:rsidRPr="00227BE0">
              <w:rPr>
                <w:rFonts w:eastAsia="SimSun"/>
                <w:sz w:val="20"/>
                <w:szCs w:val="20"/>
              </w:rPr>
              <w:t>0.845</w:t>
            </w:r>
          </w:p>
        </w:tc>
        <w:tc>
          <w:tcPr>
            <w:tcW w:w="284" w:type="pct"/>
            <w:tcBorders>
              <w:top w:val="single" w:sz="4" w:space="0" w:color="auto"/>
              <w:left w:val="single" w:sz="4" w:space="0" w:color="auto"/>
              <w:bottom w:val="single" w:sz="4" w:space="0" w:color="auto"/>
              <w:right w:val="single" w:sz="4" w:space="0" w:color="auto"/>
            </w:tcBorders>
            <w:vAlign w:val="center"/>
          </w:tcPr>
          <w:p w14:paraId="3618F353" w14:textId="77777777" w:rsidR="00526FEC" w:rsidRPr="00227BE0" w:rsidRDefault="00526FEC" w:rsidP="00526FEC">
            <w:pPr>
              <w:widowControl w:val="0"/>
              <w:suppressAutoHyphens/>
              <w:jc w:val="center"/>
              <w:rPr>
                <w:b/>
                <w:noProof/>
                <w:sz w:val="20"/>
                <w:szCs w:val="20"/>
              </w:rPr>
            </w:pPr>
            <w:r w:rsidRPr="00227BE0">
              <w:rPr>
                <w:color w:val="000000"/>
                <w:sz w:val="20"/>
                <w:szCs w:val="20"/>
              </w:rPr>
              <w:t>0.3</w:t>
            </w:r>
          </w:p>
        </w:tc>
        <w:tc>
          <w:tcPr>
            <w:tcW w:w="3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24C9C9" w14:textId="384D085C" w:rsidR="00526FEC" w:rsidRPr="00227BE0" w:rsidRDefault="00620B31" w:rsidP="00526FEC">
            <w:pPr>
              <w:widowControl w:val="0"/>
              <w:suppressAutoHyphens/>
              <w:jc w:val="center"/>
              <w:rPr>
                <w:color w:val="000000"/>
                <w:sz w:val="20"/>
                <w:szCs w:val="20"/>
              </w:rPr>
            </w:pPr>
            <w:r>
              <w:rPr>
                <w:color w:val="000000"/>
                <w:sz w:val="20"/>
                <w:szCs w:val="20"/>
              </w:rPr>
              <w:t>0.24</w:t>
            </w:r>
          </w:p>
        </w:tc>
        <w:tc>
          <w:tcPr>
            <w:tcW w:w="337" w:type="pct"/>
            <w:tcBorders>
              <w:top w:val="single" w:sz="4" w:space="0" w:color="auto"/>
              <w:left w:val="single" w:sz="4" w:space="0" w:color="auto"/>
              <w:bottom w:val="single" w:sz="4" w:space="0" w:color="auto"/>
              <w:right w:val="single" w:sz="4" w:space="0" w:color="auto"/>
            </w:tcBorders>
            <w:vAlign w:val="center"/>
          </w:tcPr>
          <w:p w14:paraId="763B9269" w14:textId="3FEA7F5C" w:rsidR="00526FEC" w:rsidRPr="00526FEC" w:rsidRDefault="00526FEC" w:rsidP="00526FEC">
            <w:pPr>
              <w:widowControl w:val="0"/>
              <w:suppressAutoHyphens/>
              <w:jc w:val="center"/>
              <w:rPr>
                <w:b/>
                <w:strike/>
                <w:noProof/>
                <w:color w:val="D9D9D9" w:themeColor="background1" w:themeShade="D9"/>
                <w:sz w:val="20"/>
                <w:szCs w:val="20"/>
              </w:rPr>
            </w:pPr>
            <w:r w:rsidRPr="00526FEC">
              <w:rPr>
                <w:strike/>
                <w:color w:val="D9D9D9" w:themeColor="background1" w:themeShade="D9"/>
                <w:sz w:val="20"/>
                <w:szCs w:val="20"/>
              </w:rPr>
              <w:t>0.1</w:t>
            </w:r>
          </w:p>
        </w:tc>
        <w:tc>
          <w:tcPr>
            <w:tcW w:w="321" w:type="pct"/>
            <w:tcBorders>
              <w:top w:val="single" w:sz="4" w:space="0" w:color="auto"/>
              <w:left w:val="single" w:sz="4" w:space="0" w:color="auto"/>
              <w:bottom w:val="single" w:sz="4" w:space="0" w:color="auto"/>
              <w:right w:val="single" w:sz="4" w:space="0" w:color="auto"/>
            </w:tcBorders>
            <w:vAlign w:val="center"/>
          </w:tcPr>
          <w:p w14:paraId="666CCF7C"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7760C64C"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A45449" w14:textId="4849B7AA" w:rsidR="00526FEC" w:rsidRPr="00227BE0" w:rsidRDefault="003D2B5A" w:rsidP="00526FEC">
            <w:pPr>
              <w:widowControl w:val="0"/>
              <w:suppressAutoHyphens/>
              <w:jc w:val="center"/>
              <w:rPr>
                <w:noProof/>
                <w:sz w:val="20"/>
                <w:szCs w:val="20"/>
              </w:rPr>
            </w:pPr>
            <w:r>
              <w:rPr>
                <w:noProof/>
                <w:sz w:val="20"/>
                <w:szCs w:val="20"/>
              </w:rPr>
              <w:t>0.08</w:t>
            </w:r>
          </w:p>
        </w:tc>
        <w:tc>
          <w:tcPr>
            <w:tcW w:w="337" w:type="pct"/>
            <w:tcBorders>
              <w:top w:val="single" w:sz="4" w:space="0" w:color="auto"/>
              <w:left w:val="single" w:sz="4" w:space="0" w:color="auto"/>
              <w:bottom w:val="single" w:sz="4" w:space="0" w:color="auto"/>
              <w:right w:val="single" w:sz="4" w:space="0" w:color="auto"/>
            </w:tcBorders>
            <w:vAlign w:val="center"/>
          </w:tcPr>
          <w:p w14:paraId="794245F7"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7E82FF93"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0293AB82" w14:textId="77777777" w:rsidR="00526FEC" w:rsidRPr="00227BE0" w:rsidRDefault="00526FEC" w:rsidP="00526FEC">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76274C80" w14:textId="77777777" w:rsidR="00526FEC" w:rsidRPr="00227BE0" w:rsidRDefault="00526FEC" w:rsidP="00526FEC">
            <w:pPr>
              <w:suppressAutoHyphens/>
              <w:jc w:val="center"/>
              <w:rPr>
                <w:rFonts w:eastAsia="SimSun"/>
                <w:sz w:val="20"/>
                <w:szCs w:val="20"/>
              </w:rPr>
            </w:pPr>
            <w:r w:rsidRPr="00227BE0">
              <w:rPr>
                <w:noProof/>
                <w:sz w:val="20"/>
                <w:szCs w:val="20"/>
              </w:rPr>
              <w:t>--</w:t>
            </w:r>
          </w:p>
        </w:tc>
        <w:tc>
          <w:tcPr>
            <w:tcW w:w="403" w:type="pct"/>
            <w:tcBorders>
              <w:top w:val="single" w:sz="4" w:space="0" w:color="auto"/>
              <w:left w:val="single" w:sz="4" w:space="0" w:color="auto"/>
              <w:bottom w:val="single" w:sz="4" w:space="0" w:color="auto"/>
              <w:right w:val="single" w:sz="4" w:space="0" w:color="auto"/>
            </w:tcBorders>
            <w:vAlign w:val="center"/>
          </w:tcPr>
          <w:p w14:paraId="5CAEC622" w14:textId="77777777" w:rsidR="00526FEC" w:rsidRPr="00227BE0" w:rsidRDefault="00526FEC" w:rsidP="00526FEC">
            <w:pPr>
              <w:suppressAutoHyphens/>
              <w:rPr>
                <w:sz w:val="20"/>
                <w:szCs w:val="20"/>
              </w:rPr>
            </w:pPr>
            <w:r w:rsidRPr="00227BE0">
              <w:rPr>
                <w:rFonts w:eastAsia="SimSun"/>
                <w:sz w:val="20"/>
                <w:szCs w:val="20"/>
              </w:rPr>
              <w:t>0.938</w:t>
            </w:r>
          </w:p>
        </w:tc>
        <w:tc>
          <w:tcPr>
            <w:tcW w:w="345" w:type="pct"/>
            <w:tcBorders>
              <w:top w:val="single" w:sz="4" w:space="0" w:color="auto"/>
              <w:left w:val="single" w:sz="4" w:space="0" w:color="auto"/>
              <w:bottom w:val="single" w:sz="4" w:space="0" w:color="auto"/>
              <w:right w:val="single" w:sz="4" w:space="0" w:color="auto"/>
            </w:tcBorders>
            <w:vAlign w:val="center"/>
          </w:tcPr>
          <w:p w14:paraId="37F3EC08" w14:textId="77777777" w:rsidR="00526FEC" w:rsidRPr="00227BE0" w:rsidRDefault="00526FEC" w:rsidP="00526FEC">
            <w:pPr>
              <w:widowControl w:val="0"/>
              <w:suppressAutoHyphens/>
              <w:jc w:val="center"/>
              <w:rPr>
                <w:noProof/>
                <w:sz w:val="20"/>
                <w:szCs w:val="20"/>
              </w:rPr>
            </w:pPr>
            <w:r w:rsidRPr="00227BE0">
              <w:rPr>
                <w:noProof/>
                <w:sz w:val="20"/>
                <w:szCs w:val="20"/>
              </w:rPr>
              <w:t>--</w:t>
            </w:r>
          </w:p>
        </w:tc>
      </w:tr>
    </w:tbl>
    <w:p w14:paraId="19D81B13" w14:textId="77777777" w:rsidR="00E51CDD" w:rsidRPr="00227BE0" w:rsidRDefault="00E51CDD" w:rsidP="00E51CDD">
      <w:pPr>
        <w:widowControl w:val="0"/>
        <w:tabs>
          <w:tab w:val="left" w:pos="425"/>
        </w:tabs>
        <w:suppressAutoHyphens/>
        <w:ind w:left="284" w:hanging="284"/>
        <w:jc w:val="both"/>
        <w:rPr>
          <w:noProof/>
          <w:sz w:val="18"/>
          <w:szCs w:val="18"/>
        </w:rPr>
      </w:pPr>
      <w:r w:rsidRPr="00227BE0">
        <w:rPr>
          <w:noProof/>
          <w:sz w:val="18"/>
          <w:szCs w:val="18"/>
        </w:rPr>
        <w:t>AF: Assessment factor; PEC: Predicted environmental concentration; RAC: Regulatory acceptable concentration; ETR: Exposure-toxicity ratio; PEC/RAC ratios (= ETR) above the relevant trigger of 1 are shown in bold</w:t>
      </w:r>
    </w:p>
    <w:p w14:paraId="12936499" w14:textId="77777777" w:rsidR="00E51CDD" w:rsidRPr="00227BE0" w:rsidRDefault="00E51CDD" w:rsidP="00E51CDD">
      <w:pPr>
        <w:widowControl w:val="0"/>
        <w:suppressAutoHyphens/>
        <w:ind w:left="284" w:hanging="284"/>
        <w:jc w:val="both"/>
      </w:pPr>
      <w:bookmarkStart w:id="500" w:name="_Hlk82440926"/>
      <w:r w:rsidRPr="00227BE0">
        <w:rPr>
          <w:sz w:val="18"/>
          <w:szCs w:val="18"/>
          <w:vertAlign w:val="superscript"/>
        </w:rPr>
        <w:t>#</w:t>
      </w:r>
      <w:r w:rsidRPr="00227BE0">
        <w:rPr>
          <w:sz w:val="18"/>
          <w:szCs w:val="18"/>
        </w:rPr>
        <w:tab/>
        <w:t>PEC values are derived from calculation for either single or twofold application of BAS 736 00 F in winter cereals in a risk envelope approach. For details, please refer to Part B, Section 8.9.</w:t>
      </w:r>
    </w:p>
    <w:bookmarkEnd w:id="500"/>
    <w:p w14:paraId="3B86FA01" w14:textId="77777777" w:rsidR="00E51CDD" w:rsidRPr="00227BE0" w:rsidRDefault="00E51CDD" w:rsidP="00E51CDD">
      <w:pPr>
        <w:widowControl w:val="0"/>
        <w:suppressAutoHyphens/>
        <w:ind w:left="284" w:hanging="284"/>
        <w:jc w:val="both"/>
        <w:rPr>
          <w:lang w:val="en-GB"/>
        </w:rPr>
      </w:pPr>
    </w:p>
    <w:p w14:paraId="4431C996" w14:textId="77777777" w:rsidR="00E51CDD" w:rsidRPr="00227BE0" w:rsidRDefault="00E51CDD" w:rsidP="00E51CDD">
      <w:pPr>
        <w:widowControl w:val="0"/>
        <w:suppressAutoHyphens/>
        <w:ind w:left="284" w:hanging="284"/>
        <w:jc w:val="both"/>
      </w:pPr>
    </w:p>
    <w:p w14:paraId="450F556F" w14:textId="77777777" w:rsidR="00E51CDD" w:rsidRPr="00227BE0" w:rsidRDefault="00E51CDD" w:rsidP="00E51CDD">
      <w:pPr>
        <w:widowControl w:val="0"/>
        <w:suppressAutoHyphens/>
        <w:jc w:val="both"/>
      </w:pPr>
      <w:r w:rsidRPr="00227BE0">
        <w:t>For the intended use of fluxapyroxad in ‘winter cereals’ at 1x and 2x 100 g a.s./ha, the calculated PEC/RAC ratios indicate an acceptable risk for all groups of aquatic organisms based on tier 1 toxicity data and Step 1 - 3 PEC</w:t>
      </w:r>
      <w:r w:rsidRPr="00227BE0">
        <w:rPr>
          <w:vertAlign w:val="subscript"/>
        </w:rPr>
        <w:t>sw</w:t>
      </w:r>
      <w:r w:rsidRPr="00227BE0">
        <w:t xml:space="preserve"> and PEC</w:t>
      </w:r>
      <w:r w:rsidRPr="00227BE0">
        <w:rPr>
          <w:vertAlign w:val="subscript"/>
        </w:rPr>
        <w:t>sed</w:t>
      </w:r>
      <w:r w:rsidRPr="00227BE0">
        <w:t xml:space="preserve"> values. Therefore, no further assessment is necessary.</w:t>
      </w:r>
    </w:p>
    <w:p w14:paraId="784D6A46" w14:textId="19091BEE" w:rsidR="00E51CDD" w:rsidRPr="00227BE0" w:rsidRDefault="00E51CDD" w:rsidP="00E51CDD">
      <w:pPr>
        <w:keepNext/>
        <w:keepLines/>
        <w:widowControl w:val="0"/>
        <w:tabs>
          <w:tab w:val="left" w:pos="1985"/>
        </w:tabs>
        <w:suppressAutoHyphens/>
        <w:spacing w:before="200" w:after="120"/>
        <w:ind w:left="1985" w:hanging="1985"/>
        <w:jc w:val="both"/>
        <w:rPr>
          <w:b/>
          <w:bCs/>
        </w:rPr>
      </w:pPr>
      <w:r w:rsidRPr="00227BE0">
        <w:br w:type="page"/>
      </w:r>
      <w:bookmarkStart w:id="501" w:name="_Ref82080248"/>
      <w:r w:rsidRPr="00227BE0">
        <w:rPr>
          <w:b/>
          <w:bCs/>
        </w:rPr>
        <w:lastRenderedPageBreak/>
        <w:t xml:space="preserve">Table </w:t>
      </w:r>
      <w:r w:rsidRPr="00227BE0">
        <w:fldChar w:fldCharType="begin"/>
      </w:r>
      <w:r w:rsidRPr="00227BE0">
        <w:rPr>
          <w:b/>
          <w:bCs/>
        </w:rPr>
        <w:instrText xml:space="preserve"> STYLEREF 2 \s </w:instrText>
      </w:r>
      <w:r w:rsidRPr="00227BE0">
        <w:fldChar w:fldCharType="separate"/>
      </w:r>
      <w:r w:rsidR="00662F32">
        <w:rPr>
          <w:b/>
          <w:bCs/>
          <w:noProof/>
        </w:rPr>
        <w:t>9.5</w:t>
      </w:r>
      <w:r w:rsidRPr="00227BE0">
        <w:fldChar w:fldCharType="end"/>
      </w:r>
      <w:r w:rsidRPr="00227BE0">
        <w:rPr>
          <w:b/>
          <w:bCs/>
        </w:rPr>
        <w:noBreakHyphen/>
      </w:r>
      <w:r w:rsidRPr="00227BE0">
        <w:fldChar w:fldCharType="begin"/>
      </w:r>
      <w:r w:rsidRPr="00227BE0">
        <w:rPr>
          <w:b/>
          <w:bCs/>
        </w:rPr>
        <w:instrText xml:space="preserve"> SEQ Table \* ARABIC \s 2 </w:instrText>
      </w:r>
      <w:r w:rsidRPr="00227BE0">
        <w:fldChar w:fldCharType="separate"/>
      </w:r>
      <w:r w:rsidR="00662F32">
        <w:rPr>
          <w:b/>
          <w:bCs/>
          <w:noProof/>
        </w:rPr>
        <w:t>5</w:t>
      </w:r>
      <w:r w:rsidRPr="00227BE0">
        <w:fldChar w:fldCharType="end"/>
      </w:r>
      <w:bookmarkEnd w:id="501"/>
      <w:r w:rsidRPr="00227BE0">
        <w:rPr>
          <w:b/>
          <w:bCs/>
        </w:rPr>
        <w:t>:</w:t>
      </w:r>
      <w:r w:rsidRPr="00227BE0">
        <w:rPr>
          <w:b/>
          <w:bCs/>
        </w:rPr>
        <w:tab/>
        <w:t xml:space="preserve">Aquatic organisms: acceptability of risk (PEC/RAC &lt; 1) for </w:t>
      </w:r>
      <w:r w:rsidRPr="00227BE0">
        <w:rPr>
          <w:b/>
          <w:bCs/>
          <w:iCs/>
        </w:rPr>
        <w:t xml:space="preserve">fluxapyroxad </w:t>
      </w:r>
      <w:r w:rsidRPr="00227BE0">
        <w:rPr>
          <w:b/>
          <w:bCs/>
        </w:rPr>
        <w:t>for each organism group based on standard worst-case calculations following single and twofold application (1x and 2x 100 g a.s./ha) of BAS 736 00 F in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335"/>
        <w:gridCol w:w="794"/>
        <w:gridCol w:w="820"/>
        <w:gridCol w:w="91"/>
        <w:gridCol w:w="890"/>
        <w:gridCol w:w="981"/>
        <w:gridCol w:w="928"/>
        <w:gridCol w:w="1115"/>
        <w:gridCol w:w="1162"/>
        <w:gridCol w:w="981"/>
        <w:gridCol w:w="1170"/>
        <w:gridCol w:w="946"/>
        <w:gridCol w:w="1170"/>
        <w:gridCol w:w="1170"/>
        <w:gridCol w:w="1003"/>
      </w:tblGrid>
      <w:tr w:rsidR="00B67E21" w:rsidRPr="00227BE0" w14:paraId="16FC1F5D" w14:textId="77777777" w:rsidTr="00B67E21">
        <w:trPr>
          <w:cantSplit/>
          <w:tblHeader/>
        </w:trPr>
        <w:tc>
          <w:tcPr>
            <w:tcW w:w="459" w:type="pct"/>
            <w:tcBorders>
              <w:top w:val="single" w:sz="4" w:space="0" w:color="auto"/>
              <w:left w:val="single" w:sz="4" w:space="0" w:color="auto"/>
              <w:bottom w:val="single" w:sz="4" w:space="0" w:color="auto"/>
              <w:right w:val="single" w:sz="4" w:space="0" w:color="auto"/>
            </w:tcBorders>
            <w:vAlign w:val="center"/>
            <w:hideMark/>
          </w:tcPr>
          <w:p w14:paraId="4CF2EF4C" w14:textId="77777777" w:rsidR="00B67E21" w:rsidRPr="00227BE0" w:rsidRDefault="00B67E21" w:rsidP="00B67E21">
            <w:pPr>
              <w:widowControl w:val="0"/>
              <w:suppressAutoHyphens/>
              <w:rPr>
                <w:b/>
                <w:bCs/>
                <w:sz w:val="20"/>
                <w:szCs w:val="20"/>
              </w:rPr>
            </w:pPr>
            <w:r w:rsidRPr="00227BE0">
              <w:rPr>
                <w:b/>
                <w:bCs/>
                <w:sz w:val="20"/>
                <w:szCs w:val="20"/>
              </w:rPr>
              <w:t>Group</w:t>
            </w:r>
          </w:p>
        </w:tc>
        <w:tc>
          <w:tcPr>
            <w:tcW w:w="273" w:type="pct"/>
            <w:tcBorders>
              <w:top w:val="single" w:sz="4" w:space="0" w:color="auto"/>
              <w:left w:val="single" w:sz="4" w:space="0" w:color="auto"/>
              <w:bottom w:val="nil"/>
              <w:right w:val="single" w:sz="4" w:space="0" w:color="auto"/>
            </w:tcBorders>
            <w:vAlign w:val="center"/>
          </w:tcPr>
          <w:p w14:paraId="1ED317CB" w14:textId="77777777" w:rsidR="00B67E21" w:rsidRPr="00227BE0" w:rsidRDefault="00B67E21" w:rsidP="00B67E21">
            <w:pPr>
              <w:widowControl w:val="0"/>
              <w:suppressAutoHyphens/>
              <w:rPr>
                <w:noProof/>
                <w:sz w:val="20"/>
                <w:szCs w:val="20"/>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234490C7" w14:textId="77777777" w:rsidR="00B67E21" w:rsidRPr="00227BE0" w:rsidRDefault="00B67E21" w:rsidP="00B67E21">
            <w:pPr>
              <w:widowControl w:val="0"/>
              <w:suppressAutoHyphens/>
              <w:jc w:val="center"/>
              <w:rPr>
                <w:b/>
                <w:bCs/>
                <w:sz w:val="20"/>
                <w:szCs w:val="20"/>
              </w:rPr>
            </w:pPr>
            <w:r w:rsidRPr="00227BE0">
              <w:rPr>
                <w:b/>
                <w:bCs/>
                <w:sz w:val="20"/>
                <w:szCs w:val="20"/>
              </w:rPr>
              <w:t>Fish acute</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18F993" w14:textId="72CEA8CE" w:rsidR="00B67E21" w:rsidRPr="00227BE0" w:rsidRDefault="00B67E21" w:rsidP="00B67E21">
            <w:pPr>
              <w:widowControl w:val="0"/>
              <w:suppressAutoHyphens/>
              <w:jc w:val="center"/>
              <w:rPr>
                <w:b/>
                <w:bCs/>
                <w:sz w:val="20"/>
                <w:szCs w:val="20"/>
              </w:rPr>
            </w:pPr>
            <w:r w:rsidRPr="00227BE0">
              <w:rPr>
                <w:b/>
                <w:bCs/>
                <w:sz w:val="20"/>
                <w:szCs w:val="20"/>
              </w:rPr>
              <w:t>Fish prolonged</w:t>
            </w:r>
          </w:p>
        </w:tc>
        <w:tc>
          <w:tcPr>
            <w:tcW w:w="337" w:type="pct"/>
            <w:tcBorders>
              <w:top w:val="single" w:sz="4" w:space="0" w:color="auto"/>
              <w:left w:val="single" w:sz="4" w:space="0" w:color="auto"/>
              <w:bottom w:val="single" w:sz="4" w:space="0" w:color="auto"/>
              <w:right w:val="single" w:sz="4" w:space="0" w:color="auto"/>
            </w:tcBorders>
            <w:vAlign w:val="center"/>
            <w:hideMark/>
          </w:tcPr>
          <w:p w14:paraId="1872E774" w14:textId="036404CE" w:rsidR="00B67E21" w:rsidRPr="00B67E21" w:rsidRDefault="00B67E21" w:rsidP="00B67E21">
            <w:pPr>
              <w:widowControl w:val="0"/>
              <w:suppressAutoHyphens/>
              <w:jc w:val="center"/>
              <w:rPr>
                <w:b/>
                <w:bCs/>
                <w:strike/>
                <w:color w:val="D9D9D9" w:themeColor="background1" w:themeShade="D9"/>
                <w:sz w:val="20"/>
                <w:szCs w:val="20"/>
              </w:rPr>
            </w:pPr>
            <w:r w:rsidRPr="00B67E21">
              <w:rPr>
                <w:b/>
                <w:bCs/>
                <w:strike/>
                <w:color w:val="D9D9D9" w:themeColor="background1" w:themeShade="D9"/>
                <w:sz w:val="20"/>
                <w:szCs w:val="20"/>
              </w:rPr>
              <w:t>Fish prolonged</w:t>
            </w:r>
          </w:p>
        </w:tc>
        <w:tc>
          <w:tcPr>
            <w:tcW w:w="319" w:type="pct"/>
            <w:tcBorders>
              <w:top w:val="single" w:sz="4" w:space="0" w:color="auto"/>
              <w:left w:val="single" w:sz="4" w:space="0" w:color="auto"/>
              <w:bottom w:val="single" w:sz="4" w:space="0" w:color="auto"/>
              <w:right w:val="single" w:sz="4" w:space="0" w:color="auto"/>
            </w:tcBorders>
            <w:vAlign w:val="center"/>
            <w:hideMark/>
          </w:tcPr>
          <w:p w14:paraId="0B2619B9" w14:textId="77777777" w:rsidR="00B67E21" w:rsidRPr="00B67E21" w:rsidRDefault="00B67E21" w:rsidP="00B67E21">
            <w:pPr>
              <w:widowControl w:val="0"/>
              <w:suppressAutoHyphens/>
              <w:jc w:val="center"/>
              <w:rPr>
                <w:b/>
                <w:bCs/>
                <w:strike/>
                <w:color w:val="D9D9D9" w:themeColor="background1" w:themeShade="D9"/>
                <w:sz w:val="20"/>
                <w:szCs w:val="20"/>
              </w:rPr>
            </w:pPr>
            <w:r w:rsidRPr="00B67E21">
              <w:rPr>
                <w:b/>
                <w:bCs/>
                <w:strike/>
                <w:color w:val="D9D9D9" w:themeColor="background1" w:themeShade="D9"/>
                <w:sz w:val="20"/>
                <w:szCs w:val="20"/>
              </w:rPr>
              <w:t>Inverteb. acute</w:t>
            </w:r>
          </w:p>
        </w:tc>
        <w:tc>
          <w:tcPr>
            <w:tcW w:w="383" w:type="pct"/>
            <w:tcBorders>
              <w:top w:val="single" w:sz="4" w:space="0" w:color="auto"/>
              <w:left w:val="single" w:sz="4" w:space="0" w:color="auto"/>
              <w:bottom w:val="single" w:sz="4" w:space="0" w:color="auto"/>
              <w:right w:val="single" w:sz="4" w:space="0" w:color="auto"/>
            </w:tcBorders>
            <w:vAlign w:val="center"/>
            <w:hideMark/>
          </w:tcPr>
          <w:p w14:paraId="4FB573BF" w14:textId="77777777" w:rsidR="00B67E21" w:rsidRPr="00B67E21" w:rsidRDefault="00B67E21" w:rsidP="00B67E21">
            <w:pPr>
              <w:widowControl w:val="0"/>
              <w:suppressAutoHyphens/>
              <w:jc w:val="center"/>
              <w:rPr>
                <w:b/>
                <w:bCs/>
                <w:strike/>
                <w:color w:val="D9D9D9" w:themeColor="background1" w:themeShade="D9"/>
                <w:sz w:val="20"/>
                <w:szCs w:val="20"/>
              </w:rPr>
            </w:pPr>
            <w:r w:rsidRPr="00B67E21">
              <w:rPr>
                <w:b/>
                <w:bCs/>
                <w:strike/>
                <w:noProof/>
                <w:color w:val="D9D9D9" w:themeColor="background1" w:themeShade="D9"/>
                <w:sz w:val="20"/>
                <w:szCs w:val="20"/>
              </w:rPr>
              <w:t>Aquatic crustaceans acute</w:t>
            </w:r>
          </w:p>
        </w:tc>
        <w:tc>
          <w:tcPr>
            <w:tcW w:w="399" w:type="pct"/>
            <w:tcBorders>
              <w:top w:val="single" w:sz="4" w:space="0" w:color="auto"/>
              <w:left w:val="single" w:sz="4" w:space="0" w:color="auto"/>
              <w:bottom w:val="single" w:sz="4" w:space="0" w:color="auto"/>
              <w:right w:val="single" w:sz="4" w:space="0" w:color="auto"/>
            </w:tcBorders>
            <w:vAlign w:val="center"/>
            <w:hideMark/>
          </w:tcPr>
          <w:p w14:paraId="7F26404C" w14:textId="77777777" w:rsidR="00B67E21" w:rsidRPr="00227BE0" w:rsidRDefault="00B67E21" w:rsidP="00B67E21">
            <w:pPr>
              <w:widowControl w:val="0"/>
              <w:suppressAutoHyphens/>
              <w:jc w:val="center"/>
              <w:rPr>
                <w:b/>
                <w:bCs/>
                <w:sz w:val="20"/>
                <w:szCs w:val="20"/>
              </w:rPr>
            </w:pPr>
            <w:r w:rsidRPr="00227BE0">
              <w:rPr>
                <w:b/>
                <w:bCs/>
                <w:sz w:val="20"/>
                <w:szCs w:val="20"/>
              </w:rPr>
              <w:t>Aquatic gastropod molluscs acute</w:t>
            </w:r>
          </w:p>
        </w:tc>
        <w:tc>
          <w:tcPr>
            <w:tcW w:w="337" w:type="pct"/>
            <w:tcBorders>
              <w:top w:val="single" w:sz="4" w:space="0" w:color="auto"/>
              <w:left w:val="single" w:sz="4" w:space="0" w:color="auto"/>
              <w:bottom w:val="single" w:sz="4" w:space="0" w:color="auto"/>
              <w:right w:val="single" w:sz="4" w:space="0" w:color="auto"/>
            </w:tcBorders>
            <w:vAlign w:val="center"/>
            <w:hideMark/>
          </w:tcPr>
          <w:p w14:paraId="797DA29C" w14:textId="77777777" w:rsidR="00B67E21" w:rsidRPr="00227BE0" w:rsidRDefault="00B67E21" w:rsidP="00B67E21">
            <w:pPr>
              <w:widowControl w:val="0"/>
              <w:suppressAutoHyphens/>
              <w:jc w:val="center"/>
              <w:rPr>
                <w:b/>
                <w:bCs/>
                <w:sz w:val="20"/>
                <w:szCs w:val="20"/>
              </w:rPr>
            </w:pPr>
            <w:r w:rsidRPr="00227BE0">
              <w:rPr>
                <w:b/>
                <w:bCs/>
                <w:sz w:val="20"/>
                <w:szCs w:val="20"/>
              </w:rPr>
              <w:t>Inverteb. prolonged</w:t>
            </w:r>
          </w:p>
        </w:tc>
        <w:tc>
          <w:tcPr>
            <w:tcW w:w="402" w:type="pct"/>
            <w:tcBorders>
              <w:top w:val="single" w:sz="4" w:space="0" w:color="auto"/>
              <w:left w:val="single" w:sz="4" w:space="0" w:color="auto"/>
              <w:bottom w:val="single" w:sz="4" w:space="0" w:color="auto"/>
              <w:right w:val="single" w:sz="4" w:space="0" w:color="auto"/>
            </w:tcBorders>
            <w:vAlign w:val="center"/>
            <w:hideMark/>
          </w:tcPr>
          <w:p w14:paraId="63D43660" w14:textId="77777777" w:rsidR="00B67E21" w:rsidRPr="00227BE0" w:rsidRDefault="00B67E21" w:rsidP="00B67E21">
            <w:pPr>
              <w:widowControl w:val="0"/>
              <w:suppressAutoHyphens/>
              <w:jc w:val="center"/>
              <w:rPr>
                <w:b/>
                <w:bCs/>
                <w:sz w:val="20"/>
                <w:szCs w:val="20"/>
              </w:rPr>
            </w:pPr>
            <w:r w:rsidRPr="00227BE0">
              <w:rPr>
                <w:b/>
                <w:bCs/>
                <w:sz w:val="20"/>
                <w:szCs w:val="20"/>
              </w:rPr>
              <w:t>Algae</w:t>
            </w:r>
          </w:p>
        </w:tc>
        <w:tc>
          <w:tcPr>
            <w:tcW w:w="325" w:type="pct"/>
            <w:tcBorders>
              <w:top w:val="single" w:sz="4" w:space="0" w:color="auto"/>
              <w:left w:val="single" w:sz="4" w:space="0" w:color="auto"/>
              <w:bottom w:val="single" w:sz="4" w:space="0" w:color="auto"/>
              <w:right w:val="single" w:sz="4" w:space="0" w:color="auto"/>
            </w:tcBorders>
            <w:vAlign w:val="center"/>
            <w:hideMark/>
          </w:tcPr>
          <w:p w14:paraId="5F36FCE1" w14:textId="77777777" w:rsidR="00B67E21" w:rsidRPr="00227BE0" w:rsidRDefault="00B67E21" w:rsidP="00B67E21">
            <w:pPr>
              <w:suppressAutoHyphens/>
              <w:jc w:val="center"/>
              <w:rPr>
                <w:b/>
                <w:bCs/>
                <w:sz w:val="20"/>
                <w:szCs w:val="20"/>
              </w:rPr>
            </w:pPr>
            <w:r w:rsidRPr="00227BE0">
              <w:rPr>
                <w:b/>
                <w:bCs/>
                <w:sz w:val="20"/>
                <w:szCs w:val="20"/>
              </w:rPr>
              <w:t>Aquatic plants</w:t>
            </w:r>
          </w:p>
        </w:tc>
        <w:tc>
          <w:tcPr>
            <w:tcW w:w="402" w:type="pct"/>
            <w:tcBorders>
              <w:top w:val="single" w:sz="4" w:space="0" w:color="auto"/>
              <w:left w:val="single" w:sz="4" w:space="0" w:color="auto"/>
              <w:bottom w:val="single" w:sz="4" w:space="0" w:color="auto"/>
              <w:right w:val="single" w:sz="4" w:space="0" w:color="auto"/>
            </w:tcBorders>
            <w:vAlign w:val="center"/>
          </w:tcPr>
          <w:p w14:paraId="5B90352E" w14:textId="77777777" w:rsidR="00B67E21" w:rsidRPr="00B67E21" w:rsidRDefault="00B67E21" w:rsidP="00B67E21">
            <w:pPr>
              <w:widowControl w:val="0"/>
              <w:suppressAutoHyphens/>
              <w:jc w:val="center"/>
              <w:rPr>
                <w:b/>
                <w:strike/>
                <w:noProof/>
                <w:color w:val="D9D9D9" w:themeColor="background1" w:themeShade="D9"/>
                <w:sz w:val="20"/>
                <w:szCs w:val="20"/>
              </w:rPr>
            </w:pPr>
            <w:r w:rsidRPr="00B67E21">
              <w:rPr>
                <w:b/>
                <w:strike/>
                <w:noProof/>
                <w:color w:val="D9D9D9" w:themeColor="background1" w:themeShade="D9"/>
                <w:sz w:val="20"/>
                <w:szCs w:val="20"/>
              </w:rPr>
              <w:t>Higher tier information</w:t>
            </w:r>
          </w:p>
        </w:tc>
        <w:tc>
          <w:tcPr>
            <w:tcW w:w="402" w:type="pct"/>
            <w:tcBorders>
              <w:top w:val="single" w:sz="4" w:space="0" w:color="auto"/>
              <w:left w:val="single" w:sz="4" w:space="0" w:color="auto"/>
              <w:bottom w:val="single" w:sz="4" w:space="0" w:color="auto"/>
              <w:right w:val="single" w:sz="4" w:space="0" w:color="auto"/>
            </w:tcBorders>
            <w:vAlign w:val="center"/>
            <w:hideMark/>
          </w:tcPr>
          <w:p w14:paraId="4654FFB3" w14:textId="77777777" w:rsidR="00B67E21" w:rsidRPr="00227BE0" w:rsidRDefault="00B67E21" w:rsidP="00B67E21">
            <w:pPr>
              <w:widowControl w:val="0"/>
              <w:suppressAutoHyphens/>
              <w:rPr>
                <w:noProof/>
                <w:sz w:val="20"/>
                <w:szCs w:val="20"/>
              </w:rPr>
            </w:pPr>
            <w:r w:rsidRPr="00227BE0">
              <w:rPr>
                <w:b/>
                <w:noProof/>
                <w:sz w:val="20"/>
                <w:szCs w:val="20"/>
              </w:rPr>
              <w:t>Group</w:t>
            </w:r>
          </w:p>
        </w:tc>
        <w:tc>
          <w:tcPr>
            <w:tcW w:w="345" w:type="pct"/>
            <w:tcBorders>
              <w:top w:val="single" w:sz="4" w:space="0" w:color="auto"/>
              <w:left w:val="single" w:sz="4" w:space="0" w:color="auto"/>
              <w:bottom w:val="single" w:sz="4" w:space="0" w:color="auto"/>
              <w:right w:val="single" w:sz="4" w:space="0" w:color="auto"/>
            </w:tcBorders>
            <w:vAlign w:val="center"/>
            <w:hideMark/>
          </w:tcPr>
          <w:p w14:paraId="45E255A3" w14:textId="77777777" w:rsidR="00B67E21" w:rsidRPr="00227BE0" w:rsidRDefault="00B67E21" w:rsidP="00B67E21">
            <w:pPr>
              <w:widowControl w:val="0"/>
              <w:suppressAutoHyphens/>
              <w:jc w:val="center"/>
              <w:rPr>
                <w:b/>
                <w:bCs/>
                <w:sz w:val="20"/>
                <w:szCs w:val="20"/>
              </w:rPr>
            </w:pPr>
            <w:r w:rsidRPr="00227BE0">
              <w:rPr>
                <w:b/>
                <w:bCs/>
                <w:sz w:val="20"/>
                <w:szCs w:val="20"/>
              </w:rPr>
              <w:t>Sed. dwell. prolonged</w:t>
            </w:r>
          </w:p>
        </w:tc>
      </w:tr>
      <w:tr w:rsidR="00B67E21" w:rsidRPr="00227BE0" w14:paraId="74ABFD8A"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614C01C2" w14:textId="77777777" w:rsidR="00B67E21" w:rsidRPr="00227BE0" w:rsidRDefault="00B67E21" w:rsidP="00B67E21">
            <w:pPr>
              <w:widowControl w:val="0"/>
              <w:suppressAutoHyphens/>
              <w:rPr>
                <w:b/>
                <w:bCs/>
                <w:sz w:val="20"/>
                <w:szCs w:val="20"/>
              </w:rPr>
            </w:pPr>
            <w:r w:rsidRPr="00227BE0">
              <w:rPr>
                <w:b/>
                <w:bCs/>
                <w:sz w:val="20"/>
                <w:szCs w:val="20"/>
              </w:rPr>
              <w:t>Test species</w:t>
            </w:r>
          </w:p>
        </w:tc>
        <w:tc>
          <w:tcPr>
            <w:tcW w:w="273" w:type="pct"/>
            <w:tcBorders>
              <w:top w:val="nil"/>
              <w:left w:val="single" w:sz="4" w:space="0" w:color="auto"/>
              <w:bottom w:val="nil"/>
              <w:right w:val="single" w:sz="4" w:space="0" w:color="auto"/>
            </w:tcBorders>
            <w:vAlign w:val="center"/>
          </w:tcPr>
          <w:p w14:paraId="3BEC5A8D" w14:textId="77777777" w:rsidR="00B67E21" w:rsidRPr="00227BE0" w:rsidRDefault="00B67E21" w:rsidP="00B67E21">
            <w:pPr>
              <w:widowControl w:val="0"/>
              <w:suppressAutoHyphens/>
              <w:rPr>
                <w:noProof/>
                <w:sz w:val="20"/>
                <w:szCs w:val="20"/>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755A9C5A" w14:textId="77777777" w:rsidR="00B67E21" w:rsidRPr="00227BE0" w:rsidRDefault="00B67E21" w:rsidP="00B67E21">
            <w:pPr>
              <w:widowControl w:val="0"/>
              <w:suppressAutoHyphens/>
              <w:jc w:val="center"/>
              <w:rPr>
                <w:b/>
                <w:bCs/>
                <w:sz w:val="20"/>
                <w:szCs w:val="20"/>
              </w:rPr>
            </w:pPr>
            <w:r w:rsidRPr="00227BE0">
              <w:rPr>
                <w:b/>
                <w:bCs/>
                <w:i/>
                <w:iCs/>
                <w:sz w:val="20"/>
                <w:szCs w:val="20"/>
              </w:rPr>
              <w:t>C. carpio</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808127" w14:textId="7D2EDF2B" w:rsidR="00B67E21" w:rsidRPr="00227BE0" w:rsidRDefault="00B67E21" w:rsidP="00B67E21">
            <w:pPr>
              <w:widowControl w:val="0"/>
              <w:suppressAutoHyphens/>
              <w:jc w:val="center"/>
              <w:rPr>
                <w:b/>
                <w:bCs/>
                <w:i/>
                <w:sz w:val="20"/>
                <w:szCs w:val="20"/>
              </w:rPr>
            </w:pPr>
            <w:r w:rsidRPr="00227BE0">
              <w:rPr>
                <w:b/>
                <w:bCs/>
                <w:i/>
                <w:sz w:val="20"/>
                <w:szCs w:val="20"/>
              </w:rPr>
              <w:t>P. promelas</w:t>
            </w:r>
          </w:p>
        </w:tc>
        <w:tc>
          <w:tcPr>
            <w:tcW w:w="337" w:type="pct"/>
            <w:tcBorders>
              <w:top w:val="single" w:sz="4" w:space="0" w:color="auto"/>
              <w:left w:val="single" w:sz="4" w:space="0" w:color="auto"/>
              <w:bottom w:val="single" w:sz="4" w:space="0" w:color="auto"/>
              <w:right w:val="single" w:sz="4" w:space="0" w:color="auto"/>
            </w:tcBorders>
            <w:vAlign w:val="center"/>
            <w:hideMark/>
          </w:tcPr>
          <w:p w14:paraId="302D0D53" w14:textId="11DB98C5" w:rsidR="00B67E21" w:rsidRPr="00B67E21" w:rsidRDefault="00B67E21" w:rsidP="00B67E21">
            <w:pPr>
              <w:widowControl w:val="0"/>
              <w:suppressAutoHyphens/>
              <w:jc w:val="center"/>
              <w:rPr>
                <w:b/>
                <w:bCs/>
                <w:i/>
                <w:strike/>
                <w:color w:val="D9D9D9" w:themeColor="background1" w:themeShade="D9"/>
                <w:sz w:val="20"/>
                <w:szCs w:val="20"/>
              </w:rPr>
            </w:pPr>
            <w:r w:rsidRPr="00B67E21">
              <w:rPr>
                <w:b/>
                <w:bCs/>
                <w:i/>
                <w:strike/>
                <w:color w:val="D9D9D9" w:themeColor="background1" w:themeShade="D9"/>
                <w:sz w:val="20"/>
                <w:szCs w:val="20"/>
              </w:rPr>
              <w:t>P. promelas</w:t>
            </w:r>
          </w:p>
        </w:tc>
        <w:tc>
          <w:tcPr>
            <w:tcW w:w="319" w:type="pct"/>
            <w:tcBorders>
              <w:top w:val="single" w:sz="4" w:space="0" w:color="auto"/>
              <w:left w:val="single" w:sz="4" w:space="0" w:color="auto"/>
              <w:bottom w:val="single" w:sz="4" w:space="0" w:color="auto"/>
              <w:right w:val="single" w:sz="4" w:space="0" w:color="auto"/>
            </w:tcBorders>
            <w:vAlign w:val="center"/>
            <w:hideMark/>
          </w:tcPr>
          <w:p w14:paraId="4B6500E5" w14:textId="77777777" w:rsidR="00B67E21" w:rsidRPr="00B67E21" w:rsidRDefault="00B67E21" w:rsidP="00B67E21">
            <w:pPr>
              <w:widowControl w:val="0"/>
              <w:suppressAutoHyphens/>
              <w:jc w:val="center"/>
              <w:rPr>
                <w:b/>
                <w:bCs/>
                <w:strike/>
                <w:color w:val="D9D9D9" w:themeColor="background1" w:themeShade="D9"/>
                <w:sz w:val="20"/>
                <w:szCs w:val="20"/>
              </w:rPr>
            </w:pPr>
            <w:r w:rsidRPr="00B67E21">
              <w:rPr>
                <w:b/>
                <w:bCs/>
                <w:i/>
                <w:iCs/>
                <w:strike/>
                <w:color w:val="D9D9D9" w:themeColor="background1" w:themeShade="D9"/>
                <w:sz w:val="20"/>
                <w:szCs w:val="20"/>
              </w:rPr>
              <w:t>D. magna</w:t>
            </w:r>
          </w:p>
        </w:tc>
        <w:tc>
          <w:tcPr>
            <w:tcW w:w="383" w:type="pct"/>
            <w:tcBorders>
              <w:top w:val="single" w:sz="4" w:space="0" w:color="auto"/>
              <w:left w:val="single" w:sz="4" w:space="0" w:color="auto"/>
              <w:bottom w:val="single" w:sz="4" w:space="0" w:color="auto"/>
              <w:right w:val="single" w:sz="4" w:space="0" w:color="auto"/>
            </w:tcBorders>
            <w:vAlign w:val="center"/>
            <w:hideMark/>
          </w:tcPr>
          <w:p w14:paraId="7CE01F90" w14:textId="77777777" w:rsidR="00B67E21" w:rsidRPr="00B67E21" w:rsidRDefault="00B67E21" w:rsidP="00B67E21">
            <w:pPr>
              <w:widowControl w:val="0"/>
              <w:suppressAutoHyphens/>
              <w:jc w:val="center"/>
              <w:rPr>
                <w:b/>
                <w:bCs/>
                <w:i/>
                <w:iCs/>
                <w:strike/>
                <w:color w:val="D9D9D9" w:themeColor="background1" w:themeShade="D9"/>
                <w:sz w:val="20"/>
                <w:szCs w:val="20"/>
              </w:rPr>
            </w:pPr>
            <w:r w:rsidRPr="00B67E21">
              <w:rPr>
                <w:b/>
                <w:bCs/>
                <w:i/>
                <w:iCs/>
                <w:strike/>
                <w:color w:val="D9D9D9" w:themeColor="background1" w:themeShade="D9"/>
                <w:sz w:val="20"/>
                <w:szCs w:val="20"/>
              </w:rPr>
              <w:t>A. bahia</w:t>
            </w:r>
          </w:p>
        </w:tc>
        <w:tc>
          <w:tcPr>
            <w:tcW w:w="399" w:type="pct"/>
            <w:tcBorders>
              <w:top w:val="single" w:sz="4" w:space="0" w:color="auto"/>
              <w:left w:val="single" w:sz="4" w:space="0" w:color="auto"/>
              <w:bottom w:val="single" w:sz="4" w:space="0" w:color="auto"/>
              <w:right w:val="single" w:sz="4" w:space="0" w:color="auto"/>
            </w:tcBorders>
            <w:vAlign w:val="center"/>
            <w:hideMark/>
          </w:tcPr>
          <w:p w14:paraId="3D27D75E" w14:textId="77777777" w:rsidR="00B67E21" w:rsidRPr="00227BE0" w:rsidRDefault="00B67E21" w:rsidP="00B67E21">
            <w:pPr>
              <w:widowControl w:val="0"/>
              <w:suppressAutoHyphens/>
              <w:jc w:val="center"/>
              <w:rPr>
                <w:b/>
                <w:bCs/>
                <w:i/>
                <w:iCs/>
                <w:sz w:val="20"/>
                <w:szCs w:val="20"/>
              </w:rPr>
            </w:pPr>
            <w:r w:rsidRPr="00227BE0">
              <w:rPr>
                <w:b/>
                <w:bCs/>
                <w:i/>
                <w:iCs/>
                <w:sz w:val="20"/>
                <w:szCs w:val="20"/>
                <w:lang w:eastAsia="en-US"/>
              </w:rPr>
              <w:t>C. virginica</w:t>
            </w:r>
          </w:p>
        </w:tc>
        <w:tc>
          <w:tcPr>
            <w:tcW w:w="337" w:type="pct"/>
            <w:tcBorders>
              <w:top w:val="single" w:sz="4" w:space="0" w:color="auto"/>
              <w:left w:val="single" w:sz="4" w:space="0" w:color="auto"/>
              <w:bottom w:val="single" w:sz="4" w:space="0" w:color="auto"/>
              <w:right w:val="single" w:sz="4" w:space="0" w:color="auto"/>
            </w:tcBorders>
            <w:vAlign w:val="center"/>
            <w:hideMark/>
          </w:tcPr>
          <w:p w14:paraId="3C7DF4F6" w14:textId="77777777" w:rsidR="00B67E21" w:rsidRPr="00227BE0" w:rsidRDefault="00B67E21" w:rsidP="00B67E21">
            <w:pPr>
              <w:widowControl w:val="0"/>
              <w:suppressAutoHyphens/>
              <w:jc w:val="center"/>
              <w:rPr>
                <w:b/>
                <w:bCs/>
                <w:i/>
                <w:iCs/>
                <w:sz w:val="20"/>
                <w:szCs w:val="20"/>
              </w:rPr>
            </w:pPr>
            <w:r w:rsidRPr="00227BE0">
              <w:rPr>
                <w:b/>
                <w:bCs/>
                <w:i/>
                <w:iCs/>
                <w:sz w:val="20"/>
                <w:szCs w:val="20"/>
              </w:rPr>
              <w:t>D. magna</w:t>
            </w:r>
          </w:p>
        </w:tc>
        <w:tc>
          <w:tcPr>
            <w:tcW w:w="402" w:type="pct"/>
            <w:tcBorders>
              <w:top w:val="single" w:sz="4" w:space="0" w:color="auto"/>
              <w:left w:val="single" w:sz="4" w:space="0" w:color="auto"/>
              <w:bottom w:val="single" w:sz="4" w:space="0" w:color="auto"/>
              <w:right w:val="single" w:sz="4" w:space="0" w:color="auto"/>
            </w:tcBorders>
            <w:vAlign w:val="center"/>
            <w:hideMark/>
          </w:tcPr>
          <w:p w14:paraId="472B439B" w14:textId="77777777" w:rsidR="00B67E21" w:rsidRPr="00227BE0" w:rsidRDefault="00B67E21" w:rsidP="00B67E21">
            <w:pPr>
              <w:widowControl w:val="0"/>
              <w:suppressAutoHyphens/>
              <w:jc w:val="center"/>
              <w:rPr>
                <w:b/>
                <w:bCs/>
                <w:sz w:val="20"/>
                <w:szCs w:val="20"/>
              </w:rPr>
            </w:pPr>
            <w:r w:rsidRPr="00227BE0">
              <w:rPr>
                <w:b/>
                <w:bCs/>
                <w:i/>
                <w:iCs/>
                <w:sz w:val="20"/>
                <w:szCs w:val="20"/>
              </w:rPr>
              <w:t>P. subcapitata</w:t>
            </w:r>
          </w:p>
        </w:tc>
        <w:tc>
          <w:tcPr>
            <w:tcW w:w="325" w:type="pct"/>
            <w:tcBorders>
              <w:top w:val="single" w:sz="4" w:space="0" w:color="auto"/>
              <w:left w:val="single" w:sz="4" w:space="0" w:color="auto"/>
              <w:bottom w:val="single" w:sz="4" w:space="0" w:color="auto"/>
              <w:right w:val="single" w:sz="4" w:space="0" w:color="auto"/>
            </w:tcBorders>
            <w:vAlign w:val="center"/>
            <w:hideMark/>
          </w:tcPr>
          <w:p w14:paraId="61CD5AA9" w14:textId="77777777" w:rsidR="00B67E21" w:rsidRPr="00227BE0" w:rsidRDefault="00B67E21" w:rsidP="00B67E21">
            <w:pPr>
              <w:widowControl w:val="0"/>
              <w:suppressAutoHyphens/>
              <w:jc w:val="center"/>
              <w:rPr>
                <w:b/>
                <w:bCs/>
                <w:i/>
                <w:iCs/>
                <w:sz w:val="20"/>
                <w:szCs w:val="20"/>
              </w:rPr>
            </w:pPr>
            <w:r w:rsidRPr="00227BE0">
              <w:rPr>
                <w:b/>
                <w:bCs/>
                <w:i/>
                <w:iCs/>
                <w:sz w:val="20"/>
                <w:szCs w:val="20"/>
              </w:rPr>
              <w:t>L. gibba</w:t>
            </w:r>
          </w:p>
        </w:tc>
        <w:tc>
          <w:tcPr>
            <w:tcW w:w="402" w:type="pct"/>
            <w:tcBorders>
              <w:top w:val="single" w:sz="4" w:space="0" w:color="auto"/>
              <w:left w:val="single" w:sz="4" w:space="0" w:color="auto"/>
              <w:bottom w:val="single" w:sz="4" w:space="0" w:color="auto"/>
              <w:right w:val="single" w:sz="4" w:space="0" w:color="auto"/>
            </w:tcBorders>
          </w:tcPr>
          <w:p w14:paraId="1E1BFEEE" w14:textId="77777777" w:rsidR="00B67E21" w:rsidRPr="00B67E21" w:rsidRDefault="00B67E21" w:rsidP="00B67E21">
            <w:pPr>
              <w:widowControl w:val="0"/>
              <w:suppressAutoHyphens/>
              <w:jc w:val="center"/>
              <w:rPr>
                <w:b/>
                <w:strike/>
                <w:noProof/>
                <w:color w:val="D9D9D9" w:themeColor="background1" w:themeShade="D9"/>
                <w:sz w:val="20"/>
                <w:szCs w:val="20"/>
              </w:rPr>
            </w:pPr>
            <w:r w:rsidRPr="00B67E21">
              <w:rPr>
                <w:b/>
                <w:i/>
                <w:strike/>
                <w:color w:val="D9D9D9" w:themeColor="background1" w:themeShade="D9"/>
                <w:sz w:val="20"/>
                <w:szCs w:val="20"/>
              </w:rPr>
              <w:t xml:space="preserve">Fish acute: </w:t>
            </w:r>
            <w:r w:rsidRPr="00B67E21">
              <w:rPr>
                <w:iCs/>
                <w:strike/>
                <w:color w:val="D9D9D9" w:themeColor="background1" w:themeShade="D9"/>
                <w:sz w:val="20"/>
                <w:szCs w:val="20"/>
              </w:rPr>
              <w:t>SSD based on 96 h NOECs for 5 fish species</w:t>
            </w:r>
          </w:p>
        </w:tc>
        <w:tc>
          <w:tcPr>
            <w:tcW w:w="402" w:type="pct"/>
            <w:tcBorders>
              <w:top w:val="single" w:sz="4" w:space="0" w:color="auto"/>
              <w:left w:val="single" w:sz="4" w:space="0" w:color="auto"/>
              <w:bottom w:val="single" w:sz="4" w:space="0" w:color="auto"/>
              <w:right w:val="single" w:sz="4" w:space="0" w:color="auto"/>
            </w:tcBorders>
            <w:vAlign w:val="center"/>
            <w:hideMark/>
          </w:tcPr>
          <w:p w14:paraId="330FBBC4" w14:textId="77777777" w:rsidR="00B67E21" w:rsidRPr="00227BE0" w:rsidRDefault="00B67E21" w:rsidP="00B67E21">
            <w:pPr>
              <w:widowControl w:val="0"/>
              <w:suppressAutoHyphens/>
              <w:rPr>
                <w:noProof/>
                <w:sz w:val="20"/>
                <w:szCs w:val="20"/>
              </w:rPr>
            </w:pPr>
            <w:r w:rsidRPr="00227BE0">
              <w:rPr>
                <w:b/>
                <w:noProof/>
                <w:sz w:val="20"/>
                <w:szCs w:val="20"/>
              </w:rPr>
              <w:t>Test species</w:t>
            </w:r>
          </w:p>
        </w:tc>
        <w:tc>
          <w:tcPr>
            <w:tcW w:w="345" w:type="pct"/>
            <w:tcBorders>
              <w:top w:val="single" w:sz="4" w:space="0" w:color="auto"/>
              <w:left w:val="single" w:sz="4" w:space="0" w:color="auto"/>
              <w:bottom w:val="single" w:sz="4" w:space="0" w:color="auto"/>
              <w:right w:val="single" w:sz="4" w:space="0" w:color="auto"/>
            </w:tcBorders>
            <w:vAlign w:val="center"/>
            <w:hideMark/>
          </w:tcPr>
          <w:p w14:paraId="7DA316BB" w14:textId="77777777" w:rsidR="00B67E21" w:rsidRPr="00227BE0" w:rsidRDefault="00B67E21" w:rsidP="00B67E21">
            <w:pPr>
              <w:widowControl w:val="0"/>
              <w:suppressAutoHyphens/>
              <w:jc w:val="center"/>
              <w:rPr>
                <w:b/>
                <w:bCs/>
                <w:sz w:val="20"/>
                <w:szCs w:val="20"/>
              </w:rPr>
            </w:pPr>
            <w:r w:rsidRPr="00227BE0">
              <w:rPr>
                <w:b/>
                <w:bCs/>
                <w:i/>
                <w:iCs/>
                <w:sz w:val="20"/>
                <w:szCs w:val="20"/>
              </w:rPr>
              <w:t>C. riparius</w:t>
            </w:r>
          </w:p>
        </w:tc>
      </w:tr>
      <w:tr w:rsidR="00B67E21" w:rsidRPr="00227BE0" w14:paraId="75FAB585" w14:textId="77777777" w:rsidTr="00B67E21">
        <w:trPr>
          <w:cantSplit/>
        </w:trPr>
        <w:tc>
          <w:tcPr>
            <w:tcW w:w="459" w:type="pct"/>
            <w:tcBorders>
              <w:top w:val="single" w:sz="4" w:space="0" w:color="auto"/>
              <w:left w:val="single" w:sz="4" w:space="0" w:color="auto"/>
              <w:bottom w:val="nil"/>
              <w:right w:val="single" w:sz="4" w:space="0" w:color="auto"/>
            </w:tcBorders>
            <w:vAlign w:val="center"/>
            <w:hideMark/>
          </w:tcPr>
          <w:p w14:paraId="052A8FD9" w14:textId="77777777" w:rsidR="00B67E21" w:rsidRPr="00227BE0" w:rsidRDefault="00B67E21" w:rsidP="00B67E21">
            <w:pPr>
              <w:widowControl w:val="0"/>
              <w:suppressAutoHyphens/>
              <w:rPr>
                <w:b/>
                <w:bCs/>
                <w:sz w:val="20"/>
                <w:szCs w:val="20"/>
              </w:rPr>
            </w:pPr>
            <w:r w:rsidRPr="00227BE0">
              <w:rPr>
                <w:b/>
                <w:bCs/>
                <w:sz w:val="20"/>
                <w:szCs w:val="20"/>
              </w:rPr>
              <w:t>Endpoint</w:t>
            </w:r>
          </w:p>
        </w:tc>
        <w:tc>
          <w:tcPr>
            <w:tcW w:w="273" w:type="pct"/>
            <w:tcBorders>
              <w:top w:val="nil"/>
              <w:left w:val="single" w:sz="4" w:space="0" w:color="auto"/>
              <w:bottom w:val="nil"/>
              <w:right w:val="single" w:sz="4" w:space="0" w:color="auto"/>
            </w:tcBorders>
            <w:vAlign w:val="center"/>
          </w:tcPr>
          <w:p w14:paraId="4CDD1CEC" w14:textId="77777777" w:rsidR="00B67E21" w:rsidRPr="00227BE0" w:rsidRDefault="00B67E21" w:rsidP="00B67E21">
            <w:pPr>
              <w:keepNext/>
              <w:keepLines/>
              <w:widowControl w:val="0"/>
              <w:suppressAutoHyphens/>
              <w:rPr>
                <w:noProof/>
                <w:sz w:val="20"/>
                <w:szCs w:val="20"/>
              </w:rPr>
            </w:pPr>
          </w:p>
        </w:tc>
        <w:tc>
          <w:tcPr>
            <w:tcW w:w="282" w:type="pct"/>
            <w:tcBorders>
              <w:top w:val="single" w:sz="4" w:space="0" w:color="auto"/>
              <w:left w:val="single" w:sz="4" w:space="0" w:color="auto"/>
              <w:bottom w:val="nil"/>
              <w:right w:val="single" w:sz="4" w:space="0" w:color="auto"/>
            </w:tcBorders>
            <w:vAlign w:val="center"/>
            <w:hideMark/>
          </w:tcPr>
          <w:p w14:paraId="59AB6033" w14:textId="77777777" w:rsidR="00B67E21" w:rsidRPr="00227BE0" w:rsidRDefault="00B67E21" w:rsidP="00B67E21">
            <w:pPr>
              <w:widowControl w:val="0"/>
              <w:suppressAutoHyphens/>
              <w:jc w:val="center"/>
              <w:rPr>
                <w:noProof/>
                <w:sz w:val="20"/>
                <w:szCs w:val="20"/>
              </w:rPr>
            </w:pPr>
            <w:r w:rsidRPr="00227BE0">
              <w:rPr>
                <w:noProof/>
                <w:sz w:val="20"/>
                <w:szCs w:val="20"/>
              </w:rPr>
              <w:t>LC</w:t>
            </w:r>
            <w:r w:rsidRPr="00227BE0">
              <w:rPr>
                <w:noProof/>
                <w:sz w:val="20"/>
                <w:szCs w:val="20"/>
                <w:vertAlign w:val="subscript"/>
              </w:rPr>
              <w:t>50</w:t>
            </w:r>
          </w:p>
        </w:tc>
        <w:tc>
          <w:tcPr>
            <w:tcW w:w="337" w:type="pct"/>
            <w:gridSpan w:val="2"/>
            <w:tcBorders>
              <w:top w:val="single" w:sz="4" w:space="0" w:color="auto"/>
              <w:left w:val="single" w:sz="4" w:space="0" w:color="auto"/>
              <w:bottom w:val="nil"/>
              <w:right w:val="single" w:sz="4" w:space="0" w:color="auto"/>
            </w:tcBorders>
            <w:shd w:val="clear" w:color="auto" w:fill="D9D9D9" w:themeFill="background1" w:themeFillShade="D9"/>
            <w:vAlign w:val="center"/>
          </w:tcPr>
          <w:p w14:paraId="26A0E604" w14:textId="0A346A0A" w:rsidR="00B67E21" w:rsidRPr="00227BE0" w:rsidRDefault="00B67E21" w:rsidP="00B67E21">
            <w:pPr>
              <w:widowControl w:val="0"/>
              <w:suppressAutoHyphens/>
              <w:jc w:val="center"/>
              <w:rPr>
                <w:noProof/>
                <w:sz w:val="20"/>
                <w:szCs w:val="20"/>
              </w:rPr>
            </w:pPr>
            <w:r w:rsidRPr="00227BE0">
              <w:rPr>
                <w:noProof/>
                <w:sz w:val="20"/>
                <w:szCs w:val="20"/>
              </w:rPr>
              <w:t>NOEC</w:t>
            </w:r>
          </w:p>
        </w:tc>
        <w:tc>
          <w:tcPr>
            <w:tcW w:w="337" w:type="pct"/>
            <w:tcBorders>
              <w:top w:val="single" w:sz="4" w:space="0" w:color="auto"/>
              <w:left w:val="single" w:sz="4" w:space="0" w:color="auto"/>
              <w:bottom w:val="nil"/>
              <w:right w:val="single" w:sz="4" w:space="0" w:color="auto"/>
            </w:tcBorders>
            <w:vAlign w:val="center"/>
            <w:hideMark/>
          </w:tcPr>
          <w:p w14:paraId="1E9675E5" w14:textId="1628646A" w:rsidR="00B67E21" w:rsidRPr="00B67E21" w:rsidRDefault="00B67E21" w:rsidP="00B67E21">
            <w:pPr>
              <w:widowControl w:val="0"/>
              <w:suppressAutoHyphens/>
              <w:jc w:val="center"/>
              <w:rPr>
                <w:strike/>
                <w:noProof/>
                <w:color w:val="D9D9D9" w:themeColor="background1" w:themeShade="D9"/>
                <w:sz w:val="20"/>
                <w:szCs w:val="20"/>
              </w:rPr>
            </w:pPr>
            <w:r w:rsidRPr="00B67E21">
              <w:rPr>
                <w:strike/>
                <w:noProof/>
                <w:color w:val="D9D9D9" w:themeColor="background1" w:themeShade="D9"/>
                <w:sz w:val="20"/>
                <w:szCs w:val="20"/>
              </w:rPr>
              <w:t>NOEC</w:t>
            </w:r>
          </w:p>
        </w:tc>
        <w:tc>
          <w:tcPr>
            <w:tcW w:w="319" w:type="pct"/>
            <w:tcBorders>
              <w:top w:val="single" w:sz="4" w:space="0" w:color="auto"/>
              <w:left w:val="single" w:sz="4" w:space="0" w:color="auto"/>
              <w:bottom w:val="nil"/>
              <w:right w:val="single" w:sz="4" w:space="0" w:color="auto"/>
            </w:tcBorders>
            <w:vAlign w:val="center"/>
            <w:hideMark/>
          </w:tcPr>
          <w:p w14:paraId="0D35A537" w14:textId="77777777" w:rsidR="00B67E21" w:rsidRPr="00B67E21" w:rsidRDefault="00B67E21" w:rsidP="00B67E21">
            <w:pPr>
              <w:widowControl w:val="0"/>
              <w:suppressAutoHyphens/>
              <w:jc w:val="center"/>
              <w:rPr>
                <w:strike/>
                <w:noProof/>
                <w:color w:val="D9D9D9" w:themeColor="background1" w:themeShade="D9"/>
                <w:sz w:val="20"/>
                <w:szCs w:val="20"/>
              </w:rPr>
            </w:pPr>
            <w:r w:rsidRPr="00B67E21">
              <w:rPr>
                <w:strike/>
                <w:noProof/>
                <w:color w:val="D9D9D9" w:themeColor="background1" w:themeShade="D9"/>
                <w:sz w:val="20"/>
                <w:szCs w:val="20"/>
              </w:rPr>
              <w:t>EC</w:t>
            </w:r>
            <w:r w:rsidRPr="00B67E21">
              <w:rPr>
                <w:strike/>
                <w:noProof/>
                <w:color w:val="D9D9D9" w:themeColor="background1" w:themeShade="D9"/>
                <w:sz w:val="20"/>
                <w:szCs w:val="20"/>
                <w:vertAlign w:val="subscript"/>
              </w:rPr>
              <w:t>50</w:t>
            </w:r>
          </w:p>
        </w:tc>
        <w:tc>
          <w:tcPr>
            <w:tcW w:w="383" w:type="pct"/>
            <w:tcBorders>
              <w:top w:val="single" w:sz="4" w:space="0" w:color="auto"/>
              <w:left w:val="single" w:sz="4" w:space="0" w:color="auto"/>
              <w:bottom w:val="nil"/>
              <w:right w:val="single" w:sz="4" w:space="0" w:color="auto"/>
            </w:tcBorders>
            <w:vAlign w:val="center"/>
            <w:hideMark/>
          </w:tcPr>
          <w:p w14:paraId="5E0FEC58" w14:textId="77777777" w:rsidR="00B67E21" w:rsidRPr="00B67E21" w:rsidRDefault="00B67E21" w:rsidP="00B67E21">
            <w:pPr>
              <w:widowControl w:val="0"/>
              <w:suppressAutoHyphens/>
              <w:jc w:val="center"/>
              <w:rPr>
                <w:strike/>
                <w:noProof/>
                <w:color w:val="D9D9D9" w:themeColor="background1" w:themeShade="D9"/>
                <w:sz w:val="20"/>
                <w:szCs w:val="20"/>
              </w:rPr>
            </w:pPr>
            <w:r w:rsidRPr="00B67E21">
              <w:rPr>
                <w:strike/>
                <w:color w:val="D9D9D9" w:themeColor="background1" w:themeShade="D9"/>
                <w:sz w:val="20"/>
                <w:szCs w:val="20"/>
                <w:lang w:val="de-DE" w:eastAsia="en-US"/>
              </w:rPr>
              <w:t>LC</w:t>
            </w:r>
            <w:r w:rsidRPr="00B67E21">
              <w:rPr>
                <w:strike/>
                <w:color w:val="D9D9D9" w:themeColor="background1" w:themeShade="D9"/>
                <w:sz w:val="20"/>
                <w:szCs w:val="20"/>
                <w:vertAlign w:val="subscript"/>
                <w:lang w:val="de-DE" w:eastAsia="en-US"/>
              </w:rPr>
              <w:t>50</w:t>
            </w:r>
          </w:p>
        </w:tc>
        <w:tc>
          <w:tcPr>
            <w:tcW w:w="399" w:type="pct"/>
            <w:tcBorders>
              <w:top w:val="single" w:sz="4" w:space="0" w:color="auto"/>
              <w:left w:val="single" w:sz="4" w:space="0" w:color="auto"/>
              <w:bottom w:val="nil"/>
              <w:right w:val="single" w:sz="4" w:space="0" w:color="auto"/>
            </w:tcBorders>
            <w:vAlign w:val="center"/>
          </w:tcPr>
          <w:p w14:paraId="23EAE31B" w14:textId="5376F662" w:rsidR="00B67E21" w:rsidRPr="00227BE0" w:rsidRDefault="00B67E21" w:rsidP="00B67E21">
            <w:pPr>
              <w:widowControl w:val="0"/>
              <w:suppressAutoHyphens/>
              <w:jc w:val="center"/>
              <w:rPr>
                <w:noProof/>
                <w:sz w:val="20"/>
                <w:szCs w:val="20"/>
              </w:rPr>
            </w:pPr>
            <w:r w:rsidRPr="00227BE0">
              <w:rPr>
                <w:noProof/>
                <w:sz w:val="20"/>
                <w:szCs w:val="20"/>
              </w:rPr>
              <w:t>EC</w:t>
            </w:r>
            <w:r w:rsidRPr="00227BE0">
              <w:rPr>
                <w:noProof/>
                <w:sz w:val="20"/>
                <w:szCs w:val="20"/>
                <w:vertAlign w:val="subscript"/>
              </w:rPr>
              <w:t>50</w:t>
            </w:r>
          </w:p>
        </w:tc>
        <w:tc>
          <w:tcPr>
            <w:tcW w:w="337" w:type="pct"/>
            <w:tcBorders>
              <w:top w:val="single" w:sz="4" w:space="0" w:color="auto"/>
              <w:left w:val="single" w:sz="4" w:space="0" w:color="auto"/>
              <w:bottom w:val="nil"/>
              <w:right w:val="single" w:sz="4" w:space="0" w:color="auto"/>
            </w:tcBorders>
            <w:vAlign w:val="center"/>
            <w:hideMark/>
          </w:tcPr>
          <w:p w14:paraId="0517554F" w14:textId="77777777" w:rsidR="00B67E21" w:rsidRPr="00227BE0" w:rsidRDefault="00B67E21" w:rsidP="00B67E21">
            <w:pPr>
              <w:widowControl w:val="0"/>
              <w:suppressAutoHyphens/>
              <w:jc w:val="center"/>
              <w:rPr>
                <w:noProof/>
                <w:sz w:val="20"/>
                <w:szCs w:val="20"/>
              </w:rPr>
            </w:pPr>
            <w:r w:rsidRPr="00227BE0">
              <w:rPr>
                <w:noProof/>
                <w:sz w:val="20"/>
                <w:szCs w:val="20"/>
              </w:rPr>
              <w:t>NOEC</w:t>
            </w:r>
          </w:p>
        </w:tc>
        <w:tc>
          <w:tcPr>
            <w:tcW w:w="402" w:type="pct"/>
            <w:tcBorders>
              <w:top w:val="single" w:sz="4" w:space="0" w:color="auto"/>
              <w:left w:val="single" w:sz="4" w:space="0" w:color="auto"/>
              <w:bottom w:val="nil"/>
              <w:right w:val="single" w:sz="4" w:space="0" w:color="auto"/>
            </w:tcBorders>
            <w:vAlign w:val="center"/>
            <w:hideMark/>
          </w:tcPr>
          <w:p w14:paraId="6B306AA6" w14:textId="77777777" w:rsidR="00B67E21" w:rsidRPr="00227BE0" w:rsidRDefault="00B67E21" w:rsidP="00B67E21">
            <w:pPr>
              <w:widowControl w:val="0"/>
              <w:suppressAutoHyphens/>
              <w:jc w:val="center"/>
              <w:rPr>
                <w:noProof/>
                <w:sz w:val="20"/>
                <w:szCs w:val="20"/>
              </w:rPr>
            </w:pPr>
            <w:r w:rsidRPr="00227BE0">
              <w:rPr>
                <w:noProof/>
                <w:sz w:val="20"/>
                <w:szCs w:val="20"/>
              </w:rPr>
              <w:t>E</w:t>
            </w:r>
            <w:r w:rsidRPr="00227BE0">
              <w:rPr>
                <w:noProof/>
                <w:sz w:val="20"/>
                <w:szCs w:val="20"/>
                <w:vertAlign w:val="subscript"/>
              </w:rPr>
              <w:t>r</w:t>
            </w:r>
            <w:r w:rsidRPr="00227BE0">
              <w:rPr>
                <w:noProof/>
                <w:sz w:val="20"/>
                <w:szCs w:val="20"/>
              </w:rPr>
              <w:t>C</w:t>
            </w:r>
            <w:r w:rsidRPr="00227BE0">
              <w:rPr>
                <w:noProof/>
                <w:sz w:val="20"/>
                <w:szCs w:val="20"/>
                <w:vertAlign w:val="subscript"/>
              </w:rPr>
              <w:t>50</w:t>
            </w:r>
          </w:p>
        </w:tc>
        <w:tc>
          <w:tcPr>
            <w:tcW w:w="325" w:type="pct"/>
            <w:tcBorders>
              <w:top w:val="single" w:sz="4" w:space="0" w:color="auto"/>
              <w:left w:val="single" w:sz="4" w:space="0" w:color="auto"/>
              <w:bottom w:val="nil"/>
              <w:right w:val="single" w:sz="4" w:space="0" w:color="auto"/>
            </w:tcBorders>
            <w:vAlign w:val="center"/>
            <w:hideMark/>
          </w:tcPr>
          <w:p w14:paraId="3B784FED" w14:textId="77777777" w:rsidR="00B67E21" w:rsidRPr="00227BE0" w:rsidRDefault="00B67E21" w:rsidP="00B67E21">
            <w:pPr>
              <w:widowControl w:val="0"/>
              <w:suppressAutoHyphens/>
              <w:jc w:val="center"/>
              <w:rPr>
                <w:noProof/>
                <w:sz w:val="20"/>
                <w:szCs w:val="20"/>
              </w:rPr>
            </w:pPr>
            <w:r w:rsidRPr="00227BE0">
              <w:rPr>
                <w:noProof/>
                <w:sz w:val="20"/>
                <w:szCs w:val="20"/>
              </w:rPr>
              <w:t>E</w:t>
            </w:r>
            <w:r w:rsidRPr="00227BE0">
              <w:rPr>
                <w:noProof/>
                <w:sz w:val="20"/>
                <w:szCs w:val="20"/>
                <w:vertAlign w:val="subscript"/>
              </w:rPr>
              <w:t>r</w:t>
            </w:r>
            <w:r w:rsidRPr="00227BE0">
              <w:rPr>
                <w:noProof/>
                <w:sz w:val="20"/>
                <w:szCs w:val="20"/>
              </w:rPr>
              <w:t>C</w:t>
            </w:r>
            <w:r w:rsidRPr="00227BE0">
              <w:rPr>
                <w:noProof/>
                <w:sz w:val="20"/>
                <w:szCs w:val="20"/>
                <w:vertAlign w:val="subscript"/>
              </w:rPr>
              <w:t>50</w:t>
            </w:r>
          </w:p>
        </w:tc>
        <w:tc>
          <w:tcPr>
            <w:tcW w:w="402" w:type="pct"/>
            <w:tcBorders>
              <w:top w:val="single" w:sz="4" w:space="0" w:color="auto"/>
              <w:left w:val="single" w:sz="4" w:space="0" w:color="auto"/>
              <w:bottom w:val="nil"/>
              <w:right w:val="single" w:sz="4" w:space="0" w:color="auto"/>
            </w:tcBorders>
          </w:tcPr>
          <w:p w14:paraId="119F070D" w14:textId="77777777" w:rsidR="00B67E21" w:rsidRPr="00B67E21" w:rsidRDefault="00B67E21" w:rsidP="00B67E21">
            <w:pPr>
              <w:keepNext/>
              <w:keepLines/>
              <w:widowControl w:val="0"/>
              <w:suppressAutoHyphens/>
              <w:jc w:val="center"/>
              <w:rPr>
                <w:b/>
                <w:strike/>
                <w:noProof/>
                <w:color w:val="D9D9D9" w:themeColor="background1" w:themeShade="D9"/>
                <w:sz w:val="20"/>
                <w:szCs w:val="20"/>
              </w:rPr>
            </w:pPr>
            <w:r w:rsidRPr="00B67E21">
              <w:rPr>
                <w:strike/>
                <w:noProof/>
                <w:color w:val="D9D9D9" w:themeColor="background1" w:themeShade="D9"/>
                <w:sz w:val="20"/>
                <w:lang w:val="de-DE" w:eastAsia="zh-CN"/>
              </w:rPr>
              <w:t>HC</w:t>
            </w:r>
            <w:r w:rsidRPr="00B67E21">
              <w:rPr>
                <w:strike/>
                <w:noProof/>
                <w:color w:val="D9D9D9" w:themeColor="background1" w:themeShade="D9"/>
                <w:sz w:val="20"/>
                <w:vertAlign w:val="subscript"/>
                <w:lang w:val="de-DE" w:eastAsia="zh-CN"/>
              </w:rPr>
              <w:t>5</w:t>
            </w:r>
          </w:p>
        </w:tc>
        <w:tc>
          <w:tcPr>
            <w:tcW w:w="402" w:type="pct"/>
            <w:tcBorders>
              <w:top w:val="single" w:sz="4" w:space="0" w:color="auto"/>
              <w:left w:val="single" w:sz="4" w:space="0" w:color="auto"/>
              <w:bottom w:val="nil"/>
              <w:right w:val="single" w:sz="4" w:space="0" w:color="auto"/>
            </w:tcBorders>
            <w:vAlign w:val="center"/>
            <w:hideMark/>
          </w:tcPr>
          <w:p w14:paraId="1CDE29EF" w14:textId="77777777" w:rsidR="00B67E21" w:rsidRPr="00227BE0" w:rsidRDefault="00B67E21" w:rsidP="00B67E21">
            <w:pPr>
              <w:keepNext/>
              <w:keepLines/>
              <w:widowControl w:val="0"/>
              <w:suppressAutoHyphens/>
              <w:rPr>
                <w:noProof/>
                <w:sz w:val="20"/>
                <w:szCs w:val="20"/>
              </w:rPr>
            </w:pPr>
            <w:r w:rsidRPr="00227BE0">
              <w:rPr>
                <w:b/>
                <w:noProof/>
                <w:sz w:val="20"/>
                <w:szCs w:val="20"/>
              </w:rPr>
              <w:t>Endpoint</w:t>
            </w:r>
          </w:p>
        </w:tc>
        <w:tc>
          <w:tcPr>
            <w:tcW w:w="345" w:type="pct"/>
            <w:tcBorders>
              <w:top w:val="single" w:sz="4" w:space="0" w:color="auto"/>
              <w:left w:val="single" w:sz="4" w:space="0" w:color="auto"/>
              <w:bottom w:val="nil"/>
              <w:right w:val="single" w:sz="4" w:space="0" w:color="auto"/>
            </w:tcBorders>
            <w:hideMark/>
          </w:tcPr>
          <w:p w14:paraId="11FB6FBF" w14:textId="77777777" w:rsidR="00B67E21" w:rsidRPr="00227BE0" w:rsidRDefault="00B67E21" w:rsidP="00B67E21">
            <w:pPr>
              <w:widowControl w:val="0"/>
              <w:suppressAutoHyphens/>
              <w:jc w:val="center"/>
              <w:rPr>
                <w:noProof/>
                <w:sz w:val="20"/>
                <w:szCs w:val="20"/>
              </w:rPr>
            </w:pPr>
            <w:r w:rsidRPr="00227BE0">
              <w:rPr>
                <w:noProof/>
                <w:sz w:val="20"/>
                <w:szCs w:val="20"/>
              </w:rPr>
              <w:t>NOEC</w:t>
            </w:r>
          </w:p>
        </w:tc>
      </w:tr>
      <w:tr w:rsidR="00B67E21" w:rsidRPr="00227BE0" w14:paraId="2C4B8329" w14:textId="77777777" w:rsidTr="00B67E21">
        <w:trPr>
          <w:cantSplit/>
        </w:trPr>
        <w:tc>
          <w:tcPr>
            <w:tcW w:w="459" w:type="pct"/>
            <w:tcBorders>
              <w:top w:val="nil"/>
              <w:left w:val="single" w:sz="4" w:space="0" w:color="auto"/>
              <w:bottom w:val="single" w:sz="4" w:space="0" w:color="auto"/>
              <w:right w:val="single" w:sz="4" w:space="0" w:color="auto"/>
            </w:tcBorders>
            <w:vAlign w:val="center"/>
            <w:hideMark/>
          </w:tcPr>
          <w:p w14:paraId="2E12A5EE" w14:textId="77777777" w:rsidR="00B67E21" w:rsidRPr="00227BE0" w:rsidRDefault="00B67E21" w:rsidP="00B67E21">
            <w:pPr>
              <w:widowControl w:val="0"/>
              <w:suppressAutoHyphens/>
              <w:rPr>
                <w:b/>
                <w:bCs/>
                <w:sz w:val="20"/>
                <w:szCs w:val="20"/>
              </w:rPr>
            </w:pPr>
            <w:r w:rsidRPr="00227BE0">
              <w:rPr>
                <w:b/>
                <w:bCs/>
                <w:sz w:val="20"/>
                <w:szCs w:val="20"/>
              </w:rPr>
              <w:t>(µg/L)</w:t>
            </w:r>
          </w:p>
        </w:tc>
        <w:tc>
          <w:tcPr>
            <w:tcW w:w="273" w:type="pct"/>
            <w:tcBorders>
              <w:top w:val="nil"/>
              <w:left w:val="single" w:sz="4" w:space="0" w:color="auto"/>
              <w:bottom w:val="nil"/>
              <w:right w:val="single" w:sz="4" w:space="0" w:color="auto"/>
            </w:tcBorders>
            <w:vAlign w:val="center"/>
          </w:tcPr>
          <w:p w14:paraId="1C74639F" w14:textId="77777777" w:rsidR="00B67E21" w:rsidRPr="00227BE0" w:rsidRDefault="00B67E21" w:rsidP="00B67E21">
            <w:pPr>
              <w:keepNext/>
              <w:keepLines/>
              <w:widowControl w:val="0"/>
              <w:suppressAutoHyphens/>
              <w:rPr>
                <w:noProof/>
                <w:sz w:val="20"/>
                <w:szCs w:val="20"/>
              </w:rPr>
            </w:pPr>
          </w:p>
        </w:tc>
        <w:tc>
          <w:tcPr>
            <w:tcW w:w="282" w:type="pct"/>
            <w:tcBorders>
              <w:top w:val="nil"/>
              <w:left w:val="single" w:sz="4" w:space="0" w:color="auto"/>
              <w:bottom w:val="single" w:sz="4" w:space="0" w:color="auto"/>
              <w:right w:val="single" w:sz="4" w:space="0" w:color="auto"/>
            </w:tcBorders>
            <w:vAlign w:val="center"/>
            <w:hideMark/>
          </w:tcPr>
          <w:p w14:paraId="381E7B2B" w14:textId="77777777" w:rsidR="00B67E21" w:rsidRPr="00227BE0" w:rsidRDefault="00B67E21" w:rsidP="00B67E21">
            <w:pPr>
              <w:widowControl w:val="0"/>
              <w:suppressAutoHyphens/>
              <w:jc w:val="center"/>
              <w:rPr>
                <w:noProof/>
                <w:sz w:val="20"/>
                <w:szCs w:val="20"/>
              </w:rPr>
            </w:pPr>
            <w:r w:rsidRPr="00227BE0">
              <w:rPr>
                <w:noProof/>
                <w:sz w:val="20"/>
                <w:szCs w:val="20"/>
              </w:rPr>
              <w:t>290</w:t>
            </w:r>
          </w:p>
        </w:tc>
        <w:tc>
          <w:tcPr>
            <w:tcW w:w="337" w:type="pct"/>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660B22E0" w14:textId="17D4A706" w:rsidR="00B67E21" w:rsidRPr="00227BE0" w:rsidRDefault="00B67E21" w:rsidP="00B67E21">
            <w:pPr>
              <w:widowControl w:val="0"/>
              <w:suppressAutoHyphens/>
              <w:jc w:val="center"/>
              <w:rPr>
                <w:noProof/>
                <w:sz w:val="20"/>
                <w:szCs w:val="20"/>
              </w:rPr>
            </w:pPr>
            <w:r>
              <w:rPr>
                <w:noProof/>
                <w:sz w:val="20"/>
                <w:szCs w:val="20"/>
              </w:rPr>
              <w:t>35.9</w:t>
            </w:r>
          </w:p>
        </w:tc>
        <w:tc>
          <w:tcPr>
            <w:tcW w:w="337" w:type="pct"/>
            <w:tcBorders>
              <w:top w:val="nil"/>
              <w:left w:val="single" w:sz="4" w:space="0" w:color="auto"/>
              <w:bottom w:val="single" w:sz="4" w:space="0" w:color="auto"/>
              <w:right w:val="single" w:sz="4" w:space="0" w:color="auto"/>
            </w:tcBorders>
            <w:vAlign w:val="center"/>
            <w:hideMark/>
          </w:tcPr>
          <w:p w14:paraId="0467E123" w14:textId="4A0612C6" w:rsidR="00B67E21" w:rsidRPr="00B67E21" w:rsidRDefault="00B67E21" w:rsidP="00B67E21">
            <w:pPr>
              <w:widowControl w:val="0"/>
              <w:suppressAutoHyphens/>
              <w:jc w:val="center"/>
              <w:rPr>
                <w:strike/>
                <w:noProof/>
                <w:color w:val="D9D9D9" w:themeColor="background1" w:themeShade="D9"/>
                <w:sz w:val="20"/>
                <w:szCs w:val="20"/>
              </w:rPr>
            </w:pPr>
            <w:r w:rsidRPr="00B67E21">
              <w:rPr>
                <w:strike/>
                <w:noProof/>
                <w:color w:val="D9D9D9" w:themeColor="background1" w:themeShade="D9"/>
                <w:sz w:val="20"/>
                <w:szCs w:val="20"/>
              </w:rPr>
              <w:t>67.6</w:t>
            </w:r>
          </w:p>
        </w:tc>
        <w:tc>
          <w:tcPr>
            <w:tcW w:w="319" w:type="pct"/>
            <w:tcBorders>
              <w:top w:val="nil"/>
              <w:left w:val="single" w:sz="4" w:space="0" w:color="auto"/>
              <w:bottom w:val="single" w:sz="4" w:space="0" w:color="auto"/>
              <w:right w:val="single" w:sz="4" w:space="0" w:color="auto"/>
            </w:tcBorders>
            <w:vAlign w:val="center"/>
            <w:hideMark/>
          </w:tcPr>
          <w:p w14:paraId="2034BE41" w14:textId="77777777" w:rsidR="00B67E21" w:rsidRPr="00B67E21" w:rsidRDefault="00B67E21" w:rsidP="00B67E21">
            <w:pPr>
              <w:widowControl w:val="0"/>
              <w:suppressAutoHyphens/>
              <w:jc w:val="center"/>
              <w:rPr>
                <w:strike/>
                <w:noProof/>
                <w:color w:val="D9D9D9" w:themeColor="background1" w:themeShade="D9"/>
                <w:sz w:val="20"/>
                <w:szCs w:val="20"/>
              </w:rPr>
            </w:pPr>
            <w:r w:rsidRPr="00B67E21">
              <w:rPr>
                <w:strike/>
                <w:noProof/>
                <w:color w:val="D9D9D9" w:themeColor="background1" w:themeShade="D9"/>
                <w:sz w:val="20"/>
                <w:szCs w:val="20"/>
              </w:rPr>
              <w:t>6780</w:t>
            </w:r>
          </w:p>
        </w:tc>
        <w:tc>
          <w:tcPr>
            <w:tcW w:w="383" w:type="pct"/>
            <w:tcBorders>
              <w:top w:val="nil"/>
              <w:left w:val="single" w:sz="4" w:space="0" w:color="auto"/>
              <w:bottom w:val="single" w:sz="4" w:space="0" w:color="auto"/>
              <w:right w:val="single" w:sz="4" w:space="0" w:color="auto"/>
            </w:tcBorders>
            <w:vAlign w:val="center"/>
            <w:hideMark/>
          </w:tcPr>
          <w:p w14:paraId="2273827B" w14:textId="77777777" w:rsidR="00B67E21" w:rsidRPr="00B67E21" w:rsidRDefault="00B67E21" w:rsidP="00B67E21">
            <w:pPr>
              <w:widowControl w:val="0"/>
              <w:suppressAutoHyphens/>
              <w:jc w:val="center"/>
              <w:rPr>
                <w:strike/>
                <w:noProof/>
                <w:color w:val="D9D9D9" w:themeColor="background1" w:themeShade="D9"/>
                <w:sz w:val="20"/>
                <w:szCs w:val="20"/>
              </w:rPr>
            </w:pPr>
            <w:r w:rsidRPr="00B67E21">
              <w:rPr>
                <w:strike/>
                <w:noProof/>
                <w:color w:val="D9D9D9" w:themeColor="background1" w:themeShade="D9"/>
                <w:sz w:val="20"/>
                <w:szCs w:val="20"/>
              </w:rPr>
              <w:t>6100</w:t>
            </w:r>
          </w:p>
        </w:tc>
        <w:tc>
          <w:tcPr>
            <w:tcW w:w="399" w:type="pct"/>
            <w:tcBorders>
              <w:top w:val="nil"/>
              <w:left w:val="single" w:sz="4" w:space="0" w:color="auto"/>
              <w:bottom w:val="single" w:sz="4" w:space="0" w:color="auto"/>
              <w:right w:val="single" w:sz="4" w:space="0" w:color="auto"/>
            </w:tcBorders>
            <w:vAlign w:val="center"/>
          </w:tcPr>
          <w:p w14:paraId="15D6EB7D" w14:textId="77777777" w:rsidR="00B67E21" w:rsidRPr="00F449A3" w:rsidRDefault="00B67E21" w:rsidP="00B67E21">
            <w:pPr>
              <w:widowControl w:val="0"/>
              <w:jc w:val="center"/>
              <w:rPr>
                <w:strike/>
                <w:color w:val="D9D9D9" w:themeColor="background1" w:themeShade="D9"/>
                <w:sz w:val="20"/>
                <w:vertAlign w:val="superscript"/>
                <w:lang w:val="en-GB"/>
              </w:rPr>
            </w:pPr>
            <w:r w:rsidRPr="00F449A3">
              <w:rPr>
                <w:strike/>
                <w:color w:val="D9D9D9" w:themeColor="background1" w:themeShade="D9"/>
                <w:sz w:val="20"/>
                <w:lang w:val="en-GB"/>
              </w:rPr>
              <w:t>&gt; 2200</w:t>
            </w:r>
          </w:p>
          <w:p w14:paraId="44616B5F" w14:textId="7114E4BD" w:rsidR="00B67E21" w:rsidRPr="00227BE0" w:rsidRDefault="00B67E21" w:rsidP="00B67E21">
            <w:pPr>
              <w:widowControl w:val="0"/>
              <w:suppressAutoHyphens/>
              <w:jc w:val="center"/>
              <w:rPr>
                <w:noProof/>
                <w:sz w:val="20"/>
                <w:szCs w:val="20"/>
              </w:rPr>
            </w:pPr>
            <w:r w:rsidRPr="00F449A3">
              <w:rPr>
                <w:sz w:val="20"/>
                <w:shd w:val="clear" w:color="auto" w:fill="D9D9D9" w:themeFill="background1" w:themeFillShade="D9"/>
                <w:lang w:val="en-GB"/>
              </w:rPr>
              <w:t>1100</w:t>
            </w:r>
          </w:p>
        </w:tc>
        <w:tc>
          <w:tcPr>
            <w:tcW w:w="337" w:type="pct"/>
            <w:tcBorders>
              <w:top w:val="nil"/>
              <w:left w:val="single" w:sz="4" w:space="0" w:color="auto"/>
              <w:bottom w:val="single" w:sz="4" w:space="0" w:color="auto"/>
              <w:right w:val="single" w:sz="4" w:space="0" w:color="auto"/>
            </w:tcBorders>
            <w:vAlign w:val="center"/>
            <w:hideMark/>
          </w:tcPr>
          <w:p w14:paraId="6860E850" w14:textId="77777777" w:rsidR="00B67E21" w:rsidRPr="00227BE0" w:rsidRDefault="00B67E21" w:rsidP="00B67E21">
            <w:pPr>
              <w:widowControl w:val="0"/>
              <w:suppressAutoHyphens/>
              <w:jc w:val="center"/>
              <w:rPr>
                <w:noProof/>
                <w:sz w:val="20"/>
                <w:szCs w:val="20"/>
              </w:rPr>
            </w:pPr>
            <w:r w:rsidRPr="00227BE0">
              <w:rPr>
                <w:noProof/>
                <w:sz w:val="20"/>
                <w:szCs w:val="20"/>
              </w:rPr>
              <w:t>500</w:t>
            </w:r>
          </w:p>
        </w:tc>
        <w:tc>
          <w:tcPr>
            <w:tcW w:w="402" w:type="pct"/>
            <w:tcBorders>
              <w:top w:val="nil"/>
              <w:left w:val="single" w:sz="4" w:space="0" w:color="auto"/>
              <w:bottom w:val="single" w:sz="4" w:space="0" w:color="auto"/>
              <w:right w:val="single" w:sz="4" w:space="0" w:color="auto"/>
            </w:tcBorders>
            <w:vAlign w:val="center"/>
            <w:hideMark/>
          </w:tcPr>
          <w:p w14:paraId="68BD25DE" w14:textId="77777777" w:rsidR="00B67E21" w:rsidRPr="00227BE0" w:rsidRDefault="00B67E21" w:rsidP="00B67E21">
            <w:pPr>
              <w:widowControl w:val="0"/>
              <w:suppressAutoHyphens/>
              <w:jc w:val="center"/>
              <w:rPr>
                <w:noProof/>
                <w:sz w:val="20"/>
                <w:szCs w:val="20"/>
              </w:rPr>
            </w:pPr>
            <w:r w:rsidRPr="00227BE0">
              <w:rPr>
                <w:noProof/>
                <w:sz w:val="20"/>
                <w:szCs w:val="20"/>
              </w:rPr>
              <w:t>700</w:t>
            </w:r>
          </w:p>
        </w:tc>
        <w:tc>
          <w:tcPr>
            <w:tcW w:w="325" w:type="pct"/>
            <w:tcBorders>
              <w:top w:val="nil"/>
              <w:left w:val="single" w:sz="4" w:space="0" w:color="auto"/>
              <w:bottom w:val="single" w:sz="4" w:space="0" w:color="auto"/>
              <w:right w:val="single" w:sz="4" w:space="0" w:color="auto"/>
            </w:tcBorders>
            <w:vAlign w:val="center"/>
            <w:hideMark/>
          </w:tcPr>
          <w:p w14:paraId="3B62A990" w14:textId="77777777" w:rsidR="00B67E21" w:rsidRPr="00227BE0" w:rsidRDefault="00B67E21" w:rsidP="00B67E21">
            <w:pPr>
              <w:widowControl w:val="0"/>
              <w:suppressAutoHyphens/>
              <w:jc w:val="center"/>
              <w:rPr>
                <w:noProof/>
                <w:sz w:val="20"/>
                <w:szCs w:val="20"/>
              </w:rPr>
            </w:pPr>
            <w:r w:rsidRPr="00227BE0">
              <w:rPr>
                <w:noProof/>
                <w:sz w:val="20"/>
                <w:szCs w:val="20"/>
              </w:rPr>
              <w:t>&gt; 3430</w:t>
            </w:r>
          </w:p>
        </w:tc>
        <w:tc>
          <w:tcPr>
            <w:tcW w:w="402" w:type="pct"/>
            <w:tcBorders>
              <w:top w:val="nil"/>
              <w:left w:val="single" w:sz="4" w:space="0" w:color="auto"/>
              <w:bottom w:val="single" w:sz="4" w:space="0" w:color="auto"/>
              <w:right w:val="single" w:sz="4" w:space="0" w:color="auto"/>
            </w:tcBorders>
          </w:tcPr>
          <w:p w14:paraId="530FD313" w14:textId="77777777" w:rsidR="00B67E21" w:rsidRPr="00B67E21" w:rsidRDefault="00B67E21" w:rsidP="00B67E21">
            <w:pPr>
              <w:keepNext/>
              <w:keepLines/>
              <w:widowControl w:val="0"/>
              <w:suppressAutoHyphens/>
              <w:jc w:val="center"/>
              <w:rPr>
                <w:b/>
                <w:strike/>
                <w:noProof/>
                <w:color w:val="D9D9D9" w:themeColor="background1" w:themeShade="D9"/>
                <w:sz w:val="20"/>
                <w:szCs w:val="20"/>
              </w:rPr>
            </w:pPr>
            <w:r w:rsidRPr="00B67E21">
              <w:rPr>
                <w:strike/>
                <w:noProof/>
                <w:color w:val="D9D9D9" w:themeColor="background1" w:themeShade="D9"/>
                <w:sz w:val="20"/>
                <w:lang w:val="de-DE" w:eastAsia="zh-CN"/>
              </w:rPr>
              <w:t>148</w:t>
            </w:r>
          </w:p>
        </w:tc>
        <w:tc>
          <w:tcPr>
            <w:tcW w:w="402" w:type="pct"/>
            <w:tcBorders>
              <w:top w:val="nil"/>
              <w:left w:val="single" w:sz="4" w:space="0" w:color="auto"/>
              <w:bottom w:val="single" w:sz="4" w:space="0" w:color="auto"/>
              <w:right w:val="single" w:sz="4" w:space="0" w:color="auto"/>
            </w:tcBorders>
            <w:vAlign w:val="center"/>
            <w:hideMark/>
          </w:tcPr>
          <w:p w14:paraId="212170F9" w14:textId="77777777" w:rsidR="00B67E21" w:rsidRPr="00227BE0" w:rsidRDefault="00B67E21" w:rsidP="00B67E21">
            <w:pPr>
              <w:keepNext/>
              <w:keepLines/>
              <w:widowControl w:val="0"/>
              <w:suppressAutoHyphens/>
              <w:rPr>
                <w:noProof/>
                <w:sz w:val="20"/>
                <w:szCs w:val="20"/>
              </w:rPr>
            </w:pPr>
            <w:r w:rsidRPr="00227BE0">
              <w:rPr>
                <w:b/>
                <w:noProof/>
                <w:sz w:val="20"/>
                <w:szCs w:val="20"/>
              </w:rPr>
              <w:t>(µg/kg)</w:t>
            </w:r>
          </w:p>
        </w:tc>
        <w:tc>
          <w:tcPr>
            <w:tcW w:w="345" w:type="pct"/>
            <w:tcBorders>
              <w:top w:val="nil"/>
              <w:left w:val="single" w:sz="4" w:space="0" w:color="auto"/>
              <w:bottom w:val="single" w:sz="4" w:space="0" w:color="auto"/>
              <w:right w:val="single" w:sz="4" w:space="0" w:color="auto"/>
            </w:tcBorders>
            <w:hideMark/>
          </w:tcPr>
          <w:p w14:paraId="1AF7B79B" w14:textId="77777777" w:rsidR="00B67E21" w:rsidRPr="00227BE0" w:rsidRDefault="00B67E21" w:rsidP="00B67E21">
            <w:pPr>
              <w:widowControl w:val="0"/>
              <w:suppressAutoHyphens/>
              <w:jc w:val="center"/>
              <w:rPr>
                <w:noProof/>
                <w:sz w:val="20"/>
                <w:szCs w:val="20"/>
              </w:rPr>
            </w:pPr>
            <w:r w:rsidRPr="00227BE0">
              <w:rPr>
                <w:noProof/>
                <w:sz w:val="20"/>
                <w:szCs w:val="20"/>
              </w:rPr>
              <w:t>75900</w:t>
            </w:r>
          </w:p>
        </w:tc>
      </w:tr>
      <w:tr w:rsidR="00B67E21" w:rsidRPr="00227BE0" w14:paraId="0AEB0BC0"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67F38B2B" w14:textId="77777777" w:rsidR="00B67E21" w:rsidRPr="00227BE0" w:rsidRDefault="00B67E21" w:rsidP="00B67E21">
            <w:pPr>
              <w:widowControl w:val="0"/>
              <w:suppressAutoHyphens/>
              <w:rPr>
                <w:b/>
                <w:bCs/>
                <w:sz w:val="20"/>
                <w:szCs w:val="20"/>
              </w:rPr>
            </w:pPr>
            <w:r w:rsidRPr="00227BE0">
              <w:rPr>
                <w:b/>
                <w:bCs/>
                <w:sz w:val="20"/>
                <w:szCs w:val="20"/>
              </w:rPr>
              <w:t>AF</w:t>
            </w:r>
          </w:p>
        </w:tc>
        <w:tc>
          <w:tcPr>
            <w:tcW w:w="273" w:type="pct"/>
            <w:tcBorders>
              <w:top w:val="nil"/>
              <w:left w:val="single" w:sz="4" w:space="0" w:color="auto"/>
              <w:bottom w:val="nil"/>
              <w:right w:val="single" w:sz="4" w:space="0" w:color="auto"/>
            </w:tcBorders>
            <w:vAlign w:val="center"/>
          </w:tcPr>
          <w:p w14:paraId="052ED135" w14:textId="77777777" w:rsidR="00B67E21" w:rsidRPr="00227BE0" w:rsidRDefault="00B67E21" w:rsidP="00B67E21">
            <w:pPr>
              <w:keepNext/>
              <w:keepLines/>
              <w:widowControl w:val="0"/>
              <w:suppressAutoHyphens/>
              <w:rPr>
                <w:noProof/>
                <w:sz w:val="20"/>
                <w:szCs w:val="20"/>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701C96E6" w14:textId="77777777" w:rsidR="00B67E21" w:rsidRPr="00227BE0" w:rsidRDefault="00B67E21" w:rsidP="00B67E21">
            <w:pPr>
              <w:widowControl w:val="0"/>
              <w:suppressAutoHyphens/>
              <w:jc w:val="center"/>
              <w:rPr>
                <w:noProof/>
                <w:sz w:val="20"/>
                <w:szCs w:val="20"/>
              </w:rPr>
            </w:pPr>
            <w:r w:rsidRPr="00227BE0">
              <w:rPr>
                <w:noProof/>
                <w:sz w:val="20"/>
                <w:szCs w:val="20"/>
              </w:rPr>
              <w:t>100</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0AF8A0" w14:textId="54185D28" w:rsidR="00B67E21" w:rsidRPr="00227BE0" w:rsidRDefault="00B67E21" w:rsidP="00B67E21">
            <w:pPr>
              <w:widowControl w:val="0"/>
              <w:suppressAutoHyphens/>
              <w:jc w:val="center"/>
              <w:rPr>
                <w:noProof/>
                <w:sz w:val="20"/>
                <w:szCs w:val="20"/>
              </w:rPr>
            </w:pPr>
            <w:r w:rsidRPr="00227BE0">
              <w:rPr>
                <w:noProof/>
                <w:sz w:val="20"/>
                <w:szCs w:val="20"/>
              </w:rPr>
              <w:t>10</w:t>
            </w:r>
          </w:p>
        </w:tc>
        <w:tc>
          <w:tcPr>
            <w:tcW w:w="337" w:type="pct"/>
            <w:tcBorders>
              <w:top w:val="single" w:sz="4" w:space="0" w:color="auto"/>
              <w:left w:val="single" w:sz="4" w:space="0" w:color="auto"/>
              <w:bottom w:val="single" w:sz="4" w:space="0" w:color="auto"/>
              <w:right w:val="single" w:sz="4" w:space="0" w:color="auto"/>
            </w:tcBorders>
            <w:vAlign w:val="center"/>
            <w:hideMark/>
          </w:tcPr>
          <w:p w14:paraId="13D5DBAF" w14:textId="7D195626" w:rsidR="00B67E21" w:rsidRPr="00B67E21" w:rsidRDefault="00B67E21" w:rsidP="00B67E21">
            <w:pPr>
              <w:widowControl w:val="0"/>
              <w:suppressAutoHyphens/>
              <w:jc w:val="center"/>
              <w:rPr>
                <w:strike/>
                <w:noProof/>
                <w:color w:val="D9D9D9" w:themeColor="background1" w:themeShade="D9"/>
                <w:sz w:val="20"/>
                <w:szCs w:val="20"/>
              </w:rPr>
            </w:pPr>
            <w:r w:rsidRPr="00B67E21">
              <w:rPr>
                <w:strike/>
                <w:noProof/>
                <w:color w:val="D9D9D9" w:themeColor="background1" w:themeShade="D9"/>
                <w:sz w:val="20"/>
                <w:szCs w:val="20"/>
              </w:rPr>
              <w:t>10</w:t>
            </w:r>
          </w:p>
        </w:tc>
        <w:tc>
          <w:tcPr>
            <w:tcW w:w="319" w:type="pct"/>
            <w:tcBorders>
              <w:top w:val="single" w:sz="4" w:space="0" w:color="auto"/>
              <w:left w:val="single" w:sz="4" w:space="0" w:color="auto"/>
              <w:bottom w:val="single" w:sz="4" w:space="0" w:color="auto"/>
              <w:right w:val="single" w:sz="4" w:space="0" w:color="auto"/>
            </w:tcBorders>
            <w:vAlign w:val="center"/>
            <w:hideMark/>
          </w:tcPr>
          <w:p w14:paraId="0E59923B" w14:textId="77777777" w:rsidR="00B67E21" w:rsidRPr="00B67E21" w:rsidRDefault="00B67E21" w:rsidP="00B67E21">
            <w:pPr>
              <w:widowControl w:val="0"/>
              <w:suppressAutoHyphens/>
              <w:jc w:val="center"/>
              <w:rPr>
                <w:strike/>
                <w:noProof/>
                <w:color w:val="D9D9D9" w:themeColor="background1" w:themeShade="D9"/>
                <w:sz w:val="20"/>
                <w:szCs w:val="20"/>
              </w:rPr>
            </w:pPr>
            <w:r w:rsidRPr="00B67E21">
              <w:rPr>
                <w:strike/>
                <w:noProof/>
                <w:color w:val="D9D9D9" w:themeColor="background1" w:themeShade="D9"/>
                <w:sz w:val="20"/>
                <w:szCs w:val="20"/>
              </w:rPr>
              <w:t>100</w:t>
            </w:r>
          </w:p>
        </w:tc>
        <w:tc>
          <w:tcPr>
            <w:tcW w:w="383" w:type="pct"/>
            <w:tcBorders>
              <w:top w:val="single" w:sz="4" w:space="0" w:color="auto"/>
              <w:left w:val="single" w:sz="4" w:space="0" w:color="auto"/>
              <w:bottom w:val="single" w:sz="4" w:space="0" w:color="auto"/>
              <w:right w:val="single" w:sz="4" w:space="0" w:color="auto"/>
            </w:tcBorders>
            <w:vAlign w:val="center"/>
            <w:hideMark/>
          </w:tcPr>
          <w:p w14:paraId="1D4BAA1E" w14:textId="77777777" w:rsidR="00B67E21" w:rsidRPr="00B67E21" w:rsidRDefault="00B67E21" w:rsidP="00B67E21">
            <w:pPr>
              <w:widowControl w:val="0"/>
              <w:suppressAutoHyphens/>
              <w:jc w:val="center"/>
              <w:rPr>
                <w:strike/>
                <w:noProof/>
                <w:color w:val="D9D9D9" w:themeColor="background1" w:themeShade="D9"/>
                <w:sz w:val="20"/>
                <w:szCs w:val="20"/>
              </w:rPr>
            </w:pPr>
            <w:r w:rsidRPr="00B67E21">
              <w:rPr>
                <w:strike/>
                <w:noProof/>
                <w:color w:val="D9D9D9" w:themeColor="background1" w:themeShade="D9"/>
                <w:sz w:val="20"/>
                <w:szCs w:val="20"/>
              </w:rPr>
              <w:t>100</w:t>
            </w:r>
          </w:p>
        </w:tc>
        <w:tc>
          <w:tcPr>
            <w:tcW w:w="399" w:type="pct"/>
            <w:tcBorders>
              <w:top w:val="single" w:sz="4" w:space="0" w:color="auto"/>
              <w:left w:val="single" w:sz="4" w:space="0" w:color="auto"/>
              <w:bottom w:val="single" w:sz="4" w:space="0" w:color="auto"/>
              <w:right w:val="single" w:sz="4" w:space="0" w:color="auto"/>
            </w:tcBorders>
            <w:vAlign w:val="center"/>
          </w:tcPr>
          <w:p w14:paraId="7AC9FBB7" w14:textId="499807B1" w:rsidR="00B67E21" w:rsidRPr="00227BE0" w:rsidRDefault="00B67E21" w:rsidP="00B67E21">
            <w:pPr>
              <w:widowControl w:val="0"/>
              <w:suppressAutoHyphens/>
              <w:jc w:val="center"/>
              <w:rPr>
                <w:noProof/>
                <w:sz w:val="20"/>
                <w:szCs w:val="20"/>
              </w:rPr>
            </w:pPr>
            <w:r w:rsidRPr="00227BE0">
              <w:rPr>
                <w:noProof/>
                <w:sz w:val="20"/>
                <w:szCs w:val="20"/>
                <w:lang w:val="en-GB" w:eastAsia="en-US"/>
              </w:rPr>
              <w:t>100</w:t>
            </w:r>
          </w:p>
        </w:tc>
        <w:tc>
          <w:tcPr>
            <w:tcW w:w="337" w:type="pct"/>
            <w:tcBorders>
              <w:top w:val="single" w:sz="4" w:space="0" w:color="auto"/>
              <w:left w:val="single" w:sz="4" w:space="0" w:color="auto"/>
              <w:bottom w:val="single" w:sz="4" w:space="0" w:color="auto"/>
              <w:right w:val="single" w:sz="4" w:space="0" w:color="auto"/>
            </w:tcBorders>
            <w:vAlign w:val="center"/>
            <w:hideMark/>
          </w:tcPr>
          <w:p w14:paraId="31CA8BE0" w14:textId="77777777" w:rsidR="00B67E21" w:rsidRPr="00227BE0" w:rsidRDefault="00B67E21" w:rsidP="00B67E21">
            <w:pPr>
              <w:widowControl w:val="0"/>
              <w:suppressAutoHyphens/>
              <w:jc w:val="center"/>
              <w:rPr>
                <w:noProof/>
                <w:sz w:val="20"/>
                <w:szCs w:val="20"/>
              </w:rPr>
            </w:pPr>
            <w:r w:rsidRPr="00227BE0">
              <w:rPr>
                <w:noProof/>
                <w:sz w:val="20"/>
                <w:szCs w:val="20"/>
              </w:rPr>
              <w:t>10</w:t>
            </w:r>
          </w:p>
        </w:tc>
        <w:tc>
          <w:tcPr>
            <w:tcW w:w="402" w:type="pct"/>
            <w:tcBorders>
              <w:top w:val="single" w:sz="4" w:space="0" w:color="auto"/>
              <w:left w:val="single" w:sz="4" w:space="0" w:color="auto"/>
              <w:bottom w:val="single" w:sz="4" w:space="0" w:color="auto"/>
              <w:right w:val="single" w:sz="4" w:space="0" w:color="auto"/>
            </w:tcBorders>
            <w:vAlign w:val="center"/>
            <w:hideMark/>
          </w:tcPr>
          <w:p w14:paraId="4264D589" w14:textId="77777777" w:rsidR="00B67E21" w:rsidRPr="00227BE0" w:rsidRDefault="00B67E21" w:rsidP="00B67E21">
            <w:pPr>
              <w:widowControl w:val="0"/>
              <w:suppressAutoHyphens/>
              <w:jc w:val="center"/>
              <w:rPr>
                <w:noProof/>
                <w:sz w:val="20"/>
                <w:szCs w:val="20"/>
              </w:rPr>
            </w:pPr>
            <w:r w:rsidRPr="00227BE0">
              <w:rPr>
                <w:noProof/>
                <w:sz w:val="20"/>
                <w:szCs w:val="20"/>
              </w:rPr>
              <w:t>10</w:t>
            </w:r>
          </w:p>
        </w:tc>
        <w:tc>
          <w:tcPr>
            <w:tcW w:w="325" w:type="pct"/>
            <w:tcBorders>
              <w:top w:val="single" w:sz="4" w:space="0" w:color="auto"/>
              <w:left w:val="single" w:sz="4" w:space="0" w:color="auto"/>
              <w:bottom w:val="single" w:sz="4" w:space="0" w:color="auto"/>
              <w:right w:val="single" w:sz="4" w:space="0" w:color="auto"/>
            </w:tcBorders>
            <w:vAlign w:val="center"/>
            <w:hideMark/>
          </w:tcPr>
          <w:p w14:paraId="3160B559" w14:textId="77777777" w:rsidR="00B67E21" w:rsidRPr="00227BE0" w:rsidRDefault="00B67E21" w:rsidP="00B67E21">
            <w:pPr>
              <w:widowControl w:val="0"/>
              <w:suppressAutoHyphens/>
              <w:jc w:val="center"/>
              <w:rPr>
                <w:noProof/>
                <w:sz w:val="20"/>
                <w:szCs w:val="20"/>
              </w:rPr>
            </w:pPr>
            <w:r w:rsidRPr="00227BE0">
              <w:rPr>
                <w:noProof/>
                <w:sz w:val="20"/>
                <w:szCs w:val="20"/>
              </w:rPr>
              <w:t>10</w:t>
            </w:r>
          </w:p>
        </w:tc>
        <w:tc>
          <w:tcPr>
            <w:tcW w:w="402" w:type="pct"/>
            <w:tcBorders>
              <w:top w:val="single" w:sz="4" w:space="0" w:color="auto"/>
              <w:left w:val="single" w:sz="4" w:space="0" w:color="auto"/>
              <w:bottom w:val="single" w:sz="4" w:space="0" w:color="auto"/>
              <w:right w:val="single" w:sz="4" w:space="0" w:color="auto"/>
            </w:tcBorders>
            <w:vAlign w:val="center"/>
          </w:tcPr>
          <w:p w14:paraId="6619E33B" w14:textId="77777777" w:rsidR="00B67E21" w:rsidRPr="00B67E21" w:rsidRDefault="00B67E21" w:rsidP="00B67E21">
            <w:pPr>
              <w:keepNext/>
              <w:keepLines/>
              <w:widowControl w:val="0"/>
              <w:suppressAutoHyphens/>
              <w:jc w:val="center"/>
              <w:rPr>
                <w:b/>
                <w:strike/>
                <w:noProof/>
                <w:color w:val="D9D9D9" w:themeColor="background1" w:themeShade="D9"/>
                <w:sz w:val="20"/>
                <w:szCs w:val="20"/>
              </w:rPr>
            </w:pPr>
            <w:r w:rsidRPr="00B67E21">
              <w:rPr>
                <w:strike/>
                <w:noProof/>
                <w:color w:val="D9D9D9" w:themeColor="background1" w:themeShade="D9"/>
                <w:sz w:val="20"/>
                <w:lang w:val="de-DE" w:eastAsia="zh-CN"/>
              </w:rPr>
              <w:t>3</w:t>
            </w:r>
          </w:p>
        </w:tc>
        <w:tc>
          <w:tcPr>
            <w:tcW w:w="402" w:type="pct"/>
            <w:tcBorders>
              <w:top w:val="single" w:sz="4" w:space="0" w:color="auto"/>
              <w:left w:val="single" w:sz="4" w:space="0" w:color="auto"/>
              <w:bottom w:val="single" w:sz="4" w:space="0" w:color="auto"/>
              <w:right w:val="single" w:sz="4" w:space="0" w:color="auto"/>
            </w:tcBorders>
            <w:vAlign w:val="center"/>
            <w:hideMark/>
          </w:tcPr>
          <w:p w14:paraId="0A2F4EB7" w14:textId="77777777" w:rsidR="00B67E21" w:rsidRPr="00227BE0" w:rsidRDefault="00B67E21" w:rsidP="00B67E21">
            <w:pPr>
              <w:keepNext/>
              <w:keepLines/>
              <w:widowControl w:val="0"/>
              <w:suppressAutoHyphens/>
              <w:rPr>
                <w:noProof/>
                <w:sz w:val="20"/>
                <w:szCs w:val="20"/>
              </w:rPr>
            </w:pPr>
            <w:r w:rsidRPr="00227BE0">
              <w:rPr>
                <w:b/>
                <w:noProof/>
                <w:sz w:val="20"/>
                <w:szCs w:val="20"/>
              </w:rPr>
              <w:t>AF</w:t>
            </w:r>
          </w:p>
        </w:tc>
        <w:tc>
          <w:tcPr>
            <w:tcW w:w="345" w:type="pct"/>
            <w:tcBorders>
              <w:top w:val="single" w:sz="4" w:space="0" w:color="auto"/>
              <w:left w:val="single" w:sz="4" w:space="0" w:color="auto"/>
              <w:bottom w:val="single" w:sz="4" w:space="0" w:color="auto"/>
              <w:right w:val="single" w:sz="4" w:space="0" w:color="auto"/>
            </w:tcBorders>
            <w:hideMark/>
          </w:tcPr>
          <w:p w14:paraId="53EB74C2" w14:textId="77777777" w:rsidR="00B67E21" w:rsidRPr="00227BE0" w:rsidRDefault="00B67E21" w:rsidP="00B67E21">
            <w:pPr>
              <w:widowControl w:val="0"/>
              <w:suppressAutoHyphens/>
              <w:jc w:val="center"/>
              <w:rPr>
                <w:noProof/>
                <w:sz w:val="20"/>
                <w:szCs w:val="20"/>
              </w:rPr>
            </w:pPr>
            <w:r w:rsidRPr="00227BE0">
              <w:rPr>
                <w:noProof/>
                <w:sz w:val="20"/>
                <w:szCs w:val="20"/>
              </w:rPr>
              <w:t>10</w:t>
            </w:r>
          </w:p>
        </w:tc>
      </w:tr>
      <w:tr w:rsidR="00B67E21" w:rsidRPr="00227BE0" w14:paraId="6E086F86"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762E6CFC" w14:textId="77777777" w:rsidR="00B67E21" w:rsidRPr="00227BE0" w:rsidRDefault="00B67E21" w:rsidP="00B67E21">
            <w:pPr>
              <w:widowControl w:val="0"/>
              <w:suppressAutoHyphens/>
              <w:rPr>
                <w:b/>
                <w:bCs/>
                <w:sz w:val="20"/>
                <w:szCs w:val="20"/>
              </w:rPr>
            </w:pPr>
            <w:r w:rsidRPr="00227BE0">
              <w:rPr>
                <w:b/>
                <w:bCs/>
                <w:sz w:val="20"/>
                <w:szCs w:val="20"/>
              </w:rPr>
              <w:t>RAC (µg/L)</w:t>
            </w:r>
          </w:p>
        </w:tc>
        <w:tc>
          <w:tcPr>
            <w:tcW w:w="273" w:type="pct"/>
            <w:tcBorders>
              <w:top w:val="nil"/>
              <w:left w:val="single" w:sz="4" w:space="0" w:color="auto"/>
              <w:bottom w:val="single" w:sz="4" w:space="0" w:color="auto"/>
              <w:right w:val="single" w:sz="4" w:space="0" w:color="auto"/>
            </w:tcBorders>
            <w:vAlign w:val="center"/>
          </w:tcPr>
          <w:p w14:paraId="6E17EE23" w14:textId="77777777" w:rsidR="00B67E21" w:rsidRPr="00227BE0" w:rsidRDefault="00B67E21" w:rsidP="00B67E21">
            <w:pPr>
              <w:keepNext/>
              <w:keepLines/>
              <w:widowControl w:val="0"/>
              <w:suppressAutoHyphens/>
              <w:rPr>
                <w:noProof/>
                <w:sz w:val="20"/>
                <w:szCs w:val="20"/>
              </w:rPr>
            </w:pPr>
          </w:p>
        </w:tc>
        <w:tc>
          <w:tcPr>
            <w:tcW w:w="282" w:type="pct"/>
            <w:tcBorders>
              <w:top w:val="single" w:sz="4" w:space="0" w:color="auto"/>
              <w:left w:val="single" w:sz="4" w:space="0" w:color="auto"/>
              <w:bottom w:val="single" w:sz="4" w:space="0" w:color="auto"/>
              <w:right w:val="single" w:sz="4" w:space="0" w:color="auto"/>
            </w:tcBorders>
            <w:vAlign w:val="center"/>
            <w:hideMark/>
          </w:tcPr>
          <w:p w14:paraId="2717B8D1" w14:textId="77777777" w:rsidR="00B67E21" w:rsidRPr="00227BE0" w:rsidRDefault="00B67E21" w:rsidP="00B67E21">
            <w:pPr>
              <w:widowControl w:val="0"/>
              <w:suppressAutoHyphens/>
              <w:jc w:val="center"/>
              <w:rPr>
                <w:noProof/>
                <w:sz w:val="20"/>
                <w:szCs w:val="20"/>
              </w:rPr>
            </w:pPr>
            <w:r w:rsidRPr="00227BE0">
              <w:rPr>
                <w:noProof/>
                <w:sz w:val="20"/>
                <w:szCs w:val="20"/>
              </w:rPr>
              <w:t>2.9</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EC6E2C" w14:textId="45BAA86A" w:rsidR="00B67E21" w:rsidRPr="00227BE0" w:rsidRDefault="00B67E21" w:rsidP="00B67E21">
            <w:pPr>
              <w:widowControl w:val="0"/>
              <w:suppressAutoHyphens/>
              <w:jc w:val="center"/>
              <w:rPr>
                <w:noProof/>
                <w:sz w:val="20"/>
                <w:szCs w:val="20"/>
              </w:rPr>
            </w:pPr>
            <w:r>
              <w:rPr>
                <w:noProof/>
                <w:sz w:val="20"/>
                <w:szCs w:val="20"/>
              </w:rPr>
              <w:t>3.59</w:t>
            </w:r>
          </w:p>
        </w:tc>
        <w:tc>
          <w:tcPr>
            <w:tcW w:w="337" w:type="pct"/>
            <w:tcBorders>
              <w:top w:val="single" w:sz="4" w:space="0" w:color="auto"/>
              <w:left w:val="single" w:sz="4" w:space="0" w:color="auto"/>
              <w:bottom w:val="single" w:sz="4" w:space="0" w:color="auto"/>
              <w:right w:val="single" w:sz="4" w:space="0" w:color="auto"/>
            </w:tcBorders>
            <w:vAlign w:val="center"/>
            <w:hideMark/>
          </w:tcPr>
          <w:p w14:paraId="5419E664" w14:textId="336056BD" w:rsidR="00B67E21" w:rsidRPr="00B67E21" w:rsidRDefault="00B67E21" w:rsidP="00B67E21">
            <w:pPr>
              <w:widowControl w:val="0"/>
              <w:suppressAutoHyphens/>
              <w:jc w:val="center"/>
              <w:rPr>
                <w:strike/>
                <w:noProof/>
                <w:color w:val="D9D9D9" w:themeColor="background1" w:themeShade="D9"/>
                <w:sz w:val="20"/>
                <w:szCs w:val="20"/>
              </w:rPr>
            </w:pPr>
            <w:r w:rsidRPr="00B67E21">
              <w:rPr>
                <w:strike/>
                <w:noProof/>
                <w:color w:val="D9D9D9" w:themeColor="background1" w:themeShade="D9"/>
                <w:sz w:val="20"/>
                <w:szCs w:val="20"/>
              </w:rPr>
              <w:t>6.76</w:t>
            </w:r>
          </w:p>
        </w:tc>
        <w:tc>
          <w:tcPr>
            <w:tcW w:w="319" w:type="pct"/>
            <w:tcBorders>
              <w:top w:val="single" w:sz="4" w:space="0" w:color="auto"/>
              <w:left w:val="single" w:sz="4" w:space="0" w:color="auto"/>
              <w:bottom w:val="single" w:sz="4" w:space="0" w:color="auto"/>
              <w:right w:val="single" w:sz="4" w:space="0" w:color="auto"/>
            </w:tcBorders>
            <w:vAlign w:val="center"/>
            <w:hideMark/>
          </w:tcPr>
          <w:p w14:paraId="00A87A93" w14:textId="77777777" w:rsidR="00B67E21" w:rsidRPr="00B67E21" w:rsidRDefault="00B67E21" w:rsidP="00B67E21">
            <w:pPr>
              <w:widowControl w:val="0"/>
              <w:suppressAutoHyphens/>
              <w:jc w:val="center"/>
              <w:rPr>
                <w:strike/>
                <w:noProof/>
                <w:color w:val="D9D9D9" w:themeColor="background1" w:themeShade="D9"/>
                <w:sz w:val="20"/>
                <w:szCs w:val="20"/>
              </w:rPr>
            </w:pPr>
            <w:r w:rsidRPr="00B67E21">
              <w:rPr>
                <w:strike/>
                <w:noProof/>
                <w:color w:val="D9D9D9" w:themeColor="background1" w:themeShade="D9"/>
                <w:sz w:val="20"/>
                <w:szCs w:val="20"/>
              </w:rPr>
              <w:t>67.8</w:t>
            </w:r>
          </w:p>
        </w:tc>
        <w:tc>
          <w:tcPr>
            <w:tcW w:w="383" w:type="pct"/>
            <w:tcBorders>
              <w:top w:val="single" w:sz="4" w:space="0" w:color="auto"/>
              <w:left w:val="single" w:sz="4" w:space="0" w:color="auto"/>
              <w:bottom w:val="single" w:sz="4" w:space="0" w:color="auto"/>
              <w:right w:val="single" w:sz="4" w:space="0" w:color="auto"/>
            </w:tcBorders>
            <w:vAlign w:val="center"/>
            <w:hideMark/>
          </w:tcPr>
          <w:p w14:paraId="5A7310A0" w14:textId="77777777" w:rsidR="00B67E21" w:rsidRPr="00B67E21" w:rsidRDefault="00B67E21" w:rsidP="00B67E21">
            <w:pPr>
              <w:widowControl w:val="0"/>
              <w:suppressAutoHyphens/>
              <w:jc w:val="center"/>
              <w:rPr>
                <w:strike/>
                <w:noProof/>
                <w:color w:val="D9D9D9" w:themeColor="background1" w:themeShade="D9"/>
                <w:sz w:val="20"/>
                <w:szCs w:val="20"/>
              </w:rPr>
            </w:pPr>
            <w:r w:rsidRPr="00B67E21">
              <w:rPr>
                <w:strike/>
                <w:noProof/>
                <w:color w:val="D9D9D9" w:themeColor="background1" w:themeShade="D9"/>
                <w:sz w:val="20"/>
                <w:szCs w:val="20"/>
              </w:rPr>
              <w:t>61</w:t>
            </w:r>
          </w:p>
        </w:tc>
        <w:tc>
          <w:tcPr>
            <w:tcW w:w="399" w:type="pct"/>
            <w:tcBorders>
              <w:top w:val="single" w:sz="4" w:space="0" w:color="auto"/>
              <w:left w:val="single" w:sz="4" w:space="0" w:color="auto"/>
              <w:bottom w:val="single" w:sz="4" w:space="0" w:color="auto"/>
              <w:right w:val="single" w:sz="4" w:space="0" w:color="auto"/>
            </w:tcBorders>
            <w:vAlign w:val="center"/>
          </w:tcPr>
          <w:p w14:paraId="0B519EF3" w14:textId="686BF3D4" w:rsidR="00B67E21" w:rsidRPr="00227BE0" w:rsidRDefault="00B67E21" w:rsidP="00B67E21">
            <w:pPr>
              <w:widowControl w:val="0"/>
              <w:suppressAutoHyphens/>
              <w:jc w:val="center"/>
              <w:rPr>
                <w:noProof/>
                <w:sz w:val="20"/>
                <w:szCs w:val="20"/>
              </w:rPr>
            </w:pPr>
            <w:r w:rsidRPr="00B25830">
              <w:rPr>
                <w:strike/>
                <w:color w:val="D9D9D9" w:themeColor="background1" w:themeShade="D9"/>
                <w:sz w:val="20"/>
                <w:lang w:val="en-GB"/>
              </w:rPr>
              <w:t>&gt; 22</w:t>
            </w:r>
            <w:r w:rsidRPr="00B25830">
              <w:rPr>
                <w:color w:val="D9D9D9" w:themeColor="background1" w:themeShade="D9"/>
                <w:sz w:val="20"/>
                <w:lang w:val="en-GB"/>
              </w:rPr>
              <w:t xml:space="preserve"> </w:t>
            </w:r>
            <w:r w:rsidRPr="00B25830">
              <w:rPr>
                <w:sz w:val="20"/>
                <w:shd w:val="clear" w:color="auto" w:fill="D9D9D9" w:themeFill="background1" w:themeFillShade="D9"/>
                <w:lang w:val="en-GB"/>
              </w:rPr>
              <w:t>11</w:t>
            </w:r>
          </w:p>
        </w:tc>
        <w:tc>
          <w:tcPr>
            <w:tcW w:w="337" w:type="pct"/>
            <w:tcBorders>
              <w:top w:val="single" w:sz="4" w:space="0" w:color="auto"/>
              <w:left w:val="single" w:sz="4" w:space="0" w:color="auto"/>
              <w:bottom w:val="single" w:sz="4" w:space="0" w:color="auto"/>
              <w:right w:val="single" w:sz="4" w:space="0" w:color="auto"/>
            </w:tcBorders>
            <w:vAlign w:val="center"/>
            <w:hideMark/>
          </w:tcPr>
          <w:p w14:paraId="554B8088" w14:textId="77777777" w:rsidR="00B67E21" w:rsidRPr="00227BE0" w:rsidRDefault="00B67E21" w:rsidP="00B67E21">
            <w:pPr>
              <w:widowControl w:val="0"/>
              <w:suppressAutoHyphens/>
              <w:jc w:val="center"/>
              <w:rPr>
                <w:noProof/>
                <w:sz w:val="20"/>
                <w:szCs w:val="20"/>
              </w:rPr>
            </w:pPr>
            <w:r w:rsidRPr="00227BE0">
              <w:rPr>
                <w:noProof/>
                <w:sz w:val="20"/>
                <w:szCs w:val="20"/>
              </w:rPr>
              <w:t>50</w:t>
            </w:r>
          </w:p>
        </w:tc>
        <w:tc>
          <w:tcPr>
            <w:tcW w:w="402" w:type="pct"/>
            <w:tcBorders>
              <w:top w:val="single" w:sz="4" w:space="0" w:color="auto"/>
              <w:left w:val="single" w:sz="4" w:space="0" w:color="auto"/>
              <w:bottom w:val="single" w:sz="4" w:space="0" w:color="auto"/>
              <w:right w:val="single" w:sz="4" w:space="0" w:color="auto"/>
            </w:tcBorders>
            <w:vAlign w:val="center"/>
            <w:hideMark/>
          </w:tcPr>
          <w:p w14:paraId="4C8EBA58" w14:textId="77777777" w:rsidR="00B67E21" w:rsidRPr="00227BE0" w:rsidRDefault="00B67E21" w:rsidP="00B67E21">
            <w:pPr>
              <w:widowControl w:val="0"/>
              <w:suppressAutoHyphens/>
              <w:jc w:val="center"/>
              <w:rPr>
                <w:noProof/>
                <w:sz w:val="20"/>
                <w:szCs w:val="20"/>
              </w:rPr>
            </w:pPr>
            <w:r w:rsidRPr="00227BE0">
              <w:rPr>
                <w:noProof/>
                <w:sz w:val="20"/>
                <w:szCs w:val="20"/>
              </w:rPr>
              <w:t>70</w:t>
            </w:r>
          </w:p>
        </w:tc>
        <w:tc>
          <w:tcPr>
            <w:tcW w:w="325" w:type="pct"/>
            <w:tcBorders>
              <w:top w:val="single" w:sz="4" w:space="0" w:color="auto"/>
              <w:left w:val="single" w:sz="4" w:space="0" w:color="auto"/>
              <w:bottom w:val="single" w:sz="4" w:space="0" w:color="auto"/>
              <w:right w:val="single" w:sz="4" w:space="0" w:color="auto"/>
            </w:tcBorders>
            <w:vAlign w:val="center"/>
            <w:hideMark/>
          </w:tcPr>
          <w:p w14:paraId="1A8FB31D" w14:textId="77777777" w:rsidR="00B67E21" w:rsidRPr="00227BE0" w:rsidRDefault="00B67E21" w:rsidP="00B67E21">
            <w:pPr>
              <w:widowControl w:val="0"/>
              <w:suppressAutoHyphens/>
              <w:jc w:val="center"/>
              <w:rPr>
                <w:noProof/>
                <w:sz w:val="20"/>
                <w:szCs w:val="20"/>
              </w:rPr>
            </w:pPr>
            <w:r w:rsidRPr="00227BE0">
              <w:rPr>
                <w:noProof/>
                <w:sz w:val="20"/>
                <w:szCs w:val="20"/>
              </w:rPr>
              <w:t>&gt; 343</w:t>
            </w:r>
          </w:p>
        </w:tc>
        <w:tc>
          <w:tcPr>
            <w:tcW w:w="402" w:type="pct"/>
            <w:tcBorders>
              <w:top w:val="single" w:sz="4" w:space="0" w:color="auto"/>
              <w:left w:val="single" w:sz="4" w:space="0" w:color="auto"/>
              <w:bottom w:val="single" w:sz="4" w:space="0" w:color="auto"/>
              <w:right w:val="single" w:sz="4" w:space="0" w:color="auto"/>
            </w:tcBorders>
            <w:vAlign w:val="center"/>
          </w:tcPr>
          <w:p w14:paraId="15D71DA7" w14:textId="77777777" w:rsidR="00B67E21" w:rsidRPr="00B67E21" w:rsidRDefault="00B67E21" w:rsidP="00B67E21">
            <w:pPr>
              <w:keepNext/>
              <w:keepLines/>
              <w:widowControl w:val="0"/>
              <w:suppressAutoHyphens/>
              <w:jc w:val="center"/>
              <w:rPr>
                <w:b/>
                <w:strike/>
                <w:noProof/>
                <w:color w:val="D9D9D9" w:themeColor="background1" w:themeShade="D9"/>
                <w:sz w:val="20"/>
                <w:szCs w:val="20"/>
              </w:rPr>
            </w:pPr>
            <w:r w:rsidRPr="00B67E21">
              <w:rPr>
                <w:strike/>
                <w:noProof/>
                <w:color w:val="D9D9D9" w:themeColor="background1" w:themeShade="D9"/>
                <w:sz w:val="20"/>
                <w:lang w:val="de-DE" w:eastAsia="zh-CN"/>
              </w:rPr>
              <w:t>49.33</w:t>
            </w:r>
          </w:p>
        </w:tc>
        <w:tc>
          <w:tcPr>
            <w:tcW w:w="402" w:type="pct"/>
            <w:tcBorders>
              <w:top w:val="single" w:sz="4" w:space="0" w:color="auto"/>
              <w:left w:val="single" w:sz="4" w:space="0" w:color="auto"/>
              <w:bottom w:val="single" w:sz="4" w:space="0" w:color="auto"/>
              <w:right w:val="single" w:sz="4" w:space="0" w:color="auto"/>
            </w:tcBorders>
            <w:vAlign w:val="center"/>
            <w:hideMark/>
          </w:tcPr>
          <w:p w14:paraId="78995965" w14:textId="77777777" w:rsidR="00B67E21" w:rsidRPr="00227BE0" w:rsidRDefault="00B67E21" w:rsidP="00B67E21">
            <w:pPr>
              <w:keepNext/>
              <w:keepLines/>
              <w:widowControl w:val="0"/>
              <w:suppressAutoHyphens/>
              <w:rPr>
                <w:noProof/>
                <w:sz w:val="20"/>
                <w:szCs w:val="20"/>
              </w:rPr>
            </w:pPr>
            <w:r w:rsidRPr="00227BE0">
              <w:rPr>
                <w:b/>
                <w:noProof/>
                <w:sz w:val="20"/>
                <w:szCs w:val="20"/>
              </w:rPr>
              <w:t>RAC (µg/kg)</w:t>
            </w:r>
          </w:p>
        </w:tc>
        <w:tc>
          <w:tcPr>
            <w:tcW w:w="345" w:type="pct"/>
            <w:tcBorders>
              <w:top w:val="single" w:sz="4" w:space="0" w:color="auto"/>
              <w:left w:val="single" w:sz="4" w:space="0" w:color="auto"/>
              <w:bottom w:val="single" w:sz="4" w:space="0" w:color="auto"/>
              <w:right w:val="single" w:sz="4" w:space="0" w:color="auto"/>
            </w:tcBorders>
            <w:vAlign w:val="center"/>
            <w:hideMark/>
          </w:tcPr>
          <w:p w14:paraId="2E076DB4" w14:textId="77777777" w:rsidR="00B67E21" w:rsidRPr="00227BE0" w:rsidRDefault="00B67E21" w:rsidP="00B67E21">
            <w:pPr>
              <w:widowControl w:val="0"/>
              <w:suppressAutoHyphens/>
              <w:jc w:val="center"/>
              <w:rPr>
                <w:noProof/>
                <w:sz w:val="20"/>
                <w:szCs w:val="20"/>
              </w:rPr>
            </w:pPr>
            <w:r w:rsidRPr="00227BE0">
              <w:rPr>
                <w:noProof/>
                <w:sz w:val="20"/>
                <w:szCs w:val="20"/>
              </w:rPr>
              <w:t>7590</w:t>
            </w:r>
          </w:p>
        </w:tc>
      </w:tr>
      <w:tr w:rsidR="00B67E21" w:rsidRPr="00227BE0" w14:paraId="360F3F8B"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54AB5F6A" w14:textId="77777777" w:rsidR="00B67E21" w:rsidRPr="00227BE0" w:rsidRDefault="00B67E21" w:rsidP="00B67E21">
            <w:pPr>
              <w:widowControl w:val="0"/>
              <w:suppressAutoHyphens/>
              <w:rPr>
                <w:b/>
                <w:bCs/>
                <w:sz w:val="20"/>
                <w:szCs w:val="20"/>
              </w:rPr>
            </w:pPr>
            <w:r w:rsidRPr="00227BE0">
              <w:rPr>
                <w:b/>
                <w:sz w:val="20"/>
                <w:szCs w:val="20"/>
                <w:lang w:val="en-GB"/>
              </w:rPr>
              <w:t>FOCUS Scenario</w:t>
            </w:r>
          </w:p>
        </w:tc>
        <w:tc>
          <w:tcPr>
            <w:tcW w:w="273" w:type="pct"/>
            <w:tcBorders>
              <w:top w:val="single" w:sz="4" w:space="0" w:color="auto"/>
              <w:left w:val="single" w:sz="4" w:space="0" w:color="auto"/>
              <w:bottom w:val="single" w:sz="4" w:space="0" w:color="auto"/>
              <w:right w:val="single" w:sz="4" w:space="0" w:color="auto"/>
            </w:tcBorders>
            <w:vAlign w:val="center"/>
            <w:hideMark/>
          </w:tcPr>
          <w:p w14:paraId="4D784989" w14:textId="77777777" w:rsidR="00B67E21" w:rsidRPr="00227BE0" w:rsidRDefault="00B67E21" w:rsidP="00B67E21">
            <w:pPr>
              <w:widowControl w:val="0"/>
              <w:suppressAutoHyphens/>
              <w:rPr>
                <w:b/>
                <w:bCs/>
                <w:sz w:val="20"/>
                <w:szCs w:val="20"/>
              </w:rPr>
            </w:pPr>
            <w:r w:rsidRPr="00227BE0">
              <w:rPr>
                <w:b/>
                <w:bCs/>
                <w:sz w:val="20"/>
                <w:szCs w:val="20"/>
              </w:rPr>
              <w:t xml:space="preserve">PEC </w:t>
            </w:r>
            <w:r w:rsidRPr="00227BE0">
              <w:rPr>
                <w:b/>
                <w:bCs/>
                <w:sz w:val="20"/>
                <w:szCs w:val="20"/>
                <w:vertAlign w:val="subscript"/>
              </w:rPr>
              <w:t>gl-max</w:t>
            </w:r>
            <w:r w:rsidRPr="00227BE0">
              <w:rPr>
                <w:b/>
                <w:bCs/>
                <w:sz w:val="20"/>
                <w:szCs w:val="20"/>
              </w:rPr>
              <w:t xml:space="preserve"> (µg/L)</w:t>
            </w:r>
            <w:r w:rsidRPr="00227BE0">
              <w:rPr>
                <w:b/>
                <w:bCs/>
                <w:sz w:val="20"/>
                <w:szCs w:val="20"/>
                <w:vertAlign w:val="superscript"/>
              </w:rPr>
              <w:t>#</w:t>
            </w:r>
          </w:p>
        </w:tc>
        <w:tc>
          <w:tcPr>
            <w:tcW w:w="3522" w:type="pct"/>
            <w:gridSpan w:val="11"/>
            <w:tcBorders>
              <w:top w:val="single" w:sz="4" w:space="0" w:color="auto"/>
              <w:left w:val="single" w:sz="4" w:space="0" w:color="auto"/>
              <w:bottom w:val="single" w:sz="4" w:space="0" w:color="auto"/>
              <w:right w:val="single" w:sz="4" w:space="0" w:color="auto"/>
            </w:tcBorders>
          </w:tcPr>
          <w:p w14:paraId="1AA9F96B" w14:textId="4C1AAA09" w:rsidR="00B67E21" w:rsidRPr="00227BE0" w:rsidRDefault="00B67E21" w:rsidP="00B67E21">
            <w:pPr>
              <w:widowControl w:val="0"/>
              <w:suppressAutoHyphens/>
              <w:jc w:val="center"/>
              <w:rPr>
                <w:b/>
                <w:bCs/>
                <w:sz w:val="20"/>
                <w:szCs w:val="20"/>
              </w:rPr>
            </w:pPr>
            <w:r w:rsidRPr="00227BE0">
              <w:rPr>
                <w:b/>
                <w:bCs/>
                <w:noProof/>
                <w:sz w:val="20"/>
                <w:szCs w:val="20"/>
              </w:rPr>
              <w:t>PEC/RAC (= ETR)</w:t>
            </w:r>
          </w:p>
        </w:tc>
        <w:tc>
          <w:tcPr>
            <w:tcW w:w="402" w:type="pct"/>
            <w:tcBorders>
              <w:top w:val="single" w:sz="4" w:space="0" w:color="auto"/>
              <w:left w:val="single" w:sz="4" w:space="0" w:color="auto"/>
              <w:bottom w:val="single" w:sz="4" w:space="0" w:color="auto"/>
              <w:right w:val="single" w:sz="4" w:space="0" w:color="auto"/>
            </w:tcBorders>
            <w:vAlign w:val="center"/>
            <w:hideMark/>
          </w:tcPr>
          <w:p w14:paraId="05D23FE3" w14:textId="77777777" w:rsidR="00B67E21" w:rsidRPr="00227BE0" w:rsidRDefault="00B67E21" w:rsidP="00B67E21">
            <w:pPr>
              <w:widowControl w:val="0"/>
              <w:suppressAutoHyphens/>
              <w:rPr>
                <w:b/>
                <w:bCs/>
                <w:sz w:val="20"/>
                <w:szCs w:val="20"/>
              </w:rPr>
            </w:pPr>
            <w:r w:rsidRPr="00227BE0">
              <w:rPr>
                <w:b/>
                <w:bCs/>
                <w:sz w:val="20"/>
                <w:szCs w:val="20"/>
              </w:rPr>
              <w:t xml:space="preserve">PEC </w:t>
            </w:r>
            <w:r w:rsidRPr="00227BE0">
              <w:rPr>
                <w:b/>
                <w:bCs/>
                <w:sz w:val="20"/>
                <w:szCs w:val="20"/>
                <w:vertAlign w:val="subscript"/>
              </w:rPr>
              <w:t>gl-max</w:t>
            </w:r>
            <w:r w:rsidRPr="00227BE0">
              <w:rPr>
                <w:b/>
                <w:bCs/>
                <w:sz w:val="20"/>
                <w:szCs w:val="20"/>
              </w:rPr>
              <w:t xml:space="preserve"> (µg/kg)</w:t>
            </w:r>
          </w:p>
        </w:tc>
        <w:tc>
          <w:tcPr>
            <w:tcW w:w="345" w:type="pct"/>
            <w:tcBorders>
              <w:top w:val="single" w:sz="4" w:space="0" w:color="auto"/>
              <w:left w:val="single" w:sz="4" w:space="0" w:color="auto"/>
              <w:bottom w:val="single" w:sz="4" w:space="0" w:color="auto"/>
              <w:right w:val="single" w:sz="4" w:space="0" w:color="auto"/>
            </w:tcBorders>
            <w:vAlign w:val="center"/>
            <w:hideMark/>
          </w:tcPr>
          <w:p w14:paraId="6DE99BEA" w14:textId="77777777" w:rsidR="00B67E21" w:rsidRPr="00227BE0" w:rsidRDefault="00B67E21" w:rsidP="00B67E21">
            <w:pPr>
              <w:widowControl w:val="0"/>
              <w:suppressAutoHyphens/>
              <w:jc w:val="center"/>
              <w:rPr>
                <w:noProof/>
                <w:sz w:val="20"/>
                <w:szCs w:val="20"/>
              </w:rPr>
            </w:pPr>
            <w:r w:rsidRPr="00227BE0">
              <w:rPr>
                <w:b/>
                <w:bCs/>
                <w:noProof/>
                <w:sz w:val="20"/>
                <w:szCs w:val="20"/>
              </w:rPr>
              <w:t>PEC/RAC (= ETR)</w:t>
            </w:r>
          </w:p>
        </w:tc>
      </w:tr>
      <w:tr w:rsidR="00B67E21" w:rsidRPr="00227BE0" w14:paraId="61CA27C4" w14:textId="77777777" w:rsidTr="00B67E21">
        <w:trPr>
          <w:cantSplit/>
        </w:trPr>
        <w:tc>
          <w:tcPr>
            <w:tcW w:w="459" w:type="pct"/>
            <w:tcBorders>
              <w:top w:val="single" w:sz="4" w:space="0" w:color="auto"/>
              <w:left w:val="single" w:sz="4" w:space="0" w:color="auto"/>
              <w:bottom w:val="single" w:sz="4" w:space="0" w:color="auto"/>
              <w:right w:val="nil"/>
            </w:tcBorders>
            <w:vAlign w:val="center"/>
          </w:tcPr>
          <w:p w14:paraId="020581C1" w14:textId="77777777" w:rsidR="00B67E21" w:rsidRPr="00227BE0" w:rsidRDefault="00B67E21" w:rsidP="00B67E21">
            <w:pPr>
              <w:widowControl w:val="0"/>
              <w:suppressAutoHyphens/>
              <w:rPr>
                <w:b/>
                <w:sz w:val="20"/>
                <w:szCs w:val="20"/>
                <w:lang w:val="en-GB"/>
              </w:rPr>
            </w:pPr>
            <w:r w:rsidRPr="00227BE0">
              <w:rPr>
                <w:b/>
                <w:sz w:val="20"/>
                <w:szCs w:val="20"/>
                <w:lang w:val="en-GB"/>
              </w:rPr>
              <w:t>Step 1</w:t>
            </w:r>
          </w:p>
        </w:tc>
        <w:tc>
          <w:tcPr>
            <w:tcW w:w="273" w:type="pct"/>
            <w:tcBorders>
              <w:top w:val="single" w:sz="4" w:space="0" w:color="auto"/>
              <w:left w:val="nil"/>
              <w:bottom w:val="single" w:sz="4" w:space="0" w:color="auto"/>
              <w:right w:val="nil"/>
            </w:tcBorders>
            <w:vAlign w:val="center"/>
          </w:tcPr>
          <w:p w14:paraId="284F7CD1" w14:textId="77777777" w:rsidR="00B67E21" w:rsidRPr="00227BE0" w:rsidRDefault="00B67E21" w:rsidP="00B67E21">
            <w:pPr>
              <w:widowControl w:val="0"/>
              <w:suppressAutoHyphens/>
              <w:rPr>
                <w:b/>
                <w:bCs/>
                <w:sz w:val="20"/>
                <w:szCs w:val="20"/>
              </w:rPr>
            </w:pPr>
          </w:p>
        </w:tc>
        <w:tc>
          <w:tcPr>
            <w:tcW w:w="313" w:type="pct"/>
            <w:gridSpan w:val="2"/>
            <w:tcBorders>
              <w:top w:val="single" w:sz="4" w:space="0" w:color="auto"/>
              <w:left w:val="nil"/>
              <w:bottom w:val="single" w:sz="4" w:space="0" w:color="auto"/>
              <w:right w:val="nil"/>
            </w:tcBorders>
          </w:tcPr>
          <w:p w14:paraId="5DDDBB04" w14:textId="77777777" w:rsidR="00B67E21" w:rsidRPr="00227BE0" w:rsidRDefault="00B67E21" w:rsidP="00B67E21">
            <w:pPr>
              <w:keepNext/>
              <w:keepLines/>
              <w:widowControl w:val="0"/>
              <w:suppressAutoHyphens/>
              <w:jc w:val="center"/>
              <w:rPr>
                <w:b/>
                <w:bCs/>
                <w:noProof/>
                <w:sz w:val="20"/>
                <w:szCs w:val="20"/>
              </w:rPr>
            </w:pPr>
          </w:p>
        </w:tc>
        <w:tc>
          <w:tcPr>
            <w:tcW w:w="2807" w:type="pct"/>
            <w:gridSpan w:val="8"/>
            <w:tcBorders>
              <w:top w:val="single" w:sz="4" w:space="0" w:color="auto"/>
              <w:left w:val="nil"/>
              <w:bottom w:val="single" w:sz="4" w:space="0" w:color="auto"/>
              <w:right w:val="nil"/>
            </w:tcBorders>
            <w:vAlign w:val="center"/>
          </w:tcPr>
          <w:p w14:paraId="0C741E25" w14:textId="65328323" w:rsidR="00B67E21" w:rsidRPr="00227BE0" w:rsidRDefault="00B67E21" w:rsidP="00B67E21">
            <w:pPr>
              <w:keepNext/>
              <w:keepLines/>
              <w:widowControl w:val="0"/>
              <w:suppressAutoHyphens/>
              <w:jc w:val="center"/>
              <w:rPr>
                <w:b/>
                <w:bCs/>
                <w:noProof/>
                <w:sz w:val="20"/>
                <w:szCs w:val="20"/>
              </w:rPr>
            </w:pPr>
          </w:p>
        </w:tc>
        <w:tc>
          <w:tcPr>
            <w:tcW w:w="402" w:type="pct"/>
            <w:tcBorders>
              <w:top w:val="single" w:sz="4" w:space="0" w:color="auto"/>
              <w:left w:val="nil"/>
              <w:bottom w:val="single" w:sz="4" w:space="0" w:color="auto"/>
              <w:right w:val="nil"/>
            </w:tcBorders>
            <w:vAlign w:val="center"/>
          </w:tcPr>
          <w:p w14:paraId="5DB52F1B" w14:textId="77777777" w:rsidR="00B67E21" w:rsidRPr="00227BE0" w:rsidRDefault="00B67E21" w:rsidP="00B67E21">
            <w:pPr>
              <w:widowControl w:val="0"/>
              <w:suppressAutoHyphens/>
              <w:jc w:val="center"/>
              <w:rPr>
                <w:b/>
                <w:bCs/>
                <w:sz w:val="20"/>
                <w:szCs w:val="20"/>
              </w:rPr>
            </w:pPr>
          </w:p>
        </w:tc>
        <w:tc>
          <w:tcPr>
            <w:tcW w:w="402" w:type="pct"/>
            <w:tcBorders>
              <w:top w:val="single" w:sz="4" w:space="0" w:color="auto"/>
              <w:left w:val="nil"/>
              <w:bottom w:val="single" w:sz="4" w:space="0" w:color="auto"/>
              <w:right w:val="nil"/>
            </w:tcBorders>
            <w:vAlign w:val="center"/>
          </w:tcPr>
          <w:p w14:paraId="0ADD0B75" w14:textId="77777777" w:rsidR="00B67E21" w:rsidRPr="00227BE0" w:rsidRDefault="00B67E21" w:rsidP="00B67E21">
            <w:pPr>
              <w:widowControl w:val="0"/>
              <w:suppressAutoHyphens/>
              <w:rPr>
                <w:b/>
                <w:bCs/>
                <w:sz w:val="20"/>
                <w:szCs w:val="20"/>
              </w:rPr>
            </w:pPr>
          </w:p>
        </w:tc>
        <w:tc>
          <w:tcPr>
            <w:tcW w:w="345" w:type="pct"/>
            <w:tcBorders>
              <w:top w:val="single" w:sz="4" w:space="0" w:color="auto"/>
              <w:left w:val="nil"/>
              <w:bottom w:val="single" w:sz="4" w:space="0" w:color="auto"/>
              <w:right w:val="single" w:sz="4" w:space="0" w:color="auto"/>
            </w:tcBorders>
            <w:vAlign w:val="center"/>
          </w:tcPr>
          <w:p w14:paraId="5D0D4984" w14:textId="77777777" w:rsidR="00B67E21" w:rsidRPr="00227BE0" w:rsidRDefault="00B67E21" w:rsidP="00B67E21">
            <w:pPr>
              <w:widowControl w:val="0"/>
              <w:suppressAutoHyphens/>
              <w:jc w:val="center"/>
              <w:rPr>
                <w:b/>
                <w:bCs/>
                <w:noProof/>
                <w:sz w:val="20"/>
                <w:szCs w:val="20"/>
              </w:rPr>
            </w:pPr>
          </w:p>
        </w:tc>
      </w:tr>
      <w:tr w:rsidR="00B67E21" w:rsidRPr="00227BE0" w14:paraId="4FE6BB6E"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236469BD" w14:textId="77777777" w:rsidR="00B67E21" w:rsidRPr="00227BE0" w:rsidRDefault="00B67E21" w:rsidP="00B67E21">
            <w:pPr>
              <w:widowControl w:val="0"/>
              <w:suppressAutoHyphens/>
              <w:rPr>
                <w:noProof/>
                <w:sz w:val="20"/>
                <w:szCs w:val="20"/>
              </w:rPr>
            </w:pPr>
          </w:p>
        </w:tc>
        <w:tc>
          <w:tcPr>
            <w:tcW w:w="273" w:type="pct"/>
            <w:tcBorders>
              <w:top w:val="single" w:sz="4" w:space="0" w:color="auto"/>
              <w:left w:val="single" w:sz="4" w:space="0" w:color="auto"/>
              <w:bottom w:val="single" w:sz="4" w:space="0" w:color="auto"/>
              <w:right w:val="single" w:sz="4" w:space="0" w:color="auto"/>
            </w:tcBorders>
            <w:vAlign w:val="center"/>
            <w:hideMark/>
          </w:tcPr>
          <w:p w14:paraId="5E3941D6" w14:textId="77777777" w:rsidR="00B67E21" w:rsidRPr="00227BE0" w:rsidRDefault="00B67E21" w:rsidP="00B67E21">
            <w:pPr>
              <w:widowControl w:val="0"/>
              <w:suppressAutoHyphens/>
              <w:rPr>
                <w:noProof/>
                <w:sz w:val="20"/>
                <w:szCs w:val="20"/>
              </w:rPr>
            </w:pPr>
            <w:r w:rsidRPr="00227BE0">
              <w:rPr>
                <w:noProof/>
                <w:sz w:val="20"/>
                <w:szCs w:val="20"/>
              </w:rPr>
              <w:t>36.780</w:t>
            </w:r>
          </w:p>
        </w:tc>
        <w:tc>
          <w:tcPr>
            <w:tcW w:w="282" w:type="pct"/>
            <w:tcBorders>
              <w:top w:val="single" w:sz="4" w:space="0" w:color="auto"/>
              <w:left w:val="single" w:sz="4" w:space="0" w:color="auto"/>
              <w:bottom w:val="single" w:sz="4" w:space="0" w:color="auto"/>
              <w:right w:val="single" w:sz="4" w:space="0" w:color="auto"/>
            </w:tcBorders>
            <w:vAlign w:val="center"/>
          </w:tcPr>
          <w:p w14:paraId="559FA833" w14:textId="77777777" w:rsidR="00B67E21" w:rsidRPr="00227BE0" w:rsidRDefault="00B67E21" w:rsidP="00B67E21">
            <w:pPr>
              <w:widowControl w:val="0"/>
              <w:suppressAutoHyphens/>
              <w:jc w:val="center"/>
              <w:rPr>
                <w:b/>
                <w:noProof/>
                <w:sz w:val="20"/>
                <w:szCs w:val="20"/>
              </w:rPr>
            </w:pPr>
            <w:r w:rsidRPr="00227BE0">
              <w:rPr>
                <w:b/>
                <w:color w:val="000000"/>
                <w:sz w:val="20"/>
                <w:szCs w:val="20"/>
              </w:rPr>
              <w:t>13</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D37B15" w14:textId="0F15233D" w:rsidR="00B67E21" w:rsidRPr="00227BE0" w:rsidRDefault="00B67E21" w:rsidP="00B67E21">
            <w:pPr>
              <w:widowControl w:val="0"/>
              <w:suppressAutoHyphens/>
              <w:jc w:val="center"/>
              <w:rPr>
                <w:b/>
                <w:color w:val="000000"/>
                <w:sz w:val="20"/>
                <w:szCs w:val="20"/>
              </w:rPr>
            </w:pPr>
            <w:r>
              <w:rPr>
                <w:b/>
                <w:color w:val="000000"/>
                <w:sz w:val="20"/>
                <w:szCs w:val="20"/>
              </w:rPr>
              <w:t>10.2</w:t>
            </w:r>
          </w:p>
        </w:tc>
        <w:tc>
          <w:tcPr>
            <w:tcW w:w="337" w:type="pct"/>
            <w:tcBorders>
              <w:top w:val="single" w:sz="4" w:space="0" w:color="auto"/>
              <w:left w:val="single" w:sz="4" w:space="0" w:color="auto"/>
              <w:bottom w:val="single" w:sz="4" w:space="0" w:color="auto"/>
              <w:right w:val="single" w:sz="4" w:space="0" w:color="auto"/>
            </w:tcBorders>
            <w:vAlign w:val="center"/>
          </w:tcPr>
          <w:p w14:paraId="69049739" w14:textId="2F4E8866" w:rsidR="00B67E21" w:rsidRPr="00B67E21" w:rsidRDefault="00B67E21" w:rsidP="00B67E21">
            <w:pPr>
              <w:widowControl w:val="0"/>
              <w:suppressAutoHyphens/>
              <w:jc w:val="center"/>
              <w:rPr>
                <w:b/>
                <w:strike/>
                <w:noProof/>
                <w:color w:val="D9D9D9" w:themeColor="background1" w:themeShade="D9"/>
                <w:sz w:val="20"/>
                <w:szCs w:val="20"/>
              </w:rPr>
            </w:pPr>
            <w:r w:rsidRPr="00B67E21">
              <w:rPr>
                <w:b/>
                <w:strike/>
                <w:color w:val="D9D9D9" w:themeColor="background1" w:themeShade="D9"/>
                <w:sz w:val="20"/>
                <w:szCs w:val="20"/>
              </w:rPr>
              <w:t>5.4</w:t>
            </w:r>
          </w:p>
        </w:tc>
        <w:tc>
          <w:tcPr>
            <w:tcW w:w="319" w:type="pct"/>
            <w:tcBorders>
              <w:top w:val="single" w:sz="4" w:space="0" w:color="auto"/>
              <w:left w:val="single" w:sz="4" w:space="0" w:color="auto"/>
              <w:bottom w:val="single" w:sz="4" w:space="0" w:color="auto"/>
              <w:right w:val="single" w:sz="4" w:space="0" w:color="auto"/>
            </w:tcBorders>
            <w:vAlign w:val="center"/>
          </w:tcPr>
          <w:p w14:paraId="702A58B8" w14:textId="77777777" w:rsidR="00B67E21" w:rsidRPr="00227BE0" w:rsidRDefault="00B67E21" w:rsidP="00B67E21">
            <w:pPr>
              <w:widowControl w:val="0"/>
              <w:suppressAutoHyphens/>
              <w:jc w:val="center"/>
              <w:rPr>
                <w:noProof/>
                <w:sz w:val="20"/>
                <w:szCs w:val="20"/>
              </w:rPr>
            </w:pPr>
            <w:r w:rsidRPr="00227BE0">
              <w:rPr>
                <w:color w:val="000000"/>
                <w:sz w:val="20"/>
                <w:szCs w:val="20"/>
              </w:rPr>
              <w:t>0.5</w:t>
            </w:r>
          </w:p>
        </w:tc>
        <w:tc>
          <w:tcPr>
            <w:tcW w:w="383" w:type="pct"/>
            <w:tcBorders>
              <w:top w:val="single" w:sz="4" w:space="0" w:color="auto"/>
              <w:left w:val="single" w:sz="4" w:space="0" w:color="auto"/>
              <w:bottom w:val="single" w:sz="4" w:space="0" w:color="auto"/>
              <w:right w:val="single" w:sz="4" w:space="0" w:color="auto"/>
            </w:tcBorders>
            <w:vAlign w:val="center"/>
          </w:tcPr>
          <w:p w14:paraId="239A8414" w14:textId="77777777" w:rsidR="00B67E21" w:rsidRPr="00227BE0" w:rsidRDefault="00B67E21" w:rsidP="00B67E21">
            <w:pPr>
              <w:widowControl w:val="0"/>
              <w:suppressAutoHyphens/>
              <w:jc w:val="center"/>
              <w:rPr>
                <w:b/>
                <w:noProof/>
                <w:sz w:val="20"/>
                <w:szCs w:val="20"/>
              </w:rPr>
            </w:pPr>
            <w:r w:rsidRPr="00227BE0">
              <w:rPr>
                <w:color w:val="000000"/>
                <w:sz w:val="20"/>
                <w:szCs w:val="20"/>
              </w:rPr>
              <w:t>0.6</w:t>
            </w:r>
          </w:p>
        </w:tc>
        <w:tc>
          <w:tcPr>
            <w:tcW w:w="399" w:type="pct"/>
            <w:tcBorders>
              <w:top w:val="single" w:sz="4" w:space="0" w:color="auto"/>
              <w:left w:val="single" w:sz="4" w:space="0" w:color="auto"/>
              <w:bottom w:val="single" w:sz="4" w:space="0" w:color="auto"/>
              <w:right w:val="single" w:sz="4" w:space="0" w:color="auto"/>
            </w:tcBorders>
            <w:vAlign w:val="center"/>
          </w:tcPr>
          <w:p w14:paraId="79C9C935" w14:textId="6C02B730" w:rsidR="00B67E21" w:rsidRPr="00227BE0" w:rsidRDefault="00B67E21" w:rsidP="00B67E21">
            <w:pPr>
              <w:widowControl w:val="0"/>
              <w:suppressAutoHyphens/>
              <w:jc w:val="center"/>
              <w:rPr>
                <w:b/>
                <w:noProof/>
                <w:sz w:val="20"/>
                <w:szCs w:val="20"/>
              </w:rPr>
            </w:pPr>
            <w:r w:rsidRPr="00113139">
              <w:rPr>
                <w:b/>
                <w:strike/>
                <w:color w:val="D9D9D9" w:themeColor="background1" w:themeShade="D9"/>
                <w:sz w:val="20"/>
                <w:szCs w:val="20"/>
              </w:rPr>
              <w:t>&lt; 1.7</w:t>
            </w:r>
            <w:r w:rsidRPr="00113139">
              <w:rPr>
                <w:b/>
                <w:color w:val="D9D9D9" w:themeColor="background1" w:themeShade="D9"/>
                <w:sz w:val="20"/>
                <w:szCs w:val="20"/>
              </w:rPr>
              <w:t xml:space="preserve"> </w:t>
            </w:r>
            <w:r w:rsidRPr="00113139">
              <w:rPr>
                <w:b/>
                <w:color w:val="000000"/>
                <w:sz w:val="20"/>
                <w:szCs w:val="20"/>
                <w:shd w:val="clear" w:color="auto" w:fill="D9D9D9" w:themeFill="background1" w:themeFillShade="D9"/>
              </w:rPr>
              <w:t>3.3</w:t>
            </w:r>
          </w:p>
        </w:tc>
        <w:tc>
          <w:tcPr>
            <w:tcW w:w="337" w:type="pct"/>
            <w:tcBorders>
              <w:top w:val="single" w:sz="4" w:space="0" w:color="auto"/>
              <w:left w:val="single" w:sz="4" w:space="0" w:color="auto"/>
              <w:bottom w:val="single" w:sz="4" w:space="0" w:color="auto"/>
              <w:right w:val="single" w:sz="4" w:space="0" w:color="auto"/>
            </w:tcBorders>
            <w:vAlign w:val="center"/>
          </w:tcPr>
          <w:p w14:paraId="4D38DD34" w14:textId="77777777" w:rsidR="00B67E21" w:rsidRPr="00227BE0" w:rsidRDefault="00B67E21" w:rsidP="00B67E21">
            <w:pPr>
              <w:widowControl w:val="0"/>
              <w:suppressAutoHyphens/>
              <w:jc w:val="center"/>
              <w:rPr>
                <w:noProof/>
                <w:sz w:val="20"/>
                <w:szCs w:val="20"/>
              </w:rPr>
            </w:pPr>
            <w:r w:rsidRPr="00227BE0">
              <w:rPr>
                <w:color w:val="000000"/>
                <w:sz w:val="20"/>
                <w:szCs w:val="20"/>
              </w:rPr>
              <w:t>0.7</w:t>
            </w:r>
          </w:p>
        </w:tc>
        <w:tc>
          <w:tcPr>
            <w:tcW w:w="402" w:type="pct"/>
            <w:tcBorders>
              <w:top w:val="single" w:sz="4" w:space="0" w:color="auto"/>
              <w:left w:val="single" w:sz="4" w:space="0" w:color="auto"/>
              <w:bottom w:val="single" w:sz="4" w:space="0" w:color="auto"/>
              <w:right w:val="single" w:sz="4" w:space="0" w:color="auto"/>
            </w:tcBorders>
            <w:vAlign w:val="center"/>
          </w:tcPr>
          <w:p w14:paraId="198B03E9" w14:textId="77777777" w:rsidR="00B67E21" w:rsidRPr="00227BE0" w:rsidRDefault="00B67E21" w:rsidP="00B67E21">
            <w:pPr>
              <w:widowControl w:val="0"/>
              <w:suppressAutoHyphens/>
              <w:jc w:val="center"/>
              <w:rPr>
                <w:noProof/>
                <w:sz w:val="20"/>
                <w:szCs w:val="20"/>
              </w:rPr>
            </w:pPr>
            <w:r w:rsidRPr="00227BE0">
              <w:rPr>
                <w:color w:val="000000"/>
                <w:sz w:val="20"/>
                <w:szCs w:val="20"/>
              </w:rPr>
              <w:t>0.5</w:t>
            </w:r>
          </w:p>
        </w:tc>
        <w:tc>
          <w:tcPr>
            <w:tcW w:w="325" w:type="pct"/>
            <w:tcBorders>
              <w:top w:val="single" w:sz="4" w:space="0" w:color="auto"/>
              <w:left w:val="single" w:sz="4" w:space="0" w:color="auto"/>
              <w:bottom w:val="single" w:sz="4" w:space="0" w:color="auto"/>
              <w:right w:val="single" w:sz="4" w:space="0" w:color="auto"/>
            </w:tcBorders>
            <w:vAlign w:val="center"/>
          </w:tcPr>
          <w:p w14:paraId="0521CA54" w14:textId="77777777" w:rsidR="00B67E21" w:rsidRPr="00227BE0" w:rsidRDefault="00B67E21" w:rsidP="00B67E21">
            <w:pPr>
              <w:widowControl w:val="0"/>
              <w:suppressAutoHyphens/>
              <w:jc w:val="center"/>
              <w:rPr>
                <w:noProof/>
                <w:sz w:val="20"/>
                <w:szCs w:val="20"/>
              </w:rPr>
            </w:pPr>
            <w:r w:rsidRPr="00227BE0">
              <w:rPr>
                <w:color w:val="000000"/>
                <w:sz w:val="20"/>
                <w:szCs w:val="20"/>
              </w:rPr>
              <w:t>&lt; 0.1</w:t>
            </w:r>
          </w:p>
        </w:tc>
        <w:tc>
          <w:tcPr>
            <w:tcW w:w="402" w:type="pct"/>
            <w:tcBorders>
              <w:top w:val="single" w:sz="4" w:space="0" w:color="auto"/>
              <w:left w:val="single" w:sz="4" w:space="0" w:color="auto"/>
              <w:bottom w:val="single" w:sz="4" w:space="0" w:color="auto"/>
              <w:right w:val="single" w:sz="4" w:space="0" w:color="auto"/>
            </w:tcBorders>
            <w:vAlign w:val="center"/>
          </w:tcPr>
          <w:p w14:paraId="7C5BB355" w14:textId="77777777" w:rsidR="00B67E21" w:rsidRPr="00B67E21" w:rsidRDefault="00B67E21" w:rsidP="00B67E21">
            <w:pPr>
              <w:suppressAutoHyphens/>
              <w:jc w:val="center"/>
              <w:rPr>
                <w:strike/>
                <w:color w:val="D9D9D9" w:themeColor="background1" w:themeShade="D9"/>
                <w:sz w:val="20"/>
                <w:szCs w:val="20"/>
                <w:lang w:eastAsia="en-US"/>
              </w:rPr>
            </w:pPr>
            <w:r w:rsidRPr="00B67E21">
              <w:rPr>
                <w:strike/>
                <w:color w:val="D9D9D9" w:themeColor="background1" w:themeShade="D9"/>
                <w:sz w:val="20"/>
                <w:szCs w:val="20"/>
                <w:lang w:eastAsia="en-US"/>
              </w:rPr>
              <w:t>0.7</w:t>
            </w:r>
          </w:p>
        </w:tc>
        <w:tc>
          <w:tcPr>
            <w:tcW w:w="402" w:type="pct"/>
            <w:tcBorders>
              <w:top w:val="single" w:sz="4" w:space="0" w:color="auto"/>
              <w:left w:val="single" w:sz="4" w:space="0" w:color="auto"/>
              <w:bottom w:val="single" w:sz="4" w:space="0" w:color="auto"/>
              <w:right w:val="single" w:sz="4" w:space="0" w:color="auto"/>
            </w:tcBorders>
            <w:vAlign w:val="center"/>
          </w:tcPr>
          <w:p w14:paraId="64FBB445" w14:textId="77777777" w:rsidR="00B67E21" w:rsidRPr="00227BE0" w:rsidRDefault="00B67E21" w:rsidP="00B67E21">
            <w:pPr>
              <w:suppressAutoHyphens/>
              <w:rPr>
                <w:sz w:val="20"/>
                <w:szCs w:val="20"/>
                <w:lang w:eastAsia="en-US"/>
              </w:rPr>
            </w:pPr>
            <w:r w:rsidRPr="00227BE0">
              <w:rPr>
                <w:sz w:val="20"/>
                <w:szCs w:val="20"/>
                <w:lang w:eastAsia="en-US"/>
              </w:rPr>
              <w:t>244.341</w:t>
            </w:r>
          </w:p>
        </w:tc>
        <w:tc>
          <w:tcPr>
            <w:tcW w:w="345" w:type="pct"/>
            <w:tcBorders>
              <w:top w:val="single" w:sz="4" w:space="0" w:color="auto"/>
              <w:left w:val="single" w:sz="4" w:space="0" w:color="auto"/>
              <w:bottom w:val="single" w:sz="4" w:space="0" w:color="auto"/>
              <w:right w:val="single" w:sz="4" w:space="0" w:color="auto"/>
            </w:tcBorders>
            <w:vAlign w:val="center"/>
          </w:tcPr>
          <w:p w14:paraId="273FA697" w14:textId="77777777" w:rsidR="00B67E21" w:rsidRPr="00227BE0" w:rsidRDefault="00B67E21" w:rsidP="00B67E21">
            <w:pPr>
              <w:jc w:val="center"/>
              <w:rPr>
                <w:color w:val="000000"/>
                <w:sz w:val="20"/>
                <w:szCs w:val="20"/>
              </w:rPr>
            </w:pPr>
            <w:r w:rsidRPr="00227BE0">
              <w:rPr>
                <w:color w:val="000000"/>
                <w:sz w:val="20"/>
                <w:szCs w:val="20"/>
              </w:rPr>
              <w:t>0.03</w:t>
            </w:r>
          </w:p>
        </w:tc>
      </w:tr>
      <w:tr w:rsidR="00B67E21" w:rsidRPr="00227BE0" w14:paraId="184352D3" w14:textId="77777777" w:rsidTr="00B67E21">
        <w:trPr>
          <w:cantSplit/>
        </w:trPr>
        <w:tc>
          <w:tcPr>
            <w:tcW w:w="459" w:type="pct"/>
            <w:tcBorders>
              <w:top w:val="single" w:sz="4" w:space="0" w:color="auto"/>
              <w:left w:val="single" w:sz="4" w:space="0" w:color="auto"/>
              <w:bottom w:val="single" w:sz="4" w:space="0" w:color="auto"/>
              <w:right w:val="nil"/>
            </w:tcBorders>
            <w:vAlign w:val="center"/>
          </w:tcPr>
          <w:p w14:paraId="61B15D3A" w14:textId="77777777" w:rsidR="00B67E21" w:rsidRPr="00227BE0" w:rsidRDefault="00B67E21" w:rsidP="00B67E21">
            <w:pPr>
              <w:widowControl w:val="0"/>
              <w:suppressAutoHyphens/>
              <w:rPr>
                <w:b/>
                <w:sz w:val="20"/>
                <w:szCs w:val="20"/>
                <w:lang w:val="en-GB"/>
              </w:rPr>
            </w:pPr>
            <w:r w:rsidRPr="00227BE0">
              <w:rPr>
                <w:b/>
                <w:sz w:val="20"/>
                <w:szCs w:val="20"/>
                <w:lang w:val="en-GB"/>
              </w:rPr>
              <w:t>Step 2</w:t>
            </w:r>
          </w:p>
        </w:tc>
        <w:tc>
          <w:tcPr>
            <w:tcW w:w="273" w:type="pct"/>
            <w:tcBorders>
              <w:top w:val="single" w:sz="4" w:space="0" w:color="auto"/>
              <w:left w:val="nil"/>
              <w:bottom w:val="single" w:sz="4" w:space="0" w:color="auto"/>
              <w:right w:val="nil"/>
            </w:tcBorders>
            <w:vAlign w:val="center"/>
          </w:tcPr>
          <w:p w14:paraId="6C5253FB" w14:textId="77777777" w:rsidR="00B67E21" w:rsidRPr="00227BE0" w:rsidRDefault="00B67E21" w:rsidP="00B67E21">
            <w:pPr>
              <w:widowControl w:val="0"/>
              <w:suppressAutoHyphens/>
              <w:rPr>
                <w:b/>
                <w:bCs/>
                <w:sz w:val="20"/>
                <w:szCs w:val="20"/>
              </w:rPr>
            </w:pPr>
          </w:p>
        </w:tc>
        <w:tc>
          <w:tcPr>
            <w:tcW w:w="313" w:type="pct"/>
            <w:gridSpan w:val="2"/>
            <w:tcBorders>
              <w:top w:val="single" w:sz="4" w:space="0" w:color="auto"/>
              <w:left w:val="nil"/>
              <w:bottom w:val="single" w:sz="4" w:space="0" w:color="auto"/>
              <w:right w:val="nil"/>
            </w:tcBorders>
          </w:tcPr>
          <w:p w14:paraId="3ABFBDB0" w14:textId="77777777" w:rsidR="00B67E21" w:rsidRPr="00227BE0" w:rsidRDefault="00B67E21" w:rsidP="00B67E21">
            <w:pPr>
              <w:keepNext/>
              <w:keepLines/>
              <w:widowControl w:val="0"/>
              <w:suppressAutoHyphens/>
              <w:jc w:val="center"/>
              <w:rPr>
                <w:b/>
                <w:bCs/>
                <w:noProof/>
                <w:sz w:val="20"/>
                <w:szCs w:val="20"/>
              </w:rPr>
            </w:pPr>
          </w:p>
        </w:tc>
        <w:tc>
          <w:tcPr>
            <w:tcW w:w="2807" w:type="pct"/>
            <w:gridSpan w:val="8"/>
            <w:tcBorders>
              <w:top w:val="single" w:sz="4" w:space="0" w:color="auto"/>
              <w:left w:val="nil"/>
              <w:bottom w:val="single" w:sz="4" w:space="0" w:color="auto"/>
              <w:right w:val="nil"/>
            </w:tcBorders>
            <w:vAlign w:val="center"/>
          </w:tcPr>
          <w:p w14:paraId="2D6CC330" w14:textId="57AD9F29" w:rsidR="00B67E21" w:rsidRPr="00227BE0" w:rsidRDefault="00B67E21" w:rsidP="00B67E21">
            <w:pPr>
              <w:keepNext/>
              <w:keepLines/>
              <w:widowControl w:val="0"/>
              <w:suppressAutoHyphens/>
              <w:jc w:val="center"/>
              <w:rPr>
                <w:b/>
                <w:bCs/>
                <w:noProof/>
                <w:sz w:val="20"/>
                <w:szCs w:val="20"/>
              </w:rPr>
            </w:pPr>
          </w:p>
        </w:tc>
        <w:tc>
          <w:tcPr>
            <w:tcW w:w="402" w:type="pct"/>
            <w:tcBorders>
              <w:top w:val="single" w:sz="4" w:space="0" w:color="auto"/>
              <w:left w:val="nil"/>
              <w:bottom w:val="single" w:sz="4" w:space="0" w:color="auto"/>
              <w:right w:val="nil"/>
            </w:tcBorders>
            <w:vAlign w:val="center"/>
          </w:tcPr>
          <w:p w14:paraId="4088DDC8" w14:textId="77777777" w:rsidR="00B67E21" w:rsidRPr="00227BE0" w:rsidRDefault="00B67E21" w:rsidP="00B67E21">
            <w:pPr>
              <w:widowControl w:val="0"/>
              <w:suppressAutoHyphens/>
              <w:jc w:val="center"/>
              <w:rPr>
                <w:b/>
                <w:bCs/>
                <w:sz w:val="20"/>
                <w:szCs w:val="20"/>
              </w:rPr>
            </w:pPr>
          </w:p>
        </w:tc>
        <w:tc>
          <w:tcPr>
            <w:tcW w:w="402" w:type="pct"/>
            <w:tcBorders>
              <w:top w:val="single" w:sz="4" w:space="0" w:color="auto"/>
              <w:left w:val="nil"/>
              <w:bottom w:val="single" w:sz="4" w:space="0" w:color="auto"/>
              <w:right w:val="nil"/>
            </w:tcBorders>
            <w:vAlign w:val="bottom"/>
          </w:tcPr>
          <w:p w14:paraId="5DB11739" w14:textId="77777777" w:rsidR="00B67E21" w:rsidRPr="00227BE0" w:rsidRDefault="00B67E21" w:rsidP="00B67E21">
            <w:pPr>
              <w:widowControl w:val="0"/>
              <w:suppressAutoHyphens/>
              <w:rPr>
                <w:b/>
                <w:bCs/>
                <w:sz w:val="20"/>
                <w:szCs w:val="20"/>
              </w:rPr>
            </w:pPr>
          </w:p>
        </w:tc>
        <w:tc>
          <w:tcPr>
            <w:tcW w:w="345" w:type="pct"/>
            <w:tcBorders>
              <w:top w:val="single" w:sz="4" w:space="0" w:color="auto"/>
              <w:left w:val="nil"/>
              <w:bottom w:val="single" w:sz="4" w:space="0" w:color="auto"/>
              <w:right w:val="single" w:sz="4" w:space="0" w:color="auto"/>
            </w:tcBorders>
            <w:vAlign w:val="center"/>
          </w:tcPr>
          <w:p w14:paraId="6DD4D02D" w14:textId="77777777" w:rsidR="00B67E21" w:rsidRPr="00227BE0" w:rsidRDefault="00B67E21" w:rsidP="00B67E21">
            <w:pPr>
              <w:widowControl w:val="0"/>
              <w:suppressAutoHyphens/>
              <w:jc w:val="center"/>
              <w:rPr>
                <w:b/>
                <w:bCs/>
                <w:noProof/>
                <w:sz w:val="20"/>
                <w:szCs w:val="20"/>
              </w:rPr>
            </w:pPr>
          </w:p>
        </w:tc>
      </w:tr>
      <w:tr w:rsidR="00B67E21" w:rsidRPr="00227BE0" w14:paraId="314BC470" w14:textId="77777777" w:rsidTr="000545AA">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69CD2185" w14:textId="77777777" w:rsidR="00B67E21" w:rsidRPr="00227BE0" w:rsidRDefault="00B67E21" w:rsidP="00B67E21">
            <w:pPr>
              <w:widowControl w:val="0"/>
              <w:suppressAutoHyphens/>
              <w:rPr>
                <w:noProof/>
                <w:sz w:val="20"/>
                <w:szCs w:val="20"/>
                <w:vertAlign w:val="superscript"/>
              </w:rPr>
            </w:pPr>
            <w:r w:rsidRPr="00227BE0">
              <w:rPr>
                <w:sz w:val="20"/>
                <w:szCs w:val="20"/>
              </w:rPr>
              <w:t>N-Europe</w:t>
            </w:r>
          </w:p>
        </w:tc>
        <w:tc>
          <w:tcPr>
            <w:tcW w:w="273" w:type="pct"/>
            <w:tcBorders>
              <w:top w:val="single" w:sz="4" w:space="0" w:color="auto"/>
              <w:left w:val="single" w:sz="4" w:space="0" w:color="auto"/>
              <w:bottom w:val="single" w:sz="4" w:space="0" w:color="auto"/>
              <w:right w:val="single" w:sz="4" w:space="0" w:color="auto"/>
            </w:tcBorders>
            <w:vAlign w:val="center"/>
          </w:tcPr>
          <w:p w14:paraId="7D8BE658" w14:textId="77777777" w:rsidR="00B67E21" w:rsidRPr="00227BE0" w:rsidRDefault="00B67E21" w:rsidP="00B67E21">
            <w:pPr>
              <w:widowControl w:val="0"/>
              <w:suppressAutoHyphens/>
              <w:rPr>
                <w:noProof/>
                <w:sz w:val="20"/>
                <w:szCs w:val="20"/>
              </w:rPr>
            </w:pPr>
            <w:r w:rsidRPr="00227BE0">
              <w:rPr>
                <w:noProof/>
                <w:sz w:val="20"/>
                <w:szCs w:val="20"/>
              </w:rPr>
              <w:t>6.323</w:t>
            </w:r>
          </w:p>
        </w:tc>
        <w:tc>
          <w:tcPr>
            <w:tcW w:w="282" w:type="pct"/>
            <w:tcBorders>
              <w:top w:val="single" w:sz="4" w:space="0" w:color="auto"/>
              <w:left w:val="single" w:sz="4" w:space="0" w:color="auto"/>
              <w:bottom w:val="single" w:sz="4" w:space="0" w:color="auto"/>
              <w:right w:val="single" w:sz="4" w:space="0" w:color="auto"/>
            </w:tcBorders>
            <w:vAlign w:val="center"/>
          </w:tcPr>
          <w:p w14:paraId="7B10C7E9" w14:textId="77777777" w:rsidR="00B67E21" w:rsidRPr="00227BE0" w:rsidRDefault="00B67E21" w:rsidP="00B67E21">
            <w:pPr>
              <w:widowControl w:val="0"/>
              <w:suppressAutoHyphens/>
              <w:jc w:val="center"/>
              <w:rPr>
                <w:b/>
                <w:noProof/>
                <w:sz w:val="20"/>
                <w:szCs w:val="20"/>
              </w:rPr>
            </w:pPr>
            <w:r w:rsidRPr="00227BE0">
              <w:rPr>
                <w:b/>
                <w:color w:val="000000"/>
                <w:sz w:val="20"/>
                <w:szCs w:val="20"/>
              </w:rPr>
              <w:t>2.2</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66AF69" w14:textId="4AB2960E" w:rsidR="00B67E21" w:rsidRPr="00227BE0" w:rsidRDefault="00B67E21" w:rsidP="00B67E21">
            <w:pPr>
              <w:widowControl w:val="0"/>
              <w:suppressAutoHyphens/>
              <w:jc w:val="center"/>
              <w:rPr>
                <w:color w:val="000000"/>
                <w:sz w:val="20"/>
                <w:szCs w:val="20"/>
              </w:rPr>
            </w:pPr>
            <w:r w:rsidRPr="00B67E21">
              <w:rPr>
                <w:b/>
                <w:bCs/>
                <w:color w:val="000000"/>
                <w:sz w:val="20"/>
                <w:szCs w:val="20"/>
              </w:rPr>
              <w:t>1.8</w:t>
            </w:r>
          </w:p>
        </w:tc>
        <w:tc>
          <w:tcPr>
            <w:tcW w:w="337" w:type="pct"/>
            <w:tcBorders>
              <w:top w:val="single" w:sz="4" w:space="0" w:color="auto"/>
              <w:left w:val="single" w:sz="4" w:space="0" w:color="auto"/>
              <w:bottom w:val="single" w:sz="4" w:space="0" w:color="auto"/>
              <w:right w:val="single" w:sz="4" w:space="0" w:color="auto"/>
            </w:tcBorders>
            <w:vAlign w:val="center"/>
          </w:tcPr>
          <w:p w14:paraId="4DD21EEB" w14:textId="1721F953" w:rsidR="00B67E21" w:rsidRPr="00B67E21" w:rsidRDefault="00B67E21" w:rsidP="00B67E21">
            <w:pPr>
              <w:widowControl w:val="0"/>
              <w:suppressAutoHyphens/>
              <w:jc w:val="center"/>
              <w:rPr>
                <w:b/>
                <w:strike/>
                <w:noProof/>
                <w:color w:val="D9D9D9" w:themeColor="background1" w:themeShade="D9"/>
                <w:sz w:val="20"/>
                <w:szCs w:val="20"/>
              </w:rPr>
            </w:pPr>
            <w:r w:rsidRPr="00B67E21">
              <w:rPr>
                <w:strike/>
                <w:color w:val="D9D9D9" w:themeColor="background1" w:themeShade="D9"/>
                <w:sz w:val="20"/>
                <w:szCs w:val="20"/>
              </w:rPr>
              <w:t>0.9</w:t>
            </w:r>
          </w:p>
        </w:tc>
        <w:tc>
          <w:tcPr>
            <w:tcW w:w="319" w:type="pct"/>
            <w:tcBorders>
              <w:top w:val="single" w:sz="4" w:space="0" w:color="auto"/>
              <w:left w:val="single" w:sz="4" w:space="0" w:color="auto"/>
              <w:bottom w:val="single" w:sz="4" w:space="0" w:color="auto"/>
              <w:right w:val="single" w:sz="4" w:space="0" w:color="auto"/>
            </w:tcBorders>
            <w:vAlign w:val="center"/>
          </w:tcPr>
          <w:p w14:paraId="10F8FF28"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3B615695"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14:paraId="20435CAF" w14:textId="3DD507B0" w:rsidR="00B67E21" w:rsidRPr="00227BE0" w:rsidRDefault="00B67E21" w:rsidP="00B67E21">
            <w:pPr>
              <w:widowControl w:val="0"/>
              <w:suppressAutoHyphens/>
              <w:jc w:val="center"/>
              <w:rPr>
                <w:noProof/>
                <w:sz w:val="20"/>
                <w:szCs w:val="20"/>
              </w:rPr>
            </w:pPr>
            <w:r w:rsidRPr="00B4754E">
              <w:rPr>
                <w:strike/>
                <w:noProof/>
                <w:color w:val="D9D9D9" w:themeColor="background1" w:themeShade="D9"/>
                <w:sz w:val="20"/>
                <w:szCs w:val="20"/>
              </w:rPr>
              <w:t>&lt; 0.3</w:t>
            </w:r>
            <w:r w:rsidRPr="00B4754E">
              <w:rPr>
                <w:noProof/>
                <w:color w:val="D9D9D9" w:themeColor="background1" w:themeShade="D9"/>
                <w:sz w:val="20"/>
                <w:szCs w:val="20"/>
              </w:rPr>
              <w:t xml:space="preserve"> </w:t>
            </w:r>
            <w:r w:rsidRPr="00B4754E">
              <w:rPr>
                <w:noProof/>
                <w:sz w:val="20"/>
                <w:szCs w:val="20"/>
                <w:shd w:val="clear" w:color="auto" w:fill="D9D9D9" w:themeFill="background1" w:themeFillShade="D9"/>
              </w:rPr>
              <w:t>0.6</w:t>
            </w:r>
          </w:p>
        </w:tc>
        <w:tc>
          <w:tcPr>
            <w:tcW w:w="337" w:type="pct"/>
            <w:tcBorders>
              <w:top w:val="single" w:sz="4" w:space="0" w:color="auto"/>
              <w:left w:val="single" w:sz="4" w:space="0" w:color="auto"/>
              <w:bottom w:val="single" w:sz="4" w:space="0" w:color="auto"/>
              <w:right w:val="single" w:sz="4" w:space="0" w:color="auto"/>
            </w:tcBorders>
            <w:vAlign w:val="center"/>
          </w:tcPr>
          <w:p w14:paraId="53477526"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776608E5"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20702E15"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0AA49CE5" w14:textId="77777777" w:rsidR="00B67E21" w:rsidRPr="00227BE0" w:rsidRDefault="00B67E21" w:rsidP="00B67E21">
            <w:pPr>
              <w:suppressAutoHyphens/>
              <w:jc w:val="center"/>
              <w:rPr>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6823B8AF" w14:textId="77777777" w:rsidR="00B67E21" w:rsidRPr="00227BE0" w:rsidRDefault="00B67E21" w:rsidP="00B67E21">
            <w:pPr>
              <w:suppressAutoHyphens/>
              <w:rPr>
                <w:sz w:val="20"/>
                <w:szCs w:val="20"/>
              </w:rPr>
            </w:pPr>
            <w:r w:rsidRPr="00227BE0">
              <w:rPr>
                <w:sz w:val="20"/>
                <w:szCs w:val="20"/>
              </w:rPr>
              <w:t>41.943</w:t>
            </w:r>
          </w:p>
        </w:tc>
        <w:tc>
          <w:tcPr>
            <w:tcW w:w="345" w:type="pct"/>
            <w:tcBorders>
              <w:top w:val="single" w:sz="4" w:space="0" w:color="auto"/>
              <w:left w:val="single" w:sz="4" w:space="0" w:color="auto"/>
              <w:bottom w:val="single" w:sz="4" w:space="0" w:color="auto"/>
              <w:right w:val="single" w:sz="4" w:space="0" w:color="auto"/>
            </w:tcBorders>
            <w:vAlign w:val="center"/>
          </w:tcPr>
          <w:p w14:paraId="3D70F3F5" w14:textId="77777777" w:rsidR="00B67E21" w:rsidRPr="00227BE0" w:rsidRDefault="00B67E21" w:rsidP="00B67E21">
            <w:pPr>
              <w:widowControl w:val="0"/>
              <w:suppressAutoHyphens/>
              <w:jc w:val="center"/>
              <w:rPr>
                <w:noProof/>
                <w:sz w:val="20"/>
                <w:szCs w:val="20"/>
              </w:rPr>
            </w:pPr>
            <w:r w:rsidRPr="00227BE0">
              <w:rPr>
                <w:noProof/>
                <w:sz w:val="20"/>
                <w:szCs w:val="20"/>
              </w:rPr>
              <w:t>--</w:t>
            </w:r>
          </w:p>
        </w:tc>
      </w:tr>
      <w:tr w:rsidR="00B67E21" w:rsidRPr="00227BE0" w14:paraId="2E6D3311"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42BBCCA3" w14:textId="77777777" w:rsidR="00B67E21" w:rsidRPr="00227BE0" w:rsidRDefault="00B67E21" w:rsidP="00B67E21">
            <w:pPr>
              <w:widowControl w:val="0"/>
              <w:suppressAutoHyphens/>
              <w:rPr>
                <w:noProof/>
                <w:sz w:val="20"/>
                <w:szCs w:val="20"/>
                <w:vertAlign w:val="superscript"/>
              </w:rPr>
            </w:pPr>
            <w:r w:rsidRPr="00227BE0">
              <w:rPr>
                <w:sz w:val="20"/>
                <w:szCs w:val="20"/>
              </w:rPr>
              <w:t>S-Europe</w:t>
            </w:r>
          </w:p>
        </w:tc>
        <w:tc>
          <w:tcPr>
            <w:tcW w:w="273" w:type="pct"/>
            <w:tcBorders>
              <w:top w:val="single" w:sz="4" w:space="0" w:color="auto"/>
              <w:left w:val="single" w:sz="4" w:space="0" w:color="auto"/>
              <w:bottom w:val="single" w:sz="4" w:space="0" w:color="auto"/>
              <w:right w:val="single" w:sz="4" w:space="0" w:color="auto"/>
            </w:tcBorders>
            <w:vAlign w:val="center"/>
          </w:tcPr>
          <w:p w14:paraId="39A65BC9" w14:textId="77777777" w:rsidR="00B67E21" w:rsidRPr="00227BE0" w:rsidRDefault="00B67E21" w:rsidP="00B67E21">
            <w:pPr>
              <w:widowControl w:val="0"/>
              <w:suppressAutoHyphens/>
              <w:rPr>
                <w:noProof/>
                <w:sz w:val="20"/>
                <w:szCs w:val="20"/>
              </w:rPr>
            </w:pPr>
            <w:r w:rsidRPr="00227BE0">
              <w:rPr>
                <w:noProof/>
                <w:sz w:val="20"/>
                <w:szCs w:val="20"/>
              </w:rPr>
              <w:t>11.641</w:t>
            </w:r>
          </w:p>
        </w:tc>
        <w:tc>
          <w:tcPr>
            <w:tcW w:w="282" w:type="pct"/>
            <w:tcBorders>
              <w:top w:val="single" w:sz="4" w:space="0" w:color="auto"/>
              <w:left w:val="single" w:sz="4" w:space="0" w:color="auto"/>
              <w:bottom w:val="single" w:sz="4" w:space="0" w:color="auto"/>
              <w:right w:val="single" w:sz="4" w:space="0" w:color="auto"/>
            </w:tcBorders>
            <w:vAlign w:val="center"/>
          </w:tcPr>
          <w:p w14:paraId="3E1C0E4E" w14:textId="77777777" w:rsidR="00B67E21" w:rsidRPr="00227BE0" w:rsidRDefault="00B67E21" w:rsidP="00B67E21">
            <w:pPr>
              <w:widowControl w:val="0"/>
              <w:suppressAutoHyphens/>
              <w:jc w:val="center"/>
              <w:rPr>
                <w:b/>
                <w:noProof/>
                <w:sz w:val="20"/>
                <w:szCs w:val="20"/>
              </w:rPr>
            </w:pPr>
            <w:r w:rsidRPr="00227BE0">
              <w:rPr>
                <w:b/>
                <w:color w:val="000000"/>
                <w:sz w:val="20"/>
                <w:szCs w:val="20"/>
              </w:rPr>
              <w:t>4.0</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1F7151" w14:textId="40336709" w:rsidR="00B67E21" w:rsidRPr="00227BE0" w:rsidRDefault="00B67E21" w:rsidP="00B67E21">
            <w:pPr>
              <w:widowControl w:val="0"/>
              <w:suppressAutoHyphens/>
              <w:jc w:val="center"/>
              <w:rPr>
                <w:b/>
                <w:color w:val="000000"/>
                <w:sz w:val="20"/>
                <w:szCs w:val="20"/>
              </w:rPr>
            </w:pPr>
            <w:r>
              <w:rPr>
                <w:b/>
                <w:color w:val="000000"/>
                <w:sz w:val="20"/>
                <w:szCs w:val="20"/>
              </w:rPr>
              <w:t>3.2</w:t>
            </w:r>
          </w:p>
        </w:tc>
        <w:tc>
          <w:tcPr>
            <w:tcW w:w="337" w:type="pct"/>
            <w:tcBorders>
              <w:top w:val="single" w:sz="4" w:space="0" w:color="auto"/>
              <w:left w:val="single" w:sz="4" w:space="0" w:color="auto"/>
              <w:bottom w:val="single" w:sz="4" w:space="0" w:color="auto"/>
              <w:right w:val="single" w:sz="4" w:space="0" w:color="auto"/>
            </w:tcBorders>
            <w:vAlign w:val="center"/>
          </w:tcPr>
          <w:p w14:paraId="555D8979" w14:textId="03BE3C64" w:rsidR="00B67E21" w:rsidRPr="00B67E21" w:rsidRDefault="00B67E21" w:rsidP="00B67E21">
            <w:pPr>
              <w:widowControl w:val="0"/>
              <w:suppressAutoHyphens/>
              <w:jc w:val="center"/>
              <w:rPr>
                <w:b/>
                <w:strike/>
                <w:noProof/>
                <w:color w:val="D9D9D9" w:themeColor="background1" w:themeShade="D9"/>
                <w:sz w:val="20"/>
                <w:szCs w:val="20"/>
              </w:rPr>
            </w:pPr>
            <w:r w:rsidRPr="00B67E21">
              <w:rPr>
                <w:b/>
                <w:strike/>
                <w:color w:val="D9D9D9" w:themeColor="background1" w:themeShade="D9"/>
                <w:sz w:val="20"/>
                <w:szCs w:val="20"/>
              </w:rPr>
              <w:t>1.7</w:t>
            </w:r>
          </w:p>
        </w:tc>
        <w:tc>
          <w:tcPr>
            <w:tcW w:w="319" w:type="pct"/>
            <w:tcBorders>
              <w:top w:val="single" w:sz="4" w:space="0" w:color="auto"/>
              <w:left w:val="single" w:sz="4" w:space="0" w:color="auto"/>
              <w:bottom w:val="single" w:sz="4" w:space="0" w:color="auto"/>
              <w:right w:val="single" w:sz="4" w:space="0" w:color="auto"/>
            </w:tcBorders>
            <w:vAlign w:val="center"/>
          </w:tcPr>
          <w:p w14:paraId="006FB736"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58D43455"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99" w:type="pct"/>
            <w:tcBorders>
              <w:top w:val="single" w:sz="4" w:space="0" w:color="auto"/>
              <w:left w:val="single" w:sz="4" w:space="0" w:color="auto"/>
              <w:bottom w:val="single" w:sz="4" w:space="0" w:color="auto"/>
              <w:right w:val="single" w:sz="4" w:space="0" w:color="auto"/>
            </w:tcBorders>
            <w:vAlign w:val="center"/>
          </w:tcPr>
          <w:p w14:paraId="5FE8970A" w14:textId="3094AE99" w:rsidR="00B67E21" w:rsidRPr="00227BE0" w:rsidRDefault="00B67E21" w:rsidP="00B67E21">
            <w:pPr>
              <w:widowControl w:val="0"/>
              <w:suppressAutoHyphens/>
              <w:jc w:val="center"/>
              <w:rPr>
                <w:b/>
                <w:noProof/>
                <w:sz w:val="20"/>
                <w:szCs w:val="20"/>
              </w:rPr>
            </w:pPr>
            <w:r w:rsidRPr="00CA7CC2">
              <w:rPr>
                <w:strike/>
                <w:color w:val="D9D9D9" w:themeColor="background1" w:themeShade="D9"/>
                <w:sz w:val="20"/>
                <w:szCs w:val="20"/>
              </w:rPr>
              <w:t>&lt; 0.5</w:t>
            </w:r>
            <w:r w:rsidRPr="00CA7CC2">
              <w:rPr>
                <w:color w:val="D9D9D9" w:themeColor="background1" w:themeShade="D9"/>
                <w:sz w:val="20"/>
                <w:szCs w:val="20"/>
              </w:rPr>
              <w:t xml:space="preserve"> </w:t>
            </w:r>
            <w:r w:rsidRPr="00CA7CC2">
              <w:rPr>
                <w:b/>
                <w:bCs/>
                <w:color w:val="000000"/>
                <w:sz w:val="20"/>
                <w:szCs w:val="20"/>
                <w:shd w:val="clear" w:color="auto" w:fill="D9D9D9" w:themeFill="background1" w:themeFillShade="D9"/>
              </w:rPr>
              <w:t>1.1</w:t>
            </w:r>
          </w:p>
        </w:tc>
        <w:tc>
          <w:tcPr>
            <w:tcW w:w="337" w:type="pct"/>
            <w:tcBorders>
              <w:top w:val="single" w:sz="4" w:space="0" w:color="auto"/>
              <w:left w:val="single" w:sz="4" w:space="0" w:color="auto"/>
              <w:bottom w:val="single" w:sz="4" w:space="0" w:color="auto"/>
              <w:right w:val="single" w:sz="4" w:space="0" w:color="auto"/>
            </w:tcBorders>
            <w:vAlign w:val="center"/>
          </w:tcPr>
          <w:p w14:paraId="78F75117"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42EEE63A"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6203171C"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2B9A776C" w14:textId="77777777" w:rsidR="00B67E21" w:rsidRPr="00227BE0" w:rsidRDefault="00B67E21" w:rsidP="00B67E21">
            <w:pPr>
              <w:suppressAutoHyphens/>
              <w:jc w:val="center"/>
              <w:rPr>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5FE43370" w14:textId="77777777" w:rsidR="00B67E21" w:rsidRPr="00227BE0" w:rsidRDefault="00B67E21" w:rsidP="00B67E21">
            <w:pPr>
              <w:suppressAutoHyphens/>
              <w:rPr>
                <w:sz w:val="20"/>
                <w:szCs w:val="20"/>
              </w:rPr>
            </w:pPr>
            <w:r w:rsidRPr="00227BE0">
              <w:rPr>
                <w:sz w:val="20"/>
                <w:szCs w:val="20"/>
              </w:rPr>
              <w:t>78.134</w:t>
            </w:r>
          </w:p>
        </w:tc>
        <w:tc>
          <w:tcPr>
            <w:tcW w:w="345" w:type="pct"/>
            <w:tcBorders>
              <w:top w:val="single" w:sz="4" w:space="0" w:color="auto"/>
              <w:left w:val="single" w:sz="4" w:space="0" w:color="auto"/>
              <w:bottom w:val="single" w:sz="4" w:space="0" w:color="auto"/>
              <w:right w:val="single" w:sz="4" w:space="0" w:color="auto"/>
            </w:tcBorders>
            <w:vAlign w:val="center"/>
          </w:tcPr>
          <w:p w14:paraId="50963B49" w14:textId="77777777" w:rsidR="00B67E21" w:rsidRPr="00227BE0" w:rsidRDefault="00B67E21" w:rsidP="00B67E21">
            <w:pPr>
              <w:widowControl w:val="0"/>
              <w:suppressAutoHyphens/>
              <w:jc w:val="center"/>
              <w:rPr>
                <w:noProof/>
                <w:sz w:val="20"/>
                <w:szCs w:val="20"/>
              </w:rPr>
            </w:pPr>
            <w:r w:rsidRPr="00227BE0">
              <w:rPr>
                <w:noProof/>
                <w:sz w:val="20"/>
                <w:szCs w:val="20"/>
              </w:rPr>
              <w:t>--</w:t>
            </w:r>
          </w:p>
        </w:tc>
      </w:tr>
      <w:tr w:rsidR="00B67E21" w:rsidRPr="00227BE0" w14:paraId="2674886A" w14:textId="77777777" w:rsidTr="00B67E21">
        <w:trPr>
          <w:cantSplit/>
        </w:trPr>
        <w:tc>
          <w:tcPr>
            <w:tcW w:w="459" w:type="pct"/>
            <w:tcBorders>
              <w:top w:val="single" w:sz="4" w:space="0" w:color="auto"/>
              <w:left w:val="single" w:sz="4" w:space="0" w:color="auto"/>
              <w:bottom w:val="single" w:sz="4" w:space="0" w:color="auto"/>
              <w:right w:val="nil"/>
            </w:tcBorders>
            <w:vAlign w:val="center"/>
          </w:tcPr>
          <w:p w14:paraId="2E4CDAF5" w14:textId="77777777" w:rsidR="00B67E21" w:rsidRPr="00227BE0" w:rsidRDefault="00B67E21" w:rsidP="00B67E21">
            <w:pPr>
              <w:widowControl w:val="0"/>
              <w:suppressAutoHyphens/>
              <w:rPr>
                <w:b/>
                <w:sz w:val="20"/>
                <w:szCs w:val="20"/>
                <w:lang w:val="en-GB"/>
              </w:rPr>
            </w:pPr>
            <w:r w:rsidRPr="00227BE0">
              <w:rPr>
                <w:b/>
                <w:sz w:val="20"/>
                <w:szCs w:val="20"/>
                <w:lang w:val="en-GB"/>
              </w:rPr>
              <w:t>Step 3</w:t>
            </w:r>
          </w:p>
        </w:tc>
        <w:tc>
          <w:tcPr>
            <w:tcW w:w="273" w:type="pct"/>
            <w:tcBorders>
              <w:top w:val="single" w:sz="4" w:space="0" w:color="auto"/>
              <w:left w:val="nil"/>
              <w:bottom w:val="single" w:sz="4" w:space="0" w:color="auto"/>
              <w:right w:val="nil"/>
            </w:tcBorders>
            <w:vAlign w:val="center"/>
          </w:tcPr>
          <w:p w14:paraId="5578C34B" w14:textId="77777777" w:rsidR="00B67E21" w:rsidRPr="00227BE0" w:rsidRDefault="00B67E21" w:rsidP="00B67E21">
            <w:pPr>
              <w:widowControl w:val="0"/>
              <w:suppressAutoHyphens/>
              <w:rPr>
                <w:b/>
                <w:bCs/>
                <w:sz w:val="20"/>
                <w:szCs w:val="20"/>
              </w:rPr>
            </w:pPr>
          </w:p>
        </w:tc>
        <w:tc>
          <w:tcPr>
            <w:tcW w:w="313" w:type="pct"/>
            <w:gridSpan w:val="2"/>
            <w:tcBorders>
              <w:top w:val="single" w:sz="4" w:space="0" w:color="auto"/>
              <w:left w:val="nil"/>
              <w:bottom w:val="single" w:sz="4" w:space="0" w:color="auto"/>
              <w:right w:val="nil"/>
            </w:tcBorders>
          </w:tcPr>
          <w:p w14:paraId="69A27C37" w14:textId="77777777" w:rsidR="00B67E21" w:rsidRPr="00227BE0" w:rsidRDefault="00B67E21" w:rsidP="00B67E21">
            <w:pPr>
              <w:keepNext/>
              <w:keepLines/>
              <w:widowControl w:val="0"/>
              <w:suppressAutoHyphens/>
              <w:jc w:val="center"/>
              <w:rPr>
                <w:b/>
                <w:bCs/>
                <w:noProof/>
                <w:sz w:val="20"/>
                <w:szCs w:val="20"/>
              </w:rPr>
            </w:pPr>
          </w:p>
        </w:tc>
        <w:tc>
          <w:tcPr>
            <w:tcW w:w="2807" w:type="pct"/>
            <w:gridSpan w:val="8"/>
            <w:tcBorders>
              <w:top w:val="single" w:sz="4" w:space="0" w:color="auto"/>
              <w:left w:val="nil"/>
              <w:bottom w:val="single" w:sz="4" w:space="0" w:color="auto"/>
              <w:right w:val="nil"/>
            </w:tcBorders>
            <w:vAlign w:val="center"/>
          </w:tcPr>
          <w:p w14:paraId="14E8E95E" w14:textId="5891BA3C" w:rsidR="00B67E21" w:rsidRPr="00227BE0" w:rsidRDefault="00B67E21" w:rsidP="00B67E21">
            <w:pPr>
              <w:keepNext/>
              <w:keepLines/>
              <w:widowControl w:val="0"/>
              <w:suppressAutoHyphens/>
              <w:jc w:val="center"/>
              <w:rPr>
                <w:b/>
                <w:bCs/>
                <w:noProof/>
                <w:sz w:val="20"/>
                <w:szCs w:val="20"/>
              </w:rPr>
            </w:pPr>
          </w:p>
        </w:tc>
        <w:tc>
          <w:tcPr>
            <w:tcW w:w="402" w:type="pct"/>
            <w:tcBorders>
              <w:top w:val="single" w:sz="4" w:space="0" w:color="auto"/>
              <w:left w:val="nil"/>
              <w:bottom w:val="single" w:sz="4" w:space="0" w:color="auto"/>
              <w:right w:val="nil"/>
            </w:tcBorders>
            <w:vAlign w:val="center"/>
          </w:tcPr>
          <w:p w14:paraId="464D7BD0" w14:textId="77777777" w:rsidR="00B67E21" w:rsidRPr="00227BE0" w:rsidRDefault="00B67E21" w:rsidP="00B67E21">
            <w:pPr>
              <w:widowControl w:val="0"/>
              <w:suppressAutoHyphens/>
              <w:jc w:val="center"/>
              <w:rPr>
                <w:b/>
                <w:bCs/>
                <w:sz w:val="20"/>
                <w:szCs w:val="20"/>
              </w:rPr>
            </w:pPr>
          </w:p>
        </w:tc>
        <w:tc>
          <w:tcPr>
            <w:tcW w:w="402" w:type="pct"/>
            <w:tcBorders>
              <w:top w:val="single" w:sz="4" w:space="0" w:color="auto"/>
              <w:left w:val="nil"/>
              <w:bottom w:val="single" w:sz="4" w:space="0" w:color="auto"/>
              <w:right w:val="nil"/>
            </w:tcBorders>
            <w:vAlign w:val="bottom"/>
          </w:tcPr>
          <w:p w14:paraId="2593AB0A" w14:textId="77777777" w:rsidR="00B67E21" w:rsidRPr="00227BE0" w:rsidRDefault="00B67E21" w:rsidP="00B67E21">
            <w:pPr>
              <w:widowControl w:val="0"/>
              <w:suppressAutoHyphens/>
              <w:rPr>
                <w:b/>
                <w:bCs/>
                <w:sz w:val="20"/>
                <w:szCs w:val="20"/>
              </w:rPr>
            </w:pPr>
          </w:p>
        </w:tc>
        <w:tc>
          <w:tcPr>
            <w:tcW w:w="345" w:type="pct"/>
            <w:tcBorders>
              <w:top w:val="single" w:sz="4" w:space="0" w:color="auto"/>
              <w:left w:val="nil"/>
              <w:bottom w:val="single" w:sz="4" w:space="0" w:color="auto"/>
              <w:right w:val="single" w:sz="4" w:space="0" w:color="auto"/>
            </w:tcBorders>
            <w:vAlign w:val="bottom"/>
          </w:tcPr>
          <w:p w14:paraId="2D155542" w14:textId="77777777" w:rsidR="00B67E21" w:rsidRPr="00227BE0" w:rsidRDefault="00B67E21" w:rsidP="00B67E21">
            <w:pPr>
              <w:widowControl w:val="0"/>
              <w:suppressAutoHyphens/>
              <w:jc w:val="center"/>
              <w:rPr>
                <w:b/>
                <w:bCs/>
                <w:noProof/>
                <w:sz w:val="20"/>
                <w:szCs w:val="20"/>
              </w:rPr>
            </w:pPr>
          </w:p>
        </w:tc>
      </w:tr>
      <w:tr w:rsidR="00B67E21" w:rsidRPr="00227BE0" w14:paraId="279FBB74"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5FA21044" w14:textId="77777777" w:rsidR="00B67E21" w:rsidRPr="00227BE0" w:rsidRDefault="00B67E21" w:rsidP="00B67E21">
            <w:pPr>
              <w:widowControl w:val="0"/>
              <w:suppressAutoHyphens/>
              <w:rPr>
                <w:noProof/>
                <w:sz w:val="20"/>
                <w:szCs w:val="20"/>
                <w:vertAlign w:val="superscript"/>
              </w:rPr>
            </w:pPr>
            <w:r w:rsidRPr="00227BE0">
              <w:rPr>
                <w:sz w:val="20"/>
                <w:szCs w:val="20"/>
              </w:rPr>
              <w:t>D3 ditch</w:t>
            </w:r>
          </w:p>
        </w:tc>
        <w:tc>
          <w:tcPr>
            <w:tcW w:w="273" w:type="pct"/>
            <w:tcBorders>
              <w:top w:val="single" w:sz="4" w:space="0" w:color="auto"/>
              <w:left w:val="single" w:sz="4" w:space="0" w:color="auto"/>
              <w:bottom w:val="single" w:sz="4" w:space="0" w:color="auto"/>
              <w:right w:val="single" w:sz="4" w:space="0" w:color="auto"/>
            </w:tcBorders>
            <w:vAlign w:val="center"/>
          </w:tcPr>
          <w:p w14:paraId="6756DEA9" w14:textId="77777777" w:rsidR="00B67E21" w:rsidRPr="00227BE0" w:rsidRDefault="00B67E21" w:rsidP="00B67E21">
            <w:pPr>
              <w:widowControl w:val="0"/>
              <w:suppressAutoHyphens/>
              <w:rPr>
                <w:noProof/>
                <w:sz w:val="20"/>
                <w:szCs w:val="20"/>
              </w:rPr>
            </w:pPr>
            <w:r w:rsidRPr="00227BE0">
              <w:rPr>
                <w:rFonts w:eastAsia="SimSun"/>
                <w:color w:val="000000"/>
                <w:sz w:val="20"/>
                <w:szCs w:val="20"/>
              </w:rPr>
              <w:t>0.634</w:t>
            </w:r>
          </w:p>
        </w:tc>
        <w:tc>
          <w:tcPr>
            <w:tcW w:w="282" w:type="pct"/>
            <w:tcBorders>
              <w:top w:val="single" w:sz="4" w:space="0" w:color="auto"/>
              <w:left w:val="single" w:sz="4" w:space="0" w:color="auto"/>
              <w:bottom w:val="single" w:sz="4" w:space="0" w:color="auto"/>
              <w:right w:val="single" w:sz="4" w:space="0" w:color="auto"/>
            </w:tcBorders>
            <w:vAlign w:val="bottom"/>
          </w:tcPr>
          <w:p w14:paraId="0AA8F10F" w14:textId="77777777" w:rsidR="00B67E21" w:rsidRPr="00227BE0" w:rsidRDefault="00B67E21" w:rsidP="00B67E21">
            <w:pPr>
              <w:widowControl w:val="0"/>
              <w:suppressAutoHyphens/>
              <w:jc w:val="center"/>
              <w:rPr>
                <w:b/>
                <w:noProof/>
                <w:sz w:val="20"/>
                <w:szCs w:val="20"/>
              </w:rPr>
            </w:pPr>
            <w:r w:rsidRPr="00227BE0">
              <w:rPr>
                <w:color w:val="000000"/>
                <w:sz w:val="20"/>
                <w:szCs w:val="20"/>
              </w:rPr>
              <w:t>0.2</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1DC548" w14:textId="22D5D969" w:rsidR="00B67E21" w:rsidRPr="00227BE0" w:rsidRDefault="006F4609" w:rsidP="00B67E21">
            <w:pPr>
              <w:widowControl w:val="0"/>
              <w:suppressAutoHyphens/>
              <w:jc w:val="center"/>
              <w:rPr>
                <w:color w:val="000000"/>
                <w:sz w:val="20"/>
                <w:szCs w:val="20"/>
              </w:rPr>
            </w:pPr>
            <w:r>
              <w:rPr>
                <w:color w:val="000000"/>
                <w:sz w:val="20"/>
                <w:szCs w:val="20"/>
              </w:rPr>
              <w:t>0.18</w:t>
            </w:r>
          </w:p>
        </w:tc>
        <w:tc>
          <w:tcPr>
            <w:tcW w:w="337" w:type="pct"/>
            <w:tcBorders>
              <w:top w:val="single" w:sz="4" w:space="0" w:color="auto"/>
              <w:left w:val="single" w:sz="4" w:space="0" w:color="auto"/>
              <w:bottom w:val="single" w:sz="4" w:space="0" w:color="auto"/>
              <w:right w:val="single" w:sz="4" w:space="0" w:color="auto"/>
            </w:tcBorders>
            <w:vAlign w:val="bottom"/>
          </w:tcPr>
          <w:p w14:paraId="0E348300" w14:textId="30275612" w:rsidR="00B67E21" w:rsidRPr="00B67E21" w:rsidRDefault="00B67E21" w:rsidP="00B67E21">
            <w:pPr>
              <w:widowControl w:val="0"/>
              <w:suppressAutoHyphens/>
              <w:jc w:val="center"/>
              <w:rPr>
                <w:b/>
                <w:strike/>
                <w:noProof/>
                <w:color w:val="D9D9D9" w:themeColor="background1" w:themeShade="D9"/>
                <w:sz w:val="20"/>
                <w:szCs w:val="20"/>
              </w:rPr>
            </w:pPr>
            <w:r w:rsidRPr="00B67E21">
              <w:rPr>
                <w:strike/>
                <w:color w:val="D9D9D9" w:themeColor="background1" w:themeShade="D9"/>
                <w:sz w:val="20"/>
                <w:szCs w:val="20"/>
              </w:rPr>
              <w:t>0.09</w:t>
            </w:r>
          </w:p>
        </w:tc>
        <w:tc>
          <w:tcPr>
            <w:tcW w:w="319" w:type="pct"/>
            <w:tcBorders>
              <w:top w:val="single" w:sz="4" w:space="0" w:color="auto"/>
              <w:left w:val="single" w:sz="4" w:space="0" w:color="auto"/>
              <w:bottom w:val="single" w:sz="4" w:space="0" w:color="auto"/>
              <w:right w:val="single" w:sz="4" w:space="0" w:color="auto"/>
            </w:tcBorders>
            <w:vAlign w:val="center"/>
          </w:tcPr>
          <w:p w14:paraId="0F925378"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7B98EC78"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B4BB8B" w14:textId="70C4EA33" w:rsidR="00B67E21" w:rsidRPr="00227BE0" w:rsidRDefault="006055B8" w:rsidP="00B67E21">
            <w:pPr>
              <w:widowControl w:val="0"/>
              <w:suppressAutoHyphens/>
              <w:jc w:val="center"/>
              <w:rPr>
                <w:noProof/>
                <w:sz w:val="20"/>
                <w:szCs w:val="20"/>
              </w:rPr>
            </w:pPr>
            <w:r>
              <w:rPr>
                <w:noProof/>
                <w:sz w:val="20"/>
                <w:szCs w:val="20"/>
              </w:rPr>
              <w:t>0.06</w:t>
            </w:r>
          </w:p>
        </w:tc>
        <w:tc>
          <w:tcPr>
            <w:tcW w:w="337" w:type="pct"/>
            <w:tcBorders>
              <w:top w:val="single" w:sz="4" w:space="0" w:color="auto"/>
              <w:left w:val="single" w:sz="4" w:space="0" w:color="auto"/>
              <w:bottom w:val="single" w:sz="4" w:space="0" w:color="auto"/>
              <w:right w:val="single" w:sz="4" w:space="0" w:color="auto"/>
            </w:tcBorders>
            <w:vAlign w:val="center"/>
          </w:tcPr>
          <w:p w14:paraId="148B9865"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4A620673"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2D9E469D"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2C07D0E6" w14:textId="77777777" w:rsidR="00B67E21" w:rsidRPr="00227BE0" w:rsidRDefault="00B67E21" w:rsidP="00B67E21">
            <w:pPr>
              <w:suppressAutoHyphens/>
              <w:jc w:val="center"/>
              <w:rPr>
                <w:rFonts w:eastAsia="SimSun"/>
                <w:sz w:val="20"/>
                <w:szCs w:val="20"/>
              </w:rPr>
            </w:pPr>
          </w:p>
        </w:tc>
        <w:tc>
          <w:tcPr>
            <w:tcW w:w="402" w:type="pct"/>
            <w:tcBorders>
              <w:top w:val="single" w:sz="4" w:space="0" w:color="auto"/>
              <w:left w:val="single" w:sz="4" w:space="0" w:color="auto"/>
              <w:bottom w:val="single" w:sz="4" w:space="0" w:color="auto"/>
              <w:right w:val="single" w:sz="4" w:space="0" w:color="auto"/>
            </w:tcBorders>
            <w:vAlign w:val="center"/>
          </w:tcPr>
          <w:p w14:paraId="42E5D58E" w14:textId="77777777" w:rsidR="00B67E21" w:rsidRPr="00227BE0" w:rsidRDefault="00B67E21" w:rsidP="00B67E21">
            <w:pPr>
              <w:suppressAutoHyphens/>
              <w:rPr>
                <w:sz w:val="20"/>
                <w:szCs w:val="20"/>
              </w:rPr>
            </w:pPr>
            <w:r w:rsidRPr="00227BE0">
              <w:rPr>
                <w:rFonts w:eastAsia="SimSun"/>
                <w:sz w:val="20"/>
                <w:szCs w:val="20"/>
              </w:rPr>
              <w:t>0.381</w:t>
            </w:r>
          </w:p>
        </w:tc>
        <w:tc>
          <w:tcPr>
            <w:tcW w:w="345" w:type="pct"/>
            <w:tcBorders>
              <w:top w:val="single" w:sz="4" w:space="0" w:color="auto"/>
              <w:left w:val="single" w:sz="4" w:space="0" w:color="auto"/>
              <w:bottom w:val="single" w:sz="4" w:space="0" w:color="auto"/>
              <w:right w:val="single" w:sz="4" w:space="0" w:color="auto"/>
            </w:tcBorders>
            <w:vAlign w:val="center"/>
          </w:tcPr>
          <w:p w14:paraId="063E85CD" w14:textId="77777777" w:rsidR="00B67E21" w:rsidRPr="00227BE0" w:rsidRDefault="00B67E21" w:rsidP="00B67E21">
            <w:pPr>
              <w:widowControl w:val="0"/>
              <w:suppressAutoHyphens/>
              <w:jc w:val="center"/>
              <w:rPr>
                <w:noProof/>
                <w:sz w:val="20"/>
                <w:szCs w:val="20"/>
              </w:rPr>
            </w:pPr>
            <w:r w:rsidRPr="00227BE0">
              <w:rPr>
                <w:noProof/>
                <w:sz w:val="20"/>
                <w:szCs w:val="20"/>
              </w:rPr>
              <w:t>--</w:t>
            </w:r>
          </w:p>
        </w:tc>
      </w:tr>
      <w:tr w:rsidR="00B67E21" w:rsidRPr="00227BE0" w14:paraId="0308B267"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35E70A89" w14:textId="77777777" w:rsidR="00B67E21" w:rsidRPr="00227BE0" w:rsidRDefault="00B67E21" w:rsidP="00B67E21">
            <w:pPr>
              <w:widowControl w:val="0"/>
              <w:suppressAutoHyphens/>
              <w:rPr>
                <w:noProof/>
                <w:sz w:val="20"/>
                <w:szCs w:val="20"/>
                <w:vertAlign w:val="superscript"/>
              </w:rPr>
            </w:pPr>
            <w:r w:rsidRPr="00227BE0">
              <w:rPr>
                <w:sz w:val="20"/>
                <w:szCs w:val="20"/>
              </w:rPr>
              <w:t>D4 pond</w:t>
            </w:r>
          </w:p>
        </w:tc>
        <w:tc>
          <w:tcPr>
            <w:tcW w:w="273" w:type="pct"/>
            <w:tcBorders>
              <w:top w:val="single" w:sz="4" w:space="0" w:color="auto"/>
              <w:left w:val="single" w:sz="4" w:space="0" w:color="auto"/>
              <w:bottom w:val="single" w:sz="4" w:space="0" w:color="auto"/>
              <w:right w:val="single" w:sz="4" w:space="0" w:color="auto"/>
            </w:tcBorders>
            <w:vAlign w:val="center"/>
          </w:tcPr>
          <w:p w14:paraId="7B8C08DA" w14:textId="77777777" w:rsidR="00B67E21" w:rsidRPr="00227BE0" w:rsidRDefault="00B67E21" w:rsidP="00B67E21">
            <w:pPr>
              <w:widowControl w:val="0"/>
              <w:suppressAutoHyphens/>
              <w:rPr>
                <w:noProof/>
                <w:sz w:val="20"/>
                <w:szCs w:val="20"/>
              </w:rPr>
            </w:pPr>
            <w:r w:rsidRPr="00227BE0">
              <w:rPr>
                <w:rFonts w:eastAsia="SimSun"/>
                <w:color w:val="000000"/>
                <w:sz w:val="20"/>
                <w:szCs w:val="20"/>
              </w:rPr>
              <w:t>0.576</w:t>
            </w:r>
          </w:p>
        </w:tc>
        <w:tc>
          <w:tcPr>
            <w:tcW w:w="282" w:type="pct"/>
            <w:tcBorders>
              <w:top w:val="single" w:sz="4" w:space="0" w:color="auto"/>
              <w:left w:val="single" w:sz="4" w:space="0" w:color="auto"/>
              <w:bottom w:val="single" w:sz="4" w:space="0" w:color="auto"/>
              <w:right w:val="single" w:sz="4" w:space="0" w:color="auto"/>
            </w:tcBorders>
            <w:vAlign w:val="bottom"/>
          </w:tcPr>
          <w:p w14:paraId="463C804A" w14:textId="77777777" w:rsidR="00B67E21" w:rsidRPr="00227BE0" w:rsidRDefault="00B67E21" w:rsidP="00B67E21">
            <w:pPr>
              <w:widowControl w:val="0"/>
              <w:suppressAutoHyphens/>
              <w:jc w:val="center"/>
              <w:rPr>
                <w:b/>
                <w:noProof/>
                <w:sz w:val="20"/>
                <w:szCs w:val="20"/>
              </w:rPr>
            </w:pPr>
            <w:r w:rsidRPr="00227BE0">
              <w:rPr>
                <w:color w:val="000000"/>
                <w:sz w:val="20"/>
                <w:szCs w:val="20"/>
              </w:rPr>
              <w:t>0.2</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C4F1F0" w14:textId="4BBF5F2F" w:rsidR="00B67E21" w:rsidRPr="00227BE0" w:rsidRDefault="006F4609" w:rsidP="00B67E21">
            <w:pPr>
              <w:widowControl w:val="0"/>
              <w:suppressAutoHyphens/>
              <w:jc w:val="center"/>
              <w:rPr>
                <w:color w:val="000000"/>
                <w:sz w:val="20"/>
                <w:szCs w:val="20"/>
              </w:rPr>
            </w:pPr>
            <w:r>
              <w:rPr>
                <w:color w:val="000000"/>
                <w:sz w:val="20"/>
                <w:szCs w:val="20"/>
              </w:rPr>
              <w:t>0.16</w:t>
            </w:r>
          </w:p>
        </w:tc>
        <w:tc>
          <w:tcPr>
            <w:tcW w:w="337" w:type="pct"/>
            <w:tcBorders>
              <w:top w:val="single" w:sz="4" w:space="0" w:color="auto"/>
              <w:left w:val="single" w:sz="4" w:space="0" w:color="auto"/>
              <w:bottom w:val="single" w:sz="4" w:space="0" w:color="auto"/>
              <w:right w:val="single" w:sz="4" w:space="0" w:color="auto"/>
            </w:tcBorders>
            <w:vAlign w:val="bottom"/>
          </w:tcPr>
          <w:p w14:paraId="1A1282B5" w14:textId="04FF8604" w:rsidR="00B67E21" w:rsidRPr="00B67E21" w:rsidRDefault="00B67E21" w:rsidP="00B67E21">
            <w:pPr>
              <w:widowControl w:val="0"/>
              <w:suppressAutoHyphens/>
              <w:jc w:val="center"/>
              <w:rPr>
                <w:b/>
                <w:strike/>
                <w:noProof/>
                <w:color w:val="D9D9D9" w:themeColor="background1" w:themeShade="D9"/>
                <w:sz w:val="20"/>
                <w:szCs w:val="20"/>
              </w:rPr>
            </w:pPr>
            <w:r w:rsidRPr="00B67E21">
              <w:rPr>
                <w:strike/>
                <w:color w:val="D9D9D9" w:themeColor="background1" w:themeShade="D9"/>
                <w:sz w:val="20"/>
                <w:szCs w:val="20"/>
              </w:rPr>
              <w:t>0.09</w:t>
            </w:r>
          </w:p>
        </w:tc>
        <w:tc>
          <w:tcPr>
            <w:tcW w:w="319" w:type="pct"/>
            <w:tcBorders>
              <w:top w:val="single" w:sz="4" w:space="0" w:color="auto"/>
              <w:left w:val="single" w:sz="4" w:space="0" w:color="auto"/>
              <w:bottom w:val="single" w:sz="4" w:space="0" w:color="auto"/>
              <w:right w:val="single" w:sz="4" w:space="0" w:color="auto"/>
            </w:tcBorders>
            <w:vAlign w:val="center"/>
          </w:tcPr>
          <w:p w14:paraId="532D1BD7"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0491E8E4"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A027E0" w14:textId="27BAAE61" w:rsidR="00B67E21" w:rsidRPr="00227BE0" w:rsidRDefault="006055B8" w:rsidP="00B67E21">
            <w:pPr>
              <w:widowControl w:val="0"/>
              <w:suppressAutoHyphens/>
              <w:jc w:val="center"/>
              <w:rPr>
                <w:noProof/>
                <w:sz w:val="20"/>
                <w:szCs w:val="20"/>
              </w:rPr>
            </w:pPr>
            <w:r>
              <w:rPr>
                <w:noProof/>
                <w:sz w:val="20"/>
                <w:szCs w:val="20"/>
              </w:rPr>
              <w:t>0.05</w:t>
            </w:r>
          </w:p>
        </w:tc>
        <w:tc>
          <w:tcPr>
            <w:tcW w:w="337" w:type="pct"/>
            <w:tcBorders>
              <w:top w:val="single" w:sz="4" w:space="0" w:color="auto"/>
              <w:left w:val="single" w:sz="4" w:space="0" w:color="auto"/>
              <w:bottom w:val="single" w:sz="4" w:space="0" w:color="auto"/>
              <w:right w:val="single" w:sz="4" w:space="0" w:color="auto"/>
            </w:tcBorders>
            <w:vAlign w:val="center"/>
          </w:tcPr>
          <w:p w14:paraId="5726AD4A"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01D2E5E6"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12CA5F41"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78B50B04" w14:textId="77777777" w:rsidR="00B67E21" w:rsidRPr="00227BE0" w:rsidRDefault="00B67E21" w:rsidP="00B67E21">
            <w:pPr>
              <w:suppressAutoHyphens/>
              <w:jc w:val="center"/>
              <w:rPr>
                <w:rFonts w:eastAsia="SimSun"/>
                <w:sz w:val="20"/>
                <w:szCs w:val="20"/>
              </w:rPr>
            </w:pPr>
          </w:p>
        </w:tc>
        <w:tc>
          <w:tcPr>
            <w:tcW w:w="402" w:type="pct"/>
            <w:tcBorders>
              <w:top w:val="single" w:sz="4" w:space="0" w:color="auto"/>
              <w:left w:val="single" w:sz="4" w:space="0" w:color="auto"/>
              <w:bottom w:val="single" w:sz="4" w:space="0" w:color="auto"/>
              <w:right w:val="single" w:sz="4" w:space="0" w:color="auto"/>
            </w:tcBorders>
            <w:vAlign w:val="center"/>
          </w:tcPr>
          <w:p w14:paraId="54749775" w14:textId="77777777" w:rsidR="00B67E21" w:rsidRPr="00227BE0" w:rsidRDefault="00B67E21" w:rsidP="00B67E21">
            <w:pPr>
              <w:suppressAutoHyphens/>
              <w:rPr>
                <w:sz w:val="20"/>
                <w:szCs w:val="20"/>
              </w:rPr>
            </w:pPr>
            <w:r w:rsidRPr="00227BE0">
              <w:rPr>
                <w:rFonts w:eastAsia="SimSun"/>
                <w:sz w:val="20"/>
                <w:szCs w:val="20"/>
              </w:rPr>
              <w:t>4.100</w:t>
            </w:r>
          </w:p>
        </w:tc>
        <w:tc>
          <w:tcPr>
            <w:tcW w:w="345" w:type="pct"/>
            <w:tcBorders>
              <w:top w:val="single" w:sz="4" w:space="0" w:color="auto"/>
              <w:left w:val="single" w:sz="4" w:space="0" w:color="auto"/>
              <w:bottom w:val="single" w:sz="4" w:space="0" w:color="auto"/>
              <w:right w:val="single" w:sz="4" w:space="0" w:color="auto"/>
            </w:tcBorders>
            <w:vAlign w:val="center"/>
          </w:tcPr>
          <w:p w14:paraId="17E338DA" w14:textId="77777777" w:rsidR="00B67E21" w:rsidRPr="00227BE0" w:rsidRDefault="00B67E21" w:rsidP="00B67E21">
            <w:pPr>
              <w:widowControl w:val="0"/>
              <w:suppressAutoHyphens/>
              <w:jc w:val="center"/>
              <w:rPr>
                <w:noProof/>
                <w:sz w:val="20"/>
                <w:szCs w:val="20"/>
              </w:rPr>
            </w:pPr>
            <w:r w:rsidRPr="00227BE0">
              <w:rPr>
                <w:noProof/>
                <w:sz w:val="20"/>
                <w:szCs w:val="20"/>
              </w:rPr>
              <w:t>--</w:t>
            </w:r>
          </w:p>
        </w:tc>
      </w:tr>
      <w:tr w:rsidR="00B67E21" w:rsidRPr="00227BE0" w14:paraId="52E71CEC"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7FB0DD86" w14:textId="77777777" w:rsidR="00B67E21" w:rsidRPr="00227BE0" w:rsidRDefault="00B67E21" w:rsidP="00B67E21">
            <w:pPr>
              <w:widowControl w:val="0"/>
              <w:suppressAutoHyphens/>
              <w:rPr>
                <w:noProof/>
                <w:sz w:val="20"/>
                <w:szCs w:val="20"/>
                <w:vertAlign w:val="superscript"/>
              </w:rPr>
            </w:pPr>
            <w:r w:rsidRPr="00227BE0">
              <w:rPr>
                <w:sz w:val="20"/>
                <w:szCs w:val="20"/>
              </w:rPr>
              <w:t>D4 stream</w:t>
            </w:r>
          </w:p>
        </w:tc>
        <w:tc>
          <w:tcPr>
            <w:tcW w:w="273" w:type="pct"/>
            <w:tcBorders>
              <w:top w:val="single" w:sz="4" w:space="0" w:color="auto"/>
              <w:left w:val="single" w:sz="4" w:space="0" w:color="auto"/>
              <w:bottom w:val="single" w:sz="4" w:space="0" w:color="auto"/>
              <w:right w:val="single" w:sz="4" w:space="0" w:color="auto"/>
            </w:tcBorders>
            <w:vAlign w:val="center"/>
          </w:tcPr>
          <w:p w14:paraId="3F2F6228" w14:textId="77777777" w:rsidR="00B67E21" w:rsidRPr="00227BE0" w:rsidRDefault="00B67E21" w:rsidP="00B67E21">
            <w:pPr>
              <w:widowControl w:val="0"/>
              <w:suppressAutoHyphens/>
              <w:rPr>
                <w:noProof/>
                <w:sz w:val="20"/>
                <w:szCs w:val="20"/>
              </w:rPr>
            </w:pPr>
            <w:r w:rsidRPr="00227BE0">
              <w:rPr>
                <w:rFonts w:eastAsia="SimSun"/>
                <w:color w:val="000000"/>
                <w:sz w:val="20"/>
                <w:szCs w:val="20"/>
              </w:rPr>
              <w:t>0.724</w:t>
            </w:r>
          </w:p>
        </w:tc>
        <w:tc>
          <w:tcPr>
            <w:tcW w:w="282" w:type="pct"/>
            <w:tcBorders>
              <w:top w:val="single" w:sz="4" w:space="0" w:color="auto"/>
              <w:left w:val="single" w:sz="4" w:space="0" w:color="auto"/>
              <w:bottom w:val="single" w:sz="4" w:space="0" w:color="auto"/>
              <w:right w:val="single" w:sz="4" w:space="0" w:color="auto"/>
            </w:tcBorders>
            <w:vAlign w:val="bottom"/>
          </w:tcPr>
          <w:p w14:paraId="17D5687C" w14:textId="77777777" w:rsidR="00B67E21" w:rsidRPr="00227BE0" w:rsidRDefault="00B67E21" w:rsidP="00B67E21">
            <w:pPr>
              <w:widowControl w:val="0"/>
              <w:suppressAutoHyphens/>
              <w:jc w:val="center"/>
              <w:rPr>
                <w:b/>
                <w:noProof/>
                <w:sz w:val="20"/>
                <w:szCs w:val="20"/>
              </w:rPr>
            </w:pPr>
            <w:r w:rsidRPr="00227BE0">
              <w:rPr>
                <w:color w:val="000000"/>
                <w:sz w:val="20"/>
                <w:szCs w:val="20"/>
              </w:rPr>
              <w:t>0.2</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78D8AB" w14:textId="16CF2026" w:rsidR="00B67E21" w:rsidRPr="00227BE0" w:rsidRDefault="006F4609" w:rsidP="00B67E21">
            <w:pPr>
              <w:widowControl w:val="0"/>
              <w:suppressAutoHyphens/>
              <w:jc w:val="center"/>
              <w:rPr>
                <w:color w:val="000000"/>
                <w:sz w:val="20"/>
                <w:szCs w:val="20"/>
              </w:rPr>
            </w:pPr>
            <w:r>
              <w:rPr>
                <w:color w:val="000000"/>
                <w:sz w:val="20"/>
                <w:szCs w:val="20"/>
              </w:rPr>
              <w:t>0.20</w:t>
            </w:r>
          </w:p>
        </w:tc>
        <w:tc>
          <w:tcPr>
            <w:tcW w:w="337" w:type="pct"/>
            <w:tcBorders>
              <w:top w:val="single" w:sz="4" w:space="0" w:color="auto"/>
              <w:left w:val="single" w:sz="4" w:space="0" w:color="auto"/>
              <w:bottom w:val="single" w:sz="4" w:space="0" w:color="auto"/>
              <w:right w:val="single" w:sz="4" w:space="0" w:color="auto"/>
            </w:tcBorders>
            <w:vAlign w:val="bottom"/>
          </w:tcPr>
          <w:p w14:paraId="71160940" w14:textId="697479FD" w:rsidR="00B67E21" w:rsidRPr="00B67E21" w:rsidRDefault="00B67E21" w:rsidP="00B67E21">
            <w:pPr>
              <w:widowControl w:val="0"/>
              <w:suppressAutoHyphens/>
              <w:jc w:val="center"/>
              <w:rPr>
                <w:b/>
                <w:strike/>
                <w:noProof/>
                <w:color w:val="D9D9D9" w:themeColor="background1" w:themeShade="D9"/>
                <w:sz w:val="20"/>
                <w:szCs w:val="20"/>
              </w:rPr>
            </w:pPr>
            <w:r w:rsidRPr="00B67E21">
              <w:rPr>
                <w:strike/>
                <w:color w:val="D9D9D9" w:themeColor="background1" w:themeShade="D9"/>
                <w:sz w:val="20"/>
                <w:szCs w:val="20"/>
              </w:rPr>
              <w:t>0.1</w:t>
            </w:r>
          </w:p>
        </w:tc>
        <w:tc>
          <w:tcPr>
            <w:tcW w:w="319" w:type="pct"/>
            <w:tcBorders>
              <w:top w:val="single" w:sz="4" w:space="0" w:color="auto"/>
              <w:left w:val="single" w:sz="4" w:space="0" w:color="auto"/>
              <w:bottom w:val="single" w:sz="4" w:space="0" w:color="auto"/>
              <w:right w:val="single" w:sz="4" w:space="0" w:color="auto"/>
            </w:tcBorders>
            <w:vAlign w:val="center"/>
          </w:tcPr>
          <w:p w14:paraId="756DE2E5"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13A654C5"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0EBA7E" w14:textId="5EFFF549" w:rsidR="00B67E21" w:rsidRPr="00227BE0" w:rsidRDefault="006055B8" w:rsidP="00B67E21">
            <w:pPr>
              <w:widowControl w:val="0"/>
              <w:suppressAutoHyphens/>
              <w:jc w:val="center"/>
              <w:rPr>
                <w:noProof/>
                <w:sz w:val="20"/>
                <w:szCs w:val="20"/>
              </w:rPr>
            </w:pPr>
            <w:r>
              <w:rPr>
                <w:noProof/>
                <w:sz w:val="20"/>
                <w:szCs w:val="20"/>
              </w:rPr>
              <w:t>0.07</w:t>
            </w:r>
          </w:p>
        </w:tc>
        <w:tc>
          <w:tcPr>
            <w:tcW w:w="337" w:type="pct"/>
            <w:tcBorders>
              <w:top w:val="single" w:sz="4" w:space="0" w:color="auto"/>
              <w:left w:val="single" w:sz="4" w:space="0" w:color="auto"/>
              <w:bottom w:val="single" w:sz="4" w:space="0" w:color="auto"/>
              <w:right w:val="single" w:sz="4" w:space="0" w:color="auto"/>
            </w:tcBorders>
            <w:vAlign w:val="center"/>
          </w:tcPr>
          <w:p w14:paraId="23156511"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06D3093B"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6915DDEB"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06EF7723" w14:textId="77777777" w:rsidR="00B67E21" w:rsidRPr="00227BE0" w:rsidRDefault="00B67E21" w:rsidP="00B67E21">
            <w:pPr>
              <w:suppressAutoHyphens/>
              <w:jc w:val="center"/>
              <w:rPr>
                <w:rFonts w:eastAsia="SimSun"/>
                <w:sz w:val="20"/>
                <w:szCs w:val="20"/>
              </w:rPr>
            </w:pPr>
          </w:p>
        </w:tc>
        <w:tc>
          <w:tcPr>
            <w:tcW w:w="402" w:type="pct"/>
            <w:tcBorders>
              <w:top w:val="single" w:sz="4" w:space="0" w:color="auto"/>
              <w:left w:val="single" w:sz="4" w:space="0" w:color="auto"/>
              <w:bottom w:val="single" w:sz="4" w:space="0" w:color="auto"/>
              <w:right w:val="single" w:sz="4" w:space="0" w:color="auto"/>
            </w:tcBorders>
            <w:vAlign w:val="center"/>
          </w:tcPr>
          <w:p w14:paraId="2BBA295F" w14:textId="77777777" w:rsidR="00B67E21" w:rsidRPr="00227BE0" w:rsidRDefault="00B67E21" w:rsidP="00B67E21">
            <w:pPr>
              <w:suppressAutoHyphens/>
              <w:rPr>
                <w:sz w:val="20"/>
                <w:szCs w:val="20"/>
              </w:rPr>
            </w:pPr>
            <w:r w:rsidRPr="00227BE0">
              <w:rPr>
                <w:rFonts w:eastAsia="SimSun"/>
                <w:sz w:val="20"/>
                <w:szCs w:val="20"/>
              </w:rPr>
              <w:t>1.404</w:t>
            </w:r>
          </w:p>
        </w:tc>
        <w:tc>
          <w:tcPr>
            <w:tcW w:w="345" w:type="pct"/>
            <w:tcBorders>
              <w:top w:val="single" w:sz="4" w:space="0" w:color="auto"/>
              <w:left w:val="single" w:sz="4" w:space="0" w:color="auto"/>
              <w:bottom w:val="single" w:sz="4" w:space="0" w:color="auto"/>
              <w:right w:val="single" w:sz="4" w:space="0" w:color="auto"/>
            </w:tcBorders>
            <w:vAlign w:val="center"/>
          </w:tcPr>
          <w:p w14:paraId="1FD1E912" w14:textId="77777777" w:rsidR="00B67E21" w:rsidRPr="00227BE0" w:rsidRDefault="00B67E21" w:rsidP="00B67E21">
            <w:pPr>
              <w:widowControl w:val="0"/>
              <w:suppressAutoHyphens/>
              <w:jc w:val="center"/>
              <w:rPr>
                <w:noProof/>
                <w:sz w:val="20"/>
                <w:szCs w:val="20"/>
              </w:rPr>
            </w:pPr>
            <w:r w:rsidRPr="00227BE0">
              <w:rPr>
                <w:noProof/>
                <w:sz w:val="20"/>
                <w:szCs w:val="20"/>
              </w:rPr>
              <w:t>--</w:t>
            </w:r>
          </w:p>
        </w:tc>
      </w:tr>
      <w:tr w:rsidR="00B67E21" w:rsidRPr="00227BE0" w14:paraId="503A3342"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074D6B38" w14:textId="77777777" w:rsidR="00B67E21" w:rsidRPr="00227BE0" w:rsidRDefault="00B67E21" w:rsidP="00B67E21">
            <w:pPr>
              <w:widowControl w:val="0"/>
              <w:suppressAutoHyphens/>
              <w:rPr>
                <w:noProof/>
                <w:sz w:val="20"/>
                <w:szCs w:val="20"/>
                <w:vertAlign w:val="superscript"/>
              </w:rPr>
            </w:pPr>
            <w:r w:rsidRPr="00227BE0">
              <w:rPr>
                <w:sz w:val="20"/>
                <w:szCs w:val="20"/>
              </w:rPr>
              <w:lastRenderedPageBreak/>
              <w:t>D5 pond</w:t>
            </w:r>
          </w:p>
        </w:tc>
        <w:tc>
          <w:tcPr>
            <w:tcW w:w="273" w:type="pct"/>
            <w:tcBorders>
              <w:top w:val="single" w:sz="4" w:space="0" w:color="auto"/>
              <w:left w:val="single" w:sz="4" w:space="0" w:color="auto"/>
              <w:bottom w:val="single" w:sz="4" w:space="0" w:color="auto"/>
              <w:right w:val="single" w:sz="4" w:space="0" w:color="auto"/>
            </w:tcBorders>
            <w:vAlign w:val="center"/>
          </w:tcPr>
          <w:p w14:paraId="401702E2" w14:textId="77777777" w:rsidR="00B67E21" w:rsidRPr="00227BE0" w:rsidRDefault="00B67E21" w:rsidP="00B67E21">
            <w:pPr>
              <w:widowControl w:val="0"/>
              <w:suppressAutoHyphens/>
              <w:rPr>
                <w:noProof/>
                <w:sz w:val="20"/>
                <w:szCs w:val="20"/>
              </w:rPr>
            </w:pPr>
            <w:r w:rsidRPr="00227BE0">
              <w:rPr>
                <w:rFonts w:eastAsia="SimSun"/>
                <w:color w:val="000000"/>
                <w:sz w:val="20"/>
                <w:szCs w:val="20"/>
              </w:rPr>
              <w:t>0.301</w:t>
            </w:r>
          </w:p>
        </w:tc>
        <w:tc>
          <w:tcPr>
            <w:tcW w:w="282" w:type="pct"/>
            <w:tcBorders>
              <w:top w:val="single" w:sz="4" w:space="0" w:color="auto"/>
              <w:left w:val="single" w:sz="4" w:space="0" w:color="auto"/>
              <w:bottom w:val="single" w:sz="4" w:space="0" w:color="auto"/>
              <w:right w:val="single" w:sz="4" w:space="0" w:color="auto"/>
            </w:tcBorders>
            <w:vAlign w:val="bottom"/>
          </w:tcPr>
          <w:p w14:paraId="4DD67324" w14:textId="77777777" w:rsidR="00B67E21" w:rsidRPr="00227BE0" w:rsidRDefault="00B67E21" w:rsidP="00B67E21">
            <w:pPr>
              <w:widowControl w:val="0"/>
              <w:suppressAutoHyphens/>
              <w:jc w:val="center"/>
              <w:rPr>
                <w:b/>
                <w:noProof/>
                <w:sz w:val="20"/>
                <w:szCs w:val="20"/>
              </w:rPr>
            </w:pPr>
            <w:r w:rsidRPr="00227BE0">
              <w:rPr>
                <w:color w:val="000000"/>
                <w:sz w:val="20"/>
                <w:szCs w:val="20"/>
              </w:rPr>
              <w:t>0.1</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DEC6A5" w14:textId="2ADCA2F0" w:rsidR="00B67E21" w:rsidRPr="00227BE0" w:rsidRDefault="006F4609" w:rsidP="00B67E21">
            <w:pPr>
              <w:widowControl w:val="0"/>
              <w:suppressAutoHyphens/>
              <w:jc w:val="center"/>
              <w:rPr>
                <w:color w:val="000000"/>
                <w:sz w:val="20"/>
                <w:szCs w:val="20"/>
              </w:rPr>
            </w:pPr>
            <w:r>
              <w:rPr>
                <w:color w:val="000000"/>
                <w:sz w:val="20"/>
                <w:szCs w:val="20"/>
              </w:rPr>
              <w:t>0.08</w:t>
            </w:r>
          </w:p>
        </w:tc>
        <w:tc>
          <w:tcPr>
            <w:tcW w:w="337" w:type="pct"/>
            <w:tcBorders>
              <w:top w:val="single" w:sz="4" w:space="0" w:color="auto"/>
              <w:left w:val="single" w:sz="4" w:space="0" w:color="auto"/>
              <w:bottom w:val="single" w:sz="4" w:space="0" w:color="auto"/>
              <w:right w:val="single" w:sz="4" w:space="0" w:color="auto"/>
            </w:tcBorders>
            <w:vAlign w:val="bottom"/>
          </w:tcPr>
          <w:p w14:paraId="370BFA27" w14:textId="701C4DBA" w:rsidR="00B67E21" w:rsidRPr="00B67E21" w:rsidRDefault="00B67E21" w:rsidP="00B67E21">
            <w:pPr>
              <w:widowControl w:val="0"/>
              <w:suppressAutoHyphens/>
              <w:jc w:val="center"/>
              <w:rPr>
                <w:b/>
                <w:strike/>
                <w:noProof/>
                <w:color w:val="D9D9D9" w:themeColor="background1" w:themeShade="D9"/>
                <w:sz w:val="20"/>
                <w:szCs w:val="20"/>
              </w:rPr>
            </w:pPr>
            <w:r w:rsidRPr="00B67E21">
              <w:rPr>
                <w:strike/>
                <w:color w:val="D9D9D9" w:themeColor="background1" w:themeShade="D9"/>
                <w:sz w:val="20"/>
                <w:szCs w:val="20"/>
              </w:rPr>
              <w:t>0.04</w:t>
            </w:r>
          </w:p>
        </w:tc>
        <w:tc>
          <w:tcPr>
            <w:tcW w:w="319" w:type="pct"/>
            <w:tcBorders>
              <w:top w:val="single" w:sz="4" w:space="0" w:color="auto"/>
              <w:left w:val="single" w:sz="4" w:space="0" w:color="auto"/>
              <w:bottom w:val="single" w:sz="4" w:space="0" w:color="auto"/>
              <w:right w:val="single" w:sz="4" w:space="0" w:color="auto"/>
            </w:tcBorders>
            <w:vAlign w:val="center"/>
          </w:tcPr>
          <w:p w14:paraId="61888E58"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4EC9C08D"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ECC15B" w14:textId="7D5CA8A7" w:rsidR="00B67E21" w:rsidRPr="00227BE0" w:rsidRDefault="006055B8" w:rsidP="00B67E21">
            <w:pPr>
              <w:widowControl w:val="0"/>
              <w:suppressAutoHyphens/>
              <w:jc w:val="center"/>
              <w:rPr>
                <w:noProof/>
                <w:sz w:val="20"/>
                <w:szCs w:val="20"/>
              </w:rPr>
            </w:pPr>
            <w:r>
              <w:rPr>
                <w:noProof/>
                <w:sz w:val="20"/>
                <w:szCs w:val="20"/>
              </w:rPr>
              <w:t>0.03</w:t>
            </w:r>
          </w:p>
        </w:tc>
        <w:tc>
          <w:tcPr>
            <w:tcW w:w="337" w:type="pct"/>
            <w:tcBorders>
              <w:top w:val="single" w:sz="4" w:space="0" w:color="auto"/>
              <w:left w:val="single" w:sz="4" w:space="0" w:color="auto"/>
              <w:bottom w:val="single" w:sz="4" w:space="0" w:color="auto"/>
              <w:right w:val="single" w:sz="4" w:space="0" w:color="auto"/>
            </w:tcBorders>
            <w:vAlign w:val="center"/>
          </w:tcPr>
          <w:p w14:paraId="11C29BA0"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71D8FB40"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2C2BB3F2"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23A321C2" w14:textId="77777777" w:rsidR="00B67E21" w:rsidRPr="00227BE0" w:rsidRDefault="00B67E21" w:rsidP="00B67E21">
            <w:pPr>
              <w:suppressAutoHyphens/>
              <w:jc w:val="center"/>
              <w:rPr>
                <w:rFonts w:eastAsia="SimSun"/>
                <w:sz w:val="20"/>
                <w:szCs w:val="20"/>
              </w:rPr>
            </w:pPr>
          </w:p>
        </w:tc>
        <w:tc>
          <w:tcPr>
            <w:tcW w:w="402" w:type="pct"/>
            <w:tcBorders>
              <w:top w:val="single" w:sz="4" w:space="0" w:color="auto"/>
              <w:left w:val="single" w:sz="4" w:space="0" w:color="auto"/>
              <w:bottom w:val="single" w:sz="4" w:space="0" w:color="auto"/>
              <w:right w:val="single" w:sz="4" w:space="0" w:color="auto"/>
            </w:tcBorders>
            <w:vAlign w:val="center"/>
          </w:tcPr>
          <w:p w14:paraId="4452D6F5" w14:textId="77777777" w:rsidR="00B67E21" w:rsidRPr="00227BE0" w:rsidRDefault="00B67E21" w:rsidP="00B67E21">
            <w:pPr>
              <w:suppressAutoHyphens/>
              <w:rPr>
                <w:sz w:val="20"/>
                <w:szCs w:val="20"/>
              </w:rPr>
            </w:pPr>
            <w:r w:rsidRPr="00227BE0">
              <w:rPr>
                <w:rFonts w:eastAsia="SimSun"/>
                <w:sz w:val="20"/>
                <w:szCs w:val="20"/>
              </w:rPr>
              <w:t>3.189</w:t>
            </w:r>
          </w:p>
        </w:tc>
        <w:tc>
          <w:tcPr>
            <w:tcW w:w="345" w:type="pct"/>
            <w:tcBorders>
              <w:top w:val="single" w:sz="4" w:space="0" w:color="auto"/>
              <w:left w:val="single" w:sz="4" w:space="0" w:color="auto"/>
              <w:bottom w:val="single" w:sz="4" w:space="0" w:color="auto"/>
              <w:right w:val="single" w:sz="4" w:space="0" w:color="auto"/>
            </w:tcBorders>
            <w:vAlign w:val="center"/>
          </w:tcPr>
          <w:p w14:paraId="390D59C9" w14:textId="77777777" w:rsidR="00B67E21" w:rsidRPr="00227BE0" w:rsidRDefault="00B67E21" w:rsidP="00B67E21">
            <w:pPr>
              <w:widowControl w:val="0"/>
              <w:suppressAutoHyphens/>
              <w:jc w:val="center"/>
              <w:rPr>
                <w:noProof/>
                <w:sz w:val="20"/>
                <w:szCs w:val="20"/>
              </w:rPr>
            </w:pPr>
            <w:r w:rsidRPr="00227BE0">
              <w:rPr>
                <w:noProof/>
                <w:sz w:val="20"/>
                <w:szCs w:val="20"/>
              </w:rPr>
              <w:t>--</w:t>
            </w:r>
          </w:p>
        </w:tc>
      </w:tr>
      <w:tr w:rsidR="00B67E21" w:rsidRPr="00227BE0" w14:paraId="77780297"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63CD5081" w14:textId="77777777" w:rsidR="00B67E21" w:rsidRPr="00227BE0" w:rsidRDefault="00B67E21" w:rsidP="00B67E21">
            <w:pPr>
              <w:widowControl w:val="0"/>
              <w:suppressAutoHyphens/>
              <w:rPr>
                <w:noProof/>
                <w:sz w:val="20"/>
                <w:szCs w:val="20"/>
                <w:vertAlign w:val="superscript"/>
              </w:rPr>
            </w:pPr>
            <w:r w:rsidRPr="00227BE0">
              <w:rPr>
                <w:sz w:val="20"/>
                <w:szCs w:val="20"/>
              </w:rPr>
              <w:t>D5 stream</w:t>
            </w:r>
          </w:p>
        </w:tc>
        <w:tc>
          <w:tcPr>
            <w:tcW w:w="273" w:type="pct"/>
            <w:tcBorders>
              <w:top w:val="single" w:sz="4" w:space="0" w:color="auto"/>
              <w:left w:val="single" w:sz="4" w:space="0" w:color="auto"/>
              <w:bottom w:val="single" w:sz="4" w:space="0" w:color="auto"/>
              <w:right w:val="single" w:sz="4" w:space="0" w:color="auto"/>
            </w:tcBorders>
            <w:vAlign w:val="center"/>
          </w:tcPr>
          <w:p w14:paraId="5696436C" w14:textId="77777777" w:rsidR="00B67E21" w:rsidRPr="00227BE0" w:rsidRDefault="00B67E21" w:rsidP="00B67E21">
            <w:pPr>
              <w:widowControl w:val="0"/>
              <w:suppressAutoHyphens/>
              <w:rPr>
                <w:noProof/>
                <w:sz w:val="20"/>
                <w:szCs w:val="20"/>
              </w:rPr>
            </w:pPr>
            <w:r w:rsidRPr="00227BE0">
              <w:rPr>
                <w:rFonts w:eastAsia="SimSun"/>
                <w:color w:val="000000"/>
                <w:sz w:val="20"/>
                <w:szCs w:val="20"/>
              </w:rPr>
              <w:t>0.536</w:t>
            </w:r>
          </w:p>
        </w:tc>
        <w:tc>
          <w:tcPr>
            <w:tcW w:w="282" w:type="pct"/>
            <w:tcBorders>
              <w:top w:val="single" w:sz="4" w:space="0" w:color="auto"/>
              <w:left w:val="single" w:sz="4" w:space="0" w:color="auto"/>
              <w:bottom w:val="single" w:sz="4" w:space="0" w:color="auto"/>
              <w:right w:val="single" w:sz="4" w:space="0" w:color="auto"/>
            </w:tcBorders>
            <w:vAlign w:val="bottom"/>
          </w:tcPr>
          <w:p w14:paraId="5DA568EA" w14:textId="77777777" w:rsidR="00B67E21" w:rsidRPr="00227BE0" w:rsidRDefault="00B67E21" w:rsidP="00B67E21">
            <w:pPr>
              <w:widowControl w:val="0"/>
              <w:suppressAutoHyphens/>
              <w:jc w:val="center"/>
              <w:rPr>
                <w:b/>
                <w:noProof/>
                <w:sz w:val="20"/>
                <w:szCs w:val="20"/>
              </w:rPr>
            </w:pPr>
            <w:r w:rsidRPr="00227BE0">
              <w:rPr>
                <w:color w:val="000000"/>
                <w:sz w:val="20"/>
                <w:szCs w:val="20"/>
              </w:rPr>
              <w:t>0.2</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7BAB40" w14:textId="4830B84B" w:rsidR="00B67E21" w:rsidRPr="00227BE0" w:rsidRDefault="006F4609" w:rsidP="00B67E21">
            <w:pPr>
              <w:widowControl w:val="0"/>
              <w:suppressAutoHyphens/>
              <w:jc w:val="center"/>
              <w:rPr>
                <w:color w:val="000000"/>
                <w:sz w:val="20"/>
                <w:szCs w:val="20"/>
              </w:rPr>
            </w:pPr>
            <w:r>
              <w:rPr>
                <w:color w:val="000000"/>
                <w:sz w:val="20"/>
                <w:szCs w:val="20"/>
              </w:rPr>
              <w:t>0.</w:t>
            </w:r>
            <w:r w:rsidR="00D467C8">
              <w:rPr>
                <w:color w:val="000000"/>
                <w:sz w:val="20"/>
                <w:szCs w:val="20"/>
              </w:rPr>
              <w:t>15</w:t>
            </w:r>
          </w:p>
        </w:tc>
        <w:tc>
          <w:tcPr>
            <w:tcW w:w="337" w:type="pct"/>
            <w:tcBorders>
              <w:top w:val="single" w:sz="4" w:space="0" w:color="auto"/>
              <w:left w:val="single" w:sz="4" w:space="0" w:color="auto"/>
              <w:bottom w:val="single" w:sz="4" w:space="0" w:color="auto"/>
              <w:right w:val="single" w:sz="4" w:space="0" w:color="auto"/>
            </w:tcBorders>
            <w:vAlign w:val="bottom"/>
          </w:tcPr>
          <w:p w14:paraId="2DB6BB51" w14:textId="5F36C049" w:rsidR="00B67E21" w:rsidRPr="00B67E21" w:rsidRDefault="00B67E21" w:rsidP="00B67E21">
            <w:pPr>
              <w:widowControl w:val="0"/>
              <w:suppressAutoHyphens/>
              <w:jc w:val="center"/>
              <w:rPr>
                <w:b/>
                <w:strike/>
                <w:noProof/>
                <w:color w:val="D9D9D9" w:themeColor="background1" w:themeShade="D9"/>
                <w:sz w:val="20"/>
                <w:szCs w:val="20"/>
              </w:rPr>
            </w:pPr>
            <w:r w:rsidRPr="00B67E21">
              <w:rPr>
                <w:strike/>
                <w:color w:val="D9D9D9" w:themeColor="background1" w:themeShade="D9"/>
                <w:sz w:val="20"/>
                <w:szCs w:val="20"/>
              </w:rPr>
              <w:t>0.08</w:t>
            </w:r>
          </w:p>
        </w:tc>
        <w:tc>
          <w:tcPr>
            <w:tcW w:w="319" w:type="pct"/>
            <w:tcBorders>
              <w:top w:val="single" w:sz="4" w:space="0" w:color="auto"/>
              <w:left w:val="single" w:sz="4" w:space="0" w:color="auto"/>
              <w:bottom w:val="single" w:sz="4" w:space="0" w:color="auto"/>
              <w:right w:val="single" w:sz="4" w:space="0" w:color="auto"/>
            </w:tcBorders>
            <w:vAlign w:val="center"/>
          </w:tcPr>
          <w:p w14:paraId="563CD1E4"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764CEBE5"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02A8C1" w14:textId="5F506F56" w:rsidR="00B67E21" w:rsidRPr="00227BE0" w:rsidRDefault="006055B8" w:rsidP="00B67E21">
            <w:pPr>
              <w:widowControl w:val="0"/>
              <w:suppressAutoHyphens/>
              <w:jc w:val="center"/>
              <w:rPr>
                <w:noProof/>
                <w:sz w:val="20"/>
                <w:szCs w:val="20"/>
              </w:rPr>
            </w:pPr>
            <w:r>
              <w:rPr>
                <w:noProof/>
                <w:sz w:val="20"/>
                <w:szCs w:val="20"/>
              </w:rPr>
              <w:t>0.05</w:t>
            </w:r>
          </w:p>
        </w:tc>
        <w:tc>
          <w:tcPr>
            <w:tcW w:w="337" w:type="pct"/>
            <w:tcBorders>
              <w:top w:val="single" w:sz="4" w:space="0" w:color="auto"/>
              <w:left w:val="single" w:sz="4" w:space="0" w:color="auto"/>
              <w:bottom w:val="single" w:sz="4" w:space="0" w:color="auto"/>
              <w:right w:val="single" w:sz="4" w:space="0" w:color="auto"/>
            </w:tcBorders>
            <w:vAlign w:val="center"/>
          </w:tcPr>
          <w:p w14:paraId="0110B1A2"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787B4C32"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2D27189E"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4FE83472" w14:textId="77777777" w:rsidR="00B67E21" w:rsidRPr="00227BE0" w:rsidRDefault="00B67E21" w:rsidP="00B67E21">
            <w:pPr>
              <w:suppressAutoHyphens/>
              <w:jc w:val="center"/>
              <w:rPr>
                <w:rFonts w:eastAsia="SimSun"/>
                <w:sz w:val="20"/>
                <w:szCs w:val="20"/>
              </w:rPr>
            </w:pPr>
          </w:p>
        </w:tc>
        <w:tc>
          <w:tcPr>
            <w:tcW w:w="402" w:type="pct"/>
            <w:tcBorders>
              <w:top w:val="single" w:sz="4" w:space="0" w:color="auto"/>
              <w:left w:val="single" w:sz="4" w:space="0" w:color="auto"/>
              <w:bottom w:val="single" w:sz="4" w:space="0" w:color="auto"/>
              <w:right w:val="single" w:sz="4" w:space="0" w:color="auto"/>
            </w:tcBorders>
            <w:vAlign w:val="center"/>
          </w:tcPr>
          <w:p w14:paraId="1A30EB75" w14:textId="77777777" w:rsidR="00B67E21" w:rsidRPr="00227BE0" w:rsidRDefault="00B67E21" w:rsidP="00B67E21">
            <w:pPr>
              <w:suppressAutoHyphens/>
              <w:rPr>
                <w:sz w:val="20"/>
                <w:szCs w:val="20"/>
              </w:rPr>
            </w:pPr>
            <w:r w:rsidRPr="00227BE0">
              <w:rPr>
                <w:rFonts w:eastAsia="SimSun"/>
                <w:sz w:val="20"/>
                <w:szCs w:val="20"/>
              </w:rPr>
              <w:t>0.569</w:t>
            </w:r>
          </w:p>
        </w:tc>
        <w:tc>
          <w:tcPr>
            <w:tcW w:w="345" w:type="pct"/>
            <w:tcBorders>
              <w:top w:val="single" w:sz="4" w:space="0" w:color="auto"/>
              <w:left w:val="single" w:sz="4" w:space="0" w:color="auto"/>
              <w:bottom w:val="single" w:sz="4" w:space="0" w:color="auto"/>
              <w:right w:val="single" w:sz="4" w:space="0" w:color="auto"/>
            </w:tcBorders>
            <w:vAlign w:val="center"/>
          </w:tcPr>
          <w:p w14:paraId="61C5AC83" w14:textId="77777777" w:rsidR="00B67E21" w:rsidRPr="00227BE0" w:rsidRDefault="00B67E21" w:rsidP="00B67E21">
            <w:pPr>
              <w:widowControl w:val="0"/>
              <w:suppressAutoHyphens/>
              <w:jc w:val="center"/>
              <w:rPr>
                <w:noProof/>
                <w:sz w:val="20"/>
                <w:szCs w:val="20"/>
              </w:rPr>
            </w:pPr>
            <w:r w:rsidRPr="00227BE0">
              <w:rPr>
                <w:noProof/>
                <w:sz w:val="20"/>
                <w:szCs w:val="20"/>
              </w:rPr>
              <w:t>--</w:t>
            </w:r>
          </w:p>
        </w:tc>
      </w:tr>
      <w:tr w:rsidR="00B67E21" w:rsidRPr="00227BE0" w14:paraId="79C6013B" w14:textId="77777777" w:rsidTr="00B67E21">
        <w:trPr>
          <w:cantSplit/>
        </w:trPr>
        <w:tc>
          <w:tcPr>
            <w:tcW w:w="459" w:type="pct"/>
            <w:tcBorders>
              <w:top w:val="single" w:sz="4" w:space="0" w:color="auto"/>
              <w:left w:val="single" w:sz="4" w:space="0" w:color="auto"/>
              <w:bottom w:val="single" w:sz="4" w:space="0" w:color="auto"/>
              <w:right w:val="single" w:sz="4" w:space="0" w:color="auto"/>
            </w:tcBorders>
            <w:vAlign w:val="center"/>
            <w:hideMark/>
          </w:tcPr>
          <w:p w14:paraId="5208555D" w14:textId="77777777" w:rsidR="00B67E21" w:rsidRPr="00227BE0" w:rsidRDefault="00B67E21" w:rsidP="00B67E21">
            <w:pPr>
              <w:widowControl w:val="0"/>
              <w:suppressAutoHyphens/>
              <w:rPr>
                <w:noProof/>
                <w:sz w:val="20"/>
                <w:szCs w:val="20"/>
                <w:vertAlign w:val="superscript"/>
              </w:rPr>
            </w:pPr>
            <w:r w:rsidRPr="00227BE0">
              <w:rPr>
                <w:sz w:val="20"/>
                <w:szCs w:val="20"/>
              </w:rPr>
              <w:t>R4 stream</w:t>
            </w:r>
          </w:p>
        </w:tc>
        <w:tc>
          <w:tcPr>
            <w:tcW w:w="273" w:type="pct"/>
            <w:tcBorders>
              <w:top w:val="single" w:sz="4" w:space="0" w:color="auto"/>
              <w:left w:val="single" w:sz="4" w:space="0" w:color="auto"/>
              <w:bottom w:val="single" w:sz="4" w:space="0" w:color="auto"/>
              <w:right w:val="single" w:sz="4" w:space="0" w:color="auto"/>
            </w:tcBorders>
            <w:vAlign w:val="center"/>
          </w:tcPr>
          <w:p w14:paraId="24BFAA07" w14:textId="77777777" w:rsidR="00B67E21" w:rsidRPr="00227BE0" w:rsidRDefault="00B67E21" w:rsidP="00B67E21">
            <w:pPr>
              <w:widowControl w:val="0"/>
              <w:suppressAutoHyphens/>
              <w:rPr>
                <w:noProof/>
                <w:sz w:val="20"/>
                <w:szCs w:val="20"/>
              </w:rPr>
            </w:pPr>
            <w:r w:rsidRPr="00227BE0">
              <w:rPr>
                <w:rFonts w:eastAsia="SimSun"/>
                <w:color w:val="000000"/>
                <w:sz w:val="20"/>
                <w:szCs w:val="20"/>
              </w:rPr>
              <w:t>0.895</w:t>
            </w:r>
          </w:p>
        </w:tc>
        <w:tc>
          <w:tcPr>
            <w:tcW w:w="282" w:type="pct"/>
            <w:tcBorders>
              <w:top w:val="single" w:sz="4" w:space="0" w:color="auto"/>
              <w:left w:val="single" w:sz="4" w:space="0" w:color="auto"/>
              <w:bottom w:val="single" w:sz="4" w:space="0" w:color="auto"/>
              <w:right w:val="single" w:sz="4" w:space="0" w:color="auto"/>
            </w:tcBorders>
            <w:vAlign w:val="bottom"/>
          </w:tcPr>
          <w:p w14:paraId="67EA8ED4" w14:textId="77777777" w:rsidR="00B67E21" w:rsidRPr="00227BE0" w:rsidRDefault="00B67E21" w:rsidP="00B67E21">
            <w:pPr>
              <w:widowControl w:val="0"/>
              <w:suppressAutoHyphens/>
              <w:jc w:val="center"/>
              <w:rPr>
                <w:b/>
                <w:noProof/>
                <w:sz w:val="20"/>
                <w:szCs w:val="20"/>
              </w:rPr>
            </w:pPr>
            <w:r w:rsidRPr="00227BE0">
              <w:rPr>
                <w:color w:val="000000"/>
                <w:sz w:val="20"/>
                <w:szCs w:val="20"/>
              </w:rPr>
              <w:t>0.3</w:t>
            </w:r>
          </w:p>
        </w:tc>
        <w:tc>
          <w:tcPr>
            <w:tcW w:w="33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2C9AE0" w14:textId="7740791C" w:rsidR="00B67E21" w:rsidRPr="00227BE0" w:rsidRDefault="00D467C8" w:rsidP="00B67E21">
            <w:pPr>
              <w:widowControl w:val="0"/>
              <w:suppressAutoHyphens/>
              <w:jc w:val="center"/>
              <w:rPr>
                <w:color w:val="000000"/>
                <w:sz w:val="20"/>
                <w:szCs w:val="20"/>
              </w:rPr>
            </w:pPr>
            <w:r>
              <w:rPr>
                <w:color w:val="000000"/>
                <w:sz w:val="20"/>
                <w:szCs w:val="20"/>
              </w:rPr>
              <w:t>0.25</w:t>
            </w:r>
          </w:p>
        </w:tc>
        <w:tc>
          <w:tcPr>
            <w:tcW w:w="337" w:type="pct"/>
            <w:tcBorders>
              <w:top w:val="single" w:sz="4" w:space="0" w:color="auto"/>
              <w:left w:val="single" w:sz="4" w:space="0" w:color="auto"/>
              <w:bottom w:val="single" w:sz="4" w:space="0" w:color="auto"/>
              <w:right w:val="single" w:sz="4" w:space="0" w:color="auto"/>
            </w:tcBorders>
            <w:vAlign w:val="bottom"/>
          </w:tcPr>
          <w:p w14:paraId="2C765560" w14:textId="78605869" w:rsidR="00B67E21" w:rsidRPr="00B67E21" w:rsidRDefault="00B67E21" w:rsidP="00B67E21">
            <w:pPr>
              <w:widowControl w:val="0"/>
              <w:suppressAutoHyphens/>
              <w:jc w:val="center"/>
              <w:rPr>
                <w:b/>
                <w:strike/>
                <w:noProof/>
                <w:color w:val="D9D9D9" w:themeColor="background1" w:themeShade="D9"/>
                <w:sz w:val="20"/>
                <w:szCs w:val="20"/>
              </w:rPr>
            </w:pPr>
            <w:r w:rsidRPr="00B67E21">
              <w:rPr>
                <w:strike/>
                <w:color w:val="D9D9D9" w:themeColor="background1" w:themeShade="D9"/>
                <w:sz w:val="20"/>
                <w:szCs w:val="20"/>
              </w:rPr>
              <w:t>0.1</w:t>
            </w:r>
          </w:p>
        </w:tc>
        <w:tc>
          <w:tcPr>
            <w:tcW w:w="319" w:type="pct"/>
            <w:tcBorders>
              <w:top w:val="single" w:sz="4" w:space="0" w:color="auto"/>
              <w:left w:val="single" w:sz="4" w:space="0" w:color="auto"/>
              <w:bottom w:val="single" w:sz="4" w:space="0" w:color="auto"/>
              <w:right w:val="single" w:sz="4" w:space="0" w:color="auto"/>
            </w:tcBorders>
            <w:vAlign w:val="center"/>
          </w:tcPr>
          <w:p w14:paraId="52B60F1A"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83" w:type="pct"/>
            <w:tcBorders>
              <w:top w:val="single" w:sz="4" w:space="0" w:color="auto"/>
              <w:left w:val="single" w:sz="4" w:space="0" w:color="auto"/>
              <w:bottom w:val="single" w:sz="4" w:space="0" w:color="auto"/>
              <w:right w:val="single" w:sz="4" w:space="0" w:color="auto"/>
            </w:tcBorders>
            <w:vAlign w:val="center"/>
          </w:tcPr>
          <w:p w14:paraId="2D6E405F"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9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A853E0" w14:textId="20C08784" w:rsidR="00B67E21" w:rsidRPr="00227BE0" w:rsidRDefault="006055B8" w:rsidP="00B67E21">
            <w:pPr>
              <w:widowControl w:val="0"/>
              <w:suppressAutoHyphens/>
              <w:jc w:val="center"/>
              <w:rPr>
                <w:noProof/>
                <w:sz w:val="20"/>
                <w:szCs w:val="20"/>
              </w:rPr>
            </w:pPr>
            <w:r>
              <w:rPr>
                <w:noProof/>
                <w:sz w:val="20"/>
                <w:szCs w:val="20"/>
              </w:rPr>
              <w:t>0.08</w:t>
            </w:r>
          </w:p>
        </w:tc>
        <w:tc>
          <w:tcPr>
            <w:tcW w:w="337" w:type="pct"/>
            <w:tcBorders>
              <w:top w:val="single" w:sz="4" w:space="0" w:color="auto"/>
              <w:left w:val="single" w:sz="4" w:space="0" w:color="auto"/>
              <w:bottom w:val="single" w:sz="4" w:space="0" w:color="auto"/>
              <w:right w:val="single" w:sz="4" w:space="0" w:color="auto"/>
            </w:tcBorders>
            <w:vAlign w:val="center"/>
          </w:tcPr>
          <w:p w14:paraId="49A6B0A2"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1AD32539"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325" w:type="pct"/>
            <w:tcBorders>
              <w:top w:val="single" w:sz="4" w:space="0" w:color="auto"/>
              <w:left w:val="single" w:sz="4" w:space="0" w:color="auto"/>
              <w:bottom w:val="single" w:sz="4" w:space="0" w:color="auto"/>
              <w:right w:val="single" w:sz="4" w:space="0" w:color="auto"/>
            </w:tcBorders>
            <w:vAlign w:val="center"/>
          </w:tcPr>
          <w:p w14:paraId="3147C48A" w14:textId="77777777" w:rsidR="00B67E21" w:rsidRPr="00227BE0" w:rsidRDefault="00B67E21" w:rsidP="00B67E21">
            <w:pPr>
              <w:widowControl w:val="0"/>
              <w:suppressAutoHyphens/>
              <w:jc w:val="center"/>
              <w:rPr>
                <w:noProof/>
                <w:sz w:val="20"/>
                <w:szCs w:val="20"/>
              </w:rPr>
            </w:pPr>
            <w:r w:rsidRPr="00227BE0">
              <w:rPr>
                <w:noProof/>
                <w:sz w:val="20"/>
                <w:szCs w:val="20"/>
              </w:rPr>
              <w:t>--</w:t>
            </w:r>
          </w:p>
        </w:tc>
        <w:tc>
          <w:tcPr>
            <w:tcW w:w="402" w:type="pct"/>
            <w:tcBorders>
              <w:top w:val="single" w:sz="4" w:space="0" w:color="auto"/>
              <w:left w:val="single" w:sz="4" w:space="0" w:color="auto"/>
              <w:bottom w:val="single" w:sz="4" w:space="0" w:color="auto"/>
              <w:right w:val="single" w:sz="4" w:space="0" w:color="auto"/>
            </w:tcBorders>
            <w:vAlign w:val="center"/>
          </w:tcPr>
          <w:p w14:paraId="294BAAE4" w14:textId="77777777" w:rsidR="00B67E21" w:rsidRPr="00227BE0" w:rsidRDefault="00B67E21" w:rsidP="00B67E21">
            <w:pPr>
              <w:suppressAutoHyphens/>
              <w:jc w:val="center"/>
              <w:rPr>
                <w:rFonts w:eastAsia="SimSun"/>
                <w:sz w:val="20"/>
                <w:szCs w:val="20"/>
              </w:rPr>
            </w:pPr>
          </w:p>
        </w:tc>
        <w:tc>
          <w:tcPr>
            <w:tcW w:w="402" w:type="pct"/>
            <w:tcBorders>
              <w:top w:val="single" w:sz="4" w:space="0" w:color="auto"/>
              <w:left w:val="single" w:sz="4" w:space="0" w:color="auto"/>
              <w:bottom w:val="single" w:sz="4" w:space="0" w:color="auto"/>
              <w:right w:val="single" w:sz="4" w:space="0" w:color="auto"/>
            </w:tcBorders>
            <w:vAlign w:val="center"/>
          </w:tcPr>
          <w:p w14:paraId="56E7AE9D" w14:textId="77777777" w:rsidR="00B67E21" w:rsidRPr="00227BE0" w:rsidRDefault="00B67E21" w:rsidP="00B67E21">
            <w:pPr>
              <w:suppressAutoHyphens/>
              <w:rPr>
                <w:sz w:val="20"/>
                <w:szCs w:val="20"/>
              </w:rPr>
            </w:pPr>
            <w:r w:rsidRPr="00227BE0">
              <w:rPr>
                <w:rFonts w:eastAsia="SimSun"/>
                <w:sz w:val="20"/>
                <w:szCs w:val="20"/>
              </w:rPr>
              <w:t>0.982</w:t>
            </w:r>
          </w:p>
        </w:tc>
        <w:tc>
          <w:tcPr>
            <w:tcW w:w="345" w:type="pct"/>
            <w:tcBorders>
              <w:top w:val="single" w:sz="4" w:space="0" w:color="auto"/>
              <w:left w:val="single" w:sz="4" w:space="0" w:color="auto"/>
              <w:bottom w:val="single" w:sz="4" w:space="0" w:color="auto"/>
              <w:right w:val="single" w:sz="4" w:space="0" w:color="auto"/>
            </w:tcBorders>
            <w:vAlign w:val="center"/>
          </w:tcPr>
          <w:p w14:paraId="1122A94F" w14:textId="77777777" w:rsidR="00B67E21" w:rsidRPr="00227BE0" w:rsidRDefault="00B67E21" w:rsidP="00B67E21">
            <w:pPr>
              <w:widowControl w:val="0"/>
              <w:suppressAutoHyphens/>
              <w:jc w:val="center"/>
              <w:rPr>
                <w:noProof/>
                <w:sz w:val="20"/>
                <w:szCs w:val="20"/>
              </w:rPr>
            </w:pPr>
            <w:r w:rsidRPr="00227BE0">
              <w:rPr>
                <w:noProof/>
                <w:sz w:val="20"/>
                <w:szCs w:val="20"/>
              </w:rPr>
              <w:t>--</w:t>
            </w:r>
          </w:p>
        </w:tc>
      </w:tr>
    </w:tbl>
    <w:p w14:paraId="3C2A23DA" w14:textId="77777777" w:rsidR="00E51CDD" w:rsidRPr="00227BE0" w:rsidRDefault="00E51CDD" w:rsidP="00E51CDD">
      <w:pPr>
        <w:widowControl w:val="0"/>
        <w:tabs>
          <w:tab w:val="left" w:pos="425"/>
        </w:tabs>
        <w:suppressAutoHyphens/>
        <w:ind w:left="284" w:hanging="284"/>
        <w:jc w:val="both"/>
        <w:rPr>
          <w:noProof/>
          <w:sz w:val="18"/>
          <w:szCs w:val="18"/>
        </w:rPr>
      </w:pPr>
      <w:r w:rsidRPr="00227BE0">
        <w:rPr>
          <w:noProof/>
          <w:sz w:val="18"/>
          <w:szCs w:val="18"/>
        </w:rPr>
        <w:t>AF: Assessment factor; PEC: Predicted environmental concentration; RAC: Regulatory acceptable concentration; ETR: Exposure-toxicity ratio; PEC/RAC ratios (= ETR) above the relevant trigger of 1 are shown in bold</w:t>
      </w:r>
    </w:p>
    <w:p w14:paraId="37AE3FEE" w14:textId="77777777" w:rsidR="00E51CDD" w:rsidRPr="00227BE0" w:rsidRDefault="00E51CDD" w:rsidP="00E51CDD">
      <w:pPr>
        <w:widowControl w:val="0"/>
        <w:suppressAutoHyphens/>
        <w:ind w:left="284" w:hanging="284"/>
        <w:jc w:val="both"/>
      </w:pPr>
      <w:r w:rsidRPr="00227BE0">
        <w:rPr>
          <w:sz w:val="18"/>
          <w:szCs w:val="18"/>
          <w:vertAlign w:val="superscript"/>
        </w:rPr>
        <w:t>#</w:t>
      </w:r>
      <w:r w:rsidRPr="00227BE0">
        <w:rPr>
          <w:sz w:val="18"/>
          <w:szCs w:val="18"/>
        </w:rPr>
        <w:tab/>
        <w:t>PEC values are derived from calculation for either single or twofold application of BAS 736 00 F in spring cereals in a risk envelope approach. For details, please refer to Part B, Section 8.9.</w:t>
      </w:r>
    </w:p>
    <w:p w14:paraId="32D77038" w14:textId="77777777" w:rsidR="00E51CDD" w:rsidRPr="00227BE0" w:rsidRDefault="00E51CDD" w:rsidP="00E51CDD">
      <w:pPr>
        <w:widowControl w:val="0"/>
        <w:suppressAutoHyphens/>
        <w:ind w:left="284" w:hanging="284"/>
        <w:jc w:val="both"/>
      </w:pPr>
    </w:p>
    <w:p w14:paraId="0DF8D742" w14:textId="77777777" w:rsidR="00E51CDD" w:rsidRPr="00227BE0" w:rsidRDefault="00E51CDD" w:rsidP="00E51CDD">
      <w:pPr>
        <w:widowControl w:val="0"/>
        <w:suppressAutoHyphens/>
        <w:ind w:left="284" w:hanging="284"/>
        <w:jc w:val="both"/>
      </w:pPr>
    </w:p>
    <w:p w14:paraId="1E66BA52" w14:textId="77777777" w:rsidR="00E51CDD" w:rsidRPr="00227BE0" w:rsidRDefault="00E51CDD" w:rsidP="00E51CDD">
      <w:pPr>
        <w:widowControl w:val="0"/>
        <w:suppressAutoHyphens/>
        <w:jc w:val="both"/>
      </w:pPr>
      <w:r w:rsidRPr="00227BE0">
        <w:t>For the intended use of fluxapyroxad in ‘spring cereals’ at 1x and 2x 100 g a.s./ha, the calculated PEC/RAC ratios indicate an acceptable risk for all groups of aquatic organisms based on tier 1 toxicity data and Step 1 - 3 PEC</w:t>
      </w:r>
      <w:r w:rsidRPr="00227BE0">
        <w:rPr>
          <w:vertAlign w:val="subscript"/>
        </w:rPr>
        <w:t>sw</w:t>
      </w:r>
      <w:r w:rsidRPr="00227BE0">
        <w:t xml:space="preserve"> and PEC</w:t>
      </w:r>
      <w:r w:rsidRPr="00227BE0">
        <w:rPr>
          <w:vertAlign w:val="subscript"/>
        </w:rPr>
        <w:t>sed</w:t>
      </w:r>
      <w:r w:rsidRPr="00227BE0">
        <w:t xml:space="preserve"> values. Therefore, no further assessment is necessary.</w:t>
      </w:r>
    </w:p>
    <w:p w14:paraId="6606B03B" w14:textId="77777777" w:rsidR="00E51CDD" w:rsidRPr="00227BE0" w:rsidRDefault="00E51CDD" w:rsidP="00E51CDD">
      <w:pPr>
        <w:widowControl w:val="0"/>
        <w:suppressAutoHyphens/>
        <w:jc w:val="both"/>
      </w:pPr>
    </w:p>
    <w:p w14:paraId="29A3BC79" w14:textId="77777777" w:rsidR="00E51CDD" w:rsidRPr="00227BE0" w:rsidRDefault="00E51CDD" w:rsidP="00E51CDD">
      <w:pPr>
        <w:pStyle w:val="RepTableFootnote"/>
        <w:rPr>
          <w:color w:val="4472C4" w:themeColor="accent1"/>
          <w:lang w:val="en-GB"/>
        </w:rPr>
      </w:pPr>
    </w:p>
    <w:p w14:paraId="09823D29" w14:textId="77777777" w:rsidR="00E51CDD" w:rsidRPr="00227BE0" w:rsidRDefault="00E51CDD" w:rsidP="00E51CDD">
      <w:pPr>
        <w:pStyle w:val="RepStandard"/>
        <w:sectPr w:rsidR="00E51CDD" w:rsidRPr="00227BE0" w:rsidSect="00D20BDB">
          <w:headerReference w:type="even" r:id="rId32"/>
          <w:headerReference w:type="default" r:id="rId33"/>
          <w:footerReference w:type="default" r:id="rId34"/>
          <w:headerReference w:type="first" r:id="rId35"/>
          <w:pgSz w:w="16834" w:h="11909" w:orient="landscape" w:code="9"/>
          <w:pgMar w:top="1418" w:right="1134" w:bottom="1134" w:left="1134" w:header="709" w:footer="709" w:gutter="0"/>
          <w:pgNumType w:chapSep="period"/>
          <w:cols w:space="720"/>
          <w:noEndnote/>
          <w:docGrid w:linePitch="299"/>
        </w:sectPr>
      </w:pPr>
    </w:p>
    <w:p w14:paraId="64710125" w14:textId="77777777" w:rsidR="00E51CDD" w:rsidRPr="00227BE0" w:rsidRDefault="00E51CDD" w:rsidP="00E51CDD">
      <w:pPr>
        <w:widowControl w:val="0"/>
        <w:suppressAutoHyphens/>
        <w:jc w:val="both"/>
        <w:rPr>
          <w:b/>
          <w:u w:val="single"/>
        </w:rPr>
      </w:pPr>
      <w:bookmarkStart w:id="502" w:name="_Toc399487274"/>
      <w:bookmarkStart w:id="503" w:name="_Toc412644000"/>
      <w:bookmarkStart w:id="504" w:name="_Toc413916844"/>
      <w:bookmarkStart w:id="505" w:name="_Toc413916986"/>
      <w:bookmarkStart w:id="506" w:name="_Toc413922047"/>
      <w:bookmarkStart w:id="507" w:name="_Toc413922536"/>
      <w:bookmarkStart w:id="508" w:name="_Toc413922640"/>
      <w:bookmarkStart w:id="509" w:name="_Toc414955277"/>
      <w:bookmarkStart w:id="510" w:name="_Toc415214584"/>
      <w:r w:rsidRPr="00227BE0">
        <w:rPr>
          <w:b/>
          <w:u w:val="single"/>
        </w:rPr>
        <w:lastRenderedPageBreak/>
        <w:t>Metabolites of fluxapyroxad (BAS 700 F)</w:t>
      </w:r>
    </w:p>
    <w:p w14:paraId="5E45CB92" w14:textId="77777777" w:rsidR="00E51CDD" w:rsidRPr="00227BE0" w:rsidRDefault="00E51CDD" w:rsidP="00E51CDD">
      <w:pPr>
        <w:widowControl w:val="0"/>
        <w:suppressAutoHyphens/>
        <w:jc w:val="both"/>
        <w:rPr>
          <w:b/>
          <w:u w:val="single"/>
        </w:rPr>
      </w:pPr>
    </w:p>
    <w:p w14:paraId="369F85CB" w14:textId="1312C219" w:rsidR="00E51CDD" w:rsidRPr="00227BE0" w:rsidRDefault="00E51CDD" w:rsidP="00E51CDD">
      <w:pPr>
        <w:widowControl w:val="0"/>
        <w:suppressAutoHyphens/>
        <w:jc w:val="both"/>
      </w:pPr>
      <w:r w:rsidRPr="00227BE0">
        <w:t xml:space="preserve">The ETR ratios for the relevant metabolites of fluxapyroxad are presented in </w:t>
      </w:r>
      <w:r w:rsidRPr="00227BE0">
        <w:fldChar w:fldCharType="begin"/>
      </w:r>
      <w:r w:rsidRPr="00227BE0">
        <w:instrText xml:space="preserve"> REF _Ref432416246 \h  \* MERGEFORMAT </w:instrText>
      </w:r>
      <w:r w:rsidRPr="00227BE0">
        <w:fldChar w:fldCharType="separate"/>
      </w:r>
      <w:r w:rsidR="00662F32" w:rsidRPr="00662F32">
        <w:t xml:space="preserve">Table </w:t>
      </w:r>
      <w:r w:rsidR="00662F32" w:rsidRPr="00662F32">
        <w:rPr>
          <w:noProof/>
        </w:rPr>
        <w:t>9.5</w:t>
      </w:r>
      <w:r w:rsidR="00662F32" w:rsidRPr="00662F32">
        <w:rPr>
          <w:noProof/>
        </w:rPr>
        <w:noBreakHyphen/>
        <w:t>6</w:t>
      </w:r>
      <w:r w:rsidRPr="00227BE0">
        <w:fldChar w:fldCharType="end"/>
      </w:r>
      <w:r w:rsidRPr="00227BE0">
        <w:t xml:space="preserve"> for the intended uses of BAS 736 00 F in ‘winter cereals’ (covering ‘spring cereals’) for each aquatic organism group. Only the worst-case PEC values from either single or twofold application are considered for calculations.</w:t>
      </w:r>
    </w:p>
    <w:p w14:paraId="20DC89D9" w14:textId="77777777" w:rsidR="00E51CDD" w:rsidRPr="00227BE0" w:rsidRDefault="00E51CDD" w:rsidP="00E51CDD">
      <w:pPr>
        <w:widowControl w:val="0"/>
        <w:suppressAutoHyphens/>
        <w:jc w:val="both"/>
      </w:pPr>
    </w:p>
    <w:p w14:paraId="47A12026" w14:textId="1EE37F83" w:rsidR="00E51CDD" w:rsidRPr="00227BE0" w:rsidRDefault="00E51CDD" w:rsidP="00E51CDD">
      <w:pPr>
        <w:keepNext/>
        <w:keepLines/>
        <w:widowControl w:val="0"/>
        <w:tabs>
          <w:tab w:val="left" w:pos="1985"/>
        </w:tabs>
        <w:suppressAutoHyphens/>
        <w:spacing w:before="200" w:after="120"/>
        <w:ind w:left="1985" w:hanging="1985"/>
        <w:jc w:val="both"/>
        <w:rPr>
          <w:b/>
          <w:bCs/>
        </w:rPr>
      </w:pPr>
      <w:bookmarkStart w:id="511" w:name="_Ref432416246"/>
      <w:r w:rsidRPr="00227BE0">
        <w:rPr>
          <w:b/>
          <w:bCs/>
        </w:rPr>
        <w:t xml:space="preserve">Table </w:t>
      </w:r>
      <w:r w:rsidRPr="00227BE0">
        <w:fldChar w:fldCharType="begin"/>
      </w:r>
      <w:r w:rsidRPr="00227BE0">
        <w:rPr>
          <w:b/>
          <w:bCs/>
        </w:rPr>
        <w:instrText xml:space="preserve"> STYLEREF 2 \s </w:instrText>
      </w:r>
      <w:r w:rsidRPr="00227BE0">
        <w:fldChar w:fldCharType="separate"/>
      </w:r>
      <w:r w:rsidR="00662F32">
        <w:rPr>
          <w:b/>
          <w:bCs/>
          <w:noProof/>
        </w:rPr>
        <w:t>9.5</w:t>
      </w:r>
      <w:r w:rsidRPr="00227BE0">
        <w:fldChar w:fldCharType="end"/>
      </w:r>
      <w:r w:rsidRPr="00227BE0">
        <w:rPr>
          <w:b/>
          <w:bCs/>
        </w:rPr>
        <w:noBreakHyphen/>
      </w:r>
      <w:r w:rsidRPr="00227BE0">
        <w:fldChar w:fldCharType="begin"/>
      </w:r>
      <w:r w:rsidRPr="00227BE0">
        <w:rPr>
          <w:b/>
          <w:bCs/>
        </w:rPr>
        <w:instrText xml:space="preserve"> SEQ Table \* ARABIC \s 2 </w:instrText>
      </w:r>
      <w:r w:rsidRPr="00227BE0">
        <w:fldChar w:fldCharType="separate"/>
      </w:r>
      <w:r w:rsidR="00662F32">
        <w:rPr>
          <w:b/>
          <w:bCs/>
          <w:noProof/>
        </w:rPr>
        <w:t>6</w:t>
      </w:r>
      <w:r w:rsidRPr="00227BE0">
        <w:fldChar w:fldCharType="end"/>
      </w:r>
      <w:bookmarkEnd w:id="511"/>
      <w:r w:rsidRPr="00227BE0">
        <w:rPr>
          <w:b/>
          <w:bCs/>
        </w:rPr>
        <w:t>:</w:t>
      </w:r>
      <w:r w:rsidRPr="00227BE0">
        <w:rPr>
          <w:b/>
          <w:bCs/>
        </w:rPr>
        <w:tab/>
        <w:t>Aquatic organisms: acceptability of risk (PEC/RAC &lt; 1) for metabolites of fluxapyroxad for each organism group based on standard worst-case PEC calculations following single and twofold application (1x and 2x 100 g a.s./ha) of BAS 736 00 F in ‘winter cereals’ (covering ‘spring cereals’)</w:t>
      </w:r>
    </w:p>
    <w:tbl>
      <w:tblPr>
        <w:tblW w:w="5000" w:type="pct"/>
        <w:tblCellMar>
          <w:left w:w="70" w:type="dxa"/>
          <w:right w:w="70" w:type="dxa"/>
        </w:tblCellMar>
        <w:tblLook w:val="04A0" w:firstRow="1" w:lastRow="0" w:firstColumn="1" w:lastColumn="0" w:noHBand="0" w:noVBand="1"/>
      </w:tblPr>
      <w:tblGrid>
        <w:gridCol w:w="1740"/>
        <w:gridCol w:w="1252"/>
        <w:gridCol w:w="2257"/>
        <w:gridCol w:w="1975"/>
        <w:gridCol w:w="2117"/>
      </w:tblGrid>
      <w:tr w:rsidR="00E51CDD" w:rsidRPr="00227BE0" w14:paraId="23DE02A3" w14:textId="77777777" w:rsidTr="009938D9">
        <w:trPr>
          <w:trHeight w:val="262"/>
        </w:trPr>
        <w:tc>
          <w:tcPr>
            <w:tcW w:w="1602" w:type="pct"/>
            <w:gridSpan w:val="2"/>
            <w:tcBorders>
              <w:top w:val="single" w:sz="6" w:space="0" w:color="auto"/>
              <w:left w:val="single" w:sz="6" w:space="0" w:color="auto"/>
              <w:bottom w:val="single" w:sz="4" w:space="0" w:color="auto"/>
              <w:right w:val="single" w:sz="6" w:space="0" w:color="auto"/>
            </w:tcBorders>
            <w:vAlign w:val="center"/>
            <w:hideMark/>
          </w:tcPr>
          <w:p w14:paraId="0B5B353D" w14:textId="77777777" w:rsidR="00E51CDD" w:rsidRPr="00227BE0" w:rsidRDefault="00E51CDD" w:rsidP="009938D9">
            <w:pPr>
              <w:suppressAutoHyphens/>
              <w:autoSpaceDE w:val="0"/>
              <w:autoSpaceDN w:val="0"/>
              <w:adjustRightInd w:val="0"/>
              <w:rPr>
                <w:b/>
                <w:bCs/>
                <w:sz w:val="20"/>
                <w:szCs w:val="20"/>
              </w:rPr>
            </w:pPr>
            <w:r w:rsidRPr="00227BE0">
              <w:rPr>
                <w:b/>
                <w:bCs/>
                <w:sz w:val="20"/>
                <w:szCs w:val="20"/>
              </w:rPr>
              <w:t>Group</w:t>
            </w:r>
          </w:p>
        </w:tc>
        <w:tc>
          <w:tcPr>
            <w:tcW w:w="1208" w:type="pct"/>
            <w:tcBorders>
              <w:top w:val="single" w:sz="6" w:space="0" w:color="auto"/>
              <w:left w:val="single" w:sz="6" w:space="0" w:color="auto"/>
              <w:bottom w:val="single" w:sz="6" w:space="0" w:color="auto"/>
              <w:right w:val="single" w:sz="6" w:space="0" w:color="auto"/>
            </w:tcBorders>
            <w:vAlign w:val="center"/>
            <w:hideMark/>
          </w:tcPr>
          <w:p w14:paraId="45161A0F" w14:textId="77777777" w:rsidR="00E51CDD" w:rsidRPr="00227BE0" w:rsidRDefault="00E51CDD" w:rsidP="009938D9">
            <w:pPr>
              <w:suppressAutoHyphens/>
              <w:autoSpaceDE w:val="0"/>
              <w:autoSpaceDN w:val="0"/>
              <w:adjustRightInd w:val="0"/>
              <w:jc w:val="center"/>
              <w:rPr>
                <w:b/>
                <w:bCs/>
                <w:i/>
                <w:iCs/>
                <w:sz w:val="20"/>
                <w:szCs w:val="20"/>
              </w:rPr>
            </w:pPr>
            <w:r w:rsidRPr="00227BE0">
              <w:rPr>
                <w:b/>
                <w:bCs/>
                <w:sz w:val="20"/>
                <w:szCs w:val="20"/>
              </w:rPr>
              <w:t>Fish acute</w:t>
            </w:r>
          </w:p>
        </w:tc>
        <w:tc>
          <w:tcPr>
            <w:tcW w:w="1057" w:type="pct"/>
            <w:tcBorders>
              <w:top w:val="single" w:sz="6" w:space="0" w:color="auto"/>
              <w:left w:val="single" w:sz="6" w:space="0" w:color="auto"/>
              <w:bottom w:val="single" w:sz="6" w:space="0" w:color="auto"/>
              <w:right w:val="single" w:sz="6" w:space="0" w:color="auto"/>
            </w:tcBorders>
            <w:vAlign w:val="center"/>
            <w:hideMark/>
          </w:tcPr>
          <w:p w14:paraId="7BF2946D" w14:textId="77777777" w:rsidR="00E51CDD" w:rsidRPr="00227BE0" w:rsidRDefault="00E51CDD" w:rsidP="009938D9">
            <w:pPr>
              <w:suppressAutoHyphens/>
              <w:autoSpaceDE w:val="0"/>
              <w:autoSpaceDN w:val="0"/>
              <w:adjustRightInd w:val="0"/>
              <w:jc w:val="center"/>
              <w:rPr>
                <w:b/>
                <w:bCs/>
                <w:i/>
                <w:iCs/>
                <w:sz w:val="20"/>
                <w:szCs w:val="20"/>
              </w:rPr>
            </w:pPr>
            <w:r w:rsidRPr="00227BE0">
              <w:rPr>
                <w:b/>
                <w:bCs/>
                <w:sz w:val="20"/>
                <w:szCs w:val="20"/>
              </w:rPr>
              <w:t>Inverteb. acute</w:t>
            </w:r>
          </w:p>
        </w:tc>
        <w:tc>
          <w:tcPr>
            <w:tcW w:w="1133" w:type="pct"/>
            <w:tcBorders>
              <w:top w:val="single" w:sz="6" w:space="0" w:color="auto"/>
              <w:left w:val="single" w:sz="6" w:space="0" w:color="auto"/>
              <w:bottom w:val="single" w:sz="6" w:space="0" w:color="auto"/>
              <w:right w:val="single" w:sz="6" w:space="0" w:color="auto"/>
            </w:tcBorders>
            <w:vAlign w:val="center"/>
            <w:hideMark/>
          </w:tcPr>
          <w:p w14:paraId="243517C7" w14:textId="77777777" w:rsidR="00E51CDD" w:rsidRPr="00227BE0" w:rsidRDefault="00E51CDD" w:rsidP="009938D9">
            <w:pPr>
              <w:suppressAutoHyphens/>
              <w:autoSpaceDE w:val="0"/>
              <w:autoSpaceDN w:val="0"/>
              <w:adjustRightInd w:val="0"/>
              <w:jc w:val="center"/>
              <w:rPr>
                <w:b/>
                <w:bCs/>
                <w:i/>
                <w:iCs/>
                <w:sz w:val="20"/>
                <w:szCs w:val="20"/>
              </w:rPr>
            </w:pPr>
            <w:r w:rsidRPr="00227BE0">
              <w:rPr>
                <w:b/>
                <w:bCs/>
                <w:sz w:val="20"/>
                <w:szCs w:val="20"/>
              </w:rPr>
              <w:t>Algae</w:t>
            </w:r>
          </w:p>
        </w:tc>
      </w:tr>
      <w:tr w:rsidR="00E51CDD" w:rsidRPr="00227BE0" w14:paraId="2249D919" w14:textId="77777777" w:rsidTr="009938D9">
        <w:trPr>
          <w:trHeight w:val="262"/>
        </w:trPr>
        <w:tc>
          <w:tcPr>
            <w:tcW w:w="1602" w:type="pct"/>
            <w:gridSpan w:val="2"/>
            <w:tcBorders>
              <w:top w:val="single" w:sz="6" w:space="0" w:color="auto"/>
              <w:left w:val="single" w:sz="6" w:space="0" w:color="auto"/>
              <w:bottom w:val="single" w:sz="4" w:space="0" w:color="auto"/>
              <w:right w:val="single" w:sz="6" w:space="0" w:color="auto"/>
            </w:tcBorders>
            <w:vAlign w:val="center"/>
            <w:hideMark/>
          </w:tcPr>
          <w:p w14:paraId="1717FCC9" w14:textId="77777777" w:rsidR="00E51CDD" w:rsidRPr="00227BE0" w:rsidRDefault="00E51CDD" w:rsidP="009938D9">
            <w:pPr>
              <w:suppressAutoHyphens/>
              <w:autoSpaceDE w:val="0"/>
              <w:autoSpaceDN w:val="0"/>
              <w:adjustRightInd w:val="0"/>
              <w:rPr>
                <w:b/>
                <w:bCs/>
                <w:sz w:val="20"/>
                <w:szCs w:val="20"/>
              </w:rPr>
            </w:pPr>
            <w:r w:rsidRPr="00227BE0">
              <w:rPr>
                <w:b/>
                <w:bCs/>
                <w:sz w:val="20"/>
                <w:szCs w:val="20"/>
              </w:rPr>
              <w:t>Test species</w:t>
            </w:r>
          </w:p>
        </w:tc>
        <w:tc>
          <w:tcPr>
            <w:tcW w:w="1208" w:type="pct"/>
            <w:tcBorders>
              <w:top w:val="single" w:sz="6" w:space="0" w:color="auto"/>
              <w:left w:val="single" w:sz="6" w:space="0" w:color="auto"/>
              <w:bottom w:val="single" w:sz="6" w:space="0" w:color="auto"/>
              <w:right w:val="single" w:sz="6" w:space="0" w:color="auto"/>
            </w:tcBorders>
            <w:vAlign w:val="center"/>
            <w:hideMark/>
          </w:tcPr>
          <w:p w14:paraId="0E496F22" w14:textId="77777777" w:rsidR="00E51CDD" w:rsidRPr="00227BE0" w:rsidRDefault="00E51CDD" w:rsidP="009938D9">
            <w:pPr>
              <w:suppressAutoHyphens/>
              <w:autoSpaceDE w:val="0"/>
              <w:autoSpaceDN w:val="0"/>
              <w:adjustRightInd w:val="0"/>
              <w:jc w:val="center"/>
              <w:rPr>
                <w:b/>
                <w:bCs/>
                <w:i/>
                <w:iCs/>
                <w:sz w:val="20"/>
                <w:szCs w:val="20"/>
              </w:rPr>
            </w:pPr>
            <w:r w:rsidRPr="00227BE0">
              <w:rPr>
                <w:b/>
                <w:bCs/>
                <w:i/>
                <w:iCs/>
                <w:sz w:val="20"/>
                <w:szCs w:val="20"/>
              </w:rPr>
              <w:t>O. mykiss</w:t>
            </w:r>
          </w:p>
        </w:tc>
        <w:tc>
          <w:tcPr>
            <w:tcW w:w="1057" w:type="pct"/>
            <w:tcBorders>
              <w:top w:val="single" w:sz="6" w:space="0" w:color="auto"/>
              <w:left w:val="single" w:sz="6" w:space="0" w:color="auto"/>
              <w:bottom w:val="single" w:sz="6" w:space="0" w:color="auto"/>
              <w:right w:val="single" w:sz="6" w:space="0" w:color="auto"/>
            </w:tcBorders>
            <w:vAlign w:val="center"/>
            <w:hideMark/>
          </w:tcPr>
          <w:p w14:paraId="32392319" w14:textId="77777777" w:rsidR="00E51CDD" w:rsidRPr="00227BE0" w:rsidRDefault="00E51CDD" w:rsidP="009938D9">
            <w:pPr>
              <w:suppressAutoHyphens/>
              <w:autoSpaceDE w:val="0"/>
              <w:autoSpaceDN w:val="0"/>
              <w:adjustRightInd w:val="0"/>
              <w:jc w:val="center"/>
              <w:rPr>
                <w:b/>
                <w:bCs/>
                <w:i/>
                <w:iCs/>
                <w:sz w:val="20"/>
                <w:szCs w:val="20"/>
              </w:rPr>
            </w:pPr>
            <w:r w:rsidRPr="00227BE0">
              <w:rPr>
                <w:b/>
                <w:bCs/>
                <w:i/>
                <w:iCs/>
                <w:sz w:val="20"/>
                <w:szCs w:val="20"/>
              </w:rPr>
              <w:t>D. magna</w:t>
            </w:r>
          </w:p>
        </w:tc>
        <w:tc>
          <w:tcPr>
            <w:tcW w:w="1133" w:type="pct"/>
            <w:tcBorders>
              <w:top w:val="single" w:sz="6" w:space="0" w:color="auto"/>
              <w:left w:val="single" w:sz="6" w:space="0" w:color="auto"/>
              <w:bottom w:val="single" w:sz="6" w:space="0" w:color="auto"/>
              <w:right w:val="single" w:sz="6" w:space="0" w:color="auto"/>
            </w:tcBorders>
            <w:vAlign w:val="center"/>
            <w:hideMark/>
          </w:tcPr>
          <w:p w14:paraId="55045551" w14:textId="77777777" w:rsidR="00E51CDD" w:rsidRPr="00227BE0" w:rsidRDefault="00E51CDD" w:rsidP="009938D9">
            <w:pPr>
              <w:suppressAutoHyphens/>
              <w:autoSpaceDE w:val="0"/>
              <w:autoSpaceDN w:val="0"/>
              <w:adjustRightInd w:val="0"/>
              <w:jc w:val="center"/>
              <w:rPr>
                <w:b/>
                <w:bCs/>
                <w:i/>
                <w:iCs/>
                <w:sz w:val="20"/>
                <w:szCs w:val="20"/>
              </w:rPr>
            </w:pPr>
            <w:r w:rsidRPr="00227BE0">
              <w:rPr>
                <w:b/>
                <w:bCs/>
                <w:i/>
                <w:iCs/>
                <w:sz w:val="20"/>
                <w:szCs w:val="20"/>
              </w:rPr>
              <w:t>P. subcapitata</w:t>
            </w:r>
          </w:p>
        </w:tc>
      </w:tr>
      <w:tr w:rsidR="00E51CDD" w:rsidRPr="00227BE0" w14:paraId="2DA0A16A" w14:textId="77777777" w:rsidTr="009938D9">
        <w:trPr>
          <w:trHeight w:val="262"/>
        </w:trPr>
        <w:tc>
          <w:tcPr>
            <w:tcW w:w="1602" w:type="pct"/>
            <w:gridSpan w:val="2"/>
            <w:tcBorders>
              <w:top w:val="single" w:sz="4" w:space="0" w:color="auto"/>
              <w:left w:val="single" w:sz="6" w:space="0" w:color="auto"/>
              <w:bottom w:val="single" w:sz="6" w:space="0" w:color="auto"/>
              <w:right w:val="single" w:sz="6" w:space="0" w:color="auto"/>
            </w:tcBorders>
            <w:vAlign w:val="center"/>
            <w:hideMark/>
          </w:tcPr>
          <w:p w14:paraId="061A514D" w14:textId="77777777" w:rsidR="00E51CDD" w:rsidRPr="00227BE0" w:rsidRDefault="00E51CDD" w:rsidP="009938D9">
            <w:pPr>
              <w:suppressAutoHyphens/>
              <w:autoSpaceDE w:val="0"/>
              <w:autoSpaceDN w:val="0"/>
              <w:adjustRightInd w:val="0"/>
              <w:rPr>
                <w:b/>
                <w:bCs/>
                <w:sz w:val="20"/>
                <w:szCs w:val="20"/>
              </w:rPr>
            </w:pPr>
            <w:r w:rsidRPr="00227BE0">
              <w:rPr>
                <w:b/>
                <w:bCs/>
                <w:sz w:val="20"/>
                <w:szCs w:val="20"/>
              </w:rPr>
              <w:t>AF</w:t>
            </w:r>
          </w:p>
        </w:tc>
        <w:tc>
          <w:tcPr>
            <w:tcW w:w="1208" w:type="pct"/>
            <w:tcBorders>
              <w:top w:val="single" w:sz="6" w:space="0" w:color="auto"/>
              <w:left w:val="single" w:sz="6" w:space="0" w:color="auto"/>
              <w:bottom w:val="single" w:sz="6" w:space="0" w:color="auto"/>
              <w:right w:val="single" w:sz="6" w:space="0" w:color="auto"/>
            </w:tcBorders>
            <w:vAlign w:val="center"/>
            <w:hideMark/>
          </w:tcPr>
          <w:p w14:paraId="3AADB9CF"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100</w:t>
            </w:r>
          </w:p>
        </w:tc>
        <w:tc>
          <w:tcPr>
            <w:tcW w:w="1057" w:type="pct"/>
            <w:tcBorders>
              <w:top w:val="single" w:sz="6" w:space="0" w:color="auto"/>
              <w:left w:val="single" w:sz="6" w:space="0" w:color="auto"/>
              <w:bottom w:val="single" w:sz="6" w:space="0" w:color="auto"/>
              <w:right w:val="single" w:sz="6" w:space="0" w:color="auto"/>
            </w:tcBorders>
            <w:vAlign w:val="center"/>
            <w:hideMark/>
          </w:tcPr>
          <w:p w14:paraId="35BE14F0"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100</w:t>
            </w:r>
          </w:p>
        </w:tc>
        <w:tc>
          <w:tcPr>
            <w:tcW w:w="1133" w:type="pct"/>
            <w:tcBorders>
              <w:top w:val="single" w:sz="6" w:space="0" w:color="auto"/>
              <w:left w:val="single" w:sz="6" w:space="0" w:color="auto"/>
              <w:bottom w:val="single" w:sz="6" w:space="0" w:color="auto"/>
              <w:right w:val="single" w:sz="6" w:space="0" w:color="auto"/>
            </w:tcBorders>
            <w:vAlign w:val="center"/>
            <w:hideMark/>
          </w:tcPr>
          <w:p w14:paraId="583613C0"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10</w:t>
            </w:r>
          </w:p>
        </w:tc>
      </w:tr>
      <w:tr w:rsidR="00E51CDD" w:rsidRPr="00227BE0" w14:paraId="405CC94A" w14:textId="77777777" w:rsidTr="009938D9">
        <w:trPr>
          <w:trHeight w:val="262"/>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065D323C" w14:textId="77777777" w:rsidR="00E51CDD" w:rsidRPr="00227BE0" w:rsidRDefault="00E51CDD" w:rsidP="009938D9">
            <w:pPr>
              <w:suppressAutoHyphens/>
              <w:autoSpaceDE w:val="0"/>
              <w:autoSpaceDN w:val="0"/>
              <w:adjustRightInd w:val="0"/>
              <w:jc w:val="center"/>
              <w:rPr>
                <w:b/>
                <w:bCs/>
                <w:sz w:val="20"/>
                <w:szCs w:val="20"/>
              </w:rPr>
            </w:pPr>
            <w:r w:rsidRPr="00227BE0">
              <w:rPr>
                <w:b/>
                <w:sz w:val="20"/>
                <w:szCs w:val="20"/>
              </w:rPr>
              <w:t>M700F001</w:t>
            </w:r>
          </w:p>
        </w:tc>
      </w:tr>
      <w:tr w:rsidR="00E51CDD" w:rsidRPr="00227BE0" w14:paraId="140FBA45" w14:textId="77777777" w:rsidTr="009938D9">
        <w:trPr>
          <w:trHeight w:val="276"/>
        </w:trPr>
        <w:tc>
          <w:tcPr>
            <w:tcW w:w="1602" w:type="pct"/>
            <w:gridSpan w:val="2"/>
            <w:vMerge w:val="restart"/>
            <w:tcBorders>
              <w:top w:val="single" w:sz="6" w:space="0" w:color="auto"/>
              <w:left w:val="single" w:sz="6" w:space="0" w:color="auto"/>
              <w:bottom w:val="single" w:sz="6" w:space="0" w:color="auto"/>
              <w:right w:val="single" w:sz="6" w:space="0" w:color="auto"/>
            </w:tcBorders>
            <w:vAlign w:val="center"/>
            <w:hideMark/>
          </w:tcPr>
          <w:p w14:paraId="42A2FD24" w14:textId="77777777" w:rsidR="00E51CDD" w:rsidRPr="00227BE0" w:rsidRDefault="00E51CDD" w:rsidP="009938D9">
            <w:pPr>
              <w:suppressAutoHyphens/>
              <w:autoSpaceDE w:val="0"/>
              <w:autoSpaceDN w:val="0"/>
              <w:adjustRightInd w:val="0"/>
              <w:rPr>
                <w:bCs/>
                <w:sz w:val="20"/>
                <w:szCs w:val="20"/>
              </w:rPr>
            </w:pPr>
            <w:r w:rsidRPr="00227BE0">
              <w:rPr>
                <w:bCs/>
                <w:sz w:val="20"/>
                <w:szCs w:val="20"/>
              </w:rPr>
              <w:t>Endpoint (µg/L)</w:t>
            </w:r>
          </w:p>
        </w:tc>
        <w:tc>
          <w:tcPr>
            <w:tcW w:w="1208" w:type="pct"/>
            <w:tcBorders>
              <w:top w:val="single" w:sz="6" w:space="0" w:color="auto"/>
              <w:left w:val="single" w:sz="6" w:space="0" w:color="auto"/>
              <w:bottom w:val="nil"/>
              <w:right w:val="single" w:sz="6" w:space="0" w:color="auto"/>
            </w:tcBorders>
            <w:vAlign w:val="center"/>
            <w:hideMark/>
          </w:tcPr>
          <w:p w14:paraId="01D61F14"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LC</w:t>
            </w:r>
            <w:r w:rsidRPr="00227BE0">
              <w:rPr>
                <w:sz w:val="20"/>
                <w:szCs w:val="20"/>
                <w:vertAlign w:val="subscript"/>
              </w:rPr>
              <w:t>50</w:t>
            </w:r>
          </w:p>
        </w:tc>
        <w:tc>
          <w:tcPr>
            <w:tcW w:w="1057" w:type="pct"/>
            <w:tcBorders>
              <w:top w:val="single" w:sz="6" w:space="0" w:color="auto"/>
              <w:left w:val="single" w:sz="6" w:space="0" w:color="auto"/>
              <w:bottom w:val="nil"/>
              <w:right w:val="single" w:sz="6" w:space="0" w:color="auto"/>
            </w:tcBorders>
            <w:vAlign w:val="center"/>
            <w:hideMark/>
          </w:tcPr>
          <w:p w14:paraId="0E73034F"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EC</w:t>
            </w:r>
            <w:r w:rsidRPr="00227BE0">
              <w:rPr>
                <w:sz w:val="20"/>
                <w:szCs w:val="20"/>
                <w:vertAlign w:val="subscript"/>
              </w:rPr>
              <w:t>50</w:t>
            </w:r>
          </w:p>
        </w:tc>
        <w:tc>
          <w:tcPr>
            <w:tcW w:w="1133" w:type="pct"/>
            <w:tcBorders>
              <w:top w:val="single" w:sz="6" w:space="0" w:color="auto"/>
              <w:left w:val="single" w:sz="6" w:space="0" w:color="auto"/>
              <w:bottom w:val="nil"/>
              <w:right w:val="single" w:sz="6" w:space="0" w:color="auto"/>
            </w:tcBorders>
            <w:vAlign w:val="center"/>
            <w:hideMark/>
          </w:tcPr>
          <w:p w14:paraId="6D52944A"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E</w:t>
            </w:r>
            <w:r w:rsidRPr="00227BE0">
              <w:rPr>
                <w:sz w:val="20"/>
                <w:szCs w:val="20"/>
                <w:vertAlign w:val="subscript"/>
              </w:rPr>
              <w:t>r</w:t>
            </w:r>
            <w:r w:rsidRPr="00227BE0">
              <w:rPr>
                <w:sz w:val="20"/>
                <w:szCs w:val="20"/>
              </w:rPr>
              <w:t>C</w:t>
            </w:r>
            <w:r w:rsidRPr="00227BE0">
              <w:rPr>
                <w:sz w:val="20"/>
                <w:szCs w:val="20"/>
                <w:vertAlign w:val="subscript"/>
              </w:rPr>
              <w:t>50</w:t>
            </w:r>
          </w:p>
        </w:tc>
      </w:tr>
      <w:tr w:rsidR="00E51CDD" w:rsidRPr="00227BE0" w14:paraId="3B8C65B8" w14:textId="77777777" w:rsidTr="009938D9">
        <w:trPr>
          <w:trHeight w:val="276"/>
        </w:trPr>
        <w:tc>
          <w:tcPr>
            <w:tcW w:w="0" w:type="auto"/>
            <w:gridSpan w:val="2"/>
            <w:vMerge/>
            <w:tcBorders>
              <w:top w:val="single" w:sz="6" w:space="0" w:color="auto"/>
              <w:left w:val="single" w:sz="6" w:space="0" w:color="auto"/>
              <w:bottom w:val="single" w:sz="6" w:space="0" w:color="auto"/>
              <w:right w:val="single" w:sz="6" w:space="0" w:color="auto"/>
            </w:tcBorders>
            <w:vAlign w:val="center"/>
            <w:hideMark/>
          </w:tcPr>
          <w:p w14:paraId="3A69A562" w14:textId="77777777" w:rsidR="00E51CDD" w:rsidRPr="00227BE0" w:rsidRDefault="00E51CDD" w:rsidP="009938D9">
            <w:pPr>
              <w:rPr>
                <w:bCs/>
                <w:sz w:val="20"/>
                <w:szCs w:val="20"/>
              </w:rPr>
            </w:pPr>
          </w:p>
        </w:tc>
        <w:tc>
          <w:tcPr>
            <w:tcW w:w="1208" w:type="pct"/>
            <w:tcBorders>
              <w:top w:val="nil"/>
              <w:left w:val="single" w:sz="6" w:space="0" w:color="auto"/>
              <w:bottom w:val="single" w:sz="6" w:space="0" w:color="auto"/>
              <w:right w:val="single" w:sz="6" w:space="0" w:color="auto"/>
            </w:tcBorders>
            <w:vAlign w:val="center"/>
            <w:hideMark/>
          </w:tcPr>
          <w:p w14:paraId="01FA82E9"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&gt; 100000</w:t>
            </w:r>
          </w:p>
        </w:tc>
        <w:tc>
          <w:tcPr>
            <w:tcW w:w="1057" w:type="pct"/>
            <w:tcBorders>
              <w:top w:val="nil"/>
              <w:left w:val="single" w:sz="6" w:space="0" w:color="auto"/>
              <w:bottom w:val="single" w:sz="6" w:space="0" w:color="auto"/>
              <w:right w:val="single" w:sz="6" w:space="0" w:color="auto"/>
            </w:tcBorders>
            <w:vAlign w:val="center"/>
            <w:hideMark/>
          </w:tcPr>
          <w:p w14:paraId="027CE41D"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&gt; 100000</w:t>
            </w:r>
          </w:p>
        </w:tc>
        <w:tc>
          <w:tcPr>
            <w:tcW w:w="1133" w:type="pct"/>
            <w:tcBorders>
              <w:top w:val="nil"/>
              <w:left w:val="single" w:sz="6" w:space="0" w:color="auto"/>
              <w:bottom w:val="single" w:sz="6" w:space="0" w:color="auto"/>
              <w:right w:val="single" w:sz="6" w:space="0" w:color="auto"/>
            </w:tcBorders>
            <w:vAlign w:val="center"/>
            <w:hideMark/>
          </w:tcPr>
          <w:p w14:paraId="0C47DA3F"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36310</w:t>
            </w:r>
          </w:p>
        </w:tc>
      </w:tr>
      <w:tr w:rsidR="00E51CDD" w:rsidRPr="00227BE0" w14:paraId="12DE5E3B" w14:textId="77777777" w:rsidTr="009938D9">
        <w:trPr>
          <w:trHeight w:val="262"/>
        </w:trPr>
        <w:tc>
          <w:tcPr>
            <w:tcW w:w="1602" w:type="pct"/>
            <w:gridSpan w:val="2"/>
            <w:tcBorders>
              <w:top w:val="single" w:sz="6" w:space="0" w:color="auto"/>
              <w:left w:val="single" w:sz="6" w:space="0" w:color="auto"/>
              <w:bottom w:val="single" w:sz="4" w:space="0" w:color="auto"/>
              <w:right w:val="single" w:sz="6" w:space="0" w:color="auto"/>
            </w:tcBorders>
            <w:vAlign w:val="center"/>
            <w:hideMark/>
          </w:tcPr>
          <w:p w14:paraId="142716F6" w14:textId="77777777" w:rsidR="00E51CDD" w:rsidRPr="00227BE0" w:rsidRDefault="00E51CDD" w:rsidP="009938D9">
            <w:pPr>
              <w:suppressAutoHyphens/>
              <w:autoSpaceDE w:val="0"/>
              <w:autoSpaceDN w:val="0"/>
              <w:adjustRightInd w:val="0"/>
              <w:rPr>
                <w:bCs/>
                <w:sz w:val="20"/>
                <w:szCs w:val="20"/>
              </w:rPr>
            </w:pPr>
            <w:r w:rsidRPr="00227BE0">
              <w:rPr>
                <w:bCs/>
                <w:sz w:val="20"/>
                <w:szCs w:val="20"/>
              </w:rPr>
              <w:t>RAC (µg/L)</w:t>
            </w:r>
          </w:p>
        </w:tc>
        <w:tc>
          <w:tcPr>
            <w:tcW w:w="1208" w:type="pct"/>
            <w:tcBorders>
              <w:top w:val="single" w:sz="6" w:space="0" w:color="auto"/>
              <w:left w:val="single" w:sz="6" w:space="0" w:color="auto"/>
              <w:bottom w:val="single" w:sz="6" w:space="0" w:color="auto"/>
              <w:right w:val="single" w:sz="6" w:space="0" w:color="auto"/>
            </w:tcBorders>
            <w:vAlign w:val="center"/>
            <w:hideMark/>
          </w:tcPr>
          <w:p w14:paraId="3AA897D6"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1000</w:t>
            </w:r>
          </w:p>
        </w:tc>
        <w:tc>
          <w:tcPr>
            <w:tcW w:w="1057" w:type="pct"/>
            <w:tcBorders>
              <w:top w:val="single" w:sz="6" w:space="0" w:color="auto"/>
              <w:left w:val="single" w:sz="6" w:space="0" w:color="auto"/>
              <w:bottom w:val="single" w:sz="6" w:space="0" w:color="auto"/>
              <w:right w:val="single" w:sz="6" w:space="0" w:color="auto"/>
            </w:tcBorders>
            <w:vAlign w:val="center"/>
            <w:hideMark/>
          </w:tcPr>
          <w:p w14:paraId="70D5B69E"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1000</w:t>
            </w:r>
          </w:p>
        </w:tc>
        <w:tc>
          <w:tcPr>
            <w:tcW w:w="1133" w:type="pct"/>
            <w:tcBorders>
              <w:top w:val="single" w:sz="6" w:space="0" w:color="auto"/>
              <w:left w:val="single" w:sz="6" w:space="0" w:color="auto"/>
              <w:bottom w:val="single" w:sz="6" w:space="0" w:color="auto"/>
              <w:right w:val="single" w:sz="6" w:space="0" w:color="auto"/>
            </w:tcBorders>
            <w:vAlign w:val="center"/>
            <w:hideMark/>
          </w:tcPr>
          <w:p w14:paraId="51CBCF59"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3631</w:t>
            </w:r>
          </w:p>
        </w:tc>
      </w:tr>
      <w:tr w:rsidR="00E51CDD" w:rsidRPr="00227BE0" w14:paraId="67D55322" w14:textId="77777777" w:rsidTr="009938D9">
        <w:trPr>
          <w:trHeight w:val="464"/>
        </w:trPr>
        <w:tc>
          <w:tcPr>
            <w:tcW w:w="932" w:type="pct"/>
            <w:tcBorders>
              <w:top w:val="single" w:sz="4" w:space="0" w:color="auto"/>
              <w:left w:val="single" w:sz="4" w:space="0" w:color="auto"/>
              <w:bottom w:val="single" w:sz="4" w:space="0" w:color="auto"/>
              <w:right w:val="single" w:sz="4" w:space="0" w:color="auto"/>
            </w:tcBorders>
            <w:vAlign w:val="center"/>
            <w:hideMark/>
          </w:tcPr>
          <w:p w14:paraId="77D1A930" w14:textId="77777777" w:rsidR="00E51CDD" w:rsidRPr="00227BE0" w:rsidRDefault="00E51CDD" w:rsidP="009938D9">
            <w:pPr>
              <w:suppressAutoHyphens/>
              <w:autoSpaceDE w:val="0"/>
              <w:autoSpaceDN w:val="0"/>
              <w:adjustRightInd w:val="0"/>
              <w:rPr>
                <w:bCs/>
                <w:sz w:val="20"/>
                <w:szCs w:val="20"/>
              </w:rPr>
            </w:pPr>
            <w:r w:rsidRPr="00227BE0">
              <w:rPr>
                <w:b/>
                <w:sz w:val="20"/>
                <w:szCs w:val="20"/>
                <w:lang w:val="en-GB"/>
              </w:rPr>
              <w:t>FOCUS Scenario</w:t>
            </w:r>
          </w:p>
        </w:tc>
        <w:tc>
          <w:tcPr>
            <w:tcW w:w="670" w:type="pct"/>
            <w:tcBorders>
              <w:top w:val="single" w:sz="4" w:space="0" w:color="auto"/>
              <w:left w:val="single" w:sz="4" w:space="0" w:color="auto"/>
              <w:bottom w:val="single" w:sz="4" w:space="0" w:color="auto"/>
              <w:right w:val="single" w:sz="4" w:space="0" w:color="auto"/>
            </w:tcBorders>
            <w:vAlign w:val="center"/>
            <w:hideMark/>
          </w:tcPr>
          <w:p w14:paraId="415499A3" w14:textId="77777777" w:rsidR="00E51CDD" w:rsidRPr="00227BE0" w:rsidRDefault="00E51CDD" w:rsidP="009938D9">
            <w:pPr>
              <w:suppressAutoHyphens/>
              <w:autoSpaceDE w:val="0"/>
              <w:autoSpaceDN w:val="0"/>
              <w:adjustRightInd w:val="0"/>
              <w:rPr>
                <w:bCs/>
                <w:sz w:val="20"/>
                <w:szCs w:val="20"/>
              </w:rPr>
            </w:pPr>
            <w:r w:rsidRPr="00227BE0">
              <w:rPr>
                <w:b/>
                <w:sz w:val="20"/>
                <w:szCs w:val="20"/>
              </w:rPr>
              <w:t xml:space="preserve">PEC </w:t>
            </w:r>
            <w:r w:rsidRPr="00227BE0">
              <w:rPr>
                <w:b/>
                <w:sz w:val="20"/>
                <w:szCs w:val="20"/>
                <w:vertAlign w:val="subscript"/>
              </w:rPr>
              <w:t>gl-max, sw</w:t>
            </w:r>
            <w:r w:rsidRPr="00227BE0">
              <w:rPr>
                <w:b/>
                <w:sz w:val="20"/>
                <w:szCs w:val="20"/>
              </w:rPr>
              <w:t xml:space="preserve"> (µg/L)</w:t>
            </w:r>
          </w:p>
        </w:tc>
        <w:tc>
          <w:tcPr>
            <w:tcW w:w="3398" w:type="pct"/>
            <w:gridSpan w:val="3"/>
            <w:tcBorders>
              <w:top w:val="single" w:sz="6" w:space="0" w:color="auto"/>
              <w:left w:val="single" w:sz="4" w:space="0" w:color="auto"/>
              <w:bottom w:val="single" w:sz="4" w:space="0" w:color="auto"/>
              <w:right w:val="single" w:sz="6" w:space="0" w:color="auto"/>
            </w:tcBorders>
            <w:vAlign w:val="center"/>
            <w:hideMark/>
          </w:tcPr>
          <w:p w14:paraId="6596DE26" w14:textId="77777777" w:rsidR="00E51CDD" w:rsidRPr="00227BE0" w:rsidRDefault="00E51CDD" w:rsidP="009938D9">
            <w:pPr>
              <w:suppressAutoHyphens/>
              <w:autoSpaceDE w:val="0"/>
              <w:autoSpaceDN w:val="0"/>
              <w:adjustRightInd w:val="0"/>
              <w:jc w:val="center"/>
              <w:rPr>
                <w:b/>
                <w:bCs/>
                <w:sz w:val="20"/>
                <w:szCs w:val="20"/>
              </w:rPr>
            </w:pPr>
            <w:r w:rsidRPr="00227BE0">
              <w:rPr>
                <w:b/>
                <w:bCs/>
                <w:sz w:val="20"/>
                <w:szCs w:val="20"/>
              </w:rPr>
              <w:t>PEC/RAC ratio (= ETR)</w:t>
            </w:r>
          </w:p>
        </w:tc>
      </w:tr>
      <w:tr w:rsidR="00E51CDD" w:rsidRPr="00227BE0" w14:paraId="3E534759" w14:textId="77777777" w:rsidTr="009938D9">
        <w:trPr>
          <w:trHeight w:val="245"/>
        </w:trPr>
        <w:tc>
          <w:tcPr>
            <w:tcW w:w="932" w:type="pct"/>
            <w:tcBorders>
              <w:top w:val="single" w:sz="4" w:space="0" w:color="auto"/>
              <w:left w:val="single" w:sz="4" w:space="0" w:color="auto"/>
              <w:bottom w:val="single" w:sz="4" w:space="0" w:color="auto"/>
            </w:tcBorders>
            <w:vAlign w:val="center"/>
          </w:tcPr>
          <w:p w14:paraId="7DE33ECD" w14:textId="77777777" w:rsidR="00E51CDD" w:rsidRPr="00227BE0" w:rsidRDefault="00E51CDD" w:rsidP="009938D9">
            <w:pPr>
              <w:suppressAutoHyphens/>
              <w:autoSpaceDE w:val="0"/>
              <w:autoSpaceDN w:val="0"/>
              <w:adjustRightInd w:val="0"/>
              <w:rPr>
                <w:b/>
                <w:bCs/>
                <w:sz w:val="20"/>
                <w:szCs w:val="20"/>
              </w:rPr>
            </w:pPr>
            <w:r w:rsidRPr="00227BE0">
              <w:rPr>
                <w:b/>
                <w:sz w:val="20"/>
                <w:szCs w:val="20"/>
                <w:lang w:val="en-GB"/>
              </w:rPr>
              <w:t>Step 1</w:t>
            </w:r>
          </w:p>
        </w:tc>
        <w:tc>
          <w:tcPr>
            <w:tcW w:w="670" w:type="pct"/>
            <w:tcBorders>
              <w:top w:val="single" w:sz="4" w:space="0" w:color="auto"/>
              <w:bottom w:val="single" w:sz="4" w:space="0" w:color="auto"/>
            </w:tcBorders>
            <w:vAlign w:val="center"/>
          </w:tcPr>
          <w:p w14:paraId="11ED3D8E" w14:textId="77777777" w:rsidR="00E51CDD" w:rsidRPr="00227BE0" w:rsidRDefault="00E51CDD" w:rsidP="009938D9">
            <w:pPr>
              <w:suppressAutoHyphens/>
              <w:autoSpaceDE w:val="0"/>
              <w:autoSpaceDN w:val="0"/>
              <w:adjustRightInd w:val="0"/>
              <w:rPr>
                <w:b/>
                <w:sz w:val="20"/>
                <w:szCs w:val="20"/>
              </w:rPr>
            </w:pPr>
          </w:p>
        </w:tc>
        <w:tc>
          <w:tcPr>
            <w:tcW w:w="3398" w:type="pct"/>
            <w:gridSpan w:val="3"/>
            <w:tcBorders>
              <w:top w:val="single" w:sz="4" w:space="0" w:color="auto"/>
              <w:bottom w:val="single" w:sz="4" w:space="0" w:color="auto"/>
              <w:right w:val="single" w:sz="4" w:space="0" w:color="auto"/>
            </w:tcBorders>
            <w:vAlign w:val="center"/>
          </w:tcPr>
          <w:p w14:paraId="555F2675" w14:textId="77777777" w:rsidR="00E51CDD" w:rsidRPr="00227BE0" w:rsidRDefault="00E51CDD" w:rsidP="009938D9">
            <w:pPr>
              <w:suppressAutoHyphens/>
              <w:autoSpaceDE w:val="0"/>
              <w:autoSpaceDN w:val="0"/>
              <w:adjustRightInd w:val="0"/>
              <w:jc w:val="center"/>
              <w:rPr>
                <w:bCs/>
                <w:color w:val="4472C4" w:themeColor="accent1"/>
                <w:sz w:val="20"/>
                <w:szCs w:val="20"/>
              </w:rPr>
            </w:pPr>
          </w:p>
        </w:tc>
      </w:tr>
      <w:tr w:rsidR="00E51CDD" w:rsidRPr="00227BE0" w14:paraId="30DA7000" w14:textId="77777777" w:rsidTr="009938D9">
        <w:trPr>
          <w:trHeight w:val="262"/>
        </w:trPr>
        <w:tc>
          <w:tcPr>
            <w:tcW w:w="932" w:type="pct"/>
            <w:tcBorders>
              <w:top w:val="single" w:sz="4" w:space="0" w:color="auto"/>
              <w:left w:val="single" w:sz="6" w:space="0" w:color="auto"/>
              <w:bottom w:val="single" w:sz="4" w:space="0" w:color="auto"/>
              <w:right w:val="single" w:sz="6" w:space="0" w:color="auto"/>
            </w:tcBorders>
            <w:vAlign w:val="center"/>
          </w:tcPr>
          <w:p w14:paraId="1BE4E9F1" w14:textId="77777777" w:rsidR="00E51CDD" w:rsidRPr="00227BE0" w:rsidRDefault="00E51CDD" w:rsidP="009938D9">
            <w:pPr>
              <w:suppressAutoHyphens/>
              <w:autoSpaceDE w:val="0"/>
              <w:autoSpaceDN w:val="0"/>
              <w:adjustRightInd w:val="0"/>
              <w:rPr>
                <w:sz w:val="20"/>
                <w:szCs w:val="20"/>
              </w:rPr>
            </w:pPr>
          </w:p>
        </w:tc>
        <w:tc>
          <w:tcPr>
            <w:tcW w:w="670" w:type="pct"/>
            <w:tcBorders>
              <w:top w:val="single" w:sz="4" w:space="0" w:color="auto"/>
              <w:left w:val="single" w:sz="6" w:space="0" w:color="auto"/>
              <w:bottom w:val="single" w:sz="4" w:space="0" w:color="auto"/>
              <w:right w:val="single" w:sz="6" w:space="0" w:color="auto"/>
            </w:tcBorders>
            <w:vAlign w:val="center"/>
          </w:tcPr>
          <w:p w14:paraId="37EF7667" w14:textId="77777777" w:rsidR="00E51CDD" w:rsidRPr="00227BE0" w:rsidRDefault="00E51CDD" w:rsidP="009938D9">
            <w:pPr>
              <w:suppressAutoHyphens/>
              <w:autoSpaceDE w:val="0"/>
              <w:autoSpaceDN w:val="0"/>
              <w:adjustRightInd w:val="0"/>
              <w:rPr>
                <w:sz w:val="20"/>
                <w:szCs w:val="20"/>
              </w:rPr>
            </w:pPr>
            <w:r w:rsidRPr="00227BE0">
              <w:rPr>
                <w:sz w:val="20"/>
                <w:szCs w:val="20"/>
              </w:rPr>
              <w:t>7.153</w:t>
            </w:r>
          </w:p>
        </w:tc>
        <w:tc>
          <w:tcPr>
            <w:tcW w:w="1208" w:type="pct"/>
            <w:tcBorders>
              <w:top w:val="single" w:sz="4" w:space="0" w:color="auto"/>
              <w:left w:val="single" w:sz="6" w:space="0" w:color="auto"/>
              <w:bottom w:val="single" w:sz="4" w:space="0" w:color="auto"/>
              <w:right w:val="single" w:sz="6" w:space="0" w:color="auto"/>
            </w:tcBorders>
            <w:vAlign w:val="center"/>
            <w:hideMark/>
          </w:tcPr>
          <w:p w14:paraId="789E1B91"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&lt; 0.007</w:t>
            </w:r>
          </w:p>
        </w:tc>
        <w:tc>
          <w:tcPr>
            <w:tcW w:w="1057" w:type="pct"/>
            <w:tcBorders>
              <w:top w:val="single" w:sz="4" w:space="0" w:color="auto"/>
              <w:left w:val="single" w:sz="6" w:space="0" w:color="auto"/>
              <w:bottom w:val="single" w:sz="4" w:space="0" w:color="auto"/>
              <w:right w:val="single" w:sz="6" w:space="0" w:color="auto"/>
            </w:tcBorders>
            <w:vAlign w:val="center"/>
            <w:hideMark/>
          </w:tcPr>
          <w:p w14:paraId="649474D2"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&lt; 0.007</w:t>
            </w:r>
          </w:p>
        </w:tc>
        <w:tc>
          <w:tcPr>
            <w:tcW w:w="1133" w:type="pct"/>
            <w:tcBorders>
              <w:top w:val="single" w:sz="4" w:space="0" w:color="auto"/>
              <w:left w:val="single" w:sz="6" w:space="0" w:color="auto"/>
              <w:bottom w:val="single" w:sz="4" w:space="0" w:color="auto"/>
              <w:right w:val="single" w:sz="6" w:space="0" w:color="auto"/>
            </w:tcBorders>
            <w:vAlign w:val="center"/>
            <w:hideMark/>
          </w:tcPr>
          <w:p w14:paraId="2E5292E7"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0.002</w:t>
            </w:r>
          </w:p>
        </w:tc>
      </w:tr>
      <w:tr w:rsidR="00E51CDD" w:rsidRPr="00227BE0" w14:paraId="05BEA01C" w14:textId="77777777" w:rsidTr="009938D9">
        <w:trPr>
          <w:trHeight w:val="262"/>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14:paraId="47077FCC" w14:textId="77777777" w:rsidR="00E51CDD" w:rsidRPr="00227BE0" w:rsidRDefault="00E51CDD" w:rsidP="009938D9">
            <w:pPr>
              <w:suppressAutoHyphens/>
              <w:autoSpaceDE w:val="0"/>
              <w:autoSpaceDN w:val="0"/>
              <w:adjustRightInd w:val="0"/>
              <w:jc w:val="center"/>
              <w:rPr>
                <w:b/>
                <w:bCs/>
                <w:sz w:val="20"/>
                <w:szCs w:val="20"/>
              </w:rPr>
            </w:pPr>
            <w:r w:rsidRPr="00227BE0">
              <w:rPr>
                <w:b/>
                <w:sz w:val="20"/>
                <w:szCs w:val="20"/>
              </w:rPr>
              <w:t>M700F002</w:t>
            </w:r>
          </w:p>
        </w:tc>
      </w:tr>
      <w:tr w:rsidR="00E51CDD" w:rsidRPr="00227BE0" w14:paraId="1BF16D7A" w14:textId="77777777" w:rsidTr="009938D9">
        <w:trPr>
          <w:trHeight w:val="262"/>
        </w:trPr>
        <w:tc>
          <w:tcPr>
            <w:tcW w:w="1602" w:type="pct"/>
            <w:gridSpan w:val="2"/>
            <w:vMerge w:val="restart"/>
            <w:tcBorders>
              <w:top w:val="single" w:sz="6" w:space="0" w:color="auto"/>
              <w:left w:val="single" w:sz="6" w:space="0" w:color="auto"/>
              <w:bottom w:val="single" w:sz="6" w:space="0" w:color="auto"/>
              <w:right w:val="single" w:sz="6" w:space="0" w:color="auto"/>
            </w:tcBorders>
            <w:vAlign w:val="center"/>
            <w:hideMark/>
          </w:tcPr>
          <w:p w14:paraId="7D111455" w14:textId="77777777" w:rsidR="00E51CDD" w:rsidRPr="00227BE0" w:rsidRDefault="00E51CDD" w:rsidP="009938D9">
            <w:pPr>
              <w:suppressAutoHyphens/>
              <w:autoSpaceDE w:val="0"/>
              <w:autoSpaceDN w:val="0"/>
              <w:adjustRightInd w:val="0"/>
              <w:rPr>
                <w:bCs/>
                <w:sz w:val="20"/>
                <w:szCs w:val="20"/>
              </w:rPr>
            </w:pPr>
            <w:r w:rsidRPr="00227BE0">
              <w:rPr>
                <w:bCs/>
                <w:sz w:val="20"/>
                <w:szCs w:val="20"/>
              </w:rPr>
              <w:t>Endpoint (µg/L)</w:t>
            </w:r>
          </w:p>
        </w:tc>
        <w:tc>
          <w:tcPr>
            <w:tcW w:w="1208" w:type="pct"/>
            <w:tcBorders>
              <w:top w:val="single" w:sz="6" w:space="0" w:color="auto"/>
              <w:left w:val="single" w:sz="6" w:space="0" w:color="auto"/>
              <w:bottom w:val="nil"/>
              <w:right w:val="single" w:sz="6" w:space="0" w:color="auto"/>
            </w:tcBorders>
            <w:vAlign w:val="center"/>
            <w:hideMark/>
          </w:tcPr>
          <w:p w14:paraId="1345E9A2"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LC</w:t>
            </w:r>
            <w:r w:rsidRPr="00227BE0">
              <w:rPr>
                <w:sz w:val="20"/>
                <w:szCs w:val="20"/>
                <w:vertAlign w:val="subscript"/>
              </w:rPr>
              <w:t>50</w:t>
            </w:r>
          </w:p>
        </w:tc>
        <w:tc>
          <w:tcPr>
            <w:tcW w:w="1057" w:type="pct"/>
            <w:tcBorders>
              <w:top w:val="single" w:sz="6" w:space="0" w:color="auto"/>
              <w:left w:val="single" w:sz="6" w:space="0" w:color="auto"/>
              <w:bottom w:val="nil"/>
              <w:right w:val="single" w:sz="6" w:space="0" w:color="auto"/>
            </w:tcBorders>
            <w:vAlign w:val="center"/>
            <w:hideMark/>
          </w:tcPr>
          <w:p w14:paraId="7C209CED"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EC</w:t>
            </w:r>
            <w:r w:rsidRPr="00227BE0">
              <w:rPr>
                <w:sz w:val="20"/>
                <w:szCs w:val="20"/>
                <w:vertAlign w:val="subscript"/>
              </w:rPr>
              <w:t>50</w:t>
            </w:r>
          </w:p>
        </w:tc>
        <w:tc>
          <w:tcPr>
            <w:tcW w:w="1133" w:type="pct"/>
            <w:tcBorders>
              <w:top w:val="single" w:sz="6" w:space="0" w:color="auto"/>
              <w:left w:val="single" w:sz="6" w:space="0" w:color="auto"/>
              <w:bottom w:val="nil"/>
              <w:right w:val="single" w:sz="6" w:space="0" w:color="auto"/>
            </w:tcBorders>
            <w:vAlign w:val="center"/>
            <w:hideMark/>
          </w:tcPr>
          <w:p w14:paraId="0A312F54"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E</w:t>
            </w:r>
            <w:r w:rsidRPr="00227BE0">
              <w:rPr>
                <w:sz w:val="20"/>
                <w:szCs w:val="20"/>
                <w:vertAlign w:val="subscript"/>
              </w:rPr>
              <w:t>r</w:t>
            </w:r>
            <w:r w:rsidRPr="00227BE0">
              <w:rPr>
                <w:sz w:val="20"/>
                <w:szCs w:val="20"/>
              </w:rPr>
              <w:t>C</w:t>
            </w:r>
            <w:r w:rsidRPr="00227BE0">
              <w:rPr>
                <w:sz w:val="20"/>
                <w:szCs w:val="20"/>
                <w:vertAlign w:val="subscript"/>
              </w:rPr>
              <w:t>50</w:t>
            </w:r>
          </w:p>
        </w:tc>
      </w:tr>
      <w:tr w:rsidR="00E51CDD" w:rsidRPr="00227BE0" w14:paraId="669F1391" w14:textId="77777777" w:rsidTr="009938D9">
        <w:trPr>
          <w:trHeight w:val="262"/>
        </w:trPr>
        <w:tc>
          <w:tcPr>
            <w:tcW w:w="0" w:type="auto"/>
            <w:gridSpan w:val="2"/>
            <w:vMerge/>
            <w:tcBorders>
              <w:top w:val="single" w:sz="6" w:space="0" w:color="auto"/>
              <w:left w:val="single" w:sz="6" w:space="0" w:color="auto"/>
              <w:bottom w:val="single" w:sz="6" w:space="0" w:color="auto"/>
              <w:right w:val="single" w:sz="6" w:space="0" w:color="auto"/>
            </w:tcBorders>
            <w:vAlign w:val="center"/>
            <w:hideMark/>
          </w:tcPr>
          <w:p w14:paraId="1801B17F" w14:textId="77777777" w:rsidR="00E51CDD" w:rsidRPr="00227BE0" w:rsidRDefault="00E51CDD" w:rsidP="009938D9">
            <w:pPr>
              <w:rPr>
                <w:bCs/>
                <w:sz w:val="20"/>
                <w:szCs w:val="20"/>
              </w:rPr>
            </w:pPr>
          </w:p>
        </w:tc>
        <w:tc>
          <w:tcPr>
            <w:tcW w:w="1208" w:type="pct"/>
            <w:tcBorders>
              <w:top w:val="nil"/>
              <w:left w:val="single" w:sz="6" w:space="0" w:color="auto"/>
              <w:bottom w:val="single" w:sz="6" w:space="0" w:color="auto"/>
              <w:right w:val="single" w:sz="6" w:space="0" w:color="auto"/>
            </w:tcBorders>
            <w:vAlign w:val="center"/>
            <w:hideMark/>
          </w:tcPr>
          <w:p w14:paraId="14031641"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&gt; 100000</w:t>
            </w:r>
          </w:p>
        </w:tc>
        <w:tc>
          <w:tcPr>
            <w:tcW w:w="1057" w:type="pct"/>
            <w:tcBorders>
              <w:top w:val="nil"/>
              <w:left w:val="single" w:sz="6" w:space="0" w:color="auto"/>
              <w:bottom w:val="single" w:sz="6" w:space="0" w:color="auto"/>
              <w:right w:val="single" w:sz="6" w:space="0" w:color="auto"/>
            </w:tcBorders>
            <w:vAlign w:val="center"/>
            <w:hideMark/>
          </w:tcPr>
          <w:p w14:paraId="5579692B"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&gt; 100000</w:t>
            </w:r>
          </w:p>
        </w:tc>
        <w:tc>
          <w:tcPr>
            <w:tcW w:w="1133" w:type="pct"/>
            <w:tcBorders>
              <w:top w:val="nil"/>
              <w:left w:val="single" w:sz="6" w:space="0" w:color="auto"/>
              <w:bottom w:val="single" w:sz="6" w:space="0" w:color="auto"/>
              <w:right w:val="single" w:sz="6" w:space="0" w:color="auto"/>
            </w:tcBorders>
            <w:vAlign w:val="center"/>
            <w:hideMark/>
          </w:tcPr>
          <w:p w14:paraId="2DC4813F"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26520</w:t>
            </w:r>
          </w:p>
        </w:tc>
      </w:tr>
      <w:tr w:rsidR="00E51CDD" w:rsidRPr="00227BE0" w14:paraId="66D8065E" w14:textId="77777777" w:rsidTr="009938D9">
        <w:trPr>
          <w:trHeight w:val="262"/>
        </w:trPr>
        <w:tc>
          <w:tcPr>
            <w:tcW w:w="1602" w:type="pct"/>
            <w:gridSpan w:val="2"/>
            <w:tcBorders>
              <w:top w:val="single" w:sz="6" w:space="0" w:color="auto"/>
              <w:left w:val="single" w:sz="6" w:space="0" w:color="auto"/>
              <w:bottom w:val="single" w:sz="4" w:space="0" w:color="auto"/>
              <w:right w:val="single" w:sz="6" w:space="0" w:color="auto"/>
            </w:tcBorders>
            <w:vAlign w:val="center"/>
            <w:hideMark/>
          </w:tcPr>
          <w:p w14:paraId="7FBE9F07" w14:textId="77777777" w:rsidR="00E51CDD" w:rsidRPr="00227BE0" w:rsidRDefault="00E51CDD" w:rsidP="009938D9">
            <w:pPr>
              <w:suppressAutoHyphens/>
              <w:autoSpaceDE w:val="0"/>
              <w:autoSpaceDN w:val="0"/>
              <w:adjustRightInd w:val="0"/>
              <w:rPr>
                <w:bCs/>
                <w:sz w:val="20"/>
                <w:szCs w:val="20"/>
              </w:rPr>
            </w:pPr>
            <w:r w:rsidRPr="00227BE0">
              <w:rPr>
                <w:bCs/>
                <w:sz w:val="20"/>
                <w:szCs w:val="20"/>
              </w:rPr>
              <w:t>RAC (µg/L)</w:t>
            </w:r>
          </w:p>
        </w:tc>
        <w:tc>
          <w:tcPr>
            <w:tcW w:w="1208" w:type="pct"/>
            <w:tcBorders>
              <w:top w:val="single" w:sz="6" w:space="0" w:color="auto"/>
              <w:left w:val="single" w:sz="6" w:space="0" w:color="auto"/>
              <w:bottom w:val="single" w:sz="6" w:space="0" w:color="auto"/>
              <w:right w:val="single" w:sz="6" w:space="0" w:color="auto"/>
            </w:tcBorders>
            <w:vAlign w:val="center"/>
            <w:hideMark/>
          </w:tcPr>
          <w:p w14:paraId="4EE7CB53"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1000</w:t>
            </w:r>
          </w:p>
        </w:tc>
        <w:tc>
          <w:tcPr>
            <w:tcW w:w="1057" w:type="pct"/>
            <w:tcBorders>
              <w:top w:val="single" w:sz="6" w:space="0" w:color="auto"/>
              <w:left w:val="single" w:sz="6" w:space="0" w:color="auto"/>
              <w:bottom w:val="single" w:sz="6" w:space="0" w:color="auto"/>
              <w:right w:val="single" w:sz="6" w:space="0" w:color="auto"/>
            </w:tcBorders>
            <w:vAlign w:val="center"/>
            <w:hideMark/>
          </w:tcPr>
          <w:p w14:paraId="2D700BB1"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1000</w:t>
            </w:r>
          </w:p>
        </w:tc>
        <w:tc>
          <w:tcPr>
            <w:tcW w:w="1133" w:type="pct"/>
            <w:tcBorders>
              <w:top w:val="single" w:sz="6" w:space="0" w:color="auto"/>
              <w:left w:val="single" w:sz="6" w:space="0" w:color="auto"/>
              <w:bottom w:val="single" w:sz="6" w:space="0" w:color="auto"/>
              <w:right w:val="single" w:sz="6" w:space="0" w:color="auto"/>
            </w:tcBorders>
            <w:vAlign w:val="center"/>
            <w:hideMark/>
          </w:tcPr>
          <w:p w14:paraId="3E7D454A"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2652</w:t>
            </w:r>
          </w:p>
        </w:tc>
      </w:tr>
      <w:tr w:rsidR="00E51CDD" w:rsidRPr="00227BE0" w14:paraId="05F34E9D" w14:textId="77777777" w:rsidTr="009938D9">
        <w:trPr>
          <w:trHeight w:val="464"/>
        </w:trPr>
        <w:tc>
          <w:tcPr>
            <w:tcW w:w="932" w:type="pct"/>
            <w:tcBorders>
              <w:top w:val="single" w:sz="4" w:space="0" w:color="auto"/>
              <w:left w:val="single" w:sz="4" w:space="0" w:color="auto"/>
              <w:bottom w:val="single" w:sz="4" w:space="0" w:color="auto"/>
              <w:right w:val="single" w:sz="4" w:space="0" w:color="auto"/>
            </w:tcBorders>
            <w:vAlign w:val="center"/>
            <w:hideMark/>
          </w:tcPr>
          <w:p w14:paraId="08791FDD" w14:textId="77777777" w:rsidR="00E51CDD" w:rsidRPr="00227BE0" w:rsidRDefault="00E51CDD" w:rsidP="009938D9">
            <w:pPr>
              <w:suppressAutoHyphens/>
              <w:autoSpaceDE w:val="0"/>
              <w:autoSpaceDN w:val="0"/>
              <w:adjustRightInd w:val="0"/>
              <w:rPr>
                <w:bCs/>
                <w:sz w:val="20"/>
                <w:szCs w:val="20"/>
              </w:rPr>
            </w:pPr>
            <w:r w:rsidRPr="00227BE0">
              <w:rPr>
                <w:b/>
                <w:sz w:val="20"/>
                <w:szCs w:val="20"/>
                <w:lang w:val="en-GB"/>
              </w:rPr>
              <w:t>FOCUS Scenario</w:t>
            </w:r>
          </w:p>
        </w:tc>
        <w:tc>
          <w:tcPr>
            <w:tcW w:w="670" w:type="pct"/>
            <w:tcBorders>
              <w:top w:val="single" w:sz="4" w:space="0" w:color="auto"/>
              <w:left w:val="single" w:sz="4" w:space="0" w:color="auto"/>
              <w:bottom w:val="single" w:sz="4" w:space="0" w:color="auto"/>
              <w:right w:val="single" w:sz="4" w:space="0" w:color="auto"/>
            </w:tcBorders>
            <w:vAlign w:val="center"/>
            <w:hideMark/>
          </w:tcPr>
          <w:p w14:paraId="29C8215A" w14:textId="77777777" w:rsidR="00E51CDD" w:rsidRPr="00227BE0" w:rsidRDefault="00E51CDD" w:rsidP="009938D9">
            <w:pPr>
              <w:suppressAutoHyphens/>
              <w:autoSpaceDE w:val="0"/>
              <w:autoSpaceDN w:val="0"/>
              <w:adjustRightInd w:val="0"/>
              <w:rPr>
                <w:bCs/>
                <w:sz w:val="20"/>
                <w:szCs w:val="20"/>
              </w:rPr>
            </w:pPr>
            <w:r w:rsidRPr="00227BE0">
              <w:rPr>
                <w:b/>
                <w:sz w:val="20"/>
                <w:szCs w:val="20"/>
              </w:rPr>
              <w:t xml:space="preserve">PEC </w:t>
            </w:r>
            <w:r w:rsidRPr="00227BE0">
              <w:rPr>
                <w:b/>
                <w:sz w:val="20"/>
                <w:szCs w:val="20"/>
                <w:vertAlign w:val="subscript"/>
              </w:rPr>
              <w:t>gl-max, sw</w:t>
            </w:r>
            <w:r w:rsidRPr="00227BE0">
              <w:rPr>
                <w:b/>
                <w:sz w:val="20"/>
                <w:szCs w:val="20"/>
              </w:rPr>
              <w:t xml:space="preserve"> (µg/L)</w:t>
            </w:r>
          </w:p>
        </w:tc>
        <w:tc>
          <w:tcPr>
            <w:tcW w:w="3398" w:type="pct"/>
            <w:gridSpan w:val="3"/>
            <w:tcBorders>
              <w:top w:val="single" w:sz="6" w:space="0" w:color="auto"/>
              <w:left w:val="single" w:sz="4" w:space="0" w:color="auto"/>
              <w:bottom w:val="single" w:sz="4" w:space="0" w:color="auto"/>
              <w:right w:val="single" w:sz="6" w:space="0" w:color="auto"/>
            </w:tcBorders>
            <w:vAlign w:val="center"/>
            <w:hideMark/>
          </w:tcPr>
          <w:p w14:paraId="7DB438C8" w14:textId="77777777" w:rsidR="00E51CDD" w:rsidRPr="00227BE0" w:rsidRDefault="00E51CDD" w:rsidP="009938D9">
            <w:pPr>
              <w:suppressAutoHyphens/>
              <w:autoSpaceDE w:val="0"/>
              <w:autoSpaceDN w:val="0"/>
              <w:adjustRightInd w:val="0"/>
              <w:jc w:val="center"/>
              <w:rPr>
                <w:b/>
                <w:bCs/>
                <w:color w:val="4472C4" w:themeColor="accent1"/>
                <w:sz w:val="20"/>
                <w:szCs w:val="20"/>
              </w:rPr>
            </w:pPr>
            <w:r w:rsidRPr="00227BE0">
              <w:rPr>
                <w:b/>
                <w:bCs/>
                <w:sz w:val="20"/>
                <w:szCs w:val="20"/>
              </w:rPr>
              <w:t>PEC/RAC ratio (= ETR)</w:t>
            </w:r>
          </w:p>
        </w:tc>
      </w:tr>
      <w:tr w:rsidR="00E51CDD" w:rsidRPr="00227BE0" w14:paraId="4774E971" w14:textId="77777777" w:rsidTr="009938D9">
        <w:trPr>
          <w:trHeight w:val="245"/>
        </w:trPr>
        <w:tc>
          <w:tcPr>
            <w:tcW w:w="932" w:type="pct"/>
            <w:tcBorders>
              <w:top w:val="single" w:sz="4" w:space="0" w:color="auto"/>
              <w:left w:val="single" w:sz="4" w:space="0" w:color="auto"/>
              <w:bottom w:val="single" w:sz="4" w:space="0" w:color="auto"/>
            </w:tcBorders>
            <w:vAlign w:val="center"/>
          </w:tcPr>
          <w:p w14:paraId="621B9D8C" w14:textId="77777777" w:rsidR="00E51CDD" w:rsidRPr="00227BE0" w:rsidRDefault="00E51CDD" w:rsidP="009938D9">
            <w:pPr>
              <w:suppressAutoHyphens/>
              <w:autoSpaceDE w:val="0"/>
              <w:autoSpaceDN w:val="0"/>
              <w:adjustRightInd w:val="0"/>
              <w:rPr>
                <w:b/>
                <w:bCs/>
                <w:sz w:val="20"/>
                <w:szCs w:val="20"/>
              </w:rPr>
            </w:pPr>
            <w:r w:rsidRPr="00227BE0">
              <w:rPr>
                <w:b/>
                <w:sz w:val="20"/>
                <w:szCs w:val="20"/>
                <w:lang w:val="en-GB"/>
              </w:rPr>
              <w:t>Step 1</w:t>
            </w:r>
          </w:p>
        </w:tc>
        <w:tc>
          <w:tcPr>
            <w:tcW w:w="670" w:type="pct"/>
            <w:tcBorders>
              <w:top w:val="single" w:sz="4" w:space="0" w:color="auto"/>
              <w:bottom w:val="single" w:sz="4" w:space="0" w:color="auto"/>
            </w:tcBorders>
            <w:vAlign w:val="center"/>
          </w:tcPr>
          <w:p w14:paraId="5877ECC2" w14:textId="77777777" w:rsidR="00E51CDD" w:rsidRPr="00227BE0" w:rsidRDefault="00E51CDD" w:rsidP="009938D9">
            <w:pPr>
              <w:suppressAutoHyphens/>
              <w:autoSpaceDE w:val="0"/>
              <w:autoSpaceDN w:val="0"/>
              <w:adjustRightInd w:val="0"/>
              <w:rPr>
                <w:b/>
                <w:sz w:val="20"/>
                <w:szCs w:val="20"/>
              </w:rPr>
            </w:pPr>
          </w:p>
        </w:tc>
        <w:tc>
          <w:tcPr>
            <w:tcW w:w="3398" w:type="pct"/>
            <w:gridSpan w:val="3"/>
            <w:tcBorders>
              <w:top w:val="single" w:sz="4" w:space="0" w:color="auto"/>
              <w:bottom w:val="single" w:sz="4" w:space="0" w:color="auto"/>
              <w:right w:val="single" w:sz="4" w:space="0" w:color="auto"/>
            </w:tcBorders>
            <w:vAlign w:val="center"/>
          </w:tcPr>
          <w:p w14:paraId="0BC2B3B5" w14:textId="77777777" w:rsidR="00E51CDD" w:rsidRPr="00227BE0" w:rsidRDefault="00E51CDD" w:rsidP="009938D9">
            <w:pPr>
              <w:suppressAutoHyphens/>
              <w:autoSpaceDE w:val="0"/>
              <w:autoSpaceDN w:val="0"/>
              <w:adjustRightInd w:val="0"/>
              <w:jc w:val="center"/>
              <w:rPr>
                <w:bCs/>
                <w:sz w:val="20"/>
                <w:szCs w:val="20"/>
              </w:rPr>
            </w:pPr>
          </w:p>
        </w:tc>
      </w:tr>
      <w:tr w:rsidR="00E51CDD" w:rsidRPr="00227BE0" w14:paraId="15A7A75D" w14:textId="77777777" w:rsidTr="009938D9">
        <w:trPr>
          <w:trHeight w:val="262"/>
        </w:trPr>
        <w:tc>
          <w:tcPr>
            <w:tcW w:w="932" w:type="pct"/>
            <w:tcBorders>
              <w:top w:val="single" w:sz="4" w:space="0" w:color="auto"/>
              <w:left w:val="single" w:sz="6" w:space="0" w:color="auto"/>
              <w:bottom w:val="single" w:sz="4" w:space="0" w:color="auto"/>
              <w:right w:val="single" w:sz="6" w:space="0" w:color="auto"/>
            </w:tcBorders>
            <w:vAlign w:val="center"/>
          </w:tcPr>
          <w:p w14:paraId="6B2C60DA" w14:textId="77777777" w:rsidR="00E51CDD" w:rsidRPr="00227BE0" w:rsidRDefault="00E51CDD" w:rsidP="009938D9">
            <w:pPr>
              <w:suppressAutoHyphens/>
              <w:autoSpaceDE w:val="0"/>
              <w:autoSpaceDN w:val="0"/>
              <w:adjustRightInd w:val="0"/>
              <w:rPr>
                <w:sz w:val="20"/>
                <w:szCs w:val="20"/>
              </w:rPr>
            </w:pPr>
          </w:p>
        </w:tc>
        <w:tc>
          <w:tcPr>
            <w:tcW w:w="670" w:type="pct"/>
            <w:tcBorders>
              <w:top w:val="single" w:sz="4" w:space="0" w:color="auto"/>
              <w:left w:val="single" w:sz="6" w:space="0" w:color="auto"/>
              <w:bottom w:val="single" w:sz="4" w:space="0" w:color="auto"/>
              <w:right w:val="single" w:sz="6" w:space="0" w:color="auto"/>
            </w:tcBorders>
            <w:vAlign w:val="center"/>
          </w:tcPr>
          <w:p w14:paraId="208C6C01" w14:textId="77777777" w:rsidR="00E51CDD" w:rsidRPr="00227BE0" w:rsidRDefault="00E51CDD" w:rsidP="009938D9">
            <w:pPr>
              <w:suppressAutoHyphens/>
              <w:autoSpaceDE w:val="0"/>
              <w:autoSpaceDN w:val="0"/>
              <w:adjustRightInd w:val="0"/>
              <w:rPr>
                <w:sz w:val="20"/>
                <w:szCs w:val="20"/>
              </w:rPr>
            </w:pPr>
            <w:r w:rsidRPr="00227BE0">
              <w:rPr>
                <w:sz w:val="20"/>
                <w:szCs w:val="20"/>
              </w:rPr>
              <w:t>19.816</w:t>
            </w:r>
          </w:p>
        </w:tc>
        <w:tc>
          <w:tcPr>
            <w:tcW w:w="1208" w:type="pct"/>
            <w:tcBorders>
              <w:top w:val="single" w:sz="4" w:space="0" w:color="auto"/>
              <w:left w:val="single" w:sz="6" w:space="0" w:color="auto"/>
              <w:bottom w:val="single" w:sz="4" w:space="0" w:color="auto"/>
              <w:right w:val="single" w:sz="6" w:space="0" w:color="auto"/>
            </w:tcBorders>
            <w:vAlign w:val="center"/>
            <w:hideMark/>
          </w:tcPr>
          <w:p w14:paraId="46182FEA"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&lt; 0.02</w:t>
            </w:r>
          </w:p>
        </w:tc>
        <w:tc>
          <w:tcPr>
            <w:tcW w:w="1057" w:type="pct"/>
            <w:tcBorders>
              <w:top w:val="single" w:sz="4" w:space="0" w:color="auto"/>
              <w:left w:val="single" w:sz="6" w:space="0" w:color="auto"/>
              <w:bottom w:val="single" w:sz="4" w:space="0" w:color="auto"/>
              <w:right w:val="single" w:sz="6" w:space="0" w:color="auto"/>
            </w:tcBorders>
            <w:vAlign w:val="center"/>
            <w:hideMark/>
          </w:tcPr>
          <w:p w14:paraId="28F2FDC6"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&lt; 0.02</w:t>
            </w:r>
          </w:p>
        </w:tc>
        <w:tc>
          <w:tcPr>
            <w:tcW w:w="1133" w:type="pct"/>
            <w:tcBorders>
              <w:top w:val="single" w:sz="4" w:space="0" w:color="auto"/>
              <w:left w:val="single" w:sz="6" w:space="0" w:color="auto"/>
              <w:bottom w:val="single" w:sz="4" w:space="0" w:color="auto"/>
              <w:right w:val="single" w:sz="6" w:space="0" w:color="auto"/>
            </w:tcBorders>
            <w:vAlign w:val="center"/>
            <w:hideMark/>
          </w:tcPr>
          <w:p w14:paraId="0CFE5FA3"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0.0007</w:t>
            </w:r>
          </w:p>
        </w:tc>
      </w:tr>
      <w:tr w:rsidR="00E51CDD" w:rsidRPr="00227BE0" w14:paraId="4BD7047D" w14:textId="77777777" w:rsidTr="009938D9">
        <w:trPr>
          <w:trHeight w:val="262"/>
        </w:trPr>
        <w:tc>
          <w:tcPr>
            <w:tcW w:w="5000" w:type="pct"/>
            <w:gridSpan w:val="5"/>
            <w:tcBorders>
              <w:top w:val="single" w:sz="4" w:space="0" w:color="auto"/>
              <w:left w:val="single" w:sz="6" w:space="0" w:color="auto"/>
              <w:bottom w:val="single" w:sz="6" w:space="0" w:color="auto"/>
              <w:right w:val="single" w:sz="6" w:space="0" w:color="auto"/>
            </w:tcBorders>
            <w:hideMark/>
          </w:tcPr>
          <w:p w14:paraId="5BCC68A2" w14:textId="77777777" w:rsidR="00E51CDD" w:rsidRPr="00227BE0" w:rsidRDefault="00E51CDD" w:rsidP="009938D9">
            <w:pPr>
              <w:suppressAutoHyphens/>
              <w:autoSpaceDE w:val="0"/>
              <w:autoSpaceDN w:val="0"/>
              <w:adjustRightInd w:val="0"/>
              <w:jc w:val="center"/>
              <w:rPr>
                <w:b/>
                <w:sz w:val="20"/>
                <w:szCs w:val="20"/>
              </w:rPr>
            </w:pPr>
            <w:r w:rsidRPr="00227BE0">
              <w:rPr>
                <w:b/>
                <w:sz w:val="20"/>
                <w:szCs w:val="20"/>
              </w:rPr>
              <w:t>M700F007</w:t>
            </w:r>
          </w:p>
        </w:tc>
      </w:tr>
      <w:tr w:rsidR="00E51CDD" w:rsidRPr="00227BE0" w14:paraId="6BB73307" w14:textId="77777777" w:rsidTr="009938D9">
        <w:trPr>
          <w:trHeight w:val="262"/>
        </w:trPr>
        <w:tc>
          <w:tcPr>
            <w:tcW w:w="1602" w:type="pct"/>
            <w:gridSpan w:val="2"/>
            <w:vMerge w:val="restart"/>
            <w:tcBorders>
              <w:top w:val="single" w:sz="6" w:space="0" w:color="auto"/>
              <w:left w:val="single" w:sz="6" w:space="0" w:color="auto"/>
              <w:bottom w:val="single" w:sz="6" w:space="0" w:color="auto"/>
              <w:right w:val="single" w:sz="6" w:space="0" w:color="auto"/>
            </w:tcBorders>
            <w:vAlign w:val="center"/>
            <w:hideMark/>
          </w:tcPr>
          <w:p w14:paraId="12D40FFF" w14:textId="77777777" w:rsidR="00E51CDD" w:rsidRPr="00227BE0" w:rsidRDefault="00E51CDD" w:rsidP="009938D9">
            <w:pPr>
              <w:suppressAutoHyphens/>
              <w:autoSpaceDE w:val="0"/>
              <w:autoSpaceDN w:val="0"/>
              <w:adjustRightInd w:val="0"/>
              <w:rPr>
                <w:bCs/>
                <w:sz w:val="20"/>
                <w:szCs w:val="20"/>
              </w:rPr>
            </w:pPr>
            <w:r w:rsidRPr="00227BE0">
              <w:rPr>
                <w:bCs/>
                <w:sz w:val="20"/>
                <w:szCs w:val="20"/>
              </w:rPr>
              <w:t>Endpoint (µg/L)</w:t>
            </w:r>
          </w:p>
        </w:tc>
        <w:tc>
          <w:tcPr>
            <w:tcW w:w="1208" w:type="pct"/>
            <w:tcBorders>
              <w:top w:val="single" w:sz="6" w:space="0" w:color="auto"/>
              <w:left w:val="single" w:sz="6" w:space="0" w:color="auto"/>
              <w:bottom w:val="nil"/>
              <w:right w:val="single" w:sz="6" w:space="0" w:color="auto"/>
            </w:tcBorders>
            <w:vAlign w:val="center"/>
            <w:hideMark/>
          </w:tcPr>
          <w:p w14:paraId="6C766248"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LC</w:t>
            </w:r>
            <w:r w:rsidRPr="00227BE0">
              <w:rPr>
                <w:sz w:val="20"/>
                <w:szCs w:val="20"/>
                <w:vertAlign w:val="subscript"/>
              </w:rPr>
              <w:t>50</w:t>
            </w:r>
          </w:p>
        </w:tc>
        <w:tc>
          <w:tcPr>
            <w:tcW w:w="1057" w:type="pct"/>
            <w:tcBorders>
              <w:top w:val="single" w:sz="6" w:space="0" w:color="auto"/>
              <w:left w:val="single" w:sz="6" w:space="0" w:color="auto"/>
              <w:bottom w:val="nil"/>
              <w:right w:val="single" w:sz="6" w:space="0" w:color="auto"/>
            </w:tcBorders>
            <w:vAlign w:val="center"/>
            <w:hideMark/>
          </w:tcPr>
          <w:p w14:paraId="14A54A49"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EC</w:t>
            </w:r>
            <w:r w:rsidRPr="00227BE0">
              <w:rPr>
                <w:sz w:val="20"/>
                <w:szCs w:val="20"/>
                <w:vertAlign w:val="subscript"/>
              </w:rPr>
              <w:t>50</w:t>
            </w:r>
          </w:p>
        </w:tc>
        <w:tc>
          <w:tcPr>
            <w:tcW w:w="1133" w:type="pct"/>
            <w:tcBorders>
              <w:top w:val="single" w:sz="6" w:space="0" w:color="auto"/>
              <w:left w:val="single" w:sz="6" w:space="0" w:color="auto"/>
              <w:bottom w:val="nil"/>
              <w:right w:val="single" w:sz="6" w:space="0" w:color="auto"/>
            </w:tcBorders>
            <w:vAlign w:val="center"/>
            <w:hideMark/>
          </w:tcPr>
          <w:p w14:paraId="241F9C2D"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E</w:t>
            </w:r>
            <w:r w:rsidRPr="00227BE0">
              <w:rPr>
                <w:sz w:val="20"/>
                <w:szCs w:val="20"/>
                <w:vertAlign w:val="subscript"/>
              </w:rPr>
              <w:t>r</w:t>
            </w:r>
            <w:r w:rsidRPr="00227BE0">
              <w:rPr>
                <w:sz w:val="20"/>
                <w:szCs w:val="20"/>
              </w:rPr>
              <w:t>C</w:t>
            </w:r>
            <w:r w:rsidRPr="00227BE0">
              <w:rPr>
                <w:sz w:val="20"/>
                <w:szCs w:val="20"/>
                <w:vertAlign w:val="subscript"/>
              </w:rPr>
              <w:t>50</w:t>
            </w:r>
          </w:p>
        </w:tc>
      </w:tr>
      <w:tr w:rsidR="00E51CDD" w:rsidRPr="00227BE0" w14:paraId="62D235F5" w14:textId="77777777" w:rsidTr="009938D9">
        <w:trPr>
          <w:trHeight w:val="262"/>
        </w:trPr>
        <w:tc>
          <w:tcPr>
            <w:tcW w:w="0" w:type="auto"/>
            <w:gridSpan w:val="2"/>
            <w:vMerge/>
            <w:tcBorders>
              <w:top w:val="single" w:sz="6" w:space="0" w:color="auto"/>
              <w:left w:val="single" w:sz="6" w:space="0" w:color="auto"/>
              <w:bottom w:val="single" w:sz="6" w:space="0" w:color="auto"/>
              <w:right w:val="single" w:sz="6" w:space="0" w:color="auto"/>
            </w:tcBorders>
            <w:vAlign w:val="center"/>
            <w:hideMark/>
          </w:tcPr>
          <w:p w14:paraId="6E2D74B9" w14:textId="77777777" w:rsidR="00E51CDD" w:rsidRPr="00227BE0" w:rsidRDefault="00E51CDD" w:rsidP="009938D9">
            <w:pPr>
              <w:rPr>
                <w:bCs/>
                <w:sz w:val="20"/>
                <w:szCs w:val="20"/>
              </w:rPr>
            </w:pPr>
          </w:p>
        </w:tc>
        <w:tc>
          <w:tcPr>
            <w:tcW w:w="1208" w:type="pct"/>
            <w:tcBorders>
              <w:top w:val="nil"/>
              <w:left w:val="single" w:sz="6" w:space="0" w:color="auto"/>
              <w:bottom w:val="single" w:sz="6" w:space="0" w:color="auto"/>
              <w:right w:val="single" w:sz="6" w:space="0" w:color="auto"/>
            </w:tcBorders>
            <w:vAlign w:val="center"/>
            <w:hideMark/>
          </w:tcPr>
          <w:p w14:paraId="60E3CDAC"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&gt; 100000</w:t>
            </w:r>
          </w:p>
        </w:tc>
        <w:tc>
          <w:tcPr>
            <w:tcW w:w="1057" w:type="pct"/>
            <w:tcBorders>
              <w:top w:val="nil"/>
              <w:left w:val="single" w:sz="6" w:space="0" w:color="auto"/>
              <w:bottom w:val="single" w:sz="6" w:space="0" w:color="auto"/>
              <w:right w:val="single" w:sz="6" w:space="0" w:color="auto"/>
            </w:tcBorders>
            <w:vAlign w:val="center"/>
            <w:hideMark/>
          </w:tcPr>
          <w:p w14:paraId="1E56320D"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&gt; 100000</w:t>
            </w:r>
          </w:p>
        </w:tc>
        <w:tc>
          <w:tcPr>
            <w:tcW w:w="1133" w:type="pct"/>
            <w:tcBorders>
              <w:top w:val="nil"/>
              <w:left w:val="single" w:sz="6" w:space="0" w:color="auto"/>
              <w:bottom w:val="single" w:sz="6" w:space="0" w:color="auto"/>
              <w:right w:val="single" w:sz="6" w:space="0" w:color="auto"/>
            </w:tcBorders>
            <w:vAlign w:val="center"/>
            <w:hideMark/>
          </w:tcPr>
          <w:p w14:paraId="6BCAEC25"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&gt; 100000</w:t>
            </w:r>
          </w:p>
        </w:tc>
      </w:tr>
      <w:tr w:rsidR="00E51CDD" w:rsidRPr="00227BE0" w14:paraId="26269E36" w14:textId="77777777" w:rsidTr="009938D9">
        <w:trPr>
          <w:trHeight w:val="262"/>
        </w:trPr>
        <w:tc>
          <w:tcPr>
            <w:tcW w:w="1602" w:type="pct"/>
            <w:gridSpan w:val="2"/>
            <w:tcBorders>
              <w:top w:val="single" w:sz="6" w:space="0" w:color="auto"/>
              <w:left w:val="single" w:sz="6" w:space="0" w:color="auto"/>
              <w:bottom w:val="single" w:sz="4" w:space="0" w:color="auto"/>
              <w:right w:val="single" w:sz="6" w:space="0" w:color="auto"/>
            </w:tcBorders>
            <w:vAlign w:val="center"/>
            <w:hideMark/>
          </w:tcPr>
          <w:p w14:paraId="356CF536" w14:textId="77777777" w:rsidR="00E51CDD" w:rsidRPr="00227BE0" w:rsidRDefault="00E51CDD" w:rsidP="009938D9">
            <w:pPr>
              <w:suppressAutoHyphens/>
              <w:autoSpaceDE w:val="0"/>
              <w:autoSpaceDN w:val="0"/>
              <w:adjustRightInd w:val="0"/>
              <w:rPr>
                <w:bCs/>
                <w:sz w:val="20"/>
                <w:szCs w:val="20"/>
              </w:rPr>
            </w:pPr>
            <w:r w:rsidRPr="00227BE0">
              <w:rPr>
                <w:bCs/>
                <w:sz w:val="20"/>
                <w:szCs w:val="20"/>
              </w:rPr>
              <w:t>RAC (µg/L)</w:t>
            </w:r>
          </w:p>
        </w:tc>
        <w:tc>
          <w:tcPr>
            <w:tcW w:w="1208" w:type="pct"/>
            <w:tcBorders>
              <w:top w:val="single" w:sz="6" w:space="0" w:color="auto"/>
              <w:left w:val="single" w:sz="6" w:space="0" w:color="auto"/>
              <w:bottom w:val="single" w:sz="6" w:space="0" w:color="auto"/>
              <w:right w:val="single" w:sz="6" w:space="0" w:color="auto"/>
            </w:tcBorders>
            <w:vAlign w:val="center"/>
            <w:hideMark/>
          </w:tcPr>
          <w:p w14:paraId="3007E01A"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1000</w:t>
            </w:r>
          </w:p>
        </w:tc>
        <w:tc>
          <w:tcPr>
            <w:tcW w:w="1057" w:type="pct"/>
            <w:tcBorders>
              <w:top w:val="single" w:sz="6" w:space="0" w:color="auto"/>
              <w:left w:val="single" w:sz="6" w:space="0" w:color="auto"/>
              <w:bottom w:val="single" w:sz="6" w:space="0" w:color="auto"/>
              <w:right w:val="single" w:sz="6" w:space="0" w:color="auto"/>
            </w:tcBorders>
            <w:vAlign w:val="center"/>
            <w:hideMark/>
          </w:tcPr>
          <w:p w14:paraId="392D03DC"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1000</w:t>
            </w:r>
          </w:p>
        </w:tc>
        <w:tc>
          <w:tcPr>
            <w:tcW w:w="1133" w:type="pct"/>
            <w:tcBorders>
              <w:top w:val="single" w:sz="6" w:space="0" w:color="auto"/>
              <w:left w:val="single" w:sz="6" w:space="0" w:color="auto"/>
              <w:bottom w:val="single" w:sz="6" w:space="0" w:color="auto"/>
              <w:right w:val="single" w:sz="6" w:space="0" w:color="auto"/>
            </w:tcBorders>
            <w:vAlign w:val="center"/>
            <w:hideMark/>
          </w:tcPr>
          <w:p w14:paraId="0EF9F487"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10000</w:t>
            </w:r>
          </w:p>
        </w:tc>
      </w:tr>
      <w:tr w:rsidR="00E51CDD" w:rsidRPr="00227BE0" w14:paraId="5FE8ADD7" w14:textId="77777777" w:rsidTr="009938D9">
        <w:trPr>
          <w:trHeight w:val="464"/>
        </w:trPr>
        <w:tc>
          <w:tcPr>
            <w:tcW w:w="932" w:type="pct"/>
            <w:tcBorders>
              <w:top w:val="single" w:sz="4" w:space="0" w:color="auto"/>
              <w:left w:val="single" w:sz="4" w:space="0" w:color="auto"/>
              <w:bottom w:val="single" w:sz="4" w:space="0" w:color="auto"/>
              <w:right w:val="single" w:sz="4" w:space="0" w:color="auto"/>
            </w:tcBorders>
            <w:vAlign w:val="center"/>
            <w:hideMark/>
          </w:tcPr>
          <w:p w14:paraId="329035D1" w14:textId="77777777" w:rsidR="00E51CDD" w:rsidRPr="00227BE0" w:rsidRDefault="00E51CDD" w:rsidP="009938D9">
            <w:pPr>
              <w:suppressAutoHyphens/>
              <w:autoSpaceDE w:val="0"/>
              <w:autoSpaceDN w:val="0"/>
              <w:adjustRightInd w:val="0"/>
              <w:rPr>
                <w:bCs/>
                <w:sz w:val="20"/>
                <w:szCs w:val="20"/>
              </w:rPr>
            </w:pPr>
            <w:r w:rsidRPr="00227BE0">
              <w:rPr>
                <w:b/>
                <w:sz w:val="20"/>
                <w:szCs w:val="20"/>
                <w:lang w:val="en-GB"/>
              </w:rPr>
              <w:t>FOCUS Scenario</w:t>
            </w:r>
          </w:p>
        </w:tc>
        <w:tc>
          <w:tcPr>
            <w:tcW w:w="670" w:type="pct"/>
            <w:tcBorders>
              <w:top w:val="single" w:sz="4" w:space="0" w:color="auto"/>
              <w:left w:val="single" w:sz="4" w:space="0" w:color="auto"/>
              <w:bottom w:val="single" w:sz="4" w:space="0" w:color="auto"/>
              <w:right w:val="single" w:sz="4" w:space="0" w:color="auto"/>
            </w:tcBorders>
            <w:vAlign w:val="center"/>
            <w:hideMark/>
          </w:tcPr>
          <w:p w14:paraId="616D4F3E" w14:textId="77777777" w:rsidR="00E51CDD" w:rsidRPr="00227BE0" w:rsidRDefault="00E51CDD" w:rsidP="009938D9">
            <w:pPr>
              <w:suppressAutoHyphens/>
              <w:autoSpaceDE w:val="0"/>
              <w:autoSpaceDN w:val="0"/>
              <w:adjustRightInd w:val="0"/>
              <w:rPr>
                <w:bCs/>
                <w:sz w:val="20"/>
                <w:szCs w:val="20"/>
              </w:rPr>
            </w:pPr>
            <w:r w:rsidRPr="00227BE0">
              <w:rPr>
                <w:b/>
                <w:sz w:val="20"/>
                <w:szCs w:val="20"/>
              </w:rPr>
              <w:t xml:space="preserve">PEC </w:t>
            </w:r>
            <w:r w:rsidRPr="00227BE0">
              <w:rPr>
                <w:b/>
                <w:sz w:val="20"/>
                <w:szCs w:val="20"/>
                <w:vertAlign w:val="subscript"/>
              </w:rPr>
              <w:t>gl-max, sw</w:t>
            </w:r>
            <w:r w:rsidRPr="00227BE0">
              <w:rPr>
                <w:b/>
                <w:sz w:val="20"/>
                <w:szCs w:val="20"/>
              </w:rPr>
              <w:t xml:space="preserve"> (µg/L)</w:t>
            </w:r>
          </w:p>
        </w:tc>
        <w:tc>
          <w:tcPr>
            <w:tcW w:w="3398" w:type="pct"/>
            <w:gridSpan w:val="3"/>
            <w:tcBorders>
              <w:top w:val="single" w:sz="6" w:space="0" w:color="auto"/>
              <w:left w:val="single" w:sz="4" w:space="0" w:color="auto"/>
              <w:bottom w:val="single" w:sz="4" w:space="0" w:color="auto"/>
              <w:right w:val="single" w:sz="6" w:space="0" w:color="auto"/>
            </w:tcBorders>
            <w:vAlign w:val="center"/>
            <w:hideMark/>
          </w:tcPr>
          <w:p w14:paraId="3985DFD4" w14:textId="77777777" w:rsidR="00E51CDD" w:rsidRPr="00227BE0" w:rsidRDefault="00E51CDD" w:rsidP="009938D9">
            <w:pPr>
              <w:suppressAutoHyphens/>
              <w:autoSpaceDE w:val="0"/>
              <w:autoSpaceDN w:val="0"/>
              <w:adjustRightInd w:val="0"/>
              <w:jc w:val="center"/>
              <w:rPr>
                <w:b/>
                <w:bCs/>
                <w:sz w:val="20"/>
                <w:szCs w:val="20"/>
              </w:rPr>
            </w:pPr>
            <w:r w:rsidRPr="00227BE0">
              <w:rPr>
                <w:b/>
                <w:bCs/>
                <w:sz w:val="20"/>
                <w:szCs w:val="20"/>
              </w:rPr>
              <w:t>PEC/RAC ratio (= ETR)</w:t>
            </w:r>
          </w:p>
        </w:tc>
      </w:tr>
      <w:tr w:rsidR="00E51CDD" w:rsidRPr="00227BE0" w14:paraId="5BC90A66" w14:textId="77777777" w:rsidTr="009938D9">
        <w:trPr>
          <w:trHeight w:val="245"/>
        </w:trPr>
        <w:tc>
          <w:tcPr>
            <w:tcW w:w="932" w:type="pct"/>
            <w:tcBorders>
              <w:top w:val="single" w:sz="4" w:space="0" w:color="auto"/>
              <w:left w:val="single" w:sz="4" w:space="0" w:color="auto"/>
              <w:bottom w:val="single" w:sz="4" w:space="0" w:color="auto"/>
            </w:tcBorders>
            <w:vAlign w:val="center"/>
          </w:tcPr>
          <w:p w14:paraId="7C620B89" w14:textId="77777777" w:rsidR="00E51CDD" w:rsidRPr="00227BE0" w:rsidRDefault="00E51CDD" w:rsidP="009938D9">
            <w:pPr>
              <w:suppressAutoHyphens/>
              <w:autoSpaceDE w:val="0"/>
              <w:autoSpaceDN w:val="0"/>
              <w:adjustRightInd w:val="0"/>
              <w:rPr>
                <w:b/>
                <w:bCs/>
                <w:sz w:val="20"/>
                <w:szCs w:val="20"/>
              </w:rPr>
            </w:pPr>
            <w:r w:rsidRPr="00227BE0">
              <w:rPr>
                <w:b/>
                <w:sz w:val="20"/>
                <w:szCs w:val="20"/>
                <w:lang w:val="en-GB"/>
              </w:rPr>
              <w:t>Step 1</w:t>
            </w:r>
          </w:p>
        </w:tc>
        <w:tc>
          <w:tcPr>
            <w:tcW w:w="670" w:type="pct"/>
            <w:tcBorders>
              <w:top w:val="single" w:sz="4" w:space="0" w:color="auto"/>
              <w:bottom w:val="single" w:sz="4" w:space="0" w:color="auto"/>
            </w:tcBorders>
            <w:vAlign w:val="center"/>
          </w:tcPr>
          <w:p w14:paraId="58617F54" w14:textId="77777777" w:rsidR="00E51CDD" w:rsidRPr="00227BE0" w:rsidRDefault="00E51CDD" w:rsidP="009938D9">
            <w:pPr>
              <w:suppressAutoHyphens/>
              <w:autoSpaceDE w:val="0"/>
              <w:autoSpaceDN w:val="0"/>
              <w:adjustRightInd w:val="0"/>
              <w:rPr>
                <w:b/>
                <w:sz w:val="20"/>
                <w:szCs w:val="20"/>
              </w:rPr>
            </w:pPr>
          </w:p>
        </w:tc>
        <w:tc>
          <w:tcPr>
            <w:tcW w:w="3398" w:type="pct"/>
            <w:gridSpan w:val="3"/>
            <w:tcBorders>
              <w:top w:val="single" w:sz="4" w:space="0" w:color="auto"/>
              <w:bottom w:val="single" w:sz="4" w:space="0" w:color="auto"/>
              <w:right w:val="single" w:sz="4" w:space="0" w:color="auto"/>
            </w:tcBorders>
            <w:vAlign w:val="center"/>
          </w:tcPr>
          <w:p w14:paraId="2F5E9D65" w14:textId="77777777" w:rsidR="00E51CDD" w:rsidRPr="00227BE0" w:rsidRDefault="00E51CDD" w:rsidP="009938D9">
            <w:pPr>
              <w:suppressAutoHyphens/>
              <w:autoSpaceDE w:val="0"/>
              <w:autoSpaceDN w:val="0"/>
              <w:adjustRightInd w:val="0"/>
              <w:jc w:val="center"/>
              <w:rPr>
                <w:bCs/>
                <w:color w:val="4472C4" w:themeColor="accent1"/>
                <w:sz w:val="20"/>
                <w:szCs w:val="20"/>
              </w:rPr>
            </w:pPr>
          </w:p>
        </w:tc>
      </w:tr>
      <w:tr w:rsidR="00E51CDD" w:rsidRPr="00227BE0" w14:paraId="76DFDC90" w14:textId="77777777" w:rsidTr="009938D9">
        <w:trPr>
          <w:trHeight w:val="262"/>
        </w:trPr>
        <w:tc>
          <w:tcPr>
            <w:tcW w:w="932" w:type="pct"/>
            <w:tcBorders>
              <w:top w:val="single" w:sz="4" w:space="0" w:color="auto"/>
              <w:left w:val="single" w:sz="6" w:space="0" w:color="auto"/>
              <w:bottom w:val="single" w:sz="4" w:space="0" w:color="auto"/>
              <w:right w:val="single" w:sz="6" w:space="0" w:color="auto"/>
            </w:tcBorders>
            <w:vAlign w:val="center"/>
          </w:tcPr>
          <w:p w14:paraId="4AA0DBAC" w14:textId="77777777" w:rsidR="00E51CDD" w:rsidRPr="00227BE0" w:rsidRDefault="00E51CDD" w:rsidP="009938D9">
            <w:pPr>
              <w:suppressAutoHyphens/>
              <w:autoSpaceDE w:val="0"/>
              <w:autoSpaceDN w:val="0"/>
              <w:adjustRightInd w:val="0"/>
              <w:rPr>
                <w:sz w:val="20"/>
                <w:szCs w:val="20"/>
              </w:rPr>
            </w:pPr>
          </w:p>
        </w:tc>
        <w:tc>
          <w:tcPr>
            <w:tcW w:w="670" w:type="pct"/>
            <w:tcBorders>
              <w:top w:val="single" w:sz="4" w:space="0" w:color="auto"/>
              <w:left w:val="single" w:sz="6" w:space="0" w:color="auto"/>
              <w:bottom w:val="single" w:sz="4" w:space="0" w:color="auto"/>
              <w:right w:val="single" w:sz="6" w:space="0" w:color="auto"/>
            </w:tcBorders>
            <w:vAlign w:val="center"/>
          </w:tcPr>
          <w:p w14:paraId="18182F8D" w14:textId="77777777" w:rsidR="00E51CDD" w:rsidRPr="00227BE0" w:rsidRDefault="00E51CDD" w:rsidP="009938D9">
            <w:pPr>
              <w:suppressAutoHyphens/>
              <w:autoSpaceDE w:val="0"/>
              <w:autoSpaceDN w:val="0"/>
              <w:adjustRightInd w:val="0"/>
              <w:rPr>
                <w:sz w:val="20"/>
                <w:szCs w:val="20"/>
              </w:rPr>
            </w:pPr>
            <w:r w:rsidRPr="00227BE0">
              <w:rPr>
                <w:sz w:val="20"/>
                <w:szCs w:val="20"/>
              </w:rPr>
              <w:t>5.564</w:t>
            </w:r>
          </w:p>
        </w:tc>
        <w:tc>
          <w:tcPr>
            <w:tcW w:w="1208" w:type="pct"/>
            <w:tcBorders>
              <w:top w:val="single" w:sz="4" w:space="0" w:color="auto"/>
              <w:left w:val="single" w:sz="6" w:space="0" w:color="auto"/>
              <w:bottom w:val="single" w:sz="4" w:space="0" w:color="auto"/>
              <w:right w:val="single" w:sz="6" w:space="0" w:color="auto"/>
            </w:tcBorders>
            <w:vAlign w:val="center"/>
            <w:hideMark/>
          </w:tcPr>
          <w:p w14:paraId="72E4F46F"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&lt; 0.006</w:t>
            </w:r>
          </w:p>
        </w:tc>
        <w:tc>
          <w:tcPr>
            <w:tcW w:w="1057" w:type="pct"/>
            <w:tcBorders>
              <w:top w:val="single" w:sz="4" w:space="0" w:color="auto"/>
              <w:left w:val="single" w:sz="6" w:space="0" w:color="auto"/>
              <w:bottom w:val="single" w:sz="4" w:space="0" w:color="auto"/>
              <w:right w:val="single" w:sz="6" w:space="0" w:color="auto"/>
            </w:tcBorders>
            <w:vAlign w:val="center"/>
            <w:hideMark/>
          </w:tcPr>
          <w:p w14:paraId="548239B6"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&lt; 0.006</w:t>
            </w:r>
          </w:p>
        </w:tc>
        <w:tc>
          <w:tcPr>
            <w:tcW w:w="1133" w:type="pct"/>
            <w:tcBorders>
              <w:top w:val="single" w:sz="4" w:space="0" w:color="auto"/>
              <w:left w:val="single" w:sz="6" w:space="0" w:color="auto"/>
              <w:bottom w:val="single" w:sz="4" w:space="0" w:color="auto"/>
              <w:right w:val="single" w:sz="6" w:space="0" w:color="auto"/>
            </w:tcBorders>
            <w:vAlign w:val="center"/>
            <w:hideMark/>
          </w:tcPr>
          <w:p w14:paraId="22ECF0D5"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&lt; 0.0006</w:t>
            </w:r>
          </w:p>
        </w:tc>
      </w:tr>
    </w:tbl>
    <w:p w14:paraId="051D8191" w14:textId="77777777" w:rsidR="00E51CDD" w:rsidRPr="00227BE0" w:rsidRDefault="00E51CDD" w:rsidP="00E51CDD">
      <w:pPr>
        <w:widowControl w:val="0"/>
        <w:tabs>
          <w:tab w:val="left" w:pos="425"/>
        </w:tabs>
        <w:suppressAutoHyphens/>
        <w:ind w:left="284" w:hanging="284"/>
        <w:jc w:val="both"/>
        <w:rPr>
          <w:noProof/>
          <w:sz w:val="18"/>
          <w:szCs w:val="18"/>
        </w:rPr>
      </w:pPr>
      <w:r w:rsidRPr="00227BE0">
        <w:rPr>
          <w:noProof/>
          <w:sz w:val="18"/>
          <w:szCs w:val="18"/>
        </w:rPr>
        <w:t>AF: Assessment factor; PEC: Predicted environmental concentration; RAC: Regulatory acceptable concentration; ETR: Exposure-toxicity ratio</w:t>
      </w:r>
    </w:p>
    <w:p w14:paraId="580057E3" w14:textId="77777777" w:rsidR="00E51CDD" w:rsidRPr="00227BE0" w:rsidRDefault="00E51CDD" w:rsidP="00E51CDD">
      <w:pPr>
        <w:suppressAutoHyphens/>
        <w:ind w:left="284" w:hanging="284"/>
        <w:jc w:val="both"/>
      </w:pPr>
    </w:p>
    <w:p w14:paraId="203892DB" w14:textId="77777777" w:rsidR="00E51CDD" w:rsidRPr="00227BE0" w:rsidRDefault="00E51CDD" w:rsidP="00E51CDD">
      <w:pPr>
        <w:suppressAutoHyphens/>
        <w:ind w:left="284" w:hanging="284"/>
        <w:jc w:val="both"/>
      </w:pPr>
    </w:p>
    <w:p w14:paraId="3566AAE9" w14:textId="77777777" w:rsidR="00E51CDD" w:rsidRPr="00227BE0" w:rsidRDefault="00E51CDD" w:rsidP="00E51CDD">
      <w:pPr>
        <w:widowControl w:val="0"/>
        <w:suppressAutoHyphens/>
        <w:jc w:val="both"/>
      </w:pPr>
      <w:r w:rsidRPr="00227BE0">
        <w:t>For the intended single and twofold application of BAS 736 00 F in ‘winter cereals’ and ‘spring cereals’ at 1x and 2x 100 g a.s./ha, the calculated PEC/RAC ratios for the fluxapyroxad metabolites indicate an acceptable risk for all groups of aquatic organisms based on standard assumptions. Therefore, no further assessment is necessary.</w:t>
      </w:r>
    </w:p>
    <w:p w14:paraId="3EB76DD5" w14:textId="77777777" w:rsidR="00E51CDD" w:rsidRPr="005D7ECC" w:rsidRDefault="00E51CDD" w:rsidP="00E51CDD">
      <w:pPr>
        <w:tabs>
          <w:tab w:val="left" w:pos="720"/>
        </w:tabs>
        <w:suppressAutoHyphens/>
        <w:jc w:val="both"/>
        <w:rPr>
          <w:b/>
          <w:strike/>
          <w:color w:val="D9D9D9" w:themeColor="background1" w:themeShade="D9"/>
          <w:sz w:val="24"/>
          <w:szCs w:val="24"/>
          <w:u w:val="single"/>
          <w:lang w:val="en-CA"/>
        </w:rPr>
      </w:pPr>
      <w:r w:rsidRPr="00227BE0">
        <w:br w:type="page"/>
      </w:r>
      <w:r w:rsidRPr="005D7ECC">
        <w:rPr>
          <w:b/>
          <w:strike/>
          <w:color w:val="D9D9D9" w:themeColor="background1" w:themeShade="D9"/>
          <w:sz w:val="24"/>
          <w:szCs w:val="24"/>
          <w:u w:val="single"/>
          <w:lang w:val="en-CA"/>
        </w:rPr>
        <w:lastRenderedPageBreak/>
        <w:t>Refined Risk Assessment for fluxapyroxad– Tier-2B: Species Sensitivity Distribution (SSD)</w:t>
      </w:r>
    </w:p>
    <w:p w14:paraId="1DFD5F45" w14:textId="77777777" w:rsidR="00E51CDD" w:rsidRPr="005D7ECC" w:rsidRDefault="00E51CDD" w:rsidP="00E51CDD">
      <w:pPr>
        <w:suppressAutoHyphens/>
        <w:jc w:val="both"/>
        <w:rPr>
          <w:b/>
          <w:strike/>
          <w:color w:val="D9D9D9" w:themeColor="background1" w:themeShade="D9"/>
          <w:u w:val="single"/>
          <w:lang w:val="en-CA"/>
        </w:rPr>
      </w:pPr>
    </w:p>
    <w:p w14:paraId="1C3C9A35" w14:textId="77777777" w:rsidR="00E51CDD" w:rsidRPr="005D7ECC" w:rsidRDefault="00E51CDD" w:rsidP="00E51CDD">
      <w:pPr>
        <w:spacing w:after="120"/>
        <w:jc w:val="both"/>
        <w:rPr>
          <w:strike/>
          <w:color w:val="D9D9D9" w:themeColor="background1" w:themeShade="D9"/>
        </w:rPr>
      </w:pPr>
      <w:r w:rsidRPr="005D7ECC">
        <w:rPr>
          <w:strike/>
          <w:color w:val="D9D9D9" w:themeColor="background1" w:themeShade="D9"/>
          <w:lang w:val="en-CA"/>
        </w:rPr>
        <w:t xml:space="preserve">For fluxapyroxad and based on the available regulatory acceptable concentrations (RAC) from standard test organisms, </w:t>
      </w:r>
      <w:r w:rsidRPr="005D7ECC">
        <w:rPr>
          <w:strike/>
          <w:color w:val="D9D9D9" w:themeColor="background1" w:themeShade="D9"/>
        </w:rPr>
        <w:t xml:space="preserve">fish is one order of magnitude the most sensitive group to this fungicide and hence chosen for further risk assessment refinement. A species sensitivity distribution (SSD) is then used to refine the RAC for this group of aquatic organisms since according to the Tier 2B approach in the EFSA AGD (2013), data on the toxicity of fluxapyroxad is available at is obtained from at least fish species. </w:t>
      </w:r>
    </w:p>
    <w:p w14:paraId="5BF4A94F" w14:textId="77777777" w:rsidR="00E51CDD" w:rsidRPr="005D7ECC" w:rsidRDefault="00E51CDD" w:rsidP="00E51CDD">
      <w:pPr>
        <w:spacing w:after="120"/>
        <w:jc w:val="both"/>
        <w:rPr>
          <w:strike/>
          <w:color w:val="D9D9D9" w:themeColor="background1" w:themeShade="D9"/>
          <w:lang w:val="en-CA"/>
        </w:rPr>
      </w:pPr>
      <w:r w:rsidRPr="005D7ECC">
        <w:rPr>
          <w:strike/>
          <w:color w:val="D9D9D9" w:themeColor="background1" w:themeShade="D9"/>
        </w:rPr>
        <w:t xml:space="preserve">According to the EFSA AGD (2013), it is recommended to use chronic endpoints NOEC/LC10 to construct the SSD for fish, since a higher protection level is desired for vertebrates than for invertebrates and plants. </w:t>
      </w:r>
      <w:r w:rsidRPr="005D7ECC">
        <w:rPr>
          <w:strike/>
          <w:color w:val="D9D9D9" w:themeColor="background1" w:themeShade="D9"/>
          <w:lang w:val="en-CA"/>
        </w:rPr>
        <w:t xml:space="preserve">Five NOECs were obtained from acute studies performed to fulfill different zonal requirements under the guideline OECD 203 and with an exposure duration of 96 h. </w:t>
      </w:r>
    </w:p>
    <w:p w14:paraId="54103588" w14:textId="77777777" w:rsidR="00E51CDD" w:rsidRPr="005D7ECC" w:rsidRDefault="00E51CDD" w:rsidP="00E51CDD">
      <w:pPr>
        <w:spacing w:after="120"/>
        <w:jc w:val="both"/>
        <w:rPr>
          <w:strike/>
          <w:color w:val="D9D9D9" w:themeColor="background1" w:themeShade="D9"/>
        </w:rPr>
      </w:pPr>
      <w:r w:rsidRPr="005D7ECC">
        <w:rPr>
          <w:strike/>
          <w:color w:val="D9D9D9" w:themeColor="background1" w:themeShade="D9"/>
        </w:rPr>
        <w:t>The median hazard concentration to 5% of the tested species (HC5) derived from the SSD may subsequently be used in combination with an AF of 3 to calculate the SSD-RAC used for comparison with FOCUS PEC</w:t>
      </w:r>
      <w:r w:rsidRPr="005D7ECC">
        <w:rPr>
          <w:strike/>
          <w:color w:val="D9D9D9" w:themeColor="background1" w:themeShade="D9"/>
          <w:vertAlign w:val="subscript"/>
        </w:rPr>
        <w:t>sw</w:t>
      </w:r>
      <w:r w:rsidRPr="005D7ECC">
        <w:rPr>
          <w:strike/>
          <w:color w:val="D9D9D9" w:themeColor="background1" w:themeShade="D9"/>
        </w:rPr>
        <w:t xml:space="preserve"> values.</w:t>
      </w:r>
    </w:p>
    <w:p w14:paraId="0CE28996" w14:textId="77777777" w:rsidR="00E51CDD" w:rsidRPr="005D7ECC" w:rsidRDefault="00E51CDD" w:rsidP="00E51CDD">
      <w:pPr>
        <w:tabs>
          <w:tab w:val="left" w:pos="2127"/>
        </w:tabs>
        <w:ind w:left="2126" w:hanging="2126"/>
        <w:jc w:val="both"/>
        <w:rPr>
          <w:b/>
          <w:bCs/>
          <w:strike/>
          <w:color w:val="D9D9D9" w:themeColor="background1" w:themeShade="D9"/>
        </w:rPr>
      </w:pPr>
    </w:p>
    <w:p w14:paraId="69C4F789" w14:textId="15A8B9A9" w:rsidR="00E51CDD" w:rsidRPr="005D7ECC" w:rsidRDefault="00E51CDD" w:rsidP="00E51CDD">
      <w:pPr>
        <w:spacing w:after="120"/>
        <w:ind w:left="1985" w:hanging="1985"/>
        <w:rPr>
          <w:b/>
          <w:strike/>
          <w:color w:val="D9D9D9" w:themeColor="background1" w:themeShade="D9"/>
        </w:rPr>
      </w:pPr>
      <w:bookmarkStart w:id="512" w:name="_Ref499817213"/>
      <w:r w:rsidRPr="005D7ECC">
        <w:rPr>
          <w:b/>
          <w:bCs/>
          <w:strike/>
          <w:color w:val="D9D9D9" w:themeColor="background1" w:themeShade="D9"/>
          <w:lang w:val="en-GB"/>
        </w:rPr>
        <w:t xml:space="preserve">Table </w:t>
      </w:r>
      <w:r w:rsidRPr="005D7ECC">
        <w:rPr>
          <w:b/>
          <w:strike/>
          <w:color w:val="D9D9D9" w:themeColor="background1" w:themeShade="D9"/>
        </w:rPr>
        <w:fldChar w:fldCharType="begin"/>
      </w:r>
      <w:r w:rsidRPr="005D7ECC">
        <w:rPr>
          <w:b/>
          <w:bCs/>
          <w:strike/>
          <w:color w:val="D9D9D9" w:themeColor="background1" w:themeShade="D9"/>
          <w:lang w:val="en-GB"/>
        </w:rPr>
        <w:instrText xml:space="preserve"> STYLEREF 2 \s </w:instrText>
      </w:r>
      <w:r w:rsidRPr="005D7ECC">
        <w:rPr>
          <w:b/>
          <w:strike/>
          <w:color w:val="D9D9D9" w:themeColor="background1" w:themeShade="D9"/>
        </w:rPr>
        <w:fldChar w:fldCharType="separate"/>
      </w:r>
      <w:r w:rsidR="00662F32" w:rsidRPr="005D7ECC">
        <w:rPr>
          <w:b/>
          <w:bCs/>
          <w:strike/>
          <w:noProof/>
          <w:color w:val="D9D9D9" w:themeColor="background1" w:themeShade="D9"/>
          <w:lang w:val="en-GB"/>
        </w:rPr>
        <w:t>9.5</w:t>
      </w:r>
      <w:r w:rsidRPr="005D7ECC">
        <w:rPr>
          <w:b/>
          <w:strike/>
          <w:color w:val="D9D9D9" w:themeColor="background1" w:themeShade="D9"/>
        </w:rPr>
        <w:fldChar w:fldCharType="end"/>
      </w:r>
      <w:r w:rsidRPr="005D7ECC">
        <w:rPr>
          <w:b/>
          <w:bCs/>
          <w:strike/>
          <w:color w:val="D9D9D9" w:themeColor="background1" w:themeShade="D9"/>
          <w:lang w:val="en-GB"/>
        </w:rPr>
        <w:noBreakHyphen/>
      </w:r>
      <w:r w:rsidRPr="005D7ECC">
        <w:rPr>
          <w:b/>
          <w:strike/>
          <w:color w:val="D9D9D9" w:themeColor="background1" w:themeShade="D9"/>
        </w:rPr>
        <w:fldChar w:fldCharType="begin"/>
      </w:r>
      <w:r w:rsidRPr="005D7ECC">
        <w:rPr>
          <w:b/>
          <w:bCs/>
          <w:strike/>
          <w:color w:val="D9D9D9" w:themeColor="background1" w:themeShade="D9"/>
          <w:lang w:val="en-GB"/>
        </w:rPr>
        <w:instrText xml:space="preserve"> SEQ Table \* ARABIC \s 2 </w:instrText>
      </w:r>
      <w:r w:rsidRPr="005D7ECC">
        <w:rPr>
          <w:b/>
          <w:strike/>
          <w:color w:val="D9D9D9" w:themeColor="background1" w:themeShade="D9"/>
        </w:rPr>
        <w:fldChar w:fldCharType="separate"/>
      </w:r>
      <w:r w:rsidR="00662F32" w:rsidRPr="005D7ECC">
        <w:rPr>
          <w:b/>
          <w:bCs/>
          <w:strike/>
          <w:noProof/>
          <w:color w:val="D9D9D9" w:themeColor="background1" w:themeShade="D9"/>
          <w:lang w:val="en-GB"/>
        </w:rPr>
        <w:t>7</w:t>
      </w:r>
      <w:r w:rsidRPr="005D7ECC">
        <w:rPr>
          <w:b/>
          <w:strike/>
          <w:color w:val="D9D9D9" w:themeColor="background1" w:themeShade="D9"/>
        </w:rPr>
        <w:fldChar w:fldCharType="end"/>
      </w:r>
      <w:bookmarkEnd w:id="512"/>
      <w:r w:rsidRPr="005D7ECC">
        <w:rPr>
          <w:b/>
          <w:bCs/>
          <w:strike/>
          <w:color w:val="D9D9D9" w:themeColor="background1" w:themeShade="D9"/>
          <w:lang w:val="en-GB"/>
        </w:rPr>
        <w:t>:</w:t>
      </w:r>
      <w:r w:rsidRPr="005D7ECC">
        <w:rPr>
          <w:b/>
          <w:bCs/>
          <w:strike/>
          <w:color w:val="D9D9D9" w:themeColor="background1" w:themeShade="D9"/>
          <w:lang w:val="en-GB"/>
        </w:rPr>
        <w:tab/>
      </w:r>
      <w:r w:rsidRPr="005D7ECC">
        <w:rPr>
          <w:b/>
          <w:strike/>
          <w:color w:val="D9D9D9" w:themeColor="background1" w:themeShade="D9"/>
        </w:rPr>
        <w:t>Overview on the fish toxicity endpoints available for fluxapyroxad and used for the species sensitivity distribution (SSD) analysis</w:t>
      </w:r>
    </w:p>
    <w:tbl>
      <w:tblPr>
        <w:tblStyle w:val="Tabela-Siatka"/>
        <w:tblW w:w="5000" w:type="pct"/>
        <w:tblLayout w:type="fixed"/>
        <w:tblLook w:val="04A0" w:firstRow="1" w:lastRow="0" w:firstColumn="1" w:lastColumn="0" w:noHBand="0" w:noVBand="1"/>
      </w:tblPr>
      <w:tblGrid>
        <w:gridCol w:w="1463"/>
        <w:gridCol w:w="1410"/>
        <w:gridCol w:w="1363"/>
        <w:gridCol w:w="1314"/>
        <w:gridCol w:w="1318"/>
        <w:gridCol w:w="2479"/>
      </w:tblGrid>
      <w:tr w:rsidR="005D7ECC" w:rsidRPr="005D7ECC" w14:paraId="6E43940F" w14:textId="77777777" w:rsidTr="009938D9">
        <w:trPr>
          <w:trHeight w:val="752"/>
        </w:trPr>
        <w:tc>
          <w:tcPr>
            <w:tcW w:w="783" w:type="pct"/>
            <w:noWrap/>
            <w:vAlign w:val="center"/>
            <w:hideMark/>
          </w:tcPr>
          <w:p w14:paraId="44593DE0"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Species</w:t>
            </w:r>
          </w:p>
        </w:tc>
        <w:tc>
          <w:tcPr>
            <w:tcW w:w="754" w:type="pct"/>
            <w:vAlign w:val="center"/>
          </w:tcPr>
          <w:p w14:paraId="2EA7A4ED"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Guideline</w:t>
            </w:r>
          </w:p>
        </w:tc>
        <w:tc>
          <w:tcPr>
            <w:tcW w:w="729" w:type="pct"/>
            <w:noWrap/>
            <w:vAlign w:val="center"/>
            <w:hideMark/>
          </w:tcPr>
          <w:p w14:paraId="706ED6CF"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Exposure type</w:t>
            </w:r>
          </w:p>
        </w:tc>
        <w:tc>
          <w:tcPr>
            <w:tcW w:w="703" w:type="pct"/>
            <w:noWrap/>
            <w:vAlign w:val="center"/>
            <w:hideMark/>
          </w:tcPr>
          <w:p w14:paraId="6733C4AC"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Exposure duration</w:t>
            </w:r>
          </w:p>
        </w:tc>
        <w:tc>
          <w:tcPr>
            <w:tcW w:w="705" w:type="pct"/>
            <w:noWrap/>
            <w:vAlign w:val="center"/>
            <w:hideMark/>
          </w:tcPr>
          <w:p w14:paraId="480CF5E4"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 xml:space="preserve">NOEC </w:t>
            </w:r>
          </w:p>
          <w:p w14:paraId="34420BE3"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[µg a.s./L]</w:t>
            </w:r>
          </w:p>
        </w:tc>
        <w:tc>
          <w:tcPr>
            <w:tcW w:w="1326" w:type="pct"/>
            <w:noWrap/>
            <w:vAlign w:val="center"/>
            <w:hideMark/>
          </w:tcPr>
          <w:p w14:paraId="64CED80F"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BASF DocID</w:t>
            </w:r>
          </w:p>
        </w:tc>
      </w:tr>
      <w:tr w:rsidR="005D7ECC" w:rsidRPr="005D7ECC" w14:paraId="4E44794C" w14:textId="77777777" w:rsidTr="009938D9">
        <w:trPr>
          <w:trHeight w:val="752"/>
        </w:trPr>
        <w:tc>
          <w:tcPr>
            <w:tcW w:w="783" w:type="pct"/>
            <w:noWrap/>
            <w:vAlign w:val="center"/>
          </w:tcPr>
          <w:p w14:paraId="3193F0C5" w14:textId="77777777" w:rsidR="00E51CDD" w:rsidRPr="005D7ECC" w:rsidRDefault="00E51CDD" w:rsidP="009938D9">
            <w:pPr>
              <w:jc w:val="left"/>
              <w:rPr>
                <w:i/>
                <w:iCs/>
                <w:strike/>
                <w:color w:val="D9D9D9" w:themeColor="background1" w:themeShade="D9"/>
                <w:sz w:val="20"/>
                <w:szCs w:val="20"/>
                <w:lang w:val="en-CA"/>
              </w:rPr>
            </w:pPr>
            <w:r w:rsidRPr="005D7ECC">
              <w:rPr>
                <w:i/>
                <w:iCs/>
                <w:strike/>
                <w:color w:val="D9D9D9" w:themeColor="background1" w:themeShade="D9"/>
                <w:sz w:val="20"/>
                <w:szCs w:val="20"/>
                <w:lang w:val="en-CA"/>
              </w:rPr>
              <w:t>Oncorhynchus mykiss</w:t>
            </w:r>
          </w:p>
        </w:tc>
        <w:tc>
          <w:tcPr>
            <w:tcW w:w="754" w:type="pct"/>
            <w:vAlign w:val="center"/>
          </w:tcPr>
          <w:p w14:paraId="13889002"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OECD 203</w:t>
            </w:r>
          </w:p>
        </w:tc>
        <w:tc>
          <w:tcPr>
            <w:tcW w:w="729" w:type="pct"/>
            <w:shd w:val="clear" w:color="auto" w:fill="auto"/>
            <w:noWrap/>
            <w:vAlign w:val="center"/>
          </w:tcPr>
          <w:p w14:paraId="7909596A"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static</w:t>
            </w:r>
          </w:p>
        </w:tc>
        <w:tc>
          <w:tcPr>
            <w:tcW w:w="703" w:type="pct"/>
            <w:shd w:val="clear" w:color="auto" w:fill="auto"/>
            <w:noWrap/>
            <w:vAlign w:val="center"/>
          </w:tcPr>
          <w:p w14:paraId="76B83CA7"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96 h</w:t>
            </w:r>
          </w:p>
        </w:tc>
        <w:tc>
          <w:tcPr>
            <w:tcW w:w="705" w:type="pct"/>
            <w:shd w:val="clear" w:color="auto" w:fill="auto"/>
            <w:noWrap/>
            <w:vAlign w:val="center"/>
          </w:tcPr>
          <w:p w14:paraId="14FBCA55"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212</w:t>
            </w:r>
          </w:p>
        </w:tc>
        <w:tc>
          <w:tcPr>
            <w:tcW w:w="1326" w:type="pct"/>
            <w:shd w:val="clear" w:color="auto" w:fill="auto"/>
            <w:noWrap/>
            <w:vAlign w:val="center"/>
          </w:tcPr>
          <w:p w14:paraId="1A8DD581"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2007/1057974 (v1.0)</w:t>
            </w:r>
          </w:p>
        </w:tc>
      </w:tr>
      <w:tr w:rsidR="005D7ECC" w:rsidRPr="005D7ECC" w14:paraId="4D825ED1" w14:textId="77777777" w:rsidTr="009938D9">
        <w:trPr>
          <w:trHeight w:val="752"/>
        </w:trPr>
        <w:tc>
          <w:tcPr>
            <w:tcW w:w="783" w:type="pct"/>
            <w:noWrap/>
            <w:vAlign w:val="center"/>
          </w:tcPr>
          <w:p w14:paraId="33EE44BB" w14:textId="77777777" w:rsidR="00E51CDD" w:rsidRPr="005D7ECC" w:rsidRDefault="00E51CDD" w:rsidP="009938D9">
            <w:pPr>
              <w:jc w:val="left"/>
              <w:rPr>
                <w:i/>
                <w:iCs/>
                <w:strike/>
                <w:color w:val="D9D9D9" w:themeColor="background1" w:themeShade="D9"/>
                <w:sz w:val="20"/>
                <w:szCs w:val="20"/>
                <w:lang w:val="en-CA"/>
              </w:rPr>
            </w:pPr>
            <w:r w:rsidRPr="005D7ECC">
              <w:rPr>
                <w:i/>
                <w:iCs/>
                <w:strike/>
                <w:color w:val="D9D9D9" w:themeColor="background1" w:themeShade="D9"/>
                <w:sz w:val="20"/>
                <w:szCs w:val="20"/>
                <w:lang w:val="en-CA"/>
              </w:rPr>
              <w:t xml:space="preserve">Cyprinus carpio </w:t>
            </w:r>
          </w:p>
        </w:tc>
        <w:tc>
          <w:tcPr>
            <w:tcW w:w="754" w:type="pct"/>
            <w:vAlign w:val="center"/>
          </w:tcPr>
          <w:p w14:paraId="56CF97E5"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OECD 203</w:t>
            </w:r>
          </w:p>
        </w:tc>
        <w:tc>
          <w:tcPr>
            <w:tcW w:w="729" w:type="pct"/>
            <w:shd w:val="clear" w:color="auto" w:fill="auto"/>
            <w:noWrap/>
            <w:vAlign w:val="center"/>
          </w:tcPr>
          <w:p w14:paraId="7502FD7C"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semi-static</w:t>
            </w:r>
          </w:p>
        </w:tc>
        <w:tc>
          <w:tcPr>
            <w:tcW w:w="703" w:type="pct"/>
            <w:shd w:val="clear" w:color="auto" w:fill="auto"/>
            <w:noWrap/>
            <w:vAlign w:val="center"/>
          </w:tcPr>
          <w:p w14:paraId="0EC38153"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96 h</w:t>
            </w:r>
          </w:p>
        </w:tc>
        <w:tc>
          <w:tcPr>
            <w:tcW w:w="705" w:type="pct"/>
            <w:shd w:val="clear" w:color="auto" w:fill="auto"/>
            <w:noWrap/>
            <w:vAlign w:val="center"/>
          </w:tcPr>
          <w:p w14:paraId="7D45099E"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168</w:t>
            </w:r>
          </w:p>
        </w:tc>
        <w:tc>
          <w:tcPr>
            <w:tcW w:w="1326" w:type="pct"/>
            <w:shd w:val="clear" w:color="auto" w:fill="auto"/>
            <w:noWrap/>
            <w:vAlign w:val="center"/>
          </w:tcPr>
          <w:p w14:paraId="5C8EE2A4"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 xml:space="preserve">2008/1064998 </w:t>
            </w:r>
          </w:p>
          <w:p w14:paraId="70998B50"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+NOEC from 2008/1064998 US OECD Summary (v1.0)</w:t>
            </w:r>
          </w:p>
        </w:tc>
      </w:tr>
      <w:tr w:rsidR="005D7ECC" w:rsidRPr="005D7ECC" w14:paraId="3B166484" w14:textId="77777777" w:rsidTr="009938D9">
        <w:trPr>
          <w:trHeight w:val="752"/>
        </w:trPr>
        <w:tc>
          <w:tcPr>
            <w:tcW w:w="783" w:type="pct"/>
            <w:noWrap/>
            <w:vAlign w:val="center"/>
          </w:tcPr>
          <w:p w14:paraId="1D7C615A" w14:textId="77777777" w:rsidR="00E51CDD" w:rsidRPr="005D7ECC" w:rsidRDefault="00E51CDD" w:rsidP="009938D9">
            <w:pPr>
              <w:jc w:val="left"/>
              <w:rPr>
                <w:i/>
                <w:iCs/>
                <w:strike/>
                <w:color w:val="D9D9D9" w:themeColor="background1" w:themeShade="D9"/>
                <w:sz w:val="20"/>
                <w:szCs w:val="20"/>
                <w:lang w:val="en-CA"/>
              </w:rPr>
            </w:pPr>
            <w:r w:rsidRPr="005D7ECC">
              <w:rPr>
                <w:i/>
                <w:iCs/>
                <w:strike/>
                <w:color w:val="D9D9D9" w:themeColor="background1" w:themeShade="D9"/>
                <w:sz w:val="20"/>
                <w:szCs w:val="20"/>
                <w:lang w:val="en-CA"/>
              </w:rPr>
              <w:t xml:space="preserve">Lepomis macrochirus </w:t>
            </w:r>
          </w:p>
        </w:tc>
        <w:tc>
          <w:tcPr>
            <w:tcW w:w="754" w:type="pct"/>
            <w:vAlign w:val="center"/>
          </w:tcPr>
          <w:p w14:paraId="47AF82FA"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OECD 203</w:t>
            </w:r>
          </w:p>
        </w:tc>
        <w:tc>
          <w:tcPr>
            <w:tcW w:w="729" w:type="pct"/>
            <w:shd w:val="clear" w:color="auto" w:fill="auto"/>
            <w:noWrap/>
            <w:vAlign w:val="center"/>
          </w:tcPr>
          <w:p w14:paraId="33407D06"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static</w:t>
            </w:r>
          </w:p>
        </w:tc>
        <w:tc>
          <w:tcPr>
            <w:tcW w:w="703" w:type="pct"/>
            <w:shd w:val="clear" w:color="auto" w:fill="auto"/>
            <w:noWrap/>
            <w:vAlign w:val="center"/>
          </w:tcPr>
          <w:p w14:paraId="4C091E9A"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96 h</w:t>
            </w:r>
          </w:p>
        </w:tc>
        <w:tc>
          <w:tcPr>
            <w:tcW w:w="705" w:type="pct"/>
            <w:shd w:val="clear" w:color="auto" w:fill="auto"/>
            <w:noWrap/>
            <w:vAlign w:val="center"/>
          </w:tcPr>
          <w:p w14:paraId="14E7E878"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572</w:t>
            </w:r>
          </w:p>
        </w:tc>
        <w:tc>
          <w:tcPr>
            <w:tcW w:w="1326" w:type="pct"/>
            <w:shd w:val="clear" w:color="auto" w:fill="auto"/>
            <w:noWrap/>
            <w:vAlign w:val="center"/>
          </w:tcPr>
          <w:p w14:paraId="1FCDF400"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2008/1010605</w:t>
            </w:r>
          </w:p>
        </w:tc>
      </w:tr>
      <w:tr w:rsidR="005D7ECC" w:rsidRPr="005D7ECC" w14:paraId="6526351E" w14:textId="77777777" w:rsidTr="009938D9">
        <w:trPr>
          <w:trHeight w:val="752"/>
        </w:trPr>
        <w:tc>
          <w:tcPr>
            <w:tcW w:w="783" w:type="pct"/>
            <w:noWrap/>
            <w:vAlign w:val="center"/>
          </w:tcPr>
          <w:p w14:paraId="651ADE7D" w14:textId="77777777" w:rsidR="00E51CDD" w:rsidRPr="005D7ECC" w:rsidRDefault="00E51CDD" w:rsidP="009938D9">
            <w:pPr>
              <w:jc w:val="left"/>
              <w:rPr>
                <w:i/>
                <w:iCs/>
                <w:strike/>
                <w:color w:val="D9D9D9" w:themeColor="background1" w:themeShade="D9"/>
                <w:sz w:val="20"/>
                <w:szCs w:val="20"/>
                <w:lang w:val="en-CA"/>
              </w:rPr>
            </w:pPr>
            <w:r w:rsidRPr="005D7ECC">
              <w:rPr>
                <w:i/>
                <w:iCs/>
                <w:strike/>
                <w:color w:val="D9D9D9" w:themeColor="background1" w:themeShade="D9"/>
                <w:sz w:val="20"/>
                <w:szCs w:val="20"/>
                <w:lang w:val="en-CA"/>
              </w:rPr>
              <w:t xml:space="preserve">Promelas promelas </w:t>
            </w:r>
          </w:p>
        </w:tc>
        <w:tc>
          <w:tcPr>
            <w:tcW w:w="754" w:type="pct"/>
            <w:vAlign w:val="center"/>
          </w:tcPr>
          <w:p w14:paraId="52D646A3"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OECD 203</w:t>
            </w:r>
          </w:p>
        </w:tc>
        <w:tc>
          <w:tcPr>
            <w:tcW w:w="729" w:type="pct"/>
            <w:shd w:val="clear" w:color="auto" w:fill="auto"/>
            <w:noWrap/>
            <w:vAlign w:val="center"/>
          </w:tcPr>
          <w:p w14:paraId="0160C445"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static</w:t>
            </w:r>
          </w:p>
        </w:tc>
        <w:tc>
          <w:tcPr>
            <w:tcW w:w="703" w:type="pct"/>
            <w:shd w:val="clear" w:color="auto" w:fill="auto"/>
            <w:noWrap/>
            <w:vAlign w:val="center"/>
          </w:tcPr>
          <w:p w14:paraId="78563180"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96 h</w:t>
            </w:r>
          </w:p>
        </w:tc>
        <w:tc>
          <w:tcPr>
            <w:tcW w:w="705" w:type="pct"/>
            <w:shd w:val="clear" w:color="auto" w:fill="auto"/>
            <w:noWrap/>
            <w:vAlign w:val="center"/>
          </w:tcPr>
          <w:p w14:paraId="1DB602AD"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327</w:t>
            </w:r>
          </w:p>
        </w:tc>
        <w:tc>
          <w:tcPr>
            <w:tcW w:w="1326" w:type="pct"/>
            <w:shd w:val="clear" w:color="auto" w:fill="auto"/>
            <w:noWrap/>
            <w:vAlign w:val="center"/>
          </w:tcPr>
          <w:p w14:paraId="6A915992"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2009/1025414</w:t>
            </w:r>
          </w:p>
        </w:tc>
      </w:tr>
      <w:tr w:rsidR="00E51CDD" w:rsidRPr="005D7ECC" w14:paraId="17E4A0CC" w14:textId="77777777" w:rsidTr="009938D9">
        <w:trPr>
          <w:trHeight w:val="752"/>
        </w:trPr>
        <w:tc>
          <w:tcPr>
            <w:tcW w:w="783" w:type="pct"/>
            <w:tcBorders>
              <w:bottom w:val="single" w:sz="4" w:space="0" w:color="auto"/>
            </w:tcBorders>
            <w:noWrap/>
            <w:vAlign w:val="center"/>
          </w:tcPr>
          <w:p w14:paraId="05D09C24" w14:textId="77777777" w:rsidR="00E51CDD" w:rsidRPr="005D7ECC" w:rsidRDefault="00E51CDD" w:rsidP="009938D9">
            <w:pPr>
              <w:jc w:val="left"/>
              <w:rPr>
                <w:i/>
                <w:iCs/>
                <w:strike/>
                <w:color w:val="D9D9D9" w:themeColor="background1" w:themeShade="D9"/>
                <w:sz w:val="20"/>
                <w:szCs w:val="20"/>
                <w:lang w:val="en-CA"/>
              </w:rPr>
            </w:pPr>
            <w:r w:rsidRPr="005D7ECC">
              <w:rPr>
                <w:i/>
                <w:iCs/>
                <w:strike/>
                <w:color w:val="D9D9D9" w:themeColor="background1" w:themeShade="D9"/>
                <w:sz w:val="20"/>
                <w:szCs w:val="20"/>
                <w:lang w:val="en-CA"/>
              </w:rPr>
              <w:t>Cyprinodon variegatus</w:t>
            </w:r>
          </w:p>
        </w:tc>
        <w:tc>
          <w:tcPr>
            <w:tcW w:w="754" w:type="pct"/>
            <w:tcBorders>
              <w:bottom w:val="single" w:sz="4" w:space="0" w:color="auto"/>
            </w:tcBorders>
            <w:vAlign w:val="center"/>
          </w:tcPr>
          <w:p w14:paraId="2F02B532"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OECD 203</w:t>
            </w:r>
          </w:p>
        </w:tc>
        <w:tc>
          <w:tcPr>
            <w:tcW w:w="729" w:type="pct"/>
            <w:tcBorders>
              <w:bottom w:val="single" w:sz="4" w:space="0" w:color="auto"/>
            </w:tcBorders>
            <w:shd w:val="clear" w:color="auto" w:fill="auto"/>
            <w:noWrap/>
            <w:vAlign w:val="center"/>
          </w:tcPr>
          <w:p w14:paraId="15EE07C6"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static</w:t>
            </w:r>
          </w:p>
        </w:tc>
        <w:tc>
          <w:tcPr>
            <w:tcW w:w="703" w:type="pct"/>
            <w:tcBorders>
              <w:bottom w:val="single" w:sz="4" w:space="0" w:color="auto"/>
            </w:tcBorders>
            <w:shd w:val="clear" w:color="auto" w:fill="auto"/>
            <w:noWrap/>
            <w:vAlign w:val="center"/>
          </w:tcPr>
          <w:p w14:paraId="67ACEAC7"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96 h</w:t>
            </w:r>
          </w:p>
        </w:tc>
        <w:tc>
          <w:tcPr>
            <w:tcW w:w="705" w:type="pct"/>
            <w:tcBorders>
              <w:bottom w:val="single" w:sz="4" w:space="0" w:color="auto"/>
            </w:tcBorders>
            <w:shd w:val="clear" w:color="auto" w:fill="auto"/>
            <w:noWrap/>
            <w:vAlign w:val="center"/>
          </w:tcPr>
          <w:p w14:paraId="6FB7C8CE" w14:textId="77777777" w:rsidR="00E51CDD" w:rsidRPr="005D7ECC" w:rsidRDefault="00E51CDD" w:rsidP="009938D9">
            <w:pPr>
              <w:rPr>
                <w:b/>
                <w:bCs/>
                <w:strike/>
                <w:color w:val="D9D9D9" w:themeColor="background1" w:themeShade="D9"/>
                <w:sz w:val="20"/>
                <w:szCs w:val="20"/>
                <w:lang w:val="en-CA"/>
              </w:rPr>
            </w:pPr>
            <w:r w:rsidRPr="005D7ECC">
              <w:rPr>
                <w:b/>
                <w:bCs/>
                <w:strike/>
                <w:color w:val="D9D9D9" w:themeColor="background1" w:themeShade="D9"/>
                <w:sz w:val="20"/>
                <w:szCs w:val="20"/>
                <w:lang w:val="en-CA"/>
              </w:rPr>
              <w:t>370</w:t>
            </w:r>
          </w:p>
        </w:tc>
        <w:tc>
          <w:tcPr>
            <w:tcW w:w="1326" w:type="pct"/>
            <w:tcBorders>
              <w:bottom w:val="single" w:sz="4" w:space="0" w:color="auto"/>
            </w:tcBorders>
            <w:shd w:val="clear" w:color="auto" w:fill="auto"/>
            <w:noWrap/>
            <w:vAlign w:val="center"/>
          </w:tcPr>
          <w:p w14:paraId="789F71FB" w14:textId="77777777" w:rsidR="00E51CDD" w:rsidRPr="005D7ECC" w:rsidRDefault="00E51CDD" w:rsidP="009938D9">
            <w:pPr>
              <w:rPr>
                <w:strike/>
                <w:color w:val="D9D9D9" w:themeColor="background1" w:themeShade="D9"/>
                <w:sz w:val="20"/>
                <w:szCs w:val="20"/>
                <w:lang w:val="en-CA"/>
              </w:rPr>
            </w:pPr>
            <w:r w:rsidRPr="005D7ECC">
              <w:rPr>
                <w:strike/>
                <w:color w:val="D9D9D9" w:themeColor="background1" w:themeShade="D9"/>
                <w:sz w:val="20"/>
                <w:szCs w:val="20"/>
                <w:lang w:val="en-CA"/>
              </w:rPr>
              <w:t>2008/7015417</w:t>
            </w:r>
          </w:p>
        </w:tc>
      </w:tr>
    </w:tbl>
    <w:p w14:paraId="38F97A44" w14:textId="77777777" w:rsidR="00E51CDD" w:rsidRPr="005D7ECC" w:rsidRDefault="00E51CDD" w:rsidP="00E51CDD">
      <w:pPr>
        <w:tabs>
          <w:tab w:val="left" w:pos="720"/>
        </w:tabs>
        <w:suppressAutoHyphens/>
        <w:jc w:val="both"/>
        <w:rPr>
          <w:strike/>
          <w:color w:val="D9D9D9" w:themeColor="background1" w:themeShade="D9"/>
        </w:rPr>
      </w:pPr>
    </w:p>
    <w:p w14:paraId="55D45978" w14:textId="77777777" w:rsidR="00E51CDD" w:rsidRPr="005D7ECC" w:rsidRDefault="00E51CDD" w:rsidP="00E51CDD">
      <w:pPr>
        <w:tabs>
          <w:tab w:val="left" w:pos="720"/>
        </w:tabs>
        <w:suppressAutoHyphens/>
        <w:jc w:val="both"/>
        <w:rPr>
          <w:strike/>
          <w:color w:val="D9D9D9" w:themeColor="background1" w:themeShade="D9"/>
        </w:rPr>
      </w:pPr>
    </w:p>
    <w:p w14:paraId="4E793778" w14:textId="77777777" w:rsidR="00E51CDD" w:rsidRPr="005D7ECC" w:rsidRDefault="00E51CDD" w:rsidP="00E51CDD">
      <w:pPr>
        <w:tabs>
          <w:tab w:val="left" w:pos="720"/>
        </w:tabs>
        <w:suppressAutoHyphens/>
        <w:jc w:val="both"/>
        <w:rPr>
          <w:b/>
          <w:strike/>
          <w:color w:val="D9D9D9" w:themeColor="background1" w:themeShade="D9"/>
          <w:u w:val="single"/>
          <w:lang w:val="en-CA"/>
        </w:rPr>
      </w:pPr>
      <w:r w:rsidRPr="005D7ECC">
        <w:rPr>
          <w:b/>
          <w:strike/>
          <w:color w:val="D9D9D9" w:themeColor="background1" w:themeShade="D9"/>
          <w:u w:val="single"/>
          <w:lang w:val="en-CA"/>
        </w:rPr>
        <w:t>SSD calculation</w:t>
      </w:r>
    </w:p>
    <w:p w14:paraId="1B51DF7F" w14:textId="77777777" w:rsidR="00E51CDD" w:rsidRPr="005D7ECC" w:rsidRDefault="00E51CDD" w:rsidP="00E51CDD">
      <w:pPr>
        <w:tabs>
          <w:tab w:val="left" w:pos="720"/>
        </w:tabs>
        <w:suppressAutoHyphens/>
        <w:jc w:val="both"/>
        <w:rPr>
          <w:strike/>
          <w:color w:val="D9D9D9" w:themeColor="background1" w:themeShade="D9"/>
        </w:rPr>
      </w:pPr>
    </w:p>
    <w:p w14:paraId="2EF7CA01" w14:textId="6FBE0D65" w:rsidR="00E51CDD" w:rsidRPr="005D7ECC" w:rsidRDefault="00E51CDD" w:rsidP="00E51CDD">
      <w:pPr>
        <w:jc w:val="both"/>
        <w:rPr>
          <w:strike/>
          <w:color w:val="D9D9D9" w:themeColor="background1" w:themeShade="D9"/>
        </w:rPr>
      </w:pPr>
      <w:r w:rsidRPr="005D7ECC">
        <w:rPr>
          <w:strike/>
          <w:color w:val="D9D9D9" w:themeColor="background1" w:themeShade="D9"/>
        </w:rPr>
        <w:t xml:space="preserve">SSD calculations were performed using the using the open-source R software and the R package “ssdtools” (Thorley and Schwarz, 2018) and an associated proprietary SSD Tool application (Dalgarno, 2018). The R script used to derive the SSD (please refer to the appendix of this chapter) and the results of SSD calculations are shown below. The NOEC values derived from the studies listed in </w:t>
      </w:r>
      <w:r w:rsidRPr="005D7ECC">
        <w:rPr>
          <w:strike/>
          <w:color w:val="D9D9D9" w:themeColor="background1" w:themeShade="D9"/>
        </w:rPr>
        <w:fldChar w:fldCharType="begin"/>
      </w:r>
      <w:r w:rsidRPr="005D7ECC">
        <w:rPr>
          <w:strike/>
          <w:color w:val="D9D9D9" w:themeColor="background1" w:themeShade="D9"/>
        </w:rPr>
        <w:instrText xml:space="preserve"> REF _Ref499817213 \h  \* MERGEFORMAT </w:instrText>
      </w:r>
      <w:r w:rsidRPr="005D7ECC">
        <w:rPr>
          <w:strike/>
          <w:color w:val="D9D9D9" w:themeColor="background1" w:themeShade="D9"/>
        </w:rPr>
      </w:r>
      <w:r w:rsidRPr="005D7ECC">
        <w:rPr>
          <w:strike/>
          <w:color w:val="D9D9D9" w:themeColor="background1" w:themeShade="D9"/>
        </w:rPr>
        <w:fldChar w:fldCharType="separate"/>
      </w:r>
      <w:r w:rsidR="00662F32" w:rsidRPr="005D7ECC">
        <w:rPr>
          <w:bCs/>
          <w:strike/>
          <w:color w:val="D9D9D9" w:themeColor="background1" w:themeShade="D9"/>
          <w:lang w:val="en-GB"/>
        </w:rPr>
        <w:t xml:space="preserve">Table </w:t>
      </w:r>
      <w:r w:rsidR="00662F32" w:rsidRPr="005D7ECC">
        <w:rPr>
          <w:bCs/>
          <w:strike/>
          <w:noProof/>
          <w:color w:val="D9D9D9" w:themeColor="background1" w:themeShade="D9"/>
          <w:lang w:val="en-GB"/>
        </w:rPr>
        <w:t>9.5</w:t>
      </w:r>
      <w:r w:rsidR="00662F32" w:rsidRPr="005D7ECC">
        <w:rPr>
          <w:bCs/>
          <w:strike/>
          <w:noProof/>
          <w:color w:val="D9D9D9" w:themeColor="background1" w:themeShade="D9"/>
          <w:lang w:val="en-GB"/>
        </w:rPr>
        <w:noBreakHyphen/>
        <w:t>7</w:t>
      </w:r>
      <w:r w:rsidRPr="005D7ECC">
        <w:rPr>
          <w:strike/>
          <w:color w:val="D9D9D9" w:themeColor="background1" w:themeShade="D9"/>
        </w:rPr>
        <w:fldChar w:fldCharType="end"/>
      </w:r>
      <w:r w:rsidRPr="005D7ECC">
        <w:rPr>
          <w:strike/>
          <w:color w:val="D9D9D9" w:themeColor="background1" w:themeShade="D9"/>
        </w:rPr>
        <w:t xml:space="preserve"> were inserted in the software and several statistical distributions and models evaluated. It is generally recommendable to choose a statistical distribution from different models with goodness of fit analysis to determine the most appropriate model for a data set (EFSA, 2013). The “ssdtools” package allows a user to fit gamma, Gompertz, log-Gumbel, log-logistic, log-normal, and Weibull distributions to the data and to decide about the appropriate distribution under consideration of the model fit. For this fit, the Burr function was also included.  </w:t>
      </w:r>
    </w:p>
    <w:p w14:paraId="730D4B0C" w14:textId="77777777" w:rsidR="00E51CDD" w:rsidRPr="005D7ECC" w:rsidRDefault="00E51CDD" w:rsidP="00E51CDD">
      <w:pPr>
        <w:jc w:val="both"/>
        <w:rPr>
          <w:strike/>
          <w:color w:val="D9D9D9" w:themeColor="background1" w:themeShade="D9"/>
          <w:szCs w:val="24"/>
        </w:rPr>
      </w:pPr>
    </w:p>
    <w:p w14:paraId="6004FE86" w14:textId="77777777" w:rsidR="00E51CDD" w:rsidRPr="005D7ECC" w:rsidRDefault="00E51CDD" w:rsidP="00E51CDD">
      <w:pPr>
        <w:jc w:val="both"/>
        <w:rPr>
          <w:b/>
          <w:strike/>
          <w:color w:val="D9D9D9" w:themeColor="background1" w:themeShade="D9"/>
          <w:u w:val="single"/>
          <w:lang w:val="en-CA"/>
        </w:rPr>
      </w:pPr>
      <w:r w:rsidRPr="005D7ECC">
        <w:rPr>
          <w:b/>
          <w:strike/>
          <w:color w:val="D9D9D9" w:themeColor="background1" w:themeShade="D9"/>
          <w:u w:val="single"/>
          <w:lang w:val="en-CA"/>
        </w:rPr>
        <w:br w:type="page"/>
      </w:r>
      <w:r w:rsidRPr="005D7ECC">
        <w:rPr>
          <w:b/>
          <w:strike/>
          <w:color w:val="D9D9D9" w:themeColor="background1" w:themeShade="D9"/>
          <w:u w:val="single"/>
          <w:lang w:val="en-CA"/>
        </w:rPr>
        <w:lastRenderedPageBreak/>
        <w:t>Goodness-of-fit statistics</w:t>
      </w:r>
    </w:p>
    <w:p w14:paraId="3AA53B90" w14:textId="77777777" w:rsidR="00E51CDD" w:rsidRPr="005D7ECC" w:rsidRDefault="00E51CDD" w:rsidP="00E51CDD">
      <w:pPr>
        <w:jc w:val="both"/>
        <w:rPr>
          <w:b/>
          <w:strike/>
          <w:color w:val="D9D9D9" w:themeColor="background1" w:themeShade="D9"/>
          <w:u w:val="single"/>
          <w:lang w:val="en-CA"/>
        </w:rPr>
      </w:pPr>
    </w:p>
    <w:p w14:paraId="6FEAD7D4" w14:textId="11C2E70A" w:rsidR="00E51CDD" w:rsidRPr="005D7ECC" w:rsidRDefault="00E51CDD" w:rsidP="00E51CDD">
      <w:pPr>
        <w:tabs>
          <w:tab w:val="left" w:pos="720"/>
        </w:tabs>
        <w:suppressAutoHyphens/>
        <w:jc w:val="both"/>
        <w:rPr>
          <w:rFonts w:eastAsia="PMingLiU"/>
          <w:strike/>
          <w:color w:val="D9D9D9" w:themeColor="background1" w:themeShade="D9"/>
          <w:lang w:val="en-CA"/>
        </w:rPr>
      </w:pPr>
      <w:r w:rsidRPr="005D7ECC">
        <w:rPr>
          <w:rFonts w:eastAsia="PMingLiU"/>
          <w:strike/>
          <w:color w:val="D9D9D9" w:themeColor="background1" w:themeShade="D9"/>
          <w:lang w:val="en-CA"/>
        </w:rPr>
        <w:t>The selected distributions were ranked according to goodness-of-fit (</w:t>
      </w:r>
      <w:r w:rsidRPr="005D7ECC">
        <w:rPr>
          <w:rFonts w:eastAsia="PMingLiU"/>
          <w:strike/>
          <w:color w:val="D9D9D9" w:themeColor="background1" w:themeShade="D9"/>
          <w:lang w:val="en-CA"/>
        </w:rPr>
        <w:fldChar w:fldCharType="begin"/>
      </w:r>
      <w:r w:rsidRPr="005D7ECC">
        <w:rPr>
          <w:rFonts w:eastAsia="PMingLiU"/>
          <w:strike/>
          <w:color w:val="D9D9D9" w:themeColor="background1" w:themeShade="D9"/>
          <w:lang w:val="en-CA"/>
        </w:rPr>
        <w:instrText xml:space="preserve"> REF _Ref85106740 \h  \* MERGEFORMAT </w:instrText>
      </w:r>
      <w:r w:rsidRPr="005D7ECC">
        <w:rPr>
          <w:rFonts w:eastAsia="PMingLiU"/>
          <w:strike/>
          <w:color w:val="D9D9D9" w:themeColor="background1" w:themeShade="D9"/>
          <w:lang w:val="en-CA"/>
        </w:rPr>
      </w:r>
      <w:r w:rsidRPr="005D7ECC">
        <w:rPr>
          <w:rFonts w:eastAsia="PMingLiU"/>
          <w:strike/>
          <w:color w:val="D9D9D9" w:themeColor="background1" w:themeShade="D9"/>
          <w:lang w:val="en-CA"/>
        </w:rPr>
        <w:fldChar w:fldCharType="separate"/>
      </w:r>
      <w:r w:rsidR="00662F32" w:rsidRPr="005D7ECC">
        <w:rPr>
          <w:bCs/>
          <w:strike/>
          <w:color w:val="D9D9D9" w:themeColor="background1" w:themeShade="D9"/>
          <w:lang w:val="en-GB"/>
        </w:rPr>
        <w:t xml:space="preserve">Table </w:t>
      </w:r>
      <w:r w:rsidR="00662F32" w:rsidRPr="005D7ECC">
        <w:rPr>
          <w:bCs/>
          <w:strike/>
          <w:noProof/>
          <w:color w:val="D9D9D9" w:themeColor="background1" w:themeShade="D9"/>
          <w:lang w:val="en-GB"/>
        </w:rPr>
        <w:t>9.5</w:t>
      </w:r>
      <w:r w:rsidR="00662F32" w:rsidRPr="005D7ECC">
        <w:rPr>
          <w:bCs/>
          <w:strike/>
          <w:noProof/>
          <w:color w:val="D9D9D9" w:themeColor="background1" w:themeShade="D9"/>
          <w:lang w:val="en-GB"/>
        </w:rPr>
        <w:noBreakHyphen/>
        <w:t>8</w:t>
      </w:r>
      <w:r w:rsidRPr="005D7ECC">
        <w:rPr>
          <w:rFonts w:eastAsia="PMingLiU"/>
          <w:strike/>
          <w:color w:val="D9D9D9" w:themeColor="background1" w:themeShade="D9"/>
          <w:lang w:val="en-CA"/>
        </w:rPr>
        <w:fldChar w:fldCharType="end"/>
      </w:r>
      <w:r w:rsidRPr="005D7ECC">
        <w:rPr>
          <w:rFonts w:eastAsia="PMingLiU"/>
          <w:strike/>
          <w:color w:val="D9D9D9" w:themeColor="background1" w:themeShade="D9"/>
          <w:lang w:val="en-CA"/>
        </w:rPr>
        <w:t xml:space="preserve">) according to the </w:t>
      </w:r>
      <w:r w:rsidRPr="005D7ECC">
        <w:rPr>
          <w:strike/>
          <w:color w:val="D9D9D9" w:themeColor="background1" w:themeShade="D9"/>
          <w:lang w:val="en-CA"/>
        </w:rPr>
        <w:t>lowest AIC</w:t>
      </w:r>
      <w:r w:rsidRPr="005D7ECC">
        <w:rPr>
          <w:strike/>
          <w:color w:val="D9D9D9" w:themeColor="background1" w:themeShade="D9"/>
          <w:vertAlign w:val="subscript"/>
          <w:lang w:val="en-CA"/>
        </w:rPr>
        <w:t>C</w:t>
      </w:r>
      <w:r w:rsidRPr="005D7ECC">
        <w:rPr>
          <w:strike/>
          <w:color w:val="D9D9D9" w:themeColor="background1" w:themeShade="D9"/>
          <w:lang w:val="en-CA"/>
        </w:rPr>
        <w:t xml:space="preserve"> value (Akaike’s information criterion corrected for sample size). This criterion is recommended for selecting the best distribution. Similarly, the lowest BIC value (Bayesian information criterion) indicates the model with the best fit</w:t>
      </w:r>
      <w:r w:rsidRPr="005D7ECC">
        <w:rPr>
          <w:rFonts w:eastAsia="PMingLiU"/>
          <w:strike/>
          <w:color w:val="D9D9D9" w:themeColor="background1" w:themeShade="D9"/>
          <w:lang w:val="en-CA"/>
        </w:rPr>
        <w:t xml:space="preserve">. </w:t>
      </w:r>
      <w:r w:rsidRPr="005D7ECC">
        <w:rPr>
          <w:strike/>
          <w:color w:val="D9D9D9" w:themeColor="background1" w:themeShade="D9"/>
          <w:lang w:val="en-CA"/>
        </w:rPr>
        <w:t xml:space="preserve">Thus, the Log-normal distribution provides the best-fitting model </w:t>
      </w:r>
      <w:r w:rsidRPr="005D7ECC">
        <w:rPr>
          <w:rFonts w:eastAsia="PMingLiU"/>
          <w:strike/>
          <w:color w:val="D9D9D9" w:themeColor="background1" w:themeShade="D9"/>
          <w:lang w:val="en-CA"/>
        </w:rPr>
        <w:t>AIC</w:t>
      </w:r>
      <w:r w:rsidRPr="005D7ECC">
        <w:rPr>
          <w:rFonts w:eastAsia="PMingLiU"/>
          <w:strike/>
          <w:color w:val="D9D9D9" w:themeColor="background1" w:themeShade="D9"/>
          <w:vertAlign w:val="subscript"/>
          <w:lang w:val="en-CA"/>
        </w:rPr>
        <w:t>c</w:t>
      </w:r>
      <w:r w:rsidRPr="005D7ECC">
        <w:rPr>
          <w:rFonts w:eastAsia="PMingLiU"/>
          <w:strike/>
          <w:color w:val="D9D9D9" w:themeColor="background1" w:themeShade="D9"/>
          <w:lang w:val="en-CA"/>
        </w:rPr>
        <w:t xml:space="preserve"> = 66.8, and BIC = 66) and chosen to further obtain the HC</w:t>
      </w:r>
      <w:r w:rsidRPr="005D7ECC">
        <w:rPr>
          <w:rFonts w:eastAsia="PMingLiU"/>
          <w:strike/>
          <w:color w:val="D9D9D9" w:themeColor="background1" w:themeShade="D9"/>
          <w:vertAlign w:val="subscript"/>
          <w:lang w:val="en-CA"/>
        </w:rPr>
        <w:t>5</w:t>
      </w:r>
      <w:r w:rsidRPr="005D7ECC">
        <w:rPr>
          <w:rFonts w:eastAsia="PMingLiU"/>
          <w:strike/>
          <w:color w:val="D9D9D9" w:themeColor="background1" w:themeShade="D9"/>
          <w:lang w:val="en-CA"/>
        </w:rPr>
        <w:t>.</w:t>
      </w:r>
    </w:p>
    <w:p w14:paraId="1F66DC06" w14:textId="77777777" w:rsidR="00E51CDD" w:rsidRPr="005D7ECC" w:rsidRDefault="00E51CDD" w:rsidP="00E51CDD">
      <w:pPr>
        <w:jc w:val="both"/>
        <w:rPr>
          <w:strike/>
          <w:color w:val="D9D9D9" w:themeColor="background1" w:themeShade="D9"/>
          <w:lang w:val="en-CA"/>
        </w:rPr>
      </w:pPr>
    </w:p>
    <w:p w14:paraId="48139D55" w14:textId="75609A73" w:rsidR="00E51CDD" w:rsidRPr="005D7ECC" w:rsidRDefault="00E51CDD" w:rsidP="00E51CDD">
      <w:pPr>
        <w:spacing w:after="120"/>
        <w:ind w:left="1985" w:hanging="1985"/>
        <w:jc w:val="both"/>
        <w:rPr>
          <w:b/>
          <w:strike/>
          <w:color w:val="D9D9D9" w:themeColor="background1" w:themeShade="D9"/>
        </w:rPr>
      </w:pPr>
      <w:bookmarkStart w:id="513" w:name="_Ref85106740"/>
      <w:r w:rsidRPr="005D7ECC">
        <w:rPr>
          <w:b/>
          <w:bCs/>
          <w:strike/>
          <w:color w:val="D9D9D9" w:themeColor="background1" w:themeShade="D9"/>
          <w:lang w:val="en-GB"/>
        </w:rPr>
        <w:t xml:space="preserve">Table </w:t>
      </w:r>
      <w:r w:rsidRPr="005D7ECC">
        <w:rPr>
          <w:b/>
          <w:strike/>
          <w:color w:val="D9D9D9" w:themeColor="background1" w:themeShade="D9"/>
        </w:rPr>
        <w:fldChar w:fldCharType="begin"/>
      </w:r>
      <w:r w:rsidRPr="005D7ECC">
        <w:rPr>
          <w:b/>
          <w:bCs/>
          <w:strike/>
          <w:color w:val="D9D9D9" w:themeColor="background1" w:themeShade="D9"/>
          <w:lang w:val="en-GB"/>
        </w:rPr>
        <w:instrText xml:space="preserve"> STYLEREF 2 \s </w:instrText>
      </w:r>
      <w:r w:rsidRPr="005D7ECC">
        <w:rPr>
          <w:b/>
          <w:strike/>
          <w:color w:val="D9D9D9" w:themeColor="background1" w:themeShade="D9"/>
        </w:rPr>
        <w:fldChar w:fldCharType="separate"/>
      </w:r>
      <w:r w:rsidR="00662F32" w:rsidRPr="005D7ECC">
        <w:rPr>
          <w:b/>
          <w:bCs/>
          <w:strike/>
          <w:noProof/>
          <w:color w:val="D9D9D9" w:themeColor="background1" w:themeShade="D9"/>
          <w:lang w:val="en-GB"/>
        </w:rPr>
        <w:t>9.5</w:t>
      </w:r>
      <w:r w:rsidRPr="005D7ECC">
        <w:rPr>
          <w:b/>
          <w:strike/>
          <w:color w:val="D9D9D9" w:themeColor="background1" w:themeShade="D9"/>
        </w:rPr>
        <w:fldChar w:fldCharType="end"/>
      </w:r>
      <w:r w:rsidRPr="005D7ECC">
        <w:rPr>
          <w:b/>
          <w:bCs/>
          <w:strike/>
          <w:color w:val="D9D9D9" w:themeColor="background1" w:themeShade="D9"/>
          <w:lang w:val="en-GB"/>
        </w:rPr>
        <w:noBreakHyphen/>
      </w:r>
      <w:r w:rsidRPr="005D7ECC">
        <w:rPr>
          <w:b/>
          <w:strike/>
          <w:color w:val="D9D9D9" w:themeColor="background1" w:themeShade="D9"/>
        </w:rPr>
        <w:fldChar w:fldCharType="begin"/>
      </w:r>
      <w:r w:rsidRPr="005D7ECC">
        <w:rPr>
          <w:b/>
          <w:bCs/>
          <w:strike/>
          <w:color w:val="D9D9D9" w:themeColor="background1" w:themeShade="D9"/>
          <w:lang w:val="en-GB"/>
        </w:rPr>
        <w:instrText xml:space="preserve"> SEQ Table \* ARABIC \s 2 </w:instrText>
      </w:r>
      <w:r w:rsidRPr="005D7ECC">
        <w:rPr>
          <w:b/>
          <w:strike/>
          <w:color w:val="D9D9D9" w:themeColor="background1" w:themeShade="D9"/>
        </w:rPr>
        <w:fldChar w:fldCharType="separate"/>
      </w:r>
      <w:r w:rsidR="00662F32" w:rsidRPr="005D7ECC">
        <w:rPr>
          <w:b/>
          <w:bCs/>
          <w:strike/>
          <w:noProof/>
          <w:color w:val="D9D9D9" w:themeColor="background1" w:themeShade="D9"/>
          <w:lang w:val="en-GB"/>
        </w:rPr>
        <w:t>8</w:t>
      </w:r>
      <w:r w:rsidRPr="005D7ECC">
        <w:rPr>
          <w:b/>
          <w:strike/>
          <w:color w:val="D9D9D9" w:themeColor="background1" w:themeShade="D9"/>
        </w:rPr>
        <w:fldChar w:fldCharType="end"/>
      </w:r>
      <w:bookmarkEnd w:id="513"/>
      <w:r w:rsidRPr="005D7ECC">
        <w:rPr>
          <w:b/>
          <w:bCs/>
          <w:strike/>
          <w:color w:val="D9D9D9" w:themeColor="background1" w:themeShade="D9"/>
          <w:lang w:val="en-GB"/>
        </w:rPr>
        <w:t>:</w:t>
      </w:r>
      <w:r w:rsidRPr="005D7ECC">
        <w:rPr>
          <w:b/>
          <w:bCs/>
          <w:strike/>
          <w:color w:val="D9D9D9" w:themeColor="background1" w:themeShade="D9"/>
          <w:lang w:val="en-GB"/>
        </w:rPr>
        <w:tab/>
      </w:r>
      <w:r w:rsidRPr="005D7ECC">
        <w:rPr>
          <w:b/>
          <w:strike/>
          <w:color w:val="D9D9D9" w:themeColor="background1" w:themeShade="D9"/>
        </w:rPr>
        <w:t xml:space="preserve">Overview on goodness-of-fit for selected distributions ordered by AICc then AIC, </w:t>
      </w:r>
      <w:r w:rsidRPr="005D7ECC">
        <w:rPr>
          <w:b/>
          <w:i/>
          <w:strike/>
          <w:color w:val="D9D9D9" w:themeColor="background1" w:themeShade="D9"/>
        </w:rPr>
        <w:t>i.e.</w:t>
      </w:r>
      <w:r w:rsidRPr="005D7ECC">
        <w:rPr>
          <w:b/>
          <w:strike/>
          <w:color w:val="D9D9D9" w:themeColor="background1" w:themeShade="D9"/>
        </w:rPr>
        <w:t>, the best model fit is listed on top of the table.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2072"/>
        <w:gridCol w:w="1385"/>
        <w:gridCol w:w="1385"/>
        <w:gridCol w:w="1385"/>
        <w:gridCol w:w="1557"/>
        <w:gridCol w:w="1563"/>
      </w:tblGrid>
      <w:tr w:rsidR="005D7ECC" w:rsidRPr="005D7ECC" w14:paraId="2D226FE4" w14:textId="77777777" w:rsidTr="009938D9">
        <w:trPr>
          <w:cantSplit/>
          <w:tblHeader/>
        </w:trPr>
        <w:tc>
          <w:tcPr>
            <w:tcW w:w="1108" w:type="pct"/>
            <w:shd w:val="clear" w:color="auto" w:fill="FFFFFF"/>
            <w:tcMar>
              <w:top w:w="0" w:type="dxa"/>
              <w:left w:w="0" w:type="dxa"/>
              <w:bottom w:w="0" w:type="dxa"/>
              <w:right w:w="0" w:type="dxa"/>
            </w:tcMar>
            <w:vAlign w:val="center"/>
          </w:tcPr>
          <w:p w14:paraId="3387A6D6" w14:textId="77777777" w:rsidR="00E51CDD" w:rsidRPr="005D7ECC" w:rsidRDefault="00E51CDD" w:rsidP="009938D9">
            <w:pPr>
              <w:spacing w:before="100" w:after="100"/>
              <w:ind w:left="100" w:right="100"/>
              <w:rPr>
                <w:b/>
                <w:bCs/>
                <w:strike/>
                <w:color w:val="D9D9D9" w:themeColor="background1" w:themeShade="D9"/>
                <w:sz w:val="20"/>
                <w:szCs w:val="20"/>
              </w:rPr>
            </w:pPr>
            <w:r w:rsidRPr="005D7ECC">
              <w:rPr>
                <w:rFonts w:eastAsia="DejaVu Sans"/>
                <w:b/>
                <w:bCs/>
                <w:strike/>
                <w:color w:val="D9D9D9" w:themeColor="background1" w:themeShade="D9"/>
                <w:sz w:val="20"/>
                <w:szCs w:val="20"/>
              </w:rPr>
              <w:t>Distribution</w:t>
            </w:r>
          </w:p>
        </w:tc>
        <w:tc>
          <w:tcPr>
            <w:tcW w:w="741" w:type="pct"/>
            <w:shd w:val="clear" w:color="auto" w:fill="FFFFFF"/>
            <w:tcMar>
              <w:top w:w="0" w:type="dxa"/>
              <w:left w:w="0" w:type="dxa"/>
              <w:bottom w:w="0" w:type="dxa"/>
              <w:right w:w="0" w:type="dxa"/>
            </w:tcMar>
            <w:vAlign w:val="center"/>
          </w:tcPr>
          <w:p w14:paraId="76183B3A" w14:textId="77777777" w:rsidR="00E51CDD" w:rsidRPr="005D7ECC" w:rsidRDefault="00E51CDD" w:rsidP="009938D9">
            <w:pPr>
              <w:spacing w:before="100" w:after="100"/>
              <w:ind w:left="100" w:right="100"/>
              <w:jc w:val="right"/>
              <w:rPr>
                <w:b/>
                <w:bCs/>
                <w:strike/>
                <w:color w:val="D9D9D9" w:themeColor="background1" w:themeShade="D9"/>
                <w:sz w:val="20"/>
                <w:szCs w:val="20"/>
              </w:rPr>
            </w:pPr>
            <w:r w:rsidRPr="005D7ECC">
              <w:rPr>
                <w:rFonts w:eastAsia="DejaVu Sans"/>
                <w:b/>
                <w:bCs/>
                <w:strike/>
                <w:color w:val="D9D9D9" w:themeColor="background1" w:themeShade="D9"/>
                <w:sz w:val="20"/>
                <w:szCs w:val="20"/>
              </w:rPr>
              <w:t>aic</w:t>
            </w:r>
          </w:p>
        </w:tc>
        <w:tc>
          <w:tcPr>
            <w:tcW w:w="741" w:type="pct"/>
            <w:shd w:val="clear" w:color="auto" w:fill="FFFFFF"/>
            <w:tcMar>
              <w:top w:w="0" w:type="dxa"/>
              <w:left w:w="0" w:type="dxa"/>
              <w:bottom w:w="0" w:type="dxa"/>
              <w:right w:w="0" w:type="dxa"/>
            </w:tcMar>
            <w:vAlign w:val="center"/>
          </w:tcPr>
          <w:p w14:paraId="1AA517F5" w14:textId="77777777" w:rsidR="00E51CDD" w:rsidRPr="005D7ECC" w:rsidRDefault="00E51CDD" w:rsidP="009938D9">
            <w:pPr>
              <w:spacing w:before="100" w:after="100"/>
              <w:ind w:left="100" w:right="100"/>
              <w:jc w:val="right"/>
              <w:rPr>
                <w:b/>
                <w:bCs/>
                <w:strike/>
                <w:color w:val="D9D9D9" w:themeColor="background1" w:themeShade="D9"/>
                <w:sz w:val="20"/>
                <w:szCs w:val="20"/>
              </w:rPr>
            </w:pPr>
            <w:r w:rsidRPr="005D7ECC">
              <w:rPr>
                <w:rFonts w:eastAsia="DejaVu Sans"/>
                <w:b/>
                <w:bCs/>
                <w:strike/>
                <w:color w:val="D9D9D9" w:themeColor="background1" w:themeShade="D9"/>
                <w:sz w:val="20"/>
                <w:szCs w:val="20"/>
              </w:rPr>
              <w:t>aicc</w:t>
            </w:r>
          </w:p>
        </w:tc>
        <w:tc>
          <w:tcPr>
            <w:tcW w:w="741" w:type="pct"/>
            <w:shd w:val="clear" w:color="auto" w:fill="FFFFFF"/>
            <w:tcMar>
              <w:top w:w="0" w:type="dxa"/>
              <w:left w:w="0" w:type="dxa"/>
              <w:bottom w:w="0" w:type="dxa"/>
              <w:right w:w="0" w:type="dxa"/>
            </w:tcMar>
            <w:vAlign w:val="center"/>
          </w:tcPr>
          <w:p w14:paraId="4A94DD75" w14:textId="77777777" w:rsidR="00E51CDD" w:rsidRPr="005D7ECC" w:rsidRDefault="00E51CDD" w:rsidP="009938D9">
            <w:pPr>
              <w:spacing w:before="100" w:after="100"/>
              <w:ind w:left="100" w:right="100"/>
              <w:jc w:val="right"/>
              <w:rPr>
                <w:b/>
                <w:bCs/>
                <w:strike/>
                <w:color w:val="D9D9D9" w:themeColor="background1" w:themeShade="D9"/>
                <w:sz w:val="20"/>
                <w:szCs w:val="20"/>
              </w:rPr>
            </w:pPr>
            <w:r w:rsidRPr="005D7ECC">
              <w:rPr>
                <w:rFonts w:eastAsia="DejaVu Sans"/>
                <w:b/>
                <w:bCs/>
                <w:strike/>
                <w:color w:val="D9D9D9" w:themeColor="background1" w:themeShade="D9"/>
                <w:sz w:val="20"/>
                <w:szCs w:val="20"/>
              </w:rPr>
              <w:t>bic</w:t>
            </w:r>
          </w:p>
        </w:tc>
        <w:tc>
          <w:tcPr>
            <w:tcW w:w="833" w:type="pct"/>
            <w:shd w:val="clear" w:color="auto" w:fill="FFFFFF"/>
            <w:tcMar>
              <w:top w:w="0" w:type="dxa"/>
              <w:left w:w="0" w:type="dxa"/>
              <w:bottom w:w="0" w:type="dxa"/>
              <w:right w:w="0" w:type="dxa"/>
            </w:tcMar>
            <w:vAlign w:val="center"/>
          </w:tcPr>
          <w:p w14:paraId="4C00A7F9" w14:textId="77777777" w:rsidR="00E51CDD" w:rsidRPr="005D7ECC" w:rsidRDefault="00E51CDD" w:rsidP="009938D9">
            <w:pPr>
              <w:spacing w:before="100" w:after="100"/>
              <w:ind w:left="100" w:right="100"/>
              <w:jc w:val="right"/>
              <w:rPr>
                <w:b/>
                <w:bCs/>
                <w:strike/>
                <w:color w:val="D9D9D9" w:themeColor="background1" w:themeShade="D9"/>
                <w:sz w:val="20"/>
                <w:szCs w:val="20"/>
              </w:rPr>
            </w:pPr>
            <w:r w:rsidRPr="005D7ECC">
              <w:rPr>
                <w:rFonts w:eastAsia="DejaVu Sans"/>
                <w:b/>
                <w:bCs/>
                <w:strike/>
                <w:color w:val="D9D9D9" w:themeColor="background1" w:themeShade="D9"/>
                <w:sz w:val="20"/>
                <w:szCs w:val="20"/>
              </w:rPr>
              <w:t>delta</w:t>
            </w:r>
          </w:p>
        </w:tc>
        <w:tc>
          <w:tcPr>
            <w:tcW w:w="836" w:type="pct"/>
            <w:shd w:val="clear" w:color="auto" w:fill="FFFFFF"/>
            <w:tcMar>
              <w:top w:w="0" w:type="dxa"/>
              <w:left w:w="0" w:type="dxa"/>
              <w:bottom w:w="0" w:type="dxa"/>
              <w:right w:w="0" w:type="dxa"/>
            </w:tcMar>
            <w:vAlign w:val="center"/>
          </w:tcPr>
          <w:p w14:paraId="5038C676" w14:textId="77777777" w:rsidR="00E51CDD" w:rsidRPr="005D7ECC" w:rsidRDefault="00E51CDD" w:rsidP="009938D9">
            <w:pPr>
              <w:spacing w:before="100" w:after="100"/>
              <w:ind w:left="100" w:right="100"/>
              <w:jc w:val="right"/>
              <w:rPr>
                <w:b/>
                <w:bCs/>
                <w:strike/>
                <w:color w:val="D9D9D9" w:themeColor="background1" w:themeShade="D9"/>
                <w:sz w:val="20"/>
                <w:szCs w:val="20"/>
              </w:rPr>
            </w:pPr>
            <w:r w:rsidRPr="005D7ECC">
              <w:rPr>
                <w:rFonts w:eastAsia="DejaVu Sans"/>
                <w:b/>
                <w:bCs/>
                <w:strike/>
                <w:color w:val="D9D9D9" w:themeColor="background1" w:themeShade="D9"/>
                <w:sz w:val="20"/>
                <w:szCs w:val="20"/>
              </w:rPr>
              <w:t>weight</w:t>
            </w:r>
          </w:p>
        </w:tc>
      </w:tr>
      <w:tr w:rsidR="005D7ECC" w:rsidRPr="005D7ECC" w14:paraId="59534D40" w14:textId="77777777" w:rsidTr="009938D9">
        <w:trPr>
          <w:cantSplit/>
        </w:trPr>
        <w:tc>
          <w:tcPr>
            <w:tcW w:w="1108" w:type="pct"/>
            <w:shd w:val="clear" w:color="auto" w:fill="FFFFFF"/>
            <w:tcMar>
              <w:top w:w="0" w:type="dxa"/>
              <w:left w:w="0" w:type="dxa"/>
              <w:bottom w:w="0" w:type="dxa"/>
              <w:right w:w="0" w:type="dxa"/>
            </w:tcMar>
            <w:vAlign w:val="center"/>
          </w:tcPr>
          <w:p w14:paraId="1D2B3B32" w14:textId="77777777" w:rsidR="00E51CDD" w:rsidRPr="005D7ECC" w:rsidRDefault="00E51CDD" w:rsidP="009938D9">
            <w:pPr>
              <w:spacing w:before="100" w:after="100"/>
              <w:ind w:left="100" w:right="100"/>
              <w:rPr>
                <w:b/>
                <w:bCs/>
                <w:strike/>
                <w:color w:val="D9D9D9" w:themeColor="background1" w:themeShade="D9"/>
                <w:sz w:val="20"/>
                <w:szCs w:val="20"/>
                <w:lang w:val="de-DE"/>
              </w:rPr>
            </w:pPr>
            <w:r w:rsidRPr="005D7ECC">
              <w:rPr>
                <w:rFonts w:eastAsia="DejaVu Sans"/>
                <w:b/>
                <w:bCs/>
                <w:strike/>
                <w:color w:val="D9D9D9" w:themeColor="background1" w:themeShade="D9"/>
                <w:sz w:val="20"/>
                <w:szCs w:val="20"/>
                <w:lang w:val="de-DE"/>
              </w:rPr>
              <w:t>lnorm</w:t>
            </w:r>
          </w:p>
        </w:tc>
        <w:tc>
          <w:tcPr>
            <w:tcW w:w="741" w:type="pct"/>
            <w:shd w:val="clear" w:color="auto" w:fill="FFFFFF"/>
            <w:tcMar>
              <w:top w:w="0" w:type="dxa"/>
              <w:left w:w="0" w:type="dxa"/>
              <w:bottom w:w="0" w:type="dxa"/>
              <w:right w:w="0" w:type="dxa"/>
            </w:tcMar>
            <w:vAlign w:val="center"/>
          </w:tcPr>
          <w:p w14:paraId="1E8ABDF0"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66.8</w:t>
            </w:r>
          </w:p>
        </w:tc>
        <w:tc>
          <w:tcPr>
            <w:tcW w:w="741" w:type="pct"/>
            <w:shd w:val="clear" w:color="auto" w:fill="FFFFFF"/>
            <w:tcMar>
              <w:top w:w="0" w:type="dxa"/>
              <w:left w:w="0" w:type="dxa"/>
              <w:bottom w:w="0" w:type="dxa"/>
              <w:right w:w="0" w:type="dxa"/>
            </w:tcMar>
            <w:vAlign w:val="center"/>
          </w:tcPr>
          <w:p w14:paraId="4BA572AF"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72.8</w:t>
            </w:r>
          </w:p>
        </w:tc>
        <w:tc>
          <w:tcPr>
            <w:tcW w:w="741" w:type="pct"/>
            <w:shd w:val="clear" w:color="auto" w:fill="FFFFFF"/>
            <w:tcMar>
              <w:top w:w="0" w:type="dxa"/>
              <w:left w:w="0" w:type="dxa"/>
              <w:bottom w:w="0" w:type="dxa"/>
              <w:right w:w="0" w:type="dxa"/>
            </w:tcMar>
            <w:vAlign w:val="center"/>
          </w:tcPr>
          <w:p w14:paraId="252D7CE4"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66.0</w:t>
            </w:r>
          </w:p>
        </w:tc>
        <w:tc>
          <w:tcPr>
            <w:tcW w:w="833" w:type="pct"/>
            <w:shd w:val="clear" w:color="auto" w:fill="FFFFFF"/>
            <w:tcMar>
              <w:top w:w="0" w:type="dxa"/>
              <w:left w:w="0" w:type="dxa"/>
              <w:bottom w:w="0" w:type="dxa"/>
              <w:right w:w="0" w:type="dxa"/>
            </w:tcMar>
            <w:vAlign w:val="center"/>
          </w:tcPr>
          <w:p w14:paraId="5D1CFE15"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0.000</w:t>
            </w:r>
          </w:p>
        </w:tc>
        <w:tc>
          <w:tcPr>
            <w:tcW w:w="836" w:type="pct"/>
            <w:shd w:val="clear" w:color="auto" w:fill="FFFFFF"/>
            <w:tcMar>
              <w:top w:w="0" w:type="dxa"/>
              <w:left w:w="0" w:type="dxa"/>
              <w:bottom w:w="0" w:type="dxa"/>
              <w:right w:w="0" w:type="dxa"/>
            </w:tcMar>
            <w:vAlign w:val="center"/>
          </w:tcPr>
          <w:p w14:paraId="3C4C61DE"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0.223</w:t>
            </w:r>
          </w:p>
        </w:tc>
      </w:tr>
      <w:tr w:rsidR="005D7ECC" w:rsidRPr="005D7ECC" w14:paraId="7B80C1A3" w14:textId="77777777" w:rsidTr="009938D9">
        <w:trPr>
          <w:cantSplit/>
        </w:trPr>
        <w:tc>
          <w:tcPr>
            <w:tcW w:w="1108" w:type="pct"/>
            <w:shd w:val="clear" w:color="auto" w:fill="FFFFFF"/>
            <w:tcMar>
              <w:top w:w="0" w:type="dxa"/>
              <w:left w:w="0" w:type="dxa"/>
              <w:bottom w:w="0" w:type="dxa"/>
              <w:right w:w="0" w:type="dxa"/>
            </w:tcMar>
            <w:vAlign w:val="center"/>
          </w:tcPr>
          <w:p w14:paraId="6BC774A7" w14:textId="77777777" w:rsidR="00E51CDD" w:rsidRPr="005D7ECC" w:rsidRDefault="00E51CDD" w:rsidP="009938D9">
            <w:pPr>
              <w:spacing w:before="100" w:after="100"/>
              <w:ind w:left="100" w:right="100"/>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gamma</w:t>
            </w:r>
          </w:p>
        </w:tc>
        <w:tc>
          <w:tcPr>
            <w:tcW w:w="741" w:type="pct"/>
            <w:shd w:val="clear" w:color="auto" w:fill="FFFFFF"/>
            <w:tcMar>
              <w:top w:w="0" w:type="dxa"/>
              <w:left w:w="0" w:type="dxa"/>
              <w:bottom w:w="0" w:type="dxa"/>
              <w:right w:w="0" w:type="dxa"/>
            </w:tcMar>
            <w:vAlign w:val="center"/>
          </w:tcPr>
          <w:p w14:paraId="5DD313CA"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66.9</w:t>
            </w:r>
          </w:p>
        </w:tc>
        <w:tc>
          <w:tcPr>
            <w:tcW w:w="741" w:type="pct"/>
            <w:shd w:val="clear" w:color="auto" w:fill="FFFFFF"/>
            <w:tcMar>
              <w:top w:w="0" w:type="dxa"/>
              <w:left w:w="0" w:type="dxa"/>
              <w:bottom w:w="0" w:type="dxa"/>
              <w:right w:w="0" w:type="dxa"/>
            </w:tcMar>
            <w:vAlign w:val="center"/>
          </w:tcPr>
          <w:p w14:paraId="05AB2698"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72.9</w:t>
            </w:r>
          </w:p>
        </w:tc>
        <w:tc>
          <w:tcPr>
            <w:tcW w:w="741" w:type="pct"/>
            <w:shd w:val="clear" w:color="auto" w:fill="FFFFFF"/>
            <w:tcMar>
              <w:top w:w="0" w:type="dxa"/>
              <w:left w:w="0" w:type="dxa"/>
              <w:bottom w:w="0" w:type="dxa"/>
              <w:right w:w="0" w:type="dxa"/>
            </w:tcMar>
            <w:vAlign w:val="center"/>
          </w:tcPr>
          <w:p w14:paraId="11F45283"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66.2</w:t>
            </w:r>
          </w:p>
        </w:tc>
        <w:tc>
          <w:tcPr>
            <w:tcW w:w="833" w:type="pct"/>
            <w:shd w:val="clear" w:color="auto" w:fill="FFFFFF"/>
            <w:tcMar>
              <w:top w:w="0" w:type="dxa"/>
              <w:left w:w="0" w:type="dxa"/>
              <w:bottom w:w="0" w:type="dxa"/>
              <w:right w:w="0" w:type="dxa"/>
            </w:tcMar>
            <w:vAlign w:val="center"/>
          </w:tcPr>
          <w:p w14:paraId="650E3564"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0.118</w:t>
            </w:r>
          </w:p>
        </w:tc>
        <w:tc>
          <w:tcPr>
            <w:tcW w:w="836" w:type="pct"/>
            <w:shd w:val="clear" w:color="auto" w:fill="FFFFFF"/>
            <w:tcMar>
              <w:top w:w="0" w:type="dxa"/>
              <w:left w:w="0" w:type="dxa"/>
              <w:bottom w:w="0" w:type="dxa"/>
              <w:right w:w="0" w:type="dxa"/>
            </w:tcMar>
            <w:vAlign w:val="center"/>
          </w:tcPr>
          <w:p w14:paraId="6D233A4E"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0.210</w:t>
            </w:r>
          </w:p>
        </w:tc>
      </w:tr>
      <w:tr w:rsidR="005D7ECC" w:rsidRPr="005D7ECC" w14:paraId="4390EA79" w14:textId="77777777" w:rsidTr="009938D9">
        <w:trPr>
          <w:cantSplit/>
        </w:trPr>
        <w:tc>
          <w:tcPr>
            <w:tcW w:w="1108" w:type="pct"/>
            <w:shd w:val="clear" w:color="auto" w:fill="FFFFFF"/>
            <w:tcMar>
              <w:top w:w="0" w:type="dxa"/>
              <w:left w:w="0" w:type="dxa"/>
              <w:bottom w:w="0" w:type="dxa"/>
              <w:right w:w="0" w:type="dxa"/>
            </w:tcMar>
            <w:vAlign w:val="center"/>
          </w:tcPr>
          <w:p w14:paraId="15917B6F" w14:textId="77777777" w:rsidR="00E51CDD" w:rsidRPr="005D7ECC" w:rsidRDefault="00E51CDD" w:rsidP="009938D9">
            <w:pPr>
              <w:spacing w:before="100" w:after="100"/>
              <w:ind w:left="100" w:right="100"/>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lgumbel</w:t>
            </w:r>
          </w:p>
        </w:tc>
        <w:tc>
          <w:tcPr>
            <w:tcW w:w="741" w:type="pct"/>
            <w:shd w:val="clear" w:color="auto" w:fill="FFFFFF"/>
            <w:tcMar>
              <w:top w:w="0" w:type="dxa"/>
              <w:left w:w="0" w:type="dxa"/>
              <w:bottom w:w="0" w:type="dxa"/>
              <w:right w:w="0" w:type="dxa"/>
            </w:tcMar>
            <w:vAlign w:val="center"/>
          </w:tcPr>
          <w:p w14:paraId="0939167D"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66.9</w:t>
            </w:r>
          </w:p>
        </w:tc>
        <w:tc>
          <w:tcPr>
            <w:tcW w:w="741" w:type="pct"/>
            <w:shd w:val="clear" w:color="auto" w:fill="FFFFFF"/>
            <w:tcMar>
              <w:top w:w="0" w:type="dxa"/>
              <w:left w:w="0" w:type="dxa"/>
              <w:bottom w:w="0" w:type="dxa"/>
              <w:right w:w="0" w:type="dxa"/>
            </w:tcMar>
            <w:vAlign w:val="center"/>
          </w:tcPr>
          <w:p w14:paraId="6E205F9F"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72.9</w:t>
            </w:r>
          </w:p>
        </w:tc>
        <w:tc>
          <w:tcPr>
            <w:tcW w:w="741" w:type="pct"/>
            <w:shd w:val="clear" w:color="auto" w:fill="FFFFFF"/>
            <w:tcMar>
              <w:top w:w="0" w:type="dxa"/>
              <w:left w:w="0" w:type="dxa"/>
              <w:bottom w:w="0" w:type="dxa"/>
              <w:right w:w="0" w:type="dxa"/>
            </w:tcMar>
            <w:vAlign w:val="center"/>
          </w:tcPr>
          <w:p w14:paraId="6B014906"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66.2</w:t>
            </w:r>
          </w:p>
        </w:tc>
        <w:tc>
          <w:tcPr>
            <w:tcW w:w="833" w:type="pct"/>
            <w:shd w:val="clear" w:color="auto" w:fill="FFFFFF"/>
            <w:tcMar>
              <w:top w:w="0" w:type="dxa"/>
              <w:left w:w="0" w:type="dxa"/>
              <w:bottom w:w="0" w:type="dxa"/>
              <w:right w:w="0" w:type="dxa"/>
            </w:tcMar>
            <w:vAlign w:val="center"/>
          </w:tcPr>
          <w:p w14:paraId="2B5B6B89"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0.128</w:t>
            </w:r>
          </w:p>
        </w:tc>
        <w:tc>
          <w:tcPr>
            <w:tcW w:w="836" w:type="pct"/>
            <w:shd w:val="clear" w:color="auto" w:fill="FFFFFF"/>
            <w:tcMar>
              <w:top w:w="0" w:type="dxa"/>
              <w:left w:w="0" w:type="dxa"/>
              <w:bottom w:w="0" w:type="dxa"/>
              <w:right w:w="0" w:type="dxa"/>
            </w:tcMar>
            <w:vAlign w:val="center"/>
          </w:tcPr>
          <w:p w14:paraId="6D392016"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0.209</w:t>
            </w:r>
          </w:p>
        </w:tc>
      </w:tr>
      <w:tr w:rsidR="005D7ECC" w:rsidRPr="005D7ECC" w14:paraId="7A4E7246" w14:textId="77777777" w:rsidTr="009938D9">
        <w:trPr>
          <w:cantSplit/>
        </w:trPr>
        <w:tc>
          <w:tcPr>
            <w:tcW w:w="1108" w:type="pct"/>
            <w:shd w:val="clear" w:color="auto" w:fill="FFFFFF"/>
            <w:tcMar>
              <w:top w:w="0" w:type="dxa"/>
              <w:left w:w="0" w:type="dxa"/>
              <w:bottom w:w="0" w:type="dxa"/>
              <w:right w:w="0" w:type="dxa"/>
            </w:tcMar>
            <w:vAlign w:val="center"/>
          </w:tcPr>
          <w:p w14:paraId="297FEED0" w14:textId="77777777" w:rsidR="00E51CDD" w:rsidRPr="005D7ECC" w:rsidRDefault="00E51CDD" w:rsidP="009938D9">
            <w:pPr>
              <w:spacing w:before="100" w:after="100"/>
              <w:ind w:left="100" w:right="100"/>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weibull</w:t>
            </w:r>
          </w:p>
        </w:tc>
        <w:tc>
          <w:tcPr>
            <w:tcW w:w="741" w:type="pct"/>
            <w:shd w:val="clear" w:color="auto" w:fill="FFFFFF"/>
            <w:tcMar>
              <w:top w:w="0" w:type="dxa"/>
              <w:left w:w="0" w:type="dxa"/>
              <w:bottom w:w="0" w:type="dxa"/>
              <w:right w:w="0" w:type="dxa"/>
            </w:tcMar>
            <w:vAlign w:val="center"/>
          </w:tcPr>
          <w:p w14:paraId="2BF966A6"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67.3</w:t>
            </w:r>
          </w:p>
        </w:tc>
        <w:tc>
          <w:tcPr>
            <w:tcW w:w="741" w:type="pct"/>
            <w:shd w:val="clear" w:color="auto" w:fill="FFFFFF"/>
            <w:tcMar>
              <w:top w:w="0" w:type="dxa"/>
              <w:left w:w="0" w:type="dxa"/>
              <w:bottom w:w="0" w:type="dxa"/>
              <w:right w:w="0" w:type="dxa"/>
            </w:tcMar>
            <w:vAlign w:val="center"/>
          </w:tcPr>
          <w:p w14:paraId="19E3B3EA"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73.3</w:t>
            </w:r>
          </w:p>
        </w:tc>
        <w:tc>
          <w:tcPr>
            <w:tcW w:w="741" w:type="pct"/>
            <w:shd w:val="clear" w:color="auto" w:fill="FFFFFF"/>
            <w:tcMar>
              <w:top w:w="0" w:type="dxa"/>
              <w:left w:w="0" w:type="dxa"/>
              <w:bottom w:w="0" w:type="dxa"/>
              <w:right w:w="0" w:type="dxa"/>
            </w:tcMar>
            <w:vAlign w:val="center"/>
          </w:tcPr>
          <w:p w14:paraId="4F79E808"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66.5</w:t>
            </w:r>
          </w:p>
        </w:tc>
        <w:tc>
          <w:tcPr>
            <w:tcW w:w="833" w:type="pct"/>
            <w:shd w:val="clear" w:color="auto" w:fill="FFFFFF"/>
            <w:tcMar>
              <w:top w:w="0" w:type="dxa"/>
              <w:left w:w="0" w:type="dxa"/>
              <w:bottom w:w="0" w:type="dxa"/>
              <w:right w:w="0" w:type="dxa"/>
            </w:tcMar>
            <w:vAlign w:val="center"/>
          </w:tcPr>
          <w:p w14:paraId="12C75473"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0.443</w:t>
            </w:r>
          </w:p>
        </w:tc>
        <w:tc>
          <w:tcPr>
            <w:tcW w:w="836" w:type="pct"/>
            <w:shd w:val="clear" w:color="auto" w:fill="FFFFFF"/>
            <w:tcMar>
              <w:top w:w="0" w:type="dxa"/>
              <w:left w:w="0" w:type="dxa"/>
              <w:bottom w:w="0" w:type="dxa"/>
              <w:right w:w="0" w:type="dxa"/>
            </w:tcMar>
            <w:vAlign w:val="center"/>
          </w:tcPr>
          <w:p w14:paraId="03FF7594" w14:textId="77777777" w:rsidR="00E51CDD" w:rsidRPr="005D7ECC" w:rsidRDefault="00E51CDD" w:rsidP="009938D9">
            <w:pPr>
              <w:spacing w:before="100" w:after="100"/>
              <w:ind w:left="100" w:right="100"/>
              <w:jc w:val="right"/>
              <w:rPr>
                <w:strike/>
                <w:color w:val="D9D9D9" w:themeColor="background1" w:themeShade="D9"/>
                <w:sz w:val="20"/>
                <w:szCs w:val="20"/>
                <w:lang w:val="de-DE"/>
              </w:rPr>
            </w:pPr>
            <w:r w:rsidRPr="005D7ECC">
              <w:rPr>
                <w:rFonts w:eastAsia="DejaVu Sans"/>
                <w:strike/>
                <w:color w:val="D9D9D9" w:themeColor="background1" w:themeShade="D9"/>
                <w:sz w:val="20"/>
                <w:szCs w:val="20"/>
                <w:lang w:val="de-DE"/>
              </w:rPr>
              <w:t>0.179</w:t>
            </w:r>
          </w:p>
        </w:tc>
      </w:tr>
      <w:tr w:rsidR="005D7ECC" w:rsidRPr="005D7ECC" w14:paraId="65628C71" w14:textId="77777777" w:rsidTr="009938D9">
        <w:trPr>
          <w:cantSplit/>
        </w:trPr>
        <w:tc>
          <w:tcPr>
            <w:tcW w:w="1108" w:type="pct"/>
            <w:shd w:val="clear" w:color="auto" w:fill="FFFFFF"/>
            <w:tcMar>
              <w:top w:w="0" w:type="dxa"/>
              <w:left w:w="0" w:type="dxa"/>
              <w:bottom w:w="0" w:type="dxa"/>
              <w:right w:w="0" w:type="dxa"/>
            </w:tcMar>
            <w:vAlign w:val="center"/>
          </w:tcPr>
          <w:p w14:paraId="2E82DA85" w14:textId="77777777" w:rsidR="00E51CDD" w:rsidRPr="005D7ECC" w:rsidRDefault="00E51CDD" w:rsidP="009938D9">
            <w:pPr>
              <w:spacing w:before="100" w:after="100"/>
              <w:ind w:left="100" w:right="100"/>
              <w:rPr>
                <w:rFonts w:eastAsia="DejaVu Sans"/>
                <w:strike/>
                <w:color w:val="D9D9D9" w:themeColor="background1" w:themeShade="D9"/>
                <w:sz w:val="20"/>
                <w:szCs w:val="20"/>
                <w:lang w:val="de-DE"/>
              </w:rPr>
            </w:pPr>
            <w:r w:rsidRPr="005D7ECC">
              <w:rPr>
                <w:rFonts w:eastAsia="DejaVu Sans"/>
                <w:strike/>
                <w:color w:val="D9D9D9" w:themeColor="background1" w:themeShade="D9"/>
                <w:sz w:val="20"/>
                <w:szCs w:val="20"/>
                <w:lang w:val="de-DE"/>
              </w:rPr>
              <w:t>Llogis</w:t>
            </w:r>
          </w:p>
        </w:tc>
        <w:tc>
          <w:tcPr>
            <w:tcW w:w="741" w:type="pct"/>
            <w:shd w:val="clear" w:color="auto" w:fill="FFFFFF"/>
            <w:tcMar>
              <w:top w:w="0" w:type="dxa"/>
              <w:left w:w="0" w:type="dxa"/>
              <w:bottom w:w="0" w:type="dxa"/>
              <w:right w:w="0" w:type="dxa"/>
            </w:tcMar>
            <w:vAlign w:val="center"/>
          </w:tcPr>
          <w:p w14:paraId="6D05FA27" w14:textId="77777777" w:rsidR="00E51CDD" w:rsidRPr="005D7ECC" w:rsidRDefault="00E51CDD" w:rsidP="009938D9">
            <w:pPr>
              <w:spacing w:before="100" w:after="100"/>
              <w:ind w:left="100" w:right="100"/>
              <w:jc w:val="right"/>
              <w:rPr>
                <w:rFonts w:eastAsia="DejaVu Sans"/>
                <w:strike/>
                <w:color w:val="D9D9D9" w:themeColor="background1" w:themeShade="D9"/>
                <w:sz w:val="20"/>
                <w:szCs w:val="20"/>
                <w:lang w:val="de-DE"/>
              </w:rPr>
            </w:pPr>
            <w:r w:rsidRPr="005D7ECC">
              <w:rPr>
                <w:rFonts w:eastAsia="DejaVu Sans"/>
                <w:strike/>
                <w:color w:val="D9D9D9" w:themeColor="background1" w:themeShade="D9"/>
                <w:sz w:val="20"/>
                <w:szCs w:val="20"/>
              </w:rPr>
              <w:t>67.3</w:t>
            </w:r>
          </w:p>
        </w:tc>
        <w:tc>
          <w:tcPr>
            <w:tcW w:w="741" w:type="pct"/>
            <w:shd w:val="clear" w:color="auto" w:fill="FFFFFF"/>
            <w:tcMar>
              <w:top w:w="0" w:type="dxa"/>
              <w:left w:w="0" w:type="dxa"/>
              <w:bottom w:w="0" w:type="dxa"/>
              <w:right w:w="0" w:type="dxa"/>
            </w:tcMar>
            <w:vAlign w:val="center"/>
          </w:tcPr>
          <w:p w14:paraId="195AA235" w14:textId="77777777" w:rsidR="00E51CDD" w:rsidRPr="005D7ECC" w:rsidRDefault="00E51CDD" w:rsidP="009938D9">
            <w:pPr>
              <w:spacing w:before="100" w:after="100"/>
              <w:ind w:left="100" w:right="100"/>
              <w:jc w:val="right"/>
              <w:rPr>
                <w:rFonts w:eastAsia="DejaVu Sans"/>
                <w:strike/>
                <w:color w:val="D9D9D9" w:themeColor="background1" w:themeShade="D9"/>
                <w:sz w:val="20"/>
                <w:szCs w:val="20"/>
                <w:lang w:val="de-DE"/>
              </w:rPr>
            </w:pPr>
            <w:r w:rsidRPr="005D7ECC">
              <w:rPr>
                <w:rFonts w:eastAsia="DejaVu Sans"/>
                <w:strike/>
                <w:color w:val="D9D9D9" w:themeColor="background1" w:themeShade="D9"/>
                <w:sz w:val="20"/>
                <w:szCs w:val="20"/>
              </w:rPr>
              <w:t>73.3</w:t>
            </w:r>
          </w:p>
        </w:tc>
        <w:tc>
          <w:tcPr>
            <w:tcW w:w="741" w:type="pct"/>
            <w:shd w:val="clear" w:color="auto" w:fill="FFFFFF"/>
            <w:tcMar>
              <w:top w:w="0" w:type="dxa"/>
              <w:left w:w="0" w:type="dxa"/>
              <w:bottom w:w="0" w:type="dxa"/>
              <w:right w:w="0" w:type="dxa"/>
            </w:tcMar>
            <w:vAlign w:val="center"/>
          </w:tcPr>
          <w:p w14:paraId="450D7E6E" w14:textId="77777777" w:rsidR="00E51CDD" w:rsidRPr="005D7ECC" w:rsidRDefault="00E51CDD" w:rsidP="009938D9">
            <w:pPr>
              <w:spacing w:before="100" w:after="100"/>
              <w:ind w:left="100" w:right="100"/>
              <w:jc w:val="right"/>
              <w:rPr>
                <w:rFonts w:eastAsia="DejaVu Sans"/>
                <w:strike/>
                <w:color w:val="D9D9D9" w:themeColor="background1" w:themeShade="D9"/>
                <w:sz w:val="20"/>
                <w:szCs w:val="20"/>
                <w:lang w:val="de-DE"/>
              </w:rPr>
            </w:pPr>
            <w:r w:rsidRPr="005D7ECC">
              <w:rPr>
                <w:rFonts w:eastAsia="DejaVu Sans"/>
                <w:strike/>
                <w:color w:val="D9D9D9" w:themeColor="background1" w:themeShade="D9"/>
                <w:sz w:val="20"/>
                <w:szCs w:val="20"/>
              </w:rPr>
              <w:t>66.5</w:t>
            </w:r>
          </w:p>
        </w:tc>
        <w:tc>
          <w:tcPr>
            <w:tcW w:w="833" w:type="pct"/>
            <w:shd w:val="clear" w:color="auto" w:fill="FFFFFF"/>
            <w:tcMar>
              <w:top w:w="0" w:type="dxa"/>
              <w:left w:w="0" w:type="dxa"/>
              <w:bottom w:w="0" w:type="dxa"/>
              <w:right w:w="0" w:type="dxa"/>
            </w:tcMar>
            <w:vAlign w:val="center"/>
          </w:tcPr>
          <w:p w14:paraId="31B81E20" w14:textId="77777777" w:rsidR="00E51CDD" w:rsidRPr="005D7ECC" w:rsidRDefault="00E51CDD" w:rsidP="009938D9">
            <w:pPr>
              <w:spacing w:before="100" w:after="100"/>
              <w:ind w:left="100" w:right="100"/>
              <w:jc w:val="right"/>
              <w:rPr>
                <w:rFonts w:eastAsia="DejaVu Sans"/>
                <w:strike/>
                <w:color w:val="D9D9D9" w:themeColor="background1" w:themeShade="D9"/>
                <w:sz w:val="20"/>
                <w:szCs w:val="20"/>
                <w:lang w:val="de-DE"/>
              </w:rPr>
            </w:pPr>
            <w:r w:rsidRPr="005D7ECC">
              <w:rPr>
                <w:rFonts w:eastAsia="DejaVu Sans"/>
                <w:strike/>
                <w:color w:val="D9D9D9" w:themeColor="background1" w:themeShade="D9"/>
                <w:sz w:val="20"/>
                <w:szCs w:val="20"/>
              </w:rPr>
              <w:t>0.454</w:t>
            </w:r>
          </w:p>
        </w:tc>
        <w:tc>
          <w:tcPr>
            <w:tcW w:w="836" w:type="pct"/>
            <w:shd w:val="clear" w:color="auto" w:fill="FFFFFF"/>
            <w:tcMar>
              <w:top w:w="0" w:type="dxa"/>
              <w:left w:w="0" w:type="dxa"/>
              <w:bottom w:w="0" w:type="dxa"/>
              <w:right w:w="0" w:type="dxa"/>
            </w:tcMar>
            <w:vAlign w:val="center"/>
          </w:tcPr>
          <w:p w14:paraId="7F687522" w14:textId="77777777" w:rsidR="00E51CDD" w:rsidRPr="005D7ECC" w:rsidRDefault="00E51CDD" w:rsidP="009938D9">
            <w:pPr>
              <w:spacing w:before="100" w:after="100"/>
              <w:ind w:left="100" w:right="100"/>
              <w:jc w:val="right"/>
              <w:rPr>
                <w:rFonts w:eastAsia="DejaVu Sans"/>
                <w:strike/>
                <w:color w:val="D9D9D9" w:themeColor="background1" w:themeShade="D9"/>
                <w:sz w:val="20"/>
                <w:szCs w:val="20"/>
                <w:lang w:val="de-DE"/>
              </w:rPr>
            </w:pPr>
            <w:r w:rsidRPr="005D7ECC">
              <w:rPr>
                <w:rFonts w:eastAsia="DejaVu Sans"/>
                <w:strike/>
                <w:color w:val="D9D9D9" w:themeColor="background1" w:themeShade="D9"/>
                <w:sz w:val="20"/>
                <w:szCs w:val="20"/>
              </w:rPr>
              <w:t>0.178</w:t>
            </w:r>
          </w:p>
        </w:tc>
      </w:tr>
      <w:tr w:rsidR="005D7ECC" w:rsidRPr="005D7ECC" w14:paraId="4DB26283" w14:textId="77777777" w:rsidTr="009938D9">
        <w:trPr>
          <w:cantSplit/>
        </w:trPr>
        <w:tc>
          <w:tcPr>
            <w:tcW w:w="1108" w:type="pct"/>
            <w:shd w:val="clear" w:color="auto" w:fill="FFFFFF"/>
            <w:tcMar>
              <w:top w:w="0" w:type="dxa"/>
              <w:left w:w="0" w:type="dxa"/>
              <w:bottom w:w="0" w:type="dxa"/>
              <w:right w:w="0" w:type="dxa"/>
            </w:tcMar>
            <w:vAlign w:val="center"/>
          </w:tcPr>
          <w:p w14:paraId="10B2A4E5" w14:textId="77777777" w:rsidR="00E51CDD" w:rsidRPr="005D7ECC" w:rsidRDefault="00E51CDD" w:rsidP="009938D9">
            <w:pPr>
              <w:spacing w:before="100" w:after="100"/>
              <w:ind w:left="100" w:right="100"/>
              <w:rPr>
                <w:rFonts w:eastAsia="DejaVu Sans"/>
                <w:strike/>
                <w:color w:val="D9D9D9" w:themeColor="background1" w:themeShade="D9"/>
                <w:sz w:val="20"/>
                <w:szCs w:val="20"/>
                <w:lang w:val="de-DE"/>
              </w:rPr>
            </w:pPr>
            <w:r w:rsidRPr="005D7ECC">
              <w:rPr>
                <w:rFonts w:eastAsia="DejaVu Sans"/>
                <w:strike/>
                <w:color w:val="D9D9D9" w:themeColor="background1" w:themeShade="D9"/>
                <w:sz w:val="20"/>
                <w:szCs w:val="20"/>
                <w:lang w:val="de-DE"/>
              </w:rPr>
              <w:t>burrlII3</w:t>
            </w:r>
          </w:p>
        </w:tc>
        <w:tc>
          <w:tcPr>
            <w:tcW w:w="741" w:type="pct"/>
            <w:shd w:val="clear" w:color="auto" w:fill="FFFFFF"/>
            <w:tcMar>
              <w:top w:w="0" w:type="dxa"/>
              <w:left w:w="0" w:type="dxa"/>
              <w:bottom w:w="0" w:type="dxa"/>
              <w:right w:w="0" w:type="dxa"/>
            </w:tcMar>
            <w:vAlign w:val="center"/>
          </w:tcPr>
          <w:p w14:paraId="306C9080" w14:textId="77777777" w:rsidR="00E51CDD" w:rsidRPr="005D7ECC" w:rsidRDefault="00E51CDD" w:rsidP="009938D9">
            <w:pPr>
              <w:spacing w:before="100" w:after="100"/>
              <w:ind w:left="100" w:right="100"/>
              <w:jc w:val="right"/>
              <w:rPr>
                <w:rFonts w:eastAsia="DejaVu Sans"/>
                <w:strike/>
                <w:color w:val="D9D9D9" w:themeColor="background1" w:themeShade="D9"/>
                <w:sz w:val="20"/>
                <w:szCs w:val="20"/>
              </w:rPr>
            </w:pPr>
            <w:r w:rsidRPr="005D7ECC">
              <w:rPr>
                <w:rFonts w:eastAsia="DejaVu Sans"/>
                <w:strike/>
                <w:color w:val="D9D9D9" w:themeColor="background1" w:themeShade="D9"/>
                <w:sz w:val="20"/>
                <w:szCs w:val="20"/>
              </w:rPr>
              <w:t>68.9</w:t>
            </w:r>
          </w:p>
        </w:tc>
        <w:tc>
          <w:tcPr>
            <w:tcW w:w="741" w:type="pct"/>
            <w:shd w:val="clear" w:color="auto" w:fill="FFFFFF"/>
            <w:tcMar>
              <w:top w:w="0" w:type="dxa"/>
              <w:left w:w="0" w:type="dxa"/>
              <w:bottom w:w="0" w:type="dxa"/>
              <w:right w:w="0" w:type="dxa"/>
            </w:tcMar>
            <w:vAlign w:val="center"/>
          </w:tcPr>
          <w:p w14:paraId="4FF057E4" w14:textId="77777777" w:rsidR="00E51CDD" w:rsidRPr="005D7ECC" w:rsidRDefault="00E51CDD" w:rsidP="009938D9">
            <w:pPr>
              <w:spacing w:before="100" w:after="100"/>
              <w:ind w:left="100" w:right="100"/>
              <w:jc w:val="right"/>
              <w:rPr>
                <w:rFonts w:eastAsia="DejaVu Sans"/>
                <w:strike/>
                <w:color w:val="D9D9D9" w:themeColor="background1" w:themeShade="D9"/>
                <w:sz w:val="20"/>
                <w:szCs w:val="20"/>
              </w:rPr>
            </w:pPr>
            <w:r w:rsidRPr="005D7ECC">
              <w:rPr>
                <w:rFonts w:eastAsia="DejaVu Sans"/>
                <w:strike/>
                <w:color w:val="D9D9D9" w:themeColor="background1" w:themeShade="D9"/>
                <w:sz w:val="20"/>
                <w:szCs w:val="20"/>
              </w:rPr>
              <w:t>92.9</w:t>
            </w:r>
          </w:p>
        </w:tc>
        <w:tc>
          <w:tcPr>
            <w:tcW w:w="741" w:type="pct"/>
            <w:shd w:val="clear" w:color="auto" w:fill="FFFFFF"/>
            <w:tcMar>
              <w:top w:w="0" w:type="dxa"/>
              <w:left w:w="0" w:type="dxa"/>
              <w:bottom w:w="0" w:type="dxa"/>
              <w:right w:w="0" w:type="dxa"/>
            </w:tcMar>
            <w:vAlign w:val="center"/>
          </w:tcPr>
          <w:p w14:paraId="5268940D" w14:textId="77777777" w:rsidR="00E51CDD" w:rsidRPr="005D7ECC" w:rsidRDefault="00E51CDD" w:rsidP="009938D9">
            <w:pPr>
              <w:spacing w:before="100" w:after="100"/>
              <w:ind w:left="100" w:right="100"/>
              <w:jc w:val="right"/>
              <w:rPr>
                <w:rFonts w:eastAsia="DejaVu Sans"/>
                <w:strike/>
                <w:color w:val="D9D9D9" w:themeColor="background1" w:themeShade="D9"/>
                <w:sz w:val="20"/>
                <w:szCs w:val="20"/>
              </w:rPr>
            </w:pPr>
            <w:r w:rsidRPr="005D7ECC">
              <w:rPr>
                <w:rFonts w:eastAsia="DejaVu Sans"/>
                <w:strike/>
                <w:color w:val="D9D9D9" w:themeColor="background1" w:themeShade="D9"/>
                <w:sz w:val="20"/>
                <w:szCs w:val="20"/>
              </w:rPr>
              <w:t>67.8</w:t>
            </w:r>
          </w:p>
        </w:tc>
        <w:tc>
          <w:tcPr>
            <w:tcW w:w="833" w:type="pct"/>
            <w:shd w:val="clear" w:color="auto" w:fill="FFFFFF"/>
            <w:tcMar>
              <w:top w:w="0" w:type="dxa"/>
              <w:left w:w="0" w:type="dxa"/>
              <w:bottom w:w="0" w:type="dxa"/>
              <w:right w:w="0" w:type="dxa"/>
            </w:tcMar>
            <w:vAlign w:val="center"/>
          </w:tcPr>
          <w:p w14:paraId="1104A8D7" w14:textId="77777777" w:rsidR="00E51CDD" w:rsidRPr="005D7ECC" w:rsidRDefault="00E51CDD" w:rsidP="009938D9">
            <w:pPr>
              <w:spacing w:before="100" w:after="100"/>
              <w:ind w:left="100" w:right="100"/>
              <w:jc w:val="right"/>
              <w:rPr>
                <w:rFonts w:eastAsia="DejaVu Sans"/>
                <w:strike/>
                <w:color w:val="D9D9D9" w:themeColor="background1" w:themeShade="D9"/>
                <w:sz w:val="20"/>
                <w:szCs w:val="20"/>
              </w:rPr>
            </w:pPr>
            <w:r w:rsidRPr="005D7ECC">
              <w:rPr>
                <w:rFonts w:eastAsia="DejaVu Sans"/>
                <w:strike/>
                <w:color w:val="D9D9D9" w:themeColor="background1" w:themeShade="D9"/>
                <w:sz w:val="20"/>
                <w:szCs w:val="20"/>
              </w:rPr>
              <w:t>20.1</w:t>
            </w:r>
          </w:p>
        </w:tc>
        <w:tc>
          <w:tcPr>
            <w:tcW w:w="836" w:type="pct"/>
            <w:shd w:val="clear" w:color="auto" w:fill="FFFFFF"/>
            <w:tcMar>
              <w:top w:w="0" w:type="dxa"/>
              <w:left w:w="0" w:type="dxa"/>
              <w:bottom w:w="0" w:type="dxa"/>
              <w:right w:w="0" w:type="dxa"/>
            </w:tcMar>
            <w:vAlign w:val="center"/>
          </w:tcPr>
          <w:p w14:paraId="7ACE0C14" w14:textId="77777777" w:rsidR="00E51CDD" w:rsidRPr="005D7ECC" w:rsidRDefault="00E51CDD" w:rsidP="009938D9">
            <w:pPr>
              <w:spacing w:before="100" w:after="100"/>
              <w:ind w:left="100" w:right="100"/>
              <w:jc w:val="right"/>
              <w:rPr>
                <w:rFonts w:eastAsia="DejaVu Sans"/>
                <w:strike/>
                <w:color w:val="D9D9D9" w:themeColor="background1" w:themeShade="D9"/>
                <w:sz w:val="20"/>
                <w:szCs w:val="20"/>
              </w:rPr>
            </w:pPr>
            <w:r w:rsidRPr="005D7ECC">
              <w:rPr>
                <w:rFonts w:eastAsia="DejaVu Sans"/>
                <w:strike/>
                <w:color w:val="D9D9D9" w:themeColor="background1" w:themeShade="D9"/>
                <w:sz w:val="20"/>
                <w:szCs w:val="20"/>
              </w:rPr>
              <w:t>0</w:t>
            </w:r>
          </w:p>
        </w:tc>
      </w:tr>
    </w:tbl>
    <w:p w14:paraId="4F7A102F" w14:textId="77777777" w:rsidR="00E51CDD" w:rsidRPr="005D7ECC" w:rsidRDefault="00E51CDD" w:rsidP="00E51CDD">
      <w:pPr>
        <w:ind w:left="284" w:hanging="284"/>
        <w:jc w:val="both"/>
        <w:rPr>
          <w:strike/>
          <w:color w:val="D9D9D9" w:themeColor="background1" w:themeShade="D9"/>
          <w:sz w:val="18"/>
          <w:szCs w:val="18"/>
        </w:rPr>
      </w:pPr>
      <w:r w:rsidRPr="005D7ECC">
        <w:rPr>
          <w:strike/>
          <w:color w:val="D9D9D9" w:themeColor="background1" w:themeShade="D9"/>
          <w:sz w:val="18"/>
          <w:szCs w:val="18"/>
        </w:rPr>
        <w:t>*</w:t>
      </w:r>
      <w:r w:rsidRPr="005D7ECC">
        <w:rPr>
          <w:strike/>
          <w:color w:val="D9D9D9" w:themeColor="background1" w:themeShade="D9"/>
          <w:sz w:val="18"/>
          <w:szCs w:val="18"/>
        </w:rPr>
        <w:tab/>
        <w:t>The columns in the goodness of fit table are the Akaike’s Information Criterion (aic), Akaike’s Information Criterion corrected for sample size (aicc), Bayesian Information Criterion (bic), the AICc difference (delta) and the AICc based Akaike weight (weight). The goodness of fit table is ordered by AICc, the best model fit is listed on top of the table.</w:t>
      </w:r>
    </w:p>
    <w:p w14:paraId="18CBB7B0" w14:textId="77777777" w:rsidR="00E51CDD" w:rsidRPr="005D7ECC" w:rsidRDefault="00E51CDD" w:rsidP="00E51CDD">
      <w:pPr>
        <w:ind w:left="284" w:hanging="284"/>
        <w:jc w:val="both"/>
        <w:rPr>
          <w:strike/>
          <w:color w:val="D9D9D9" w:themeColor="background1" w:themeShade="D9"/>
          <w:sz w:val="18"/>
          <w:szCs w:val="18"/>
        </w:rPr>
      </w:pPr>
      <w:r w:rsidRPr="005D7ECC">
        <w:rPr>
          <w:strike/>
          <w:color w:val="D9D9D9" w:themeColor="background1" w:themeShade="D9"/>
          <w:sz w:val="18"/>
          <w:szCs w:val="18"/>
        </w:rPr>
        <w:br w:type="page"/>
      </w:r>
    </w:p>
    <w:p w14:paraId="5A52A1E5" w14:textId="0E049025" w:rsidR="00E51CDD" w:rsidRPr="005D7ECC" w:rsidRDefault="00E51CDD" w:rsidP="00E51CDD">
      <w:pPr>
        <w:keepNext/>
        <w:keepLines/>
        <w:widowControl w:val="0"/>
        <w:tabs>
          <w:tab w:val="left" w:pos="1985"/>
        </w:tabs>
        <w:spacing w:before="200" w:after="120"/>
        <w:ind w:left="1985" w:hanging="1985"/>
        <w:jc w:val="both"/>
        <w:rPr>
          <w:b/>
          <w:strike/>
          <w:color w:val="D9D9D9" w:themeColor="background1" w:themeShade="D9"/>
        </w:rPr>
      </w:pPr>
      <w:r w:rsidRPr="005D7ECC">
        <w:rPr>
          <w:b/>
          <w:bCs/>
          <w:strike/>
          <w:color w:val="D9D9D9" w:themeColor="background1" w:themeShade="D9"/>
          <w:lang w:val="en-GB"/>
        </w:rPr>
        <w:lastRenderedPageBreak/>
        <w:t xml:space="preserve">Figure </w:t>
      </w:r>
      <w:r w:rsidRPr="005D7ECC">
        <w:rPr>
          <w:b/>
          <w:bCs/>
          <w:strike/>
          <w:color w:val="D9D9D9" w:themeColor="background1" w:themeShade="D9"/>
          <w:lang w:val="en-GB"/>
        </w:rPr>
        <w:fldChar w:fldCharType="begin"/>
      </w:r>
      <w:r w:rsidRPr="005D7ECC">
        <w:rPr>
          <w:b/>
          <w:bCs/>
          <w:strike/>
          <w:color w:val="D9D9D9" w:themeColor="background1" w:themeShade="D9"/>
          <w:lang w:val="en-GB"/>
        </w:rPr>
        <w:instrText xml:space="preserve"> STYLEREF 2 \s </w:instrText>
      </w:r>
      <w:r w:rsidRPr="005D7ECC">
        <w:rPr>
          <w:b/>
          <w:bCs/>
          <w:strike/>
          <w:color w:val="D9D9D9" w:themeColor="background1" w:themeShade="D9"/>
          <w:lang w:val="en-GB"/>
        </w:rPr>
        <w:fldChar w:fldCharType="separate"/>
      </w:r>
      <w:r w:rsidR="00662F32" w:rsidRPr="005D7ECC">
        <w:rPr>
          <w:b/>
          <w:bCs/>
          <w:strike/>
          <w:noProof/>
          <w:color w:val="D9D9D9" w:themeColor="background1" w:themeShade="D9"/>
          <w:lang w:val="en-GB"/>
        </w:rPr>
        <w:t>9.5</w:t>
      </w:r>
      <w:r w:rsidRPr="005D7ECC">
        <w:rPr>
          <w:b/>
          <w:bCs/>
          <w:strike/>
          <w:color w:val="D9D9D9" w:themeColor="background1" w:themeShade="D9"/>
          <w:lang w:val="en-GB"/>
        </w:rPr>
        <w:fldChar w:fldCharType="end"/>
      </w:r>
      <w:r w:rsidRPr="005D7ECC">
        <w:rPr>
          <w:b/>
          <w:bCs/>
          <w:strike/>
          <w:color w:val="D9D9D9" w:themeColor="background1" w:themeShade="D9"/>
          <w:lang w:val="en-GB"/>
        </w:rPr>
        <w:noBreakHyphen/>
      </w:r>
      <w:r w:rsidRPr="005D7ECC">
        <w:rPr>
          <w:b/>
          <w:bCs/>
          <w:strike/>
          <w:color w:val="D9D9D9" w:themeColor="background1" w:themeShade="D9"/>
          <w:lang w:val="en-GB"/>
        </w:rPr>
        <w:fldChar w:fldCharType="begin"/>
      </w:r>
      <w:r w:rsidRPr="005D7ECC">
        <w:rPr>
          <w:b/>
          <w:bCs/>
          <w:strike/>
          <w:color w:val="D9D9D9" w:themeColor="background1" w:themeShade="D9"/>
          <w:lang w:val="en-GB"/>
        </w:rPr>
        <w:instrText xml:space="preserve"> SEQ Figure \* ARABIC \s 2 </w:instrText>
      </w:r>
      <w:r w:rsidRPr="005D7ECC">
        <w:rPr>
          <w:b/>
          <w:bCs/>
          <w:strike/>
          <w:color w:val="D9D9D9" w:themeColor="background1" w:themeShade="D9"/>
          <w:lang w:val="en-GB"/>
        </w:rPr>
        <w:fldChar w:fldCharType="separate"/>
      </w:r>
      <w:r w:rsidR="00662F32" w:rsidRPr="005D7ECC">
        <w:rPr>
          <w:b/>
          <w:bCs/>
          <w:strike/>
          <w:noProof/>
          <w:color w:val="D9D9D9" w:themeColor="background1" w:themeShade="D9"/>
          <w:lang w:val="en-GB"/>
        </w:rPr>
        <w:t>1</w:t>
      </w:r>
      <w:r w:rsidRPr="005D7ECC">
        <w:rPr>
          <w:b/>
          <w:bCs/>
          <w:strike/>
          <w:color w:val="D9D9D9" w:themeColor="background1" w:themeShade="D9"/>
          <w:lang w:val="en-GB"/>
        </w:rPr>
        <w:fldChar w:fldCharType="end"/>
      </w:r>
      <w:r w:rsidRPr="005D7ECC">
        <w:rPr>
          <w:b/>
          <w:bCs/>
          <w:strike/>
          <w:color w:val="D9D9D9" w:themeColor="background1" w:themeShade="D9"/>
          <w:lang w:val="en-GB"/>
        </w:rPr>
        <w:t>:</w:t>
      </w:r>
      <w:r w:rsidRPr="005D7ECC">
        <w:rPr>
          <w:b/>
          <w:bCs/>
          <w:strike/>
          <w:color w:val="D9D9D9" w:themeColor="background1" w:themeShade="D9"/>
          <w:lang w:val="en-GB"/>
        </w:rPr>
        <w:tab/>
      </w:r>
      <w:r w:rsidRPr="005D7ECC">
        <w:rPr>
          <w:b/>
          <w:strike/>
          <w:color w:val="D9D9D9" w:themeColor="background1" w:themeShade="D9"/>
        </w:rPr>
        <w:t>Species sensitivity distribution (SSD) curve derived from 96-h NOEC values for five fish species. Empirical NOECs (black dots) and predicted Cumulative Distribution Function (CDF, red line), based on fluxapyroxad toxicity data for 5 fish species (calculated with the software R; log-normal distribution). The HC</w:t>
      </w:r>
      <w:r w:rsidRPr="005D7ECC">
        <w:rPr>
          <w:b/>
          <w:strike/>
          <w:color w:val="D9D9D9" w:themeColor="background1" w:themeShade="D9"/>
          <w:vertAlign w:val="subscript"/>
        </w:rPr>
        <w:t>5</w:t>
      </w:r>
      <w:r w:rsidRPr="005D7ECC">
        <w:rPr>
          <w:b/>
          <w:strike/>
          <w:color w:val="D9D9D9" w:themeColor="background1" w:themeShade="D9"/>
        </w:rPr>
        <w:t xml:space="preserve"> value is shown at the intersection of the two dashed lines on the red curve.</w:t>
      </w:r>
    </w:p>
    <w:p w14:paraId="2F19A88E" w14:textId="77777777" w:rsidR="00E51CDD" w:rsidRPr="005D7ECC" w:rsidRDefault="00E51CDD" w:rsidP="00E51CDD">
      <w:pPr>
        <w:keepNext/>
        <w:keepLines/>
        <w:widowControl w:val="0"/>
        <w:tabs>
          <w:tab w:val="left" w:pos="1985"/>
        </w:tabs>
        <w:spacing w:before="200" w:after="120"/>
        <w:ind w:left="1985" w:hanging="1985"/>
        <w:jc w:val="center"/>
        <w:rPr>
          <w:strike/>
          <w:noProof/>
          <w:color w:val="D9D9D9" w:themeColor="background1" w:themeShade="D9"/>
          <w:lang w:eastAsia="en-US"/>
        </w:rPr>
      </w:pPr>
      <w:r w:rsidRPr="005D7ECC">
        <w:rPr>
          <w:strike/>
          <w:noProof/>
          <w:color w:val="D9D9D9" w:themeColor="background1" w:themeShade="D9"/>
        </w:rPr>
        <w:drawing>
          <wp:inline distT="0" distB="0" distL="0" distR="0" wp14:anchorId="15061CAB" wp14:editId="26867974">
            <wp:extent cx="4618223" cy="3848519"/>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noChangeArrowheads="1"/>
                    </pic:cNvPicPr>
                  </pic:nvPicPr>
                  <pic:blipFill>
                    <a:blip r:embed="rId36"/>
                    <a:srcRect/>
                    <a:stretch>
                      <a:fillRect/>
                    </a:stretch>
                  </pic:blipFill>
                  <pic:spPr bwMode="auto">
                    <a:xfrm>
                      <a:off x="0" y="0"/>
                      <a:ext cx="64261" cy="53551"/>
                    </a:xfrm>
                    <a:prstGeom prst="rect">
                      <a:avLst/>
                    </a:prstGeom>
                    <a:noFill/>
                  </pic:spPr>
                </pic:pic>
              </a:graphicData>
            </a:graphic>
          </wp:inline>
        </w:drawing>
      </w:r>
    </w:p>
    <w:p w14:paraId="06642BAD" w14:textId="77777777" w:rsidR="00E51CDD" w:rsidRPr="005D7ECC" w:rsidRDefault="00E51CDD" w:rsidP="00E51CDD">
      <w:pPr>
        <w:jc w:val="both"/>
        <w:rPr>
          <w:strike/>
          <w:color w:val="D9D9D9" w:themeColor="background1" w:themeShade="D9"/>
          <w:szCs w:val="24"/>
          <w:lang w:eastAsia="en-US"/>
        </w:rPr>
      </w:pPr>
    </w:p>
    <w:p w14:paraId="4BEC4864" w14:textId="77777777" w:rsidR="00E51CDD" w:rsidRPr="005D7ECC" w:rsidRDefault="00E51CDD" w:rsidP="00E51CDD">
      <w:pPr>
        <w:jc w:val="both"/>
        <w:rPr>
          <w:strike/>
          <w:color w:val="D9D9D9" w:themeColor="background1" w:themeShade="D9"/>
          <w:szCs w:val="24"/>
          <w:lang w:eastAsia="en-US"/>
        </w:rPr>
      </w:pPr>
    </w:p>
    <w:p w14:paraId="42A1F52D" w14:textId="77777777" w:rsidR="00E51CDD" w:rsidRPr="005D7ECC" w:rsidRDefault="00E51CDD" w:rsidP="00E51CDD">
      <w:pPr>
        <w:jc w:val="both"/>
        <w:rPr>
          <w:b/>
          <w:strike/>
          <w:color w:val="D9D9D9" w:themeColor="background1" w:themeShade="D9"/>
          <w:u w:val="single"/>
          <w:lang w:val="en-CA"/>
        </w:rPr>
      </w:pPr>
      <w:r w:rsidRPr="005D7ECC">
        <w:rPr>
          <w:b/>
          <w:strike/>
          <w:color w:val="D9D9D9" w:themeColor="background1" w:themeShade="D9"/>
          <w:u w:val="single"/>
          <w:lang w:val="en-CA"/>
        </w:rPr>
        <w:t>Estimation of hazardous concentrations</w:t>
      </w:r>
    </w:p>
    <w:p w14:paraId="5A4798D0" w14:textId="77777777" w:rsidR="00E51CDD" w:rsidRPr="005D7ECC" w:rsidRDefault="00E51CDD" w:rsidP="00E51CDD">
      <w:pPr>
        <w:jc w:val="both"/>
        <w:rPr>
          <w:strike/>
          <w:color w:val="D9D9D9" w:themeColor="background1" w:themeShade="D9"/>
        </w:rPr>
      </w:pPr>
    </w:p>
    <w:p w14:paraId="07BE38C2" w14:textId="77777777" w:rsidR="00E51CDD" w:rsidRPr="005D7ECC" w:rsidRDefault="00E51CDD" w:rsidP="00E51CDD">
      <w:pPr>
        <w:jc w:val="both"/>
        <w:rPr>
          <w:strike/>
          <w:color w:val="D9D9D9" w:themeColor="background1" w:themeShade="D9"/>
        </w:rPr>
      </w:pPr>
      <w:r w:rsidRPr="005D7ECC">
        <w:rPr>
          <w:strike/>
          <w:color w:val="D9D9D9" w:themeColor="background1" w:themeShade="D9"/>
        </w:rPr>
        <w:t>The SSD constructed for fish resulted in a median HC</w:t>
      </w:r>
      <w:r w:rsidRPr="005D7ECC">
        <w:rPr>
          <w:strike/>
          <w:color w:val="D9D9D9" w:themeColor="background1" w:themeShade="D9"/>
          <w:vertAlign w:val="subscript"/>
        </w:rPr>
        <w:t>5</w:t>
      </w:r>
      <w:r w:rsidRPr="005D7ECC">
        <w:rPr>
          <w:strike/>
          <w:color w:val="D9D9D9" w:themeColor="background1" w:themeShade="D9"/>
        </w:rPr>
        <w:t xml:space="preserve"> of </w:t>
      </w:r>
      <w:r w:rsidRPr="005D7ECC">
        <w:rPr>
          <w:b/>
          <w:bCs/>
          <w:strike/>
          <w:color w:val="D9D9D9" w:themeColor="background1" w:themeShade="D9"/>
        </w:rPr>
        <w:t>148 µg</w:t>
      </w:r>
      <w:r w:rsidRPr="005D7ECC">
        <w:rPr>
          <w:b/>
          <w:strike/>
          <w:color w:val="D9D9D9" w:themeColor="background1" w:themeShade="D9"/>
        </w:rPr>
        <w:t xml:space="preserve"> fluxapyroxad/L</w:t>
      </w:r>
      <w:r w:rsidRPr="005D7ECC">
        <w:rPr>
          <w:strike/>
          <w:color w:val="D9D9D9" w:themeColor="background1" w:themeShade="D9"/>
        </w:rPr>
        <w:t>. According to the recommendation given in the EFSA AGD (2013), an AF of 3 should be applied on the median HC</w:t>
      </w:r>
      <w:r w:rsidRPr="005D7ECC">
        <w:rPr>
          <w:strike/>
          <w:color w:val="D9D9D9" w:themeColor="background1" w:themeShade="D9"/>
          <w:vertAlign w:val="subscript"/>
        </w:rPr>
        <w:t>5</w:t>
      </w:r>
      <w:r w:rsidRPr="005D7ECC">
        <w:rPr>
          <w:strike/>
          <w:color w:val="D9D9D9" w:themeColor="background1" w:themeShade="D9"/>
        </w:rPr>
        <w:t xml:space="preserve"> from an SSD constructed with acute NOEC values for fish for derivation of an SSD-RAC. Following this approach, an acute SSD-RAC for fish of </w:t>
      </w:r>
      <w:r w:rsidRPr="005D7ECC">
        <w:rPr>
          <w:b/>
          <w:bCs/>
          <w:strike/>
          <w:color w:val="D9D9D9" w:themeColor="background1" w:themeShade="D9"/>
        </w:rPr>
        <w:t>49.33 µg a.s./L</w:t>
      </w:r>
      <w:r w:rsidRPr="005D7ECC">
        <w:rPr>
          <w:strike/>
          <w:color w:val="D9D9D9" w:themeColor="background1" w:themeShade="D9"/>
        </w:rPr>
        <w:t xml:space="preserve"> can be derived</w:t>
      </w:r>
    </w:p>
    <w:p w14:paraId="2794321C" w14:textId="77777777" w:rsidR="00E51CDD" w:rsidRPr="005D7ECC" w:rsidRDefault="00E51CDD" w:rsidP="00E51CDD">
      <w:pPr>
        <w:jc w:val="both"/>
        <w:rPr>
          <w:strike/>
          <w:color w:val="D9D9D9" w:themeColor="background1" w:themeShade="D9"/>
          <w:szCs w:val="24"/>
          <w:lang w:eastAsia="en-US"/>
        </w:rPr>
      </w:pPr>
    </w:p>
    <w:p w14:paraId="7B532885" w14:textId="77777777" w:rsidR="00E51CDD" w:rsidRPr="005D7ECC" w:rsidRDefault="00E51CDD" w:rsidP="00E51CDD">
      <w:pPr>
        <w:spacing w:after="120"/>
        <w:jc w:val="both"/>
        <w:rPr>
          <w:strike/>
          <w:color w:val="D9D9D9" w:themeColor="background1" w:themeShade="D9"/>
          <w:szCs w:val="24"/>
          <w:lang w:eastAsia="en-US"/>
        </w:rPr>
      </w:pPr>
      <w:r w:rsidRPr="005D7ECC">
        <w:rPr>
          <w:b/>
          <w:bCs/>
          <w:strike/>
          <w:color w:val="D9D9D9" w:themeColor="background1" w:themeShade="D9"/>
          <w:szCs w:val="24"/>
        </w:rPr>
        <w:t>HC</w:t>
      </w:r>
      <w:r w:rsidRPr="005D7ECC">
        <w:rPr>
          <w:b/>
          <w:bCs/>
          <w:strike/>
          <w:color w:val="D9D9D9" w:themeColor="background1" w:themeShade="D9"/>
          <w:szCs w:val="24"/>
          <w:vertAlign w:val="subscript"/>
        </w:rPr>
        <w:t>5</w:t>
      </w:r>
      <w:r w:rsidRPr="005D7ECC">
        <w:rPr>
          <w:b/>
          <w:bCs/>
          <w:strike/>
          <w:color w:val="D9D9D9" w:themeColor="background1" w:themeShade="D9"/>
          <w:szCs w:val="24"/>
        </w:rPr>
        <w:t xml:space="preserve"> results based on acute (96 h) NOEC data for 5 fish species</w:t>
      </w:r>
    </w:p>
    <w:tbl>
      <w:tblPr>
        <w:tblStyle w:val="Tabela-Siatka"/>
        <w:tblW w:w="5000" w:type="pct"/>
        <w:tblLook w:val="04A0" w:firstRow="1" w:lastRow="0" w:firstColumn="1" w:lastColumn="0" w:noHBand="0" w:noVBand="1"/>
      </w:tblPr>
      <w:tblGrid>
        <w:gridCol w:w="4647"/>
        <w:gridCol w:w="4700"/>
      </w:tblGrid>
      <w:tr w:rsidR="005D7ECC" w:rsidRPr="005D7ECC" w14:paraId="17D5FCE8" w14:textId="77777777" w:rsidTr="009938D9">
        <w:tc>
          <w:tcPr>
            <w:tcW w:w="2486" w:type="pct"/>
            <w:tcBorders>
              <w:top w:val="single" w:sz="4" w:space="0" w:color="auto"/>
              <w:left w:val="single" w:sz="4" w:space="0" w:color="auto"/>
              <w:bottom w:val="single" w:sz="4" w:space="0" w:color="auto"/>
              <w:right w:val="nil"/>
            </w:tcBorders>
          </w:tcPr>
          <w:p w14:paraId="40467A0A" w14:textId="77777777" w:rsidR="00E51CDD" w:rsidRPr="005D7ECC" w:rsidRDefault="00E51CDD" w:rsidP="009938D9">
            <w:pPr>
              <w:spacing w:before="40" w:after="40"/>
              <w:rPr>
                <w:b/>
                <w:bCs/>
                <w:strike/>
                <w:color w:val="D9D9D9" w:themeColor="background1" w:themeShade="D9"/>
                <w:sz w:val="20"/>
                <w:szCs w:val="20"/>
                <w:lang w:val="en-CA"/>
              </w:rPr>
            </w:pPr>
          </w:p>
        </w:tc>
        <w:tc>
          <w:tcPr>
            <w:tcW w:w="2514" w:type="pct"/>
            <w:tcBorders>
              <w:left w:val="nil"/>
            </w:tcBorders>
          </w:tcPr>
          <w:p w14:paraId="6AC4B80F" w14:textId="77777777" w:rsidR="00E51CDD" w:rsidRPr="005D7ECC" w:rsidRDefault="00E51CDD" w:rsidP="009938D9">
            <w:pPr>
              <w:spacing w:before="40" w:after="40"/>
              <w:rPr>
                <w:b/>
                <w:bCs/>
                <w:strike/>
                <w:color w:val="D9D9D9" w:themeColor="background1" w:themeShade="D9"/>
                <w:sz w:val="20"/>
                <w:szCs w:val="20"/>
                <w:lang w:val="en-CA"/>
              </w:rPr>
            </w:pPr>
            <w:r w:rsidRPr="005D7ECC">
              <w:rPr>
                <w:b/>
                <w:bCs/>
                <w:strike/>
                <w:color w:val="D9D9D9" w:themeColor="background1" w:themeShade="D9"/>
                <w:sz w:val="20"/>
                <w:szCs w:val="20"/>
                <w:lang w:val="en-CA"/>
              </w:rPr>
              <w:t>Hazardous Concentration [µg a.s./L]</w:t>
            </w:r>
          </w:p>
        </w:tc>
      </w:tr>
      <w:tr w:rsidR="005D7ECC" w:rsidRPr="005D7ECC" w14:paraId="490F5179" w14:textId="77777777" w:rsidTr="009938D9">
        <w:trPr>
          <w:trHeight w:val="389"/>
        </w:trPr>
        <w:tc>
          <w:tcPr>
            <w:tcW w:w="2486" w:type="pct"/>
            <w:tcBorders>
              <w:top w:val="single" w:sz="4" w:space="0" w:color="auto"/>
            </w:tcBorders>
            <w:vAlign w:val="center"/>
          </w:tcPr>
          <w:p w14:paraId="07540183" w14:textId="77777777" w:rsidR="00E51CDD" w:rsidRPr="005D7ECC" w:rsidRDefault="00E51CDD" w:rsidP="009938D9">
            <w:pPr>
              <w:spacing w:before="40" w:after="40"/>
              <w:jc w:val="left"/>
              <w:rPr>
                <w:b/>
                <w:bCs/>
                <w:strike/>
                <w:color w:val="D9D9D9" w:themeColor="background1" w:themeShade="D9"/>
                <w:sz w:val="20"/>
                <w:szCs w:val="20"/>
                <w:lang w:val="en-CA"/>
              </w:rPr>
            </w:pPr>
            <w:r w:rsidRPr="005D7ECC">
              <w:rPr>
                <w:b/>
                <w:bCs/>
                <w:strike/>
                <w:color w:val="D9D9D9" w:themeColor="background1" w:themeShade="D9"/>
                <w:sz w:val="20"/>
                <w:szCs w:val="20"/>
                <w:lang w:val="en-CA"/>
              </w:rPr>
              <w:t>Median HC</w:t>
            </w:r>
            <w:r w:rsidRPr="005D7ECC">
              <w:rPr>
                <w:b/>
                <w:bCs/>
                <w:strike/>
                <w:color w:val="D9D9D9" w:themeColor="background1" w:themeShade="D9"/>
                <w:sz w:val="20"/>
                <w:szCs w:val="20"/>
                <w:vertAlign w:val="subscript"/>
                <w:lang w:val="en-CA"/>
              </w:rPr>
              <w:t xml:space="preserve">5 </w:t>
            </w:r>
            <w:r w:rsidRPr="005D7ECC">
              <w:rPr>
                <w:b/>
                <w:bCs/>
                <w:strike/>
                <w:color w:val="D9D9D9" w:themeColor="background1" w:themeShade="D9"/>
                <w:sz w:val="20"/>
                <w:szCs w:val="20"/>
                <w:lang w:val="en-CA"/>
              </w:rPr>
              <w:t>(lower – upper confidence intervals)</w:t>
            </w:r>
          </w:p>
        </w:tc>
        <w:tc>
          <w:tcPr>
            <w:tcW w:w="2514" w:type="pct"/>
            <w:vAlign w:val="center"/>
          </w:tcPr>
          <w:p w14:paraId="3CCABF07" w14:textId="77777777" w:rsidR="00E51CDD" w:rsidRPr="005D7ECC" w:rsidRDefault="00E51CDD" w:rsidP="009938D9">
            <w:pPr>
              <w:spacing w:before="40" w:after="40"/>
              <w:ind w:left="462" w:hanging="462"/>
              <w:rPr>
                <w:b/>
                <w:bCs/>
                <w:strike/>
                <w:color w:val="D9D9D9" w:themeColor="background1" w:themeShade="D9"/>
                <w:sz w:val="20"/>
                <w:szCs w:val="20"/>
                <w:lang w:val="en-CA"/>
              </w:rPr>
            </w:pPr>
            <w:r w:rsidRPr="005D7ECC">
              <w:rPr>
                <w:b/>
                <w:bCs/>
                <w:strike/>
                <w:color w:val="D9D9D9" w:themeColor="background1" w:themeShade="D9"/>
                <w:sz w:val="20"/>
                <w:szCs w:val="20"/>
                <w:lang w:val="en-CA"/>
              </w:rPr>
              <w:t>148 (89.1- 282)</w:t>
            </w:r>
          </w:p>
        </w:tc>
      </w:tr>
      <w:tr w:rsidR="005D7ECC" w:rsidRPr="005D7ECC" w14:paraId="2BD53103" w14:textId="77777777" w:rsidTr="009938D9">
        <w:trPr>
          <w:trHeight w:val="389"/>
        </w:trPr>
        <w:tc>
          <w:tcPr>
            <w:tcW w:w="5000" w:type="pct"/>
            <w:gridSpan w:val="2"/>
            <w:vAlign w:val="center"/>
          </w:tcPr>
          <w:p w14:paraId="6BB5784E" w14:textId="77777777" w:rsidR="00E51CDD" w:rsidRPr="005D7ECC" w:rsidRDefault="00E51CDD" w:rsidP="009938D9">
            <w:pPr>
              <w:spacing w:before="40" w:after="40"/>
              <w:ind w:left="462" w:hanging="462"/>
              <w:jc w:val="left"/>
              <w:rPr>
                <w:b/>
                <w:bCs/>
                <w:strike/>
                <w:color w:val="D9D9D9" w:themeColor="background1" w:themeShade="D9"/>
                <w:sz w:val="20"/>
                <w:szCs w:val="20"/>
                <w:lang w:val="en-CA"/>
              </w:rPr>
            </w:pPr>
            <w:r w:rsidRPr="005D7ECC">
              <w:rPr>
                <w:b/>
                <w:bCs/>
                <w:strike/>
                <w:color w:val="D9D9D9" w:themeColor="background1" w:themeShade="D9"/>
                <w:sz w:val="20"/>
                <w:szCs w:val="20"/>
                <w:lang w:val="en-CA"/>
              </w:rPr>
              <w:t>AF = 3</w:t>
            </w:r>
          </w:p>
        </w:tc>
      </w:tr>
      <w:tr w:rsidR="00E51CDD" w:rsidRPr="005D7ECC" w14:paraId="766D8084" w14:textId="77777777" w:rsidTr="009938D9">
        <w:trPr>
          <w:trHeight w:val="389"/>
        </w:trPr>
        <w:tc>
          <w:tcPr>
            <w:tcW w:w="2486" w:type="pct"/>
            <w:vAlign w:val="center"/>
          </w:tcPr>
          <w:p w14:paraId="2CC6107D" w14:textId="77777777" w:rsidR="00E51CDD" w:rsidRPr="005D7ECC" w:rsidRDefault="00E51CDD" w:rsidP="009938D9">
            <w:pPr>
              <w:spacing w:before="40" w:after="40"/>
              <w:jc w:val="left"/>
              <w:rPr>
                <w:b/>
                <w:bCs/>
                <w:strike/>
                <w:color w:val="D9D9D9" w:themeColor="background1" w:themeShade="D9"/>
                <w:sz w:val="20"/>
                <w:szCs w:val="20"/>
                <w:lang w:val="en-CA"/>
              </w:rPr>
            </w:pPr>
            <w:r w:rsidRPr="005D7ECC">
              <w:rPr>
                <w:b/>
                <w:bCs/>
                <w:strike/>
                <w:color w:val="D9D9D9" w:themeColor="background1" w:themeShade="D9"/>
                <w:sz w:val="20"/>
                <w:szCs w:val="20"/>
                <w:lang w:val="en-CA"/>
              </w:rPr>
              <w:t>SSD-RAC</w:t>
            </w:r>
          </w:p>
        </w:tc>
        <w:tc>
          <w:tcPr>
            <w:tcW w:w="2514" w:type="pct"/>
            <w:vAlign w:val="center"/>
          </w:tcPr>
          <w:p w14:paraId="4573616E" w14:textId="77777777" w:rsidR="00E51CDD" w:rsidRPr="005D7ECC" w:rsidRDefault="00E51CDD" w:rsidP="009938D9">
            <w:pPr>
              <w:spacing w:before="40" w:after="40"/>
              <w:ind w:left="462" w:hanging="462"/>
              <w:rPr>
                <w:b/>
                <w:bCs/>
                <w:strike/>
                <w:color w:val="D9D9D9" w:themeColor="background1" w:themeShade="D9"/>
                <w:sz w:val="20"/>
                <w:szCs w:val="20"/>
                <w:lang w:val="en-CA"/>
              </w:rPr>
            </w:pPr>
            <w:r w:rsidRPr="005D7ECC">
              <w:rPr>
                <w:b/>
                <w:bCs/>
                <w:strike/>
                <w:color w:val="D9D9D9" w:themeColor="background1" w:themeShade="D9"/>
                <w:sz w:val="20"/>
                <w:szCs w:val="20"/>
              </w:rPr>
              <w:t>49.33</w:t>
            </w:r>
          </w:p>
        </w:tc>
      </w:tr>
    </w:tbl>
    <w:p w14:paraId="61E833B3" w14:textId="77777777" w:rsidR="00E51CDD" w:rsidRPr="005D7ECC" w:rsidRDefault="00E51CDD" w:rsidP="00E51CDD">
      <w:pPr>
        <w:rPr>
          <w:strike/>
          <w:color w:val="D9D9D9" w:themeColor="background1" w:themeShade="D9"/>
          <w:szCs w:val="24"/>
        </w:rPr>
      </w:pPr>
    </w:p>
    <w:p w14:paraId="24143BA9" w14:textId="77777777" w:rsidR="00E51CDD" w:rsidRPr="00227BE0" w:rsidRDefault="00E51CDD" w:rsidP="00E51CDD">
      <w:pPr>
        <w:suppressAutoHyphens/>
        <w:jc w:val="both"/>
        <w:rPr>
          <w:b/>
          <w:u w:val="single"/>
        </w:rPr>
      </w:pPr>
      <w:r w:rsidRPr="005D7ECC">
        <w:rPr>
          <w:strike/>
          <w:color w:val="D9D9D9" w:themeColor="background1" w:themeShade="D9"/>
        </w:rPr>
        <w:br w:type="page"/>
      </w:r>
      <w:r w:rsidRPr="00227BE0">
        <w:rPr>
          <w:b/>
          <w:lang w:eastAsia="en-US"/>
        </w:rPr>
        <w:lastRenderedPageBreak/>
        <w:t>Acceptability of risk for azoxystrobin</w:t>
      </w:r>
    </w:p>
    <w:p w14:paraId="37418FDF" w14:textId="77777777" w:rsidR="00E51CDD" w:rsidRPr="00227BE0" w:rsidRDefault="00E51CDD" w:rsidP="00E51CDD">
      <w:pPr>
        <w:pStyle w:val="RepStandard"/>
      </w:pPr>
    </w:p>
    <w:p w14:paraId="693930CE" w14:textId="77777777" w:rsidR="00E51CDD" w:rsidRPr="00227BE0" w:rsidRDefault="00E51CDD" w:rsidP="00E51CDD">
      <w:pPr>
        <w:suppressAutoHyphens/>
        <w:jc w:val="both"/>
      </w:pPr>
      <w:bookmarkStart w:id="514" w:name="_Hlk82443503"/>
      <w:r w:rsidRPr="00227BE0">
        <w:t>The EU agreed studies were used for risk assessment on aquatic organisms for the active substance azoxystrobin</w:t>
      </w:r>
      <w:r w:rsidRPr="00227BE0" w:rsidDel="00D10B42">
        <w:t xml:space="preserve"> </w:t>
      </w:r>
      <w:r w:rsidRPr="00227BE0">
        <w:t xml:space="preserve">and its relevant metabolites. </w:t>
      </w:r>
    </w:p>
    <w:p w14:paraId="52124406" w14:textId="77777777" w:rsidR="00E51CDD" w:rsidRPr="00227BE0" w:rsidRDefault="00E51CDD" w:rsidP="00E51CDD">
      <w:pPr>
        <w:suppressAutoHyphens/>
        <w:jc w:val="both"/>
      </w:pPr>
    </w:p>
    <w:p w14:paraId="21C87751" w14:textId="77777777" w:rsidR="00E51CDD" w:rsidRPr="00AE6411" w:rsidRDefault="00E51CDD" w:rsidP="00E51CDD">
      <w:pPr>
        <w:pStyle w:val="RepStandard"/>
        <w:rPr>
          <w:strike/>
          <w:color w:val="D9D9D9" w:themeColor="background1" w:themeShade="D9"/>
        </w:rPr>
      </w:pPr>
      <w:r w:rsidRPr="00AE6411">
        <w:rPr>
          <w:strike/>
          <w:color w:val="D9D9D9" w:themeColor="background1" w:themeShade="D9"/>
        </w:rPr>
        <w:t>Considering toxicity to algae, a recalculated geomean differing from the EFSA conclusion for azoxystrobin was used in the risk assessment (</w:t>
      </w:r>
      <w:r w:rsidRPr="00AE6411">
        <w:rPr>
          <w:i/>
          <w:strike/>
          <w:color w:val="D9D9D9" w:themeColor="background1" w:themeShade="D9"/>
        </w:rPr>
        <w:t>i.e.,</w:t>
      </w:r>
      <w:r w:rsidRPr="00AE6411">
        <w:rPr>
          <w:strike/>
          <w:color w:val="D9D9D9" w:themeColor="background1" w:themeShade="D9"/>
        </w:rPr>
        <w:t xml:space="preserve"> Geomean E</w:t>
      </w:r>
      <w:r w:rsidRPr="00AE6411">
        <w:rPr>
          <w:strike/>
          <w:color w:val="D9D9D9" w:themeColor="background1" w:themeShade="D9"/>
          <w:vertAlign w:val="subscript"/>
        </w:rPr>
        <w:t>b</w:t>
      </w:r>
      <w:r w:rsidRPr="00AE6411">
        <w:rPr>
          <w:strike/>
          <w:color w:val="D9D9D9" w:themeColor="background1" w:themeShade="D9"/>
        </w:rPr>
        <w:t>C</w:t>
      </w:r>
      <w:r w:rsidRPr="00AE6411">
        <w:rPr>
          <w:strike/>
          <w:color w:val="D9D9D9" w:themeColor="background1" w:themeShade="D9"/>
          <w:vertAlign w:val="subscript"/>
        </w:rPr>
        <w:t>50</w:t>
      </w:r>
      <w:r w:rsidRPr="00AE6411">
        <w:rPr>
          <w:strike/>
          <w:color w:val="D9D9D9" w:themeColor="background1" w:themeShade="D9"/>
        </w:rPr>
        <w:t xml:space="preserve"> = 63 µg a.s./L instead of 262 µg a.s./L). For details, please refer to 9.5.1.1 </w:t>
      </w:r>
    </w:p>
    <w:bookmarkEnd w:id="514"/>
    <w:p w14:paraId="22962FCD" w14:textId="77777777" w:rsidR="00E51CDD" w:rsidRPr="00227BE0" w:rsidRDefault="00E51CDD" w:rsidP="00E51CDD">
      <w:pPr>
        <w:suppressAutoHyphens/>
        <w:jc w:val="both"/>
      </w:pPr>
    </w:p>
    <w:p w14:paraId="76B488FC" w14:textId="5691D365" w:rsidR="00E51CDD" w:rsidRPr="00227BE0" w:rsidRDefault="00E51CDD" w:rsidP="00E51CDD">
      <w:pPr>
        <w:widowControl w:val="0"/>
        <w:suppressAutoHyphens/>
        <w:jc w:val="both"/>
      </w:pPr>
      <w:r w:rsidRPr="00227BE0">
        <w:t>The relevant worst-case predicted environmental concentrations in surface water bodies (PEC</w:t>
      </w:r>
      <w:r w:rsidRPr="00227BE0">
        <w:rPr>
          <w:vertAlign w:val="subscript"/>
        </w:rPr>
        <w:t>sw</w:t>
      </w:r>
      <w:r w:rsidRPr="00227BE0">
        <w:t xml:space="preserve"> and PEC</w:t>
      </w:r>
      <w:r w:rsidRPr="00227BE0">
        <w:rPr>
          <w:vertAlign w:val="subscript"/>
        </w:rPr>
        <w:t>sed</w:t>
      </w:r>
      <w:r w:rsidRPr="00227BE0">
        <w:t xml:space="preserve">), regulatory acceptable concentrations (RAC) for aquatic organisms and the resulting PEC/RAC ratios (ETR) for the single and twofold application of fluxapyroxad in ‘cereals’ (covering spring and winter cereals) are given per intended use and each organism group and are presented in </w:t>
      </w:r>
      <w:r w:rsidRPr="00227BE0">
        <w:fldChar w:fldCharType="begin"/>
      </w:r>
      <w:r w:rsidRPr="00227BE0">
        <w:instrText xml:space="preserve"> REF _Ref82080194 \h  \* MERGEFORMAT </w:instrText>
      </w:r>
      <w:r w:rsidRPr="00227BE0">
        <w:fldChar w:fldCharType="separate"/>
      </w:r>
      <w:r w:rsidR="00662F32" w:rsidRPr="00662F32">
        <w:rPr>
          <w:bCs/>
        </w:rPr>
        <w:t xml:space="preserve">Table </w:t>
      </w:r>
      <w:r w:rsidR="00662F32" w:rsidRPr="00662F32">
        <w:rPr>
          <w:bCs/>
          <w:noProof/>
        </w:rPr>
        <w:t>9.5</w:t>
      </w:r>
      <w:r w:rsidR="00662F32" w:rsidRPr="00662F32">
        <w:rPr>
          <w:bCs/>
          <w:noProof/>
        </w:rPr>
        <w:noBreakHyphen/>
        <w:t>9</w:t>
      </w:r>
      <w:r w:rsidRPr="00227BE0">
        <w:fldChar w:fldCharType="end"/>
      </w:r>
      <w:r w:rsidRPr="00227BE0">
        <w:t xml:space="preserve"> and </w:t>
      </w:r>
      <w:r w:rsidRPr="00227BE0">
        <w:fldChar w:fldCharType="begin"/>
      </w:r>
      <w:r w:rsidRPr="00227BE0">
        <w:instrText xml:space="preserve"> REF _Ref82080204 \h  \* MERGEFORMAT </w:instrText>
      </w:r>
      <w:r w:rsidRPr="00227BE0">
        <w:fldChar w:fldCharType="separate"/>
      </w:r>
      <w:r w:rsidR="00662F32" w:rsidRPr="00662F32">
        <w:rPr>
          <w:bCs/>
        </w:rPr>
        <w:t xml:space="preserve">Table </w:t>
      </w:r>
      <w:r w:rsidR="00662F32" w:rsidRPr="00662F32">
        <w:rPr>
          <w:bCs/>
          <w:noProof/>
        </w:rPr>
        <w:t>9.5</w:t>
      </w:r>
      <w:r w:rsidR="00662F32" w:rsidRPr="00662F32">
        <w:rPr>
          <w:bCs/>
          <w:noProof/>
        </w:rPr>
        <w:noBreakHyphen/>
        <w:t>10</w:t>
      </w:r>
      <w:r w:rsidRPr="00227BE0">
        <w:fldChar w:fldCharType="end"/>
      </w:r>
      <w:r w:rsidRPr="00227BE0">
        <w:t xml:space="preserve">. </w:t>
      </w:r>
      <w:bookmarkStart w:id="515" w:name="_Hlk82443659"/>
      <w:r w:rsidRPr="00227BE0">
        <w:t>Worst-case PEC values for either winter or spring cereals are considered in a risk envelope approach</w:t>
      </w:r>
      <w:bookmarkEnd w:id="515"/>
      <w:r w:rsidRPr="00227BE0">
        <w:t>. For details on the PEC calculations please refer to Part B, Section 8.9.</w:t>
      </w:r>
    </w:p>
    <w:p w14:paraId="06F830A0" w14:textId="77777777" w:rsidR="00E51CDD" w:rsidRPr="00227BE0" w:rsidRDefault="00E51CDD" w:rsidP="00E51CDD">
      <w:pPr>
        <w:rPr>
          <w:color w:val="4472C4" w:themeColor="accent1"/>
        </w:rPr>
      </w:pPr>
      <w:bookmarkStart w:id="516" w:name="_Hlk79159755"/>
    </w:p>
    <w:p w14:paraId="7A6E0E03" w14:textId="77777777" w:rsidR="00E51CDD" w:rsidRPr="00227BE0" w:rsidRDefault="00E51CDD" w:rsidP="00E51CDD">
      <w:pPr>
        <w:rPr>
          <w:color w:val="4472C4" w:themeColor="accent1"/>
        </w:rPr>
        <w:sectPr w:rsidR="00E51CDD" w:rsidRPr="00227BE0">
          <w:headerReference w:type="default" r:id="rId37"/>
          <w:pgSz w:w="11909" w:h="16834"/>
          <w:pgMar w:top="1418" w:right="1134" w:bottom="1134" w:left="1418" w:header="709" w:footer="709" w:gutter="0"/>
          <w:pgNumType w:chapSep="period"/>
          <w:cols w:space="720"/>
        </w:sectPr>
      </w:pPr>
    </w:p>
    <w:p w14:paraId="6B1C8984" w14:textId="03D69F3B" w:rsidR="00E51CDD" w:rsidRPr="00227BE0" w:rsidRDefault="00E51CDD" w:rsidP="00E51CDD">
      <w:pPr>
        <w:keepNext/>
        <w:keepLines/>
        <w:widowControl w:val="0"/>
        <w:tabs>
          <w:tab w:val="left" w:pos="1985"/>
        </w:tabs>
        <w:suppressAutoHyphens/>
        <w:spacing w:before="200" w:after="120"/>
        <w:ind w:left="1985" w:hanging="1985"/>
        <w:jc w:val="both"/>
      </w:pPr>
      <w:bookmarkStart w:id="517" w:name="_Ref82080194"/>
      <w:r w:rsidRPr="00227BE0">
        <w:rPr>
          <w:b/>
          <w:bCs/>
        </w:rPr>
        <w:lastRenderedPageBreak/>
        <w:t xml:space="preserve">Table </w:t>
      </w:r>
      <w:r w:rsidRPr="00227BE0">
        <w:fldChar w:fldCharType="begin"/>
      </w:r>
      <w:r w:rsidRPr="00227BE0">
        <w:rPr>
          <w:b/>
          <w:bCs/>
        </w:rPr>
        <w:instrText xml:space="preserve"> STYLEREF 2 \s </w:instrText>
      </w:r>
      <w:r w:rsidRPr="00227BE0">
        <w:fldChar w:fldCharType="separate"/>
      </w:r>
      <w:r w:rsidR="00662F32">
        <w:rPr>
          <w:b/>
          <w:bCs/>
          <w:noProof/>
        </w:rPr>
        <w:t>9.5</w:t>
      </w:r>
      <w:r w:rsidRPr="00227BE0">
        <w:fldChar w:fldCharType="end"/>
      </w:r>
      <w:r w:rsidRPr="00227BE0">
        <w:rPr>
          <w:b/>
          <w:bCs/>
        </w:rPr>
        <w:noBreakHyphen/>
      </w:r>
      <w:r w:rsidRPr="00227BE0">
        <w:fldChar w:fldCharType="begin"/>
      </w:r>
      <w:r w:rsidRPr="00227BE0">
        <w:rPr>
          <w:b/>
          <w:bCs/>
        </w:rPr>
        <w:instrText xml:space="preserve"> SEQ Table \* ARABIC \s 2 </w:instrText>
      </w:r>
      <w:r w:rsidRPr="00227BE0">
        <w:fldChar w:fldCharType="separate"/>
      </w:r>
      <w:r w:rsidR="00662F32">
        <w:rPr>
          <w:b/>
          <w:bCs/>
          <w:noProof/>
        </w:rPr>
        <w:t>9</w:t>
      </w:r>
      <w:r w:rsidRPr="00227BE0">
        <w:fldChar w:fldCharType="end"/>
      </w:r>
      <w:bookmarkEnd w:id="517"/>
      <w:r w:rsidRPr="00227BE0">
        <w:rPr>
          <w:b/>
          <w:bCs/>
        </w:rPr>
        <w:t>:</w:t>
      </w:r>
      <w:r w:rsidRPr="00227BE0">
        <w:rPr>
          <w:b/>
          <w:bCs/>
        </w:rPr>
        <w:tab/>
        <w:t xml:space="preserve">Aquatic organisms: acceptability of risk (PEC/RAC &lt; 1) for </w:t>
      </w:r>
      <w:r w:rsidRPr="00227BE0">
        <w:rPr>
          <w:b/>
          <w:bCs/>
          <w:iCs/>
        </w:rPr>
        <w:t xml:space="preserve">azoxystrobin </w:t>
      </w:r>
      <w:r w:rsidRPr="00227BE0">
        <w:rPr>
          <w:b/>
          <w:bCs/>
        </w:rPr>
        <w:t>for each organism group based on worst-case calculations following single and twofold application (1x and 2x 150 g a.s./ha) of BAS 736 00 F in ‘winter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347"/>
        <w:gridCol w:w="808"/>
        <w:gridCol w:w="832"/>
        <w:gridCol w:w="356"/>
        <w:gridCol w:w="626"/>
        <w:gridCol w:w="332"/>
        <w:gridCol w:w="597"/>
        <w:gridCol w:w="483"/>
        <w:gridCol w:w="445"/>
        <w:gridCol w:w="981"/>
        <w:gridCol w:w="1179"/>
        <w:gridCol w:w="1089"/>
        <w:gridCol w:w="1089"/>
        <w:gridCol w:w="1039"/>
        <w:gridCol w:w="1182"/>
        <w:gridCol w:w="1025"/>
        <w:gridCol w:w="122"/>
        <w:gridCol w:w="20"/>
        <w:gridCol w:w="105"/>
        <w:gridCol w:w="899"/>
      </w:tblGrid>
      <w:tr w:rsidR="00C74419" w:rsidRPr="00227BE0" w14:paraId="151E9B1F" w14:textId="77777777" w:rsidTr="00536180">
        <w:trPr>
          <w:cantSplit/>
          <w:tblHeader/>
        </w:trPr>
        <w:tc>
          <w:tcPr>
            <w:tcW w:w="463" w:type="pct"/>
            <w:tcBorders>
              <w:top w:val="single" w:sz="4" w:space="0" w:color="auto"/>
              <w:left w:val="single" w:sz="4" w:space="0" w:color="auto"/>
              <w:bottom w:val="single" w:sz="4" w:space="0" w:color="auto"/>
              <w:right w:val="single" w:sz="4" w:space="0" w:color="auto"/>
            </w:tcBorders>
            <w:vAlign w:val="center"/>
            <w:hideMark/>
          </w:tcPr>
          <w:p w14:paraId="40D473AE" w14:textId="77777777" w:rsidR="00C74419" w:rsidRPr="00227BE0" w:rsidRDefault="00C74419" w:rsidP="009938D9">
            <w:pPr>
              <w:widowControl w:val="0"/>
              <w:suppressAutoHyphens/>
              <w:rPr>
                <w:b/>
                <w:bCs/>
                <w:sz w:val="20"/>
                <w:szCs w:val="20"/>
              </w:rPr>
            </w:pPr>
            <w:r w:rsidRPr="00227BE0">
              <w:rPr>
                <w:b/>
                <w:bCs/>
                <w:sz w:val="20"/>
                <w:szCs w:val="20"/>
              </w:rPr>
              <w:t>Group</w:t>
            </w:r>
          </w:p>
        </w:tc>
        <w:tc>
          <w:tcPr>
            <w:tcW w:w="278" w:type="pct"/>
            <w:tcBorders>
              <w:top w:val="single" w:sz="4" w:space="0" w:color="auto"/>
              <w:left w:val="single" w:sz="4" w:space="0" w:color="auto"/>
              <w:bottom w:val="nil"/>
              <w:right w:val="single" w:sz="4" w:space="0" w:color="auto"/>
            </w:tcBorders>
            <w:vAlign w:val="center"/>
          </w:tcPr>
          <w:p w14:paraId="3166B540" w14:textId="77777777" w:rsidR="00C74419" w:rsidRPr="00227BE0" w:rsidRDefault="00C74419" w:rsidP="009938D9">
            <w:pPr>
              <w:widowControl w:val="0"/>
              <w:suppressAutoHyphens/>
              <w:rPr>
                <w:noProof/>
                <w:sz w:val="20"/>
                <w:szCs w:val="20"/>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4C442653" w14:textId="77777777" w:rsidR="00C74419" w:rsidRPr="00227BE0" w:rsidRDefault="00C74419" w:rsidP="009938D9">
            <w:pPr>
              <w:widowControl w:val="0"/>
              <w:suppressAutoHyphens/>
              <w:jc w:val="center"/>
              <w:rPr>
                <w:b/>
                <w:bCs/>
                <w:sz w:val="20"/>
                <w:szCs w:val="20"/>
              </w:rPr>
            </w:pPr>
            <w:r w:rsidRPr="00227BE0">
              <w:rPr>
                <w:b/>
                <w:bCs/>
                <w:sz w:val="20"/>
                <w:szCs w:val="20"/>
              </w:rPr>
              <w:t>Fish acute</w:t>
            </w:r>
          </w:p>
        </w:tc>
        <w:tc>
          <w:tcPr>
            <w:tcW w:w="337" w:type="pct"/>
            <w:gridSpan w:val="2"/>
            <w:tcBorders>
              <w:top w:val="single" w:sz="4" w:space="0" w:color="auto"/>
              <w:left w:val="single" w:sz="4" w:space="0" w:color="auto"/>
              <w:bottom w:val="single" w:sz="4" w:space="0" w:color="auto"/>
              <w:right w:val="single" w:sz="4" w:space="0" w:color="auto"/>
            </w:tcBorders>
            <w:vAlign w:val="center"/>
            <w:hideMark/>
          </w:tcPr>
          <w:p w14:paraId="6D7F2254" w14:textId="77777777" w:rsidR="00C74419" w:rsidRPr="00227BE0" w:rsidRDefault="00C74419" w:rsidP="009938D9">
            <w:pPr>
              <w:widowControl w:val="0"/>
              <w:suppressAutoHyphens/>
              <w:jc w:val="center"/>
              <w:rPr>
                <w:b/>
                <w:bCs/>
                <w:sz w:val="20"/>
                <w:szCs w:val="20"/>
              </w:rPr>
            </w:pPr>
            <w:r w:rsidRPr="00227BE0">
              <w:rPr>
                <w:b/>
                <w:bCs/>
                <w:sz w:val="20"/>
                <w:szCs w:val="20"/>
              </w:rPr>
              <w:t>Fish prolonged</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919381" w14:textId="5E5AC20B" w:rsidR="00C74419" w:rsidRPr="00227BE0" w:rsidRDefault="00C74419" w:rsidP="009938D9">
            <w:pPr>
              <w:widowControl w:val="0"/>
              <w:suppressAutoHyphens/>
              <w:jc w:val="center"/>
              <w:rPr>
                <w:b/>
                <w:bCs/>
                <w:sz w:val="20"/>
                <w:szCs w:val="20"/>
              </w:rPr>
            </w:pPr>
            <w:r w:rsidRPr="00227BE0">
              <w:rPr>
                <w:b/>
                <w:bCs/>
                <w:sz w:val="20"/>
                <w:szCs w:val="20"/>
              </w:rPr>
              <w:t>Inverteb. acute</w:t>
            </w:r>
          </w:p>
        </w:tc>
        <w:tc>
          <w:tcPr>
            <w:tcW w:w="319" w:type="pct"/>
            <w:gridSpan w:val="2"/>
            <w:tcBorders>
              <w:top w:val="single" w:sz="4" w:space="0" w:color="auto"/>
              <w:left w:val="single" w:sz="4" w:space="0" w:color="auto"/>
              <w:bottom w:val="single" w:sz="4" w:space="0" w:color="auto"/>
              <w:right w:val="single" w:sz="4" w:space="0" w:color="auto"/>
            </w:tcBorders>
            <w:vAlign w:val="center"/>
            <w:hideMark/>
          </w:tcPr>
          <w:p w14:paraId="4154EB19" w14:textId="06840A73" w:rsidR="00C74419" w:rsidRPr="00227BE0" w:rsidRDefault="00C74419" w:rsidP="009938D9">
            <w:pPr>
              <w:widowControl w:val="0"/>
              <w:suppressAutoHyphens/>
              <w:jc w:val="center"/>
              <w:rPr>
                <w:b/>
                <w:bCs/>
                <w:sz w:val="20"/>
                <w:szCs w:val="20"/>
              </w:rPr>
            </w:pPr>
            <w:r w:rsidRPr="00227BE0">
              <w:rPr>
                <w:b/>
                <w:bCs/>
                <w:sz w:val="20"/>
                <w:szCs w:val="20"/>
              </w:rPr>
              <w:t>Inverteb. acute</w:t>
            </w:r>
          </w:p>
        </w:tc>
        <w:tc>
          <w:tcPr>
            <w:tcW w:w="337" w:type="pct"/>
            <w:tcBorders>
              <w:top w:val="single" w:sz="4" w:space="0" w:color="auto"/>
              <w:left w:val="single" w:sz="4" w:space="0" w:color="auto"/>
              <w:bottom w:val="single" w:sz="4" w:space="0" w:color="auto"/>
              <w:right w:val="single" w:sz="4" w:space="0" w:color="auto"/>
            </w:tcBorders>
            <w:vAlign w:val="center"/>
            <w:hideMark/>
          </w:tcPr>
          <w:p w14:paraId="71CBFE36" w14:textId="77777777" w:rsidR="00C74419" w:rsidRPr="00227BE0" w:rsidRDefault="00C74419" w:rsidP="009938D9">
            <w:pPr>
              <w:widowControl w:val="0"/>
              <w:suppressAutoHyphens/>
              <w:jc w:val="center"/>
              <w:rPr>
                <w:b/>
                <w:bCs/>
                <w:sz w:val="20"/>
                <w:szCs w:val="20"/>
              </w:rPr>
            </w:pPr>
            <w:r w:rsidRPr="00227BE0">
              <w:rPr>
                <w:b/>
                <w:bCs/>
                <w:sz w:val="20"/>
                <w:szCs w:val="20"/>
              </w:rPr>
              <w:t>Inverteb. prolonged</w:t>
            </w:r>
          </w:p>
        </w:tc>
        <w:tc>
          <w:tcPr>
            <w:tcW w:w="405" w:type="pct"/>
            <w:tcBorders>
              <w:top w:val="single" w:sz="4" w:space="0" w:color="auto"/>
              <w:left w:val="single" w:sz="4" w:space="0" w:color="auto"/>
              <w:bottom w:val="single" w:sz="4" w:space="0" w:color="auto"/>
              <w:right w:val="single" w:sz="4" w:space="0" w:color="auto"/>
            </w:tcBorders>
            <w:vAlign w:val="center"/>
            <w:hideMark/>
          </w:tcPr>
          <w:p w14:paraId="39E45F8B" w14:textId="77777777" w:rsidR="00C74419" w:rsidRPr="00C74419" w:rsidRDefault="00C74419" w:rsidP="009938D9">
            <w:pPr>
              <w:widowControl w:val="0"/>
              <w:suppressAutoHyphens/>
              <w:jc w:val="center"/>
              <w:rPr>
                <w:b/>
                <w:bCs/>
                <w:strike/>
                <w:color w:val="D9D9D9" w:themeColor="background1" w:themeShade="D9"/>
                <w:sz w:val="20"/>
                <w:szCs w:val="20"/>
              </w:rPr>
            </w:pPr>
            <w:r w:rsidRPr="00C74419">
              <w:rPr>
                <w:b/>
                <w:bCs/>
                <w:strike/>
                <w:color w:val="D9D9D9" w:themeColor="background1" w:themeShade="D9"/>
                <w:sz w:val="20"/>
                <w:szCs w:val="20"/>
              </w:rPr>
              <w:t>Algae</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2A8208" w14:textId="1B50DDCC" w:rsidR="00C74419" w:rsidRPr="00227BE0" w:rsidRDefault="0015050D" w:rsidP="009938D9">
            <w:pPr>
              <w:suppressAutoHyphens/>
              <w:jc w:val="center"/>
              <w:rPr>
                <w:b/>
                <w:bCs/>
                <w:sz w:val="20"/>
                <w:szCs w:val="20"/>
              </w:rPr>
            </w:pPr>
            <w:r>
              <w:rPr>
                <w:b/>
                <w:bCs/>
                <w:sz w:val="20"/>
                <w:szCs w:val="20"/>
              </w:rPr>
              <w:t>Algae</w:t>
            </w:r>
          </w:p>
        </w:tc>
        <w:tc>
          <w:tcPr>
            <w:tcW w:w="374" w:type="pct"/>
            <w:tcBorders>
              <w:top w:val="single" w:sz="4" w:space="0" w:color="auto"/>
              <w:left w:val="single" w:sz="4" w:space="0" w:color="auto"/>
              <w:bottom w:val="single" w:sz="4" w:space="0" w:color="auto"/>
              <w:right w:val="single" w:sz="4" w:space="0" w:color="auto"/>
            </w:tcBorders>
            <w:vAlign w:val="center"/>
            <w:hideMark/>
          </w:tcPr>
          <w:p w14:paraId="09323024" w14:textId="72839CFD" w:rsidR="00C74419" w:rsidRPr="00227BE0" w:rsidRDefault="00C74419" w:rsidP="009938D9">
            <w:pPr>
              <w:suppressAutoHyphens/>
              <w:jc w:val="center"/>
              <w:rPr>
                <w:b/>
                <w:bCs/>
                <w:sz w:val="20"/>
                <w:szCs w:val="20"/>
              </w:rPr>
            </w:pPr>
            <w:r w:rsidRPr="00227BE0">
              <w:rPr>
                <w:b/>
                <w:bCs/>
                <w:sz w:val="20"/>
                <w:szCs w:val="20"/>
              </w:rPr>
              <w:t>Aquatic plants</w:t>
            </w:r>
          </w:p>
        </w:tc>
        <w:tc>
          <w:tcPr>
            <w:tcW w:w="357" w:type="pct"/>
            <w:tcBorders>
              <w:top w:val="single" w:sz="4" w:space="0" w:color="auto"/>
              <w:left w:val="single" w:sz="4" w:space="0" w:color="auto"/>
              <w:bottom w:val="single" w:sz="4" w:space="0" w:color="auto"/>
              <w:right w:val="single" w:sz="4" w:space="0" w:color="auto"/>
            </w:tcBorders>
            <w:vAlign w:val="center"/>
          </w:tcPr>
          <w:p w14:paraId="656D83FB" w14:textId="77777777" w:rsidR="00C74419" w:rsidRPr="00227BE0" w:rsidRDefault="00C74419" w:rsidP="009938D9">
            <w:pPr>
              <w:widowControl w:val="0"/>
              <w:suppressAutoHyphens/>
              <w:jc w:val="center"/>
              <w:rPr>
                <w:b/>
                <w:noProof/>
                <w:sz w:val="20"/>
                <w:szCs w:val="20"/>
              </w:rPr>
            </w:pPr>
            <w:r w:rsidRPr="00227BE0">
              <w:rPr>
                <w:b/>
                <w:bCs/>
                <w:sz w:val="20"/>
                <w:szCs w:val="20"/>
              </w:rPr>
              <w:t>Sed. dwell. prolonged</w:t>
            </w:r>
          </w:p>
        </w:tc>
        <w:tc>
          <w:tcPr>
            <w:tcW w:w="406" w:type="pct"/>
            <w:tcBorders>
              <w:top w:val="single" w:sz="4" w:space="0" w:color="auto"/>
              <w:left w:val="single" w:sz="4" w:space="0" w:color="auto"/>
              <w:bottom w:val="single" w:sz="4" w:space="0" w:color="auto"/>
              <w:right w:val="single" w:sz="4" w:space="0" w:color="auto"/>
            </w:tcBorders>
            <w:vAlign w:val="center"/>
          </w:tcPr>
          <w:p w14:paraId="356D2926" w14:textId="77777777" w:rsidR="00C74419" w:rsidRPr="00227BE0" w:rsidRDefault="00C74419" w:rsidP="009938D9">
            <w:pPr>
              <w:widowControl w:val="0"/>
              <w:suppressAutoHyphens/>
              <w:jc w:val="center"/>
              <w:rPr>
                <w:b/>
                <w:noProof/>
                <w:sz w:val="20"/>
                <w:szCs w:val="20"/>
              </w:rPr>
            </w:pPr>
            <w:r w:rsidRPr="00227BE0">
              <w:rPr>
                <w:b/>
                <w:noProof/>
                <w:sz w:val="20"/>
                <w:szCs w:val="20"/>
              </w:rPr>
              <w:t>Higher Tier information</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37D05F09" w14:textId="77777777" w:rsidR="00C74419" w:rsidRPr="00227BE0" w:rsidRDefault="00C74419" w:rsidP="009938D9">
            <w:pPr>
              <w:widowControl w:val="0"/>
              <w:suppressAutoHyphens/>
              <w:rPr>
                <w:noProof/>
                <w:sz w:val="20"/>
                <w:szCs w:val="20"/>
              </w:rPr>
            </w:pPr>
            <w:r w:rsidRPr="00227BE0">
              <w:rPr>
                <w:b/>
                <w:noProof/>
                <w:sz w:val="20"/>
                <w:szCs w:val="20"/>
              </w:rPr>
              <w:t>Group</w:t>
            </w:r>
          </w:p>
        </w:tc>
        <w:tc>
          <w:tcPr>
            <w:tcW w:w="345" w:type="pct"/>
            <w:gridSpan w:val="2"/>
            <w:tcBorders>
              <w:top w:val="single" w:sz="4" w:space="0" w:color="auto"/>
              <w:left w:val="single" w:sz="4" w:space="0" w:color="auto"/>
              <w:bottom w:val="single" w:sz="4" w:space="0" w:color="auto"/>
              <w:right w:val="single" w:sz="4" w:space="0" w:color="auto"/>
            </w:tcBorders>
            <w:vAlign w:val="center"/>
            <w:hideMark/>
          </w:tcPr>
          <w:p w14:paraId="4FDABA01" w14:textId="77777777" w:rsidR="00C74419" w:rsidRPr="00227BE0" w:rsidRDefault="00C74419" w:rsidP="009938D9">
            <w:pPr>
              <w:widowControl w:val="0"/>
              <w:suppressAutoHyphens/>
              <w:jc w:val="center"/>
              <w:rPr>
                <w:b/>
                <w:bCs/>
                <w:sz w:val="20"/>
                <w:szCs w:val="20"/>
              </w:rPr>
            </w:pPr>
            <w:r w:rsidRPr="00227BE0">
              <w:rPr>
                <w:b/>
                <w:bCs/>
                <w:sz w:val="20"/>
                <w:szCs w:val="20"/>
              </w:rPr>
              <w:t>Sed. dwell. prolonged</w:t>
            </w:r>
          </w:p>
        </w:tc>
      </w:tr>
      <w:tr w:rsidR="00C74419" w:rsidRPr="00227BE0" w14:paraId="74B9A9CC" w14:textId="77777777" w:rsidTr="00536180">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5231B72C" w14:textId="77777777" w:rsidR="00C74419" w:rsidRPr="00227BE0" w:rsidRDefault="00C74419" w:rsidP="009938D9">
            <w:pPr>
              <w:widowControl w:val="0"/>
              <w:suppressAutoHyphens/>
              <w:rPr>
                <w:b/>
                <w:bCs/>
                <w:sz w:val="20"/>
                <w:szCs w:val="20"/>
              </w:rPr>
            </w:pPr>
            <w:r w:rsidRPr="00227BE0">
              <w:rPr>
                <w:b/>
                <w:bCs/>
                <w:sz w:val="20"/>
                <w:szCs w:val="20"/>
              </w:rPr>
              <w:t>Test species</w:t>
            </w:r>
          </w:p>
        </w:tc>
        <w:tc>
          <w:tcPr>
            <w:tcW w:w="278" w:type="pct"/>
            <w:tcBorders>
              <w:top w:val="nil"/>
              <w:left w:val="single" w:sz="4" w:space="0" w:color="auto"/>
              <w:bottom w:val="nil"/>
              <w:right w:val="single" w:sz="4" w:space="0" w:color="auto"/>
            </w:tcBorders>
            <w:vAlign w:val="center"/>
          </w:tcPr>
          <w:p w14:paraId="584CF4B1" w14:textId="77777777" w:rsidR="00C74419" w:rsidRPr="00227BE0" w:rsidRDefault="00C74419" w:rsidP="009938D9">
            <w:pPr>
              <w:widowControl w:val="0"/>
              <w:suppressAutoHyphens/>
              <w:rPr>
                <w:noProof/>
                <w:sz w:val="20"/>
                <w:szCs w:val="20"/>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1B53FEBF" w14:textId="77777777" w:rsidR="00C74419" w:rsidRPr="00227BE0" w:rsidRDefault="00C74419" w:rsidP="009938D9">
            <w:pPr>
              <w:widowControl w:val="0"/>
              <w:suppressAutoHyphens/>
              <w:jc w:val="center"/>
              <w:rPr>
                <w:b/>
                <w:bCs/>
                <w:sz w:val="20"/>
                <w:szCs w:val="20"/>
              </w:rPr>
            </w:pPr>
            <w:r w:rsidRPr="00227BE0">
              <w:rPr>
                <w:b/>
                <w:bCs/>
                <w:i/>
                <w:iCs/>
                <w:sz w:val="20"/>
                <w:szCs w:val="20"/>
              </w:rPr>
              <w:t>O. mykiss</w:t>
            </w:r>
          </w:p>
        </w:tc>
        <w:tc>
          <w:tcPr>
            <w:tcW w:w="337" w:type="pct"/>
            <w:gridSpan w:val="2"/>
            <w:tcBorders>
              <w:top w:val="single" w:sz="4" w:space="0" w:color="auto"/>
              <w:left w:val="single" w:sz="4" w:space="0" w:color="auto"/>
              <w:bottom w:val="single" w:sz="4" w:space="0" w:color="auto"/>
              <w:right w:val="single" w:sz="4" w:space="0" w:color="auto"/>
            </w:tcBorders>
            <w:vAlign w:val="center"/>
            <w:hideMark/>
          </w:tcPr>
          <w:p w14:paraId="0060B411" w14:textId="77777777" w:rsidR="00C74419" w:rsidRPr="00227BE0" w:rsidRDefault="00C74419" w:rsidP="009938D9">
            <w:pPr>
              <w:widowControl w:val="0"/>
              <w:suppressAutoHyphens/>
              <w:jc w:val="center"/>
              <w:rPr>
                <w:b/>
                <w:bCs/>
                <w:i/>
                <w:sz w:val="20"/>
                <w:szCs w:val="20"/>
              </w:rPr>
            </w:pPr>
            <w:r w:rsidRPr="00227BE0">
              <w:rPr>
                <w:b/>
                <w:bCs/>
                <w:i/>
                <w:sz w:val="20"/>
                <w:szCs w:val="20"/>
              </w:rPr>
              <w:t>P. promelas</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1928C9" w14:textId="1C48FED5" w:rsidR="00C74419" w:rsidRPr="00227BE0" w:rsidRDefault="00C74419" w:rsidP="009938D9">
            <w:pPr>
              <w:widowControl w:val="0"/>
              <w:suppressAutoHyphens/>
              <w:jc w:val="center"/>
              <w:rPr>
                <w:b/>
                <w:bCs/>
                <w:i/>
                <w:iCs/>
                <w:sz w:val="20"/>
                <w:szCs w:val="20"/>
              </w:rPr>
            </w:pPr>
            <w:r>
              <w:rPr>
                <w:b/>
                <w:bCs/>
                <w:i/>
                <w:iCs/>
                <w:sz w:val="20"/>
                <w:szCs w:val="20"/>
              </w:rPr>
              <w:t>M. bahia</w:t>
            </w:r>
          </w:p>
        </w:tc>
        <w:tc>
          <w:tcPr>
            <w:tcW w:w="319" w:type="pct"/>
            <w:gridSpan w:val="2"/>
            <w:tcBorders>
              <w:top w:val="single" w:sz="4" w:space="0" w:color="auto"/>
              <w:left w:val="single" w:sz="4" w:space="0" w:color="auto"/>
              <w:bottom w:val="single" w:sz="4" w:space="0" w:color="auto"/>
              <w:right w:val="single" w:sz="4" w:space="0" w:color="auto"/>
            </w:tcBorders>
            <w:vAlign w:val="center"/>
            <w:hideMark/>
          </w:tcPr>
          <w:p w14:paraId="18E89904" w14:textId="14044008" w:rsidR="00C74419" w:rsidRPr="00227BE0" w:rsidRDefault="00C74419" w:rsidP="009938D9">
            <w:pPr>
              <w:widowControl w:val="0"/>
              <w:suppressAutoHyphens/>
              <w:jc w:val="center"/>
              <w:rPr>
                <w:b/>
                <w:bCs/>
                <w:sz w:val="20"/>
                <w:szCs w:val="20"/>
              </w:rPr>
            </w:pPr>
            <w:r w:rsidRPr="00227BE0">
              <w:rPr>
                <w:b/>
                <w:bCs/>
                <w:i/>
                <w:iCs/>
                <w:sz w:val="20"/>
                <w:szCs w:val="20"/>
              </w:rPr>
              <w:t>D. magna</w:t>
            </w:r>
          </w:p>
        </w:tc>
        <w:tc>
          <w:tcPr>
            <w:tcW w:w="337" w:type="pct"/>
            <w:tcBorders>
              <w:top w:val="single" w:sz="4" w:space="0" w:color="auto"/>
              <w:left w:val="single" w:sz="4" w:space="0" w:color="auto"/>
              <w:bottom w:val="single" w:sz="4" w:space="0" w:color="auto"/>
              <w:right w:val="single" w:sz="4" w:space="0" w:color="auto"/>
            </w:tcBorders>
            <w:vAlign w:val="center"/>
            <w:hideMark/>
          </w:tcPr>
          <w:p w14:paraId="2E42E1B5" w14:textId="77777777" w:rsidR="00C74419" w:rsidRPr="00227BE0" w:rsidRDefault="00C74419" w:rsidP="009938D9">
            <w:pPr>
              <w:widowControl w:val="0"/>
              <w:suppressAutoHyphens/>
              <w:jc w:val="center"/>
              <w:rPr>
                <w:b/>
                <w:bCs/>
                <w:i/>
                <w:iCs/>
                <w:sz w:val="20"/>
                <w:szCs w:val="20"/>
              </w:rPr>
            </w:pPr>
            <w:r w:rsidRPr="00227BE0">
              <w:rPr>
                <w:b/>
                <w:bCs/>
                <w:i/>
                <w:iCs/>
                <w:sz w:val="20"/>
                <w:szCs w:val="20"/>
              </w:rPr>
              <w:t>D. magna</w:t>
            </w:r>
          </w:p>
        </w:tc>
        <w:tc>
          <w:tcPr>
            <w:tcW w:w="405" w:type="pct"/>
            <w:tcBorders>
              <w:top w:val="single" w:sz="4" w:space="0" w:color="auto"/>
              <w:left w:val="single" w:sz="4" w:space="0" w:color="auto"/>
              <w:bottom w:val="single" w:sz="4" w:space="0" w:color="auto"/>
              <w:right w:val="single" w:sz="4" w:space="0" w:color="auto"/>
            </w:tcBorders>
            <w:vAlign w:val="center"/>
            <w:hideMark/>
          </w:tcPr>
          <w:p w14:paraId="56D9A7E3" w14:textId="77777777" w:rsidR="00C74419" w:rsidRPr="00C74419" w:rsidRDefault="00C74419" w:rsidP="009938D9">
            <w:pPr>
              <w:widowControl w:val="0"/>
              <w:suppressAutoHyphens/>
              <w:jc w:val="center"/>
              <w:rPr>
                <w:b/>
                <w:bCs/>
                <w:strike/>
                <w:color w:val="D9D9D9" w:themeColor="background1" w:themeShade="D9"/>
                <w:sz w:val="20"/>
                <w:szCs w:val="20"/>
              </w:rPr>
            </w:pPr>
            <w:r w:rsidRPr="00C74419">
              <w:rPr>
                <w:b/>
                <w:bCs/>
                <w:iCs/>
                <w:strike/>
                <w:color w:val="D9D9D9" w:themeColor="background1" w:themeShade="D9"/>
                <w:sz w:val="20"/>
                <w:szCs w:val="20"/>
              </w:rPr>
              <w:t>Geomean (3 algal species)</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8F206E" w14:textId="06CA9693" w:rsidR="00C74419" w:rsidRPr="00227BE0" w:rsidRDefault="0015050D" w:rsidP="009938D9">
            <w:pPr>
              <w:widowControl w:val="0"/>
              <w:suppressAutoHyphens/>
              <w:jc w:val="center"/>
              <w:rPr>
                <w:b/>
                <w:bCs/>
                <w:i/>
                <w:iCs/>
                <w:sz w:val="20"/>
                <w:szCs w:val="20"/>
              </w:rPr>
            </w:pPr>
            <w:r>
              <w:rPr>
                <w:b/>
                <w:bCs/>
                <w:i/>
                <w:iCs/>
                <w:sz w:val="20"/>
                <w:szCs w:val="20"/>
              </w:rPr>
              <w:t>N. pelliculosa</w:t>
            </w:r>
          </w:p>
        </w:tc>
        <w:tc>
          <w:tcPr>
            <w:tcW w:w="374" w:type="pct"/>
            <w:tcBorders>
              <w:top w:val="single" w:sz="4" w:space="0" w:color="auto"/>
              <w:left w:val="single" w:sz="4" w:space="0" w:color="auto"/>
              <w:bottom w:val="single" w:sz="4" w:space="0" w:color="auto"/>
              <w:right w:val="single" w:sz="4" w:space="0" w:color="auto"/>
            </w:tcBorders>
            <w:vAlign w:val="center"/>
            <w:hideMark/>
          </w:tcPr>
          <w:p w14:paraId="770A9849" w14:textId="629245DD" w:rsidR="00C74419" w:rsidRPr="00227BE0" w:rsidRDefault="00C74419" w:rsidP="009938D9">
            <w:pPr>
              <w:widowControl w:val="0"/>
              <w:suppressAutoHyphens/>
              <w:jc w:val="center"/>
              <w:rPr>
                <w:b/>
                <w:bCs/>
                <w:i/>
                <w:iCs/>
                <w:sz w:val="20"/>
                <w:szCs w:val="20"/>
              </w:rPr>
            </w:pPr>
            <w:r w:rsidRPr="00227BE0">
              <w:rPr>
                <w:b/>
                <w:bCs/>
                <w:i/>
                <w:iCs/>
                <w:sz w:val="20"/>
                <w:szCs w:val="20"/>
              </w:rPr>
              <w:t>L. gibba</w:t>
            </w:r>
          </w:p>
        </w:tc>
        <w:tc>
          <w:tcPr>
            <w:tcW w:w="357" w:type="pct"/>
            <w:tcBorders>
              <w:top w:val="single" w:sz="4" w:space="0" w:color="auto"/>
              <w:left w:val="single" w:sz="4" w:space="0" w:color="auto"/>
              <w:bottom w:val="single" w:sz="4" w:space="0" w:color="auto"/>
              <w:right w:val="single" w:sz="4" w:space="0" w:color="auto"/>
            </w:tcBorders>
            <w:vAlign w:val="center"/>
          </w:tcPr>
          <w:p w14:paraId="6C812D24" w14:textId="77777777" w:rsidR="00C74419" w:rsidRPr="00227BE0" w:rsidRDefault="00C74419" w:rsidP="009938D9">
            <w:pPr>
              <w:widowControl w:val="0"/>
              <w:suppressAutoHyphens/>
              <w:jc w:val="center"/>
              <w:rPr>
                <w:b/>
                <w:noProof/>
                <w:sz w:val="20"/>
                <w:szCs w:val="20"/>
              </w:rPr>
            </w:pPr>
            <w:r w:rsidRPr="00227BE0">
              <w:rPr>
                <w:b/>
                <w:bCs/>
                <w:i/>
                <w:iCs/>
                <w:sz w:val="20"/>
                <w:szCs w:val="20"/>
              </w:rPr>
              <w:t>C. riparius</w:t>
            </w:r>
          </w:p>
        </w:tc>
        <w:tc>
          <w:tcPr>
            <w:tcW w:w="406" w:type="pct"/>
            <w:tcBorders>
              <w:top w:val="single" w:sz="4" w:space="0" w:color="auto"/>
              <w:left w:val="single" w:sz="4" w:space="0" w:color="auto"/>
              <w:bottom w:val="single" w:sz="4" w:space="0" w:color="auto"/>
              <w:right w:val="single" w:sz="4" w:space="0" w:color="auto"/>
            </w:tcBorders>
            <w:vAlign w:val="center"/>
          </w:tcPr>
          <w:p w14:paraId="32ADAB66" w14:textId="77777777" w:rsidR="00C74419" w:rsidRPr="00227BE0" w:rsidRDefault="00C74419" w:rsidP="009938D9">
            <w:pPr>
              <w:widowControl w:val="0"/>
              <w:suppressAutoHyphens/>
              <w:jc w:val="center"/>
              <w:rPr>
                <w:b/>
                <w:noProof/>
                <w:sz w:val="20"/>
                <w:szCs w:val="20"/>
              </w:rPr>
            </w:pPr>
            <w:r w:rsidRPr="00227BE0">
              <w:rPr>
                <w:b/>
                <w:noProof/>
                <w:sz w:val="20"/>
                <w:szCs w:val="20"/>
              </w:rPr>
              <w:t>Mesocosm</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4B95427E" w14:textId="77777777" w:rsidR="00C74419" w:rsidRPr="00227BE0" w:rsidRDefault="00C74419" w:rsidP="009938D9">
            <w:pPr>
              <w:widowControl w:val="0"/>
              <w:suppressAutoHyphens/>
              <w:rPr>
                <w:noProof/>
                <w:sz w:val="20"/>
                <w:szCs w:val="20"/>
              </w:rPr>
            </w:pPr>
            <w:r w:rsidRPr="00227BE0">
              <w:rPr>
                <w:b/>
                <w:noProof/>
                <w:sz w:val="20"/>
                <w:szCs w:val="20"/>
              </w:rPr>
              <w:t>Test species</w:t>
            </w:r>
          </w:p>
        </w:tc>
        <w:tc>
          <w:tcPr>
            <w:tcW w:w="345" w:type="pct"/>
            <w:gridSpan w:val="2"/>
            <w:tcBorders>
              <w:top w:val="single" w:sz="4" w:space="0" w:color="auto"/>
              <w:left w:val="single" w:sz="4" w:space="0" w:color="auto"/>
              <w:bottom w:val="single" w:sz="4" w:space="0" w:color="auto"/>
              <w:right w:val="single" w:sz="4" w:space="0" w:color="auto"/>
            </w:tcBorders>
            <w:vAlign w:val="center"/>
            <w:hideMark/>
          </w:tcPr>
          <w:p w14:paraId="3824BED4" w14:textId="77777777" w:rsidR="00C74419" w:rsidRPr="00227BE0" w:rsidRDefault="00C74419" w:rsidP="009938D9">
            <w:pPr>
              <w:widowControl w:val="0"/>
              <w:suppressAutoHyphens/>
              <w:jc w:val="center"/>
              <w:rPr>
                <w:b/>
                <w:bCs/>
                <w:sz w:val="20"/>
                <w:szCs w:val="20"/>
              </w:rPr>
            </w:pPr>
            <w:r w:rsidRPr="00227BE0">
              <w:rPr>
                <w:b/>
                <w:bCs/>
                <w:i/>
                <w:iCs/>
                <w:sz w:val="20"/>
                <w:szCs w:val="20"/>
              </w:rPr>
              <w:t>C. riparius</w:t>
            </w:r>
          </w:p>
        </w:tc>
      </w:tr>
      <w:tr w:rsidR="00C74419" w:rsidRPr="00227BE0" w14:paraId="3A83103D" w14:textId="77777777" w:rsidTr="00536180">
        <w:trPr>
          <w:cantSplit/>
        </w:trPr>
        <w:tc>
          <w:tcPr>
            <w:tcW w:w="463" w:type="pct"/>
            <w:tcBorders>
              <w:top w:val="single" w:sz="4" w:space="0" w:color="auto"/>
              <w:left w:val="single" w:sz="4" w:space="0" w:color="auto"/>
              <w:bottom w:val="nil"/>
              <w:right w:val="single" w:sz="4" w:space="0" w:color="auto"/>
            </w:tcBorders>
            <w:vAlign w:val="center"/>
            <w:hideMark/>
          </w:tcPr>
          <w:p w14:paraId="11B3EEB3" w14:textId="77777777" w:rsidR="00C74419" w:rsidRPr="00227BE0" w:rsidRDefault="00C74419" w:rsidP="00D425F2">
            <w:pPr>
              <w:widowControl w:val="0"/>
              <w:suppressAutoHyphens/>
              <w:rPr>
                <w:b/>
                <w:bCs/>
                <w:sz w:val="20"/>
                <w:szCs w:val="20"/>
              </w:rPr>
            </w:pPr>
            <w:r w:rsidRPr="00227BE0">
              <w:rPr>
                <w:b/>
                <w:bCs/>
                <w:sz w:val="20"/>
                <w:szCs w:val="20"/>
              </w:rPr>
              <w:t>Endpoint</w:t>
            </w:r>
          </w:p>
        </w:tc>
        <w:tc>
          <w:tcPr>
            <w:tcW w:w="278" w:type="pct"/>
            <w:tcBorders>
              <w:top w:val="nil"/>
              <w:left w:val="single" w:sz="4" w:space="0" w:color="auto"/>
              <w:bottom w:val="nil"/>
              <w:right w:val="single" w:sz="4" w:space="0" w:color="auto"/>
            </w:tcBorders>
            <w:vAlign w:val="center"/>
          </w:tcPr>
          <w:p w14:paraId="3ED8F89B" w14:textId="77777777" w:rsidR="00C74419" w:rsidRPr="00227BE0" w:rsidRDefault="00C74419" w:rsidP="00D425F2">
            <w:pPr>
              <w:keepNext/>
              <w:keepLines/>
              <w:widowControl w:val="0"/>
              <w:suppressAutoHyphens/>
              <w:rPr>
                <w:noProof/>
                <w:sz w:val="20"/>
                <w:szCs w:val="20"/>
              </w:rPr>
            </w:pPr>
          </w:p>
        </w:tc>
        <w:tc>
          <w:tcPr>
            <w:tcW w:w="286" w:type="pct"/>
            <w:tcBorders>
              <w:top w:val="single" w:sz="4" w:space="0" w:color="auto"/>
              <w:left w:val="single" w:sz="4" w:space="0" w:color="auto"/>
              <w:bottom w:val="nil"/>
              <w:right w:val="single" w:sz="4" w:space="0" w:color="auto"/>
            </w:tcBorders>
            <w:vAlign w:val="center"/>
            <w:hideMark/>
          </w:tcPr>
          <w:p w14:paraId="24C63943" w14:textId="77777777" w:rsidR="00C74419" w:rsidRPr="00227BE0" w:rsidRDefault="00C74419" w:rsidP="00D425F2">
            <w:pPr>
              <w:widowControl w:val="0"/>
              <w:suppressAutoHyphens/>
              <w:jc w:val="center"/>
              <w:rPr>
                <w:noProof/>
                <w:sz w:val="20"/>
                <w:szCs w:val="20"/>
              </w:rPr>
            </w:pPr>
            <w:r w:rsidRPr="00227BE0">
              <w:rPr>
                <w:noProof/>
                <w:sz w:val="20"/>
                <w:szCs w:val="20"/>
              </w:rPr>
              <w:t>LC</w:t>
            </w:r>
            <w:r w:rsidRPr="00227BE0">
              <w:rPr>
                <w:noProof/>
                <w:sz w:val="20"/>
                <w:szCs w:val="20"/>
                <w:vertAlign w:val="subscript"/>
              </w:rPr>
              <w:t>50</w:t>
            </w:r>
          </w:p>
        </w:tc>
        <w:tc>
          <w:tcPr>
            <w:tcW w:w="337" w:type="pct"/>
            <w:gridSpan w:val="2"/>
            <w:tcBorders>
              <w:top w:val="single" w:sz="4" w:space="0" w:color="auto"/>
              <w:left w:val="single" w:sz="4" w:space="0" w:color="auto"/>
              <w:bottom w:val="nil"/>
              <w:right w:val="single" w:sz="4" w:space="0" w:color="auto"/>
            </w:tcBorders>
            <w:vAlign w:val="center"/>
            <w:hideMark/>
          </w:tcPr>
          <w:p w14:paraId="638F88D8" w14:textId="77777777" w:rsidR="00C74419" w:rsidRPr="00227BE0" w:rsidRDefault="00C74419" w:rsidP="00D425F2">
            <w:pPr>
              <w:widowControl w:val="0"/>
              <w:suppressAutoHyphens/>
              <w:jc w:val="center"/>
              <w:rPr>
                <w:noProof/>
                <w:sz w:val="20"/>
                <w:szCs w:val="20"/>
              </w:rPr>
            </w:pPr>
            <w:r w:rsidRPr="00227BE0">
              <w:rPr>
                <w:noProof/>
                <w:sz w:val="20"/>
                <w:szCs w:val="20"/>
              </w:rPr>
              <w:t>NOEC</w:t>
            </w:r>
          </w:p>
        </w:tc>
        <w:tc>
          <w:tcPr>
            <w:tcW w:w="319" w:type="pct"/>
            <w:gridSpan w:val="2"/>
            <w:tcBorders>
              <w:top w:val="single" w:sz="4" w:space="0" w:color="auto"/>
              <w:left w:val="single" w:sz="4" w:space="0" w:color="auto"/>
              <w:bottom w:val="nil"/>
              <w:right w:val="single" w:sz="4" w:space="0" w:color="auto"/>
            </w:tcBorders>
            <w:shd w:val="clear" w:color="auto" w:fill="D9D9D9" w:themeFill="background1" w:themeFillShade="D9"/>
            <w:vAlign w:val="center"/>
          </w:tcPr>
          <w:p w14:paraId="7A1B76CF" w14:textId="00E1CBF7" w:rsidR="00C74419" w:rsidRPr="00227BE0" w:rsidRDefault="00C74419" w:rsidP="00D425F2">
            <w:pPr>
              <w:widowControl w:val="0"/>
              <w:suppressAutoHyphens/>
              <w:jc w:val="center"/>
              <w:rPr>
                <w:noProof/>
                <w:sz w:val="20"/>
                <w:szCs w:val="20"/>
              </w:rPr>
            </w:pPr>
            <w:r w:rsidRPr="00227BE0">
              <w:rPr>
                <w:noProof/>
                <w:sz w:val="20"/>
                <w:szCs w:val="20"/>
              </w:rPr>
              <w:t>EC</w:t>
            </w:r>
            <w:r w:rsidRPr="00227BE0">
              <w:rPr>
                <w:noProof/>
                <w:sz w:val="20"/>
                <w:szCs w:val="20"/>
                <w:vertAlign w:val="subscript"/>
              </w:rPr>
              <w:t>50</w:t>
            </w:r>
          </w:p>
        </w:tc>
        <w:tc>
          <w:tcPr>
            <w:tcW w:w="319" w:type="pct"/>
            <w:gridSpan w:val="2"/>
            <w:tcBorders>
              <w:top w:val="single" w:sz="4" w:space="0" w:color="auto"/>
              <w:left w:val="single" w:sz="4" w:space="0" w:color="auto"/>
              <w:bottom w:val="nil"/>
              <w:right w:val="single" w:sz="4" w:space="0" w:color="auto"/>
            </w:tcBorders>
            <w:vAlign w:val="center"/>
            <w:hideMark/>
          </w:tcPr>
          <w:p w14:paraId="1481A794" w14:textId="2AF7A902" w:rsidR="00C74419" w:rsidRPr="00227BE0" w:rsidRDefault="00C74419" w:rsidP="00D425F2">
            <w:pPr>
              <w:widowControl w:val="0"/>
              <w:suppressAutoHyphens/>
              <w:jc w:val="center"/>
              <w:rPr>
                <w:noProof/>
                <w:sz w:val="20"/>
                <w:szCs w:val="20"/>
              </w:rPr>
            </w:pPr>
            <w:r w:rsidRPr="00227BE0">
              <w:rPr>
                <w:noProof/>
                <w:sz w:val="20"/>
                <w:szCs w:val="20"/>
              </w:rPr>
              <w:t>EC</w:t>
            </w:r>
            <w:r w:rsidRPr="00227BE0">
              <w:rPr>
                <w:noProof/>
                <w:sz w:val="20"/>
                <w:szCs w:val="20"/>
                <w:vertAlign w:val="subscript"/>
              </w:rPr>
              <w:t>50</w:t>
            </w:r>
          </w:p>
        </w:tc>
        <w:tc>
          <w:tcPr>
            <w:tcW w:w="337" w:type="pct"/>
            <w:tcBorders>
              <w:top w:val="single" w:sz="4" w:space="0" w:color="auto"/>
              <w:left w:val="single" w:sz="4" w:space="0" w:color="auto"/>
              <w:bottom w:val="nil"/>
              <w:right w:val="single" w:sz="4" w:space="0" w:color="auto"/>
            </w:tcBorders>
            <w:vAlign w:val="center"/>
            <w:hideMark/>
          </w:tcPr>
          <w:p w14:paraId="4D069BD3" w14:textId="77777777" w:rsidR="00C74419" w:rsidRPr="00227BE0" w:rsidRDefault="00C74419" w:rsidP="00D425F2">
            <w:pPr>
              <w:widowControl w:val="0"/>
              <w:suppressAutoHyphens/>
              <w:jc w:val="center"/>
              <w:rPr>
                <w:noProof/>
                <w:sz w:val="20"/>
                <w:szCs w:val="20"/>
              </w:rPr>
            </w:pPr>
            <w:r w:rsidRPr="00227BE0">
              <w:rPr>
                <w:noProof/>
                <w:sz w:val="20"/>
                <w:szCs w:val="20"/>
              </w:rPr>
              <w:t>NOEC</w:t>
            </w:r>
          </w:p>
        </w:tc>
        <w:tc>
          <w:tcPr>
            <w:tcW w:w="405" w:type="pct"/>
            <w:tcBorders>
              <w:top w:val="single" w:sz="4" w:space="0" w:color="auto"/>
              <w:left w:val="single" w:sz="4" w:space="0" w:color="auto"/>
              <w:bottom w:val="nil"/>
              <w:right w:val="single" w:sz="4" w:space="0" w:color="auto"/>
            </w:tcBorders>
            <w:vAlign w:val="center"/>
            <w:hideMark/>
          </w:tcPr>
          <w:p w14:paraId="1194DD4C"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noProof/>
                <w:color w:val="D9D9D9" w:themeColor="background1" w:themeShade="D9"/>
                <w:sz w:val="20"/>
                <w:szCs w:val="20"/>
              </w:rPr>
              <w:t>EC</w:t>
            </w:r>
            <w:r w:rsidRPr="00C74419">
              <w:rPr>
                <w:strike/>
                <w:noProof/>
                <w:color w:val="D9D9D9" w:themeColor="background1" w:themeShade="D9"/>
                <w:sz w:val="20"/>
                <w:szCs w:val="20"/>
                <w:vertAlign w:val="subscript"/>
              </w:rPr>
              <w:t>50</w:t>
            </w:r>
          </w:p>
        </w:tc>
        <w:tc>
          <w:tcPr>
            <w:tcW w:w="374" w:type="pct"/>
            <w:tcBorders>
              <w:top w:val="single" w:sz="4" w:space="0" w:color="auto"/>
              <w:left w:val="single" w:sz="4" w:space="0" w:color="auto"/>
              <w:bottom w:val="nil"/>
              <w:right w:val="single" w:sz="4" w:space="0" w:color="auto"/>
            </w:tcBorders>
            <w:shd w:val="clear" w:color="auto" w:fill="D9D9D9" w:themeFill="background1" w:themeFillShade="D9"/>
            <w:vAlign w:val="center"/>
          </w:tcPr>
          <w:p w14:paraId="032C4596" w14:textId="00C60ABE" w:rsidR="00C74419" w:rsidRPr="00227BE0" w:rsidRDefault="00536180" w:rsidP="00D425F2">
            <w:pPr>
              <w:widowControl w:val="0"/>
              <w:suppressAutoHyphens/>
              <w:jc w:val="center"/>
              <w:rPr>
                <w:noProof/>
                <w:sz w:val="20"/>
                <w:szCs w:val="20"/>
              </w:rPr>
            </w:pPr>
            <w:r w:rsidRPr="00277492">
              <w:rPr>
                <w:szCs w:val="20"/>
                <w:lang w:val="en-GB"/>
              </w:rPr>
              <w:t>E</w:t>
            </w:r>
            <w:r w:rsidRPr="00277492">
              <w:rPr>
                <w:szCs w:val="20"/>
                <w:vertAlign w:val="subscript"/>
                <w:lang w:val="en-GB"/>
              </w:rPr>
              <w:t>r</w:t>
            </w:r>
            <w:r w:rsidRPr="00277492">
              <w:rPr>
                <w:szCs w:val="20"/>
                <w:lang w:val="en-GB"/>
              </w:rPr>
              <w:t>C</w:t>
            </w:r>
            <w:r w:rsidRPr="00277492">
              <w:rPr>
                <w:szCs w:val="20"/>
                <w:vertAlign w:val="subscript"/>
                <w:lang w:val="en-GB"/>
              </w:rPr>
              <w:t>50</w:t>
            </w:r>
          </w:p>
        </w:tc>
        <w:tc>
          <w:tcPr>
            <w:tcW w:w="374" w:type="pct"/>
            <w:tcBorders>
              <w:top w:val="single" w:sz="4" w:space="0" w:color="auto"/>
              <w:left w:val="single" w:sz="4" w:space="0" w:color="auto"/>
              <w:bottom w:val="nil"/>
              <w:right w:val="single" w:sz="4" w:space="0" w:color="auto"/>
            </w:tcBorders>
            <w:vAlign w:val="center"/>
            <w:hideMark/>
          </w:tcPr>
          <w:p w14:paraId="16FA78D0" w14:textId="3F2ED849" w:rsidR="00C74419" w:rsidRPr="00227BE0" w:rsidRDefault="00C74419" w:rsidP="00D425F2">
            <w:pPr>
              <w:widowControl w:val="0"/>
              <w:suppressAutoHyphens/>
              <w:jc w:val="center"/>
              <w:rPr>
                <w:noProof/>
                <w:sz w:val="20"/>
                <w:szCs w:val="20"/>
              </w:rPr>
            </w:pPr>
            <w:r w:rsidRPr="00227BE0">
              <w:rPr>
                <w:noProof/>
                <w:sz w:val="20"/>
                <w:szCs w:val="20"/>
              </w:rPr>
              <w:t>EC</w:t>
            </w:r>
            <w:r w:rsidRPr="00227BE0">
              <w:rPr>
                <w:noProof/>
                <w:sz w:val="20"/>
                <w:szCs w:val="20"/>
                <w:vertAlign w:val="subscript"/>
              </w:rPr>
              <w:t>50</w:t>
            </w:r>
          </w:p>
        </w:tc>
        <w:tc>
          <w:tcPr>
            <w:tcW w:w="357" w:type="pct"/>
            <w:tcBorders>
              <w:top w:val="single" w:sz="4" w:space="0" w:color="auto"/>
              <w:left w:val="single" w:sz="4" w:space="0" w:color="auto"/>
              <w:bottom w:val="nil"/>
              <w:right w:val="single" w:sz="4" w:space="0" w:color="auto"/>
            </w:tcBorders>
          </w:tcPr>
          <w:p w14:paraId="21F992FD" w14:textId="77777777" w:rsidR="00C74419" w:rsidRPr="00227BE0" w:rsidRDefault="00C74419" w:rsidP="00D425F2">
            <w:pPr>
              <w:keepNext/>
              <w:keepLines/>
              <w:widowControl w:val="0"/>
              <w:suppressAutoHyphens/>
              <w:jc w:val="center"/>
              <w:rPr>
                <w:b/>
                <w:noProof/>
                <w:sz w:val="20"/>
                <w:szCs w:val="20"/>
              </w:rPr>
            </w:pPr>
            <w:r w:rsidRPr="00227BE0">
              <w:rPr>
                <w:noProof/>
                <w:sz w:val="20"/>
                <w:szCs w:val="20"/>
              </w:rPr>
              <w:t>NOEC</w:t>
            </w:r>
          </w:p>
        </w:tc>
        <w:tc>
          <w:tcPr>
            <w:tcW w:w="406" w:type="pct"/>
            <w:tcBorders>
              <w:top w:val="single" w:sz="4" w:space="0" w:color="auto"/>
              <w:left w:val="single" w:sz="4" w:space="0" w:color="auto"/>
              <w:bottom w:val="nil"/>
              <w:right w:val="single" w:sz="4" w:space="0" w:color="auto"/>
            </w:tcBorders>
            <w:vAlign w:val="center"/>
          </w:tcPr>
          <w:p w14:paraId="7E88BC10" w14:textId="77777777" w:rsidR="00C74419" w:rsidRPr="00227BE0" w:rsidRDefault="00C74419" w:rsidP="00D425F2">
            <w:pPr>
              <w:keepNext/>
              <w:keepLines/>
              <w:widowControl w:val="0"/>
              <w:suppressAutoHyphens/>
              <w:jc w:val="center"/>
              <w:rPr>
                <w:noProof/>
                <w:sz w:val="20"/>
                <w:szCs w:val="20"/>
              </w:rPr>
            </w:pPr>
            <w:r w:rsidRPr="00227BE0">
              <w:rPr>
                <w:noProof/>
                <w:sz w:val="20"/>
                <w:szCs w:val="20"/>
              </w:rPr>
              <w:t>NOAEC</w:t>
            </w:r>
          </w:p>
        </w:tc>
        <w:tc>
          <w:tcPr>
            <w:tcW w:w="401" w:type="pct"/>
            <w:gridSpan w:val="3"/>
            <w:tcBorders>
              <w:top w:val="single" w:sz="4" w:space="0" w:color="auto"/>
              <w:left w:val="single" w:sz="4" w:space="0" w:color="auto"/>
              <w:bottom w:val="nil"/>
              <w:right w:val="single" w:sz="4" w:space="0" w:color="auto"/>
            </w:tcBorders>
            <w:vAlign w:val="center"/>
            <w:hideMark/>
          </w:tcPr>
          <w:p w14:paraId="5EA3AEF1" w14:textId="77777777" w:rsidR="00C74419" w:rsidRPr="00227BE0" w:rsidRDefault="00C74419" w:rsidP="00D425F2">
            <w:pPr>
              <w:keepNext/>
              <w:keepLines/>
              <w:widowControl w:val="0"/>
              <w:suppressAutoHyphens/>
              <w:rPr>
                <w:noProof/>
                <w:sz w:val="20"/>
                <w:szCs w:val="20"/>
              </w:rPr>
            </w:pPr>
            <w:r w:rsidRPr="00227BE0">
              <w:rPr>
                <w:b/>
                <w:noProof/>
                <w:sz w:val="20"/>
                <w:szCs w:val="20"/>
              </w:rPr>
              <w:t>Endpoint</w:t>
            </w:r>
          </w:p>
        </w:tc>
        <w:tc>
          <w:tcPr>
            <w:tcW w:w="345" w:type="pct"/>
            <w:gridSpan w:val="2"/>
            <w:tcBorders>
              <w:top w:val="single" w:sz="4" w:space="0" w:color="auto"/>
              <w:left w:val="single" w:sz="4" w:space="0" w:color="auto"/>
              <w:bottom w:val="nil"/>
              <w:right w:val="single" w:sz="4" w:space="0" w:color="auto"/>
            </w:tcBorders>
            <w:hideMark/>
          </w:tcPr>
          <w:p w14:paraId="487B3A94" w14:textId="77777777" w:rsidR="00C74419" w:rsidRPr="00227BE0" w:rsidRDefault="00C74419" w:rsidP="00D425F2">
            <w:pPr>
              <w:widowControl w:val="0"/>
              <w:suppressAutoHyphens/>
              <w:jc w:val="center"/>
              <w:rPr>
                <w:noProof/>
                <w:sz w:val="20"/>
                <w:szCs w:val="20"/>
              </w:rPr>
            </w:pPr>
            <w:r w:rsidRPr="00227BE0">
              <w:rPr>
                <w:noProof/>
                <w:sz w:val="20"/>
                <w:szCs w:val="20"/>
              </w:rPr>
              <w:t>NOEC</w:t>
            </w:r>
          </w:p>
        </w:tc>
      </w:tr>
      <w:tr w:rsidR="00C74419" w:rsidRPr="00227BE0" w14:paraId="3F5D2555" w14:textId="77777777" w:rsidTr="00536180">
        <w:trPr>
          <w:cantSplit/>
        </w:trPr>
        <w:tc>
          <w:tcPr>
            <w:tcW w:w="463" w:type="pct"/>
            <w:tcBorders>
              <w:top w:val="nil"/>
              <w:left w:val="single" w:sz="4" w:space="0" w:color="auto"/>
              <w:bottom w:val="single" w:sz="4" w:space="0" w:color="auto"/>
              <w:right w:val="single" w:sz="4" w:space="0" w:color="auto"/>
            </w:tcBorders>
            <w:vAlign w:val="center"/>
            <w:hideMark/>
          </w:tcPr>
          <w:p w14:paraId="5112D125" w14:textId="77777777" w:rsidR="00C74419" w:rsidRPr="00227BE0" w:rsidRDefault="00C74419" w:rsidP="00D425F2">
            <w:pPr>
              <w:widowControl w:val="0"/>
              <w:suppressAutoHyphens/>
              <w:rPr>
                <w:b/>
                <w:bCs/>
                <w:sz w:val="20"/>
                <w:szCs w:val="20"/>
              </w:rPr>
            </w:pPr>
            <w:r w:rsidRPr="00227BE0">
              <w:rPr>
                <w:b/>
                <w:bCs/>
                <w:sz w:val="20"/>
                <w:szCs w:val="20"/>
              </w:rPr>
              <w:t>(µg/L)</w:t>
            </w:r>
          </w:p>
        </w:tc>
        <w:tc>
          <w:tcPr>
            <w:tcW w:w="278" w:type="pct"/>
            <w:tcBorders>
              <w:top w:val="nil"/>
              <w:left w:val="single" w:sz="4" w:space="0" w:color="auto"/>
              <w:bottom w:val="nil"/>
              <w:right w:val="single" w:sz="4" w:space="0" w:color="auto"/>
            </w:tcBorders>
            <w:vAlign w:val="center"/>
          </w:tcPr>
          <w:p w14:paraId="59EE623D" w14:textId="77777777" w:rsidR="00C74419" w:rsidRPr="00227BE0" w:rsidRDefault="00C74419" w:rsidP="00D425F2">
            <w:pPr>
              <w:keepNext/>
              <w:keepLines/>
              <w:widowControl w:val="0"/>
              <w:suppressAutoHyphens/>
              <w:rPr>
                <w:noProof/>
                <w:sz w:val="20"/>
                <w:szCs w:val="20"/>
              </w:rPr>
            </w:pPr>
          </w:p>
        </w:tc>
        <w:tc>
          <w:tcPr>
            <w:tcW w:w="286" w:type="pct"/>
            <w:tcBorders>
              <w:top w:val="nil"/>
              <w:left w:val="single" w:sz="4" w:space="0" w:color="auto"/>
              <w:bottom w:val="single" w:sz="4" w:space="0" w:color="auto"/>
              <w:right w:val="single" w:sz="4" w:space="0" w:color="auto"/>
            </w:tcBorders>
            <w:vAlign w:val="center"/>
            <w:hideMark/>
          </w:tcPr>
          <w:p w14:paraId="293BAA49" w14:textId="77777777" w:rsidR="00C74419" w:rsidRPr="00227BE0" w:rsidRDefault="00C74419" w:rsidP="00D425F2">
            <w:pPr>
              <w:widowControl w:val="0"/>
              <w:suppressAutoHyphens/>
              <w:jc w:val="center"/>
              <w:rPr>
                <w:noProof/>
                <w:sz w:val="20"/>
                <w:szCs w:val="20"/>
              </w:rPr>
            </w:pPr>
            <w:r w:rsidRPr="00227BE0">
              <w:rPr>
                <w:noProof/>
                <w:sz w:val="20"/>
                <w:szCs w:val="20"/>
              </w:rPr>
              <w:t>470</w:t>
            </w:r>
          </w:p>
        </w:tc>
        <w:tc>
          <w:tcPr>
            <w:tcW w:w="337" w:type="pct"/>
            <w:gridSpan w:val="2"/>
            <w:tcBorders>
              <w:top w:val="nil"/>
              <w:left w:val="single" w:sz="4" w:space="0" w:color="auto"/>
              <w:bottom w:val="single" w:sz="4" w:space="0" w:color="auto"/>
              <w:right w:val="single" w:sz="4" w:space="0" w:color="auto"/>
            </w:tcBorders>
            <w:vAlign w:val="center"/>
            <w:hideMark/>
          </w:tcPr>
          <w:p w14:paraId="71006A1D" w14:textId="77777777" w:rsidR="00C74419" w:rsidRPr="00227BE0" w:rsidRDefault="00C74419" w:rsidP="00D425F2">
            <w:pPr>
              <w:widowControl w:val="0"/>
              <w:suppressAutoHyphens/>
              <w:jc w:val="center"/>
              <w:rPr>
                <w:noProof/>
                <w:sz w:val="20"/>
                <w:szCs w:val="20"/>
              </w:rPr>
            </w:pPr>
            <w:r w:rsidRPr="00227BE0">
              <w:rPr>
                <w:noProof/>
                <w:sz w:val="20"/>
                <w:szCs w:val="20"/>
              </w:rPr>
              <w:t>147</w:t>
            </w:r>
          </w:p>
        </w:tc>
        <w:tc>
          <w:tcPr>
            <w:tcW w:w="319" w:type="pct"/>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7AD5F7C1" w14:textId="3E0F27AF" w:rsidR="00C74419" w:rsidRPr="00227BE0" w:rsidRDefault="00C74419" w:rsidP="00D425F2">
            <w:pPr>
              <w:widowControl w:val="0"/>
              <w:suppressAutoHyphens/>
              <w:jc w:val="center"/>
              <w:rPr>
                <w:noProof/>
                <w:sz w:val="20"/>
                <w:szCs w:val="20"/>
              </w:rPr>
            </w:pPr>
            <w:r>
              <w:rPr>
                <w:noProof/>
                <w:sz w:val="20"/>
                <w:szCs w:val="20"/>
              </w:rPr>
              <w:t>55</w:t>
            </w:r>
          </w:p>
        </w:tc>
        <w:tc>
          <w:tcPr>
            <w:tcW w:w="319" w:type="pct"/>
            <w:gridSpan w:val="2"/>
            <w:tcBorders>
              <w:top w:val="nil"/>
              <w:left w:val="single" w:sz="4" w:space="0" w:color="auto"/>
              <w:bottom w:val="single" w:sz="4" w:space="0" w:color="auto"/>
              <w:right w:val="single" w:sz="4" w:space="0" w:color="auto"/>
            </w:tcBorders>
            <w:vAlign w:val="center"/>
            <w:hideMark/>
          </w:tcPr>
          <w:p w14:paraId="37F3D232" w14:textId="00B35524" w:rsidR="00C74419" w:rsidRPr="00227BE0" w:rsidRDefault="00C74419" w:rsidP="00D425F2">
            <w:pPr>
              <w:widowControl w:val="0"/>
              <w:suppressAutoHyphens/>
              <w:jc w:val="center"/>
              <w:rPr>
                <w:noProof/>
                <w:sz w:val="20"/>
                <w:szCs w:val="20"/>
              </w:rPr>
            </w:pPr>
            <w:r w:rsidRPr="00227BE0">
              <w:rPr>
                <w:noProof/>
                <w:sz w:val="20"/>
                <w:szCs w:val="20"/>
              </w:rPr>
              <w:t>230</w:t>
            </w:r>
          </w:p>
        </w:tc>
        <w:tc>
          <w:tcPr>
            <w:tcW w:w="337" w:type="pct"/>
            <w:tcBorders>
              <w:top w:val="nil"/>
              <w:left w:val="single" w:sz="4" w:space="0" w:color="auto"/>
              <w:bottom w:val="single" w:sz="4" w:space="0" w:color="auto"/>
              <w:right w:val="single" w:sz="4" w:space="0" w:color="auto"/>
            </w:tcBorders>
            <w:vAlign w:val="center"/>
            <w:hideMark/>
          </w:tcPr>
          <w:p w14:paraId="1FD3A527" w14:textId="77777777" w:rsidR="00C74419" w:rsidRPr="00227BE0" w:rsidRDefault="00C74419" w:rsidP="00D425F2">
            <w:pPr>
              <w:widowControl w:val="0"/>
              <w:suppressAutoHyphens/>
              <w:jc w:val="center"/>
              <w:rPr>
                <w:noProof/>
                <w:sz w:val="20"/>
                <w:szCs w:val="20"/>
              </w:rPr>
            </w:pPr>
            <w:r w:rsidRPr="00227BE0">
              <w:rPr>
                <w:noProof/>
                <w:sz w:val="20"/>
                <w:szCs w:val="20"/>
              </w:rPr>
              <w:t>44</w:t>
            </w:r>
          </w:p>
        </w:tc>
        <w:tc>
          <w:tcPr>
            <w:tcW w:w="405" w:type="pct"/>
            <w:tcBorders>
              <w:top w:val="nil"/>
              <w:left w:val="single" w:sz="4" w:space="0" w:color="auto"/>
              <w:bottom w:val="single" w:sz="4" w:space="0" w:color="auto"/>
              <w:right w:val="single" w:sz="4" w:space="0" w:color="auto"/>
            </w:tcBorders>
            <w:vAlign w:val="center"/>
            <w:hideMark/>
          </w:tcPr>
          <w:p w14:paraId="15738C9B"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noProof/>
                <w:color w:val="D9D9D9" w:themeColor="background1" w:themeShade="D9"/>
                <w:sz w:val="20"/>
                <w:szCs w:val="20"/>
              </w:rPr>
              <w:t>63</w:t>
            </w:r>
          </w:p>
        </w:tc>
        <w:tc>
          <w:tcPr>
            <w:tcW w:w="374"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402024F9" w14:textId="1BED944E" w:rsidR="00C74419" w:rsidRPr="00227BE0" w:rsidRDefault="00536180" w:rsidP="00D425F2">
            <w:pPr>
              <w:widowControl w:val="0"/>
              <w:suppressAutoHyphens/>
              <w:jc w:val="center"/>
              <w:rPr>
                <w:noProof/>
                <w:sz w:val="20"/>
                <w:szCs w:val="20"/>
              </w:rPr>
            </w:pPr>
            <w:r>
              <w:rPr>
                <w:noProof/>
                <w:sz w:val="20"/>
                <w:szCs w:val="20"/>
              </w:rPr>
              <w:t>146</w:t>
            </w:r>
          </w:p>
        </w:tc>
        <w:tc>
          <w:tcPr>
            <w:tcW w:w="374" w:type="pct"/>
            <w:tcBorders>
              <w:top w:val="nil"/>
              <w:left w:val="single" w:sz="4" w:space="0" w:color="auto"/>
              <w:bottom w:val="single" w:sz="4" w:space="0" w:color="auto"/>
              <w:right w:val="single" w:sz="4" w:space="0" w:color="auto"/>
            </w:tcBorders>
            <w:vAlign w:val="center"/>
            <w:hideMark/>
          </w:tcPr>
          <w:p w14:paraId="0CE5DC12" w14:textId="0987F71F" w:rsidR="00C74419" w:rsidRPr="00227BE0" w:rsidRDefault="00C74419" w:rsidP="00D425F2">
            <w:pPr>
              <w:widowControl w:val="0"/>
              <w:suppressAutoHyphens/>
              <w:jc w:val="center"/>
              <w:rPr>
                <w:noProof/>
                <w:sz w:val="20"/>
                <w:szCs w:val="20"/>
              </w:rPr>
            </w:pPr>
            <w:r w:rsidRPr="00227BE0">
              <w:rPr>
                <w:noProof/>
                <w:sz w:val="20"/>
                <w:szCs w:val="20"/>
              </w:rPr>
              <w:t>3200</w:t>
            </w:r>
          </w:p>
        </w:tc>
        <w:tc>
          <w:tcPr>
            <w:tcW w:w="357" w:type="pct"/>
            <w:tcBorders>
              <w:top w:val="nil"/>
              <w:left w:val="single" w:sz="4" w:space="0" w:color="auto"/>
              <w:bottom w:val="single" w:sz="4" w:space="0" w:color="auto"/>
              <w:right w:val="single" w:sz="4" w:space="0" w:color="auto"/>
            </w:tcBorders>
          </w:tcPr>
          <w:p w14:paraId="69385622" w14:textId="77777777" w:rsidR="00C74419" w:rsidRPr="00227BE0" w:rsidRDefault="00C74419" w:rsidP="00D425F2">
            <w:pPr>
              <w:keepNext/>
              <w:keepLines/>
              <w:widowControl w:val="0"/>
              <w:suppressAutoHyphens/>
              <w:jc w:val="center"/>
              <w:rPr>
                <w:b/>
                <w:noProof/>
                <w:sz w:val="20"/>
                <w:szCs w:val="20"/>
              </w:rPr>
            </w:pPr>
            <w:r w:rsidRPr="00227BE0">
              <w:rPr>
                <w:noProof/>
                <w:sz w:val="20"/>
                <w:szCs w:val="20"/>
              </w:rPr>
              <w:t>800</w:t>
            </w:r>
          </w:p>
        </w:tc>
        <w:tc>
          <w:tcPr>
            <w:tcW w:w="406" w:type="pct"/>
            <w:tcBorders>
              <w:top w:val="nil"/>
              <w:left w:val="single" w:sz="4" w:space="0" w:color="auto"/>
              <w:bottom w:val="single" w:sz="4" w:space="0" w:color="auto"/>
              <w:right w:val="single" w:sz="4" w:space="0" w:color="auto"/>
            </w:tcBorders>
            <w:vAlign w:val="center"/>
          </w:tcPr>
          <w:p w14:paraId="314D4E03" w14:textId="77777777" w:rsidR="00C74419" w:rsidRPr="00227BE0" w:rsidRDefault="00C74419" w:rsidP="00D425F2">
            <w:pPr>
              <w:keepNext/>
              <w:keepLines/>
              <w:widowControl w:val="0"/>
              <w:suppressAutoHyphens/>
              <w:jc w:val="center"/>
              <w:rPr>
                <w:noProof/>
                <w:sz w:val="20"/>
                <w:szCs w:val="20"/>
              </w:rPr>
            </w:pPr>
            <w:r w:rsidRPr="00227BE0">
              <w:rPr>
                <w:noProof/>
                <w:sz w:val="20"/>
                <w:szCs w:val="20"/>
              </w:rPr>
              <w:t>10</w:t>
            </w:r>
          </w:p>
        </w:tc>
        <w:tc>
          <w:tcPr>
            <w:tcW w:w="401" w:type="pct"/>
            <w:gridSpan w:val="3"/>
            <w:tcBorders>
              <w:top w:val="nil"/>
              <w:left w:val="single" w:sz="4" w:space="0" w:color="auto"/>
              <w:bottom w:val="single" w:sz="4" w:space="0" w:color="auto"/>
              <w:right w:val="single" w:sz="4" w:space="0" w:color="auto"/>
            </w:tcBorders>
            <w:vAlign w:val="center"/>
            <w:hideMark/>
          </w:tcPr>
          <w:p w14:paraId="7DB6A5FF" w14:textId="77777777" w:rsidR="00C74419" w:rsidRPr="00227BE0" w:rsidRDefault="00C74419" w:rsidP="00D425F2">
            <w:pPr>
              <w:keepNext/>
              <w:keepLines/>
              <w:widowControl w:val="0"/>
              <w:suppressAutoHyphens/>
              <w:rPr>
                <w:noProof/>
                <w:sz w:val="20"/>
                <w:szCs w:val="20"/>
              </w:rPr>
            </w:pPr>
            <w:r w:rsidRPr="00227BE0">
              <w:rPr>
                <w:b/>
                <w:noProof/>
                <w:sz w:val="20"/>
                <w:szCs w:val="20"/>
              </w:rPr>
              <w:t>(µg/kg)</w:t>
            </w:r>
          </w:p>
        </w:tc>
        <w:tc>
          <w:tcPr>
            <w:tcW w:w="345" w:type="pct"/>
            <w:gridSpan w:val="2"/>
            <w:tcBorders>
              <w:top w:val="nil"/>
              <w:left w:val="single" w:sz="4" w:space="0" w:color="auto"/>
              <w:bottom w:val="single" w:sz="4" w:space="0" w:color="auto"/>
              <w:right w:val="single" w:sz="4" w:space="0" w:color="auto"/>
            </w:tcBorders>
            <w:hideMark/>
          </w:tcPr>
          <w:p w14:paraId="630B30D4" w14:textId="77777777" w:rsidR="00C74419" w:rsidRPr="00227BE0" w:rsidRDefault="00C74419" w:rsidP="00D425F2">
            <w:pPr>
              <w:widowControl w:val="0"/>
              <w:suppressAutoHyphens/>
              <w:jc w:val="center"/>
              <w:rPr>
                <w:noProof/>
                <w:sz w:val="20"/>
                <w:szCs w:val="20"/>
              </w:rPr>
            </w:pPr>
            <w:r w:rsidRPr="00227BE0">
              <w:rPr>
                <w:noProof/>
                <w:sz w:val="20"/>
                <w:szCs w:val="20"/>
              </w:rPr>
              <w:t>23000</w:t>
            </w:r>
          </w:p>
        </w:tc>
      </w:tr>
      <w:tr w:rsidR="00C74419" w:rsidRPr="00227BE0" w14:paraId="016290A2" w14:textId="77777777" w:rsidTr="00536180">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736E126E" w14:textId="77777777" w:rsidR="00C74419" w:rsidRPr="00227BE0" w:rsidRDefault="00C74419" w:rsidP="00D425F2">
            <w:pPr>
              <w:widowControl w:val="0"/>
              <w:suppressAutoHyphens/>
              <w:rPr>
                <w:b/>
                <w:bCs/>
                <w:sz w:val="20"/>
                <w:szCs w:val="20"/>
              </w:rPr>
            </w:pPr>
            <w:r w:rsidRPr="00227BE0">
              <w:rPr>
                <w:b/>
                <w:bCs/>
                <w:sz w:val="20"/>
                <w:szCs w:val="20"/>
              </w:rPr>
              <w:t>AF</w:t>
            </w:r>
          </w:p>
        </w:tc>
        <w:tc>
          <w:tcPr>
            <w:tcW w:w="278" w:type="pct"/>
            <w:tcBorders>
              <w:top w:val="nil"/>
              <w:left w:val="single" w:sz="4" w:space="0" w:color="auto"/>
              <w:bottom w:val="nil"/>
              <w:right w:val="single" w:sz="4" w:space="0" w:color="auto"/>
            </w:tcBorders>
            <w:vAlign w:val="center"/>
          </w:tcPr>
          <w:p w14:paraId="60C5FD05" w14:textId="77777777" w:rsidR="00C74419" w:rsidRPr="00227BE0" w:rsidRDefault="00C74419" w:rsidP="00D425F2">
            <w:pPr>
              <w:keepNext/>
              <w:keepLines/>
              <w:widowControl w:val="0"/>
              <w:suppressAutoHyphens/>
              <w:rPr>
                <w:noProof/>
                <w:sz w:val="20"/>
                <w:szCs w:val="20"/>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26889AC9" w14:textId="77777777" w:rsidR="00C74419" w:rsidRPr="00227BE0" w:rsidRDefault="00C74419" w:rsidP="00D425F2">
            <w:pPr>
              <w:widowControl w:val="0"/>
              <w:suppressAutoHyphens/>
              <w:jc w:val="center"/>
              <w:rPr>
                <w:noProof/>
                <w:sz w:val="20"/>
                <w:szCs w:val="20"/>
              </w:rPr>
            </w:pPr>
            <w:r w:rsidRPr="00227BE0">
              <w:rPr>
                <w:noProof/>
                <w:sz w:val="20"/>
                <w:szCs w:val="20"/>
              </w:rPr>
              <w:t>100</w:t>
            </w:r>
          </w:p>
        </w:tc>
        <w:tc>
          <w:tcPr>
            <w:tcW w:w="337" w:type="pct"/>
            <w:gridSpan w:val="2"/>
            <w:tcBorders>
              <w:top w:val="single" w:sz="4" w:space="0" w:color="auto"/>
              <w:left w:val="single" w:sz="4" w:space="0" w:color="auto"/>
              <w:bottom w:val="single" w:sz="4" w:space="0" w:color="auto"/>
              <w:right w:val="single" w:sz="4" w:space="0" w:color="auto"/>
            </w:tcBorders>
            <w:vAlign w:val="center"/>
            <w:hideMark/>
          </w:tcPr>
          <w:p w14:paraId="61A6CF0F" w14:textId="77777777" w:rsidR="00C74419" w:rsidRPr="00227BE0" w:rsidRDefault="00C74419" w:rsidP="00D425F2">
            <w:pPr>
              <w:widowControl w:val="0"/>
              <w:suppressAutoHyphens/>
              <w:jc w:val="center"/>
              <w:rPr>
                <w:noProof/>
                <w:sz w:val="20"/>
                <w:szCs w:val="20"/>
              </w:rPr>
            </w:pPr>
            <w:r w:rsidRPr="00227BE0">
              <w:rPr>
                <w:noProof/>
                <w:sz w:val="20"/>
                <w:szCs w:val="20"/>
              </w:rPr>
              <w:t>10</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778FCF" w14:textId="36EB7BA0" w:rsidR="00C74419" w:rsidRPr="00227BE0" w:rsidRDefault="00C74419" w:rsidP="00D425F2">
            <w:pPr>
              <w:widowControl w:val="0"/>
              <w:suppressAutoHyphens/>
              <w:jc w:val="center"/>
              <w:rPr>
                <w:noProof/>
                <w:sz w:val="20"/>
                <w:szCs w:val="20"/>
              </w:rPr>
            </w:pPr>
            <w:r w:rsidRPr="00227BE0">
              <w:rPr>
                <w:noProof/>
                <w:sz w:val="20"/>
                <w:szCs w:val="20"/>
              </w:rPr>
              <w:t>100</w:t>
            </w:r>
          </w:p>
        </w:tc>
        <w:tc>
          <w:tcPr>
            <w:tcW w:w="319" w:type="pct"/>
            <w:gridSpan w:val="2"/>
            <w:tcBorders>
              <w:top w:val="single" w:sz="4" w:space="0" w:color="auto"/>
              <w:left w:val="single" w:sz="4" w:space="0" w:color="auto"/>
              <w:bottom w:val="single" w:sz="4" w:space="0" w:color="auto"/>
              <w:right w:val="single" w:sz="4" w:space="0" w:color="auto"/>
            </w:tcBorders>
            <w:vAlign w:val="center"/>
            <w:hideMark/>
          </w:tcPr>
          <w:p w14:paraId="57625B93" w14:textId="71EF32AA" w:rsidR="00C74419" w:rsidRPr="00227BE0" w:rsidRDefault="00C74419" w:rsidP="00D425F2">
            <w:pPr>
              <w:widowControl w:val="0"/>
              <w:suppressAutoHyphens/>
              <w:jc w:val="center"/>
              <w:rPr>
                <w:noProof/>
                <w:sz w:val="20"/>
                <w:szCs w:val="20"/>
              </w:rPr>
            </w:pPr>
            <w:r w:rsidRPr="00227BE0">
              <w:rPr>
                <w:noProof/>
                <w:sz w:val="20"/>
                <w:szCs w:val="20"/>
              </w:rPr>
              <w:t>100</w:t>
            </w:r>
          </w:p>
        </w:tc>
        <w:tc>
          <w:tcPr>
            <w:tcW w:w="337" w:type="pct"/>
            <w:tcBorders>
              <w:top w:val="single" w:sz="4" w:space="0" w:color="auto"/>
              <w:left w:val="single" w:sz="4" w:space="0" w:color="auto"/>
              <w:bottom w:val="single" w:sz="4" w:space="0" w:color="auto"/>
              <w:right w:val="single" w:sz="4" w:space="0" w:color="auto"/>
            </w:tcBorders>
            <w:vAlign w:val="center"/>
            <w:hideMark/>
          </w:tcPr>
          <w:p w14:paraId="735FEA2B" w14:textId="77777777" w:rsidR="00C74419" w:rsidRPr="00227BE0" w:rsidRDefault="00C74419" w:rsidP="00D425F2">
            <w:pPr>
              <w:widowControl w:val="0"/>
              <w:suppressAutoHyphens/>
              <w:jc w:val="center"/>
              <w:rPr>
                <w:noProof/>
                <w:sz w:val="20"/>
                <w:szCs w:val="20"/>
              </w:rPr>
            </w:pPr>
            <w:r w:rsidRPr="00227BE0">
              <w:rPr>
                <w:noProof/>
                <w:sz w:val="20"/>
                <w:szCs w:val="20"/>
              </w:rPr>
              <w:t>10</w:t>
            </w:r>
          </w:p>
        </w:tc>
        <w:tc>
          <w:tcPr>
            <w:tcW w:w="405" w:type="pct"/>
            <w:tcBorders>
              <w:top w:val="single" w:sz="4" w:space="0" w:color="auto"/>
              <w:left w:val="single" w:sz="4" w:space="0" w:color="auto"/>
              <w:bottom w:val="single" w:sz="4" w:space="0" w:color="auto"/>
              <w:right w:val="single" w:sz="4" w:space="0" w:color="auto"/>
            </w:tcBorders>
            <w:vAlign w:val="center"/>
            <w:hideMark/>
          </w:tcPr>
          <w:p w14:paraId="41A776AC"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noProof/>
                <w:color w:val="D9D9D9" w:themeColor="background1" w:themeShade="D9"/>
                <w:sz w:val="20"/>
                <w:szCs w:val="20"/>
              </w:rPr>
              <w:t>10</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16F5DE" w14:textId="5344B430" w:rsidR="00C74419" w:rsidRPr="00227BE0" w:rsidRDefault="00536180" w:rsidP="00D425F2">
            <w:pPr>
              <w:widowControl w:val="0"/>
              <w:suppressAutoHyphens/>
              <w:jc w:val="center"/>
              <w:rPr>
                <w:noProof/>
                <w:sz w:val="20"/>
                <w:szCs w:val="20"/>
              </w:rPr>
            </w:pPr>
            <w:r>
              <w:rPr>
                <w:noProof/>
                <w:sz w:val="20"/>
                <w:szCs w:val="20"/>
              </w:rPr>
              <w:t>10</w:t>
            </w:r>
          </w:p>
        </w:tc>
        <w:tc>
          <w:tcPr>
            <w:tcW w:w="374" w:type="pct"/>
            <w:tcBorders>
              <w:top w:val="single" w:sz="4" w:space="0" w:color="auto"/>
              <w:left w:val="single" w:sz="4" w:space="0" w:color="auto"/>
              <w:bottom w:val="single" w:sz="4" w:space="0" w:color="auto"/>
              <w:right w:val="single" w:sz="4" w:space="0" w:color="auto"/>
            </w:tcBorders>
            <w:vAlign w:val="center"/>
            <w:hideMark/>
          </w:tcPr>
          <w:p w14:paraId="5080727C" w14:textId="3D9054EE" w:rsidR="00C74419" w:rsidRPr="00227BE0" w:rsidRDefault="00C74419" w:rsidP="00D425F2">
            <w:pPr>
              <w:widowControl w:val="0"/>
              <w:suppressAutoHyphens/>
              <w:jc w:val="center"/>
              <w:rPr>
                <w:noProof/>
                <w:sz w:val="20"/>
                <w:szCs w:val="20"/>
              </w:rPr>
            </w:pPr>
            <w:r w:rsidRPr="00227BE0">
              <w:rPr>
                <w:noProof/>
                <w:sz w:val="20"/>
                <w:szCs w:val="20"/>
              </w:rPr>
              <w:t>10</w:t>
            </w:r>
          </w:p>
        </w:tc>
        <w:tc>
          <w:tcPr>
            <w:tcW w:w="357" w:type="pct"/>
            <w:tcBorders>
              <w:top w:val="single" w:sz="4" w:space="0" w:color="auto"/>
              <w:left w:val="single" w:sz="4" w:space="0" w:color="auto"/>
              <w:bottom w:val="single" w:sz="4" w:space="0" w:color="auto"/>
              <w:right w:val="single" w:sz="4" w:space="0" w:color="auto"/>
            </w:tcBorders>
          </w:tcPr>
          <w:p w14:paraId="6AB4DC41" w14:textId="77777777" w:rsidR="00C74419" w:rsidRPr="00227BE0" w:rsidRDefault="00C74419" w:rsidP="00D425F2">
            <w:pPr>
              <w:keepNext/>
              <w:keepLines/>
              <w:widowControl w:val="0"/>
              <w:suppressAutoHyphens/>
              <w:jc w:val="center"/>
              <w:rPr>
                <w:b/>
                <w:noProof/>
                <w:sz w:val="20"/>
                <w:szCs w:val="20"/>
              </w:rPr>
            </w:pPr>
            <w:r w:rsidRPr="00227BE0">
              <w:rPr>
                <w:noProof/>
                <w:sz w:val="20"/>
                <w:szCs w:val="20"/>
              </w:rPr>
              <w:t>10</w:t>
            </w:r>
          </w:p>
        </w:tc>
        <w:tc>
          <w:tcPr>
            <w:tcW w:w="406" w:type="pct"/>
            <w:tcBorders>
              <w:top w:val="single" w:sz="4" w:space="0" w:color="auto"/>
              <w:left w:val="single" w:sz="4" w:space="0" w:color="auto"/>
              <w:bottom w:val="single" w:sz="4" w:space="0" w:color="auto"/>
              <w:right w:val="single" w:sz="4" w:space="0" w:color="auto"/>
            </w:tcBorders>
            <w:vAlign w:val="center"/>
          </w:tcPr>
          <w:p w14:paraId="3772A851" w14:textId="77777777" w:rsidR="00C74419" w:rsidRPr="00227BE0" w:rsidRDefault="00C74419" w:rsidP="00D425F2">
            <w:pPr>
              <w:keepNext/>
              <w:keepLines/>
              <w:widowControl w:val="0"/>
              <w:suppressAutoHyphens/>
              <w:jc w:val="center"/>
              <w:rPr>
                <w:noProof/>
                <w:sz w:val="20"/>
                <w:szCs w:val="20"/>
              </w:rPr>
            </w:pPr>
            <w:r w:rsidRPr="00227BE0">
              <w:rPr>
                <w:noProof/>
                <w:sz w:val="20"/>
                <w:szCs w:val="20"/>
              </w:rPr>
              <w:t>3</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44B00B2F" w14:textId="77777777" w:rsidR="00C74419" w:rsidRPr="00227BE0" w:rsidRDefault="00C74419" w:rsidP="00D425F2">
            <w:pPr>
              <w:keepNext/>
              <w:keepLines/>
              <w:widowControl w:val="0"/>
              <w:suppressAutoHyphens/>
              <w:rPr>
                <w:noProof/>
                <w:sz w:val="20"/>
                <w:szCs w:val="20"/>
              </w:rPr>
            </w:pPr>
            <w:r w:rsidRPr="00227BE0">
              <w:rPr>
                <w:b/>
                <w:noProof/>
                <w:sz w:val="20"/>
                <w:szCs w:val="20"/>
              </w:rPr>
              <w:t>AF</w:t>
            </w:r>
          </w:p>
        </w:tc>
        <w:tc>
          <w:tcPr>
            <w:tcW w:w="345" w:type="pct"/>
            <w:gridSpan w:val="2"/>
            <w:tcBorders>
              <w:top w:val="single" w:sz="4" w:space="0" w:color="auto"/>
              <w:left w:val="single" w:sz="4" w:space="0" w:color="auto"/>
              <w:bottom w:val="single" w:sz="4" w:space="0" w:color="auto"/>
              <w:right w:val="single" w:sz="4" w:space="0" w:color="auto"/>
            </w:tcBorders>
            <w:hideMark/>
          </w:tcPr>
          <w:p w14:paraId="30A9E929" w14:textId="77777777" w:rsidR="00C74419" w:rsidRPr="00227BE0" w:rsidRDefault="00C74419" w:rsidP="00D425F2">
            <w:pPr>
              <w:widowControl w:val="0"/>
              <w:suppressAutoHyphens/>
              <w:jc w:val="center"/>
              <w:rPr>
                <w:noProof/>
                <w:sz w:val="20"/>
                <w:szCs w:val="20"/>
              </w:rPr>
            </w:pPr>
            <w:r w:rsidRPr="00227BE0">
              <w:rPr>
                <w:noProof/>
                <w:sz w:val="20"/>
                <w:szCs w:val="20"/>
              </w:rPr>
              <w:t>10</w:t>
            </w:r>
          </w:p>
        </w:tc>
      </w:tr>
      <w:tr w:rsidR="00C74419" w:rsidRPr="00227BE0" w14:paraId="7322F4D0" w14:textId="77777777" w:rsidTr="00536180">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3D5335F3" w14:textId="77777777" w:rsidR="00C74419" w:rsidRPr="00227BE0" w:rsidRDefault="00C74419" w:rsidP="00D425F2">
            <w:pPr>
              <w:widowControl w:val="0"/>
              <w:suppressAutoHyphens/>
              <w:rPr>
                <w:b/>
                <w:bCs/>
                <w:sz w:val="20"/>
                <w:szCs w:val="20"/>
              </w:rPr>
            </w:pPr>
            <w:r w:rsidRPr="00227BE0">
              <w:rPr>
                <w:b/>
                <w:bCs/>
                <w:sz w:val="20"/>
                <w:szCs w:val="20"/>
              </w:rPr>
              <w:t>RAC (µg/L)</w:t>
            </w:r>
          </w:p>
        </w:tc>
        <w:tc>
          <w:tcPr>
            <w:tcW w:w="278" w:type="pct"/>
            <w:tcBorders>
              <w:top w:val="nil"/>
              <w:left w:val="single" w:sz="4" w:space="0" w:color="auto"/>
              <w:bottom w:val="single" w:sz="4" w:space="0" w:color="auto"/>
              <w:right w:val="single" w:sz="4" w:space="0" w:color="auto"/>
            </w:tcBorders>
            <w:vAlign w:val="center"/>
          </w:tcPr>
          <w:p w14:paraId="3C496D5E" w14:textId="77777777" w:rsidR="00C74419" w:rsidRPr="00227BE0" w:rsidRDefault="00C74419" w:rsidP="00D425F2">
            <w:pPr>
              <w:keepNext/>
              <w:keepLines/>
              <w:widowControl w:val="0"/>
              <w:suppressAutoHyphens/>
              <w:rPr>
                <w:noProof/>
                <w:sz w:val="20"/>
                <w:szCs w:val="20"/>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67F57607" w14:textId="77777777" w:rsidR="00C74419" w:rsidRPr="00227BE0" w:rsidRDefault="00C74419" w:rsidP="00D425F2">
            <w:pPr>
              <w:widowControl w:val="0"/>
              <w:suppressAutoHyphens/>
              <w:jc w:val="center"/>
              <w:rPr>
                <w:noProof/>
                <w:sz w:val="20"/>
                <w:szCs w:val="20"/>
              </w:rPr>
            </w:pPr>
            <w:r w:rsidRPr="00227BE0">
              <w:rPr>
                <w:noProof/>
                <w:sz w:val="20"/>
                <w:szCs w:val="20"/>
              </w:rPr>
              <w:t>4.7</w:t>
            </w:r>
          </w:p>
        </w:tc>
        <w:tc>
          <w:tcPr>
            <w:tcW w:w="337" w:type="pct"/>
            <w:gridSpan w:val="2"/>
            <w:tcBorders>
              <w:top w:val="single" w:sz="4" w:space="0" w:color="auto"/>
              <w:left w:val="single" w:sz="4" w:space="0" w:color="auto"/>
              <w:bottom w:val="single" w:sz="4" w:space="0" w:color="auto"/>
              <w:right w:val="single" w:sz="4" w:space="0" w:color="auto"/>
            </w:tcBorders>
            <w:vAlign w:val="center"/>
            <w:hideMark/>
          </w:tcPr>
          <w:p w14:paraId="4EBDE44D" w14:textId="77777777" w:rsidR="00C74419" w:rsidRPr="00227BE0" w:rsidRDefault="00C74419" w:rsidP="00D425F2">
            <w:pPr>
              <w:widowControl w:val="0"/>
              <w:suppressAutoHyphens/>
              <w:jc w:val="center"/>
              <w:rPr>
                <w:noProof/>
                <w:sz w:val="20"/>
                <w:szCs w:val="20"/>
              </w:rPr>
            </w:pPr>
            <w:r w:rsidRPr="00227BE0">
              <w:rPr>
                <w:noProof/>
                <w:sz w:val="20"/>
                <w:szCs w:val="20"/>
              </w:rPr>
              <w:t>14.7</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0884DC" w14:textId="4B70B121" w:rsidR="00C74419" w:rsidRPr="00227BE0" w:rsidRDefault="00C74419" w:rsidP="00D425F2">
            <w:pPr>
              <w:widowControl w:val="0"/>
              <w:suppressAutoHyphens/>
              <w:jc w:val="center"/>
              <w:rPr>
                <w:noProof/>
                <w:sz w:val="20"/>
                <w:szCs w:val="20"/>
              </w:rPr>
            </w:pPr>
            <w:r>
              <w:rPr>
                <w:noProof/>
                <w:sz w:val="20"/>
                <w:szCs w:val="20"/>
              </w:rPr>
              <w:t>0.55</w:t>
            </w:r>
          </w:p>
        </w:tc>
        <w:tc>
          <w:tcPr>
            <w:tcW w:w="319" w:type="pct"/>
            <w:gridSpan w:val="2"/>
            <w:tcBorders>
              <w:top w:val="single" w:sz="4" w:space="0" w:color="auto"/>
              <w:left w:val="single" w:sz="4" w:space="0" w:color="auto"/>
              <w:bottom w:val="single" w:sz="4" w:space="0" w:color="auto"/>
              <w:right w:val="single" w:sz="4" w:space="0" w:color="auto"/>
            </w:tcBorders>
            <w:vAlign w:val="center"/>
            <w:hideMark/>
          </w:tcPr>
          <w:p w14:paraId="65EC3E2E" w14:textId="61BA3823" w:rsidR="00C74419" w:rsidRPr="00227BE0" w:rsidRDefault="00C74419" w:rsidP="00D425F2">
            <w:pPr>
              <w:widowControl w:val="0"/>
              <w:suppressAutoHyphens/>
              <w:jc w:val="center"/>
              <w:rPr>
                <w:noProof/>
                <w:sz w:val="20"/>
                <w:szCs w:val="20"/>
              </w:rPr>
            </w:pPr>
            <w:r w:rsidRPr="00227BE0">
              <w:rPr>
                <w:noProof/>
                <w:sz w:val="20"/>
                <w:szCs w:val="20"/>
              </w:rPr>
              <w:t>2.3</w:t>
            </w:r>
          </w:p>
        </w:tc>
        <w:tc>
          <w:tcPr>
            <w:tcW w:w="337" w:type="pct"/>
            <w:tcBorders>
              <w:top w:val="single" w:sz="4" w:space="0" w:color="auto"/>
              <w:left w:val="single" w:sz="4" w:space="0" w:color="auto"/>
              <w:bottom w:val="single" w:sz="4" w:space="0" w:color="auto"/>
              <w:right w:val="single" w:sz="4" w:space="0" w:color="auto"/>
            </w:tcBorders>
            <w:vAlign w:val="center"/>
            <w:hideMark/>
          </w:tcPr>
          <w:p w14:paraId="331A4D3E" w14:textId="77777777" w:rsidR="00C74419" w:rsidRPr="00227BE0" w:rsidRDefault="00C74419" w:rsidP="00D425F2">
            <w:pPr>
              <w:widowControl w:val="0"/>
              <w:suppressAutoHyphens/>
              <w:jc w:val="center"/>
              <w:rPr>
                <w:noProof/>
                <w:sz w:val="20"/>
                <w:szCs w:val="20"/>
              </w:rPr>
            </w:pPr>
            <w:r w:rsidRPr="00227BE0">
              <w:rPr>
                <w:noProof/>
                <w:sz w:val="20"/>
                <w:szCs w:val="20"/>
              </w:rPr>
              <w:t>4.4</w:t>
            </w:r>
          </w:p>
        </w:tc>
        <w:tc>
          <w:tcPr>
            <w:tcW w:w="405" w:type="pct"/>
            <w:tcBorders>
              <w:top w:val="single" w:sz="4" w:space="0" w:color="auto"/>
              <w:left w:val="single" w:sz="4" w:space="0" w:color="auto"/>
              <w:bottom w:val="single" w:sz="4" w:space="0" w:color="auto"/>
              <w:right w:val="single" w:sz="4" w:space="0" w:color="auto"/>
            </w:tcBorders>
            <w:vAlign w:val="center"/>
            <w:hideMark/>
          </w:tcPr>
          <w:p w14:paraId="131217E5"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noProof/>
                <w:color w:val="D9D9D9" w:themeColor="background1" w:themeShade="D9"/>
                <w:sz w:val="20"/>
                <w:szCs w:val="20"/>
              </w:rPr>
              <w:t>6.3</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0A1BEF" w14:textId="7FFB1310" w:rsidR="00C74419" w:rsidRPr="00227BE0" w:rsidRDefault="00536180" w:rsidP="00D425F2">
            <w:pPr>
              <w:widowControl w:val="0"/>
              <w:suppressAutoHyphens/>
              <w:jc w:val="center"/>
              <w:rPr>
                <w:noProof/>
                <w:sz w:val="20"/>
                <w:szCs w:val="20"/>
              </w:rPr>
            </w:pPr>
            <w:r>
              <w:rPr>
                <w:noProof/>
                <w:sz w:val="20"/>
                <w:szCs w:val="20"/>
              </w:rPr>
              <w:t>14.6</w:t>
            </w:r>
          </w:p>
        </w:tc>
        <w:tc>
          <w:tcPr>
            <w:tcW w:w="374" w:type="pct"/>
            <w:tcBorders>
              <w:top w:val="single" w:sz="4" w:space="0" w:color="auto"/>
              <w:left w:val="single" w:sz="4" w:space="0" w:color="auto"/>
              <w:bottom w:val="single" w:sz="4" w:space="0" w:color="auto"/>
              <w:right w:val="single" w:sz="4" w:space="0" w:color="auto"/>
            </w:tcBorders>
            <w:vAlign w:val="center"/>
            <w:hideMark/>
          </w:tcPr>
          <w:p w14:paraId="382B73E6" w14:textId="163E7B3A" w:rsidR="00C74419" w:rsidRPr="00227BE0" w:rsidRDefault="00C74419" w:rsidP="00D425F2">
            <w:pPr>
              <w:widowControl w:val="0"/>
              <w:suppressAutoHyphens/>
              <w:jc w:val="center"/>
              <w:rPr>
                <w:noProof/>
                <w:sz w:val="20"/>
                <w:szCs w:val="20"/>
              </w:rPr>
            </w:pPr>
            <w:r w:rsidRPr="00227BE0">
              <w:rPr>
                <w:noProof/>
                <w:sz w:val="20"/>
                <w:szCs w:val="20"/>
              </w:rPr>
              <w:t>320</w:t>
            </w:r>
          </w:p>
        </w:tc>
        <w:tc>
          <w:tcPr>
            <w:tcW w:w="357" w:type="pct"/>
            <w:tcBorders>
              <w:top w:val="single" w:sz="4" w:space="0" w:color="auto"/>
              <w:left w:val="single" w:sz="4" w:space="0" w:color="auto"/>
              <w:bottom w:val="single" w:sz="4" w:space="0" w:color="auto"/>
              <w:right w:val="single" w:sz="4" w:space="0" w:color="auto"/>
            </w:tcBorders>
            <w:vAlign w:val="center"/>
          </w:tcPr>
          <w:p w14:paraId="760A11DF" w14:textId="77777777" w:rsidR="00C74419" w:rsidRPr="00227BE0" w:rsidRDefault="00C74419" w:rsidP="00D425F2">
            <w:pPr>
              <w:keepNext/>
              <w:keepLines/>
              <w:widowControl w:val="0"/>
              <w:suppressAutoHyphens/>
              <w:jc w:val="center"/>
              <w:rPr>
                <w:b/>
                <w:noProof/>
                <w:sz w:val="20"/>
                <w:szCs w:val="20"/>
              </w:rPr>
            </w:pPr>
            <w:r w:rsidRPr="00227BE0">
              <w:rPr>
                <w:noProof/>
                <w:sz w:val="20"/>
                <w:szCs w:val="20"/>
              </w:rPr>
              <w:t>80</w:t>
            </w:r>
          </w:p>
        </w:tc>
        <w:tc>
          <w:tcPr>
            <w:tcW w:w="406" w:type="pct"/>
            <w:tcBorders>
              <w:top w:val="single" w:sz="4" w:space="0" w:color="auto"/>
              <w:left w:val="single" w:sz="4" w:space="0" w:color="auto"/>
              <w:bottom w:val="single" w:sz="4" w:space="0" w:color="auto"/>
              <w:right w:val="single" w:sz="4" w:space="0" w:color="auto"/>
            </w:tcBorders>
            <w:vAlign w:val="center"/>
          </w:tcPr>
          <w:p w14:paraId="7B5C979C" w14:textId="77777777" w:rsidR="00C74419" w:rsidRPr="00227BE0" w:rsidRDefault="00C74419" w:rsidP="00D425F2">
            <w:pPr>
              <w:keepNext/>
              <w:keepLines/>
              <w:widowControl w:val="0"/>
              <w:suppressAutoHyphens/>
              <w:jc w:val="center"/>
              <w:rPr>
                <w:noProof/>
                <w:sz w:val="20"/>
                <w:szCs w:val="20"/>
              </w:rPr>
            </w:pPr>
            <w:r w:rsidRPr="00227BE0">
              <w:rPr>
                <w:noProof/>
                <w:sz w:val="20"/>
                <w:szCs w:val="20"/>
              </w:rPr>
              <w:t>3.3</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2A3148C3" w14:textId="77777777" w:rsidR="00C74419" w:rsidRPr="00227BE0" w:rsidRDefault="00C74419" w:rsidP="00D425F2">
            <w:pPr>
              <w:keepNext/>
              <w:keepLines/>
              <w:widowControl w:val="0"/>
              <w:suppressAutoHyphens/>
              <w:rPr>
                <w:noProof/>
                <w:sz w:val="20"/>
                <w:szCs w:val="20"/>
              </w:rPr>
            </w:pPr>
            <w:r w:rsidRPr="00227BE0">
              <w:rPr>
                <w:b/>
                <w:noProof/>
                <w:sz w:val="20"/>
                <w:szCs w:val="20"/>
              </w:rPr>
              <w:t>RAC (µg/kg)</w:t>
            </w:r>
          </w:p>
        </w:tc>
        <w:tc>
          <w:tcPr>
            <w:tcW w:w="345" w:type="pct"/>
            <w:gridSpan w:val="2"/>
            <w:tcBorders>
              <w:top w:val="single" w:sz="4" w:space="0" w:color="auto"/>
              <w:left w:val="single" w:sz="4" w:space="0" w:color="auto"/>
              <w:bottom w:val="single" w:sz="4" w:space="0" w:color="auto"/>
              <w:right w:val="single" w:sz="4" w:space="0" w:color="auto"/>
            </w:tcBorders>
            <w:vAlign w:val="center"/>
            <w:hideMark/>
          </w:tcPr>
          <w:p w14:paraId="3FC13BE1" w14:textId="77777777" w:rsidR="00C74419" w:rsidRPr="00227BE0" w:rsidRDefault="00C74419" w:rsidP="00D425F2">
            <w:pPr>
              <w:widowControl w:val="0"/>
              <w:suppressAutoHyphens/>
              <w:jc w:val="center"/>
              <w:rPr>
                <w:noProof/>
                <w:sz w:val="20"/>
                <w:szCs w:val="20"/>
              </w:rPr>
            </w:pPr>
            <w:r w:rsidRPr="00227BE0">
              <w:rPr>
                <w:noProof/>
                <w:sz w:val="20"/>
                <w:szCs w:val="20"/>
              </w:rPr>
              <w:t>2300</w:t>
            </w:r>
          </w:p>
        </w:tc>
      </w:tr>
      <w:tr w:rsidR="00C74419" w:rsidRPr="00227BE0" w14:paraId="091AD367" w14:textId="77777777" w:rsidTr="00C74419">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1F16B3BE" w14:textId="77777777" w:rsidR="00C74419" w:rsidRPr="00227BE0" w:rsidRDefault="00C74419" w:rsidP="00D425F2">
            <w:pPr>
              <w:widowControl w:val="0"/>
              <w:suppressAutoHyphens/>
              <w:rPr>
                <w:b/>
                <w:sz w:val="20"/>
                <w:szCs w:val="20"/>
                <w:lang w:val="en-GB"/>
              </w:rPr>
            </w:pPr>
            <w:r w:rsidRPr="00227BE0">
              <w:rPr>
                <w:b/>
                <w:sz w:val="20"/>
                <w:szCs w:val="20"/>
                <w:lang w:val="en-GB"/>
              </w:rPr>
              <w:t xml:space="preserve">FOCUS </w:t>
            </w:r>
          </w:p>
          <w:p w14:paraId="44FA5451" w14:textId="77777777" w:rsidR="00C74419" w:rsidRPr="00227BE0" w:rsidRDefault="00C74419" w:rsidP="00D425F2">
            <w:pPr>
              <w:rPr>
                <w:b/>
                <w:bCs/>
                <w:sz w:val="20"/>
                <w:szCs w:val="20"/>
                <w:lang w:eastAsia="en-US"/>
              </w:rPr>
            </w:pPr>
            <w:r w:rsidRPr="00227BE0">
              <w:rPr>
                <w:b/>
                <w:sz w:val="20"/>
                <w:szCs w:val="20"/>
                <w:lang w:val="en-GB"/>
              </w:rPr>
              <w:t>Scenario</w:t>
            </w:r>
            <w:r w:rsidRPr="00227BE0">
              <w:rPr>
                <w:b/>
                <w:bCs/>
                <w:sz w:val="20"/>
                <w:szCs w:val="20"/>
                <w:lang w:eastAsia="en-US"/>
              </w:rPr>
              <w:t xml:space="preserve"> </w:t>
            </w:r>
          </w:p>
          <w:p w14:paraId="52818E87" w14:textId="77777777" w:rsidR="00C74419" w:rsidRPr="00227BE0" w:rsidRDefault="00C74419" w:rsidP="00D425F2">
            <w:pPr>
              <w:widowControl w:val="0"/>
              <w:suppressAutoHyphens/>
              <w:rPr>
                <w:b/>
                <w:bCs/>
                <w:sz w:val="20"/>
                <w:szCs w:val="20"/>
              </w:rPr>
            </w:pPr>
            <w:r w:rsidRPr="00227BE0">
              <w:rPr>
                <w:b/>
                <w:bCs/>
                <w:sz w:val="20"/>
                <w:szCs w:val="20"/>
                <w:lang w:eastAsia="en-US"/>
              </w:rPr>
              <w:t xml:space="preserve"> </w:t>
            </w:r>
          </w:p>
        </w:tc>
        <w:tc>
          <w:tcPr>
            <w:tcW w:w="278" w:type="pct"/>
            <w:tcBorders>
              <w:top w:val="single" w:sz="4" w:space="0" w:color="auto"/>
              <w:left w:val="single" w:sz="4" w:space="0" w:color="auto"/>
              <w:bottom w:val="single" w:sz="4" w:space="0" w:color="auto"/>
              <w:right w:val="single" w:sz="4" w:space="0" w:color="auto"/>
            </w:tcBorders>
            <w:vAlign w:val="center"/>
            <w:hideMark/>
          </w:tcPr>
          <w:p w14:paraId="4F45A87C" w14:textId="77777777" w:rsidR="00C74419" w:rsidRPr="00227BE0" w:rsidRDefault="00C74419" w:rsidP="00D425F2">
            <w:pPr>
              <w:widowControl w:val="0"/>
              <w:suppressAutoHyphens/>
              <w:rPr>
                <w:b/>
                <w:bCs/>
                <w:sz w:val="20"/>
                <w:szCs w:val="20"/>
              </w:rPr>
            </w:pPr>
            <w:r w:rsidRPr="00227BE0">
              <w:rPr>
                <w:b/>
                <w:bCs/>
                <w:sz w:val="20"/>
                <w:szCs w:val="20"/>
              </w:rPr>
              <w:t xml:space="preserve">PEC </w:t>
            </w:r>
            <w:r w:rsidRPr="00227BE0">
              <w:rPr>
                <w:b/>
                <w:bCs/>
                <w:sz w:val="20"/>
                <w:szCs w:val="20"/>
                <w:vertAlign w:val="subscript"/>
              </w:rPr>
              <w:t>gl-max</w:t>
            </w:r>
            <w:r w:rsidRPr="00227BE0">
              <w:rPr>
                <w:b/>
                <w:bCs/>
                <w:sz w:val="20"/>
                <w:szCs w:val="20"/>
              </w:rPr>
              <w:t xml:space="preserve"> (µg/L)</w:t>
            </w:r>
            <w:r w:rsidRPr="00227BE0">
              <w:rPr>
                <w:b/>
                <w:bCs/>
                <w:sz w:val="20"/>
                <w:szCs w:val="20"/>
                <w:vertAlign w:val="superscript"/>
              </w:rPr>
              <w:t> #</w:t>
            </w:r>
          </w:p>
        </w:tc>
        <w:tc>
          <w:tcPr>
            <w:tcW w:w="3514" w:type="pct"/>
            <w:gridSpan w:val="13"/>
            <w:tcBorders>
              <w:top w:val="single" w:sz="4" w:space="0" w:color="auto"/>
              <w:left w:val="single" w:sz="4" w:space="0" w:color="auto"/>
              <w:bottom w:val="single" w:sz="4" w:space="0" w:color="auto"/>
              <w:right w:val="single" w:sz="4" w:space="0" w:color="auto"/>
            </w:tcBorders>
          </w:tcPr>
          <w:p w14:paraId="3E5D75EA" w14:textId="2171D3DD" w:rsidR="00C74419" w:rsidRPr="00227BE0" w:rsidRDefault="00C74419" w:rsidP="00D425F2">
            <w:pPr>
              <w:widowControl w:val="0"/>
              <w:suppressAutoHyphens/>
              <w:jc w:val="center"/>
              <w:rPr>
                <w:b/>
                <w:bCs/>
                <w:sz w:val="20"/>
                <w:szCs w:val="20"/>
              </w:rPr>
            </w:pPr>
            <w:r w:rsidRPr="00227BE0">
              <w:rPr>
                <w:b/>
                <w:bCs/>
                <w:noProof/>
                <w:sz w:val="20"/>
                <w:szCs w:val="20"/>
              </w:rPr>
              <w:t>PEC/RAC (= ETR)</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228155D2" w14:textId="77777777" w:rsidR="00C74419" w:rsidRPr="00227BE0" w:rsidRDefault="00C74419" w:rsidP="00D425F2">
            <w:pPr>
              <w:widowControl w:val="0"/>
              <w:suppressAutoHyphens/>
              <w:rPr>
                <w:b/>
                <w:bCs/>
                <w:sz w:val="20"/>
                <w:szCs w:val="20"/>
              </w:rPr>
            </w:pPr>
            <w:r w:rsidRPr="00227BE0">
              <w:rPr>
                <w:b/>
                <w:bCs/>
                <w:sz w:val="20"/>
                <w:szCs w:val="20"/>
              </w:rPr>
              <w:t xml:space="preserve">PEC </w:t>
            </w:r>
            <w:r w:rsidRPr="00227BE0">
              <w:rPr>
                <w:b/>
                <w:bCs/>
                <w:sz w:val="20"/>
                <w:szCs w:val="20"/>
                <w:vertAlign w:val="subscript"/>
              </w:rPr>
              <w:t>gl-max</w:t>
            </w:r>
            <w:r w:rsidRPr="00227BE0">
              <w:rPr>
                <w:b/>
                <w:bCs/>
                <w:sz w:val="20"/>
                <w:szCs w:val="20"/>
              </w:rPr>
              <w:t xml:space="preserve"> (µg/kg)</w:t>
            </w:r>
            <w:r w:rsidRPr="00227BE0">
              <w:rPr>
                <w:b/>
                <w:bCs/>
                <w:sz w:val="20"/>
                <w:szCs w:val="20"/>
                <w:vertAlign w:val="superscript"/>
              </w:rPr>
              <w:t> #</w:t>
            </w:r>
          </w:p>
        </w:tc>
        <w:tc>
          <w:tcPr>
            <w:tcW w:w="345" w:type="pct"/>
            <w:gridSpan w:val="2"/>
            <w:tcBorders>
              <w:top w:val="single" w:sz="4" w:space="0" w:color="auto"/>
              <w:left w:val="single" w:sz="4" w:space="0" w:color="auto"/>
              <w:bottom w:val="single" w:sz="4" w:space="0" w:color="auto"/>
              <w:right w:val="single" w:sz="4" w:space="0" w:color="auto"/>
            </w:tcBorders>
            <w:vAlign w:val="center"/>
            <w:hideMark/>
          </w:tcPr>
          <w:p w14:paraId="56C61B86" w14:textId="77777777" w:rsidR="00C74419" w:rsidRPr="00227BE0" w:rsidRDefault="00C74419" w:rsidP="00D425F2">
            <w:pPr>
              <w:widowControl w:val="0"/>
              <w:suppressAutoHyphens/>
              <w:jc w:val="center"/>
              <w:rPr>
                <w:noProof/>
                <w:sz w:val="20"/>
                <w:szCs w:val="20"/>
              </w:rPr>
            </w:pPr>
            <w:r w:rsidRPr="00227BE0">
              <w:rPr>
                <w:b/>
                <w:bCs/>
                <w:noProof/>
                <w:sz w:val="20"/>
                <w:szCs w:val="20"/>
              </w:rPr>
              <w:t>PEC/RAC (= ETR)</w:t>
            </w:r>
          </w:p>
        </w:tc>
      </w:tr>
      <w:tr w:rsidR="00C74419" w:rsidRPr="00227BE0" w14:paraId="03162C38" w14:textId="77777777" w:rsidTr="00C74419">
        <w:trPr>
          <w:cantSplit/>
        </w:trPr>
        <w:tc>
          <w:tcPr>
            <w:tcW w:w="463" w:type="pct"/>
            <w:tcBorders>
              <w:top w:val="single" w:sz="4" w:space="0" w:color="auto"/>
              <w:left w:val="single" w:sz="4" w:space="0" w:color="auto"/>
              <w:bottom w:val="single" w:sz="4" w:space="0" w:color="auto"/>
              <w:right w:val="nil"/>
            </w:tcBorders>
            <w:vAlign w:val="center"/>
          </w:tcPr>
          <w:p w14:paraId="652CC339" w14:textId="77777777" w:rsidR="00C74419" w:rsidRPr="00227BE0" w:rsidRDefault="00C74419" w:rsidP="00D425F2">
            <w:pPr>
              <w:widowControl w:val="0"/>
              <w:suppressAutoHyphens/>
              <w:rPr>
                <w:b/>
                <w:sz w:val="20"/>
                <w:szCs w:val="20"/>
                <w:lang w:val="en-GB"/>
              </w:rPr>
            </w:pPr>
            <w:r w:rsidRPr="00227BE0">
              <w:rPr>
                <w:b/>
                <w:sz w:val="20"/>
                <w:szCs w:val="20"/>
                <w:lang w:val="en-GB"/>
              </w:rPr>
              <w:t>Step 1</w:t>
            </w:r>
          </w:p>
        </w:tc>
        <w:tc>
          <w:tcPr>
            <w:tcW w:w="278" w:type="pct"/>
            <w:tcBorders>
              <w:top w:val="single" w:sz="4" w:space="0" w:color="auto"/>
              <w:left w:val="nil"/>
              <w:bottom w:val="single" w:sz="4" w:space="0" w:color="auto"/>
              <w:right w:val="nil"/>
            </w:tcBorders>
            <w:vAlign w:val="center"/>
          </w:tcPr>
          <w:p w14:paraId="014A5361" w14:textId="77777777" w:rsidR="00C74419" w:rsidRPr="00227BE0" w:rsidRDefault="00C74419" w:rsidP="00D425F2">
            <w:pPr>
              <w:widowControl w:val="0"/>
              <w:suppressAutoHyphens/>
              <w:rPr>
                <w:b/>
                <w:bCs/>
                <w:sz w:val="20"/>
                <w:szCs w:val="20"/>
              </w:rPr>
            </w:pPr>
          </w:p>
        </w:tc>
        <w:tc>
          <w:tcPr>
            <w:tcW w:w="408" w:type="pct"/>
            <w:gridSpan w:val="2"/>
            <w:tcBorders>
              <w:top w:val="single" w:sz="4" w:space="0" w:color="auto"/>
              <w:left w:val="nil"/>
              <w:bottom w:val="single" w:sz="4" w:space="0" w:color="auto"/>
              <w:right w:val="nil"/>
            </w:tcBorders>
          </w:tcPr>
          <w:p w14:paraId="1B6D5268" w14:textId="77777777" w:rsidR="00C74419" w:rsidRPr="00227BE0" w:rsidRDefault="00C74419" w:rsidP="00D425F2">
            <w:pPr>
              <w:keepNext/>
              <w:keepLines/>
              <w:widowControl w:val="0"/>
              <w:suppressAutoHyphens/>
              <w:jc w:val="center"/>
              <w:rPr>
                <w:b/>
                <w:bCs/>
                <w:noProof/>
                <w:sz w:val="20"/>
                <w:szCs w:val="20"/>
              </w:rPr>
            </w:pPr>
          </w:p>
        </w:tc>
        <w:tc>
          <w:tcPr>
            <w:tcW w:w="329" w:type="pct"/>
            <w:gridSpan w:val="2"/>
            <w:tcBorders>
              <w:top w:val="single" w:sz="4" w:space="0" w:color="auto"/>
              <w:left w:val="nil"/>
              <w:bottom w:val="single" w:sz="4" w:space="0" w:color="auto"/>
              <w:right w:val="nil"/>
            </w:tcBorders>
          </w:tcPr>
          <w:p w14:paraId="5E4D0AD4" w14:textId="77777777" w:rsidR="00C74419" w:rsidRPr="00227BE0" w:rsidRDefault="00C74419" w:rsidP="00D425F2">
            <w:pPr>
              <w:keepNext/>
              <w:keepLines/>
              <w:widowControl w:val="0"/>
              <w:suppressAutoHyphens/>
              <w:rPr>
                <w:b/>
                <w:bCs/>
                <w:noProof/>
                <w:sz w:val="20"/>
                <w:szCs w:val="20"/>
              </w:rPr>
            </w:pPr>
          </w:p>
        </w:tc>
        <w:tc>
          <w:tcPr>
            <w:tcW w:w="371" w:type="pct"/>
            <w:gridSpan w:val="2"/>
            <w:tcBorders>
              <w:top w:val="single" w:sz="4" w:space="0" w:color="auto"/>
              <w:left w:val="nil"/>
              <w:bottom w:val="single" w:sz="4" w:space="0" w:color="auto"/>
              <w:right w:val="nil"/>
            </w:tcBorders>
          </w:tcPr>
          <w:p w14:paraId="51BF9309" w14:textId="77777777" w:rsidR="00C74419" w:rsidRPr="00227BE0" w:rsidRDefault="00C74419" w:rsidP="00D425F2">
            <w:pPr>
              <w:keepNext/>
              <w:keepLines/>
              <w:widowControl w:val="0"/>
              <w:suppressAutoHyphens/>
              <w:rPr>
                <w:b/>
                <w:bCs/>
                <w:noProof/>
                <w:sz w:val="20"/>
                <w:szCs w:val="20"/>
              </w:rPr>
            </w:pPr>
          </w:p>
        </w:tc>
        <w:tc>
          <w:tcPr>
            <w:tcW w:w="2758" w:type="pct"/>
            <w:gridSpan w:val="8"/>
            <w:tcBorders>
              <w:top w:val="single" w:sz="4" w:space="0" w:color="auto"/>
              <w:left w:val="nil"/>
              <w:bottom w:val="single" w:sz="4" w:space="0" w:color="auto"/>
              <w:right w:val="nil"/>
            </w:tcBorders>
            <w:vAlign w:val="center"/>
          </w:tcPr>
          <w:p w14:paraId="4BFF3307" w14:textId="45150076" w:rsidR="00C74419" w:rsidRPr="00227BE0" w:rsidRDefault="00C74419" w:rsidP="00D425F2">
            <w:pPr>
              <w:keepNext/>
              <w:keepLines/>
              <w:widowControl w:val="0"/>
              <w:suppressAutoHyphens/>
              <w:rPr>
                <w:b/>
                <w:bCs/>
                <w:noProof/>
                <w:sz w:val="20"/>
                <w:szCs w:val="20"/>
              </w:rPr>
            </w:pPr>
          </w:p>
        </w:tc>
        <w:tc>
          <w:tcPr>
            <w:tcW w:w="42" w:type="pct"/>
            <w:tcBorders>
              <w:top w:val="single" w:sz="4" w:space="0" w:color="auto"/>
              <w:left w:val="nil"/>
              <w:bottom w:val="single" w:sz="4" w:space="0" w:color="auto"/>
              <w:right w:val="nil"/>
            </w:tcBorders>
          </w:tcPr>
          <w:p w14:paraId="18557152" w14:textId="77777777" w:rsidR="00C74419" w:rsidRPr="00227BE0" w:rsidRDefault="00C74419" w:rsidP="00D425F2">
            <w:pPr>
              <w:widowControl w:val="0"/>
              <w:suppressAutoHyphens/>
              <w:rPr>
                <w:b/>
                <w:bCs/>
                <w:sz w:val="20"/>
                <w:szCs w:val="20"/>
              </w:rPr>
            </w:pPr>
          </w:p>
        </w:tc>
        <w:tc>
          <w:tcPr>
            <w:tcW w:w="43" w:type="pct"/>
            <w:gridSpan w:val="2"/>
            <w:tcBorders>
              <w:top w:val="single" w:sz="4" w:space="0" w:color="auto"/>
              <w:left w:val="nil"/>
              <w:bottom w:val="single" w:sz="4" w:space="0" w:color="auto"/>
              <w:right w:val="nil"/>
            </w:tcBorders>
            <w:vAlign w:val="center"/>
          </w:tcPr>
          <w:p w14:paraId="20E90373" w14:textId="77777777" w:rsidR="00C74419" w:rsidRPr="00227BE0" w:rsidRDefault="00C74419" w:rsidP="00D425F2">
            <w:pPr>
              <w:widowControl w:val="0"/>
              <w:suppressAutoHyphens/>
              <w:rPr>
                <w:b/>
                <w:bCs/>
                <w:sz w:val="20"/>
                <w:szCs w:val="20"/>
              </w:rPr>
            </w:pPr>
          </w:p>
        </w:tc>
        <w:tc>
          <w:tcPr>
            <w:tcW w:w="309" w:type="pct"/>
            <w:tcBorders>
              <w:top w:val="single" w:sz="4" w:space="0" w:color="auto"/>
              <w:left w:val="nil"/>
              <w:bottom w:val="single" w:sz="4" w:space="0" w:color="auto"/>
              <w:right w:val="single" w:sz="4" w:space="0" w:color="auto"/>
            </w:tcBorders>
            <w:vAlign w:val="center"/>
          </w:tcPr>
          <w:p w14:paraId="26361025" w14:textId="77777777" w:rsidR="00C74419" w:rsidRPr="00227BE0" w:rsidRDefault="00C74419" w:rsidP="00D425F2">
            <w:pPr>
              <w:widowControl w:val="0"/>
              <w:suppressAutoHyphens/>
              <w:jc w:val="center"/>
              <w:rPr>
                <w:b/>
                <w:bCs/>
                <w:noProof/>
                <w:sz w:val="20"/>
                <w:szCs w:val="20"/>
              </w:rPr>
            </w:pPr>
          </w:p>
        </w:tc>
      </w:tr>
      <w:tr w:rsidR="00C74419" w:rsidRPr="00227BE0" w14:paraId="2D3AFED9" w14:textId="77777777" w:rsidTr="005C6E75">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04AB0C7B" w14:textId="77777777" w:rsidR="00C74419" w:rsidRPr="00227BE0" w:rsidRDefault="00C74419" w:rsidP="00D425F2">
            <w:pPr>
              <w:widowControl w:val="0"/>
              <w:suppressAutoHyphens/>
              <w:rPr>
                <w:noProof/>
                <w:sz w:val="20"/>
                <w:szCs w:val="20"/>
              </w:rPr>
            </w:pPr>
          </w:p>
        </w:tc>
        <w:tc>
          <w:tcPr>
            <w:tcW w:w="278" w:type="pct"/>
            <w:tcBorders>
              <w:top w:val="single" w:sz="4" w:space="0" w:color="auto"/>
              <w:left w:val="single" w:sz="4" w:space="0" w:color="auto"/>
              <w:bottom w:val="single" w:sz="4" w:space="0" w:color="auto"/>
              <w:right w:val="single" w:sz="4" w:space="0" w:color="auto"/>
            </w:tcBorders>
            <w:vAlign w:val="center"/>
            <w:hideMark/>
          </w:tcPr>
          <w:p w14:paraId="310A7DA3" w14:textId="77777777" w:rsidR="00C74419" w:rsidRPr="00227BE0" w:rsidRDefault="00C74419" w:rsidP="00D425F2">
            <w:pPr>
              <w:widowControl w:val="0"/>
              <w:suppressAutoHyphens/>
              <w:rPr>
                <w:noProof/>
                <w:sz w:val="20"/>
                <w:szCs w:val="20"/>
              </w:rPr>
            </w:pPr>
            <w:r w:rsidRPr="00227BE0">
              <w:rPr>
                <w:noProof/>
                <w:sz w:val="20"/>
                <w:szCs w:val="20"/>
              </w:rPr>
              <w:t>68.433</w:t>
            </w:r>
          </w:p>
        </w:tc>
        <w:tc>
          <w:tcPr>
            <w:tcW w:w="286" w:type="pct"/>
            <w:tcBorders>
              <w:top w:val="single" w:sz="4" w:space="0" w:color="auto"/>
              <w:left w:val="single" w:sz="4" w:space="0" w:color="auto"/>
              <w:bottom w:val="single" w:sz="4" w:space="0" w:color="auto"/>
              <w:right w:val="single" w:sz="4" w:space="0" w:color="auto"/>
            </w:tcBorders>
            <w:vAlign w:val="center"/>
          </w:tcPr>
          <w:p w14:paraId="7A82B476" w14:textId="77777777" w:rsidR="00C74419" w:rsidRPr="00227BE0" w:rsidRDefault="00C74419" w:rsidP="00D425F2">
            <w:pPr>
              <w:widowControl w:val="0"/>
              <w:suppressAutoHyphens/>
              <w:jc w:val="center"/>
              <w:rPr>
                <w:b/>
                <w:noProof/>
                <w:sz w:val="20"/>
                <w:szCs w:val="20"/>
              </w:rPr>
            </w:pPr>
            <w:r w:rsidRPr="00227BE0">
              <w:rPr>
                <w:b/>
                <w:noProof/>
                <w:sz w:val="20"/>
                <w:szCs w:val="20"/>
              </w:rPr>
              <w:t>15</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03521728" w14:textId="77777777" w:rsidR="00C74419" w:rsidRPr="00227BE0" w:rsidRDefault="00C74419" w:rsidP="00D425F2">
            <w:pPr>
              <w:widowControl w:val="0"/>
              <w:suppressAutoHyphens/>
              <w:jc w:val="center"/>
              <w:rPr>
                <w:b/>
                <w:noProof/>
                <w:sz w:val="20"/>
                <w:szCs w:val="20"/>
              </w:rPr>
            </w:pPr>
            <w:r w:rsidRPr="00227BE0">
              <w:rPr>
                <w:b/>
                <w:noProof/>
                <w:sz w:val="20"/>
                <w:szCs w:val="20"/>
              </w:rPr>
              <w:t>4.7</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5D997" w14:textId="1E493684" w:rsidR="00C74419" w:rsidRPr="00227BE0" w:rsidRDefault="004C32D2" w:rsidP="00D425F2">
            <w:pPr>
              <w:widowControl w:val="0"/>
              <w:suppressAutoHyphens/>
              <w:jc w:val="center"/>
              <w:rPr>
                <w:b/>
                <w:noProof/>
                <w:sz w:val="20"/>
                <w:szCs w:val="20"/>
              </w:rPr>
            </w:pPr>
            <w:r>
              <w:rPr>
                <w:b/>
                <w:noProof/>
                <w:sz w:val="20"/>
                <w:szCs w:val="20"/>
              </w:rPr>
              <w:t>124.4</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7F4F1432" w14:textId="47B3D9C3" w:rsidR="00C74419" w:rsidRPr="00227BE0" w:rsidRDefault="00C74419" w:rsidP="00D425F2">
            <w:pPr>
              <w:widowControl w:val="0"/>
              <w:suppressAutoHyphens/>
              <w:jc w:val="center"/>
              <w:rPr>
                <w:b/>
                <w:noProof/>
                <w:sz w:val="20"/>
                <w:szCs w:val="20"/>
              </w:rPr>
            </w:pPr>
            <w:r w:rsidRPr="00227BE0">
              <w:rPr>
                <w:b/>
                <w:noProof/>
                <w:sz w:val="20"/>
                <w:szCs w:val="20"/>
              </w:rPr>
              <w:t>30</w:t>
            </w:r>
          </w:p>
        </w:tc>
        <w:tc>
          <w:tcPr>
            <w:tcW w:w="337" w:type="pct"/>
            <w:tcBorders>
              <w:top w:val="single" w:sz="4" w:space="0" w:color="auto"/>
              <w:left w:val="single" w:sz="4" w:space="0" w:color="auto"/>
              <w:bottom w:val="single" w:sz="4" w:space="0" w:color="auto"/>
              <w:right w:val="single" w:sz="4" w:space="0" w:color="auto"/>
            </w:tcBorders>
            <w:vAlign w:val="center"/>
          </w:tcPr>
          <w:p w14:paraId="17C6CAFD" w14:textId="77777777" w:rsidR="00C74419" w:rsidRPr="00227BE0" w:rsidRDefault="00C74419" w:rsidP="00D425F2">
            <w:pPr>
              <w:widowControl w:val="0"/>
              <w:suppressAutoHyphens/>
              <w:jc w:val="center"/>
              <w:rPr>
                <w:b/>
                <w:noProof/>
                <w:sz w:val="20"/>
                <w:szCs w:val="20"/>
              </w:rPr>
            </w:pPr>
            <w:r w:rsidRPr="00227BE0">
              <w:rPr>
                <w:b/>
                <w:noProof/>
                <w:sz w:val="20"/>
                <w:szCs w:val="20"/>
              </w:rPr>
              <w:t>16</w:t>
            </w:r>
          </w:p>
        </w:tc>
        <w:tc>
          <w:tcPr>
            <w:tcW w:w="405" w:type="pct"/>
            <w:tcBorders>
              <w:top w:val="single" w:sz="4" w:space="0" w:color="auto"/>
              <w:left w:val="single" w:sz="4" w:space="0" w:color="auto"/>
              <w:bottom w:val="single" w:sz="4" w:space="0" w:color="auto"/>
              <w:right w:val="single" w:sz="4" w:space="0" w:color="auto"/>
            </w:tcBorders>
            <w:vAlign w:val="center"/>
          </w:tcPr>
          <w:p w14:paraId="40660A07" w14:textId="77777777" w:rsidR="00C74419" w:rsidRPr="00C74419" w:rsidRDefault="00C74419" w:rsidP="00D425F2">
            <w:pPr>
              <w:widowControl w:val="0"/>
              <w:suppressAutoHyphens/>
              <w:jc w:val="center"/>
              <w:rPr>
                <w:b/>
                <w:strike/>
                <w:noProof/>
                <w:color w:val="D9D9D9" w:themeColor="background1" w:themeShade="D9"/>
                <w:sz w:val="20"/>
                <w:szCs w:val="20"/>
              </w:rPr>
            </w:pPr>
            <w:r w:rsidRPr="00C74419">
              <w:rPr>
                <w:b/>
                <w:strike/>
                <w:noProof/>
                <w:color w:val="D9D9D9" w:themeColor="background1" w:themeShade="D9"/>
                <w:sz w:val="20"/>
                <w:szCs w:val="20"/>
              </w:rPr>
              <w:t>11</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771D65" w14:textId="4C854FB2" w:rsidR="00C74419" w:rsidRPr="005C6E75" w:rsidRDefault="005C6E75" w:rsidP="00D425F2">
            <w:pPr>
              <w:widowControl w:val="0"/>
              <w:suppressAutoHyphens/>
              <w:jc w:val="center"/>
              <w:rPr>
                <w:b/>
                <w:bCs/>
                <w:noProof/>
                <w:sz w:val="20"/>
                <w:szCs w:val="20"/>
              </w:rPr>
            </w:pPr>
            <w:r w:rsidRPr="005C6E75">
              <w:rPr>
                <w:b/>
                <w:bCs/>
                <w:noProof/>
                <w:sz w:val="20"/>
                <w:szCs w:val="20"/>
              </w:rPr>
              <w:t>4.7</w:t>
            </w:r>
          </w:p>
        </w:tc>
        <w:tc>
          <w:tcPr>
            <w:tcW w:w="374" w:type="pct"/>
            <w:tcBorders>
              <w:top w:val="single" w:sz="4" w:space="0" w:color="auto"/>
              <w:left w:val="single" w:sz="4" w:space="0" w:color="auto"/>
              <w:bottom w:val="single" w:sz="4" w:space="0" w:color="auto"/>
              <w:right w:val="single" w:sz="4" w:space="0" w:color="auto"/>
            </w:tcBorders>
            <w:vAlign w:val="center"/>
          </w:tcPr>
          <w:p w14:paraId="259B7846" w14:textId="08469963" w:rsidR="00C74419" w:rsidRPr="00227BE0" w:rsidRDefault="00C74419" w:rsidP="00D425F2">
            <w:pPr>
              <w:widowControl w:val="0"/>
              <w:suppressAutoHyphens/>
              <w:jc w:val="center"/>
              <w:rPr>
                <w:noProof/>
                <w:sz w:val="20"/>
                <w:szCs w:val="20"/>
              </w:rPr>
            </w:pPr>
            <w:r w:rsidRPr="00227BE0">
              <w:rPr>
                <w:noProof/>
                <w:sz w:val="20"/>
                <w:szCs w:val="20"/>
              </w:rPr>
              <w:t>0.2</w:t>
            </w:r>
          </w:p>
        </w:tc>
        <w:tc>
          <w:tcPr>
            <w:tcW w:w="357" w:type="pct"/>
            <w:tcBorders>
              <w:top w:val="single" w:sz="4" w:space="0" w:color="auto"/>
              <w:left w:val="single" w:sz="4" w:space="0" w:color="auto"/>
              <w:bottom w:val="single" w:sz="4" w:space="0" w:color="auto"/>
              <w:right w:val="single" w:sz="4" w:space="0" w:color="auto"/>
            </w:tcBorders>
            <w:vAlign w:val="center"/>
          </w:tcPr>
          <w:p w14:paraId="5861E514" w14:textId="77777777" w:rsidR="00C74419" w:rsidRPr="00227BE0" w:rsidRDefault="00C74419" w:rsidP="00D425F2">
            <w:pPr>
              <w:suppressAutoHyphens/>
              <w:jc w:val="center"/>
              <w:rPr>
                <w:sz w:val="20"/>
                <w:szCs w:val="20"/>
                <w:lang w:eastAsia="en-US"/>
              </w:rPr>
            </w:pPr>
            <w:r w:rsidRPr="00227BE0">
              <w:rPr>
                <w:sz w:val="20"/>
                <w:szCs w:val="20"/>
                <w:lang w:eastAsia="en-US"/>
              </w:rPr>
              <w:t>0.9</w:t>
            </w:r>
          </w:p>
        </w:tc>
        <w:tc>
          <w:tcPr>
            <w:tcW w:w="406" w:type="pct"/>
            <w:tcBorders>
              <w:top w:val="single" w:sz="4" w:space="0" w:color="auto"/>
              <w:left w:val="single" w:sz="4" w:space="0" w:color="auto"/>
              <w:bottom w:val="single" w:sz="4" w:space="0" w:color="auto"/>
              <w:right w:val="single" w:sz="4" w:space="0" w:color="auto"/>
            </w:tcBorders>
            <w:vAlign w:val="center"/>
          </w:tcPr>
          <w:p w14:paraId="3E9E0D54" w14:textId="77777777" w:rsidR="00C74419" w:rsidRPr="00227BE0" w:rsidRDefault="00C74419" w:rsidP="00D425F2">
            <w:pPr>
              <w:suppressAutoHyphens/>
              <w:jc w:val="center"/>
              <w:rPr>
                <w:b/>
                <w:sz w:val="20"/>
                <w:szCs w:val="20"/>
                <w:lang w:eastAsia="en-US"/>
              </w:rPr>
            </w:pPr>
            <w:r w:rsidRPr="00227BE0">
              <w:rPr>
                <w:b/>
                <w:sz w:val="20"/>
                <w:szCs w:val="20"/>
                <w:lang w:eastAsia="en-US"/>
              </w:rPr>
              <w:t>21</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507219EB" w14:textId="77777777" w:rsidR="00C74419" w:rsidRPr="00227BE0" w:rsidRDefault="00C74419" w:rsidP="00D425F2">
            <w:pPr>
              <w:suppressAutoHyphens/>
              <w:rPr>
                <w:sz w:val="20"/>
                <w:szCs w:val="20"/>
                <w:lang w:eastAsia="en-US"/>
              </w:rPr>
            </w:pPr>
            <w:r w:rsidRPr="00227BE0">
              <w:rPr>
                <w:sz w:val="20"/>
                <w:szCs w:val="20"/>
                <w:lang w:eastAsia="en-US"/>
              </w:rPr>
              <w:t>263.653</w:t>
            </w:r>
          </w:p>
        </w:tc>
        <w:tc>
          <w:tcPr>
            <w:tcW w:w="345" w:type="pct"/>
            <w:gridSpan w:val="2"/>
            <w:tcBorders>
              <w:top w:val="single" w:sz="4" w:space="0" w:color="auto"/>
              <w:left w:val="single" w:sz="4" w:space="0" w:color="auto"/>
              <w:bottom w:val="single" w:sz="4" w:space="0" w:color="auto"/>
              <w:right w:val="single" w:sz="4" w:space="0" w:color="auto"/>
            </w:tcBorders>
            <w:vAlign w:val="center"/>
          </w:tcPr>
          <w:p w14:paraId="4459345F" w14:textId="77777777" w:rsidR="00C74419" w:rsidRPr="00227BE0" w:rsidRDefault="00C74419" w:rsidP="00D425F2">
            <w:pPr>
              <w:widowControl w:val="0"/>
              <w:suppressAutoHyphens/>
              <w:jc w:val="center"/>
              <w:rPr>
                <w:noProof/>
                <w:sz w:val="20"/>
                <w:szCs w:val="20"/>
              </w:rPr>
            </w:pPr>
            <w:r w:rsidRPr="00227BE0">
              <w:rPr>
                <w:noProof/>
                <w:sz w:val="20"/>
                <w:szCs w:val="20"/>
              </w:rPr>
              <w:t>0.1</w:t>
            </w:r>
          </w:p>
        </w:tc>
      </w:tr>
      <w:tr w:rsidR="00C74419" w:rsidRPr="00227BE0" w14:paraId="486E02E5" w14:textId="77777777" w:rsidTr="00F95F78">
        <w:trPr>
          <w:cantSplit/>
        </w:trPr>
        <w:tc>
          <w:tcPr>
            <w:tcW w:w="463" w:type="pct"/>
            <w:tcBorders>
              <w:top w:val="single" w:sz="4" w:space="0" w:color="auto"/>
              <w:left w:val="single" w:sz="4" w:space="0" w:color="auto"/>
              <w:bottom w:val="single" w:sz="4" w:space="0" w:color="auto"/>
              <w:right w:val="nil"/>
            </w:tcBorders>
            <w:vAlign w:val="center"/>
          </w:tcPr>
          <w:p w14:paraId="4B4F989B" w14:textId="77777777" w:rsidR="00C74419" w:rsidRPr="00227BE0" w:rsidRDefault="00C74419" w:rsidP="00D425F2">
            <w:pPr>
              <w:widowControl w:val="0"/>
              <w:suppressAutoHyphens/>
              <w:rPr>
                <w:b/>
                <w:sz w:val="20"/>
                <w:szCs w:val="20"/>
                <w:lang w:val="en-GB"/>
              </w:rPr>
            </w:pPr>
            <w:r w:rsidRPr="00227BE0">
              <w:rPr>
                <w:b/>
                <w:sz w:val="20"/>
                <w:szCs w:val="20"/>
                <w:lang w:val="en-GB"/>
              </w:rPr>
              <w:t>Step 2</w:t>
            </w:r>
          </w:p>
        </w:tc>
        <w:tc>
          <w:tcPr>
            <w:tcW w:w="278" w:type="pct"/>
            <w:tcBorders>
              <w:top w:val="single" w:sz="4" w:space="0" w:color="auto"/>
              <w:left w:val="nil"/>
              <w:bottom w:val="single" w:sz="4" w:space="0" w:color="auto"/>
              <w:right w:val="nil"/>
            </w:tcBorders>
            <w:vAlign w:val="center"/>
          </w:tcPr>
          <w:p w14:paraId="479E60FA" w14:textId="77777777" w:rsidR="00C74419" w:rsidRPr="00227BE0" w:rsidRDefault="00C74419" w:rsidP="00D425F2">
            <w:pPr>
              <w:widowControl w:val="0"/>
              <w:suppressAutoHyphens/>
              <w:rPr>
                <w:b/>
                <w:bCs/>
                <w:sz w:val="20"/>
                <w:szCs w:val="20"/>
              </w:rPr>
            </w:pPr>
          </w:p>
        </w:tc>
        <w:tc>
          <w:tcPr>
            <w:tcW w:w="408" w:type="pct"/>
            <w:gridSpan w:val="2"/>
            <w:tcBorders>
              <w:top w:val="single" w:sz="4" w:space="0" w:color="auto"/>
              <w:left w:val="nil"/>
              <w:bottom w:val="single" w:sz="4" w:space="0" w:color="auto"/>
              <w:right w:val="nil"/>
            </w:tcBorders>
          </w:tcPr>
          <w:p w14:paraId="21FB3B87" w14:textId="77777777" w:rsidR="00C74419" w:rsidRPr="00227BE0" w:rsidRDefault="00C74419" w:rsidP="00D425F2">
            <w:pPr>
              <w:keepNext/>
              <w:keepLines/>
              <w:widowControl w:val="0"/>
              <w:suppressAutoHyphens/>
              <w:jc w:val="center"/>
              <w:rPr>
                <w:b/>
                <w:bCs/>
                <w:noProof/>
                <w:sz w:val="20"/>
                <w:szCs w:val="20"/>
              </w:rPr>
            </w:pPr>
          </w:p>
        </w:tc>
        <w:tc>
          <w:tcPr>
            <w:tcW w:w="329" w:type="pct"/>
            <w:gridSpan w:val="2"/>
            <w:tcBorders>
              <w:top w:val="single" w:sz="4" w:space="0" w:color="auto"/>
              <w:left w:val="nil"/>
              <w:bottom w:val="single" w:sz="4" w:space="0" w:color="auto"/>
              <w:right w:val="nil"/>
            </w:tcBorders>
          </w:tcPr>
          <w:p w14:paraId="4CAF4C62" w14:textId="77777777" w:rsidR="00C74419" w:rsidRPr="00227BE0" w:rsidRDefault="00C74419" w:rsidP="00D425F2">
            <w:pPr>
              <w:keepNext/>
              <w:keepLines/>
              <w:widowControl w:val="0"/>
              <w:suppressAutoHyphens/>
              <w:rPr>
                <w:b/>
                <w:bCs/>
                <w:noProof/>
                <w:sz w:val="20"/>
                <w:szCs w:val="20"/>
              </w:rPr>
            </w:pPr>
          </w:p>
        </w:tc>
        <w:tc>
          <w:tcPr>
            <w:tcW w:w="371" w:type="pct"/>
            <w:gridSpan w:val="2"/>
            <w:tcBorders>
              <w:top w:val="single" w:sz="4" w:space="0" w:color="auto"/>
              <w:left w:val="nil"/>
              <w:bottom w:val="single" w:sz="4" w:space="0" w:color="auto"/>
              <w:right w:val="nil"/>
            </w:tcBorders>
          </w:tcPr>
          <w:p w14:paraId="77A7D8C8" w14:textId="77777777" w:rsidR="00C74419" w:rsidRPr="00227BE0" w:rsidRDefault="00C74419" w:rsidP="00D425F2">
            <w:pPr>
              <w:keepNext/>
              <w:keepLines/>
              <w:widowControl w:val="0"/>
              <w:suppressAutoHyphens/>
              <w:rPr>
                <w:b/>
                <w:bCs/>
                <w:noProof/>
                <w:sz w:val="20"/>
                <w:szCs w:val="20"/>
              </w:rPr>
            </w:pPr>
          </w:p>
        </w:tc>
        <w:tc>
          <w:tcPr>
            <w:tcW w:w="2758" w:type="pct"/>
            <w:gridSpan w:val="8"/>
            <w:tcBorders>
              <w:top w:val="single" w:sz="4" w:space="0" w:color="auto"/>
              <w:left w:val="nil"/>
              <w:bottom w:val="single" w:sz="4" w:space="0" w:color="auto"/>
              <w:right w:val="nil"/>
            </w:tcBorders>
            <w:vAlign w:val="center"/>
          </w:tcPr>
          <w:p w14:paraId="3E276251" w14:textId="103FB8F9" w:rsidR="00C74419" w:rsidRPr="00227BE0" w:rsidRDefault="00C74419" w:rsidP="00D425F2">
            <w:pPr>
              <w:keepNext/>
              <w:keepLines/>
              <w:widowControl w:val="0"/>
              <w:suppressAutoHyphens/>
              <w:rPr>
                <w:b/>
                <w:bCs/>
                <w:noProof/>
                <w:sz w:val="20"/>
                <w:szCs w:val="20"/>
              </w:rPr>
            </w:pPr>
          </w:p>
        </w:tc>
        <w:tc>
          <w:tcPr>
            <w:tcW w:w="42" w:type="pct"/>
            <w:tcBorders>
              <w:top w:val="single" w:sz="4" w:space="0" w:color="auto"/>
              <w:left w:val="nil"/>
              <w:bottom w:val="single" w:sz="4" w:space="0" w:color="auto"/>
              <w:right w:val="nil"/>
            </w:tcBorders>
          </w:tcPr>
          <w:p w14:paraId="07F380B7" w14:textId="77777777" w:rsidR="00C74419" w:rsidRPr="00227BE0" w:rsidRDefault="00C74419" w:rsidP="00D425F2">
            <w:pPr>
              <w:widowControl w:val="0"/>
              <w:suppressAutoHyphens/>
              <w:rPr>
                <w:b/>
                <w:bCs/>
                <w:sz w:val="20"/>
                <w:szCs w:val="20"/>
              </w:rPr>
            </w:pPr>
          </w:p>
        </w:tc>
        <w:tc>
          <w:tcPr>
            <w:tcW w:w="43" w:type="pct"/>
            <w:gridSpan w:val="2"/>
            <w:tcBorders>
              <w:top w:val="single" w:sz="4" w:space="0" w:color="auto"/>
              <w:left w:val="nil"/>
              <w:bottom w:val="single" w:sz="4" w:space="0" w:color="auto"/>
              <w:right w:val="nil"/>
            </w:tcBorders>
            <w:vAlign w:val="center"/>
          </w:tcPr>
          <w:p w14:paraId="239DA44E" w14:textId="77777777" w:rsidR="00C74419" w:rsidRPr="00227BE0" w:rsidRDefault="00C74419" w:rsidP="00D425F2">
            <w:pPr>
              <w:widowControl w:val="0"/>
              <w:suppressAutoHyphens/>
              <w:rPr>
                <w:b/>
                <w:bCs/>
                <w:sz w:val="20"/>
                <w:szCs w:val="20"/>
              </w:rPr>
            </w:pPr>
          </w:p>
        </w:tc>
        <w:tc>
          <w:tcPr>
            <w:tcW w:w="309" w:type="pct"/>
            <w:tcBorders>
              <w:top w:val="single" w:sz="4" w:space="0" w:color="auto"/>
              <w:left w:val="nil"/>
              <w:bottom w:val="single" w:sz="4" w:space="0" w:color="auto"/>
              <w:right w:val="single" w:sz="4" w:space="0" w:color="auto"/>
            </w:tcBorders>
            <w:vAlign w:val="center"/>
          </w:tcPr>
          <w:p w14:paraId="71B5042C" w14:textId="77777777" w:rsidR="00C74419" w:rsidRPr="00227BE0" w:rsidRDefault="00C74419" w:rsidP="00D425F2">
            <w:pPr>
              <w:widowControl w:val="0"/>
              <w:suppressAutoHyphens/>
              <w:jc w:val="center"/>
              <w:rPr>
                <w:b/>
                <w:bCs/>
                <w:noProof/>
                <w:sz w:val="20"/>
                <w:szCs w:val="20"/>
              </w:rPr>
            </w:pPr>
          </w:p>
        </w:tc>
      </w:tr>
      <w:tr w:rsidR="00C74419" w:rsidRPr="00227BE0" w14:paraId="3F116D98" w14:textId="77777777" w:rsidTr="00626445">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3F71EF39" w14:textId="77777777" w:rsidR="00C74419" w:rsidRPr="00227BE0" w:rsidRDefault="00C74419" w:rsidP="00D425F2">
            <w:pPr>
              <w:widowControl w:val="0"/>
              <w:suppressAutoHyphens/>
              <w:rPr>
                <w:noProof/>
                <w:sz w:val="20"/>
                <w:szCs w:val="20"/>
                <w:vertAlign w:val="superscript"/>
              </w:rPr>
            </w:pPr>
            <w:r w:rsidRPr="00227BE0">
              <w:rPr>
                <w:sz w:val="20"/>
                <w:szCs w:val="20"/>
              </w:rPr>
              <w:t>N-Europe</w:t>
            </w:r>
          </w:p>
        </w:tc>
        <w:tc>
          <w:tcPr>
            <w:tcW w:w="278" w:type="pct"/>
            <w:tcBorders>
              <w:top w:val="single" w:sz="4" w:space="0" w:color="auto"/>
              <w:left w:val="single" w:sz="4" w:space="0" w:color="auto"/>
              <w:bottom w:val="single" w:sz="4" w:space="0" w:color="auto"/>
              <w:right w:val="single" w:sz="4" w:space="0" w:color="auto"/>
            </w:tcBorders>
            <w:vAlign w:val="center"/>
          </w:tcPr>
          <w:p w14:paraId="10F323FE" w14:textId="77777777" w:rsidR="00C74419" w:rsidRPr="00227BE0" w:rsidRDefault="00C74419" w:rsidP="00D425F2">
            <w:pPr>
              <w:widowControl w:val="0"/>
              <w:suppressAutoHyphens/>
              <w:rPr>
                <w:noProof/>
                <w:sz w:val="20"/>
                <w:szCs w:val="20"/>
              </w:rPr>
            </w:pPr>
            <w:r w:rsidRPr="00227BE0">
              <w:rPr>
                <w:noProof/>
                <w:sz w:val="20"/>
                <w:szCs w:val="20"/>
              </w:rPr>
              <w:t>11.290</w:t>
            </w:r>
          </w:p>
        </w:tc>
        <w:tc>
          <w:tcPr>
            <w:tcW w:w="286" w:type="pct"/>
            <w:tcBorders>
              <w:top w:val="single" w:sz="4" w:space="0" w:color="auto"/>
              <w:left w:val="single" w:sz="4" w:space="0" w:color="auto"/>
              <w:bottom w:val="single" w:sz="4" w:space="0" w:color="auto"/>
              <w:right w:val="single" w:sz="4" w:space="0" w:color="auto"/>
            </w:tcBorders>
            <w:vAlign w:val="center"/>
          </w:tcPr>
          <w:p w14:paraId="5AB88949" w14:textId="77777777" w:rsidR="00C74419" w:rsidRPr="00227BE0" w:rsidRDefault="00C74419" w:rsidP="00D425F2">
            <w:pPr>
              <w:widowControl w:val="0"/>
              <w:suppressAutoHyphens/>
              <w:jc w:val="center"/>
              <w:rPr>
                <w:b/>
                <w:noProof/>
                <w:sz w:val="20"/>
                <w:szCs w:val="20"/>
              </w:rPr>
            </w:pPr>
            <w:r w:rsidRPr="00227BE0">
              <w:rPr>
                <w:b/>
                <w:noProof/>
                <w:color w:val="000000"/>
                <w:sz w:val="20"/>
                <w:szCs w:val="20"/>
              </w:rPr>
              <w:t>2.4</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74779054" w14:textId="77777777" w:rsidR="00C74419" w:rsidRPr="00227BE0" w:rsidRDefault="00C74419" w:rsidP="00D425F2">
            <w:pPr>
              <w:widowControl w:val="0"/>
              <w:suppressAutoHyphens/>
              <w:jc w:val="center"/>
              <w:rPr>
                <w:b/>
                <w:noProof/>
                <w:sz w:val="20"/>
                <w:szCs w:val="20"/>
              </w:rPr>
            </w:pPr>
            <w:r w:rsidRPr="00227BE0">
              <w:rPr>
                <w:noProof/>
                <w:color w:val="000000"/>
                <w:sz w:val="20"/>
                <w:szCs w:val="20"/>
              </w:rPr>
              <w:t>0.8</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3466BC" w14:textId="5EBDA585" w:rsidR="00C74419" w:rsidRPr="00227BE0" w:rsidRDefault="00726048" w:rsidP="00D425F2">
            <w:pPr>
              <w:widowControl w:val="0"/>
              <w:suppressAutoHyphens/>
              <w:jc w:val="center"/>
              <w:rPr>
                <w:b/>
                <w:noProof/>
                <w:color w:val="000000"/>
                <w:sz w:val="20"/>
                <w:szCs w:val="20"/>
              </w:rPr>
            </w:pPr>
            <w:r>
              <w:rPr>
                <w:b/>
                <w:noProof/>
                <w:color w:val="000000"/>
                <w:sz w:val="20"/>
                <w:szCs w:val="20"/>
              </w:rPr>
              <w:t>20.5</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29E8EC6A" w14:textId="6DD7E335" w:rsidR="00C74419" w:rsidRPr="00227BE0" w:rsidRDefault="00C74419" w:rsidP="00D425F2">
            <w:pPr>
              <w:widowControl w:val="0"/>
              <w:suppressAutoHyphens/>
              <w:jc w:val="center"/>
              <w:rPr>
                <w:b/>
                <w:noProof/>
                <w:sz w:val="20"/>
                <w:szCs w:val="20"/>
              </w:rPr>
            </w:pPr>
            <w:r w:rsidRPr="00227BE0">
              <w:rPr>
                <w:b/>
                <w:noProof/>
                <w:color w:val="000000"/>
                <w:sz w:val="20"/>
                <w:szCs w:val="20"/>
              </w:rPr>
              <w:t>4.9</w:t>
            </w:r>
          </w:p>
        </w:tc>
        <w:tc>
          <w:tcPr>
            <w:tcW w:w="337" w:type="pct"/>
            <w:tcBorders>
              <w:top w:val="single" w:sz="4" w:space="0" w:color="auto"/>
              <w:left w:val="single" w:sz="4" w:space="0" w:color="auto"/>
              <w:bottom w:val="single" w:sz="4" w:space="0" w:color="auto"/>
              <w:right w:val="single" w:sz="4" w:space="0" w:color="auto"/>
            </w:tcBorders>
            <w:vAlign w:val="center"/>
          </w:tcPr>
          <w:p w14:paraId="67C268C2" w14:textId="77777777" w:rsidR="00C74419" w:rsidRPr="00227BE0" w:rsidRDefault="00C74419" w:rsidP="00D425F2">
            <w:pPr>
              <w:widowControl w:val="0"/>
              <w:suppressAutoHyphens/>
              <w:jc w:val="center"/>
              <w:rPr>
                <w:b/>
                <w:noProof/>
                <w:sz w:val="20"/>
                <w:szCs w:val="20"/>
              </w:rPr>
            </w:pPr>
            <w:r w:rsidRPr="00227BE0">
              <w:rPr>
                <w:b/>
                <w:noProof/>
                <w:color w:val="000000"/>
                <w:sz w:val="20"/>
                <w:szCs w:val="20"/>
              </w:rPr>
              <w:t>2.6</w:t>
            </w:r>
          </w:p>
        </w:tc>
        <w:tc>
          <w:tcPr>
            <w:tcW w:w="405" w:type="pct"/>
            <w:tcBorders>
              <w:top w:val="single" w:sz="4" w:space="0" w:color="auto"/>
              <w:left w:val="single" w:sz="4" w:space="0" w:color="auto"/>
              <w:bottom w:val="single" w:sz="4" w:space="0" w:color="auto"/>
              <w:right w:val="single" w:sz="4" w:space="0" w:color="auto"/>
            </w:tcBorders>
            <w:vAlign w:val="center"/>
          </w:tcPr>
          <w:p w14:paraId="2839DAE8" w14:textId="77777777" w:rsidR="00C74419" w:rsidRPr="00C74419" w:rsidRDefault="00C74419" w:rsidP="00D425F2">
            <w:pPr>
              <w:widowControl w:val="0"/>
              <w:suppressAutoHyphens/>
              <w:jc w:val="center"/>
              <w:rPr>
                <w:b/>
                <w:strike/>
                <w:noProof/>
                <w:color w:val="D9D9D9" w:themeColor="background1" w:themeShade="D9"/>
                <w:sz w:val="20"/>
                <w:szCs w:val="20"/>
              </w:rPr>
            </w:pPr>
            <w:r w:rsidRPr="00C74419">
              <w:rPr>
                <w:b/>
                <w:strike/>
                <w:noProof/>
                <w:color w:val="D9D9D9" w:themeColor="background1" w:themeShade="D9"/>
                <w:sz w:val="20"/>
                <w:szCs w:val="20"/>
              </w:rPr>
              <w:t>1.8</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DB9032" w14:textId="038B570A" w:rsidR="00C74419" w:rsidRPr="00626445" w:rsidRDefault="00626445" w:rsidP="00D425F2">
            <w:pPr>
              <w:widowControl w:val="0"/>
              <w:suppressAutoHyphens/>
              <w:jc w:val="center"/>
              <w:rPr>
                <w:b/>
                <w:bCs/>
                <w:noProof/>
                <w:sz w:val="20"/>
                <w:szCs w:val="20"/>
              </w:rPr>
            </w:pPr>
            <w:r w:rsidRPr="00626445">
              <w:rPr>
                <w:b/>
                <w:bCs/>
                <w:noProof/>
                <w:sz w:val="20"/>
                <w:szCs w:val="20"/>
              </w:rPr>
              <w:t>0.8</w:t>
            </w:r>
          </w:p>
        </w:tc>
        <w:tc>
          <w:tcPr>
            <w:tcW w:w="374" w:type="pct"/>
            <w:tcBorders>
              <w:top w:val="single" w:sz="4" w:space="0" w:color="auto"/>
              <w:left w:val="single" w:sz="4" w:space="0" w:color="auto"/>
              <w:bottom w:val="single" w:sz="4" w:space="0" w:color="auto"/>
              <w:right w:val="single" w:sz="4" w:space="0" w:color="auto"/>
            </w:tcBorders>
          </w:tcPr>
          <w:p w14:paraId="4E8FB67F" w14:textId="3FBF16D4" w:rsidR="00C74419" w:rsidRPr="00227BE0" w:rsidRDefault="00C74419" w:rsidP="00D425F2">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7A58F329" w14:textId="77777777" w:rsidR="00C74419" w:rsidRPr="00227BE0" w:rsidRDefault="00C74419" w:rsidP="00D425F2">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4175619B" w14:textId="77777777" w:rsidR="00C74419" w:rsidRPr="00227BE0" w:rsidRDefault="00C74419" w:rsidP="00D425F2">
            <w:pPr>
              <w:suppressAutoHyphens/>
              <w:jc w:val="center"/>
              <w:rPr>
                <w:b/>
                <w:sz w:val="20"/>
                <w:szCs w:val="20"/>
              </w:rPr>
            </w:pPr>
            <w:r w:rsidRPr="00227BE0">
              <w:rPr>
                <w:b/>
                <w:noProof/>
                <w:color w:val="000000"/>
                <w:sz w:val="20"/>
                <w:szCs w:val="20"/>
              </w:rPr>
              <w:t>3.4</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4F2E5EEF" w14:textId="77777777" w:rsidR="00C74419" w:rsidRPr="00227BE0" w:rsidRDefault="00C74419" w:rsidP="00D425F2">
            <w:pPr>
              <w:suppressAutoHyphens/>
              <w:rPr>
                <w:sz w:val="20"/>
                <w:szCs w:val="20"/>
              </w:rPr>
            </w:pPr>
            <w:r w:rsidRPr="00227BE0">
              <w:rPr>
                <w:sz w:val="20"/>
                <w:szCs w:val="20"/>
              </w:rPr>
              <w:t>43.330</w:t>
            </w:r>
          </w:p>
        </w:tc>
        <w:tc>
          <w:tcPr>
            <w:tcW w:w="345" w:type="pct"/>
            <w:gridSpan w:val="2"/>
            <w:tcBorders>
              <w:top w:val="single" w:sz="4" w:space="0" w:color="auto"/>
              <w:left w:val="single" w:sz="4" w:space="0" w:color="auto"/>
              <w:bottom w:val="single" w:sz="4" w:space="0" w:color="auto"/>
              <w:right w:val="single" w:sz="4" w:space="0" w:color="auto"/>
            </w:tcBorders>
            <w:vAlign w:val="center"/>
          </w:tcPr>
          <w:p w14:paraId="40FCD8AE" w14:textId="77777777" w:rsidR="00C74419" w:rsidRPr="00227BE0" w:rsidRDefault="00C74419" w:rsidP="00D425F2">
            <w:pPr>
              <w:widowControl w:val="0"/>
              <w:suppressAutoHyphens/>
              <w:jc w:val="center"/>
              <w:rPr>
                <w:noProof/>
                <w:sz w:val="20"/>
                <w:szCs w:val="20"/>
              </w:rPr>
            </w:pPr>
            <w:r w:rsidRPr="00227BE0">
              <w:rPr>
                <w:noProof/>
                <w:sz w:val="20"/>
                <w:szCs w:val="20"/>
              </w:rPr>
              <w:t>--</w:t>
            </w:r>
          </w:p>
        </w:tc>
      </w:tr>
      <w:tr w:rsidR="00C74419" w:rsidRPr="00227BE0" w14:paraId="4A61F43D" w14:textId="77777777" w:rsidTr="00BA0883">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1AA626A7" w14:textId="77777777" w:rsidR="00C74419" w:rsidRPr="00227BE0" w:rsidRDefault="00C74419" w:rsidP="00D425F2">
            <w:pPr>
              <w:widowControl w:val="0"/>
              <w:suppressAutoHyphens/>
              <w:rPr>
                <w:noProof/>
                <w:sz w:val="20"/>
                <w:szCs w:val="20"/>
                <w:vertAlign w:val="superscript"/>
              </w:rPr>
            </w:pPr>
            <w:r w:rsidRPr="00227BE0">
              <w:rPr>
                <w:sz w:val="20"/>
                <w:szCs w:val="20"/>
              </w:rPr>
              <w:t>S-Europe</w:t>
            </w:r>
          </w:p>
        </w:tc>
        <w:tc>
          <w:tcPr>
            <w:tcW w:w="278" w:type="pct"/>
            <w:tcBorders>
              <w:top w:val="single" w:sz="4" w:space="0" w:color="auto"/>
              <w:left w:val="single" w:sz="4" w:space="0" w:color="auto"/>
              <w:bottom w:val="single" w:sz="4" w:space="0" w:color="auto"/>
              <w:right w:val="single" w:sz="4" w:space="0" w:color="auto"/>
            </w:tcBorders>
            <w:vAlign w:val="center"/>
          </w:tcPr>
          <w:p w14:paraId="7325A49D" w14:textId="77777777" w:rsidR="00C74419" w:rsidRPr="00227BE0" w:rsidRDefault="00C74419" w:rsidP="00D425F2">
            <w:pPr>
              <w:widowControl w:val="0"/>
              <w:suppressAutoHyphens/>
              <w:rPr>
                <w:noProof/>
                <w:sz w:val="20"/>
                <w:szCs w:val="20"/>
              </w:rPr>
            </w:pPr>
            <w:r w:rsidRPr="00227BE0">
              <w:rPr>
                <w:noProof/>
                <w:sz w:val="20"/>
                <w:szCs w:val="20"/>
              </w:rPr>
              <w:t>20.838</w:t>
            </w:r>
          </w:p>
        </w:tc>
        <w:tc>
          <w:tcPr>
            <w:tcW w:w="286" w:type="pct"/>
            <w:tcBorders>
              <w:top w:val="single" w:sz="4" w:space="0" w:color="auto"/>
              <w:left w:val="single" w:sz="4" w:space="0" w:color="auto"/>
              <w:bottom w:val="single" w:sz="4" w:space="0" w:color="auto"/>
              <w:right w:val="single" w:sz="4" w:space="0" w:color="auto"/>
            </w:tcBorders>
            <w:vAlign w:val="center"/>
          </w:tcPr>
          <w:p w14:paraId="062913F9" w14:textId="77777777" w:rsidR="00C74419" w:rsidRPr="00227BE0" w:rsidRDefault="00C74419" w:rsidP="00D425F2">
            <w:pPr>
              <w:widowControl w:val="0"/>
              <w:suppressAutoHyphens/>
              <w:jc w:val="center"/>
              <w:rPr>
                <w:b/>
                <w:noProof/>
                <w:sz w:val="20"/>
                <w:szCs w:val="20"/>
              </w:rPr>
            </w:pPr>
            <w:r w:rsidRPr="00227BE0">
              <w:rPr>
                <w:b/>
                <w:color w:val="000000"/>
                <w:sz w:val="20"/>
                <w:szCs w:val="20"/>
              </w:rPr>
              <w:t>4.4</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70EFF186" w14:textId="77777777" w:rsidR="00C74419" w:rsidRPr="00227BE0" w:rsidRDefault="00C74419" w:rsidP="00D425F2">
            <w:pPr>
              <w:widowControl w:val="0"/>
              <w:suppressAutoHyphens/>
              <w:jc w:val="center"/>
              <w:rPr>
                <w:b/>
                <w:noProof/>
                <w:sz w:val="20"/>
                <w:szCs w:val="20"/>
              </w:rPr>
            </w:pPr>
            <w:r w:rsidRPr="00227BE0">
              <w:rPr>
                <w:b/>
                <w:color w:val="000000"/>
                <w:sz w:val="20"/>
                <w:szCs w:val="20"/>
              </w:rPr>
              <w:t>1.4</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D14FCD" w14:textId="76C27DB5" w:rsidR="00C74419" w:rsidRPr="00227BE0" w:rsidRDefault="00AE08F8" w:rsidP="00D425F2">
            <w:pPr>
              <w:widowControl w:val="0"/>
              <w:suppressAutoHyphens/>
              <w:jc w:val="center"/>
              <w:rPr>
                <w:b/>
                <w:color w:val="000000"/>
                <w:sz w:val="20"/>
                <w:szCs w:val="20"/>
              </w:rPr>
            </w:pPr>
            <w:r>
              <w:rPr>
                <w:b/>
                <w:color w:val="000000"/>
                <w:sz w:val="20"/>
                <w:szCs w:val="20"/>
              </w:rPr>
              <w:t>37.9</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4011991E" w14:textId="57627938" w:rsidR="00C74419" w:rsidRPr="00227BE0" w:rsidRDefault="00C74419" w:rsidP="00D425F2">
            <w:pPr>
              <w:widowControl w:val="0"/>
              <w:suppressAutoHyphens/>
              <w:jc w:val="center"/>
              <w:rPr>
                <w:b/>
                <w:noProof/>
                <w:sz w:val="20"/>
                <w:szCs w:val="20"/>
              </w:rPr>
            </w:pPr>
            <w:r w:rsidRPr="00227BE0">
              <w:rPr>
                <w:b/>
                <w:color w:val="000000"/>
                <w:sz w:val="20"/>
                <w:szCs w:val="20"/>
              </w:rPr>
              <w:t>9.1</w:t>
            </w:r>
          </w:p>
        </w:tc>
        <w:tc>
          <w:tcPr>
            <w:tcW w:w="337" w:type="pct"/>
            <w:tcBorders>
              <w:top w:val="single" w:sz="4" w:space="0" w:color="auto"/>
              <w:left w:val="single" w:sz="4" w:space="0" w:color="auto"/>
              <w:bottom w:val="single" w:sz="4" w:space="0" w:color="auto"/>
              <w:right w:val="single" w:sz="4" w:space="0" w:color="auto"/>
            </w:tcBorders>
            <w:vAlign w:val="center"/>
          </w:tcPr>
          <w:p w14:paraId="7E2BDC0D" w14:textId="77777777" w:rsidR="00C74419" w:rsidRPr="00227BE0" w:rsidRDefault="00C74419" w:rsidP="00D425F2">
            <w:pPr>
              <w:widowControl w:val="0"/>
              <w:suppressAutoHyphens/>
              <w:jc w:val="center"/>
              <w:rPr>
                <w:b/>
                <w:noProof/>
                <w:sz w:val="20"/>
                <w:szCs w:val="20"/>
              </w:rPr>
            </w:pPr>
            <w:r w:rsidRPr="00227BE0">
              <w:rPr>
                <w:b/>
                <w:color w:val="000000"/>
                <w:sz w:val="20"/>
                <w:szCs w:val="20"/>
              </w:rPr>
              <w:t>4.7</w:t>
            </w:r>
          </w:p>
        </w:tc>
        <w:tc>
          <w:tcPr>
            <w:tcW w:w="405" w:type="pct"/>
            <w:tcBorders>
              <w:top w:val="single" w:sz="4" w:space="0" w:color="auto"/>
              <w:left w:val="single" w:sz="4" w:space="0" w:color="auto"/>
              <w:bottom w:val="single" w:sz="4" w:space="0" w:color="auto"/>
              <w:right w:val="single" w:sz="4" w:space="0" w:color="auto"/>
            </w:tcBorders>
            <w:vAlign w:val="center"/>
          </w:tcPr>
          <w:p w14:paraId="73A5DBDA" w14:textId="77777777" w:rsidR="00C74419" w:rsidRPr="00C74419" w:rsidRDefault="00C74419" w:rsidP="00D425F2">
            <w:pPr>
              <w:widowControl w:val="0"/>
              <w:suppressAutoHyphens/>
              <w:jc w:val="center"/>
              <w:rPr>
                <w:b/>
                <w:strike/>
                <w:noProof/>
                <w:color w:val="D9D9D9" w:themeColor="background1" w:themeShade="D9"/>
                <w:sz w:val="20"/>
                <w:szCs w:val="20"/>
              </w:rPr>
            </w:pPr>
            <w:r w:rsidRPr="00C74419">
              <w:rPr>
                <w:b/>
                <w:strike/>
                <w:color w:val="D9D9D9" w:themeColor="background1" w:themeShade="D9"/>
                <w:sz w:val="20"/>
                <w:szCs w:val="20"/>
              </w:rPr>
              <w:t>3.3</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6D4D22" w14:textId="2EF81659" w:rsidR="00C74419" w:rsidRPr="00BA0883" w:rsidRDefault="00BA0883" w:rsidP="00D425F2">
            <w:pPr>
              <w:widowControl w:val="0"/>
              <w:suppressAutoHyphens/>
              <w:jc w:val="center"/>
              <w:rPr>
                <w:b/>
                <w:bCs/>
                <w:noProof/>
                <w:sz w:val="20"/>
                <w:szCs w:val="20"/>
              </w:rPr>
            </w:pPr>
            <w:r w:rsidRPr="00BA0883">
              <w:rPr>
                <w:b/>
                <w:bCs/>
                <w:noProof/>
                <w:sz w:val="20"/>
                <w:szCs w:val="20"/>
              </w:rPr>
              <w:t>1.4</w:t>
            </w:r>
          </w:p>
        </w:tc>
        <w:tc>
          <w:tcPr>
            <w:tcW w:w="374" w:type="pct"/>
            <w:tcBorders>
              <w:top w:val="single" w:sz="4" w:space="0" w:color="auto"/>
              <w:left w:val="single" w:sz="4" w:space="0" w:color="auto"/>
              <w:bottom w:val="single" w:sz="4" w:space="0" w:color="auto"/>
              <w:right w:val="single" w:sz="4" w:space="0" w:color="auto"/>
            </w:tcBorders>
          </w:tcPr>
          <w:p w14:paraId="3CF02139" w14:textId="6C22719C" w:rsidR="00C74419" w:rsidRPr="00227BE0" w:rsidRDefault="00C74419" w:rsidP="00D425F2">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63375841" w14:textId="77777777" w:rsidR="00C74419" w:rsidRPr="00227BE0" w:rsidRDefault="00C74419" w:rsidP="00D425F2">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5D419991" w14:textId="77777777" w:rsidR="00C74419" w:rsidRPr="00227BE0" w:rsidRDefault="00C74419" w:rsidP="00D425F2">
            <w:pPr>
              <w:suppressAutoHyphens/>
              <w:jc w:val="center"/>
              <w:rPr>
                <w:b/>
                <w:sz w:val="20"/>
                <w:szCs w:val="20"/>
              </w:rPr>
            </w:pPr>
            <w:r w:rsidRPr="00227BE0">
              <w:rPr>
                <w:b/>
                <w:color w:val="000000"/>
                <w:sz w:val="20"/>
                <w:szCs w:val="20"/>
              </w:rPr>
              <w:t>6.3</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38AD355B" w14:textId="77777777" w:rsidR="00C74419" w:rsidRPr="00227BE0" w:rsidRDefault="00C74419" w:rsidP="00D425F2">
            <w:pPr>
              <w:suppressAutoHyphens/>
              <w:rPr>
                <w:sz w:val="20"/>
                <w:szCs w:val="20"/>
              </w:rPr>
            </w:pPr>
            <w:r w:rsidRPr="00227BE0">
              <w:rPr>
                <w:sz w:val="20"/>
                <w:szCs w:val="20"/>
              </w:rPr>
              <w:t>80.630</w:t>
            </w:r>
          </w:p>
        </w:tc>
        <w:tc>
          <w:tcPr>
            <w:tcW w:w="345" w:type="pct"/>
            <w:gridSpan w:val="2"/>
            <w:tcBorders>
              <w:top w:val="single" w:sz="4" w:space="0" w:color="auto"/>
              <w:left w:val="single" w:sz="4" w:space="0" w:color="auto"/>
              <w:bottom w:val="single" w:sz="4" w:space="0" w:color="auto"/>
              <w:right w:val="single" w:sz="4" w:space="0" w:color="auto"/>
            </w:tcBorders>
            <w:vAlign w:val="center"/>
          </w:tcPr>
          <w:p w14:paraId="67E4AA30" w14:textId="77777777" w:rsidR="00C74419" w:rsidRPr="00227BE0" w:rsidRDefault="00C74419" w:rsidP="00D425F2">
            <w:pPr>
              <w:widowControl w:val="0"/>
              <w:suppressAutoHyphens/>
              <w:jc w:val="center"/>
              <w:rPr>
                <w:noProof/>
                <w:sz w:val="20"/>
                <w:szCs w:val="20"/>
              </w:rPr>
            </w:pPr>
            <w:r w:rsidRPr="00227BE0">
              <w:rPr>
                <w:noProof/>
                <w:sz w:val="20"/>
                <w:szCs w:val="20"/>
              </w:rPr>
              <w:t>--</w:t>
            </w:r>
          </w:p>
        </w:tc>
      </w:tr>
      <w:tr w:rsidR="00C74419" w:rsidRPr="00227BE0" w14:paraId="316EDD27" w14:textId="77777777" w:rsidTr="00F95F78">
        <w:trPr>
          <w:cantSplit/>
        </w:trPr>
        <w:tc>
          <w:tcPr>
            <w:tcW w:w="463" w:type="pct"/>
            <w:tcBorders>
              <w:top w:val="single" w:sz="4" w:space="0" w:color="auto"/>
              <w:left w:val="single" w:sz="4" w:space="0" w:color="auto"/>
              <w:bottom w:val="single" w:sz="4" w:space="0" w:color="auto"/>
              <w:right w:val="nil"/>
            </w:tcBorders>
            <w:vAlign w:val="center"/>
          </w:tcPr>
          <w:p w14:paraId="2AE3AB38" w14:textId="77777777" w:rsidR="00C74419" w:rsidRPr="00227BE0" w:rsidRDefault="00C74419" w:rsidP="00D425F2">
            <w:pPr>
              <w:widowControl w:val="0"/>
              <w:suppressAutoHyphens/>
              <w:rPr>
                <w:b/>
                <w:sz w:val="20"/>
                <w:szCs w:val="20"/>
                <w:lang w:val="en-GB"/>
              </w:rPr>
            </w:pPr>
            <w:r w:rsidRPr="00227BE0">
              <w:rPr>
                <w:b/>
                <w:sz w:val="20"/>
                <w:szCs w:val="20"/>
                <w:lang w:val="en-GB"/>
              </w:rPr>
              <w:t>Step 3</w:t>
            </w:r>
          </w:p>
        </w:tc>
        <w:tc>
          <w:tcPr>
            <w:tcW w:w="278" w:type="pct"/>
            <w:tcBorders>
              <w:top w:val="single" w:sz="4" w:space="0" w:color="auto"/>
              <w:left w:val="nil"/>
              <w:bottom w:val="single" w:sz="4" w:space="0" w:color="auto"/>
              <w:right w:val="nil"/>
            </w:tcBorders>
            <w:vAlign w:val="center"/>
          </w:tcPr>
          <w:p w14:paraId="7B2C3BC3" w14:textId="77777777" w:rsidR="00C74419" w:rsidRPr="00227BE0" w:rsidRDefault="00C74419" w:rsidP="00D425F2">
            <w:pPr>
              <w:widowControl w:val="0"/>
              <w:suppressAutoHyphens/>
              <w:rPr>
                <w:b/>
                <w:bCs/>
                <w:sz w:val="20"/>
                <w:szCs w:val="20"/>
              </w:rPr>
            </w:pPr>
          </w:p>
        </w:tc>
        <w:tc>
          <w:tcPr>
            <w:tcW w:w="408" w:type="pct"/>
            <w:gridSpan w:val="2"/>
            <w:tcBorders>
              <w:top w:val="single" w:sz="4" w:space="0" w:color="auto"/>
              <w:left w:val="nil"/>
              <w:bottom w:val="single" w:sz="4" w:space="0" w:color="auto"/>
              <w:right w:val="nil"/>
            </w:tcBorders>
          </w:tcPr>
          <w:p w14:paraId="6AFD9F6C" w14:textId="77777777" w:rsidR="00C74419" w:rsidRPr="00227BE0" w:rsidRDefault="00C74419" w:rsidP="00D425F2">
            <w:pPr>
              <w:keepNext/>
              <w:keepLines/>
              <w:widowControl w:val="0"/>
              <w:suppressAutoHyphens/>
              <w:jc w:val="center"/>
              <w:rPr>
                <w:b/>
                <w:bCs/>
                <w:noProof/>
                <w:sz w:val="20"/>
                <w:szCs w:val="20"/>
              </w:rPr>
            </w:pPr>
          </w:p>
        </w:tc>
        <w:tc>
          <w:tcPr>
            <w:tcW w:w="329" w:type="pct"/>
            <w:gridSpan w:val="2"/>
            <w:tcBorders>
              <w:top w:val="single" w:sz="4" w:space="0" w:color="auto"/>
              <w:left w:val="nil"/>
              <w:bottom w:val="single" w:sz="4" w:space="0" w:color="auto"/>
              <w:right w:val="nil"/>
            </w:tcBorders>
          </w:tcPr>
          <w:p w14:paraId="67186006" w14:textId="77777777" w:rsidR="00C74419" w:rsidRPr="00227BE0" w:rsidRDefault="00C74419" w:rsidP="00D425F2">
            <w:pPr>
              <w:keepNext/>
              <w:keepLines/>
              <w:widowControl w:val="0"/>
              <w:suppressAutoHyphens/>
              <w:rPr>
                <w:b/>
                <w:bCs/>
                <w:noProof/>
                <w:sz w:val="20"/>
                <w:szCs w:val="20"/>
              </w:rPr>
            </w:pPr>
          </w:p>
        </w:tc>
        <w:tc>
          <w:tcPr>
            <w:tcW w:w="371" w:type="pct"/>
            <w:gridSpan w:val="2"/>
            <w:tcBorders>
              <w:top w:val="single" w:sz="4" w:space="0" w:color="auto"/>
              <w:left w:val="nil"/>
              <w:bottom w:val="single" w:sz="4" w:space="0" w:color="auto"/>
              <w:right w:val="nil"/>
            </w:tcBorders>
          </w:tcPr>
          <w:p w14:paraId="64A3CACF" w14:textId="77777777" w:rsidR="00C74419" w:rsidRPr="00227BE0" w:rsidRDefault="00C74419" w:rsidP="00D425F2">
            <w:pPr>
              <w:keepNext/>
              <w:keepLines/>
              <w:widowControl w:val="0"/>
              <w:suppressAutoHyphens/>
              <w:rPr>
                <w:b/>
                <w:bCs/>
                <w:noProof/>
                <w:sz w:val="20"/>
                <w:szCs w:val="20"/>
              </w:rPr>
            </w:pPr>
          </w:p>
        </w:tc>
        <w:tc>
          <w:tcPr>
            <w:tcW w:w="2758" w:type="pct"/>
            <w:gridSpan w:val="8"/>
            <w:tcBorders>
              <w:top w:val="single" w:sz="4" w:space="0" w:color="auto"/>
              <w:left w:val="nil"/>
              <w:bottom w:val="single" w:sz="4" w:space="0" w:color="auto"/>
              <w:right w:val="nil"/>
            </w:tcBorders>
            <w:vAlign w:val="center"/>
          </w:tcPr>
          <w:p w14:paraId="1ED9EE8B" w14:textId="210F57B0" w:rsidR="00C74419" w:rsidRPr="00227BE0" w:rsidRDefault="00C74419" w:rsidP="00D425F2">
            <w:pPr>
              <w:keepNext/>
              <w:keepLines/>
              <w:widowControl w:val="0"/>
              <w:suppressAutoHyphens/>
              <w:rPr>
                <w:b/>
                <w:bCs/>
                <w:noProof/>
                <w:sz w:val="20"/>
                <w:szCs w:val="20"/>
              </w:rPr>
            </w:pPr>
          </w:p>
        </w:tc>
        <w:tc>
          <w:tcPr>
            <w:tcW w:w="42" w:type="pct"/>
            <w:tcBorders>
              <w:top w:val="single" w:sz="4" w:space="0" w:color="auto"/>
              <w:left w:val="nil"/>
              <w:bottom w:val="single" w:sz="4" w:space="0" w:color="auto"/>
              <w:right w:val="nil"/>
            </w:tcBorders>
          </w:tcPr>
          <w:p w14:paraId="29A10B29" w14:textId="77777777" w:rsidR="00C74419" w:rsidRPr="00227BE0" w:rsidRDefault="00C74419" w:rsidP="00D425F2">
            <w:pPr>
              <w:widowControl w:val="0"/>
              <w:suppressAutoHyphens/>
              <w:rPr>
                <w:b/>
                <w:bCs/>
                <w:sz w:val="20"/>
                <w:szCs w:val="20"/>
              </w:rPr>
            </w:pPr>
          </w:p>
        </w:tc>
        <w:tc>
          <w:tcPr>
            <w:tcW w:w="43" w:type="pct"/>
            <w:gridSpan w:val="2"/>
            <w:tcBorders>
              <w:top w:val="single" w:sz="4" w:space="0" w:color="auto"/>
              <w:left w:val="nil"/>
              <w:bottom w:val="single" w:sz="4" w:space="0" w:color="auto"/>
              <w:right w:val="nil"/>
            </w:tcBorders>
            <w:vAlign w:val="center"/>
          </w:tcPr>
          <w:p w14:paraId="2235F45F" w14:textId="77777777" w:rsidR="00C74419" w:rsidRPr="00227BE0" w:rsidRDefault="00C74419" w:rsidP="00D425F2">
            <w:pPr>
              <w:widowControl w:val="0"/>
              <w:suppressAutoHyphens/>
              <w:rPr>
                <w:b/>
                <w:bCs/>
                <w:sz w:val="20"/>
                <w:szCs w:val="20"/>
              </w:rPr>
            </w:pPr>
          </w:p>
        </w:tc>
        <w:tc>
          <w:tcPr>
            <w:tcW w:w="309" w:type="pct"/>
            <w:tcBorders>
              <w:top w:val="single" w:sz="4" w:space="0" w:color="auto"/>
              <w:left w:val="nil"/>
              <w:bottom w:val="single" w:sz="4" w:space="0" w:color="auto"/>
              <w:right w:val="single" w:sz="4" w:space="0" w:color="auto"/>
            </w:tcBorders>
            <w:vAlign w:val="center"/>
          </w:tcPr>
          <w:p w14:paraId="0AEC9723" w14:textId="77777777" w:rsidR="00C74419" w:rsidRPr="00227BE0" w:rsidRDefault="00C74419" w:rsidP="00D425F2">
            <w:pPr>
              <w:widowControl w:val="0"/>
              <w:suppressAutoHyphens/>
              <w:jc w:val="center"/>
              <w:rPr>
                <w:b/>
                <w:bCs/>
                <w:noProof/>
                <w:sz w:val="20"/>
                <w:szCs w:val="20"/>
              </w:rPr>
            </w:pPr>
          </w:p>
        </w:tc>
      </w:tr>
      <w:tr w:rsidR="00C74419" w:rsidRPr="00227BE0" w14:paraId="27C0C9FC" w14:textId="77777777" w:rsidTr="00BA5F3B">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0526E6EE" w14:textId="77777777" w:rsidR="00C74419" w:rsidRPr="00227BE0" w:rsidRDefault="00C74419" w:rsidP="00D425F2">
            <w:pPr>
              <w:widowControl w:val="0"/>
              <w:suppressAutoHyphens/>
              <w:rPr>
                <w:noProof/>
                <w:sz w:val="20"/>
                <w:szCs w:val="20"/>
                <w:vertAlign w:val="superscript"/>
              </w:rPr>
            </w:pPr>
            <w:r w:rsidRPr="00227BE0">
              <w:rPr>
                <w:sz w:val="20"/>
                <w:szCs w:val="20"/>
              </w:rPr>
              <w:t>D3 ditch</w:t>
            </w:r>
          </w:p>
        </w:tc>
        <w:tc>
          <w:tcPr>
            <w:tcW w:w="278" w:type="pct"/>
            <w:tcBorders>
              <w:top w:val="single" w:sz="4" w:space="0" w:color="auto"/>
              <w:left w:val="single" w:sz="4" w:space="0" w:color="auto"/>
              <w:bottom w:val="single" w:sz="4" w:space="0" w:color="auto"/>
              <w:right w:val="single" w:sz="4" w:space="0" w:color="auto"/>
            </w:tcBorders>
            <w:vAlign w:val="center"/>
          </w:tcPr>
          <w:p w14:paraId="7B21DE85" w14:textId="77777777" w:rsidR="00C74419" w:rsidRPr="007330A6" w:rsidRDefault="00C74419" w:rsidP="00D425F2">
            <w:pPr>
              <w:widowControl w:val="0"/>
              <w:suppressAutoHyphens/>
              <w:rPr>
                <w:strike/>
                <w:noProof/>
                <w:sz w:val="20"/>
                <w:szCs w:val="20"/>
                <w:highlight w:val="yellow"/>
              </w:rPr>
            </w:pPr>
            <w:r w:rsidRPr="007330A6">
              <w:rPr>
                <w:strike/>
                <w:noProof/>
                <w:sz w:val="20"/>
                <w:szCs w:val="20"/>
                <w:highlight w:val="yellow"/>
              </w:rPr>
              <w:t>0.951</w:t>
            </w:r>
          </w:p>
          <w:p w14:paraId="4075F00F" w14:textId="32E00E84" w:rsidR="00C74419" w:rsidRPr="007330A6" w:rsidRDefault="00C74419" w:rsidP="00D425F2">
            <w:pPr>
              <w:widowControl w:val="0"/>
              <w:suppressAutoHyphens/>
              <w:rPr>
                <w:noProof/>
                <w:sz w:val="20"/>
                <w:szCs w:val="20"/>
                <w:highlight w:val="yellow"/>
              </w:rPr>
            </w:pPr>
            <w:r w:rsidRPr="007330A6">
              <w:rPr>
                <w:noProof/>
                <w:sz w:val="20"/>
                <w:szCs w:val="20"/>
                <w:highlight w:val="yellow"/>
              </w:rPr>
              <w:t>0.950</w:t>
            </w:r>
          </w:p>
        </w:tc>
        <w:tc>
          <w:tcPr>
            <w:tcW w:w="286" w:type="pct"/>
            <w:tcBorders>
              <w:top w:val="single" w:sz="4" w:space="0" w:color="auto"/>
              <w:left w:val="single" w:sz="4" w:space="0" w:color="auto"/>
              <w:bottom w:val="single" w:sz="4" w:space="0" w:color="auto"/>
              <w:right w:val="single" w:sz="4" w:space="0" w:color="auto"/>
            </w:tcBorders>
            <w:vAlign w:val="center"/>
          </w:tcPr>
          <w:p w14:paraId="078740C0" w14:textId="77777777" w:rsidR="00C74419" w:rsidRPr="00227BE0" w:rsidRDefault="00C74419" w:rsidP="00D425F2">
            <w:pPr>
              <w:widowControl w:val="0"/>
              <w:suppressAutoHyphens/>
              <w:jc w:val="center"/>
              <w:rPr>
                <w:b/>
                <w:noProof/>
                <w:sz w:val="20"/>
                <w:szCs w:val="20"/>
              </w:rPr>
            </w:pPr>
            <w:r w:rsidRPr="00227BE0">
              <w:rPr>
                <w:color w:val="000000"/>
                <w:sz w:val="20"/>
                <w:szCs w:val="20"/>
              </w:rPr>
              <w:t>0.2</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6ACBBC4C" w14:textId="77777777" w:rsidR="00C74419" w:rsidRPr="00227BE0" w:rsidRDefault="00C74419" w:rsidP="00D425F2">
            <w:pPr>
              <w:widowControl w:val="0"/>
              <w:suppressAutoHyphens/>
              <w:jc w:val="center"/>
              <w:rPr>
                <w:b/>
                <w:noProof/>
                <w:sz w:val="20"/>
                <w:szCs w:val="20"/>
              </w:rPr>
            </w:pPr>
            <w:r w:rsidRPr="00227BE0">
              <w:rPr>
                <w:color w:val="000000"/>
                <w:sz w:val="20"/>
                <w:szCs w:val="20"/>
              </w:rPr>
              <w:t>0.06</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0DD3F5" w14:textId="682C0F6D" w:rsidR="00C74419" w:rsidRPr="003B2696" w:rsidRDefault="00C74419" w:rsidP="00D425F2">
            <w:pPr>
              <w:widowControl w:val="0"/>
              <w:suppressAutoHyphens/>
              <w:jc w:val="center"/>
              <w:rPr>
                <w:b/>
                <w:bCs/>
                <w:color w:val="000000"/>
                <w:sz w:val="20"/>
                <w:szCs w:val="20"/>
              </w:rPr>
            </w:pPr>
            <w:r w:rsidRPr="003B2696">
              <w:rPr>
                <w:b/>
                <w:bCs/>
                <w:color w:val="000000"/>
                <w:sz w:val="20"/>
                <w:szCs w:val="20"/>
              </w:rPr>
              <w:t>1.72</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25039271" w14:textId="4B0F53C7" w:rsidR="00C74419" w:rsidRPr="00227BE0" w:rsidRDefault="00C74419" w:rsidP="00D425F2">
            <w:pPr>
              <w:widowControl w:val="0"/>
              <w:suppressAutoHyphens/>
              <w:jc w:val="center"/>
              <w:rPr>
                <w:noProof/>
                <w:sz w:val="20"/>
                <w:szCs w:val="20"/>
              </w:rPr>
            </w:pPr>
            <w:r w:rsidRPr="00227BE0">
              <w:rPr>
                <w:color w:val="000000"/>
                <w:sz w:val="20"/>
                <w:szCs w:val="20"/>
              </w:rPr>
              <w:t>0.4</w:t>
            </w:r>
          </w:p>
        </w:tc>
        <w:tc>
          <w:tcPr>
            <w:tcW w:w="337" w:type="pct"/>
            <w:tcBorders>
              <w:top w:val="single" w:sz="4" w:space="0" w:color="auto"/>
              <w:left w:val="single" w:sz="4" w:space="0" w:color="auto"/>
              <w:bottom w:val="single" w:sz="4" w:space="0" w:color="auto"/>
              <w:right w:val="single" w:sz="4" w:space="0" w:color="auto"/>
            </w:tcBorders>
            <w:vAlign w:val="center"/>
          </w:tcPr>
          <w:p w14:paraId="1515C302" w14:textId="77777777" w:rsidR="00C74419" w:rsidRPr="00227BE0" w:rsidRDefault="00C74419" w:rsidP="00D425F2">
            <w:pPr>
              <w:widowControl w:val="0"/>
              <w:suppressAutoHyphens/>
              <w:jc w:val="center"/>
              <w:rPr>
                <w:noProof/>
                <w:sz w:val="20"/>
                <w:szCs w:val="20"/>
              </w:rPr>
            </w:pPr>
            <w:r w:rsidRPr="00227BE0">
              <w:rPr>
                <w:color w:val="000000"/>
                <w:sz w:val="20"/>
                <w:szCs w:val="20"/>
              </w:rPr>
              <w:t>0.2</w:t>
            </w:r>
          </w:p>
        </w:tc>
        <w:tc>
          <w:tcPr>
            <w:tcW w:w="405" w:type="pct"/>
            <w:tcBorders>
              <w:top w:val="single" w:sz="4" w:space="0" w:color="auto"/>
              <w:left w:val="single" w:sz="4" w:space="0" w:color="auto"/>
              <w:bottom w:val="single" w:sz="4" w:space="0" w:color="auto"/>
              <w:right w:val="single" w:sz="4" w:space="0" w:color="auto"/>
            </w:tcBorders>
            <w:vAlign w:val="center"/>
          </w:tcPr>
          <w:p w14:paraId="7EE6E1EA"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color w:val="D9D9D9" w:themeColor="background1" w:themeShade="D9"/>
                <w:sz w:val="20"/>
                <w:szCs w:val="20"/>
              </w:rPr>
              <w:t>0.2</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813216" w14:textId="67594E02" w:rsidR="00C74419" w:rsidRPr="00227BE0" w:rsidRDefault="00333809" w:rsidP="00D425F2">
            <w:pPr>
              <w:widowControl w:val="0"/>
              <w:suppressAutoHyphens/>
              <w:jc w:val="center"/>
              <w:rPr>
                <w:noProof/>
                <w:sz w:val="20"/>
                <w:szCs w:val="20"/>
              </w:rPr>
            </w:pPr>
            <w:r>
              <w:rPr>
                <w:noProof/>
                <w:sz w:val="20"/>
                <w:szCs w:val="20"/>
              </w:rPr>
              <w:t>0.065</w:t>
            </w:r>
          </w:p>
        </w:tc>
        <w:tc>
          <w:tcPr>
            <w:tcW w:w="374" w:type="pct"/>
            <w:tcBorders>
              <w:top w:val="single" w:sz="4" w:space="0" w:color="auto"/>
              <w:left w:val="single" w:sz="4" w:space="0" w:color="auto"/>
              <w:bottom w:val="single" w:sz="4" w:space="0" w:color="auto"/>
              <w:right w:val="single" w:sz="4" w:space="0" w:color="auto"/>
            </w:tcBorders>
            <w:vAlign w:val="center"/>
          </w:tcPr>
          <w:p w14:paraId="7A75C511" w14:textId="48FB3085" w:rsidR="00C74419" w:rsidRPr="00227BE0" w:rsidRDefault="00C74419" w:rsidP="00D425F2">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13160F25" w14:textId="77777777" w:rsidR="00C74419" w:rsidRPr="00227BE0" w:rsidRDefault="00C74419" w:rsidP="00D425F2">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504FBC8E" w14:textId="77777777" w:rsidR="00C74419" w:rsidRPr="00227BE0" w:rsidRDefault="00C74419" w:rsidP="00D425F2">
            <w:pPr>
              <w:suppressAutoHyphens/>
              <w:jc w:val="center"/>
              <w:rPr>
                <w:sz w:val="20"/>
                <w:szCs w:val="20"/>
              </w:rPr>
            </w:pPr>
            <w:r w:rsidRPr="00227BE0">
              <w:rPr>
                <w:color w:val="000000"/>
                <w:sz w:val="20"/>
                <w:szCs w:val="20"/>
              </w:rPr>
              <w:t>0.3</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00431540" w14:textId="77777777" w:rsidR="00C74419" w:rsidRPr="007330A6" w:rsidRDefault="00C74419" w:rsidP="00D425F2">
            <w:pPr>
              <w:suppressAutoHyphens/>
              <w:rPr>
                <w:strike/>
                <w:sz w:val="20"/>
                <w:szCs w:val="20"/>
                <w:highlight w:val="yellow"/>
              </w:rPr>
            </w:pPr>
            <w:r w:rsidRPr="007330A6">
              <w:rPr>
                <w:strike/>
                <w:sz w:val="20"/>
                <w:szCs w:val="20"/>
                <w:highlight w:val="yellow"/>
              </w:rPr>
              <w:t>0.574</w:t>
            </w:r>
          </w:p>
          <w:p w14:paraId="1E0183AE" w14:textId="1584D175" w:rsidR="00C74419" w:rsidRPr="007330A6" w:rsidRDefault="00C74419" w:rsidP="00D425F2">
            <w:pPr>
              <w:suppressAutoHyphens/>
              <w:rPr>
                <w:sz w:val="20"/>
                <w:szCs w:val="20"/>
                <w:highlight w:val="yellow"/>
              </w:rPr>
            </w:pPr>
            <w:r w:rsidRPr="007330A6">
              <w:rPr>
                <w:sz w:val="20"/>
                <w:szCs w:val="20"/>
                <w:highlight w:val="yellow"/>
              </w:rPr>
              <w:t>0.523</w:t>
            </w:r>
          </w:p>
        </w:tc>
        <w:tc>
          <w:tcPr>
            <w:tcW w:w="345" w:type="pct"/>
            <w:gridSpan w:val="2"/>
            <w:tcBorders>
              <w:top w:val="single" w:sz="4" w:space="0" w:color="auto"/>
              <w:left w:val="single" w:sz="4" w:space="0" w:color="auto"/>
              <w:bottom w:val="single" w:sz="4" w:space="0" w:color="auto"/>
              <w:right w:val="single" w:sz="4" w:space="0" w:color="auto"/>
            </w:tcBorders>
          </w:tcPr>
          <w:p w14:paraId="3B2579DC" w14:textId="77777777" w:rsidR="00C74419" w:rsidRPr="00227BE0" w:rsidRDefault="00C74419" w:rsidP="00D425F2">
            <w:pPr>
              <w:widowControl w:val="0"/>
              <w:suppressAutoHyphens/>
              <w:jc w:val="center"/>
              <w:rPr>
                <w:noProof/>
                <w:sz w:val="20"/>
                <w:szCs w:val="20"/>
              </w:rPr>
            </w:pPr>
            <w:r w:rsidRPr="00227BE0">
              <w:rPr>
                <w:noProof/>
                <w:sz w:val="20"/>
                <w:szCs w:val="20"/>
              </w:rPr>
              <w:t>--</w:t>
            </w:r>
          </w:p>
        </w:tc>
      </w:tr>
      <w:tr w:rsidR="00C74419" w:rsidRPr="00227BE0" w14:paraId="27618C76" w14:textId="77777777" w:rsidTr="00BA5F3B">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2A1192F4" w14:textId="77777777" w:rsidR="00C74419" w:rsidRPr="00227BE0" w:rsidRDefault="00C74419" w:rsidP="00D425F2">
            <w:pPr>
              <w:widowControl w:val="0"/>
              <w:suppressAutoHyphens/>
              <w:rPr>
                <w:noProof/>
                <w:sz w:val="20"/>
                <w:szCs w:val="20"/>
                <w:vertAlign w:val="superscript"/>
              </w:rPr>
            </w:pPr>
            <w:r w:rsidRPr="00227BE0">
              <w:rPr>
                <w:sz w:val="20"/>
                <w:szCs w:val="20"/>
              </w:rPr>
              <w:t>D4 pond</w:t>
            </w:r>
          </w:p>
        </w:tc>
        <w:tc>
          <w:tcPr>
            <w:tcW w:w="278" w:type="pct"/>
            <w:tcBorders>
              <w:top w:val="single" w:sz="4" w:space="0" w:color="auto"/>
              <w:left w:val="single" w:sz="4" w:space="0" w:color="auto"/>
              <w:bottom w:val="single" w:sz="4" w:space="0" w:color="auto"/>
              <w:right w:val="single" w:sz="4" w:space="0" w:color="auto"/>
            </w:tcBorders>
            <w:vAlign w:val="center"/>
          </w:tcPr>
          <w:p w14:paraId="51C9C5A4" w14:textId="77777777" w:rsidR="00C74419" w:rsidRPr="007330A6" w:rsidRDefault="00C74419" w:rsidP="00D425F2">
            <w:pPr>
              <w:widowControl w:val="0"/>
              <w:suppressAutoHyphens/>
              <w:rPr>
                <w:strike/>
                <w:noProof/>
                <w:sz w:val="20"/>
                <w:szCs w:val="20"/>
                <w:highlight w:val="yellow"/>
              </w:rPr>
            </w:pPr>
            <w:r w:rsidRPr="007330A6">
              <w:rPr>
                <w:strike/>
                <w:noProof/>
                <w:sz w:val="20"/>
                <w:szCs w:val="20"/>
                <w:highlight w:val="yellow"/>
              </w:rPr>
              <w:t>0.556</w:t>
            </w:r>
          </w:p>
          <w:p w14:paraId="7F3F5C46" w14:textId="1FEC6131" w:rsidR="00C74419" w:rsidRPr="007330A6" w:rsidRDefault="00C74419" w:rsidP="00D425F2">
            <w:pPr>
              <w:widowControl w:val="0"/>
              <w:suppressAutoHyphens/>
              <w:rPr>
                <w:noProof/>
                <w:sz w:val="20"/>
                <w:szCs w:val="20"/>
                <w:highlight w:val="yellow"/>
              </w:rPr>
            </w:pPr>
            <w:r w:rsidRPr="007330A6">
              <w:rPr>
                <w:noProof/>
                <w:sz w:val="20"/>
                <w:szCs w:val="20"/>
                <w:highlight w:val="yellow"/>
              </w:rPr>
              <w:t>0.563</w:t>
            </w:r>
          </w:p>
        </w:tc>
        <w:tc>
          <w:tcPr>
            <w:tcW w:w="286" w:type="pct"/>
            <w:tcBorders>
              <w:top w:val="single" w:sz="4" w:space="0" w:color="auto"/>
              <w:left w:val="single" w:sz="4" w:space="0" w:color="auto"/>
              <w:bottom w:val="single" w:sz="4" w:space="0" w:color="auto"/>
              <w:right w:val="single" w:sz="4" w:space="0" w:color="auto"/>
            </w:tcBorders>
            <w:vAlign w:val="center"/>
          </w:tcPr>
          <w:p w14:paraId="3CC3EE21" w14:textId="77777777" w:rsidR="00C74419" w:rsidRPr="00227BE0" w:rsidRDefault="00C74419" w:rsidP="00D425F2">
            <w:pPr>
              <w:widowControl w:val="0"/>
              <w:suppressAutoHyphens/>
              <w:jc w:val="center"/>
              <w:rPr>
                <w:b/>
                <w:noProof/>
                <w:sz w:val="20"/>
                <w:szCs w:val="20"/>
              </w:rPr>
            </w:pPr>
            <w:r w:rsidRPr="00227BE0">
              <w:rPr>
                <w:color w:val="000000"/>
                <w:sz w:val="20"/>
                <w:szCs w:val="20"/>
              </w:rPr>
              <w:t>0.1</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439335D7" w14:textId="77777777" w:rsidR="00C74419" w:rsidRPr="00227BE0" w:rsidRDefault="00C74419" w:rsidP="00D425F2">
            <w:pPr>
              <w:widowControl w:val="0"/>
              <w:suppressAutoHyphens/>
              <w:jc w:val="center"/>
              <w:rPr>
                <w:b/>
                <w:noProof/>
                <w:sz w:val="20"/>
                <w:szCs w:val="20"/>
              </w:rPr>
            </w:pPr>
            <w:r w:rsidRPr="00227BE0">
              <w:rPr>
                <w:color w:val="000000"/>
                <w:sz w:val="20"/>
                <w:szCs w:val="20"/>
              </w:rPr>
              <w:t>0.04</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B99C84" w14:textId="65581283" w:rsidR="00C74419" w:rsidRPr="003B2696" w:rsidRDefault="00C74419" w:rsidP="00D425F2">
            <w:pPr>
              <w:widowControl w:val="0"/>
              <w:suppressAutoHyphens/>
              <w:jc w:val="center"/>
              <w:rPr>
                <w:b/>
                <w:bCs/>
                <w:color w:val="000000"/>
                <w:sz w:val="20"/>
                <w:szCs w:val="20"/>
              </w:rPr>
            </w:pPr>
            <w:r w:rsidRPr="003B2696">
              <w:rPr>
                <w:b/>
                <w:bCs/>
                <w:color w:val="000000"/>
                <w:sz w:val="20"/>
                <w:szCs w:val="20"/>
              </w:rPr>
              <w:t>1.02</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01854862" w14:textId="22B25D7F" w:rsidR="00C74419" w:rsidRPr="00227BE0" w:rsidRDefault="00C74419" w:rsidP="00D425F2">
            <w:pPr>
              <w:widowControl w:val="0"/>
              <w:suppressAutoHyphens/>
              <w:jc w:val="center"/>
              <w:rPr>
                <w:noProof/>
                <w:sz w:val="20"/>
                <w:szCs w:val="20"/>
              </w:rPr>
            </w:pPr>
            <w:r w:rsidRPr="00227BE0">
              <w:rPr>
                <w:color w:val="000000"/>
                <w:sz w:val="20"/>
                <w:szCs w:val="20"/>
              </w:rPr>
              <w:t>0.2</w:t>
            </w:r>
          </w:p>
        </w:tc>
        <w:tc>
          <w:tcPr>
            <w:tcW w:w="337" w:type="pct"/>
            <w:tcBorders>
              <w:top w:val="single" w:sz="4" w:space="0" w:color="auto"/>
              <w:left w:val="single" w:sz="4" w:space="0" w:color="auto"/>
              <w:bottom w:val="single" w:sz="4" w:space="0" w:color="auto"/>
              <w:right w:val="single" w:sz="4" w:space="0" w:color="auto"/>
            </w:tcBorders>
            <w:vAlign w:val="center"/>
          </w:tcPr>
          <w:p w14:paraId="713691D1" w14:textId="77777777" w:rsidR="00C74419" w:rsidRPr="00227BE0" w:rsidRDefault="00C74419" w:rsidP="00D425F2">
            <w:pPr>
              <w:widowControl w:val="0"/>
              <w:suppressAutoHyphens/>
              <w:jc w:val="center"/>
              <w:rPr>
                <w:noProof/>
                <w:sz w:val="20"/>
                <w:szCs w:val="20"/>
              </w:rPr>
            </w:pPr>
            <w:r w:rsidRPr="00227BE0">
              <w:rPr>
                <w:color w:val="000000"/>
                <w:sz w:val="20"/>
                <w:szCs w:val="20"/>
              </w:rPr>
              <w:t>0.1</w:t>
            </w:r>
          </w:p>
        </w:tc>
        <w:tc>
          <w:tcPr>
            <w:tcW w:w="405" w:type="pct"/>
            <w:tcBorders>
              <w:top w:val="single" w:sz="4" w:space="0" w:color="auto"/>
              <w:left w:val="single" w:sz="4" w:space="0" w:color="auto"/>
              <w:bottom w:val="single" w:sz="4" w:space="0" w:color="auto"/>
              <w:right w:val="single" w:sz="4" w:space="0" w:color="auto"/>
            </w:tcBorders>
            <w:vAlign w:val="center"/>
          </w:tcPr>
          <w:p w14:paraId="5585044C"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color w:val="D9D9D9" w:themeColor="background1" w:themeShade="D9"/>
                <w:sz w:val="20"/>
                <w:szCs w:val="20"/>
              </w:rPr>
              <w:t>0.09</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871A77" w14:textId="34344920" w:rsidR="00C74419" w:rsidRPr="00227BE0" w:rsidRDefault="00333809" w:rsidP="00D425F2">
            <w:pPr>
              <w:widowControl w:val="0"/>
              <w:suppressAutoHyphens/>
              <w:jc w:val="center"/>
              <w:rPr>
                <w:noProof/>
                <w:sz w:val="20"/>
                <w:szCs w:val="20"/>
              </w:rPr>
            </w:pPr>
            <w:r>
              <w:rPr>
                <w:noProof/>
                <w:sz w:val="20"/>
                <w:szCs w:val="20"/>
              </w:rPr>
              <w:t>0.04</w:t>
            </w:r>
          </w:p>
        </w:tc>
        <w:tc>
          <w:tcPr>
            <w:tcW w:w="374" w:type="pct"/>
            <w:tcBorders>
              <w:top w:val="single" w:sz="4" w:space="0" w:color="auto"/>
              <w:left w:val="single" w:sz="4" w:space="0" w:color="auto"/>
              <w:bottom w:val="single" w:sz="4" w:space="0" w:color="auto"/>
              <w:right w:val="single" w:sz="4" w:space="0" w:color="auto"/>
            </w:tcBorders>
            <w:vAlign w:val="center"/>
          </w:tcPr>
          <w:p w14:paraId="6B02C946" w14:textId="6D6533F4" w:rsidR="00C74419" w:rsidRPr="00227BE0" w:rsidRDefault="00C74419" w:rsidP="00D425F2">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64F07152" w14:textId="77777777" w:rsidR="00C74419" w:rsidRPr="00227BE0" w:rsidRDefault="00C74419" w:rsidP="00D425F2">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77385065" w14:textId="77777777" w:rsidR="00C74419" w:rsidRPr="00227BE0" w:rsidRDefault="00C74419" w:rsidP="00D425F2">
            <w:pPr>
              <w:suppressAutoHyphens/>
              <w:jc w:val="center"/>
              <w:rPr>
                <w:sz w:val="20"/>
                <w:szCs w:val="20"/>
              </w:rPr>
            </w:pPr>
            <w:r w:rsidRPr="00227BE0">
              <w:rPr>
                <w:color w:val="000000"/>
                <w:sz w:val="20"/>
                <w:szCs w:val="20"/>
              </w:rPr>
              <w:t>0.2</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55E966D1" w14:textId="77777777" w:rsidR="00C74419" w:rsidRPr="007330A6" w:rsidRDefault="00C74419" w:rsidP="00D425F2">
            <w:pPr>
              <w:suppressAutoHyphens/>
              <w:rPr>
                <w:strike/>
                <w:sz w:val="20"/>
                <w:szCs w:val="20"/>
                <w:highlight w:val="yellow"/>
              </w:rPr>
            </w:pPr>
            <w:r w:rsidRPr="007330A6">
              <w:rPr>
                <w:strike/>
                <w:sz w:val="20"/>
                <w:szCs w:val="20"/>
                <w:highlight w:val="yellow"/>
              </w:rPr>
              <w:t>3.438</w:t>
            </w:r>
          </w:p>
          <w:p w14:paraId="46712B53" w14:textId="6E5DEBC7" w:rsidR="00C74419" w:rsidRPr="007330A6" w:rsidRDefault="00C74419" w:rsidP="00D425F2">
            <w:pPr>
              <w:suppressAutoHyphens/>
              <w:rPr>
                <w:sz w:val="20"/>
                <w:szCs w:val="20"/>
                <w:highlight w:val="yellow"/>
              </w:rPr>
            </w:pPr>
            <w:r w:rsidRPr="007330A6">
              <w:rPr>
                <w:sz w:val="20"/>
                <w:szCs w:val="20"/>
                <w:highlight w:val="yellow"/>
              </w:rPr>
              <w:t>3.466</w:t>
            </w:r>
          </w:p>
        </w:tc>
        <w:tc>
          <w:tcPr>
            <w:tcW w:w="345" w:type="pct"/>
            <w:gridSpan w:val="2"/>
            <w:tcBorders>
              <w:top w:val="single" w:sz="4" w:space="0" w:color="auto"/>
              <w:left w:val="single" w:sz="4" w:space="0" w:color="auto"/>
              <w:bottom w:val="single" w:sz="4" w:space="0" w:color="auto"/>
              <w:right w:val="single" w:sz="4" w:space="0" w:color="auto"/>
            </w:tcBorders>
          </w:tcPr>
          <w:p w14:paraId="7E97FA12" w14:textId="77777777" w:rsidR="00C74419" w:rsidRPr="00227BE0" w:rsidRDefault="00C74419" w:rsidP="00D425F2">
            <w:pPr>
              <w:widowControl w:val="0"/>
              <w:suppressAutoHyphens/>
              <w:jc w:val="center"/>
              <w:rPr>
                <w:noProof/>
                <w:sz w:val="20"/>
                <w:szCs w:val="20"/>
              </w:rPr>
            </w:pPr>
            <w:r w:rsidRPr="00227BE0">
              <w:rPr>
                <w:noProof/>
                <w:sz w:val="20"/>
                <w:szCs w:val="20"/>
              </w:rPr>
              <w:t>--</w:t>
            </w:r>
          </w:p>
        </w:tc>
      </w:tr>
      <w:tr w:rsidR="00C74419" w:rsidRPr="00227BE0" w14:paraId="719B336E" w14:textId="77777777" w:rsidTr="00BA5F3B">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64565186" w14:textId="77777777" w:rsidR="00C74419" w:rsidRPr="00227BE0" w:rsidRDefault="00C74419" w:rsidP="00D425F2">
            <w:pPr>
              <w:widowControl w:val="0"/>
              <w:suppressAutoHyphens/>
              <w:rPr>
                <w:noProof/>
                <w:sz w:val="20"/>
                <w:szCs w:val="20"/>
                <w:vertAlign w:val="superscript"/>
              </w:rPr>
            </w:pPr>
            <w:r w:rsidRPr="00227BE0">
              <w:rPr>
                <w:sz w:val="20"/>
                <w:szCs w:val="20"/>
              </w:rPr>
              <w:t>D4 stream</w:t>
            </w:r>
          </w:p>
        </w:tc>
        <w:tc>
          <w:tcPr>
            <w:tcW w:w="278" w:type="pct"/>
            <w:tcBorders>
              <w:top w:val="single" w:sz="4" w:space="0" w:color="auto"/>
              <w:left w:val="single" w:sz="4" w:space="0" w:color="auto"/>
              <w:bottom w:val="single" w:sz="4" w:space="0" w:color="auto"/>
              <w:right w:val="single" w:sz="4" w:space="0" w:color="auto"/>
            </w:tcBorders>
            <w:vAlign w:val="center"/>
          </w:tcPr>
          <w:p w14:paraId="5E826688" w14:textId="1930FE5B" w:rsidR="00C74419" w:rsidRPr="00227BE0" w:rsidRDefault="00C74419" w:rsidP="00D425F2">
            <w:pPr>
              <w:widowControl w:val="0"/>
              <w:suppressAutoHyphens/>
              <w:rPr>
                <w:noProof/>
                <w:sz w:val="20"/>
                <w:szCs w:val="20"/>
              </w:rPr>
            </w:pPr>
            <w:r w:rsidRPr="00227BE0">
              <w:rPr>
                <w:noProof/>
                <w:sz w:val="20"/>
                <w:szCs w:val="20"/>
              </w:rPr>
              <w:t>0.793</w:t>
            </w:r>
          </w:p>
        </w:tc>
        <w:tc>
          <w:tcPr>
            <w:tcW w:w="286" w:type="pct"/>
            <w:tcBorders>
              <w:top w:val="single" w:sz="4" w:space="0" w:color="auto"/>
              <w:left w:val="single" w:sz="4" w:space="0" w:color="auto"/>
              <w:bottom w:val="single" w:sz="4" w:space="0" w:color="auto"/>
              <w:right w:val="single" w:sz="4" w:space="0" w:color="auto"/>
            </w:tcBorders>
            <w:vAlign w:val="center"/>
          </w:tcPr>
          <w:p w14:paraId="4BA45BFA" w14:textId="77777777" w:rsidR="00C74419" w:rsidRPr="00227BE0" w:rsidRDefault="00C74419" w:rsidP="00D425F2">
            <w:pPr>
              <w:widowControl w:val="0"/>
              <w:suppressAutoHyphens/>
              <w:jc w:val="center"/>
              <w:rPr>
                <w:b/>
                <w:noProof/>
                <w:sz w:val="20"/>
                <w:szCs w:val="20"/>
              </w:rPr>
            </w:pPr>
            <w:r w:rsidRPr="00227BE0">
              <w:rPr>
                <w:color w:val="000000"/>
                <w:sz w:val="20"/>
                <w:szCs w:val="20"/>
              </w:rPr>
              <w:t>0.2</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7B696739" w14:textId="77777777" w:rsidR="00C74419" w:rsidRPr="00227BE0" w:rsidRDefault="00C74419" w:rsidP="00D425F2">
            <w:pPr>
              <w:widowControl w:val="0"/>
              <w:suppressAutoHyphens/>
              <w:jc w:val="center"/>
              <w:rPr>
                <w:b/>
                <w:noProof/>
                <w:sz w:val="20"/>
                <w:szCs w:val="20"/>
              </w:rPr>
            </w:pPr>
            <w:r w:rsidRPr="00227BE0">
              <w:rPr>
                <w:color w:val="000000"/>
                <w:sz w:val="20"/>
                <w:szCs w:val="20"/>
              </w:rPr>
              <w:t>0.05</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B11C96" w14:textId="5E1DCA1A" w:rsidR="00C74419" w:rsidRPr="003B2696" w:rsidRDefault="00C74419" w:rsidP="00D425F2">
            <w:pPr>
              <w:widowControl w:val="0"/>
              <w:suppressAutoHyphens/>
              <w:jc w:val="center"/>
              <w:rPr>
                <w:b/>
                <w:bCs/>
                <w:color w:val="000000"/>
                <w:sz w:val="20"/>
                <w:szCs w:val="20"/>
              </w:rPr>
            </w:pPr>
            <w:r w:rsidRPr="003B2696">
              <w:rPr>
                <w:b/>
                <w:bCs/>
                <w:color w:val="000000"/>
                <w:sz w:val="20"/>
                <w:szCs w:val="20"/>
              </w:rPr>
              <w:t>1.44</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15A9FB02" w14:textId="79E66B59" w:rsidR="00C74419" w:rsidRPr="00227BE0" w:rsidRDefault="00C74419" w:rsidP="00D425F2">
            <w:pPr>
              <w:widowControl w:val="0"/>
              <w:suppressAutoHyphens/>
              <w:jc w:val="center"/>
              <w:rPr>
                <w:noProof/>
                <w:sz w:val="20"/>
                <w:szCs w:val="20"/>
              </w:rPr>
            </w:pPr>
            <w:r w:rsidRPr="00227BE0">
              <w:rPr>
                <w:color w:val="000000"/>
                <w:sz w:val="20"/>
                <w:szCs w:val="20"/>
              </w:rPr>
              <w:t>0.3</w:t>
            </w:r>
          </w:p>
        </w:tc>
        <w:tc>
          <w:tcPr>
            <w:tcW w:w="337" w:type="pct"/>
            <w:tcBorders>
              <w:top w:val="single" w:sz="4" w:space="0" w:color="auto"/>
              <w:left w:val="single" w:sz="4" w:space="0" w:color="auto"/>
              <w:bottom w:val="single" w:sz="4" w:space="0" w:color="auto"/>
              <w:right w:val="single" w:sz="4" w:space="0" w:color="auto"/>
            </w:tcBorders>
            <w:vAlign w:val="center"/>
          </w:tcPr>
          <w:p w14:paraId="350F3499" w14:textId="77777777" w:rsidR="00C74419" w:rsidRPr="00227BE0" w:rsidRDefault="00C74419" w:rsidP="00D425F2">
            <w:pPr>
              <w:widowControl w:val="0"/>
              <w:suppressAutoHyphens/>
              <w:jc w:val="center"/>
              <w:rPr>
                <w:noProof/>
                <w:sz w:val="20"/>
                <w:szCs w:val="20"/>
              </w:rPr>
            </w:pPr>
            <w:r w:rsidRPr="00227BE0">
              <w:rPr>
                <w:color w:val="000000"/>
                <w:sz w:val="20"/>
                <w:szCs w:val="20"/>
              </w:rPr>
              <w:t>0.2</w:t>
            </w:r>
          </w:p>
        </w:tc>
        <w:tc>
          <w:tcPr>
            <w:tcW w:w="405" w:type="pct"/>
            <w:tcBorders>
              <w:top w:val="single" w:sz="4" w:space="0" w:color="auto"/>
              <w:left w:val="single" w:sz="4" w:space="0" w:color="auto"/>
              <w:bottom w:val="single" w:sz="4" w:space="0" w:color="auto"/>
              <w:right w:val="single" w:sz="4" w:space="0" w:color="auto"/>
            </w:tcBorders>
            <w:vAlign w:val="center"/>
          </w:tcPr>
          <w:p w14:paraId="2361A641"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color w:val="D9D9D9" w:themeColor="background1" w:themeShade="D9"/>
                <w:sz w:val="20"/>
                <w:szCs w:val="20"/>
              </w:rPr>
              <w:t>0.1</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CCCE00" w14:textId="466A6EC3" w:rsidR="00C74419" w:rsidRPr="00227BE0" w:rsidRDefault="00333809" w:rsidP="00D425F2">
            <w:pPr>
              <w:widowControl w:val="0"/>
              <w:suppressAutoHyphens/>
              <w:jc w:val="center"/>
              <w:rPr>
                <w:noProof/>
                <w:sz w:val="20"/>
                <w:szCs w:val="20"/>
              </w:rPr>
            </w:pPr>
            <w:r>
              <w:rPr>
                <w:noProof/>
                <w:sz w:val="20"/>
                <w:szCs w:val="20"/>
              </w:rPr>
              <w:t>0.05</w:t>
            </w:r>
          </w:p>
        </w:tc>
        <w:tc>
          <w:tcPr>
            <w:tcW w:w="374" w:type="pct"/>
            <w:tcBorders>
              <w:top w:val="single" w:sz="4" w:space="0" w:color="auto"/>
              <w:left w:val="single" w:sz="4" w:space="0" w:color="auto"/>
              <w:bottom w:val="single" w:sz="4" w:space="0" w:color="auto"/>
              <w:right w:val="single" w:sz="4" w:space="0" w:color="auto"/>
            </w:tcBorders>
            <w:vAlign w:val="center"/>
          </w:tcPr>
          <w:p w14:paraId="7433C8D4" w14:textId="50753DB3" w:rsidR="00C74419" w:rsidRPr="00227BE0" w:rsidRDefault="00C74419" w:rsidP="00D425F2">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01AC5638" w14:textId="77777777" w:rsidR="00C74419" w:rsidRPr="00227BE0" w:rsidRDefault="00C74419" w:rsidP="00D425F2">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4B7456B8" w14:textId="77777777" w:rsidR="00C74419" w:rsidRPr="00227BE0" w:rsidRDefault="00C74419" w:rsidP="00D425F2">
            <w:pPr>
              <w:suppressAutoHyphens/>
              <w:jc w:val="center"/>
              <w:rPr>
                <w:sz w:val="20"/>
                <w:szCs w:val="20"/>
              </w:rPr>
            </w:pPr>
            <w:r w:rsidRPr="00227BE0">
              <w:rPr>
                <w:color w:val="000000"/>
                <w:sz w:val="20"/>
                <w:szCs w:val="20"/>
              </w:rPr>
              <w:t>0.2</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272AF17D" w14:textId="77777777" w:rsidR="00C74419" w:rsidRPr="007330A6" w:rsidRDefault="00C74419" w:rsidP="00D425F2">
            <w:pPr>
              <w:suppressAutoHyphens/>
              <w:rPr>
                <w:strike/>
                <w:sz w:val="20"/>
                <w:szCs w:val="20"/>
                <w:highlight w:val="yellow"/>
              </w:rPr>
            </w:pPr>
            <w:r w:rsidRPr="007330A6">
              <w:rPr>
                <w:strike/>
                <w:sz w:val="20"/>
                <w:szCs w:val="20"/>
                <w:highlight w:val="yellow"/>
              </w:rPr>
              <w:t>1.316</w:t>
            </w:r>
          </w:p>
          <w:p w14:paraId="492FA969" w14:textId="326D1ECC" w:rsidR="00C74419" w:rsidRPr="007330A6" w:rsidRDefault="00C74419" w:rsidP="00D425F2">
            <w:pPr>
              <w:suppressAutoHyphens/>
              <w:rPr>
                <w:sz w:val="20"/>
                <w:szCs w:val="20"/>
                <w:highlight w:val="yellow"/>
              </w:rPr>
            </w:pPr>
            <w:r w:rsidRPr="007330A6">
              <w:rPr>
                <w:sz w:val="20"/>
                <w:szCs w:val="20"/>
                <w:highlight w:val="yellow"/>
              </w:rPr>
              <w:t>1.321</w:t>
            </w:r>
          </w:p>
        </w:tc>
        <w:tc>
          <w:tcPr>
            <w:tcW w:w="345" w:type="pct"/>
            <w:gridSpan w:val="2"/>
            <w:tcBorders>
              <w:top w:val="single" w:sz="4" w:space="0" w:color="auto"/>
              <w:left w:val="single" w:sz="4" w:space="0" w:color="auto"/>
              <w:bottom w:val="single" w:sz="4" w:space="0" w:color="auto"/>
              <w:right w:val="single" w:sz="4" w:space="0" w:color="auto"/>
            </w:tcBorders>
          </w:tcPr>
          <w:p w14:paraId="44830673" w14:textId="77777777" w:rsidR="00C74419" w:rsidRPr="00227BE0" w:rsidRDefault="00C74419" w:rsidP="00D425F2">
            <w:pPr>
              <w:widowControl w:val="0"/>
              <w:suppressAutoHyphens/>
              <w:jc w:val="center"/>
              <w:rPr>
                <w:noProof/>
                <w:sz w:val="20"/>
                <w:szCs w:val="20"/>
              </w:rPr>
            </w:pPr>
            <w:r w:rsidRPr="00227BE0">
              <w:rPr>
                <w:noProof/>
                <w:sz w:val="20"/>
                <w:szCs w:val="20"/>
              </w:rPr>
              <w:t>--</w:t>
            </w:r>
          </w:p>
        </w:tc>
      </w:tr>
      <w:tr w:rsidR="00C74419" w:rsidRPr="00227BE0" w14:paraId="58E39E0E" w14:textId="77777777" w:rsidTr="00BA5F3B">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6A10F201" w14:textId="77777777" w:rsidR="00C74419" w:rsidRPr="00227BE0" w:rsidRDefault="00C74419" w:rsidP="00D425F2">
            <w:pPr>
              <w:widowControl w:val="0"/>
              <w:suppressAutoHyphens/>
              <w:rPr>
                <w:noProof/>
                <w:sz w:val="20"/>
                <w:szCs w:val="20"/>
                <w:vertAlign w:val="superscript"/>
              </w:rPr>
            </w:pPr>
            <w:r w:rsidRPr="00227BE0">
              <w:rPr>
                <w:sz w:val="20"/>
                <w:szCs w:val="20"/>
              </w:rPr>
              <w:lastRenderedPageBreak/>
              <w:t>D5 pond</w:t>
            </w:r>
          </w:p>
        </w:tc>
        <w:tc>
          <w:tcPr>
            <w:tcW w:w="278" w:type="pct"/>
            <w:tcBorders>
              <w:top w:val="single" w:sz="4" w:space="0" w:color="auto"/>
              <w:left w:val="single" w:sz="4" w:space="0" w:color="auto"/>
              <w:bottom w:val="single" w:sz="4" w:space="0" w:color="auto"/>
              <w:right w:val="single" w:sz="4" w:space="0" w:color="auto"/>
            </w:tcBorders>
            <w:vAlign w:val="center"/>
          </w:tcPr>
          <w:p w14:paraId="056B22FB" w14:textId="77777777" w:rsidR="00C74419" w:rsidRPr="007330A6" w:rsidRDefault="00C74419" w:rsidP="00D425F2">
            <w:pPr>
              <w:widowControl w:val="0"/>
              <w:suppressAutoHyphens/>
              <w:rPr>
                <w:strike/>
                <w:noProof/>
                <w:sz w:val="20"/>
                <w:szCs w:val="20"/>
                <w:highlight w:val="yellow"/>
              </w:rPr>
            </w:pPr>
            <w:r w:rsidRPr="007330A6">
              <w:rPr>
                <w:strike/>
                <w:noProof/>
                <w:sz w:val="20"/>
                <w:szCs w:val="20"/>
                <w:highlight w:val="yellow"/>
              </w:rPr>
              <w:t>0.197</w:t>
            </w:r>
          </w:p>
          <w:p w14:paraId="2720F1B2" w14:textId="2C0BA1A0" w:rsidR="00C74419" w:rsidRPr="00227BE0" w:rsidRDefault="00C74419" w:rsidP="00D425F2">
            <w:pPr>
              <w:widowControl w:val="0"/>
              <w:suppressAutoHyphens/>
              <w:rPr>
                <w:noProof/>
                <w:sz w:val="20"/>
                <w:szCs w:val="20"/>
              </w:rPr>
            </w:pPr>
            <w:r w:rsidRPr="007330A6">
              <w:rPr>
                <w:noProof/>
                <w:sz w:val="20"/>
                <w:szCs w:val="20"/>
                <w:highlight w:val="yellow"/>
              </w:rPr>
              <w:t>0.198</w:t>
            </w:r>
          </w:p>
        </w:tc>
        <w:tc>
          <w:tcPr>
            <w:tcW w:w="286" w:type="pct"/>
            <w:tcBorders>
              <w:top w:val="single" w:sz="4" w:space="0" w:color="auto"/>
              <w:left w:val="single" w:sz="4" w:space="0" w:color="auto"/>
              <w:bottom w:val="single" w:sz="4" w:space="0" w:color="auto"/>
              <w:right w:val="single" w:sz="4" w:space="0" w:color="auto"/>
            </w:tcBorders>
            <w:vAlign w:val="center"/>
          </w:tcPr>
          <w:p w14:paraId="35E511A1" w14:textId="77777777" w:rsidR="00C74419" w:rsidRPr="00227BE0" w:rsidRDefault="00C74419" w:rsidP="00D425F2">
            <w:pPr>
              <w:widowControl w:val="0"/>
              <w:suppressAutoHyphens/>
              <w:jc w:val="center"/>
              <w:rPr>
                <w:b/>
                <w:noProof/>
                <w:sz w:val="20"/>
                <w:szCs w:val="20"/>
              </w:rPr>
            </w:pPr>
            <w:r w:rsidRPr="00227BE0">
              <w:rPr>
                <w:color w:val="000000"/>
                <w:sz w:val="20"/>
                <w:szCs w:val="20"/>
              </w:rPr>
              <w:t>0.04</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2FE230C5" w14:textId="77777777" w:rsidR="00C74419" w:rsidRPr="00227BE0" w:rsidRDefault="00C74419" w:rsidP="00D425F2">
            <w:pPr>
              <w:widowControl w:val="0"/>
              <w:suppressAutoHyphens/>
              <w:jc w:val="center"/>
              <w:rPr>
                <w:b/>
                <w:noProof/>
                <w:sz w:val="20"/>
                <w:szCs w:val="20"/>
              </w:rPr>
            </w:pPr>
            <w:r w:rsidRPr="00227BE0">
              <w:rPr>
                <w:color w:val="000000"/>
                <w:sz w:val="20"/>
                <w:szCs w:val="20"/>
              </w:rPr>
              <w:t>0.01</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8BA8B0" w14:textId="68458DBF" w:rsidR="00C74419" w:rsidRPr="00227BE0" w:rsidRDefault="00C74419" w:rsidP="00D425F2">
            <w:pPr>
              <w:widowControl w:val="0"/>
              <w:suppressAutoHyphens/>
              <w:jc w:val="center"/>
              <w:rPr>
                <w:color w:val="000000"/>
                <w:sz w:val="20"/>
                <w:szCs w:val="20"/>
              </w:rPr>
            </w:pPr>
            <w:r>
              <w:rPr>
                <w:color w:val="000000"/>
                <w:sz w:val="20"/>
                <w:szCs w:val="20"/>
              </w:rPr>
              <w:t>0.36</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1375C2E5" w14:textId="5CA9CF89" w:rsidR="00C74419" w:rsidRPr="00227BE0" w:rsidRDefault="00C74419" w:rsidP="00D425F2">
            <w:pPr>
              <w:widowControl w:val="0"/>
              <w:suppressAutoHyphens/>
              <w:jc w:val="center"/>
              <w:rPr>
                <w:noProof/>
                <w:sz w:val="20"/>
                <w:szCs w:val="20"/>
              </w:rPr>
            </w:pPr>
            <w:r w:rsidRPr="00227BE0">
              <w:rPr>
                <w:color w:val="000000"/>
                <w:sz w:val="20"/>
                <w:szCs w:val="20"/>
              </w:rPr>
              <w:t>0.09</w:t>
            </w:r>
          </w:p>
        </w:tc>
        <w:tc>
          <w:tcPr>
            <w:tcW w:w="337" w:type="pct"/>
            <w:tcBorders>
              <w:top w:val="single" w:sz="4" w:space="0" w:color="auto"/>
              <w:left w:val="single" w:sz="4" w:space="0" w:color="auto"/>
              <w:bottom w:val="single" w:sz="4" w:space="0" w:color="auto"/>
              <w:right w:val="single" w:sz="4" w:space="0" w:color="auto"/>
            </w:tcBorders>
            <w:vAlign w:val="center"/>
          </w:tcPr>
          <w:p w14:paraId="2E0A1C51" w14:textId="77777777" w:rsidR="00C74419" w:rsidRPr="007330A6" w:rsidRDefault="00C74419" w:rsidP="00D425F2">
            <w:pPr>
              <w:widowControl w:val="0"/>
              <w:suppressAutoHyphens/>
              <w:jc w:val="center"/>
              <w:rPr>
                <w:strike/>
                <w:color w:val="000000"/>
                <w:sz w:val="20"/>
                <w:szCs w:val="20"/>
                <w:highlight w:val="yellow"/>
              </w:rPr>
            </w:pPr>
            <w:r w:rsidRPr="007330A6">
              <w:rPr>
                <w:strike/>
                <w:color w:val="000000"/>
                <w:sz w:val="20"/>
                <w:szCs w:val="20"/>
                <w:highlight w:val="yellow"/>
              </w:rPr>
              <w:t>0.04</w:t>
            </w:r>
          </w:p>
          <w:p w14:paraId="27C2900D" w14:textId="17F2346B" w:rsidR="00C74419" w:rsidRPr="00227BE0" w:rsidRDefault="00C74419" w:rsidP="00D425F2">
            <w:pPr>
              <w:widowControl w:val="0"/>
              <w:suppressAutoHyphens/>
              <w:jc w:val="center"/>
              <w:rPr>
                <w:noProof/>
                <w:sz w:val="20"/>
                <w:szCs w:val="20"/>
              </w:rPr>
            </w:pPr>
            <w:r w:rsidRPr="007330A6">
              <w:rPr>
                <w:noProof/>
                <w:color w:val="000000"/>
                <w:sz w:val="20"/>
                <w:szCs w:val="20"/>
                <w:highlight w:val="yellow"/>
              </w:rPr>
              <w:t>0.05</w:t>
            </w:r>
          </w:p>
        </w:tc>
        <w:tc>
          <w:tcPr>
            <w:tcW w:w="405" w:type="pct"/>
            <w:tcBorders>
              <w:top w:val="single" w:sz="4" w:space="0" w:color="auto"/>
              <w:left w:val="single" w:sz="4" w:space="0" w:color="auto"/>
              <w:bottom w:val="single" w:sz="4" w:space="0" w:color="auto"/>
              <w:right w:val="single" w:sz="4" w:space="0" w:color="auto"/>
            </w:tcBorders>
            <w:vAlign w:val="center"/>
          </w:tcPr>
          <w:p w14:paraId="6E1D19C9"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color w:val="D9D9D9" w:themeColor="background1" w:themeShade="D9"/>
                <w:sz w:val="20"/>
                <w:szCs w:val="20"/>
              </w:rPr>
              <w:t>0.03</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62E545" w14:textId="204A92FC" w:rsidR="00C74419" w:rsidRPr="00227BE0" w:rsidRDefault="00333809" w:rsidP="00D425F2">
            <w:pPr>
              <w:widowControl w:val="0"/>
              <w:suppressAutoHyphens/>
              <w:jc w:val="center"/>
              <w:rPr>
                <w:noProof/>
                <w:sz w:val="20"/>
                <w:szCs w:val="20"/>
              </w:rPr>
            </w:pPr>
            <w:r>
              <w:rPr>
                <w:noProof/>
                <w:sz w:val="20"/>
                <w:szCs w:val="20"/>
              </w:rPr>
              <w:t>0.01</w:t>
            </w:r>
          </w:p>
        </w:tc>
        <w:tc>
          <w:tcPr>
            <w:tcW w:w="374" w:type="pct"/>
            <w:tcBorders>
              <w:top w:val="single" w:sz="4" w:space="0" w:color="auto"/>
              <w:left w:val="single" w:sz="4" w:space="0" w:color="auto"/>
              <w:bottom w:val="single" w:sz="4" w:space="0" w:color="auto"/>
              <w:right w:val="single" w:sz="4" w:space="0" w:color="auto"/>
            </w:tcBorders>
            <w:vAlign w:val="center"/>
          </w:tcPr>
          <w:p w14:paraId="6D7336C4" w14:textId="60EFF3A5" w:rsidR="00C74419" w:rsidRPr="00227BE0" w:rsidRDefault="00C74419" w:rsidP="00D425F2">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7808FC0E" w14:textId="77777777" w:rsidR="00C74419" w:rsidRPr="00227BE0" w:rsidRDefault="00C74419" w:rsidP="00D425F2">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0BBA92DC" w14:textId="77777777" w:rsidR="00C74419" w:rsidRPr="00227BE0" w:rsidRDefault="00C74419" w:rsidP="00D425F2">
            <w:pPr>
              <w:suppressAutoHyphens/>
              <w:jc w:val="center"/>
              <w:rPr>
                <w:sz w:val="20"/>
                <w:szCs w:val="20"/>
              </w:rPr>
            </w:pPr>
            <w:r w:rsidRPr="00227BE0">
              <w:rPr>
                <w:color w:val="000000"/>
                <w:sz w:val="20"/>
                <w:szCs w:val="20"/>
              </w:rPr>
              <w:t>0.06</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74276EE5" w14:textId="77777777" w:rsidR="00C74419" w:rsidRPr="007330A6" w:rsidRDefault="00C74419" w:rsidP="00D425F2">
            <w:pPr>
              <w:suppressAutoHyphens/>
              <w:rPr>
                <w:strike/>
                <w:sz w:val="20"/>
                <w:szCs w:val="20"/>
                <w:highlight w:val="yellow"/>
              </w:rPr>
            </w:pPr>
            <w:r w:rsidRPr="007330A6">
              <w:rPr>
                <w:strike/>
                <w:sz w:val="20"/>
                <w:szCs w:val="20"/>
                <w:highlight w:val="yellow"/>
              </w:rPr>
              <w:t>1.910</w:t>
            </w:r>
          </w:p>
          <w:p w14:paraId="0FA0B972" w14:textId="26395FAB" w:rsidR="00C74419" w:rsidRPr="007330A6" w:rsidRDefault="00C74419" w:rsidP="00D425F2">
            <w:pPr>
              <w:suppressAutoHyphens/>
              <w:rPr>
                <w:sz w:val="20"/>
                <w:szCs w:val="20"/>
                <w:highlight w:val="yellow"/>
              </w:rPr>
            </w:pPr>
            <w:r w:rsidRPr="007330A6">
              <w:rPr>
                <w:sz w:val="20"/>
                <w:szCs w:val="20"/>
                <w:highlight w:val="yellow"/>
              </w:rPr>
              <w:t>1.784</w:t>
            </w:r>
          </w:p>
        </w:tc>
        <w:tc>
          <w:tcPr>
            <w:tcW w:w="345" w:type="pct"/>
            <w:gridSpan w:val="2"/>
            <w:tcBorders>
              <w:top w:val="single" w:sz="4" w:space="0" w:color="auto"/>
              <w:left w:val="single" w:sz="4" w:space="0" w:color="auto"/>
              <w:bottom w:val="single" w:sz="4" w:space="0" w:color="auto"/>
              <w:right w:val="single" w:sz="4" w:space="0" w:color="auto"/>
            </w:tcBorders>
          </w:tcPr>
          <w:p w14:paraId="23F714BF" w14:textId="77777777" w:rsidR="00C74419" w:rsidRPr="00227BE0" w:rsidRDefault="00C74419" w:rsidP="00D425F2">
            <w:pPr>
              <w:widowControl w:val="0"/>
              <w:suppressAutoHyphens/>
              <w:jc w:val="center"/>
              <w:rPr>
                <w:noProof/>
                <w:sz w:val="20"/>
                <w:szCs w:val="20"/>
              </w:rPr>
            </w:pPr>
            <w:r w:rsidRPr="00227BE0">
              <w:rPr>
                <w:noProof/>
                <w:sz w:val="20"/>
                <w:szCs w:val="20"/>
              </w:rPr>
              <w:t>--</w:t>
            </w:r>
          </w:p>
        </w:tc>
      </w:tr>
      <w:tr w:rsidR="00C74419" w:rsidRPr="00227BE0" w14:paraId="3DDA0801" w14:textId="77777777" w:rsidTr="00BA5F3B">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2F33618B" w14:textId="77777777" w:rsidR="00C74419" w:rsidRPr="00227BE0" w:rsidRDefault="00C74419" w:rsidP="00D425F2">
            <w:pPr>
              <w:widowControl w:val="0"/>
              <w:suppressAutoHyphens/>
              <w:rPr>
                <w:noProof/>
                <w:sz w:val="20"/>
                <w:szCs w:val="20"/>
                <w:vertAlign w:val="superscript"/>
              </w:rPr>
            </w:pPr>
            <w:r w:rsidRPr="00227BE0">
              <w:rPr>
                <w:sz w:val="20"/>
                <w:szCs w:val="20"/>
              </w:rPr>
              <w:t>D5 stream</w:t>
            </w:r>
          </w:p>
        </w:tc>
        <w:tc>
          <w:tcPr>
            <w:tcW w:w="278" w:type="pct"/>
            <w:tcBorders>
              <w:top w:val="single" w:sz="4" w:space="0" w:color="auto"/>
              <w:left w:val="single" w:sz="4" w:space="0" w:color="auto"/>
              <w:bottom w:val="single" w:sz="4" w:space="0" w:color="auto"/>
              <w:right w:val="single" w:sz="4" w:space="0" w:color="auto"/>
            </w:tcBorders>
            <w:vAlign w:val="center"/>
          </w:tcPr>
          <w:p w14:paraId="6131DEE5" w14:textId="54C6DF29" w:rsidR="00C74419" w:rsidRPr="00227BE0" w:rsidRDefault="00C74419" w:rsidP="00D425F2">
            <w:pPr>
              <w:widowControl w:val="0"/>
              <w:suppressAutoHyphens/>
              <w:rPr>
                <w:noProof/>
                <w:sz w:val="20"/>
                <w:szCs w:val="20"/>
              </w:rPr>
            </w:pPr>
            <w:r w:rsidRPr="00227BE0">
              <w:rPr>
                <w:noProof/>
                <w:sz w:val="20"/>
                <w:szCs w:val="20"/>
              </w:rPr>
              <w:t>0.762</w:t>
            </w:r>
          </w:p>
        </w:tc>
        <w:tc>
          <w:tcPr>
            <w:tcW w:w="286" w:type="pct"/>
            <w:tcBorders>
              <w:top w:val="single" w:sz="4" w:space="0" w:color="auto"/>
              <w:left w:val="single" w:sz="4" w:space="0" w:color="auto"/>
              <w:bottom w:val="single" w:sz="4" w:space="0" w:color="auto"/>
              <w:right w:val="single" w:sz="4" w:space="0" w:color="auto"/>
            </w:tcBorders>
            <w:vAlign w:val="center"/>
          </w:tcPr>
          <w:p w14:paraId="5140E962" w14:textId="77777777" w:rsidR="00C74419" w:rsidRPr="00227BE0" w:rsidRDefault="00C74419" w:rsidP="00D425F2">
            <w:pPr>
              <w:widowControl w:val="0"/>
              <w:suppressAutoHyphens/>
              <w:jc w:val="center"/>
              <w:rPr>
                <w:b/>
                <w:noProof/>
                <w:sz w:val="20"/>
                <w:szCs w:val="20"/>
              </w:rPr>
            </w:pPr>
            <w:r w:rsidRPr="00227BE0">
              <w:rPr>
                <w:color w:val="000000"/>
                <w:sz w:val="20"/>
                <w:szCs w:val="20"/>
              </w:rPr>
              <w:t>0.2</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4246278C" w14:textId="77777777" w:rsidR="00C74419" w:rsidRPr="00227BE0" w:rsidRDefault="00C74419" w:rsidP="00D425F2">
            <w:pPr>
              <w:widowControl w:val="0"/>
              <w:suppressAutoHyphens/>
              <w:jc w:val="center"/>
              <w:rPr>
                <w:b/>
                <w:noProof/>
                <w:sz w:val="20"/>
                <w:szCs w:val="20"/>
              </w:rPr>
            </w:pPr>
            <w:r w:rsidRPr="00227BE0">
              <w:rPr>
                <w:color w:val="000000"/>
                <w:sz w:val="20"/>
                <w:szCs w:val="20"/>
              </w:rPr>
              <w:t>0.05</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849099" w14:textId="55B1565D" w:rsidR="00C74419" w:rsidRPr="003B2696" w:rsidRDefault="00C74419" w:rsidP="00D425F2">
            <w:pPr>
              <w:widowControl w:val="0"/>
              <w:suppressAutoHyphens/>
              <w:jc w:val="center"/>
              <w:rPr>
                <w:b/>
                <w:bCs/>
                <w:color w:val="000000"/>
                <w:sz w:val="20"/>
                <w:szCs w:val="20"/>
              </w:rPr>
            </w:pPr>
            <w:r w:rsidRPr="003B2696">
              <w:rPr>
                <w:b/>
                <w:bCs/>
                <w:color w:val="000000"/>
                <w:sz w:val="20"/>
                <w:szCs w:val="20"/>
              </w:rPr>
              <w:t>1.39</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186802A0" w14:textId="027EB8CF" w:rsidR="00C74419" w:rsidRPr="00227BE0" w:rsidRDefault="00C74419" w:rsidP="00D425F2">
            <w:pPr>
              <w:widowControl w:val="0"/>
              <w:suppressAutoHyphens/>
              <w:jc w:val="center"/>
              <w:rPr>
                <w:noProof/>
                <w:sz w:val="20"/>
                <w:szCs w:val="20"/>
              </w:rPr>
            </w:pPr>
            <w:r w:rsidRPr="00227BE0">
              <w:rPr>
                <w:color w:val="000000"/>
                <w:sz w:val="20"/>
                <w:szCs w:val="20"/>
              </w:rPr>
              <w:t>0.3</w:t>
            </w:r>
          </w:p>
        </w:tc>
        <w:tc>
          <w:tcPr>
            <w:tcW w:w="337" w:type="pct"/>
            <w:tcBorders>
              <w:top w:val="single" w:sz="4" w:space="0" w:color="auto"/>
              <w:left w:val="single" w:sz="4" w:space="0" w:color="auto"/>
              <w:bottom w:val="single" w:sz="4" w:space="0" w:color="auto"/>
              <w:right w:val="single" w:sz="4" w:space="0" w:color="auto"/>
            </w:tcBorders>
            <w:vAlign w:val="center"/>
          </w:tcPr>
          <w:p w14:paraId="693962A7" w14:textId="77777777" w:rsidR="00C74419" w:rsidRPr="00227BE0" w:rsidRDefault="00C74419" w:rsidP="00D425F2">
            <w:pPr>
              <w:widowControl w:val="0"/>
              <w:suppressAutoHyphens/>
              <w:jc w:val="center"/>
              <w:rPr>
                <w:noProof/>
                <w:sz w:val="20"/>
                <w:szCs w:val="20"/>
              </w:rPr>
            </w:pPr>
            <w:r w:rsidRPr="00227BE0">
              <w:rPr>
                <w:color w:val="000000"/>
                <w:sz w:val="20"/>
                <w:szCs w:val="20"/>
              </w:rPr>
              <w:t>0.2</w:t>
            </w:r>
          </w:p>
        </w:tc>
        <w:tc>
          <w:tcPr>
            <w:tcW w:w="405" w:type="pct"/>
            <w:tcBorders>
              <w:top w:val="single" w:sz="4" w:space="0" w:color="auto"/>
              <w:left w:val="single" w:sz="4" w:space="0" w:color="auto"/>
              <w:bottom w:val="single" w:sz="4" w:space="0" w:color="auto"/>
              <w:right w:val="single" w:sz="4" w:space="0" w:color="auto"/>
            </w:tcBorders>
            <w:vAlign w:val="center"/>
          </w:tcPr>
          <w:p w14:paraId="598A9927"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color w:val="D9D9D9" w:themeColor="background1" w:themeShade="D9"/>
                <w:sz w:val="20"/>
                <w:szCs w:val="20"/>
              </w:rPr>
              <w:t>0.1</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776E9D" w14:textId="0F59CD12" w:rsidR="00C74419" w:rsidRPr="00227BE0" w:rsidRDefault="00333809" w:rsidP="00D425F2">
            <w:pPr>
              <w:widowControl w:val="0"/>
              <w:suppressAutoHyphens/>
              <w:jc w:val="center"/>
              <w:rPr>
                <w:noProof/>
                <w:sz w:val="20"/>
                <w:szCs w:val="20"/>
              </w:rPr>
            </w:pPr>
            <w:r>
              <w:rPr>
                <w:noProof/>
                <w:sz w:val="20"/>
                <w:szCs w:val="20"/>
              </w:rPr>
              <w:t>0.05</w:t>
            </w:r>
          </w:p>
        </w:tc>
        <w:tc>
          <w:tcPr>
            <w:tcW w:w="374" w:type="pct"/>
            <w:tcBorders>
              <w:top w:val="single" w:sz="4" w:space="0" w:color="auto"/>
              <w:left w:val="single" w:sz="4" w:space="0" w:color="auto"/>
              <w:bottom w:val="single" w:sz="4" w:space="0" w:color="auto"/>
              <w:right w:val="single" w:sz="4" w:space="0" w:color="auto"/>
            </w:tcBorders>
            <w:vAlign w:val="center"/>
          </w:tcPr>
          <w:p w14:paraId="35224A01" w14:textId="619D9559" w:rsidR="00C74419" w:rsidRPr="00227BE0" w:rsidRDefault="00C74419" w:rsidP="00D425F2">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7F7DE439" w14:textId="77777777" w:rsidR="00C74419" w:rsidRPr="00227BE0" w:rsidRDefault="00C74419" w:rsidP="00D425F2">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1BA95313" w14:textId="77777777" w:rsidR="00C74419" w:rsidRPr="00227BE0" w:rsidRDefault="00C74419" w:rsidP="00D425F2">
            <w:pPr>
              <w:suppressAutoHyphens/>
              <w:jc w:val="center"/>
              <w:rPr>
                <w:sz w:val="20"/>
                <w:szCs w:val="20"/>
              </w:rPr>
            </w:pPr>
            <w:r w:rsidRPr="00227BE0">
              <w:rPr>
                <w:color w:val="000000"/>
                <w:sz w:val="20"/>
                <w:szCs w:val="20"/>
              </w:rPr>
              <w:t>0.2</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36B64E75" w14:textId="77777777" w:rsidR="00C74419" w:rsidRPr="007330A6" w:rsidRDefault="00C74419" w:rsidP="00D425F2">
            <w:pPr>
              <w:suppressAutoHyphens/>
              <w:rPr>
                <w:strike/>
                <w:sz w:val="20"/>
                <w:szCs w:val="20"/>
                <w:highlight w:val="yellow"/>
              </w:rPr>
            </w:pPr>
            <w:r w:rsidRPr="007330A6">
              <w:rPr>
                <w:strike/>
                <w:sz w:val="20"/>
                <w:szCs w:val="20"/>
                <w:highlight w:val="yellow"/>
              </w:rPr>
              <w:t>0.391</w:t>
            </w:r>
          </w:p>
          <w:p w14:paraId="49E4B6D3" w14:textId="143D921F" w:rsidR="00C74419" w:rsidRPr="007330A6" w:rsidRDefault="00C74419" w:rsidP="00D425F2">
            <w:pPr>
              <w:suppressAutoHyphens/>
              <w:rPr>
                <w:sz w:val="20"/>
                <w:szCs w:val="20"/>
                <w:highlight w:val="yellow"/>
              </w:rPr>
            </w:pPr>
            <w:r w:rsidRPr="007330A6">
              <w:rPr>
                <w:sz w:val="20"/>
                <w:szCs w:val="20"/>
                <w:highlight w:val="yellow"/>
              </w:rPr>
              <w:t>0.390</w:t>
            </w:r>
          </w:p>
        </w:tc>
        <w:tc>
          <w:tcPr>
            <w:tcW w:w="345" w:type="pct"/>
            <w:gridSpan w:val="2"/>
            <w:tcBorders>
              <w:top w:val="single" w:sz="4" w:space="0" w:color="auto"/>
              <w:left w:val="single" w:sz="4" w:space="0" w:color="auto"/>
              <w:bottom w:val="single" w:sz="4" w:space="0" w:color="auto"/>
              <w:right w:val="single" w:sz="4" w:space="0" w:color="auto"/>
            </w:tcBorders>
          </w:tcPr>
          <w:p w14:paraId="66469BF6" w14:textId="77777777" w:rsidR="00C74419" w:rsidRPr="00227BE0" w:rsidRDefault="00C74419" w:rsidP="00D425F2">
            <w:pPr>
              <w:widowControl w:val="0"/>
              <w:suppressAutoHyphens/>
              <w:jc w:val="center"/>
              <w:rPr>
                <w:noProof/>
                <w:sz w:val="20"/>
                <w:szCs w:val="20"/>
              </w:rPr>
            </w:pPr>
            <w:r w:rsidRPr="00227BE0">
              <w:rPr>
                <w:noProof/>
                <w:sz w:val="20"/>
                <w:szCs w:val="20"/>
              </w:rPr>
              <w:t>--</w:t>
            </w:r>
          </w:p>
        </w:tc>
      </w:tr>
      <w:tr w:rsidR="00C74419" w:rsidRPr="00227BE0" w14:paraId="3F4F8FF5" w14:textId="77777777" w:rsidTr="00BA5F3B">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7071EDD2" w14:textId="77777777" w:rsidR="00C74419" w:rsidRPr="00227BE0" w:rsidRDefault="00C74419" w:rsidP="00D425F2">
            <w:pPr>
              <w:widowControl w:val="0"/>
              <w:suppressAutoHyphens/>
              <w:rPr>
                <w:noProof/>
                <w:sz w:val="20"/>
                <w:szCs w:val="20"/>
                <w:vertAlign w:val="superscript"/>
              </w:rPr>
            </w:pPr>
            <w:r w:rsidRPr="00227BE0">
              <w:rPr>
                <w:sz w:val="20"/>
                <w:szCs w:val="20"/>
              </w:rPr>
              <w:t>R1 pond</w:t>
            </w:r>
          </w:p>
        </w:tc>
        <w:tc>
          <w:tcPr>
            <w:tcW w:w="278" w:type="pct"/>
            <w:tcBorders>
              <w:top w:val="single" w:sz="4" w:space="0" w:color="auto"/>
              <w:left w:val="single" w:sz="4" w:space="0" w:color="auto"/>
              <w:bottom w:val="single" w:sz="4" w:space="0" w:color="auto"/>
              <w:right w:val="single" w:sz="4" w:space="0" w:color="auto"/>
            </w:tcBorders>
            <w:vAlign w:val="center"/>
          </w:tcPr>
          <w:p w14:paraId="67107652" w14:textId="77777777" w:rsidR="00C74419" w:rsidRPr="007330A6" w:rsidRDefault="00C74419" w:rsidP="00D425F2">
            <w:pPr>
              <w:widowControl w:val="0"/>
              <w:suppressAutoHyphens/>
              <w:rPr>
                <w:strike/>
                <w:noProof/>
                <w:sz w:val="20"/>
                <w:szCs w:val="20"/>
                <w:highlight w:val="yellow"/>
              </w:rPr>
            </w:pPr>
            <w:r w:rsidRPr="007330A6">
              <w:rPr>
                <w:strike/>
                <w:noProof/>
                <w:sz w:val="20"/>
                <w:szCs w:val="20"/>
                <w:highlight w:val="yellow"/>
              </w:rPr>
              <w:t>0.276</w:t>
            </w:r>
          </w:p>
          <w:p w14:paraId="5DBD7ADD" w14:textId="5AEBD00A" w:rsidR="00C74419" w:rsidRPr="007330A6" w:rsidRDefault="00C74419" w:rsidP="00D425F2">
            <w:pPr>
              <w:widowControl w:val="0"/>
              <w:suppressAutoHyphens/>
              <w:rPr>
                <w:noProof/>
                <w:sz w:val="20"/>
                <w:szCs w:val="20"/>
                <w:highlight w:val="yellow"/>
              </w:rPr>
            </w:pPr>
            <w:r w:rsidRPr="007330A6">
              <w:rPr>
                <w:noProof/>
                <w:sz w:val="20"/>
                <w:szCs w:val="20"/>
                <w:highlight w:val="yellow"/>
              </w:rPr>
              <w:t>0.278</w:t>
            </w:r>
          </w:p>
        </w:tc>
        <w:tc>
          <w:tcPr>
            <w:tcW w:w="286" w:type="pct"/>
            <w:tcBorders>
              <w:top w:val="single" w:sz="4" w:space="0" w:color="auto"/>
              <w:left w:val="single" w:sz="4" w:space="0" w:color="auto"/>
              <w:bottom w:val="single" w:sz="4" w:space="0" w:color="auto"/>
              <w:right w:val="single" w:sz="4" w:space="0" w:color="auto"/>
            </w:tcBorders>
            <w:vAlign w:val="center"/>
          </w:tcPr>
          <w:p w14:paraId="491F4794" w14:textId="77777777" w:rsidR="00C74419" w:rsidRPr="00227BE0" w:rsidRDefault="00C74419" w:rsidP="00D425F2">
            <w:pPr>
              <w:widowControl w:val="0"/>
              <w:suppressAutoHyphens/>
              <w:jc w:val="center"/>
              <w:rPr>
                <w:b/>
                <w:noProof/>
                <w:sz w:val="20"/>
                <w:szCs w:val="20"/>
              </w:rPr>
            </w:pPr>
            <w:r w:rsidRPr="00227BE0">
              <w:rPr>
                <w:color w:val="000000"/>
                <w:sz w:val="20"/>
                <w:szCs w:val="20"/>
              </w:rPr>
              <w:t>0.06</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5009C3B1" w14:textId="77777777" w:rsidR="00C74419" w:rsidRPr="00227BE0" w:rsidRDefault="00C74419" w:rsidP="00D425F2">
            <w:pPr>
              <w:widowControl w:val="0"/>
              <w:suppressAutoHyphens/>
              <w:jc w:val="center"/>
              <w:rPr>
                <w:b/>
                <w:noProof/>
                <w:sz w:val="20"/>
                <w:szCs w:val="20"/>
              </w:rPr>
            </w:pPr>
            <w:r w:rsidRPr="00227BE0">
              <w:rPr>
                <w:color w:val="000000"/>
                <w:sz w:val="20"/>
                <w:szCs w:val="20"/>
              </w:rPr>
              <w:t>0.02</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B42C00" w14:textId="0A8E98E2" w:rsidR="00C74419" w:rsidRPr="00227BE0" w:rsidRDefault="00C74419" w:rsidP="00D425F2">
            <w:pPr>
              <w:widowControl w:val="0"/>
              <w:suppressAutoHyphens/>
              <w:jc w:val="center"/>
              <w:rPr>
                <w:color w:val="000000"/>
                <w:sz w:val="20"/>
                <w:szCs w:val="20"/>
              </w:rPr>
            </w:pPr>
            <w:r>
              <w:rPr>
                <w:color w:val="000000"/>
                <w:sz w:val="20"/>
                <w:szCs w:val="20"/>
              </w:rPr>
              <w:t>0.51</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21A54FB8" w14:textId="5E885F12" w:rsidR="00C74419" w:rsidRPr="00227BE0" w:rsidRDefault="00C74419" w:rsidP="00D425F2">
            <w:pPr>
              <w:widowControl w:val="0"/>
              <w:suppressAutoHyphens/>
              <w:jc w:val="center"/>
              <w:rPr>
                <w:noProof/>
                <w:sz w:val="20"/>
                <w:szCs w:val="20"/>
              </w:rPr>
            </w:pPr>
            <w:r w:rsidRPr="00227BE0">
              <w:rPr>
                <w:color w:val="000000"/>
                <w:sz w:val="20"/>
                <w:szCs w:val="20"/>
              </w:rPr>
              <w:t>0.1</w:t>
            </w:r>
          </w:p>
        </w:tc>
        <w:tc>
          <w:tcPr>
            <w:tcW w:w="337" w:type="pct"/>
            <w:tcBorders>
              <w:top w:val="single" w:sz="4" w:space="0" w:color="auto"/>
              <w:left w:val="single" w:sz="4" w:space="0" w:color="auto"/>
              <w:bottom w:val="single" w:sz="4" w:space="0" w:color="auto"/>
              <w:right w:val="single" w:sz="4" w:space="0" w:color="auto"/>
            </w:tcBorders>
            <w:vAlign w:val="center"/>
          </w:tcPr>
          <w:p w14:paraId="5DF00754" w14:textId="77777777" w:rsidR="00C74419" w:rsidRPr="00227BE0" w:rsidRDefault="00C74419" w:rsidP="00D425F2">
            <w:pPr>
              <w:widowControl w:val="0"/>
              <w:suppressAutoHyphens/>
              <w:jc w:val="center"/>
              <w:rPr>
                <w:noProof/>
                <w:sz w:val="20"/>
                <w:szCs w:val="20"/>
              </w:rPr>
            </w:pPr>
            <w:r w:rsidRPr="00227BE0">
              <w:rPr>
                <w:color w:val="000000"/>
                <w:sz w:val="20"/>
                <w:szCs w:val="20"/>
              </w:rPr>
              <w:t>0.06</w:t>
            </w:r>
          </w:p>
        </w:tc>
        <w:tc>
          <w:tcPr>
            <w:tcW w:w="405" w:type="pct"/>
            <w:tcBorders>
              <w:top w:val="single" w:sz="4" w:space="0" w:color="auto"/>
              <w:left w:val="single" w:sz="4" w:space="0" w:color="auto"/>
              <w:bottom w:val="single" w:sz="4" w:space="0" w:color="auto"/>
              <w:right w:val="single" w:sz="4" w:space="0" w:color="auto"/>
            </w:tcBorders>
            <w:vAlign w:val="center"/>
          </w:tcPr>
          <w:p w14:paraId="5C561847"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color w:val="D9D9D9" w:themeColor="background1" w:themeShade="D9"/>
                <w:sz w:val="20"/>
                <w:szCs w:val="20"/>
              </w:rPr>
              <w:t>0.04</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176886" w14:textId="218FDF37" w:rsidR="00C74419" w:rsidRPr="00227BE0" w:rsidRDefault="00333809" w:rsidP="00D425F2">
            <w:pPr>
              <w:widowControl w:val="0"/>
              <w:suppressAutoHyphens/>
              <w:jc w:val="center"/>
              <w:rPr>
                <w:noProof/>
                <w:sz w:val="20"/>
                <w:szCs w:val="20"/>
              </w:rPr>
            </w:pPr>
            <w:r>
              <w:rPr>
                <w:noProof/>
                <w:sz w:val="20"/>
                <w:szCs w:val="20"/>
              </w:rPr>
              <w:t>0.0</w:t>
            </w:r>
            <w:r w:rsidR="00BA5F3B">
              <w:rPr>
                <w:noProof/>
                <w:sz w:val="20"/>
                <w:szCs w:val="20"/>
              </w:rPr>
              <w:t>2</w:t>
            </w:r>
          </w:p>
        </w:tc>
        <w:tc>
          <w:tcPr>
            <w:tcW w:w="374" w:type="pct"/>
            <w:tcBorders>
              <w:top w:val="single" w:sz="4" w:space="0" w:color="auto"/>
              <w:left w:val="single" w:sz="4" w:space="0" w:color="auto"/>
              <w:bottom w:val="single" w:sz="4" w:space="0" w:color="auto"/>
              <w:right w:val="single" w:sz="4" w:space="0" w:color="auto"/>
            </w:tcBorders>
            <w:vAlign w:val="center"/>
          </w:tcPr>
          <w:p w14:paraId="6DEE31CF" w14:textId="605A3105" w:rsidR="00C74419" w:rsidRPr="00227BE0" w:rsidRDefault="00C74419" w:rsidP="00D425F2">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65F9C01E" w14:textId="77777777" w:rsidR="00C74419" w:rsidRPr="00227BE0" w:rsidRDefault="00C74419" w:rsidP="00D425F2">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394C2AB9" w14:textId="77777777" w:rsidR="00C74419" w:rsidRPr="00227BE0" w:rsidRDefault="00C74419" w:rsidP="00D425F2">
            <w:pPr>
              <w:suppressAutoHyphens/>
              <w:jc w:val="center"/>
              <w:rPr>
                <w:sz w:val="20"/>
                <w:szCs w:val="20"/>
              </w:rPr>
            </w:pPr>
            <w:r w:rsidRPr="00227BE0">
              <w:rPr>
                <w:color w:val="000000"/>
                <w:sz w:val="20"/>
                <w:szCs w:val="20"/>
              </w:rPr>
              <w:t>0.08</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49F86638" w14:textId="77777777" w:rsidR="00C74419" w:rsidRPr="007330A6" w:rsidRDefault="00C74419" w:rsidP="00D425F2">
            <w:pPr>
              <w:suppressAutoHyphens/>
              <w:rPr>
                <w:strike/>
                <w:sz w:val="20"/>
                <w:szCs w:val="20"/>
                <w:highlight w:val="yellow"/>
              </w:rPr>
            </w:pPr>
            <w:r w:rsidRPr="007330A6">
              <w:rPr>
                <w:strike/>
                <w:sz w:val="20"/>
                <w:szCs w:val="20"/>
                <w:highlight w:val="yellow"/>
              </w:rPr>
              <w:t>1.574</w:t>
            </w:r>
          </w:p>
          <w:p w14:paraId="3A0FBD4B" w14:textId="73F8735A" w:rsidR="00C74419" w:rsidRPr="007330A6" w:rsidRDefault="00C74419" w:rsidP="00D425F2">
            <w:pPr>
              <w:suppressAutoHyphens/>
              <w:rPr>
                <w:sz w:val="20"/>
                <w:szCs w:val="20"/>
                <w:highlight w:val="yellow"/>
              </w:rPr>
            </w:pPr>
            <w:r w:rsidRPr="007330A6">
              <w:rPr>
                <w:sz w:val="20"/>
                <w:szCs w:val="20"/>
                <w:highlight w:val="yellow"/>
              </w:rPr>
              <w:t>1.600</w:t>
            </w:r>
          </w:p>
        </w:tc>
        <w:tc>
          <w:tcPr>
            <w:tcW w:w="345" w:type="pct"/>
            <w:gridSpan w:val="2"/>
            <w:tcBorders>
              <w:top w:val="single" w:sz="4" w:space="0" w:color="auto"/>
              <w:left w:val="single" w:sz="4" w:space="0" w:color="auto"/>
              <w:bottom w:val="single" w:sz="4" w:space="0" w:color="auto"/>
              <w:right w:val="single" w:sz="4" w:space="0" w:color="auto"/>
            </w:tcBorders>
          </w:tcPr>
          <w:p w14:paraId="08DDC808" w14:textId="77777777" w:rsidR="00C74419" w:rsidRPr="00227BE0" w:rsidRDefault="00C74419" w:rsidP="00D425F2">
            <w:pPr>
              <w:widowControl w:val="0"/>
              <w:suppressAutoHyphens/>
              <w:jc w:val="center"/>
              <w:rPr>
                <w:noProof/>
                <w:sz w:val="20"/>
                <w:szCs w:val="20"/>
              </w:rPr>
            </w:pPr>
            <w:r w:rsidRPr="00227BE0">
              <w:rPr>
                <w:noProof/>
                <w:sz w:val="20"/>
                <w:szCs w:val="20"/>
              </w:rPr>
              <w:t>--</w:t>
            </w:r>
          </w:p>
        </w:tc>
      </w:tr>
      <w:tr w:rsidR="00C74419" w:rsidRPr="00227BE0" w14:paraId="46309339" w14:textId="77777777" w:rsidTr="00BA5F3B">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6A52748E" w14:textId="77777777" w:rsidR="00C74419" w:rsidRPr="00227BE0" w:rsidRDefault="00C74419" w:rsidP="00D425F2">
            <w:pPr>
              <w:widowControl w:val="0"/>
              <w:suppressAutoHyphens/>
              <w:rPr>
                <w:noProof/>
                <w:sz w:val="20"/>
                <w:szCs w:val="20"/>
                <w:vertAlign w:val="superscript"/>
              </w:rPr>
            </w:pPr>
            <w:r w:rsidRPr="00227BE0">
              <w:rPr>
                <w:sz w:val="20"/>
                <w:szCs w:val="20"/>
              </w:rPr>
              <w:t>R1 stream</w:t>
            </w:r>
          </w:p>
        </w:tc>
        <w:tc>
          <w:tcPr>
            <w:tcW w:w="278" w:type="pct"/>
            <w:tcBorders>
              <w:top w:val="single" w:sz="4" w:space="0" w:color="auto"/>
              <w:left w:val="single" w:sz="4" w:space="0" w:color="auto"/>
              <w:bottom w:val="single" w:sz="4" w:space="0" w:color="auto"/>
              <w:right w:val="single" w:sz="4" w:space="0" w:color="auto"/>
            </w:tcBorders>
            <w:vAlign w:val="center"/>
          </w:tcPr>
          <w:p w14:paraId="3ECE1B46" w14:textId="77777777" w:rsidR="00C74419" w:rsidRPr="007330A6" w:rsidRDefault="00C74419" w:rsidP="00D425F2">
            <w:pPr>
              <w:widowControl w:val="0"/>
              <w:suppressAutoHyphens/>
              <w:rPr>
                <w:strike/>
                <w:noProof/>
                <w:sz w:val="20"/>
                <w:szCs w:val="20"/>
                <w:highlight w:val="yellow"/>
              </w:rPr>
            </w:pPr>
            <w:r w:rsidRPr="007330A6">
              <w:rPr>
                <w:strike/>
                <w:noProof/>
                <w:sz w:val="20"/>
                <w:szCs w:val="20"/>
                <w:highlight w:val="yellow"/>
              </w:rPr>
              <w:t>1.620</w:t>
            </w:r>
          </w:p>
          <w:p w14:paraId="784E6185" w14:textId="3EB78820" w:rsidR="00C74419" w:rsidRPr="007330A6" w:rsidRDefault="00C74419" w:rsidP="00D425F2">
            <w:pPr>
              <w:widowControl w:val="0"/>
              <w:suppressAutoHyphens/>
              <w:rPr>
                <w:noProof/>
                <w:sz w:val="20"/>
                <w:szCs w:val="20"/>
                <w:highlight w:val="yellow"/>
              </w:rPr>
            </w:pPr>
            <w:r w:rsidRPr="007330A6">
              <w:rPr>
                <w:noProof/>
                <w:sz w:val="20"/>
                <w:szCs w:val="20"/>
                <w:highlight w:val="yellow"/>
              </w:rPr>
              <w:t>1.633</w:t>
            </w:r>
          </w:p>
        </w:tc>
        <w:tc>
          <w:tcPr>
            <w:tcW w:w="286" w:type="pct"/>
            <w:tcBorders>
              <w:top w:val="single" w:sz="4" w:space="0" w:color="auto"/>
              <w:left w:val="single" w:sz="4" w:space="0" w:color="auto"/>
              <w:bottom w:val="single" w:sz="4" w:space="0" w:color="auto"/>
              <w:right w:val="single" w:sz="4" w:space="0" w:color="auto"/>
            </w:tcBorders>
            <w:vAlign w:val="center"/>
          </w:tcPr>
          <w:p w14:paraId="720027C5" w14:textId="77777777" w:rsidR="00C74419" w:rsidRPr="00227BE0" w:rsidRDefault="00C74419" w:rsidP="00D425F2">
            <w:pPr>
              <w:widowControl w:val="0"/>
              <w:suppressAutoHyphens/>
              <w:jc w:val="center"/>
              <w:rPr>
                <w:b/>
                <w:noProof/>
                <w:sz w:val="20"/>
                <w:szCs w:val="20"/>
              </w:rPr>
            </w:pPr>
            <w:r w:rsidRPr="00227BE0">
              <w:rPr>
                <w:color w:val="000000"/>
                <w:sz w:val="20"/>
                <w:szCs w:val="20"/>
              </w:rPr>
              <w:t>0.3</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0B02A588" w14:textId="77777777" w:rsidR="00C74419" w:rsidRPr="00227BE0" w:rsidRDefault="00C74419" w:rsidP="00D425F2">
            <w:pPr>
              <w:widowControl w:val="0"/>
              <w:suppressAutoHyphens/>
              <w:jc w:val="center"/>
              <w:rPr>
                <w:b/>
                <w:noProof/>
                <w:sz w:val="20"/>
                <w:szCs w:val="20"/>
              </w:rPr>
            </w:pPr>
            <w:r w:rsidRPr="00227BE0">
              <w:rPr>
                <w:color w:val="000000"/>
                <w:sz w:val="20"/>
                <w:szCs w:val="20"/>
              </w:rPr>
              <w:t>0.1</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2642FE" w14:textId="7319E89D" w:rsidR="00C74419" w:rsidRPr="003B2696" w:rsidRDefault="00C74419" w:rsidP="00D425F2">
            <w:pPr>
              <w:widowControl w:val="0"/>
              <w:suppressAutoHyphens/>
              <w:jc w:val="center"/>
              <w:rPr>
                <w:b/>
                <w:bCs/>
                <w:color w:val="000000"/>
                <w:sz w:val="20"/>
                <w:szCs w:val="20"/>
              </w:rPr>
            </w:pPr>
            <w:r w:rsidRPr="003B2696">
              <w:rPr>
                <w:b/>
                <w:bCs/>
                <w:color w:val="000000"/>
                <w:sz w:val="20"/>
                <w:szCs w:val="20"/>
              </w:rPr>
              <w:t>2.97</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7F951AB5" w14:textId="1A87FDF4" w:rsidR="00C74419" w:rsidRPr="00227BE0" w:rsidRDefault="00C74419" w:rsidP="00D425F2">
            <w:pPr>
              <w:widowControl w:val="0"/>
              <w:suppressAutoHyphens/>
              <w:jc w:val="center"/>
              <w:rPr>
                <w:noProof/>
                <w:sz w:val="20"/>
                <w:szCs w:val="20"/>
              </w:rPr>
            </w:pPr>
            <w:r w:rsidRPr="00227BE0">
              <w:rPr>
                <w:color w:val="000000"/>
                <w:sz w:val="20"/>
                <w:szCs w:val="20"/>
              </w:rPr>
              <w:t>0.7</w:t>
            </w:r>
          </w:p>
        </w:tc>
        <w:tc>
          <w:tcPr>
            <w:tcW w:w="337" w:type="pct"/>
            <w:tcBorders>
              <w:top w:val="single" w:sz="4" w:space="0" w:color="auto"/>
              <w:left w:val="single" w:sz="4" w:space="0" w:color="auto"/>
              <w:bottom w:val="single" w:sz="4" w:space="0" w:color="auto"/>
              <w:right w:val="single" w:sz="4" w:space="0" w:color="auto"/>
            </w:tcBorders>
            <w:vAlign w:val="center"/>
          </w:tcPr>
          <w:p w14:paraId="162E9CD3" w14:textId="77777777" w:rsidR="00C74419" w:rsidRPr="00227BE0" w:rsidRDefault="00C74419" w:rsidP="00D425F2">
            <w:pPr>
              <w:widowControl w:val="0"/>
              <w:suppressAutoHyphens/>
              <w:jc w:val="center"/>
              <w:rPr>
                <w:noProof/>
                <w:sz w:val="20"/>
                <w:szCs w:val="20"/>
              </w:rPr>
            </w:pPr>
            <w:r w:rsidRPr="00227BE0">
              <w:rPr>
                <w:color w:val="000000"/>
                <w:sz w:val="20"/>
                <w:szCs w:val="20"/>
              </w:rPr>
              <w:t>0.4</w:t>
            </w:r>
          </w:p>
        </w:tc>
        <w:tc>
          <w:tcPr>
            <w:tcW w:w="405" w:type="pct"/>
            <w:tcBorders>
              <w:top w:val="single" w:sz="4" w:space="0" w:color="auto"/>
              <w:left w:val="single" w:sz="4" w:space="0" w:color="auto"/>
              <w:bottom w:val="single" w:sz="4" w:space="0" w:color="auto"/>
              <w:right w:val="single" w:sz="4" w:space="0" w:color="auto"/>
            </w:tcBorders>
            <w:vAlign w:val="center"/>
          </w:tcPr>
          <w:p w14:paraId="154302ED"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color w:val="D9D9D9" w:themeColor="background1" w:themeShade="D9"/>
                <w:sz w:val="20"/>
                <w:szCs w:val="20"/>
              </w:rPr>
              <w:t>0.3</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B827F8" w14:textId="4BC03878" w:rsidR="00C74419" w:rsidRPr="00227BE0" w:rsidRDefault="00BA5F3B" w:rsidP="00D425F2">
            <w:pPr>
              <w:widowControl w:val="0"/>
              <w:suppressAutoHyphens/>
              <w:jc w:val="center"/>
              <w:rPr>
                <w:noProof/>
                <w:sz w:val="20"/>
                <w:szCs w:val="20"/>
              </w:rPr>
            </w:pPr>
            <w:r>
              <w:rPr>
                <w:noProof/>
                <w:sz w:val="20"/>
                <w:szCs w:val="20"/>
              </w:rPr>
              <w:t>0.11</w:t>
            </w:r>
          </w:p>
        </w:tc>
        <w:tc>
          <w:tcPr>
            <w:tcW w:w="374" w:type="pct"/>
            <w:tcBorders>
              <w:top w:val="single" w:sz="4" w:space="0" w:color="auto"/>
              <w:left w:val="single" w:sz="4" w:space="0" w:color="auto"/>
              <w:bottom w:val="single" w:sz="4" w:space="0" w:color="auto"/>
              <w:right w:val="single" w:sz="4" w:space="0" w:color="auto"/>
            </w:tcBorders>
            <w:vAlign w:val="center"/>
          </w:tcPr>
          <w:p w14:paraId="46D40162" w14:textId="68C431D2" w:rsidR="00C74419" w:rsidRPr="00227BE0" w:rsidRDefault="00C74419" w:rsidP="00D425F2">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4E45EAC9" w14:textId="77777777" w:rsidR="00C74419" w:rsidRPr="00227BE0" w:rsidRDefault="00C74419" w:rsidP="00D425F2">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6B4D0738" w14:textId="77777777" w:rsidR="00C74419" w:rsidRPr="00227BE0" w:rsidRDefault="00C74419" w:rsidP="00D425F2">
            <w:pPr>
              <w:suppressAutoHyphens/>
              <w:jc w:val="center"/>
              <w:rPr>
                <w:sz w:val="20"/>
                <w:szCs w:val="20"/>
              </w:rPr>
            </w:pPr>
            <w:r w:rsidRPr="00227BE0">
              <w:rPr>
                <w:color w:val="000000"/>
                <w:sz w:val="20"/>
                <w:szCs w:val="20"/>
              </w:rPr>
              <w:t>0.5</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2A6BFD83" w14:textId="77777777" w:rsidR="00C74419" w:rsidRPr="007330A6" w:rsidRDefault="00C74419" w:rsidP="00D425F2">
            <w:pPr>
              <w:suppressAutoHyphens/>
              <w:rPr>
                <w:sz w:val="20"/>
                <w:szCs w:val="20"/>
                <w:highlight w:val="yellow"/>
              </w:rPr>
            </w:pPr>
            <w:r w:rsidRPr="007330A6">
              <w:rPr>
                <w:strike/>
                <w:sz w:val="20"/>
                <w:szCs w:val="20"/>
                <w:highlight w:val="yellow"/>
              </w:rPr>
              <w:t>1.767</w:t>
            </w:r>
          </w:p>
          <w:p w14:paraId="051AE642" w14:textId="49F44CF3" w:rsidR="00C74419" w:rsidRPr="007330A6" w:rsidRDefault="00C74419" w:rsidP="00D425F2">
            <w:pPr>
              <w:suppressAutoHyphens/>
              <w:rPr>
                <w:sz w:val="20"/>
                <w:szCs w:val="20"/>
                <w:highlight w:val="yellow"/>
              </w:rPr>
            </w:pPr>
            <w:r w:rsidRPr="007330A6">
              <w:rPr>
                <w:sz w:val="20"/>
                <w:szCs w:val="20"/>
                <w:highlight w:val="yellow"/>
              </w:rPr>
              <w:t>1.762</w:t>
            </w:r>
          </w:p>
        </w:tc>
        <w:tc>
          <w:tcPr>
            <w:tcW w:w="345" w:type="pct"/>
            <w:gridSpan w:val="2"/>
            <w:tcBorders>
              <w:top w:val="single" w:sz="4" w:space="0" w:color="auto"/>
              <w:left w:val="single" w:sz="4" w:space="0" w:color="auto"/>
              <w:bottom w:val="single" w:sz="4" w:space="0" w:color="auto"/>
              <w:right w:val="single" w:sz="4" w:space="0" w:color="auto"/>
            </w:tcBorders>
          </w:tcPr>
          <w:p w14:paraId="74002FA4" w14:textId="77777777" w:rsidR="00C74419" w:rsidRPr="00227BE0" w:rsidRDefault="00C74419" w:rsidP="00D425F2">
            <w:pPr>
              <w:widowControl w:val="0"/>
              <w:suppressAutoHyphens/>
              <w:jc w:val="center"/>
              <w:rPr>
                <w:noProof/>
                <w:sz w:val="20"/>
                <w:szCs w:val="20"/>
              </w:rPr>
            </w:pPr>
            <w:r w:rsidRPr="00227BE0">
              <w:rPr>
                <w:noProof/>
                <w:sz w:val="20"/>
                <w:szCs w:val="20"/>
              </w:rPr>
              <w:t>--</w:t>
            </w:r>
          </w:p>
        </w:tc>
      </w:tr>
      <w:tr w:rsidR="00C74419" w:rsidRPr="00227BE0" w14:paraId="2924A3A7" w14:textId="77777777" w:rsidTr="00BA5F3B">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508CDA3B" w14:textId="77777777" w:rsidR="00C74419" w:rsidRPr="00227BE0" w:rsidRDefault="00C74419" w:rsidP="00D425F2">
            <w:pPr>
              <w:widowControl w:val="0"/>
              <w:suppressAutoHyphens/>
              <w:rPr>
                <w:noProof/>
                <w:sz w:val="20"/>
                <w:szCs w:val="20"/>
                <w:vertAlign w:val="superscript"/>
              </w:rPr>
            </w:pPr>
            <w:r w:rsidRPr="00227BE0">
              <w:rPr>
                <w:sz w:val="20"/>
                <w:szCs w:val="20"/>
              </w:rPr>
              <w:t>R3 stream</w:t>
            </w:r>
          </w:p>
        </w:tc>
        <w:tc>
          <w:tcPr>
            <w:tcW w:w="278" w:type="pct"/>
            <w:tcBorders>
              <w:top w:val="single" w:sz="4" w:space="0" w:color="auto"/>
              <w:left w:val="single" w:sz="4" w:space="0" w:color="auto"/>
              <w:bottom w:val="single" w:sz="4" w:space="0" w:color="auto"/>
              <w:right w:val="single" w:sz="4" w:space="0" w:color="auto"/>
            </w:tcBorders>
            <w:vAlign w:val="center"/>
          </w:tcPr>
          <w:p w14:paraId="42A475A1" w14:textId="77777777" w:rsidR="00C74419" w:rsidRPr="007330A6" w:rsidRDefault="00C74419" w:rsidP="00D425F2">
            <w:pPr>
              <w:widowControl w:val="0"/>
              <w:suppressAutoHyphens/>
              <w:rPr>
                <w:strike/>
                <w:noProof/>
                <w:sz w:val="20"/>
                <w:szCs w:val="20"/>
                <w:highlight w:val="yellow"/>
              </w:rPr>
            </w:pPr>
            <w:r w:rsidRPr="007330A6">
              <w:rPr>
                <w:strike/>
                <w:noProof/>
                <w:sz w:val="20"/>
                <w:szCs w:val="20"/>
                <w:highlight w:val="yellow"/>
              </w:rPr>
              <w:t>3.111</w:t>
            </w:r>
          </w:p>
          <w:p w14:paraId="469CF22F" w14:textId="743ACEC9" w:rsidR="00C74419" w:rsidRPr="007330A6" w:rsidRDefault="00C74419" w:rsidP="00D425F2">
            <w:pPr>
              <w:widowControl w:val="0"/>
              <w:suppressAutoHyphens/>
              <w:rPr>
                <w:noProof/>
                <w:sz w:val="20"/>
                <w:szCs w:val="20"/>
                <w:highlight w:val="yellow"/>
              </w:rPr>
            </w:pPr>
            <w:r w:rsidRPr="007330A6">
              <w:rPr>
                <w:noProof/>
                <w:sz w:val="20"/>
                <w:szCs w:val="20"/>
                <w:highlight w:val="yellow"/>
              </w:rPr>
              <w:t>3.128</w:t>
            </w:r>
          </w:p>
        </w:tc>
        <w:tc>
          <w:tcPr>
            <w:tcW w:w="286" w:type="pct"/>
            <w:tcBorders>
              <w:top w:val="single" w:sz="4" w:space="0" w:color="auto"/>
              <w:left w:val="single" w:sz="4" w:space="0" w:color="auto"/>
              <w:bottom w:val="single" w:sz="4" w:space="0" w:color="auto"/>
              <w:right w:val="single" w:sz="4" w:space="0" w:color="auto"/>
            </w:tcBorders>
            <w:vAlign w:val="center"/>
          </w:tcPr>
          <w:p w14:paraId="0E03CC5E" w14:textId="77777777" w:rsidR="00C74419" w:rsidRPr="00227BE0" w:rsidRDefault="00C74419" w:rsidP="00D425F2">
            <w:pPr>
              <w:widowControl w:val="0"/>
              <w:suppressAutoHyphens/>
              <w:jc w:val="center"/>
              <w:rPr>
                <w:b/>
                <w:noProof/>
                <w:sz w:val="20"/>
                <w:szCs w:val="20"/>
              </w:rPr>
            </w:pPr>
            <w:r w:rsidRPr="00227BE0">
              <w:rPr>
                <w:color w:val="000000"/>
                <w:sz w:val="20"/>
                <w:szCs w:val="20"/>
              </w:rPr>
              <w:t>0.7</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42C3FD14" w14:textId="77777777" w:rsidR="00C74419" w:rsidRPr="00227BE0" w:rsidRDefault="00C74419" w:rsidP="00D425F2">
            <w:pPr>
              <w:widowControl w:val="0"/>
              <w:suppressAutoHyphens/>
              <w:jc w:val="center"/>
              <w:rPr>
                <w:b/>
                <w:noProof/>
                <w:sz w:val="20"/>
                <w:szCs w:val="20"/>
              </w:rPr>
            </w:pPr>
            <w:r w:rsidRPr="00227BE0">
              <w:rPr>
                <w:color w:val="000000"/>
                <w:sz w:val="20"/>
                <w:szCs w:val="20"/>
              </w:rPr>
              <w:t>0.2</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68B1B8" w14:textId="3D5A9DD0" w:rsidR="00C74419" w:rsidRPr="00227BE0" w:rsidRDefault="00C74419" w:rsidP="00D425F2">
            <w:pPr>
              <w:widowControl w:val="0"/>
              <w:suppressAutoHyphens/>
              <w:jc w:val="center"/>
              <w:rPr>
                <w:b/>
                <w:color w:val="000000"/>
              </w:rPr>
            </w:pPr>
            <w:r>
              <w:rPr>
                <w:b/>
                <w:color w:val="000000"/>
              </w:rPr>
              <w:t>5.69</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73D0B451" w14:textId="2AF6C823" w:rsidR="00C74419" w:rsidRPr="00227BE0" w:rsidRDefault="00C74419" w:rsidP="00D425F2">
            <w:pPr>
              <w:widowControl w:val="0"/>
              <w:suppressAutoHyphens/>
              <w:jc w:val="center"/>
              <w:rPr>
                <w:b/>
                <w:noProof/>
              </w:rPr>
            </w:pPr>
            <w:r w:rsidRPr="00227BE0">
              <w:rPr>
                <w:b/>
                <w:color w:val="000000"/>
              </w:rPr>
              <w:t>1.4</w:t>
            </w:r>
          </w:p>
        </w:tc>
        <w:tc>
          <w:tcPr>
            <w:tcW w:w="337" w:type="pct"/>
            <w:tcBorders>
              <w:top w:val="single" w:sz="4" w:space="0" w:color="auto"/>
              <w:left w:val="single" w:sz="4" w:space="0" w:color="auto"/>
              <w:bottom w:val="single" w:sz="4" w:space="0" w:color="auto"/>
              <w:right w:val="single" w:sz="4" w:space="0" w:color="auto"/>
            </w:tcBorders>
            <w:vAlign w:val="center"/>
          </w:tcPr>
          <w:p w14:paraId="28A26F47" w14:textId="77777777" w:rsidR="00C74419" w:rsidRPr="00227BE0" w:rsidRDefault="00C74419" w:rsidP="00D425F2">
            <w:pPr>
              <w:widowControl w:val="0"/>
              <w:suppressAutoHyphens/>
              <w:jc w:val="center"/>
              <w:rPr>
                <w:noProof/>
                <w:sz w:val="20"/>
                <w:szCs w:val="20"/>
              </w:rPr>
            </w:pPr>
            <w:r w:rsidRPr="00227BE0">
              <w:rPr>
                <w:color w:val="000000"/>
                <w:sz w:val="20"/>
                <w:szCs w:val="20"/>
              </w:rPr>
              <w:t>0.7</w:t>
            </w:r>
          </w:p>
        </w:tc>
        <w:tc>
          <w:tcPr>
            <w:tcW w:w="405" w:type="pct"/>
            <w:tcBorders>
              <w:top w:val="single" w:sz="4" w:space="0" w:color="auto"/>
              <w:left w:val="single" w:sz="4" w:space="0" w:color="auto"/>
              <w:bottom w:val="single" w:sz="4" w:space="0" w:color="auto"/>
              <w:right w:val="single" w:sz="4" w:space="0" w:color="auto"/>
            </w:tcBorders>
            <w:vAlign w:val="center"/>
          </w:tcPr>
          <w:p w14:paraId="7A93C756" w14:textId="77777777" w:rsidR="00C74419" w:rsidRPr="00C74419" w:rsidRDefault="00C74419" w:rsidP="00D425F2">
            <w:pPr>
              <w:widowControl w:val="0"/>
              <w:suppressAutoHyphens/>
              <w:jc w:val="center"/>
              <w:rPr>
                <w:strike/>
                <w:noProof/>
                <w:color w:val="D9D9D9" w:themeColor="background1" w:themeShade="D9"/>
                <w:sz w:val="20"/>
                <w:szCs w:val="20"/>
              </w:rPr>
            </w:pPr>
            <w:r w:rsidRPr="00C74419">
              <w:rPr>
                <w:strike/>
                <w:color w:val="D9D9D9" w:themeColor="background1" w:themeShade="D9"/>
                <w:sz w:val="20"/>
                <w:szCs w:val="20"/>
              </w:rPr>
              <w:t>0.5</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EF452D" w14:textId="5C06910D" w:rsidR="00C74419" w:rsidRPr="00227BE0" w:rsidRDefault="00BA5F3B" w:rsidP="00D425F2">
            <w:pPr>
              <w:widowControl w:val="0"/>
              <w:suppressAutoHyphens/>
              <w:jc w:val="center"/>
              <w:rPr>
                <w:noProof/>
                <w:sz w:val="20"/>
                <w:szCs w:val="20"/>
              </w:rPr>
            </w:pPr>
            <w:r>
              <w:rPr>
                <w:noProof/>
                <w:sz w:val="20"/>
                <w:szCs w:val="20"/>
              </w:rPr>
              <w:t>0.21</w:t>
            </w:r>
          </w:p>
        </w:tc>
        <w:tc>
          <w:tcPr>
            <w:tcW w:w="374" w:type="pct"/>
            <w:tcBorders>
              <w:top w:val="single" w:sz="4" w:space="0" w:color="auto"/>
              <w:left w:val="single" w:sz="4" w:space="0" w:color="auto"/>
              <w:bottom w:val="single" w:sz="4" w:space="0" w:color="auto"/>
              <w:right w:val="single" w:sz="4" w:space="0" w:color="auto"/>
            </w:tcBorders>
            <w:vAlign w:val="center"/>
          </w:tcPr>
          <w:p w14:paraId="12533890" w14:textId="5877972C" w:rsidR="00C74419" w:rsidRPr="00227BE0" w:rsidRDefault="00C74419" w:rsidP="00D425F2">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1DADABC7" w14:textId="77777777" w:rsidR="00C74419" w:rsidRPr="00227BE0" w:rsidRDefault="00C74419" w:rsidP="00D425F2">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2AA3C55D" w14:textId="77777777" w:rsidR="00C74419" w:rsidRPr="00227BE0" w:rsidRDefault="00C74419" w:rsidP="00D425F2">
            <w:pPr>
              <w:suppressAutoHyphens/>
              <w:jc w:val="center"/>
              <w:rPr>
                <w:sz w:val="20"/>
                <w:szCs w:val="20"/>
              </w:rPr>
            </w:pPr>
            <w:r w:rsidRPr="00227BE0">
              <w:rPr>
                <w:color w:val="000000"/>
                <w:sz w:val="20"/>
                <w:szCs w:val="20"/>
              </w:rPr>
              <w:t>0.9</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6E4261D3" w14:textId="77777777" w:rsidR="00C74419" w:rsidRPr="007330A6" w:rsidRDefault="00C74419" w:rsidP="00D425F2">
            <w:pPr>
              <w:suppressAutoHyphens/>
              <w:rPr>
                <w:strike/>
                <w:sz w:val="20"/>
                <w:szCs w:val="20"/>
                <w:highlight w:val="yellow"/>
              </w:rPr>
            </w:pPr>
            <w:r w:rsidRPr="007330A6">
              <w:rPr>
                <w:strike/>
                <w:sz w:val="20"/>
                <w:szCs w:val="20"/>
                <w:highlight w:val="yellow"/>
              </w:rPr>
              <w:t>2.177</w:t>
            </w:r>
          </w:p>
          <w:p w14:paraId="67D752FB" w14:textId="6D992CFC" w:rsidR="00C74419" w:rsidRPr="007330A6" w:rsidRDefault="00C74419" w:rsidP="00D425F2">
            <w:pPr>
              <w:suppressAutoHyphens/>
              <w:rPr>
                <w:sz w:val="20"/>
                <w:szCs w:val="20"/>
                <w:highlight w:val="yellow"/>
              </w:rPr>
            </w:pPr>
            <w:r w:rsidRPr="007330A6">
              <w:rPr>
                <w:sz w:val="20"/>
                <w:szCs w:val="20"/>
                <w:highlight w:val="yellow"/>
              </w:rPr>
              <w:t>2.184</w:t>
            </w:r>
          </w:p>
        </w:tc>
        <w:tc>
          <w:tcPr>
            <w:tcW w:w="345" w:type="pct"/>
            <w:gridSpan w:val="2"/>
            <w:tcBorders>
              <w:top w:val="single" w:sz="4" w:space="0" w:color="auto"/>
              <w:left w:val="single" w:sz="4" w:space="0" w:color="auto"/>
              <w:bottom w:val="single" w:sz="4" w:space="0" w:color="auto"/>
              <w:right w:val="single" w:sz="4" w:space="0" w:color="auto"/>
            </w:tcBorders>
          </w:tcPr>
          <w:p w14:paraId="4A974AFD" w14:textId="77777777" w:rsidR="00C74419" w:rsidRPr="00227BE0" w:rsidRDefault="00C74419" w:rsidP="00D425F2">
            <w:pPr>
              <w:widowControl w:val="0"/>
              <w:suppressAutoHyphens/>
              <w:jc w:val="center"/>
              <w:rPr>
                <w:noProof/>
                <w:sz w:val="20"/>
                <w:szCs w:val="20"/>
              </w:rPr>
            </w:pPr>
            <w:r w:rsidRPr="00227BE0">
              <w:rPr>
                <w:noProof/>
                <w:sz w:val="20"/>
                <w:szCs w:val="20"/>
              </w:rPr>
              <w:t>--</w:t>
            </w:r>
          </w:p>
        </w:tc>
      </w:tr>
      <w:tr w:rsidR="00C74419" w:rsidRPr="00227BE0" w14:paraId="6CAB51A6" w14:textId="77777777" w:rsidTr="00BA5F3B">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7DA70C0A" w14:textId="77777777" w:rsidR="00C74419" w:rsidRPr="00227BE0" w:rsidRDefault="00C74419" w:rsidP="00D425F2">
            <w:pPr>
              <w:widowControl w:val="0"/>
              <w:suppressAutoHyphens/>
              <w:rPr>
                <w:noProof/>
                <w:sz w:val="20"/>
                <w:szCs w:val="20"/>
                <w:vertAlign w:val="superscript"/>
              </w:rPr>
            </w:pPr>
            <w:r w:rsidRPr="00227BE0">
              <w:rPr>
                <w:sz w:val="20"/>
                <w:szCs w:val="20"/>
              </w:rPr>
              <w:t>R4 stream</w:t>
            </w:r>
          </w:p>
        </w:tc>
        <w:tc>
          <w:tcPr>
            <w:tcW w:w="278" w:type="pct"/>
            <w:tcBorders>
              <w:top w:val="single" w:sz="4" w:space="0" w:color="auto"/>
              <w:left w:val="single" w:sz="4" w:space="0" w:color="auto"/>
              <w:bottom w:val="single" w:sz="4" w:space="0" w:color="auto"/>
              <w:right w:val="single" w:sz="4" w:space="0" w:color="auto"/>
            </w:tcBorders>
            <w:vAlign w:val="center"/>
          </w:tcPr>
          <w:p w14:paraId="3DD7E640" w14:textId="77777777" w:rsidR="00C74419" w:rsidRPr="007330A6" w:rsidRDefault="00C74419" w:rsidP="00D425F2">
            <w:pPr>
              <w:widowControl w:val="0"/>
              <w:suppressAutoHyphens/>
              <w:rPr>
                <w:strike/>
                <w:noProof/>
                <w:sz w:val="20"/>
                <w:szCs w:val="20"/>
                <w:highlight w:val="yellow"/>
              </w:rPr>
            </w:pPr>
            <w:r w:rsidRPr="007330A6">
              <w:rPr>
                <w:strike/>
                <w:noProof/>
                <w:sz w:val="20"/>
                <w:szCs w:val="20"/>
                <w:highlight w:val="yellow"/>
              </w:rPr>
              <w:t>2.841</w:t>
            </w:r>
          </w:p>
          <w:p w14:paraId="0C85DBB0" w14:textId="464C8337" w:rsidR="00C74419" w:rsidRPr="007330A6" w:rsidRDefault="00C74419" w:rsidP="00D425F2">
            <w:pPr>
              <w:widowControl w:val="0"/>
              <w:suppressAutoHyphens/>
              <w:rPr>
                <w:noProof/>
                <w:sz w:val="20"/>
                <w:szCs w:val="20"/>
                <w:highlight w:val="yellow"/>
              </w:rPr>
            </w:pPr>
            <w:r w:rsidRPr="007330A6">
              <w:rPr>
                <w:noProof/>
                <w:sz w:val="20"/>
                <w:szCs w:val="20"/>
                <w:highlight w:val="yellow"/>
              </w:rPr>
              <w:t>1.603</w:t>
            </w:r>
          </w:p>
        </w:tc>
        <w:tc>
          <w:tcPr>
            <w:tcW w:w="286" w:type="pct"/>
            <w:tcBorders>
              <w:top w:val="single" w:sz="4" w:space="0" w:color="auto"/>
              <w:left w:val="single" w:sz="4" w:space="0" w:color="auto"/>
              <w:bottom w:val="single" w:sz="4" w:space="0" w:color="auto"/>
              <w:right w:val="single" w:sz="4" w:space="0" w:color="auto"/>
            </w:tcBorders>
            <w:vAlign w:val="center"/>
          </w:tcPr>
          <w:p w14:paraId="0132F61A" w14:textId="77777777" w:rsidR="00C74419" w:rsidRPr="0017001D" w:rsidRDefault="00C74419" w:rsidP="00D425F2">
            <w:pPr>
              <w:widowControl w:val="0"/>
              <w:suppressAutoHyphens/>
              <w:jc w:val="center"/>
              <w:rPr>
                <w:strike/>
                <w:color w:val="000000"/>
                <w:sz w:val="20"/>
                <w:szCs w:val="20"/>
                <w:highlight w:val="yellow"/>
              </w:rPr>
            </w:pPr>
            <w:r w:rsidRPr="0017001D">
              <w:rPr>
                <w:strike/>
                <w:color w:val="000000"/>
                <w:sz w:val="20"/>
                <w:szCs w:val="20"/>
                <w:highlight w:val="yellow"/>
              </w:rPr>
              <w:t>0.6</w:t>
            </w:r>
          </w:p>
          <w:p w14:paraId="0649B2C0" w14:textId="7BB5A684" w:rsidR="00C74419" w:rsidRPr="0017001D" w:rsidRDefault="00C74419" w:rsidP="00D425F2">
            <w:pPr>
              <w:widowControl w:val="0"/>
              <w:suppressAutoHyphens/>
              <w:jc w:val="center"/>
              <w:rPr>
                <w:noProof/>
                <w:sz w:val="20"/>
                <w:szCs w:val="20"/>
                <w:highlight w:val="yellow"/>
              </w:rPr>
            </w:pPr>
            <w:r w:rsidRPr="0017001D">
              <w:rPr>
                <w:noProof/>
                <w:color w:val="000000"/>
                <w:sz w:val="20"/>
                <w:szCs w:val="20"/>
                <w:highlight w:val="yellow"/>
              </w:rPr>
              <w:t>0.3</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6AC1CF4F" w14:textId="77777777" w:rsidR="00C74419" w:rsidRPr="0017001D" w:rsidRDefault="00C74419" w:rsidP="00D425F2">
            <w:pPr>
              <w:widowControl w:val="0"/>
              <w:suppressAutoHyphens/>
              <w:jc w:val="center"/>
              <w:rPr>
                <w:strike/>
                <w:color w:val="000000"/>
                <w:sz w:val="20"/>
                <w:szCs w:val="20"/>
                <w:highlight w:val="yellow"/>
              </w:rPr>
            </w:pPr>
            <w:r w:rsidRPr="0017001D">
              <w:rPr>
                <w:strike/>
                <w:color w:val="000000"/>
                <w:sz w:val="20"/>
                <w:szCs w:val="20"/>
                <w:highlight w:val="yellow"/>
              </w:rPr>
              <w:t>0.2</w:t>
            </w:r>
          </w:p>
          <w:p w14:paraId="545B31FC" w14:textId="626A8AE6" w:rsidR="00C74419" w:rsidRPr="0017001D" w:rsidRDefault="00C74419" w:rsidP="00D425F2">
            <w:pPr>
              <w:widowControl w:val="0"/>
              <w:suppressAutoHyphens/>
              <w:jc w:val="center"/>
              <w:rPr>
                <w:noProof/>
                <w:sz w:val="20"/>
                <w:szCs w:val="20"/>
                <w:highlight w:val="yellow"/>
              </w:rPr>
            </w:pPr>
            <w:r w:rsidRPr="0017001D">
              <w:rPr>
                <w:noProof/>
                <w:color w:val="000000"/>
                <w:sz w:val="20"/>
                <w:szCs w:val="20"/>
                <w:highlight w:val="yellow"/>
              </w:rPr>
              <w:t>0.1</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AC1190" w14:textId="626C7E10" w:rsidR="00C74419" w:rsidRPr="003B2696" w:rsidRDefault="00C74419" w:rsidP="00D425F2">
            <w:pPr>
              <w:widowControl w:val="0"/>
              <w:suppressAutoHyphens/>
              <w:jc w:val="center"/>
              <w:rPr>
                <w:b/>
                <w:color w:val="000000"/>
                <w:highlight w:val="yellow"/>
              </w:rPr>
            </w:pPr>
            <w:r w:rsidRPr="003B2696">
              <w:rPr>
                <w:b/>
                <w:color w:val="000000"/>
                <w:highlight w:val="yellow"/>
              </w:rPr>
              <w:t>2.91</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69D701F1" w14:textId="36ABE63A" w:rsidR="00C74419" w:rsidRPr="0017001D" w:rsidRDefault="00C74419" w:rsidP="00D425F2">
            <w:pPr>
              <w:widowControl w:val="0"/>
              <w:suppressAutoHyphens/>
              <w:jc w:val="center"/>
              <w:rPr>
                <w:b/>
                <w:strike/>
                <w:color w:val="000000"/>
                <w:highlight w:val="yellow"/>
              </w:rPr>
            </w:pPr>
            <w:r w:rsidRPr="0017001D">
              <w:rPr>
                <w:b/>
                <w:strike/>
                <w:color w:val="000000"/>
                <w:highlight w:val="yellow"/>
              </w:rPr>
              <w:t>1.2</w:t>
            </w:r>
          </w:p>
          <w:p w14:paraId="49998044" w14:textId="57C4AEFD" w:rsidR="00C74419" w:rsidRPr="0017001D" w:rsidRDefault="00C74419" w:rsidP="00D425F2">
            <w:pPr>
              <w:widowControl w:val="0"/>
              <w:suppressAutoHyphens/>
              <w:jc w:val="center"/>
              <w:rPr>
                <w:noProof/>
                <w:highlight w:val="yellow"/>
              </w:rPr>
            </w:pPr>
            <w:r w:rsidRPr="0017001D">
              <w:rPr>
                <w:noProof/>
                <w:color w:val="000000"/>
                <w:highlight w:val="yellow"/>
              </w:rPr>
              <w:t>0.7</w:t>
            </w:r>
          </w:p>
        </w:tc>
        <w:tc>
          <w:tcPr>
            <w:tcW w:w="337" w:type="pct"/>
            <w:tcBorders>
              <w:top w:val="single" w:sz="4" w:space="0" w:color="auto"/>
              <w:left w:val="single" w:sz="4" w:space="0" w:color="auto"/>
              <w:bottom w:val="single" w:sz="4" w:space="0" w:color="auto"/>
              <w:right w:val="single" w:sz="4" w:space="0" w:color="auto"/>
            </w:tcBorders>
            <w:vAlign w:val="center"/>
          </w:tcPr>
          <w:p w14:paraId="765DA1AF" w14:textId="77777777" w:rsidR="00C74419" w:rsidRPr="0017001D" w:rsidRDefault="00C74419" w:rsidP="00D425F2">
            <w:pPr>
              <w:widowControl w:val="0"/>
              <w:suppressAutoHyphens/>
              <w:jc w:val="center"/>
              <w:rPr>
                <w:strike/>
                <w:color w:val="000000"/>
                <w:sz w:val="20"/>
                <w:szCs w:val="20"/>
                <w:highlight w:val="yellow"/>
              </w:rPr>
            </w:pPr>
            <w:r w:rsidRPr="0017001D">
              <w:rPr>
                <w:strike/>
                <w:color w:val="000000"/>
                <w:sz w:val="20"/>
                <w:szCs w:val="20"/>
                <w:highlight w:val="yellow"/>
              </w:rPr>
              <w:t>0.6</w:t>
            </w:r>
          </w:p>
          <w:p w14:paraId="20DA83E0" w14:textId="348B4814" w:rsidR="00C74419" w:rsidRPr="0017001D" w:rsidRDefault="00C74419" w:rsidP="00D425F2">
            <w:pPr>
              <w:widowControl w:val="0"/>
              <w:suppressAutoHyphens/>
              <w:jc w:val="center"/>
              <w:rPr>
                <w:noProof/>
                <w:sz w:val="20"/>
                <w:szCs w:val="20"/>
                <w:highlight w:val="yellow"/>
              </w:rPr>
            </w:pPr>
            <w:r w:rsidRPr="0017001D">
              <w:rPr>
                <w:noProof/>
                <w:color w:val="000000"/>
                <w:sz w:val="20"/>
                <w:szCs w:val="20"/>
                <w:highlight w:val="yellow"/>
              </w:rPr>
              <w:t>0.4</w:t>
            </w:r>
          </w:p>
        </w:tc>
        <w:tc>
          <w:tcPr>
            <w:tcW w:w="405" w:type="pct"/>
            <w:tcBorders>
              <w:top w:val="single" w:sz="4" w:space="0" w:color="auto"/>
              <w:left w:val="single" w:sz="4" w:space="0" w:color="auto"/>
              <w:bottom w:val="single" w:sz="4" w:space="0" w:color="auto"/>
              <w:right w:val="single" w:sz="4" w:space="0" w:color="auto"/>
            </w:tcBorders>
            <w:vAlign w:val="center"/>
          </w:tcPr>
          <w:p w14:paraId="13DD64E7" w14:textId="77777777" w:rsidR="00C74419" w:rsidRPr="00C74419" w:rsidRDefault="00C74419" w:rsidP="00D425F2">
            <w:pPr>
              <w:widowControl w:val="0"/>
              <w:suppressAutoHyphens/>
              <w:jc w:val="center"/>
              <w:rPr>
                <w:strike/>
                <w:color w:val="D9D9D9" w:themeColor="background1" w:themeShade="D9"/>
                <w:sz w:val="20"/>
                <w:szCs w:val="20"/>
                <w:highlight w:val="yellow"/>
              </w:rPr>
            </w:pPr>
            <w:r w:rsidRPr="00C74419">
              <w:rPr>
                <w:strike/>
                <w:color w:val="D9D9D9" w:themeColor="background1" w:themeShade="D9"/>
                <w:sz w:val="20"/>
                <w:szCs w:val="20"/>
                <w:highlight w:val="yellow"/>
              </w:rPr>
              <w:t>0.5</w:t>
            </w:r>
          </w:p>
          <w:p w14:paraId="7A01F3AD" w14:textId="313C21B6" w:rsidR="00C74419" w:rsidRPr="00C74419" w:rsidRDefault="00C74419" w:rsidP="00D425F2">
            <w:pPr>
              <w:widowControl w:val="0"/>
              <w:suppressAutoHyphens/>
              <w:jc w:val="center"/>
              <w:rPr>
                <w:strike/>
                <w:noProof/>
                <w:color w:val="D9D9D9" w:themeColor="background1" w:themeShade="D9"/>
                <w:sz w:val="20"/>
                <w:szCs w:val="20"/>
                <w:highlight w:val="yellow"/>
              </w:rPr>
            </w:pPr>
            <w:r w:rsidRPr="00C74419">
              <w:rPr>
                <w:strike/>
                <w:noProof/>
                <w:color w:val="D9D9D9" w:themeColor="background1" w:themeShade="D9"/>
                <w:sz w:val="20"/>
                <w:szCs w:val="20"/>
                <w:highlight w:val="yellow"/>
              </w:rPr>
              <w:t>0.3</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651C53" w14:textId="5E2D3C39" w:rsidR="00C74419" w:rsidRPr="00227BE0" w:rsidRDefault="00BA5F3B" w:rsidP="00D425F2">
            <w:pPr>
              <w:widowControl w:val="0"/>
              <w:suppressAutoHyphens/>
              <w:jc w:val="center"/>
              <w:rPr>
                <w:noProof/>
                <w:sz w:val="20"/>
                <w:szCs w:val="20"/>
              </w:rPr>
            </w:pPr>
            <w:r>
              <w:rPr>
                <w:noProof/>
                <w:sz w:val="20"/>
                <w:szCs w:val="20"/>
              </w:rPr>
              <w:t>0.11</w:t>
            </w:r>
          </w:p>
        </w:tc>
        <w:tc>
          <w:tcPr>
            <w:tcW w:w="374" w:type="pct"/>
            <w:tcBorders>
              <w:top w:val="single" w:sz="4" w:space="0" w:color="auto"/>
              <w:left w:val="single" w:sz="4" w:space="0" w:color="auto"/>
              <w:bottom w:val="single" w:sz="4" w:space="0" w:color="auto"/>
              <w:right w:val="single" w:sz="4" w:space="0" w:color="auto"/>
            </w:tcBorders>
            <w:vAlign w:val="center"/>
          </w:tcPr>
          <w:p w14:paraId="37EE22BE" w14:textId="2A5F9F0A" w:rsidR="00C74419" w:rsidRPr="00227BE0" w:rsidRDefault="00C74419" w:rsidP="00D425F2">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45B7A645" w14:textId="77777777" w:rsidR="00C74419" w:rsidRPr="00227BE0" w:rsidRDefault="00C74419" w:rsidP="00D425F2">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4D52B096" w14:textId="77777777" w:rsidR="00C74419" w:rsidRPr="0017001D" w:rsidRDefault="00C74419" w:rsidP="00D425F2">
            <w:pPr>
              <w:suppressAutoHyphens/>
              <w:jc w:val="center"/>
              <w:rPr>
                <w:strike/>
                <w:color w:val="000000"/>
                <w:sz w:val="20"/>
                <w:szCs w:val="20"/>
                <w:highlight w:val="yellow"/>
              </w:rPr>
            </w:pPr>
            <w:r w:rsidRPr="0017001D">
              <w:rPr>
                <w:strike/>
                <w:color w:val="000000"/>
                <w:sz w:val="20"/>
                <w:szCs w:val="20"/>
                <w:highlight w:val="yellow"/>
              </w:rPr>
              <w:t>0.9</w:t>
            </w:r>
          </w:p>
          <w:p w14:paraId="31727757" w14:textId="29CD340E" w:rsidR="00C74419" w:rsidRPr="00227BE0" w:rsidRDefault="00C74419" w:rsidP="00D425F2">
            <w:pPr>
              <w:suppressAutoHyphens/>
              <w:jc w:val="center"/>
              <w:rPr>
                <w:sz w:val="20"/>
                <w:szCs w:val="20"/>
              </w:rPr>
            </w:pPr>
            <w:r w:rsidRPr="0017001D">
              <w:rPr>
                <w:sz w:val="20"/>
                <w:szCs w:val="20"/>
                <w:highlight w:val="yellow"/>
              </w:rPr>
              <w:t>0.5</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7C8DDE0D" w14:textId="77777777" w:rsidR="00C74419" w:rsidRPr="007330A6" w:rsidRDefault="00C74419" w:rsidP="00D425F2">
            <w:pPr>
              <w:suppressAutoHyphens/>
              <w:rPr>
                <w:strike/>
                <w:sz w:val="20"/>
                <w:szCs w:val="20"/>
                <w:highlight w:val="yellow"/>
              </w:rPr>
            </w:pPr>
            <w:r w:rsidRPr="007330A6">
              <w:rPr>
                <w:strike/>
                <w:sz w:val="20"/>
                <w:szCs w:val="20"/>
                <w:highlight w:val="yellow"/>
              </w:rPr>
              <w:t>1.612</w:t>
            </w:r>
          </w:p>
          <w:p w14:paraId="0F590905" w14:textId="7B32739E" w:rsidR="00C74419" w:rsidRPr="007330A6" w:rsidRDefault="00C74419" w:rsidP="00D425F2">
            <w:pPr>
              <w:suppressAutoHyphens/>
              <w:rPr>
                <w:sz w:val="20"/>
                <w:szCs w:val="20"/>
                <w:highlight w:val="yellow"/>
              </w:rPr>
            </w:pPr>
            <w:r w:rsidRPr="007330A6">
              <w:rPr>
                <w:sz w:val="20"/>
                <w:szCs w:val="20"/>
                <w:highlight w:val="yellow"/>
              </w:rPr>
              <w:t>1.383</w:t>
            </w:r>
          </w:p>
        </w:tc>
        <w:tc>
          <w:tcPr>
            <w:tcW w:w="345" w:type="pct"/>
            <w:gridSpan w:val="2"/>
            <w:tcBorders>
              <w:top w:val="single" w:sz="4" w:space="0" w:color="auto"/>
              <w:left w:val="single" w:sz="4" w:space="0" w:color="auto"/>
              <w:bottom w:val="single" w:sz="4" w:space="0" w:color="auto"/>
              <w:right w:val="single" w:sz="4" w:space="0" w:color="auto"/>
            </w:tcBorders>
          </w:tcPr>
          <w:p w14:paraId="65BBB212" w14:textId="77777777" w:rsidR="00C74419" w:rsidRPr="00227BE0" w:rsidRDefault="00C74419" w:rsidP="00D425F2">
            <w:pPr>
              <w:widowControl w:val="0"/>
              <w:suppressAutoHyphens/>
              <w:jc w:val="center"/>
              <w:rPr>
                <w:noProof/>
                <w:sz w:val="20"/>
                <w:szCs w:val="20"/>
              </w:rPr>
            </w:pPr>
            <w:r w:rsidRPr="00227BE0">
              <w:rPr>
                <w:noProof/>
                <w:sz w:val="20"/>
                <w:szCs w:val="20"/>
              </w:rPr>
              <w:t>--</w:t>
            </w:r>
          </w:p>
        </w:tc>
      </w:tr>
    </w:tbl>
    <w:p w14:paraId="036849D7" w14:textId="77777777" w:rsidR="00E51CDD" w:rsidRPr="00227BE0" w:rsidRDefault="00E51CDD" w:rsidP="00E51CDD">
      <w:pPr>
        <w:widowControl w:val="0"/>
        <w:tabs>
          <w:tab w:val="left" w:pos="425"/>
        </w:tabs>
        <w:suppressAutoHyphens/>
        <w:ind w:left="284" w:hanging="284"/>
        <w:jc w:val="both"/>
        <w:rPr>
          <w:noProof/>
          <w:sz w:val="18"/>
          <w:szCs w:val="18"/>
        </w:rPr>
      </w:pPr>
      <w:r w:rsidRPr="00227BE0">
        <w:rPr>
          <w:noProof/>
          <w:sz w:val="18"/>
          <w:szCs w:val="18"/>
        </w:rPr>
        <w:t>AF: Assessment factor; PEC: Predicted environmental concentration; RAC: Regulatory acceptable concentration; ETR: Exposure-toxicity ratio; PEC/RAC ratios (= ETR) above the relevant trigger of 1 are shown in bold; n.c.: not calculated</w:t>
      </w:r>
    </w:p>
    <w:p w14:paraId="52E56C62" w14:textId="77777777" w:rsidR="00E51CDD" w:rsidRPr="00227BE0" w:rsidRDefault="00E51CDD" w:rsidP="00E51CDD">
      <w:pPr>
        <w:widowControl w:val="0"/>
        <w:suppressAutoHyphens/>
        <w:ind w:left="284" w:hanging="284"/>
        <w:jc w:val="both"/>
        <w:rPr>
          <w:sz w:val="18"/>
          <w:szCs w:val="18"/>
          <w:vertAlign w:val="superscript"/>
        </w:rPr>
      </w:pPr>
      <w:r w:rsidRPr="00227BE0">
        <w:rPr>
          <w:sz w:val="18"/>
          <w:szCs w:val="18"/>
          <w:vertAlign w:val="superscript"/>
        </w:rPr>
        <w:t>#</w:t>
      </w:r>
      <w:r w:rsidRPr="00227BE0">
        <w:rPr>
          <w:sz w:val="18"/>
          <w:szCs w:val="18"/>
        </w:rPr>
        <w:tab/>
        <w:t>Worst-case PECs are derived from either single or twofold application in a risk envelope approach.</w:t>
      </w:r>
      <w:r w:rsidRPr="00227BE0">
        <w:rPr>
          <w:sz w:val="18"/>
          <w:szCs w:val="18"/>
          <w:vertAlign w:val="superscript"/>
        </w:rPr>
        <w:t xml:space="preserve"> </w:t>
      </w:r>
      <w:r w:rsidRPr="00227BE0">
        <w:rPr>
          <w:sz w:val="18"/>
          <w:szCs w:val="18"/>
        </w:rPr>
        <w:t>For details, please refer to Part B, Section 8.9.</w:t>
      </w:r>
    </w:p>
    <w:p w14:paraId="467BDD0B" w14:textId="77777777" w:rsidR="00E51CDD" w:rsidRPr="00227BE0" w:rsidRDefault="00E51CDD" w:rsidP="00E51CDD">
      <w:pPr>
        <w:widowControl w:val="0"/>
        <w:suppressAutoHyphens/>
        <w:ind w:left="284" w:hanging="284"/>
        <w:jc w:val="both"/>
        <w:rPr>
          <w:sz w:val="18"/>
          <w:szCs w:val="18"/>
        </w:rPr>
      </w:pPr>
      <w:r w:rsidRPr="00227BE0">
        <w:rPr>
          <w:sz w:val="18"/>
          <w:szCs w:val="18"/>
        </w:rPr>
        <w:t>*</w:t>
      </w:r>
      <w:r w:rsidRPr="00227BE0">
        <w:rPr>
          <w:sz w:val="18"/>
          <w:szCs w:val="18"/>
        </w:rPr>
        <w:tab/>
        <w:t xml:space="preserve">Not calculated, drainage PECs for single application are covered by 2-fold application. </w:t>
      </w:r>
    </w:p>
    <w:p w14:paraId="18DBC8FD" w14:textId="77777777" w:rsidR="00E51CDD" w:rsidRDefault="00E51CDD" w:rsidP="00E51CDD">
      <w:pPr>
        <w:widowControl w:val="0"/>
        <w:suppressAutoHyphens/>
        <w:ind w:left="284" w:hanging="284"/>
        <w:jc w:val="both"/>
      </w:pPr>
    </w:p>
    <w:p w14:paraId="42BA4B28" w14:textId="77777777" w:rsidR="00E51CDD" w:rsidRPr="00227BE0" w:rsidRDefault="00E51CDD" w:rsidP="00E51CDD">
      <w:pPr>
        <w:widowControl w:val="0"/>
        <w:suppressAutoHyphens/>
        <w:ind w:left="284" w:hanging="284"/>
        <w:jc w:val="both"/>
      </w:pPr>
    </w:p>
    <w:p w14:paraId="7FE20EAD" w14:textId="77777777" w:rsidR="00E51CDD" w:rsidRPr="00227BE0" w:rsidRDefault="00E51CDD" w:rsidP="00E51CDD">
      <w:pPr>
        <w:widowControl w:val="0"/>
        <w:suppressAutoHyphens/>
        <w:jc w:val="both"/>
      </w:pPr>
      <w:r w:rsidRPr="00227BE0">
        <w:t>For the intended use of azoxystrobin in ‘winter cereals’ at 1x and 2x 150 g a.s./ha, the calculated PEC/RAC ratios indicate an acceptable risk for all groups of aquatic organisms based on tier 1 toxicity data and Step 1 - 3 PEC</w:t>
      </w:r>
      <w:r w:rsidRPr="00227BE0">
        <w:rPr>
          <w:vertAlign w:val="subscript"/>
        </w:rPr>
        <w:t>sw</w:t>
      </w:r>
      <w:r w:rsidRPr="00227BE0">
        <w:t xml:space="preserve"> and PEC</w:t>
      </w:r>
      <w:r w:rsidRPr="00227BE0">
        <w:rPr>
          <w:vertAlign w:val="subscript"/>
        </w:rPr>
        <w:t>sed</w:t>
      </w:r>
      <w:r w:rsidRPr="00227BE0">
        <w:t xml:space="preserve"> values except for acute risk to invertebrates. Therefore, higher tier studies have been conducted (</w:t>
      </w:r>
      <w:r w:rsidRPr="00227BE0">
        <w:rPr>
          <w:i/>
        </w:rPr>
        <w:t>i.e.,</w:t>
      </w:r>
      <w:r w:rsidRPr="00227BE0">
        <w:t xml:space="preserve"> mesocosm study). Considering this higher tier information (</w:t>
      </w:r>
      <w:r w:rsidRPr="00227BE0">
        <w:rPr>
          <w:i/>
        </w:rPr>
        <w:t>i.e.,</w:t>
      </w:r>
      <w:r w:rsidRPr="00227BE0">
        <w:t xml:space="preserve"> mesocosm RAC of 3.3 a.s./L) PEC/RAC ratios indicate an acceptable risk for aquatic invertebrate. Therefore, no further assessment is necessary.</w:t>
      </w:r>
    </w:p>
    <w:p w14:paraId="1E59F830" w14:textId="343EDB8C" w:rsidR="00E51CDD" w:rsidRPr="00227BE0" w:rsidRDefault="00E51CDD" w:rsidP="00E51CDD">
      <w:pPr>
        <w:keepNext/>
        <w:keepLines/>
        <w:widowControl w:val="0"/>
        <w:tabs>
          <w:tab w:val="left" w:pos="1985"/>
        </w:tabs>
        <w:suppressAutoHyphens/>
        <w:spacing w:before="200" w:after="120"/>
        <w:ind w:left="1985" w:hanging="1985"/>
        <w:jc w:val="both"/>
      </w:pPr>
      <w:r w:rsidRPr="00227BE0">
        <w:rPr>
          <w:lang w:val="en-GB"/>
        </w:rPr>
        <w:br w:type="page"/>
      </w:r>
      <w:bookmarkStart w:id="518" w:name="_Ref82080204"/>
      <w:r w:rsidRPr="00227BE0">
        <w:rPr>
          <w:b/>
          <w:bCs/>
        </w:rPr>
        <w:lastRenderedPageBreak/>
        <w:t xml:space="preserve">Table </w:t>
      </w:r>
      <w:r w:rsidRPr="00227BE0">
        <w:fldChar w:fldCharType="begin"/>
      </w:r>
      <w:r w:rsidRPr="00227BE0">
        <w:rPr>
          <w:b/>
          <w:bCs/>
        </w:rPr>
        <w:instrText xml:space="preserve"> STYLEREF 2 \s </w:instrText>
      </w:r>
      <w:r w:rsidRPr="00227BE0">
        <w:fldChar w:fldCharType="separate"/>
      </w:r>
      <w:r w:rsidR="00662F32">
        <w:rPr>
          <w:b/>
          <w:bCs/>
          <w:noProof/>
        </w:rPr>
        <w:t>9.5</w:t>
      </w:r>
      <w:r w:rsidRPr="00227BE0">
        <w:fldChar w:fldCharType="end"/>
      </w:r>
      <w:r w:rsidRPr="00227BE0">
        <w:rPr>
          <w:b/>
          <w:bCs/>
        </w:rPr>
        <w:noBreakHyphen/>
      </w:r>
      <w:r w:rsidRPr="00227BE0">
        <w:fldChar w:fldCharType="begin"/>
      </w:r>
      <w:r w:rsidRPr="00227BE0">
        <w:rPr>
          <w:b/>
          <w:bCs/>
        </w:rPr>
        <w:instrText xml:space="preserve"> SEQ Table \* ARABIC \s 2 </w:instrText>
      </w:r>
      <w:r w:rsidRPr="00227BE0">
        <w:fldChar w:fldCharType="separate"/>
      </w:r>
      <w:r w:rsidR="00662F32">
        <w:rPr>
          <w:b/>
          <w:bCs/>
          <w:noProof/>
        </w:rPr>
        <w:t>10</w:t>
      </w:r>
      <w:r w:rsidRPr="00227BE0">
        <w:fldChar w:fldCharType="end"/>
      </w:r>
      <w:bookmarkEnd w:id="518"/>
      <w:r w:rsidRPr="00227BE0">
        <w:rPr>
          <w:b/>
          <w:bCs/>
        </w:rPr>
        <w:t>:</w:t>
      </w:r>
      <w:r w:rsidRPr="00227BE0">
        <w:rPr>
          <w:b/>
          <w:bCs/>
        </w:rPr>
        <w:tab/>
        <w:t xml:space="preserve">Aquatic organisms: acceptability of risk (PEC/RAC &lt; 1) for </w:t>
      </w:r>
      <w:r w:rsidRPr="00227BE0">
        <w:rPr>
          <w:b/>
          <w:bCs/>
          <w:iCs/>
        </w:rPr>
        <w:t xml:space="preserve">azoxystrobin </w:t>
      </w:r>
      <w:r w:rsidRPr="00227BE0">
        <w:rPr>
          <w:b/>
          <w:bCs/>
        </w:rPr>
        <w:t>for each organism group based on worst-case calculations following single and twofold application (1x and 2x 150 g a.s./ha) of BAS 736 00 F in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1347"/>
        <w:gridCol w:w="808"/>
        <w:gridCol w:w="832"/>
        <w:gridCol w:w="356"/>
        <w:gridCol w:w="626"/>
        <w:gridCol w:w="332"/>
        <w:gridCol w:w="597"/>
        <w:gridCol w:w="483"/>
        <w:gridCol w:w="445"/>
        <w:gridCol w:w="981"/>
        <w:gridCol w:w="1179"/>
        <w:gridCol w:w="1089"/>
        <w:gridCol w:w="1089"/>
        <w:gridCol w:w="1039"/>
        <w:gridCol w:w="1182"/>
        <w:gridCol w:w="1025"/>
        <w:gridCol w:w="122"/>
        <w:gridCol w:w="20"/>
        <w:gridCol w:w="105"/>
        <w:gridCol w:w="899"/>
      </w:tblGrid>
      <w:tr w:rsidR="000D25A9" w:rsidRPr="00227BE0" w14:paraId="0C1C3D74" w14:textId="77777777" w:rsidTr="000D25A9">
        <w:trPr>
          <w:cantSplit/>
          <w:tblHeader/>
        </w:trPr>
        <w:tc>
          <w:tcPr>
            <w:tcW w:w="463" w:type="pct"/>
            <w:tcBorders>
              <w:top w:val="single" w:sz="4" w:space="0" w:color="auto"/>
              <w:left w:val="single" w:sz="4" w:space="0" w:color="auto"/>
              <w:bottom w:val="single" w:sz="4" w:space="0" w:color="auto"/>
              <w:right w:val="single" w:sz="4" w:space="0" w:color="auto"/>
            </w:tcBorders>
            <w:vAlign w:val="center"/>
            <w:hideMark/>
          </w:tcPr>
          <w:p w14:paraId="7C930E4B" w14:textId="77777777" w:rsidR="000D25A9" w:rsidRPr="00227BE0" w:rsidRDefault="000D25A9" w:rsidP="000D25A9">
            <w:pPr>
              <w:widowControl w:val="0"/>
              <w:suppressAutoHyphens/>
              <w:rPr>
                <w:b/>
                <w:bCs/>
                <w:sz w:val="20"/>
                <w:szCs w:val="20"/>
              </w:rPr>
            </w:pPr>
            <w:r w:rsidRPr="00227BE0">
              <w:rPr>
                <w:b/>
                <w:bCs/>
                <w:sz w:val="20"/>
                <w:szCs w:val="20"/>
              </w:rPr>
              <w:t>Group</w:t>
            </w:r>
          </w:p>
        </w:tc>
        <w:tc>
          <w:tcPr>
            <w:tcW w:w="278" w:type="pct"/>
            <w:tcBorders>
              <w:top w:val="single" w:sz="4" w:space="0" w:color="auto"/>
              <w:left w:val="single" w:sz="4" w:space="0" w:color="auto"/>
              <w:bottom w:val="nil"/>
              <w:right w:val="single" w:sz="4" w:space="0" w:color="auto"/>
            </w:tcBorders>
            <w:vAlign w:val="center"/>
          </w:tcPr>
          <w:p w14:paraId="309850AD" w14:textId="77777777" w:rsidR="000D25A9" w:rsidRPr="00227BE0" w:rsidRDefault="000D25A9" w:rsidP="000D25A9">
            <w:pPr>
              <w:widowControl w:val="0"/>
              <w:suppressAutoHyphens/>
              <w:rPr>
                <w:noProof/>
                <w:sz w:val="20"/>
                <w:szCs w:val="20"/>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5E5BD962" w14:textId="77777777" w:rsidR="000D25A9" w:rsidRPr="00227BE0" w:rsidRDefault="000D25A9" w:rsidP="000D25A9">
            <w:pPr>
              <w:widowControl w:val="0"/>
              <w:suppressAutoHyphens/>
              <w:jc w:val="center"/>
              <w:rPr>
                <w:b/>
                <w:bCs/>
                <w:sz w:val="20"/>
                <w:szCs w:val="20"/>
              </w:rPr>
            </w:pPr>
            <w:r w:rsidRPr="00227BE0">
              <w:rPr>
                <w:b/>
                <w:bCs/>
                <w:sz w:val="20"/>
                <w:szCs w:val="20"/>
              </w:rPr>
              <w:t>Fish acute</w:t>
            </w:r>
          </w:p>
        </w:tc>
        <w:tc>
          <w:tcPr>
            <w:tcW w:w="337" w:type="pct"/>
            <w:gridSpan w:val="2"/>
            <w:tcBorders>
              <w:top w:val="single" w:sz="4" w:space="0" w:color="auto"/>
              <w:left w:val="single" w:sz="4" w:space="0" w:color="auto"/>
              <w:bottom w:val="single" w:sz="4" w:space="0" w:color="auto"/>
              <w:right w:val="single" w:sz="4" w:space="0" w:color="auto"/>
            </w:tcBorders>
            <w:vAlign w:val="center"/>
            <w:hideMark/>
          </w:tcPr>
          <w:p w14:paraId="04AF6AF5" w14:textId="77777777" w:rsidR="000D25A9" w:rsidRPr="00227BE0" w:rsidRDefault="000D25A9" w:rsidP="000D25A9">
            <w:pPr>
              <w:widowControl w:val="0"/>
              <w:suppressAutoHyphens/>
              <w:jc w:val="center"/>
              <w:rPr>
                <w:b/>
                <w:bCs/>
                <w:sz w:val="20"/>
                <w:szCs w:val="20"/>
              </w:rPr>
            </w:pPr>
            <w:r w:rsidRPr="00227BE0">
              <w:rPr>
                <w:b/>
                <w:bCs/>
                <w:sz w:val="20"/>
                <w:szCs w:val="20"/>
              </w:rPr>
              <w:t>Fish prolonged</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D562532" w14:textId="10E3068C" w:rsidR="000D25A9" w:rsidRPr="00227BE0" w:rsidRDefault="000D25A9" w:rsidP="000D25A9">
            <w:pPr>
              <w:widowControl w:val="0"/>
              <w:suppressAutoHyphens/>
              <w:jc w:val="center"/>
              <w:rPr>
                <w:b/>
                <w:bCs/>
                <w:sz w:val="20"/>
                <w:szCs w:val="20"/>
              </w:rPr>
            </w:pPr>
            <w:r w:rsidRPr="00227BE0">
              <w:rPr>
                <w:b/>
                <w:bCs/>
                <w:sz w:val="20"/>
                <w:szCs w:val="20"/>
              </w:rPr>
              <w:t>Inverteb. acute</w:t>
            </w:r>
          </w:p>
        </w:tc>
        <w:tc>
          <w:tcPr>
            <w:tcW w:w="319" w:type="pct"/>
            <w:gridSpan w:val="2"/>
            <w:tcBorders>
              <w:top w:val="single" w:sz="4" w:space="0" w:color="auto"/>
              <w:left w:val="single" w:sz="4" w:space="0" w:color="auto"/>
              <w:bottom w:val="single" w:sz="4" w:space="0" w:color="auto"/>
              <w:right w:val="single" w:sz="4" w:space="0" w:color="auto"/>
            </w:tcBorders>
            <w:vAlign w:val="center"/>
            <w:hideMark/>
          </w:tcPr>
          <w:p w14:paraId="58A6F120" w14:textId="14E2D6C6" w:rsidR="000D25A9" w:rsidRPr="00227BE0" w:rsidRDefault="000D25A9" w:rsidP="000D25A9">
            <w:pPr>
              <w:widowControl w:val="0"/>
              <w:suppressAutoHyphens/>
              <w:jc w:val="center"/>
              <w:rPr>
                <w:b/>
                <w:bCs/>
                <w:sz w:val="20"/>
                <w:szCs w:val="20"/>
              </w:rPr>
            </w:pPr>
            <w:r w:rsidRPr="00227BE0">
              <w:rPr>
                <w:b/>
                <w:bCs/>
                <w:sz w:val="20"/>
                <w:szCs w:val="20"/>
              </w:rPr>
              <w:t>Inverteb. acute</w:t>
            </w:r>
          </w:p>
        </w:tc>
        <w:tc>
          <w:tcPr>
            <w:tcW w:w="337" w:type="pct"/>
            <w:tcBorders>
              <w:top w:val="single" w:sz="4" w:space="0" w:color="auto"/>
              <w:left w:val="single" w:sz="4" w:space="0" w:color="auto"/>
              <w:bottom w:val="single" w:sz="4" w:space="0" w:color="auto"/>
              <w:right w:val="single" w:sz="4" w:space="0" w:color="auto"/>
            </w:tcBorders>
            <w:vAlign w:val="center"/>
            <w:hideMark/>
          </w:tcPr>
          <w:p w14:paraId="177D3457" w14:textId="77777777" w:rsidR="000D25A9" w:rsidRPr="00227BE0" w:rsidRDefault="000D25A9" w:rsidP="000D25A9">
            <w:pPr>
              <w:widowControl w:val="0"/>
              <w:suppressAutoHyphens/>
              <w:jc w:val="center"/>
              <w:rPr>
                <w:b/>
                <w:bCs/>
                <w:sz w:val="20"/>
                <w:szCs w:val="20"/>
              </w:rPr>
            </w:pPr>
            <w:r w:rsidRPr="00227BE0">
              <w:rPr>
                <w:b/>
                <w:bCs/>
                <w:sz w:val="20"/>
                <w:szCs w:val="20"/>
              </w:rPr>
              <w:t>Inverteb. prolonged</w:t>
            </w:r>
          </w:p>
        </w:tc>
        <w:tc>
          <w:tcPr>
            <w:tcW w:w="405" w:type="pct"/>
            <w:tcBorders>
              <w:top w:val="single" w:sz="4" w:space="0" w:color="auto"/>
              <w:left w:val="single" w:sz="4" w:space="0" w:color="auto"/>
              <w:bottom w:val="single" w:sz="4" w:space="0" w:color="auto"/>
              <w:right w:val="single" w:sz="4" w:space="0" w:color="auto"/>
            </w:tcBorders>
            <w:vAlign w:val="center"/>
            <w:hideMark/>
          </w:tcPr>
          <w:p w14:paraId="394DADAB" w14:textId="77777777" w:rsidR="000D25A9" w:rsidRPr="0080412E" w:rsidRDefault="000D25A9" w:rsidP="000D25A9">
            <w:pPr>
              <w:widowControl w:val="0"/>
              <w:suppressAutoHyphens/>
              <w:jc w:val="center"/>
              <w:rPr>
                <w:b/>
                <w:bCs/>
                <w:strike/>
                <w:color w:val="D9D9D9" w:themeColor="background1" w:themeShade="D9"/>
                <w:sz w:val="20"/>
                <w:szCs w:val="20"/>
              </w:rPr>
            </w:pPr>
            <w:r w:rsidRPr="0080412E">
              <w:rPr>
                <w:b/>
                <w:bCs/>
                <w:strike/>
                <w:color w:val="D9D9D9" w:themeColor="background1" w:themeShade="D9"/>
                <w:sz w:val="20"/>
                <w:szCs w:val="20"/>
              </w:rPr>
              <w:t>Algae</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130805" w14:textId="065AF1F0" w:rsidR="000D25A9" w:rsidRPr="00227BE0" w:rsidRDefault="000D25A9" w:rsidP="000D25A9">
            <w:pPr>
              <w:suppressAutoHyphens/>
              <w:jc w:val="center"/>
              <w:rPr>
                <w:b/>
                <w:bCs/>
                <w:sz w:val="20"/>
                <w:szCs w:val="20"/>
              </w:rPr>
            </w:pPr>
            <w:r>
              <w:rPr>
                <w:b/>
                <w:bCs/>
                <w:sz w:val="20"/>
                <w:szCs w:val="20"/>
              </w:rPr>
              <w:t>Algae</w:t>
            </w:r>
          </w:p>
        </w:tc>
        <w:tc>
          <w:tcPr>
            <w:tcW w:w="374" w:type="pct"/>
            <w:tcBorders>
              <w:top w:val="single" w:sz="4" w:space="0" w:color="auto"/>
              <w:left w:val="single" w:sz="4" w:space="0" w:color="auto"/>
              <w:bottom w:val="single" w:sz="4" w:space="0" w:color="auto"/>
              <w:right w:val="single" w:sz="4" w:space="0" w:color="auto"/>
            </w:tcBorders>
            <w:vAlign w:val="center"/>
            <w:hideMark/>
          </w:tcPr>
          <w:p w14:paraId="740C5E92" w14:textId="67635DD1" w:rsidR="000D25A9" w:rsidRPr="00227BE0" w:rsidRDefault="000D25A9" w:rsidP="000D25A9">
            <w:pPr>
              <w:suppressAutoHyphens/>
              <w:jc w:val="center"/>
              <w:rPr>
                <w:b/>
                <w:bCs/>
                <w:sz w:val="20"/>
                <w:szCs w:val="20"/>
              </w:rPr>
            </w:pPr>
            <w:r w:rsidRPr="00227BE0">
              <w:rPr>
                <w:b/>
                <w:bCs/>
                <w:sz w:val="20"/>
                <w:szCs w:val="20"/>
              </w:rPr>
              <w:t>Aquatic plants</w:t>
            </w:r>
          </w:p>
        </w:tc>
        <w:tc>
          <w:tcPr>
            <w:tcW w:w="357" w:type="pct"/>
            <w:tcBorders>
              <w:top w:val="single" w:sz="4" w:space="0" w:color="auto"/>
              <w:left w:val="single" w:sz="4" w:space="0" w:color="auto"/>
              <w:bottom w:val="single" w:sz="4" w:space="0" w:color="auto"/>
              <w:right w:val="single" w:sz="4" w:space="0" w:color="auto"/>
            </w:tcBorders>
            <w:vAlign w:val="center"/>
          </w:tcPr>
          <w:p w14:paraId="199504FF" w14:textId="77777777" w:rsidR="000D25A9" w:rsidRPr="00227BE0" w:rsidRDefault="000D25A9" w:rsidP="000D25A9">
            <w:pPr>
              <w:widowControl w:val="0"/>
              <w:suppressAutoHyphens/>
              <w:jc w:val="center"/>
              <w:rPr>
                <w:b/>
                <w:noProof/>
                <w:sz w:val="20"/>
                <w:szCs w:val="20"/>
              </w:rPr>
            </w:pPr>
            <w:r w:rsidRPr="00227BE0">
              <w:rPr>
                <w:b/>
                <w:bCs/>
                <w:sz w:val="20"/>
                <w:szCs w:val="20"/>
              </w:rPr>
              <w:t>Sed. dwell. prolonged</w:t>
            </w:r>
          </w:p>
        </w:tc>
        <w:tc>
          <w:tcPr>
            <w:tcW w:w="406" w:type="pct"/>
            <w:tcBorders>
              <w:top w:val="single" w:sz="4" w:space="0" w:color="auto"/>
              <w:left w:val="single" w:sz="4" w:space="0" w:color="auto"/>
              <w:bottom w:val="single" w:sz="4" w:space="0" w:color="auto"/>
              <w:right w:val="single" w:sz="4" w:space="0" w:color="auto"/>
            </w:tcBorders>
            <w:vAlign w:val="center"/>
          </w:tcPr>
          <w:p w14:paraId="04ED6B27" w14:textId="77777777" w:rsidR="000D25A9" w:rsidRPr="00227BE0" w:rsidRDefault="000D25A9" w:rsidP="000D25A9">
            <w:pPr>
              <w:widowControl w:val="0"/>
              <w:suppressAutoHyphens/>
              <w:jc w:val="center"/>
              <w:rPr>
                <w:b/>
                <w:noProof/>
                <w:sz w:val="20"/>
                <w:szCs w:val="20"/>
              </w:rPr>
            </w:pPr>
            <w:r w:rsidRPr="00227BE0">
              <w:rPr>
                <w:b/>
                <w:noProof/>
                <w:sz w:val="20"/>
                <w:szCs w:val="20"/>
              </w:rPr>
              <w:t>Higher Tier information</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233479B5" w14:textId="77777777" w:rsidR="000D25A9" w:rsidRPr="00227BE0" w:rsidRDefault="000D25A9" w:rsidP="000D25A9">
            <w:pPr>
              <w:widowControl w:val="0"/>
              <w:suppressAutoHyphens/>
              <w:rPr>
                <w:noProof/>
                <w:sz w:val="20"/>
                <w:szCs w:val="20"/>
              </w:rPr>
            </w:pPr>
            <w:r w:rsidRPr="00227BE0">
              <w:rPr>
                <w:b/>
                <w:noProof/>
                <w:sz w:val="20"/>
                <w:szCs w:val="20"/>
              </w:rPr>
              <w:t>Group</w:t>
            </w:r>
          </w:p>
        </w:tc>
        <w:tc>
          <w:tcPr>
            <w:tcW w:w="345" w:type="pct"/>
            <w:gridSpan w:val="2"/>
            <w:tcBorders>
              <w:top w:val="single" w:sz="4" w:space="0" w:color="auto"/>
              <w:left w:val="single" w:sz="4" w:space="0" w:color="auto"/>
              <w:bottom w:val="single" w:sz="4" w:space="0" w:color="auto"/>
              <w:right w:val="single" w:sz="4" w:space="0" w:color="auto"/>
            </w:tcBorders>
            <w:vAlign w:val="center"/>
            <w:hideMark/>
          </w:tcPr>
          <w:p w14:paraId="2F2DD39F" w14:textId="77777777" w:rsidR="000D25A9" w:rsidRPr="00227BE0" w:rsidRDefault="000D25A9" w:rsidP="000D25A9">
            <w:pPr>
              <w:widowControl w:val="0"/>
              <w:suppressAutoHyphens/>
              <w:jc w:val="center"/>
              <w:rPr>
                <w:b/>
                <w:bCs/>
                <w:sz w:val="20"/>
                <w:szCs w:val="20"/>
              </w:rPr>
            </w:pPr>
            <w:r w:rsidRPr="00227BE0">
              <w:rPr>
                <w:b/>
                <w:bCs/>
                <w:sz w:val="20"/>
                <w:szCs w:val="20"/>
              </w:rPr>
              <w:t>Sed. dwell. prolonged</w:t>
            </w:r>
          </w:p>
        </w:tc>
      </w:tr>
      <w:tr w:rsidR="000D25A9" w:rsidRPr="00227BE0" w14:paraId="6F04BBD4" w14:textId="77777777" w:rsidTr="000D25A9">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326E3194" w14:textId="77777777" w:rsidR="000D25A9" w:rsidRPr="00227BE0" w:rsidRDefault="000D25A9" w:rsidP="000D25A9">
            <w:pPr>
              <w:widowControl w:val="0"/>
              <w:suppressAutoHyphens/>
              <w:rPr>
                <w:b/>
                <w:bCs/>
                <w:sz w:val="20"/>
                <w:szCs w:val="20"/>
              </w:rPr>
            </w:pPr>
            <w:r w:rsidRPr="00227BE0">
              <w:rPr>
                <w:b/>
                <w:bCs/>
                <w:sz w:val="20"/>
                <w:szCs w:val="20"/>
              </w:rPr>
              <w:t>Test species</w:t>
            </w:r>
          </w:p>
        </w:tc>
        <w:tc>
          <w:tcPr>
            <w:tcW w:w="278" w:type="pct"/>
            <w:tcBorders>
              <w:top w:val="nil"/>
              <w:left w:val="single" w:sz="4" w:space="0" w:color="auto"/>
              <w:bottom w:val="nil"/>
              <w:right w:val="single" w:sz="4" w:space="0" w:color="auto"/>
            </w:tcBorders>
            <w:vAlign w:val="center"/>
          </w:tcPr>
          <w:p w14:paraId="4870DB93" w14:textId="77777777" w:rsidR="000D25A9" w:rsidRPr="00227BE0" w:rsidRDefault="000D25A9" w:rsidP="000D25A9">
            <w:pPr>
              <w:widowControl w:val="0"/>
              <w:suppressAutoHyphens/>
              <w:rPr>
                <w:noProof/>
                <w:sz w:val="20"/>
                <w:szCs w:val="20"/>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2CA463F4" w14:textId="77777777" w:rsidR="000D25A9" w:rsidRPr="00227BE0" w:rsidRDefault="000D25A9" w:rsidP="000D25A9">
            <w:pPr>
              <w:widowControl w:val="0"/>
              <w:suppressAutoHyphens/>
              <w:jc w:val="center"/>
              <w:rPr>
                <w:b/>
                <w:bCs/>
                <w:sz w:val="20"/>
                <w:szCs w:val="20"/>
              </w:rPr>
            </w:pPr>
            <w:r w:rsidRPr="00227BE0">
              <w:rPr>
                <w:b/>
                <w:bCs/>
                <w:i/>
                <w:iCs/>
                <w:sz w:val="20"/>
                <w:szCs w:val="20"/>
              </w:rPr>
              <w:t>O. mykiss</w:t>
            </w:r>
          </w:p>
        </w:tc>
        <w:tc>
          <w:tcPr>
            <w:tcW w:w="337" w:type="pct"/>
            <w:gridSpan w:val="2"/>
            <w:tcBorders>
              <w:top w:val="single" w:sz="4" w:space="0" w:color="auto"/>
              <w:left w:val="single" w:sz="4" w:space="0" w:color="auto"/>
              <w:bottom w:val="single" w:sz="4" w:space="0" w:color="auto"/>
              <w:right w:val="single" w:sz="4" w:space="0" w:color="auto"/>
            </w:tcBorders>
            <w:vAlign w:val="center"/>
            <w:hideMark/>
          </w:tcPr>
          <w:p w14:paraId="399B6168" w14:textId="77777777" w:rsidR="000D25A9" w:rsidRPr="00227BE0" w:rsidRDefault="000D25A9" w:rsidP="000D25A9">
            <w:pPr>
              <w:widowControl w:val="0"/>
              <w:suppressAutoHyphens/>
              <w:jc w:val="center"/>
              <w:rPr>
                <w:b/>
                <w:bCs/>
                <w:i/>
                <w:sz w:val="20"/>
                <w:szCs w:val="20"/>
              </w:rPr>
            </w:pPr>
            <w:r w:rsidRPr="00227BE0">
              <w:rPr>
                <w:b/>
                <w:bCs/>
                <w:i/>
                <w:sz w:val="20"/>
                <w:szCs w:val="20"/>
              </w:rPr>
              <w:t>P. promelas</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CEA6FB" w14:textId="707EEF37" w:rsidR="000D25A9" w:rsidRPr="00227BE0" w:rsidRDefault="000D25A9" w:rsidP="000D25A9">
            <w:pPr>
              <w:widowControl w:val="0"/>
              <w:suppressAutoHyphens/>
              <w:jc w:val="center"/>
              <w:rPr>
                <w:b/>
                <w:bCs/>
                <w:i/>
                <w:iCs/>
                <w:sz w:val="20"/>
                <w:szCs w:val="20"/>
              </w:rPr>
            </w:pPr>
            <w:r>
              <w:rPr>
                <w:b/>
                <w:bCs/>
                <w:i/>
                <w:iCs/>
                <w:sz w:val="20"/>
                <w:szCs w:val="20"/>
              </w:rPr>
              <w:t>M. bahia</w:t>
            </w:r>
          </w:p>
        </w:tc>
        <w:tc>
          <w:tcPr>
            <w:tcW w:w="319" w:type="pct"/>
            <w:gridSpan w:val="2"/>
            <w:tcBorders>
              <w:top w:val="single" w:sz="4" w:space="0" w:color="auto"/>
              <w:left w:val="single" w:sz="4" w:space="0" w:color="auto"/>
              <w:bottom w:val="single" w:sz="4" w:space="0" w:color="auto"/>
              <w:right w:val="single" w:sz="4" w:space="0" w:color="auto"/>
            </w:tcBorders>
            <w:vAlign w:val="center"/>
            <w:hideMark/>
          </w:tcPr>
          <w:p w14:paraId="18F49D7D" w14:textId="638DA3B8" w:rsidR="000D25A9" w:rsidRPr="00227BE0" w:rsidRDefault="000D25A9" w:rsidP="000D25A9">
            <w:pPr>
              <w:widowControl w:val="0"/>
              <w:suppressAutoHyphens/>
              <w:jc w:val="center"/>
              <w:rPr>
                <w:b/>
                <w:bCs/>
                <w:sz w:val="20"/>
                <w:szCs w:val="20"/>
              </w:rPr>
            </w:pPr>
            <w:r w:rsidRPr="00227BE0">
              <w:rPr>
                <w:b/>
                <w:bCs/>
                <w:i/>
                <w:iCs/>
                <w:sz w:val="20"/>
                <w:szCs w:val="20"/>
              </w:rPr>
              <w:t>D. magna</w:t>
            </w:r>
          </w:p>
        </w:tc>
        <w:tc>
          <w:tcPr>
            <w:tcW w:w="337" w:type="pct"/>
            <w:tcBorders>
              <w:top w:val="single" w:sz="4" w:space="0" w:color="auto"/>
              <w:left w:val="single" w:sz="4" w:space="0" w:color="auto"/>
              <w:bottom w:val="single" w:sz="4" w:space="0" w:color="auto"/>
              <w:right w:val="single" w:sz="4" w:space="0" w:color="auto"/>
            </w:tcBorders>
            <w:vAlign w:val="center"/>
            <w:hideMark/>
          </w:tcPr>
          <w:p w14:paraId="7B4A7B8E" w14:textId="77777777" w:rsidR="000D25A9" w:rsidRPr="00227BE0" w:rsidRDefault="000D25A9" w:rsidP="000D25A9">
            <w:pPr>
              <w:widowControl w:val="0"/>
              <w:suppressAutoHyphens/>
              <w:jc w:val="center"/>
              <w:rPr>
                <w:b/>
                <w:bCs/>
                <w:i/>
                <w:iCs/>
                <w:sz w:val="20"/>
                <w:szCs w:val="20"/>
              </w:rPr>
            </w:pPr>
            <w:r w:rsidRPr="00227BE0">
              <w:rPr>
                <w:b/>
                <w:bCs/>
                <w:i/>
                <w:iCs/>
                <w:sz w:val="20"/>
                <w:szCs w:val="20"/>
              </w:rPr>
              <w:t>D. magna</w:t>
            </w:r>
          </w:p>
        </w:tc>
        <w:tc>
          <w:tcPr>
            <w:tcW w:w="405" w:type="pct"/>
            <w:tcBorders>
              <w:top w:val="single" w:sz="4" w:space="0" w:color="auto"/>
              <w:left w:val="single" w:sz="4" w:space="0" w:color="auto"/>
              <w:bottom w:val="single" w:sz="4" w:space="0" w:color="auto"/>
              <w:right w:val="single" w:sz="4" w:space="0" w:color="auto"/>
            </w:tcBorders>
            <w:vAlign w:val="center"/>
            <w:hideMark/>
          </w:tcPr>
          <w:p w14:paraId="7372EACC" w14:textId="77777777" w:rsidR="000D25A9" w:rsidRPr="0080412E" w:rsidRDefault="000D25A9" w:rsidP="000D25A9">
            <w:pPr>
              <w:widowControl w:val="0"/>
              <w:suppressAutoHyphens/>
              <w:jc w:val="center"/>
              <w:rPr>
                <w:b/>
                <w:bCs/>
                <w:strike/>
                <w:color w:val="D9D9D9" w:themeColor="background1" w:themeShade="D9"/>
                <w:sz w:val="20"/>
                <w:szCs w:val="20"/>
              </w:rPr>
            </w:pPr>
            <w:r w:rsidRPr="0080412E">
              <w:rPr>
                <w:b/>
                <w:bCs/>
                <w:iCs/>
                <w:strike/>
                <w:color w:val="D9D9D9" w:themeColor="background1" w:themeShade="D9"/>
                <w:sz w:val="20"/>
                <w:szCs w:val="20"/>
              </w:rPr>
              <w:t>Geomean (3 algal species)</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46F449" w14:textId="6A00381C" w:rsidR="000D25A9" w:rsidRPr="00227BE0" w:rsidRDefault="000D25A9" w:rsidP="000D25A9">
            <w:pPr>
              <w:widowControl w:val="0"/>
              <w:suppressAutoHyphens/>
              <w:jc w:val="center"/>
              <w:rPr>
                <w:b/>
                <w:bCs/>
                <w:i/>
                <w:iCs/>
                <w:sz w:val="20"/>
                <w:szCs w:val="20"/>
              </w:rPr>
            </w:pPr>
            <w:r>
              <w:rPr>
                <w:b/>
                <w:bCs/>
                <w:i/>
                <w:iCs/>
                <w:sz w:val="20"/>
                <w:szCs w:val="20"/>
              </w:rPr>
              <w:t>N. pelliculosa</w:t>
            </w:r>
          </w:p>
        </w:tc>
        <w:tc>
          <w:tcPr>
            <w:tcW w:w="374" w:type="pct"/>
            <w:tcBorders>
              <w:top w:val="single" w:sz="4" w:space="0" w:color="auto"/>
              <w:left w:val="single" w:sz="4" w:space="0" w:color="auto"/>
              <w:bottom w:val="single" w:sz="4" w:space="0" w:color="auto"/>
              <w:right w:val="single" w:sz="4" w:space="0" w:color="auto"/>
            </w:tcBorders>
            <w:vAlign w:val="center"/>
            <w:hideMark/>
          </w:tcPr>
          <w:p w14:paraId="1AA689D3" w14:textId="74EDA7B0" w:rsidR="000D25A9" w:rsidRPr="00227BE0" w:rsidRDefault="000D25A9" w:rsidP="000D25A9">
            <w:pPr>
              <w:widowControl w:val="0"/>
              <w:suppressAutoHyphens/>
              <w:jc w:val="center"/>
              <w:rPr>
                <w:b/>
                <w:bCs/>
                <w:i/>
                <w:iCs/>
                <w:sz w:val="20"/>
                <w:szCs w:val="20"/>
              </w:rPr>
            </w:pPr>
            <w:r w:rsidRPr="00227BE0">
              <w:rPr>
                <w:b/>
                <w:bCs/>
                <w:i/>
                <w:iCs/>
                <w:sz w:val="20"/>
                <w:szCs w:val="20"/>
              </w:rPr>
              <w:t>L. gibba</w:t>
            </w:r>
          </w:p>
        </w:tc>
        <w:tc>
          <w:tcPr>
            <w:tcW w:w="357" w:type="pct"/>
            <w:tcBorders>
              <w:top w:val="single" w:sz="4" w:space="0" w:color="auto"/>
              <w:left w:val="single" w:sz="4" w:space="0" w:color="auto"/>
              <w:bottom w:val="single" w:sz="4" w:space="0" w:color="auto"/>
              <w:right w:val="single" w:sz="4" w:space="0" w:color="auto"/>
            </w:tcBorders>
            <w:vAlign w:val="center"/>
          </w:tcPr>
          <w:p w14:paraId="020224EB" w14:textId="77777777" w:rsidR="000D25A9" w:rsidRPr="00227BE0" w:rsidRDefault="000D25A9" w:rsidP="000D25A9">
            <w:pPr>
              <w:widowControl w:val="0"/>
              <w:suppressAutoHyphens/>
              <w:jc w:val="center"/>
              <w:rPr>
                <w:b/>
                <w:noProof/>
                <w:sz w:val="20"/>
                <w:szCs w:val="20"/>
              </w:rPr>
            </w:pPr>
            <w:r w:rsidRPr="00227BE0">
              <w:rPr>
                <w:b/>
                <w:bCs/>
                <w:i/>
                <w:iCs/>
                <w:sz w:val="20"/>
                <w:szCs w:val="20"/>
              </w:rPr>
              <w:t>C. riparius</w:t>
            </w:r>
          </w:p>
        </w:tc>
        <w:tc>
          <w:tcPr>
            <w:tcW w:w="406" w:type="pct"/>
            <w:tcBorders>
              <w:top w:val="single" w:sz="4" w:space="0" w:color="auto"/>
              <w:left w:val="single" w:sz="4" w:space="0" w:color="auto"/>
              <w:bottom w:val="single" w:sz="4" w:space="0" w:color="auto"/>
              <w:right w:val="single" w:sz="4" w:space="0" w:color="auto"/>
            </w:tcBorders>
            <w:vAlign w:val="center"/>
          </w:tcPr>
          <w:p w14:paraId="274F06DE" w14:textId="77777777" w:rsidR="000D25A9" w:rsidRPr="00227BE0" w:rsidRDefault="000D25A9" w:rsidP="000D25A9">
            <w:pPr>
              <w:widowControl w:val="0"/>
              <w:suppressAutoHyphens/>
              <w:jc w:val="center"/>
              <w:rPr>
                <w:b/>
                <w:noProof/>
                <w:sz w:val="20"/>
                <w:szCs w:val="20"/>
              </w:rPr>
            </w:pPr>
            <w:r w:rsidRPr="00227BE0">
              <w:rPr>
                <w:b/>
                <w:noProof/>
                <w:sz w:val="20"/>
                <w:szCs w:val="20"/>
              </w:rPr>
              <w:t>Mesocosm</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1DC72EAC" w14:textId="77777777" w:rsidR="000D25A9" w:rsidRPr="00227BE0" w:rsidRDefault="000D25A9" w:rsidP="000D25A9">
            <w:pPr>
              <w:widowControl w:val="0"/>
              <w:suppressAutoHyphens/>
              <w:rPr>
                <w:noProof/>
                <w:sz w:val="20"/>
                <w:szCs w:val="20"/>
              </w:rPr>
            </w:pPr>
            <w:r w:rsidRPr="00227BE0">
              <w:rPr>
                <w:b/>
                <w:noProof/>
                <w:sz w:val="20"/>
                <w:szCs w:val="20"/>
              </w:rPr>
              <w:t>Test species</w:t>
            </w:r>
          </w:p>
        </w:tc>
        <w:tc>
          <w:tcPr>
            <w:tcW w:w="345" w:type="pct"/>
            <w:gridSpan w:val="2"/>
            <w:tcBorders>
              <w:top w:val="single" w:sz="4" w:space="0" w:color="auto"/>
              <w:left w:val="single" w:sz="4" w:space="0" w:color="auto"/>
              <w:bottom w:val="single" w:sz="4" w:space="0" w:color="auto"/>
              <w:right w:val="single" w:sz="4" w:space="0" w:color="auto"/>
            </w:tcBorders>
            <w:vAlign w:val="center"/>
            <w:hideMark/>
          </w:tcPr>
          <w:p w14:paraId="7D56338E" w14:textId="77777777" w:rsidR="000D25A9" w:rsidRPr="00227BE0" w:rsidRDefault="000D25A9" w:rsidP="000D25A9">
            <w:pPr>
              <w:widowControl w:val="0"/>
              <w:suppressAutoHyphens/>
              <w:jc w:val="center"/>
              <w:rPr>
                <w:b/>
                <w:bCs/>
                <w:sz w:val="20"/>
                <w:szCs w:val="20"/>
              </w:rPr>
            </w:pPr>
            <w:r w:rsidRPr="00227BE0">
              <w:rPr>
                <w:b/>
                <w:bCs/>
                <w:i/>
                <w:iCs/>
                <w:sz w:val="20"/>
                <w:szCs w:val="20"/>
              </w:rPr>
              <w:t>C. riparius</w:t>
            </w:r>
          </w:p>
        </w:tc>
      </w:tr>
      <w:tr w:rsidR="000D25A9" w:rsidRPr="00227BE0" w14:paraId="0FC657E6" w14:textId="77777777" w:rsidTr="000D25A9">
        <w:trPr>
          <w:cantSplit/>
        </w:trPr>
        <w:tc>
          <w:tcPr>
            <w:tcW w:w="463" w:type="pct"/>
            <w:tcBorders>
              <w:top w:val="single" w:sz="4" w:space="0" w:color="auto"/>
              <w:left w:val="single" w:sz="4" w:space="0" w:color="auto"/>
              <w:bottom w:val="nil"/>
              <w:right w:val="single" w:sz="4" w:space="0" w:color="auto"/>
            </w:tcBorders>
            <w:vAlign w:val="center"/>
            <w:hideMark/>
          </w:tcPr>
          <w:p w14:paraId="23A6ADED" w14:textId="77777777" w:rsidR="000D25A9" w:rsidRPr="00227BE0" w:rsidRDefault="000D25A9" w:rsidP="000D25A9">
            <w:pPr>
              <w:widowControl w:val="0"/>
              <w:suppressAutoHyphens/>
              <w:rPr>
                <w:b/>
                <w:bCs/>
                <w:sz w:val="20"/>
                <w:szCs w:val="20"/>
              </w:rPr>
            </w:pPr>
            <w:r w:rsidRPr="00227BE0">
              <w:rPr>
                <w:b/>
                <w:bCs/>
                <w:sz w:val="20"/>
                <w:szCs w:val="20"/>
              </w:rPr>
              <w:t>Endpoint</w:t>
            </w:r>
          </w:p>
        </w:tc>
        <w:tc>
          <w:tcPr>
            <w:tcW w:w="278" w:type="pct"/>
            <w:tcBorders>
              <w:top w:val="nil"/>
              <w:left w:val="single" w:sz="4" w:space="0" w:color="auto"/>
              <w:bottom w:val="nil"/>
              <w:right w:val="single" w:sz="4" w:space="0" w:color="auto"/>
            </w:tcBorders>
            <w:vAlign w:val="center"/>
          </w:tcPr>
          <w:p w14:paraId="4C6B24F4" w14:textId="77777777" w:rsidR="000D25A9" w:rsidRPr="00227BE0" w:rsidRDefault="000D25A9" w:rsidP="000D25A9">
            <w:pPr>
              <w:keepNext/>
              <w:keepLines/>
              <w:widowControl w:val="0"/>
              <w:suppressAutoHyphens/>
              <w:rPr>
                <w:noProof/>
                <w:sz w:val="20"/>
                <w:szCs w:val="20"/>
              </w:rPr>
            </w:pPr>
          </w:p>
        </w:tc>
        <w:tc>
          <w:tcPr>
            <w:tcW w:w="286" w:type="pct"/>
            <w:tcBorders>
              <w:top w:val="single" w:sz="4" w:space="0" w:color="auto"/>
              <w:left w:val="single" w:sz="4" w:space="0" w:color="auto"/>
              <w:bottom w:val="nil"/>
              <w:right w:val="single" w:sz="4" w:space="0" w:color="auto"/>
            </w:tcBorders>
            <w:vAlign w:val="center"/>
            <w:hideMark/>
          </w:tcPr>
          <w:p w14:paraId="457585E6" w14:textId="77777777" w:rsidR="000D25A9" w:rsidRPr="00227BE0" w:rsidRDefault="000D25A9" w:rsidP="000D25A9">
            <w:pPr>
              <w:widowControl w:val="0"/>
              <w:suppressAutoHyphens/>
              <w:jc w:val="center"/>
              <w:rPr>
                <w:noProof/>
                <w:sz w:val="20"/>
                <w:szCs w:val="20"/>
              </w:rPr>
            </w:pPr>
            <w:r w:rsidRPr="00227BE0">
              <w:rPr>
                <w:noProof/>
                <w:sz w:val="20"/>
                <w:szCs w:val="20"/>
              </w:rPr>
              <w:t>LC</w:t>
            </w:r>
            <w:r w:rsidRPr="00227BE0">
              <w:rPr>
                <w:noProof/>
                <w:sz w:val="20"/>
                <w:szCs w:val="20"/>
                <w:vertAlign w:val="subscript"/>
              </w:rPr>
              <w:t>50</w:t>
            </w:r>
          </w:p>
        </w:tc>
        <w:tc>
          <w:tcPr>
            <w:tcW w:w="337" w:type="pct"/>
            <w:gridSpan w:val="2"/>
            <w:tcBorders>
              <w:top w:val="single" w:sz="4" w:space="0" w:color="auto"/>
              <w:left w:val="single" w:sz="4" w:space="0" w:color="auto"/>
              <w:bottom w:val="nil"/>
              <w:right w:val="single" w:sz="4" w:space="0" w:color="auto"/>
            </w:tcBorders>
            <w:vAlign w:val="center"/>
            <w:hideMark/>
          </w:tcPr>
          <w:p w14:paraId="489E998D" w14:textId="77777777" w:rsidR="000D25A9" w:rsidRPr="00227BE0" w:rsidRDefault="000D25A9" w:rsidP="000D25A9">
            <w:pPr>
              <w:widowControl w:val="0"/>
              <w:suppressAutoHyphens/>
              <w:jc w:val="center"/>
              <w:rPr>
                <w:noProof/>
                <w:sz w:val="20"/>
                <w:szCs w:val="20"/>
              </w:rPr>
            </w:pPr>
            <w:r w:rsidRPr="00227BE0">
              <w:rPr>
                <w:noProof/>
                <w:sz w:val="20"/>
                <w:szCs w:val="20"/>
              </w:rPr>
              <w:t>NOEC</w:t>
            </w:r>
          </w:p>
        </w:tc>
        <w:tc>
          <w:tcPr>
            <w:tcW w:w="319" w:type="pct"/>
            <w:gridSpan w:val="2"/>
            <w:tcBorders>
              <w:top w:val="single" w:sz="4" w:space="0" w:color="auto"/>
              <w:left w:val="single" w:sz="4" w:space="0" w:color="auto"/>
              <w:bottom w:val="nil"/>
              <w:right w:val="single" w:sz="4" w:space="0" w:color="auto"/>
            </w:tcBorders>
            <w:shd w:val="clear" w:color="auto" w:fill="D9D9D9" w:themeFill="background1" w:themeFillShade="D9"/>
            <w:vAlign w:val="center"/>
          </w:tcPr>
          <w:p w14:paraId="00E85DCF" w14:textId="50AC0053" w:rsidR="000D25A9" w:rsidRPr="00227BE0" w:rsidRDefault="000D25A9" w:rsidP="000D25A9">
            <w:pPr>
              <w:widowControl w:val="0"/>
              <w:suppressAutoHyphens/>
              <w:jc w:val="center"/>
              <w:rPr>
                <w:noProof/>
                <w:sz w:val="20"/>
                <w:szCs w:val="20"/>
              </w:rPr>
            </w:pPr>
            <w:r w:rsidRPr="00227BE0">
              <w:rPr>
                <w:noProof/>
                <w:sz w:val="20"/>
                <w:szCs w:val="20"/>
              </w:rPr>
              <w:t>EC</w:t>
            </w:r>
            <w:r w:rsidRPr="00227BE0">
              <w:rPr>
                <w:noProof/>
                <w:sz w:val="20"/>
                <w:szCs w:val="20"/>
                <w:vertAlign w:val="subscript"/>
              </w:rPr>
              <w:t>50</w:t>
            </w:r>
          </w:p>
        </w:tc>
        <w:tc>
          <w:tcPr>
            <w:tcW w:w="319" w:type="pct"/>
            <w:gridSpan w:val="2"/>
            <w:tcBorders>
              <w:top w:val="single" w:sz="4" w:space="0" w:color="auto"/>
              <w:left w:val="single" w:sz="4" w:space="0" w:color="auto"/>
              <w:bottom w:val="nil"/>
              <w:right w:val="single" w:sz="4" w:space="0" w:color="auto"/>
            </w:tcBorders>
            <w:vAlign w:val="center"/>
            <w:hideMark/>
          </w:tcPr>
          <w:p w14:paraId="07759DA1" w14:textId="6F71EEF0" w:rsidR="000D25A9" w:rsidRPr="00227BE0" w:rsidRDefault="000D25A9" w:rsidP="000D25A9">
            <w:pPr>
              <w:widowControl w:val="0"/>
              <w:suppressAutoHyphens/>
              <w:jc w:val="center"/>
              <w:rPr>
                <w:noProof/>
                <w:sz w:val="20"/>
                <w:szCs w:val="20"/>
              </w:rPr>
            </w:pPr>
            <w:r w:rsidRPr="00227BE0">
              <w:rPr>
                <w:noProof/>
                <w:sz w:val="20"/>
                <w:szCs w:val="20"/>
              </w:rPr>
              <w:t>EC</w:t>
            </w:r>
            <w:r w:rsidRPr="00227BE0">
              <w:rPr>
                <w:noProof/>
                <w:sz w:val="20"/>
                <w:szCs w:val="20"/>
                <w:vertAlign w:val="subscript"/>
              </w:rPr>
              <w:t>50</w:t>
            </w:r>
          </w:p>
        </w:tc>
        <w:tc>
          <w:tcPr>
            <w:tcW w:w="337" w:type="pct"/>
            <w:tcBorders>
              <w:top w:val="single" w:sz="4" w:space="0" w:color="auto"/>
              <w:left w:val="single" w:sz="4" w:space="0" w:color="auto"/>
              <w:bottom w:val="nil"/>
              <w:right w:val="single" w:sz="4" w:space="0" w:color="auto"/>
            </w:tcBorders>
            <w:vAlign w:val="center"/>
            <w:hideMark/>
          </w:tcPr>
          <w:p w14:paraId="462CD014" w14:textId="77777777" w:rsidR="000D25A9" w:rsidRPr="00227BE0" w:rsidRDefault="000D25A9" w:rsidP="000D25A9">
            <w:pPr>
              <w:widowControl w:val="0"/>
              <w:suppressAutoHyphens/>
              <w:jc w:val="center"/>
              <w:rPr>
                <w:noProof/>
                <w:sz w:val="20"/>
                <w:szCs w:val="20"/>
              </w:rPr>
            </w:pPr>
            <w:r w:rsidRPr="00227BE0">
              <w:rPr>
                <w:noProof/>
                <w:sz w:val="20"/>
                <w:szCs w:val="20"/>
              </w:rPr>
              <w:t>NOEC</w:t>
            </w:r>
          </w:p>
        </w:tc>
        <w:tc>
          <w:tcPr>
            <w:tcW w:w="405" w:type="pct"/>
            <w:tcBorders>
              <w:top w:val="single" w:sz="4" w:space="0" w:color="auto"/>
              <w:left w:val="single" w:sz="4" w:space="0" w:color="auto"/>
              <w:bottom w:val="nil"/>
              <w:right w:val="single" w:sz="4" w:space="0" w:color="auto"/>
            </w:tcBorders>
            <w:vAlign w:val="center"/>
            <w:hideMark/>
          </w:tcPr>
          <w:p w14:paraId="403757A6" w14:textId="77777777" w:rsidR="000D25A9" w:rsidRPr="0080412E" w:rsidRDefault="000D25A9" w:rsidP="000D25A9">
            <w:pPr>
              <w:widowControl w:val="0"/>
              <w:suppressAutoHyphens/>
              <w:jc w:val="center"/>
              <w:rPr>
                <w:strike/>
                <w:noProof/>
                <w:color w:val="D9D9D9" w:themeColor="background1" w:themeShade="D9"/>
                <w:sz w:val="20"/>
                <w:szCs w:val="20"/>
              </w:rPr>
            </w:pPr>
            <w:r w:rsidRPr="0080412E">
              <w:rPr>
                <w:strike/>
                <w:noProof/>
                <w:color w:val="D9D9D9" w:themeColor="background1" w:themeShade="D9"/>
                <w:sz w:val="20"/>
                <w:szCs w:val="20"/>
              </w:rPr>
              <w:t>EC</w:t>
            </w:r>
            <w:r w:rsidRPr="0080412E">
              <w:rPr>
                <w:strike/>
                <w:noProof/>
                <w:color w:val="D9D9D9" w:themeColor="background1" w:themeShade="D9"/>
                <w:sz w:val="20"/>
                <w:szCs w:val="20"/>
                <w:vertAlign w:val="subscript"/>
              </w:rPr>
              <w:t>50</w:t>
            </w:r>
          </w:p>
        </w:tc>
        <w:tc>
          <w:tcPr>
            <w:tcW w:w="374" w:type="pct"/>
            <w:tcBorders>
              <w:top w:val="single" w:sz="4" w:space="0" w:color="auto"/>
              <w:left w:val="single" w:sz="4" w:space="0" w:color="auto"/>
              <w:bottom w:val="nil"/>
              <w:right w:val="single" w:sz="4" w:space="0" w:color="auto"/>
            </w:tcBorders>
            <w:shd w:val="clear" w:color="auto" w:fill="D9D9D9" w:themeFill="background1" w:themeFillShade="D9"/>
            <w:vAlign w:val="center"/>
          </w:tcPr>
          <w:p w14:paraId="0347EBF4" w14:textId="257585A8" w:rsidR="000D25A9" w:rsidRPr="00227BE0" w:rsidRDefault="000D25A9" w:rsidP="000D25A9">
            <w:pPr>
              <w:widowControl w:val="0"/>
              <w:suppressAutoHyphens/>
              <w:jc w:val="center"/>
              <w:rPr>
                <w:noProof/>
                <w:sz w:val="20"/>
                <w:szCs w:val="20"/>
              </w:rPr>
            </w:pPr>
            <w:r w:rsidRPr="00277492">
              <w:rPr>
                <w:szCs w:val="20"/>
                <w:lang w:val="en-GB"/>
              </w:rPr>
              <w:t>E</w:t>
            </w:r>
            <w:r w:rsidRPr="00277492">
              <w:rPr>
                <w:szCs w:val="20"/>
                <w:vertAlign w:val="subscript"/>
                <w:lang w:val="en-GB"/>
              </w:rPr>
              <w:t>r</w:t>
            </w:r>
            <w:r w:rsidRPr="00277492">
              <w:rPr>
                <w:szCs w:val="20"/>
                <w:lang w:val="en-GB"/>
              </w:rPr>
              <w:t>C</w:t>
            </w:r>
            <w:r w:rsidRPr="00277492">
              <w:rPr>
                <w:szCs w:val="20"/>
                <w:vertAlign w:val="subscript"/>
                <w:lang w:val="en-GB"/>
              </w:rPr>
              <w:t>50</w:t>
            </w:r>
          </w:p>
        </w:tc>
        <w:tc>
          <w:tcPr>
            <w:tcW w:w="374" w:type="pct"/>
            <w:tcBorders>
              <w:top w:val="single" w:sz="4" w:space="0" w:color="auto"/>
              <w:left w:val="single" w:sz="4" w:space="0" w:color="auto"/>
              <w:bottom w:val="nil"/>
              <w:right w:val="single" w:sz="4" w:space="0" w:color="auto"/>
            </w:tcBorders>
            <w:vAlign w:val="center"/>
            <w:hideMark/>
          </w:tcPr>
          <w:p w14:paraId="262A409E" w14:textId="7191D93D" w:rsidR="000D25A9" w:rsidRPr="00227BE0" w:rsidRDefault="000D25A9" w:rsidP="000D25A9">
            <w:pPr>
              <w:widowControl w:val="0"/>
              <w:suppressAutoHyphens/>
              <w:jc w:val="center"/>
              <w:rPr>
                <w:noProof/>
                <w:sz w:val="20"/>
                <w:szCs w:val="20"/>
              </w:rPr>
            </w:pPr>
            <w:r w:rsidRPr="00227BE0">
              <w:rPr>
                <w:noProof/>
                <w:sz w:val="20"/>
                <w:szCs w:val="20"/>
              </w:rPr>
              <w:t>EC</w:t>
            </w:r>
            <w:r w:rsidRPr="00227BE0">
              <w:rPr>
                <w:noProof/>
                <w:sz w:val="20"/>
                <w:szCs w:val="20"/>
                <w:vertAlign w:val="subscript"/>
              </w:rPr>
              <w:t>50</w:t>
            </w:r>
          </w:p>
        </w:tc>
        <w:tc>
          <w:tcPr>
            <w:tcW w:w="357" w:type="pct"/>
            <w:tcBorders>
              <w:top w:val="single" w:sz="4" w:space="0" w:color="auto"/>
              <w:left w:val="single" w:sz="4" w:space="0" w:color="auto"/>
              <w:bottom w:val="nil"/>
              <w:right w:val="single" w:sz="4" w:space="0" w:color="auto"/>
            </w:tcBorders>
          </w:tcPr>
          <w:p w14:paraId="3DFDA18D" w14:textId="77777777" w:rsidR="000D25A9" w:rsidRPr="00227BE0" w:rsidRDefault="000D25A9" w:rsidP="000D25A9">
            <w:pPr>
              <w:keepNext/>
              <w:keepLines/>
              <w:widowControl w:val="0"/>
              <w:suppressAutoHyphens/>
              <w:jc w:val="center"/>
              <w:rPr>
                <w:b/>
                <w:noProof/>
                <w:sz w:val="20"/>
                <w:szCs w:val="20"/>
              </w:rPr>
            </w:pPr>
            <w:r w:rsidRPr="00227BE0">
              <w:rPr>
                <w:noProof/>
                <w:sz w:val="20"/>
                <w:szCs w:val="20"/>
              </w:rPr>
              <w:t>NOEC</w:t>
            </w:r>
          </w:p>
        </w:tc>
        <w:tc>
          <w:tcPr>
            <w:tcW w:w="406" w:type="pct"/>
            <w:tcBorders>
              <w:top w:val="single" w:sz="4" w:space="0" w:color="auto"/>
              <w:left w:val="single" w:sz="4" w:space="0" w:color="auto"/>
              <w:bottom w:val="nil"/>
              <w:right w:val="single" w:sz="4" w:space="0" w:color="auto"/>
            </w:tcBorders>
            <w:vAlign w:val="center"/>
          </w:tcPr>
          <w:p w14:paraId="462B61E2" w14:textId="77777777" w:rsidR="000D25A9" w:rsidRPr="00227BE0" w:rsidRDefault="000D25A9" w:rsidP="000D25A9">
            <w:pPr>
              <w:keepNext/>
              <w:keepLines/>
              <w:widowControl w:val="0"/>
              <w:suppressAutoHyphens/>
              <w:jc w:val="center"/>
              <w:rPr>
                <w:noProof/>
                <w:sz w:val="20"/>
                <w:szCs w:val="20"/>
              </w:rPr>
            </w:pPr>
            <w:r w:rsidRPr="00227BE0">
              <w:rPr>
                <w:noProof/>
                <w:sz w:val="20"/>
                <w:szCs w:val="20"/>
              </w:rPr>
              <w:t>NOAEC</w:t>
            </w:r>
          </w:p>
        </w:tc>
        <w:tc>
          <w:tcPr>
            <w:tcW w:w="401" w:type="pct"/>
            <w:gridSpan w:val="3"/>
            <w:tcBorders>
              <w:top w:val="single" w:sz="4" w:space="0" w:color="auto"/>
              <w:left w:val="single" w:sz="4" w:space="0" w:color="auto"/>
              <w:bottom w:val="nil"/>
              <w:right w:val="single" w:sz="4" w:space="0" w:color="auto"/>
            </w:tcBorders>
            <w:vAlign w:val="center"/>
            <w:hideMark/>
          </w:tcPr>
          <w:p w14:paraId="0956F5C5" w14:textId="77777777" w:rsidR="000D25A9" w:rsidRPr="00227BE0" w:rsidRDefault="000D25A9" w:rsidP="000D25A9">
            <w:pPr>
              <w:keepNext/>
              <w:keepLines/>
              <w:widowControl w:val="0"/>
              <w:suppressAutoHyphens/>
              <w:rPr>
                <w:noProof/>
                <w:sz w:val="20"/>
                <w:szCs w:val="20"/>
              </w:rPr>
            </w:pPr>
            <w:r w:rsidRPr="00227BE0">
              <w:rPr>
                <w:b/>
                <w:noProof/>
                <w:sz w:val="20"/>
                <w:szCs w:val="20"/>
              </w:rPr>
              <w:t>Endpoint</w:t>
            </w:r>
          </w:p>
        </w:tc>
        <w:tc>
          <w:tcPr>
            <w:tcW w:w="345" w:type="pct"/>
            <w:gridSpan w:val="2"/>
            <w:tcBorders>
              <w:top w:val="single" w:sz="4" w:space="0" w:color="auto"/>
              <w:left w:val="single" w:sz="4" w:space="0" w:color="auto"/>
              <w:bottom w:val="nil"/>
              <w:right w:val="single" w:sz="4" w:space="0" w:color="auto"/>
            </w:tcBorders>
            <w:hideMark/>
          </w:tcPr>
          <w:p w14:paraId="681F31CC" w14:textId="77777777" w:rsidR="000D25A9" w:rsidRPr="00227BE0" w:rsidRDefault="000D25A9" w:rsidP="000D25A9">
            <w:pPr>
              <w:widowControl w:val="0"/>
              <w:suppressAutoHyphens/>
              <w:jc w:val="center"/>
              <w:rPr>
                <w:noProof/>
                <w:sz w:val="20"/>
                <w:szCs w:val="20"/>
              </w:rPr>
            </w:pPr>
            <w:r w:rsidRPr="00227BE0">
              <w:rPr>
                <w:noProof/>
                <w:sz w:val="20"/>
                <w:szCs w:val="20"/>
              </w:rPr>
              <w:t>NOEC</w:t>
            </w:r>
          </w:p>
        </w:tc>
      </w:tr>
      <w:tr w:rsidR="000D25A9" w:rsidRPr="00227BE0" w14:paraId="3658B51B" w14:textId="77777777" w:rsidTr="000D25A9">
        <w:trPr>
          <w:cantSplit/>
        </w:trPr>
        <w:tc>
          <w:tcPr>
            <w:tcW w:w="463" w:type="pct"/>
            <w:tcBorders>
              <w:top w:val="nil"/>
              <w:left w:val="single" w:sz="4" w:space="0" w:color="auto"/>
              <w:bottom w:val="single" w:sz="4" w:space="0" w:color="auto"/>
              <w:right w:val="single" w:sz="4" w:space="0" w:color="auto"/>
            </w:tcBorders>
            <w:vAlign w:val="center"/>
            <w:hideMark/>
          </w:tcPr>
          <w:p w14:paraId="4726BE8A" w14:textId="77777777" w:rsidR="000D25A9" w:rsidRPr="00227BE0" w:rsidRDefault="000D25A9" w:rsidP="000D25A9">
            <w:pPr>
              <w:widowControl w:val="0"/>
              <w:suppressAutoHyphens/>
              <w:rPr>
                <w:b/>
                <w:bCs/>
                <w:sz w:val="20"/>
                <w:szCs w:val="20"/>
              </w:rPr>
            </w:pPr>
            <w:r w:rsidRPr="00227BE0">
              <w:rPr>
                <w:b/>
                <w:bCs/>
                <w:sz w:val="20"/>
                <w:szCs w:val="20"/>
              </w:rPr>
              <w:t>(µg/L)</w:t>
            </w:r>
          </w:p>
        </w:tc>
        <w:tc>
          <w:tcPr>
            <w:tcW w:w="278" w:type="pct"/>
            <w:tcBorders>
              <w:top w:val="nil"/>
              <w:left w:val="single" w:sz="4" w:space="0" w:color="auto"/>
              <w:bottom w:val="nil"/>
              <w:right w:val="single" w:sz="4" w:space="0" w:color="auto"/>
            </w:tcBorders>
            <w:vAlign w:val="center"/>
          </w:tcPr>
          <w:p w14:paraId="34687F83" w14:textId="77777777" w:rsidR="000D25A9" w:rsidRPr="00227BE0" w:rsidRDefault="000D25A9" w:rsidP="000D25A9">
            <w:pPr>
              <w:keepNext/>
              <w:keepLines/>
              <w:widowControl w:val="0"/>
              <w:suppressAutoHyphens/>
              <w:rPr>
                <w:noProof/>
                <w:sz w:val="20"/>
                <w:szCs w:val="20"/>
              </w:rPr>
            </w:pPr>
          </w:p>
        </w:tc>
        <w:tc>
          <w:tcPr>
            <w:tcW w:w="286" w:type="pct"/>
            <w:tcBorders>
              <w:top w:val="nil"/>
              <w:left w:val="single" w:sz="4" w:space="0" w:color="auto"/>
              <w:bottom w:val="single" w:sz="4" w:space="0" w:color="auto"/>
              <w:right w:val="single" w:sz="4" w:space="0" w:color="auto"/>
            </w:tcBorders>
            <w:vAlign w:val="center"/>
            <w:hideMark/>
          </w:tcPr>
          <w:p w14:paraId="27F09417" w14:textId="77777777" w:rsidR="000D25A9" w:rsidRPr="00227BE0" w:rsidRDefault="000D25A9" w:rsidP="000D25A9">
            <w:pPr>
              <w:widowControl w:val="0"/>
              <w:suppressAutoHyphens/>
              <w:jc w:val="center"/>
              <w:rPr>
                <w:noProof/>
                <w:sz w:val="20"/>
                <w:szCs w:val="20"/>
              </w:rPr>
            </w:pPr>
            <w:r w:rsidRPr="00227BE0">
              <w:rPr>
                <w:noProof/>
                <w:sz w:val="20"/>
                <w:szCs w:val="20"/>
              </w:rPr>
              <w:t>470</w:t>
            </w:r>
          </w:p>
        </w:tc>
        <w:tc>
          <w:tcPr>
            <w:tcW w:w="337" w:type="pct"/>
            <w:gridSpan w:val="2"/>
            <w:tcBorders>
              <w:top w:val="nil"/>
              <w:left w:val="single" w:sz="4" w:space="0" w:color="auto"/>
              <w:bottom w:val="single" w:sz="4" w:space="0" w:color="auto"/>
              <w:right w:val="single" w:sz="4" w:space="0" w:color="auto"/>
            </w:tcBorders>
            <w:vAlign w:val="center"/>
            <w:hideMark/>
          </w:tcPr>
          <w:p w14:paraId="536E057B" w14:textId="77777777" w:rsidR="000D25A9" w:rsidRPr="00227BE0" w:rsidRDefault="000D25A9" w:rsidP="000D25A9">
            <w:pPr>
              <w:widowControl w:val="0"/>
              <w:suppressAutoHyphens/>
              <w:jc w:val="center"/>
              <w:rPr>
                <w:noProof/>
                <w:sz w:val="20"/>
                <w:szCs w:val="20"/>
              </w:rPr>
            </w:pPr>
            <w:r w:rsidRPr="00227BE0">
              <w:rPr>
                <w:noProof/>
                <w:sz w:val="20"/>
                <w:szCs w:val="20"/>
              </w:rPr>
              <w:t>147</w:t>
            </w:r>
          </w:p>
        </w:tc>
        <w:tc>
          <w:tcPr>
            <w:tcW w:w="319" w:type="pct"/>
            <w:gridSpan w:val="2"/>
            <w:tcBorders>
              <w:top w:val="nil"/>
              <w:left w:val="single" w:sz="4" w:space="0" w:color="auto"/>
              <w:bottom w:val="single" w:sz="4" w:space="0" w:color="auto"/>
              <w:right w:val="single" w:sz="4" w:space="0" w:color="auto"/>
            </w:tcBorders>
            <w:shd w:val="clear" w:color="auto" w:fill="D9D9D9" w:themeFill="background1" w:themeFillShade="D9"/>
            <w:vAlign w:val="center"/>
          </w:tcPr>
          <w:p w14:paraId="42F0D8E0" w14:textId="719546FE" w:rsidR="000D25A9" w:rsidRPr="00227BE0" w:rsidRDefault="000D25A9" w:rsidP="000D25A9">
            <w:pPr>
              <w:widowControl w:val="0"/>
              <w:suppressAutoHyphens/>
              <w:jc w:val="center"/>
              <w:rPr>
                <w:noProof/>
                <w:sz w:val="20"/>
                <w:szCs w:val="20"/>
              </w:rPr>
            </w:pPr>
            <w:r>
              <w:rPr>
                <w:noProof/>
                <w:sz w:val="20"/>
                <w:szCs w:val="20"/>
              </w:rPr>
              <w:t>55</w:t>
            </w:r>
          </w:p>
        </w:tc>
        <w:tc>
          <w:tcPr>
            <w:tcW w:w="319" w:type="pct"/>
            <w:gridSpan w:val="2"/>
            <w:tcBorders>
              <w:top w:val="nil"/>
              <w:left w:val="single" w:sz="4" w:space="0" w:color="auto"/>
              <w:bottom w:val="single" w:sz="4" w:space="0" w:color="auto"/>
              <w:right w:val="single" w:sz="4" w:space="0" w:color="auto"/>
            </w:tcBorders>
            <w:vAlign w:val="center"/>
            <w:hideMark/>
          </w:tcPr>
          <w:p w14:paraId="3ED51254" w14:textId="09DEC9D0" w:rsidR="000D25A9" w:rsidRPr="00227BE0" w:rsidRDefault="000D25A9" w:rsidP="000D25A9">
            <w:pPr>
              <w:widowControl w:val="0"/>
              <w:suppressAutoHyphens/>
              <w:jc w:val="center"/>
              <w:rPr>
                <w:noProof/>
                <w:sz w:val="20"/>
                <w:szCs w:val="20"/>
              </w:rPr>
            </w:pPr>
            <w:r w:rsidRPr="00227BE0">
              <w:rPr>
                <w:noProof/>
                <w:sz w:val="20"/>
                <w:szCs w:val="20"/>
              </w:rPr>
              <w:t>230</w:t>
            </w:r>
          </w:p>
        </w:tc>
        <w:tc>
          <w:tcPr>
            <w:tcW w:w="337" w:type="pct"/>
            <w:tcBorders>
              <w:top w:val="nil"/>
              <w:left w:val="single" w:sz="4" w:space="0" w:color="auto"/>
              <w:bottom w:val="single" w:sz="4" w:space="0" w:color="auto"/>
              <w:right w:val="single" w:sz="4" w:space="0" w:color="auto"/>
            </w:tcBorders>
            <w:vAlign w:val="center"/>
            <w:hideMark/>
          </w:tcPr>
          <w:p w14:paraId="0F2D07C5" w14:textId="77777777" w:rsidR="000D25A9" w:rsidRPr="00227BE0" w:rsidRDefault="000D25A9" w:rsidP="000D25A9">
            <w:pPr>
              <w:widowControl w:val="0"/>
              <w:suppressAutoHyphens/>
              <w:jc w:val="center"/>
              <w:rPr>
                <w:noProof/>
                <w:sz w:val="20"/>
                <w:szCs w:val="20"/>
              </w:rPr>
            </w:pPr>
            <w:r w:rsidRPr="00227BE0">
              <w:rPr>
                <w:noProof/>
                <w:sz w:val="20"/>
                <w:szCs w:val="20"/>
              </w:rPr>
              <w:t>44</w:t>
            </w:r>
          </w:p>
        </w:tc>
        <w:tc>
          <w:tcPr>
            <w:tcW w:w="405" w:type="pct"/>
            <w:tcBorders>
              <w:top w:val="nil"/>
              <w:left w:val="single" w:sz="4" w:space="0" w:color="auto"/>
              <w:bottom w:val="single" w:sz="4" w:space="0" w:color="auto"/>
              <w:right w:val="single" w:sz="4" w:space="0" w:color="auto"/>
            </w:tcBorders>
            <w:vAlign w:val="center"/>
            <w:hideMark/>
          </w:tcPr>
          <w:p w14:paraId="4D8FCF95" w14:textId="77777777" w:rsidR="000D25A9" w:rsidRPr="0080412E" w:rsidRDefault="000D25A9" w:rsidP="000D25A9">
            <w:pPr>
              <w:widowControl w:val="0"/>
              <w:suppressAutoHyphens/>
              <w:jc w:val="center"/>
              <w:rPr>
                <w:strike/>
                <w:noProof/>
                <w:color w:val="D9D9D9" w:themeColor="background1" w:themeShade="D9"/>
                <w:sz w:val="20"/>
                <w:szCs w:val="20"/>
              </w:rPr>
            </w:pPr>
            <w:r w:rsidRPr="0080412E">
              <w:rPr>
                <w:strike/>
                <w:noProof/>
                <w:color w:val="D9D9D9" w:themeColor="background1" w:themeShade="D9"/>
                <w:sz w:val="20"/>
                <w:szCs w:val="20"/>
              </w:rPr>
              <w:t>63</w:t>
            </w:r>
          </w:p>
        </w:tc>
        <w:tc>
          <w:tcPr>
            <w:tcW w:w="374" w:type="pct"/>
            <w:tcBorders>
              <w:top w:val="nil"/>
              <w:left w:val="single" w:sz="4" w:space="0" w:color="auto"/>
              <w:bottom w:val="single" w:sz="4" w:space="0" w:color="auto"/>
              <w:right w:val="single" w:sz="4" w:space="0" w:color="auto"/>
            </w:tcBorders>
            <w:shd w:val="clear" w:color="auto" w:fill="D9D9D9" w:themeFill="background1" w:themeFillShade="D9"/>
            <w:vAlign w:val="center"/>
          </w:tcPr>
          <w:p w14:paraId="368A0FBE" w14:textId="28953EB2" w:rsidR="000D25A9" w:rsidRPr="00227BE0" w:rsidRDefault="000D25A9" w:rsidP="000D25A9">
            <w:pPr>
              <w:widowControl w:val="0"/>
              <w:suppressAutoHyphens/>
              <w:jc w:val="center"/>
              <w:rPr>
                <w:noProof/>
                <w:sz w:val="20"/>
                <w:szCs w:val="20"/>
              </w:rPr>
            </w:pPr>
            <w:r>
              <w:rPr>
                <w:noProof/>
                <w:sz w:val="20"/>
                <w:szCs w:val="20"/>
              </w:rPr>
              <w:t>146</w:t>
            </w:r>
          </w:p>
        </w:tc>
        <w:tc>
          <w:tcPr>
            <w:tcW w:w="374" w:type="pct"/>
            <w:tcBorders>
              <w:top w:val="nil"/>
              <w:left w:val="single" w:sz="4" w:space="0" w:color="auto"/>
              <w:bottom w:val="single" w:sz="4" w:space="0" w:color="auto"/>
              <w:right w:val="single" w:sz="4" w:space="0" w:color="auto"/>
            </w:tcBorders>
            <w:vAlign w:val="center"/>
            <w:hideMark/>
          </w:tcPr>
          <w:p w14:paraId="211B57C1" w14:textId="36B0C533" w:rsidR="000D25A9" w:rsidRPr="00227BE0" w:rsidRDefault="000D25A9" w:rsidP="000D25A9">
            <w:pPr>
              <w:widowControl w:val="0"/>
              <w:suppressAutoHyphens/>
              <w:jc w:val="center"/>
              <w:rPr>
                <w:noProof/>
                <w:sz w:val="20"/>
                <w:szCs w:val="20"/>
              </w:rPr>
            </w:pPr>
            <w:r w:rsidRPr="00227BE0">
              <w:rPr>
                <w:noProof/>
                <w:sz w:val="20"/>
                <w:szCs w:val="20"/>
              </w:rPr>
              <w:t>3200</w:t>
            </w:r>
          </w:p>
        </w:tc>
        <w:tc>
          <w:tcPr>
            <w:tcW w:w="357" w:type="pct"/>
            <w:tcBorders>
              <w:top w:val="nil"/>
              <w:left w:val="single" w:sz="4" w:space="0" w:color="auto"/>
              <w:bottom w:val="single" w:sz="4" w:space="0" w:color="auto"/>
              <w:right w:val="single" w:sz="4" w:space="0" w:color="auto"/>
            </w:tcBorders>
          </w:tcPr>
          <w:p w14:paraId="31024BAD" w14:textId="77777777" w:rsidR="000D25A9" w:rsidRPr="00227BE0" w:rsidRDefault="000D25A9" w:rsidP="000D25A9">
            <w:pPr>
              <w:keepNext/>
              <w:keepLines/>
              <w:widowControl w:val="0"/>
              <w:suppressAutoHyphens/>
              <w:jc w:val="center"/>
              <w:rPr>
                <w:b/>
                <w:noProof/>
                <w:sz w:val="20"/>
                <w:szCs w:val="20"/>
              </w:rPr>
            </w:pPr>
            <w:r w:rsidRPr="00227BE0">
              <w:rPr>
                <w:noProof/>
                <w:sz w:val="20"/>
                <w:szCs w:val="20"/>
              </w:rPr>
              <w:t>800</w:t>
            </w:r>
          </w:p>
        </w:tc>
        <w:tc>
          <w:tcPr>
            <w:tcW w:w="406" w:type="pct"/>
            <w:tcBorders>
              <w:top w:val="nil"/>
              <w:left w:val="single" w:sz="4" w:space="0" w:color="auto"/>
              <w:bottom w:val="single" w:sz="4" w:space="0" w:color="auto"/>
              <w:right w:val="single" w:sz="4" w:space="0" w:color="auto"/>
            </w:tcBorders>
            <w:vAlign w:val="center"/>
          </w:tcPr>
          <w:p w14:paraId="401DE70B" w14:textId="77777777" w:rsidR="000D25A9" w:rsidRPr="00227BE0" w:rsidRDefault="000D25A9" w:rsidP="000D25A9">
            <w:pPr>
              <w:keepNext/>
              <w:keepLines/>
              <w:widowControl w:val="0"/>
              <w:suppressAutoHyphens/>
              <w:jc w:val="center"/>
              <w:rPr>
                <w:noProof/>
                <w:sz w:val="20"/>
                <w:szCs w:val="20"/>
              </w:rPr>
            </w:pPr>
            <w:r w:rsidRPr="00227BE0">
              <w:rPr>
                <w:noProof/>
                <w:sz w:val="20"/>
                <w:szCs w:val="20"/>
              </w:rPr>
              <w:t>10</w:t>
            </w:r>
          </w:p>
        </w:tc>
        <w:tc>
          <w:tcPr>
            <w:tcW w:w="401" w:type="pct"/>
            <w:gridSpan w:val="3"/>
            <w:tcBorders>
              <w:top w:val="nil"/>
              <w:left w:val="single" w:sz="4" w:space="0" w:color="auto"/>
              <w:bottom w:val="single" w:sz="4" w:space="0" w:color="auto"/>
              <w:right w:val="single" w:sz="4" w:space="0" w:color="auto"/>
            </w:tcBorders>
            <w:vAlign w:val="center"/>
            <w:hideMark/>
          </w:tcPr>
          <w:p w14:paraId="56355781" w14:textId="77777777" w:rsidR="000D25A9" w:rsidRPr="00227BE0" w:rsidRDefault="000D25A9" w:rsidP="000D25A9">
            <w:pPr>
              <w:keepNext/>
              <w:keepLines/>
              <w:widowControl w:val="0"/>
              <w:suppressAutoHyphens/>
              <w:rPr>
                <w:noProof/>
                <w:sz w:val="20"/>
                <w:szCs w:val="20"/>
              </w:rPr>
            </w:pPr>
            <w:r w:rsidRPr="00227BE0">
              <w:rPr>
                <w:b/>
                <w:noProof/>
                <w:sz w:val="20"/>
                <w:szCs w:val="20"/>
              </w:rPr>
              <w:t>(µg/kg)</w:t>
            </w:r>
          </w:p>
        </w:tc>
        <w:tc>
          <w:tcPr>
            <w:tcW w:w="345" w:type="pct"/>
            <w:gridSpan w:val="2"/>
            <w:tcBorders>
              <w:top w:val="nil"/>
              <w:left w:val="single" w:sz="4" w:space="0" w:color="auto"/>
              <w:bottom w:val="single" w:sz="4" w:space="0" w:color="auto"/>
              <w:right w:val="single" w:sz="4" w:space="0" w:color="auto"/>
            </w:tcBorders>
            <w:hideMark/>
          </w:tcPr>
          <w:p w14:paraId="576AC6C7" w14:textId="77777777" w:rsidR="000D25A9" w:rsidRPr="00227BE0" w:rsidRDefault="000D25A9" w:rsidP="000D25A9">
            <w:pPr>
              <w:widowControl w:val="0"/>
              <w:suppressAutoHyphens/>
              <w:jc w:val="center"/>
              <w:rPr>
                <w:noProof/>
                <w:sz w:val="20"/>
                <w:szCs w:val="20"/>
              </w:rPr>
            </w:pPr>
            <w:r w:rsidRPr="00227BE0">
              <w:rPr>
                <w:noProof/>
                <w:sz w:val="20"/>
                <w:szCs w:val="20"/>
              </w:rPr>
              <w:t>23000</w:t>
            </w:r>
          </w:p>
        </w:tc>
      </w:tr>
      <w:tr w:rsidR="000D25A9" w:rsidRPr="00227BE0" w14:paraId="1053C35B" w14:textId="77777777" w:rsidTr="000D25A9">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0428AD78" w14:textId="77777777" w:rsidR="000D25A9" w:rsidRPr="00227BE0" w:rsidRDefault="000D25A9" w:rsidP="000D25A9">
            <w:pPr>
              <w:widowControl w:val="0"/>
              <w:suppressAutoHyphens/>
              <w:rPr>
                <w:b/>
                <w:bCs/>
                <w:sz w:val="20"/>
                <w:szCs w:val="20"/>
              </w:rPr>
            </w:pPr>
            <w:r w:rsidRPr="00227BE0">
              <w:rPr>
                <w:b/>
                <w:bCs/>
                <w:sz w:val="20"/>
                <w:szCs w:val="20"/>
              </w:rPr>
              <w:t>AF</w:t>
            </w:r>
          </w:p>
        </w:tc>
        <w:tc>
          <w:tcPr>
            <w:tcW w:w="278" w:type="pct"/>
            <w:tcBorders>
              <w:top w:val="nil"/>
              <w:left w:val="single" w:sz="4" w:space="0" w:color="auto"/>
              <w:bottom w:val="nil"/>
              <w:right w:val="single" w:sz="4" w:space="0" w:color="auto"/>
            </w:tcBorders>
            <w:vAlign w:val="center"/>
          </w:tcPr>
          <w:p w14:paraId="27939436" w14:textId="77777777" w:rsidR="000D25A9" w:rsidRPr="00227BE0" w:rsidRDefault="000D25A9" w:rsidP="000D25A9">
            <w:pPr>
              <w:keepNext/>
              <w:keepLines/>
              <w:widowControl w:val="0"/>
              <w:suppressAutoHyphens/>
              <w:rPr>
                <w:noProof/>
                <w:sz w:val="20"/>
                <w:szCs w:val="20"/>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63A99742" w14:textId="77777777" w:rsidR="000D25A9" w:rsidRPr="00227BE0" w:rsidRDefault="000D25A9" w:rsidP="000D25A9">
            <w:pPr>
              <w:widowControl w:val="0"/>
              <w:suppressAutoHyphens/>
              <w:jc w:val="center"/>
              <w:rPr>
                <w:noProof/>
                <w:sz w:val="20"/>
                <w:szCs w:val="20"/>
              </w:rPr>
            </w:pPr>
            <w:r w:rsidRPr="00227BE0">
              <w:rPr>
                <w:noProof/>
                <w:sz w:val="20"/>
                <w:szCs w:val="20"/>
              </w:rPr>
              <w:t>100</w:t>
            </w:r>
          </w:p>
        </w:tc>
        <w:tc>
          <w:tcPr>
            <w:tcW w:w="337" w:type="pct"/>
            <w:gridSpan w:val="2"/>
            <w:tcBorders>
              <w:top w:val="single" w:sz="4" w:space="0" w:color="auto"/>
              <w:left w:val="single" w:sz="4" w:space="0" w:color="auto"/>
              <w:bottom w:val="single" w:sz="4" w:space="0" w:color="auto"/>
              <w:right w:val="single" w:sz="4" w:space="0" w:color="auto"/>
            </w:tcBorders>
            <w:vAlign w:val="center"/>
            <w:hideMark/>
          </w:tcPr>
          <w:p w14:paraId="7C1CAF4A" w14:textId="77777777" w:rsidR="000D25A9" w:rsidRPr="00227BE0" w:rsidRDefault="000D25A9" w:rsidP="000D25A9">
            <w:pPr>
              <w:widowControl w:val="0"/>
              <w:suppressAutoHyphens/>
              <w:jc w:val="center"/>
              <w:rPr>
                <w:noProof/>
                <w:sz w:val="20"/>
                <w:szCs w:val="20"/>
              </w:rPr>
            </w:pPr>
            <w:r w:rsidRPr="00227BE0">
              <w:rPr>
                <w:noProof/>
                <w:sz w:val="20"/>
                <w:szCs w:val="20"/>
              </w:rPr>
              <w:t>10</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6126E2" w14:textId="06D16C1F" w:rsidR="000D25A9" w:rsidRPr="00227BE0" w:rsidRDefault="000D25A9" w:rsidP="000D25A9">
            <w:pPr>
              <w:widowControl w:val="0"/>
              <w:suppressAutoHyphens/>
              <w:jc w:val="center"/>
              <w:rPr>
                <w:noProof/>
                <w:sz w:val="20"/>
                <w:szCs w:val="20"/>
              </w:rPr>
            </w:pPr>
            <w:r w:rsidRPr="00227BE0">
              <w:rPr>
                <w:noProof/>
                <w:sz w:val="20"/>
                <w:szCs w:val="20"/>
              </w:rPr>
              <w:t>100</w:t>
            </w:r>
          </w:p>
        </w:tc>
        <w:tc>
          <w:tcPr>
            <w:tcW w:w="319" w:type="pct"/>
            <w:gridSpan w:val="2"/>
            <w:tcBorders>
              <w:top w:val="single" w:sz="4" w:space="0" w:color="auto"/>
              <w:left w:val="single" w:sz="4" w:space="0" w:color="auto"/>
              <w:bottom w:val="single" w:sz="4" w:space="0" w:color="auto"/>
              <w:right w:val="single" w:sz="4" w:space="0" w:color="auto"/>
            </w:tcBorders>
            <w:vAlign w:val="center"/>
            <w:hideMark/>
          </w:tcPr>
          <w:p w14:paraId="737DB4CC" w14:textId="57DCD195" w:rsidR="000D25A9" w:rsidRPr="00227BE0" w:rsidRDefault="000D25A9" w:rsidP="000D25A9">
            <w:pPr>
              <w:widowControl w:val="0"/>
              <w:suppressAutoHyphens/>
              <w:jc w:val="center"/>
              <w:rPr>
                <w:noProof/>
                <w:sz w:val="20"/>
                <w:szCs w:val="20"/>
              </w:rPr>
            </w:pPr>
            <w:r w:rsidRPr="00227BE0">
              <w:rPr>
                <w:noProof/>
                <w:sz w:val="20"/>
                <w:szCs w:val="20"/>
              </w:rPr>
              <w:t>100</w:t>
            </w:r>
          </w:p>
        </w:tc>
        <w:tc>
          <w:tcPr>
            <w:tcW w:w="337" w:type="pct"/>
            <w:tcBorders>
              <w:top w:val="single" w:sz="4" w:space="0" w:color="auto"/>
              <w:left w:val="single" w:sz="4" w:space="0" w:color="auto"/>
              <w:bottom w:val="single" w:sz="4" w:space="0" w:color="auto"/>
              <w:right w:val="single" w:sz="4" w:space="0" w:color="auto"/>
            </w:tcBorders>
            <w:vAlign w:val="center"/>
            <w:hideMark/>
          </w:tcPr>
          <w:p w14:paraId="388DED52" w14:textId="77777777" w:rsidR="000D25A9" w:rsidRPr="00227BE0" w:rsidRDefault="000D25A9" w:rsidP="000D25A9">
            <w:pPr>
              <w:widowControl w:val="0"/>
              <w:suppressAutoHyphens/>
              <w:jc w:val="center"/>
              <w:rPr>
                <w:noProof/>
                <w:sz w:val="20"/>
                <w:szCs w:val="20"/>
              </w:rPr>
            </w:pPr>
            <w:r w:rsidRPr="00227BE0">
              <w:rPr>
                <w:noProof/>
                <w:sz w:val="20"/>
                <w:szCs w:val="20"/>
              </w:rPr>
              <w:t>10</w:t>
            </w:r>
          </w:p>
        </w:tc>
        <w:tc>
          <w:tcPr>
            <w:tcW w:w="405" w:type="pct"/>
            <w:tcBorders>
              <w:top w:val="single" w:sz="4" w:space="0" w:color="auto"/>
              <w:left w:val="single" w:sz="4" w:space="0" w:color="auto"/>
              <w:bottom w:val="single" w:sz="4" w:space="0" w:color="auto"/>
              <w:right w:val="single" w:sz="4" w:space="0" w:color="auto"/>
            </w:tcBorders>
            <w:vAlign w:val="center"/>
            <w:hideMark/>
          </w:tcPr>
          <w:p w14:paraId="37D63C54" w14:textId="77777777" w:rsidR="000D25A9" w:rsidRPr="0080412E" w:rsidRDefault="000D25A9" w:rsidP="000D25A9">
            <w:pPr>
              <w:widowControl w:val="0"/>
              <w:suppressAutoHyphens/>
              <w:jc w:val="center"/>
              <w:rPr>
                <w:strike/>
                <w:noProof/>
                <w:color w:val="D9D9D9" w:themeColor="background1" w:themeShade="D9"/>
                <w:sz w:val="20"/>
                <w:szCs w:val="20"/>
              </w:rPr>
            </w:pPr>
            <w:r w:rsidRPr="0080412E">
              <w:rPr>
                <w:strike/>
                <w:noProof/>
                <w:color w:val="D9D9D9" w:themeColor="background1" w:themeShade="D9"/>
                <w:sz w:val="20"/>
                <w:szCs w:val="20"/>
              </w:rPr>
              <w:t>10</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1DE149" w14:textId="00930324" w:rsidR="000D25A9" w:rsidRPr="00227BE0" w:rsidRDefault="000D25A9" w:rsidP="000D25A9">
            <w:pPr>
              <w:widowControl w:val="0"/>
              <w:suppressAutoHyphens/>
              <w:jc w:val="center"/>
              <w:rPr>
                <w:noProof/>
                <w:sz w:val="20"/>
                <w:szCs w:val="20"/>
              </w:rPr>
            </w:pPr>
            <w:r>
              <w:rPr>
                <w:noProof/>
                <w:sz w:val="20"/>
                <w:szCs w:val="20"/>
              </w:rPr>
              <w:t>10</w:t>
            </w:r>
          </w:p>
        </w:tc>
        <w:tc>
          <w:tcPr>
            <w:tcW w:w="374" w:type="pct"/>
            <w:tcBorders>
              <w:top w:val="single" w:sz="4" w:space="0" w:color="auto"/>
              <w:left w:val="single" w:sz="4" w:space="0" w:color="auto"/>
              <w:bottom w:val="single" w:sz="4" w:space="0" w:color="auto"/>
              <w:right w:val="single" w:sz="4" w:space="0" w:color="auto"/>
            </w:tcBorders>
            <w:vAlign w:val="center"/>
            <w:hideMark/>
          </w:tcPr>
          <w:p w14:paraId="30D53EAE" w14:textId="65D88973" w:rsidR="000D25A9" w:rsidRPr="00227BE0" w:rsidRDefault="000D25A9" w:rsidP="000D25A9">
            <w:pPr>
              <w:widowControl w:val="0"/>
              <w:suppressAutoHyphens/>
              <w:jc w:val="center"/>
              <w:rPr>
                <w:noProof/>
                <w:sz w:val="20"/>
                <w:szCs w:val="20"/>
              </w:rPr>
            </w:pPr>
            <w:r w:rsidRPr="00227BE0">
              <w:rPr>
                <w:noProof/>
                <w:sz w:val="20"/>
                <w:szCs w:val="20"/>
              </w:rPr>
              <w:t>10</w:t>
            </w:r>
          </w:p>
        </w:tc>
        <w:tc>
          <w:tcPr>
            <w:tcW w:w="357" w:type="pct"/>
            <w:tcBorders>
              <w:top w:val="single" w:sz="4" w:space="0" w:color="auto"/>
              <w:left w:val="single" w:sz="4" w:space="0" w:color="auto"/>
              <w:bottom w:val="single" w:sz="4" w:space="0" w:color="auto"/>
              <w:right w:val="single" w:sz="4" w:space="0" w:color="auto"/>
            </w:tcBorders>
          </w:tcPr>
          <w:p w14:paraId="7FD25CB8" w14:textId="77777777" w:rsidR="000D25A9" w:rsidRPr="00227BE0" w:rsidRDefault="000D25A9" w:rsidP="000D25A9">
            <w:pPr>
              <w:keepNext/>
              <w:keepLines/>
              <w:widowControl w:val="0"/>
              <w:suppressAutoHyphens/>
              <w:jc w:val="center"/>
              <w:rPr>
                <w:b/>
                <w:noProof/>
                <w:sz w:val="20"/>
                <w:szCs w:val="20"/>
              </w:rPr>
            </w:pPr>
            <w:r w:rsidRPr="00227BE0">
              <w:rPr>
                <w:noProof/>
                <w:sz w:val="20"/>
                <w:szCs w:val="20"/>
              </w:rPr>
              <w:t>10</w:t>
            </w:r>
          </w:p>
        </w:tc>
        <w:tc>
          <w:tcPr>
            <w:tcW w:w="406" w:type="pct"/>
            <w:tcBorders>
              <w:top w:val="single" w:sz="4" w:space="0" w:color="auto"/>
              <w:left w:val="single" w:sz="4" w:space="0" w:color="auto"/>
              <w:bottom w:val="single" w:sz="4" w:space="0" w:color="auto"/>
              <w:right w:val="single" w:sz="4" w:space="0" w:color="auto"/>
            </w:tcBorders>
            <w:vAlign w:val="center"/>
          </w:tcPr>
          <w:p w14:paraId="443BF1EF" w14:textId="77777777" w:rsidR="000D25A9" w:rsidRPr="00227BE0" w:rsidRDefault="000D25A9" w:rsidP="000D25A9">
            <w:pPr>
              <w:keepNext/>
              <w:keepLines/>
              <w:widowControl w:val="0"/>
              <w:suppressAutoHyphens/>
              <w:jc w:val="center"/>
              <w:rPr>
                <w:noProof/>
                <w:sz w:val="20"/>
                <w:szCs w:val="20"/>
              </w:rPr>
            </w:pPr>
            <w:r w:rsidRPr="00227BE0">
              <w:rPr>
                <w:noProof/>
                <w:sz w:val="20"/>
                <w:szCs w:val="20"/>
              </w:rPr>
              <w:t>3</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4ABD37AA" w14:textId="77777777" w:rsidR="000D25A9" w:rsidRPr="00227BE0" w:rsidRDefault="000D25A9" w:rsidP="000D25A9">
            <w:pPr>
              <w:keepNext/>
              <w:keepLines/>
              <w:widowControl w:val="0"/>
              <w:suppressAutoHyphens/>
              <w:rPr>
                <w:noProof/>
                <w:sz w:val="20"/>
                <w:szCs w:val="20"/>
              </w:rPr>
            </w:pPr>
            <w:r w:rsidRPr="00227BE0">
              <w:rPr>
                <w:b/>
                <w:noProof/>
                <w:sz w:val="20"/>
                <w:szCs w:val="20"/>
              </w:rPr>
              <w:t>AF</w:t>
            </w:r>
          </w:p>
        </w:tc>
        <w:tc>
          <w:tcPr>
            <w:tcW w:w="345" w:type="pct"/>
            <w:gridSpan w:val="2"/>
            <w:tcBorders>
              <w:top w:val="single" w:sz="4" w:space="0" w:color="auto"/>
              <w:left w:val="single" w:sz="4" w:space="0" w:color="auto"/>
              <w:bottom w:val="single" w:sz="4" w:space="0" w:color="auto"/>
              <w:right w:val="single" w:sz="4" w:space="0" w:color="auto"/>
            </w:tcBorders>
            <w:hideMark/>
          </w:tcPr>
          <w:p w14:paraId="580D466E" w14:textId="77777777" w:rsidR="000D25A9" w:rsidRPr="00227BE0" w:rsidRDefault="000D25A9" w:rsidP="000D25A9">
            <w:pPr>
              <w:widowControl w:val="0"/>
              <w:suppressAutoHyphens/>
              <w:jc w:val="center"/>
              <w:rPr>
                <w:noProof/>
                <w:sz w:val="20"/>
                <w:szCs w:val="20"/>
              </w:rPr>
            </w:pPr>
            <w:r w:rsidRPr="00227BE0">
              <w:rPr>
                <w:noProof/>
                <w:sz w:val="20"/>
                <w:szCs w:val="20"/>
              </w:rPr>
              <w:t>10</w:t>
            </w:r>
          </w:p>
        </w:tc>
      </w:tr>
      <w:tr w:rsidR="000D25A9" w:rsidRPr="00227BE0" w14:paraId="570E5159" w14:textId="77777777" w:rsidTr="000D25A9">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787A21EB" w14:textId="77777777" w:rsidR="000D25A9" w:rsidRPr="00227BE0" w:rsidRDefault="000D25A9" w:rsidP="000D25A9">
            <w:pPr>
              <w:widowControl w:val="0"/>
              <w:suppressAutoHyphens/>
              <w:rPr>
                <w:b/>
                <w:bCs/>
                <w:sz w:val="20"/>
                <w:szCs w:val="20"/>
              </w:rPr>
            </w:pPr>
            <w:r w:rsidRPr="00227BE0">
              <w:rPr>
                <w:b/>
                <w:bCs/>
                <w:sz w:val="20"/>
                <w:szCs w:val="20"/>
              </w:rPr>
              <w:t>RAC (µg/L)</w:t>
            </w:r>
          </w:p>
        </w:tc>
        <w:tc>
          <w:tcPr>
            <w:tcW w:w="278" w:type="pct"/>
            <w:tcBorders>
              <w:top w:val="nil"/>
              <w:left w:val="single" w:sz="4" w:space="0" w:color="auto"/>
              <w:bottom w:val="single" w:sz="4" w:space="0" w:color="auto"/>
              <w:right w:val="single" w:sz="4" w:space="0" w:color="auto"/>
            </w:tcBorders>
            <w:vAlign w:val="center"/>
          </w:tcPr>
          <w:p w14:paraId="0074267E" w14:textId="77777777" w:rsidR="000D25A9" w:rsidRPr="00227BE0" w:rsidRDefault="000D25A9" w:rsidP="000D25A9">
            <w:pPr>
              <w:keepNext/>
              <w:keepLines/>
              <w:widowControl w:val="0"/>
              <w:suppressAutoHyphens/>
              <w:rPr>
                <w:noProof/>
                <w:sz w:val="20"/>
                <w:szCs w:val="20"/>
              </w:rPr>
            </w:pPr>
          </w:p>
        </w:tc>
        <w:tc>
          <w:tcPr>
            <w:tcW w:w="286" w:type="pct"/>
            <w:tcBorders>
              <w:top w:val="single" w:sz="4" w:space="0" w:color="auto"/>
              <w:left w:val="single" w:sz="4" w:space="0" w:color="auto"/>
              <w:bottom w:val="single" w:sz="4" w:space="0" w:color="auto"/>
              <w:right w:val="single" w:sz="4" w:space="0" w:color="auto"/>
            </w:tcBorders>
            <w:vAlign w:val="center"/>
            <w:hideMark/>
          </w:tcPr>
          <w:p w14:paraId="02F55577" w14:textId="77777777" w:rsidR="000D25A9" w:rsidRPr="00227BE0" w:rsidRDefault="000D25A9" w:rsidP="000D25A9">
            <w:pPr>
              <w:widowControl w:val="0"/>
              <w:suppressAutoHyphens/>
              <w:jc w:val="center"/>
              <w:rPr>
                <w:noProof/>
                <w:sz w:val="20"/>
                <w:szCs w:val="20"/>
              </w:rPr>
            </w:pPr>
            <w:r w:rsidRPr="00227BE0">
              <w:rPr>
                <w:noProof/>
                <w:sz w:val="20"/>
                <w:szCs w:val="20"/>
              </w:rPr>
              <w:t>4.7</w:t>
            </w:r>
          </w:p>
        </w:tc>
        <w:tc>
          <w:tcPr>
            <w:tcW w:w="337" w:type="pct"/>
            <w:gridSpan w:val="2"/>
            <w:tcBorders>
              <w:top w:val="single" w:sz="4" w:space="0" w:color="auto"/>
              <w:left w:val="single" w:sz="4" w:space="0" w:color="auto"/>
              <w:bottom w:val="single" w:sz="4" w:space="0" w:color="auto"/>
              <w:right w:val="single" w:sz="4" w:space="0" w:color="auto"/>
            </w:tcBorders>
            <w:vAlign w:val="center"/>
            <w:hideMark/>
          </w:tcPr>
          <w:p w14:paraId="18DC77B9" w14:textId="77777777" w:rsidR="000D25A9" w:rsidRPr="00227BE0" w:rsidRDefault="000D25A9" w:rsidP="000D25A9">
            <w:pPr>
              <w:widowControl w:val="0"/>
              <w:suppressAutoHyphens/>
              <w:jc w:val="center"/>
              <w:rPr>
                <w:noProof/>
                <w:sz w:val="20"/>
                <w:szCs w:val="20"/>
              </w:rPr>
            </w:pPr>
            <w:r w:rsidRPr="00227BE0">
              <w:rPr>
                <w:noProof/>
                <w:sz w:val="20"/>
                <w:szCs w:val="20"/>
              </w:rPr>
              <w:t>14.7</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5ADED7" w14:textId="2B2D9FD4" w:rsidR="000D25A9" w:rsidRPr="00227BE0" w:rsidRDefault="000D25A9" w:rsidP="000D25A9">
            <w:pPr>
              <w:widowControl w:val="0"/>
              <w:suppressAutoHyphens/>
              <w:jc w:val="center"/>
              <w:rPr>
                <w:noProof/>
                <w:sz w:val="20"/>
                <w:szCs w:val="20"/>
              </w:rPr>
            </w:pPr>
            <w:r>
              <w:rPr>
                <w:noProof/>
                <w:sz w:val="20"/>
                <w:szCs w:val="20"/>
              </w:rPr>
              <w:t>0.55</w:t>
            </w:r>
          </w:p>
        </w:tc>
        <w:tc>
          <w:tcPr>
            <w:tcW w:w="319" w:type="pct"/>
            <w:gridSpan w:val="2"/>
            <w:tcBorders>
              <w:top w:val="single" w:sz="4" w:space="0" w:color="auto"/>
              <w:left w:val="single" w:sz="4" w:space="0" w:color="auto"/>
              <w:bottom w:val="single" w:sz="4" w:space="0" w:color="auto"/>
              <w:right w:val="single" w:sz="4" w:space="0" w:color="auto"/>
            </w:tcBorders>
            <w:vAlign w:val="center"/>
            <w:hideMark/>
          </w:tcPr>
          <w:p w14:paraId="5CE9A9BD" w14:textId="1CF252B0" w:rsidR="000D25A9" w:rsidRPr="00227BE0" w:rsidRDefault="000D25A9" w:rsidP="000D25A9">
            <w:pPr>
              <w:widowControl w:val="0"/>
              <w:suppressAutoHyphens/>
              <w:jc w:val="center"/>
              <w:rPr>
                <w:noProof/>
                <w:sz w:val="20"/>
                <w:szCs w:val="20"/>
              </w:rPr>
            </w:pPr>
            <w:r w:rsidRPr="00227BE0">
              <w:rPr>
                <w:noProof/>
                <w:sz w:val="20"/>
                <w:szCs w:val="20"/>
              </w:rPr>
              <w:t>2.3</w:t>
            </w:r>
          </w:p>
        </w:tc>
        <w:tc>
          <w:tcPr>
            <w:tcW w:w="337" w:type="pct"/>
            <w:tcBorders>
              <w:top w:val="single" w:sz="4" w:space="0" w:color="auto"/>
              <w:left w:val="single" w:sz="4" w:space="0" w:color="auto"/>
              <w:bottom w:val="single" w:sz="4" w:space="0" w:color="auto"/>
              <w:right w:val="single" w:sz="4" w:space="0" w:color="auto"/>
            </w:tcBorders>
            <w:vAlign w:val="center"/>
            <w:hideMark/>
          </w:tcPr>
          <w:p w14:paraId="0B21ABB1" w14:textId="77777777" w:rsidR="000D25A9" w:rsidRPr="00227BE0" w:rsidRDefault="000D25A9" w:rsidP="000D25A9">
            <w:pPr>
              <w:widowControl w:val="0"/>
              <w:suppressAutoHyphens/>
              <w:jc w:val="center"/>
              <w:rPr>
                <w:noProof/>
                <w:sz w:val="20"/>
                <w:szCs w:val="20"/>
              </w:rPr>
            </w:pPr>
            <w:r w:rsidRPr="00227BE0">
              <w:rPr>
                <w:noProof/>
                <w:sz w:val="20"/>
                <w:szCs w:val="20"/>
              </w:rPr>
              <w:t>4.4</w:t>
            </w:r>
          </w:p>
        </w:tc>
        <w:tc>
          <w:tcPr>
            <w:tcW w:w="405" w:type="pct"/>
            <w:tcBorders>
              <w:top w:val="single" w:sz="4" w:space="0" w:color="auto"/>
              <w:left w:val="single" w:sz="4" w:space="0" w:color="auto"/>
              <w:bottom w:val="single" w:sz="4" w:space="0" w:color="auto"/>
              <w:right w:val="single" w:sz="4" w:space="0" w:color="auto"/>
            </w:tcBorders>
            <w:vAlign w:val="center"/>
            <w:hideMark/>
          </w:tcPr>
          <w:p w14:paraId="25C45003" w14:textId="77777777" w:rsidR="000D25A9" w:rsidRPr="0080412E" w:rsidRDefault="000D25A9" w:rsidP="000D25A9">
            <w:pPr>
              <w:widowControl w:val="0"/>
              <w:suppressAutoHyphens/>
              <w:jc w:val="center"/>
              <w:rPr>
                <w:strike/>
                <w:noProof/>
                <w:color w:val="D9D9D9" w:themeColor="background1" w:themeShade="D9"/>
                <w:sz w:val="20"/>
                <w:szCs w:val="20"/>
              </w:rPr>
            </w:pPr>
            <w:r w:rsidRPr="0080412E">
              <w:rPr>
                <w:strike/>
                <w:noProof/>
                <w:color w:val="D9D9D9" w:themeColor="background1" w:themeShade="D9"/>
                <w:sz w:val="20"/>
                <w:szCs w:val="20"/>
              </w:rPr>
              <w:t>6.3</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59FB58" w14:textId="22EC32B4" w:rsidR="000D25A9" w:rsidRPr="00227BE0" w:rsidRDefault="000D25A9" w:rsidP="000D25A9">
            <w:pPr>
              <w:widowControl w:val="0"/>
              <w:suppressAutoHyphens/>
              <w:jc w:val="center"/>
              <w:rPr>
                <w:noProof/>
                <w:sz w:val="20"/>
                <w:szCs w:val="20"/>
              </w:rPr>
            </w:pPr>
            <w:r>
              <w:rPr>
                <w:noProof/>
                <w:sz w:val="20"/>
                <w:szCs w:val="20"/>
              </w:rPr>
              <w:t>14.6</w:t>
            </w:r>
          </w:p>
        </w:tc>
        <w:tc>
          <w:tcPr>
            <w:tcW w:w="374" w:type="pct"/>
            <w:tcBorders>
              <w:top w:val="single" w:sz="4" w:space="0" w:color="auto"/>
              <w:left w:val="single" w:sz="4" w:space="0" w:color="auto"/>
              <w:bottom w:val="single" w:sz="4" w:space="0" w:color="auto"/>
              <w:right w:val="single" w:sz="4" w:space="0" w:color="auto"/>
            </w:tcBorders>
            <w:vAlign w:val="center"/>
            <w:hideMark/>
          </w:tcPr>
          <w:p w14:paraId="773E4B18" w14:textId="224FD2E2" w:rsidR="000D25A9" w:rsidRPr="00227BE0" w:rsidRDefault="000D25A9" w:rsidP="000D25A9">
            <w:pPr>
              <w:widowControl w:val="0"/>
              <w:suppressAutoHyphens/>
              <w:jc w:val="center"/>
              <w:rPr>
                <w:noProof/>
                <w:sz w:val="20"/>
                <w:szCs w:val="20"/>
              </w:rPr>
            </w:pPr>
            <w:r w:rsidRPr="00227BE0">
              <w:rPr>
                <w:noProof/>
                <w:sz w:val="20"/>
                <w:szCs w:val="20"/>
              </w:rPr>
              <w:t>320</w:t>
            </w:r>
          </w:p>
        </w:tc>
        <w:tc>
          <w:tcPr>
            <w:tcW w:w="357" w:type="pct"/>
            <w:tcBorders>
              <w:top w:val="single" w:sz="4" w:space="0" w:color="auto"/>
              <w:left w:val="single" w:sz="4" w:space="0" w:color="auto"/>
              <w:bottom w:val="single" w:sz="4" w:space="0" w:color="auto"/>
              <w:right w:val="single" w:sz="4" w:space="0" w:color="auto"/>
            </w:tcBorders>
            <w:vAlign w:val="center"/>
          </w:tcPr>
          <w:p w14:paraId="2BD3C6EA" w14:textId="77777777" w:rsidR="000D25A9" w:rsidRPr="00227BE0" w:rsidRDefault="000D25A9" w:rsidP="000D25A9">
            <w:pPr>
              <w:keepNext/>
              <w:keepLines/>
              <w:widowControl w:val="0"/>
              <w:suppressAutoHyphens/>
              <w:jc w:val="center"/>
              <w:rPr>
                <w:b/>
                <w:noProof/>
                <w:sz w:val="20"/>
                <w:szCs w:val="20"/>
              </w:rPr>
            </w:pPr>
            <w:r w:rsidRPr="00227BE0">
              <w:rPr>
                <w:noProof/>
                <w:sz w:val="20"/>
                <w:szCs w:val="20"/>
              </w:rPr>
              <w:t>80</w:t>
            </w:r>
          </w:p>
        </w:tc>
        <w:tc>
          <w:tcPr>
            <w:tcW w:w="406" w:type="pct"/>
            <w:tcBorders>
              <w:top w:val="single" w:sz="4" w:space="0" w:color="auto"/>
              <w:left w:val="single" w:sz="4" w:space="0" w:color="auto"/>
              <w:bottom w:val="single" w:sz="4" w:space="0" w:color="auto"/>
              <w:right w:val="single" w:sz="4" w:space="0" w:color="auto"/>
            </w:tcBorders>
            <w:vAlign w:val="center"/>
          </w:tcPr>
          <w:p w14:paraId="7682C7C3" w14:textId="77777777" w:rsidR="000D25A9" w:rsidRPr="00227BE0" w:rsidRDefault="000D25A9" w:rsidP="000D25A9">
            <w:pPr>
              <w:keepNext/>
              <w:keepLines/>
              <w:widowControl w:val="0"/>
              <w:suppressAutoHyphens/>
              <w:jc w:val="center"/>
              <w:rPr>
                <w:noProof/>
                <w:sz w:val="20"/>
                <w:szCs w:val="20"/>
              </w:rPr>
            </w:pPr>
            <w:r w:rsidRPr="00227BE0">
              <w:rPr>
                <w:noProof/>
                <w:sz w:val="20"/>
                <w:szCs w:val="20"/>
              </w:rPr>
              <w:t>3.3</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12366BFE" w14:textId="77777777" w:rsidR="000D25A9" w:rsidRPr="00227BE0" w:rsidRDefault="000D25A9" w:rsidP="000D25A9">
            <w:pPr>
              <w:keepNext/>
              <w:keepLines/>
              <w:widowControl w:val="0"/>
              <w:suppressAutoHyphens/>
              <w:rPr>
                <w:noProof/>
                <w:sz w:val="20"/>
                <w:szCs w:val="20"/>
              </w:rPr>
            </w:pPr>
            <w:r w:rsidRPr="00227BE0">
              <w:rPr>
                <w:b/>
                <w:noProof/>
                <w:sz w:val="20"/>
                <w:szCs w:val="20"/>
              </w:rPr>
              <w:t>RAC (µg/kg)</w:t>
            </w:r>
          </w:p>
        </w:tc>
        <w:tc>
          <w:tcPr>
            <w:tcW w:w="345" w:type="pct"/>
            <w:gridSpan w:val="2"/>
            <w:tcBorders>
              <w:top w:val="single" w:sz="4" w:space="0" w:color="auto"/>
              <w:left w:val="single" w:sz="4" w:space="0" w:color="auto"/>
              <w:bottom w:val="single" w:sz="4" w:space="0" w:color="auto"/>
              <w:right w:val="single" w:sz="4" w:space="0" w:color="auto"/>
            </w:tcBorders>
            <w:vAlign w:val="center"/>
            <w:hideMark/>
          </w:tcPr>
          <w:p w14:paraId="4CD9B555" w14:textId="77777777" w:rsidR="000D25A9" w:rsidRPr="00227BE0" w:rsidRDefault="000D25A9" w:rsidP="000D25A9">
            <w:pPr>
              <w:widowControl w:val="0"/>
              <w:suppressAutoHyphens/>
              <w:jc w:val="center"/>
              <w:rPr>
                <w:noProof/>
                <w:sz w:val="20"/>
                <w:szCs w:val="20"/>
              </w:rPr>
            </w:pPr>
            <w:r w:rsidRPr="00227BE0">
              <w:rPr>
                <w:noProof/>
                <w:sz w:val="20"/>
                <w:szCs w:val="20"/>
              </w:rPr>
              <w:t>2300</w:t>
            </w:r>
          </w:p>
        </w:tc>
      </w:tr>
      <w:tr w:rsidR="000D25A9" w:rsidRPr="00227BE0" w14:paraId="52FABD09" w14:textId="77777777" w:rsidTr="000D25A9">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5B53AA82" w14:textId="77777777" w:rsidR="000D25A9" w:rsidRPr="00227BE0" w:rsidRDefault="000D25A9" w:rsidP="000D25A9">
            <w:pPr>
              <w:widowControl w:val="0"/>
              <w:suppressAutoHyphens/>
              <w:rPr>
                <w:b/>
                <w:sz w:val="20"/>
                <w:szCs w:val="20"/>
                <w:lang w:val="en-GB"/>
              </w:rPr>
            </w:pPr>
            <w:r w:rsidRPr="00227BE0">
              <w:rPr>
                <w:b/>
                <w:sz w:val="20"/>
                <w:szCs w:val="20"/>
                <w:lang w:val="en-GB"/>
              </w:rPr>
              <w:t xml:space="preserve">FOCUS </w:t>
            </w:r>
          </w:p>
          <w:p w14:paraId="33C11BA3" w14:textId="77777777" w:rsidR="000D25A9" w:rsidRPr="00227BE0" w:rsidRDefault="000D25A9" w:rsidP="000D25A9">
            <w:pPr>
              <w:rPr>
                <w:b/>
                <w:bCs/>
                <w:sz w:val="20"/>
                <w:szCs w:val="20"/>
              </w:rPr>
            </w:pPr>
            <w:r w:rsidRPr="00227BE0">
              <w:rPr>
                <w:b/>
                <w:sz w:val="20"/>
                <w:szCs w:val="20"/>
                <w:lang w:val="en-GB"/>
              </w:rPr>
              <w:t>Scenario</w:t>
            </w:r>
            <w:r w:rsidRPr="00227BE0">
              <w:rPr>
                <w:b/>
                <w:bCs/>
                <w:sz w:val="20"/>
                <w:szCs w:val="20"/>
                <w:lang w:eastAsia="en-US"/>
              </w:rPr>
              <w:t xml:space="preserve"> </w:t>
            </w:r>
          </w:p>
        </w:tc>
        <w:tc>
          <w:tcPr>
            <w:tcW w:w="278" w:type="pct"/>
            <w:tcBorders>
              <w:top w:val="single" w:sz="4" w:space="0" w:color="auto"/>
              <w:left w:val="single" w:sz="4" w:space="0" w:color="auto"/>
              <w:bottom w:val="single" w:sz="4" w:space="0" w:color="auto"/>
              <w:right w:val="single" w:sz="4" w:space="0" w:color="auto"/>
            </w:tcBorders>
            <w:vAlign w:val="center"/>
            <w:hideMark/>
          </w:tcPr>
          <w:p w14:paraId="124E10F6" w14:textId="77777777" w:rsidR="000D25A9" w:rsidRPr="00227BE0" w:rsidRDefault="000D25A9" w:rsidP="000D25A9">
            <w:pPr>
              <w:widowControl w:val="0"/>
              <w:suppressAutoHyphens/>
              <w:rPr>
                <w:b/>
                <w:bCs/>
                <w:sz w:val="20"/>
                <w:szCs w:val="20"/>
              </w:rPr>
            </w:pPr>
            <w:r w:rsidRPr="00227BE0">
              <w:rPr>
                <w:b/>
                <w:bCs/>
                <w:sz w:val="20"/>
                <w:szCs w:val="20"/>
              </w:rPr>
              <w:t xml:space="preserve">PEC </w:t>
            </w:r>
            <w:r w:rsidRPr="00227BE0">
              <w:rPr>
                <w:b/>
                <w:bCs/>
                <w:sz w:val="20"/>
                <w:szCs w:val="20"/>
                <w:vertAlign w:val="subscript"/>
              </w:rPr>
              <w:t>gl-max</w:t>
            </w:r>
            <w:r w:rsidRPr="00227BE0">
              <w:rPr>
                <w:b/>
                <w:bCs/>
                <w:sz w:val="20"/>
                <w:szCs w:val="20"/>
              </w:rPr>
              <w:t xml:space="preserve"> (µg/L)</w:t>
            </w:r>
            <w:r w:rsidRPr="00227BE0">
              <w:rPr>
                <w:b/>
                <w:bCs/>
                <w:sz w:val="20"/>
                <w:szCs w:val="20"/>
                <w:vertAlign w:val="superscript"/>
              </w:rPr>
              <w:t> #</w:t>
            </w:r>
          </w:p>
        </w:tc>
        <w:tc>
          <w:tcPr>
            <w:tcW w:w="3514" w:type="pct"/>
            <w:gridSpan w:val="13"/>
            <w:tcBorders>
              <w:top w:val="single" w:sz="4" w:space="0" w:color="auto"/>
              <w:left w:val="single" w:sz="4" w:space="0" w:color="auto"/>
              <w:bottom w:val="single" w:sz="4" w:space="0" w:color="auto"/>
              <w:right w:val="single" w:sz="4" w:space="0" w:color="auto"/>
            </w:tcBorders>
          </w:tcPr>
          <w:p w14:paraId="57ED718D" w14:textId="03E0BB49" w:rsidR="000D25A9" w:rsidRPr="00227BE0" w:rsidRDefault="000D25A9" w:rsidP="000D25A9">
            <w:pPr>
              <w:widowControl w:val="0"/>
              <w:suppressAutoHyphens/>
              <w:jc w:val="center"/>
              <w:rPr>
                <w:b/>
                <w:bCs/>
                <w:sz w:val="20"/>
                <w:szCs w:val="20"/>
              </w:rPr>
            </w:pPr>
            <w:r w:rsidRPr="00227BE0">
              <w:rPr>
                <w:b/>
                <w:bCs/>
                <w:noProof/>
                <w:sz w:val="20"/>
                <w:szCs w:val="20"/>
              </w:rPr>
              <w:t>PEC/RAC (= ETR)</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4B2A134D" w14:textId="77777777" w:rsidR="000D25A9" w:rsidRPr="00227BE0" w:rsidRDefault="000D25A9" w:rsidP="000D25A9">
            <w:pPr>
              <w:widowControl w:val="0"/>
              <w:suppressAutoHyphens/>
              <w:rPr>
                <w:b/>
                <w:bCs/>
                <w:sz w:val="20"/>
                <w:szCs w:val="20"/>
              </w:rPr>
            </w:pPr>
            <w:r w:rsidRPr="00227BE0">
              <w:rPr>
                <w:b/>
                <w:bCs/>
                <w:sz w:val="20"/>
                <w:szCs w:val="20"/>
              </w:rPr>
              <w:t xml:space="preserve">PEC </w:t>
            </w:r>
            <w:r w:rsidRPr="00227BE0">
              <w:rPr>
                <w:b/>
                <w:bCs/>
                <w:sz w:val="20"/>
                <w:szCs w:val="20"/>
                <w:vertAlign w:val="subscript"/>
              </w:rPr>
              <w:t>gl-max</w:t>
            </w:r>
            <w:r w:rsidRPr="00227BE0">
              <w:rPr>
                <w:b/>
                <w:bCs/>
                <w:sz w:val="20"/>
                <w:szCs w:val="20"/>
              </w:rPr>
              <w:t xml:space="preserve"> (µg/kg)</w:t>
            </w:r>
            <w:r w:rsidRPr="00227BE0">
              <w:rPr>
                <w:b/>
                <w:bCs/>
                <w:sz w:val="20"/>
                <w:szCs w:val="20"/>
                <w:vertAlign w:val="superscript"/>
              </w:rPr>
              <w:t> #</w:t>
            </w:r>
          </w:p>
        </w:tc>
        <w:tc>
          <w:tcPr>
            <w:tcW w:w="345" w:type="pct"/>
            <w:gridSpan w:val="2"/>
            <w:tcBorders>
              <w:top w:val="single" w:sz="4" w:space="0" w:color="auto"/>
              <w:left w:val="single" w:sz="4" w:space="0" w:color="auto"/>
              <w:bottom w:val="single" w:sz="4" w:space="0" w:color="auto"/>
              <w:right w:val="single" w:sz="4" w:space="0" w:color="auto"/>
            </w:tcBorders>
            <w:vAlign w:val="center"/>
            <w:hideMark/>
          </w:tcPr>
          <w:p w14:paraId="28334C16" w14:textId="77777777" w:rsidR="000D25A9" w:rsidRPr="00227BE0" w:rsidRDefault="000D25A9" w:rsidP="000D25A9">
            <w:pPr>
              <w:widowControl w:val="0"/>
              <w:suppressAutoHyphens/>
              <w:jc w:val="center"/>
              <w:rPr>
                <w:noProof/>
                <w:sz w:val="20"/>
                <w:szCs w:val="20"/>
              </w:rPr>
            </w:pPr>
            <w:r w:rsidRPr="00227BE0">
              <w:rPr>
                <w:b/>
                <w:bCs/>
                <w:noProof/>
                <w:sz w:val="20"/>
                <w:szCs w:val="20"/>
              </w:rPr>
              <w:t>PEC/RAC (= ETR)</w:t>
            </w:r>
          </w:p>
        </w:tc>
      </w:tr>
      <w:tr w:rsidR="000D25A9" w:rsidRPr="00227BE0" w14:paraId="1089F2F9" w14:textId="77777777" w:rsidTr="000D25A9">
        <w:trPr>
          <w:cantSplit/>
        </w:trPr>
        <w:tc>
          <w:tcPr>
            <w:tcW w:w="463" w:type="pct"/>
            <w:tcBorders>
              <w:top w:val="single" w:sz="4" w:space="0" w:color="auto"/>
              <w:left w:val="single" w:sz="4" w:space="0" w:color="auto"/>
              <w:bottom w:val="single" w:sz="4" w:space="0" w:color="auto"/>
              <w:right w:val="nil"/>
            </w:tcBorders>
            <w:vAlign w:val="center"/>
          </w:tcPr>
          <w:p w14:paraId="7832E253" w14:textId="77777777" w:rsidR="000D25A9" w:rsidRPr="00227BE0" w:rsidRDefault="000D25A9" w:rsidP="000D25A9">
            <w:pPr>
              <w:widowControl w:val="0"/>
              <w:suppressAutoHyphens/>
              <w:rPr>
                <w:b/>
                <w:sz w:val="20"/>
                <w:szCs w:val="20"/>
                <w:lang w:val="en-GB"/>
              </w:rPr>
            </w:pPr>
            <w:r w:rsidRPr="00227BE0">
              <w:rPr>
                <w:b/>
                <w:sz w:val="20"/>
                <w:szCs w:val="20"/>
                <w:lang w:val="en-GB"/>
              </w:rPr>
              <w:t>Step 1</w:t>
            </w:r>
          </w:p>
        </w:tc>
        <w:tc>
          <w:tcPr>
            <w:tcW w:w="278" w:type="pct"/>
            <w:tcBorders>
              <w:top w:val="single" w:sz="4" w:space="0" w:color="auto"/>
              <w:left w:val="nil"/>
              <w:bottom w:val="single" w:sz="4" w:space="0" w:color="auto"/>
              <w:right w:val="nil"/>
            </w:tcBorders>
            <w:vAlign w:val="center"/>
          </w:tcPr>
          <w:p w14:paraId="5321851C" w14:textId="77777777" w:rsidR="000D25A9" w:rsidRPr="00227BE0" w:rsidRDefault="000D25A9" w:rsidP="000D25A9">
            <w:pPr>
              <w:widowControl w:val="0"/>
              <w:suppressAutoHyphens/>
              <w:rPr>
                <w:b/>
                <w:bCs/>
                <w:sz w:val="20"/>
                <w:szCs w:val="20"/>
              </w:rPr>
            </w:pPr>
          </w:p>
        </w:tc>
        <w:tc>
          <w:tcPr>
            <w:tcW w:w="408" w:type="pct"/>
            <w:gridSpan w:val="2"/>
            <w:tcBorders>
              <w:top w:val="single" w:sz="4" w:space="0" w:color="auto"/>
              <w:left w:val="nil"/>
              <w:bottom w:val="single" w:sz="4" w:space="0" w:color="auto"/>
              <w:right w:val="nil"/>
            </w:tcBorders>
          </w:tcPr>
          <w:p w14:paraId="47FC5FDC" w14:textId="77777777" w:rsidR="000D25A9" w:rsidRPr="00227BE0" w:rsidRDefault="000D25A9" w:rsidP="000D25A9">
            <w:pPr>
              <w:keepNext/>
              <w:keepLines/>
              <w:widowControl w:val="0"/>
              <w:suppressAutoHyphens/>
              <w:jc w:val="center"/>
              <w:rPr>
                <w:b/>
                <w:bCs/>
                <w:noProof/>
                <w:sz w:val="20"/>
                <w:szCs w:val="20"/>
              </w:rPr>
            </w:pPr>
          </w:p>
        </w:tc>
        <w:tc>
          <w:tcPr>
            <w:tcW w:w="329" w:type="pct"/>
            <w:gridSpan w:val="2"/>
            <w:tcBorders>
              <w:top w:val="single" w:sz="4" w:space="0" w:color="auto"/>
              <w:left w:val="nil"/>
              <w:bottom w:val="single" w:sz="4" w:space="0" w:color="auto"/>
              <w:right w:val="nil"/>
            </w:tcBorders>
          </w:tcPr>
          <w:p w14:paraId="6E5EE264" w14:textId="77777777" w:rsidR="000D25A9" w:rsidRPr="00227BE0" w:rsidRDefault="000D25A9" w:rsidP="000D25A9">
            <w:pPr>
              <w:keepNext/>
              <w:keepLines/>
              <w:widowControl w:val="0"/>
              <w:suppressAutoHyphens/>
              <w:rPr>
                <w:b/>
                <w:bCs/>
                <w:noProof/>
                <w:sz w:val="20"/>
                <w:szCs w:val="20"/>
              </w:rPr>
            </w:pPr>
          </w:p>
        </w:tc>
        <w:tc>
          <w:tcPr>
            <w:tcW w:w="371" w:type="pct"/>
            <w:gridSpan w:val="2"/>
            <w:tcBorders>
              <w:top w:val="single" w:sz="4" w:space="0" w:color="auto"/>
              <w:left w:val="nil"/>
              <w:bottom w:val="single" w:sz="4" w:space="0" w:color="auto"/>
              <w:right w:val="nil"/>
            </w:tcBorders>
          </w:tcPr>
          <w:p w14:paraId="1DB31A00" w14:textId="77777777" w:rsidR="000D25A9" w:rsidRPr="00227BE0" w:rsidRDefault="000D25A9" w:rsidP="000D25A9">
            <w:pPr>
              <w:keepNext/>
              <w:keepLines/>
              <w:widowControl w:val="0"/>
              <w:suppressAutoHyphens/>
              <w:rPr>
                <w:b/>
                <w:bCs/>
                <w:noProof/>
                <w:sz w:val="20"/>
                <w:szCs w:val="20"/>
              </w:rPr>
            </w:pPr>
          </w:p>
        </w:tc>
        <w:tc>
          <w:tcPr>
            <w:tcW w:w="2758" w:type="pct"/>
            <w:gridSpan w:val="8"/>
            <w:tcBorders>
              <w:top w:val="single" w:sz="4" w:space="0" w:color="auto"/>
              <w:left w:val="nil"/>
              <w:bottom w:val="single" w:sz="4" w:space="0" w:color="auto"/>
              <w:right w:val="nil"/>
            </w:tcBorders>
            <w:vAlign w:val="center"/>
          </w:tcPr>
          <w:p w14:paraId="37F648D9" w14:textId="4A75A120" w:rsidR="000D25A9" w:rsidRPr="00227BE0" w:rsidRDefault="000D25A9" w:rsidP="000D25A9">
            <w:pPr>
              <w:keepNext/>
              <w:keepLines/>
              <w:widowControl w:val="0"/>
              <w:suppressAutoHyphens/>
              <w:rPr>
                <w:b/>
                <w:bCs/>
                <w:noProof/>
                <w:sz w:val="20"/>
                <w:szCs w:val="20"/>
              </w:rPr>
            </w:pPr>
          </w:p>
        </w:tc>
        <w:tc>
          <w:tcPr>
            <w:tcW w:w="42" w:type="pct"/>
            <w:tcBorders>
              <w:top w:val="single" w:sz="4" w:space="0" w:color="auto"/>
              <w:left w:val="nil"/>
              <w:bottom w:val="single" w:sz="4" w:space="0" w:color="auto"/>
              <w:right w:val="nil"/>
            </w:tcBorders>
          </w:tcPr>
          <w:p w14:paraId="7E558312" w14:textId="77777777" w:rsidR="000D25A9" w:rsidRPr="00227BE0" w:rsidRDefault="000D25A9" w:rsidP="000D25A9">
            <w:pPr>
              <w:widowControl w:val="0"/>
              <w:suppressAutoHyphens/>
              <w:rPr>
                <w:b/>
                <w:bCs/>
                <w:sz w:val="20"/>
                <w:szCs w:val="20"/>
              </w:rPr>
            </w:pPr>
          </w:p>
        </w:tc>
        <w:tc>
          <w:tcPr>
            <w:tcW w:w="43" w:type="pct"/>
            <w:gridSpan w:val="2"/>
            <w:tcBorders>
              <w:top w:val="single" w:sz="4" w:space="0" w:color="auto"/>
              <w:left w:val="nil"/>
              <w:bottom w:val="single" w:sz="4" w:space="0" w:color="auto"/>
              <w:right w:val="nil"/>
            </w:tcBorders>
            <w:vAlign w:val="center"/>
          </w:tcPr>
          <w:p w14:paraId="31924C5D" w14:textId="77777777" w:rsidR="000D25A9" w:rsidRPr="00227BE0" w:rsidRDefault="000D25A9" w:rsidP="000D25A9">
            <w:pPr>
              <w:widowControl w:val="0"/>
              <w:suppressAutoHyphens/>
              <w:rPr>
                <w:b/>
                <w:bCs/>
                <w:sz w:val="20"/>
                <w:szCs w:val="20"/>
              </w:rPr>
            </w:pPr>
          </w:p>
        </w:tc>
        <w:tc>
          <w:tcPr>
            <w:tcW w:w="309" w:type="pct"/>
            <w:tcBorders>
              <w:top w:val="single" w:sz="4" w:space="0" w:color="auto"/>
              <w:left w:val="nil"/>
              <w:bottom w:val="single" w:sz="4" w:space="0" w:color="auto"/>
              <w:right w:val="single" w:sz="4" w:space="0" w:color="auto"/>
            </w:tcBorders>
            <w:vAlign w:val="center"/>
          </w:tcPr>
          <w:p w14:paraId="54886B51" w14:textId="77777777" w:rsidR="000D25A9" w:rsidRPr="00227BE0" w:rsidRDefault="000D25A9" w:rsidP="000D25A9">
            <w:pPr>
              <w:widowControl w:val="0"/>
              <w:suppressAutoHyphens/>
              <w:jc w:val="center"/>
              <w:rPr>
                <w:b/>
                <w:bCs/>
                <w:noProof/>
                <w:sz w:val="20"/>
                <w:szCs w:val="20"/>
              </w:rPr>
            </w:pPr>
          </w:p>
        </w:tc>
      </w:tr>
      <w:tr w:rsidR="000D25A9" w:rsidRPr="00227BE0" w14:paraId="3834F790" w14:textId="77777777" w:rsidTr="007B177C">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173AE731" w14:textId="77777777" w:rsidR="000D25A9" w:rsidRPr="00227BE0" w:rsidRDefault="000D25A9" w:rsidP="000D25A9">
            <w:pPr>
              <w:widowControl w:val="0"/>
              <w:suppressAutoHyphens/>
              <w:rPr>
                <w:noProof/>
                <w:sz w:val="20"/>
                <w:szCs w:val="20"/>
              </w:rPr>
            </w:pPr>
          </w:p>
        </w:tc>
        <w:tc>
          <w:tcPr>
            <w:tcW w:w="278" w:type="pct"/>
            <w:tcBorders>
              <w:top w:val="single" w:sz="4" w:space="0" w:color="auto"/>
              <w:left w:val="single" w:sz="4" w:space="0" w:color="auto"/>
              <w:bottom w:val="single" w:sz="4" w:space="0" w:color="auto"/>
              <w:right w:val="single" w:sz="4" w:space="0" w:color="auto"/>
            </w:tcBorders>
            <w:vAlign w:val="center"/>
            <w:hideMark/>
          </w:tcPr>
          <w:p w14:paraId="49C40723" w14:textId="77777777" w:rsidR="000D25A9" w:rsidRPr="00227BE0" w:rsidRDefault="000D25A9" w:rsidP="000D25A9">
            <w:pPr>
              <w:widowControl w:val="0"/>
              <w:suppressAutoHyphens/>
              <w:rPr>
                <w:noProof/>
                <w:sz w:val="20"/>
                <w:szCs w:val="20"/>
              </w:rPr>
            </w:pPr>
            <w:r w:rsidRPr="00227BE0">
              <w:rPr>
                <w:noProof/>
                <w:sz w:val="20"/>
                <w:szCs w:val="20"/>
              </w:rPr>
              <w:t>68.433</w:t>
            </w:r>
          </w:p>
        </w:tc>
        <w:tc>
          <w:tcPr>
            <w:tcW w:w="286" w:type="pct"/>
            <w:tcBorders>
              <w:top w:val="single" w:sz="4" w:space="0" w:color="auto"/>
              <w:left w:val="single" w:sz="4" w:space="0" w:color="auto"/>
              <w:bottom w:val="single" w:sz="4" w:space="0" w:color="auto"/>
              <w:right w:val="single" w:sz="4" w:space="0" w:color="auto"/>
            </w:tcBorders>
            <w:vAlign w:val="center"/>
          </w:tcPr>
          <w:p w14:paraId="0052965F" w14:textId="77777777" w:rsidR="000D25A9" w:rsidRPr="00227BE0" w:rsidRDefault="000D25A9" w:rsidP="000D25A9">
            <w:pPr>
              <w:widowControl w:val="0"/>
              <w:suppressAutoHyphens/>
              <w:jc w:val="center"/>
              <w:rPr>
                <w:b/>
                <w:noProof/>
                <w:sz w:val="20"/>
                <w:szCs w:val="20"/>
              </w:rPr>
            </w:pPr>
            <w:r w:rsidRPr="00227BE0">
              <w:rPr>
                <w:b/>
                <w:noProof/>
                <w:sz w:val="20"/>
                <w:szCs w:val="20"/>
              </w:rPr>
              <w:t>15</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7B5F6704" w14:textId="77777777" w:rsidR="000D25A9" w:rsidRPr="00227BE0" w:rsidRDefault="000D25A9" w:rsidP="000D25A9">
            <w:pPr>
              <w:widowControl w:val="0"/>
              <w:suppressAutoHyphens/>
              <w:jc w:val="center"/>
              <w:rPr>
                <w:b/>
                <w:noProof/>
                <w:sz w:val="20"/>
                <w:szCs w:val="20"/>
              </w:rPr>
            </w:pPr>
            <w:r w:rsidRPr="00227BE0">
              <w:rPr>
                <w:b/>
                <w:noProof/>
                <w:sz w:val="20"/>
                <w:szCs w:val="20"/>
              </w:rPr>
              <w:t>4.7</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C7B3" w14:textId="65B41031" w:rsidR="000D25A9" w:rsidRPr="00227BE0" w:rsidRDefault="00C23BAE" w:rsidP="000D25A9">
            <w:pPr>
              <w:widowControl w:val="0"/>
              <w:suppressAutoHyphens/>
              <w:jc w:val="center"/>
              <w:rPr>
                <w:b/>
                <w:noProof/>
                <w:sz w:val="20"/>
                <w:szCs w:val="20"/>
              </w:rPr>
            </w:pPr>
            <w:r>
              <w:rPr>
                <w:b/>
                <w:noProof/>
                <w:sz w:val="20"/>
                <w:szCs w:val="20"/>
              </w:rPr>
              <w:t>124.4</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1600009D" w14:textId="6455BD65" w:rsidR="000D25A9" w:rsidRPr="00227BE0" w:rsidRDefault="000D25A9" w:rsidP="000D25A9">
            <w:pPr>
              <w:widowControl w:val="0"/>
              <w:suppressAutoHyphens/>
              <w:jc w:val="center"/>
              <w:rPr>
                <w:b/>
                <w:noProof/>
                <w:sz w:val="20"/>
                <w:szCs w:val="20"/>
              </w:rPr>
            </w:pPr>
            <w:r w:rsidRPr="00227BE0">
              <w:rPr>
                <w:b/>
                <w:noProof/>
                <w:sz w:val="20"/>
                <w:szCs w:val="20"/>
              </w:rPr>
              <w:t>30</w:t>
            </w:r>
          </w:p>
        </w:tc>
        <w:tc>
          <w:tcPr>
            <w:tcW w:w="337" w:type="pct"/>
            <w:tcBorders>
              <w:top w:val="single" w:sz="4" w:space="0" w:color="auto"/>
              <w:left w:val="single" w:sz="4" w:space="0" w:color="auto"/>
              <w:bottom w:val="single" w:sz="4" w:space="0" w:color="auto"/>
              <w:right w:val="single" w:sz="4" w:space="0" w:color="auto"/>
            </w:tcBorders>
            <w:vAlign w:val="center"/>
          </w:tcPr>
          <w:p w14:paraId="19244827" w14:textId="77777777" w:rsidR="000D25A9" w:rsidRPr="00227BE0" w:rsidRDefault="000D25A9" w:rsidP="000D25A9">
            <w:pPr>
              <w:widowControl w:val="0"/>
              <w:suppressAutoHyphens/>
              <w:jc w:val="center"/>
              <w:rPr>
                <w:b/>
                <w:noProof/>
                <w:sz w:val="20"/>
                <w:szCs w:val="20"/>
              </w:rPr>
            </w:pPr>
            <w:r w:rsidRPr="00227BE0">
              <w:rPr>
                <w:b/>
                <w:noProof/>
                <w:sz w:val="20"/>
                <w:szCs w:val="20"/>
              </w:rPr>
              <w:t>16</w:t>
            </w:r>
          </w:p>
        </w:tc>
        <w:tc>
          <w:tcPr>
            <w:tcW w:w="405" w:type="pct"/>
            <w:tcBorders>
              <w:top w:val="single" w:sz="4" w:space="0" w:color="auto"/>
              <w:left w:val="single" w:sz="4" w:space="0" w:color="auto"/>
              <w:bottom w:val="single" w:sz="4" w:space="0" w:color="auto"/>
              <w:right w:val="single" w:sz="4" w:space="0" w:color="auto"/>
            </w:tcBorders>
            <w:vAlign w:val="center"/>
          </w:tcPr>
          <w:p w14:paraId="1FF0ADBA" w14:textId="77777777" w:rsidR="000D25A9" w:rsidRPr="00227BE0" w:rsidRDefault="000D25A9" w:rsidP="000D25A9">
            <w:pPr>
              <w:widowControl w:val="0"/>
              <w:suppressAutoHyphens/>
              <w:jc w:val="center"/>
              <w:rPr>
                <w:b/>
                <w:noProof/>
                <w:sz w:val="20"/>
                <w:szCs w:val="20"/>
              </w:rPr>
            </w:pPr>
            <w:r w:rsidRPr="00227BE0">
              <w:rPr>
                <w:b/>
                <w:noProof/>
                <w:sz w:val="20"/>
                <w:szCs w:val="20"/>
              </w:rPr>
              <w:t>11</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D24228" w14:textId="0EC46D05" w:rsidR="000D25A9" w:rsidRPr="00227BE0" w:rsidRDefault="00C23BAE" w:rsidP="000D25A9">
            <w:pPr>
              <w:widowControl w:val="0"/>
              <w:suppressAutoHyphens/>
              <w:jc w:val="center"/>
              <w:rPr>
                <w:noProof/>
                <w:sz w:val="20"/>
                <w:szCs w:val="20"/>
              </w:rPr>
            </w:pPr>
            <w:r w:rsidRPr="005C6E75">
              <w:rPr>
                <w:b/>
                <w:bCs/>
                <w:noProof/>
                <w:sz w:val="20"/>
                <w:szCs w:val="20"/>
              </w:rPr>
              <w:t>4.7</w:t>
            </w:r>
          </w:p>
        </w:tc>
        <w:tc>
          <w:tcPr>
            <w:tcW w:w="374" w:type="pct"/>
            <w:tcBorders>
              <w:top w:val="single" w:sz="4" w:space="0" w:color="auto"/>
              <w:left w:val="single" w:sz="4" w:space="0" w:color="auto"/>
              <w:bottom w:val="single" w:sz="4" w:space="0" w:color="auto"/>
              <w:right w:val="single" w:sz="4" w:space="0" w:color="auto"/>
            </w:tcBorders>
            <w:vAlign w:val="center"/>
          </w:tcPr>
          <w:p w14:paraId="6F457CD4" w14:textId="64FF7903" w:rsidR="000D25A9" w:rsidRPr="00227BE0" w:rsidRDefault="000D25A9" w:rsidP="000D25A9">
            <w:pPr>
              <w:widowControl w:val="0"/>
              <w:suppressAutoHyphens/>
              <w:jc w:val="center"/>
              <w:rPr>
                <w:noProof/>
                <w:sz w:val="20"/>
                <w:szCs w:val="20"/>
              </w:rPr>
            </w:pPr>
            <w:r w:rsidRPr="00227BE0">
              <w:rPr>
                <w:noProof/>
                <w:sz w:val="20"/>
                <w:szCs w:val="20"/>
              </w:rPr>
              <w:t>0.2</w:t>
            </w:r>
          </w:p>
        </w:tc>
        <w:tc>
          <w:tcPr>
            <w:tcW w:w="357" w:type="pct"/>
            <w:tcBorders>
              <w:top w:val="single" w:sz="4" w:space="0" w:color="auto"/>
              <w:left w:val="single" w:sz="4" w:space="0" w:color="auto"/>
              <w:bottom w:val="single" w:sz="4" w:space="0" w:color="auto"/>
              <w:right w:val="single" w:sz="4" w:space="0" w:color="auto"/>
            </w:tcBorders>
            <w:vAlign w:val="center"/>
          </w:tcPr>
          <w:p w14:paraId="57D2BD10" w14:textId="77777777" w:rsidR="000D25A9" w:rsidRPr="00227BE0" w:rsidRDefault="000D25A9" w:rsidP="000D25A9">
            <w:pPr>
              <w:suppressAutoHyphens/>
              <w:jc w:val="center"/>
              <w:rPr>
                <w:sz w:val="20"/>
                <w:szCs w:val="20"/>
                <w:lang w:eastAsia="en-US"/>
              </w:rPr>
            </w:pPr>
            <w:r w:rsidRPr="00227BE0">
              <w:rPr>
                <w:sz w:val="20"/>
                <w:szCs w:val="20"/>
                <w:lang w:eastAsia="en-US"/>
              </w:rPr>
              <w:t>0.9</w:t>
            </w:r>
          </w:p>
        </w:tc>
        <w:tc>
          <w:tcPr>
            <w:tcW w:w="406" w:type="pct"/>
            <w:tcBorders>
              <w:top w:val="single" w:sz="4" w:space="0" w:color="auto"/>
              <w:left w:val="single" w:sz="4" w:space="0" w:color="auto"/>
              <w:bottom w:val="single" w:sz="4" w:space="0" w:color="auto"/>
              <w:right w:val="single" w:sz="4" w:space="0" w:color="auto"/>
            </w:tcBorders>
            <w:vAlign w:val="center"/>
          </w:tcPr>
          <w:p w14:paraId="4AABE5F4" w14:textId="77777777" w:rsidR="000D25A9" w:rsidRPr="00227BE0" w:rsidRDefault="000D25A9" w:rsidP="000D25A9">
            <w:pPr>
              <w:suppressAutoHyphens/>
              <w:jc w:val="center"/>
              <w:rPr>
                <w:b/>
                <w:sz w:val="20"/>
                <w:szCs w:val="20"/>
                <w:lang w:eastAsia="en-US"/>
              </w:rPr>
            </w:pPr>
            <w:r w:rsidRPr="00227BE0">
              <w:rPr>
                <w:b/>
                <w:sz w:val="20"/>
                <w:szCs w:val="20"/>
                <w:lang w:eastAsia="en-US"/>
              </w:rPr>
              <w:t>21</w:t>
            </w:r>
          </w:p>
        </w:tc>
        <w:tc>
          <w:tcPr>
            <w:tcW w:w="401" w:type="pct"/>
            <w:gridSpan w:val="3"/>
            <w:tcBorders>
              <w:top w:val="single" w:sz="4" w:space="0" w:color="auto"/>
              <w:left w:val="single" w:sz="4" w:space="0" w:color="auto"/>
              <w:bottom w:val="single" w:sz="4" w:space="0" w:color="auto"/>
              <w:right w:val="single" w:sz="4" w:space="0" w:color="auto"/>
            </w:tcBorders>
            <w:vAlign w:val="center"/>
            <w:hideMark/>
          </w:tcPr>
          <w:p w14:paraId="3FA1A4FF" w14:textId="77777777" w:rsidR="000D25A9" w:rsidRPr="00227BE0" w:rsidRDefault="000D25A9" w:rsidP="000D25A9">
            <w:pPr>
              <w:suppressAutoHyphens/>
              <w:rPr>
                <w:sz w:val="20"/>
                <w:szCs w:val="20"/>
                <w:lang w:eastAsia="en-US"/>
              </w:rPr>
            </w:pPr>
            <w:r w:rsidRPr="00227BE0">
              <w:rPr>
                <w:sz w:val="20"/>
                <w:szCs w:val="20"/>
                <w:lang w:eastAsia="en-US"/>
              </w:rPr>
              <w:t>263.653</w:t>
            </w:r>
          </w:p>
        </w:tc>
        <w:tc>
          <w:tcPr>
            <w:tcW w:w="345" w:type="pct"/>
            <w:gridSpan w:val="2"/>
            <w:tcBorders>
              <w:top w:val="single" w:sz="4" w:space="0" w:color="auto"/>
              <w:left w:val="single" w:sz="4" w:space="0" w:color="auto"/>
              <w:bottom w:val="single" w:sz="4" w:space="0" w:color="auto"/>
              <w:right w:val="single" w:sz="4" w:space="0" w:color="auto"/>
            </w:tcBorders>
            <w:vAlign w:val="center"/>
          </w:tcPr>
          <w:p w14:paraId="37439EEF" w14:textId="77777777" w:rsidR="000D25A9" w:rsidRPr="00227BE0" w:rsidRDefault="000D25A9" w:rsidP="000D25A9">
            <w:pPr>
              <w:widowControl w:val="0"/>
              <w:suppressAutoHyphens/>
              <w:jc w:val="center"/>
              <w:rPr>
                <w:noProof/>
                <w:sz w:val="20"/>
                <w:szCs w:val="20"/>
              </w:rPr>
            </w:pPr>
            <w:r w:rsidRPr="00227BE0">
              <w:rPr>
                <w:noProof/>
                <w:sz w:val="20"/>
                <w:szCs w:val="20"/>
              </w:rPr>
              <w:t>0.1</w:t>
            </w:r>
          </w:p>
        </w:tc>
      </w:tr>
      <w:tr w:rsidR="000D25A9" w:rsidRPr="00227BE0" w14:paraId="0D02F912" w14:textId="77777777" w:rsidTr="000D25A9">
        <w:trPr>
          <w:cantSplit/>
        </w:trPr>
        <w:tc>
          <w:tcPr>
            <w:tcW w:w="463" w:type="pct"/>
            <w:tcBorders>
              <w:top w:val="single" w:sz="4" w:space="0" w:color="auto"/>
              <w:left w:val="single" w:sz="4" w:space="0" w:color="auto"/>
              <w:bottom w:val="single" w:sz="4" w:space="0" w:color="auto"/>
              <w:right w:val="nil"/>
            </w:tcBorders>
            <w:vAlign w:val="center"/>
          </w:tcPr>
          <w:p w14:paraId="630A26C1" w14:textId="77777777" w:rsidR="000D25A9" w:rsidRPr="00227BE0" w:rsidRDefault="000D25A9" w:rsidP="000D25A9">
            <w:pPr>
              <w:widowControl w:val="0"/>
              <w:suppressAutoHyphens/>
              <w:rPr>
                <w:b/>
                <w:sz w:val="20"/>
                <w:szCs w:val="20"/>
                <w:lang w:val="en-GB"/>
              </w:rPr>
            </w:pPr>
            <w:r w:rsidRPr="00227BE0">
              <w:rPr>
                <w:b/>
                <w:sz w:val="20"/>
                <w:szCs w:val="20"/>
                <w:lang w:val="en-GB"/>
              </w:rPr>
              <w:t>Step 2</w:t>
            </w:r>
          </w:p>
        </w:tc>
        <w:tc>
          <w:tcPr>
            <w:tcW w:w="278" w:type="pct"/>
            <w:tcBorders>
              <w:top w:val="single" w:sz="4" w:space="0" w:color="auto"/>
              <w:left w:val="nil"/>
              <w:bottom w:val="single" w:sz="4" w:space="0" w:color="auto"/>
              <w:right w:val="nil"/>
            </w:tcBorders>
            <w:vAlign w:val="center"/>
          </w:tcPr>
          <w:p w14:paraId="177D92FB" w14:textId="77777777" w:rsidR="000D25A9" w:rsidRPr="00227BE0" w:rsidRDefault="000D25A9" w:rsidP="000D25A9">
            <w:pPr>
              <w:widowControl w:val="0"/>
              <w:suppressAutoHyphens/>
              <w:rPr>
                <w:b/>
                <w:bCs/>
                <w:sz w:val="20"/>
                <w:szCs w:val="20"/>
              </w:rPr>
            </w:pPr>
          </w:p>
        </w:tc>
        <w:tc>
          <w:tcPr>
            <w:tcW w:w="408" w:type="pct"/>
            <w:gridSpan w:val="2"/>
            <w:tcBorders>
              <w:top w:val="single" w:sz="4" w:space="0" w:color="auto"/>
              <w:left w:val="nil"/>
              <w:bottom w:val="single" w:sz="4" w:space="0" w:color="auto"/>
              <w:right w:val="nil"/>
            </w:tcBorders>
          </w:tcPr>
          <w:p w14:paraId="477C6AFE" w14:textId="77777777" w:rsidR="000D25A9" w:rsidRPr="00227BE0" w:rsidRDefault="000D25A9" w:rsidP="000D25A9">
            <w:pPr>
              <w:keepNext/>
              <w:keepLines/>
              <w:widowControl w:val="0"/>
              <w:suppressAutoHyphens/>
              <w:jc w:val="center"/>
              <w:rPr>
                <w:b/>
                <w:bCs/>
                <w:noProof/>
                <w:sz w:val="20"/>
                <w:szCs w:val="20"/>
              </w:rPr>
            </w:pPr>
          </w:p>
        </w:tc>
        <w:tc>
          <w:tcPr>
            <w:tcW w:w="329" w:type="pct"/>
            <w:gridSpan w:val="2"/>
            <w:tcBorders>
              <w:top w:val="single" w:sz="4" w:space="0" w:color="auto"/>
              <w:left w:val="nil"/>
              <w:bottom w:val="single" w:sz="4" w:space="0" w:color="auto"/>
              <w:right w:val="nil"/>
            </w:tcBorders>
          </w:tcPr>
          <w:p w14:paraId="3873CAFE" w14:textId="77777777" w:rsidR="000D25A9" w:rsidRPr="00227BE0" w:rsidRDefault="000D25A9" w:rsidP="000D25A9">
            <w:pPr>
              <w:keepNext/>
              <w:keepLines/>
              <w:widowControl w:val="0"/>
              <w:suppressAutoHyphens/>
              <w:rPr>
                <w:b/>
                <w:bCs/>
                <w:noProof/>
                <w:sz w:val="20"/>
                <w:szCs w:val="20"/>
              </w:rPr>
            </w:pPr>
          </w:p>
        </w:tc>
        <w:tc>
          <w:tcPr>
            <w:tcW w:w="371" w:type="pct"/>
            <w:gridSpan w:val="2"/>
            <w:tcBorders>
              <w:top w:val="single" w:sz="4" w:space="0" w:color="auto"/>
              <w:left w:val="nil"/>
              <w:bottom w:val="single" w:sz="4" w:space="0" w:color="auto"/>
              <w:right w:val="nil"/>
            </w:tcBorders>
          </w:tcPr>
          <w:p w14:paraId="64256A1C" w14:textId="77777777" w:rsidR="000D25A9" w:rsidRPr="00227BE0" w:rsidRDefault="000D25A9" w:rsidP="000D25A9">
            <w:pPr>
              <w:keepNext/>
              <w:keepLines/>
              <w:widowControl w:val="0"/>
              <w:suppressAutoHyphens/>
              <w:rPr>
                <w:b/>
                <w:bCs/>
                <w:noProof/>
                <w:sz w:val="20"/>
                <w:szCs w:val="20"/>
              </w:rPr>
            </w:pPr>
          </w:p>
        </w:tc>
        <w:tc>
          <w:tcPr>
            <w:tcW w:w="2758" w:type="pct"/>
            <w:gridSpan w:val="8"/>
            <w:tcBorders>
              <w:top w:val="single" w:sz="4" w:space="0" w:color="auto"/>
              <w:left w:val="nil"/>
              <w:bottom w:val="single" w:sz="4" w:space="0" w:color="auto"/>
              <w:right w:val="nil"/>
            </w:tcBorders>
            <w:vAlign w:val="center"/>
          </w:tcPr>
          <w:p w14:paraId="0B217AE0" w14:textId="39D965DC" w:rsidR="000D25A9" w:rsidRPr="00227BE0" w:rsidRDefault="000D25A9" w:rsidP="000D25A9">
            <w:pPr>
              <w:keepNext/>
              <w:keepLines/>
              <w:widowControl w:val="0"/>
              <w:suppressAutoHyphens/>
              <w:rPr>
                <w:b/>
                <w:bCs/>
                <w:noProof/>
                <w:sz w:val="20"/>
                <w:szCs w:val="20"/>
              </w:rPr>
            </w:pPr>
          </w:p>
        </w:tc>
        <w:tc>
          <w:tcPr>
            <w:tcW w:w="42" w:type="pct"/>
            <w:tcBorders>
              <w:top w:val="single" w:sz="4" w:space="0" w:color="auto"/>
              <w:left w:val="nil"/>
              <w:bottom w:val="single" w:sz="4" w:space="0" w:color="auto"/>
              <w:right w:val="nil"/>
            </w:tcBorders>
          </w:tcPr>
          <w:p w14:paraId="1E73ACBB" w14:textId="77777777" w:rsidR="000D25A9" w:rsidRPr="00227BE0" w:rsidRDefault="000D25A9" w:rsidP="000D25A9">
            <w:pPr>
              <w:widowControl w:val="0"/>
              <w:suppressAutoHyphens/>
              <w:rPr>
                <w:b/>
                <w:bCs/>
                <w:sz w:val="20"/>
                <w:szCs w:val="20"/>
              </w:rPr>
            </w:pPr>
          </w:p>
        </w:tc>
        <w:tc>
          <w:tcPr>
            <w:tcW w:w="43" w:type="pct"/>
            <w:gridSpan w:val="2"/>
            <w:tcBorders>
              <w:top w:val="single" w:sz="4" w:space="0" w:color="auto"/>
              <w:left w:val="nil"/>
              <w:bottom w:val="single" w:sz="4" w:space="0" w:color="auto"/>
              <w:right w:val="nil"/>
            </w:tcBorders>
            <w:vAlign w:val="center"/>
          </w:tcPr>
          <w:p w14:paraId="56B6551A" w14:textId="77777777" w:rsidR="000D25A9" w:rsidRPr="00227BE0" w:rsidRDefault="000D25A9" w:rsidP="000D25A9">
            <w:pPr>
              <w:widowControl w:val="0"/>
              <w:suppressAutoHyphens/>
              <w:rPr>
                <w:b/>
                <w:bCs/>
                <w:sz w:val="20"/>
                <w:szCs w:val="20"/>
              </w:rPr>
            </w:pPr>
          </w:p>
        </w:tc>
        <w:tc>
          <w:tcPr>
            <w:tcW w:w="309" w:type="pct"/>
            <w:tcBorders>
              <w:top w:val="single" w:sz="4" w:space="0" w:color="auto"/>
              <w:left w:val="nil"/>
              <w:bottom w:val="single" w:sz="4" w:space="0" w:color="auto"/>
              <w:right w:val="single" w:sz="4" w:space="0" w:color="auto"/>
            </w:tcBorders>
            <w:vAlign w:val="center"/>
          </w:tcPr>
          <w:p w14:paraId="2BEBB81D" w14:textId="77777777" w:rsidR="000D25A9" w:rsidRPr="00227BE0" w:rsidRDefault="000D25A9" w:rsidP="000D25A9">
            <w:pPr>
              <w:widowControl w:val="0"/>
              <w:suppressAutoHyphens/>
              <w:jc w:val="center"/>
              <w:rPr>
                <w:b/>
                <w:bCs/>
                <w:noProof/>
                <w:sz w:val="20"/>
                <w:szCs w:val="20"/>
              </w:rPr>
            </w:pPr>
          </w:p>
        </w:tc>
      </w:tr>
      <w:tr w:rsidR="00C23BAE" w:rsidRPr="00227BE0" w14:paraId="3C3247FA" w14:textId="77777777" w:rsidTr="007B177C">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4619D46C" w14:textId="77777777" w:rsidR="00C23BAE" w:rsidRPr="00227BE0" w:rsidRDefault="00C23BAE" w:rsidP="00C23BAE">
            <w:pPr>
              <w:widowControl w:val="0"/>
              <w:suppressAutoHyphens/>
              <w:rPr>
                <w:noProof/>
                <w:sz w:val="20"/>
                <w:szCs w:val="20"/>
                <w:vertAlign w:val="superscript"/>
              </w:rPr>
            </w:pPr>
            <w:r w:rsidRPr="00227BE0">
              <w:rPr>
                <w:sz w:val="20"/>
                <w:szCs w:val="20"/>
              </w:rPr>
              <w:t>N-Europe</w:t>
            </w:r>
          </w:p>
        </w:tc>
        <w:tc>
          <w:tcPr>
            <w:tcW w:w="278" w:type="pct"/>
            <w:tcBorders>
              <w:top w:val="single" w:sz="4" w:space="0" w:color="auto"/>
              <w:left w:val="single" w:sz="4" w:space="0" w:color="auto"/>
              <w:bottom w:val="single" w:sz="4" w:space="0" w:color="auto"/>
              <w:right w:val="single" w:sz="4" w:space="0" w:color="auto"/>
            </w:tcBorders>
            <w:vAlign w:val="center"/>
          </w:tcPr>
          <w:p w14:paraId="67F70581" w14:textId="77777777" w:rsidR="00C23BAE" w:rsidRPr="00227BE0" w:rsidRDefault="00C23BAE" w:rsidP="00C23BAE">
            <w:pPr>
              <w:widowControl w:val="0"/>
              <w:suppressAutoHyphens/>
              <w:rPr>
                <w:noProof/>
                <w:sz w:val="20"/>
                <w:szCs w:val="20"/>
              </w:rPr>
            </w:pPr>
            <w:r w:rsidRPr="00227BE0">
              <w:rPr>
                <w:noProof/>
                <w:sz w:val="20"/>
                <w:szCs w:val="20"/>
              </w:rPr>
              <w:t>11.290</w:t>
            </w:r>
          </w:p>
        </w:tc>
        <w:tc>
          <w:tcPr>
            <w:tcW w:w="286" w:type="pct"/>
            <w:tcBorders>
              <w:top w:val="single" w:sz="4" w:space="0" w:color="auto"/>
              <w:left w:val="single" w:sz="4" w:space="0" w:color="auto"/>
              <w:bottom w:val="single" w:sz="4" w:space="0" w:color="auto"/>
              <w:right w:val="single" w:sz="4" w:space="0" w:color="auto"/>
            </w:tcBorders>
            <w:vAlign w:val="center"/>
          </w:tcPr>
          <w:p w14:paraId="0A9B10A4" w14:textId="77777777" w:rsidR="00C23BAE" w:rsidRPr="00227BE0" w:rsidRDefault="00C23BAE" w:rsidP="00C23BAE">
            <w:pPr>
              <w:widowControl w:val="0"/>
              <w:suppressAutoHyphens/>
              <w:jc w:val="center"/>
              <w:rPr>
                <w:b/>
                <w:noProof/>
                <w:sz w:val="20"/>
                <w:szCs w:val="20"/>
              </w:rPr>
            </w:pPr>
            <w:r w:rsidRPr="00227BE0">
              <w:rPr>
                <w:b/>
                <w:noProof/>
                <w:sz w:val="20"/>
                <w:szCs w:val="20"/>
              </w:rPr>
              <w:t>2.4</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79DA10D5" w14:textId="77777777" w:rsidR="00C23BAE" w:rsidRPr="00227BE0" w:rsidRDefault="00C23BAE" w:rsidP="00C23BAE">
            <w:pPr>
              <w:widowControl w:val="0"/>
              <w:suppressAutoHyphens/>
              <w:jc w:val="center"/>
              <w:rPr>
                <w:b/>
                <w:noProof/>
                <w:sz w:val="20"/>
                <w:szCs w:val="20"/>
              </w:rPr>
            </w:pPr>
            <w:r w:rsidRPr="00227BE0">
              <w:rPr>
                <w:noProof/>
                <w:sz w:val="20"/>
                <w:szCs w:val="20"/>
              </w:rPr>
              <w:t>0.8</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8DF2C5" w14:textId="3AE4BB4E" w:rsidR="00C23BAE" w:rsidRPr="00227BE0" w:rsidRDefault="00C23BAE" w:rsidP="00C23BAE">
            <w:pPr>
              <w:widowControl w:val="0"/>
              <w:suppressAutoHyphens/>
              <w:jc w:val="center"/>
              <w:rPr>
                <w:b/>
                <w:noProof/>
                <w:sz w:val="20"/>
                <w:szCs w:val="20"/>
              </w:rPr>
            </w:pPr>
            <w:r>
              <w:rPr>
                <w:b/>
                <w:noProof/>
                <w:color w:val="000000"/>
                <w:sz w:val="20"/>
                <w:szCs w:val="20"/>
              </w:rPr>
              <w:t>20.5</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3DC4B07E" w14:textId="1C79BE80" w:rsidR="00C23BAE" w:rsidRPr="00227BE0" w:rsidRDefault="00C23BAE" w:rsidP="00C23BAE">
            <w:pPr>
              <w:widowControl w:val="0"/>
              <w:suppressAutoHyphens/>
              <w:jc w:val="center"/>
              <w:rPr>
                <w:b/>
                <w:noProof/>
                <w:sz w:val="20"/>
                <w:szCs w:val="20"/>
              </w:rPr>
            </w:pPr>
            <w:r w:rsidRPr="00227BE0">
              <w:rPr>
                <w:b/>
                <w:noProof/>
                <w:sz w:val="20"/>
                <w:szCs w:val="20"/>
              </w:rPr>
              <w:t>4.9</w:t>
            </w:r>
          </w:p>
        </w:tc>
        <w:tc>
          <w:tcPr>
            <w:tcW w:w="337" w:type="pct"/>
            <w:tcBorders>
              <w:top w:val="single" w:sz="4" w:space="0" w:color="auto"/>
              <w:left w:val="single" w:sz="4" w:space="0" w:color="auto"/>
              <w:bottom w:val="single" w:sz="4" w:space="0" w:color="auto"/>
              <w:right w:val="single" w:sz="4" w:space="0" w:color="auto"/>
            </w:tcBorders>
            <w:vAlign w:val="center"/>
          </w:tcPr>
          <w:p w14:paraId="3DB3A804" w14:textId="77777777" w:rsidR="00C23BAE" w:rsidRPr="00227BE0" w:rsidRDefault="00C23BAE" w:rsidP="00C23BAE">
            <w:pPr>
              <w:widowControl w:val="0"/>
              <w:suppressAutoHyphens/>
              <w:jc w:val="center"/>
              <w:rPr>
                <w:b/>
                <w:noProof/>
                <w:sz w:val="20"/>
                <w:szCs w:val="20"/>
              </w:rPr>
            </w:pPr>
            <w:r w:rsidRPr="00227BE0">
              <w:rPr>
                <w:b/>
                <w:noProof/>
                <w:sz w:val="20"/>
                <w:szCs w:val="20"/>
              </w:rPr>
              <w:t>2.6</w:t>
            </w:r>
          </w:p>
        </w:tc>
        <w:tc>
          <w:tcPr>
            <w:tcW w:w="405" w:type="pct"/>
            <w:tcBorders>
              <w:top w:val="single" w:sz="4" w:space="0" w:color="auto"/>
              <w:left w:val="single" w:sz="4" w:space="0" w:color="auto"/>
              <w:bottom w:val="single" w:sz="4" w:space="0" w:color="auto"/>
              <w:right w:val="single" w:sz="4" w:space="0" w:color="auto"/>
            </w:tcBorders>
            <w:vAlign w:val="center"/>
          </w:tcPr>
          <w:p w14:paraId="30417DEA" w14:textId="77777777" w:rsidR="00C23BAE" w:rsidRPr="00227BE0" w:rsidRDefault="00C23BAE" w:rsidP="00C23BAE">
            <w:pPr>
              <w:widowControl w:val="0"/>
              <w:suppressAutoHyphens/>
              <w:jc w:val="center"/>
              <w:rPr>
                <w:b/>
                <w:noProof/>
                <w:sz w:val="20"/>
                <w:szCs w:val="20"/>
              </w:rPr>
            </w:pPr>
            <w:r w:rsidRPr="00227BE0">
              <w:rPr>
                <w:b/>
                <w:noProof/>
                <w:sz w:val="20"/>
                <w:szCs w:val="20"/>
              </w:rPr>
              <w:t>1.8</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BBBC7F" w14:textId="4AD81A55" w:rsidR="00C23BAE" w:rsidRPr="004D25C4" w:rsidRDefault="00C23BAE" w:rsidP="00C23BAE">
            <w:pPr>
              <w:widowControl w:val="0"/>
              <w:suppressAutoHyphens/>
              <w:jc w:val="center"/>
              <w:rPr>
                <w:noProof/>
                <w:sz w:val="20"/>
                <w:szCs w:val="20"/>
              </w:rPr>
            </w:pPr>
            <w:r w:rsidRPr="004D25C4">
              <w:rPr>
                <w:noProof/>
                <w:sz w:val="20"/>
                <w:szCs w:val="20"/>
              </w:rPr>
              <w:t>0.8</w:t>
            </w:r>
          </w:p>
        </w:tc>
        <w:tc>
          <w:tcPr>
            <w:tcW w:w="374" w:type="pct"/>
            <w:tcBorders>
              <w:top w:val="single" w:sz="4" w:space="0" w:color="auto"/>
              <w:left w:val="single" w:sz="4" w:space="0" w:color="auto"/>
              <w:bottom w:val="single" w:sz="4" w:space="0" w:color="auto"/>
              <w:right w:val="single" w:sz="4" w:space="0" w:color="auto"/>
            </w:tcBorders>
          </w:tcPr>
          <w:p w14:paraId="5B885964" w14:textId="46B70EB3" w:rsidR="00C23BAE" w:rsidRPr="00227BE0" w:rsidRDefault="00C23BAE" w:rsidP="00C23BAE">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18DA33F0" w14:textId="77777777" w:rsidR="00C23BAE" w:rsidRPr="00227BE0" w:rsidRDefault="00C23BAE" w:rsidP="00C23BAE">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0607332A" w14:textId="77777777" w:rsidR="00C23BAE" w:rsidRPr="00227BE0" w:rsidRDefault="00C23BAE" w:rsidP="00C23BAE">
            <w:pPr>
              <w:suppressAutoHyphens/>
              <w:jc w:val="center"/>
              <w:rPr>
                <w:b/>
                <w:sz w:val="20"/>
                <w:szCs w:val="20"/>
              </w:rPr>
            </w:pPr>
            <w:r w:rsidRPr="00227BE0">
              <w:rPr>
                <w:b/>
                <w:noProof/>
                <w:sz w:val="20"/>
                <w:szCs w:val="20"/>
              </w:rPr>
              <w:t>3.4</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5D4295D7" w14:textId="77777777" w:rsidR="00C23BAE" w:rsidRPr="00227BE0" w:rsidRDefault="00C23BAE" w:rsidP="00C23BAE">
            <w:pPr>
              <w:suppressAutoHyphens/>
              <w:rPr>
                <w:sz w:val="20"/>
                <w:szCs w:val="20"/>
              </w:rPr>
            </w:pPr>
            <w:r w:rsidRPr="00227BE0">
              <w:rPr>
                <w:sz w:val="20"/>
                <w:szCs w:val="20"/>
              </w:rPr>
              <w:t>43.330</w:t>
            </w:r>
          </w:p>
        </w:tc>
        <w:tc>
          <w:tcPr>
            <w:tcW w:w="345" w:type="pct"/>
            <w:gridSpan w:val="2"/>
            <w:tcBorders>
              <w:top w:val="single" w:sz="4" w:space="0" w:color="auto"/>
              <w:left w:val="single" w:sz="4" w:space="0" w:color="auto"/>
              <w:bottom w:val="single" w:sz="4" w:space="0" w:color="auto"/>
              <w:right w:val="single" w:sz="4" w:space="0" w:color="auto"/>
            </w:tcBorders>
            <w:vAlign w:val="center"/>
          </w:tcPr>
          <w:p w14:paraId="5E7B532A" w14:textId="77777777" w:rsidR="00C23BAE" w:rsidRPr="00227BE0" w:rsidRDefault="00C23BAE" w:rsidP="00C23BAE">
            <w:pPr>
              <w:widowControl w:val="0"/>
              <w:suppressAutoHyphens/>
              <w:jc w:val="center"/>
              <w:rPr>
                <w:noProof/>
                <w:sz w:val="20"/>
                <w:szCs w:val="20"/>
              </w:rPr>
            </w:pPr>
            <w:r w:rsidRPr="00227BE0">
              <w:rPr>
                <w:noProof/>
                <w:sz w:val="20"/>
                <w:szCs w:val="20"/>
              </w:rPr>
              <w:t>--</w:t>
            </w:r>
          </w:p>
        </w:tc>
      </w:tr>
      <w:tr w:rsidR="00C23BAE" w:rsidRPr="00227BE0" w14:paraId="22351018" w14:textId="77777777" w:rsidTr="007B177C">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700013DD" w14:textId="77777777" w:rsidR="00C23BAE" w:rsidRPr="00227BE0" w:rsidRDefault="00C23BAE" w:rsidP="00C23BAE">
            <w:pPr>
              <w:widowControl w:val="0"/>
              <w:suppressAutoHyphens/>
              <w:rPr>
                <w:noProof/>
                <w:sz w:val="20"/>
                <w:szCs w:val="20"/>
                <w:vertAlign w:val="superscript"/>
              </w:rPr>
            </w:pPr>
            <w:r w:rsidRPr="00227BE0">
              <w:rPr>
                <w:sz w:val="20"/>
                <w:szCs w:val="20"/>
              </w:rPr>
              <w:t>S-Europe</w:t>
            </w:r>
          </w:p>
        </w:tc>
        <w:tc>
          <w:tcPr>
            <w:tcW w:w="278" w:type="pct"/>
            <w:tcBorders>
              <w:top w:val="single" w:sz="4" w:space="0" w:color="auto"/>
              <w:left w:val="single" w:sz="4" w:space="0" w:color="auto"/>
              <w:bottom w:val="single" w:sz="4" w:space="0" w:color="auto"/>
              <w:right w:val="single" w:sz="4" w:space="0" w:color="auto"/>
            </w:tcBorders>
            <w:vAlign w:val="center"/>
          </w:tcPr>
          <w:p w14:paraId="4E070184" w14:textId="77777777" w:rsidR="00C23BAE" w:rsidRPr="00227BE0" w:rsidRDefault="00C23BAE" w:rsidP="00C23BAE">
            <w:pPr>
              <w:widowControl w:val="0"/>
              <w:suppressAutoHyphens/>
              <w:rPr>
                <w:noProof/>
                <w:sz w:val="20"/>
                <w:szCs w:val="20"/>
              </w:rPr>
            </w:pPr>
            <w:r w:rsidRPr="00227BE0">
              <w:rPr>
                <w:noProof/>
                <w:sz w:val="20"/>
                <w:szCs w:val="20"/>
              </w:rPr>
              <w:t>20.838</w:t>
            </w:r>
          </w:p>
        </w:tc>
        <w:tc>
          <w:tcPr>
            <w:tcW w:w="286" w:type="pct"/>
            <w:tcBorders>
              <w:top w:val="single" w:sz="4" w:space="0" w:color="auto"/>
              <w:left w:val="single" w:sz="4" w:space="0" w:color="auto"/>
              <w:bottom w:val="single" w:sz="4" w:space="0" w:color="auto"/>
              <w:right w:val="single" w:sz="4" w:space="0" w:color="auto"/>
            </w:tcBorders>
            <w:vAlign w:val="center"/>
          </w:tcPr>
          <w:p w14:paraId="7DD20515" w14:textId="77777777" w:rsidR="00C23BAE" w:rsidRPr="00227BE0" w:rsidRDefault="00C23BAE" w:rsidP="00C23BAE">
            <w:pPr>
              <w:widowControl w:val="0"/>
              <w:suppressAutoHyphens/>
              <w:jc w:val="center"/>
              <w:rPr>
                <w:b/>
                <w:noProof/>
                <w:sz w:val="20"/>
                <w:szCs w:val="20"/>
              </w:rPr>
            </w:pPr>
            <w:r w:rsidRPr="00227BE0">
              <w:rPr>
                <w:b/>
                <w:sz w:val="20"/>
                <w:szCs w:val="20"/>
              </w:rPr>
              <w:t>4.4</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7D19F88D" w14:textId="77777777" w:rsidR="00C23BAE" w:rsidRPr="00227BE0" w:rsidRDefault="00C23BAE" w:rsidP="00C23BAE">
            <w:pPr>
              <w:widowControl w:val="0"/>
              <w:suppressAutoHyphens/>
              <w:jc w:val="center"/>
              <w:rPr>
                <w:b/>
                <w:noProof/>
                <w:sz w:val="20"/>
                <w:szCs w:val="20"/>
              </w:rPr>
            </w:pPr>
            <w:r w:rsidRPr="00227BE0">
              <w:rPr>
                <w:b/>
                <w:sz w:val="20"/>
                <w:szCs w:val="20"/>
              </w:rPr>
              <w:t>1.4</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D6CEF" w14:textId="73F27CB2" w:rsidR="00C23BAE" w:rsidRPr="00227BE0" w:rsidRDefault="00C23BAE" w:rsidP="00C23BAE">
            <w:pPr>
              <w:widowControl w:val="0"/>
              <w:suppressAutoHyphens/>
              <w:jc w:val="center"/>
              <w:rPr>
                <w:b/>
                <w:sz w:val="20"/>
                <w:szCs w:val="20"/>
              </w:rPr>
            </w:pPr>
            <w:r>
              <w:rPr>
                <w:b/>
                <w:color w:val="000000"/>
                <w:sz w:val="20"/>
                <w:szCs w:val="20"/>
              </w:rPr>
              <w:t>37.9</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68613839" w14:textId="152930AF" w:rsidR="00C23BAE" w:rsidRPr="00227BE0" w:rsidRDefault="00C23BAE" w:rsidP="00C23BAE">
            <w:pPr>
              <w:widowControl w:val="0"/>
              <w:suppressAutoHyphens/>
              <w:jc w:val="center"/>
              <w:rPr>
                <w:b/>
                <w:noProof/>
                <w:sz w:val="20"/>
                <w:szCs w:val="20"/>
              </w:rPr>
            </w:pPr>
            <w:r w:rsidRPr="00227BE0">
              <w:rPr>
                <w:b/>
                <w:sz w:val="20"/>
                <w:szCs w:val="20"/>
              </w:rPr>
              <w:t>9.1</w:t>
            </w:r>
          </w:p>
        </w:tc>
        <w:tc>
          <w:tcPr>
            <w:tcW w:w="337" w:type="pct"/>
            <w:tcBorders>
              <w:top w:val="single" w:sz="4" w:space="0" w:color="auto"/>
              <w:left w:val="single" w:sz="4" w:space="0" w:color="auto"/>
              <w:bottom w:val="single" w:sz="4" w:space="0" w:color="auto"/>
              <w:right w:val="single" w:sz="4" w:space="0" w:color="auto"/>
            </w:tcBorders>
            <w:vAlign w:val="center"/>
          </w:tcPr>
          <w:p w14:paraId="74B6DE69" w14:textId="77777777" w:rsidR="00C23BAE" w:rsidRPr="00227BE0" w:rsidRDefault="00C23BAE" w:rsidP="00C23BAE">
            <w:pPr>
              <w:widowControl w:val="0"/>
              <w:suppressAutoHyphens/>
              <w:jc w:val="center"/>
              <w:rPr>
                <w:b/>
                <w:noProof/>
                <w:sz w:val="20"/>
                <w:szCs w:val="20"/>
              </w:rPr>
            </w:pPr>
            <w:r w:rsidRPr="00227BE0">
              <w:rPr>
                <w:b/>
                <w:sz w:val="20"/>
                <w:szCs w:val="20"/>
              </w:rPr>
              <w:t>4.7</w:t>
            </w:r>
          </w:p>
        </w:tc>
        <w:tc>
          <w:tcPr>
            <w:tcW w:w="405" w:type="pct"/>
            <w:tcBorders>
              <w:top w:val="single" w:sz="4" w:space="0" w:color="auto"/>
              <w:left w:val="single" w:sz="4" w:space="0" w:color="auto"/>
              <w:bottom w:val="single" w:sz="4" w:space="0" w:color="auto"/>
              <w:right w:val="single" w:sz="4" w:space="0" w:color="auto"/>
            </w:tcBorders>
            <w:vAlign w:val="center"/>
          </w:tcPr>
          <w:p w14:paraId="267F5E14" w14:textId="77777777" w:rsidR="00C23BAE" w:rsidRPr="00227BE0" w:rsidRDefault="00C23BAE" w:rsidP="00C23BAE">
            <w:pPr>
              <w:widowControl w:val="0"/>
              <w:suppressAutoHyphens/>
              <w:jc w:val="center"/>
              <w:rPr>
                <w:b/>
                <w:noProof/>
                <w:sz w:val="20"/>
                <w:szCs w:val="20"/>
              </w:rPr>
            </w:pPr>
            <w:r w:rsidRPr="00227BE0">
              <w:rPr>
                <w:b/>
                <w:sz w:val="20"/>
                <w:szCs w:val="20"/>
              </w:rPr>
              <w:t>3.3</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3734DA" w14:textId="5F7706EB" w:rsidR="00C23BAE" w:rsidRPr="00227BE0" w:rsidRDefault="00C23BAE" w:rsidP="00C23BAE">
            <w:pPr>
              <w:widowControl w:val="0"/>
              <w:suppressAutoHyphens/>
              <w:jc w:val="center"/>
              <w:rPr>
                <w:noProof/>
                <w:sz w:val="20"/>
                <w:szCs w:val="20"/>
              </w:rPr>
            </w:pPr>
            <w:r w:rsidRPr="00BA0883">
              <w:rPr>
                <w:b/>
                <w:bCs/>
                <w:noProof/>
                <w:sz w:val="20"/>
                <w:szCs w:val="20"/>
              </w:rPr>
              <w:t>1.4</w:t>
            </w:r>
          </w:p>
        </w:tc>
        <w:tc>
          <w:tcPr>
            <w:tcW w:w="374" w:type="pct"/>
            <w:tcBorders>
              <w:top w:val="single" w:sz="4" w:space="0" w:color="auto"/>
              <w:left w:val="single" w:sz="4" w:space="0" w:color="auto"/>
              <w:bottom w:val="single" w:sz="4" w:space="0" w:color="auto"/>
              <w:right w:val="single" w:sz="4" w:space="0" w:color="auto"/>
            </w:tcBorders>
          </w:tcPr>
          <w:p w14:paraId="7F48E986" w14:textId="16EF8111" w:rsidR="00C23BAE" w:rsidRPr="00227BE0" w:rsidRDefault="00C23BAE" w:rsidP="00C23BAE">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2B33A5BA" w14:textId="77777777" w:rsidR="00C23BAE" w:rsidRPr="00227BE0" w:rsidRDefault="00C23BAE" w:rsidP="00C23BAE">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7769A7B5" w14:textId="77777777" w:rsidR="00C23BAE" w:rsidRPr="00227BE0" w:rsidRDefault="00C23BAE" w:rsidP="00C23BAE">
            <w:pPr>
              <w:suppressAutoHyphens/>
              <w:jc w:val="center"/>
              <w:rPr>
                <w:b/>
                <w:sz w:val="20"/>
                <w:szCs w:val="20"/>
              </w:rPr>
            </w:pPr>
            <w:r w:rsidRPr="00227BE0">
              <w:rPr>
                <w:b/>
                <w:sz w:val="20"/>
                <w:szCs w:val="20"/>
              </w:rPr>
              <w:t>6.3</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2B53D479" w14:textId="77777777" w:rsidR="00C23BAE" w:rsidRPr="00227BE0" w:rsidRDefault="00C23BAE" w:rsidP="00C23BAE">
            <w:pPr>
              <w:suppressAutoHyphens/>
              <w:rPr>
                <w:sz w:val="20"/>
                <w:szCs w:val="20"/>
              </w:rPr>
            </w:pPr>
            <w:r w:rsidRPr="00227BE0">
              <w:rPr>
                <w:sz w:val="20"/>
                <w:szCs w:val="20"/>
              </w:rPr>
              <w:t>80.630</w:t>
            </w:r>
          </w:p>
        </w:tc>
        <w:tc>
          <w:tcPr>
            <w:tcW w:w="345" w:type="pct"/>
            <w:gridSpan w:val="2"/>
            <w:tcBorders>
              <w:top w:val="single" w:sz="4" w:space="0" w:color="auto"/>
              <w:left w:val="single" w:sz="4" w:space="0" w:color="auto"/>
              <w:bottom w:val="single" w:sz="4" w:space="0" w:color="auto"/>
              <w:right w:val="single" w:sz="4" w:space="0" w:color="auto"/>
            </w:tcBorders>
            <w:vAlign w:val="center"/>
          </w:tcPr>
          <w:p w14:paraId="4A0AFA67" w14:textId="77777777" w:rsidR="00C23BAE" w:rsidRPr="00227BE0" w:rsidRDefault="00C23BAE" w:rsidP="00C23BAE">
            <w:pPr>
              <w:widowControl w:val="0"/>
              <w:suppressAutoHyphens/>
              <w:jc w:val="center"/>
              <w:rPr>
                <w:noProof/>
                <w:sz w:val="20"/>
                <w:szCs w:val="20"/>
              </w:rPr>
            </w:pPr>
            <w:r w:rsidRPr="00227BE0">
              <w:rPr>
                <w:noProof/>
                <w:sz w:val="20"/>
                <w:szCs w:val="20"/>
              </w:rPr>
              <w:t>--</w:t>
            </w:r>
          </w:p>
        </w:tc>
      </w:tr>
      <w:tr w:rsidR="00C23BAE" w:rsidRPr="00227BE0" w14:paraId="0A50D90F" w14:textId="77777777" w:rsidTr="000D25A9">
        <w:trPr>
          <w:cantSplit/>
        </w:trPr>
        <w:tc>
          <w:tcPr>
            <w:tcW w:w="463" w:type="pct"/>
            <w:tcBorders>
              <w:top w:val="single" w:sz="4" w:space="0" w:color="auto"/>
              <w:left w:val="single" w:sz="4" w:space="0" w:color="auto"/>
              <w:bottom w:val="single" w:sz="4" w:space="0" w:color="auto"/>
              <w:right w:val="nil"/>
            </w:tcBorders>
            <w:vAlign w:val="center"/>
          </w:tcPr>
          <w:p w14:paraId="68B737EA" w14:textId="77777777" w:rsidR="00C23BAE" w:rsidRPr="00227BE0" w:rsidRDefault="00C23BAE" w:rsidP="00C23BAE">
            <w:pPr>
              <w:widowControl w:val="0"/>
              <w:suppressAutoHyphens/>
              <w:rPr>
                <w:b/>
                <w:sz w:val="20"/>
                <w:szCs w:val="20"/>
                <w:lang w:val="en-GB"/>
              </w:rPr>
            </w:pPr>
            <w:r w:rsidRPr="00227BE0">
              <w:rPr>
                <w:b/>
                <w:sz w:val="20"/>
                <w:szCs w:val="20"/>
                <w:lang w:val="en-GB"/>
              </w:rPr>
              <w:t>Step 3</w:t>
            </w:r>
          </w:p>
        </w:tc>
        <w:tc>
          <w:tcPr>
            <w:tcW w:w="278" w:type="pct"/>
            <w:tcBorders>
              <w:top w:val="single" w:sz="4" w:space="0" w:color="auto"/>
              <w:left w:val="nil"/>
              <w:bottom w:val="single" w:sz="4" w:space="0" w:color="auto"/>
              <w:right w:val="nil"/>
            </w:tcBorders>
            <w:vAlign w:val="center"/>
          </w:tcPr>
          <w:p w14:paraId="57E90BFC" w14:textId="77777777" w:rsidR="00C23BAE" w:rsidRPr="00227BE0" w:rsidRDefault="00C23BAE" w:rsidP="00C23BAE">
            <w:pPr>
              <w:widowControl w:val="0"/>
              <w:suppressAutoHyphens/>
              <w:rPr>
                <w:b/>
                <w:bCs/>
                <w:sz w:val="20"/>
                <w:szCs w:val="20"/>
              </w:rPr>
            </w:pPr>
          </w:p>
        </w:tc>
        <w:tc>
          <w:tcPr>
            <w:tcW w:w="408" w:type="pct"/>
            <w:gridSpan w:val="2"/>
            <w:tcBorders>
              <w:top w:val="single" w:sz="4" w:space="0" w:color="auto"/>
              <w:left w:val="nil"/>
              <w:bottom w:val="single" w:sz="4" w:space="0" w:color="auto"/>
              <w:right w:val="nil"/>
            </w:tcBorders>
          </w:tcPr>
          <w:p w14:paraId="227DA5AE" w14:textId="77777777" w:rsidR="00C23BAE" w:rsidRPr="00227BE0" w:rsidRDefault="00C23BAE" w:rsidP="00C23BAE">
            <w:pPr>
              <w:keepNext/>
              <w:keepLines/>
              <w:widowControl w:val="0"/>
              <w:suppressAutoHyphens/>
              <w:jc w:val="center"/>
              <w:rPr>
                <w:b/>
                <w:bCs/>
                <w:noProof/>
                <w:sz w:val="20"/>
                <w:szCs w:val="20"/>
              </w:rPr>
            </w:pPr>
          </w:p>
        </w:tc>
        <w:tc>
          <w:tcPr>
            <w:tcW w:w="329" w:type="pct"/>
            <w:gridSpan w:val="2"/>
            <w:tcBorders>
              <w:top w:val="single" w:sz="4" w:space="0" w:color="auto"/>
              <w:left w:val="nil"/>
              <w:bottom w:val="single" w:sz="4" w:space="0" w:color="auto"/>
              <w:right w:val="nil"/>
            </w:tcBorders>
          </w:tcPr>
          <w:p w14:paraId="482FDB8A" w14:textId="77777777" w:rsidR="00C23BAE" w:rsidRPr="00227BE0" w:rsidRDefault="00C23BAE" w:rsidP="00C23BAE">
            <w:pPr>
              <w:keepNext/>
              <w:keepLines/>
              <w:widowControl w:val="0"/>
              <w:suppressAutoHyphens/>
              <w:rPr>
                <w:b/>
                <w:bCs/>
                <w:noProof/>
                <w:sz w:val="20"/>
                <w:szCs w:val="20"/>
              </w:rPr>
            </w:pPr>
          </w:p>
        </w:tc>
        <w:tc>
          <w:tcPr>
            <w:tcW w:w="371" w:type="pct"/>
            <w:gridSpan w:val="2"/>
            <w:tcBorders>
              <w:top w:val="single" w:sz="4" w:space="0" w:color="auto"/>
              <w:left w:val="nil"/>
              <w:bottom w:val="single" w:sz="4" w:space="0" w:color="auto"/>
              <w:right w:val="nil"/>
            </w:tcBorders>
          </w:tcPr>
          <w:p w14:paraId="62700A1D" w14:textId="77777777" w:rsidR="00C23BAE" w:rsidRPr="00227BE0" w:rsidRDefault="00C23BAE" w:rsidP="00C23BAE">
            <w:pPr>
              <w:keepNext/>
              <w:keepLines/>
              <w:widowControl w:val="0"/>
              <w:suppressAutoHyphens/>
              <w:rPr>
                <w:b/>
                <w:bCs/>
                <w:noProof/>
                <w:sz w:val="20"/>
                <w:szCs w:val="20"/>
              </w:rPr>
            </w:pPr>
          </w:p>
        </w:tc>
        <w:tc>
          <w:tcPr>
            <w:tcW w:w="2758" w:type="pct"/>
            <w:gridSpan w:val="8"/>
            <w:tcBorders>
              <w:top w:val="single" w:sz="4" w:space="0" w:color="auto"/>
              <w:left w:val="nil"/>
              <w:bottom w:val="single" w:sz="4" w:space="0" w:color="auto"/>
              <w:right w:val="nil"/>
            </w:tcBorders>
            <w:vAlign w:val="center"/>
          </w:tcPr>
          <w:p w14:paraId="4949C39A" w14:textId="71945439" w:rsidR="00C23BAE" w:rsidRPr="00227BE0" w:rsidRDefault="00C23BAE" w:rsidP="00C23BAE">
            <w:pPr>
              <w:keepNext/>
              <w:keepLines/>
              <w:widowControl w:val="0"/>
              <w:suppressAutoHyphens/>
              <w:rPr>
                <w:b/>
                <w:bCs/>
                <w:noProof/>
                <w:sz w:val="20"/>
                <w:szCs w:val="20"/>
              </w:rPr>
            </w:pPr>
          </w:p>
        </w:tc>
        <w:tc>
          <w:tcPr>
            <w:tcW w:w="42" w:type="pct"/>
            <w:tcBorders>
              <w:top w:val="single" w:sz="4" w:space="0" w:color="auto"/>
              <w:left w:val="nil"/>
              <w:bottom w:val="single" w:sz="4" w:space="0" w:color="auto"/>
              <w:right w:val="nil"/>
            </w:tcBorders>
          </w:tcPr>
          <w:p w14:paraId="2DE1B80C" w14:textId="77777777" w:rsidR="00C23BAE" w:rsidRPr="00227BE0" w:rsidRDefault="00C23BAE" w:rsidP="00C23BAE">
            <w:pPr>
              <w:widowControl w:val="0"/>
              <w:suppressAutoHyphens/>
              <w:rPr>
                <w:b/>
                <w:bCs/>
                <w:sz w:val="20"/>
                <w:szCs w:val="20"/>
              </w:rPr>
            </w:pPr>
          </w:p>
        </w:tc>
        <w:tc>
          <w:tcPr>
            <w:tcW w:w="43" w:type="pct"/>
            <w:gridSpan w:val="2"/>
            <w:tcBorders>
              <w:top w:val="single" w:sz="4" w:space="0" w:color="auto"/>
              <w:left w:val="nil"/>
              <w:bottom w:val="single" w:sz="4" w:space="0" w:color="auto"/>
              <w:right w:val="nil"/>
            </w:tcBorders>
            <w:vAlign w:val="center"/>
          </w:tcPr>
          <w:p w14:paraId="475E7AAD" w14:textId="77777777" w:rsidR="00C23BAE" w:rsidRPr="00227BE0" w:rsidRDefault="00C23BAE" w:rsidP="00C23BAE">
            <w:pPr>
              <w:widowControl w:val="0"/>
              <w:suppressAutoHyphens/>
              <w:rPr>
                <w:b/>
                <w:bCs/>
                <w:sz w:val="20"/>
                <w:szCs w:val="20"/>
              </w:rPr>
            </w:pPr>
          </w:p>
        </w:tc>
        <w:tc>
          <w:tcPr>
            <w:tcW w:w="309" w:type="pct"/>
            <w:tcBorders>
              <w:top w:val="single" w:sz="4" w:space="0" w:color="auto"/>
              <w:left w:val="nil"/>
              <w:bottom w:val="single" w:sz="4" w:space="0" w:color="auto"/>
              <w:right w:val="single" w:sz="4" w:space="0" w:color="auto"/>
            </w:tcBorders>
            <w:vAlign w:val="center"/>
          </w:tcPr>
          <w:p w14:paraId="0E952248" w14:textId="77777777" w:rsidR="00C23BAE" w:rsidRPr="00227BE0" w:rsidRDefault="00C23BAE" w:rsidP="00C23BAE">
            <w:pPr>
              <w:widowControl w:val="0"/>
              <w:suppressAutoHyphens/>
              <w:jc w:val="center"/>
              <w:rPr>
                <w:b/>
                <w:bCs/>
                <w:noProof/>
                <w:sz w:val="20"/>
                <w:szCs w:val="20"/>
              </w:rPr>
            </w:pPr>
          </w:p>
        </w:tc>
      </w:tr>
      <w:tr w:rsidR="00C23BAE" w:rsidRPr="00227BE0" w14:paraId="2AB00DE2" w14:textId="77777777" w:rsidTr="00977261">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5AA3D111" w14:textId="77777777" w:rsidR="00C23BAE" w:rsidRPr="00227BE0" w:rsidRDefault="00C23BAE" w:rsidP="00C23BAE">
            <w:pPr>
              <w:widowControl w:val="0"/>
              <w:suppressAutoHyphens/>
              <w:rPr>
                <w:noProof/>
                <w:sz w:val="20"/>
                <w:szCs w:val="20"/>
                <w:vertAlign w:val="superscript"/>
              </w:rPr>
            </w:pPr>
            <w:r w:rsidRPr="00227BE0">
              <w:rPr>
                <w:sz w:val="20"/>
                <w:szCs w:val="20"/>
              </w:rPr>
              <w:t>D3 ditch</w:t>
            </w:r>
          </w:p>
        </w:tc>
        <w:tc>
          <w:tcPr>
            <w:tcW w:w="278" w:type="pct"/>
            <w:tcBorders>
              <w:top w:val="single" w:sz="4" w:space="0" w:color="auto"/>
              <w:left w:val="single" w:sz="4" w:space="0" w:color="auto"/>
              <w:bottom w:val="single" w:sz="4" w:space="0" w:color="auto"/>
              <w:right w:val="single" w:sz="4" w:space="0" w:color="auto"/>
            </w:tcBorders>
            <w:vAlign w:val="center"/>
          </w:tcPr>
          <w:p w14:paraId="18B4AC28" w14:textId="77777777" w:rsidR="00C23BAE" w:rsidRPr="0017001D" w:rsidRDefault="00C23BAE" w:rsidP="00C23BAE">
            <w:pPr>
              <w:widowControl w:val="0"/>
              <w:suppressAutoHyphens/>
              <w:rPr>
                <w:strike/>
                <w:noProof/>
                <w:sz w:val="20"/>
                <w:szCs w:val="20"/>
                <w:highlight w:val="yellow"/>
              </w:rPr>
            </w:pPr>
            <w:r w:rsidRPr="0017001D">
              <w:rPr>
                <w:strike/>
                <w:noProof/>
                <w:sz w:val="20"/>
                <w:szCs w:val="20"/>
                <w:highlight w:val="yellow"/>
              </w:rPr>
              <w:t>0.951</w:t>
            </w:r>
          </w:p>
          <w:p w14:paraId="599850FE" w14:textId="43966ACF" w:rsidR="00C23BAE" w:rsidRPr="0017001D" w:rsidRDefault="00C23BAE" w:rsidP="00C23BAE">
            <w:pPr>
              <w:widowControl w:val="0"/>
              <w:suppressAutoHyphens/>
              <w:rPr>
                <w:noProof/>
                <w:sz w:val="20"/>
                <w:szCs w:val="20"/>
                <w:highlight w:val="yellow"/>
              </w:rPr>
            </w:pPr>
            <w:r w:rsidRPr="0017001D">
              <w:rPr>
                <w:noProof/>
                <w:sz w:val="20"/>
                <w:szCs w:val="20"/>
                <w:highlight w:val="yellow"/>
              </w:rPr>
              <w:t>0.950</w:t>
            </w:r>
          </w:p>
        </w:tc>
        <w:tc>
          <w:tcPr>
            <w:tcW w:w="286" w:type="pct"/>
            <w:tcBorders>
              <w:top w:val="single" w:sz="4" w:space="0" w:color="auto"/>
              <w:left w:val="single" w:sz="4" w:space="0" w:color="auto"/>
              <w:bottom w:val="single" w:sz="4" w:space="0" w:color="auto"/>
              <w:right w:val="single" w:sz="4" w:space="0" w:color="auto"/>
            </w:tcBorders>
            <w:vAlign w:val="center"/>
          </w:tcPr>
          <w:p w14:paraId="4367F59E" w14:textId="77777777" w:rsidR="00C23BAE" w:rsidRPr="00227BE0" w:rsidRDefault="00C23BAE" w:rsidP="00C23BAE">
            <w:pPr>
              <w:widowControl w:val="0"/>
              <w:suppressAutoHyphens/>
              <w:jc w:val="center"/>
              <w:rPr>
                <w:b/>
                <w:noProof/>
                <w:sz w:val="20"/>
                <w:szCs w:val="20"/>
              </w:rPr>
            </w:pPr>
            <w:r w:rsidRPr="00227BE0">
              <w:rPr>
                <w:sz w:val="20"/>
                <w:szCs w:val="20"/>
              </w:rPr>
              <w:t>0.2</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064683F8" w14:textId="77777777" w:rsidR="00C23BAE" w:rsidRPr="00227BE0" w:rsidRDefault="00C23BAE" w:rsidP="00C23BAE">
            <w:pPr>
              <w:widowControl w:val="0"/>
              <w:suppressAutoHyphens/>
              <w:jc w:val="center"/>
              <w:rPr>
                <w:b/>
                <w:noProof/>
                <w:sz w:val="20"/>
                <w:szCs w:val="20"/>
              </w:rPr>
            </w:pPr>
            <w:r w:rsidRPr="00227BE0">
              <w:rPr>
                <w:sz w:val="20"/>
                <w:szCs w:val="20"/>
              </w:rPr>
              <w:t>0.06</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9B6E9C" w14:textId="54CE917E" w:rsidR="00C23BAE" w:rsidRPr="00A12E21" w:rsidRDefault="00977261" w:rsidP="00C23BAE">
            <w:pPr>
              <w:widowControl w:val="0"/>
              <w:suppressAutoHyphens/>
              <w:jc w:val="center"/>
              <w:rPr>
                <w:b/>
                <w:bCs/>
                <w:sz w:val="20"/>
                <w:szCs w:val="20"/>
              </w:rPr>
            </w:pPr>
            <w:r w:rsidRPr="00A12E21">
              <w:rPr>
                <w:b/>
                <w:bCs/>
                <w:sz w:val="20"/>
                <w:szCs w:val="20"/>
              </w:rPr>
              <w:t>1.72</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5A418534" w14:textId="1B2B063F" w:rsidR="00C23BAE" w:rsidRPr="00227BE0" w:rsidRDefault="00C23BAE" w:rsidP="00C23BAE">
            <w:pPr>
              <w:widowControl w:val="0"/>
              <w:suppressAutoHyphens/>
              <w:jc w:val="center"/>
              <w:rPr>
                <w:noProof/>
                <w:sz w:val="20"/>
                <w:szCs w:val="20"/>
              </w:rPr>
            </w:pPr>
            <w:r w:rsidRPr="00227BE0">
              <w:rPr>
                <w:sz w:val="20"/>
                <w:szCs w:val="20"/>
              </w:rPr>
              <w:t>0.4</w:t>
            </w:r>
          </w:p>
        </w:tc>
        <w:tc>
          <w:tcPr>
            <w:tcW w:w="337" w:type="pct"/>
            <w:tcBorders>
              <w:top w:val="single" w:sz="4" w:space="0" w:color="auto"/>
              <w:left w:val="single" w:sz="4" w:space="0" w:color="auto"/>
              <w:bottom w:val="single" w:sz="4" w:space="0" w:color="auto"/>
              <w:right w:val="single" w:sz="4" w:space="0" w:color="auto"/>
            </w:tcBorders>
            <w:vAlign w:val="center"/>
          </w:tcPr>
          <w:p w14:paraId="1E9FFA01" w14:textId="77777777" w:rsidR="00C23BAE" w:rsidRPr="00227BE0" w:rsidRDefault="00C23BAE" w:rsidP="00C23BAE">
            <w:pPr>
              <w:widowControl w:val="0"/>
              <w:suppressAutoHyphens/>
              <w:jc w:val="center"/>
              <w:rPr>
                <w:noProof/>
                <w:sz w:val="20"/>
                <w:szCs w:val="20"/>
              </w:rPr>
            </w:pPr>
            <w:r w:rsidRPr="00227BE0">
              <w:rPr>
                <w:sz w:val="20"/>
                <w:szCs w:val="20"/>
              </w:rPr>
              <w:t>0.2</w:t>
            </w:r>
          </w:p>
        </w:tc>
        <w:tc>
          <w:tcPr>
            <w:tcW w:w="405" w:type="pct"/>
            <w:tcBorders>
              <w:top w:val="single" w:sz="4" w:space="0" w:color="auto"/>
              <w:left w:val="single" w:sz="4" w:space="0" w:color="auto"/>
              <w:bottom w:val="single" w:sz="4" w:space="0" w:color="auto"/>
              <w:right w:val="single" w:sz="4" w:space="0" w:color="auto"/>
            </w:tcBorders>
            <w:vAlign w:val="center"/>
          </w:tcPr>
          <w:p w14:paraId="7A46B13B" w14:textId="77777777" w:rsidR="00C23BAE" w:rsidRPr="00227BE0" w:rsidRDefault="00C23BAE" w:rsidP="00C23BAE">
            <w:pPr>
              <w:widowControl w:val="0"/>
              <w:suppressAutoHyphens/>
              <w:jc w:val="center"/>
              <w:rPr>
                <w:noProof/>
                <w:sz w:val="20"/>
                <w:szCs w:val="20"/>
              </w:rPr>
            </w:pPr>
            <w:r w:rsidRPr="00227BE0">
              <w:rPr>
                <w:sz w:val="20"/>
                <w:szCs w:val="20"/>
              </w:rPr>
              <w:t>0.2</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8C7254" w14:textId="53497704" w:rsidR="00C23BAE" w:rsidRPr="00227BE0" w:rsidRDefault="00F45D9E" w:rsidP="00C23BAE">
            <w:pPr>
              <w:widowControl w:val="0"/>
              <w:suppressAutoHyphens/>
              <w:jc w:val="center"/>
              <w:rPr>
                <w:noProof/>
                <w:sz w:val="20"/>
                <w:szCs w:val="20"/>
              </w:rPr>
            </w:pPr>
            <w:r>
              <w:rPr>
                <w:noProof/>
                <w:sz w:val="20"/>
                <w:szCs w:val="20"/>
              </w:rPr>
              <w:t>0.065</w:t>
            </w:r>
          </w:p>
        </w:tc>
        <w:tc>
          <w:tcPr>
            <w:tcW w:w="374" w:type="pct"/>
            <w:tcBorders>
              <w:top w:val="single" w:sz="4" w:space="0" w:color="auto"/>
              <w:left w:val="single" w:sz="4" w:space="0" w:color="auto"/>
              <w:bottom w:val="single" w:sz="4" w:space="0" w:color="auto"/>
              <w:right w:val="single" w:sz="4" w:space="0" w:color="auto"/>
            </w:tcBorders>
            <w:vAlign w:val="center"/>
          </w:tcPr>
          <w:p w14:paraId="050A1F78" w14:textId="1F40EB37" w:rsidR="00C23BAE" w:rsidRPr="00227BE0" w:rsidRDefault="00C23BAE" w:rsidP="00C23BAE">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vAlign w:val="center"/>
          </w:tcPr>
          <w:p w14:paraId="7065FBF5" w14:textId="77777777" w:rsidR="00C23BAE" w:rsidRPr="00227BE0" w:rsidRDefault="00C23BAE" w:rsidP="00C23BAE">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137FDD25" w14:textId="77777777" w:rsidR="00C23BAE" w:rsidRPr="00227BE0" w:rsidRDefault="00C23BAE" w:rsidP="00C23BAE">
            <w:pPr>
              <w:suppressAutoHyphens/>
              <w:jc w:val="center"/>
              <w:rPr>
                <w:sz w:val="20"/>
                <w:szCs w:val="20"/>
              </w:rPr>
            </w:pPr>
            <w:r w:rsidRPr="00227BE0">
              <w:rPr>
                <w:sz w:val="20"/>
                <w:szCs w:val="20"/>
              </w:rPr>
              <w:t>0.3</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01705364" w14:textId="77777777" w:rsidR="00C23BAE" w:rsidRPr="0017001D" w:rsidRDefault="00C23BAE" w:rsidP="00C23BAE">
            <w:pPr>
              <w:suppressAutoHyphens/>
              <w:rPr>
                <w:strike/>
                <w:sz w:val="20"/>
                <w:szCs w:val="20"/>
                <w:highlight w:val="yellow"/>
              </w:rPr>
            </w:pPr>
            <w:r w:rsidRPr="0017001D">
              <w:rPr>
                <w:strike/>
                <w:sz w:val="20"/>
                <w:szCs w:val="20"/>
                <w:highlight w:val="yellow"/>
              </w:rPr>
              <w:t>0.550</w:t>
            </w:r>
          </w:p>
          <w:p w14:paraId="2B5380BA" w14:textId="56B244BB" w:rsidR="00C23BAE" w:rsidRPr="0017001D" w:rsidRDefault="00C23BAE" w:rsidP="00C23BAE">
            <w:pPr>
              <w:suppressAutoHyphens/>
              <w:rPr>
                <w:sz w:val="20"/>
                <w:szCs w:val="20"/>
                <w:highlight w:val="yellow"/>
              </w:rPr>
            </w:pPr>
            <w:r w:rsidRPr="0017001D">
              <w:rPr>
                <w:sz w:val="20"/>
                <w:szCs w:val="20"/>
                <w:highlight w:val="yellow"/>
              </w:rPr>
              <w:t>0.526</w:t>
            </w:r>
          </w:p>
        </w:tc>
        <w:tc>
          <w:tcPr>
            <w:tcW w:w="345" w:type="pct"/>
            <w:gridSpan w:val="2"/>
            <w:tcBorders>
              <w:top w:val="single" w:sz="4" w:space="0" w:color="auto"/>
              <w:left w:val="single" w:sz="4" w:space="0" w:color="auto"/>
              <w:bottom w:val="single" w:sz="4" w:space="0" w:color="auto"/>
              <w:right w:val="single" w:sz="4" w:space="0" w:color="auto"/>
            </w:tcBorders>
          </w:tcPr>
          <w:p w14:paraId="3D7E2075" w14:textId="77777777" w:rsidR="00C23BAE" w:rsidRPr="00227BE0" w:rsidRDefault="00C23BAE" w:rsidP="00C23BAE">
            <w:pPr>
              <w:widowControl w:val="0"/>
              <w:suppressAutoHyphens/>
              <w:jc w:val="center"/>
              <w:rPr>
                <w:noProof/>
                <w:sz w:val="20"/>
                <w:szCs w:val="20"/>
              </w:rPr>
            </w:pPr>
            <w:r w:rsidRPr="00227BE0">
              <w:rPr>
                <w:noProof/>
                <w:sz w:val="20"/>
                <w:szCs w:val="20"/>
              </w:rPr>
              <w:t>--</w:t>
            </w:r>
          </w:p>
        </w:tc>
      </w:tr>
      <w:tr w:rsidR="00C23BAE" w:rsidRPr="00227BE0" w14:paraId="299B1B6D" w14:textId="77777777" w:rsidTr="00977261">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3F1167BA" w14:textId="77777777" w:rsidR="00C23BAE" w:rsidRPr="00227BE0" w:rsidRDefault="00C23BAE" w:rsidP="00C23BAE">
            <w:pPr>
              <w:widowControl w:val="0"/>
              <w:suppressAutoHyphens/>
              <w:rPr>
                <w:noProof/>
                <w:sz w:val="20"/>
                <w:szCs w:val="20"/>
                <w:vertAlign w:val="superscript"/>
              </w:rPr>
            </w:pPr>
            <w:r w:rsidRPr="00227BE0">
              <w:rPr>
                <w:sz w:val="20"/>
                <w:szCs w:val="20"/>
              </w:rPr>
              <w:t>D4 pond</w:t>
            </w:r>
          </w:p>
        </w:tc>
        <w:tc>
          <w:tcPr>
            <w:tcW w:w="278" w:type="pct"/>
            <w:tcBorders>
              <w:top w:val="single" w:sz="4" w:space="0" w:color="auto"/>
              <w:left w:val="single" w:sz="4" w:space="0" w:color="auto"/>
              <w:bottom w:val="single" w:sz="4" w:space="0" w:color="auto"/>
              <w:right w:val="single" w:sz="4" w:space="0" w:color="auto"/>
            </w:tcBorders>
            <w:vAlign w:val="center"/>
          </w:tcPr>
          <w:p w14:paraId="1C7ED3CB" w14:textId="77777777" w:rsidR="00C23BAE" w:rsidRPr="0017001D" w:rsidRDefault="00C23BAE" w:rsidP="00C23BAE">
            <w:pPr>
              <w:widowControl w:val="0"/>
              <w:suppressAutoHyphens/>
              <w:rPr>
                <w:strike/>
                <w:noProof/>
                <w:sz w:val="20"/>
                <w:szCs w:val="20"/>
                <w:highlight w:val="yellow"/>
              </w:rPr>
            </w:pPr>
            <w:r w:rsidRPr="0017001D">
              <w:rPr>
                <w:strike/>
                <w:noProof/>
                <w:sz w:val="20"/>
                <w:szCs w:val="20"/>
                <w:highlight w:val="yellow"/>
              </w:rPr>
              <w:t>0.689</w:t>
            </w:r>
          </w:p>
          <w:p w14:paraId="19C50F22" w14:textId="0E874546" w:rsidR="00C23BAE" w:rsidRPr="0017001D" w:rsidRDefault="00C23BAE" w:rsidP="00C23BAE">
            <w:pPr>
              <w:widowControl w:val="0"/>
              <w:suppressAutoHyphens/>
              <w:rPr>
                <w:noProof/>
                <w:sz w:val="20"/>
                <w:szCs w:val="20"/>
                <w:highlight w:val="yellow"/>
              </w:rPr>
            </w:pPr>
            <w:r w:rsidRPr="0017001D">
              <w:rPr>
                <w:noProof/>
                <w:sz w:val="20"/>
                <w:szCs w:val="20"/>
                <w:highlight w:val="yellow"/>
              </w:rPr>
              <w:t>0.695</w:t>
            </w:r>
          </w:p>
        </w:tc>
        <w:tc>
          <w:tcPr>
            <w:tcW w:w="286" w:type="pct"/>
            <w:tcBorders>
              <w:top w:val="single" w:sz="4" w:space="0" w:color="auto"/>
              <w:left w:val="single" w:sz="4" w:space="0" w:color="auto"/>
              <w:bottom w:val="single" w:sz="4" w:space="0" w:color="auto"/>
              <w:right w:val="single" w:sz="4" w:space="0" w:color="auto"/>
            </w:tcBorders>
            <w:vAlign w:val="center"/>
          </w:tcPr>
          <w:p w14:paraId="37E2468C" w14:textId="77777777" w:rsidR="00C23BAE" w:rsidRPr="00227BE0" w:rsidRDefault="00C23BAE" w:rsidP="00C23BAE">
            <w:pPr>
              <w:widowControl w:val="0"/>
              <w:suppressAutoHyphens/>
              <w:jc w:val="center"/>
              <w:rPr>
                <w:noProof/>
                <w:sz w:val="20"/>
                <w:szCs w:val="20"/>
              </w:rPr>
            </w:pPr>
            <w:r w:rsidRPr="00227BE0">
              <w:rPr>
                <w:bCs/>
                <w:noProof/>
                <w:sz w:val="20"/>
                <w:szCs w:val="20"/>
              </w:rPr>
              <w:t>0.1</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7EB92F5D" w14:textId="77777777" w:rsidR="00C23BAE" w:rsidRPr="00227BE0" w:rsidRDefault="00C23BAE" w:rsidP="00C23BAE">
            <w:pPr>
              <w:widowControl w:val="0"/>
              <w:suppressAutoHyphens/>
              <w:jc w:val="center"/>
              <w:rPr>
                <w:noProof/>
                <w:sz w:val="20"/>
                <w:szCs w:val="20"/>
              </w:rPr>
            </w:pPr>
            <w:r w:rsidRPr="00227BE0">
              <w:rPr>
                <w:bCs/>
                <w:noProof/>
                <w:sz w:val="20"/>
                <w:szCs w:val="20"/>
              </w:rPr>
              <w:t>0.05</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4321BD" w14:textId="728DA2A0" w:rsidR="00C23BAE" w:rsidRPr="00A12E21" w:rsidRDefault="00A12E21" w:rsidP="00A12E21">
            <w:pPr>
              <w:widowControl w:val="0"/>
              <w:suppressAutoHyphens/>
              <w:jc w:val="center"/>
              <w:rPr>
                <w:b/>
                <w:bCs/>
                <w:noProof/>
                <w:sz w:val="20"/>
                <w:szCs w:val="20"/>
              </w:rPr>
            </w:pPr>
            <w:r>
              <w:rPr>
                <w:b/>
                <w:bCs/>
                <w:noProof/>
                <w:sz w:val="20"/>
                <w:szCs w:val="20"/>
              </w:rPr>
              <w:t>1.26</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215B0011" w14:textId="17979BDD" w:rsidR="00C23BAE" w:rsidRPr="00227BE0" w:rsidRDefault="00C23BAE" w:rsidP="00C23BAE">
            <w:pPr>
              <w:widowControl w:val="0"/>
              <w:suppressAutoHyphens/>
              <w:jc w:val="center"/>
              <w:rPr>
                <w:noProof/>
                <w:sz w:val="20"/>
                <w:szCs w:val="20"/>
              </w:rPr>
            </w:pPr>
            <w:r w:rsidRPr="00227BE0">
              <w:rPr>
                <w:bCs/>
                <w:noProof/>
                <w:sz w:val="20"/>
                <w:szCs w:val="20"/>
              </w:rPr>
              <w:t>0.3</w:t>
            </w:r>
          </w:p>
        </w:tc>
        <w:tc>
          <w:tcPr>
            <w:tcW w:w="337" w:type="pct"/>
            <w:tcBorders>
              <w:top w:val="single" w:sz="4" w:space="0" w:color="auto"/>
              <w:left w:val="single" w:sz="4" w:space="0" w:color="auto"/>
              <w:bottom w:val="single" w:sz="4" w:space="0" w:color="auto"/>
              <w:right w:val="single" w:sz="4" w:space="0" w:color="auto"/>
            </w:tcBorders>
            <w:vAlign w:val="center"/>
          </w:tcPr>
          <w:p w14:paraId="3B1E5AA0" w14:textId="77777777" w:rsidR="00C23BAE" w:rsidRPr="00227BE0" w:rsidRDefault="00C23BAE" w:rsidP="00C23BAE">
            <w:pPr>
              <w:widowControl w:val="0"/>
              <w:suppressAutoHyphens/>
              <w:jc w:val="center"/>
              <w:rPr>
                <w:noProof/>
                <w:sz w:val="20"/>
                <w:szCs w:val="20"/>
              </w:rPr>
            </w:pPr>
            <w:r w:rsidRPr="00227BE0">
              <w:rPr>
                <w:bCs/>
                <w:noProof/>
                <w:sz w:val="20"/>
                <w:szCs w:val="20"/>
              </w:rPr>
              <w:t>0.2</w:t>
            </w:r>
          </w:p>
        </w:tc>
        <w:tc>
          <w:tcPr>
            <w:tcW w:w="405" w:type="pct"/>
            <w:tcBorders>
              <w:top w:val="single" w:sz="4" w:space="0" w:color="auto"/>
              <w:left w:val="single" w:sz="4" w:space="0" w:color="auto"/>
              <w:bottom w:val="single" w:sz="4" w:space="0" w:color="auto"/>
              <w:right w:val="single" w:sz="4" w:space="0" w:color="auto"/>
            </w:tcBorders>
            <w:vAlign w:val="center"/>
          </w:tcPr>
          <w:p w14:paraId="16878CC9" w14:textId="77777777" w:rsidR="00C23BAE" w:rsidRPr="00227BE0" w:rsidRDefault="00C23BAE" w:rsidP="00C23BAE">
            <w:pPr>
              <w:widowControl w:val="0"/>
              <w:suppressAutoHyphens/>
              <w:jc w:val="center"/>
              <w:rPr>
                <w:noProof/>
                <w:sz w:val="20"/>
                <w:szCs w:val="20"/>
              </w:rPr>
            </w:pPr>
            <w:r w:rsidRPr="00227BE0">
              <w:rPr>
                <w:bCs/>
                <w:noProof/>
                <w:sz w:val="20"/>
                <w:szCs w:val="20"/>
              </w:rPr>
              <w:t>0.1</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5D5402" w14:textId="0A735EAE" w:rsidR="00C23BAE" w:rsidRPr="00227BE0" w:rsidRDefault="00F45D9E" w:rsidP="00C23BAE">
            <w:pPr>
              <w:widowControl w:val="0"/>
              <w:suppressAutoHyphens/>
              <w:jc w:val="center"/>
              <w:rPr>
                <w:noProof/>
                <w:sz w:val="20"/>
                <w:szCs w:val="20"/>
              </w:rPr>
            </w:pPr>
            <w:r>
              <w:rPr>
                <w:noProof/>
                <w:sz w:val="20"/>
                <w:szCs w:val="20"/>
              </w:rPr>
              <w:t>0.05</w:t>
            </w:r>
          </w:p>
        </w:tc>
        <w:tc>
          <w:tcPr>
            <w:tcW w:w="374" w:type="pct"/>
            <w:tcBorders>
              <w:top w:val="single" w:sz="4" w:space="0" w:color="auto"/>
              <w:left w:val="single" w:sz="4" w:space="0" w:color="auto"/>
              <w:bottom w:val="single" w:sz="4" w:space="0" w:color="auto"/>
              <w:right w:val="single" w:sz="4" w:space="0" w:color="auto"/>
            </w:tcBorders>
          </w:tcPr>
          <w:p w14:paraId="6930BAA2" w14:textId="0EF2D18A" w:rsidR="00C23BAE" w:rsidRPr="00227BE0" w:rsidRDefault="00C23BAE" w:rsidP="00C23BAE">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tcPr>
          <w:p w14:paraId="0D74BADC" w14:textId="77777777" w:rsidR="00C23BAE" w:rsidRPr="00227BE0" w:rsidRDefault="00C23BAE" w:rsidP="00C23BAE">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523153E0" w14:textId="77777777" w:rsidR="00C23BAE" w:rsidRPr="00227BE0" w:rsidRDefault="00C23BAE" w:rsidP="00C23BAE">
            <w:pPr>
              <w:suppressAutoHyphens/>
              <w:jc w:val="center"/>
              <w:rPr>
                <w:sz w:val="20"/>
                <w:szCs w:val="20"/>
              </w:rPr>
            </w:pPr>
            <w:r w:rsidRPr="00227BE0">
              <w:rPr>
                <w:bCs/>
                <w:sz w:val="20"/>
                <w:szCs w:val="20"/>
              </w:rPr>
              <w:t>0.2</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6F5F2ED3" w14:textId="77777777" w:rsidR="00C23BAE" w:rsidRPr="0017001D" w:rsidRDefault="00C23BAE" w:rsidP="00C23BAE">
            <w:pPr>
              <w:suppressAutoHyphens/>
              <w:rPr>
                <w:strike/>
                <w:sz w:val="20"/>
                <w:szCs w:val="20"/>
                <w:highlight w:val="yellow"/>
              </w:rPr>
            </w:pPr>
            <w:r w:rsidRPr="0017001D">
              <w:rPr>
                <w:strike/>
                <w:sz w:val="20"/>
                <w:szCs w:val="20"/>
                <w:highlight w:val="yellow"/>
              </w:rPr>
              <w:t>4.228</w:t>
            </w:r>
          </w:p>
          <w:p w14:paraId="496B9CEE" w14:textId="397304C4" w:rsidR="00C23BAE" w:rsidRPr="0017001D" w:rsidRDefault="00C23BAE" w:rsidP="00C23BAE">
            <w:pPr>
              <w:suppressAutoHyphens/>
              <w:rPr>
                <w:sz w:val="20"/>
                <w:szCs w:val="20"/>
                <w:highlight w:val="yellow"/>
              </w:rPr>
            </w:pPr>
            <w:r w:rsidRPr="0017001D">
              <w:rPr>
                <w:sz w:val="20"/>
                <w:szCs w:val="20"/>
                <w:highlight w:val="yellow"/>
              </w:rPr>
              <w:t>4.227</w:t>
            </w:r>
          </w:p>
        </w:tc>
        <w:tc>
          <w:tcPr>
            <w:tcW w:w="345" w:type="pct"/>
            <w:gridSpan w:val="2"/>
            <w:tcBorders>
              <w:top w:val="single" w:sz="4" w:space="0" w:color="auto"/>
              <w:left w:val="single" w:sz="4" w:space="0" w:color="auto"/>
              <w:bottom w:val="single" w:sz="4" w:space="0" w:color="auto"/>
              <w:right w:val="single" w:sz="4" w:space="0" w:color="auto"/>
            </w:tcBorders>
          </w:tcPr>
          <w:p w14:paraId="40702729" w14:textId="77777777" w:rsidR="00C23BAE" w:rsidRPr="00227BE0" w:rsidRDefault="00C23BAE" w:rsidP="00C23BAE">
            <w:pPr>
              <w:widowControl w:val="0"/>
              <w:suppressAutoHyphens/>
              <w:jc w:val="center"/>
              <w:rPr>
                <w:noProof/>
                <w:sz w:val="20"/>
                <w:szCs w:val="20"/>
              </w:rPr>
            </w:pPr>
            <w:r w:rsidRPr="00227BE0">
              <w:rPr>
                <w:noProof/>
                <w:sz w:val="20"/>
                <w:szCs w:val="20"/>
              </w:rPr>
              <w:t>--</w:t>
            </w:r>
          </w:p>
        </w:tc>
      </w:tr>
      <w:tr w:rsidR="00C23BAE" w:rsidRPr="00227BE0" w14:paraId="6E92490F" w14:textId="77777777" w:rsidTr="00977261">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3E77DBAC" w14:textId="77777777" w:rsidR="00C23BAE" w:rsidRPr="00227BE0" w:rsidRDefault="00C23BAE" w:rsidP="00C23BAE">
            <w:pPr>
              <w:widowControl w:val="0"/>
              <w:suppressAutoHyphens/>
              <w:rPr>
                <w:noProof/>
                <w:sz w:val="20"/>
                <w:szCs w:val="20"/>
                <w:vertAlign w:val="superscript"/>
              </w:rPr>
            </w:pPr>
            <w:r w:rsidRPr="00227BE0">
              <w:rPr>
                <w:sz w:val="20"/>
                <w:szCs w:val="20"/>
              </w:rPr>
              <w:t>D4 stream</w:t>
            </w:r>
          </w:p>
        </w:tc>
        <w:tc>
          <w:tcPr>
            <w:tcW w:w="278" w:type="pct"/>
            <w:tcBorders>
              <w:top w:val="single" w:sz="4" w:space="0" w:color="auto"/>
              <w:left w:val="single" w:sz="4" w:space="0" w:color="auto"/>
              <w:bottom w:val="single" w:sz="4" w:space="0" w:color="auto"/>
              <w:right w:val="single" w:sz="4" w:space="0" w:color="auto"/>
            </w:tcBorders>
            <w:vAlign w:val="center"/>
          </w:tcPr>
          <w:p w14:paraId="17331C5F" w14:textId="100B47DE" w:rsidR="00C23BAE" w:rsidRPr="00227BE0" w:rsidRDefault="00C23BAE" w:rsidP="00C23BAE">
            <w:pPr>
              <w:widowControl w:val="0"/>
              <w:suppressAutoHyphens/>
              <w:rPr>
                <w:noProof/>
                <w:sz w:val="20"/>
                <w:szCs w:val="20"/>
              </w:rPr>
            </w:pPr>
            <w:r w:rsidRPr="00227BE0">
              <w:rPr>
                <w:noProof/>
                <w:sz w:val="20"/>
                <w:szCs w:val="20"/>
              </w:rPr>
              <w:t>0.778</w:t>
            </w:r>
          </w:p>
        </w:tc>
        <w:tc>
          <w:tcPr>
            <w:tcW w:w="286" w:type="pct"/>
            <w:tcBorders>
              <w:top w:val="single" w:sz="4" w:space="0" w:color="auto"/>
              <w:left w:val="single" w:sz="4" w:space="0" w:color="auto"/>
              <w:bottom w:val="single" w:sz="4" w:space="0" w:color="auto"/>
              <w:right w:val="single" w:sz="4" w:space="0" w:color="auto"/>
            </w:tcBorders>
            <w:vAlign w:val="center"/>
          </w:tcPr>
          <w:p w14:paraId="1ED4158C" w14:textId="77777777" w:rsidR="00C23BAE" w:rsidRPr="00227BE0" w:rsidRDefault="00C23BAE" w:rsidP="00C23BAE">
            <w:pPr>
              <w:widowControl w:val="0"/>
              <w:suppressAutoHyphens/>
              <w:jc w:val="center"/>
              <w:rPr>
                <w:noProof/>
                <w:sz w:val="20"/>
                <w:szCs w:val="20"/>
              </w:rPr>
            </w:pPr>
            <w:r w:rsidRPr="00227BE0">
              <w:rPr>
                <w:bCs/>
                <w:noProof/>
                <w:sz w:val="20"/>
                <w:szCs w:val="20"/>
              </w:rPr>
              <w:t>0.2</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494B55B4" w14:textId="77777777" w:rsidR="00C23BAE" w:rsidRPr="00227BE0" w:rsidRDefault="00C23BAE" w:rsidP="00C23BAE">
            <w:pPr>
              <w:widowControl w:val="0"/>
              <w:suppressAutoHyphens/>
              <w:jc w:val="center"/>
              <w:rPr>
                <w:noProof/>
                <w:sz w:val="20"/>
                <w:szCs w:val="20"/>
              </w:rPr>
            </w:pPr>
            <w:r w:rsidRPr="00227BE0">
              <w:rPr>
                <w:bCs/>
                <w:noProof/>
                <w:sz w:val="20"/>
                <w:szCs w:val="20"/>
              </w:rPr>
              <w:t>0.05</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5B72B1" w14:textId="33110F86" w:rsidR="00C23BAE" w:rsidRPr="00A12E21" w:rsidRDefault="006F4DE0" w:rsidP="00C23BAE">
            <w:pPr>
              <w:widowControl w:val="0"/>
              <w:suppressAutoHyphens/>
              <w:jc w:val="center"/>
              <w:rPr>
                <w:b/>
                <w:bCs/>
                <w:noProof/>
                <w:sz w:val="20"/>
                <w:szCs w:val="20"/>
              </w:rPr>
            </w:pPr>
            <w:r>
              <w:rPr>
                <w:b/>
                <w:bCs/>
                <w:noProof/>
                <w:sz w:val="20"/>
                <w:szCs w:val="20"/>
              </w:rPr>
              <w:t>1.41</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6A23BCEB" w14:textId="7EAE4A0B" w:rsidR="00C23BAE" w:rsidRPr="00227BE0" w:rsidRDefault="00C23BAE" w:rsidP="00C23BAE">
            <w:pPr>
              <w:widowControl w:val="0"/>
              <w:suppressAutoHyphens/>
              <w:jc w:val="center"/>
              <w:rPr>
                <w:noProof/>
                <w:sz w:val="20"/>
                <w:szCs w:val="20"/>
              </w:rPr>
            </w:pPr>
            <w:r w:rsidRPr="00227BE0">
              <w:rPr>
                <w:bCs/>
                <w:noProof/>
                <w:sz w:val="20"/>
                <w:szCs w:val="20"/>
              </w:rPr>
              <w:t>0.3</w:t>
            </w:r>
          </w:p>
        </w:tc>
        <w:tc>
          <w:tcPr>
            <w:tcW w:w="337" w:type="pct"/>
            <w:tcBorders>
              <w:top w:val="single" w:sz="4" w:space="0" w:color="auto"/>
              <w:left w:val="single" w:sz="4" w:space="0" w:color="auto"/>
              <w:bottom w:val="single" w:sz="4" w:space="0" w:color="auto"/>
              <w:right w:val="single" w:sz="4" w:space="0" w:color="auto"/>
            </w:tcBorders>
            <w:vAlign w:val="center"/>
          </w:tcPr>
          <w:p w14:paraId="78137E1A" w14:textId="77777777" w:rsidR="00C23BAE" w:rsidRPr="00227BE0" w:rsidRDefault="00C23BAE" w:rsidP="00C23BAE">
            <w:pPr>
              <w:widowControl w:val="0"/>
              <w:suppressAutoHyphens/>
              <w:jc w:val="center"/>
              <w:rPr>
                <w:noProof/>
                <w:sz w:val="20"/>
                <w:szCs w:val="20"/>
              </w:rPr>
            </w:pPr>
            <w:r w:rsidRPr="00227BE0">
              <w:rPr>
                <w:bCs/>
                <w:noProof/>
                <w:sz w:val="20"/>
                <w:szCs w:val="20"/>
              </w:rPr>
              <w:t>0.2</w:t>
            </w:r>
          </w:p>
        </w:tc>
        <w:tc>
          <w:tcPr>
            <w:tcW w:w="405" w:type="pct"/>
            <w:tcBorders>
              <w:top w:val="single" w:sz="4" w:space="0" w:color="auto"/>
              <w:left w:val="single" w:sz="4" w:space="0" w:color="auto"/>
              <w:bottom w:val="single" w:sz="4" w:space="0" w:color="auto"/>
              <w:right w:val="single" w:sz="4" w:space="0" w:color="auto"/>
            </w:tcBorders>
            <w:vAlign w:val="center"/>
          </w:tcPr>
          <w:p w14:paraId="1ED99984" w14:textId="77777777" w:rsidR="00C23BAE" w:rsidRPr="00227BE0" w:rsidRDefault="00C23BAE" w:rsidP="00C23BAE">
            <w:pPr>
              <w:widowControl w:val="0"/>
              <w:suppressAutoHyphens/>
              <w:jc w:val="center"/>
              <w:rPr>
                <w:noProof/>
                <w:sz w:val="20"/>
                <w:szCs w:val="20"/>
              </w:rPr>
            </w:pPr>
            <w:r w:rsidRPr="00227BE0">
              <w:rPr>
                <w:bCs/>
                <w:noProof/>
                <w:sz w:val="20"/>
                <w:szCs w:val="20"/>
              </w:rPr>
              <w:t>0.1</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ED29F" w14:textId="11280D54" w:rsidR="00C23BAE" w:rsidRPr="00227BE0" w:rsidRDefault="00F45D9E" w:rsidP="00C23BAE">
            <w:pPr>
              <w:widowControl w:val="0"/>
              <w:suppressAutoHyphens/>
              <w:jc w:val="center"/>
              <w:rPr>
                <w:noProof/>
                <w:sz w:val="20"/>
                <w:szCs w:val="20"/>
              </w:rPr>
            </w:pPr>
            <w:r>
              <w:rPr>
                <w:noProof/>
                <w:sz w:val="20"/>
                <w:szCs w:val="20"/>
              </w:rPr>
              <w:t>0.05</w:t>
            </w:r>
          </w:p>
        </w:tc>
        <w:tc>
          <w:tcPr>
            <w:tcW w:w="374" w:type="pct"/>
            <w:tcBorders>
              <w:top w:val="single" w:sz="4" w:space="0" w:color="auto"/>
              <w:left w:val="single" w:sz="4" w:space="0" w:color="auto"/>
              <w:bottom w:val="single" w:sz="4" w:space="0" w:color="auto"/>
              <w:right w:val="single" w:sz="4" w:space="0" w:color="auto"/>
            </w:tcBorders>
          </w:tcPr>
          <w:p w14:paraId="1CE3305A" w14:textId="2974333F" w:rsidR="00C23BAE" w:rsidRPr="00227BE0" w:rsidRDefault="00C23BAE" w:rsidP="00C23BAE">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tcPr>
          <w:p w14:paraId="52C2A68A" w14:textId="77777777" w:rsidR="00C23BAE" w:rsidRPr="00227BE0" w:rsidRDefault="00C23BAE" w:rsidP="00C23BAE">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107BDEAB" w14:textId="77777777" w:rsidR="00C23BAE" w:rsidRPr="00227BE0" w:rsidRDefault="00C23BAE" w:rsidP="00C23BAE">
            <w:pPr>
              <w:suppressAutoHyphens/>
              <w:jc w:val="center"/>
              <w:rPr>
                <w:sz w:val="20"/>
                <w:szCs w:val="20"/>
              </w:rPr>
            </w:pPr>
            <w:r w:rsidRPr="00227BE0">
              <w:rPr>
                <w:bCs/>
                <w:sz w:val="20"/>
                <w:szCs w:val="20"/>
              </w:rPr>
              <w:t>0.2</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2DD089E6" w14:textId="77777777" w:rsidR="00C23BAE" w:rsidRPr="0017001D" w:rsidRDefault="00C23BAE" w:rsidP="00C23BAE">
            <w:pPr>
              <w:suppressAutoHyphens/>
              <w:rPr>
                <w:strike/>
                <w:sz w:val="20"/>
                <w:szCs w:val="20"/>
                <w:highlight w:val="yellow"/>
              </w:rPr>
            </w:pPr>
            <w:r w:rsidRPr="0017001D">
              <w:rPr>
                <w:strike/>
                <w:sz w:val="20"/>
                <w:szCs w:val="20"/>
                <w:highlight w:val="yellow"/>
              </w:rPr>
              <w:t>1.624</w:t>
            </w:r>
          </w:p>
          <w:p w14:paraId="7B19F420" w14:textId="09516394" w:rsidR="00C23BAE" w:rsidRPr="0017001D" w:rsidRDefault="00C23BAE" w:rsidP="00C23BAE">
            <w:pPr>
              <w:suppressAutoHyphens/>
              <w:rPr>
                <w:sz w:val="20"/>
                <w:szCs w:val="20"/>
                <w:highlight w:val="yellow"/>
              </w:rPr>
            </w:pPr>
            <w:r w:rsidRPr="0017001D">
              <w:rPr>
                <w:sz w:val="20"/>
                <w:szCs w:val="20"/>
                <w:highlight w:val="yellow"/>
              </w:rPr>
              <w:t>1.612</w:t>
            </w:r>
          </w:p>
        </w:tc>
        <w:tc>
          <w:tcPr>
            <w:tcW w:w="345" w:type="pct"/>
            <w:gridSpan w:val="2"/>
            <w:tcBorders>
              <w:top w:val="single" w:sz="4" w:space="0" w:color="auto"/>
              <w:left w:val="single" w:sz="4" w:space="0" w:color="auto"/>
              <w:bottom w:val="single" w:sz="4" w:space="0" w:color="auto"/>
              <w:right w:val="single" w:sz="4" w:space="0" w:color="auto"/>
            </w:tcBorders>
          </w:tcPr>
          <w:p w14:paraId="2DB75DB2" w14:textId="77777777" w:rsidR="00C23BAE" w:rsidRPr="00227BE0" w:rsidRDefault="00C23BAE" w:rsidP="00C23BAE">
            <w:pPr>
              <w:widowControl w:val="0"/>
              <w:suppressAutoHyphens/>
              <w:jc w:val="center"/>
              <w:rPr>
                <w:noProof/>
                <w:sz w:val="20"/>
                <w:szCs w:val="20"/>
              </w:rPr>
            </w:pPr>
            <w:r w:rsidRPr="00227BE0">
              <w:rPr>
                <w:noProof/>
                <w:sz w:val="20"/>
                <w:szCs w:val="20"/>
              </w:rPr>
              <w:t>--</w:t>
            </w:r>
          </w:p>
        </w:tc>
      </w:tr>
      <w:tr w:rsidR="00C23BAE" w:rsidRPr="00227BE0" w14:paraId="719AD0DD" w14:textId="77777777" w:rsidTr="00977261">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7D09A4A7" w14:textId="77777777" w:rsidR="00C23BAE" w:rsidRPr="00227BE0" w:rsidRDefault="00C23BAE" w:rsidP="00C23BAE">
            <w:pPr>
              <w:widowControl w:val="0"/>
              <w:suppressAutoHyphens/>
              <w:rPr>
                <w:noProof/>
                <w:sz w:val="20"/>
                <w:szCs w:val="20"/>
                <w:vertAlign w:val="superscript"/>
              </w:rPr>
            </w:pPr>
            <w:r w:rsidRPr="00227BE0">
              <w:rPr>
                <w:sz w:val="20"/>
                <w:szCs w:val="20"/>
              </w:rPr>
              <w:t>D5 pond</w:t>
            </w:r>
          </w:p>
        </w:tc>
        <w:tc>
          <w:tcPr>
            <w:tcW w:w="278" w:type="pct"/>
            <w:tcBorders>
              <w:top w:val="single" w:sz="4" w:space="0" w:color="auto"/>
              <w:left w:val="single" w:sz="4" w:space="0" w:color="auto"/>
              <w:bottom w:val="single" w:sz="4" w:space="0" w:color="auto"/>
              <w:right w:val="single" w:sz="4" w:space="0" w:color="auto"/>
            </w:tcBorders>
            <w:vAlign w:val="center"/>
          </w:tcPr>
          <w:p w14:paraId="3403F6EA" w14:textId="77777777" w:rsidR="00C23BAE" w:rsidRPr="0017001D" w:rsidRDefault="00C23BAE" w:rsidP="00C23BAE">
            <w:pPr>
              <w:widowControl w:val="0"/>
              <w:suppressAutoHyphens/>
              <w:rPr>
                <w:strike/>
                <w:noProof/>
                <w:sz w:val="20"/>
                <w:szCs w:val="20"/>
                <w:highlight w:val="yellow"/>
              </w:rPr>
            </w:pPr>
            <w:r w:rsidRPr="0017001D">
              <w:rPr>
                <w:strike/>
                <w:noProof/>
                <w:sz w:val="20"/>
                <w:szCs w:val="20"/>
                <w:highlight w:val="yellow"/>
              </w:rPr>
              <w:t>0.194</w:t>
            </w:r>
          </w:p>
          <w:p w14:paraId="75FEA38F" w14:textId="2473013F" w:rsidR="00C23BAE" w:rsidRPr="00227BE0" w:rsidRDefault="00C23BAE" w:rsidP="00C23BAE">
            <w:pPr>
              <w:widowControl w:val="0"/>
              <w:suppressAutoHyphens/>
              <w:rPr>
                <w:noProof/>
                <w:sz w:val="20"/>
                <w:szCs w:val="20"/>
              </w:rPr>
            </w:pPr>
            <w:r w:rsidRPr="0017001D">
              <w:rPr>
                <w:noProof/>
                <w:sz w:val="20"/>
                <w:szCs w:val="20"/>
                <w:highlight w:val="yellow"/>
              </w:rPr>
              <w:t>0.196</w:t>
            </w:r>
          </w:p>
        </w:tc>
        <w:tc>
          <w:tcPr>
            <w:tcW w:w="286" w:type="pct"/>
            <w:tcBorders>
              <w:top w:val="single" w:sz="4" w:space="0" w:color="auto"/>
              <w:left w:val="single" w:sz="4" w:space="0" w:color="auto"/>
              <w:bottom w:val="single" w:sz="4" w:space="0" w:color="auto"/>
              <w:right w:val="single" w:sz="4" w:space="0" w:color="auto"/>
            </w:tcBorders>
            <w:vAlign w:val="center"/>
          </w:tcPr>
          <w:p w14:paraId="44D59FC2" w14:textId="77777777" w:rsidR="00C23BAE" w:rsidRPr="00227BE0" w:rsidRDefault="00C23BAE" w:rsidP="00C23BAE">
            <w:pPr>
              <w:widowControl w:val="0"/>
              <w:suppressAutoHyphens/>
              <w:jc w:val="center"/>
              <w:rPr>
                <w:noProof/>
                <w:sz w:val="20"/>
                <w:szCs w:val="20"/>
              </w:rPr>
            </w:pPr>
            <w:r w:rsidRPr="00227BE0">
              <w:rPr>
                <w:bCs/>
                <w:noProof/>
                <w:sz w:val="20"/>
                <w:szCs w:val="20"/>
              </w:rPr>
              <w:t>0.04</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525EA43A" w14:textId="77777777" w:rsidR="00C23BAE" w:rsidRPr="00227BE0" w:rsidRDefault="00C23BAE" w:rsidP="00C23BAE">
            <w:pPr>
              <w:widowControl w:val="0"/>
              <w:suppressAutoHyphens/>
              <w:jc w:val="center"/>
              <w:rPr>
                <w:noProof/>
                <w:sz w:val="20"/>
                <w:szCs w:val="20"/>
              </w:rPr>
            </w:pPr>
            <w:r w:rsidRPr="00227BE0">
              <w:rPr>
                <w:bCs/>
                <w:noProof/>
                <w:sz w:val="20"/>
                <w:szCs w:val="20"/>
              </w:rPr>
              <w:t>0.01</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B2DC31" w14:textId="75B86DF6" w:rsidR="00C23BAE" w:rsidRPr="006F4DE0" w:rsidRDefault="006F4DE0" w:rsidP="00C23BAE">
            <w:pPr>
              <w:widowControl w:val="0"/>
              <w:suppressAutoHyphens/>
              <w:jc w:val="center"/>
              <w:rPr>
                <w:noProof/>
                <w:sz w:val="20"/>
                <w:szCs w:val="20"/>
                <w:highlight w:val="yellow"/>
              </w:rPr>
            </w:pPr>
            <w:r w:rsidRPr="006F4DE0">
              <w:rPr>
                <w:noProof/>
                <w:sz w:val="20"/>
                <w:szCs w:val="20"/>
              </w:rPr>
              <w:t>0.36</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613D93A3" w14:textId="48DCB259" w:rsidR="00C23BAE" w:rsidRPr="0017001D" w:rsidRDefault="00C23BAE" w:rsidP="00C23BAE">
            <w:pPr>
              <w:widowControl w:val="0"/>
              <w:suppressAutoHyphens/>
              <w:jc w:val="center"/>
              <w:rPr>
                <w:bCs/>
                <w:strike/>
                <w:noProof/>
                <w:sz w:val="20"/>
                <w:szCs w:val="20"/>
                <w:highlight w:val="yellow"/>
              </w:rPr>
            </w:pPr>
            <w:r w:rsidRPr="0017001D">
              <w:rPr>
                <w:bCs/>
                <w:strike/>
                <w:noProof/>
                <w:sz w:val="20"/>
                <w:szCs w:val="20"/>
                <w:highlight w:val="yellow"/>
              </w:rPr>
              <w:t>0.08</w:t>
            </w:r>
          </w:p>
          <w:p w14:paraId="13CF1B3E" w14:textId="434B1A0F" w:rsidR="00C23BAE" w:rsidRPr="00227BE0" w:rsidRDefault="00C23BAE" w:rsidP="00C23BAE">
            <w:pPr>
              <w:widowControl w:val="0"/>
              <w:suppressAutoHyphens/>
              <w:jc w:val="center"/>
              <w:rPr>
                <w:noProof/>
                <w:sz w:val="20"/>
                <w:szCs w:val="20"/>
              </w:rPr>
            </w:pPr>
            <w:r w:rsidRPr="0017001D">
              <w:rPr>
                <w:bCs/>
                <w:noProof/>
                <w:sz w:val="20"/>
                <w:szCs w:val="20"/>
                <w:highlight w:val="yellow"/>
              </w:rPr>
              <w:t>0.09</w:t>
            </w:r>
          </w:p>
        </w:tc>
        <w:tc>
          <w:tcPr>
            <w:tcW w:w="337" w:type="pct"/>
            <w:tcBorders>
              <w:top w:val="single" w:sz="4" w:space="0" w:color="auto"/>
              <w:left w:val="single" w:sz="4" w:space="0" w:color="auto"/>
              <w:bottom w:val="single" w:sz="4" w:space="0" w:color="auto"/>
              <w:right w:val="single" w:sz="4" w:space="0" w:color="auto"/>
            </w:tcBorders>
            <w:vAlign w:val="center"/>
          </w:tcPr>
          <w:p w14:paraId="0B54C8A8" w14:textId="77777777" w:rsidR="00C23BAE" w:rsidRPr="00227BE0" w:rsidRDefault="00C23BAE" w:rsidP="00C23BAE">
            <w:pPr>
              <w:widowControl w:val="0"/>
              <w:suppressAutoHyphens/>
              <w:jc w:val="center"/>
              <w:rPr>
                <w:noProof/>
                <w:sz w:val="20"/>
                <w:szCs w:val="20"/>
              </w:rPr>
            </w:pPr>
            <w:r w:rsidRPr="00227BE0">
              <w:rPr>
                <w:bCs/>
                <w:noProof/>
                <w:sz w:val="20"/>
                <w:szCs w:val="20"/>
              </w:rPr>
              <w:t>0.04</w:t>
            </w:r>
          </w:p>
        </w:tc>
        <w:tc>
          <w:tcPr>
            <w:tcW w:w="405" w:type="pct"/>
            <w:tcBorders>
              <w:top w:val="single" w:sz="4" w:space="0" w:color="auto"/>
              <w:left w:val="single" w:sz="4" w:space="0" w:color="auto"/>
              <w:bottom w:val="single" w:sz="4" w:space="0" w:color="auto"/>
              <w:right w:val="single" w:sz="4" w:space="0" w:color="auto"/>
            </w:tcBorders>
            <w:vAlign w:val="center"/>
          </w:tcPr>
          <w:p w14:paraId="4EA2922C" w14:textId="77777777" w:rsidR="00C23BAE" w:rsidRPr="00227BE0" w:rsidRDefault="00C23BAE" w:rsidP="00C23BAE">
            <w:pPr>
              <w:widowControl w:val="0"/>
              <w:suppressAutoHyphens/>
              <w:jc w:val="center"/>
              <w:rPr>
                <w:noProof/>
                <w:sz w:val="20"/>
                <w:szCs w:val="20"/>
              </w:rPr>
            </w:pPr>
            <w:r w:rsidRPr="00227BE0">
              <w:rPr>
                <w:bCs/>
                <w:noProof/>
                <w:sz w:val="20"/>
                <w:szCs w:val="20"/>
              </w:rPr>
              <w:t>0.03</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975FB" w14:textId="627C6CD9" w:rsidR="00C23BAE" w:rsidRPr="00227BE0" w:rsidRDefault="00F45D9E" w:rsidP="00C23BAE">
            <w:pPr>
              <w:widowControl w:val="0"/>
              <w:suppressAutoHyphens/>
              <w:jc w:val="center"/>
              <w:rPr>
                <w:noProof/>
                <w:sz w:val="20"/>
                <w:szCs w:val="20"/>
              </w:rPr>
            </w:pPr>
            <w:r>
              <w:rPr>
                <w:noProof/>
                <w:sz w:val="20"/>
                <w:szCs w:val="20"/>
              </w:rPr>
              <w:t>0.01</w:t>
            </w:r>
          </w:p>
        </w:tc>
        <w:tc>
          <w:tcPr>
            <w:tcW w:w="374" w:type="pct"/>
            <w:tcBorders>
              <w:top w:val="single" w:sz="4" w:space="0" w:color="auto"/>
              <w:left w:val="single" w:sz="4" w:space="0" w:color="auto"/>
              <w:bottom w:val="single" w:sz="4" w:space="0" w:color="auto"/>
              <w:right w:val="single" w:sz="4" w:space="0" w:color="auto"/>
            </w:tcBorders>
          </w:tcPr>
          <w:p w14:paraId="4DCE8437" w14:textId="374266AB" w:rsidR="00C23BAE" w:rsidRPr="00227BE0" w:rsidRDefault="00C23BAE" w:rsidP="00C23BAE">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tcPr>
          <w:p w14:paraId="06B310D8" w14:textId="77777777" w:rsidR="00C23BAE" w:rsidRPr="00227BE0" w:rsidRDefault="00C23BAE" w:rsidP="00C23BAE">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1E99E04C" w14:textId="77777777" w:rsidR="00C23BAE" w:rsidRPr="00227BE0" w:rsidRDefault="00C23BAE" w:rsidP="00C23BAE">
            <w:pPr>
              <w:suppressAutoHyphens/>
              <w:jc w:val="center"/>
              <w:rPr>
                <w:sz w:val="20"/>
                <w:szCs w:val="20"/>
              </w:rPr>
            </w:pPr>
            <w:r w:rsidRPr="00227BE0">
              <w:rPr>
                <w:bCs/>
                <w:sz w:val="20"/>
                <w:szCs w:val="20"/>
              </w:rPr>
              <w:t>0.06</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1BE0882B" w14:textId="77777777" w:rsidR="00C23BAE" w:rsidRPr="0017001D" w:rsidRDefault="00C23BAE" w:rsidP="00C23BAE">
            <w:pPr>
              <w:suppressAutoHyphens/>
              <w:rPr>
                <w:strike/>
                <w:sz w:val="20"/>
                <w:szCs w:val="20"/>
                <w:highlight w:val="yellow"/>
              </w:rPr>
            </w:pPr>
            <w:r w:rsidRPr="0017001D">
              <w:rPr>
                <w:strike/>
                <w:sz w:val="20"/>
                <w:szCs w:val="20"/>
                <w:highlight w:val="yellow"/>
              </w:rPr>
              <w:t>1.816</w:t>
            </w:r>
          </w:p>
          <w:p w14:paraId="103E956F" w14:textId="636E0AE0" w:rsidR="00C23BAE" w:rsidRPr="0017001D" w:rsidRDefault="00C23BAE" w:rsidP="00C23BAE">
            <w:pPr>
              <w:suppressAutoHyphens/>
              <w:rPr>
                <w:sz w:val="20"/>
                <w:szCs w:val="20"/>
                <w:highlight w:val="yellow"/>
              </w:rPr>
            </w:pPr>
            <w:r w:rsidRPr="0017001D">
              <w:rPr>
                <w:sz w:val="20"/>
                <w:szCs w:val="20"/>
                <w:highlight w:val="yellow"/>
              </w:rPr>
              <w:t>1.707</w:t>
            </w:r>
          </w:p>
        </w:tc>
        <w:tc>
          <w:tcPr>
            <w:tcW w:w="345" w:type="pct"/>
            <w:gridSpan w:val="2"/>
            <w:tcBorders>
              <w:top w:val="single" w:sz="4" w:space="0" w:color="auto"/>
              <w:left w:val="single" w:sz="4" w:space="0" w:color="auto"/>
              <w:bottom w:val="single" w:sz="4" w:space="0" w:color="auto"/>
              <w:right w:val="single" w:sz="4" w:space="0" w:color="auto"/>
            </w:tcBorders>
          </w:tcPr>
          <w:p w14:paraId="4BF78449" w14:textId="77777777" w:rsidR="00C23BAE" w:rsidRPr="00227BE0" w:rsidRDefault="00C23BAE" w:rsidP="00C23BAE">
            <w:pPr>
              <w:widowControl w:val="0"/>
              <w:suppressAutoHyphens/>
              <w:jc w:val="center"/>
              <w:rPr>
                <w:noProof/>
                <w:sz w:val="20"/>
                <w:szCs w:val="20"/>
              </w:rPr>
            </w:pPr>
            <w:r w:rsidRPr="00227BE0">
              <w:rPr>
                <w:noProof/>
                <w:sz w:val="20"/>
                <w:szCs w:val="20"/>
              </w:rPr>
              <w:t>--</w:t>
            </w:r>
          </w:p>
        </w:tc>
      </w:tr>
      <w:tr w:rsidR="00C23BAE" w:rsidRPr="00227BE0" w14:paraId="6450D683" w14:textId="77777777" w:rsidTr="00977261">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5B4BA126" w14:textId="77777777" w:rsidR="00C23BAE" w:rsidRPr="00227BE0" w:rsidRDefault="00C23BAE" w:rsidP="00C23BAE">
            <w:pPr>
              <w:widowControl w:val="0"/>
              <w:suppressAutoHyphens/>
              <w:rPr>
                <w:noProof/>
                <w:sz w:val="20"/>
                <w:szCs w:val="20"/>
                <w:vertAlign w:val="superscript"/>
              </w:rPr>
            </w:pPr>
            <w:r w:rsidRPr="00227BE0">
              <w:rPr>
                <w:sz w:val="20"/>
                <w:szCs w:val="20"/>
              </w:rPr>
              <w:lastRenderedPageBreak/>
              <w:t>D5 stream</w:t>
            </w:r>
          </w:p>
        </w:tc>
        <w:tc>
          <w:tcPr>
            <w:tcW w:w="278" w:type="pct"/>
            <w:tcBorders>
              <w:top w:val="single" w:sz="4" w:space="0" w:color="auto"/>
              <w:left w:val="single" w:sz="4" w:space="0" w:color="auto"/>
              <w:bottom w:val="single" w:sz="4" w:space="0" w:color="auto"/>
              <w:right w:val="single" w:sz="4" w:space="0" w:color="auto"/>
            </w:tcBorders>
            <w:vAlign w:val="center"/>
          </w:tcPr>
          <w:p w14:paraId="7F721A2C" w14:textId="28C44EE5" w:rsidR="00C23BAE" w:rsidRPr="00227BE0" w:rsidRDefault="00C23BAE" w:rsidP="00C23BAE">
            <w:pPr>
              <w:widowControl w:val="0"/>
              <w:suppressAutoHyphens/>
              <w:rPr>
                <w:noProof/>
                <w:sz w:val="20"/>
                <w:szCs w:val="20"/>
              </w:rPr>
            </w:pPr>
            <w:r w:rsidRPr="00227BE0">
              <w:rPr>
                <w:noProof/>
                <w:sz w:val="20"/>
                <w:szCs w:val="20"/>
              </w:rPr>
              <w:t>0.801</w:t>
            </w:r>
          </w:p>
        </w:tc>
        <w:tc>
          <w:tcPr>
            <w:tcW w:w="286" w:type="pct"/>
            <w:tcBorders>
              <w:top w:val="single" w:sz="4" w:space="0" w:color="auto"/>
              <w:left w:val="single" w:sz="4" w:space="0" w:color="auto"/>
              <w:bottom w:val="single" w:sz="4" w:space="0" w:color="auto"/>
              <w:right w:val="single" w:sz="4" w:space="0" w:color="auto"/>
            </w:tcBorders>
            <w:vAlign w:val="center"/>
          </w:tcPr>
          <w:p w14:paraId="5763155A" w14:textId="77777777" w:rsidR="00C23BAE" w:rsidRPr="00227BE0" w:rsidRDefault="00C23BAE" w:rsidP="00C23BAE">
            <w:pPr>
              <w:widowControl w:val="0"/>
              <w:suppressAutoHyphens/>
              <w:jc w:val="center"/>
              <w:rPr>
                <w:noProof/>
                <w:sz w:val="20"/>
                <w:szCs w:val="20"/>
              </w:rPr>
            </w:pPr>
            <w:r w:rsidRPr="00227BE0">
              <w:rPr>
                <w:bCs/>
                <w:noProof/>
                <w:sz w:val="20"/>
                <w:szCs w:val="20"/>
              </w:rPr>
              <w:t>0.2</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0F36F1D8" w14:textId="77777777" w:rsidR="00C23BAE" w:rsidRPr="00227BE0" w:rsidRDefault="00C23BAE" w:rsidP="00C23BAE">
            <w:pPr>
              <w:widowControl w:val="0"/>
              <w:suppressAutoHyphens/>
              <w:jc w:val="center"/>
              <w:rPr>
                <w:noProof/>
                <w:sz w:val="20"/>
                <w:szCs w:val="20"/>
              </w:rPr>
            </w:pPr>
            <w:r w:rsidRPr="00227BE0">
              <w:rPr>
                <w:bCs/>
                <w:noProof/>
                <w:sz w:val="20"/>
                <w:szCs w:val="20"/>
              </w:rPr>
              <w:t>0.05</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96D7A8" w14:textId="1371E177" w:rsidR="00C23BAE" w:rsidRPr="00A12E21" w:rsidRDefault="006E3541" w:rsidP="00C23BAE">
            <w:pPr>
              <w:widowControl w:val="0"/>
              <w:suppressAutoHyphens/>
              <w:jc w:val="center"/>
              <w:rPr>
                <w:b/>
                <w:noProof/>
                <w:sz w:val="20"/>
                <w:szCs w:val="20"/>
              </w:rPr>
            </w:pPr>
            <w:r>
              <w:rPr>
                <w:b/>
                <w:noProof/>
                <w:sz w:val="20"/>
                <w:szCs w:val="20"/>
              </w:rPr>
              <w:t>1.46</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49E89E45" w14:textId="786E53EE" w:rsidR="00C23BAE" w:rsidRPr="00227BE0" w:rsidRDefault="00C23BAE" w:rsidP="00C23BAE">
            <w:pPr>
              <w:widowControl w:val="0"/>
              <w:suppressAutoHyphens/>
              <w:jc w:val="center"/>
              <w:rPr>
                <w:noProof/>
                <w:sz w:val="20"/>
                <w:szCs w:val="20"/>
              </w:rPr>
            </w:pPr>
            <w:r w:rsidRPr="00227BE0">
              <w:rPr>
                <w:bCs/>
                <w:noProof/>
                <w:sz w:val="20"/>
                <w:szCs w:val="20"/>
              </w:rPr>
              <w:t>0.3</w:t>
            </w:r>
          </w:p>
        </w:tc>
        <w:tc>
          <w:tcPr>
            <w:tcW w:w="337" w:type="pct"/>
            <w:tcBorders>
              <w:top w:val="single" w:sz="4" w:space="0" w:color="auto"/>
              <w:left w:val="single" w:sz="4" w:space="0" w:color="auto"/>
              <w:bottom w:val="single" w:sz="4" w:space="0" w:color="auto"/>
              <w:right w:val="single" w:sz="4" w:space="0" w:color="auto"/>
            </w:tcBorders>
            <w:vAlign w:val="center"/>
          </w:tcPr>
          <w:p w14:paraId="7C0C9CBF" w14:textId="77777777" w:rsidR="00C23BAE" w:rsidRPr="00227BE0" w:rsidRDefault="00C23BAE" w:rsidP="00C23BAE">
            <w:pPr>
              <w:widowControl w:val="0"/>
              <w:suppressAutoHyphens/>
              <w:jc w:val="center"/>
              <w:rPr>
                <w:noProof/>
                <w:sz w:val="20"/>
                <w:szCs w:val="20"/>
              </w:rPr>
            </w:pPr>
            <w:r w:rsidRPr="00227BE0">
              <w:rPr>
                <w:bCs/>
                <w:noProof/>
                <w:sz w:val="20"/>
                <w:szCs w:val="20"/>
              </w:rPr>
              <w:t>0.2</w:t>
            </w:r>
          </w:p>
        </w:tc>
        <w:tc>
          <w:tcPr>
            <w:tcW w:w="405" w:type="pct"/>
            <w:tcBorders>
              <w:top w:val="single" w:sz="4" w:space="0" w:color="auto"/>
              <w:left w:val="single" w:sz="4" w:space="0" w:color="auto"/>
              <w:bottom w:val="single" w:sz="4" w:space="0" w:color="auto"/>
              <w:right w:val="single" w:sz="4" w:space="0" w:color="auto"/>
            </w:tcBorders>
            <w:vAlign w:val="center"/>
          </w:tcPr>
          <w:p w14:paraId="0AE649DF" w14:textId="77777777" w:rsidR="00C23BAE" w:rsidRPr="00227BE0" w:rsidRDefault="00C23BAE" w:rsidP="00C23BAE">
            <w:pPr>
              <w:widowControl w:val="0"/>
              <w:suppressAutoHyphens/>
              <w:jc w:val="center"/>
              <w:rPr>
                <w:noProof/>
                <w:sz w:val="20"/>
                <w:szCs w:val="20"/>
              </w:rPr>
            </w:pPr>
            <w:r w:rsidRPr="00227BE0">
              <w:rPr>
                <w:bCs/>
                <w:noProof/>
                <w:sz w:val="20"/>
                <w:szCs w:val="20"/>
              </w:rPr>
              <w:t>0.1</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265FFA" w14:textId="644EB180" w:rsidR="00C23BAE" w:rsidRPr="00227BE0" w:rsidRDefault="0087615F" w:rsidP="00C23BAE">
            <w:pPr>
              <w:widowControl w:val="0"/>
              <w:suppressAutoHyphens/>
              <w:jc w:val="center"/>
              <w:rPr>
                <w:noProof/>
                <w:sz w:val="20"/>
                <w:szCs w:val="20"/>
              </w:rPr>
            </w:pPr>
            <w:r>
              <w:rPr>
                <w:noProof/>
                <w:sz w:val="20"/>
                <w:szCs w:val="20"/>
              </w:rPr>
              <w:t>0.05</w:t>
            </w:r>
          </w:p>
        </w:tc>
        <w:tc>
          <w:tcPr>
            <w:tcW w:w="374" w:type="pct"/>
            <w:tcBorders>
              <w:top w:val="single" w:sz="4" w:space="0" w:color="auto"/>
              <w:left w:val="single" w:sz="4" w:space="0" w:color="auto"/>
              <w:bottom w:val="single" w:sz="4" w:space="0" w:color="auto"/>
              <w:right w:val="single" w:sz="4" w:space="0" w:color="auto"/>
            </w:tcBorders>
          </w:tcPr>
          <w:p w14:paraId="3FAC9481" w14:textId="77ABE2BD" w:rsidR="00C23BAE" w:rsidRPr="00227BE0" w:rsidRDefault="00C23BAE" w:rsidP="00C23BAE">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tcPr>
          <w:p w14:paraId="5AC9DDF2" w14:textId="77777777" w:rsidR="00C23BAE" w:rsidRPr="00227BE0" w:rsidRDefault="00C23BAE" w:rsidP="00C23BAE">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0D5478E4" w14:textId="77777777" w:rsidR="00C23BAE" w:rsidRPr="00227BE0" w:rsidRDefault="00C23BAE" w:rsidP="00C23BAE">
            <w:pPr>
              <w:suppressAutoHyphens/>
              <w:jc w:val="center"/>
              <w:rPr>
                <w:sz w:val="20"/>
                <w:szCs w:val="20"/>
              </w:rPr>
            </w:pPr>
            <w:r w:rsidRPr="00227BE0">
              <w:rPr>
                <w:bCs/>
                <w:sz w:val="20"/>
                <w:szCs w:val="20"/>
              </w:rPr>
              <w:t>0.2</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50445644" w14:textId="77777777" w:rsidR="00C23BAE" w:rsidRPr="0017001D" w:rsidRDefault="00C23BAE" w:rsidP="00C23BAE">
            <w:pPr>
              <w:suppressAutoHyphens/>
              <w:rPr>
                <w:strike/>
                <w:sz w:val="20"/>
                <w:szCs w:val="20"/>
                <w:highlight w:val="yellow"/>
              </w:rPr>
            </w:pPr>
            <w:r w:rsidRPr="0017001D">
              <w:rPr>
                <w:strike/>
                <w:sz w:val="20"/>
                <w:szCs w:val="20"/>
                <w:highlight w:val="yellow"/>
              </w:rPr>
              <w:t>0.381</w:t>
            </w:r>
          </w:p>
          <w:p w14:paraId="7CAE6C7C" w14:textId="40871A15" w:rsidR="00C23BAE" w:rsidRPr="0017001D" w:rsidRDefault="00C23BAE" w:rsidP="00C23BAE">
            <w:pPr>
              <w:suppressAutoHyphens/>
              <w:rPr>
                <w:sz w:val="20"/>
                <w:szCs w:val="20"/>
                <w:highlight w:val="yellow"/>
              </w:rPr>
            </w:pPr>
            <w:r w:rsidRPr="0017001D">
              <w:rPr>
                <w:sz w:val="20"/>
                <w:szCs w:val="20"/>
                <w:highlight w:val="yellow"/>
              </w:rPr>
              <w:t>0.384</w:t>
            </w:r>
          </w:p>
        </w:tc>
        <w:tc>
          <w:tcPr>
            <w:tcW w:w="345" w:type="pct"/>
            <w:gridSpan w:val="2"/>
            <w:tcBorders>
              <w:top w:val="single" w:sz="4" w:space="0" w:color="auto"/>
              <w:left w:val="single" w:sz="4" w:space="0" w:color="auto"/>
              <w:bottom w:val="single" w:sz="4" w:space="0" w:color="auto"/>
              <w:right w:val="single" w:sz="4" w:space="0" w:color="auto"/>
            </w:tcBorders>
          </w:tcPr>
          <w:p w14:paraId="4A84D0F3" w14:textId="77777777" w:rsidR="00C23BAE" w:rsidRPr="00227BE0" w:rsidRDefault="00C23BAE" w:rsidP="00C23BAE">
            <w:pPr>
              <w:widowControl w:val="0"/>
              <w:suppressAutoHyphens/>
              <w:jc w:val="center"/>
              <w:rPr>
                <w:noProof/>
                <w:sz w:val="20"/>
                <w:szCs w:val="20"/>
              </w:rPr>
            </w:pPr>
            <w:r w:rsidRPr="00227BE0">
              <w:rPr>
                <w:noProof/>
                <w:sz w:val="20"/>
                <w:szCs w:val="20"/>
              </w:rPr>
              <w:t>--</w:t>
            </w:r>
          </w:p>
        </w:tc>
      </w:tr>
      <w:tr w:rsidR="00C23BAE" w:rsidRPr="00227BE0" w14:paraId="3CDC9863" w14:textId="77777777" w:rsidTr="00977261">
        <w:trPr>
          <w:cantSplit/>
        </w:trPr>
        <w:tc>
          <w:tcPr>
            <w:tcW w:w="463" w:type="pct"/>
            <w:tcBorders>
              <w:top w:val="single" w:sz="4" w:space="0" w:color="auto"/>
              <w:left w:val="single" w:sz="4" w:space="0" w:color="auto"/>
              <w:bottom w:val="single" w:sz="4" w:space="0" w:color="auto"/>
              <w:right w:val="single" w:sz="4" w:space="0" w:color="auto"/>
            </w:tcBorders>
            <w:vAlign w:val="center"/>
            <w:hideMark/>
          </w:tcPr>
          <w:p w14:paraId="0C42506F" w14:textId="77777777" w:rsidR="00C23BAE" w:rsidRPr="00227BE0" w:rsidRDefault="00C23BAE" w:rsidP="00C23BAE">
            <w:pPr>
              <w:widowControl w:val="0"/>
              <w:suppressAutoHyphens/>
              <w:rPr>
                <w:noProof/>
                <w:sz w:val="20"/>
                <w:szCs w:val="20"/>
                <w:vertAlign w:val="superscript"/>
              </w:rPr>
            </w:pPr>
            <w:r w:rsidRPr="00227BE0">
              <w:rPr>
                <w:sz w:val="20"/>
                <w:szCs w:val="20"/>
              </w:rPr>
              <w:t>R4 stream</w:t>
            </w:r>
          </w:p>
        </w:tc>
        <w:tc>
          <w:tcPr>
            <w:tcW w:w="278" w:type="pct"/>
            <w:tcBorders>
              <w:top w:val="single" w:sz="4" w:space="0" w:color="auto"/>
              <w:left w:val="single" w:sz="4" w:space="0" w:color="auto"/>
              <w:bottom w:val="single" w:sz="4" w:space="0" w:color="auto"/>
              <w:right w:val="single" w:sz="4" w:space="0" w:color="auto"/>
            </w:tcBorders>
            <w:vAlign w:val="center"/>
          </w:tcPr>
          <w:p w14:paraId="1B92155E" w14:textId="77777777" w:rsidR="00C23BAE" w:rsidRPr="0017001D" w:rsidRDefault="00C23BAE" w:rsidP="00C23BAE">
            <w:pPr>
              <w:widowControl w:val="0"/>
              <w:suppressAutoHyphens/>
              <w:rPr>
                <w:strike/>
                <w:noProof/>
                <w:sz w:val="20"/>
                <w:szCs w:val="20"/>
                <w:highlight w:val="yellow"/>
              </w:rPr>
            </w:pPr>
            <w:r w:rsidRPr="0017001D">
              <w:rPr>
                <w:strike/>
                <w:noProof/>
                <w:sz w:val="20"/>
                <w:szCs w:val="20"/>
                <w:highlight w:val="yellow"/>
              </w:rPr>
              <w:t>3.027</w:t>
            </w:r>
          </w:p>
          <w:p w14:paraId="67147AED" w14:textId="01781399" w:rsidR="00C23BAE" w:rsidRPr="00227BE0" w:rsidRDefault="00C23BAE" w:rsidP="00C23BAE">
            <w:pPr>
              <w:widowControl w:val="0"/>
              <w:suppressAutoHyphens/>
              <w:rPr>
                <w:noProof/>
                <w:sz w:val="20"/>
                <w:szCs w:val="20"/>
              </w:rPr>
            </w:pPr>
            <w:r w:rsidRPr="0017001D">
              <w:rPr>
                <w:noProof/>
                <w:sz w:val="20"/>
                <w:szCs w:val="20"/>
                <w:highlight w:val="yellow"/>
              </w:rPr>
              <w:t>1.771</w:t>
            </w:r>
          </w:p>
        </w:tc>
        <w:tc>
          <w:tcPr>
            <w:tcW w:w="286" w:type="pct"/>
            <w:tcBorders>
              <w:top w:val="single" w:sz="4" w:space="0" w:color="auto"/>
              <w:left w:val="single" w:sz="4" w:space="0" w:color="auto"/>
              <w:bottom w:val="single" w:sz="4" w:space="0" w:color="auto"/>
              <w:right w:val="single" w:sz="4" w:space="0" w:color="auto"/>
            </w:tcBorders>
            <w:vAlign w:val="center"/>
          </w:tcPr>
          <w:p w14:paraId="1922AAF4" w14:textId="77777777" w:rsidR="00C23BAE" w:rsidRPr="0017001D" w:rsidRDefault="00C23BAE" w:rsidP="00C23BAE">
            <w:pPr>
              <w:widowControl w:val="0"/>
              <w:suppressAutoHyphens/>
              <w:jc w:val="center"/>
              <w:rPr>
                <w:bCs/>
                <w:strike/>
                <w:noProof/>
                <w:sz w:val="20"/>
                <w:szCs w:val="20"/>
                <w:highlight w:val="yellow"/>
              </w:rPr>
            </w:pPr>
            <w:r w:rsidRPr="0017001D">
              <w:rPr>
                <w:bCs/>
                <w:strike/>
                <w:noProof/>
                <w:sz w:val="20"/>
                <w:szCs w:val="20"/>
                <w:highlight w:val="yellow"/>
              </w:rPr>
              <w:t>0.6</w:t>
            </w:r>
          </w:p>
          <w:p w14:paraId="17BCD6AD" w14:textId="002D51DF" w:rsidR="00C23BAE" w:rsidRPr="0017001D" w:rsidRDefault="00C23BAE" w:rsidP="00C23BAE">
            <w:pPr>
              <w:widowControl w:val="0"/>
              <w:suppressAutoHyphens/>
              <w:jc w:val="center"/>
              <w:rPr>
                <w:noProof/>
                <w:sz w:val="20"/>
                <w:szCs w:val="20"/>
                <w:highlight w:val="yellow"/>
              </w:rPr>
            </w:pPr>
            <w:r w:rsidRPr="0017001D">
              <w:rPr>
                <w:bCs/>
                <w:noProof/>
                <w:sz w:val="20"/>
                <w:szCs w:val="20"/>
                <w:highlight w:val="yellow"/>
              </w:rPr>
              <w:t>0.4</w:t>
            </w:r>
          </w:p>
        </w:tc>
        <w:tc>
          <w:tcPr>
            <w:tcW w:w="337" w:type="pct"/>
            <w:gridSpan w:val="2"/>
            <w:tcBorders>
              <w:top w:val="single" w:sz="4" w:space="0" w:color="auto"/>
              <w:left w:val="single" w:sz="4" w:space="0" w:color="auto"/>
              <w:bottom w:val="single" w:sz="4" w:space="0" w:color="auto"/>
              <w:right w:val="single" w:sz="4" w:space="0" w:color="auto"/>
            </w:tcBorders>
            <w:vAlign w:val="center"/>
          </w:tcPr>
          <w:p w14:paraId="5C59B933" w14:textId="77777777" w:rsidR="00C23BAE" w:rsidRPr="0017001D" w:rsidRDefault="00C23BAE" w:rsidP="00C23BAE">
            <w:pPr>
              <w:widowControl w:val="0"/>
              <w:suppressAutoHyphens/>
              <w:jc w:val="center"/>
              <w:rPr>
                <w:bCs/>
                <w:strike/>
                <w:noProof/>
                <w:sz w:val="20"/>
                <w:szCs w:val="20"/>
                <w:highlight w:val="yellow"/>
              </w:rPr>
            </w:pPr>
            <w:r w:rsidRPr="0017001D">
              <w:rPr>
                <w:bCs/>
                <w:strike/>
                <w:noProof/>
                <w:sz w:val="20"/>
                <w:szCs w:val="20"/>
                <w:highlight w:val="yellow"/>
              </w:rPr>
              <w:t>0.2</w:t>
            </w:r>
          </w:p>
          <w:p w14:paraId="428478FF" w14:textId="2159B9C8" w:rsidR="00C23BAE" w:rsidRPr="0017001D" w:rsidRDefault="00C23BAE" w:rsidP="00C23BAE">
            <w:pPr>
              <w:widowControl w:val="0"/>
              <w:suppressAutoHyphens/>
              <w:jc w:val="center"/>
              <w:rPr>
                <w:noProof/>
                <w:sz w:val="20"/>
                <w:szCs w:val="20"/>
                <w:highlight w:val="yellow"/>
              </w:rPr>
            </w:pPr>
            <w:r w:rsidRPr="0017001D">
              <w:rPr>
                <w:bCs/>
                <w:noProof/>
                <w:sz w:val="20"/>
                <w:szCs w:val="20"/>
                <w:highlight w:val="yellow"/>
              </w:rPr>
              <w:t>0.1</w:t>
            </w:r>
          </w:p>
        </w:tc>
        <w:tc>
          <w:tcPr>
            <w:tcW w:w="31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A07E37" w14:textId="062AD474" w:rsidR="00C23BAE" w:rsidRPr="006E3541" w:rsidRDefault="006E3541" w:rsidP="00C23BAE">
            <w:pPr>
              <w:widowControl w:val="0"/>
              <w:suppressAutoHyphens/>
              <w:jc w:val="center"/>
              <w:rPr>
                <w:b/>
                <w:noProof/>
                <w:sz w:val="20"/>
                <w:szCs w:val="20"/>
                <w:highlight w:val="yellow"/>
              </w:rPr>
            </w:pPr>
            <w:r w:rsidRPr="006E3541">
              <w:rPr>
                <w:b/>
                <w:noProof/>
                <w:sz w:val="20"/>
                <w:szCs w:val="20"/>
              </w:rPr>
              <w:t>3.22</w:t>
            </w:r>
          </w:p>
        </w:tc>
        <w:tc>
          <w:tcPr>
            <w:tcW w:w="319" w:type="pct"/>
            <w:gridSpan w:val="2"/>
            <w:tcBorders>
              <w:top w:val="single" w:sz="4" w:space="0" w:color="auto"/>
              <w:left w:val="single" w:sz="4" w:space="0" w:color="auto"/>
              <w:bottom w:val="single" w:sz="4" w:space="0" w:color="auto"/>
              <w:right w:val="single" w:sz="4" w:space="0" w:color="auto"/>
            </w:tcBorders>
            <w:vAlign w:val="center"/>
          </w:tcPr>
          <w:p w14:paraId="45C528A2" w14:textId="11299E09" w:rsidR="00C23BAE" w:rsidRPr="0017001D" w:rsidRDefault="00C23BAE" w:rsidP="00C23BAE">
            <w:pPr>
              <w:widowControl w:val="0"/>
              <w:suppressAutoHyphens/>
              <w:jc w:val="center"/>
              <w:rPr>
                <w:b/>
                <w:bCs/>
                <w:strike/>
                <w:noProof/>
                <w:sz w:val="20"/>
                <w:szCs w:val="20"/>
                <w:highlight w:val="yellow"/>
              </w:rPr>
            </w:pPr>
            <w:r w:rsidRPr="0017001D">
              <w:rPr>
                <w:b/>
                <w:bCs/>
                <w:strike/>
                <w:noProof/>
                <w:sz w:val="20"/>
                <w:szCs w:val="20"/>
                <w:highlight w:val="yellow"/>
              </w:rPr>
              <w:t>1.3</w:t>
            </w:r>
          </w:p>
          <w:p w14:paraId="6F22B9C8" w14:textId="563E7D2B" w:rsidR="00C23BAE" w:rsidRPr="0017001D" w:rsidRDefault="00C23BAE" w:rsidP="00C23BAE">
            <w:pPr>
              <w:widowControl w:val="0"/>
              <w:suppressAutoHyphens/>
              <w:jc w:val="center"/>
              <w:rPr>
                <w:noProof/>
                <w:highlight w:val="yellow"/>
              </w:rPr>
            </w:pPr>
            <w:r w:rsidRPr="0017001D">
              <w:rPr>
                <w:bCs/>
                <w:noProof/>
                <w:sz w:val="20"/>
                <w:szCs w:val="20"/>
                <w:highlight w:val="yellow"/>
              </w:rPr>
              <w:t>0.8</w:t>
            </w:r>
          </w:p>
        </w:tc>
        <w:tc>
          <w:tcPr>
            <w:tcW w:w="337" w:type="pct"/>
            <w:tcBorders>
              <w:top w:val="single" w:sz="4" w:space="0" w:color="auto"/>
              <w:left w:val="single" w:sz="4" w:space="0" w:color="auto"/>
              <w:bottom w:val="single" w:sz="4" w:space="0" w:color="auto"/>
              <w:right w:val="single" w:sz="4" w:space="0" w:color="auto"/>
            </w:tcBorders>
            <w:vAlign w:val="center"/>
          </w:tcPr>
          <w:p w14:paraId="6D0308DC" w14:textId="77777777" w:rsidR="00C23BAE" w:rsidRPr="0017001D" w:rsidRDefault="00C23BAE" w:rsidP="00C23BAE">
            <w:pPr>
              <w:widowControl w:val="0"/>
              <w:suppressAutoHyphens/>
              <w:jc w:val="center"/>
              <w:rPr>
                <w:bCs/>
                <w:strike/>
                <w:noProof/>
                <w:sz w:val="20"/>
                <w:szCs w:val="20"/>
                <w:highlight w:val="yellow"/>
              </w:rPr>
            </w:pPr>
            <w:r w:rsidRPr="0017001D">
              <w:rPr>
                <w:bCs/>
                <w:strike/>
                <w:noProof/>
                <w:sz w:val="20"/>
                <w:szCs w:val="20"/>
                <w:highlight w:val="yellow"/>
              </w:rPr>
              <w:t>0.7</w:t>
            </w:r>
          </w:p>
          <w:p w14:paraId="223E241F" w14:textId="744E05DE" w:rsidR="00C23BAE" w:rsidRPr="0017001D" w:rsidRDefault="00C23BAE" w:rsidP="00C23BAE">
            <w:pPr>
              <w:widowControl w:val="0"/>
              <w:suppressAutoHyphens/>
              <w:jc w:val="center"/>
              <w:rPr>
                <w:noProof/>
                <w:sz w:val="20"/>
                <w:szCs w:val="20"/>
                <w:highlight w:val="yellow"/>
              </w:rPr>
            </w:pPr>
            <w:r w:rsidRPr="0017001D">
              <w:rPr>
                <w:noProof/>
                <w:sz w:val="20"/>
                <w:szCs w:val="20"/>
                <w:highlight w:val="yellow"/>
              </w:rPr>
              <w:t>0.4</w:t>
            </w:r>
          </w:p>
        </w:tc>
        <w:tc>
          <w:tcPr>
            <w:tcW w:w="405" w:type="pct"/>
            <w:tcBorders>
              <w:top w:val="single" w:sz="4" w:space="0" w:color="auto"/>
              <w:left w:val="single" w:sz="4" w:space="0" w:color="auto"/>
              <w:bottom w:val="single" w:sz="4" w:space="0" w:color="auto"/>
              <w:right w:val="single" w:sz="4" w:space="0" w:color="auto"/>
            </w:tcBorders>
            <w:vAlign w:val="center"/>
          </w:tcPr>
          <w:p w14:paraId="7CAB7919" w14:textId="77777777" w:rsidR="00C23BAE" w:rsidRPr="0017001D" w:rsidRDefault="00C23BAE" w:rsidP="00C23BAE">
            <w:pPr>
              <w:widowControl w:val="0"/>
              <w:suppressAutoHyphens/>
              <w:jc w:val="center"/>
              <w:rPr>
                <w:bCs/>
                <w:strike/>
                <w:noProof/>
                <w:sz w:val="20"/>
                <w:szCs w:val="20"/>
                <w:highlight w:val="yellow"/>
              </w:rPr>
            </w:pPr>
            <w:r w:rsidRPr="0017001D">
              <w:rPr>
                <w:bCs/>
                <w:strike/>
                <w:noProof/>
                <w:sz w:val="20"/>
                <w:szCs w:val="20"/>
                <w:highlight w:val="yellow"/>
              </w:rPr>
              <w:t>0.5</w:t>
            </w:r>
          </w:p>
          <w:p w14:paraId="44FC737B" w14:textId="4699CA26" w:rsidR="00C23BAE" w:rsidRPr="0017001D" w:rsidRDefault="00C23BAE" w:rsidP="00C23BAE">
            <w:pPr>
              <w:widowControl w:val="0"/>
              <w:suppressAutoHyphens/>
              <w:jc w:val="center"/>
              <w:rPr>
                <w:noProof/>
                <w:sz w:val="20"/>
                <w:szCs w:val="20"/>
                <w:highlight w:val="yellow"/>
              </w:rPr>
            </w:pPr>
            <w:r w:rsidRPr="0017001D">
              <w:rPr>
                <w:bCs/>
                <w:noProof/>
                <w:sz w:val="20"/>
                <w:szCs w:val="20"/>
                <w:highlight w:val="yellow"/>
              </w:rPr>
              <w:t>0.3</w:t>
            </w:r>
          </w:p>
        </w:tc>
        <w:tc>
          <w:tcPr>
            <w:tcW w:w="37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DBB6DD" w14:textId="43FA997D" w:rsidR="00C23BAE" w:rsidRPr="00227BE0" w:rsidRDefault="0087615F" w:rsidP="00C23BAE">
            <w:pPr>
              <w:widowControl w:val="0"/>
              <w:suppressAutoHyphens/>
              <w:jc w:val="center"/>
              <w:rPr>
                <w:noProof/>
                <w:sz w:val="20"/>
                <w:szCs w:val="20"/>
              </w:rPr>
            </w:pPr>
            <w:r>
              <w:rPr>
                <w:noProof/>
                <w:sz w:val="20"/>
                <w:szCs w:val="20"/>
              </w:rPr>
              <w:t>0.12</w:t>
            </w:r>
          </w:p>
        </w:tc>
        <w:tc>
          <w:tcPr>
            <w:tcW w:w="374" w:type="pct"/>
            <w:tcBorders>
              <w:top w:val="single" w:sz="4" w:space="0" w:color="auto"/>
              <w:left w:val="single" w:sz="4" w:space="0" w:color="auto"/>
              <w:bottom w:val="single" w:sz="4" w:space="0" w:color="auto"/>
              <w:right w:val="single" w:sz="4" w:space="0" w:color="auto"/>
            </w:tcBorders>
          </w:tcPr>
          <w:p w14:paraId="23E714B2" w14:textId="21218AEF" w:rsidR="00C23BAE" w:rsidRPr="00227BE0" w:rsidRDefault="00C23BAE" w:rsidP="00C23BAE">
            <w:pPr>
              <w:widowControl w:val="0"/>
              <w:suppressAutoHyphens/>
              <w:jc w:val="center"/>
              <w:rPr>
                <w:noProof/>
                <w:sz w:val="20"/>
                <w:szCs w:val="20"/>
              </w:rPr>
            </w:pPr>
            <w:r w:rsidRPr="00227BE0">
              <w:rPr>
                <w:noProof/>
                <w:sz w:val="20"/>
                <w:szCs w:val="20"/>
              </w:rPr>
              <w:t>--</w:t>
            </w:r>
          </w:p>
        </w:tc>
        <w:tc>
          <w:tcPr>
            <w:tcW w:w="357" w:type="pct"/>
            <w:tcBorders>
              <w:top w:val="single" w:sz="4" w:space="0" w:color="auto"/>
              <w:left w:val="single" w:sz="4" w:space="0" w:color="auto"/>
              <w:bottom w:val="single" w:sz="4" w:space="0" w:color="auto"/>
              <w:right w:val="single" w:sz="4" w:space="0" w:color="auto"/>
            </w:tcBorders>
          </w:tcPr>
          <w:p w14:paraId="7311B06D" w14:textId="77777777" w:rsidR="00C23BAE" w:rsidRPr="00227BE0" w:rsidRDefault="00C23BAE" w:rsidP="00C23BAE">
            <w:pPr>
              <w:suppressAutoHyphens/>
              <w:jc w:val="center"/>
              <w:rPr>
                <w:sz w:val="20"/>
                <w:szCs w:val="20"/>
                <w:lang w:eastAsia="en-US"/>
              </w:rPr>
            </w:pPr>
            <w:r w:rsidRPr="00227BE0">
              <w:rPr>
                <w:noProof/>
                <w:sz w:val="20"/>
                <w:szCs w:val="20"/>
              </w:rPr>
              <w:t>--</w:t>
            </w:r>
          </w:p>
        </w:tc>
        <w:tc>
          <w:tcPr>
            <w:tcW w:w="406" w:type="pct"/>
            <w:tcBorders>
              <w:top w:val="single" w:sz="4" w:space="0" w:color="auto"/>
              <w:left w:val="single" w:sz="4" w:space="0" w:color="auto"/>
              <w:bottom w:val="single" w:sz="4" w:space="0" w:color="auto"/>
              <w:right w:val="single" w:sz="4" w:space="0" w:color="auto"/>
            </w:tcBorders>
            <w:vAlign w:val="center"/>
          </w:tcPr>
          <w:p w14:paraId="61CA1493" w14:textId="77777777" w:rsidR="00C23BAE" w:rsidRPr="0017001D" w:rsidRDefault="00C23BAE" w:rsidP="00C23BAE">
            <w:pPr>
              <w:suppressAutoHyphens/>
              <w:jc w:val="center"/>
              <w:rPr>
                <w:bCs/>
                <w:strike/>
                <w:sz w:val="20"/>
                <w:szCs w:val="20"/>
                <w:highlight w:val="yellow"/>
              </w:rPr>
            </w:pPr>
            <w:r w:rsidRPr="0017001D">
              <w:rPr>
                <w:bCs/>
                <w:strike/>
                <w:sz w:val="20"/>
                <w:szCs w:val="20"/>
                <w:highlight w:val="yellow"/>
              </w:rPr>
              <w:t>0.9</w:t>
            </w:r>
          </w:p>
          <w:p w14:paraId="08AA358B" w14:textId="3E680729" w:rsidR="00C23BAE" w:rsidRPr="00227BE0" w:rsidRDefault="00C23BAE" w:rsidP="00C23BAE">
            <w:pPr>
              <w:suppressAutoHyphens/>
              <w:jc w:val="center"/>
              <w:rPr>
                <w:sz w:val="20"/>
                <w:szCs w:val="20"/>
              </w:rPr>
            </w:pPr>
            <w:r w:rsidRPr="0017001D">
              <w:rPr>
                <w:bCs/>
                <w:sz w:val="20"/>
                <w:szCs w:val="20"/>
                <w:highlight w:val="yellow"/>
              </w:rPr>
              <w:t>0.5</w:t>
            </w:r>
          </w:p>
        </w:tc>
        <w:tc>
          <w:tcPr>
            <w:tcW w:w="401" w:type="pct"/>
            <w:gridSpan w:val="3"/>
            <w:tcBorders>
              <w:top w:val="single" w:sz="4" w:space="0" w:color="auto"/>
              <w:left w:val="single" w:sz="4" w:space="0" w:color="auto"/>
              <w:bottom w:val="single" w:sz="4" w:space="0" w:color="auto"/>
              <w:right w:val="single" w:sz="4" w:space="0" w:color="auto"/>
            </w:tcBorders>
            <w:vAlign w:val="center"/>
          </w:tcPr>
          <w:p w14:paraId="764D7BCB" w14:textId="77777777" w:rsidR="00C23BAE" w:rsidRPr="0017001D" w:rsidRDefault="00C23BAE" w:rsidP="00C23BAE">
            <w:pPr>
              <w:suppressAutoHyphens/>
              <w:rPr>
                <w:strike/>
                <w:sz w:val="20"/>
                <w:szCs w:val="20"/>
                <w:highlight w:val="yellow"/>
              </w:rPr>
            </w:pPr>
            <w:r w:rsidRPr="0017001D">
              <w:rPr>
                <w:strike/>
                <w:sz w:val="20"/>
                <w:szCs w:val="20"/>
                <w:highlight w:val="yellow"/>
              </w:rPr>
              <w:t>2.379</w:t>
            </w:r>
          </w:p>
          <w:p w14:paraId="04D4D75D" w14:textId="0F82B73C" w:rsidR="00C23BAE" w:rsidRPr="0017001D" w:rsidRDefault="00C23BAE" w:rsidP="00C23BAE">
            <w:pPr>
              <w:suppressAutoHyphens/>
              <w:rPr>
                <w:sz w:val="20"/>
                <w:szCs w:val="20"/>
                <w:highlight w:val="yellow"/>
              </w:rPr>
            </w:pPr>
            <w:r w:rsidRPr="0017001D">
              <w:rPr>
                <w:sz w:val="20"/>
                <w:szCs w:val="20"/>
                <w:highlight w:val="yellow"/>
              </w:rPr>
              <w:t>1.439</w:t>
            </w:r>
          </w:p>
        </w:tc>
        <w:tc>
          <w:tcPr>
            <w:tcW w:w="345" w:type="pct"/>
            <w:gridSpan w:val="2"/>
            <w:tcBorders>
              <w:top w:val="single" w:sz="4" w:space="0" w:color="auto"/>
              <w:left w:val="single" w:sz="4" w:space="0" w:color="auto"/>
              <w:bottom w:val="single" w:sz="4" w:space="0" w:color="auto"/>
              <w:right w:val="single" w:sz="4" w:space="0" w:color="auto"/>
            </w:tcBorders>
          </w:tcPr>
          <w:p w14:paraId="7456B14C" w14:textId="77777777" w:rsidR="00C23BAE" w:rsidRPr="00227BE0" w:rsidRDefault="00C23BAE" w:rsidP="00C23BAE">
            <w:pPr>
              <w:widowControl w:val="0"/>
              <w:suppressAutoHyphens/>
              <w:jc w:val="center"/>
              <w:rPr>
                <w:noProof/>
                <w:sz w:val="20"/>
                <w:szCs w:val="20"/>
              </w:rPr>
            </w:pPr>
            <w:r w:rsidRPr="00227BE0">
              <w:rPr>
                <w:noProof/>
                <w:sz w:val="20"/>
                <w:szCs w:val="20"/>
              </w:rPr>
              <w:t>--</w:t>
            </w:r>
          </w:p>
        </w:tc>
      </w:tr>
    </w:tbl>
    <w:p w14:paraId="75CED777" w14:textId="77777777" w:rsidR="00E51CDD" w:rsidRPr="00227BE0" w:rsidRDefault="00E51CDD" w:rsidP="00E51CDD">
      <w:pPr>
        <w:widowControl w:val="0"/>
        <w:tabs>
          <w:tab w:val="left" w:pos="425"/>
        </w:tabs>
        <w:suppressAutoHyphens/>
        <w:ind w:left="284" w:hanging="284"/>
        <w:jc w:val="both"/>
        <w:rPr>
          <w:noProof/>
          <w:sz w:val="18"/>
          <w:szCs w:val="18"/>
        </w:rPr>
      </w:pPr>
      <w:r w:rsidRPr="00227BE0">
        <w:rPr>
          <w:noProof/>
          <w:sz w:val="18"/>
          <w:szCs w:val="18"/>
        </w:rPr>
        <w:t>AF: Assessment factor; PEC: Predicted environmental concentration; RAC: Regulatory acceptable concentration; ETR: Exposure-toxicity ratio; PEC/RAC ratios (= ETR) above the relevant trigger of 1 are shown in bold</w:t>
      </w:r>
    </w:p>
    <w:p w14:paraId="1B2CF7B4" w14:textId="77777777" w:rsidR="00E51CDD" w:rsidRPr="00227BE0" w:rsidRDefault="00E51CDD" w:rsidP="00E51CDD">
      <w:pPr>
        <w:widowControl w:val="0"/>
        <w:suppressAutoHyphens/>
        <w:ind w:left="284" w:hanging="284"/>
        <w:jc w:val="both"/>
        <w:rPr>
          <w:sz w:val="18"/>
          <w:szCs w:val="18"/>
          <w:vertAlign w:val="superscript"/>
        </w:rPr>
      </w:pPr>
      <w:r w:rsidRPr="00227BE0">
        <w:rPr>
          <w:sz w:val="18"/>
          <w:szCs w:val="18"/>
          <w:vertAlign w:val="superscript"/>
        </w:rPr>
        <w:t>#</w:t>
      </w:r>
      <w:r w:rsidRPr="00227BE0">
        <w:rPr>
          <w:sz w:val="18"/>
          <w:szCs w:val="18"/>
        </w:rPr>
        <w:tab/>
        <w:t>Worst-case PECs are derived from either single or twofold application in a risk envelope approach.</w:t>
      </w:r>
      <w:r w:rsidRPr="00227BE0">
        <w:rPr>
          <w:sz w:val="18"/>
          <w:szCs w:val="18"/>
          <w:vertAlign w:val="superscript"/>
        </w:rPr>
        <w:t xml:space="preserve"> </w:t>
      </w:r>
      <w:r w:rsidRPr="00227BE0">
        <w:rPr>
          <w:sz w:val="18"/>
          <w:szCs w:val="18"/>
        </w:rPr>
        <w:t>For details, please refer to Part B, Section 8.9.</w:t>
      </w:r>
    </w:p>
    <w:p w14:paraId="27277774" w14:textId="77777777" w:rsidR="00E51CDD" w:rsidRPr="00227BE0" w:rsidRDefault="00E51CDD" w:rsidP="00E51CDD">
      <w:pPr>
        <w:widowControl w:val="0"/>
        <w:suppressAutoHyphens/>
        <w:jc w:val="both"/>
      </w:pPr>
    </w:p>
    <w:p w14:paraId="301E666C" w14:textId="77777777" w:rsidR="00E51CDD" w:rsidRPr="00227BE0" w:rsidRDefault="00E51CDD" w:rsidP="00E51CDD">
      <w:pPr>
        <w:widowControl w:val="0"/>
        <w:suppressAutoHyphens/>
        <w:jc w:val="both"/>
      </w:pPr>
      <w:r w:rsidRPr="00227BE0">
        <w:t>For the intended use of azoxystrobin in ‘spring cereals’ at 1x and 2x 150 g a.s./ha, the calculated PEC/RAC ratios indicate an acceptable risk for all groups of aquatic organisms based on tier 1 toxicity data and Step 1 - 3 PEC</w:t>
      </w:r>
      <w:r w:rsidRPr="00227BE0">
        <w:rPr>
          <w:vertAlign w:val="subscript"/>
        </w:rPr>
        <w:t>sw</w:t>
      </w:r>
      <w:r w:rsidRPr="00227BE0">
        <w:t xml:space="preserve"> and PEC</w:t>
      </w:r>
      <w:r w:rsidRPr="00227BE0">
        <w:rPr>
          <w:vertAlign w:val="subscript"/>
        </w:rPr>
        <w:t>sed</w:t>
      </w:r>
      <w:r w:rsidRPr="00227BE0">
        <w:t xml:space="preserve"> values except for acute risk to invertebrates. Therefore, higher tier studies have been conducted (</w:t>
      </w:r>
      <w:r w:rsidRPr="00227BE0">
        <w:rPr>
          <w:i/>
        </w:rPr>
        <w:t>i.e.,</w:t>
      </w:r>
      <w:r w:rsidRPr="00227BE0">
        <w:t xml:space="preserve"> mesocosm study). Considering this higher tier information (</w:t>
      </w:r>
      <w:r w:rsidRPr="00227BE0">
        <w:rPr>
          <w:i/>
        </w:rPr>
        <w:t>i.e.</w:t>
      </w:r>
      <w:r w:rsidRPr="00227BE0">
        <w:t xml:space="preserve"> mesocosm RAC of 3.3 a.s./L) PEC/RAC ratios indicate an acceptable risk for aquatic invertebrate. Therefore, no further assessment is necessary.</w:t>
      </w:r>
    </w:p>
    <w:p w14:paraId="194C0970" w14:textId="77777777" w:rsidR="00E51CDD" w:rsidRPr="00227BE0" w:rsidRDefault="00E51CDD" w:rsidP="00E51CDD">
      <w:pPr>
        <w:pStyle w:val="RepTableFootnote"/>
        <w:rPr>
          <w:lang w:val="en-GB"/>
        </w:rPr>
      </w:pPr>
    </w:p>
    <w:p w14:paraId="1512DD1D" w14:textId="77777777" w:rsidR="00E51CDD" w:rsidRPr="00227BE0" w:rsidRDefault="00E51CDD" w:rsidP="00E51CDD">
      <w:pPr>
        <w:pStyle w:val="RepStandard"/>
      </w:pPr>
    </w:p>
    <w:p w14:paraId="0FB969B2" w14:textId="77777777" w:rsidR="00E51CDD" w:rsidRPr="00227BE0" w:rsidRDefault="00E51CDD" w:rsidP="00E51CDD">
      <w:pPr>
        <w:pStyle w:val="RepStandard"/>
        <w:sectPr w:rsidR="00E51CDD" w:rsidRPr="00227BE0" w:rsidSect="00D20BDB">
          <w:headerReference w:type="even" r:id="rId38"/>
          <w:headerReference w:type="default" r:id="rId39"/>
          <w:footerReference w:type="default" r:id="rId40"/>
          <w:headerReference w:type="first" r:id="rId41"/>
          <w:pgSz w:w="16834" w:h="11909" w:orient="landscape" w:code="9"/>
          <w:pgMar w:top="1418" w:right="1134" w:bottom="1134" w:left="1134" w:header="709" w:footer="709" w:gutter="0"/>
          <w:pgNumType w:chapSep="period"/>
          <w:cols w:space="720"/>
          <w:noEndnote/>
          <w:docGrid w:linePitch="299"/>
        </w:sectPr>
      </w:pPr>
    </w:p>
    <w:bookmarkEnd w:id="516"/>
    <w:p w14:paraId="57188211" w14:textId="77777777" w:rsidR="00E51CDD" w:rsidRPr="00227BE0" w:rsidRDefault="00E51CDD" w:rsidP="00E51CDD">
      <w:pPr>
        <w:widowControl w:val="0"/>
        <w:suppressAutoHyphens/>
        <w:jc w:val="both"/>
        <w:rPr>
          <w:b/>
          <w:u w:val="single"/>
        </w:rPr>
      </w:pPr>
      <w:r w:rsidRPr="00227BE0">
        <w:rPr>
          <w:b/>
          <w:u w:val="single"/>
        </w:rPr>
        <w:lastRenderedPageBreak/>
        <w:t>Metabolites of azoxystrobin</w:t>
      </w:r>
    </w:p>
    <w:p w14:paraId="6242AD0D" w14:textId="77777777" w:rsidR="00E51CDD" w:rsidRPr="00227BE0" w:rsidRDefault="00E51CDD" w:rsidP="00E51CDD">
      <w:pPr>
        <w:widowControl w:val="0"/>
        <w:suppressAutoHyphens/>
        <w:jc w:val="both"/>
        <w:rPr>
          <w:b/>
          <w:u w:val="single"/>
        </w:rPr>
      </w:pPr>
    </w:p>
    <w:p w14:paraId="32F5B4A0" w14:textId="0BBB414B" w:rsidR="00E51CDD" w:rsidRPr="00227BE0" w:rsidRDefault="00E51CDD" w:rsidP="00E51CDD">
      <w:pPr>
        <w:widowControl w:val="0"/>
        <w:suppressAutoHyphens/>
        <w:jc w:val="both"/>
      </w:pPr>
      <w:r w:rsidRPr="00227BE0">
        <w:t xml:space="preserve">The ETR ratios for the relevant metabolites of azoxystrobin are presented in </w:t>
      </w:r>
      <w:r w:rsidRPr="00227BE0">
        <w:fldChar w:fldCharType="begin"/>
      </w:r>
      <w:r w:rsidRPr="00227BE0">
        <w:instrText xml:space="preserve"> REF _Ref82084593 \h  \* MERGEFORMAT </w:instrText>
      </w:r>
      <w:r w:rsidRPr="00227BE0">
        <w:fldChar w:fldCharType="separate"/>
      </w:r>
      <w:r w:rsidR="00662F32" w:rsidRPr="00662F32">
        <w:rPr>
          <w:bCs/>
        </w:rPr>
        <w:t xml:space="preserve">Table </w:t>
      </w:r>
      <w:r w:rsidR="00662F32" w:rsidRPr="00662F32">
        <w:rPr>
          <w:bCs/>
          <w:noProof/>
        </w:rPr>
        <w:t>9.5</w:t>
      </w:r>
      <w:r w:rsidR="00662F32" w:rsidRPr="00662F32">
        <w:rPr>
          <w:bCs/>
          <w:noProof/>
        </w:rPr>
        <w:noBreakHyphen/>
        <w:t>11</w:t>
      </w:r>
      <w:r w:rsidRPr="00227BE0">
        <w:fldChar w:fldCharType="end"/>
      </w:r>
      <w:r w:rsidRPr="00227BE0">
        <w:t xml:space="preserve"> for the intended uses of BAS 736 00 F in ‘cereals’ for each aquatic organism group. Only the worst-case PEC values from either single or twofold application in ‘winter or spring cereals’ are considered for calculations, covering all proposed uses.</w:t>
      </w:r>
    </w:p>
    <w:p w14:paraId="171F1CFE" w14:textId="77777777" w:rsidR="00E51CDD" w:rsidRPr="00227BE0" w:rsidRDefault="00E51CDD" w:rsidP="00E51CDD">
      <w:pPr>
        <w:widowControl w:val="0"/>
        <w:suppressAutoHyphens/>
        <w:jc w:val="both"/>
      </w:pPr>
    </w:p>
    <w:p w14:paraId="1FA7FEF6" w14:textId="1390B990" w:rsidR="00E51CDD" w:rsidRPr="00227BE0" w:rsidRDefault="00E51CDD" w:rsidP="00E51CDD">
      <w:pPr>
        <w:keepNext/>
        <w:keepLines/>
        <w:widowControl w:val="0"/>
        <w:tabs>
          <w:tab w:val="left" w:pos="1985"/>
        </w:tabs>
        <w:suppressAutoHyphens/>
        <w:spacing w:before="200" w:after="120"/>
        <w:ind w:left="1985" w:hanging="1985"/>
        <w:jc w:val="both"/>
        <w:rPr>
          <w:b/>
          <w:bCs/>
        </w:rPr>
      </w:pPr>
      <w:bookmarkStart w:id="519" w:name="_Ref82084593"/>
      <w:r w:rsidRPr="00227BE0">
        <w:rPr>
          <w:b/>
          <w:bCs/>
        </w:rPr>
        <w:t xml:space="preserve">Table </w:t>
      </w:r>
      <w:r w:rsidRPr="00227BE0">
        <w:fldChar w:fldCharType="begin"/>
      </w:r>
      <w:r w:rsidRPr="00227BE0">
        <w:rPr>
          <w:b/>
          <w:bCs/>
        </w:rPr>
        <w:instrText xml:space="preserve"> STYLEREF 2 \s </w:instrText>
      </w:r>
      <w:r w:rsidRPr="00227BE0">
        <w:fldChar w:fldCharType="separate"/>
      </w:r>
      <w:r w:rsidR="00662F32">
        <w:rPr>
          <w:b/>
          <w:bCs/>
          <w:noProof/>
        </w:rPr>
        <w:t>9.5</w:t>
      </w:r>
      <w:r w:rsidRPr="00227BE0">
        <w:fldChar w:fldCharType="end"/>
      </w:r>
      <w:r w:rsidRPr="00227BE0">
        <w:rPr>
          <w:b/>
          <w:bCs/>
        </w:rPr>
        <w:noBreakHyphen/>
      </w:r>
      <w:r w:rsidRPr="00227BE0">
        <w:fldChar w:fldCharType="begin"/>
      </w:r>
      <w:r w:rsidRPr="00227BE0">
        <w:rPr>
          <w:b/>
          <w:bCs/>
        </w:rPr>
        <w:instrText xml:space="preserve"> SEQ Table \* ARABIC \s 2 </w:instrText>
      </w:r>
      <w:r w:rsidRPr="00227BE0">
        <w:fldChar w:fldCharType="separate"/>
      </w:r>
      <w:r w:rsidR="00662F32">
        <w:rPr>
          <w:b/>
          <w:bCs/>
          <w:noProof/>
        </w:rPr>
        <w:t>11</w:t>
      </w:r>
      <w:r w:rsidRPr="00227BE0">
        <w:fldChar w:fldCharType="end"/>
      </w:r>
      <w:bookmarkEnd w:id="519"/>
      <w:r w:rsidRPr="00227BE0">
        <w:rPr>
          <w:b/>
          <w:bCs/>
        </w:rPr>
        <w:t>:</w:t>
      </w:r>
      <w:r w:rsidRPr="00227BE0">
        <w:rPr>
          <w:b/>
          <w:bCs/>
        </w:rPr>
        <w:tab/>
        <w:t>Aquatic organisms: acceptability of risk (PEC/RAC &lt; 1) for metabolites of azoxystrobin for each organism group based on standard worst-case PEC calculations following single and twofold application (1x and 2x 150 g a.s./ha) of BAS 736 00 F in ‘cereals’ (covering all proposes uses)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41"/>
        <w:gridCol w:w="1252"/>
        <w:gridCol w:w="2258"/>
        <w:gridCol w:w="1976"/>
        <w:gridCol w:w="2118"/>
      </w:tblGrid>
      <w:tr w:rsidR="00E51CDD" w:rsidRPr="00227BE0" w14:paraId="1D7CF7C4" w14:textId="77777777" w:rsidTr="009938D9">
        <w:trPr>
          <w:trHeight w:val="262"/>
        </w:trPr>
        <w:tc>
          <w:tcPr>
            <w:tcW w:w="1602" w:type="pct"/>
            <w:gridSpan w:val="2"/>
            <w:vAlign w:val="center"/>
            <w:hideMark/>
          </w:tcPr>
          <w:p w14:paraId="0AECF02C" w14:textId="77777777" w:rsidR="00E51CDD" w:rsidRPr="00227BE0" w:rsidRDefault="00E51CDD" w:rsidP="009938D9">
            <w:pPr>
              <w:suppressAutoHyphens/>
              <w:autoSpaceDE w:val="0"/>
              <w:autoSpaceDN w:val="0"/>
              <w:adjustRightInd w:val="0"/>
              <w:rPr>
                <w:b/>
                <w:bCs/>
                <w:sz w:val="20"/>
                <w:szCs w:val="20"/>
              </w:rPr>
            </w:pPr>
            <w:r w:rsidRPr="00227BE0">
              <w:rPr>
                <w:b/>
                <w:bCs/>
                <w:sz w:val="20"/>
                <w:szCs w:val="20"/>
              </w:rPr>
              <w:t>Group</w:t>
            </w:r>
          </w:p>
        </w:tc>
        <w:tc>
          <w:tcPr>
            <w:tcW w:w="1208" w:type="pct"/>
            <w:vAlign w:val="center"/>
            <w:hideMark/>
          </w:tcPr>
          <w:p w14:paraId="3EC6826E" w14:textId="77777777" w:rsidR="00E51CDD" w:rsidRPr="00227BE0" w:rsidRDefault="00E51CDD" w:rsidP="009938D9">
            <w:pPr>
              <w:suppressAutoHyphens/>
              <w:autoSpaceDE w:val="0"/>
              <w:autoSpaceDN w:val="0"/>
              <w:adjustRightInd w:val="0"/>
              <w:jc w:val="center"/>
              <w:rPr>
                <w:b/>
                <w:bCs/>
                <w:i/>
                <w:iCs/>
                <w:sz w:val="20"/>
                <w:szCs w:val="20"/>
              </w:rPr>
            </w:pPr>
            <w:r w:rsidRPr="00227BE0">
              <w:rPr>
                <w:b/>
                <w:bCs/>
                <w:sz w:val="20"/>
                <w:szCs w:val="20"/>
              </w:rPr>
              <w:t>Fish acute</w:t>
            </w:r>
          </w:p>
        </w:tc>
        <w:tc>
          <w:tcPr>
            <w:tcW w:w="1057" w:type="pct"/>
            <w:vAlign w:val="center"/>
            <w:hideMark/>
          </w:tcPr>
          <w:p w14:paraId="60868383" w14:textId="77777777" w:rsidR="00E51CDD" w:rsidRPr="00227BE0" w:rsidRDefault="00E51CDD" w:rsidP="009938D9">
            <w:pPr>
              <w:suppressAutoHyphens/>
              <w:autoSpaceDE w:val="0"/>
              <w:autoSpaceDN w:val="0"/>
              <w:adjustRightInd w:val="0"/>
              <w:jc w:val="center"/>
              <w:rPr>
                <w:b/>
                <w:bCs/>
                <w:i/>
                <w:iCs/>
                <w:sz w:val="20"/>
                <w:szCs w:val="20"/>
              </w:rPr>
            </w:pPr>
            <w:r w:rsidRPr="00227BE0">
              <w:rPr>
                <w:b/>
                <w:bCs/>
                <w:sz w:val="20"/>
                <w:szCs w:val="20"/>
              </w:rPr>
              <w:t>Inverteb. acute</w:t>
            </w:r>
          </w:p>
        </w:tc>
        <w:tc>
          <w:tcPr>
            <w:tcW w:w="1133" w:type="pct"/>
            <w:vAlign w:val="center"/>
            <w:hideMark/>
          </w:tcPr>
          <w:p w14:paraId="2370125B" w14:textId="77777777" w:rsidR="00E51CDD" w:rsidRPr="00227BE0" w:rsidRDefault="00E51CDD" w:rsidP="009938D9">
            <w:pPr>
              <w:suppressAutoHyphens/>
              <w:autoSpaceDE w:val="0"/>
              <w:autoSpaceDN w:val="0"/>
              <w:adjustRightInd w:val="0"/>
              <w:jc w:val="center"/>
              <w:rPr>
                <w:b/>
                <w:bCs/>
                <w:i/>
                <w:iCs/>
                <w:sz w:val="20"/>
                <w:szCs w:val="20"/>
              </w:rPr>
            </w:pPr>
            <w:r w:rsidRPr="00227BE0">
              <w:rPr>
                <w:b/>
                <w:bCs/>
                <w:sz w:val="20"/>
                <w:szCs w:val="20"/>
              </w:rPr>
              <w:t>Algae</w:t>
            </w:r>
          </w:p>
        </w:tc>
      </w:tr>
      <w:tr w:rsidR="00E51CDD" w:rsidRPr="00227BE0" w14:paraId="70D534A6" w14:textId="77777777" w:rsidTr="009938D9">
        <w:trPr>
          <w:trHeight w:val="262"/>
        </w:trPr>
        <w:tc>
          <w:tcPr>
            <w:tcW w:w="1602" w:type="pct"/>
            <w:gridSpan w:val="2"/>
            <w:vAlign w:val="center"/>
            <w:hideMark/>
          </w:tcPr>
          <w:p w14:paraId="5E39D159" w14:textId="77777777" w:rsidR="00E51CDD" w:rsidRPr="00227BE0" w:rsidRDefault="00E51CDD" w:rsidP="009938D9">
            <w:pPr>
              <w:suppressAutoHyphens/>
              <w:autoSpaceDE w:val="0"/>
              <w:autoSpaceDN w:val="0"/>
              <w:adjustRightInd w:val="0"/>
              <w:rPr>
                <w:b/>
                <w:bCs/>
                <w:sz w:val="20"/>
                <w:szCs w:val="20"/>
              </w:rPr>
            </w:pPr>
            <w:r w:rsidRPr="00227BE0">
              <w:rPr>
                <w:b/>
                <w:bCs/>
                <w:sz w:val="20"/>
                <w:szCs w:val="20"/>
              </w:rPr>
              <w:t>Test species</w:t>
            </w:r>
          </w:p>
        </w:tc>
        <w:tc>
          <w:tcPr>
            <w:tcW w:w="1208" w:type="pct"/>
            <w:vAlign w:val="center"/>
            <w:hideMark/>
          </w:tcPr>
          <w:p w14:paraId="6B21378B" w14:textId="77777777" w:rsidR="00E51CDD" w:rsidRPr="00227BE0" w:rsidRDefault="00E51CDD" w:rsidP="009938D9">
            <w:pPr>
              <w:suppressAutoHyphens/>
              <w:autoSpaceDE w:val="0"/>
              <w:autoSpaceDN w:val="0"/>
              <w:adjustRightInd w:val="0"/>
              <w:jc w:val="center"/>
              <w:rPr>
                <w:b/>
                <w:bCs/>
                <w:i/>
                <w:iCs/>
                <w:sz w:val="20"/>
                <w:szCs w:val="20"/>
              </w:rPr>
            </w:pPr>
            <w:r w:rsidRPr="00227BE0">
              <w:rPr>
                <w:b/>
                <w:bCs/>
                <w:i/>
                <w:iCs/>
                <w:sz w:val="20"/>
                <w:szCs w:val="20"/>
              </w:rPr>
              <w:t>O. mykiss</w:t>
            </w:r>
          </w:p>
        </w:tc>
        <w:tc>
          <w:tcPr>
            <w:tcW w:w="1057" w:type="pct"/>
            <w:vAlign w:val="center"/>
            <w:hideMark/>
          </w:tcPr>
          <w:p w14:paraId="745CC521" w14:textId="77777777" w:rsidR="00E51CDD" w:rsidRPr="00227BE0" w:rsidRDefault="00E51CDD" w:rsidP="009938D9">
            <w:pPr>
              <w:suppressAutoHyphens/>
              <w:autoSpaceDE w:val="0"/>
              <w:autoSpaceDN w:val="0"/>
              <w:adjustRightInd w:val="0"/>
              <w:jc w:val="center"/>
              <w:rPr>
                <w:b/>
                <w:bCs/>
                <w:i/>
                <w:iCs/>
                <w:sz w:val="20"/>
                <w:szCs w:val="20"/>
              </w:rPr>
            </w:pPr>
            <w:r w:rsidRPr="00227BE0">
              <w:rPr>
                <w:b/>
                <w:bCs/>
                <w:i/>
                <w:iCs/>
                <w:sz w:val="20"/>
                <w:szCs w:val="20"/>
              </w:rPr>
              <w:t>D. magna</w:t>
            </w:r>
          </w:p>
        </w:tc>
        <w:tc>
          <w:tcPr>
            <w:tcW w:w="1133" w:type="pct"/>
            <w:vAlign w:val="center"/>
            <w:hideMark/>
          </w:tcPr>
          <w:p w14:paraId="26038A16" w14:textId="77777777" w:rsidR="00E51CDD" w:rsidRPr="00227BE0" w:rsidRDefault="00E51CDD" w:rsidP="009938D9">
            <w:pPr>
              <w:suppressAutoHyphens/>
              <w:autoSpaceDE w:val="0"/>
              <w:autoSpaceDN w:val="0"/>
              <w:adjustRightInd w:val="0"/>
              <w:jc w:val="center"/>
              <w:rPr>
                <w:b/>
                <w:bCs/>
                <w:i/>
                <w:iCs/>
                <w:sz w:val="20"/>
                <w:szCs w:val="20"/>
              </w:rPr>
            </w:pPr>
            <w:r w:rsidRPr="00227BE0">
              <w:rPr>
                <w:b/>
                <w:bCs/>
                <w:i/>
                <w:iCs/>
                <w:sz w:val="20"/>
                <w:szCs w:val="20"/>
              </w:rPr>
              <w:t>P. subcapitata</w:t>
            </w:r>
          </w:p>
        </w:tc>
      </w:tr>
      <w:tr w:rsidR="00E51CDD" w:rsidRPr="00227BE0" w14:paraId="7BAB998D" w14:textId="77777777" w:rsidTr="009938D9">
        <w:trPr>
          <w:trHeight w:val="262"/>
        </w:trPr>
        <w:tc>
          <w:tcPr>
            <w:tcW w:w="1602" w:type="pct"/>
            <w:gridSpan w:val="2"/>
            <w:vAlign w:val="center"/>
            <w:hideMark/>
          </w:tcPr>
          <w:p w14:paraId="3E51A929" w14:textId="77777777" w:rsidR="00E51CDD" w:rsidRPr="00227BE0" w:rsidRDefault="00E51CDD" w:rsidP="009938D9">
            <w:pPr>
              <w:suppressAutoHyphens/>
              <w:autoSpaceDE w:val="0"/>
              <w:autoSpaceDN w:val="0"/>
              <w:adjustRightInd w:val="0"/>
              <w:rPr>
                <w:b/>
                <w:bCs/>
                <w:sz w:val="20"/>
                <w:szCs w:val="20"/>
              </w:rPr>
            </w:pPr>
            <w:r w:rsidRPr="00227BE0">
              <w:rPr>
                <w:b/>
                <w:bCs/>
                <w:sz w:val="20"/>
                <w:szCs w:val="20"/>
              </w:rPr>
              <w:t>AF</w:t>
            </w:r>
          </w:p>
        </w:tc>
        <w:tc>
          <w:tcPr>
            <w:tcW w:w="1208" w:type="pct"/>
            <w:vAlign w:val="center"/>
            <w:hideMark/>
          </w:tcPr>
          <w:p w14:paraId="5DD35040"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100</w:t>
            </w:r>
          </w:p>
        </w:tc>
        <w:tc>
          <w:tcPr>
            <w:tcW w:w="1057" w:type="pct"/>
            <w:vAlign w:val="center"/>
            <w:hideMark/>
          </w:tcPr>
          <w:p w14:paraId="0EBA9699"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100</w:t>
            </w:r>
          </w:p>
        </w:tc>
        <w:tc>
          <w:tcPr>
            <w:tcW w:w="1133" w:type="pct"/>
            <w:vAlign w:val="center"/>
            <w:hideMark/>
          </w:tcPr>
          <w:p w14:paraId="27301BEA"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10</w:t>
            </w:r>
          </w:p>
        </w:tc>
      </w:tr>
      <w:tr w:rsidR="00E51CDD" w:rsidRPr="00227BE0" w14:paraId="75396673" w14:textId="77777777" w:rsidTr="009938D9">
        <w:trPr>
          <w:trHeight w:val="262"/>
        </w:trPr>
        <w:tc>
          <w:tcPr>
            <w:tcW w:w="5000" w:type="pct"/>
            <w:gridSpan w:val="5"/>
            <w:vAlign w:val="center"/>
            <w:hideMark/>
          </w:tcPr>
          <w:p w14:paraId="012EA33F" w14:textId="77777777" w:rsidR="00E51CDD" w:rsidRPr="00227BE0" w:rsidRDefault="00E51CDD" w:rsidP="009938D9">
            <w:pPr>
              <w:suppressAutoHyphens/>
              <w:autoSpaceDE w:val="0"/>
              <w:autoSpaceDN w:val="0"/>
              <w:adjustRightInd w:val="0"/>
              <w:jc w:val="center"/>
              <w:rPr>
                <w:b/>
                <w:bCs/>
                <w:color w:val="4472C4" w:themeColor="accent1"/>
                <w:sz w:val="20"/>
                <w:szCs w:val="20"/>
              </w:rPr>
            </w:pPr>
            <w:r w:rsidRPr="00227BE0">
              <w:rPr>
                <w:b/>
                <w:sz w:val="20"/>
                <w:szCs w:val="20"/>
              </w:rPr>
              <w:t>R234886</w:t>
            </w:r>
          </w:p>
        </w:tc>
      </w:tr>
      <w:tr w:rsidR="00E51CDD" w:rsidRPr="00227BE0" w14:paraId="0FD0833A" w14:textId="77777777" w:rsidTr="009938D9">
        <w:trPr>
          <w:trHeight w:val="276"/>
        </w:trPr>
        <w:tc>
          <w:tcPr>
            <w:tcW w:w="1602" w:type="pct"/>
            <w:gridSpan w:val="2"/>
            <w:vMerge w:val="restart"/>
            <w:vAlign w:val="center"/>
            <w:hideMark/>
          </w:tcPr>
          <w:p w14:paraId="361C3D52" w14:textId="77777777" w:rsidR="00E51CDD" w:rsidRPr="00227BE0" w:rsidRDefault="00E51CDD" w:rsidP="009938D9">
            <w:pPr>
              <w:suppressAutoHyphens/>
              <w:autoSpaceDE w:val="0"/>
              <w:autoSpaceDN w:val="0"/>
              <w:adjustRightInd w:val="0"/>
              <w:rPr>
                <w:b/>
                <w:sz w:val="20"/>
                <w:szCs w:val="20"/>
              </w:rPr>
            </w:pPr>
            <w:r w:rsidRPr="00227BE0">
              <w:rPr>
                <w:b/>
                <w:sz w:val="20"/>
                <w:szCs w:val="20"/>
              </w:rPr>
              <w:t>Endpoint (µg/L)</w:t>
            </w:r>
          </w:p>
        </w:tc>
        <w:tc>
          <w:tcPr>
            <w:tcW w:w="1208" w:type="pct"/>
            <w:vAlign w:val="center"/>
            <w:hideMark/>
          </w:tcPr>
          <w:p w14:paraId="7469353F"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LC</w:t>
            </w:r>
            <w:r w:rsidRPr="00227BE0">
              <w:rPr>
                <w:sz w:val="20"/>
                <w:szCs w:val="20"/>
                <w:vertAlign w:val="subscript"/>
              </w:rPr>
              <w:t>50</w:t>
            </w:r>
          </w:p>
        </w:tc>
        <w:tc>
          <w:tcPr>
            <w:tcW w:w="1057" w:type="pct"/>
            <w:vAlign w:val="center"/>
            <w:hideMark/>
          </w:tcPr>
          <w:p w14:paraId="032CB684"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EC</w:t>
            </w:r>
            <w:r w:rsidRPr="00227BE0">
              <w:rPr>
                <w:sz w:val="20"/>
                <w:szCs w:val="20"/>
                <w:vertAlign w:val="subscript"/>
              </w:rPr>
              <w:t>50</w:t>
            </w:r>
          </w:p>
        </w:tc>
        <w:tc>
          <w:tcPr>
            <w:tcW w:w="1133" w:type="pct"/>
            <w:vAlign w:val="center"/>
            <w:hideMark/>
          </w:tcPr>
          <w:p w14:paraId="6562868C"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E</w:t>
            </w:r>
            <w:r w:rsidRPr="00227BE0">
              <w:rPr>
                <w:sz w:val="20"/>
                <w:szCs w:val="20"/>
                <w:vertAlign w:val="subscript"/>
              </w:rPr>
              <w:t>b</w:t>
            </w:r>
            <w:r w:rsidRPr="00227BE0">
              <w:rPr>
                <w:sz w:val="20"/>
                <w:szCs w:val="20"/>
              </w:rPr>
              <w:t>C</w:t>
            </w:r>
            <w:r w:rsidRPr="00227BE0">
              <w:rPr>
                <w:sz w:val="20"/>
                <w:szCs w:val="20"/>
                <w:vertAlign w:val="subscript"/>
              </w:rPr>
              <w:t>50</w:t>
            </w:r>
          </w:p>
        </w:tc>
      </w:tr>
      <w:tr w:rsidR="00E51CDD" w:rsidRPr="00227BE0" w14:paraId="57B8836C" w14:textId="77777777" w:rsidTr="009938D9">
        <w:trPr>
          <w:trHeight w:val="276"/>
        </w:trPr>
        <w:tc>
          <w:tcPr>
            <w:tcW w:w="0" w:type="auto"/>
            <w:gridSpan w:val="2"/>
            <w:vMerge/>
            <w:vAlign w:val="center"/>
            <w:hideMark/>
          </w:tcPr>
          <w:p w14:paraId="4D4714CC" w14:textId="77777777" w:rsidR="00E51CDD" w:rsidRPr="00227BE0" w:rsidRDefault="00E51CDD" w:rsidP="009938D9">
            <w:pPr>
              <w:rPr>
                <w:b/>
                <w:color w:val="4472C4" w:themeColor="accent1"/>
                <w:sz w:val="20"/>
                <w:szCs w:val="20"/>
              </w:rPr>
            </w:pPr>
          </w:p>
        </w:tc>
        <w:tc>
          <w:tcPr>
            <w:tcW w:w="1208" w:type="pct"/>
            <w:vAlign w:val="center"/>
            <w:hideMark/>
          </w:tcPr>
          <w:p w14:paraId="3AF5AFF3" w14:textId="77777777" w:rsidR="00E51CDD" w:rsidRPr="00227BE0" w:rsidRDefault="00E51CDD" w:rsidP="009938D9">
            <w:pPr>
              <w:suppressAutoHyphens/>
              <w:autoSpaceDE w:val="0"/>
              <w:autoSpaceDN w:val="0"/>
              <w:adjustRightInd w:val="0"/>
              <w:jc w:val="center"/>
              <w:rPr>
                <w:color w:val="4472C4" w:themeColor="accent1"/>
                <w:sz w:val="20"/>
                <w:szCs w:val="20"/>
              </w:rPr>
            </w:pPr>
            <w:r w:rsidRPr="00227BE0">
              <w:rPr>
                <w:sz w:val="20"/>
                <w:szCs w:val="20"/>
              </w:rPr>
              <w:t>&gt; 150000</w:t>
            </w:r>
          </w:p>
        </w:tc>
        <w:tc>
          <w:tcPr>
            <w:tcW w:w="1057" w:type="pct"/>
            <w:vAlign w:val="center"/>
            <w:hideMark/>
          </w:tcPr>
          <w:p w14:paraId="7E6BCEF2" w14:textId="77777777" w:rsidR="00E51CDD" w:rsidRPr="00227BE0" w:rsidRDefault="00E51CDD" w:rsidP="009938D9">
            <w:pPr>
              <w:suppressAutoHyphens/>
              <w:autoSpaceDE w:val="0"/>
              <w:autoSpaceDN w:val="0"/>
              <w:adjustRightInd w:val="0"/>
              <w:jc w:val="center"/>
              <w:rPr>
                <w:color w:val="4472C4" w:themeColor="accent1"/>
                <w:sz w:val="20"/>
                <w:szCs w:val="20"/>
              </w:rPr>
            </w:pPr>
            <w:r w:rsidRPr="00227BE0">
              <w:rPr>
                <w:sz w:val="20"/>
                <w:szCs w:val="20"/>
              </w:rPr>
              <w:t>&gt; 180000</w:t>
            </w:r>
          </w:p>
        </w:tc>
        <w:tc>
          <w:tcPr>
            <w:tcW w:w="1133" w:type="pct"/>
            <w:vAlign w:val="center"/>
            <w:hideMark/>
          </w:tcPr>
          <w:p w14:paraId="08EF19AC" w14:textId="77777777" w:rsidR="00E51CDD" w:rsidRPr="00227BE0" w:rsidRDefault="00E51CDD" w:rsidP="009938D9">
            <w:pPr>
              <w:suppressAutoHyphens/>
              <w:autoSpaceDE w:val="0"/>
              <w:autoSpaceDN w:val="0"/>
              <w:adjustRightInd w:val="0"/>
              <w:jc w:val="center"/>
              <w:rPr>
                <w:color w:val="4472C4" w:themeColor="accent1"/>
                <w:sz w:val="20"/>
                <w:szCs w:val="20"/>
              </w:rPr>
            </w:pPr>
            <w:r w:rsidRPr="00227BE0">
              <w:rPr>
                <w:sz w:val="20"/>
                <w:szCs w:val="20"/>
              </w:rPr>
              <w:t>47000</w:t>
            </w:r>
          </w:p>
        </w:tc>
      </w:tr>
      <w:tr w:rsidR="00E51CDD" w:rsidRPr="00227BE0" w14:paraId="2FE4B728" w14:textId="77777777" w:rsidTr="009938D9">
        <w:trPr>
          <w:trHeight w:val="262"/>
        </w:trPr>
        <w:tc>
          <w:tcPr>
            <w:tcW w:w="1602" w:type="pct"/>
            <w:gridSpan w:val="2"/>
            <w:vAlign w:val="center"/>
            <w:hideMark/>
          </w:tcPr>
          <w:p w14:paraId="5C9698F4" w14:textId="77777777" w:rsidR="00E51CDD" w:rsidRPr="00227BE0" w:rsidRDefault="00E51CDD" w:rsidP="009938D9">
            <w:pPr>
              <w:suppressAutoHyphens/>
              <w:autoSpaceDE w:val="0"/>
              <w:autoSpaceDN w:val="0"/>
              <w:adjustRightInd w:val="0"/>
              <w:rPr>
                <w:b/>
                <w:sz w:val="20"/>
                <w:szCs w:val="20"/>
              </w:rPr>
            </w:pPr>
            <w:r w:rsidRPr="00227BE0">
              <w:rPr>
                <w:b/>
                <w:sz w:val="20"/>
                <w:szCs w:val="20"/>
              </w:rPr>
              <w:t>RAC (µg/L)</w:t>
            </w:r>
          </w:p>
        </w:tc>
        <w:tc>
          <w:tcPr>
            <w:tcW w:w="1208" w:type="pct"/>
            <w:vAlign w:val="center"/>
            <w:hideMark/>
          </w:tcPr>
          <w:p w14:paraId="1876B6DD"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1500</w:t>
            </w:r>
          </w:p>
        </w:tc>
        <w:tc>
          <w:tcPr>
            <w:tcW w:w="1057" w:type="pct"/>
            <w:vAlign w:val="center"/>
            <w:hideMark/>
          </w:tcPr>
          <w:p w14:paraId="1D51F72E"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1800</w:t>
            </w:r>
          </w:p>
        </w:tc>
        <w:tc>
          <w:tcPr>
            <w:tcW w:w="1133" w:type="pct"/>
            <w:vAlign w:val="center"/>
            <w:hideMark/>
          </w:tcPr>
          <w:p w14:paraId="6C8470B5"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470</w:t>
            </w:r>
          </w:p>
        </w:tc>
      </w:tr>
      <w:tr w:rsidR="00E51CDD" w:rsidRPr="00227BE0" w14:paraId="0AC2B893" w14:textId="77777777" w:rsidTr="009938D9">
        <w:trPr>
          <w:trHeight w:val="464"/>
        </w:trPr>
        <w:tc>
          <w:tcPr>
            <w:tcW w:w="932" w:type="pct"/>
            <w:tcBorders>
              <w:bottom w:val="single" w:sz="4" w:space="0" w:color="auto"/>
            </w:tcBorders>
            <w:vAlign w:val="center"/>
            <w:hideMark/>
          </w:tcPr>
          <w:p w14:paraId="7453467B" w14:textId="77777777" w:rsidR="00E51CDD" w:rsidRPr="00227BE0" w:rsidRDefault="00E51CDD" w:rsidP="009938D9">
            <w:pPr>
              <w:widowControl w:val="0"/>
              <w:suppressAutoHyphens/>
              <w:rPr>
                <w:b/>
                <w:sz w:val="20"/>
                <w:szCs w:val="20"/>
                <w:lang w:val="en-GB"/>
              </w:rPr>
            </w:pPr>
            <w:r w:rsidRPr="00227BE0">
              <w:rPr>
                <w:b/>
                <w:sz w:val="20"/>
                <w:szCs w:val="20"/>
                <w:lang w:val="en-GB"/>
              </w:rPr>
              <w:t xml:space="preserve">FOCUS </w:t>
            </w:r>
          </w:p>
          <w:p w14:paraId="39C3CB6E" w14:textId="77777777" w:rsidR="00E51CDD" w:rsidRPr="00227BE0" w:rsidRDefault="00E51CDD" w:rsidP="009938D9">
            <w:pPr>
              <w:suppressAutoHyphens/>
              <w:autoSpaceDE w:val="0"/>
              <w:autoSpaceDN w:val="0"/>
              <w:adjustRightInd w:val="0"/>
              <w:rPr>
                <w:b/>
                <w:sz w:val="20"/>
                <w:szCs w:val="20"/>
              </w:rPr>
            </w:pPr>
            <w:r w:rsidRPr="00227BE0">
              <w:rPr>
                <w:b/>
                <w:sz w:val="20"/>
                <w:szCs w:val="20"/>
                <w:lang w:val="en-GB"/>
              </w:rPr>
              <w:t>Scenario</w:t>
            </w:r>
          </w:p>
        </w:tc>
        <w:tc>
          <w:tcPr>
            <w:tcW w:w="670" w:type="pct"/>
            <w:tcBorders>
              <w:bottom w:val="single" w:sz="4" w:space="0" w:color="auto"/>
            </w:tcBorders>
            <w:vAlign w:val="center"/>
            <w:hideMark/>
          </w:tcPr>
          <w:p w14:paraId="2760006C" w14:textId="77777777" w:rsidR="00E51CDD" w:rsidRPr="00227BE0" w:rsidRDefault="00E51CDD" w:rsidP="009938D9">
            <w:pPr>
              <w:suppressAutoHyphens/>
              <w:autoSpaceDE w:val="0"/>
              <w:autoSpaceDN w:val="0"/>
              <w:adjustRightInd w:val="0"/>
              <w:rPr>
                <w:bCs/>
                <w:sz w:val="20"/>
                <w:szCs w:val="20"/>
              </w:rPr>
            </w:pPr>
            <w:r w:rsidRPr="00227BE0">
              <w:rPr>
                <w:b/>
                <w:sz w:val="20"/>
                <w:szCs w:val="20"/>
              </w:rPr>
              <w:t xml:space="preserve">PEC </w:t>
            </w:r>
            <w:r w:rsidRPr="00227BE0">
              <w:rPr>
                <w:b/>
                <w:sz w:val="20"/>
                <w:szCs w:val="20"/>
                <w:vertAlign w:val="subscript"/>
              </w:rPr>
              <w:t>gl-max, sw</w:t>
            </w:r>
            <w:r w:rsidRPr="00227BE0">
              <w:rPr>
                <w:b/>
                <w:sz w:val="20"/>
                <w:szCs w:val="20"/>
              </w:rPr>
              <w:t xml:space="preserve"> (µg/L)</w:t>
            </w:r>
          </w:p>
        </w:tc>
        <w:tc>
          <w:tcPr>
            <w:tcW w:w="3398" w:type="pct"/>
            <w:gridSpan w:val="3"/>
            <w:tcBorders>
              <w:bottom w:val="single" w:sz="4" w:space="0" w:color="auto"/>
            </w:tcBorders>
            <w:vAlign w:val="center"/>
            <w:hideMark/>
          </w:tcPr>
          <w:p w14:paraId="28FCF153" w14:textId="77777777" w:rsidR="00E51CDD" w:rsidRPr="00227BE0" w:rsidRDefault="00E51CDD" w:rsidP="009938D9">
            <w:pPr>
              <w:suppressAutoHyphens/>
              <w:autoSpaceDE w:val="0"/>
              <w:autoSpaceDN w:val="0"/>
              <w:adjustRightInd w:val="0"/>
              <w:jc w:val="center"/>
              <w:rPr>
                <w:bCs/>
                <w:sz w:val="20"/>
                <w:szCs w:val="20"/>
              </w:rPr>
            </w:pPr>
            <w:r w:rsidRPr="00227BE0">
              <w:rPr>
                <w:bCs/>
                <w:sz w:val="20"/>
                <w:szCs w:val="20"/>
              </w:rPr>
              <w:t>PEC/RAC ratio (= ETR)</w:t>
            </w:r>
          </w:p>
        </w:tc>
      </w:tr>
      <w:tr w:rsidR="00E51CDD" w:rsidRPr="00227BE0" w14:paraId="7993561F" w14:textId="77777777" w:rsidTr="009938D9">
        <w:trPr>
          <w:trHeight w:val="286"/>
        </w:trPr>
        <w:tc>
          <w:tcPr>
            <w:tcW w:w="932" w:type="pct"/>
            <w:tcBorders>
              <w:top w:val="single" w:sz="4" w:space="0" w:color="auto"/>
              <w:left w:val="single" w:sz="4" w:space="0" w:color="auto"/>
              <w:bottom w:val="single" w:sz="4" w:space="0" w:color="auto"/>
              <w:right w:val="nil"/>
            </w:tcBorders>
            <w:vAlign w:val="center"/>
          </w:tcPr>
          <w:p w14:paraId="6B2F9473" w14:textId="77777777" w:rsidR="00E51CDD" w:rsidRPr="00227BE0" w:rsidRDefault="00E51CDD" w:rsidP="009938D9">
            <w:pPr>
              <w:widowControl w:val="0"/>
              <w:suppressAutoHyphens/>
              <w:rPr>
                <w:b/>
                <w:sz w:val="20"/>
                <w:szCs w:val="20"/>
                <w:lang w:val="en-GB"/>
              </w:rPr>
            </w:pPr>
            <w:r w:rsidRPr="00227BE0">
              <w:rPr>
                <w:b/>
                <w:sz w:val="20"/>
                <w:szCs w:val="20"/>
                <w:lang w:val="en-GB"/>
              </w:rPr>
              <w:t>Step 1</w:t>
            </w:r>
          </w:p>
        </w:tc>
        <w:tc>
          <w:tcPr>
            <w:tcW w:w="670" w:type="pct"/>
            <w:tcBorders>
              <w:top w:val="single" w:sz="4" w:space="0" w:color="auto"/>
              <w:left w:val="nil"/>
              <w:bottom w:val="single" w:sz="4" w:space="0" w:color="auto"/>
              <w:right w:val="nil"/>
            </w:tcBorders>
            <w:vAlign w:val="center"/>
          </w:tcPr>
          <w:p w14:paraId="1B5EF0B2" w14:textId="77777777" w:rsidR="00E51CDD" w:rsidRPr="00227BE0" w:rsidRDefault="00E51CDD" w:rsidP="009938D9">
            <w:pPr>
              <w:suppressAutoHyphens/>
              <w:autoSpaceDE w:val="0"/>
              <w:autoSpaceDN w:val="0"/>
              <w:adjustRightInd w:val="0"/>
              <w:rPr>
                <w:b/>
                <w:sz w:val="20"/>
                <w:szCs w:val="20"/>
              </w:rPr>
            </w:pPr>
          </w:p>
        </w:tc>
        <w:tc>
          <w:tcPr>
            <w:tcW w:w="3398" w:type="pct"/>
            <w:gridSpan w:val="3"/>
            <w:tcBorders>
              <w:top w:val="single" w:sz="4" w:space="0" w:color="auto"/>
              <w:left w:val="nil"/>
              <w:bottom w:val="single" w:sz="4" w:space="0" w:color="auto"/>
              <w:right w:val="single" w:sz="4" w:space="0" w:color="auto"/>
            </w:tcBorders>
            <w:vAlign w:val="center"/>
          </w:tcPr>
          <w:p w14:paraId="2444AC51" w14:textId="77777777" w:rsidR="00E51CDD" w:rsidRPr="00227BE0" w:rsidRDefault="00E51CDD" w:rsidP="009938D9">
            <w:pPr>
              <w:suppressAutoHyphens/>
              <w:autoSpaceDE w:val="0"/>
              <w:autoSpaceDN w:val="0"/>
              <w:adjustRightInd w:val="0"/>
              <w:jc w:val="center"/>
              <w:rPr>
                <w:bCs/>
                <w:sz w:val="20"/>
                <w:szCs w:val="20"/>
              </w:rPr>
            </w:pPr>
          </w:p>
        </w:tc>
      </w:tr>
      <w:tr w:rsidR="00E51CDD" w:rsidRPr="00227BE0" w14:paraId="17B1EED1" w14:textId="77777777" w:rsidTr="009938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32" w:type="pct"/>
            <w:tcBorders>
              <w:top w:val="single" w:sz="4" w:space="0" w:color="auto"/>
              <w:left w:val="single" w:sz="6" w:space="0" w:color="auto"/>
              <w:bottom w:val="single" w:sz="6" w:space="0" w:color="auto"/>
              <w:right w:val="single" w:sz="6" w:space="0" w:color="auto"/>
            </w:tcBorders>
            <w:vAlign w:val="center"/>
            <w:hideMark/>
          </w:tcPr>
          <w:p w14:paraId="245BD408" w14:textId="77777777" w:rsidR="00E51CDD" w:rsidRPr="00227BE0" w:rsidRDefault="00E51CDD" w:rsidP="009938D9">
            <w:pPr>
              <w:suppressAutoHyphens/>
              <w:autoSpaceDE w:val="0"/>
              <w:autoSpaceDN w:val="0"/>
              <w:adjustRightInd w:val="0"/>
              <w:rPr>
                <w:sz w:val="20"/>
                <w:szCs w:val="20"/>
              </w:rPr>
            </w:pPr>
          </w:p>
        </w:tc>
        <w:tc>
          <w:tcPr>
            <w:tcW w:w="670" w:type="pct"/>
            <w:tcBorders>
              <w:top w:val="single" w:sz="4" w:space="0" w:color="auto"/>
              <w:left w:val="single" w:sz="6" w:space="0" w:color="auto"/>
              <w:bottom w:val="single" w:sz="6" w:space="0" w:color="auto"/>
              <w:right w:val="single" w:sz="6" w:space="0" w:color="auto"/>
            </w:tcBorders>
            <w:vAlign w:val="center"/>
          </w:tcPr>
          <w:p w14:paraId="71E1F89E" w14:textId="77777777" w:rsidR="00E51CDD" w:rsidRPr="00227BE0" w:rsidRDefault="00E51CDD" w:rsidP="009938D9">
            <w:pPr>
              <w:suppressAutoHyphens/>
              <w:autoSpaceDE w:val="0"/>
              <w:autoSpaceDN w:val="0"/>
              <w:adjustRightInd w:val="0"/>
              <w:rPr>
                <w:sz w:val="20"/>
                <w:szCs w:val="20"/>
              </w:rPr>
            </w:pPr>
            <w:r w:rsidRPr="00227BE0">
              <w:rPr>
                <w:sz w:val="20"/>
                <w:szCs w:val="20"/>
              </w:rPr>
              <w:t>44.135</w:t>
            </w:r>
          </w:p>
        </w:tc>
        <w:tc>
          <w:tcPr>
            <w:tcW w:w="1208" w:type="pct"/>
            <w:tcBorders>
              <w:top w:val="single" w:sz="4" w:space="0" w:color="auto"/>
              <w:left w:val="single" w:sz="6" w:space="0" w:color="auto"/>
              <w:bottom w:val="single" w:sz="6" w:space="0" w:color="auto"/>
              <w:right w:val="single" w:sz="6" w:space="0" w:color="auto"/>
            </w:tcBorders>
            <w:vAlign w:val="center"/>
          </w:tcPr>
          <w:p w14:paraId="050BAAB5"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&lt; 0.03</w:t>
            </w:r>
          </w:p>
        </w:tc>
        <w:tc>
          <w:tcPr>
            <w:tcW w:w="1057" w:type="pct"/>
            <w:tcBorders>
              <w:top w:val="single" w:sz="4" w:space="0" w:color="auto"/>
              <w:left w:val="single" w:sz="6" w:space="0" w:color="auto"/>
              <w:bottom w:val="single" w:sz="6" w:space="0" w:color="auto"/>
              <w:right w:val="single" w:sz="6" w:space="0" w:color="auto"/>
            </w:tcBorders>
            <w:vAlign w:val="center"/>
          </w:tcPr>
          <w:p w14:paraId="2BA0850C"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&lt; 0.03</w:t>
            </w:r>
          </w:p>
        </w:tc>
        <w:tc>
          <w:tcPr>
            <w:tcW w:w="1133" w:type="pct"/>
            <w:tcBorders>
              <w:top w:val="single" w:sz="4" w:space="0" w:color="auto"/>
              <w:left w:val="single" w:sz="6" w:space="0" w:color="auto"/>
              <w:bottom w:val="single" w:sz="6" w:space="0" w:color="auto"/>
              <w:right w:val="single" w:sz="6" w:space="0" w:color="auto"/>
            </w:tcBorders>
            <w:vAlign w:val="center"/>
          </w:tcPr>
          <w:p w14:paraId="481CE60A" w14:textId="77777777" w:rsidR="00E51CDD" w:rsidRPr="00227BE0" w:rsidRDefault="00E51CDD" w:rsidP="009938D9">
            <w:pPr>
              <w:suppressAutoHyphens/>
              <w:autoSpaceDE w:val="0"/>
              <w:autoSpaceDN w:val="0"/>
              <w:adjustRightInd w:val="0"/>
              <w:jc w:val="center"/>
              <w:rPr>
                <w:bCs/>
                <w:sz w:val="20"/>
                <w:szCs w:val="20"/>
              </w:rPr>
            </w:pPr>
            <w:r w:rsidRPr="00227BE0">
              <w:rPr>
                <w:bCs/>
                <w:sz w:val="20"/>
                <w:szCs w:val="20"/>
              </w:rPr>
              <w:t>0.09</w:t>
            </w:r>
          </w:p>
        </w:tc>
      </w:tr>
      <w:tr w:rsidR="00E51CDD" w:rsidRPr="00227BE0" w14:paraId="0FA3292A" w14:textId="77777777" w:rsidTr="009938D9">
        <w:trPr>
          <w:trHeight w:val="262"/>
        </w:trPr>
        <w:tc>
          <w:tcPr>
            <w:tcW w:w="5000" w:type="pct"/>
            <w:gridSpan w:val="5"/>
            <w:hideMark/>
          </w:tcPr>
          <w:p w14:paraId="202391F5" w14:textId="77777777" w:rsidR="00E51CDD" w:rsidRPr="00227BE0" w:rsidRDefault="00E51CDD" w:rsidP="009938D9">
            <w:pPr>
              <w:suppressAutoHyphens/>
              <w:autoSpaceDE w:val="0"/>
              <w:autoSpaceDN w:val="0"/>
              <w:adjustRightInd w:val="0"/>
              <w:jc w:val="center"/>
              <w:rPr>
                <w:b/>
                <w:bCs/>
                <w:sz w:val="20"/>
                <w:szCs w:val="20"/>
              </w:rPr>
            </w:pPr>
            <w:r w:rsidRPr="00227BE0">
              <w:rPr>
                <w:b/>
                <w:sz w:val="20"/>
                <w:szCs w:val="20"/>
              </w:rPr>
              <w:t>R402173</w:t>
            </w:r>
          </w:p>
        </w:tc>
      </w:tr>
      <w:tr w:rsidR="00E51CDD" w:rsidRPr="00227BE0" w14:paraId="0D2FEFFC" w14:textId="77777777" w:rsidTr="009938D9">
        <w:trPr>
          <w:trHeight w:val="262"/>
        </w:trPr>
        <w:tc>
          <w:tcPr>
            <w:tcW w:w="1602" w:type="pct"/>
            <w:gridSpan w:val="2"/>
            <w:vMerge w:val="restart"/>
            <w:vAlign w:val="center"/>
            <w:hideMark/>
          </w:tcPr>
          <w:p w14:paraId="016EFCD7" w14:textId="77777777" w:rsidR="00E51CDD" w:rsidRPr="00227BE0" w:rsidRDefault="00E51CDD" w:rsidP="009938D9">
            <w:pPr>
              <w:suppressAutoHyphens/>
              <w:autoSpaceDE w:val="0"/>
              <w:autoSpaceDN w:val="0"/>
              <w:adjustRightInd w:val="0"/>
              <w:rPr>
                <w:b/>
                <w:sz w:val="20"/>
                <w:szCs w:val="20"/>
              </w:rPr>
            </w:pPr>
            <w:r w:rsidRPr="00227BE0">
              <w:rPr>
                <w:b/>
                <w:sz w:val="20"/>
                <w:szCs w:val="20"/>
              </w:rPr>
              <w:t>Endpoint (µg/L)</w:t>
            </w:r>
          </w:p>
        </w:tc>
        <w:tc>
          <w:tcPr>
            <w:tcW w:w="1208" w:type="pct"/>
            <w:vAlign w:val="center"/>
            <w:hideMark/>
          </w:tcPr>
          <w:p w14:paraId="19E669A6"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LC</w:t>
            </w:r>
            <w:r w:rsidRPr="00227BE0">
              <w:rPr>
                <w:sz w:val="20"/>
                <w:szCs w:val="20"/>
                <w:vertAlign w:val="subscript"/>
              </w:rPr>
              <w:t>50</w:t>
            </w:r>
          </w:p>
        </w:tc>
        <w:tc>
          <w:tcPr>
            <w:tcW w:w="1057" w:type="pct"/>
            <w:vAlign w:val="center"/>
            <w:hideMark/>
          </w:tcPr>
          <w:p w14:paraId="376FB8DB"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EC</w:t>
            </w:r>
            <w:r w:rsidRPr="00227BE0">
              <w:rPr>
                <w:sz w:val="20"/>
                <w:szCs w:val="20"/>
                <w:vertAlign w:val="subscript"/>
              </w:rPr>
              <w:t>50</w:t>
            </w:r>
          </w:p>
        </w:tc>
        <w:tc>
          <w:tcPr>
            <w:tcW w:w="1133" w:type="pct"/>
            <w:vAlign w:val="center"/>
            <w:hideMark/>
          </w:tcPr>
          <w:p w14:paraId="54138DB3"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E</w:t>
            </w:r>
            <w:r w:rsidRPr="00227BE0">
              <w:rPr>
                <w:sz w:val="20"/>
                <w:szCs w:val="20"/>
                <w:vertAlign w:val="subscript"/>
              </w:rPr>
              <w:t>b</w:t>
            </w:r>
            <w:r w:rsidRPr="00227BE0">
              <w:rPr>
                <w:sz w:val="20"/>
                <w:szCs w:val="20"/>
              </w:rPr>
              <w:t>C</w:t>
            </w:r>
            <w:r w:rsidRPr="00227BE0">
              <w:rPr>
                <w:sz w:val="20"/>
                <w:szCs w:val="20"/>
                <w:vertAlign w:val="subscript"/>
              </w:rPr>
              <w:t>50</w:t>
            </w:r>
          </w:p>
        </w:tc>
      </w:tr>
      <w:tr w:rsidR="00E51CDD" w:rsidRPr="00227BE0" w14:paraId="0BC63039" w14:textId="77777777" w:rsidTr="009938D9">
        <w:trPr>
          <w:trHeight w:val="262"/>
        </w:trPr>
        <w:tc>
          <w:tcPr>
            <w:tcW w:w="0" w:type="auto"/>
            <w:gridSpan w:val="2"/>
            <w:vMerge/>
            <w:vAlign w:val="center"/>
            <w:hideMark/>
          </w:tcPr>
          <w:p w14:paraId="031655DE" w14:textId="77777777" w:rsidR="00E51CDD" w:rsidRPr="00227BE0" w:rsidRDefault="00E51CDD" w:rsidP="009938D9">
            <w:pPr>
              <w:rPr>
                <w:b/>
                <w:sz w:val="20"/>
                <w:szCs w:val="20"/>
              </w:rPr>
            </w:pPr>
          </w:p>
        </w:tc>
        <w:tc>
          <w:tcPr>
            <w:tcW w:w="1208" w:type="pct"/>
            <w:vAlign w:val="center"/>
            <w:hideMark/>
          </w:tcPr>
          <w:p w14:paraId="0AE8C56C"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62000</w:t>
            </w:r>
          </w:p>
        </w:tc>
        <w:tc>
          <w:tcPr>
            <w:tcW w:w="1057" w:type="pct"/>
            <w:vAlign w:val="center"/>
            <w:hideMark/>
          </w:tcPr>
          <w:p w14:paraId="1EEA7450"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&gt; 100000</w:t>
            </w:r>
          </w:p>
        </w:tc>
        <w:tc>
          <w:tcPr>
            <w:tcW w:w="1133" w:type="pct"/>
            <w:vAlign w:val="center"/>
            <w:hideMark/>
          </w:tcPr>
          <w:p w14:paraId="237CF4C0"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67000</w:t>
            </w:r>
          </w:p>
        </w:tc>
      </w:tr>
      <w:tr w:rsidR="00E51CDD" w:rsidRPr="00227BE0" w14:paraId="410E116E" w14:textId="77777777" w:rsidTr="009938D9">
        <w:trPr>
          <w:trHeight w:val="262"/>
        </w:trPr>
        <w:tc>
          <w:tcPr>
            <w:tcW w:w="1602" w:type="pct"/>
            <w:gridSpan w:val="2"/>
            <w:vAlign w:val="center"/>
            <w:hideMark/>
          </w:tcPr>
          <w:p w14:paraId="4D34BAF5" w14:textId="77777777" w:rsidR="00E51CDD" w:rsidRPr="00227BE0" w:rsidRDefault="00E51CDD" w:rsidP="009938D9">
            <w:pPr>
              <w:suppressAutoHyphens/>
              <w:autoSpaceDE w:val="0"/>
              <w:autoSpaceDN w:val="0"/>
              <w:adjustRightInd w:val="0"/>
              <w:rPr>
                <w:b/>
                <w:sz w:val="20"/>
                <w:szCs w:val="20"/>
              </w:rPr>
            </w:pPr>
            <w:r w:rsidRPr="00227BE0">
              <w:rPr>
                <w:b/>
                <w:sz w:val="20"/>
                <w:szCs w:val="20"/>
              </w:rPr>
              <w:t>RAC (µg/L)</w:t>
            </w:r>
          </w:p>
        </w:tc>
        <w:tc>
          <w:tcPr>
            <w:tcW w:w="1208" w:type="pct"/>
            <w:vAlign w:val="center"/>
            <w:hideMark/>
          </w:tcPr>
          <w:p w14:paraId="7AF52CB1"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620</w:t>
            </w:r>
          </w:p>
        </w:tc>
        <w:tc>
          <w:tcPr>
            <w:tcW w:w="1057" w:type="pct"/>
            <w:vAlign w:val="center"/>
            <w:hideMark/>
          </w:tcPr>
          <w:p w14:paraId="2AC0892C"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1000</w:t>
            </w:r>
          </w:p>
        </w:tc>
        <w:tc>
          <w:tcPr>
            <w:tcW w:w="1133" w:type="pct"/>
            <w:vAlign w:val="center"/>
            <w:hideMark/>
          </w:tcPr>
          <w:p w14:paraId="375B3507"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670</w:t>
            </w:r>
          </w:p>
        </w:tc>
      </w:tr>
      <w:tr w:rsidR="00E51CDD" w:rsidRPr="00227BE0" w14:paraId="45F6AF17" w14:textId="77777777" w:rsidTr="009938D9">
        <w:trPr>
          <w:trHeight w:val="448"/>
        </w:trPr>
        <w:tc>
          <w:tcPr>
            <w:tcW w:w="932" w:type="pct"/>
            <w:vAlign w:val="center"/>
            <w:hideMark/>
          </w:tcPr>
          <w:p w14:paraId="53BF722A" w14:textId="77777777" w:rsidR="00E51CDD" w:rsidRPr="00227BE0" w:rsidRDefault="00E51CDD" w:rsidP="009938D9">
            <w:pPr>
              <w:widowControl w:val="0"/>
              <w:suppressAutoHyphens/>
              <w:rPr>
                <w:b/>
                <w:sz w:val="20"/>
                <w:szCs w:val="20"/>
                <w:lang w:val="en-GB"/>
              </w:rPr>
            </w:pPr>
            <w:r w:rsidRPr="00227BE0">
              <w:rPr>
                <w:b/>
                <w:sz w:val="20"/>
                <w:szCs w:val="20"/>
                <w:lang w:val="en-GB"/>
              </w:rPr>
              <w:t xml:space="preserve">FOCUS </w:t>
            </w:r>
          </w:p>
          <w:p w14:paraId="728BA0DA" w14:textId="77777777" w:rsidR="00E51CDD" w:rsidRPr="00227BE0" w:rsidRDefault="00E51CDD" w:rsidP="009938D9">
            <w:pPr>
              <w:suppressAutoHyphens/>
              <w:autoSpaceDE w:val="0"/>
              <w:autoSpaceDN w:val="0"/>
              <w:adjustRightInd w:val="0"/>
              <w:rPr>
                <w:b/>
                <w:sz w:val="20"/>
                <w:szCs w:val="20"/>
              </w:rPr>
            </w:pPr>
            <w:r w:rsidRPr="00227BE0">
              <w:rPr>
                <w:b/>
                <w:sz w:val="20"/>
                <w:szCs w:val="20"/>
                <w:lang w:val="en-GB"/>
              </w:rPr>
              <w:t>Scenario</w:t>
            </w:r>
          </w:p>
        </w:tc>
        <w:tc>
          <w:tcPr>
            <w:tcW w:w="670" w:type="pct"/>
            <w:vAlign w:val="center"/>
            <w:hideMark/>
          </w:tcPr>
          <w:p w14:paraId="71A6C51A" w14:textId="77777777" w:rsidR="00E51CDD" w:rsidRPr="00227BE0" w:rsidRDefault="00E51CDD" w:rsidP="009938D9">
            <w:pPr>
              <w:suppressAutoHyphens/>
              <w:autoSpaceDE w:val="0"/>
              <w:autoSpaceDN w:val="0"/>
              <w:adjustRightInd w:val="0"/>
              <w:rPr>
                <w:bCs/>
                <w:sz w:val="20"/>
                <w:szCs w:val="20"/>
              </w:rPr>
            </w:pPr>
            <w:r w:rsidRPr="00227BE0">
              <w:rPr>
                <w:b/>
                <w:sz w:val="20"/>
                <w:szCs w:val="20"/>
              </w:rPr>
              <w:t xml:space="preserve">PEC </w:t>
            </w:r>
            <w:r w:rsidRPr="00227BE0">
              <w:rPr>
                <w:b/>
                <w:sz w:val="20"/>
                <w:szCs w:val="20"/>
                <w:vertAlign w:val="subscript"/>
              </w:rPr>
              <w:t>gl-max, sw</w:t>
            </w:r>
            <w:r w:rsidRPr="00227BE0">
              <w:rPr>
                <w:b/>
                <w:sz w:val="20"/>
                <w:szCs w:val="20"/>
              </w:rPr>
              <w:t xml:space="preserve"> (µg/L)</w:t>
            </w:r>
          </w:p>
        </w:tc>
        <w:tc>
          <w:tcPr>
            <w:tcW w:w="3398" w:type="pct"/>
            <w:gridSpan w:val="3"/>
            <w:vAlign w:val="center"/>
            <w:hideMark/>
          </w:tcPr>
          <w:p w14:paraId="25E464AB" w14:textId="77777777" w:rsidR="00E51CDD" w:rsidRPr="00227BE0" w:rsidRDefault="00E51CDD" w:rsidP="009938D9">
            <w:pPr>
              <w:suppressAutoHyphens/>
              <w:autoSpaceDE w:val="0"/>
              <w:autoSpaceDN w:val="0"/>
              <w:adjustRightInd w:val="0"/>
              <w:jc w:val="center"/>
              <w:rPr>
                <w:bCs/>
                <w:sz w:val="20"/>
                <w:szCs w:val="20"/>
              </w:rPr>
            </w:pPr>
            <w:r w:rsidRPr="00227BE0">
              <w:rPr>
                <w:bCs/>
                <w:sz w:val="20"/>
                <w:szCs w:val="20"/>
              </w:rPr>
              <w:t>PEC/RAC ratio (= ETR)</w:t>
            </w:r>
          </w:p>
        </w:tc>
      </w:tr>
      <w:tr w:rsidR="00E51CDD" w:rsidRPr="00227BE0" w14:paraId="2A95D282" w14:textId="77777777" w:rsidTr="009938D9">
        <w:trPr>
          <w:trHeight w:val="286"/>
        </w:trPr>
        <w:tc>
          <w:tcPr>
            <w:tcW w:w="932" w:type="pct"/>
            <w:tcBorders>
              <w:top w:val="single" w:sz="4" w:space="0" w:color="auto"/>
              <w:left w:val="single" w:sz="4" w:space="0" w:color="auto"/>
              <w:bottom w:val="single" w:sz="4" w:space="0" w:color="auto"/>
              <w:right w:val="nil"/>
            </w:tcBorders>
            <w:vAlign w:val="center"/>
          </w:tcPr>
          <w:p w14:paraId="23A7DD53" w14:textId="77777777" w:rsidR="00E51CDD" w:rsidRPr="00227BE0" w:rsidRDefault="00E51CDD" w:rsidP="009938D9">
            <w:pPr>
              <w:widowControl w:val="0"/>
              <w:suppressAutoHyphens/>
              <w:rPr>
                <w:b/>
                <w:sz w:val="20"/>
                <w:szCs w:val="20"/>
                <w:lang w:val="en-GB"/>
              </w:rPr>
            </w:pPr>
            <w:r w:rsidRPr="00227BE0">
              <w:rPr>
                <w:b/>
                <w:sz w:val="20"/>
                <w:szCs w:val="20"/>
                <w:lang w:val="en-GB"/>
              </w:rPr>
              <w:t>Step 1</w:t>
            </w:r>
          </w:p>
        </w:tc>
        <w:tc>
          <w:tcPr>
            <w:tcW w:w="670" w:type="pct"/>
            <w:tcBorders>
              <w:top w:val="single" w:sz="4" w:space="0" w:color="auto"/>
              <w:left w:val="nil"/>
              <w:bottom w:val="single" w:sz="4" w:space="0" w:color="auto"/>
              <w:right w:val="nil"/>
            </w:tcBorders>
            <w:vAlign w:val="center"/>
          </w:tcPr>
          <w:p w14:paraId="79E27611" w14:textId="77777777" w:rsidR="00E51CDD" w:rsidRPr="00227BE0" w:rsidRDefault="00E51CDD" w:rsidP="009938D9">
            <w:pPr>
              <w:suppressAutoHyphens/>
              <w:autoSpaceDE w:val="0"/>
              <w:autoSpaceDN w:val="0"/>
              <w:adjustRightInd w:val="0"/>
              <w:rPr>
                <w:b/>
                <w:sz w:val="20"/>
                <w:szCs w:val="20"/>
              </w:rPr>
            </w:pPr>
          </w:p>
        </w:tc>
        <w:tc>
          <w:tcPr>
            <w:tcW w:w="3398" w:type="pct"/>
            <w:gridSpan w:val="3"/>
            <w:tcBorders>
              <w:top w:val="single" w:sz="4" w:space="0" w:color="auto"/>
              <w:left w:val="nil"/>
              <w:bottom w:val="single" w:sz="4" w:space="0" w:color="auto"/>
              <w:right w:val="single" w:sz="4" w:space="0" w:color="auto"/>
            </w:tcBorders>
            <w:vAlign w:val="center"/>
          </w:tcPr>
          <w:p w14:paraId="7FD85DDD" w14:textId="77777777" w:rsidR="00E51CDD" w:rsidRPr="00227BE0" w:rsidRDefault="00E51CDD" w:rsidP="009938D9">
            <w:pPr>
              <w:suppressAutoHyphens/>
              <w:autoSpaceDE w:val="0"/>
              <w:autoSpaceDN w:val="0"/>
              <w:adjustRightInd w:val="0"/>
              <w:jc w:val="center"/>
              <w:rPr>
                <w:bCs/>
                <w:sz w:val="20"/>
                <w:szCs w:val="20"/>
              </w:rPr>
            </w:pPr>
          </w:p>
        </w:tc>
      </w:tr>
      <w:tr w:rsidR="00E51CDD" w:rsidRPr="00227BE0" w14:paraId="1877B501" w14:textId="77777777" w:rsidTr="009938D9">
        <w:trPr>
          <w:trHeight w:val="262"/>
        </w:trPr>
        <w:tc>
          <w:tcPr>
            <w:tcW w:w="932" w:type="pct"/>
            <w:vAlign w:val="center"/>
          </w:tcPr>
          <w:p w14:paraId="50B99C5E" w14:textId="77777777" w:rsidR="00E51CDD" w:rsidRPr="00227BE0" w:rsidRDefault="00E51CDD" w:rsidP="009938D9">
            <w:pPr>
              <w:suppressAutoHyphens/>
              <w:autoSpaceDE w:val="0"/>
              <w:autoSpaceDN w:val="0"/>
              <w:adjustRightInd w:val="0"/>
              <w:rPr>
                <w:sz w:val="20"/>
                <w:szCs w:val="20"/>
              </w:rPr>
            </w:pPr>
          </w:p>
        </w:tc>
        <w:tc>
          <w:tcPr>
            <w:tcW w:w="670" w:type="pct"/>
            <w:vAlign w:val="center"/>
          </w:tcPr>
          <w:p w14:paraId="7BB0A580" w14:textId="77777777" w:rsidR="00E51CDD" w:rsidRPr="00227BE0" w:rsidRDefault="00E51CDD" w:rsidP="009938D9">
            <w:pPr>
              <w:suppressAutoHyphens/>
              <w:autoSpaceDE w:val="0"/>
              <w:autoSpaceDN w:val="0"/>
              <w:adjustRightInd w:val="0"/>
              <w:rPr>
                <w:sz w:val="20"/>
                <w:szCs w:val="20"/>
              </w:rPr>
            </w:pPr>
            <w:r w:rsidRPr="00227BE0">
              <w:rPr>
                <w:sz w:val="20"/>
                <w:szCs w:val="20"/>
              </w:rPr>
              <w:t>11.361</w:t>
            </w:r>
          </w:p>
        </w:tc>
        <w:tc>
          <w:tcPr>
            <w:tcW w:w="1208" w:type="pct"/>
            <w:vAlign w:val="center"/>
          </w:tcPr>
          <w:p w14:paraId="42CA1A28"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0.02</w:t>
            </w:r>
          </w:p>
        </w:tc>
        <w:tc>
          <w:tcPr>
            <w:tcW w:w="1057" w:type="pct"/>
            <w:vAlign w:val="center"/>
          </w:tcPr>
          <w:p w14:paraId="5E5A57B5"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&lt; 0.01</w:t>
            </w:r>
          </w:p>
        </w:tc>
        <w:tc>
          <w:tcPr>
            <w:tcW w:w="1133" w:type="pct"/>
            <w:vAlign w:val="center"/>
          </w:tcPr>
          <w:p w14:paraId="4AE3992A"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0.02</w:t>
            </w:r>
          </w:p>
        </w:tc>
      </w:tr>
      <w:tr w:rsidR="00E51CDD" w:rsidRPr="00227BE0" w14:paraId="7B2CFEEF" w14:textId="77777777" w:rsidTr="009938D9">
        <w:trPr>
          <w:trHeight w:val="262"/>
        </w:trPr>
        <w:tc>
          <w:tcPr>
            <w:tcW w:w="5000" w:type="pct"/>
            <w:gridSpan w:val="5"/>
            <w:hideMark/>
          </w:tcPr>
          <w:p w14:paraId="4367AB8C" w14:textId="77777777" w:rsidR="00E51CDD" w:rsidRPr="00227BE0" w:rsidRDefault="00E51CDD" w:rsidP="009938D9">
            <w:pPr>
              <w:suppressAutoHyphens/>
              <w:autoSpaceDE w:val="0"/>
              <w:autoSpaceDN w:val="0"/>
              <w:adjustRightInd w:val="0"/>
              <w:jc w:val="center"/>
              <w:rPr>
                <w:b/>
                <w:sz w:val="20"/>
                <w:szCs w:val="20"/>
              </w:rPr>
            </w:pPr>
            <w:r w:rsidRPr="00227BE0">
              <w:rPr>
                <w:b/>
                <w:sz w:val="20"/>
                <w:szCs w:val="20"/>
              </w:rPr>
              <w:t>R401553</w:t>
            </w:r>
          </w:p>
        </w:tc>
      </w:tr>
      <w:tr w:rsidR="00E51CDD" w:rsidRPr="00227BE0" w14:paraId="6B8639AF" w14:textId="77777777" w:rsidTr="009938D9">
        <w:trPr>
          <w:trHeight w:val="262"/>
        </w:trPr>
        <w:tc>
          <w:tcPr>
            <w:tcW w:w="1602" w:type="pct"/>
            <w:gridSpan w:val="2"/>
            <w:vMerge w:val="restart"/>
            <w:vAlign w:val="center"/>
            <w:hideMark/>
          </w:tcPr>
          <w:p w14:paraId="083D184E" w14:textId="77777777" w:rsidR="00E51CDD" w:rsidRPr="00227BE0" w:rsidRDefault="00E51CDD" w:rsidP="009938D9">
            <w:pPr>
              <w:suppressAutoHyphens/>
              <w:autoSpaceDE w:val="0"/>
              <w:autoSpaceDN w:val="0"/>
              <w:adjustRightInd w:val="0"/>
              <w:rPr>
                <w:b/>
                <w:sz w:val="20"/>
                <w:szCs w:val="20"/>
              </w:rPr>
            </w:pPr>
            <w:r w:rsidRPr="00227BE0">
              <w:rPr>
                <w:b/>
                <w:sz w:val="20"/>
                <w:szCs w:val="20"/>
              </w:rPr>
              <w:t>Endpoint (µg/L)</w:t>
            </w:r>
          </w:p>
        </w:tc>
        <w:tc>
          <w:tcPr>
            <w:tcW w:w="1208" w:type="pct"/>
            <w:vAlign w:val="center"/>
            <w:hideMark/>
          </w:tcPr>
          <w:p w14:paraId="2ADA1705"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LC</w:t>
            </w:r>
            <w:r w:rsidRPr="00227BE0">
              <w:rPr>
                <w:sz w:val="20"/>
                <w:szCs w:val="20"/>
                <w:vertAlign w:val="subscript"/>
              </w:rPr>
              <w:t>50</w:t>
            </w:r>
          </w:p>
        </w:tc>
        <w:tc>
          <w:tcPr>
            <w:tcW w:w="1057" w:type="pct"/>
            <w:vAlign w:val="center"/>
            <w:hideMark/>
          </w:tcPr>
          <w:p w14:paraId="0BB1D484"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EC</w:t>
            </w:r>
            <w:r w:rsidRPr="00227BE0">
              <w:rPr>
                <w:sz w:val="20"/>
                <w:szCs w:val="20"/>
                <w:vertAlign w:val="subscript"/>
              </w:rPr>
              <w:t>50</w:t>
            </w:r>
          </w:p>
        </w:tc>
        <w:tc>
          <w:tcPr>
            <w:tcW w:w="1133" w:type="pct"/>
            <w:vAlign w:val="center"/>
            <w:hideMark/>
          </w:tcPr>
          <w:p w14:paraId="40327A2F" w14:textId="77777777" w:rsidR="00E51CDD" w:rsidRPr="00227BE0" w:rsidRDefault="00E51CDD" w:rsidP="009938D9">
            <w:pPr>
              <w:suppressAutoHyphens/>
              <w:autoSpaceDE w:val="0"/>
              <w:autoSpaceDN w:val="0"/>
              <w:adjustRightInd w:val="0"/>
              <w:jc w:val="center"/>
              <w:rPr>
                <w:sz w:val="20"/>
                <w:szCs w:val="20"/>
                <w:vertAlign w:val="subscript"/>
              </w:rPr>
            </w:pPr>
            <w:r w:rsidRPr="00227BE0">
              <w:rPr>
                <w:sz w:val="20"/>
                <w:szCs w:val="20"/>
              </w:rPr>
              <w:t>E</w:t>
            </w:r>
            <w:r w:rsidRPr="00227BE0">
              <w:rPr>
                <w:sz w:val="20"/>
                <w:szCs w:val="20"/>
                <w:vertAlign w:val="subscript"/>
              </w:rPr>
              <w:t>b</w:t>
            </w:r>
            <w:r w:rsidRPr="00227BE0">
              <w:rPr>
                <w:sz w:val="20"/>
                <w:szCs w:val="20"/>
              </w:rPr>
              <w:t>C</w:t>
            </w:r>
            <w:r w:rsidRPr="00227BE0">
              <w:rPr>
                <w:sz w:val="20"/>
                <w:szCs w:val="20"/>
                <w:vertAlign w:val="subscript"/>
              </w:rPr>
              <w:t>50</w:t>
            </w:r>
          </w:p>
        </w:tc>
      </w:tr>
      <w:tr w:rsidR="00E51CDD" w:rsidRPr="00227BE0" w14:paraId="30109F74" w14:textId="77777777" w:rsidTr="009938D9">
        <w:trPr>
          <w:trHeight w:val="262"/>
        </w:trPr>
        <w:tc>
          <w:tcPr>
            <w:tcW w:w="0" w:type="auto"/>
            <w:gridSpan w:val="2"/>
            <w:vMerge/>
            <w:vAlign w:val="center"/>
            <w:hideMark/>
          </w:tcPr>
          <w:p w14:paraId="175FDBE6" w14:textId="77777777" w:rsidR="00E51CDD" w:rsidRPr="00227BE0" w:rsidRDefault="00E51CDD" w:rsidP="009938D9">
            <w:pPr>
              <w:rPr>
                <w:b/>
                <w:sz w:val="20"/>
                <w:szCs w:val="20"/>
              </w:rPr>
            </w:pPr>
          </w:p>
        </w:tc>
        <w:tc>
          <w:tcPr>
            <w:tcW w:w="1208" w:type="pct"/>
            <w:vAlign w:val="center"/>
            <w:hideMark/>
          </w:tcPr>
          <w:p w14:paraId="5383BAA1"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&gt; 120000</w:t>
            </w:r>
          </w:p>
        </w:tc>
        <w:tc>
          <w:tcPr>
            <w:tcW w:w="1057" w:type="pct"/>
            <w:vAlign w:val="center"/>
            <w:hideMark/>
          </w:tcPr>
          <w:p w14:paraId="7F9B958A"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&gt; 120000</w:t>
            </w:r>
          </w:p>
        </w:tc>
        <w:tc>
          <w:tcPr>
            <w:tcW w:w="1133" w:type="pct"/>
            <w:vAlign w:val="center"/>
            <w:hideMark/>
          </w:tcPr>
          <w:p w14:paraId="0EC4D449"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&gt; 120000</w:t>
            </w:r>
          </w:p>
        </w:tc>
      </w:tr>
      <w:tr w:rsidR="00E51CDD" w:rsidRPr="00227BE0" w14:paraId="48EEF4BF" w14:textId="77777777" w:rsidTr="009938D9">
        <w:trPr>
          <w:trHeight w:val="262"/>
        </w:trPr>
        <w:tc>
          <w:tcPr>
            <w:tcW w:w="1602" w:type="pct"/>
            <w:gridSpan w:val="2"/>
            <w:vAlign w:val="center"/>
            <w:hideMark/>
          </w:tcPr>
          <w:p w14:paraId="08C2020E" w14:textId="77777777" w:rsidR="00E51CDD" w:rsidRPr="00227BE0" w:rsidRDefault="00E51CDD" w:rsidP="009938D9">
            <w:pPr>
              <w:suppressAutoHyphens/>
              <w:autoSpaceDE w:val="0"/>
              <w:autoSpaceDN w:val="0"/>
              <w:adjustRightInd w:val="0"/>
              <w:rPr>
                <w:b/>
                <w:sz w:val="20"/>
                <w:szCs w:val="20"/>
              </w:rPr>
            </w:pPr>
            <w:r w:rsidRPr="00227BE0">
              <w:rPr>
                <w:b/>
                <w:sz w:val="20"/>
                <w:szCs w:val="20"/>
              </w:rPr>
              <w:t>RAC (µg/L)</w:t>
            </w:r>
          </w:p>
        </w:tc>
        <w:tc>
          <w:tcPr>
            <w:tcW w:w="1208" w:type="pct"/>
            <w:vAlign w:val="center"/>
            <w:hideMark/>
          </w:tcPr>
          <w:p w14:paraId="15D58F8E"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1200</w:t>
            </w:r>
          </w:p>
        </w:tc>
        <w:tc>
          <w:tcPr>
            <w:tcW w:w="1057" w:type="pct"/>
            <w:vAlign w:val="center"/>
            <w:hideMark/>
          </w:tcPr>
          <w:p w14:paraId="3CF10477"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1200</w:t>
            </w:r>
          </w:p>
        </w:tc>
        <w:tc>
          <w:tcPr>
            <w:tcW w:w="1133" w:type="pct"/>
            <w:vAlign w:val="center"/>
            <w:hideMark/>
          </w:tcPr>
          <w:p w14:paraId="054526D2"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&gt; 12000</w:t>
            </w:r>
          </w:p>
        </w:tc>
      </w:tr>
      <w:tr w:rsidR="00E51CDD" w:rsidRPr="00227BE0" w14:paraId="76799CB9" w14:textId="77777777" w:rsidTr="009938D9">
        <w:trPr>
          <w:trHeight w:val="460"/>
        </w:trPr>
        <w:tc>
          <w:tcPr>
            <w:tcW w:w="932" w:type="pct"/>
            <w:vAlign w:val="center"/>
            <w:hideMark/>
          </w:tcPr>
          <w:p w14:paraId="12300E8B" w14:textId="77777777" w:rsidR="00E51CDD" w:rsidRPr="00227BE0" w:rsidRDefault="00E51CDD" w:rsidP="009938D9">
            <w:pPr>
              <w:widowControl w:val="0"/>
              <w:suppressAutoHyphens/>
              <w:rPr>
                <w:b/>
                <w:sz w:val="20"/>
                <w:szCs w:val="20"/>
                <w:lang w:val="en-GB"/>
              </w:rPr>
            </w:pPr>
            <w:r w:rsidRPr="00227BE0">
              <w:rPr>
                <w:b/>
                <w:sz w:val="20"/>
                <w:szCs w:val="20"/>
                <w:lang w:val="en-GB"/>
              </w:rPr>
              <w:t xml:space="preserve">FOCUS </w:t>
            </w:r>
          </w:p>
          <w:p w14:paraId="58AAA517" w14:textId="77777777" w:rsidR="00E51CDD" w:rsidRPr="00227BE0" w:rsidRDefault="00E51CDD" w:rsidP="009938D9">
            <w:pPr>
              <w:suppressAutoHyphens/>
              <w:autoSpaceDE w:val="0"/>
              <w:autoSpaceDN w:val="0"/>
              <w:adjustRightInd w:val="0"/>
              <w:rPr>
                <w:b/>
                <w:sz w:val="20"/>
                <w:szCs w:val="20"/>
              </w:rPr>
            </w:pPr>
            <w:r w:rsidRPr="00227BE0">
              <w:rPr>
                <w:b/>
                <w:sz w:val="20"/>
                <w:szCs w:val="20"/>
                <w:lang w:val="en-GB"/>
              </w:rPr>
              <w:t>Scenario</w:t>
            </w:r>
          </w:p>
        </w:tc>
        <w:tc>
          <w:tcPr>
            <w:tcW w:w="670" w:type="pct"/>
            <w:vAlign w:val="center"/>
            <w:hideMark/>
          </w:tcPr>
          <w:p w14:paraId="258C3ED8" w14:textId="77777777" w:rsidR="00E51CDD" w:rsidRPr="00227BE0" w:rsidRDefault="00E51CDD" w:rsidP="009938D9">
            <w:pPr>
              <w:suppressAutoHyphens/>
              <w:autoSpaceDE w:val="0"/>
              <w:autoSpaceDN w:val="0"/>
              <w:adjustRightInd w:val="0"/>
              <w:rPr>
                <w:bCs/>
                <w:sz w:val="20"/>
                <w:szCs w:val="20"/>
              </w:rPr>
            </w:pPr>
            <w:r w:rsidRPr="00227BE0">
              <w:rPr>
                <w:b/>
                <w:sz w:val="20"/>
                <w:szCs w:val="20"/>
              </w:rPr>
              <w:t xml:space="preserve">PEC </w:t>
            </w:r>
            <w:r w:rsidRPr="00227BE0">
              <w:rPr>
                <w:b/>
                <w:sz w:val="20"/>
                <w:szCs w:val="20"/>
                <w:vertAlign w:val="subscript"/>
              </w:rPr>
              <w:t>gl-max, sw</w:t>
            </w:r>
            <w:r w:rsidRPr="00227BE0">
              <w:rPr>
                <w:b/>
                <w:sz w:val="20"/>
                <w:szCs w:val="20"/>
              </w:rPr>
              <w:t xml:space="preserve"> (µg/L)</w:t>
            </w:r>
          </w:p>
        </w:tc>
        <w:tc>
          <w:tcPr>
            <w:tcW w:w="3398" w:type="pct"/>
            <w:gridSpan w:val="3"/>
            <w:vAlign w:val="center"/>
            <w:hideMark/>
          </w:tcPr>
          <w:p w14:paraId="1053B5FE" w14:textId="77777777" w:rsidR="00E51CDD" w:rsidRPr="00227BE0" w:rsidRDefault="00E51CDD" w:rsidP="009938D9">
            <w:pPr>
              <w:suppressAutoHyphens/>
              <w:autoSpaceDE w:val="0"/>
              <w:autoSpaceDN w:val="0"/>
              <w:adjustRightInd w:val="0"/>
              <w:jc w:val="center"/>
              <w:rPr>
                <w:bCs/>
                <w:sz w:val="20"/>
                <w:szCs w:val="20"/>
              </w:rPr>
            </w:pPr>
            <w:r w:rsidRPr="00227BE0">
              <w:rPr>
                <w:bCs/>
                <w:sz w:val="20"/>
                <w:szCs w:val="20"/>
              </w:rPr>
              <w:t>PEC/RAC ratio (= ETR)</w:t>
            </w:r>
          </w:p>
        </w:tc>
      </w:tr>
      <w:tr w:rsidR="00E51CDD" w:rsidRPr="00227BE0" w14:paraId="5B8CF94E" w14:textId="77777777" w:rsidTr="009938D9">
        <w:trPr>
          <w:trHeight w:val="286"/>
        </w:trPr>
        <w:tc>
          <w:tcPr>
            <w:tcW w:w="932" w:type="pct"/>
            <w:tcBorders>
              <w:top w:val="single" w:sz="4" w:space="0" w:color="auto"/>
              <w:left w:val="single" w:sz="4" w:space="0" w:color="auto"/>
              <w:bottom w:val="single" w:sz="4" w:space="0" w:color="auto"/>
              <w:right w:val="nil"/>
            </w:tcBorders>
            <w:vAlign w:val="center"/>
          </w:tcPr>
          <w:p w14:paraId="327E620A" w14:textId="77777777" w:rsidR="00E51CDD" w:rsidRPr="00227BE0" w:rsidRDefault="00E51CDD" w:rsidP="009938D9">
            <w:pPr>
              <w:widowControl w:val="0"/>
              <w:suppressAutoHyphens/>
              <w:rPr>
                <w:b/>
                <w:sz w:val="20"/>
                <w:szCs w:val="20"/>
                <w:lang w:val="en-GB"/>
              </w:rPr>
            </w:pPr>
            <w:r w:rsidRPr="00227BE0">
              <w:rPr>
                <w:b/>
                <w:sz w:val="20"/>
                <w:szCs w:val="20"/>
                <w:lang w:val="en-GB"/>
              </w:rPr>
              <w:t>Step 1</w:t>
            </w:r>
          </w:p>
        </w:tc>
        <w:tc>
          <w:tcPr>
            <w:tcW w:w="670" w:type="pct"/>
            <w:tcBorders>
              <w:top w:val="single" w:sz="4" w:space="0" w:color="auto"/>
              <w:left w:val="nil"/>
              <w:bottom w:val="single" w:sz="4" w:space="0" w:color="auto"/>
              <w:right w:val="nil"/>
            </w:tcBorders>
            <w:vAlign w:val="center"/>
          </w:tcPr>
          <w:p w14:paraId="3583E4C9" w14:textId="77777777" w:rsidR="00E51CDD" w:rsidRPr="00227BE0" w:rsidRDefault="00E51CDD" w:rsidP="009938D9">
            <w:pPr>
              <w:suppressAutoHyphens/>
              <w:autoSpaceDE w:val="0"/>
              <w:autoSpaceDN w:val="0"/>
              <w:adjustRightInd w:val="0"/>
              <w:rPr>
                <w:b/>
                <w:sz w:val="20"/>
                <w:szCs w:val="20"/>
              </w:rPr>
            </w:pPr>
          </w:p>
        </w:tc>
        <w:tc>
          <w:tcPr>
            <w:tcW w:w="3398" w:type="pct"/>
            <w:gridSpan w:val="3"/>
            <w:tcBorders>
              <w:top w:val="single" w:sz="4" w:space="0" w:color="auto"/>
              <w:left w:val="nil"/>
              <w:bottom w:val="single" w:sz="4" w:space="0" w:color="auto"/>
              <w:right w:val="single" w:sz="4" w:space="0" w:color="auto"/>
            </w:tcBorders>
            <w:vAlign w:val="center"/>
          </w:tcPr>
          <w:p w14:paraId="1FECD3FB" w14:textId="77777777" w:rsidR="00E51CDD" w:rsidRPr="00227BE0" w:rsidRDefault="00E51CDD" w:rsidP="009938D9">
            <w:pPr>
              <w:suppressAutoHyphens/>
              <w:autoSpaceDE w:val="0"/>
              <w:autoSpaceDN w:val="0"/>
              <w:adjustRightInd w:val="0"/>
              <w:jc w:val="center"/>
              <w:rPr>
                <w:bCs/>
                <w:sz w:val="20"/>
                <w:szCs w:val="20"/>
              </w:rPr>
            </w:pPr>
          </w:p>
        </w:tc>
      </w:tr>
      <w:tr w:rsidR="00E51CDD" w:rsidRPr="00227BE0" w14:paraId="10660B27" w14:textId="77777777" w:rsidTr="009938D9">
        <w:trPr>
          <w:trHeight w:val="262"/>
        </w:trPr>
        <w:tc>
          <w:tcPr>
            <w:tcW w:w="932" w:type="pct"/>
            <w:vAlign w:val="center"/>
          </w:tcPr>
          <w:p w14:paraId="4A451D39" w14:textId="77777777" w:rsidR="00E51CDD" w:rsidRPr="00227BE0" w:rsidRDefault="00E51CDD" w:rsidP="009938D9">
            <w:pPr>
              <w:suppressAutoHyphens/>
              <w:autoSpaceDE w:val="0"/>
              <w:autoSpaceDN w:val="0"/>
              <w:adjustRightInd w:val="0"/>
              <w:rPr>
                <w:sz w:val="20"/>
                <w:szCs w:val="20"/>
              </w:rPr>
            </w:pPr>
          </w:p>
        </w:tc>
        <w:tc>
          <w:tcPr>
            <w:tcW w:w="670" w:type="pct"/>
            <w:vAlign w:val="center"/>
          </w:tcPr>
          <w:p w14:paraId="587EDF29" w14:textId="77777777" w:rsidR="00E51CDD" w:rsidRPr="00227BE0" w:rsidRDefault="00E51CDD" w:rsidP="009938D9">
            <w:pPr>
              <w:suppressAutoHyphens/>
              <w:autoSpaceDE w:val="0"/>
              <w:autoSpaceDN w:val="0"/>
              <w:adjustRightInd w:val="0"/>
              <w:rPr>
                <w:sz w:val="20"/>
                <w:szCs w:val="20"/>
              </w:rPr>
            </w:pPr>
            <w:r w:rsidRPr="00227BE0">
              <w:rPr>
                <w:sz w:val="20"/>
                <w:szCs w:val="20"/>
              </w:rPr>
              <w:t>15.567</w:t>
            </w:r>
          </w:p>
        </w:tc>
        <w:tc>
          <w:tcPr>
            <w:tcW w:w="1208" w:type="pct"/>
            <w:vAlign w:val="center"/>
          </w:tcPr>
          <w:p w14:paraId="1643FE5D"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&lt; 0.01</w:t>
            </w:r>
          </w:p>
        </w:tc>
        <w:tc>
          <w:tcPr>
            <w:tcW w:w="1057" w:type="pct"/>
            <w:vAlign w:val="center"/>
          </w:tcPr>
          <w:p w14:paraId="498200CA" w14:textId="77777777" w:rsidR="00E51CDD" w:rsidRPr="00227BE0" w:rsidRDefault="00E51CDD" w:rsidP="009938D9">
            <w:pPr>
              <w:suppressAutoHyphens/>
              <w:autoSpaceDE w:val="0"/>
              <w:autoSpaceDN w:val="0"/>
              <w:adjustRightInd w:val="0"/>
              <w:jc w:val="center"/>
              <w:rPr>
                <w:bCs/>
                <w:sz w:val="20"/>
                <w:szCs w:val="20"/>
              </w:rPr>
            </w:pPr>
            <w:r w:rsidRPr="00227BE0">
              <w:rPr>
                <w:sz w:val="20"/>
                <w:szCs w:val="20"/>
              </w:rPr>
              <w:t>&lt; 0.01</w:t>
            </w:r>
          </w:p>
        </w:tc>
        <w:tc>
          <w:tcPr>
            <w:tcW w:w="1133" w:type="pct"/>
            <w:vAlign w:val="center"/>
          </w:tcPr>
          <w:p w14:paraId="1B651868" w14:textId="77777777" w:rsidR="00E51CDD" w:rsidRPr="00227BE0" w:rsidRDefault="00E51CDD" w:rsidP="009938D9">
            <w:pPr>
              <w:suppressAutoHyphens/>
              <w:autoSpaceDE w:val="0"/>
              <w:autoSpaceDN w:val="0"/>
              <w:adjustRightInd w:val="0"/>
              <w:jc w:val="center"/>
              <w:rPr>
                <w:sz w:val="20"/>
                <w:szCs w:val="20"/>
              </w:rPr>
            </w:pPr>
            <w:r w:rsidRPr="00227BE0">
              <w:rPr>
                <w:sz w:val="20"/>
                <w:szCs w:val="20"/>
              </w:rPr>
              <w:t>&lt; 0.001</w:t>
            </w:r>
          </w:p>
        </w:tc>
      </w:tr>
    </w:tbl>
    <w:p w14:paraId="35C68194" w14:textId="77777777" w:rsidR="00E51CDD" w:rsidRPr="00227BE0" w:rsidRDefault="00E51CDD" w:rsidP="00E51CDD">
      <w:pPr>
        <w:widowControl w:val="0"/>
        <w:tabs>
          <w:tab w:val="left" w:pos="425"/>
        </w:tabs>
        <w:suppressAutoHyphens/>
        <w:ind w:left="284" w:hanging="284"/>
        <w:jc w:val="both"/>
        <w:rPr>
          <w:noProof/>
          <w:sz w:val="18"/>
          <w:szCs w:val="18"/>
        </w:rPr>
      </w:pPr>
      <w:r w:rsidRPr="00227BE0">
        <w:rPr>
          <w:noProof/>
          <w:sz w:val="18"/>
          <w:szCs w:val="18"/>
        </w:rPr>
        <w:t>AF: Assessment factor; PEC: Predicted environmental concentration; RAC: Regulatory acceptable concentration; ETR: Exposure-toxicity ratio</w:t>
      </w:r>
    </w:p>
    <w:p w14:paraId="1B65DD44" w14:textId="77777777" w:rsidR="00E51CDD" w:rsidRDefault="00E51CDD" w:rsidP="00E51CDD">
      <w:pPr>
        <w:suppressAutoHyphens/>
        <w:ind w:left="284" w:hanging="284"/>
        <w:jc w:val="both"/>
      </w:pPr>
    </w:p>
    <w:p w14:paraId="2DE62CA8" w14:textId="77777777" w:rsidR="00E51CDD" w:rsidRPr="00227BE0" w:rsidRDefault="00E51CDD" w:rsidP="00E51CDD">
      <w:pPr>
        <w:suppressAutoHyphens/>
        <w:ind w:left="284" w:hanging="284"/>
        <w:jc w:val="both"/>
      </w:pPr>
    </w:p>
    <w:p w14:paraId="724BF049" w14:textId="77777777" w:rsidR="00E51CDD" w:rsidRPr="00227BE0" w:rsidRDefault="00E51CDD" w:rsidP="00E51CDD">
      <w:pPr>
        <w:widowControl w:val="0"/>
        <w:suppressAutoHyphens/>
        <w:jc w:val="both"/>
      </w:pPr>
      <w:r w:rsidRPr="00227BE0">
        <w:t>For the intended single and twofold application of BAS 736 00 F in ‘winter cereals’ and ‘spring cereals’ at 1x and 2x 150 g a.s./ha, the calculated PEC/RAC ratios for the azoxystrobin metabolites indicate an acceptable risk for all groups of aquatic organisms based on standard assumptions. Therefore, no further assessment is necessary.</w:t>
      </w:r>
    </w:p>
    <w:p w14:paraId="664E16C1" w14:textId="77777777" w:rsidR="00E51CDD" w:rsidRPr="00227BE0" w:rsidRDefault="00E51CDD" w:rsidP="00E51CDD">
      <w:pPr>
        <w:widowControl w:val="0"/>
        <w:suppressAutoHyphens/>
        <w:jc w:val="both"/>
      </w:pPr>
    </w:p>
    <w:p w14:paraId="5CCBDC3A" w14:textId="77777777" w:rsidR="00E51CDD" w:rsidRPr="00227BE0" w:rsidRDefault="00E51CDD" w:rsidP="00E51CDD">
      <w:pPr>
        <w:widowControl w:val="0"/>
        <w:suppressAutoHyphens/>
        <w:jc w:val="both"/>
      </w:pPr>
    </w:p>
    <w:p w14:paraId="13CC8F6A" w14:textId="77777777" w:rsidR="00E51CDD" w:rsidRPr="00227BE0" w:rsidRDefault="00E51CDD" w:rsidP="00E51CDD">
      <w:pPr>
        <w:widowControl w:val="0"/>
        <w:tabs>
          <w:tab w:val="left" w:pos="720"/>
        </w:tabs>
        <w:suppressAutoHyphens/>
        <w:jc w:val="both"/>
        <w:rPr>
          <w:b/>
          <w:bCs/>
          <w:u w:val="single"/>
        </w:rPr>
      </w:pPr>
      <w:r w:rsidRPr="00227BE0">
        <w:rPr>
          <w:b/>
          <w:bCs/>
          <w:u w:val="single"/>
        </w:rPr>
        <w:br w:type="page"/>
      </w:r>
      <w:r w:rsidRPr="00227BE0">
        <w:rPr>
          <w:b/>
          <w:bCs/>
          <w:u w:val="single"/>
        </w:rPr>
        <w:lastRenderedPageBreak/>
        <w:t>Formulation risk assessment for BAS 736 00 F</w:t>
      </w:r>
    </w:p>
    <w:p w14:paraId="29A69007" w14:textId="77777777" w:rsidR="00E51CDD" w:rsidRPr="00227BE0" w:rsidRDefault="00E51CDD" w:rsidP="00E51CDD">
      <w:pPr>
        <w:widowControl w:val="0"/>
        <w:tabs>
          <w:tab w:val="left" w:pos="720"/>
        </w:tabs>
        <w:suppressAutoHyphens/>
        <w:jc w:val="both"/>
      </w:pPr>
    </w:p>
    <w:p w14:paraId="75F0310F" w14:textId="5B86A323" w:rsidR="00E51CDD" w:rsidRPr="00227BE0" w:rsidRDefault="00E51CDD" w:rsidP="00E51CDD">
      <w:pPr>
        <w:widowControl w:val="0"/>
        <w:tabs>
          <w:tab w:val="left" w:pos="720"/>
        </w:tabs>
        <w:suppressAutoHyphens/>
        <w:jc w:val="both"/>
      </w:pPr>
      <w:r w:rsidRPr="00227BE0">
        <w:t>In the following a mixture toxicity risk assessment for the formulated product is presented, which was conducted in accordance with the EFSA AGD (2013. The EFSA Aquatic GD proposes that measured and calculated mixture toxicity should be compared to determine synergistic, additive or antagonistic effects of the formulation. In the following the concentration addition (CA) model is used. To determine the respective formulation effect, EFSA proposes to calculate the model deviation ratio (MDR), which divides the calculated mixture toxicity (LC</w:t>
      </w:r>
      <w:r w:rsidRPr="00227BE0">
        <w:rPr>
          <w:vertAlign w:val="subscript"/>
        </w:rPr>
        <w:t>50 mix-CA</w:t>
      </w:r>
      <w:r w:rsidRPr="00227BE0">
        <w:t xml:space="preserve"> / EC</w:t>
      </w:r>
      <w:r w:rsidRPr="00227BE0">
        <w:rPr>
          <w:vertAlign w:val="subscript"/>
        </w:rPr>
        <w:t>50 mix-CA</w:t>
      </w:r>
      <w:r w:rsidRPr="00227BE0">
        <w:t>) by the measured mixture toxicity (LC</w:t>
      </w:r>
      <w:r w:rsidRPr="00227BE0">
        <w:rPr>
          <w:rFonts w:eastAsia="Batang"/>
          <w:vertAlign w:val="subscript"/>
        </w:rPr>
        <w:t>50 PPP</w:t>
      </w:r>
      <w:r w:rsidRPr="00227BE0">
        <w:t xml:space="preserve"> / </w:t>
      </w:r>
      <w:r w:rsidRPr="00227BE0">
        <w:rPr>
          <w:rFonts w:eastAsia="Batang"/>
        </w:rPr>
        <w:t>EC</w:t>
      </w:r>
      <w:r w:rsidRPr="00227BE0">
        <w:rPr>
          <w:rFonts w:eastAsia="Batang"/>
          <w:vertAlign w:val="subscript"/>
        </w:rPr>
        <w:t>50 PPP</w:t>
      </w:r>
      <w:r w:rsidRPr="00227BE0">
        <w:rPr>
          <w:rFonts w:eastAsia="Batang"/>
        </w:rPr>
        <w:t xml:space="preserve">). If the MDR is between 0.2 and 5 the observed and calculated mixture toxicities are considered in agreement. Respective MDR calculations for BAS 736 00 F are presented in </w:t>
      </w:r>
      <w:r w:rsidRPr="00227BE0">
        <w:rPr>
          <w:rFonts w:eastAsia="Batang"/>
        </w:rPr>
        <w:fldChar w:fldCharType="begin"/>
      </w:r>
      <w:r w:rsidRPr="00227BE0">
        <w:rPr>
          <w:rFonts w:eastAsia="Batang"/>
        </w:rPr>
        <w:instrText xml:space="preserve"> REF _Ref75786923 \h  \* MERGEFORMAT </w:instrText>
      </w:r>
      <w:r w:rsidRPr="00227BE0">
        <w:rPr>
          <w:rFonts w:eastAsia="Batang"/>
        </w:rPr>
      </w:r>
      <w:r w:rsidRPr="00227BE0">
        <w:rPr>
          <w:rFonts w:eastAsia="Batang"/>
        </w:rPr>
        <w:fldChar w:fldCharType="separate"/>
      </w:r>
      <w:r w:rsidR="00662F32" w:rsidRPr="00662F32">
        <w:rPr>
          <w:lang w:eastAsia="en-US"/>
        </w:rPr>
        <w:t xml:space="preserve">Table </w:t>
      </w:r>
      <w:r w:rsidR="00662F32" w:rsidRPr="00662F32">
        <w:rPr>
          <w:noProof/>
          <w:lang w:eastAsia="en-US"/>
        </w:rPr>
        <w:t>9.5</w:t>
      </w:r>
      <w:r w:rsidR="00662F32" w:rsidRPr="00662F32">
        <w:rPr>
          <w:noProof/>
          <w:lang w:eastAsia="en-US"/>
        </w:rPr>
        <w:noBreakHyphen/>
        <w:t>12</w:t>
      </w:r>
      <w:r w:rsidRPr="00227BE0">
        <w:rPr>
          <w:rFonts w:eastAsia="Batang"/>
        </w:rPr>
        <w:fldChar w:fldCharType="end"/>
      </w:r>
      <w:r w:rsidRPr="00227BE0">
        <w:rPr>
          <w:rFonts w:eastAsia="Batang"/>
        </w:rPr>
        <w:t>.</w:t>
      </w:r>
    </w:p>
    <w:p w14:paraId="1A970875" w14:textId="77777777" w:rsidR="00E51CDD" w:rsidRPr="00227BE0" w:rsidRDefault="00E51CDD" w:rsidP="00E51CDD">
      <w:pPr>
        <w:suppressAutoHyphens/>
        <w:ind w:left="284" w:hanging="284"/>
        <w:jc w:val="both"/>
      </w:pPr>
    </w:p>
    <w:p w14:paraId="2F2C3BA9" w14:textId="67DAAAA6" w:rsidR="00E51CDD" w:rsidRPr="00227BE0" w:rsidRDefault="00E51CDD" w:rsidP="00E51CDD">
      <w:pPr>
        <w:keepNext/>
        <w:keepLines/>
        <w:widowControl w:val="0"/>
        <w:suppressAutoHyphens/>
        <w:spacing w:before="200" w:after="120"/>
        <w:ind w:left="1985" w:hanging="1985"/>
        <w:jc w:val="both"/>
        <w:rPr>
          <w:b/>
          <w:lang w:val="en-GB" w:eastAsia="en-US"/>
        </w:rPr>
      </w:pPr>
      <w:bookmarkStart w:id="520" w:name="_Ref75786923"/>
      <w:r w:rsidRPr="00227BE0">
        <w:rPr>
          <w:b/>
          <w:lang w:eastAsia="en-US"/>
        </w:rPr>
        <w:t xml:space="preserve">Table </w:t>
      </w:r>
      <w:r w:rsidRPr="00227BE0">
        <w:fldChar w:fldCharType="begin"/>
      </w:r>
      <w:r w:rsidRPr="00227BE0">
        <w:rPr>
          <w:b/>
          <w:lang w:eastAsia="en-US"/>
        </w:rPr>
        <w:instrText xml:space="preserve"> STYLEREF 2 \s </w:instrText>
      </w:r>
      <w:r w:rsidRPr="00227BE0">
        <w:fldChar w:fldCharType="separate"/>
      </w:r>
      <w:r w:rsidR="00662F32">
        <w:rPr>
          <w:b/>
          <w:noProof/>
          <w:lang w:eastAsia="en-US"/>
        </w:rPr>
        <w:t>9.5</w:t>
      </w:r>
      <w:r w:rsidRPr="00227BE0">
        <w:fldChar w:fldCharType="end"/>
      </w:r>
      <w:r w:rsidRPr="00227BE0">
        <w:rPr>
          <w:b/>
          <w:lang w:eastAsia="en-US"/>
        </w:rPr>
        <w:noBreakHyphen/>
      </w:r>
      <w:r w:rsidRPr="00227BE0">
        <w:fldChar w:fldCharType="begin"/>
      </w:r>
      <w:r w:rsidRPr="00227BE0">
        <w:rPr>
          <w:b/>
          <w:lang w:eastAsia="en-US"/>
        </w:rPr>
        <w:instrText xml:space="preserve"> SEQ Table \* ARABIC \s 2 </w:instrText>
      </w:r>
      <w:r w:rsidRPr="00227BE0">
        <w:fldChar w:fldCharType="separate"/>
      </w:r>
      <w:r w:rsidR="00662F32">
        <w:rPr>
          <w:b/>
          <w:noProof/>
          <w:lang w:eastAsia="en-US"/>
        </w:rPr>
        <w:t>12</w:t>
      </w:r>
      <w:r w:rsidRPr="00227BE0">
        <w:fldChar w:fldCharType="end"/>
      </w:r>
      <w:bookmarkEnd w:id="520"/>
      <w:r w:rsidRPr="00227BE0">
        <w:rPr>
          <w:b/>
          <w:lang w:eastAsia="en-US"/>
        </w:rPr>
        <w:t>:</w:t>
      </w:r>
      <w:r w:rsidRPr="00227BE0">
        <w:rPr>
          <w:b/>
          <w:lang w:eastAsia="en-US"/>
        </w:rPr>
        <w:tab/>
      </w:r>
      <w:r w:rsidRPr="00227BE0">
        <w:rPr>
          <w:b/>
          <w:lang w:val="en-GB" w:eastAsia="en-US"/>
        </w:rPr>
        <w:t>Comparison of the measured toxicity of the formulated product BAS 736 00 F and the calculated formulation toxicity based on the data of the active substances fluxapyroxad and azoxystrobin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96"/>
        <w:gridCol w:w="1135"/>
        <w:gridCol w:w="941"/>
        <w:gridCol w:w="1207"/>
        <w:gridCol w:w="619"/>
        <w:gridCol w:w="1524"/>
        <w:gridCol w:w="1520"/>
        <w:gridCol w:w="1103"/>
      </w:tblGrid>
      <w:tr w:rsidR="00E51CDD" w:rsidRPr="00227BE0" w14:paraId="1C1A20AE" w14:textId="77777777" w:rsidTr="009938D9">
        <w:trPr>
          <w:trHeight w:val="64"/>
        </w:trPr>
        <w:tc>
          <w:tcPr>
            <w:tcW w:w="682" w:type="pct"/>
            <w:tcBorders>
              <w:top w:val="single" w:sz="4" w:space="0" w:color="auto"/>
              <w:left w:val="single" w:sz="4" w:space="0" w:color="auto"/>
              <w:bottom w:val="single" w:sz="4" w:space="0" w:color="auto"/>
              <w:right w:val="single" w:sz="4" w:space="0" w:color="auto"/>
            </w:tcBorders>
            <w:noWrap/>
            <w:vAlign w:val="center"/>
            <w:hideMark/>
          </w:tcPr>
          <w:p w14:paraId="4EF97CFD" w14:textId="77777777" w:rsidR="00E51CDD" w:rsidRPr="00227BE0" w:rsidRDefault="00E51CDD" w:rsidP="009938D9">
            <w:pPr>
              <w:suppressAutoHyphens/>
              <w:spacing w:before="40" w:after="40"/>
              <w:jc w:val="center"/>
              <w:rPr>
                <w:b/>
                <w:bCs/>
                <w:sz w:val="20"/>
                <w:szCs w:val="20"/>
                <w:lang w:val="en-GB" w:eastAsia="en-US"/>
              </w:rPr>
            </w:pPr>
            <w:bookmarkStart w:id="521" w:name="_Hlk510092562"/>
            <w:r w:rsidRPr="00227BE0">
              <w:rPr>
                <w:b/>
                <w:bCs/>
                <w:sz w:val="20"/>
                <w:szCs w:val="20"/>
                <w:lang w:val="en-GB" w:eastAsia="en-US"/>
              </w:rPr>
              <w:t>Test species</w:t>
            </w:r>
          </w:p>
        </w:tc>
        <w:tc>
          <w:tcPr>
            <w:tcW w:w="598" w:type="pct"/>
            <w:tcBorders>
              <w:top w:val="single" w:sz="4" w:space="0" w:color="auto"/>
              <w:left w:val="single" w:sz="4" w:space="0" w:color="auto"/>
              <w:bottom w:val="single" w:sz="4" w:space="0" w:color="auto"/>
              <w:right w:val="single" w:sz="4" w:space="0" w:color="auto"/>
            </w:tcBorders>
            <w:noWrap/>
            <w:vAlign w:val="center"/>
            <w:hideMark/>
          </w:tcPr>
          <w:p w14:paraId="543CD166" w14:textId="77777777" w:rsidR="00E51CDD" w:rsidRPr="00227BE0" w:rsidRDefault="00E51CDD" w:rsidP="009938D9">
            <w:pPr>
              <w:suppressAutoHyphens/>
              <w:spacing w:before="40" w:after="40"/>
              <w:jc w:val="center"/>
              <w:rPr>
                <w:b/>
                <w:bCs/>
                <w:sz w:val="20"/>
                <w:szCs w:val="20"/>
                <w:lang w:val="en-GB" w:eastAsia="en-US"/>
              </w:rPr>
            </w:pPr>
            <w:r w:rsidRPr="00227BE0">
              <w:rPr>
                <w:b/>
                <w:bCs/>
                <w:sz w:val="20"/>
                <w:szCs w:val="20"/>
                <w:lang w:val="en-GB" w:eastAsia="en-US"/>
              </w:rPr>
              <w:t>Test system</w:t>
            </w:r>
          </w:p>
        </w:tc>
        <w:tc>
          <w:tcPr>
            <w:tcW w:w="496" w:type="pct"/>
            <w:tcBorders>
              <w:top w:val="single" w:sz="4" w:space="0" w:color="auto"/>
              <w:left w:val="single" w:sz="4" w:space="0" w:color="auto"/>
              <w:bottom w:val="single" w:sz="4" w:space="0" w:color="auto"/>
              <w:right w:val="single" w:sz="4" w:space="0" w:color="auto"/>
            </w:tcBorders>
            <w:vAlign w:val="center"/>
            <w:hideMark/>
          </w:tcPr>
          <w:p w14:paraId="3C3A0794" w14:textId="77777777" w:rsidR="00E51CDD" w:rsidRPr="00227BE0" w:rsidRDefault="00E51CDD" w:rsidP="009938D9">
            <w:pPr>
              <w:suppressAutoHyphens/>
              <w:spacing w:before="40" w:after="40"/>
              <w:jc w:val="center"/>
              <w:rPr>
                <w:b/>
                <w:bCs/>
                <w:sz w:val="20"/>
                <w:szCs w:val="20"/>
                <w:lang w:val="en-GB" w:eastAsia="en-US"/>
              </w:rPr>
            </w:pPr>
            <w:r w:rsidRPr="00227BE0">
              <w:rPr>
                <w:b/>
                <w:bCs/>
                <w:sz w:val="20"/>
                <w:szCs w:val="20"/>
                <w:lang w:val="en-GB" w:eastAsia="en-US"/>
              </w:rPr>
              <w:t>Endpoint</w:t>
            </w:r>
          </w:p>
        </w:tc>
        <w:tc>
          <w:tcPr>
            <w:tcW w:w="977" w:type="pct"/>
            <w:gridSpan w:val="2"/>
            <w:tcBorders>
              <w:top w:val="single" w:sz="4" w:space="0" w:color="auto"/>
              <w:left w:val="single" w:sz="4" w:space="0" w:color="auto"/>
              <w:bottom w:val="single" w:sz="4" w:space="0" w:color="auto"/>
              <w:right w:val="single" w:sz="4" w:space="0" w:color="auto"/>
            </w:tcBorders>
            <w:vAlign w:val="center"/>
            <w:hideMark/>
          </w:tcPr>
          <w:p w14:paraId="19418439" w14:textId="77777777" w:rsidR="00E51CDD" w:rsidRPr="00227BE0" w:rsidRDefault="00E51CDD" w:rsidP="009938D9">
            <w:pPr>
              <w:suppressAutoHyphens/>
              <w:spacing w:before="40" w:after="40"/>
              <w:jc w:val="center"/>
              <w:rPr>
                <w:b/>
                <w:bCs/>
                <w:sz w:val="20"/>
                <w:szCs w:val="20"/>
                <w:lang w:val="en-GB" w:eastAsia="en-US"/>
              </w:rPr>
            </w:pPr>
            <w:r w:rsidRPr="00227BE0">
              <w:rPr>
                <w:b/>
                <w:bCs/>
                <w:sz w:val="20"/>
                <w:szCs w:val="20"/>
                <w:lang w:val="en-GB" w:eastAsia="en-US"/>
              </w:rPr>
              <w:t>Measured toxicity of the a.s. (EC</w:t>
            </w:r>
            <w:r w:rsidRPr="00227BE0">
              <w:rPr>
                <w:b/>
                <w:bCs/>
                <w:sz w:val="20"/>
                <w:szCs w:val="20"/>
                <w:vertAlign w:val="subscript"/>
                <w:lang w:val="en-GB" w:eastAsia="en-US"/>
              </w:rPr>
              <w:t>x a.s.</w:t>
            </w:r>
            <w:r w:rsidRPr="00227BE0">
              <w:rPr>
                <w:b/>
                <w:bCs/>
                <w:sz w:val="20"/>
                <w:szCs w:val="20"/>
                <w:lang w:val="en-GB" w:eastAsia="en-US"/>
              </w:rPr>
              <w:t xml:space="preserve">) </w:t>
            </w:r>
            <w:r w:rsidRPr="00227BE0">
              <w:rPr>
                <w:b/>
                <w:bCs/>
                <w:sz w:val="20"/>
                <w:szCs w:val="20"/>
                <w:lang w:val="en-GB" w:eastAsia="en-US"/>
              </w:rPr>
              <w:br/>
              <w:t>[µg a.s./L]</w:t>
            </w:r>
          </w:p>
        </w:tc>
        <w:tc>
          <w:tcPr>
            <w:tcW w:w="825" w:type="pct"/>
            <w:tcBorders>
              <w:top w:val="single" w:sz="4" w:space="0" w:color="auto"/>
              <w:left w:val="single" w:sz="4" w:space="0" w:color="auto"/>
              <w:bottom w:val="single" w:sz="4" w:space="0" w:color="auto"/>
              <w:right w:val="single" w:sz="4" w:space="0" w:color="auto"/>
            </w:tcBorders>
            <w:vAlign w:val="center"/>
            <w:hideMark/>
          </w:tcPr>
          <w:p w14:paraId="017A2ED1" w14:textId="77777777" w:rsidR="00E51CDD" w:rsidRPr="00227BE0" w:rsidRDefault="00E51CDD" w:rsidP="009938D9">
            <w:pPr>
              <w:suppressAutoHyphens/>
              <w:spacing w:before="40" w:after="40"/>
              <w:jc w:val="center"/>
              <w:rPr>
                <w:b/>
                <w:bCs/>
                <w:sz w:val="20"/>
                <w:szCs w:val="20"/>
                <w:lang w:val="en-GB" w:eastAsia="en-US"/>
              </w:rPr>
            </w:pPr>
            <w:r w:rsidRPr="00227BE0">
              <w:rPr>
                <w:b/>
                <w:bCs/>
                <w:sz w:val="20"/>
                <w:szCs w:val="20"/>
                <w:lang w:val="en-GB" w:eastAsia="en-US"/>
              </w:rPr>
              <w:t>Measured toxicity of BAS 736 00 F</w:t>
            </w:r>
          </w:p>
          <w:p w14:paraId="4762AC91" w14:textId="77777777" w:rsidR="00E51CDD" w:rsidRPr="00227BE0" w:rsidRDefault="00E51CDD" w:rsidP="009938D9">
            <w:pPr>
              <w:suppressAutoHyphens/>
              <w:spacing w:before="40" w:after="40"/>
              <w:jc w:val="center"/>
              <w:rPr>
                <w:b/>
                <w:bCs/>
                <w:sz w:val="20"/>
                <w:szCs w:val="20"/>
                <w:vertAlign w:val="superscript"/>
                <w:lang w:val="en-GB" w:eastAsia="en-US"/>
              </w:rPr>
            </w:pPr>
            <w:r w:rsidRPr="00227BE0">
              <w:rPr>
                <w:b/>
                <w:bCs/>
                <w:sz w:val="20"/>
                <w:szCs w:val="20"/>
                <w:lang w:val="en-GB" w:eastAsia="en-US"/>
              </w:rPr>
              <w:t>(EC</w:t>
            </w:r>
            <w:r w:rsidRPr="00227BE0">
              <w:rPr>
                <w:b/>
                <w:bCs/>
                <w:sz w:val="20"/>
                <w:szCs w:val="20"/>
                <w:vertAlign w:val="subscript"/>
                <w:lang w:val="en-GB" w:eastAsia="en-US"/>
              </w:rPr>
              <w:t>x PPP</w:t>
            </w:r>
            <w:r w:rsidRPr="00227BE0">
              <w:rPr>
                <w:b/>
                <w:bCs/>
                <w:sz w:val="20"/>
                <w:szCs w:val="20"/>
                <w:lang w:val="en-GB" w:eastAsia="en-US"/>
              </w:rPr>
              <w:t xml:space="preserve">) </w:t>
            </w:r>
            <w:r w:rsidRPr="00227BE0">
              <w:rPr>
                <w:b/>
                <w:bCs/>
                <w:sz w:val="20"/>
                <w:szCs w:val="20"/>
                <w:lang w:val="en-GB" w:eastAsia="en-US"/>
              </w:rPr>
              <w:br/>
              <w:t>[µg product/L]</w:t>
            </w:r>
          </w:p>
        </w:tc>
        <w:tc>
          <w:tcPr>
            <w:tcW w:w="823" w:type="pct"/>
            <w:tcBorders>
              <w:top w:val="single" w:sz="4" w:space="0" w:color="auto"/>
              <w:left w:val="single" w:sz="4" w:space="0" w:color="auto"/>
              <w:bottom w:val="single" w:sz="4" w:space="0" w:color="auto"/>
              <w:right w:val="single" w:sz="4" w:space="0" w:color="auto"/>
            </w:tcBorders>
            <w:vAlign w:val="center"/>
            <w:hideMark/>
          </w:tcPr>
          <w:p w14:paraId="2F8309B3" w14:textId="77777777" w:rsidR="00E51CDD" w:rsidRPr="00227BE0" w:rsidRDefault="00E51CDD" w:rsidP="009938D9">
            <w:pPr>
              <w:suppressAutoHyphens/>
              <w:spacing w:before="40" w:after="40"/>
              <w:jc w:val="center"/>
              <w:rPr>
                <w:b/>
                <w:bCs/>
                <w:sz w:val="20"/>
                <w:szCs w:val="20"/>
                <w:vertAlign w:val="superscript"/>
                <w:lang w:val="en-GB" w:eastAsia="en-US"/>
              </w:rPr>
            </w:pPr>
            <w:r w:rsidRPr="00227BE0">
              <w:rPr>
                <w:b/>
                <w:bCs/>
                <w:sz w:val="20"/>
                <w:szCs w:val="20"/>
                <w:lang w:val="en-GB" w:eastAsia="en-US"/>
              </w:rPr>
              <w:t xml:space="preserve">Calculated formulation toxicity </w:t>
            </w:r>
            <w:r w:rsidRPr="00227BE0">
              <w:rPr>
                <w:b/>
                <w:bCs/>
                <w:sz w:val="20"/>
                <w:szCs w:val="20"/>
                <w:lang w:val="en-GB" w:eastAsia="en-US"/>
              </w:rPr>
              <w:br/>
              <w:t>(EC</w:t>
            </w:r>
            <w:r w:rsidRPr="00227BE0">
              <w:rPr>
                <w:b/>
                <w:bCs/>
                <w:sz w:val="20"/>
                <w:szCs w:val="20"/>
                <w:vertAlign w:val="subscript"/>
                <w:lang w:val="en-GB" w:eastAsia="en-US"/>
              </w:rPr>
              <w:t>x mix-CA</w:t>
            </w:r>
            <w:r w:rsidRPr="00227BE0">
              <w:rPr>
                <w:b/>
                <w:bCs/>
                <w:sz w:val="20"/>
                <w:szCs w:val="20"/>
                <w:lang w:val="en-GB" w:eastAsia="en-US"/>
              </w:rPr>
              <w:t>)</w:t>
            </w:r>
            <w:r w:rsidRPr="00227BE0">
              <w:rPr>
                <w:b/>
                <w:bCs/>
                <w:sz w:val="20"/>
                <w:szCs w:val="20"/>
                <w:lang w:val="en-GB" w:eastAsia="en-US"/>
              </w:rPr>
              <w:br/>
              <w:t xml:space="preserve">[µg mixture/L] </w:t>
            </w:r>
            <w:r w:rsidRPr="00227BE0">
              <w:rPr>
                <w:b/>
                <w:bCs/>
                <w:sz w:val="20"/>
                <w:szCs w:val="20"/>
                <w:vertAlign w:val="superscript"/>
                <w:lang w:val="en-GB" w:eastAsia="en-US"/>
              </w:rPr>
              <w:t>*</w:t>
            </w:r>
          </w:p>
        </w:tc>
        <w:tc>
          <w:tcPr>
            <w:tcW w:w="599" w:type="pct"/>
            <w:tcBorders>
              <w:top w:val="single" w:sz="4" w:space="0" w:color="auto"/>
              <w:left w:val="single" w:sz="4" w:space="0" w:color="auto"/>
              <w:bottom w:val="single" w:sz="4" w:space="0" w:color="auto"/>
              <w:right w:val="single" w:sz="4" w:space="0" w:color="auto"/>
            </w:tcBorders>
            <w:vAlign w:val="center"/>
            <w:hideMark/>
          </w:tcPr>
          <w:p w14:paraId="5117E0DB" w14:textId="77777777" w:rsidR="00E51CDD" w:rsidRPr="00227BE0" w:rsidRDefault="00E51CDD" w:rsidP="009938D9">
            <w:pPr>
              <w:suppressAutoHyphens/>
              <w:spacing w:before="40" w:after="40"/>
              <w:jc w:val="center"/>
              <w:rPr>
                <w:b/>
                <w:bCs/>
                <w:sz w:val="20"/>
                <w:szCs w:val="20"/>
                <w:lang w:val="en-GB" w:eastAsia="en-US"/>
              </w:rPr>
            </w:pPr>
            <w:r w:rsidRPr="00227BE0">
              <w:rPr>
                <w:b/>
                <w:bCs/>
                <w:sz w:val="20"/>
                <w:szCs w:val="20"/>
                <w:lang w:val="en-GB" w:eastAsia="en-US"/>
              </w:rPr>
              <w:t>Ratio (MDR)</w:t>
            </w:r>
            <w:r w:rsidRPr="00227BE0">
              <w:rPr>
                <w:b/>
                <w:bCs/>
                <w:sz w:val="20"/>
                <w:szCs w:val="20"/>
                <w:lang w:val="en-GB" w:eastAsia="en-US"/>
              </w:rPr>
              <w:br/>
              <w:t>(EC</w:t>
            </w:r>
            <w:r w:rsidRPr="00227BE0">
              <w:rPr>
                <w:b/>
                <w:bCs/>
                <w:sz w:val="20"/>
                <w:szCs w:val="20"/>
                <w:vertAlign w:val="subscript"/>
                <w:lang w:val="en-GB" w:eastAsia="en-US"/>
              </w:rPr>
              <w:t>x mix-CA</w:t>
            </w:r>
            <w:r w:rsidRPr="00227BE0">
              <w:rPr>
                <w:b/>
                <w:bCs/>
                <w:sz w:val="20"/>
                <w:szCs w:val="20"/>
                <w:lang w:val="en-GB" w:eastAsia="en-US"/>
              </w:rPr>
              <w:t xml:space="preserve"> / EC</w:t>
            </w:r>
            <w:r w:rsidRPr="00227BE0">
              <w:rPr>
                <w:b/>
                <w:bCs/>
                <w:sz w:val="20"/>
                <w:szCs w:val="20"/>
                <w:vertAlign w:val="subscript"/>
                <w:lang w:val="en-GB" w:eastAsia="en-US"/>
              </w:rPr>
              <w:t>x PPP</w:t>
            </w:r>
            <w:r w:rsidRPr="00227BE0">
              <w:rPr>
                <w:b/>
                <w:bCs/>
                <w:sz w:val="20"/>
                <w:szCs w:val="20"/>
                <w:lang w:val="en-GB" w:eastAsia="en-US"/>
              </w:rPr>
              <w:t>)</w:t>
            </w:r>
          </w:p>
        </w:tc>
      </w:tr>
      <w:tr w:rsidR="00E51CDD" w:rsidRPr="00227BE0" w14:paraId="5399B663" w14:textId="77777777" w:rsidTr="009938D9">
        <w:trPr>
          <w:trHeight w:val="239"/>
        </w:trPr>
        <w:tc>
          <w:tcPr>
            <w:tcW w:w="682" w:type="pct"/>
            <w:vMerge w:val="restart"/>
            <w:tcBorders>
              <w:top w:val="single" w:sz="4" w:space="0" w:color="auto"/>
              <w:left w:val="single" w:sz="4" w:space="0" w:color="auto"/>
              <w:right w:val="single" w:sz="4" w:space="0" w:color="auto"/>
            </w:tcBorders>
            <w:vAlign w:val="center"/>
            <w:hideMark/>
          </w:tcPr>
          <w:p w14:paraId="31647500" w14:textId="77777777" w:rsidR="00E51CDD" w:rsidRPr="00227BE0" w:rsidRDefault="00E51CDD" w:rsidP="009938D9">
            <w:pPr>
              <w:suppressAutoHyphens/>
              <w:spacing w:before="40" w:after="40"/>
              <w:jc w:val="center"/>
              <w:rPr>
                <w:i/>
                <w:iCs/>
                <w:sz w:val="20"/>
                <w:szCs w:val="20"/>
                <w:lang w:val="en-GB" w:eastAsia="en-US"/>
              </w:rPr>
            </w:pPr>
            <w:r w:rsidRPr="00227BE0">
              <w:rPr>
                <w:i/>
                <w:iCs/>
                <w:sz w:val="20"/>
                <w:szCs w:val="20"/>
                <w:lang w:val="en-GB" w:eastAsia="en-US"/>
              </w:rPr>
              <w:t>O. mykiss</w:t>
            </w:r>
          </w:p>
        </w:tc>
        <w:tc>
          <w:tcPr>
            <w:tcW w:w="598" w:type="pct"/>
            <w:vMerge w:val="restart"/>
            <w:tcBorders>
              <w:top w:val="single" w:sz="4" w:space="0" w:color="auto"/>
              <w:left w:val="single" w:sz="4" w:space="0" w:color="auto"/>
              <w:right w:val="single" w:sz="4" w:space="0" w:color="auto"/>
            </w:tcBorders>
            <w:noWrap/>
            <w:vAlign w:val="center"/>
            <w:hideMark/>
          </w:tcPr>
          <w:p w14:paraId="75E946E8" w14:textId="77777777" w:rsidR="00E51CDD" w:rsidRPr="00227BE0" w:rsidRDefault="00E51CDD" w:rsidP="009938D9">
            <w:pPr>
              <w:suppressAutoHyphens/>
              <w:spacing w:before="40" w:after="40"/>
              <w:ind w:left="236" w:hanging="236"/>
              <w:jc w:val="center"/>
              <w:rPr>
                <w:sz w:val="20"/>
                <w:szCs w:val="20"/>
                <w:lang w:val="en-GB" w:eastAsia="en-US"/>
              </w:rPr>
            </w:pPr>
            <w:r w:rsidRPr="00227BE0">
              <w:rPr>
                <w:sz w:val="20"/>
                <w:szCs w:val="20"/>
                <w:lang w:val="en-GB" w:eastAsia="en-US"/>
              </w:rPr>
              <w:t>acute</w:t>
            </w:r>
          </w:p>
        </w:tc>
        <w:tc>
          <w:tcPr>
            <w:tcW w:w="496" w:type="pct"/>
            <w:vMerge w:val="restart"/>
            <w:tcBorders>
              <w:top w:val="single" w:sz="4" w:space="0" w:color="auto"/>
              <w:left w:val="single" w:sz="4" w:space="0" w:color="auto"/>
              <w:right w:val="single" w:sz="4" w:space="0" w:color="auto"/>
            </w:tcBorders>
            <w:vAlign w:val="center"/>
            <w:hideMark/>
          </w:tcPr>
          <w:p w14:paraId="11521E2E"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96-h LC</w:t>
            </w:r>
            <w:r w:rsidRPr="00227BE0">
              <w:rPr>
                <w:sz w:val="20"/>
                <w:szCs w:val="20"/>
                <w:vertAlign w:val="subscript"/>
                <w:lang w:val="en-GB" w:eastAsia="en-US"/>
              </w:rPr>
              <w:t>50</w:t>
            </w:r>
          </w:p>
        </w:tc>
        <w:tc>
          <w:tcPr>
            <w:tcW w:w="636" w:type="pct"/>
            <w:tcBorders>
              <w:top w:val="single" w:sz="4" w:space="0" w:color="auto"/>
              <w:left w:val="single" w:sz="4" w:space="0" w:color="auto"/>
              <w:bottom w:val="single" w:sz="4" w:space="0" w:color="auto"/>
              <w:right w:val="single" w:sz="4" w:space="0" w:color="auto"/>
            </w:tcBorders>
            <w:noWrap/>
            <w:vAlign w:val="center"/>
            <w:hideMark/>
          </w:tcPr>
          <w:p w14:paraId="165C93C5"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fluxapyroxad</w:t>
            </w:r>
          </w:p>
        </w:tc>
        <w:tc>
          <w:tcPr>
            <w:tcW w:w="341" w:type="pct"/>
            <w:tcBorders>
              <w:top w:val="single" w:sz="4" w:space="0" w:color="auto"/>
              <w:left w:val="single" w:sz="4" w:space="0" w:color="auto"/>
              <w:bottom w:val="single" w:sz="4" w:space="0" w:color="auto"/>
              <w:right w:val="single" w:sz="4" w:space="0" w:color="auto"/>
            </w:tcBorders>
            <w:vAlign w:val="center"/>
          </w:tcPr>
          <w:p w14:paraId="789DA3DC"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546</w:t>
            </w:r>
            <w:r w:rsidRPr="00227BE0">
              <w:rPr>
                <w:sz w:val="20"/>
                <w:szCs w:val="20"/>
                <w:vertAlign w:val="superscript"/>
              </w:rPr>
              <w:t>#</w:t>
            </w:r>
          </w:p>
        </w:tc>
        <w:tc>
          <w:tcPr>
            <w:tcW w:w="825" w:type="pct"/>
            <w:vMerge w:val="restart"/>
            <w:tcBorders>
              <w:top w:val="single" w:sz="4" w:space="0" w:color="auto"/>
              <w:left w:val="single" w:sz="4" w:space="0" w:color="auto"/>
              <w:right w:val="single" w:sz="4" w:space="0" w:color="auto"/>
            </w:tcBorders>
            <w:vAlign w:val="center"/>
            <w:hideMark/>
          </w:tcPr>
          <w:p w14:paraId="52A43112"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2830</w:t>
            </w:r>
            <w:r w:rsidRPr="00227BE0">
              <w:rPr>
                <w:sz w:val="20"/>
                <w:szCs w:val="20"/>
                <w:lang w:val="en-GB" w:eastAsia="en-US"/>
              </w:rPr>
              <w:br/>
              <w:t>(328.2 µg a.s./L)</w:t>
            </w:r>
          </w:p>
        </w:tc>
        <w:tc>
          <w:tcPr>
            <w:tcW w:w="823" w:type="pct"/>
            <w:vMerge w:val="restart"/>
            <w:tcBorders>
              <w:top w:val="single" w:sz="4" w:space="0" w:color="auto"/>
              <w:left w:val="single" w:sz="4" w:space="0" w:color="auto"/>
              <w:right w:val="single" w:sz="4" w:space="0" w:color="auto"/>
            </w:tcBorders>
            <w:vAlign w:val="center"/>
            <w:hideMark/>
          </w:tcPr>
          <w:p w14:paraId="7FFB6D01"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 xml:space="preserve">4292.3 </w:t>
            </w:r>
            <w:r w:rsidRPr="00227BE0">
              <w:rPr>
                <w:sz w:val="20"/>
                <w:szCs w:val="20"/>
              </w:rPr>
              <w:br/>
              <w:t>(497.7 µg a.s./L)</w:t>
            </w:r>
          </w:p>
        </w:tc>
        <w:tc>
          <w:tcPr>
            <w:tcW w:w="599" w:type="pct"/>
            <w:vMerge w:val="restart"/>
            <w:tcBorders>
              <w:top w:val="single" w:sz="4" w:space="0" w:color="auto"/>
              <w:left w:val="single" w:sz="4" w:space="0" w:color="auto"/>
              <w:right w:val="single" w:sz="4" w:space="0" w:color="auto"/>
            </w:tcBorders>
            <w:vAlign w:val="center"/>
            <w:hideMark/>
          </w:tcPr>
          <w:p w14:paraId="6B91CE06"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1.5</w:t>
            </w:r>
          </w:p>
        </w:tc>
      </w:tr>
      <w:tr w:rsidR="00E51CDD" w:rsidRPr="00227BE0" w14:paraId="161C0CF7" w14:textId="77777777" w:rsidTr="009938D9">
        <w:trPr>
          <w:trHeight w:val="238"/>
        </w:trPr>
        <w:tc>
          <w:tcPr>
            <w:tcW w:w="682" w:type="pct"/>
            <w:vMerge/>
            <w:tcBorders>
              <w:left w:val="single" w:sz="4" w:space="0" w:color="auto"/>
              <w:bottom w:val="single" w:sz="4" w:space="0" w:color="auto"/>
              <w:right w:val="single" w:sz="4" w:space="0" w:color="auto"/>
            </w:tcBorders>
            <w:vAlign w:val="center"/>
          </w:tcPr>
          <w:p w14:paraId="4AF6D7B2" w14:textId="77777777" w:rsidR="00E51CDD" w:rsidRPr="00227BE0" w:rsidRDefault="00E51CDD" w:rsidP="009938D9">
            <w:pPr>
              <w:suppressAutoHyphens/>
              <w:spacing w:before="40" w:after="40"/>
              <w:jc w:val="center"/>
              <w:rPr>
                <w:i/>
                <w:iCs/>
                <w:sz w:val="20"/>
                <w:szCs w:val="20"/>
                <w:lang w:val="en-GB" w:eastAsia="en-US"/>
              </w:rPr>
            </w:pPr>
          </w:p>
        </w:tc>
        <w:tc>
          <w:tcPr>
            <w:tcW w:w="598" w:type="pct"/>
            <w:vMerge/>
            <w:tcBorders>
              <w:left w:val="single" w:sz="4" w:space="0" w:color="auto"/>
              <w:bottom w:val="single" w:sz="4" w:space="0" w:color="auto"/>
              <w:right w:val="single" w:sz="4" w:space="0" w:color="auto"/>
            </w:tcBorders>
            <w:noWrap/>
            <w:vAlign w:val="center"/>
          </w:tcPr>
          <w:p w14:paraId="7ABD986F" w14:textId="77777777" w:rsidR="00E51CDD" w:rsidRPr="00227BE0" w:rsidRDefault="00E51CDD" w:rsidP="009938D9">
            <w:pPr>
              <w:suppressAutoHyphens/>
              <w:spacing w:before="40" w:after="40"/>
              <w:ind w:left="236" w:hanging="236"/>
              <w:jc w:val="center"/>
              <w:rPr>
                <w:sz w:val="20"/>
                <w:szCs w:val="20"/>
                <w:lang w:val="en-GB" w:eastAsia="en-US"/>
              </w:rPr>
            </w:pPr>
          </w:p>
        </w:tc>
        <w:tc>
          <w:tcPr>
            <w:tcW w:w="496" w:type="pct"/>
            <w:vMerge/>
            <w:tcBorders>
              <w:left w:val="single" w:sz="4" w:space="0" w:color="auto"/>
              <w:bottom w:val="single" w:sz="4" w:space="0" w:color="auto"/>
              <w:right w:val="single" w:sz="4" w:space="0" w:color="auto"/>
            </w:tcBorders>
            <w:vAlign w:val="center"/>
          </w:tcPr>
          <w:p w14:paraId="568DD32F" w14:textId="77777777" w:rsidR="00E51CDD" w:rsidRPr="00227BE0" w:rsidRDefault="00E51CDD" w:rsidP="009938D9">
            <w:pPr>
              <w:suppressAutoHyphens/>
              <w:spacing w:before="40" w:after="40"/>
              <w:jc w:val="center"/>
              <w:rPr>
                <w:sz w:val="20"/>
                <w:szCs w:val="20"/>
                <w:lang w:val="en-GB" w:eastAsia="en-US"/>
              </w:rPr>
            </w:pPr>
          </w:p>
        </w:tc>
        <w:tc>
          <w:tcPr>
            <w:tcW w:w="636" w:type="pct"/>
            <w:tcBorders>
              <w:top w:val="single" w:sz="4" w:space="0" w:color="auto"/>
              <w:left w:val="single" w:sz="4" w:space="0" w:color="auto"/>
              <w:bottom w:val="single" w:sz="4" w:space="0" w:color="auto"/>
              <w:right w:val="single" w:sz="4" w:space="0" w:color="auto"/>
            </w:tcBorders>
            <w:noWrap/>
            <w:vAlign w:val="center"/>
          </w:tcPr>
          <w:p w14:paraId="19EB8B77"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azoxystrobin</w:t>
            </w:r>
          </w:p>
        </w:tc>
        <w:tc>
          <w:tcPr>
            <w:tcW w:w="341" w:type="pct"/>
            <w:tcBorders>
              <w:top w:val="single" w:sz="4" w:space="0" w:color="auto"/>
              <w:left w:val="single" w:sz="4" w:space="0" w:color="auto"/>
              <w:bottom w:val="single" w:sz="4" w:space="0" w:color="auto"/>
              <w:right w:val="single" w:sz="4" w:space="0" w:color="auto"/>
            </w:tcBorders>
            <w:vAlign w:val="center"/>
          </w:tcPr>
          <w:p w14:paraId="7C522274"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470</w:t>
            </w:r>
          </w:p>
        </w:tc>
        <w:tc>
          <w:tcPr>
            <w:tcW w:w="825" w:type="pct"/>
            <w:vMerge/>
            <w:tcBorders>
              <w:left w:val="single" w:sz="4" w:space="0" w:color="auto"/>
              <w:bottom w:val="single" w:sz="4" w:space="0" w:color="auto"/>
              <w:right w:val="single" w:sz="4" w:space="0" w:color="auto"/>
            </w:tcBorders>
            <w:vAlign w:val="center"/>
          </w:tcPr>
          <w:p w14:paraId="7600AE41" w14:textId="77777777" w:rsidR="00E51CDD" w:rsidRPr="00227BE0" w:rsidRDefault="00E51CDD" w:rsidP="009938D9">
            <w:pPr>
              <w:suppressAutoHyphens/>
              <w:spacing w:before="40" w:after="40"/>
              <w:jc w:val="center"/>
              <w:rPr>
                <w:sz w:val="20"/>
                <w:szCs w:val="20"/>
                <w:lang w:val="en-GB" w:eastAsia="en-US"/>
              </w:rPr>
            </w:pPr>
          </w:p>
        </w:tc>
        <w:tc>
          <w:tcPr>
            <w:tcW w:w="823" w:type="pct"/>
            <w:vMerge/>
            <w:tcBorders>
              <w:left w:val="single" w:sz="4" w:space="0" w:color="auto"/>
              <w:bottom w:val="single" w:sz="4" w:space="0" w:color="auto"/>
              <w:right w:val="single" w:sz="4" w:space="0" w:color="auto"/>
            </w:tcBorders>
            <w:vAlign w:val="center"/>
          </w:tcPr>
          <w:p w14:paraId="1329E608" w14:textId="77777777" w:rsidR="00E51CDD" w:rsidRPr="00227BE0" w:rsidRDefault="00E51CDD" w:rsidP="009938D9">
            <w:pPr>
              <w:suppressAutoHyphens/>
              <w:spacing w:before="40" w:after="40"/>
              <w:jc w:val="center"/>
              <w:rPr>
                <w:sz w:val="20"/>
                <w:szCs w:val="20"/>
                <w:lang w:val="en-GB" w:eastAsia="en-US"/>
              </w:rPr>
            </w:pPr>
          </w:p>
        </w:tc>
        <w:tc>
          <w:tcPr>
            <w:tcW w:w="599" w:type="pct"/>
            <w:vMerge/>
            <w:tcBorders>
              <w:left w:val="single" w:sz="4" w:space="0" w:color="auto"/>
              <w:bottom w:val="single" w:sz="4" w:space="0" w:color="auto"/>
              <w:right w:val="single" w:sz="4" w:space="0" w:color="auto"/>
            </w:tcBorders>
            <w:vAlign w:val="center"/>
          </w:tcPr>
          <w:p w14:paraId="496A8278" w14:textId="77777777" w:rsidR="00E51CDD" w:rsidRPr="00227BE0" w:rsidRDefault="00E51CDD" w:rsidP="009938D9">
            <w:pPr>
              <w:suppressAutoHyphens/>
              <w:spacing w:before="40" w:after="40"/>
              <w:jc w:val="center"/>
              <w:rPr>
                <w:sz w:val="20"/>
                <w:szCs w:val="20"/>
                <w:lang w:val="en-GB" w:eastAsia="en-US"/>
              </w:rPr>
            </w:pPr>
          </w:p>
        </w:tc>
      </w:tr>
      <w:tr w:rsidR="00E51CDD" w:rsidRPr="00227BE0" w14:paraId="77AB6A2F" w14:textId="77777777" w:rsidTr="009938D9">
        <w:trPr>
          <w:trHeight w:val="313"/>
        </w:trPr>
        <w:tc>
          <w:tcPr>
            <w:tcW w:w="682" w:type="pct"/>
            <w:vMerge w:val="restart"/>
            <w:tcBorders>
              <w:top w:val="single" w:sz="4" w:space="0" w:color="auto"/>
              <w:left w:val="single" w:sz="4" w:space="0" w:color="auto"/>
              <w:right w:val="single" w:sz="4" w:space="0" w:color="auto"/>
            </w:tcBorders>
            <w:vAlign w:val="center"/>
            <w:hideMark/>
          </w:tcPr>
          <w:p w14:paraId="4D2A0B43" w14:textId="77777777" w:rsidR="00E51CDD" w:rsidRPr="00227BE0" w:rsidRDefault="00E51CDD" w:rsidP="009938D9">
            <w:pPr>
              <w:suppressAutoHyphens/>
              <w:spacing w:before="40" w:after="40"/>
              <w:jc w:val="center"/>
              <w:rPr>
                <w:i/>
                <w:iCs/>
                <w:sz w:val="20"/>
                <w:szCs w:val="20"/>
                <w:lang w:val="en-GB" w:eastAsia="en-US"/>
              </w:rPr>
            </w:pPr>
            <w:r w:rsidRPr="00227BE0">
              <w:rPr>
                <w:i/>
                <w:iCs/>
                <w:sz w:val="20"/>
                <w:szCs w:val="20"/>
                <w:lang w:val="en-GB" w:eastAsia="en-US"/>
              </w:rPr>
              <w:t>D. magna</w:t>
            </w:r>
          </w:p>
        </w:tc>
        <w:tc>
          <w:tcPr>
            <w:tcW w:w="598" w:type="pct"/>
            <w:vMerge w:val="restart"/>
            <w:tcBorders>
              <w:top w:val="single" w:sz="4" w:space="0" w:color="auto"/>
              <w:left w:val="single" w:sz="4" w:space="0" w:color="auto"/>
              <w:right w:val="single" w:sz="4" w:space="0" w:color="auto"/>
            </w:tcBorders>
            <w:noWrap/>
            <w:vAlign w:val="center"/>
            <w:hideMark/>
          </w:tcPr>
          <w:p w14:paraId="60FEF7A2"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acute</w:t>
            </w:r>
          </w:p>
        </w:tc>
        <w:tc>
          <w:tcPr>
            <w:tcW w:w="496" w:type="pct"/>
            <w:vMerge w:val="restart"/>
            <w:tcBorders>
              <w:top w:val="single" w:sz="4" w:space="0" w:color="auto"/>
              <w:left w:val="single" w:sz="4" w:space="0" w:color="auto"/>
              <w:right w:val="single" w:sz="4" w:space="0" w:color="auto"/>
            </w:tcBorders>
            <w:vAlign w:val="center"/>
            <w:hideMark/>
          </w:tcPr>
          <w:p w14:paraId="306EEA14"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48-h EC</w:t>
            </w:r>
            <w:r w:rsidRPr="00227BE0">
              <w:rPr>
                <w:sz w:val="20"/>
                <w:szCs w:val="20"/>
                <w:vertAlign w:val="subscript"/>
                <w:lang w:val="en-GB" w:eastAsia="en-US"/>
              </w:rPr>
              <w:t>50</w:t>
            </w:r>
          </w:p>
        </w:tc>
        <w:tc>
          <w:tcPr>
            <w:tcW w:w="636" w:type="pct"/>
            <w:tcBorders>
              <w:top w:val="single" w:sz="4" w:space="0" w:color="auto"/>
              <w:left w:val="single" w:sz="4" w:space="0" w:color="auto"/>
              <w:bottom w:val="single" w:sz="4" w:space="0" w:color="auto"/>
              <w:right w:val="single" w:sz="4" w:space="0" w:color="auto"/>
            </w:tcBorders>
            <w:noWrap/>
            <w:vAlign w:val="center"/>
            <w:hideMark/>
          </w:tcPr>
          <w:p w14:paraId="2A16CE25"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fluxapyroxad</w:t>
            </w:r>
          </w:p>
        </w:tc>
        <w:tc>
          <w:tcPr>
            <w:tcW w:w="341" w:type="pct"/>
            <w:tcBorders>
              <w:top w:val="single" w:sz="4" w:space="0" w:color="auto"/>
              <w:left w:val="single" w:sz="4" w:space="0" w:color="auto"/>
              <w:bottom w:val="single" w:sz="4" w:space="0" w:color="auto"/>
              <w:right w:val="single" w:sz="4" w:space="0" w:color="auto"/>
            </w:tcBorders>
            <w:vAlign w:val="center"/>
          </w:tcPr>
          <w:p w14:paraId="47EF22DB"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6780</w:t>
            </w:r>
          </w:p>
        </w:tc>
        <w:tc>
          <w:tcPr>
            <w:tcW w:w="825" w:type="pct"/>
            <w:vMerge w:val="restart"/>
            <w:tcBorders>
              <w:top w:val="single" w:sz="4" w:space="0" w:color="auto"/>
              <w:left w:val="single" w:sz="4" w:space="0" w:color="auto"/>
              <w:right w:val="single" w:sz="4" w:space="0" w:color="auto"/>
            </w:tcBorders>
            <w:vAlign w:val="center"/>
            <w:hideMark/>
          </w:tcPr>
          <w:p w14:paraId="3C18F4FD"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 xml:space="preserve">1570 </w:t>
            </w:r>
            <w:r w:rsidRPr="00227BE0">
              <w:rPr>
                <w:sz w:val="20"/>
                <w:szCs w:val="20"/>
                <w:lang w:val="en-GB" w:eastAsia="en-US"/>
              </w:rPr>
              <w:br/>
              <w:t>(182.1 µg a.s./L)</w:t>
            </w:r>
          </w:p>
        </w:tc>
        <w:tc>
          <w:tcPr>
            <w:tcW w:w="823" w:type="pct"/>
            <w:vMerge w:val="restart"/>
            <w:tcBorders>
              <w:top w:val="single" w:sz="4" w:space="0" w:color="auto"/>
              <w:left w:val="single" w:sz="4" w:space="0" w:color="auto"/>
              <w:right w:val="single" w:sz="4" w:space="0" w:color="auto"/>
            </w:tcBorders>
            <w:vAlign w:val="center"/>
            <w:hideMark/>
          </w:tcPr>
          <w:p w14:paraId="247B680D"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 xml:space="preserve">3232.8 </w:t>
            </w:r>
            <w:r w:rsidRPr="00227BE0">
              <w:rPr>
                <w:sz w:val="20"/>
                <w:szCs w:val="20"/>
              </w:rPr>
              <w:br/>
              <w:t>(374.9 µg a.s./L)</w:t>
            </w:r>
          </w:p>
        </w:tc>
        <w:tc>
          <w:tcPr>
            <w:tcW w:w="599" w:type="pct"/>
            <w:vMerge w:val="restart"/>
            <w:tcBorders>
              <w:top w:val="single" w:sz="4" w:space="0" w:color="auto"/>
              <w:left w:val="single" w:sz="4" w:space="0" w:color="auto"/>
              <w:right w:val="single" w:sz="4" w:space="0" w:color="auto"/>
            </w:tcBorders>
            <w:vAlign w:val="center"/>
            <w:hideMark/>
          </w:tcPr>
          <w:p w14:paraId="2D5381E8"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2.1</w:t>
            </w:r>
          </w:p>
        </w:tc>
      </w:tr>
      <w:tr w:rsidR="00E51CDD" w:rsidRPr="00227BE0" w14:paraId="41609DA7" w14:textId="77777777" w:rsidTr="009938D9">
        <w:trPr>
          <w:trHeight w:val="313"/>
        </w:trPr>
        <w:tc>
          <w:tcPr>
            <w:tcW w:w="682" w:type="pct"/>
            <w:vMerge/>
            <w:tcBorders>
              <w:left w:val="single" w:sz="4" w:space="0" w:color="auto"/>
              <w:bottom w:val="single" w:sz="4" w:space="0" w:color="auto"/>
              <w:right w:val="single" w:sz="4" w:space="0" w:color="auto"/>
            </w:tcBorders>
            <w:vAlign w:val="center"/>
          </w:tcPr>
          <w:p w14:paraId="0615832A" w14:textId="77777777" w:rsidR="00E51CDD" w:rsidRPr="00227BE0" w:rsidRDefault="00E51CDD" w:rsidP="009938D9">
            <w:pPr>
              <w:suppressAutoHyphens/>
              <w:spacing w:before="40" w:after="40"/>
              <w:jc w:val="center"/>
              <w:rPr>
                <w:i/>
                <w:iCs/>
                <w:sz w:val="20"/>
                <w:szCs w:val="20"/>
                <w:lang w:val="en-GB" w:eastAsia="en-US"/>
              </w:rPr>
            </w:pPr>
          </w:p>
        </w:tc>
        <w:tc>
          <w:tcPr>
            <w:tcW w:w="598" w:type="pct"/>
            <w:vMerge/>
            <w:tcBorders>
              <w:left w:val="single" w:sz="4" w:space="0" w:color="auto"/>
              <w:bottom w:val="single" w:sz="4" w:space="0" w:color="auto"/>
              <w:right w:val="single" w:sz="4" w:space="0" w:color="auto"/>
            </w:tcBorders>
            <w:noWrap/>
            <w:vAlign w:val="center"/>
          </w:tcPr>
          <w:p w14:paraId="02559FEE" w14:textId="77777777" w:rsidR="00E51CDD" w:rsidRPr="00227BE0" w:rsidRDefault="00E51CDD" w:rsidP="009938D9">
            <w:pPr>
              <w:suppressAutoHyphens/>
              <w:spacing w:before="40" w:after="40"/>
              <w:jc w:val="center"/>
              <w:rPr>
                <w:sz w:val="20"/>
                <w:szCs w:val="20"/>
                <w:lang w:val="en-GB" w:eastAsia="en-US"/>
              </w:rPr>
            </w:pPr>
          </w:p>
        </w:tc>
        <w:tc>
          <w:tcPr>
            <w:tcW w:w="496" w:type="pct"/>
            <w:vMerge/>
            <w:tcBorders>
              <w:left w:val="single" w:sz="4" w:space="0" w:color="auto"/>
              <w:bottom w:val="single" w:sz="4" w:space="0" w:color="auto"/>
              <w:right w:val="single" w:sz="4" w:space="0" w:color="auto"/>
            </w:tcBorders>
            <w:vAlign w:val="center"/>
          </w:tcPr>
          <w:p w14:paraId="29E50D62" w14:textId="77777777" w:rsidR="00E51CDD" w:rsidRPr="00227BE0" w:rsidRDefault="00E51CDD" w:rsidP="009938D9">
            <w:pPr>
              <w:suppressAutoHyphens/>
              <w:spacing w:before="40" w:after="40"/>
              <w:jc w:val="center"/>
              <w:rPr>
                <w:sz w:val="20"/>
                <w:szCs w:val="20"/>
                <w:lang w:val="en-GB" w:eastAsia="en-US"/>
              </w:rPr>
            </w:pPr>
          </w:p>
        </w:tc>
        <w:tc>
          <w:tcPr>
            <w:tcW w:w="636" w:type="pct"/>
            <w:tcBorders>
              <w:top w:val="single" w:sz="4" w:space="0" w:color="auto"/>
              <w:left w:val="single" w:sz="4" w:space="0" w:color="auto"/>
              <w:bottom w:val="single" w:sz="4" w:space="0" w:color="auto"/>
              <w:right w:val="single" w:sz="4" w:space="0" w:color="auto"/>
            </w:tcBorders>
            <w:noWrap/>
            <w:vAlign w:val="center"/>
          </w:tcPr>
          <w:p w14:paraId="533F2A9D"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azoxystrobin</w:t>
            </w:r>
          </w:p>
        </w:tc>
        <w:tc>
          <w:tcPr>
            <w:tcW w:w="341" w:type="pct"/>
            <w:tcBorders>
              <w:top w:val="single" w:sz="4" w:space="0" w:color="auto"/>
              <w:left w:val="single" w:sz="4" w:space="0" w:color="auto"/>
              <w:bottom w:val="single" w:sz="4" w:space="0" w:color="auto"/>
              <w:right w:val="single" w:sz="4" w:space="0" w:color="auto"/>
            </w:tcBorders>
            <w:vAlign w:val="center"/>
          </w:tcPr>
          <w:p w14:paraId="3952BADA"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230</w:t>
            </w:r>
          </w:p>
        </w:tc>
        <w:tc>
          <w:tcPr>
            <w:tcW w:w="825" w:type="pct"/>
            <w:vMerge/>
            <w:tcBorders>
              <w:left w:val="single" w:sz="4" w:space="0" w:color="auto"/>
              <w:bottom w:val="single" w:sz="4" w:space="0" w:color="auto"/>
              <w:right w:val="single" w:sz="4" w:space="0" w:color="auto"/>
            </w:tcBorders>
            <w:vAlign w:val="center"/>
          </w:tcPr>
          <w:p w14:paraId="35D713AA" w14:textId="77777777" w:rsidR="00E51CDD" w:rsidRPr="00227BE0" w:rsidRDefault="00E51CDD" w:rsidP="009938D9">
            <w:pPr>
              <w:suppressAutoHyphens/>
              <w:spacing w:before="40" w:after="40"/>
              <w:jc w:val="center"/>
              <w:rPr>
                <w:sz w:val="20"/>
                <w:szCs w:val="20"/>
                <w:lang w:val="en-GB" w:eastAsia="en-US"/>
              </w:rPr>
            </w:pPr>
          </w:p>
        </w:tc>
        <w:tc>
          <w:tcPr>
            <w:tcW w:w="823" w:type="pct"/>
            <w:vMerge/>
            <w:tcBorders>
              <w:left w:val="single" w:sz="4" w:space="0" w:color="auto"/>
              <w:bottom w:val="single" w:sz="4" w:space="0" w:color="auto"/>
              <w:right w:val="single" w:sz="4" w:space="0" w:color="auto"/>
            </w:tcBorders>
            <w:vAlign w:val="center"/>
          </w:tcPr>
          <w:p w14:paraId="171A2BC4" w14:textId="77777777" w:rsidR="00E51CDD" w:rsidRPr="00227BE0" w:rsidRDefault="00E51CDD" w:rsidP="009938D9">
            <w:pPr>
              <w:suppressAutoHyphens/>
              <w:spacing w:before="40" w:after="40"/>
              <w:jc w:val="center"/>
              <w:rPr>
                <w:sz w:val="20"/>
                <w:szCs w:val="20"/>
                <w:lang w:val="en-GB" w:eastAsia="en-US"/>
              </w:rPr>
            </w:pPr>
          </w:p>
        </w:tc>
        <w:tc>
          <w:tcPr>
            <w:tcW w:w="599" w:type="pct"/>
            <w:vMerge/>
            <w:tcBorders>
              <w:left w:val="single" w:sz="4" w:space="0" w:color="auto"/>
              <w:bottom w:val="single" w:sz="4" w:space="0" w:color="auto"/>
              <w:right w:val="single" w:sz="4" w:space="0" w:color="auto"/>
            </w:tcBorders>
            <w:vAlign w:val="center"/>
          </w:tcPr>
          <w:p w14:paraId="620DAADC" w14:textId="77777777" w:rsidR="00E51CDD" w:rsidRPr="00227BE0" w:rsidRDefault="00E51CDD" w:rsidP="009938D9">
            <w:pPr>
              <w:suppressAutoHyphens/>
              <w:spacing w:before="40" w:after="40"/>
              <w:jc w:val="center"/>
              <w:rPr>
                <w:sz w:val="20"/>
                <w:szCs w:val="20"/>
                <w:lang w:val="en-GB" w:eastAsia="en-US"/>
              </w:rPr>
            </w:pPr>
          </w:p>
        </w:tc>
      </w:tr>
      <w:tr w:rsidR="00E51CDD" w:rsidRPr="00227BE0" w14:paraId="05F8B1A6" w14:textId="77777777" w:rsidTr="009938D9">
        <w:trPr>
          <w:trHeight w:val="313"/>
        </w:trPr>
        <w:tc>
          <w:tcPr>
            <w:tcW w:w="682" w:type="pct"/>
            <w:vMerge w:val="restart"/>
            <w:tcBorders>
              <w:top w:val="single" w:sz="4" w:space="0" w:color="auto"/>
              <w:left w:val="single" w:sz="4" w:space="0" w:color="auto"/>
              <w:right w:val="single" w:sz="4" w:space="0" w:color="auto"/>
            </w:tcBorders>
            <w:noWrap/>
            <w:vAlign w:val="center"/>
            <w:hideMark/>
          </w:tcPr>
          <w:p w14:paraId="328CE071" w14:textId="77777777" w:rsidR="00E51CDD" w:rsidRPr="00227BE0" w:rsidRDefault="00E51CDD" w:rsidP="009938D9">
            <w:pPr>
              <w:suppressAutoHyphens/>
              <w:spacing w:before="40" w:after="40"/>
              <w:jc w:val="center"/>
              <w:rPr>
                <w:i/>
                <w:iCs/>
                <w:sz w:val="20"/>
                <w:szCs w:val="20"/>
                <w:lang w:val="en-GB" w:eastAsia="en-US"/>
              </w:rPr>
            </w:pPr>
            <w:r w:rsidRPr="00227BE0">
              <w:rPr>
                <w:i/>
                <w:iCs/>
                <w:sz w:val="20"/>
                <w:szCs w:val="20"/>
                <w:lang w:val="en-GB" w:eastAsia="en-US"/>
              </w:rPr>
              <w:t>P. subcapitata</w:t>
            </w:r>
          </w:p>
        </w:tc>
        <w:tc>
          <w:tcPr>
            <w:tcW w:w="598" w:type="pct"/>
            <w:vMerge w:val="restart"/>
            <w:tcBorders>
              <w:top w:val="single" w:sz="4" w:space="0" w:color="auto"/>
              <w:left w:val="single" w:sz="4" w:space="0" w:color="auto"/>
              <w:right w:val="single" w:sz="4" w:space="0" w:color="auto"/>
            </w:tcBorders>
            <w:noWrap/>
            <w:vAlign w:val="center"/>
            <w:hideMark/>
          </w:tcPr>
          <w:p w14:paraId="618B218C"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w:t>
            </w:r>
          </w:p>
        </w:tc>
        <w:tc>
          <w:tcPr>
            <w:tcW w:w="496" w:type="pct"/>
            <w:vMerge w:val="restart"/>
            <w:tcBorders>
              <w:top w:val="single" w:sz="4" w:space="0" w:color="auto"/>
              <w:left w:val="single" w:sz="4" w:space="0" w:color="auto"/>
              <w:right w:val="single" w:sz="4" w:space="0" w:color="auto"/>
            </w:tcBorders>
            <w:vAlign w:val="center"/>
            <w:hideMark/>
          </w:tcPr>
          <w:p w14:paraId="3192D12D"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EC</w:t>
            </w:r>
            <w:r w:rsidRPr="00227BE0">
              <w:rPr>
                <w:sz w:val="20"/>
                <w:szCs w:val="20"/>
                <w:vertAlign w:val="subscript"/>
                <w:lang w:val="en-GB" w:eastAsia="en-US"/>
              </w:rPr>
              <w:t>50</w:t>
            </w:r>
          </w:p>
        </w:tc>
        <w:tc>
          <w:tcPr>
            <w:tcW w:w="636" w:type="pct"/>
            <w:tcBorders>
              <w:top w:val="single" w:sz="4" w:space="0" w:color="auto"/>
              <w:left w:val="single" w:sz="4" w:space="0" w:color="auto"/>
              <w:bottom w:val="single" w:sz="4" w:space="0" w:color="auto"/>
              <w:right w:val="single" w:sz="4" w:space="0" w:color="auto"/>
            </w:tcBorders>
            <w:noWrap/>
            <w:vAlign w:val="center"/>
            <w:hideMark/>
          </w:tcPr>
          <w:p w14:paraId="686F729A"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fluxapyroxad</w:t>
            </w:r>
          </w:p>
        </w:tc>
        <w:tc>
          <w:tcPr>
            <w:tcW w:w="341" w:type="pct"/>
            <w:tcBorders>
              <w:top w:val="single" w:sz="4" w:space="0" w:color="auto"/>
              <w:left w:val="single" w:sz="4" w:space="0" w:color="auto"/>
              <w:bottom w:val="single" w:sz="4" w:space="0" w:color="auto"/>
              <w:right w:val="single" w:sz="4" w:space="0" w:color="auto"/>
            </w:tcBorders>
            <w:vAlign w:val="center"/>
          </w:tcPr>
          <w:p w14:paraId="168C742F"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700</w:t>
            </w:r>
          </w:p>
        </w:tc>
        <w:tc>
          <w:tcPr>
            <w:tcW w:w="825" w:type="pct"/>
            <w:vMerge w:val="restart"/>
            <w:tcBorders>
              <w:top w:val="single" w:sz="4" w:space="0" w:color="auto"/>
              <w:left w:val="single" w:sz="4" w:space="0" w:color="auto"/>
              <w:right w:val="single" w:sz="4" w:space="0" w:color="auto"/>
            </w:tcBorders>
            <w:vAlign w:val="center"/>
            <w:hideMark/>
          </w:tcPr>
          <w:p w14:paraId="2551FAAE"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 xml:space="preserve">4190 </w:t>
            </w:r>
            <w:r w:rsidRPr="00227BE0">
              <w:rPr>
                <w:sz w:val="20"/>
                <w:szCs w:val="20"/>
                <w:lang w:val="en-GB" w:eastAsia="en-US"/>
              </w:rPr>
              <w:br/>
              <w:t>(485.9 µg a.s./L)</w:t>
            </w:r>
          </w:p>
        </w:tc>
        <w:tc>
          <w:tcPr>
            <w:tcW w:w="823" w:type="pct"/>
            <w:vMerge w:val="restart"/>
            <w:tcBorders>
              <w:top w:val="single" w:sz="4" w:space="0" w:color="auto"/>
              <w:left w:val="single" w:sz="4" w:space="0" w:color="auto"/>
              <w:right w:val="single" w:sz="4" w:space="0" w:color="auto"/>
            </w:tcBorders>
            <w:vAlign w:val="center"/>
            <w:hideMark/>
          </w:tcPr>
          <w:p w14:paraId="550AA340"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 xml:space="preserve">2239.9 </w:t>
            </w:r>
            <w:r w:rsidRPr="00227BE0">
              <w:rPr>
                <w:sz w:val="20"/>
                <w:szCs w:val="20"/>
              </w:rPr>
              <w:br/>
              <w:t>(259.7 µg a.s./L)</w:t>
            </w:r>
          </w:p>
        </w:tc>
        <w:tc>
          <w:tcPr>
            <w:tcW w:w="599" w:type="pct"/>
            <w:vMerge w:val="restart"/>
            <w:tcBorders>
              <w:top w:val="single" w:sz="4" w:space="0" w:color="auto"/>
              <w:left w:val="single" w:sz="4" w:space="0" w:color="auto"/>
              <w:right w:val="single" w:sz="4" w:space="0" w:color="auto"/>
            </w:tcBorders>
            <w:vAlign w:val="center"/>
            <w:hideMark/>
          </w:tcPr>
          <w:p w14:paraId="1425B761"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0.5</w:t>
            </w:r>
          </w:p>
        </w:tc>
      </w:tr>
      <w:tr w:rsidR="00E51CDD" w:rsidRPr="00227BE0" w14:paraId="4BC8B89E" w14:textId="77777777" w:rsidTr="009938D9">
        <w:trPr>
          <w:trHeight w:val="313"/>
        </w:trPr>
        <w:tc>
          <w:tcPr>
            <w:tcW w:w="682" w:type="pct"/>
            <w:vMerge/>
            <w:tcBorders>
              <w:left w:val="single" w:sz="4" w:space="0" w:color="auto"/>
              <w:bottom w:val="single" w:sz="4" w:space="0" w:color="auto"/>
              <w:right w:val="single" w:sz="4" w:space="0" w:color="auto"/>
            </w:tcBorders>
            <w:noWrap/>
            <w:vAlign w:val="center"/>
          </w:tcPr>
          <w:p w14:paraId="30C3E3A1" w14:textId="77777777" w:rsidR="00E51CDD" w:rsidRPr="00227BE0" w:rsidRDefault="00E51CDD" w:rsidP="009938D9">
            <w:pPr>
              <w:suppressAutoHyphens/>
              <w:spacing w:before="40" w:after="40"/>
              <w:jc w:val="center"/>
              <w:rPr>
                <w:i/>
                <w:iCs/>
                <w:sz w:val="20"/>
                <w:szCs w:val="20"/>
                <w:lang w:val="en-GB" w:eastAsia="en-US"/>
              </w:rPr>
            </w:pPr>
          </w:p>
        </w:tc>
        <w:tc>
          <w:tcPr>
            <w:tcW w:w="598" w:type="pct"/>
            <w:vMerge/>
            <w:tcBorders>
              <w:left w:val="single" w:sz="4" w:space="0" w:color="auto"/>
              <w:bottom w:val="single" w:sz="4" w:space="0" w:color="auto"/>
              <w:right w:val="single" w:sz="4" w:space="0" w:color="auto"/>
            </w:tcBorders>
            <w:noWrap/>
            <w:vAlign w:val="center"/>
          </w:tcPr>
          <w:p w14:paraId="66006569" w14:textId="77777777" w:rsidR="00E51CDD" w:rsidRPr="00227BE0" w:rsidRDefault="00E51CDD" w:rsidP="009938D9">
            <w:pPr>
              <w:suppressAutoHyphens/>
              <w:spacing w:before="40" w:after="40"/>
              <w:jc w:val="center"/>
              <w:rPr>
                <w:sz w:val="20"/>
                <w:szCs w:val="20"/>
                <w:lang w:val="en-GB" w:eastAsia="en-US"/>
              </w:rPr>
            </w:pPr>
          </w:p>
        </w:tc>
        <w:tc>
          <w:tcPr>
            <w:tcW w:w="496" w:type="pct"/>
            <w:vMerge/>
            <w:tcBorders>
              <w:left w:val="single" w:sz="4" w:space="0" w:color="auto"/>
              <w:bottom w:val="single" w:sz="4" w:space="0" w:color="auto"/>
              <w:right w:val="single" w:sz="4" w:space="0" w:color="auto"/>
            </w:tcBorders>
            <w:vAlign w:val="center"/>
          </w:tcPr>
          <w:p w14:paraId="383F69C0" w14:textId="77777777" w:rsidR="00E51CDD" w:rsidRPr="00227BE0" w:rsidRDefault="00E51CDD" w:rsidP="009938D9">
            <w:pPr>
              <w:suppressAutoHyphens/>
              <w:spacing w:before="40" w:after="40"/>
              <w:jc w:val="center"/>
              <w:rPr>
                <w:sz w:val="20"/>
                <w:szCs w:val="20"/>
                <w:lang w:val="en-GB" w:eastAsia="en-US"/>
              </w:rPr>
            </w:pPr>
          </w:p>
        </w:tc>
        <w:tc>
          <w:tcPr>
            <w:tcW w:w="636" w:type="pct"/>
            <w:tcBorders>
              <w:top w:val="single" w:sz="4" w:space="0" w:color="auto"/>
              <w:left w:val="single" w:sz="4" w:space="0" w:color="auto"/>
              <w:bottom w:val="single" w:sz="4" w:space="0" w:color="auto"/>
              <w:right w:val="single" w:sz="4" w:space="0" w:color="auto"/>
            </w:tcBorders>
            <w:noWrap/>
            <w:vAlign w:val="center"/>
          </w:tcPr>
          <w:p w14:paraId="73C8C735" w14:textId="77777777" w:rsidR="00E51CDD" w:rsidRPr="00227BE0" w:rsidRDefault="00E51CDD" w:rsidP="009938D9">
            <w:pPr>
              <w:suppressAutoHyphens/>
              <w:spacing w:before="40" w:after="40"/>
              <w:jc w:val="center"/>
              <w:rPr>
                <w:sz w:val="20"/>
                <w:szCs w:val="20"/>
                <w:lang w:val="en-GB" w:eastAsia="en-US"/>
              </w:rPr>
            </w:pPr>
            <w:r w:rsidRPr="00227BE0">
              <w:rPr>
                <w:sz w:val="20"/>
                <w:szCs w:val="20"/>
                <w:lang w:val="en-GB" w:eastAsia="en-US"/>
              </w:rPr>
              <w:t>azoxystrobin</w:t>
            </w:r>
          </w:p>
        </w:tc>
        <w:tc>
          <w:tcPr>
            <w:tcW w:w="341" w:type="pct"/>
            <w:tcBorders>
              <w:top w:val="single" w:sz="4" w:space="0" w:color="auto"/>
              <w:left w:val="single" w:sz="4" w:space="0" w:color="auto"/>
              <w:bottom w:val="single" w:sz="4" w:space="0" w:color="auto"/>
              <w:right w:val="single" w:sz="4" w:space="0" w:color="auto"/>
            </w:tcBorders>
            <w:vAlign w:val="center"/>
          </w:tcPr>
          <w:p w14:paraId="788F41FF" w14:textId="77777777" w:rsidR="00E51CDD" w:rsidRPr="00227BE0" w:rsidRDefault="00E51CDD" w:rsidP="009938D9">
            <w:pPr>
              <w:suppressAutoHyphens/>
              <w:spacing w:before="40" w:after="40"/>
              <w:jc w:val="center"/>
              <w:rPr>
                <w:sz w:val="20"/>
                <w:szCs w:val="20"/>
                <w:lang w:val="en-GB" w:eastAsia="en-US"/>
              </w:rPr>
            </w:pPr>
            <w:r w:rsidRPr="00227BE0">
              <w:rPr>
                <w:sz w:val="20"/>
                <w:szCs w:val="20"/>
              </w:rPr>
              <w:t>183</w:t>
            </w:r>
            <w:r w:rsidRPr="00227BE0">
              <w:rPr>
                <w:sz w:val="20"/>
                <w:szCs w:val="20"/>
                <w:vertAlign w:val="superscript"/>
              </w:rPr>
              <w:t>#</w:t>
            </w:r>
          </w:p>
        </w:tc>
        <w:tc>
          <w:tcPr>
            <w:tcW w:w="825" w:type="pct"/>
            <w:vMerge/>
            <w:tcBorders>
              <w:left w:val="single" w:sz="4" w:space="0" w:color="auto"/>
              <w:bottom w:val="single" w:sz="4" w:space="0" w:color="auto"/>
              <w:right w:val="single" w:sz="4" w:space="0" w:color="auto"/>
            </w:tcBorders>
            <w:vAlign w:val="center"/>
          </w:tcPr>
          <w:p w14:paraId="2AE3DCAF" w14:textId="77777777" w:rsidR="00E51CDD" w:rsidRPr="00227BE0" w:rsidRDefault="00E51CDD" w:rsidP="009938D9">
            <w:pPr>
              <w:suppressAutoHyphens/>
              <w:spacing w:before="40" w:after="40"/>
              <w:jc w:val="center"/>
              <w:rPr>
                <w:sz w:val="20"/>
                <w:szCs w:val="20"/>
                <w:lang w:val="en-GB" w:eastAsia="en-US"/>
              </w:rPr>
            </w:pPr>
          </w:p>
        </w:tc>
        <w:tc>
          <w:tcPr>
            <w:tcW w:w="823" w:type="pct"/>
            <w:vMerge/>
            <w:tcBorders>
              <w:left w:val="single" w:sz="4" w:space="0" w:color="auto"/>
              <w:bottom w:val="single" w:sz="4" w:space="0" w:color="auto"/>
              <w:right w:val="single" w:sz="4" w:space="0" w:color="auto"/>
            </w:tcBorders>
            <w:vAlign w:val="center"/>
          </w:tcPr>
          <w:p w14:paraId="0295E199" w14:textId="77777777" w:rsidR="00E51CDD" w:rsidRPr="00227BE0" w:rsidRDefault="00E51CDD" w:rsidP="009938D9">
            <w:pPr>
              <w:suppressAutoHyphens/>
              <w:spacing w:before="40" w:after="40"/>
              <w:jc w:val="center"/>
              <w:rPr>
                <w:sz w:val="20"/>
                <w:szCs w:val="20"/>
                <w:lang w:val="en-GB" w:eastAsia="en-US"/>
              </w:rPr>
            </w:pPr>
          </w:p>
        </w:tc>
        <w:tc>
          <w:tcPr>
            <w:tcW w:w="599" w:type="pct"/>
            <w:vMerge/>
            <w:tcBorders>
              <w:left w:val="single" w:sz="4" w:space="0" w:color="auto"/>
              <w:bottom w:val="single" w:sz="4" w:space="0" w:color="auto"/>
              <w:right w:val="single" w:sz="4" w:space="0" w:color="auto"/>
            </w:tcBorders>
            <w:vAlign w:val="center"/>
          </w:tcPr>
          <w:p w14:paraId="4AFC4AA7" w14:textId="77777777" w:rsidR="00E51CDD" w:rsidRPr="00227BE0" w:rsidRDefault="00E51CDD" w:rsidP="009938D9">
            <w:pPr>
              <w:suppressAutoHyphens/>
              <w:spacing w:before="40" w:after="40"/>
              <w:jc w:val="center"/>
              <w:rPr>
                <w:sz w:val="20"/>
                <w:szCs w:val="20"/>
                <w:lang w:val="en-GB" w:eastAsia="en-US"/>
              </w:rPr>
            </w:pPr>
          </w:p>
        </w:tc>
      </w:tr>
    </w:tbl>
    <w:bookmarkEnd w:id="521"/>
    <w:p w14:paraId="6E5F6EF8" w14:textId="77777777" w:rsidR="00E51CDD" w:rsidRPr="00227BE0" w:rsidRDefault="00E51CDD" w:rsidP="00E51CDD">
      <w:pPr>
        <w:widowControl w:val="0"/>
        <w:suppressAutoHyphens/>
        <w:ind w:left="284" w:hanging="284"/>
        <w:jc w:val="both"/>
        <w:rPr>
          <w:rFonts w:eastAsiaTheme="minorHAnsi"/>
          <w:sz w:val="18"/>
          <w:szCs w:val="18"/>
          <w:lang w:val="en-GB" w:eastAsia="en-US"/>
        </w:rPr>
      </w:pPr>
      <w:r w:rsidRPr="00227BE0">
        <w:rPr>
          <w:sz w:val="18"/>
          <w:szCs w:val="18"/>
          <w:lang w:val="en-GB" w:eastAsia="en-US"/>
        </w:rPr>
        <w:t>PPP = Plant Protection Product; CA = concentration addition</w:t>
      </w:r>
    </w:p>
    <w:p w14:paraId="5E311DAC" w14:textId="77777777" w:rsidR="00E51CDD" w:rsidRPr="00227BE0" w:rsidRDefault="00E51CDD" w:rsidP="00E51CDD">
      <w:pPr>
        <w:widowControl w:val="0"/>
        <w:suppressAutoHyphens/>
        <w:ind w:left="284" w:hanging="284"/>
        <w:jc w:val="both"/>
        <w:rPr>
          <w:sz w:val="18"/>
          <w:szCs w:val="18"/>
          <w:lang w:val="en-GB" w:eastAsia="en-US"/>
        </w:rPr>
      </w:pPr>
      <w:bookmarkStart w:id="522" w:name="_Hlk510092612"/>
      <w:r w:rsidRPr="00227BE0">
        <w:rPr>
          <w:b/>
          <w:bCs/>
          <w:sz w:val="18"/>
          <w:szCs w:val="18"/>
          <w:lang w:val="en-GB" w:eastAsia="en-US"/>
        </w:rPr>
        <w:t>*</w:t>
      </w:r>
      <w:r w:rsidRPr="00227BE0">
        <w:rPr>
          <w:sz w:val="18"/>
          <w:szCs w:val="18"/>
          <w:lang w:val="en-GB" w:eastAsia="en-US"/>
        </w:rPr>
        <w:tab/>
        <w:t>The theoretical mixture toxicity of the formulation was re-calculated assuming concentration addition based on the measured toxicity data of the active substances and their nominal content within the formulation (</w:t>
      </w:r>
      <w:r w:rsidRPr="00227BE0">
        <w:rPr>
          <w:i/>
          <w:sz w:val="18"/>
          <w:szCs w:val="18"/>
          <w:lang w:val="en-GB" w:eastAsia="en-US"/>
        </w:rPr>
        <w:t>i.e.</w:t>
      </w:r>
      <w:r w:rsidRPr="00227BE0">
        <w:rPr>
          <w:sz w:val="18"/>
          <w:szCs w:val="18"/>
          <w:lang w:val="en-GB" w:eastAsia="en-US"/>
        </w:rPr>
        <w:t xml:space="preserve"> 50 g fluxapyroxad/L and 75 g azoxystrobin/L) and the formulation density (1.078 kg/L).</w:t>
      </w:r>
    </w:p>
    <w:bookmarkEnd w:id="522"/>
    <w:p w14:paraId="1D4C39CF" w14:textId="77777777" w:rsidR="00E51CDD" w:rsidRPr="00227BE0" w:rsidRDefault="00E51CDD" w:rsidP="00E51CDD">
      <w:pPr>
        <w:widowControl w:val="0"/>
        <w:suppressAutoHyphens/>
        <w:ind w:left="284" w:hanging="284"/>
        <w:jc w:val="both"/>
        <w:rPr>
          <w:sz w:val="18"/>
          <w:szCs w:val="18"/>
          <w:lang w:val="en-GB"/>
        </w:rPr>
      </w:pPr>
      <w:r w:rsidRPr="00227BE0">
        <w:rPr>
          <w:sz w:val="18"/>
          <w:szCs w:val="18"/>
          <w:lang w:val="en-GB"/>
        </w:rPr>
        <w:t>#</w:t>
      </w:r>
      <w:r w:rsidRPr="00227BE0">
        <w:rPr>
          <w:sz w:val="18"/>
          <w:szCs w:val="18"/>
          <w:lang w:val="en-GB"/>
        </w:rPr>
        <w:tab/>
        <w:t>Endpoint for MDR diverging from endpoint used in the risk assessment in scope of comparability reasons.</w:t>
      </w:r>
    </w:p>
    <w:p w14:paraId="10528A60" w14:textId="77777777" w:rsidR="00E51CDD" w:rsidRDefault="00E51CDD" w:rsidP="00E51CDD">
      <w:pPr>
        <w:widowControl w:val="0"/>
        <w:suppressAutoHyphens/>
        <w:jc w:val="both"/>
        <w:rPr>
          <w:lang w:val="en-GB"/>
        </w:rPr>
      </w:pPr>
    </w:p>
    <w:p w14:paraId="499345FD" w14:textId="77777777" w:rsidR="00E51CDD" w:rsidRPr="00227BE0" w:rsidRDefault="00E51CDD" w:rsidP="00E51CDD">
      <w:pPr>
        <w:widowControl w:val="0"/>
        <w:suppressAutoHyphens/>
        <w:jc w:val="both"/>
        <w:rPr>
          <w:lang w:val="en-GB"/>
        </w:rPr>
      </w:pPr>
    </w:p>
    <w:p w14:paraId="31F0CED5" w14:textId="77777777" w:rsidR="00E51CDD" w:rsidRPr="00227BE0" w:rsidRDefault="00E51CDD" w:rsidP="00E51CDD">
      <w:pPr>
        <w:widowControl w:val="0"/>
        <w:suppressAutoHyphens/>
        <w:jc w:val="both"/>
        <w:rPr>
          <w:lang w:val="en-GB" w:eastAsia="en-US"/>
        </w:rPr>
      </w:pPr>
      <w:r w:rsidRPr="00227BE0">
        <w:rPr>
          <w:rFonts w:eastAsia="Batang"/>
          <w:lang w:val="en-GB" w:eastAsia="en-US"/>
        </w:rPr>
        <w:t>The calculated MDR values are between 0.5 and 2.1 for all organisms, indicating that the formulation does not cause synergistic or antagonistic toxicity compared to the active substance but instead follows the expected toxicity for all groups of aquatic organisms (</w:t>
      </w:r>
      <w:r w:rsidRPr="00227BE0">
        <w:rPr>
          <w:rFonts w:eastAsia="Batang"/>
          <w:i/>
          <w:lang w:val="en-GB" w:eastAsia="en-US"/>
        </w:rPr>
        <w:t>i.e.</w:t>
      </w:r>
      <w:r w:rsidRPr="00227BE0">
        <w:rPr>
          <w:rFonts w:eastAsia="Batang"/>
          <w:lang w:val="en-GB" w:eastAsia="en-US"/>
        </w:rPr>
        <w:t xml:space="preserve"> </w:t>
      </w:r>
      <w:r w:rsidRPr="00227BE0">
        <w:rPr>
          <w:lang w:val="en-GB" w:eastAsia="en-US"/>
        </w:rPr>
        <w:t xml:space="preserve">the CA model provides a reliable estimate of the toxicity of the given mixture). </w:t>
      </w:r>
    </w:p>
    <w:p w14:paraId="7E3B85A3" w14:textId="77777777" w:rsidR="00E51CDD" w:rsidRPr="00227BE0" w:rsidRDefault="00E51CDD" w:rsidP="00E51CDD">
      <w:pPr>
        <w:tabs>
          <w:tab w:val="left" w:pos="720"/>
        </w:tabs>
        <w:jc w:val="both"/>
        <w:rPr>
          <w:lang w:val="en-GB"/>
        </w:rPr>
      </w:pPr>
    </w:p>
    <w:p w14:paraId="4C82AA43" w14:textId="19E8B6C0" w:rsidR="00E51CDD" w:rsidRPr="00227BE0" w:rsidRDefault="00E51CDD" w:rsidP="00E51CDD">
      <w:pPr>
        <w:tabs>
          <w:tab w:val="left" w:pos="720"/>
        </w:tabs>
        <w:jc w:val="both"/>
        <w:rPr>
          <w:rFonts w:eastAsia="Batang"/>
          <w:lang w:val="en-GB"/>
        </w:rPr>
      </w:pPr>
      <w:r w:rsidRPr="00227BE0">
        <w:rPr>
          <w:lang w:val="en-GB"/>
        </w:rPr>
        <w:t>With regard to the mixture risk assessment, the EFSA Aquatic GD further states that</w:t>
      </w:r>
      <w:r w:rsidRPr="00227BE0">
        <w:rPr>
          <w:lang w:val="en-GB" w:eastAsia="en-US"/>
        </w:rPr>
        <w:t xml:space="preserve"> </w:t>
      </w:r>
      <w:r w:rsidRPr="00227BE0">
        <w:rPr>
          <w:lang w:val="en-GB"/>
        </w:rPr>
        <w:t xml:space="preserve">if the toxicity of the mixture is largely explained by the toxicity of a single active substance and the CA model provides a reliable estimate of the toxicity of the given mixture, a sufficient protection level might be achieved by simply basing the </w:t>
      </w:r>
      <w:r w:rsidRPr="00227BE0">
        <w:rPr>
          <w:lang w:val="en-GB" w:eastAsia="en-US"/>
        </w:rPr>
        <w:t xml:space="preserve">risk assessment </w:t>
      </w:r>
      <w:r w:rsidRPr="00227BE0">
        <w:rPr>
          <w:lang w:val="en-GB"/>
        </w:rPr>
        <w:t xml:space="preserve">on the toxicity data for that single ‘driver̕. Whether one a.s. is driving toxicity of the given mixture can be verified by the “Toxic Unit (TU)” approach. </w:t>
      </w:r>
      <w:r w:rsidRPr="00227BE0">
        <w:rPr>
          <w:lang w:val="en-GB" w:eastAsia="en-US"/>
        </w:rPr>
        <w:t xml:space="preserve">The EFSA Aquatic GD states that if more than 90% of the sum of toxic units calculated for the formulation comes from a single a.s., the risk assessment is sufficiently addressed by the risk assessment for the active substances. </w:t>
      </w:r>
      <w:r w:rsidRPr="00227BE0">
        <w:rPr>
          <w:lang w:val="en-GB"/>
        </w:rPr>
        <w:t xml:space="preserve">TU calculations for </w:t>
      </w:r>
      <w:r w:rsidRPr="00227BE0">
        <w:rPr>
          <w:rFonts w:eastAsia="Batang"/>
          <w:lang w:val="en-GB"/>
        </w:rPr>
        <w:t xml:space="preserve">BAS 736 00 F are presented in </w:t>
      </w:r>
      <w:r w:rsidRPr="00227BE0">
        <w:rPr>
          <w:rFonts w:eastAsia="Batang"/>
          <w:lang w:val="en-GB"/>
        </w:rPr>
        <w:fldChar w:fldCharType="begin"/>
      </w:r>
      <w:r w:rsidRPr="00227BE0">
        <w:rPr>
          <w:rFonts w:eastAsia="Batang"/>
          <w:lang w:val="en-GB"/>
        </w:rPr>
        <w:instrText xml:space="preserve"> REF _Ref492461563 \h  \* MERGEFORMAT </w:instrText>
      </w:r>
      <w:r w:rsidRPr="00227BE0">
        <w:rPr>
          <w:rFonts w:eastAsia="Batang"/>
          <w:lang w:val="en-GB"/>
        </w:rPr>
      </w:r>
      <w:r w:rsidRPr="00227BE0">
        <w:rPr>
          <w:rFonts w:eastAsia="Batang"/>
          <w:lang w:val="en-GB"/>
        </w:rPr>
        <w:fldChar w:fldCharType="separate"/>
      </w:r>
      <w:r w:rsidR="00662F32" w:rsidRPr="00227BE0">
        <w:t xml:space="preserve">Table </w:t>
      </w:r>
      <w:r w:rsidR="00662F32">
        <w:rPr>
          <w:noProof/>
        </w:rPr>
        <w:t>9.5</w:t>
      </w:r>
      <w:r w:rsidR="00662F32" w:rsidRPr="00227BE0">
        <w:rPr>
          <w:noProof/>
        </w:rPr>
        <w:noBreakHyphen/>
      </w:r>
      <w:r w:rsidR="00662F32">
        <w:rPr>
          <w:noProof/>
        </w:rPr>
        <w:t>13</w:t>
      </w:r>
      <w:r w:rsidRPr="00227BE0">
        <w:rPr>
          <w:rFonts w:eastAsia="Batang"/>
          <w:lang w:val="en-GB"/>
        </w:rPr>
        <w:fldChar w:fldCharType="end"/>
      </w:r>
      <w:r w:rsidRPr="00227BE0">
        <w:rPr>
          <w:rFonts w:eastAsia="Batang"/>
          <w:lang w:val="en-GB"/>
        </w:rPr>
        <w:t>.</w:t>
      </w:r>
    </w:p>
    <w:p w14:paraId="4BCAA37B" w14:textId="2035F0DA" w:rsidR="00E51CDD" w:rsidRPr="00227BE0" w:rsidRDefault="00E51CDD" w:rsidP="00E51CDD">
      <w:pPr>
        <w:pStyle w:val="Legenda"/>
        <w:ind w:left="1985" w:hanging="1985"/>
        <w:jc w:val="both"/>
        <w:rPr>
          <w:sz w:val="22"/>
          <w:szCs w:val="22"/>
          <w:lang w:val="en-GB"/>
        </w:rPr>
      </w:pPr>
      <w:r w:rsidRPr="00227BE0">
        <w:rPr>
          <w:rFonts w:asciiTheme="majorBidi" w:hAnsiTheme="majorBidi" w:cstheme="majorBidi"/>
          <w:color w:val="4472C4" w:themeColor="accent1"/>
          <w:lang w:val="en-GB" w:eastAsia="en-US"/>
        </w:rPr>
        <w:br w:type="page"/>
      </w:r>
      <w:bookmarkStart w:id="523" w:name="_Ref492461563"/>
      <w:r w:rsidRPr="00227BE0">
        <w:rPr>
          <w:sz w:val="22"/>
          <w:szCs w:val="22"/>
        </w:rPr>
        <w:lastRenderedPageBreak/>
        <w:t xml:space="preserve">Table </w:t>
      </w:r>
      <w:r w:rsidRPr="00227BE0">
        <w:fldChar w:fldCharType="begin"/>
      </w:r>
      <w:r w:rsidRPr="00227BE0">
        <w:rPr>
          <w:sz w:val="22"/>
          <w:szCs w:val="22"/>
        </w:rPr>
        <w:instrText xml:space="preserve"> STYLEREF 2 \s </w:instrText>
      </w:r>
      <w:r w:rsidRPr="00227BE0">
        <w:fldChar w:fldCharType="separate"/>
      </w:r>
      <w:r w:rsidR="00662F32">
        <w:rPr>
          <w:noProof/>
          <w:sz w:val="22"/>
          <w:szCs w:val="22"/>
        </w:rPr>
        <w:t>9.5</w:t>
      </w:r>
      <w:r w:rsidRPr="00227BE0">
        <w:fldChar w:fldCharType="end"/>
      </w:r>
      <w:r w:rsidRPr="00227BE0">
        <w:rPr>
          <w:sz w:val="22"/>
          <w:szCs w:val="22"/>
        </w:rPr>
        <w:noBreakHyphen/>
      </w:r>
      <w:r w:rsidRPr="00227BE0">
        <w:fldChar w:fldCharType="begin"/>
      </w:r>
      <w:r w:rsidRPr="00227BE0">
        <w:rPr>
          <w:sz w:val="22"/>
          <w:szCs w:val="22"/>
        </w:rPr>
        <w:instrText xml:space="preserve"> SEQ Table \* ARABIC \s 2 </w:instrText>
      </w:r>
      <w:r w:rsidRPr="00227BE0">
        <w:fldChar w:fldCharType="separate"/>
      </w:r>
      <w:r w:rsidR="00662F32">
        <w:rPr>
          <w:noProof/>
          <w:sz w:val="22"/>
          <w:szCs w:val="22"/>
        </w:rPr>
        <w:t>13</w:t>
      </w:r>
      <w:r w:rsidRPr="00227BE0">
        <w:fldChar w:fldCharType="end"/>
      </w:r>
      <w:bookmarkEnd w:id="523"/>
      <w:r w:rsidRPr="00227BE0">
        <w:rPr>
          <w:sz w:val="22"/>
          <w:szCs w:val="22"/>
          <w:lang w:val="en-GB"/>
        </w:rPr>
        <w:t>:</w:t>
      </w:r>
      <w:r w:rsidRPr="00227BE0">
        <w:rPr>
          <w:sz w:val="22"/>
          <w:szCs w:val="22"/>
          <w:lang w:val="en-GB"/>
        </w:rPr>
        <w:tab/>
        <w:t xml:space="preserve">Toxic Unit calculations for BAS 736 00 F based on the concentration of the active substances fluxapyroxad and azoxystrobin </w:t>
      </w:r>
    </w:p>
    <w:tbl>
      <w:tblPr>
        <w:tblW w:w="5000" w:type="pct"/>
        <w:tblLayout w:type="fixed"/>
        <w:tblLook w:val="04A0" w:firstRow="1" w:lastRow="0" w:firstColumn="1" w:lastColumn="0" w:noHBand="0" w:noVBand="1"/>
      </w:tblPr>
      <w:tblGrid>
        <w:gridCol w:w="1353"/>
        <w:gridCol w:w="1325"/>
        <w:gridCol w:w="1561"/>
        <w:gridCol w:w="1544"/>
        <w:gridCol w:w="1521"/>
        <w:gridCol w:w="1247"/>
        <w:gridCol w:w="794"/>
      </w:tblGrid>
      <w:tr w:rsidR="00E51CDD" w:rsidRPr="00227BE0" w14:paraId="7C4E0805" w14:textId="77777777" w:rsidTr="009938D9">
        <w:trPr>
          <w:trHeight w:val="1530"/>
        </w:trPr>
        <w:tc>
          <w:tcPr>
            <w:tcW w:w="7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EE890A" w14:textId="77777777" w:rsidR="00E51CDD" w:rsidRPr="00227BE0" w:rsidRDefault="00E51CDD" w:rsidP="009938D9">
            <w:pPr>
              <w:rPr>
                <w:b/>
                <w:bCs/>
                <w:color w:val="000000"/>
                <w:sz w:val="20"/>
                <w:szCs w:val="20"/>
                <w:lang w:eastAsia="en-US"/>
              </w:rPr>
            </w:pPr>
            <w:r w:rsidRPr="00227BE0">
              <w:rPr>
                <w:b/>
                <w:bCs/>
                <w:color w:val="000000"/>
                <w:sz w:val="20"/>
                <w:szCs w:val="20"/>
                <w:lang w:eastAsia="en-US"/>
              </w:rPr>
              <w:t>Group</w:t>
            </w:r>
          </w:p>
        </w:tc>
        <w:tc>
          <w:tcPr>
            <w:tcW w:w="709" w:type="pct"/>
            <w:tcBorders>
              <w:top w:val="single" w:sz="4" w:space="0" w:color="auto"/>
              <w:left w:val="nil"/>
              <w:bottom w:val="single" w:sz="4" w:space="0" w:color="auto"/>
              <w:right w:val="single" w:sz="4" w:space="0" w:color="auto"/>
            </w:tcBorders>
            <w:shd w:val="clear" w:color="auto" w:fill="auto"/>
            <w:noWrap/>
            <w:vAlign w:val="center"/>
            <w:hideMark/>
          </w:tcPr>
          <w:p w14:paraId="550C18ED" w14:textId="77777777" w:rsidR="00E51CDD" w:rsidRPr="00227BE0" w:rsidRDefault="00E51CDD" w:rsidP="009938D9">
            <w:pPr>
              <w:jc w:val="center"/>
              <w:rPr>
                <w:b/>
                <w:bCs/>
                <w:color w:val="000000"/>
                <w:sz w:val="20"/>
                <w:szCs w:val="20"/>
                <w:lang w:eastAsia="en-US"/>
              </w:rPr>
            </w:pPr>
            <w:r w:rsidRPr="00227BE0">
              <w:rPr>
                <w:b/>
                <w:bCs/>
                <w:color w:val="000000"/>
                <w:sz w:val="20"/>
                <w:szCs w:val="20"/>
                <w:lang w:eastAsia="en-US"/>
              </w:rPr>
              <w:t xml:space="preserve">Test </w:t>
            </w:r>
          </w:p>
          <w:p w14:paraId="4C252333" w14:textId="77777777" w:rsidR="00E51CDD" w:rsidRPr="00227BE0" w:rsidRDefault="00E51CDD" w:rsidP="009938D9">
            <w:pPr>
              <w:jc w:val="center"/>
              <w:rPr>
                <w:b/>
                <w:bCs/>
                <w:color w:val="000000"/>
                <w:sz w:val="20"/>
                <w:szCs w:val="20"/>
                <w:lang w:eastAsia="en-US"/>
              </w:rPr>
            </w:pPr>
            <w:r w:rsidRPr="00227BE0">
              <w:rPr>
                <w:b/>
                <w:bCs/>
                <w:color w:val="000000"/>
                <w:sz w:val="20"/>
                <w:szCs w:val="20"/>
                <w:lang w:eastAsia="en-US"/>
              </w:rPr>
              <w:t>substance</w:t>
            </w:r>
          </w:p>
        </w:tc>
        <w:tc>
          <w:tcPr>
            <w:tcW w:w="835" w:type="pct"/>
            <w:tcBorders>
              <w:top w:val="single" w:sz="4" w:space="0" w:color="auto"/>
              <w:left w:val="nil"/>
              <w:bottom w:val="single" w:sz="4" w:space="0" w:color="auto"/>
              <w:right w:val="single" w:sz="4" w:space="0" w:color="auto"/>
            </w:tcBorders>
            <w:shd w:val="clear" w:color="auto" w:fill="auto"/>
            <w:noWrap/>
            <w:vAlign w:val="center"/>
            <w:hideMark/>
          </w:tcPr>
          <w:p w14:paraId="47C432F8" w14:textId="77777777" w:rsidR="00E51CDD" w:rsidRPr="00227BE0" w:rsidRDefault="00E51CDD" w:rsidP="009938D9">
            <w:pPr>
              <w:jc w:val="center"/>
              <w:rPr>
                <w:b/>
                <w:bCs/>
                <w:color w:val="000000"/>
                <w:sz w:val="20"/>
                <w:szCs w:val="20"/>
                <w:lang w:eastAsia="en-US"/>
              </w:rPr>
            </w:pPr>
            <w:r w:rsidRPr="00227BE0">
              <w:rPr>
                <w:b/>
                <w:bCs/>
                <w:color w:val="000000"/>
                <w:sz w:val="20"/>
                <w:szCs w:val="20"/>
                <w:lang w:eastAsia="en-US"/>
              </w:rPr>
              <w:t>Test system</w:t>
            </w:r>
          </w:p>
        </w:tc>
        <w:tc>
          <w:tcPr>
            <w:tcW w:w="826" w:type="pct"/>
            <w:tcBorders>
              <w:top w:val="single" w:sz="4" w:space="0" w:color="auto"/>
              <w:left w:val="nil"/>
              <w:bottom w:val="single" w:sz="4" w:space="0" w:color="auto"/>
              <w:right w:val="single" w:sz="4" w:space="0" w:color="auto"/>
            </w:tcBorders>
            <w:shd w:val="clear" w:color="auto" w:fill="auto"/>
            <w:vAlign w:val="center"/>
            <w:hideMark/>
          </w:tcPr>
          <w:p w14:paraId="4CE42CF5" w14:textId="77777777" w:rsidR="00E51CDD" w:rsidRPr="00227BE0" w:rsidRDefault="00E51CDD" w:rsidP="009938D9">
            <w:pPr>
              <w:jc w:val="center"/>
              <w:rPr>
                <w:b/>
                <w:bCs/>
                <w:color w:val="000000"/>
                <w:sz w:val="20"/>
                <w:szCs w:val="20"/>
                <w:lang w:eastAsia="en-US"/>
              </w:rPr>
            </w:pPr>
            <w:r w:rsidRPr="00227BE0">
              <w:rPr>
                <w:b/>
                <w:bCs/>
                <w:color w:val="000000"/>
                <w:sz w:val="20"/>
                <w:szCs w:val="20"/>
                <w:lang w:eastAsia="en-US"/>
              </w:rPr>
              <w:t>Nominal content of a.s. in BAS 736 00 F [g/L]</w:t>
            </w:r>
          </w:p>
        </w:tc>
        <w:tc>
          <w:tcPr>
            <w:tcW w:w="814" w:type="pct"/>
            <w:tcBorders>
              <w:top w:val="single" w:sz="4" w:space="0" w:color="auto"/>
              <w:left w:val="nil"/>
              <w:bottom w:val="single" w:sz="4" w:space="0" w:color="auto"/>
              <w:right w:val="single" w:sz="4" w:space="0" w:color="auto"/>
            </w:tcBorders>
            <w:shd w:val="clear" w:color="auto" w:fill="auto"/>
            <w:vAlign w:val="center"/>
            <w:hideMark/>
          </w:tcPr>
          <w:p w14:paraId="689D9D2D" w14:textId="77777777" w:rsidR="00E51CDD" w:rsidRPr="00227BE0" w:rsidRDefault="00E51CDD" w:rsidP="009938D9">
            <w:pPr>
              <w:jc w:val="center"/>
              <w:rPr>
                <w:b/>
                <w:bCs/>
                <w:color w:val="000000"/>
                <w:sz w:val="20"/>
                <w:szCs w:val="20"/>
                <w:lang w:eastAsia="en-US"/>
              </w:rPr>
            </w:pPr>
            <w:r w:rsidRPr="00227BE0">
              <w:rPr>
                <w:b/>
                <w:bCs/>
                <w:color w:val="000000"/>
                <w:sz w:val="20"/>
                <w:szCs w:val="20"/>
                <w:lang w:eastAsia="en-US"/>
              </w:rPr>
              <w:t>Measured toxicity of the a.s. (EC</w:t>
            </w:r>
            <w:r w:rsidRPr="00227BE0">
              <w:rPr>
                <w:b/>
                <w:bCs/>
                <w:color w:val="000000"/>
                <w:sz w:val="20"/>
                <w:szCs w:val="20"/>
                <w:vertAlign w:val="subscript"/>
                <w:lang w:eastAsia="en-US"/>
              </w:rPr>
              <w:t>50a.s.</w:t>
            </w:r>
            <w:r w:rsidRPr="00227BE0">
              <w:rPr>
                <w:b/>
                <w:bCs/>
                <w:color w:val="000000"/>
                <w:sz w:val="20"/>
                <w:szCs w:val="20"/>
                <w:lang w:eastAsia="en-US"/>
              </w:rPr>
              <w:t xml:space="preserve"> / NOEC</w:t>
            </w:r>
            <w:r w:rsidRPr="00227BE0">
              <w:rPr>
                <w:b/>
                <w:bCs/>
                <w:color w:val="000000"/>
                <w:sz w:val="20"/>
                <w:szCs w:val="20"/>
                <w:vertAlign w:val="subscript"/>
                <w:lang w:eastAsia="en-US"/>
              </w:rPr>
              <w:t>a.s.</w:t>
            </w:r>
            <w:r w:rsidRPr="00227BE0">
              <w:rPr>
                <w:b/>
                <w:bCs/>
                <w:color w:val="000000"/>
                <w:sz w:val="20"/>
                <w:szCs w:val="20"/>
                <w:lang w:eastAsia="en-US"/>
              </w:rPr>
              <w:t xml:space="preserve">) </w:t>
            </w:r>
            <w:r w:rsidRPr="00227BE0">
              <w:rPr>
                <w:b/>
                <w:bCs/>
                <w:color w:val="000000"/>
                <w:sz w:val="20"/>
                <w:szCs w:val="20"/>
                <w:lang w:eastAsia="en-US"/>
              </w:rPr>
              <w:br/>
              <w:t>[µg a.s./L]</w:t>
            </w:r>
          </w:p>
        </w:tc>
        <w:tc>
          <w:tcPr>
            <w:tcW w:w="667" w:type="pct"/>
            <w:tcBorders>
              <w:top w:val="single" w:sz="4" w:space="0" w:color="auto"/>
              <w:left w:val="nil"/>
              <w:bottom w:val="single" w:sz="4" w:space="0" w:color="auto"/>
              <w:right w:val="single" w:sz="4" w:space="0" w:color="auto"/>
            </w:tcBorders>
            <w:shd w:val="clear" w:color="auto" w:fill="auto"/>
            <w:noWrap/>
            <w:vAlign w:val="center"/>
            <w:hideMark/>
          </w:tcPr>
          <w:p w14:paraId="01A3AFF4" w14:textId="77777777" w:rsidR="00E51CDD" w:rsidRPr="00227BE0" w:rsidRDefault="00E51CDD" w:rsidP="009938D9">
            <w:pPr>
              <w:jc w:val="center"/>
              <w:rPr>
                <w:b/>
                <w:bCs/>
                <w:color w:val="000000"/>
                <w:lang w:eastAsia="en-US"/>
              </w:rPr>
            </w:pPr>
            <w:r w:rsidRPr="00227BE0">
              <w:rPr>
                <w:b/>
                <w:bCs/>
                <w:color w:val="000000"/>
                <w:lang w:eastAsia="en-US"/>
              </w:rPr>
              <w:t>Toxic Unit (TU)</w:t>
            </w:r>
          </w:p>
        </w:tc>
        <w:tc>
          <w:tcPr>
            <w:tcW w:w="426" w:type="pct"/>
            <w:tcBorders>
              <w:top w:val="single" w:sz="4" w:space="0" w:color="auto"/>
              <w:left w:val="nil"/>
              <w:bottom w:val="single" w:sz="4" w:space="0" w:color="auto"/>
              <w:right w:val="single" w:sz="4" w:space="0" w:color="auto"/>
            </w:tcBorders>
            <w:shd w:val="clear" w:color="auto" w:fill="auto"/>
            <w:noWrap/>
            <w:vAlign w:val="center"/>
            <w:hideMark/>
          </w:tcPr>
          <w:p w14:paraId="7FA1C6A1" w14:textId="77777777" w:rsidR="00E51CDD" w:rsidRPr="00227BE0" w:rsidRDefault="00E51CDD" w:rsidP="009938D9">
            <w:pPr>
              <w:jc w:val="center"/>
              <w:rPr>
                <w:b/>
                <w:bCs/>
                <w:color w:val="000000"/>
                <w:lang w:eastAsia="en-US"/>
              </w:rPr>
            </w:pPr>
            <w:r w:rsidRPr="00227BE0">
              <w:rPr>
                <w:b/>
                <w:bCs/>
                <w:color w:val="000000"/>
                <w:lang w:eastAsia="en-US"/>
              </w:rPr>
              <w:t>Toxic Unit [%]</w:t>
            </w:r>
          </w:p>
        </w:tc>
      </w:tr>
      <w:tr w:rsidR="00E51CDD" w:rsidRPr="00227BE0" w14:paraId="2C473C0C" w14:textId="77777777" w:rsidTr="009938D9">
        <w:trPr>
          <w:trHeight w:val="340"/>
        </w:trPr>
        <w:tc>
          <w:tcPr>
            <w:tcW w:w="724" w:type="pct"/>
            <w:vMerge w:val="restart"/>
            <w:tcBorders>
              <w:top w:val="nil"/>
              <w:left w:val="single" w:sz="4" w:space="0" w:color="auto"/>
              <w:right w:val="single" w:sz="4" w:space="0" w:color="auto"/>
            </w:tcBorders>
            <w:shd w:val="clear" w:color="auto" w:fill="auto"/>
            <w:vAlign w:val="center"/>
            <w:hideMark/>
          </w:tcPr>
          <w:p w14:paraId="5896A505" w14:textId="77777777" w:rsidR="00E51CDD" w:rsidRPr="00227BE0" w:rsidRDefault="00E51CDD" w:rsidP="009938D9">
            <w:pPr>
              <w:rPr>
                <w:b/>
                <w:bCs/>
                <w:color w:val="000000"/>
                <w:sz w:val="20"/>
                <w:szCs w:val="20"/>
                <w:lang w:eastAsia="en-US"/>
              </w:rPr>
            </w:pPr>
            <w:r w:rsidRPr="00227BE0">
              <w:rPr>
                <w:b/>
                <w:bCs/>
                <w:color w:val="000000"/>
                <w:sz w:val="20"/>
                <w:szCs w:val="20"/>
                <w:lang w:eastAsia="en-US"/>
              </w:rPr>
              <w:t>Fish, acute</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59EBD" w14:textId="77777777" w:rsidR="00E51CDD" w:rsidRPr="00227BE0" w:rsidRDefault="00E51CDD" w:rsidP="009938D9">
            <w:pPr>
              <w:jc w:val="center"/>
              <w:rPr>
                <w:color w:val="000000"/>
                <w:sz w:val="20"/>
                <w:szCs w:val="20"/>
                <w:lang w:eastAsia="en-US"/>
              </w:rPr>
            </w:pPr>
            <w:r w:rsidRPr="00227BE0">
              <w:rPr>
                <w:color w:val="000000"/>
                <w:sz w:val="20"/>
                <w:szCs w:val="20"/>
                <w:lang w:eastAsia="en-US"/>
              </w:rPr>
              <w:t>fluxapyroxad</w:t>
            </w:r>
          </w:p>
        </w:tc>
        <w:tc>
          <w:tcPr>
            <w:tcW w:w="835" w:type="pct"/>
            <w:tcBorders>
              <w:top w:val="nil"/>
              <w:left w:val="single" w:sz="4" w:space="0" w:color="auto"/>
              <w:bottom w:val="nil"/>
              <w:right w:val="single" w:sz="4" w:space="0" w:color="auto"/>
            </w:tcBorders>
            <w:shd w:val="clear" w:color="auto" w:fill="auto"/>
            <w:noWrap/>
            <w:vAlign w:val="center"/>
            <w:hideMark/>
          </w:tcPr>
          <w:p w14:paraId="57E77E0B" w14:textId="77777777" w:rsidR="00E51CDD" w:rsidRPr="00227BE0" w:rsidRDefault="00E51CDD" w:rsidP="009938D9">
            <w:pPr>
              <w:jc w:val="center"/>
              <w:rPr>
                <w:color w:val="000000"/>
                <w:sz w:val="20"/>
                <w:szCs w:val="20"/>
                <w:lang w:eastAsia="en-US"/>
              </w:rPr>
            </w:pPr>
            <w:r w:rsidRPr="00227BE0">
              <w:rPr>
                <w:color w:val="000000"/>
                <w:sz w:val="20"/>
                <w:szCs w:val="20"/>
                <w:lang w:eastAsia="en-US"/>
              </w:rPr>
              <w:t>96</w:t>
            </w:r>
            <w:r w:rsidRPr="00227BE0">
              <w:rPr>
                <w:color w:val="000000"/>
                <w:sz w:val="20"/>
                <w:szCs w:val="20"/>
                <w:lang w:eastAsia="en-US"/>
              </w:rPr>
              <w:noBreakHyphen/>
              <w:t>h LC</w:t>
            </w:r>
            <w:r w:rsidRPr="00227BE0">
              <w:rPr>
                <w:color w:val="000000"/>
                <w:sz w:val="20"/>
                <w:szCs w:val="20"/>
                <w:vertAlign w:val="subscript"/>
                <w:lang w:eastAsia="en-US"/>
              </w:rPr>
              <w:t>50</w:t>
            </w:r>
          </w:p>
        </w:tc>
        <w:tc>
          <w:tcPr>
            <w:tcW w:w="82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6DB4D7A" w14:textId="77777777" w:rsidR="00E51CDD" w:rsidRPr="00227BE0" w:rsidRDefault="00E51CDD" w:rsidP="009938D9">
            <w:pPr>
              <w:jc w:val="center"/>
              <w:rPr>
                <w:color w:val="000000"/>
                <w:sz w:val="20"/>
                <w:szCs w:val="20"/>
                <w:lang w:eastAsia="en-US"/>
              </w:rPr>
            </w:pPr>
            <w:r w:rsidRPr="00227BE0">
              <w:rPr>
                <w:color w:val="000000"/>
                <w:sz w:val="20"/>
                <w:szCs w:val="20"/>
                <w:lang w:eastAsia="en-US"/>
              </w:rPr>
              <w:t>50</w:t>
            </w:r>
          </w:p>
        </w:tc>
        <w:tc>
          <w:tcPr>
            <w:tcW w:w="81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638273A" w14:textId="77777777" w:rsidR="00E51CDD" w:rsidRPr="00227BE0" w:rsidRDefault="00E51CDD" w:rsidP="009938D9">
            <w:pPr>
              <w:jc w:val="center"/>
              <w:rPr>
                <w:color w:val="000000"/>
                <w:sz w:val="20"/>
                <w:szCs w:val="20"/>
                <w:lang w:eastAsia="en-US"/>
              </w:rPr>
            </w:pPr>
            <w:r w:rsidRPr="00227BE0">
              <w:rPr>
                <w:color w:val="000000"/>
                <w:sz w:val="20"/>
                <w:szCs w:val="20"/>
                <w:lang w:eastAsia="en-US"/>
              </w:rPr>
              <w:t>546</w:t>
            </w:r>
          </w:p>
        </w:tc>
        <w:tc>
          <w:tcPr>
            <w:tcW w:w="667"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34590BF" w14:textId="77777777" w:rsidR="00E51CDD" w:rsidRPr="00227BE0" w:rsidRDefault="00E51CDD" w:rsidP="009938D9">
            <w:pPr>
              <w:jc w:val="center"/>
              <w:rPr>
                <w:color w:val="000000"/>
                <w:sz w:val="20"/>
                <w:szCs w:val="20"/>
                <w:lang w:eastAsia="en-US"/>
              </w:rPr>
            </w:pPr>
            <w:r w:rsidRPr="00227BE0">
              <w:rPr>
                <w:color w:val="000000"/>
                <w:sz w:val="20"/>
                <w:szCs w:val="20"/>
                <w:lang w:eastAsia="en-US"/>
              </w:rPr>
              <w:t>91575</w:t>
            </w:r>
          </w:p>
        </w:tc>
        <w:tc>
          <w:tcPr>
            <w:tcW w:w="42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ECEBD77" w14:textId="77777777" w:rsidR="00E51CDD" w:rsidRPr="00227BE0" w:rsidRDefault="00E51CDD" w:rsidP="009938D9">
            <w:pPr>
              <w:jc w:val="center"/>
              <w:rPr>
                <w:color w:val="000000"/>
                <w:sz w:val="20"/>
                <w:szCs w:val="20"/>
                <w:lang w:eastAsia="en-US"/>
              </w:rPr>
            </w:pPr>
            <w:r w:rsidRPr="00227BE0">
              <w:rPr>
                <w:color w:val="000000"/>
                <w:sz w:val="20"/>
                <w:szCs w:val="20"/>
                <w:lang w:eastAsia="en-US"/>
              </w:rPr>
              <w:t>36.5</w:t>
            </w:r>
          </w:p>
        </w:tc>
      </w:tr>
      <w:tr w:rsidR="00E51CDD" w:rsidRPr="00227BE0" w14:paraId="2DC29F5C" w14:textId="77777777" w:rsidTr="009938D9">
        <w:trPr>
          <w:trHeight w:val="340"/>
        </w:trPr>
        <w:tc>
          <w:tcPr>
            <w:tcW w:w="724" w:type="pct"/>
            <w:vMerge/>
            <w:tcBorders>
              <w:left w:val="single" w:sz="4" w:space="0" w:color="auto"/>
              <w:right w:val="single" w:sz="4" w:space="0" w:color="auto"/>
            </w:tcBorders>
            <w:vAlign w:val="center"/>
            <w:hideMark/>
          </w:tcPr>
          <w:p w14:paraId="43D76C94" w14:textId="77777777" w:rsidR="00E51CDD" w:rsidRPr="00227BE0" w:rsidRDefault="00E51CDD" w:rsidP="009938D9">
            <w:pPr>
              <w:rPr>
                <w:b/>
                <w:bCs/>
                <w:color w:val="000000"/>
                <w:sz w:val="20"/>
                <w:szCs w:val="20"/>
                <w:lang w:eastAsia="en-US"/>
              </w:rPr>
            </w:pPr>
          </w:p>
        </w:tc>
        <w:tc>
          <w:tcPr>
            <w:tcW w:w="709" w:type="pct"/>
            <w:vMerge/>
            <w:tcBorders>
              <w:top w:val="single" w:sz="4" w:space="0" w:color="auto"/>
              <w:left w:val="single" w:sz="4" w:space="0" w:color="auto"/>
              <w:bottom w:val="single" w:sz="4" w:space="0" w:color="auto"/>
              <w:right w:val="single" w:sz="4" w:space="0" w:color="auto"/>
            </w:tcBorders>
            <w:vAlign w:val="center"/>
            <w:hideMark/>
          </w:tcPr>
          <w:p w14:paraId="3A6D49E6" w14:textId="77777777" w:rsidR="00E51CDD" w:rsidRPr="00227BE0" w:rsidRDefault="00E51CDD" w:rsidP="009938D9">
            <w:pPr>
              <w:rPr>
                <w:color w:val="000000"/>
                <w:sz w:val="20"/>
                <w:szCs w:val="20"/>
                <w:lang w:eastAsia="en-US"/>
              </w:rPr>
            </w:pPr>
          </w:p>
        </w:tc>
        <w:tc>
          <w:tcPr>
            <w:tcW w:w="835" w:type="pct"/>
            <w:tcBorders>
              <w:top w:val="nil"/>
              <w:left w:val="single" w:sz="4" w:space="0" w:color="auto"/>
              <w:bottom w:val="nil"/>
              <w:right w:val="single" w:sz="4" w:space="0" w:color="auto"/>
            </w:tcBorders>
            <w:shd w:val="clear" w:color="auto" w:fill="auto"/>
            <w:noWrap/>
            <w:vAlign w:val="center"/>
            <w:hideMark/>
          </w:tcPr>
          <w:p w14:paraId="0DB8D81F" w14:textId="77777777" w:rsidR="00E51CDD" w:rsidRPr="00227BE0" w:rsidRDefault="00E51CDD" w:rsidP="009938D9">
            <w:pPr>
              <w:jc w:val="center"/>
              <w:rPr>
                <w:i/>
                <w:iCs/>
                <w:color w:val="000000"/>
                <w:sz w:val="20"/>
                <w:szCs w:val="20"/>
                <w:lang w:eastAsia="en-US"/>
              </w:rPr>
            </w:pPr>
            <w:r w:rsidRPr="00227BE0">
              <w:rPr>
                <w:i/>
                <w:iCs/>
                <w:color w:val="000000"/>
                <w:sz w:val="20"/>
                <w:szCs w:val="20"/>
                <w:lang w:eastAsia="en-US"/>
              </w:rPr>
              <w:t xml:space="preserve">O. mykiss </w:t>
            </w:r>
          </w:p>
        </w:tc>
        <w:tc>
          <w:tcPr>
            <w:tcW w:w="826" w:type="pct"/>
            <w:vMerge/>
            <w:tcBorders>
              <w:top w:val="nil"/>
              <w:left w:val="single" w:sz="4" w:space="0" w:color="auto"/>
              <w:bottom w:val="single" w:sz="4" w:space="0" w:color="auto"/>
              <w:right w:val="single" w:sz="4" w:space="0" w:color="auto"/>
            </w:tcBorders>
            <w:vAlign w:val="center"/>
            <w:hideMark/>
          </w:tcPr>
          <w:p w14:paraId="0747CF64" w14:textId="77777777" w:rsidR="00E51CDD" w:rsidRPr="00227BE0" w:rsidRDefault="00E51CDD" w:rsidP="009938D9">
            <w:pPr>
              <w:rPr>
                <w:color w:val="000000"/>
                <w:sz w:val="20"/>
                <w:szCs w:val="20"/>
                <w:lang w:eastAsia="en-US"/>
              </w:rPr>
            </w:pPr>
          </w:p>
        </w:tc>
        <w:tc>
          <w:tcPr>
            <w:tcW w:w="814" w:type="pct"/>
            <w:vMerge/>
            <w:tcBorders>
              <w:top w:val="nil"/>
              <w:left w:val="single" w:sz="4" w:space="0" w:color="auto"/>
              <w:bottom w:val="single" w:sz="4" w:space="0" w:color="auto"/>
              <w:right w:val="single" w:sz="4" w:space="0" w:color="auto"/>
            </w:tcBorders>
            <w:vAlign w:val="center"/>
            <w:hideMark/>
          </w:tcPr>
          <w:p w14:paraId="68EBF6A8" w14:textId="77777777" w:rsidR="00E51CDD" w:rsidRPr="00227BE0" w:rsidRDefault="00E51CDD" w:rsidP="009938D9">
            <w:pPr>
              <w:rPr>
                <w:color w:val="000000"/>
                <w:sz w:val="20"/>
                <w:szCs w:val="20"/>
                <w:lang w:eastAsia="en-US"/>
              </w:rPr>
            </w:pPr>
          </w:p>
        </w:tc>
        <w:tc>
          <w:tcPr>
            <w:tcW w:w="667" w:type="pct"/>
            <w:vMerge/>
            <w:tcBorders>
              <w:top w:val="nil"/>
              <w:left w:val="single" w:sz="4" w:space="0" w:color="auto"/>
              <w:bottom w:val="single" w:sz="4" w:space="0" w:color="auto"/>
              <w:right w:val="single" w:sz="4" w:space="0" w:color="auto"/>
            </w:tcBorders>
            <w:vAlign w:val="center"/>
            <w:hideMark/>
          </w:tcPr>
          <w:p w14:paraId="3F62883D" w14:textId="77777777" w:rsidR="00E51CDD" w:rsidRPr="00227BE0" w:rsidRDefault="00E51CDD" w:rsidP="009938D9">
            <w:pPr>
              <w:rPr>
                <w:color w:val="000000"/>
                <w:sz w:val="20"/>
                <w:szCs w:val="20"/>
                <w:lang w:eastAsia="en-US"/>
              </w:rPr>
            </w:pPr>
          </w:p>
        </w:tc>
        <w:tc>
          <w:tcPr>
            <w:tcW w:w="426" w:type="pct"/>
            <w:vMerge/>
            <w:tcBorders>
              <w:top w:val="nil"/>
              <w:left w:val="single" w:sz="4" w:space="0" w:color="auto"/>
              <w:bottom w:val="single" w:sz="4" w:space="0" w:color="auto"/>
              <w:right w:val="single" w:sz="4" w:space="0" w:color="auto"/>
            </w:tcBorders>
            <w:vAlign w:val="center"/>
            <w:hideMark/>
          </w:tcPr>
          <w:p w14:paraId="421153A4" w14:textId="77777777" w:rsidR="00E51CDD" w:rsidRPr="00227BE0" w:rsidRDefault="00E51CDD" w:rsidP="009938D9">
            <w:pPr>
              <w:rPr>
                <w:color w:val="000000"/>
                <w:sz w:val="20"/>
                <w:szCs w:val="20"/>
                <w:lang w:eastAsia="en-US"/>
              </w:rPr>
            </w:pPr>
          </w:p>
        </w:tc>
      </w:tr>
      <w:tr w:rsidR="00E51CDD" w:rsidRPr="00227BE0" w14:paraId="591EC267" w14:textId="77777777" w:rsidTr="009938D9">
        <w:trPr>
          <w:trHeight w:val="340"/>
        </w:trPr>
        <w:tc>
          <w:tcPr>
            <w:tcW w:w="724" w:type="pct"/>
            <w:vMerge/>
            <w:tcBorders>
              <w:left w:val="single" w:sz="4" w:space="0" w:color="auto"/>
              <w:right w:val="single" w:sz="4" w:space="0" w:color="auto"/>
            </w:tcBorders>
            <w:shd w:val="clear" w:color="auto" w:fill="auto"/>
            <w:vAlign w:val="center"/>
            <w:hideMark/>
          </w:tcPr>
          <w:p w14:paraId="1E684BAA" w14:textId="77777777" w:rsidR="00E51CDD" w:rsidRPr="00227BE0" w:rsidRDefault="00E51CDD" w:rsidP="009938D9">
            <w:pPr>
              <w:rPr>
                <w:b/>
                <w:bCs/>
                <w:color w:val="000000"/>
                <w:sz w:val="20"/>
                <w:szCs w:val="20"/>
                <w:lang w:eastAsia="en-US"/>
              </w:rPr>
            </w:pPr>
          </w:p>
        </w:tc>
        <w:tc>
          <w:tcPr>
            <w:tcW w:w="7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B77ED" w14:textId="77777777" w:rsidR="00E51CDD" w:rsidRPr="00227BE0" w:rsidRDefault="00E51CDD" w:rsidP="009938D9">
            <w:pPr>
              <w:jc w:val="center"/>
              <w:rPr>
                <w:color w:val="000000"/>
                <w:sz w:val="20"/>
                <w:szCs w:val="20"/>
                <w:lang w:eastAsia="en-US"/>
              </w:rPr>
            </w:pPr>
            <w:r w:rsidRPr="00227BE0">
              <w:rPr>
                <w:color w:val="000000"/>
                <w:sz w:val="20"/>
                <w:szCs w:val="20"/>
                <w:lang w:eastAsia="en-US"/>
              </w:rPr>
              <w:t>azoxystrobin</w:t>
            </w:r>
          </w:p>
        </w:tc>
        <w:tc>
          <w:tcPr>
            <w:tcW w:w="835" w:type="pct"/>
            <w:tcBorders>
              <w:top w:val="single" w:sz="4" w:space="0" w:color="auto"/>
              <w:left w:val="nil"/>
              <w:bottom w:val="nil"/>
              <w:right w:val="single" w:sz="4" w:space="0" w:color="auto"/>
            </w:tcBorders>
            <w:shd w:val="clear" w:color="auto" w:fill="auto"/>
            <w:noWrap/>
            <w:vAlign w:val="center"/>
            <w:hideMark/>
          </w:tcPr>
          <w:p w14:paraId="78A4774A" w14:textId="77777777" w:rsidR="00E51CDD" w:rsidRPr="00227BE0" w:rsidRDefault="00E51CDD" w:rsidP="009938D9">
            <w:pPr>
              <w:jc w:val="center"/>
              <w:rPr>
                <w:color w:val="000000"/>
                <w:sz w:val="20"/>
                <w:szCs w:val="20"/>
                <w:lang w:eastAsia="en-US"/>
              </w:rPr>
            </w:pPr>
            <w:r w:rsidRPr="00227BE0">
              <w:rPr>
                <w:color w:val="000000"/>
                <w:sz w:val="20"/>
                <w:szCs w:val="20"/>
                <w:lang w:eastAsia="en-US"/>
              </w:rPr>
              <w:t>96</w:t>
            </w:r>
            <w:r w:rsidRPr="00227BE0">
              <w:rPr>
                <w:color w:val="000000"/>
                <w:sz w:val="20"/>
                <w:szCs w:val="20"/>
                <w:lang w:eastAsia="en-US"/>
              </w:rPr>
              <w:noBreakHyphen/>
              <w:t>h LC</w:t>
            </w:r>
            <w:r w:rsidRPr="00227BE0">
              <w:rPr>
                <w:color w:val="000000"/>
                <w:sz w:val="20"/>
                <w:szCs w:val="20"/>
                <w:vertAlign w:val="subscript"/>
                <w:lang w:eastAsia="en-US"/>
              </w:rPr>
              <w:t>50</w:t>
            </w:r>
          </w:p>
        </w:tc>
        <w:tc>
          <w:tcPr>
            <w:tcW w:w="82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8815AED" w14:textId="77777777" w:rsidR="00E51CDD" w:rsidRPr="00227BE0" w:rsidRDefault="00E51CDD" w:rsidP="009938D9">
            <w:pPr>
              <w:jc w:val="center"/>
              <w:rPr>
                <w:color w:val="000000"/>
                <w:sz w:val="20"/>
                <w:szCs w:val="20"/>
                <w:lang w:eastAsia="en-US"/>
              </w:rPr>
            </w:pPr>
            <w:r w:rsidRPr="00227BE0">
              <w:rPr>
                <w:color w:val="000000"/>
                <w:sz w:val="20"/>
                <w:szCs w:val="20"/>
                <w:lang w:eastAsia="en-US"/>
              </w:rPr>
              <w:t>75</w:t>
            </w:r>
          </w:p>
        </w:tc>
        <w:tc>
          <w:tcPr>
            <w:tcW w:w="81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58A187A" w14:textId="77777777" w:rsidR="00E51CDD" w:rsidRPr="00227BE0" w:rsidRDefault="00E51CDD" w:rsidP="009938D9">
            <w:pPr>
              <w:jc w:val="center"/>
              <w:rPr>
                <w:color w:val="000000"/>
                <w:sz w:val="20"/>
                <w:szCs w:val="20"/>
                <w:lang w:eastAsia="en-US"/>
              </w:rPr>
            </w:pPr>
            <w:r w:rsidRPr="00227BE0">
              <w:rPr>
                <w:color w:val="000000"/>
                <w:sz w:val="20"/>
                <w:szCs w:val="20"/>
                <w:lang w:eastAsia="en-US"/>
              </w:rPr>
              <w:t>470</w:t>
            </w:r>
          </w:p>
        </w:tc>
        <w:tc>
          <w:tcPr>
            <w:tcW w:w="667"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D9ED1E" w14:textId="77777777" w:rsidR="00E51CDD" w:rsidRPr="00227BE0" w:rsidRDefault="00E51CDD" w:rsidP="009938D9">
            <w:pPr>
              <w:jc w:val="center"/>
              <w:rPr>
                <w:color w:val="000000"/>
                <w:sz w:val="20"/>
                <w:szCs w:val="20"/>
                <w:lang w:eastAsia="en-US"/>
              </w:rPr>
            </w:pPr>
            <w:r w:rsidRPr="00227BE0">
              <w:rPr>
                <w:color w:val="000000"/>
                <w:sz w:val="20"/>
                <w:szCs w:val="20"/>
                <w:lang w:eastAsia="en-US"/>
              </w:rPr>
              <w:t>159574</w:t>
            </w:r>
          </w:p>
        </w:tc>
        <w:tc>
          <w:tcPr>
            <w:tcW w:w="426"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A67D9" w14:textId="77777777" w:rsidR="00E51CDD" w:rsidRPr="00227BE0" w:rsidRDefault="00E51CDD" w:rsidP="009938D9">
            <w:pPr>
              <w:jc w:val="center"/>
              <w:rPr>
                <w:color w:val="000000"/>
                <w:sz w:val="20"/>
                <w:szCs w:val="20"/>
                <w:lang w:eastAsia="en-US"/>
              </w:rPr>
            </w:pPr>
            <w:r w:rsidRPr="00227BE0">
              <w:rPr>
                <w:color w:val="000000"/>
                <w:sz w:val="20"/>
                <w:szCs w:val="20"/>
                <w:lang w:eastAsia="en-US"/>
              </w:rPr>
              <w:t>63.5</w:t>
            </w:r>
          </w:p>
        </w:tc>
      </w:tr>
      <w:tr w:rsidR="00E51CDD" w:rsidRPr="00227BE0" w14:paraId="1870111A" w14:textId="77777777" w:rsidTr="009938D9">
        <w:trPr>
          <w:trHeight w:val="340"/>
        </w:trPr>
        <w:tc>
          <w:tcPr>
            <w:tcW w:w="724" w:type="pct"/>
            <w:vMerge/>
            <w:tcBorders>
              <w:left w:val="single" w:sz="4" w:space="0" w:color="auto"/>
              <w:bottom w:val="single" w:sz="4" w:space="0" w:color="000000"/>
              <w:right w:val="single" w:sz="4" w:space="0" w:color="auto"/>
            </w:tcBorders>
            <w:vAlign w:val="center"/>
            <w:hideMark/>
          </w:tcPr>
          <w:p w14:paraId="0C14C9B4" w14:textId="77777777" w:rsidR="00E51CDD" w:rsidRPr="00227BE0" w:rsidRDefault="00E51CDD" w:rsidP="009938D9">
            <w:pPr>
              <w:rPr>
                <w:b/>
                <w:bCs/>
                <w:color w:val="000000"/>
                <w:sz w:val="20"/>
                <w:szCs w:val="20"/>
                <w:lang w:eastAsia="en-US"/>
              </w:rPr>
            </w:pPr>
          </w:p>
        </w:tc>
        <w:tc>
          <w:tcPr>
            <w:tcW w:w="709" w:type="pct"/>
            <w:vMerge/>
            <w:tcBorders>
              <w:top w:val="single" w:sz="4" w:space="0" w:color="auto"/>
              <w:left w:val="single" w:sz="4" w:space="0" w:color="auto"/>
              <w:bottom w:val="single" w:sz="4" w:space="0" w:color="auto"/>
              <w:right w:val="single" w:sz="4" w:space="0" w:color="auto"/>
            </w:tcBorders>
            <w:vAlign w:val="center"/>
            <w:hideMark/>
          </w:tcPr>
          <w:p w14:paraId="148AC188" w14:textId="77777777" w:rsidR="00E51CDD" w:rsidRPr="00227BE0" w:rsidRDefault="00E51CDD" w:rsidP="009938D9">
            <w:pPr>
              <w:rPr>
                <w:color w:val="000000"/>
                <w:sz w:val="20"/>
                <w:szCs w:val="20"/>
                <w:lang w:eastAsia="en-US"/>
              </w:rPr>
            </w:pPr>
          </w:p>
        </w:tc>
        <w:tc>
          <w:tcPr>
            <w:tcW w:w="835" w:type="pct"/>
            <w:tcBorders>
              <w:top w:val="nil"/>
              <w:left w:val="nil"/>
              <w:bottom w:val="single" w:sz="4" w:space="0" w:color="auto"/>
              <w:right w:val="single" w:sz="4" w:space="0" w:color="auto"/>
            </w:tcBorders>
            <w:shd w:val="clear" w:color="auto" w:fill="auto"/>
            <w:noWrap/>
            <w:vAlign w:val="center"/>
            <w:hideMark/>
          </w:tcPr>
          <w:p w14:paraId="2A2F284B" w14:textId="77777777" w:rsidR="00E51CDD" w:rsidRPr="00227BE0" w:rsidRDefault="00E51CDD" w:rsidP="009938D9">
            <w:pPr>
              <w:jc w:val="center"/>
              <w:rPr>
                <w:i/>
                <w:iCs/>
                <w:color w:val="000000"/>
                <w:sz w:val="20"/>
                <w:szCs w:val="20"/>
                <w:lang w:eastAsia="en-US"/>
              </w:rPr>
            </w:pPr>
            <w:r w:rsidRPr="00227BE0">
              <w:rPr>
                <w:i/>
                <w:iCs/>
                <w:color w:val="000000"/>
                <w:sz w:val="20"/>
                <w:szCs w:val="20"/>
                <w:lang w:eastAsia="en-US"/>
              </w:rPr>
              <w:t xml:space="preserve">O. mykiss </w:t>
            </w:r>
          </w:p>
        </w:tc>
        <w:tc>
          <w:tcPr>
            <w:tcW w:w="826" w:type="pct"/>
            <w:vMerge/>
            <w:tcBorders>
              <w:top w:val="single" w:sz="4" w:space="0" w:color="auto"/>
              <w:left w:val="single" w:sz="4" w:space="0" w:color="auto"/>
              <w:bottom w:val="single" w:sz="4" w:space="0" w:color="000000"/>
              <w:right w:val="single" w:sz="4" w:space="0" w:color="auto"/>
            </w:tcBorders>
            <w:vAlign w:val="center"/>
            <w:hideMark/>
          </w:tcPr>
          <w:p w14:paraId="6E298D53" w14:textId="77777777" w:rsidR="00E51CDD" w:rsidRPr="00227BE0" w:rsidRDefault="00E51CDD" w:rsidP="009938D9">
            <w:pPr>
              <w:rPr>
                <w:color w:val="000000"/>
                <w:sz w:val="20"/>
                <w:szCs w:val="20"/>
                <w:lang w:eastAsia="en-US"/>
              </w:rPr>
            </w:pPr>
          </w:p>
        </w:tc>
        <w:tc>
          <w:tcPr>
            <w:tcW w:w="814" w:type="pct"/>
            <w:vMerge/>
            <w:tcBorders>
              <w:top w:val="single" w:sz="4" w:space="0" w:color="auto"/>
              <w:left w:val="single" w:sz="4" w:space="0" w:color="auto"/>
              <w:bottom w:val="single" w:sz="4" w:space="0" w:color="000000"/>
              <w:right w:val="single" w:sz="4" w:space="0" w:color="auto"/>
            </w:tcBorders>
            <w:vAlign w:val="center"/>
            <w:hideMark/>
          </w:tcPr>
          <w:p w14:paraId="4B1F9F50" w14:textId="77777777" w:rsidR="00E51CDD" w:rsidRPr="00227BE0" w:rsidRDefault="00E51CDD" w:rsidP="009938D9">
            <w:pPr>
              <w:rPr>
                <w:color w:val="000000"/>
                <w:sz w:val="20"/>
                <w:szCs w:val="20"/>
                <w:lang w:eastAsia="en-US"/>
              </w:rPr>
            </w:pPr>
          </w:p>
        </w:tc>
        <w:tc>
          <w:tcPr>
            <w:tcW w:w="667" w:type="pct"/>
            <w:vMerge/>
            <w:tcBorders>
              <w:top w:val="single" w:sz="4" w:space="0" w:color="auto"/>
              <w:left w:val="single" w:sz="4" w:space="0" w:color="auto"/>
              <w:bottom w:val="single" w:sz="4" w:space="0" w:color="auto"/>
              <w:right w:val="single" w:sz="4" w:space="0" w:color="auto"/>
            </w:tcBorders>
            <w:vAlign w:val="center"/>
            <w:hideMark/>
          </w:tcPr>
          <w:p w14:paraId="172FAB23" w14:textId="77777777" w:rsidR="00E51CDD" w:rsidRPr="00227BE0" w:rsidRDefault="00E51CDD" w:rsidP="009938D9">
            <w:pPr>
              <w:rPr>
                <w:color w:val="000000"/>
                <w:sz w:val="20"/>
                <w:szCs w:val="20"/>
                <w:lang w:eastAsia="en-US"/>
              </w:rPr>
            </w:pPr>
          </w:p>
        </w:tc>
        <w:tc>
          <w:tcPr>
            <w:tcW w:w="426" w:type="pct"/>
            <w:vMerge/>
            <w:tcBorders>
              <w:top w:val="single" w:sz="4" w:space="0" w:color="auto"/>
              <w:left w:val="single" w:sz="4" w:space="0" w:color="auto"/>
              <w:bottom w:val="single" w:sz="4" w:space="0" w:color="auto"/>
              <w:right w:val="single" w:sz="4" w:space="0" w:color="auto"/>
            </w:tcBorders>
            <w:vAlign w:val="center"/>
            <w:hideMark/>
          </w:tcPr>
          <w:p w14:paraId="1AC526D9" w14:textId="77777777" w:rsidR="00E51CDD" w:rsidRPr="00227BE0" w:rsidRDefault="00E51CDD" w:rsidP="009938D9">
            <w:pPr>
              <w:rPr>
                <w:color w:val="000000"/>
                <w:sz w:val="20"/>
                <w:szCs w:val="20"/>
                <w:lang w:eastAsia="en-US"/>
              </w:rPr>
            </w:pPr>
          </w:p>
        </w:tc>
      </w:tr>
      <w:tr w:rsidR="00E51CDD" w:rsidRPr="00227BE0" w14:paraId="3D0DD53F" w14:textId="77777777" w:rsidTr="009938D9">
        <w:trPr>
          <w:trHeight w:val="340"/>
        </w:trPr>
        <w:tc>
          <w:tcPr>
            <w:tcW w:w="724" w:type="pct"/>
            <w:tcBorders>
              <w:top w:val="nil"/>
              <w:left w:val="single" w:sz="4" w:space="0" w:color="auto"/>
              <w:bottom w:val="single" w:sz="4" w:space="0" w:color="auto"/>
              <w:right w:val="nil"/>
            </w:tcBorders>
            <w:shd w:val="clear" w:color="auto" w:fill="auto"/>
            <w:noWrap/>
            <w:vAlign w:val="center"/>
            <w:hideMark/>
          </w:tcPr>
          <w:p w14:paraId="1E4CC3C0" w14:textId="77777777" w:rsidR="00E51CDD" w:rsidRPr="00227BE0" w:rsidRDefault="00E51CDD" w:rsidP="009938D9">
            <w:pPr>
              <w:rPr>
                <w:color w:val="000000"/>
                <w:sz w:val="20"/>
                <w:szCs w:val="20"/>
                <w:lang w:eastAsia="en-US"/>
              </w:rPr>
            </w:pPr>
            <w:r w:rsidRPr="00227BE0">
              <w:rPr>
                <w:color w:val="000000"/>
                <w:sz w:val="20"/>
                <w:szCs w:val="20"/>
                <w:lang w:eastAsia="en-US"/>
              </w:rPr>
              <w:t> </w:t>
            </w:r>
          </w:p>
        </w:tc>
        <w:tc>
          <w:tcPr>
            <w:tcW w:w="709" w:type="pct"/>
            <w:tcBorders>
              <w:top w:val="single" w:sz="4" w:space="0" w:color="auto"/>
              <w:left w:val="nil"/>
              <w:bottom w:val="single" w:sz="4" w:space="0" w:color="auto"/>
              <w:right w:val="nil"/>
            </w:tcBorders>
            <w:shd w:val="clear" w:color="auto" w:fill="auto"/>
            <w:noWrap/>
            <w:vAlign w:val="center"/>
            <w:hideMark/>
          </w:tcPr>
          <w:p w14:paraId="01FE6429" w14:textId="77777777" w:rsidR="00E51CDD" w:rsidRPr="00227BE0" w:rsidRDefault="00E51CDD" w:rsidP="009938D9">
            <w:pPr>
              <w:jc w:val="center"/>
              <w:rPr>
                <w:color w:val="000000"/>
                <w:sz w:val="20"/>
                <w:szCs w:val="20"/>
                <w:lang w:eastAsia="en-US"/>
              </w:rPr>
            </w:pPr>
            <w:r w:rsidRPr="00227BE0">
              <w:rPr>
                <w:color w:val="000000"/>
                <w:sz w:val="20"/>
                <w:szCs w:val="20"/>
                <w:lang w:eastAsia="en-US"/>
              </w:rPr>
              <w:t>SUM TU</w:t>
            </w:r>
          </w:p>
        </w:tc>
        <w:tc>
          <w:tcPr>
            <w:tcW w:w="835" w:type="pct"/>
            <w:tcBorders>
              <w:top w:val="nil"/>
              <w:left w:val="nil"/>
              <w:bottom w:val="single" w:sz="4" w:space="0" w:color="auto"/>
              <w:right w:val="nil"/>
            </w:tcBorders>
            <w:shd w:val="clear" w:color="auto" w:fill="auto"/>
            <w:noWrap/>
            <w:vAlign w:val="center"/>
            <w:hideMark/>
          </w:tcPr>
          <w:p w14:paraId="17553058"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826" w:type="pct"/>
            <w:tcBorders>
              <w:top w:val="nil"/>
              <w:left w:val="nil"/>
              <w:bottom w:val="single" w:sz="4" w:space="0" w:color="auto"/>
              <w:right w:val="nil"/>
            </w:tcBorders>
            <w:shd w:val="clear" w:color="auto" w:fill="auto"/>
            <w:noWrap/>
            <w:vAlign w:val="center"/>
            <w:hideMark/>
          </w:tcPr>
          <w:p w14:paraId="3A2C6355"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814" w:type="pct"/>
            <w:tcBorders>
              <w:top w:val="nil"/>
              <w:left w:val="nil"/>
              <w:bottom w:val="single" w:sz="4" w:space="0" w:color="auto"/>
              <w:right w:val="nil"/>
            </w:tcBorders>
            <w:shd w:val="clear" w:color="auto" w:fill="auto"/>
            <w:noWrap/>
            <w:vAlign w:val="center"/>
            <w:hideMark/>
          </w:tcPr>
          <w:p w14:paraId="53EB89AC"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667" w:type="pct"/>
            <w:tcBorders>
              <w:top w:val="single" w:sz="4" w:space="0" w:color="auto"/>
              <w:left w:val="nil"/>
              <w:bottom w:val="single" w:sz="4" w:space="0" w:color="auto"/>
              <w:right w:val="nil"/>
            </w:tcBorders>
            <w:shd w:val="clear" w:color="auto" w:fill="auto"/>
            <w:noWrap/>
            <w:vAlign w:val="center"/>
            <w:hideMark/>
          </w:tcPr>
          <w:p w14:paraId="0E0D6481" w14:textId="77777777" w:rsidR="00E51CDD" w:rsidRPr="00227BE0" w:rsidRDefault="00E51CDD" w:rsidP="009938D9">
            <w:pPr>
              <w:jc w:val="center"/>
              <w:rPr>
                <w:color w:val="000000"/>
                <w:sz w:val="20"/>
                <w:szCs w:val="20"/>
                <w:lang w:eastAsia="en-US"/>
              </w:rPr>
            </w:pPr>
            <w:r w:rsidRPr="00227BE0">
              <w:rPr>
                <w:color w:val="000000"/>
                <w:sz w:val="20"/>
                <w:szCs w:val="20"/>
                <w:lang w:eastAsia="en-US"/>
              </w:rPr>
              <w:t>251150</w:t>
            </w:r>
          </w:p>
        </w:tc>
        <w:tc>
          <w:tcPr>
            <w:tcW w:w="426" w:type="pct"/>
            <w:tcBorders>
              <w:top w:val="single" w:sz="4" w:space="0" w:color="auto"/>
              <w:left w:val="nil"/>
              <w:bottom w:val="single" w:sz="4" w:space="0" w:color="auto"/>
              <w:right w:val="single" w:sz="4" w:space="0" w:color="auto"/>
            </w:tcBorders>
            <w:shd w:val="clear" w:color="auto" w:fill="auto"/>
            <w:noWrap/>
            <w:vAlign w:val="center"/>
            <w:hideMark/>
          </w:tcPr>
          <w:p w14:paraId="32D5543F"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r>
      <w:tr w:rsidR="00E51CDD" w:rsidRPr="00227BE0" w14:paraId="3B17830F" w14:textId="77777777" w:rsidTr="009938D9">
        <w:trPr>
          <w:trHeight w:val="340"/>
        </w:trPr>
        <w:tc>
          <w:tcPr>
            <w:tcW w:w="724" w:type="pct"/>
            <w:vMerge w:val="restart"/>
            <w:tcBorders>
              <w:top w:val="nil"/>
              <w:left w:val="single" w:sz="4" w:space="0" w:color="auto"/>
              <w:right w:val="single" w:sz="4" w:space="0" w:color="auto"/>
            </w:tcBorders>
            <w:shd w:val="clear" w:color="auto" w:fill="auto"/>
            <w:vAlign w:val="center"/>
            <w:hideMark/>
          </w:tcPr>
          <w:p w14:paraId="56BA9BFD" w14:textId="77777777" w:rsidR="00E51CDD" w:rsidRPr="00227BE0" w:rsidRDefault="00E51CDD" w:rsidP="009938D9">
            <w:pPr>
              <w:rPr>
                <w:b/>
                <w:bCs/>
                <w:color w:val="000000"/>
                <w:sz w:val="20"/>
                <w:szCs w:val="20"/>
                <w:lang w:eastAsia="en-US"/>
              </w:rPr>
            </w:pPr>
            <w:r w:rsidRPr="00227BE0">
              <w:rPr>
                <w:b/>
                <w:bCs/>
                <w:color w:val="000000"/>
                <w:sz w:val="20"/>
                <w:szCs w:val="20"/>
                <w:lang w:eastAsia="en-US"/>
              </w:rPr>
              <w:t xml:space="preserve">Fish, </w:t>
            </w:r>
          </w:p>
          <w:p w14:paraId="4FFF2B66" w14:textId="77777777" w:rsidR="00E51CDD" w:rsidRPr="00227BE0" w:rsidRDefault="00E51CDD" w:rsidP="009938D9">
            <w:pPr>
              <w:rPr>
                <w:b/>
                <w:bCs/>
                <w:color w:val="000000"/>
                <w:sz w:val="20"/>
                <w:szCs w:val="20"/>
                <w:lang w:eastAsia="en-US"/>
              </w:rPr>
            </w:pPr>
            <w:r w:rsidRPr="00227BE0">
              <w:rPr>
                <w:b/>
                <w:bCs/>
                <w:color w:val="000000"/>
                <w:sz w:val="20"/>
                <w:szCs w:val="20"/>
                <w:lang w:eastAsia="en-US"/>
              </w:rPr>
              <w:t>prolonged</w:t>
            </w:r>
          </w:p>
        </w:tc>
        <w:tc>
          <w:tcPr>
            <w:tcW w:w="709" w:type="pct"/>
            <w:vMerge w:val="restart"/>
            <w:tcBorders>
              <w:top w:val="single" w:sz="4" w:space="0" w:color="auto"/>
              <w:left w:val="single" w:sz="4" w:space="0" w:color="auto"/>
              <w:bottom w:val="single" w:sz="4" w:space="0" w:color="auto"/>
              <w:right w:val="nil"/>
            </w:tcBorders>
            <w:shd w:val="clear" w:color="auto" w:fill="auto"/>
            <w:noWrap/>
            <w:vAlign w:val="center"/>
            <w:hideMark/>
          </w:tcPr>
          <w:p w14:paraId="0B30D6E1" w14:textId="77777777" w:rsidR="00E51CDD" w:rsidRPr="00227BE0" w:rsidRDefault="00E51CDD" w:rsidP="009938D9">
            <w:pPr>
              <w:jc w:val="center"/>
              <w:rPr>
                <w:color w:val="000000"/>
                <w:sz w:val="20"/>
                <w:szCs w:val="20"/>
                <w:lang w:eastAsia="en-US"/>
              </w:rPr>
            </w:pPr>
            <w:r w:rsidRPr="00227BE0">
              <w:rPr>
                <w:color w:val="000000"/>
                <w:sz w:val="20"/>
                <w:szCs w:val="20"/>
                <w:lang w:eastAsia="en-US"/>
              </w:rPr>
              <w:t>fluxapyroxad</w:t>
            </w:r>
          </w:p>
        </w:tc>
        <w:tc>
          <w:tcPr>
            <w:tcW w:w="835" w:type="pct"/>
            <w:tcBorders>
              <w:top w:val="nil"/>
              <w:left w:val="single" w:sz="4" w:space="0" w:color="auto"/>
              <w:bottom w:val="nil"/>
              <w:right w:val="single" w:sz="4" w:space="0" w:color="auto"/>
            </w:tcBorders>
            <w:shd w:val="clear" w:color="auto" w:fill="auto"/>
            <w:noWrap/>
            <w:vAlign w:val="center"/>
            <w:hideMark/>
          </w:tcPr>
          <w:p w14:paraId="6BB01BA6" w14:textId="77777777" w:rsidR="00E51CDD" w:rsidRPr="00227BE0" w:rsidRDefault="00E51CDD" w:rsidP="009938D9">
            <w:pPr>
              <w:jc w:val="center"/>
              <w:rPr>
                <w:color w:val="000000"/>
                <w:sz w:val="20"/>
                <w:szCs w:val="20"/>
                <w:lang w:eastAsia="en-US"/>
              </w:rPr>
            </w:pPr>
            <w:r w:rsidRPr="00227BE0">
              <w:rPr>
                <w:color w:val="000000"/>
                <w:sz w:val="20"/>
                <w:szCs w:val="20"/>
                <w:lang w:eastAsia="en-US"/>
              </w:rPr>
              <w:t>33</w:t>
            </w:r>
            <w:r w:rsidRPr="00227BE0">
              <w:rPr>
                <w:color w:val="000000"/>
                <w:sz w:val="20"/>
                <w:szCs w:val="20"/>
                <w:lang w:eastAsia="en-US"/>
              </w:rPr>
              <w:noBreakHyphen/>
              <w:t>d NOEC</w:t>
            </w:r>
          </w:p>
        </w:tc>
        <w:tc>
          <w:tcPr>
            <w:tcW w:w="826" w:type="pct"/>
            <w:vMerge w:val="restart"/>
            <w:tcBorders>
              <w:top w:val="nil"/>
              <w:left w:val="single" w:sz="4" w:space="0" w:color="auto"/>
              <w:bottom w:val="nil"/>
              <w:right w:val="single" w:sz="4" w:space="0" w:color="auto"/>
            </w:tcBorders>
            <w:shd w:val="clear" w:color="auto" w:fill="auto"/>
            <w:noWrap/>
            <w:vAlign w:val="center"/>
            <w:hideMark/>
          </w:tcPr>
          <w:p w14:paraId="5E21AC0F" w14:textId="77777777" w:rsidR="00E51CDD" w:rsidRPr="00227BE0" w:rsidRDefault="00E51CDD" w:rsidP="009938D9">
            <w:pPr>
              <w:jc w:val="center"/>
              <w:rPr>
                <w:color w:val="000000"/>
                <w:sz w:val="20"/>
                <w:szCs w:val="20"/>
                <w:lang w:eastAsia="en-US"/>
              </w:rPr>
            </w:pPr>
            <w:r w:rsidRPr="00227BE0">
              <w:rPr>
                <w:color w:val="000000"/>
                <w:sz w:val="20"/>
                <w:szCs w:val="20"/>
                <w:lang w:eastAsia="en-US"/>
              </w:rPr>
              <w:t>50</w:t>
            </w:r>
          </w:p>
        </w:tc>
        <w:tc>
          <w:tcPr>
            <w:tcW w:w="814" w:type="pct"/>
            <w:vMerge w:val="restart"/>
            <w:tcBorders>
              <w:top w:val="nil"/>
              <w:left w:val="single" w:sz="4" w:space="0" w:color="auto"/>
              <w:bottom w:val="nil"/>
              <w:right w:val="single" w:sz="4" w:space="0" w:color="auto"/>
            </w:tcBorders>
            <w:shd w:val="clear" w:color="auto" w:fill="auto"/>
            <w:noWrap/>
            <w:vAlign w:val="center"/>
            <w:hideMark/>
          </w:tcPr>
          <w:p w14:paraId="4CD2A5EC" w14:textId="77777777" w:rsidR="00E51CDD" w:rsidRPr="00227BE0" w:rsidRDefault="00E51CDD" w:rsidP="009938D9">
            <w:pPr>
              <w:jc w:val="center"/>
              <w:rPr>
                <w:color w:val="000000"/>
                <w:sz w:val="20"/>
                <w:szCs w:val="20"/>
                <w:lang w:eastAsia="en-US"/>
              </w:rPr>
            </w:pPr>
            <w:r w:rsidRPr="00227BE0">
              <w:rPr>
                <w:sz w:val="20"/>
                <w:szCs w:val="20"/>
              </w:rPr>
              <w:t>67.6</w:t>
            </w:r>
          </w:p>
        </w:tc>
        <w:tc>
          <w:tcPr>
            <w:tcW w:w="667" w:type="pct"/>
            <w:vMerge w:val="restart"/>
            <w:tcBorders>
              <w:top w:val="nil"/>
              <w:left w:val="nil"/>
              <w:bottom w:val="single" w:sz="4" w:space="0" w:color="000000"/>
              <w:right w:val="single" w:sz="4" w:space="0" w:color="auto"/>
            </w:tcBorders>
            <w:shd w:val="clear" w:color="auto" w:fill="auto"/>
            <w:noWrap/>
            <w:vAlign w:val="center"/>
            <w:hideMark/>
          </w:tcPr>
          <w:p w14:paraId="48342CD8" w14:textId="77777777" w:rsidR="00E51CDD" w:rsidRPr="00227BE0" w:rsidRDefault="00E51CDD" w:rsidP="009938D9">
            <w:pPr>
              <w:jc w:val="center"/>
              <w:rPr>
                <w:color w:val="000000"/>
                <w:sz w:val="20"/>
                <w:szCs w:val="20"/>
                <w:lang w:eastAsia="en-US"/>
              </w:rPr>
            </w:pPr>
            <w:r w:rsidRPr="00227BE0">
              <w:rPr>
                <w:sz w:val="20"/>
                <w:szCs w:val="20"/>
              </w:rPr>
              <w:t>739645</w:t>
            </w:r>
          </w:p>
        </w:tc>
        <w:tc>
          <w:tcPr>
            <w:tcW w:w="426" w:type="pct"/>
            <w:vMerge w:val="restart"/>
            <w:tcBorders>
              <w:top w:val="nil"/>
              <w:left w:val="single" w:sz="4" w:space="0" w:color="auto"/>
              <w:bottom w:val="nil"/>
              <w:right w:val="single" w:sz="4" w:space="0" w:color="auto"/>
            </w:tcBorders>
            <w:shd w:val="clear" w:color="auto" w:fill="auto"/>
            <w:noWrap/>
            <w:vAlign w:val="center"/>
            <w:hideMark/>
          </w:tcPr>
          <w:p w14:paraId="14A939B5" w14:textId="77777777" w:rsidR="00E51CDD" w:rsidRPr="00227BE0" w:rsidRDefault="00E51CDD" w:rsidP="009938D9">
            <w:pPr>
              <w:jc w:val="center"/>
              <w:rPr>
                <w:color w:val="000000"/>
                <w:sz w:val="20"/>
                <w:szCs w:val="20"/>
                <w:lang w:eastAsia="en-US"/>
              </w:rPr>
            </w:pPr>
            <w:r w:rsidRPr="00227BE0">
              <w:rPr>
                <w:sz w:val="20"/>
                <w:szCs w:val="20"/>
              </w:rPr>
              <w:t>59.2</w:t>
            </w:r>
          </w:p>
        </w:tc>
      </w:tr>
      <w:tr w:rsidR="00E51CDD" w:rsidRPr="00227BE0" w14:paraId="6342497A" w14:textId="77777777" w:rsidTr="009938D9">
        <w:trPr>
          <w:trHeight w:val="340"/>
        </w:trPr>
        <w:tc>
          <w:tcPr>
            <w:tcW w:w="724" w:type="pct"/>
            <w:vMerge/>
            <w:tcBorders>
              <w:left w:val="single" w:sz="4" w:space="0" w:color="auto"/>
              <w:right w:val="single" w:sz="4" w:space="0" w:color="auto"/>
            </w:tcBorders>
            <w:shd w:val="clear" w:color="auto" w:fill="auto"/>
            <w:vAlign w:val="center"/>
            <w:hideMark/>
          </w:tcPr>
          <w:p w14:paraId="100BBA08" w14:textId="77777777" w:rsidR="00E51CDD" w:rsidRPr="00227BE0" w:rsidRDefault="00E51CDD" w:rsidP="009938D9">
            <w:pPr>
              <w:rPr>
                <w:b/>
                <w:bCs/>
                <w:color w:val="000000"/>
                <w:sz w:val="20"/>
                <w:szCs w:val="20"/>
                <w:lang w:eastAsia="en-US"/>
              </w:rPr>
            </w:pPr>
          </w:p>
        </w:tc>
        <w:tc>
          <w:tcPr>
            <w:tcW w:w="709" w:type="pct"/>
            <w:vMerge/>
            <w:tcBorders>
              <w:top w:val="single" w:sz="4" w:space="0" w:color="auto"/>
              <w:left w:val="single" w:sz="4" w:space="0" w:color="auto"/>
              <w:bottom w:val="single" w:sz="4" w:space="0" w:color="auto"/>
              <w:right w:val="nil"/>
            </w:tcBorders>
            <w:vAlign w:val="center"/>
            <w:hideMark/>
          </w:tcPr>
          <w:p w14:paraId="2CEC87BE" w14:textId="77777777" w:rsidR="00E51CDD" w:rsidRPr="00227BE0" w:rsidRDefault="00E51CDD" w:rsidP="009938D9">
            <w:pPr>
              <w:rPr>
                <w:color w:val="000000"/>
                <w:sz w:val="20"/>
                <w:szCs w:val="20"/>
                <w:lang w:eastAsia="en-US"/>
              </w:rPr>
            </w:pPr>
          </w:p>
        </w:tc>
        <w:tc>
          <w:tcPr>
            <w:tcW w:w="835" w:type="pct"/>
            <w:tcBorders>
              <w:top w:val="nil"/>
              <w:left w:val="single" w:sz="4" w:space="0" w:color="auto"/>
              <w:bottom w:val="nil"/>
              <w:right w:val="single" w:sz="4" w:space="0" w:color="auto"/>
            </w:tcBorders>
            <w:shd w:val="clear" w:color="auto" w:fill="auto"/>
            <w:noWrap/>
            <w:vAlign w:val="center"/>
            <w:hideMark/>
          </w:tcPr>
          <w:p w14:paraId="09205EC4" w14:textId="77777777" w:rsidR="00E51CDD" w:rsidRPr="00227BE0" w:rsidRDefault="00E51CDD" w:rsidP="009938D9">
            <w:pPr>
              <w:jc w:val="center"/>
              <w:rPr>
                <w:i/>
                <w:iCs/>
                <w:color w:val="000000"/>
                <w:sz w:val="20"/>
                <w:szCs w:val="20"/>
                <w:lang w:eastAsia="en-US"/>
              </w:rPr>
            </w:pPr>
            <w:r w:rsidRPr="00227BE0">
              <w:rPr>
                <w:i/>
                <w:iCs/>
                <w:color w:val="000000"/>
                <w:sz w:val="20"/>
                <w:szCs w:val="20"/>
                <w:lang w:eastAsia="en-US"/>
              </w:rPr>
              <w:t>P. promelas</w:t>
            </w:r>
          </w:p>
        </w:tc>
        <w:tc>
          <w:tcPr>
            <w:tcW w:w="826" w:type="pct"/>
            <w:vMerge/>
            <w:tcBorders>
              <w:top w:val="nil"/>
              <w:left w:val="single" w:sz="4" w:space="0" w:color="auto"/>
              <w:bottom w:val="nil"/>
              <w:right w:val="single" w:sz="4" w:space="0" w:color="auto"/>
            </w:tcBorders>
            <w:vAlign w:val="center"/>
            <w:hideMark/>
          </w:tcPr>
          <w:p w14:paraId="39E03768" w14:textId="77777777" w:rsidR="00E51CDD" w:rsidRPr="00227BE0" w:rsidRDefault="00E51CDD" w:rsidP="009938D9">
            <w:pPr>
              <w:rPr>
                <w:color w:val="000000"/>
                <w:sz w:val="20"/>
                <w:szCs w:val="20"/>
                <w:lang w:eastAsia="en-US"/>
              </w:rPr>
            </w:pPr>
          </w:p>
        </w:tc>
        <w:tc>
          <w:tcPr>
            <w:tcW w:w="814" w:type="pct"/>
            <w:vMerge/>
            <w:tcBorders>
              <w:top w:val="nil"/>
              <w:left w:val="single" w:sz="4" w:space="0" w:color="auto"/>
              <w:bottom w:val="nil"/>
              <w:right w:val="single" w:sz="4" w:space="0" w:color="auto"/>
            </w:tcBorders>
            <w:vAlign w:val="center"/>
            <w:hideMark/>
          </w:tcPr>
          <w:p w14:paraId="69BA5F14" w14:textId="77777777" w:rsidR="00E51CDD" w:rsidRPr="00227BE0" w:rsidRDefault="00E51CDD" w:rsidP="009938D9">
            <w:pPr>
              <w:jc w:val="center"/>
              <w:rPr>
                <w:color w:val="000000"/>
                <w:sz w:val="20"/>
                <w:szCs w:val="20"/>
                <w:lang w:eastAsia="en-US"/>
              </w:rPr>
            </w:pPr>
          </w:p>
        </w:tc>
        <w:tc>
          <w:tcPr>
            <w:tcW w:w="667" w:type="pct"/>
            <w:vMerge/>
            <w:tcBorders>
              <w:top w:val="nil"/>
              <w:left w:val="nil"/>
              <w:bottom w:val="single" w:sz="4" w:space="0" w:color="000000"/>
              <w:right w:val="single" w:sz="4" w:space="0" w:color="auto"/>
            </w:tcBorders>
            <w:vAlign w:val="center"/>
            <w:hideMark/>
          </w:tcPr>
          <w:p w14:paraId="2DDE7B5A" w14:textId="77777777" w:rsidR="00E51CDD" w:rsidRPr="00227BE0" w:rsidRDefault="00E51CDD" w:rsidP="009938D9">
            <w:pPr>
              <w:jc w:val="center"/>
              <w:rPr>
                <w:color w:val="000000"/>
                <w:sz w:val="20"/>
                <w:szCs w:val="20"/>
                <w:lang w:eastAsia="en-US"/>
              </w:rPr>
            </w:pPr>
          </w:p>
        </w:tc>
        <w:tc>
          <w:tcPr>
            <w:tcW w:w="426" w:type="pct"/>
            <w:vMerge/>
            <w:tcBorders>
              <w:top w:val="nil"/>
              <w:left w:val="single" w:sz="4" w:space="0" w:color="auto"/>
              <w:bottom w:val="nil"/>
              <w:right w:val="single" w:sz="4" w:space="0" w:color="auto"/>
            </w:tcBorders>
            <w:vAlign w:val="center"/>
            <w:hideMark/>
          </w:tcPr>
          <w:p w14:paraId="4B2EF38D" w14:textId="77777777" w:rsidR="00E51CDD" w:rsidRPr="00227BE0" w:rsidRDefault="00E51CDD" w:rsidP="009938D9">
            <w:pPr>
              <w:jc w:val="center"/>
              <w:rPr>
                <w:color w:val="000000"/>
                <w:sz w:val="20"/>
                <w:szCs w:val="20"/>
                <w:lang w:eastAsia="en-US"/>
              </w:rPr>
            </w:pPr>
          </w:p>
        </w:tc>
      </w:tr>
      <w:tr w:rsidR="00E51CDD" w:rsidRPr="00227BE0" w14:paraId="195314AB" w14:textId="77777777" w:rsidTr="009938D9">
        <w:trPr>
          <w:trHeight w:val="340"/>
        </w:trPr>
        <w:tc>
          <w:tcPr>
            <w:tcW w:w="724" w:type="pct"/>
            <w:vMerge/>
            <w:tcBorders>
              <w:left w:val="single" w:sz="4" w:space="0" w:color="auto"/>
              <w:right w:val="single" w:sz="4" w:space="0" w:color="auto"/>
            </w:tcBorders>
            <w:shd w:val="clear" w:color="auto" w:fill="auto"/>
            <w:vAlign w:val="center"/>
            <w:hideMark/>
          </w:tcPr>
          <w:p w14:paraId="0109C4AF" w14:textId="77777777" w:rsidR="00E51CDD" w:rsidRPr="00227BE0" w:rsidRDefault="00E51CDD" w:rsidP="009938D9">
            <w:pPr>
              <w:rPr>
                <w:b/>
                <w:bCs/>
                <w:color w:val="000000"/>
                <w:sz w:val="20"/>
                <w:szCs w:val="20"/>
                <w:lang w:eastAsia="en-US"/>
              </w:rPr>
            </w:pPr>
          </w:p>
        </w:tc>
        <w:tc>
          <w:tcPr>
            <w:tcW w:w="709" w:type="pct"/>
            <w:vMerge w:val="restart"/>
            <w:tcBorders>
              <w:top w:val="single" w:sz="4" w:space="0" w:color="auto"/>
              <w:left w:val="single" w:sz="4" w:space="0" w:color="auto"/>
              <w:bottom w:val="single" w:sz="4" w:space="0" w:color="auto"/>
              <w:right w:val="nil"/>
            </w:tcBorders>
            <w:shd w:val="clear" w:color="auto" w:fill="auto"/>
            <w:noWrap/>
            <w:vAlign w:val="center"/>
            <w:hideMark/>
          </w:tcPr>
          <w:p w14:paraId="6ECB2E9C" w14:textId="77777777" w:rsidR="00E51CDD" w:rsidRPr="00227BE0" w:rsidRDefault="00E51CDD" w:rsidP="009938D9">
            <w:pPr>
              <w:jc w:val="center"/>
              <w:rPr>
                <w:color w:val="000000"/>
                <w:sz w:val="20"/>
                <w:szCs w:val="20"/>
                <w:lang w:eastAsia="en-US"/>
              </w:rPr>
            </w:pPr>
            <w:r w:rsidRPr="00227BE0">
              <w:rPr>
                <w:color w:val="000000"/>
                <w:sz w:val="20"/>
                <w:szCs w:val="20"/>
                <w:lang w:eastAsia="en-US"/>
              </w:rPr>
              <w:t>azoxystrobin</w:t>
            </w:r>
          </w:p>
        </w:tc>
        <w:tc>
          <w:tcPr>
            <w:tcW w:w="835" w:type="pct"/>
            <w:tcBorders>
              <w:top w:val="single" w:sz="4" w:space="0" w:color="auto"/>
              <w:left w:val="single" w:sz="4" w:space="0" w:color="auto"/>
              <w:bottom w:val="nil"/>
              <w:right w:val="single" w:sz="4" w:space="0" w:color="auto"/>
            </w:tcBorders>
            <w:shd w:val="clear" w:color="auto" w:fill="auto"/>
            <w:noWrap/>
            <w:vAlign w:val="center"/>
            <w:hideMark/>
          </w:tcPr>
          <w:p w14:paraId="03C809FE" w14:textId="77777777" w:rsidR="00E51CDD" w:rsidRPr="00227BE0" w:rsidRDefault="00E51CDD" w:rsidP="009938D9">
            <w:pPr>
              <w:jc w:val="center"/>
              <w:rPr>
                <w:color w:val="000000"/>
                <w:sz w:val="20"/>
                <w:szCs w:val="20"/>
                <w:lang w:eastAsia="en-US"/>
              </w:rPr>
            </w:pPr>
            <w:r w:rsidRPr="00227BE0">
              <w:rPr>
                <w:color w:val="000000"/>
                <w:sz w:val="20"/>
                <w:szCs w:val="20"/>
                <w:lang w:eastAsia="en-US"/>
              </w:rPr>
              <w:t>33</w:t>
            </w:r>
            <w:r w:rsidRPr="00227BE0">
              <w:rPr>
                <w:color w:val="000000"/>
                <w:sz w:val="20"/>
                <w:szCs w:val="20"/>
                <w:lang w:eastAsia="en-US"/>
              </w:rPr>
              <w:noBreakHyphen/>
              <w:t>d  NOEC</w:t>
            </w:r>
          </w:p>
        </w:tc>
        <w:tc>
          <w:tcPr>
            <w:tcW w:w="82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C3402E8" w14:textId="77777777" w:rsidR="00E51CDD" w:rsidRPr="00227BE0" w:rsidRDefault="00E51CDD" w:rsidP="009938D9">
            <w:pPr>
              <w:jc w:val="center"/>
              <w:rPr>
                <w:color w:val="000000"/>
                <w:sz w:val="20"/>
                <w:szCs w:val="20"/>
                <w:lang w:eastAsia="en-US"/>
              </w:rPr>
            </w:pPr>
            <w:r w:rsidRPr="00227BE0">
              <w:rPr>
                <w:color w:val="000000"/>
                <w:sz w:val="20"/>
                <w:szCs w:val="20"/>
                <w:lang w:eastAsia="en-US"/>
              </w:rPr>
              <w:t>75</w:t>
            </w:r>
          </w:p>
        </w:tc>
        <w:tc>
          <w:tcPr>
            <w:tcW w:w="81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2604982" w14:textId="77777777" w:rsidR="00E51CDD" w:rsidRPr="00227BE0" w:rsidRDefault="00E51CDD" w:rsidP="009938D9">
            <w:pPr>
              <w:jc w:val="center"/>
              <w:rPr>
                <w:color w:val="000000"/>
                <w:sz w:val="20"/>
                <w:szCs w:val="20"/>
                <w:lang w:eastAsia="en-US"/>
              </w:rPr>
            </w:pPr>
            <w:r w:rsidRPr="00227BE0">
              <w:rPr>
                <w:sz w:val="20"/>
                <w:szCs w:val="20"/>
              </w:rPr>
              <w:t>147</w:t>
            </w:r>
          </w:p>
        </w:tc>
        <w:tc>
          <w:tcPr>
            <w:tcW w:w="667" w:type="pct"/>
            <w:vMerge w:val="restart"/>
            <w:tcBorders>
              <w:top w:val="nil"/>
              <w:left w:val="nil"/>
              <w:bottom w:val="single" w:sz="4" w:space="0" w:color="000000"/>
              <w:right w:val="single" w:sz="4" w:space="0" w:color="auto"/>
            </w:tcBorders>
            <w:shd w:val="clear" w:color="auto" w:fill="auto"/>
            <w:noWrap/>
            <w:vAlign w:val="center"/>
            <w:hideMark/>
          </w:tcPr>
          <w:p w14:paraId="22F0E827" w14:textId="77777777" w:rsidR="00E51CDD" w:rsidRPr="00227BE0" w:rsidRDefault="00E51CDD" w:rsidP="009938D9">
            <w:pPr>
              <w:jc w:val="center"/>
              <w:rPr>
                <w:color w:val="000000"/>
                <w:sz w:val="20"/>
                <w:szCs w:val="20"/>
                <w:lang w:eastAsia="en-US"/>
              </w:rPr>
            </w:pPr>
            <w:r w:rsidRPr="00227BE0">
              <w:rPr>
                <w:sz w:val="20"/>
                <w:szCs w:val="20"/>
              </w:rPr>
              <w:t>510204</w:t>
            </w:r>
          </w:p>
        </w:tc>
        <w:tc>
          <w:tcPr>
            <w:tcW w:w="426" w:type="pct"/>
            <w:vMerge w:val="restart"/>
            <w:tcBorders>
              <w:top w:val="single" w:sz="4" w:space="0" w:color="auto"/>
              <w:left w:val="single" w:sz="4" w:space="0" w:color="auto"/>
              <w:bottom w:val="nil"/>
              <w:right w:val="single" w:sz="4" w:space="0" w:color="auto"/>
            </w:tcBorders>
            <w:shd w:val="clear" w:color="auto" w:fill="auto"/>
            <w:noWrap/>
            <w:vAlign w:val="center"/>
            <w:hideMark/>
          </w:tcPr>
          <w:p w14:paraId="0F06F78A" w14:textId="77777777" w:rsidR="00E51CDD" w:rsidRPr="00227BE0" w:rsidRDefault="00E51CDD" w:rsidP="009938D9">
            <w:pPr>
              <w:jc w:val="center"/>
              <w:rPr>
                <w:color w:val="000000"/>
                <w:sz w:val="20"/>
                <w:szCs w:val="20"/>
                <w:lang w:eastAsia="en-US"/>
              </w:rPr>
            </w:pPr>
            <w:r w:rsidRPr="00227BE0">
              <w:rPr>
                <w:sz w:val="20"/>
                <w:szCs w:val="20"/>
              </w:rPr>
              <w:t>40.8</w:t>
            </w:r>
          </w:p>
        </w:tc>
      </w:tr>
      <w:tr w:rsidR="00E51CDD" w:rsidRPr="00227BE0" w14:paraId="3CF5C7EB" w14:textId="77777777" w:rsidTr="009938D9">
        <w:trPr>
          <w:trHeight w:val="340"/>
        </w:trPr>
        <w:tc>
          <w:tcPr>
            <w:tcW w:w="724" w:type="pct"/>
            <w:vMerge/>
            <w:tcBorders>
              <w:left w:val="single" w:sz="4" w:space="0" w:color="auto"/>
              <w:bottom w:val="single" w:sz="4" w:space="0" w:color="000000"/>
              <w:right w:val="single" w:sz="4" w:space="0" w:color="auto"/>
            </w:tcBorders>
            <w:shd w:val="clear" w:color="auto" w:fill="auto"/>
            <w:vAlign w:val="center"/>
            <w:hideMark/>
          </w:tcPr>
          <w:p w14:paraId="234CAC0E" w14:textId="77777777" w:rsidR="00E51CDD" w:rsidRPr="00227BE0" w:rsidRDefault="00E51CDD" w:rsidP="009938D9">
            <w:pPr>
              <w:rPr>
                <w:b/>
                <w:bCs/>
                <w:color w:val="000000"/>
                <w:sz w:val="20"/>
                <w:szCs w:val="20"/>
                <w:lang w:eastAsia="en-US"/>
              </w:rPr>
            </w:pPr>
          </w:p>
        </w:tc>
        <w:tc>
          <w:tcPr>
            <w:tcW w:w="709" w:type="pct"/>
            <w:vMerge/>
            <w:tcBorders>
              <w:top w:val="single" w:sz="4" w:space="0" w:color="auto"/>
              <w:left w:val="single" w:sz="4" w:space="0" w:color="auto"/>
              <w:bottom w:val="single" w:sz="4" w:space="0" w:color="auto"/>
              <w:right w:val="nil"/>
            </w:tcBorders>
            <w:vAlign w:val="center"/>
            <w:hideMark/>
          </w:tcPr>
          <w:p w14:paraId="4F7156F3" w14:textId="77777777" w:rsidR="00E51CDD" w:rsidRPr="00227BE0" w:rsidRDefault="00E51CDD" w:rsidP="009938D9">
            <w:pPr>
              <w:rPr>
                <w:color w:val="000000"/>
                <w:sz w:val="20"/>
                <w:szCs w:val="20"/>
                <w:lang w:eastAsia="en-US"/>
              </w:rPr>
            </w:pPr>
          </w:p>
        </w:tc>
        <w:tc>
          <w:tcPr>
            <w:tcW w:w="835" w:type="pct"/>
            <w:tcBorders>
              <w:top w:val="nil"/>
              <w:left w:val="single" w:sz="4" w:space="0" w:color="auto"/>
              <w:bottom w:val="single" w:sz="4" w:space="0" w:color="auto"/>
              <w:right w:val="single" w:sz="4" w:space="0" w:color="auto"/>
            </w:tcBorders>
            <w:shd w:val="clear" w:color="auto" w:fill="auto"/>
            <w:noWrap/>
            <w:vAlign w:val="center"/>
            <w:hideMark/>
          </w:tcPr>
          <w:p w14:paraId="4A217527" w14:textId="77777777" w:rsidR="00E51CDD" w:rsidRPr="00227BE0" w:rsidRDefault="00E51CDD" w:rsidP="009938D9">
            <w:pPr>
              <w:jc w:val="center"/>
              <w:rPr>
                <w:i/>
                <w:iCs/>
                <w:color w:val="000000"/>
                <w:sz w:val="20"/>
                <w:szCs w:val="20"/>
                <w:lang w:eastAsia="en-US"/>
              </w:rPr>
            </w:pPr>
            <w:r w:rsidRPr="00227BE0">
              <w:rPr>
                <w:i/>
                <w:iCs/>
                <w:color w:val="000000"/>
                <w:sz w:val="20"/>
                <w:szCs w:val="20"/>
                <w:lang w:eastAsia="en-US"/>
              </w:rPr>
              <w:t>P. promelas</w:t>
            </w:r>
          </w:p>
        </w:tc>
        <w:tc>
          <w:tcPr>
            <w:tcW w:w="826" w:type="pct"/>
            <w:vMerge/>
            <w:tcBorders>
              <w:top w:val="single" w:sz="4" w:space="0" w:color="auto"/>
              <w:left w:val="single" w:sz="4" w:space="0" w:color="auto"/>
              <w:bottom w:val="single" w:sz="4" w:space="0" w:color="000000"/>
              <w:right w:val="single" w:sz="4" w:space="0" w:color="auto"/>
            </w:tcBorders>
            <w:vAlign w:val="center"/>
            <w:hideMark/>
          </w:tcPr>
          <w:p w14:paraId="009840F3" w14:textId="77777777" w:rsidR="00E51CDD" w:rsidRPr="00227BE0" w:rsidRDefault="00E51CDD" w:rsidP="009938D9">
            <w:pPr>
              <w:rPr>
                <w:color w:val="000000"/>
                <w:sz w:val="20"/>
                <w:szCs w:val="20"/>
                <w:lang w:eastAsia="en-US"/>
              </w:rPr>
            </w:pPr>
          </w:p>
        </w:tc>
        <w:tc>
          <w:tcPr>
            <w:tcW w:w="814" w:type="pct"/>
            <w:vMerge/>
            <w:tcBorders>
              <w:top w:val="single" w:sz="4" w:space="0" w:color="auto"/>
              <w:left w:val="single" w:sz="4" w:space="0" w:color="auto"/>
              <w:bottom w:val="single" w:sz="4" w:space="0" w:color="000000"/>
              <w:right w:val="single" w:sz="4" w:space="0" w:color="auto"/>
            </w:tcBorders>
            <w:vAlign w:val="center"/>
            <w:hideMark/>
          </w:tcPr>
          <w:p w14:paraId="6C004D57" w14:textId="77777777" w:rsidR="00E51CDD" w:rsidRPr="00227BE0" w:rsidRDefault="00E51CDD" w:rsidP="009938D9">
            <w:pPr>
              <w:rPr>
                <w:color w:val="000000"/>
                <w:sz w:val="20"/>
                <w:szCs w:val="20"/>
                <w:lang w:eastAsia="en-US"/>
              </w:rPr>
            </w:pPr>
          </w:p>
        </w:tc>
        <w:tc>
          <w:tcPr>
            <w:tcW w:w="667" w:type="pct"/>
            <w:vMerge/>
            <w:tcBorders>
              <w:top w:val="nil"/>
              <w:left w:val="nil"/>
              <w:bottom w:val="single" w:sz="4" w:space="0" w:color="000000"/>
              <w:right w:val="single" w:sz="4" w:space="0" w:color="auto"/>
            </w:tcBorders>
            <w:vAlign w:val="center"/>
            <w:hideMark/>
          </w:tcPr>
          <w:p w14:paraId="62A4031B" w14:textId="77777777" w:rsidR="00E51CDD" w:rsidRPr="00227BE0" w:rsidRDefault="00E51CDD" w:rsidP="009938D9">
            <w:pPr>
              <w:rPr>
                <w:color w:val="000000"/>
                <w:sz w:val="20"/>
                <w:szCs w:val="20"/>
                <w:lang w:eastAsia="en-US"/>
              </w:rPr>
            </w:pPr>
          </w:p>
        </w:tc>
        <w:tc>
          <w:tcPr>
            <w:tcW w:w="426" w:type="pct"/>
            <w:vMerge/>
            <w:tcBorders>
              <w:top w:val="single" w:sz="4" w:space="0" w:color="auto"/>
              <w:left w:val="single" w:sz="4" w:space="0" w:color="auto"/>
              <w:bottom w:val="nil"/>
              <w:right w:val="single" w:sz="4" w:space="0" w:color="auto"/>
            </w:tcBorders>
            <w:vAlign w:val="center"/>
            <w:hideMark/>
          </w:tcPr>
          <w:p w14:paraId="49181BF8" w14:textId="77777777" w:rsidR="00E51CDD" w:rsidRPr="00227BE0" w:rsidRDefault="00E51CDD" w:rsidP="009938D9">
            <w:pPr>
              <w:rPr>
                <w:color w:val="000000"/>
                <w:sz w:val="20"/>
                <w:szCs w:val="20"/>
                <w:lang w:eastAsia="en-US"/>
              </w:rPr>
            </w:pPr>
          </w:p>
        </w:tc>
      </w:tr>
      <w:tr w:rsidR="00E51CDD" w:rsidRPr="00227BE0" w14:paraId="775D2073" w14:textId="77777777" w:rsidTr="009938D9">
        <w:trPr>
          <w:trHeight w:val="340"/>
        </w:trPr>
        <w:tc>
          <w:tcPr>
            <w:tcW w:w="724" w:type="pct"/>
            <w:tcBorders>
              <w:top w:val="nil"/>
              <w:left w:val="single" w:sz="4" w:space="0" w:color="auto"/>
              <w:bottom w:val="single" w:sz="4" w:space="0" w:color="auto"/>
              <w:right w:val="nil"/>
            </w:tcBorders>
            <w:shd w:val="clear" w:color="auto" w:fill="auto"/>
            <w:noWrap/>
            <w:vAlign w:val="center"/>
            <w:hideMark/>
          </w:tcPr>
          <w:p w14:paraId="3C035F82" w14:textId="77777777" w:rsidR="00E51CDD" w:rsidRPr="00227BE0" w:rsidRDefault="00E51CDD" w:rsidP="009938D9">
            <w:pPr>
              <w:rPr>
                <w:color w:val="000000"/>
                <w:sz w:val="20"/>
                <w:szCs w:val="20"/>
                <w:lang w:eastAsia="en-US"/>
              </w:rPr>
            </w:pPr>
            <w:r w:rsidRPr="00227BE0">
              <w:rPr>
                <w:color w:val="000000"/>
                <w:sz w:val="20"/>
                <w:szCs w:val="20"/>
                <w:lang w:eastAsia="en-US"/>
              </w:rPr>
              <w:t> </w:t>
            </w:r>
          </w:p>
        </w:tc>
        <w:tc>
          <w:tcPr>
            <w:tcW w:w="709" w:type="pct"/>
            <w:tcBorders>
              <w:top w:val="single" w:sz="4" w:space="0" w:color="auto"/>
              <w:left w:val="nil"/>
              <w:bottom w:val="single" w:sz="4" w:space="0" w:color="auto"/>
              <w:right w:val="nil"/>
            </w:tcBorders>
            <w:shd w:val="clear" w:color="auto" w:fill="auto"/>
            <w:noWrap/>
            <w:vAlign w:val="center"/>
            <w:hideMark/>
          </w:tcPr>
          <w:p w14:paraId="6873CF99" w14:textId="77777777" w:rsidR="00E51CDD" w:rsidRPr="00227BE0" w:rsidRDefault="00E51CDD" w:rsidP="009938D9">
            <w:pPr>
              <w:jc w:val="center"/>
              <w:rPr>
                <w:color w:val="000000"/>
                <w:sz w:val="20"/>
                <w:szCs w:val="20"/>
                <w:lang w:eastAsia="en-US"/>
              </w:rPr>
            </w:pPr>
            <w:r w:rsidRPr="00227BE0">
              <w:rPr>
                <w:color w:val="000000"/>
                <w:sz w:val="20"/>
                <w:szCs w:val="20"/>
                <w:lang w:eastAsia="en-US"/>
              </w:rPr>
              <w:t>SUM TU</w:t>
            </w:r>
          </w:p>
        </w:tc>
        <w:tc>
          <w:tcPr>
            <w:tcW w:w="835" w:type="pct"/>
            <w:tcBorders>
              <w:top w:val="nil"/>
              <w:left w:val="nil"/>
              <w:bottom w:val="single" w:sz="4" w:space="0" w:color="auto"/>
              <w:right w:val="nil"/>
            </w:tcBorders>
            <w:shd w:val="clear" w:color="auto" w:fill="auto"/>
            <w:noWrap/>
            <w:vAlign w:val="center"/>
            <w:hideMark/>
          </w:tcPr>
          <w:p w14:paraId="3DF00476"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826" w:type="pct"/>
            <w:tcBorders>
              <w:top w:val="nil"/>
              <w:left w:val="nil"/>
              <w:bottom w:val="single" w:sz="4" w:space="0" w:color="auto"/>
              <w:right w:val="nil"/>
            </w:tcBorders>
            <w:shd w:val="clear" w:color="auto" w:fill="auto"/>
            <w:noWrap/>
            <w:vAlign w:val="center"/>
            <w:hideMark/>
          </w:tcPr>
          <w:p w14:paraId="3BE80194"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814" w:type="pct"/>
            <w:tcBorders>
              <w:top w:val="nil"/>
              <w:left w:val="nil"/>
              <w:bottom w:val="single" w:sz="4" w:space="0" w:color="auto"/>
              <w:right w:val="nil"/>
            </w:tcBorders>
            <w:shd w:val="clear" w:color="auto" w:fill="auto"/>
            <w:noWrap/>
            <w:vAlign w:val="center"/>
            <w:hideMark/>
          </w:tcPr>
          <w:p w14:paraId="4E915505"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667" w:type="pct"/>
            <w:tcBorders>
              <w:top w:val="nil"/>
              <w:left w:val="nil"/>
              <w:bottom w:val="single" w:sz="4" w:space="0" w:color="auto"/>
              <w:right w:val="nil"/>
            </w:tcBorders>
            <w:shd w:val="clear" w:color="auto" w:fill="auto"/>
            <w:noWrap/>
            <w:vAlign w:val="center"/>
            <w:hideMark/>
          </w:tcPr>
          <w:p w14:paraId="38777AE2" w14:textId="77777777" w:rsidR="00E51CDD" w:rsidRPr="00227BE0" w:rsidRDefault="00E51CDD" w:rsidP="009938D9">
            <w:pPr>
              <w:jc w:val="center"/>
              <w:rPr>
                <w:color w:val="000000"/>
                <w:sz w:val="20"/>
                <w:szCs w:val="20"/>
                <w:lang w:eastAsia="en-US"/>
              </w:rPr>
            </w:pPr>
            <w:r w:rsidRPr="00227BE0">
              <w:rPr>
                <w:color w:val="000000"/>
                <w:sz w:val="20"/>
                <w:szCs w:val="20"/>
                <w:lang w:eastAsia="en-US"/>
              </w:rPr>
              <w:t>1249849</w:t>
            </w:r>
          </w:p>
        </w:tc>
        <w:tc>
          <w:tcPr>
            <w:tcW w:w="426" w:type="pct"/>
            <w:tcBorders>
              <w:top w:val="single" w:sz="4" w:space="0" w:color="auto"/>
              <w:left w:val="nil"/>
              <w:bottom w:val="single" w:sz="4" w:space="0" w:color="auto"/>
              <w:right w:val="single" w:sz="4" w:space="0" w:color="auto"/>
            </w:tcBorders>
            <w:shd w:val="clear" w:color="auto" w:fill="auto"/>
            <w:noWrap/>
            <w:vAlign w:val="center"/>
            <w:hideMark/>
          </w:tcPr>
          <w:p w14:paraId="5AB1F050"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r>
      <w:tr w:rsidR="00E51CDD" w:rsidRPr="00227BE0" w14:paraId="4B83BCC9" w14:textId="77777777" w:rsidTr="009938D9">
        <w:trPr>
          <w:trHeight w:val="340"/>
        </w:trPr>
        <w:tc>
          <w:tcPr>
            <w:tcW w:w="724" w:type="pct"/>
            <w:vMerge w:val="restart"/>
            <w:tcBorders>
              <w:top w:val="nil"/>
              <w:left w:val="single" w:sz="4" w:space="0" w:color="auto"/>
              <w:right w:val="single" w:sz="4" w:space="0" w:color="auto"/>
            </w:tcBorders>
            <w:shd w:val="clear" w:color="auto" w:fill="auto"/>
            <w:vAlign w:val="center"/>
            <w:hideMark/>
          </w:tcPr>
          <w:p w14:paraId="4AB2D17D" w14:textId="77777777" w:rsidR="00E51CDD" w:rsidRPr="00227BE0" w:rsidRDefault="00E51CDD" w:rsidP="009938D9">
            <w:pPr>
              <w:rPr>
                <w:b/>
                <w:bCs/>
                <w:color w:val="000000"/>
                <w:sz w:val="20"/>
                <w:szCs w:val="20"/>
                <w:lang w:eastAsia="en-US"/>
              </w:rPr>
            </w:pPr>
            <w:r w:rsidRPr="00227BE0">
              <w:rPr>
                <w:b/>
                <w:bCs/>
                <w:color w:val="000000"/>
                <w:sz w:val="20"/>
                <w:szCs w:val="20"/>
                <w:lang w:eastAsia="en-US"/>
              </w:rPr>
              <w:t>Invertebrate, acute</w:t>
            </w:r>
          </w:p>
        </w:tc>
        <w:tc>
          <w:tcPr>
            <w:tcW w:w="709"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B9009" w14:textId="77777777" w:rsidR="00E51CDD" w:rsidRPr="00227BE0" w:rsidRDefault="00E51CDD" w:rsidP="009938D9">
            <w:pPr>
              <w:jc w:val="center"/>
              <w:rPr>
                <w:color w:val="000000"/>
                <w:sz w:val="20"/>
                <w:szCs w:val="20"/>
                <w:lang w:eastAsia="en-US"/>
              </w:rPr>
            </w:pPr>
            <w:r w:rsidRPr="00227BE0">
              <w:rPr>
                <w:color w:val="000000"/>
                <w:sz w:val="20"/>
                <w:szCs w:val="20"/>
                <w:lang w:eastAsia="en-US"/>
              </w:rPr>
              <w:t>fluxapyroxad</w:t>
            </w:r>
          </w:p>
        </w:tc>
        <w:tc>
          <w:tcPr>
            <w:tcW w:w="835" w:type="pct"/>
            <w:tcBorders>
              <w:top w:val="nil"/>
              <w:left w:val="nil"/>
              <w:bottom w:val="nil"/>
              <w:right w:val="single" w:sz="4" w:space="0" w:color="auto"/>
            </w:tcBorders>
            <w:shd w:val="clear" w:color="auto" w:fill="auto"/>
            <w:noWrap/>
            <w:vAlign w:val="center"/>
            <w:hideMark/>
          </w:tcPr>
          <w:p w14:paraId="41718B20" w14:textId="77777777" w:rsidR="00E51CDD" w:rsidRPr="00227BE0" w:rsidRDefault="00E51CDD" w:rsidP="009938D9">
            <w:pPr>
              <w:jc w:val="center"/>
              <w:rPr>
                <w:color w:val="000000"/>
                <w:sz w:val="20"/>
                <w:szCs w:val="20"/>
                <w:lang w:eastAsia="en-US"/>
              </w:rPr>
            </w:pPr>
            <w:r w:rsidRPr="00227BE0">
              <w:rPr>
                <w:color w:val="000000"/>
                <w:sz w:val="20"/>
                <w:szCs w:val="20"/>
                <w:lang w:eastAsia="en-US"/>
              </w:rPr>
              <w:t>48</w:t>
            </w:r>
            <w:r w:rsidRPr="00227BE0">
              <w:rPr>
                <w:color w:val="000000"/>
                <w:sz w:val="20"/>
                <w:szCs w:val="20"/>
                <w:lang w:eastAsia="en-US"/>
              </w:rPr>
              <w:noBreakHyphen/>
              <w:t>h EC</w:t>
            </w:r>
            <w:r w:rsidRPr="00227BE0">
              <w:rPr>
                <w:color w:val="000000"/>
                <w:sz w:val="20"/>
                <w:szCs w:val="20"/>
                <w:vertAlign w:val="subscript"/>
                <w:lang w:eastAsia="en-US"/>
              </w:rPr>
              <w:t>50</w:t>
            </w:r>
          </w:p>
        </w:tc>
        <w:tc>
          <w:tcPr>
            <w:tcW w:w="82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BF32D02" w14:textId="77777777" w:rsidR="00E51CDD" w:rsidRPr="00227BE0" w:rsidRDefault="00E51CDD" w:rsidP="009938D9">
            <w:pPr>
              <w:jc w:val="center"/>
              <w:rPr>
                <w:color w:val="000000"/>
                <w:sz w:val="20"/>
                <w:szCs w:val="20"/>
                <w:lang w:eastAsia="en-US"/>
              </w:rPr>
            </w:pPr>
            <w:r w:rsidRPr="00227BE0">
              <w:rPr>
                <w:color w:val="000000"/>
                <w:sz w:val="20"/>
                <w:szCs w:val="20"/>
                <w:lang w:eastAsia="en-US"/>
              </w:rPr>
              <w:t>50</w:t>
            </w:r>
          </w:p>
        </w:tc>
        <w:tc>
          <w:tcPr>
            <w:tcW w:w="814" w:type="pct"/>
            <w:vMerge w:val="restart"/>
            <w:tcBorders>
              <w:top w:val="nil"/>
              <w:left w:val="single" w:sz="4" w:space="0" w:color="auto"/>
              <w:bottom w:val="nil"/>
              <w:right w:val="single" w:sz="4" w:space="0" w:color="auto"/>
            </w:tcBorders>
            <w:shd w:val="clear" w:color="auto" w:fill="auto"/>
            <w:noWrap/>
            <w:vAlign w:val="center"/>
            <w:hideMark/>
          </w:tcPr>
          <w:p w14:paraId="7B126C28" w14:textId="77777777" w:rsidR="00E51CDD" w:rsidRPr="00227BE0" w:rsidRDefault="00E51CDD" w:rsidP="009938D9">
            <w:pPr>
              <w:jc w:val="center"/>
              <w:rPr>
                <w:color w:val="000000"/>
                <w:sz w:val="20"/>
                <w:szCs w:val="20"/>
                <w:lang w:eastAsia="en-US"/>
              </w:rPr>
            </w:pPr>
            <w:r w:rsidRPr="00227BE0">
              <w:rPr>
                <w:color w:val="000000"/>
                <w:sz w:val="20"/>
                <w:szCs w:val="20"/>
                <w:lang w:eastAsia="en-US"/>
              </w:rPr>
              <w:t>6780</w:t>
            </w:r>
          </w:p>
        </w:tc>
        <w:tc>
          <w:tcPr>
            <w:tcW w:w="667" w:type="pct"/>
            <w:vMerge w:val="restart"/>
            <w:tcBorders>
              <w:top w:val="nil"/>
              <w:left w:val="nil"/>
              <w:bottom w:val="single" w:sz="4" w:space="0" w:color="000000"/>
              <w:right w:val="single" w:sz="4" w:space="0" w:color="auto"/>
            </w:tcBorders>
            <w:shd w:val="clear" w:color="auto" w:fill="auto"/>
            <w:noWrap/>
            <w:vAlign w:val="center"/>
            <w:hideMark/>
          </w:tcPr>
          <w:p w14:paraId="0CCC30D9" w14:textId="77777777" w:rsidR="00E51CDD" w:rsidRPr="00227BE0" w:rsidRDefault="00E51CDD" w:rsidP="009938D9">
            <w:pPr>
              <w:jc w:val="center"/>
              <w:rPr>
                <w:color w:val="000000"/>
                <w:sz w:val="20"/>
                <w:szCs w:val="20"/>
                <w:lang w:eastAsia="en-US"/>
              </w:rPr>
            </w:pPr>
            <w:r w:rsidRPr="00227BE0">
              <w:rPr>
                <w:color w:val="000000"/>
                <w:sz w:val="20"/>
                <w:szCs w:val="20"/>
                <w:lang w:eastAsia="en-US"/>
              </w:rPr>
              <w:t>7375</w:t>
            </w:r>
          </w:p>
        </w:tc>
        <w:tc>
          <w:tcPr>
            <w:tcW w:w="426" w:type="pct"/>
            <w:vMerge w:val="restart"/>
            <w:tcBorders>
              <w:top w:val="nil"/>
              <w:left w:val="single" w:sz="4" w:space="0" w:color="auto"/>
              <w:bottom w:val="nil"/>
              <w:right w:val="single" w:sz="4" w:space="0" w:color="auto"/>
            </w:tcBorders>
            <w:shd w:val="clear" w:color="auto" w:fill="auto"/>
            <w:noWrap/>
            <w:vAlign w:val="center"/>
            <w:hideMark/>
          </w:tcPr>
          <w:p w14:paraId="107AA11E" w14:textId="77777777" w:rsidR="00E51CDD" w:rsidRPr="00227BE0" w:rsidRDefault="00E51CDD" w:rsidP="009938D9">
            <w:pPr>
              <w:jc w:val="center"/>
              <w:rPr>
                <w:color w:val="000000"/>
                <w:sz w:val="20"/>
                <w:szCs w:val="20"/>
                <w:lang w:eastAsia="en-US"/>
              </w:rPr>
            </w:pPr>
            <w:r w:rsidRPr="00227BE0">
              <w:rPr>
                <w:color w:val="000000"/>
                <w:sz w:val="20"/>
                <w:szCs w:val="20"/>
                <w:lang w:eastAsia="en-US"/>
              </w:rPr>
              <w:t>2.2</w:t>
            </w:r>
          </w:p>
        </w:tc>
      </w:tr>
      <w:tr w:rsidR="00E51CDD" w:rsidRPr="00227BE0" w14:paraId="2AE2F9CC" w14:textId="77777777" w:rsidTr="009938D9">
        <w:trPr>
          <w:trHeight w:val="340"/>
        </w:trPr>
        <w:tc>
          <w:tcPr>
            <w:tcW w:w="724" w:type="pct"/>
            <w:vMerge/>
            <w:tcBorders>
              <w:left w:val="single" w:sz="4" w:space="0" w:color="auto"/>
              <w:right w:val="single" w:sz="4" w:space="0" w:color="auto"/>
            </w:tcBorders>
            <w:shd w:val="clear" w:color="auto" w:fill="auto"/>
            <w:vAlign w:val="center"/>
            <w:hideMark/>
          </w:tcPr>
          <w:p w14:paraId="17EE5066" w14:textId="77777777" w:rsidR="00E51CDD" w:rsidRPr="00227BE0" w:rsidRDefault="00E51CDD" w:rsidP="009938D9">
            <w:pPr>
              <w:rPr>
                <w:b/>
                <w:bCs/>
                <w:color w:val="000000"/>
                <w:sz w:val="20"/>
                <w:szCs w:val="20"/>
                <w:lang w:eastAsia="en-US"/>
              </w:rPr>
            </w:pPr>
          </w:p>
        </w:tc>
        <w:tc>
          <w:tcPr>
            <w:tcW w:w="709" w:type="pct"/>
            <w:vMerge/>
            <w:tcBorders>
              <w:top w:val="nil"/>
              <w:left w:val="single" w:sz="4" w:space="0" w:color="auto"/>
              <w:bottom w:val="single" w:sz="4" w:space="0" w:color="auto"/>
              <w:right w:val="single" w:sz="4" w:space="0" w:color="auto"/>
            </w:tcBorders>
            <w:vAlign w:val="center"/>
            <w:hideMark/>
          </w:tcPr>
          <w:p w14:paraId="2C8F29AE" w14:textId="77777777" w:rsidR="00E51CDD" w:rsidRPr="00227BE0" w:rsidRDefault="00E51CDD" w:rsidP="009938D9">
            <w:pPr>
              <w:rPr>
                <w:color w:val="000000"/>
                <w:sz w:val="20"/>
                <w:szCs w:val="20"/>
                <w:lang w:eastAsia="en-US"/>
              </w:rPr>
            </w:pPr>
          </w:p>
        </w:tc>
        <w:tc>
          <w:tcPr>
            <w:tcW w:w="835" w:type="pct"/>
            <w:tcBorders>
              <w:top w:val="nil"/>
              <w:left w:val="nil"/>
              <w:bottom w:val="nil"/>
              <w:right w:val="single" w:sz="4" w:space="0" w:color="auto"/>
            </w:tcBorders>
            <w:shd w:val="clear" w:color="auto" w:fill="auto"/>
            <w:noWrap/>
            <w:vAlign w:val="center"/>
            <w:hideMark/>
          </w:tcPr>
          <w:p w14:paraId="0B3EBCC6" w14:textId="77777777" w:rsidR="00E51CDD" w:rsidRPr="00227BE0" w:rsidRDefault="00E51CDD" w:rsidP="009938D9">
            <w:pPr>
              <w:jc w:val="center"/>
              <w:rPr>
                <w:i/>
                <w:iCs/>
                <w:color w:val="000000"/>
                <w:sz w:val="20"/>
                <w:szCs w:val="20"/>
                <w:lang w:eastAsia="en-US"/>
              </w:rPr>
            </w:pPr>
            <w:r w:rsidRPr="00227BE0">
              <w:rPr>
                <w:i/>
                <w:iCs/>
                <w:color w:val="000000"/>
                <w:sz w:val="20"/>
                <w:szCs w:val="20"/>
                <w:lang w:eastAsia="en-US"/>
              </w:rPr>
              <w:t>D. magna</w:t>
            </w:r>
          </w:p>
        </w:tc>
        <w:tc>
          <w:tcPr>
            <w:tcW w:w="826" w:type="pct"/>
            <w:vMerge/>
            <w:tcBorders>
              <w:top w:val="nil"/>
              <w:left w:val="single" w:sz="4" w:space="0" w:color="auto"/>
              <w:bottom w:val="single" w:sz="4" w:space="0" w:color="auto"/>
              <w:right w:val="single" w:sz="4" w:space="0" w:color="auto"/>
            </w:tcBorders>
            <w:vAlign w:val="center"/>
            <w:hideMark/>
          </w:tcPr>
          <w:p w14:paraId="00DCB321" w14:textId="77777777" w:rsidR="00E51CDD" w:rsidRPr="00227BE0" w:rsidRDefault="00E51CDD" w:rsidP="009938D9">
            <w:pPr>
              <w:rPr>
                <w:color w:val="000000"/>
                <w:sz w:val="20"/>
                <w:szCs w:val="20"/>
                <w:lang w:eastAsia="en-US"/>
              </w:rPr>
            </w:pPr>
          </w:p>
        </w:tc>
        <w:tc>
          <w:tcPr>
            <w:tcW w:w="814" w:type="pct"/>
            <w:vMerge/>
            <w:tcBorders>
              <w:top w:val="nil"/>
              <w:left w:val="single" w:sz="4" w:space="0" w:color="auto"/>
              <w:bottom w:val="nil"/>
              <w:right w:val="single" w:sz="4" w:space="0" w:color="auto"/>
            </w:tcBorders>
            <w:vAlign w:val="center"/>
            <w:hideMark/>
          </w:tcPr>
          <w:p w14:paraId="2DD09922" w14:textId="77777777" w:rsidR="00E51CDD" w:rsidRPr="00227BE0" w:rsidRDefault="00E51CDD" w:rsidP="009938D9">
            <w:pPr>
              <w:rPr>
                <w:color w:val="000000"/>
                <w:sz w:val="20"/>
                <w:szCs w:val="20"/>
                <w:lang w:eastAsia="en-US"/>
              </w:rPr>
            </w:pPr>
          </w:p>
        </w:tc>
        <w:tc>
          <w:tcPr>
            <w:tcW w:w="667" w:type="pct"/>
            <w:vMerge/>
            <w:tcBorders>
              <w:top w:val="nil"/>
              <w:left w:val="nil"/>
              <w:bottom w:val="single" w:sz="4" w:space="0" w:color="000000"/>
              <w:right w:val="single" w:sz="4" w:space="0" w:color="auto"/>
            </w:tcBorders>
            <w:vAlign w:val="center"/>
            <w:hideMark/>
          </w:tcPr>
          <w:p w14:paraId="368F8445" w14:textId="77777777" w:rsidR="00E51CDD" w:rsidRPr="00227BE0" w:rsidRDefault="00E51CDD" w:rsidP="009938D9">
            <w:pPr>
              <w:rPr>
                <w:color w:val="000000"/>
                <w:sz w:val="20"/>
                <w:szCs w:val="20"/>
                <w:lang w:eastAsia="en-US"/>
              </w:rPr>
            </w:pPr>
          </w:p>
        </w:tc>
        <w:tc>
          <w:tcPr>
            <w:tcW w:w="426" w:type="pct"/>
            <w:vMerge/>
            <w:tcBorders>
              <w:top w:val="nil"/>
              <w:left w:val="single" w:sz="4" w:space="0" w:color="auto"/>
              <w:bottom w:val="nil"/>
              <w:right w:val="single" w:sz="4" w:space="0" w:color="auto"/>
            </w:tcBorders>
            <w:vAlign w:val="center"/>
            <w:hideMark/>
          </w:tcPr>
          <w:p w14:paraId="3AD22505" w14:textId="77777777" w:rsidR="00E51CDD" w:rsidRPr="00227BE0" w:rsidRDefault="00E51CDD" w:rsidP="009938D9">
            <w:pPr>
              <w:rPr>
                <w:color w:val="000000"/>
                <w:sz w:val="20"/>
                <w:szCs w:val="20"/>
                <w:lang w:eastAsia="en-US"/>
              </w:rPr>
            </w:pPr>
          </w:p>
        </w:tc>
      </w:tr>
      <w:tr w:rsidR="00E51CDD" w:rsidRPr="00227BE0" w14:paraId="213516F1" w14:textId="77777777" w:rsidTr="009938D9">
        <w:trPr>
          <w:trHeight w:val="340"/>
        </w:trPr>
        <w:tc>
          <w:tcPr>
            <w:tcW w:w="724" w:type="pct"/>
            <w:vMerge/>
            <w:tcBorders>
              <w:left w:val="single" w:sz="4" w:space="0" w:color="auto"/>
              <w:right w:val="single" w:sz="4" w:space="0" w:color="auto"/>
            </w:tcBorders>
            <w:shd w:val="clear" w:color="auto" w:fill="auto"/>
            <w:vAlign w:val="center"/>
            <w:hideMark/>
          </w:tcPr>
          <w:p w14:paraId="6095DDCD" w14:textId="77777777" w:rsidR="00E51CDD" w:rsidRPr="00227BE0" w:rsidRDefault="00E51CDD" w:rsidP="009938D9">
            <w:pPr>
              <w:rPr>
                <w:b/>
                <w:bCs/>
                <w:color w:val="000000"/>
                <w:sz w:val="20"/>
                <w:szCs w:val="20"/>
                <w:lang w:eastAsia="en-US"/>
              </w:rPr>
            </w:pPr>
          </w:p>
        </w:tc>
        <w:tc>
          <w:tcPr>
            <w:tcW w:w="70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06AE161" w14:textId="77777777" w:rsidR="00E51CDD" w:rsidRPr="00227BE0" w:rsidRDefault="00E51CDD" w:rsidP="009938D9">
            <w:pPr>
              <w:jc w:val="center"/>
              <w:rPr>
                <w:color w:val="000000"/>
                <w:sz w:val="20"/>
                <w:szCs w:val="20"/>
                <w:lang w:eastAsia="en-US"/>
              </w:rPr>
            </w:pPr>
            <w:r w:rsidRPr="00227BE0">
              <w:rPr>
                <w:color w:val="000000"/>
                <w:sz w:val="20"/>
                <w:szCs w:val="20"/>
                <w:lang w:eastAsia="en-US"/>
              </w:rPr>
              <w:t>azoxystrobin</w:t>
            </w:r>
          </w:p>
        </w:tc>
        <w:tc>
          <w:tcPr>
            <w:tcW w:w="835" w:type="pct"/>
            <w:tcBorders>
              <w:top w:val="single" w:sz="4" w:space="0" w:color="auto"/>
              <w:left w:val="nil"/>
              <w:bottom w:val="nil"/>
              <w:right w:val="single" w:sz="4" w:space="0" w:color="auto"/>
            </w:tcBorders>
            <w:shd w:val="clear" w:color="auto" w:fill="auto"/>
            <w:noWrap/>
            <w:vAlign w:val="center"/>
            <w:hideMark/>
          </w:tcPr>
          <w:p w14:paraId="4F553342" w14:textId="77777777" w:rsidR="00E51CDD" w:rsidRPr="00227BE0" w:rsidRDefault="00E51CDD" w:rsidP="009938D9">
            <w:pPr>
              <w:jc w:val="center"/>
              <w:rPr>
                <w:color w:val="000000"/>
                <w:sz w:val="20"/>
                <w:szCs w:val="20"/>
                <w:lang w:eastAsia="en-US"/>
              </w:rPr>
            </w:pPr>
            <w:r w:rsidRPr="00227BE0">
              <w:rPr>
                <w:color w:val="000000"/>
                <w:sz w:val="20"/>
                <w:szCs w:val="20"/>
                <w:lang w:eastAsia="en-US"/>
              </w:rPr>
              <w:t>48</w:t>
            </w:r>
            <w:r w:rsidRPr="00227BE0">
              <w:rPr>
                <w:color w:val="000000"/>
                <w:sz w:val="20"/>
                <w:szCs w:val="20"/>
                <w:lang w:eastAsia="en-US"/>
              </w:rPr>
              <w:noBreakHyphen/>
              <w:t>h EC</w:t>
            </w:r>
            <w:r w:rsidRPr="00227BE0">
              <w:rPr>
                <w:color w:val="000000"/>
                <w:sz w:val="20"/>
                <w:szCs w:val="20"/>
                <w:vertAlign w:val="subscript"/>
                <w:lang w:eastAsia="en-US"/>
              </w:rPr>
              <w:t>50</w:t>
            </w:r>
          </w:p>
        </w:tc>
        <w:tc>
          <w:tcPr>
            <w:tcW w:w="82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29C4FE8" w14:textId="77777777" w:rsidR="00E51CDD" w:rsidRPr="00227BE0" w:rsidRDefault="00E51CDD" w:rsidP="009938D9">
            <w:pPr>
              <w:jc w:val="center"/>
              <w:rPr>
                <w:color w:val="000000"/>
                <w:sz w:val="20"/>
                <w:szCs w:val="20"/>
                <w:lang w:eastAsia="en-US"/>
              </w:rPr>
            </w:pPr>
            <w:r w:rsidRPr="00227BE0">
              <w:rPr>
                <w:color w:val="000000"/>
                <w:sz w:val="20"/>
                <w:szCs w:val="20"/>
                <w:lang w:eastAsia="en-US"/>
              </w:rPr>
              <w:t>75</w:t>
            </w:r>
          </w:p>
        </w:tc>
        <w:tc>
          <w:tcPr>
            <w:tcW w:w="81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1B24476" w14:textId="77777777" w:rsidR="00E51CDD" w:rsidRPr="00227BE0" w:rsidRDefault="00E51CDD" w:rsidP="009938D9">
            <w:pPr>
              <w:jc w:val="center"/>
              <w:rPr>
                <w:color w:val="000000"/>
                <w:sz w:val="20"/>
                <w:szCs w:val="20"/>
                <w:lang w:eastAsia="en-US"/>
              </w:rPr>
            </w:pPr>
            <w:r w:rsidRPr="00227BE0">
              <w:rPr>
                <w:color w:val="000000"/>
                <w:sz w:val="20"/>
                <w:szCs w:val="20"/>
                <w:lang w:eastAsia="en-US"/>
              </w:rPr>
              <w:t>230</w:t>
            </w:r>
          </w:p>
        </w:tc>
        <w:tc>
          <w:tcPr>
            <w:tcW w:w="667" w:type="pct"/>
            <w:vMerge w:val="restart"/>
            <w:tcBorders>
              <w:top w:val="nil"/>
              <w:left w:val="nil"/>
              <w:bottom w:val="single" w:sz="4" w:space="0" w:color="000000"/>
              <w:right w:val="single" w:sz="4" w:space="0" w:color="auto"/>
            </w:tcBorders>
            <w:shd w:val="clear" w:color="auto" w:fill="auto"/>
            <w:noWrap/>
            <w:vAlign w:val="center"/>
            <w:hideMark/>
          </w:tcPr>
          <w:p w14:paraId="7EF919C9" w14:textId="77777777" w:rsidR="00E51CDD" w:rsidRPr="00227BE0" w:rsidRDefault="00E51CDD" w:rsidP="009938D9">
            <w:pPr>
              <w:jc w:val="center"/>
              <w:rPr>
                <w:color w:val="000000"/>
                <w:sz w:val="20"/>
                <w:szCs w:val="20"/>
                <w:lang w:eastAsia="en-US"/>
              </w:rPr>
            </w:pPr>
            <w:r w:rsidRPr="00227BE0">
              <w:rPr>
                <w:color w:val="000000"/>
                <w:sz w:val="20"/>
                <w:szCs w:val="20"/>
                <w:lang w:eastAsia="en-US"/>
              </w:rPr>
              <w:t>326087</w:t>
            </w:r>
          </w:p>
        </w:tc>
        <w:tc>
          <w:tcPr>
            <w:tcW w:w="426" w:type="pct"/>
            <w:vMerge w:val="restart"/>
            <w:tcBorders>
              <w:top w:val="single" w:sz="4" w:space="0" w:color="auto"/>
              <w:left w:val="single" w:sz="4" w:space="0" w:color="auto"/>
              <w:bottom w:val="nil"/>
              <w:right w:val="single" w:sz="4" w:space="0" w:color="auto"/>
            </w:tcBorders>
            <w:shd w:val="clear" w:color="auto" w:fill="auto"/>
            <w:noWrap/>
            <w:vAlign w:val="center"/>
            <w:hideMark/>
          </w:tcPr>
          <w:p w14:paraId="355F39B1" w14:textId="77777777" w:rsidR="00E51CDD" w:rsidRPr="00227BE0" w:rsidRDefault="00E51CDD" w:rsidP="009938D9">
            <w:pPr>
              <w:jc w:val="center"/>
              <w:rPr>
                <w:b/>
                <w:color w:val="000000"/>
                <w:sz w:val="20"/>
                <w:szCs w:val="20"/>
                <w:lang w:eastAsia="en-US"/>
              </w:rPr>
            </w:pPr>
            <w:r w:rsidRPr="00227BE0">
              <w:rPr>
                <w:b/>
                <w:color w:val="000000"/>
                <w:sz w:val="20"/>
                <w:szCs w:val="20"/>
                <w:lang w:eastAsia="en-US"/>
              </w:rPr>
              <w:t>97.8</w:t>
            </w:r>
          </w:p>
        </w:tc>
      </w:tr>
      <w:tr w:rsidR="00E51CDD" w:rsidRPr="00227BE0" w14:paraId="187CFB37" w14:textId="77777777" w:rsidTr="009938D9">
        <w:trPr>
          <w:trHeight w:val="340"/>
        </w:trPr>
        <w:tc>
          <w:tcPr>
            <w:tcW w:w="724" w:type="pct"/>
            <w:vMerge/>
            <w:tcBorders>
              <w:left w:val="single" w:sz="4" w:space="0" w:color="auto"/>
              <w:bottom w:val="single" w:sz="4" w:space="0" w:color="000000"/>
              <w:right w:val="single" w:sz="4" w:space="0" w:color="auto"/>
            </w:tcBorders>
            <w:shd w:val="clear" w:color="auto" w:fill="auto"/>
            <w:vAlign w:val="center"/>
            <w:hideMark/>
          </w:tcPr>
          <w:p w14:paraId="0CBDD4A6" w14:textId="77777777" w:rsidR="00E51CDD" w:rsidRPr="00227BE0" w:rsidRDefault="00E51CDD" w:rsidP="009938D9">
            <w:pPr>
              <w:rPr>
                <w:b/>
                <w:bCs/>
                <w:color w:val="000000"/>
                <w:sz w:val="20"/>
                <w:szCs w:val="20"/>
                <w:lang w:eastAsia="en-US"/>
              </w:rPr>
            </w:pPr>
          </w:p>
        </w:tc>
        <w:tc>
          <w:tcPr>
            <w:tcW w:w="709" w:type="pct"/>
            <w:vMerge/>
            <w:tcBorders>
              <w:top w:val="nil"/>
              <w:left w:val="single" w:sz="4" w:space="0" w:color="auto"/>
              <w:bottom w:val="single" w:sz="4" w:space="0" w:color="auto"/>
              <w:right w:val="single" w:sz="4" w:space="0" w:color="auto"/>
            </w:tcBorders>
            <w:vAlign w:val="center"/>
            <w:hideMark/>
          </w:tcPr>
          <w:p w14:paraId="6993A783" w14:textId="77777777" w:rsidR="00E51CDD" w:rsidRPr="00227BE0" w:rsidRDefault="00E51CDD" w:rsidP="009938D9">
            <w:pPr>
              <w:rPr>
                <w:color w:val="000000"/>
                <w:sz w:val="20"/>
                <w:szCs w:val="20"/>
                <w:lang w:eastAsia="en-US"/>
              </w:rPr>
            </w:pPr>
          </w:p>
        </w:tc>
        <w:tc>
          <w:tcPr>
            <w:tcW w:w="835" w:type="pct"/>
            <w:tcBorders>
              <w:top w:val="nil"/>
              <w:left w:val="nil"/>
              <w:bottom w:val="single" w:sz="4" w:space="0" w:color="auto"/>
              <w:right w:val="single" w:sz="4" w:space="0" w:color="auto"/>
            </w:tcBorders>
            <w:shd w:val="clear" w:color="auto" w:fill="auto"/>
            <w:noWrap/>
            <w:vAlign w:val="center"/>
            <w:hideMark/>
          </w:tcPr>
          <w:p w14:paraId="608E4A2B" w14:textId="77777777" w:rsidR="00E51CDD" w:rsidRPr="00227BE0" w:rsidRDefault="00E51CDD" w:rsidP="009938D9">
            <w:pPr>
              <w:jc w:val="center"/>
              <w:rPr>
                <w:i/>
                <w:iCs/>
                <w:color w:val="000000"/>
                <w:sz w:val="20"/>
                <w:szCs w:val="20"/>
                <w:lang w:eastAsia="en-US"/>
              </w:rPr>
            </w:pPr>
            <w:r w:rsidRPr="00227BE0">
              <w:rPr>
                <w:i/>
                <w:iCs/>
                <w:color w:val="000000"/>
                <w:sz w:val="20"/>
                <w:szCs w:val="20"/>
                <w:lang w:eastAsia="en-US"/>
              </w:rPr>
              <w:t>D. magna</w:t>
            </w:r>
          </w:p>
        </w:tc>
        <w:tc>
          <w:tcPr>
            <w:tcW w:w="826" w:type="pct"/>
            <w:vMerge/>
            <w:tcBorders>
              <w:top w:val="single" w:sz="4" w:space="0" w:color="auto"/>
              <w:left w:val="single" w:sz="4" w:space="0" w:color="auto"/>
              <w:bottom w:val="single" w:sz="4" w:space="0" w:color="000000"/>
              <w:right w:val="single" w:sz="4" w:space="0" w:color="auto"/>
            </w:tcBorders>
            <w:vAlign w:val="center"/>
            <w:hideMark/>
          </w:tcPr>
          <w:p w14:paraId="4DC03DF2" w14:textId="77777777" w:rsidR="00E51CDD" w:rsidRPr="00227BE0" w:rsidRDefault="00E51CDD" w:rsidP="009938D9">
            <w:pPr>
              <w:rPr>
                <w:color w:val="000000"/>
                <w:sz w:val="20"/>
                <w:szCs w:val="20"/>
                <w:lang w:eastAsia="en-US"/>
              </w:rPr>
            </w:pPr>
          </w:p>
        </w:tc>
        <w:tc>
          <w:tcPr>
            <w:tcW w:w="814" w:type="pct"/>
            <w:vMerge/>
            <w:tcBorders>
              <w:top w:val="single" w:sz="4" w:space="0" w:color="auto"/>
              <w:left w:val="single" w:sz="4" w:space="0" w:color="auto"/>
              <w:bottom w:val="single" w:sz="4" w:space="0" w:color="000000"/>
              <w:right w:val="single" w:sz="4" w:space="0" w:color="auto"/>
            </w:tcBorders>
            <w:vAlign w:val="center"/>
            <w:hideMark/>
          </w:tcPr>
          <w:p w14:paraId="63153D16" w14:textId="77777777" w:rsidR="00E51CDD" w:rsidRPr="00227BE0" w:rsidRDefault="00E51CDD" w:rsidP="009938D9">
            <w:pPr>
              <w:rPr>
                <w:color w:val="000000"/>
                <w:sz w:val="20"/>
                <w:szCs w:val="20"/>
                <w:lang w:eastAsia="en-US"/>
              </w:rPr>
            </w:pPr>
          </w:p>
        </w:tc>
        <w:tc>
          <w:tcPr>
            <w:tcW w:w="667" w:type="pct"/>
            <w:vMerge/>
            <w:tcBorders>
              <w:top w:val="nil"/>
              <w:left w:val="nil"/>
              <w:bottom w:val="single" w:sz="4" w:space="0" w:color="000000"/>
              <w:right w:val="single" w:sz="4" w:space="0" w:color="auto"/>
            </w:tcBorders>
            <w:vAlign w:val="center"/>
            <w:hideMark/>
          </w:tcPr>
          <w:p w14:paraId="40D55C78" w14:textId="77777777" w:rsidR="00E51CDD" w:rsidRPr="00227BE0" w:rsidRDefault="00E51CDD" w:rsidP="009938D9">
            <w:pPr>
              <w:rPr>
                <w:color w:val="000000"/>
                <w:sz w:val="20"/>
                <w:szCs w:val="20"/>
                <w:lang w:eastAsia="en-US"/>
              </w:rPr>
            </w:pPr>
          </w:p>
        </w:tc>
        <w:tc>
          <w:tcPr>
            <w:tcW w:w="426" w:type="pct"/>
            <w:vMerge/>
            <w:tcBorders>
              <w:top w:val="single" w:sz="4" w:space="0" w:color="auto"/>
              <w:left w:val="single" w:sz="4" w:space="0" w:color="auto"/>
              <w:bottom w:val="nil"/>
              <w:right w:val="single" w:sz="4" w:space="0" w:color="auto"/>
            </w:tcBorders>
            <w:vAlign w:val="center"/>
            <w:hideMark/>
          </w:tcPr>
          <w:p w14:paraId="54493B83" w14:textId="77777777" w:rsidR="00E51CDD" w:rsidRPr="00227BE0" w:rsidRDefault="00E51CDD" w:rsidP="009938D9">
            <w:pPr>
              <w:rPr>
                <w:color w:val="000000"/>
                <w:sz w:val="20"/>
                <w:szCs w:val="20"/>
                <w:lang w:eastAsia="en-US"/>
              </w:rPr>
            </w:pPr>
          </w:p>
        </w:tc>
      </w:tr>
      <w:tr w:rsidR="00E51CDD" w:rsidRPr="00227BE0" w14:paraId="61608E9D" w14:textId="77777777" w:rsidTr="009938D9">
        <w:trPr>
          <w:trHeight w:val="340"/>
        </w:trPr>
        <w:tc>
          <w:tcPr>
            <w:tcW w:w="724" w:type="pct"/>
            <w:tcBorders>
              <w:top w:val="nil"/>
              <w:left w:val="single" w:sz="4" w:space="0" w:color="auto"/>
              <w:bottom w:val="single" w:sz="4" w:space="0" w:color="auto"/>
              <w:right w:val="nil"/>
            </w:tcBorders>
            <w:shd w:val="clear" w:color="auto" w:fill="auto"/>
            <w:noWrap/>
            <w:vAlign w:val="center"/>
            <w:hideMark/>
          </w:tcPr>
          <w:p w14:paraId="0DBE32AB" w14:textId="77777777" w:rsidR="00E51CDD" w:rsidRPr="00227BE0" w:rsidRDefault="00E51CDD" w:rsidP="009938D9">
            <w:pPr>
              <w:rPr>
                <w:color w:val="000000"/>
                <w:sz w:val="20"/>
                <w:szCs w:val="20"/>
                <w:lang w:eastAsia="en-US"/>
              </w:rPr>
            </w:pPr>
            <w:r w:rsidRPr="00227BE0">
              <w:rPr>
                <w:color w:val="000000"/>
                <w:sz w:val="20"/>
                <w:szCs w:val="20"/>
                <w:lang w:eastAsia="en-US"/>
              </w:rPr>
              <w:t> </w:t>
            </w:r>
          </w:p>
        </w:tc>
        <w:tc>
          <w:tcPr>
            <w:tcW w:w="709" w:type="pct"/>
            <w:tcBorders>
              <w:top w:val="single" w:sz="4" w:space="0" w:color="auto"/>
              <w:left w:val="nil"/>
              <w:bottom w:val="single" w:sz="4" w:space="0" w:color="auto"/>
              <w:right w:val="nil"/>
            </w:tcBorders>
            <w:shd w:val="clear" w:color="auto" w:fill="auto"/>
            <w:noWrap/>
            <w:vAlign w:val="center"/>
            <w:hideMark/>
          </w:tcPr>
          <w:p w14:paraId="54AA7AC0" w14:textId="77777777" w:rsidR="00E51CDD" w:rsidRPr="00227BE0" w:rsidRDefault="00E51CDD" w:rsidP="009938D9">
            <w:pPr>
              <w:jc w:val="center"/>
              <w:rPr>
                <w:color w:val="000000"/>
                <w:sz w:val="20"/>
                <w:szCs w:val="20"/>
                <w:lang w:eastAsia="en-US"/>
              </w:rPr>
            </w:pPr>
            <w:r w:rsidRPr="00227BE0">
              <w:rPr>
                <w:color w:val="000000"/>
                <w:sz w:val="20"/>
                <w:szCs w:val="20"/>
                <w:lang w:eastAsia="en-US"/>
              </w:rPr>
              <w:t>SUM TU</w:t>
            </w:r>
          </w:p>
        </w:tc>
        <w:tc>
          <w:tcPr>
            <w:tcW w:w="835" w:type="pct"/>
            <w:tcBorders>
              <w:top w:val="nil"/>
              <w:left w:val="nil"/>
              <w:bottom w:val="single" w:sz="4" w:space="0" w:color="auto"/>
              <w:right w:val="nil"/>
            </w:tcBorders>
            <w:shd w:val="clear" w:color="auto" w:fill="auto"/>
            <w:noWrap/>
            <w:vAlign w:val="center"/>
            <w:hideMark/>
          </w:tcPr>
          <w:p w14:paraId="2B33ED2B"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826" w:type="pct"/>
            <w:tcBorders>
              <w:top w:val="nil"/>
              <w:left w:val="nil"/>
              <w:bottom w:val="single" w:sz="4" w:space="0" w:color="auto"/>
              <w:right w:val="nil"/>
            </w:tcBorders>
            <w:shd w:val="clear" w:color="auto" w:fill="auto"/>
            <w:noWrap/>
            <w:vAlign w:val="center"/>
            <w:hideMark/>
          </w:tcPr>
          <w:p w14:paraId="021E6729"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814" w:type="pct"/>
            <w:tcBorders>
              <w:top w:val="nil"/>
              <w:left w:val="nil"/>
              <w:bottom w:val="single" w:sz="4" w:space="0" w:color="auto"/>
              <w:right w:val="nil"/>
            </w:tcBorders>
            <w:shd w:val="clear" w:color="auto" w:fill="auto"/>
            <w:noWrap/>
            <w:vAlign w:val="center"/>
            <w:hideMark/>
          </w:tcPr>
          <w:p w14:paraId="63684FE2"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667" w:type="pct"/>
            <w:tcBorders>
              <w:top w:val="nil"/>
              <w:left w:val="nil"/>
              <w:bottom w:val="single" w:sz="4" w:space="0" w:color="auto"/>
              <w:right w:val="nil"/>
            </w:tcBorders>
            <w:shd w:val="clear" w:color="auto" w:fill="auto"/>
            <w:noWrap/>
            <w:vAlign w:val="center"/>
            <w:hideMark/>
          </w:tcPr>
          <w:p w14:paraId="33CD6F97" w14:textId="77777777" w:rsidR="00E51CDD" w:rsidRPr="00227BE0" w:rsidRDefault="00E51CDD" w:rsidP="009938D9">
            <w:pPr>
              <w:jc w:val="center"/>
              <w:rPr>
                <w:color w:val="000000"/>
                <w:sz w:val="20"/>
                <w:szCs w:val="20"/>
                <w:lang w:eastAsia="en-US"/>
              </w:rPr>
            </w:pPr>
            <w:r w:rsidRPr="00227BE0">
              <w:rPr>
                <w:color w:val="000000"/>
                <w:sz w:val="20"/>
                <w:szCs w:val="20"/>
                <w:lang w:eastAsia="en-US"/>
              </w:rPr>
              <w:t>333462</w:t>
            </w:r>
          </w:p>
        </w:tc>
        <w:tc>
          <w:tcPr>
            <w:tcW w:w="426" w:type="pct"/>
            <w:tcBorders>
              <w:top w:val="single" w:sz="4" w:space="0" w:color="auto"/>
              <w:left w:val="nil"/>
              <w:bottom w:val="single" w:sz="4" w:space="0" w:color="auto"/>
              <w:right w:val="single" w:sz="4" w:space="0" w:color="auto"/>
            </w:tcBorders>
            <w:shd w:val="clear" w:color="auto" w:fill="auto"/>
            <w:noWrap/>
            <w:vAlign w:val="center"/>
            <w:hideMark/>
          </w:tcPr>
          <w:p w14:paraId="6B3EC035"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r>
      <w:tr w:rsidR="00E51CDD" w:rsidRPr="00227BE0" w14:paraId="73A408DC" w14:textId="77777777" w:rsidTr="009938D9">
        <w:trPr>
          <w:trHeight w:val="340"/>
        </w:trPr>
        <w:tc>
          <w:tcPr>
            <w:tcW w:w="724" w:type="pct"/>
            <w:vMerge w:val="restart"/>
            <w:tcBorders>
              <w:top w:val="nil"/>
              <w:left w:val="single" w:sz="4" w:space="0" w:color="auto"/>
              <w:right w:val="single" w:sz="4" w:space="0" w:color="auto"/>
            </w:tcBorders>
            <w:shd w:val="clear" w:color="auto" w:fill="auto"/>
            <w:vAlign w:val="center"/>
            <w:hideMark/>
          </w:tcPr>
          <w:p w14:paraId="504C0376" w14:textId="77777777" w:rsidR="00E51CDD" w:rsidRPr="00227BE0" w:rsidRDefault="00E51CDD" w:rsidP="009938D9">
            <w:pPr>
              <w:rPr>
                <w:b/>
                <w:bCs/>
                <w:color w:val="000000"/>
                <w:sz w:val="20"/>
                <w:szCs w:val="20"/>
                <w:lang w:eastAsia="en-US"/>
              </w:rPr>
            </w:pPr>
            <w:r w:rsidRPr="00227BE0">
              <w:rPr>
                <w:b/>
                <w:bCs/>
                <w:color w:val="000000"/>
                <w:sz w:val="20"/>
                <w:szCs w:val="20"/>
                <w:lang w:eastAsia="en-US"/>
              </w:rPr>
              <w:t>Invertebrate, prolonged</w:t>
            </w:r>
          </w:p>
        </w:tc>
        <w:tc>
          <w:tcPr>
            <w:tcW w:w="709" w:type="pct"/>
            <w:vMerge w:val="restart"/>
            <w:tcBorders>
              <w:top w:val="single" w:sz="4" w:space="0" w:color="auto"/>
              <w:left w:val="single" w:sz="4" w:space="0" w:color="auto"/>
              <w:bottom w:val="single" w:sz="4" w:space="0" w:color="auto"/>
              <w:right w:val="nil"/>
            </w:tcBorders>
            <w:shd w:val="clear" w:color="auto" w:fill="auto"/>
            <w:noWrap/>
            <w:vAlign w:val="center"/>
            <w:hideMark/>
          </w:tcPr>
          <w:p w14:paraId="0F2DAB53" w14:textId="77777777" w:rsidR="00E51CDD" w:rsidRPr="00227BE0" w:rsidRDefault="00E51CDD" w:rsidP="009938D9">
            <w:pPr>
              <w:jc w:val="center"/>
              <w:rPr>
                <w:color w:val="000000"/>
                <w:sz w:val="20"/>
                <w:szCs w:val="20"/>
                <w:lang w:eastAsia="en-US"/>
              </w:rPr>
            </w:pPr>
            <w:r w:rsidRPr="00227BE0">
              <w:rPr>
                <w:color w:val="000000"/>
                <w:sz w:val="20"/>
                <w:szCs w:val="20"/>
                <w:lang w:eastAsia="en-US"/>
              </w:rPr>
              <w:t>fluxapyroxad</w:t>
            </w:r>
          </w:p>
        </w:tc>
        <w:tc>
          <w:tcPr>
            <w:tcW w:w="835" w:type="pct"/>
            <w:tcBorders>
              <w:top w:val="nil"/>
              <w:left w:val="single" w:sz="4" w:space="0" w:color="auto"/>
              <w:bottom w:val="nil"/>
              <w:right w:val="single" w:sz="4" w:space="0" w:color="auto"/>
            </w:tcBorders>
            <w:shd w:val="clear" w:color="auto" w:fill="auto"/>
            <w:noWrap/>
            <w:vAlign w:val="center"/>
            <w:hideMark/>
          </w:tcPr>
          <w:p w14:paraId="66124061" w14:textId="77777777" w:rsidR="00E51CDD" w:rsidRPr="00227BE0" w:rsidRDefault="00E51CDD" w:rsidP="009938D9">
            <w:pPr>
              <w:jc w:val="center"/>
              <w:rPr>
                <w:color w:val="000000"/>
                <w:sz w:val="20"/>
                <w:szCs w:val="20"/>
                <w:lang w:eastAsia="en-US"/>
              </w:rPr>
            </w:pPr>
            <w:r w:rsidRPr="00227BE0">
              <w:rPr>
                <w:color w:val="000000"/>
                <w:sz w:val="20"/>
                <w:szCs w:val="20"/>
                <w:lang w:eastAsia="en-US"/>
              </w:rPr>
              <w:t>21</w:t>
            </w:r>
            <w:r w:rsidRPr="00227BE0">
              <w:rPr>
                <w:color w:val="000000"/>
                <w:sz w:val="20"/>
                <w:szCs w:val="20"/>
                <w:lang w:eastAsia="en-US"/>
              </w:rPr>
              <w:noBreakHyphen/>
              <w:t>d NOEC</w:t>
            </w:r>
          </w:p>
        </w:tc>
        <w:tc>
          <w:tcPr>
            <w:tcW w:w="826" w:type="pct"/>
            <w:vMerge w:val="restart"/>
            <w:tcBorders>
              <w:top w:val="nil"/>
              <w:left w:val="single" w:sz="4" w:space="0" w:color="auto"/>
              <w:bottom w:val="nil"/>
              <w:right w:val="single" w:sz="4" w:space="0" w:color="auto"/>
            </w:tcBorders>
            <w:shd w:val="clear" w:color="auto" w:fill="auto"/>
            <w:noWrap/>
            <w:vAlign w:val="center"/>
            <w:hideMark/>
          </w:tcPr>
          <w:p w14:paraId="653CB00A" w14:textId="77777777" w:rsidR="00E51CDD" w:rsidRPr="00227BE0" w:rsidRDefault="00E51CDD" w:rsidP="009938D9">
            <w:pPr>
              <w:jc w:val="center"/>
              <w:rPr>
                <w:color w:val="000000"/>
                <w:sz w:val="20"/>
                <w:szCs w:val="20"/>
                <w:lang w:eastAsia="en-US"/>
              </w:rPr>
            </w:pPr>
            <w:r w:rsidRPr="00227BE0">
              <w:rPr>
                <w:color w:val="000000"/>
                <w:sz w:val="20"/>
                <w:szCs w:val="20"/>
                <w:lang w:eastAsia="en-US"/>
              </w:rPr>
              <w:t>50</w:t>
            </w:r>
          </w:p>
        </w:tc>
        <w:tc>
          <w:tcPr>
            <w:tcW w:w="814" w:type="pct"/>
            <w:vMerge w:val="restart"/>
            <w:tcBorders>
              <w:top w:val="nil"/>
              <w:left w:val="single" w:sz="4" w:space="0" w:color="auto"/>
              <w:bottom w:val="nil"/>
              <w:right w:val="single" w:sz="4" w:space="0" w:color="auto"/>
            </w:tcBorders>
            <w:shd w:val="clear" w:color="auto" w:fill="auto"/>
            <w:noWrap/>
            <w:vAlign w:val="center"/>
            <w:hideMark/>
          </w:tcPr>
          <w:p w14:paraId="643A5190" w14:textId="77777777" w:rsidR="00E51CDD" w:rsidRPr="00227BE0" w:rsidRDefault="00E51CDD" w:rsidP="009938D9">
            <w:pPr>
              <w:jc w:val="center"/>
              <w:rPr>
                <w:color w:val="000000"/>
                <w:sz w:val="20"/>
                <w:szCs w:val="20"/>
                <w:lang w:eastAsia="en-US"/>
              </w:rPr>
            </w:pPr>
            <w:r w:rsidRPr="00227BE0">
              <w:rPr>
                <w:color w:val="000000"/>
                <w:sz w:val="20"/>
                <w:szCs w:val="20"/>
                <w:lang w:eastAsia="en-US"/>
              </w:rPr>
              <w:t>500</w:t>
            </w:r>
          </w:p>
        </w:tc>
        <w:tc>
          <w:tcPr>
            <w:tcW w:w="667" w:type="pct"/>
            <w:vMerge w:val="restart"/>
            <w:tcBorders>
              <w:top w:val="nil"/>
              <w:left w:val="nil"/>
              <w:bottom w:val="single" w:sz="4" w:space="0" w:color="000000"/>
              <w:right w:val="single" w:sz="4" w:space="0" w:color="auto"/>
            </w:tcBorders>
            <w:shd w:val="clear" w:color="auto" w:fill="auto"/>
            <w:noWrap/>
            <w:vAlign w:val="center"/>
            <w:hideMark/>
          </w:tcPr>
          <w:p w14:paraId="2C57EAAA" w14:textId="77777777" w:rsidR="00E51CDD" w:rsidRPr="00227BE0" w:rsidRDefault="00E51CDD" w:rsidP="009938D9">
            <w:pPr>
              <w:jc w:val="center"/>
              <w:rPr>
                <w:color w:val="000000"/>
                <w:sz w:val="20"/>
                <w:szCs w:val="20"/>
                <w:lang w:eastAsia="en-US"/>
              </w:rPr>
            </w:pPr>
            <w:r w:rsidRPr="00227BE0">
              <w:rPr>
                <w:color w:val="000000"/>
                <w:sz w:val="20"/>
                <w:szCs w:val="20"/>
                <w:lang w:eastAsia="en-US"/>
              </w:rPr>
              <w:t>100000</w:t>
            </w:r>
          </w:p>
        </w:tc>
        <w:tc>
          <w:tcPr>
            <w:tcW w:w="426" w:type="pct"/>
            <w:vMerge w:val="restart"/>
            <w:tcBorders>
              <w:top w:val="nil"/>
              <w:left w:val="single" w:sz="4" w:space="0" w:color="auto"/>
              <w:bottom w:val="nil"/>
              <w:right w:val="single" w:sz="4" w:space="0" w:color="auto"/>
            </w:tcBorders>
            <w:shd w:val="clear" w:color="auto" w:fill="auto"/>
            <w:noWrap/>
            <w:vAlign w:val="center"/>
            <w:hideMark/>
          </w:tcPr>
          <w:p w14:paraId="43D23E12" w14:textId="77777777" w:rsidR="00E51CDD" w:rsidRPr="00227BE0" w:rsidRDefault="00E51CDD" w:rsidP="009938D9">
            <w:pPr>
              <w:jc w:val="center"/>
              <w:rPr>
                <w:color w:val="000000"/>
                <w:sz w:val="20"/>
                <w:szCs w:val="20"/>
                <w:lang w:eastAsia="en-US"/>
              </w:rPr>
            </w:pPr>
            <w:r w:rsidRPr="00227BE0">
              <w:rPr>
                <w:color w:val="000000"/>
                <w:sz w:val="20"/>
                <w:szCs w:val="20"/>
                <w:lang w:eastAsia="en-US"/>
              </w:rPr>
              <w:t>5.5</w:t>
            </w:r>
          </w:p>
        </w:tc>
      </w:tr>
      <w:tr w:rsidR="00E51CDD" w:rsidRPr="00227BE0" w14:paraId="67DA2E2A" w14:textId="77777777" w:rsidTr="009938D9">
        <w:trPr>
          <w:trHeight w:val="340"/>
        </w:trPr>
        <w:tc>
          <w:tcPr>
            <w:tcW w:w="724" w:type="pct"/>
            <w:vMerge/>
            <w:tcBorders>
              <w:left w:val="single" w:sz="4" w:space="0" w:color="auto"/>
              <w:right w:val="single" w:sz="4" w:space="0" w:color="auto"/>
            </w:tcBorders>
            <w:shd w:val="clear" w:color="auto" w:fill="auto"/>
            <w:vAlign w:val="center"/>
            <w:hideMark/>
          </w:tcPr>
          <w:p w14:paraId="76F4D555" w14:textId="77777777" w:rsidR="00E51CDD" w:rsidRPr="00227BE0" w:rsidRDefault="00E51CDD" w:rsidP="009938D9">
            <w:pPr>
              <w:rPr>
                <w:b/>
                <w:bCs/>
                <w:color w:val="000000"/>
                <w:sz w:val="20"/>
                <w:szCs w:val="20"/>
                <w:lang w:eastAsia="en-US"/>
              </w:rPr>
            </w:pPr>
          </w:p>
        </w:tc>
        <w:tc>
          <w:tcPr>
            <w:tcW w:w="709" w:type="pct"/>
            <w:vMerge/>
            <w:tcBorders>
              <w:top w:val="single" w:sz="4" w:space="0" w:color="auto"/>
              <w:left w:val="single" w:sz="4" w:space="0" w:color="auto"/>
              <w:bottom w:val="single" w:sz="4" w:space="0" w:color="auto"/>
              <w:right w:val="nil"/>
            </w:tcBorders>
            <w:vAlign w:val="center"/>
            <w:hideMark/>
          </w:tcPr>
          <w:p w14:paraId="29A90FFF" w14:textId="77777777" w:rsidR="00E51CDD" w:rsidRPr="00227BE0" w:rsidRDefault="00E51CDD" w:rsidP="009938D9">
            <w:pPr>
              <w:rPr>
                <w:color w:val="000000"/>
                <w:sz w:val="20"/>
                <w:szCs w:val="20"/>
                <w:lang w:eastAsia="en-US"/>
              </w:rPr>
            </w:pPr>
          </w:p>
        </w:tc>
        <w:tc>
          <w:tcPr>
            <w:tcW w:w="835" w:type="pct"/>
            <w:tcBorders>
              <w:top w:val="nil"/>
              <w:left w:val="single" w:sz="4" w:space="0" w:color="auto"/>
              <w:bottom w:val="nil"/>
              <w:right w:val="single" w:sz="4" w:space="0" w:color="auto"/>
            </w:tcBorders>
            <w:shd w:val="clear" w:color="auto" w:fill="auto"/>
            <w:noWrap/>
            <w:vAlign w:val="center"/>
            <w:hideMark/>
          </w:tcPr>
          <w:p w14:paraId="55D775B0" w14:textId="77777777" w:rsidR="00E51CDD" w:rsidRPr="00227BE0" w:rsidRDefault="00E51CDD" w:rsidP="009938D9">
            <w:pPr>
              <w:jc w:val="center"/>
              <w:rPr>
                <w:i/>
                <w:iCs/>
                <w:color w:val="000000"/>
                <w:sz w:val="20"/>
                <w:szCs w:val="20"/>
                <w:lang w:eastAsia="en-US"/>
              </w:rPr>
            </w:pPr>
            <w:r w:rsidRPr="00227BE0">
              <w:rPr>
                <w:i/>
                <w:iCs/>
                <w:color w:val="000000"/>
                <w:sz w:val="20"/>
                <w:szCs w:val="20"/>
                <w:lang w:eastAsia="en-US"/>
              </w:rPr>
              <w:t>D. magna</w:t>
            </w:r>
          </w:p>
        </w:tc>
        <w:tc>
          <w:tcPr>
            <w:tcW w:w="826" w:type="pct"/>
            <w:vMerge/>
            <w:tcBorders>
              <w:top w:val="nil"/>
              <w:left w:val="single" w:sz="4" w:space="0" w:color="auto"/>
              <w:bottom w:val="nil"/>
              <w:right w:val="single" w:sz="4" w:space="0" w:color="auto"/>
            </w:tcBorders>
            <w:vAlign w:val="center"/>
            <w:hideMark/>
          </w:tcPr>
          <w:p w14:paraId="45CAC8CA" w14:textId="77777777" w:rsidR="00E51CDD" w:rsidRPr="00227BE0" w:rsidRDefault="00E51CDD" w:rsidP="009938D9">
            <w:pPr>
              <w:rPr>
                <w:color w:val="000000"/>
                <w:sz w:val="20"/>
                <w:szCs w:val="20"/>
                <w:lang w:eastAsia="en-US"/>
              </w:rPr>
            </w:pPr>
          </w:p>
        </w:tc>
        <w:tc>
          <w:tcPr>
            <w:tcW w:w="814" w:type="pct"/>
            <w:vMerge/>
            <w:tcBorders>
              <w:top w:val="nil"/>
              <w:left w:val="single" w:sz="4" w:space="0" w:color="auto"/>
              <w:bottom w:val="nil"/>
              <w:right w:val="single" w:sz="4" w:space="0" w:color="auto"/>
            </w:tcBorders>
            <w:vAlign w:val="center"/>
            <w:hideMark/>
          </w:tcPr>
          <w:p w14:paraId="0F85BDC9" w14:textId="77777777" w:rsidR="00E51CDD" w:rsidRPr="00227BE0" w:rsidRDefault="00E51CDD" w:rsidP="009938D9">
            <w:pPr>
              <w:rPr>
                <w:color w:val="000000"/>
                <w:sz w:val="20"/>
                <w:szCs w:val="20"/>
                <w:lang w:eastAsia="en-US"/>
              </w:rPr>
            </w:pPr>
          </w:p>
        </w:tc>
        <w:tc>
          <w:tcPr>
            <w:tcW w:w="667" w:type="pct"/>
            <w:vMerge/>
            <w:tcBorders>
              <w:top w:val="nil"/>
              <w:left w:val="nil"/>
              <w:bottom w:val="single" w:sz="4" w:space="0" w:color="000000"/>
              <w:right w:val="single" w:sz="4" w:space="0" w:color="auto"/>
            </w:tcBorders>
            <w:vAlign w:val="center"/>
            <w:hideMark/>
          </w:tcPr>
          <w:p w14:paraId="18CE77AD" w14:textId="77777777" w:rsidR="00E51CDD" w:rsidRPr="00227BE0" w:rsidRDefault="00E51CDD" w:rsidP="009938D9">
            <w:pPr>
              <w:rPr>
                <w:color w:val="000000"/>
                <w:sz w:val="20"/>
                <w:szCs w:val="20"/>
                <w:lang w:eastAsia="en-US"/>
              </w:rPr>
            </w:pPr>
          </w:p>
        </w:tc>
        <w:tc>
          <w:tcPr>
            <w:tcW w:w="426" w:type="pct"/>
            <w:vMerge/>
            <w:tcBorders>
              <w:top w:val="nil"/>
              <w:left w:val="single" w:sz="4" w:space="0" w:color="auto"/>
              <w:bottom w:val="nil"/>
              <w:right w:val="single" w:sz="4" w:space="0" w:color="auto"/>
            </w:tcBorders>
            <w:vAlign w:val="center"/>
            <w:hideMark/>
          </w:tcPr>
          <w:p w14:paraId="43D1EF67" w14:textId="77777777" w:rsidR="00E51CDD" w:rsidRPr="00227BE0" w:rsidRDefault="00E51CDD" w:rsidP="009938D9">
            <w:pPr>
              <w:rPr>
                <w:color w:val="000000"/>
                <w:sz w:val="20"/>
                <w:szCs w:val="20"/>
                <w:lang w:eastAsia="en-US"/>
              </w:rPr>
            </w:pPr>
          </w:p>
        </w:tc>
      </w:tr>
      <w:tr w:rsidR="00E51CDD" w:rsidRPr="00227BE0" w14:paraId="55BAC39D" w14:textId="77777777" w:rsidTr="009938D9">
        <w:trPr>
          <w:trHeight w:val="340"/>
        </w:trPr>
        <w:tc>
          <w:tcPr>
            <w:tcW w:w="724" w:type="pct"/>
            <w:vMerge/>
            <w:tcBorders>
              <w:left w:val="single" w:sz="4" w:space="0" w:color="auto"/>
              <w:right w:val="single" w:sz="4" w:space="0" w:color="auto"/>
            </w:tcBorders>
            <w:shd w:val="clear" w:color="auto" w:fill="auto"/>
            <w:vAlign w:val="center"/>
            <w:hideMark/>
          </w:tcPr>
          <w:p w14:paraId="3829E2BE" w14:textId="77777777" w:rsidR="00E51CDD" w:rsidRPr="00227BE0" w:rsidRDefault="00E51CDD" w:rsidP="009938D9">
            <w:pPr>
              <w:rPr>
                <w:b/>
                <w:bCs/>
                <w:color w:val="000000"/>
                <w:sz w:val="20"/>
                <w:szCs w:val="20"/>
                <w:lang w:eastAsia="en-US"/>
              </w:rPr>
            </w:pPr>
          </w:p>
        </w:tc>
        <w:tc>
          <w:tcPr>
            <w:tcW w:w="709" w:type="pct"/>
            <w:vMerge w:val="restart"/>
            <w:tcBorders>
              <w:top w:val="single" w:sz="4" w:space="0" w:color="auto"/>
              <w:left w:val="single" w:sz="4" w:space="0" w:color="auto"/>
              <w:bottom w:val="single" w:sz="4" w:space="0" w:color="auto"/>
              <w:right w:val="nil"/>
            </w:tcBorders>
            <w:shd w:val="clear" w:color="auto" w:fill="auto"/>
            <w:noWrap/>
            <w:vAlign w:val="center"/>
            <w:hideMark/>
          </w:tcPr>
          <w:p w14:paraId="39EC5290" w14:textId="77777777" w:rsidR="00E51CDD" w:rsidRPr="00227BE0" w:rsidRDefault="00E51CDD" w:rsidP="009938D9">
            <w:pPr>
              <w:jc w:val="center"/>
              <w:rPr>
                <w:color w:val="000000"/>
                <w:sz w:val="20"/>
                <w:szCs w:val="20"/>
                <w:lang w:eastAsia="en-US"/>
              </w:rPr>
            </w:pPr>
            <w:r w:rsidRPr="00227BE0">
              <w:rPr>
                <w:color w:val="000000"/>
                <w:sz w:val="20"/>
                <w:szCs w:val="20"/>
                <w:lang w:eastAsia="en-US"/>
              </w:rPr>
              <w:t>azoxystrobin</w:t>
            </w:r>
          </w:p>
        </w:tc>
        <w:tc>
          <w:tcPr>
            <w:tcW w:w="835" w:type="pct"/>
            <w:tcBorders>
              <w:top w:val="single" w:sz="4" w:space="0" w:color="auto"/>
              <w:left w:val="single" w:sz="4" w:space="0" w:color="auto"/>
              <w:bottom w:val="nil"/>
              <w:right w:val="single" w:sz="4" w:space="0" w:color="auto"/>
            </w:tcBorders>
            <w:shd w:val="clear" w:color="auto" w:fill="auto"/>
            <w:noWrap/>
            <w:vAlign w:val="center"/>
            <w:hideMark/>
          </w:tcPr>
          <w:p w14:paraId="3A28395A" w14:textId="77777777" w:rsidR="00E51CDD" w:rsidRPr="00227BE0" w:rsidRDefault="00E51CDD" w:rsidP="009938D9">
            <w:pPr>
              <w:jc w:val="center"/>
              <w:rPr>
                <w:color w:val="000000"/>
                <w:sz w:val="20"/>
                <w:szCs w:val="20"/>
                <w:lang w:eastAsia="en-US"/>
              </w:rPr>
            </w:pPr>
            <w:r w:rsidRPr="00227BE0">
              <w:rPr>
                <w:color w:val="000000"/>
                <w:sz w:val="20"/>
                <w:szCs w:val="20"/>
                <w:lang w:eastAsia="en-US"/>
              </w:rPr>
              <w:t>21</w:t>
            </w:r>
            <w:r w:rsidRPr="00227BE0">
              <w:rPr>
                <w:color w:val="000000"/>
                <w:sz w:val="20"/>
                <w:szCs w:val="20"/>
                <w:lang w:eastAsia="en-US"/>
              </w:rPr>
              <w:noBreakHyphen/>
              <w:t>d NOEC</w:t>
            </w:r>
          </w:p>
        </w:tc>
        <w:tc>
          <w:tcPr>
            <w:tcW w:w="82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42CFFC6" w14:textId="77777777" w:rsidR="00E51CDD" w:rsidRPr="00227BE0" w:rsidRDefault="00E51CDD" w:rsidP="009938D9">
            <w:pPr>
              <w:jc w:val="center"/>
              <w:rPr>
                <w:color w:val="000000"/>
                <w:sz w:val="20"/>
                <w:szCs w:val="20"/>
                <w:lang w:eastAsia="en-US"/>
              </w:rPr>
            </w:pPr>
            <w:r w:rsidRPr="00227BE0">
              <w:rPr>
                <w:color w:val="000000"/>
                <w:sz w:val="20"/>
                <w:szCs w:val="20"/>
                <w:lang w:eastAsia="en-US"/>
              </w:rPr>
              <w:t>75</w:t>
            </w:r>
          </w:p>
        </w:tc>
        <w:tc>
          <w:tcPr>
            <w:tcW w:w="81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D5D0CBF" w14:textId="77777777" w:rsidR="00E51CDD" w:rsidRPr="00227BE0" w:rsidRDefault="00E51CDD" w:rsidP="009938D9">
            <w:pPr>
              <w:jc w:val="center"/>
              <w:rPr>
                <w:color w:val="000000"/>
                <w:sz w:val="20"/>
                <w:szCs w:val="20"/>
                <w:lang w:eastAsia="en-US"/>
              </w:rPr>
            </w:pPr>
            <w:r w:rsidRPr="00227BE0">
              <w:rPr>
                <w:color w:val="000000"/>
                <w:sz w:val="20"/>
                <w:szCs w:val="20"/>
                <w:lang w:eastAsia="en-US"/>
              </w:rPr>
              <w:t>44</w:t>
            </w:r>
          </w:p>
        </w:tc>
        <w:tc>
          <w:tcPr>
            <w:tcW w:w="667" w:type="pct"/>
            <w:vMerge w:val="restart"/>
            <w:tcBorders>
              <w:top w:val="nil"/>
              <w:left w:val="nil"/>
              <w:bottom w:val="single" w:sz="4" w:space="0" w:color="000000"/>
              <w:right w:val="single" w:sz="4" w:space="0" w:color="auto"/>
            </w:tcBorders>
            <w:shd w:val="clear" w:color="auto" w:fill="auto"/>
            <w:noWrap/>
            <w:vAlign w:val="center"/>
            <w:hideMark/>
          </w:tcPr>
          <w:p w14:paraId="35BECF9B" w14:textId="77777777" w:rsidR="00E51CDD" w:rsidRPr="00227BE0" w:rsidRDefault="00E51CDD" w:rsidP="009938D9">
            <w:pPr>
              <w:jc w:val="center"/>
              <w:rPr>
                <w:color w:val="000000"/>
                <w:sz w:val="20"/>
                <w:szCs w:val="20"/>
                <w:lang w:eastAsia="en-US"/>
              </w:rPr>
            </w:pPr>
            <w:r w:rsidRPr="00227BE0">
              <w:rPr>
                <w:color w:val="000000"/>
                <w:sz w:val="20"/>
                <w:szCs w:val="20"/>
                <w:lang w:eastAsia="en-US"/>
              </w:rPr>
              <w:t>1704545</w:t>
            </w:r>
          </w:p>
        </w:tc>
        <w:tc>
          <w:tcPr>
            <w:tcW w:w="426" w:type="pct"/>
            <w:vMerge w:val="restart"/>
            <w:tcBorders>
              <w:top w:val="single" w:sz="4" w:space="0" w:color="auto"/>
              <w:left w:val="single" w:sz="4" w:space="0" w:color="auto"/>
              <w:bottom w:val="nil"/>
              <w:right w:val="single" w:sz="4" w:space="0" w:color="auto"/>
            </w:tcBorders>
            <w:shd w:val="clear" w:color="auto" w:fill="auto"/>
            <w:noWrap/>
            <w:vAlign w:val="center"/>
            <w:hideMark/>
          </w:tcPr>
          <w:p w14:paraId="742F4D70" w14:textId="77777777" w:rsidR="00E51CDD" w:rsidRPr="00227BE0" w:rsidRDefault="00E51CDD" w:rsidP="009938D9">
            <w:pPr>
              <w:jc w:val="center"/>
              <w:rPr>
                <w:b/>
                <w:color w:val="000000"/>
                <w:sz w:val="20"/>
                <w:szCs w:val="20"/>
                <w:lang w:eastAsia="en-US"/>
              </w:rPr>
            </w:pPr>
            <w:r w:rsidRPr="00227BE0">
              <w:rPr>
                <w:b/>
                <w:color w:val="000000"/>
                <w:sz w:val="20"/>
                <w:szCs w:val="20"/>
                <w:lang w:eastAsia="en-US"/>
              </w:rPr>
              <w:t>94.5</w:t>
            </w:r>
          </w:p>
        </w:tc>
      </w:tr>
      <w:tr w:rsidR="00E51CDD" w:rsidRPr="00227BE0" w14:paraId="35E8E396" w14:textId="77777777" w:rsidTr="009938D9">
        <w:trPr>
          <w:trHeight w:val="340"/>
        </w:trPr>
        <w:tc>
          <w:tcPr>
            <w:tcW w:w="724" w:type="pct"/>
            <w:vMerge/>
            <w:tcBorders>
              <w:left w:val="single" w:sz="4" w:space="0" w:color="auto"/>
              <w:bottom w:val="single" w:sz="4" w:space="0" w:color="000000"/>
              <w:right w:val="single" w:sz="4" w:space="0" w:color="auto"/>
            </w:tcBorders>
            <w:shd w:val="clear" w:color="auto" w:fill="auto"/>
            <w:vAlign w:val="center"/>
            <w:hideMark/>
          </w:tcPr>
          <w:p w14:paraId="78EF36AC" w14:textId="77777777" w:rsidR="00E51CDD" w:rsidRPr="00227BE0" w:rsidRDefault="00E51CDD" w:rsidP="009938D9">
            <w:pPr>
              <w:rPr>
                <w:b/>
                <w:bCs/>
                <w:color w:val="000000"/>
                <w:sz w:val="20"/>
                <w:szCs w:val="20"/>
                <w:lang w:eastAsia="en-US"/>
              </w:rPr>
            </w:pPr>
          </w:p>
        </w:tc>
        <w:tc>
          <w:tcPr>
            <w:tcW w:w="709" w:type="pct"/>
            <w:vMerge/>
            <w:tcBorders>
              <w:top w:val="single" w:sz="4" w:space="0" w:color="auto"/>
              <w:left w:val="single" w:sz="4" w:space="0" w:color="auto"/>
              <w:bottom w:val="single" w:sz="4" w:space="0" w:color="auto"/>
              <w:right w:val="nil"/>
            </w:tcBorders>
            <w:vAlign w:val="center"/>
            <w:hideMark/>
          </w:tcPr>
          <w:p w14:paraId="0C11601F" w14:textId="77777777" w:rsidR="00E51CDD" w:rsidRPr="00227BE0" w:rsidRDefault="00E51CDD" w:rsidP="009938D9">
            <w:pPr>
              <w:rPr>
                <w:color w:val="000000"/>
                <w:sz w:val="20"/>
                <w:szCs w:val="20"/>
                <w:lang w:eastAsia="en-US"/>
              </w:rPr>
            </w:pPr>
          </w:p>
        </w:tc>
        <w:tc>
          <w:tcPr>
            <w:tcW w:w="835" w:type="pct"/>
            <w:tcBorders>
              <w:top w:val="nil"/>
              <w:left w:val="single" w:sz="4" w:space="0" w:color="auto"/>
              <w:bottom w:val="single" w:sz="4" w:space="0" w:color="auto"/>
              <w:right w:val="single" w:sz="4" w:space="0" w:color="auto"/>
            </w:tcBorders>
            <w:shd w:val="clear" w:color="auto" w:fill="auto"/>
            <w:noWrap/>
            <w:vAlign w:val="center"/>
            <w:hideMark/>
          </w:tcPr>
          <w:p w14:paraId="11A12DA7" w14:textId="77777777" w:rsidR="00E51CDD" w:rsidRPr="00227BE0" w:rsidRDefault="00E51CDD" w:rsidP="009938D9">
            <w:pPr>
              <w:jc w:val="center"/>
              <w:rPr>
                <w:i/>
                <w:iCs/>
                <w:color w:val="000000"/>
                <w:sz w:val="20"/>
                <w:szCs w:val="20"/>
                <w:lang w:eastAsia="en-US"/>
              </w:rPr>
            </w:pPr>
            <w:r w:rsidRPr="00227BE0">
              <w:rPr>
                <w:i/>
                <w:iCs/>
                <w:color w:val="000000"/>
                <w:sz w:val="20"/>
                <w:szCs w:val="20"/>
                <w:lang w:eastAsia="en-US"/>
              </w:rPr>
              <w:t>D. magna</w:t>
            </w:r>
          </w:p>
        </w:tc>
        <w:tc>
          <w:tcPr>
            <w:tcW w:w="826" w:type="pct"/>
            <w:vMerge/>
            <w:tcBorders>
              <w:top w:val="single" w:sz="4" w:space="0" w:color="auto"/>
              <w:left w:val="single" w:sz="4" w:space="0" w:color="auto"/>
              <w:bottom w:val="single" w:sz="4" w:space="0" w:color="000000"/>
              <w:right w:val="single" w:sz="4" w:space="0" w:color="auto"/>
            </w:tcBorders>
            <w:vAlign w:val="center"/>
            <w:hideMark/>
          </w:tcPr>
          <w:p w14:paraId="6F610F78" w14:textId="77777777" w:rsidR="00E51CDD" w:rsidRPr="00227BE0" w:rsidRDefault="00E51CDD" w:rsidP="009938D9">
            <w:pPr>
              <w:rPr>
                <w:color w:val="000000"/>
                <w:sz w:val="20"/>
                <w:szCs w:val="20"/>
                <w:lang w:eastAsia="en-US"/>
              </w:rPr>
            </w:pPr>
          </w:p>
        </w:tc>
        <w:tc>
          <w:tcPr>
            <w:tcW w:w="814" w:type="pct"/>
            <w:vMerge/>
            <w:tcBorders>
              <w:top w:val="single" w:sz="4" w:space="0" w:color="auto"/>
              <w:left w:val="single" w:sz="4" w:space="0" w:color="auto"/>
              <w:bottom w:val="single" w:sz="4" w:space="0" w:color="000000"/>
              <w:right w:val="single" w:sz="4" w:space="0" w:color="auto"/>
            </w:tcBorders>
            <w:vAlign w:val="center"/>
            <w:hideMark/>
          </w:tcPr>
          <w:p w14:paraId="799B6A72" w14:textId="77777777" w:rsidR="00E51CDD" w:rsidRPr="00227BE0" w:rsidRDefault="00E51CDD" w:rsidP="009938D9">
            <w:pPr>
              <w:rPr>
                <w:color w:val="000000"/>
                <w:sz w:val="20"/>
                <w:szCs w:val="20"/>
                <w:lang w:eastAsia="en-US"/>
              </w:rPr>
            </w:pPr>
          </w:p>
        </w:tc>
        <w:tc>
          <w:tcPr>
            <w:tcW w:w="667" w:type="pct"/>
            <w:vMerge/>
            <w:tcBorders>
              <w:top w:val="nil"/>
              <w:left w:val="nil"/>
              <w:bottom w:val="single" w:sz="4" w:space="0" w:color="000000"/>
              <w:right w:val="single" w:sz="4" w:space="0" w:color="auto"/>
            </w:tcBorders>
            <w:vAlign w:val="center"/>
            <w:hideMark/>
          </w:tcPr>
          <w:p w14:paraId="5A4FA15B" w14:textId="77777777" w:rsidR="00E51CDD" w:rsidRPr="00227BE0" w:rsidRDefault="00E51CDD" w:rsidP="009938D9">
            <w:pPr>
              <w:rPr>
                <w:color w:val="000000"/>
                <w:sz w:val="20"/>
                <w:szCs w:val="20"/>
                <w:lang w:eastAsia="en-US"/>
              </w:rPr>
            </w:pPr>
          </w:p>
        </w:tc>
        <w:tc>
          <w:tcPr>
            <w:tcW w:w="426" w:type="pct"/>
            <w:vMerge/>
            <w:tcBorders>
              <w:top w:val="single" w:sz="4" w:space="0" w:color="auto"/>
              <w:left w:val="single" w:sz="4" w:space="0" w:color="auto"/>
              <w:bottom w:val="nil"/>
              <w:right w:val="single" w:sz="4" w:space="0" w:color="auto"/>
            </w:tcBorders>
            <w:vAlign w:val="center"/>
            <w:hideMark/>
          </w:tcPr>
          <w:p w14:paraId="3BEE0955" w14:textId="77777777" w:rsidR="00E51CDD" w:rsidRPr="00227BE0" w:rsidRDefault="00E51CDD" w:rsidP="009938D9">
            <w:pPr>
              <w:rPr>
                <w:color w:val="000000"/>
                <w:sz w:val="20"/>
                <w:szCs w:val="20"/>
                <w:lang w:eastAsia="en-US"/>
              </w:rPr>
            </w:pPr>
          </w:p>
        </w:tc>
      </w:tr>
      <w:tr w:rsidR="00E51CDD" w:rsidRPr="00227BE0" w14:paraId="77F273E9" w14:textId="77777777" w:rsidTr="009938D9">
        <w:trPr>
          <w:trHeight w:val="340"/>
        </w:trPr>
        <w:tc>
          <w:tcPr>
            <w:tcW w:w="724" w:type="pct"/>
            <w:tcBorders>
              <w:top w:val="nil"/>
              <w:left w:val="single" w:sz="4" w:space="0" w:color="auto"/>
              <w:bottom w:val="single" w:sz="4" w:space="0" w:color="auto"/>
              <w:right w:val="nil"/>
            </w:tcBorders>
            <w:shd w:val="clear" w:color="auto" w:fill="auto"/>
            <w:noWrap/>
            <w:vAlign w:val="center"/>
            <w:hideMark/>
          </w:tcPr>
          <w:p w14:paraId="426FC5F0" w14:textId="77777777" w:rsidR="00E51CDD" w:rsidRPr="00227BE0" w:rsidRDefault="00E51CDD" w:rsidP="009938D9">
            <w:pPr>
              <w:rPr>
                <w:color w:val="000000"/>
                <w:sz w:val="20"/>
                <w:szCs w:val="20"/>
                <w:lang w:eastAsia="en-US"/>
              </w:rPr>
            </w:pPr>
            <w:r w:rsidRPr="00227BE0">
              <w:rPr>
                <w:color w:val="000000"/>
                <w:sz w:val="20"/>
                <w:szCs w:val="20"/>
                <w:lang w:eastAsia="en-US"/>
              </w:rPr>
              <w:t> </w:t>
            </w:r>
          </w:p>
        </w:tc>
        <w:tc>
          <w:tcPr>
            <w:tcW w:w="709" w:type="pct"/>
            <w:tcBorders>
              <w:top w:val="single" w:sz="4" w:space="0" w:color="auto"/>
              <w:left w:val="nil"/>
              <w:bottom w:val="single" w:sz="4" w:space="0" w:color="auto"/>
              <w:right w:val="nil"/>
            </w:tcBorders>
            <w:shd w:val="clear" w:color="auto" w:fill="auto"/>
            <w:noWrap/>
            <w:vAlign w:val="center"/>
            <w:hideMark/>
          </w:tcPr>
          <w:p w14:paraId="550956DC" w14:textId="77777777" w:rsidR="00E51CDD" w:rsidRPr="00227BE0" w:rsidRDefault="00E51CDD" w:rsidP="009938D9">
            <w:pPr>
              <w:jc w:val="center"/>
              <w:rPr>
                <w:color w:val="000000"/>
                <w:sz w:val="20"/>
                <w:szCs w:val="20"/>
                <w:lang w:eastAsia="en-US"/>
              </w:rPr>
            </w:pPr>
            <w:r w:rsidRPr="00227BE0">
              <w:rPr>
                <w:color w:val="000000"/>
                <w:sz w:val="20"/>
                <w:szCs w:val="20"/>
                <w:lang w:eastAsia="en-US"/>
              </w:rPr>
              <w:t>SUM TU</w:t>
            </w:r>
          </w:p>
        </w:tc>
        <w:tc>
          <w:tcPr>
            <w:tcW w:w="835" w:type="pct"/>
            <w:tcBorders>
              <w:top w:val="nil"/>
              <w:left w:val="nil"/>
              <w:bottom w:val="single" w:sz="4" w:space="0" w:color="auto"/>
              <w:right w:val="nil"/>
            </w:tcBorders>
            <w:shd w:val="clear" w:color="auto" w:fill="auto"/>
            <w:noWrap/>
            <w:vAlign w:val="center"/>
            <w:hideMark/>
          </w:tcPr>
          <w:p w14:paraId="62562B7C"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826" w:type="pct"/>
            <w:tcBorders>
              <w:top w:val="nil"/>
              <w:left w:val="nil"/>
              <w:bottom w:val="single" w:sz="4" w:space="0" w:color="auto"/>
              <w:right w:val="nil"/>
            </w:tcBorders>
            <w:shd w:val="clear" w:color="auto" w:fill="auto"/>
            <w:noWrap/>
            <w:vAlign w:val="center"/>
            <w:hideMark/>
          </w:tcPr>
          <w:p w14:paraId="1ECF0DAA"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814" w:type="pct"/>
            <w:tcBorders>
              <w:top w:val="nil"/>
              <w:left w:val="nil"/>
              <w:bottom w:val="single" w:sz="4" w:space="0" w:color="auto"/>
              <w:right w:val="nil"/>
            </w:tcBorders>
            <w:shd w:val="clear" w:color="auto" w:fill="auto"/>
            <w:noWrap/>
            <w:vAlign w:val="center"/>
            <w:hideMark/>
          </w:tcPr>
          <w:p w14:paraId="084BEF87"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667" w:type="pct"/>
            <w:tcBorders>
              <w:top w:val="nil"/>
              <w:left w:val="nil"/>
              <w:bottom w:val="single" w:sz="4" w:space="0" w:color="auto"/>
              <w:right w:val="nil"/>
            </w:tcBorders>
            <w:shd w:val="clear" w:color="auto" w:fill="auto"/>
            <w:noWrap/>
            <w:vAlign w:val="center"/>
            <w:hideMark/>
          </w:tcPr>
          <w:p w14:paraId="6430CD6E" w14:textId="77777777" w:rsidR="00E51CDD" w:rsidRPr="00227BE0" w:rsidRDefault="00E51CDD" w:rsidP="009938D9">
            <w:pPr>
              <w:jc w:val="center"/>
              <w:rPr>
                <w:color w:val="000000"/>
                <w:sz w:val="20"/>
                <w:szCs w:val="20"/>
                <w:lang w:eastAsia="en-US"/>
              </w:rPr>
            </w:pPr>
            <w:r w:rsidRPr="00227BE0">
              <w:rPr>
                <w:color w:val="000000"/>
                <w:sz w:val="20"/>
                <w:szCs w:val="20"/>
                <w:lang w:eastAsia="en-US"/>
              </w:rPr>
              <w:t>1804545</w:t>
            </w:r>
          </w:p>
        </w:tc>
        <w:tc>
          <w:tcPr>
            <w:tcW w:w="426" w:type="pct"/>
            <w:tcBorders>
              <w:top w:val="single" w:sz="4" w:space="0" w:color="auto"/>
              <w:left w:val="nil"/>
              <w:bottom w:val="single" w:sz="4" w:space="0" w:color="auto"/>
              <w:right w:val="single" w:sz="4" w:space="0" w:color="auto"/>
            </w:tcBorders>
            <w:shd w:val="clear" w:color="auto" w:fill="auto"/>
            <w:noWrap/>
            <w:vAlign w:val="center"/>
            <w:hideMark/>
          </w:tcPr>
          <w:p w14:paraId="3F45E86D"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r>
      <w:tr w:rsidR="00E51CDD" w:rsidRPr="00227BE0" w14:paraId="0A44F186" w14:textId="77777777" w:rsidTr="009938D9">
        <w:trPr>
          <w:trHeight w:val="340"/>
        </w:trPr>
        <w:tc>
          <w:tcPr>
            <w:tcW w:w="724" w:type="pct"/>
            <w:vMerge w:val="restart"/>
            <w:tcBorders>
              <w:top w:val="nil"/>
              <w:left w:val="single" w:sz="4" w:space="0" w:color="auto"/>
              <w:right w:val="single" w:sz="4" w:space="0" w:color="auto"/>
            </w:tcBorders>
            <w:shd w:val="clear" w:color="auto" w:fill="auto"/>
            <w:vAlign w:val="center"/>
            <w:hideMark/>
          </w:tcPr>
          <w:p w14:paraId="2B55BB70" w14:textId="77777777" w:rsidR="00E51CDD" w:rsidRPr="00227BE0" w:rsidRDefault="00E51CDD" w:rsidP="009938D9">
            <w:pPr>
              <w:rPr>
                <w:b/>
                <w:bCs/>
                <w:color w:val="000000"/>
                <w:sz w:val="20"/>
                <w:szCs w:val="20"/>
                <w:lang w:eastAsia="en-US"/>
              </w:rPr>
            </w:pPr>
            <w:r w:rsidRPr="00227BE0">
              <w:rPr>
                <w:b/>
                <w:bCs/>
                <w:color w:val="000000"/>
                <w:sz w:val="20"/>
                <w:szCs w:val="20"/>
                <w:lang w:eastAsia="en-US"/>
              </w:rPr>
              <w:t>Algae</w:t>
            </w:r>
          </w:p>
        </w:tc>
        <w:tc>
          <w:tcPr>
            <w:tcW w:w="709" w:type="pct"/>
            <w:vMerge w:val="restart"/>
            <w:tcBorders>
              <w:top w:val="single" w:sz="4" w:space="0" w:color="auto"/>
              <w:left w:val="single" w:sz="4" w:space="0" w:color="auto"/>
              <w:bottom w:val="single" w:sz="4" w:space="0" w:color="auto"/>
              <w:right w:val="nil"/>
            </w:tcBorders>
            <w:shd w:val="clear" w:color="auto" w:fill="auto"/>
            <w:noWrap/>
            <w:vAlign w:val="center"/>
            <w:hideMark/>
          </w:tcPr>
          <w:p w14:paraId="13049307" w14:textId="77777777" w:rsidR="00E51CDD" w:rsidRPr="00227BE0" w:rsidRDefault="00E51CDD" w:rsidP="009938D9">
            <w:pPr>
              <w:jc w:val="center"/>
              <w:rPr>
                <w:color w:val="000000"/>
                <w:sz w:val="20"/>
                <w:szCs w:val="20"/>
                <w:lang w:eastAsia="en-US"/>
              </w:rPr>
            </w:pPr>
            <w:r w:rsidRPr="00227BE0">
              <w:rPr>
                <w:color w:val="000000"/>
                <w:sz w:val="20"/>
                <w:szCs w:val="20"/>
                <w:lang w:eastAsia="en-US"/>
              </w:rPr>
              <w:t>fluxapyroxad</w:t>
            </w:r>
          </w:p>
        </w:tc>
        <w:tc>
          <w:tcPr>
            <w:tcW w:w="835" w:type="pct"/>
            <w:tcBorders>
              <w:top w:val="nil"/>
              <w:left w:val="single" w:sz="4" w:space="0" w:color="auto"/>
              <w:bottom w:val="nil"/>
              <w:right w:val="single" w:sz="4" w:space="0" w:color="auto"/>
            </w:tcBorders>
            <w:shd w:val="clear" w:color="auto" w:fill="auto"/>
            <w:noWrap/>
            <w:vAlign w:val="center"/>
            <w:hideMark/>
          </w:tcPr>
          <w:p w14:paraId="31893721" w14:textId="77777777" w:rsidR="00E51CDD" w:rsidRPr="00227BE0" w:rsidRDefault="00E51CDD" w:rsidP="009938D9">
            <w:pPr>
              <w:jc w:val="center"/>
              <w:rPr>
                <w:color w:val="000000"/>
                <w:sz w:val="20"/>
                <w:szCs w:val="20"/>
                <w:lang w:eastAsia="en-US"/>
              </w:rPr>
            </w:pPr>
            <w:r w:rsidRPr="00227BE0">
              <w:rPr>
                <w:color w:val="000000"/>
                <w:sz w:val="20"/>
                <w:szCs w:val="20"/>
                <w:lang w:eastAsia="en-US"/>
              </w:rPr>
              <w:t>72</w:t>
            </w:r>
            <w:r w:rsidRPr="00227BE0">
              <w:rPr>
                <w:color w:val="000000"/>
                <w:sz w:val="20"/>
                <w:szCs w:val="20"/>
                <w:lang w:eastAsia="en-US"/>
              </w:rPr>
              <w:noBreakHyphen/>
              <w:t>h / 11</w:t>
            </w:r>
            <w:r w:rsidRPr="00227BE0">
              <w:rPr>
                <w:color w:val="000000"/>
                <w:sz w:val="20"/>
                <w:szCs w:val="20"/>
                <w:lang w:eastAsia="en-US"/>
              </w:rPr>
              <w:noBreakHyphen/>
              <w:t>d ErC50</w:t>
            </w:r>
          </w:p>
        </w:tc>
        <w:tc>
          <w:tcPr>
            <w:tcW w:w="826" w:type="pct"/>
            <w:vMerge w:val="restart"/>
            <w:tcBorders>
              <w:top w:val="nil"/>
              <w:left w:val="single" w:sz="4" w:space="0" w:color="auto"/>
              <w:bottom w:val="nil"/>
              <w:right w:val="single" w:sz="4" w:space="0" w:color="auto"/>
            </w:tcBorders>
            <w:shd w:val="clear" w:color="auto" w:fill="auto"/>
            <w:noWrap/>
            <w:vAlign w:val="center"/>
            <w:hideMark/>
          </w:tcPr>
          <w:p w14:paraId="7814C0AE" w14:textId="77777777" w:rsidR="00E51CDD" w:rsidRPr="00227BE0" w:rsidRDefault="00E51CDD" w:rsidP="009938D9">
            <w:pPr>
              <w:jc w:val="center"/>
              <w:rPr>
                <w:color w:val="000000"/>
                <w:sz w:val="20"/>
                <w:szCs w:val="20"/>
                <w:lang w:eastAsia="en-US"/>
              </w:rPr>
            </w:pPr>
            <w:r w:rsidRPr="00227BE0">
              <w:rPr>
                <w:color w:val="000000"/>
                <w:sz w:val="20"/>
                <w:szCs w:val="20"/>
                <w:lang w:eastAsia="en-US"/>
              </w:rPr>
              <w:t>50</w:t>
            </w:r>
          </w:p>
        </w:tc>
        <w:tc>
          <w:tcPr>
            <w:tcW w:w="814" w:type="pct"/>
            <w:vMerge w:val="restart"/>
            <w:tcBorders>
              <w:top w:val="nil"/>
              <w:left w:val="single" w:sz="4" w:space="0" w:color="auto"/>
              <w:bottom w:val="nil"/>
              <w:right w:val="single" w:sz="4" w:space="0" w:color="auto"/>
            </w:tcBorders>
            <w:shd w:val="clear" w:color="auto" w:fill="auto"/>
            <w:noWrap/>
            <w:vAlign w:val="center"/>
            <w:hideMark/>
          </w:tcPr>
          <w:p w14:paraId="4F30CF4B" w14:textId="77777777" w:rsidR="00E51CDD" w:rsidRPr="00227BE0" w:rsidRDefault="00E51CDD" w:rsidP="009938D9">
            <w:pPr>
              <w:jc w:val="center"/>
              <w:rPr>
                <w:color w:val="000000"/>
                <w:sz w:val="20"/>
                <w:szCs w:val="20"/>
                <w:lang w:eastAsia="en-US"/>
              </w:rPr>
            </w:pPr>
            <w:r w:rsidRPr="00227BE0">
              <w:rPr>
                <w:color w:val="000000"/>
                <w:sz w:val="20"/>
                <w:szCs w:val="20"/>
                <w:lang w:eastAsia="en-US"/>
              </w:rPr>
              <w:t>700</w:t>
            </w:r>
          </w:p>
        </w:tc>
        <w:tc>
          <w:tcPr>
            <w:tcW w:w="667" w:type="pct"/>
            <w:vMerge w:val="restart"/>
            <w:tcBorders>
              <w:top w:val="nil"/>
              <w:left w:val="nil"/>
              <w:bottom w:val="single" w:sz="4" w:space="0" w:color="000000"/>
              <w:right w:val="single" w:sz="4" w:space="0" w:color="auto"/>
            </w:tcBorders>
            <w:shd w:val="clear" w:color="auto" w:fill="auto"/>
            <w:noWrap/>
            <w:vAlign w:val="center"/>
            <w:hideMark/>
          </w:tcPr>
          <w:p w14:paraId="1E8D424C" w14:textId="77777777" w:rsidR="00E51CDD" w:rsidRPr="00227BE0" w:rsidRDefault="00E51CDD" w:rsidP="009938D9">
            <w:pPr>
              <w:jc w:val="center"/>
              <w:rPr>
                <w:color w:val="000000"/>
                <w:sz w:val="20"/>
                <w:szCs w:val="20"/>
                <w:lang w:eastAsia="en-US"/>
              </w:rPr>
            </w:pPr>
            <w:r w:rsidRPr="00227BE0">
              <w:rPr>
                <w:color w:val="000000"/>
                <w:sz w:val="20"/>
                <w:szCs w:val="20"/>
                <w:lang w:eastAsia="en-US"/>
              </w:rPr>
              <w:t>71429</w:t>
            </w:r>
          </w:p>
        </w:tc>
        <w:tc>
          <w:tcPr>
            <w:tcW w:w="426" w:type="pct"/>
            <w:vMerge w:val="restart"/>
            <w:tcBorders>
              <w:top w:val="nil"/>
              <w:left w:val="single" w:sz="4" w:space="0" w:color="auto"/>
              <w:bottom w:val="nil"/>
              <w:right w:val="single" w:sz="4" w:space="0" w:color="auto"/>
            </w:tcBorders>
            <w:shd w:val="clear" w:color="auto" w:fill="auto"/>
            <w:noWrap/>
            <w:vAlign w:val="center"/>
            <w:hideMark/>
          </w:tcPr>
          <w:p w14:paraId="2C350D1E" w14:textId="77777777" w:rsidR="00E51CDD" w:rsidRPr="00227BE0" w:rsidRDefault="00E51CDD" w:rsidP="009938D9">
            <w:pPr>
              <w:jc w:val="center"/>
              <w:rPr>
                <w:color w:val="000000"/>
                <w:sz w:val="20"/>
                <w:szCs w:val="20"/>
                <w:lang w:eastAsia="en-US"/>
              </w:rPr>
            </w:pPr>
            <w:r w:rsidRPr="00227BE0">
              <w:rPr>
                <w:color w:val="000000"/>
                <w:sz w:val="20"/>
                <w:szCs w:val="20"/>
                <w:lang w:eastAsia="en-US"/>
              </w:rPr>
              <w:t>14.8</w:t>
            </w:r>
          </w:p>
        </w:tc>
      </w:tr>
      <w:tr w:rsidR="00E51CDD" w:rsidRPr="00227BE0" w14:paraId="3DB02151" w14:textId="77777777" w:rsidTr="009938D9">
        <w:trPr>
          <w:trHeight w:val="340"/>
        </w:trPr>
        <w:tc>
          <w:tcPr>
            <w:tcW w:w="724" w:type="pct"/>
            <w:vMerge/>
            <w:tcBorders>
              <w:left w:val="single" w:sz="4" w:space="0" w:color="auto"/>
              <w:right w:val="single" w:sz="4" w:space="0" w:color="auto"/>
            </w:tcBorders>
            <w:shd w:val="clear" w:color="auto" w:fill="auto"/>
            <w:vAlign w:val="center"/>
            <w:hideMark/>
          </w:tcPr>
          <w:p w14:paraId="11F248F2" w14:textId="77777777" w:rsidR="00E51CDD" w:rsidRPr="00227BE0" w:rsidRDefault="00E51CDD" w:rsidP="009938D9">
            <w:pPr>
              <w:rPr>
                <w:b/>
                <w:bCs/>
                <w:color w:val="000000"/>
                <w:sz w:val="20"/>
                <w:szCs w:val="20"/>
                <w:lang w:eastAsia="en-US"/>
              </w:rPr>
            </w:pPr>
          </w:p>
        </w:tc>
        <w:tc>
          <w:tcPr>
            <w:tcW w:w="709" w:type="pct"/>
            <w:vMerge/>
            <w:tcBorders>
              <w:top w:val="single" w:sz="4" w:space="0" w:color="auto"/>
              <w:left w:val="single" w:sz="4" w:space="0" w:color="auto"/>
              <w:bottom w:val="single" w:sz="4" w:space="0" w:color="auto"/>
              <w:right w:val="nil"/>
            </w:tcBorders>
            <w:vAlign w:val="center"/>
            <w:hideMark/>
          </w:tcPr>
          <w:p w14:paraId="16E52649" w14:textId="77777777" w:rsidR="00E51CDD" w:rsidRPr="00227BE0" w:rsidRDefault="00E51CDD" w:rsidP="009938D9">
            <w:pPr>
              <w:rPr>
                <w:color w:val="000000"/>
                <w:sz w:val="20"/>
                <w:szCs w:val="20"/>
                <w:lang w:eastAsia="en-US"/>
              </w:rPr>
            </w:pPr>
          </w:p>
        </w:tc>
        <w:tc>
          <w:tcPr>
            <w:tcW w:w="835" w:type="pct"/>
            <w:tcBorders>
              <w:top w:val="nil"/>
              <w:left w:val="single" w:sz="4" w:space="0" w:color="auto"/>
              <w:bottom w:val="nil"/>
              <w:right w:val="single" w:sz="4" w:space="0" w:color="auto"/>
            </w:tcBorders>
            <w:shd w:val="clear" w:color="auto" w:fill="auto"/>
            <w:noWrap/>
            <w:vAlign w:val="center"/>
            <w:hideMark/>
          </w:tcPr>
          <w:p w14:paraId="6FFA8519" w14:textId="77777777" w:rsidR="00E51CDD" w:rsidRPr="00227BE0" w:rsidRDefault="00E51CDD" w:rsidP="009938D9">
            <w:pPr>
              <w:jc w:val="center"/>
              <w:rPr>
                <w:i/>
                <w:iCs/>
                <w:color w:val="000000"/>
                <w:sz w:val="20"/>
                <w:szCs w:val="20"/>
                <w:lang w:eastAsia="en-US"/>
              </w:rPr>
            </w:pPr>
            <w:r w:rsidRPr="00227BE0">
              <w:rPr>
                <w:i/>
                <w:iCs/>
                <w:color w:val="000000"/>
                <w:sz w:val="20"/>
                <w:szCs w:val="20"/>
                <w:lang w:eastAsia="en-US"/>
              </w:rPr>
              <w:t>P. subcapitata</w:t>
            </w:r>
          </w:p>
        </w:tc>
        <w:tc>
          <w:tcPr>
            <w:tcW w:w="826" w:type="pct"/>
            <w:vMerge/>
            <w:tcBorders>
              <w:top w:val="nil"/>
              <w:left w:val="single" w:sz="4" w:space="0" w:color="auto"/>
              <w:bottom w:val="nil"/>
              <w:right w:val="single" w:sz="4" w:space="0" w:color="auto"/>
            </w:tcBorders>
            <w:vAlign w:val="center"/>
            <w:hideMark/>
          </w:tcPr>
          <w:p w14:paraId="78D11454" w14:textId="77777777" w:rsidR="00E51CDD" w:rsidRPr="00227BE0" w:rsidRDefault="00E51CDD" w:rsidP="009938D9">
            <w:pPr>
              <w:rPr>
                <w:color w:val="000000"/>
                <w:sz w:val="20"/>
                <w:szCs w:val="20"/>
                <w:lang w:eastAsia="en-US"/>
              </w:rPr>
            </w:pPr>
          </w:p>
        </w:tc>
        <w:tc>
          <w:tcPr>
            <w:tcW w:w="814" w:type="pct"/>
            <w:vMerge/>
            <w:tcBorders>
              <w:top w:val="nil"/>
              <w:left w:val="single" w:sz="4" w:space="0" w:color="auto"/>
              <w:bottom w:val="nil"/>
              <w:right w:val="single" w:sz="4" w:space="0" w:color="auto"/>
            </w:tcBorders>
            <w:vAlign w:val="center"/>
            <w:hideMark/>
          </w:tcPr>
          <w:p w14:paraId="0805CB49" w14:textId="77777777" w:rsidR="00E51CDD" w:rsidRPr="00227BE0" w:rsidRDefault="00E51CDD" w:rsidP="009938D9">
            <w:pPr>
              <w:rPr>
                <w:color w:val="000000"/>
                <w:sz w:val="20"/>
                <w:szCs w:val="20"/>
                <w:lang w:eastAsia="en-US"/>
              </w:rPr>
            </w:pPr>
          </w:p>
        </w:tc>
        <w:tc>
          <w:tcPr>
            <w:tcW w:w="667" w:type="pct"/>
            <w:vMerge/>
            <w:tcBorders>
              <w:top w:val="nil"/>
              <w:left w:val="nil"/>
              <w:bottom w:val="single" w:sz="4" w:space="0" w:color="000000"/>
              <w:right w:val="single" w:sz="4" w:space="0" w:color="auto"/>
            </w:tcBorders>
            <w:vAlign w:val="center"/>
            <w:hideMark/>
          </w:tcPr>
          <w:p w14:paraId="6154713B" w14:textId="77777777" w:rsidR="00E51CDD" w:rsidRPr="00227BE0" w:rsidRDefault="00E51CDD" w:rsidP="009938D9">
            <w:pPr>
              <w:rPr>
                <w:color w:val="000000"/>
                <w:sz w:val="20"/>
                <w:szCs w:val="20"/>
                <w:lang w:eastAsia="en-US"/>
              </w:rPr>
            </w:pPr>
          </w:p>
        </w:tc>
        <w:tc>
          <w:tcPr>
            <w:tcW w:w="426" w:type="pct"/>
            <w:vMerge/>
            <w:tcBorders>
              <w:top w:val="nil"/>
              <w:left w:val="single" w:sz="4" w:space="0" w:color="auto"/>
              <w:bottom w:val="nil"/>
              <w:right w:val="single" w:sz="4" w:space="0" w:color="auto"/>
            </w:tcBorders>
            <w:vAlign w:val="center"/>
            <w:hideMark/>
          </w:tcPr>
          <w:p w14:paraId="7F88C9BC" w14:textId="77777777" w:rsidR="00E51CDD" w:rsidRPr="00227BE0" w:rsidRDefault="00E51CDD" w:rsidP="009938D9">
            <w:pPr>
              <w:rPr>
                <w:color w:val="000000"/>
                <w:sz w:val="20"/>
                <w:szCs w:val="20"/>
                <w:lang w:eastAsia="en-US"/>
              </w:rPr>
            </w:pPr>
          </w:p>
        </w:tc>
      </w:tr>
      <w:tr w:rsidR="00E51CDD" w:rsidRPr="00227BE0" w14:paraId="55D16E42" w14:textId="77777777" w:rsidTr="009938D9">
        <w:trPr>
          <w:trHeight w:val="340"/>
        </w:trPr>
        <w:tc>
          <w:tcPr>
            <w:tcW w:w="724" w:type="pct"/>
            <w:vMerge/>
            <w:tcBorders>
              <w:left w:val="single" w:sz="4" w:space="0" w:color="auto"/>
              <w:right w:val="single" w:sz="4" w:space="0" w:color="auto"/>
            </w:tcBorders>
            <w:shd w:val="clear" w:color="auto" w:fill="auto"/>
            <w:vAlign w:val="center"/>
            <w:hideMark/>
          </w:tcPr>
          <w:p w14:paraId="28FAE92F" w14:textId="77777777" w:rsidR="00E51CDD" w:rsidRPr="00227BE0" w:rsidRDefault="00E51CDD" w:rsidP="009938D9">
            <w:pPr>
              <w:rPr>
                <w:b/>
                <w:bCs/>
                <w:color w:val="000000"/>
                <w:sz w:val="20"/>
                <w:szCs w:val="20"/>
                <w:lang w:eastAsia="en-US"/>
              </w:rPr>
            </w:pPr>
          </w:p>
        </w:tc>
        <w:tc>
          <w:tcPr>
            <w:tcW w:w="709" w:type="pct"/>
            <w:vMerge w:val="restart"/>
            <w:tcBorders>
              <w:top w:val="single" w:sz="4" w:space="0" w:color="auto"/>
              <w:left w:val="single" w:sz="4" w:space="0" w:color="auto"/>
              <w:bottom w:val="single" w:sz="4" w:space="0" w:color="auto"/>
              <w:right w:val="nil"/>
            </w:tcBorders>
            <w:shd w:val="clear" w:color="auto" w:fill="auto"/>
            <w:noWrap/>
            <w:vAlign w:val="center"/>
            <w:hideMark/>
          </w:tcPr>
          <w:p w14:paraId="3CD071DD" w14:textId="77777777" w:rsidR="00E51CDD" w:rsidRPr="00227BE0" w:rsidRDefault="00E51CDD" w:rsidP="009938D9">
            <w:pPr>
              <w:jc w:val="center"/>
              <w:rPr>
                <w:color w:val="000000"/>
                <w:sz w:val="20"/>
                <w:szCs w:val="20"/>
                <w:lang w:eastAsia="en-US"/>
              </w:rPr>
            </w:pPr>
            <w:r w:rsidRPr="00227BE0">
              <w:rPr>
                <w:color w:val="000000"/>
                <w:sz w:val="20"/>
                <w:szCs w:val="20"/>
                <w:lang w:eastAsia="en-US"/>
              </w:rPr>
              <w:t>azoxystrobin</w:t>
            </w:r>
          </w:p>
        </w:tc>
        <w:tc>
          <w:tcPr>
            <w:tcW w:w="835" w:type="pct"/>
            <w:tcBorders>
              <w:top w:val="single" w:sz="4" w:space="0" w:color="auto"/>
              <w:left w:val="single" w:sz="4" w:space="0" w:color="auto"/>
              <w:bottom w:val="nil"/>
              <w:right w:val="single" w:sz="4" w:space="0" w:color="auto"/>
            </w:tcBorders>
            <w:shd w:val="clear" w:color="auto" w:fill="auto"/>
            <w:noWrap/>
            <w:vAlign w:val="center"/>
            <w:hideMark/>
          </w:tcPr>
          <w:p w14:paraId="23ACF132" w14:textId="77777777" w:rsidR="00E51CDD" w:rsidRPr="00227BE0" w:rsidRDefault="00E51CDD" w:rsidP="009938D9">
            <w:pPr>
              <w:jc w:val="center"/>
              <w:rPr>
                <w:color w:val="000000"/>
                <w:sz w:val="20"/>
                <w:szCs w:val="20"/>
                <w:lang w:eastAsia="en-US"/>
              </w:rPr>
            </w:pPr>
            <w:r w:rsidRPr="00227BE0">
              <w:rPr>
                <w:color w:val="000000"/>
                <w:sz w:val="20"/>
                <w:szCs w:val="20"/>
                <w:lang w:eastAsia="en-US"/>
              </w:rPr>
              <w:t>72 h / 11 d E</w:t>
            </w:r>
            <w:r w:rsidRPr="00227BE0">
              <w:rPr>
                <w:color w:val="000000"/>
                <w:sz w:val="20"/>
                <w:szCs w:val="20"/>
                <w:vertAlign w:val="subscript"/>
                <w:lang w:eastAsia="en-US"/>
              </w:rPr>
              <w:t>r</w:t>
            </w:r>
            <w:r w:rsidRPr="00227BE0">
              <w:rPr>
                <w:color w:val="000000"/>
                <w:sz w:val="20"/>
                <w:szCs w:val="20"/>
                <w:lang w:eastAsia="en-US"/>
              </w:rPr>
              <w:t>C</w:t>
            </w:r>
            <w:r w:rsidRPr="00227BE0">
              <w:rPr>
                <w:color w:val="000000"/>
                <w:sz w:val="20"/>
                <w:szCs w:val="20"/>
                <w:vertAlign w:val="subscript"/>
                <w:lang w:eastAsia="en-US"/>
              </w:rPr>
              <w:t>50</w:t>
            </w:r>
          </w:p>
        </w:tc>
        <w:tc>
          <w:tcPr>
            <w:tcW w:w="826"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CADD0B3" w14:textId="77777777" w:rsidR="00E51CDD" w:rsidRPr="00227BE0" w:rsidRDefault="00E51CDD" w:rsidP="009938D9">
            <w:pPr>
              <w:jc w:val="center"/>
              <w:rPr>
                <w:color w:val="000000"/>
                <w:sz w:val="20"/>
                <w:szCs w:val="20"/>
                <w:lang w:eastAsia="en-US"/>
              </w:rPr>
            </w:pPr>
            <w:r w:rsidRPr="00227BE0">
              <w:rPr>
                <w:color w:val="000000"/>
                <w:sz w:val="20"/>
                <w:szCs w:val="20"/>
                <w:lang w:eastAsia="en-US"/>
              </w:rPr>
              <w:t>75</w:t>
            </w:r>
          </w:p>
        </w:tc>
        <w:tc>
          <w:tcPr>
            <w:tcW w:w="814"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32C2C14" w14:textId="77777777" w:rsidR="00E51CDD" w:rsidRPr="00227BE0" w:rsidRDefault="00E51CDD" w:rsidP="009938D9">
            <w:pPr>
              <w:jc w:val="center"/>
              <w:rPr>
                <w:color w:val="000000"/>
                <w:sz w:val="20"/>
                <w:szCs w:val="20"/>
                <w:lang w:eastAsia="en-US"/>
              </w:rPr>
            </w:pPr>
            <w:r w:rsidRPr="00227BE0">
              <w:rPr>
                <w:color w:val="000000"/>
                <w:sz w:val="20"/>
                <w:szCs w:val="20"/>
                <w:lang w:eastAsia="en-US"/>
              </w:rPr>
              <w:t>183</w:t>
            </w:r>
          </w:p>
        </w:tc>
        <w:tc>
          <w:tcPr>
            <w:tcW w:w="667" w:type="pct"/>
            <w:vMerge w:val="restart"/>
            <w:tcBorders>
              <w:top w:val="nil"/>
              <w:left w:val="nil"/>
              <w:bottom w:val="single" w:sz="4" w:space="0" w:color="000000"/>
              <w:right w:val="single" w:sz="4" w:space="0" w:color="auto"/>
            </w:tcBorders>
            <w:shd w:val="clear" w:color="auto" w:fill="auto"/>
            <w:noWrap/>
            <w:vAlign w:val="center"/>
            <w:hideMark/>
          </w:tcPr>
          <w:p w14:paraId="00A3FF4B" w14:textId="77777777" w:rsidR="00E51CDD" w:rsidRPr="00227BE0" w:rsidRDefault="00E51CDD" w:rsidP="009938D9">
            <w:pPr>
              <w:jc w:val="center"/>
              <w:rPr>
                <w:color w:val="000000"/>
                <w:sz w:val="20"/>
                <w:szCs w:val="20"/>
                <w:lang w:eastAsia="en-US"/>
              </w:rPr>
            </w:pPr>
            <w:r w:rsidRPr="00227BE0">
              <w:rPr>
                <w:color w:val="000000"/>
                <w:sz w:val="20"/>
                <w:szCs w:val="20"/>
                <w:lang w:eastAsia="en-US"/>
              </w:rPr>
              <w:t>409836</w:t>
            </w:r>
          </w:p>
        </w:tc>
        <w:tc>
          <w:tcPr>
            <w:tcW w:w="426" w:type="pct"/>
            <w:vMerge w:val="restart"/>
            <w:tcBorders>
              <w:top w:val="single" w:sz="4" w:space="0" w:color="auto"/>
              <w:left w:val="single" w:sz="4" w:space="0" w:color="auto"/>
              <w:bottom w:val="nil"/>
              <w:right w:val="single" w:sz="4" w:space="0" w:color="auto"/>
            </w:tcBorders>
            <w:shd w:val="clear" w:color="auto" w:fill="auto"/>
            <w:noWrap/>
            <w:vAlign w:val="center"/>
            <w:hideMark/>
          </w:tcPr>
          <w:p w14:paraId="2E8595D2" w14:textId="77777777" w:rsidR="00E51CDD" w:rsidRPr="00227BE0" w:rsidRDefault="00E51CDD" w:rsidP="009938D9">
            <w:pPr>
              <w:jc w:val="center"/>
              <w:rPr>
                <w:color w:val="000000"/>
                <w:sz w:val="20"/>
                <w:szCs w:val="20"/>
                <w:lang w:eastAsia="en-US"/>
              </w:rPr>
            </w:pPr>
            <w:r w:rsidRPr="00227BE0">
              <w:rPr>
                <w:color w:val="000000"/>
                <w:sz w:val="20"/>
                <w:szCs w:val="20"/>
                <w:lang w:eastAsia="en-US"/>
              </w:rPr>
              <w:t>85.2</w:t>
            </w:r>
          </w:p>
        </w:tc>
      </w:tr>
      <w:tr w:rsidR="00E51CDD" w:rsidRPr="00227BE0" w14:paraId="753B3B18" w14:textId="77777777" w:rsidTr="009938D9">
        <w:trPr>
          <w:trHeight w:val="345"/>
        </w:trPr>
        <w:tc>
          <w:tcPr>
            <w:tcW w:w="724" w:type="pct"/>
            <w:vMerge/>
            <w:tcBorders>
              <w:left w:val="single" w:sz="4" w:space="0" w:color="auto"/>
              <w:bottom w:val="nil"/>
              <w:right w:val="single" w:sz="4" w:space="0" w:color="auto"/>
            </w:tcBorders>
            <w:shd w:val="clear" w:color="auto" w:fill="auto"/>
            <w:vAlign w:val="center"/>
            <w:hideMark/>
          </w:tcPr>
          <w:p w14:paraId="5E7FBE91" w14:textId="77777777" w:rsidR="00E51CDD" w:rsidRPr="00227BE0" w:rsidRDefault="00E51CDD" w:rsidP="009938D9">
            <w:pPr>
              <w:rPr>
                <w:b/>
                <w:bCs/>
                <w:color w:val="000000"/>
                <w:sz w:val="20"/>
                <w:szCs w:val="20"/>
                <w:lang w:eastAsia="en-US"/>
              </w:rPr>
            </w:pPr>
          </w:p>
        </w:tc>
        <w:tc>
          <w:tcPr>
            <w:tcW w:w="709" w:type="pct"/>
            <w:vMerge/>
            <w:tcBorders>
              <w:top w:val="single" w:sz="4" w:space="0" w:color="auto"/>
              <w:left w:val="single" w:sz="4" w:space="0" w:color="auto"/>
              <w:bottom w:val="single" w:sz="4" w:space="0" w:color="auto"/>
              <w:right w:val="nil"/>
            </w:tcBorders>
            <w:vAlign w:val="center"/>
            <w:hideMark/>
          </w:tcPr>
          <w:p w14:paraId="65BEA813" w14:textId="77777777" w:rsidR="00E51CDD" w:rsidRPr="00227BE0" w:rsidRDefault="00E51CDD" w:rsidP="009938D9">
            <w:pPr>
              <w:rPr>
                <w:color w:val="000000"/>
                <w:sz w:val="20"/>
                <w:szCs w:val="20"/>
                <w:lang w:eastAsia="en-US"/>
              </w:rPr>
            </w:pPr>
          </w:p>
        </w:tc>
        <w:tc>
          <w:tcPr>
            <w:tcW w:w="835" w:type="pct"/>
            <w:tcBorders>
              <w:top w:val="nil"/>
              <w:left w:val="single" w:sz="4" w:space="0" w:color="auto"/>
              <w:bottom w:val="single" w:sz="4" w:space="0" w:color="auto"/>
              <w:right w:val="single" w:sz="4" w:space="0" w:color="auto"/>
            </w:tcBorders>
            <w:shd w:val="clear" w:color="auto" w:fill="auto"/>
            <w:noWrap/>
            <w:vAlign w:val="center"/>
            <w:hideMark/>
          </w:tcPr>
          <w:p w14:paraId="5E42D437" w14:textId="77777777" w:rsidR="00E51CDD" w:rsidRPr="00227BE0" w:rsidRDefault="00E51CDD" w:rsidP="009938D9">
            <w:pPr>
              <w:jc w:val="center"/>
              <w:rPr>
                <w:i/>
                <w:iCs/>
                <w:color w:val="000000"/>
                <w:sz w:val="20"/>
                <w:szCs w:val="20"/>
                <w:lang w:eastAsia="en-US"/>
              </w:rPr>
            </w:pPr>
            <w:r w:rsidRPr="00227BE0">
              <w:rPr>
                <w:i/>
                <w:iCs/>
                <w:color w:val="000000"/>
                <w:sz w:val="20"/>
                <w:szCs w:val="20"/>
                <w:lang w:eastAsia="en-US"/>
              </w:rPr>
              <w:t>P. subcapitata</w:t>
            </w:r>
          </w:p>
        </w:tc>
        <w:tc>
          <w:tcPr>
            <w:tcW w:w="826" w:type="pct"/>
            <w:vMerge/>
            <w:tcBorders>
              <w:top w:val="single" w:sz="4" w:space="0" w:color="auto"/>
              <w:left w:val="single" w:sz="4" w:space="0" w:color="auto"/>
              <w:bottom w:val="single" w:sz="4" w:space="0" w:color="000000"/>
              <w:right w:val="single" w:sz="4" w:space="0" w:color="auto"/>
            </w:tcBorders>
            <w:vAlign w:val="center"/>
            <w:hideMark/>
          </w:tcPr>
          <w:p w14:paraId="44D430B9" w14:textId="77777777" w:rsidR="00E51CDD" w:rsidRPr="00227BE0" w:rsidRDefault="00E51CDD" w:rsidP="009938D9">
            <w:pPr>
              <w:rPr>
                <w:color w:val="000000"/>
                <w:sz w:val="20"/>
                <w:szCs w:val="20"/>
                <w:lang w:eastAsia="en-US"/>
              </w:rPr>
            </w:pPr>
          </w:p>
        </w:tc>
        <w:tc>
          <w:tcPr>
            <w:tcW w:w="814" w:type="pct"/>
            <w:vMerge/>
            <w:tcBorders>
              <w:top w:val="single" w:sz="4" w:space="0" w:color="auto"/>
              <w:left w:val="single" w:sz="4" w:space="0" w:color="auto"/>
              <w:bottom w:val="single" w:sz="4" w:space="0" w:color="000000"/>
              <w:right w:val="single" w:sz="4" w:space="0" w:color="auto"/>
            </w:tcBorders>
            <w:vAlign w:val="center"/>
            <w:hideMark/>
          </w:tcPr>
          <w:p w14:paraId="1B5E14E2" w14:textId="77777777" w:rsidR="00E51CDD" w:rsidRPr="00227BE0" w:rsidRDefault="00E51CDD" w:rsidP="009938D9">
            <w:pPr>
              <w:rPr>
                <w:color w:val="000000"/>
                <w:sz w:val="20"/>
                <w:szCs w:val="20"/>
                <w:lang w:eastAsia="en-US"/>
              </w:rPr>
            </w:pPr>
          </w:p>
        </w:tc>
        <w:tc>
          <w:tcPr>
            <w:tcW w:w="667" w:type="pct"/>
            <w:vMerge/>
            <w:tcBorders>
              <w:top w:val="nil"/>
              <w:left w:val="nil"/>
              <w:bottom w:val="single" w:sz="4" w:space="0" w:color="000000"/>
              <w:right w:val="single" w:sz="4" w:space="0" w:color="auto"/>
            </w:tcBorders>
            <w:vAlign w:val="center"/>
            <w:hideMark/>
          </w:tcPr>
          <w:p w14:paraId="0353D641" w14:textId="77777777" w:rsidR="00E51CDD" w:rsidRPr="00227BE0" w:rsidRDefault="00E51CDD" w:rsidP="009938D9">
            <w:pPr>
              <w:rPr>
                <w:color w:val="000000"/>
                <w:sz w:val="20"/>
                <w:szCs w:val="20"/>
                <w:lang w:eastAsia="en-US"/>
              </w:rPr>
            </w:pPr>
          </w:p>
        </w:tc>
        <w:tc>
          <w:tcPr>
            <w:tcW w:w="426" w:type="pct"/>
            <w:vMerge/>
            <w:tcBorders>
              <w:top w:val="single" w:sz="4" w:space="0" w:color="auto"/>
              <w:left w:val="single" w:sz="4" w:space="0" w:color="auto"/>
              <w:bottom w:val="nil"/>
              <w:right w:val="single" w:sz="4" w:space="0" w:color="auto"/>
            </w:tcBorders>
            <w:vAlign w:val="center"/>
            <w:hideMark/>
          </w:tcPr>
          <w:p w14:paraId="424F3F46" w14:textId="77777777" w:rsidR="00E51CDD" w:rsidRPr="00227BE0" w:rsidRDefault="00E51CDD" w:rsidP="009938D9">
            <w:pPr>
              <w:rPr>
                <w:color w:val="000000"/>
                <w:sz w:val="20"/>
                <w:szCs w:val="20"/>
                <w:lang w:eastAsia="en-US"/>
              </w:rPr>
            </w:pPr>
          </w:p>
        </w:tc>
      </w:tr>
      <w:tr w:rsidR="00E51CDD" w:rsidRPr="00227BE0" w14:paraId="16A22F66" w14:textId="77777777" w:rsidTr="009938D9">
        <w:trPr>
          <w:trHeight w:val="345"/>
        </w:trPr>
        <w:tc>
          <w:tcPr>
            <w:tcW w:w="724" w:type="pct"/>
            <w:tcBorders>
              <w:top w:val="single" w:sz="4" w:space="0" w:color="auto"/>
              <w:left w:val="single" w:sz="4" w:space="0" w:color="auto"/>
              <w:bottom w:val="single" w:sz="4" w:space="0" w:color="auto"/>
              <w:right w:val="nil"/>
            </w:tcBorders>
            <w:shd w:val="clear" w:color="auto" w:fill="auto"/>
            <w:noWrap/>
            <w:vAlign w:val="center"/>
            <w:hideMark/>
          </w:tcPr>
          <w:p w14:paraId="7C56F051" w14:textId="77777777" w:rsidR="00E51CDD" w:rsidRPr="00227BE0" w:rsidRDefault="00E51CDD" w:rsidP="009938D9">
            <w:pPr>
              <w:rPr>
                <w:color w:val="000000"/>
                <w:sz w:val="20"/>
                <w:szCs w:val="20"/>
                <w:lang w:eastAsia="en-US"/>
              </w:rPr>
            </w:pPr>
            <w:r w:rsidRPr="00227BE0">
              <w:rPr>
                <w:color w:val="000000"/>
                <w:sz w:val="20"/>
                <w:szCs w:val="20"/>
                <w:lang w:eastAsia="en-US"/>
              </w:rPr>
              <w:t> </w:t>
            </w:r>
          </w:p>
        </w:tc>
        <w:tc>
          <w:tcPr>
            <w:tcW w:w="709" w:type="pct"/>
            <w:tcBorders>
              <w:top w:val="single" w:sz="4" w:space="0" w:color="auto"/>
              <w:left w:val="nil"/>
              <w:bottom w:val="single" w:sz="4" w:space="0" w:color="auto"/>
              <w:right w:val="nil"/>
            </w:tcBorders>
            <w:shd w:val="clear" w:color="auto" w:fill="auto"/>
            <w:noWrap/>
            <w:vAlign w:val="center"/>
            <w:hideMark/>
          </w:tcPr>
          <w:p w14:paraId="2E4E4325" w14:textId="77777777" w:rsidR="00E51CDD" w:rsidRPr="00227BE0" w:rsidRDefault="00E51CDD" w:rsidP="009938D9">
            <w:pPr>
              <w:jc w:val="center"/>
              <w:rPr>
                <w:color w:val="000000"/>
                <w:sz w:val="20"/>
                <w:szCs w:val="20"/>
                <w:lang w:eastAsia="en-US"/>
              </w:rPr>
            </w:pPr>
            <w:r w:rsidRPr="00227BE0">
              <w:rPr>
                <w:color w:val="000000"/>
                <w:sz w:val="20"/>
                <w:szCs w:val="20"/>
                <w:lang w:eastAsia="en-US"/>
              </w:rPr>
              <w:t>SUM TU</w:t>
            </w:r>
          </w:p>
        </w:tc>
        <w:tc>
          <w:tcPr>
            <w:tcW w:w="835" w:type="pct"/>
            <w:tcBorders>
              <w:top w:val="nil"/>
              <w:left w:val="nil"/>
              <w:bottom w:val="single" w:sz="4" w:space="0" w:color="auto"/>
              <w:right w:val="nil"/>
            </w:tcBorders>
            <w:shd w:val="clear" w:color="auto" w:fill="auto"/>
            <w:noWrap/>
            <w:vAlign w:val="center"/>
            <w:hideMark/>
          </w:tcPr>
          <w:p w14:paraId="0B72B5B1"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826" w:type="pct"/>
            <w:tcBorders>
              <w:top w:val="nil"/>
              <w:left w:val="nil"/>
              <w:bottom w:val="single" w:sz="4" w:space="0" w:color="auto"/>
              <w:right w:val="nil"/>
            </w:tcBorders>
            <w:shd w:val="clear" w:color="auto" w:fill="auto"/>
            <w:noWrap/>
            <w:vAlign w:val="center"/>
            <w:hideMark/>
          </w:tcPr>
          <w:p w14:paraId="4AB0F335"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814" w:type="pct"/>
            <w:tcBorders>
              <w:top w:val="nil"/>
              <w:left w:val="nil"/>
              <w:bottom w:val="single" w:sz="4" w:space="0" w:color="auto"/>
              <w:right w:val="nil"/>
            </w:tcBorders>
            <w:shd w:val="clear" w:color="auto" w:fill="auto"/>
            <w:noWrap/>
            <w:vAlign w:val="center"/>
            <w:hideMark/>
          </w:tcPr>
          <w:p w14:paraId="016F2308"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c>
          <w:tcPr>
            <w:tcW w:w="667" w:type="pct"/>
            <w:tcBorders>
              <w:top w:val="nil"/>
              <w:left w:val="nil"/>
              <w:bottom w:val="single" w:sz="4" w:space="0" w:color="auto"/>
              <w:right w:val="nil"/>
            </w:tcBorders>
            <w:shd w:val="clear" w:color="auto" w:fill="auto"/>
            <w:noWrap/>
            <w:vAlign w:val="center"/>
            <w:hideMark/>
          </w:tcPr>
          <w:p w14:paraId="1F9F972A" w14:textId="77777777" w:rsidR="00E51CDD" w:rsidRPr="00227BE0" w:rsidRDefault="00E51CDD" w:rsidP="009938D9">
            <w:pPr>
              <w:jc w:val="center"/>
              <w:rPr>
                <w:color w:val="000000"/>
                <w:sz w:val="20"/>
                <w:szCs w:val="20"/>
                <w:lang w:eastAsia="en-US"/>
              </w:rPr>
            </w:pPr>
            <w:r w:rsidRPr="00227BE0">
              <w:rPr>
                <w:color w:val="000000"/>
                <w:sz w:val="20"/>
                <w:szCs w:val="20"/>
                <w:lang w:eastAsia="en-US"/>
              </w:rPr>
              <w:t>481265</w:t>
            </w:r>
          </w:p>
        </w:tc>
        <w:tc>
          <w:tcPr>
            <w:tcW w:w="426" w:type="pct"/>
            <w:tcBorders>
              <w:top w:val="single" w:sz="4" w:space="0" w:color="auto"/>
              <w:left w:val="nil"/>
              <w:bottom w:val="single" w:sz="4" w:space="0" w:color="auto"/>
              <w:right w:val="single" w:sz="4" w:space="0" w:color="auto"/>
            </w:tcBorders>
            <w:shd w:val="clear" w:color="auto" w:fill="auto"/>
            <w:noWrap/>
            <w:vAlign w:val="center"/>
            <w:hideMark/>
          </w:tcPr>
          <w:p w14:paraId="4876F502" w14:textId="77777777" w:rsidR="00E51CDD" w:rsidRPr="00227BE0" w:rsidRDefault="00E51CDD" w:rsidP="009938D9">
            <w:pPr>
              <w:jc w:val="center"/>
              <w:rPr>
                <w:color w:val="000000"/>
                <w:sz w:val="20"/>
                <w:szCs w:val="20"/>
                <w:lang w:eastAsia="en-US"/>
              </w:rPr>
            </w:pPr>
            <w:r w:rsidRPr="00227BE0">
              <w:rPr>
                <w:color w:val="000000"/>
                <w:sz w:val="20"/>
                <w:szCs w:val="20"/>
                <w:lang w:eastAsia="en-US"/>
              </w:rPr>
              <w:t> </w:t>
            </w:r>
          </w:p>
        </w:tc>
      </w:tr>
    </w:tbl>
    <w:p w14:paraId="670119CB" w14:textId="77777777" w:rsidR="00E51CDD" w:rsidRPr="00227BE0" w:rsidRDefault="00E51CDD" w:rsidP="00E51CDD">
      <w:pPr>
        <w:rPr>
          <w:sz w:val="18"/>
          <w:szCs w:val="18"/>
          <w:lang w:val="en-GB"/>
        </w:rPr>
      </w:pPr>
      <w:r w:rsidRPr="00227BE0">
        <w:rPr>
          <w:b/>
          <w:bCs/>
          <w:sz w:val="18"/>
          <w:szCs w:val="18"/>
          <w:lang w:val="en-GB"/>
        </w:rPr>
        <w:t>Bold values</w:t>
      </w:r>
      <w:r w:rsidRPr="00227BE0">
        <w:rPr>
          <w:sz w:val="18"/>
          <w:szCs w:val="18"/>
          <w:lang w:val="en-GB"/>
        </w:rPr>
        <w:t>: Toxic units &gt; 90% for a single a.s.</w:t>
      </w:r>
    </w:p>
    <w:p w14:paraId="3047745D" w14:textId="77777777" w:rsidR="00E51CDD" w:rsidRDefault="00E51CDD" w:rsidP="00E51CDD">
      <w:pPr>
        <w:widowControl w:val="0"/>
        <w:suppressAutoHyphens/>
        <w:jc w:val="both"/>
        <w:rPr>
          <w:rFonts w:asciiTheme="majorBidi" w:hAnsiTheme="majorBidi" w:cstheme="majorBidi"/>
          <w:lang w:val="en-GB" w:eastAsia="en-US"/>
        </w:rPr>
      </w:pPr>
    </w:p>
    <w:p w14:paraId="4047D1AD" w14:textId="77777777" w:rsidR="00E51CDD" w:rsidRPr="00227BE0" w:rsidRDefault="00E51CDD" w:rsidP="00E51CDD">
      <w:pPr>
        <w:widowControl w:val="0"/>
        <w:suppressAutoHyphens/>
        <w:jc w:val="both"/>
        <w:rPr>
          <w:rFonts w:asciiTheme="majorBidi" w:hAnsiTheme="majorBidi" w:cstheme="majorBidi"/>
          <w:lang w:val="en-GB" w:eastAsia="en-US"/>
        </w:rPr>
      </w:pPr>
    </w:p>
    <w:p w14:paraId="1E43B50A" w14:textId="77777777" w:rsidR="00E51CDD" w:rsidRPr="00227BE0" w:rsidRDefault="00E51CDD" w:rsidP="00E51CDD">
      <w:pPr>
        <w:pStyle w:val="RepStandard"/>
        <w:suppressAutoHyphens/>
      </w:pPr>
      <w:r w:rsidRPr="00227BE0">
        <w:t>TU calculations for fish and algae indicate that none of the active substance solely accounts for the acute and chronic toxicity of the formulated product BAS 736 00 F. However, for aquatic invertebrates, azoxystrobin is driving the toxicity (</w:t>
      </w:r>
      <w:r w:rsidRPr="00227BE0">
        <w:rPr>
          <w:i/>
          <w:lang w:eastAsia="en-US"/>
        </w:rPr>
        <w:t xml:space="preserve">i.e. </w:t>
      </w:r>
      <w:r w:rsidRPr="00227BE0">
        <w:rPr>
          <w:lang w:eastAsia="en-US"/>
        </w:rPr>
        <w:t xml:space="preserve">94.46%) </w:t>
      </w:r>
      <w:r w:rsidRPr="00227BE0">
        <w:t>of the formulated product. Therefore, in line with the EFSA Aquatic GD (2013), the acute and chronic risk assessment for aquatic invertebrates is sufficiently addressed by the risk assessment for the active substance that drives the toxicity</w:t>
      </w:r>
    </w:p>
    <w:p w14:paraId="2684F649" w14:textId="77777777" w:rsidR="00E51CDD" w:rsidRPr="00227BE0" w:rsidRDefault="00E51CDD" w:rsidP="00E51CDD">
      <w:pPr>
        <w:widowControl w:val="0"/>
        <w:tabs>
          <w:tab w:val="left" w:pos="720"/>
        </w:tabs>
        <w:suppressAutoHyphens/>
        <w:jc w:val="both"/>
        <w:rPr>
          <w:lang w:val="en-GB"/>
        </w:rPr>
      </w:pPr>
    </w:p>
    <w:p w14:paraId="55E90418" w14:textId="77777777" w:rsidR="00E51CDD" w:rsidRPr="00227BE0" w:rsidRDefault="00E51CDD" w:rsidP="00E51CDD">
      <w:pPr>
        <w:widowControl w:val="0"/>
        <w:suppressAutoHyphens/>
        <w:jc w:val="both"/>
        <w:rPr>
          <w:rFonts w:asciiTheme="majorBidi" w:hAnsiTheme="majorBidi" w:cstheme="majorBidi"/>
          <w:lang w:val="en-GB" w:eastAsia="en-US"/>
        </w:rPr>
      </w:pPr>
      <w:r>
        <w:rPr>
          <w:rFonts w:asciiTheme="majorBidi" w:hAnsiTheme="majorBidi" w:cstheme="majorBidi"/>
          <w:lang w:val="en-GB" w:eastAsia="en-US"/>
        </w:rPr>
        <w:br w:type="page"/>
      </w:r>
    </w:p>
    <w:p w14:paraId="674EE1AF" w14:textId="005D4430" w:rsidR="00E51CDD" w:rsidRPr="00227BE0" w:rsidRDefault="00E51CDD" w:rsidP="00E51CDD">
      <w:pPr>
        <w:widowControl w:val="0"/>
        <w:suppressAutoHyphens/>
        <w:jc w:val="both"/>
        <w:rPr>
          <w:rFonts w:eastAsiaTheme="minorHAnsi"/>
          <w:lang w:eastAsia="en-US"/>
        </w:rPr>
      </w:pPr>
      <w:r w:rsidRPr="00227BE0">
        <w:rPr>
          <w:rFonts w:asciiTheme="majorBidi" w:eastAsia="Batang" w:hAnsiTheme="majorBidi" w:cstheme="majorBidi"/>
        </w:rPr>
        <w:lastRenderedPageBreak/>
        <w:t>Based</w:t>
      </w:r>
      <w:r w:rsidRPr="00227BE0">
        <w:rPr>
          <w:lang w:val="en-GB"/>
        </w:rPr>
        <w:t xml:space="preserve"> on the calculated MDRs (see </w:t>
      </w:r>
      <w:r w:rsidRPr="00227BE0">
        <w:rPr>
          <w:lang w:val="en-GB"/>
        </w:rPr>
        <w:fldChar w:fldCharType="begin"/>
      </w:r>
      <w:r w:rsidRPr="00227BE0">
        <w:rPr>
          <w:lang w:val="en-GB"/>
        </w:rPr>
        <w:instrText xml:space="preserve"> REF _Ref75786923 \h  \* MERGEFORMAT </w:instrText>
      </w:r>
      <w:r w:rsidRPr="00227BE0">
        <w:rPr>
          <w:lang w:val="en-GB"/>
        </w:rPr>
      </w:r>
      <w:r w:rsidRPr="00227BE0">
        <w:rPr>
          <w:lang w:val="en-GB"/>
        </w:rPr>
        <w:fldChar w:fldCharType="separate"/>
      </w:r>
      <w:r w:rsidR="00662F32" w:rsidRPr="00662F32">
        <w:rPr>
          <w:lang w:eastAsia="en-US"/>
        </w:rPr>
        <w:t xml:space="preserve">Table </w:t>
      </w:r>
      <w:r w:rsidR="00662F32" w:rsidRPr="00662F32">
        <w:rPr>
          <w:noProof/>
          <w:lang w:eastAsia="en-US"/>
        </w:rPr>
        <w:t>9.5</w:t>
      </w:r>
      <w:r w:rsidR="00662F32" w:rsidRPr="00662F32">
        <w:rPr>
          <w:noProof/>
          <w:lang w:eastAsia="en-US"/>
        </w:rPr>
        <w:noBreakHyphen/>
        <w:t>12</w:t>
      </w:r>
      <w:r w:rsidRPr="00227BE0">
        <w:rPr>
          <w:lang w:val="en-GB"/>
        </w:rPr>
        <w:fldChar w:fldCharType="end"/>
      </w:r>
      <w:r w:rsidRPr="00227BE0">
        <w:rPr>
          <w:lang w:val="en-GB"/>
        </w:rPr>
        <w:t xml:space="preserve">) it can be concluded that chronic studies on fish and invertebrates with the formulations are not required (product is not by a factor ≥10 acutely more toxic than the a.s.) </w:t>
      </w:r>
      <w:r w:rsidRPr="00227BE0">
        <w:rPr>
          <w:rFonts w:eastAsiaTheme="minorHAnsi"/>
          <w:lang w:eastAsia="en-US"/>
        </w:rPr>
        <w:t>according to the EFSA Aquatic GD (2013). Furthermore, as the formulation will break down rapidly once in the environment, no chronic exposure to the formulated product is expected.</w:t>
      </w:r>
    </w:p>
    <w:p w14:paraId="5834F607" w14:textId="5CC9A55D" w:rsidR="00E51CDD" w:rsidRPr="00227BE0" w:rsidRDefault="00E51CDD" w:rsidP="00E51CDD">
      <w:pPr>
        <w:widowControl w:val="0"/>
        <w:suppressAutoHyphens/>
        <w:jc w:val="both"/>
        <w:rPr>
          <w:rFonts w:eastAsiaTheme="minorHAnsi"/>
          <w:lang w:eastAsia="en-US"/>
        </w:rPr>
      </w:pPr>
      <w:r w:rsidRPr="00227BE0">
        <w:rPr>
          <w:rFonts w:eastAsiaTheme="minorHAnsi"/>
          <w:lang w:eastAsia="en-US"/>
        </w:rPr>
        <w:t>Accordingly, an acute lower and higher tier risk assessment for fish and algae considering PEC</w:t>
      </w:r>
      <w:r w:rsidRPr="00227BE0">
        <w:rPr>
          <w:rFonts w:eastAsiaTheme="minorHAnsi"/>
          <w:vertAlign w:val="subscript"/>
          <w:lang w:eastAsia="en-US"/>
        </w:rPr>
        <w:t>mix</w:t>
      </w:r>
      <w:r w:rsidRPr="00227BE0">
        <w:rPr>
          <w:rFonts w:eastAsiaTheme="minorHAnsi"/>
          <w:lang w:eastAsia="en-US"/>
        </w:rPr>
        <w:t xml:space="preserve"> values and measured endpoints from formulation studies (recalculated to content of a.s.) are provided in </w:t>
      </w:r>
      <w:r w:rsidRPr="00227BE0">
        <w:rPr>
          <w:rFonts w:eastAsiaTheme="minorHAnsi"/>
          <w:lang w:eastAsia="en-US"/>
        </w:rPr>
        <w:fldChar w:fldCharType="begin"/>
      </w:r>
      <w:r w:rsidRPr="00227BE0">
        <w:rPr>
          <w:rFonts w:eastAsiaTheme="minorHAnsi"/>
          <w:lang w:eastAsia="en-US"/>
        </w:rPr>
        <w:instrText xml:space="preserve"> REF _Ref82615177 \h  \* MERGEFORMAT </w:instrText>
      </w:r>
      <w:r w:rsidRPr="00227BE0">
        <w:rPr>
          <w:rFonts w:eastAsiaTheme="minorHAnsi"/>
          <w:lang w:eastAsia="en-US"/>
        </w:rPr>
      </w:r>
      <w:r w:rsidRPr="00227BE0">
        <w:rPr>
          <w:rFonts w:eastAsiaTheme="minorHAnsi"/>
          <w:lang w:eastAsia="en-US"/>
        </w:rPr>
        <w:fldChar w:fldCharType="separate"/>
      </w:r>
      <w:r w:rsidR="00662F32" w:rsidRPr="00662F32">
        <w:rPr>
          <w:bCs/>
        </w:rPr>
        <w:t xml:space="preserve">Table </w:t>
      </w:r>
      <w:r w:rsidR="00662F32" w:rsidRPr="00662F32">
        <w:rPr>
          <w:bCs/>
          <w:noProof/>
        </w:rPr>
        <w:t>9.5</w:t>
      </w:r>
      <w:r w:rsidR="00662F32" w:rsidRPr="00662F32">
        <w:rPr>
          <w:bCs/>
          <w:noProof/>
        </w:rPr>
        <w:noBreakHyphen/>
        <w:t>14</w:t>
      </w:r>
      <w:r w:rsidRPr="00227BE0">
        <w:rPr>
          <w:rFonts w:eastAsiaTheme="minorHAnsi"/>
          <w:lang w:eastAsia="en-US"/>
        </w:rPr>
        <w:fldChar w:fldCharType="end"/>
      </w:r>
      <w:r w:rsidRPr="00227BE0">
        <w:rPr>
          <w:rFonts w:eastAsiaTheme="minorHAnsi"/>
          <w:lang w:eastAsia="en-US"/>
        </w:rPr>
        <w:t xml:space="preserve"> to </w:t>
      </w:r>
      <w:r w:rsidRPr="00227BE0">
        <w:rPr>
          <w:rFonts w:eastAsiaTheme="minorHAnsi"/>
          <w:lang w:eastAsia="en-US"/>
        </w:rPr>
        <w:fldChar w:fldCharType="begin"/>
      </w:r>
      <w:r w:rsidRPr="00227BE0">
        <w:rPr>
          <w:rFonts w:eastAsiaTheme="minorHAnsi"/>
          <w:lang w:eastAsia="en-US"/>
        </w:rPr>
        <w:instrText xml:space="preserve"> REF _Ref82615182 \h  \* MERGEFORMAT </w:instrText>
      </w:r>
      <w:r w:rsidRPr="00227BE0">
        <w:rPr>
          <w:rFonts w:eastAsiaTheme="minorHAnsi"/>
          <w:lang w:eastAsia="en-US"/>
        </w:rPr>
      </w:r>
      <w:r w:rsidRPr="00227BE0">
        <w:rPr>
          <w:rFonts w:eastAsiaTheme="minorHAnsi"/>
          <w:lang w:eastAsia="en-US"/>
        </w:rPr>
        <w:fldChar w:fldCharType="separate"/>
      </w:r>
      <w:r w:rsidR="00662F32" w:rsidRPr="00662F32">
        <w:t xml:space="preserve">Table </w:t>
      </w:r>
      <w:r w:rsidR="00662F32" w:rsidRPr="00662F32">
        <w:rPr>
          <w:noProof/>
        </w:rPr>
        <w:t>9.5</w:t>
      </w:r>
      <w:r w:rsidR="00662F32" w:rsidRPr="00662F32">
        <w:rPr>
          <w:noProof/>
        </w:rPr>
        <w:noBreakHyphen/>
        <w:t>17</w:t>
      </w:r>
      <w:r w:rsidRPr="00227BE0">
        <w:rPr>
          <w:rFonts w:eastAsiaTheme="minorHAnsi"/>
          <w:lang w:eastAsia="en-US"/>
        </w:rPr>
        <w:fldChar w:fldCharType="end"/>
      </w:r>
      <w:r w:rsidRPr="00227BE0">
        <w:rPr>
          <w:rFonts w:eastAsiaTheme="minorHAnsi"/>
          <w:lang w:eastAsia="en-US"/>
        </w:rPr>
        <w:t>.</w:t>
      </w:r>
    </w:p>
    <w:p w14:paraId="02CF4343" w14:textId="77777777" w:rsidR="00E51CDD" w:rsidRPr="00227BE0" w:rsidRDefault="00E51CDD" w:rsidP="00E51CDD">
      <w:pPr>
        <w:widowControl w:val="0"/>
        <w:suppressAutoHyphens/>
        <w:jc w:val="both"/>
        <w:rPr>
          <w:rFonts w:eastAsiaTheme="minorHAnsi"/>
          <w:lang w:val="en-GB" w:eastAsia="en-US"/>
        </w:rPr>
      </w:pPr>
    </w:p>
    <w:p w14:paraId="64541736" w14:textId="4F5E2D67" w:rsidR="00E51CDD" w:rsidRPr="00227BE0" w:rsidRDefault="00E51CDD" w:rsidP="00662F32">
      <w:pPr>
        <w:keepNext/>
        <w:keepLines/>
        <w:widowControl w:val="0"/>
        <w:tabs>
          <w:tab w:val="left" w:pos="1985"/>
        </w:tabs>
        <w:suppressAutoHyphens/>
        <w:ind w:left="1985" w:hanging="1985"/>
        <w:jc w:val="both"/>
      </w:pPr>
      <w:bookmarkStart w:id="524" w:name="_Ref82615177"/>
      <w:r w:rsidRPr="00227BE0">
        <w:rPr>
          <w:b/>
          <w:bCs/>
        </w:rPr>
        <w:t xml:space="preserve">Table </w:t>
      </w:r>
      <w:r w:rsidRPr="00227BE0">
        <w:fldChar w:fldCharType="begin"/>
      </w:r>
      <w:r w:rsidRPr="00227BE0">
        <w:rPr>
          <w:b/>
          <w:bCs/>
        </w:rPr>
        <w:instrText xml:space="preserve"> STYLEREF 2 \s </w:instrText>
      </w:r>
      <w:r w:rsidRPr="00227BE0">
        <w:fldChar w:fldCharType="separate"/>
      </w:r>
      <w:r w:rsidR="00662F32">
        <w:rPr>
          <w:b/>
          <w:bCs/>
          <w:noProof/>
        </w:rPr>
        <w:t>9.5</w:t>
      </w:r>
      <w:r w:rsidRPr="00227BE0">
        <w:fldChar w:fldCharType="end"/>
      </w:r>
      <w:r w:rsidRPr="00227BE0">
        <w:rPr>
          <w:b/>
          <w:bCs/>
        </w:rPr>
        <w:noBreakHyphen/>
      </w:r>
      <w:r w:rsidRPr="00227BE0">
        <w:fldChar w:fldCharType="begin"/>
      </w:r>
      <w:r w:rsidRPr="00227BE0">
        <w:rPr>
          <w:b/>
          <w:bCs/>
        </w:rPr>
        <w:instrText xml:space="preserve"> SEQ Table \* ARABIC \s 2 </w:instrText>
      </w:r>
      <w:r w:rsidRPr="00227BE0">
        <w:fldChar w:fldCharType="separate"/>
      </w:r>
      <w:r w:rsidR="00662F32">
        <w:rPr>
          <w:b/>
          <w:bCs/>
          <w:noProof/>
        </w:rPr>
        <w:t>14</w:t>
      </w:r>
      <w:r w:rsidRPr="00227BE0">
        <w:fldChar w:fldCharType="end"/>
      </w:r>
      <w:bookmarkEnd w:id="524"/>
      <w:r w:rsidRPr="00227BE0">
        <w:rPr>
          <w:b/>
          <w:bCs/>
        </w:rPr>
        <w:t>:</w:t>
      </w:r>
      <w:r w:rsidRPr="00227BE0">
        <w:rPr>
          <w:b/>
          <w:bCs/>
        </w:rPr>
        <w:tab/>
        <w:t>Aquatic organisms: acceptability of risk (PEC</w:t>
      </w:r>
      <w:r w:rsidRPr="00227BE0">
        <w:rPr>
          <w:b/>
          <w:bCs/>
          <w:vertAlign w:val="subscript"/>
        </w:rPr>
        <w:t>mix</w:t>
      </w:r>
      <w:r w:rsidRPr="00227BE0">
        <w:rPr>
          <w:b/>
          <w:bCs/>
        </w:rPr>
        <w:t>/RAC</w:t>
      </w:r>
      <w:r w:rsidRPr="00227BE0">
        <w:rPr>
          <w:b/>
          <w:bCs/>
          <w:vertAlign w:val="subscript"/>
        </w:rPr>
        <w:t>PPP</w:t>
      </w:r>
      <w:r w:rsidRPr="00227BE0">
        <w:rPr>
          <w:b/>
          <w:bCs/>
        </w:rPr>
        <w:t xml:space="preserve"> &lt; 1) for the formulation </w:t>
      </w:r>
      <w:r w:rsidRPr="00227BE0">
        <w:rPr>
          <w:b/>
          <w:bCs/>
          <w:iCs/>
        </w:rPr>
        <w:t xml:space="preserve">BAS 736 00 F </w:t>
      </w:r>
      <w:r w:rsidRPr="00227BE0">
        <w:rPr>
          <w:b/>
          <w:bCs/>
        </w:rPr>
        <w:t>for fish and algae group based on worst-case PEC</w:t>
      </w:r>
      <w:r w:rsidRPr="00227BE0">
        <w:rPr>
          <w:b/>
          <w:bCs/>
          <w:vertAlign w:val="subscript"/>
        </w:rPr>
        <w:t>mix</w:t>
      </w:r>
      <w:r w:rsidRPr="00227BE0">
        <w:rPr>
          <w:b/>
          <w:bCs/>
        </w:rPr>
        <w:t xml:space="preserve"> values following single and twofold application of BAS 736 00 F in ‘winter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551"/>
        <w:gridCol w:w="2017"/>
        <w:gridCol w:w="2344"/>
        <w:gridCol w:w="435"/>
        <w:gridCol w:w="1998"/>
      </w:tblGrid>
      <w:tr w:rsidR="00E51CDD" w:rsidRPr="00227BE0" w14:paraId="36D741C0" w14:textId="77777777" w:rsidTr="009938D9">
        <w:trPr>
          <w:cantSplit/>
          <w:tblHeader/>
        </w:trPr>
        <w:tc>
          <w:tcPr>
            <w:tcW w:w="1365" w:type="pct"/>
            <w:tcBorders>
              <w:top w:val="single" w:sz="4" w:space="0" w:color="auto"/>
              <w:left w:val="single" w:sz="4" w:space="0" w:color="auto"/>
              <w:bottom w:val="single" w:sz="4" w:space="0" w:color="auto"/>
              <w:right w:val="single" w:sz="4" w:space="0" w:color="auto"/>
            </w:tcBorders>
            <w:vAlign w:val="center"/>
            <w:hideMark/>
          </w:tcPr>
          <w:p w14:paraId="090B6377" w14:textId="77777777" w:rsidR="00E51CDD" w:rsidRPr="00227BE0" w:rsidRDefault="00E51CDD" w:rsidP="009938D9">
            <w:pPr>
              <w:widowControl w:val="0"/>
              <w:suppressAutoHyphens/>
              <w:rPr>
                <w:b/>
                <w:bCs/>
                <w:sz w:val="20"/>
                <w:szCs w:val="20"/>
              </w:rPr>
            </w:pPr>
            <w:r w:rsidRPr="00227BE0">
              <w:rPr>
                <w:b/>
                <w:bCs/>
                <w:sz w:val="20"/>
                <w:szCs w:val="20"/>
              </w:rPr>
              <w:t>Group</w:t>
            </w:r>
          </w:p>
        </w:tc>
        <w:tc>
          <w:tcPr>
            <w:tcW w:w="1079" w:type="pct"/>
            <w:tcBorders>
              <w:top w:val="single" w:sz="4" w:space="0" w:color="auto"/>
              <w:left w:val="single" w:sz="4" w:space="0" w:color="auto"/>
              <w:bottom w:val="nil"/>
              <w:right w:val="single" w:sz="4" w:space="0" w:color="auto"/>
            </w:tcBorders>
            <w:vAlign w:val="center"/>
          </w:tcPr>
          <w:p w14:paraId="14F3857B" w14:textId="77777777" w:rsidR="00E51CDD" w:rsidRPr="00227BE0" w:rsidRDefault="00E51CDD" w:rsidP="009938D9">
            <w:pPr>
              <w:widowControl w:val="0"/>
              <w:suppressAutoHyphens/>
              <w:rPr>
                <w:noProof/>
                <w:sz w:val="20"/>
                <w:szCs w:val="20"/>
              </w:rPr>
            </w:pPr>
          </w:p>
        </w:tc>
        <w:tc>
          <w:tcPr>
            <w:tcW w:w="1254" w:type="pct"/>
            <w:tcBorders>
              <w:top w:val="single" w:sz="4" w:space="0" w:color="auto"/>
              <w:left w:val="single" w:sz="4" w:space="0" w:color="auto"/>
              <w:bottom w:val="single" w:sz="4" w:space="0" w:color="auto"/>
              <w:right w:val="single" w:sz="4" w:space="0" w:color="auto"/>
            </w:tcBorders>
            <w:vAlign w:val="center"/>
            <w:hideMark/>
          </w:tcPr>
          <w:p w14:paraId="5D546A77" w14:textId="77777777" w:rsidR="00E51CDD" w:rsidRPr="00227BE0" w:rsidRDefault="00E51CDD" w:rsidP="009938D9">
            <w:pPr>
              <w:widowControl w:val="0"/>
              <w:suppressAutoHyphens/>
              <w:jc w:val="center"/>
              <w:rPr>
                <w:b/>
                <w:bCs/>
                <w:sz w:val="20"/>
                <w:szCs w:val="20"/>
              </w:rPr>
            </w:pPr>
            <w:r w:rsidRPr="00227BE0">
              <w:rPr>
                <w:b/>
                <w:bCs/>
                <w:sz w:val="20"/>
                <w:szCs w:val="20"/>
              </w:rPr>
              <w:t>Fish acute</w:t>
            </w:r>
          </w:p>
        </w:tc>
        <w:tc>
          <w:tcPr>
            <w:tcW w:w="1302" w:type="pct"/>
            <w:gridSpan w:val="2"/>
            <w:tcBorders>
              <w:top w:val="single" w:sz="4" w:space="0" w:color="auto"/>
              <w:left w:val="single" w:sz="4" w:space="0" w:color="auto"/>
              <w:bottom w:val="single" w:sz="4" w:space="0" w:color="auto"/>
              <w:right w:val="single" w:sz="4" w:space="0" w:color="auto"/>
            </w:tcBorders>
            <w:vAlign w:val="center"/>
            <w:hideMark/>
          </w:tcPr>
          <w:p w14:paraId="0A854C92" w14:textId="77777777" w:rsidR="00E51CDD" w:rsidRPr="00227BE0" w:rsidRDefault="00E51CDD" w:rsidP="009938D9">
            <w:pPr>
              <w:widowControl w:val="0"/>
              <w:suppressAutoHyphens/>
              <w:jc w:val="center"/>
              <w:rPr>
                <w:b/>
                <w:bCs/>
                <w:sz w:val="20"/>
                <w:szCs w:val="20"/>
              </w:rPr>
            </w:pPr>
            <w:r w:rsidRPr="00227BE0">
              <w:rPr>
                <w:b/>
                <w:bCs/>
                <w:sz w:val="20"/>
                <w:szCs w:val="20"/>
              </w:rPr>
              <w:t>Algae</w:t>
            </w:r>
          </w:p>
        </w:tc>
      </w:tr>
      <w:tr w:rsidR="00E51CDD" w:rsidRPr="00227BE0" w14:paraId="22135595"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7B022BE0" w14:textId="77777777" w:rsidR="00E51CDD" w:rsidRPr="00227BE0" w:rsidRDefault="00E51CDD" w:rsidP="009938D9">
            <w:pPr>
              <w:widowControl w:val="0"/>
              <w:suppressAutoHyphens/>
              <w:rPr>
                <w:b/>
                <w:bCs/>
                <w:sz w:val="20"/>
                <w:szCs w:val="20"/>
              </w:rPr>
            </w:pPr>
            <w:r w:rsidRPr="00227BE0">
              <w:rPr>
                <w:b/>
                <w:bCs/>
                <w:sz w:val="20"/>
                <w:szCs w:val="20"/>
              </w:rPr>
              <w:t>Test species</w:t>
            </w:r>
          </w:p>
        </w:tc>
        <w:tc>
          <w:tcPr>
            <w:tcW w:w="1079" w:type="pct"/>
            <w:tcBorders>
              <w:top w:val="nil"/>
              <w:left w:val="single" w:sz="4" w:space="0" w:color="auto"/>
              <w:bottom w:val="nil"/>
              <w:right w:val="single" w:sz="4" w:space="0" w:color="auto"/>
            </w:tcBorders>
            <w:vAlign w:val="center"/>
          </w:tcPr>
          <w:p w14:paraId="1D5A3B5F" w14:textId="77777777" w:rsidR="00E51CDD" w:rsidRPr="00227BE0" w:rsidRDefault="00E51CDD" w:rsidP="009938D9">
            <w:pPr>
              <w:widowControl w:val="0"/>
              <w:suppressAutoHyphens/>
              <w:rPr>
                <w:noProof/>
                <w:sz w:val="20"/>
                <w:szCs w:val="20"/>
              </w:rPr>
            </w:pPr>
          </w:p>
        </w:tc>
        <w:tc>
          <w:tcPr>
            <w:tcW w:w="1254" w:type="pct"/>
            <w:tcBorders>
              <w:top w:val="single" w:sz="4" w:space="0" w:color="auto"/>
              <w:left w:val="single" w:sz="4" w:space="0" w:color="auto"/>
              <w:bottom w:val="single" w:sz="4" w:space="0" w:color="auto"/>
              <w:right w:val="single" w:sz="4" w:space="0" w:color="auto"/>
            </w:tcBorders>
            <w:vAlign w:val="center"/>
            <w:hideMark/>
          </w:tcPr>
          <w:p w14:paraId="29A45CE4" w14:textId="77777777" w:rsidR="00E51CDD" w:rsidRPr="00227BE0" w:rsidRDefault="00E51CDD" w:rsidP="009938D9">
            <w:pPr>
              <w:widowControl w:val="0"/>
              <w:suppressAutoHyphens/>
              <w:jc w:val="center"/>
              <w:rPr>
                <w:b/>
                <w:bCs/>
                <w:sz w:val="20"/>
                <w:szCs w:val="20"/>
              </w:rPr>
            </w:pPr>
            <w:r w:rsidRPr="00227BE0">
              <w:rPr>
                <w:b/>
                <w:bCs/>
                <w:i/>
                <w:iCs/>
                <w:sz w:val="20"/>
                <w:szCs w:val="20"/>
              </w:rPr>
              <w:t>O. mykiss</w:t>
            </w:r>
          </w:p>
        </w:tc>
        <w:tc>
          <w:tcPr>
            <w:tcW w:w="1302" w:type="pct"/>
            <w:gridSpan w:val="2"/>
            <w:tcBorders>
              <w:top w:val="single" w:sz="4" w:space="0" w:color="auto"/>
              <w:left w:val="single" w:sz="4" w:space="0" w:color="auto"/>
              <w:bottom w:val="single" w:sz="4" w:space="0" w:color="auto"/>
              <w:right w:val="single" w:sz="4" w:space="0" w:color="auto"/>
            </w:tcBorders>
            <w:vAlign w:val="center"/>
            <w:hideMark/>
          </w:tcPr>
          <w:p w14:paraId="218C6535" w14:textId="77777777" w:rsidR="00E51CDD" w:rsidRPr="00227BE0" w:rsidRDefault="00E51CDD" w:rsidP="009938D9">
            <w:pPr>
              <w:widowControl w:val="0"/>
              <w:suppressAutoHyphens/>
              <w:jc w:val="center"/>
              <w:rPr>
                <w:b/>
                <w:bCs/>
                <w:sz w:val="20"/>
                <w:szCs w:val="20"/>
              </w:rPr>
            </w:pPr>
            <w:r w:rsidRPr="00227BE0">
              <w:rPr>
                <w:b/>
                <w:bCs/>
                <w:i/>
                <w:iCs/>
                <w:sz w:val="20"/>
                <w:szCs w:val="20"/>
              </w:rPr>
              <w:t>P. subcapitata</w:t>
            </w:r>
          </w:p>
        </w:tc>
      </w:tr>
      <w:tr w:rsidR="00E51CDD" w:rsidRPr="00227BE0" w14:paraId="4B852151" w14:textId="77777777" w:rsidTr="009938D9">
        <w:trPr>
          <w:cantSplit/>
        </w:trPr>
        <w:tc>
          <w:tcPr>
            <w:tcW w:w="1365" w:type="pct"/>
            <w:tcBorders>
              <w:top w:val="single" w:sz="4" w:space="0" w:color="auto"/>
              <w:left w:val="single" w:sz="4" w:space="0" w:color="auto"/>
              <w:bottom w:val="nil"/>
              <w:right w:val="single" w:sz="4" w:space="0" w:color="auto"/>
            </w:tcBorders>
            <w:vAlign w:val="center"/>
            <w:hideMark/>
          </w:tcPr>
          <w:p w14:paraId="5AC6F8DD" w14:textId="77777777" w:rsidR="00E51CDD" w:rsidRPr="00227BE0" w:rsidRDefault="00E51CDD" w:rsidP="009938D9">
            <w:pPr>
              <w:widowControl w:val="0"/>
              <w:suppressAutoHyphens/>
              <w:rPr>
                <w:b/>
                <w:bCs/>
                <w:sz w:val="20"/>
                <w:szCs w:val="20"/>
              </w:rPr>
            </w:pPr>
            <w:r w:rsidRPr="00227BE0">
              <w:rPr>
                <w:b/>
                <w:bCs/>
                <w:sz w:val="20"/>
                <w:szCs w:val="20"/>
              </w:rPr>
              <w:t>Endpoint</w:t>
            </w:r>
          </w:p>
        </w:tc>
        <w:tc>
          <w:tcPr>
            <w:tcW w:w="1079" w:type="pct"/>
            <w:tcBorders>
              <w:top w:val="nil"/>
              <w:left w:val="single" w:sz="4" w:space="0" w:color="auto"/>
              <w:bottom w:val="nil"/>
              <w:right w:val="single" w:sz="4" w:space="0" w:color="auto"/>
            </w:tcBorders>
            <w:vAlign w:val="center"/>
          </w:tcPr>
          <w:p w14:paraId="1E4617EB" w14:textId="77777777" w:rsidR="00E51CDD" w:rsidRPr="00227BE0" w:rsidRDefault="00E51CDD" w:rsidP="009938D9">
            <w:pPr>
              <w:keepNext/>
              <w:keepLines/>
              <w:widowControl w:val="0"/>
              <w:suppressAutoHyphens/>
              <w:rPr>
                <w:noProof/>
                <w:sz w:val="20"/>
                <w:szCs w:val="20"/>
              </w:rPr>
            </w:pPr>
          </w:p>
        </w:tc>
        <w:tc>
          <w:tcPr>
            <w:tcW w:w="1254" w:type="pct"/>
            <w:tcBorders>
              <w:top w:val="single" w:sz="4" w:space="0" w:color="auto"/>
              <w:left w:val="single" w:sz="4" w:space="0" w:color="auto"/>
              <w:bottom w:val="nil"/>
              <w:right w:val="single" w:sz="4" w:space="0" w:color="auto"/>
            </w:tcBorders>
            <w:vAlign w:val="center"/>
            <w:hideMark/>
          </w:tcPr>
          <w:p w14:paraId="02105FDA" w14:textId="77777777" w:rsidR="00E51CDD" w:rsidRPr="00227BE0" w:rsidRDefault="00E51CDD" w:rsidP="009938D9">
            <w:pPr>
              <w:widowControl w:val="0"/>
              <w:suppressAutoHyphens/>
              <w:jc w:val="center"/>
              <w:rPr>
                <w:noProof/>
                <w:sz w:val="20"/>
                <w:szCs w:val="20"/>
              </w:rPr>
            </w:pPr>
            <w:r w:rsidRPr="00227BE0">
              <w:rPr>
                <w:noProof/>
                <w:sz w:val="20"/>
                <w:szCs w:val="20"/>
              </w:rPr>
              <w:t>LC</w:t>
            </w:r>
            <w:r w:rsidRPr="00227BE0">
              <w:rPr>
                <w:noProof/>
                <w:sz w:val="20"/>
                <w:szCs w:val="20"/>
                <w:vertAlign w:val="subscript"/>
              </w:rPr>
              <w:t>50</w:t>
            </w:r>
          </w:p>
        </w:tc>
        <w:tc>
          <w:tcPr>
            <w:tcW w:w="1302" w:type="pct"/>
            <w:gridSpan w:val="2"/>
            <w:tcBorders>
              <w:top w:val="single" w:sz="4" w:space="0" w:color="auto"/>
              <w:left w:val="single" w:sz="4" w:space="0" w:color="auto"/>
              <w:bottom w:val="nil"/>
              <w:right w:val="single" w:sz="4" w:space="0" w:color="auto"/>
            </w:tcBorders>
            <w:vAlign w:val="center"/>
            <w:hideMark/>
          </w:tcPr>
          <w:p w14:paraId="4939DAA1" w14:textId="77777777" w:rsidR="00E51CDD" w:rsidRPr="00227BE0" w:rsidRDefault="00E51CDD" w:rsidP="009938D9">
            <w:pPr>
              <w:widowControl w:val="0"/>
              <w:suppressAutoHyphens/>
              <w:jc w:val="center"/>
              <w:rPr>
                <w:noProof/>
                <w:sz w:val="20"/>
                <w:szCs w:val="20"/>
              </w:rPr>
            </w:pPr>
            <w:r w:rsidRPr="00227BE0">
              <w:rPr>
                <w:noProof/>
                <w:sz w:val="20"/>
                <w:szCs w:val="20"/>
              </w:rPr>
              <w:t>E</w:t>
            </w:r>
            <w:r w:rsidRPr="00227BE0">
              <w:rPr>
                <w:noProof/>
                <w:sz w:val="20"/>
                <w:szCs w:val="20"/>
                <w:vertAlign w:val="subscript"/>
              </w:rPr>
              <w:t>r</w:t>
            </w:r>
            <w:r w:rsidRPr="00227BE0">
              <w:rPr>
                <w:noProof/>
                <w:sz w:val="20"/>
                <w:szCs w:val="20"/>
              </w:rPr>
              <w:t>C</w:t>
            </w:r>
            <w:r w:rsidRPr="00227BE0">
              <w:rPr>
                <w:noProof/>
                <w:sz w:val="20"/>
                <w:szCs w:val="20"/>
                <w:vertAlign w:val="subscript"/>
              </w:rPr>
              <w:t>50</w:t>
            </w:r>
          </w:p>
        </w:tc>
      </w:tr>
      <w:tr w:rsidR="00E51CDD" w:rsidRPr="00227BE0" w14:paraId="697589CE" w14:textId="77777777" w:rsidTr="009938D9">
        <w:trPr>
          <w:cantSplit/>
        </w:trPr>
        <w:tc>
          <w:tcPr>
            <w:tcW w:w="1365" w:type="pct"/>
            <w:tcBorders>
              <w:top w:val="nil"/>
              <w:left w:val="single" w:sz="4" w:space="0" w:color="auto"/>
              <w:bottom w:val="single" w:sz="4" w:space="0" w:color="auto"/>
              <w:right w:val="single" w:sz="4" w:space="0" w:color="auto"/>
            </w:tcBorders>
            <w:vAlign w:val="center"/>
            <w:hideMark/>
          </w:tcPr>
          <w:p w14:paraId="4D5BEE33" w14:textId="77777777" w:rsidR="00E51CDD" w:rsidRPr="00227BE0" w:rsidRDefault="00E51CDD" w:rsidP="009938D9">
            <w:pPr>
              <w:widowControl w:val="0"/>
              <w:suppressAutoHyphens/>
              <w:rPr>
                <w:b/>
                <w:bCs/>
                <w:sz w:val="20"/>
                <w:szCs w:val="20"/>
              </w:rPr>
            </w:pPr>
            <w:r w:rsidRPr="00227BE0">
              <w:rPr>
                <w:b/>
                <w:bCs/>
                <w:sz w:val="20"/>
                <w:szCs w:val="20"/>
              </w:rPr>
              <w:t>(µg a.s./L)</w:t>
            </w:r>
          </w:p>
        </w:tc>
        <w:tc>
          <w:tcPr>
            <w:tcW w:w="1079" w:type="pct"/>
            <w:tcBorders>
              <w:top w:val="nil"/>
              <w:left w:val="single" w:sz="4" w:space="0" w:color="auto"/>
              <w:bottom w:val="nil"/>
              <w:right w:val="single" w:sz="4" w:space="0" w:color="auto"/>
            </w:tcBorders>
            <w:vAlign w:val="center"/>
          </w:tcPr>
          <w:p w14:paraId="5ACE0932" w14:textId="77777777" w:rsidR="00E51CDD" w:rsidRPr="00227BE0" w:rsidRDefault="00E51CDD" w:rsidP="009938D9">
            <w:pPr>
              <w:keepNext/>
              <w:keepLines/>
              <w:widowControl w:val="0"/>
              <w:suppressAutoHyphens/>
              <w:rPr>
                <w:noProof/>
                <w:sz w:val="20"/>
                <w:szCs w:val="20"/>
              </w:rPr>
            </w:pPr>
          </w:p>
        </w:tc>
        <w:tc>
          <w:tcPr>
            <w:tcW w:w="1254" w:type="pct"/>
            <w:tcBorders>
              <w:top w:val="nil"/>
              <w:left w:val="single" w:sz="4" w:space="0" w:color="auto"/>
              <w:bottom w:val="single" w:sz="4" w:space="0" w:color="auto"/>
              <w:right w:val="single" w:sz="4" w:space="0" w:color="auto"/>
            </w:tcBorders>
            <w:vAlign w:val="center"/>
          </w:tcPr>
          <w:p w14:paraId="2D43A7DF" w14:textId="77777777" w:rsidR="00E51CDD" w:rsidRPr="00227BE0" w:rsidRDefault="00E51CDD" w:rsidP="009938D9">
            <w:pPr>
              <w:widowControl w:val="0"/>
              <w:suppressAutoHyphens/>
              <w:jc w:val="center"/>
              <w:rPr>
                <w:noProof/>
                <w:sz w:val="20"/>
                <w:szCs w:val="20"/>
              </w:rPr>
            </w:pPr>
            <w:r w:rsidRPr="00227BE0">
              <w:rPr>
                <w:noProof/>
                <w:sz w:val="20"/>
                <w:szCs w:val="20"/>
              </w:rPr>
              <w:t>328.2</w:t>
            </w:r>
          </w:p>
        </w:tc>
        <w:tc>
          <w:tcPr>
            <w:tcW w:w="1302" w:type="pct"/>
            <w:gridSpan w:val="2"/>
            <w:tcBorders>
              <w:top w:val="nil"/>
              <w:left w:val="single" w:sz="4" w:space="0" w:color="auto"/>
              <w:bottom w:val="single" w:sz="4" w:space="0" w:color="auto"/>
              <w:right w:val="single" w:sz="4" w:space="0" w:color="auto"/>
            </w:tcBorders>
            <w:vAlign w:val="center"/>
          </w:tcPr>
          <w:p w14:paraId="178BCE49" w14:textId="77777777" w:rsidR="00E51CDD" w:rsidRPr="00227BE0" w:rsidRDefault="00E51CDD" w:rsidP="009938D9">
            <w:pPr>
              <w:widowControl w:val="0"/>
              <w:suppressAutoHyphens/>
              <w:jc w:val="center"/>
              <w:rPr>
                <w:noProof/>
                <w:sz w:val="20"/>
                <w:szCs w:val="20"/>
              </w:rPr>
            </w:pPr>
            <w:r w:rsidRPr="00227BE0">
              <w:rPr>
                <w:noProof/>
                <w:sz w:val="20"/>
                <w:szCs w:val="20"/>
              </w:rPr>
              <w:t>485.9</w:t>
            </w:r>
          </w:p>
        </w:tc>
      </w:tr>
      <w:tr w:rsidR="00E51CDD" w:rsidRPr="00227BE0" w14:paraId="1B504F57"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5D348205" w14:textId="77777777" w:rsidR="00E51CDD" w:rsidRPr="00227BE0" w:rsidRDefault="00E51CDD" w:rsidP="009938D9">
            <w:pPr>
              <w:widowControl w:val="0"/>
              <w:suppressAutoHyphens/>
              <w:rPr>
                <w:b/>
                <w:bCs/>
                <w:sz w:val="20"/>
                <w:szCs w:val="20"/>
              </w:rPr>
            </w:pPr>
            <w:r w:rsidRPr="00227BE0">
              <w:rPr>
                <w:b/>
                <w:bCs/>
                <w:sz w:val="20"/>
                <w:szCs w:val="20"/>
              </w:rPr>
              <w:t>AF</w:t>
            </w:r>
          </w:p>
        </w:tc>
        <w:tc>
          <w:tcPr>
            <w:tcW w:w="1079" w:type="pct"/>
            <w:tcBorders>
              <w:top w:val="nil"/>
              <w:left w:val="single" w:sz="4" w:space="0" w:color="auto"/>
              <w:bottom w:val="nil"/>
              <w:right w:val="single" w:sz="4" w:space="0" w:color="auto"/>
            </w:tcBorders>
            <w:vAlign w:val="center"/>
          </w:tcPr>
          <w:p w14:paraId="426CE005" w14:textId="77777777" w:rsidR="00E51CDD" w:rsidRPr="00227BE0" w:rsidRDefault="00E51CDD" w:rsidP="009938D9">
            <w:pPr>
              <w:keepNext/>
              <w:keepLines/>
              <w:widowControl w:val="0"/>
              <w:suppressAutoHyphens/>
              <w:rPr>
                <w:noProof/>
                <w:sz w:val="20"/>
                <w:szCs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65DAF05D" w14:textId="77777777" w:rsidR="00E51CDD" w:rsidRPr="00227BE0" w:rsidRDefault="00E51CDD" w:rsidP="009938D9">
            <w:pPr>
              <w:widowControl w:val="0"/>
              <w:suppressAutoHyphens/>
              <w:jc w:val="center"/>
              <w:rPr>
                <w:noProof/>
                <w:sz w:val="20"/>
                <w:szCs w:val="20"/>
              </w:rPr>
            </w:pPr>
            <w:r w:rsidRPr="00227BE0">
              <w:rPr>
                <w:noProof/>
                <w:sz w:val="20"/>
                <w:szCs w:val="20"/>
              </w:rPr>
              <w:t>100</w:t>
            </w:r>
          </w:p>
        </w:tc>
        <w:tc>
          <w:tcPr>
            <w:tcW w:w="1302" w:type="pct"/>
            <w:gridSpan w:val="2"/>
            <w:tcBorders>
              <w:top w:val="single" w:sz="4" w:space="0" w:color="auto"/>
              <w:left w:val="single" w:sz="4" w:space="0" w:color="auto"/>
              <w:bottom w:val="single" w:sz="4" w:space="0" w:color="auto"/>
              <w:right w:val="single" w:sz="4" w:space="0" w:color="auto"/>
            </w:tcBorders>
            <w:vAlign w:val="center"/>
          </w:tcPr>
          <w:p w14:paraId="1B4403BE" w14:textId="77777777" w:rsidR="00E51CDD" w:rsidRPr="00227BE0" w:rsidRDefault="00E51CDD" w:rsidP="009938D9">
            <w:pPr>
              <w:widowControl w:val="0"/>
              <w:suppressAutoHyphens/>
              <w:jc w:val="center"/>
              <w:rPr>
                <w:noProof/>
                <w:sz w:val="20"/>
                <w:szCs w:val="20"/>
              </w:rPr>
            </w:pPr>
            <w:r w:rsidRPr="00227BE0">
              <w:rPr>
                <w:noProof/>
                <w:sz w:val="20"/>
                <w:szCs w:val="20"/>
              </w:rPr>
              <w:t>10</w:t>
            </w:r>
          </w:p>
        </w:tc>
      </w:tr>
      <w:tr w:rsidR="00E51CDD" w:rsidRPr="00227BE0" w14:paraId="16A3077D"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730082BC" w14:textId="77777777" w:rsidR="00E51CDD" w:rsidRPr="00227BE0" w:rsidRDefault="00E51CDD" w:rsidP="009938D9">
            <w:pPr>
              <w:widowControl w:val="0"/>
              <w:suppressAutoHyphens/>
              <w:rPr>
                <w:b/>
                <w:bCs/>
                <w:sz w:val="20"/>
                <w:szCs w:val="20"/>
              </w:rPr>
            </w:pPr>
            <w:r w:rsidRPr="00227BE0">
              <w:rPr>
                <w:b/>
                <w:bCs/>
                <w:sz w:val="20"/>
                <w:szCs w:val="20"/>
              </w:rPr>
              <w:t>RAC (µg a.s./L)</w:t>
            </w:r>
          </w:p>
        </w:tc>
        <w:tc>
          <w:tcPr>
            <w:tcW w:w="1079" w:type="pct"/>
            <w:tcBorders>
              <w:top w:val="nil"/>
              <w:left w:val="single" w:sz="4" w:space="0" w:color="auto"/>
              <w:bottom w:val="single" w:sz="4" w:space="0" w:color="auto"/>
              <w:right w:val="single" w:sz="4" w:space="0" w:color="auto"/>
            </w:tcBorders>
            <w:vAlign w:val="center"/>
          </w:tcPr>
          <w:p w14:paraId="75A46718" w14:textId="77777777" w:rsidR="00E51CDD" w:rsidRPr="00227BE0" w:rsidRDefault="00E51CDD" w:rsidP="009938D9">
            <w:pPr>
              <w:keepNext/>
              <w:keepLines/>
              <w:widowControl w:val="0"/>
              <w:suppressAutoHyphens/>
              <w:rPr>
                <w:noProof/>
                <w:sz w:val="20"/>
                <w:szCs w:val="20"/>
              </w:rPr>
            </w:pPr>
          </w:p>
        </w:tc>
        <w:tc>
          <w:tcPr>
            <w:tcW w:w="1254" w:type="pct"/>
            <w:tcBorders>
              <w:top w:val="single" w:sz="4" w:space="0" w:color="auto"/>
              <w:left w:val="single" w:sz="4" w:space="0" w:color="auto"/>
              <w:bottom w:val="single" w:sz="4" w:space="0" w:color="auto"/>
              <w:right w:val="single" w:sz="4" w:space="0" w:color="auto"/>
            </w:tcBorders>
            <w:vAlign w:val="center"/>
          </w:tcPr>
          <w:p w14:paraId="3F140D36" w14:textId="77777777" w:rsidR="00E51CDD" w:rsidRPr="00227BE0" w:rsidRDefault="00E51CDD" w:rsidP="009938D9">
            <w:pPr>
              <w:widowControl w:val="0"/>
              <w:suppressAutoHyphens/>
              <w:jc w:val="center"/>
              <w:rPr>
                <w:noProof/>
                <w:sz w:val="20"/>
                <w:szCs w:val="20"/>
              </w:rPr>
            </w:pPr>
            <w:r w:rsidRPr="00227BE0">
              <w:rPr>
                <w:noProof/>
                <w:sz w:val="20"/>
                <w:szCs w:val="20"/>
              </w:rPr>
              <w:t>3.282</w:t>
            </w:r>
          </w:p>
        </w:tc>
        <w:tc>
          <w:tcPr>
            <w:tcW w:w="1302" w:type="pct"/>
            <w:gridSpan w:val="2"/>
            <w:tcBorders>
              <w:top w:val="single" w:sz="4" w:space="0" w:color="auto"/>
              <w:left w:val="single" w:sz="4" w:space="0" w:color="auto"/>
              <w:bottom w:val="single" w:sz="4" w:space="0" w:color="auto"/>
              <w:right w:val="single" w:sz="4" w:space="0" w:color="auto"/>
            </w:tcBorders>
            <w:vAlign w:val="center"/>
          </w:tcPr>
          <w:p w14:paraId="7F4BB671" w14:textId="77777777" w:rsidR="00E51CDD" w:rsidRPr="00227BE0" w:rsidRDefault="00E51CDD" w:rsidP="009938D9">
            <w:pPr>
              <w:widowControl w:val="0"/>
              <w:suppressAutoHyphens/>
              <w:jc w:val="center"/>
              <w:rPr>
                <w:noProof/>
                <w:sz w:val="20"/>
                <w:szCs w:val="20"/>
              </w:rPr>
            </w:pPr>
            <w:r w:rsidRPr="00227BE0">
              <w:rPr>
                <w:noProof/>
                <w:sz w:val="20"/>
                <w:szCs w:val="20"/>
              </w:rPr>
              <w:t>48.59</w:t>
            </w:r>
          </w:p>
        </w:tc>
      </w:tr>
      <w:tr w:rsidR="00E51CDD" w:rsidRPr="00227BE0" w14:paraId="59BB64FE"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0762F266" w14:textId="77777777" w:rsidR="00E51CDD" w:rsidRPr="00227BE0" w:rsidRDefault="00E51CDD" w:rsidP="009938D9">
            <w:pPr>
              <w:widowControl w:val="0"/>
              <w:suppressAutoHyphens/>
              <w:rPr>
                <w:b/>
                <w:sz w:val="20"/>
                <w:szCs w:val="20"/>
                <w:lang w:val="en-GB"/>
              </w:rPr>
            </w:pPr>
            <w:r w:rsidRPr="00227BE0">
              <w:rPr>
                <w:b/>
                <w:sz w:val="20"/>
                <w:szCs w:val="20"/>
                <w:lang w:val="en-GB"/>
              </w:rPr>
              <w:t xml:space="preserve">FOCUS </w:t>
            </w:r>
          </w:p>
          <w:p w14:paraId="79F9D811" w14:textId="77777777" w:rsidR="00E51CDD" w:rsidRPr="00227BE0" w:rsidRDefault="00E51CDD" w:rsidP="009938D9">
            <w:pPr>
              <w:rPr>
                <w:b/>
                <w:bCs/>
                <w:sz w:val="20"/>
                <w:szCs w:val="20"/>
              </w:rPr>
            </w:pPr>
            <w:r w:rsidRPr="00227BE0">
              <w:rPr>
                <w:b/>
                <w:sz w:val="20"/>
                <w:szCs w:val="20"/>
                <w:lang w:val="en-GB"/>
              </w:rPr>
              <w:t>Scenario</w:t>
            </w:r>
            <w:r w:rsidRPr="00227BE0">
              <w:rPr>
                <w:b/>
                <w:bCs/>
                <w:sz w:val="20"/>
                <w:szCs w:val="20"/>
                <w:lang w:eastAsia="en-US"/>
              </w:rPr>
              <w:t xml:space="preserve"> </w:t>
            </w:r>
          </w:p>
        </w:tc>
        <w:tc>
          <w:tcPr>
            <w:tcW w:w="1079" w:type="pct"/>
            <w:tcBorders>
              <w:top w:val="single" w:sz="4" w:space="0" w:color="auto"/>
              <w:left w:val="single" w:sz="4" w:space="0" w:color="auto"/>
              <w:bottom w:val="single" w:sz="4" w:space="0" w:color="auto"/>
              <w:right w:val="single" w:sz="4" w:space="0" w:color="auto"/>
            </w:tcBorders>
            <w:vAlign w:val="center"/>
            <w:hideMark/>
          </w:tcPr>
          <w:p w14:paraId="00E2FA0B" w14:textId="77777777" w:rsidR="00E51CDD" w:rsidRPr="00227BE0" w:rsidRDefault="00E51CDD" w:rsidP="009938D9">
            <w:pPr>
              <w:widowControl w:val="0"/>
              <w:suppressAutoHyphens/>
              <w:rPr>
                <w:b/>
                <w:bCs/>
                <w:sz w:val="20"/>
                <w:szCs w:val="20"/>
                <w:lang w:val="fr-FR"/>
              </w:rPr>
            </w:pPr>
            <w:r w:rsidRPr="00227BE0">
              <w:rPr>
                <w:b/>
                <w:bCs/>
                <w:sz w:val="20"/>
                <w:szCs w:val="20"/>
                <w:lang w:val="fr-FR"/>
              </w:rPr>
              <w:t>PEC</w:t>
            </w:r>
            <w:r w:rsidRPr="00227BE0">
              <w:rPr>
                <w:b/>
                <w:bCs/>
                <w:sz w:val="20"/>
                <w:szCs w:val="20"/>
                <w:vertAlign w:val="subscript"/>
                <w:lang w:val="fr-FR"/>
              </w:rPr>
              <w:t>mix-max</w:t>
            </w:r>
            <w:r w:rsidRPr="00227BE0">
              <w:rPr>
                <w:b/>
                <w:bCs/>
                <w:sz w:val="20"/>
                <w:szCs w:val="20"/>
                <w:lang w:val="fr-FR"/>
              </w:rPr>
              <w:t xml:space="preserve"> (µg/L)</w:t>
            </w:r>
            <w:r w:rsidRPr="00227BE0">
              <w:rPr>
                <w:b/>
                <w:bCs/>
                <w:sz w:val="20"/>
                <w:szCs w:val="20"/>
                <w:vertAlign w:val="superscript"/>
                <w:lang w:val="fr-FR"/>
              </w:rPr>
              <w:t> #</w:t>
            </w:r>
          </w:p>
        </w:tc>
        <w:tc>
          <w:tcPr>
            <w:tcW w:w="2556" w:type="pct"/>
            <w:gridSpan w:val="3"/>
            <w:tcBorders>
              <w:top w:val="single" w:sz="4" w:space="0" w:color="auto"/>
              <w:left w:val="single" w:sz="4" w:space="0" w:color="auto"/>
              <w:bottom w:val="single" w:sz="4" w:space="0" w:color="auto"/>
              <w:right w:val="single" w:sz="4" w:space="0" w:color="auto"/>
            </w:tcBorders>
            <w:vAlign w:val="center"/>
            <w:hideMark/>
          </w:tcPr>
          <w:p w14:paraId="1E9F20D6" w14:textId="77777777" w:rsidR="00E51CDD" w:rsidRPr="00227BE0" w:rsidRDefault="00E51CDD" w:rsidP="009938D9">
            <w:pPr>
              <w:widowControl w:val="0"/>
              <w:suppressAutoHyphens/>
              <w:jc w:val="center"/>
              <w:rPr>
                <w:b/>
                <w:bCs/>
                <w:sz w:val="20"/>
                <w:szCs w:val="20"/>
              </w:rPr>
            </w:pPr>
            <w:r w:rsidRPr="00227BE0">
              <w:rPr>
                <w:b/>
                <w:bCs/>
                <w:noProof/>
                <w:sz w:val="20"/>
                <w:szCs w:val="20"/>
              </w:rPr>
              <w:t>PEC/RAC (= ETR)</w:t>
            </w:r>
          </w:p>
        </w:tc>
      </w:tr>
      <w:tr w:rsidR="00E51CDD" w:rsidRPr="00227BE0" w14:paraId="74252C3D" w14:textId="77777777" w:rsidTr="009938D9">
        <w:trPr>
          <w:cantSplit/>
        </w:trPr>
        <w:tc>
          <w:tcPr>
            <w:tcW w:w="1365" w:type="pct"/>
            <w:tcBorders>
              <w:top w:val="single" w:sz="4" w:space="0" w:color="auto"/>
              <w:left w:val="single" w:sz="4" w:space="0" w:color="auto"/>
              <w:bottom w:val="single" w:sz="4" w:space="0" w:color="auto"/>
              <w:right w:val="nil"/>
            </w:tcBorders>
            <w:vAlign w:val="center"/>
          </w:tcPr>
          <w:p w14:paraId="051E52E9" w14:textId="77777777" w:rsidR="00E51CDD" w:rsidRPr="00227BE0" w:rsidRDefault="00E51CDD" w:rsidP="009938D9">
            <w:pPr>
              <w:widowControl w:val="0"/>
              <w:suppressAutoHyphens/>
              <w:rPr>
                <w:b/>
                <w:sz w:val="20"/>
                <w:szCs w:val="20"/>
                <w:lang w:val="en-GB"/>
              </w:rPr>
            </w:pPr>
            <w:r w:rsidRPr="00227BE0">
              <w:rPr>
                <w:b/>
                <w:sz w:val="20"/>
                <w:szCs w:val="20"/>
                <w:lang w:val="en-GB"/>
              </w:rPr>
              <w:t>Step 1</w:t>
            </w:r>
          </w:p>
        </w:tc>
        <w:tc>
          <w:tcPr>
            <w:tcW w:w="1079" w:type="pct"/>
            <w:tcBorders>
              <w:top w:val="single" w:sz="4" w:space="0" w:color="auto"/>
              <w:left w:val="nil"/>
              <w:bottom w:val="single" w:sz="4" w:space="0" w:color="auto"/>
              <w:right w:val="nil"/>
            </w:tcBorders>
            <w:vAlign w:val="center"/>
          </w:tcPr>
          <w:p w14:paraId="775F5C5A" w14:textId="77777777" w:rsidR="00E51CDD" w:rsidRPr="00227BE0" w:rsidRDefault="00E51CDD" w:rsidP="009938D9">
            <w:pPr>
              <w:widowControl w:val="0"/>
              <w:suppressAutoHyphens/>
              <w:rPr>
                <w:b/>
                <w:bCs/>
                <w:sz w:val="20"/>
                <w:szCs w:val="20"/>
              </w:rPr>
            </w:pPr>
          </w:p>
        </w:tc>
        <w:tc>
          <w:tcPr>
            <w:tcW w:w="1487" w:type="pct"/>
            <w:gridSpan w:val="2"/>
            <w:tcBorders>
              <w:top w:val="single" w:sz="4" w:space="0" w:color="auto"/>
              <w:left w:val="nil"/>
              <w:bottom w:val="single" w:sz="4" w:space="0" w:color="auto"/>
              <w:right w:val="nil"/>
            </w:tcBorders>
          </w:tcPr>
          <w:p w14:paraId="2066F33D" w14:textId="77777777" w:rsidR="00E51CDD" w:rsidRPr="00227BE0" w:rsidRDefault="00E51CDD" w:rsidP="009938D9">
            <w:pPr>
              <w:keepNext/>
              <w:keepLines/>
              <w:widowControl w:val="0"/>
              <w:suppressAutoHyphens/>
              <w:jc w:val="center"/>
              <w:rPr>
                <w:b/>
                <w:bCs/>
                <w:noProof/>
                <w:sz w:val="20"/>
                <w:szCs w:val="20"/>
              </w:rPr>
            </w:pPr>
          </w:p>
        </w:tc>
        <w:tc>
          <w:tcPr>
            <w:tcW w:w="1069" w:type="pct"/>
            <w:tcBorders>
              <w:top w:val="single" w:sz="4" w:space="0" w:color="auto"/>
              <w:left w:val="nil"/>
              <w:bottom w:val="single" w:sz="4" w:space="0" w:color="auto"/>
              <w:right w:val="single" w:sz="4" w:space="0" w:color="auto"/>
            </w:tcBorders>
            <w:vAlign w:val="center"/>
          </w:tcPr>
          <w:p w14:paraId="288E3F75" w14:textId="77777777" w:rsidR="00E51CDD" w:rsidRPr="00227BE0" w:rsidRDefault="00E51CDD" w:rsidP="009938D9">
            <w:pPr>
              <w:keepNext/>
              <w:keepLines/>
              <w:widowControl w:val="0"/>
              <w:suppressAutoHyphens/>
              <w:rPr>
                <w:b/>
                <w:bCs/>
                <w:noProof/>
                <w:sz w:val="20"/>
                <w:szCs w:val="20"/>
              </w:rPr>
            </w:pPr>
          </w:p>
        </w:tc>
      </w:tr>
      <w:tr w:rsidR="00E51CDD" w:rsidRPr="00227BE0" w14:paraId="02148A06"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511F1DF7" w14:textId="77777777" w:rsidR="00E51CDD" w:rsidRPr="00227BE0" w:rsidRDefault="00E51CDD" w:rsidP="009938D9">
            <w:pPr>
              <w:widowControl w:val="0"/>
              <w:suppressAutoHyphens/>
              <w:rPr>
                <w:noProof/>
                <w:sz w:val="20"/>
                <w:szCs w:val="20"/>
              </w:rPr>
            </w:pPr>
          </w:p>
        </w:tc>
        <w:tc>
          <w:tcPr>
            <w:tcW w:w="1079" w:type="pct"/>
            <w:tcBorders>
              <w:top w:val="single" w:sz="4" w:space="0" w:color="auto"/>
              <w:left w:val="single" w:sz="4" w:space="0" w:color="auto"/>
              <w:bottom w:val="single" w:sz="4" w:space="0" w:color="auto"/>
              <w:right w:val="single" w:sz="4" w:space="0" w:color="auto"/>
            </w:tcBorders>
            <w:vAlign w:val="center"/>
            <w:hideMark/>
          </w:tcPr>
          <w:p w14:paraId="31CD65AC" w14:textId="77777777" w:rsidR="00E51CDD" w:rsidRPr="00227BE0" w:rsidRDefault="00E51CDD" w:rsidP="009938D9">
            <w:pPr>
              <w:widowControl w:val="0"/>
              <w:suppressAutoHyphens/>
              <w:rPr>
                <w:noProof/>
                <w:sz w:val="20"/>
                <w:szCs w:val="20"/>
              </w:rPr>
            </w:pPr>
            <w:r w:rsidRPr="00227BE0">
              <w:rPr>
                <w:noProof/>
                <w:sz w:val="20"/>
                <w:szCs w:val="20"/>
              </w:rPr>
              <w:t>105.213</w:t>
            </w:r>
          </w:p>
        </w:tc>
        <w:tc>
          <w:tcPr>
            <w:tcW w:w="1254" w:type="pct"/>
            <w:tcBorders>
              <w:top w:val="single" w:sz="4" w:space="0" w:color="auto"/>
              <w:left w:val="single" w:sz="4" w:space="0" w:color="auto"/>
              <w:bottom w:val="single" w:sz="4" w:space="0" w:color="auto"/>
              <w:right w:val="single" w:sz="4" w:space="0" w:color="auto"/>
            </w:tcBorders>
            <w:vAlign w:val="center"/>
          </w:tcPr>
          <w:p w14:paraId="2FC24244" w14:textId="77777777" w:rsidR="00E51CDD" w:rsidRPr="00227BE0" w:rsidRDefault="00E51CDD" w:rsidP="009938D9">
            <w:pPr>
              <w:widowControl w:val="0"/>
              <w:suppressAutoHyphens/>
              <w:jc w:val="center"/>
              <w:rPr>
                <w:b/>
                <w:noProof/>
                <w:sz w:val="20"/>
                <w:szCs w:val="20"/>
              </w:rPr>
            </w:pPr>
            <w:r w:rsidRPr="00227BE0">
              <w:rPr>
                <w:b/>
                <w:noProof/>
                <w:sz w:val="20"/>
                <w:szCs w:val="20"/>
              </w:rPr>
              <w:t>32</w:t>
            </w:r>
          </w:p>
        </w:tc>
        <w:tc>
          <w:tcPr>
            <w:tcW w:w="1302" w:type="pct"/>
            <w:gridSpan w:val="2"/>
            <w:tcBorders>
              <w:top w:val="single" w:sz="4" w:space="0" w:color="auto"/>
              <w:left w:val="single" w:sz="4" w:space="0" w:color="auto"/>
              <w:bottom w:val="single" w:sz="4" w:space="0" w:color="auto"/>
              <w:right w:val="single" w:sz="4" w:space="0" w:color="auto"/>
            </w:tcBorders>
            <w:vAlign w:val="center"/>
          </w:tcPr>
          <w:p w14:paraId="4A74E8D2" w14:textId="77777777" w:rsidR="00E51CDD" w:rsidRPr="00227BE0" w:rsidRDefault="00E51CDD" w:rsidP="009938D9">
            <w:pPr>
              <w:widowControl w:val="0"/>
              <w:suppressAutoHyphens/>
              <w:jc w:val="center"/>
              <w:rPr>
                <w:b/>
                <w:noProof/>
                <w:sz w:val="20"/>
                <w:szCs w:val="20"/>
              </w:rPr>
            </w:pPr>
            <w:r w:rsidRPr="00227BE0">
              <w:rPr>
                <w:b/>
                <w:noProof/>
                <w:sz w:val="20"/>
                <w:szCs w:val="20"/>
              </w:rPr>
              <w:t>2.2</w:t>
            </w:r>
          </w:p>
        </w:tc>
      </w:tr>
      <w:tr w:rsidR="00E51CDD" w:rsidRPr="00227BE0" w14:paraId="7F9BAD1A" w14:textId="77777777" w:rsidTr="009938D9">
        <w:trPr>
          <w:cantSplit/>
        </w:trPr>
        <w:tc>
          <w:tcPr>
            <w:tcW w:w="1365" w:type="pct"/>
            <w:tcBorders>
              <w:top w:val="single" w:sz="4" w:space="0" w:color="auto"/>
              <w:left w:val="single" w:sz="4" w:space="0" w:color="auto"/>
              <w:bottom w:val="single" w:sz="4" w:space="0" w:color="auto"/>
              <w:right w:val="nil"/>
            </w:tcBorders>
            <w:vAlign w:val="center"/>
          </w:tcPr>
          <w:p w14:paraId="68FFB177" w14:textId="77777777" w:rsidR="00E51CDD" w:rsidRPr="00227BE0" w:rsidRDefault="00E51CDD" w:rsidP="009938D9">
            <w:pPr>
              <w:widowControl w:val="0"/>
              <w:suppressAutoHyphens/>
              <w:rPr>
                <w:b/>
                <w:sz w:val="20"/>
                <w:szCs w:val="20"/>
                <w:lang w:val="en-GB"/>
              </w:rPr>
            </w:pPr>
            <w:r w:rsidRPr="00227BE0">
              <w:rPr>
                <w:b/>
                <w:sz w:val="20"/>
                <w:szCs w:val="20"/>
                <w:lang w:val="en-GB"/>
              </w:rPr>
              <w:t>Step 2</w:t>
            </w:r>
          </w:p>
        </w:tc>
        <w:tc>
          <w:tcPr>
            <w:tcW w:w="1079" w:type="pct"/>
            <w:tcBorders>
              <w:top w:val="single" w:sz="4" w:space="0" w:color="auto"/>
              <w:left w:val="nil"/>
              <w:bottom w:val="single" w:sz="4" w:space="0" w:color="auto"/>
              <w:right w:val="nil"/>
            </w:tcBorders>
            <w:vAlign w:val="center"/>
          </w:tcPr>
          <w:p w14:paraId="3447FF4B" w14:textId="77777777" w:rsidR="00E51CDD" w:rsidRPr="00227BE0" w:rsidRDefault="00E51CDD" w:rsidP="009938D9">
            <w:pPr>
              <w:widowControl w:val="0"/>
              <w:suppressAutoHyphens/>
              <w:rPr>
                <w:b/>
                <w:bCs/>
                <w:sz w:val="20"/>
                <w:szCs w:val="20"/>
              </w:rPr>
            </w:pPr>
          </w:p>
        </w:tc>
        <w:tc>
          <w:tcPr>
            <w:tcW w:w="1487" w:type="pct"/>
            <w:gridSpan w:val="2"/>
            <w:tcBorders>
              <w:top w:val="single" w:sz="4" w:space="0" w:color="auto"/>
              <w:left w:val="nil"/>
              <w:bottom w:val="single" w:sz="4" w:space="0" w:color="auto"/>
              <w:right w:val="nil"/>
            </w:tcBorders>
          </w:tcPr>
          <w:p w14:paraId="4919C1A7" w14:textId="77777777" w:rsidR="00E51CDD" w:rsidRPr="00227BE0" w:rsidRDefault="00E51CDD" w:rsidP="009938D9">
            <w:pPr>
              <w:keepNext/>
              <w:keepLines/>
              <w:widowControl w:val="0"/>
              <w:suppressAutoHyphens/>
              <w:jc w:val="center"/>
              <w:rPr>
                <w:b/>
                <w:bCs/>
                <w:noProof/>
                <w:sz w:val="20"/>
                <w:szCs w:val="20"/>
              </w:rPr>
            </w:pPr>
          </w:p>
        </w:tc>
        <w:tc>
          <w:tcPr>
            <w:tcW w:w="1069" w:type="pct"/>
            <w:tcBorders>
              <w:top w:val="single" w:sz="4" w:space="0" w:color="auto"/>
              <w:left w:val="nil"/>
              <w:bottom w:val="single" w:sz="4" w:space="0" w:color="auto"/>
              <w:right w:val="single" w:sz="4" w:space="0" w:color="auto"/>
            </w:tcBorders>
            <w:vAlign w:val="center"/>
          </w:tcPr>
          <w:p w14:paraId="7C270299" w14:textId="77777777" w:rsidR="00E51CDD" w:rsidRPr="00227BE0" w:rsidRDefault="00E51CDD" w:rsidP="009938D9">
            <w:pPr>
              <w:keepNext/>
              <w:keepLines/>
              <w:widowControl w:val="0"/>
              <w:suppressAutoHyphens/>
              <w:rPr>
                <w:b/>
                <w:bCs/>
                <w:noProof/>
                <w:sz w:val="20"/>
                <w:szCs w:val="20"/>
              </w:rPr>
            </w:pPr>
          </w:p>
        </w:tc>
      </w:tr>
      <w:tr w:rsidR="00E51CDD" w:rsidRPr="00227BE0" w14:paraId="08367377"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124CB2AA" w14:textId="77777777" w:rsidR="00E51CDD" w:rsidRPr="00227BE0" w:rsidRDefault="00E51CDD" w:rsidP="009938D9">
            <w:pPr>
              <w:widowControl w:val="0"/>
              <w:suppressAutoHyphens/>
              <w:rPr>
                <w:noProof/>
                <w:sz w:val="20"/>
                <w:szCs w:val="20"/>
                <w:vertAlign w:val="superscript"/>
              </w:rPr>
            </w:pPr>
            <w:r w:rsidRPr="00227BE0">
              <w:rPr>
                <w:sz w:val="20"/>
                <w:szCs w:val="20"/>
              </w:rPr>
              <w:t>N-Europe</w:t>
            </w:r>
          </w:p>
        </w:tc>
        <w:tc>
          <w:tcPr>
            <w:tcW w:w="1079" w:type="pct"/>
            <w:tcBorders>
              <w:top w:val="single" w:sz="4" w:space="0" w:color="auto"/>
              <w:left w:val="single" w:sz="4" w:space="0" w:color="auto"/>
              <w:bottom w:val="single" w:sz="4" w:space="0" w:color="auto"/>
              <w:right w:val="single" w:sz="4" w:space="0" w:color="auto"/>
            </w:tcBorders>
            <w:vAlign w:val="center"/>
          </w:tcPr>
          <w:p w14:paraId="236ECCBF" w14:textId="77777777" w:rsidR="00E51CDD" w:rsidRPr="00227BE0" w:rsidRDefault="00E51CDD" w:rsidP="009938D9">
            <w:pPr>
              <w:widowControl w:val="0"/>
              <w:suppressAutoHyphens/>
              <w:rPr>
                <w:noProof/>
                <w:sz w:val="20"/>
                <w:szCs w:val="20"/>
              </w:rPr>
            </w:pPr>
            <w:r w:rsidRPr="00227BE0">
              <w:rPr>
                <w:noProof/>
                <w:sz w:val="20"/>
                <w:szCs w:val="20"/>
              </w:rPr>
              <w:t>17.613</w:t>
            </w:r>
          </w:p>
        </w:tc>
        <w:tc>
          <w:tcPr>
            <w:tcW w:w="1254" w:type="pct"/>
            <w:tcBorders>
              <w:top w:val="single" w:sz="4" w:space="0" w:color="auto"/>
              <w:left w:val="single" w:sz="4" w:space="0" w:color="auto"/>
              <w:bottom w:val="single" w:sz="4" w:space="0" w:color="auto"/>
              <w:right w:val="single" w:sz="4" w:space="0" w:color="auto"/>
            </w:tcBorders>
            <w:vAlign w:val="center"/>
          </w:tcPr>
          <w:p w14:paraId="6CB17C92" w14:textId="77777777" w:rsidR="00E51CDD" w:rsidRPr="00227BE0" w:rsidRDefault="00E51CDD" w:rsidP="009938D9">
            <w:pPr>
              <w:widowControl w:val="0"/>
              <w:suppressAutoHyphens/>
              <w:jc w:val="center"/>
              <w:rPr>
                <w:b/>
                <w:noProof/>
                <w:sz w:val="20"/>
                <w:szCs w:val="20"/>
              </w:rPr>
            </w:pPr>
            <w:r w:rsidRPr="00227BE0">
              <w:rPr>
                <w:b/>
                <w:noProof/>
                <w:sz w:val="20"/>
                <w:szCs w:val="20"/>
              </w:rPr>
              <w:t>5.4</w:t>
            </w:r>
          </w:p>
        </w:tc>
        <w:tc>
          <w:tcPr>
            <w:tcW w:w="1302" w:type="pct"/>
            <w:gridSpan w:val="2"/>
            <w:tcBorders>
              <w:top w:val="single" w:sz="4" w:space="0" w:color="auto"/>
              <w:left w:val="single" w:sz="4" w:space="0" w:color="auto"/>
              <w:bottom w:val="single" w:sz="4" w:space="0" w:color="auto"/>
              <w:right w:val="single" w:sz="4" w:space="0" w:color="auto"/>
            </w:tcBorders>
            <w:vAlign w:val="center"/>
          </w:tcPr>
          <w:p w14:paraId="7004EE4A" w14:textId="77777777" w:rsidR="00E51CDD" w:rsidRPr="00227BE0" w:rsidRDefault="00E51CDD" w:rsidP="009938D9">
            <w:pPr>
              <w:widowControl w:val="0"/>
              <w:suppressAutoHyphens/>
              <w:jc w:val="center"/>
              <w:rPr>
                <w:noProof/>
                <w:sz w:val="20"/>
                <w:szCs w:val="20"/>
              </w:rPr>
            </w:pPr>
            <w:r w:rsidRPr="00227BE0">
              <w:rPr>
                <w:noProof/>
                <w:sz w:val="20"/>
                <w:szCs w:val="20"/>
              </w:rPr>
              <w:t>0.4</w:t>
            </w:r>
          </w:p>
        </w:tc>
      </w:tr>
      <w:tr w:rsidR="00E51CDD" w:rsidRPr="00227BE0" w14:paraId="50730FAF"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2BF842F8" w14:textId="77777777" w:rsidR="00E51CDD" w:rsidRPr="00227BE0" w:rsidRDefault="00E51CDD" w:rsidP="009938D9">
            <w:pPr>
              <w:widowControl w:val="0"/>
              <w:suppressAutoHyphens/>
              <w:rPr>
                <w:noProof/>
                <w:sz w:val="20"/>
                <w:szCs w:val="20"/>
                <w:vertAlign w:val="superscript"/>
              </w:rPr>
            </w:pPr>
            <w:r w:rsidRPr="00227BE0">
              <w:rPr>
                <w:sz w:val="20"/>
                <w:szCs w:val="20"/>
              </w:rPr>
              <w:t>S-Europe</w:t>
            </w:r>
          </w:p>
        </w:tc>
        <w:tc>
          <w:tcPr>
            <w:tcW w:w="1079" w:type="pct"/>
            <w:tcBorders>
              <w:top w:val="single" w:sz="4" w:space="0" w:color="auto"/>
              <w:left w:val="single" w:sz="4" w:space="0" w:color="auto"/>
              <w:bottom w:val="single" w:sz="4" w:space="0" w:color="auto"/>
              <w:right w:val="single" w:sz="4" w:space="0" w:color="auto"/>
            </w:tcBorders>
            <w:vAlign w:val="center"/>
          </w:tcPr>
          <w:p w14:paraId="6E2DFA69" w14:textId="77777777" w:rsidR="00E51CDD" w:rsidRPr="00227BE0" w:rsidRDefault="00E51CDD" w:rsidP="009938D9">
            <w:pPr>
              <w:widowControl w:val="0"/>
              <w:suppressAutoHyphens/>
              <w:rPr>
                <w:noProof/>
                <w:sz w:val="20"/>
                <w:szCs w:val="20"/>
              </w:rPr>
            </w:pPr>
            <w:r w:rsidRPr="00227BE0">
              <w:rPr>
                <w:noProof/>
                <w:sz w:val="20"/>
                <w:szCs w:val="20"/>
              </w:rPr>
              <w:t>32.479</w:t>
            </w:r>
          </w:p>
        </w:tc>
        <w:tc>
          <w:tcPr>
            <w:tcW w:w="1254" w:type="pct"/>
            <w:tcBorders>
              <w:top w:val="single" w:sz="4" w:space="0" w:color="auto"/>
              <w:left w:val="single" w:sz="4" w:space="0" w:color="auto"/>
              <w:bottom w:val="single" w:sz="4" w:space="0" w:color="auto"/>
              <w:right w:val="single" w:sz="4" w:space="0" w:color="auto"/>
            </w:tcBorders>
            <w:vAlign w:val="center"/>
          </w:tcPr>
          <w:p w14:paraId="74EC7192" w14:textId="77777777" w:rsidR="00E51CDD" w:rsidRPr="00227BE0" w:rsidRDefault="00E51CDD" w:rsidP="009938D9">
            <w:pPr>
              <w:widowControl w:val="0"/>
              <w:suppressAutoHyphens/>
              <w:jc w:val="center"/>
              <w:rPr>
                <w:b/>
                <w:noProof/>
                <w:sz w:val="20"/>
                <w:szCs w:val="20"/>
              </w:rPr>
            </w:pPr>
            <w:r w:rsidRPr="00227BE0">
              <w:rPr>
                <w:b/>
                <w:noProof/>
                <w:sz w:val="20"/>
                <w:szCs w:val="20"/>
              </w:rPr>
              <w:t>9.9</w:t>
            </w:r>
          </w:p>
        </w:tc>
        <w:tc>
          <w:tcPr>
            <w:tcW w:w="1302" w:type="pct"/>
            <w:gridSpan w:val="2"/>
            <w:tcBorders>
              <w:top w:val="single" w:sz="4" w:space="0" w:color="auto"/>
              <w:left w:val="single" w:sz="4" w:space="0" w:color="auto"/>
              <w:bottom w:val="single" w:sz="4" w:space="0" w:color="auto"/>
              <w:right w:val="single" w:sz="4" w:space="0" w:color="auto"/>
            </w:tcBorders>
            <w:vAlign w:val="center"/>
          </w:tcPr>
          <w:p w14:paraId="2DCDEFBE" w14:textId="77777777" w:rsidR="00E51CDD" w:rsidRPr="00227BE0" w:rsidRDefault="00E51CDD" w:rsidP="009938D9">
            <w:pPr>
              <w:widowControl w:val="0"/>
              <w:suppressAutoHyphens/>
              <w:jc w:val="center"/>
              <w:rPr>
                <w:noProof/>
                <w:sz w:val="20"/>
                <w:szCs w:val="20"/>
              </w:rPr>
            </w:pPr>
            <w:r w:rsidRPr="00227BE0">
              <w:rPr>
                <w:noProof/>
                <w:sz w:val="20"/>
                <w:szCs w:val="20"/>
              </w:rPr>
              <w:t>0.7</w:t>
            </w:r>
          </w:p>
        </w:tc>
      </w:tr>
      <w:tr w:rsidR="00E51CDD" w:rsidRPr="00227BE0" w14:paraId="0ABCF24D" w14:textId="77777777" w:rsidTr="009938D9">
        <w:trPr>
          <w:cantSplit/>
        </w:trPr>
        <w:tc>
          <w:tcPr>
            <w:tcW w:w="1365" w:type="pct"/>
            <w:tcBorders>
              <w:top w:val="single" w:sz="4" w:space="0" w:color="auto"/>
              <w:left w:val="single" w:sz="4" w:space="0" w:color="auto"/>
              <w:bottom w:val="single" w:sz="4" w:space="0" w:color="auto"/>
              <w:right w:val="nil"/>
            </w:tcBorders>
            <w:vAlign w:val="center"/>
          </w:tcPr>
          <w:p w14:paraId="692D873C" w14:textId="77777777" w:rsidR="00E51CDD" w:rsidRPr="00227BE0" w:rsidRDefault="00E51CDD" w:rsidP="009938D9">
            <w:pPr>
              <w:widowControl w:val="0"/>
              <w:suppressAutoHyphens/>
              <w:rPr>
                <w:b/>
                <w:sz w:val="20"/>
                <w:szCs w:val="20"/>
                <w:lang w:val="en-GB"/>
              </w:rPr>
            </w:pPr>
            <w:r w:rsidRPr="00227BE0">
              <w:rPr>
                <w:b/>
                <w:sz w:val="20"/>
                <w:szCs w:val="20"/>
                <w:lang w:val="en-GB"/>
              </w:rPr>
              <w:t>Step 3</w:t>
            </w:r>
          </w:p>
        </w:tc>
        <w:tc>
          <w:tcPr>
            <w:tcW w:w="1079" w:type="pct"/>
            <w:tcBorders>
              <w:top w:val="single" w:sz="4" w:space="0" w:color="auto"/>
              <w:left w:val="nil"/>
              <w:bottom w:val="single" w:sz="4" w:space="0" w:color="auto"/>
              <w:right w:val="nil"/>
            </w:tcBorders>
            <w:vAlign w:val="center"/>
          </w:tcPr>
          <w:p w14:paraId="12AA00C3" w14:textId="77777777" w:rsidR="00E51CDD" w:rsidRPr="00227BE0" w:rsidRDefault="00E51CDD" w:rsidP="009938D9">
            <w:pPr>
              <w:widowControl w:val="0"/>
              <w:suppressAutoHyphens/>
              <w:rPr>
                <w:b/>
                <w:bCs/>
                <w:sz w:val="20"/>
                <w:szCs w:val="20"/>
              </w:rPr>
            </w:pPr>
          </w:p>
        </w:tc>
        <w:tc>
          <w:tcPr>
            <w:tcW w:w="1487" w:type="pct"/>
            <w:gridSpan w:val="2"/>
            <w:tcBorders>
              <w:top w:val="single" w:sz="4" w:space="0" w:color="auto"/>
              <w:left w:val="nil"/>
              <w:bottom w:val="single" w:sz="4" w:space="0" w:color="auto"/>
              <w:right w:val="nil"/>
            </w:tcBorders>
          </w:tcPr>
          <w:p w14:paraId="1EEBE4E6" w14:textId="77777777" w:rsidR="00E51CDD" w:rsidRPr="00227BE0" w:rsidRDefault="00E51CDD" w:rsidP="009938D9">
            <w:pPr>
              <w:keepNext/>
              <w:keepLines/>
              <w:widowControl w:val="0"/>
              <w:suppressAutoHyphens/>
              <w:jc w:val="center"/>
              <w:rPr>
                <w:b/>
                <w:bCs/>
                <w:noProof/>
                <w:sz w:val="20"/>
                <w:szCs w:val="20"/>
              </w:rPr>
            </w:pPr>
          </w:p>
        </w:tc>
        <w:tc>
          <w:tcPr>
            <w:tcW w:w="1069" w:type="pct"/>
            <w:tcBorders>
              <w:top w:val="single" w:sz="4" w:space="0" w:color="auto"/>
              <w:left w:val="nil"/>
              <w:bottom w:val="single" w:sz="4" w:space="0" w:color="auto"/>
              <w:right w:val="single" w:sz="4" w:space="0" w:color="auto"/>
            </w:tcBorders>
            <w:vAlign w:val="center"/>
          </w:tcPr>
          <w:p w14:paraId="5AB91DE6" w14:textId="77777777" w:rsidR="00E51CDD" w:rsidRPr="00227BE0" w:rsidRDefault="00E51CDD" w:rsidP="009938D9">
            <w:pPr>
              <w:keepNext/>
              <w:keepLines/>
              <w:widowControl w:val="0"/>
              <w:suppressAutoHyphens/>
              <w:rPr>
                <w:b/>
                <w:bCs/>
                <w:noProof/>
                <w:sz w:val="20"/>
                <w:szCs w:val="20"/>
              </w:rPr>
            </w:pPr>
          </w:p>
        </w:tc>
      </w:tr>
      <w:tr w:rsidR="00E51CDD" w:rsidRPr="00227BE0" w14:paraId="4BA7AFD0"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0DA81D1D" w14:textId="77777777" w:rsidR="00E51CDD" w:rsidRPr="00227BE0" w:rsidRDefault="00E51CDD" w:rsidP="009938D9">
            <w:pPr>
              <w:widowControl w:val="0"/>
              <w:suppressAutoHyphens/>
              <w:rPr>
                <w:noProof/>
                <w:sz w:val="20"/>
                <w:szCs w:val="20"/>
                <w:vertAlign w:val="superscript"/>
              </w:rPr>
            </w:pPr>
            <w:r w:rsidRPr="00227BE0">
              <w:rPr>
                <w:sz w:val="20"/>
                <w:szCs w:val="20"/>
              </w:rPr>
              <w:t>D3 ditch</w:t>
            </w:r>
          </w:p>
        </w:tc>
        <w:tc>
          <w:tcPr>
            <w:tcW w:w="1079" w:type="pct"/>
            <w:tcBorders>
              <w:top w:val="single" w:sz="4" w:space="0" w:color="auto"/>
              <w:left w:val="single" w:sz="4" w:space="0" w:color="auto"/>
              <w:bottom w:val="single" w:sz="4" w:space="0" w:color="auto"/>
              <w:right w:val="single" w:sz="4" w:space="0" w:color="auto"/>
            </w:tcBorders>
            <w:vAlign w:val="center"/>
          </w:tcPr>
          <w:p w14:paraId="1FAA90A3" w14:textId="77777777" w:rsidR="00E51CDD" w:rsidRPr="009371A8" w:rsidRDefault="00E51CDD" w:rsidP="009938D9">
            <w:pPr>
              <w:widowControl w:val="0"/>
              <w:suppressAutoHyphens/>
              <w:rPr>
                <w:strike/>
                <w:sz w:val="20"/>
                <w:szCs w:val="20"/>
                <w:highlight w:val="yellow"/>
              </w:rPr>
            </w:pPr>
            <w:r w:rsidRPr="009371A8">
              <w:rPr>
                <w:strike/>
                <w:sz w:val="20"/>
                <w:szCs w:val="20"/>
                <w:highlight w:val="yellow"/>
              </w:rPr>
              <w:t>1.585</w:t>
            </w:r>
          </w:p>
          <w:p w14:paraId="05718A4D" w14:textId="4975DBB3" w:rsidR="009371A8" w:rsidRPr="009371A8" w:rsidRDefault="009371A8" w:rsidP="009938D9">
            <w:pPr>
              <w:widowControl w:val="0"/>
              <w:suppressAutoHyphens/>
              <w:rPr>
                <w:noProof/>
                <w:sz w:val="20"/>
                <w:szCs w:val="20"/>
                <w:highlight w:val="yellow"/>
              </w:rPr>
            </w:pPr>
            <w:r w:rsidRPr="009371A8">
              <w:rPr>
                <w:noProof/>
                <w:sz w:val="20"/>
                <w:szCs w:val="20"/>
                <w:highlight w:val="yellow"/>
              </w:rPr>
              <w:t>1.584</w:t>
            </w:r>
          </w:p>
        </w:tc>
        <w:tc>
          <w:tcPr>
            <w:tcW w:w="1254" w:type="pct"/>
            <w:tcBorders>
              <w:top w:val="single" w:sz="4" w:space="0" w:color="auto"/>
              <w:left w:val="single" w:sz="4" w:space="0" w:color="auto"/>
              <w:bottom w:val="single" w:sz="4" w:space="0" w:color="auto"/>
              <w:right w:val="single" w:sz="4" w:space="0" w:color="auto"/>
            </w:tcBorders>
            <w:vAlign w:val="center"/>
          </w:tcPr>
          <w:p w14:paraId="6FD35841" w14:textId="664A331A" w:rsidR="009371A8" w:rsidRPr="009371A8" w:rsidRDefault="00E51CDD" w:rsidP="009371A8">
            <w:pPr>
              <w:widowControl w:val="0"/>
              <w:suppressAutoHyphens/>
              <w:jc w:val="center"/>
              <w:rPr>
                <w:sz w:val="20"/>
                <w:szCs w:val="20"/>
              </w:rPr>
            </w:pPr>
            <w:r w:rsidRPr="00227BE0">
              <w:rPr>
                <w:sz w:val="20"/>
                <w:szCs w:val="20"/>
              </w:rPr>
              <w:t>0.5</w:t>
            </w:r>
          </w:p>
        </w:tc>
        <w:tc>
          <w:tcPr>
            <w:tcW w:w="1302" w:type="pct"/>
            <w:gridSpan w:val="2"/>
            <w:tcBorders>
              <w:top w:val="single" w:sz="4" w:space="0" w:color="auto"/>
              <w:left w:val="single" w:sz="4" w:space="0" w:color="auto"/>
              <w:bottom w:val="single" w:sz="4" w:space="0" w:color="auto"/>
              <w:right w:val="single" w:sz="4" w:space="0" w:color="auto"/>
            </w:tcBorders>
            <w:vAlign w:val="center"/>
          </w:tcPr>
          <w:p w14:paraId="19ED9CDE"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3E6D95ED"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7B109D1E" w14:textId="77777777" w:rsidR="00E51CDD" w:rsidRPr="00227BE0" w:rsidRDefault="00E51CDD" w:rsidP="009938D9">
            <w:pPr>
              <w:widowControl w:val="0"/>
              <w:suppressAutoHyphens/>
              <w:rPr>
                <w:noProof/>
                <w:sz w:val="20"/>
                <w:szCs w:val="20"/>
                <w:vertAlign w:val="superscript"/>
              </w:rPr>
            </w:pPr>
            <w:r w:rsidRPr="00227BE0">
              <w:rPr>
                <w:sz w:val="20"/>
                <w:szCs w:val="20"/>
              </w:rPr>
              <w:t>D4 pond</w:t>
            </w:r>
          </w:p>
        </w:tc>
        <w:tc>
          <w:tcPr>
            <w:tcW w:w="1079" w:type="pct"/>
            <w:tcBorders>
              <w:top w:val="single" w:sz="4" w:space="0" w:color="auto"/>
              <w:left w:val="single" w:sz="4" w:space="0" w:color="auto"/>
              <w:bottom w:val="single" w:sz="4" w:space="0" w:color="auto"/>
              <w:right w:val="single" w:sz="4" w:space="0" w:color="auto"/>
            </w:tcBorders>
            <w:vAlign w:val="center"/>
          </w:tcPr>
          <w:p w14:paraId="71CD6004" w14:textId="77777777" w:rsidR="00E51CDD" w:rsidRPr="009371A8" w:rsidRDefault="00E51CDD" w:rsidP="009938D9">
            <w:pPr>
              <w:widowControl w:val="0"/>
              <w:suppressAutoHyphens/>
              <w:rPr>
                <w:strike/>
                <w:sz w:val="20"/>
                <w:szCs w:val="20"/>
                <w:highlight w:val="yellow"/>
              </w:rPr>
            </w:pPr>
            <w:r w:rsidRPr="009371A8">
              <w:rPr>
                <w:strike/>
                <w:sz w:val="20"/>
                <w:szCs w:val="20"/>
                <w:highlight w:val="yellow"/>
              </w:rPr>
              <w:t>0.996</w:t>
            </w:r>
          </w:p>
          <w:p w14:paraId="476890F1" w14:textId="56EF118E" w:rsidR="009371A8" w:rsidRPr="009371A8" w:rsidRDefault="009371A8" w:rsidP="009938D9">
            <w:pPr>
              <w:widowControl w:val="0"/>
              <w:suppressAutoHyphens/>
              <w:rPr>
                <w:noProof/>
                <w:sz w:val="20"/>
                <w:szCs w:val="20"/>
                <w:highlight w:val="yellow"/>
              </w:rPr>
            </w:pPr>
            <w:r w:rsidRPr="009371A8">
              <w:rPr>
                <w:noProof/>
                <w:sz w:val="20"/>
                <w:szCs w:val="20"/>
                <w:highlight w:val="yellow"/>
              </w:rPr>
              <w:t>1.003</w:t>
            </w:r>
          </w:p>
        </w:tc>
        <w:tc>
          <w:tcPr>
            <w:tcW w:w="1254" w:type="pct"/>
            <w:tcBorders>
              <w:top w:val="single" w:sz="4" w:space="0" w:color="auto"/>
              <w:left w:val="single" w:sz="4" w:space="0" w:color="auto"/>
              <w:bottom w:val="single" w:sz="4" w:space="0" w:color="auto"/>
              <w:right w:val="single" w:sz="4" w:space="0" w:color="auto"/>
            </w:tcBorders>
            <w:vAlign w:val="center"/>
          </w:tcPr>
          <w:p w14:paraId="118D4FEF" w14:textId="77777777" w:rsidR="00E51CDD" w:rsidRPr="00227BE0" w:rsidRDefault="00E51CDD" w:rsidP="009938D9">
            <w:pPr>
              <w:widowControl w:val="0"/>
              <w:suppressAutoHyphens/>
              <w:jc w:val="center"/>
              <w:rPr>
                <w:noProof/>
                <w:sz w:val="20"/>
                <w:szCs w:val="20"/>
              </w:rPr>
            </w:pPr>
            <w:r w:rsidRPr="00227BE0">
              <w:rPr>
                <w:sz w:val="20"/>
                <w:szCs w:val="20"/>
              </w:rPr>
              <w:t>0.3</w:t>
            </w:r>
          </w:p>
        </w:tc>
        <w:tc>
          <w:tcPr>
            <w:tcW w:w="1302" w:type="pct"/>
            <w:gridSpan w:val="2"/>
            <w:tcBorders>
              <w:top w:val="single" w:sz="4" w:space="0" w:color="auto"/>
              <w:left w:val="single" w:sz="4" w:space="0" w:color="auto"/>
              <w:bottom w:val="single" w:sz="4" w:space="0" w:color="auto"/>
              <w:right w:val="single" w:sz="4" w:space="0" w:color="auto"/>
            </w:tcBorders>
          </w:tcPr>
          <w:p w14:paraId="75404A41"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0D2ABD37"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0D1D77BF" w14:textId="77777777" w:rsidR="00E51CDD" w:rsidRPr="00227BE0" w:rsidRDefault="00E51CDD" w:rsidP="009938D9">
            <w:pPr>
              <w:widowControl w:val="0"/>
              <w:suppressAutoHyphens/>
              <w:rPr>
                <w:noProof/>
                <w:sz w:val="20"/>
                <w:szCs w:val="20"/>
                <w:vertAlign w:val="superscript"/>
              </w:rPr>
            </w:pPr>
            <w:r w:rsidRPr="00227BE0">
              <w:rPr>
                <w:sz w:val="20"/>
                <w:szCs w:val="20"/>
              </w:rPr>
              <w:t>D4 stream</w:t>
            </w:r>
          </w:p>
        </w:tc>
        <w:tc>
          <w:tcPr>
            <w:tcW w:w="1079" w:type="pct"/>
            <w:tcBorders>
              <w:top w:val="single" w:sz="4" w:space="0" w:color="auto"/>
              <w:left w:val="single" w:sz="4" w:space="0" w:color="auto"/>
              <w:bottom w:val="single" w:sz="4" w:space="0" w:color="auto"/>
              <w:right w:val="single" w:sz="4" w:space="0" w:color="auto"/>
            </w:tcBorders>
            <w:vAlign w:val="center"/>
          </w:tcPr>
          <w:p w14:paraId="3E879B46" w14:textId="77777777" w:rsidR="00E51CDD" w:rsidRPr="00227BE0" w:rsidRDefault="00E51CDD" w:rsidP="009938D9">
            <w:pPr>
              <w:widowControl w:val="0"/>
              <w:suppressAutoHyphens/>
              <w:rPr>
                <w:noProof/>
                <w:sz w:val="20"/>
                <w:szCs w:val="20"/>
              </w:rPr>
            </w:pPr>
            <w:r w:rsidRPr="00227BE0">
              <w:rPr>
                <w:sz w:val="20"/>
                <w:szCs w:val="20"/>
              </w:rPr>
              <w:t>1.375</w:t>
            </w:r>
          </w:p>
        </w:tc>
        <w:tc>
          <w:tcPr>
            <w:tcW w:w="1254" w:type="pct"/>
            <w:tcBorders>
              <w:top w:val="single" w:sz="4" w:space="0" w:color="auto"/>
              <w:left w:val="single" w:sz="4" w:space="0" w:color="auto"/>
              <w:bottom w:val="single" w:sz="4" w:space="0" w:color="auto"/>
              <w:right w:val="single" w:sz="4" w:space="0" w:color="auto"/>
            </w:tcBorders>
            <w:vAlign w:val="center"/>
          </w:tcPr>
          <w:p w14:paraId="735CB1CE" w14:textId="77777777" w:rsidR="00E51CDD" w:rsidRPr="00227BE0" w:rsidRDefault="00E51CDD" w:rsidP="009938D9">
            <w:pPr>
              <w:widowControl w:val="0"/>
              <w:suppressAutoHyphens/>
              <w:jc w:val="center"/>
              <w:rPr>
                <w:noProof/>
                <w:sz w:val="20"/>
                <w:szCs w:val="20"/>
              </w:rPr>
            </w:pPr>
            <w:r w:rsidRPr="00227BE0">
              <w:rPr>
                <w:sz w:val="20"/>
                <w:szCs w:val="20"/>
              </w:rPr>
              <w:t>0.4</w:t>
            </w:r>
          </w:p>
        </w:tc>
        <w:tc>
          <w:tcPr>
            <w:tcW w:w="1302" w:type="pct"/>
            <w:gridSpan w:val="2"/>
            <w:tcBorders>
              <w:top w:val="single" w:sz="4" w:space="0" w:color="auto"/>
              <w:left w:val="single" w:sz="4" w:space="0" w:color="auto"/>
              <w:bottom w:val="single" w:sz="4" w:space="0" w:color="auto"/>
              <w:right w:val="single" w:sz="4" w:space="0" w:color="auto"/>
            </w:tcBorders>
          </w:tcPr>
          <w:p w14:paraId="461E22D2"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3EC72239"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3BA9A22D" w14:textId="77777777" w:rsidR="00E51CDD" w:rsidRPr="00227BE0" w:rsidRDefault="00E51CDD" w:rsidP="009938D9">
            <w:pPr>
              <w:widowControl w:val="0"/>
              <w:suppressAutoHyphens/>
              <w:rPr>
                <w:noProof/>
                <w:sz w:val="20"/>
                <w:szCs w:val="20"/>
                <w:vertAlign w:val="superscript"/>
              </w:rPr>
            </w:pPr>
            <w:r w:rsidRPr="00227BE0">
              <w:rPr>
                <w:sz w:val="20"/>
                <w:szCs w:val="20"/>
              </w:rPr>
              <w:t>D5 pond</w:t>
            </w:r>
          </w:p>
        </w:tc>
        <w:tc>
          <w:tcPr>
            <w:tcW w:w="1079" w:type="pct"/>
            <w:tcBorders>
              <w:top w:val="single" w:sz="4" w:space="0" w:color="auto"/>
              <w:left w:val="single" w:sz="4" w:space="0" w:color="auto"/>
              <w:bottom w:val="single" w:sz="4" w:space="0" w:color="auto"/>
              <w:right w:val="single" w:sz="4" w:space="0" w:color="auto"/>
            </w:tcBorders>
            <w:vAlign w:val="center"/>
          </w:tcPr>
          <w:p w14:paraId="7EF79705" w14:textId="77777777" w:rsidR="00E51CDD" w:rsidRPr="009371A8" w:rsidRDefault="00E51CDD" w:rsidP="009938D9">
            <w:pPr>
              <w:widowControl w:val="0"/>
              <w:suppressAutoHyphens/>
              <w:rPr>
                <w:strike/>
                <w:sz w:val="20"/>
                <w:szCs w:val="20"/>
                <w:highlight w:val="yellow"/>
              </w:rPr>
            </w:pPr>
            <w:r w:rsidRPr="009371A8">
              <w:rPr>
                <w:strike/>
                <w:sz w:val="20"/>
                <w:szCs w:val="20"/>
                <w:highlight w:val="yellow"/>
              </w:rPr>
              <w:t>0.535</w:t>
            </w:r>
          </w:p>
          <w:p w14:paraId="75BF5EDA" w14:textId="29AAB76E" w:rsidR="009371A8" w:rsidRPr="00227BE0" w:rsidRDefault="009371A8" w:rsidP="009938D9">
            <w:pPr>
              <w:widowControl w:val="0"/>
              <w:suppressAutoHyphens/>
              <w:rPr>
                <w:noProof/>
                <w:sz w:val="20"/>
                <w:szCs w:val="20"/>
              </w:rPr>
            </w:pPr>
            <w:r w:rsidRPr="009371A8">
              <w:rPr>
                <w:noProof/>
                <w:sz w:val="20"/>
                <w:szCs w:val="20"/>
                <w:highlight w:val="yellow"/>
              </w:rPr>
              <w:t>0.536</w:t>
            </w:r>
          </w:p>
        </w:tc>
        <w:tc>
          <w:tcPr>
            <w:tcW w:w="1254" w:type="pct"/>
            <w:tcBorders>
              <w:top w:val="single" w:sz="4" w:space="0" w:color="auto"/>
              <w:left w:val="single" w:sz="4" w:space="0" w:color="auto"/>
              <w:bottom w:val="single" w:sz="4" w:space="0" w:color="auto"/>
              <w:right w:val="single" w:sz="4" w:space="0" w:color="auto"/>
            </w:tcBorders>
            <w:vAlign w:val="center"/>
          </w:tcPr>
          <w:p w14:paraId="49A6CE7A" w14:textId="77777777" w:rsidR="00E51CDD" w:rsidRPr="00227BE0" w:rsidRDefault="00E51CDD" w:rsidP="009938D9">
            <w:pPr>
              <w:widowControl w:val="0"/>
              <w:suppressAutoHyphens/>
              <w:jc w:val="center"/>
              <w:rPr>
                <w:noProof/>
                <w:sz w:val="20"/>
                <w:szCs w:val="20"/>
              </w:rPr>
            </w:pPr>
            <w:r w:rsidRPr="00227BE0">
              <w:rPr>
                <w:sz w:val="20"/>
                <w:szCs w:val="20"/>
              </w:rPr>
              <w:t>0.2</w:t>
            </w:r>
          </w:p>
        </w:tc>
        <w:tc>
          <w:tcPr>
            <w:tcW w:w="1302" w:type="pct"/>
            <w:gridSpan w:val="2"/>
            <w:tcBorders>
              <w:top w:val="single" w:sz="4" w:space="0" w:color="auto"/>
              <w:left w:val="single" w:sz="4" w:space="0" w:color="auto"/>
              <w:bottom w:val="single" w:sz="4" w:space="0" w:color="auto"/>
              <w:right w:val="single" w:sz="4" w:space="0" w:color="auto"/>
            </w:tcBorders>
          </w:tcPr>
          <w:p w14:paraId="1F4BECC6"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78DA7CC5"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7878CAAE" w14:textId="77777777" w:rsidR="00E51CDD" w:rsidRPr="00227BE0" w:rsidRDefault="00E51CDD" w:rsidP="009938D9">
            <w:pPr>
              <w:widowControl w:val="0"/>
              <w:suppressAutoHyphens/>
              <w:rPr>
                <w:noProof/>
                <w:sz w:val="20"/>
                <w:szCs w:val="20"/>
                <w:vertAlign w:val="superscript"/>
              </w:rPr>
            </w:pPr>
            <w:r w:rsidRPr="00227BE0">
              <w:rPr>
                <w:sz w:val="20"/>
                <w:szCs w:val="20"/>
              </w:rPr>
              <w:t>D5 stream</w:t>
            </w:r>
          </w:p>
        </w:tc>
        <w:tc>
          <w:tcPr>
            <w:tcW w:w="1079" w:type="pct"/>
            <w:tcBorders>
              <w:top w:val="single" w:sz="4" w:space="0" w:color="auto"/>
              <w:left w:val="single" w:sz="4" w:space="0" w:color="auto"/>
              <w:bottom w:val="single" w:sz="4" w:space="0" w:color="auto"/>
              <w:right w:val="single" w:sz="4" w:space="0" w:color="auto"/>
            </w:tcBorders>
            <w:vAlign w:val="center"/>
          </w:tcPr>
          <w:p w14:paraId="4D047D94" w14:textId="09285B84" w:rsidR="009371A8" w:rsidRPr="00227BE0" w:rsidRDefault="00E51CDD" w:rsidP="009938D9">
            <w:pPr>
              <w:widowControl w:val="0"/>
              <w:suppressAutoHyphens/>
              <w:rPr>
                <w:sz w:val="20"/>
                <w:szCs w:val="20"/>
              </w:rPr>
            </w:pPr>
            <w:r w:rsidRPr="00227BE0">
              <w:rPr>
                <w:sz w:val="20"/>
                <w:szCs w:val="20"/>
              </w:rPr>
              <w:t>1.311</w:t>
            </w:r>
          </w:p>
        </w:tc>
        <w:tc>
          <w:tcPr>
            <w:tcW w:w="1254" w:type="pct"/>
            <w:tcBorders>
              <w:top w:val="single" w:sz="4" w:space="0" w:color="auto"/>
              <w:left w:val="single" w:sz="4" w:space="0" w:color="auto"/>
              <w:bottom w:val="single" w:sz="4" w:space="0" w:color="auto"/>
              <w:right w:val="single" w:sz="4" w:space="0" w:color="auto"/>
            </w:tcBorders>
            <w:vAlign w:val="center"/>
          </w:tcPr>
          <w:p w14:paraId="40528715" w14:textId="77777777" w:rsidR="00E51CDD" w:rsidRPr="00227BE0" w:rsidRDefault="00E51CDD" w:rsidP="009938D9">
            <w:pPr>
              <w:widowControl w:val="0"/>
              <w:suppressAutoHyphens/>
              <w:jc w:val="center"/>
              <w:rPr>
                <w:noProof/>
                <w:sz w:val="20"/>
                <w:szCs w:val="20"/>
              </w:rPr>
            </w:pPr>
            <w:r w:rsidRPr="00227BE0">
              <w:rPr>
                <w:sz w:val="20"/>
                <w:szCs w:val="20"/>
              </w:rPr>
              <w:t>0.4</w:t>
            </w:r>
          </w:p>
        </w:tc>
        <w:tc>
          <w:tcPr>
            <w:tcW w:w="1302" w:type="pct"/>
            <w:gridSpan w:val="2"/>
            <w:tcBorders>
              <w:top w:val="single" w:sz="4" w:space="0" w:color="auto"/>
              <w:left w:val="single" w:sz="4" w:space="0" w:color="auto"/>
              <w:bottom w:val="single" w:sz="4" w:space="0" w:color="auto"/>
              <w:right w:val="single" w:sz="4" w:space="0" w:color="auto"/>
            </w:tcBorders>
          </w:tcPr>
          <w:p w14:paraId="3915152F"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169B2DD1"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70F18374" w14:textId="77777777" w:rsidR="00E51CDD" w:rsidRPr="00227BE0" w:rsidRDefault="00E51CDD" w:rsidP="009938D9">
            <w:pPr>
              <w:widowControl w:val="0"/>
              <w:suppressAutoHyphens/>
              <w:rPr>
                <w:noProof/>
                <w:sz w:val="20"/>
                <w:szCs w:val="20"/>
                <w:vertAlign w:val="superscript"/>
              </w:rPr>
            </w:pPr>
            <w:r w:rsidRPr="00227BE0">
              <w:rPr>
                <w:sz w:val="20"/>
                <w:szCs w:val="20"/>
              </w:rPr>
              <w:t>R1 pond</w:t>
            </w:r>
          </w:p>
        </w:tc>
        <w:tc>
          <w:tcPr>
            <w:tcW w:w="1079" w:type="pct"/>
            <w:tcBorders>
              <w:top w:val="single" w:sz="4" w:space="0" w:color="auto"/>
              <w:left w:val="single" w:sz="4" w:space="0" w:color="auto"/>
              <w:bottom w:val="single" w:sz="4" w:space="0" w:color="auto"/>
              <w:right w:val="single" w:sz="4" w:space="0" w:color="auto"/>
            </w:tcBorders>
            <w:vAlign w:val="center"/>
          </w:tcPr>
          <w:p w14:paraId="272A653B" w14:textId="77777777" w:rsidR="00E51CDD" w:rsidRPr="009371A8" w:rsidRDefault="00E51CDD" w:rsidP="009938D9">
            <w:pPr>
              <w:widowControl w:val="0"/>
              <w:suppressAutoHyphens/>
              <w:rPr>
                <w:strike/>
                <w:sz w:val="20"/>
                <w:szCs w:val="20"/>
                <w:highlight w:val="yellow"/>
              </w:rPr>
            </w:pPr>
            <w:r w:rsidRPr="009371A8">
              <w:rPr>
                <w:strike/>
                <w:sz w:val="20"/>
                <w:szCs w:val="20"/>
                <w:highlight w:val="yellow"/>
              </w:rPr>
              <w:t>0.443</w:t>
            </w:r>
          </w:p>
          <w:p w14:paraId="7C4CFCF0" w14:textId="6EEA6A8F" w:rsidR="009371A8" w:rsidRPr="009371A8" w:rsidRDefault="009371A8" w:rsidP="009938D9">
            <w:pPr>
              <w:widowControl w:val="0"/>
              <w:suppressAutoHyphens/>
              <w:rPr>
                <w:noProof/>
                <w:sz w:val="20"/>
                <w:szCs w:val="20"/>
                <w:highlight w:val="yellow"/>
              </w:rPr>
            </w:pPr>
            <w:r w:rsidRPr="009371A8">
              <w:rPr>
                <w:noProof/>
                <w:sz w:val="20"/>
                <w:szCs w:val="20"/>
                <w:highlight w:val="yellow"/>
              </w:rPr>
              <w:t>0.445</w:t>
            </w:r>
          </w:p>
        </w:tc>
        <w:tc>
          <w:tcPr>
            <w:tcW w:w="1254" w:type="pct"/>
            <w:tcBorders>
              <w:top w:val="single" w:sz="4" w:space="0" w:color="auto"/>
              <w:left w:val="single" w:sz="4" w:space="0" w:color="auto"/>
              <w:bottom w:val="single" w:sz="4" w:space="0" w:color="auto"/>
              <w:right w:val="single" w:sz="4" w:space="0" w:color="auto"/>
            </w:tcBorders>
            <w:vAlign w:val="center"/>
          </w:tcPr>
          <w:p w14:paraId="30907082" w14:textId="77777777" w:rsidR="00E51CDD" w:rsidRPr="00227BE0" w:rsidRDefault="00E51CDD" w:rsidP="009938D9">
            <w:pPr>
              <w:widowControl w:val="0"/>
              <w:suppressAutoHyphens/>
              <w:jc w:val="center"/>
              <w:rPr>
                <w:noProof/>
                <w:sz w:val="20"/>
                <w:szCs w:val="20"/>
              </w:rPr>
            </w:pPr>
            <w:r w:rsidRPr="00227BE0">
              <w:rPr>
                <w:sz w:val="20"/>
                <w:szCs w:val="20"/>
              </w:rPr>
              <w:t>0.1</w:t>
            </w:r>
          </w:p>
        </w:tc>
        <w:tc>
          <w:tcPr>
            <w:tcW w:w="1302" w:type="pct"/>
            <w:gridSpan w:val="2"/>
            <w:tcBorders>
              <w:top w:val="single" w:sz="4" w:space="0" w:color="auto"/>
              <w:left w:val="single" w:sz="4" w:space="0" w:color="auto"/>
              <w:bottom w:val="single" w:sz="4" w:space="0" w:color="auto"/>
              <w:right w:val="single" w:sz="4" w:space="0" w:color="auto"/>
            </w:tcBorders>
          </w:tcPr>
          <w:p w14:paraId="303905AB" w14:textId="77777777" w:rsidR="00E51CDD" w:rsidRPr="00227BE0" w:rsidRDefault="00E51CDD" w:rsidP="009938D9">
            <w:pPr>
              <w:widowControl w:val="0"/>
              <w:suppressAutoHyphens/>
              <w:jc w:val="center"/>
              <w:rPr>
                <w:b/>
                <w:noProof/>
              </w:rPr>
            </w:pPr>
            <w:r w:rsidRPr="00227BE0">
              <w:rPr>
                <w:noProof/>
                <w:sz w:val="20"/>
                <w:szCs w:val="20"/>
              </w:rPr>
              <w:t>--</w:t>
            </w:r>
          </w:p>
        </w:tc>
      </w:tr>
      <w:tr w:rsidR="00E51CDD" w:rsidRPr="00227BE0" w14:paraId="3BFD5824"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5A396358" w14:textId="77777777" w:rsidR="00E51CDD" w:rsidRPr="00227BE0" w:rsidRDefault="00E51CDD" w:rsidP="009938D9">
            <w:pPr>
              <w:widowControl w:val="0"/>
              <w:suppressAutoHyphens/>
              <w:rPr>
                <w:noProof/>
                <w:sz w:val="20"/>
                <w:szCs w:val="20"/>
                <w:vertAlign w:val="superscript"/>
              </w:rPr>
            </w:pPr>
            <w:r w:rsidRPr="00227BE0">
              <w:rPr>
                <w:sz w:val="20"/>
                <w:szCs w:val="20"/>
              </w:rPr>
              <w:t>R1 stream</w:t>
            </w:r>
          </w:p>
        </w:tc>
        <w:tc>
          <w:tcPr>
            <w:tcW w:w="1079" w:type="pct"/>
            <w:tcBorders>
              <w:top w:val="single" w:sz="4" w:space="0" w:color="auto"/>
              <w:left w:val="single" w:sz="4" w:space="0" w:color="auto"/>
              <w:bottom w:val="single" w:sz="4" w:space="0" w:color="auto"/>
              <w:right w:val="single" w:sz="4" w:space="0" w:color="auto"/>
            </w:tcBorders>
            <w:vAlign w:val="center"/>
          </w:tcPr>
          <w:p w14:paraId="4F127BAC" w14:textId="77777777" w:rsidR="00E51CDD" w:rsidRPr="009371A8" w:rsidRDefault="00E51CDD" w:rsidP="009938D9">
            <w:pPr>
              <w:widowControl w:val="0"/>
              <w:suppressAutoHyphens/>
              <w:rPr>
                <w:strike/>
                <w:sz w:val="20"/>
                <w:szCs w:val="20"/>
                <w:highlight w:val="yellow"/>
              </w:rPr>
            </w:pPr>
            <w:r w:rsidRPr="009371A8">
              <w:rPr>
                <w:strike/>
                <w:sz w:val="20"/>
                <w:szCs w:val="20"/>
                <w:highlight w:val="yellow"/>
              </w:rPr>
              <w:t>2.576</w:t>
            </w:r>
          </w:p>
          <w:p w14:paraId="66A51E8D" w14:textId="5AA1EFDC" w:rsidR="009371A8" w:rsidRPr="009371A8" w:rsidRDefault="009371A8" w:rsidP="009938D9">
            <w:pPr>
              <w:widowControl w:val="0"/>
              <w:suppressAutoHyphens/>
              <w:rPr>
                <w:noProof/>
                <w:sz w:val="20"/>
                <w:szCs w:val="20"/>
                <w:highlight w:val="yellow"/>
              </w:rPr>
            </w:pPr>
            <w:r w:rsidRPr="009371A8">
              <w:rPr>
                <w:noProof/>
                <w:sz w:val="20"/>
                <w:szCs w:val="20"/>
                <w:highlight w:val="yellow"/>
              </w:rPr>
              <w:t>2.589</w:t>
            </w:r>
          </w:p>
        </w:tc>
        <w:tc>
          <w:tcPr>
            <w:tcW w:w="1254" w:type="pct"/>
            <w:tcBorders>
              <w:top w:val="single" w:sz="4" w:space="0" w:color="auto"/>
              <w:left w:val="single" w:sz="4" w:space="0" w:color="auto"/>
              <w:bottom w:val="single" w:sz="4" w:space="0" w:color="auto"/>
              <w:right w:val="single" w:sz="4" w:space="0" w:color="auto"/>
            </w:tcBorders>
            <w:vAlign w:val="center"/>
          </w:tcPr>
          <w:p w14:paraId="67920387" w14:textId="77777777" w:rsidR="00E51CDD" w:rsidRPr="00227BE0" w:rsidRDefault="00E51CDD" w:rsidP="009938D9">
            <w:pPr>
              <w:widowControl w:val="0"/>
              <w:suppressAutoHyphens/>
              <w:jc w:val="center"/>
              <w:rPr>
                <w:b/>
                <w:noProof/>
                <w:sz w:val="20"/>
                <w:szCs w:val="20"/>
              </w:rPr>
            </w:pPr>
            <w:r w:rsidRPr="00227BE0">
              <w:rPr>
                <w:sz w:val="20"/>
                <w:szCs w:val="20"/>
              </w:rPr>
              <w:t>0.8</w:t>
            </w:r>
          </w:p>
        </w:tc>
        <w:tc>
          <w:tcPr>
            <w:tcW w:w="1302" w:type="pct"/>
            <w:gridSpan w:val="2"/>
            <w:tcBorders>
              <w:top w:val="single" w:sz="4" w:space="0" w:color="auto"/>
              <w:left w:val="single" w:sz="4" w:space="0" w:color="auto"/>
              <w:bottom w:val="single" w:sz="4" w:space="0" w:color="auto"/>
              <w:right w:val="single" w:sz="4" w:space="0" w:color="auto"/>
            </w:tcBorders>
          </w:tcPr>
          <w:p w14:paraId="679E38FE"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5740F86E"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012B3E30" w14:textId="77777777" w:rsidR="00E51CDD" w:rsidRPr="00227BE0" w:rsidRDefault="00E51CDD" w:rsidP="009938D9">
            <w:pPr>
              <w:widowControl w:val="0"/>
              <w:suppressAutoHyphens/>
              <w:rPr>
                <w:noProof/>
                <w:sz w:val="20"/>
                <w:szCs w:val="20"/>
                <w:vertAlign w:val="superscript"/>
              </w:rPr>
            </w:pPr>
            <w:r w:rsidRPr="00227BE0">
              <w:rPr>
                <w:sz w:val="20"/>
                <w:szCs w:val="20"/>
              </w:rPr>
              <w:t>R3 stream</w:t>
            </w:r>
          </w:p>
        </w:tc>
        <w:tc>
          <w:tcPr>
            <w:tcW w:w="1079" w:type="pct"/>
            <w:tcBorders>
              <w:top w:val="single" w:sz="4" w:space="0" w:color="auto"/>
              <w:left w:val="single" w:sz="4" w:space="0" w:color="auto"/>
              <w:bottom w:val="single" w:sz="4" w:space="0" w:color="auto"/>
              <w:right w:val="single" w:sz="4" w:space="0" w:color="auto"/>
            </w:tcBorders>
            <w:vAlign w:val="center"/>
          </w:tcPr>
          <w:p w14:paraId="4EFF636D" w14:textId="77777777" w:rsidR="00E51CDD" w:rsidRPr="009371A8" w:rsidRDefault="00E51CDD" w:rsidP="009938D9">
            <w:pPr>
              <w:widowControl w:val="0"/>
              <w:suppressAutoHyphens/>
              <w:rPr>
                <w:strike/>
                <w:sz w:val="20"/>
                <w:szCs w:val="20"/>
                <w:highlight w:val="yellow"/>
              </w:rPr>
            </w:pPr>
            <w:r w:rsidRPr="009371A8">
              <w:rPr>
                <w:strike/>
                <w:sz w:val="20"/>
                <w:szCs w:val="20"/>
                <w:highlight w:val="yellow"/>
              </w:rPr>
              <w:t>4.646</w:t>
            </w:r>
          </w:p>
          <w:p w14:paraId="72FD7A7F" w14:textId="0EFF096C" w:rsidR="009371A8" w:rsidRPr="009371A8" w:rsidRDefault="009371A8" w:rsidP="009938D9">
            <w:pPr>
              <w:widowControl w:val="0"/>
              <w:suppressAutoHyphens/>
              <w:rPr>
                <w:noProof/>
                <w:sz w:val="20"/>
                <w:szCs w:val="20"/>
                <w:highlight w:val="yellow"/>
              </w:rPr>
            </w:pPr>
            <w:r w:rsidRPr="009371A8">
              <w:rPr>
                <w:noProof/>
                <w:sz w:val="20"/>
                <w:szCs w:val="20"/>
                <w:highlight w:val="yellow"/>
              </w:rPr>
              <w:t>4.663</w:t>
            </w:r>
          </w:p>
        </w:tc>
        <w:tc>
          <w:tcPr>
            <w:tcW w:w="1254" w:type="pct"/>
            <w:tcBorders>
              <w:top w:val="single" w:sz="4" w:space="0" w:color="auto"/>
              <w:left w:val="single" w:sz="4" w:space="0" w:color="auto"/>
              <w:bottom w:val="single" w:sz="4" w:space="0" w:color="auto"/>
              <w:right w:val="single" w:sz="4" w:space="0" w:color="auto"/>
            </w:tcBorders>
            <w:vAlign w:val="center"/>
          </w:tcPr>
          <w:p w14:paraId="015149C9" w14:textId="77777777" w:rsidR="00E51CDD" w:rsidRPr="00227BE0" w:rsidRDefault="00E51CDD" w:rsidP="009938D9">
            <w:pPr>
              <w:widowControl w:val="0"/>
              <w:suppressAutoHyphens/>
              <w:jc w:val="center"/>
              <w:rPr>
                <w:noProof/>
                <w:sz w:val="20"/>
                <w:szCs w:val="20"/>
              </w:rPr>
            </w:pPr>
            <w:r w:rsidRPr="00227BE0">
              <w:rPr>
                <w:b/>
                <w:bCs/>
                <w:sz w:val="20"/>
                <w:szCs w:val="20"/>
              </w:rPr>
              <w:t>1.4</w:t>
            </w:r>
          </w:p>
        </w:tc>
        <w:tc>
          <w:tcPr>
            <w:tcW w:w="1302" w:type="pct"/>
            <w:gridSpan w:val="2"/>
            <w:tcBorders>
              <w:top w:val="single" w:sz="4" w:space="0" w:color="auto"/>
              <w:left w:val="single" w:sz="4" w:space="0" w:color="auto"/>
              <w:bottom w:val="single" w:sz="4" w:space="0" w:color="auto"/>
              <w:right w:val="single" w:sz="4" w:space="0" w:color="auto"/>
            </w:tcBorders>
          </w:tcPr>
          <w:p w14:paraId="26885566"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24080AB8"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72877926" w14:textId="77777777" w:rsidR="00E51CDD" w:rsidRPr="00227BE0" w:rsidRDefault="00E51CDD" w:rsidP="009938D9">
            <w:pPr>
              <w:widowControl w:val="0"/>
              <w:suppressAutoHyphens/>
              <w:rPr>
                <w:noProof/>
                <w:sz w:val="20"/>
                <w:szCs w:val="20"/>
                <w:vertAlign w:val="superscript"/>
              </w:rPr>
            </w:pPr>
            <w:r w:rsidRPr="00227BE0">
              <w:rPr>
                <w:sz w:val="20"/>
                <w:szCs w:val="20"/>
              </w:rPr>
              <w:t>R4 stream</w:t>
            </w:r>
          </w:p>
        </w:tc>
        <w:tc>
          <w:tcPr>
            <w:tcW w:w="1079" w:type="pct"/>
            <w:tcBorders>
              <w:top w:val="single" w:sz="4" w:space="0" w:color="auto"/>
              <w:left w:val="single" w:sz="4" w:space="0" w:color="auto"/>
              <w:bottom w:val="single" w:sz="4" w:space="0" w:color="auto"/>
              <w:right w:val="single" w:sz="4" w:space="0" w:color="auto"/>
            </w:tcBorders>
            <w:vAlign w:val="center"/>
          </w:tcPr>
          <w:p w14:paraId="06D2CEBF" w14:textId="77777777" w:rsidR="00E51CDD" w:rsidRPr="009371A8" w:rsidRDefault="00E51CDD" w:rsidP="009938D9">
            <w:pPr>
              <w:widowControl w:val="0"/>
              <w:suppressAutoHyphens/>
              <w:rPr>
                <w:strike/>
                <w:sz w:val="20"/>
                <w:szCs w:val="20"/>
                <w:highlight w:val="yellow"/>
              </w:rPr>
            </w:pPr>
            <w:r w:rsidRPr="009371A8">
              <w:rPr>
                <w:strike/>
                <w:sz w:val="20"/>
                <w:szCs w:val="20"/>
                <w:highlight w:val="yellow"/>
              </w:rPr>
              <w:t>3.686</w:t>
            </w:r>
          </w:p>
          <w:p w14:paraId="523F9F97" w14:textId="0EAA210A" w:rsidR="009371A8" w:rsidRPr="009371A8" w:rsidRDefault="009371A8" w:rsidP="009938D9">
            <w:pPr>
              <w:widowControl w:val="0"/>
              <w:suppressAutoHyphens/>
              <w:rPr>
                <w:noProof/>
                <w:sz w:val="20"/>
                <w:szCs w:val="20"/>
                <w:highlight w:val="yellow"/>
              </w:rPr>
            </w:pPr>
            <w:r w:rsidRPr="009371A8">
              <w:rPr>
                <w:noProof/>
                <w:sz w:val="20"/>
                <w:szCs w:val="20"/>
                <w:highlight w:val="yellow"/>
              </w:rPr>
              <w:t>2.448</w:t>
            </w:r>
          </w:p>
        </w:tc>
        <w:tc>
          <w:tcPr>
            <w:tcW w:w="1254" w:type="pct"/>
            <w:tcBorders>
              <w:top w:val="single" w:sz="4" w:space="0" w:color="auto"/>
              <w:left w:val="single" w:sz="4" w:space="0" w:color="auto"/>
              <w:bottom w:val="single" w:sz="4" w:space="0" w:color="auto"/>
              <w:right w:val="single" w:sz="4" w:space="0" w:color="auto"/>
            </w:tcBorders>
            <w:vAlign w:val="center"/>
          </w:tcPr>
          <w:p w14:paraId="12FCDE59" w14:textId="77777777" w:rsidR="00E51CDD" w:rsidRPr="009371A8" w:rsidRDefault="00E51CDD" w:rsidP="009938D9">
            <w:pPr>
              <w:widowControl w:val="0"/>
              <w:suppressAutoHyphens/>
              <w:jc w:val="center"/>
              <w:rPr>
                <w:b/>
                <w:bCs/>
                <w:strike/>
                <w:sz w:val="20"/>
                <w:szCs w:val="20"/>
                <w:highlight w:val="yellow"/>
              </w:rPr>
            </w:pPr>
            <w:r w:rsidRPr="009371A8">
              <w:rPr>
                <w:b/>
                <w:bCs/>
                <w:strike/>
                <w:sz w:val="20"/>
                <w:szCs w:val="20"/>
                <w:highlight w:val="yellow"/>
              </w:rPr>
              <w:t>1.1</w:t>
            </w:r>
          </w:p>
          <w:p w14:paraId="6DDA3633" w14:textId="1BD0CAB1" w:rsidR="009371A8" w:rsidRPr="009371A8" w:rsidRDefault="009371A8" w:rsidP="009938D9">
            <w:pPr>
              <w:widowControl w:val="0"/>
              <w:suppressAutoHyphens/>
              <w:jc w:val="center"/>
              <w:rPr>
                <w:noProof/>
                <w:sz w:val="20"/>
                <w:szCs w:val="20"/>
              </w:rPr>
            </w:pPr>
            <w:r w:rsidRPr="009371A8">
              <w:rPr>
                <w:bCs/>
                <w:noProof/>
                <w:sz w:val="20"/>
                <w:szCs w:val="20"/>
                <w:highlight w:val="yellow"/>
              </w:rPr>
              <w:t>0.7</w:t>
            </w:r>
          </w:p>
        </w:tc>
        <w:tc>
          <w:tcPr>
            <w:tcW w:w="1302" w:type="pct"/>
            <w:gridSpan w:val="2"/>
            <w:tcBorders>
              <w:top w:val="single" w:sz="4" w:space="0" w:color="auto"/>
              <w:left w:val="single" w:sz="4" w:space="0" w:color="auto"/>
              <w:bottom w:val="single" w:sz="4" w:space="0" w:color="auto"/>
              <w:right w:val="single" w:sz="4" w:space="0" w:color="auto"/>
            </w:tcBorders>
          </w:tcPr>
          <w:p w14:paraId="675E3444"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0C6667" w:rsidRPr="00227BE0" w14:paraId="3296ABB1" w14:textId="77777777" w:rsidTr="000C6667">
        <w:trPr>
          <w:cantSplit/>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46EA48" w14:textId="4C031918" w:rsidR="000C6667" w:rsidRPr="00227BE0" w:rsidRDefault="000C6667" w:rsidP="000C6667">
            <w:pPr>
              <w:widowControl w:val="0"/>
              <w:suppressAutoHyphens/>
              <w:rPr>
                <w:noProof/>
                <w:sz w:val="20"/>
                <w:szCs w:val="20"/>
              </w:rPr>
            </w:pPr>
            <w:r>
              <w:rPr>
                <w:noProof/>
                <w:sz w:val="20"/>
                <w:szCs w:val="20"/>
              </w:rPr>
              <w:t>Step 4 (10+10)</w:t>
            </w:r>
          </w:p>
        </w:tc>
      </w:tr>
      <w:tr w:rsidR="000C6667" w:rsidRPr="00227BE0" w14:paraId="61B27E51" w14:textId="77777777" w:rsidTr="000C6667">
        <w:trPr>
          <w:cantSplit/>
        </w:trPr>
        <w:tc>
          <w:tcPr>
            <w:tcW w:w="13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68C2F7" w14:textId="01CB5507" w:rsidR="000C6667" w:rsidRPr="00227BE0" w:rsidRDefault="000C6667" w:rsidP="009938D9">
            <w:pPr>
              <w:widowControl w:val="0"/>
              <w:suppressAutoHyphens/>
              <w:rPr>
                <w:sz w:val="20"/>
                <w:szCs w:val="20"/>
              </w:rPr>
            </w:pPr>
            <w:r w:rsidRPr="00227BE0">
              <w:rPr>
                <w:sz w:val="20"/>
                <w:szCs w:val="20"/>
              </w:rPr>
              <w:t>R3 stream</w:t>
            </w:r>
          </w:p>
        </w:tc>
        <w:tc>
          <w:tcPr>
            <w:tcW w:w="10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F0C79E2" w14:textId="1AE62C15" w:rsidR="000C6667" w:rsidRPr="000C6667" w:rsidRDefault="000C6667" w:rsidP="009938D9">
            <w:pPr>
              <w:widowControl w:val="0"/>
              <w:suppressAutoHyphens/>
              <w:rPr>
                <w:sz w:val="20"/>
                <w:szCs w:val="20"/>
              </w:rPr>
            </w:pPr>
            <w:r w:rsidRPr="000C6667">
              <w:rPr>
                <w:sz w:val="20"/>
                <w:szCs w:val="20"/>
              </w:rPr>
              <w:t>2.129</w:t>
            </w:r>
          </w:p>
        </w:tc>
        <w:tc>
          <w:tcPr>
            <w:tcW w:w="125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ACD27B" w14:textId="6DBB51B1" w:rsidR="000C6667" w:rsidRPr="0095188E" w:rsidRDefault="0095188E" w:rsidP="009938D9">
            <w:pPr>
              <w:widowControl w:val="0"/>
              <w:suppressAutoHyphens/>
              <w:jc w:val="center"/>
              <w:rPr>
                <w:sz w:val="20"/>
                <w:szCs w:val="20"/>
              </w:rPr>
            </w:pPr>
            <w:r w:rsidRPr="0095188E">
              <w:rPr>
                <w:sz w:val="20"/>
                <w:szCs w:val="20"/>
              </w:rPr>
              <w:t>0.65</w:t>
            </w:r>
          </w:p>
        </w:tc>
        <w:tc>
          <w:tcPr>
            <w:tcW w:w="130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138A6F" w14:textId="2D8D63D7" w:rsidR="000C6667" w:rsidRPr="000C6667" w:rsidRDefault="000C6667" w:rsidP="009938D9">
            <w:pPr>
              <w:widowControl w:val="0"/>
              <w:suppressAutoHyphens/>
              <w:jc w:val="center"/>
              <w:rPr>
                <w:noProof/>
                <w:sz w:val="20"/>
                <w:szCs w:val="20"/>
              </w:rPr>
            </w:pPr>
            <w:r>
              <w:rPr>
                <w:noProof/>
                <w:sz w:val="20"/>
                <w:szCs w:val="20"/>
              </w:rPr>
              <w:t>--</w:t>
            </w:r>
          </w:p>
        </w:tc>
      </w:tr>
    </w:tbl>
    <w:p w14:paraId="638FEB8A" w14:textId="77777777" w:rsidR="00E51CDD" w:rsidRPr="00227BE0" w:rsidRDefault="00E51CDD" w:rsidP="00E51CDD">
      <w:pPr>
        <w:widowControl w:val="0"/>
        <w:tabs>
          <w:tab w:val="left" w:pos="425"/>
        </w:tabs>
        <w:suppressAutoHyphens/>
        <w:ind w:left="284" w:hanging="284"/>
        <w:jc w:val="both"/>
        <w:rPr>
          <w:noProof/>
          <w:sz w:val="18"/>
          <w:szCs w:val="18"/>
        </w:rPr>
      </w:pPr>
      <w:r w:rsidRPr="00227BE0">
        <w:rPr>
          <w:noProof/>
          <w:sz w:val="18"/>
          <w:szCs w:val="18"/>
        </w:rPr>
        <w:t xml:space="preserve">AF: Assessment factor; PEC: Predicted environmental concentration; RAC: Regulatory acceptable concentration; ETR: Exposure-toxicity ratio; PEC/RAC ratios (= ETR) above the relevant trigger of 1 are shown in </w:t>
      </w:r>
      <w:r w:rsidRPr="00227BE0">
        <w:rPr>
          <w:b/>
          <w:noProof/>
          <w:sz w:val="18"/>
          <w:szCs w:val="18"/>
        </w:rPr>
        <w:t>bold</w:t>
      </w:r>
    </w:p>
    <w:p w14:paraId="234BFDE7" w14:textId="77777777" w:rsidR="00E51CDD" w:rsidRPr="00227BE0" w:rsidRDefault="00E51CDD" w:rsidP="00E51CDD">
      <w:pPr>
        <w:widowControl w:val="0"/>
        <w:suppressAutoHyphens/>
        <w:ind w:left="284" w:hanging="284"/>
        <w:jc w:val="both"/>
        <w:rPr>
          <w:sz w:val="18"/>
          <w:szCs w:val="18"/>
          <w:vertAlign w:val="superscript"/>
        </w:rPr>
      </w:pPr>
      <w:r w:rsidRPr="00227BE0">
        <w:rPr>
          <w:sz w:val="18"/>
          <w:szCs w:val="18"/>
          <w:vertAlign w:val="superscript"/>
        </w:rPr>
        <w:lastRenderedPageBreak/>
        <w:t>#</w:t>
      </w:r>
      <w:r w:rsidRPr="00227BE0">
        <w:rPr>
          <w:sz w:val="18"/>
          <w:szCs w:val="18"/>
        </w:rPr>
        <w:tab/>
        <w:t>Worst-case PECs are derived from either single or twofold application in a risk envelope approach.</w:t>
      </w:r>
      <w:r w:rsidRPr="00227BE0">
        <w:rPr>
          <w:sz w:val="18"/>
          <w:szCs w:val="18"/>
          <w:vertAlign w:val="superscript"/>
        </w:rPr>
        <w:t xml:space="preserve"> </w:t>
      </w:r>
      <w:r w:rsidRPr="00227BE0">
        <w:rPr>
          <w:sz w:val="18"/>
          <w:szCs w:val="18"/>
        </w:rPr>
        <w:t>For details, please refer to Part B, Section 8.9.</w:t>
      </w:r>
    </w:p>
    <w:p w14:paraId="461637ED" w14:textId="77777777" w:rsidR="009371A8" w:rsidRPr="00227BE0" w:rsidRDefault="009371A8" w:rsidP="00E51CDD">
      <w:pPr>
        <w:widowControl w:val="0"/>
        <w:suppressAutoHyphens/>
        <w:jc w:val="both"/>
      </w:pPr>
    </w:p>
    <w:p w14:paraId="16F699A9" w14:textId="77777777" w:rsidR="0095188E" w:rsidRDefault="00E51CDD" w:rsidP="00E51CDD">
      <w:pPr>
        <w:pStyle w:val="RepStandard"/>
      </w:pPr>
      <w:r w:rsidRPr="00227BE0">
        <w:t>For the intended single and twofold application of BAS 736 00 F in ‘winter cereals’ the calculated PEC</w:t>
      </w:r>
      <w:r w:rsidRPr="00227BE0">
        <w:rPr>
          <w:vertAlign w:val="subscript"/>
        </w:rPr>
        <w:t>mix</w:t>
      </w:r>
      <w:r w:rsidRPr="00227BE0">
        <w:t>/RAC</w:t>
      </w:r>
      <w:r w:rsidRPr="00227BE0">
        <w:rPr>
          <w:vertAlign w:val="subscript"/>
        </w:rPr>
        <w:t>PPP</w:t>
      </w:r>
      <w:r w:rsidRPr="00227BE0">
        <w:t xml:space="preserve"> ratios indicate an acceptable risk for all groups of aquatic organisms based on tier 1 toxicity data and Step 1 - 3 PEC</w:t>
      </w:r>
      <w:r w:rsidRPr="00227BE0">
        <w:rPr>
          <w:vertAlign w:val="subscript"/>
        </w:rPr>
        <w:t>sw mix</w:t>
      </w:r>
      <w:r w:rsidRPr="00227BE0">
        <w:t xml:space="preserve"> values except for acute risk to fish at FOCUS stream scenario</w:t>
      </w:r>
      <w:r w:rsidRPr="009371A8">
        <w:rPr>
          <w:strike/>
          <w:highlight w:val="yellow"/>
        </w:rPr>
        <w:t>s</w:t>
      </w:r>
      <w:r w:rsidRPr="00227BE0">
        <w:t xml:space="preserve"> R3 </w:t>
      </w:r>
      <w:r w:rsidRPr="009371A8">
        <w:rPr>
          <w:strike/>
          <w:highlight w:val="yellow"/>
        </w:rPr>
        <w:t>and R4</w:t>
      </w:r>
      <w:r w:rsidRPr="00227BE0">
        <w:t xml:space="preserve">. </w:t>
      </w:r>
    </w:p>
    <w:p w14:paraId="5AB1E8F7" w14:textId="2F988ACD" w:rsidR="0095188E" w:rsidRDefault="0095188E" w:rsidP="0095188E">
      <w:pPr>
        <w:pStyle w:val="RepStandard"/>
        <w:shd w:val="clear" w:color="auto" w:fill="D9D9D9" w:themeFill="background1" w:themeFillShade="D9"/>
      </w:pPr>
      <w:r w:rsidRPr="00227BE0">
        <w:t xml:space="preserve">Considering </w:t>
      </w:r>
      <w:r>
        <w:t>FOCUS Step 4 PEC value</w:t>
      </w:r>
      <w:r w:rsidR="00F8157A">
        <w:t xml:space="preserve">s </w:t>
      </w:r>
      <w:r w:rsidR="00543B70">
        <w:t>(10+10)</w:t>
      </w:r>
      <w:r w:rsidR="00543B70" w:rsidRPr="00227BE0">
        <w:t xml:space="preserve"> </w:t>
      </w:r>
      <w:r w:rsidR="00F8157A">
        <w:t xml:space="preserve">for both </w:t>
      </w:r>
      <w:r w:rsidR="00543B70">
        <w:t>active substances</w:t>
      </w:r>
      <w:r>
        <w:t xml:space="preserve"> </w:t>
      </w:r>
      <w:r w:rsidRPr="00227BE0">
        <w:t>PEC/RAC ratios indicate an acceptable risk for</w:t>
      </w:r>
      <w:r>
        <w:t xml:space="preserve"> fish.</w:t>
      </w:r>
    </w:p>
    <w:p w14:paraId="0D3B1338" w14:textId="77777777" w:rsidR="0095188E" w:rsidRDefault="0095188E" w:rsidP="00E51CDD">
      <w:pPr>
        <w:pStyle w:val="RepStandard"/>
      </w:pPr>
    </w:p>
    <w:p w14:paraId="16E44DEC" w14:textId="764341AA" w:rsidR="00E51CDD" w:rsidRPr="00CD0B85" w:rsidRDefault="00E51CDD" w:rsidP="00E51CDD">
      <w:pPr>
        <w:pStyle w:val="RepStandard"/>
        <w:rPr>
          <w:strike/>
          <w:color w:val="D9D9D9" w:themeColor="background1" w:themeShade="D9"/>
        </w:rPr>
      </w:pPr>
      <w:r w:rsidRPr="00CD0B85">
        <w:rPr>
          <w:strike/>
          <w:color w:val="D9D9D9" w:themeColor="background1" w:themeShade="D9"/>
        </w:rPr>
        <w:t xml:space="preserve">Therefore, a refined risk assessment considering higher tier data for acute fish from fluxapyroxad is shown below (see </w:t>
      </w:r>
      <w:r w:rsidRPr="00CD0B85">
        <w:rPr>
          <w:strike/>
          <w:color w:val="D9D9D9" w:themeColor="background1" w:themeShade="D9"/>
        </w:rPr>
        <w:fldChar w:fldCharType="begin"/>
      </w:r>
      <w:r w:rsidRPr="00CD0B85">
        <w:rPr>
          <w:strike/>
          <w:color w:val="D9D9D9" w:themeColor="background1" w:themeShade="D9"/>
        </w:rPr>
        <w:instrText xml:space="preserve"> REF _Ref83395088 \h  \* MERGEFORMAT </w:instrText>
      </w:r>
      <w:r w:rsidRPr="00CD0B85">
        <w:rPr>
          <w:strike/>
          <w:color w:val="D9D9D9" w:themeColor="background1" w:themeShade="D9"/>
        </w:rPr>
      </w:r>
      <w:r w:rsidRPr="00CD0B85">
        <w:rPr>
          <w:strike/>
          <w:color w:val="D9D9D9" w:themeColor="background1" w:themeShade="D9"/>
        </w:rPr>
        <w:fldChar w:fldCharType="separate"/>
      </w:r>
      <w:r w:rsidR="00662F32" w:rsidRPr="00CD0B85">
        <w:rPr>
          <w:strike/>
          <w:color w:val="D9D9D9" w:themeColor="background1" w:themeShade="D9"/>
        </w:rPr>
        <w:t xml:space="preserve">Table </w:t>
      </w:r>
      <w:r w:rsidR="00662F32" w:rsidRPr="00CD0B85">
        <w:rPr>
          <w:strike/>
          <w:noProof/>
          <w:color w:val="D9D9D9" w:themeColor="background1" w:themeShade="D9"/>
        </w:rPr>
        <w:t>9.5</w:t>
      </w:r>
      <w:r w:rsidR="00662F32" w:rsidRPr="00CD0B85">
        <w:rPr>
          <w:strike/>
          <w:noProof/>
          <w:color w:val="D9D9D9" w:themeColor="background1" w:themeShade="D9"/>
        </w:rPr>
        <w:noBreakHyphen/>
        <w:t>15</w:t>
      </w:r>
      <w:r w:rsidRPr="00CD0B85">
        <w:rPr>
          <w:strike/>
          <w:color w:val="D9D9D9" w:themeColor="background1" w:themeShade="D9"/>
        </w:rPr>
        <w:fldChar w:fldCharType="end"/>
      </w:r>
      <w:r w:rsidRPr="00CD0B85">
        <w:rPr>
          <w:strike/>
          <w:color w:val="D9D9D9" w:themeColor="background1" w:themeShade="D9"/>
        </w:rPr>
        <w:t xml:space="preserve">) in terms of using a risk quotient (RQ) approach for the critical stream scenarios. </w:t>
      </w:r>
    </w:p>
    <w:p w14:paraId="4F8E2482" w14:textId="77777777" w:rsidR="00E51CDD" w:rsidRPr="00CD0B85" w:rsidRDefault="00E51CDD" w:rsidP="00E51CDD">
      <w:pPr>
        <w:widowControl w:val="0"/>
        <w:suppressAutoHyphens/>
        <w:jc w:val="both"/>
        <w:rPr>
          <w:rFonts w:eastAsiaTheme="minorHAnsi"/>
          <w:strike/>
          <w:color w:val="D9D9D9" w:themeColor="background1" w:themeShade="D9"/>
          <w:lang w:val="en-GB" w:eastAsia="en-US"/>
        </w:rPr>
      </w:pPr>
    </w:p>
    <w:p w14:paraId="1B1B7DE6" w14:textId="32393D83" w:rsidR="00E51CDD" w:rsidRPr="00CD0B85" w:rsidRDefault="00E51CDD" w:rsidP="00E51CDD">
      <w:pPr>
        <w:widowControl w:val="0"/>
        <w:tabs>
          <w:tab w:val="left" w:pos="720"/>
        </w:tabs>
        <w:suppressAutoHyphens/>
        <w:spacing w:after="120"/>
        <w:ind w:left="1985" w:hanging="1985"/>
        <w:jc w:val="both"/>
        <w:rPr>
          <w:b/>
          <w:strike/>
          <w:color w:val="D9D9D9" w:themeColor="background1" w:themeShade="D9"/>
        </w:rPr>
      </w:pPr>
      <w:bookmarkStart w:id="525" w:name="_Ref83395088"/>
      <w:r w:rsidRPr="00CD0B85">
        <w:rPr>
          <w:b/>
          <w:strike/>
          <w:color w:val="D9D9D9" w:themeColor="background1" w:themeShade="D9"/>
        </w:rPr>
        <w:t xml:space="preserve">Table </w:t>
      </w:r>
      <w:r w:rsidRPr="00CD0B85">
        <w:rPr>
          <w:b/>
          <w:strike/>
          <w:color w:val="D9D9D9" w:themeColor="background1" w:themeShade="D9"/>
        </w:rPr>
        <w:fldChar w:fldCharType="begin"/>
      </w:r>
      <w:r w:rsidRPr="00CD0B85">
        <w:rPr>
          <w:b/>
          <w:strike/>
          <w:color w:val="D9D9D9" w:themeColor="background1" w:themeShade="D9"/>
        </w:rPr>
        <w:instrText xml:space="preserve"> STYLEREF 2 \s </w:instrText>
      </w:r>
      <w:r w:rsidRPr="00CD0B85">
        <w:rPr>
          <w:b/>
          <w:strike/>
          <w:color w:val="D9D9D9" w:themeColor="background1" w:themeShade="D9"/>
        </w:rPr>
        <w:fldChar w:fldCharType="separate"/>
      </w:r>
      <w:r w:rsidR="00662F32" w:rsidRPr="00CD0B85">
        <w:rPr>
          <w:b/>
          <w:strike/>
          <w:noProof/>
          <w:color w:val="D9D9D9" w:themeColor="background1" w:themeShade="D9"/>
        </w:rPr>
        <w:t>9.5</w:t>
      </w:r>
      <w:r w:rsidRPr="00CD0B85">
        <w:rPr>
          <w:b/>
          <w:strike/>
          <w:color w:val="D9D9D9" w:themeColor="background1" w:themeShade="D9"/>
        </w:rPr>
        <w:fldChar w:fldCharType="end"/>
      </w:r>
      <w:r w:rsidRPr="00CD0B85">
        <w:rPr>
          <w:b/>
          <w:strike/>
          <w:color w:val="D9D9D9" w:themeColor="background1" w:themeShade="D9"/>
        </w:rPr>
        <w:noBreakHyphen/>
      </w:r>
      <w:r w:rsidRPr="00CD0B85">
        <w:rPr>
          <w:b/>
          <w:strike/>
          <w:color w:val="D9D9D9" w:themeColor="background1" w:themeShade="D9"/>
        </w:rPr>
        <w:fldChar w:fldCharType="begin"/>
      </w:r>
      <w:r w:rsidRPr="00CD0B85">
        <w:rPr>
          <w:b/>
          <w:strike/>
          <w:color w:val="D9D9D9" w:themeColor="background1" w:themeShade="D9"/>
        </w:rPr>
        <w:instrText xml:space="preserve"> SEQ Table \* ARABIC \s 2 </w:instrText>
      </w:r>
      <w:r w:rsidRPr="00CD0B85">
        <w:rPr>
          <w:b/>
          <w:strike/>
          <w:color w:val="D9D9D9" w:themeColor="background1" w:themeShade="D9"/>
        </w:rPr>
        <w:fldChar w:fldCharType="separate"/>
      </w:r>
      <w:r w:rsidR="00662F32" w:rsidRPr="00CD0B85">
        <w:rPr>
          <w:b/>
          <w:strike/>
          <w:noProof/>
          <w:color w:val="D9D9D9" w:themeColor="background1" w:themeShade="D9"/>
        </w:rPr>
        <w:t>15</w:t>
      </w:r>
      <w:r w:rsidRPr="00CD0B85">
        <w:rPr>
          <w:b/>
          <w:strike/>
          <w:color w:val="D9D9D9" w:themeColor="background1" w:themeShade="D9"/>
        </w:rPr>
        <w:fldChar w:fldCharType="end"/>
      </w:r>
      <w:bookmarkEnd w:id="525"/>
      <w:r w:rsidRPr="00CD0B85">
        <w:rPr>
          <w:b/>
          <w:strike/>
          <w:color w:val="D9D9D9" w:themeColor="background1" w:themeShade="D9"/>
        </w:rPr>
        <w:t>:</w:t>
      </w:r>
      <w:r w:rsidRPr="00CD0B85">
        <w:rPr>
          <w:b/>
          <w:strike/>
          <w:color w:val="D9D9D9" w:themeColor="background1" w:themeShade="D9"/>
        </w:rPr>
        <w:tab/>
        <w:t>Risk quotient (RQ</w:t>
      </w:r>
      <w:r w:rsidRPr="00CD0B85">
        <w:rPr>
          <w:b/>
          <w:strike/>
          <w:color w:val="D9D9D9" w:themeColor="background1" w:themeShade="D9"/>
          <w:vertAlign w:val="subscript"/>
        </w:rPr>
        <w:t>mix</w:t>
      </w:r>
      <w:r w:rsidRPr="00CD0B85">
        <w:rPr>
          <w:b/>
          <w:strike/>
          <w:color w:val="D9D9D9" w:themeColor="background1" w:themeShade="D9"/>
        </w:rPr>
        <w:t>) calculations based on the worst-case FOCUS PEC</w:t>
      </w:r>
      <w:r w:rsidRPr="00CD0B85">
        <w:rPr>
          <w:b/>
          <w:strike/>
          <w:color w:val="D9D9D9" w:themeColor="background1" w:themeShade="D9"/>
          <w:vertAlign w:val="subscript"/>
        </w:rPr>
        <w:t>sw</w:t>
      </w:r>
      <w:r w:rsidRPr="00CD0B85">
        <w:rPr>
          <w:b/>
          <w:strike/>
          <w:color w:val="D9D9D9" w:themeColor="background1" w:themeShade="D9"/>
        </w:rPr>
        <w:t xml:space="preserve"> and the acute RAC values for fish of the individual active substances (considering higher tier refinement options for the active substances) for application of BAS 736 00 F in </w:t>
      </w:r>
      <w:r w:rsidRPr="00CD0B85">
        <w:rPr>
          <w:b/>
          <w:strike/>
          <w:color w:val="D9D9D9" w:themeColor="background1" w:themeShade="D9"/>
          <w:u w:val="single"/>
        </w:rPr>
        <w:t>’winter cereals’</w:t>
      </w:r>
    </w:p>
    <w:tbl>
      <w:tblPr>
        <w:tblStyle w:val="Tabela-Siatka"/>
        <w:tblW w:w="5000" w:type="pct"/>
        <w:tblLook w:val="04A0" w:firstRow="1" w:lastRow="0" w:firstColumn="1" w:lastColumn="0" w:noHBand="0" w:noVBand="1"/>
      </w:tblPr>
      <w:tblGrid>
        <w:gridCol w:w="1431"/>
        <w:gridCol w:w="1946"/>
        <w:gridCol w:w="2179"/>
        <w:gridCol w:w="566"/>
        <w:gridCol w:w="792"/>
        <w:gridCol w:w="792"/>
        <w:gridCol w:w="798"/>
        <w:gridCol w:w="841"/>
      </w:tblGrid>
      <w:tr w:rsidR="00CD0B85" w:rsidRPr="00CD0B85" w14:paraId="29543008" w14:textId="77777777" w:rsidTr="009938D9">
        <w:tc>
          <w:tcPr>
            <w:tcW w:w="765" w:type="pct"/>
            <w:vAlign w:val="center"/>
          </w:tcPr>
          <w:p w14:paraId="08B99EE6" w14:textId="77777777" w:rsidR="00E51CDD" w:rsidRPr="00CD0B85" w:rsidRDefault="00E51CDD" w:rsidP="009938D9">
            <w:pPr>
              <w:widowControl w:val="0"/>
              <w:suppressAutoHyphens/>
              <w:spacing w:before="40" w:after="40"/>
              <w:jc w:val="left"/>
              <w:rPr>
                <w:b/>
                <w:strike/>
                <w:color w:val="D9D9D9" w:themeColor="background1" w:themeShade="D9"/>
                <w:sz w:val="20"/>
                <w:szCs w:val="20"/>
                <w:lang w:val="en-GB"/>
              </w:rPr>
            </w:pPr>
            <w:r w:rsidRPr="00CD0B85">
              <w:rPr>
                <w:b/>
                <w:strike/>
                <w:color w:val="D9D9D9" w:themeColor="background1" w:themeShade="D9"/>
                <w:sz w:val="20"/>
                <w:szCs w:val="20"/>
                <w:lang w:val="en-GB"/>
              </w:rPr>
              <w:t>Step 3 FOCUS scenario</w:t>
            </w:r>
          </w:p>
        </w:tc>
        <w:tc>
          <w:tcPr>
            <w:tcW w:w="1041" w:type="pct"/>
            <w:vAlign w:val="center"/>
          </w:tcPr>
          <w:p w14:paraId="541195D3" w14:textId="77777777" w:rsidR="00E51CDD" w:rsidRPr="00CD0B85" w:rsidRDefault="00E51CDD" w:rsidP="009938D9">
            <w:pPr>
              <w:widowControl w:val="0"/>
              <w:suppressAutoHyphens/>
              <w:spacing w:before="40" w:after="40"/>
              <w:jc w:val="left"/>
              <w:rPr>
                <w:b/>
                <w:strike/>
                <w:color w:val="D9D9D9" w:themeColor="background1" w:themeShade="D9"/>
                <w:sz w:val="20"/>
                <w:szCs w:val="20"/>
                <w:vertAlign w:val="superscript"/>
                <w:lang w:val="en-GB"/>
              </w:rPr>
            </w:pPr>
            <w:r w:rsidRPr="00CD0B85">
              <w:rPr>
                <w:b/>
                <w:strike/>
                <w:color w:val="D9D9D9" w:themeColor="background1" w:themeShade="D9"/>
                <w:sz w:val="20"/>
                <w:szCs w:val="20"/>
                <w:lang w:val="en-GB"/>
              </w:rPr>
              <w:t>Substance</w:t>
            </w:r>
          </w:p>
        </w:tc>
        <w:tc>
          <w:tcPr>
            <w:tcW w:w="1166" w:type="pct"/>
            <w:vAlign w:val="center"/>
          </w:tcPr>
          <w:p w14:paraId="41ADA94D" w14:textId="77777777" w:rsidR="00E51CDD" w:rsidRPr="00CD0B85" w:rsidRDefault="00E51CDD" w:rsidP="009938D9">
            <w:pPr>
              <w:widowControl w:val="0"/>
              <w:suppressAutoHyphens/>
              <w:spacing w:before="40" w:after="40"/>
              <w:rPr>
                <w:b/>
                <w:strike/>
                <w:color w:val="D9D9D9" w:themeColor="background1" w:themeShade="D9"/>
                <w:sz w:val="20"/>
                <w:szCs w:val="20"/>
                <w:lang w:val="en-GB"/>
              </w:rPr>
            </w:pPr>
            <w:r w:rsidRPr="00CD0B85">
              <w:rPr>
                <w:b/>
                <w:strike/>
                <w:color w:val="D9D9D9" w:themeColor="background1" w:themeShade="D9"/>
                <w:sz w:val="20"/>
                <w:szCs w:val="20"/>
                <w:lang w:val="en-GB"/>
              </w:rPr>
              <w:t xml:space="preserve">Endpoint </w:t>
            </w:r>
            <w:r w:rsidRPr="00CD0B85">
              <w:rPr>
                <w:b/>
                <w:strike/>
                <w:color w:val="D9D9D9" w:themeColor="background1" w:themeShade="D9"/>
                <w:sz w:val="20"/>
                <w:szCs w:val="20"/>
                <w:vertAlign w:val="superscript"/>
                <w:lang w:val="en-GB"/>
              </w:rPr>
              <w:t>1)</w:t>
            </w:r>
          </w:p>
        </w:tc>
        <w:tc>
          <w:tcPr>
            <w:tcW w:w="303" w:type="pct"/>
            <w:vAlign w:val="center"/>
          </w:tcPr>
          <w:p w14:paraId="3E44CD28" w14:textId="77777777" w:rsidR="00E51CDD" w:rsidRPr="00CD0B85" w:rsidRDefault="00E51CDD" w:rsidP="009938D9">
            <w:pPr>
              <w:widowControl w:val="0"/>
              <w:suppressAutoHyphens/>
              <w:spacing w:before="40" w:after="40"/>
              <w:jc w:val="left"/>
              <w:rPr>
                <w:b/>
                <w:strike/>
                <w:color w:val="D9D9D9" w:themeColor="background1" w:themeShade="D9"/>
                <w:sz w:val="20"/>
                <w:szCs w:val="20"/>
                <w:lang w:val="en-GB"/>
              </w:rPr>
            </w:pPr>
            <w:r w:rsidRPr="00CD0B85">
              <w:rPr>
                <w:b/>
                <w:strike/>
                <w:color w:val="D9D9D9" w:themeColor="background1" w:themeShade="D9"/>
                <w:sz w:val="20"/>
                <w:szCs w:val="20"/>
                <w:lang w:val="en-GB"/>
              </w:rPr>
              <w:t>AF</w:t>
            </w:r>
          </w:p>
        </w:tc>
        <w:tc>
          <w:tcPr>
            <w:tcW w:w="424" w:type="pct"/>
            <w:vAlign w:val="center"/>
          </w:tcPr>
          <w:p w14:paraId="707F5DBB" w14:textId="77777777" w:rsidR="00E51CDD" w:rsidRPr="00CD0B85" w:rsidRDefault="00E51CDD" w:rsidP="009938D9">
            <w:pPr>
              <w:widowControl w:val="0"/>
              <w:suppressAutoHyphens/>
              <w:spacing w:before="40" w:after="40"/>
              <w:jc w:val="left"/>
              <w:rPr>
                <w:b/>
                <w:strike/>
                <w:color w:val="D9D9D9" w:themeColor="background1" w:themeShade="D9"/>
                <w:sz w:val="20"/>
                <w:szCs w:val="20"/>
                <w:vertAlign w:val="subscript"/>
                <w:lang w:val="en-GB"/>
              </w:rPr>
            </w:pPr>
            <w:r w:rsidRPr="00CD0B85">
              <w:rPr>
                <w:b/>
                <w:strike/>
                <w:color w:val="D9D9D9" w:themeColor="background1" w:themeShade="D9"/>
                <w:sz w:val="20"/>
                <w:szCs w:val="20"/>
                <w:lang w:val="en-GB"/>
              </w:rPr>
              <w:t>RAC</w:t>
            </w:r>
            <w:r w:rsidRPr="00CD0B85">
              <w:rPr>
                <w:b/>
                <w:i/>
                <w:strike/>
                <w:color w:val="D9D9D9" w:themeColor="background1" w:themeShade="D9"/>
                <w:sz w:val="20"/>
                <w:szCs w:val="20"/>
                <w:vertAlign w:val="subscript"/>
                <w:lang w:val="en-GB"/>
              </w:rPr>
              <w:t xml:space="preserve">i </w:t>
            </w:r>
            <w:r w:rsidRPr="00CD0B85">
              <w:rPr>
                <w:b/>
                <w:strike/>
                <w:color w:val="D9D9D9" w:themeColor="background1" w:themeShade="D9"/>
                <w:sz w:val="20"/>
                <w:szCs w:val="20"/>
                <w:lang w:val="en-GB"/>
              </w:rPr>
              <w:t>[µg/L]</w:t>
            </w:r>
          </w:p>
        </w:tc>
        <w:tc>
          <w:tcPr>
            <w:tcW w:w="424" w:type="pct"/>
            <w:vAlign w:val="center"/>
          </w:tcPr>
          <w:p w14:paraId="613BC5D8" w14:textId="77777777" w:rsidR="00E51CDD" w:rsidRPr="00CD0B85" w:rsidRDefault="00E51CDD" w:rsidP="009938D9">
            <w:pPr>
              <w:widowControl w:val="0"/>
              <w:suppressAutoHyphens/>
              <w:spacing w:before="40" w:after="40"/>
              <w:jc w:val="left"/>
              <w:rPr>
                <w:b/>
                <w:strike/>
                <w:color w:val="D9D9D9" w:themeColor="background1" w:themeShade="D9"/>
                <w:sz w:val="20"/>
                <w:szCs w:val="20"/>
                <w:vertAlign w:val="superscript"/>
                <w:lang w:val="en-GB"/>
              </w:rPr>
            </w:pPr>
            <w:r w:rsidRPr="00CD0B85">
              <w:rPr>
                <w:b/>
                <w:strike/>
                <w:color w:val="D9D9D9" w:themeColor="background1" w:themeShade="D9"/>
                <w:sz w:val="20"/>
                <w:szCs w:val="20"/>
                <w:lang w:val="en-GB"/>
              </w:rPr>
              <w:t>PEC</w:t>
            </w:r>
            <w:r w:rsidRPr="00CD0B85">
              <w:rPr>
                <w:b/>
                <w:i/>
                <w:strike/>
                <w:color w:val="D9D9D9" w:themeColor="background1" w:themeShade="D9"/>
                <w:sz w:val="20"/>
                <w:szCs w:val="20"/>
                <w:vertAlign w:val="subscript"/>
                <w:lang w:val="en-GB"/>
              </w:rPr>
              <w:t xml:space="preserve">i </w:t>
            </w:r>
            <w:r w:rsidRPr="00CD0B85">
              <w:rPr>
                <w:b/>
                <w:strike/>
                <w:color w:val="D9D9D9" w:themeColor="background1" w:themeShade="D9"/>
                <w:sz w:val="20"/>
                <w:szCs w:val="20"/>
                <w:lang w:val="en-GB"/>
              </w:rPr>
              <w:t xml:space="preserve">[µg/L] </w:t>
            </w:r>
            <w:r w:rsidRPr="00CD0B85">
              <w:rPr>
                <w:b/>
                <w:strike/>
                <w:color w:val="D9D9D9" w:themeColor="background1" w:themeShade="D9"/>
                <w:sz w:val="20"/>
                <w:szCs w:val="20"/>
                <w:vertAlign w:val="superscript"/>
                <w:lang w:val="en-GB"/>
              </w:rPr>
              <w:t>2)</w:t>
            </w:r>
          </w:p>
        </w:tc>
        <w:tc>
          <w:tcPr>
            <w:tcW w:w="427" w:type="pct"/>
            <w:vAlign w:val="center"/>
          </w:tcPr>
          <w:p w14:paraId="4D21D37F" w14:textId="77777777" w:rsidR="00E51CDD" w:rsidRPr="00CD0B85" w:rsidRDefault="00E51CDD" w:rsidP="009938D9">
            <w:pPr>
              <w:widowControl w:val="0"/>
              <w:suppressAutoHyphens/>
              <w:spacing w:before="40" w:after="40"/>
              <w:jc w:val="left"/>
              <w:rPr>
                <w:b/>
                <w:i/>
                <w:strike/>
                <w:color w:val="D9D9D9" w:themeColor="background1" w:themeShade="D9"/>
                <w:sz w:val="20"/>
                <w:szCs w:val="20"/>
                <w:lang w:val="fr-FR"/>
              </w:rPr>
            </w:pPr>
            <w:r w:rsidRPr="00CD0B85">
              <w:rPr>
                <w:b/>
                <w:strike/>
                <w:color w:val="D9D9D9" w:themeColor="background1" w:themeShade="D9"/>
                <w:sz w:val="20"/>
                <w:szCs w:val="20"/>
                <w:lang w:val="fr-FR"/>
              </w:rPr>
              <w:t>PEC</w:t>
            </w:r>
            <w:r w:rsidRPr="00CD0B85">
              <w:rPr>
                <w:b/>
                <w:i/>
                <w:strike/>
                <w:color w:val="D9D9D9" w:themeColor="background1" w:themeShade="D9"/>
                <w:sz w:val="20"/>
                <w:szCs w:val="20"/>
                <w:vertAlign w:val="subscript"/>
                <w:lang w:val="fr-FR"/>
              </w:rPr>
              <w:t xml:space="preserve">i </w:t>
            </w:r>
            <w:r w:rsidRPr="00CD0B85">
              <w:rPr>
                <w:b/>
                <w:strike/>
                <w:color w:val="D9D9D9" w:themeColor="background1" w:themeShade="D9"/>
                <w:sz w:val="20"/>
                <w:szCs w:val="20"/>
                <w:lang w:val="fr-FR"/>
              </w:rPr>
              <w:t>/ RAC</w:t>
            </w:r>
            <w:r w:rsidRPr="00CD0B85">
              <w:rPr>
                <w:b/>
                <w:i/>
                <w:strike/>
                <w:color w:val="D9D9D9" w:themeColor="background1" w:themeShade="D9"/>
                <w:sz w:val="20"/>
                <w:szCs w:val="20"/>
                <w:vertAlign w:val="subscript"/>
                <w:lang w:val="fr-FR"/>
              </w:rPr>
              <w:t>i</w:t>
            </w:r>
          </w:p>
        </w:tc>
        <w:tc>
          <w:tcPr>
            <w:tcW w:w="450" w:type="pct"/>
            <w:vAlign w:val="center"/>
          </w:tcPr>
          <w:p w14:paraId="25BB9BC9" w14:textId="77777777" w:rsidR="00E51CDD" w:rsidRPr="00CD0B85" w:rsidRDefault="00E51CDD" w:rsidP="009938D9">
            <w:pPr>
              <w:widowControl w:val="0"/>
              <w:suppressAutoHyphens/>
              <w:spacing w:before="40" w:after="40"/>
              <w:jc w:val="left"/>
              <w:rPr>
                <w:b/>
                <w:strike/>
                <w:color w:val="D9D9D9" w:themeColor="background1" w:themeShade="D9"/>
                <w:sz w:val="20"/>
                <w:szCs w:val="20"/>
                <w:vertAlign w:val="subscript"/>
                <w:lang w:val="fr-FR"/>
              </w:rPr>
            </w:pPr>
            <w:r w:rsidRPr="00CD0B85">
              <w:rPr>
                <w:b/>
                <w:strike/>
                <w:color w:val="D9D9D9" w:themeColor="background1" w:themeShade="D9"/>
                <w:sz w:val="20"/>
                <w:szCs w:val="20"/>
                <w:lang w:val="fr-FR"/>
              </w:rPr>
              <w:t>RQ</w:t>
            </w:r>
            <w:r w:rsidRPr="00CD0B85">
              <w:rPr>
                <w:b/>
                <w:strike/>
                <w:color w:val="D9D9D9" w:themeColor="background1" w:themeShade="D9"/>
                <w:sz w:val="20"/>
                <w:szCs w:val="20"/>
                <w:vertAlign w:val="subscript"/>
                <w:lang w:val="fr-FR"/>
              </w:rPr>
              <w:t>mix</w:t>
            </w:r>
          </w:p>
        </w:tc>
      </w:tr>
      <w:tr w:rsidR="00CD0B85" w:rsidRPr="00CD0B85" w14:paraId="6FBADB60" w14:textId="77777777" w:rsidTr="009938D9">
        <w:tc>
          <w:tcPr>
            <w:tcW w:w="5000" w:type="pct"/>
            <w:gridSpan w:val="8"/>
            <w:tcBorders>
              <w:bottom w:val="single" w:sz="4" w:space="0" w:color="auto"/>
            </w:tcBorders>
          </w:tcPr>
          <w:p w14:paraId="1DC37DB9" w14:textId="77777777" w:rsidR="00E51CDD" w:rsidRPr="00CD0B85" w:rsidRDefault="00E51CDD" w:rsidP="009938D9">
            <w:pPr>
              <w:widowControl w:val="0"/>
              <w:suppressAutoHyphens/>
              <w:spacing w:before="40" w:after="40"/>
              <w:jc w:val="left"/>
              <w:rPr>
                <w:b/>
                <w:i/>
                <w:strike/>
                <w:color w:val="D9D9D9" w:themeColor="background1" w:themeShade="D9"/>
                <w:sz w:val="20"/>
                <w:szCs w:val="20"/>
                <w:lang w:val="en-GB"/>
              </w:rPr>
            </w:pPr>
            <w:r w:rsidRPr="00CD0B85">
              <w:rPr>
                <w:b/>
                <w:i/>
                <w:strike/>
                <w:color w:val="D9D9D9" w:themeColor="background1" w:themeShade="D9"/>
                <w:sz w:val="20"/>
                <w:szCs w:val="20"/>
                <w:lang w:val="en-GB"/>
              </w:rPr>
              <w:t>fish, acute</w:t>
            </w:r>
          </w:p>
        </w:tc>
      </w:tr>
      <w:tr w:rsidR="00CD0B85" w:rsidRPr="00CD0B85" w14:paraId="0F533B5D" w14:textId="77777777" w:rsidTr="009938D9">
        <w:tc>
          <w:tcPr>
            <w:tcW w:w="765" w:type="pct"/>
            <w:vMerge w:val="restart"/>
            <w:vAlign w:val="center"/>
          </w:tcPr>
          <w:p w14:paraId="6E7EE26A"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R3 stream</w:t>
            </w:r>
          </w:p>
        </w:tc>
        <w:tc>
          <w:tcPr>
            <w:tcW w:w="1041" w:type="pct"/>
            <w:vAlign w:val="center"/>
          </w:tcPr>
          <w:p w14:paraId="14C0F61F"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Fluxapyroxad</w:t>
            </w:r>
          </w:p>
        </w:tc>
        <w:tc>
          <w:tcPr>
            <w:tcW w:w="1166" w:type="pct"/>
            <w:vAlign w:val="center"/>
          </w:tcPr>
          <w:p w14:paraId="49AEAF3F" w14:textId="77777777" w:rsidR="00E51CDD" w:rsidRPr="00CD0B85" w:rsidRDefault="00E51CDD" w:rsidP="009938D9">
            <w:pPr>
              <w:widowControl w:val="0"/>
              <w:suppressAutoHyphens/>
              <w:spacing w:before="40" w:after="40"/>
              <w:jc w:val="left"/>
              <w:rPr>
                <w:strike/>
                <w:color w:val="D9D9D9" w:themeColor="background1" w:themeShade="D9"/>
                <w:sz w:val="20"/>
                <w:szCs w:val="20"/>
                <w:vertAlign w:val="subscript"/>
                <w:lang w:val="en-GB"/>
              </w:rPr>
            </w:pPr>
            <w:r w:rsidRPr="00CD0B85">
              <w:rPr>
                <w:strike/>
                <w:color w:val="D9D9D9" w:themeColor="background1" w:themeShade="D9"/>
                <w:sz w:val="20"/>
                <w:szCs w:val="20"/>
                <w:lang w:val="en-GB"/>
              </w:rPr>
              <w:t xml:space="preserve">SSD </w:t>
            </w:r>
            <w:r w:rsidRPr="00CD0B85">
              <w:rPr>
                <w:strike/>
                <w:color w:val="D9D9D9" w:themeColor="background1" w:themeShade="D9"/>
                <w:sz w:val="20"/>
                <w:szCs w:val="20"/>
                <w:vertAlign w:val="subscript"/>
                <w:lang w:val="en-GB"/>
              </w:rPr>
              <w:t>fish acute</w:t>
            </w:r>
          </w:p>
          <w:p w14:paraId="4D85CF44"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HC</w:t>
            </w:r>
            <w:r w:rsidRPr="00CD0B85">
              <w:rPr>
                <w:strike/>
                <w:color w:val="D9D9D9" w:themeColor="background1" w:themeShade="D9"/>
                <w:sz w:val="20"/>
                <w:szCs w:val="20"/>
                <w:vertAlign w:val="subscript"/>
                <w:lang w:val="en-GB"/>
              </w:rPr>
              <w:t>5</w:t>
            </w:r>
            <w:r w:rsidRPr="00CD0B85">
              <w:rPr>
                <w:strike/>
                <w:color w:val="D9D9D9" w:themeColor="background1" w:themeShade="D9"/>
                <w:sz w:val="20"/>
                <w:szCs w:val="20"/>
                <w:lang w:val="en-GB"/>
              </w:rPr>
              <w:t xml:space="preserve"> = 148 µg/L</w:t>
            </w:r>
          </w:p>
        </w:tc>
        <w:tc>
          <w:tcPr>
            <w:tcW w:w="303" w:type="pct"/>
            <w:vAlign w:val="center"/>
          </w:tcPr>
          <w:p w14:paraId="216D3334"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3</w:t>
            </w:r>
          </w:p>
        </w:tc>
        <w:tc>
          <w:tcPr>
            <w:tcW w:w="424" w:type="pct"/>
            <w:vAlign w:val="center"/>
          </w:tcPr>
          <w:p w14:paraId="75522103"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49.33</w:t>
            </w:r>
          </w:p>
        </w:tc>
        <w:tc>
          <w:tcPr>
            <w:tcW w:w="424" w:type="pct"/>
            <w:vAlign w:val="center"/>
          </w:tcPr>
          <w:p w14:paraId="6AC96919"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1.535</w:t>
            </w:r>
          </w:p>
        </w:tc>
        <w:tc>
          <w:tcPr>
            <w:tcW w:w="427" w:type="pct"/>
            <w:vAlign w:val="center"/>
          </w:tcPr>
          <w:p w14:paraId="4BD1CB68"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0.03</w:t>
            </w:r>
          </w:p>
        </w:tc>
        <w:tc>
          <w:tcPr>
            <w:tcW w:w="450" w:type="pct"/>
            <w:vMerge w:val="restart"/>
            <w:vAlign w:val="center"/>
          </w:tcPr>
          <w:p w14:paraId="4A754134" w14:textId="77777777" w:rsidR="00E51CDD" w:rsidRPr="00CD0B85" w:rsidRDefault="00E51CDD" w:rsidP="009938D9">
            <w:pPr>
              <w:widowControl w:val="0"/>
              <w:suppressAutoHyphens/>
              <w:spacing w:before="40" w:after="40"/>
              <w:rPr>
                <w:strike/>
                <w:color w:val="D9D9D9" w:themeColor="background1" w:themeShade="D9"/>
                <w:sz w:val="20"/>
                <w:szCs w:val="20"/>
                <w:lang w:val="en-GB"/>
              </w:rPr>
            </w:pPr>
            <w:r w:rsidRPr="00CD0B85">
              <w:rPr>
                <w:strike/>
                <w:color w:val="D9D9D9" w:themeColor="background1" w:themeShade="D9"/>
                <w:sz w:val="20"/>
                <w:szCs w:val="20"/>
                <w:lang w:val="en-GB"/>
              </w:rPr>
              <w:t>0.73</w:t>
            </w:r>
          </w:p>
        </w:tc>
      </w:tr>
      <w:tr w:rsidR="00CD0B85" w:rsidRPr="00CD0B85" w14:paraId="5D293403" w14:textId="77777777" w:rsidTr="009938D9">
        <w:trPr>
          <w:trHeight w:val="654"/>
        </w:trPr>
        <w:tc>
          <w:tcPr>
            <w:tcW w:w="765" w:type="pct"/>
            <w:vMerge/>
            <w:tcBorders>
              <w:bottom w:val="single" w:sz="4" w:space="0" w:color="auto"/>
            </w:tcBorders>
            <w:vAlign w:val="center"/>
          </w:tcPr>
          <w:p w14:paraId="07191F9A"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p>
        </w:tc>
        <w:tc>
          <w:tcPr>
            <w:tcW w:w="1041" w:type="pct"/>
            <w:tcBorders>
              <w:bottom w:val="single" w:sz="4" w:space="0" w:color="auto"/>
            </w:tcBorders>
            <w:vAlign w:val="center"/>
          </w:tcPr>
          <w:p w14:paraId="69DE0EFD"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Azoxystrobin</w:t>
            </w:r>
          </w:p>
        </w:tc>
        <w:tc>
          <w:tcPr>
            <w:tcW w:w="1166" w:type="pct"/>
            <w:tcBorders>
              <w:bottom w:val="single" w:sz="4" w:space="0" w:color="auto"/>
            </w:tcBorders>
            <w:vAlign w:val="center"/>
          </w:tcPr>
          <w:p w14:paraId="06F1FB05" w14:textId="77777777" w:rsidR="00E51CDD" w:rsidRPr="00CD0B85" w:rsidRDefault="00E51CDD" w:rsidP="009938D9">
            <w:pPr>
              <w:widowControl w:val="0"/>
              <w:suppressAutoHyphens/>
              <w:spacing w:before="40" w:after="40"/>
              <w:jc w:val="left"/>
              <w:rPr>
                <w:i/>
                <w:strike/>
                <w:color w:val="D9D9D9" w:themeColor="background1" w:themeShade="D9"/>
                <w:sz w:val="20"/>
                <w:szCs w:val="20"/>
                <w:lang w:val="en-GB"/>
              </w:rPr>
            </w:pPr>
            <w:r w:rsidRPr="00CD0B85">
              <w:rPr>
                <w:i/>
                <w:strike/>
                <w:color w:val="D9D9D9" w:themeColor="background1" w:themeShade="D9"/>
                <w:sz w:val="20"/>
                <w:szCs w:val="20"/>
                <w:lang w:val="en-GB"/>
              </w:rPr>
              <w:t xml:space="preserve">O. mykiss, </w:t>
            </w:r>
          </w:p>
          <w:p w14:paraId="0C37B301"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LC</w:t>
            </w:r>
            <w:r w:rsidRPr="00CD0B85">
              <w:rPr>
                <w:strike/>
                <w:color w:val="D9D9D9" w:themeColor="background1" w:themeShade="D9"/>
                <w:sz w:val="20"/>
                <w:szCs w:val="20"/>
                <w:vertAlign w:val="subscript"/>
                <w:lang w:val="en-GB"/>
              </w:rPr>
              <w:t>50</w:t>
            </w:r>
            <w:r w:rsidRPr="00CD0B85">
              <w:rPr>
                <w:strike/>
                <w:color w:val="D9D9D9" w:themeColor="background1" w:themeShade="D9"/>
                <w:sz w:val="20"/>
                <w:szCs w:val="20"/>
                <w:lang w:val="en-GB"/>
              </w:rPr>
              <w:t xml:space="preserve"> = 470 µg/L</w:t>
            </w:r>
          </w:p>
        </w:tc>
        <w:tc>
          <w:tcPr>
            <w:tcW w:w="303" w:type="pct"/>
            <w:tcBorders>
              <w:bottom w:val="single" w:sz="4" w:space="0" w:color="auto"/>
            </w:tcBorders>
            <w:vAlign w:val="center"/>
          </w:tcPr>
          <w:p w14:paraId="4FDAEC14"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100</w:t>
            </w:r>
          </w:p>
        </w:tc>
        <w:tc>
          <w:tcPr>
            <w:tcW w:w="424" w:type="pct"/>
            <w:tcBorders>
              <w:bottom w:val="single" w:sz="4" w:space="0" w:color="auto"/>
            </w:tcBorders>
            <w:vAlign w:val="center"/>
          </w:tcPr>
          <w:p w14:paraId="1C9F9662"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4.7</w:t>
            </w:r>
          </w:p>
        </w:tc>
        <w:tc>
          <w:tcPr>
            <w:tcW w:w="424" w:type="pct"/>
            <w:tcBorders>
              <w:bottom w:val="single" w:sz="4" w:space="0" w:color="auto"/>
            </w:tcBorders>
            <w:vAlign w:val="center"/>
          </w:tcPr>
          <w:p w14:paraId="77E89105"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3.111</w:t>
            </w:r>
          </w:p>
          <w:p w14:paraId="3158DC48" w14:textId="710D230B" w:rsidR="009371A8" w:rsidRPr="00CD0B85" w:rsidRDefault="009371A8"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highlight w:val="yellow"/>
                <w:lang w:val="en-GB"/>
              </w:rPr>
              <w:t>3.128</w:t>
            </w:r>
          </w:p>
        </w:tc>
        <w:tc>
          <w:tcPr>
            <w:tcW w:w="427" w:type="pct"/>
            <w:tcBorders>
              <w:bottom w:val="single" w:sz="4" w:space="0" w:color="auto"/>
            </w:tcBorders>
            <w:vAlign w:val="center"/>
          </w:tcPr>
          <w:p w14:paraId="39079637"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r w:rsidRPr="00CD0B85">
              <w:rPr>
                <w:strike/>
                <w:color w:val="D9D9D9" w:themeColor="background1" w:themeShade="D9"/>
                <w:sz w:val="20"/>
                <w:szCs w:val="20"/>
                <w:lang w:val="en-GB"/>
              </w:rPr>
              <w:t>0.7</w:t>
            </w:r>
          </w:p>
        </w:tc>
        <w:tc>
          <w:tcPr>
            <w:tcW w:w="450" w:type="pct"/>
            <w:vMerge/>
            <w:tcBorders>
              <w:bottom w:val="single" w:sz="4" w:space="0" w:color="auto"/>
            </w:tcBorders>
            <w:vAlign w:val="center"/>
          </w:tcPr>
          <w:p w14:paraId="731A9092" w14:textId="77777777" w:rsidR="00E51CDD" w:rsidRPr="00CD0B85" w:rsidRDefault="00E51CDD" w:rsidP="009938D9">
            <w:pPr>
              <w:widowControl w:val="0"/>
              <w:suppressAutoHyphens/>
              <w:spacing w:before="40" w:after="40"/>
              <w:rPr>
                <w:strike/>
                <w:color w:val="D9D9D9" w:themeColor="background1" w:themeShade="D9"/>
                <w:sz w:val="20"/>
                <w:szCs w:val="20"/>
                <w:lang w:val="en-GB"/>
              </w:rPr>
            </w:pPr>
          </w:p>
        </w:tc>
      </w:tr>
      <w:tr w:rsidR="00CD0B85" w:rsidRPr="00CD0B85" w14:paraId="65823491" w14:textId="77777777" w:rsidTr="009938D9">
        <w:tc>
          <w:tcPr>
            <w:tcW w:w="765" w:type="pct"/>
            <w:vMerge w:val="restart"/>
            <w:vAlign w:val="center"/>
          </w:tcPr>
          <w:p w14:paraId="10BD446A"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R4 stream</w:t>
            </w:r>
          </w:p>
        </w:tc>
        <w:tc>
          <w:tcPr>
            <w:tcW w:w="1041" w:type="pct"/>
            <w:vAlign w:val="center"/>
          </w:tcPr>
          <w:p w14:paraId="47F64A82"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Fluxapyroxad</w:t>
            </w:r>
          </w:p>
        </w:tc>
        <w:tc>
          <w:tcPr>
            <w:tcW w:w="1166" w:type="pct"/>
            <w:vAlign w:val="center"/>
          </w:tcPr>
          <w:p w14:paraId="4E953950"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vertAlign w:val="subscript"/>
                <w:lang w:val="en-GB"/>
              </w:rPr>
            </w:pPr>
            <w:r w:rsidRPr="00CD0B85">
              <w:rPr>
                <w:strike/>
                <w:color w:val="D9D9D9" w:themeColor="background1" w:themeShade="D9"/>
                <w:sz w:val="20"/>
                <w:szCs w:val="20"/>
                <w:highlight w:val="yellow"/>
                <w:lang w:val="en-GB"/>
              </w:rPr>
              <w:t xml:space="preserve">SSD </w:t>
            </w:r>
            <w:r w:rsidRPr="00CD0B85">
              <w:rPr>
                <w:strike/>
                <w:color w:val="D9D9D9" w:themeColor="background1" w:themeShade="D9"/>
                <w:sz w:val="20"/>
                <w:szCs w:val="20"/>
                <w:highlight w:val="yellow"/>
                <w:vertAlign w:val="subscript"/>
                <w:lang w:val="en-GB"/>
              </w:rPr>
              <w:t>fish acute</w:t>
            </w:r>
          </w:p>
          <w:p w14:paraId="4DC494F8"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HC</w:t>
            </w:r>
            <w:r w:rsidRPr="00CD0B85">
              <w:rPr>
                <w:strike/>
                <w:color w:val="D9D9D9" w:themeColor="background1" w:themeShade="D9"/>
                <w:sz w:val="20"/>
                <w:szCs w:val="20"/>
                <w:highlight w:val="yellow"/>
                <w:vertAlign w:val="subscript"/>
                <w:lang w:val="en-GB"/>
              </w:rPr>
              <w:t>5</w:t>
            </w:r>
            <w:r w:rsidRPr="00CD0B85">
              <w:rPr>
                <w:strike/>
                <w:color w:val="D9D9D9" w:themeColor="background1" w:themeShade="D9"/>
                <w:sz w:val="20"/>
                <w:szCs w:val="20"/>
                <w:highlight w:val="yellow"/>
                <w:lang w:val="en-GB"/>
              </w:rPr>
              <w:t xml:space="preserve"> = 148 µg/L</w:t>
            </w:r>
          </w:p>
        </w:tc>
        <w:tc>
          <w:tcPr>
            <w:tcW w:w="303" w:type="pct"/>
            <w:vAlign w:val="center"/>
          </w:tcPr>
          <w:p w14:paraId="0993BEF2"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3</w:t>
            </w:r>
          </w:p>
        </w:tc>
        <w:tc>
          <w:tcPr>
            <w:tcW w:w="424" w:type="pct"/>
            <w:vAlign w:val="center"/>
          </w:tcPr>
          <w:p w14:paraId="0410FD05"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49.33</w:t>
            </w:r>
          </w:p>
        </w:tc>
        <w:tc>
          <w:tcPr>
            <w:tcW w:w="424" w:type="pct"/>
            <w:vAlign w:val="center"/>
          </w:tcPr>
          <w:p w14:paraId="1AC757A6"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0.845</w:t>
            </w:r>
          </w:p>
        </w:tc>
        <w:tc>
          <w:tcPr>
            <w:tcW w:w="427" w:type="pct"/>
            <w:vAlign w:val="center"/>
          </w:tcPr>
          <w:p w14:paraId="6C7A42EF"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0.02</w:t>
            </w:r>
          </w:p>
        </w:tc>
        <w:tc>
          <w:tcPr>
            <w:tcW w:w="450" w:type="pct"/>
            <w:vMerge w:val="restart"/>
            <w:vAlign w:val="center"/>
          </w:tcPr>
          <w:p w14:paraId="2966BD8B" w14:textId="77777777" w:rsidR="00E51CDD" w:rsidRPr="00CD0B85" w:rsidRDefault="00E51CDD" w:rsidP="009938D9">
            <w:pPr>
              <w:widowControl w:val="0"/>
              <w:suppressAutoHyphens/>
              <w:spacing w:before="40" w:after="40"/>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0.62</w:t>
            </w:r>
          </w:p>
        </w:tc>
      </w:tr>
      <w:tr w:rsidR="00CD0B85" w:rsidRPr="00CD0B85" w14:paraId="7FFE6C42" w14:textId="77777777" w:rsidTr="009938D9">
        <w:trPr>
          <w:trHeight w:val="654"/>
        </w:trPr>
        <w:tc>
          <w:tcPr>
            <w:tcW w:w="765" w:type="pct"/>
            <w:vMerge/>
            <w:tcBorders>
              <w:bottom w:val="single" w:sz="4" w:space="0" w:color="auto"/>
            </w:tcBorders>
            <w:vAlign w:val="center"/>
          </w:tcPr>
          <w:p w14:paraId="4F278BEC"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p>
        </w:tc>
        <w:tc>
          <w:tcPr>
            <w:tcW w:w="1041" w:type="pct"/>
            <w:tcBorders>
              <w:bottom w:val="single" w:sz="4" w:space="0" w:color="auto"/>
            </w:tcBorders>
            <w:vAlign w:val="center"/>
          </w:tcPr>
          <w:p w14:paraId="3B2FB021"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Azoxystrobin</w:t>
            </w:r>
          </w:p>
        </w:tc>
        <w:tc>
          <w:tcPr>
            <w:tcW w:w="1166" w:type="pct"/>
            <w:tcBorders>
              <w:bottom w:val="single" w:sz="4" w:space="0" w:color="auto"/>
            </w:tcBorders>
            <w:vAlign w:val="center"/>
          </w:tcPr>
          <w:p w14:paraId="2F84C233" w14:textId="77777777" w:rsidR="00E51CDD" w:rsidRPr="00CD0B85" w:rsidRDefault="00E51CDD" w:rsidP="009938D9">
            <w:pPr>
              <w:widowControl w:val="0"/>
              <w:suppressAutoHyphens/>
              <w:spacing w:before="40" w:after="40"/>
              <w:jc w:val="left"/>
              <w:rPr>
                <w:i/>
                <w:strike/>
                <w:color w:val="D9D9D9" w:themeColor="background1" w:themeShade="D9"/>
                <w:sz w:val="20"/>
                <w:szCs w:val="20"/>
                <w:highlight w:val="yellow"/>
                <w:lang w:val="en-GB"/>
              </w:rPr>
            </w:pPr>
            <w:r w:rsidRPr="00CD0B85">
              <w:rPr>
                <w:i/>
                <w:strike/>
                <w:color w:val="D9D9D9" w:themeColor="background1" w:themeShade="D9"/>
                <w:sz w:val="20"/>
                <w:szCs w:val="20"/>
                <w:highlight w:val="yellow"/>
                <w:lang w:val="en-GB"/>
              </w:rPr>
              <w:t xml:space="preserve">O. mykiss, </w:t>
            </w:r>
          </w:p>
          <w:p w14:paraId="131ADAB3"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LC</w:t>
            </w:r>
            <w:r w:rsidRPr="00CD0B85">
              <w:rPr>
                <w:strike/>
                <w:color w:val="D9D9D9" w:themeColor="background1" w:themeShade="D9"/>
                <w:sz w:val="20"/>
                <w:szCs w:val="20"/>
                <w:highlight w:val="yellow"/>
                <w:vertAlign w:val="subscript"/>
                <w:lang w:val="en-GB"/>
              </w:rPr>
              <w:t>50</w:t>
            </w:r>
            <w:r w:rsidRPr="00CD0B85">
              <w:rPr>
                <w:strike/>
                <w:color w:val="D9D9D9" w:themeColor="background1" w:themeShade="D9"/>
                <w:sz w:val="20"/>
                <w:szCs w:val="20"/>
                <w:highlight w:val="yellow"/>
                <w:lang w:val="en-GB"/>
              </w:rPr>
              <w:t xml:space="preserve"> = 470 µg/L</w:t>
            </w:r>
          </w:p>
        </w:tc>
        <w:tc>
          <w:tcPr>
            <w:tcW w:w="303" w:type="pct"/>
            <w:tcBorders>
              <w:bottom w:val="single" w:sz="4" w:space="0" w:color="auto"/>
            </w:tcBorders>
            <w:vAlign w:val="center"/>
          </w:tcPr>
          <w:p w14:paraId="0844B309"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100</w:t>
            </w:r>
          </w:p>
        </w:tc>
        <w:tc>
          <w:tcPr>
            <w:tcW w:w="424" w:type="pct"/>
            <w:tcBorders>
              <w:bottom w:val="single" w:sz="4" w:space="0" w:color="auto"/>
            </w:tcBorders>
            <w:vAlign w:val="center"/>
          </w:tcPr>
          <w:p w14:paraId="4E9527FA"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4.7</w:t>
            </w:r>
          </w:p>
        </w:tc>
        <w:tc>
          <w:tcPr>
            <w:tcW w:w="424" w:type="pct"/>
            <w:tcBorders>
              <w:bottom w:val="single" w:sz="4" w:space="0" w:color="auto"/>
            </w:tcBorders>
            <w:vAlign w:val="center"/>
          </w:tcPr>
          <w:p w14:paraId="4B2B7524"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2.841</w:t>
            </w:r>
          </w:p>
        </w:tc>
        <w:tc>
          <w:tcPr>
            <w:tcW w:w="427" w:type="pct"/>
            <w:tcBorders>
              <w:bottom w:val="single" w:sz="4" w:space="0" w:color="auto"/>
            </w:tcBorders>
            <w:vAlign w:val="center"/>
          </w:tcPr>
          <w:p w14:paraId="5D39BF51" w14:textId="77777777" w:rsidR="00E51CDD" w:rsidRPr="00CD0B85" w:rsidRDefault="00E51CDD" w:rsidP="009938D9">
            <w:pPr>
              <w:widowControl w:val="0"/>
              <w:suppressAutoHyphens/>
              <w:spacing w:before="40" w:after="40"/>
              <w:jc w:val="left"/>
              <w:rPr>
                <w:strike/>
                <w:color w:val="D9D9D9" w:themeColor="background1" w:themeShade="D9"/>
                <w:sz w:val="20"/>
                <w:szCs w:val="20"/>
                <w:highlight w:val="yellow"/>
                <w:lang w:val="en-GB"/>
              </w:rPr>
            </w:pPr>
            <w:r w:rsidRPr="00CD0B85">
              <w:rPr>
                <w:strike/>
                <w:color w:val="D9D9D9" w:themeColor="background1" w:themeShade="D9"/>
                <w:sz w:val="20"/>
                <w:szCs w:val="20"/>
                <w:highlight w:val="yellow"/>
                <w:lang w:val="en-GB"/>
              </w:rPr>
              <w:t>0.6</w:t>
            </w:r>
          </w:p>
        </w:tc>
        <w:tc>
          <w:tcPr>
            <w:tcW w:w="450" w:type="pct"/>
            <w:vMerge/>
            <w:tcBorders>
              <w:bottom w:val="single" w:sz="4" w:space="0" w:color="auto"/>
            </w:tcBorders>
            <w:vAlign w:val="center"/>
          </w:tcPr>
          <w:p w14:paraId="0B6D6D15" w14:textId="77777777" w:rsidR="00E51CDD" w:rsidRPr="00CD0B85" w:rsidRDefault="00E51CDD" w:rsidP="009938D9">
            <w:pPr>
              <w:widowControl w:val="0"/>
              <w:suppressAutoHyphens/>
              <w:spacing w:before="40" w:after="40"/>
              <w:jc w:val="left"/>
              <w:rPr>
                <w:strike/>
                <w:color w:val="D9D9D9" w:themeColor="background1" w:themeShade="D9"/>
                <w:sz w:val="20"/>
                <w:szCs w:val="20"/>
                <w:lang w:val="en-GB"/>
              </w:rPr>
            </w:pPr>
          </w:p>
        </w:tc>
      </w:tr>
    </w:tbl>
    <w:p w14:paraId="5E8C1191" w14:textId="77777777" w:rsidR="00E51CDD" w:rsidRPr="00CD0B85" w:rsidRDefault="00E51CDD" w:rsidP="00E51CDD">
      <w:pPr>
        <w:widowControl w:val="0"/>
        <w:ind w:left="284" w:hanging="284"/>
        <w:jc w:val="both"/>
        <w:rPr>
          <w:strike/>
          <w:noProof/>
          <w:color w:val="D9D9D9" w:themeColor="background1" w:themeShade="D9"/>
          <w:sz w:val="18"/>
          <w:szCs w:val="18"/>
          <w:lang w:val="en-GB"/>
        </w:rPr>
      </w:pPr>
      <w:r w:rsidRPr="00CD0B85">
        <w:rPr>
          <w:strike/>
          <w:noProof/>
          <w:color w:val="D9D9D9" w:themeColor="background1" w:themeShade="D9"/>
          <w:sz w:val="18"/>
          <w:szCs w:val="18"/>
          <w:lang w:val="en-GB"/>
        </w:rPr>
        <w:t xml:space="preserve">AF: Assessment factor; PEC: Predicted environmental concentration; RAC: Regulatory acceptable concentration; RQ: risk quotient; </w:t>
      </w:r>
    </w:p>
    <w:p w14:paraId="3E8ACF9A" w14:textId="77777777" w:rsidR="00E51CDD" w:rsidRPr="00CD0B85" w:rsidRDefault="00E51CDD" w:rsidP="00E51CDD">
      <w:pPr>
        <w:widowControl w:val="0"/>
        <w:ind w:left="284" w:hanging="284"/>
        <w:jc w:val="both"/>
        <w:rPr>
          <w:strike/>
          <w:noProof/>
          <w:color w:val="D9D9D9" w:themeColor="background1" w:themeShade="D9"/>
          <w:sz w:val="18"/>
          <w:szCs w:val="18"/>
          <w:vertAlign w:val="superscript"/>
          <w:lang w:val="en-GB"/>
        </w:rPr>
      </w:pPr>
      <w:r w:rsidRPr="00CD0B85">
        <w:rPr>
          <w:strike/>
          <w:noProof/>
          <w:color w:val="D9D9D9" w:themeColor="background1" w:themeShade="D9"/>
          <w:sz w:val="18"/>
          <w:szCs w:val="18"/>
          <w:vertAlign w:val="superscript"/>
          <w:lang w:val="en-GB"/>
        </w:rPr>
        <w:t>1)</w:t>
      </w:r>
      <w:r w:rsidRPr="00CD0B85">
        <w:rPr>
          <w:strike/>
          <w:noProof/>
          <w:color w:val="D9D9D9" w:themeColor="background1" w:themeShade="D9"/>
          <w:sz w:val="18"/>
          <w:szCs w:val="18"/>
          <w:vertAlign w:val="superscript"/>
          <w:lang w:val="en-GB"/>
        </w:rPr>
        <w:tab/>
      </w:r>
      <w:r w:rsidRPr="00CD0B85">
        <w:rPr>
          <w:strike/>
          <w:noProof/>
          <w:color w:val="D9D9D9" w:themeColor="background1" w:themeShade="D9"/>
          <w:sz w:val="18"/>
          <w:szCs w:val="18"/>
          <w:lang w:val="en-GB"/>
        </w:rPr>
        <w:t>For details on the refined risk assessments and derivation of the resulting higher-tier RAC values for aquatic invertebrates see above.</w:t>
      </w:r>
    </w:p>
    <w:p w14:paraId="6E4B1E4F" w14:textId="77777777" w:rsidR="00E51CDD" w:rsidRPr="00CD0B85" w:rsidRDefault="00E51CDD" w:rsidP="00E51CDD">
      <w:pPr>
        <w:widowControl w:val="0"/>
        <w:ind w:left="284" w:hanging="284"/>
        <w:jc w:val="both"/>
        <w:rPr>
          <w:b/>
          <w:strike/>
          <w:noProof/>
          <w:color w:val="D9D9D9" w:themeColor="background1" w:themeShade="D9"/>
          <w:sz w:val="18"/>
          <w:szCs w:val="18"/>
        </w:rPr>
      </w:pPr>
      <w:r w:rsidRPr="00CD0B85">
        <w:rPr>
          <w:b/>
          <w:strike/>
          <w:noProof/>
          <w:color w:val="D9D9D9" w:themeColor="background1" w:themeShade="D9"/>
          <w:sz w:val="18"/>
          <w:szCs w:val="18"/>
          <w:vertAlign w:val="superscript"/>
          <w:lang w:val="en-GB"/>
        </w:rPr>
        <w:t>2)</w:t>
      </w:r>
      <w:r w:rsidRPr="00CD0B85">
        <w:rPr>
          <w:b/>
          <w:strike/>
          <w:noProof/>
          <w:color w:val="D9D9D9" w:themeColor="background1" w:themeShade="D9"/>
          <w:sz w:val="18"/>
          <w:szCs w:val="18"/>
          <w:vertAlign w:val="superscript"/>
          <w:lang w:val="en-GB"/>
        </w:rPr>
        <w:tab/>
      </w:r>
      <w:r w:rsidRPr="00CD0B85">
        <w:rPr>
          <w:strike/>
          <w:color w:val="D9D9D9" w:themeColor="background1" w:themeShade="D9"/>
          <w:sz w:val="18"/>
          <w:szCs w:val="18"/>
        </w:rPr>
        <w:t>Only the worst-case PEC</w:t>
      </w:r>
      <w:r w:rsidRPr="00CD0B85">
        <w:rPr>
          <w:strike/>
          <w:color w:val="D9D9D9" w:themeColor="background1" w:themeShade="D9"/>
          <w:sz w:val="18"/>
          <w:szCs w:val="18"/>
          <w:vertAlign w:val="subscript"/>
        </w:rPr>
        <w:t>sw</w:t>
      </w:r>
      <w:r w:rsidRPr="00CD0B85">
        <w:rPr>
          <w:strike/>
          <w:color w:val="D9D9D9" w:themeColor="background1" w:themeShade="D9"/>
          <w:sz w:val="18"/>
          <w:szCs w:val="18"/>
        </w:rPr>
        <w:t xml:space="preserve"> values out of the calculations for single and twofold application in winter cereals are used (for details on PEC</w:t>
      </w:r>
      <w:r w:rsidRPr="00CD0B85">
        <w:rPr>
          <w:strike/>
          <w:color w:val="D9D9D9" w:themeColor="background1" w:themeShade="D9"/>
          <w:sz w:val="18"/>
          <w:szCs w:val="18"/>
          <w:vertAlign w:val="subscript"/>
        </w:rPr>
        <w:t>sw</w:t>
      </w:r>
      <w:r w:rsidRPr="00CD0B85">
        <w:rPr>
          <w:strike/>
          <w:color w:val="D9D9D9" w:themeColor="background1" w:themeShade="D9"/>
          <w:sz w:val="18"/>
          <w:szCs w:val="18"/>
        </w:rPr>
        <w:t xml:space="preserve"> calculations please refer to Part B, Section 9.8).</w:t>
      </w:r>
    </w:p>
    <w:p w14:paraId="52D6B4F5" w14:textId="77777777" w:rsidR="00E51CDD" w:rsidRPr="00CD0B85" w:rsidRDefault="00E51CDD" w:rsidP="00E51CDD">
      <w:pPr>
        <w:widowControl w:val="0"/>
        <w:rPr>
          <w:strike/>
          <w:noProof/>
          <w:color w:val="D9D9D9" w:themeColor="background1" w:themeShade="D9"/>
          <w:sz w:val="18"/>
          <w:szCs w:val="18"/>
        </w:rPr>
      </w:pPr>
    </w:p>
    <w:p w14:paraId="11E90960" w14:textId="77777777" w:rsidR="00E51CDD" w:rsidRPr="00CD0B85" w:rsidRDefault="00E51CDD" w:rsidP="00E51CDD">
      <w:pPr>
        <w:widowControl w:val="0"/>
        <w:rPr>
          <w:strike/>
          <w:noProof/>
          <w:color w:val="D9D9D9" w:themeColor="background1" w:themeShade="D9"/>
          <w:sz w:val="18"/>
          <w:szCs w:val="18"/>
        </w:rPr>
      </w:pPr>
    </w:p>
    <w:p w14:paraId="341970B5" w14:textId="77777777" w:rsidR="00E51CDD" w:rsidRPr="00227BE0" w:rsidRDefault="00E51CDD" w:rsidP="00E51CDD">
      <w:pPr>
        <w:pStyle w:val="RepStandard"/>
        <w:rPr>
          <w:bCs/>
        </w:rPr>
      </w:pPr>
      <w:r w:rsidRPr="00CD0B85">
        <w:rPr>
          <w:bCs/>
          <w:strike/>
          <w:color w:val="D9D9D9" w:themeColor="background1" w:themeShade="D9"/>
        </w:rPr>
        <w:t xml:space="preserve">The RQ calculations based on acute higher tier data for fish </w:t>
      </w:r>
      <w:r w:rsidRPr="00CD0B85">
        <w:rPr>
          <w:strike/>
          <w:color w:val="D9D9D9" w:themeColor="background1" w:themeShade="D9"/>
          <w:lang w:val="en-US"/>
        </w:rPr>
        <w:t xml:space="preserve">indicate </w:t>
      </w:r>
      <w:r w:rsidRPr="00CD0B85">
        <w:rPr>
          <w:bCs/>
          <w:strike/>
          <w:color w:val="D9D9D9" w:themeColor="background1" w:themeShade="D9"/>
        </w:rPr>
        <w:t>an acceptable risk for the application of BAS 736 00 F in ‘winter cereals’ with no need for additional mitigation measures.</w:t>
      </w:r>
      <w:r w:rsidRPr="00CD0B85">
        <w:rPr>
          <w:bCs/>
          <w:color w:val="D9D9D9" w:themeColor="background1" w:themeShade="D9"/>
        </w:rPr>
        <w:t xml:space="preserve"> </w:t>
      </w:r>
    </w:p>
    <w:p w14:paraId="4F059882" w14:textId="77777777" w:rsidR="00E51CDD" w:rsidRPr="00227BE0" w:rsidRDefault="00E51CDD" w:rsidP="00E51CDD">
      <w:pPr>
        <w:widowControl w:val="0"/>
        <w:suppressAutoHyphens/>
        <w:jc w:val="both"/>
        <w:rPr>
          <w:rFonts w:eastAsiaTheme="minorHAnsi"/>
          <w:lang w:val="en-GB" w:eastAsia="en-US"/>
        </w:rPr>
      </w:pPr>
    </w:p>
    <w:p w14:paraId="24B89B61" w14:textId="321E73CA" w:rsidR="00E51CDD" w:rsidRPr="00227BE0" w:rsidRDefault="00E51CDD" w:rsidP="00E51CDD">
      <w:pPr>
        <w:keepNext/>
        <w:keepLines/>
        <w:widowControl w:val="0"/>
        <w:tabs>
          <w:tab w:val="left" w:pos="1985"/>
        </w:tabs>
        <w:suppressAutoHyphens/>
        <w:spacing w:before="200" w:after="120"/>
        <w:ind w:left="1985" w:hanging="1985"/>
        <w:jc w:val="both"/>
      </w:pPr>
      <w:r w:rsidRPr="00227BE0">
        <w:rPr>
          <w:b/>
          <w:bCs/>
          <w:lang w:val="en-GB"/>
        </w:rPr>
        <w:br w:type="page"/>
      </w:r>
      <w:r w:rsidRPr="00227BE0">
        <w:rPr>
          <w:b/>
          <w:bCs/>
        </w:rPr>
        <w:lastRenderedPageBreak/>
        <w:t xml:space="preserve">Table </w:t>
      </w:r>
      <w:r w:rsidRPr="00227BE0">
        <w:fldChar w:fldCharType="begin"/>
      </w:r>
      <w:r w:rsidRPr="00227BE0">
        <w:rPr>
          <w:b/>
          <w:bCs/>
        </w:rPr>
        <w:instrText xml:space="preserve"> STYLEREF 2 \s </w:instrText>
      </w:r>
      <w:r w:rsidRPr="00227BE0">
        <w:fldChar w:fldCharType="separate"/>
      </w:r>
      <w:r w:rsidR="00662F32">
        <w:rPr>
          <w:b/>
          <w:bCs/>
          <w:noProof/>
        </w:rPr>
        <w:t>9.5</w:t>
      </w:r>
      <w:r w:rsidRPr="00227BE0">
        <w:fldChar w:fldCharType="end"/>
      </w:r>
      <w:r w:rsidRPr="00227BE0">
        <w:rPr>
          <w:b/>
          <w:bCs/>
        </w:rPr>
        <w:noBreakHyphen/>
      </w:r>
      <w:r w:rsidRPr="00227BE0">
        <w:fldChar w:fldCharType="begin"/>
      </w:r>
      <w:r w:rsidRPr="00227BE0">
        <w:rPr>
          <w:b/>
          <w:bCs/>
        </w:rPr>
        <w:instrText xml:space="preserve"> SEQ Table \* ARABIC \s 2 </w:instrText>
      </w:r>
      <w:r w:rsidRPr="00227BE0">
        <w:fldChar w:fldCharType="separate"/>
      </w:r>
      <w:r w:rsidR="00662F32">
        <w:rPr>
          <w:b/>
          <w:bCs/>
          <w:noProof/>
        </w:rPr>
        <w:t>16</w:t>
      </w:r>
      <w:r w:rsidRPr="00227BE0">
        <w:fldChar w:fldCharType="end"/>
      </w:r>
      <w:r w:rsidRPr="00227BE0">
        <w:rPr>
          <w:b/>
          <w:bCs/>
        </w:rPr>
        <w:t>:</w:t>
      </w:r>
      <w:r w:rsidRPr="00227BE0">
        <w:rPr>
          <w:b/>
          <w:bCs/>
        </w:rPr>
        <w:tab/>
        <w:t>Aquatic organisms: acceptability of risk (PEC</w:t>
      </w:r>
      <w:r w:rsidRPr="00227BE0">
        <w:rPr>
          <w:b/>
          <w:bCs/>
          <w:vertAlign w:val="subscript"/>
        </w:rPr>
        <w:t>mix</w:t>
      </w:r>
      <w:r w:rsidRPr="00227BE0">
        <w:rPr>
          <w:b/>
          <w:bCs/>
        </w:rPr>
        <w:t xml:space="preserve">/RAC &lt; 1) for the formulation </w:t>
      </w:r>
      <w:r w:rsidRPr="00227BE0">
        <w:rPr>
          <w:b/>
          <w:bCs/>
          <w:iCs/>
        </w:rPr>
        <w:t xml:space="preserve">BAS 736 00 F </w:t>
      </w:r>
      <w:r w:rsidRPr="00227BE0">
        <w:rPr>
          <w:b/>
          <w:bCs/>
        </w:rPr>
        <w:t>for each organism group based on worst-case PEC</w:t>
      </w:r>
      <w:r w:rsidRPr="00227BE0">
        <w:rPr>
          <w:b/>
          <w:bCs/>
          <w:vertAlign w:val="subscript"/>
        </w:rPr>
        <w:t>mix</w:t>
      </w:r>
      <w:r w:rsidRPr="00227BE0">
        <w:rPr>
          <w:b/>
          <w:bCs/>
        </w:rPr>
        <w:t xml:space="preserve"> values following single and twofold application of BAS 736 00 F in ‘spring cereals’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550"/>
        <w:gridCol w:w="2017"/>
        <w:gridCol w:w="2389"/>
        <w:gridCol w:w="391"/>
        <w:gridCol w:w="1998"/>
      </w:tblGrid>
      <w:tr w:rsidR="00E51CDD" w:rsidRPr="00227BE0" w14:paraId="1AA8F4E0" w14:textId="77777777" w:rsidTr="009938D9">
        <w:trPr>
          <w:cantSplit/>
          <w:tblHeader/>
        </w:trPr>
        <w:tc>
          <w:tcPr>
            <w:tcW w:w="1365" w:type="pct"/>
            <w:tcBorders>
              <w:top w:val="single" w:sz="4" w:space="0" w:color="auto"/>
              <w:left w:val="single" w:sz="4" w:space="0" w:color="auto"/>
              <w:bottom w:val="single" w:sz="4" w:space="0" w:color="auto"/>
              <w:right w:val="single" w:sz="4" w:space="0" w:color="auto"/>
            </w:tcBorders>
            <w:vAlign w:val="center"/>
            <w:hideMark/>
          </w:tcPr>
          <w:p w14:paraId="592D9E25" w14:textId="77777777" w:rsidR="00E51CDD" w:rsidRPr="00227BE0" w:rsidRDefault="00E51CDD" w:rsidP="009938D9">
            <w:pPr>
              <w:widowControl w:val="0"/>
              <w:suppressAutoHyphens/>
              <w:rPr>
                <w:b/>
                <w:bCs/>
                <w:sz w:val="20"/>
                <w:szCs w:val="20"/>
              </w:rPr>
            </w:pPr>
            <w:r w:rsidRPr="00227BE0">
              <w:rPr>
                <w:b/>
                <w:bCs/>
                <w:sz w:val="20"/>
                <w:szCs w:val="20"/>
              </w:rPr>
              <w:t>Group</w:t>
            </w:r>
          </w:p>
        </w:tc>
        <w:tc>
          <w:tcPr>
            <w:tcW w:w="1079" w:type="pct"/>
            <w:tcBorders>
              <w:top w:val="single" w:sz="4" w:space="0" w:color="auto"/>
              <w:left w:val="single" w:sz="4" w:space="0" w:color="auto"/>
              <w:bottom w:val="nil"/>
              <w:right w:val="single" w:sz="4" w:space="0" w:color="auto"/>
            </w:tcBorders>
            <w:vAlign w:val="center"/>
          </w:tcPr>
          <w:p w14:paraId="4618DD57" w14:textId="77777777" w:rsidR="00E51CDD" w:rsidRPr="00227BE0" w:rsidRDefault="00E51CDD" w:rsidP="009938D9">
            <w:pPr>
              <w:widowControl w:val="0"/>
              <w:suppressAutoHyphens/>
              <w:rPr>
                <w:noProof/>
                <w:sz w:val="20"/>
                <w:szCs w:val="20"/>
              </w:rPr>
            </w:pPr>
          </w:p>
        </w:tc>
        <w:tc>
          <w:tcPr>
            <w:tcW w:w="1278" w:type="pct"/>
            <w:tcBorders>
              <w:top w:val="single" w:sz="4" w:space="0" w:color="auto"/>
              <w:left w:val="single" w:sz="4" w:space="0" w:color="auto"/>
              <w:bottom w:val="single" w:sz="4" w:space="0" w:color="auto"/>
              <w:right w:val="single" w:sz="4" w:space="0" w:color="auto"/>
            </w:tcBorders>
            <w:vAlign w:val="center"/>
            <w:hideMark/>
          </w:tcPr>
          <w:p w14:paraId="42F01BA9" w14:textId="77777777" w:rsidR="00E51CDD" w:rsidRPr="00227BE0" w:rsidRDefault="00E51CDD" w:rsidP="009938D9">
            <w:pPr>
              <w:widowControl w:val="0"/>
              <w:suppressAutoHyphens/>
              <w:jc w:val="center"/>
              <w:rPr>
                <w:b/>
                <w:bCs/>
                <w:sz w:val="20"/>
                <w:szCs w:val="20"/>
              </w:rPr>
            </w:pPr>
            <w:r w:rsidRPr="00227BE0">
              <w:rPr>
                <w:b/>
                <w:bCs/>
                <w:sz w:val="20"/>
                <w:szCs w:val="20"/>
              </w:rPr>
              <w:t>Fish acute</w:t>
            </w:r>
          </w:p>
        </w:tc>
        <w:tc>
          <w:tcPr>
            <w:tcW w:w="1278" w:type="pct"/>
            <w:gridSpan w:val="2"/>
            <w:tcBorders>
              <w:top w:val="single" w:sz="4" w:space="0" w:color="auto"/>
              <w:left w:val="single" w:sz="4" w:space="0" w:color="auto"/>
              <w:bottom w:val="single" w:sz="4" w:space="0" w:color="auto"/>
              <w:right w:val="single" w:sz="4" w:space="0" w:color="auto"/>
            </w:tcBorders>
            <w:vAlign w:val="center"/>
            <w:hideMark/>
          </w:tcPr>
          <w:p w14:paraId="1062000F" w14:textId="77777777" w:rsidR="00E51CDD" w:rsidRPr="00227BE0" w:rsidRDefault="00E51CDD" w:rsidP="009938D9">
            <w:pPr>
              <w:widowControl w:val="0"/>
              <w:suppressAutoHyphens/>
              <w:jc w:val="center"/>
              <w:rPr>
                <w:b/>
                <w:bCs/>
                <w:sz w:val="20"/>
                <w:szCs w:val="20"/>
              </w:rPr>
            </w:pPr>
            <w:r w:rsidRPr="00227BE0">
              <w:rPr>
                <w:b/>
                <w:bCs/>
                <w:sz w:val="20"/>
                <w:szCs w:val="20"/>
              </w:rPr>
              <w:t>Algae</w:t>
            </w:r>
          </w:p>
        </w:tc>
      </w:tr>
      <w:tr w:rsidR="00E51CDD" w:rsidRPr="00227BE0" w14:paraId="42A3B1FB"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5EC6FC68" w14:textId="77777777" w:rsidR="00E51CDD" w:rsidRPr="00227BE0" w:rsidRDefault="00E51CDD" w:rsidP="009938D9">
            <w:pPr>
              <w:widowControl w:val="0"/>
              <w:suppressAutoHyphens/>
              <w:rPr>
                <w:b/>
                <w:bCs/>
                <w:sz w:val="20"/>
                <w:szCs w:val="20"/>
              </w:rPr>
            </w:pPr>
            <w:r w:rsidRPr="00227BE0">
              <w:rPr>
                <w:b/>
                <w:bCs/>
                <w:sz w:val="20"/>
                <w:szCs w:val="20"/>
              </w:rPr>
              <w:t>Test species</w:t>
            </w:r>
          </w:p>
        </w:tc>
        <w:tc>
          <w:tcPr>
            <w:tcW w:w="1079" w:type="pct"/>
            <w:tcBorders>
              <w:top w:val="nil"/>
              <w:left w:val="single" w:sz="4" w:space="0" w:color="auto"/>
              <w:bottom w:val="nil"/>
              <w:right w:val="single" w:sz="4" w:space="0" w:color="auto"/>
            </w:tcBorders>
            <w:vAlign w:val="center"/>
          </w:tcPr>
          <w:p w14:paraId="12CE031E" w14:textId="77777777" w:rsidR="00E51CDD" w:rsidRPr="00227BE0" w:rsidRDefault="00E51CDD" w:rsidP="009938D9">
            <w:pPr>
              <w:widowControl w:val="0"/>
              <w:suppressAutoHyphens/>
              <w:rPr>
                <w:noProof/>
                <w:sz w:val="20"/>
                <w:szCs w:val="20"/>
              </w:rPr>
            </w:pPr>
          </w:p>
        </w:tc>
        <w:tc>
          <w:tcPr>
            <w:tcW w:w="1278" w:type="pct"/>
            <w:tcBorders>
              <w:top w:val="single" w:sz="4" w:space="0" w:color="auto"/>
              <w:left w:val="single" w:sz="4" w:space="0" w:color="auto"/>
              <w:bottom w:val="single" w:sz="4" w:space="0" w:color="auto"/>
              <w:right w:val="single" w:sz="4" w:space="0" w:color="auto"/>
            </w:tcBorders>
            <w:vAlign w:val="center"/>
            <w:hideMark/>
          </w:tcPr>
          <w:p w14:paraId="045A4781" w14:textId="77777777" w:rsidR="00E51CDD" w:rsidRPr="00227BE0" w:rsidRDefault="00E51CDD" w:rsidP="009938D9">
            <w:pPr>
              <w:widowControl w:val="0"/>
              <w:suppressAutoHyphens/>
              <w:jc w:val="center"/>
              <w:rPr>
                <w:b/>
                <w:bCs/>
                <w:sz w:val="20"/>
                <w:szCs w:val="20"/>
              </w:rPr>
            </w:pPr>
            <w:r w:rsidRPr="00227BE0">
              <w:rPr>
                <w:b/>
                <w:bCs/>
                <w:i/>
                <w:iCs/>
                <w:sz w:val="20"/>
                <w:szCs w:val="20"/>
              </w:rPr>
              <w:t>O. mykiss</w:t>
            </w:r>
          </w:p>
        </w:tc>
        <w:tc>
          <w:tcPr>
            <w:tcW w:w="1278" w:type="pct"/>
            <w:gridSpan w:val="2"/>
            <w:tcBorders>
              <w:top w:val="single" w:sz="4" w:space="0" w:color="auto"/>
              <w:left w:val="single" w:sz="4" w:space="0" w:color="auto"/>
              <w:bottom w:val="single" w:sz="4" w:space="0" w:color="auto"/>
              <w:right w:val="single" w:sz="4" w:space="0" w:color="auto"/>
            </w:tcBorders>
            <w:vAlign w:val="center"/>
            <w:hideMark/>
          </w:tcPr>
          <w:p w14:paraId="1675DCC8" w14:textId="77777777" w:rsidR="00E51CDD" w:rsidRPr="00227BE0" w:rsidRDefault="00E51CDD" w:rsidP="009938D9">
            <w:pPr>
              <w:widowControl w:val="0"/>
              <w:suppressAutoHyphens/>
              <w:jc w:val="center"/>
              <w:rPr>
                <w:b/>
                <w:bCs/>
                <w:sz w:val="20"/>
                <w:szCs w:val="20"/>
              </w:rPr>
            </w:pPr>
            <w:r w:rsidRPr="00227BE0">
              <w:rPr>
                <w:b/>
                <w:bCs/>
                <w:i/>
                <w:iCs/>
                <w:sz w:val="20"/>
                <w:szCs w:val="20"/>
              </w:rPr>
              <w:t>P. subcapitata</w:t>
            </w:r>
          </w:p>
        </w:tc>
      </w:tr>
      <w:tr w:rsidR="00E51CDD" w:rsidRPr="00227BE0" w14:paraId="4D74EF34" w14:textId="77777777" w:rsidTr="009938D9">
        <w:trPr>
          <w:cantSplit/>
        </w:trPr>
        <w:tc>
          <w:tcPr>
            <w:tcW w:w="1365" w:type="pct"/>
            <w:tcBorders>
              <w:top w:val="single" w:sz="4" w:space="0" w:color="auto"/>
              <w:left w:val="single" w:sz="4" w:space="0" w:color="auto"/>
              <w:bottom w:val="nil"/>
              <w:right w:val="single" w:sz="4" w:space="0" w:color="auto"/>
            </w:tcBorders>
            <w:vAlign w:val="center"/>
            <w:hideMark/>
          </w:tcPr>
          <w:p w14:paraId="1CEFD569" w14:textId="77777777" w:rsidR="00E51CDD" w:rsidRPr="00227BE0" w:rsidRDefault="00E51CDD" w:rsidP="009938D9">
            <w:pPr>
              <w:widowControl w:val="0"/>
              <w:suppressAutoHyphens/>
              <w:rPr>
                <w:b/>
                <w:bCs/>
                <w:sz w:val="20"/>
                <w:szCs w:val="20"/>
              </w:rPr>
            </w:pPr>
            <w:r w:rsidRPr="00227BE0">
              <w:rPr>
                <w:b/>
                <w:bCs/>
                <w:sz w:val="20"/>
                <w:szCs w:val="20"/>
              </w:rPr>
              <w:t>Endpoint</w:t>
            </w:r>
          </w:p>
        </w:tc>
        <w:tc>
          <w:tcPr>
            <w:tcW w:w="1079" w:type="pct"/>
            <w:tcBorders>
              <w:top w:val="nil"/>
              <w:left w:val="single" w:sz="4" w:space="0" w:color="auto"/>
              <w:bottom w:val="nil"/>
              <w:right w:val="single" w:sz="4" w:space="0" w:color="auto"/>
            </w:tcBorders>
            <w:vAlign w:val="center"/>
          </w:tcPr>
          <w:p w14:paraId="37DACDD9" w14:textId="77777777" w:rsidR="00E51CDD" w:rsidRPr="00227BE0" w:rsidRDefault="00E51CDD" w:rsidP="009938D9">
            <w:pPr>
              <w:keepNext/>
              <w:keepLines/>
              <w:widowControl w:val="0"/>
              <w:suppressAutoHyphens/>
              <w:rPr>
                <w:noProof/>
                <w:sz w:val="20"/>
                <w:szCs w:val="20"/>
              </w:rPr>
            </w:pPr>
          </w:p>
        </w:tc>
        <w:tc>
          <w:tcPr>
            <w:tcW w:w="1278" w:type="pct"/>
            <w:tcBorders>
              <w:top w:val="single" w:sz="4" w:space="0" w:color="auto"/>
              <w:left w:val="single" w:sz="4" w:space="0" w:color="auto"/>
              <w:bottom w:val="nil"/>
              <w:right w:val="single" w:sz="4" w:space="0" w:color="auto"/>
            </w:tcBorders>
            <w:vAlign w:val="center"/>
            <w:hideMark/>
          </w:tcPr>
          <w:p w14:paraId="6017DA38" w14:textId="77777777" w:rsidR="00E51CDD" w:rsidRPr="00227BE0" w:rsidRDefault="00E51CDD" w:rsidP="009938D9">
            <w:pPr>
              <w:widowControl w:val="0"/>
              <w:suppressAutoHyphens/>
              <w:jc w:val="center"/>
              <w:rPr>
                <w:noProof/>
                <w:sz w:val="20"/>
                <w:szCs w:val="20"/>
              </w:rPr>
            </w:pPr>
            <w:r w:rsidRPr="00227BE0">
              <w:rPr>
                <w:noProof/>
                <w:sz w:val="20"/>
                <w:szCs w:val="20"/>
              </w:rPr>
              <w:t>LC</w:t>
            </w:r>
            <w:r w:rsidRPr="00227BE0">
              <w:rPr>
                <w:noProof/>
                <w:sz w:val="20"/>
                <w:szCs w:val="20"/>
                <w:vertAlign w:val="subscript"/>
              </w:rPr>
              <w:t>50</w:t>
            </w:r>
          </w:p>
        </w:tc>
        <w:tc>
          <w:tcPr>
            <w:tcW w:w="1278" w:type="pct"/>
            <w:gridSpan w:val="2"/>
            <w:tcBorders>
              <w:top w:val="single" w:sz="4" w:space="0" w:color="auto"/>
              <w:left w:val="single" w:sz="4" w:space="0" w:color="auto"/>
              <w:bottom w:val="nil"/>
              <w:right w:val="single" w:sz="4" w:space="0" w:color="auto"/>
            </w:tcBorders>
            <w:vAlign w:val="center"/>
            <w:hideMark/>
          </w:tcPr>
          <w:p w14:paraId="0E1B6EC3" w14:textId="77777777" w:rsidR="00E51CDD" w:rsidRPr="00227BE0" w:rsidRDefault="00E51CDD" w:rsidP="009938D9">
            <w:pPr>
              <w:widowControl w:val="0"/>
              <w:suppressAutoHyphens/>
              <w:jc w:val="center"/>
              <w:rPr>
                <w:noProof/>
                <w:sz w:val="20"/>
                <w:szCs w:val="20"/>
              </w:rPr>
            </w:pPr>
            <w:r w:rsidRPr="00227BE0">
              <w:rPr>
                <w:noProof/>
                <w:sz w:val="20"/>
                <w:szCs w:val="20"/>
              </w:rPr>
              <w:t>E</w:t>
            </w:r>
            <w:r w:rsidRPr="00227BE0">
              <w:rPr>
                <w:noProof/>
                <w:sz w:val="20"/>
                <w:szCs w:val="20"/>
                <w:vertAlign w:val="subscript"/>
              </w:rPr>
              <w:t>r</w:t>
            </w:r>
            <w:r w:rsidRPr="00227BE0">
              <w:rPr>
                <w:noProof/>
                <w:sz w:val="20"/>
                <w:szCs w:val="20"/>
              </w:rPr>
              <w:t>C</w:t>
            </w:r>
            <w:r w:rsidRPr="00227BE0">
              <w:rPr>
                <w:noProof/>
                <w:sz w:val="20"/>
                <w:szCs w:val="20"/>
                <w:vertAlign w:val="subscript"/>
              </w:rPr>
              <w:t>50</w:t>
            </w:r>
          </w:p>
        </w:tc>
      </w:tr>
      <w:tr w:rsidR="00E51CDD" w:rsidRPr="00227BE0" w14:paraId="7187E9E6" w14:textId="77777777" w:rsidTr="009938D9">
        <w:trPr>
          <w:cantSplit/>
        </w:trPr>
        <w:tc>
          <w:tcPr>
            <w:tcW w:w="1365" w:type="pct"/>
            <w:tcBorders>
              <w:top w:val="nil"/>
              <w:left w:val="single" w:sz="4" w:space="0" w:color="auto"/>
              <w:bottom w:val="single" w:sz="4" w:space="0" w:color="auto"/>
              <w:right w:val="single" w:sz="4" w:space="0" w:color="auto"/>
            </w:tcBorders>
            <w:vAlign w:val="center"/>
            <w:hideMark/>
          </w:tcPr>
          <w:p w14:paraId="1A0978DB" w14:textId="77777777" w:rsidR="00E51CDD" w:rsidRPr="00227BE0" w:rsidRDefault="00E51CDD" w:rsidP="009938D9">
            <w:pPr>
              <w:widowControl w:val="0"/>
              <w:suppressAutoHyphens/>
              <w:rPr>
                <w:b/>
                <w:bCs/>
                <w:sz w:val="20"/>
                <w:szCs w:val="20"/>
              </w:rPr>
            </w:pPr>
            <w:r w:rsidRPr="00227BE0">
              <w:rPr>
                <w:b/>
                <w:bCs/>
                <w:sz w:val="20"/>
                <w:szCs w:val="20"/>
              </w:rPr>
              <w:t>(µg/L)</w:t>
            </w:r>
          </w:p>
        </w:tc>
        <w:tc>
          <w:tcPr>
            <w:tcW w:w="1079" w:type="pct"/>
            <w:tcBorders>
              <w:top w:val="nil"/>
              <w:left w:val="single" w:sz="4" w:space="0" w:color="auto"/>
              <w:bottom w:val="nil"/>
              <w:right w:val="single" w:sz="4" w:space="0" w:color="auto"/>
            </w:tcBorders>
            <w:vAlign w:val="center"/>
          </w:tcPr>
          <w:p w14:paraId="786E30AA" w14:textId="77777777" w:rsidR="00E51CDD" w:rsidRPr="00227BE0" w:rsidRDefault="00E51CDD" w:rsidP="009938D9">
            <w:pPr>
              <w:keepNext/>
              <w:keepLines/>
              <w:widowControl w:val="0"/>
              <w:suppressAutoHyphens/>
              <w:rPr>
                <w:noProof/>
                <w:sz w:val="20"/>
                <w:szCs w:val="20"/>
              </w:rPr>
            </w:pPr>
          </w:p>
        </w:tc>
        <w:tc>
          <w:tcPr>
            <w:tcW w:w="1278" w:type="pct"/>
            <w:tcBorders>
              <w:top w:val="nil"/>
              <w:left w:val="single" w:sz="4" w:space="0" w:color="auto"/>
              <w:bottom w:val="single" w:sz="4" w:space="0" w:color="auto"/>
              <w:right w:val="single" w:sz="4" w:space="0" w:color="auto"/>
            </w:tcBorders>
            <w:vAlign w:val="center"/>
          </w:tcPr>
          <w:p w14:paraId="364DD20F" w14:textId="77777777" w:rsidR="00E51CDD" w:rsidRPr="00227BE0" w:rsidRDefault="00E51CDD" w:rsidP="009938D9">
            <w:pPr>
              <w:widowControl w:val="0"/>
              <w:suppressAutoHyphens/>
              <w:jc w:val="center"/>
              <w:rPr>
                <w:noProof/>
                <w:sz w:val="20"/>
                <w:szCs w:val="20"/>
              </w:rPr>
            </w:pPr>
            <w:r w:rsidRPr="00227BE0">
              <w:rPr>
                <w:noProof/>
                <w:sz w:val="20"/>
                <w:szCs w:val="20"/>
              </w:rPr>
              <w:t>328.2</w:t>
            </w:r>
          </w:p>
        </w:tc>
        <w:tc>
          <w:tcPr>
            <w:tcW w:w="1278" w:type="pct"/>
            <w:gridSpan w:val="2"/>
            <w:tcBorders>
              <w:top w:val="nil"/>
              <w:left w:val="single" w:sz="4" w:space="0" w:color="auto"/>
              <w:bottom w:val="single" w:sz="4" w:space="0" w:color="auto"/>
              <w:right w:val="single" w:sz="4" w:space="0" w:color="auto"/>
            </w:tcBorders>
            <w:vAlign w:val="center"/>
          </w:tcPr>
          <w:p w14:paraId="62805D4B" w14:textId="77777777" w:rsidR="00E51CDD" w:rsidRPr="00227BE0" w:rsidRDefault="00E51CDD" w:rsidP="009938D9">
            <w:pPr>
              <w:widowControl w:val="0"/>
              <w:suppressAutoHyphens/>
              <w:jc w:val="center"/>
              <w:rPr>
                <w:noProof/>
                <w:sz w:val="20"/>
                <w:szCs w:val="20"/>
              </w:rPr>
            </w:pPr>
            <w:r w:rsidRPr="00227BE0">
              <w:rPr>
                <w:noProof/>
                <w:sz w:val="20"/>
                <w:szCs w:val="20"/>
              </w:rPr>
              <w:t>485.9</w:t>
            </w:r>
          </w:p>
        </w:tc>
      </w:tr>
      <w:tr w:rsidR="00E51CDD" w:rsidRPr="00227BE0" w14:paraId="354B1E52"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06250CBA" w14:textId="77777777" w:rsidR="00E51CDD" w:rsidRPr="00227BE0" w:rsidRDefault="00E51CDD" w:rsidP="009938D9">
            <w:pPr>
              <w:widowControl w:val="0"/>
              <w:suppressAutoHyphens/>
              <w:rPr>
                <w:b/>
                <w:bCs/>
                <w:sz w:val="20"/>
                <w:szCs w:val="20"/>
              </w:rPr>
            </w:pPr>
            <w:r w:rsidRPr="00227BE0">
              <w:rPr>
                <w:b/>
                <w:bCs/>
                <w:sz w:val="20"/>
                <w:szCs w:val="20"/>
              </w:rPr>
              <w:t>AF</w:t>
            </w:r>
          </w:p>
        </w:tc>
        <w:tc>
          <w:tcPr>
            <w:tcW w:w="1079" w:type="pct"/>
            <w:tcBorders>
              <w:top w:val="nil"/>
              <w:left w:val="single" w:sz="4" w:space="0" w:color="auto"/>
              <w:bottom w:val="nil"/>
              <w:right w:val="single" w:sz="4" w:space="0" w:color="auto"/>
            </w:tcBorders>
            <w:vAlign w:val="center"/>
          </w:tcPr>
          <w:p w14:paraId="5665EBE6" w14:textId="77777777" w:rsidR="00E51CDD" w:rsidRPr="00227BE0" w:rsidRDefault="00E51CDD" w:rsidP="009938D9">
            <w:pPr>
              <w:keepNext/>
              <w:keepLines/>
              <w:widowControl w:val="0"/>
              <w:suppressAutoHyphens/>
              <w:rPr>
                <w:noProof/>
                <w:sz w:val="20"/>
                <w:szCs w:val="20"/>
              </w:rPr>
            </w:pPr>
          </w:p>
        </w:tc>
        <w:tc>
          <w:tcPr>
            <w:tcW w:w="1278" w:type="pct"/>
            <w:tcBorders>
              <w:top w:val="single" w:sz="4" w:space="0" w:color="auto"/>
              <w:left w:val="single" w:sz="4" w:space="0" w:color="auto"/>
              <w:bottom w:val="single" w:sz="4" w:space="0" w:color="auto"/>
              <w:right w:val="single" w:sz="4" w:space="0" w:color="auto"/>
            </w:tcBorders>
            <w:vAlign w:val="center"/>
          </w:tcPr>
          <w:p w14:paraId="1F17B677" w14:textId="77777777" w:rsidR="00E51CDD" w:rsidRPr="00227BE0" w:rsidRDefault="00E51CDD" w:rsidP="009938D9">
            <w:pPr>
              <w:widowControl w:val="0"/>
              <w:suppressAutoHyphens/>
              <w:jc w:val="center"/>
              <w:rPr>
                <w:noProof/>
                <w:sz w:val="20"/>
                <w:szCs w:val="20"/>
              </w:rPr>
            </w:pPr>
            <w:r w:rsidRPr="00227BE0">
              <w:rPr>
                <w:noProof/>
                <w:sz w:val="20"/>
                <w:szCs w:val="20"/>
              </w:rPr>
              <w:t>100</w:t>
            </w:r>
          </w:p>
        </w:tc>
        <w:tc>
          <w:tcPr>
            <w:tcW w:w="1278" w:type="pct"/>
            <w:gridSpan w:val="2"/>
            <w:tcBorders>
              <w:top w:val="single" w:sz="4" w:space="0" w:color="auto"/>
              <w:left w:val="single" w:sz="4" w:space="0" w:color="auto"/>
              <w:bottom w:val="single" w:sz="4" w:space="0" w:color="auto"/>
              <w:right w:val="single" w:sz="4" w:space="0" w:color="auto"/>
            </w:tcBorders>
            <w:vAlign w:val="center"/>
          </w:tcPr>
          <w:p w14:paraId="6BBFB9E3" w14:textId="77777777" w:rsidR="00E51CDD" w:rsidRPr="00227BE0" w:rsidRDefault="00E51CDD" w:rsidP="009938D9">
            <w:pPr>
              <w:widowControl w:val="0"/>
              <w:suppressAutoHyphens/>
              <w:jc w:val="center"/>
              <w:rPr>
                <w:noProof/>
                <w:sz w:val="20"/>
                <w:szCs w:val="20"/>
              </w:rPr>
            </w:pPr>
            <w:r w:rsidRPr="00227BE0">
              <w:rPr>
                <w:noProof/>
                <w:sz w:val="20"/>
                <w:szCs w:val="20"/>
              </w:rPr>
              <w:t>10</w:t>
            </w:r>
          </w:p>
        </w:tc>
      </w:tr>
      <w:tr w:rsidR="00E51CDD" w:rsidRPr="00227BE0" w14:paraId="63083633"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1DD6F626" w14:textId="77777777" w:rsidR="00E51CDD" w:rsidRPr="00227BE0" w:rsidRDefault="00E51CDD" w:rsidP="009938D9">
            <w:pPr>
              <w:widowControl w:val="0"/>
              <w:suppressAutoHyphens/>
              <w:rPr>
                <w:b/>
                <w:bCs/>
                <w:sz w:val="20"/>
                <w:szCs w:val="20"/>
              </w:rPr>
            </w:pPr>
            <w:r w:rsidRPr="00227BE0">
              <w:rPr>
                <w:b/>
                <w:bCs/>
                <w:sz w:val="20"/>
                <w:szCs w:val="20"/>
              </w:rPr>
              <w:t>RAC (µg a.s./L)</w:t>
            </w:r>
          </w:p>
        </w:tc>
        <w:tc>
          <w:tcPr>
            <w:tcW w:w="1079" w:type="pct"/>
            <w:tcBorders>
              <w:top w:val="nil"/>
              <w:left w:val="single" w:sz="4" w:space="0" w:color="auto"/>
              <w:bottom w:val="single" w:sz="4" w:space="0" w:color="auto"/>
              <w:right w:val="single" w:sz="4" w:space="0" w:color="auto"/>
            </w:tcBorders>
            <w:vAlign w:val="center"/>
          </w:tcPr>
          <w:p w14:paraId="5AADD8C9" w14:textId="77777777" w:rsidR="00E51CDD" w:rsidRPr="00227BE0" w:rsidRDefault="00E51CDD" w:rsidP="009938D9">
            <w:pPr>
              <w:keepNext/>
              <w:keepLines/>
              <w:widowControl w:val="0"/>
              <w:suppressAutoHyphens/>
              <w:rPr>
                <w:noProof/>
                <w:sz w:val="20"/>
                <w:szCs w:val="20"/>
              </w:rPr>
            </w:pPr>
          </w:p>
        </w:tc>
        <w:tc>
          <w:tcPr>
            <w:tcW w:w="1278" w:type="pct"/>
            <w:tcBorders>
              <w:top w:val="single" w:sz="4" w:space="0" w:color="auto"/>
              <w:left w:val="single" w:sz="4" w:space="0" w:color="auto"/>
              <w:bottom w:val="single" w:sz="4" w:space="0" w:color="auto"/>
              <w:right w:val="single" w:sz="4" w:space="0" w:color="auto"/>
            </w:tcBorders>
            <w:vAlign w:val="center"/>
          </w:tcPr>
          <w:p w14:paraId="5A626DB6" w14:textId="77777777" w:rsidR="00E51CDD" w:rsidRPr="00227BE0" w:rsidRDefault="00E51CDD" w:rsidP="009938D9">
            <w:pPr>
              <w:widowControl w:val="0"/>
              <w:suppressAutoHyphens/>
              <w:jc w:val="center"/>
              <w:rPr>
                <w:noProof/>
                <w:sz w:val="20"/>
                <w:szCs w:val="20"/>
              </w:rPr>
            </w:pPr>
            <w:r w:rsidRPr="00227BE0">
              <w:rPr>
                <w:noProof/>
                <w:sz w:val="20"/>
                <w:szCs w:val="20"/>
              </w:rPr>
              <w:t>3.282</w:t>
            </w:r>
          </w:p>
        </w:tc>
        <w:tc>
          <w:tcPr>
            <w:tcW w:w="1278" w:type="pct"/>
            <w:gridSpan w:val="2"/>
            <w:tcBorders>
              <w:top w:val="single" w:sz="4" w:space="0" w:color="auto"/>
              <w:left w:val="single" w:sz="4" w:space="0" w:color="auto"/>
              <w:bottom w:val="single" w:sz="4" w:space="0" w:color="auto"/>
              <w:right w:val="single" w:sz="4" w:space="0" w:color="auto"/>
            </w:tcBorders>
            <w:vAlign w:val="center"/>
          </w:tcPr>
          <w:p w14:paraId="0D17BF07" w14:textId="77777777" w:rsidR="00E51CDD" w:rsidRPr="00227BE0" w:rsidRDefault="00E51CDD" w:rsidP="009938D9">
            <w:pPr>
              <w:widowControl w:val="0"/>
              <w:suppressAutoHyphens/>
              <w:jc w:val="center"/>
              <w:rPr>
                <w:noProof/>
                <w:sz w:val="20"/>
                <w:szCs w:val="20"/>
              </w:rPr>
            </w:pPr>
            <w:r w:rsidRPr="00227BE0">
              <w:rPr>
                <w:noProof/>
                <w:sz w:val="20"/>
                <w:szCs w:val="20"/>
              </w:rPr>
              <w:t>48.59</w:t>
            </w:r>
          </w:p>
        </w:tc>
      </w:tr>
      <w:tr w:rsidR="00E51CDD" w:rsidRPr="00227BE0" w14:paraId="7E44F4AE"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4D142761" w14:textId="77777777" w:rsidR="00E51CDD" w:rsidRPr="00227BE0" w:rsidRDefault="00E51CDD" w:rsidP="009938D9">
            <w:pPr>
              <w:widowControl w:val="0"/>
              <w:suppressAutoHyphens/>
              <w:rPr>
                <w:b/>
                <w:sz w:val="20"/>
                <w:szCs w:val="20"/>
                <w:lang w:val="en-GB"/>
              </w:rPr>
            </w:pPr>
            <w:r w:rsidRPr="00227BE0">
              <w:rPr>
                <w:b/>
                <w:sz w:val="20"/>
                <w:szCs w:val="20"/>
                <w:lang w:val="en-GB"/>
              </w:rPr>
              <w:t xml:space="preserve">FOCUS </w:t>
            </w:r>
          </w:p>
          <w:p w14:paraId="1937A0D0" w14:textId="77777777" w:rsidR="00E51CDD" w:rsidRPr="00227BE0" w:rsidRDefault="00E51CDD" w:rsidP="009938D9">
            <w:pPr>
              <w:rPr>
                <w:b/>
                <w:bCs/>
                <w:sz w:val="20"/>
                <w:szCs w:val="20"/>
              </w:rPr>
            </w:pPr>
            <w:r w:rsidRPr="00227BE0">
              <w:rPr>
                <w:b/>
                <w:sz w:val="20"/>
                <w:szCs w:val="20"/>
                <w:lang w:val="en-GB"/>
              </w:rPr>
              <w:t>Scenario</w:t>
            </w:r>
            <w:r w:rsidRPr="00227BE0">
              <w:rPr>
                <w:b/>
                <w:bCs/>
                <w:sz w:val="20"/>
                <w:szCs w:val="20"/>
                <w:lang w:eastAsia="en-US"/>
              </w:rPr>
              <w:t xml:space="preserve"> </w:t>
            </w:r>
          </w:p>
        </w:tc>
        <w:tc>
          <w:tcPr>
            <w:tcW w:w="1079" w:type="pct"/>
            <w:tcBorders>
              <w:top w:val="single" w:sz="4" w:space="0" w:color="auto"/>
              <w:left w:val="single" w:sz="4" w:space="0" w:color="auto"/>
              <w:bottom w:val="single" w:sz="4" w:space="0" w:color="auto"/>
              <w:right w:val="single" w:sz="4" w:space="0" w:color="auto"/>
            </w:tcBorders>
            <w:vAlign w:val="center"/>
            <w:hideMark/>
          </w:tcPr>
          <w:p w14:paraId="0621069C" w14:textId="77777777" w:rsidR="00E51CDD" w:rsidRPr="00227BE0" w:rsidRDefault="00E51CDD" w:rsidP="009938D9">
            <w:pPr>
              <w:widowControl w:val="0"/>
              <w:suppressAutoHyphens/>
              <w:rPr>
                <w:b/>
                <w:bCs/>
                <w:sz w:val="20"/>
                <w:szCs w:val="20"/>
                <w:lang w:val="fr-FR"/>
              </w:rPr>
            </w:pPr>
            <w:r w:rsidRPr="00227BE0">
              <w:rPr>
                <w:b/>
                <w:bCs/>
                <w:sz w:val="20"/>
                <w:szCs w:val="20"/>
                <w:lang w:val="fr-FR"/>
              </w:rPr>
              <w:t xml:space="preserve">PEC </w:t>
            </w:r>
            <w:r w:rsidRPr="00227BE0">
              <w:rPr>
                <w:b/>
                <w:bCs/>
                <w:sz w:val="20"/>
                <w:szCs w:val="20"/>
                <w:vertAlign w:val="subscript"/>
                <w:lang w:val="fr-FR"/>
              </w:rPr>
              <w:t>mix-max</w:t>
            </w:r>
            <w:r w:rsidRPr="00227BE0">
              <w:rPr>
                <w:b/>
                <w:bCs/>
                <w:sz w:val="20"/>
                <w:szCs w:val="20"/>
                <w:lang w:val="fr-FR"/>
              </w:rPr>
              <w:t xml:space="preserve"> (µg/L)</w:t>
            </w:r>
            <w:r w:rsidRPr="00227BE0">
              <w:rPr>
                <w:b/>
                <w:bCs/>
                <w:sz w:val="20"/>
                <w:szCs w:val="20"/>
                <w:vertAlign w:val="superscript"/>
                <w:lang w:val="fr-FR"/>
              </w:rPr>
              <w:t> #</w:t>
            </w:r>
          </w:p>
        </w:tc>
        <w:tc>
          <w:tcPr>
            <w:tcW w:w="2556" w:type="pct"/>
            <w:gridSpan w:val="3"/>
            <w:tcBorders>
              <w:top w:val="single" w:sz="4" w:space="0" w:color="auto"/>
              <w:left w:val="single" w:sz="4" w:space="0" w:color="auto"/>
              <w:bottom w:val="single" w:sz="4" w:space="0" w:color="auto"/>
              <w:right w:val="single" w:sz="4" w:space="0" w:color="auto"/>
            </w:tcBorders>
            <w:vAlign w:val="center"/>
            <w:hideMark/>
          </w:tcPr>
          <w:p w14:paraId="3C07473E" w14:textId="77777777" w:rsidR="00E51CDD" w:rsidRPr="00227BE0" w:rsidRDefault="00E51CDD" w:rsidP="009938D9">
            <w:pPr>
              <w:widowControl w:val="0"/>
              <w:suppressAutoHyphens/>
              <w:jc w:val="center"/>
              <w:rPr>
                <w:b/>
                <w:bCs/>
                <w:sz w:val="20"/>
                <w:szCs w:val="20"/>
              </w:rPr>
            </w:pPr>
            <w:r w:rsidRPr="00227BE0">
              <w:rPr>
                <w:b/>
                <w:bCs/>
                <w:noProof/>
                <w:sz w:val="20"/>
                <w:szCs w:val="20"/>
              </w:rPr>
              <w:t>PEC/RAC (= ETR)</w:t>
            </w:r>
          </w:p>
        </w:tc>
      </w:tr>
      <w:tr w:rsidR="00E51CDD" w:rsidRPr="00227BE0" w14:paraId="48D4B8AA" w14:textId="77777777" w:rsidTr="009938D9">
        <w:trPr>
          <w:cantSplit/>
        </w:trPr>
        <w:tc>
          <w:tcPr>
            <w:tcW w:w="1365" w:type="pct"/>
            <w:tcBorders>
              <w:top w:val="single" w:sz="4" w:space="0" w:color="auto"/>
              <w:left w:val="single" w:sz="4" w:space="0" w:color="auto"/>
              <w:bottom w:val="single" w:sz="4" w:space="0" w:color="auto"/>
              <w:right w:val="nil"/>
            </w:tcBorders>
            <w:vAlign w:val="center"/>
          </w:tcPr>
          <w:p w14:paraId="366BAB47" w14:textId="77777777" w:rsidR="00E51CDD" w:rsidRPr="00227BE0" w:rsidRDefault="00E51CDD" w:rsidP="009938D9">
            <w:pPr>
              <w:widowControl w:val="0"/>
              <w:suppressAutoHyphens/>
              <w:rPr>
                <w:b/>
                <w:sz w:val="20"/>
                <w:szCs w:val="20"/>
                <w:lang w:val="en-GB"/>
              </w:rPr>
            </w:pPr>
            <w:r w:rsidRPr="00227BE0">
              <w:rPr>
                <w:b/>
                <w:sz w:val="20"/>
                <w:szCs w:val="20"/>
                <w:lang w:val="en-GB"/>
              </w:rPr>
              <w:t>Step 1</w:t>
            </w:r>
          </w:p>
        </w:tc>
        <w:tc>
          <w:tcPr>
            <w:tcW w:w="1079" w:type="pct"/>
            <w:tcBorders>
              <w:top w:val="single" w:sz="4" w:space="0" w:color="auto"/>
              <w:left w:val="nil"/>
              <w:bottom w:val="single" w:sz="4" w:space="0" w:color="auto"/>
              <w:right w:val="nil"/>
            </w:tcBorders>
            <w:vAlign w:val="center"/>
          </w:tcPr>
          <w:p w14:paraId="5B968434" w14:textId="77777777" w:rsidR="00E51CDD" w:rsidRPr="00227BE0" w:rsidRDefault="00E51CDD" w:rsidP="009938D9">
            <w:pPr>
              <w:widowControl w:val="0"/>
              <w:suppressAutoHyphens/>
              <w:rPr>
                <w:b/>
                <w:bCs/>
                <w:sz w:val="20"/>
                <w:szCs w:val="20"/>
              </w:rPr>
            </w:pPr>
          </w:p>
        </w:tc>
        <w:tc>
          <w:tcPr>
            <w:tcW w:w="1487" w:type="pct"/>
            <w:gridSpan w:val="2"/>
            <w:tcBorders>
              <w:top w:val="single" w:sz="4" w:space="0" w:color="auto"/>
              <w:left w:val="nil"/>
              <w:bottom w:val="single" w:sz="4" w:space="0" w:color="auto"/>
              <w:right w:val="nil"/>
            </w:tcBorders>
          </w:tcPr>
          <w:p w14:paraId="385AAEAF" w14:textId="77777777" w:rsidR="00E51CDD" w:rsidRPr="00227BE0" w:rsidRDefault="00E51CDD" w:rsidP="009938D9">
            <w:pPr>
              <w:keepNext/>
              <w:keepLines/>
              <w:widowControl w:val="0"/>
              <w:suppressAutoHyphens/>
              <w:jc w:val="center"/>
              <w:rPr>
                <w:b/>
                <w:bCs/>
                <w:noProof/>
                <w:sz w:val="20"/>
                <w:szCs w:val="20"/>
              </w:rPr>
            </w:pPr>
          </w:p>
        </w:tc>
        <w:tc>
          <w:tcPr>
            <w:tcW w:w="1069" w:type="pct"/>
            <w:tcBorders>
              <w:top w:val="single" w:sz="4" w:space="0" w:color="auto"/>
              <w:left w:val="nil"/>
              <w:bottom w:val="single" w:sz="4" w:space="0" w:color="auto"/>
              <w:right w:val="single" w:sz="4" w:space="0" w:color="auto"/>
            </w:tcBorders>
            <w:vAlign w:val="center"/>
          </w:tcPr>
          <w:p w14:paraId="09EC49B7" w14:textId="77777777" w:rsidR="00E51CDD" w:rsidRPr="00227BE0" w:rsidRDefault="00E51CDD" w:rsidP="009938D9">
            <w:pPr>
              <w:keepNext/>
              <w:keepLines/>
              <w:widowControl w:val="0"/>
              <w:suppressAutoHyphens/>
              <w:rPr>
                <w:b/>
                <w:bCs/>
                <w:noProof/>
                <w:sz w:val="20"/>
                <w:szCs w:val="20"/>
              </w:rPr>
            </w:pPr>
          </w:p>
        </w:tc>
      </w:tr>
      <w:tr w:rsidR="00E51CDD" w:rsidRPr="00227BE0" w14:paraId="27F15437"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23BD1AAA" w14:textId="77777777" w:rsidR="00E51CDD" w:rsidRPr="00227BE0" w:rsidRDefault="00E51CDD" w:rsidP="009938D9">
            <w:pPr>
              <w:widowControl w:val="0"/>
              <w:suppressAutoHyphens/>
              <w:rPr>
                <w:noProof/>
                <w:sz w:val="20"/>
                <w:szCs w:val="20"/>
              </w:rPr>
            </w:pPr>
          </w:p>
        </w:tc>
        <w:tc>
          <w:tcPr>
            <w:tcW w:w="1079" w:type="pct"/>
            <w:tcBorders>
              <w:top w:val="single" w:sz="4" w:space="0" w:color="auto"/>
              <w:left w:val="single" w:sz="4" w:space="0" w:color="auto"/>
              <w:bottom w:val="single" w:sz="4" w:space="0" w:color="auto"/>
              <w:right w:val="single" w:sz="4" w:space="0" w:color="auto"/>
            </w:tcBorders>
            <w:vAlign w:val="center"/>
            <w:hideMark/>
          </w:tcPr>
          <w:p w14:paraId="28B4BB7C" w14:textId="77777777" w:rsidR="00E51CDD" w:rsidRPr="00227BE0" w:rsidRDefault="00E51CDD" w:rsidP="009938D9">
            <w:pPr>
              <w:widowControl w:val="0"/>
              <w:suppressAutoHyphens/>
              <w:rPr>
                <w:noProof/>
                <w:sz w:val="20"/>
                <w:szCs w:val="20"/>
              </w:rPr>
            </w:pPr>
            <w:r w:rsidRPr="00227BE0">
              <w:rPr>
                <w:noProof/>
                <w:sz w:val="20"/>
                <w:szCs w:val="20"/>
              </w:rPr>
              <w:t>105.213</w:t>
            </w:r>
          </w:p>
        </w:tc>
        <w:tc>
          <w:tcPr>
            <w:tcW w:w="1278" w:type="pct"/>
            <w:tcBorders>
              <w:top w:val="single" w:sz="4" w:space="0" w:color="auto"/>
              <w:left w:val="single" w:sz="4" w:space="0" w:color="auto"/>
              <w:bottom w:val="single" w:sz="4" w:space="0" w:color="auto"/>
              <w:right w:val="single" w:sz="4" w:space="0" w:color="auto"/>
            </w:tcBorders>
            <w:vAlign w:val="center"/>
          </w:tcPr>
          <w:p w14:paraId="388941B7" w14:textId="77777777" w:rsidR="00E51CDD" w:rsidRPr="00227BE0" w:rsidRDefault="00E51CDD" w:rsidP="009938D9">
            <w:pPr>
              <w:widowControl w:val="0"/>
              <w:suppressAutoHyphens/>
              <w:jc w:val="center"/>
              <w:rPr>
                <w:b/>
                <w:noProof/>
                <w:sz w:val="20"/>
                <w:szCs w:val="20"/>
              </w:rPr>
            </w:pPr>
            <w:r w:rsidRPr="00227BE0">
              <w:rPr>
                <w:b/>
                <w:noProof/>
                <w:sz w:val="20"/>
                <w:szCs w:val="20"/>
              </w:rPr>
              <w:t>32</w:t>
            </w:r>
          </w:p>
        </w:tc>
        <w:tc>
          <w:tcPr>
            <w:tcW w:w="1278" w:type="pct"/>
            <w:gridSpan w:val="2"/>
            <w:tcBorders>
              <w:top w:val="single" w:sz="4" w:space="0" w:color="auto"/>
              <w:left w:val="single" w:sz="4" w:space="0" w:color="auto"/>
              <w:bottom w:val="single" w:sz="4" w:space="0" w:color="auto"/>
              <w:right w:val="single" w:sz="4" w:space="0" w:color="auto"/>
            </w:tcBorders>
            <w:vAlign w:val="center"/>
          </w:tcPr>
          <w:p w14:paraId="04AACFC4" w14:textId="77777777" w:rsidR="00E51CDD" w:rsidRPr="00227BE0" w:rsidRDefault="00E51CDD" w:rsidP="009938D9">
            <w:pPr>
              <w:widowControl w:val="0"/>
              <w:suppressAutoHyphens/>
              <w:jc w:val="center"/>
              <w:rPr>
                <w:b/>
                <w:noProof/>
                <w:sz w:val="20"/>
                <w:szCs w:val="20"/>
              </w:rPr>
            </w:pPr>
            <w:r w:rsidRPr="00227BE0">
              <w:rPr>
                <w:b/>
                <w:noProof/>
                <w:sz w:val="20"/>
                <w:szCs w:val="20"/>
              </w:rPr>
              <w:t>2.2</w:t>
            </w:r>
          </w:p>
        </w:tc>
      </w:tr>
      <w:tr w:rsidR="00E51CDD" w:rsidRPr="00227BE0" w14:paraId="5CEE5CD4" w14:textId="77777777" w:rsidTr="009938D9">
        <w:trPr>
          <w:cantSplit/>
        </w:trPr>
        <w:tc>
          <w:tcPr>
            <w:tcW w:w="1365" w:type="pct"/>
            <w:tcBorders>
              <w:top w:val="single" w:sz="4" w:space="0" w:color="auto"/>
              <w:left w:val="single" w:sz="4" w:space="0" w:color="auto"/>
              <w:bottom w:val="single" w:sz="4" w:space="0" w:color="auto"/>
              <w:right w:val="nil"/>
            </w:tcBorders>
            <w:vAlign w:val="center"/>
          </w:tcPr>
          <w:p w14:paraId="70389CCA" w14:textId="77777777" w:rsidR="00E51CDD" w:rsidRPr="00227BE0" w:rsidRDefault="00E51CDD" w:rsidP="009938D9">
            <w:pPr>
              <w:widowControl w:val="0"/>
              <w:suppressAutoHyphens/>
              <w:rPr>
                <w:b/>
                <w:sz w:val="20"/>
                <w:szCs w:val="20"/>
                <w:lang w:val="en-GB"/>
              </w:rPr>
            </w:pPr>
            <w:r w:rsidRPr="00227BE0">
              <w:rPr>
                <w:b/>
                <w:sz w:val="20"/>
                <w:szCs w:val="20"/>
                <w:lang w:val="en-GB"/>
              </w:rPr>
              <w:t>Step 2</w:t>
            </w:r>
          </w:p>
        </w:tc>
        <w:tc>
          <w:tcPr>
            <w:tcW w:w="1079" w:type="pct"/>
            <w:tcBorders>
              <w:top w:val="single" w:sz="4" w:space="0" w:color="auto"/>
              <w:left w:val="nil"/>
              <w:bottom w:val="single" w:sz="4" w:space="0" w:color="auto"/>
              <w:right w:val="nil"/>
            </w:tcBorders>
            <w:vAlign w:val="center"/>
          </w:tcPr>
          <w:p w14:paraId="46E3F748" w14:textId="77777777" w:rsidR="00E51CDD" w:rsidRPr="00227BE0" w:rsidRDefault="00E51CDD" w:rsidP="009938D9">
            <w:pPr>
              <w:widowControl w:val="0"/>
              <w:suppressAutoHyphens/>
              <w:rPr>
                <w:b/>
                <w:bCs/>
                <w:sz w:val="20"/>
                <w:szCs w:val="20"/>
              </w:rPr>
            </w:pPr>
          </w:p>
        </w:tc>
        <w:tc>
          <w:tcPr>
            <w:tcW w:w="1487" w:type="pct"/>
            <w:gridSpan w:val="2"/>
            <w:tcBorders>
              <w:top w:val="single" w:sz="4" w:space="0" w:color="auto"/>
              <w:left w:val="nil"/>
              <w:bottom w:val="single" w:sz="4" w:space="0" w:color="auto"/>
              <w:right w:val="nil"/>
            </w:tcBorders>
          </w:tcPr>
          <w:p w14:paraId="32924F69" w14:textId="77777777" w:rsidR="00E51CDD" w:rsidRPr="00227BE0" w:rsidRDefault="00E51CDD" w:rsidP="009938D9">
            <w:pPr>
              <w:keepNext/>
              <w:keepLines/>
              <w:widowControl w:val="0"/>
              <w:suppressAutoHyphens/>
              <w:jc w:val="center"/>
              <w:rPr>
                <w:b/>
                <w:bCs/>
                <w:noProof/>
                <w:sz w:val="20"/>
                <w:szCs w:val="20"/>
              </w:rPr>
            </w:pPr>
          </w:p>
        </w:tc>
        <w:tc>
          <w:tcPr>
            <w:tcW w:w="1069" w:type="pct"/>
            <w:tcBorders>
              <w:top w:val="single" w:sz="4" w:space="0" w:color="auto"/>
              <w:left w:val="nil"/>
              <w:bottom w:val="single" w:sz="4" w:space="0" w:color="auto"/>
              <w:right w:val="single" w:sz="4" w:space="0" w:color="auto"/>
            </w:tcBorders>
            <w:vAlign w:val="center"/>
          </w:tcPr>
          <w:p w14:paraId="31FD4936" w14:textId="77777777" w:rsidR="00E51CDD" w:rsidRPr="00227BE0" w:rsidRDefault="00E51CDD" w:rsidP="009938D9">
            <w:pPr>
              <w:keepNext/>
              <w:keepLines/>
              <w:widowControl w:val="0"/>
              <w:suppressAutoHyphens/>
              <w:rPr>
                <w:b/>
                <w:bCs/>
                <w:noProof/>
                <w:sz w:val="20"/>
                <w:szCs w:val="20"/>
              </w:rPr>
            </w:pPr>
          </w:p>
        </w:tc>
      </w:tr>
      <w:tr w:rsidR="00E51CDD" w:rsidRPr="00227BE0" w14:paraId="05062952"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3F6C2468" w14:textId="77777777" w:rsidR="00E51CDD" w:rsidRPr="00227BE0" w:rsidRDefault="00E51CDD" w:rsidP="009938D9">
            <w:pPr>
              <w:widowControl w:val="0"/>
              <w:suppressAutoHyphens/>
              <w:rPr>
                <w:noProof/>
                <w:sz w:val="20"/>
                <w:szCs w:val="20"/>
                <w:vertAlign w:val="superscript"/>
              </w:rPr>
            </w:pPr>
            <w:r w:rsidRPr="00227BE0">
              <w:rPr>
                <w:sz w:val="20"/>
                <w:szCs w:val="20"/>
              </w:rPr>
              <w:t>N-Europe</w:t>
            </w:r>
          </w:p>
        </w:tc>
        <w:tc>
          <w:tcPr>
            <w:tcW w:w="1079" w:type="pct"/>
            <w:tcBorders>
              <w:top w:val="single" w:sz="4" w:space="0" w:color="auto"/>
              <w:left w:val="single" w:sz="4" w:space="0" w:color="auto"/>
              <w:bottom w:val="single" w:sz="4" w:space="0" w:color="auto"/>
              <w:right w:val="single" w:sz="4" w:space="0" w:color="auto"/>
            </w:tcBorders>
            <w:vAlign w:val="center"/>
          </w:tcPr>
          <w:p w14:paraId="32BD7922" w14:textId="77777777" w:rsidR="00E51CDD" w:rsidRPr="00227BE0" w:rsidRDefault="00E51CDD" w:rsidP="009938D9">
            <w:pPr>
              <w:widowControl w:val="0"/>
              <w:suppressAutoHyphens/>
              <w:rPr>
                <w:noProof/>
                <w:sz w:val="20"/>
                <w:szCs w:val="20"/>
              </w:rPr>
            </w:pPr>
            <w:r w:rsidRPr="00227BE0">
              <w:rPr>
                <w:noProof/>
                <w:sz w:val="20"/>
                <w:szCs w:val="20"/>
              </w:rPr>
              <w:t>17.613</w:t>
            </w:r>
          </w:p>
        </w:tc>
        <w:tc>
          <w:tcPr>
            <w:tcW w:w="1278" w:type="pct"/>
            <w:tcBorders>
              <w:top w:val="single" w:sz="4" w:space="0" w:color="auto"/>
              <w:left w:val="single" w:sz="4" w:space="0" w:color="auto"/>
              <w:bottom w:val="single" w:sz="4" w:space="0" w:color="auto"/>
              <w:right w:val="single" w:sz="4" w:space="0" w:color="auto"/>
            </w:tcBorders>
            <w:vAlign w:val="center"/>
          </w:tcPr>
          <w:p w14:paraId="29DCCE8A" w14:textId="77777777" w:rsidR="00E51CDD" w:rsidRPr="00227BE0" w:rsidRDefault="00E51CDD" w:rsidP="009938D9">
            <w:pPr>
              <w:widowControl w:val="0"/>
              <w:suppressAutoHyphens/>
              <w:jc w:val="center"/>
              <w:rPr>
                <w:b/>
                <w:noProof/>
                <w:sz w:val="20"/>
                <w:szCs w:val="20"/>
              </w:rPr>
            </w:pPr>
            <w:r w:rsidRPr="00227BE0">
              <w:rPr>
                <w:b/>
                <w:noProof/>
                <w:sz w:val="20"/>
                <w:szCs w:val="20"/>
              </w:rPr>
              <w:t>5.4</w:t>
            </w:r>
          </w:p>
        </w:tc>
        <w:tc>
          <w:tcPr>
            <w:tcW w:w="1278" w:type="pct"/>
            <w:gridSpan w:val="2"/>
            <w:tcBorders>
              <w:top w:val="single" w:sz="4" w:space="0" w:color="auto"/>
              <w:left w:val="single" w:sz="4" w:space="0" w:color="auto"/>
              <w:bottom w:val="single" w:sz="4" w:space="0" w:color="auto"/>
              <w:right w:val="single" w:sz="4" w:space="0" w:color="auto"/>
            </w:tcBorders>
            <w:vAlign w:val="center"/>
          </w:tcPr>
          <w:p w14:paraId="16EC5F06" w14:textId="77777777" w:rsidR="00E51CDD" w:rsidRPr="00227BE0" w:rsidRDefault="00E51CDD" w:rsidP="009938D9">
            <w:pPr>
              <w:widowControl w:val="0"/>
              <w:suppressAutoHyphens/>
              <w:jc w:val="center"/>
              <w:rPr>
                <w:noProof/>
                <w:sz w:val="20"/>
                <w:szCs w:val="20"/>
              </w:rPr>
            </w:pPr>
            <w:r w:rsidRPr="00227BE0">
              <w:rPr>
                <w:noProof/>
                <w:sz w:val="20"/>
                <w:szCs w:val="20"/>
              </w:rPr>
              <w:t>0.4</w:t>
            </w:r>
          </w:p>
        </w:tc>
      </w:tr>
      <w:tr w:rsidR="00E51CDD" w:rsidRPr="00227BE0" w14:paraId="6EC207B9" w14:textId="77777777" w:rsidTr="009938D9">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586BF4D9" w14:textId="77777777" w:rsidR="00E51CDD" w:rsidRPr="00227BE0" w:rsidRDefault="00E51CDD" w:rsidP="009938D9">
            <w:pPr>
              <w:widowControl w:val="0"/>
              <w:suppressAutoHyphens/>
              <w:rPr>
                <w:noProof/>
                <w:sz w:val="20"/>
                <w:szCs w:val="20"/>
                <w:vertAlign w:val="superscript"/>
              </w:rPr>
            </w:pPr>
            <w:r w:rsidRPr="00227BE0">
              <w:rPr>
                <w:sz w:val="20"/>
                <w:szCs w:val="20"/>
              </w:rPr>
              <w:t>S-Europe</w:t>
            </w:r>
          </w:p>
        </w:tc>
        <w:tc>
          <w:tcPr>
            <w:tcW w:w="1079" w:type="pct"/>
            <w:tcBorders>
              <w:top w:val="single" w:sz="4" w:space="0" w:color="auto"/>
              <w:left w:val="single" w:sz="4" w:space="0" w:color="auto"/>
              <w:bottom w:val="single" w:sz="4" w:space="0" w:color="auto"/>
              <w:right w:val="single" w:sz="4" w:space="0" w:color="auto"/>
            </w:tcBorders>
            <w:vAlign w:val="center"/>
          </w:tcPr>
          <w:p w14:paraId="409CFC4D" w14:textId="77777777" w:rsidR="00E51CDD" w:rsidRPr="00227BE0" w:rsidRDefault="00E51CDD" w:rsidP="009938D9">
            <w:pPr>
              <w:widowControl w:val="0"/>
              <w:suppressAutoHyphens/>
              <w:rPr>
                <w:noProof/>
                <w:sz w:val="20"/>
                <w:szCs w:val="20"/>
              </w:rPr>
            </w:pPr>
            <w:r w:rsidRPr="00227BE0">
              <w:rPr>
                <w:noProof/>
                <w:sz w:val="20"/>
                <w:szCs w:val="20"/>
              </w:rPr>
              <w:t>32.479</w:t>
            </w:r>
          </w:p>
        </w:tc>
        <w:tc>
          <w:tcPr>
            <w:tcW w:w="1278" w:type="pct"/>
            <w:tcBorders>
              <w:top w:val="single" w:sz="4" w:space="0" w:color="auto"/>
              <w:left w:val="single" w:sz="4" w:space="0" w:color="auto"/>
              <w:bottom w:val="single" w:sz="4" w:space="0" w:color="auto"/>
              <w:right w:val="single" w:sz="4" w:space="0" w:color="auto"/>
            </w:tcBorders>
            <w:vAlign w:val="center"/>
          </w:tcPr>
          <w:p w14:paraId="6187FD26" w14:textId="77777777" w:rsidR="00E51CDD" w:rsidRPr="00227BE0" w:rsidRDefault="00E51CDD" w:rsidP="009938D9">
            <w:pPr>
              <w:widowControl w:val="0"/>
              <w:suppressAutoHyphens/>
              <w:jc w:val="center"/>
              <w:rPr>
                <w:b/>
                <w:noProof/>
                <w:sz w:val="20"/>
                <w:szCs w:val="20"/>
              </w:rPr>
            </w:pPr>
            <w:r w:rsidRPr="00227BE0">
              <w:rPr>
                <w:b/>
                <w:noProof/>
                <w:sz w:val="20"/>
                <w:szCs w:val="20"/>
              </w:rPr>
              <w:t>9.9</w:t>
            </w:r>
          </w:p>
        </w:tc>
        <w:tc>
          <w:tcPr>
            <w:tcW w:w="1278" w:type="pct"/>
            <w:gridSpan w:val="2"/>
            <w:tcBorders>
              <w:top w:val="single" w:sz="4" w:space="0" w:color="auto"/>
              <w:left w:val="single" w:sz="4" w:space="0" w:color="auto"/>
              <w:bottom w:val="single" w:sz="4" w:space="0" w:color="auto"/>
              <w:right w:val="single" w:sz="4" w:space="0" w:color="auto"/>
            </w:tcBorders>
            <w:vAlign w:val="center"/>
          </w:tcPr>
          <w:p w14:paraId="39077937" w14:textId="77777777" w:rsidR="00E51CDD" w:rsidRPr="00227BE0" w:rsidRDefault="00E51CDD" w:rsidP="009938D9">
            <w:pPr>
              <w:widowControl w:val="0"/>
              <w:suppressAutoHyphens/>
              <w:jc w:val="center"/>
              <w:rPr>
                <w:noProof/>
                <w:sz w:val="20"/>
                <w:szCs w:val="20"/>
              </w:rPr>
            </w:pPr>
            <w:r w:rsidRPr="00227BE0">
              <w:rPr>
                <w:noProof/>
                <w:sz w:val="20"/>
                <w:szCs w:val="20"/>
              </w:rPr>
              <w:t>0.7</w:t>
            </w:r>
          </w:p>
        </w:tc>
      </w:tr>
      <w:tr w:rsidR="00E51CDD" w:rsidRPr="00227BE0" w14:paraId="3C9CA5EE" w14:textId="77777777" w:rsidTr="009938D9">
        <w:trPr>
          <w:cantSplit/>
        </w:trPr>
        <w:tc>
          <w:tcPr>
            <w:tcW w:w="1365" w:type="pct"/>
            <w:tcBorders>
              <w:top w:val="single" w:sz="4" w:space="0" w:color="auto"/>
              <w:left w:val="single" w:sz="4" w:space="0" w:color="auto"/>
              <w:bottom w:val="single" w:sz="4" w:space="0" w:color="auto"/>
              <w:right w:val="nil"/>
            </w:tcBorders>
            <w:vAlign w:val="center"/>
          </w:tcPr>
          <w:p w14:paraId="24AF2EC2" w14:textId="77777777" w:rsidR="00E51CDD" w:rsidRPr="00227BE0" w:rsidRDefault="00E51CDD" w:rsidP="009938D9">
            <w:pPr>
              <w:widowControl w:val="0"/>
              <w:suppressAutoHyphens/>
              <w:rPr>
                <w:b/>
                <w:sz w:val="20"/>
                <w:szCs w:val="20"/>
                <w:lang w:val="en-GB"/>
              </w:rPr>
            </w:pPr>
            <w:r w:rsidRPr="00227BE0">
              <w:rPr>
                <w:b/>
                <w:sz w:val="20"/>
                <w:szCs w:val="20"/>
                <w:lang w:val="en-GB"/>
              </w:rPr>
              <w:t>Step 3</w:t>
            </w:r>
          </w:p>
        </w:tc>
        <w:tc>
          <w:tcPr>
            <w:tcW w:w="1079" w:type="pct"/>
            <w:tcBorders>
              <w:top w:val="single" w:sz="4" w:space="0" w:color="auto"/>
              <w:left w:val="nil"/>
              <w:bottom w:val="single" w:sz="4" w:space="0" w:color="auto"/>
              <w:right w:val="nil"/>
            </w:tcBorders>
            <w:vAlign w:val="center"/>
          </w:tcPr>
          <w:p w14:paraId="6FA18757" w14:textId="77777777" w:rsidR="00E51CDD" w:rsidRPr="00227BE0" w:rsidRDefault="00E51CDD" w:rsidP="009938D9">
            <w:pPr>
              <w:widowControl w:val="0"/>
              <w:suppressAutoHyphens/>
              <w:rPr>
                <w:b/>
                <w:bCs/>
                <w:sz w:val="20"/>
                <w:szCs w:val="20"/>
              </w:rPr>
            </w:pPr>
          </w:p>
        </w:tc>
        <w:tc>
          <w:tcPr>
            <w:tcW w:w="1487" w:type="pct"/>
            <w:gridSpan w:val="2"/>
            <w:tcBorders>
              <w:top w:val="single" w:sz="4" w:space="0" w:color="auto"/>
              <w:left w:val="nil"/>
              <w:bottom w:val="single" w:sz="4" w:space="0" w:color="auto"/>
              <w:right w:val="nil"/>
            </w:tcBorders>
          </w:tcPr>
          <w:p w14:paraId="22D1FDA8" w14:textId="77777777" w:rsidR="00E51CDD" w:rsidRPr="00227BE0" w:rsidRDefault="00E51CDD" w:rsidP="009938D9">
            <w:pPr>
              <w:keepNext/>
              <w:keepLines/>
              <w:widowControl w:val="0"/>
              <w:suppressAutoHyphens/>
              <w:jc w:val="center"/>
              <w:rPr>
                <w:b/>
                <w:bCs/>
                <w:noProof/>
                <w:sz w:val="20"/>
                <w:szCs w:val="20"/>
              </w:rPr>
            </w:pPr>
          </w:p>
        </w:tc>
        <w:tc>
          <w:tcPr>
            <w:tcW w:w="1069" w:type="pct"/>
            <w:tcBorders>
              <w:top w:val="single" w:sz="4" w:space="0" w:color="auto"/>
              <w:left w:val="nil"/>
              <w:bottom w:val="single" w:sz="4" w:space="0" w:color="auto"/>
              <w:right w:val="single" w:sz="4" w:space="0" w:color="auto"/>
            </w:tcBorders>
            <w:vAlign w:val="center"/>
          </w:tcPr>
          <w:p w14:paraId="6CFCE2FB" w14:textId="77777777" w:rsidR="00E51CDD" w:rsidRPr="00227BE0" w:rsidRDefault="00E51CDD" w:rsidP="009938D9">
            <w:pPr>
              <w:keepNext/>
              <w:keepLines/>
              <w:widowControl w:val="0"/>
              <w:suppressAutoHyphens/>
              <w:rPr>
                <w:b/>
                <w:bCs/>
                <w:noProof/>
                <w:sz w:val="20"/>
                <w:szCs w:val="20"/>
              </w:rPr>
            </w:pPr>
          </w:p>
        </w:tc>
      </w:tr>
      <w:tr w:rsidR="00E51CDD" w:rsidRPr="00227BE0" w14:paraId="01973933" w14:textId="77777777" w:rsidTr="009371A8">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609660EB" w14:textId="77777777" w:rsidR="00E51CDD" w:rsidRPr="00227BE0" w:rsidRDefault="00E51CDD" w:rsidP="009938D9">
            <w:pPr>
              <w:widowControl w:val="0"/>
              <w:suppressAutoHyphens/>
              <w:rPr>
                <w:noProof/>
                <w:sz w:val="20"/>
                <w:szCs w:val="20"/>
                <w:vertAlign w:val="superscript"/>
              </w:rPr>
            </w:pPr>
            <w:r w:rsidRPr="00227BE0">
              <w:rPr>
                <w:sz w:val="20"/>
                <w:szCs w:val="20"/>
              </w:rPr>
              <w:t>D3 ditch</w:t>
            </w:r>
          </w:p>
        </w:tc>
        <w:tc>
          <w:tcPr>
            <w:tcW w:w="1079" w:type="pct"/>
            <w:tcBorders>
              <w:top w:val="single" w:sz="4" w:space="0" w:color="auto"/>
              <w:left w:val="single" w:sz="4" w:space="0" w:color="auto"/>
              <w:bottom w:val="single" w:sz="4" w:space="0" w:color="auto"/>
              <w:right w:val="single" w:sz="4" w:space="0" w:color="auto"/>
            </w:tcBorders>
            <w:vAlign w:val="bottom"/>
          </w:tcPr>
          <w:p w14:paraId="2BD9A5D1" w14:textId="77777777" w:rsidR="00E51CDD" w:rsidRPr="009371A8" w:rsidRDefault="00E51CDD" w:rsidP="009938D9">
            <w:pPr>
              <w:widowControl w:val="0"/>
              <w:suppressAutoHyphens/>
              <w:rPr>
                <w:strike/>
                <w:sz w:val="20"/>
                <w:szCs w:val="20"/>
                <w:highlight w:val="yellow"/>
              </w:rPr>
            </w:pPr>
            <w:r w:rsidRPr="009371A8">
              <w:rPr>
                <w:strike/>
                <w:sz w:val="20"/>
                <w:szCs w:val="20"/>
                <w:highlight w:val="yellow"/>
              </w:rPr>
              <w:t>1.585</w:t>
            </w:r>
          </w:p>
          <w:p w14:paraId="0410FFD3" w14:textId="09E9271C" w:rsidR="009371A8" w:rsidRPr="009371A8" w:rsidRDefault="009371A8" w:rsidP="009938D9">
            <w:pPr>
              <w:widowControl w:val="0"/>
              <w:suppressAutoHyphens/>
              <w:rPr>
                <w:noProof/>
                <w:sz w:val="20"/>
                <w:szCs w:val="20"/>
                <w:highlight w:val="yellow"/>
              </w:rPr>
            </w:pPr>
            <w:r w:rsidRPr="009371A8">
              <w:rPr>
                <w:sz w:val="20"/>
                <w:szCs w:val="20"/>
                <w:highlight w:val="yellow"/>
              </w:rPr>
              <w:t>1.584</w:t>
            </w:r>
          </w:p>
        </w:tc>
        <w:tc>
          <w:tcPr>
            <w:tcW w:w="1278" w:type="pct"/>
            <w:tcBorders>
              <w:top w:val="single" w:sz="4" w:space="0" w:color="auto"/>
              <w:left w:val="single" w:sz="4" w:space="0" w:color="auto"/>
              <w:bottom w:val="single" w:sz="4" w:space="0" w:color="auto"/>
              <w:right w:val="single" w:sz="4" w:space="0" w:color="auto"/>
            </w:tcBorders>
            <w:vAlign w:val="center"/>
          </w:tcPr>
          <w:p w14:paraId="1B32FD13" w14:textId="77777777" w:rsidR="00E51CDD" w:rsidRPr="00227BE0" w:rsidRDefault="00E51CDD" w:rsidP="009371A8">
            <w:pPr>
              <w:widowControl w:val="0"/>
              <w:suppressAutoHyphens/>
              <w:jc w:val="center"/>
              <w:rPr>
                <w:b/>
                <w:noProof/>
                <w:sz w:val="20"/>
                <w:szCs w:val="20"/>
              </w:rPr>
            </w:pPr>
            <w:r w:rsidRPr="00227BE0">
              <w:rPr>
                <w:sz w:val="20"/>
                <w:szCs w:val="20"/>
              </w:rPr>
              <w:t>0.5</w:t>
            </w:r>
          </w:p>
        </w:tc>
        <w:tc>
          <w:tcPr>
            <w:tcW w:w="1278" w:type="pct"/>
            <w:gridSpan w:val="2"/>
            <w:tcBorders>
              <w:top w:val="single" w:sz="4" w:space="0" w:color="auto"/>
              <w:left w:val="single" w:sz="4" w:space="0" w:color="auto"/>
              <w:bottom w:val="single" w:sz="4" w:space="0" w:color="auto"/>
              <w:right w:val="single" w:sz="4" w:space="0" w:color="auto"/>
            </w:tcBorders>
            <w:vAlign w:val="center"/>
          </w:tcPr>
          <w:p w14:paraId="0E2376F4"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5BF82064" w14:textId="77777777" w:rsidTr="009371A8">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217A02BD" w14:textId="77777777" w:rsidR="00E51CDD" w:rsidRPr="00227BE0" w:rsidRDefault="00E51CDD" w:rsidP="009938D9">
            <w:pPr>
              <w:widowControl w:val="0"/>
              <w:suppressAutoHyphens/>
              <w:rPr>
                <w:noProof/>
                <w:sz w:val="20"/>
                <w:szCs w:val="20"/>
                <w:vertAlign w:val="superscript"/>
              </w:rPr>
            </w:pPr>
            <w:r w:rsidRPr="00227BE0">
              <w:rPr>
                <w:sz w:val="20"/>
                <w:szCs w:val="20"/>
              </w:rPr>
              <w:t>D4 pond</w:t>
            </w:r>
          </w:p>
        </w:tc>
        <w:tc>
          <w:tcPr>
            <w:tcW w:w="1079" w:type="pct"/>
            <w:tcBorders>
              <w:top w:val="single" w:sz="4" w:space="0" w:color="auto"/>
              <w:left w:val="single" w:sz="4" w:space="0" w:color="auto"/>
              <w:bottom w:val="single" w:sz="4" w:space="0" w:color="auto"/>
              <w:right w:val="single" w:sz="4" w:space="0" w:color="auto"/>
            </w:tcBorders>
            <w:vAlign w:val="bottom"/>
          </w:tcPr>
          <w:p w14:paraId="735596AA" w14:textId="77777777" w:rsidR="00E51CDD" w:rsidRPr="009371A8" w:rsidRDefault="00E51CDD" w:rsidP="009938D9">
            <w:pPr>
              <w:widowControl w:val="0"/>
              <w:suppressAutoHyphens/>
              <w:rPr>
                <w:strike/>
                <w:sz w:val="20"/>
                <w:szCs w:val="20"/>
                <w:highlight w:val="yellow"/>
              </w:rPr>
            </w:pPr>
            <w:r w:rsidRPr="009371A8">
              <w:rPr>
                <w:strike/>
                <w:sz w:val="20"/>
                <w:szCs w:val="20"/>
                <w:highlight w:val="yellow"/>
              </w:rPr>
              <w:t>1.265</w:t>
            </w:r>
          </w:p>
          <w:p w14:paraId="60C7E2C1" w14:textId="7BCBBFF1" w:rsidR="009371A8" w:rsidRPr="009371A8" w:rsidRDefault="009371A8" w:rsidP="009938D9">
            <w:pPr>
              <w:widowControl w:val="0"/>
              <w:suppressAutoHyphens/>
              <w:rPr>
                <w:noProof/>
                <w:sz w:val="20"/>
                <w:szCs w:val="20"/>
                <w:highlight w:val="yellow"/>
              </w:rPr>
            </w:pPr>
            <w:r w:rsidRPr="009371A8">
              <w:rPr>
                <w:sz w:val="20"/>
                <w:szCs w:val="20"/>
                <w:highlight w:val="yellow"/>
              </w:rPr>
              <w:t>1.271</w:t>
            </w:r>
          </w:p>
        </w:tc>
        <w:tc>
          <w:tcPr>
            <w:tcW w:w="1278" w:type="pct"/>
            <w:tcBorders>
              <w:top w:val="single" w:sz="4" w:space="0" w:color="auto"/>
              <w:left w:val="single" w:sz="4" w:space="0" w:color="auto"/>
              <w:bottom w:val="single" w:sz="4" w:space="0" w:color="auto"/>
              <w:right w:val="single" w:sz="4" w:space="0" w:color="auto"/>
            </w:tcBorders>
            <w:vAlign w:val="center"/>
          </w:tcPr>
          <w:p w14:paraId="6F52E023" w14:textId="77777777" w:rsidR="00E51CDD" w:rsidRPr="00227BE0" w:rsidRDefault="00E51CDD" w:rsidP="009371A8">
            <w:pPr>
              <w:widowControl w:val="0"/>
              <w:suppressAutoHyphens/>
              <w:jc w:val="center"/>
              <w:rPr>
                <w:noProof/>
                <w:sz w:val="20"/>
                <w:szCs w:val="20"/>
              </w:rPr>
            </w:pPr>
            <w:r w:rsidRPr="00227BE0">
              <w:rPr>
                <w:sz w:val="20"/>
                <w:szCs w:val="20"/>
              </w:rPr>
              <w:t>0.4</w:t>
            </w:r>
          </w:p>
        </w:tc>
        <w:tc>
          <w:tcPr>
            <w:tcW w:w="1278" w:type="pct"/>
            <w:gridSpan w:val="2"/>
            <w:tcBorders>
              <w:top w:val="single" w:sz="4" w:space="0" w:color="auto"/>
              <w:left w:val="single" w:sz="4" w:space="0" w:color="auto"/>
              <w:bottom w:val="single" w:sz="4" w:space="0" w:color="auto"/>
              <w:right w:val="single" w:sz="4" w:space="0" w:color="auto"/>
            </w:tcBorders>
          </w:tcPr>
          <w:p w14:paraId="596D94F3"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6BC22E76" w14:textId="77777777" w:rsidTr="009371A8">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58FF8EAB" w14:textId="77777777" w:rsidR="00E51CDD" w:rsidRPr="00227BE0" w:rsidRDefault="00E51CDD" w:rsidP="009938D9">
            <w:pPr>
              <w:widowControl w:val="0"/>
              <w:suppressAutoHyphens/>
              <w:rPr>
                <w:noProof/>
                <w:sz w:val="20"/>
                <w:szCs w:val="20"/>
                <w:vertAlign w:val="superscript"/>
              </w:rPr>
            </w:pPr>
            <w:r w:rsidRPr="00227BE0">
              <w:rPr>
                <w:sz w:val="20"/>
                <w:szCs w:val="20"/>
              </w:rPr>
              <w:t>D4 stream</w:t>
            </w:r>
          </w:p>
        </w:tc>
        <w:tc>
          <w:tcPr>
            <w:tcW w:w="1079" w:type="pct"/>
            <w:tcBorders>
              <w:top w:val="single" w:sz="4" w:space="0" w:color="auto"/>
              <w:left w:val="single" w:sz="4" w:space="0" w:color="auto"/>
              <w:bottom w:val="single" w:sz="4" w:space="0" w:color="auto"/>
              <w:right w:val="single" w:sz="4" w:space="0" w:color="auto"/>
            </w:tcBorders>
            <w:vAlign w:val="bottom"/>
          </w:tcPr>
          <w:p w14:paraId="5F111700" w14:textId="16CF9095" w:rsidR="009371A8" w:rsidRPr="00227BE0" w:rsidRDefault="00E51CDD" w:rsidP="009938D9">
            <w:pPr>
              <w:widowControl w:val="0"/>
              <w:suppressAutoHyphens/>
              <w:rPr>
                <w:sz w:val="20"/>
                <w:szCs w:val="20"/>
              </w:rPr>
            </w:pPr>
            <w:r w:rsidRPr="00227BE0">
              <w:rPr>
                <w:sz w:val="20"/>
                <w:szCs w:val="20"/>
              </w:rPr>
              <w:t>1.50</w:t>
            </w:r>
            <w:r w:rsidR="009371A8">
              <w:rPr>
                <w:sz w:val="20"/>
                <w:szCs w:val="20"/>
              </w:rPr>
              <w:t>2</w:t>
            </w:r>
          </w:p>
        </w:tc>
        <w:tc>
          <w:tcPr>
            <w:tcW w:w="1278" w:type="pct"/>
            <w:tcBorders>
              <w:top w:val="single" w:sz="4" w:space="0" w:color="auto"/>
              <w:left w:val="single" w:sz="4" w:space="0" w:color="auto"/>
              <w:bottom w:val="single" w:sz="4" w:space="0" w:color="auto"/>
              <w:right w:val="single" w:sz="4" w:space="0" w:color="auto"/>
            </w:tcBorders>
            <w:vAlign w:val="center"/>
          </w:tcPr>
          <w:p w14:paraId="2DAC55E2" w14:textId="77777777" w:rsidR="00E51CDD" w:rsidRPr="00227BE0" w:rsidRDefault="00E51CDD" w:rsidP="009371A8">
            <w:pPr>
              <w:widowControl w:val="0"/>
              <w:suppressAutoHyphens/>
              <w:jc w:val="center"/>
              <w:rPr>
                <w:noProof/>
                <w:sz w:val="20"/>
                <w:szCs w:val="20"/>
              </w:rPr>
            </w:pPr>
            <w:r w:rsidRPr="00227BE0">
              <w:rPr>
                <w:sz w:val="20"/>
                <w:szCs w:val="20"/>
              </w:rPr>
              <w:t>0.5</w:t>
            </w:r>
          </w:p>
        </w:tc>
        <w:tc>
          <w:tcPr>
            <w:tcW w:w="1278" w:type="pct"/>
            <w:gridSpan w:val="2"/>
            <w:tcBorders>
              <w:top w:val="single" w:sz="4" w:space="0" w:color="auto"/>
              <w:left w:val="single" w:sz="4" w:space="0" w:color="auto"/>
              <w:bottom w:val="single" w:sz="4" w:space="0" w:color="auto"/>
              <w:right w:val="single" w:sz="4" w:space="0" w:color="auto"/>
            </w:tcBorders>
          </w:tcPr>
          <w:p w14:paraId="476794BF"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692C0F55" w14:textId="77777777" w:rsidTr="009371A8">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137D6539" w14:textId="77777777" w:rsidR="00E51CDD" w:rsidRPr="00227BE0" w:rsidRDefault="00E51CDD" w:rsidP="009938D9">
            <w:pPr>
              <w:widowControl w:val="0"/>
              <w:suppressAutoHyphens/>
              <w:rPr>
                <w:noProof/>
                <w:sz w:val="20"/>
                <w:szCs w:val="20"/>
                <w:vertAlign w:val="superscript"/>
              </w:rPr>
            </w:pPr>
            <w:r w:rsidRPr="00227BE0">
              <w:rPr>
                <w:sz w:val="20"/>
                <w:szCs w:val="20"/>
              </w:rPr>
              <w:t>D5 pond</w:t>
            </w:r>
          </w:p>
        </w:tc>
        <w:tc>
          <w:tcPr>
            <w:tcW w:w="1079" w:type="pct"/>
            <w:tcBorders>
              <w:top w:val="single" w:sz="4" w:space="0" w:color="auto"/>
              <w:left w:val="single" w:sz="4" w:space="0" w:color="auto"/>
              <w:bottom w:val="single" w:sz="4" w:space="0" w:color="auto"/>
              <w:right w:val="single" w:sz="4" w:space="0" w:color="auto"/>
            </w:tcBorders>
            <w:vAlign w:val="bottom"/>
          </w:tcPr>
          <w:p w14:paraId="43B63E5F" w14:textId="77777777" w:rsidR="00E51CDD" w:rsidRPr="009371A8" w:rsidRDefault="00E51CDD" w:rsidP="009938D9">
            <w:pPr>
              <w:widowControl w:val="0"/>
              <w:suppressAutoHyphens/>
              <w:rPr>
                <w:strike/>
                <w:sz w:val="20"/>
                <w:szCs w:val="20"/>
                <w:highlight w:val="yellow"/>
              </w:rPr>
            </w:pPr>
            <w:r w:rsidRPr="009371A8">
              <w:rPr>
                <w:strike/>
                <w:sz w:val="20"/>
                <w:szCs w:val="20"/>
                <w:highlight w:val="yellow"/>
              </w:rPr>
              <w:t>0.495</w:t>
            </w:r>
          </w:p>
          <w:p w14:paraId="4CA0F507" w14:textId="23E116C1" w:rsidR="009371A8" w:rsidRPr="00227BE0" w:rsidRDefault="009371A8" w:rsidP="009938D9">
            <w:pPr>
              <w:widowControl w:val="0"/>
              <w:suppressAutoHyphens/>
              <w:rPr>
                <w:noProof/>
                <w:sz w:val="20"/>
                <w:szCs w:val="20"/>
              </w:rPr>
            </w:pPr>
            <w:r w:rsidRPr="009371A8">
              <w:rPr>
                <w:noProof/>
                <w:sz w:val="20"/>
                <w:szCs w:val="20"/>
                <w:highlight w:val="yellow"/>
              </w:rPr>
              <w:t>0.497</w:t>
            </w:r>
          </w:p>
        </w:tc>
        <w:tc>
          <w:tcPr>
            <w:tcW w:w="1278" w:type="pct"/>
            <w:tcBorders>
              <w:top w:val="single" w:sz="4" w:space="0" w:color="auto"/>
              <w:left w:val="single" w:sz="4" w:space="0" w:color="auto"/>
              <w:bottom w:val="single" w:sz="4" w:space="0" w:color="auto"/>
              <w:right w:val="single" w:sz="4" w:space="0" w:color="auto"/>
            </w:tcBorders>
            <w:vAlign w:val="center"/>
          </w:tcPr>
          <w:p w14:paraId="55E4E5A8" w14:textId="77777777" w:rsidR="00E51CDD" w:rsidRPr="00227BE0" w:rsidRDefault="00E51CDD" w:rsidP="009371A8">
            <w:pPr>
              <w:widowControl w:val="0"/>
              <w:suppressAutoHyphens/>
              <w:jc w:val="center"/>
              <w:rPr>
                <w:noProof/>
                <w:sz w:val="20"/>
                <w:szCs w:val="20"/>
              </w:rPr>
            </w:pPr>
            <w:r w:rsidRPr="00227BE0">
              <w:rPr>
                <w:sz w:val="20"/>
                <w:szCs w:val="20"/>
              </w:rPr>
              <w:t>0.2</w:t>
            </w:r>
          </w:p>
        </w:tc>
        <w:tc>
          <w:tcPr>
            <w:tcW w:w="1278" w:type="pct"/>
            <w:gridSpan w:val="2"/>
            <w:tcBorders>
              <w:top w:val="single" w:sz="4" w:space="0" w:color="auto"/>
              <w:left w:val="single" w:sz="4" w:space="0" w:color="auto"/>
              <w:bottom w:val="single" w:sz="4" w:space="0" w:color="auto"/>
              <w:right w:val="single" w:sz="4" w:space="0" w:color="auto"/>
            </w:tcBorders>
          </w:tcPr>
          <w:p w14:paraId="494B4F3F"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2DB5DD37" w14:textId="77777777" w:rsidTr="009371A8">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5A551BD9" w14:textId="77777777" w:rsidR="00E51CDD" w:rsidRPr="00227BE0" w:rsidRDefault="00E51CDD" w:rsidP="009938D9">
            <w:pPr>
              <w:widowControl w:val="0"/>
              <w:suppressAutoHyphens/>
              <w:rPr>
                <w:noProof/>
                <w:sz w:val="20"/>
                <w:szCs w:val="20"/>
                <w:vertAlign w:val="superscript"/>
              </w:rPr>
            </w:pPr>
            <w:r w:rsidRPr="00227BE0">
              <w:rPr>
                <w:sz w:val="20"/>
                <w:szCs w:val="20"/>
              </w:rPr>
              <w:t>D5 stream</w:t>
            </w:r>
          </w:p>
        </w:tc>
        <w:tc>
          <w:tcPr>
            <w:tcW w:w="1079" w:type="pct"/>
            <w:tcBorders>
              <w:top w:val="single" w:sz="4" w:space="0" w:color="auto"/>
              <w:left w:val="single" w:sz="4" w:space="0" w:color="auto"/>
              <w:bottom w:val="single" w:sz="4" w:space="0" w:color="auto"/>
              <w:right w:val="single" w:sz="4" w:space="0" w:color="auto"/>
            </w:tcBorders>
            <w:vAlign w:val="bottom"/>
          </w:tcPr>
          <w:p w14:paraId="0E1A4A39" w14:textId="77777777" w:rsidR="00E51CDD" w:rsidRPr="00227BE0" w:rsidRDefault="00E51CDD" w:rsidP="009938D9">
            <w:pPr>
              <w:widowControl w:val="0"/>
              <w:suppressAutoHyphens/>
              <w:rPr>
                <w:noProof/>
                <w:sz w:val="20"/>
                <w:szCs w:val="20"/>
              </w:rPr>
            </w:pPr>
            <w:r w:rsidRPr="00227BE0">
              <w:rPr>
                <w:sz w:val="20"/>
                <w:szCs w:val="20"/>
              </w:rPr>
              <w:t>1.337</w:t>
            </w:r>
          </w:p>
        </w:tc>
        <w:tc>
          <w:tcPr>
            <w:tcW w:w="1278" w:type="pct"/>
            <w:tcBorders>
              <w:top w:val="single" w:sz="4" w:space="0" w:color="auto"/>
              <w:left w:val="single" w:sz="4" w:space="0" w:color="auto"/>
              <w:bottom w:val="single" w:sz="4" w:space="0" w:color="auto"/>
              <w:right w:val="single" w:sz="4" w:space="0" w:color="auto"/>
            </w:tcBorders>
            <w:vAlign w:val="center"/>
          </w:tcPr>
          <w:p w14:paraId="219E1FE3" w14:textId="77777777" w:rsidR="00E51CDD" w:rsidRPr="00227BE0" w:rsidRDefault="00E51CDD" w:rsidP="009371A8">
            <w:pPr>
              <w:widowControl w:val="0"/>
              <w:suppressAutoHyphens/>
              <w:jc w:val="center"/>
              <w:rPr>
                <w:noProof/>
                <w:sz w:val="20"/>
                <w:szCs w:val="20"/>
              </w:rPr>
            </w:pPr>
            <w:r w:rsidRPr="00227BE0">
              <w:rPr>
                <w:sz w:val="20"/>
                <w:szCs w:val="20"/>
              </w:rPr>
              <w:t>0.4</w:t>
            </w:r>
          </w:p>
        </w:tc>
        <w:tc>
          <w:tcPr>
            <w:tcW w:w="1278" w:type="pct"/>
            <w:gridSpan w:val="2"/>
            <w:tcBorders>
              <w:top w:val="single" w:sz="4" w:space="0" w:color="auto"/>
              <w:left w:val="single" w:sz="4" w:space="0" w:color="auto"/>
              <w:bottom w:val="single" w:sz="4" w:space="0" w:color="auto"/>
              <w:right w:val="single" w:sz="4" w:space="0" w:color="auto"/>
            </w:tcBorders>
          </w:tcPr>
          <w:p w14:paraId="4A39FD43" w14:textId="77777777" w:rsidR="00E51CDD" w:rsidRPr="00227BE0" w:rsidRDefault="00E51CDD" w:rsidP="009938D9">
            <w:pPr>
              <w:widowControl w:val="0"/>
              <w:suppressAutoHyphens/>
              <w:jc w:val="center"/>
              <w:rPr>
                <w:noProof/>
                <w:sz w:val="20"/>
                <w:szCs w:val="20"/>
              </w:rPr>
            </w:pPr>
            <w:r w:rsidRPr="00227BE0">
              <w:rPr>
                <w:noProof/>
                <w:sz w:val="20"/>
                <w:szCs w:val="20"/>
              </w:rPr>
              <w:t>--</w:t>
            </w:r>
          </w:p>
        </w:tc>
      </w:tr>
      <w:tr w:rsidR="00E51CDD" w:rsidRPr="00227BE0" w14:paraId="5A189E91" w14:textId="77777777" w:rsidTr="009371A8">
        <w:trPr>
          <w:cantSplit/>
        </w:trPr>
        <w:tc>
          <w:tcPr>
            <w:tcW w:w="1365" w:type="pct"/>
            <w:tcBorders>
              <w:top w:val="single" w:sz="4" w:space="0" w:color="auto"/>
              <w:left w:val="single" w:sz="4" w:space="0" w:color="auto"/>
              <w:bottom w:val="single" w:sz="4" w:space="0" w:color="auto"/>
              <w:right w:val="single" w:sz="4" w:space="0" w:color="auto"/>
            </w:tcBorders>
            <w:vAlign w:val="center"/>
            <w:hideMark/>
          </w:tcPr>
          <w:p w14:paraId="34F453B5" w14:textId="77777777" w:rsidR="00E51CDD" w:rsidRPr="00227BE0" w:rsidRDefault="00E51CDD" w:rsidP="009938D9">
            <w:pPr>
              <w:widowControl w:val="0"/>
              <w:suppressAutoHyphens/>
              <w:rPr>
                <w:noProof/>
                <w:sz w:val="20"/>
                <w:szCs w:val="20"/>
                <w:vertAlign w:val="superscript"/>
              </w:rPr>
            </w:pPr>
            <w:r w:rsidRPr="00227BE0">
              <w:rPr>
                <w:sz w:val="20"/>
                <w:szCs w:val="20"/>
              </w:rPr>
              <w:t>R4 stream</w:t>
            </w:r>
          </w:p>
        </w:tc>
        <w:tc>
          <w:tcPr>
            <w:tcW w:w="1079" w:type="pct"/>
            <w:tcBorders>
              <w:top w:val="single" w:sz="4" w:space="0" w:color="auto"/>
              <w:left w:val="single" w:sz="4" w:space="0" w:color="auto"/>
              <w:bottom w:val="single" w:sz="4" w:space="0" w:color="auto"/>
              <w:right w:val="single" w:sz="4" w:space="0" w:color="auto"/>
            </w:tcBorders>
            <w:vAlign w:val="bottom"/>
          </w:tcPr>
          <w:p w14:paraId="6D77D1A0" w14:textId="77777777" w:rsidR="00E51CDD" w:rsidRPr="009371A8" w:rsidRDefault="00E51CDD" w:rsidP="009938D9">
            <w:pPr>
              <w:widowControl w:val="0"/>
              <w:suppressAutoHyphens/>
              <w:rPr>
                <w:strike/>
                <w:sz w:val="20"/>
                <w:szCs w:val="20"/>
                <w:highlight w:val="yellow"/>
              </w:rPr>
            </w:pPr>
            <w:r w:rsidRPr="009371A8">
              <w:rPr>
                <w:strike/>
                <w:sz w:val="20"/>
                <w:szCs w:val="20"/>
                <w:highlight w:val="yellow"/>
              </w:rPr>
              <w:t>3.922</w:t>
            </w:r>
          </w:p>
          <w:p w14:paraId="1C3C2098" w14:textId="12D19E3E" w:rsidR="009371A8" w:rsidRPr="00227BE0" w:rsidRDefault="009371A8" w:rsidP="009938D9">
            <w:pPr>
              <w:widowControl w:val="0"/>
              <w:suppressAutoHyphens/>
              <w:rPr>
                <w:noProof/>
                <w:sz w:val="20"/>
                <w:szCs w:val="20"/>
              </w:rPr>
            </w:pPr>
            <w:r w:rsidRPr="009371A8">
              <w:rPr>
                <w:noProof/>
                <w:sz w:val="20"/>
                <w:szCs w:val="20"/>
                <w:highlight w:val="yellow"/>
              </w:rPr>
              <w:t>2.666</w:t>
            </w:r>
          </w:p>
        </w:tc>
        <w:tc>
          <w:tcPr>
            <w:tcW w:w="1278" w:type="pct"/>
            <w:tcBorders>
              <w:top w:val="single" w:sz="4" w:space="0" w:color="auto"/>
              <w:left w:val="single" w:sz="4" w:space="0" w:color="auto"/>
              <w:bottom w:val="single" w:sz="4" w:space="0" w:color="auto"/>
              <w:right w:val="single" w:sz="4" w:space="0" w:color="auto"/>
            </w:tcBorders>
            <w:vAlign w:val="center"/>
          </w:tcPr>
          <w:p w14:paraId="204F61CB" w14:textId="77777777" w:rsidR="00E51CDD" w:rsidRPr="009371A8" w:rsidRDefault="00E51CDD" w:rsidP="009371A8">
            <w:pPr>
              <w:widowControl w:val="0"/>
              <w:suppressAutoHyphens/>
              <w:jc w:val="center"/>
              <w:rPr>
                <w:b/>
                <w:strike/>
                <w:sz w:val="20"/>
                <w:szCs w:val="20"/>
                <w:highlight w:val="yellow"/>
              </w:rPr>
            </w:pPr>
            <w:r w:rsidRPr="009371A8">
              <w:rPr>
                <w:b/>
                <w:strike/>
                <w:sz w:val="20"/>
                <w:szCs w:val="20"/>
                <w:highlight w:val="yellow"/>
              </w:rPr>
              <w:t>1.2</w:t>
            </w:r>
          </w:p>
          <w:p w14:paraId="49BB38E4" w14:textId="5D6B2FC4" w:rsidR="009371A8" w:rsidRPr="009371A8" w:rsidRDefault="009371A8" w:rsidP="009371A8">
            <w:pPr>
              <w:widowControl w:val="0"/>
              <w:suppressAutoHyphens/>
              <w:jc w:val="center"/>
              <w:rPr>
                <w:noProof/>
                <w:sz w:val="20"/>
                <w:szCs w:val="20"/>
              </w:rPr>
            </w:pPr>
            <w:r w:rsidRPr="009371A8">
              <w:rPr>
                <w:noProof/>
                <w:sz w:val="20"/>
                <w:szCs w:val="20"/>
                <w:highlight w:val="yellow"/>
              </w:rPr>
              <w:t>0.8</w:t>
            </w:r>
          </w:p>
        </w:tc>
        <w:tc>
          <w:tcPr>
            <w:tcW w:w="1278" w:type="pct"/>
            <w:gridSpan w:val="2"/>
            <w:tcBorders>
              <w:top w:val="single" w:sz="4" w:space="0" w:color="auto"/>
              <w:left w:val="single" w:sz="4" w:space="0" w:color="auto"/>
              <w:bottom w:val="single" w:sz="4" w:space="0" w:color="auto"/>
              <w:right w:val="single" w:sz="4" w:space="0" w:color="auto"/>
            </w:tcBorders>
          </w:tcPr>
          <w:p w14:paraId="2E825C38" w14:textId="77777777" w:rsidR="00E51CDD" w:rsidRPr="00227BE0" w:rsidRDefault="00E51CDD" w:rsidP="009938D9">
            <w:pPr>
              <w:widowControl w:val="0"/>
              <w:suppressAutoHyphens/>
              <w:jc w:val="center"/>
              <w:rPr>
                <w:b/>
                <w:noProof/>
              </w:rPr>
            </w:pPr>
            <w:r w:rsidRPr="00227BE0">
              <w:rPr>
                <w:noProof/>
                <w:sz w:val="20"/>
                <w:szCs w:val="20"/>
              </w:rPr>
              <w:t>--</w:t>
            </w:r>
          </w:p>
        </w:tc>
      </w:tr>
    </w:tbl>
    <w:p w14:paraId="7D8812CA" w14:textId="77777777" w:rsidR="00E51CDD" w:rsidRPr="00227BE0" w:rsidRDefault="00E51CDD" w:rsidP="00E51CDD">
      <w:pPr>
        <w:widowControl w:val="0"/>
        <w:tabs>
          <w:tab w:val="left" w:pos="425"/>
        </w:tabs>
        <w:suppressAutoHyphens/>
        <w:ind w:left="284" w:hanging="284"/>
        <w:jc w:val="both"/>
        <w:rPr>
          <w:noProof/>
          <w:sz w:val="18"/>
          <w:szCs w:val="18"/>
        </w:rPr>
      </w:pPr>
      <w:r w:rsidRPr="00227BE0">
        <w:rPr>
          <w:noProof/>
          <w:sz w:val="18"/>
          <w:szCs w:val="18"/>
        </w:rPr>
        <w:t>AF: Assessment factor; PEC: Predicted environmental concentration; RAC: Regulatory acceptable concentration; ETR: Exposure-toxicity ratio; PEC/RAC ratios (= ETR) above the relevant trigger of 1 are shown in</w:t>
      </w:r>
      <w:r w:rsidRPr="00227BE0">
        <w:rPr>
          <w:b/>
          <w:noProof/>
          <w:sz w:val="18"/>
          <w:szCs w:val="18"/>
        </w:rPr>
        <w:t xml:space="preserve"> bold</w:t>
      </w:r>
    </w:p>
    <w:p w14:paraId="6845C1B9" w14:textId="77777777" w:rsidR="00E51CDD" w:rsidRPr="00227BE0" w:rsidRDefault="00E51CDD" w:rsidP="00E51CDD">
      <w:pPr>
        <w:widowControl w:val="0"/>
        <w:suppressAutoHyphens/>
        <w:ind w:left="284" w:hanging="284"/>
        <w:jc w:val="both"/>
        <w:rPr>
          <w:sz w:val="18"/>
          <w:szCs w:val="18"/>
          <w:vertAlign w:val="superscript"/>
        </w:rPr>
      </w:pPr>
      <w:r w:rsidRPr="00227BE0">
        <w:rPr>
          <w:sz w:val="18"/>
          <w:szCs w:val="18"/>
          <w:vertAlign w:val="superscript"/>
        </w:rPr>
        <w:t>#</w:t>
      </w:r>
      <w:r w:rsidRPr="00227BE0">
        <w:rPr>
          <w:sz w:val="18"/>
          <w:szCs w:val="18"/>
        </w:rPr>
        <w:tab/>
        <w:t>Worst-case PECs are derived from either single or twofold application in a risk envelope approach.</w:t>
      </w:r>
      <w:r w:rsidRPr="00227BE0">
        <w:rPr>
          <w:sz w:val="18"/>
          <w:szCs w:val="18"/>
          <w:vertAlign w:val="superscript"/>
        </w:rPr>
        <w:t xml:space="preserve"> </w:t>
      </w:r>
      <w:r w:rsidRPr="00227BE0">
        <w:rPr>
          <w:sz w:val="18"/>
          <w:szCs w:val="18"/>
        </w:rPr>
        <w:t>For details, please refer to Part B, Section 8.9.</w:t>
      </w:r>
    </w:p>
    <w:p w14:paraId="5725B73D" w14:textId="77777777" w:rsidR="00E51CDD" w:rsidRDefault="00E51CDD" w:rsidP="00E51CDD">
      <w:pPr>
        <w:widowControl w:val="0"/>
        <w:suppressAutoHyphens/>
        <w:jc w:val="both"/>
      </w:pPr>
    </w:p>
    <w:p w14:paraId="5CF3819D" w14:textId="77777777" w:rsidR="00E51CDD" w:rsidRPr="00227BE0" w:rsidRDefault="00E51CDD" w:rsidP="00E51CDD">
      <w:pPr>
        <w:widowControl w:val="0"/>
        <w:suppressAutoHyphens/>
        <w:jc w:val="both"/>
      </w:pPr>
    </w:p>
    <w:p w14:paraId="04C057CE" w14:textId="740D7C36" w:rsidR="00E51CDD" w:rsidRPr="00A74D38" w:rsidRDefault="00E51CDD" w:rsidP="00E51CDD">
      <w:pPr>
        <w:widowControl w:val="0"/>
        <w:suppressAutoHyphens/>
        <w:jc w:val="both"/>
        <w:rPr>
          <w:strike/>
        </w:rPr>
      </w:pPr>
      <w:r w:rsidRPr="00227BE0">
        <w:t>For the intended single and twofold application of BAS 736 00 F in ‘spring cereals’ the calculated PEC</w:t>
      </w:r>
      <w:r w:rsidRPr="00227BE0">
        <w:rPr>
          <w:vertAlign w:val="subscript"/>
        </w:rPr>
        <w:t>mix</w:t>
      </w:r>
      <w:r w:rsidRPr="00227BE0">
        <w:t>/RAC</w:t>
      </w:r>
      <w:r w:rsidRPr="00227BE0">
        <w:rPr>
          <w:vertAlign w:val="subscript"/>
        </w:rPr>
        <w:t>PPP</w:t>
      </w:r>
      <w:r w:rsidRPr="00227BE0">
        <w:t xml:space="preserve"> ratios indicate an acceptable risk for all groups of aquatic organisms based on tier 1 toxicity data and Step 1 - 3 PEC</w:t>
      </w:r>
      <w:r w:rsidRPr="00227BE0">
        <w:rPr>
          <w:vertAlign w:val="subscript"/>
        </w:rPr>
        <w:t>sw mix</w:t>
      </w:r>
      <w:r w:rsidRPr="00227BE0">
        <w:t xml:space="preserve"> values</w:t>
      </w:r>
      <w:r w:rsidR="00A74D38" w:rsidRPr="00A74D38">
        <w:rPr>
          <w:highlight w:val="yellow"/>
        </w:rPr>
        <w:t>.</w:t>
      </w:r>
      <w:r w:rsidRPr="00A74D38">
        <w:rPr>
          <w:strike/>
          <w:highlight w:val="yellow"/>
        </w:rPr>
        <w:t xml:space="preserve"> except for acute risk to fish at FOCUS stream scenario R4. Therefore, a refined risk assessment considering higher tier data for acute fish from fluxapyroxad is shown below (see </w:t>
      </w:r>
      <w:r w:rsidRPr="00A74D38">
        <w:rPr>
          <w:strike/>
          <w:highlight w:val="yellow"/>
        </w:rPr>
        <w:fldChar w:fldCharType="begin"/>
      </w:r>
      <w:r w:rsidRPr="00A74D38">
        <w:rPr>
          <w:strike/>
          <w:highlight w:val="yellow"/>
        </w:rPr>
        <w:instrText xml:space="preserve"> REF _Ref82615182 \h  \* MERGEFORMAT </w:instrText>
      </w:r>
      <w:r w:rsidRPr="00A74D38">
        <w:rPr>
          <w:strike/>
          <w:highlight w:val="yellow"/>
        </w:rPr>
      </w:r>
      <w:r w:rsidRPr="00A74D38">
        <w:rPr>
          <w:strike/>
          <w:highlight w:val="yellow"/>
        </w:rPr>
        <w:fldChar w:fldCharType="separate"/>
      </w:r>
      <w:r w:rsidR="00662F32" w:rsidRPr="00662F32">
        <w:rPr>
          <w:strike/>
          <w:highlight w:val="yellow"/>
        </w:rPr>
        <w:t xml:space="preserve">Table </w:t>
      </w:r>
      <w:r w:rsidR="00662F32" w:rsidRPr="00662F32">
        <w:rPr>
          <w:strike/>
          <w:noProof/>
          <w:highlight w:val="yellow"/>
        </w:rPr>
        <w:t>9.5</w:t>
      </w:r>
      <w:r w:rsidR="00662F32" w:rsidRPr="00662F32">
        <w:rPr>
          <w:strike/>
          <w:noProof/>
          <w:highlight w:val="yellow"/>
        </w:rPr>
        <w:noBreakHyphen/>
        <w:t>17</w:t>
      </w:r>
      <w:r w:rsidRPr="00A74D38">
        <w:rPr>
          <w:strike/>
          <w:highlight w:val="yellow"/>
        </w:rPr>
        <w:fldChar w:fldCharType="end"/>
      </w:r>
      <w:r w:rsidRPr="00A74D38">
        <w:rPr>
          <w:strike/>
          <w:highlight w:val="yellow"/>
        </w:rPr>
        <w:t>) in terms of using a risk quotient (RQ) approach for the critical stream scenario.</w:t>
      </w:r>
    </w:p>
    <w:p w14:paraId="61F51F4C" w14:textId="77777777" w:rsidR="00E51CDD" w:rsidRPr="00227BE0" w:rsidRDefault="00E51CDD" w:rsidP="00E51CDD">
      <w:pPr>
        <w:widowControl w:val="0"/>
        <w:suppressAutoHyphens/>
        <w:jc w:val="both"/>
      </w:pPr>
      <w:r>
        <w:br w:type="page"/>
      </w:r>
    </w:p>
    <w:p w14:paraId="13BE9FEC" w14:textId="0F914D3D" w:rsidR="00E51CDD" w:rsidRPr="00A74D38" w:rsidRDefault="00E51CDD" w:rsidP="00E51CDD">
      <w:pPr>
        <w:widowControl w:val="0"/>
        <w:tabs>
          <w:tab w:val="left" w:pos="720"/>
        </w:tabs>
        <w:suppressAutoHyphens/>
        <w:spacing w:after="120"/>
        <w:ind w:left="1985" w:hanging="1985"/>
        <w:jc w:val="both"/>
        <w:rPr>
          <w:b/>
          <w:strike/>
          <w:highlight w:val="yellow"/>
        </w:rPr>
      </w:pPr>
      <w:bookmarkStart w:id="526" w:name="_Ref82615182"/>
      <w:r w:rsidRPr="00A74D38">
        <w:rPr>
          <w:b/>
          <w:strike/>
          <w:highlight w:val="yellow"/>
        </w:rPr>
        <w:lastRenderedPageBreak/>
        <w:t xml:space="preserve">Table </w:t>
      </w:r>
      <w:r w:rsidRPr="00A74D38">
        <w:rPr>
          <w:b/>
          <w:strike/>
          <w:highlight w:val="yellow"/>
        </w:rPr>
        <w:fldChar w:fldCharType="begin"/>
      </w:r>
      <w:r w:rsidRPr="00A74D38">
        <w:rPr>
          <w:b/>
          <w:strike/>
          <w:highlight w:val="yellow"/>
        </w:rPr>
        <w:instrText xml:space="preserve"> STYLEREF 2 \s </w:instrText>
      </w:r>
      <w:r w:rsidRPr="00A74D38">
        <w:rPr>
          <w:b/>
          <w:strike/>
          <w:highlight w:val="yellow"/>
        </w:rPr>
        <w:fldChar w:fldCharType="separate"/>
      </w:r>
      <w:r w:rsidR="00662F32">
        <w:rPr>
          <w:b/>
          <w:strike/>
          <w:noProof/>
          <w:highlight w:val="yellow"/>
        </w:rPr>
        <w:t>9.5</w:t>
      </w:r>
      <w:r w:rsidRPr="00A74D38">
        <w:rPr>
          <w:b/>
          <w:strike/>
          <w:highlight w:val="yellow"/>
        </w:rPr>
        <w:fldChar w:fldCharType="end"/>
      </w:r>
      <w:r w:rsidRPr="00A74D38">
        <w:rPr>
          <w:b/>
          <w:strike/>
          <w:highlight w:val="yellow"/>
        </w:rPr>
        <w:noBreakHyphen/>
      </w:r>
      <w:r w:rsidRPr="00A74D38">
        <w:rPr>
          <w:b/>
          <w:strike/>
          <w:highlight w:val="yellow"/>
        </w:rPr>
        <w:fldChar w:fldCharType="begin"/>
      </w:r>
      <w:r w:rsidRPr="00A74D38">
        <w:rPr>
          <w:b/>
          <w:strike/>
          <w:highlight w:val="yellow"/>
        </w:rPr>
        <w:instrText xml:space="preserve"> SEQ Table \* ARABIC \s 2 </w:instrText>
      </w:r>
      <w:r w:rsidRPr="00A74D38">
        <w:rPr>
          <w:b/>
          <w:strike/>
          <w:highlight w:val="yellow"/>
        </w:rPr>
        <w:fldChar w:fldCharType="separate"/>
      </w:r>
      <w:r w:rsidR="00662F32">
        <w:rPr>
          <w:b/>
          <w:strike/>
          <w:noProof/>
          <w:highlight w:val="yellow"/>
        </w:rPr>
        <w:t>17</w:t>
      </w:r>
      <w:r w:rsidRPr="00A74D38">
        <w:rPr>
          <w:b/>
          <w:strike/>
          <w:highlight w:val="yellow"/>
        </w:rPr>
        <w:fldChar w:fldCharType="end"/>
      </w:r>
      <w:bookmarkEnd w:id="526"/>
      <w:r w:rsidRPr="00A74D38">
        <w:rPr>
          <w:b/>
          <w:strike/>
          <w:highlight w:val="yellow"/>
        </w:rPr>
        <w:t>:</w:t>
      </w:r>
      <w:r w:rsidRPr="00A74D38">
        <w:rPr>
          <w:b/>
          <w:strike/>
          <w:highlight w:val="yellow"/>
        </w:rPr>
        <w:tab/>
        <w:t>Risk quotient (RQ</w:t>
      </w:r>
      <w:r w:rsidRPr="00A74D38">
        <w:rPr>
          <w:b/>
          <w:strike/>
          <w:highlight w:val="yellow"/>
          <w:vertAlign w:val="subscript"/>
        </w:rPr>
        <w:t>mix</w:t>
      </w:r>
      <w:r w:rsidRPr="00A74D38">
        <w:rPr>
          <w:b/>
          <w:strike/>
          <w:highlight w:val="yellow"/>
        </w:rPr>
        <w:t>) calculations based on the worst-case FOCUS PEC</w:t>
      </w:r>
      <w:r w:rsidRPr="00A74D38">
        <w:rPr>
          <w:b/>
          <w:strike/>
          <w:highlight w:val="yellow"/>
          <w:vertAlign w:val="subscript"/>
        </w:rPr>
        <w:t>sw</w:t>
      </w:r>
      <w:r w:rsidRPr="00A74D38">
        <w:rPr>
          <w:b/>
          <w:strike/>
          <w:highlight w:val="yellow"/>
        </w:rPr>
        <w:t xml:space="preserve"> and the acute RAC values for fish of the individual active substances (considering higher tier refinement options for the active substances) for application of BAS 736 00 F in </w:t>
      </w:r>
      <w:r w:rsidRPr="00A74D38">
        <w:rPr>
          <w:b/>
          <w:strike/>
          <w:highlight w:val="yellow"/>
          <w:u w:val="single"/>
        </w:rPr>
        <w:t>’spring cereals’</w:t>
      </w:r>
    </w:p>
    <w:tbl>
      <w:tblPr>
        <w:tblStyle w:val="Tabela-Siatka"/>
        <w:tblW w:w="5000" w:type="pct"/>
        <w:tblLook w:val="04A0" w:firstRow="1" w:lastRow="0" w:firstColumn="1" w:lastColumn="0" w:noHBand="0" w:noVBand="1"/>
      </w:tblPr>
      <w:tblGrid>
        <w:gridCol w:w="1431"/>
        <w:gridCol w:w="1946"/>
        <w:gridCol w:w="2179"/>
        <w:gridCol w:w="566"/>
        <w:gridCol w:w="792"/>
        <w:gridCol w:w="792"/>
        <w:gridCol w:w="798"/>
        <w:gridCol w:w="841"/>
      </w:tblGrid>
      <w:tr w:rsidR="00E51CDD" w:rsidRPr="00A74D38" w14:paraId="3933CC80" w14:textId="77777777" w:rsidTr="009938D9">
        <w:tc>
          <w:tcPr>
            <w:tcW w:w="765" w:type="pct"/>
            <w:vAlign w:val="center"/>
          </w:tcPr>
          <w:p w14:paraId="1309D723" w14:textId="77777777" w:rsidR="00E51CDD" w:rsidRPr="00A74D38" w:rsidRDefault="00E51CDD" w:rsidP="009938D9">
            <w:pPr>
              <w:widowControl w:val="0"/>
              <w:suppressAutoHyphens/>
              <w:spacing w:before="40" w:after="40"/>
              <w:jc w:val="left"/>
              <w:rPr>
                <w:b/>
                <w:strike/>
                <w:sz w:val="20"/>
                <w:szCs w:val="20"/>
                <w:highlight w:val="yellow"/>
                <w:lang w:val="en-GB"/>
              </w:rPr>
            </w:pPr>
            <w:r w:rsidRPr="00A74D38">
              <w:rPr>
                <w:b/>
                <w:strike/>
                <w:sz w:val="20"/>
                <w:szCs w:val="20"/>
                <w:highlight w:val="yellow"/>
                <w:lang w:val="en-GB"/>
              </w:rPr>
              <w:t>Step 3 FOCUS scenario</w:t>
            </w:r>
          </w:p>
        </w:tc>
        <w:tc>
          <w:tcPr>
            <w:tcW w:w="1041" w:type="pct"/>
            <w:vAlign w:val="center"/>
          </w:tcPr>
          <w:p w14:paraId="7B8F083E" w14:textId="77777777" w:rsidR="00E51CDD" w:rsidRPr="00A74D38" w:rsidRDefault="00E51CDD" w:rsidP="009938D9">
            <w:pPr>
              <w:widowControl w:val="0"/>
              <w:suppressAutoHyphens/>
              <w:spacing w:before="40" w:after="40"/>
              <w:jc w:val="left"/>
              <w:rPr>
                <w:b/>
                <w:strike/>
                <w:sz w:val="20"/>
                <w:szCs w:val="20"/>
                <w:highlight w:val="yellow"/>
                <w:vertAlign w:val="superscript"/>
                <w:lang w:val="en-GB"/>
              </w:rPr>
            </w:pPr>
            <w:r w:rsidRPr="00A74D38">
              <w:rPr>
                <w:b/>
                <w:strike/>
                <w:sz w:val="20"/>
                <w:szCs w:val="20"/>
                <w:highlight w:val="yellow"/>
                <w:lang w:val="en-GB"/>
              </w:rPr>
              <w:t>Substance</w:t>
            </w:r>
          </w:p>
        </w:tc>
        <w:tc>
          <w:tcPr>
            <w:tcW w:w="1166" w:type="pct"/>
            <w:vAlign w:val="center"/>
          </w:tcPr>
          <w:p w14:paraId="393C2B02" w14:textId="77777777" w:rsidR="00E51CDD" w:rsidRPr="00A74D38" w:rsidRDefault="00E51CDD" w:rsidP="009938D9">
            <w:pPr>
              <w:widowControl w:val="0"/>
              <w:suppressAutoHyphens/>
              <w:spacing w:before="40" w:after="40"/>
              <w:rPr>
                <w:b/>
                <w:strike/>
                <w:sz w:val="20"/>
                <w:szCs w:val="20"/>
                <w:highlight w:val="yellow"/>
                <w:lang w:val="en-GB"/>
              </w:rPr>
            </w:pPr>
            <w:r w:rsidRPr="00A74D38">
              <w:rPr>
                <w:b/>
                <w:strike/>
                <w:sz w:val="20"/>
                <w:szCs w:val="20"/>
                <w:highlight w:val="yellow"/>
                <w:lang w:val="en-GB"/>
              </w:rPr>
              <w:t xml:space="preserve">Endpoint </w:t>
            </w:r>
            <w:r w:rsidRPr="00A74D38">
              <w:rPr>
                <w:b/>
                <w:strike/>
                <w:sz w:val="20"/>
                <w:szCs w:val="20"/>
                <w:highlight w:val="yellow"/>
                <w:vertAlign w:val="superscript"/>
                <w:lang w:val="en-GB"/>
              </w:rPr>
              <w:t>1)</w:t>
            </w:r>
          </w:p>
        </w:tc>
        <w:tc>
          <w:tcPr>
            <w:tcW w:w="303" w:type="pct"/>
            <w:vAlign w:val="center"/>
          </w:tcPr>
          <w:p w14:paraId="544AC890" w14:textId="77777777" w:rsidR="00E51CDD" w:rsidRPr="00A74D38" w:rsidRDefault="00E51CDD" w:rsidP="009938D9">
            <w:pPr>
              <w:widowControl w:val="0"/>
              <w:suppressAutoHyphens/>
              <w:spacing w:before="40" w:after="40"/>
              <w:jc w:val="left"/>
              <w:rPr>
                <w:b/>
                <w:strike/>
                <w:sz w:val="20"/>
                <w:szCs w:val="20"/>
                <w:highlight w:val="yellow"/>
                <w:lang w:val="en-GB"/>
              </w:rPr>
            </w:pPr>
            <w:r w:rsidRPr="00A74D38">
              <w:rPr>
                <w:b/>
                <w:strike/>
                <w:sz w:val="20"/>
                <w:szCs w:val="20"/>
                <w:highlight w:val="yellow"/>
                <w:lang w:val="en-GB"/>
              </w:rPr>
              <w:t>AF</w:t>
            </w:r>
          </w:p>
        </w:tc>
        <w:tc>
          <w:tcPr>
            <w:tcW w:w="424" w:type="pct"/>
            <w:vAlign w:val="center"/>
          </w:tcPr>
          <w:p w14:paraId="53FD182C" w14:textId="77777777" w:rsidR="00E51CDD" w:rsidRPr="00A74D38" w:rsidRDefault="00E51CDD" w:rsidP="009938D9">
            <w:pPr>
              <w:widowControl w:val="0"/>
              <w:suppressAutoHyphens/>
              <w:spacing w:before="40" w:after="40"/>
              <w:jc w:val="left"/>
              <w:rPr>
                <w:b/>
                <w:strike/>
                <w:sz w:val="20"/>
                <w:szCs w:val="20"/>
                <w:highlight w:val="yellow"/>
                <w:vertAlign w:val="subscript"/>
                <w:lang w:val="en-GB"/>
              </w:rPr>
            </w:pPr>
            <w:r w:rsidRPr="00A74D38">
              <w:rPr>
                <w:b/>
                <w:strike/>
                <w:sz w:val="20"/>
                <w:szCs w:val="20"/>
                <w:highlight w:val="yellow"/>
                <w:lang w:val="en-GB"/>
              </w:rPr>
              <w:t>RAC</w:t>
            </w:r>
            <w:r w:rsidRPr="00A74D38">
              <w:rPr>
                <w:b/>
                <w:i/>
                <w:strike/>
                <w:sz w:val="20"/>
                <w:szCs w:val="20"/>
                <w:highlight w:val="yellow"/>
                <w:vertAlign w:val="subscript"/>
                <w:lang w:val="en-GB"/>
              </w:rPr>
              <w:t xml:space="preserve">i </w:t>
            </w:r>
            <w:r w:rsidRPr="00A74D38">
              <w:rPr>
                <w:b/>
                <w:strike/>
                <w:sz w:val="20"/>
                <w:szCs w:val="20"/>
                <w:highlight w:val="yellow"/>
                <w:lang w:val="en-GB"/>
              </w:rPr>
              <w:t>[µg/L]</w:t>
            </w:r>
          </w:p>
        </w:tc>
        <w:tc>
          <w:tcPr>
            <w:tcW w:w="424" w:type="pct"/>
            <w:vAlign w:val="center"/>
          </w:tcPr>
          <w:p w14:paraId="2F954459" w14:textId="77777777" w:rsidR="00E51CDD" w:rsidRPr="00A74D38" w:rsidRDefault="00E51CDD" w:rsidP="009938D9">
            <w:pPr>
              <w:widowControl w:val="0"/>
              <w:suppressAutoHyphens/>
              <w:spacing w:before="40" w:after="40"/>
              <w:jc w:val="left"/>
              <w:rPr>
                <w:b/>
                <w:strike/>
                <w:sz w:val="20"/>
                <w:szCs w:val="20"/>
                <w:highlight w:val="yellow"/>
                <w:vertAlign w:val="superscript"/>
                <w:lang w:val="en-GB"/>
              </w:rPr>
            </w:pPr>
            <w:r w:rsidRPr="00A74D38">
              <w:rPr>
                <w:b/>
                <w:strike/>
                <w:sz w:val="20"/>
                <w:szCs w:val="20"/>
                <w:highlight w:val="yellow"/>
                <w:lang w:val="en-GB"/>
              </w:rPr>
              <w:t>PEC</w:t>
            </w:r>
            <w:r w:rsidRPr="00A74D38">
              <w:rPr>
                <w:b/>
                <w:i/>
                <w:strike/>
                <w:sz w:val="20"/>
                <w:szCs w:val="20"/>
                <w:highlight w:val="yellow"/>
                <w:vertAlign w:val="subscript"/>
                <w:lang w:val="en-GB"/>
              </w:rPr>
              <w:t xml:space="preserve">i </w:t>
            </w:r>
            <w:r w:rsidRPr="00A74D38">
              <w:rPr>
                <w:b/>
                <w:strike/>
                <w:sz w:val="20"/>
                <w:szCs w:val="20"/>
                <w:highlight w:val="yellow"/>
                <w:lang w:val="en-GB"/>
              </w:rPr>
              <w:t xml:space="preserve">[µg/L] </w:t>
            </w:r>
          </w:p>
        </w:tc>
        <w:tc>
          <w:tcPr>
            <w:tcW w:w="427" w:type="pct"/>
            <w:vAlign w:val="center"/>
          </w:tcPr>
          <w:p w14:paraId="0C6BE78C" w14:textId="77777777" w:rsidR="00E51CDD" w:rsidRPr="00A74D38" w:rsidRDefault="00E51CDD" w:rsidP="009938D9">
            <w:pPr>
              <w:widowControl w:val="0"/>
              <w:suppressAutoHyphens/>
              <w:spacing w:before="40" w:after="40"/>
              <w:jc w:val="left"/>
              <w:rPr>
                <w:b/>
                <w:i/>
                <w:strike/>
                <w:sz w:val="20"/>
                <w:szCs w:val="20"/>
                <w:highlight w:val="yellow"/>
                <w:lang w:val="fr-FR"/>
              </w:rPr>
            </w:pPr>
            <w:r w:rsidRPr="00A74D38">
              <w:rPr>
                <w:b/>
                <w:strike/>
                <w:sz w:val="20"/>
                <w:szCs w:val="20"/>
                <w:highlight w:val="yellow"/>
                <w:lang w:val="fr-FR"/>
              </w:rPr>
              <w:t>PEC</w:t>
            </w:r>
            <w:r w:rsidRPr="00A74D38">
              <w:rPr>
                <w:b/>
                <w:i/>
                <w:strike/>
                <w:sz w:val="20"/>
                <w:szCs w:val="20"/>
                <w:highlight w:val="yellow"/>
                <w:vertAlign w:val="subscript"/>
                <w:lang w:val="fr-FR"/>
              </w:rPr>
              <w:t xml:space="preserve">i </w:t>
            </w:r>
            <w:r w:rsidRPr="00A74D38">
              <w:rPr>
                <w:b/>
                <w:strike/>
                <w:sz w:val="20"/>
                <w:szCs w:val="20"/>
                <w:highlight w:val="yellow"/>
                <w:lang w:val="fr-FR"/>
              </w:rPr>
              <w:t>/ RAC</w:t>
            </w:r>
            <w:r w:rsidRPr="00A74D38">
              <w:rPr>
                <w:b/>
                <w:i/>
                <w:strike/>
                <w:sz w:val="20"/>
                <w:szCs w:val="20"/>
                <w:highlight w:val="yellow"/>
                <w:vertAlign w:val="subscript"/>
                <w:lang w:val="fr-FR"/>
              </w:rPr>
              <w:t>i</w:t>
            </w:r>
          </w:p>
        </w:tc>
        <w:tc>
          <w:tcPr>
            <w:tcW w:w="450" w:type="pct"/>
            <w:vAlign w:val="center"/>
          </w:tcPr>
          <w:p w14:paraId="229E97D7" w14:textId="77777777" w:rsidR="00E51CDD" w:rsidRPr="00A74D38" w:rsidRDefault="00E51CDD" w:rsidP="009938D9">
            <w:pPr>
              <w:widowControl w:val="0"/>
              <w:suppressAutoHyphens/>
              <w:spacing w:before="40" w:after="40"/>
              <w:jc w:val="left"/>
              <w:rPr>
                <w:b/>
                <w:strike/>
                <w:sz w:val="20"/>
                <w:szCs w:val="20"/>
                <w:highlight w:val="yellow"/>
                <w:vertAlign w:val="subscript"/>
                <w:lang w:val="fr-FR"/>
              </w:rPr>
            </w:pPr>
            <w:r w:rsidRPr="00A74D38">
              <w:rPr>
                <w:b/>
                <w:strike/>
                <w:sz w:val="20"/>
                <w:szCs w:val="20"/>
                <w:highlight w:val="yellow"/>
                <w:lang w:val="fr-FR"/>
              </w:rPr>
              <w:t>RQ</w:t>
            </w:r>
            <w:r w:rsidRPr="00A74D38">
              <w:rPr>
                <w:b/>
                <w:strike/>
                <w:sz w:val="20"/>
                <w:szCs w:val="20"/>
                <w:highlight w:val="yellow"/>
                <w:vertAlign w:val="subscript"/>
                <w:lang w:val="fr-FR"/>
              </w:rPr>
              <w:t>mix</w:t>
            </w:r>
          </w:p>
        </w:tc>
      </w:tr>
      <w:tr w:rsidR="00E51CDD" w:rsidRPr="00A74D38" w14:paraId="12FD263A" w14:textId="77777777" w:rsidTr="009938D9">
        <w:tc>
          <w:tcPr>
            <w:tcW w:w="5000" w:type="pct"/>
            <w:gridSpan w:val="8"/>
            <w:tcBorders>
              <w:bottom w:val="single" w:sz="4" w:space="0" w:color="auto"/>
            </w:tcBorders>
          </w:tcPr>
          <w:p w14:paraId="13392996" w14:textId="77777777" w:rsidR="00E51CDD" w:rsidRPr="00A74D38" w:rsidRDefault="00E51CDD" w:rsidP="009938D9">
            <w:pPr>
              <w:widowControl w:val="0"/>
              <w:suppressAutoHyphens/>
              <w:spacing w:before="40" w:after="40"/>
              <w:jc w:val="left"/>
              <w:rPr>
                <w:b/>
                <w:i/>
                <w:strike/>
                <w:sz w:val="20"/>
                <w:szCs w:val="20"/>
                <w:highlight w:val="yellow"/>
                <w:lang w:val="en-GB"/>
              </w:rPr>
            </w:pPr>
            <w:r w:rsidRPr="00A74D38">
              <w:rPr>
                <w:b/>
                <w:i/>
                <w:strike/>
                <w:sz w:val="20"/>
                <w:szCs w:val="20"/>
                <w:highlight w:val="yellow"/>
                <w:lang w:val="en-GB"/>
              </w:rPr>
              <w:t>fish, acute</w:t>
            </w:r>
          </w:p>
        </w:tc>
      </w:tr>
      <w:tr w:rsidR="00E51CDD" w:rsidRPr="00A74D38" w14:paraId="453DD535" w14:textId="77777777" w:rsidTr="009938D9">
        <w:tc>
          <w:tcPr>
            <w:tcW w:w="765" w:type="pct"/>
            <w:vMerge w:val="restart"/>
            <w:vAlign w:val="center"/>
          </w:tcPr>
          <w:p w14:paraId="14B04488"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R4 stream</w:t>
            </w:r>
          </w:p>
        </w:tc>
        <w:tc>
          <w:tcPr>
            <w:tcW w:w="1041" w:type="pct"/>
            <w:vAlign w:val="center"/>
          </w:tcPr>
          <w:p w14:paraId="4941D77E"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Fluxapyroxad</w:t>
            </w:r>
          </w:p>
        </w:tc>
        <w:tc>
          <w:tcPr>
            <w:tcW w:w="1166" w:type="pct"/>
            <w:vAlign w:val="center"/>
          </w:tcPr>
          <w:p w14:paraId="7DF4DE8D" w14:textId="77777777" w:rsidR="00E51CDD" w:rsidRPr="00A74D38" w:rsidRDefault="00E51CDD" w:rsidP="009938D9">
            <w:pPr>
              <w:widowControl w:val="0"/>
              <w:suppressAutoHyphens/>
              <w:spacing w:before="40" w:after="40"/>
              <w:jc w:val="left"/>
              <w:rPr>
                <w:strike/>
                <w:sz w:val="20"/>
                <w:szCs w:val="20"/>
                <w:highlight w:val="yellow"/>
                <w:vertAlign w:val="subscript"/>
                <w:lang w:val="en-GB"/>
              </w:rPr>
            </w:pPr>
            <w:r w:rsidRPr="00A74D38">
              <w:rPr>
                <w:strike/>
                <w:sz w:val="20"/>
                <w:szCs w:val="20"/>
                <w:highlight w:val="yellow"/>
                <w:lang w:val="en-GB"/>
              </w:rPr>
              <w:t xml:space="preserve">SSD </w:t>
            </w:r>
            <w:r w:rsidRPr="00A74D38">
              <w:rPr>
                <w:strike/>
                <w:sz w:val="20"/>
                <w:szCs w:val="20"/>
                <w:highlight w:val="yellow"/>
                <w:vertAlign w:val="subscript"/>
                <w:lang w:val="en-GB"/>
              </w:rPr>
              <w:t>fish acute</w:t>
            </w:r>
          </w:p>
          <w:p w14:paraId="360AC900"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HC</w:t>
            </w:r>
            <w:r w:rsidRPr="00A74D38">
              <w:rPr>
                <w:strike/>
                <w:sz w:val="20"/>
                <w:szCs w:val="20"/>
                <w:highlight w:val="yellow"/>
                <w:vertAlign w:val="subscript"/>
                <w:lang w:val="en-GB"/>
              </w:rPr>
              <w:t>5</w:t>
            </w:r>
            <w:r w:rsidRPr="00A74D38">
              <w:rPr>
                <w:strike/>
                <w:sz w:val="20"/>
                <w:szCs w:val="20"/>
                <w:highlight w:val="yellow"/>
                <w:lang w:val="en-GB"/>
              </w:rPr>
              <w:t xml:space="preserve"> = 148 µg/L</w:t>
            </w:r>
          </w:p>
        </w:tc>
        <w:tc>
          <w:tcPr>
            <w:tcW w:w="303" w:type="pct"/>
            <w:vAlign w:val="center"/>
          </w:tcPr>
          <w:p w14:paraId="56CDCF8D"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3</w:t>
            </w:r>
          </w:p>
        </w:tc>
        <w:tc>
          <w:tcPr>
            <w:tcW w:w="424" w:type="pct"/>
            <w:vAlign w:val="center"/>
          </w:tcPr>
          <w:p w14:paraId="30A04A29"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49.33</w:t>
            </w:r>
          </w:p>
        </w:tc>
        <w:tc>
          <w:tcPr>
            <w:tcW w:w="424" w:type="pct"/>
            <w:vAlign w:val="center"/>
          </w:tcPr>
          <w:p w14:paraId="1049DCFE"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0.845</w:t>
            </w:r>
          </w:p>
        </w:tc>
        <w:tc>
          <w:tcPr>
            <w:tcW w:w="427" w:type="pct"/>
            <w:vAlign w:val="center"/>
          </w:tcPr>
          <w:p w14:paraId="7CAFA46E"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0.02</w:t>
            </w:r>
          </w:p>
        </w:tc>
        <w:tc>
          <w:tcPr>
            <w:tcW w:w="450" w:type="pct"/>
            <w:vMerge w:val="restart"/>
            <w:vAlign w:val="center"/>
          </w:tcPr>
          <w:p w14:paraId="79441DF2" w14:textId="77777777" w:rsidR="00E51CDD" w:rsidRPr="00A74D38" w:rsidRDefault="00E51CDD" w:rsidP="009938D9">
            <w:pPr>
              <w:widowControl w:val="0"/>
              <w:suppressAutoHyphens/>
              <w:spacing w:before="40" w:after="40"/>
              <w:rPr>
                <w:strike/>
                <w:sz w:val="20"/>
                <w:szCs w:val="20"/>
                <w:highlight w:val="yellow"/>
                <w:lang w:val="en-GB"/>
              </w:rPr>
            </w:pPr>
            <w:r w:rsidRPr="00A74D38">
              <w:rPr>
                <w:strike/>
                <w:sz w:val="20"/>
                <w:szCs w:val="20"/>
                <w:highlight w:val="yellow"/>
                <w:lang w:val="en-GB"/>
              </w:rPr>
              <w:t>0.62</w:t>
            </w:r>
          </w:p>
        </w:tc>
      </w:tr>
      <w:tr w:rsidR="00E51CDD" w:rsidRPr="00A74D38" w14:paraId="67395947" w14:textId="77777777" w:rsidTr="009938D9">
        <w:trPr>
          <w:trHeight w:val="654"/>
        </w:trPr>
        <w:tc>
          <w:tcPr>
            <w:tcW w:w="765" w:type="pct"/>
            <w:vMerge/>
            <w:tcBorders>
              <w:bottom w:val="single" w:sz="4" w:space="0" w:color="auto"/>
            </w:tcBorders>
            <w:vAlign w:val="center"/>
          </w:tcPr>
          <w:p w14:paraId="70293BAD" w14:textId="77777777" w:rsidR="00E51CDD" w:rsidRPr="00A74D38" w:rsidRDefault="00E51CDD" w:rsidP="009938D9">
            <w:pPr>
              <w:widowControl w:val="0"/>
              <w:suppressAutoHyphens/>
              <w:spacing w:before="40" w:after="40"/>
              <w:jc w:val="left"/>
              <w:rPr>
                <w:strike/>
                <w:sz w:val="20"/>
                <w:szCs w:val="20"/>
                <w:highlight w:val="yellow"/>
                <w:lang w:val="en-GB"/>
              </w:rPr>
            </w:pPr>
          </w:p>
        </w:tc>
        <w:tc>
          <w:tcPr>
            <w:tcW w:w="1041" w:type="pct"/>
            <w:tcBorders>
              <w:bottom w:val="single" w:sz="4" w:space="0" w:color="auto"/>
            </w:tcBorders>
            <w:vAlign w:val="center"/>
          </w:tcPr>
          <w:p w14:paraId="78E34B7D"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Azoxystrobin</w:t>
            </w:r>
          </w:p>
        </w:tc>
        <w:tc>
          <w:tcPr>
            <w:tcW w:w="1166" w:type="pct"/>
            <w:tcBorders>
              <w:bottom w:val="single" w:sz="4" w:space="0" w:color="auto"/>
            </w:tcBorders>
            <w:vAlign w:val="center"/>
          </w:tcPr>
          <w:p w14:paraId="42D3ED20" w14:textId="77777777" w:rsidR="00E51CDD" w:rsidRPr="00A74D38" w:rsidRDefault="00E51CDD" w:rsidP="009938D9">
            <w:pPr>
              <w:widowControl w:val="0"/>
              <w:suppressAutoHyphens/>
              <w:spacing w:before="40" w:after="40"/>
              <w:jc w:val="left"/>
              <w:rPr>
                <w:i/>
                <w:strike/>
                <w:sz w:val="20"/>
                <w:szCs w:val="20"/>
                <w:highlight w:val="yellow"/>
                <w:lang w:val="en-GB"/>
              </w:rPr>
            </w:pPr>
            <w:r w:rsidRPr="00A74D38">
              <w:rPr>
                <w:i/>
                <w:strike/>
                <w:sz w:val="20"/>
                <w:szCs w:val="20"/>
                <w:highlight w:val="yellow"/>
                <w:lang w:val="en-GB"/>
              </w:rPr>
              <w:t xml:space="preserve">O. mykiss, </w:t>
            </w:r>
          </w:p>
          <w:p w14:paraId="573CC20F"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LC</w:t>
            </w:r>
            <w:r w:rsidRPr="00A74D38">
              <w:rPr>
                <w:strike/>
                <w:sz w:val="20"/>
                <w:szCs w:val="20"/>
                <w:highlight w:val="yellow"/>
                <w:vertAlign w:val="subscript"/>
                <w:lang w:val="en-GB"/>
              </w:rPr>
              <w:t>50</w:t>
            </w:r>
            <w:r w:rsidRPr="00A74D38">
              <w:rPr>
                <w:strike/>
                <w:sz w:val="20"/>
                <w:szCs w:val="20"/>
                <w:highlight w:val="yellow"/>
                <w:lang w:val="en-GB"/>
              </w:rPr>
              <w:t xml:space="preserve"> = 470 µg/L</w:t>
            </w:r>
          </w:p>
        </w:tc>
        <w:tc>
          <w:tcPr>
            <w:tcW w:w="303" w:type="pct"/>
            <w:tcBorders>
              <w:bottom w:val="single" w:sz="4" w:space="0" w:color="auto"/>
            </w:tcBorders>
            <w:vAlign w:val="center"/>
          </w:tcPr>
          <w:p w14:paraId="50EDA6B2"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100</w:t>
            </w:r>
          </w:p>
        </w:tc>
        <w:tc>
          <w:tcPr>
            <w:tcW w:w="424" w:type="pct"/>
            <w:tcBorders>
              <w:bottom w:val="single" w:sz="4" w:space="0" w:color="auto"/>
            </w:tcBorders>
            <w:vAlign w:val="center"/>
          </w:tcPr>
          <w:p w14:paraId="4820CE0F"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4.7</w:t>
            </w:r>
          </w:p>
        </w:tc>
        <w:tc>
          <w:tcPr>
            <w:tcW w:w="424" w:type="pct"/>
            <w:tcBorders>
              <w:bottom w:val="single" w:sz="4" w:space="0" w:color="auto"/>
            </w:tcBorders>
            <w:vAlign w:val="center"/>
          </w:tcPr>
          <w:p w14:paraId="2D8DF5A9"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2.841</w:t>
            </w:r>
          </w:p>
        </w:tc>
        <w:tc>
          <w:tcPr>
            <w:tcW w:w="427" w:type="pct"/>
            <w:tcBorders>
              <w:bottom w:val="single" w:sz="4" w:space="0" w:color="auto"/>
            </w:tcBorders>
            <w:vAlign w:val="center"/>
          </w:tcPr>
          <w:p w14:paraId="3A161090" w14:textId="77777777" w:rsidR="00E51CDD" w:rsidRPr="00A74D38" w:rsidRDefault="00E51CDD" w:rsidP="009938D9">
            <w:pPr>
              <w:widowControl w:val="0"/>
              <w:suppressAutoHyphens/>
              <w:spacing w:before="40" w:after="40"/>
              <w:jc w:val="left"/>
              <w:rPr>
                <w:strike/>
                <w:sz w:val="20"/>
                <w:szCs w:val="20"/>
                <w:highlight w:val="yellow"/>
                <w:lang w:val="en-GB"/>
              </w:rPr>
            </w:pPr>
            <w:r w:rsidRPr="00A74D38">
              <w:rPr>
                <w:strike/>
                <w:sz w:val="20"/>
                <w:szCs w:val="20"/>
                <w:highlight w:val="yellow"/>
                <w:lang w:val="en-GB"/>
              </w:rPr>
              <w:t>0.6</w:t>
            </w:r>
          </w:p>
        </w:tc>
        <w:tc>
          <w:tcPr>
            <w:tcW w:w="450" w:type="pct"/>
            <w:vMerge/>
            <w:tcBorders>
              <w:bottom w:val="single" w:sz="4" w:space="0" w:color="auto"/>
            </w:tcBorders>
            <w:vAlign w:val="center"/>
          </w:tcPr>
          <w:p w14:paraId="7B8638AE" w14:textId="77777777" w:rsidR="00E51CDD" w:rsidRPr="00A74D38" w:rsidRDefault="00E51CDD" w:rsidP="009938D9">
            <w:pPr>
              <w:widowControl w:val="0"/>
              <w:suppressAutoHyphens/>
              <w:spacing w:before="40" w:after="40"/>
              <w:jc w:val="left"/>
              <w:rPr>
                <w:strike/>
                <w:sz w:val="20"/>
                <w:szCs w:val="20"/>
                <w:highlight w:val="yellow"/>
                <w:lang w:val="en-GB"/>
              </w:rPr>
            </w:pPr>
          </w:p>
        </w:tc>
      </w:tr>
    </w:tbl>
    <w:p w14:paraId="1E22F28E" w14:textId="77777777" w:rsidR="00E51CDD" w:rsidRPr="00A74D38" w:rsidRDefault="00E51CDD" w:rsidP="00E51CDD">
      <w:pPr>
        <w:widowControl w:val="0"/>
        <w:ind w:left="284" w:hanging="284"/>
        <w:jc w:val="both"/>
        <w:rPr>
          <w:strike/>
          <w:noProof/>
          <w:sz w:val="18"/>
          <w:szCs w:val="18"/>
          <w:highlight w:val="yellow"/>
          <w:lang w:val="en-GB"/>
        </w:rPr>
      </w:pPr>
      <w:r w:rsidRPr="00A74D38">
        <w:rPr>
          <w:strike/>
          <w:noProof/>
          <w:sz w:val="18"/>
          <w:szCs w:val="18"/>
          <w:highlight w:val="yellow"/>
          <w:lang w:val="en-GB"/>
        </w:rPr>
        <w:t xml:space="preserve">AF: Assessment factor; PEC: Predicted environmental concentration; RAC: Regulatory acceptable concentration; RQ: risk quotient; </w:t>
      </w:r>
    </w:p>
    <w:p w14:paraId="3DBFEB6E" w14:textId="77777777" w:rsidR="00E51CDD" w:rsidRPr="00A74D38" w:rsidRDefault="00E51CDD" w:rsidP="00E51CDD">
      <w:pPr>
        <w:widowControl w:val="0"/>
        <w:ind w:left="284" w:hanging="284"/>
        <w:jc w:val="both"/>
        <w:rPr>
          <w:strike/>
          <w:noProof/>
          <w:sz w:val="18"/>
          <w:szCs w:val="18"/>
          <w:highlight w:val="yellow"/>
          <w:vertAlign w:val="superscript"/>
          <w:lang w:val="en-GB"/>
        </w:rPr>
      </w:pPr>
      <w:r w:rsidRPr="00A74D38">
        <w:rPr>
          <w:strike/>
          <w:noProof/>
          <w:sz w:val="18"/>
          <w:szCs w:val="18"/>
          <w:highlight w:val="yellow"/>
          <w:vertAlign w:val="superscript"/>
          <w:lang w:val="en-GB"/>
        </w:rPr>
        <w:t>1)</w:t>
      </w:r>
      <w:r w:rsidRPr="00A74D38">
        <w:rPr>
          <w:strike/>
          <w:noProof/>
          <w:sz w:val="18"/>
          <w:szCs w:val="18"/>
          <w:highlight w:val="yellow"/>
          <w:vertAlign w:val="superscript"/>
          <w:lang w:val="en-GB"/>
        </w:rPr>
        <w:tab/>
      </w:r>
      <w:r w:rsidRPr="00A74D38">
        <w:rPr>
          <w:strike/>
          <w:noProof/>
          <w:sz w:val="18"/>
          <w:szCs w:val="18"/>
          <w:highlight w:val="yellow"/>
          <w:lang w:val="en-GB"/>
        </w:rPr>
        <w:t>For details on the refined risk assessments and derivation of the resulting higher-tier RAC values for aquatic invertebrates see above.</w:t>
      </w:r>
    </w:p>
    <w:p w14:paraId="06B7BD7F" w14:textId="77777777" w:rsidR="00E51CDD" w:rsidRPr="00A74D38" w:rsidRDefault="00E51CDD" w:rsidP="00E51CDD">
      <w:pPr>
        <w:widowControl w:val="0"/>
        <w:ind w:left="284" w:hanging="284"/>
        <w:jc w:val="both"/>
        <w:rPr>
          <w:b/>
          <w:strike/>
          <w:noProof/>
          <w:sz w:val="18"/>
          <w:szCs w:val="18"/>
          <w:highlight w:val="yellow"/>
        </w:rPr>
      </w:pPr>
      <w:r w:rsidRPr="00A74D38">
        <w:rPr>
          <w:b/>
          <w:strike/>
          <w:noProof/>
          <w:sz w:val="18"/>
          <w:szCs w:val="18"/>
          <w:highlight w:val="yellow"/>
          <w:vertAlign w:val="superscript"/>
          <w:lang w:val="en-GB"/>
        </w:rPr>
        <w:t>2)</w:t>
      </w:r>
      <w:r w:rsidRPr="00A74D38">
        <w:rPr>
          <w:b/>
          <w:strike/>
          <w:noProof/>
          <w:sz w:val="18"/>
          <w:szCs w:val="18"/>
          <w:highlight w:val="yellow"/>
          <w:vertAlign w:val="superscript"/>
          <w:lang w:val="en-GB"/>
        </w:rPr>
        <w:tab/>
      </w:r>
      <w:r w:rsidRPr="00A74D38">
        <w:rPr>
          <w:strike/>
          <w:sz w:val="18"/>
          <w:szCs w:val="18"/>
          <w:highlight w:val="yellow"/>
        </w:rPr>
        <w:t>Only the worst-case PEC</w:t>
      </w:r>
      <w:r w:rsidRPr="00A74D38">
        <w:rPr>
          <w:strike/>
          <w:sz w:val="18"/>
          <w:szCs w:val="18"/>
          <w:highlight w:val="yellow"/>
          <w:vertAlign w:val="subscript"/>
        </w:rPr>
        <w:t>sw</w:t>
      </w:r>
      <w:r w:rsidRPr="00A74D38">
        <w:rPr>
          <w:strike/>
          <w:sz w:val="18"/>
          <w:szCs w:val="18"/>
          <w:highlight w:val="yellow"/>
        </w:rPr>
        <w:t xml:space="preserve"> values out of the calculations for single and twofold application in spring cereals are used (for details on PEC</w:t>
      </w:r>
      <w:r w:rsidRPr="00A74D38">
        <w:rPr>
          <w:strike/>
          <w:sz w:val="18"/>
          <w:szCs w:val="18"/>
          <w:highlight w:val="yellow"/>
          <w:vertAlign w:val="subscript"/>
        </w:rPr>
        <w:t>sw</w:t>
      </w:r>
      <w:r w:rsidRPr="00A74D38">
        <w:rPr>
          <w:strike/>
          <w:sz w:val="18"/>
          <w:szCs w:val="18"/>
          <w:highlight w:val="yellow"/>
        </w:rPr>
        <w:t xml:space="preserve"> calculations please refer to Part B, Section 9.8).</w:t>
      </w:r>
    </w:p>
    <w:p w14:paraId="51ED5F24" w14:textId="77777777" w:rsidR="00E51CDD" w:rsidRPr="00A74D38" w:rsidRDefault="00E51CDD" w:rsidP="00E51CDD">
      <w:pPr>
        <w:widowControl w:val="0"/>
        <w:rPr>
          <w:strike/>
          <w:noProof/>
          <w:sz w:val="18"/>
          <w:szCs w:val="18"/>
          <w:highlight w:val="yellow"/>
        </w:rPr>
      </w:pPr>
    </w:p>
    <w:p w14:paraId="1A67D627" w14:textId="77777777" w:rsidR="00E51CDD" w:rsidRPr="00A74D38" w:rsidRDefault="00E51CDD" w:rsidP="00E51CDD">
      <w:pPr>
        <w:widowControl w:val="0"/>
        <w:rPr>
          <w:strike/>
          <w:noProof/>
          <w:sz w:val="18"/>
          <w:szCs w:val="18"/>
          <w:highlight w:val="yellow"/>
        </w:rPr>
      </w:pPr>
    </w:p>
    <w:p w14:paraId="1C8F4321" w14:textId="77777777" w:rsidR="00E51CDD" w:rsidRPr="00A74D38" w:rsidRDefault="00E51CDD" w:rsidP="00E51CDD">
      <w:pPr>
        <w:pStyle w:val="RepStandard"/>
        <w:rPr>
          <w:bCs/>
          <w:strike/>
        </w:rPr>
      </w:pPr>
      <w:r w:rsidRPr="00A74D38">
        <w:rPr>
          <w:bCs/>
          <w:strike/>
          <w:highlight w:val="yellow"/>
        </w:rPr>
        <w:t xml:space="preserve">The RQ calculations based on acute higher tier data for fish </w:t>
      </w:r>
      <w:r w:rsidRPr="00A74D38">
        <w:rPr>
          <w:strike/>
          <w:highlight w:val="yellow"/>
          <w:lang w:val="en-US"/>
        </w:rPr>
        <w:t xml:space="preserve">indicate </w:t>
      </w:r>
      <w:r w:rsidRPr="00A74D38">
        <w:rPr>
          <w:bCs/>
          <w:strike/>
          <w:highlight w:val="yellow"/>
        </w:rPr>
        <w:t>an acceptable risk for the application of BAS 736 00 F in ‘spring cereals’ with no need for additional mitigation measures.</w:t>
      </w:r>
      <w:r w:rsidRPr="00A74D38">
        <w:rPr>
          <w:bCs/>
          <w:strike/>
        </w:rPr>
        <w:t xml:space="preserve"> </w:t>
      </w:r>
    </w:p>
    <w:p w14:paraId="3F0EFBDD" w14:textId="77777777" w:rsidR="00E51CDD" w:rsidRPr="00227BE0" w:rsidRDefault="00E51CDD" w:rsidP="00E51CDD">
      <w:pPr>
        <w:widowControl w:val="0"/>
        <w:suppressAutoHyphens/>
        <w:jc w:val="both"/>
        <w:rPr>
          <w:b/>
          <w:u w:val="single"/>
        </w:rPr>
      </w:pPr>
      <w:r w:rsidRPr="00227BE0">
        <w:rPr>
          <w:rFonts w:eastAsiaTheme="minorHAnsi"/>
          <w:lang w:eastAsia="en-US"/>
        </w:rPr>
        <w:br w:type="page"/>
      </w:r>
      <w:r w:rsidRPr="00227BE0">
        <w:rPr>
          <w:b/>
          <w:u w:val="single"/>
        </w:rPr>
        <w:lastRenderedPageBreak/>
        <w:t>Residue data in fish</w:t>
      </w:r>
    </w:p>
    <w:p w14:paraId="3CE133F0" w14:textId="77777777" w:rsidR="00E51CDD" w:rsidRPr="00227BE0" w:rsidRDefault="00E51CDD" w:rsidP="00E51CDD">
      <w:pPr>
        <w:pStyle w:val="RepStandard"/>
        <w:rPr>
          <w:rFonts w:eastAsiaTheme="minorHAnsi"/>
          <w:lang w:eastAsia="en-US"/>
        </w:rPr>
      </w:pPr>
    </w:p>
    <w:p w14:paraId="2692522F" w14:textId="77777777" w:rsidR="00E51CDD" w:rsidRPr="00227BE0" w:rsidRDefault="00E51CDD" w:rsidP="00E51CDD">
      <w:pPr>
        <w:pStyle w:val="RepStandard"/>
        <w:rPr>
          <w:b/>
          <w:bCs/>
        </w:rPr>
      </w:pPr>
      <w:r w:rsidRPr="00227BE0">
        <w:rPr>
          <w:b/>
          <w:bCs/>
        </w:rPr>
        <w:t>Fluxapyroxad</w:t>
      </w:r>
    </w:p>
    <w:p w14:paraId="5667A04D" w14:textId="77777777" w:rsidR="00E51CDD" w:rsidRPr="00227BE0" w:rsidRDefault="00E51CDD" w:rsidP="00E51CDD">
      <w:pPr>
        <w:pStyle w:val="RepStandard"/>
      </w:pPr>
    </w:p>
    <w:p w14:paraId="607D91E6" w14:textId="77777777" w:rsidR="00E51CDD" w:rsidRPr="00227BE0" w:rsidRDefault="00E51CDD" w:rsidP="00E51CDD">
      <w:pPr>
        <w:jc w:val="both"/>
        <w:rPr>
          <w:szCs w:val="24"/>
        </w:rPr>
      </w:pPr>
      <w:r w:rsidRPr="00227BE0">
        <w:rPr>
          <w:szCs w:val="24"/>
        </w:rPr>
        <w:t>The log P</w:t>
      </w:r>
      <w:r w:rsidRPr="00227BE0">
        <w:rPr>
          <w:szCs w:val="24"/>
          <w:vertAlign w:val="subscript"/>
        </w:rPr>
        <w:t>ow</w:t>
      </w:r>
      <w:r w:rsidRPr="00227BE0">
        <w:rPr>
          <w:szCs w:val="24"/>
        </w:rPr>
        <w:t xml:space="preserve"> of the active substance fluxapyroxad was determined to be 3.1 (BASF DocID 2007/1057001).</w:t>
      </w:r>
    </w:p>
    <w:p w14:paraId="4C52FBEC" w14:textId="77777777" w:rsidR="00E51CDD" w:rsidRPr="00227BE0" w:rsidRDefault="00E51CDD" w:rsidP="00E51CDD">
      <w:pPr>
        <w:jc w:val="both"/>
        <w:rPr>
          <w:szCs w:val="24"/>
        </w:rPr>
      </w:pPr>
      <w:r w:rsidRPr="00227BE0">
        <w:rPr>
          <w:szCs w:val="24"/>
        </w:rPr>
        <w:t xml:space="preserve">A BCF study with </w:t>
      </w:r>
      <w:r w:rsidRPr="00227BE0">
        <w:rPr>
          <w:i/>
          <w:iCs/>
          <w:szCs w:val="24"/>
        </w:rPr>
        <w:t>L. macrochirus</w:t>
      </w:r>
      <w:r w:rsidRPr="00227BE0">
        <w:rPr>
          <w:szCs w:val="24"/>
        </w:rPr>
        <w:t xml:space="preserve"> (BASF DocID 2009/1012801) was conducted under flow-through conditions and resulted in a bioconcentration factor (BCF) of 86 and 93 for total radioactive residues (TRR) in whole fish for the 1 µg/L and the 10 µg/L dosing group, respectively. Bioconcentration factors calculated for the unchanged parent compound fluxapyroxad are 23 and 21 for edible tissue, 39 and 42 for inedible tissue, and 37 in whole fish of the low and high dose group, respectively. Rapid elimination of the test item was observed with a depuration half-life of &lt; 1 day and a DT</w:t>
      </w:r>
      <w:r w:rsidRPr="00227BE0">
        <w:rPr>
          <w:szCs w:val="24"/>
          <w:vertAlign w:val="subscript"/>
        </w:rPr>
        <w:t>90</w:t>
      </w:r>
      <w:r w:rsidRPr="00227BE0">
        <w:rPr>
          <w:szCs w:val="24"/>
        </w:rPr>
        <w:t xml:space="preserve"> of 2.41 to 2.45 days. For details see EU dossier for fluxapyroxad, Document M-II, chapter 8.2.</w:t>
      </w:r>
    </w:p>
    <w:p w14:paraId="26975EA2" w14:textId="77777777" w:rsidR="00E51CDD" w:rsidRPr="00227BE0" w:rsidRDefault="00E51CDD" w:rsidP="00E51CDD">
      <w:pPr>
        <w:suppressAutoHyphens/>
        <w:jc w:val="both"/>
        <w:rPr>
          <w:b/>
          <w:bCs/>
          <w:szCs w:val="24"/>
        </w:rPr>
      </w:pPr>
    </w:p>
    <w:p w14:paraId="181634C9" w14:textId="77777777" w:rsidR="00E51CDD" w:rsidRPr="00227BE0" w:rsidRDefault="00E51CDD" w:rsidP="00E51CDD">
      <w:pPr>
        <w:suppressAutoHyphens/>
        <w:jc w:val="both"/>
        <w:rPr>
          <w:szCs w:val="24"/>
        </w:rPr>
      </w:pPr>
      <w:r w:rsidRPr="00227BE0">
        <w:rPr>
          <w:szCs w:val="24"/>
        </w:rPr>
        <w:t>Thus, the active substance fluxapyroxad has a low bioaccumulation potential and therefore, no accumulation in the food chain is to be expected.</w:t>
      </w:r>
    </w:p>
    <w:p w14:paraId="26F3C4E2" w14:textId="77777777" w:rsidR="00E51CDD" w:rsidRPr="00227BE0" w:rsidRDefault="00E51CDD" w:rsidP="00E51CDD">
      <w:pPr>
        <w:widowControl w:val="0"/>
        <w:suppressAutoHyphens/>
        <w:jc w:val="both"/>
        <w:rPr>
          <w:rFonts w:eastAsiaTheme="minorHAnsi"/>
          <w:lang w:eastAsia="en-US"/>
        </w:rPr>
      </w:pPr>
    </w:p>
    <w:p w14:paraId="70D4DEFA" w14:textId="77777777" w:rsidR="00E51CDD" w:rsidRPr="00227BE0" w:rsidRDefault="00E51CDD" w:rsidP="00E51CDD">
      <w:pPr>
        <w:pStyle w:val="RepStandard"/>
        <w:rPr>
          <w:b/>
          <w:bCs/>
        </w:rPr>
      </w:pPr>
    </w:p>
    <w:p w14:paraId="317B0499" w14:textId="77777777" w:rsidR="00E51CDD" w:rsidRPr="00227BE0" w:rsidRDefault="00E51CDD" w:rsidP="00E51CDD">
      <w:pPr>
        <w:pStyle w:val="RepStandard"/>
        <w:rPr>
          <w:b/>
          <w:bCs/>
        </w:rPr>
      </w:pPr>
      <w:r w:rsidRPr="00227BE0">
        <w:rPr>
          <w:b/>
          <w:bCs/>
        </w:rPr>
        <w:t>Azoxystrobin</w:t>
      </w:r>
    </w:p>
    <w:p w14:paraId="576C2B16" w14:textId="77777777" w:rsidR="00E51CDD" w:rsidRPr="00227BE0" w:rsidRDefault="00E51CDD" w:rsidP="00E51CDD">
      <w:pPr>
        <w:pStyle w:val="RepStandard"/>
      </w:pPr>
    </w:p>
    <w:p w14:paraId="6BBDCC19" w14:textId="77777777" w:rsidR="00E51CDD" w:rsidRPr="00227BE0" w:rsidRDefault="00E51CDD" w:rsidP="00E51CDD">
      <w:pPr>
        <w:pStyle w:val="RepTable"/>
        <w:rPr>
          <w:sz w:val="22"/>
        </w:rPr>
      </w:pPr>
      <w:r w:rsidRPr="00227BE0">
        <w:rPr>
          <w:sz w:val="22"/>
        </w:rPr>
        <w:t>The log</w:t>
      </w:r>
      <w:r w:rsidRPr="00227BE0">
        <w:rPr>
          <w:sz w:val="22"/>
          <w:vertAlign w:val="subscript"/>
        </w:rPr>
        <w:t> Pow</w:t>
      </w:r>
      <w:r w:rsidRPr="00227BE0">
        <w:rPr>
          <w:sz w:val="22"/>
        </w:rPr>
        <w:t xml:space="preserve"> of the active substance azoxystrobin is 2.5 (</w:t>
      </w:r>
      <w:r w:rsidRPr="00227BE0">
        <w:rPr>
          <w:noProof w:val="0"/>
          <w:sz w:val="22"/>
          <w:lang w:val="en-US"/>
        </w:rPr>
        <w:t>EFSA Journal 2010; 8(4):1542)</w:t>
      </w:r>
      <w:r w:rsidRPr="00227BE0">
        <w:rPr>
          <w:sz w:val="22"/>
        </w:rPr>
        <w:t>, i.e. less than 3, therefore, no accumulation in the food chain is to be expected.</w:t>
      </w:r>
    </w:p>
    <w:p w14:paraId="6B4BC481" w14:textId="77777777" w:rsidR="00E51CDD" w:rsidRPr="00227BE0" w:rsidRDefault="00E51CDD" w:rsidP="00E51CDD">
      <w:pPr>
        <w:widowControl w:val="0"/>
        <w:suppressAutoHyphens/>
        <w:jc w:val="both"/>
        <w:rPr>
          <w:rFonts w:eastAsiaTheme="minorHAnsi"/>
          <w:lang w:eastAsia="en-US"/>
        </w:rPr>
      </w:pPr>
    </w:p>
    <w:p w14:paraId="54BE7895" w14:textId="77777777" w:rsidR="00E51CDD" w:rsidRPr="00227BE0" w:rsidRDefault="00E51CDD" w:rsidP="00E51CDD">
      <w:pPr>
        <w:suppressAutoHyphens/>
        <w:ind w:left="284" w:hanging="284"/>
        <w:jc w:val="both"/>
        <w:rPr>
          <w:lang w:val="en-GB"/>
        </w:rPr>
      </w:pPr>
    </w:p>
    <w:p w14:paraId="2A24BF60" w14:textId="77777777" w:rsidR="00E51CDD" w:rsidRPr="00227BE0" w:rsidRDefault="00E51CDD" w:rsidP="00E51CDD">
      <w:pPr>
        <w:pStyle w:val="Nagwek3"/>
      </w:pPr>
      <w:bookmarkStart w:id="527" w:name="_Toc125446427"/>
      <w:r w:rsidRPr="00227BE0">
        <w:t>Overall conclusions</w:t>
      </w:r>
      <w:bookmarkEnd w:id="502"/>
      <w:bookmarkEnd w:id="503"/>
      <w:bookmarkEnd w:id="504"/>
      <w:bookmarkEnd w:id="505"/>
      <w:bookmarkEnd w:id="506"/>
      <w:bookmarkEnd w:id="507"/>
      <w:bookmarkEnd w:id="508"/>
      <w:bookmarkEnd w:id="509"/>
      <w:bookmarkEnd w:id="510"/>
      <w:bookmarkEnd w:id="527"/>
    </w:p>
    <w:p w14:paraId="5ECE9825" w14:textId="77777777" w:rsidR="00E51CDD" w:rsidRDefault="00E51CDD" w:rsidP="00E51CDD">
      <w:pPr>
        <w:suppressAutoHyphens/>
        <w:jc w:val="both"/>
        <w:rPr>
          <w:b/>
          <w:bCs/>
        </w:rPr>
      </w:pPr>
      <w:r w:rsidRPr="00227BE0">
        <w:rPr>
          <w:b/>
        </w:rPr>
        <w:t>The standard and refined risk assessment for the fungicidal product BAS 736 00 F,</w:t>
      </w:r>
      <w:r w:rsidRPr="00227BE0">
        <w:rPr>
          <w:b/>
          <w:bCs/>
        </w:rPr>
        <w:t xml:space="preserve"> the active substances fluxapyroxad and azoxystrobin as well as their major metabolites demonstrates that the application of </w:t>
      </w:r>
      <w:r w:rsidRPr="00227BE0">
        <w:rPr>
          <w:b/>
        </w:rPr>
        <w:t xml:space="preserve">BAS 736 00 F in ’winter and spring cereals’ according to good agricultural practice </w:t>
      </w:r>
      <w:r w:rsidRPr="00227BE0">
        <w:rPr>
          <w:b/>
          <w:bCs/>
        </w:rPr>
        <w:t>is of low risk to aquatic ecosystems.</w:t>
      </w:r>
    </w:p>
    <w:p w14:paraId="3340B6FB" w14:textId="77777777" w:rsidR="00EC2844" w:rsidRDefault="00EC2844" w:rsidP="00E51CDD">
      <w:pPr>
        <w:suppressAutoHyphens/>
        <w:jc w:val="both"/>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5" w:color="auto" w:fill="auto"/>
        <w:tblLook w:val="04A0" w:firstRow="1" w:lastRow="0" w:firstColumn="1" w:lastColumn="0" w:noHBand="0" w:noVBand="1"/>
      </w:tblPr>
      <w:tblGrid>
        <w:gridCol w:w="9345"/>
      </w:tblGrid>
      <w:tr w:rsidR="00395C6F" w:rsidRPr="00AF4CF1" w14:paraId="519116DC" w14:textId="77777777" w:rsidTr="002B58E2">
        <w:tc>
          <w:tcPr>
            <w:tcW w:w="5000" w:type="pct"/>
            <w:shd w:val="pct15" w:color="auto" w:fill="auto"/>
          </w:tcPr>
          <w:p w14:paraId="073F059F" w14:textId="77777777" w:rsidR="00395C6F" w:rsidRPr="00DC576D" w:rsidRDefault="00395C6F" w:rsidP="002B58E2">
            <w:pPr>
              <w:overflowPunct w:val="0"/>
              <w:autoSpaceDE w:val="0"/>
              <w:autoSpaceDN w:val="0"/>
              <w:adjustRightInd w:val="0"/>
              <w:spacing w:after="120"/>
              <w:textAlignment w:val="baseline"/>
              <w:rPr>
                <w:b/>
                <w:bCs/>
              </w:rPr>
            </w:pPr>
            <w:r w:rsidRPr="00DC576D">
              <w:rPr>
                <w:b/>
                <w:bCs/>
                <w:lang w:eastAsia="en-US"/>
              </w:rPr>
              <w:t>Review Comments:</w:t>
            </w:r>
          </w:p>
          <w:p w14:paraId="17C76474" w14:textId="77777777" w:rsidR="00395C6F" w:rsidRDefault="00395C6F" w:rsidP="002B58E2">
            <w:pPr>
              <w:spacing w:after="120"/>
              <w:jc w:val="both"/>
              <w:rPr>
                <w:rFonts w:eastAsia="Calibri"/>
              </w:rPr>
            </w:pPr>
            <w:bookmarkStart w:id="528" w:name="_Hlk61972751"/>
            <w:r w:rsidRPr="005E2BA6">
              <w:t>The relevant predicted environmental concentrations in water (PEC</w:t>
            </w:r>
            <w:r w:rsidRPr="005E2BA6">
              <w:rPr>
                <w:vertAlign w:val="subscript"/>
              </w:rPr>
              <w:t>sw</w:t>
            </w:r>
            <w:r w:rsidRPr="005E2BA6">
              <w:t>) for risk assessments covering the proposed use pattern are taken from Part B Section 8 (Environmental Fate).</w:t>
            </w:r>
            <w:r w:rsidRPr="005E2BA6">
              <w:rPr>
                <w:rFonts w:eastAsia="Calibri"/>
              </w:rPr>
              <w:t xml:space="preserve"> </w:t>
            </w:r>
            <w:r w:rsidRPr="005E2BA6">
              <w:t>The initial risk assessment was based on the worst case PEC</w:t>
            </w:r>
            <w:r>
              <w:t>sw</w:t>
            </w:r>
            <w:r w:rsidRPr="005E2BA6">
              <w:t xml:space="preserve"> values and the results of laboratory toxicity testing. </w:t>
            </w:r>
            <w:bookmarkStart w:id="529" w:name="_Hlk61897476"/>
          </w:p>
          <w:p w14:paraId="192BBC3B" w14:textId="77777777" w:rsidR="00564619" w:rsidRDefault="00395C6F" w:rsidP="002B58E2">
            <w:pPr>
              <w:pStyle w:val="RepStandard"/>
              <w:suppressAutoHyphens/>
              <w:spacing w:before="120" w:after="120"/>
            </w:pPr>
            <w:r w:rsidRPr="00664B69">
              <w:rPr>
                <w:lang w:eastAsia="cs-CZ"/>
              </w:rPr>
              <w:t xml:space="preserve">For </w:t>
            </w:r>
            <w:r w:rsidRPr="00664B69">
              <w:t>active substance</w:t>
            </w:r>
            <w:r>
              <w:t>s</w:t>
            </w:r>
            <w:r w:rsidRPr="00664B69">
              <w:rPr>
                <w:lang w:eastAsia="cs-CZ"/>
              </w:rPr>
              <w:t xml:space="preserve"> and relevant metabolites PEC</w:t>
            </w:r>
            <w:r w:rsidRPr="00664B69">
              <w:rPr>
                <w:position w:val="-4"/>
                <w:vertAlign w:val="subscript"/>
                <w:lang w:eastAsia="cs-CZ"/>
              </w:rPr>
              <w:t>SW</w:t>
            </w:r>
            <w:r w:rsidRPr="00664B69">
              <w:rPr>
                <w:lang w:eastAsia="cs-CZ"/>
              </w:rPr>
              <w:t xml:space="preserve"> calculations were performed with </w:t>
            </w:r>
            <w:r w:rsidRPr="00664B69">
              <w:t>FOCUS STEPS 1-2 (active substances and metabolites) and FOCUS STEP 3 - 4 (</w:t>
            </w:r>
            <w:r w:rsidR="00EF48AC" w:rsidRPr="00227BE0">
              <w:rPr>
                <w:szCs w:val="24"/>
              </w:rPr>
              <w:t>fluxapyroxad</w:t>
            </w:r>
            <w:r>
              <w:t xml:space="preserve"> </w:t>
            </w:r>
            <w:r w:rsidRPr="00664B69">
              <w:t xml:space="preserve">and </w:t>
            </w:r>
            <w:r w:rsidR="00EF48AC">
              <w:t>azoxystrobin</w:t>
            </w:r>
            <w:r w:rsidRPr="00664B69">
              <w:t xml:space="preserve">). </w:t>
            </w:r>
          </w:p>
          <w:p w14:paraId="576578C0" w14:textId="34B38B06" w:rsidR="00395C6F" w:rsidRDefault="00564619" w:rsidP="002B58E2">
            <w:pPr>
              <w:pStyle w:val="RepStandard"/>
              <w:suppressAutoHyphens/>
              <w:spacing w:before="120" w:after="120"/>
              <w:rPr>
                <w:lang w:eastAsia="en-US"/>
              </w:rPr>
            </w:pPr>
            <w:r>
              <w:t>F</w:t>
            </w:r>
            <w:r w:rsidR="00395C6F" w:rsidRPr="00664B69">
              <w:t xml:space="preserve">or </w:t>
            </w:r>
            <w:r w:rsidR="005D5ED8">
              <w:t xml:space="preserve">azoxystrobin </w:t>
            </w:r>
            <w:r w:rsidR="00BF6B8A">
              <w:t xml:space="preserve">the </w:t>
            </w:r>
            <w:r w:rsidR="005D5ED8">
              <w:t xml:space="preserve">mesocosms study was taken to consideration in the </w:t>
            </w:r>
            <w:r>
              <w:t xml:space="preserve">refined </w:t>
            </w:r>
            <w:r w:rsidR="005D5ED8">
              <w:t>risk assessment.</w:t>
            </w:r>
            <w:r w:rsidR="00395C6F" w:rsidRPr="00664B69">
              <w:rPr>
                <w:lang w:eastAsia="en-US"/>
              </w:rPr>
              <w:t xml:space="preserve"> </w:t>
            </w:r>
          </w:p>
          <w:p w14:paraId="16461F6E" w14:textId="77777777" w:rsidR="00CD6B2E" w:rsidRDefault="00395C6F" w:rsidP="002B58E2">
            <w:pPr>
              <w:pStyle w:val="RepStandard"/>
              <w:suppressAutoHyphens/>
              <w:spacing w:before="120" w:after="120"/>
              <w:rPr>
                <w:lang w:eastAsia="en-US"/>
              </w:rPr>
            </w:pPr>
            <w:r>
              <w:rPr>
                <w:lang w:eastAsia="en-US"/>
              </w:rPr>
              <w:t>For both active substances</w:t>
            </w:r>
            <w:r w:rsidR="005D5ED8">
              <w:rPr>
                <w:lang w:eastAsia="en-US"/>
              </w:rPr>
              <w:t xml:space="preserve"> and their metabolites </w:t>
            </w:r>
            <w:r w:rsidR="00875979">
              <w:rPr>
                <w:lang w:eastAsia="en-US"/>
              </w:rPr>
              <w:t>f</w:t>
            </w:r>
            <w:r w:rsidR="00875979" w:rsidRPr="00227BE0">
              <w:t xml:space="preserve">or the intended single and twofold application of BAS 736 00 F in </w:t>
            </w:r>
            <w:r w:rsidR="00386235">
              <w:t>cereals</w:t>
            </w:r>
            <w:r w:rsidR="00875979" w:rsidRPr="00227BE0">
              <w:t>, the calculated PEC/RAC ratios indicate an acceptable risk for all groups of aquatic organisms</w:t>
            </w:r>
            <w:r>
              <w:rPr>
                <w:lang w:eastAsia="en-US"/>
              </w:rPr>
              <w:t xml:space="preserve"> </w:t>
            </w:r>
            <w:r w:rsidR="00B86869">
              <w:rPr>
                <w:lang w:eastAsia="en-US"/>
              </w:rPr>
              <w:t xml:space="preserve">without </w:t>
            </w:r>
            <w:r w:rsidR="00CD6B2E">
              <w:rPr>
                <w:lang w:eastAsia="en-US"/>
              </w:rPr>
              <w:t>any mitigation measures.</w:t>
            </w:r>
          </w:p>
          <w:p w14:paraId="2ED8E334" w14:textId="5D767D16" w:rsidR="00395C6F" w:rsidRPr="009E5BF6" w:rsidRDefault="00395C6F" w:rsidP="004250A4">
            <w:pPr>
              <w:pStyle w:val="RepStandard"/>
              <w:suppressAutoHyphens/>
              <w:spacing w:before="120" w:after="120"/>
              <w:rPr>
                <w:noProof/>
              </w:rPr>
            </w:pPr>
            <w:bookmarkStart w:id="530" w:name="_Hlk112345307"/>
            <w:r>
              <w:rPr>
                <w:noProof/>
              </w:rPr>
              <w:t>Based on the mixure toxicity assessment</w:t>
            </w:r>
            <w:r w:rsidRPr="00394A72">
              <w:rPr>
                <w:noProof/>
              </w:rPr>
              <w:t xml:space="preserve">, it can be concluded that the mitigation measures </w:t>
            </w:r>
            <w:r w:rsidR="002B7376">
              <w:rPr>
                <w:noProof/>
              </w:rPr>
              <w:t>are required only for scenario R3</w:t>
            </w:r>
            <w:r w:rsidR="00B8642C">
              <w:rPr>
                <w:noProof/>
              </w:rPr>
              <w:t xml:space="preserve"> </w:t>
            </w:r>
            <w:r w:rsidR="00B8642C" w:rsidRPr="005E2BA6">
              <w:t>(</w:t>
            </w:r>
            <w:r w:rsidR="00B8642C">
              <w:t>1</w:t>
            </w:r>
            <w:r w:rsidR="00B8642C" w:rsidRPr="00220341">
              <w:rPr>
                <w:color w:val="000000"/>
                <w:lang w:eastAsia="nl-BE"/>
              </w:rPr>
              <w:t>0 m no spray buffer zone incl</w:t>
            </w:r>
            <w:r w:rsidR="00B8642C">
              <w:rPr>
                <w:color w:val="000000"/>
                <w:lang w:eastAsia="nl-BE"/>
              </w:rPr>
              <w:t>uding</w:t>
            </w:r>
            <w:r w:rsidR="00B8642C" w:rsidRPr="00220341">
              <w:rPr>
                <w:color w:val="000000"/>
                <w:lang w:eastAsia="nl-BE"/>
              </w:rPr>
              <w:t xml:space="preserve"> a </w:t>
            </w:r>
            <w:r w:rsidR="00B8642C">
              <w:rPr>
                <w:color w:val="000000"/>
                <w:lang w:eastAsia="nl-BE"/>
              </w:rPr>
              <w:t>1</w:t>
            </w:r>
            <w:r w:rsidR="00B8642C" w:rsidRPr="00220341">
              <w:rPr>
                <w:color w:val="000000"/>
                <w:lang w:eastAsia="nl-BE"/>
              </w:rPr>
              <w:t>0 m vegetated buffer strip</w:t>
            </w:r>
            <w:r w:rsidR="00B8642C" w:rsidRPr="005E2BA6">
              <w:t>).</w:t>
            </w:r>
            <w:r w:rsidR="00B8642C">
              <w:t xml:space="preserve"> </w:t>
            </w:r>
            <w:bookmarkEnd w:id="528"/>
            <w:bookmarkEnd w:id="529"/>
            <w:bookmarkEnd w:id="530"/>
          </w:p>
        </w:tc>
      </w:tr>
    </w:tbl>
    <w:p w14:paraId="44B06197" w14:textId="77777777" w:rsidR="00EC2844" w:rsidRPr="00227BE0" w:rsidRDefault="00EC2844" w:rsidP="00E51CDD">
      <w:pPr>
        <w:suppressAutoHyphens/>
        <w:jc w:val="both"/>
        <w:rPr>
          <w:b/>
          <w:bCs/>
        </w:rPr>
      </w:pPr>
    </w:p>
    <w:p w14:paraId="36AFAE37" w14:textId="77777777" w:rsidR="00E51CDD" w:rsidRPr="00227BE0" w:rsidRDefault="00E51CDD" w:rsidP="00E51CDD">
      <w:pPr>
        <w:pStyle w:val="RepStandard"/>
        <w:rPr>
          <w:color w:val="4472C4" w:themeColor="accent1"/>
          <w:lang w:val="en-US"/>
        </w:rPr>
      </w:pPr>
    </w:p>
    <w:p w14:paraId="0CBB479B" w14:textId="77777777" w:rsidR="00E51CDD" w:rsidRPr="00227BE0" w:rsidRDefault="00E51CDD" w:rsidP="00E51CDD">
      <w:pPr>
        <w:pStyle w:val="StyleOECD-BASIS-TEXTLeft"/>
        <w:rPr>
          <w:b/>
          <w:bCs/>
          <w:color w:val="auto"/>
          <w:sz w:val="22"/>
          <w:u w:val="single"/>
          <w:lang w:val="en-US"/>
        </w:rPr>
      </w:pPr>
      <w:r w:rsidRPr="00227BE0">
        <w:rPr>
          <w:sz w:val="22"/>
          <w:lang w:val="en-US"/>
        </w:rPr>
        <w:br w:type="page"/>
      </w:r>
      <w:r w:rsidRPr="00227BE0">
        <w:rPr>
          <w:b/>
          <w:bCs/>
          <w:color w:val="auto"/>
          <w:sz w:val="22"/>
          <w:u w:val="single"/>
          <w:lang w:val="en-US"/>
        </w:rPr>
        <w:lastRenderedPageBreak/>
        <w:t>References</w:t>
      </w:r>
    </w:p>
    <w:p w14:paraId="07B6ADB3" w14:textId="77777777" w:rsidR="00E51CDD" w:rsidRPr="00227BE0" w:rsidRDefault="00E51CDD" w:rsidP="00E51CDD">
      <w:pPr>
        <w:pStyle w:val="StyleOECD-BASIS-TEXTLeft"/>
        <w:rPr>
          <w:color w:val="auto"/>
          <w:sz w:val="22"/>
          <w:lang w:val="en-US"/>
        </w:rPr>
      </w:pPr>
    </w:p>
    <w:p w14:paraId="06325BD6" w14:textId="77777777" w:rsidR="00E51CDD" w:rsidRPr="00227BE0" w:rsidRDefault="00E51CDD" w:rsidP="00E51CDD">
      <w:pPr>
        <w:suppressAutoHyphens/>
        <w:spacing w:after="240"/>
        <w:ind w:left="567" w:hanging="567"/>
        <w:jc w:val="both"/>
      </w:pPr>
      <w:bookmarkStart w:id="531" w:name="_Hlk64612913"/>
      <w:r w:rsidRPr="00227BE0">
        <w:rPr>
          <w:bCs/>
        </w:rPr>
        <w:t xml:space="preserve">Commission Regulation (EU) No 283/2013 setting out the data requirements for active substances, in accordance with Regulation (EC) No 1107/2009 of the European Parliament and of the Council concerning the placing of plant protection products on the market Official Journal of the European </w:t>
      </w:r>
      <w:r w:rsidRPr="00227BE0">
        <w:t>Union: 1st March 2013.</w:t>
      </w:r>
    </w:p>
    <w:bookmarkEnd w:id="531"/>
    <w:p w14:paraId="54F9CFDF" w14:textId="77777777" w:rsidR="00E51CDD" w:rsidRPr="00227BE0" w:rsidRDefault="00E51CDD" w:rsidP="00E51CDD">
      <w:pPr>
        <w:suppressAutoHyphens/>
        <w:spacing w:after="240"/>
        <w:ind w:left="567" w:hanging="567"/>
        <w:jc w:val="both"/>
      </w:pPr>
      <w:r w:rsidRPr="00227BE0">
        <w:t xml:space="preserve">Dalgarno, S. (2018) Ssdtools: A shiny web app to analyse species sensitivity distributions. Prepared by Poisson Consulting for the Ministry of the Environment, British Columbia. </w:t>
      </w:r>
      <w:hyperlink r:id="rId42" w:history="1">
        <w:r w:rsidRPr="00227BE0">
          <w:t>https://bcgov-env.shinyapps.io/ssdtools</w:t>
        </w:r>
      </w:hyperlink>
      <w:r w:rsidRPr="00227BE0">
        <w:t>.</w:t>
      </w:r>
    </w:p>
    <w:p w14:paraId="0EA88185" w14:textId="77777777" w:rsidR="00E51CDD" w:rsidRPr="00227BE0" w:rsidRDefault="00E51CDD" w:rsidP="00E51CDD">
      <w:pPr>
        <w:suppressAutoHyphens/>
        <w:spacing w:after="240"/>
        <w:ind w:left="567" w:hanging="567"/>
        <w:jc w:val="both"/>
      </w:pPr>
      <w:r w:rsidRPr="00227BE0">
        <w:t>EFSA (2012) Conclusion on pesticide peer review. Conclusion on the peer review of the pesticide risk assessment of the active substance fluxapyroxad (BAS 700 F). EFSA Journal 2012;10(1):2522.</w:t>
      </w:r>
    </w:p>
    <w:p w14:paraId="717D872E" w14:textId="77777777" w:rsidR="00E51CDD" w:rsidRPr="00227BE0" w:rsidRDefault="00E51CDD" w:rsidP="00E51CDD">
      <w:pPr>
        <w:suppressAutoHyphens/>
        <w:spacing w:after="240"/>
        <w:ind w:left="567" w:hanging="567"/>
        <w:jc w:val="both"/>
      </w:pPr>
      <w:r w:rsidRPr="00227BE0">
        <w:t xml:space="preserve">EFSA (2013) EFSA Scientific Opinion. Guidance on tiered risk assessment for plant protection products for aquatic organisms in edge-of-field surface waters. EFSA Journal 2013;11(7): 3290. </w:t>
      </w:r>
    </w:p>
    <w:p w14:paraId="77B7F4EE" w14:textId="77777777" w:rsidR="00E51CDD" w:rsidRPr="00227BE0" w:rsidRDefault="00E51CDD" w:rsidP="00E51CDD">
      <w:pPr>
        <w:suppressAutoHyphens/>
        <w:spacing w:after="240"/>
        <w:ind w:left="567" w:hanging="567"/>
        <w:jc w:val="both"/>
      </w:pPr>
      <w:r w:rsidRPr="00227BE0">
        <w:t>EFSA (2018) Conclusion on pesticides peer review. Peer review of the pesticide risk assessment of the active substance BAS 750 F (mefentrifluconazole). EFSA Journal 2018;16(7):5379.</w:t>
      </w:r>
    </w:p>
    <w:p w14:paraId="673C4D2A" w14:textId="77777777" w:rsidR="00E51CDD" w:rsidRPr="00227BE0" w:rsidRDefault="00E51CDD" w:rsidP="00E51CDD">
      <w:pPr>
        <w:suppressAutoHyphens/>
        <w:spacing w:after="240"/>
        <w:ind w:left="567" w:hanging="567"/>
        <w:jc w:val="both"/>
      </w:pPr>
      <w:r w:rsidRPr="00227BE0">
        <w:t>Fryday, S. and Thompson, H. 2012. Toxicity of pesticides to aquatic and terrestrial life stages of amphibians and occurrence, habitat use and exposure of amphibian species in agricultural environments. EFSA Supporting Publications, 9, EN-343: 348 pp.</w:t>
      </w:r>
    </w:p>
    <w:p w14:paraId="0F692418" w14:textId="77777777" w:rsidR="00E51CDD" w:rsidRPr="00227BE0" w:rsidRDefault="00E51CDD" w:rsidP="00E51CDD">
      <w:pPr>
        <w:suppressAutoHyphens/>
        <w:spacing w:after="240"/>
        <w:ind w:left="567" w:hanging="567"/>
        <w:jc w:val="both"/>
      </w:pPr>
      <w:r w:rsidRPr="00227BE0">
        <w:rPr>
          <w:sz w:val="21"/>
          <w:szCs w:val="21"/>
          <w:shd w:val="clear" w:color="auto" w:fill="FFFFFF"/>
        </w:rPr>
        <w:t xml:space="preserve">OECD (2013). </w:t>
      </w:r>
      <w:r w:rsidRPr="00227BE0">
        <w:rPr>
          <w:iCs/>
          <w:sz w:val="21"/>
          <w:szCs w:val="21"/>
          <w:shd w:val="clear" w:color="auto" w:fill="FFFFFF"/>
        </w:rPr>
        <w:t>Test No. 210: Fish, Early-life Stage Toxicity Test</w:t>
      </w:r>
      <w:r w:rsidRPr="00227BE0">
        <w:rPr>
          <w:sz w:val="21"/>
          <w:szCs w:val="21"/>
          <w:shd w:val="clear" w:color="auto" w:fill="FFFFFF"/>
        </w:rPr>
        <w:t>, OECD Guidelines for the Testing of Chemicals, Section 2, OECD Publishing, Paris</w:t>
      </w:r>
    </w:p>
    <w:p w14:paraId="4F9A6C68" w14:textId="77777777" w:rsidR="00E51CDD" w:rsidRPr="00227BE0" w:rsidRDefault="00E51CDD" w:rsidP="00E51CDD">
      <w:pPr>
        <w:pStyle w:val="Tekstprzypisudolnego"/>
        <w:spacing w:beforeLines="50" w:before="120" w:afterLines="50" w:after="120"/>
        <w:ind w:left="562" w:hanging="562"/>
        <w:jc w:val="both"/>
        <w:rPr>
          <w:sz w:val="22"/>
          <w:szCs w:val="22"/>
        </w:rPr>
      </w:pPr>
      <w:r w:rsidRPr="00227BE0">
        <w:rPr>
          <w:sz w:val="22"/>
          <w:szCs w:val="22"/>
        </w:rPr>
        <w:t>Thorley, J., Schwarz, C. (2018) Ssdtools: An R package to fit Species Sensitivity Distributions. J Open Source Softw, 3(31), 1082. doi: 10.21105/joss.01082</w:t>
      </w:r>
    </w:p>
    <w:p w14:paraId="723DBAC1" w14:textId="77777777" w:rsidR="00E51CDD" w:rsidRPr="00227BE0" w:rsidRDefault="00E51CDD" w:rsidP="00E51CDD">
      <w:pPr>
        <w:suppressAutoHyphens/>
        <w:spacing w:after="240"/>
        <w:ind w:left="567" w:hanging="567"/>
        <w:jc w:val="both"/>
      </w:pPr>
      <w:r w:rsidRPr="00227BE0">
        <w:t>Weltje, L., P. Simpson, M. Gross, M. Crane &amp; J. R. Wheeler (2013) Comparative acute and chronic sensitivity of fish and amphibians: a critical review of data. Environmental Toxicology and Chemistry, 32, 984-994.</w:t>
      </w:r>
    </w:p>
    <w:p w14:paraId="45326A4F" w14:textId="77777777" w:rsidR="00E51CDD" w:rsidRPr="00227BE0" w:rsidRDefault="00E51CDD" w:rsidP="00E51CDD">
      <w:pPr>
        <w:pStyle w:val="StyleOECD-BASIS-TEXTLeft"/>
        <w:rPr>
          <w:sz w:val="22"/>
          <w:lang w:val="en-US"/>
        </w:rPr>
      </w:pPr>
    </w:p>
    <w:p w14:paraId="3A253DA1" w14:textId="77777777" w:rsidR="00E51CDD" w:rsidRPr="00227BE0" w:rsidRDefault="00E51CDD" w:rsidP="00E51CDD">
      <w:pPr>
        <w:pStyle w:val="StyleOECD-BASIS-TEXTLeft"/>
        <w:rPr>
          <w:b/>
          <w:sz w:val="22"/>
          <w:u w:val="single"/>
          <w:lang w:val="en-US"/>
        </w:rPr>
      </w:pPr>
      <w:r w:rsidRPr="00227BE0">
        <w:rPr>
          <w:sz w:val="22"/>
          <w:lang w:val="en-US"/>
        </w:rPr>
        <w:br w:type="page"/>
      </w:r>
      <w:r w:rsidRPr="00227BE0">
        <w:rPr>
          <w:b/>
          <w:sz w:val="22"/>
          <w:u w:val="single"/>
          <w:lang w:val="en-US"/>
        </w:rPr>
        <w:lastRenderedPageBreak/>
        <w:t>Appendix</w:t>
      </w:r>
    </w:p>
    <w:p w14:paraId="41BA16AA" w14:textId="77777777" w:rsidR="00E51CDD" w:rsidRPr="00227BE0" w:rsidRDefault="00E51CDD" w:rsidP="00E51CDD">
      <w:pPr>
        <w:pStyle w:val="StyleOECD-BASIS-TEXTLeft"/>
        <w:rPr>
          <w:b/>
          <w:sz w:val="22"/>
          <w:lang w:val="en-US"/>
        </w:rPr>
      </w:pPr>
    </w:p>
    <w:p w14:paraId="1B04550C" w14:textId="77777777" w:rsidR="00E51CDD" w:rsidRPr="00227BE0" w:rsidRDefault="00E51CDD" w:rsidP="00E51CDD">
      <w:pPr>
        <w:rPr>
          <w:bCs/>
          <w:lang w:val="en-CA"/>
        </w:rPr>
      </w:pPr>
      <w:r w:rsidRPr="00227BE0">
        <w:rPr>
          <w:bCs/>
          <w:lang w:val="en-CA"/>
        </w:rPr>
        <w:t>R script for the above-described comparison of model fit and calculation of the hazardous concentrations.</w:t>
      </w:r>
    </w:p>
    <w:p w14:paraId="103F664F" w14:textId="77777777" w:rsidR="00E51CDD" w:rsidRPr="00227BE0" w:rsidRDefault="00E51CDD" w:rsidP="00E51CDD">
      <w:pPr>
        <w:pStyle w:val="StyleOECD-BASIS-TEXTLeft"/>
        <w:rPr>
          <w:b/>
          <w:sz w:val="22"/>
          <w:lang w:val="en-CA"/>
        </w:rPr>
      </w:pPr>
    </w:p>
    <w:p w14:paraId="6B4499F9"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install.packages('ssdtools')</w:t>
      </w:r>
    </w:p>
    <w:p w14:paraId="41D3C4EA"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library(ssdtools)</w:t>
      </w:r>
    </w:p>
    <w:p w14:paraId="74362EBB"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library(ggplot2)</w:t>
      </w:r>
    </w:p>
    <w:p w14:paraId="5DABA116"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read dataset</w:t>
      </w:r>
    </w:p>
    <w:p w14:paraId="1C4FAB3A"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this is the output of dput, which is used to create a data.frame from data entered in interactive spreadsheet</w:t>
      </w:r>
    </w:p>
    <w:p w14:paraId="37688891"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data &lt;- structure(list(Concentration = c(212, 168, 572, 327, 370), Species = c("Oncorhynchus mykiss\n  ", "Cyprinus carpio \n  ", "Lepomis macrochirus \n  ", "Promelas promelas \n  ", "Cyprinodon variegatus"), Group = c(NA_character_, NA_character_, NA_character_, NA_character_, NA_character_)), row.names = c(NA, 5L), class = "data.frame")</w:t>
      </w:r>
    </w:p>
    <w:p w14:paraId="404BFADE"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fix unacceptable column names</w:t>
      </w:r>
    </w:p>
    <w:p w14:paraId="3DE3E878"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colnames(data) &lt;- make.names(colnames(data))</w:t>
      </w:r>
    </w:p>
    <w:p w14:paraId="6B5A2AEB"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fit distributions</w:t>
      </w:r>
    </w:p>
    <w:p w14:paraId="7D2D65B7"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dist &lt;- ssd_fit_dists(data, left = 'Concentration', dists = c('llogis', 'gamma', 'lnorm', 'lgumbel', 'weibull' 'burrIII3', 'gompertz))</w:t>
      </w:r>
    </w:p>
    <w:p w14:paraId="51A4107F"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plot distributions</w:t>
      </w:r>
    </w:p>
    <w:p w14:paraId="1E19AB16"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ssdtools::ssd_plot_cdf(dist)</w:t>
      </w:r>
    </w:p>
    <w:p w14:paraId="59C52164"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goodness of fit table</w:t>
      </w:r>
    </w:p>
    <w:p w14:paraId="7A9ECE38"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ssd_gof(dist)</w:t>
      </w:r>
    </w:p>
    <w:p w14:paraId="395A32D4"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save plot</w:t>
      </w:r>
    </w:p>
    <w:p w14:paraId="545CCBDA"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width and height are in inches, dpi (dots per inch) sets resolution</w:t>
      </w:r>
    </w:p>
    <w:p w14:paraId="07054610"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ggsave('fit_dist_plot.png', width = 8 , height = 6 , dpi = 300)</w:t>
      </w:r>
    </w:p>
    <w:p w14:paraId="705D7B72"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select models to average</w:t>
      </w:r>
    </w:p>
    <w:p w14:paraId="4D55C7FD"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sel_dists &lt;- c('lnorm')</w:t>
      </w:r>
    </w:p>
    <w:p w14:paraId="6EE60D40"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dist &lt;- ssd_fit_dists(data, left = 'Concentration', dists = sel_dists)</w:t>
      </w:r>
    </w:p>
    <w:p w14:paraId="0A973003"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plot model average</w:t>
      </w:r>
    </w:p>
    <w:p w14:paraId="65199BF5"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to add confidence intervals set ci = TRUE in predict and ssd_plot</w:t>
      </w:r>
    </w:p>
    <w:p w14:paraId="2281010A"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we recommend using nboot = 10000 in predict, although this may take several minutes to run</w:t>
      </w:r>
    </w:p>
    <w:p w14:paraId="4A1199D9"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pred &lt;- predict(dist, nboot = 10L)</w:t>
      </w:r>
    </w:p>
    <w:p w14:paraId="20480309"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ssd_plot(data, pred, left = 'Concentration', label = 'Species', color = NULL, shape = NULL, hc = 5L, ci = FALSE,</w:t>
      </w:r>
    </w:p>
    <w:p w14:paraId="05A924A6"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shift_x = 1.3, xlab = 'Concentration [mg/L]', ylab = 'Percent of Species Affected') +</w:t>
      </w:r>
    </w:p>
    <w:p w14:paraId="44EFA682"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ggtitle('') +</w:t>
      </w:r>
    </w:p>
    <w:p w14:paraId="38D39787"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theme(panel.border = element_blank(),</w:t>
      </w:r>
    </w:p>
    <w:p w14:paraId="2868E8C4"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panel.grid.major = element_blank(),</w:t>
      </w:r>
    </w:p>
    <w:p w14:paraId="5BB66F0F"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panel.grid.minor = element_blank(),</w:t>
      </w:r>
    </w:p>
    <w:p w14:paraId="00CF73B6"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panel.background = element_rect(fill = NA, colour='black'),</w:t>
      </w:r>
    </w:p>
    <w:p w14:paraId="3196B7C1"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axis.text = element_text(color = 'black'),</w:t>
      </w:r>
    </w:p>
    <w:p w14:paraId="7E142826"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legend.key = element_rect(fill = NA, colour = NA)) +</w:t>
      </w:r>
    </w:p>
    <w:p w14:paraId="6655389E"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expand_limits(x = 572) +</w:t>
      </w:r>
    </w:p>
    <w:p w14:paraId="6E6A02E7"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scale_color_brewer(palette = 'Dark2', name = '-none-') +</w:t>
      </w:r>
    </w:p>
    <w:p w14:paraId="73FE3B45"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scale_shape(name = NULL)</w:t>
      </w:r>
    </w:p>
    <w:p w14:paraId="7B34C0DF"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save plot</w:t>
      </w:r>
    </w:p>
    <w:p w14:paraId="31D82020"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width and height are in inches, dpi (dots per inch) sets resolution</w:t>
      </w:r>
    </w:p>
    <w:p w14:paraId="4B5541DE"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ggsave('model_average_plot.png', width = 8 , height = 6 , dpi = 600)</w:t>
      </w:r>
    </w:p>
    <w:p w14:paraId="20CCBE1D"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get confidence limits</w:t>
      </w:r>
    </w:p>
    <w:p w14:paraId="69A6178E" w14:textId="77777777" w:rsidR="00E51CDD" w:rsidRPr="00227BE0" w:rsidRDefault="00E51CDD" w:rsidP="00E51CDD">
      <w:pPr>
        <w:pBdr>
          <w:top w:val="single" w:sz="4" w:space="1" w:color="auto"/>
          <w:left w:val="single" w:sz="4" w:space="4" w:color="auto"/>
          <w:bottom w:val="single" w:sz="4" w:space="1" w:color="auto"/>
          <w:right w:val="single" w:sz="4" w:space="4" w:color="auto"/>
        </w:pBdr>
        <w:spacing w:after="60"/>
        <w:rPr>
          <w:sz w:val="14"/>
          <w:szCs w:val="14"/>
        </w:rPr>
      </w:pPr>
      <w:r w:rsidRPr="00227BE0">
        <w:rPr>
          <w:sz w:val="14"/>
          <w:szCs w:val="14"/>
        </w:rPr>
        <w:t># use the nboot argument in ssd_hc to set the number of bootstrap samples</w:t>
      </w:r>
    </w:p>
    <w:p w14:paraId="23E28532" w14:textId="77777777" w:rsidR="00E51CDD" w:rsidRPr="005441DA" w:rsidRDefault="00E51CDD" w:rsidP="00E51CDD">
      <w:pPr>
        <w:pBdr>
          <w:top w:val="single" w:sz="4" w:space="1" w:color="auto"/>
          <w:left w:val="single" w:sz="4" w:space="4" w:color="auto"/>
          <w:bottom w:val="single" w:sz="4" w:space="1" w:color="auto"/>
          <w:right w:val="single" w:sz="4" w:space="4" w:color="auto"/>
        </w:pBdr>
        <w:spacing w:after="60"/>
        <w:rPr>
          <w:sz w:val="10"/>
          <w:szCs w:val="10"/>
        </w:rPr>
      </w:pPr>
      <w:r w:rsidRPr="00227BE0">
        <w:rPr>
          <w:sz w:val="14"/>
          <w:szCs w:val="14"/>
        </w:rPr>
        <w:t>ssd_hc(dist, percent = 5L, ci = TRUE, nboot = 1000L)</w:t>
      </w:r>
    </w:p>
    <w:p w14:paraId="441C8423" w14:textId="77777777" w:rsidR="00E51CDD" w:rsidRPr="005441DA" w:rsidRDefault="00E51CDD" w:rsidP="00E51CDD">
      <w:pPr>
        <w:pStyle w:val="StyleOECD-BASIS-TEXTLeft"/>
        <w:rPr>
          <w:b/>
          <w:sz w:val="22"/>
          <w:lang w:val="en-US"/>
        </w:rPr>
      </w:pPr>
    </w:p>
    <w:p w14:paraId="7701948D" w14:textId="77777777" w:rsidR="00E51CDD" w:rsidRDefault="00E51CDD" w:rsidP="00CE08CB">
      <w:pPr>
        <w:pStyle w:val="StyleOECD-BASIS-TEXTLeft"/>
        <w:rPr>
          <w:sz w:val="22"/>
          <w:lang w:val="en-US"/>
        </w:rPr>
        <w:sectPr w:rsidR="00E51CDD" w:rsidSect="009938D9">
          <w:headerReference w:type="default" r:id="rId43"/>
          <w:footerReference w:type="default" r:id="rId44"/>
          <w:pgSz w:w="11907" w:h="16840" w:code="9"/>
          <w:pgMar w:top="1418" w:right="1134" w:bottom="1418" w:left="1418" w:header="709" w:footer="709" w:gutter="0"/>
          <w:cols w:space="720"/>
        </w:sectPr>
      </w:pPr>
    </w:p>
    <w:p w14:paraId="0719032A" w14:textId="77777777" w:rsidR="00E51CDD" w:rsidRPr="00E51CDD" w:rsidRDefault="00E51CDD" w:rsidP="00E51CDD">
      <w:pPr>
        <w:jc w:val="both"/>
        <w:rPr>
          <w:color w:val="000000"/>
          <w:lang w:eastAsia="en-US"/>
        </w:rPr>
      </w:pPr>
    </w:p>
    <w:p w14:paraId="659B144F" w14:textId="77777777" w:rsidR="00E51CDD" w:rsidRPr="00E51CDD" w:rsidRDefault="00E51CDD" w:rsidP="002E3CFC">
      <w:pPr>
        <w:pStyle w:val="Nagwek2"/>
      </w:pPr>
      <w:bookmarkStart w:id="532" w:name="_Ref405923442"/>
      <w:bookmarkStart w:id="533" w:name="_Toc412644001"/>
      <w:bookmarkStart w:id="534" w:name="_Toc413916845"/>
      <w:bookmarkStart w:id="535" w:name="_Toc413916987"/>
      <w:bookmarkStart w:id="536" w:name="_Toc413922048"/>
      <w:bookmarkStart w:id="537" w:name="_Toc413922537"/>
      <w:bookmarkStart w:id="538" w:name="_Toc413922641"/>
      <w:bookmarkStart w:id="539" w:name="_Toc414955278"/>
      <w:bookmarkStart w:id="540" w:name="_Toc415214585"/>
      <w:bookmarkStart w:id="541" w:name="_Toc125446428"/>
      <w:r w:rsidRPr="00E51CDD">
        <w:t>Effects on bees (KCP 10.3.1)</w:t>
      </w:r>
      <w:bookmarkEnd w:id="532"/>
      <w:bookmarkEnd w:id="533"/>
      <w:bookmarkEnd w:id="534"/>
      <w:bookmarkEnd w:id="535"/>
      <w:bookmarkEnd w:id="536"/>
      <w:bookmarkEnd w:id="537"/>
      <w:bookmarkEnd w:id="538"/>
      <w:bookmarkEnd w:id="539"/>
      <w:bookmarkEnd w:id="540"/>
      <w:bookmarkEnd w:id="541"/>
    </w:p>
    <w:p w14:paraId="0967016E" w14:textId="77777777" w:rsidR="00E51CDD" w:rsidRPr="00E51CDD" w:rsidRDefault="00E51CDD" w:rsidP="002E3CFC">
      <w:pPr>
        <w:pStyle w:val="Nagwek3"/>
      </w:pPr>
      <w:bookmarkStart w:id="542" w:name="_Toc412644002"/>
      <w:bookmarkStart w:id="543" w:name="_Toc413916846"/>
      <w:bookmarkStart w:id="544" w:name="_Toc413916988"/>
      <w:bookmarkStart w:id="545" w:name="_Toc413922049"/>
      <w:bookmarkStart w:id="546" w:name="_Toc413922538"/>
      <w:bookmarkStart w:id="547" w:name="_Toc413922642"/>
      <w:bookmarkStart w:id="548" w:name="_Toc414955279"/>
      <w:bookmarkStart w:id="549" w:name="_Toc415214586"/>
      <w:bookmarkStart w:id="550" w:name="_Toc125446429"/>
      <w:r w:rsidRPr="00E51CDD">
        <w:t>Toxicity data</w:t>
      </w:r>
      <w:bookmarkEnd w:id="542"/>
      <w:bookmarkEnd w:id="543"/>
      <w:bookmarkEnd w:id="544"/>
      <w:bookmarkEnd w:id="545"/>
      <w:bookmarkEnd w:id="546"/>
      <w:bookmarkEnd w:id="547"/>
      <w:bookmarkEnd w:id="548"/>
      <w:bookmarkEnd w:id="549"/>
      <w:bookmarkEnd w:id="550"/>
    </w:p>
    <w:p w14:paraId="4FAE8D8F" w14:textId="77777777" w:rsidR="00E51CDD" w:rsidRPr="00E51CDD" w:rsidRDefault="00E51CDD" w:rsidP="00E51CDD">
      <w:pPr>
        <w:widowControl w:val="0"/>
        <w:jc w:val="both"/>
        <w:rPr>
          <w:lang w:val="en-GB"/>
        </w:rPr>
      </w:pPr>
      <w:bookmarkStart w:id="551" w:name="_Toc412644003"/>
      <w:bookmarkStart w:id="552" w:name="_Toc413916847"/>
      <w:bookmarkStart w:id="553" w:name="_Toc413916989"/>
      <w:bookmarkStart w:id="554" w:name="_Toc413922050"/>
      <w:bookmarkStart w:id="555" w:name="_Toc413922539"/>
      <w:bookmarkStart w:id="556" w:name="_Toc413922643"/>
      <w:bookmarkStart w:id="557" w:name="_Toc414955280"/>
      <w:bookmarkStart w:id="558" w:name="_Toc415214587"/>
      <w:bookmarkStart w:id="559" w:name="_Hlk88475114"/>
      <w:r w:rsidRPr="00E51CDD">
        <w:t>Acute contact and oral toxicity studies on honey bees have been carried out with the active substance fluxapyroxad.</w:t>
      </w:r>
      <w:r w:rsidRPr="00E51CDD">
        <w:rPr>
          <w:lang w:val="en-GB"/>
        </w:rPr>
        <w:t xml:space="preserve"> Furthermore, a chronic toxicity study on adult honey bees,</w:t>
      </w:r>
      <w:r w:rsidRPr="00E51CDD">
        <w:rPr>
          <w:lang w:val="en-GB" w:eastAsia="en-US"/>
        </w:rPr>
        <w:t xml:space="preserve"> a </w:t>
      </w:r>
      <w:r w:rsidRPr="00E51CDD">
        <w:rPr>
          <w:lang w:val="en-GB"/>
        </w:rPr>
        <w:t>toxicity study on honey bee larvae (repeated exposure)</w:t>
      </w:r>
      <w:r w:rsidRPr="00E51CDD">
        <w:rPr>
          <w:lang w:val="en-GB" w:eastAsia="en-US"/>
        </w:rPr>
        <w:t xml:space="preserve"> </w:t>
      </w:r>
      <w:r w:rsidRPr="00E51CDD">
        <w:rPr>
          <w:lang w:val="en-GB"/>
        </w:rPr>
        <w:t>have been carried out,</w:t>
      </w:r>
      <w:r w:rsidRPr="00E51CDD">
        <w:rPr>
          <w:lang w:val="en-GB" w:eastAsia="en-US"/>
        </w:rPr>
        <w:t xml:space="preserve"> as well as an</w:t>
      </w:r>
      <w:r w:rsidRPr="00E51CDD">
        <w:rPr>
          <w:lang w:val="en-GB"/>
        </w:rPr>
        <w:t xml:space="preserve"> acute contact and oral toxicity studies on bumble bees with the active substance fluxapyroxad </w:t>
      </w:r>
      <w:r w:rsidRPr="00E51CDD">
        <w:rPr>
          <w:noProof/>
          <w:lang w:val="en-GB"/>
        </w:rPr>
        <w:t>(partly tested as BAS 700 04 F)</w:t>
      </w:r>
      <w:r w:rsidRPr="00E51CDD">
        <w:rPr>
          <w:lang w:val="en-GB"/>
        </w:rPr>
        <w:t>.</w:t>
      </w:r>
    </w:p>
    <w:p w14:paraId="7679946B" w14:textId="77777777" w:rsidR="00E51CDD" w:rsidRPr="00E51CDD" w:rsidRDefault="00E51CDD" w:rsidP="00E51CDD">
      <w:pPr>
        <w:widowControl w:val="0"/>
        <w:jc w:val="both"/>
        <w:rPr>
          <w:lang w:val="en-GB"/>
        </w:rPr>
      </w:pPr>
    </w:p>
    <w:p w14:paraId="313FB52C" w14:textId="77777777" w:rsidR="00E51CDD" w:rsidRPr="00E51CDD" w:rsidRDefault="00E51CDD" w:rsidP="00E51CDD">
      <w:pPr>
        <w:widowControl w:val="0"/>
        <w:jc w:val="both"/>
        <w:rPr>
          <w:lang w:val="en-GB"/>
        </w:rPr>
      </w:pPr>
      <w:r w:rsidRPr="00E51CDD">
        <w:rPr>
          <w:lang w:val="en-GB"/>
        </w:rPr>
        <w:t xml:space="preserve">Acute contact and oral toxicity studies on honey bees have been carried out with the active substance azoxystrobin. Furthermore, a chronic oral toxicity study on adult honey bees and an oral toxicity study on honeybee larvae have been carried out with azoxystrobin (tested as A12705B). </w:t>
      </w:r>
    </w:p>
    <w:p w14:paraId="74162CD4" w14:textId="2DEA3C90" w:rsidR="00E51CDD" w:rsidRPr="00E51CDD" w:rsidRDefault="00E51CDD" w:rsidP="00E51CDD">
      <w:pPr>
        <w:widowControl w:val="0"/>
        <w:jc w:val="both"/>
        <w:rPr>
          <w:lang w:val="en-GB"/>
        </w:rPr>
      </w:pPr>
      <w:r w:rsidRPr="00E51CDD">
        <w:t xml:space="preserve">In addition to acute studies on honey bees, chronic toxicity studies on honey bee larvae and adults have been tested with BAS 736 00 F. </w:t>
      </w:r>
      <w:r w:rsidRPr="00E51CDD">
        <w:rPr>
          <w:lang w:val="en-GB"/>
        </w:rPr>
        <w:t xml:space="preserve">All studies are listed in </w:t>
      </w:r>
      <w:r w:rsidRPr="00E51CDD">
        <w:rPr>
          <w:lang w:val="en-GB"/>
        </w:rPr>
        <w:fldChar w:fldCharType="begin"/>
      </w:r>
      <w:r w:rsidRPr="00E51CDD">
        <w:rPr>
          <w:lang w:val="en-GB"/>
        </w:rPr>
        <w:instrText xml:space="preserve"> REF _Ref440448210 \h  \* MERGEFORMAT </w:instrText>
      </w:r>
      <w:r w:rsidRPr="00E51CDD">
        <w:rPr>
          <w:lang w:val="en-GB"/>
        </w:rPr>
      </w:r>
      <w:r w:rsidRPr="00E51CDD">
        <w:rPr>
          <w:lang w:val="en-GB"/>
        </w:rPr>
        <w:fldChar w:fldCharType="separate"/>
      </w:r>
      <w:r w:rsidR="00662F32" w:rsidRPr="00662F32">
        <w:rPr>
          <w:lang w:val="en-GB"/>
        </w:rPr>
        <w:t xml:space="preserve">Table </w:t>
      </w:r>
      <w:r w:rsidR="00662F32" w:rsidRPr="00662F32">
        <w:rPr>
          <w:noProof/>
          <w:lang w:val="en-GB"/>
        </w:rPr>
        <w:t>9.6</w:t>
      </w:r>
      <w:r w:rsidR="00662F32" w:rsidRPr="00662F32">
        <w:rPr>
          <w:noProof/>
          <w:lang w:val="en-GB"/>
        </w:rPr>
        <w:noBreakHyphen/>
        <w:t>1</w:t>
      </w:r>
      <w:r w:rsidRPr="00E51CDD">
        <w:rPr>
          <w:lang w:val="en-GB"/>
        </w:rPr>
        <w:fldChar w:fldCharType="end"/>
      </w:r>
      <w:r w:rsidRPr="00E51CDD">
        <w:rPr>
          <w:lang w:val="en-GB"/>
        </w:rPr>
        <w:t xml:space="preserve">, </w:t>
      </w:r>
      <w:r w:rsidRPr="00E51CDD">
        <w:rPr>
          <w:lang w:val="en-GB"/>
        </w:rPr>
        <w:fldChar w:fldCharType="begin"/>
      </w:r>
      <w:r w:rsidRPr="00E51CDD">
        <w:rPr>
          <w:lang w:val="en-GB"/>
        </w:rPr>
        <w:instrText xml:space="preserve"> REF _Ref82430134 \h  \* MERGEFORMAT </w:instrText>
      </w:r>
      <w:r w:rsidRPr="00E51CDD">
        <w:rPr>
          <w:lang w:val="en-GB"/>
        </w:rPr>
      </w:r>
      <w:r w:rsidRPr="00E51CDD">
        <w:rPr>
          <w:lang w:val="en-GB"/>
        </w:rPr>
        <w:fldChar w:fldCharType="separate"/>
      </w:r>
      <w:r w:rsidR="00662F32" w:rsidRPr="00662F32">
        <w:rPr>
          <w:lang w:val="en-GB"/>
        </w:rPr>
        <w:t xml:space="preserve">Table </w:t>
      </w:r>
      <w:r w:rsidR="00662F32" w:rsidRPr="00662F32">
        <w:rPr>
          <w:noProof/>
          <w:lang w:val="en-GB"/>
        </w:rPr>
        <w:t>9.6</w:t>
      </w:r>
      <w:r w:rsidR="00662F32" w:rsidRPr="00662F32">
        <w:rPr>
          <w:noProof/>
          <w:lang w:val="en-GB"/>
        </w:rPr>
        <w:noBreakHyphen/>
        <w:t>2</w:t>
      </w:r>
      <w:r w:rsidRPr="00E51CDD">
        <w:rPr>
          <w:lang w:val="en-GB"/>
        </w:rPr>
        <w:fldChar w:fldCharType="end"/>
      </w:r>
      <w:r w:rsidRPr="00E51CDD">
        <w:t xml:space="preserve"> and </w:t>
      </w:r>
      <w:r w:rsidRPr="00E51CDD">
        <w:fldChar w:fldCharType="begin"/>
      </w:r>
      <w:r w:rsidRPr="00E51CDD">
        <w:instrText xml:space="preserve"> REF _Ref440448229 \h  \* MERGEFORMAT </w:instrText>
      </w:r>
      <w:r w:rsidRPr="00E51CDD">
        <w:fldChar w:fldCharType="separate"/>
      </w:r>
      <w:r w:rsidR="00662F32" w:rsidRPr="00662F32">
        <w:rPr>
          <w:lang w:val="en-GB"/>
        </w:rPr>
        <w:t xml:space="preserve">Table </w:t>
      </w:r>
      <w:r w:rsidR="00662F32" w:rsidRPr="00662F32">
        <w:rPr>
          <w:noProof/>
          <w:lang w:val="en-GB"/>
        </w:rPr>
        <w:t>9.6</w:t>
      </w:r>
      <w:r w:rsidR="00662F32" w:rsidRPr="00662F32">
        <w:rPr>
          <w:noProof/>
          <w:lang w:val="en-GB"/>
        </w:rPr>
        <w:noBreakHyphen/>
        <w:t>3</w:t>
      </w:r>
      <w:r w:rsidRPr="00E51CDD">
        <w:fldChar w:fldCharType="end"/>
      </w:r>
      <w:r w:rsidRPr="00E51CDD">
        <w:rPr>
          <w:lang w:val="en-GB"/>
        </w:rPr>
        <w:t xml:space="preserve">. </w:t>
      </w:r>
    </w:p>
    <w:p w14:paraId="11C2A4AC" w14:textId="77777777" w:rsidR="00E51CDD" w:rsidRPr="00E51CDD" w:rsidRDefault="00E51CDD" w:rsidP="00E51CDD">
      <w:pPr>
        <w:widowControl w:val="0"/>
        <w:jc w:val="both"/>
        <w:rPr>
          <w:lang w:val="en-GB"/>
        </w:rPr>
      </w:pPr>
    </w:p>
    <w:p w14:paraId="73342470" w14:textId="77777777" w:rsidR="00E51CDD" w:rsidRPr="00E51CDD" w:rsidRDefault="00E51CDD" w:rsidP="00E51CDD">
      <w:pPr>
        <w:widowControl w:val="0"/>
        <w:jc w:val="both"/>
      </w:pPr>
      <w:r w:rsidRPr="00E51CDD">
        <w:rPr>
          <w:lang w:val="en-GB"/>
        </w:rPr>
        <w:t xml:space="preserve">New data submitted </w:t>
      </w:r>
      <w:r w:rsidRPr="00E51CDD">
        <w:t xml:space="preserve">with this application </w:t>
      </w:r>
      <w:r w:rsidRPr="00E51CDD">
        <w:rPr>
          <w:lang w:val="en-GB"/>
        </w:rPr>
        <w:t xml:space="preserve">are listed in Appendix 1 </w:t>
      </w:r>
      <w:r w:rsidRPr="00E51CDD">
        <w:t>and summarized in Appendix 2.</w:t>
      </w:r>
    </w:p>
    <w:p w14:paraId="3266C13E" w14:textId="77777777" w:rsidR="00E51CDD" w:rsidRPr="00E51CDD" w:rsidRDefault="00E51CDD" w:rsidP="00E51CDD">
      <w:pPr>
        <w:widowControl w:val="0"/>
        <w:jc w:val="both"/>
      </w:pPr>
    </w:p>
    <w:p w14:paraId="2B10385F" w14:textId="4629E959" w:rsidR="00E51CDD" w:rsidRPr="00E51CDD" w:rsidRDefault="00E51CDD" w:rsidP="00E51CDD">
      <w:pPr>
        <w:tabs>
          <w:tab w:val="left" w:pos="1984"/>
        </w:tabs>
        <w:spacing w:line="280" w:lineRule="exact"/>
        <w:ind w:left="1985" w:hanging="1985"/>
        <w:jc w:val="both"/>
        <w:rPr>
          <w:b/>
          <w:lang w:val="en-GB" w:eastAsia="en-US"/>
        </w:rPr>
      </w:pPr>
      <w:bookmarkStart w:id="560" w:name="_Ref440448210"/>
      <w:r w:rsidRPr="00E51CDD">
        <w:rPr>
          <w:b/>
          <w:lang w:val="en-GB" w:eastAsia="en-US"/>
        </w:rPr>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9.6</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1</w:t>
      </w:r>
      <w:r w:rsidRPr="00E51CDD">
        <w:rPr>
          <w:b/>
          <w:lang w:val="en-GB" w:eastAsia="en-US"/>
        </w:rPr>
        <w:fldChar w:fldCharType="end"/>
      </w:r>
      <w:bookmarkEnd w:id="560"/>
      <w:r w:rsidRPr="00E51CDD">
        <w:rPr>
          <w:b/>
          <w:lang w:val="en-GB" w:eastAsia="en-US"/>
        </w:rPr>
        <w:t>:</w:t>
      </w:r>
      <w:r w:rsidRPr="00E51CDD">
        <w:rPr>
          <w:b/>
          <w:lang w:val="en-GB" w:eastAsia="en-US"/>
        </w:rPr>
        <w:tab/>
        <w:t>Endpoints and effect values for fluxapyroxad relevant for the risk assessment for bees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13"/>
        <w:gridCol w:w="1543"/>
        <w:gridCol w:w="1154"/>
        <w:gridCol w:w="3376"/>
        <w:gridCol w:w="1565"/>
      </w:tblGrid>
      <w:tr w:rsidR="00E51CDD" w:rsidRPr="00E51CDD" w14:paraId="751BE7CA" w14:textId="77777777" w:rsidTr="009938D9">
        <w:trPr>
          <w:tblHeader/>
        </w:trPr>
        <w:tc>
          <w:tcPr>
            <w:tcW w:w="916" w:type="pct"/>
          </w:tcPr>
          <w:p w14:paraId="284F6DFA"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Species</w:t>
            </w:r>
          </w:p>
        </w:tc>
        <w:tc>
          <w:tcPr>
            <w:tcW w:w="825" w:type="pct"/>
          </w:tcPr>
          <w:p w14:paraId="0A3AE504"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Substance</w:t>
            </w:r>
          </w:p>
        </w:tc>
        <w:tc>
          <w:tcPr>
            <w:tcW w:w="617" w:type="pct"/>
          </w:tcPr>
          <w:p w14:paraId="10709216"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Exposure</w:t>
            </w:r>
            <w:r w:rsidRPr="00E51CDD">
              <w:rPr>
                <w:b/>
                <w:sz w:val="20"/>
                <w:szCs w:val="20"/>
                <w:lang w:val="en-GB"/>
              </w:rPr>
              <w:br/>
              <w:t>System</w:t>
            </w:r>
          </w:p>
        </w:tc>
        <w:tc>
          <w:tcPr>
            <w:tcW w:w="1805" w:type="pct"/>
          </w:tcPr>
          <w:p w14:paraId="49A12258"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Results</w:t>
            </w:r>
          </w:p>
        </w:tc>
        <w:tc>
          <w:tcPr>
            <w:tcW w:w="838" w:type="pct"/>
          </w:tcPr>
          <w:p w14:paraId="45AF6754"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Reference</w:t>
            </w:r>
          </w:p>
        </w:tc>
      </w:tr>
      <w:tr w:rsidR="00E51CDD" w:rsidRPr="00E51CDD" w14:paraId="0780FDC7" w14:textId="77777777" w:rsidTr="009938D9">
        <w:tc>
          <w:tcPr>
            <w:tcW w:w="916" w:type="pct"/>
          </w:tcPr>
          <w:p w14:paraId="4A982E43" w14:textId="77777777" w:rsidR="00E51CDD" w:rsidRPr="00E51CDD" w:rsidRDefault="00E51CDD" w:rsidP="00E51CDD">
            <w:pPr>
              <w:widowControl w:val="0"/>
              <w:rPr>
                <w:i/>
                <w:noProof/>
                <w:sz w:val="20"/>
                <w:szCs w:val="20"/>
                <w:lang w:val="en-GB"/>
              </w:rPr>
            </w:pPr>
            <w:r w:rsidRPr="00E51CDD">
              <w:rPr>
                <w:i/>
                <w:sz w:val="20"/>
                <w:szCs w:val="20"/>
                <w:lang w:val="en-GB"/>
              </w:rPr>
              <w:t>Apis mellifera</w:t>
            </w:r>
            <w:r w:rsidRPr="00E51CDD">
              <w:rPr>
                <w:i/>
                <w:sz w:val="20"/>
                <w:szCs w:val="20"/>
                <w:lang w:val="en-GB"/>
              </w:rPr>
              <w:br/>
            </w:r>
            <w:r w:rsidRPr="00E51CDD">
              <w:rPr>
                <w:sz w:val="20"/>
                <w:szCs w:val="20"/>
                <w:lang w:val="en-GB"/>
              </w:rPr>
              <w:t>(adults)</w:t>
            </w:r>
          </w:p>
        </w:tc>
        <w:tc>
          <w:tcPr>
            <w:tcW w:w="825" w:type="pct"/>
          </w:tcPr>
          <w:p w14:paraId="4B33A02C" w14:textId="77777777" w:rsidR="00E51CDD" w:rsidRPr="00E51CDD" w:rsidRDefault="00E51CDD" w:rsidP="00E51CDD">
            <w:pPr>
              <w:widowControl w:val="0"/>
              <w:rPr>
                <w:noProof/>
                <w:sz w:val="20"/>
                <w:szCs w:val="20"/>
                <w:lang w:val="en-GB"/>
              </w:rPr>
            </w:pPr>
            <w:r w:rsidRPr="00E51CDD">
              <w:rPr>
                <w:noProof/>
                <w:sz w:val="20"/>
                <w:szCs w:val="20"/>
                <w:lang w:val="en-GB"/>
              </w:rPr>
              <w:t>fluxapyroxad</w:t>
            </w:r>
          </w:p>
        </w:tc>
        <w:tc>
          <w:tcPr>
            <w:tcW w:w="617" w:type="pct"/>
          </w:tcPr>
          <w:p w14:paraId="16949E0A" w14:textId="77777777" w:rsidR="00E51CDD" w:rsidRPr="00E51CDD" w:rsidRDefault="00E51CDD" w:rsidP="00E51CDD">
            <w:pPr>
              <w:widowControl w:val="0"/>
              <w:rPr>
                <w:noProof/>
                <w:sz w:val="20"/>
                <w:szCs w:val="20"/>
                <w:lang w:val="en-GB"/>
              </w:rPr>
            </w:pPr>
            <w:r w:rsidRPr="00E51CDD">
              <w:rPr>
                <w:sz w:val="20"/>
                <w:szCs w:val="20"/>
                <w:lang w:val="en-GB"/>
              </w:rPr>
              <w:t>acute oral</w:t>
            </w:r>
          </w:p>
        </w:tc>
        <w:tc>
          <w:tcPr>
            <w:tcW w:w="1805" w:type="pct"/>
          </w:tcPr>
          <w:p w14:paraId="5E7FA83E" w14:textId="77777777" w:rsidR="00E51CDD" w:rsidRPr="00E51CDD" w:rsidRDefault="00E51CDD" w:rsidP="00E51CDD">
            <w:pPr>
              <w:widowControl w:val="0"/>
              <w:rPr>
                <w:noProof/>
                <w:sz w:val="20"/>
                <w:szCs w:val="20"/>
                <w:lang w:val="en-GB"/>
              </w:rPr>
            </w:pPr>
            <w:r w:rsidRPr="00E51CDD">
              <w:rPr>
                <w:sz w:val="20"/>
                <w:szCs w:val="20"/>
                <w:lang w:val="en-GB"/>
              </w:rPr>
              <w:t>LD</w:t>
            </w:r>
            <w:r w:rsidRPr="00E51CDD">
              <w:rPr>
                <w:sz w:val="20"/>
                <w:szCs w:val="20"/>
                <w:vertAlign w:val="subscript"/>
                <w:lang w:val="en-GB"/>
              </w:rPr>
              <w:t>50</w:t>
            </w:r>
            <w:r w:rsidRPr="00E51CDD">
              <w:rPr>
                <w:sz w:val="20"/>
                <w:szCs w:val="20"/>
                <w:lang w:val="en-GB"/>
              </w:rPr>
              <w:t xml:space="preserve"> (48 h) &gt; 110.9 µg a.s./bee</w:t>
            </w:r>
          </w:p>
        </w:tc>
        <w:tc>
          <w:tcPr>
            <w:tcW w:w="838" w:type="pct"/>
          </w:tcPr>
          <w:p w14:paraId="62663EB8" w14:textId="77777777" w:rsidR="00E51CDD" w:rsidRPr="00E51CDD" w:rsidRDefault="00E51CDD" w:rsidP="00E51CDD">
            <w:pPr>
              <w:widowControl w:val="0"/>
              <w:rPr>
                <w:noProof/>
                <w:sz w:val="20"/>
                <w:szCs w:val="20"/>
                <w:lang w:val="en-GB" w:eastAsia="en-US"/>
              </w:rPr>
            </w:pPr>
            <w:r w:rsidRPr="00E51CDD">
              <w:rPr>
                <w:bCs/>
                <w:iCs/>
                <w:sz w:val="20"/>
                <w:szCs w:val="20"/>
                <w:lang w:val="de-DE" w:eastAsia="en-US"/>
              </w:rPr>
              <w:t>EFSA Journal 2012;10(1):2522</w:t>
            </w:r>
            <w:r w:rsidRPr="00E51CDD">
              <w:rPr>
                <w:sz w:val="20"/>
                <w:szCs w:val="20"/>
                <w:lang w:val="en-GB"/>
              </w:rPr>
              <w:br/>
              <w:t>2008/1010703</w:t>
            </w:r>
          </w:p>
        </w:tc>
      </w:tr>
      <w:tr w:rsidR="00E51CDD" w:rsidRPr="00E51CDD" w14:paraId="60CF5265" w14:textId="77777777" w:rsidTr="009938D9">
        <w:tc>
          <w:tcPr>
            <w:tcW w:w="916" w:type="pct"/>
          </w:tcPr>
          <w:p w14:paraId="7A94621A" w14:textId="77777777" w:rsidR="00E51CDD" w:rsidRPr="00E51CDD" w:rsidRDefault="00E51CDD" w:rsidP="00E51CDD">
            <w:pPr>
              <w:widowControl w:val="0"/>
              <w:rPr>
                <w:i/>
                <w:noProof/>
                <w:sz w:val="20"/>
                <w:szCs w:val="20"/>
                <w:lang w:val="en-GB"/>
              </w:rPr>
            </w:pPr>
            <w:r w:rsidRPr="00E51CDD">
              <w:rPr>
                <w:i/>
                <w:sz w:val="20"/>
                <w:szCs w:val="20"/>
                <w:lang w:val="en-GB"/>
              </w:rPr>
              <w:t>Apis mellifera</w:t>
            </w:r>
            <w:r w:rsidRPr="00E51CDD">
              <w:rPr>
                <w:i/>
                <w:sz w:val="20"/>
                <w:szCs w:val="20"/>
                <w:lang w:val="en-GB"/>
              </w:rPr>
              <w:br/>
            </w:r>
            <w:r w:rsidRPr="00E51CDD">
              <w:rPr>
                <w:sz w:val="20"/>
                <w:szCs w:val="20"/>
                <w:lang w:val="en-GB"/>
              </w:rPr>
              <w:t>(adults)</w:t>
            </w:r>
          </w:p>
        </w:tc>
        <w:tc>
          <w:tcPr>
            <w:tcW w:w="825" w:type="pct"/>
          </w:tcPr>
          <w:p w14:paraId="29848319" w14:textId="77777777" w:rsidR="00E51CDD" w:rsidRPr="00E51CDD" w:rsidRDefault="00E51CDD" w:rsidP="00E51CDD">
            <w:pPr>
              <w:widowControl w:val="0"/>
              <w:rPr>
                <w:noProof/>
                <w:sz w:val="20"/>
                <w:szCs w:val="20"/>
                <w:lang w:val="en-GB"/>
              </w:rPr>
            </w:pPr>
            <w:r w:rsidRPr="00E51CDD">
              <w:rPr>
                <w:noProof/>
                <w:sz w:val="20"/>
                <w:szCs w:val="20"/>
                <w:lang w:val="en-GB"/>
              </w:rPr>
              <w:t>fluxapyroxad</w:t>
            </w:r>
          </w:p>
        </w:tc>
        <w:tc>
          <w:tcPr>
            <w:tcW w:w="617" w:type="pct"/>
          </w:tcPr>
          <w:p w14:paraId="5BA60F1A" w14:textId="77777777" w:rsidR="00E51CDD" w:rsidRPr="00E51CDD" w:rsidRDefault="00E51CDD" w:rsidP="00E51CDD">
            <w:pPr>
              <w:widowControl w:val="0"/>
              <w:rPr>
                <w:noProof/>
                <w:sz w:val="20"/>
                <w:szCs w:val="20"/>
                <w:lang w:val="en-GB"/>
              </w:rPr>
            </w:pPr>
            <w:r w:rsidRPr="00E51CDD">
              <w:rPr>
                <w:sz w:val="20"/>
                <w:szCs w:val="20"/>
                <w:lang w:val="en-GB"/>
              </w:rPr>
              <w:t>acute contact</w:t>
            </w:r>
          </w:p>
        </w:tc>
        <w:tc>
          <w:tcPr>
            <w:tcW w:w="1805" w:type="pct"/>
          </w:tcPr>
          <w:p w14:paraId="0C9E3B0E" w14:textId="77777777" w:rsidR="00E51CDD" w:rsidRPr="00E51CDD" w:rsidRDefault="00E51CDD" w:rsidP="00E51CDD">
            <w:pPr>
              <w:widowControl w:val="0"/>
              <w:rPr>
                <w:noProof/>
                <w:sz w:val="20"/>
                <w:szCs w:val="20"/>
                <w:lang w:val="en-GB"/>
              </w:rPr>
            </w:pPr>
            <w:r w:rsidRPr="00E51CDD">
              <w:rPr>
                <w:sz w:val="20"/>
                <w:szCs w:val="20"/>
                <w:lang w:val="en-GB"/>
              </w:rPr>
              <w:t>LD</w:t>
            </w:r>
            <w:r w:rsidRPr="00E51CDD">
              <w:rPr>
                <w:sz w:val="20"/>
                <w:szCs w:val="20"/>
                <w:vertAlign w:val="subscript"/>
                <w:lang w:val="en-GB"/>
              </w:rPr>
              <w:t>50</w:t>
            </w:r>
            <w:r w:rsidRPr="00E51CDD">
              <w:rPr>
                <w:sz w:val="20"/>
                <w:szCs w:val="20"/>
                <w:lang w:val="en-GB"/>
              </w:rPr>
              <w:t xml:space="preserve"> (48 h) &gt; 100 µg a.s./bee</w:t>
            </w:r>
          </w:p>
        </w:tc>
        <w:tc>
          <w:tcPr>
            <w:tcW w:w="838" w:type="pct"/>
          </w:tcPr>
          <w:p w14:paraId="2D4C3D10" w14:textId="77777777" w:rsidR="00E51CDD" w:rsidRPr="00E51CDD" w:rsidRDefault="00E51CDD" w:rsidP="00E51CDD">
            <w:pPr>
              <w:widowControl w:val="0"/>
              <w:rPr>
                <w:noProof/>
                <w:sz w:val="20"/>
                <w:szCs w:val="20"/>
                <w:lang w:val="en-GB" w:eastAsia="en-US"/>
              </w:rPr>
            </w:pPr>
            <w:r w:rsidRPr="00E51CDD">
              <w:rPr>
                <w:bCs/>
                <w:iCs/>
                <w:sz w:val="20"/>
                <w:szCs w:val="20"/>
                <w:lang w:val="de-DE" w:eastAsia="en-US"/>
              </w:rPr>
              <w:t>EFSA Journal 2012;10(1):2522</w:t>
            </w:r>
            <w:r w:rsidRPr="00E51CDD">
              <w:rPr>
                <w:sz w:val="20"/>
                <w:szCs w:val="20"/>
                <w:lang w:val="en-GB"/>
              </w:rPr>
              <w:br/>
              <w:t>2008/1010703</w:t>
            </w:r>
          </w:p>
        </w:tc>
      </w:tr>
      <w:tr w:rsidR="00E51CDD" w:rsidRPr="00E51CDD" w14:paraId="024250E2" w14:textId="77777777" w:rsidTr="009938D9">
        <w:tc>
          <w:tcPr>
            <w:tcW w:w="916" w:type="pct"/>
          </w:tcPr>
          <w:p w14:paraId="0C98E6C1" w14:textId="77777777" w:rsidR="00E51CDD" w:rsidRPr="0082015D" w:rsidRDefault="00E51CDD" w:rsidP="00E51CDD">
            <w:pPr>
              <w:widowControl w:val="0"/>
              <w:rPr>
                <w:i/>
                <w:strike/>
                <w:noProof/>
                <w:color w:val="D9D9D9" w:themeColor="background1" w:themeShade="D9"/>
                <w:sz w:val="20"/>
                <w:szCs w:val="20"/>
                <w:lang w:val="en-GB"/>
              </w:rPr>
            </w:pPr>
            <w:r w:rsidRPr="0082015D">
              <w:rPr>
                <w:i/>
                <w:strike/>
                <w:color w:val="D9D9D9" w:themeColor="background1" w:themeShade="D9"/>
                <w:sz w:val="20"/>
                <w:szCs w:val="20"/>
                <w:lang w:val="en-GB"/>
              </w:rPr>
              <w:t>Apis mellifera</w:t>
            </w:r>
            <w:r w:rsidRPr="0082015D">
              <w:rPr>
                <w:i/>
                <w:strike/>
                <w:color w:val="D9D9D9" w:themeColor="background1" w:themeShade="D9"/>
                <w:sz w:val="20"/>
                <w:szCs w:val="20"/>
                <w:lang w:val="en-GB"/>
              </w:rPr>
              <w:br/>
            </w:r>
            <w:r w:rsidRPr="0082015D">
              <w:rPr>
                <w:strike/>
                <w:color w:val="D9D9D9" w:themeColor="background1" w:themeShade="D9"/>
                <w:sz w:val="20"/>
                <w:szCs w:val="20"/>
                <w:lang w:val="en-GB"/>
              </w:rPr>
              <w:t>(adults)</w:t>
            </w:r>
          </w:p>
        </w:tc>
        <w:tc>
          <w:tcPr>
            <w:tcW w:w="825" w:type="pct"/>
          </w:tcPr>
          <w:p w14:paraId="60D92977" w14:textId="77777777" w:rsidR="00E51CDD" w:rsidRPr="0082015D" w:rsidRDefault="00E51CDD" w:rsidP="00E51CDD">
            <w:pPr>
              <w:widowControl w:val="0"/>
              <w:rPr>
                <w:strike/>
                <w:noProof/>
                <w:color w:val="D9D9D9" w:themeColor="background1" w:themeShade="D9"/>
                <w:sz w:val="20"/>
                <w:szCs w:val="20"/>
                <w:lang w:val="en-GB"/>
              </w:rPr>
            </w:pPr>
            <w:r w:rsidRPr="0082015D">
              <w:rPr>
                <w:strike/>
                <w:noProof/>
                <w:color w:val="D9D9D9" w:themeColor="background1" w:themeShade="D9"/>
                <w:sz w:val="20"/>
                <w:szCs w:val="20"/>
                <w:lang w:val="en-GB"/>
              </w:rPr>
              <w:t>fluxapyroxad</w:t>
            </w:r>
          </w:p>
          <w:p w14:paraId="0618B2A5" w14:textId="77777777" w:rsidR="00E51CDD" w:rsidRPr="0082015D" w:rsidRDefault="00E51CDD" w:rsidP="00E51CDD">
            <w:pPr>
              <w:widowControl w:val="0"/>
              <w:rPr>
                <w:strike/>
                <w:noProof/>
                <w:color w:val="D9D9D9" w:themeColor="background1" w:themeShade="D9"/>
                <w:sz w:val="20"/>
                <w:szCs w:val="20"/>
                <w:lang w:val="en-GB"/>
              </w:rPr>
            </w:pPr>
            <w:r w:rsidRPr="0082015D">
              <w:rPr>
                <w:strike/>
                <w:noProof/>
                <w:color w:val="D9D9D9" w:themeColor="background1" w:themeShade="D9"/>
                <w:sz w:val="20"/>
                <w:szCs w:val="20"/>
                <w:lang w:val="en-GB"/>
              </w:rPr>
              <w:t xml:space="preserve">(tested as BAS 700 04 F) </w:t>
            </w:r>
            <w:r w:rsidRPr="0082015D">
              <w:rPr>
                <w:strike/>
                <w:noProof/>
                <w:color w:val="D9D9D9" w:themeColor="background1" w:themeShade="D9"/>
                <w:sz w:val="20"/>
                <w:szCs w:val="20"/>
                <w:vertAlign w:val="superscript"/>
                <w:lang w:val="en-GB"/>
              </w:rPr>
              <w:t>1)</w:t>
            </w:r>
          </w:p>
        </w:tc>
        <w:tc>
          <w:tcPr>
            <w:tcW w:w="617" w:type="pct"/>
          </w:tcPr>
          <w:p w14:paraId="7C8A1371" w14:textId="77777777" w:rsidR="00E51CDD" w:rsidRPr="0082015D" w:rsidRDefault="00E51CDD" w:rsidP="00E51CDD">
            <w:pPr>
              <w:widowControl w:val="0"/>
              <w:rPr>
                <w:strike/>
                <w:color w:val="D9D9D9" w:themeColor="background1" w:themeShade="D9"/>
                <w:sz w:val="20"/>
                <w:szCs w:val="20"/>
                <w:lang w:val="en-GB"/>
              </w:rPr>
            </w:pPr>
            <w:r w:rsidRPr="0082015D">
              <w:rPr>
                <w:strike/>
                <w:color w:val="D9D9D9" w:themeColor="background1" w:themeShade="D9"/>
                <w:sz w:val="20"/>
                <w:szCs w:val="20"/>
                <w:lang w:val="en-GB"/>
              </w:rPr>
              <w:t>chronic,</w:t>
            </w:r>
          </w:p>
          <w:p w14:paraId="5818DC65" w14:textId="77777777" w:rsidR="00E51CDD" w:rsidRPr="0082015D" w:rsidRDefault="00E51CDD" w:rsidP="00E51CDD">
            <w:pPr>
              <w:widowControl w:val="0"/>
              <w:rPr>
                <w:strike/>
                <w:noProof/>
                <w:color w:val="D9D9D9" w:themeColor="background1" w:themeShade="D9"/>
                <w:sz w:val="20"/>
                <w:szCs w:val="20"/>
                <w:lang w:val="en-GB"/>
              </w:rPr>
            </w:pPr>
            <w:r w:rsidRPr="0082015D">
              <w:rPr>
                <w:strike/>
                <w:color w:val="D9D9D9" w:themeColor="background1" w:themeShade="D9"/>
                <w:sz w:val="20"/>
                <w:szCs w:val="20"/>
                <w:lang w:val="en-GB"/>
              </w:rPr>
              <w:t>10 d</w:t>
            </w:r>
          </w:p>
        </w:tc>
        <w:tc>
          <w:tcPr>
            <w:tcW w:w="1805" w:type="pct"/>
          </w:tcPr>
          <w:p w14:paraId="4CCC02C1" w14:textId="77777777" w:rsidR="00E51CDD" w:rsidRPr="0082015D" w:rsidRDefault="00E51CDD" w:rsidP="00E51CDD">
            <w:pPr>
              <w:widowControl w:val="0"/>
              <w:rPr>
                <w:strike/>
                <w:color w:val="D9D9D9" w:themeColor="background1" w:themeShade="D9"/>
                <w:sz w:val="20"/>
                <w:szCs w:val="20"/>
                <w:lang w:val="en-GB"/>
              </w:rPr>
            </w:pPr>
            <w:r w:rsidRPr="0082015D">
              <w:rPr>
                <w:strike/>
                <w:color w:val="D9D9D9" w:themeColor="background1" w:themeShade="D9"/>
                <w:sz w:val="20"/>
                <w:szCs w:val="20"/>
                <w:lang w:val="en-GB"/>
              </w:rPr>
              <w:t>LDD</w:t>
            </w:r>
            <w:r w:rsidRPr="0082015D">
              <w:rPr>
                <w:strike/>
                <w:color w:val="D9D9D9" w:themeColor="background1" w:themeShade="D9"/>
                <w:sz w:val="20"/>
                <w:szCs w:val="20"/>
                <w:vertAlign w:val="subscript"/>
                <w:lang w:val="en-GB"/>
              </w:rPr>
              <w:t>50</w:t>
            </w:r>
            <w:r w:rsidRPr="0082015D">
              <w:rPr>
                <w:strike/>
                <w:color w:val="D9D9D9" w:themeColor="background1" w:themeShade="D9"/>
                <w:sz w:val="20"/>
                <w:szCs w:val="20"/>
                <w:lang w:val="en-GB"/>
              </w:rPr>
              <w:t xml:space="preserve"> (10 d) &gt; 185 µg a.s./bee/day</w:t>
            </w:r>
          </w:p>
          <w:p w14:paraId="49928DD0" w14:textId="77777777" w:rsidR="00E51CDD" w:rsidRPr="0082015D" w:rsidRDefault="00E51CDD" w:rsidP="00E51CDD">
            <w:pPr>
              <w:widowControl w:val="0"/>
              <w:rPr>
                <w:strike/>
                <w:noProof/>
                <w:color w:val="D9D9D9" w:themeColor="background1" w:themeShade="D9"/>
                <w:sz w:val="20"/>
                <w:szCs w:val="20"/>
                <w:lang w:val="en-GB"/>
              </w:rPr>
            </w:pPr>
            <w:r w:rsidRPr="0082015D">
              <w:rPr>
                <w:strike/>
                <w:color w:val="D9D9D9" w:themeColor="background1" w:themeShade="D9"/>
                <w:sz w:val="20"/>
                <w:szCs w:val="20"/>
                <w:lang w:val="en-GB"/>
              </w:rPr>
              <w:t>NOEDD (10 d) ≥ 185 µg a.s./bee/day</w:t>
            </w:r>
          </w:p>
        </w:tc>
        <w:tc>
          <w:tcPr>
            <w:tcW w:w="838" w:type="pct"/>
          </w:tcPr>
          <w:p w14:paraId="16574D64" w14:textId="77777777" w:rsidR="00E51CDD" w:rsidRPr="0082015D" w:rsidRDefault="00E51CDD" w:rsidP="00E51CDD">
            <w:pPr>
              <w:widowControl w:val="0"/>
              <w:rPr>
                <w:strike/>
                <w:noProof/>
                <w:color w:val="D9D9D9" w:themeColor="background1" w:themeShade="D9"/>
                <w:sz w:val="20"/>
                <w:szCs w:val="20"/>
                <w:lang w:val="en-GB" w:eastAsia="en-US"/>
              </w:rPr>
            </w:pPr>
            <w:r w:rsidRPr="0082015D">
              <w:rPr>
                <w:strike/>
                <w:noProof/>
                <w:color w:val="D9D9D9" w:themeColor="background1" w:themeShade="D9"/>
                <w:sz w:val="20"/>
                <w:szCs w:val="20"/>
                <w:lang w:val="en-GB" w:eastAsia="en-US"/>
              </w:rPr>
              <w:t>not EU evaluated</w:t>
            </w:r>
          </w:p>
          <w:p w14:paraId="2E40AD3A" w14:textId="77777777" w:rsidR="00E51CDD" w:rsidRPr="0082015D" w:rsidRDefault="00E51CDD" w:rsidP="00E51CDD">
            <w:pPr>
              <w:widowControl w:val="0"/>
              <w:rPr>
                <w:strike/>
                <w:noProof/>
                <w:color w:val="D9D9D9" w:themeColor="background1" w:themeShade="D9"/>
                <w:sz w:val="20"/>
                <w:szCs w:val="20"/>
                <w:lang w:val="en-GB" w:eastAsia="en-US"/>
              </w:rPr>
            </w:pPr>
            <w:r w:rsidRPr="0082015D">
              <w:rPr>
                <w:strike/>
                <w:noProof/>
                <w:color w:val="D9D9D9" w:themeColor="background1" w:themeShade="D9"/>
                <w:sz w:val="20"/>
                <w:szCs w:val="20"/>
                <w:lang w:val="en-GB"/>
              </w:rPr>
              <w:t>2020/2083866</w:t>
            </w:r>
          </w:p>
        </w:tc>
      </w:tr>
      <w:tr w:rsidR="00E51CDD" w:rsidRPr="00E51CDD" w14:paraId="450BFA55" w14:textId="77777777" w:rsidTr="009938D9">
        <w:tc>
          <w:tcPr>
            <w:tcW w:w="916" w:type="pct"/>
          </w:tcPr>
          <w:p w14:paraId="4525942A" w14:textId="77777777" w:rsidR="00E51CDD" w:rsidRPr="0082015D" w:rsidRDefault="00E51CDD" w:rsidP="00E51CDD">
            <w:pPr>
              <w:widowControl w:val="0"/>
              <w:rPr>
                <w:i/>
                <w:strike/>
                <w:noProof/>
                <w:color w:val="D9D9D9" w:themeColor="background1" w:themeShade="D9"/>
                <w:sz w:val="20"/>
                <w:szCs w:val="20"/>
                <w:lang w:val="en-GB"/>
              </w:rPr>
            </w:pPr>
            <w:r w:rsidRPr="0082015D">
              <w:rPr>
                <w:i/>
                <w:strike/>
                <w:color w:val="D9D9D9" w:themeColor="background1" w:themeShade="D9"/>
                <w:sz w:val="20"/>
                <w:szCs w:val="20"/>
                <w:lang w:val="en-GB"/>
              </w:rPr>
              <w:t>Apis mellifera</w:t>
            </w:r>
            <w:r w:rsidRPr="0082015D">
              <w:rPr>
                <w:i/>
                <w:strike/>
                <w:color w:val="D9D9D9" w:themeColor="background1" w:themeShade="D9"/>
                <w:sz w:val="20"/>
                <w:szCs w:val="20"/>
                <w:lang w:val="en-GB"/>
              </w:rPr>
              <w:br/>
            </w:r>
            <w:r w:rsidRPr="0082015D">
              <w:rPr>
                <w:strike/>
                <w:color w:val="D9D9D9" w:themeColor="background1" w:themeShade="D9"/>
                <w:sz w:val="20"/>
                <w:szCs w:val="20"/>
                <w:lang w:val="en-GB"/>
              </w:rPr>
              <w:t>(larvae)</w:t>
            </w:r>
          </w:p>
        </w:tc>
        <w:tc>
          <w:tcPr>
            <w:tcW w:w="825" w:type="pct"/>
          </w:tcPr>
          <w:p w14:paraId="4DB1F397" w14:textId="77777777" w:rsidR="00E51CDD" w:rsidRPr="0082015D" w:rsidRDefault="00E51CDD" w:rsidP="00E51CDD">
            <w:pPr>
              <w:widowControl w:val="0"/>
              <w:rPr>
                <w:strike/>
                <w:noProof/>
                <w:color w:val="D9D9D9" w:themeColor="background1" w:themeShade="D9"/>
                <w:sz w:val="20"/>
                <w:szCs w:val="20"/>
                <w:lang w:val="en-GB"/>
              </w:rPr>
            </w:pPr>
            <w:r w:rsidRPr="0082015D">
              <w:rPr>
                <w:strike/>
                <w:noProof/>
                <w:color w:val="D9D9D9" w:themeColor="background1" w:themeShade="D9"/>
                <w:sz w:val="20"/>
                <w:szCs w:val="20"/>
                <w:lang w:val="en-GB"/>
              </w:rPr>
              <w:t>fluxapyroxad</w:t>
            </w:r>
          </w:p>
        </w:tc>
        <w:tc>
          <w:tcPr>
            <w:tcW w:w="617" w:type="pct"/>
          </w:tcPr>
          <w:p w14:paraId="3EDABAA7" w14:textId="77777777" w:rsidR="00E51CDD" w:rsidRPr="0082015D" w:rsidRDefault="00E51CDD" w:rsidP="00E51CDD">
            <w:pPr>
              <w:widowControl w:val="0"/>
              <w:rPr>
                <w:strike/>
                <w:noProof/>
                <w:color w:val="D9D9D9" w:themeColor="background1" w:themeShade="D9"/>
                <w:sz w:val="20"/>
                <w:szCs w:val="20"/>
                <w:lang w:val="en-GB"/>
              </w:rPr>
            </w:pPr>
            <w:r w:rsidRPr="0082015D">
              <w:rPr>
                <w:strike/>
                <w:noProof/>
                <w:color w:val="D9D9D9" w:themeColor="background1" w:themeShade="D9"/>
                <w:sz w:val="20"/>
                <w:szCs w:val="20"/>
                <w:lang w:val="en-GB"/>
              </w:rPr>
              <w:t>repeated exposure, 22 d</w:t>
            </w:r>
          </w:p>
        </w:tc>
        <w:tc>
          <w:tcPr>
            <w:tcW w:w="1805" w:type="pct"/>
          </w:tcPr>
          <w:p w14:paraId="6837677E" w14:textId="77777777" w:rsidR="00E51CDD" w:rsidRPr="0082015D" w:rsidRDefault="00E51CDD" w:rsidP="00E51CDD">
            <w:pPr>
              <w:widowControl w:val="0"/>
              <w:rPr>
                <w:strike/>
                <w:noProof/>
                <w:color w:val="D9D9D9" w:themeColor="background1" w:themeShade="D9"/>
                <w:sz w:val="20"/>
                <w:szCs w:val="20"/>
                <w:lang w:val="en-GB"/>
              </w:rPr>
            </w:pPr>
            <w:r w:rsidRPr="0082015D">
              <w:rPr>
                <w:strike/>
                <w:color w:val="D9D9D9" w:themeColor="background1" w:themeShade="D9"/>
                <w:sz w:val="20"/>
                <w:szCs w:val="20"/>
                <w:lang w:val="en-GB"/>
              </w:rPr>
              <w:t>NOED (22 d) ≥ 80.0 µg a.s./larva</w:t>
            </w:r>
            <w:r w:rsidRPr="0082015D">
              <w:rPr>
                <w:strike/>
                <w:color w:val="D9D9D9" w:themeColor="background1" w:themeShade="D9"/>
                <w:sz w:val="20"/>
                <w:szCs w:val="20"/>
                <w:lang w:val="en-GB"/>
              </w:rPr>
              <w:br/>
              <w:t>ED</w:t>
            </w:r>
            <w:r w:rsidRPr="0082015D">
              <w:rPr>
                <w:strike/>
                <w:color w:val="D9D9D9" w:themeColor="background1" w:themeShade="D9"/>
                <w:sz w:val="20"/>
                <w:szCs w:val="20"/>
                <w:vertAlign w:val="subscript"/>
                <w:lang w:val="en-GB"/>
              </w:rPr>
              <w:t>50</w:t>
            </w:r>
            <w:r w:rsidRPr="0082015D">
              <w:rPr>
                <w:strike/>
                <w:color w:val="D9D9D9" w:themeColor="background1" w:themeShade="D9"/>
                <w:sz w:val="20"/>
                <w:szCs w:val="20"/>
                <w:lang w:val="en-GB"/>
              </w:rPr>
              <w:t xml:space="preserve"> (22 d) &gt; 80.0 µg a.s./larva</w:t>
            </w:r>
          </w:p>
        </w:tc>
        <w:tc>
          <w:tcPr>
            <w:tcW w:w="838" w:type="pct"/>
          </w:tcPr>
          <w:p w14:paraId="308A29E9" w14:textId="77777777" w:rsidR="00E51CDD" w:rsidRPr="0082015D" w:rsidRDefault="00E51CDD" w:rsidP="00E51CDD">
            <w:pPr>
              <w:widowControl w:val="0"/>
              <w:rPr>
                <w:strike/>
                <w:noProof/>
                <w:color w:val="D9D9D9" w:themeColor="background1" w:themeShade="D9"/>
                <w:sz w:val="20"/>
                <w:szCs w:val="20"/>
                <w:lang w:val="en-GB" w:eastAsia="en-US"/>
              </w:rPr>
            </w:pPr>
            <w:r w:rsidRPr="0082015D">
              <w:rPr>
                <w:strike/>
                <w:noProof/>
                <w:color w:val="D9D9D9" w:themeColor="background1" w:themeShade="D9"/>
                <w:sz w:val="20"/>
                <w:szCs w:val="20"/>
                <w:lang w:val="en-GB" w:eastAsia="en-US"/>
              </w:rPr>
              <w:t>not EU evaluated</w:t>
            </w:r>
          </w:p>
          <w:p w14:paraId="3F76A104" w14:textId="77777777" w:rsidR="00E51CDD" w:rsidRPr="0082015D" w:rsidRDefault="00E51CDD" w:rsidP="00E51CDD">
            <w:pPr>
              <w:widowControl w:val="0"/>
              <w:rPr>
                <w:strike/>
                <w:noProof/>
                <w:color w:val="D9D9D9" w:themeColor="background1" w:themeShade="D9"/>
                <w:sz w:val="20"/>
                <w:szCs w:val="20"/>
                <w:lang w:val="en-GB" w:eastAsia="en-US"/>
              </w:rPr>
            </w:pPr>
            <w:r w:rsidRPr="0082015D">
              <w:rPr>
                <w:strike/>
                <w:color w:val="D9D9D9" w:themeColor="background1" w:themeShade="D9"/>
                <w:sz w:val="20"/>
                <w:szCs w:val="20"/>
                <w:lang w:val="en-GB"/>
              </w:rPr>
              <w:t>2017/1036679</w:t>
            </w:r>
          </w:p>
        </w:tc>
      </w:tr>
      <w:tr w:rsidR="00E51CDD" w:rsidRPr="00E51CDD" w14:paraId="2C6A437F" w14:textId="77777777" w:rsidTr="009938D9">
        <w:tc>
          <w:tcPr>
            <w:tcW w:w="916" w:type="pct"/>
          </w:tcPr>
          <w:p w14:paraId="778F6D96" w14:textId="77777777" w:rsidR="00E51CDD" w:rsidRPr="0082015D" w:rsidRDefault="00E51CDD" w:rsidP="00E51CDD">
            <w:pPr>
              <w:widowControl w:val="0"/>
              <w:rPr>
                <w:strike/>
                <w:noProof/>
                <w:color w:val="D9D9D9" w:themeColor="background1" w:themeShade="D9"/>
                <w:sz w:val="20"/>
                <w:szCs w:val="20"/>
                <w:lang w:val="en-GB"/>
              </w:rPr>
            </w:pPr>
            <w:r w:rsidRPr="0082015D">
              <w:rPr>
                <w:i/>
                <w:strike/>
                <w:noProof/>
                <w:color w:val="D9D9D9" w:themeColor="background1" w:themeShade="D9"/>
                <w:sz w:val="20"/>
                <w:szCs w:val="20"/>
                <w:lang w:val="en-GB"/>
              </w:rPr>
              <w:t>Bombus terrestris</w:t>
            </w:r>
            <w:r w:rsidRPr="0082015D">
              <w:rPr>
                <w:i/>
                <w:strike/>
                <w:noProof/>
                <w:color w:val="D9D9D9" w:themeColor="background1" w:themeShade="D9"/>
                <w:sz w:val="20"/>
                <w:szCs w:val="20"/>
                <w:lang w:val="en-GB"/>
              </w:rPr>
              <w:br/>
            </w:r>
            <w:r w:rsidRPr="0082015D">
              <w:rPr>
                <w:strike/>
                <w:noProof/>
                <w:color w:val="D9D9D9" w:themeColor="background1" w:themeShade="D9"/>
                <w:sz w:val="20"/>
                <w:szCs w:val="20"/>
                <w:lang w:val="en-GB"/>
              </w:rPr>
              <w:t>(adults)</w:t>
            </w:r>
          </w:p>
        </w:tc>
        <w:tc>
          <w:tcPr>
            <w:tcW w:w="825" w:type="pct"/>
          </w:tcPr>
          <w:p w14:paraId="546C041C" w14:textId="77777777" w:rsidR="00E51CDD" w:rsidRPr="0082015D" w:rsidRDefault="00E51CDD" w:rsidP="00E51CDD">
            <w:pPr>
              <w:widowControl w:val="0"/>
              <w:rPr>
                <w:strike/>
                <w:noProof/>
                <w:color w:val="D9D9D9" w:themeColor="background1" w:themeShade="D9"/>
                <w:sz w:val="20"/>
                <w:szCs w:val="20"/>
                <w:vertAlign w:val="superscript"/>
                <w:lang w:val="en-GB"/>
              </w:rPr>
            </w:pPr>
            <w:r w:rsidRPr="0082015D">
              <w:rPr>
                <w:strike/>
                <w:noProof/>
                <w:color w:val="D9D9D9" w:themeColor="background1" w:themeShade="D9"/>
                <w:sz w:val="20"/>
                <w:szCs w:val="20"/>
                <w:lang w:val="en-GB"/>
              </w:rPr>
              <w:t xml:space="preserve">fluxapyroxad (tested as BAS 700 04 F) </w:t>
            </w:r>
            <w:r w:rsidRPr="0082015D">
              <w:rPr>
                <w:strike/>
                <w:noProof/>
                <w:color w:val="D9D9D9" w:themeColor="background1" w:themeShade="D9"/>
                <w:sz w:val="20"/>
                <w:szCs w:val="20"/>
                <w:vertAlign w:val="superscript"/>
                <w:lang w:val="en-GB"/>
              </w:rPr>
              <w:t>1)</w:t>
            </w:r>
          </w:p>
        </w:tc>
        <w:tc>
          <w:tcPr>
            <w:tcW w:w="617" w:type="pct"/>
          </w:tcPr>
          <w:p w14:paraId="4EE6804F" w14:textId="77777777" w:rsidR="00E51CDD" w:rsidRPr="0082015D" w:rsidRDefault="00E51CDD" w:rsidP="00E51CDD">
            <w:pPr>
              <w:widowControl w:val="0"/>
              <w:rPr>
                <w:strike/>
                <w:noProof/>
                <w:color w:val="D9D9D9" w:themeColor="background1" w:themeShade="D9"/>
                <w:sz w:val="20"/>
                <w:szCs w:val="20"/>
                <w:lang w:val="en-GB"/>
              </w:rPr>
            </w:pPr>
            <w:r w:rsidRPr="0082015D">
              <w:rPr>
                <w:strike/>
                <w:noProof/>
                <w:color w:val="D9D9D9" w:themeColor="background1" w:themeShade="D9"/>
                <w:sz w:val="20"/>
                <w:szCs w:val="20"/>
                <w:lang w:val="en-GB"/>
              </w:rPr>
              <w:t>acute oral</w:t>
            </w:r>
          </w:p>
        </w:tc>
        <w:tc>
          <w:tcPr>
            <w:tcW w:w="1805" w:type="pct"/>
          </w:tcPr>
          <w:p w14:paraId="7BD5443E" w14:textId="77777777" w:rsidR="00E51CDD" w:rsidRPr="0082015D" w:rsidRDefault="00E51CDD" w:rsidP="00E51CDD">
            <w:pPr>
              <w:widowControl w:val="0"/>
              <w:rPr>
                <w:strike/>
                <w:noProof/>
                <w:color w:val="D9D9D9" w:themeColor="background1" w:themeShade="D9"/>
                <w:sz w:val="20"/>
                <w:szCs w:val="20"/>
                <w:lang w:val="en-GB"/>
              </w:rPr>
            </w:pPr>
            <w:r w:rsidRPr="0082015D">
              <w:rPr>
                <w:strike/>
                <w:noProof/>
                <w:color w:val="D9D9D9" w:themeColor="background1" w:themeShade="D9"/>
                <w:sz w:val="20"/>
                <w:szCs w:val="20"/>
                <w:lang w:val="en-GB"/>
              </w:rPr>
              <w:t>LD</w:t>
            </w:r>
            <w:r w:rsidRPr="0082015D">
              <w:rPr>
                <w:strike/>
                <w:noProof/>
                <w:color w:val="D9D9D9" w:themeColor="background1" w:themeShade="D9"/>
                <w:sz w:val="20"/>
                <w:szCs w:val="20"/>
                <w:vertAlign w:val="subscript"/>
                <w:lang w:val="en-GB"/>
              </w:rPr>
              <w:t>50</w:t>
            </w:r>
            <w:r w:rsidRPr="0082015D">
              <w:rPr>
                <w:strike/>
                <w:noProof/>
                <w:color w:val="D9D9D9" w:themeColor="background1" w:themeShade="D9"/>
                <w:sz w:val="20"/>
                <w:szCs w:val="20"/>
                <w:lang w:val="en-GB"/>
              </w:rPr>
              <w:t xml:space="preserve"> (96 h) &gt; 176.3 µg a.s./bumble bee</w:t>
            </w:r>
          </w:p>
        </w:tc>
        <w:tc>
          <w:tcPr>
            <w:tcW w:w="838" w:type="pct"/>
          </w:tcPr>
          <w:p w14:paraId="3FA7EDCB" w14:textId="77777777" w:rsidR="00E51CDD" w:rsidRPr="0082015D" w:rsidRDefault="00E51CDD" w:rsidP="00E51CDD">
            <w:pPr>
              <w:widowControl w:val="0"/>
              <w:rPr>
                <w:strike/>
                <w:noProof/>
                <w:color w:val="D9D9D9" w:themeColor="background1" w:themeShade="D9"/>
                <w:sz w:val="20"/>
                <w:szCs w:val="20"/>
                <w:lang w:val="en-GB" w:eastAsia="en-US"/>
              </w:rPr>
            </w:pPr>
            <w:r w:rsidRPr="0082015D">
              <w:rPr>
                <w:strike/>
                <w:noProof/>
                <w:color w:val="D9D9D9" w:themeColor="background1" w:themeShade="D9"/>
                <w:sz w:val="20"/>
                <w:szCs w:val="20"/>
                <w:lang w:val="en-GB" w:eastAsia="en-US"/>
              </w:rPr>
              <w:t>not EU evaluated</w:t>
            </w:r>
          </w:p>
          <w:p w14:paraId="285A548C" w14:textId="77777777" w:rsidR="00E51CDD" w:rsidRPr="0082015D" w:rsidRDefault="00E51CDD" w:rsidP="00E51CDD">
            <w:pPr>
              <w:widowControl w:val="0"/>
              <w:rPr>
                <w:strike/>
                <w:noProof/>
                <w:color w:val="D9D9D9" w:themeColor="background1" w:themeShade="D9"/>
                <w:sz w:val="20"/>
                <w:szCs w:val="20"/>
                <w:lang w:val="en-GB" w:eastAsia="en-US"/>
              </w:rPr>
            </w:pPr>
            <w:r w:rsidRPr="0082015D">
              <w:rPr>
                <w:strike/>
                <w:noProof/>
                <w:color w:val="D9D9D9" w:themeColor="background1" w:themeShade="D9"/>
                <w:sz w:val="20"/>
                <w:szCs w:val="20"/>
                <w:lang w:val="en-GB" w:eastAsia="en-US"/>
              </w:rPr>
              <w:t>2014/1135445</w:t>
            </w:r>
          </w:p>
        </w:tc>
      </w:tr>
      <w:tr w:rsidR="00E51CDD" w:rsidRPr="00E51CDD" w14:paraId="5D80D80D" w14:textId="77777777" w:rsidTr="009938D9">
        <w:tc>
          <w:tcPr>
            <w:tcW w:w="916" w:type="pct"/>
          </w:tcPr>
          <w:p w14:paraId="03AC214D" w14:textId="77777777" w:rsidR="00E51CDD" w:rsidRPr="0082015D" w:rsidRDefault="00E51CDD" w:rsidP="00E51CDD">
            <w:pPr>
              <w:widowControl w:val="0"/>
              <w:rPr>
                <w:strike/>
                <w:noProof/>
                <w:color w:val="D9D9D9" w:themeColor="background1" w:themeShade="D9"/>
                <w:sz w:val="20"/>
                <w:szCs w:val="20"/>
                <w:lang w:val="en-GB"/>
              </w:rPr>
            </w:pPr>
            <w:r w:rsidRPr="0082015D">
              <w:rPr>
                <w:i/>
                <w:strike/>
                <w:noProof/>
                <w:color w:val="D9D9D9" w:themeColor="background1" w:themeShade="D9"/>
                <w:sz w:val="20"/>
                <w:szCs w:val="20"/>
                <w:lang w:val="en-GB"/>
              </w:rPr>
              <w:t>Bombus terrestris</w:t>
            </w:r>
            <w:r w:rsidRPr="0082015D">
              <w:rPr>
                <w:i/>
                <w:strike/>
                <w:noProof/>
                <w:color w:val="D9D9D9" w:themeColor="background1" w:themeShade="D9"/>
                <w:sz w:val="20"/>
                <w:szCs w:val="20"/>
                <w:lang w:val="en-GB"/>
              </w:rPr>
              <w:br/>
            </w:r>
            <w:r w:rsidRPr="0082015D">
              <w:rPr>
                <w:strike/>
                <w:noProof/>
                <w:color w:val="D9D9D9" w:themeColor="background1" w:themeShade="D9"/>
                <w:sz w:val="20"/>
                <w:szCs w:val="20"/>
                <w:lang w:val="en-GB"/>
              </w:rPr>
              <w:t>(adults)</w:t>
            </w:r>
          </w:p>
        </w:tc>
        <w:tc>
          <w:tcPr>
            <w:tcW w:w="825" w:type="pct"/>
          </w:tcPr>
          <w:p w14:paraId="7D86495B" w14:textId="77777777" w:rsidR="00E51CDD" w:rsidRPr="0082015D" w:rsidRDefault="00E51CDD" w:rsidP="00E51CDD">
            <w:pPr>
              <w:widowControl w:val="0"/>
              <w:rPr>
                <w:strike/>
                <w:noProof/>
                <w:color w:val="D9D9D9" w:themeColor="background1" w:themeShade="D9"/>
                <w:sz w:val="20"/>
                <w:szCs w:val="20"/>
                <w:vertAlign w:val="superscript"/>
                <w:lang w:val="en-GB"/>
              </w:rPr>
            </w:pPr>
            <w:r w:rsidRPr="0082015D">
              <w:rPr>
                <w:strike/>
                <w:noProof/>
                <w:color w:val="D9D9D9" w:themeColor="background1" w:themeShade="D9"/>
                <w:sz w:val="20"/>
                <w:szCs w:val="20"/>
                <w:lang w:val="en-GB"/>
              </w:rPr>
              <w:t xml:space="preserve">fluxapyroxad (tested as BAS 700 04 F) </w:t>
            </w:r>
            <w:r w:rsidRPr="0082015D">
              <w:rPr>
                <w:strike/>
                <w:noProof/>
                <w:color w:val="D9D9D9" w:themeColor="background1" w:themeShade="D9"/>
                <w:sz w:val="20"/>
                <w:szCs w:val="20"/>
                <w:vertAlign w:val="superscript"/>
                <w:lang w:val="en-GB"/>
              </w:rPr>
              <w:t>1)</w:t>
            </w:r>
          </w:p>
        </w:tc>
        <w:tc>
          <w:tcPr>
            <w:tcW w:w="617" w:type="pct"/>
          </w:tcPr>
          <w:p w14:paraId="23B925B7" w14:textId="77777777" w:rsidR="00E51CDD" w:rsidRPr="0082015D" w:rsidRDefault="00E51CDD" w:rsidP="00E51CDD">
            <w:pPr>
              <w:widowControl w:val="0"/>
              <w:rPr>
                <w:strike/>
                <w:noProof/>
                <w:color w:val="D9D9D9" w:themeColor="background1" w:themeShade="D9"/>
                <w:sz w:val="20"/>
                <w:szCs w:val="20"/>
                <w:lang w:val="en-GB"/>
              </w:rPr>
            </w:pPr>
            <w:r w:rsidRPr="0082015D">
              <w:rPr>
                <w:strike/>
                <w:noProof/>
                <w:color w:val="D9D9D9" w:themeColor="background1" w:themeShade="D9"/>
                <w:sz w:val="20"/>
                <w:szCs w:val="20"/>
                <w:lang w:val="en-GB"/>
              </w:rPr>
              <w:t>acute contact</w:t>
            </w:r>
          </w:p>
        </w:tc>
        <w:tc>
          <w:tcPr>
            <w:tcW w:w="1805" w:type="pct"/>
          </w:tcPr>
          <w:p w14:paraId="10E8A87D" w14:textId="77777777" w:rsidR="00E51CDD" w:rsidRPr="0082015D" w:rsidRDefault="00E51CDD" w:rsidP="00E51CDD">
            <w:pPr>
              <w:widowControl w:val="0"/>
              <w:rPr>
                <w:strike/>
                <w:noProof/>
                <w:color w:val="D9D9D9" w:themeColor="background1" w:themeShade="D9"/>
                <w:sz w:val="20"/>
                <w:szCs w:val="20"/>
                <w:lang w:val="en-GB"/>
              </w:rPr>
            </w:pPr>
            <w:r w:rsidRPr="0082015D">
              <w:rPr>
                <w:strike/>
                <w:noProof/>
                <w:color w:val="D9D9D9" w:themeColor="background1" w:themeShade="D9"/>
                <w:sz w:val="20"/>
                <w:szCs w:val="20"/>
                <w:lang w:val="en-GB"/>
              </w:rPr>
              <w:t>LD</w:t>
            </w:r>
            <w:r w:rsidRPr="0082015D">
              <w:rPr>
                <w:strike/>
                <w:noProof/>
                <w:color w:val="D9D9D9" w:themeColor="background1" w:themeShade="D9"/>
                <w:sz w:val="20"/>
                <w:szCs w:val="20"/>
                <w:vertAlign w:val="subscript"/>
                <w:lang w:val="en-GB"/>
              </w:rPr>
              <w:t>50</w:t>
            </w:r>
            <w:r w:rsidRPr="0082015D">
              <w:rPr>
                <w:strike/>
                <w:noProof/>
                <w:color w:val="D9D9D9" w:themeColor="background1" w:themeShade="D9"/>
                <w:sz w:val="20"/>
                <w:szCs w:val="20"/>
                <w:lang w:val="en-GB"/>
              </w:rPr>
              <w:t xml:space="preserve"> (96 h) &gt; 200.0 µg a.s./bumble bee</w:t>
            </w:r>
          </w:p>
        </w:tc>
        <w:tc>
          <w:tcPr>
            <w:tcW w:w="838" w:type="pct"/>
          </w:tcPr>
          <w:p w14:paraId="48947011" w14:textId="77777777" w:rsidR="00E51CDD" w:rsidRPr="0082015D" w:rsidRDefault="00E51CDD" w:rsidP="00E51CDD">
            <w:pPr>
              <w:widowControl w:val="0"/>
              <w:rPr>
                <w:strike/>
                <w:noProof/>
                <w:color w:val="D9D9D9" w:themeColor="background1" w:themeShade="D9"/>
                <w:sz w:val="20"/>
                <w:szCs w:val="20"/>
                <w:lang w:val="en-GB" w:eastAsia="en-US"/>
              </w:rPr>
            </w:pPr>
            <w:r w:rsidRPr="0082015D">
              <w:rPr>
                <w:strike/>
                <w:noProof/>
                <w:color w:val="D9D9D9" w:themeColor="background1" w:themeShade="D9"/>
                <w:sz w:val="20"/>
                <w:szCs w:val="20"/>
                <w:lang w:val="en-GB" w:eastAsia="en-US"/>
              </w:rPr>
              <w:t>not EU evaluated</w:t>
            </w:r>
          </w:p>
          <w:p w14:paraId="019C1FE9" w14:textId="77777777" w:rsidR="00E51CDD" w:rsidRPr="0082015D" w:rsidRDefault="00E51CDD" w:rsidP="00E51CDD">
            <w:pPr>
              <w:widowControl w:val="0"/>
              <w:rPr>
                <w:strike/>
                <w:noProof/>
                <w:color w:val="D9D9D9" w:themeColor="background1" w:themeShade="D9"/>
                <w:sz w:val="20"/>
                <w:szCs w:val="20"/>
                <w:lang w:val="en-GB"/>
              </w:rPr>
            </w:pPr>
            <w:r w:rsidRPr="0082015D">
              <w:rPr>
                <w:strike/>
                <w:noProof/>
                <w:color w:val="D9D9D9" w:themeColor="background1" w:themeShade="D9"/>
                <w:sz w:val="20"/>
                <w:szCs w:val="20"/>
                <w:lang w:val="en-GB" w:eastAsia="en-US"/>
              </w:rPr>
              <w:t>2014/1135445</w:t>
            </w:r>
          </w:p>
        </w:tc>
      </w:tr>
    </w:tbl>
    <w:p w14:paraId="32ED6396" w14:textId="77777777" w:rsidR="00E51CDD" w:rsidRPr="00E51CDD" w:rsidRDefault="00E51CDD" w:rsidP="00E51CDD">
      <w:pPr>
        <w:keepNext/>
        <w:keepLines/>
        <w:tabs>
          <w:tab w:val="left" w:pos="426"/>
        </w:tabs>
        <w:jc w:val="both"/>
        <w:rPr>
          <w:sz w:val="18"/>
          <w:szCs w:val="18"/>
          <w:lang w:val="en-GB"/>
        </w:rPr>
      </w:pPr>
      <w:bookmarkStart w:id="561" w:name="_Hlk85616722"/>
      <w:r w:rsidRPr="00E51CDD">
        <w:rPr>
          <w:sz w:val="18"/>
          <w:szCs w:val="18"/>
          <w:vertAlign w:val="superscript"/>
          <w:lang w:val="en-GB"/>
        </w:rPr>
        <w:t>1)</w:t>
      </w:r>
      <w:r w:rsidRPr="00E51CDD">
        <w:rPr>
          <w:sz w:val="18"/>
          <w:szCs w:val="18"/>
          <w:vertAlign w:val="superscript"/>
          <w:lang w:val="en-GB"/>
        </w:rPr>
        <w:tab/>
      </w:r>
      <w:r w:rsidRPr="00E51CDD">
        <w:rPr>
          <w:sz w:val="18"/>
          <w:szCs w:val="18"/>
          <w:lang w:val="en-GB"/>
        </w:rPr>
        <w:t xml:space="preserve">Study was conducted </w:t>
      </w:r>
      <w:bookmarkEnd w:id="561"/>
      <w:r w:rsidRPr="00E51CDD">
        <w:rPr>
          <w:sz w:val="18"/>
          <w:szCs w:val="18"/>
          <w:lang w:val="en-GB"/>
        </w:rPr>
        <w:t>with the solo-formulation BAS 700 04 F containing 300.0 g fluxapyroxad/L.</w:t>
      </w:r>
    </w:p>
    <w:p w14:paraId="58122FE8" w14:textId="77777777" w:rsidR="00E51CDD" w:rsidRPr="00E51CDD" w:rsidRDefault="00E51CDD" w:rsidP="00E51CDD">
      <w:pPr>
        <w:widowControl w:val="0"/>
        <w:jc w:val="both"/>
        <w:rPr>
          <w:lang w:val="en-GB"/>
        </w:rPr>
      </w:pPr>
    </w:p>
    <w:p w14:paraId="4CC4BCE2" w14:textId="77777777" w:rsidR="00E51CDD" w:rsidRPr="00E51CDD" w:rsidRDefault="00E51CDD" w:rsidP="00E51CDD">
      <w:pPr>
        <w:tabs>
          <w:tab w:val="left" w:pos="426"/>
        </w:tabs>
        <w:spacing w:before="40"/>
        <w:rPr>
          <w:szCs w:val="18"/>
          <w:lang w:val="en-GB"/>
        </w:rPr>
      </w:pPr>
    </w:p>
    <w:p w14:paraId="328F0FA1" w14:textId="77777777" w:rsidR="00E51CDD" w:rsidRPr="00E51CDD" w:rsidRDefault="00E51CDD" w:rsidP="00E51CDD">
      <w:pPr>
        <w:tabs>
          <w:tab w:val="left" w:pos="426"/>
        </w:tabs>
        <w:spacing w:before="40"/>
        <w:rPr>
          <w:szCs w:val="18"/>
          <w:lang w:val="en-GB"/>
        </w:rPr>
      </w:pPr>
    </w:p>
    <w:p w14:paraId="3557720C" w14:textId="77777777" w:rsidR="00E51CDD" w:rsidRPr="00E51CDD" w:rsidRDefault="00E51CDD" w:rsidP="00E51CDD">
      <w:pPr>
        <w:tabs>
          <w:tab w:val="left" w:pos="426"/>
        </w:tabs>
        <w:spacing w:before="40"/>
        <w:rPr>
          <w:szCs w:val="18"/>
          <w:lang w:val="en-GB"/>
        </w:rPr>
      </w:pPr>
    </w:p>
    <w:p w14:paraId="76BF1909" w14:textId="38F40338" w:rsidR="00E51CDD" w:rsidRPr="00E51CDD" w:rsidRDefault="009938D9" w:rsidP="00E51CDD">
      <w:pPr>
        <w:tabs>
          <w:tab w:val="left" w:pos="426"/>
        </w:tabs>
        <w:spacing w:before="40"/>
        <w:rPr>
          <w:szCs w:val="18"/>
          <w:lang w:val="en-GB"/>
        </w:rPr>
      </w:pPr>
      <w:r>
        <w:rPr>
          <w:szCs w:val="18"/>
          <w:lang w:val="en-GB"/>
        </w:rPr>
        <w:br w:type="page"/>
      </w:r>
    </w:p>
    <w:p w14:paraId="1C3076F1" w14:textId="24C4BD1C" w:rsidR="00E51CDD" w:rsidRPr="00E51CDD" w:rsidRDefault="00E51CDD" w:rsidP="00E51CDD">
      <w:pPr>
        <w:tabs>
          <w:tab w:val="left" w:pos="1984"/>
        </w:tabs>
        <w:spacing w:line="280" w:lineRule="exact"/>
        <w:ind w:left="1985" w:hanging="1985"/>
        <w:jc w:val="both"/>
        <w:rPr>
          <w:b/>
          <w:lang w:val="en-GB" w:eastAsia="en-US"/>
        </w:rPr>
      </w:pPr>
      <w:bookmarkStart w:id="562" w:name="_Ref82430134"/>
      <w:r w:rsidRPr="00E51CDD">
        <w:rPr>
          <w:b/>
          <w:lang w:val="en-GB" w:eastAsia="en-US"/>
        </w:rPr>
        <w:lastRenderedPageBreak/>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9.6</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2</w:t>
      </w:r>
      <w:r w:rsidRPr="00E51CDD">
        <w:rPr>
          <w:b/>
          <w:lang w:val="en-GB" w:eastAsia="en-US"/>
        </w:rPr>
        <w:fldChar w:fldCharType="end"/>
      </w:r>
      <w:bookmarkEnd w:id="562"/>
      <w:r w:rsidRPr="00E51CDD">
        <w:rPr>
          <w:b/>
          <w:lang w:val="en-GB" w:eastAsia="en-US"/>
        </w:rPr>
        <w:t>:</w:t>
      </w:r>
      <w:r w:rsidRPr="00E51CDD">
        <w:rPr>
          <w:b/>
          <w:lang w:val="en-GB" w:eastAsia="en-US"/>
        </w:rPr>
        <w:tab/>
        <w:t>Endpoints and effect values for azoxystrobin relevant for the risk assessment for bees</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65"/>
        <w:gridCol w:w="1386"/>
        <w:gridCol w:w="1180"/>
        <w:gridCol w:w="3235"/>
        <w:gridCol w:w="1885"/>
      </w:tblGrid>
      <w:tr w:rsidR="00E51CDD" w:rsidRPr="00E51CDD" w14:paraId="6B55F397" w14:textId="77777777" w:rsidTr="009938D9">
        <w:trPr>
          <w:tblHeader/>
        </w:trPr>
        <w:tc>
          <w:tcPr>
            <w:tcW w:w="890" w:type="pct"/>
          </w:tcPr>
          <w:p w14:paraId="0A4FBB05"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Species</w:t>
            </w:r>
          </w:p>
        </w:tc>
        <w:tc>
          <w:tcPr>
            <w:tcW w:w="741" w:type="pct"/>
          </w:tcPr>
          <w:p w14:paraId="2FC65C86"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Substance</w:t>
            </w:r>
          </w:p>
        </w:tc>
        <w:tc>
          <w:tcPr>
            <w:tcW w:w="631" w:type="pct"/>
          </w:tcPr>
          <w:p w14:paraId="67D852E0"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Exposure</w:t>
            </w:r>
            <w:r w:rsidRPr="00E51CDD">
              <w:rPr>
                <w:b/>
                <w:sz w:val="20"/>
                <w:szCs w:val="20"/>
                <w:lang w:val="en-GB"/>
              </w:rPr>
              <w:br/>
              <w:t>System</w:t>
            </w:r>
          </w:p>
        </w:tc>
        <w:tc>
          <w:tcPr>
            <w:tcW w:w="1730" w:type="pct"/>
          </w:tcPr>
          <w:p w14:paraId="70F03F2D"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Results</w:t>
            </w:r>
          </w:p>
        </w:tc>
        <w:tc>
          <w:tcPr>
            <w:tcW w:w="1008" w:type="pct"/>
          </w:tcPr>
          <w:p w14:paraId="4BB49F74"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Reference</w:t>
            </w:r>
          </w:p>
        </w:tc>
      </w:tr>
      <w:tr w:rsidR="00E51CDD" w:rsidRPr="00E51CDD" w14:paraId="61AB6692" w14:textId="77777777" w:rsidTr="009938D9">
        <w:tc>
          <w:tcPr>
            <w:tcW w:w="890" w:type="pct"/>
          </w:tcPr>
          <w:p w14:paraId="5B6EC883" w14:textId="77777777" w:rsidR="00E51CDD" w:rsidRPr="00E51CDD" w:rsidRDefault="00E51CDD" w:rsidP="00E51CDD">
            <w:pPr>
              <w:widowControl w:val="0"/>
              <w:rPr>
                <w:i/>
                <w:noProof/>
                <w:sz w:val="20"/>
                <w:szCs w:val="20"/>
                <w:lang w:val="en-GB"/>
              </w:rPr>
            </w:pPr>
            <w:r w:rsidRPr="00E51CDD">
              <w:rPr>
                <w:i/>
                <w:sz w:val="20"/>
                <w:szCs w:val="20"/>
                <w:lang w:val="en-GB"/>
              </w:rPr>
              <w:t>Apis mellifera</w:t>
            </w:r>
            <w:r w:rsidRPr="00E51CDD">
              <w:rPr>
                <w:i/>
                <w:sz w:val="20"/>
                <w:szCs w:val="20"/>
                <w:lang w:val="en-GB"/>
              </w:rPr>
              <w:br/>
            </w:r>
            <w:r w:rsidRPr="00E51CDD">
              <w:rPr>
                <w:sz w:val="20"/>
                <w:szCs w:val="20"/>
                <w:lang w:val="en-GB"/>
              </w:rPr>
              <w:t>(adults)</w:t>
            </w:r>
          </w:p>
        </w:tc>
        <w:tc>
          <w:tcPr>
            <w:tcW w:w="741" w:type="pct"/>
          </w:tcPr>
          <w:p w14:paraId="440F2FB8" w14:textId="77777777" w:rsidR="00E51CDD" w:rsidRPr="00E51CDD" w:rsidRDefault="00E51CDD" w:rsidP="00E51CDD">
            <w:pPr>
              <w:widowControl w:val="0"/>
              <w:rPr>
                <w:noProof/>
                <w:sz w:val="20"/>
                <w:szCs w:val="20"/>
                <w:lang w:val="en-GB"/>
              </w:rPr>
            </w:pPr>
            <w:r w:rsidRPr="00E51CDD">
              <w:rPr>
                <w:noProof/>
                <w:sz w:val="20"/>
                <w:szCs w:val="20"/>
                <w:lang w:val="en-GB"/>
              </w:rPr>
              <w:t>azoxystrobin</w:t>
            </w:r>
          </w:p>
        </w:tc>
        <w:tc>
          <w:tcPr>
            <w:tcW w:w="631" w:type="pct"/>
          </w:tcPr>
          <w:p w14:paraId="15A66F6D" w14:textId="77777777" w:rsidR="00E51CDD" w:rsidRPr="00E51CDD" w:rsidRDefault="00E51CDD" w:rsidP="00E51CDD">
            <w:pPr>
              <w:widowControl w:val="0"/>
              <w:rPr>
                <w:noProof/>
                <w:sz w:val="20"/>
                <w:szCs w:val="20"/>
                <w:lang w:val="en-GB"/>
              </w:rPr>
            </w:pPr>
            <w:r w:rsidRPr="00E51CDD">
              <w:rPr>
                <w:sz w:val="20"/>
                <w:szCs w:val="20"/>
                <w:lang w:val="en-GB"/>
              </w:rPr>
              <w:t>acute oral</w:t>
            </w:r>
          </w:p>
        </w:tc>
        <w:tc>
          <w:tcPr>
            <w:tcW w:w="1730" w:type="pct"/>
          </w:tcPr>
          <w:p w14:paraId="2D0D6A50" w14:textId="77777777" w:rsidR="00E51CDD" w:rsidRPr="00E51CDD" w:rsidRDefault="00E51CDD" w:rsidP="00E51CDD">
            <w:pPr>
              <w:widowControl w:val="0"/>
              <w:rPr>
                <w:noProof/>
                <w:sz w:val="20"/>
                <w:szCs w:val="20"/>
                <w:lang w:val="en-GB"/>
              </w:rPr>
            </w:pPr>
            <w:r w:rsidRPr="00E51CDD">
              <w:rPr>
                <w:sz w:val="20"/>
                <w:szCs w:val="20"/>
                <w:lang w:val="en-GB"/>
              </w:rPr>
              <w:t>LD</w:t>
            </w:r>
            <w:r w:rsidRPr="00E51CDD">
              <w:rPr>
                <w:sz w:val="20"/>
                <w:szCs w:val="20"/>
                <w:vertAlign w:val="subscript"/>
                <w:lang w:val="en-GB"/>
              </w:rPr>
              <w:t>50</w:t>
            </w:r>
            <w:r w:rsidRPr="00E51CDD">
              <w:rPr>
                <w:sz w:val="20"/>
                <w:szCs w:val="20"/>
                <w:lang w:val="en-GB"/>
              </w:rPr>
              <w:t xml:space="preserve"> (48 h) &gt; 25 µg a.s./bee</w:t>
            </w:r>
          </w:p>
        </w:tc>
        <w:tc>
          <w:tcPr>
            <w:tcW w:w="1008" w:type="pct"/>
          </w:tcPr>
          <w:p w14:paraId="76B43E00" w14:textId="77777777" w:rsidR="00E51CDD" w:rsidRPr="00E51CDD" w:rsidRDefault="00E51CDD" w:rsidP="00E51CDD">
            <w:pPr>
              <w:widowControl w:val="0"/>
              <w:rPr>
                <w:sz w:val="20"/>
                <w:szCs w:val="20"/>
                <w:lang w:val="en-GB"/>
              </w:rPr>
            </w:pPr>
            <w:r w:rsidRPr="00E51CDD">
              <w:rPr>
                <w:sz w:val="20"/>
                <w:szCs w:val="20"/>
                <w:lang w:val="en-GB"/>
              </w:rPr>
              <w:t xml:space="preserve">EFSA Journal 2010; 8(4):1542, </w:t>
            </w:r>
          </w:p>
          <w:p w14:paraId="7BBB7604" w14:textId="77777777" w:rsidR="00E51CDD" w:rsidRPr="00E51CDD" w:rsidRDefault="00E51CDD" w:rsidP="00E51CDD">
            <w:pPr>
              <w:widowControl w:val="0"/>
              <w:rPr>
                <w:noProof/>
                <w:sz w:val="20"/>
                <w:szCs w:val="20"/>
                <w:lang w:eastAsia="en-US"/>
              </w:rPr>
            </w:pPr>
            <w:r w:rsidRPr="00E51CDD">
              <w:rPr>
                <w:sz w:val="20"/>
                <w:szCs w:val="20"/>
              </w:rPr>
              <w:t>Jackson, D., Gough, J.B., Lewis, G.B., 1994, ICI5504/0859</w:t>
            </w:r>
          </w:p>
        </w:tc>
      </w:tr>
      <w:tr w:rsidR="00E51CDD" w:rsidRPr="00E51CDD" w14:paraId="2758E414" w14:textId="77777777" w:rsidTr="009938D9">
        <w:tc>
          <w:tcPr>
            <w:tcW w:w="890" w:type="pct"/>
          </w:tcPr>
          <w:p w14:paraId="078AD745" w14:textId="77777777" w:rsidR="00E51CDD" w:rsidRPr="00E51CDD" w:rsidRDefault="00E51CDD" w:rsidP="00E51CDD">
            <w:pPr>
              <w:widowControl w:val="0"/>
              <w:rPr>
                <w:noProof/>
                <w:sz w:val="20"/>
                <w:szCs w:val="20"/>
                <w:lang w:val="en-GB"/>
              </w:rPr>
            </w:pPr>
            <w:r w:rsidRPr="00E51CDD">
              <w:rPr>
                <w:i/>
                <w:sz w:val="20"/>
                <w:szCs w:val="20"/>
                <w:lang w:val="en-GB"/>
              </w:rPr>
              <w:t>Apis mellifera</w:t>
            </w:r>
            <w:r w:rsidRPr="00E51CDD">
              <w:rPr>
                <w:i/>
                <w:sz w:val="20"/>
                <w:szCs w:val="20"/>
                <w:lang w:val="en-GB"/>
              </w:rPr>
              <w:br/>
            </w:r>
            <w:r w:rsidRPr="00E51CDD">
              <w:rPr>
                <w:sz w:val="20"/>
                <w:szCs w:val="20"/>
                <w:lang w:val="en-GB"/>
              </w:rPr>
              <w:t>(adults)</w:t>
            </w:r>
          </w:p>
        </w:tc>
        <w:tc>
          <w:tcPr>
            <w:tcW w:w="741" w:type="pct"/>
          </w:tcPr>
          <w:p w14:paraId="74711894" w14:textId="77777777" w:rsidR="00E51CDD" w:rsidRPr="00E51CDD" w:rsidRDefault="00E51CDD" w:rsidP="00E51CDD">
            <w:pPr>
              <w:widowControl w:val="0"/>
              <w:rPr>
                <w:noProof/>
                <w:sz w:val="20"/>
                <w:szCs w:val="20"/>
                <w:lang w:val="en-GB"/>
              </w:rPr>
            </w:pPr>
            <w:r w:rsidRPr="00E51CDD">
              <w:rPr>
                <w:noProof/>
                <w:sz w:val="20"/>
                <w:szCs w:val="20"/>
                <w:lang w:val="en-GB"/>
              </w:rPr>
              <w:t>azoxystrobin</w:t>
            </w:r>
          </w:p>
        </w:tc>
        <w:tc>
          <w:tcPr>
            <w:tcW w:w="631" w:type="pct"/>
          </w:tcPr>
          <w:p w14:paraId="31C8CD8B" w14:textId="77777777" w:rsidR="00E51CDD" w:rsidRPr="00E51CDD" w:rsidRDefault="00E51CDD" w:rsidP="00E51CDD">
            <w:pPr>
              <w:widowControl w:val="0"/>
              <w:rPr>
                <w:noProof/>
                <w:sz w:val="20"/>
                <w:szCs w:val="20"/>
                <w:lang w:val="en-GB"/>
              </w:rPr>
            </w:pPr>
            <w:r w:rsidRPr="00E51CDD">
              <w:rPr>
                <w:sz w:val="20"/>
                <w:szCs w:val="20"/>
                <w:lang w:val="en-GB"/>
              </w:rPr>
              <w:t>acute contact</w:t>
            </w:r>
          </w:p>
        </w:tc>
        <w:tc>
          <w:tcPr>
            <w:tcW w:w="1730" w:type="pct"/>
          </w:tcPr>
          <w:p w14:paraId="7F8216FF" w14:textId="77777777" w:rsidR="00E51CDD" w:rsidRPr="00E51CDD" w:rsidRDefault="00E51CDD" w:rsidP="00E51CDD">
            <w:pPr>
              <w:widowControl w:val="0"/>
              <w:rPr>
                <w:noProof/>
                <w:sz w:val="20"/>
                <w:szCs w:val="20"/>
                <w:lang w:val="en-GB"/>
              </w:rPr>
            </w:pPr>
            <w:r w:rsidRPr="00E51CDD">
              <w:rPr>
                <w:sz w:val="20"/>
                <w:szCs w:val="20"/>
                <w:lang w:val="en-GB"/>
              </w:rPr>
              <w:t>LD</w:t>
            </w:r>
            <w:r w:rsidRPr="00E51CDD">
              <w:rPr>
                <w:sz w:val="20"/>
                <w:szCs w:val="20"/>
                <w:vertAlign w:val="subscript"/>
                <w:lang w:val="en-GB"/>
              </w:rPr>
              <w:t>50</w:t>
            </w:r>
            <w:r w:rsidRPr="00E51CDD">
              <w:rPr>
                <w:sz w:val="20"/>
                <w:szCs w:val="20"/>
                <w:lang w:val="en-GB"/>
              </w:rPr>
              <w:t xml:space="preserve"> (48 h) &gt; 200 µg a.s./bee</w:t>
            </w:r>
          </w:p>
        </w:tc>
        <w:tc>
          <w:tcPr>
            <w:tcW w:w="1008" w:type="pct"/>
          </w:tcPr>
          <w:p w14:paraId="3CB93C1C" w14:textId="77777777" w:rsidR="00E51CDD" w:rsidRPr="00E51CDD" w:rsidRDefault="00E51CDD" w:rsidP="00E51CDD">
            <w:pPr>
              <w:widowControl w:val="0"/>
              <w:rPr>
                <w:sz w:val="20"/>
                <w:szCs w:val="20"/>
                <w:lang w:val="en-GB"/>
              </w:rPr>
            </w:pPr>
            <w:r w:rsidRPr="00E51CDD">
              <w:rPr>
                <w:sz w:val="20"/>
                <w:szCs w:val="20"/>
                <w:lang w:val="en-GB"/>
              </w:rPr>
              <w:t xml:space="preserve">EFSA Journal 2010; 8(4):1542, </w:t>
            </w:r>
          </w:p>
          <w:p w14:paraId="2943C13C" w14:textId="77777777" w:rsidR="00E51CDD" w:rsidRPr="00E51CDD" w:rsidRDefault="00E51CDD" w:rsidP="00E51CDD">
            <w:pPr>
              <w:widowControl w:val="0"/>
              <w:rPr>
                <w:noProof/>
                <w:sz w:val="20"/>
                <w:szCs w:val="20"/>
                <w:lang w:val="en-GB"/>
              </w:rPr>
            </w:pPr>
            <w:r w:rsidRPr="00E51CDD">
              <w:rPr>
                <w:sz w:val="20"/>
                <w:szCs w:val="20"/>
              </w:rPr>
              <w:t>Jackson, D., Gough, J.B., Lewis, G.B., 1994, ICI5504/0859</w:t>
            </w:r>
          </w:p>
        </w:tc>
      </w:tr>
      <w:tr w:rsidR="00E51CDD" w:rsidRPr="00E51CDD" w14:paraId="6B252F81" w14:textId="77777777" w:rsidTr="009938D9">
        <w:tc>
          <w:tcPr>
            <w:tcW w:w="890" w:type="pct"/>
          </w:tcPr>
          <w:p w14:paraId="18329F78" w14:textId="77777777" w:rsidR="00E51CDD" w:rsidRPr="0082015D" w:rsidRDefault="00E51CDD" w:rsidP="00E51CDD">
            <w:pPr>
              <w:widowControl w:val="0"/>
              <w:rPr>
                <w:i/>
                <w:strike/>
                <w:color w:val="D9D9D9" w:themeColor="background1" w:themeShade="D9"/>
                <w:sz w:val="20"/>
                <w:szCs w:val="20"/>
              </w:rPr>
            </w:pPr>
            <w:r w:rsidRPr="0082015D">
              <w:rPr>
                <w:i/>
                <w:strike/>
                <w:color w:val="D9D9D9" w:themeColor="background1" w:themeShade="D9"/>
                <w:sz w:val="20"/>
                <w:szCs w:val="20"/>
              </w:rPr>
              <w:t>Apis mellifera</w:t>
            </w:r>
          </w:p>
          <w:p w14:paraId="691C8E04" w14:textId="77777777" w:rsidR="00E51CDD" w:rsidRPr="0082015D" w:rsidRDefault="00E51CDD" w:rsidP="00E51CDD">
            <w:pPr>
              <w:widowControl w:val="0"/>
              <w:rPr>
                <w:i/>
                <w:strike/>
                <w:color w:val="D9D9D9" w:themeColor="background1" w:themeShade="D9"/>
                <w:sz w:val="20"/>
                <w:szCs w:val="20"/>
              </w:rPr>
            </w:pPr>
            <w:r w:rsidRPr="0082015D">
              <w:rPr>
                <w:iCs/>
                <w:strike/>
                <w:color w:val="D9D9D9" w:themeColor="background1" w:themeShade="D9"/>
                <w:sz w:val="20"/>
                <w:szCs w:val="20"/>
              </w:rPr>
              <w:t>(adults)</w:t>
            </w:r>
          </w:p>
        </w:tc>
        <w:tc>
          <w:tcPr>
            <w:tcW w:w="741" w:type="pct"/>
          </w:tcPr>
          <w:p w14:paraId="07811DFA" w14:textId="77777777" w:rsidR="00E51CDD" w:rsidRPr="0082015D" w:rsidRDefault="00E51CDD" w:rsidP="00E51CDD">
            <w:pPr>
              <w:widowControl w:val="0"/>
              <w:rPr>
                <w:strike/>
                <w:noProof/>
                <w:color w:val="D9D9D9" w:themeColor="background1" w:themeShade="D9"/>
                <w:sz w:val="20"/>
                <w:szCs w:val="20"/>
                <w:lang w:val="en-GB"/>
              </w:rPr>
            </w:pPr>
            <w:bookmarkStart w:id="563" w:name="_Hlk85622567"/>
            <w:r w:rsidRPr="0082015D">
              <w:rPr>
                <w:strike/>
                <w:noProof/>
                <w:color w:val="D9D9D9" w:themeColor="background1" w:themeShade="D9"/>
                <w:sz w:val="20"/>
                <w:szCs w:val="20"/>
                <w:lang w:val="en-GB"/>
              </w:rPr>
              <w:t>azoxystrobin</w:t>
            </w:r>
            <w:bookmarkEnd w:id="563"/>
            <w:r w:rsidRPr="0082015D">
              <w:rPr>
                <w:strike/>
                <w:color w:val="D9D9D9" w:themeColor="background1" w:themeShade="D9"/>
                <w:sz w:val="20"/>
                <w:szCs w:val="20"/>
              </w:rPr>
              <w:t xml:space="preserve"> (tested as A12705B) </w:t>
            </w:r>
            <w:r w:rsidRPr="0082015D">
              <w:rPr>
                <w:strike/>
                <w:color w:val="D9D9D9" w:themeColor="background1" w:themeShade="D9"/>
                <w:sz w:val="20"/>
                <w:szCs w:val="20"/>
                <w:vertAlign w:val="superscript"/>
              </w:rPr>
              <w:t>1)</w:t>
            </w:r>
          </w:p>
        </w:tc>
        <w:tc>
          <w:tcPr>
            <w:tcW w:w="631" w:type="pct"/>
          </w:tcPr>
          <w:p w14:paraId="7F67B038" w14:textId="77777777" w:rsidR="00E51CDD" w:rsidRPr="0082015D" w:rsidRDefault="00E51CDD" w:rsidP="00E51CDD">
            <w:pPr>
              <w:widowControl w:val="0"/>
              <w:rPr>
                <w:strike/>
                <w:color w:val="D9D9D9" w:themeColor="background1" w:themeShade="D9"/>
                <w:sz w:val="20"/>
                <w:szCs w:val="20"/>
              </w:rPr>
            </w:pPr>
            <w:r w:rsidRPr="0082015D">
              <w:rPr>
                <w:strike/>
                <w:color w:val="D9D9D9" w:themeColor="background1" w:themeShade="D9"/>
                <w:sz w:val="20"/>
                <w:szCs w:val="20"/>
              </w:rPr>
              <w:t>chronic, 10 d</w:t>
            </w:r>
          </w:p>
        </w:tc>
        <w:tc>
          <w:tcPr>
            <w:tcW w:w="1730" w:type="pct"/>
          </w:tcPr>
          <w:p w14:paraId="47E06195" w14:textId="77777777" w:rsidR="00E51CDD" w:rsidRPr="0082015D" w:rsidRDefault="00E51CDD" w:rsidP="00E51CDD">
            <w:pPr>
              <w:widowControl w:val="0"/>
              <w:suppressAutoHyphens/>
              <w:rPr>
                <w:strike/>
                <w:color w:val="D9D9D9" w:themeColor="background1" w:themeShade="D9"/>
                <w:sz w:val="20"/>
                <w:szCs w:val="20"/>
                <w:lang w:val="en-GB"/>
              </w:rPr>
            </w:pPr>
            <w:r w:rsidRPr="0082015D">
              <w:rPr>
                <w:strike/>
                <w:color w:val="D9D9D9" w:themeColor="background1" w:themeShade="D9"/>
                <w:sz w:val="20"/>
                <w:szCs w:val="20"/>
                <w:lang w:val="en-GB"/>
              </w:rPr>
              <w:t>LD</w:t>
            </w:r>
            <w:r w:rsidRPr="0082015D">
              <w:rPr>
                <w:strike/>
                <w:color w:val="D9D9D9" w:themeColor="background1" w:themeShade="D9"/>
                <w:sz w:val="20"/>
                <w:szCs w:val="20"/>
                <w:vertAlign w:val="subscript"/>
                <w:lang w:val="en-GB"/>
              </w:rPr>
              <w:t>50</w:t>
            </w:r>
            <w:r w:rsidRPr="0082015D">
              <w:rPr>
                <w:strike/>
                <w:color w:val="D9D9D9" w:themeColor="background1" w:themeShade="D9"/>
                <w:sz w:val="20"/>
                <w:szCs w:val="20"/>
                <w:lang w:val="en-GB"/>
              </w:rPr>
              <w:t xml:space="preserve"> (10 d) = 17.41 </w:t>
            </w:r>
            <w:r w:rsidRPr="0082015D">
              <w:rPr>
                <w:rFonts w:eastAsia="Symbol"/>
                <w:strike/>
                <w:color w:val="D9D9D9" w:themeColor="background1" w:themeShade="D9"/>
                <w:sz w:val="20"/>
                <w:szCs w:val="20"/>
                <w:lang w:val="en-GB"/>
              </w:rPr>
              <w:t>µ</w:t>
            </w:r>
            <w:r w:rsidRPr="0082015D">
              <w:rPr>
                <w:strike/>
                <w:color w:val="D9D9D9" w:themeColor="background1" w:themeShade="D9"/>
                <w:sz w:val="20"/>
                <w:szCs w:val="20"/>
                <w:lang w:val="en-GB"/>
              </w:rPr>
              <w:t>g a.s./bee/day</w:t>
            </w:r>
          </w:p>
          <w:p w14:paraId="060C7A1B" w14:textId="77777777" w:rsidR="00E51CDD" w:rsidRPr="0082015D" w:rsidRDefault="00E51CDD" w:rsidP="00E51CDD">
            <w:pPr>
              <w:widowControl w:val="0"/>
              <w:suppressAutoHyphens/>
              <w:rPr>
                <w:strike/>
                <w:color w:val="D9D9D9" w:themeColor="background1" w:themeShade="D9"/>
                <w:sz w:val="20"/>
                <w:szCs w:val="20"/>
                <w:lang w:val="en-GB"/>
              </w:rPr>
            </w:pPr>
            <w:r w:rsidRPr="0082015D">
              <w:rPr>
                <w:strike/>
                <w:color w:val="D9D9D9" w:themeColor="background1" w:themeShade="D9"/>
                <w:sz w:val="20"/>
                <w:szCs w:val="20"/>
                <w:lang w:val="en-GB"/>
              </w:rPr>
              <w:t>NOED (10 d) = 10.01 </w:t>
            </w:r>
            <w:r w:rsidRPr="0082015D">
              <w:rPr>
                <w:rFonts w:eastAsia="Symbol"/>
                <w:strike/>
                <w:color w:val="D9D9D9" w:themeColor="background1" w:themeShade="D9"/>
                <w:sz w:val="20"/>
                <w:szCs w:val="20"/>
                <w:lang w:val="en-GB"/>
              </w:rPr>
              <w:t>µ</w:t>
            </w:r>
            <w:r w:rsidRPr="0082015D">
              <w:rPr>
                <w:strike/>
                <w:color w:val="D9D9D9" w:themeColor="background1" w:themeShade="D9"/>
                <w:sz w:val="20"/>
                <w:szCs w:val="20"/>
                <w:lang w:val="en-GB"/>
              </w:rPr>
              <w:t>g a.s./bee/day</w:t>
            </w:r>
          </w:p>
        </w:tc>
        <w:tc>
          <w:tcPr>
            <w:tcW w:w="1008" w:type="pct"/>
          </w:tcPr>
          <w:p w14:paraId="07C39FB8" w14:textId="77777777" w:rsidR="009F3C16" w:rsidRPr="0082015D" w:rsidRDefault="009F3C16" w:rsidP="009F3C16">
            <w:pPr>
              <w:widowControl w:val="0"/>
              <w:rPr>
                <w:strike/>
                <w:color w:val="D9D9D9" w:themeColor="background1" w:themeShade="D9"/>
                <w:sz w:val="20"/>
                <w:szCs w:val="20"/>
                <w:lang w:val="en-GB"/>
              </w:rPr>
            </w:pPr>
            <w:r w:rsidRPr="0082015D">
              <w:rPr>
                <w:strike/>
                <w:color w:val="D9D9D9" w:themeColor="background1" w:themeShade="D9"/>
                <w:sz w:val="20"/>
                <w:szCs w:val="20"/>
                <w:lang w:val="en-GB"/>
              </w:rPr>
              <w:t>not EU evaluated</w:t>
            </w:r>
          </w:p>
          <w:p w14:paraId="27B523A5" w14:textId="77777777" w:rsidR="00E51CDD" w:rsidRPr="0082015D" w:rsidRDefault="00E51CDD" w:rsidP="00E51CDD">
            <w:pPr>
              <w:widowControl w:val="0"/>
              <w:rPr>
                <w:strike/>
                <w:color w:val="D9D9D9" w:themeColor="background1" w:themeShade="D9"/>
                <w:sz w:val="20"/>
                <w:szCs w:val="20"/>
              </w:rPr>
            </w:pPr>
            <w:r w:rsidRPr="0082015D">
              <w:rPr>
                <w:strike/>
                <w:color w:val="D9D9D9" w:themeColor="background1" w:themeShade="D9"/>
                <w:sz w:val="20"/>
                <w:szCs w:val="20"/>
              </w:rPr>
              <w:t>Tänzler, V., 2015,</w:t>
            </w:r>
            <w:r w:rsidRPr="0082015D">
              <w:rPr>
                <w:strike/>
                <w:color w:val="D9D9D9" w:themeColor="background1" w:themeShade="D9"/>
                <w:sz w:val="20"/>
                <w:szCs w:val="20"/>
              </w:rPr>
              <w:br/>
              <w:t>A12705B_13707</w:t>
            </w:r>
          </w:p>
        </w:tc>
      </w:tr>
      <w:tr w:rsidR="00E51CDD" w:rsidRPr="00E51CDD" w14:paraId="51324E1B" w14:textId="77777777" w:rsidTr="009938D9">
        <w:tc>
          <w:tcPr>
            <w:tcW w:w="890" w:type="pct"/>
          </w:tcPr>
          <w:p w14:paraId="0C9C5B68" w14:textId="77777777" w:rsidR="00E51CDD" w:rsidRPr="0082015D" w:rsidRDefault="00E51CDD" w:rsidP="00E51CDD">
            <w:pPr>
              <w:widowControl w:val="0"/>
              <w:rPr>
                <w:i/>
                <w:strike/>
                <w:color w:val="D9D9D9" w:themeColor="background1" w:themeShade="D9"/>
                <w:sz w:val="20"/>
                <w:szCs w:val="20"/>
              </w:rPr>
            </w:pPr>
            <w:r w:rsidRPr="0082015D">
              <w:rPr>
                <w:i/>
                <w:strike/>
                <w:color w:val="D9D9D9" w:themeColor="background1" w:themeShade="D9"/>
                <w:sz w:val="20"/>
                <w:szCs w:val="20"/>
              </w:rPr>
              <w:t>Apis mellifera</w:t>
            </w:r>
          </w:p>
          <w:p w14:paraId="656B5BDA" w14:textId="77777777" w:rsidR="00E51CDD" w:rsidRPr="0082015D" w:rsidRDefault="00E51CDD" w:rsidP="00E51CDD">
            <w:pPr>
              <w:widowControl w:val="0"/>
              <w:rPr>
                <w:iCs/>
                <w:strike/>
                <w:color w:val="D9D9D9" w:themeColor="background1" w:themeShade="D9"/>
                <w:sz w:val="20"/>
                <w:szCs w:val="20"/>
                <w:lang w:val="en-GB"/>
              </w:rPr>
            </w:pPr>
            <w:r w:rsidRPr="0082015D">
              <w:rPr>
                <w:iCs/>
                <w:strike/>
                <w:color w:val="D9D9D9" w:themeColor="background1" w:themeShade="D9"/>
                <w:sz w:val="20"/>
                <w:szCs w:val="20"/>
              </w:rPr>
              <w:t>(larvae)</w:t>
            </w:r>
          </w:p>
        </w:tc>
        <w:tc>
          <w:tcPr>
            <w:tcW w:w="741" w:type="pct"/>
          </w:tcPr>
          <w:p w14:paraId="62AFA770" w14:textId="77777777" w:rsidR="00E51CDD" w:rsidRPr="0082015D" w:rsidRDefault="00E51CDD" w:rsidP="00E51CDD">
            <w:pPr>
              <w:widowControl w:val="0"/>
              <w:rPr>
                <w:strike/>
                <w:noProof/>
                <w:color w:val="D9D9D9" w:themeColor="background1" w:themeShade="D9"/>
                <w:sz w:val="20"/>
                <w:szCs w:val="20"/>
                <w:lang w:val="en-GB"/>
              </w:rPr>
            </w:pPr>
            <w:r w:rsidRPr="0082015D">
              <w:rPr>
                <w:strike/>
                <w:noProof/>
                <w:color w:val="D9D9D9" w:themeColor="background1" w:themeShade="D9"/>
                <w:sz w:val="20"/>
                <w:szCs w:val="20"/>
                <w:lang w:val="en-GB"/>
              </w:rPr>
              <w:t>azoxystrobin</w:t>
            </w:r>
            <w:r w:rsidRPr="0082015D">
              <w:rPr>
                <w:strike/>
                <w:color w:val="D9D9D9" w:themeColor="background1" w:themeShade="D9"/>
                <w:sz w:val="20"/>
                <w:szCs w:val="20"/>
              </w:rPr>
              <w:t xml:space="preserve"> (tested as A12705B) </w:t>
            </w:r>
            <w:r w:rsidRPr="0082015D">
              <w:rPr>
                <w:strike/>
                <w:color w:val="D9D9D9" w:themeColor="background1" w:themeShade="D9"/>
                <w:sz w:val="20"/>
                <w:szCs w:val="20"/>
                <w:vertAlign w:val="superscript"/>
              </w:rPr>
              <w:t>1)</w:t>
            </w:r>
          </w:p>
        </w:tc>
        <w:tc>
          <w:tcPr>
            <w:tcW w:w="631" w:type="pct"/>
          </w:tcPr>
          <w:p w14:paraId="07B76D73" w14:textId="77777777" w:rsidR="00E51CDD" w:rsidRPr="0082015D" w:rsidRDefault="00E51CDD" w:rsidP="00E51CDD">
            <w:pPr>
              <w:widowControl w:val="0"/>
              <w:rPr>
                <w:strike/>
                <w:color w:val="D9D9D9" w:themeColor="background1" w:themeShade="D9"/>
                <w:sz w:val="20"/>
                <w:szCs w:val="20"/>
                <w:lang w:val="en-GB"/>
              </w:rPr>
            </w:pPr>
            <w:r w:rsidRPr="0082015D">
              <w:rPr>
                <w:strike/>
                <w:noProof/>
                <w:color w:val="D9D9D9" w:themeColor="background1" w:themeShade="D9"/>
                <w:sz w:val="20"/>
                <w:szCs w:val="20"/>
                <w:lang w:val="en-GB"/>
              </w:rPr>
              <w:t>single exposure</w:t>
            </w:r>
          </w:p>
        </w:tc>
        <w:tc>
          <w:tcPr>
            <w:tcW w:w="1730" w:type="pct"/>
          </w:tcPr>
          <w:p w14:paraId="22EE8EA0" w14:textId="77777777" w:rsidR="00E51CDD" w:rsidRPr="0082015D" w:rsidRDefault="00E51CDD" w:rsidP="00E51CDD">
            <w:pPr>
              <w:widowControl w:val="0"/>
              <w:suppressAutoHyphens/>
              <w:rPr>
                <w:strike/>
                <w:color w:val="D9D9D9" w:themeColor="background1" w:themeShade="D9"/>
                <w:sz w:val="20"/>
                <w:szCs w:val="20"/>
                <w:lang w:val="en-GB"/>
              </w:rPr>
            </w:pPr>
            <w:r w:rsidRPr="0082015D">
              <w:rPr>
                <w:strike/>
                <w:color w:val="D9D9D9" w:themeColor="background1" w:themeShade="D9"/>
                <w:sz w:val="20"/>
                <w:szCs w:val="20"/>
                <w:lang w:val="en-GB"/>
              </w:rPr>
              <w:t>LD</w:t>
            </w:r>
            <w:r w:rsidRPr="0082015D">
              <w:rPr>
                <w:strike/>
                <w:color w:val="D9D9D9" w:themeColor="background1" w:themeShade="D9"/>
                <w:sz w:val="20"/>
                <w:szCs w:val="20"/>
                <w:vertAlign w:val="subscript"/>
                <w:lang w:val="en-GB"/>
              </w:rPr>
              <w:t>50</w:t>
            </w:r>
            <w:r w:rsidRPr="0082015D">
              <w:rPr>
                <w:strike/>
                <w:color w:val="D9D9D9" w:themeColor="background1" w:themeShade="D9"/>
                <w:sz w:val="20"/>
                <w:szCs w:val="20"/>
                <w:lang w:val="en-GB"/>
              </w:rPr>
              <w:t xml:space="preserve"> (8 d) = 12.76 </w:t>
            </w:r>
            <w:r w:rsidRPr="0082015D">
              <w:rPr>
                <w:rFonts w:eastAsia="Symbol"/>
                <w:strike/>
                <w:color w:val="D9D9D9" w:themeColor="background1" w:themeShade="D9"/>
                <w:sz w:val="20"/>
                <w:szCs w:val="20"/>
                <w:lang w:val="en-GB"/>
              </w:rPr>
              <w:t>µ</w:t>
            </w:r>
            <w:r w:rsidRPr="0082015D">
              <w:rPr>
                <w:strike/>
                <w:color w:val="D9D9D9" w:themeColor="background1" w:themeShade="D9"/>
                <w:sz w:val="20"/>
                <w:szCs w:val="20"/>
                <w:lang w:val="en-GB"/>
              </w:rPr>
              <w:t>g a.s./larva</w:t>
            </w:r>
          </w:p>
          <w:p w14:paraId="34E24C4B" w14:textId="77777777" w:rsidR="00E51CDD" w:rsidRPr="0082015D" w:rsidRDefault="00E51CDD" w:rsidP="00E51CDD">
            <w:pPr>
              <w:widowControl w:val="0"/>
              <w:rPr>
                <w:strike/>
                <w:color w:val="D9D9D9" w:themeColor="background1" w:themeShade="D9"/>
                <w:sz w:val="20"/>
                <w:szCs w:val="20"/>
                <w:lang w:val="nl-BE"/>
              </w:rPr>
            </w:pPr>
            <w:r w:rsidRPr="0082015D">
              <w:rPr>
                <w:strike/>
                <w:color w:val="D9D9D9" w:themeColor="background1" w:themeShade="D9"/>
                <w:sz w:val="20"/>
                <w:szCs w:val="20"/>
                <w:lang w:val="nl-BE"/>
              </w:rPr>
              <w:t xml:space="preserve">NOED (8 d) = 8.90 </w:t>
            </w:r>
            <w:r w:rsidRPr="0082015D">
              <w:rPr>
                <w:rFonts w:eastAsia="Symbol"/>
                <w:strike/>
                <w:color w:val="D9D9D9" w:themeColor="background1" w:themeShade="D9"/>
                <w:sz w:val="20"/>
                <w:szCs w:val="20"/>
                <w:lang w:val="nl-BE"/>
              </w:rPr>
              <w:t>µ</w:t>
            </w:r>
            <w:r w:rsidRPr="0082015D">
              <w:rPr>
                <w:strike/>
                <w:color w:val="D9D9D9" w:themeColor="background1" w:themeShade="D9"/>
                <w:sz w:val="20"/>
                <w:szCs w:val="20"/>
                <w:lang w:val="nl-BE"/>
              </w:rPr>
              <w:t>g a.s./larva</w:t>
            </w:r>
          </w:p>
        </w:tc>
        <w:tc>
          <w:tcPr>
            <w:tcW w:w="1008" w:type="pct"/>
          </w:tcPr>
          <w:p w14:paraId="25B35AF6" w14:textId="1FDA9C39" w:rsidR="009F3C16" w:rsidRPr="0082015D" w:rsidRDefault="009F3C16" w:rsidP="00E51CDD">
            <w:pPr>
              <w:widowControl w:val="0"/>
              <w:rPr>
                <w:strike/>
                <w:color w:val="D9D9D9" w:themeColor="background1" w:themeShade="D9"/>
                <w:sz w:val="20"/>
                <w:szCs w:val="20"/>
                <w:lang w:val="en-GB"/>
              </w:rPr>
            </w:pPr>
            <w:r w:rsidRPr="0082015D">
              <w:rPr>
                <w:strike/>
                <w:color w:val="D9D9D9" w:themeColor="background1" w:themeShade="D9"/>
                <w:sz w:val="20"/>
                <w:szCs w:val="20"/>
                <w:lang w:val="en-GB"/>
              </w:rPr>
              <w:t>not EU evaluated</w:t>
            </w:r>
          </w:p>
          <w:p w14:paraId="6895AD9D" w14:textId="73E7FBCA" w:rsidR="00E51CDD" w:rsidRPr="0082015D" w:rsidRDefault="00E51CDD" w:rsidP="00E51CDD">
            <w:pPr>
              <w:widowControl w:val="0"/>
              <w:rPr>
                <w:strike/>
                <w:noProof/>
                <w:color w:val="D9D9D9" w:themeColor="background1" w:themeShade="D9"/>
                <w:sz w:val="20"/>
                <w:szCs w:val="20"/>
                <w:lang w:val="en-GB" w:eastAsia="en-US"/>
              </w:rPr>
            </w:pPr>
            <w:r w:rsidRPr="0082015D">
              <w:rPr>
                <w:strike/>
                <w:color w:val="D9D9D9" w:themeColor="background1" w:themeShade="D9"/>
                <w:sz w:val="20"/>
                <w:szCs w:val="20"/>
              </w:rPr>
              <w:t xml:space="preserve">Ehmke, A., 2015, </w:t>
            </w:r>
            <w:r w:rsidRPr="0082015D">
              <w:rPr>
                <w:strike/>
                <w:color w:val="D9D9D9" w:themeColor="background1" w:themeShade="D9"/>
                <w:sz w:val="20"/>
                <w:szCs w:val="20"/>
              </w:rPr>
              <w:br/>
              <w:t>A12705B_13717</w:t>
            </w:r>
          </w:p>
        </w:tc>
      </w:tr>
    </w:tbl>
    <w:p w14:paraId="11EB3522" w14:textId="77777777" w:rsidR="00E51CDD" w:rsidRPr="00E51CDD" w:rsidRDefault="00E51CDD" w:rsidP="00E51CDD">
      <w:pPr>
        <w:tabs>
          <w:tab w:val="left" w:pos="426"/>
        </w:tabs>
        <w:spacing w:before="40"/>
        <w:ind w:left="284" w:hanging="284"/>
        <w:rPr>
          <w:sz w:val="18"/>
          <w:szCs w:val="18"/>
          <w:lang w:val="en-GB"/>
        </w:rPr>
      </w:pPr>
      <w:r w:rsidRPr="00E51CDD">
        <w:rPr>
          <w:sz w:val="18"/>
          <w:szCs w:val="18"/>
          <w:vertAlign w:val="superscript"/>
          <w:lang w:val="en-GB"/>
        </w:rPr>
        <w:t>1)</w:t>
      </w:r>
      <w:r w:rsidRPr="00E51CDD">
        <w:rPr>
          <w:sz w:val="18"/>
          <w:szCs w:val="18"/>
          <w:vertAlign w:val="superscript"/>
          <w:lang w:val="en-GB"/>
        </w:rPr>
        <w:tab/>
      </w:r>
      <w:r w:rsidRPr="00E51CDD">
        <w:rPr>
          <w:sz w:val="18"/>
          <w:szCs w:val="18"/>
          <w:lang w:val="en-GB"/>
        </w:rPr>
        <w:t>Used for conversion of µg A12705B/larva or /bee to µg a.s./larva or /bee. Content of a.s. nominal: 250 g/L. Content of a.s. analysed: 22.7% w/w corresponding to 248 g/L.</w:t>
      </w:r>
    </w:p>
    <w:p w14:paraId="07620C3B" w14:textId="042C41EE" w:rsidR="00E51CDD" w:rsidRDefault="00E51CDD" w:rsidP="00E51CDD">
      <w:pPr>
        <w:tabs>
          <w:tab w:val="left" w:pos="426"/>
        </w:tabs>
        <w:spacing w:before="40"/>
        <w:ind w:left="284" w:hanging="284"/>
        <w:rPr>
          <w:sz w:val="18"/>
          <w:szCs w:val="18"/>
          <w:lang w:val="en-GB"/>
        </w:rPr>
      </w:pPr>
    </w:p>
    <w:p w14:paraId="30E9FEFC" w14:textId="77777777" w:rsidR="009938D9" w:rsidRPr="00E51CDD" w:rsidRDefault="009938D9" w:rsidP="00E51CDD">
      <w:pPr>
        <w:tabs>
          <w:tab w:val="left" w:pos="426"/>
        </w:tabs>
        <w:spacing w:before="40"/>
        <w:ind w:left="284" w:hanging="284"/>
        <w:rPr>
          <w:sz w:val="18"/>
          <w:szCs w:val="18"/>
          <w:lang w:val="en-GB"/>
        </w:rPr>
      </w:pPr>
    </w:p>
    <w:p w14:paraId="577BF3B9" w14:textId="61D5FFAE" w:rsidR="00E51CDD" w:rsidRPr="00E51CDD" w:rsidRDefault="00E51CDD" w:rsidP="00E51CDD">
      <w:pPr>
        <w:tabs>
          <w:tab w:val="left" w:pos="1984"/>
        </w:tabs>
        <w:spacing w:line="280" w:lineRule="exact"/>
        <w:ind w:left="1985" w:hanging="1985"/>
        <w:jc w:val="both"/>
        <w:rPr>
          <w:b/>
          <w:lang w:val="en-GB" w:eastAsia="en-US"/>
        </w:rPr>
      </w:pPr>
      <w:bookmarkStart w:id="564" w:name="_Ref440448229"/>
      <w:r w:rsidRPr="00E51CDD">
        <w:rPr>
          <w:b/>
          <w:lang w:val="en-GB" w:eastAsia="en-US"/>
        </w:rPr>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9.6</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3</w:t>
      </w:r>
      <w:r w:rsidRPr="00E51CDD">
        <w:rPr>
          <w:b/>
          <w:lang w:val="en-GB" w:eastAsia="en-US"/>
        </w:rPr>
        <w:fldChar w:fldCharType="end"/>
      </w:r>
      <w:bookmarkEnd w:id="564"/>
      <w:r w:rsidRPr="00E51CDD">
        <w:rPr>
          <w:b/>
          <w:lang w:val="en-GB" w:eastAsia="en-US"/>
        </w:rPr>
        <w:t>:</w:t>
      </w:r>
      <w:r w:rsidRPr="00E51CDD">
        <w:rPr>
          <w:b/>
          <w:lang w:val="en-GB" w:eastAsia="en-US"/>
        </w:rPr>
        <w:tab/>
        <w:t>Endpoints and effect values of BAS 736 00 F relevant for the risk assessment for bees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62"/>
        <w:gridCol w:w="1506"/>
        <w:gridCol w:w="1157"/>
        <w:gridCol w:w="3375"/>
        <w:gridCol w:w="1645"/>
      </w:tblGrid>
      <w:tr w:rsidR="00E51CDD" w:rsidRPr="00E51CDD" w14:paraId="2AB9A974" w14:textId="77777777" w:rsidTr="009938D9">
        <w:trPr>
          <w:tblHeader/>
        </w:trPr>
        <w:tc>
          <w:tcPr>
            <w:tcW w:w="889" w:type="pct"/>
            <w:shd w:val="clear" w:color="auto" w:fill="auto"/>
          </w:tcPr>
          <w:p w14:paraId="4941D434"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Species</w:t>
            </w:r>
          </w:p>
        </w:tc>
        <w:tc>
          <w:tcPr>
            <w:tcW w:w="806" w:type="pct"/>
            <w:shd w:val="clear" w:color="auto" w:fill="auto"/>
          </w:tcPr>
          <w:p w14:paraId="7D769A1D"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Product</w:t>
            </w:r>
          </w:p>
        </w:tc>
        <w:tc>
          <w:tcPr>
            <w:tcW w:w="619" w:type="pct"/>
            <w:shd w:val="clear" w:color="auto" w:fill="auto"/>
          </w:tcPr>
          <w:p w14:paraId="4A0358D3"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Exposure</w:t>
            </w:r>
            <w:r w:rsidRPr="00E51CDD">
              <w:rPr>
                <w:b/>
                <w:sz w:val="20"/>
                <w:szCs w:val="20"/>
                <w:lang w:val="en-GB"/>
              </w:rPr>
              <w:br/>
              <w:t>System</w:t>
            </w:r>
          </w:p>
        </w:tc>
        <w:tc>
          <w:tcPr>
            <w:tcW w:w="1806" w:type="pct"/>
            <w:shd w:val="clear" w:color="auto" w:fill="auto"/>
          </w:tcPr>
          <w:p w14:paraId="7D736E17"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Results</w:t>
            </w:r>
          </w:p>
        </w:tc>
        <w:tc>
          <w:tcPr>
            <w:tcW w:w="881" w:type="pct"/>
            <w:shd w:val="clear" w:color="auto" w:fill="auto"/>
          </w:tcPr>
          <w:p w14:paraId="50536795"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Reference</w:t>
            </w:r>
          </w:p>
        </w:tc>
      </w:tr>
      <w:tr w:rsidR="00E51CDD" w:rsidRPr="00E51CDD" w14:paraId="56D6DCD5" w14:textId="77777777" w:rsidTr="009938D9">
        <w:trPr>
          <w:trHeight w:val="833"/>
        </w:trPr>
        <w:tc>
          <w:tcPr>
            <w:tcW w:w="889" w:type="pct"/>
            <w:shd w:val="clear" w:color="auto" w:fill="auto"/>
          </w:tcPr>
          <w:p w14:paraId="2FA69751" w14:textId="77777777" w:rsidR="00E51CDD" w:rsidRPr="00E51CDD" w:rsidRDefault="00E51CDD" w:rsidP="00E51CDD">
            <w:pPr>
              <w:widowControl w:val="0"/>
              <w:rPr>
                <w:i/>
                <w:noProof/>
                <w:sz w:val="20"/>
                <w:lang w:val="en-GB"/>
              </w:rPr>
            </w:pPr>
            <w:r w:rsidRPr="00E51CDD">
              <w:rPr>
                <w:i/>
                <w:noProof/>
                <w:sz w:val="20"/>
                <w:szCs w:val="20"/>
                <w:lang w:val="en-GB"/>
              </w:rPr>
              <w:t>Apis mellifera</w:t>
            </w:r>
            <w:r w:rsidRPr="00E51CDD">
              <w:rPr>
                <w:i/>
                <w:noProof/>
                <w:sz w:val="20"/>
                <w:szCs w:val="20"/>
                <w:lang w:val="en-GB"/>
              </w:rPr>
              <w:br/>
            </w:r>
            <w:r w:rsidRPr="00E51CDD">
              <w:rPr>
                <w:noProof/>
                <w:sz w:val="20"/>
                <w:szCs w:val="20"/>
                <w:lang w:val="en-GB"/>
              </w:rPr>
              <w:t>(adults)</w:t>
            </w:r>
          </w:p>
        </w:tc>
        <w:tc>
          <w:tcPr>
            <w:tcW w:w="806" w:type="pct"/>
            <w:shd w:val="clear" w:color="auto" w:fill="auto"/>
          </w:tcPr>
          <w:p w14:paraId="2507BF8A" w14:textId="77777777" w:rsidR="00E51CDD" w:rsidRPr="00E51CDD" w:rsidRDefault="00E51CDD" w:rsidP="00E51CDD">
            <w:pPr>
              <w:widowControl w:val="0"/>
              <w:rPr>
                <w:noProof/>
                <w:sz w:val="20"/>
                <w:lang w:val="en-GB"/>
              </w:rPr>
            </w:pPr>
            <w:r w:rsidRPr="00E51CDD">
              <w:rPr>
                <w:noProof/>
                <w:sz w:val="20"/>
                <w:lang w:val="en-GB"/>
              </w:rPr>
              <w:t>BAS 736 00 F</w:t>
            </w:r>
          </w:p>
        </w:tc>
        <w:tc>
          <w:tcPr>
            <w:tcW w:w="619" w:type="pct"/>
            <w:shd w:val="clear" w:color="auto" w:fill="auto"/>
          </w:tcPr>
          <w:p w14:paraId="354BE50E" w14:textId="77777777" w:rsidR="00E51CDD" w:rsidRPr="00E51CDD" w:rsidRDefault="00E51CDD" w:rsidP="00E51CDD">
            <w:pPr>
              <w:widowControl w:val="0"/>
              <w:rPr>
                <w:noProof/>
                <w:sz w:val="20"/>
                <w:lang w:val="en-GB"/>
              </w:rPr>
            </w:pPr>
            <w:r w:rsidRPr="00E51CDD">
              <w:rPr>
                <w:noProof/>
                <w:sz w:val="20"/>
                <w:szCs w:val="20"/>
                <w:lang w:val="en-GB"/>
              </w:rPr>
              <w:t>acute oral</w:t>
            </w:r>
          </w:p>
        </w:tc>
        <w:tc>
          <w:tcPr>
            <w:tcW w:w="1806" w:type="pct"/>
            <w:shd w:val="clear" w:color="auto" w:fill="auto"/>
          </w:tcPr>
          <w:p w14:paraId="3B9F0E59" w14:textId="77777777" w:rsidR="00E51CDD" w:rsidRPr="00E51CDD" w:rsidRDefault="00E51CDD" w:rsidP="00E51CDD">
            <w:pPr>
              <w:widowControl w:val="0"/>
              <w:rPr>
                <w:noProof/>
                <w:sz w:val="20"/>
                <w:lang w:val="en-GB"/>
              </w:rPr>
            </w:pPr>
            <w:r w:rsidRPr="00E51CDD">
              <w:rPr>
                <w:noProof/>
                <w:sz w:val="20"/>
                <w:szCs w:val="20"/>
                <w:lang w:val="en-GB"/>
              </w:rPr>
              <w:t>LD</w:t>
            </w:r>
            <w:r w:rsidRPr="00E51CDD">
              <w:rPr>
                <w:noProof/>
                <w:sz w:val="20"/>
                <w:szCs w:val="20"/>
                <w:vertAlign w:val="subscript"/>
                <w:lang w:val="en-GB"/>
              </w:rPr>
              <w:t>50</w:t>
            </w:r>
            <w:r w:rsidRPr="00E51CDD">
              <w:rPr>
                <w:noProof/>
                <w:sz w:val="20"/>
                <w:szCs w:val="20"/>
                <w:lang w:val="en-GB"/>
              </w:rPr>
              <w:t xml:space="preserve"> (48 h) &gt; 432 µg/bee </w:t>
            </w:r>
            <w:r w:rsidRPr="00E51CDD">
              <w:rPr>
                <w:noProof/>
                <w:sz w:val="20"/>
                <w:lang w:val="en-GB"/>
              </w:rPr>
              <w:t>(corresponding to &gt; 50.1 µg total a.s./bee)</w:t>
            </w:r>
          </w:p>
        </w:tc>
        <w:tc>
          <w:tcPr>
            <w:tcW w:w="881" w:type="pct"/>
            <w:shd w:val="clear" w:color="auto" w:fill="auto"/>
          </w:tcPr>
          <w:p w14:paraId="5FF63204" w14:textId="77777777" w:rsidR="00E51CDD" w:rsidRPr="00E51CDD" w:rsidRDefault="00E51CDD" w:rsidP="00E51CDD">
            <w:pPr>
              <w:widowControl w:val="0"/>
              <w:rPr>
                <w:bCs/>
                <w:iCs/>
                <w:noProof/>
                <w:sz w:val="20"/>
                <w:szCs w:val="20"/>
                <w:lang w:val="en-GB" w:eastAsia="en-US"/>
              </w:rPr>
            </w:pPr>
            <w:r w:rsidRPr="00E51CDD">
              <w:rPr>
                <w:bCs/>
                <w:iCs/>
                <w:noProof/>
                <w:sz w:val="20"/>
                <w:szCs w:val="20"/>
                <w:lang w:val="en-GB" w:eastAsia="en-US"/>
              </w:rPr>
              <w:t>not EU evaluated</w:t>
            </w:r>
          </w:p>
          <w:p w14:paraId="02E99A73" w14:textId="77777777" w:rsidR="00E51CDD" w:rsidRPr="00E51CDD" w:rsidRDefault="00E51CDD" w:rsidP="00E51CDD">
            <w:pPr>
              <w:widowControl w:val="0"/>
              <w:rPr>
                <w:bCs/>
                <w:iCs/>
                <w:noProof/>
                <w:sz w:val="20"/>
                <w:szCs w:val="20"/>
                <w:highlight w:val="yellow"/>
                <w:lang w:eastAsia="en-US"/>
              </w:rPr>
            </w:pPr>
            <w:r w:rsidRPr="00E51CDD">
              <w:rPr>
                <w:bCs/>
                <w:iCs/>
                <w:noProof/>
                <w:sz w:val="20"/>
                <w:szCs w:val="20"/>
                <w:lang w:val="en-GB" w:eastAsia="en-US"/>
              </w:rPr>
              <w:t>2019/1061095</w:t>
            </w:r>
          </w:p>
        </w:tc>
      </w:tr>
      <w:tr w:rsidR="00E51CDD" w:rsidRPr="00E51CDD" w14:paraId="589918A0" w14:textId="77777777" w:rsidTr="009938D9">
        <w:trPr>
          <w:trHeight w:val="833"/>
        </w:trPr>
        <w:tc>
          <w:tcPr>
            <w:tcW w:w="889" w:type="pct"/>
            <w:shd w:val="clear" w:color="auto" w:fill="auto"/>
          </w:tcPr>
          <w:p w14:paraId="0BE2B3EC" w14:textId="77777777" w:rsidR="00E51CDD" w:rsidRPr="00E51CDD" w:rsidRDefault="00E51CDD" w:rsidP="00E51CDD">
            <w:pPr>
              <w:widowControl w:val="0"/>
              <w:rPr>
                <w:i/>
                <w:noProof/>
                <w:sz w:val="20"/>
                <w:lang w:val="en-GB"/>
              </w:rPr>
            </w:pPr>
            <w:r w:rsidRPr="00E51CDD">
              <w:rPr>
                <w:i/>
                <w:noProof/>
                <w:sz w:val="20"/>
                <w:szCs w:val="20"/>
                <w:lang w:val="en-GB"/>
              </w:rPr>
              <w:t>Apis mellifera</w:t>
            </w:r>
            <w:r w:rsidRPr="00E51CDD">
              <w:rPr>
                <w:i/>
                <w:noProof/>
                <w:sz w:val="20"/>
                <w:szCs w:val="20"/>
                <w:lang w:val="en-GB"/>
              </w:rPr>
              <w:br/>
            </w:r>
            <w:r w:rsidRPr="00E51CDD">
              <w:rPr>
                <w:noProof/>
                <w:sz w:val="20"/>
                <w:szCs w:val="20"/>
                <w:lang w:val="en-GB"/>
              </w:rPr>
              <w:t>(adults)</w:t>
            </w:r>
          </w:p>
        </w:tc>
        <w:tc>
          <w:tcPr>
            <w:tcW w:w="806" w:type="pct"/>
            <w:shd w:val="clear" w:color="auto" w:fill="auto"/>
          </w:tcPr>
          <w:p w14:paraId="131D155E" w14:textId="77777777" w:rsidR="00E51CDD" w:rsidRPr="00E51CDD" w:rsidRDefault="00E51CDD" w:rsidP="00E51CDD">
            <w:pPr>
              <w:widowControl w:val="0"/>
              <w:rPr>
                <w:noProof/>
                <w:sz w:val="20"/>
                <w:lang w:val="en-GB"/>
              </w:rPr>
            </w:pPr>
            <w:r w:rsidRPr="00E51CDD">
              <w:rPr>
                <w:noProof/>
                <w:sz w:val="20"/>
                <w:lang w:val="en-GB"/>
              </w:rPr>
              <w:t>BAS 736 00 F</w:t>
            </w:r>
          </w:p>
        </w:tc>
        <w:tc>
          <w:tcPr>
            <w:tcW w:w="619" w:type="pct"/>
            <w:shd w:val="clear" w:color="auto" w:fill="auto"/>
          </w:tcPr>
          <w:p w14:paraId="5DC96634" w14:textId="77777777" w:rsidR="00E51CDD" w:rsidRPr="00E51CDD" w:rsidRDefault="00E51CDD" w:rsidP="00E51CDD">
            <w:pPr>
              <w:widowControl w:val="0"/>
              <w:rPr>
                <w:noProof/>
                <w:sz w:val="20"/>
                <w:lang w:val="en-GB"/>
              </w:rPr>
            </w:pPr>
            <w:r w:rsidRPr="00E51CDD">
              <w:rPr>
                <w:noProof/>
                <w:sz w:val="20"/>
                <w:szCs w:val="20"/>
                <w:lang w:val="en-GB"/>
              </w:rPr>
              <w:t>acute contact</w:t>
            </w:r>
          </w:p>
        </w:tc>
        <w:tc>
          <w:tcPr>
            <w:tcW w:w="1806" w:type="pct"/>
            <w:shd w:val="clear" w:color="auto" w:fill="auto"/>
          </w:tcPr>
          <w:p w14:paraId="1262B56E" w14:textId="77777777" w:rsidR="00E51CDD" w:rsidRPr="00E51CDD" w:rsidRDefault="00E51CDD" w:rsidP="00E51CDD">
            <w:pPr>
              <w:widowControl w:val="0"/>
              <w:rPr>
                <w:noProof/>
                <w:sz w:val="20"/>
                <w:lang w:val="en-GB"/>
              </w:rPr>
            </w:pPr>
            <w:r w:rsidRPr="00E51CDD">
              <w:rPr>
                <w:noProof/>
                <w:sz w:val="20"/>
                <w:szCs w:val="20"/>
                <w:lang w:val="en-GB"/>
              </w:rPr>
              <w:t>LD</w:t>
            </w:r>
            <w:r w:rsidRPr="00E51CDD">
              <w:rPr>
                <w:noProof/>
                <w:sz w:val="20"/>
                <w:szCs w:val="20"/>
                <w:vertAlign w:val="subscript"/>
                <w:lang w:val="en-GB"/>
              </w:rPr>
              <w:t>50</w:t>
            </w:r>
            <w:r w:rsidRPr="00E51CDD">
              <w:rPr>
                <w:noProof/>
                <w:sz w:val="20"/>
                <w:szCs w:val="20"/>
                <w:lang w:val="en-GB"/>
              </w:rPr>
              <w:t xml:space="preserve"> (72 h) &gt; 1000 µg/bee </w:t>
            </w:r>
            <w:r w:rsidRPr="00E51CDD">
              <w:rPr>
                <w:noProof/>
                <w:sz w:val="20"/>
                <w:lang w:val="en-GB"/>
              </w:rPr>
              <w:t>(corresponding to &gt; 116.0 µg total a.s./bee)</w:t>
            </w:r>
          </w:p>
        </w:tc>
        <w:tc>
          <w:tcPr>
            <w:tcW w:w="881" w:type="pct"/>
            <w:shd w:val="clear" w:color="auto" w:fill="auto"/>
          </w:tcPr>
          <w:p w14:paraId="6FD6FCF2" w14:textId="77777777" w:rsidR="00E51CDD" w:rsidRPr="00E51CDD" w:rsidRDefault="00E51CDD" w:rsidP="00E51CDD">
            <w:pPr>
              <w:widowControl w:val="0"/>
              <w:rPr>
                <w:bCs/>
                <w:iCs/>
                <w:noProof/>
                <w:sz w:val="20"/>
                <w:szCs w:val="20"/>
                <w:lang w:val="en-GB" w:eastAsia="en-US"/>
              </w:rPr>
            </w:pPr>
            <w:r w:rsidRPr="00E51CDD">
              <w:rPr>
                <w:bCs/>
                <w:iCs/>
                <w:noProof/>
                <w:sz w:val="20"/>
                <w:szCs w:val="20"/>
                <w:lang w:val="en-GB" w:eastAsia="en-US"/>
              </w:rPr>
              <w:t>not EU evaluated</w:t>
            </w:r>
          </w:p>
          <w:p w14:paraId="25B2D4C4" w14:textId="77777777" w:rsidR="00E51CDD" w:rsidRPr="00E51CDD" w:rsidRDefault="00E51CDD" w:rsidP="00E51CDD">
            <w:pPr>
              <w:widowControl w:val="0"/>
              <w:rPr>
                <w:bCs/>
                <w:iCs/>
                <w:noProof/>
                <w:sz w:val="20"/>
                <w:szCs w:val="20"/>
                <w:highlight w:val="yellow"/>
                <w:lang w:eastAsia="en-US"/>
              </w:rPr>
            </w:pPr>
            <w:r w:rsidRPr="00E51CDD">
              <w:rPr>
                <w:bCs/>
                <w:iCs/>
                <w:noProof/>
                <w:sz w:val="20"/>
                <w:szCs w:val="20"/>
                <w:lang w:val="en-GB" w:eastAsia="en-US"/>
              </w:rPr>
              <w:t>2019/1061095</w:t>
            </w:r>
          </w:p>
        </w:tc>
      </w:tr>
      <w:tr w:rsidR="00E51CDD" w:rsidRPr="00E51CDD" w14:paraId="456F18D0" w14:textId="77777777" w:rsidTr="009938D9">
        <w:trPr>
          <w:trHeight w:val="833"/>
        </w:trPr>
        <w:tc>
          <w:tcPr>
            <w:tcW w:w="889" w:type="pct"/>
            <w:shd w:val="clear" w:color="auto" w:fill="auto"/>
          </w:tcPr>
          <w:p w14:paraId="04529F86" w14:textId="77777777" w:rsidR="00E51CDD" w:rsidRPr="00E51CDD" w:rsidRDefault="00E51CDD" w:rsidP="00E51CDD">
            <w:pPr>
              <w:widowControl w:val="0"/>
              <w:rPr>
                <w:i/>
                <w:noProof/>
                <w:sz w:val="20"/>
                <w:lang w:val="en-GB"/>
              </w:rPr>
            </w:pPr>
            <w:r w:rsidRPr="00E51CDD">
              <w:rPr>
                <w:i/>
                <w:noProof/>
                <w:sz w:val="20"/>
                <w:szCs w:val="20"/>
                <w:lang w:val="en-GB"/>
              </w:rPr>
              <w:t>Apis mellifera</w:t>
            </w:r>
            <w:r w:rsidRPr="00E51CDD">
              <w:rPr>
                <w:i/>
                <w:noProof/>
                <w:sz w:val="20"/>
                <w:szCs w:val="20"/>
                <w:lang w:val="en-GB"/>
              </w:rPr>
              <w:br/>
            </w:r>
            <w:r w:rsidRPr="00E51CDD">
              <w:rPr>
                <w:noProof/>
                <w:sz w:val="20"/>
                <w:szCs w:val="20"/>
                <w:lang w:val="en-GB"/>
              </w:rPr>
              <w:t>(adults)</w:t>
            </w:r>
          </w:p>
        </w:tc>
        <w:tc>
          <w:tcPr>
            <w:tcW w:w="806" w:type="pct"/>
            <w:shd w:val="clear" w:color="auto" w:fill="auto"/>
          </w:tcPr>
          <w:p w14:paraId="70BE92A5" w14:textId="77777777" w:rsidR="00E51CDD" w:rsidRPr="00E51CDD" w:rsidRDefault="00E51CDD" w:rsidP="00E51CDD">
            <w:pPr>
              <w:widowControl w:val="0"/>
              <w:rPr>
                <w:noProof/>
                <w:sz w:val="20"/>
                <w:lang w:val="en-GB"/>
              </w:rPr>
            </w:pPr>
            <w:r w:rsidRPr="00E51CDD">
              <w:rPr>
                <w:noProof/>
                <w:sz w:val="20"/>
                <w:lang w:val="en-GB"/>
              </w:rPr>
              <w:t>BAS 736 00 F</w:t>
            </w:r>
          </w:p>
        </w:tc>
        <w:tc>
          <w:tcPr>
            <w:tcW w:w="619" w:type="pct"/>
            <w:shd w:val="clear" w:color="auto" w:fill="auto"/>
          </w:tcPr>
          <w:p w14:paraId="5A0CC245" w14:textId="77777777" w:rsidR="00E51CDD" w:rsidRPr="00E51CDD" w:rsidRDefault="00E51CDD" w:rsidP="00E51CDD">
            <w:pPr>
              <w:widowControl w:val="0"/>
              <w:rPr>
                <w:noProof/>
                <w:sz w:val="20"/>
                <w:lang w:val="en-GB"/>
              </w:rPr>
            </w:pPr>
            <w:r w:rsidRPr="00E51CDD">
              <w:rPr>
                <w:noProof/>
                <w:sz w:val="20"/>
                <w:szCs w:val="20"/>
                <w:lang w:val="en-GB"/>
              </w:rPr>
              <w:t>chronic, 10 d</w:t>
            </w:r>
          </w:p>
        </w:tc>
        <w:tc>
          <w:tcPr>
            <w:tcW w:w="1806" w:type="pct"/>
            <w:shd w:val="clear" w:color="auto" w:fill="auto"/>
          </w:tcPr>
          <w:p w14:paraId="3685B47F" w14:textId="77777777" w:rsidR="00E51CDD" w:rsidRPr="00E51CDD" w:rsidRDefault="00E51CDD" w:rsidP="00E51CDD">
            <w:pPr>
              <w:widowControl w:val="0"/>
              <w:rPr>
                <w:noProof/>
                <w:sz w:val="20"/>
                <w:szCs w:val="20"/>
                <w:lang w:val="en-GB"/>
              </w:rPr>
            </w:pPr>
            <w:r w:rsidRPr="00E51CDD">
              <w:rPr>
                <w:sz w:val="20"/>
                <w:szCs w:val="20"/>
                <w:lang w:val="en-GB"/>
              </w:rPr>
              <w:t>LDD</w:t>
            </w:r>
            <w:r w:rsidRPr="00E51CDD">
              <w:rPr>
                <w:sz w:val="20"/>
                <w:szCs w:val="20"/>
                <w:vertAlign w:val="subscript"/>
                <w:lang w:val="en-GB"/>
              </w:rPr>
              <w:t>50</w:t>
            </w:r>
            <w:r w:rsidRPr="00E51CDD">
              <w:rPr>
                <w:sz w:val="20"/>
                <w:szCs w:val="20"/>
                <w:lang w:val="en-GB"/>
              </w:rPr>
              <w:t xml:space="preserve"> (10 d) = 36.6 µg/bee/day </w:t>
            </w:r>
            <w:r w:rsidRPr="00E51CDD">
              <w:rPr>
                <w:sz w:val="20"/>
                <w:lang w:val="en-GB"/>
              </w:rPr>
              <w:t>(corresponding to 4.2 µg total a.s./bee)</w:t>
            </w:r>
            <w:r w:rsidRPr="00E51CDD">
              <w:t xml:space="preserve"> </w:t>
            </w:r>
            <w:r w:rsidRPr="00E51CDD">
              <w:rPr>
                <w:vertAlign w:val="superscript"/>
              </w:rPr>
              <w:t>1)</w:t>
            </w:r>
          </w:p>
          <w:p w14:paraId="426A4766" w14:textId="77777777" w:rsidR="00E51CDD" w:rsidRPr="00E51CDD" w:rsidRDefault="00E51CDD" w:rsidP="00E51CDD">
            <w:pPr>
              <w:widowControl w:val="0"/>
              <w:rPr>
                <w:noProof/>
                <w:sz w:val="20"/>
                <w:szCs w:val="20"/>
                <w:lang w:val="en-GB"/>
              </w:rPr>
            </w:pPr>
          </w:p>
          <w:p w14:paraId="0241F70A" w14:textId="00485ABE" w:rsidR="00E51CDD" w:rsidRPr="00E51CDD" w:rsidRDefault="00E51CDD" w:rsidP="00E51CDD">
            <w:pPr>
              <w:widowControl w:val="0"/>
              <w:rPr>
                <w:noProof/>
                <w:sz w:val="20"/>
                <w:lang w:val="en-GB"/>
              </w:rPr>
            </w:pPr>
            <w:r w:rsidRPr="00E51CDD">
              <w:rPr>
                <w:noProof/>
                <w:sz w:val="20"/>
                <w:szCs w:val="20"/>
                <w:lang w:val="en-GB"/>
              </w:rPr>
              <w:t>NOEDD (10 d) = 19.2 µg/bee/day (corresponding to 2.2 µg total</w:t>
            </w:r>
            <w:r w:rsidRPr="00E51CDD">
              <w:rPr>
                <w:noProof/>
                <w:sz w:val="20"/>
                <w:lang w:val="en-GB"/>
              </w:rPr>
              <w:t xml:space="preserve"> a.s./bee</w:t>
            </w:r>
            <w:r w:rsidR="009F3C16">
              <w:rPr>
                <w:noProof/>
                <w:sz w:val="20"/>
                <w:lang w:val="en-GB"/>
              </w:rPr>
              <w:t>/day</w:t>
            </w:r>
            <w:r w:rsidRPr="00E51CDD">
              <w:rPr>
                <w:noProof/>
                <w:sz w:val="20"/>
                <w:lang w:val="en-GB"/>
              </w:rPr>
              <w:t xml:space="preserve">) </w:t>
            </w:r>
            <w:r w:rsidRPr="00E51CDD">
              <w:rPr>
                <w:noProof/>
                <w:sz w:val="20"/>
                <w:vertAlign w:val="superscript"/>
                <w:lang w:val="en-GB"/>
              </w:rPr>
              <w:t>1)</w:t>
            </w:r>
          </w:p>
        </w:tc>
        <w:tc>
          <w:tcPr>
            <w:tcW w:w="881" w:type="pct"/>
            <w:shd w:val="clear" w:color="auto" w:fill="auto"/>
          </w:tcPr>
          <w:p w14:paraId="37AEEC16" w14:textId="77777777" w:rsidR="00E51CDD" w:rsidRPr="00E51CDD" w:rsidRDefault="00E51CDD" w:rsidP="00E51CDD">
            <w:pPr>
              <w:widowControl w:val="0"/>
              <w:rPr>
                <w:bCs/>
                <w:iCs/>
                <w:noProof/>
                <w:sz w:val="20"/>
                <w:szCs w:val="20"/>
                <w:lang w:val="en-GB" w:eastAsia="en-US"/>
              </w:rPr>
            </w:pPr>
            <w:r w:rsidRPr="00E51CDD">
              <w:rPr>
                <w:bCs/>
                <w:iCs/>
                <w:noProof/>
                <w:sz w:val="20"/>
                <w:szCs w:val="20"/>
                <w:lang w:val="en-GB" w:eastAsia="en-US"/>
              </w:rPr>
              <w:t>not EU evaluated</w:t>
            </w:r>
          </w:p>
          <w:p w14:paraId="4CA3DD56" w14:textId="77777777" w:rsidR="00E51CDD" w:rsidRPr="00E51CDD" w:rsidRDefault="00E51CDD" w:rsidP="00E51CDD">
            <w:pPr>
              <w:widowControl w:val="0"/>
              <w:rPr>
                <w:bCs/>
                <w:iCs/>
                <w:noProof/>
                <w:sz w:val="20"/>
                <w:szCs w:val="20"/>
                <w:highlight w:val="yellow"/>
                <w:lang w:eastAsia="en-US"/>
              </w:rPr>
            </w:pPr>
            <w:r w:rsidRPr="00E51CDD">
              <w:rPr>
                <w:bCs/>
                <w:iCs/>
                <w:noProof/>
                <w:sz w:val="20"/>
                <w:szCs w:val="20"/>
                <w:lang w:eastAsia="en-US"/>
              </w:rPr>
              <w:t>2020/2080999</w:t>
            </w:r>
          </w:p>
        </w:tc>
      </w:tr>
      <w:tr w:rsidR="00E51CDD" w:rsidRPr="00E51CDD" w14:paraId="1609F999" w14:textId="77777777" w:rsidTr="009938D9">
        <w:trPr>
          <w:trHeight w:val="833"/>
        </w:trPr>
        <w:tc>
          <w:tcPr>
            <w:tcW w:w="889" w:type="pct"/>
            <w:shd w:val="clear" w:color="auto" w:fill="auto"/>
          </w:tcPr>
          <w:p w14:paraId="5217C4F8" w14:textId="77777777" w:rsidR="00E51CDD" w:rsidRPr="00E51CDD" w:rsidRDefault="00E51CDD" w:rsidP="00E51CDD">
            <w:pPr>
              <w:widowControl w:val="0"/>
              <w:rPr>
                <w:i/>
                <w:noProof/>
                <w:sz w:val="20"/>
                <w:lang w:val="en-GB"/>
              </w:rPr>
            </w:pPr>
            <w:r w:rsidRPr="00E51CDD">
              <w:rPr>
                <w:i/>
                <w:noProof/>
                <w:sz w:val="20"/>
                <w:szCs w:val="20"/>
                <w:lang w:val="en-GB"/>
              </w:rPr>
              <w:t>Apis mellifera</w:t>
            </w:r>
            <w:r w:rsidRPr="00E51CDD">
              <w:rPr>
                <w:i/>
                <w:noProof/>
                <w:sz w:val="20"/>
                <w:szCs w:val="20"/>
                <w:lang w:val="en-GB"/>
              </w:rPr>
              <w:br/>
            </w:r>
            <w:r w:rsidRPr="00E51CDD">
              <w:rPr>
                <w:noProof/>
                <w:sz w:val="20"/>
                <w:szCs w:val="20"/>
                <w:lang w:val="en-GB"/>
              </w:rPr>
              <w:t>(larvae)</w:t>
            </w:r>
          </w:p>
        </w:tc>
        <w:tc>
          <w:tcPr>
            <w:tcW w:w="806" w:type="pct"/>
            <w:shd w:val="clear" w:color="auto" w:fill="auto"/>
          </w:tcPr>
          <w:p w14:paraId="74EC3D06" w14:textId="77777777" w:rsidR="00E51CDD" w:rsidRPr="00E51CDD" w:rsidRDefault="00E51CDD" w:rsidP="00E51CDD">
            <w:pPr>
              <w:widowControl w:val="0"/>
              <w:rPr>
                <w:noProof/>
                <w:sz w:val="20"/>
                <w:highlight w:val="yellow"/>
                <w:lang w:val="en-GB"/>
              </w:rPr>
            </w:pPr>
            <w:r w:rsidRPr="00E51CDD">
              <w:rPr>
                <w:noProof/>
                <w:sz w:val="20"/>
                <w:lang w:val="en-GB"/>
              </w:rPr>
              <w:t>BAS 736 00 F</w:t>
            </w:r>
          </w:p>
        </w:tc>
        <w:tc>
          <w:tcPr>
            <w:tcW w:w="619" w:type="pct"/>
            <w:shd w:val="clear" w:color="auto" w:fill="auto"/>
          </w:tcPr>
          <w:p w14:paraId="25EE14B4" w14:textId="77777777" w:rsidR="00E51CDD" w:rsidRPr="00E51CDD" w:rsidRDefault="00E51CDD" w:rsidP="00E51CDD">
            <w:pPr>
              <w:widowControl w:val="0"/>
              <w:rPr>
                <w:noProof/>
                <w:sz w:val="20"/>
                <w:szCs w:val="20"/>
                <w:lang w:val="en-GB"/>
              </w:rPr>
            </w:pPr>
            <w:r w:rsidRPr="00E51CDD">
              <w:rPr>
                <w:noProof/>
                <w:sz w:val="20"/>
                <w:szCs w:val="20"/>
                <w:lang w:val="en-GB"/>
              </w:rPr>
              <w:t xml:space="preserve">repeated exposure, </w:t>
            </w:r>
          </w:p>
          <w:p w14:paraId="399D0B3E" w14:textId="77777777" w:rsidR="00E51CDD" w:rsidRPr="00E51CDD" w:rsidRDefault="00E51CDD" w:rsidP="00E51CDD">
            <w:pPr>
              <w:widowControl w:val="0"/>
              <w:rPr>
                <w:noProof/>
                <w:sz w:val="20"/>
                <w:lang w:val="en-GB"/>
              </w:rPr>
            </w:pPr>
            <w:r w:rsidRPr="00E51CDD">
              <w:rPr>
                <w:noProof/>
                <w:sz w:val="20"/>
                <w:szCs w:val="20"/>
                <w:lang w:val="en-GB"/>
              </w:rPr>
              <w:t>22 d</w:t>
            </w:r>
          </w:p>
        </w:tc>
        <w:tc>
          <w:tcPr>
            <w:tcW w:w="1806" w:type="pct"/>
            <w:shd w:val="clear" w:color="auto" w:fill="auto"/>
          </w:tcPr>
          <w:p w14:paraId="58C518CC" w14:textId="77777777" w:rsidR="00E51CDD" w:rsidRPr="00E51CDD" w:rsidRDefault="00E51CDD" w:rsidP="00E51CDD">
            <w:pPr>
              <w:widowControl w:val="0"/>
              <w:rPr>
                <w:noProof/>
                <w:sz w:val="20"/>
                <w:lang w:val="en-GB"/>
              </w:rPr>
            </w:pPr>
            <w:r w:rsidRPr="00E51CDD">
              <w:rPr>
                <w:noProof/>
                <w:sz w:val="20"/>
                <w:szCs w:val="20"/>
                <w:lang w:val="en-GB"/>
              </w:rPr>
              <w:t>ED</w:t>
            </w:r>
            <w:r w:rsidRPr="00E51CDD">
              <w:rPr>
                <w:noProof/>
                <w:sz w:val="20"/>
                <w:szCs w:val="20"/>
                <w:vertAlign w:val="subscript"/>
                <w:lang w:val="en-GB"/>
              </w:rPr>
              <w:t>50</w:t>
            </w:r>
            <w:r w:rsidRPr="00E51CDD">
              <w:rPr>
                <w:noProof/>
                <w:sz w:val="20"/>
                <w:szCs w:val="20"/>
                <w:lang w:val="en-GB"/>
              </w:rPr>
              <w:t xml:space="preserve"> (22 d) = 188 µg/larva (corresponding to 21.8 µg total</w:t>
            </w:r>
            <w:r w:rsidRPr="00E51CDD">
              <w:rPr>
                <w:noProof/>
                <w:sz w:val="20"/>
                <w:lang w:val="en-GB"/>
              </w:rPr>
              <w:t xml:space="preserve"> a.s./larva) </w:t>
            </w:r>
            <w:r w:rsidRPr="00E51CDD">
              <w:rPr>
                <w:noProof/>
                <w:sz w:val="20"/>
                <w:vertAlign w:val="superscript"/>
                <w:lang w:val="en-GB"/>
              </w:rPr>
              <w:t>1)</w:t>
            </w:r>
          </w:p>
          <w:p w14:paraId="1C552AB2" w14:textId="77777777" w:rsidR="00E51CDD" w:rsidRPr="00E51CDD" w:rsidRDefault="00E51CDD" w:rsidP="00E51CDD">
            <w:pPr>
              <w:widowControl w:val="0"/>
              <w:rPr>
                <w:noProof/>
                <w:sz w:val="20"/>
                <w:szCs w:val="20"/>
                <w:vertAlign w:val="superscript"/>
                <w:lang w:val="en-GB"/>
              </w:rPr>
            </w:pPr>
            <w:r w:rsidRPr="00E51CDD">
              <w:rPr>
                <w:noProof/>
                <w:sz w:val="20"/>
                <w:szCs w:val="20"/>
                <w:lang w:val="en-GB"/>
              </w:rPr>
              <w:t>NOED (22 d) = 120 µg/larva (corresponding to 13.9 µg total</w:t>
            </w:r>
            <w:r w:rsidRPr="00E51CDD">
              <w:rPr>
                <w:noProof/>
                <w:sz w:val="20"/>
                <w:lang w:val="en-GB"/>
              </w:rPr>
              <w:t xml:space="preserve"> a.s./larva) </w:t>
            </w:r>
            <w:r w:rsidRPr="00E51CDD">
              <w:rPr>
                <w:noProof/>
                <w:sz w:val="20"/>
                <w:vertAlign w:val="superscript"/>
                <w:lang w:val="en-GB"/>
              </w:rPr>
              <w:t>1)</w:t>
            </w:r>
          </w:p>
        </w:tc>
        <w:tc>
          <w:tcPr>
            <w:tcW w:w="881" w:type="pct"/>
            <w:shd w:val="clear" w:color="auto" w:fill="auto"/>
          </w:tcPr>
          <w:p w14:paraId="0A53A750" w14:textId="77777777" w:rsidR="00E51CDD" w:rsidRPr="00E51CDD" w:rsidRDefault="00E51CDD" w:rsidP="00E51CDD">
            <w:pPr>
              <w:widowControl w:val="0"/>
              <w:rPr>
                <w:bCs/>
                <w:iCs/>
                <w:noProof/>
                <w:sz w:val="20"/>
                <w:szCs w:val="20"/>
                <w:lang w:val="en-GB" w:eastAsia="en-US"/>
              </w:rPr>
            </w:pPr>
            <w:r w:rsidRPr="00E51CDD">
              <w:rPr>
                <w:bCs/>
                <w:iCs/>
                <w:noProof/>
                <w:sz w:val="20"/>
                <w:szCs w:val="20"/>
                <w:lang w:val="en-GB" w:eastAsia="en-US"/>
              </w:rPr>
              <w:t>not EU evaluated</w:t>
            </w:r>
          </w:p>
          <w:p w14:paraId="464667D4" w14:textId="77777777" w:rsidR="00E51CDD" w:rsidRPr="00E51CDD" w:rsidRDefault="00E51CDD" w:rsidP="00E51CDD">
            <w:pPr>
              <w:widowControl w:val="0"/>
              <w:rPr>
                <w:bCs/>
                <w:iCs/>
                <w:noProof/>
                <w:sz w:val="20"/>
                <w:szCs w:val="20"/>
                <w:highlight w:val="yellow"/>
                <w:lang w:eastAsia="en-US"/>
              </w:rPr>
            </w:pPr>
            <w:r w:rsidRPr="00E51CDD">
              <w:rPr>
                <w:bCs/>
                <w:iCs/>
                <w:noProof/>
                <w:sz w:val="20"/>
                <w:szCs w:val="20"/>
                <w:lang w:eastAsia="en-US"/>
              </w:rPr>
              <w:t>2020/2081000</w:t>
            </w:r>
          </w:p>
        </w:tc>
      </w:tr>
    </w:tbl>
    <w:p w14:paraId="17B9244C" w14:textId="5CB38D3C" w:rsidR="009938D9" w:rsidRDefault="00E51CDD" w:rsidP="00E51CDD">
      <w:pPr>
        <w:tabs>
          <w:tab w:val="left" w:pos="426"/>
        </w:tabs>
        <w:spacing w:before="40"/>
        <w:ind w:left="284" w:hanging="284"/>
        <w:rPr>
          <w:sz w:val="18"/>
          <w:szCs w:val="18"/>
        </w:rPr>
      </w:pPr>
      <w:r w:rsidRPr="00E51CDD">
        <w:rPr>
          <w:sz w:val="18"/>
          <w:szCs w:val="18"/>
          <w:vertAlign w:val="superscript"/>
          <w:lang w:val="en-GB"/>
        </w:rPr>
        <w:t>1)</w:t>
      </w:r>
      <w:r w:rsidRPr="00E51CDD">
        <w:rPr>
          <w:sz w:val="18"/>
          <w:szCs w:val="18"/>
          <w:lang w:val="en-GB"/>
        </w:rPr>
        <w:tab/>
      </w:r>
      <w:r w:rsidRPr="00E51CDD">
        <w:rPr>
          <w:sz w:val="18"/>
          <w:szCs w:val="18"/>
        </w:rPr>
        <w:t>Endpoint based on sum of active substances (nominal) and taking into account a density of BAS 736 00 F of 1.078 g/cm</w:t>
      </w:r>
      <w:r w:rsidRPr="00E51CDD">
        <w:rPr>
          <w:sz w:val="18"/>
          <w:szCs w:val="18"/>
          <w:vertAlign w:val="superscript"/>
        </w:rPr>
        <w:t>3</w:t>
      </w:r>
      <w:r w:rsidRPr="00E51CDD">
        <w:rPr>
          <w:sz w:val="18"/>
          <w:szCs w:val="18"/>
        </w:rPr>
        <w:t>.</w:t>
      </w:r>
    </w:p>
    <w:p w14:paraId="27B81969" w14:textId="77777777" w:rsidR="00E51CDD" w:rsidRPr="00E51CDD" w:rsidRDefault="009938D9" w:rsidP="00E51CDD">
      <w:pPr>
        <w:tabs>
          <w:tab w:val="left" w:pos="426"/>
        </w:tabs>
        <w:spacing w:before="40"/>
        <w:ind w:left="284" w:hanging="284"/>
        <w:rPr>
          <w:sz w:val="18"/>
          <w:szCs w:val="18"/>
          <w:lang w:val="en-GB"/>
        </w:rPr>
      </w:pPr>
      <w:r>
        <w:rPr>
          <w:sz w:val="18"/>
          <w:szCs w:val="18"/>
        </w:rPr>
        <w:br w:type="page"/>
      </w:r>
    </w:p>
    <w:p w14:paraId="34B2368D" w14:textId="77777777" w:rsidR="00E51CDD" w:rsidRPr="00E51CDD" w:rsidRDefault="00E51CDD" w:rsidP="00E51CDD">
      <w:pPr>
        <w:keepNext/>
        <w:widowControl w:val="0"/>
        <w:numPr>
          <w:ilvl w:val="3"/>
          <w:numId w:val="5"/>
        </w:numPr>
        <w:spacing w:before="480" w:after="240"/>
        <w:jc w:val="both"/>
        <w:outlineLvl w:val="3"/>
        <w:rPr>
          <w:b/>
          <w:noProof/>
          <w:sz w:val="24"/>
          <w:szCs w:val="24"/>
          <w:lang w:val="en-GB"/>
        </w:rPr>
      </w:pPr>
      <w:r w:rsidRPr="00E51CDD">
        <w:rPr>
          <w:b/>
          <w:noProof/>
          <w:sz w:val="24"/>
          <w:szCs w:val="24"/>
          <w:lang w:val="en-GB"/>
        </w:rPr>
        <w:lastRenderedPageBreak/>
        <w:t>Justification for new endpoints</w:t>
      </w:r>
      <w:bookmarkEnd w:id="551"/>
      <w:bookmarkEnd w:id="552"/>
      <w:bookmarkEnd w:id="553"/>
      <w:bookmarkEnd w:id="554"/>
      <w:bookmarkEnd w:id="555"/>
      <w:bookmarkEnd w:id="556"/>
      <w:bookmarkEnd w:id="557"/>
      <w:bookmarkEnd w:id="558"/>
    </w:p>
    <w:p w14:paraId="33E388E1" w14:textId="77777777" w:rsidR="00E51CDD" w:rsidRPr="00E51CDD" w:rsidRDefault="00E51CDD" w:rsidP="00E51CDD">
      <w:pPr>
        <w:widowControl w:val="0"/>
        <w:jc w:val="both"/>
      </w:pPr>
      <w:r w:rsidRPr="00E51CDD">
        <w:t xml:space="preserve">Effects of the formulation BAS 736 00 F on honey bees were not evaluated as part of the EU assessment of the active substances </w:t>
      </w:r>
      <w:r w:rsidRPr="00E51CDD">
        <w:rPr>
          <w:lang w:val="en-GB"/>
        </w:rPr>
        <w:t>fluxapyroxad or azoxystrobin</w:t>
      </w:r>
      <w:r w:rsidRPr="00E51CDD">
        <w:t>. Hence, all relevant data and assessments considering this formulation are provided here and are considered adequate.</w:t>
      </w:r>
    </w:p>
    <w:p w14:paraId="3B06E86B" w14:textId="77777777" w:rsidR="00E51CDD" w:rsidRPr="00E51CDD" w:rsidRDefault="00E51CDD" w:rsidP="00E51CDD">
      <w:pPr>
        <w:widowControl w:val="0"/>
        <w:jc w:val="both"/>
      </w:pPr>
    </w:p>
    <w:p w14:paraId="130F320E" w14:textId="77777777" w:rsidR="00E51CDD" w:rsidRPr="00990402" w:rsidRDefault="00E51CDD" w:rsidP="00E51CDD">
      <w:pPr>
        <w:widowControl w:val="0"/>
        <w:jc w:val="both"/>
        <w:rPr>
          <w:strike/>
          <w:color w:val="D9D9D9" w:themeColor="background1" w:themeShade="D9"/>
        </w:rPr>
      </w:pPr>
      <w:r w:rsidRPr="00E51CDD">
        <w:t xml:space="preserve">Repeated exposure studies on honey bee larvae </w:t>
      </w:r>
      <w:bookmarkStart w:id="565" w:name="_Hlk85622648"/>
      <w:r w:rsidRPr="00E51CDD">
        <w:t>and chronic oral honey bee studies</w:t>
      </w:r>
      <w:bookmarkEnd w:id="565"/>
      <w:r w:rsidRPr="00E51CDD">
        <w:t xml:space="preserve">, </w:t>
      </w:r>
      <w:r w:rsidRPr="00C11CCB">
        <w:rPr>
          <w:strike/>
          <w:color w:val="D9D9D9" w:themeColor="background1" w:themeShade="D9"/>
        </w:rPr>
        <w:t>both</w:t>
      </w:r>
      <w:r w:rsidRPr="00E51CDD">
        <w:t xml:space="preserve"> with </w:t>
      </w:r>
      <w:r w:rsidRPr="00C11CCB">
        <w:rPr>
          <w:strike/>
          <w:color w:val="D9D9D9" w:themeColor="background1" w:themeShade="D9"/>
        </w:rPr>
        <w:t xml:space="preserve">fluxapyroxad </w:t>
      </w:r>
      <w:r w:rsidRPr="00C11CCB">
        <w:rPr>
          <w:strike/>
          <w:color w:val="D9D9D9" w:themeColor="background1" w:themeShade="D9"/>
          <w:lang w:val="en-GB"/>
        </w:rPr>
        <w:t xml:space="preserve">(partly tested as BAS 700 04 F, containing 300 g fluxapyroxad/L) and </w:t>
      </w:r>
      <w:r w:rsidRPr="00E51CDD">
        <w:rPr>
          <w:lang w:val="en-GB"/>
        </w:rPr>
        <w:t xml:space="preserve">BAS 736 00 F, </w:t>
      </w:r>
      <w:r w:rsidRPr="00E51CDD">
        <w:t xml:space="preserve">have been included to address the new data requirements according to Commission Regulation (EU) 1107/2009. </w:t>
      </w:r>
      <w:r w:rsidRPr="00990402">
        <w:rPr>
          <w:strike/>
          <w:color w:val="D9D9D9" w:themeColor="background1" w:themeShade="D9"/>
        </w:rPr>
        <w:t xml:space="preserve">In addition, a single exposure honey bee larvae study and a chronic oral honey bee study with </w:t>
      </w:r>
      <w:r w:rsidRPr="00990402">
        <w:rPr>
          <w:strike/>
          <w:noProof/>
          <w:color w:val="D9D9D9" w:themeColor="background1" w:themeShade="D9"/>
          <w:lang w:val="en-GB"/>
        </w:rPr>
        <w:t>azoxystrobin</w:t>
      </w:r>
      <w:r w:rsidRPr="00990402">
        <w:rPr>
          <w:strike/>
          <w:color w:val="D9D9D9" w:themeColor="background1" w:themeShade="D9"/>
        </w:rPr>
        <w:t xml:space="preserve"> (tested as A12705B, containing 250 g </w:t>
      </w:r>
      <w:r w:rsidRPr="00990402">
        <w:rPr>
          <w:strike/>
          <w:noProof/>
          <w:color w:val="D9D9D9" w:themeColor="background1" w:themeShade="D9"/>
          <w:lang w:val="en-GB"/>
        </w:rPr>
        <w:t>azoxystrobin</w:t>
      </w:r>
      <w:r w:rsidRPr="00990402">
        <w:rPr>
          <w:strike/>
          <w:color w:val="D9D9D9" w:themeColor="background1" w:themeShade="D9"/>
        </w:rPr>
        <w:t>/L), are submitted These studies provide further information on the toxicity of active substance to other honey bee life stages.</w:t>
      </w:r>
    </w:p>
    <w:p w14:paraId="49000D1D" w14:textId="77777777" w:rsidR="00E51CDD" w:rsidRPr="00E51CDD" w:rsidRDefault="00E51CDD" w:rsidP="00E51CDD">
      <w:pPr>
        <w:widowControl w:val="0"/>
        <w:jc w:val="both"/>
      </w:pPr>
    </w:p>
    <w:p w14:paraId="2203FD0F" w14:textId="3AB8B6B4" w:rsidR="009938D9" w:rsidRDefault="00E51CDD" w:rsidP="00E51CDD">
      <w:pPr>
        <w:widowControl w:val="0"/>
        <w:suppressAutoHyphens/>
        <w:jc w:val="both"/>
        <w:rPr>
          <w:rFonts w:eastAsia="PMingLiU"/>
          <w:lang w:val="en-GB"/>
        </w:rPr>
      </w:pPr>
      <w:r w:rsidRPr="00E51CDD">
        <w:rPr>
          <w:rFonts w:eastAsia="PMingLiU"/>
          <w:lang w:val="en-GB"/>
        </w:rPr>
        <w:t>All chronic studies on bees which were previously not evaluated on EU level, were checked for their potential to calculate L/EC</w:t>
      </w:r>
      <w:r w:rsidRPr="00E51CDD">
        <w:rPr>
          <w:rFonts w:eastAsia="PMingLiU"/>
          <w:vertAlign w:val="subscript"/>
          <w:lang w:val="en-GB"/>
        </w:rPr>
        <w:t>10/20</w:t>
      </w:r>
      <w:r w:rsidRPr="00E51CDD">
        <w:rPr>
          <w:rFonts w:eastAsia="PMingLiU"/>
          <w:lang w:val="en-GB"/>
        </w:rPr>
        <w:t xml:space="preserve"> values in accordance with Commission Regulations (EU) 283/2013 and 284/2013, respectively. If a calculation was possible, the L/EC</w:t>
      </w:r>
      <w:r w:rsidRPr="00E51CDD">
        <w:rPr>
          <w:rFonts w:eastAsia="PMingLiU"/>
          <w:vertAlign w:val="subscript"/>
          <w:lang w:val="en-GB"/>
        </w:rPr>
        <w:t>10/20</w:t>
      </w:r>
      <w:r w:rsidRPr="00E51CDD">
        <w:rPr>
          <w:rFonts w:eastAsia="PMingLiU"/>
          <w:lang w:val="en-GB"/>
        </w:rPr>
        <w:t xml:space="preserve"> are provided in the corresponding study summary in Appendix 2. However, since these values are not relevant for the risk assessment, they are not listed in chapter </w:t>
      </w:r>
      <w:r w:rsidR="00843A50">
        <w:rPr>
          <w:rFonts w:eastAsia="PMingLiU"/>
          <w:lang w:val="en-GB"/>
        </w:rPr>
        <w:t>9.6.1.</w:t>
      </w:r>
    </w:p>
    <w:p w14:paraId="5B45DDBF" w14:textId="77777777" w:rsidR="001A5145" w:rsidRDefault="001A5145" w:rsidP="00E51CDD">
      <w:pPr>
        <w:widowControl w:val="0"/>
        <w:suppressAutoHyphens/>
        <w:jc w:val="both"/>
        <w:rPr>
          <w:rFonts w:eastAsia="PMingLiU"/>
          <w:lang w:val="en-GB"/>
        </w:rPr>
      </w:pPr>
    </w:p>
    <w:p w14:paraId="0E0FF508" w14:textId="77777777" w:rsidR="00E51CDD" w:rsidRPr="00E51CDD" w:rsidRDefault="00E51CDD" w:rsidP="002E3CFC">
      <w:pPr>
        <w:pStyle w:val="Nagwek3"/>
      </w:pPr>
      <w:bookmarkStart w:id="566" w:name="_Toc412644004"/>
      <w:bookmarkStart w:id="567" w:name="_Toc413916848"/>
      <w:bookmarkStart w:id="568" w:name="_Toc413916990"/>
      <w:bookmarkStart w:id="569" w:name="_Toc413922051"/>
      <w:bookmarkStart w:id="570" w:name="_Toc413922540"/>
      <w:bookmarkStart w:id="571" w:name="_Toc413922644"/>
      <w:bookmarkStart w:id="572" w:name="_Toc414955281"/>
      <w:bookmarkStart w:id="573" w:name="_Toc415214588"/>
      <w:bookmarkStart w:id="574" w:name="_Toc125446430"/>
      <w:r w:rsidRPr="00E51CDD">
        <w:t>Risk assessment</w:t>
      </w:r>
      <w:bookmarkEnd w:id="566"/>
      <w:bookmarkEnd w:id="567"/>
      <w:bookmarkEnd w:id="568"/>
      <w:bookmarkEnd w:id="569"/>
      <w:bookmarkEnd w:id="570"/>
      <w:bookmarkEnd w:id="571"/>
      <w:bookmarkEnd w:id="572"/>
      <w:bookmarkEnd w:id="573"/>
      <w:bookmarkEnd w:id="574"/>
    </w:p>
    <w:p w14:paraId="1537D973" w14:textId="77777777" w:rsidR="00E51CDD" w:rsidRPr="00E51CDD" w:rsidRDefault="00E51CDD" w:rsidP="00E51CDD">
      <w:pPr>
        <w:numPr>
          <w:ilvl w:val="12"/>
          <w:numId w:val="0"/>
        </w:numPr>
        <w:spacing w:line="240" w:lineRule="atLeast"/>
        <w:jc w:val="both"/>
      </w:pPr>
      <w:bookmarkStart w:id="575" w:name="_Toc412644005"/>
      <w:bookmarkStart w:id="576" w:name="_Toc413916849"/>
      <w:bookmarkStart w:id="577" w:name="_Toc413916991"/>
      <w:bookmarkStart w:id="578" w:name="_Toc413922052"/>
      <w:bookmarkStart w:id="579" w:name="_Toc413922541"/>
      <w:bookmarkStart w:id="580" w:name="_Toc413922645"/>
      <w:bookmarkStart w:id="581" w:name="_Toc414955282"/>
      <w:bookmarkStart w:id="582" w:name="_Toc415214589"/>
      <w:r w:rsidRPr="00E51CDD">
        <w:t xml:space="preserve">The evaluation of the risk for bees was performed in accordance with the recommendations of the “Guidance Document on Terrestrial Ecotoxicology”, as provided by the Commission Services (SANCO/10329/2002 rev.2 (final), October 17, 2002) </w:t>
      </w:r>
      <w:bookmarkStart w:id="583" w:name="_Hlk30591383"/>
      <w:r w:rsidRPr="00E51CDD">
        <w:t>and the EPPO 2010 risk assessment scheme (</w:t>
      </w:r>
      <w:r w:rsidRPr="00E51CDD">
        <w:rPr>
          <w:i/>
          <w:iCs/>
        </w:rPr>
        <w:t>OEPP/EPPO, 2010: Environmental risk assessment scheme for plant protection products, Chapter 10: Honey bees, PP 3/10 (3), Bulletin OEPP/EPPO Bulletin 40, 323–331</w:t>
      </w:r>
      <w:r w:rsidRPr="00E51CDD">
        <w:t xml:space="preserve">). </w:t>
      </w:r>
      <w:bookmarkStart w:id="584" w:name="_Hlk527959958"/>
      <w:r w:rsidRPr="00E51CDD">
        <w:t>The EFSA bee guidance document (EFSA Journal 2013; 11(7):3295) was not used as it has not been adopted by the Standing Committee on Plants, Animals, Food and Feed at the time of application.</w:t>
      </w:r>
      <w:bookmarkEnd w:id="584"/>
    </w:p>
    <w:p w14:paraId="1A9DC455" w14:textId="77777777" w:rsidR="00E51CDD" w:rsidRPr="00E51CDD" w:rsidRDefault="00E51CDD" w:rsidP="00E51CDD">
      <w:pPr>
        <w:numPr>
          <w:ilvl w:val="12"/>
          <w:numId w:val="0"/>
        </w:numPr>
        <w:spacing w:line="240" w:lineRule="atLeast"/>
        <w:jc w:val="both"/>
        <w:rPr>
          <w:i/>
          <w:lang w:eastAsia="en-US"/>
        </w:rPr>
      </w:pPr>
    </w:p>
    <w:p w14:paraId="3181A328" w14:textId="4553584D" w:rsidR="00E51CDD" w:rsidRPr="00E51CDD" w:rsidRDefault="00E51CDD" w:rsidP="00E51CDD">
      <w:pPr>
        <w:widowControl w:val="0"/>
        <w:jc w:val="both"/>
        <w:rPr>
          <w:lang w:val="en-GB"/>
        </w:rPr>
      </w:pPr>
      <w:bookmarkStart w:id="585" w:name="_Hlk30591408"/>
      <w:bookmarkEnd w:id="583"/>
      <w:r w:rsidRPr="00E51CDD">
        <w:rPr>
          <w:lang w:val="en-GB"/>
        </w:rPr>
        <w:t xml:space="preserve">The application of </w:t>
      </w:r>
      <w:r w:rsidRPr="00E51CDD">
        <w:t xml:space="preserve">BAS 736 00 F </w:t>
      </w:r>
      <w:r w:rsidRPr="00E51CDD">
        <w:rPr>
          <w:lang w:val="en-GB"/>
        </w:rPr>
        <w:t>is envisioned in cereals, a non-bee attractive crop. The following risk assessment is based on the worst-case maximum single application rate of 2.0 L BAS 736 00 F/ha (equivalent to 1</w:t>
      </w:r>
      <w:r w:rsidR="0000474B">
        <w:rPr>
          <w:lang w:val="en-GB"/>
        </w:rPr>
        <w:t>0</w:t>
      </w:r>
      <w:r w:rsidRPr="00E51CDD">
        <w:rPr>
          <w:lang w:val="en-GB"/>
        </w:rPr>
        <w:t>0 g fluxapyroxad/ha and 1</w:t>
      </w:r>
      <w:r w:rsidR="0000474B">
        <w:rPr>
          <w:lang w:val="en-GB"/>
        </w:rPr>
        <w:t>5</w:t>
      </w:r>
      <w:r w:rsidRPr="00E51CDD">
        <w:rPr>
          <w:lang w:val="en-GB"/>
        </w:rPr>
        <w:t>0 g azoxystrobin/ha; see Section 9 Chapter 9.1 for details).</w:t>
      </w:r>
    </w:p>
    <w:p w14:paraId="555D0ACC" w14:textId="77777777" w:rsidR="00E51CDD" w:rsidRPr="00E51CDD" w:rsidRDefault="00E51CDD" w:rsidP="002E3CFC">
      <w:pPr>
        <w:pStyle w:val="Nagwek4"/>
      </w:pPr>
      <w:bookmarkStart w:id="586" w:name="_Toc125446431"/>
      <w:bookmarkEnd w:id="585"/>
      <w:r w:rsidRPr="00E51CDD">
        <w:t>Hazard quotients for bees</w:t>
      </w:r>
      <w:bookmarkEnd w:id="575"/>
      <w:bookmarkEnd w:id="576"/>
      <w:bookmarkEnd w:id="577"/>
      <w:bookmarkEnd w:id="578"/>
      <w:bookmarkEnd w:id="579"/>
      <w:bookmarkEnd w:id="580"/>
      <w:bookmarkEnd w:id="581"/>
      <w:bookmarkEnd w:id="582"/>
      <w:bookmarkEnd w:id="586"/>
    </w:p>
    <w:p w14:paraId="6D742912" w14:textId="77777777" w:rsidR="00E51CDD" w:rsidRPr="00E51CDD" w:rsidRDefault="00E51CDD" w:rsidP="00E51CDD">
      <w:pPr>
        <w:widowControl w:val="0"/>
        <w:jc w:val="both"/>
        <w:rPr>
          <w:lang w:eastAsia="en-US"/>
        </w:rPr>
      </w:pPr>
      <w:bookmarkStart w:id="587" w:name="_Hlk83985962"/>
      <w:r w:rsidRPr="00E51CDD">
        <w:rPr>
          <w:lang w:eastAsia="en-US"/>
        </w:rPr>
        <w:t xml:space="preserve">The risk to honey bees from the use of </w:t>
      </w:r>
      <w:r w:rsidRPr="00E51CDD">
        <w:t xml:space="preserve">fluxapyroxad, azoxystrobin </w:t>
      </w:r>
      <w:r w:rsidRPr="00E51CDD">
        <w:rPr>
          <w:lang w:eastAsia="en-US"/>
        </w:rPr>
        <w:t>and BAS 736 00 F was assessed using the maximum single application rate and the LD</w:t>
      </w:r>
      <w:r w:rsidRPr="00E51CDD">
        <w:rPr>
          <w:vertAlign w:val="subscript"/>
          <w:lang w:eastAsia="en-US"/>
        </w:rPr>
        <w:t>50</w:t>
      </w:r>
      <w:r w:rsidRPr="00E51CDD">
        <w:rPr>
          <w:lang w:eastAsia="en-US"/>
        </w:rPr>
        <w:t xml:space="preserve"> values to calculate hazard quotients (HQ) for oral exposure (Q</w:t>
      </w:r>
      <w:r w:rsidRPr="00E51CDD">
        <w:rPr>
          <w:vertAlign w:val="subscript"/>
          <w:lang w:eastAsia="en-US"/>
        </w:rPr>
        <w:t>HO</w:t>
      </w:r>
      <w:r w:rsidRPr="00E51CDD">
        <w:rPr>
          <w:lang w:eastAsia="en-US"/>
        </w:rPr>
        <w:t>) and contact exposure (Q</w:t>
      </w:r>
      <w:r w:rsidRPr="00E51CDD">
        <w:rPr>
          <w:vertAlign w:val="subscript"/>
          <w:lang w:eastAsia="en-US"/>
        </w:rPr>
        <w:t>HC</w:t>
      </w:r>
      <w:r w:rsidRPr="00E51CDD">
        <w:rPr>
          <w:lang w:eastAsia="en-US"/>
        </w:rPr>
        <w:t>) (</w:t>
      </w:r>
      <w:r w:rsidRPr="00E51CDD">
        <w:rPr>
          <w:iCs/>
          <w:lang w:val="en-GB" w:eastAsia="en-US"/>
        </w:rPr>
        <w:t>OEPP/EPPO, 2010: Chapter 10: Honey bees, PP 3/10 (3))</w:t>
      </w:r>
      <w:r w:rsidRPr="00E51CDD">
        <w:rPr>
          <w:lang w:eastAsia="en-US"/>
        </w:rPr>
        <w:t xml:space="preserve"> as follows.</w:t>
      </w:r>
    </w:p>
    <w:p w14:paraId="1C588623" w14:textId="77777777" w:rsidR="00E51CDD" w:rsidRPr="00E51CDD" w:rsidRDefault="00E51CDD" w:rsidP="00E51CDD">
      <w:pPr>
        <w:widowControl w:val="0"/>
        <w:jc w:val="both"/>
        <w:rPr>
          <w:lang w:eastAsia="en-US"/>
        </w:rPr>
      </w:pPr>
    </w:p>
    <w:p w14:paraId="0B1EA417" w14:textId="77777777" w:rsidR="00E51CDD" w:rsidRPr="00E51CDD" w:rsidRDefault="00E51CDD" w:rsidP="00E51CDD">
      <w:pPr>
        <w:widowControl w:val="0"/>
        <w:jc w:val="both"/>
        <w:rPr>
          <w:lang w:eastAsia="en-US"/>
        </w:rPr>
      </w:pPr>
    </w:p>
    <w:p w14:paraId="3189C2C0" w14:textId="77777777" w:rsidR="00E51CDD" w:rsidRPr="00E51CDD" w:rsidRDefault="00E51CDD" w:rsidP="00E51CDD">
      <w:pPr>
        <w:widowControl w:val="0"/>
        <w:jc w:val="both"/>
        <w:rPr>
          <w:lang w:eastAsia="en-US"/>
        </w:rPr>
      </w:pPr>
      <w:bookmarkStart w:id="588" w:name="_Hlk4394279"/>
      <m:oMathPara>
        <m:oMath>
          <m:r>
            <m:rPr>
              <m:sty m:val="p"/>
            </m:rPr>
            <w:rPr>
              <w:rFonts w:ascii="Cambria Math" w:hAnsi="Cambria Math"/>
            </w:rPr>
            <m:t>Hazard Quotient (HQ)=</m:t>
          </m:r>
          <m:f>
            <m:fPr>
              <m:ctrlPr>
                <w:rPr>
                  <w:rFonts w:ascii="Cambria Math" w:hAnsi="Cambria Math"/>
                </w:rPr>
              </m:ctrlPr>
            </m:fPr>
            <m:num>
              <m:r>
                <m:rPr>
                  <m:sty m:val="p"/>
                </m:rPr>
                <w:rPr>
                  <w:rFonts w:ascii="Cambria Math" w:hAnsi="Cambria Math"/>
                </w:rPr>
                <m:t>Maximum application rate [g/ha]</m:t>
              </m:r>
            </m:num>
            <m:den>
              <m:r>
                <m:rPr>
                  <m:sty m:val="p"/>
                </m:rPr>
                <w:rPr>
                  <w:rFonts w:ascii="Cambria Math" w:hAnsi="Cambria Math"/>
                </w:rPr>
                <m:t xml:space="preserve">Acute </m:t>
              </m:r>
              <m:sSub>
                <m:sSubPr>
                  <m:ctrlPr>
                    <w:rPr>
                      <w:rFonts w:ascii="Cambria Math" w:hAnsi="Cambria Math"/>
                      <w:i/>
                    </w:rPr>
                  </m:ctrlPr>
                </m:sSubPr>
                <m:e>
                  <m:r>
                    <m:rPr>
                      <m:nor/>
                    </m:rPr>
                    <w:rPr>
                      <w:rFonts w:ascii="Cambria Math" w:hAnsi="Cambria Math"/>
                    </w:rPr>
                    <m:t>LD</m:t>
                  </m:r>
                </m:e>
                <m:sub>
                  <m:r>
                    <m:rPr>
                      <m:nor/>
                    </m:rPr>
                    <w:rPr>
                      <w:rFonts w:ascii="Cambria Math" w:hAnsi="Cambria Math"/>
                    </w:rPr>
                    <m:t>50</m:t>
                  </m:r>
                </m:sub>
              </m:sSub>
              <m:r>
                <m:rPr>
                  <m:sty m:val="p"/>
                </m:rPr>
                <w:rPr>
                  <w:rFonts w:ascii="Cambria Math" w:hAnsi="Cambria Math"/>
                </w:rPr>
                <m:t xml:space="preserve"> [</m:t>
              </m:r>
              <m:r>
                <m:rPr>
                  <m:sty m:val="p"/>
                </m:rPr>
                <w:rPr>
                  <w:rFonts w:ascii="Cambria Math" w:hAnsi="Cambria Math"/>
                  <w:lang w:val="en-GB"/>
                </w:rPr>
                <m:t>µg/bee</m:t>
              </m:r>
              <m:r>
                <m:rPr>
                  <m:sty m:val="p"/>
                </m:rPr>
                <w:rPr>
                  <w:rFonts w:ascii="Cambria Math" w:hAnsi="Cambria Math"/>
                </w:rPr>
                <m:t>]</m:t>
              </m:r>
            </m:den>
          </m:f>
        </m:oMath>
      </m:oMathPara>
    </w:p>
    <w:bookmarkEnd w:id="588"/>
    <w:p w14:paraId="0D0102AA" w14:textId="77777777" w:rsidR="00E51CDD" w:rsidRPr="00E51CDD" w:rsidRDefault="00E51CDD" w:rsidP="00E51CDD">
      <w:pPr>
        <w:widowControl w:val="0"/>
        <w:jc w:val="both"/>
        <w:rPr>
          <w:lang w:eastAsia="en-US"/>
        </w:rPr>
      </w:pPr>
    </w:p>
    <w:p w14:paraId="7ACFEF19" w14:textId="77777777" w:rsidR="00E51CDD" w:rsidRPr="00E51CDD" w:rsidRDefault="00E51CDD" w:rsidP="00E51CDD">
      <w:pPr>
        <w:widowControl w:val="0"/>
        <w:jc w:val="both"/>
        <w:rPr>
          <w:lang w:eastAsia="en-US"/>
        </w:rPr>
      </w:pPr>
    </w:p>
    <w:p w14:paraId="16148CE4" w14:textId="275AB67C" w:rsidR="00E51CDD" w:rsidRPr="00E51CDD" w:rsidRDefault="00E51CDD" w:rsidP="00E51CDD">
      <w:pPr>
        <w:widowControl w:val="0"/>
        <w:jc w:val="both"/>
        <w:rPr>
          <w:lang w:eastAsia="en-US"/>
        </w:rPr>
      </w:pPr>
      <w:r w:rsidRPr="00E51CDD">
        <w:rPr>
          <w:lang w:eastAsia="en-US"/>
        </w:rPr>
        <w:t xml:space="preserve">A hazard quotient of less than 50 indicates a low risk to honey bees colonies in the field (see </w:t>
      </w:r>
      <w:r w:rsidRPr="00E51CDD">
        <w:rPr>
          <w:lang w:eastAsia="en-US"/>
        </w:rPr>
        <w:fldChar w:fldCharType="begin"/>
      </w:r>
      <w:r w:rsidRPr="00E51CDD">
        <w:rPr>
          <w:lang w:eastAsia="en-US"/>
        </w:rPr>
        <w:instrText xml:space="preserve"> REF _Ref516229756 \h  \* MERGEFORMAT </w:instrText>
      </w:r>
      <w:r w:rsidRPr="00E51CDD">
        <w:rPr>
          <w:lang w:eastAsia="en-US"/>
        </w:rPr>
      </w:r>
      <w:r w:rsidRPr="00E51CDD">
        <w:rPr>
          <w:lang w:eastAsia="en-US"/>
        </w:rPr>
        <w:fldChar w:fldCharType="separate"/>
      </w:r>
      <w:r w:rsidR="00662F32" w:rsidRPr="00662F32">
        <w:t xml:space="preserve">Table </w:t>
      </w:r>
      <w:r w:rsidR="00662F32" w:rsidRPr="00662F32">
        <w:rPr>
          <w:noProof/>
        </w:rPr>
        <w:t>9.6</w:t>
      </w:r>
      <w:r w:rsidR="00662F32" w:rsidRPr="00662F32">
        <w:rPr>
          <w:noProof/>
        </w:rPr>
        <w:noBreakHyphen/>
        <w:t>4</w:t>
      </w:r>
      <w:r w:rsidRPr="00E51CDD">
        <w:rPr>
          <w:lang w:eastAsia="en-US"/>
        </w:rPr>
        <w:fldChar w:fldCharType="end"/>
      </w:r>
      <w:r w:rsidRPr="00E51CDD">
        <w:rPr>
          <w:lang w:eastAsia="en-US"/>
        </w:rPr>
        <w:t xml:space="preserve">, </w:t>
      </w:r>
      <w:r w:rsidRPr="00E51CDD">
        <w:rPr>
          <w:lang w:eastAsia="en-US"/>
        </w:rPr>
        <w:fldChar w:fldCharType="begin"/>
      </w:r>
      <w:r w:rsidRPr="00E51CDD">
        <w:rPr>
          <w:lang w:eastAsia="en-US"/>
        </w:rPr>
        <w:instrText xml:space="preserve"> REF _Ref82438642 \h  \* MERGEFORMAT </w:instrText>
      </w:r>
      <w:r w:rsidRPr="00E51CDD">
        <w:rPr>
          <w:lang w:eastAsia="en-US"/>
        </w:rPr>
      </w:r>
      <w:r w:rsidRPr="00E51CDD">
        <w:rPr>
          <w:lang w:eastAsia="en-US"/>
        </w:rPr>
        <w:fldChar w:fldCharType="separate"/>
      </w:r>
      <w:r w:rsidR="00662F32" w:rsidRPr="00662F32">
        <w:t xml:space="preserve">Table </w:t>
      </w:r>
      <w:r w:rsidR="00662F32" w:rsidRPr="00662F32">
        <w:rPr>
          <w:noProof/>
        </w:rPr>
        <w:t>9.6</w:t>
      </w:r>
      <w:r w:rsidR="00662F32" w:rsidRPr="00662F32">
        <w:rPr>
          <w:noProof/>
        </w:rPr>
        <w:noBreakHyphen/>
        <w:t>5</w:t>
      </w:r>
      <w:r w:rsidRPr="00E51CDD">
        <w:rPr>
          <w:lang w:eastAsia="en-US"/>
        </w:rPr>
        <w:fldChar w:fldCharType="end"/>
      </w:r>
      <w:r w:rsidRPr="00E51CDD">
        <w:rPr>
          <w:lang w:eastAsia="en-US"/>
        </w:rPr>
        <w:t xml:space="preserve"> and </w:t>
      </w:r>
      <w:r w:rsidRPr="00E51CDD">
        <w:rPr>
          <w:lang w:eastAsia="en-US"/>
        </w:rPr>
        <w:fldChar w:fldCharType="begin"/>
      </w:r>
      <w:r w:rsidRPr="00E51CDD">
        <w:rPr>
          <w:lang w:eastAsia="en-US"/>
        </w:rPr>
        <w:instrText xml:space="preserve"> REF _Ref516229758 \h  \* MERGEFORMAT </w:instrText>
      </w:r>
      <w:r w:rsidRPr="00E51CDD">
        <w:rPr>
          <w:lang w:eastAsia="en-US"/>
        </w:rPr>
      </w:r>
      <w:r w:rsidRPr="00E51CDD">
        <w:rPr>
          <w:lang w:eastAsia="en-US"/>
        </w:rPr>
        <w:fldChar w:fldCharType="separate"/>
      </w:r>
      <w:r w:rsidR="00662F32" w:rsidRPr="00662F32">
        <w:t xml:space="preserve">Table </w:t>
      </w:r>
      <w:r w:rsidR="00662F32" w:rsidRPr="00662F32">
        <w:rPr>
          <w:noProof/>
        </w:rPr>
        <w:t>9.6</w:t>
      </w:r>
      <w:r w:rsidR="00662F32" w:rsidRPr="00662F32">
        <w:rPr>
          <w:noProof/>
        </w:rPr>
        <w:noBreakHyphen/>
        <w:t>6</w:t>
      </w:r>
      <w:r w:rsidRPr="00E51CDD">
        <w:rPr>
          <w:lang w:eastAsia="en-US"/>
        </w:rPr>
        <w:fldChar w:fldCharType="end"/>
      </w:r>
      <w:r w:rsidRPr="00E51CDD">
        <w:rPr>
          <w:lang w:eastAsia="en-US"/>
        </w:rPr>
        <w:t>).</w:t>
      </w:r>
    </w:p>
    <w:p w14:paraId="2D6DD594" w14:textId="77777777" w:rsidR="00E51CDD" w:rsidRPr="00E51CDD" w:rsidRDefault="00E51CDD" w:rsidP="00E51CDD">
      <w:pPr>
        <w:widowControl w:val="0"/>
        <w:jc w:val="both"/>
        <w:rPr>
          <w:lang w:eastAsia="en-US"/>
        </w:rPr>
      </w:pPr>
    </w:p>
    <w:p w14:paraId="34A50B8C" w14:textId="77777777" w:rsidR="001A5145" w:rsidRDefault="001A5145">
      <w:pPr>
        <w:rPr>
          <w:b/>
          <w:lang w:val="en-GB" w:eastAsia="en-US"/>
        </w:rPr>
      </w:pPr>
      <w:bookmarkStart w:id="589" w:name="_Ref516229756"/>
      <w:r>
        <w:rPr>
          <w:b/>
          <w:lang w:val="en-GB" w:eastAsia="en-US"/>
        </w:rPr>
        <w:br w:type="page"/>
      </w:r>
    </w:p>
    <w:p w14:paraId="69A764EE" w14:textId="111A2FB6" w:rsidR="00E51CDD" w:rsidRPr="00E51CDD" w:rsidRDefault="00E51CDD" w:rsidP="00E51CDD">
      <w:pPr>
        <w:tabs>
          <w:tab w:val="left" w:pos="1984"/>
        </w:tabs>
        <w:spacing w:line="280" w:lineRule="exact"/>
        <w:ind w:left="1843" w:hanging="1843"/>
        <w:jc w:val="both"/>
        <w:rPr>
          <w:b/>
          <w:lang w:val="en-GB" w:eastAsia="en-US"/>
        </w:rPr>
      </w:pPr>
      <w:r w:rsidRPr="00E51CDD">
        <w:rPr>
          <w:b/>
          <w:lang w:val="en-GB" w:eastAsia="en-US"/>
        </w:rPr>
        <w:lastRenderedPageBreak/>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9.6</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4</w:t>
      </w:r>
      <w:r w:rsidRPr="00E51CDD">
        <w:rPr>
          <w:b/>
          <w:lang w:val="en-GB" w:eastAsia="en-US"/>
        </w:rPr>
        <w:fldChar w:fldCharType="end"/>
      </w:r>
      <w:bookmarkEnd w:id="589"/>
      <w:r w:rsidRPr="00E51CDD">
        <w:rPr>
          <w:b/>
          <w:lang w:val="en-GB" w:eastAsia="en-US"/>
        </w:rPr>
        <w:t>:</w:t>
      </w:r>
      <w:r w:rsidRPr="00E51CDD">
        <w:rPr>
          <w:b/>
          <w:lang w:val="en-GB" w:eastAsia="en-US"/>
        </w:rPr>
        <w:tab/>
        <w:t xml:space="preserve">First-tier assessment of the risk for bees due to the use of fluxapyroxad as contained in BAS 736 00 F </w:t>
      </w:r>
      <w:bookmarkStart w:id="590" w:name="_Hlk30592010"/>
      <w:r w:rsidRPr="00E51CDD">
        <w:rPr>
          <w:b/>
          <w:lang w:eastAsia="en-US"/>
        </w:rPr>
        <w:t>according to the proposed use pattern</w:t>
      </w:r>
      <w:bookmarkEnd w:id="5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337"/>
        <w:gridCol w:w="2336"/>
        <w:gridCol w:w="2336"/>
        <w:gridCol w:w="2336"/>
      </w:tblGrid>
      <w:tr w:rsidR="00E51CDD" w:rsidRPr="00E51CDD" w14:paraId="0A5104B2" w14:textId="77777777" w:rsidTr="009938D9">
        <w:trPr>
          <w:cantSplit/>
        </w:trPr>
        <w:tc>
          <w:tcPr>
            <w:tcW w:w="1250" w:type="pct"/>
            <w:tcBorders>
              <w:bottom w:val="single" w:sz="4" w:space="0" w:color="auto"/>
            </w:tcBorders>
          </w:tcPr>
          <w:p w14:paraId="55D7FA51" w14:textId="77777777" w:rsidR="00E51CDD" w:rsidRPr="00E51CDD" w:rsidRDefault="00E51CDD" w:rsidP="00E51CDD">
            <w:pPr>
              <w:widowControl w:val="0"/>
              <w:rPr>
                <w:b/>
                <w:bCs/>
                <w:sz w:val="20"/>
                <w:szCs w:val="20"/>
                <w:lang w:val="en-GB"/>
              </w:rPr>
            </w:pPr>
            <w:r w:rsidRPr="00E51CDD">
              <w:rPr>
                <w:b/>
                <w:bCs/>
                <w:sz w:val="20"/>
                <w:szCs w:val="20"/>
                <w:lang w:val="en-GB"/>
              </w:rPr>
              <w:t>Intended use</w:t>
            </w:r>
          </w:p>
        </w:tc>
        <w:tc>
          <w:tcPr>
            <w:tcW w:w="3750" w:type="pct"/>
            <w:gridSpan w:val="3"/>
            <w:tcBorders>
              <w:bottom w:val="single" w:sz="4" w:space="0" w:color="auto"/>
            </w:tcBorders>
          </w:tcPr>
          <w:p w14:paraId="59AAD8EE" w14:textId="77777777" w:rsidR="00E51CDD" w:rsidRPr="00E51CDD" w:rsidRDefault="00E51CDD" w:rsidP="00E51CDD">
            <w:pPr>
              <w:widowControl w:val="0"/>
              <w:rPr>
                <w:noProof/>
                <w:sz w:val="20"/>
                <w:lang w:val="en-GB"/>
              </w:rPr>
            </w:pPr>
            <w:r w:rsidRPr="00E51CDD">
              <w:rPr>
                <w:noProof/>
                <w:sz w:val="20"/>
                <w:lang w:val="en-GB"/>
              </w:rPr>
              <w:t>cereals</w:t>
            </w:r>
          </w:p>
        </w:tc>
      </w:tr>
      <w:tr w:rsidR="00E51CDD" w:rsidRPr="00E51CDD" w14:paraId="4FB867D0" w14:textId="77777777" w:rsidTr="009938D9">
        <w:trPr>
          <w:cantSplit/>
        </w:trPr>
        <w:tc>
          <w:tcPr>
            <w:tcW w:w="1250" w:type="pct"/>
            <w:tcBorders>
              <w:top w:val="single" w:sz="4" w:space="0" w:color="auto"/>
              <w:bottom w:val="single" w:sz="4" w:space="0" w:color="auto"/>
            </w:tcBorders>
          </w:tcPr>
          <w:p w14:paraId="612DD929" w14:textId="77777777" w:rsidR="00E51CDD" w:rsidRPr="00E51CDD" w:rsidRDefault="00E51CDD" w:rsidP="00E51CDD">
            <w:pPr>
              <w:widowControl w:val="0"/>
              <w:rPr>
                <w:b/>
                <w:bCs/>
                <w:sz w:val="20"/>
                <w:szCs w:val="20"/>
                <w:lang w:val="en-GB"/>
              </w:rPr>
            </w:pPr>
            <w:r w:rsidRPr="00E51CDD">
              <w:rPr>
                <w:b/>
                <w:bCs/>
                <w:sz w:val="20"/>
                <w:szCs w:val="20"/>
                <w:lang w:val="en-GB"/>
              </w:rPr>
              <w:t>Active substance</w:t>
            </w:r>
          </w:p>
        </w:tc>
        <w:tc>
          <w:tcPr>
            <w:tcW w:w="3750" w:type="pct"/>
            <w:gridSpan w:val="3"/>
            <w:tcBorders>
              <w:top w:val="single" w:sz="4" w:space="0" w:color="auto"/>
              <w:bottom w:val="single" w:sz="4" w:space="0" w:color="auto"/>
            </w:tcBorders>
          </w:tcPr>
          <w:p w14:paraId="36F0D216" w14:textId="77777777" w:rsidR="00E51CDD" w:rsidRPr="00E51CDD" w:rsidRDefault="00E51CDD" w:rsidP="00E51CDD">
            <w:pPr>
              <w:widowControl w:val="0"/>
              <w:rPr>
                <w:noProof/>
                <w:sz w:val="20"/>
                <w:lang w:val="en-GB"/>
              </w:rPr>
            </w:pPr>
            <w:r w:rsidRPr="00E51CDD">
              <w:rPr>
                <w:noProof/>
                <w:sz w:val="20"/>
                <w:lang w:val="en-GB"/>
              </w:rPr>
              <w:t>fluxapyroxad</w:t>
            </w:r>
          </w:p>
        </w:tc>
      </w:tr>
      <w:tr w:rsidR="00E51CDD" w:rsidRPr="00E51CDD" w14:paraId="43CF4D37" w14:textId="77777777" w:rsidTr="009938D9">
        <w:trPr>
          <w:cantSplit/>
        </w:trPr>
        <w:tc>
          <w:tcPr>
            <w:tcW w:w="1250" w:type="pct"/>
            <w:tcBorders>
              <w:top w:val="single" w:sz="4" w:space="0" w:color="auto"/>
            </w:tcBorders>
          </w:tcPr>
          <w:p w14:paraId="70737DE3" w14:textId="77777777" w:rsidR="00E51CDD" w:rsidRPr="00E51CDD" w:rsidRDefault="00E51CDD" w:rsidP="00E51CDD">
            <w:pPr>
              <w:widowControl w:val="0"/>
              <w:rPr>
                <w:b/>
                <w:bCs/>
                <w:sz w:val="20"/>
                <w:szCs w:val="20"/>
                <w:lang w:val="en-GB"/>
              </w:rPr>
            </w:pPr>
            <w:r w:rsidRPr="00E51CDD">
              <w:rPr>
                <w:b/>
                <w:bCs/>
                <w:sz w:val="20"/>
                <w:szCs w:val="20"/>
                <w:lang w:val="en-GB"/>
              </w:rPr>
              <w:t>Application rate (g a.s./ha)</w:t>
            </w:r>
          </w:p>
        </w:tc>
        <w:tc>
          <w:tcPr>
            <w:tcW w:w="3750" w:type="pct"/>
            <w:gridSpan w:val="3"/>
            <w:tcBorders>
              <w:top w:val="single" w:sz="4" w:space="0" w:color="auto"/>
            </w:tcBorders>
          </w:tcPr>
          <w:p w14:paraId="19B159D0" w14:textId="77777777" w:rsidR="00E51CDD" w:rsidRPr="00E51CDD" w:rsidRDefault="00E51CDD" w:rsidP="00E51CDD">
            <w:pPr>
              <w:widowControl w:val="0"/>
              <w:rPr>
                <w:noProof/>
                <w:sz w:val="20"/>
                <w:lang w:val="en-GB"/>
              </w:rPr>
            </w:pPr>
            <w:r w:rsidRPr="00E51CDD">
              <w:rPr>
                <w:noProof/>
                <w:sz w:val="20"/>
                <w:szCs w:val="20"/>
                <w:lang w:val="en-GB"/>
              </w:rPr>
              <w:t>2 x 100</w:t>
            </w:r>
          </w:p>
        </w:tc>
      </w:tr>
      <w:tr w:rsidR="00E51CDD" w:rsidRPr="00E51CDD" w14:paraId="40DCC320" w14:textId="77777777" w:rsidTr="009938D9">
        <w:tblPrEx>
          <w:tblLook w:val="01E0" w:firstRow="1" w:lastRow="1" w:firstColumn="1" w:lastColumn="1" w:noHBand="0" w:noVBand="0"/>
        </w:tblPrEx>
        <w:trPr>
          <w:cantSplit/>
        </w:trPr>
        <w:tc>
          <w:tcPr>
            <w:tcW w:w="1250" w:type="pct"/>
          </w:tcPr>
          <w:p w14:paraId="02D209DB" w14:textId="77777777" w:rsidR="00E51CDD" w:rsidRPr="00E51CDD" w:rsidRDefault="00E51CDD" w:rsidP="00E51CDD">
            <w:pPr>
              <w:widowControl w:val="0"/>
              <w:rPr>
                <w:b/>
                <w:bCs/>
                <w:sz w:val="20"/>
                <w:szCs w:val="20"/>
                <w:lang w:val="en-GB"/>
              </w:rPr>
            </w:pPr>
            <w:r w:rsidRPr="00E51CDD">
              <w:rPr>
                <w:b/>
                <w:bCs/>
                <w:sz w:val="20"/>
                <w:szCs w:val="20"/>
                <w:lang w:val="en-GB"/>
              </w:rPr>
              <w:t>Test design</w:t>
            </w:r>
          </w:p>
        </w:tc>
        <w:tc>
          <w:tcPr>
            <w:tcW w:w="1250" w:type="pct"/>
          </w:tcPr>
          <w:p w14:paraId="4ED0C5FD" w14:textId="77777777" w:rsidR="00E51CDD" w:rsidRPr="00E51CDD" w:rsidRDefault="00E51CDD" w:rsidP="00E51CDD">
            <w:pPr>
              <w:widowControl w:val="0"/>
              <w:rPr>
                <w:b/>
                <w:bCs/>
                <w:sz w:val="20"/>
                <w:szCs w:val="20"/>
                <w:lang w:val="en-GB"/>
              </w:rPr>
            </w:pPr>
            <w:r w:rsidRPr="00E51CDD">
              <w:rPr>
                <w:b/>
                <w:bCs/>
                <w:sz w:val="20"/>
                <w:szCs w:val="20"/>
                <w:lang w:val="en-GB"/>
              </w:rPr>
              <w:t>LD</w:t>
            </w:r>
            <w:r w:rsidRPr="00E51CDD">
              <w:rPr>
                <w:b/>
                <w:bCs/>
                <w:sz w:val="20"/>
                <w:szCs w:val="20"/>
                <w:vertAlign w:val="subscript"/>
                <w:lang w:val="en-GB"/>
              </w:rPr>
              <w:t>50</w:t>
            </w:r>
            <w:r w:rsidRPr="00E51CDD">
              <w:rPr>
                <w:b/>
                <w:bCs/>
                <w:sz w:val="20"/>
                <w:szCs w:val="20"/>
                <w:lang w:val="en-GB"/>
              </w:rPr>
              <w:t xml:space="preserve"> (lab.)</w:t>
            </w:r>
            <w:r w:rsidRPr="00E51CDD">
              <w:rPr>
                <w:b/>
                <w:bCs/>
                <w:sz w:val="20"/>
                <w:szCs w:val="20"/>
                <w:lang w:val="en-GB"/>
              </w:rPr>
              <w:br/>
              <w:t>(µg a.s./bee)</w:t>
            </w:r>
          </w:p>
        </w:tc>
        <w:tc>
          <w:tcPr>
            <w:tcW w:w="1250" w:type="pct"/>
          </w:tcPr>
          <w:p w14:paraId="3A4853EE" w14:textId="77777777" w:rsidR="00E51CDD" w:rsidRPr="00E51CDD" w:rsidRDefault="00E51CDD" w:rsidP="00E51CDD">
            <w:pPr>
              <w:widowControl w:val="0"/>
              <w:rPr>
                <w:b/>
                <w:bCs/>
                <w:sz w:val="20"/>
                <w:szCs w:val="20"/>
                <w:lang w:val="en-GB"/>
              </w:rPr>
            </w:pPr>
            <w:r w:rsidRPr="00E51CDD">
              <w:rPr>
                <w:b/>
                <w:bCs/>
                <w:sz w:val="20"/>
                <w:szCs w:val="20"/>
                <w:lang w:val="en-GB"/>
              </w:rPr>
              <w:t>Single application rate</w:t>
            </w:r>
            <w:r w:rsidRPr="00E51CDD">
              <w:rPr>
                <w:b/>
                <w:bCs/>
                <w:sz w:val="20"/>
                <w:szCs w:val="20"/>
                <w:lang w:val="en-GB"/>
              </w:rPr>
              <w:br/>
              <w:t>(g/ha)</w:t>
            </w:r>
          </w:p>
        </w:tc>
        <w:tc>
          <w:tcPr>
            <w:tcW w:w="1250" w:type="pct"/>
          </w:tcPr>
          <w:p w14:paraId="03C893DA" w14:textId="77777777" w:rsidR="00E51CDD" w:rsidRPr="00E51CDD" w:rsidRDefault="00E51CDD" w:rsidP="00E51CDD">
            <w:pPr>
              <w:widowControl w:val="0"/>
              <w:rPr>
                <w:b/>
                <w:bCs/>
                <w:sz w:val="20"/>
                <w:szCs w:val="20"/>
                <w:lang w:val="en-GB"/>
              </w:rPr>
            </w:pPr>
            <w:r w:rsidRPr="00E51CDD">
              <w:rPr>
                <w:b/>
                <w:bCs/>
                <w:sz w:val="20"/>
                <w:szCs w:val="20"/>
                <w:lang w:val="en-GB"/>
              </w:rPr>
              <w:t>Q</w:t>
            </w:r>
            <w:r w:rsidRPr="00E51CDD">
              <w:rPr>
                <w:b/>
                <w:bCs/>
                <w:sz w:val="20"/>
                <w:szCs w:val="20"/>
                <w:vertAlign w:val="subscript"/>
                <w:lang w:val="en-GB"/>
              </w:rPr>
              <w:t>HO</w:t>
            </w:r>
            <w:r w:rsidRPr="00E51CDD">
              <w:rPr>
                <w:b/>
                <w:bCs/>
                <w:sz w:val="20"/>
                <w:szCs w:val="20"/>
                <w:lang w:val="en-GB"/>
              </w:rPr>
              <w:t>, Q</w:t>
            </w:r>
            <w:r w:rsidRPr="00E51CDD">
              <w:rPr>
                <w:b/>
                <w:bCs/>
                <w:sz w:val="20"/>
                <w:szCs w:val="20"/>
                <w:vertAlign w:val="subscript"/>
                <w:lang w:val="en-GB"/>
              </w:rPr>
              <w:t>HC</w:t>
            </w:r>
            <w:r w:rsidRPr="00E51CDD">
              <w:rPr>
                <w:b/>
                <w:bCs/>
                <w:sz w:val="20"/>
                <w:szCs w:val="20"/>
                <w:vertAlign w:val="subscript"/>
                <w:lang w:val="en-GB"/>
              </w:rPr>
              <w:br/>
            </w:r>
            <w:r w:rsidRPr="00E51CDD">
              <w:rPr>
                <w:b/>
                <w:bCs/>
                <w:sz w:val="20"/>
                <w:szCs w:val="20"/>
                <w:lang w:val="en-GB"/>
              </w:rPr>
              <w:t>criterion: Q</w:t>
            </w:r>
            <w:r w:rsidRPr="00E51CDD">
              <w:rPr>
                <w:b/>
                <w:bCs/>
                <w:sz w:val="20"/>
                <w:szCs w:val="20"/>
                <w:vertAlign w:val="subscript"/>
                <w:lang w:val="en-GB"/>
              </w:rPr>
              <w:t>H</w:t>
            </w:r>
            <w:r w:rsidRPr="00E51CDD">
              <w:rPr>
                <w:b/>
                <w:bCs/>
                <w:sz w:val="20"/>
                <w:szCs w:val="20"/>
                <w:lang w:val="en-GB"/>
              </w:rPr>
              <w:t xml:space="preserve"> ≤ 50</w:t>
            </w:r>
          </w:p>
        </w:tc>
      </w:tr>
      <w:tr w:rsidR="00E51CDD" w:rsidRPr="00E51CDD" w14:paraId="6285AC2E" w14:textId="77777777" w:rsidTr="009938D9">
        <w:tblPrEx>
          <w:tblLook w:val="01E0" w:firstRow="1" w:lastRow="1" w:firstColumn="1" w:lastColumn="1" w:noHBand="0" w:noVBand="0"/>
        </w:tblPrEx>
        <w:trPr>
          <w:cantSplit/>
        </w:trPr>
        <w:tc>
          <w:tcPr>
            <w:tcW w:w="1250" w:type="pct"/>
            <w:vAlign w:val="center"/>
          </w:tcPr>
          <w:p w14:paraId="70366D8D" w14:textId="77777777" w:rsidR="00E51CDD" w:rsidRPr="00E51CDD" w:rsidRDefault="00E51CDD" w:rsidP="00E51CDD">
            <w:pPr>
              <w:widowControl w:val="0"/>
              <w:rPr>
                <w:noProof/>
                <w:sz w:val="20"/>
                <w:lang w:val="en-GB"/>
              </w:rPr>
            </w:pPr>
            <w:r w:rsidRPr="00E51CDD">
              <w:rPr>
                <w:noProof/>
                <w:sz w:val="20"/>
                <w:lang w:val="en-GB"/>
              </w:rPr>
              <w:t>Oral toxicity</w:t>
            </w:r>
          </w:p>
        </w:tc>
        <w:tc>
          <w:tcPr>
            <w:tcW w:w="1250" w:type="pct"/>
            <w:vAlign w:val="center"/>
          </w:tcPr>
          <w:p w14:paraId="7315ACA3" w14:textId="77777777" w:rsidR="00E51CDD" w:rsidRPr="00E51CDD" w:rsidRDefault="00E51CDD" w:rsidP="00E51CDD">
            <w:pPr>
              <w:widowControl w:val="0"/>
              <w:rPr>
                <w:noProof/>
                <w:sz w:val="20"/>
                <w:szCs w:val="20"/>
                <w:lang w:val="en-GB"/>
              </w:rPr>
            </w:pPr>
            <w:r w:rsidRPr="00E51CDD">
              <w:rPr>
                <w:noProof/>
                <w:sz w:val="20"/>
                <w:szCs w:val="20"/>
                <w:lang w:val="en-GB"/>
              </w:rPr>
              <w:t>&gt; 110.9</w:t>
            </w:r>
          </w:p>
        </w:tc>
        <w:tc>
          <w:tcPr>
            <w:tcW w:w="1250" w:type="pct"/>
            <w:vMerge w:val="restart"/>
            <w:vAlign w:val="center"/>
          </w:tcPr>
          <w:p w14:paraId="218CD124" w14:textId="77777777" w:rsidR="00E51CDD" w:rsidRPr="00E51CDD" w:rsidRDefault="00E51CDD" w:rsidP="00E51CDD">
            <w:pPr>
              <w:widowControl w:val="0"/>
              <w:rPr>
                <w:noProof/>
                <w:sz w:val="20"/>
                <w:szCs w:val="20"/>
                <w:lang w:val="en-GB"/>
              </w:rPr>
            </w:pPr>
            <w:r w:rsidRPr="00E51CDD">
              <w:rPr>
                <w:noProof/>
                <w:sz w:val="20"/>
                <w:szCs w:val="20"/>
                <w:lang w:val="en-GB"/>
              </w:rPr>
              <w:t>100</w:t>
            </w:r>
          </w:p>
        </w:tc>
        <w:tc>
          <w:tcPr>
            <w:tcW w:w="1250" w:type="pct"/>
            <w:vAlign w:val="center"/>
          </w:tcPr>
          <w:p w14:paraId="32402985" w14:textId="77777777" w:rsidR="00E51CDD" w:rsidRPr="00E51CDD" w:rsidRDefault="00E51CDD" w:rsidP="00E51CDD">
            <w:pPr>
              <w:widowControl w:val="0"/>
              <w:rPr>
                <w:noProof/>
                <w:sz w:val="20"/>
                <w:lang w:val="en-GB"/>
              </w:rPr>
            </w:pPr>
            <w:r w:rsidRPr="00E51CDD">
              <w:rPr>
                <w:noProof/>
                <w:sz w:val="20"/>
                <w:lang w:val="en-GB"/>
              </w:rPr>
              <w:t>&lt; 0.9</w:t>
            </w:r>
          </w:p>
        </w:tc>
      </w:tr>
      <w:tr w:rsidR="00E51CDD" w:rsidRPr="00E51CDD" w14:paraId="6A453D40" w14:textId="77777777" w:rsidTr="009938D9">
        <w:tblPrEx>
          <w:tblLook w:val="01E0" w:firstRow="1" w:lastRow="1" w:firstColumn="1" w:lastColumn="1" w:noHBand="0" w:noVBand="0"/>
        </w:tblPrEx>
        <w:trPr>
          <w:cantSplit/>
        </w:trPr>
        <w:tc>
          <w:tcPr>
            <w:tcW w:w="1250" w:type="pct"/>
            <w:vAlign w:val="center"/>
          </w:tcPr>
          <w:p w14:paraId="3D2B4AE3" w14:textId="77777777" w:rsidR="00E51CDD" w:rsidRPr="00E51CDD" w:rsidRDefault="00E51CDD" w:rsidP="00E51CDD">
            <w:pPr>
              <w:widowControl w:val="0"/>
              <w:rPr>
                <w:noProof/>
                <w:sz w:val="20"/>
                <w:lang w:val="en-GB"/>
              </w:rPr>
            </w:pPr>
            <w:r w:rsidRPr="00E51CDD">
              <w:rPr>
                <w:noProof/>
                <w:sz w:val="20"/>
                <w:lang w:val="en-GB"/>
              </w:rPr>
              <w:t>Contact toxicity</w:t>
            </w:r>
          </w:p>
        </w:tc>
        <w:tc>
          <w:tcPr>
            <w:tcW w:w="1250" w:type="pct"/>
            <w:vAlign w:val="center"/>
          </w:tcPr>
          <w:p w14:paraId="40E4A8B4" w14:textId="77777777" w:rsidR="00E51CDD" w:rsidRPr="00E51CDD" w:rsidRDefault="00E51CDD" w:rsidP="00E51CDD">
            <w:pPr>
              <w:widowControl w:val="0"/>
              <w:rPr>
                <w:noProof/>
                <w:sz w:val="20"/>
                <w:szCs w:val="20"/>
                <w:lang w:val="en-GB"/>
              </w:rPr>
            </w:pPr>
            <w:r w:rsidRPr="00E51CDD">
              <w:rPr>
                <w:noProof/>
                <w:sz w:val="20"/>
                <w:szCs w:val="20"/>
                <w:lang w:val="en-GB"/>
              </w:rPr>
              <w:t>&gt; 100</w:t>
            </w:r>
          </w:p>
        </w:tc>
        <w:tc>
          <w:tcPr>
            <w:tcW w:w="1250" w:type="pct"/>
            <w:vMerge/>
            <w:vAlign w:val="center"/>
          </w:tcPr>
          <w:p w14:paraId="1F28CABF" w14:textId="77777777" w:rsidR="00E51CDD" w:rsidRPr="00E51CDD" w:rsidRDefault="00E51CDD" w:rsidP="00E51CDD">
            <w:pPr>
              <w:widowControl w:val="0"/>
              <w:rPr>
                <w:noProof/>
                <w:sz w:val="20"/>
                <w:szCs w:val="20"/>
                <w:lang w:val="en-GB"/>
              </w:rPr>
            </w:pPr>
          </w:p>
        </w:tc>
        <w:tc>
          <w:tcPr>
            <w:tcW w:w="1250" w:type="pct"/>
            <w:vAlign w:val="center"/>
          </w:tcPr>
          <w:p w14:paraId="7AF6D48E" w14:textId="77777777" w:rsidR="00E51CDD" w:rsidRPr="00E51CDD" w:rsidRDefault="00E51CDD" w:rsidP="00E51CDD">
            <w:pPr>
              <w:widowControl w:val="0"/>
              <w:rPr>
                <w:noProof/>
                <w:sz w:val="20"/>
                <w:lang w:val="en-GB"/>
              </w:rPr>
            </w:pPr>
            <w:r w:rsidRPr="00E51CDD">
              <w:rPr>
                <w:noProof/>
                <w:sz w:val="20"/>
                <w:lang w:val="en-GB"/>
              </w:rPr>
              <w:t>&lt; 1.0</w:t>
            </w:r>
          </w:p>
        </w:tc>
      </w:tr>
    </w:tbl>
    <w:p w14:paraId="7D4BAF37" w14:textId="77777777" w:rsidR="00E51CDD" w:rsidRPr="00E51CDD" w:rsidRDefault="00E51CDD" w:rsidP="00E51CDD">
      <w:pPr>
        <w:widowControl w:val="0"/>
        <w:tabs>
          <w:tab w:val="left" w:pos="425"/>
        </w:tabs>
        <w:ind w:left="425" w:hanging="425"/>
        <w:rPr>
          <w:noProof/>
          <w:sz w:val="18"/>
          <w:szCs w:val="18"/>
          <w:lang w:val="en-GB"/>
        </w:rPr>
      </w:pPr>
      <w:r w:rsidRPr="00E51CDD">
        <w:rPr>
          <w:noProof/>
          <w:sz w:val="18"/>
          <w:szCs w:val="18"/>
          <w:lang w:val="en-GB"/>
        </w:rPr>
        <w:t>Q</w:t>
      </w:r>
      <w:r w:rsidRPr="00E51CDD">
        <w:rPr>
          <w:noProof/>
          <w:sz w:val="18"/>
          <w:szCs w:val="18"/>
          <w:vertAlign w:val="subscript"/>
          <w:lang w:val="en-GB"/>
        </w:rPr>
        <w:t>HO</w:t>
      </w:r>
      <w:r w:rsidRPr="00E51CDD">
        <w:rPr>
          <w:noProof/>
          <w:sz w:val="18"/>
          <w:szCs w:val="18"/>
          <w:lang w:val="en-GB"/>
        </w:rPr>
        <w:t>, Q</w:t>
      </w:r>
      <w:r w:rsidRPr="00E51CDD">
        <w:rPr>
          <w:noProof/>
          <w:sz w:val="18"/>
          <w:szCs w:val="18"/>
          <w:vertAlign w:val="subscript"/>
          <w:lang w:val="en-GB"/>
        </w:rPr>
        <w:t>HC</w:t>
      </w:r>
      <w:r w:rsidRPr="00E51CDD">
        <w:rPr>
          <w:noProof/>
          <w:sz w:val="18"/>
          <w:szCs w:val="18"/>
          <w:lang w:val="en-GB"/>
        </w:rPr>
        <w:t>: Hazard quotients for oral and contact exposure.</w:t>
      </w:r>
    </w:p>
    <w:p w14:paraId="5B8DD18E" w14:textId="77777777" w:rsidR="00E51CDD" w:rsidRPr="00E51CDD" w:rsidRDefault="00E51CDD" w:rsidP="00E51CDD">
      <w:pPr>
        <w:widowControl w:val="0"/>
        <w:jc w:val="both"/>
        <w:rPr>
          <w:lang w:val="en-GB"/>
        </w:rPr>
      </w:pPr>
    </w:p>
    <w:p w14:paraId="5A0240ED" w14:textId="77777777" w:rsidR="001A5145" w:rsidRDefault="001A5145" w:rsidP="00E51CDD">
      <w:pPr>
        <w:tabs>
          <w:tab w:val="left" w:pos="1984"/>
        </w:tabs>
        <w:spacing w:line="280" w:lineRule="exact"/>
        <w:ind w:left="1843" w:hanging="1843"/>
        <w:jc w:val="both"/>
        <w:rPr>
          <w:b/>
          <w:lang w:val="en-GB" w:eastAsia="en-US"/>
        </w:rPr>
      </w:pPr>
      <w:bookmarkStart w:id="591" w:name="_Ref82438642"/>
    </w:p>
    <w:p w14:paraId="100E8F3C" w14:textId="0120950A" w:rsidR="00E51CDD" w:rsidRPr="00E51CDD" w:rsidRDefault="00E51CDD" w:rsidP="00E51CDD">
      <w:pPr>
        <w:tabs>
          <w:tab w:val="left" w:pos="1984"/>
        </w:tabs>
        <w:spacing w:line="280" w:lineRule="exact"/>
        <w:ind w:left="1843" w:hanging="1843"/>
        <w:jc w:val="both"/>
        <w:rPr>
          <w:b/>
          <w:lang w:val="en-GB" w:eastAsia="en-US"/>
        </w:rPr>
      </w:pPr>
      <w:r w:rsidRPr="00E51CDD">
        <w:rPr>
          <w:b/>
          <w:lang w:val="en-GB" w:eastAsia="en-US"/>
        </w:rPr>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9.6</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5</w:t>
      </w:r>
      <w:r w:rsidRPr="00E51CDD">
        <w:rPr>
          <w:b/>
          <w:lang w:val="en-GB" w:eastAsia="en-US"/>
        </w:rPr>
        <w:fldChar w:fldCharType="end"/>
      </w:r>
      <w:bookmarkEnd w:id="591"/>
      <w:r w:rsidRPr="00E51CDD">
        <w:rPr>
          <w:b/>
          <w:lang w:val="en-GB" w:eastAsia="en-US"/>
        </w:rPr>
        <w:t>:</w:t>
      </w:r>
      <w:r w:rsidRPr="00E51CDD">
        <w:rPr>
          <w:b/>
          <w:lang w:val="en-GB" w:eastAsia="en-US"/>
        </w:rPr>
        <w:tab/>
        <w:t xml:space="preserve">First-tier assessment of the risk for bees due to the use of azoxystrobin as contained in BAS 736 00 F </w:t>
      </w:r>
      <w:r w:rsidRPr="00E51CDD">
        <w:rPr>
          <w:b/>
          <w:lang w:eastAsia="en-US"/>
        </w:rPr>
        <w:t>according to the proposed use pattern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337"/>
        <w:gridCol w:w="2336"/>
        <w:gridCol w:w="2336"/>
        <w:gridCol w:w="2336"/>
      </w:tblGrid>
      <w:tr w:rsidR="00E51CDD" w:rsidRPr="00E51CDD" w14:paraId="4C36700C" w14:textId="77777777" w:rsidTr="009938D9">
        <w:trPr>
          <w:cantSplit/>
        </w:trPr>
        <w:tc>
          <w:tcPr>
            <w:tcW w:w="1250" w:type="pct"/>
            <w:tcBorders>
              <w:bottom w:val="single" w:sz="4" w:space="0" w:color="auto"/>
            </w:tcBorders>
          </w:tcPr>
          <w:p w14:paraId="19999A89" w14:textId="77777777" w:rsidR="00E51CDD" w:rsidRPr="00E51CDD" w:rsidRDefault="00E51CDD" w:rsidP="00E51CDD">
            <w:pPr>
              <w:widowControl w:val="0"/>
              <w:rPr>
                <w:b/>
                <w:bCs/>
                <w:sz w:val="20"/>
                <w:szCs w:val="20"/>
                <w:lang w:val="en-GB"/>
              </w:rPr>
            </w:pPr>
            <w:r w:rsidRPr="00E51CDD">
              <w:rPr>
                <w:b/>
                <w:bCs/>
                <w:sz w:val="20"/>
                <w:szCs w:val="20"/>
                <w:lang w:val="en-GB"/>
              </w:rPr>
              <w:t>Intended use</w:t>
            </w:r>
          </w:p>
        </w:tc>
        <w:tc>
          <w:tcPr>
            <w:tcW w:w="3750" w:type="pct"/>
            <w:gridSpan w:val="3"/>
            <w:tcBorders>
              <w:bottom w:val="single" w:sz="4" w:space="0" w:color="auto"/>
            </w:tcBorders>
          </w:tcPr>
          <w:p w14:paraId="34CA33EA" w14:textId="77777777" w:rsidR="00E51CDD" w:rsidRPr="00E51CDD" w:rsidRDefault="00E51CDD" w:rsidP="00E51CDD">
            <w:pPr>
              <w:widowControl w:val="0"/>
              <w:rPr>
                <w:noProof/>
                <w:sz w:val="20"/>
                <w:lang w:val="en-GB"/>
              </w:rPr>
            </w:pPr>
            <w:r w:rsidRPr="00E51CDD">
              <w:rPr>
                <w:noProof/>
                <w:sz w:val="20"/>
                <w:lang w:val="en-GB"/>
              </w:rPr>
              <w:t>cereals</w:t>
            </w:r>
          </w:p>
        </w:tc>
      </w:tr>
      <w:tr w:rsidR="00E51CDD" w:rsidRPr="00E51CDD" w14:paraId="0EE277FA" w14:textId="77777777" w:rsidTr="009938D9">
        <w:trPr>
          <w:cantSplit/>
        </w:trPr>
        <w:tc>
          <w:tcPr>
            <w:tcW w:w="1250" w:type="pct"/>
            <w:tcBorders>
              <w:top w:val="single" w:sz="4" w:space="0" w:color="auto"/>
              <w:bottom w:val="single" w:sz="4" w:space="0" w:color="auto"/>
            </w:tcBorders>
          </w:tcPr>
          <w:p w14:paraId="5F75669B" w14:textId="77777777" w:rsidR="00E51CDD" w:rsidRPr="00E51CDD" w:rsidRDefault="00E51CDD" w:rsidP="00E51CDD">
            <w:pPr>
              <w:widowControl w:val="0"/>
              <w:rPr>
                <w:b/>
                <w:bCs/>
                <w:sz w:val="20"/>
                <w:szCs w:val="20"/>
                <w:lang w:val="en-GB"/>
              </w:rPr>
            </w:pPr>
            <w:r w:rsidRPr="00E51CDD">
              <w:rPr>
                <w:b/>
                <w:bCs/>
                <w:sz w:val="20"/>
                <w:szCs w:val="20"/>
                <w:lang w:val="en-GB"/>
              </w:rPr>
              <w:t>Active substance</w:t>
            </w:r>
          </w:p>
        </w:tc>
        <w:tc>
          <w:tcPr>
            <w:tcW w:w="3750" w:type="pct"/>
            <w:gridSpan w:val="3"/>
            <w:tcBorders>
              <w:top w:val="single" w:sz="4" w:space="0" w:color="auto"/>
              <w:bottom w:val="single" w:sz="4" w:space="0" w:color="auto"/>
            </w:tcBorders>
          </w:tcPr>
          <w:p w14:paraId="35EE37E1" w14:textId="77777777" w:rsidR="00E51CDD" w:rsidRPr="00E51CDD" w:rsidRDefault="00E51CDD" w:rsidP="00E51CDD">
            <w:pPr>
              <w:widowControl w:val="0"/>
              <w:rPr>
                <w:noProof/>
                <w:sz w:val="20"/>
                <w:lang w:val="en-GB"/>
              </w:rPr>
            </w:pPr>
            <w:bookmarkStart w:id="592" w:name="_Hlk83986917"/>
            <w:r w:rsidRPr="00E51CDD">
              <w:rPr>
                <w:noProof/>
                <w:sz w:val="20"/>
                <w:lang w:val="en-GB"/>
              </w:rPr>
              <w:t>azoxystrobin</w:t>
            </w:r>
            <w:bookmarkEnd w:id="592"/>
          </w:p>
        </w:tc>
      </w:tr>
      <w:tr w:rsidR="00E51CDD" w:rsidRPr="00E51CDD" w14:paraId="616F72BA" w14:textId="77777777" w:rsidTr="009938D9">
        <w:trPr>
          <w:cantSplit/>
        </w:trPr>
        <w:tc>
          <w:tcPr>
            <w:tcW w:w="1250" w:type="pct"/>
            <w:tcBorders>
              <w:top w:val="single" w:sz="4" w:space="0" w:color="auto"/>
            </w:tcBorders>
          </w:tcPr>
          <w:p w14:paraId="21215F01" w14:textId="77777777" w:rsidR="00E51CDD" w:rsidRPr="00E51CDD" w:rsidRDefault="00E51CDD" w:rsidP="00E51CDD">
            <w:pPr>
              <w:widowControl w:val="0"/>
              <w:rPr>
                <w:b/>
                <w:bCs/>
                <w:sz w:val="20"/>
                <w:szCs w:val="20"/>
                <w:lang w:val="en-GB"/>
              </w:rPr>
            </w:pPr>
            <w:r w:rsidRPr="00E51CDD">
              <w:rPr>
                <w:b/>
                <w:bCs/>
                <w:sz w:val="20"/>
                <w:szCs w:val="20"/>
                <w:lang w:val="en-GB"/>
              </w:rPr>
              <w:t>Application rate (g a.s./ha)</w:t>
            </w:r>
          </w:p>
        </w:tc>
        <w:tc>
          <w:tcPr>
            <w:tcW w:w="3750" w:type="pct"/>
            <w:gridSpan w:val="3"/>
            <w:tcBorders>
              <w:top w:val="single" w:sz="4" w:space="0" w:color="auto"/>
            </w:tcBorders>
          </w:tcPr>
          <w:p w14:paraId="18467126" w14:textId="77777777" w:rsidR="00E51CDD" w:rsidRPr="00E51CDD" w:rsidRDefault="00E51CDD" w:rsidP="00E51CDD">
            <w:pPr>
              <w:widowControl w:val="0"/>
              <w:rPr>
                <w:noProof/>
                <w:sz w:val="20"/>
                <w:lang w:val="en-GB"/>
              </w:rPr>
            </w:pPr>
            <w:r w:rsidRPr="00E51CDD">
              <w:rPr>
                <w:noProof/>
                <w:sz w:val="20"/>
                <w:szCs w:val="20"/>
                <w:lang w:val="en-GB"/>
              </w:rPr>
              <w:t>2 x 150</w:t>
            </w:r>
          </w:p>
        </w:tc>
      </w:tr>
      <w:tr w:rsidR="00E51CDD" w:rsidRPr="00E51CDD" w14:paraId="10CB332D" w14:textId="77777777" w:rsidTr="009938D9">
        <w:tblPrEx>
          <w:tblLook w:val="01E0" w:firstRow="1" w:lastRow="1" w:firstColumn="1" w:lastColumn="1" w:noHBand="0" w:noVBand="0"/>
        </w:tblPrEx>
        <w:trPr>
          <w:cantSplit/>
        </w:trPr>
        <w:tc>
          <w:tcPr>
            <w:tcW w:w="1250" w:type="pct"/>
          </w:tcPr>
          <w:p w14:paraId="0B91450E" w14:textId="77777777" w:rsidR="00E51CDD" w:rsidRPr="00E51CDD" w:rsidRDefault="00E51CDD" w:rsidP="00E51CDD">
            <w:pPr>
              <w:widowControl w:val="0"/>
              <w:rPr>
                <w:b/>
                <w:bCs/>
                <w:sz w:val="20"/>
                <w:szCs w:val="20"/>
                <w:lang w:val="en-GB"/>
              </w:rPr>
            </w:pPr>
            <w:r w:rsidRPr="00E51CDD">
              <w:rPr>
                <w:b/>
                <w:bCs/>
                <w:sz w:val="20"/>
                <w:szCs w:val="20"/>
                <w:lang w:val="en-GB"/>
              </w:rPr>
              <w:t>Test design</w:t>
            </w:r>
          </w:p>
        </w:tc>
        <w:tc>
          <w:tcPr>
            <w:tcW w:w="1250" w:type="pct"/>
          </w:tcPr>
          <w:p w14:paraId="5F12EABF" w14:textId="77777777" w:rsidR="00E51CDD" w:rsidRPr="00E51CDD" w:rsidRDefault="00E51CDD" w:rsidP="00E51CDD">
            <w:pPr>
              <w:widowControl w:val="0"/>
              <w:rPr>
                <w:b/>
                <w:bCs/>
                <w:sz w:val="20"/>
                <w:szCs w:val="20"/>
                <w:lang w:val="en-GB"/>
              </w:rPr>
            </w:pPr>
            <w:r w:rsidRPr="00E51CDD">
              <w:rPr>
                <w:b/>
                <w:bCs/>
                <w:sz w:val="20"/>
                <w:szCs w:val="20"/>
                <w:lang w:val="en-GB"/>
              </w:rPr>
              <w:t>LD</w:t>
            </w:r>
            <w:r w:rsidRPr="00E51CDD">
              <w:rPr>
                <w:b/>
                <w:bCs/>
                <w:sz w:val="20"/>
                <w:szCs w:val="20"/>
                <w:vertAlign w:val="subscript"/>
                <w:lang w:val="en-GB"/>
              </w:rPr>
              <w:t>50</w:t>
            </w:r>
            <w:r w:rsidRPr="00E51CDD">
              <w:rPr>
                <w:b/>
                <w:bCs/>
                <w:sz w:val="20"/>
                <w:szCs w:val="20"/>
                <w:lang w:val="en-GB"/>
              </w:rPr>
              <w:t xml:space="preserve"> (lab.)</w:t>
            </w:r>
            <w:r w:rsidRPr="00E51CDD">
              <w:rPr>
                <w:b/>
                <w:bCs/>
                <w:sz w:val="20"/>
                <w:szCs w:val="20"/>
                <w:lang w:val="en-GB"/>
              </w:rPr>
              <w:br/>
              <w:t>(µg a.s./bee)</w:t>
            </w:r>
          </w:p>
        </w:tc>
        <w:tc>
          <w:tcPr>
            <w:tcW w:w="1250" w:type="pct"/>
          </w:tcPr>
          <w:p w14:paraId="73C49838" w14:textId="77777777" w:rsidR="00E51CDD" w:rsidRPr="00E51CDD" w:rsidRDefault="00E51CDD" w:rsidP="00E51CDD">
            <w:pPr>
              <w:widowControl w:val="0"/>
              <w:rPr>
                <w:b/>
                <w:bCs/>
                <w:sz w:val="20"/>
                <w:szCs w:val="20"/>
                <w:lang w:val="en-GB"/>
              </w:rPr>
            </w:pPr>
            <w:r w:rsidRPr="00E51CDD">
              <w:rPr>
                <w:b/>
                <w:bCs/>
                <w:sz w:val="20"/>
                <w:szCs w:val="20"/>
                <w:lang w:val="en-GB"/>
              </w:rPr>
              <w:t>Single application rate</w:t>
            </w:r>
            <w:r w:rsidRPr="00E51CDD">
              <w:rPr>
                <w:b/>
                <w:bCs/>
                <w:sz w:val="20"/>
                <w:szCs w:val="20"/>
                <w:lang w:val="en-GB"/>
              </w:rPr>
              <w:br/>
              <w:t>(g/ha)</w:t>
            </w:r>
          </w:p>
        </w:tc>
        <w:tc>
          <w:tcPr>
            <w:tcW w:w="1250" w:type="pct"/>
          </w:tcPr>
          <w:p w14:paraId="58109FB1" w14:textId="77777777" w:rsidR="00E51CDD" w:rsidRPr="00E51CDD" w:rsidRDefault="00E51CDD" w:rsidP="00E51CDD">
            <w:pPr>
              <w:widowControl w:val="0"/>
              <w:rPr>
                <w:b/>
                <w:bCs/>
                <w:sz w:val="20"/>
                <w:szCs w:val="20"/>
                <w:lang w:val="en-GB"/>
              </w:rPr>
            </w:pPr>
            <w:r w:rsidRPr="00E51CDD">
              <w:rPr>
                <w:b/>
                <w:bCs/>
                <w:sz w:val="20"/>
                <w:szCs w:val="20"/>
                <w:lang w:val="en-GB"/>
              </w:rPr>
              <w:t>Q</w:t>
            </w:r>
            <w:r w:rsidRPr="00E51CDD">
              <w:rPr>
                <w:b/>
                <w:bCs/>
                <w:sz w:val="20"/>
                <w:szCs w:val="20"/>
                <w:vertAlign w:val="subscript"/>
                <w:lang w:val="en-GB"/>
              </w:rPr>
              <w:t>HO</w:t>
            </w:r>
            <w:r w:rsidRPr="00E51CDD">
              <w:rPr>
                <w:b/>
                <w:bCs/>
                <w:sz w:val="20"/>
                <w:szCs w:val="20"/>
                <w:lang w:val="en-GB"/>
              </w:rPr>
              <w:t>, Q</w:t>
            </w:r>
            <w:r w:rsidRPr="00E51CDD">
              <w:rPr>
                <w:b/>
                <w:bCs/>
                <w:sz w:val="20"/>
                <w:szCs w:val="20"/>
                <w:vertAlign w:val="subscript"/>
                <w:lang w:val="en-GB"/>
              </w:rPr>
              <w:t>HC</w:t>
            </w:r>
            <w:r w:rsidRPr="00E51CDD">
              <w:rPr>
                <w:b/>
                <w:bCs/>
                <w:sz w:val="20"/>
                <w:szCs w:val="20"/>
                <w:vertAlign w:val="subscript"/>
                <w:lang w:val="en-GB"/>
              </w:rPr>
              <w:br/>
            </w:r>
            <w:r w:rsidRPr="00E51CDD">
              <w:rPr>
                <w:b/>
                <w:bCs/>
                <w:sz w:val="20"/>
                <w:szCs w:val="20"/>
                <w:lang w:val="en-GB"/>
              </w:rPr>
              <w:t>criterion: Q</w:t>
            </w:r>
            <w:r w:rsidRPr="00E51CDD">
              <w:rPr>
                <w:b/>
                <w:bCs/>
                <w:sz w:val="20"/>
                <w:szCs w:val="20"/>
                <w:vertAlign w:val="subscript"/>
                <w:lang w:val="en-GB"/>
              </w:rPr>
              <w:t>H</w:t>
            </w:r>
            <w:r w:rsidRPr="00E51CDD">
              <w:rPr>
                <w:b/>
                <w:bCs/>
                <w:sz w:val="20"/>
                <w:szCs w:val="20"/>
                <w:lang w:val="en-GB"/>
              </w:rPr>
              <w:t xml:space="preserve"> ≤ 50</w:t>
            </w:r>
          </w:p>
        </w:tc>
      </w:tr>
      <w:tr w:rsidR="00E51CDD" w:rsidRPr="00E51CDD" w14:paraId="232DDB50" w14:textId="77777777" w:rsidTr="009938D9">
        <w:tblPrEx>
          <w:tblLook w:val="01E0" w:firstRow="1" w:lastRow="1" w:firstColumn="1" w:lastColumn="1" w:noHBand="0" w:noVBand="0"/>
        </w:tblPrEx>
        <w:trPr>
          <w:cantSplit/>
        </w:trPr>
        <w:tc>
          <w:tcPr>
            <w:tcW w:w="1250" w:type="pct"/>
            <w:vAlign w:val="center"/>
          </w:tcPr>
          <w:p w14:paraId="5E771213" w14:textId="77777777" w:rsidR="00E51CDD" w:rsidRPr="00E51CDD" w:rsidRDefault="00E51CDD" w:rsidP="00E51CDD">
            <w:pPr>
              <w:widowControl w:val="0"/>
              <w:rPr>
                <w:noProof/>
                <w:sz w:val="20"/>
                <w:lang w:val="en-GB"/>
              </w:rPr>
            </w:pPr>
            <w:r w:rsidRPr="00E51CDD">
              <w:rPr>
                <w:noProof/>
                <w:sz w:val="20"/>
                <w:lang w:val="en-GB"/>
              </w:rPr>
              <w:t>Oral toxicity</w:t>
            </w:r>
          </w:p>
        </w:tc>
        <w:tc>
          <w:tcPr>
            <w:tcW w:w="1250" w:type="pct"/>
            <w:vAlign w:val="center"/>
          </w:tcPr>
          <w:p w14:paraId="18FD3CBE" w14:textId="77777777" w:rsidR="00E51CDD" w:rsidRPr="00E51CDD" w:rsidRDefault="00E51CDD" w:rsidP="00E51CDD">
            <w:pPr>
              <w:widowControl w:val="0"/>
              <w:rPr>
                <w:noProof/>
                <w:sz w:val="20"/>
                <w:szCs w:val="20"/>
                <w:lang w:val="en-GB"/>
              </w:rPr>
            </w:pPr>
            <w:r w:rsidRPr="00E51CDD">
              <w:rPr>
                <w:noProof/>
                <w:sz w:val="20"/>
                <w:szCs w:val="20"/>
                <w:lang w:val="en-GB"/>
              </w:rPr>
              <w:t>&gt; 25</w:t>
            </w:r>
          </w:p>
        </w:tc>
        <w:tc>
          <w:tcPr>
            <w:tcW w:w="1250" w:type="pct"/>
            <w:vMerge w:val="restart"/>
            <w:vAlign w:val="center"/>
          </w:tcPr>
          <w:p w14:paraId="461016B2" w14:textId="77777777" w:rsidR="00E51CDD" w:rsidRPr="00E51CDD" w:rsidRDefault="00E51CDD" w:rsidP="00E51CDD">
            <w:pPr>
              <w:widowControl w:val="0"/>
              <w:rPr>
                <w:noProof/>
                <w:sz w:val="20"/>
                <w:szCs w:val="20"/>
                <w:lang w:val="en-GB"/>
              </w:rPr>
            </w:pPr>
            <w:r w:rsidRPr="00E51CDD">
              <w:rPr>
                <w:noProof/>
                <w:sz w:val="20"/>
                <w:szCs w:val="20"/>
                <w:lang w:val="en-GB"/>
              </w:rPr>
              <w:t>150</w:t>
            </w:r>
          </w:p>
        </w:tc>
        <w:tc>
          <w:tcPr>
            <w:tcW w:w="1250" w:type="pct"/>
            <w:vAlign w:val="center"/>
          </w:tcPr>
          <w:p w14:paraId="7243840D" w14:textId="77777777" w:rsidR="00E51CDD" w:rsidRPr="00E51CDD" w:rsidRDefault="00E51CDD" w:rsidP="00E51CDD">
            <w:pPr>
              <w:widowControl w:val="0"/>
              <w:rPr>
                <w:noProof/>
                <w:sz w:val="20"/>
                <w:lang w:val="en-GB"/>
              </w:rPr>
            </w:pPr>
            <w:r w:rsidRPr="00E51CDD">
              <w:rPr>
                <w:noProof/>
                <w:sz w:val="20"/>
                <w:lang w:val="en-GB"/>
              </w:rPr>
              <w:t>&lt; 6.0</w:t>
            </w:r>
          </w:p>
        </w:tc>
      </w:tr>
      <w:tr w:rsidR="00E51CDD" w:rsidRPr="00E51CDD" w14:paraId="709F27C9" w14:textId="77777777" w:rsidTr="009938D9">
        <w:tblPrEx>
          <w:tblLook w:val="01E0" w:firstRow="1" w:lastRow="1" w:firstColumn="1" w:lastColumn="1" w:noHBand="0" w:noVBand="0"/>
        </w:tblPrEx>
        <w:trPr>
          <w:cantSplit/>
        </w:trPr>
        <w:tc>
          <w:tcPr>
            <w:tcW w:w="1250" w:type="pct"/>
            <w:vAlign w:val="center"/>
          </w:tcPr>
          <w:p w14:paraId="314357D1" w14:textId="77777777" w:rsidR="00E51CDD" w:rsidRPr="00E51CDD" w:rsidRDefault="00E51CDD" w:rsidP="00E51CDD">
            <w:pPr>
              <w:widowControl w:val="0"/>
              <w:rPr>
                <w:noProof/>
                <w:sz w:val="20"/>
                <w:lang w:val="en-GB"/>
              </w:rPr>
            </w:pPr>
            <w:r w:rsidRPr="00E51CDD">
              <w:rPr>
                <w:noProof/>
                <w:sz w:val="20"/>
                <w:lang w:val="en-GB"/>
              </w:rPr>
              <w:t>Contact toxicity</w:t>
            </w:r>
          </w:p>
        </w:tc>
        <w:tc>
          <w:tcPr>
            <w:tcW w:w="1250" w:type="pct"/>
            <w:vAlign w:val="center"/>
          </w:tcPr>
          <w:p w14:paraId="7F8CB8E6" w14:textId="77777777" w:rsidR="00E51CDD" w:rsidRPr="00E51CDD" w:rsidRDefault="00E51CDD" w:rsidP="00E51CDD">
            <w:pPr>
              <w:widowControl w:val="0"/>
              <w:rPr>
                <w:noProof/>
                <w:sz w:val="20"/>
                <w:szCs w:val="20"/>
                <w:lang w:val="en-GB"/>
              </w:rPr>
            </w:pPr>
            <w:r w:rsidRPr="00E51CDD">
              <w:rPr>
                <w:noProof/>
                <w:sz w:val="20"/>
                <w:szCs w:val="20"/>
                <w:lang w:val="en-GB"/>
              </w:rPr>
              <w:t>&gt; 200</w:t>
            </w:r>
          </w:p>
        </w:tc>
        <w:tc>
          <w:tcPr>
            <w:tcW w:w="1250" w:type="pct"/>
            <w:vMerge/>
            <w:vAlign w:val="center"/>
          </w:tcPr>
          <w:p w14:paraId="549E56CD" w14:textId="77777777" w:rsidR="00E51CDD" w:rsidRPr="00E51CDD" w:rsidRDefault="00E51CDD" w:rsidP="00E51CDD">
            <w:pPr>
              <w:widowControl w:val="0"/>
              <w:rPr>
                <w:noProof/>
                <w:sz w:val="20"/>
                <w:szCs w:val="20"/>
                <w:lang w:val="en-GB"/>
              </w:rPr>
            </w:pPr>
          </w:p>
        </w:tc>
        <w:tc>
          <w:tcPr>
            <w:tcW w:w="1250" w:type="pct"/>
            <w:vAlign w:val="center"/>
          </w:tcPr>
          <w:p w14:paraId="5974CB11" w14:textId="77777777" w:rsidR="00E51CDD" w:rsidRPr="00E51CDD" w:rsidRDefault="00E51CDD" w:rsidP="00E51CDD">
            <w:pPr>
              <w:widowControl w:val="0"/>
              <w:rPr>
                <w:noProof/>
                <w:sz w:val="20"/>
                <w:lang w:val="en-GB"/>
              </w:rPr>
            </w:pPr>
            <w:r w:rsidRPr="00E51CDD">
              <w:rPr>
                <w:noProof/>
                <w:sz w:val="20"/>
                <w:lang w:val="en-GB"/>
              </w:rPr>
              <w:t>&lt; 0.8</w:t>
            </w:r>
          </w:p>
        </w:tc>
      </w:tr>
    </w:tbl>
    <w:p w14:paraId="24C63758" w14:textId="77777777" w:rsidR="00E51CDD" w:rsidRPr="00E51CDD" w:rsidRDefault="00E51CDD" w:rsidP="00E51CDD">
      <w:pPr>
        <w:widowControl w:val="0"/>
        <w:tabs>
          <w:tab w:val="left" w:pos="425"/>
        </w:tabs>
        <w:ind w:left="425" w:hanging="425"/>
        <w:rPr>
          <w:noProof/>
          <w:sz w:val="18"/>
          <w:szCs w:val="18"/>
          <w:lang w:val="en-GB"/>
        </w:rPr>
      </w:pPr>
      <w:r w:rsidRPr="00E51CDD">
        <w:rPr>
          <w:noProof/>
          <w:sz w:val="18"/>
          <w:szCs w:val="18"/>
          <w:lang w:val="en-GB"/>
        </w:rPr>
        <w:t>Q</w:t>
      </w:r>
      <w:r w:rsidRPr="00E51CDD">
        <w:rPr>
          <w:noProof/>
          <w:sz w:val="18"/>
          <w:szCs w:val="18"/>
          <w:vertAlign w:val="subscript"/>
          <w:lang w:val="en-GB"/>
        </w:rPr>
        <w:t>HO</w:t>
      </w:r>
      <w:r w:rsidRPr="00E51CDD">
        <w:rPr>
          <w:noProof/>
          <w:sz w:val="18"/>
          <w:szCs w:val="18"/>
          <w:lang w:val="en-GB"/>
        </w:rPr>
        <w:t>, Q</w:t>
      </w:r>
      <w:r w:rsidRPr="00E51CDD">
        <w:rPr>
          <w:noProof/>
          <w:sz w:val="18"/>
          <w:szCs w:val="18"/>
          <w:vertAlign w:val="subscript"/>
          <w:lang w:val="en-GB"/>
        </w:rPr>
        <w:t>HC</w:t>
      </w:r>
      <w:r w:rsidRPr="00E51CDD">
        <w:rPr>
          <w:noProof/>
          <w:sz w:val="18"/>
          <w:szCs w:val="18"/>
          <w:lang w:val="en-GB"/>
        </w:rPr>
        <w:t>: Hazard quotients for oral and contact exposure.</w:t>
      </w:r>
    </w:p>
    <w:p w14:paraId="6345DF0B" w14:textId="0DF48E73" w:rsidR="00E51CDD" w:rsidRDefault="00E51CDD" w:rsidP="00E51CDD">
      <w:pPr>
        <w:widowControl w:val="0"/>
        <w:ind w:left="284" w:hanging="284"/>
        <w:jc w:val="both"/>
        <w:rPr>
          <w:lang w:val="en-GB"/>
        </w:rPr>
      </w:pPr>
    </w:p>
    <w:p w14:paraId="7A097D88" w14:textId="77777777" w:rsidR="009938D9" w:rsidRPr="00E51CDD" w:rsidRDefault="009938D9" w:rsidP="00E51CDD">
      <w:pPr>
        <w:widowControl w:val="0"/>
        <w:ind w:left="284" w:hanging="284"/>
        <w:jc w:val="both"/>
        <w:rPr>
          <w:lang w:val="en-GB"/>
        </w:rPr>
      </w:pPr>
    </w:p>
    <w:p w14:paraId="0A8A8C0E" w14:textId="0BB3001D" w:rsidR="00E51CDD" w:rsidRPr="00E51CDD" w:rsidRDefault="00E51CDD" w:rsidP="00E51CDD">
      <w:pPr>
        <w:keepNext/>
        <w:keepLines/>
        <w:widowControl w:val="0"/>
        <w:tabs>
          <w:tab w:val="left" w:pos="1985"/>
        </w:tabs>
        <w:spacing w:before="200"/>
        <w:ind w:left="1985" w:hanging="1985"/>
        <w:jc w:val="both"/>
        <w:rPr>
          <w:b/>
          <w:bCs/>
          <w:lang w:val="en-GB"/>
        </w:rPr>
      </w:pPr>
      <w:bookmarkStart w:id="593" w:name="_Ref516229758"/>
      <w:r w:rsidRPr="00E51CDD">
        <w:rPr>
          <w:b/>
          <w:bCs/>
          <w:lang w:val="en-GB"/>
        </w:rPr>
        <w:t xml:space="preserve">Table </w:t>
      </w:r>
      <w:r w:rsidRPr="00E51CDD">
        <w:rPr>
          <w:b/>
          <w:bCs/>
          <w:lang w:val="en-GB"/>
        </w:rPr>
        <w:fldChar w:fldCharType="begin"/>
      </w:r>
      <w:r w:rsidRPr="00E51CDD">
        <w:rPr>
          <w:b/>
          <w:bCs/>
          <w:lang w:val="en-GB"/>
        </w:rPr>
        <w:instrText xml:space="preserve"> STYLEREF 2 \s </w:instrText>
      </w:r>
      <w:r w:rsidRPr="00E51CDD">
        <w:rPr>
          <w:b/>
          <w:bCs/>
          <w:lang w:val="en-GB"/>
        </w:rPr>
        <w:fldChar w:fldCharType="separate"/>
      </w:r>
      <w:r w:rsidR="00662F32">
        <w:rPr>
          <w:b/>
          <w:bCs/>
          <w:noProof/>
          <w:lang w:val="en-GB"/>
        </w:rPr>
        <w:t>9.6</w:t>
      </w:r>
      <w:r w:rsidRPr="00E51CDD">
        <w:rPr>
          <w:b/>
          <w:bCs/>
          <w:lang w:val="en-GB"/>
        </w:rPr>
        <w:fldChar w:fldCharType="end"/>
      </w:r>
      <w:r w:rsidRPr="00E51CDD">
        <w:rPr>
          <w:b/>
          <w:bCs/>
          <w:lang w:val="en-GB"/>
        </w:rPr>
        <w:noBreakHyphen/>
      </w:r>
      <w:r w:rsidRPr="00E51CDD">
        <w:rPr>
          <w:b/>
          <w:bCs/>
          <w:lang w:val="en-GB"/>
        </w:rPr>
        <w:fldChar w:fldCharType="begin"/>
      </w:r>
      <w:r w:rsidRPr="00E51CDD">
        <w:rPr>
          <w:b/>
          <w:bCs/>
          <w:lang w:val="en-GB"/>
        </w:rPr>
        <w:instrText xml:space="preserve"> SEQ Table \* ARABIC \s 2 </w:instrText>
      </w:r>
      <w:r w:rsidRPr="00E51CDD">
        <w:rPr>
          <w:b/>
          <w:bCs/>
          <w:lang w:val="en-GB"/>
        </w:rPr>
        <w:fldChar w:fldCharType="separate"/>
      </w:r>
      <w:r w:rsidR="00662F32">
        <w:rPr>
          <w:b/>
          <w:bCs/>
          <w:noProof/>
          <w:lang w:val="en-GB"/>
        </w:rPr>
        <w:t>6</w:t>
      </w:r>
      <w:r w:rsidRPr="00E51CDD">
        <w:rPr>
          <w:b/>
          <w:bCs/>
          <w:lang w:val="en-GB"/>
        </w:rPr>
        <w:fldChar w:fldCharType="end"/>
      </w:r>
      <w:bookmarkEnd w:id="593"/>
      <w:r w:rsidRPr="00E51CDD">
        <w:rPr>
          <w:bCs/>
          <w:vertAlign w:val="superscript"/>
          <w:lang w:val="en-GB"/>
        </w:rPr>
        <w:t>:</w:t>
      </w:r>
      <w:r w:rsidRPr="00E51CDD">
        <w:rPr>
          <w:bCs/>
          <w:vertAlign w:val="superscript"/>
          <w:lang w:val="en-GB"/>
        </w:rPr>
        <w:tab/>
      </w:r>
      <w:r w:rsidRPr="00E51CDD">
        <w:rPr>
          <w:b/>
          <w:bCs/>
          <w:lang w:val="en-GB"/>
        </w:rPr>
        <w:t xml:space="preserve">First-tier assessment of the risk for bees due to the use of BAS 736 00 F </w:t>
      </w:r>
      <w:r w:rsidRPr="00E51CDD">
        <w:rPr>
          <w:b/>
          <w:bCs/>
        </w:rPr>
        <w:t>according to the proposed use pattern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337"/>
        <w:gridCol w:w="2336"/>
        <w:gridCol w:w="2336"/>
        <w:gridCol w:w="2336"/>
      </w:tblGrid>
      <w:tr w:rsidR="00E51CDD" w:rsidRPr="00E51CDD" w14:paraId="352582B9" w14:textId="77777777" w:rsidTr="009938D9">
        <w:trPr>
          <w:cantSplit/>
        </w:trPr>
        <w:tc>
          <w:tcPr>
            <w:tcW w:w="1250" w:type="pct"/>
            <w:tcBorders>
              <w:bottom w:val="single" w:sz="4" w:space="0" w:color="auto"/>
            </w:tcBorders>
          </w:tcPr>
          <w:p w14:paraId="002BAD83" w14:textId="77777777" w:rsidR="00E51CDD" w:rsidRPr="00E51CDD" w:rsidRDefault="00E51CDD" w:rsidP="00E51CDD">
            <w:pPr>
              <w:widowControl w:val="0"/>
              <w:rPr>
                <w:b/>
                <w:bCs/>
                <w:sz w:val="20"/>
                <w:szCs w:val="20"/>
                <w:lang w:val="en-GB"/>
              </w:rPr>
            </w:pPr>
            <w:r w:rsidRPr="00E51CDD">
              <w:rPr>
                <w:b/>
                <w:bCs/>
                <w:sz w:val="20"/>
                <w:szCs w:val="20"/>
                <w:lang w:val="en-GB"/>
              </w:rPr>
              <w:t>Intended use</w:t>
            </w:r>
          </w:p>
        </w:tc>
        <w:tc>
          <w:tcPr>
            <w:tcW w:w="3750" w:type="pct"/>
            <w:gridSpan w:val="3"/>
            <w:tcBorders>
              <w:bottom w:val="single" w:sz="4" w:space="0" w:color="auto"/>
            </w:tcBorders>
          </w:tcPr>
          <w:p w14:paraId="26AC2573" w14:textId="77777777" w:rsidR="00E51CDD" w:rsidRPr="00E51CDD" w:rsidRDefault="00E51CDD" w:rsidP="00E51CDD">
            <w:pPr>
              <w:widowControl w:val="0"/>
              <w:rPr>
                <w:noProof/>
                <w:sz w:val="20"/>
                <w:lang w:val="en-GB"/>
              </w:rPr>
            </w:pPr>
            <w:r w:rsidRPr="00E51CDD">
              <w:rPr>
                <w:noProof/>
                <w:sz w:val="20"/>
                <w:lang w:val="en-GB"/>
              </w:rPr>
              <w:t>cereals</w:t>
            </w:r>
          </w:p>
        </w:tc>
      </w:tr>
      <w:tr w:rsidR="00E51CDD" w:rsidRPr="00E51CDD" w14:paraId="169D6D3A" w14:textId="77777777" w:rsidTr="009938D9">
        <w:trPr>
          <w:cantSplit/>
        </w:trPr>
        <w:tc>
          <w:tcPr>
            <w:tcW w:w="1250" w:type="pct"/>
            <w:tcBorders>
              <w:top w:val="single" w:sz="4" w:space="0" w:color="auto"/>
              <w:bottom w:val="single" w:sz="4" w:space="0" w:color="auto"/>
            </w:tcBorders>
          </w:tcPr>
          <w:p w14:paraId="7B14C22E" w14:textId="77777777" w:rsidR="00E51CDD" w:rsidRPr="00E51CDD" w:rsidRDefault="00E51CDD" w:rsidP="00E51CDD">
            <w:pPr>
              <w:widowControl w:val="0"/>
              <w:rPr>
                <w:b/>
                <w:bCs/>
                <w:sz w:val="20"/>
                <w:szCs w:val="20"/>
                <w:lang w:val="en-GB"/>
              </w:rPr>
            </w:pPr>
            <w:r w:rsidRPr="00E51CDD">
              <w:rPr>
                <w:b/>
                <w:bCs/>
                <w:sz w:val="20"/>
                <w:szCs w:val="20"/>
                <w:lang w:val="en-GB"/>
              </w:rPr>
              <w:t>Product</w:t>
            </w:r>
          </w:p>
        </w:tc>
        <w:tc>
          <w:tcPr>
            <w:tcW w:w="3750" w:type="pct"/>
            <w:gridSpan w:val="3"/>
            <w:tcBorders>
              <w:top w:val="single" w:sz="4" w:space="0" w:color="auto"/>
              <w:bottom w:val="single" w:sz="4" w:space="0" w:color="auto"/>
            </w:tcBorders>
          </w:tcPr>
          <w:p w14:paraId="666A49C8" w14:textId="77777777" w:rsidR="00E51CDD" w:rsidRPr="00E51CDD" w:rsidRDefault="00E51CDD" w:rsidP="00E51CDD">
            <w:pPr>
              <w:widowControl w:val="0"/>
              <w:rPr>
                <w:noProof/>
                <w:sz w:val="20"/>
                <w:lang w:val="en-GB"/>
              </w:rPr>
            </w:pPr>
            <w:r w:rsidRPr="00E51CDD">
              <w:rPr>
                <w:noProof/>
                <w:sz w:val="20"/>
                <w:szCs w:val="20"/>
                <w:lang w:val="en-GB"/>
              </w:rPr>
              <w:t>BAS 736 00 F</w:t>
            </w:r>
          </w:p>
        </w:tc>
      </w:tr>
      <w:tr w:rsidR="00E51CDD" w:rsidRPr="00E51CDD" w14:paraId="01BB03E3" w14:textId="77777777" w:rsidTr="009938D9">
        <w:trPr>
          <w:cantSplit/>
        </w:trPr>
        <w:tc>
          <w:tcPr>
            <w:tcW w:w="1250" w:type="pct"/>
            <w:tcBorders>
              <w:top w:val="single" w:sz="4" w:space="0" w:color="auto"/>
            </w:tcBorders>
          </w:tcPr>
          <w:p w14:paraId="30740F4E" w14:textId="77777777" w:rsidR="00E51CDD" w:rsidRPr="00E51CDD" w:rsidRDefault="00E51CDD" w:rsidP="00E51CDD">
            <w:pPr>
              <w:widowControl w:val="0"/>
              <w:rPr>
                <w:b/>
                <w:bCs/>
                <w:sz w:val="20"/>
                <w:szCs w:val="20"/>
                <w:lang w:val="en-GB"/>
              </w:rPr>
            </w:pPr>
            <w:r w:rsidRPr="00E51CDD">
              <w:rPr>
                <w:b/>
                <w:bCs/>
                <w:sz w:val="20"/>
                <w:szCs w:val="20"/>
                <w:lang w:val="en-GB"/>
              </w:rPr>
              <w:t>Application rate (L/ha)</w:t>
            </w:r>
          </w:p>
        </w:tc>
        <w:tc>
          <w:tcPr>
            <w:tcW w:w="3750" w:type="pct"/>
            <w:gridSpan w:val="3"/>
            <w:tcBorders>
              <w:top w:val="single" w:sz="4" w:space="0" w:color="auto"/>
            </w:tcBorders>
          </w:tcPr>
          <w:p w14:paraId="6F7BF6E1" w14:textId="77777777" w:rsidR="00E51CDD" w:rsidRPr="00E51CDD" w:rsidRDefault="00E51CDD" w:rsidP="00E51CDD">
            <w:pPr>
              <w:widowControl w:val="0"/>
              <w:rPr>
                <w:noProof/>
                <w:sz w:val="20"/>
                <w:lang w:val="en-GB"/>
              </w:rPr>
            </w:pPr>
            <w:r w:rsidRPr="00E51CDD">
              <w:rPr>
                <w:noProof/>
                <w:sz w:val="20"/>
                <w:szCs w:val="20"/>
                <w:lang w:val="en-GB"/>
              </w:rPr>
              <w:t>2 x 2.0</w:t>
            </w:r>
          </w:p>
        </w:tc>
      </w:tr>
      <w:tr w:rsidR="00E51CDD" w:rsidRPr="00E51CDD" w14:paraId="082E59BB" w14:textId="77777777" w:rsidTr="009938D9">
        <w:tblPrEx>
          <w:tblLook w:val="01E0" w:firstRow="1" w:lastRow="1" w:firstColumn="1" w:lastColumn="1" w:noHBand="0" w:noVBand="0"/>
        </w:tblPrEx>
        <w:trPr>
          <w:cantSplit/>
        </w:trPr>
        <w:tc>
          <w:tcPr>
            <w:tcW w:w="1250" w:type="pct"/>
          </w:tcPr>
          <w:p w14:paraId="7E90CF89" w14:textId="77777777" w:rsidR="00E51CDD" w:rsidRPr="00E51CDD" w:rsidRDefault="00E51CDD" w:rsidP="00E51CDD">
            <w:pPr>
              <w:widowControl w:val="0"/>
              <w:rPr>
                <w:b/>
                <w:bCs/>
                <w:sz w:val="20"/>
                <w:szCs w:val="20"/>
                <w:lang w:val="en-GB"/>
              </w:rPr>
            </w:pPr>
            <w:r w:rsidRPr="00E51CDD">
              <w:rPr>
                <w:b/>
                <w:bCs/>
                <w:sz w:val="20"/>
                <w:szCs w:val="20"/>
                <w:lang w:val="en-GB"/>
              </w:rPr>
              <w:t>Test design</w:t>
            </w:r>
          </w:p>
        </w:tc>
        <w:tc>
          <w:tcPr>
            <w:tcW w:w="1250" w:type="pct"/>
          </w:tcPr>
          <w:p w14:paraId="1476C431" w14:textId="77777777" w:rsidR="00E51CDD" w:rsidRPr="00E51CDD" w:rsidRDefault="00E51CDD" w:rsidP="00E51CDD">
            <w:pPr>
              <w:widowControl w:val="0"/>
              <w:rPr>
                <w:b/>
                <w:bCs/>
                <w:sz w:val="20"/>
                <w:szCs w:val="20"/>
                <w:lang w:val="en-GB"/>
              </w:rPr>
            </w:pPr>
            <w:r w:rsidRPr="00E51CDD">
              <w:rPr>
                <w:b/>
                <w:bCs/>
                <w:sz w:val="20"/>
                <w:szCs w:val="20"/>
                <w:lang w:val="en-GB"/>
              </w:rPr>
              <w:t>LD</w:t>
            </w:r>
            <w:r w:rsidRPr="00E51CDD">
              <w:rPr>
                <w:b/>
                <w:bCs/>
                <w:sz w:val="20"/>
                <w:szCs w:val="20"/>
                <w:vertAlign w:val="subscript"/>
                <w:lang w:val="en-GB"/>
              </w:rPr>
              <w:t>50</w:t>
            </w:r>
            <w:r w:rsidRPr="00E51CDD">
              <w:rPr>
                <w:b/>
                <w:bCs/>
                <w:sz w:val="20"/>
                <w:szCs w:val="20"/>
                <w:lang w:val="en-GB"/>
              </w:rPr>
              <w:t xml:space="preserve"> (lab.)</w:t>
            </w:r>
            <w:r w:rsidRPr="00E51CDD">
              <w:rPr>
                <w:b/>
                <w:bCs/>
                <w:sz w:val="20"/>
                <w:szCs w:val="20"/>
                <w:lang w:val="en-GB"/>
              </w:rPr>
              <w:br/>
              <w:t>(µg/bee)</w:t>
            </w:r>
          </w:p>
        </w:tc>
        <w:tc>
          <w:tcPr>
            <w:tcW w:w="1250" w:type="pct"/>
          </w:tcPr>
          <w:p w14:paraId="2B515B4D" w14:textId="77777777" w:rsidR="00E51CDD" w:rsidRPr="00E51CDD" w:rsidRDefault="00E51CDD" w:rsidP="00E51CDD">
            <w:pPr>
              <w:widowControl w:val="0"/>
              <w:rPr>
                <w:b/>
                <w:bCs/>
                <w:sz w:val="20"/>
                <w:szCs w:val="20"/>
                <w:lang w:val="en-GB"/>
              </w:rPr>
            </w:pPr>
            <w:r w:rsidRPr="00E51CDD">
              <w:rPr>
                <w:b/>
                <w:bCs/>
                <w:sz w:val="20"/>
                <w:szCs w:val="20"/>
                <w:lang w:val="en-GB"/>
              </w:rPr>
              <w:t>Single application rate</w:t>
            </w:r>
            <w:r w:rsidRPr="00E51CDD">
              <w:rPr>
                <w:b/>
                <w:bCs/>
                <w:sz w:val="20"/>
                <w:szCs w:val="20"/>
                <w:lang w:val="en-GB"/>
              </w:rPr>
              <w:br/>
              <w:t>(g/ha)</w:t>
            </w:r>
          </w:p>
        </w:tc>
        <w:tc>
          <w:tcPr>
            <w:tcW w:w="1250" w:type="pct"/>
          </w:tcPr>
          <w:p w14:paraId="6B286818" w14:textId="77777777" w:rsidR="00E51CDD" w:rsidRPr="00E51CDD" w:rsidRDefault="00E51CDD" w:rsidP="00E51CDD">
            <w:pPr>
              <w:widowControl w:val="0"/>
              <w:rPr>
                <w:b/>
                <w:bCs/>
                <w:sz w:val="20"/>
                <w:szCs w:val="20"/>
                <w:lang w:val="en-GB"/>
              </w:rPr>
            </w:pPr>
            <w:r w:rsidRPr="00E51CDD">
              <w:rPr>
                <w:b/>
                <w:bCs/>
                <w:sz w:val="20"/>
                <w:szCs w:val="20"/>
                <w:lang w:val="en-GB"/>
              </w:rPr>
              <w:t>Q</w:t>
            </w:r>
            <w:r w:rsidRPr="00E51CDD">
              <w:rPr>
                <w:b/>
                <w:bCs/>
                <w:sz w:val="20"/>
                <w:szCs w:val="20"/>
                <w:vertAlign w:val="subscript"/>
                <w:lang w:val="en-GB"/>
              </w:rPr>
              <w:t>HO</w:t>
            </w:r>
            <w:r w:rsidRPr="00E51CDD">
              <w:rPr>
                <w:b/>
                <w:bCs/>
                <w:sz w:val="20"/>
                <w:szCs w:val="20"/>
                <w:lang w:val="en-GB"/>
              </w:rPr>
              <w:t>, Q</w:t>
            </w:r>
            <w:r w:rsidRPr="00E51CDD">
              <w:rPr>
                <w:b/>
                <w:bCs/>
                <w:sz w:val="20"/>
                <w:szCs w:val="20"/>
                <w:vertAlign w:val="subscript"/>
                <w:lang w:val="en-GB"/>
              </w:rPr>
              <w:t>HC</w:t>
            </w:r>
            <w:r w:rsidRPr="00E51CDD">
              <w:rPr>
                <w:b/>
                <w:bCs/>
                <w:sz w:val="20"/>
                <w:szCs w:val="20"/>
                <w:vertAlign w:val="subscript"/>
                <w:lang w:val="en-GB"/>
              </w:rPr>
              <w:br/>
            </w:r>
            <w:r w:rsidRPr="00E51CDD">
              <w:rPr>
                <w:b/>
                <w:bCs/>
                <w:sz w:val="20"/>
                <w:szCs w:val="20"/>
                <w:lang w:val="en-GB"/>
              </w:rPr>
              <w:t>criterion: Q</w:t>
            </w:r>
            <w:r w:rsidRPr="00E51CDD">
              <w:rPr>
                <w:b/>
                <w:bCs/>
                <w:sz w:val="20"/>
                <w:szCs w:val="20"/>
                <w:vertAlign w:val="subscript"/>
                <w:lang w:val="en-GB"/>
              </w:rPr>
              <w:t>H</w:t>
            </w:r>
            <w:r w:rsidRPr="00E51CDD">
              <w:rPr>
                <w:b/>
                <w:bCs/>
                <w:sz w:val="20"/>
                <w:szCs w:val="20"/>
                <w:lang w:val="en-GB"/>
              </w:rPr>
              <w:t xml:space="preserve"> ≤ 50</w:t>
            </w:r>
          </w:p>
        </w:tc>
      </w:tr>
      <w:tr w:rsidR="00E51CDD" w:rsidRPr="00E51CDD" w14:paraId="08B593A0" w14:textId="77777777" w:rsidTr="009938D9">
        <w:tblPrEx>
          <w:tblLook w:val="01E0" w:firstRow="1" w:lastRow="1" w:firstColumn="1" w:lastColumn="1" w:noHBand="0" w:noVBand="0"/>
        </w:tblPrEx>
        <w:trPr>
          <w:cantSplit/>
        </w:trPr>
        <w:tc>
          <w:tcPr>
            <w:tcW w:w="1250" w:type="pct"/>
            <w:vAlign w:val="center"/>
          </w:tcPr>
          <w:p w14:paraId="75351BE5" w14:textId="77777777" w:rsidR="00E51CDD" w:rsidRPr="00E51CDD" w:rsidRDefault="00E51CDD" w:rsidP="00E51CDD">
            <w:pPr>
              <w:widowControl w:val="0"/>
              <w:rPr>
                <w:noProof/>
                <w:sz w:val="20"/>
                <w:lang w:val="en-GB"/>
              </w:rPr>
            </w:pPr>
            <w:r w:rsidRPr="00E51CDD">
              <w:rPr>
                <w:noProof/>
                <w:sz w:val="20"/>
                <w:lang w:val="en-GB"/>
              </w:rPr>
              <w:t>Oral toxicity</w:t>
            </w:r>
          </w:p>
        </w:tc>
        <w:tc>
          <w:tcPr>
            <w:tcW w:w="1250" w:type="pct"/>
            <w:vAlign w:val="center"/>
          </w:tcPr>
          <w:p w14:paraId="117C0C8A" w14:textId="77777777" w:rsidR="00E51CDD" w:rsidRPr="00E51CDD" w:rsidRDefault="00E51CDD" w:rsidP="00E51CDD">
            <w:pPr>
              <w:widowControl w:val="0"/>
              <w:rPr>
                <w:noProof/>
                <w:sz w:val="20"/>
                <w:szCs w:val="20"/>
                <w:lang w:val="en-GB"/>
              </w:rPr>
            </w:pPr>
            <w:r w:rsidRPr="00E51CDD">
              <w:rPr>
                <w:noProof/>
                <w:sz w:val="20"/>
                <w:szCs w:val="20"/>
                <w:lang w:val="en-GB"/>
              </w:rPr>
              <w:t>&gt; 432</w:t>
            </w:r>
          </w:p>
        </w:tc>
        <w:tc>
          <w:tcPr>
            <w:tcW w:w="1250" w:type="pct"/>
            <w:vMerge w:val="restart"/>
            <w:vAlign w:val="center"/>
          </w:tcPr>
          <w:p w14:paraId="5EF9D6C8" w14:textId="77777777" w:rsidR="00E51CDD" w:rsidRPr="00E51CDD" w:rsidRDefault="00E51CDD" w:rsidP="00E51CDD">
            <w:pPr>
              <w:widowControl w:val="0"/>
              <w:rPr>
                <w:noProof/>
                <w:sz w:val="20"/>
                <w:szCs w:val="20"/>
                <w:vertAlign w:val="superscript"/>
                <w:lang w:val="en-GB"/>
              </w:rPr>
            </w:pPr>
            <w:r w:rsidRPr="00E51CDD">
              <w:rPr>
                <w:noProof/>
                <w:sz w:val="20"/>
                <w:szCs w:val="20"/>
                <w:lang w:val="en-GB"/>
              </w:rPr>
              <w:t xml:space="preserve">2156 </w:t>
            </w:r>
            <w:r w:rsidRPr="00E51CDD">
              <w:rPr>
                <w:noProof/>
                <w:sz w:val="20"/>
                <w:szCs w:val="20"/>
                <w:vertAlign w:val="superscript"/>
                <w:lang w:val="en-GB"/>
              </w:rPr>
              <w:t>1)</w:t>
            </w:r>
          </w:p>
        </w:tc>
        <w:tc>
          <w:tcPr>
            <w:tcW w:w="1250" w:type="pct"/>
            <w:vAlign w:val="center"/>
          </w:tcPr>
          <w:p w14:paraId="31B1AFE4" w14:textId="77777777" w:rsidR="00E51CDD" w:rsidRPr="00E51CDD" w:rsidRDefault="00E51CDD" w:rsidP="00E51CDD">
            <w:pPr>
              <w:widowControl w:val="0"/>
              <w:rPr>
                <w:noProof/>
                <w:sz w:val="20"/>
                <w:lang w:val="en-GB"/>
              </w:rPr>
            </w:pPr>
            <w:r w:rsidRPr="00E51CDD">
              <w:rPr>
                <w:noProof/>
                <w:sz w:val="20"/>
                <w:lang w:val="en-GB"/>
              </w:rPr>
              <w:t>&lt; 5.0</w:t>
            </w:r>
          </w:p>
        </w:tc>
      </w:tr>
      <w:tr w:rsidR="00E51CDD" w:rsidRPr="00E51CDD" w14:paraId="0488951C" w14:textId="77777777" w:rsidTr="009938D9">
        <w:tblPrEx>
          <w:tblLook w:val="01E0" w:firstRow="1" w:lastRow="1" w:firstColumn="1" w:lastColumn="1" w:noHBand="0" w:noVBand="0"/>
        </w:tblPrEx>
        <w:trPr>
          <w:cantSplit/>
        </w:trPr>
        <w:tc>
          <w:tcPr>
            <w:tcW w:w="1250" w:type="pct"/>
            <w:vAlign w:val="center"/>
          </w:tcPr>
          <w:p w14:paraId="38ED13C7" w14:textId="77777777" w:rsidR="00E51CDD" w:rsidRPr="00E51CDD" w:rsidRDefault="00E51CDD" w:rsidP="00E51CDD">
            <w:pPr>
              <w:widowControl w:val="0"/>
              <w:rPr>
                <w:noProof/>
                <w:sz w:val="20"/>
                <w:lang w:val="en-GB"/>
              </w:rPr>
            </w:pPr>
            <w:r w:rsidRPr="00E51CDD">
              <w:rPr>
                <w:noProof/>
                <w:sz w:val="20"/>
                <w:lang w:val="en-GB"/>
              </w:rPr>
              <w:t>Contact toxicity</w:t>
            </w:r>
          </w:p>
        </w:tc>
        <w:tc>
          <w:tcPr>
            <w:tcW w:w="1250" w:type="pct"/>
            <w:vAlign w:val="center"/>
          </w:tcPr>
          <w:p w14:paraId="7A1C8B09" w14:textId="77777777" w:rsidR="00E51CDD" w:rsidRPr="00E51CDD" w:rsidRDefault="00E51CDD" w:rsidP="00E51CDD">
            <w:pPr>
              <w:widowControl w:val="0"/>
              <w:rPr>
                <w:noProof/>
                <w:sz w:val="20"/>
                <w:szCs w:val="20"/>
                <w:lang w:val="en-GB"/>
              </w:rPr>
            </w:pPr>
            <w:r w:rsidRPr="00E51CDD">
              <w:rPr>
                <w:noProof/>
                <w:sz w:val="20"/>
                <w:szCs w:val="20"/>
                <w:lang w:val="en-GB"/>
              </w:rPr>
              <w:t>&gt; 1000</w:t>
            </w:r>
          </w:p>
        </w:tc>
        <w:tc>
          <w:tcPr>
            <w:tcW w:w="1250" w:type="pct"/>
            <w:vMerge/>
            <w:vAlign w:val="center"/>
          </w:tcPr>
          <w:p w14:paraId="340EDEFE" w14:textId="77777777" w:rsidR="00E51CDD" w:rsidRPr="00E51CDD" w:rsidRDefault="00E51CDD" w:rsidP="00E51CDD">
            <w:pPr>
              <w:widowControl w:val="0"/>
              <w:rPr>
                <w:noProof/>
                <w:sz w:val="20"/>
                <w:szCs w:val="20"/>
                <w:lang w:val="en-GB"/>
              </w:rPr>
            </w:pPr>
          </w:p>
        </w:tc>
        <w:tc>
          <w:tcPr>
            <w:tcW w:w="1250" w:type="pct"/>
            <w:vAlign w:val="center"/>
          </w:tcPr>
          <w:p w14:paraId="398D8087" w14:textId="77777777" w:rsidR="00E51CDD" w:rsidRPr="00E51CDD" w:rsidRDefault="00E51CDD" w:rsidP="00E51CDD">
            <w:pPr>
              <w:widowControl w:val="0"/>
              <w:rPr>
                <w:noProof/>
                <w:sz w:val="20"/>
                <w:lang w:val="en-GB"/>
              </w:rPr>
            </w:pPr>
            <w:r w:rsidRPr="00E51CDD">
              <w:rPr>
                <w:noProof/>
                <w:sz w:val="20"/>
                <w:lang w:val="en-GB"/>
              </w:rPr>
              <w:t>&lt; 2.2</w:t>
            </w:r>
          </w:p>
        </w:tc>
      </w:tr>
    </w:tbl>
    <w:p w14:paraId="06CD1364" w14:textId="3AE702A6" w:rsidR="00E51CDD" w:rsidRPr="00E51CDD" w:rsidRDefault="00E51CDD" w:rsidP="00E51CDD">
      <w:pPr>
        <w:widowControl w:val="0"/>
        <w:tabs>
          <w:tab w:val="left" w:pos="425"/>
        </w:tabs>
        <w:ind w:left="425" w:hanging="425"/>
        <w:rPr>
          <w:noProof/>
          <w:sz w:val="18"/>
          <w:szCs w:val="18"/>
          <w:lang w:val="en-GB"/>
        </w:rPr>
      </w:pPr>
      <w:r w:rsidRPr="00E51CDD">
        <w:rPr>
          <w:noProof/>
          <w:sz w:val="18"/>
          <w:szCs w:val="18"/>
          <w:lang w:val="en-GB"/>
        </w:rPr>
        <w:t>Q</w:t>
      </w:r>
      <w:r w:rsidRPr="00E51CDD">
        <w:rPr>
          <w:noProof/>
          <w:sz w:val="18"/>
          <w:szCs w:val="18"/>
          <w:vertAlign w:val="subscript"/>
          <w:lang w:val="en-GB"/>
        </w:rPr>
        <w:t>HO</w:t>
      </w:r>
      <w:r w:rsidRPr="00E51CDD">
        <w:rPr>
          <w:noProof/>
          <w:sz w:val="18"/>
          <w:szCs w:val="18"/>
          <w:lang w:val="en-GB"/>
        </w:rPr>
        <w:t>, Q</w:t>
      </w:r>
      <w:r w:rsidRPr="00E51CDD">
        <w:rPr>
          <w:noProof/>
          <w:sz w:val="18"/>
          <w:szCs w:val="18"/>
          <w:vertAlign w:val="subscript"/>
          <w:lang w:val="en-GB"/>
        </w:rPr>
        <w:t>HC</w:t>
      </w:r>
      <w:r w:rsidRPr="00E51CDD">
        <w:rPr>
          <w:noProof/>
          <w:sz w:val="18"/>
          <w:szCs w:val="18"/>
          <w:lang w:val="en-GB"/>
        </w:rPr>
        <w:t>: Hazard quotients for oral and contact exposure.</w:t>
      </w:r>
    </w:p>
    <w:p w14:paraId="046D89FF" w14:textId="77777777" w:rsidR="00E51CDD" w:rsidRPr="00E51CDD" w:rsidRDefault="00E51CDD" w:rsidP="00E51CDD">
      <w:pPr>
        <w:widowControl w:val="0"/>
        <w:ind w:left="284" w:hanging="284"/>
        <w:jc w:val="both"/>
        <w:rPr>
          <w:sz w:val="18"/>
          <w:lang w:val="en-GB"/>
        </w:rPr>
      </w:pPr>
      <w:r w:rsidRPr="00E51CDD">
        <w:rPr>
          <w:sz w:val="18"/>
          <w:vertAlign w:val="superscript"/>
          <w:lang w:val="en-GB"/>
        </w:rPr>
        <w:t>1)</w:t>
      </w:r>
      <w:r w:rsidRPr="00E51CDD">
        <w:rPr>
          <w:sz w:val="18"/>
          <w:vertAlign w:val="superscript"/>
          <w:lang w:val="en-GB"/>
        </w:rPr>
        <w:tab/>
      </w:r>
      <w:r w:rsidRPr="00E51CDD">
        <w:rPr>
          <w:sz w:val="18"/>
          <w:lang w:val="en-GB"/>
        </w:rPr>
        <w:t>Taking into account a single application of 2.0 L product/ha and the density of BAS 736 00 F of 1.078 g/cm</w:t>
      </w:r>
      <w:r w:rsidRPr="00E51CDD">
        <w:rPr>
          <w:sz w:val="18"/>
          <w:vertAlign w:val="superscript"/>
          <w:lang w:val="en-GB"/>
        </w:rPr>
        <w:t>3</w:t>
      </w:r>
      <w:r w:rsidRPr="00E51CDD">
        <w:rPr>
          <w:sz w:val="18"/>
          <w:lang w:val="en-GB"/>
        </w:rPr>
        <w:t>.</w:t>
      </w:r>
    </w:p>
    <w:p w14:paraId="7953A49F" w14:textId="77777777" w:rsidR="00E51CDD" w:rsidRPr="00E51CDD" w:rsidRDefault="00E51CDD" w:rsidP="00E51CDD">
      <w:pPr>
        <w:widowControl w:val="0"/>
        <w:tabs>
          <w:tab w:val="left" w:pos="425"/>
        </w:tabs>
        <w:ind w:left="425" w:hanging="425"/>
        <w:rPr>
          <w:noProof/>
          <w:szCs w:val="18"/>
          <w:lang w:val="en-GB"/>
        </w:rPr>
      </w:pPr>
    </w:p>
    <w:p w14:paraId="18DF4F51" w14:textId="77777777" w:rsidR="00E51CDD" w:rsidRPr="00E51CDD" w:rsidRDefault="00E51CDD" w:rsidP="00E51CDD">
      <w:pPr>
        <w:suppressAutoHyphens/>
        <w:autoSpaceDE w:val="0"/>
        <w:autoSpaceDN w:val="0"/>
        <w:adjustRightInd w:val="0"/>
        <w:jc w:val="both"/>
        <w:rPr>
          <w:lang w:val="en-GB"/>
        </w:rPr>
      </w:pPr>
      <w:bookmarkStart w:id="594" w:name="_Ref492465870"/>
    </w:p>
    <w:p w14:paraId="49F28B1A" w14:textId="77777777" w:rsidR="00E51CDD" w:rsidRPr="00E51CDD" w:rsidRDefault="00E51CDD" w:rsidP="00E51CDD">
      <w:pPr>
        <w:suppressAutoHyphens/>
        <w:autoSpaceDE w:val="0"/>
        <w:autoSpaceDN w:val="0"/>
        <w:adjustRightInd w:val="0"/>
        <w:jc w:val="both"/>
        <w:rPr>
          <w:lang w:val="en-GB"/>
        </w:rPr>
      </w:pPr>
      <w:r w:rsidRPr="00E51CDD">
        <w:rPr>
          <w:lang w:val="en-GB"/>
        </w:rPr>
        <w:t xml:space="preserve">Commission Regulation (EU) No 284/2013 lists conditions under which testing of the formulated product is required. </w:t>
      </w:r>
      <w:bookmarkStart w:id="595" w:name="_Hlk27049740"/>
      <w:r w:rsidRPr="00E51CDD">
        <w:rPr>
          <w:lang w:val="en-GB"/>
        </w:rPr>
        <w:t xml:space="preserve">In accordance with the requirements set out in points 8.3.1 and 8.3.2 of Part A of the Annex to Regulation (EU) No 284/2013, formulated product testing is needed if the product contains more than one active substance and if the toxicity of a plant protection product cannot be reliably predicted to be either the same or lower than the toxicity of the active substances. </w:t>
      </w:r>
      <w:bookmarkEnd w:id="595"/>
      <w:r w:rsidRPr="00E51CDD">
        <w:rPr>
          <w:lang w:val="en-GB"/>
        </w:rPr>
        <w:t xml:space="preserve">For BAS 736 00 F, acute honey bee endpoints are available for all active substances and formulation. This data can be used to check the second condition, i.e. whether the formulated product shows unexpected toxicity. </w:t>
      </w:r>
    </w:p>
    <w:bookmarkEnd w:id="587"/>
    <w:p w14:paraId="78CF3284" w14:textId="77777777" w:rsidR="00E51CDD" w:rsidRPr="00E51CDD" w:rsidRDefault="00E51CDD" w:rsidP="00E51CDD">
      <w:pPr>
        <w:suppressAutoHyphens/>
        <w:autoSpaceDE w:val="0"/>
        <w:autoSpaceDN w:val="0"/>
        <w:adjustRightInd w:val="0"/>
        <w:jc w:val="both"/>
        <w:rPr>
          <w:lang w:val="en-GB"/>
        </w:rPr>
      </w:pPr>
    </w:p>
    <w:p w14:paraId="3FD1FC7F" w14:textId="15D698E4" w:rsidR="00E51CDD" w:rsidRPr="00E51CDD" w:rsidRDefault="00E51CDD" w:rsidP="00E51CDD">
      <w:pPr>
        <w:suppressAutoHyphens/>
        <w:autoSpaceDE w:val="0"/>
        <w:autoSpaceDN w:val="0"/>
        <w:adjustRightInd w:val="0"/>
        <w:jc w:val="both"/>
        <w:rPr>
          <w:lang w:val="en-GB"/>
        </w:rPr>
      </w:pPr>
      <w:r w:rsidRPr="00E51CDD">
        <w:rPr>
          <w:lang w:val="en-GB"/>
        </w:rPr>
        <w:lastRenderedPageBreak/>
        <w:t xml:space="preserve">The comparison of the acute endpoint obtained </w:t>
      </w:r>
      <w:bookmarkStart w:id="596" w:name="_Hlk11835655"/>
      <w:r w:rsidRPr="00E51CDD">
        <w:rPr>
          <w:lang w:val="en-GB"/>
        </w:rPr>
        <w:t>with the formulated product and the active substance endpoints,</w:t>
      </w:r>
      <w:bookmarkEnd w:id="596"/>
      <w:r w:rsidRPr="00E51CDD">
        <w:rPr>
          <w:lang w:val="en-GB"/>
        </w:rPr>
        <w:t xml:space="preserve"> under consideration of the model deviation ratio (MDR), is shown in </w:t>
      </w:r>
      <w:r w:rsidRPr="00E51CDD">
        <w:rPr>
          <w:lang w:val="en-GB"/>
        </w:rPr>
        <w:fldChar w:fldCharType="begin"/>
      </w:r>
      <w:r w:rsidRPr="00E51CDD">
        <w:rPr>
          <w:lang w:val="en-GB"/>
        </w:rPr>
        <w:instrText xml:space="preserve"> REF _Ref11139566 \h  \* MERGEFORMAT </w:instrText>
      </w:r>
      <w:r w:rsidRPr="00E51CDD">
        <w:rPr>
          <w:lang w:val="en-GB"/>
        </w:rPr>
      </w:r>
      <w:r w:rsidRPr="00E51CDD">
        <w:rPr>
          <w:lang w:val="en-GB"/>
        </w:rPr>
        <w:fldChar w:fldCharType="separate"/>
      </w:r>
      <w:r w:rsidR="00662F32" w:rsidRPr="00662F32">
        <w:rPr>
          <w:rFonts w:eastAsia="Arial"/>
          <w:lang w:val="en-GB" w:eastAsia="en-US"/>
        </w:rPr>
        <w:t>Table 9.6</w:t>
      </w:r>
      <w:r w:rsidR="00662F32" w:rsidRPr="00662F32">
        <w:rPr>
          <w:rFonts w:eastAsia="Arial"/>
          <w:lang w:val="en-GB" w:eastAsia="en-US"/>
        </w:rPr>
        <w:noBreakHyphen/>
        <w:t>7</w:t>
      </w:r>
      <w:r w:rsidRPr="00E51CDD">
        <w:rPr>
          <w:lang w:val="en-GB"/>
        </w:rPr>
        <w:fldChar w:fldCharType="end"/>
      </w:r>
      <w:r w:rsidRPr="00E51CDD">
        <w:rPr>
          <w:lang w:val="en-GB"/>
        </w:rPr>
        <w:t xml:space="preserve">. </w:t>
      </w:r>
      <w:bookmarkStart w:id="597" w:name="_Hlk11137350"/>
      <w:r w:rsidRPr="00E51CDD">
        <w:rPr>
          <w:rFonts w:eastAsia="Batang"/>
          <w:lang w:val="en-GB"/>
        </w:rPr>
        <w:t xml:space="preserve">If the MDR is between 0.2 and 5, the observed and calculated mixture toxicities are considered in agreement. </w:t>
      </w:r>
      <w:bookmarkStart w:id="598" w:name="_Hlk11835875"/>
      <w:bookmarkEnd w:id="597"/>
      <w:r w:rsidRPr="00E51CDD">
        <w:rPr>
          <w:lang w:val="en-GB"/>
        </w:rPr>
        <w:t>Comparing the acute toxicity of the active substances with the acute toxicity of the formulated product BAS 736 00 F, no indication for unpredicted product toxicity is given (MDR of 0.723 and 1.232 for acute oral and acute contact data, respectively).</w:t>
      </w:r>
    </w:p>
    <w:p w14:paraId="403B6A50" w14:textId="77777777" w:rsidR="001A5145" w:rsidRDefault="001A5145" w:rsidP="00E51CDD">
      <w:pPr>
        <w:keepNext/>
        <w:keepLines/>
        <w:tabs>
          <w:tab w:val="left" w:pos="2552"/>
        </w:tabs>
        <w:suppressAutoHyphens/>
        <w:spacing w:before="120" w:after="120"/>
        <w:ind w:left="1985" w:hanging="1985"/>
        <w:jc w:val="both"/>
        <w:rPr>
          <w:rFonts w:eastAsia="Arial"/>
          <w:b/>
          <w:lang w:val="en-GB" w:eastAsia="en-US"/>
        </w:rPr>
      </w:pPr>
      <w:bookmarkStart w:id="599" w:name="_Ref11139566"/>
      <w:bookmarkEnd w:id="598"/>
    </w:p>
    <w:p w14:paraId="57432B10" w14:textId="2381A8F4" w:rsidR="00E51CDD" w:rsidRPr="00E51CDD" w:rsidRDefault="00E51CDD" w:rsidP="00E51CDD">
      <w:pPr>
        <w:keepNext/>
        <w:keepLines/>
        <w:tabs>
          <w:tab w:val="left" w:pos="2552"/>
        </w:tabs>
        <w:suppressAutoHyphens/>
        <w:spacing w:before="120" w:after="120"/>
        <w:ind w:left="1985" w:hanging="1985"/>
        <w:jc w:val="both"/>
        <w:rPr>
          <w:rFonts w:eastAsia="Arial"/>
          <w:b/>
          <w:lang w:val="en-GB" w:eastAsia="en-US"/>
        </w:rPr>
      </w:pPr>
      <w:r w:rsidRPr="00E51CDD">
        <w:rPr>
          <w:rFonts w:eastAsia="Arial"/>
          <w:b/>
          <w:lang w:val="en-GB" w:eastAsia="en-US"/>
        </w:rPr>
        <w:t xml:space="preserve">Table </w:t>
      </w:r>
      <w:r w:rsidRPr="00E51CDD">
        <w:rPr>
          <w:lang w:val="en-GB"/>
        </w:rPr>
        <w:fldChar w:fldCharType="begin"/>
      </w:r>
      <w:r w:rsidRPr="00E51CDD">
        <w:rPr>
          <w:rFonts w:eastAsia="Arial"/>
          <w:b/>
          <w:lang w:val="en-GB" w:eastAsia="en-US"/>
        </w:rPr>
        <w:instrText xml:space="preserve"> STYLEREF 2 \s </w:instrText>
      </w:r>
      <w:r w:rsidRPr="00E51CDD">
        <w:rPr>
          <w:lang w:val="en-GB"/>
        </w:rPr>
        <w:fldChar w:fldCharType="separate"/>
      </w:r>
      <w:r w:rsidR="00662F32">
        <w:rPr>
          <w:rFonts w:eastAsia="Arial"/>
          <w:b/>
          <w:noProof/>
          <w:lang w:val="en-GB" w:eastAsia="en-US"/>
        </w:rPr>
        <w:t>9.6</w:t>
      </w:r>
      <w:r w:rsidRPr="00E51CDD">
        <w:rPr>
          <w:lang w:val="en-GB"/>
        </w:rPr>
        <w:fldChar w:fldCharType="end"/>
      </w:r>
      <w:r w:rsidRPr="00E51CDD">
        <w:rPr>
          <w:rFonts w:eastAsia="Arial"/>
          <w:b/>
          <w:lang w:val="en-GB" w:eastAsia="en-US"/>
        </w:rPr>
        <w:noBreakHyphen/>
      </w:r>
      <w:r w:rsidRPr="00E51CDD">
        <w:rPr>
          <w:lang w:val="en-GB"/>
        </w:rPr>
        <w:fldChar w:fldCharType="begin"/>
      </w:r>
      <w:r w:rsidRPr="00E51CDD">
        <w:rPr>
          <w:rFonts w:eastAsia="Arial"/>
          <w:b/>
          <w:lang w:val="en-GB" w:eastAsia="en-US"/>
        </w:rPr>
        <w:instrText xml:space="preserve"> SEQ Table \* ARABIC \s 2 </w:instrText>
      </w:r>
      <w:r w:rsidRPr="00E51CDD">
        <w:rPr>
          <w:lang w:val="en-GB"/>
        </w:rPr>
        <w:fldChar w:fldCharType="separate"/>
      </w:r>
      <w:r w:rsidR="00662F32">
        <w:rPr>
          <w:rFonts w:eastAsia="Arial"/>
          <w:b/>
          <w:noProof/>
          <w:lang w:val="en-GB" w:eastAsia="en-US"/>
        </w:rPr>
        <w:t>7</w:t>
      </w:r>
      <w:r w:rsidRPr="00E51CDD">
        <w:rPr>
          <w:lang w:val="en-GB"/>
        </w:rPr>
        <w:fldChar w:fldCharType="end"/>
      </w:r>
      <w:bookmarkEnd w:id="594"/>
      <w:bookmarkEnd w:id="599"/>
      <w:r w:rsidRPr="00E51CDD">
        <w:rPr>
          <w:rFonts w:eastAsia="Arial"/>
          <w:b/>
          <w:lang w:val="en-GB" w:eastAsia="en-US"/>
        </w:rPr>
        <w:t>:</w:t>
      </w:r>
      <w:r w:rsidRPr="00E51CDD">
        <w:rPr>
          <w:rFonts w:eastAsia="Arial"/>
          <w:b/>
          <w:lang w:val="en-GB" w:eastAsia="en-US"/>
        </w:rPr>
        <w:tab/>
        <w:t xml:space="preserve">Measured acute toxicity of BAS 736 00 F and calculated mixture-toxicity comparison and presentation of the model deviation ratio (MDR)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190"/>
        <w:gridCol w:w="1519"/>
        <w:gridCol w:w="1228"/>
        <w:gridCol w:w="714"/>
        <w:gridCol w:w="1708"/>
        <w:gridCol w:w="1850"/>
        <w:gridCol w:w="1136"/>
      </w:tblGrid>
      <w:tr w:rsidR="00E51CDD" w:rsidRPr="002262EA" w14:paraId="59FA719C" w14:textId="77777777" w:rsidTr="009938D9">
        <w:trPr>
          <w:cantSplit/>
          <w:trHeight w:val="310"/>
          <w:tblHeader/>
        </w:trPr>
        <w:tc>
          <w:tcPr>
            <w:tcW w:w="636" w:type="pct"/>
            <w:vMerge w:val="restart"/>
            <w:tcBorders>
              <w:top w:val="single" w:sz="4" w:space="0" w:color="auto"/>
              <w:left w:val="single" w:sz="4" w:space="0" w:color="auto"/>
              <w:bottom w:val="single" w:sz="4" w:space="0" w:color="auto"/>
              <w:right w:val="single" w:sz="4" w:space="0" w:color="auto"/>
            </w:tcBorders>
            <w:vAlign w:val="center"/>
            <w:hideMark/>
          </w:tcPr>
          <w:p w14:paraId="46D7DC41" w14:textId="77777777" w:rsidR="00E51CDD" w:rsidRPr="00E51CDD" w:rsidRDefault="00E51CDD" w:rsidP="00E51CDD">
            <w:pPr>
              <w:keepNext/>
              <w:keepLines/>
              <w:suppressAutoHyphens/>
              <w:spacing w:before="40" w:after="40"/>
              <w:jc w:val="center"/>
              <w:rPr>
                <w:b/>
                <w:bCs/>
                <w:sz w:val="20"/>
                <w:szCs w:val="20"/>
                <w:lang w:val="en-GB" w:eastAsia="en-US"/>
              </w:rPr>
            </w:pPr>
            <w:r w:rsidRPr="00E51CDD">
              <w:rPr>
                <w:b/>
                <w:bCs/>
                <w:sz w:val="20"/>
                <w:szCs w:val="20"/>
                <w:lang w:val="en-GB"/>
              </w:rPr>
              <w:t xml:space="preserve">Test organisms </w:t>
            </w:r>
            <w:r w:rsidRPr="00E51CDD">
              <w:rPr>
                <w:b/>
                <w:bCs/>
                <w:sz w:val="20"/>
                <w:szCs w:val="20"/>
                <w:lang w:val="en-GB"/>
              </w:rPr>
              <w:br/>
              <w:t>(Species)</w:t>
            </w:r>
          </w:p>
        </w:tc>
        <w:tc>
          <w:tcPr>
            <w:tcW w:w="813" w:type="pct"/>
            <w:vMerge w:val="restart"/>
            <w:tcBorders>
              <w:top w:val="single" w:sz="4" w:space="0" w:color="auto"/>
              <w:left w:val="single" w:sz="4" w:space="0" w:color="auto"/>
              <w:bottom w:val="single" w:sz="4" w:space="0" w:color="auto"/>
              <w:right w:val="single" w:sz="4" w:space="0" w:color="auto"/>
            </w:tcBorders>
            <w:vAlign w:val="center"/>
            <w:hideMark/>
          </w:tcPr>
          <w:p w14:paraId="6229827A" w14:textId="77777777" w:rsidR="00E51CDD" w:rsidRPr="00E51CDD" w:rsidRDefault="00E51CDD" w:rsidP="00E51CDD">
            <w:pPr>
              <w:keepNext/>
              <w:keepLines/>
              <w:suppressAutoHyphens/>
              <w:spacing w:before="40" w:after="40"/>
              <w:jc w:val="center"/>
              <w:rPr>
                <w:b/>
                <w:sz w:val="20"/>
                <w:szCs w:val="20"/>
                <w:lang w:val="en-GB" w:eastAsia="en-US"/>
              </w:rPr>
            </w:pPr>
            <w:r w:rsidRPr="00E51CDD">
              <w:rPr>
                <w:b/>
                <w:bCs/>
                <w:sz w:val="20"/>
                <w:szCs w:val="20"/>
                <w:lang w:val="en-GB"/>
              </w:rPr>
              <w:t>Test type &amp; endpoint</w:t>
            </w:r>
          </w:p>
        </w:tc>
        <w:tc>
          <w:tcPr>
            <w:tcW w:w="1039" w:type="pct"/>
            <w:gridSpan w:val="2"/>
            <w:vMerge w:val="restart"/>
            <w:tcBorders>
              <w:top w:val="single" w:sz="4" w:space="0" w:color="auto"/>
              <w:left w:val="single" w:sz="4" w:space="0" w:color="auto"/>
              <w:bottom w:val="single" w:sz="4" w:space="0" w:color="auto"/>
              <w:right w:val="single" w:sz="4" w:space="0" w:color="auto"/>
            </w:tcBorders>
            <w:hideMark/>
          </w:tcPr>
          <w:p w14:paraId="6D7F6C7E" w14:textId="77777777" w:rsidR="00E51CDD" w:rsidRPr="00E51CDD" w:rsidRDefault="00E51CDD" w:rsidP="00E51CDD">
            <w:pPr>
              <w:keepNext/>
              <w:keepLines/>
              <w:suppressAutoHyphens/>
              <w:spacing w:before="40" w:after="40"/>
              <w:jc w:val="center"/>
              <w:rPr>
                <w:b/>
                <w:sz w:val="20"/>
                <w:szCs w:val="20"/>
                <w:lang w:val="en-GB" w:eastAsia="en-US"/>
              </w:rPr>
            </w:pPr>
            <w:r w:rsidRPr="00E51CDD">
              <w:rPr>
                <w:b/>
                <w:bCs/>
                <w:sz w:val="20"/>
                <w:szCs w:val="20"/>
                <w:lang w:val="en-GB"/>
              </w:rPr>
              <w:t>Measured toxicity of the a.s.</w:t>
            </w:r>
            <w:r w:rsidRPr="00E51CDD">
              <w:rPr>
                <w:b/>
                <w:bCs/>
                <w:sz w:val="20"/>
                <w:szCs w:val="20"/>
                <w:lang w:val="en-GB"/>
              </w:rPr>
              <w:br/>
              <w:t>[µg a.s./bee]</w:t>
            </w:r>
          </w:p>
        </w:tc>
        <w:tc>
          <w:tcPr>
            <w:tcW w:w="914" w:type="pct"/>
            <w:vMerge w:val="restart"/>
            <w:tcBorders>
              <w:top w:val="single" w:sz="4" w:space="0" w:color="auto"/>
              <w:left w:val="single" w:sz="4" w:space="0" w:color="auto"/>
              <w:bottom w:val="single" w:sz="4" w:space="0" w:color="auto"/>
              <w:right w:val="single" w:sz="4" w:space="0" w:color="auto"/>
            </w:tcBorders>
            <w:vAlign w:val="center"/>
            <w:hideMark/>
          </w:tcPr>
          <w:p w14:paraId="4C72065F" w14:textId="77777777" w:rsidR="00E51CDD" w:rsidRPr="00E51CDD" w:rsidRDefault="00E51CDD" w:rsidP="00E51CDD">
            <w:pPr>
              <w:keepNext/>
              <w:keepLines/>
              <w:suppressAutoHyphens/>
              <w:spacing w:before="40" w:after="40"/>
              <w:jc w:val="center"/>
              <w:rPr>
                <w:b/>
                <w:sz w:val="20"/>
                <w:szCs w:val="20"/>
                <w:lang w:val="en-GB" w:eastAsia="en-US"/>
              </w:rPr>
            </w:pPr>
            <w:r w:rsidRPr="00E51CDD">
              <w:rPr>
                <w:b/>
                <w:sz w:val="20"/>
                <w:szCs w:val="20"/>
                <w:lang w:val="en-GB" w:eastAsia="en-US"/>
              </w:rPr>
              <w:t>Measured toxicity of BAS 736 00 F</w:t>
            </w:r>
            <w:r w:rsidRPr="00E51CDD">
              <w:rPr>
                <w:b/>
                <w:sz w:val="20"/>
                <w:szCs w:val="20"/>
                <w:lang w:val="en-GB" w:eastAsia="en-US"/>
              </w:rPr>
              <w:br/>
              <w:t>(LD</w:t>
            </w:r>
            <w:r w:rsidRPr="00E51CDD">
              <w:rPr>
                <w:b/>
                <w:sz w:val="20"/>
                <w:szCs w:val="20"/>
                <w:vertAlign w:val="subscript"/>
                <w:lang w:val="en-GB" w:eastAsia="en-US"/>
              </w:rPr>
              <w:t>50 PPP</w:t>
            </w:r>
            <w:r w:rsidRPr="00E51CDD">
              <w:rPr>
                <w:b/>
                <w:sz w:val="20"/>
                <w:szCs w:val="20"/>
                <w:lang w:val="en-GB" w:eastAsia="en-US"/>
              </w:rPr>
              <w:t>)</w:t>
            </w:r>
            <w:r w:rsidRPr="00E51CDD">
              <w:rPr>
                <w:b/>
                <w:sz w:val="20"/>
                <w:szCs w:val="20"/>
                <w:lang w:val="en-GB" w:eastAsia="en-US"/>
              </w:rPr>
              <w:br/>
              <w:t>[µg product/bee]</w:t>
            </w:r>
          </w:p>
        </w:tc>
        <w:tc>
          <w:tcPr>
            <w:tcW w:w="990" w:type="pct"/>
            <w:vMerge w:val="restart"/>
            <w:tcBorders>
              <w:top w:val="single" w:sz="4" w:space="0" w:color="auto"/>
              <w:left w:val="single" w:sz="4" w:space="0" w:color="auto"/>
              <w:bottom w:val="single" w:sz="4" w:space="0" w:color="auto"/>
              <w:right w:val="single" w:sz="4" w:space="0" w:color="auto"/>
            </w:tcBorders>
            <w:vAlign w:val="center"/>
            <w:hideMark/>
          </w:tcPr>
          <w:p w14:paraId="4D6B5A3B" w14:textId="77777777" w:rsidR="00E51CDD" w:rsidRPr="00E51CDD" w:rsidRDefault="00E51CDD" w:rsidP="00E51CDD">
            <w:pPr>
              <w:keepNext/>
              <w:keepLines/>
              <w:suppressAutoHyphens/>
              <w:spacing w:before="40" w:after="40"/>
              <w:jc w:val="center"/>
              <w:rPr>
                <w:b/>
                <w:sz w:val="20"/>
                <w:szCs w:val="20"/>
                <w:lang w:val="en-GB" w:eastAsia="en-US"/>
              </w:rPr>
            </w:pPr>
            <w:r w:rsidRPr="00E51CDD">
              <w:rPr>
                <w:b/>
                <w:sz w:val="20"/>
                <w:szCs w:val="20"/>
                <w:lang w:val="en-GB" w:eastAsia="en-US"/>
              </w:rPr>
              <w:t>Calculated mixture toxicity</w:t>
            </w:r>
            <w:r w:rsidRPr="00E51CDD">
              <w:rPr>
                <w:b/>
                <w:sz w:val="20"/>
                <w:szCs w:val="20"/>
                <w:lang w:val="en-GB" w:eastAsia="en-US"/>
              </w:rPr>
              <w:br/>
              <w:t>(EC</w:t>
            </w:r>
            <w:r w:rsidRPr="00E51CDD">
              <w:rPr>
                <w:b/>
                <w:sz w:val="20"/>
                <w:szCs w:val="20"/>
                <w:vertAlign w:val="subscript"/>
                <w:lang w:val="en-GB" w:eastAsia="en-US"/>
              </w:rPr>
              <w:t>x mix-CA</w:t>
            </w:r>
            <w:r w:rsidRPr="00E51CDD">
              <w:rPr>
                <w:b/>
                <w:sz w:val="20"/>
                <w:szCs w:val="20"/>
                <w:lang w:val="en-GB" w:eastAsia="en-US"/>
              </w:rPr>
              <w:t>)</w:t>
            </w:r>
            <w:r w:rsidRPr="00E51CDD">
              <w:rPr>
                <w:b/>
                <w:sz w:val="20"/>
                <w:szCs w:val="20"/>
                <w:lang w:val="en-GB" w:eastAsia="en-US"/>
              </w:rPr>
              <w:br/>
              <w:t xml:space="preserve">[µg mixture/bee] </w:t>
            </w:r>
            <w:r w:rsidRPr="00E51CDD">
              <w:rPr>
                <w:b/>
                <w:sz w:val="20"/>
                <w:szCs w:val="20"/>
                <w:vertAlign w:val="superscript"/>
                <w:lang w:val="en-GB" w:eastAsia="en-US"/>
              </w:rPr>
              <w:t>1)</w:t>
            </w:r>
          </w:p>
        </w:tc>
        <w:tc>
          <w:tcPr>
            <w:tcW w:w="608" w:type="pct"/>
            <w:vMerge w:val="restart"/>
            <w:tcBorders>
              <w:top w:val="single" w:sz="4" w:space="0" w:color="auto"/>
              <w:left w:val="single" w:sz="4" w:space="0" w:color="auto"/>
              <w:bottom w:val="single" w:sz="4" w:space="0" w:color="auto"/>
              <w:right w:val="single" w:sz="4" w:space="0" w:color="auto"/>
            </w:tcBorders>
            <w:vAlign w:val="center"/>
            <w:hideMark/>
          </w:tcPr>
          <w:p w14:paraId="2A715C9B" w14:textId="77777777" w:rsidR="00E51CDD" w:rsidRPr="002262EA" w:rsidRDefault="00E51CDD" w:rsidP="00E51CDD">
            <w:pPr>
              <w:keepNext/>
              <w:keepLines/>
              <w:suppressAutoHyphens/>
              <w:spacing w:before="40" w:after="40"/>
              <w:jc w:val="center"/>
              <w:rPr>
                <w:b/>
                <w:sz w:val="20"/>
                <w:szCs w:val="20"/>
                <w:lang w:val="nl-BE" w:eastAsia="en-US"/>
              </w:rPr>
            </w:pPr>
            <w:r w:rsidRPr="002262EA">
              <w:rPr>
                <w:b/>
                <w:sz w:val="20"/>
                <w:szCs w:val="20"/>
                <w:lang w:val="nl-BE" w:eastAsia="en-US"/>
              </w:rPr>
              <w:t>MDR</w:t>
            </w:r>
            <w:r w:rsidRPr="002262EA">
              <w:rPr>
                <w:b/>
                <w:sz w:val="20"/>
                <w:szCs w:val="20"/>
                <w:lang w:val="nl-BE" w:eastAsia="en-US"/>
              </w:rPr>
              <w:br/>
              <w:t>(EC</w:t>
            </w:r>
            <w:r w:rsidRPr="002262EA">
              <w:rPr>
                <w:b/>
                <w:sz w:val="20"/>
                <w:szCs w:val="20"/>
                <w:vertAlign w:val="subscript"/>
                <w:lang w:val="nl-BE" w:eastAsia="en-US"/>
              </w:rPr>
              <w:t>x mix-CA</w:t>
            </w:r>
            <w:r w:rsidRPr="002262EA">
              <w:rPr>
                <w:b/>
                <w:sz w:val="20"/>
                <w:szCs w:val="20"/>
                <w:lang w:val="nl-BE" w:eastAsia="en-US"/>
              </w:rPr>
              <w:t xml:space="preserve"> / ECx</w:t>
            </w:r>
            <w:r w:rsidRPr="002262EA">
              <w:rPr>
                <w:b/>
                <w:sz w:val="20"/>
                <w:szCs w:val="20"/>
                <w:vertAlign w:val="subscript"/>
                <w:lang w:val="nl-BE" w:eastAsia="en-US"/>
              </w:rPr>
              <w:t>PPP</w:t>
            </w:r>
            <w:r w:rsidRPr="002262EA">
              <w:rPr>
                <w:b/>
                <w:sz w:val="20"/>
                <w:szCs w:val="20"/>
                <w:lang w:val="nl-BE" w:eastAsia="en-US"/>
              </w:rPr>
              <w:t>)</w:t>
            </w:r>
          </w:p>
        </w:tc>
      </w:tr>
      <w:tr w:rsidR="00E51CDD" w:rsidRPr="002262EA" w14:paraId="56C84259" w14:textId="77777777" w:rsidTr="009938D9">
        <w:trPr>
          <w:cantSplit/>
          <w:trHeight w:val="310"/>
          <w:tblHeader/>
        </w:trPr>
        <w:tc>
          <w:tcPr>
            <w:tcW w:w="636" w:type="pct"/>
            <w:vMerge/>
            <w:tcBorders>
              <w:top w:val="single" w:sz="4" w:space="0" w:color="auto"/>
              <w:left w:val="single" w:sz="4" w:space="0" w:color="auto"/>
              <w:bottom w:val="single" w:sz="4" w:space="0" w:color="auto"/>
              <w:right w:val="single" w:sz="4" w:space="0" w:color="auto"/>
            </w:tcBorders>
            <w:vAlign w:val="center"/>
            <w:hideMark/>
          </w:tcPr>
          <w:p w14:paraId="77E55C90" w14:textId="77777777" w:rsidR="00E51CDD" w:rsidRPr="002262EA" w:rsidRDefault="00E51CDD" w:rsidP="00E51CDD">
            <w:pPr>
              <w:keepNext/>
              <w:keepLines/>
              <w:suppressAutoHyphens/>
              <w:rPr>
                <w:b/>
                <w:bCs/>
                <w:sz w:val="20"/>
                <w:szCs w:val="20"/>
                <w:lang w:val="nl-BE" w:eastAsia="en-US"/>
              </w:rPr>
            </w:pPr>
          </w:p>
        </w:tc>
        <w:tc>
          <w:tcPr>
            <w:tcW w:w="813" w:type="pct"/>
            <w:vMerge/>
            <w:tcBorders>
              <w:top w:val="single" w:sz="4" w:space="0" w:color="auto"/>
              <w:left w:val="single" w:sz="4" w:space="0" w:color="auto"/>
              <w:bottom w:val="single" w:sz="4" w:space="0" w:color="auto"/>
              <w:right w:val="single" w:sz="4" w:space="0" w:color="auto"/>
            </w:tcBorders>
            <w:vAlign w:val="center"/>
            <w:hideMark/>
          </w:tcPr>
          <w:p w14:paraId="351CF9EC" w14:textId="77777777" w:rsidR="00E51CDD" w:rsidRPr="002262EA" w:rsidRDefault="00E51CDD" w:rsidP="00E51CDD">
            <w:pPr>
              <w:keepNext/>
              <w:keepLines/>
              <w:suppressAutoHyphens/>
              <w:jc w:val="center"/>
              <w:rPr>
                <w:b/>
                <w:sz w:val="20"/>
                <w:szCs w:val="20"/>
                <w:lang w:val="nl-BE" w:eastAsia="en-US"/>
              </w:rPr>
            </w:pPr>
          </w:p>
        </w:tc>
        <w:tc>
          <w:tcPr>
            <w:tcW w:w="1039" w:type="pct"/>
            <w:gridSpan w:val="2"/>
            <w:vMerge/>
            <w:tcBorders>
              <w:top w:val="single" w:sz="4" w:space="0" w:color="auto"/>
              <w:left w:val="single" w:sz="4" w:space="0" w:color="auto"/>
              <w:bottom w:val="single" w:sz="4" w:space="0" w:color="auto"/>
              <w:right w:val="single" w:sz="4" w:space="0" w:color="auto"/>
            </w:tcBorders>
            <w:vAlign w:val="center"/>
            <w:hideMark/>
          </w:tcPr>
          <w:p w14:paraId="33ACA515" w14:textId="77777777" w:rsidR="00E51CDD" w:rsidRPr="002262EA" w:rsidRDefault="00E51CDD" w:rsidP="00E51CDD">
            <w:pPr>
              <w:keepNext/>
              <w:keepLines/>
              <w:suppressAutoHyphens/>
              <w:rPr>
                <w:b/>
                <w:sz w:val="20"/>
                <w:szCs w:val="20"/>
                <w:lang w:val="nl-BE" w:eastAsia="en-US"/>
              </w:rPr>
            </w:pPr>
          </w:p>
        </w:tc>
        <w:tc>
          <w:tcPr>
            <w:tcW w:w="914" w:type="pct"/>
            <w:vMerge/>
            <w:tcBorders>
              <w:top w:val="single" w:sz="4" w:space="0" w:color="auto"/>
              <w:left w:val="single" w:sz="4" w:space="0" w:color="auto"/>
              <w:bottom w:val="single" w:sz="4" w:space="0" w:color="auto"/>
              <w:right w:val="single" w:sz="4" w:space="0" w:color="auto"/>
            </w:tcBorders>
            <w:vAlign w:val="center"/>
            <w:hideMark/>
          </w:tcPr>
          <w:p w14:paraId="0145E203" w14:textId="77777777" w:rsidR="00E51CDD" w:rsidRPr="002262EA" w:rsidRDefault="00E51CDD" w:rsidP="00E51CDD">
            <w:pPr>
              <w:keepNext/>
              <w:keepLines/>
              <w:suppressAutoHyphens/>
              <w:jc w:val="center"/>
              <w:rPr>
                <w:b/>
                <w:sz w:val="20"/>
                <w:szCs w:val="20"/>
                <w:lang w:val="nl-BE" w:eastAsia="en-US"/>
              </w:rPr>
            </w:pPr>
          </w:p>
        </w:tc>
        <w:tc>
          <w:tcPr>
            <w:tcW w:w="990" w:type="pct"/>
            <w:vMerge/>
            <w:tcBorders>
              <w:top w:val="single" w:sz="4" w:space="0" w:color="auto"/>
              <w:left w:val="single" w:sz="4" w:space="0" w:color="auto"/>
              <w:bottom w:val="single" w:sz="4" w:space="0" w:color="auto"/>
              <w:right w:val="single" w:sz="4" w:space="0" w:color="auto"/>
            </w:tcBorders>
            <w:vAlign w:val="center"/>
            <w:hideMark/>
          </w:tcPr>
          <w:p w14:paraId="70FC3639" w14:textId="77777777" w:rsidR="00E51CDD" w:rsidRPr="002262EA" w:rsidRDefault="00E51CDD" w:rsidP="00E51CDD">
            <w:pPr>
              <w:keepNext/>
              <w:keepLines/>
              <w:suppressAutoHyphens/>
              <w:jc w:val="center"/>
              <w:rPr>
                <w:b/>
                <w:sz w:val="20"/>
                <w:szCs w:val="20"/>
                <w:lang w:val="nl-BE" w:eastAsia="en-US"/>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16B91E33" w14:textId="77777777" w:rsidR="00E51CDD" w:rsidRPr="002262EA" w:rsidRDefault="00E51CDD" w:rsidP="00E51CDD">
            <w:pPr>
              <w:keepNext/>
              <w:keepLines/>
              <w:suppressAutoHyphens/>
              <w:jc w:val="center"/>
              <w:rPr>
                <w:b/>
                <w:sz w:val="20"/>
                <w:szCs w:val="20"/>
                <w:lang w:val="nl-BE" w:eastAsia="en-US"/>
              </w:rPr>
            </w:pPr>
          </w:p>
        </w:tc>
      </w:tr>
      <w:tr w:rsidR="00E51CDD" w:rsidRPr="00E51CDD" w14:paraId="28AFAB54" w14:textId="77777777" w:rsidTr="009938D9">
        <w:trPr>
          <w:cantSplit/>
          <w:trHeight w:val="373"/>
        </w:trPr>
        <w:tc>
          <w:tcPr>
            <w:tcW w:w="636" w:type="pct"/>
            <w:vMerge w:val="restart"/>
            <w:tcBorders>
              <w:top w:val="single" w:sz="4" w:space="0" w:color="auto"/>
              <w:left w:val="single" w:sz="4" w:space="0" w:color="auto"/>
              <w:right w:val="single" w:sz="4" w:space="0" w:color="auto"/>
            </w:tcBorders>
            <w:vAlign w:val="center"/>
            <w:hideMark/>
          </w:tcPr>
          <w:p w14:paraId="5BA63688" w14:textId="77777777" w:rsidR="00E51CDD" w:rsidRPr="00E51CDD" w:rsidRDefault="00E51CDD" w:rsidP="00E51CDD">
            <w:pPr>
              <w:keepNext/>
              <w:keepLines/>
              <w:shd w:val="clear" w:color="auto" w:fill="FFFFFF"/>
              <w:suppressAutoHyphens/>
              <w:spacing w:before="40" w:after="40"/>
              <w:jc w:val="center"/>
              <w:rPr>
                <w:i/>
                <w:sz w:val="20"/>
                <w:szCs w:val="20"/>
                <w:lang w:val="en-GB" w:eastAsia="en-US"/>
              </w:rPr>
            </w:pPr>
            <w:r w:rsidRPr="00E51CDD">
              <w:rPr>
                <w:iCs/>
                <w:sz w:val="20"/>
                <w:szCs w:val="20"/>
                <w:lang w:val="en-GB"/>
              </w:rPr>
              <w:t>honey bee</w:t>
            </w:r>
            <w:r w:rsidRPr="00E51CDD">
              <w:rPr>
                <w:iCs/>
                <w:sz w:val="20"/>
                <w:szCs w:val="20"/>
                <w:lang w:val="en-GB"/>
              </w:rPr>
              <w:br/>
              <w:t>(</w:t>
            </w:r>
            <w:r w:rsidRPr="00E51CDD">
              <w:rPr>
                <w:i/>
                <w:iCs/>
                <w:sz w:val="20"/>
                <w:szCs w:val="20"/>
                <w:lang w:val="en-GB"/>
              </w:rPr>
              <w:t>Apis mellifera</w:t>
            </w:r>
            <w:r w:rsidRPr="00E51CDD">
              <w:rPr>
                <w:iCs/>
                <w:sz w:val="20"/>
                <w:szCs w:val="20"/>
                <w:lang w:val="en-GB"/>
              </w:rPr>
              <w:t>)</w:t>
            </w:r>
          </w:p>
        </w:tc>
        <w:tc>
          <w:tcPr>
            <w:tcW w:w="813" w:type="pct"/>
            <w:vMerge w:val="restart"/>
            <w:tcBorders>
              <w:top w:val="single" w:sz="4" w:space="0" w:color="auto"/>
              <w:left w:val="single" w:sz="4" w:space="0" w:color="auto"/>
              <w:bottom w:val="single" w:sz="4" w:space="0" w:color="auto"/>
              <w:right w:val="single" w:sz="4" w:space="0" w:color="auto"/>
            </w:tcBorders>
            <w:vAlign w:val="center"/>
            <w:hideMark/>
          </w:tcPr>
          <w:p w14:paraId="1286F652" w14:textId="77777777" w:rsidR="00E51CDD" w:rsidRPr="00E51CDD" w:rsidRDefault="00E51CDD" w:rsidP="00E51CDD">
            <w:pPr>
              <w:keepNext/>
              <w:keepLines/>
              <w:shd w:val="clear" w:color="auto" w:fill="FFFFFF"/>
              <w:suppressAutoHyphens/>
              <w:overflowPunct w:val="0"/>
              <w:autoSpaceDE w:val="0"/>
              <w:autoSpaceDN w:val="0"/>
              <w:adjustRightInd w:val="0"/>
              <w:spacing w:before="40" w:after="40"/>
              <w:jc w:val="center"/>
              <w:textAlignment w:val="baseline"/>
              <w:rPr>
                <w:sz w:val="20"/>
                <w:szCs w:val="20"/>
                <w:vertAlign w:val="subscript"/>
                <w:lang w:val="en-GB" w:eastAsia="en-US"/>
              </w:rPr>
            </w:pPr>
            <w:r w:rsidRPr="00E51CDD">
              <w:rPr>
                <w:sz w:val="20"/>
                <w:szCs w:val="20"/>
                <w:lang w:val="en-GB" w:eastAsia="en-US"/>
              </w:rPr>
              <w:t>acute oral,</w:t>
            </w:r>
            <w:r w:rsidRPr="00E51CDD">
              <w:rPr>
                <w:sz w:val="20"/>
                <w:szCs w:val="20"/>
                <w:lang w:val="en-GB" w:eastAsia="en-US"/>
              </w:rPr>
              <w:br/>
              <w:t>48 h LD</w:t>
            </w:r>
            <w:r w:rsidRPr="00E51CDD">
              <w:rPr>
                <w:sz w:val="20"/>
                <w:szCs w:val="20"/>
                <w:vertAlign w:val="subscript"/>
                <w:lang w:val="en-GB" w:eastAsia="en-US"/>
              </w:rPr>
              <w:t>50</w:t>
            </w:r>
          </w:p>
        </w:tc>
        <w:tc>
          <w:tcPr>
            <w:tcW w:w="657" w:type="pct"/>
            <w:tcBorders>
              <w:top w:val="single" w:sz="4" w:space="0" w:color="auto"/>
              <w:left w:val="single" w:sz="4" w:space="0" w:color="auto"/>
              <w:right w:val="single" w:sz="4" w:space="0" w:color="auto"/>
            </w:tcBorders>
            <w:shd w:val="clear" w:color="auto" w:fill="auto"/>
            <w:vAlign w:val="center"/>
          </w:tcPr>
          <w:p w14:paraId="5EA46561" w14:textId="77777777" w:rsidR="00E51CDD" w:rsidRPr="00E51CDD" w:rsidRDefault="00E51CDD" w:rsidP="00E51CDD">
            <w:pPr>
              <w:keepNext/>
              <w:keepLines/>
              <w:shd w:val="clear" w:color="auto" w:fill="FFFFFF"/>
              <w:suppressAutoHyphens/>
              <w:spacing w:before="40" w:after="40"/>
              <w:jc w:val="center"/>
              <w:rPr>
                <w:sz w:val="20"/>
                <w:szCs w:val="20"/>
                <w:lang w:val="en-GB"/>
              </w:rPr>
            </w:pPr>
            <w:r w:rsidRPr="00E51CDD">
              <w:rPr>
                <w:sz w:val="20"/>
                <w:szCs w:val="20"/>
                <w:lang w:val="en-GB"/>
              </w:rPr>
              <w:t>fluxapyroxad</w:t>
            </w:r>
          </w:p>
        </w:tc>
        <w:tc>
          <w:tcPr>
            <w:tcW w:w="382" w:type="pct"/>
            <w:tcBorders>
              <w:top w:val="single" w:sz="4" w:space="0" w:color="auto"/>
              <w:left w:val="single" w:sz="4" w:space="0" w:color="auto"/>
              <w:right w:val="single" w:sz="4" w:space="0" w:color="auto"/>
            </w:tcBorders>
            <w:shd w:val="clear" w:color="auto" w:fill="auto"/>
            <w:vAlign w:val="center"/>
            <w:hideMark/>
          </w:tcPr>
          <w:p w14:paraId="63D21FEA" w14:textId="77777777" w:rsidR="00E51CDD" w:rsidRPr="00E51CDD" w:rsidRDefault="00E51CDD" w:rsidP="00E51CDD">
            <w:pPr>
              <w:keepNext/>
              <w:keepLines/>
              <w:shd w:val="clear" w:color="auto" w:fill="FFFFFF"/>
              <w:suppressAutoHyphens/>
              <w:spacing w:before="40" w:after="40"/>
              <w:jc w:val="center"/>
              <w:rPr>
                <w:sz w:val="20"/>
                <w:szCs w:val="20"/>
                <w:lang w:val="en-GB"/>
              </w:rPr>
            </w:pPr>
            <w:r w:rsidRPr="00E51CDD">
              <w:rPr>
                <w:sz w:val="20"/>
                <w:szCs w:val="20"/>
                <w:lang w:val="en-GB"/>
              </w:rPr>
              <w:t>&gt; 110.9</w:t>
            </w:r>
          </w:p>
        </w:tc>
        <w:tc>
          <w:tcPr>
            <w:tcW w:w="9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1F4082" w14:textId="77777777" w:rsidR="00E51CDD" w:rsidRPr="00E51CDD" w:rsidRDefault="00E51CDD" w:rsidP="00E51CDD">
            <w:pPr>
              <w:keepNext/>
              <w:keepLines/>
              <w:shd w:val="clear" w:color="auto" w:fill="FFFFFF"/>
              <w:suppressAutoHyphens/>
              <w:spacing w:before="40" w:after="40"/>
              <w:jc w:val="center"/>
              <w:rPr>
                <w:sz w:val="20"/>
                <w:szCs w:val="20"/>
                <w:lang w:val="en-GB" w:eastAsia="en-US"/>
              </w:rPr>
            </w:pPr>
            <w:r w:rsidRPr="00E51CDD">
              <w:rPr>
                <w:sz w:val="20"/>
                <w:szCs w:val="20"/>
                <w:lang w:val="en-GB"/>
              </w:rPr>
              <w:t>&gt; 432</w:t>
            </w:r>
            <w:r w:rsidRPr="00E51CDD">
              <w:rPr>
                <w:sz w:val="20"/>
                <w:szCs w:val="20"/>
                <w:lang w:val="en-GB"/>
              </w:rPr>
              <w:br/>
              <w:t>(&gt; 50.1 µg total a.s./bee)</w:t>
            </w:r>
          </w:p>
        </w:tc>
        <w:tc>
          <w:tcPr>
            <w:tcW w:w="990" w:type="pct"/>
            <w:vMerge w:val="restart"/>
            <w:tcBorders>
              <w:top w:val="single" w:sz="4" w:space="0" w:color="auto"/>
              <w:left w:val="single" w:sz="4" w:space="0" w:color="auto"/>
              <w:bottom w:val="single" w:sz="4" w:space="0" w:color="auto"/>
              <w:right w:val="single" w:sz="4" w:space="0" w:color="auto"/>
            </w:tcBorders>
            <w:vAlign w:val="center"/>
            <w:hideMark/>
          </w:tcPr>
          <w:p w14:paraId="3CFA6F4D" w14:textId="77777777" w:rsidR="00E51CDD" w:rsidRPr="00E51CDD" w:rsidRDefault="00E51CDD" w:rsidP="00E51CDD">
            <w:pPr>
              <w:keepNext/>
              <w:keepLines/>
              <w:shd w:val="clear" w:color="auto" w:fill="FFFFFF"/>
              <w:suppressAutoHyphens/>
              <w:spacing w:before="40" w:after="40"/>
              <w:jc w:val="center"/>
              <w:rPr>
                <w:sz w:val="20"/>
                <w:szCs w:val="20"/>
                <w:lang w:val="en-GB" w:eastAsia="en-US"/>
              </w:rPr>
            </w:pPr>
            <w:r w:rsidRPr="00E51CDD">
              <w:rPr>
                <w:sz w:val="20"/>
                <w:szCs w:val="20"/>
                <w:lang w:val="en-GB" w:eastAsia="en-US"/>
              </w:rPr>
              <w:t>&gt; 312.4</w:t>
            </w:r>
            <w:r w:rsidRPr="00E51CDD">
              <w:rPr>
                <w:sz w:val="20"/>
                <w:szCs w:val="20"/>
                <w:lang w:val="en-GB" w:eastAsia="en-US"/>
              </w:rPr>
              <w:br/>
              <w:t>(&gt; 36.2 µg total a.s./bee)</w:t>
            </w:r>
          </w:p>
        </w:tc>
        <w:tc>
          <w:tcPr>
            <w:tcW w:w="608" w:type="pct"/>
            <w:vMerge w:val="restart"/>
            <w:tcBorders>
              <w:top w:val="single" w:sz="4" w:space="0" w:color="auto"/>
              <w:left w:val="single" w:sz="4" w:space="0" w:color="auto"/>
              <w:bottom w:val="single" w:sz="4" w:space="0" w:color="auto"/>
              <w:right w:val="single" w:sz="4" w:space="0" w:color="auto"/>
            </w:tcBorders>
            <w:vAlign w:val="center"/>
            <w:hideMark/>
          </w:tcPr>
          <w:p w14:paraId="6E8CC006" w14:textId="77777777" w:rsidR="00E51CDD" w:rsidRPr="00E51CDD" w:rsidRDefault="00E51CDD" w:rsidP="00E51CDD">
            <w:pPr>
              <w:keepNext/>
              <w:keepLines/>
              <w:shd w:val="clear" w:color="auto" w:fill="FFFFFF"/>
              <w:suppressAutoHyphens/>
              <w:spacing w:before="40" w:after="40"/>
              <w:jc w:val="center"/>
              <w:rPr>
                <w:sz w:val="20"/>
                <w:szCs w:val="20"/>
                <w:lang w:val="en-GB" w:eastAsia="en-US"/>
              </w:rPr>
            </w:pPr>
            <w:r w:rsidRPr="00E51CDD">
              <w:rPr>
                <w:sz w:val="20"/>
                <w:szCs w:val="20"/>
                <w:lang w:val="en-GB" w:eastAsia="en-US"/>
              </w:rPr>
              <w:t>&gt; 0.723</w:t>
            </w:r>
          </w:p>
        </w:tc>
      </w:tr>
      <w:tr w:rsidR="00E51CDD" w:rsidRPr="00E51CDD" w14:paraId="089ADB02" w14:textId="77777777" w:rsidTr="009938D9">
        <w:trPr>
          <w:cantSplit/>
          <w:trHeight w:val="20"/>
        </w:trPr>
        <w:tc>
          <w:tcPr>
            <w:tcW w:w="636" w:type="pct"/>
            <w:vMerge/>
            <w:tcBorders>
              <w:left w:val="single" w:sz="4" w:space="0" w:color="auto"/>
              <w:right w:val="single" w:sz="4" w:space="0" w:color="auto"/>
            </w:tcBorders>
            <w:vAlign w:val="center"/>
            <w:hideMark/>
          </w:tcPr>
          <w:p w14:paraId="764C86CF" w14:textId="77777777" w:rsidR="00E51CDD" w:rsidRPr="00E51CDD" w:rsidRDefault="00E51CDD" w:rsidP="00E51CDD">
            <w:pPr>
              <w:keepNext/>
              <w:keepLines/>
              <w:suppressAutoHyphens/>
              <w:rPr>
                <w:i/>
                <w:sz w:val="20"/>
                <w:szCs w:val="20"/>
                <w:lang w:val="en-GB" w:eastAsia="en-US"/>
              </w:rPr>
            </w:pPr>
          </w:p>
        </w:tc>
        <w:tc>
          <w:tcPr>
            <w:tcW w:w="813" w:type="pct"/>
            <w:vMerge/>
            <w:tcBorders>
              <w:top w:val="single" w:sz="4" w:space="0" w:color="auto"/>
              <w:left w:val="single" w:sz="4" w:space="0" w:color="auto"/>
              <w:bottom w:val="single" w:sz="4" w:space="0" w:color="auto"/>
              <w:right w:val="single" w:sz="4" w:space="0" w:color="auto"/>
            </w:tcBorders>
            <w:vAlign w:val="center"/>
            <w:hideMark/>
          </w:tcPr>
          <w:p w14:paraId="70DCB679" w14:textId="77777777" w:rsidR="00E51CDD" w:rsidRPr="00E51CDD" w:rsidRDefault="00E51CDD" w:rsidP="00E51CDD">
            <w:pPr>
              <w:keepNext/>
              <w:keepLines/>
              <w:suppressAutoHyphens/>
              <w:jc w:val="center"/>
              <w:rPr>
                <w:sz w:val="20"/>
                <w:szCs w:val="20"/>
                <w:vertAlign w:val="subscript"/>
                <w:lang w:val="en-GB" w:eastAsia="en-US"/>
              </w:rPr>
            </w:pP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E5122C9" w14:textId="77777777" w:rsidR="00E51CDD" w:rsidRPr="00E51CDD" w:rsidRDefault="00E51CDD" w:rsidP="00E51CDD">
            <w:pPr>
              <w:keepNext/>
              <w:keepLines/>
              <w:shd w:val="clear" w:color="auto" w:fill="FFFFFF"/>
              <w:suppressAutoHyphens/>
              <w:spacing w:before="40" w:after="40"/>
              <w:jc w:val="center"/>
              <w:rPr>
                <w:sz w:val="20"/>
                <w:szCs w:val="20"/>
                <w:lang w:val="en-GB"/>
              </w:rPr>
            </w:pPr>
            <w:r w:rsidRPr="00E51CDD">
              <w:rPr>
                <w:sz w:val="20"/>
                <w:szCs w:val="20"/>
                <w:lang w:val="en-GB"/>
              </w:rPr>
              <w:t>azoxystrobin</w:t>
            </w:r>
          </w:p>
        </w:tc>
        <w:tc>
          <w:tcPr>
            <w:tcW w:w="3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B06956" w14:textId="77777777" w:rsidR="00E51CDD" w:rsidRPr="00E51CDD" w:rsidRDefault="00E51CDD" w:rsidP="00E51CDD">
            <w:pPr>
              <w:keepNext/>
              <w:keepLines/>
              <w:shd w:val="clear" w:color="auto" w:fill="FFFFFF"/>
              <w:suppressAutoHyphens/>
              <w:spacing w:before="40" w:after="40"/>
              <w:jc w:val="center"/>
              <w:rPr>
                <w:sz w:val="20"/>
                <w:szCs w:val="20"/>
                <w:lang w:val="en-GB"/>
              </w:rPr>
            </w:pPr>
            <w:r w:rsidRPr="00E51CDD">
              <w:rPr>
                <w:sz w:val="20"/>
                <w:szCs w:val="20"/>
                <w:lang w:val="en-GB"/>
              </w:rPr>
              <w:t>&gt; 25</w:t>
            </w:r>
          </w:p>
        </w:tc>
        <w:tc>
          <w:tcPr>
            <w:tcW w:w="91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FC5ECCC" w14:textId="77777777" w:rsidR="00E51CDD" w:rsidRPr="00E51CDD" w:rsidRDefault="00E51CDD" w:rsidP="00E51CDD">
            <w:pPr>
              <w:keepNext/>
              <w:keepLines/>
              <w:suppressAutoHyphens/>
              <w:jc w:val="center"/>
              <w:rPr>
                <w:sz w:val="20"/>
                <w:szCs w:val="20"/>
                <w:lang w:val="en-GB" w:eastAsia="en-US"/>
              </w:rPr>
            </w:pPr>
          </w:p>
        </w:tc>
        <w:tc>
          <w:tcPr>
            <w:tcW w:w="990" w:type="pct"/>
            <w:vMerge/>
            <w:tcBorders>
              <w:top w:val="single" w:sz="4" w:space="0" w:color="auto"/>
              <w:left w:val="single" w:sz="4" w:space="0" w:color="auto"/>
              <w:bottom w:val="single" w:sz="4" w:space="0" w:color="auto"/>
              <w:right w:val="single" w:sz="4" w:space="0" w:color="auto"/>
            </w:tcBorders>
            <w:vAlign w:val="center"/>
            <w:hideMark/>
          </w:tcPr>
          <w:p w14:paraId="571A1ECE" w14:textId="77777777" w:rsidR="00E51CDD" w:rsidRPr="00E51CDD" w:rsidRDefault="00E51CDD" w:rsidP="00E51CDD">
            <w:pPr>
              <w:keepNext/>
              <w:keepLines/>
              <w:suppressAutoHyphens/>
              <w:jc w:val="center"/>
              <w:rPr>
                <w:sz w:val="20"/>
                <w:szCs w:val="20"/>
                <w:lang w:val="en-GB" w:eastAsia="en-US"/>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201CB6BB" w14:textId="77777777" w:rsidR="00E51CDD" w:rsidRPr="00E51CDD" w:rsidRDefault="00E51CDD" w:rsidP="00E51CDD">
            <w:pPr>
              <w:keepNext/>
              <w:keepLines/>
              <w:suppressAutoHyphens/>
              <w:jc w:val="center"/>
              <w:rPr>
                <w:sz w:val="20"/>
                <w:szCs w:val="20"/>
                <w:lang w:val="en-GB" w:eastAsia="en-US"/>
              </w:rPr>
            </w:pPr>
          </w:p>
        </w:tc>
      </w:tr>
      <w:tr w:rsidR="00E51CDD" w:rsidRPr="00E51CDD" w14:paraId="3C1931D7" w14:textId="77777777" w:rsidTr="009938D9">
        <w:trPr>
          <w:cantSplit/>
          <w:trHeight w:val="401"/>
        </w:trPr>
        <w:tc>
          <w:tcPr>
            <w:tcW w:w="636" w:type="pct"/>
            <w:vMerge/>
            <w:tcBorders>
              <w:left w:val="single" w:sz="4" w:space="0" w:color="auto"/>
              <w:right w:val="single" w:sz="4" w:space="0" w:color="auto"/>
            </w:tcBorders>
            <w:vAlign w:val="center"/>
            <w:hideMark/>
          </w:tcPr>
          <w:p w14:paraId="37D0A29C" w14:textId="77777777" w:rsidR="00E51CDD" w:rsidRPr="00E51CDD" w:rsidRDefault="00E51CDD" w:rsidP="00E51CDD">
            <w:pPr>
              <w:keepNext/>
              <w:keepLines/>
              <w:suppressAutoHyphens/>
              <w:rPr>
                <w:i/>
                <w:sz w:val="20"/>
                <w:szCs w:val="20"/>
                <w:lang w:val="en-GB" w:eastAsia="en-US"/>
              </w:rPr>
            </w:pPr>
          </w:p>
        </w:tc>
        <w:tc>
          <w:tcPr>
            <w:tcW w:w="813" w:type="pct"/>
            <w:vMerge w:val="restart"/>
            <w:tcBorders>
              <w:top w:val="single" w:sz="4" w:space="0" w:color="auto"/>
              <w:left w:val="single" w:sz="4" w:space="0" w:color="auto"/>
              <w:bottom w:val="single" w:sz="4" w:space="0" w:color="auto"/>
              <w:right w:val="single" w:sz="4" w:space="0" w:color="auto"/>
            </w:tcBorders>
            <w:vAlign w:val="center"/>
            <w:hideMark/>
          </w:tcPr>
          <w:p w14:paraId="59FB0E11" w14:textId="77777777" w:rsidR="00E51CDD" w:rsidRPr="00E51CDD" w:rsidRDefault="00E51CDD" w:rsidP="00E51CDD">
            <w:pPr>
              <w:keepNext/>
              <w:keepLines/>
              <w:shd w:val="clear" w:color="auto" w:fill="FFFFFF"/>
              <w:suppressAutoHyphens/>
              <w:overflowPunct w:val="0"/>
              <w:autoSpaceDE w:val="0"/>
              <w:autoSpaceDN w:val="0"/>
              <w:adjustRightInd w:val="0"/>
              <w:spacing w:before="40" w:after="40"/>
              <w:jc w:val="center"/>
              <w:textAlignment w:val="baseline"/>
              <w:rPr>
                <w:sz w:val="20"/>
                <w:szCs w:val="20"/>
                <w:vertAlign w:val="subscript"/>
                <w:lang w:val="en-GB" w:eastAsia="en-US"/>
              </w:rPr>
            </w:pPr>
            <w:r w:rsidRPr="00E51CDD">
              <w:rPr>
                <w:sz w:val="20"/>
                <w:szCs w:val="20"/>
                <w:lang w:val="en-GB" w:eastAsia="en-US"/>
              </w:rPr>
              <w:t>acute contact,</w:t>
            </w:r>
            <w:r w:rsidRPr="00E51CDD">
              <w:rPr>
                <w:sz w:val="20"/>
                <w:szCs w:val="20"/>
                <w:lang w:val="en-GB" w:eastAsia="en-US"/>
              </w:rPr>
              <w:br/>
              <w:t>48 h LD</w:t>
            </w:r>
            <w:r w:rsidRPr="00E51CDD">
              <w:rPr>
                <w:sz w:val="20"/>
                <w:szCs w:val="20"/>
                <w:vertAlign w:val="subscript"/>
                <w:lang w:val="en-GB" w:eastAsia="en-US"/>
              </w:rPr>
              <w:t>50</w:t>
            </w:r>
          </w:p>
        </w:tc>
        <w:tc>
          <w:tcPr>
            <w:tcW w:w="657" w:type="pct"/>
            <w:tcBorders>
              <w:top w:val="single" w:sz="4" w:space="0" w:color="auto"/>
              <w:left w:val="single" w:sz="4" w:space="0" w:color="auto"/>
              <w:right w:val="single" w:sz="4" w:space="0" w:color="auto"/>
            </w:tcBorders>
            <w:shd w:val="clear" w:color="auto" w:fill="auto"/>
            <w:vAlign w:val="center"/>
          </w:tcPr>
          <w:p w14:paraId="0F578263" w14:textId="77777777" w:rsidR="00E51CDD" w:rsidRPr="00E51CDD" w:rsidRDefault="00E51CDD" w:rsidP="00E51CDD">
            <w:pPr>
              <w:keepNext/>
              <w:keepLines/>
              <w:shd w:val="clear" w:color="auto" w:fill="FFFFFF"/>
              <w:suppressAutoHyphens/>
              <w:spacing w:before="40" w:after="40"/>
              <w:jc w:val="center"/>
              <w:rPr>
                <w:sz w:val="20"/>
                <w:szCs w:val="20"/>
                <w:lang w:val="en-GB"/>
              </w:rPr>
            </w:pPr>
            <w:r w:rsidRPr="00E51CDD">
              <w:rPr>
                <w:sz w:val="20"/>
                <w:szCs w:val="20"/>
                <w:lang w:val="en-GB"/>
              </w:rPr>
              <w:t>fluxapyroxad</w:t>
            </w:r>
          </w:p>
        </w:tc>
        <w:tc>
          <w:tcPr>
            <w:tcW w:w="382" w:type="pct"/>
            <w:tcBorders>
              <w:top w:val="single" w:sz="4" w:space="0" w:color="auto"/>
              <w:left w:val="single" w:sz="4" w:space="0" w:color="auto"/>
              <w:right w:val="single" w:sz="4" w:space="0" w:color="auto"/>
            </w:tcBorders>
            <w:shd w:val="clear" w:color="auto" w:fill="auto"/>
            <w:vAlign w:val="center"/>
            <w:hideMark/>
          </w:tcPr>
          <w:p w14:paraId="2B31CC22" w14:textId="77777777" w:rsidR="00E51CDD" w:rsidRPr="00E51CDD" w:rsidRDefault="00E51CDD" w:rsidP="00E51CDD">
            <w:pPr>
              <w:keepNext/>
              <w:keepLines/>
              <w:shd w:val="clear" w:color="auto" w:fill="FFFFFF"/>
              <w:suppressAutoHyphens/>
              <w:spacing w:before="40" w:after="40"/>
              <w:jc w:val="center"/>
              <w:rPr>
                <w:sz w:val="20"/>
                <w:szCs w:val="20"/>
                <w:lang w:val="en-GB"/>
              </w:rPr>
            </w:pPr>
            <w:r w:rsidRPr="00E51CDD">
              <w:rPr>
                <w:sz w:val="20"/>
                <w:szCs w:val="20"/>
                <w:lang w:val="en-GB"/>
              </w:rPr>
              <w:t>&gt; 100</w:t>
            </w:r>
          </w:p>
        </w:tc>
        <w:tc>
          <w:tcPr>
            <w:tcW w:w="9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7108B9" w14:textId="77777777" w:rsidR="00E51CDD" w:rsidRPr="00E51CDD" w:rsidRDefault="00E51CDD" w:rsidP="00E51CDD">
            <w:pPr>
              <w:keepNext/>
              <w:keepLines/>
              <w:shd w:val="clear" w:color="auto" w:fill="FFFFFF"/>
              <w:suppressAutoHyphens/>
              <w:spacing w:before="40" w:after="40"/>
              <w:jc w:val="center"/>
              <w:rPr>
                <w:sz w:val="20"/>
                <w:szCs w:val="20"/>
                <w:lang w:val="en-GB"/>
              </w:rPr>
            </w:pPr>
            <w:r w:rsidRPr="00E51CDD">
              <w:rPr>
                <w:sz w:val="20"/>
                <w:szCs w:val="20"/>
                <w:lang w:val="en-GB"/>
              </w:rPr>
              <w:t>&gt; 1000</w:t>
            </w:r>
          </w:p>
          <w:p w14:paraId="7B6868E9" w14:textId="77777777" w:rsidR="00E51CDD" w:rsidRPr="00E51CDD" w:rsidRDefault="00E51CDD" w:rsidP="00E51CDD">
            <w:pPr>
              <w:keepNext/>
              <w:keepLines/>
              <w:shd w:val="clear" w:color="auto" w:fill="FFFFFF"/>
              <w:suppressAutoHyphens/>
              <w:spacing w:before="40" w:after="40"/>
              <w:jc w:val="center"/>
              <w:rPr>
                <w:sz w:val="20"/>
                <w:szCs w:val="20"/>
                <w:lang w:val="en-GB" w:eastAsia="en-US"/>
              </w:rPr>
            </w:pPr>
            <w:r w:rsidRPr="00E51CDD">
              <w:rPr>
                <w:sz w:val="20"/>
                <w:szCs w:val="20"/>
                <w:lang w:val="en-GB"/>
              </w:rPr>
              <w:t>(&gt; 116.0 µg total a.s./bee)</w:t>
            </w:r>
          </w:p>
        </w:tc>
        <w:tc>
          <w:tcPr>
            <w:tcW w:w="990" w:type="pct"/>
            <w:vMerge w:val="restart"/>
            <w:tcBorders>
              <w:top w:val="single" w:sz="4" w:space="0" w:color="auto"/>
              <w:left w:val="single" w:sz="4" w:space="0" w:color="auto"/>
              <w:bottom w:val="single" w:sz="4" w:space="0" w:color="auto"/>
              <w:right w:val="single" w:sz="4" w:space="0" w:color="auto"/>
            </w:tcBorders>
            <w:vAlign w:val="center"/>
            <w:hideMark/>
          </w:tcPr>
          <w:p w14:paraId="6F8DAC53" w14:textId="77777777" w:rsidR="00E51CDD" w:rsidRPr="00E51CDD" w:rsidRDefault="00E51CDD" w:rsidP="00E51CDD">
            <w:pPr>
              <w:keepNext/>
              <w:keepLines/>
              <w:shd w:val="clear" w:color="auto" w:fill="FFFFFF"/>
              <w:suppressAutoHyphens/>
              <w:spacing w:before="40" w:after="40"/>
              <w:jc w:val="center"/>
              <w:rPr>
                <w:sz w:val="20"/>
                <w:szCs w:val="20"/>
                <w:lang w:val="en-GB" w:eastAsia="en-US"/>
              </w:rPr>
            </w:pPr>
            <w:r w:rsidRPr="00E51CDD">
              <w:rPr>
                <w:sz w:val="20"/>
                <w:szCs w:val="20"/>
                <w:lang w:val="en-GB" w:eastAsia="en-US"/>
              </w:rPr>
              <w:t>&gt; 1232.0</w:t>
            </w:r>
            <w:r w:rsidRPr="00E51CDD">
              <w:rPr>
                <w:sz w:val="20"/>
                <w:szCs w:val="20"/>
                <w:lang w:val="en-GB" w:eastAsia="en-US"/>
              </w:rPr>
              <w:br/>
              <w:t>(&gt; 142.9 µg total a.s./bee)</w:t>
            </w:r>
          </w:p>
        </w:tc>
        <w:tc>
          <w:tcPr>
            <w:tcW w:w="608" w:type="pct"/>
            <w:vMerge w:val="restart"/>
            <w:tcBorders>
              <w:top w:val="single" w:sz="4" w:space="0" w:color="auto"/>
              <w:left w:val="single" w:sz="4" w:space="0" w:color="auto"/>
              <w:bottom w:val="single" w:sz="4" w:space="0" w:color="auto"/>
              <w:right w:val="single" w:sz="4" w:space="0" w:color="auto"/>
            </w:tcBorders>
            <w:vAlign w:val="center"/>
            <w:hideMark/>
          </w:tcPr>
          <w:p w14:paraId="2918EBC2" w14:textId="77777777" w:rsidR="00E51CDD" w:rsidRPr="00E51CDD" w:rsidRDefault="00E51CDD" w:rsidP="00E51CDD">
            <w:pPr>
              <w:keepNext/>
              <w:keepLines/>
              <w:shd w:val="clear" w:color="auto" w:fill="FFFFFF"/>
              <w:suppressAutoHyphens/>
              <w:spacing w:before="40" w:after="40"/>
              <w:jc w:val="center"/>
              <w:rPr>
                <w:sz w:val="20"/>
                <w:szCs w:val="20"/>
                <w:lang w:val="en-GB" w:eastAsia="en-US"/>
              </w:rPr>
            </w:pPr>
            <w:r w:rsidRPr="00E51CDD">
              <w:rPr>
                <w:sz w:val="20"/>
                <w:szCs w:val="20"/>
                <w:lang w:val="en-GB" w:eastAsia="en-US"/>
              </w:rPr>
              <w:t>&gt; 1.232</w:t>
            </w:r>
          </w:p>
        </w:tc>
      </w:tr>
      <w:tr w:rsidR="00E51CDD" w:rsidRPr="00E51CDD" w14:paraId="28CB755B" w14:textId="77777777" w:rsidTr="009938D9">
        <w:trPr>
          <w:cantSplit/>
          <w:trHeight w:val="20"/>
        </w:trPr>
        <w:tc>
          <w:tcPr>
            <w:tcW w:w="636" w:type="pct"/>
            <w:vMerge/>
            <w:tcBorders>
              <w:left w:val="single" w:sz="4" w:space="0" w:color="auto"/>
              <w:right w:val="single" w:sz="4" w:space="0" w:color="auto"/>
            </w:tcBorders>
            <w:vAlign w:val="center"/>
            <w:hideMark/>
          </w:tcPr>
          <w:p w14:paraId="2D99E012" w14:textId="77777777" w:rsidR="00E51CDD" w:rsidRPr="00E51CDD" w:rsidRDefault="00E51CDD" w:rsidP="00E51CDD">
            <w:pPr>
              <w:suppressAutoHyphens/>
              <w:rPr>
                <w:i/>
                <w:sz w:val="20"/>
                <w:szCs w:val="20"/>
                <w:lang w:val="en-GB" w:eastAsia="en-US"/>
              </w:rPr>
            </w:pPr>
          </w:p>
        </w:tc>
        <w:tc>
          <w:tcPr>
            <w:tcW w:w="813" w:type="pct"/>
            <w:vMerge/>
            <w:tcBorders>
              <w:top w:val="single" w:sz="4" w:space="0" w:color="auto"/>
              <w:left w:val="single" w:sz="4" w:space="0" w:color="auto"/>
              <w:bottom w:val="single" w:sz="4" w:space="0" w:color="auto"/>
              <w:right w:val="single" w:sz="4" w:space="0" w:color="auto"/>
            </w:tcBorders>
            <w:vAlign w:val="center"/>
            <w:hideMark/>
          </w:tcPr>
          <w:p w14:paraId="0335D9A6" w14:textId="77777777" w:rsidR="00E51CDD" w:rsidRPr="00E51CDD" w:rsidRDefault="00E51CDD" w:rsidP="00E51CDD">
            <w:pPr>
              <w:suppressAutoHyphens/>
              <w:jc w:val="center"/>
              <w:rPr>
                <w:sz w:val="20"/>
                <w:szCs w:val="20"/>
                <w:vertAlign w:val="subscript"/>
                <w:lang w:val="en-GB" w:eastAsia="en-US"/>
              </w:rPr>
            </w:pPr>
          </w:p>
        </w:tc>
        <w:tc>
          <w:tcPr>
            <w:tcW w:w="657" w:type="pct"/>
            <w:tcBorders>
              <w:top w:val="single" w:sz="4" w:space="0" w:color="auto"/>
              <w:left w:val="single" w:sz="4" w:space="0" w:color="auto"/>
              <w:bottom w:val="single" w:sz="4" w:space="0" w:color="auto"/>
              <w:right w:val="single" w:sz="4" w:space="0" w:color="auto"/>
            </w:tcBorders>
          </w:tcPr>
          <w:p w14:paraId="43EB773E" w14:textId="77777777" w:rsidR="00E51CDD" w:rsidRPr="00E51CDD" w:rsidRDefault="00E51CDD" w:rsidP="00E51CDD">
            <w:pPr>
              <w:keepNext/>
              <w:shd w:val="clear" w:color="auto" w:fill="FFFFFF"/>
              <w:suppressAutoHyphens/>
              <w:spacing w:before="40" w:after="40"/>
              <w:jc w:val="center"/>
              <w:rPr>
                <w:sz w:val="20"/>
                <w:szCs w:val="20"/>
                <w:lang w:val="en-GB"/>
              </w:rPr>
            </w:pPr>
            <w:r w:rsidRPr="00E51CDD">
              <w:rPr>
                <w:sz w:val="20"/>
                <w:szCs w:val="20"/>
                <w:lang w:val="en-GB"/>
              </w:rPr>
              <w:t>azoxystrobin</w:t>
            </w:r>
          </w:p>
        </w:tc>
        <w:tc>
          <w:tcPr>
            <w:tcW w:w="382" w:type="pct"/>
            <w:tcBorders>
              <w:top w:val="single" w:sz="4" w:space="0" w:color="auto"/>
              <w:left w:val="single" w:sz="4" w:space="0" w:color="auto"/>
              <w:bottom w:val="single" w:sz="4" w:space="0" w:color="auto"/>
              <w:right w:val="single" w:sz="4" w:space="0" w:color="auto"/>
            </w:tcBorders>
            <w:vAlign w:val="center"/>
            <w:hideMark/>
          </w:tcPr>
          <w:p w14:paraId="3B4A595F" w14:textId="77777777" w:rsidR="00E51CDD" w:rsidRPr="00E51CDD" w:rsidRDefault="00E51CDD" w:rsidP="00E51CDD">
            <w:pPr>
              <w:keepNext/>
              <w:shd w:val="clear" w:color="auto" w:fill="FFFFFF"/>
              <w:suppressAutoHyphens/>
              <w:spacing w:before="40" w:after="40"/>
              <w:jc w:val="center"/>
              <w:rPr>
                <w:sz w:val="20"/>
                <w:szCs w:val="20"/>
                <w:lang w:val="en-GB"/>
              </w:rPr>
            </w:pPr>
            <w:r w:rsidRPr="00E51CDD">
              <w:rPr>
                <w:sz w:val="20"/>
                <w:szCs w:val="20"/>
                <w:lang w:val="en-GB"/>
              </w:rPr>
              <w:t>&gt; 200</w:t>
            </w:r>
          </w:p>
        </w:tc>
        <w:tc>
          <w:tcPr>
            <w:tcW w:w="914" w:type="pct"/>
            <w:vMerge/>
            <w:tcBorders>
              <w:top w:val="single" w:sz="4" w:space="0" w:color="auto"/>
              <w:left w:val="single" w:sz="4" w:space="0" w:color="auto"/>
              <w:bottom w:val="single" w:sz="4" w:space="0" w:color="auto"/>
              <w:right w:val="single" w:sz="4" w:space="0" w:color="auto"/>
            </w:tcBorders>
            <w:vAlign w:val="center"/>
            <w:hideMark/>
          </w:tcPr>
          <w:p w14:paraId="2E5365CF" w14:textId="77777777" w:rsidR="00E51CDD" w:rsidRPr="00E51CDD" w:rsidRDefault="00E51CDD" w:rsidP="00E51CDD">
            <w:pPr>
              <w:suppressAutoHyphens/>
              <w:jc w:val="center"/>
              <w:rPr>
                <w:sz w:val="20"/>
                <w:szCs w:val="20"/>
                <w:lang w:val="en-GB" w:eastAsia="en-US"/>
              </w:rPr>
            </w:pPr>
          </w:p>
        </w:tc>
        <w:tc>
          <w:tcPr>
            <w:tcW w:w="990" w:type="pct"/>
            <w:vMerge/>
            <w:tcBorders>
              <w:top w:val="single" w:sz="4" w:space="0" w:color="auto"/>
              <w:left w:val="single" w:sz="4" w:space="0" w:color="auto"/>
              <w:bottom w:val="single" w:sz="4" w:space="0" w:color="auto"/>
              <w:right w:val="single" w:sz="4" w:space="0" w:color="auto"/>
            </w:tcBorders>
            <w:vAlign w:val="center"/>
            <w:hideMark/>
          </w:tcPr>
          <w:p w14:paraId="507576F0" w14:textId="77777777" w:rsidR="00E51CDD" w:rsidRPr="00E51CDD" w:rsidRDefault="00E51CDD" w:rsidP="00E51CDD">
            <w:pPr>
              <w:suppressAutoHyphens/>
              <w:jc w:val="center"/>
              <w:rPr>
                <w:sz w:val="20"/>
                <w:szCs w:val="20"/>
                <w:lang w:val="en-GB" w:eastAsia="en-US"/>
              </w:rPr>
            </w:pPr>
          </w:p>
        </w:tc>
        <w:tc>
          <w:tcPr>
            <w:tcW w:w="608" w:type="pct"/>
            <w:vMerge/>
            <w:tcBorders>
              <w:top w:val="single" w:sz="4" w:space="0" w:color="auto"/>
              <w:left w:val="single" w:sz="4" w:space="0" w:color="auto"/>
              <w:bottom w:val="single" w:sz="4" w:space="0" w:color="auto"/>
              <w:right w:val="single" w:sz="4" w:space="0" w:color="auto"/>
            </w:tcBorders>
            <w:vAlign w:val="center"/>
            <w:hideMark/>
          </w:tcPr>
          <w:p w14:paraId="4560ACA1" w14:textId="77777777" w:rsidR="00E51CDD" w:rsidRPr="00E51CDD" w:rsidRDefault="00E51CDD" w:rsidP="00E51CDD">
            <w:pPr>
              <w:suppressAutoHyphens/>
              <w:jc w:val="center"/>
              <w:rPr>
                <w:sz w:val="20"/>
                <w:szCs w:val="20"/>
                <w:lang w:val="en-GB" w:eastAsia="en-US"/>
              </w:rPr>
            </w:pPr>
          </w:p>
        </w:tc>
      </w:tr>
    </w:tbl>
    <w:p w14:paraId="2061E7DF" w14:textId="77777777" w:rsidR="00E51CDD" w:rsidRPr="00E51CDD" w:rsidRDefault="00E51CDD" w:rsidP="00E51CDD">
      <w:pPr>
        <w:shd w:val="clear" w:color="auto" w:fill="FFFFFF"/>
        <w:suppressAutoHyphens/>
        <w:spacing w:before="40"/>
        <w:ind w:left="284" w:hanging="284"/>
        <w:jc w:val="both"/>
        <w:rPr>
          <w:sz w:val="18"/>
          <w:szCs w:val="24"/>
          <w:lang w:val="en-GB" w:eastAsia="en-US"/>
        </w:rPr>
      </w:pPr>
      <w:r w:rsidRPr="00E51CDD">
        <w:rPr>
          <w:sz w:val="18"/>
          <w:szCs w:val="24"/>
          <w:lang w:val="en-GB" w:eastAsia="en-US"/>
        </w:rPr>
        <w:t>PPP = Plant Protection Product; CA = concentration addition; MDR = model deviation ratio</w:t>
      </w:r>
    </w:p>
    <w:p w14:paraId="6709183F" w14:textId="77777777" w:rsidR="00E51CDD" w:rsidRPr="00E51CDD" w:rsidRDefault="00E51CDD" w:rsidP="00E51CDD">
      <w:pPr>
        <w:widowControl w:val="0"/>
        <w:suppressAutoHyphens/>
        <w:ind w:left="284" w:hanging="284"/>
        <w:jc w:val="both"/>
        <w:rPr>
          <w:rFonts w:eastAsia="PMingLiU"/>
          <w:sz w:val="18"/>
          <w:szCs w:val="18"/>
          <w:lang w:val="en-GB" w:eastAsia="en-US"/>
        </w:rPr>
      </w:pPr>
      <w:r w:rsidRPr="00E51CDD">
        <w:rPr>
          <w:rFonts w:eastAsia="PMingLiU"/>
          <w:sz w:val="18"/>
          <w:szCs w:val="20"/>
          <w:vertAlign w:val="superscript"/>
          <w:lang w:val="en-GB" w:eastAsia="en-US"/>
        </w:rPr>
        <w:t>1)</w:t>
      </w:r>
      <w:r w:rsidRPr="00E51CDD">
        <w:rPr>
          <w:rFonts w:eastAsia="PMingLiU"/>
          <w:sz w:val="18"/>
          <w:szCs w:val="20"/>
          <w:lang w:val="en-GB" w:eastAsia="en-US"/>
        </w:rPr>
        <w:tab/>
      </w:r>
      <w:bookmarkStart w:id="600" w:name="_Hlk11139717"/>
      <w:r w:rsidRPr="00E51CDD">
        <w:rPr>
          <w:rFonts w:eastAsia="PMingLiU"/>
          <w:sz w:val="18"/>
          <w:szCs w:val="20"/>
          <w:lang w:val="en-GB" w:eastAsia="en-US"/>
        </w:rPr>
        <w:t>The theoretical formulation toxicity of the product was re-calculated based on the measured toxicity data of the active substances and their nominal content</w:t>
      </w:r>
      <w:r w:rsidRPr="00E51CDD">
        <w:rPr>
          <w:rFonts w:eastAsia="PMingLiU"/>
          <w:sz w:val="18"/>
          <w:szCs w:val="18"/>
          <w:lang w:val="en-GB" w:eastAsia="en-US"/>
        </w:rPr>
        <w:t xml:space="preserve"> within the formulation</w:t>
      </w:r>
      <w:r w:rsidRPr="00E51CDD">
        <w:rPr>
          <w:rFonts w:eastAsia="PMingLiU"/>
          <w:sz w:val="18"/>
          <w:szCs w:val="20"/>
          <w:lang w:val="en-GB" w:eastAsia="en-US"/>
        </w:rPr>
        <w:t xml:space="preserve"> (i.e. 50 g fluxapyroxad/L and 75 g azoxystrobin/L)</w:t>
      </w:r>
      <w:r w:rsidRPr="00E51CDD">
        <w:rPr>
          <w:rFonts w:eastAsia="PMingLiU"/>
          <w:sz w:val="18"/>
          <w:szCs w:val="18"/>
          <w:lang w:val="en-GB" w:eastAsia="en-US"/>
        </w:rPr>
        <w:t xml:space="preserve"> and a product density of 1.078 g/cm</w:t>
      </w:r>
      <w:r w:rsidRPr="00E51CDD">
        <w:rPr>
          <w:rFonts w:eastAsia="PMingLiU"/>
          <w:sz w:val="18"/>
          <w:szCs w:val="18"/>
          <w:vertAlign w:val="superscript"/>
          <w:lang w:val="en-GB" w:eastAsia="en-US"/>
        </w:rPr>
        <w:t xml:space="preserve">3 </w:t>
      </w:r>
      <w:r w:rsidRPr="00E51CDD">
        <w:rPr>
          <w:rFonts w:eastAsia="PMingLiU"/>
          <w:sz w:val="18"/>
          <w:szCs w:val="18"/>
          <w:lang w:val="en-GB" w:eastAsia="en-US"/>
        </w:rPr>
        <w:t>from the study.</w:t>
      </w:r>
      <w:bookmarkEnd w:id="600"/>
    </w:p>
    <w:p w14:paraId="62F4189A" w14:textId="5CCB9F2A" w:rsidR="00E51CDD" w:rsidRDefault="00E51CDD" w:rsidP="00E51CDD">
      <w:pPr>
        <w:widowControl w:val="0"/>
        <w:suppressAutoHyphens/>
        <w:jc w:val="both"/>
        <w:rPr>
          <w:lang w:val="en-GB"/>
        </w:rPr>
      </w:pPr>
    </w:p>
    <w:p w14:paraId="0AA5E8DA" w14:textId="77777777" w:rsidR="009938D9" w:rsidRPr="00E51CDD" w:rsidRDefault="009938D9" w:rsidP="00E51CDD">
      <w:pPr>
        <w:widowControl w:val="0"/>
        <w:suppressAutoHyphens/>
        <w:jc w:val="both"/>
        <w:rPr>
          <w:lang w:val="en-GB"/>
        </w:rPr>
      </w:pPr>
    </w:p>
    <w:p w14:paraId="4960C57B" w14:textId="77777777" w:rsidR="00E51CDD" w:rsidRPr="00E51CDD" w:rsidRDefault="00E51CDD" w:rsidP="00E51CDD">
      <w:pPr>
        <w:jc w:val="both"/>
      </w:pPr>
      <w:bookmarkStart w:id="601" w:name="_Hlk524425687"/>
      <w:r w:rsidRPr="00E51CDD">
        <w:rPr>
          <w:lang w:val="en-GB"/>
        </w:rPr>
        <w:t>Under Regulation (EC) No 1107/2009, no adopted risk assessment scheme currently exists for chronic honey bee or honey bee larvae studies</w:t>
      </w:r>
      <w:bookmarkEnd w:id="601"/>
      <w:r w:rsidRPr="00E51CDD">
        <w:rPr>
          <w:lang w:val="en-GB"/>
        </w:rPr>
        <w:t xml:space="preserve">. </w:t>
      </w:r>
      <w:r w:rsidRPr="007776FC">
        <w:rPr>
          <w:strike/>
          <w:color w:val="D9D9D9" w:themeColor="background1" w:themeShade="D9"/>
          <w:lang w:val="en-GB"/>
        </w:rPr>
        <w:t xml:space="preserve">Nevertheless, additional studies were carried out with fluxapyroxad (BAS 700 F), azoxystrobin (BAS 9164 F) and BAS 736 00 F. For fluxapyroxad, </w:t>
      </w:r>
      <w:r w:rsidRPr="007776FC">
        <w:rPr>
          <w:strike/>
          <w:color w:val="D9D9D9" w:themeColor="background1" w:themeShade="D9"/>
          <w:szCs w:val="24"/>
          <w:lang w:val="en-GB" w:eastAsia="fr-FR"/>
        </w:rPr>
        <w:t>chronic toxicity study on honey bees resulted in a NOED ≥ 185 µg/bee/day</w:t>
      </w:r>
      <w:r w:rsidRPr="007776FC">
        <w:rPr>
          <w:strike/>
          <w:color w:val="D9D9D9" w:themeColor="background1" w:themeShade="D9"/>
          <w:lang w:val="en-GB"/>
        </w:rPr>
        <w:t xml:space="preserve">. The NOED derived from the repeated exposure study on honey bee larvae resulted in a NOED of </w:t>
      </w:r>
      <w:r w:rsidRPr="007776FC">
        <w:rPr>
          <w:strike/>
          <w:color w:val="D9D9D9" w:themeColor="background1" w:themeShade="D9"/>
          <w:szCs w:val="24"/>
          <w:lang w:val="en-GB" w:eastAsia="fr-FR"/>
        </w:rPr>
        <w:t>≥</w:t>
      </w:r>
      <w:r w:rsidRPr="007776FC">
        <w:rPr>
          <w:strike/>
          <w:color w:val="D9D9D9" w:themeColor="background1" w:themeShade="D9"/>
          <w:lang w:val="en-GB"/>
        </w:rPr>
        <w:t xml:space="preserve"> 80.0 µg/larva. </w:t>
      </w:r>
      <w:bookmarkStart w:id="602" w:name="_Hlk536092854"/>
      <w:bookmarkStart w:id="603" w:name="_Hlk527959571"/>
      <w:bookmarkStart w:id="604" w:name="_Hlk516217488"/>
      <w:r w:rsidRPr="007776FC">
        <w:rPr>
          <w:strike/>
          <w:color w:val="D9D9D9" w:themeColor="background1" w:themeShade="D9"/>
          <w:lang w:val="en-GB"/>
        </w:rPr>
        <w:t xml:space="preserve">For azoxystrobin, </w:t>
      </w:r>
      <w:r w:rsidRPr="007776FC">
        <w:rPr>
          <w:strike/>
          <w:color w:val="D9D9D9" w:themeColor="background1" w:themeShade="D9"/>
          <w:szCs w:val="24"/>
          <w:lang w:val="en-GB" w:eastAsia="fr-FR"/>
        </w:rPr>
        <w:t>chronic toxicity study on honey bees resulted in a NOED 10.01 µg/bee/day</w:t>
      </w:r>
      <w:r w:rsidRPr="00F80AB2">
        <w:rPr>
          <w:strike/>
          <w:color w:val="D9D9D9" w:themeColor="background1" w:themeShade="D9"/>
          <w:lang w:val="en-GB"/>
        </w:rPr>
        <w:t xml:space="preserve">. The NOED derived from the single exposure study on honey bee larvae resulted in a NOED of </w:t>
      </w:r>
      <w:r w:rsidRPr="00F80AB2">
        <w:rPr>
          <w:strike/>
          <w:color w:val="D9D9D9" w:themeColor="background1" w:themeShade="D9"/>
          <w:szCs w:val="24"/>
          <w:lang w:val="en-GB" w:eastAsia="fr-FR"/>
        </w:rPr>
        <w:t>8.90</w:t>
      </w:r>
      <w:r w:rsidRPr="00F80AB2">
        <w:rPr>
          <w:strike/>
          <w:color w:val="D9D9D9" w:themeColor="background1" w:themeShade="D9"/>
          <w:lang w:val="en-GB"/>
        </w:rPr>
        <w:t xml:space="preserve"> µg/larva.</w:t>
      </w:r>
      <w:r w:rsidRPr="00F80AB2">
        <w:rPr>
          <w:color w:val="D9D9D9" w:themeColor="background1" w:themeShade="D9"/>
          <w:lang w:val="en-GB"/>
        </w:rPr>
        <w:t xml:space="preserve"> </w:t>
      </w:r>
      <w:r w:rsidRPr="00E51CDD">
        <w:rPr>
          <w:lang w:val="en-GB"/>
        </w:rPr>
        <w:t xml:space="preserve">For BAS 736 00 F, the </w:t>
      </w:r>
      <w:r w:rsidRPr="00E51CDD">
        <w:rPr>
          <w:szCs w:val="24"/>
          <w:lang w:val="en-GB" w:eastAsia="fr-FR"/>
        </w:rPr>
        <w:t>chronic toxicity study on honey bees resulted in a NOEDD of 2.2 µg total a.s./bee/day</w:t>
      </w:r>
      <w:r w:rsidRPr="00E51CDD">
        <w:rPr>
          <w:lang w:val="en-GB"/>
        </w:rPr>
        <w:t xml:space="preserve">. The NOED derived from the repeated exposure study on honey bee larvae resulted in a NOED of 13.9 µg a.s./larva. </w:t>
      </w:r>
      <w:r w:rsidRPr="00E51CDD">
        <w:t>In the absence of clear guidance (noted and agreed by member states) a preliminary risk assessment according to the current legal requirements (SANCO/10329/2002 and EPPO 2010) has been conducted and is presented below.</w:t>
      </w:r>
      <w:bookmarkEnd w:id="602"/>
      <w:r w:rsidRPr="00E51CDD">
        <w:t xml:space="preserve"> </w:t>
      </w:r>
    </w:p>
    <w:p w14:paraId="2084CAFD" w14:textId="77777777" w:rsidR="00E51CDD" w:rsidRPr="00E51CDD" w:rsidRDefault="00E51CDD" w:rsidP="00E51CDD">
      <w:pPr>
        <w:jc w:val="both"/>
      </w:pPr>
    </w:p>
    <w:p w14:paraId="216C1471" w14:textId="77777777" w:rsidR="00E51CDD" w:rsidRPr="00E51CDD" w:rsidRDefault="00E51CDD" w:rsidP="00E51CDD">
      <w:pPr>
        <w:autoSpaceDE w:val="0"/>
        <w:autoSpaceDN w:val="0"/>
        <w:jc w:val="both"/>
        <w:rPr>
          <w:lang w:val="en-GB"/>
        </w:rPr>
      </w:pPr>
      <w:r w:rsidRPr="00E51CDD">
        <w:t xml:space="preserve">Repeated exposure of adult honey bees and immature life stages within the hive is realistic for active substances but not for the formulated product (formulants have different physical and chemical properties). Conclusively, chronic exposure of adult bees of more than 10 days and repeated exposure of honey bee larvae to the product as a whole is extremely unrealistic. Hence, data of BAS 736 00 F is considered a worst-case scenario and sufficiently covers exposure to the product and to the active substances. </w:t>
      </w:r>
      <w:r w:rsidRPr="00E51CDD">
        <w:rPr>
          <w:lang w:val="en-GB"/>
        </w:rPr>
        <w:t>In a worst-case approach, the following risk assessment will based on data for BAS</w:t>
      </w:r>
      <w:r w:rsidRPr="00E51CDD">
        <w:t> </w:t>
      </w:r>
      <w:r w:rsidRPr="00E51CDD">
        <w:rPr>
          <w:lang w:val="en-GB"/>
        </w:rPr>
        <w:t>736</w:t>
      </w:r>
      <w:r w:rsidRPr="00E51CDD">
        <w:t> </w:t>
      </w:r>
      <w:r w:rsidRPr="00E51CDD">
        <w:rPr>
          <w:lang w:val="en-GB"/>
        </w:rPr>
        <w:t>00</w:t>
      </w:r>
      <w:r w:rsidRPr="00E51CDD">
        <w:t>.</w:t>
      </w:r>
    </w:p>
    <w:bookmarkEnd w:id="603"/>
    <w:p w14:paraId="4A59064C" w14:textId="77777777" w:rsidR="00E51CDD" w:rsidRPr="00E51CDD" w:rsidRDefault="00E51CDD" w:rsidP="00E51CDD">
      <w:pPr>
        <w:spacing w:line="264" w:lineRule="auto"/>
        <w:jc w:val="both"/>
        <w:rPr>
          <w:szCs w:val="24"/>
          <w:lang w:val="en-GB" w:eastAsia="fr-FR"/>
        </w:rPr>
      </w:pPr>
    </w:p>
    <w:p w14:paraId="545363E1" w14:textId="77777777" w:rsidR="00E51CDD" w:rsidRPr="00E51CDD" w:rsidRDefault="00E51CDD" w:rsidP="00E51CDD">
      <w:pPr>
        <w:spacing w:line="264" w:lineRule="auto"/>
        <w:jc w:val="both"/>
        <w:rPr>
          <w:szCs w:val="24"/>
          <w:lang w:val="en-GB" w:eastAsia="fr-FR"/>
        </w:rPr>
      </w:pPr>
      <w:bookmarkStart w:id="605" w:name="_Hlk30593268"/>
      <w:bookmarkStart w:id="606" w:name="_Hlk524425815"/>
      <w:r w:rsidRPr="00E51CDD">
        <w:rPr>
          <w:szCs w:val="24"/>
          <w:lang w:eastAsia="fr-FR"/>
        </w:rPr>
        <w:t xml:space="preserve">For the </w:t>
      </w:r>
      <w:r w:rsidRPr="00E51CDD">
        <w:rPr>
          <w:b/>
          <w:szCs w:val="24"/>
          <w:lang w:eastAsia="fr-FR"/>
        </w:rPr>
        <w:t>chronic risk assessment for adult honey bees and honey bee larvae</w:t>
      </w:r>
      <w:r w:rsidRPr="00E51CDD">
        <w:rPr>
          <w:szCs w:val="24"/>
          <w:lang w:eastAsia="fr-FR"/>
        </w:rPr>
        <w:t xml:space="preserve">, </w:t>
      </w:r>
      <w:r w:rsidRPr="00E51CDD">
        <w:rPr>
          <w:szCs w:val="24"/>
          <w:lang w:val="en-GB" w:eastAsia="fr-FR"/>
        </w:rPr>
        <w:t>the revised EPPO scheme (2010) suggests calculating the ratio between the NOEL (oral) and the exposure. This approach has been originally proposed for seed treatments but can be directly applied to foliar applications as well. For adult bees, the exposure is assessed through the amount of residues that may be ingested by a bee in one day. The ratio between the NOEL (= NOED in µg a.s./bee/day) and the exposure (also in µg a.s./bee/day) is then calculated as follows:</w:t>
      </w:r>
    </w:p>
    <w:bookmarkEnd w:id="605"/>
    <w:p w14:paraId="1E2B9983" w14:textId="77777777" w:rsidR="00E51CDD" w:rsidRPr="00E51CDD" w:rsidRDefault="00E51CDD" w:rsidP="00E51CDD">
      <w:pPr>
        <w:spacing w:line="264" w:lineRule="auto"/>
        <w:jc w:val="both"/>
        <w:rPr>
          <w:szCs w:val="24"/>
          <w:lang w:val="en-GB" w:eastAsia="fr-FR"/>
        </w:rPr>
      </w:pPr>
    </w:p>
    <w:p w14:paraId="09AD0A37" w14:textId="77777777" w:rsidR="00E51CDD" w:rsidRPr="00E51CDD" w:rsidRDefault="00000000" w:rsidP="00E51CDD">
      <w:pPr>
        <w:spacing w:line="264" w:lineRule="auto"/>
        <w:jc w:val="both"/>
        <w:rPr>
          <w:szCs w:val="24"/>
          <w:lang w:val="en-GB" w:eastAsia="fr-FR"/>
        </w:rPr>
      </w:pPr>
      <m:oMathPara>
        <m:oMath>
          <m:sSub>
            <m:sSubPr>
              <m:ctrlPr>
                <w:rPr>
                  <w:rFonts w:ascii="Cambria Math" w:hAnsi="Cambria Math"/>
                  <w:i/>
                  <w:szCs w:val="24"/>
                  <w:lang w:val="en-GB" w:eastAsia="fr-FR"/>
                </w:rPr>
              </m:ctrlPr>
            </m:sSubPr>
            <m:e>
              <m:r>
                <w:rPr>
                  <w:rFonts w:ascii="Cambria Math" w:hAnsi="Cambria Math"/>
                  <w:szCs w:val="24"/>
                  <w:lang w:val="en-GB" w:eastAsia="fr-FR"/>
                </w:rPr>
                <m:t>TER</m:t>
              </m:r>
            </m:e>
            <m:sub>
              <m:r>
                <w:rPr>
                  <w:rFonts w:ascii="Cambria Math" w:hAnsi="Cambria Math"/>
                  <w:szCs w:val="24"/>
                  <w:lang w:val="en-GB" w:eastAsia="fr-FR"/>
                </w:rPr>
                <m:t>chronic, adult</m:t>
              </m:r>
            </m:sub>
          </m:sSub>
          <m:r>
            <w:rPr>
              <w:rFonts w:ascii="Cambria Math" w:hAnsi="Cambria Math"/>
              <w:szCs w:val="24"/>
              <w:lang w:val="en-GB" w:eastAsia="fr-FR"/>
            </w:rPr>
            <m:t>=</m:t>
          </m:r>
          <m:f>
            <m:fPr>
              <m:ctrlPr>
                <w:rPr>
                  <w:rFonts w:ascii="Cambria Math" w:hAnsi="Cambria Math"/>
                  <w:i/>
                  <w:szCs w:val="24"/>
                  <w:lang w:val="en-GB" w:eastAsia="fr-FR"/>
                </w:rPr>
              </m:ctrlPr>
            </m:fPr>
            <m:num>
              <m:sSub>
                <m:sSubPr>
                  <m:ctrlPr>
                    <w:rPr>
                      <w:rFonts w:ascii="Cambria Math" w:hAnsi="Cambria Math"/>
                      <w:i/>
                      <w:szCs w:val="24"/>
                      <w:lang w:val="en-GB" w:eastAsia="fr-FR"/>
                    </w:rPr>
                  </m:ctrlPr>
                </m:sSubPr>
                <m:e>
                  <m:r>
                    <w:rPr>
                      <w:rFonts w:ascii="Cambria Math" w:hAnsi="Cambria Math"/>
                      <w:szCs w:val="24"/>
                      <w:lang w:val="en-GB" w:eastAsia="fr-FR"/>
                    </w:rPr>
                    <m:t>NOED</m:t>
                  </m:r>
                </m:e>
                <m:sub>
                  <m:r>
                    <w:rPr>
                      <w:rFonts w:ascii="Cambria Math" w:hAnsi="Cambria Math"/>
                      <w:szCs w:val="24"/>
                      <w:lang w:val="en-GB" w:eastAsia="fr-FR"/>
                    </w:rPr>
                    <m:t>oral</m:t>
                  </m:r>
                </m:sub>
              </m:sSub>
              <m:r>
                <w:rPr>
                  <w:rFonts w:ascii="Cambria Math" w:hAnsi="Cambria Math"/>
                  <w:szCs w:val="24"/>
                  <w:lang w:val="en-GB" w:eastAsia="fr-FR"/>
                </w:rPr>
                <m:t xml:space="preserve"> [µg a.s./bee/day]</m:t>
              </m:r>
            </m:num>
            <m:den>
              <m:r>
                <w:rPr>
                  <w:rFonts w:ascii="Cambria Math" w:hAnsi="Cambria Math"/>
                  <w:szCs w:val="24"/>
                  <w:lang w:val="en-GB" w:eastAsia="fr-FR"/>
                </w:rPr>
                <m:t>Amount of residues ingested by a bee in one day [µg a.s./bee/day]</m:t>
              </m:r>
            </m:den>
          </m:f>
        </m:oMath>
      </m:oMathPara>
    </w:p>
    <w:p w14:paraId="2BB3D890" w14:textId="77777777" w:rsidR="001A5145" w:rsidRDefault="001A5145" w:rsidP="00E51CDD">
      <w:pPr>
        <w:spacing w:line="264" w:lineRule="auto"/>
        <w:jc w:val="both"/>
        <w:rPr>
          <w:szCs w:val="24"/>
          <w:lang w:val="en-GB" w:eastAsia="fr-FR"/>
        </w:rPr>
      </w:pPr>
      <w:bookmarkStart w:id="607" w:name="_Hlk30593301"/>
    </w:p>
    <w:p w14:paraId="5011294C" w14:textId="77777777" w:rsidR="001A5145" w:rsidRDefault="001A5145" w:rsidP="00E51CDD">
      <w:pPr>
        <w:spacing w:line="264" w:lineRule="auto"/>
        <w:jc w:val="both"/>
        <w:rPr>
          <w:szCs w:val="24"/>
          <w:lang w:val="en-GB" w:eastAsia="fr-FR"/>
        </w:rPr>
      </w:pPr>
    </w:p>
    <w:p w14:paraId="5B155451" w14:textId="2D87DC0A" w:rsidR="00E51CDD" w:rsidRPr="00E51CDD" w:rsidRDefault="00E51CDD" w:rsidP="00E51CDD">
      <w:pPr>
        <w:spacing w:line="264" w:lineRule="auto"/>
        <w:jc w:val="both"/>
        <w:rPr>
          <w:szCs w:val="24"/>
          <w:lang w:val="en-GB" w:eastAsia="fr-FR"/>
        </w:rPr>
      </w:pPr>
      <w:r w:rsidRPr="00E51CDD">
        <w:rPr>
          <w:szCs w:val="24"/>
          <w:lang w:val="en-GB" w:eastAsia="fr-FR"/>
        </w:rPr>
        <w:t>For the risk assessment t</w:t>
      </w:r>
      <w:bookmarkStart w:id="608" w:name="_Hlk527959776"/>
      <w:r w:rsidRPr="00E51CDD">
        <w:rPr>
          <w:szCs w:val="24"/>
          <w:lang w:val="en-GB" w:eastAsia="fr-FR"/>
        </w:rPr>
        <w:t xml:space="preserve">he exposure of larvae is estimated as the amount of residues that may be ingested by the larvae during their complete larval stage (feeding period of five days) as a worst case assumption. </w:t>
      </w:r>
      <w:bookmarkEnd w:id="608"/>
      <w:r w:rsidRPr="00E51CDD">
        <w:rPr>
          <w:szCs w:val="24"/>
          <w:lang w:val="en-GB" w:eastAsia="fr-FR"/>
        </w:rPr>
        <w:t>For larvae, the ratio between the NOEL (in µg a.s./larva) and the exposure (residues ingested over the five-day feeding period in µg a.s./larva) is calculated by the following equation:</w:t>
      </w:r>
    </w:p>
    <w:bookmarkEnd w:id="607"/>
    <w:p w14:paraId="5C507CEB" w14:textId="77777777" w:rsidR="00E51CDD" w:rsidRPr="00E51CDD" w:rsidRDefault="00E51CDD" w:rsidP="00E51CDD">
      <w:pPr>
        <w:spacing w:line="264" w:lineRule="auto"/>
        <w:jc w:val="both"/>
        <w:rPr>
          <w:szCs w:val="24"/>
          <w:lang w:val="en-GB" w:eastAsia="fr-FR"/>
        </w:rPr>
      </w:pPr>
    </w:p>
    <w:p w14:paraId="16D526E1" w14:textId="77777777" w:rsidR="00E51CDD" w:rsidRPr="00E51CDD" w:rsidRDefault="00E51CDD" w:rsidP="00E51CDD">
      <w:pPr>
        <w:spacing w:line="264" w:lineRule="auto"/>
        <w:jc w:val="both"/>
        <w:rPr>
          <w:szCs w:val="24"/>
          <w:lang w:eastAsia="fr-FR"/>
        </w:rPr>
      </w:pPr>
    </w:p>
    <w:p w14:paraId="0A41419C" w14:textId="77777777" w:rsidR="00E51CDD" w:rsidRPr="00E51CDD" w:rsidRDefault="00000000" w:rsidP="00E51CDD">
      <w:pPr>
        <w:spacing w:line="264" w:lineRule="auto"/>
        <w:jc w:val="both"/>
        <w:rPr>
          <w:szCs w:val="24"/>
          <w:lang w:val="en-GB" w:eastAsia="fr-FR"/>
        </w:rPr>
      </w:pPr>
      <m:oMathPara>
        <m:oMath>
          <m:sSub>
            <m:sSubPr>
              <m:ctrlPr>
                <w:rPr>
                  <w:rFonts w:ascii="Cambria Math" w:hAnsi="Cambria Math"/>
                  <w:i/>
                  <w:szCs w:val="24"/>
                  <w:lang w:val="en-GB" w:eastAsia="fr-FR"/>
                </w:rPr>
              </m:ctrlPr>
            </m:sSubPr>
            <m:e>
              <m:r>
                <w:rPr>
                  <w:rFonts w:ascii="Cambria Math" w:hAnsi="Cambria Math"/>
                  <w:szCs w:val="24"/>
                  <w:lang w:val="en-GB" w:eastAsia="fr-FR"/>
                </w:rPr>
                <m:t>TER</m:t>
              </m:r>
            </m:e>
            <m:sub>
              <m:r>
                <w:rPr>
                  <w:rFonts w:ascii="Cambria Math" w:hAnsi="Cambria Math"/>
                  <w:szCs w:val="24"/>
                  <w:lang w:val="en-GB" w:eastAsia="fr-FR"/>
                </w:rPr>
                <m:t>chronic, larvae</m:t>
              </m:r>
            </m:sub>
          </m:sSub>
          <m:r>
            <w:rPr>
              <w:rFonts w:ascii="Cambria Math" w:hAnsi="Cambria Math"/>
              <w:szCs w:val="24"/>
              <w:lang w:val="en-GB" w:eastAsia="fr-FR"/>
            </w:rPr>
            <m:t>=</m:t>
          </m:r>
          <m:f>
            <m:fPr>
              <m:ctrlPr>
                <w:rPr>
                  <w:rFonts w:ascii="Cambria Math" w:hAnsi="Cambria Math"/>
                  <w:i/>
                  <w:szCs w:val="24"/>
                  <w:lang w:val="en-GB" w:eastAsia="fr-FR"/>
                </w:rPr>
              </m:ctrlPr>
            </m:fPr>
            <m:num>
              <m:sSub>
                <m:sSubPr>
                  <m:ctrlPr>
                    <w:rPr>
                      <w:rFonts w:ascii="Cambria Math" w:hAnsi="Cambria Math"/>
                      <w:i/>
                      <w:szCs w:val="24"/>
                      <w:lang w:val="en-GB" w:eastAsia="fr-FR"/>
                    </w:rPr>
                  </m:ctrlPr>
                </m:sSubPr>
                <m:e>
                  <m:r>
                    <w:rPr>
                      <w:rFonts w:ascii="Cambria Math" w:hAnsi="Cambria Math"/>
                      <w:szCs w:val="24"/>
                      <w:lang w:val="en-GB" w:eastAsia="fr-FR"/>
                    </w:rPr>
                    <m:t>NOEL</m:t>
                  </m:r>
                </m:e>
                <m:sub>
                  <m:r>
                    <w:rPr>
                      <w:rFonts w:ascii="Cambria Math" w:hAnsi="Cambria Math"/>
                      <w:szCs w:val="24"/>
                      <w:lang w:val="en-GB" w:eastAsia="fr-FR"/>
                    </w:rPr>
                    <m:t>oral</m:t>
                  </m:r>
                </m:sub>
              </m:sSub>
              <m:r>
                <w:rPr>
                  <w:rFonts w:ascii="Cambria Math" w:hAnsi="Cambria Math"/>
                  <w:szCs w:val="24"/>
                  <w:lang w:val="en-GB" w:eastAsia="fr-FR"/>
                </w:rPr>
                <m:t>[µg a.s./larva]</m:t>
              </m:r>
            </m:num>
            <m:den>
              <m:r>
                <w:rPr>
                  <w:rFonts w:ascii="Cambria Math" w:hAnsi="Cambria Math"/>
                  <w:szCs w:val="24"/>
                  <w:lang w:val="en-GB" w:eastAsia="fr-FR"/>
                </w:rPr>
                <m:t>Amount of residues ingested by a larva [µg a.s./larva]</m:t>
              </m:r>
            </m:den>
          </m:f>
        </m:oMath>
      </m:oMathPara>
    </w:p>
    <w:p w14:paraId="047EB62C" w14:textId="77777777" w:rsidR="00E51CDD" w:rsidRPr="00E51CDD" w:rsidRDefault="00E51CDD" w:rsidP="00E51CDD">
      <w:pPr>
        <w:spacing w:line="264" w:lineRule="auto"/>
        <w:jc w:val="both"/>
        <w:rPr>
          <w:szCs w:val="24"/>
          <w:lang w:val="en-GB" w:eastAsia="fr-FR"/>
        </w:rPr>
      </w:pPr>
    </w:p>
    <w:p w14:paraId="0C1F67D1" w14:textId="3A5D536A" w:rsidR="00E51CDD" w:rsidRPr="00E51CDD" w:rsidRDefault="00E51CDD" w:rsidP="00E51CDD">
      <w:pPr>
        <w:suppressAutoHyphens/>
        <w:spacing w:line="264" w:lineRule="auto"/>
        <w:jc w:val="both"/>
      </w:pPr>
      <w:bookmarkStart w:id="609" w:name="_Hlk30593321"/>
      <w:r w:rsidRPr="00E51CDD">
        <w:t>Following EPPO (2010) the expected worst-case residue consumption of larvae and adult bees was calculated. For fluxapyroxad and azoxystrobin, no specific RUD residue values were reported. Therefore, overall RUD residue values for spray applications have been used for exposure estimation as reported in EFSA (2017). In order to be protective, we suggest using the 3</w:t>
      </w:r>
      <w:r w:rsidRPr="00E51CDD">
        <w:rPr>
          <w:vertAlign w:val="superscript"/>
        </w:rPr>
        <w:t>rd</w:t>
      </w:r>
      <w:r w:rsidRPr="00E51CDD">
        <w:t xml:space="preserve"> Quantile data which are well above the more realistic median values. Expected residues in nectar and pollen are calculated using the maximum single application of BAS 736 00 F (100 g fluxapyroxad/ha and 150 g azoxystrobin/ha; see </w:t>
      </w:r>
      <w:r w:rsidRPr="00E51CDD">
        <w:fldChar w:fldCharType="begin"/>
      </w:r>
      <w:r w:rsidRPr="00E51CDD">
        <w:instrText xml:space="preserve"> REF _Ref4075895 \h  \* MERGEFORMAT </w:instrText>
      </w:r>
      <w:r w:rsidRPr="00E51CDD">
        <w:fldChar w:fldCharType="separate"/>
      </w:r>
      <w:r w:rsidR="00662F32" w:rsidRPr="00662F32">
        <w:t xml:space="preserve">Table </w:t>
      </w:r>
      <w:r w:rsidR="00662F32" w:rsidRPr="00662F32">
        <w:rPr>
          <w:noProof/>
        </w:rPr>
        <w:t>9.6</w:t>
      </w:r>
      <w:r w:rsidR="00662F32" w:rsidRPr="00662F32">
        <w:rPr>
          <w:noProof/>
        </w:rPr>
        <w:noBreakHyphen/>
        <w:t>8</w:t>
      </w:r>
      <w:r w:rsidRPr="00E51CDD">
        <w:fldChar w:fldCharType="end"/>
      </w:r>
      <w:r w:rsidRPr="00E51CDD">
        <w:t>).</w:t>
      </w:r>
    </w:p>
    <w:p w14:paraId="2BDE6863" w14:textId="77777777" w:rsidR="00E51CDD" w:rsidRPr="00E51CDD" w:rsidRDefault="00E51CDD" w:rsidP="00E51CDD">
      <w:pPr>
        <w:spacing w:line="264" w:lineRule="auto"/>
        <w:jc w:val="both"/>
        <w:rPr>
          <w:szCs w:val="24"/>
          <w:lang w:eastAsia="fr-FR"/>
        </w:rPr>
      </w:pPr>
    </w:p>
    <w:p w14:paraId="0E575EEE" w14:textId="5293DB99" w:rsidR="00E51CDD" w:rsidRPr="00E51CDD" w:rsidRDefault="00E51CDD" w:rsidP="00E51CDD">
      <w:pPr>
        <w:suppressAutoHyphens/>
        <w:rPr>
          <w:b/>
          <w:bCs/>
        </w:rPr>
      </w:pPr>
      <w:bookmarkStart w:id="610" w:name="_Ref4075895"/>
      <w:r w:rsidRPr="00E51CDD">
        <w:rPr>
          <w:b/>
        </w:rPr>
        <w:t xml:space="preserve">Table </w:t>
      </w:r>
      <w:r w:rsidRPr="00E51CDD">
        <w:rPr>
          <w:b/>
        </w:rPr>
        <w:fldChar w:fldCharType="begin"/>
      </w:r>
      <w:r w:rsidRPr="00E51CDD">
        <w:rPr>
          <w:b/>
        </w:rPr>
        <w:instrText xml:space="preserve"> STYLEREF 2 \s </w:instrText>
      </w:r>
      <w:r w:rsidRPr="00E51CDD">
        <w:rPr>
          <w:b/>
        </w:rPr>
        <w:fldChar w:fldCharType="separate"/>
      </w:r>
      <w:r w:rsidR="00662F32">
        <w:rPr>
          <w:b/>
          <w:noProof/>
        </w:rPr>
        <w:t>9.6</w:t>
      </w:r>
      <w:r w:rsidRPr="00E51CDD">
        <w:rPr>
          <w:b/>
        </w:rPr>
        <w:fldChar w:fldCharType="end"/>
      </w:r>
      <w:r w:rsidRPr="00E51CDD">
        <w:rPr>
          <w:b/>
        </w:rPr>
        <w:noBreakHyphen/>
      </w:r>
      <w:r w:rsidRPr="00E51CDD">
        <w:rPr>
          <w:b/>
        </w:rPr>
        <w:fldChar w:fldCharType="begin"/>
      </w:r>
      <w:r w:rsidRPr="00E51CDD">
        <w:rPr>
          <w:b/>
        </w:rPr>
        <w:instrText xml:space="preserve"> SEQ Table \* ARABIC \s 2 </w:instrText>
      </w:r>
      <w:r w:rsidRPr="00E51CDD">
        <w:rPr>
          <w:b/>
        </w:rPr>
        <w:fldChar w:fldCharType="separate"/>
      </w:r>
      <w:r w:rsidR="00662F32">
        <w:rPr>
          <w:b/>
          <w:noProof/>
        </w:rPr>
        <w:t>8</w:t>
      </w:r>
      <w:r w:rsidRPr="00E51CDD">
        <w:rPr>
          <w:b/>
        </w:rPr>
        <w:fldChar w:fldCharType="end"/>
      </w:r>
      <w:bookmarkEnd w:id="610"/>
      <w:r w:rsidRPr="00E51CDD">
        <w:rPr>
          <w:b/>
        </w:rPr>
        <w:t>:</w:t>
      </w:r>
      <w:r w:rsidRPr="00E51CDD">
        <w:rPr>
          <w:b/>
          <w:vertAlign w:val="superscript"/>
        </w:rPr>
        <w:tab/>
      </w:r>
      <w:r w:rsidRPr="00E51CDD">
        <w:rPr>
          <w:b/>
        </w:rPr>
        <w:t>Residue values of the active substances in pollen and nectar</w:t>
      </w:r>
    </w:p>
    <w:tbl>
      <w:tblPr>
        <w:tblStyle w:val="Tabela-Siatka"/>
        <w:tblW w:w="5000" w:type="pct"/>
        <w:tblBorders>
          <w:insideH w:val="single" w:sz="6" w:space="0" w:color="auto"/>
          <w:insideV w:val="single" w:sz="6" w:space="0" w:color="auto"/>
        </w:tblBorders>
        <w:shd w:val="clear" w:color="auto" w:fill="FFFFCC"/>
        <w:tblLook w:val="04A0" w:firstRow="1" w:lastRow="0" w:firstColumn="1" w:lastColumn="0" w:noHBand="0" w:noVBand="1"/>
      </w:tblPr>
      <w:tblGrid>
        <w:gridCol w:w="3708"/>
        <w:gridCol w:w="2813"/>
        <w:gridCol w:w="2824"/>
      </w:tblGrid>
      <w:tr w:rsidR="00E51CDD" w:rsidRPr="009F3C16" w14:paraId="1F19B160" w14:textId="77777777" w:rsidTr="009938D9">
        <w:tc>
          <w:tcPr>
            <w:tcW w:w="1984" w:type="pct"/>
            <w:shd w:val="clear" w:color="auto" w:fill="auto"/>
            <w:vAlign w:val="center"/>
          </w:tcPr>
          <w:p w14:paraId="48E19672" w14:textId="77777777" w:rsidR="00E51CDD" w:rsidRPr="009F3C16" w:rsidRDefault="00E51CDD" w:rsidP="00E51CDD">
            <w:pPr>
              <w:spacing w:before="60" w:after="60"/>
              <w:rPr>
                <w:b/>
                <w:sz w:val="20"/>
                <w:szCs w:val="20"/>
              </w:rPr>
            </w:pPr>
          </w:p>
        </w:tc>
        <w:tc>
          <w:tcPr>
            <w:tcW w:w="1505" w:type="pct"/>
            <w:shd w:val="clear" w:color="auto" w:fill="auto"/>
            <w:vAlign w:val="center"/>
          </w:tcPr>
          <w:p w14:paraId="11555FEB" w14:textId="77777777" w:rsidR="00E51CDD" w:rsidRPr="009F3C16" w:rsidRDefault="00E51CDD" w:rsidP="00E51CDD">
            <w:pPr>
              <w:spacing w:before="60" w:after="60"/>
              <w:rPr>
                <w:b/>
                <w:sz w:val="20"/>
                <w:szCs w:val="20"/>
              </w:rPr>
            </w:pPr>
            <w:r w:rsidRPr="009F3C16">
              <w:rPr>
                <w:b/>
                <w:sz w:val="20"/>
                <w:szCs w:val="20"/>
              </w:rPr>
              <w:t>3</w:t>
            </w:r>
            <w:r w:rsidRPr="009F3C16">
              <w:rPr>
                <w:b/>
                <w:sz w:val="20"/>
                <w:szCs w:val="20"/>
                <w:vertAlign w:val="superscript"/>
              </w:rPr>
              <w:t>rd</w:t>
            </w:r>
            <w:r w:rsidRPr="009F3C16">
              <w:rPr>
                <w:b/>
                <w:sz w:val="20"/>
                <w:szCs w:val="20"/>
              </w:rPr>
              <w:t xml:space="preserve"> quartile RUD</w:t>
            </w:r>
          </w:p>
        </w:tc>
        <w:tc>
          <w:tcPr>
            <w:tcW w:w="1511" w:type="pct"/>
            <w:shd w:val="clear" w:color="auto" w:fill="auto"/>
            <w:vAlign w:val="center"/>
          </w:tcPr>
          <w:p w14:paraId="134D7F4F" w14:textId="77777777" w:rsidR="00E51CDD" w:rsidRPr="009F3C16" w:rsidRDefault="00E51CDD" w:rsidP="00E51CDD">
            <w:pPr>
              <w:spacing w:before="60" w:after="60"/>
              <w:rPr>
                <w:b/>
                <w:sz w:val="20"/>
                <w:szCs w:val="20"/>
              </w:rPr>
            </w:pPr>
            <w:r w:rsidRPr="009F3C16">
              <w:rPr>
                <w:b/>
                <w:sz w:val="20"/>
                <w:szCs w:val="20"/>
              </w:rPr>
              <w:t>Expected residues based on proposed GAP</w:t>
            </w:r>
          </w:p>
        </w:tc>
      </w:tr>
      <w:tr w:rsidR="00E51CDD" w:rsidRPr="009F3C16" w14:paraId="6AD1E815" w14:textId="77777777" w:rsidTr="009938D9">
        <w:tc>
          <w:tcPr>
            <w:tcW w:w="5000" w:type="pct"/>
            <w:gridSpan w:val="3"/>
            <w:shd w:val="clear" w:color="auto" w:fill="auto"/>
            <w:vAlign w:val="center"/>
          </w:tcPr>
          <w:p w14:paraId="37B661C7" w14:textId="77777777" w:rsidR="00E51CDD" w:rsidRPr="009F3C16" w:rsidRDefault="00E51CDD" w:rsidP="00E51CDD">
            <w:pPr>
              <w:spacing w:before="60" w:after="60"/>
              <w:jc w:val="left"/>
              <w:rPr>
                <w:b/>
                <w:sz w:val="20"/>
                <w:szCs w:val="20"/>
              </w:rPr>
            </w:pPr>
            <w:r w:rsidRPr="009F3C16">
              <w:rPr>
                <w:b/>
                <w:sz w:val="20"/>
                <w:szCs w:val="20"/>
              </w:rPr>
              <w:t>Pollen</w:t>
            </w:r>
          </w:p>
        </w:tc>
      </w:tr>
      <w:tr w:rsidR="00E51CDD" w:rsidRPr="009F3C16" w14:paraId="0A6A18DF" w14:textId="77777777" w:rsidTr="009938D9">
        <w:tc>
          <w:tcPr>
            <w:tcW w:w="1984" w:type="pct"/>
            <w:shd w:val="clear" w:color="auto" w:fill="auto"/>
            <w:vAlign w:val="center"/>
          </w:tcPr>
          <w:p w14:paraId="11C150D6" w14:textId="77777777" w:rsidR="00E51CDD" w:rsidRPr="009F3C16" w:rsidRDefault="00E51CDD" w:rsidP="00E51CDD">
            <w:pPr>
              <w:spacing w:before="60" w:after="60"/>
              <w:rPr>
                <w:sz w:val="20"/>
                <w:szCs w:val="20"/>
              </w:rPr>
            </w:pPr>
            <w:r w:rsidRPr="009F3C16">
              <w:rPr>
                <w:sz w:val="20"/>
                <w:szCs w:val="20"/>
              </w:rPr>
              <w:t xml:space="preserve">(total) a.s. in BAS 736 00 F </w:t>
            </w:r>
          </w:p>
          <w:p w14:paraId="4046E81A" w14:textId="77777777" w:rsidR="00E51CDD" w:rsidRPr="009F3C16" w:rsidRDefault="00E51CDD" w:rsidP="00E51CDD">
            <w:pPr>
              <w:spacing w:before="60" w:after="60"/>
              <w:rPr>
                <w:sz w:val="20"/>
                <w:szCs w:val="20"/>
              </w:rPr>
            </w:pPr>
            <w:r w:rsidRPr="009F3C16">
              <w:rPr>
                <w:sz w:val="20"/>
                <w:szCs w:val="20"/>
              </w:rPr>
              <w:t>(Application rate 100 g fluxapyroxad/ha and 150 g azoxystrobin/ha</w:t>
            </w:r>
          </w:p>
        </w:tc>
        <w:tc>
          <w:tcPr>
            <w:tcW w:w="1505" w:type="pct"/>
            <w:shd w:val="clear" w:color="auto" w:fill="auto"/>
            <w:vAlign w:val="center"/>
          </w:tcPr>
          <w:p w14:paraId="7B42F66C" w14:textId="77777777" w:rsidR="00E51CDD" w:rsidRPr="009F3C16" w:rsidRDefault="00E51CDD" w:rsidP="00E51CDD">
            <w:pPr>
              <w:spacing w:before="60" w:after="60"/>
              <w:rPr>
                <w:sz w:val="20"/>
                <w:szCs w:val="20"/>
                <w:highlight w:val="green"/>
                <w:vertAlign w:val="superscript"/>
              </w:rPr>
            </w:pPr>
            <w:r w:rsidRPr="009F3C16">
              <w:rPr>
                <w:sz w:val="20"/>
                <w:szCs w:val="20"/>
              </w:rPr>
              <w:t xml:space="preserve">127.4 mg a.s./kg </w:t>
            </w:r>
            <w:r w:rsidRPr="009F3C16">
              <w:rPr>
                <w:sz w:val="20"/>
                <w:szCs w:val="20"/>
                <w:vertAlign w:val="superscript"/>
              </w:rPr>
              <w:t>1)</w:t>
            </w:r>
          </w:p>
        </w:tc>
        <w:tc>
          <w:tcPr>
            <w:tcW w:w="1511" w:type="pct"/>
            <w:shd w:val="clear" w:color="auto" w:fill="auto"/>
            <w:vAlign w:val="center"/>
          </w:tcPr>
          <w:p w14:paraId="52F48A4A" w14:textId="77777777" w:rsidR="00E51CDD" w:rsidRPr="009F3C16" w:rsidRDefault="00E51CDD" w:rsidP="00E51CDD">
            <w:pPr>
              <w:spacing w:before="60" w:after="60"/>
              <w:rPr>
                <w:sz w:val="20"/>
                <w:szCs w:val="20"/>
              </w:rPr>
            </w:pPr>
            <w:r w:rsidRPr="009F3C16">
              <w:rPr>
                <w:sz w:val="20"/>
                <w:szCs w:val="20"/>
              </w:rPr>
              <w:t>15.93 mg a.s./kg</w:t>
            </w:r>
          </w:p>
        </w:tc>
      </w:tr>
      <w:tr w:rsidR="00E51CDD" w:rsidRPr="009F3C16" w14:paraId="3A84C02A" w14:textId="77777777" w:rsidTr="009938D9">
        <w:tc>
          <w:tcPr>
            <w:tcW w:w="5000" w:type="pct"/>
            <w:gridSpan w:val="3"/>
            <w:shd w:val="clear" w:color="auto" w:fill="auto"/>
            <w:vAlign w:val="center"/>
          </w:tcPr>
          <w:p w14:paraId="2348CA47" w14:textId="77777777" w:rsidR="00E51CDD" w:rsidRPr="009F3C16" w:rsidRDefault="00E51CDD" w:rsidP="00E51CDD">
            <w:pPr>
              <w:spacing w:before="60" w:after="60"/>
              <w:jc w:val="left"/>
              <w:rPr>
                <w:b/>
                <w:sz w:val="20"/>
                <w:szCs w:val="20"/>
              </w:rPr>
            </w:pPr>
            <w:r w:rsidRPr="009F3C16">
              <w:rPr>
                <w:b/>
                <w:sz w:val="20"/>
                <w:szCs w:val="20"/>
              </w:rPr>
              <w:t>Nectar</w:t>
            </w:r>
          </w:p>
        </w:tc>
      </w:tr>
      <w:tr w:rsidR="00E51CDD" w:rsidRPr="009F3C16" w14:paraId="78F03146" w14:textId="77777777" w:rsidTr="009938D9">
        <w:tc>
          <w:tcPr>
            <w:tcW w:w="1984" w:type="pct"/>
            <w:shd w:val="clear" w:color="auto" w:fill="auto"/>
          </w:tcPr>
          <w:p w14:paraId="11CCD1D8" w14:textId="77777777" w:rsidR="00E51CDD" w:rsidRPr="009F3C16" w:rsidRDefault="00E51CDD" w:rsidP="00E51CDD">
            <w:pPr>
              <w:spacing w:before="60" w:after="60"/>
              <w:rPr>
                <w:sz w:val="20"/>
                <w:szCs w:val="20"/>
              </w:rPr>
            </w:pPr>
            <w:r w:rsidRPr="009F3C16">
              <w:rPr>
                <w:sz w:val="20"/>
                <w:szCs w:val="20"/>
              </w:rPr>
              <w:t xml:space="preserve">(total) a.s. in BAS 736 00 F </w:t>
            </w:r>
          </w:p>
          <w:p w14:paraId="799B02FD" w14:textId="77777777" w:rsidR="00E51CDD" w:rsidRPr="009F3C16" w:rsidRDefault="00E51CDD" w:rsidP="00E51CDD">
            <w:pPr>
              <w:spacing w:before="60" w:after="60"/>
              <w:rPr>
                <w:sz w:val="20"/>
                <w:szCs w:val="20"/>
              </w:rPr>
            </w:pPr>
            <w:r w:rsidRPr="009F3C16">
              <w:rPr>
                <w:sz w:val="20"/>
                <w:szCs w:val="20"/>
              </w:rPr>
              <w:t>(Application rate 100 g fluxapyroxad/ha and 150 g azoxystrobin/ha</w:t>
            </w:r>
          </w:p>
        </w:tc>
        <w:tc>
          <w:tcPr>
            <w:tcW w:w="1505" w:type="pct"/>
            <w:shd w:val="clear" w:color="auto" w:fill="auto"/>
            <w:vAlign w:val="center"/>
          </w:tcPr>
          <w:p w14:paraId="4ACE949A" w14:textId="77777777" w:rsidR="00E51CDD" w:rsidRPr="009F3C16" w:rsidRDefault="00E51CDD" w:rsidP="00E51CDD">
            <w:pPr>
              <w:spacing w:before="60" w:after="60"/>
              <w:rPr>
                <w:sz w:val="20"/>
                <w:szCs w:val="20"/>
                <w:highlight w:val="green"/>
                <w:vertAlign w:val="superscript"/>
              </w:rPr>
            </w:pPr>
            <w:r w:rsidRPr="009F3C16">
              <w:rPr>
                <w:sz w:val="20"/>
                <w:szCs w:val="20"/>
              </w:rPr>
              <w:t xml:space="preserve">7.98 mg a.s./kg </w:t>
            </w:r>
            <w:r w:rsidRPr="009F3C16">
              <w:rPr>
                <w:sz w:val="20"/>
                <w:szCs w:val="20"/>
                <w:vertAlign w:val="superscript"/>
              </w:rPr>
              <w:t>1)</w:t>
            </w:r>
          </w:p>
        </w:tc>
        <w:tc>
          <w:tcPr>
            <w:tcW w:w="1511" w:type="pct"/>
            <w:shd w:val="clear" w:color="auto" w:fill="auto"/>
            <w:vAlign w:val="center"/>
          </w:tcPr>
          <w:p w14:paraId="7227B8FA" w14:textId="77777777" w:rsidR="00E51CDD" w:rsidRPr="009F3C16" w:rsidRDefault="00E51CDD" w:rsidP="00E51CDD">
            <w:pPr>
              <w:spacing w:before="60" w:after="60"/>
              <w:rPr>
                <w:sz w:val="20"/>
                <w:szCs w:val="20"/>
              </w:rPr>
            </w:pPr>
            <w:r w:rsidRPr="009F3C16">
              <w:rPr>
                <w:sz w:val="20"/>
                <w:szCs w:val="20"/>
              </w:rPr>
              <w:t>1.00 mg a.s./kg</w:t>
            </w:r>
          </w:p>
        </w:tc>
      </w:tr>
    </w:tbl>
    <w:p w14:paraId="319F3E58" w14:textId="77777777" w:rsidR="00E51CDD" w:rsidRPr="00E51CDD" w:rsidRDefault="00E51CDD" w:rsidP="00E51CDD">
      <w:pPr>
        <w:spacing w:before="40" w:line="264" w:lineRule="auto"/>
        <w:ind w:left="284" w:hanging="284"/>
        <w:jc w:val="both"/>
        <w:rPr>
          <w:sz w:val="18"/>
          <w:szCs w:val="24"/>
          <w:lang w:val="en-GB" w:eastAsia="fr-FR"/>
        </w:rPr>
      </w:pPr>
      <w:r w:rsidRPr="00E51CDD">
        <w:rPr>
          <w:sz w:val="18"/>
          <w:szCs w:val="24"/>
          <w:vertAlign w:val="superscript"/>
          <w:lang w:val="en-GB" w:eastAsia="fr-FR"/>
        </w:rPr>
        <w:t>1)</w:t>
      </w:r>
      <w:r w:rsidRPr="00E51CDD">
        <w:rPr>
          <w:sz w:val="18"/>
          <w:szCs w:val="24"/>
          <w:vertAlign w:val="superscript"/>
          <w:lang w:val="en-GB" w:eastAsia="fr-FR"/>
        </w:rPr>
        <w:tab/>
      </w:r>
      <w:r w:rsidRPr="00E51CDD">
        <w:rPr>
          <w:sz w:val="18"/>
          <w:szCs w:val="24"/>
          <w:lang w:val="en-GB" w:eastAsia="fr-FR"/>
        </w:rPr>
        <w:t xml:space="preserve">Overall RUD values from </w:t>
      </w:r>
      <w:r w:rsidRPr="00E51CDD">
        <w:rPr>
          <w:sz w:val="18"/>
        </w:rPr>
        <w:t>EFSA supporting publication on residues in bee relevant matrices (EFSA 2017).</w:t>
      </w:r>
    </w:p>
    <w:bookmarkEnd w:id="609"/>
    <w:p w14:paraId="45278FCF" w14:textId="24D96069" w:rsidR="00E51CDD" w:rsidRDefault="00E51CDD" w:rsidP="00E51CDD">
      <w:pPr>
        <w:suppressAutoHyphens/>
        <w:spacing w:line="264" w:lineRule="auto"/>
        <w:jc w:val="both"/>
        <w:rPr>
          <w:szCs w:val="24"/>
          <w:lang w:val="en-GB" w:eastAsia="fr-FR"/>
        </w:rPr>
      </w:pPr>
    </w:p>
    <w:p w14:paraId="42546E1E" w14:textId="77777777" w:rsidR="009938D9" w:rsidRPr="00E51CDD" w:rsidRDefault="009938D9" w:rsidP="00E51CDD">
      <w:pPr>
        <w:suppressAutoHyphens/>
        <w:spacing w:line="264" w:lineRule="auto"/>
        <w:jc w:val="both"/>
        <w:rPr>
          <w:szCs w:val="24"/>
          <w:lang w:val="en-GB" w:eastAsia="fr-FR"/>
        </w:rPr>
      </w:pPr>
    </w:p>
    <w:p w14:paraId="19C4C9E0" w14:textId="77777777" w:rsidR="00E51CDD" w:rsidRPr="00E51CDD" w:rsidRDefault="00E51CDD" w:rsidP="00E51CDD">
      <w:pPr>
        <w:spacing w:line="264" w:lineRule="auto"/>
        <w:jc w:val="both"/>
        <w:rPr>
          <w:szCs w:val="24"/>
          <w:highlight w:val="yellow"/>
          <w:lang w:val="en-GB" w:eastAsia="fr-FR"/>
        </w:rPr>
      </w:pPr>
      <w:bookmarkStart w:id="611" w:name="_Hlk30595048"/>
      <w:r w:rsidRPr="00E51CDD">
        <w:rPr>
          <w:szCs w:val="24"/>
          <w:lang w:val="en-GB" w:eastAsia="fr-FR"/>
        </w:rPr>
        <w:t>To calculate the expected consumption of the relevant matrixes EPPO 2010 refers to a review by Rortais</w:t>
      </w:r>
      <w:r w:rsidRPr="00E51CDD">
        <w:rPr>
          <w:i/>
          <w:szCs w:val="24"/>
          <w:lang w:val="en-GB" w:eastAsia="fr-FR"/>
        </w:rPr>
        <w:t xml:space="preserve"> et al. (2005). </w:t>
      </w:r>
      <w:r w:rsidRPr="00E51CDD">
        <w:rPr>
          <w:szCs w:val="24"/>
          <w:lang w:val="en-GB" w:eastAsia="fr-FR"/>
        </w:rPr>
        <w:t>For adult honey bees, only nectar consumption is relevant as adult bees do not consume pollen.</w:t>
      </w:r>
    </w:p>
    <w:p w14:paraId="2D814967" w14:textId="77777777" w:rsidR="00E51CDD" w:rsidRPr="00E51CDD" w:rsidRDefault="00E51CDD" w:rsidP="00E51CDD">
      <w:pPr>
        <w:suppressAutoHyphens/>
        <w:jc w:val="both"/>
        <w:rPr>
          <w:strike/>
          <w:szCs w:val="24"/>
          <w:lang w:val="en-GB" w:eastAsia="fr-FR"/>
        </w:rPr>
      </w:pPr>
      <w:r w:rsidRPr="00E51CDD">
        <w:rPr>
          <w:szCs w:val="24"/>
          <w:lang w:val="en-GB" w:eastAsia="fr-FR"/>
        </w:rPr>
        <w:t>In Rortais</w:t>
      </w:r>
      <w:r w:rsidRPr="00E51CDD">
        <w:rPr>
          <w:i/>
          <w:szCs w:val="24"/>
          <w:lang w:val="en-GB" w:eastAsia="fr-FR"/>
        </w:rPr>
        <w:t xml:space="preserve"> et al. (2005)</w:t>
      </w:r>
      <w:r w:rsidRPr="00E51CDD">
        <w:rPr>
          <w:szCs w:val="24"/>
          <w:lang w:val="en-GB" w:eastAsia="fr-FR"/>
        </w:rPr>
        <w:t xml:space="preserve"> the maximum amount of sugar an adult bee consumes per day is given as 128 mg/bee/day. Based on nectar sugar concentration of 30% this corresponds to a total consumption of approximately 426.7 mg/bee/day, which can be considered an unrealistic worst-case scenario. In the absence of clear guidance, the nectar sugar concentration was taken from </w:t>
      </w:r>
      <w:r w:rsidRPr="00E51CDD">
        <w:rPr>
          <w:iCs/>
          <w:szCs w:val="24"/>
          <w:lang w:val="en-GB" w:eastAsia="fr-FR"/>
        </w:rPr>
        <w:t>Rortais</w:t>
      </w:r>
      <w:r w:rsidRPr="00E51CDD">
        <w:rPr>
          <w:i/>
          <w:iCs/>
          <w:szCs w:val="24"/>
          <w:lang w:val="en-GB" w:eastAsia="fr-FR"/>
        </w:rPr>
        <w:t xml:space="preserve"> et al</w:t>
      </w:r>
      <w:r w:rsidRPr="00E51CDD">
        <w:rPr>
          <w:szCs w:val="24"/>
          <w:lang w:val="en-GB" w:eastAsia="fr-FR"/>
        </w:rPr>
        <w:t>. (2005),</w:t>
      </w:r>
      <w:r w:rsidRPr="00E51CDD">
        <w:rPr>
          <w:i/>
          <w:iCs/>
          <w:szCs w:val="24"/>
          <w:lang w:val="en-GB" w:eastAsia="fr-FR"/>
        </w:rPr>
        <w:t xml:space="preserve"> </w:t>
      </w:r>
      <w:r w:rsidRPr="00E51CDD">
        <w:rPr>
          <w:szCs w:val="24"/>
          <w:lang w:val="en-GB" w:eastAsia="fr-FR"/>
        </w:rPr>
        <w:t xml:space="preserve">which cite a range of sugar concentrations in nectars between 5-80% specifically mentioning 40% as representative in bee attractive crops. This range suggests that 30% sugar concentration can be considered conservative for crop plants, which is well supported by the literature (Pamminger </w:t>
      </w:r>
      <w:r w:rsidRPr="00E51CDD">
        <w:rPr>
          <w:i/>
          <w:szCs w:val="24"/>
          <w:lang w:val="en-GB" w:eastAsia="fr-FR"/>
        </w:rPr>
        <w:t>et al</w:t>
      </w:r>
      <w:r w:rsidRPr="00E51CDD">
        <w:rPr>
          <w:szCs w:val="24"/>
          <w:lang w:val="en-GB" w:eastAsia="fr-FR"/>
        </w:rPr>
        <w:t>. 2019). For honey bee larvae Rortais</w:t>
      </w:r>
      <w:r w:rsidRPr="00E51CDD">
        <w:rPr>
          <w:i/>
          <w:szCs w:val="24"/>
          <w:lang w:val="en-GB" w:eastAsia="fr-FR"/>
        </w:rPr>
        <w:t xml:space="preserve"> et al.</w:t>
      </w:r>
      <w:r w:rsidRPr="00E51CDD">
        <w:rPr>
          <w:szCs w:val="24"/>
          <w:lang w:val="en-GB" w:eastAsia="fr-FR"/>
        </w:rPr>
        <w:t xml:space="preserve"> (2005) gives a maximum of 59.4 mg sugar/5days, which corresponds to a nectar consumption of 198 mg/5days based on 30% sugar concentration in nectar. In addition to their nectar requirements honey bee larvae consume up to 2 mg pollen/5days (</w:t>
      </w:r>
      <w:r w:rsidRPr="00E51CDD">
        <w:rPr>
          <w:iCs/>
          <w:szCs w:val="24"/>
          <w:lang w:val="en-GB" w:eastAsia="fr-FR"/>
        </w:rPr>
        <w:t>Babendreier</w:t>
      </w:r>
      <w:r w:rsidRPr="00E51CDD">
        <w:rPr>
          <w:i/>
          <w:iCs/>
          <w:szCs w:val="24"/>
          <w:lang w:val="en-GB" w:eastAsia="fr-FR"/>
        </w:rPr>
        <w:t xml:space="preserve"> et al</w:t>
      </w:r>
      <w:r w:rsidRPr="00E51CDD">
        <w:rPr>
          <w:szCs w:val="24"/>
          <w:lang w:val="en-GB" w:eastAsia="fr-FR"/>
        </w:rPr>
        <w:t>. 2004)</w:t>
      </w:r>
      <w:r w:rsidRPr="00E51CDD">
        <w:rPr>
          <w:iCs/>
          <w:szCs w:val="24"/>
          <w:lang w:val="en-GB" w:eastAsia="fr-FR"/>
        </w:rPr>
        <w:t xml:space="preserve">. </w:t>
      </w:r>
      <w:r w:rsidRPr="00E51CDD">
        <w:rPr>
          <w:szCs w:val="24"/>
          <w:lang w:val="en-GB" w:eastAsia="fr-FR"/>
        </w:rPr>
        <w:t xml:space="preserve">It is to be noted that the pollen consumption values mentioned in </w:t>
      </w:r>
      <w:r w:rsidRPr="00E51CDD">
        <w:rPr>
          <w:iCs/>
          <w:szCs w:val="24"/>
          <w:lang w:val="en-GB" w:eastAsia="fr-FR"/>
        </w:rPr>
        <w:t xml:space="preserve">Rortais </w:t>
      </w:r>
      <w:r w:rsidRPr="00E51CDD">
        <w:rPr>
          <w:i/>
          <w:iCs/>
          <w:szCs w:val="24"/>
          <w:lang w:val="en-GB" w:eastAsia="fr-FR"/>
        </w:rPr>
        <w:t xml:space="preserve">et al. </w:t>
      </w:r>
      <w:r w:rsidRPr="00E51CDD">
        <w:rPr>
          <w:iCs/>
          <w:szCs w:val="24"/>
          <w:lang w:val="en-GB" w:eastAsia="fr-FR"/>
        </w:rPr>
        <w:t xml:space="preserve">(2005) based on a citation of </w:t>
      </w:r>
      <w:r w:rsidRPr="00E51CDD">
        <w:rPr>
          <w:szCs w:val="24"/>
          <w:lang w:val="en-GB" w:eastAsia="fr-FR"/>
        </w:rPr>
        <w:t xml:space="preserve">Babendreier </w:t>
      </w:r>
      <w:r w:rsidRPr="00E51CDD">
        <w:rPr>
          <w:i/>
          <w:iCs/>
          <w:szCs w:val="24"/>
          <w:lang w:val="en-GB" w:eastAsia="fr-FR"/>
        </w:rPr>
        <w:t>et al</w:t>
      </w:r>
      <w:r w:rsidRPr="00E51CDD">
        <w:rPr>
          <w:szCs w:val="24"/>
          <w:lang w:val="en-GB" w:eastAsia="fr-FR"/>
        </w:rPr>
        <w:t xml:space="preserve">. (2004) are not the values which are mentioned in the original publication Babendreier </w:t>
      </w:r>
      <w:r w:rsidRPr="00E51CDD">
        <w:rPr>
          <w:i/>
          <w:iCs/>
          <w:szCs w:val="24"/>
          <w:lang w:val="en-GB" w:eastAsia="fr-FR"/>
        </w:rPr>
        <w:t>et al</w:t>
      </w:r>
      <w:r w:rsidRPr="00E51CDD">
        <w:rPr>
          <w:szCs w:val="24"/>
          <w:lang w:val="en-GB" w:eastAsia="fr-FR"/>
        </w:rPr>
        <w:t xml:space="preserve">. </w:t>
      </w:r>
      <w:r w:rsidRPr="00E51CDD">
        <w:rPr>
          <w:szCs w:val="24"/>
          <w:lang w:eastAsia="fr-FR"/>
        </w:rPr>
        <w:t>(2004).</w:t>
      </w:r>
    </w:p>
    <w:bookmarkEnd w:id="611"/>
    <w:p w14:paraId="53E9C2A4" w14:textId="5267843B" w:rsidR="00E51CDD" w:rsidRPr="00E51CDD" w:rsidRDefault="009938D9" w:rsidP="00E51CDD">
      <w:pPr>
        <w:suppressAutoHyphens/>
        <w:jc w:val="both"/>
        <w:rPr>
          <w:strike/>
          <w:szCs w:val="24"/>
          <w:lang w:val="en-GB" w:eastAsia="fr-FR"/>
        </w:rPr>
      </w:pPr>
      <w:r>
        <w:rPr>
          <w:strike/>
          <w:szCs w:val="24"/>
          <w:lang w:val="en-GB" w:eastAsia="fr-FR"/>
        </w:rPr>
        <w:br w:type="page"/>
      </w:r>
    </w:p>
    <w:p w14:paraId="49DCFFB2" w14:textId="79F9A715" w:rsidR="00E51CDD" w:rsidRPr="00E51CDD" w:rsidRDefault="00E51CDD" w:rsidP="00E51CDD">
      <w:pPr>
        <w:tabs>
          <w:tab w:val="left" w:pos="360"/>
          <w:tab w:val="left" w:pos="450"/>
        </w:tabs>
        <w:suppressAutoHyphens/>
        <w:jc w:val="both"/>
        <w:rPr>
          <w:b/>
          <w:szCs w:val="24"/>
          <w:lang w:val="en-GB" w:eastAsia="fr-FR"/>
        </w:rPr>
      </w:pPr>
      <w:bookmarkStart w:id="612" w:name="_Hlk25165651"/>
      <w:r w:rsidRPr="00E51CDD">
        <w:rPr>
          <w:szCs w:val="24"/>
          <w:lang w:val="en-GB" w:eastAsia="fr-FR"/>
        </w:rPr>
        <w:lastRenderedPageBreak/>
        <w:t xml:space="preserve">To calculate the residue intake of BAS 736 00 F </w:t>
      </w:r>
      <w:bookmarkEnd w:id="612"/>
      <w:r w:rsidRPr="00E51CDD">
        <w:rPr>
          <w:szCs w:val="24"/>
          <w:lang w:val="en-GB" w:eastAsia="fr-FR"/>
        </w:rPr>
        <w:t xml:space="preserve">by adult honey bees and honey bee larvae, </w:t>
      </w:r>
      <w:bookmarkStart w:id="613" w:name="_Hlk30595438"/>
      <w:r w:rsidRPr="00E51CDD">
        <w:rPr>
          <w:szCs w:val="24"/>
          <w:lang w:val="en-GB" w:eastAsia="fr-FR"/>
        </w:rPr>
        <w:t xml:space="preserve">the consumed amounts of pollen and nectar are multiplied with relevant measured residue in nectar and pollen </w:t>
      </w:r>
      <w:bookmarkStart w:id="614" w:name="_Hlk25165912"/>
      <w:r w:rsidRPr="00E51CDD">
        <w:rPr>
          <w:szCs w:val="24"/>
          <w:lang w:val="en-GB" w:eastAsia="fr-FR"/>
        </w:rPr>
        <w:t xml:space="preserve">after application of BAS 736 00 F </w:t>
      </w:r>
      <w:bookmarkEnd w:id="613"/>
      <w:r w:rsidRPr="00E51CDD">
        <w:rPr>
          <w:szCs w:val="24"/>
          <w:lang w:val="en-GB" w:eastAsia="fr-FR"/>
        </w:rPr>
        <w:t xml:space="preserve">(see </w:t>
      </w:r>
      <w:r w:rsidRPr="00E51CDD">
        <w:rPr>
          <w:szCs w:val="24"/>
          <w:lang w:val="en-GB" w:eastAsia="fr-FR"/>
        </w:rPr>
        <w:fldChar w:fldCharType="begin"/>
      </w:r>
      <w:r w:rsidRPr="00E51CDD">
        <w:rPr>
          <w:szCs w:val="24"/>
          <w:lang w:val="en-GB" w:eastAsia="fr-FR"/>
        </w:rPr>
        <w:instrText xml:space="preserve"> REF _Ref82438593 \h  \* MERGEFORMAT </w:instrText>
      </w:r>
      <w:r w:rsidRPr="00E51CDD">
        <w:rPr>
          <w:szCs w:val="24"/>
          <w:lang w:val="en-GB" w:eastAsia="fr-FR"/>
        </w:rPr>
      </w:r>
      <w:r w:rsidRPr="00E51CDD">
        <w:rPr>
          <w:szCs w:val="24"/>
          <w:lang w:val="en-GB" w:eastAsia="fr-FR"/>
        </w:rPr>
        <w:fldChar w:fldCharType="separate"/>
      </w:r>
      <w:r w:rsidR="00662F32" w:rsidRPr="00662F32">
        <w:t xml:space="preserve">Table </w:t>
      </w:r>
      <w:r w:rsidR="00662F32" w:rsidRPr="00662F32">
        <w:rPr>
          <w:noProof/>
        </w:rPr>
        <w:t>9.6</w:t>
      </w:r>
      <w:r w:rsidR="00662F32" w:rsidRPr="00662F32">
        <w:rPr>
          <w:noProof/>
        </w:rPr>
        <w:noBreakHyphen/>
        <w:t>9</w:t>
      </w:r>
      <w:r w:rsidRPr="00E51CDD">
        <w:rPr>
          <w:szCs w:val="24"/>
          <w:lang w:val="en-GB" w:eastAsia="fr-FR"/>
        </w:rPr>
        <w:fldChar w:fldCharType="end"/>
      </w:r>
      <w:r w:rsidRPr="00E51CDD">
        <w:rPr>
          <w:szCs w:val="24"/>
          <w:lang w:eastAsia="fr-FR"/>
        </w:rPr>
        <w:t xml:space="preserve">). The calculated chronic TER values are given in </w:t>
      </w:r>
      <w:r w:rsidRPr="00E51CDD">
        <w:rPr>
          <w:szCs w:val="24"/>
          <w:lang w:eastAsia="fr-FR"/>
        </w:rPr>
        <w:fldChar w:fldCharType="begin"/>
      </w:r>
      <w:r w:rsidRPr="00E51CDD">
        <w:rPr>
          <w:szCs w:val="24"/>
          <w:lang w:eastAsia="fr-FR"/>
        </w:rPr>
        <w:instrText xml:space="preserve"> REF _Ref82439282 \h  \* MERGEFORMAT </w:instrText>
      </w:r>
      <w:r w:rsidRPr="00E51CDD">
        <w:rPr>
          <w:szCs w:val="24"/>
          <w:lang w:eastAsia="fr-FR"/>
        </w:rPr>
      </w:r>
      <w:r w:rsidRPr="00E51CDD">
        <w:rPr>
          <w:szCs w:val="24"/>
          <w:lang w:eastAsia="fr-FR"/>
        </w:rPr>
        <w:fldChar w:fldCharType="separate"/>
      </w:r>
      <w:r w:rsidR="00662F32" w:rsidRPr="00662F32">
        <w:rPr>
          <w:szCs w:val="20"/>
          <w:lang w:val="en-GB"/>
        </w:rPr>
        <w:t xml:space="preserve">Table </w:t>
      </w:r>
      <w:r w:rsidR="00662F32" w:rsidRPr="00662F32">
        <w:rPr>
          <w:noProof/>
          <w:szCs w:val="20"/>
          <w:lang w:val="en-GB"/>
        </w:rPr>
        <w:t>9.6</w:t>
      </w:r>
      <w:r w:rsidR="00662F32" w:rsidRPr="00662F32">
        <w:rPr>
          <w:noProof/>
          <w:szCs w:val="20"/>
          <w:lang w:val="en-GB"/>
        </w:rPr>
        <w:noBreakHyphen/>
        <w:t>10</w:t>
      </w:r>
      <w:r w:rsidRPr="00E51CDD">
        <w:rPr>
          <w:szCs w:val="24"/>
          <w:lang w:eastAsia="fr-FR"/>
        </w:rPr>
        <w:fldChar w:fldCharType="end"/>
      </w:r>
      <w:r w:rsidRPr="00E51CDD">
        <w:rPr>
          <w:szCs w:val="24"/>
          <w:lang w:eastAsia="fr-FR"/>
        </w:rPr>
        <w:t xml:space="preserve">. </w:t>
      </w:r>
      <w:r w:rsidRPr="00E51CDD">
        <w:rPr>
          <w:szCs w:val="24"/>
          <w:lang w:val="en-GB" w:eastAsia="fr-FR"/>
        </w:rPr>
        <w:t xml:space="preserve">These TERs are compared to the trigger of 1 as proposed in the revised EPPO scheme (2010). </w:t>
      </w:r>
      <w:bookmarkStart w:id="615" w:name="_Hlk11836172"/>
      <w:r w:rsidRPr="00E51CDD">
        <w:rPr>
          <w:b/>
          <w:bCs/>
          <w:szCs w:val="24"/>
          <w:lang w:val="en-GB" w:eastAsia="fr-FR"/>
        </w:rPr>
        <w:t xml:space="preserve">Given the protective worst-case assumptions underlying this risk assessment (detailed above), as well as the fact that all </w:t>
      </w:r>
      <w:r w:rsidRPr="00E51CDD">
        <w:rPr>
          <w:b/>
          <w:szCs w:val="24"/>
          <w:lang w:val="en-GB" w:eastAsia="fr-FR"/>
        </w:rPr>
        <w:t xml:space="preserve">calculated TERs far exceed the suggested trigger by at least a factor of 5, it can be concluded that </w:t>
      </w:r>
      <w:r w:rsidRPr="00E51CDD">
        <w:rPr>
          <w:b/>
          <w:bCs/>
          <w:szCs w:val="24"/>
          <w:lang w:val="en-GB" w:eastAsia="fr-FR"/>
        </w:rPr>
        <w:t>the risk for chronic adult and developmental exposure to honey bees can be considered acceptable</w:t>
      </w:r>
      <w:bookmarkEnd w:id="615"/>
      <w:r w:rsidRPr="00E51CDD">
        <w:rPr>
          <w:b/>
          <w:szCs w:val="24"/>
          <w:lang w:val="en-GB" w:eastAsia="fr-FR"/>
        </w:rPr>
        <w:t>.</w:t>
      </w:r>
    </w:p>
    <w:bookmarkEnd w:id="614"/>
    <w:p w14:paraId="3E4A1BA4" w14:textId="77777777" w:rsidR="00E51CDD" w:rsidRPr="00E51CDD" w:rsidRDefault="00E51CDD" w:rsidP="00E51CDD">
      <w:pPr>
        <w:spacing w:line="264" w:lineRule="auto"/>
        <w:jc w:val="both"/>
        <w:rPr>
          <w:b/>
          <w:szCs w:val="24"/>
          <w:lang w:val="en-GB" w:eastAsia="fr-FR"/>
        </w:rPr>
      </w:pPr>
    </w:p>
    <w:p w14:paraId="3C134376" w14:textId="1197B35C" w:rsidR="00E51CDD" w:rsidRPr="00E51CDD" w:rsidRDefault="00E51CDD" w:rsidP="00E51CDD">
      <w:pPr>
        <w:ind w:left="1418" w:hanging="1418"/>
        <w:jc w:val="both"/>
        <w:rPr>
          <w:b/>
          <w:bCs/>
          <w:szCs w:val="20"/>
        </w:rPr>
      </w:pPr>
      <w:bookmarkStart w:id="616" w:name="_Ref82438593"/>
      <w:r w:rsidRPr="00E51CDD">
        <w:rPr>
          <w:b/>
          <w:bCs/>
          <w:szCs w:val="20"/>
        </w:rPr>
        <w:t xml:space="preserve">Table </w:t>
      </w:r>
      <w:r w:rsidRPr="00E51CDD">
        <w:rPr>
          <w:b/>
          <w:bCs/>
          <w:sz w:val="20"/>
          <w:szCs w:val="20"/>
        </w:rPr>
        <w:fldChar w:fldCharType="begin"/>
      </w:r>
      <w:r w:rsidRPr="00E51CDD">
        <w:rPr>
          <w:b/>
          <w:bCs/>
          <w:szCs w:val="20"/>
        </w:rPr>
        <w:instrText xml:space="preserve"> STYLEREF 2 \s </w:instrText>
      </w:r>
      <w:r w:rsidRPr="00E51CDD">
        <w:rPr>
          <w:b/>
          <w:bCs/>
          <w:sz w:val="20"/>
          <w:szCs w:val="20"/>
        </w:rPr>
        <w:fldChar w:fldCharType="separate"/>
      </w:r>
      <w:r w:rsidR="00662F32">
        <w:rPr>
          <w:b/>
          <w:bCs/>
          <w:noProof/>
          <w:szCs w:val="20"/>
        </w:rPr>
        <w:t>9.6</w:t>
      </w:r>
      <w:r w:rsidRPr="00E51CDD">
        <w:rPr>
          <w:b/>
          <w:bCs/>
          <w:sz w:val="20"/>
          <w:szCs w:val="20"/>
        </w:rPr>
        <w:fldChar w:fldCharType="end"/>
      </w:r>
      <w:r w:rsidRPr="00E51CDD">
        <w:rPr>
          <w:b/>
          <w:bCs/>
          <w:szCs w:val="20"/>
        </w:rPr>
        <w:noBreakHyphen/>
      </w:r>
      <w:r w:rsidRPr="00E51CDD">
        <w:rPr>
          <w:b/>
          <w:bCs/>
          <w:sz w:val="20"/>
          <w:szCs w:val="20"/>
        </w:rPr>
        <w:fldChar w:fldCharType="begin"/>
      </w:r>
      <w:r w:rsidRPr="00E51CDD">
        <w:rPr>
          <w:b/>
          <w:bCs/>
          <w:szCs w:val="20"/>
        </w:rPr>
        <w:instrText xml:space="preserve"> SEQ Table \* ARABIC \s 2 </w:instrText>
      </w:r>
      <w:r w:rsidRPr="00E51CDD">
        <w:rPr>
          <w:b/>
          <w:bCs/>
          <w:sz w:val="20"/>
          <w:szCs w:val="20"/>
        </w:rPr>
        <w:fldChar w:fldCharType="separate"/>
      </w:r>
      <w:r w:rsidR="00662F32">
        <w:rPr>
          <w:b/>
          <w:bCs/>
          <w:noProof/>
          <w:szCs w:val="20"/>
        </w:rPr>
        <w:t>9</w:t>
      </w:r>
      <w:r w:rsidRPr="00E51CDD">
        <w:rPr>
          <w:b/>
          <w:bCs/>
          <w:sz w:val="20"/>
          <w:szCs w:val="20"/>
        </w:rPr>
        <w:fldChar w:fldCharType="end"/>
      </w:r>
      <w:bookmarkEnd w:id="616"/>
      <w:r w:rsidRPr="00E51CDD">
        <w:rPr>
          <w:b/>
          <w:bCs/>
          <w:szCs w:val="20"/>
        </w:rPr>
        <w:t>:</w:t>
      </w:r>
      <w:r w:rsidRPr="00E51CDD">
        <w:rPr>
          <w:b/>
          <w:bCs/>
          <w:szCs w:val="20"/>
        </w:rPr>
        <w:tab/>
        <w:t>Total residue intake for adult honey bees and larvae following exposure to BAS 736 00 F according to the proposed uses</w:t>
      </w:r>
    </w:p>
    <w:tbl>
      <w:tblPr>
        <w:tblStyle w:val="Tabela-Siatka"/>
        <w:tblW w:w="5000" w:type="pct"/>
        <w:shd w:val="clear" w:color="auto" w:fill="FFFFCC"/>
        <w:tblLook w:val="04A0" w:firstRow="1" w:lastRow="0" w:firstColumn="1" w:lastColumn="0" w:noHBand="0" w:noVBand="1"/>
      </w:tblPr>
      <w:tblGrid>
        <w:gridCol w:w="3115"/>
        <w:gridCol w:w="3116"/>
        <w:gridCol w:w="3114"/>
      </w:tblGrid>
      <w:tr w:rsidR="00E51CDD" w:rsidRPr="00E51CDD" w14:paraId="2346C3BE" w14:textId="77777777" w:rsidTr="009938D9">
        <w:trPr>
          <w:trHeight w:val="465"/>
        </w:trPr>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0FDA63" w14:textId="77777777" w:rsidR="00E51CDD" w:rsidRPr="00E51CDD" w:rsidRDefault="00E51CDD" w:rsidP="00E51CDD">
            <w:pPr>
              <w:rPr>
                <w:b/>
                <w:sz w:val="20"/>
              </w:rPr>
            </w:pPr>
            <w:r w:rsidRPr="00E51CDD">
              <w:rPr>
                <w:b/>
                <w:sz w:val="20"/>
              </w:rPr>
              <w:t>Honey bee stage</w:t>
            </w: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39DD9B" w14:textId="77777777" w:rsidR="00E51CDD" w:rsidRPr="00E51CDD" w:rsidRDefault="00E51CDD" w:rsidP="00E51CDD">
            <w:pPr>
              <w:rPr>
                <w:b/>
                <w:sz w:val="20"/>
              </w:rPr>
            </w:pPr>
            <w:r w:rsidRPr="00E51CDD">
              <w:rPr>
                <w:b/>
                <w:sz w:val="20"/>
              </w:rPr>
              <w:t>Adult</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F774C1" w14:textId="77777777" w:rsidR="00E51CDD" w:rsidRPr="00E51CDD" w:rsidRDefault="00E51CDD" w:rsidP="00E51CDD">
            <w:pPr>
              <w:rPr>
                <w:b/>
                <w:sz w:val="20"/>
              </w:rPr>
            </w:pPr>
            <w:r w:rsidRPr="00E51CDD">
              <w:rPr>
                <w:b/>
                <w:sz w:val="20"/>
              </w:rPr>
              <w:t>Larva (over 5 days)</w:t>
            </w:r>
          </w:p>
        </w:tc>
      </w:tr>
      <w:tr w:rsidR="00E51CDD" w:rsidRPr="00E51CDD" w14:paraId="59704C95" w14:textId="77777777" w:rsidTr="009938D9">
        <w:trPr>
          <w:trHeight w:val="465"/>
        </w:trPr>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D00944" w14:textId="77777777" w:rsidR="00E51CDD" w:rsidRPr="00E51CDD" w:rsidRDefault="00E51CDD" w:rsidP="00E51CDD">
            <w:pPr>
              <w:rPr>
                <w:sz w:val="20"/>
              </w:rPr>
            </w:pPr>
            <w:r w:rsidRPr="00E51CDD">
              <w:rPr>
                <w:sz w:val="20"/>
              </w:rPr>
              <w:t>Residue in pollen</w:t>
            </w: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006D38" w14:textId="77777777" w:rsidR="00E51CDD" w:rsidRPr="00E51CDD" w:rsidRDefault="00E51CDD" w:rsidP="00E51CDD">
            <w:pPr>
              <w:rPr>
                <w:sz w:val="20"/>
                <w:highlight w:val="yellow"/>
              </w:rPr>
            </w:pPr>
            <w:r w:rsidRPr="00E51CDD">
              <w:rPr>
                <w:color w:val="000000"/>
                <w:sz w:val="20"/>
                <w:szCs w:val="20"/>
              </w:rPr>
              <w:t xml:space="preserve">15.93 mg total a.s./kg </w:t>
            </w:r>
            <w:r w:rsidRPr="00E51CDD">
              <w:rPr>
                <w:color w:val="000000"/>
                <w:sz w:val="20"/>
                <w:szCs w:val="20"/>
              </w:rPr>
              <w:br/>
              <w:t>(= 0.01593 µg total a.s./mg)</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6AA608" w14:textId="77777777" w:rsidR="00E51CDD" w:rsidRPr="00E51CDD" w:rsidRDefault="00E51CDD" w:rsidP="00E51CDD">
            <w:pPr>
              <w:rPr>
                <w:sz w:val="20"/>
                <w:highlight w:val="yellow"/>
              </w:rPr>
            </w:pPr>
            <w:r w:rsidRPr="00E51CDD">
              <w:rPr>
                <w:color w:val="000000"/>
                <w:sz w:val="20"/>
                <w:szCs w:val="20"/>
              </w:rPr>
              <w:t xml:space="preserve">15.93 mg total a.s./kg </w:t>
            </w:r>
            <w:r w:rsidRPr="00E51CDD">
              <w:rPr>
                <w:color w:val="000000"/>
                <w:sz w:val="20"/>
                <w:szCs w:val="20"/>
              </w:rPr>
              <w:br/>
              <w:t>(= 0.01593 µg total a.s./mg)</w:t>
            </w:r>
          </w:p>
        </w:tc>
      </w:tr>
      <w:tr w:rsidR="00E51CDD" w:rsidRPr="00E51CDD" w14:paraId="14323CE5" w14:textId="77777777" w:rsidTr="009938D9">
        <w:trPr>
          <w:trHeight w:val="465"/>
        </w:trPr>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36DB80" w14:textId="77777777" w:rsidR="00E51CDD" w:rsidRPr="00E51CDD" w:rsidRDefault="00E51CDD" w:rsidP="00E51CDD">
            <w:pPr>
              <w:rPr>
                <w:sz w:val="20"/>
              </w:rPr>
            </w:pPr>
            <w:r w:rsidRPr="00E51CDD">
              <w:rPr>
                <w:sz w:val="20"/>
              </w:rPr>
              <w:t>Pollen consumption</w:t>
            </w: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8FA282" w14:textId="77777777" w:rsidR="00E51CDD" w:rsidRPr="00E51CDD" w:rsidRDefault="00E51CDD" w:rsidP="00E51CDD">
            <w:pPr>
              <w:rPr>
                <w:sz w:val="20"/>
                <w:highlight w:val="yellow"/>
              </w:rPr>
            </w:pPr>
            <w:r w:rsidRPr="00E51CDD">
              <w:rPr>
                <w:color w:val="000000"/>
                <w:sz w:val="20"/>
                <w:szCs w:val="20"/>
              </w:rPr>
              <w:t>0</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5A0302" w14:textId="77777777" w:rsidR="00E51CDD" w:rsidRPr="00E51CDD" w:rsidRDefault="00E51CDD" w:rsidP="00E51CDD">
            <w:pPr>
              <w:rPr>
                <w:sz w:val="20"/>
                <w:highlight w:val="yellow"/>
              </w:rPr>
            </w:pPr>
            <w:r w:rsidRPr="00E51CDD">
              <w:rPr>
                <w:color w:val="000000"/>
                <w:sz w:val="20"/>
                <w:szCs w:val="20"/>
              </w:rPr>
              <w:t>2.0 mg/larva</w:t>
            </w:r>
          </w:p>
        </w:tc>
      </w:tr>
      <w:tr w:rsidR="00E51CDD" w:rsidRPr="00E51CDD" w14:paraId="2B1656C2" w14:textId="77777777" w:rsidTr="009938D9">
        <w:trPr>
          <w:trHeight w:val="465"/>
        </w:trPr>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56D682" w14:textId="77777777" w:rsidR="00E51CDD" w:rsidRPr="00E51CDD" w:rsidRDefault="00E51CDD" w:rsidP="00E51CDD">
            <w:pPr>
              <w:rPr>
                <w:sz w:val="20"/>
              </w:rPr>
            </w:pPr>
            <w:r w:rsidRPr="00E51CDD">
              <w:rPr>
                <w:sz w:val="20"/>
              </w:rPr>
              <w:t>Residue intake through pollen</w:t>
            </w: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7037B5" w14:textId="77777777" w:rsidR="00E51CDD" w:rsidRPr="00E51CDD" w:rsidRDefault="00E51CDD" w:rsidP="00E51CDD">
            <w:pPr>
              <w:rPr>
                <w:sz w:val="20"/>
                <w:highlight w:val="yellow"/>
              </w:rPr>
            </w:pPr>
            <w:r w:rsidRPr="00E51CDD">
              <w:rPr>
                <w:color w:val="000000"/>
                <w:sz w:val="20"/>
                <w:szCs w:val="20"/>
              </w:rPr>
              <w:t>0 µg total a.s./bee/day</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15E59B" w14:textId="77777777" w:rsidR="00E51CDD" w:rsidRPr="00E51CDD" w:rsidRDefault="00E51CDD" w:rsidP="00E51CDD">
            <w:pPr>
              <w:rPr>
                <w:sz w:val="20"/>
                <w:highlight w:val="yellow"/>
              </w:rPr>
            </w:pPr>
            <w:r w:rsidRPr="00E51CDD">
              <w:rPr>
                <w:color w:val="000000"/>
                <w:sz w:val="20"/>
                <w:szCs w:val="20"/>
              </w:rPr>
              <w:t>0.032 µg a.s./larva</w:t>
            </w:r>
          </w:p>
        </w:tc>
      </w:tr>
      <w:tr w:rsidR="00E51CDD" w:rsidRPr="00E51CDD" w14:paraId="20BAC070" w14:textId="77777777" w:rsidTr="009938D9">
        <w:trPr>
          <w:trHeight w:val="465"/>
        </w:trPr>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0B1617" w14:textId="77777777" w:rsidR="00E51CDD" w:rsidRPr="00E51CDD" w:rsidRDefault="00E51CDD" w:rsidP="00E51CDD">
            <w:pPr>
              <w:rPr>
                <w:sz w:val="20"/>
              </w:rPr>
            </w:pPr>
            <w:r w:rsidRPr="00E51CDD">
              <w:rPr>
                <w:sz w:val="20"/>
              </w:rPr>
              <w:t>Residue in nectar</w:t>
            </w: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5B1A04" w14:textId="77777777" w:rsidR="00E51CDD" w:rsidRPr="00E51CDD" w:rsidRDefault="00E51CDD" w:rsidP="00E51CDD">
            <w:pPr>
              <w:rPr>
                <w:sz w:val="20"/>
                <w:highlight w:val="yellow"/>
              </w:rPr>
            </w:pPr>
            <w:r w:rsidRPr="00E51CDD">
              <w:rPr>
                <w:color w:val="000000"/>
                <w:sz w:val="20"/>
                <w:szCs w:val="20"/>
              </w:rPr>
              <w:t xml:space="preserve">1.00 mg total a.s./kg </w:t>
            </w:r>
            <w:r w:rsidRPr="00E51CDD">
              <w:rPr>
                <w:color w:val="000000"/>
                <w:sz w:val="20"/>
                <w:szCs w:val="20"/>
              </w:rPr>
              <w:br/>
              <w:t>(= 0.001 µg total a.s./mg)</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01E4FE" w14:textId="77777777" w:rsidR="00E51CDD" w:rsidRPr="00E51CDD" w:rsidRDefault="00E51CDD" w:rsidP="00E51CDD">
            <w:pPr>
              <w:rPr>
                <w:sz w:val="20"/>
                <w:highlight w:val="yellow"/>
              </w:rPr>
            </w:pPr>
            <w:r w:rsidRPr="00E51CDD">
              <w:rPr>
                <w:color w:val="000000"/>
                <w:sz w:val="20"/>
                <w:szCs w:val="20"/>
              </w:rPr>
              <w:t xml:space="preserve">1.00 mg total a.s./kg </w:t>
            </w:r>
            <w:r w:rsidRPr="00E51CDD">
              <w:rPr>
                <w:color w:val="000000"/>
                <w:sz w:val="20"/>
                <w:szCs w:val="20"/>
              </w:rPr>
              <w:br/>
              <w:t>(= 0.001 µg total a.s./mg)</w:t>
            </w:r>
          </w:p>
        </w:tc>
      </w:tr>
      <w:tr w:rsidR="00E51CDD" w:rsidRPr="00E51CDD" w14:paraId="52E143D0" w14:textId="77777777" w:rsidTr="009938D9">
        <w:trPr>
          <w:trHeight w:val="465"/>
        </w:trPr>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754C33" w14:textId="77777777" w:rsidR="00E51CDD" w:rsidRPr="00E51CDD" w:rsidRDefault="00E51CDD" w:rsidP="00E51CDD">
            <w:pPr>
              <w:rPr>
                <w:sz w:val="20"/>
              </w:rPr>
            </w:pPr>
            <w:r w:rsidRPr="00E51CDD">
              <w:rPr>
                <w:sz w:val="20"/>
              </w:rPr>
              <w:t>Nectar consumption</w:t>
            </w: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F90D41" w14:textId="77777777" w:rsidR="00E51CDD" w:rsidRPr="00E51CDD" w:rsidRDefault="00E51CDD" w:rsidP="00E51CDD">
            <w:pPr>
              <w:rPr>
                <w:sz w:val="20"/>
                <w:highlight w:val="yellow"/>
              </w:rPr>
            </w:pPr>
            <w:r w:rsidRPr="00E51CDD">
              <w:rPr>
                <w:color w:val="000000"/>
                <w:sz w:val="20"/>
                <w:szCs w:val="20"/>
              </w:rPr>
              <w:t>426.7 mg/bee/day</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7E5074" w14:textId="77777777" w:rsidR="00E51CDD" w:rsidRPr="00E51CDD" w:rsidRDefault="00E51CDD" w:rsidP="00E51CDD">
            <w:pPr>
              <w:rPr>
                <w:sz w:val="20"/>
                <w:highlight w:val="yellow"/>
              </w:rPr>
            </w:pPr>
            <w:r w:rsidRPr="00E51CDD">
              <w:rPr>
                <w:color w:val="000000"/>
                <w:sz w:val="20"/>
                <w:szCs w:val="20"/>
              </w:rPr>
              <w:t>198.0 mg/larva</w:t>
            </w:r>
          </w:p>
        </w:tc>
      </w:tr>
      <w:tr w:rsidR="00E51CDD" w:rsidRPr="00E51CDD" w14:paraId="2239A066" w14:textId="77777777" w:rsidTr="009938D9">
        <w:trPr>
          <w:trHeight w:val="465"/>
        </w:trPr>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F35BF4" w14:textId="77777777" w:rsidR="00E51CDD" w:rsidRPr="00E51CDD" w:rsidRDefault="00E51CDD" w:rsidP="00E51CDD">
            <w:pPr>
              <w:rPr>
                <w:sz w:val="20"/>
              </w:rPr>
            </w:pPr>
            <w:r w:rsidRPr="00E51CDD">
              <w:rPr>
                <w:sz w:val="20"/>
              </w:rPr>
              <w:t>Residue intake through nectar</w:t>
            </w: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1B6DDD" w14:textId="77777777" w:rsidR="00E51CDD" w:rsidRPr="00E51CDD" w:rsidRDefault="00E51CDD" w:rsidP="00E51CDD">
            <w:pPr>
              <w:rPr>
                <w:sz w:val="20"/>
                <w:highlight w:val="yellow"/>
              </w:rPr>
            </w:pPr>
            <w:r w:rsidRPr="00E51CDD">
              <w:rPr>
                <w:color w:val="000000"/>
                <w:sz w:val="20"/>
                <w:szCs w:val="20"/>
              </w:rPr>
              <w:t>0.426 µg a.s./bee/day</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52A966" w14:textId="77777777" w:rsidR="00E51CDD" w:rsidRPr="00E51CDD" w:rsidRDefault="00E51CDD" w:rsidP="00E51CDD">
            <w:pPr>
              <w:rPr>
                <w:sz w:val="20"/>
                <w:highlight w:val="yellow"/>
              </w:rPr>
            </w:pPr>
            <w:r w:rsidRPr="00E51CDD">
              <w:rPr>
                <w:color w:val="000000"/>
                <w:sz w:val="20"/>
                <w:szCs w:val="20"/>
              </w:rPr>
              <w:t>0.198 µg a.s./larva</w:t>
            </w:r>
          </w:p>
        </w:tc>
      </w:tr>
      <w:tr w:rsidR="00E51CDD" w:rsidRPr="00E51CDD" w14:paraId="1C251DB9" w14:textId="77777777" w:rsidTr="009938D9">
        <w:trPr>
          <w:trHeight w:val="465"/>
        </w:trPr>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CB23BA" w14:textId="77777777" w:rsidR="00E51CDD" w:rsidRPr="00E51CDD" w:rsidRDefault="00E51CDD" w:rsidP="00E51CDD">
            <w:pPr>
              <w:rPr>
                <w:b/>
                <w:sz w:val="20"/>
              </w:rPr>
            </w:pPr>
            <w:r w:rsidRPr="00E51CDD">
              <w:rPr>
                <w:b/>
                <w:sz w:val="20"/>
              </w:rPr>
              <w:t>Total residue intake</w:t>
            </w:r>
          </w:p>
        </w:tc>
        <w:tc>
          <w:tcPr>
            <w:tcW w:w="16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2652A9" w14:textId="77777777" w:rsidR="00E51CDD" w:rsidRPr="00E51CDD" w:rsidRDefault="00E51CDD" w:rsidP="00E51CDD">
            <w:pPr>
              <w:rPr>
                <w:b/>
                <w:sz w:val="20"/>
                <w:highlight w:val="yellow"/>
              </w:rPr>
            </w:pPr>
            <w:r w:rsidRPr="00E51CDD">
              <w:rPr>
                <w:b/>
                <w:bCs/>
                <w:color w:val="000000"/>
                <w:sz w:val="20"/>
                <w:szCs w:val="20"/>
              </w:rPr>
              <w:t>0.426 µg a.s./bee/day</w:t>
            </w:r>
          </w:p>
        </w:tc>
        <w:tc>
          <w:tcPr>
            <w:tcW w:w="16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3E1129" w14:textId="77777777" w:rsidR="00E51CDD" w:rsidRPr="00E51CDD" w:rsidRDefault="00E51CDD" w:rsidP="00E51CDD">
            <w:pPr>
              <w:rPr>
                <w:b/>
                <w:sz w:val="20"/>
                <w:highlight w:val="yellow"/>
              </w:rPr>
            </w:pPr>
            <w:r w:rsidRPr="00E51CDD">
              <w:rPr>
                <w:b/>
                <w:bCs/>
                <w:color w:val="000000"/>
                <w:sz w:val="20"/>
                <w:szCs w:val="20"/>
              </w:rPr>
              <w:t>0.229 µg a.s./larva</w:t>
            </w:r>
          </w:p>
        </w:tc>
      </w:tr>
    </w:tbl>
    <w:p w14:paraId="56F21527" w14:textId="6848AFC3" w:rsidR="00E51CDD" w:rsidRDefault="00E51CDD" w:rsidP="00E51CDD">
      <w:pPr>
        <w:spacing w:line="264" w:lineRule="auto"/>
        <w:jc w:val="both"/>
        <w:rPr>
          <w:szCs w:val="24"/>
          <w:lang w:eastAsia="fr-FR"/>
        </w:rPr>
      </w:pPr>
    </w:p>
    <w:p w14:paraId="478BADFF" w14:textId="77777777" w:rsidR="009938D9" w:rsidRPr="00E51CDD" w:rsidRDefault="009938D9" w:rsidP="00E51CDD">
      <w:pPr>
        <w:spacing w:line="264" w:lineRule="auto"/>
        <w:jc w:val="both"/>
        <w:rPr>
          <w:szCs w:val="24"/>
          <w:lang w:eastAsia="fr-FR"/>
        </w:rPr>
      </w:pPr>
    </w:p>
    <w:p w14:paraId="202255EE" w14:textId="77E30423" w:rsidR="00E51CDD" w:rsidRPr="00E51CDD" w:rsidRDefault="00E51CDD" w:rsidP="00E51CDD">
      <w:pPr>
        <w:suppressAutoHyphens/>
        <w:spacing w:before="120" w:after="120"/>
        <w:ind w:left="1418" w:hanging="1418"/>
        <w:jc w:val="both"/>
        <w:rPr>
          <w:b/>
          <w:bCs/>
          <w:szCs w:val="20"/>
          <w:lang w:val="en-GB" w:eastAsia="ja-JP"/>
        </w:rPr>
      </w:pPr>
      <w:bookmarkStart w:id="617" w:name="_Ref82439282"/>
      <w:bookmarkEnd w:id="604"/>
      <w:r w:rsidRPr="00E51CDD">
        <w:rPr>
          <w:b/>
          <w:bCs/>
          <w:szCs w:val="20"/>
          <w:lang w:val="en-GB"/>
        </w:rPr>
        <w:t xml:space="preserve">Table </w:t>
      </w:r>
      <w:r w:rsidRPr="00E51CDD">
        <w:rPr>
          <w:b/>
          <w:bCs/>
          <w:sz w:val="20"/>
          <w:szCs w:val="20"/>
          <w:lang w:val="en-GB"/>
        </w:rPr>
        <w:fldChar w:fldCharType="begin"/>
      </w:r>
      <w:r w:rsidRPr="00E51CDD">
        <w:rPr>
          <w:b/>
          <w:bCs/>
          <w:szCs w:val="20"/>
          <w:lang w:val="en-GB"/>
        </w:rPr>
        <w:instrText xml:space="preserve"> STYLEREF 2 \s </w:instrText>
      </w:r>
      <w:r w:rsidRPr="00E51CDD">
        <w:rPr>
          <w:b/>
          <w:bCs/>
          <w:sz w:val="20"/>
          <w:szCs w:val="20"/>
          <w:lang w:val="en-GB"/>
        </w:rPr>
        <w:fldChar w:fldCharType="separate"/>
      </w:r>
      <w:r w:rsidR="00662F32">
        <w:rPr>
          <w:b/>
          <w:bCs/>
          <w:noProof/>
          <w:szCs w:val="20"/>
          <w:lang w:val="en-GB"/>
        </w:rPr>
        <w:t>9.6</w:t>
      </w:r>
      <w:r w:rsidRPr="00E51CDD">
        <w:rPr>
          <w:b/>
          <w:bCs/>
          <w:sz w:val="20"/>
          <w:szCs w:val="20"/>
          <w:lang w:val="en-GB"/>
        </w:rPr>
        <w:fldChar w:fldCharType="end"/>
      </w:r>
      <w:r w:rsidRPr="00E51CDD">
        <w:rPr>
          <w:b/>
          <w:bCs/>
          <w:szCs w:val="20"/>
          <w:lang w:val="en-GB"/>
        </w:rPr>
        <w:noBreakHyphen/>
      </w:r>
      <w:r w:rsidRPr="00E51CDD">
        <w:rPr>
          <w:b/>
          <w:bCs/>
          <w:sz w:val="20"/>
          <w:szCs w:val="20"/>
          <w:lang w:val="en-GB"/>
        </w:rPr>
        <w:fldChar w:fldCharType="begin"/>
      </w:r>
      <w:r w:rsidRPr="00E51CDD">
        <w:rPr>
          <w:b/>
          <w:bCs/>
          <w:szCs w:val="20"/>
          <w:lang w:val="en-GB"/>
        </w:rPr>
        <w:instrText xml:space="preserve"> SEQ Table \* ARABIC \s 2 </w:instrText>
      </w:r>
      <w:r w:rsidRPr="00E51CDD">
        <w:rPr>
          <w:b/>
          <w:bCs/>
          <w:sz w:val="20"/>
          <w:szCs w:val="20"/>
          <w:lang w:val="en-GB"/>
        </w:rPr>
        <w:fldChar w:fldCharType="separate"/>
      </w:r>
      <w:r w:rsidR="00662F32">
        <w:rPr>
          <w:b/>
          <w:bCs/>
          <w:noProof/>
          <w:szCs w:val="20"/>
          <w:lang w:val="en-GB"/>
        </w:rPr>
        <w:t>10</w:t>
      </w:r>
      <w:r w:rsidRPr="00E51CDD">
        <w:rPr>
          <w:b/>
          <w:bCs/>
          <w:sz w:val="20"/>
          <w:szCs w:val="20"/>
          <w:lang w:val="en-GB"/>
        </w:rPr>
        <w:fldChar w:fldCharType="end"/>
      </w:r>
      <w:bookmarkEnd w:id="617"/>
      <w:r w:rsidRPr="00E51CDD">
        <w:rPr>
          <w:b/>
          <w:bCs/>
          <w:szCs w:val="20"/>
          <w:lang w:val="en-GB"/>
        </w:rPr>
        <w:t>:</w:t>
      </w:r>
      <w:r w:rsidRPr="00E51CDD">
        <w:rPr>
          <w:b/>
          <w:bCs/>
          <w:szCs w:val="20"/>
          <w:lang w:val="en-GB"/>
        </w:rPr>
        <w:tab/>
      </w:r>
      <w:r w:rsidRPr="00E51CDD">
        <w:rPr>
          <w:b/>
          <w:bCs/>
          <w:szCs w:val="20"/>
          <w:lang w:val="en-GB" w:eastAsia="ja-JP"/>
        </w:rPr>
        <w:t xml:space="preserve">Chronic risk to adult bees and larvae following the use of </w:t>
      </w:r>
      <w:r w:rsidRPr="00E51CDD">
        <w:rPr>
          <w:b/>
          <w:bCs/>
          <w:szCs w:val="20"/>
          <w:lang w:val="en-GB"/>
        </w:rPr>
        <w:t>BAS 736 00 F</w:t>
      </w:r>
      <w:r w:rsidRPr="00E51CDD">
        <w:rPr>
          <w:b/>
          <w:bCs/>
          <w:szCs w:val="20"/>
          <w:lang w:val="en-GB" w:eastAsia="ja-JP"/>
        </w:rPr>
        <w:t xml:space="preserve"> according to the proposed use pattern using the TER </w:t>
      </w:r>
      <w:r w:rsidRPr="00E51CDD">
        <w:rPr>
          <w:b/>
          <w:bCs/>
          <w:szCs w:val="20"/>
          <w:lang w:val="en-GB"/>
        </w:rPr>
        <w:t>approach</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ayout w:type="fixed"/>
        <w:tblLook w:val="04A0" w:firstRow="1" w:lastRow="0" w:firstColumn="1" w:lastColumn="0" w:noHBand="0" w:noVBand="1"/>
      </w:tblPr>
      <w:tblGrid>
        <w:gridCol w:w="1242"/>
        <w:gridCol w:w="1116"/>
        <w:gridCol w:w="3137"/>
        <w:gridCol w:w="1843"/>
        <w:gridCol w:w="992"/>
        <w:gridCol w:w="1021"/>
      </w:tblGrid>
      <w:tr w:rsidR="00E51CDD" w:rsidRPr="00E51CDD" w14:paraId="56C1F292" w14:textId="77777777" w:rsidTr="009938D9">
        <w:trPr>
          <w:trHeight w:val="465"/>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7605A" w14:textId="77777777" w:rsidR="00E51CDD" w:rsidRPr="00E51CDD" w:rsidRDefault="00E51CDD" w:rsidP="00E51CDD">
            <w:pPr>
              <w:suppressAutoHyphens/>
              <w:jc w:val="center"/>
              <w:rPr>
                <w:b/>
                <w:sz w:val="20"/>
                <w:szCs w:val="20"/>
                <w:lang w:val="en-GB" w:eastAsia="ja-JP"/>
              </w:rPr>
            </w:pPr>
            <w:r w:rsidRPr="00E51CDD">
              <w:rPr>
                <w:b/>
                <w:sz w:val="20"/>
                <w:szCs w:val="20"/>
                <w:lang w:val="en-GB" w:eastAsia="ja-JP"/>
              </w:rPr>
              <w:t>Honey bee stage</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48552E" w14:textId="77777777" w:rsidR="00E51CDD" w:rsidRPr="00E51CDD" w:rsidRDefault="00E51CDD" w:rsidP="00E51CDD">
            <w:pPr>
              <w:suppressAutoHyphens/>
              <w:jc w:val="center"/>
              <w:rPr>
                <w:b/>
                <w:sz w:val="20"/>
                <w:szCs w:val="20"/>
                <w:lang w:val="en-GB" w:eastAsia="ja-JP"/>
              </w:rPr>
            </w:pPr>
            <w:r w:rsidRPr="00E51CDD">
              <w:rPr>
                <w:b/>
                <w:sz w:val="20"/>
                <w:szCs w:val="20"/>
                <w:lang w:val="en-GB" w:eastAsia="ja-JP"/>
              </w:rPr>
              <w:t>Exposure route</w:t>
            </w:r>
          </w:p>
        </w:tc>
        <w:tc>
          <w:tcPr>
            <w:tcW w:w="3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F8A28C" w14:textId="77777777" w:rsidR="00E51CDD" w:rsidRPr="00E51CDD" w:rsidRDefault="00E51CDD" w:rsidP="00E51CDD">
            <w:pPr>
              <w:suppressAutoHyphens/>
              <w:jc w:val="center"/>
              <w:rPr>
                <w:b/>
                <w:sz w:val="20"/>
                <w:szCs w:val="20"/>
                <w:lang w:val="en-GB" w:eastAsia="ja-JP"/>
              </w:rPr>
            </w:pPr>
            <w:r w:rsidRPr="00E51CDD">
              <w:rPr>
                <w:b/>
                <w:sz w:val="20"/>
                <w:szCs w:val="20"/>
                <w:lang w:val="en-GB" w:eastAsia="ja-JP"/>
              </w:rPr>
              <w:t>Endpoint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80B0B9" w14:textId="77777777" w:rsidR="00E51CDD" w:rsidRPr="00E51CDD" w:rsidRDefault="00E51CDD" w:rsidP="00E51CDD">
            <w:pPr>
              <w:suppressAutoHyphens/>
              <w:jc w:val="center"/>
              <w:rPr>
                <w:b/>
                <w:sz w:val="20"/>
                <w:szCs w:val="20"/>
                <w:lang w:val="en-GB" w:eastAsia="ja-JP"/>
              </w:rPr>
            </w:pPr>
            <w:r w:rsidRPr="00E51CDD">
              <w:rPr>
                <w:b/>
                <w:sz w:val="20"/>
                <w:szCs w:val="20"/>
                <w:lang w:val="en-GB" w:eastAsia="ja-JP"/>
              </w:rPr>
              <w:t>Worst case residue intake</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087735" w14:textId="77777777" w:rsidR="00E51CDD" w:rsidRPr="00E51CDD" w:rsidRDefault="00E51CDD" w:rsidP="00E51CDD">
            <w:pPr>
              <w:suppressAutoHyphens/>
              <w:jc w:val="center"/>
              <w:rPr>
                <w:b/>
                <w:sz w:val="20"/>
                <w:szCs w:val="20"/>
                <w:lang w:val="en-GB" w:eastAsia="ja-JP"/>
              </w:rPr>
            </w:pPr>
            <w:r w:rsidRPr="00E51CDD">
              <w:rPr>
                <w:b/>
                <w:sz w:val="20"/>
                <w:szCs w:val="20"/>
                <w:lang w:val="en-GB" w:eastAsia="ja-JP"/>
              </w:rPr>
              <w:t>TER</w:t>
            </w:r>
            <w:r w:rsidRPr="00E51CDD">
              <w:rPr>
                <w:b/>
                <w:sz w:val="20"/>
                <w:szCs w:val="20"/>
                <w:vertAlign w:val="subscript"/>
                <w:lang w:val="en-GB" w:eastAsia="ja-JP"/>
              </w:rPr>
              <w:t>ch</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D20977" w14:textId="77777777" w:rsidR="00E51CDD" w:rsidRPr="00E51CDD" w:rsidRDefault="00E51CDD" w:rsidP="00E51CDD">
            <w:pPr>
              <w:suppressAutoHyphens/>
              <w:jc w:val="center"/>
              <w:rPr>
                <w:b/>
                <w:sz w:val="20"/>
                <w:szCs w:val="20"/>
                <w:lang w:val="en-GB" w:eastAsia="ja-JP"/>
              </w:rPr>
            </w:pPr>
            <w:r w:rsidRPr="00E51CDD">
              <w:rPr>
                <w:b/>
                <w:sz w:val="20"/>
                <w:szCs w:val="20"/>
                <w:lang w:val="en-GB" w:eastAsia="ja-JP"/>
              </w:rPr>
              <w:t>Trigger value</w:t>
            </w:r>
          </w:p>
        </w:tc>
      </w:tr>
      <w:tr w:rsidR="00E51CDD" w:rsidRPr="00E51CDD" w14:paraId="5FF13E7E" w14:textId="77777777" w:rsidTr="009938D9">
        <w:trPr>
          <w:trHeight w:val="465"/>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83AACC" w14:textId="77777777" w:rsidR="00E51CDD" w:rsidRPr="00E51CDD" w:rsidRDefault="00E51CDD" w:rsidP="00E51CDD">
            <w:pPr>
              <w:suppressAutoHyphens/>
              <w:jc w:val="center"/>
              <w:rPr>
                <w:sz w:val="20"/>
                <w:szCs w:val="20"/>
                <w:lang w:val="en-GB" w:eastAsia="ja-JP"/>
              </w:rPr>
            </w:pPr>
            <w:r w:rsidRPr="00E51CDD">
              <w:rPr>
                <w:sz w:val="20"/>
                <w:szCs w:val="20"/>
                <w:lang w:val="en-GB" w:eastAsia="ja-JP"/>
              </w:rPr>
              <w:t>Adult</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3C3331" w14:textId="77777777" w:rsidR="00E51CDD" w:rsidRPr="00E51CDD" w:rsidRDefault="00E51CDD" w:rsidP="00E51CDD">
            <w:pPr>
              <w:suppressAutoHyphens/>
              <w:jc w:val="center"/>
              <w:rPr>
                <w:sz w:val="20"/>
                <w:szCs w:val="20"/>
                <w:lang w:val="en-GB" w:eastAsia="ja-JP"/>
              </w:rPr>
            </w:pPr>
            <w:r w:rsidRPr="00E51CDD">
              <w:rPr>
                <w:sz w:val="20"/>
                <w:szCs w:val="20"/>
                <w:lang w:val="en-GB" w:eastAsia="ja-JP"/>
              </w:rPr>
              <w:t>Oral</w:t>
            </w:r>
          </w:p>
        </w:tc>
        <w:tc>
          <w:tcPr>
            <w:tcW w:w="3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84CBE5" w14:textId="2B74EB23" w:rsidR="00E51CDD" w:rsidRPr="00E51CDD" w:rsidRDefault="00E51CDD" w:rsidP="00E51CDD">
            <w:pPr>
              <w:suppressAutoHyphens/>
              <w:jc w:val="center"/>
              <w:rPr>
                <w:sz w:val="20"/>
                <w:szCs w:val="20"/>
                <w:vertAlign w:val="superscript"/>
                <w:lang w:val="en-GB" w:eastAsia="ja-JP"/>
              </w:rPr>
            </w:pPr>
            <w:r w:rsidRPr="00E51CDD">
              <w:rPr>
                <w:sz w:val="20"/>
                <w:szCs w:val="20"/>
                <w:lang w:val="en-GB" w:eastAsia="ja-JP"/>
              </w:rPr>
              <w:t xml:space="preserve"> 2.2 µg total a.s./bee/day</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EFC04" w14:textId="77777777" w:rsidR="00E51CDD" w:rsidRPr="00E51CDD" w:rsidRDefault="00E51CDD" w:rsidP="00E51CDD">
            <w:pPr>
              <w:suppressAutoHyphens/>
              <w:jc w:val="center"/>
              <w:rPr>
                <w:sz w:val="20"/>
                <w:szCs w:val="20"/>
                <w:lang w:val="en-GB" w:eastAsia="ja-JP"/>
              </w:rPr>
            </w:pPr>
            <w:r w:rsidRPr="00E51CDD">
              <w:rPr>
                <w:sz w:val="20"/>
                <w:szCs w:val="20"/>
                <w:lang w:val="en-GB"/>
              </w:rPr>
              <w:t>0.43</w:t>
            </w:r>
            <w:r w:rsidRPr="00E51CDD">
              <w:rPr>
                <w:b/>
                <w:sz w:val="20"/>
                <w:szCs w:val="20"/>
                <w:lang w:val="en-GB"/>
              </w:rPr>
              <w:t xml:space="preserve"> </w:t>
            </w:r>
            <w:r w:rsidRPr="00E51CDD">
              <w:rPr>
                <w:sz w:val="20"/>
                <w:szCs w:val="20"/>
                <w:lang w:val="en-GB" w:eastAsia="ja-JP"/>
              </w:rPr>
              <w:t>µg a.s./bee/day</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66E78A" w14:textId="77777777" w:rsidR="00E51CDD" w:rsidRPr="00E51CDD" w:rsidRDefault="00E51CDD" w:rsidP="00E51CDD">
            <w:pPr>
              <w:suppressAutoHyphens/>
              <w:jc w:val="center"/>
              <w:rPr>
                <w:sz w:val="20"/>
                <w:szCs w:val="20"/>
              </w:rPr>
            </w:pPr>
            <w:r w:rsidRPr="00E51CDD">
              <w:rPr>
                <w:sz w:val="20"/>
                <w:szCs w:val="20"/>
                <w:lang w:val="de-DE"/>
              </w:rPr>
              <w:t>5.1</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D7AEA" w14:textId="77777777" w:rsidR="00E51CDD" w:rsidRPr="00E51CDD" w:rsidRDefault="00E51CDD" w:rsidP="00E51CDD">
            <w:pPr>
              <w:suppressAutoHyphens/>
              <w:jc w:val="center"/>
              <w:rPr>
                <w:sz w:val="20"/>
                <w:szCs w:val="20"/>
                <w:lang w:val="en-GB" w:eastAsia="ja-JP"/>
              </w:rPr>
            </w:pPr>
            <w:r w:rsidRPr="00E51CDD">
              <w:rPr>
                <w:sz w:val="20"/>
                <w:szCs w:val="20"/>
                <w:lang w:val="en-GB" w:eastAsia="ja-JP"/>
              </w:rPr>
              <w:t>1</w:t>
            </w:r>
          </w:p>
        </w:tc>
      </w:tr>
      <w:tr w:rsidR="00E51CDD" w:rsidRPr="00E51CDD" w14:paraId="4B59FE84" w14:textId="77777777" w:rsidTr="009938D9">
        <w:trPr>
          <w:trHeight w:val="465"/>
        </w:trPr>
        <w:tc>
          <w:tcPr>
            <w:tcW w:w="12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F75FA9" w14:textId="77777777" w:rsidR="00E51CDD" w:rsidRPr="00E51CDD" w:rsidRDefault="00E51CDD" w:rsidP="00E51CDD">
            <w:pPr>
              <w:suppressAutoHyphens/>
              <w:jc w:val="center"/>
              <w:rPr>
                <w:sz w:val="20"/>
                <w:szCs w:val="20"/>
                <w:lang w:val="en-GB" w:eastAsia="ja-JP"/>
              </w:rPr>
            </w:pPr>
            <w:r w:rsidRPr="00E51CDD">
              <w:rPr>
                <w:sz w:val="20"/>
                <w:szCs w:val="20"/>
                <w:lang w:val="en-GB" w:eastAsia="ja-JP"/>
              </w:rPr>
              <w:t>Larvae</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1DA1D8" w14:textId="77777777" w:rsidR="00E51CDD" w:rsidRPr="00E51CDD" w:rsidRDefault="00E51CDD" w:rsidP="00E51CDD">
            <w:pPr>
              <w:suppressAutoHyphens/>
              <w:jc w:val="center"/>
              <w:rPr>
                <w:sz w:val="20"/>
                <w:szCs w:val="20"/>
                <w:lang w:val="en-GB" w:eastAsia="ja-JP"/>
              </w:rPr>
            </w:pPr>
            <w:r w:rsidRPr="00E51CDD">
              <w:rPr>
                <w:sz w:val="20"/>
                <w:szCs w:val="20"/>
                <w:lang w:val="en-GB" w:eastAsia="ja-JP"/>
              </w:rPr>
              <w:t>Oral</w:t>
            </w:r>
          </w:p>
        </w:tc>
        <w:tc>
          <w:tcPr>
            <w:tcW w:w="31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D6D84D" w14:textId="77777777" w:rsidR="00E51CDD" w:rsidRPr="00E51CDD" w:rsidRDefault="00E51CDD" w:rsidP="00E51CDD">
            <w:pPr>
              <w:suppressAutoHyphens/>
              <w:jc w:val="center"/>
              <w:rPr>
                <w:sz w:val="20"/>
                <w:szCs w:val="20"/>
                <w:lang w:val="en-GB" w:eastAsia="ja-JP"/>
              </w:rPr>
            </w:pPr>
            <w:r w:rsidRPr="00E51CDD">
              <w:rPr>
                <w:sz w:val="20"/>
                <w:szCs w:val="20"/>
                <w:lang w:val="en-GB" w:eastAsia="ja-JP"/>
              </w:rPr>
              <w:t>13.9 µg total a.s./larva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4CCF9" w14:textId="77777777" w:rsidR="00E51CDD" w:rsidRPr="00E51CDD" w:rsidRDefault="00E51CDD" w:rsidP="00E51CDD">
            <w:pPr>
              <w:suppressAutoHyphens/>
              <w:jc w:val="center"/>
              <w:rPr>
                <w:sz w:val="20"/>
                <w:szCs w:val="20"/>
                <w:lang w:val="en-GB" w:eastAsia="ja-JP"/>
              </w:rPr>
            </w:pPr>
            <w:r w:rsidRPr="00E51CDD">
              <w:rPr>
                <w:sz w:val="20"/>
                <w:szCs w:val="20"/>
                <w:lang w:val="en-GB"/>
              </w:rPr>
              <w:t>0.23</w:t>
            </w:r>
            <w:r w:rsidRPr="00E51CDD">
              <w:rPr>
                <w:b/>
                <w:sz w:val="20"/>
                <w:szCs w:val="20"/>
                <w:lang w:val="en-GB"/>
              </w:rPr>
              <w:t xml:space="preserve"> </w:t>
            </w:r>
            <w:r w:rsidRPr="00E51CDD">
              <w:rPr>
                <w:sz w:val="20"/>
                <w:szCs w:val="20"/>
                <w:lang w:val="en-GB" w:eastAsia="ja-JP"/>
              </w:rPr>
              <w:t>µg a.s./larva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A865D8" w14:textId="77777777" w:rsidR="00E51CDD" w:rsidRPr="00E51CDD" w:rsidRDefault="00E51CDD" w:rsidP="00E51CDD">
            <w:pPr>
              <w:suppressAutoHyphens/>
              <w:jc w:val="center"/>
              <w:rPr>
                <w:sz w:val="20"/>
                <w:szCs w:val="20"/>
                <w:lang w:val="en-GB" w:eastAsia="ja-JP"/>
              </w:rPr>
            </w:pPr>
            <w:r w:rsidRPr="00E51CDD">
              <w:rPr>
                <w:sz w:val="20"/>
                <w:szCs w:val="20"/>
                <w:lang w:val="de-DE"/>
              </w:rPr>
              <w:t>60.4</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57CCD6" w14:textId="77777777" w:rsidR="00E51CDD" w:rsidRPr="00E51CDD" w:rsidRDefault="00E51CDD" w:rsidP="00E51CDD">
            <w:pPr>
              <w:suppressAutoHyphens/>
              <w:jc w:val="center"/>
              <w:rPr>
                <w:sz w:val="20"/>
                <w:szCs w:val="20"/>
                <w:lang w:val="en-GB" w:eastAsia="ja-JP"/>
              </w:rPr>
            </w:pPr>
            <w:r w:rsidRPr="00E51CDD">
              <w:rPr>
                <w:sz w:val="20"/>
                <w:szCs w:val="20"/>
                <w:lang w:val="en-GB" w:eastAsia="ja-JP"/>
              </w:rPr>
              <w:t>1</w:t>
            </w:r>
          </w:p>
        </w:tc>
      </w:tr>
    </w:tbl>
    <w:p w14:paraId="5685E073" w14:textId="79D82E81" w:rsidR="00E51CDD" w:rsidRDefault="00E51CDD" w:rsidP="00E51CDD">
      <w:pPr>
        <w:widowControl w:val="0"/>
        <w:tabs>
          <w:tab w:val="left" w:pos="284"/>
        </w:tabs>
        <w:suppressAutoHyphens/>
        <w:spacing w:before="40"/>
        <w:ind w:left="284" w:hanging="284"/>
        <w:jc w:val="both"/>
        <w:rPr>
          <w:sz w:val="18"/>
          <w:szCs w:val="18"/>
          <w:lang w:val="en-GB"/>
        </w:rPr>
      </w:pPr>
    </w:p>
    <w:p w14:paraId="2E89E6FD" w14:textId="77777777" w:rsidR="001A5145" w:rsidRDefault="001A5145" w:rsidP="00E51CDD">
      <w:pPr>
        <w:suppressAutoHyphens/>
        <w:jc w:val="both"/>
        <w:rPr>
          <w:lang w:val="en-GB"/>
        </w:rPr>
      </w:pPr>
      <w:bookmarkStart w:id="618" w:name="_Hlk30595710"/>
    </w:p>
    <w:p w14:paraId="69007517" w14:textId="3D6A3542" w:rsidR="00E51CDD" w:rsidRPr="00E51CDD" w:rsidRDefault="00E51CDD" w:rsidP="00E51CDD">
      <w:pPr>
        <w:suppressAutoHyphens/>
        <w:jc w:val="both"/>
        <w:rPr>
          <w:lang w:val="en-GB"/>
        </w:rPr>
      </w:pPr>
      <w:r w:rsidRPr="00E51CDD">
        <w:rPr>
          <w:lang w:val="en-GB"/>
        </w:rPr>
        <w:t>The underlying assumptions of the revised EPPO (2010) risk assessment for chronic adult bees and honey bee larvae largely comply with the proposals presented in the EFSA bee guidance document:</w:t>
      </w:r>
    </w:p>
    <w:p w14:paraId="5198E0FA" w14:textId="77777777" w:rsidR="00E51CDD" w:rsidRPr="00E51CDD" w:rsidRDefault="00E51CDD" w:rsidP="00E51CDD">
      <w:pPr>
        <w:suppressAutoHyphens/>
        <w:jc w:val="both"/>
        <w:rPr>
          <w:lang w:val="en-GB"/>
        </w:rPr>
      </w:pPr>
    </w:p>
    <w:p w14:paraId="70FBA6B1" w14:textId="77777777" w:rsidR="00E51CDD" w:rsidRPr="00E51CDD" w:rsidRDefault="00E51CDD" w:rsidP="00E51CDD">
      <w:pPr>
        <w:numPr>
          <w:ilvl w:val="0"/>
          <w:numId w:val="36"/>
        </w:numPr>
        <w:suppressAutoHyphens/>
        <w:jc w:val="both"/>
        <w:rPr>
          <w:lang w:val="en-GB"/>
        </w:rPr>
      </w:pPr>
      <w:r w:rsidRPr="00E51CDD">
        <w:rPr>
          <w:lang w:val="en-GB"/>
        </w:rPr>
        <w:t xml:space="preserve">in both approaches the chronic adult and larvae endpoints are set into relation to exposure which is based on pollen and nectar consumption. </w:t>
      </w:r>
    </w:p>
    <w:p w14:paraId="0136C645" w14:textId="77777777" w:rsidR="00E51CDD" w:rsidRPr="00E51CDD" w:rsidRDefault="00E51CDD" w:rsidP="00E51CDD">
      <w:pPr>
        <w:numPr>
          <w:ilvl w:val="0"/>
          <w:numId w:val="36"/>
        </w:numPr>
        <w:suppressAutoHyphens/>
        <w:jc w:val="both"/>
        <w:rPr>
          <w:lang w:val="en-GB"/>
        </w:rPr>
      </w:pPr>
      <w:r w:rsidRPr="00E51CDD">
        <w:rPr>
          <w:lang w:val="en-GB"/>
        </w:rPr>
        <w:t>in both approaches the assumed amount of pollen and nectar consumption and the relevant time-frame is identical as it is based on the same literature references.</w:t>
      </w:r>
    </w:p>
    <w:p w14:paraId="2D61032F" w14:textId="77777777" w:rsidR="00E51CDD" w:rsidRPr="00E51CDD" w:rsidRDefault="00E51CDD" w:rsidP="00E51CDD">
      <w:pPr>
        <w:numPr>
          <w:ilvl w:val="0"/>
          <w:numId w:val="36"/>
        </w:numPr>
        <w:suppressAutoHyphens/>
        <w:jc w:val="both"/>
        <w:rPr>
          <w:lang w:val="en-GB"/>
        </w:rPr>
      </w:pPr>
      <w:r w:rsidRPr="00E51CDD">
        <w:rPr>
          <w:lang w:val="en-GB"/>
        </w:rPr>
        <w:t>the RUD values used from the EFSA supporting publication 2017 are based on a review and quality evaluation of available residue studies. The request of EFSA for the supporting publication was the limited availability of residue data at the time of the finalization of the EFSA bee guidance document. The EFSA supporting publication 2017 reflects therefore the current knowledge status.</w:t>
      </w:r>
    </w:p>
    <w:p w14:paraId="7DC3EBCD" w14:textId="77777777" w:rsidR="00E51CDD" w:rsidRPr="00E51CDD" w:rsidRDefault="00E51CDD" w:rsidP="00E51CDD">
      <w:pPr>
        <w:numPr>
          <w:ilvl w:val="0"/>
          <w:numId w:val="36"/>
        </w:numPr>
        <w:suppressAutoHyphens/>
        <w:jc w:val="both"/>
        <w:rPr>
          <w:lang w:val="en-GB"/>
        </w:rPr>
      </w:pPr>
      <w:r w:rsidRPr="00E51CDD">
        <w:rPr>
          <w:lang w:val="en-GB"/>
        </w:rPr>
        <w:t>the possibility to refine exposure by using a time-weighted-average factor is a common refinement option for risk assessment of non-target organisms which is also mentioned in the EFSA bee guidance document.</w:t>
      </w:r>
    </w:p>
    <w:p w14:paraId="603A18FC" w14:textId="77777777" w:rsidR="00E51CDD" w:rsidRPr="00E51CDD" w:rsidRDefault="00E51CDD" w:rsidP="00E51CDD">
      <w:pPr>
        <w:suppressAutoHyphens/>
        <w:jc w:val="both"/>
        <w:rPr>
          <w:lang w:val="en-GB"/>
        </w:rPr>
      </w:pPr>
    </w:p>
    <w:p w14:paraId="2FDD675F" w14:textId="26BAF6F0" w:rsidR="00E51CDD" w:rsidRDefault="00E51CDD" w:rsidP="00E51CDD">
      <w:pPr>
        <w:suppressAutoHyphens/>
        <w:jc w:val="both"/>
        <w:rPr>
          <w:lang w:val="en-GB"/>
        </w:rPr>
      </w:pPr>
      <w:r w:rsidRPr="00E51CDD">
        <w:rPr>
          <w:lang w:val="en-GB"/>
        </w:rPr>
        <w:lastRenderedPageBreak/>
        <w:t>However, in some respects this proposal deviates from the EFSA bee guidance document. Main differences lie in the endpoints and triggers used. In the EFSA bee guidance document it is proposed to use the LDD</w:t>
      </w:r>
      <w:r w:rsidRPr="00E51CDD">
        <w:rPr>
          <w:vertAlign w:val="subscript"/>
          <w:lang w:val="en-GB"/>
        </w:rPr>
        <w:t>50</w:t>
      </w:r>
      <w:r w:rsidRPr="00E51CDD">
        <w:rPr>
          <w:lang w:val="en-GB"/>
        </w:rPr>
        <w:t xml:space="preserve"> endpoint for chronic adult and the NOED for honey bee larvae. At the same time the proposed chronic adult trigger in the EFSA bee guidance document for the ETR (exposure toxicity ratio) based on LDD</w:t>
      </w:r>
      <w:r w:rsidRPr="00E51CDD">
        <w:rPr>
          <w:vertAlign w:val="subscript"/>
          <w:lang w:val="en-GB"/>
        </w:rPr>
        <w:t>50</w:t>
      </w:r>
      <w:r w:rsidRPr="00E51CDD">
        <w:rPr>
          <w:lang w:val="en-GB"/>
        </w:rPr>
        <w:t xml:space="preserve"> is 0.03, corresponding to a TER trigger (toxicity exposure ratio) of 33.3. The ETR trigger for the larvae risk assessment in the EFSA bee guidance document is 0.2 (corresponding to a TER trigger of 5). In EPPO 2010 the proposed TER trigger is 1 based on NOED endpoint for the chronic adult and the larvae risk assessment.</w:t>
      </w:r>
    </w:p>
    <w:p w14:paraId="6DA00E21" w14:textId="77777777" w:rsidR="009938D9" w:rsidRPr="00E51CDD" w:rsidRDefault="009938D9" w:rsidP="00E51CDD">
      <w:pPr>
        <w:suppressAutoHyphens/>
        <w:jc w:val="both"/>
        <w:rPr>
          <w:lang w:val="en-GB"/>
        </w:rPr>
      </w:pPr>
    </w:p>
    <w:p w14:paraId="5BD36999" w14:textId="77777777" w:rsidR="00E51CDD" w:rsidRPr="00843A50" w:rsidRDefault="00E51CDD" w:rsidP="002E3CFC">
      <w:pPr>
        <w:pStyle w:val="Nagwek4"/>
        <w:rPr>
          <w:lang w:val="en-US"/>
        </w:rPr>
      </w:pPr>
      <w:bookmarkStart w:id="619" w:name="_Toc399353277"/>
      <w:bookmarkStart w:id="620" w:name="_Toc412644006"/>
      <w:bookmarkStart w:id="621" w:name="_Toc413916850"/>
      <w:bookmarkStart w:id="622" w:name="_Toc413916992"/>
      <w:bookmarkStart w:id="623" w:name="_Toc413922053"/>
      <w:bookmarkStart w:id="624" w:name="_Toc413922542"/>
      <w:bookmarkStart w:id="625" w:name="_Toc413922646"/>
      <w:bookmarkStart w:id="626" w:name="_Toc414955283"/>
      <w:bookmarkStart w:id="627" w:name="_Toc415214590"/>
      <w:bookmarkStart w:id="628" w:name="_Toc125446432"/>
      <w:bookmarkEnd w:id="606"/>
      <w:bookmarkEnd w:id="618"/>
      <w:r w:rsidRPr="00843A50">
        <w:rPr>
          <w:lang w:val="en-US"/>
        </w:rPr>
        <w:t>Higher-tier risk assessment for bees (tunnel test, field studies)</w:t>
      </w:r>
      <w:bookmarkEnd w:id="619"/>
      <w:bookmarkEnd w:id="620"/>
      <w:bookmarkEnd w:id="621"/>
      <w:bookmarkEnd w:id="622"/>
      <w:bookmarkEnd w:id="623"/>
      <w:bookmarkEnd w:id="624"/>
      <w:bookmarkEnd w:id="625"/>
      <w:bookmarkEnd w:id="626"/>
      <w:bookmarkEnd w:id="627"/>
      <w:bookmarkEnd w:id="628"/>
    </w:p>
    <w:p w14:paraId="5886F45D" w14:textId="6ED8ED93" w:rsidR="009938D9" w:rsidRDefault="00E51CDD" w:rsidP="00E51CDD">
      <w:pPr>
        <w:widowControl w:val="0"/>
        <w:jc w:val="both"/>
        <w:rPr>
          <w:lang w:val="en-GB"/>
        </w:rPr>
      </w:pPr>
      <w:bookmarkStart w:id="629" w:name="_Toc399487279"/>
      <w:bookmarkStart w:id="630" w:name="_Ref405881252"/>
      <w:bookmarkStart w:id="631" w:name="_Toc412644007"/>
      <w:bookmarkStart w:id="632" w:name="_Toc413916851"/>
      <w:bookmarkStart w:id="633" w:name="_Toc413916993"/>
      <w:bookmarkStart w:id="634" w:name="_Toc413922054"/>
      <w:bookmarkStart w:id="635" w:name="_Toc413922543"/>
      <w:bookmarkStart w:id="636" w:name="_Toc413922647"/>
      <w:bookmarkStart w:id="637" w:name="_Toc414955284"/>
      <w:bookmarkStart w:id="638" w:name="_Ref414977823"/>
      <w:bookmarkStart w:id="639" w:name="_Toc415214591"/>
      <w:r w:rsidRPr="00E51CDD">
        <w:rPr>
          <w:lang w:val="en-GB"/>
        </w:rPr>
        <w:t>Not relevant.</w:t>
      </w:r>
    </w:p>
    <w:p w14:paraId="131F046F" w14:textId="77777777" w:rsidR="001A5145" w:rsidRDefault="001A5145" w:rsidP="00E51CDD">
      <w:pPr>
        <w:widowControl w:val="0"/>
        <w:jc w:val="both"/>
        <w:rPr>
          <w:lang w:val="en-GB"/>
        </w:rPr>
      </w:pPr>
    </w:p>
    <w:p w14:paraId="4C596F32" w14:textId="77777777" w:rsidR="00E51CDD" w:rsidRPr="00E51CDD" w:rsidRDefault="00E51CDD" w:rsidP="002E3CFC">
      <w:pPr>
        <w:pStyle w:val="Nagwek3"/>
      </w:pPr>
      <w:bookmarkStart w:id="640" w:name="_Toc125446433"/>
      <w:r w:rsidRPr="00E51CDD">
        <w:t>Effects on bumble bees</w:t>
      </w:r>
      <w:bookmarkEnd w:id="629"/>
      <w:bookmarkEnd w:id="630"/>
      <w:bookmarkEnd w:id="631"/>
      <w:bookmarkEnd w:id="632"/>
      <w:bookmarkEnd w:id="633"/>
      <w:bookmarkEnd w:id="634"/>
      <w:bookmarkEnd w:id="635"/>
      <w:bookmarkEnd w:id="636"/>
      <w:bookmarkEnd w:id="637"/>
      <w:bookmarkEnd w:id="638"/>
      <w:bookmarkEnd w:id="639"/>
      <w:bookmarkEnd w:id="640"/>
    </w:p>
    <w:p w14:paraId="1E0BC215" w14:textId="16E236C3" w:rsidR="00E51CDD" w:rsidRPr="00BA4269" w:rsidRDefault="00E51CDD" w:rsidP="00E51CDD">
      <w:pPr>
        <w:widowControl w:val="0"/>
        <w:jc w:val="both"/>
        <w:rPr>
          <w:bCs/>
          <w:strike/>
          <w:color w:val="D9D9D9" w:themeColor="background1" w:themeShade="D9"/>
          <w:lang w:val="en-GB"/>
        </w:rPr>
      </w:pPr>
      <w:r w:rsidRPr="00E51CDD">
        <w:rPr>
          <w:lang w:val="en-GB"/>
        </w:rPr>
        <w:t xml:space="preserve">For bumble bees no specific data requirement exists under regulation </w:t>
      </w:r>
      <w:r w:rsidRPr="00E51CDD">
        <w:rPr>
          <w:bCs/>
          <w:lang w:val="en-GB"/>
        </w:rPr>
        <w:t xml:space="preserve">(EC) No 1107/2009. </w:t>
      </w:r>
      <w:r w:rsidRPr="00BA4269">
        <w:rPr>
          <w:strike/>
          <w:color w:val="D9D9D9" w:themeColor="background1" w:themeShade="D9"/>
          <w:lang w:val="en-GB"/>
        </w:rPr>
        <w:t>Nevertheless, to support the application an acute oral and contact study was conducted with the active substance fluxapyroxad (tested as BAS 700 04 F). The</w:t>
      </w:r>
      <w:r w:rsidRPr="00BA4269">
        <w:rPr>
          <w:bCs/>
          <w:strike/>
          <w:color w:val="D9D9D9" w:themeColor="background1" w:themeShade="D9"/>
          <w:lang w:val="en-GB"/>
        </w:rPr>
        <w:t xml:space="preserve"> oral and contact LD</w:t>
      </w:r>
      <w:r w:rsidRPr="00BA4269">
        <w:rPr>
          <w:bCs/>
          <w:strike/>
          <w:color w:val="D9D9D9" w:themeColor="background1" w:themeShade="D9"/>
          <w:vertAlign w:val="subscript"/>
          <w:lang w:val="en-GB"/>
        </w:rPr>
        <w:t>50</w:t>
      </w:r>
      <w:r w:rsidRPr="00BA4269">
        <w:rPr>
          <w:bCs/>
          <w:strike/>
          <w:color w:val="D9D9D9" w:themeColor="background1" w:themeShade="D9"/>
          <w:lang w:val="en-GB"/>
        </w:rPr>
        <w:t xml:space="preserve"> were determined to be &gt; 176.3</w:t>
      </w:r>
      <w:r w:rsidRPr="00BA4269">
        <w:rPr>
          <w:bCs/>
          <w:strike/>
          <w:color w:val="D9D9D9" w:themeColor="background1" w:themeShade="D9"/>
        </w:rPr>
        <w:t> </w:t>
      </w:r>
      <w:r w:rsidRPr="00BA4269">
        <w:rPr>
          <w:strike/>
          <w:color w:val="D9D9D9" w:themeColor="background1" w:themeShade="D9"/>
          <w:lang w:val="en-GB"/>
        </w:rPr>
        <w:t>µg a.s./bumble bee</w:t>
      </w:r>
      <w:r w:rsidRPr="00BA4269">
        <w:rPr>
          <w:bCs/>
          <w:strike/>
          <w:color w:val="D9D9D9" w:themeColor="background1" w:themeShade="D9"/>
        </w:rPr>
        <w:t xml:space="preserve"> and </w:t>
      </w:r>
      <w:r w:rsidRPr="00BA4269">
        <w:rPr>
          <w:bCs/>
          <w:strike/>
          <w:color w:val="D9D9D9" w:themeColor="background1" w:themeShade="D9"/>
          <w:lang w:val="en-GB"/>
        </w:rPr>
        <w:t>&gt; 200.0</w:t>
      </w:r>
      <w:r w:rsidRPr="00BA4269">
        <w:rPr>
          <w:bCs/>
          <w:strike/>
          <w:color w:val="D9D9D9" w:themeColor="background1" w:themeShade="D9"/>
        </w:rPr>
        <w:t> µg a.s./</w:t>
      </w:r>
      <w:r w:rsidRPr="00BA4269">
        <w:rPr>
          <w:bCs/>
          <w:strike/>
          <w:color w:val="D9D9D9" w:themeColor="background1" w:themeShade="D9"/>
          <w:lang w:val="en-GB"/>
        </w:rPr>
        <w:t xml:space="preserve">bumble </w:t>
      </w:r>
      <w:r w:rsidRPr="00BA4269">
        <w:rPr>
          <w:bCs/>
          <w:strike/>
          <w:color w:val="D9D9D9" w:themeColor="background1" w:themeShade="D9"/>
        </w:rPr>
        <w:t>bee</w:t>
      </w:r>
      <w:r w:rsidRPr="00BA4269">
        <w:rPr>
          <w:bCs/>
          <w:strike/>
          <w:color w:val="D9D9D9" w:themeColor="background1" w:themeShade="D9"/>
          <w:lang w:val="en-GB"/>
        </w:rPr>
        <w:t>, respectively. Both endpoints exceed (are in the same range as) the acute endpoints for honey bees suggesting that fluxapyroxad as contained in BAS 736 00 F poses no unacceptable risk to bumble bees at the proposed use rate.</w:t>
      </w:r>
    </w:p>
    <w:p w14:paraId="7F5BA37D" w14:textId="77777777" w:rsidR="009938D9" w:rsidRPr="00E51CDD" w:rsidRDefault="009938D9" w:rsidP="00E51CDD">
      <w:pPr>
        <w:widowControl w:val="0"/>
        <w:jc w:val="both"/>
        <w:rPr>
          <w:bCs/>
          <w:lang w:val="en-GB"/>
        </w:rPr>
      </w:pPr>
    </w:p>
    <w:p w14:paraId="44216F34" w14:textId="77777777" w:rsidR="00E51CDD" w:rsidRPr="00E51CDD" w:rsidRDefault="00E51CDD" w:rsidP="002E3CFC">
      <w:pPr>
        <w:pStyle w:val="Nagwek3"/>
      </w:pPr>
      <w:bookmarkStart w:id="641" w:name="_Toc399487280"/>
      <w:bookmarkStart w:id="642" w:name="_Ref405881257"/>
      <w:bookmarkStart w:id="643" w:name="_Toc412644008"/>
      <w:bookmarkStart w:id="644" w:name="_Toc413916852"/>
      <w:bookmarkStart w:id="645" w:name="_Toc413916994"/>
      <w:bookmarkStart w:id="646" w:name="_Toc413922055"/>
      <w:bookmarkStart w:id="647" w:name="_Toc413922544"/>
      <w:bookmarkStart w:id="648" w:name="_Toc413922648"/>
      <w:bookmarkStart w:id="649" w:name="_Toc414955285"/>
      <w:bookmarkStart w:id="650" w:name="_Ref414977833"/>
      <w:bookmarkStart w:id="651" w:name="_Toc415214592"/>
      <w:bookmarkStart w:id="652" w:name="_Toc125446434"/>
      <w:r w:rsidRPr="00E51CDD">
        <w:t>Effects on solitary bees</w:t>
      </w:r>
      <w:bookmarkEnd w:id="641"/>
      <w:bookmarkEnd w:id="642"/>
      <w:bookmarkEnd w:id="643"/>
      <w:bookmarkEnd w:id="644"/>
      <w:bookmarkEnd w:id="645"/>
      <w:bookmarkEnd w:id="646"/>
      <w:bookmarkEnd w:id="647"/>
      <w:bookmarkEnd w:id="648"/>
      <w:bookmarkEnd w:id="649"/>
      <w:bookmarkEnd w:id="650"/>
      <w:bookmarkEnd w:id="651"/>
      <w:bookmarkEnd w:id="652"/>
    </w:p>
    <w:p w14:paraId="51B3F3FC" w14:textId="77F83B20" w:rsidR="00E51CDD" w:rsidRDefault="00E51CDD" w:rsidP="00E51CDD">
      <w:pPr>
        <w:widowControl w:val="0"/>
        <w:jc w:val="both"/>
        <w:rPr>
          <w:lang w:val="en-GB" w:eastAsia="en-US"/>
        </w:rPr>
      </w:pPr>
      <w:r w:rsidRPr="00E51CDD">
        <w:rPr>
          <w:lang w:val="en-GB"/>
        </w:rPr>
        <w:t>N</w:t>
      </w:r>
      <w:r w:rsidRPr="00E51CDD">
        <w:rPr>
          <w:lang w:val="en-GB" w:eastAsia="en-US"/>
        </w:rPr>
        <w:t xml:space="preserve">o reliable and validated testing methods for solitary bees are currently available and </w:t>
      </w:r>
      <w:r w:rsidRPr="00E51CDD">
        <w:rPr>
          <w:lang w:val="en-GB"/>
        </w:rPr>
        <w:t xml:space="preserve">no specific data requirement exists under regulation </w:t>
      </w:r>
      <w:r w:rsidRPr="00E51CDD">
        <w:rPr>
          <w:bCs/>
          <w:lang w:val="en-GB"/>
        </w:rPr>
        <w:t xml:space="preserve">(EC) No 1107/2009. </w:t>
      </w:r>
      <w:r w:rsidRPr="00E51CDD">
        <w:rPr>
          <w:lang w:val="en-GB"/>
        </w:rPr>
        <w:t xml:space="preserve">The EFSA bee guidance document </w:t>
      </w:r>
      <w:r w:rsidRPr="00E51CDD">
        <w:rPr>
          <w:lang w:val="en-GB" w:eastAsia="en-US"/>
        </w:rPr>
        <w:t>(EFSA Journal 2013; 11(7):3295) has not been adopted at the time of application. Therefore, no studies with solitary bees have been performed.</w:t>
      </w:r>
    </w:p>
    <w:p w14:paraId="0901318A" w14:textId="77777777" w:rsidR="009938D9" w:rsidRPr="00E51CDD" w:rsidRDefault="009938D9" w:rsidP="00E51CDD">
      <w:pPr>
        <w:widowControl w:val="0"/>
        <w:jc w:val="both"/>
        <w:rPr>
          <w:i/>
          <w:lang w:val="en-GB" w:eastAsia="en-US"/>
        </w:rPr>
      </w:pPr>
    </w:p>
    <w:p w14:paraId="7FA3D911" w14:textId="77777777" w:rsidR="00E51CDD" w:rsidRPr="00E51CDD" w:rsidRDefault="00E51CDD" w:rsidP="002E3CFC">
      <w:pPr>
        <w:pStyle w:val="Nagwek3"/>
      </w:pPr>
      <w:bookmarkStart w:id="653" w:name="_Toc412644009"/>
      <w:bookmarkStart w:id="654" w:name="_Toc413916853"/>
      <w:bookmarkStart w:id="655" w:name="_Toc413916995"/>
      <w:bookmarkStart w:id="656" w:name="_Toc413922056"/>
      <w:bookmarkStart w:id="657" w:name="_Toc413922545"/>
      <w:bookmarkStart w:id="658" w:name="_Toc413922649"/>
      <w:bookmarkStart w:id="659" w:name="_Toc414955286"/>
      <w:bookmarkStart w:id="660" w:name="_Toc415214593"/>
      <w:bookmarkStart w:id="661" w:name="_Toc125446435"/>
      <w:r w:rsidRPr="00E51CDD">
        <w:t>Overall conclusions</w:t>
      </w:r>
      <w:bookmarkEnd w:id="653"/>
      <w:bookmarkEnd w:id="654"/>
      <w:bookmarkEnd w:id="655"/>
      <w:bookmarkEnd w:id="656"/>
      <w:bookmarkEnd w:id="657"/>
      <w:bookmarkEnd w:id="658"/>
      <w:bookmarkEnd w:id="659"/>
      <w:bookmarkEnd w:id="660"/>
      <w:bookmarkEnd w:id="661"/>
    </w:p>
    <w:p w14:paraId="4BCB6F2A" w14:textId="77777777" w:rsidR="00E51CDD" w:rsidRPr="00E51CDD" w:rsidRDefault="00E51CDD" w:rsidP="00E51CDD">
      <w:pPr>
        <w:widowControl w:val="0"/>
        <w:jc w:val="both"/>
        <w:rPr>
          <w:b/>
        </w:rPr>
      </w:pPr>
      <w:bookmarkStart w:id="662" w:name="_Toc399487282"/>
      <w:bookmarkStart w:id="663" w:name="_Ref405399529"/>
      <w:r w:rsidRPr="00E51CDD">
        <w:rPr>
          <w:b/>
        </w:rPr>
        <w:t xml:space="preserve">The hazard quotients for BAS 736 00 F and the active substances fluxapyroxad and azoxystrobin for acute oral and acute contact exposure of honey bees are considerably below the Commission Regulation (EU) 546/2011 trigger value of 50. Based on the available information it can be concluded that no unacceptable risk to honey bees is expected from applications of BAS 736 00 F according to the proposed uses. </w:t>
      </w:r>
      <w:bookmarkStart w:id="664" w:name="_Hlk24553683"/>
      <w:r w:rsidRPr="00E51CDD">
        <w:rPr>
          <w:b/>
          <w:lang w:val="en-GB"/>
        </w:rPr>
        <w:t xml:space="preserve">This is confirmed by a risk assessment following </w:t>
      </w:r>
      <w:r w:rsidRPr="00E51CDD">
        <w:rPr>
          <w:b/>
        </w:rPr>
        <w:t>EPPO (2010) for chronic exposure to adult honey bees and repeated exposure to honey bee larvae.</w:t>
      </w:r>
    </w:p>
    <w:bookmarkEnd w:id="664"/>
    <w:p w14:paraId="56748030" w14:textId="77777777" w:rsidR="00E51CDD" w:rsidRDefault="00E51CDD" w:rsidP="00E51CDD">
      <w:pPr>
        <w:widowControl w:val="0"/>
        <w:jc w:val="both"/>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345"/>
      </w:tblGrid>
      <w:tr w:rsidR="00895E31" w:rsidRPr="00540D8E" w14:paraId="5A96502D" w14:textId="77777777" w:rsidTr="00230125">
        <w:trPr>
          <w:cantSplit/>
        </w:trPr>
        <w:tc>
          <w:tcPr>
            <w:tcW w:w="5000" w:type="pct"/>
            <w:shd w:val="clear" w:color="auto" w:fill="D9D9D9"/>
          </w:tcPr>
          <w:p w14:paraId="4FCCBD28" w14:textId="77777777" w:rsidR="00895E31" w:rsidRPr="00167F5A" w:rsidRDefault="00895E31" w:rsidP="00230125">
            <w:pPr>
              <w:pStyle w:val="RepStandard"/>
              <w:spacing w:before="120" w:after="120"/>
              <w:rPr>
                <w:b/>
                <w:bCs/>
                <w:lang w:eastAsia="en-US"/>
              </w:rPr>
            </w:pPr>
            <w:r w:rsidRPr="00167F5A">
              <w:rPr>
                <w:b/>
                <w:bCs/>
                <w:lang w:eastAsia="en-US"/>
              </w:rPr>
              <w:lastRenderedPageBreak/>
              <w:t>Review Comments:</w:t>
            </w:r>
          </w:p>
          <w:p w14:paraId="7C818DF4" w14:textId="3F34E1EB" w:rsidR="00895E31" w:rsidRPr="00167F5A" w:rsidRDefault="00895E31" w:rsidP="00230125">
            <w:pPr>
              <w:pStyle w:val="RepStandard"/>
              <w:spacing w:before="120" w:after="120"/>
            </w:pPr>
            <w:r w:rsidRPr="00167F5A">
              <w:t xml:space="preserve">The evaluation of the acute risk for bees was performed in accordance with the recommendations of the “Guidance Document on Terrestrial Ecotoxicology”, as provided by the Commission Services (SANCO/10329/2002 rev.2 (final), October 17, 2002). The submitted risk assessment, based on laboratory studies, has been accepted. </w:t>
            </w:r>
            <w:r w:rsidRPr="00167F5A">
              <w:rPr>
                <w:bCs/>
              </w:rPr>
              <w:t xml:space="preserve">It can therefore be concluded that there will be negligible acute risk associated with the exposure of </w:t>
            </w:r>
            <w:r w:rsidRPr="00167F5A">
              <w:rPr>
                <w:i/>
                <w:lang w:eastAsia="en-US"/>
              </w:rPr>
              <w:t>Apis mellifera</w:t>
            </w:r>
            <w:r w:rsidRPr="00167F5A">
              <w:rPr>
                <w:lang w:eastAsia="en-US"/>
              </w:rPr>
              <w:t xml:space="preserve"> </w:t>
            </w:r>
            <w:r w:rsidRPr="00167F5A">
              <w:rPr>
                <w:bCs/>
              </w:rPr>
              <w:t xml:space="preserve">to </w:t>
            </w:r>
            <w:r w:rsidR="003F071E">
              <w:rPr>
                <w:bCs/>
              </w:rPr>
              <w:t>BAS 736 00 F</w:t>
            </w:r>
            <w:r w:rsidRPr="00167F5A">
              <w:rPr>
                <w:bCs/>
              </w:rPr>
              <w:t>.</w:t>
            </w:r>
          </w:p>
          <w:p w14:paraId="112FD576" w14:textId="77777777" w:rsidR="00895E31" w:rsidRPr="00167F5A" w:rsidRDefault="00895E31" w:rsidP="00230125">
            <w:pPr>
              <w:pStyle w:val="MainText10GAB"/>
              <w:spacing w:before="120"/>
              <w:rPr>
                <w:bCs/>
                <w:sz w:val="22"/>
                <w:szCs w:val="22"/>
                <w:lang w:val="en-GB"/>
              </w:rPr>
            </w:pPr>
            <w:r w:rsidRPr="00167F5A">
              <w:rPr>
                <w:bCs/>
                <w:sz w:val="22"/>
                <w:szCs w:val="22"/>
                <w:lang w:val="en-GB"/>
              </w:rPr>
              <w:t xml:space="preserve">The data requirements in accordance with Commission Regulation (EU) No 284/2013 for the chronic toxicity to adult honeybees and honeybee larvae are fulfilled. </w:t>
            </w:r>
          </w:p>
          <w:p w14:paraId="312E5C43" w14:textId="6442A14D" w:rsidR="00895E31" w:rsidRPr="00167F5A" w:rsidRDefault="00895E31" w:rsidP="00230125">
            <w:pPr>
              <w:spacing w:before="120" w:after="120"/>
              <w:jc w:val="both"/>
            </w:pPr>
            <w:r>
              <w:rPr>
                <w:rStyle w:val="VcursiveGAB"/>
                <w:i w:val="0"/>
                <w:iCs/>
                <w:lang w:val="en-GB"/>
              </w:rPr>
              <w:t>T</w:t>
            </w:r>
            <w:r w:rsidRPr="00167F5A">
              <w:rPr>
                <w:rStyle w:val="VcursiveGAB"/>
                <w:i w:val="0"/>
                <w:iCs/>
                <w:lang w:val="en-GB"/>
              </w:rPr>
              <w:t xml:space="preserve">here is not harmonized approach for </w:t>
            </w:r>
            <w:r w:rsidRPr="00167F5A">
              <w:rPr>
                <w:bCs/>
                <w:lang w:val="en-GB"/>
              </w:rPr>
              <w:t>the chronic risk assessment for bees</w:t>
            </w:r>
            <w:r w:rsidRPr="00167F5A">
              <w:rPr>
                <w:rStyle w:val="VcursiveGAB"/>
                <w:lang w:val="en-GB"/>
              </w:rPr>
              <w:t xml:space="preserve">, </w:t>
            </w:r>
            <w:r w:rsidRPr="00167F5A">
              <w:rPr>
                <w:rStyle w:val="VcursiveGAB"/>
                <w:i w:val="0"/>
                <w:iCs/>
                <w:lang w:val="en-GB"/>
              </w:rPr>
              <w:t>therefore,</w:t>
            </w:r>
            <w:r w:rsidRPr="00167F5A">
              <w:rPr>
                <w:rStyle w:val="VcursiveGAB"/>
                <w:lang w:val="en-GB"/>
              </w:rPr>
              <w:t xml:space="preserve"> </w:t>
            </w:r>
            <w:r w:rsidRPr="00167F5A">
              <w:rPr>
                <w:bCs/>
                <w:lang w:val="en-GB"/>
              </w:rPr>
              <w:t>Concerned Member States must decide on the acceptability of</w:t>
            </w:r>
            <w:r w:rsidRPr="00167F5A">
              <w:rPr>
                <w:color w:val="000000"/>
                <w:lang w:val="en-GB" w:eastAsia="nl-BE"/>
              </w:rPr>
              <w:t xml:space="preserve"> EPPO 2010 approach</w:t>
            </w:r>
            <w:r w:rsidRPr="00167F5A">
              <w:rPr>
                <w:rStyle w:val="VcursiveGAB"/>
                <w:lang w:val="en-GB"/>
              </w:rPr>
              <w:t xml:space="preserve"> </w:t>
            </w:r>
            <w:r w:rsidRPr="00167F5A">
              <w:rPr>
                <w:rStyle w:val="VcursiveGAB"/>
                <w:i w:val="0"/>
                <w:iCs/>
                <w:lang w:val="en-GB"/>
              </w:rPr>
              <w:t>at</w:t>
            </w:r>
            <w:r w:rsidRPr="00167F5A">
              <w:rPr>
                <w:bCs/>
                <w:lang w:val="en-GB"/>
              </w:rPr>
              <w:t xml:space="preserve"> national level.</w:t>
            </w:r>
            <w:r w:rsidRPr="001B1DE8">
              <w:rPr>
                <w:rStyle w:val="VcursiveGAB"/>
                <w:i w:val="0"/>
                <w:iCs/>
                <w:lang w:val="en-GB"/>
              </w:rPr>
              <w:t xml:space="preserve"> </w:t>
            </w:r>
          </w:p>
        </w:tc>
      </w:tr>
    </w:tbl>
    <w:p w14:paraId="0368FE9B" w14:textId="77777777" w:rsidR="00BC42F3" w:rsidRPr="00BC42F3" w:rsidRDefault="00BC42F3" w:rsidP="00E51CDD">
      <w:pPr>
        <w:widowControl w:val="0"/>
        <w:jc w:val="both"/>
        <w:rPr>
          <w:b/>
          <w:iCs/>
        </w:rPr>
      </w:pPr>
    </w:p>
    <w:bookmarkEnd w:id="662"/>
    <w:bookmarkEnd w:id="663"/>
    <w:p w14:paraId="4E669AC9" w14:textId="77777777" w:rsidR="00E51CDD" w:rsidRPr="00E51CDD" w:rsidRDefault="00E51CDD" w:rsidP="00E51CDD">
      <w:pPr>
        <w:rPr>
          <w:u w:val="single"/>
        </w:rPr>
      </w:pPr>
    </w:p>
    <w:p w14:paraId="514CF9B2" w14:textId="77777777" w:rsidR="00E51CDD" w:rsidRPr="006A40DA" w:rsidRDefault="00E51CDD" w:rsidP="00E51CDD">
      <w:pPr>
        <w:widowControl w:val="0"/>
        <w:jc w:val="both"/>
        <w:rPr>
          <w:u w:val="single"/>
          <w:lang w:val="de-DE"/>
        </w:rPr>
      </w:pPr>
      <w:r w:rsidRPr="006A40DA">
        <w:rPr>
          <w:u w:val="single"/>
          <w:lang w:val="de-DE"/>
        </w:rPr>
        <w:t>References</w:t>
      </w:r>
    </w:p>
    <w:p w14:paraId="7483BA0B" w14:textId="72D7E626" w:rsidR="00E51CDD" w:rsidRPr="006A40DA" w:rsidRDefault="00E51CDD" w:rsidP="00E51CDD">
      <w:pPr>
        <w:widowControl w:val="0"/>
        <w:jc w:val="both"/>
        <w:rPr>
          <w:lang w:val="de-DE"/>
        </w:rPr>
      </w:pPr>
      <w:r w:rsidRPr="00E51CDD">
        <w:rPr>
          <w:lang w:val="de-DE"/>
        </w:rPr>
        <w:t xml:space="preserve">Babendreier, D., Kalberer, N., Romeis, J., Fluri, P., &amp; Bigler, F. (2004). </w:t>
      </w:r>
      <w:r w:rsidRPr="00E51CDD">
        <w:rPr>
          <w:lang w:val="en-GB"/>
        </w:rPr>
        <w:t xml:space="preserve">Pollen consumption in honey bee larvae: a step forward in the risk assessment of transgenic plants. </w:t>
      </w:r>
      <w:r w:rsidRPr="006A40DA">
        <w:rPr>
          <w:iCs/>
          <w:lang w:val="de-DE"/>
        </w:rPr>
        <w:t>Apidologie</w:t>
      </w:r>
      <w:r w:rsidRPr="006A40DA">
        <w:rPr>
          <w:lang w:val="de-DE"/>
        </w:rPr>
        <w:t xml:space="preserve">, </w:t>
      </w:r>
      <w:r w:rsidRPr="006A40DA">
        <w:rPr>
          <w:iCs/>
          <w:lang w:val="de-DE"/>
        </w:rPr>
        <w:t>35</w:t>
      </w:r>
      <w:r w:rsidRPr="006A40DA">
        <w:rPr>
          <w:lang w:val="de-DE"/>
        </w:rPr>
        <w:t>(3), 293-300.</w:t>
      </w:r>
    </w:p>
    <w:p w14:paraId="5FA52C39" w14:textId="77777777" w:rsidR="002D3278" w:rsidRPr="006A40DA" w:rsidRDefault="002D3278" w:rsidP="00E51CDD">
      <w:pPr>
        <w:widowControl w:val="0"/>
        <w:jc w:val="both"/>
        <w:rPr>
          <w:lang w:val="de-DE"/>
        </w:rPr>
      </w:pPr>
    </w:p>
    <w:p w14:paraId="322AC107" w14:textId="5E9E809D" w:rsidR="00E51CDD" w:rsidRDefault="00E51CDD" w:rsidP="00E51CDD">
      <w:pPr>
        <w:widowControl w:val="0"/>
        <w:jc w:val="both"/>
      </w:pPr>
      <w:r w:rsidRPr="00E51CDD">
        <w:rPr>
          <w:lang w:val="de-DE"/>
        </w:rPr>
        <w:t xml:space="preserve">Pamminger, T., Becker, R., Himmelreich, S., Schneider, C. W., &amp; Bergtold, M. (2019). </w:t>
      </w:r>
      <w:r w:rsidRPr="00E51CDD">
        <w:t xml:space="preserve">The nectar report: quantitative review of nectar sugar concentrations offered by bee visited flowers in agricultural and non-agricultural landscapes. </w:t>
      </w:r>
      <w:r w:rsidRPr="00E51CDD">
        <w:rPr>
          <w:i/>
          <w:iCs/>
        </w:rPr>
        <w:t>PeerJ</w:t>
      </w:r>
      <w:r w:rsidRPr="00E51CDD">
        <w:t xml:space="preserve">, </w:t>
      </w:r>
      <w:r w:rsidRPr="00E51CDD">
        <w:rPr>
          <w:i/>
          <w:iCs/>
        </w:rPr>
        <w:t>7</w:t>
      </w:r>
      <w:r w:rsidRPr="00E51CDD">
        <w:t>, e6329.</w:t>
      </w:r>
    </w:p>
    <w:p w14:paraId="01B8F52F" w14:textId="77777777" w:rsidR="002D3278" w:rsidRPr="00E51CDD" w:rsidRDefault="002D3278" w:rsidP="00E51CDD">
      <w:pPr>
        <w:widowControl w:val="0"/>
        <w:jc w:val="both"/>
      </w:pPr>
    </w:p>
    <w:p w14:paraId="3A3F4EAD" w14:textId="6205EBE3" w:rsidR="00E51CDD" w:rsidRPr="00D233E0" w:rsidRDefault="00E51CDD" w:rsidP="00D233E0">
      <w:pPr>
        <w:widowControl w:val="0"/>
        <w:jc w:val="both"/>
      </w:pPr>
      <w:r w:rsidRPr="00E51CDD">
        <w:t xml:space="preserve">Rortais, A., Arnold, G., Halm, M. P., &amp; Touffet-Briens, F. (2005). Modes of honey bees exposure to systemic insecticides: estimated amounts of contaminated pollen and nectar consumed by different categories of bees. </w:t>
      </w:r>
      <w:r w:rsidRPr="00E51CDD">
        <w:rPr>
          <w:iCs/>
        </w:rPr>
        <w:t>Apidologie</w:t>
      </w:r>
      <w:r w:rsidRPr="00E51CDD">
        <w:t xml:space="preserve">, </w:t>
      </w:r>
      <w:r w:rsidRPr="00E51CDD">
        <w:rPr>
          <w:iCs/>
        </w:rPr>
        <w:t>36</w:t>
      </w:r>
      <w:r w:rsidRPr="00E51CDD">
        <w:t>(1), 71-83.</w:t>
      </w:r>
    </w:p>
    <w:bookmarkEnd w:id="559"/>
    <w:p w14:paraId="5D47BD2B" w14:textId="77777777" w:rsidR="00E51CDD" w:rsidRPr="00E51CDD" w:rsidRDefault="00E51CDD" w:rsidP="00E51CDD">
      <w:pPr>
        <w:jc w:val="both"/>
        <w:rPr>
          <w:color w:val="000000"/>
          <w:lang w:eastAsia="en-US"/>
        </w:rPr>
      </w:pPr>
    </w:p>
    <w:p w14:paraId="3792F912" w14:textId="77777777" w:rsidR="000630E1" w:rsidRDefault="000630E1">
      <w:pPr>
        <w:rPr>
          <w:b/>
          <w:bCs/>
          <w:sz w:val="24"/>
          <w:szCs w:val="24"/>
          <w:lang w:val="en-GB"/>
        </w:rPr>
      </w:pPr>
      <w:bookmarkStart w:id="665" w:name="_Ref405923455"/>
      <w:bookmarkStart w:id="666" w:name="_Toc412644010"/>
      <w:bookmarkStart w:id="667" w:name="_Toc413916854"/>
      <w:bookmarkStart w:id="668" w:name="_Toc413916996"/>
      <w:bookmarkStart w:id="669" w:name="_Toc413922057"/>
      <w:bookmarkStart w:id="670" w:name="_Toc413922546"/>
      <w:bookmarkStart w:id="671" w:name="_Toc413922650"/>
      <w:bookmarkStart w:id="672" w:name="_Toc414955287"/>
      <w:bookmarkStart w:id="673" w:name="_Toc415214594"/>
      <w:r>
        <w:br w:type="page"/>
      </w:r>
    </w:p>
    <w:p w14:paraId="24310313" w14:textId="67475BA0" w:rsidR="00E51CDD" w:rsidRPr="00E51CDD" w:rsidRDefault="00E51CDD" w:rsidP="002E3CFC">
      <w:pPr>
        <w:pStyle w:val="Nagwek2"/>
      </w:pPr>
      <w:bookmarkStart w:id="674" w:name="_Toc125446436"/>
      <w:r w:rsidRPr="00E51CDD">
        <w:lastRenderedPageBreak/>
        <w:t>Effects on arthropods other than bees (KCP 10.3.2)</w:t>
      </w:r>
      <w:bookmarkEnd w:id="665"/>
      <w:bookmarkEnd w:id="666"/>
      <w:bookmarkEnd w:id="667"/>
      <w:bookmarkEnd w:id="668"/>
      <w:bookmarkEnd w:id="669"/>
      <w:bookmarkEnd w:id="670"/>
      <w:bookmarkEnd w:id="671"/>
      <w:bookmarkEnd w:id="672"/>
      <w:bookmarkEnd w:id="673"/>
      <w:bookmarkEnd w:id="674"/>
    </w:p>
    <w:p w14:paraId="074FAB53" w14:textId="77777777" w:rsidR="00E51CDD" w:rsidRPr="00E51CDD" w:rsidRDefault="00E51CDD" w:rsidP="002E3CFC">
      <w:pPr>
        <w:pStyle w:val="Nagwek3"/>
      </w:pPr>
      <w:bookmarkStart w:id="675" w:name="_Toc412644011"/>
      <w:bookmarkStart w:id="676" w:name="_Toc413916855"/>
      <w:bookmarkStart w:id="677" w:name="_Toc413916997"/>
      <w:bookmarkStart w:id="678" w:name="_Toc413922058"/>
      <w:bookmarkStart w:id="679" w:name="_Toc413922547"/>
      <w:bookmarkStart w:id="680" w:name="_Toc413922651"/>
      <w:bookmarkStart w:id="681" w:name="_Toc414955288"/>
      <w:bookmarkStart w:id="682" w:name="_Toc415214595"/>
      <w:bookmarkStart w:id="683" w:name="_Toc125446437"/>
      <w:r w:rsidRPr="00E51CDD">
        <w:t>Toxicity data</w:t>
      </w:r>
      <w:bookmarkEnd w:id="675"/>
      <w:bookmarkEnd w:id="676"/>
      <w:bookmarkEnd w:id="677"/>
      <w:bookmarkEnd w:id="678"/>
      <w:bookmarkEnd w:id="679"/>
      <w:bookmarkEnd w:id="680"/>
      <w:bookmarkEnd w:id="681"/>
      <w:bookmarkEnd w:id="682"/>
      <w:bookmarkEnd w:id="683"/>
    </w:p>
    <w:p w14:paraId="166C4434" w14:textId="15C5FD38" w:rsidR="00E51CDD" w:rsidRPr="00E51CDD" w:rsidRDefault="00E51CDD" w:rsidP="00E51CDD">
      <w:pPr>
        <w:widowControl w:val="0"/>
        <w:jc w:val="both"/>
        <w:rPr>
          <w:lang w:val="en-GB"/>
        </w:rPr>
      </w:pPr>
      <w:bookmarkStart w:id="684" w:name="_Toc412644012"/>
      <w:bookmarkStart w:id="685" w:name="_Toc413916856"/>
      <w:bookmarkStart w:id="686" w:name="_Toc413916998"/>
      <w:bookmarkStart w:id="687" w:name="_Toc413922059"/>
      <w:bookmarkStart w:id="688" w:name="_Toc413922548"/>
      <w:bookmarkStart w:id="689" w:name="_Toc413922652"/>
      <w:bookmarkStart w:id="690" w:name="_Toc414955289"/>
      <w:bookmarkStart w:id="691" w:name="_Toc415214596"/>
      <w:bookmarkStart w:id="692" w:name="_Hlk88475710"/>
      <w:bookmarkStart w:id="693" w:name="_Hlk88476712"/>
      <w:r w:rsidRPr="00E51CDD">
        <w:rPr>
          <w:lang w:val="en-GB"/>
        </w:rPr>
        <w:t xml:space="preserve">The toxicity of BAS 736 00 F to </w:t>
      </w:r>
      <w:r w:rsidRPr="00E51CDD">
        <w:rPr>
          <w:bCs/>
          <w:lang w:val="en-GB"/>
        </w:rPr>
        <w:t xml:space="preserve">non-target arthropods has been investigated by carrying out Tier I tests on </w:t>
      </w:r>
      <w:r w:rsidRPr="00E51CDD">
        <w:rPr>
          <w:bCs/>
          <w:i/>
          <w:iCs/>
          <w:lang w:val="en-GB"/>
        </w:rPr>
        <w:t>Aphidius rhopalosiphi</w:t>
      </w:r>
      <w:r w:rsidRPr="00E51CDD">
        <w:rPr>
          <w:bCs/>
          <w:lang w:val="en-GB"/>
        </w:rPr>
        <w:t xml:space="preserve"> and </w:t>
      </w:r>
      <w:r w:rsidRPr="00E51CDD">
        <w:rPr>
          <w:bCs/>
          <w:i/>
          <w:lang w:val="en-GB"/>
        </w:rPr>
        <w:t>Typhlodromus pyri</w:t>
      </w:r>
      <w:r w:rsidRPr="00E51CDD">
        <w:rPr>
          <w:bCs/>
          <w:lang w:val="en-GB"/>
        </w:rPr>
        <w:t xml:space="preserve"> and Tier II tests on </w:t>
      </w:r>
      <w:r w:rsidRPr="00E51CDD">
        <w:rPr>
          <w:bCs/>
          <w:i/>
          <w:lang w:val="en-GB"/>
        </w:rPr>
        <w:t>T. pyri</w:t>
      </w:r>
      <w:r w:rsidRPr="00E51CDD">
        <w:rPr>
          <w:bCs/>
          <w:lang w:val="en-GB"/>
        </w:rPr>
        <w:t xml:space="preserve">, </w:t>
      </w:r>
      <w:r w:rsidRPr="00E51CDD">
        <w:rPr>
          <w:bCs/>
          <w:i/>
          <w:iCs/>
          <w:lang w:val="en-GB"/>
        </w:rPr>
        <w:t>A. rhopalosiphi</w:t>
      </w:r>
      <w:r w:rsidRPr="00E51CDD">
        <w:rPr>
          <w:bCs/>
          <w:lang w:val="en-GB"/>
        </w:rPr>
        <w:t xml:space="preserve"> and </w:t>
      </w:r>
      <w:r w:rsidRPr="00E51CDD">
        <w:rPr>
          <w:bCs/>
          <w:i/>
          <w:lang w:val="en-GB"/>
        </w:rPr>
        <w:t>Chrysoperla carnea.</w:t>
      </w:r>
      <w:bookmarkStart w:id="694" w:name="_Ref442450072"/>
      <w:r w:rsidRPr="00E51CDD">
        <w:rPr>
          <w:lang w:val="en-GB"/>
        </w:rPr>
        <w:t xml:space="preserve"> All studies are listed in </w:t>
      </w:r>
      <w:r w:rsidRPr="00E51CDD">
        <w:rPr>
          <w:lang w:val="en-GB"/>
        </w:rPr>
        <w:fldChar w:fldCharType="begin"/>
      </w:r>
      <w:r w:rsidRPr="00E51CDD">
        <w:rPr>
          <w:lang w:val="en-GB"/>
        </w:rPr>
        <w:instrText xml:space="preserve"> REF _Ref5000571 \h  \* MERGEFORMAT </w:instrText>
      </w:r>
      <w:r w:rsidRPr="00E51CDD">
        <w:rPr>
          <w:lang w:val="en-GB"/>
        </w:rPr>
      </w:r>
      <w:r w:rsidRPr="00E51CDD">
        <w:rPr>
          <w:lang w:val="en-GB"/>
        </w:rPr>
        <w:fldChar w:fldCharType="separate"/>
      </w:r>
      <w:r w:rsidR="00662F32" w:rsidRPr="00662F32">
        <w:rPr>
          <w:lang w:val="en-GB"/>
        </w:rPr>
        <w:t xml:space="preserve">Table </w:t>
      </w:r>
      <w:r w:rsidR="00662F32" w:rsidRPr="00662F32">
        <w:rPr>
          <w:noProof/>
          <w:lang w:val="en-GB"/>
        </w:rPr>
        <w:t>9.7</w:t>
      </w:r>
      <w:r w:rsidR="00662F32" w:rsidRPr="00662F32">
        <w:rPr>
          <w:noProof/>
          <w:lang w:val="en-GB"/>
        </w:rPr>
        <w:noBreakHyphen/>
        <w:t>1</w:t>
      </w:r>
      <w:r w:rsidRPr="00E51CDD">
        <w:rPr>
          <w:lang w:val="en-GB"/>
        </w:rPr>
        <w:fldChar w:fldCharType="end"/>
      </w:r>
      <w:r w:rsidRPr="00E51CDD">
        <w:rPr>
          <w:lang w:val="en-GB"/>
        </w:rPr>
        <w:t>. New data submitted with this application are listed in Appendix 1 and summarized in Appendix 2.</w:t>
      </w:r>
    </w:p>
    <w:p w14:paraId="52814972" w14:textId="77777777" w:rsidR="00E51CDD" w:rsidRPr="00E51CDD" w:rsidRDefault="00E51CDD" w:rsidP="00E51CDD">
      <w:pPr>
        <w:widowControl w:val="0"/>
        <w:jc w:val="both"/>
        <w:rPr>
          <w:lang w:val="en-GB"/>
        </w:rPr>
      </w:pPr>
    </w:p>
    <w:p w14:paraId="44EB69FD" w14:textId="4118C405" w:rsidR="00E51CDD" w:rsidRPr="00E51CDD" w:rsidRDefault="00E51CDD" w:rsidP="00E51CDD">
      <w:pPr>
        <w:widowControl w:val="0"/>
        <w:ind w:left="1418" w:hanging="1418"/>
        <w:jc w:val="both"/>
        <w:rPr>
          <w:b/>
          <w:lang w:val="en-GB"/>
        </w:rPr>
      </w:pPr>
      <w:bookmarkStart w:id="695" w:name="_Ref5000571"/>
      <w:r w:rsidRPr="00E51CDD">
        <w:rPr>
          <w:b/>
          <w:lang w:val="en-GB"/>
        </w:rPr>
        <w:t xml:space="preserve">Table </w:t>
      </w:r>
      <w:r w:rsidRPr="00E51CDD">
        <w:rPr>
          <w:b/>
          <w:lang w:val="en-GB"/>
        </w:rPr>
        <w:fldChar w:fldCharType="begin"/>
      </w:r>
      <w:r w:rsidRPr="00E51CDD">
        <w:rPr>
          <w:b/>
          <w:lang w:val="en-GB"/>
        </w:rPr>
        <w:instrText xml:space="preserve"> STYLEREF 2 \s </w:instrText>
      </w:r>
      <w:r w:rsidRPr="00E51CDD">
        <w:rPr>
          <w:b/>
          <w:lang w:val="en-GB"/>
        </w:rPr>
        <w:fldChar w:fldCharType="separate"/>
      </w:r>
      <w:r w:rsidR="00662F32">
        <w:rPr>
          <w:b/>
          <w:noProof/>
          <w:lang w:val="en-GB"/>
        </w:rPr>
        <w:t>9.7</w:t>
      </w:r>
      <w:r w:rsidRPr="00E51CDD">
        <w:rPr>
          <w:b/>
          <w:lang w:val="en-GB"/>
        </w:rPr>
        <w:fldChar w:fldCharType="end"/>
      </w:r>
      <w:r w:rsidRPr="00E51CDD">
        <w:rPr>
          <w:b/>
          <w:lang w:val="en-GB"/>
        </w:rPr>
        <w:noBreakHyphen/>
      </w:r>
      <w:r w:rsidRPr="00E51CDD">
        <w:rPr>
          <w:b/>
          <w:lang w:val="en-GB"/>
        </w:rPr>
        <w:fldChar w:fldCharType="begin"/>
      </w:r>
      <w:r w:rsidRPr="00E51CDD">
        <w:rPr>
          <w:b/>
          <w:lang w:val="en-GB"/>
        </w:rPr>
        <w:instrText xml:space="preserve"> SEQ Table \* ARABIC \s 2 </w:instrText>
      </w:r>
      <w:r w:rsidRPr="00E51CDD">
        <w:rPr>
          <w:b/>
          <w:lang w:val="en-GB"/>
        </w:rPr>
        <w:fldChar w:fldCharType="separate"/>
      </w:r>
      <w:r w:rsidR="00662F32">
        <w:rPr>
          <w:b/>
          <w:noProof/>
          <w:lang w:val="en-GB"/>
        </w:rPr>
        <w:t>1</w:t>
      </w:r>
      <w:r w:rsidRPr="00E51CDD">
        <w:rPr>
          <w:b/>
          <w:lang w:val="en-GB"/>
        </w:rPr>
        <w:fldChar w:fldCharType="end"/>
      </w:r>
      <w:bookmarkEnd w:id="694"/>
      <w:bookmarkEnd w:id="695"/>
      <w:r w:rsidRPr="00E51CDD">
        <w:rPr>
          <w:b/>
          <w:lang w:val="en-GB"/>
        </w:rPr>
        <w:t>:</w:t>
      </w:r>
      <w:r w:rsidRPr="00E51CDD">
        <w:rPr>
          <w:b/>
          <w:lang w:val="en-GB"/>
        </w:rPr>
        <w:tab/>
        <w:t>Endpoints and effect values for BAS 736 00 F relevant for the risk assessment for non-target arthropods</w:t>
      </w:r>
    </w:p>
    <w:tbl>
      <w:tblPr>
        <w:tblW w:w="50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49"/>
        <w:gridCol w:w="1818"/>
        <w:gridCol w:w="1725"/>
        <w:gridCol w:w="2227"/>
        <w:gridCol w:w="1759"/>
      </w:tblGrid>
      <w:tr w:rsidR="00E51CDD" w:rsidRPr="00E51CDD" w14:paraId="08F05D70" w14:textId="77777777" w:rsidTr="009938D9">
        <w:trPr>
          <w:tblHeader/>
        </w:trPr>
        <w:tc>
          <w:tcPr>
            <w:tcW w:w="1028" w:type="pct"/>
            <w:shd w:val="clear" w:color="auto" w:fill="auto"/>
          </w:tcPr>
          <w:p w14:paraId="164DE501"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Species</w:t>
            </w:r>
          </w:p>
        </w:tc>
        <w:tc>
          <w:tcPr>
            <w:tcW w:w="959" w:type="pct"/>
            <w:shd w:val="clear" w:color="auto" w:fill="auto"/>
          </w:tcPr>
          <w:p w14:paraId="455725E3"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Product</w:t>
            </w:r>
          </w:p>
        </w:tc>
        <w:tc>
          <w:tcPr>
            <w:tcW w:w="910" w:type="pct"/>
            <w:shd w:val="clear" w:color="auto" w:fill="auto"/>
          </w:tcPr>
          <w:p w14:paraId="3B555D17"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Exposure</w:t>
            </w:r>
            <w:r w:rsidRPr="00E51CDD">
              <w:rPr>
                <w:b/>
                <w:sz w:val="20"/>
                <w:szCs w:val="20"/>
                <w:lang w:val="en-GB"/>
              </w:rPr>
              <w:br/>
              <w:t>System</w:t>
            </w:r>
          </w:p>
        </w:tc>
        <w:tc>
          <w:tcPr>
            <w:tcW w:w="1175" w:type="pct"/>
            <w:shd w:val="clear" w:color="auto" w:fill="auto"/>
          </w:tcPr>
          <w:p w14:paraId="54E11D36"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Results</w:t>
            </w:r>
          </w:p>
        </w:tc>
        <w:tc>
          <w:tcPr>
            <w:tcW w:w="928" w:type="pct"/>
            <w:shd w:val="clear" w:color="auto" w:fill="auto"/>
          </w:tcPr>
          <w:p w14:paraId="5B2A82FF"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Reference</w:t>
            </w:r>
          </w:p>
        </w:tc>
      </w:tr>
      <w:tr w:rsidR="00E51CDD" w:rsidRPr="00E51CDD" w14:paraId="4A129B6E" w14:textId="77777777" w:rsidTr="009938D9">
        <w:tc>
          <w:tcPr>
            <w:tcW w:w="1028" w:type="pct"/>
            <w:shd w:val="clear" w:color="auto" w:fill="auto"/>
          </w:tcPr>
          <w:p w14:paraId="083D3B47" w14:textId="77777777" w:rsidR="00E51CDD" w:rsidRPr="00E51CDD" w:rsidRDefault="00E51CDD" w:rsidP="00E51CDD">
            <w:pPr>
              <w:widowControl w:val="0"/>
              <w:rPr>
                <w:noProof/>
                <w:sz w:val="20"/>
                <w:szCs w:val="20"/>
                <w:lang w:val="en-GB"/>
              </w:rPr>
            </w:pPr>
            <w:r w:rsidRPr="00E51CDD">
              <w:rPr>
                <w:i/>
                <w:noProof/>
                <w:sz w:val="20"/>
                <w:szCs w:val="20"/>
                <w:lang w:val="en-GB"/>
              </w:rPr>
              <w:t>Typhlodromus pyri</w:t>
            </w:r>
            <w:r w:rsidRPr="00E51CDD">
              <w:rPr>
                <w:i/>
                <w:noProof/>
                <w:sz w:val="20"/>
                <w:szCs w:val="20"/>
                <w:lang w:val="en-GB"/>
              </w:rPr>
              <w:br/>
            </w:r>
            <w:r w:rsidRPr="00E51CDD">
              <w:rPr>
                <w:noProof/>
                <w:sz w:val="20"/>
                <w:szCs w:val="20"/>
                <w:lang w:val="en-GB"/>
              </w:rPr>
              <w:t>(protonymphs)</w:t>
            </w:r>
          </w:p>
        </w:tc>
        <w:tc>
          <w:tcPr>
            <w:tcW w:w="959" w:type="pct"/>
            <w:shd w:val="clear" w:color="auto" w:fill="auto"/>
          </w:tcPr>
          <w:p w14:paraId="3017BF01" w14:textId="77777777" w:rsidR="00E51CDD" w:rsidRPr="00E51CDD" w:rsidRDefault="00E51CDD" w:rsidP="00E51CDD">
            <w:pPr>
              <w:widowControl w:val="0"/>
              <w:rPr>
                <w:noProof/>
                <w:sz w:val="20"/>
                <w:szCs w:val="20"/>
                <w:lang w:val="en-GB"/>
              </w:rPr>
            </w:pPr>
            <w:r w:rsidRPr="00E51CDD">
              <w:rPr>
                <w:noProof/>
                <w:sz w:val="20"/>
                <w:szCs w:val="20"/>
                <w:lang w:val="en-GB"/>
              </w:rPr>
              <w:t>BAS 736 00 F</w:t>
            </w:r>
          </w:p>
        </w:tc>
        <w:tc>
          <w:tcPr>
            <w:tcW w:w="910" w:type="pct"/>
            <w:shd w:val="clear" w:color="auto" w:fill="auto"/>
          </w:tcPr>
          <w:p w14:paraId="1A074349" w14:textId="77777777" w:rsidR="00E51CDD" w:rsidRPr="00E51CDD" w:rsidRDefault="00E51CDD" w:rsidP="00E51CDD">
            <w:pPr>
              <w:widowControl w:val="0"/>
              <w:rPr>
                <w:noProof/>
                <w:sz w:val="20"/>
                <w:szCs w:val="20"/>
                <w:lang w:val="en-GB"/>
              </w:rPr>
            </w:pPr>
            <w:r w:rsidRPr="00E51CDD">
              <w:rPr>
                <w:noProof/>
                <w:sz w:val="20"/>
                <w:szCs w:val="20"/>
                <w:lang w:val="en-GB"/>
              </w:rPr>
              <w:t>laboratory test</w:t>
            </w:r>
            <w:r w:rsidRPr="00E51CDD">
              <w:rPr>
                <w:noProof/>
                <w:sz w:val="20"/>
                <w:szCs w:val="20"/>
                <w:lang w:val="en-GB"/>
              </w:rPr>
              <w:br/>
              <w:t>glass plates</w:t>
            </w:r>
            <w:r w:rsidRPr="00E51CDD">
              <w:rPr>
                <w:noProof/>
                <w:sz w:val="20"/>
                <w:szCs w:val="20"/>
                <w:lang w:val="en-GB"/>
              </w:rPr>
              <w:br/>
              <w:t>2D exposure</w:t>
            </w:r>
          </w:p>
        </w:tc>
        <w:tc>
          <w:tcPr>
            <w:tcW w:w="1175" w:type="pct"/>
            <w:shd w:val="clear" w:color="auto" w:fill="auto"/>
          </w:tcPr>
          <w:p w14:paraId="23AD0AA8" w14:textId="77777777" w:rsidR="00E51CDD" w:rsidRPr="00E51CDD" w:rsidRDefault="00E51CDD" w:rsidP="00E51CDD">
            <w:pPr>
              <w:widowControl w:val="0"/>
              <w:rPr>
                <w:noProof/>
                <w:sz w:val="20"/>
                <w:szCs w:val="20"/>
              </w:rPr>
            </w:pPr>
            <w:r w:rsidRPr="00E51CDD">
              <w:rPr>
                <w:noProof/>
                <w:sz w:val="20"/>
                <w:szCs w:val="20"/>
              </w:rPr>
              <w:t>LR</w:t>
            </w:r>
            <w:r w:rsidRPr="00E51CDD">
              <w:rPr>
                <w:noProof/>
                <w:sz w:val="20"/>
                <w:szCs w:val="20"/>
                <w:vertAlign w:val="subscript"/>
              </w:rPr>
              <w:t>50</w:t>
            </w:r>
            <w:r w:rsidRPr="00E51CDD">
              <w:rPr>
                <w:noProof/>
                <w:sz w:val="20"/>
                <w:szCs w:val="20"/>
              </w:rPr>
              <w:t xml:space="preserve"> = 2.75 L/ha</w:t>
            </w:r>
          </w:p>
          <w:p w14:paraId="407E9F48" w14:textId="77777777" w:rsidR="00E51CDD" w:rsidRPr="00E51CDD" w:rsidRDefault="00E51CDD" w:rsidP="00E51CDD">
            <w:pPr>
              <w:widowControl w:val="0"/>
              <w:rPr>
                <w:i/>
                <w:noProof/>
                <w:sz w:val="20"/>
                <w:szCs w:val="20"/>
              </w:rPr>
            </w:pPr>
          </w:p>
          <w:p w14:paraId="54B1553D" w14:textId="77777777" w:rsidR="00E51CDD" w:rsidRPr="00E51CDD" w:rsidRDefault="00E51CDD" w:rsidP="00E51CDD">
            <w:pPr>
              <w:widowControl w:val="0"/>
              <w:rPr>
                <w:noProof/>
                <w:sz w:val="20"/>
                <w:szCs w:val="20"/>
              </w:rPr>
            </w:pPr>
            <w:r w:rsidRPr="00E51CDD">
              <w:rPr>
                <w:noProof/>
                <w:sz w:val="20"/>
                <w:szCs w:val="20"/>
              </w:rPr>
              <w:t xml:space="preserve">Corrected </w:t>
            </w:r>
            <w:r w:rsidRPr="00E51CDD">
              <w:rPr>
                <w:sz w:val="20"/>
                <w:szCs w:val="20"/>
                <w:lang w:val="en-GB"/>
              </w:rPr>
              <w:t>m</w:t>
            </w:r>
            <w:r w:rsidRPr="00E51CDD">
              <w:rPr>
                <w:noProof/>
                <w:sz w:val="20"/>
                <w:szCs w:val="20"/>
              </w:rPr>
              <w:t>ortality:</w:t>
            </w:r>
          </w:p>
          <w:p w14:paraId="321FD4F6" w14:textId="77777777" w:rsidR="00E51CDD" w:rsidRPr="00E51CDD" w:rsidRDefault="00E51CDD" w:rsidP="00E51CDD">
            <w:pPr>
              <w:widowControl w:val="0"/>
              <w:rPr>
                <w:noProof/>
                <w:sz w:val="20"/>
                <w:szCs w:val="20"/>
              </w:rPr>
            </w:pPr>
            <w:r w:rsidRPr="00E51CDD">
              <w:rPr>
                <w:noProof/>
                <w:sz w:val="20"/>
                <w:szCs w:val="20"/>
                <w:lang w:val="en-GB"/>
              </w:rPr>
              <w:t>-1.0% at 0.25 L/ha</w:t>
            </w:r>
            <w:r w:rsidRPr="00E51CDD">
              <w:rPr>
                <w:noProof/>
                <w:sz w:val="20"/>
                <w:szCs w:val="20"/>
                <w:lang w:val="en-GB"/>
              </w:rPr>
              <w:br/>
              <w:t>0% at 0.5 L/ha</w:t>
            </w:r>
            <w:r w:rsidRPr="00E51CDD">
              <w:rPr>
                <w:noProof/>
                <w:sz w:val="20"/>
                <w:szCs w:val="20"/>
                <w:lang w:val="en-GB"/>
              </w:rPr>
              <w:br/>
              <w:t>1.0% at 1.0 L/ha</w:t>
            </w:r>
            <w:r w:rsidRPr="00E51CDD">
              <w:rPr>
                <w:noProof/>
                <w:sz w:val="20"/>
                <w:szCs w:val="20"/>
                <w:lang w:val="en-GB"/>
              </w:rPr>
              <w:br/>
              <w:t>8.2% at 2.0 L/ha</w:t>
            </w:r>
            <w:r w:rsidRPr="00E51CDD">
              <w:rPr>
                <w:noProof/>
                <w:sz w:val="20"/>
                <w:szCs w:val="20"/>
                <w:lang w:val="en-GB"/>
              </w:rPr>
              <w:br/>
              <w:t>100% at 4.0 L/ha</w:t>
            </w:r>
          </w:p>
        </w:tc>
        <w:tc>
          <w:tcPr>
            <w:tcW w:w="928" w:type="pct"/>
            <w:shd w:val="clear" w:color="auto" w:fill="auto"/>
          </w:tcPr>
          <w:p w14:paraId="0A39A601" w14:textId="77777777" w:rsidR="00E51CDD" w:rsidRPr="00E51CDD" w:rsidRDefault="00E51CDD" w:rsidP="00E51CDD">
            <w:pPr>
              <w:widowControl w:val="0"/>
              <w:rPr>
                <w:bCs/>
                <w:iCs/>
                <w:noProof/>
                <w:sz w:val="20"/>
                <w:szCs w:val="20"/>
                <w:lang w:eastAsia="en-US"/>
              </w:rPr>
            </w:pPr>
            <w:r w:rsidRPr="00E51CDD">
              <w:rPr>
                <w:bCs/>
                <w:iCs/>
                <w:noProof/>
                <w:sz w:val="20"/>
                <w:szCs w:val="20"/>
                <w:lang w:eastAsia="en-US"/>
              </w:rPr>
              <w:t>not EU evaluated</w:t>
            </w:r>
          </w:p>
          <w:p w14:paraId="60A23686" w14:textId="77777777" w:rsidR="00E51CDD" w:rsidRPr="00E51CDD" w:rsidRDefault="00E51CDD" w:rsidP="00E51CDD">
            <w:pPr>
              <w:widowControl w:val="0"/>
              <w:rPr>
                <w:noProof/>
                <w:sz w:val="20"/>
                <w:szCs w:val="20"/>
              </w:rPr>
            </w:pPr>
            <w:r w:rsidRPr="00E51CDD">
              <w:rPr>
                <w:noProof/>
                <w:color w:val="000000"/>
                <w:sz w:val="20"/>
                <w:szCs w:val="20"/>
                <w:lang w:val="en-GB"/>
              </w:rPr>
              <w:t>2019/1061102</w:t>
            </w:r>
          </w:p>
        </w:tc>
      </w:tr>
      <w:tr w:rsidR="00E51CDD" w:rsidRPr="00E51CDD" w14:paraId="055FD8A9" w14:textId="77777777" w:rsidTr="009938D9">
        <w:tc>
          <w:tcPr>
            <w:tcW w:w="1028" w:type="pct"/>
            <w:shd w:val="clear" w:color="auto" w:fill="auto"/>
          </w:tcPr>
          <w:p w14:paraId="46E1A241" w14:textId="77777777" w:rsidR="00E51CDD" w:rsidRPr="00E51CDD" w:rsidRDefault="00E51CDD" w:rsidP="00E51CDD">
            <w:pPr>
              <w:widowControl w:val="0"/>
              <w:rPr>
                <w:noProof/>
                <w:sz w:val="20"/>
                <w:szCs w:val="20"/>
                <w:lang w:val="en-GB"/>
              </w:rPr>
            </w:pPr>
            <w:r w:rsidRPr="00E51CDD">
              <w:rPr>
                <w:i/>
                <w:noProof/>
                <w:sz w:val="20"/>
                <w:szCs w:val="20"/>
                <w:lang w:val="en-GB"/>
              </w:rPr>
              <w:t>Aphidius rhopalosiphi</w:t>
            </w:r>
            <w:r w:rsidRPr="00E51CDD">
              <w:rPr>
                <w:i/>
                <w:noProof/>
                <w:sz w:val="20"/>
                <w:szCs w:val="20"/>
                <w:lang w:val="en-GB"/>
              </w:rPr>
              <w:br/>
            </w:r>
            <w:r w:rsidRPr="00E51CDD">
              <w:rPr>
                <w:noProof/>
                <w:sz w:val="20"/>
                <w:szCs w:val="20"/>
                <w:lang w:val="en-GB"/>
              </w:rPr>
              <w:t>(adults)</w:t>
            </w:r>
          </w:p>
        </w:tc>
        <w:tc>
          <w:tcPr>
            <w:tcW w:w="959" w:type="pct"/>
            <w:shd w:val="clear" w:color="auto" w:fill="auto"/>
          </w:tcPr>
          <w:p w14:paraId="591A628A" w14:textId="77777777" w:rsidR="00E51CDD" w:rsidRPr="00E51CDD" w:rsidRDefault="00E51CDD" w:rsidP="00E51CDD">
            <w:pPr>
              <w:widowControl w:val="0"/>
              <w:rPr>
                <w:noProof/>
                <w:sz w:val="20"/>
                <w:szCs w:val="20"/>
                <w:lang w:val="en-GB"/>
              </w:rPr>
            </w:pPr>
            <w:r w:rsidRPr="00E51CDD">
              <w:rPr>
                <w:noProof/>
                <w:sz w:val="20"/>
                <w:szCs w:val="20"/>
                <w:lang w:val="en-GB"/>
              </w:rPr>
              <w:t>BAS 736 00 F</w:t>
            </w:r>
          </w:p>
        </w:tc>
        <w:tc>
          <w:tcPr>
            <w:tcW w:w="910" w:type="pct"/>
            <w:shd w:val="clear" w:color="auto" w:fill="auto"/>
          </w:tcPr>
          <w:p w14:paraId="64433A8C" w14:textId="77777777" w:rsidR="00E51CDD" w:rsidRPr="00E51CDD" w:rsidRDefault="00E51CDD" w:rsidP="00E51CDD">
            <w:pPr>
              <w:widowControl w:val="0"/>
              <w:rPr>
                <w:noProof/>
                <w:sz w:val="20"/>
                <w:szCs w:val="20"/>
                <w:lang w:val="en-GB"/>
              </w:rPr>
            </w:pPr>
            <w:r w:rsidRPr="00E51CDD">
              <w:rPr>
                <w:noProof/>
                <w:sz w:val="20"/>
                <w:szCs w:val="20"/>
                <w:lang w:val="en-GB"/>
              </w:rPr>
              <w:t>laboratory test</w:t>
            </w:r>
            <w:r w:rsidRPr="00E51CDD">
              <w:rPr>
                <w:noProof/>
                <w:sz w:val="20"/>
                <w:szCs w:val="20"/>
                <w:lang w:val="en-GB"/>
              </w:rPr>
              <w:br/>
              <w:t>glass plates</w:t>
            </w:r>
            <w:r w:rsidRPr="00E51CDD">
              <w:rPr>
                <w:noProof/>
                <w:sz w:val="20"/>
                <w:szCs w:val="20"/>
                <w:lang w:val="en-GB"/>
              </w:rPr>
              <w:br/>
              <w:t>2D exposure</w:t>
            </w:r>
          </w:p>
        </w:tc>
        <w:tc>
          <w:tcPr>
            <w:tcW w:w="1175" w:type="pct"/>
            <w:shd w:val="clear" w:color="auto" w:fill="auto"/>
          </w:tcPr>
          <w:p w14:paraId="0229F4B7" w14:textId="77777777" w:rsidR="00E51CDD" w:rsidRPr="00E51CDD" w:rsidRDefault="00E51CDD" w:rsidP="00E51CDD">
            <w:pPr>
              <w:widowControl w:val="0"/>
              <w:rPr>
                <w:noProof/>
                <w:sz w:val="20"/>
                <w:szCs w:val="20"/>
              </w:rPr>
            </w:pPr>
            <w:r w:rsidRPr="00E51CDD">
              <w:rPr>
                <w:noProof/>
                <w:sz w:val="20"/>
                <w:szCs w:val="20"/>
              </w:rPr>
              <w:t>LR</w:t>
            </w:r>
            <w:r w:rsidRPr="00E51CDD">
              <w:rPr>
                <w:noProof/>
                <w:sz w:val="20"/>
                <w:szCs w:val="20"/>
                <w:vertAlign w:val="subscript"/>
              </w:rPr>
              <w:t>50</w:t>
            </w:r>
            <w:r w:rsidRPr="00E51CDD">
              <w:rPr>
                <w:noProof/>
                <w:sz w:val="20"/>
                <w:szCs w:val="20"/>
              </w:rPr>
              <w:t xml:space="preserve"> = 2.67 L/ha</w:t>
            </w:r>
          </w:p>
          <w:p w14:paraId="1E9DBA85" w14:textId="77777777" w:rsidR="00E51CDD" w:rsidRPr="00E51CDD" w:rsidRDefault="00E51CDD" w:rsidP="00E51CDD">
            <w:pPr>
              <w:widowControl w:val="0"/>
              <w:rPr>
                <w:noProof/>
                <w:sz w:val="20"/>
                <w:szCs w:val="20"/>
              </w:rPr>
            </w:pPr>
          </w:p>
          <w:p w14:paraId="24092FFA" w14:textId="77777777" w:rsidR="00E51CDD" w:rsidRPr="00E51CDD" w:rsidRDefault="00E51CDD" w:rsidP="00E51CDD">
            <w:pPr>
              <w:widowControl w:val="0"/>
              <w:rPr>
                <w:noProof/>
                <w:sz w:val="20"/>
                <w:szCs w:val="20"/>
              </w:rPr>
            </w:pPr>
            <w:r w:rsidRPr="00E51CDD">
              <w:rPr>
                <w:noProof/>
                <w:sz w:val="20"/>
                <w:szCs w:val="20"/>
              </w:rPr>
              <w:t xml:space="preserve">Corrected </w:t>
            </w:r>
            <w:r w:rsidRPr="00E51CDD">
              <w:rPr>
                <w:sz w:val="20"/>
                <w:szCs w:val="20"/>
                <w:lang w:val="en-GB"/>
              </w:rPr>
              <w:t>m</w:t>
            </w:r>
            <w:r w:rsidRPr="00E51CDD">
              <w:rPr>
                <w:noProof/>
                <w:sz w:val="20"/>
                <w:szCs w:val="20"/>
              </w:rPr>
              <w:t>ortality:</w:t>
            </w:r>
          </w:p>
          <w:p w14:paraId="0F824205" w14:textId="77777777" w:rsidR="00E51CDD" w:rsidRPr="00E51CDD" w:rsidRDefault="00E51CDD" w:rsidP="00E51CDD">
            <w:pPr>
              <w:widowControl w:val="0"/>
              <w:rPr>
                <w:noProof/>
                <w:sz w:val="20"/>
                <w:szCs w:val="20"/>
              </w:rPr>
            </w:pPr>
            <w:r w:rsidRPr="00E51CDD">
              <w:rPr>
                <w:noProof/>
                <w:sz w:val="20"/>
                <w:szCs w:val="20"/>
                <w:lang w:val="en-GB"/>
              </w:rPr>
              <w:t>0% at 0.25 L/ha</w:t>
            </w:r>
            <w:r w:rsidRPr="00E51CDD">
              <w:rPr>
                <w:noProof/>
                <w:sz w:val="20"/>
                <w:szCs w:val="20"/>
                <w:lang w:val="en-GB"/>
              </w:rPr>
              <w:br/>
              <w:t>0% at 0.5 L/ha</w:t>
            </w:r>
            <w:r w:rsidRPr="00E51CDD">
              <w:rPr>
                <w:noProof/>
                <w:sz w:val="20"/>
                <w:szCs w:val="20"/>
                <w:lang w:val="en-GB"/>
              </w:rPr>
              <w:br/>
              <w:t>7.9% at 1.0 L/ha</w:t>
            </w:r>
            <w:r w:rsidRPr="00E51CDD">
              <w:rPr>
                <w:noProof/>
                <w:sz w:val="20"/>
                <w:szCs w:val="20"/>
                <w:lang w:val="en-GB"/>
              </w:rPr>
              <w:br/>
              <w:t>18.4% at 2.0 L/ha</w:t>
            </w:r>
            <w:r w:rsidRPr="00E51CDD">
              <w:rPr>
                <w:noProof/>
                <w:sz w:val="20"/>
                <w:szCs w:val="20"/>
                <w:lang w:val="en-GB"/>
              </w:rPr>
              <w:br/>
              <w:t>92.1% at 4.0 L/ha</w:t>
            </w:r>
          </w:p>
        </w:tc>
        <w:tc>
          <w:tcPr>
            <w:tcW w:w="928" w:type="pct"/>
            <w:shd w:val="clear" w:color="auto" w:fill="auto"/>
          </w:tcPr>
          <w:p w14:paraId="132B7623" w14:textId="77777777" w:rsidR="00E51CDD" w:rsidRPr="00E51CDD" w:rsidRDefault="00E51CDD" w:rsidP="00E51CDD">
            <w:pPr>
              <w:widowControl w:val="0"/>
              <w:rPr>
                <w:noProof/>
                <w:sz w:val="20"/>
                <w:szCs w:val="20"/>
                <w:lang w:val="en-GB"/>
              </w:rPr>
            </w:pPr>
            <w:r w:rsidRPr="00E51CDD">
              <w:rPr>
                <w:bCs/>
                <w:iCs/>
                <w:noProof/>
                <w:sz w:val="20"/>
                <w:szCs w:val="20"/>
                <w:lang w:eastAsia="en-US"/>
              </w:rPr>
              <w:t>not EU evaluated</w:t>
            </w:r>
            <w:r w:rsidRPr="00E51CDD">
              <w:rPr>
                <w:noProof/>
                <w:sz w:val="20"/>
                <w:szCs w:val="20"/>
                <w:lang w:val="en-GB"/>
              </w:rPr>
              <w:br/>
            </w:r>
            <w:r w:rsidRPr="00E51CDD">
              <w:rPr>
                <w:noProof/>
                <w:color w:val="000000"/>
                <w:sz w:val="20"/>
                <w:szCs w:val="20"/>
                <w:lang w:val="en-GB"/>
              </w:rPr>
              <w:t>2019/1061100</w:t>
            </w:r>
          </w:p>
        </w:tc>
      </w:tr>
      <w:tr w:rsidR="00E51CDD" w:rsidRPr="00E51CDD" w14:paraId="3F95996B" w14:textId="77777777" w:rsidTr="009938D9">
        <w:tc>
          <w:tcPr>
            <w:tcW w:w="1028" w:type="pct"/>
            <w:shd w:val="clear" w:color="auto" w:fill="auto"/>
          </w:tcPr>
          <w:p w14:paraId="49078ADC" w14:textId="77777777" w:rsidR="00E51CDD" w:rsidRPr="00E51CDD" w:rsidRDefault="00E51CDD" w:rsidP="00E51CDD">
            <w:pPr>
              <w:widowControl w:val="0"/>
              <w:rPr>
                <w:noProof/>
                <w:sz w:val="20"/>
                <w:szCs w:val="20"/>
                <w:lang w:val="en-GB"/>
              </w:rPr>
            </w:pPr>
            <w:r w:rsidRPr="00E51CDD">
              <w:rPr>
                <w:i/>
                <w:noProof/>
                <w:sz w:val="20"/>
                <w:szCs w:val="20"/>
                <w:lang w:val="en-GB"/>
              </w:rPr>
              <w:t>Typhlodromus pyri</w:t>
            </w:r>
            <w:r w:rsidRPr="00E51CDD">
              <w:rPr>
                <w:i/>
                <w:noProof/>
                <w:sz w:val="20"/>
                <w:szCs w:val="20"/>
                <w:lang w:val="en-GB"/>
              </w:rPr>
              <w:br/>
            </w:r>
            <w:r w:rsidRPr="00E51CDD">
              <w:rPr>
                <w:noProof/>
                <w:sz w:val="20"/>
                <w:szCs w:val="20"/>
                <w:lang w:val="en-GB"/>
              </w:rPr>
              <w:t>(protonymphs)</w:t>
            </w:r>
          </w:p>
        </w:tc>
        <w:tc>
          <w:tcPr>
            <w:tcW w:w="959" w:type="pct"/>
            <w:shd w:val="clear" w:color="auto" w:fill="auto"/>
          </w:tcPr>
          <w:p w14:paraId="4166EDFE" w14:textId="77777777" w:rsidR="00E51CDD" w:rsidRPr="00E51CDD" w:rsidRDefault="00E51CDD" w:rsidP="00E51CDD">
            <w:pPr>
              <w:widowControl w:val="0"/>
              <w:rPr>
                <w:noProof/>
                <w:sz w:val="20"/>
                <w:szCs w:val="20"/>
                <w:lang w:val="en-GB"/>
              </w:rPr>
            </w:pPr>
            <w:r w:rsidRPr="00E51CDD">
              <w:rPr>
                <w:noProof/>
                <w:sz w:val="20"/>
                <w:szCs w:val="20"/>
                <w:lang w:val="en-GB"/>
              </w:rPr>
              <w:t>BAS 736 00 F</w:t>
            </w:r>
          </w:p>
        </w:tc>
        <w:tc>
          <w:tcPr>
            <w:tcW w:w="910" w:type="pct"/>
            <w:shd w:val="clear" w:color="auto" w:fill="auto"/>
          </w:tcPr>
          <w:p w14:paraId="24C4FB79" w14:textId="77777777" w:rsidR="00E51CDD" w:rsidRPr="00E51CDD" w:rsidRDefault="00E51CDD" w:rsidP="00E51CDD">
            <w:pPr>
              <w:widowControl w:val="0"/>
              <w:rPr>
                <w:noProof/>
                <w:sz w:val="20"/>
                <w:szCs w:val="20"/>
                <w:lang w:val="en-GB"/>
              </w:rPr>
            </w:pPr>
            <w:r w:rsidRPr="00E51CDD">
              <w:rPr>
                <w:noProof/>
                <w:sz w:val="20"/>
                <w:szCs w:val="20"/>
                <w:lang w:val="en-GB"/>
              </w:rPr>
              <w:t>extended laboratory test</w:t>
            </w:r>
            <w:r w:rsidRPr="00E51CDD">
              <w:rPr>
                <w:noProof/>
                <w:sz w:val="20"/>
                <w:szCs w:val="20"/>
                <w:lang w:val="en-GB"/>
              </w:rPr>
              <w:br/>
              <w:t>bean leaf discs,</w:t>
            </w:r>
            <w:r w:rsidRPr="00E51CDD">
              <w:rPr>
                <w:noProof/>
                <w:sz w:val="20"/>
                <w:szCs w:val="20"/>
                <w:lang w:val="en-GB"/>
              </w:rPr>
              <w:br/>
              <w:t>2D exposure</w:t>
            </w:r>
          </w:p>
        </w:tc>
        <w:tc>
          <w:tcPr>
            <w:tcW w:w="1175" w:type="pct"/>
            <w:shd w:val="clear" w:color="auto" w:fill="auto"/>
          </w:tcPr>
          <w:p w14:paraId="33F00E66" w14:textId="77777777" w:rsidR="00E51CDD" w:rsidRPr="00E51CDD" w:rsidRDefault="00E51CDD" w:rsidP="00E51CDD">
            <w:pPr>
              <w:widowControl w:val="0"/>
              <w:rPr>
                <w:noProof/>
                <w:sz w:val="20"/>
                <w:szCs w:val="20"/>
              </w:rPr>
            </w:pPr>
            <w:r w:rsidRPr="00E51CDD">
              <w:rPr>
                <w:noProof/>
                <w:sz w:val="20"/>
                <w:szCs w:val="20"/>
              </w:rPr>
              <w:t>LR</w:t>
            </w:r>
            <w:r w:rsidRPr="00E51CDD">
              <w:rPr>
                <w:noProof/>
                <w:sz w:val="20"/>
                <w:szCs w:val="20"/>
                <w:vertAlign w:val="subscript"/>
              </w:rPr>
              <w:t>50</w:t>
            </w:r>
            <w:r w:rsidRPr="00E51CDD">
              <w:rPr>
                <w:noProof/>
                <w:sz w:val="20"/>
                <w:szCs w:val="20"/>
              </w:rPr>
              <w:t xml:space="preserve"> &gt; 4.0 L/ha</w:t>
            </w:r>
            <w:r w:rsidRPr="00E51CDD">
              <w:rPr>
                <w:noProof/>
                <w:sz w:val="20"/>
                <w:szCs w:val="20"/>
              </w:rPr>
              <w:br/>
              <w:t>ER</w:t>
            </w:r>
            <w:r w:rsidRPr="00E51CDD">
              <w:rPr>
                <w:noProof/>
                <w:sz w:val="20"/>
                <w:szCs w:val="20"/>
                <w:vertAlign w:val="subscript"/>
              </w:rPr>
              <w:t>50</w:t>
            </w:r>
            <w:r w:rsidRPr="00E51CDD">
              <w:rPr>
                <w:noProof/>
                <w:sz w:val="20"/>
                <w:szCs w:val="20"/>
              </w:rPr>
              <w:t xml:space="preserve"> &gt; 4.0 L/ha</w:t>
            </w:r>
          </w:p>
          <w:p w14:paraId="1B6536CC" w14:textId="77777777" w:rsidR="00E51CDD" w:rsidRPr="00E51CDD" w:rsidRDefault="00E51CDD" w:rsidP="00E51CDD">
            <w:pPr>
              <w:widowControl w:val="0"/>
              <w:rPr>
                <w:noProof/>
                <w:sz w:val="20"/>
                <w:szCs w:val="20"/>
              </w:rPr>
            </w:pPr>
          </w:p>
          <w:p w14:paraId="14F3FE7D" w14:textId="77777777" w:rsidR="00E51CDD" w:rsidRPr="00E51CDD" w:rsidRDefault="00E51CDD" w:rsidP="00E51CDD">
            <w:pPr>
              <w:widowControl w:val="0"/>
              <w:rPr>
                <w:noProof/>
                <w:sz w:val="20"/>
                <w:szCs w:val="20"/>
              </w:rPr>
            </w:pPr>
            <w:r w:rsidRPr="00E51CDD">
              <w:rPr>
                <w:noProof/>
                <w:sz w:val="20"/>
                <w:szCs w:val="20"/>
              </w:rPr>
              <w:t xml:space="preserve">Corrected Mortality: </w:t>
            </w:r>
            <w:r w:rsidRPr="00E51CDD">
              <w:rPr>
                <w:noProof/>
                <w:sz w:val="20"/>
                <w:szCs w:val="20"/>
                <w:vertAlign w:val="superscript"/>
              </w:rPr>
              <w:t>1)</w:t>
            </w:r>
          </w:p>
          <w:p w14:paraId="6F76B4BC" w14:textId="77777777" w:rsidR="00E51CDD" w:rsidRPr="00E51CDD" w:rsidRDefault="00E51CDD" w:rsidP="00E51CDD">
            <w:pPr>
              <w:widowControl w:val="0"/>
              <w:rPr>
                <w:sz w:val="20"/>
                <w:szCs w:val="20"/>
              </w:rPr>
            </w:pPr>
            <w:r w:rsidRPr="00E51CDD">
              <w:rPr>
                <w:sz w:val="20"/>
                <w:szCs w:val="20"/>
              </w:rPr>
              <w:t>0% at 0.25 L/ha</w:t>
            </w:r>
            <w:r w:rsidRPr="00E51CDD">
              <w:rPr>
                <w:sz w:val="20"/>
                <w:szCs w:val="20"/>
              </w:rPr>
              <w:br/>
              <w:t>0% at 0.5 L/ha</w:t>
            </w:r>
            <w:r w:rsidRPr="00E51CDD">
              <w:rPr>
                <w:sz w:val="20"/>
                <w:szCs w:val="20"/>
              </w:rPr>
              <w:br/>
              <w:t>-1.0% at 1.0 L/ha</w:t>
            </w:r>
            <w:r w:rsidRPr="00E51CDD">
              <w:rPr>
                <w:sz w:val="20"/>
                <w:szCs w:val="20"/>
              </w:rPr>
              <w:br/>
              <w:t>-1.0% at 2.0 L/ha</w:t>
            </w:r>
            <w:r w:rsidRPr="00E51CDD">
              <w:rPr>
                <w:sz w:val="20"/>
                <w:szCs w:val="20"/>
              </w:rPr>
              <w:br/>
              <w:t>1.0% at 4.0 L/ha</w:t>
            </w:r>
          </w:p>
          <w:p w14:paraId="38007A65" w14:textId="77777777" w:rsidR="00E51CDD" w:rsidRPr="00E51CDD" w:rsidRDefault="00E51CDD" w:rsidP="00E51CDD">
            <w:pPr>
              <w:widowControl w:val="0"/>
              <w:rPr>
                <w:noProof/>
                <w:sz w:val="20"/>
                <w:szCs w:val="20"/>
              </w:rPr>
            </w:pPr>
          </w:p>
          <w:p w14:paraId="05645654" w14:textId="77777777" w:rsidR="00E51CDD" w:rsidRPr="00E51CDD" w:rsidRDefault="00E51CDD" w:rsidP="00E51CDD">
            <w:pPr>
              <w:widowControl w:val="0"/>
              <w:rPr>
                <w:noProof/>
                <w:sz w:val="20"/>
                <w:szCs w:val="20"/>
              </w:rPr>
            </w:pPr>
            <w:r w:rsidRPr="00E51CDD">
              <w:rPr>
                <w:noProof/>
                <w:sz w:val="20"/>
                <w:szCs w:val="20"/>
              </w:rPr>
              <w:t xml:space="preserve">Effects on reproduction: </w:t>
            </w:r>
            <w:r w:rsidRPr="00E51CDD">
              <w:rPr>
                <w:noProof/>
                <w:sz w:val="20"/>
                <w:szCs w:val="20"/>
                <w:vertAlign w:val="superscript"/>
              </w:rPr>
              <w:t>1)</w:t>
            </w:r>
          </w:p>
          <w:p w14:paraId="75507BA0" w14:textId="77777777" w:rsidR="00E51CDD" w:rsidRPr="00E51CDD" w:rsidRDefault="00E51CDD" w:rsidP="00E51CDD">
            <w:pPr>
              <w:widowControl w:val="0"/>
              <w:rPr>
                <w:sz w:val="20"/>
                <w:szCs w:val="20"/>
              </w:rPr>
            </w:pPr>
            <w:r w:rsidRPr="00E51CDD">
              <w:rPr>
                <w:sz w:val="20"/>
                <w:szCs w:val="20"/>
              </w:rPr>
              <w:t>4.4% at 0.25 L/ha</w:t>
            </w:r>
            <w:r w:rsidRPr="00E51CDD">
              <w:rPr>
                <w:sz w:val="20"/>
                <w:szCs w:val="20"/>
              </w:rPr>
              <w:br/>
              <w:t>0.9% at 0.5 L/ha</w:t>
            </w:r>
            <w:r w:rsidRPr="00E51CDD">
              <w:rPr>
                <w:sz w:val="20"/>
                <w:szCs w:val="20"/>
              </w:rPr>
              <w:br/>
              <w:t>3.6% at 1.0 L/ha</w:t>
            </w:r>
            <w:r w:rsidRPr="00E51CDD">
              <w:rPr>
                <w:sz w:val="20"/>
                <w:szCs w:val="20"/>
              </w:rPr>
              <w:br/>
              <w:t>-3.8% at 2.0 L/ha</w:t>
            </w:r>
            <w:r w:rsidRPr="00E51CDD">
              <w:rPr>
                <w:sz w:val="20"/>
                <w:szCs w:val="20"/>
              </w:rPr>
              <w:br/>
              <w:t>7.8% at 4.0 L/ha</w:t>
            </w:r>
          </w:p>
        </w:tc>
        <w:tc>
          <w:tcPr>
            <w:tcW w:w="928" w:type="pct"/>
            <w:shd w:val="clear" w:color="auto" w:fill="auto"/>
          </w:tcPr>
          <w:p w14:paraId="2BA3A249" w14:textId="77777777" w:rsidR="00E51CDD" w:rsidRPr="00E51CDD" w:rsidRDefault="00E51CDD" w:rsidP="00E51CDD">
            <w:pPr>
              <w:widowControl w:val="0"/>
              <w:rPr>
                <w:noProof/>
                <w:sz w:val="20"/>
                <w:szCs w:val="20"/>
                <w:lang w:val="en-GB"/>
              </w:rPr>
            </w:pPr>
            <w:r w:rsidRPr="00E51CDD">
              <w:rPr>
                <w:bCs/>
                <w:iCs/>
                <w:noProof/>
                <w:sz w:val="20"/>
                <w:szCs w:val="20"/>
                <w:lang w:eastAsia="en-US"/>
              </w:rPr>
              <w:t>not EU evaluated</w:t>
            </w:r>
            <w:r w:rsidRPr="00E51CDD">
              <w:rPr>
                <w:noProof/>
                <w:sz w:val="20"/>
                <w:szCs w:val="20"/>
                <w:lang w:val="en-GB"/>
              </w:rPr>
              <w:br/>
            </w:r>
            <w:r w:rsidRPr="00E51CDD">
              <w:rPr>
                <w:rFonts w:eastAsia="Calibri"/>
                <w:noProof/>
                <w:sz w:val="20"/>
                <w:szCs w:val="20"/>
                <w:lang w:val="en-GB" w:eastAsia="en-US"/>
              </w:rPr>
              <w:t>2019/1061104</w:t>
            </w:r>
          </w:p>
        </w:tc>
      </w:tr>
      <w:tr w:rsidR="00E51CDD" w:rsidRPr="00E51CDD" w14:paraId="358D95BB" w14:textId="77777777" w:rsidTr="009938D9">
        <w:tc>
          <w:tcPr>
            <w:tcW w:w="1028" w:type="pct"/>
            <w:shd w:val="clear" w:color="auto" w:fill="auto"/>
          </w:tcPr>
          <w:p w14:paraId="692B81F9" w14:textId="77777777" w:rsidR="00E51CDD" w:rsidRPr="00E51CDD" w:rsidRDefault="00E51CDD" w:rsidP="00E51CDD">
            <w:pPr>
              <w:pageBreakBefore/>
              <w:widowControl w:val="0"/>
              <w:rPr>
                <w:noProof/>
                <w:sz w:val="20"/>
                <w:szCs w:val="20"/>
                <w:lang w:val="en-GB"/>
              </w:rPr>
            </w:pPr>
            <w:r w:rsidRPr="00E51CDD">
              <w:rPr>
                <w:i/>
                <w:noProof/>
                <w:sz w:val="20"/>
                <w:szCs w:val="20"/>
                <w:lang w:val="en-GB"/>
              </w:rPr>
              <w:lastRenderedPageBreak/>
              <w:t>Aphidius rhopalosiphi</w:t>
            </w:r>
            <w:r w:rsidRPr="00E51CDD">
              <w:rPr>
                <w:i/>
                <w:noProof/>
                <w:sz w:val="20"/>
                <w:szCs w:val="20"/>
                <w:lang w:val="en-GB"/>
              </w:rPr>
              <w:br/>
            </w:r>
            <w:r w:rsidRPr="00E51CDD">
              <w:rPr>
                <w:noProof/>
                <w:sz w:val="20"/>
                <w:szCs w:val="20"/>
                <w:lang w:val="en-GB"/>
              </w:rPr>
              <w:t>(adults)</w:t>
            </w:r>
          </w:p>
        </w:tc>
        <w:tc>
          <w:tcPr>
            <w:tcW w:w="959" w:type="pct"/>
            <w:shd w:val="clear" w:color="auto" w:fill="auto"/>
          </w:tcPr>
          <w:p w14:paraId="45262112" w14:textId="77777777" w:rsidR="00E51CDD" w:rsidRPr="00E51CDD" w:rsidRDefault="00E51CDD" w:rsidP="00E51CDD">
            <w:pPr>
              <w:pageBreakBefore/>
              <w:widowControl w:val="0"/>
              <w:rPr>
                <w:noProof/>
                <w:sz w:val="20"/>
                <w:szCs w:val="20"/>
                <w:lang w:val="en-GB"/>
              </w:rPr>
            </w:pPr>
            <w:r w:rsidRPr="00E51CDD">
              <w:rPr>
                <w:noProof/>
                <w:sz w:val="20"/>
                <w:szCs w:val="20"/>
                <w:lang w:val="en-GB"/>
              </w:rPr>
              <w:t>BAS 736 00 F</w:t>
            </w:r>
          </w:p>
        </w:tc>
        <w:tc>
          <w:tcPr>
            <w:tcW w:w="910" w:type="pct"/>
            <w:shd w:val="clear" w:color="auto" w:fill="auto"/>
          </w:tcPr>
          <w:p w14:paraId="62CF93CB" w14:textId="77777777" w:rsidR="00E51CDD" w:rsidRPr="00E51CDD" w:rsidRDefault="00E51CDD" w:rsidP="00E51CDD">
            <w:pPr>
              <w:pageBreakBefore/>
              <w:widowControl w:val="0"/>
              <w:rPr>
                <w:noProof/>
                <w:sz w:val="20"/>
                <w:szCs w:val="20"/>
                <w:lang w:val="en-GB"/>
              </w:rPr>
            </w:pPr>
            <w:r w:rsidRPr="00E51CDD">
              <w:rPr>
                <w:noProof/>
                <w:sz w:val="20"/>
                <w:szCs w:val="20"/>
                <w:lang w:val="en-GB"/>
              </w:rPr>
              <w:t>extended laboratory test</w:t>
            </w:r>
            <w:r w:rsidRPr="00E51CDD">
              <w:rPr>
                <w:noProof/>
                <w:sz w:val="20"/>
                <w:szCs w:val="20"/>
                <w:lang w:val="en-GB"/>
              </w:rPr>
              <w:br/>
              <w:t>barley plants,</w:t>
            </w:r>
            <w:r w:rsidRPr="00E51CDD">
              <w:rPr>
                <w:noProof/>
                <w:sz w:val="20"/>
                <w:szCs w:val="20"/>
                <w:lang w:val="en-GB"/>
              </w:rPr>
              <w:br/>
              <w:t>3D exposure</w:t>
            </w:r>
          </w:p>
        </w:tc>
        <w:tc>
          <w:tcPr>
            <w:tcW w:w="1175" w:type="pct"/>
            <w:shd w:val="clear" w:color="auto" w:fill="auto"/>
          </w:tcPr>
          <w:p w14:paraId="5065ADEF" w14:textId="77777777" w:rsidR="00E51CDD" w:rsidRPr="00E51CDD" w:rsidRDefault="00E51CDD" w:rsidP="00E51CDD">
            <w:pPr>
              <w:pageBreakBefore/>
              <w:widowControl w:val="0"/>
              <w:rPr>
                <w:noProof/>
                <w:sz w:val="20"/>
                <w:szCs w:val="20"/>
              </w:rPr>
            </w:pPr>
            <w:r w:rsidRPr="00E51CDD">
              <w:rPr>
                <w:noProof/>
                <w:sz w:val="20"/>
                <w:szCs w:val="20"/>
              </w:rPr>
              <w:t>LR</w:t>
            </w:r>
            <w:r w:rsidRPr="00E51CDD">
              <w:rPr>
                <w:noProof/>
                <w:sz w:val="20"/>
                <w:szCs w:val="20"/>
                <w:vertAlign w:val="subscript"/>
              </w:rPr>
              <w:t>50</w:t>
            </w:r>
            <w:r w:rsidRPr="00E51CDD">
              <w:rPr>
                <w:noProof/>
                <w:sz w:val="20"/>
                <w:szCs w:val="20"/>
              </w:rPr>
              <w:t xml:space="preserve"> &gt; 4.0 L/ha</w:t>
            </w:r>
            <w:r w:rsidRPr="00E51CDD">
              <w:rPr>
                <w:noProof/>
                <w:sz w:val="20"/>
                <w:szCs w:val="20"/>
              </w:rPr>
              <w:br/>
              <w:t>ER</w:t>
            </w:r>
            <w:r w:rsidRPr="00E51CDD">
              <w:rPr>
                <w:noProof/>
                <w:sz w:val="20"/>
                <w:szCs w:val="20"/>
                <w:vertAlign w:val="subscript"/>
              </w:rPr>
              <w:t>50</w:t>
            </w:r>
            <w:r w:rsidRPr="00E51CDD">
              <w:rPr>
                <w:noProof/>
                <w:sz w:val="20"/>
                <w:szCs w:val="20"/>
              </w:rPr>
              <w:t xml:space="preserve"> &gt; 4.0 L/ha</w:t>
            </w:r>
          </w:p>
          <w:p w14:paraId="67CE85D6" w14:textId="77777777" w:rsidR="00E51CDD" w:rsidRPr="00E51CDD" w:rsidRDefault="00E51CDD" w:rsidP="00E51CDD">
            <w:pPr>
              <w:pageBreakBefore/>
              <w:widowControl w:val="0"/>
              <w:rPr>
                <w:noProof/>
                <w:sz w:val="20"/>
                <w:szCs w:val="20"/>
              </w:rPr>
            </w:pPr>
          </w:p>
          <w:p w14:paraId="78F13EAD" w14:textId="77777777" w:rsidR="00E51CDD" w:rsidRPr="00E51CDD" w:rsidRDefault="00E51CDD" w:rsidP="00E51CDD">
            <w:pPr>
              <w:pageBreakBefore/>
              <w:widowControl w:val="0"/>
              <w:rPr>
                <w:noProof/>
                <w:sz w:val="20"/>
                <w:szCs w:val="20"/>
              </w:rPr>
            </w:pPr>
            <w:r w:rsidRPr="00E51CDD">
              <w:rPr>
                <w:noProof/>
                <w:sz w:val="20"/>
                <w:szCs w:val="20"/>
              </w:rPr>
              <w:t xml:space="preserve">Corrected Mortality: </w:t>
            </w:r>
            <w:r w:rsidRPr="00E51CDD">
              <w:rPr>
                <w:noProof/>
                <w:sz w:val="20"/>
                <w:szCs w:val="20"/>
                <w:vertAlign w:val="superscript"/>
              </w:rPr>
              <w:t>1)</w:t>
            </w:r>
          </w:p>
          <w:p w14:paraId="59FE6E2E" w14:textId="77777777" w:rsidR="00E51CDD" w:rsidRPr="00E51CDD" w:rsidRDefault="00E51CDD" w:rsidP="00E51CDD">
            <w:pPr>
              <w:pageBreakBefore/>
              <w:widowControl w:val="0"/>
              <w:rPr>
                <w:sz w:val="20"/>
                <w:szCs w:val="20"/>
              </w:rPr>
            </w:pPr>
            <w:r w:rsidRPr="00E51CDD">
              <w:rPr>
                <w:sz w:val="20"/>
                <w:szCs w:val="20"/>
              </w:rPr>
              <w:t>0% at 0.25 L/ha</w:t>
            </w:r>
            <w:r w:rsidRPr="00E51CDD">
              <w:rPr>
                <w:sz w:val="20"/>
                <w:szCs w:val="20"/>
              </w:rPr>
              <w:br/>
              <w:t>-3.6% at 0.5 L/ha</w:t>
            </w:r>
            <w:r w:rsidRPr="00E51CDD">
              <w:rPr>
                <w:sz w:val="20"/>
                <w:szCs w:val="20"/>
              </w:rPr>
              <w:br/>
              <w:t>0% at 1.0 L/ha</w:t>
            </w:r>
            <w:r w:rsidRPr="00E51CDD">
              <w:rPr>
                <w:sz w:val="20"/>
                <w:szCs w:val="20"/>
              </w:rPr>
              <w:br/>
              <w:t>3.6% at 2.0 L/ha</w:t>
            </w:r>
            <w:r w:rsidRPr="00E51CDD">
              <w:rPr>
                <w:sz w:val="20"/>
                <w:szCs w:val="20"/>
              </w:rPr>
              <w:br/>
              <w:t>0% at 4.0 L/ha</w:t>
            </w:r>
          </w:p>
          <w:p w14:paraId="10D5B3F4" w14:textId="77777777" w:rsidR="00E51CDD" w:rsidRPr="00E51CDD" w:rsidRDefault="00E51CDD" w:rsidP="00E51CDD">
            <w:pPr>
              <w:pageBreakBefore/>
              <w:widowControl w:val="0"/>
              <w:rPr>
                <w:noProof/>
                <w:sz w:val="20"/>
                <w:szCs w:val="20"/>
              </w:rPr>
            </w:pPr>
          </w:p>
          <w:p w14:paraId="716557ED" w14:textId="77777777" w:rsidR="00E51CDD" w:rsidRPr="00E51CDD" w:rsidRDefault="00E51CDD" w:rsidP="00E51CDD">
            <w:pPr>
              <w:pageBreakBefore/>
              <w:widowControl w:val="0"/>
              <w:rPr>
                <w:noProof/>
                <w:sz w:val="20"/>
                <w:szCs w:val="20"/>
              </w:rPr>
            </w:pPr>
            <w:r w:rsidRPr="00E51CDD">
              <w:rPr>
                <w:noProof/>
                <w:sz w:val="20"/>
                <w:szCs w:val="20"/>
              </w:rPr>
              <w:t xml:space="preserve">Effects on reproduction: </w:t>
            </w:r>
            <w:r w:rsidRPr="00E51CDD">
              <w:rPr>
                <w:noProof/>
                <w:sz w:val="20"/>
                <w:szCs w:val="20"/>
                <w:vertAlign w:val="superscript"/>
              </w:rPr>
              <w:t>1)</w:t>
            </w:r>
          </w:p>
          <w:p w14:paraId="57EB1974" w14:textId="77777777" w:rsidR="00E51CDD" w:rsidRPr="00E51CDD" w:rsidRDefault="00E51CDD" w:rsidP="00E51CDD">
            <w:pPr>
              <w:pageBreakBefore/>
              <w:widowControl w:val="0"/>
              <w:rPr>
                <w:noProof/>
                <w:sz w:val="20"/>
                <w:szCs w:val="20"/>
              </w:rPr>
            </w:pPr>
            <w:r w:rsidRPr="00E51CDD">
              <w:rPr>
                <w:noProof/>
                <w:sz w:val="20"/>
                <w:szCs w:val="20"/>
                <w:lang w:val="en-GB"/>
              </w:rPr>
              <w:t>0% at 0.25 L/ha</w:t>
            </w:r>
            <w:r w:rsidRPr="00E51CDD">
              <w:rPr>
                <w:noProof/>
                <w:sz w:val="20"/>
                <w:szCs w:val="20"/>
                <w:lang w:val="en-GB"/>
              </w:rPr>
              <w:br/>
              <w:t>-7.9% at 0.5 L/ha</w:t>
            </w:r>
            <w:r w:rsidRPr="00E51CDD">
              <w:rPr>
                <w:noProof/>
                <w:sz w:val="20"/>
                <w:szCs w:val="20"/>
                <w:lang w:val="en-GB"/>
              </w:rPr>
              <w:br/>
              <w:t>6.9% at 1.0 L/ha</w:t>
            </w:r>
            <w:r w:rsidRPr="00E51CDD">
              <w:rPr>
                <w:noProof/>
                <w:sz w:val="20"/>
                <w:szCs w:val="20"/>
                <w:lang w:val="en-GB"/>
              </w:rPr>
              <w:br/>
              <w:t>4.6% at 2.0 L/ha</w:t>
            </w:r>
            <w:r w:rsidRPr="00E51CDD">
              <w:rPr>
                <w:noProof/>
                <w:sz w:val="20"/>
                <w:szCs w:val="20"/>
                <w:lang w:val="en-GB"/>
              </w:rPr>
              <w:br/>
              <w:t>-2.8% at 4.0 L/ha</w:t>
            </w:r>
          </w:p>
        </w:tc>
        <w:tc>
          <w:tcPr>
            <w:tcW w:w="928" w:type="pct"/>
            <w:shd w:val="clear" w:color="auto" w:fill="auto"/>
          </w:tcPr>
          <w:p w14:paraId="713C68CE" w14:textId="77777777" w:rsidR="00E51CDD" w:rsidRPr="00E51CDD" w:rsidRDefault="00E51CDD" w:rsidP="00E51CDD">
            <w:pPr>
              <w:pageBreakBefore/>
              <w:widowControl w:val="0"/>
              <w:rPr>
                <w:noProof/>
                <w:sz w:val="20"/>
                <w:szCs w:val="20"/>
                <w:lang w:val="en-GB"/>
              </w:rPr>
            </w:pPr>
            <w:r w:rsidRPr="00E51CDD">
              <w:rPr>
                <w:bCs/>
                <w:iCs/>
                <w:noProof/>
                <w:sz w:val="20"/>
                <w:szCs w:val="20"/>
                <w:lang w:eastAsia="en-US"/>
              </w:rPr>
              <w:t>not EU evaluated</w:t>
            </w:r>
            <w:r w:rsidRPr="00E51CDD">
              <w:rPr>
                <w:noProof/>
                <w:sz w:val="20"/>
                <w:szCs w:val="20"/>
                <w:lang w:val="en-GB"/>
              </w:rPr>
              <w:br/>
            </w:r>
            <w:r w:rsidRPr="00E51CDD">
              <w:rPr>
                <w:rFonts w:eastAsia="Calibri"/>
                <w:noProof/>
                <w:sz w:val="20"/>
                <w:szCs w:val="20"/>
                <w:lang w:val="en-GB" w:eastAsia="en-US"/>
              </w:rPr>
              <w:t>2019/1061101</w:t>
            </w:r>
          </w:p>
        </w:tc>
      </w:tr>
      <w:tr w:rsidR="00E51CDD" w:rsidRPr="00E51CDD" w14:paraId="6A93B7F0" w14:textId="77777777" w:rsidTr="009938D9">
        <w:tc>
          <w:tcPr>
            <w:tcW w:w="1028" w:type="pct"/>
            <w:shd w:val="clear" w:color="auto" w:fill="auto"/>
          </w:tcPr>
          <w:p w14:paraId="13B5FA2F" w14:textId="77777777" w:rsidR="00E51CDD" w:rsidRPr="00E51CDD" w:rsidRDefault="00E51CDD" w:rsidP="00E51CDD">
            <w:pPr>
              <w:widowControl w:val="0"/>
              <w:rPr>
                <w:noProof/>
                <w:sz w:val="20"/>
                <w:szCs w:val="20"/>
                <w:lang w:val="en-GB"/>
              </w:rPr>
            </w:pPr>
            <w:r w:rsidRPr="00E51CDD">
              <w:rPr>
                <w:i/>
                <w:noProof/>
                <w:sz w:val="20"/>
                <w:szCs w:val="20"/>
                <w:lang w:val="en-GB"/>
              </w:rPr>
              <w:t>Chrysoperla carnea</w:t>
            </w:r>
            <w:r w:rsidRPr="00E51CDD">
              <w:rPr>
                <w:i/>
                <w:noProof/>
                <w:sz w:val="20"/>
                <w:szCs w:val="20"/>
                <w:lang w:val="en-GB"/>
              </w:rPr>
              <w:br/>
            </w:r>
            <w:r w:rsidRPr="00E51CDD">
              <w:rPr>
                <w:noProof/>
                <w:sz w:val="20"/>
                <w:szCs w:val="20"/>
                <w:lang w:val="en-GB"/>
              </w:rPr>
              <w:t>(larvae)</w:t>
            </w:r>
          </w:p>
        </w:tc>
        <w:tc>
          <w:tcPr>
            <w:tcW w:w="959" w:type="pct"/>
            <w:shd w:val="clear" w:color="auto" w:fill="auto"/>
          </w:tcPr>
          <w:p w14:paraId="474B88FB" w14:textId="77777777" w:rsidR="00E51CDD" w:rsidRPr="00E51CDD" w:rsidRDefault="00E51CDD" w:rsidP="00E51CDD">
            <w:pPr>
              <w:widowControl w:val="0"/>
              <w:rPr>
                <w:noProof/>
                <w:sz w:val="20"/>
                <w:szCs w:val="20"/>
                <w:lang w:val="en-GB"/>
              </w:rPr>
            </w:pPr>
            <w:r w:rsidRPr="00E51CDD">
              <w:rPr>
                <w:noProof/>
                <w:sz w:val="20"/>
                <w:szCs w:val="20"/>
                <w:lang w:val="en-GB"/>
              </w:rPr>
              <w:t>BAS 736 00 F</w:t>
            </w:r>
          </w:p>
        </w:tc>
        <w:tc>
          <w:tcPr>
            <w:tcW w:w="910" w:type="pct"/>
            <w:shd w:val="clear" w:color="auto" w:fill="auto"/>
          </w:tcPr>
          <w:p w14:paraId="37D2EFF5" w14:textId="77777777" w:rsidR="00E51CDD" w:rsidRPr="00E51CDD" w:rsidRDefault="00E51CDD" w:rsidP="00E51CDD">
            <w:pPr>
              <w:widowControl w:val="0"/>
              <w:rPr>
                <w:noProof/>
                <w:sz w:val="20"/>
                <w:szCs w:val="20"/>
                <w:lang w:val="en-GB"/>
              </w:rPr>
            </w:pPr>
            <w:r w:rsidRPr="00E51CDD">
              <w:rPr>
                <w:noProof/>
                <w:sz w:val="20"/>
                <w:szCs w:val="20"/>
                <w:lang w:val="en-GB"/>
              </w:rPr>
              <w:t>extended laboratory test</w:t>
            </w:r>
            <w:r w:rsidRPr="00E51CDD">
              <w:rPr>
                <w:noProof/>
                <w:sz w:val="20"/>
                <w:szCs w:val="20"/>
                <w:lang w:val="en-GB"/>
              </w:rPr>
              <w:br/>
              <w:t>bean leaves,</w:t>
            </w:r>
            <w:r w:rsidRPr="00E51CDD">
              <w:rPr>
                <w:noProof/>
                <w:sz w:val="20"/>
                <w:szCs w:val="20"/>
                <w:lang w:val="en-GB"/>
              </w:rPr>
              <w:br/>
              <w:t>2D exposure</w:t>
            </w:r>
          </w:p>
        </w:tc>
        <w:tc>
          <w:tcPr>
            <w:tcW w:w="1175" w:type="pct"/>
            <w:shd w:val="clear" w:color="auto" w:fill="auto"/>
          </w:tcPr>
          <w:p w14:paraId="324C5DA0" w14:textId="77777777" w:rsidR="00E51CDD" w:rsidRPr="00E51CDD" w:rsidRDefault="00E51CDD" w:rsidP="00E51CDD">
            <w:pPr>
              <w:widowControl w:val="0"/>
              <w:rPr>
                <w:noProof/>
                <w:sz w:val="20"/>
                <w:szCs w:val="20"/>
              </w:rPr>
            </w:pPr>
            <w:r w:rsidRPr="00E51CDD">
              <w:rPr>
                <w:noProof/>
                <w:sz w:val="20"/>
                <w:szCs w:val="20"/>
              </w:rPr>
              <w:t>LR</w:t>
            </w:r>
            <w:r w:rsidRPr="00E51CDD">
              <w:rPr>
                <w:noProof/>
                <w:sz w:val="20"/>
                <w:szCs w:val="20"/>
                <w:vertAlign w:val="subscript"/>
              </w:rPr>
              <w:t>50</w:t>
            </w:r>
            <w:r w:rsidRPr="00E51CDD">
              <w:rPr>
                <w:noProof/>
                <w:sz w:val="20"/>
                <w:szCs w:val="20"/>
              </w:rPr>
              <w:t xml:space="preserve"> &gt; 4 L/ha</w:t>
            </w:r>
          </w:p>
          <w:p w14:paraId="36B091E0" w14:textId="77777777" w:rsidR="00E51CDD" w:rsidRPr="00E51CDD" w:rsidRDefault="00E51CDD" w:rsidP="00E51CDD">
            <w:pPr>
              <w:widowControl w:val="0"/>
              <w:rPr>
                <w:noProof/>
                <w:sz w:val="20"/>
                <w:szCs w:val="20"/>
              </w:rPr>
            </w:pPr>
            <w:r w:rsidRPr="00E51CDD">
              <w:rPr>
                <w:noProof/>
                <w:sz w:val="20"/>
                <w:szCs w:val="20"/>
              </w:rPr>
              <w:t>ER</w:t>
            </w:r>
            <w:r w:rsidRPr="00E51CDD">
              <w:rPr>
                <w:noProof/>
                <w:sz w:val="20"/>
                <w:szCs w:val="20"/>
                <w:vertAlign w:val="subscript"/>
              </w:rPr>
              <w:t>50</w:t>
            </w:r>
            <w:r w:rsidRPr="00E51CDD">
              <w:rPr>
                <w:noProof/>
                <w:sz w:val="20"/>
                <w:szCs w:val="20"/>
              </w:rPr>
              <w:t xml:space="preserve"> &gt; 4 L/ha</w:t>
            </w:r>
          </w:p>
          <w:p w14:paraId="2ED9148B" w14:textId="77777777" w:rsidR="00E51CDD" w:rsidRPr="00E51CDD" w:rsidRDefault="00E51CDD" w:rsidP="00E51CDD">
            <w:pPr>
              <w:widowControl w:val="0"/>
              <w:rPr>
                <w:noProof/>
                <w:sz w:val="20"/>
                <w:szCs w:val="20"/>
              </w:rPr>
            </w:pPr>
          </w:p>
          <w:p w14:paraId="58F5EDFD" w14:textId="77777777" w:rsidR="00E51CDD" w:rsidRPr="00E51CDD" w:rsidRDefault="00E51CDD" w:rsidP="00E51CDD">
            <w:pPr>
              <w:widowControl w:val="0"/>
              <w:rPr>
                <w:noProof/>
                <w:sz w:val="20"/>
                <w:szCs w:val="20"/>
              </w:rPr>
            </w:pPr>
            <w:r w:rsidRPr="00E51CDD">
              <w:rPr>
                <w:noProof/>
                <w:sz w:val="20"/>
                <w:szCs w:val="20"/>
              </w:rPr>
              <w:t xml:space="preserve">Corrected Mortality: </w:t>
            </w:r>
            <w:r w:rsidRPr="00E51CDD">
              <w:rPr>
                <w:noProof/>
                <w:sz w:val="20"/>
                <w:szCs w:val="20"/>
                <w:vertAlign w:val="superscript"/>
              </w:rPr>
              <w:t>1)</w:t>
            </w:r>
          </w:p>
          <w:p w14:paraId="6DB7E66A" w14:textId="77777777" w:rsidR="00E51CDD" w:rsidRPr="00E51CDD" w:rsidRDefault="00E51CDD" w:rsidP="00E51CDD">
            <w:pPr>
              <w:widowControl w:val="0"/>
              <w:rPr>
                <w:sz w:val="20"/>
                <w:szCs w:val="20"/>
              </w:rPr>
            </w:pPr>
            <w:r w:rsidRPr="00E51CDD">
              <w:rPr>
                <w:sz w:val="20"/>
                <w:szCs w:val="20"/>
              </w:rPr>
              <w:t>2.1% at 0.25 L/ha</w:t>
            </w:r>
            <w:r w:rsidRPr="00E51CDD">
              <w:rPr>
                <w:sz w:val="20"/>
                <w:szCs w:val="20"/>
              </w:rPr>
              <w:br/>
              <w:t>0% at 0.5 L/ha</w:t>
            </w:r>
            <w:r w:rsidRPr="00E51CDD">
              <w:rPr>
                <w:sz w:val="20"/>
                <w:szCs w:val="20"/>
              </w:rPr>
              <w:br/>
              <w:t>12.8% at 1.0 L/ha</w:t>
            </w:r>
            <w:r w:rsidRPr="00E51CDD">
              <w:rPr>
                <w:sz w:val="20"/>
                <w:szCs w:val="20"/>
              </w:rPr>
              <w:br/>
              <w:t>14.9% at 2.0 L/ha</w:t>
            </w:r>
            <w:r w:rsidRPr="00E51CDD">
              <w:rPr>
                <w:sz w:val="20"/>
                <w:szCs w:val="20"/>
              </w:rPr>
              <w:br/>
              <w:t>46.8% at 4.0 L/ha</w:t>
            </w:r>
          </w:p>
          <w:p w14:paraId="430F52BD" w14:textId="77777777" w:rsidR="00E51CDD" w:rsidRPr="00E51CDD" w:rsidRDefault="00E51CDD" w:rsidP="00E51CDD">
            <w:pPr>
              <w:widowControl w:val="0"/>
              <w:rPr>
                <w:i/>
                <w:noProof/>
                <w:sz w:val="20"/>
                <w:szCs w:val="20"/>
              </w:rPr>
            </w:pPr>
          </w:p>
          <w:p w14:paraId="3DE5FB98" w14:textId="77777777" w:rsidR="00E51CDD" w:rsidRPr="00E51CDD" w:rsidRDefault="00E51CDD" w:rsidP="00E51CDD">
            <w:pPr>
              <w:widowControl w:val="0"/>
              <w:rPr>
                <w:sz w:val="20"/>
                <w:szCs w:val="20"/>
              </w:rPr>
            </w:pPr>
            <w:r w:rsidRPr="00E51CDD">
              <w:rPr>
                <w:sz w:val="20"/>
                <w:szCs w:val="20"/>
              </w:rPr>
              <w:t>Hatching rate:</w:t>
            </w:r>
            <w:r w:rsidRPr="00E51CDD">
              <w:rPr>
                <w:sz w:val="20"/>
                <w:szCs w:val="20"/>
              </w:rPr>
              <w:br/>
              <w:t>74.4% at 0.25 L/ha</w:t>
            </w:r>
            <w:r w:rsidRPr="00E51CDD">
              <w:rPr>
                <w:sz w:val="20"/>
                <w:szCs w:val="20"/>
              </w:rPr>
              <w:br/>
              <w:t>73.9% at 0.5 L/ha</w:t>
            </w:r>
            <w:r w:rsidRPr="00E51CDD">
              <w:rPr>
                <w:sz w:val="20"/>
                <w:szCs w:val="20"/>
              </w:rPr>
              <w:br/>
              <w:t>74.2% at 1.0 L/ha</w:t>
            </w:r>
            <w:r w:rsidRPr="00E51CDD">
              <w:rPr>
                <w:sz w:val="20"/>
                <w:szCs w:val="20"/>
              </w:rPr>
              <w:br/>
              <w:t>73.9% at 2.0 L/ha</w:t>
            </w:r>
            <w:r w:rsidRPr="00E51CDD">
              <w:rPr>
                <w:sz w:val="20"/>
                <w:szCs w:val="20"/>
              </w:rPr>
              <w:br/>
              <w:t>74.1% at 4.0 L/ha</w:t>
            </w:r>
          </w:p>
        </w:tc>
        <w:tc>
          <w:tcPr>
            <w:tcW w:w="928" w:type="pct"/>
            <w:shd w:val="clear" w:color="auto" w:fill="auto"/>
          </w:tcPr>
          <w:p w14:paraId="3AF1D561" w14:textId="77777777" w:rsidR="00E51CDD" w:rsidRPr="00E51CDD" w:rsidRDefault="00E51CDD" w:rsidP="00E51CDD">
            <w:pPr>
              <w:widowControl w:val="0"/>
              <w:rPr>
                <w:noProof/>
                <w:sz w:val="20"/>
                <w:szCs w:val="20"/>
                <w:lang w:val="en-GB"/>
              </w:rPr>
            </w:pPr>
            <w:r w:rsidRPr="00E51CDD">
              <w:rPr>
                <w:bCs/>
                <w:iCs/>
                <w:noProof/>
                <w:sz w:val="20"/>
                <w:szCs w:val="20"/>
                <w:lang w:eastAsia="en-US"/>
              </w:rPr>
              <w:t>not EU evaluated</w:t>
            </w:r>
            <w:r w:rsidRPr="00E51CDD">
              <w:rPr>
                <w:noProof/>
                <w:sz w:val="20"/>
                <w:szCs w:val="20"/>
                <w:lang w:val="en-GB"/>
              </w:rPr>
              <w:br/>
              <w:t>2019/2054735</w:t>
            </w:r>
          </w:p>
        </w:tc>
      </w:tr>
    </w:tbl>
    <w:p w14:paraId="400459E3" w14:textId="77777777" w:rsidR="00E51CDD" w:rsidRPr="00E51CDD" w:rsidRDefault="00E51CDD" w:rsidP="00E51CDD">
      <w:pPr>
        <w:widowControl w:val="0"/>
        <w:tabs>
          <w:tab w:val="left" w:pos="284"/>
        </w:tabs>
        <w:spacing w:before="40"/>
        <w:ind w:left="284" w:hanging="284"/>
        <w:jc w:val="both"/>
        <w:rPr>
          <w:bCs/>
          <w:sz w:val="18"/>
          <w:szCs w:val="18"/>
        </w:rPr>
      </w:pPr>
      <w:r w:rsidRPr="00E51CDD">
        <w:rPr>
          <w:bCs/>
          <w:sz w:val="18"/>
          <w:szCs w:val="18"/>
          <w:vertAlign w:val="superscript"/>
        </w:rPr>
        <w:t>1)</w:t>
      </w:r>
      <w:r w:rsidRPr="00E51CDD">
        <w:rPr>
          <w:bCs/>
          <w:sz w:val="18"/>
          <w:szCs w:val="18"/>
        </w:rPr>
        <w:tab/>
        <w:t>Positive values indicate a decrease in survival or reproduction; negative values indicate an increase in survival or reproduction, compared to the control.</w:t>
      </w:r>
    </w:p>
    <w:p w14:paraId="5270EF24" w14:textId="77777777" w:rsidR="00E51CDD" w:rsidRPr="00E51CDD" w:rsidRDefault="00E51CDD" w:rsidP="002E3CFC">
      <w:pPr>
        <w:pStyle w:val="Nagwek4"/>
      </w:pPr>
      <w:bookmarkStart w:id="696" w:name="_Toc125446438"/>
      <w:r w:rsidRPr="00E51CDD">
        <w:t>Justification for new endpoints</w:t>
      </w:r>
      <w:bookmarkEnd w:id="684"/>
      <w:bookmarkEnd w:id="685"/>
      <w:bookmarkEnd w:id="686"/>
      <w:bookmarkEnd w:id="687"/>
      <w:bookmarkEnd w:id="688"/>
      <w:bookmarkEnd w:id="689"/>
      <w:bookmarkEnd w:id="690"/>
      <w:bookmarkEnd w:id="691"/>
      <w:bookmarkEnd w:id="696"/>
    </w:p>
    <w:p w14:paraId="51932540" w14:textId="1C69E941" w:rsidR="00E51CDD" w:rsidRDefault="00E51CDD" w:rsidP="00E51CDD">
      <w:pPr>
        <w:widowControl w:val="0"/>
        <w:jc w:val="both"/>
      </w:pPr>
      <w:r w:rsidRPr="00E51CDD">
        <w:t xml:space="preserve">Effects of BAS 736 00 F on non-target arthropods other than bees were not evaluated as part of the EU assessment of the active substances </w:t>
      </w:r>
      <w:r w:rsidRPr="00E51CDD">
        <w:rPr>
          <w:rFonts w:eastAsia="Calibri"/>
          <w:szCs w:val="24"/>
          <w:lang w:val="en-GB" w:eastAsia="en-US"/>
        </w:rPr>
        <w:t>fluxapyroxad and azoxystrobin</w:t>
      </w:r>
      <w:r w:rsidRPr="00E51CDD">
        <w:t>. Hence, all relevant data and assessments considering this formulation are provided here and are considered adequate.</w:t>
      </w:r>
    </w:p>
    <w:p w14:paraId="12464D7A" w14:textId="77777777" w:rsidR="00E51CDD" w:rsidRPr="00E51CDD" w:rsidRDefault="00E51CDD" w:rsidP="002E3CFC">
      <w:pPr>
        <w:pStyle w:val="Nagwek3"/>
      </w:pPr>
      <w:bookmarkStart w:id="697" w:name="_Toc412644013"/>
      <w:bookmarkStart w:id="698" w:name="_Toc413916857"/>
      <w:bookmarkStart w:id="699" w:name="_Toc413916999"/>
      <w:bookmarkStart w:id="700" w:name="_Toc413922060"/>
      <w:bookmarkStart w:id="701" w:name="_Toc413922549"/>
      <w:bookmarkStart w:id="702" w:name="_Toc413922653"/>
      <w:bookmarkStart w:id="703" w:name="_Toc414955290"/>
      <w:bookmarkStart w:id="704" w:name="_Toc415214597"/>
      <w:bookmarkStart w:id="705" w:name="_Toc125446439"/>
      <w:r w:rsidRPr="00E51CDD">
        <w:t>Risk assessment</w:t>
      </w:r>
      <w:bookmarkEnd w:id="697"/>
      <w:bookmarkEnd w:id="698"/>
      <w:bookmarkEnd w:id="699"/>
      <w:bookmarkEnd w:id="700"/>
      <w:bookmarkEnd w:id="701"/>
      <w:bookmarkEnd w:id="702"/>
      <w:bookmarkEnd w:id="703"/>
      <w:bookmarkEnd w:id="704"/>
      <w:bookmarkEnd w:id="705"/>
    </w:p>
    <w:p w14:paraId="2E16FDF0" w14:textId="77777777" w:rsidR="00E51CDD" w:rsidRPr="00E51CDD" w:rsidRDefault="00E51CDD" w:rsidP="00E51CDD">
      <w:pPr>
        <w:widowControl w:val="0"/>
        <w:jc w:val="both"/>
      </w:pPr>
      <w:bookmarkStart w:id="706" w:name="_Hlk504636758"/>
      <w:bookmarkStart w:id="707" w:name="_Toc412644014"/>
      <w:bookmarkStart w:id="708" w:name="_Toc413916858"/>
      <w:bookmarkStart w:id="709" w:name="_Toc413917000"/>
      <w:bookmarkStart w:id="710" w:name="_Toc413922061"/>
      <w:bookmarkStart w:id="711" w:name="_Toc413922550"/>
      <w:bookmarkStart w:id="712" w:name="_Toc413922654"/>
      <w:bookmarkStart w:id="713" w:name="_Toc414955291"/>
      <w:bookmarkStart w:id="714" w:name="_Toc415214598"/>
      <w:r w:rsidRPr="00E51CDD">
        <w:rPr>
          <w:lang w:eastAsia="en-US"/>
        </w:rPr>
        <w:t xml:space="preserve">The testing and risk assessment strategy used here follow the approach recommended in the </w:t>
      </w:r>
      <w:r w:rsidRPr="00E51CDD">
        <w:rPr>
          <w:iCs/>
          <w:lang w:eastAsia="en-US"/>
        </w:rPr>
        <w:t>ESCORT 2 guidance document</w:t>
      </w:r>
      <w:r w:rsidRPr="00E51CDD">
        <w:rPr>
          <w:lang w:eastAsia="en-US"/>
        </w:rPr>
        <w:t>, ESCORT 3, and the EC Guidance Document on Terrestrial Ecotoxicology (SANCO/10329, 17 October 2002)</w:t>
      </w:r>
      <w:r w:rsidRPr="00E51CDD">
        <w:rPr>
          <w:i/>
          <w:lang w:eastAsia="en-US"/>
        </w:rPr>
        <w:t>.</w:t>
      </w:r>
      <w:r w:rsidRPr="00E51CDD">
        <w:t xml:space="preserve"> </w:t>
      </w:r>
    </w:p>
    <w:p w14:paraId="4318B801" w14:textId="77777777" w:rsidR="00E51CDD" w:rsidRPr="00843A50" w:rsidRDefault="00E51CDD" w:rsidP="002E3CFC">
      <w:pPr>
        <w:pStyle w:val="Nagwek4"/>
        <w:rPr>
          <w:lang w:val="en-US"/>
        </w:rPr>
      </w:pPr>
      <w:bookmarkStart w:id="715" w:name="_Toc125446440"/>
      <w:bookmarkEnd w:id="706"/>
      <w:r w:rsidRPr="00843A50">
        <w:rPr>
          <w:lang w:val="en-US"/>
        </w:rPr>
        <w:t>Risk assessment for in-field exposure</w:t>
      </w:r>
      <w:bookmarkEnd w:id="707"/>
      <w:bookmarkEnd w:id="708"/>
      <w:bookmarkEnd w:id="709"/>
      <w:bookmarkEnd w:id="710"/>
      <w:bookmarkEnd w:id="711"/>
      <w:bookmarkEnd w:id="712"/>
      <w:bookmarkEnd w:id="713"/>
      <w:bookmarkEnd w:id="714"/>
      <w:bookmarkEnd w:id="715"/>
    </w:p>
    <w:p w14:paraId="2657D3B5" w14:textId="77777777" w:rsidR="00E51CDD" w:rsidRPr="00E51CDD" w:rsidRDefault="00E51CDD" w:rsidP="00E51CDD">
      <w:pPr>
        <w:widowControl w:val="0"/>
        <w:jc w:val="both"/>
      </w:pPr>
      <w:bookmarkStart w:id="716" w:name="_Toc412644015"/>
      <w:bookmarkStart w:id="717" w:name="_Toc413916859"/>
      <w:bookmarkStart w:id="718" w:name="_Toc413917001"/>
      <w:bookmarkStart w:id="719" w:name="_Toc413922062"/>
      <w:bookmarkStart w:id="720" w:name="_Toc413922551"/>
      <w:bookmarkStart w:id="721" w:name="_Toc413922655"/>
      <w:bookmarkStart w:id="722" w:name="_Toc414955292"/>
      <w:bookmarkStart w:id="723" w:name="_Toc415214599"/>
      <w:r w:rsidRPr="00E51CDD">
        <w:rPr>
          <w:bCs/>
        </w:rPr>
        <w:t>The application of BAS 736 00 F</w:t>
      </w:r>
      <w:r w:rsidRPr="00E51CDD">
        <w:t xml:space="preserve"> is envisioned in cereals. The following risk assessment is based on the worst-case field application rate of 2 × 2.0 L/ha (see Section 9 Chapter 9.1 for details).</w:t>
      </w:r>
    </w:p>
    <w:p w14:paraId="12619C53" w14:textId="77777777" w:rsidR="00E51CDD" w:rsidRPr="00E51CDD" w:rsidRDefault="00E51CDD" w:rsidP="00E51CDD">
      <w:pPr>
        <w:widowControl w:val="0"/>
        <w:jc w:val="both"/>
      </w:pPr>
    </w:p>
    <w:p w14:paraId="45B6E043" w14:textId="77777777" w:rsidR="00E51CDD" w:rsidRPr="00E51CDD" w:rsidRDefault="00E51CDD" w:rsidP="00E51CDD">
      <w:pPr>
        <w:widowControl w:val="0"/>
        <w:jc w:val="both"/>
      </w:pPr>
      <w:r w:rsidRPr="00E51CDD">
        <w:t>The in-field exposure (Predicted Environmental Rate, PER) is calculated according to the ESCORT 2 Guidance Document using the following equation:</w:t>
      </w:r>
    </w:p>
    <w:p w14:paraId="13C64874" w14:textId="77777777" w:rsidR="00E51CDD" w:rsidRPr="00E51CDD" w:rsidRDefault="00E51CDD" w:rsidP="00E51CDD">
      <w:pPr>
        <w:widowControl w:val="0"/>
        <w:jc w:val="both"/>
      </w:pPr>
    </w:p>
    <w:p w14:paraId="38D64303" w14:textId="77777777" w:rsidR="00E51CDD" w:rsidRPr="00E51CDD" w:rsidRDefault="00E51CDD" w:rsidP="00E51CDD">
      <w:pPr>
        <w:widowControl w:val="0"/>
        <w:jc w:val="both"/>
      </w:pPr>
    </w:p>
    <w:p w14:paraId="0ED59EC3" w14:textId="77777777" w:rsidR="00E51CDD" w:rsidRPr="00E51CDD" w:rsidRDefault="00000000" w:rsidP="00E51CDD">
      <w:pPr>
        <w:widowControl w:val="0"/>
        <w:jc w:val="both"/>
      </w:pPr>
      <m:oMathPara>
        <m:oMath>
          <m:sSub>
            <m:sSubPr>
              <m:ctrlPr>
                <w:rPr>
                  <w:rFonts w:ascii="Cambria Math" w:hAnsi="Cambria Math"/>
                </w:rPr>
              </m:ctrlPr>
            </m:sSubPr>
            <m:e>
              <m:r>
                <m:rPr>
                  <m:sty m:val="p"/>
                </m:rPr>
                <w:rPr>
                  <w:rFonts w:ascii="Cambria Math" w:hAnsi="Cambria Math"/>
                </w:rPr>
                <m:t>PER</m:t>
              </m:r>
            </m:e>
            <m:sub>
              <m:r>
                <m:rPr>
                  <m:sty m:val="p"/>
                </m:rPr>
                <w:rPr>
                  <w:rFonts w:ascii="Cambria Math" w:hAnsi="Cambria Math"/>
                </w:rPr>
                <m:t>in-field</m:t>
              </m:r>
            </m:sub>
          </m:sSub>
          <m:r>
            <m:rPr>
              <m:sty m:val="p"/>
            </m:rPr>
            <w:rPr>
              <w:rFonts w:ascii="Cambria Math" w:hAnsi="Cambria Math"/>
            </w:rPr>
            <m:t>=Application rate [kg or L/ha] *MAF</m:t>
          </m:r>
        </m:oMath>
      </m:oMathPara>
    </w:p>
    <w:p w14:paraId="34385C0F" w14:textId="77777777" w:rsidR="00E51CDD" w:rsidRPr="00E51CDD" w:rsidRDefault="00E51CDD" w:rsidP="00E51CDD">
      <w:pPr>
        <w:widowControl w:val="0"/>
        <w:jc w:val="both"/>
        <w:rPr>
          <w:highlight w:val="yellow"/>
        </w:rPr>
      </w:pPr>
    </w:p>
    <w:p w14:paraId="71306E48" w14:textId="77777777" w:rsidR="00E51CDD" w:rsidRPr="00E51CDD" w:rsidRDefault="00E51CDD" w:rsidP="00E51CDD">
      <w:pPr>
        <w:widowControl w:val="0"/>
        <w:jc w:val="both"/>
        <w:rPr>
          <w:highlight w:val="yellow"/>
        </w:rPr>
      </w:pPr>
    </w:p>
    <w:p w14:paraId="6A03C141" w14:textId="77777777" w:rsidR="00E51CDD" w:rsidRPr="00E51CDD" w:rsidRDefault="00E51CDD" w:rsidP="00E51CDD">
      <w:pPr>
        <w:widowControl w:val="0"/>
        <w:jc w:val="both"/>
      </w:pPr>
      <w:r w:rsidRPr="00E51CDD">
        <w:t>Default foliar and soil MAF values following multiple applications are given in the ESCORT 2 Guidance Document and are the following for BAS 736 00 F and its application scheme.</w:t>
      </w:r>
    </w:p>
    <w:p w14:paraId="2D19D99E" w14:textId="77777777" w:rsidR="00E51CDD" w:rsidRPr="00E51CDD" w:rsidRDefault="00E51CDD" w:rsidP="00E51CDD"/>
    <w:p w14:paraId="53BE57AA" w14:textId="77777777" w:rsidR="00E51CDD" w:rsidRPr="00E51CDD" w:rsidRDefault="00E51CDD" w:rsidP="00E51CDD">
      <w:pPr>
        <w:tabs>
          <w:tab w:val="left" w:pos="720"/>
        </w:tabs>
        <w:spacing w:line="280" w:lineRule="exact"/>
        <w:jc w:val="both"/>
        <w:rPr>
          <w:lang w:val="en-GB" w:eastAsia="en-US"/>
        </w:rPr>
      </w:pPr>
      <w:r w:rsidRPr="00E51CDD">
        <w:rPr>
          <w:lang w:val="en-GB" w:eastAsia="en-US"/>
        </w:rPr>
        <w:t>MAF (leaf substrate) = 1.7</w:t>
      </w:r>
    </w:p>
    <w:p w14:paraId="483609B8" w14:textId="77777777" w:rsidR="00E51CDD" w:rsidRPr="00E51CDD" w:rsidRDefault="00E51CDD" w:rsidP="00E51CDD">
      <w:pPr>
        <w:tabs>
          <w:tab w:val="left" w:pos="720"/>
        </w:tabs>
        <w:spacing w:line="280" w:lineRule="exact"/>
        <w:jc w:val="both"/>
        <w:rPr>
          <w:lang w:val="en-GB" w:eastAsia="en-US"/>
        </w:rPr>
      </w:pPr>
      <w:r w:rsidRPr="00E51CDD">
        <w:rPr>
          <w:lang w:val="en-GB" w:eastAsia="en-US"/>
        </w:rPr>
        <w:t>MAF (soil) = 1.9</w:t>
      </w:r>
    </w:p>
    <w:p w14:paraId="5C1FC670" w14:textId="77777777" w:rsidR="00E51CDD" w:rsidRPr="00E51CDD" w:rsidRDefault="00E51CDD" w:rsidP="00E51CDD">
      <w:pPr>
        <w:jc w:val="both"/>
      </w:pPr>
    </w:p>
    <w:p w14:paraId="4A0C946C" w14:textId="77777777" w:rsidR="00E51CDD" w:rsidRPr="00E51CDD" w:rsidRDefault="00E51CDD" w:rsidP="00E51CDD">
      <w:pPr>
        <w:jc w:val="both"/>
      </w:pPr>
      <w:r w:rsidRPr="00E51CDD">
        <w:t>As a pre-emergence or early post-emergence application is not intended for the use of BAS 736 00 F (see Section 9 Chapter 9.1 for details), the MAF (soil) will not be considered in the following risk assessment. Thus, the PER</w:t>
      </w:r>
      <w:r w:rsidRPr="00E51CDD">
        <w:rPr>
          <w:vertAlign w:val="subscript"/>
        </w:rPr>
        <w:t xml:space="preserve">in-field </w:t>
      </w:r>
      <w:r w:rsidRPr="00E51CDD">
        <w:t>is 3.4 L/ha.</w:t>
      </w:r>
    </w:p>
    <w:p w14:paraId="5FA6D5FD" w14:textId="77777777" w:rsidR="00E51CDD" w:rsidRPr="00E51CDD" w:rsidRDefault="00E51CDD" w:rsidP="00E51CDD"/>
    <w:p w14:paraId="1E6C3430" w14:textId="596E8534" w:rsidR="00E51CDD" w:rsidRPr="00E51CDD" w:rsidRDefault="00E51CDD" w:rsidP="00E51CDD">
      <w:pPr>
        <w:widowControl w:val="0"/>
        <w:jc w:val="both"/>
        <w:rPr>
          <w:lang w:val="en-GB"/>
        </w:rPr>
      </w:pPr>
      <w:r w:rsidRPr="00E51CDD">
        <w:rPr>
          <w:lang w:val="en-GB"/>
        </w:rPr>
        <w:t xml:space="preserve">The potential risk for non-target arthropods exposed in-field to BAS 736 00 F was assessed by calculating the hazard quotient (HQ = exposure/toxicity, see </w:t>
      </w:r>
      <w:r w:rsidRPr="00E51CDD">
        <w:rPr>
          <w:lang w:val="en-GB"/>
        </w:rPr>
        <w:fldChar w:fldCharType="begin"/>
      </w:r>
      <w:r w:rsidRPr="00E51CDD">
        <w:rPr>
          <w:lang w:val="en-GB"/>
        </w:rPr>
        <w:instrText xml:space="preserve"> REF _Ref5000573 \h  \* MERGEFORMAT </w:instrText>
      </w:r>
      <w:r w:rsidRPr="00E51CDD">
        <w:rPr>
          <w:lang w:val="en-GB"/>
        </w:rPr>
      </w:r>
      <w:r w:rsidRPr="00E51CDD">
        <w:rPr>
          <w:lang w:val="en-GB"/>
        </w:rPr>
        <w:fldChar w:fldCharType="separate"/>
      </w:r>
      <w:r w:rsidR="00662F32" w:rsidRPr="00662F32">
        <w:rPr>
          <w:lang w:val="en-GB"/>
        </w:rPr>
        <w:t xml:space="preserve">Table </w:t>
      </w:r>
      <w:r w:rsidR="00662F32" w:rsidRPr="00662F32">
        <w:rPr>
          <w:noProof/>
          <w:lang w:val="en-GB"/>
        </w:rPr>
        <w:t>9.7</w:t>
      </w:r>
      <w:r w:rsidR="00662F32" w:rsidRPr="00662F32">
        <w:rPr>
          <w:noProof/>
          <w:lang w:val="en-GB"/>
        </w:rPr>
        <w:noBreakHyphen/>
        <w:t>2</w:t>
      </w:r>
      <w:r w:rsidRPr="00E51CDD">
        <w:rPr>
          <w:lang w:val="en-GB"/>
        </w:rPr>
        <w:fldChar w:fldCharType="end"/>
      </w:r>
      <w:r w:rsidRPr="00E51CDD">
        <w:rPr>
          <w:lang w:val="en-GB"/>
        </w:rPr>
        <w:t>) for tier I standard laboratory studies according to the formula:</w:t>
      </w:r>
    </w:p>
    <w:p w14:paraId="77C85D19" w14:textId="77777777" w:rsidR="00E51CDD" w:rsidRPr="00E51CDD" w:rsidRDefault="00E51CDD" w:rsidP="00E51CDD">
      <w:pPr>
        <w:widowControl w:val="0"/>
        <w:jc w:val="both"/>
        <w:rPr>
          <w:lang w:val="en-GB"/>
        </w:rPr>
      </w:pPr>
    </w:p>
    <w:p w14:paraId="5CA87D1E" w14:textId="77777777" w:rsidR="00E51CDD" w:rsidRPr="00E51CDD" w:rsidRDefault="00000000" w:rsidP="00E51CDD">
      <w:pPr>
        <w:widowControl w:val="0"/>
        <w:jc w:val="both"/>
        <w:rPr>
          <w:lang w:val="en-GB"/>
        </w:rPr>
      </w:pPr>
      <m:oMathPara>
        <m:oMath>
          <m:sSub>
            <m:sSubPr>
              <m:ctrlPr>
                <w:rPr>
                  <w:rFonts w:ascii="Cambria Math" w:hAnsi="Cambria Math"/>
                  <w:i/>
                  <w:lang w:val="en-GB"/>
                </w:rPr>
              </m:ctrlPr>
            </m:sSubPr>
            <m:e>
              <m:r>
                <m:rPr>
                  <m:nor/>
                </m:rPr>
                <w:rPr>
                  <w:lang w:val="en-GB"/>
                </w:rPr>
                <m:t>HQ</m:t>
              </m:r>
            </m:e>
            <m:sub>
              <m:r>
                <m:rPr>
                  <m:nor/>
                </m:rPr>
                <w:rPr>
                  <w:lang w:val="en-GB"/>
                </w:rPr>
                <m:t>in-field</m:t>
              </m:r>
            </m:sub>
          </m:sSub>
          <m:r>
            <w:rPr>
              <w:rFonts w:ascii="Cambria Math" w:hAnsi="Cambria Math"/>
              <w:lang w:val="en-GB"/>
            </w:rPr>
            <m:t xml:space="preserve">= </m:t>
          </m:r>
          <m:f>
            <m:fPr>
              <m:ctrlPr>
                <w:rPr>
                  <w:rFonts w:ascii="Cambria Math" w:hAnsi="Cambria Math"/>
                  <w:i/>
                  <w:lang w:val="en-GB"/>
                </w:rPr>
              </m:ctrlPr>
            </m:fPr>
            <m:num>
              <m:sSub>
                <m:sSubPr>
                  <m:ctrlPr>
                    <w:rPr>
                      <w:rFonts w:ascii="Cambria Math" w:hAnsi="Cambria Math"/>
                      <w:i/>
                      <w:lang w:val="en-GB"/>
                    </w:rPr>
                  </m:ctrlPr>
                </m:sSubPr>
                <m:e>
                  <m:r>
                    <m:rPr>
                      <m:nor/>
                    </m:rPr>
                    <w:rPr>
                      <w:lang w:val="en-GB"/>
                    </w:rPr>
                    <m:t>PER</m:t>
                  </m:r>
                </m:e>
                <m:sub>
                  <m:r>
                    <m:rPr>
                      <m:nor/>
                    </m:rPr>
                    <w:rPr>
                      <w:lang w:val="en-GB"/>
                    </w:rPr>
                    <m:t xml:space="preserve">in-field </m:t>
                  </m:r>
                </m:sub>
              </m:sSub>
              <m:r>
                <m:rPr>
                  <m:nor/>
                </m:rPr>
                <w:rPr>
                  <w:lang w:val="en-GB"/>
                </w:rPr>
                <m:t>[L/ha]</m:t>
              </m:r>
            </m:num>
            <m:den>
              <m:sSub>
                <m:sSubPr>
                  <m:ctrlPr>
                    <w:rPr>
                      <w:rFonts w:ascii="Cambria Math" w:hAnsi="Cambria Math"/>
                      <w:i/>
                      <w:lang w:val="en-GB"/>
                    </w:rPr>
                  </m:ctrlPr>
                </m:sSubPr>
                <m:e>
                  <m:r>
                    <m:rPr>
                      <m:nor/>
                    </m:rPr>
                    <w:rPr>
                      <w:lang w:val="en-GB"/>
                    </w:rPr>
                    <m:t>LR</m:t>
                  </m:r>
                </m:e>
                <m:sub>
                  <m:r>
                    <m:rPr>
                      <m:nor/>
                    </m:rPr>
                    <w:rPr>
                      <w:lang w:val="en-GB"/>
                    </w:rPr>
                    <m:t xml:space="preserve">50 </m:t>
                  </m:r>
                </m:sub>
              </m:sSub>
              <m:r>
                <m:rPr>
                  <m:nor/>
                </m:rPr>
                <w:rPr>
                  <w:lang w:val="en-GB"/>
                </w:rPr>
                <m:t>[L/ha]</m:t>
              </m:r>
            </m:den>
          </m:f>
        </m:oMath>
      </m:oMathPara>
    </w:p>
    <w:p w14:paraId="46D4DD9C" w14:textId="77777777" w:rsidR="00E51CDD" w:rsidRPr="00E51CDD" w:rsidRDefault="00E51CDD" w:rsidP="00E51CDD">
      <w:pPr>
        <w:widowControl w:val="0"/>
        <w:jc w:val="both"/>
        <w:rPr>
          <w:lang w:val="en-GB"/>
        </w:rPr>
      </w:pPr>
    </w:p>
    <w:p w14:paraId="6F469138" w14:textId="77777777" w:rsidR="00E51CDD" w:rsidRPr="00E51CDD" w:rsidRDefault="00E51CDD" w:rsidP="00E51CDD">
      <w:pPr>
        <w:widowControl w:val="0"/>
        <w:jc w:val="both"/>
        <w:rPr>
          <w:lang w:val="en-GB"/>
        </w:rPr>
      </w:pPr>
    </w:p>
    <w:p w14:paraId="013E1299" w14:textId="67AF2A7E" w:rsidR="00E51CDD" w:rsidRPr="00843A50" w:rsidRDefault="00E51CDD" w:rsidP="00E51CDD">
      <w:pPr>
        <w:widowControl w:val="0"/>
        <w:jc w:val="both"/>
        <w:rPr>
          <w:lang w:val="en-GB"/>
        </w:rPr>
      </w:pPr>
      <w:r w:rsidRPr="00E51CDD">
        <w:rPr>
          <w:lang w:val="en-GB"/>
        </w:rPr>
        <w:t>For higher tier laboratory studies risk is acceptable if the PER</w:t>
      </w:r>
      <w:r w:rsidRPr="00E51CDD">
        <w:rPr>
          <w:vertAlign w:val="subscript"/>
          <w:lang w:val="en-GB"/>
        </w:rPr>
        <w:t>in-field</w:t>
      </w:r>
      <w:r w:rsidRPr="00E51CDD">
        <w:rPr>
          <w:lang w:val="en-GB"/>
        </w:rPr>
        <w:t xml:space="preserve"> is below the relevant endpoint (see </w:t>
      </w:r>
      <w:r w:rsidRPr="00843A50">
        <w:rPr>
          <w:lang w:val="en-GB"/>
        </w:rPr>
        <w:fldChar w:fldCharType="begin"/>
      </w:r>
      <w:r w:rsidRPr="00843A50">
        <w:rPr>
          <w:lang w:val="en-GB"/>
        </w:rPr>
        <w:instrText xml:space="preserve"> REF _Ref5000573 \h </w:instrText>
      </w:r>
      <w:r w:rsidR="00843A50" w:rsidRPr="00843A50">
        <w:rPr>
          <w:lang w:val="en-GB"/>
        </w:rPr>
        <w:instrText xml:space="preserve"> \* MERGEFORMAT </w:instrText>
      </w:r>
      <w:r w:rsidRPr="00843A50">
        <w:rPr>
          <w:lang w:val="en-GB"/>
        </w:rPr>
      </w:r>
      <w:r w:rsidRPr="00843A50">
        <w:rPr>
          <w:lang w:val="en-GB"/>
        </w:rPr>
        <w:fldChar w:fldCharType="separate"/>
      </w:r>
      <w:r w:rsidR="00662F32" w:rsidRPr="00662F32">
        <w:t xml:space="preserve">Table </w:t>
      </w:r>
      <w:r w:rsidR="00662F32" w:rsidRPr="00662F32">
        <w:rPr>
          <w:noProof/>
        </w:rPr>
        <w:t>9.7</w:t>
      </w:r>
      <w:r w:rsidR="00662F32" w:rsidRPr="00662F32">
        <w:rPr>
          <w:noProof/>
        </w:rPr>
        <w:noBreakHyphen/>
        <w:t>2</w:t>
      </w:r>
      <w:r w:rsidRPr="00843A50">
        <w:rPr>
          <w:lang w:val="en-GB"/>
        </w:rPr>
        <w:fldChar w:fldCharType="end"/>
      </w:r>
      <w:r w:rsidRPr="00843A50">
        <w:rPr>
          <w:lang w:val="en-GB"/>
        </w:rPr>
        <w:t>).</w:t>
      </w:r>
    </w:p>
    <w:p w14:paraId="455C37CC" w14:textId="77777777" w:rsidR="00E51CDD" w:rsidRPr="00E51CDD" w:rsidRDefault="00E51CDD" w:rsidP="00E51CDD">
      <w:pPr>
        <w:widowControl w:val="0"/>
        <w:jc w:val="both"/>
        <w:rPr>
          <w:lang w:val="en-GB"/>
        </w:rPr>
      </w:pPr>
    </w:p>
    <w:p w14:paraId="04D04FEF" w14:textId="77777777" w:rsidR="000630E1" w:rsidRDefault="000630E1" w:rsidP="00E51CDD">
      <w:pPr>
        <w:ind w:left="1560" w:hanging="1560"/>
        <w:rPr>
          <w:b/>
          <w:bCs/>
        </w:rPr>
      </w:pPr>
      <w:bookmarkStart w:id="724" w:name="_Ref5000573"/>
    </w:p>
    <w:p w14:paraId="7CEFCB86" w14:textId="17BE9113" w:rsidR="00E51CDD" w:rsidRPr="00E51CDD" w:rsidRDefault="00E51CDD" w:rsidP="00E51CDD">
      <w:pPr>
        <w:ind w:left="1560" w:hanging="1560"/>
        <w:rPr>
          <w:bCs/>
        </w:rPr>
      </w:pPr>
      <w:r w:rsidRPr="00E51CDD">
        <w:rPr>
          <w:b/>
          <w:bCs/>
        </w:rPr>
        <w:t xml:space="preserve">Table </w:t>
      </w:r>
      <w:r w:rsidRPr="00E51CDD">
        <w:rPr>
          <w:b/>
          <w:bCs/>
        </w:rPr>
        <w:fldChar w:fldCharType="begin"/>
      </w:r>
      <w:r w:rsidRPr="00E51CDD">
        <w:rPr>
          <w:b/>
          <w:bCs/>
        </w:rPr>
        <w:instrText xml:space="preserve"> STYLEREF 2 \s </w:instrText>
      </w:r>
      <w:r w:rsidRPr="00E51CDD">
        <w:rPr>
          <w:b/>
          <w:bCs/>
        </w:rPr>
        <w:fldChar w:fldCharType="separate"/>
      </w:r>
      <w:r w:rsidR="00662F32">
        <w:rPr>
          <w:b/>
          <w:bCs/>
          <w:noProof/>
        </w:rPr>
        <w:t>9.7</w:t>
      </w:r>
      <w:r w:rsidRPr="00E51CDD">
        <w:rPr>
          <w:b/>
          <w:bCs/>
        </w:rPr>
        <w:fldChar w:fldCharType="end"/>
      </w:r>
      <w:r w:rsidRPr="00E51CDD">
        <w:rPr>
          <w:b/>
          <w:bCs/>
        </w:rPr>
        <w:noBreakHyphen/>
      </w:r>
      <w:r w:rsidRPr="00E51CDD">
        <w:rPr>
          <w:b/>
          <w:bCs/>
        </w:rPr>
        <w:fldChar w:fldCharType="begin"/>
      </w:r>
      <w:r w:rsidRPr="00E51CDD">
        <w:rPr>
          <w:b/>
          <w:bCs/>
        </w:rPr>
        <w:instrText xml:space="preserve"> SEQ Table \* ARABIC \s 2 </w:instrText>
      </w:r>
      <w:r w:rsidRPr="00E51CDD">
        <w:rPr>
          <w:b/>
          <w:bCs/>
        </w:rPr>
        <w:fldChar w:fldCharType="separate"/>
      </w:r>
      <w:r w:rsidR="00662F32">
        <w:rPr>
          <w:b/>
          <w:bCs/>
          <w:noProof/>
        </w:rPr>
        <w:t>2</w:t>
      </w:r>
      <w:r w:rsidRPr="00E51CDD">
        <w:rPr>
          <w:b/>
          <w:bCs/>
        </w:rPr>
        <w:fldChar w:fldCharType="end"/>
      </w:r>
      <w:bookmarkEnd w:id="724"/>
      <w:r w:rsidRPr="00E51CDD">
        <w:rPr>
          <w:b/>
          <w:bCs/>
        </w:rPr>
        <w:t>:</w:t>
      </w:r>
      <w:r w:rsidRPr="00E51CDD">
        <w:rPr>
          <w:b/>
          <w:bCs/>
        </w:rPr>
        <w:tab/>
        <w:t>First- and higher-tier assessment of the in-field risk for non-target arthropods due to the use of BAS 736 00 F according to the proposed use pattern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336"/>
        <w:gridCol w:w="2903"/>
        <w:gridCol w:w="1768"/>
        <w:gridCol w:w="2338"/>
      </w:tblGrid>
      <w:tr w:rsidR="00E51CDD" w:rsidRPr="00E51CDD" w14:paraId="630812E1" w14:textId="77777777" w:rsidTr="009938D9">
        <w:trPr>
          <w:cantSplit/>
        </w:trPr>
        <w:tc>
          <w:tcPr>
            <w:tcW w:w="1250" w:type="pct"/>
            <w:tcBorders>
              <w:bottom w:val="single" w:sz="4" w:space="0" w:color="auto"/>
            </w:tcBorders>
          </w:tcPr>
          <w:p w14:paraId="165FD994" w14:textId="77777777" w:rsidR="00E51CDD" w:rsidRPr="00E51CDD" w:rsidRDefault="00E51CDD" w:rsidP="00E51CDD">
            <w:pPr>
              <w:widowControl w:val="0"/>
              <w:rPr>
                <w:b/>
                <w:bCs/>
                <w:sz w:val="20"/>
                <w:szCs w:val="20"/>
                <w:lang w:val="en-GB"/>
              </w:rPr>
            </w:pPr>
            <w:r w:rsidRPr="00E51CDD">
              <w:rPr>
                <w:b/>
                <w:bCs/>
                <w:sz w:val="20"/>
                <w:szCs w:val="20"/>
                <w:lang w:val="en-GB"/>
              </w:rPr>
              <w:t>Intended use</w:t>
            </w:r>
          </w:p>
        </w:tc>
        <w:tc>
          <w:tcPr>
            <w:tcW w:w="3750" w:type="pct"/>
            <w:gridSpan w:val="3"/>
            <w:tcBorders>
              <w:bottom w:val="single" w:sz="4" w:space="0" w:color="auto"/>
            </w:tcBorders>
          </w:tcPr>
          <w:p w14:paraId="762ACD04" w14:textId="77777777" w:rsidR="00E51CDD" w:rsidRPr="00E51CDD" w:rsidRDefault="00E51CDD" w:rsidP="00E51CDD">
            <w:pPr>
              <w:widowControl w:val="0"/>
              <w:rPr>
                <w:noProof/>
                <w:sz w:val="20"/>
                <w:szCs w:val="20"/>
                <w:lang w:val="en-GB"/>
              </w:rPr>
            </w:pPr>
            <w:r w:rsidRPr="00E51CDD">
              <w:rPr>
                <w:noProof/>
                <w:sz w:val="20"/>
                <w:szCs w:val="20"/>
                <w:lang w:val="en-GB"/>
              </w:rPr>
              <w:t>cereals</w:t>
            </w:r>
          </w:p>
        </w:tc>
      </w:tr>
      <w:tr w:rsidR="00E51CDD" w:rsidRPr="00E51CDD" w14:paraId="3AD29D46" w14:textId="77777777" w:rsidTr="009938D9">
        <w:trPr>
          <w:cantSplit/>
        </w:trPr>
        <w:tc>
          <w:tcPr>
            <w:tcW w:w="1250" w:type="pct"/>
            <w:tcBorders>
              <w:top w:val="single" w:sz="4" w:space="0" w:color="auto"/>
              <w:bottom w:val="single" w:sz="4" w:space="0" w:color="auto"/>
            </w:tcBorders>
          </w:tcPr>
          <w:p w14:paraId="47C92877" w14:textId="77777777" w:rsidR="00E51CDD" w:rsidRPr="00E51CDD" w:rsidRDefault="00E51CDD" w:rsidP="00E51CDD">
            <w:pPr>
              <w:widowControl w:val="0"/>
              <w:rPr>
                <w:b/>
                <w:bCs/>
                <w:sz w:val="20"/>
                <w:szCs w:val="20"/>
                <w:lang w:val="en-GB"/>
              </w:rPr>
            </w:pPr>
            <w:r w:rsidRPr="00E51CDD">
              <w:rPr>
                <w:b/>
                <w:bCs/>
                <w:sz w:val="20"/>
                <w:szCs w:val="20"/>
                <w:lang w:val="en-GB"/>
              </w:rPr>
              <w:t>Product</w:t>
            </w:r>
          </w:p>
        </w:tc>
        <w:tc>
          <w:tcPr>
            <w:tcW w:w="3750" w:type="pct"/>
            <w:gridSpan w:val="3"/>
            <w:tcBorders>
              <w:top w:val="single" w:sz="4" w:space="0" w:color="auto"/>
              <w:bottom w:val="single" w:sz="4" w:space="0" w:color="auto"/>
            </w:tcBorders>
          </w:tcPr>
          <w:p w14:paraId="0B223832" w14:textId="77777777" w:rsidR="00E51CDD" w:rsidRPr="00E51CDD" w:rsidRDefault="00E51CDD" w:rsidP="00E51CDD">
            <w:pPr>
              <w:widowControl w:val="0"/>
              <w:rPr>
                <w:noProof/>
                <w:sz w:val="20"/>
                <w:szCs w:val="20"/>
                <w:lang w:val="en-GB"/>
              </w:rPr>
            </w:pPr>
            <w:r w:rsidRPr="00E51CDD">
              <w:rPr>
                <w:noProof/>
                <w:sz w:val="20"/>
                <w:szCs w:val="20"/>
                <w:lang w:val="en-GB"/>
              </w:rPr>
              <w:t>BAS 736 00 F</w:t>
            </w:r>
          </w:p>
        </w:tc>
      </w:tr>
      <w:tr w:rsidR="00E51CDD" w:rsidRPr="00E51CDD" w14:paraId="7A1820ED" w14:textId="77777777" w:rsidTr="009938D9">
        <w:trPr>
          <w:cantSplit/>
        </w:trPr>
        <w:tc>
          <w:tcPr>
            <w:tcW w:w="1250" w:type="pct"/>
            <w:tcBorders>
              <w:top w:val="single" w:sz="4" w:space="0" w:color="auto"/>
              <w:bottom w:val="single" w:sz="4" w:space="0" w:color="auto"/>
            </w:tcBorders>
          </w:tcPr>
          <w:p w14:paraId="3CE8485E" w14:textId="77777777" w:rsidR="00E51CDD" w:rsidRPr="00E51CDD" w:rsidRDefault="00E51CDD" w:rsidP="00E51CDD">
            <w:pPr>
              <w:widowControl w:val="0"/>
              <w:rPr>
                <w:b/>
                <w:bCs/>
                <w:sz w:val="20"/>
                <w:szCs w:val="20"/>
                <w:lang w:val="en-GB"/>
              </w:rPr>
            </w:pPr>
            <w:r w:rsidRPr="00E51CDD">
              <w:rPr>
                <w:b/>
                <w:bCs/>
                <w:sz w:val="20"/>
                <w:szCs w:val="20"/>
                <w:lang w:val="en-GB"/>
              </w:rPr>
              <w:t>Application rate (L/ha)</w:t>
            </w:r>
          </w:p>
        </w:tc>
        <w:tc>
          <w:tcPr>
            <w:tcW w:w="3750" w:type="pct"/>
            <w:gridSpan w:val="3"/>
            <w:tcBorders>
              <w:top w:val="single" w:sz="4" w:space="0" w:color="auto"/>
              <w:bottom w:val="single" w:sz="4" w:space="0" w:color="auto"/>
            </w:tcBorders>
          </w:tcPr>
          <w:p w14:paraId="362D11FE" w14:textId="77777777" w:rsidR="00E51CDD" w:rsidRPr="00E51CDD" w:rsidRDefault="00E51CDD" w:rsidP="00E51CDD">
            <w:pPr>
              <w:widowControl w:val="0"/>
              <w:rPr>
                <w:noProof/>
                <w:sz w:val="20"/>
                <w:szCs w:val="20"/>
              </w:rPr>
            </w:pPr>
            <w:r w:rsidRPr="00E51CDD">
              <w:rPr>
                <w:noProof/>
                <w:sz w:val="20"/>
                <w:szCs w:val="20"/>
                <w:lang w:val="en-GB"/>
              </w:rPr>
              <w:t>2 x 2.0</w:t>
            </w:r>
          </w:p>
        </w:tc>
      </w:tr>
      <w:tr w:rsidR="00E51CDD" w:rsidRPr="00E51CDD" w14:paraId="23AB419A" w14:textId="77777777" w:rsidTr="009938D9">
        <w:trPr>
          <w:cantSplit/>
        </w:trPr>
        <w:tc>
          <w:tcPr>
            <w:tcW w:w="1250" w:type="pct"/>
            <w:tcBorders>
              <w:top w:val="single" w:sz="4" w:space="0" w:color="auto"/>
            </w:tcBorders>
          </w:tcPr>
          <w:p w14:paraId="0AB41445" w14:textId="77777777" w:rsidR="00E51CDD" w:rsidRPr="00E51CDD" w:rsidRDefault="00E51CDD" w:rsidP="00E51CDD">
            <w:pPr>
              <w:widowControl w:val="0"/>
              <w:rPr>
                <w:b/>
                <w:bCs/>
                <w:sz w:val="20"/>
                <w:szCs w:val="20"/>
                <w:lang w:val="en-GB"/>
              </w:rPr>
            </w:pPr>
            <w:r w:rsidRPr="00E51CDD">
              <w:rPr>
                <w:b/>
                <w:bCs/>
                <w:sz w:val="20"/>
                <w:szCs w:val="20"/>
                <w:lang w:val="en-GB"/>
              </w:rPr>
              <w:t>MAF</w:t>
            </w:r>
          </w:p>
        </w:tc>
        <w:tc>
          <w:tcPr>
            <w:tcW w:w="3750" w:type="pct"/>
            <w:gridSpan w:val="3"/>
            <w:tcBorders>
              <w:top w:val="single" w:sz="4" w:space="0" w:color="auto"/>
            </w:tcBorders>
          </w:tcPr>
          <w:p w14:paraId="397A4B65" w14:textId="77777777" w:rsidR="00E51CDD" w:rsidRPr="00E51CDD" w:rsidRDefault="00E51CDD" w:rsidP="00E51CDD">
            <w:pPr>
              <w:widowControl w:val="0"/>
              <w:rPr>
                <w:noProof/>
                <w:sz w:val="20"/>
                <w:szCs w:val="20"/>
                <w:lang w:val="en-GB"/>
              </w:rPr>
            </w:pPr>
            <w:r w:rsidRPr="00E51CDD">
              <w:rPr>
                <w:noProof/>
                <w:sz w:val="20"/>
                <w:szCs w:val="20"/>
                <w:lang w:val="en-GB"/>
              </w:rPr>
              <w:t>1.7 (vegetation)</w:t>
            </w:r>
          </w:p>
        </w:tc>
      </w:tr>
      <w:tr w:rsidR="00E51CDD" w:rsidRPr="00E51CDD" w14:paraId="4B4505D4" w14:textId="77777777" w:rsidTr="009938D9">
        <w:trPr>
          <w:cantSplit/>
        </w:trPr>
        <w:tc>
          <w:tcPr>
            <w:tcW w:w="1250" w:type="pct"/>
            <w:vMerge w:val="restart"/>
            <w:tcBorders>
              <w:top w:val="nil"/>
            </w:tcBorders>
          </w:tcPr>
          <w:p w14:paraId="7C007799" w14:textId="77777777" w:rsidR="00E51CDD" w:rsidRPr="00E51CDD" w:rsidRDefault="00E51CDD" w:rsidP="00E51CDD">
            <w:pPr>
              <w:widowControl w:val="0"/>
              <w:rPr>
                <w:b/>
                <w:bCs/>
                <w:sz w:val="20"/>
                <w:szCs w:val="20"/>
                <w:lang w:val="en-GB"/>
              </w:rPr>
            </w:pPr>
            <w:r w:rsidRPr="00E51CDD">
              <w:rPr>
                <w:b/>
                <w:bCs/>
                <w:sz w:val="20"/>
                <w:szCs w:val="20"/>
                <w:lang w:val="en-GB"/>
              </w:rPr>
              <w:t>Test species</w:t>
            </w:r>
            <w:r w:rsidRPr="00E51CDD">
              <w:rPr>
                <w:b/>
                <w:bCs/>
                <w:sz w:val="20"/>
                <w:szCs w:val="20"/>
                <w:lang w:val="en-GB"/>
              </w:rPr>
              <w:br/>
            </w:r>
          </w:p>
        </w:tc>
        <w:tc>
          <w:tcPr>
            <w:tcW w:w="3750" w:type="pct"/>
            <w:gridSpan w:val="3"/>
            <w:tcBorders>
              <w:top w:val="single" w:sz="4" w:space="0" w:color="auto"/>
            </w:tcBorders>
          </w:tcPr>
          <w:p w14:paraId="38F933CD" w14:textId="77777777" w:rsidR="00E51CDD" w:rsidRPr="00E51CDD" w:rsidRDefault="00E51CDD" w:rsidP="00E51CDD">
            <w:pPr>
              <w:widowControl w:val="0"/>
              <w:rPr>
                <w:b/>
                <w:noProof/>
                <w:sz w:val="20"/>
                <w:szCs w:val="20"/>
                <w:lang w:val="en-GB"/>
              </w:rPr>
            </w:pPr>
            <w:r w:rsidRPr="00E51CDD">
              <w:rPr>
                <w:b/>
                <w:noProof/>
                <w:sz w:val="20"/>
                <w:szCs w:val="20"/>
              </w:rPr>
              <w:t>Tier I</w:t>
            </w:r>
          </w:p>
        </w:tc>
      </w:tr>
      <w:tr w:rsidR="00E51CDD" w:rsidRPr="00E51CDD" w14:paraId="476F3064" w14:textId="77777777" w:rsidTr="009938D9">
        <w:tblPrEx>
          <w:tblLook w:val="01E0" w:firstRow="1" w:lastRow="1" w:firstColumn="1" w:lastColumn="1" w:noHBand="0" w:noVBand="0"/>
        </w:tblPrEx>
        <w:trPr>
          <w:cantSplit/>
        </w:trPr>
        <w:tc>
          <w:tcPr>
            <w:tcW w:w="1250" w:type="pct"/>
            <w:vMerge/>
          </w:tcPr>
          <w:p w14:paraId="31FD855C" w14:textId="77777777" w:rsidR="00E51CDD" w:rsidRPr="00E51CDD" w:rsidRDefault="00E51CDD" w:rsidP="00E51CDD">
            <w:pPr>
              <w:widowControl w:val="0"/>
              <w:rPr>
                <w:b/>
                <w:bCs/>
                <w:sz w:val="20"/>
                <w:szCs w:val="20"/>
                <w:lang w:val="en-GB"/>
              </w:rPr>
            </w:pPr>
          </w:p>
        </w:tc>
        <w:tc>
          <w:tcPr>
            <w:tcW w:w="1553" w:type="pct"/>
          </w:tcPr>
          <w:p w14:paraId="65F1F11D" w14:textId="77777777" w:rsidR="00E51CDD" w:rsidRPr="00E51CDD" w:rsidRDefault="00E51CDD" w:rsidP="00E51CDD">
            <w:pPr>
              <w:widowControl w:val="0"/>
              <w:rPr>
                <w:b/>
                <w:bCs/>
                <w:sz w:val="20"/>
                <w:szCs w:val="20"/>
                <w:lang w:val="en-GB"/>
              </w:rPr>
            </w:pPr>
            <w:r w:rsidRPr="00E51CDD">
              <w:rPr>
                <w:b/>
                <w:bCs/>
                <w:sz w:val="20"/>
                <w:szCs w:val="20"/>
                <w:lang w:val="en-GB"/>
              </w:rPr>
              <w:t>LR</w:t>
            </w:r>
            <w:r w:rsidRPr="00E51CDD">
              <w:rPr>
                <w:b/>
                <w:bCs/>
                <w:sz w:val="20"/>
                <w:szCs w:val="20"/>
                <w:vertAlign w:val="subscript"/>
                <w:lang w:val="en-GB"/>
              </w:rPr>
              <w:t>50</w:t>
            </w:r>
            <w:r w:rsidRPr="00E51CDD">
              <w:rPr>
                <w:b/>
                <w:bCs/>
                <w:sz w:val="20"/>
                <w:szCs w:val="20"/>
                <w:lang w:val="en-GB"/>
              </w:rPr>
              <w:t xml:space="preserve"> (lab.)</w:t>
            </w:r>
            <w:r w:rsidRPr="00E51CDD">
              <w:rPr>
                <w:b/>
                <w:bCs/>
                <w:sz w:val="20"/>
                <w:szCs w:val="20"/>
                <w:lang w:val="en-GB"/>
              </w:rPr>
              <w:br/>
              <w:t>[L/ha]</w:t>
            </w:r>
          </w:p>
        </w:tc>
        <w:tc>
          <w:tcPr>
            <w:tcW w:w="946" w:type="pct"/>
          </w:tcPr>
          <w:p w14:paraId="0DBBC572" w14:textId="77777777" w:rsidR="00E51CDD" w:rsidRPr="00E51CDD" w:rsidRDefault="00E51CDD" w:rsidP="00E51CDD">
            <w:pPr>
              <w:widowControl w:val="0"/>
              <w:rPr>
                <w:b/>
                <w:bCs/>
                <w:sz w:val="20"/>
                <w:szCs w:val="20"/>
                <w:lang w:val="en-GB"/>
              </w:rPr>
            </w:pPr>
            <w:r w:rsidRPr="00E51CDD">
              <w:rPr>
                <w:b/>
                <w:bCs/>
                <w:sz w:val="20"/>
                <w:szCs w:val="20"/>
                <w:lang w:val="en-GB"/>
              </w:rPr>
              <w:t>PER</w:t>
            </w:r>
            <w:r w:rsidRPr="00E51CDD">
              <w:rPr>
                <w:b/>
                <w:bCs/>
                <w:sz w:val="20"/>
                <w:szCs w:val="20"/>
                <w:vertAlign w:val="subscript"/>
                <w:lang w:val="en-GB"/>
              </w:rPr>
              <w:t>in</w:t>
            </w:r>
            <w:r w:rsidRPr="00E51CDD">
              <w:rPr>
                <w:b/>
                <w:bCs/>
                <w:sz w:val="20"/>
                <w:szCs w:val="20"/>
                <w:vertAlign w:val="subscript"/>
                <w:lang w:val="en-GB"/>
              </w:rPr>
              <w:noBreakHyphen/>
              <w:t>field</w:t>
            </w:r>
            <w:r w:rsidRPr="00E51CDD">
              <w:rPr>
                <w:b/>
                <w:bCs/>
                <w:sz w:val="20"/>
                <w:szCs w:val="20"/>
                <w:vertAlign w:val="subscript"/>
                <w:lang w:val="en-GB"/>
              </w:rPr>
              <w:br/>
            </w:r>
            <w:r w:rsidRPr="00E51CDD">
              <w:rPr>
                <w:b/>
                <w:bCs/>
                <w:sz w:val="20"/>
                <w:szCs w:val="20"/>
                <w:lang w:val="en-GB"/>
              </w:rPr>
              <w:t>[L/ha]</w:t>
            </w:r>
          </w:p>
        </w:tc>
        <w:tc>
          <w:tcPr>
            <w:tcW w:w="1251" w:type="pct"/>
          </w:tcPr>
          <w:p w14:paraId="77926D12" w14:textId="77777777" w:rsidR="00E51CDD" w:rsidRPr="00E51CDD" w:rsidRDefault="00E51CDD" w:rsidP="00E51CDD">
            <w:pPr>
              <w:widowControl w:val="0"/>
              <w:rPr>
                <w:b/>
                <w:bCs/>
                <w:sz w:val="20"/>
                <w:szCs w:val="20"/>
                <w:lang w:val="en-GB"/>
              </w:rPr>
            </w:pPr>
            <w:r w:rsidRPr="00E51CDD">
              <w:rPr>
                <w:b/>
                <w:bCs/>
                <w:sz w:val="20"/>
                <w:szCs w:val="20"/>
                <w:lang w:val="en-GB"/>
              </w:rPr>
              <w:t>HQ</w:t>
            </w:r>
            <w:r w:rsidRPr="00E51CDD">
              <w:rPr>
                <w:b/>
                <w:bCs/>
                <w:sz w:val="20"/>
                <w:szCs w:val="20"/>
                <w:vertAlign w:val="subscript"/>
                <w:lang w:val="en-GB"/>
              </w:rPr>
              <w:t>in-field</w:t>
            </w:r>
            <w:r w:rsidRPr="00E51CDD">
              <w:rPr>
                <w:b/>
                <w:bCs/>
                <w:sz w:val="20"/>
                <w:szCs w:val="20"/>
                <w:vertAlign w:val="subscript"/>
                <w:lang w:val="en-GB"/>
              </w:rPr>
              <w:br/>
            </w:r>
            <w:r w:rsidRPr="00E51CDD">
              <w:rPr>
                <w:b/>
                <w:bCs/>
                <w:sz w:val="20"/>
                <w:szCs w:val="20"/>
                <w:lang w:val="en-GB"/>
              </w:rPr>
              <w:t>criterion: HQ ≤ 2</w:t>
            </w:r>
          </w:p>
        </w:tc>
      </w:tr>
      <w:tr w:rsidR="00E51CDD" w:rsidRPr="00E51CDD" w14:paraId="479CE5CA" w14:textId="77777777" w:rsidTr="009938D9">
        <w:tblPrEx>
          <w:tblLook w:val="01E0" w:firstRow="1" w:lastRow="1" w:firstColumn="1" w:lastColumn="1" w:noHBand="0" w:noVBand="0"/>
        </w:tblPrEx>
        <w:trPr>
          <w:cantSplit/>
        </w:trPr>
        <w:tc>
          <w:tcPr>
            <w:tcW w:w="1250" w:type="pct"/>
            <w:vAlign w:val="center"/>
          </w:tcPr>
          <w:p w14:paraId="0FA0590D" w14:textId="77777777" w:rsidR="00E51CDD" w:rsidRPr="00E51CDD" w:rsidRDefault="00E51CDD" w:rsidP="00E51CDD">
            <w:pPr>
              <w:widowControl w:val="0"/>
              <w:rPr>
                <w:noProof/>
                <w:sz w:val="20"/>
                <w:szCs w:val="20"/>
                <w:lang w:val="en-GB"/>
              </w:rPr>
            </w:pPr>
            <w:r w:rsidRPr="00E51CDD">
              <w:rPr>
                <w:i/>
                <w:noProof/>
                <w:sz w:val="20"/>
                <w:szCs w:val="20"/>
                <w:lang w:val="en-GB"/>
              </w:rPr>
              <w:t>Typhlodromus pyri</w:t>
            </w:r>
          </w:p>
        </w:tc>
        <w:tc>
          <w:tcPr>
            <w:tcW w:w="1553" w:type="pct"/>
          </w:tcPr>
          <w:p w14:paraId="158510B5" w14:textId="77777777" w:rsidR="00E51CDD" w:rsidRPr="00E51CDD" w:rsidRDefault="00E51CDD" w:rsidP="00E51CDD">
            <w:pPr>
              <w:widowControl w:val="0"/>
              <w:rPr>
                <w:noProof/>
                <w:sz w:val="20"/>
                <w:szCs w:val="20"/>
                <w:lang w:val="en-GB"/>
              </w:rPr>
            </w:pPr>
            <w:r w:rsidRPr="00E51CDD">
              <w:rPr>
                <w:noProof/>
                <w:sz w:val="20"/>
                <w:szCs w:val="20"/>
                <w:lang w:val="en-GB"/>
              </w:rPr>
              <w:t>&gt; 2.75</w:t>
            </w:r>
          </w:p>
        </w:tc>
        <w:tc>
          <w:tcPr>
            <w:tcW w:w="946" w:type="pct"/>
            <w:vMerge w:val="restart"/>
            <w:vAlign w:val="center"/>
          </w:tcPr>
          <w:p w14:paraId="2CDEA016" w14:textId="77777777" w:rsidR="00E51CDD" w:rsidRPr="00E51CDD" w:rsidRDefault="00E51CDD" w:rsidP="00E51CDD">
            <w:pPr>
              <w:widowControl w:val="0"/>
              <w:rPr>
                <w:noProof/>
                <w:sz w:val="20"/>
                <w:szCs w:val="20"/>
                <w:lang w:val="en-GB"/>
              </w:rPr>
            </w:pPr>
            <w:r w:rsidRPr="00E51CDD">
              <w:rPr>
                <w:noProof/>
                <w:sz w:val="20"/>
                <w:szCs w:val="20"/>
                <w:lang w:val="en-GB"/>
              </w:rPr>
              <w:t>3.4</w:t>
            </w:r>
          </w:p>
        </w:tc>
        <w:tc>
          <w:tcPr>
            <w:tcW w:w="1251" w:type="pct"/>
          </w:tcPr>
          <w:p w14:paraId="73B02589" w14:textId="77777777" w:rsidR="00E51CDD" w:rsidRPr="00E51CDD" w:rsidRDefault="00E51CDD" w:rsidP="00E51CDD">
            <w:pPr>
              <w:widowControl w:val="0"/>
              <w:rPr>
                <w:noProof/>
                <w:sz w:val="20"/>
                <w:szCs w:val="20"/>
                <w:lang w:val="en-GB"/>
              </w:rPr>
            </w:pPr>
            <w:r w:rsidRPr="00E51CDD">
              <w:rPr>
                <w:noProof/>
                <w:sz w:val="20"/>
                <w:szCs w:val="20"/>
                <w:lang w:val="en-GB"/>
              </w:rPr>
              <w:t>&lt; 1.2</w:t>
            </w:r>
          </w:p>
        </w:tc>
      </w:tr>
      <w:tr w:rsidR="00E51CDD" w:rsidRPr="00E51CDD" w14:paraId="03213ED9" w14:textId="77777777" w:rsidTr="009938D9">
        <w:tblPrEx>
          <w:tblLook w:val="01E0" w:firstRow="1" w:lastRow="1" w:firstColumn="1" w:lastColumn="1" w:noHBand="0" w:noVBand="0"/>
        </w:tblPrEx>
        <w:trPr>
          <w:cantSplit/>
        </w:trPr>
        <w:tc>
          <w:tcPr>
            <w:tcW w:w="1250" w:type="pct"/>
            <w:vAlign w:val="center"/>
          </w:tcPr>
          <w:p w14:paraId="69285B4F" w14:textId="77777777" w:rsidR="00E51CDD" w:rsidRPr="00E51CDD" w:rsidRDefault="00E51CDD" w:rsidP="00E51CDD">
            <w:pPr>
              <w:widowControl w:val="0"/>
              <w:rPr>
                <w:noProof/>
                <w:sz w:val="20"/>
                <w:szCs w:val="20"/>
                <w:lang w:val="en-GB"/>
              </w:rPr>
            </w:pPr>
            <w:r w:rsidRPr="00E51CDD">
              <w:rPr>
                <w:i/>
                <w:noProof/>
                <w:sz w:val="20"/>
                <w:szCs w:val="20"/>
                <w:lang w:val="en-GB"/>
              </w:rPr>
              <w:t>Aphidius rhopalosiphi</w:t>
            </w:r>
          </w:p>
        </w:tc>
        <w:tc>
          <w:tcPr>
            <w:tcW w:w="1553" w:type="pct"/>
          </w:tcPr>
          <w:p w14:paraId="4C43D93D" w14:textId="77777777" w:rsidR="00E51CDD" w:rsidRPr="00E51CDD" w:rsidRDefault="00E51CDD" w:rsidP="00E51CDD">
            <w:pPr>
              <w:widowControl w:val="0"/>
              <w:rPr>
                <w:noProof/>
                <w:sz w:val="20"/>
                <w:szCs w:val="20"/>
                <w:lang w:val="en-GB"/>
              </w:rPr>
            </w:pPr>
            <w:r w:rsidRPr="00E51CDD">
              <w:rPr>
                <w:noProof/>
                <w:sz w:val="20"/>
                <w:szCs w:val="20"/>
                <w:lang w:val="en-GB"/>
              </w:rPr>
              <w:t>&gt; 2.67</w:t>
            </w:r>
          </w:p>
        </w:tc>
        <w:tc>
          <w:tcPr>
            <w:tcW w:w="946" w:type="pct"/>
            <w:vMerge/>
            <w:vAlign w:val="center"/>
          </w:tcPr>
          <w:p w14:paraId="61F1D672" w14:textId="77777777" w:rsidR="00E51CDD" w:rsidRPr="00E51CDD" w:rsidRDefault="00E51CDD" w:rsidP="00E51CDD">
            <w:pPr>
              <w:widowControl w:val="0"/>
              <w:rPr>
                <w:noProof/>
                <w:sz w:val="20"/>
                <w:szCs w:val="20"/>
                <w:lang w:val="en-GB"/>
              </w:rPr>
            </w:pPr>
          </w:p>
        </w:tc>
        <w:tc>
          <w:tcPr>
            <w:tcW w:w="1251" w:type="pct"/>
          </w:tcPr>
          <w:p w14:paraId="15BCB2BA" w14:textId="77777777" w:rsidR="00E51CDD" w:rsidRPr="00E51CDD" w:rsidRDefault="00E51CDD" w:rsidP="00E51CDD">
            <w:pPr>
              <w:widowControl w:val="0"/>
              <w:rPr>
                <w:noProof/>
                <w:sz w:val="20"/>
                <w:szCs w:val="20"/>
                <w:lang w:val="en-GB"/>
              </w:rPr>
            </w:pPr>
            <w:r w:rsidRPr="00E51CDD">
              <w:rPr>
                <w:noProof/>
                <w:sz w:val="20"/>
                <w:szCs w:val="20"/>
                <w:lang w:val="en-GB"/>
              </w:rPr>
              <w:t>&lt; 1.3</w:t>
            </w:r>
          </w:p>
        </w:tc>
      </w:tr>
      <w:tr w:rsidR="00E51CDD" w:rsidRPr="00E51CDD" w14:paraId="0D9068B5" w14:textId="77777777" w:rsidTr="009938D9">
        <w:tblPrEx>
          <w:tblLook w:val="01E0" w:firstRow="1" w:lastRow="1" w:firstColumn="1" w:lastColumn="1" w:noHBand="0" w:noVBand="0"/>
        </w:tblPrEx>
        <w:trPr>
          <w:cantSplit/>
        </w:trPr>
        <w:tc>
          <w:tcPr>
            <w:tcW w:w="1250" w:type="pct"/>
            <w:vMerge w:val="restart"/>
            <w:vAlign w:val="center"/>
          </w:tcPr>
          <w:p w14:paraId="2D74C3EE" w14:textId="77777777" w:rsidR="00E51CDD" w:rsidRPr="00E51CDD" w:rsidRDefault="00E51CDD" w:rsidP="00E51CDD">
            <w:pPr>
              <w:widowControl w:val="0"/>
              <w:rPr>
                <w:b/>
                <w:bCs/>
                <w:i/>
                <w:sz w:val="20"/>
                <w:szCs w:val="20"/>
              </w:rPr>
            </w:pPr>
            <w:r w:rsidRPr="00E51CDD">
              <w:rPr>
                <w:b/>
                <w:bCs/>
                <w:sz w:val="20"/>
                <w:szCs w:val="20"/>
                <w:lang w:val="en-GB"/>
              </w:rPr>
              <w:t>Test species</w:t>
            </w:r>
          </w:p>
        </w:tc>
        <w:tc>
          <w:tcPr>
            <w:tcW w:w="3750" w:type="pct"/>
            <w:gridSpan w:val="3"/>
            <w:vAlign w:val="center"/>
          </w:tcPr>
          <w:p w14:paraId="738D44AC" w14:textId="77777777" w:rsidR="00E51CDD" w:rsidRPr="00E51CDD" w:rsidRDefault="00E51CDD" w:rsidP="00E51CDD">
            <w:pPr>
              <w:widowControl w:val="0"/>
              <w:rPr>
                <w:b/>
                <w:noProof/>
                <w:sz w:val="20"/>
                <w:szCs w:val="20"/>
                <w:lang w:val="en-GB"/>
              </w:rPr>
            </w:pPr>
            <w:r w:rsidRPr="00E51CDD">
              <w:rPr>
                <w:b/>
                <w:noProof/>
                <w:sz w:val="20"/>
                <w:lang w:val="en-GB"/>
              </w:rPr>
              <w:t>Higher-tier</w:t>
            </w:r>
          </w:p>
        </w:tc>
      </w:tr>
      <w:tr w:rsidR="00E51CDD" w:rsidRPr="00E51CDD" w14:paraId="1D25BB8D" w14:textId="77777777" w:rsidTr="009938D9">
        <w:trPr>
          <w:cantSplit/>
        </w:trPr>
        <w:tc>
          <w:tcPr>
            <w:tcW w:w="1250" w:type="pct"/>
            <w:vMerge/>
          </w:tcPr>
          <w:p w14:paraId="780DA2B8" w14:textId="77777777" w:rsidR="00E51CDD" w:rsidRPr="00E51CDD" w:rsidRDefault="00E51CDD" w:rsidP="00E51CDD">
            <w:pPr>
              <w:widowControl w:val="0"/>
              <w:rPr>
                <w:b/>
                <w:bCs/>
                <w:sz w:val="20"/>
                <w:szCs w:val="20"/>
                <w:lang w:val="en-GB"/>
              </w:rPr>
            </w:pPr>
          </w:p>
        </w:tc>
        <w:tc>
          <w:tcPr>
            <w:tcW w:w="1553" w:type="pct"/>
          </w:tcPr>
          <w:p w14:paraId="3E286B2C" w14:textId="77777777" w:rsidR="00E51CDD" w:rsidRPr="00E51CDD" w:rsidRDefault="00E51CDD" w:rsidP="00E51CDD">
            <w:pPr>
              <w:widowControl w:val="0"/>
              <w:rPr>
                <w:b/>
                <w:bCs/>
                <w:sz w:val="20"/>
                <w:szCs w:val="20"/>
                <w:lang w:val="en-GB"/>
              </w:rPr>
            </w:pPr>
            <w:r w:rsidRPr="00E51CDD">
              <w:rPr>
                <w:b/>
                <w:bCs/>
                <w:sz w:val="20"/>
                <w:szCs w:val="20"/>
                <w:lang w:val="en-GB"/>
              </w:rPr>
              <w:t>Endpoint</w:t>
            </w:r>
            <w:r w:rsidRPr="00E51CDD">
              <w:rPr>
                <w:b/>
                <w:bCs/>
                <w:sz w:val="20"/>
                <w:szCs w:val="20"/>
                <w:lang w:val="en-GB"/>
              </w:rPr>
              <w:br/>
              <w:t>[L/ha]</w:t>
            </w:r>
          </w:p>
        </w:tc>
        <w:tc>
          <w:tcPr>
            <w:tcW w:w="946" w:type="pct"/>
          </w:tcPr>
          <w:p w14:paraId="2FA45A6A" w14:textId="77777777" w:rsidR="00E51CDD" w:rsidRPr="00E51CDD" w:rsidRDefault="00E51CDD" w:rsidP="00E51CDD">
            <w:pPr>
              <w:widowControl w:val="0"/>
              <w:rPr>
                <w:b/>
                <w:bCs/>
                <w:sz w:val="20"/>
                <w:szCs w:val="20"/>
                <w:lang w:val="en-GB"/>
              </w:rPr>
            </w:pPr>
            <w:r w:rsidRPr="00E51CDD">
              <w:rPr>
                <w:b/>
                <w:bCs/>
                <w:sz w:val="20"/>
                <w:szCs w:val="20"/>
                <w:lang w:val="en-GB"/>
              </w:rPr>
              <w:t>PER</w:t>
            </w:r>
            <w:r w:rsidRPr="00E51CDD">
              <w:rPr>
                <w:b/>
                <w:bCs/>
                <w:sz w:val="20"/>
                <w:szCs w:val="20"/>
                <w:vertAlign w:val="subscript"/>
                <w:lang w:val="en-GB"/>
              </w:rPr>
              <w:t>in</w:t>
            </w:r>
            <w:r w:rsidRPr="00E51CDD">
              <w:rPr>
                <w:b/>
                <w:bCs/>
                <w:sz w:val="20"/>
                <w:szCs w:val="20"/>
                <w:vertAlign w:val="subscript"/>
                <w:lang w:val="en-GB"/>
              </w:rPr>
              <w:noBreakHyphen/>
              <w:t>field</w:t>
            </w:r>
            <w:r w:rsidRPr="00E51CDD">
              <w:rPr>
                <w:b/>
                <w:bCs/>
                <w:sz w:val="20"/>
                <w:szCs w:val="20"/>
                <w:vertAlign w:val="subscript"/>
                <w:lang w:val="en-GB"/>
              </w:rPr>
              <w:br/>
            </w:r>
            <w:r w:rsidRPr="00E51CDD">
              <w:rPr>
                <w:b/>
                <w:bCs/>
                <w:sz w:val="20"/>
                <w:szCs w:val="20"/>
                <w:lang w:val="en-GB"/>
              </w:rPr>
              <w:t>[L/ha]</w:t>
            </w:r>
          </w:p>
        </w:tc>
        <w:tc>
          <w:tcPr>
            <w:tcW w:w="1251" w:type="pct"/>
          </w:tcPr>
          <w:p w14:paraId="4F2D6FC5" w14:textId="77777777" w:rsidR="00E51CDD" w:rsidRPr="00E51CDD" w:rsidRDefault="00E51CDD" w:rsidP="00E51CDD">
            <w:pPr>
              <w:widowControl w:val="0"/>
              <w:rPr>
                <w:b/>
                <w:bCs/>
                <w:sz w:val="20"/>
                <w:szCs w:val="20"/>
                <w:lang w:val="en-GB"/>
              </w:rPr>
            </w:pPr>
            <w:r w:rsidRPr="00E51CDD">
              <w:rPr>
                <w:b/>
                <w:bCs/>
                <w:sz w:val="20"/>
                <w:szCs w:val="20"/>
                <w:lang w:val="en-GB"/>
              </w:rPr>
              <w:t>PER</w:t>
            </w:r>
            <w:r w:rsidRPr="00E51CDD">
              <w:rPr>
                <w:b/>
                <w:bCs/>
                <w:sz w:val="20"/>
                <w:szCs w:val="20"/>
                <w:vertAlign w:val="subscript"/>
                <w:lang w:val="en-GB"/>
              </w:rPr>
              <w:t>in-field</w:t>
            </w:r>
            <w:r w:rsidRPr="00E51CDD">
              <w:rPr>
                <w:b/>
                <w:bCs/>
                <w:sz w:val="20"/>
                <w:szCs w:val="20"/>
                <w:lang w:val="en-GB"/>
              </w:rPr>
              <w:t xml:space="preserve"> below rate with ≤ 50% effect?</w:t>
            </w:r>
          </w:p>
        </w:tc>
      </w:tr>
      <w:tr w:rsidR="00E51CDD" w:rsidRPr="00E51CDD" w14:paraId="5D61873F" w14:textId="77777777" w:rsidTr="009938D9">
        <w:trPr>
          <w:cantSplit/>
        </w:trPr>
        <w:tc>
          <w:tcPr>
            <w:tcW w:w="1250" w:type="pct"/>
          </w:tcPr>
          <w:p w14:paraId="4B98C1AD" w14:textId="77777777" w:rsidR="00E51CDD" w:rsidRPr="00E51CDD" w:rsidRDefault="00E51CDD" w:rsidP="00E51CDD">
            <w:pPr>
              <w:widowControl w:val="0"/>
              <w:rPr>
                <w:i/>
                <w:noProof/>
                <w:sz w:val="20"/>
                <w:szCs w:val="20"/>
                <w:lang w:val="en-GB"/>
              </w:rPr>
            </w:pPr>
            <w:r w:rsidRPr="00E51CDD">
              <w:rPr>
                <w:i/>
                <w:noProof/>
                <w:sz w:val="20"/>
                <w:szCs w:val="20"/>
                <w:lang w:val="en-GB"/>
              </w:rPr>
              <w:t>Typhlodromus pyri</w:t>
            </w:r>
          </w:p>
        </w:tc>
        <w:tc>
          <w:tcPr>
            <w:tcW w:w="1553" w:type="pct"/>
          </w:tcPr>
          <w:p w14:paraId="3E4ADF31" w14:textId="77777777" w:rsidR="00E51CDD" w:rsidRPr="00E51CDD" w:rsidRDefault="00E51CDD" w:rsidP="00E51CDD">
            <w:pPr>
              <w:widowControl w:val="0"/>
              <w:rPr>
                <w:noProof/>
                <w:sz w:val="20"/>
                <w:szCs w:val="20"/>
                <w:lang w:val="en-GB"/>
              </w:rPr>
            </w:pPr>
            <w:r w:rsidRPr="00E51CDD">
              <w:rPr>
                <w:noProof/>
                <w:sz w:val="20"/>
                <w:szCs w:val="20"/>
                <w:lang w:val="en-GB"/>
              </w:rPr>
              <w:t>LR</w:t>
            </w:r>
            <w:r w:rsidRPr="00E51CDD">
              <w:rPr>
                <w:noProof/>
                <w:sz w:val="20"/>
                <w:szCs w:val="20"/>
                <w:vertAlign w:val="subscript"/>
                <w:lang w:val="en-GB"/>
              </w:rPr>
              <w:t>50</w:t>
            </w:r>
            <w:r w:rsidRPr="00E51CDD">
              <w:rPr>
                <w:noProof/>
                <w:sz w:val="20"/>
                <w:szCs w:val="20"/>
                <w:lang w:val="en-GB"/>
              </w:rPr>
              <w:t xml:space="preserve"> &gt; 4.0</w:t>
            </w:r>
          </w:p>
          <w:p w14:paraId="5961305E" w14:textId="77777777" w:rsidR="00E51CDD" w:rsidRPr="00E51CDD" w:rsidRDefault="00E51CDD" w:rsidP="00E51CDD">
            <w:pPr>
              <w:widowControl w:val="0"/>
              <w:rPr>
                <w:noProof/>
                <w:sz w:val="20"/>
                <w:szCs w:val="20"/>
                <w:lang w:val="en-GB"/>
              </w:rPr>
            </w:pPr>
            <w:r w:rsidRPr="00E51CDD">
              <w:rPr>
                <w:noProof/>
                <w:sz w:val="20"/>
                <w:szCs w:val="20"/>
                <w:lang w:val="en-GB"/>
              </w:rPr>
              <w:t>ER</w:t>
            </w:r>
            <w:r w:rsidRPr="00E51CDD">
              <w:rPr>
                <w:noProof/>
                <w:sz w:val="20"/>
                <w:szCs w:val="20"/>
                <w:vertAlign w:val="subscript"/>
                <w:lang w:val="en-GB"/>
              </w:rPr>
              <w:t xml:space="preserve">50 </w:t>
            </w:r>
            <w:r w:rsidRPr="00E51CDD">
              <w:rPr>
                <w:noProof/>
                <w:sz w:val="20"/>
                <w:szCs w:val="20"/>
                <w:lang w:val="en-GB"/>
              </w:rPr>
              <w:t>&gt; 4.0</w:t>
            </w:r>
          </w:p>
        </w:tc>
        <w:tc>
          <w:tcPr>
            <w:tcW w:w="946" w:type="pct"/>
            <w:vMerge w:val="restart"/>
            <w:vAlign w:val="center"/>
          </w:tcPr>
          <w:p w14:paraId="008970A0" w14:textId="77777777" w:rsidR="00E51CDD" w:rsidRPr="00E51CDD" w:rsidRDefault="00E51CDD" w:rsidP="00E51CDD">
            <w:pPr>
              <w:widowControl w:val="0"/>
              <w:rPr>
                <w:noProof/>
                <w:sz w:val="20"/>
                <w:szCs w:val="20"/>
                <w:lang w:val="en-GB"/>
              </w:rPr>
            </w:pPr>
            <w:r w:rsidRPr="00E51CDD">
              <w:rPr>
                <w:noProof/>
                <w:sz w:val="20"/>
                <w:szCs w:val="20"/>
                <w:lang w:val="en-GB"/>
              </w:rPr>
              <w:t>3.4</w:t>
            </w:r>
          </w:p>
        </w:tc>
        <w:tc>
          <w:tcPr>
            <w:tcW w:w="1251" w:type="pct"/>
          </w:tcPr>
          <w:p w14:paraId="33B261DF" w14:textId="77777777" w:rsidR="00E51CDD" w:rsidRPr="00E51CDD" w:rsidRDefault="00E51CDD" w:rsidP="00E51CDD">
            <w:pPr>
              <w:widowControl w:val="0"/>
              <w:rPr>
                <w:noProof/>
                <w:sz w:val="20"/>
                <w:szCs w:val="20"/>
                <w:lang w:val="en-GB"/>
              </w:rPr>
            </w:pPr>
            <w:r w:rsidRPr="00E51CDD">
              <w:rPr>
                <w:noProof/>
                <w:sz w:val="20"/>
                <w:szCs w:val="20"/>
                <w:lang w:val="en-GB"/>
              </w:rPr>
              <w:t>yes</w:t>
            </w:r>
            <w:r w:rsidRPr="00E51CDD">
              <w:rPr>
                <w:noProof/>
                <w:sz w:val="20"/>
                <w:szCs w:val="20"/>
                <w:lang w:val="en-GB"/>
              </w:rPr>
              <w:br/>
              <w:t>yes</w:t>
            </w:r>
          </w:p>
        </w:tc>
      </w:tr>
      <w:tr w:rsidR="00E51CDD" w:rsidRPr="00E51CDD" w14:paraId="1E07DD62" w14:textId="77777777" w:rsidTr="009938D9">
        <w:trPr>
          <w:cantSplit/>
        </w:trPr>
        <w:tc>
          <w:tcPr>
            <w:tcW w:w="1250" w:type="pct"/>
          </w:tcPr>
          <w:p w14:paraId="018E5C10" w14:textId="77777777" w:rsidR="00E51CDD" w:rsidRPr="00E51CDD" w:rsidRDefault="00E51CDD" w:rsidP="00E51CDD">
            <w:pPr>
              <w:widowControl w:val="0"/>
              <w:rPr>
                <w:i/>
                <w:noProof/>
                <w:sz w:val="20"/>
                <w:szCs w:val="20"/>
                <w:lang w:val="en-GB"/>
              </w:rPr>
            </w:pPr>
            <w:r w:rsidRPr="00E51CDD">
              <w:rPr>
                <w:i/>
                <w:noProof/>
                <w:sz w:val="20"/>
                <w:szCs w:val="20"/>
                <w:lang w:val="en-GB"/>
              </w:rPr>
              <w:t>Aphidius rhopalosiphi</w:t>
            </w:r>
          </w:p>
        </w:tc>
        <w:tc>
          <w:tcPr>
            <w:tcW w:w="1553" w:type="pct"/>
          </w:tcPr>
          <w:p w14:paraId="4D6E7747" w14:textId="77777777" w:rsidR="00E51CDD" w:rsidRPr="00E51CDD" w:rsidRDefault="00E51CDD" w:rsidP="00E51CDD">
            <w:pPr>
              <w:widowControl w:val="0"/>
              <w:rPr>
                <w:noProof/>
                <w:sz w:val="20"/>
                <w:szCs w:val="20"/>
                <w:lang w:val="en-GB"/>
              </w:rPr>
            </w:pPr>
            <w:r w:rsidRPr="00E51CDD">
              <w:rPr>
                <w:noProof/>
                <w:sz w:val="20"/>
                <w:szCs w:val="20"/>
                <w:lang w:val="en-GB"/>
              </w:rPr>
              <w:t>LR</w:t>
            </w:r>
            <w:r w:rsidRPr="00E51CDD">
              <w:rPr>
                <w:noProof/>
                <w:sz w:val="20"/>
                <w:szCs w:val="20"/>
                <w:vertAlign w:val="subscript"/>
                <w:lang w:val="en-GB"/>
              </w:rPr>
              <w:t>50</w:t>
            </w:r>
            <w:r w:rsidRPr="00E51CDD">
              <w:rPr>
                <w:noProof/>
                <w:sz w:val="20"/>
                <w:szCs w:val="20"/>
                <w:lang w:val="en-GB"/>
              </w:rPr>
              <w:t xml:space="preserve"> &gt; 4.0</w:t>
            </w:r>
          </w:p>
          <w:p w14:paraId="21E2B1BE" w14:textId="77777777" w:rsidR="00E51CDD" w:rsidRPr="00E51CDD" w:rsidRDefault="00E51CDD" w:rsidP="00E51CDD">
            <w:pPr>
              <w:widowControl w:val="0"/>
              <w:rPr>
                <w:noProof/>
                <w:sz w:val="20"/>
                <w:szCs w:val="20"/>
              </w:rPr>
            </w:pPr>
            <w:r w:rsidRPr="00E51CDD">
              <w:rPr>
                <w:noProof/>
                <w:sz w:val="20"/>
                <w:szCs w:val="20"/>
                <w:lang w:val="en-GB"/>
              </w:rPr>
              <w:t>ER</w:t>
            </w:r>
            <w:r w:rsidRPr="00E51CDD">
              <w:rPr>
                <w:noProof/>
                <w:sz w:val="20"/>
                <w:szCs w:val="20"/>
                <w:vertAlign w:val="subscript"/>
                <w:lang w:val="en-GB"/>
              </w:rPr>
              <w:t xml:space="preserve">50 </w:t>
            </w:r>
            <w:r w:rsidRPr="00E51CDD">
              <w:rPr>
                <w:noProof/>
                <w:sz w:val="20"/>
                <w:szCs w:val="20"/>
                <w:lang w:val="en-GB"/>
              </w:rPr>
              <w:t>&gt; 4.0</w:t>
            </w:r>
          </w:p>
        </w:tc>
        <w:tc>
          <w:tcPr>
            <w:tcW w:w="946" w:type="pct"/>
            <w:vMerge/>
            <w:vAlign w:val="center"/>
          </w:tcPr>
          <w:p w14:paraId="10C987E3" w14:textId="77777777" w:rsidR="00E51CDD" w:rsidRPr="00E51CDD" w:rsidRDefault="00E51CDD" w:rsidP="00E51CDD">
            <w:pPr>
              <w:widowControl w:val="0"/>
              <w:rPr>
                <w:noProof/>
                <w:sz w:val="20"/>
                <w:szCs w:val="20"/>
                <w:lang w:val="en-GB"/>
              </w:rPr>
            </w:pPr>
          </w:p>
        </w:tc>
        <w:tc>
          <w:tcPr>
            <w:tcW w:w="1251" w:type="pct"/>
          </w:tcPr>
          <w:p w14:paraId="1E6EDC58" w14:textId="77777777" w:rsidR="00E51CDD" w:rsidRPr="00E51CDD" w:rsidRDefault="00E51CDD" w:rsidP="00E51CDD">
            <w:pPr>
              <w:widowControl w:val="0"/>
              <w:rPr>
                <w:noProof/>
                <w:sz w:val="20"/>
                <w:szCs w:val="20"/>
                <w:lang w:val="en-GB"/>
              </w:rPr>
            </w:pPr>
            <w:r w:rsidRPr="00E51CDD">
              <w:rPr>
                <w:noProof/>
                <w:sz w:val="20"/>
                <w:szCs w:val="20"/>
                <w:lang w:val="en-GB"/>
              </w:rPr>
              <w:t>yes</w:t>
            </w:r>
            <w:r w:rsidRPr="00E51CDD">
              <w:rPr>
                <w:noProof/>
                <w:sz w:val="20"/>
                <w:szCs w:val="20"/>
                <w:lang w:val="en-GB"/>
              </w:rPr>
              <w:br/>
              <w:t>yes</w:t>
            </w:r>
          </w:p>
        </w:tc>
      </w:tr>
      <w:tr w:rsidR="00E51CDD" w:rsidRPr="00E51CDD" w14:paraId="7E70871B" w14:textId="77777777" w:rsidTr="009938D9">
        <w:trPr>
          <w:cantSplit/>
        </w:trPr>
        <w:tc>
          <w:tcPr>
            <w:tcW w:w="1250" w:type="pct"/>
          </w:tcPr>
          <w:p w14:paraId="2EC4C208" w14:textId="77777777" w:rsidR="00E51CDD" w:rsidRPr="00E51CDD" w:rsidRDefault="00E51CDD" w:rsidP="00E51CDD">
            <w:pPr>
              <w:widowControl w:val="0"/>
              <w:rPr>
                <w:i/>
                <w:noProof/>
                <w:sz w:val="20"/>
                <w:szCs w:val="20"/>
                <w:lang w:val="en-GB"/>
              </w:rPr>
            </w:pPr>
            <w:r w:rsidRPr="00E51CDD">
              <w:rPr>
                <w:i/>
                <w:noProof/>
                <w:sz w:val="20"/>
                <w:szCs w:val="20"/>
                <w:lang w:val="en-GB"/>
              </w:rPr>
              <w:lastRenderedPageBreak/>
              <w:t>Chrysoperla carnea</w:t>
            </w:r>
          </w:p>
        </w:tc>
        <w:tc>
          <w:tcPr>
            <w:tcW w:w="1553" w:type="pct"/>
          </w:tcPr>
          <w:p w14:paraId="4D54870B" w14:textId="77777777" w:rsidR="00E51CDD" w:rsidRPr="00E51CDD" w:rsidRDefault="00E51CDD" w:rsidP="00E51CDD">
            <w:pPr>
              <w:widowControl w:val="0"/>
              <w:rPr>
                <w:noProof/>
                <w:sz w:val="20"/>
                <w:szCs w:val="20"/>
                <w:lang w:val="en-GB"/>
              </w:rPr>
            </w:pPr>
            <w:r w:rsidRPr="00E51CDD">
              <w:rPr>
                <w:noProof/>
                <w:sz w:val="20"/>
                <w:szCs w:val="20"/>
                <w:lang w:val="en-GB"/>
              </w:rPr>
              <w:t>LR</w:t>
            </w:r>
            <w:r w:rsidRPr="00E51CDD">
              <w:rPr>
                <w:noProof/>
                <w:sz w:val="20"/>
                <w:szCs w:val="20"/>
                <w:vertAlign w:val="subscript"/>
                <w:lang w:val="en-GB"/>
              </w:rPr>
              <w:t>50</w:t>
            </w:r>
            <w:r w:rsidRPr="00E51CDD">
              <w:rPr>
                <w:noProof/>
                <w:sz w:val="20"/>
                <w:szCs w:val="20"/>
                <w:lang w:val="en-GB"/>
              </w:rPr>
              <w:t xml:space="preserve"> &gt; 4.0</w:t>
            </w:r>
          </w:p>
          <w:p w14:paraId="3ECD9E8B" w14:textId="77777777" w:rsidR="00E51CDD" w:rsidRPr="00E51CDD" w:rsidRDefault="00E51CDD" w:rsidP="00E51CDD">
            <w:pPr>
              <w:widowControl w:val="0"/>
              <w:rPr>
                <w:noProof/>
                <w:sz w:val="20"/>
                <w:szCs w:val="20"/>
              </w:rPr>
            </w:pPr>
            <w:r w:rsidRPr="00E51CDD">
              <w:rPr>
                <w:noProof/>
                <w:sz w:val="20"/>
                <w:szCs w:val="20"/>
                <w:lang w:val="en-GB"/>
              </w:rPr>
              <w:t>ER</w:t>
            </w:r>
            <w:r w:rsidRPr="00E51CDD">
              <w:rPr>
                <w:noProof/>
                <w:sz w:val="20"/>
                <w:szCs w:val="20"/>
                <w:vertAlign w:val="subscript"/>
                <w:lang w:val="en-GB"/>
              </w:rPr>
              <w:t xml:space="preserve">50 </w:t>
            </w:r>
            <w:r w:rsidRPr="00E51CDD">
              <w:rPr>
                <w:noProof/>
                <w:sz w:val="20"/>
                <w:szCs w:val="20"/>
                <w:lang w:val="en-GB"/>
              </w:rPr>
              <w:t>&gt; 4.0</w:t>
            </w:r>
          </w:p>
        </w:tc>
        <w:tc>
          <w:tcPr>
            <w:tcW w:w="946" w:type="pct"/>
            <w:vMerge/>
          </w:tcPr>
          <w:p w14:paraId="71480366" w14:textId="77777777" w:rsidR="00E51CDD" w:rsidRPr="00E51CDD" w:rsidRDefault="00E51CDD" w:rsidP="00E51CDD">
            <w:pPr>
              <w:widowControl w:val="0"/>
              <w:rPr>
                <w:noProof/>
                <w:sz w:val="20"/>
                <w:szCs w:val="20"/>
                <w:lang w:val="en-GB"/>
              </w:rPr>
            </w:pPr>
          </w:p>
        </w:tc>
        <w:tc>
          <w:tcPr>
            <w:tcW w:w="1251" w:type="pct"/>
          </w:tcPr>
          <w:p w14:paraId="72B75624" w14:textId="77777777" w:rsidR="00E51CDD" w:rsidRPr="00E51CDD" w:rsidRDefault="00E51CDD" w:rsidP="00E51CDD">
            <w:pPr>
              <w:widowControl w:val="0"/>
              <w:rPr>
                <w:noProof/>
                <w:sz w:val="20"/>
                <w:szCs w:val="20"/>
                <w:lang w:val="en-GB"/>
              </w:rPr>
            </w:pPr>
            <w:r w:rsidRPr="00E51CDD">
              <w:rPr>
                <w:noProof/>
                <w:sz w:val="20"/>
                <w:szCs w:val="20"/>
                <w:lang w:val="en-GB"/>
              </w:rPr>
              <w:t>yes</w:t>
            </w:r>
            <w:r w:rsidRPr="00E51CDD">
              <w:rPr>
                <w:noProof/>
                <w:sz w:val="20"/>
                <w:szCs w:val="20"/>
                <w:lang w:val="en-GB"/>
              </w:rPr>
              <w:br/>
              <w:t>yes</w:t>
            </w:r>
          </w:p>
        </w:tc>
      </w:tr>
    </w:tbl>
    <w:p w14:paraId="3DFC0388" w14:textId="77D0B984" w:rsidR="00E51CDD" w:rsidRDefault="00E51CDD" w:rsidP="00E51CDD">
      <w:pPr>
        <w:widowControl w:val="0"/>
        <w:tabs>
          <w:tab w:val="left" w:pos="0"/>
        </w:tabs>
        <w:jc w:val="both"/>
        <w:rPr>
          <w:noProof/>
          <w:sz w:val="18"/>
          <w:szCs w:val="18"/>
          <w:lang w:val="en-GB"/>
        </w:rPr>
      </w:pPr>
      <w:r w:rsidRPr="00E51CDD">
        <w:rPr>
          <w:noProof/>
          <w:sz w:val="18"/>
          <w:szCs w:val="18"/>
          <w:lang w:val="en-GB"/>
        </w:rPr>
        <w:t>MAF: Multiple application factor; PER: Predicted environmental rate; HQ: Hazard quotient.</w:t>
      </w:r>
    </w:p>
    <w:p w14:paraId="1D69FBA9" w14:textId="77777777" w:rsidR="000630E1" w:rsidRPr="00E51CDD" w:rsidRDefault="000630E1" w:rsidP="00E51CDD">
      <w:pPr>
        <w:widowControl w:val="0"/>
        <w:tabs>
          <w:tab w:val="left" w:pos="0"/>
        </w:tabs>
        <w:jc w:val="both"/>
        <w:rPr>
          <w:noProof/>
          <w:sz w:val="18"/>
          <w:szCs w:val="18"/>
          <w:lang w:val="en-GB"/>
        </w:rPr>
      </w:pPr>
    </w:p>
    <w:p w14:paraId="587C2987" w14:textId="77777777" w:rsidR="00E51CDD" w:rsidRPr="00843A50" w:rsidRDefault="00E51CDD" w:rsidP="002E3CFC">
      <w:pPr>
        <w:pStyle w:val="Nagwek4"/>
        <w:rPr>
          <w:lang w:val="en-US"/>
        </w:rPr>
      </w:pPr>
      <w:bookmarkStart w:id="725" w:name="_Toc125446441"/>
      <w:r w:rsidRPr="00843A50">
        <w:rPr>
          <w:lang w:val="en-US"/>
        </w:rPr>
        <w:t>Risk assessment for off-field exposure</w:t>
      </w:r>
      <w:bookmarkEnd w:id="716"/>
      <w:bookmarkEnd w:id="717"/>
      <w:bookmarkEnd w:id="718"/>
      <w:bookmarkEnd w:id="719"/>
      <w:bookmarkEnd w:id="720"/>
      <w:bookmarkEnd w:id="721"/>
      <w:bookmarkEnd w:id="722"/>
      <w:bookmarkEnd w:id="723"/>
      <w:bookmarkEnd w:id="725"/>
    </w:p>
    <w:p w14:paraId="2E51FBD5" w14:textId="77777777" w:rsidR="00E51CDD" w:rsidRPr="00E51CDD" w:rsidRDefault="00E51CDD" w:rsidP="00E51CDD">
      <w:pPr>
        <w:widowControl w:val="0"/>
        <w:jc w:val="both"/>
      </w:pPr>
      <w:bookmarkStart w:id="726" w:name="_Toc412644016"/>
      <w:bookmarkStart w:id="727" w:name="_Toc413916860"/>
      <w:bookmarkStart w:id="728" w:name="_Toc413917002"/>
      <w:bookmarkStart w:id="729" w:name="_Toc413922063"/>
      <w:bookmarkStart w:id="730" w:name="_Toc413922552"/>
      <w:bookmarkStart w:id="731" w:name="_Toc413922656"/>
      <w:bookmarkStart w:id="732" w:name="_Toc414955293"/>
      <w:bookmarkStart w:id="733" w:name="_Toc415214600"/>
      <w:r w:rsidRPr="00E51CDD">
        <w:t>Exposure of non-target arthropods living in off-field areas to BAS 736 00 F will mainly be due to spray drift from field applications. Off-field areas are assumed to be densely vegetated and thus spray drift is unlikely to reach bare ground. Therefore, evaluation of exposure via soil residues in off-field areas was not considered. Off-field foliar PER values were calculated from in-field foliar PER values in conjunction with drift values listed in Appendix IV of the ESCORT 2 guidance document:</w:t>
      </w:r>
    </w:p>
    <w:p w14:paraId="1A36E16A" w14:textId="77777777" w:rsidR="00E51CDD" w:rsidRPr="00E51CDD" w:rsidRDefault="00E51CDD" w:rsidP="00E51CDD">
      <w:pPr>
        <w:widowControl w:val="0"/>
        <w:jc w:val="both"/>
      </w:pPr>
    </w:p>
    <w:p w14:paraId="46725A7A" w14:textId="77777777" w:rsidR="00E51CDD" w:rsidRPr="00E51CDD" w:rsidRDefault="00000000" w:rsidP="00E51CDD">
      <w:pPr>
        <w:widowControl w:val="0"/>
        <w:jc w:val="both"/>
        <w:rPr>
          <w:lang w:eastAsia="en-US"/>
        </w:rPr>
      </w:pPr>
      <m:oMathPara>
        <m:oMath>
          <m:sSub>
            <m:sSubPr>
              <m:ctrlPr>
                <w:rPr>
                  <w:rFonts w:ascii="Cambria Math" w:hAnsi="Cambria Math"/>
                  <w:i/>
                  <w:lang w:val="en-GB"/>
                </w:rPr>
              </m:ctrlPr>
            </m:sSubPr>
            <m:e>
              <m:r>
                <m:rPr>
                  <m:nor/>
                </m:rPr>
                <m:t>PER</m:t>
              </m:r>
            </m:e>
            <m:sub>
              <m:r>
                <m:rPr>
                  <m:nor/>
                </m:rPr>
                <m:t>off-field</m:t>
              </m:r>
            </m:sub>
          </m:sSub>
          <m:r>
            <w:rPr>
              <w:rFonts w:ascii="Cambria Math" w:hAnsi="Cambria Math"/>
            </w:rPr>
            <m:t xml:space="preserve">= </m:t>
          </m:r>
          <m:f>
            <m:fPr>
              <m:ctrlPr>
                <w:rPr>
                  <w:rFonts w:ascii="Cambria Math" w:hAnsi="Cambria Math"/>
                  <w:i/>
                  <w:lang w:val="en-GB"/>
                </w:rPr>
              </m:ctrlPr>
            </m:fPr>
            <m:num>
              <m:r>
                <m:rPr>
                  <m:nor/>
                </m:rPr>
                <w:rPr>
                  <w:lang w:val="en-GB"/>
                </w:rPr>
                <m:t xml:space="preserve">maximum </m:t>
              </m:r>
              <m:sSub>
                <m:sSubPr>
                  <m:ctrlPr>
                    <w:rPr>
                      <w:rFonts w:ascii="Cambria Math" w:hAnsi="Cambria Math"/>
                      <w:i/>
                      <w:lang w:val="en-GB"/>
                    </w:rPr>
                  </m:ctrlPr>
                </m:sSubPr>
                <m:e>
                  <m:r>
                    <m:rPr>
                      <m:nor/>
                    </m:rPr>
                    <m:t>PER</m:t>
                  </m:r>
                </m:e>
                <m:sub>
                  <m:r>
                    <m:rPr>
                      <m:nor/>
                    </m:rPr>
                    <m:t xml:space="preserve">in-field </m:t>
                  </m:r>
                </m:sub>
              </m:sSub>
              <m:r>
                <m:rPr>
                  <m:sty m:val="p"/>
                </m:rPr>
                <w:rPr>
                  <w:rFonts w:ascii="Cambria Math" w:hAnsi="Cambria Math"/>
                </w:rPr>
                <m:t>*</m:t>
              </m:r>
              <m:r>
                <m:rPr>
                  <m:nor/>
                </m:rPr>
                <m:t xml:space="preserve"> </m:t>
              </m:r>
              <m:d>
                <m:dPr>
                  <m:ctrlPr>
                    <w:rPr>
                      <w:rFonts w:ascii="Cambria Math" w:hAnsi="Cambria Math"/>
                      <w:i/>
                    </w:rPr>
                  </m:ctrlPr>
                </m:dPr>
                <m:e>
                  <m:r>
                    <m:rPr>
                      <m:nor/>
                    </m:rPr>
                    <m:t>% drift/100</m:t>
                  </m:r>
                </m:e>
              </m:d>
            </m:num>
            <m:den>
              <m:r>
                <m:rPr>
                  <m:nor/>
                </m:rPr>
                <w:rPr>
                  <w:lang w:val="en-GB"/>
                </w:rPr>
                <m:t>vegetation distribution factor</m:t>
              </m:r>
            </m:den>
          </m:f>
        </m:oMath>
      </m:oMathPara>
    </w:p>
    <w:p w14:paraId="2C05D24A" w14:textId="77777777" w:rsidR="00E51CDD" w:rsidRPr="00E51CDD" w:rsidRDefault="00E51CDD" w:rsidP="00E51CDD">
      <w:pPr>
        <w:widowControl w:val="0"/>
        <w:jc w:val="both"/>
      </w:pPr>
    </w:p>
    <w:p w14:paraId="76611DCC" w14:textId="2600F3ED" w:rsidR="00E51CDD" w:rsidRPr="00E51CDD" w:rsidRDefault="00E51CDD" w:rsidP="00E51CDD">
      <w:pPr>
        <w:jc w:val="both"/>
      </w:pPr>
      <w:r w:rsidRPr="00E51CDD">
        <w:t>A vegetation distribution or dilution factor is included in the equation when calculating PER values from toxicity endpoints derived from two-dimensional studies (</w:t>
      </w:r>
      <w:r w:rsidRPr="002E3CFC">
        <w:fldChar w:fldCharType="begin"/>
      </w:r>
      <w:r w:rsidRPr="002E3CFC">
        <w:instrText xml:space="preserve"> REF _Ref442340177 \h </w:instrText>
      </w:r>
      <w:r w:rsidR="002E3CFC" w:rsidRPr="002E3CFC">
        <w:instrText xml:space="preserve"> \* MERGEFORMAT </w:instrText>
      </w:r>
      <w:r w:rsidRPr="002E3CFC">
        <w:fldChar w:fldCharType="separate"/>
      </w:r>
      <w:r w:rsidR="00662F32" w:rsidRPr="00662F32">
        <w:t xml:space="preserve">Table </w:t>
      </w:r>
      <w:r w:rsidR="00662F32" w:rsidRPr="00662F32">
        <w:rPr>
          <w:noProof/>
        </w:rPr>
        <w:t>9.7</w:t>
      </w:r>
      <w:r w:rsidR="00662F32" w:rsidRPr="00662F32">
        <w:rPr>
          <w:noProof/>
        </w:rPr>
        <w:noBreakHyphen/>
        <w:t>3</w:t>
      </w:r>
      <w:r w:rsidRPr="002E3CFC">
        <w:fldChar w:fldCharType="end"/>
      </w:r>
      <w:r w:rsidRPr="00E51CDD">
        <w:t>). A dilution factor of 10 is recommended by ESCORT 2.</w:t>
      </w:r>
    </w:p>
    <w:p w14:paraId="06C10ECD" w14:textId="77777777" w:rsidR="00E51CDD" w:rsidRPr="00E51CDD" w:rsidRDefault="00E51CDD" w:rsidP="00E51CDD">
      <w:pPr>
        <w:jc w:val="both"/>
      </w:pPr>
    </w:p>
    <w:p w14:paraId="37619355" w14:textId="77777777" w:rsidR="00E51CDD" w:rsidRPr="00E51CDD" w:rsidRDefault="00E51CDD" w:rsidP="00E51CDD">
      <w:pPr>
        <w:jc w:val="both"/>
        <w:rPr>
          <w:szCs w:val="24"/>
          <w:lang w:eastAsia="en-US"/>
        </w:rPr>
      </w:pPr>
      <w:r w:rsidRPr="00E51CDD">
        <w:t>For 2 applications of BAS 736 00 F in cereals, the drift value at 1 m distance is 2.38% of the application rate (82</w:t>
      </w:r>
      <w:r w:rsidRPr="00E51CDD">
        <w:rPr>
          <w:vertAlign w:val="superscript"/>
        </w:rPr>
        <w:t>nd</w:t>
      </w:r>
      <w:r w:rsidRPr="00E51CDD">
        <w:t xml:space="preserve"> percentile drift).</w:t>
      </w:r>
      <w:r w:rsidRPr="00E51CDD">
        <w:rPr>
          <w:szCs w:val="24"/>
          <w:lang w:eastAsia="en-US"/>
        </w:rPr>
        <w:t xml:space="preserve"> The drift factor (% drift/100) is therefore 2.38/100 = 0.0238.</w:t>
      </w:r>
    </w:p>
    <w:p w14:paraId="355DFAF2" w14:textId="77777777" w:rsidR="00E51CDD" w:rsidRPr="00E51CDD" w:rsidRDefault="00E51CDD" w:rsidP="00E51CDD">
      <w:pPr>
        <w:jc w:val="both"/>
      </w:pPr>
    </w:p>
    <w:p w14:paraId="7170F24C" w14:textId="4C9DA20E" w:rsidR="00E51CDD" w:rsidRPr="00E51CDD" w:rsidRDefault="00E51CDD" w:rsidP="00E51CDD">
      <w:pPr>
        <w:rPr>
          <w:b/>
          <w:bCs/>
        </w:rPr>
      </w:pPr>
      <w:bookmarkStart w:id="734" w:name="_Ref442340177"/>
      <w:r w:rsidRPr="00E51CDD">
        <w:rPr>
          <w:b/>
          <w:bCs/>
        </w:rPr>
        <w:t xml:space="preserve">Table </w:t>
      </w:r>
      <w:r w:rsidRPr="00E51CDD">
        <w:rPr>
          <w:b/>
          <w:bCs/>
        </w:rPr>
        <w:fldChar w:fldCharType="begin"/>
      </w:r>
      <w:r w:rsidRPr="00E51CDD">
        <w:rPr>
          <w:b/>
          <w:bCs/>
        </w:rPr>
        <w:instrText xml:space="preserve"> STYLEREF 2 \s </w:instrText>
      </w:r>
      <w:r w:rsidRPr="00E51CDD">
        <w:rPr>
          <w:b/>
          <w:bCs/>
        </w:rPr>
        <w:fldChar w:fldCharType="separate"/>
      </w:r>
      <w:r w:rsidR="00662F32">
        <w:rPr>
          <w:b/>
          <w:bCs/>
          <w:noProof/>
        </w:rPr>
        <w:t>9.7</w:t>
      </w:r>
      <w:r w:rsidRPr="00E51CDD">
        <w:rPr>
          <w:b/>
          <w:bCs/>
        </w:rPr>
        <w:fldChar w:fldCharType="end"/>
      </w:r>
      <w:r w:rsidRPr="00E51CDD">
        <w:rPr>
          <w:b/>
          <w:bCs/>
        </w:rPr>
        <w:noBreakHyphen/>
      </w:r>
      <w:r w:rsidRPr="00E51CDD">
        <w:rPr>
          <w:b/>
          <w:bCs/>
        </w:rPr>
        <w:fldChar w:fldCharType="begin"/>
      </w:r>
      <w:r w:rsidRPr="00E51CDD">
        <w:rPr>
          <w:b/>
          <w:bCs/>
        </w:rPr>
        <w:instrText xml:space="preserve"> SEQ Table \* ARABIC \s 2 </w:instrText>
      </w:r>
      <w:r w:rsidRPr="00E51CDD">
        <w:rPr>
          <w:b/>
          <w:bCs/>
        </w:rPr>
        <w:fldChar w:fldCharType="separate"/>
      </w:r>
      <w:r w:rsidR="00662F32">
        <w:rPr>
          <w:b/>
          <w:bCs/>
          <w:noProof/>
        </w:rPr>
        <w:t>3</w:t>
      </w:r>
      <w:r w:rsidRPr="00E51CDD">
        <w:rPr>
          <w:b/>
          <w:bCs/>
        </w:rPr>
        <w:fldChar w:fldCharType="end"/>
      </w:r>
      <w:bookmarkEnd w:id="734"/>
      <w:r w:rsidRPr="00E51CDD">
        <w:rPr>
          <w:b/>
          <w:bCs/>
        </w:rPr>
        <w:t>:</w:t>
      </w:r>
      <w:r w:rsidRPr="00E51CDD">
        <w:rPr>
          <w:b/>
          <w:bCs/>
        </w:rPr>
        <w:tab/>
        <w:t>PER</w:t>
      </w:r>
      <w:r w:rsidRPr="00E51CDD">
        <w:rPr>
          <w:b/>
          <w:bCs/>
          <w:vertAlign w:val="subscript"/>
        </w:rPr>
        <w:t xml:space="preserve">off-field </w:t>
      </w:r>
      <w:r w:rsidRPr="00E51CDD">
        <w:rPr>
          <w:b/>
          <w:bCs/>
        </w:rPr>
        <w:t>values following application of BAS 736 00 F</w:t>
      </w:r>
    </w:p>
    <w:tbl>
      <w:tblPr>
        <w:tblW w:w="4951" w:type="pct"/>
        <w:tblInd w:w="98" w:type="dxa"/>
        <w:tblBorders>
          <w:top w:val="double" w:sz="4" w:space="0" w:color="auto"/>
          <w:left w:val="double" w:sz="4" w:space="0" w:color="auto"/>
          <w:bottom w:val="double" w:sz="4" w:space="0" w:color="auto"/>
          <w:right w:val="double" w:sz="4" w:space="0" w:color="auto"/>
          <w:insideH w:val="single" w:sz="4" w:space="0" w:color="auto"/>
          <w:insideV w:val="single" w:sz="6" w:space="0" w:color="000000"/>
        </w:tblBorders>
        <w:tblLook w:val="00A0" w:firstRow="1" w:lastRow="0" w:firstColumn="1" w:lastColumn="0" w:noHBand="0" w:noVBand="0"/>
      </w:tblPr>
      <w:tblGrid>
        <w:gridCol w:w="2014"/>
        <w:gridCol w:w="1703"/>
        <w:gridCol w:w="1703"/>
        <w:gridCol w:w="2271"/>
        <w:gridCol w:w="1562"/>
      </w:tblGrid>
      <w:tr w:rsidR="00E51CDD" w:rsidRPr="00E51CDD" w14:paraId="36ADC758" w14:textId="77777777" w:rsidTr="009938D9">
        <w:trPr>
          <w:cantSplit/>
          <w:tblHeader/>
        </w:trPr>
        <w:tc>
          <w:tcPr>
            <w:tcW w:w="1089" w:type="pct"/>
            <w:tcBorders>
              <w:top w:val="single" w:sz="4" w:space="0" w:color="auto"/>
              <w:left w:val="single" w:sz="4" w:space="0" w:color="auto"/>
              <w:bottom w:val="single" w:sz="4" w:space="0" w:color="auto"/>
            </w:tcBorders>
            <w:vAlign w:val="center"/>
          </w:tcPr>
          <w:p w14:paraId="150C4C64" w14:textId="77777777" w:rsidR="00E51CDD" w:rsidRPr="00E51CDD" w:rsidRDefault="00E51CDD" w:rsidP="00E51CDD">
            <w:pPr>
              <w:widowControl w:val="0"/>
              <w:spacing w:before="40" w:after="40"/>
              <w:rPr>
                <w:b/>
                <w:bCs/>
                <w:sz w:val="20"/>
              </w:rPr>
            </w:pPr>
            <w:r w:rsidRPr="00E51CDD">
              <w:rPr>
                <w:b/>
                <w:sz w:val="20"/>
              </w:rPr>
              <w:t>Study type</w:t>
            </w:r>
            <w:r w:rsidRPr="00E51CDD">
              <w:rPr>
                <w:b/>
                <w:sz w:val="20"/>
              </w:rPr>
              <w:br/>
              <w:t>[Exposure scenario]</w:t>
            </w:r>
          </w:p>
        </w:tc>
        <w:tc>
          <w:tcPr>
            <w:tcW w:w="920" w:type="pct"/>
            <w:tcBorders>
              <w:top w:val="single" w:sz="4" w:space="0" w:color="auto"/>
              <w:bottom w:val="single" w:sz="4" w:space="0" w:color="auto"/>
            </w:tcBorders>
            <w:vAlign w:val="center"/>
          </w:tcPr>
          <w:p w14:paraId="13DB58B2" w14:textId="77777777" w:rsidR="00E51CDD" w:rsidRPr="00E51CDD" w:rsidRDefault="00E51CDD" w:rsidP="00E51CDD">
            <w:pPr>
              <w:widowControl w:val="0"/>
              <w:spacing w:before="40" w:after="40"/>
              <w:rPr>
                <w:b/>
                <w:bCs/>
                <w:sz w:val="20"/>
              </w:rPr>
            </w:pPr>
            <w:r w:rsidRPr="00E51CDD">
              <w:rPr>
                <w:b/>
                <w:bCs/>
                <w:sz w:val="20"/>
              </w:rPr>
              <w:t>Maximum PER</w:t>
            </w:r>
            <w:r w:rsidRPr="00E51CDD">
              <w:rPr>
                <w:b/>
                <w:bCs/>
                <w:sz w:val="20"/>
                <w:vertAlign w:val="subscript"/>
              </w:rPr>
              <w:t>in-field</w:t>
            </w:r>
            <w:r w:rsidRPr="00E51CDD">
              <w:rPr>
                <w:b/>
                <w:bCs/>
                <w:sz w:val="20"/>
              </w:rPr>
              <w:br/>
              <w:t>[L/ha]</w:t>
            </w:r>
          </w:p>
        </w:tc>
        <w:tc>
          <w:tcPr>
            <w:tcW w:w="920" w:type="pct"/>
            <w:tcBorders>
              <w:top w:val="single" w:sz="4" w:space="0" w:color="auto"/>
              <w:bottom w:val="single" w:sz="4" w:space="0" w:color="auto"/>
            </w:tcBorders>
            <w:vAlign w:val="center"/>
          </w:tcPr>
          <w:p w14:paraId="60E65943" w14:textId="77777777" w:rsidR="00E51CDD" w:rsidRPr="00E51CDD" w:rsidRDefault="00E51CDD" w:rsidP="00E51CDD">
            <w:pPr>
              <w:widowControl w:val="0"/>
              <w:spacing w:before="40" w:after="40"/>
              <w:rPr>
                <w:b/>
                <w:bCs/>
                <w:sz w:val="20"/>
              </w:rPr>
            </w:pPr>
            <w:r w:rsidRPr="00E51CDD">
              <w:rPr>
                <w:b/>
                <w:bCs/>
                <w:sz w:val="20"/>
              </w:rPr>
              <w:t>Drift factor</w:t>
            </w:r>
            <w:r w:rsidRPr="00E51CDD">
              <w:rPr>
                <w:b/>
                <w:bCs/>
                <w:sz w:val="20"/>
              </w:rPr>
              <w:br/>
              <w:t>[% drift/100]</w:t>
            </w:r>
          </w:p>
        </w:tc>
        <w:tc>
          <w:tcPr>
            <w:tcW w:w="1227" w:type="pct"/>
            <w:tcBorders>
              <w:top w:val="single" w:sz="4" w:space="0" w:color="auto"/>
              <w:bottom w:val="single" w:sz="4" w:space="0" w:color="auto"/>
            </w:tcBorders>
            <w:vAlign w:val="center"/>
          </w:tcPr>
          <w:p w14:paraId="7FFB4CCE" w14:textId="77777777" w:rsidR="00E51CDD" w:rsidRPr="00E51CDD" w:rsidRDefault="00E51CDD" w:rsidP="00E51CDD">
            <w:pPr>
              <w:widowControl w:val="0"/>
              <w:spacing w:before="40" w:after="40"/>
              <w:rPr>
                <w:b/>
                <w:bCs/>
                <w:sz w:val="20"/>
              </w:rPr>
            </w:pPr>
            <w:r w:rsidRPr="00E51CDD">
              <w:rPr>
                <w:b/>
                <w:bCs/>
                <w:sz w:val="20"/>
              </w:rPr>
              <w:t>Vegetation distribution factor</w:t>
            </w:r>
          </w:p>
        </w:tc>
        <w:tc>
          <w:tcPr>
            <w:tcW w:w="844" w:type="pct"/>
            <w:tcBorders>
              <w:top w:val="single" w:sz="4" w:space="0" w:color="auto"/>
              <w:bottom w:val="single" w:sz="4" w:space="0" w:color="auto"/>
              <w:right w:val="single" w:sz="4" w:space="0" w:color="auto"/>
            </w:tcBorders>
            <w:vAlign w:val="center"/>
          </w:tcPr>
          <w:p w14:paraId="66BE897F" w14:textId="77777777" w:rsidR="00E51CDD" w:rsidRPr="00E51CDD" w:rsidRDefault="00E51CDD" w:rsidP="00E51CDD">
            <w:pPr>
              <w:widowControl w:val="0"/>
              <w:spacing w:before="40" w:after="40"/>
              <w:rPr>
                <w:b/>
                <w:bCs/>
                <w:sz w:val="20"/>
              </w:rPr>
            </w:pPr>
            <w:r w:rsidRPr="00E51CDD">
              <w:rPr>
                <w:b/>
                <w:bCs/>
                <w:sz w:val="20"/>
              </w:rPr>
              <w:t>PER</w:t>
            </w:r>
            <w:r w:rsidRPr="00E51CDD">
              <w:rPr>
                <w:b/>
                <w:bCs/>
                <w:sz w:val="20"/>
                <w:vertAlign w:val="subscript"/>
              </w:rPr>
              <w:t>off-field</w:t>
            </w:r>
            <w:r w:rsidRPr="00E51CDD">
              <w:rPr>
                <w:b/>
                <w:bCs/>
                <w:sz w:val="20"/>
              </w:rPr>
              <w:br/>
              <w:t>[L/ha]</w:t>
            </w:r>
          </w:p>
        </w:tc>
      </w:tr>
      <w:tr w:rsidR="00E51CDD" w:rsidRPr="00E51CDD" w14:paraId="455C9941" w14:textId="77777777" w:rsidTr="009938D9">
        <w:trPr>
          <w:cantSplit/>
          <w:trHeight w:val="113"/>
        </w:trPr>
        <w:tc>
          <w:tcPr>
            <w:tcW w:w="1089" w:type="pct"/>
            <w:tcBorders>
              <w:top w:val="single" w:sz="4" w:space="0" w:color="auto"/>
              <w:left w:val="single" w:sz="4" w:space="0" w:color="auto"/>
              <w:bottom w:val="dotted" w:sz="4" w:space="0" w:color="auto"/>
            </w:tcBorders>
            <w:vAlign w:val="center"/>
          </w:tcPr>
          <w:p w14:paraId="43C55EA0" w14:textId="77777777" w:rsidR="00E51CDD" w:rsidRPr="00E51CDD" w:rsidRDefault="00E51CDD" w:rsidP="00E51CDD">
            <w:pPr>
              <w:widowControl w:val="0"/>
              <w:spacing w:before="40" w:after="40"/>
              <w:rPr>
                <w:sz w:val="20"/>
              </w:rPr>
            </w:pPr>
            <w:r w:rsidRPr="00E51CDD">
              <w:rPr>
                <w:sz w:val="20"/>
              </w:rPr>
              <w:t>2D</w:t>
            </w:r>
          </w:p>
        </w:tc>
        <w:tc>
          <w:tcPr>
            <w:tcW w:w="920" w:type="pct"/>
            <w:vMerge w:val="restart"/>
            <w:tcBorders>
              <w:top w:val="single" w:sz="4" w:space="0" w:color="auto"/>
            </w:tcBorders>
            <w:vAlign w:val="center"/>
          </w:tcPr>
          <w:p w14:paraId="05CBE9EF" w14:textId="77777777" w:rsidR="00E51CDD" w:rsidRPr="00E51CDD" w:rsidRDefault="00E51CDD" w:rsidP="00E51CDD">
            <w:pPr>
              <w:widowControl w:val="0"/>
              <w:spacing w:before="40" w:after="40"/>
              <w:rPr>
                <w:sz w:val="20"/>
              </w:rPr>
            </w:pPr>
            <w:r w:rsidRPr="00E51CDD">
              <w:rPr>
                <w:sz w:val="20"/>
              </w:rPr>
              <w:t>3.4</w:t>
            </w:r>
          </w:p>
        </w:tc>
        <w:tc>
          <w:tcPr>
            <w:tcW w:w="920" w:type="pct"/>
            <w:vMerge w:val="restart"/>
            <w:tcBorders>
              <w:top w:val="single" w:sz="4" w:space="0" w:color="auto"/>
            </w:tcBorders>
            <w:vAlign w:val="center"/>
          </w:tcPr>
          <w:p w14:paraId="7ADA2613" w14:textId="77777777" w:rsidR="00E51CDD" w:rsidRPr="00E51CDD" w:rsidRDefault="00E51CDD" w:rsidP="00E51CDD">
            <w:pPr>
              <w:widowControl w:val="0"/>
              <w:spacing w:before="40" w:after="40"/>
              <w:rPr>
                <w:sz w:val="20"/>
              </w:rPr>
            </w:pPr>
            <w:r w:rsidRPr="00E51CDD">
              <w:rPr>
                <w:sz w:val="20"/>
              </w:rPr>
              <w:t>0.0238</w:t>
            </w:r>
          </w:p>
        </w:tc>
        <w:tc>
          <w:tcPr>
            <w:tcW w:w="1227" w:type="pct"/>
            <w:tcBorders>
              <w:top w:val="single" w:sz="4" w:space="0" w:color="auto"/>
              <w:bottom w:val="dotted" w:sz="4" w:space="0" w:color="auto"/>
            </w:tcBorders>
            <w:vAlign w:val="center"/>
          </w:tcPr>
          <w:p w14:paraId="1DF3A635" w14:textId="7D56AF35" w:rsidR="00E51CDD" w:rsidRPr="00E51CDD" w:rsidRDefault="00E51CDD" w:rsidP="00E51CDD">
            <w:pPr>
              <w:widowControl w:val="0"/>
              <w:spacing w:before="40" w:after="40"/>
              <w:rPr>
                <w:sz w:val="20"/>
              </w:rPr>
            </w:pPr>
            <w:r w:rsidRPr="00E51CDD">
              <w:rPr>
                <w:sz w:val="20"/>
              </w:rPr>
              <w:t>10</w:t>
            </w:r>
            <w:r w:rsidR="00447955">
              <w:rPr>
                <w:sz w:val="20"/>
              </w:rPr>
              <w:t xml:space="preserve"> </w:t>
            </w:r>
            <w:r w:rsidR="00447955" w:rsidRPr="00447955">
              <w:rPr>
                <w:sz w:val="20"/>
                <w:shd w:val="clear" w:color="auto" w:fill="D9D9D9" w:themeFill="background1" w:themeFillShade="D9"/>
              </w:rPr>
              <w:t>/ 5</w:t>
            </w:r>
          </w:p>
        </w:tc>
        <w:tc>
          <w:tcPr>
            <w:tcW w:w="844" w:type="pct"/>
            <w:tcBorders>
              <w:top w:val="single" w:sz="4" w:space="0" w:color="auto"/>
              <w:bottom w:val="dotted" w:sz="4" w:space="0" w:color="auto"/>
              <w:right w:val="single" w:sz="4" w:space="0" w:color="auto"/>
            </w:tcBorders>
            <w:vAlign w:val="center"/>
          </w:tcPr>
          <w:p w14:paraId="273C0A1C" w14:textId="64D7D3B6" w:rsidR="00E51CDD" w:rsidRPr="00E51CDD" w:rsidRDefault="00E51CDD" w:rsidP="00E51CDD">
            <w:pPr>
              <w:widowControl w:val="0"/>
              <w:spacing w:before="40" w:after="40"/>
              <w:rPr>
                <w:sz w:val="20"/>
              </w:rPr>
            </w:pPr>
            <w:r w:rsidRPr="00E51CDD">
              <w:rPr>
                <w:sz w:val="20"/>
              </w:rPr>
              <w:t>0.008</w:t>
            </w:r>
            <w:r w:rsidR="00C25DC9">
              <w:rPr>
                <w:sz w:val="20"/>
              </w:rPr>
              <w:t xml:space="preserve"> </w:t>
            </w:r>
            <w:r w:rsidR="00C25DC9" w:rsidRPr="00C20FD4">
              <w:rPr>
                <w:sz w:val="20"/>
                <w:shd w:val="clear" w:color="auto" w:fill="D9D9D9" w:themeFill="background1" w:themeFillShade="D9"/>
              </w:rPr>
              <w:t>/ 0.0</w:t>
            </w:r>
            <w:r w:rsidR="00C20FD4" w:rsidRPr="00C20FD4">
              <w:rPr>
                <w:sz w:val="20"/>
                <w:shd w:val="clear" w:color="auto" w:fill="D9D9D9" w:themeFill="background1" w:themeFillShade="D9"/>
              </w:rPr>
              <w:t>162</w:t>
            </w:r>
          </w:p>
        </w:tc>
      </w:tr>
      <w:tr w:rsidR="00E51CDD" w:rsidRPr="00E51CDD" w14:paraId="5D5D8BC1" w14:textId="77777777" w:rsidTr="009938D9">
        <w:trPr>
          <w:cantSplit/>
          <w:trHeight w:val="113"/>
        </w:trPr>
        <w:tc>
          <w:tcPr>
            <w:tcW w:w="1089" w:type="pct"/>
            <w:tcBorders>
              <w:top w:val="dotted" w:sz="4" w:space="0" w:color="auto"/>
              <w:left w:val="single" w:sz="4" w:space="0" w:color="auto"/>
              <w:bottom w:val="single" w:sz="4" w:space="0" w:color="auto"/>
            </w:tcBorders>
            <w:vAlign w:val="center"/>
          </w:tcPr>
          <w:p w14:paraId="0C703E97" w14:textId="77777777" w:rsidR="00E51CDD" w:rsidRPr="00E51CDD" w:rsidRDefault="00E51CDD" w:rsidP="00E51CDD">
            <w:pPr>
              <w:widowControl w:val="0"/>
              <w:spacing w:before="40" w:after="40"/>
              <w:rPr>
                <w:sz w:val="20"/>
              </w:rPr>
            </w:pPr>
            <w:r w:rsidRPr="00E51CDD">
              <w:rPr>
                <w:sz w:val="20"/>
              </w:rPr>
              <w:t>3D</w:t>
            </w:r>
          </w:p>
        </w:tc>
        <w:tc>
          <w:tcPr>
            <w:tcW w:w="920" w:type="pct"/>
            <w:vMerge/>
            <w:tcBorders>
              <w:bottom w:val="single" w:sz="4" w:space="0" w:color="auto"/>
            </w:tcBorders>
            <w:vAlign w:val="center"/>
          </w:tcPr>
          <w:p w14:paraId="491DD084" w14:textId="77777777" w:rsidR="00E51CDD" w:rsidRPr="00E51CDD" w:rsidRDefault="00E51CDD" w:rsidP="00E51CDD">
            <w:pPr>
              <w:widowControl w:val="0"/>
              <w:spacing w:before="40" w:after="40"/>
              <w:rPr>
                <w:sz w:val="20"/>
              </w:rPr>
            </w:pPr>
          </w:p>
        </w:tc>
        <w:tc>
          <w:tcPr>
            <w:tcW w:w="920" w:type="pct"/>
            <w:vMerge/>
            <w:tcBorders>
              <w:bottom w:val="single" w:sz="4" w:space="0" w:color="auto"/>
            </w:tcBorders>
            <w:vAlign w:val="center"/>
          </w:tcPr>
          <w:p w14:paraId="17D5317F" w14:textId="77777777" w:rsidR="00E51CDD" w:rsidRPr="00E51CDD" w:rsidRDefault="00E51CDD" w:rsidP="00E51CDD">
            <w:pPr>
              <w:widowControl w:val="0"/>
              <w:spacing w:before="40" w:after="40"/>
              <w:rPr>
                <w:sz w:val="20"/>
              </w:rPr>
            </w:pPr>
          </w:p>
        </w:tc>
        <w:tc>
          <w:tcPr>
            <w:tcW w:w="1227" w:type="pct"/>
            <w:tcBorders>
              <w:top w:val="dotted" w:sz="4" w:space="0" w:color="auto"/>
              <w:bottom w:val="single" w:sz="4" w:space="0" w:color="auto"/>
            </w:tcBorders>
            <w:vAlign w:val="center"/>
          </w:tcPr>
          <w:p w14:paraId="68D88AEF" w14:textId="77777777" w:rsidR="00E51CDD" w:rsidRPr="00E51CDD" w:rsidRDefault="00E51CDD" w:rsidP="00E51CDD">
            <w:pPr>
              <w:widowControl w:val="0"/>
              <w:spacing w:before="40" w:after="40"/>
              <w:rPr>
                <w:sz w:val="20"/>
              </w:rPr>
            </w:pPr>
            <w:r w:rsidRPr="00E51CDD">
              <w:rPr>
                <w:sz w:val="20"/>
              </w:rPr>
              <w:t>--</w:t>
            </w:r>
          </w:p>
        </w:tc>
        <w:tc>
          <w:tcPr>
            <w:tcW w:w="844" w:type="pct"/>
            <w:tcBorders>
              <w:top w:val="dotted" w:sz="4" w:space="0" w:color="auto"/>
              <w:bottom w:val="single" w:sz="4" w:space="0" w:color="auto"/>
              <w:right w:val="single" w:sz="4" w:space="0" w:color="auto"/>
            </w:tcBorders>
            <w:vAlign w:val="center"/>
          </w:tcPr>
          <w:p w14:paraId="5656DCB2" w14:textId="77777777" w:rsidR="00E51CDD" w:rsidRPr="00E51CDD" w:rsidRDefault="00E51CDD" w:rsidP="00E51CDD">
            <w:pPr>
              <w:widowControl w:val="0"/>
              <w:spacing w:before="40" w:after="40"/>
              <w:rPr>
                <w:sz w:val="20"/>
              </w:rPr>
            </w:pPr>
            <w:r w:rsidRPr="00E51CDD">
              <w:rPr>
                <w:sz w:val="20"/>
              </w:rPr>
              <w:t>0.08</w:t>
            </w:r>
          </w:p>
        </w:tc>
      </w:tr>
    </w:tbl>
    <w:p w14:paraId="68C744F3" w14:textId="77777777" w:rsidR="00E51CDD" w:rsidRPr="00E51CDD" w:rsidRDefault="00E51CDD" w:rsidP="00E51CDD"/>
    <w:p w14:paraId="3FAD1650" w14:textId="77777777" w:rsidR="00E51CDD" w:rsidRPr="00E51CDD" w:rsidRDefault="00E51CDD" w:rsidP="00E51CDD"/>
    <w:p w14:paraId="6E3DD473" w14:textId="647AE46C" w:rsidR="00E51CDD" w:rsidRPr="00E51CDD" w:rsidRDefault="00E51CDD" w:rsidP="00E51CDD">
      <w:pPr>
        <w:widowControl w:val="0"/>
        <w:jc w:val="both"/>
      </w:pPr>
      <w:r w:rsidRPr="00E51CDD">
        <w:t xml:space="preserve">To assess the potential risk of BAS 736 00 F to off-field non-target arthropods (see </w:t>
      </w:r>
      <w:r w:rsidRPr="00E51CDD">
        <w:fldChar w:fldCharType="begin"/>
      </w:r>
      <w:r w:rsidRPr="00E51CDD">
        <w:instrText xml:space="preserve"> REF _Ref5000823 \h  \* MERGEFORMAT </w:instrText>
      </w:r>
      <w:r w:rsidRPr="00E51CDD">
        <w:fldChar w:fldCharType="separate"/>
      </w:r>
      <w:r w:rsidR="00662F32" w:rsidRPr="00662F32">
        <w:t xml:space="preserve">Table </w:t>
      </w:r>
      <w:r w:rsidR="00662F32" w:rsidRPr="00662F32">
        <w:rPr>
          <w:noProof/>
        </w:rPr>
        <w:t>9.7</w:t>
      </w:r>
      <w:r w:rsidR="00662F32" w:rsidRPr="00662F32">
        <w:rPr>
          <w:noProof/>
        </w:rPr>
        <w:noBreakHyphen/>
        <w:t>4</w:t>
      </w:r>
      <w:r w:rsidRPr="00E51CDD">
        <w:fldChar w:fldCharType="end"/>
      </w:r>
      <w:r w:rsidRPr="00E51CDD">
        <w:t>), the PER</w:t>
      </w:r>
      <w:r w:rsidRPr="00E51CDD">
        <w:rPr>
          <w:vertAlign w:val="subscript"/>
        </w:rPr>
        <w:t>off-field</w:t>
      </w:r>
      <w:r w:rsidRPr="00E51CDD">
        <w:t xml:space="preserve"> (</w:t>
      </w:r>
      <w:r w:rsidRPr="00E51CDD">
        <w:fldChar w:fldCharType="begin"/>
      </w:r>
      <w:r w:rsidRPr="00E51CDD">
        <w:instrText xml:space="preserve"> REF _Ref442340177 \h  \* MERGEFORMAT </w:instrText>
      </w:r>
      <w:r w:rsidRPr="00E51CDD">
        <w:fldChar w:fldCharType="separate"/>
      </w:r>
      <w:r w:rsidR="00662F32" w:rsidRPr="00662F32">
        <w:t xml:space="preserve">Table </w:t>
      </w:r>
      <w:r w:rsidR="00662F32" w:rsidRPr="00662F32">
        <w:rPr>
          <w:noProof/>
        </w:rPr>
        <w:t>9.7</w:t>
      </w:r>
      <w:r w:rsidR="00662F32" w:rsidRPr="00662F32">
        <w:rPr>
          <w:noProof/>
        </w:rPr>
        <w:noBreakHyphen/>
        <w:t>3</w:t>
      </w:r>
      <w:r w:rsidRPr="00E51CDD">
        <w:fldChar w:fldCharType="end"/>
      </w:r>
      <w:r w:rsidRPr="00E51CDD">
        <w:t>) is compared to the toxicity endpoints of tier I standard laboratory studies according to the following equation:</w:t>
      </w:r>
    </w:p>
    <w:p w14:paraId="550C345D" w14:textId="77777777" w:rsidR="00E51CDD" w:rsidRPr="00E51CDD" w:rsidRDefault="00E51CDD" w:rsidP="00E51CDD">
      <w:pPr>
        <w:widowControl w:val="0"/>
      </w:pPr>
    </w:p>
    <w:p w14:paraId="5041C5E6" w14:textId="77777777" w:rsidR="00E51CDD" w:rsidRPr="00E51CDD" w:rsidRDefault="00E51CDD" w:rsidP="00E51CDD">
      <w:pPr>
        <w:widowControl w:val="0"/>
      </w:pPr>
    </w:p>
    <w:p w14:paraId="0651FAE6" w14:textId="77777777" w:rsidR="00E51CDD" w:rsidRPr="00E51CDD" w:rsidRDefault="00000000" w:rsidP="00E51CDD">
      <w:pPr>
        <w:widowControl w:val="0"/>
        <w:jc w:val="both"/>
        <w:rPr>
          <w:sz w:val="24"/>
        </w:rPr>
      </w:pPr>
      <m:oMathPara>
        <m:oMath>
          <m:sSub>
            <m:sSubPr>
              <m:ctrlPr>
                <w:rPr>
                  <w:rFonts w:ascii="Cambria Math" w:hAnsi="Cambria Math"/>
                  <w:i/>
                  <w:sz w:val="24"/>
                  <w:lang w:val="en-GB"/>
                </w:rPr>
              </m:ctrlPr>
            </m:sSubPr>
            <m:e>
              <m:r>
                <m:rPr>
                  <m:nor/>
                </m:rPr>
                <w:rPr>
                  <w:sz w:val="24"/>
                </w:rPr>
                <m:t>HQ</m:t>
              </m:r>
            </m:e>
            <m:sub>
              <m:r>
                <m:rPr>
                  <m:nor/>
                </m:rPr>
                <w:rPr>
                  <w:sz w:val="24"/>
                </w:rPr>
                <m:t>off-field</m:t>
              </m:r>
            </m:sub>
          </m:sSub>
          <m:r>
            <w:rPr>
              <w:rFonts w:ascii="Cambria Math" w:hAnsi="Cambria Math"/>
              <w:sz w:val="24"/>
            </w:rPr>
            <m:t xml:space="preserve">= </m:t>
          </m:r>
          <m:f>
            <m:fPr>
              <m:ctrlPr>
                <w:rPr>
                  <w:rFonts w:ascii="Cambria Math" w:hAnsi="Cambria Math"/>
                  <w:i/>
                  <w:sz w:val="24"/>
                  <w:lang w:val="en-GB"/>
                </w:rPr>
              </m:ctrlPr>
            </m:fPr>
            <m:num>
              <m:sSub>
                <m:sSubPr>
                  <m:ctrlPr>
                    <w:rPr>
                      <w:rFonts w:ascii="Cambria Math" w:hAnsi="Cambria Math"/>
                      <w:i/>
                      <w:sz w:val="24"/>
                      <w:lang w:val="en-GB"/>
                    </w:rPr>
                  </m:ctrlPr>
                </m:sSubPr>
                <m:e>
                  <m:r>
                    <m:rPr>
                      <m:nor/>
                    </m:rPr>
                    <w:rPr>
                      <w:sz w:val="24"/>
                    </w:rPr>
                    <m:t>PER</m:t>
                  </m:r>
                </m:e>
                <m:sub>
                  <m:r>
                    <m:rPr>
                      <m:nor/>
                    </m:rPr>
                    <w:rPr>
                      <w:sz w:val="24"/>
                    </w:rPr>
                    <m:t xml:space="preserve">off-field </m:t>
                  </m:r>
                </m:sub>
              </m:sSub>
              <m:r>
                <m:rPr>
                  <m:nor/>
                </m:rPr>
                <w:rPr>
                  <w:sz w:val="24"/>
                </w:rPr>
                <m:t>[L/ha]</m:t>
              </m:r>
            </m:num>
            <m:den>
              <m:sSub>
                <m:sSubPr>
                  <m:ctrlPr>
                    <w:rPr>
                      <w:rFonts w:ascii="Cambria Math" w:hAnsi="Cambria Math"/>
                      <w:i/>
                      <w:sz w:val="24"/>
                      <w:lang w:val="en-GB"/>
                    </w:rPr>
                  </m:ctrlPr>
                </m:sSubPr>
                <m:e>
                  <m:r>
                    <m:rPr>
                      <m:nor/>
                    </m:rPr>
                    <w:rPr>
                      <w:sz w:val="24"/>
                    </w:rPr>
                    <m:t>LR</m:t>
                  </m:r>
                </m:e>
                <m:sub>
                  <m:r>
                    <m:rPr>
                      <m:nor/>
                    </m:rPr>
                    <w:rPr>
                      <w:sz w:val="24"/>
                    </w:rPr>
                    <m:t xml:space="preserve">50 </m:t>
                  </m:r>
                </m:sub>
              </m:sSub>
              <m:r>
                <m:rPr>
                  <m:nor/>
                </m:rPr>
                <w:rPr>
                  <w:sz w:val="24"/>
                </w:rPr>
                <m:t>[L/ha]</m:t>
              </m:r>
            </m:den>
          </m:f>
          <m:r>
            <w:rPr>
              <w:rFonts w:ascii="Cambria Math" w:hAnsi="Cambria Math"/>
              <w:sz w:val="24"/>
              <w:lang w:val="en-GB"/>
            </w:rPr>
            <m:t>*</m:t>
          </m:r>
          <m:r>
            <m:rPr>
              <m:nor/>
            </m:rPr>
            <w:rPr>
              <w:rFonts w:ascii="Cambria Math" w:hAnsi="Cambria Math"/>
              <w:sz w:val="24"/>
              <w:lang w:val="en-GB"/>
            </w:rPr>
            <m:t xml:space="preserve"> correction factor</m:t>
          </m:r>
        </m:oMath>
      </m:oMathPara>
    </w:p>
    <w:p w14:paraId="12130414" w14:textId="77777777" w:rsidR="00E51CDD" w:rsidRPr="00E51CDD" w:rsidRDefault="00E51CDD" w:rsidP="00E51CDD">
      <w:pPr>
        <w:widowControl w:val="0"/>
        <w:jc w:val="both"/>
        <w:rPr>
          <w:lang w:val="en-GB"/>
        </w:rPr>
      </w:pPr>
    </w:p>
    <w:p w14:paraId="7E90216B" w14:textId="77777777" w:rsidR="00E51CDD" w:rsidRPr="00E51CDD" w:rsidRDefault="00E51CDD" w:rsidP="00E51CDD">
      <w:pPr>
        <w:widowControl w:val="0"/>
        <w:jc w:val="both"/>
        <w:rPr>
          <w:lang w:val="en-GB"/>
        </w:rPr>
      </w:pPr>
    </w:p>
    <w:p w14:paraId="7A5F01E0" w14:textId="77777777" w:rsidR="00E51CDD" w:rsidRPr="00E51CDD" w:rsidRDefault="00E51CDD" w:rsidP="00E51CDD">
      <w:pPr>
        <w:widowControl w:val="0"/>
        <w:jc w:val="both"/>
        <w:rPr>
          <w:lang w:val="en-GB"/>
        </w:rPr>
      </w:pPr>
      <w:r w:rsidRPr="00E51CDD">
        <w:rPr>
          <w:lang w:val="en-GB"/>
        </w:rPr>
        <w:t>For higher tier laboratory studies risk is acceptable if the PER</w:t>
      </w:r>
      <w:r w:rsidRPr="00E51CDD">
        <w:rPr>
          <w:vertAlign w:val="subscript"/>
          <w:lang w:val="en-GB"/>
        </w:rPr>
        <w:t>off-field</w:t>
      </w:r>
      <w:r w:rsidRPr="00E51CDD">
        <w:rPr>
          <w:lang w:val="en-GB"/>
        </w:rPr>
        <w:t xml:space="preserve"> is below the relevant endpoint.</w:t>
      </w:r>
    </w:p>
    <w:p w14:paraId="29D7DFE5" w14:textId="77777777" w:rsidR="00E51CDD" w:rsidRPr="00E51CDD" w:rsidRDefault="00E51CDD" w:rsidP="00E51CDD">
      <w:pPr>
        <w:widowControl w:val="0"/>
        <w:jc w:val="both"/>
        <w:rPr>
          <w:lang w:val="en-GB"/>
        </w:rPr>
      </w:pPr>
    </w:p>
    <w:p w14:paraId="59B50EDC" w14:textId="77777777" w:rsidR="00E51CDD" w:rsidRPr="00E51CDD" w:rsidRDefault="00E51CDD" w:rsidP="00E51CDD">
      <w:pPr>
        <w:widowControl w:val="0"/>
        <w:jc w:val="both"/>
        <w:rPr>
          <w:lang w:val="en-GB"/>
        </w:rPr>
      </w:pPr>
      <w:r w:rsidRPr="00E51CDD">
        <w:t>ESCORT 2 recommends a correction factor of 10 for Tier I and 5 for higher Tier data in the off-field risk assessment to account for extrapolation from testing just few representative species to the species diversity expected in off-field areas.</w:t>
      </w:r>
    </w:p>
    <w:p w14:paraId="1207F061" w14:textId="77777777" w:rsidR="00E51CDD" w:rsidRPr="00E51CDD" w:rsidRDefault="00E51CDD" w:rsidP="00E51CDD">
      <w:pPr>
        <w:widowControl w:val="0"/>
        <w:jc w:val="both"/>
        <w:rPr>
          <w:lang w:val="en-GB"/>
        </w:rPr>
      </w:pPr>
    </w:p>
    <w:p w14:paraId="559D86A3" w14:textId="77777777" w:rsidR="00E51CDD" w:rsidRPr="00E51CDD" w:rsidRDefault="00E51CDD" w:rsidP="00E51CDD">
      <w:pPr>
        <w:widowControl w:val="0"/>
        <w:jc w:val="both"/>
        <w:rPr>
          <w:lang w:val="en-GB"/>
        </w:rPr>
      </w:pPr>
      <w:r w:rsidRPr="00E51CDD">
        <w:rPr>
          <w:lang w:val="en-GB"/>
        </w:rPr>
        <w:br w:type="page"/>
      </w:r>
    </w:p>
    <w:p w14:paraId="17430D69" w14:textId="57F98257" w:rsidR="00E51CDD" w:rsidRPr="00E51CDD" w:rsidRDefault="00E51CDD" w:rsidP="00E51CDD">
      <w:pPr>
        <w:ind w:left="1560" w:hanging="1560"/>
        <w:rPr>
          <w:bCs/>
        </w:rPr>
      </w:pPr>
      <w:bookmarkStart w:id="735" w:name="_Ref5000823"/>
      <w:r w:rsidRPr="00E51CDD">
        <w:rPr>
          <w:b/>
          <w:bCs/>
        </w:rPr>
        <w:lastRenderedPageBreak/>
        <w:t xml:space="preserve">Table </w:t>
      </w:r>
      <w:r w:rsidRPr="00E51CDD">
        <w:rPr>
          <w:b/>
          <w:bCs/>
        </w:rPr>
        <w:fldChar w:fldCharType="begin"/>
      </w:r>
      <w:r w:rsidRPr="00E51CDD">
        <w:rPr>
          <w:b/>
          <w:bCs/>
        </w:rPr>
        <w:instrText xml:space="preserve"> STYLEREF 2 \s </w:instrText>
      </w:r>
      <w:r w:rsidRPr="00E51CDD">
        <w:rPr>
          <w:b/>
          <w:bCs/>
        </w:rPr>
        <w:fldChar w:fldCharType="separate"/>
      </w:r>
      <w:r w:rsidR="00662F32">
        <w:rPr>
          <w:b/>
          <w:bCs/>
          <w:noProof/>
        </w:rPr>
        <w:t>9.7</w:t>
      </w:r>
      <w:r w:rsidRPr="00E51CDD">
        <w:rPr>
          <w:b/>
          <w:bCs/>
        </w:rPr>
        <w:fldChar w:fldCharType="end"/>
      </w:r>
      <w:r w:rsidRPr="00E51CDD">
        <w:rPr>
          <w:b/>
          <w:bCs/>
        </w:rPr>
        <w:noBreakHyphen/>
      </w:r>
      <w:r w:rsidRPr="00E51CDD">
        <w:rPr>
          <w:b/>
          <w:bCs/>
        </w:rPr>
        <w:fldChar w:fldCharType="begin"/>
      </w:r>
      <w:r w:rsidRPr="00E51CDD">
        <w:rPr>
          <w:b/>
          <w:bCs/>
        </w:rPr>
        <w:instrText xml:space="preserve"> SEQ Table \* ARABIC \s 2 </w:instrText>
      </w:r>
      <w:r w:rsidRPr="00E51CDD">
        <w:rPr>
          <w:b/>
          <w:bCs/>
        </w:rPr>
        <w:fldChar w:fldCharType="separate"/>
      </w:r>
      <w:r w:rsidR="00662F32">
        <w:rPr>
          <w:b/>
          <w:bCs/>
          <w:noProof/>
        </w:rPr>
        <w:t>4</w:t>
      </w:r>
      <w:r w:rsidRPr="00E51CDD">
        <w:rPr>
          <w:b/>
          <w:bCs/>
        </w:rPr>
        <w:fldChar w:fldCharType="end"/>
      </w:r>
      <w:bookmarkEnd w:id="735"/>
      <w:r w:rsidRPr="00E51CDD">
        <w:rPr>
          <w:b/>
          <w:bCs/>
        </w:rPr>
        <w:t>:</w:t>
      </w:r>
      <w:r w:rsidRPr="00E51CDD">
        <w:rPr>
          <w:b/>
          <w:bCs/>
        </w:rPr>
        <w:tab/>
        <w:t>First- and higher-tier assessment of the off-field risk for non-target arthropods due to the use of BAS 736 00 F according to the proposed use pattern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2296"/>
        <w:gridCol w:w="1678"/>
        <w:gridCol w:w="1142"/>
        <w:gridCol w:w="1409"/>
        <w:gridCol w:w="1226"/>
        <w:gridCol w:w="1594"/>
      </w:tblGrid>
      <w:tr w:rsidR="00E51CDD" w:rsidRPr="00E51CDD" w14:paraId="6C5AC6C6" w14:textId="77777777" w:rsidTr="009938D9">
        <w:trPr>
          <w:cantSplit/>
        </w:trPr>
        <w:tc>
          <w:tcPr>
            <w:tcW w:w="1228" w:type="pct"/>
            <w:tcBorders>
              <w:bottom w:val="single" w:sz="4" w:space="0" w:color="auto"/>
            </w:tcBorders>
          </w:tcPr>
          <w:p w14:paraId="026621BB" w14:textId="77777777" w:rsidR="00E51CDD" w:rsidRPr="00E51CDD" w:rsidRDefault="00E51CDD" w:rsidP="00E51CDD">
            <w:pPr>
              <w:widowControl w:val="0"/>
              <w:rPr>
                <w:b/>
                <w:bCs/>
                <w:sz w:val="20"/>
                <w:szCs w:val="20"/>
                <w:lang w:val="en-GB"/>
              </w:rPr>
            </w:pPr>
            <w:r w:rsidRPr="00E51CDD">
              <w:rPr>
                <w:b/>
                <w:bCs/>
                <w:sz w:val="20"/>
                <w:szCs w:val="20"/>
                <w:lang w:val="en-GB"/>
              </w:rPr>
              <w:t>Intended use</w:t>
            </w:r>
          </w:p>
        </w:tc>
        <w:tc>
          <w:tcPr>
            <w:tcW w:w="3772" w:type="pct"/>
            <w:gridSpan w:val="5"/>
            <w:tcBorders>
              <w:bottom w:val="single" w:sz="4" w:space="0" w:color="auto"/>
            </w:tcBorders>
          </w:tcPr>
          <w:p w14:paraId="2328B955" w14:textId="77777777" w:rsidR="00E51CDD" w:rsidRPr="00E51CDD" w:rsidRDefault="00E51CDD" w:rsidP="00E51CDD">
            <w:pPr>
              <w:widowControl w:val="0"/>
              <w:rPr>
                <w:noProof/>
                <w:sz w:val="20"/>
                <w:lang w:val="en-GB"/>
              </w:rPr>
            </w:pPr>
            <w:r w:rsidRPr="00E51CDD">
              <w:rPr>
                <w:noProof/>
                <w:sz w:val="20"/>
                <w:lang w:val="en-GB"/>
              </w:rPr>
              <w:t>cereals</w:t>
            </w:r>
          </w:p>
        </w:tc>
      </w:tr>
      <w:tr w:rsidR="00E51CDD" w:rsidRPr="00E51CDD" w14:paraId="508A2531" w14:textId="77777777" w:rsidTr="009938D9">
        <w:trPr>
          <w:cantSplit/>
        </w:trPr>
        <w:tc>
          <w:tcPr>
            <w:tcW w:w="1228" w:type="pct"/>
            <w:tcBorders>
              <w:top w:val="single" w:sz="4" w:space="0" w:color="auto"/>
              <w:bottom w:val="single" w:sz="4" w:space="0" w:color="auto"/>
            </w:tcBorders>
          </w:tcPr>
          <w:p w14:paraId="7188830D" w14:textId="77777777" w:rsidR="00E51CDD" w:rsidRPr="00E51CDD" w:rsidRDefault="00E51CDD" w:rsidP="00E51CDD">
            <w:pPr>
              <w:widowControl w:val="0"/>
              <w:rPr>
                <w:b/>
                <w:bCs/>
                <w:sz w:val="20"/>
                <w:szCs w:val="20"/>
                <w:lang w:val="en-GB"/>
              </w:rPr>
            </w:pPr>
            <w:r w:rsidRPr="00E51CDD">
              <w:rPr>
                <w:b/>
                <w:bCs/>
                <w:sz w:val="20"/>
                <w:szCs w:val="20"/>
                <w:lang w:val="en-GB"/>
              </w:rPr>
              <w:t>Product</w:t>
            </w:r>
          </w:p>
        </w:tc>
        <w:tc>
          <w:tcPr>
            <w:tcW w:w="3772" w:type="pct"/>
            <w:gridSpan w:val="5"/>
            <w:tcBorders>
              <w:top w:val="single" w:sz="4" w:space="0" w:color="auto"/>
              <w:bottom w:val="single" w:sz="4" w:space="0" w:color="auto"/>
            </w:tcBorders>
          </w:tcPr>
          <w:p w14:paraId="1D1883EF" w14:textId="77777777" w:rsidR="00E51CDD" w:rsidRPr="00E51CDD" w:rsidRDefault="00E51CDD" w:rsidP="00E51CDD">
            <w:pPr>
              <w:widowControl w:val="0"/>
              <w:rPr>
                <w:noProof/>
                <w:sz w:val="20"/>
                <w:lang w:val="en-GB"/>
              </w:rPr>
            </w:pPr>
            <w:r w:rsidRPr="00E51CDD">
              <w:rPr>
                <w:noProof/>
                <w:sz w:val="20"/>
                <w:lang w:val="en-GB"/>
              </w:rPr>
              <w:t>BAS 736 00 F</w:t>
            </w:r>
          </w:p>
        </w:tc>
      </w:tr>
      <w:tr w:rsidR="00E51CDD" w:rsidRPr="00E51CDD" w14:paraId="1E0446DF" w14:textId="77777777" w:rsidTr="009938D9">
        <w:trPr>
          <w:cantSplit/>
        </w:trPr>
        <w:tc>
          <w:tcPr>
            <w:tcW w:w="1228" w:type="pct"/>
            <w:tcBorders>
              <w:top w:val="single" w:sz="4" w:space="0" w:color="auto"/>
              <w:bottom w:val="single" w:sz="4" w:space="0" w:color="auto"/>
            </w:tcBorders>
          </w:tcPr>
          <w:p w14:paraId="5EC19992" w14:textId="77777777" w:rsidR="00E51CDD" w:rsidRPr="00E51CDD" w:rsidRDefault="00E51CDD" w:rsidP="00E51CDD">
            <w:pPr>
              <w:widowControl w:val="0"/>
              <w:rPr>
                <w:b/>
                <w:bCs/>
                <w:sz w:val="20"/>
                <w:szCs w:val="20"/>
                <w:lang w:val="en-GB"/>
              </w:rPr>
            </w:pPr>
            <w:r w:rsidRPr="00E51CDD">
              <w:rPr>
                <w:b/>
                <w:bCs/>
                <w:sz w:val="20"/>
                <w:szCs w:val="20"/>
                <w:lang w:val="en-GB"/>
              </w:rPr>
              <w:t>Application rate (L/ha)</w:t>
            </w:r>
          </w:p>
        </w:tc>
        <w:tc>
          <w:tcPr>
            <w:tcW w:w="3772" w:type="pct"/>
            <w:gridSpan w:val="5"/>
            <w:tcBorders>
              <w:top w:val="single" w:sz="4" w:space="0" w:color="auto"/>
              <w:bottom w:val="single" w:sz="4" w:space="0" w:color="auto"/>
            </w:tcBorders>
          </w:tcPr>
          <w:p w14:paraId="442D6EE6" w14:textId="77777777" w:rsidR="00E51CDD" w:rsidRPr="00E51CDD" w:rsidRDefault="00E51CDD" w:rsidP="00E51CDD">
            <w:pPr>
              <w:widowControl w:val="0"/>
              <w:rPr>
                <w:noProof/>
                <w:sz w:val="20"/>
              </w:rPr>
            </w:pPr>
            <w:r w:rsidRPr="00E51CDD">
              <w:rPr>
                <w:noProof/>
                <w:sz w:val="20"/>
                <w:szCs w:val="20"/>
                <w:lang w:val="en-GB"/>
              </w:rPr>
              <w:t>2 x 2.0</w:t>
            </w:r>
          </w:p>
        </w:tc>
      </w:tr>
      <w:tr w:rsidR="00E51CDD" w:rsidRPr="00E51CDD" w14:paraId="41325727" w14:textId="77777777" w:rsidTr="009938D9">
        <w:trPr>
          <w:cantSplit/>
        </w:trPr>
        <w:tc>
          <w:tcPr>
            <w:tcW w:w="1228" w:type="pct"/>
            <w:tcBorders>
              <w:top w:val="single" w:sz="4" w:space="0" w:color="auto"/>
              <w:bottom w:val="single" w:sz="4" w:space="0" w:color="auto"/>
            </w:tcBorders>
          </w:tcPr>
          <w:p w14:paraId="251FA045" w14:textId="77777777" w:rsidR="00E51CDD" w:rsidRPr="00E51CDD" w:rsidRDefault="00E51CDD" w:rsidP="00E51CDD">
            <w:pPr>
              <w:widowControl w:val="0"/>
              <w:rPr>
                <w:b/>
                <w:bCs/>
                <w:sz w:val="20"/>
                <w:szCs w:val="20"/>
                <w:lang w:val="en-GB"/>
              </w:rPr>
            </w:pPr>
            <w:r w:rsidRPr="00E51CDD">
              <w:rPr>
                <w:b/>
                <w:bCs/>
                <w:sz w:val="20"/>
                <w:szCs w:val="20"/>
                <w:lang w:val="en-GB"/>
              </w:rPr>
              <w:t>MAF</w:t>
            </w:r>
          </w:p>
        </w:tc>
        <w:tc>
          <w:tcPr>
            <w:tcW w:w="3772" w:type="pct"/>
            <w:gridSpan w:val="5"/>
            <w:tcBorders>
              <w:top w:val="single" w:sz="4" w:space="0" w:color="auto"/>
              <w:bottom w:val="single" w:sz="4" w:space="0" w:color="auto"/>
            </w:tcBorders>
          </w:tcPr>
          <w:p w14:paraId="495446F1" w14:textId="77777777" w:rsidR="00E51CDD" w:rsidRPr="00E51CDD" w:rsidRDefault="00E51CDD" w:rsidP="00E51CDD">
            <w:pPr>
              <w:widowControl w:val="0"/>
              <w:rPr>
                <w:noProof/>
                <w:sz w:val="20"/>
                <w:lang w:val="en-GB"/>
              </w:rPr>
            </w:pPr>
            <w:r w:rsidRPr="00E51CDD">
              <w:rPr>
                <w:noProof/>
                <w:sz w:val="20"/>
                <w:szCs w:val="20"/>
                <w:lang w:val="en-GB"/>
              </w:rPr>
              <w:t>1.7 (vegetation)</w:t>
            </w:r>
          </w:p>
        </w:tc>
      </w:tr>
      <w:tr w:rsidR="00E51CDD" w:rsidRPr="00E51CDD" w14:paraId="4A27D007" w14:textId="77777777" w:rsidTr="009938D9">
        <w:trPr>
          <w:cantSplit/>
        </w:trPr>
        <w:tc>
          <w:tcPr>
            <w:tcW w:w="1228" w:type="pct"/>
            <w:tcBorders>
              <w:top w:val="single" w:sz="4" w:space="0" w:color="auto"/>
            </w:tcBorders>
          </w:tcPr>
          <w:p w14:paraId="43465792" w14:textId="77777777" w:rsidR="00E51CDD" w:rsidRPr="00E51CDD" w:rsidRDefault="00E51CDD" w:rsidP="00E51CDD">
            <w:pPr>
              <w:widowControl w:val="0"/>
              <w:rPr>
                <w:b/>
                <w:bCs/>
                <w:sz w:val="20"/>
                <w:szCs w:val="20"/>
                <w:lang w:val="en-GB"/>
              </w:rPr>
            </w:pPr>
            <w:r w:rsidRPr="00E51CDD">
              <w:rPr>
                <w:b/>
                <w:bCs/>
                <w:sz w:val="20"/>
                <w:szCs w:val="20"/>
                <w:lang w:val="en-GB"/>
              </w:rPr>
              <w:t>vdf</w:t>
            </w:r>
          </w:p>
        </w:tc>
        <w:tc>
          <w:tcPr>
            <w:tcW w:w="3772" w:type="pct"/>
            <w:gridSpan w:val="5"/>
            <w:tcBorders>
              <w:top w:val="single" w:sz="4" w:space="0" w:color="auto"/>
            </w:tcBorders>
          </w:tcPr>
          <w:p w14:paraId="7C9A6529" w14:textId="42D80E0C" w:rsidR="00E51CDD" w:rsidRPr="00E51CDD" w:rsidRDefault="00E51CDD" w:rsidP="00E51CDD">
            <w:pPr>
              <w:widowControl w:val="0"/>
              <w:rPr>
                <w:noProof/>
                <w:sz w:val="20"/>
                <w:lang w:val="en-GB"/>
              </w:rPr>
            </w:pPr>
            <w:r w:rsidRPr="00E51CDD">
              <w:rPr>
                <w:noProof/>
                <w:sz w:val="20"/>
                <w:szCs w:val="20"/>
                <w:lang w:val="en-GB"/>
              </w:rPr>
              <w:t>10</w:t>
            </w:r>
            <w:r w:rsidR="004F59B3">
              <w:rPr>
                <w:noProof/>
                <w:sz w:val="20"/>
                <w:szCs w:val="20"/>
                <w:lang w:val="en-GB"/>
              </w:rPr>
              <w:t xml:space="preserve"> </w:t>
            </w:r>
            <w:r w:rsidR="004F59B3" w:rsidRPr="00761328">
              <w:rPr>
                <w:noProof/>
                <w:sz w:val="20"/>
                <w:szCs w:val="20"/>
                <w:shd w:val="clear" w:color="auto" w:fill="D9D9D9" w:themeFill="background1" w:themeFillShade="D9"/>
                <w:lang w:val="en-GB"/>
              </w:rPr>
              <w:t>or 5</w:t>
            </w:r>
            <w:r w:rsidRPr="00E51CDD">
              <w:rPr>
                <w:noProof/>
                <w:sz w:val="20"/>
                <w:szCs w:val="20"/>
                <w:lang w:val="en-GB"/>
              </w:rPr>
              <w:t xml:space="preserve"> (2D exposure) / - (3D exposure)</w:t>
            </w:r>
          </w:p>
        </w:tc>
      </w:tr>
      <w:tr w:rsidR="00E51CDD" w:rsidRPr="00E51CDD" w14:paraId="5C3A6598" w14:textId="77777777" w:rsidTr="009938D9">
        <w:trPr>
          <w:cantSplit/>
        </w:trPr>
        <w:tc>
          <w:tcPr>
            <w:tcW w:w="1228" w:type="pct"/>
            <w:vMerge w:val="restart"/>
            <w:tcBorders>
              <w:top w:val="nil"/>
            </w:tcBorders>
          </w:tcPr>
          <w:p w14:paraId="74647960" w14:textId="77777777" w:rsidR="00E51CDD" w:rsidRPr="00E51CDD" w:rsidRDefault="00E51CDD" w:rsidP="00E51CDD">
            <w:pPr>
              <w:widowControl w:val="0"/>
              <w:rPr>
                <w:b/>
                <w:bCs/>
                <w:sz w:val="20"/>
                <w:szCs w:val="20"/>
                <w:lang w:val="en-GB"/>
              </w:rPr>
            </w:pPr>
            <w:r w:rsidRPr="00E51CDD">
              <w:rPr>
                <w:b/>
                <w:bCs/>
                <w:sz w:val="20"/>
                <w:szCs w:val="20"/>
                <w:lang w:val="en-GB"/>
              </w:rPr>
              <w:t>Test species</w:t>
            </w:r>
          </w:p>
        </w:tc>
        <w:tc>
          <w:tcPr>
            <w:tcW w:w="3772" w:type="pct"/>
            <w:gridSpan w:val="5"/>
            <w:tcBorders>
              <w:top w:val="single" w:sz="4" w:space="0" w:color="auto"/>
            </w:tcBorders>
          </w:tcPr>
          <w:p w14:paraId="4D915A1A" w14:textId="77777777" w:rsidR="00E51CDD" w:rsidRPr="00E51CDD" w:rsidRDefault="00E51CDD" w:rsidP="00E51CDD">
            <w:pPr>
              <w:widowControl w:val="0"/>
              <w:rPr>
                <w:b/>
                <w:noProof/>
                <w:sz w:val="20"/>
                <w:szCs w:val="20"/>
                <w:lang w:val="en-GB"/>
              </w:rPr>
            </w:pPr>
            <w:r w:rsidRPr="00E51CDD">
              <w:rPr>
                <w:b/>
                <w:noProof/>
                <w:sz w:val="20"/>
                <w:lang w:val="en-GB"/>
              </w:rPr>
              <w:t>Tier I</w:t>
            </w:r>
          </w:p>
        </w:tc>
      </w:tr>
      <w:tr w:rsidR="00E51CDD" w:rsidRPr="00E51CDD" w14:paraId="0BA39F65" w14:textId="77777777" w:rsidTr="009938D9">
        <w:tblPrEx>
          <w:tblLook w:val="01E0" w:firstRow="1" w:lastRow="1" w:firstColumn="1" w:lastColumn="1" w:noHBand="0" w:noVBand="0"/>
        </w:tblPrEx>
        <w:trPr>
          <w:cantSplit/>
        </w:trPr>
        <w:tc>
          <w:tcPr>
            <w:tcW w:w="1228" w:type="pct"/>
            <w:vMerge/>
          </w:tcPr>
          <w:p w14:paraId="4758635E" w14:textId="77777777" w:rsidR="00E51CDD" w:rsidRPr="00E51CDD" w:rsidRDefault="00E51CDD" w:rsidP="00E51CDD">
            <w:pPr>
              <w:widowControl w:val="0"/>
              <w:rPr>
                <w:b/>
                <w:bCs/>
                <w:sz w:val="20"/>
                <w:szCs w:val="20"/>
                <w:lang w:val="en-GB"/>
              </w:rPr>
            </w:pPr>
          </w:p>
        </w:tc>
        <w:tc>
          <w:tcPr>
            <w:tcW w:w="898" w:type="pct"/>
          </w:tcPr>
          <w:p w14:paraId="24E8DD40" w14:textId="77777777" w:rsidR="00E51CDD" w:rsidRPr="00E51CDD" w:rsidRDefault="00E51CDD" w:rsidP="00E51CDD">
            <w:pPr>
              <w:widowControl w:val="0"/>
              <w:rPr>
                <w:b/>
                <w:bCs/>
                <w:sz w:val="20"/>
                <w:szCs w:val="20"/>
                <w:lang w:val="en-GB"/>
              </w:rPr>
            </w:pPr>
            <w:r w:rsidRPr="00E51CDD">
              <w:rPr>
                <w:b/>
                <w:bCs/>
                <w:sz w:val="20"/>
                <w:szCs w:val="20"/>
                <w:lang w:val="en-GB"/>
              </w:rPr>
              <w:t>LR</w:t>
            </w:r>
            <w:r w:rsidRPr="00E51CDD">
              <w:rPr>
                <w:b/>
                <w:bCs/>
                <w:sz w:val="20"/>
                <w:szCs w:val="20"/>
                <w:vertAlign w:val="subscript"/>
                <w:lang w:val="en-GB"/>
              </w:rPr>
              <w:t>50</w:t>
            </w:r>
            <w:r w:rsidRPr="00E51CDD">
              <w:rPr>
                <w:b/>
                <w:bCs/>
                <w:sz w:val="20"/>
                <w:szCs w:val="20"/>
                <w:lang w:val="en-GB"/>
              </w:rPr>
              <w:t xml:space="preserve"> (lab.)</w:t>
            </w:r>
            <w:r w:rsidRPr="00E51CDD">
              <w:rPr>
                <w:b/>
                <w:bCs/>
                <w:sz w:val="20"/>
                <w:szCs w:val="20"/>
                <w:lang w:val="en-GB"/>
              </w:rPr>
              <w:br/>
              <w:t>[L/ha]</w:t>
            </w:r>
          </w:p>
        </w:tc>
        <w:tc>
          <w:tcPr>
            <w:tcW w:w="611" w:type="pct"/>
          </w:tcPr>
          <w:p w14:paraId="147C9A66" w14:textId="77777777" w:rsidR="00E51CDD" w:rsidRPr="00E51CDD" w:rsidRDefault="00E51CDD" w:rsidP="00E51CDD">
            <w:pPr>
              <w:widowControl w:val="0"/>
              <w:rPr>
                <w:b/>
                <w:bCs/>
                <w:sz w:val="20"/>
                <w:szCs w:val="20"/>
                <w:lang w:val="en-GB"/>
              </w:rPr>
            </w:pPr>
            <w:r w:rsidRPr="00E51CDD">
              <w:rPr>
                <w:b/>
                <w:bCs/>
                <w:sz w:val="20"/>
                <w:szCs w:val="20"/>
                <w:lang w:val="en-GB"/>
              </w:rPr>
              <w:t>Drift rate</w:t>
            </w:r>
            <w:r w:rsidRPr="00E51CDD">
              <w:rPr>
                <w:b/>
                <w:bCs/>
                <w:sz w:val="20"/>
                <w:szCs w:val="20"/>
                <w:lang w:val="en-GB"/>
              </w:rPr>
              <w:br/>
              <w:t>(%)</w:t>
            </w:r>
          </w:p>
        </w:tc>
        <w:tc>
          <w:tcPr>
            <w:tcW w:w="754" w:type="pct"/>
          </w:tcPr>
          <w:p w14:paraId="0B3BECBC" w14:textId="77777777" w:rsidR="00E51CDD" w:rsidRPr="00E51CDD" w:rsidRDefault="00E51CDD" w:rsidP="00E51CDD">
            <w:pPr>
              <w:widowControl w:val="0"/>
              <w:rPr>
                <w:b/>
                <w:bCs/>
                <w:sz w:val="20"/>
                <w:szCs w:val="20"/>
                <w:lang w:val="en-GB"/>
              </w:rPr>
            </w:pPr>
            <w:r w:rsidRPr="00E51CDD">
              <w:rPr>
                <w:b/>
                <w:bCs/>
                <w:sz w:val="20"/>
                <w:szCs w:val="20"/>
                <w:lang w:val="en-GB"/>
              </w:rPr>
              <w:t>PER</w:t>
            </w:r>
            <w:r w:rsidRPr="00E51CDD">
              <w:rPr>
                <w:b/>
                <w:bCs/>
                <w:sz w:val="20"/>
                <w:szCs w:val="20"/>
                <w:vertAlign w:val="subscript"/>
                <w:lang w:val="en-GB"/>
              </w:rPr>
              <w:t>off</w:t>
            </w:r>
            <w:r w:rsidRPr="00E51CDD">
              <w:rPr>
                <w:b/>
                <w:bCs/>
                <w:sz w:val="20"/>
                <w:szCs w:val="20"/>
                <w:vertAlign w:val="subscript"/>
                <w:lang w:val="en-GB"/>
              </w:rPr>
              <w:noBreakHyphen/>
              <w:t>field</w:t>
            </w:r>
            <w:r w:rsidRPr="00E51CDD">
              <w:rPr>
                <w:b/>
                <w:bCs/>
                <w:sz w:val="20"/>
                <w:szCs w:val="20"/>
                <w:vertAlign w:val="subscript"/>
                <w:lang w:val="en-GB"/>
              </w:rPr>
              <w:br/>
            </w:r>
            <w:r w:rsidRPr="00E51CDD">
              <w:rPr>
                <w:b/>
                <w:bCs/>
                <w:sz w:val="20"/>
                <w:szCs w:val="20"/>
                <w:lang w:val="en-GB"/>
              </w:rPr>
              <w:t>[L/ha]</w:t>
            </w:r>
          </w:p>
        </w:tc>
        <w:tc>
          <w:tcPr>
            <w:tcW w:w="656" w:type="pct"/>
          </w:tcPr>
          <w:p w14:paraId="14F5AC2F" w14:textId="77777777" w:rsidR="00E51CDD" w:rsidRPr="00E51CDD" w:rsidRDefault="00E51CDD" w:rsidP="00E51CDD">
            <w:pPr>
              <w:widowControl w:val="0"/>
              <w:rPr>
                <w:b/>
                <w:bCs/>
                <w:sz w:val="20"/>
                <w:szCs w:val="20"/>
                <w:lang w:val="en-GB"/>
              </w:rPr>
            </w:pPr>
            <w:r w:rsidRPr="00E51CDD">
              <w:rPr>
                <w:b/>
                <w:bCs/>
                <w:sz w:val="20"/>
                <w:szCs w:val="20"/>
                <w:lang w:val="en-GB"/>
              </w:rPr>
              <w:t>CF</w:t>
            </w:r>
          </w:p>
        </w:tc>
        <w:tc>
          <w:tcPr>
            <w:tcW w:w="853" w:type="pct"/>
          </w:tcPr>
          <w:p w14:paraId="2FDB5048" w14:textId="77777777" w:rsidR="00E51CDD" w:rsidRPr="00E51CDD" w:rsidRDefault="00E51CDD" w:rsidP="00E51CDD">
            <w:pPr>
              <w:widowControl w:val="0"/>
              <w:rPr>
                <w:b/>
                <w:bCs/>
                <w:sz w:val="20"/>
                <w:szCs w:val="20"/>
                <w:lang w:val="en-GB"/>
              </w:rPr>
            </w:pPr>
            <w:r w:rsidRPr="00E51CDD">
              <w:rPr>
                <w:b/>
                <w:bCs/>
                <w:sz w:val="20"/>
                <w:szCs w:val="20"/>
                <w:lang w:val="en-GB"/>
              </w:rPr>
              <w:t>HQ</w:t>
            </w:r>
            <w:r w:rsidRPr="00E51CDD">
              <w:rPr>
                <w:b/>
                <w:bCs/>
                <w:sz w:val="20"/>
                <w:szCs w:val="20"/>
                <w:vertAlign w:val="subscript"/>
                <w:lang w:val="en-GB"/>
              </w:rPr>
              <w:t>off-field</w:t>
            </w:r>
            <w:r w:rsidRPr="00E51CDD">
              <w:rPr>
                <w:b/>
                <w:bCs/>
                <w:sz w:val="20"/>
                <w:szCs w:val="20"/>
                <w:vertAlign w:val="subscript"/>
                <w:lang w:val="en-GB"/>
              </w:rPr>
              <w:br/>
            </w:r>
            <w:r w:rsidRPr="00E51CDD">
              <w:rPr>
                <w:b/>
                <w:bCs/>
                <w:sz w:val="20"/>
                <w:szCs w:val="20"/>
                <w:lang w:val="en-GB"/>
              </w:rPr>
              <w:t>criterion: HQ ≤ 2</w:t>
            </w:r>
          </w:p>
        </w:tc>
      </w:tr>
      <w:tr w:rsidR="00E51CDD" w:rsidRPr="00E51CDD" w14:paraId="0792E079" w14:textId="77777777" w:rsidTr="009938D9">
        <w:tblPrEx>
          <w:tblLook w:val="01E0" w:firstRow="1" w:lastRow="1" w:firstColumn="1" w:lastColumn="1" w:noHBand="0" w:noVBand="0"/>
        </w:tblPrEx>
        <w:trPr>
          <w:cantSplit/>
        </w:trPr>
        <w:tc>
          <w:tcPr>
            <w:tcW w:w="1228" w:type="pct"/>
            <w:vAlign w:val="center"/>
          </w:tcPr>
          <w:p w14:paraId="1F2692E0" w14:textId="77777777" w:rsidR="00E51CDD" w:rsidRPr="00E51CDD" w:rsidRDefault="00E51CDD" w:rsidP="00E51CDD">
            <w:pPr>
              <w:widowControl w:val="0"/>
              <w:rPr>
                <w:noProof/>
                <w:sz w:val="20"/>
                <w:lang w:val="en-GB"/>
              </w:rPr>
            </w:pPr>
            <w:r w:rsidRPr="00E51CDD">
              <w:rPr>
                <w:i/>
                <w:noProof/>
                <w:sz w:val="20"/>
                <w:szCs w:val="20"/>
                <w:lang w:val="en-GB"/>
              </w:rPr>
              <w:t>Typhlodromus pyri</w:t>
            </w:r>
          </w:p>
        </w:tc>
        <w:tc>
          <w:tcPr>
            <w:tcW w:w="898" w:type="pct"/>
          </w:tcPr>
          <w:p w14:paraId="25DD6329" w14:textId="77777777" w:rsidR="00E51CDD" w:rsidRPr="00E51CDD" w:rsidRDefault="00E51CDD" w:rsidP="00E51CDD">
            <w:pPr>
              <w:widowControl w:val="0"/>
              <w:rPr>
                <w:noProof/>
                <w:sz w:val="20"/>
                <w:szCs w:val="20"/>
                <w:lang w:val="en-GB"/>
              </w:rPr>
            </w:pPr>
            <w:r w:rsidRPr="00E51CDD">
              <w:rPr>
                <w:noProof/>
                <w:sz w:val="20"/>
                <w:szCs w:val="20"/>
                <w:lang w:val="en-GB"/>
              </w:rPr>
              <w:t>&gt; 2.75</w:t>
            </w:r>
          </w:p>
        </w:tc>
        <w:tc>
          <w:tcPr>
            <w:tcW w:w="611" w:type="pct"/>
            <w:vMerge w:val="restart"/>
            <w:vAlign w:val="center"/>
          </w:tcPr>
          <w:p w14:paraId="3931CFD2" w14:textId="77777777" w:rsidR="00E51CDD" w:rsidRPr="00E51CDD" w:rsidRDefault="00E51CDD" w:rsidP="00E51CDD">
            <w:pPr>
              <w:widowControl w:val="0"/>
              <w:rPr>
                <w:noProof/>
                <w:sz w:val="20"/>
                <w:szCs w:val="20"/>
                <w:lang w:val="en-GB"/>
              </w:rPr>
            </w:pPr>
            <w:r w:rsidRPr="00E51CDD">
              <w:rPr>
                <w:noProof/>
                <w:sz w:val="20"/>
                <w:lang w:val="en-GB"/>
              </w:rPr>
              <w:t>2.38</w:t>
            </w:r>
          </w:p>
        </w:tc>
        <w:tc>
          <w:tcPr>
            <w:tcW w:w="754" w:type="pct"/>
            <w:vMerge w:val="restart"/>
            <w:vAlign w:val="center"/>
          </w:tcPr>
          <w:p w14:paraId="46FE8068" w14:textId="77777777" w:rsidR="00E51CDD" w:rsidRPr="00E51CDD" w:rsidRDefault="00E51CDD" w:rsidP="00E51CDD">
            <w:pPr>
              <w:widowControl w:val="0"/>
              <w:rPr>
                <w:noProof/>
                <w:sz w:val="20"/>
                <w:szCs w:val="20"/>
                <w:lang w:val="en-GB"/>
              </w:rPr>
            </w:pPr>
            <w:r w:rsidRPr="00E51CDD">
              <w:rPr>
                <w:noProof/>
                <w:sz w:val="20"/>
                <w:lang w:val="en-GB"/>
              </w:rPr>
              <w:t>0.008</w:t>
            </w:r>
          </w:p>
        </w:tc>
        <w:tc>
          <w:tcPr>
            <w:tcW w:w="656" w:type="pct"/>
            <w:vMerge w:val="restart"/>
            <w:vAlign w:val="center"/>
          </w:tcPr>
          <w:p w14:paraId="2C90FCCF" w14:textId="77777777" w:rsidR="00E51CDD" w:rsidRPr="00E51CDD" w:rsidRDefault="00E51CDD" w:rsidP="00E51CDD">
            <w:pPr>
              <w:widowControl w:val="0"/>
              <w:rPr>
                <w:noProof/>
                <w:sz w:val="20"/>
                <w:lang w:val="en-GB"/>
              </w:rPr>
            </w:pPr>
            <w:r w:rsidRPr="00E51CDD">
              <w:rPr>
                <w:noProof/>
                <w:sz w:val="20"/>
                <w:szCs w:val="20"/>
                <w:lang w:val="en-GB"/>
              </w:rPr>
              <w:t>10</w:t>
            </w:r>
          </w:p>
        </w:tc>
        <w:tc>
          <w:tcPr>
            <w:tcW w:w="853" w:type="pct"/>
            <w:vAlign w:val="center"/>
          </w:tcPr>
          <w:p w14:paraId="513F61AC" w14:textId="77777777" w:rsidR="00E51CDD" w:rsidRPr="00E51CDD" w:rsidRDefault="00E51CDD" w:rsidP="00E51CDD">
            <w:pPr>
              <w:widowControl w:val="0"/>
              <w:rPr>
                <w:noProof/>
                <w:sz w:val="20"/>
                <w:lang w:val="en-GB"/>
              </w:rPr>
            </w:pPr>
            <w:r w:rsidRPr="00E51CDD">
              <w:rPr>
                <w:noProof/>
                <w:sz w:val="20"/>
                <w:lang w:val="en-GB"/>
              </w:rPr>
              <w:t>&lt; 0.03</w:t>
            </w:r>
          </w:p>
        </w:tc>
      </w:tr>
      <w:tr w:rsidR="00E51CDD" w:rsidRPr="00E51CDD" w14:paraId="105B50FD" w14:textId="77777777" w:rsidTr="009938D9">
        <w:tblPrEx>
          <w:tblLook w:val="01E0" w:firstRow="1" w:lastRow="1" w:firstColumn="1" w:lastColumn="1" w:noHBand="0" w:noVBand="0"/>
        </w:tblPrEx>
        <w:trPr>
          <w:cantSplit/>
        </w:trPr>
        <w:tc>
          <w:tcPr>
            <w:tcW w:w="1228" w:type="pct"/>
            <w:vAlign w:val="center"/>
          </w:tcPr>
          <w:p w14:paraId="28BA4565" w14:textId="77777777" w:rsidR="00E51CDD" w:rsidRPr="00E51CDD" w:rsidRDefault="00E51CDD" w:rsidP="00E51CDD">
            <w:pPr>
              <w:widowControl w:val="0"/>
              <w:rPr>
                <w:noProof/>
                <w:sz w:val="20"/>
                <w:lang w:val="en-GB"/>
              </w:rPr>
            </w:pPr>
            <w:r w:rsidRPr="00E51CDD">
              <w:rPr>
                <w:i/>
                <w:noProof/>
                <w:sz w:val="20"/>
                <w:szCs w:val="20"/>
                <w:lang w:val="en-GB"/>
              </w:rPr>
              <w:t>Aphidius rhopalosiphi</w:t>
            </w:r>
          </w:p>
        </w:tc>
        <w:tc>
          <w:tcPr>
            <w:tcW w:w="898" w:type="pct"/>
          </w:tcPr>
          <w:p w14:paraId="0D04F974" w14:textId="77777777" w:rsidR="00E51CDD" w:rsidRPr="00E51CDD" w:rsidRDefault="00E51CDD" w:rsidP="00E51CDD">
            <w:pPr>
              <w:widowControl w:val="0"/>
              <w:rPr>
                <w:noProof/>
                <w:sz w:val="20"/>
                <w:szCs w:val="20"/>
                <w:lang w:val="en-GB"/>
              </w:rPr>
            </w:pPr>
            <w:r w:rsidRPr="00E51CDD">
              <w:rPr>
                <w:noProof/>
                <w:sz w:val="20"/>
                <w:szCs w:val="20"/>
                <w:lang w:val="en-GB"/>
              </w:rPr>
              <w:t>&gt; 2.67</w:t>
            </w:r>
          </w:p>
        </w:tc>
        <w:tc>
          <w:tcPr>
            <w:tcW w:w="611" w:type="pct"/>
            <w:vMerge/>
          </w:tcPr>
          <w:p w14:paraId="12E28EBE" w14:textId="77777777" w:rsidR="00E51CDD" w:rsidRPr="00E51CDD" w:rsidRDefault="00E51CDD" w:rsidP="00E51CDD">
            <w:pPr>
              <w:widowControl w:val="0"/>
              <w:rPr>
                <w:noProof/>
                <w:sz w:val="20"/>
                <w:szCs w:val="20"/>
                <w:lang w:val="en-GB"/>
              </w:rPr>
            </w:pPr>
          </w:p>
        </w:tc>
        <w:tc>
          <w:tcPr>
            <w:tcW w:w="754" w:type="pct"/>
            <w:vMerge/>
            <w:vAlign w:val="center"/>
          </w:tcPr>
          <w:p w14:paraId="188AB9F6" w14:textId="77777777" w:rsidR="00E51CDD" w:rsidRPr="00E51CDD" w:rsidRDefault="00E51CDD" w:rsidP="00E51CDD">
            <w:pPr>
              <w:widowControl w:val="0"/>
              <w:rPr>
                <w:noProof/>
                <w:sz w:val="20"/>
                <w:szCs w:val="20"/>
                <w:lang w:val="en-GB"/>
              </w:rPr>
            </w:pPr>
          </w:p>
        </w:tc>
        <w:tc>
          <w:tcPr>
            <w:tcW w:w="656" w:type="pct"/>
            <w:vMerge/>
            <w:vAlign w:val="center"/>
          </w:tcPr>
          <w:p w14:paraId="1D0CC8EB" w14:textId="77777777" w:rsidR="00E51CDD" w:rsidRPr="00E51CDD" w:rsidRDefault="00E51CDD" w:rsidP="00E51CDD">
            <w:pPr>
              <w:widowControl w:val="0"/>
              <w:rPr>
                <w:noProof/>
                <w:sz w:val="20"/>
                <w:szCs w:val="20"/>
                <w:lang w:val="en-GB"/>
              </w:rPr>
            </w:pPr>
          </w:p>
        </w:tc>
        <w:tc>
          <w:tcPr>
            <w:tcW w:w="853" w:type="pct"/>
            <w:vAlign w:val="center"/>
          </w:tcPr>
          <w:p w14:paraId="0E849BD7" w14:textId="77777777" w:rsidR="00E51CDD" w:rsidRPr="00E51CDD" w:rsidRDefault="00E51CDD" w:rsidP="00E51CDD">
            <w:pPr>
              <w:widowControl w:val="0"/>
              <w:rPr>
                <w:noProof/>
                <w:sz w:val="20"/>
                <w:lang w:val="en-GB"/>
              </w:rPr>
            </w:pPr>
            <w:r w:rsidRPr="00E51CDD">
              <w:rPr>
                <w:noProof/>
                <w:sz w:val="20"/>
                <w:lang w:val="en-GB"/>
              </w:rPr>
              <w:t>&lt; 0.03</w:t>
            </w:r>
          </w:p>
        </w:tc>
      </w:tr>
      <w:tr w:rsidR="00E51CDD" w:rsidRPr="00E51CDD" w14:paraId="0CAA7524" w14:textId="77777777" w:rsidTr="009938D9">
        <w:tblPrEx>
          <w:tblLook w:val="01E0" w:firstRow="1" w:lastRow="1" w:firstColumn="1" w:lastColumn="1" w:noHBand="0" w:noVBand="0"/>
        </w:tblPrEx>
        <w:trPr>
          <w:cantSplit/>
        </w:trPr>
        <w:tc>
          <w:tcPr>
            <w:tcW w:w="1228" w:type="pct"/>
            <w:vMerge w:val="restart"/>
            <w:vAlign w:val="center"/>
          </w:tcPr>
          <w:p w14:paraId="1A3EB123" w14:textId="77777777" w:rsidR="00E51CDD" w:rsidRPr="00E51CDD" w:rsidRDefault="00E51CDD" w:rsidP="00E51CDD">
            <w:pPr>
              <w:widowControl w:val="0"/>
              <w:rPr>
                <w:b/>
                <w:bCs/>
                <w:i/>
                <w:sz w:val="20"/>
                <w:szCs w:val="20"/>
              </w:rPr>
            </w:pPr>
            <w:r w:rsidRPr="00E51CDD">
              <w:rPr>
                <w:b/>
                <w:bCs/>
                <w:sz w:val="20"/>
                <w:szCs w:val="20"/>
                <w:lang w:val="en-GB"/>
              </w:rPr>
              <w:t>Test species</w:t>
            </w:r>
          </w:p>
        </w:tc>
        <w:tc>
          <w:tcPr>
            <w:tcW w:w="3772" w:type="pct"/>
            <w:gridSpan w:val="5"/>
            <w:vAlign w:val="center"/>
          </w:tcPr>
          <w:p w14:paraId="721E3A2B" w14:textId="77777777" w:rsidR="00E51CDD" w:rsidRPr="00E51CDD" w:rsidRDefault="00E51CDD" w:rsidP="00E51CDD">
            <w:pPr>
              <w:widowControl w:val="0"/>
              <w:rPr>
                <w:b/>
                <w:noProof/>
                <w:sz w:val="20"/>
                <w:lang w:val="en-GB"/>
              </w:rPr>
            </w:pPr>
            <w:r w:rsidRPr="00E51CDD">
              <w:rPr>
                <w:b/>
                <w:noProof/>
                <w:sz w:val="20"/>
                <w:lang w:val="en-GB"/>
              </w:rPr>
              <w:t>Higher-tier</w:t>
            </w:r>
          </w:p>
        </w:tc>
      </w:tr>
      <w:tr w:rsidR="00E51CDD" w:rsidRPr="00E51CDD" w14:paraId="3CAEB6F4" w14:textId="77777777" w:rsidTr="009938D9">
        <w:tblPrEx>
          <w:tblLook w:val="01E0" w:firstRow="1" w:lastRow="1" w:firstColumn="1" w:lastColumn="1" w:noHBand="0" w:noVBand="0"/>
        </w:tblPrEx>
        <w:trPr>
          <w:cantSplit/>
        </w:trPr>
        <w:tc>
          <w:tcPr>
            <w:tcW w:w="1228" w:type="pct"/>
            <w:vMerge/>
          </w:tcPr>
          <w:p w14:paraId="025CA0C0" w14:textId="77777777" w:rsidR="00E51CDD" w:rsidRPr="00E51CDD" w:rsidRDefault="00E51CDD" w:rsidP="00E51CDD">
            <w:pPr>
              <w:widowControl w:val="0"/>
              <w:rPr>
                <w:b/>
                <w:bCs/>
                <w:sz w:val="20"/>
                <w:szCs w:val="20"/>
                <w:lang w:val="en-GB"/>
              </w:rPr>
            </w:pPr>
          </w:p>
        </w:tc>
        <w:tc>
          <w:tcPr>
            <w:tcW w:w="898" w:type="pct"/>
          </w:tcPr>
          <w:p w14:paraId="368FA1D8" w14:textId="77777777" w:rsidR="00E51CDD" w:rsidRPr="00E51CDD" w:rsidRDefault="00E51CDD" w:rsidP="00E51CDD">
            <w:pPr>
              <w:widowControl w:val="0"/>
              <w:rPr>
                <w:b/>
                <w:bCs/>
                <w:sz w:val="20"/>
                <w:szCs w:val="20"/>
                <w:lang w:val="en-GB"/>
              </w:rPr>
            </w:pPr>
            <w:r w:rsidRPr="00E51CDD">
              <w:rPr>
                <w:b/>
                <w:bCs/>
                <w:sz w:val="20"/>
                <w:szCs w:val="20"/>
                <w:lang w:val="en-GB"/>
              </w:rPr>
              <w:t>Endpoint</w:t>
            </w:r>
            <w:r w:rsidRPr="00E51CDD">
              <w:rPr>
                <w:b/>
                <w:bCs/>
                <w:sz w:val="20"/>
                <w:szCs w:val="20"/>
                <w:lang w:val="en-GB"/>
              </w:rPr>
              <w:br/>
              <w:t>[L/ha]</w:t>
            </w:r>
          </w:p>
        </w:tc>
        <w:tc>
          <w:tcPr>
            <w:tcW w:w="611" w:type="pct"/>
          </w:tcPr>
          <w:p w14:paraId="3F40A8DF" w14:textId="77777777" w:rsidR="00E51CDD" w:rsidRPr="00E51CDD" w:rsidRDefault="00E51CDD" w:rsidP="00E51CDD">
            <w:pPr>
              <w:widowControl w:val="0"/>
              <w:rPr>
                <w:b/>
                <w:bCs/>
                <w:sz w:val="20"/>
                <w:szCs w:val="20"/>
                <w:lang w:val="en-GB"/>
              </w:rPr>
            </w:pPr>
            <w:r w:rsidRPr="00E51CDD">
              <w:rPr>
                <w:b/>
                <w:bCs/>
                <w:sz w:val="20"/>
                <w:szCs w:val="20"/>
                <w:lang w:val="en-GB"/>
              </w:rPr>
              <w:t>Drift rate</w:t>
            </w:r>
          </w:p>
          <w:p w14:paraId="2E9B55D8" w14:textId="77777777" w:rsidR="00E51CDD" w:rsidRPr="00E51CDD" w:rsidRDefault="00E51CDD" w:rsidP="00E51CDD">
            <w:pPr>
              <w:widowControl w:val="0"/>
              <w:rPr>
                <w:b/>
                <w:bCs/>
                <w:sz w:val="20"/>
                <w:szCs w:val="20"/>
                <w:lang w:val="en-GB"/>
              </w:rPr>
            </w:pPr>
            <w:r w:rsidRPr="00E51CDD">
              <w:rPr>
                <w:b/>
                <w:bCs/>
                <w:sz w:val="20"/>
                <w:szCs w:val="20"/>
                <w:lang w:val="en-GB"/>
              </w:rPr>
              <w:t>(%)</w:t>
            </w:r>
          </w:p>
        </w:tc>
        <w:tc>
          <w:tcPr>
            <w:tcW w:w="754" w:type="pct"/>
          </w:tcPr>
          <w:p w14:paraId="1839095A" w14:textId="77777777" w:rsidR="00E51CDD" w:rsidRPr="00E51CDD" w:rsidRDefault="00E51CDD" w:rsidP="00E51CDD">
            <w:pPr>
              <w:widowControl w:val="0"/>
              <w:rPr>
                <w:b/>
                <w:bCs/>
                <w:sz w:val="20"/>
                <w:szCs w:val="20"/>
                <w:lang w:val="en-GB"/>
              </w:rPr>
            </w:pPr>
            <w:r w:rsidRPr="00E51CDD">
              <w:rPr>
                <w:b/>
                <w:bCs/>
                <w:sz w:val="20"/>
                <w:szCs w:val="20"/>
                <w:lang w:val="en-GB"/>
              </w:rPr>
              <w:t>PER</w:t>
            </w:r>
            <w:r w:rsidRPr="00E51CDD">
              <w:rPr>
                <w:b/>
                <w:bCs/>
                <w:sz w:val="20"/>
                <w:szCs w:val="20"/>
                <w:vertAlign w:val="subscript"/>
                <w:lang w:val="en-GB"/>
              </w:rPr>
              <w:t>off</w:t>
            </w:r>
            <w:r w:rsidRPr="00E51CDD">
              <w:rPr>
                <w:b/>
                <w:bCs/>
                <w:sz w:val="20"/>
                <w:szCs w:val="20"/>
                <w:vertAlign w:val="subscript"/>
                <w:lang w:val="en-GB"/>
              </w:rPr>
              <w:noBreakHyphen/>
              <w:t>field</w:t>
            </w:r>
            <w:r w:rsidRPr="00E51CDD">
              <w:rPr>
                <w:b/>
                <w:bCs/>
                <w:sz w:val="20"/>
                <w:szCs w:val="20"/>
                <w:vertAlign w:val="subscript"/>
                <w:lang w:val="en-GB"/>
              </w:rPr>
              <w:br/>
            </w:r>
            <w:r w:rsidRPr="00E51CDD">
              <w:rPr>
                <w:b/>
                <w:bCs/>
                <w:sz w:val="20"/>
                <w:szCs w:val="20"/>
                <w:lang w:val="en-GB"/>
              </w:rPr>
              <w:t>[L/ha]</w:t>
            </w:r>
          </w:p>
        </w:tc>
        <w:tc>
          <w:tcPr>
            <w:tcW w:w="656" w:type="pct"/>
          </w:tcPr>
          <w:p w14:paraId="5F2878EA" w14:textId="77777777" w:rsidR="00E51CDD" w:rsidRPr="00E51CDD" w:rsidRDefault="00E51CDD" w:rsidP="00E51CDD">
            <w:pPr>
              <w:widowControl w:val="0"/>
              <w:rPr>
                <w:b/>
                <w:bCs/>
                <w:sz w:val="20"/>
                <w:szCs w:val="20"/>
                <w:lang w:val="en-GB"/>
              </w:rPr>
            </w:pPr>
            <w:r w:rsidRPr="00E51CDD">
              <w:rPr>
                <w:b/>
                <w:bCs/>
                <w:sz w:val="20"/>
                <w:szCs w:val="20"/>
                <w:lang w:val="en-GB"/>
              </w:rPr>
              <w:t>CF</w:t>
            </w:r>
            <w:r w:rsidRPr="00E51CDD">
              <w:rPr>
                <w:b/>
                <w:bCs/>
                <w:sz w:val="20"/>
                <w:szCs w:val="20"/>
                <w:vertAlign w:val="superscript"/>
              </w:rPr>
              <w:t xml:space="preserve"> 1)</w:t>
            </w:r>
          </w:p>
        </w:tc>
        <w:tc>
          <w:tcPr>
            <w:tcW w:w="853" w:type="pct"/>
          </w:tcPr>
          <w:p w14:paraId="2EB3A431" w14:textId="77777777" w:rsidR="00E51CDD" w:rsidRPr="00E51CDD" w:rsidRDefault="00E51CDD" w:rsidP="00E51CDD">
            <w:pPr>
              <w:widowControl w:val="0"/>
              <w:rPr>
                <w:b/>
                <w:bCs/>
                <w:sz w:val="20"/>
                <w:szCs w:val="20"/>
                <w:lang w:val="en-GB"/>
              </w:rPr>
            </w:pPr>
            <w:r w:rsidRPr="00E51CDD">
              <w:rPr>
                <w:b/>
                <w:bCs/>
                <w:sz w:val="20"/>
                <w:szCs w:val="20"/>
                <w:lang w:val="en-GB"/>
              </w:rPr>
              <w:t>corr. PER</w:t>
            </w:r>
            <w:r w:rsidRPr="00E51CDD">
              <w:rPr>
                <w:b/>
                <w:bCs/>
                <w:sz w:val="20"/>
                <w:szCs w:val="20"/>
                <w:vertAlign w:val="subscript"/>
                <w:lang w:val="en-GB"/>
              </w:rPr>
              <w:t>off-field</w:t>
            </w:r>
            <w:r w:rsidRPr="00E51CDD">
              <w:rPr>
                <w:b/>
                <w:bCs/>
                <w:sz w:val="20"/>
                <w:szCs w:val="20"/>
                <w:lang w:val="en-GB"/>
              </w:rPr>
              <w:t xml:space="preserve"> below rate with ≤ 50% effect?</w:t>
            </w:r>
          </w:p>
        </w:tc>
      </w:tr>
      <w:tr w:rsidR="00E51CDD" w:rsidRPr="00E51CDD" w14:paraId="4BD81277" w14:textId="77777777" w:rsidTr="009938D9">
        <w:tblPrEx>
          <w:tblLook w:val="01E0" w:firstRow="1" w:lastRow="1" w:firstColumn="1" w:lastColumn="1" w:noHBand="0" w:noVBand="0"/>
        </w:tblPrEx>
        <w:trPr>
          <w:cantSplit/>
        </w:trPr>
        <w:tc>
          <w:tcPr>
            <w:tcW w:w="1228" w:type="pct"/>
          </w:tcPr>
          <w:p w14:paraId="15AD8F9A" w14:textId="77777777" w:rsidR="00E51CDD" w:rsidRPr="00E51CDD" w:rsidRDefault="00E51CDD" w:rsidP="00E51CDD">
            <w:pPr>
              <w:widowControl w:val="0"/>
              <w:rPr>
                <w:i/>
                <w:noProof/>
                <w:sz w:val="20"/>
                <w:lang w:val="en-GB"/>
              </w:rPr>
            </w:pPr>
            <w:r w:rsidRPr="00E51CDD">
              <w:rPr>
                <w:i/>
                <w:noProof/>
                <w:sz w:val="20"/>
                <w:lang w:val="en-GB"/>
              </w:rPr>
              <w:t>Typhlodromus pyri</w:t>
            </w:r>
          </w:p>
        </w:tc>
        <w:tc>
          <w:tcPr>
            <w:tcW w:w="898" w:type="pct"/>
          </w:tcPr>
          <w:p w14:paraId="3E6ABC12" w14:textId="77777777" w:rsidR="00E51CDD" w:rsidRPr="00E51CDD" w:rsidRDefault="00E51CDD" w:rsidP="00E51CDD">
            <w:pPr>
              <w:widowControl w:val="0"/>
              <w:rPr>
                <w:noProof/>
                <w:sz w:val="20"/>
                <w:szCs w:val="20"/>
                <w:lang w:val="en-GB"/>
              </w:rPr>
            </w:pPr>
            <w:r w:rsidRPr="00E51CDD">
              <w:rPr>
                <w:noProof/>
                <w:sz w:val="20"/>
                <w:szCs w:val="20"/>
                <w:lang w:val="en-GB"/>
              </w:rPr>
              <w:t>LR</w:t>
            </w:r>
            <w:r w:rsidRPr="00E51CDD">
              <w:rPr>
                <w:noProof/>
                <w:sz w:val="20"/>
                <w:szCs w:val="20"/>
                <w:vertAlign w:val="subscript"/>
                <w:lang w:val="en-GB"/>
              </w:rPr>
              <w:t>50</w:t>
            </w:r>
            <w:r w:rsidRPr="00E51CDD">
              <w:rPr>
                <w:noProof/>
                <w:sz w:val="20"/>
                <w:szCs w:val="20"/>
                <w:lang w:val="en-GB"/>
              </w:rPr>
              <w:t xml:space="preserve"> &gt; 4.0</w:t>
            </w:r>
          </w:p>
          <w:p w14:paraId="1FBDD010" w14:textId="77777777" w:rsidR="00E51CDD" w:rsidRPr="00E51CDD" w:rsidRDefault="00E51CDD" w:rsidP="00E51CDD">
            <w:pPr>
              <w:widowControl w:val="0"/>
              <w:rPr>
                <w:noProof/>
                <w:sz w:val="20"/>
                <w:szCs w:val="20"/>
                <w:lang w:val="en-GB"/>
              </w:rPr>
            </w:pPr>
            <w:r w:rsidRPr="00E51CDD">
              <w:rPr>
                <w:noProof/>
                <w:sz w:val="20"/>
                <w:szCs w:val="20"/>
                <w:lang w:val="en-GB"/>
              </w:rPr>
              <w:t>ER</w:t>
            </w:r>
            <w:r w:rsidRPr="00E51CDD">
              <w:rPr>
                <w:noProof/>
                <w:sz w:val="20"/>
                <w:szCs w:val="20"/>
                <w:vertAlign w:val="subscript"/>
                <w:lang w:val="en-GB"/>
              </w:rPr>
              <w:t xml:space="preserve">50 </w:t>
            </w:r>
            <w:r w:rsidRPr="00E51CDD">
              <w:rPr>
                <w:noProof/>
                <w:sz w:val="20"/>
                <w:szCs w:val="20"/>
                <w:lang w:val="en-GB"/>
              </w:rPr>
              <w:t>&gt; 4.0</w:t>
            </w:r>
          </w:p>
        </w:tc>
        <w:tc>
          <w:tcPr>
            <w:tcW w:w="611" w:type="pct"/>
            <w:vMerge w:val="restart"/>
            <w:vAlign w:val="center"/>
          </w:tcPr>
          <w:p w14:paraId="4FE3C144" w14:textId="77777777" w:rsidR="00E51CDD" w:rsidRPr="00E51CDD" w:rsidRDefault="00E51CDD" w:rsidP="00E51CDD">
            <w:pPr>
              <w:widowControl w:val="0"/>
              <w:rPr>
                <w:noProof/>
                <w:sz w:val="20"/>
                <w:szCs w:val="20"/>
                <w:lang w:val="en-GB"/>
              </w:rPr>
            </w:pPr>
            <w:r w:rsidRPr="00E51CDD">
              <w:rPr>
                <w:noProof/>
                <w:sz w:val="20"/>
                <w:lang w:val="en-GB"/>
              </w:rPr>
              <w:t>2.38</w:t>
            </w:r>
          </w:p>
        </w:tc>
        <w:tc>
          <w:tcPr>
            <w:tcW w:w="754" w:type="pct"/>
            <w:vMerge w:val="restart"/>
            <w:vAlign w:val="center"/>
          </w:tcPr>
          <w:p w14:paraId="6F7A242B" w14:textId="175BC396" w:rsidR="00E51CDD" w:rsidRPr="00E51CDD" w:rsidRDefault="00E51CDD" w:rsidP="00E51CDD">
            <w:pPr>
              <w:widowControl w:val="0"/>
              <w:rPr>
                <w:noProof/>
                <w:sz w:val="20"/>
                <w:szCs w:val="20"/>
                <w:lang w:val="en-GB"/>
              </w:rPr>
            </w:pPr>
            <w:r w:rsidRPr="00E51CDD">
              <w:rPr>
                <w:noProof/>
                <w:sz w:val="20"/>
                <w:lang w:val="en-GB"/>
              </w:rPr>
              <w:t>0.008</w:t>
            </w:r>
            <w:r w:rsidR="00163759" w:rsidRPr="00C20FD4">
              <w:rPr>
                <w:sz w:val="20"/>
                <w:shd w:val="clear" w:color="auto" w:fill="D9D9D9" w:themeFill="background1" w:themeFillShade="D9"/>
              </w:rPr>
              <w:t>/ 0.0162</w:t>
            </w:r>
          </w:p>
        </w:tc>
        <w:tc>
          <w:tcPr>
            <w:tcW w:w="656" w:type="pct"/>
            <w:vMerge w:val="restart"/>
            <w:vAlign w:val="center"/>
          </w:tcPr>
          <w:p w14:paraId="3BCA76FD" w14:textId="77777777" w:rsidR="00E51CDD" w:rsidRPr="00E51CDD" w:rsidRDefault="00E51CDD" w:rsidP="00E51CDD">
            <w:pPr>
              <w:widowControl w:val="0"/>
              <w:rPr>
                <w:noProof/>
                <w:sz w:val="20"/>
                <w:vertAlign w:val="superscript"/>
                <w:lang w:val="en-GB"/>
              </w:rPr>
            </w:pPr>
            <w:r w:rsidRPr="00E51CDD">
              <w:rPr>
                <w:noProof/>
                <w:sz w:val="20"/>
                <w:szCs w:val="20"/>
                <w:lang w:val="en-GB"/>
              </w:rPr>
              <w:t>5</w:t>
            </w:r>
          </w:p>
        </w:tc>
        <w:tc>
          <w:tcPr>
            <w:tcW w:w="853" w:type="pct"/>
            <w:vMerge w:val="restart"/>
            <w:vAlign w:val="center"/>
          </w:tcPr>
          <w:p w14:paraId="61439B01" w14:textId="77777777" w:rsidR="00E51CDD" w:rsidRPr="00E51CDD" w:rsidRDefault="00E51CDD" w:rsidP="00E51CDD">
            <w:pPr>
              <w:widowControl w:val="0"/>
              <w:rPr>
                <w:noProof/>
                <w:sz w:val="20"/>
                <w:szCs w:val="20"/>
                <w:lang w:val="en-GB"/>
              </w:rPr>
            </w:pPr>
            <w:r w:rsidRPr="00E51CDD">
              <w:rPr>
                <w:noProof/>
                <w:sz w:val="20"/>
                <w:szCs w:val="20"/>
                <w:lang w:val="en-GB"/>
              </w:rPr>
              <w:t>yes</w:t>
            </w:r>
          </w:p>
          <w:p w14:paraId="799E600F" w14:textId="77777777" w:rsidR="00E51CDD" w:rsidRPr="00E51CDD" w:rsidRDefault="00E51CDD" w:rsidP="00E51CDD">
            <w:pPr>
              <w:widowControl w:val="0"/>
              <w:rPr>
                <w:noProof/>
                <w:sz w:val="20"/>
                <w:lang w:val="en-GB"/>
              </w:rPr>
            </w:pPr>
            <w:r w:rsidRPr="00E51CDD">
              <w:rPr>
                <w:noProof/>
                <w:sz w:val="20"/>
                <w:szCs w:val="20"/>
                <w:lang w:val="en-GB"/>
              </w:rPr>
              <w:t>yes</w:t>
            </w:r>
          </w:p>
        </w:tc>
      </w:tr>
      <w:tr w:rsidR="00E51CDD" w:rsidRPr="00E51CDD" w14:paraId="35735314" w14:textId="77777777" w:rsidTr="009938D9">
        <w:tblPrEx>
          <w:tblLook w:val="01E0" w:firstRow="1" w:lastRow="1" w:firstColumn="1" w:lastColumn="1" w:noHBand="0" w:noVBand="0"/>
        </w:tblPrEx>
        <w:trPr>
          <w:cantSplit/>
        </w:trPr>
        <w:tc>
          <w:tcPr>
            <w:tcW w:w="1228" w:type="pct"/>
          </w:tcPr>
          <w:p w14:paraId="3B49322D" w14:textId="77777777" w:rsidR="00E51CDD" w:rsidRPr="00E51CDD" w:rsidRDefault="00E51CDD" w:rsidP="00E51CDD">
            <w:pPr>
              <w:widowControl w:val="0"/>
              <w:rPr>
                <w:noProof/>
                <w:sz w:val="20"/>
                <w:lang w:val="en-GB"/>
              </w:rPr>
            </w:pPr>
            <w:r w:rsidRPr="00E51CDD">
              <w:rPr>
                <w:i/>
                <w:noProof/>
                <w:sz w:val="20"/>
                <w:szCs w:val="20"/>
                <w:lang w:val="en-GB"/>
              </w:rPr>
              <w:t>Chrysoperla carnea</w:t>
            </w:r>
          </w:p>
        </w:tc>
        <w:tc>
          <w:tcPr>
            <w:tcW w:w="898" w:type="pct"/>
          </w:tcPr>
          <w:p w14:paraId="0216C51D" w14:textId="77777777" w:rsidR="00E51CDD" w:rsidRPr="00E51CDD" w:rsidRDefault="00E51CDD" w:rsidP="00E51CDD">
            <w:pPr>
              <w:widowControl w:val="0"/>
              <w:rPr>
                <w:noProof/>
                <w:sz w:val="20"/>
                <w:szCs w:val="20"/>
                <w:lang w:val="en-GB"/>
              </w:rPr>
            </w:pPr>
            <w:r w:rsidRPr="00E51CDD">
              <w:rPr>
                <w:noProof/>
                <w:sz w:val="20"/>
                <w:szCs w:val="20"/>
                <w:lang w:val="en-GB"/>
              </w:rPr>
              <w:t>LR</w:t>
            </w:r>
            <w:r w:rsidRPr="00E51CDD">
              <w:rPr>
                <w:noProof/>
                <w:sz w:val="20"/>
                <w:szCs w:val="20"/>
                <w:vertAlign w:val="subscript"/>
                <w:lang w:val="en-GB"/>
              </w:rPr>
              <w:t>50</w:t>
            </w:r>
            <w:r w:rsidRPr="00E51CDD">
              <w:rPr>
                <w:noProof/>
                <w:sz w:val="20"/>
                <w:szCs w:val="20"/>
                <w:lang w:val="en-GB"/>
              </w:rPr>
              <w:t xml:space="preserve"> &gt; 4.0</w:t>
            </w:r>
          </w:p>
          <w:p w14:paraId="3E949811" w14:textId="77777777" w:rsidR="00E51CDD" w:rsidRPr="00E51CDD" w:rsidRDefault="00E51CDD" w:rsidP="00E51CDD">
            <w:pPr>
              <w:widowControl w:val="0"/>
              <w:rPr>
                <w:noProof/>
                <w:sz w:val="20"/>
                <w:szCs w:val="20"/>
                <w:lang w:val="en-GB"/>
              </w:rPr>
            </w:pPr>
            <w:r w:rsidRPr="00E51CDD">
              <w:rPr>
                <w:noProof/>
                <w:sz w:val="20"/>
                <w:szCs w:val="20"/>
                <w:lang w:val="en-GB"/>
              </w:rPr>
              <w:t>ER</w:t>
            </w:r>
            <w:r w:rsidRPr="00E51CDD">
              <w:rPr>
                <w:noProof/>
                <w:sz w:val="20"/>
                <w:szCs w:val="20"/>
                <w:vertAlign w:val="subscript"/>
                <w:lang w:val="en-GB"/>
              </w:rPr>
              <w:t xml:space="preserve">50 </w:t>
            </w:r>
            <w:r w:rsidRPr="00E51CDD">
              <w:rPr>
                <w:noProof/>
                <w:sz w:val="20"/>
                <w:szCs w:val="20"/>
                <w:lang w:val="en-GB"/>
              </w:rPr>
              <w:t>&gt; 4.0</w:t>
            </w:r>
          </w:p>
        </w:tc>
        <w:tc>
          <w:tcPr>
            <w:tcW w:w="611" w:type="pct"/>
            <w:vMerge/>
            <w:vAlign w:val="center"/>
          </w:tcPr>
          <w:p w14:paraId="659A964C" w14:textId="77777777" w:rsidR="00E51CDD" w:rsidRPr="00E51CDD" w:rsidRDefault="00E51CDD" w:rsidP="00E51CDD">
            <w:pPr>
              <w:widowControl w:val="0"/>
              <w:rPr>
                <w:noProof/>
                <w:sz w:val="20"/>
                <w:szCs w:val="20"/>
                <w:lang w:val="en-GB"/>
              </w:rPr>
            </w:pPr>
          </w:p>
        </w:tc>
        <w:tc>
          <w:tcPr>
            <w:tcW w:w="754" w:type="pct"/>
            <w:vMerge/>
            <w:vAlign w:val="center"/>
          </w:tcPr>
          <w:p w14:paraId="7684D572" w14:textId="77777777" w:rsidR="00E51CDD" w:rsidRPr="00E51CDD" w:rsidRDefault="00E51CDD" w:rsidP="00E51CDD">
            <w:pPr>
              <w:widowControl w:val="0"/>
              <w:rPr>
                <w:noProof/>
                <w:sz w:val="20"/>
                <w:szCs w:val="20"/>
                <w:lang w:val="en-GB"/>
              </w:rPr>
            </w:pPr>
          </w:p>
        </w:tc>
        <w:tc>
          <w:tcPr>
            <w:tcW w:w="656" w:type="pct"/>
            <w:vMerge/>
            <w:vAlign w:val="center"/>
          </w:tcPr>
          <w:p w14:paraId="60FD6F92" w14:textId="77777777" w:rsidR="00E51CDD" w:rsidRPr="00E51CDD" w:rsidRDefault="00E51CDD" w:rsidP="00E51CDD">
            <w:pPr>
              <w:widowControl w:val="0"/>
              <w:rPr>
                <w:noProof/>
                <w:sz w:val="20"/>
                <w:szCs w:val="20"/>
                <w:lang w:val="en-GB"/>
              </w:rPr>
            </w:pPr>
          </w:p>
        </w:tc>
        <w:tc>
          <w:tcPr>
            <w:tcW w:w="853" w:type="pct"/>
            <w:vMerge/>
          </w:tcPr>
          <w:p w14:paraId="75AE294D" w14:textId="77777777" w:rsidR="00E51CDD" w:rsidRPr="00E51CDD" w:rsidRDefault="00E51CDD" w:rsidP="00E51CDD">
            <w:pPr>
              <w:widowControl w:val="0"/>
              <w:rPr>
                <w:noProof/>
                <w:sz w:val="20"/>
                <w:szCs w:val="20"/>
                <w:lang w:val="en-GB"/>
              </w:rPr>
            </w:pPr>
          </w:p>
        </w:tc>
      </w:tr>
      <w:tr w:rsidR="00E51CDD" w:rsidRPr="00E51CDD" w14:paraId="7834DADE" w14:textId="77777777" w:rsidTr="009938D9">
        <w:tblPrEx>
          <w:tblLook w:val="01E0" w:firstRow="1" w:lastRow="1" w:firstColumn="1" w:lastColumn="1" w:noHBand="0" w:noVBand="0"/>
        </w:tblPrEx>
        <w:trPr>
          <w:cantSplit/>
        </w:trPr>
        <w:tc>
          <w:tcPr>
            <w:tcW w:w="1228" w:type="pct"/>
          </w:tcPr>
          <w:p w14:paraId="2446F385" w14:textId="77777777" w:rsidR="00E51CDD" w:rsidRPr="00E51CDD" w:rsidRDefault="00E51CDD" w:rsidP="00E51CDD">
            <w:pPr>
              <w:widowControl w:val="0"/>
              <w:rPr>
                <w:i/>
                <w:noProof/>
                <w:sz w:val="20"/>
                <w:lang w:val="en-GB"/>
              </w:rPr>
            </w:pPr>
            <w:r w:rsidRPr="00E51CDD">
              <w:rPr>
                <w:i/>
                <w:noProof/>
                <w:sz w:val="20"/>
                <w:szCs w:val="20"/>
                <w:lang w:val="en-GB"/>
              </w:rPr>
              <w:t>Aphidius rhopalosiphi</w:t>
            </w:r>
          </w:p>
        </w:tc>
        <w:tc>
          <w:tcPr>
            <w:tcW w:w="898" w:type="pct"/>
          </w:tcPr>
          <w:p w14:paraId="50F8F335" w14:textId="77777777" w:rsidR="00E51CDD" w:rsidRPr="00E51CDD" w:rsidRDefault="00E51CDD" w:rsidP="00E51CDD">
            <w:pPr>
              <w:widowControl w:val="0"/>
              <w:rPr>
                <w:noProof/>
                <w:sz w:val="20"/>
                <w:szCs w:val="20"/>
                <w:lang w:val="en-GB"/>
              </w:rPr>
            </w:pPr>
            <w:r w:rsidRPr="00E51CDD">
              <w:rPr>
                <w:noProof/>
                <w:sz w:val="20"/>
                <w:szCs w:val="20"/>
                <w:lang w:val="en-GB"/>
              </w:rPr>
              <w:t>LR</w:t>
            </w:r>
            <w:r w:rsidRPr="00E51CDD">
              <w:rPr>
                <w:noProof/>
                <w:sz w:val="20"/>
                <w:szCs w:val="20"/>
                <w:vertAlign w:val="subscript"/>
                <w:lang w:val="en-GB"/>
              </w:rPr>
              <w:t>50</w:t>
            </w:r>
            <w:r w:rsidRPr="00E51CDD">
              <w:rPr>
                <w:noProof/>
                <w:sz w:val="20"/>
                <w:szCs w:val="20"/>
                <w:lang w:val="en-GB"/>
              </w:rPr>
              <w:t xml:space="preserve"> &gt; 4.0</w:t>
            </w:r>
          </w:p>
          <w:p w14:paraId="79971370" w14:textId="77777777" w:rsidR="00E51CDD" w:rsidRPr="00E51CDD" w:rsidRDefault="00E51CDD" w:rsidP="00E51CDD">
            <w:pPr>
              <w:widowControl w:val="0"/>
              <w:rPr>
                <w:noProof/>
                <w:sz w:val="20"/>
                <w:szCs w:val="20"/>
                <w:lang w:val="en-GB"/>
              </w:rPr>
            </w:pPr>
            <w:r w:rsidRPr="00E51CDD">
              <w:rPr>
                <w:noProof/>
                <w:sz w:val="20"/>
                <w:szCs w:val="20"/>
                <w:lang w:val="en-GB"/>
              </w:rPr>
              <w:t>ER</w:t>
            </w:r>
            <w:r w:rsidRPr="00E51CDD">
              <w:rPr>
                <w:noProof/>
                <w:sz w:val="20"/>
                <w:szCs w:val="20"/>
                <w:vertAlign w:val="subscript"/>
                <w:lang w:val="en-GB"/>
              </w:rPr>
              <w:t xml:space="preserve">50 </w:t>
            </w:r>
            <w:r w:rsidRPr="00E51CDD">
              <w:rPr>
                <w:noProof/>
                <w:sz w:val="20"/>
                <w:szCs w:val="20"/>
                <w:lang w:val="en-GB"/>
              </w:rPr>
              <w:t>&gt; 4.0</w:t>
            </w:r>
          </w:p>
        </w:tc>
        <w:tc>
          <w:tcPr>
            <w:tcW w:w="611" w:type="pct"/>
            <w:vMerge/>
            <w:vAlign w:val="center"/>
          </w:tcPr>
          <w:p w14:paraId="33D1B210" w14:textId="77777777" w:rsidR="00E51CDD" w:rsidRPr="00E51CDD" w:rsidRDefault="00E51CDD" w:rsidP="00E51CDD">
            <w:pPr>
              <w:widowControl w:val="0"/>
              <w:rPr>
                <w:noProof/>
                <w:sz w:val="20"/>
                <w:szCs w:val="20"/>
                <w:lang w:val="en-GB"/>
              </w:rPr>
            </w:pPr>
          </w:p>
        </w:tc>
        <w:tc>
          <w:tcPr>
            <w:tcW w:w="754" w:type="pct"/>
            <w:vAlign w:val="center"/>
          </w:tcPr>
          <w:p w14:paraId="0EA8EBC1" w14:textId="77777777" w:rsidR="00E51CDD" w:rsidRPr="00E51CDD" w:rsidRDefault="00E51CDD" w:rsidP="00E51CDD">
            <w:pPr>
              <w:widowControl w:val="0"/>
              <w:rPr>
                <w:noProof/>
                <w:sz w:val="20"/>
                <w:szCs w:val="20"/>
                <w:lang w:val="en-GB"/>
              </w:rPr>
            </w:pPr>
            <w:r w:rsidRPr="00E51CDD">
              <w:rPr>
                <w:noProof/>
                <w:sz w:val="20"/>
                <w:lang w:val="en-GB"/>
              </w:rPr>
              <w:t>0.08</w:t>
            </w:r>
          </w:p>
        </w:tc>
        <w:tc>
          <w:tcPr>
            <w:tcW w:w="656" w:type="pct"/>
            <w:vMerge/>
          </w:tcPr>
          <w:p w14:paraId="0168F9B9" w14:textId="77777777" w:rsidR="00E51CDD" w:rsidRPr="00E51CDD" w:rsidRDefault="00E51CDD" w:rsidP="00E51CDD">
            <w:pPr>
              <w:widowControl w:val="0"/>
              <w:rPr>
                <w:noProof/>
                <w:sz w:val="20"/>
                <w:szCs w:val="20"/>
                <w:lang w:val="en-GB"/>
              </w:rPr>
            </w:pPr>
          </w:p>
        </w:tc>
        <w:tc>
          <w:tcPr>
            <w:tcW w:w="853" w:type="pct"/>
          </w:tcPr>
          <w:p w14:paraId="3340E0EF" w14:textId="77777777" w:rsidR="00E51CDD" w:rsidRPr="00E51CDD" w:rsidRDefault="00E51CDD" w:rsidP="00E51CDD">
            <w:pPr>
              <w:widowControl w:val="0"/>
              <w:rPr>
                <w:noProof/>
                <w:sz w:val="20"/>
                <w:szCs w:val="20"/>
                <w:lang w:val="en-GB"/>
              </w:rPr>
            </w:pPr>
            <w:r w:rsidRPr="00E51CDD">
              <w:rPr>
                <w:noProof/>
                <w:sz w:val="20"/>
                <w:szCs w:val="20"/>
                <w:lang w:val="en-GB"/>
              </w:rPr>
              <w:t>yes</w:t>
            </w:r>
          </w:p>
          <w:p w14:paraId="5B02098A" w14:textId="77777777" w:rsidR="00E51CDD" w:rsidRPr="00E51CDD" w:rsidRDefault="00E51CDD" w:rsidP="00E51CDD">
            <w:pPr>
              <w:widowControl w:val="0"/>
              <w:rPr>
                <w:noProof/>
                <w:sz w:val="20"/>
                <w:szCs w:val="20"/>
                <w:lang w:val="en-GB"/>
              </w:rPr>
            </w:pPr>
            <w:r w:rsidRPr="00E51CDD">
              <w:rPr>
                <w:noProof/>
                <w:sz w:val="20"/>
                <w:szCs w:val="20"/>
                <w:lang w:val="en-GB"/>
              </w:rPr>
              <w:t>yes</w:t>
            </w:r>
          </w:p>
        </w:tc>
      </w:tr>
    </w:tbl>
    <w:p w14:paraId="1EBD762E" w14:textId="77777777" w:rsidR="00E51CDD" w:rsidRPr="00E51CDD" w:rsidRDefault="00E51CDD" w:rsidP="00E51CDD">
      <w:pPr>
        <w:widowControl w:val="0"/>
        <w:tabs>
          <w:tab w:val="left" w:pos="0"/>
        </w:tabs>
        <w:jc w:val="both"/>
        <w:rPr>
          <w:noProof/>
          <w:sz w:val="18"/>
          <w:szCs w:val="18"/>
          <w:lang w:val="en-GB"/>
        </w:rPr>
      </w:pPr>
      <w:r w:rsidRPr="00E51CDD">
        <w:rPr>
          <w:noProof/>
          <w:sz w:val="18"/>
          <w:szCs w:val="18"/>
          <w:lang w:val="en-GB"/>
        </w:rPr>
        <w:t>MAF: Multiple application factor; vdf: Vegetation distribution factor; (corr.) PER: (corrected) Predicted environmental rate; CF: Correction factor; HQ: Hazard quotient.</w:t>
      </w:r>
    </w:p>
    <w:p w14:paraId="656B7C2E" w14:textId="77777777" w:rsidR="00E51CDD" w:rsidRPr="00E51CDD" w:rsidRDefault="00E51CDD" w:rsidP="00E51CDD">
      <w:pPr>
        <w:widowControl w:val="0"/>
        <w:spacing w:before="40"/>
        <w:ind w:left="284" w:hanging="284"/>
        <w:jc w:val="both"/>
        <w:rPr>
          <w:snapToGrid w:val="0"/>
          <w:sz w:val="18"/>
          <w:szCs w:val="18"/>
        </w:rPr>
      </w:pPr>
      <w:r w:rsidRPr="00E51CDD">
        <w:rPr>
          <w:snapToGrid w:val="0"/>
          <w:sz w:val="18"/>
          <w:szCs w:val="18"/>
          <w:vertAlign w:val="superscript"/>
        </w:rPr>
        <w:t>1)</w:t>
      </w:r>
      <w:r w:rsidRPr="00E51CDD">
        <w:rPr>
          <w:snapToGrid w:val="0"/>
          <w:sz w:val="18"/>
          <w:szCs w:val="18"/>
          <w:vertAlign w:val="superscript"/>
        </w:rPr>
        <w:tab/>
      </w:r>
      <w:r w:rsidRPr="00E51CDD">
        <w:rPr>
          <w:snapToGrid w:val="0"/>
          <w:sz w:val="18"/>
          <w:szCs w:val="18"/>
        </w:rPr>
        <w:t>Standard 5-fold uncertainty (correction) factor should be included to the calculation to cover the inter-species variability in sensitivity of off-field non-target arthropod species. However, as additional species are tested, the uncertainty is reduced and no additional safety factor was applied.</w:t>
      </w:r>
    </w:p>
    <w:p w14:paraId="6146DFD0" w14:textId="77777777" w:rsidR="00E51CDD" w:rsidRPr="00E51CDD" w:rsidRDefault="00E51CDD" w:rsidP="002E3CFC">
      <w:pPr>
        <w:pStyle w:val="Nagwek4"/>
      </w:pPr>
      <w:bookmarkStart w:id="736" w:name="_Toc125446442"/>
      <w:r w:rsidRPr="00E51CDD">
        <w:t>Additional higher-tier risk assessment</w:t>
      </w:r>
      <w:bookmarkEnd w:id="726"/>
      <w:bookmarkEnd w:id="727"/>
      <w:bookmarkEnd w:id="728"/>
      <w:bookmarkEnd w:id="729"/>
      <w:bookmarkEnd w:id="730"/>
      <w:bookmarkEnd w:id="731"/>
      <w:bookmarkEnd w:id="732"/>
      <w:bookmarkEnd w:id="733"/>
      <w:bookmarkEnd w:id="736"/>
    </w:p>
    <w:p w14:paraId="77051AC2" w14:textId="77777777" w:rsidR="00E51CDD" w:rsidRPr="00E51CDD" w:rsidRDefault="00E51CDD" w:rsidP="00E51CDD">
      <w:pPr>
        <w:widowControl w:val="0"/>
        <w:jc w:val="both"/>
      </w:pPr>
      <w:bookmarkStart w:id="737" w:name="_Toc412644017"/>
      <w:bookmarkStart w:id="738" w:name="_Toc413916861"/>
      <w:bookmarkStart w:id="739" w:name="_Toc413917003"/>
      <w:bookmarkStart w:id="740" w:name="_Toc413922064"/>
      <w:bookmarkStart w:id="741" w:name="_Toc413922553"/>
      <w:bookmarkStart w:id="742" w:name="_Toc413922657"/>
      <w:bookmarkStart w:id="743" w:name="_Toc414955294"/>
      <w:bookmarkStart w:id="744" w:name="_Toc415214601"/>
      <w:r w:rsidRPr="00E51CDD">
        <w:t>Not relevant.</w:t>
      </w:r>
    </w:p>
    <w:p w14:paraId="51388808" w14:textId="77777777" w:rsidR="00E51CDD" w:rsidRPr="00E51CDD" w:rsidRDefault="00E51CDD" w:rsidP="002E3CFC">
      <w:pPr>
        <w:pStyle w:val="Nagwek4"/>
      </w:pPr>
      <w:bookmarkStart w:id="745" w:name="_Toc125446443"/>
      <w:r w:rsidRPr="00E51CDD">
        <w:t>Risk mitigation measures</w:t>
      </w:r>
      <w:bookmarkEnd w:id="737"/>
      <w:bookmarkEnd w:id="738"/>
      <w:bookmarkEnd w:id="739"/>
      <w:bookmarkEnd w:id="740"/>
      <w:bookmarkEnd w:id="741"/>
      <w:bookmarkEnd w:id="742"/>
      <w:bookmarkEnd w:id="743"/>
      <w:bookmarkEnd w:id="744"/>
      <w:bookmarkEnd w:id="745"/>
    </w:p>
    <w:p w14:paraId="00C77F2A" w14:textId="77777777" w:rsidR="00E51CDD" w:rsidRPr="00E51CDD" w:rsidRDefault="00E51CDD" w:rsidP="00E51CDD">
      <w:pPr>
        <w:widowControl w:val="0"/>
        <w:jc w:val="both"/>
        <w:rPr>
          <w:lang w:val="en-GB"/>
        </w:rPr>
      </w:pPr>
      <w:bookmarkStart w:id="746" w:name="_Toc360726623"/>
      <w:bookmarkStart w:id="747" w:name="_Toc362541756"/>
      <w:bookmarkStart w:id="748" w:name="_Toc362542665"/>
      <w:bookmarkStart w:id="749" w:name="_Toc360726633"/>
      <w:bookmarkStart w:id="750" w:name="_Toc362541766"/>
      <w:bookmarkStart w:id="751" w:name="_Toc362542675"/>
      <w:bookmarkStart w:id="752" w:name="_Toc360726643"/>
      <w:bookmarkStart w:id="753" w:name="_Toc362541776"/>
      <w:bookmarkStart w:id="754" w:name="_Toc362542685"/>
      <w:bookmarkStart w:id="755" w:name="_Toc360726653"/>
      <w:bookmarkStart w:id="756" w:name="_Toc362541786"/>
      <w:bookmarkStart w:id="757" w:name="_Toc362542695"/>
      <w:bookmarkStart w:id="758" w:name="_Toc360726663"/>
      <w:bookmarkStart w:id="759" w:name="_Toc362541796"/>
      <w:bookmarkStart w:id="760" w:name="_Toc362542705"/>
      <w:bookmarkStart w:id="761" w:name="_Toc360726673"/>
      <w:bookmarkStart w:id="762" w:name="_Toc362541806"/>
      <w:bookmarkStart w:id="763" w:name="_Toc362542715"/>
      <w:bookmarkStart w:id="764" w:name="_Toc399353284"/>
      <w:bookmarkStart w:id="765" w:name="_Toc412644018"/>
      <w:bookmarkStart w:id="766" w:name="_Toc413916862"/>
      <w:bookmarkStart w:id="767" w:name="_Toc413917004"/>
      <w:bookmarkStart w:id="768" w:name="_Toc413922065"/>
      <w:bookmarkStart w:id="769" w:name="_Toc413922554"/>
      <w:bookmarkStart w:id="770" w:name="_Toc413922658"/>
      <w:bookmarkStart w:id="771" w:name="_Toc414955295"/>
      <w:bookmarkStart w:id="772" w:name="_Toc415214602"/>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r w:rsidRPr="00E51CDD">
        <w:rPr>
          <w:lang w:val="en-GB"/>
        </w:rPr>
        <w:t>No risk mitigation needed.</w:t>
      </w:r>
    </w:p>
    <w:p w14:paraId="00662316" w14:textId="77777777" w:rsidR="00E51CDD" w:rsidRPr="00E51CDD" w:rsidRDefault="00E51CDD" w:rsidP="00E51CDD">
      <w:pPr>
        <w:widowControl w:val="0"/>
        <w:jc w:val="both"/>
        <w:rPr>
          <w:lang w:val="en-GB"/>
        </w:rPr>
      </w:pPr>
    </w:p>
    <w:p w14:paraId="25245304" w14:textId="77777777" w:rsidR="00E51CDD" w:rsidRPr="00E51CDD" w:rsidRDefault="00E51CDD" w:rsidP="002E3CFC">
      <w:pPr>
        <w:pStyle w:val="Nagwek3"/>
      </w:pPr>
      <w:bookmarkStart w:id="773" w:name="_Toc125446444"/>
      <w:r w:rsidRPr="00E51CDD">
        <w:t>Overall conclusions</w:t>
      </w:r>
      <w:bookmarkEnd w:id="764"/>
      <w:bookmarkEnd w:id="765"/>
      <w:bookmarkEnd w:id="766"/>
      <w:bookmarkEnd w:id="767"/>
      <w:bookmarkEnd w:id="768"/>
      <w:bookmarkEnd w:id="769"/>
      <w:bookmarkEnd w:id="770"/>
      <w:bookmarkEnd w:id="771"/>
      <w:bookmarkEnd w:id="772"/>
      <w:bookmarkEnd w:id="773"/>
    </w:p>
    <w:p w14:paraId="7D918FF3" w14:textId="77777777" w:rsidR="00E51CDD" w:rsidRPr="00E51CDD" w:rsidRDefault="00E51CDD" w:rsidP="00E51CDD">
      <w:pPr>
        <w:widowControl w:val="0"/>
        <w:jc w:val="both"/>
        <w:rPr>
          <w:b/>
        </w:rPr>
      </w:pPr>
      <w:r w:rsidRPr="00E51CDD">
        <w:rPr>
          <w:b/>
        </w:rPr>
        <w:t xml:space="preserve">Based on the results of the conducted first and higher tier risk assessments it can be concluded that low risk for non-target arthropods is expected from the use of BAS 736 00 F according to the proposed use pattern. No unacceptable effects on non-target </w:t>
      </w:r>
      <w:bookmarkStart w:id="774" w:name="_Hlk88475718"/>
      <w:bookmarkEnd w:id="692"/>
      <w:r w:rsidRPr="00E51CDD">
        <w:rPr>
          <w:b/>
        </w:rPr>
        <w:t>arthropods are expected in in-field and off-field habitats.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9345"/>
      </w:tblGrid>
      <w:tr w:rsidR="008B5340" w:rsidRPr="00540D8E" w14:paraId="63CD187B" w14:textId="77777777" w:rsidTr="00230125">
        <w:trPr>
          <w:cantSplit/>
        </w:trPr>
        <w:tc>
          <w:tcPr>
            <w:tcW w:w="5000" w:type="pct"/>
            <w:shd w:val="clear" w:color="auto" w:fill="D9D9D9"/>
          </w:tcPr>
          <w:bookmarkEnd w:id="693"/>
          <w:bookmarkEnd w:id="774"/>
          <w:p w14:paraId="6FA3A8A5" w14:textId="77777777" w:rsidR="008B5340" w:rsidRPr="00A97BA3" w:rsidRDefault="008B5340" w:rsidP="00230125">
            <w:pPr>
              <w:pStyle w:val="RepStandard"/>
              <w:spacing w:after="120"/>
              <w:rPr>
                <w:b/>
                <w:bCs/>
                <w:lang w:eastAsia="en-US"/>
              </w:rPr>
            </w:pPr>
            <w:r w:rsidRPr="00A97BA3">
              <w:rPr>
                <w:b/>
                <w:bCs/>
                <w:lang w:eastAsia="en-US"/>
              </w:rPr>
              <w:lastRenderedPageBreak/>
              <w:t>Review Comments:</w:t>
            </w:r>
          </w:p>
          <w:p w14:paraId="7489C164" w14:textId="72C98A42" w:rsidR="008B5340" w:rsidRPr="00540D8E" w:rsidRDefault="008B5340" w:rsidP="00230125">
            <w:pPr>
              <w:pStyle w:val="RepStandard"/>
              <w:spacing w:after="120"/>
              <w:rPr>
                <w:b/>
              </w:rPr>
            </w:pPr>
            <w:r w:rsidRPr="00955AFF">
              <w:t>Based on the results of the conducted</w:t>
            </w:r>
            <w:r>
              <w:t xml:space="preserve"> </w:t>
            </w:r>
            <w:r w:rsidRPr="00365B39">
              <w:t>risk assessment</w:t>
            </w:r>
            <w:r w:rsidRPr="00955AFF">
              <w:t xml:space="preserve"> it can be concluded that low risk for non-target arthropods is expected from </w:t>
            </w:r>
            <w:r>
              <w:t xml:space="preserve">the use of </w:t>
            </w:r>
            <w:r w:rsidRPr="00E33B05">
              <w:t>BAS </w:t>
            </w:r>
            <w:r>
              <w:t>7</w:t>
            </w:r>
            <w:r w:rsidR="00032742">
              <w:t>36</w:t>
            </w:r>
            <w:r w:rsidRPr="00E33B05">
              <w:t> 00 </w:t>
            </w:r>
            <w:r>
              <w:t>F</w:t>
            </w:r>
            <w:r w:rsidRPr="00E33B05">
              <w:t xml:space="preserve"> </w:t>
            </w:r>
            <w:r w:rsidRPr="00365B39">
              <w:t>according</w:t>
            </w:r>
            <w:r w:rsidRPr="00955AFF">
              <w:t xml:space="preserve"> to the proposed use pattern. No unacceptable effects on non-target arthropods are expected in in-field and off-field habitats.</w:t>
            </w:r>
          </w:p>
        </w:tc>
      </w:tr>
    </w:tbl>
    <w:p w14:paraId="69AE1690" w14:textId="77777777" w:rsidR="000630E1" w:rsidRDefault="000630E1">
      <w:pPr>
        <w:rPr>
          <w:b/>
          <w:bCs/>
          <w:sz w:val="24"/>
          <w:szCs w:val="24"/>
          <w:lang w:val="en-GB"/>
        </w:rPr>
      </w:pPr>
      <w:bookmarkStart w:id="775" w:name="_Toc399487285"/>
      <w:bookmarkStart w:id="776" w:name="_Ref405399802"/>
      <w:bookmarkStart w:id="777" w:name="_Toc412644019"/>
      <w:bookmarkStart w:id="778" w:name="_Toc413916863"/>
      <w:bookmarkStart w:id="779" w:name="_Toc413917005"/>
      <w:bookmarkStart w:id="780" w:name="_Toc413922066"/>
      <w:bookmarkStart w:id="781" w:name="_Toc413922555"/>
      <w:bookmarkStart w:id="782" w:name="_Toc413922659"/>
      <w:bookmarkStart w:id="783" w:name="_Toc414955296"/>
      <w:bookmarkStart w:id="784" w:name="_Ref414978868"/>
      <w:bookmarkStart w:id="785" w:name="_Toc415214603"/>
      <w:r>
        <w:br w:type="page"/>
      </w:r>
    </w:p>
    <w:p w14:paraId="217E954D" w14:textId="5B97CD5C" w:rsidR="00E51CDD" w:rsidRPr="006D3D21" w:rsidRDefault="00E51CDD" w:rsidP="002E3CFC">
      <w:pPr>
        <w:pStyle w:val="Nagwek2"/>
      </w:pPr>
      <w:bookmarkStart w:id="786" w:name="_Toc125446445"/>
      <w:r w:rsidRPr="006D3D21">
        <w:lastRenderedPageBreak/>
        <w:t>Effects on non-target soil meso- and macrofauna (KCP 10.4)</w:t>
      </w:r>
      <w:bookmarkEnd w:id="775"/>
      <w:bookmarkEnd w:id="776"/>
      <w:bookmarkEnd w:id="777"/>
      <w:bookmarkEnd w:id="778"/>
      <w:bookmarkEnd w:id="779"/>
      <w:bookmarkEnd w:id="780"/>
      <w:bookmarkEnd w:id="781"/>
      <w:bookmarkEnd w:id="782"/>
      <w:bookmarkEnd w:id="783"/>
      <w:bookmarkEnd w:id="784"/>
      <w:bookmarkEnd w:id="785"/>
      <w:bookmarkEnd w:id="786"/>
    </w:p>
    <w:p w14:paraId="10328244" w14:textId="77777777" w:rsidR="00E51CDD" w:rsidRPr="00E51CDD" w:rsidRDefault="00E51CDD" w:rsidP="002E3CFC">
      <w:pPr>
        <w:pStyle w:val="Nagwek3"/>
      </w:pPr>
      <w:bookmarkStart w:id="787" w:name="_Toc412644020"/>
      <w:bookmarkStart w:id="788" w:name="_Toc413916864"/>
      <w:bookmarkStart w:id="789" w:name="_Toc413917006"/>
      <w:bookmarkStart w:id="790" w:name="_Toc413922067"/>
      <w:bookmarkStart w:id="791" w:name="_Toc413922556"/>
      <w:bookmarkStart w:id="792" w:name="_Toc413922660"/>
      <w:bookmarkStart w:id="793" w:name="_Toc414955297"/>
      <w:bookmarkStart w:id="794" w:name="_Toc415214604"/>
      <w:bookmarkStart w:id="795" w:name="_Toc125446446"/>
      <w:r w:rsidRPr="00E51CDD">
        <w:t>Toxicity data</w:t>
      </w:r>
      <w:bookmarkEnd w:id="787"/>
      <w:bookmarkEnd w:id="788"/>
      <w:bookmarkEnd w:id="789"/>
      <w:bookmarkEnd w:id="790"/>
      <w:bookmarkEnd w:id="791"/>
      <w:bookmarkEnd w:id="792"/>
      <w:bookmarkEnd w:id="793"/>
      <w:bookmarkEnd w:id="794"/>
      <w:bookmarkEnd w:id="795"/>
    </w:p>
    <w:p w14:paraId="7CBC35A1" w14:textId="2C9857C7" w:rsidR="00E51CDD" w:rsidRPr="00E51CDD" w:rsidRDefault="00E51CDD" w:rsidP="00E51CDD">
      <w:pPr>
        <w:widowControl w:val="0"/>
        <w:jc w:val="both"/>
      </w:pPr>
      <w:bookmarkStart w:id="796" w:name="_Hlk88475784"/>
      <w:r w:rsidRPr="00E51CDD">
        <w:rPr>
          <w:lang w:val="en-GB"/>
        </w:rPr>
        <w:t xml:space="preserve">Studies on the toxicity to earthworms and other non-target soil organisms (meso- and macrofauna) have been carried out with fluxapyroxad, azoxystrobin and relevant metabolites. Full details of these studies are provided in the respective EU documents. Additionally, new toxicity studies on earthworms and other non-target meso- and macrofauna have been conducted </w:t>
      </w:r>
      <w:r w:rsidRPr="001C4FED">
        <w:rPr>
          <w:strike/>
          <w:color w:val="D9D9D9" w:themeColor="background1" w:themeShade="D9"/>
          <w:lang w:val="en-GB"/>
        </w:rPr>
        <w:t xml:space="preserve">with one or more of the active ingredients and their relevant metabolites. </w:t>
      </w:r>
      <w:r w:rsidRPr="00E51CDD">
        <w:rPr>
          <w:lang w:val="en-GB"/>
        </w:rPr>
        <w:t xml:space="preserve">All studies are listed in </w:t>
      </w:r>
      <w:r w:rsidRPr="00E51CDD">
        <w:rPr>
          <w:lang w:val="en-GB"/>
        </w:rPr>
        <w:fldChar w:fldCharType="begin"/>
      </w:r>
      <w:r w:rsidRPr="00E51CDD">
        <w:rPr>
          <w:lang w:val="en-GB"/>
        </w:rPr>
        <w:instrText xml:space="preserve"> REF _Ref82779894 \h  \* MERGEFORMAT </w:instrText>
      </w:r>
      <w:r w:rsidRPr="00E51CDD">
        <w:rPr>
          <w:lang w:val="en-GB"/>
        </w:rPr>
      </w:r>
      <w:r w:rsidRPr="00E51CDD">
        <w:rPr>
          <w:lang w:val="en-GB"/>
        </w:rPr>
        <w:fldChar w:fldCharType="separate"/>
      </w:r>
      <w:r w:rsidR="00662F32" w:rsidRPr="00662F32">
        <w:rPr>
          <w:lang w:val="en-GB"/>
        </w:rPr>
        <w:t xml:space="preserve">Table </w:t>
      </w:r>
      <w:r w:rsidR="00662F32" w:rsidRPr="00662F32">
        <w:rPr>
          <w:noProof/>
          <w:lang w:val="en-GB"/>
        </w:rPr>
        <w:t>9.8</w:t>
      </w:r>
      <w:r w:rsidR="00662F32" w:rsidRPr="00662F32">
        <w:rPr>
          <w:noProof/>
          <w:lang w:val="en-GB"/>
        </w:rPr>
        <w:noBreakHyphen/>
        <w:t>1</w:t>
      </w:r>
      <w:r w:rsidRPr="00E51CDD">
        <w:rPr>
          <w:lang w:val="en-GB"/>
        </w:rPr>
        <w:fldChar w:fldCharType="end"/>
      </w:r>
      <w:r w:rsidRPr="00E51CDD">
        <w:rPr>
          <w:lang w:val="en-GB"/>
        </w:rPr>
        <w:t xml:space="preserve">, </w:t>
      </w:r>
      <w:r w:rsidRPr="00E51CDD">
        <w:rPr>
          <w:lang w:val="en-GB"/>
        </w:rPr>
        <w:fldChar w:fldCharType="begin"/>
      </w:r>
      <w:r w:rsidRPr="00E51CDD">
        <w:rPr>
          <w:lang w:val="en-GB"/>
        </w:rPr>
        <w:instrText xml:space="preserve"> REF _Ref82779900 \h  \* MERGEFORMAT </w:instrText>
      </w:r>
      <w:r w:rsidRPr="00E51CDD">
        <w:rPr>
          <w:lang w:val="en-GB"/>
        </w:rPr>
      </w:r>
      <w:r w:rsidRPr="00E51CDD">
        <w:rPr>
          <w:lang w:val="en-GB"/>
        </w:rPr>
        <w:fldChar w:fldCharType="separate"/>
      </w:r>
      <w:r w:rsidR="00662F32" w:rsidRPr="00662F32">
        <w:rPr>
          <w:lang w:val="en-GB"/>
        </w:rPr>
        <w:t xml:space="preserve">Table </w:t>
      </w:r>
      <w:r w:rsidR="00662F32" w:rsidRPr="00662F32">
        <w:rPr>
          <w:noProof/>
          <w:lang w:val="en-GB"/>
        </w:rPr>
        <w:t>9.8</w:t>
      </w:r>
      <w:r w:rsidR="00662F32" w:rsidRPr="00662F32">
        <w:rPr>
          <w:noProof/>
          <w:lang w:val="en-GB"/>
        </w:rPr>
        <w:noBreakHyphen/>
        <w:t>2</w:t>
      </w:r>
      <w:r w:rsidRPr="00E51CDD">
        <w:rPr>
          <w:lang w:val="en-GB"/>
        </w:rPr>
        <w:fldChar w:fldCharType="end"/>
      </w:r>
      <w:r w:rsidRPr="00E51CDD">
        <w:rPr>
          <w:lang w:val="en-GB"/>
        </w:rPr>
        <w:t xml:space="preserve"> and </w:t>
      </w:r>
      <w:r w:rsidRPr="00E51CDD">
        <w:rPr>
          <w:lang w:val="en-GB"/>
        </w:rPr>
        <w:fldChar w:fldCharType="begin"/>
      </w:r>
      <w:r w:rsidRPr="00E51CDD">
        <w:rPr>
          <w:lang w:val="en-GB"/>
        </w:rPr>
        <w:instrText xml:space="preserve"> REF _Ref436916457 \h  \* MERGEFORMAT </w:instrText>
      </w:r>
      <w:r w:rsidRPr="00E51CDD">
        <w:rPr>
          <w:lang w:val="en-GB"/>
        </w:rPr>
      </w:r>
      <w:r w:rsidRPr="00E51CDD">
        <w:rPr>
          <w:lang w:val="en-GB"/>
        </w:rPr>
        <w:fldChar w:fldCharType="separate"/>
      </w:r>
      <w:r w:rsidR="00662F32" w:rsidRPr="00662F32">
        <w:rPr>
          <w:lang w:val="en-GB"/>
        </w:rPr>
        <w:t xml:space="preserve">Table </w:t>
      </w:r>
      <w:r w:rsidR="00662F32" w:rsidRPr="00662F32">
        <w:rPr>
          <w:noProof/>
          <w:lang w:val="en-GB"/>
        </w:rPr>
        <w:t>9.8</w:t>
      </w:r>
      <w:r w:rsidR="00662F32" w:rsidRPr="00662F32">
        <w:rPr>
          <w:noProof/>
          <w:lang w:val="en-GB"/>
        </w:rPr>
        <w:noBreakHyphen/>
        <w:t>3</w:t>
      </w:r>
      <w:r w:rsidRPr="00E51CDD">
        <w:rPr>
          <w:lang w:val="en-GB"/>
        </w:rPr>
        <w:fldChar w:fldCharType="end"/>
      </w:r>
      <w:r w:rsidRPr="00E51CDD">
        <w:rPr>
          <w:lang w:val="en-GB"/>
        </w:rPr>
        <w:t>.</w:t>
      </w:r>
    </w:p>
    <w:p w14:paraId="5B6253E7" w14:textId="77777777" w:rsidR="00E51CDD" w:rsidRPr="00E51CDD" w:rsidRDefault="00E51CDD" w:rsidP="00E51CDD">
      <w:pPr>
        <w:widowControl w:val="0"/>
        <w:jc w:val="both"/>
        <w:rPr>
          <w:lang w:val="en-GB"/>
        </w:rPr>
      </w:pPr>
    </w:p>
    <w:p w14:paraId="6639ACD7" w14:textId="77777777" w:rsidR="00E51CDD" w:rsidRPr="00E51CDD" w:rsidRDefault="00E51CDD" w:rsidP="00E51CDD">
      <w:pPr>
        <w:widowControl w:val="0"/>
        <w:jc w:val="both"/>
        <w:rPr>
          <w:lang w:val="en-GB"/>
        </w:rPr>
      </w:pPr>
      <w:r w:rsidRPr="00E51CDD">
        <w:rPr>
          <w:lang w:val="en-GB"/>
        </w:rPr>
        <w:t>New data submitted with this application are listed in Appendix 1 and summarized in Appendix 2.</w:t>
      </w:r>
    </w:p>
    <w:p w14:paraId="4DA8B1D6" w14:textId="77777777" w:rsidR="00E51CDD" w:rsidRPr="00E51CDD" w:rsidRDefault="00E51CDD" w:rsidP="00E51CDD">
      <w:pPr>
        <w:ind w:left="1560" w:hanging="1560"/>
        <w:jc w:val="both"/>
        <w:rPr>
          <w:b/>
          <w:bCs/>
        </w:rPr>
      </w:pPr>
    </w:p>
    <w:p w14:paraId="5BBB30A3" w14:textId="7091B111" w:rsidR="00E51CDD" w:rsidRPr="00E51CDD" w:rsidRDefault="00E51CDD" w:rsidP="00E51CDD">
      <w:pPr>
        <w:ind w:left="1560" w:hanging="1560"/>
        <w:jc w:val="both"/>
        <w:rPr>
          <w:bCs/>
        </w:rPr>
      </w:pPr>
      <w:bookmarkStart w:id="797" w:name="_Ref82779894"/>
      <w:r w:rsidRPr="00E51CDD">
        <w:rPr>
          <w:b/>
          <w:bCs/>
        </w:rPr>
        <w:t xml:space="preserve">Table </w:t>
      </w:r>
      <w:r w:rsidRPr="00E51CDD">
        <w:rPr>
          <w:b/>
          <w:bCs/>
        </w:rPr>
        <w:fldChar w:fldCharType="begin"/>
      </w:r>
      <w:r w:rsidRPr="00E51CDD">
        <w:rPr>
          <w:b/>
          <w:bCs/>
        </w:rPr>
        <w:instrText xml:space="preserve"> STYLEREF 2 \s </w:instrText>
      </w:r>
      <w:r w:rsidRPr="00E51CDD">
        <w:rPr>
          <w:b/>
          <w:bCs/>
        </w:rPr>
        <w:fldChar w:fldCharType="separate"/>
      </w:r>
      <w:r w:rsidR="00662F32">
        <w:rPr>
          <w:b/>
          <w:bCs/>
          <w:noProof/>
        </w:rPr>
        <w:t>9.8</w:t>
      </w:r>
      <w:r w:rsidRPr="00E51CDD">
        <w:rPr>
          <w:b/>
          <w:bCs/>
        </w:rPr>
        <w:fldChar w:fldCharType="end"/>
      </w:r>
      <w:r w:rsidRPr="00E51CDD">
        <w:rPr>
          <w:b/>
          <w:bCs/>
        </w:rPr>
        <w:noBreakHyphen/>
      </w:r>
      <w:r w:rsidRPr="00E51CDD">
        <w:rPr>
          <w:b/>
          <w:bCs/>
        </w:rPr>
        <w:fldChar w:fldCharType="begin"/>
      </w:r>
      <w:r w:rsidRPr="00E51CDD">
        <w:rPr>
          <w:b/>
          <w:bCs/>
        </w:rPr>
        <w:instrText xml:space="preserve"> SEQ Table \* ARABIC \s 2 </w:instrText>
      </w:r>
      <w:r w:rsidRPr="00E51CDD">
        <w:rPr>
          <w:b/>
          <w:bCs/>
        </w:rPr>
        <w:fldChar w:fldCharType="separate"/>
      </w:r>
      <w:r w:rsidR="00662F32">
        <w:rPr>
          <w:b/>
          <w:bCs/>
          <w:noProof/>
        </w:rPr>
        <w:t>1</w:t>
      </w:r>
      <w:r w:rsidRPr="00E51CDD">
        <w:rPr>
          <w:b/>
          <w:bCs/>
        </w:rPr>
        <w:fldChar w:fldCharType="end"/>
      </w:r>
      <w:bookmarkEnd w:id="797"/>
      <w:r w:rsidRPr="00E51CDD">
        <w:rPr>
          <w:b/>
          <w:bCs/>
        </w:rPr>
        <w:t>:</w:t>
      </w:r>
      <w:r w:rsidRPr="00E51CDD">
        <w:rPr>
          <w:b/>
          <w:bCs/>
        </w:rPr>
        <w:tab/>
        <w:t>Endpoints and effect values of fluxapyroxad and metabolites relevant for the risk assessment for earthworms and other non-target soil organisms (meso- and macrofauna)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692"/>
        <w:gridCol w:w="1937"/>
        <w:gridCol w:w="1768"/>
        <w:gridCol w:w="2304"/>
        <w:gridCol w:w="1644"/>
      </w:tblGrid>
      <w:tr w:rsidR="00E51CDD" w:rsidRPr="00E51CDD" w14:paraId="69E60E6C" w14:textId="77777777" w:rsidTr="009938D9">
        <w:trPr>
          <w:tblHeader/>
        </w:trPr>
        <w:tc>
          <w:tcPr>
            <w:tcW w:w="909" w:type="pct"/>
            <w:shd w:val="clear" w:color="auto" w:fill="auto"/>
          </w:tcPr>
          <w:p w14:paraId="3745CB83"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Species</w:t>
            </w:r>
          </w:p>
        </w:tc>
        <w:tc>
          <w:tcPr>
            <w:tcW w:w="1023" w:type="pct"/>
            <w:shd w:val="clear" w:color="auto" w:fill="auto"/>
          </w:tcPr>
          <w:p w14:paraId="0B9D2275"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Substance/metabolite</w:t>
            </w:r>
          </w:p>
        </w:tc>
        <w:tc>
          <w:tcPr>
            <w:tcW w:w="949" w:type="pct"/>
            <w:shd w:val="clear" w:color="auto" w:fill="auto"/>
          </w:tcPr>
          <w:p w14:paraId="263F8905"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Exposure System</w:t>
            </w:r>
          </w:p>
        </w:tc>
        <w:tc>
          <w:tcPr>
            <w:tcW w:w="1236" w:type="pct"/>
            <w:shd w:val="clear" w:color="auto" w:fill="auto"/>
          </w:tcPr>
          <w:p w14:paraId="6E78463A"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Results</w:t>
            </w:r>
          </w:p>
        </w:tc>
        <w:tc>
          <w:tcPr>
            <w:tcW w:w="883" w:type="pct"/>
            <w:shd w:val="clear" w:color="auto" w:fill="auto"/>
          </w:tcPr>
          <w:p w14:paraId="172B0EDE"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Reference</w:t>
            </w:r>
          </w:p>
        </w:tc>
      </w:tr>
      <w:tr w:rsidR="00E51CDD" w:rsidRPr="00E51CDD" w14:paraId="36DCEB90" w14:textId="77777777" w:rsidTr="009938D9">
        <w:tc>
          <w:tcPr>
            <w:tcW w:w="5000" w:type="pct"/>
            <w:gridSpan w:val="5"/>
            <w:shd w:val="clear" w:color="auto" w:fill="auto"/>
          </w:tcPr>
          <w:p w14:paraId="39C432C8" w14:textId="77777777" w:rsidR="00E51CDD" w:rsidRPr="00E51CDD" w:rsidRDefault="00E51CDD" w:rsidP="00E51CDD">
            <w:pPr>
              <w:widowControl w:val="0"/>
              <w:rPr>
                <w:b/>
                <w:bCs/>
                <w:iCs/>
                <w:noProof/>
                <w:sz w:val="20"/>
                <w:szCs w:val="20"/>
              </w:rPr>
            </w:pPr>
            <w:r w:rsidRPr="00E51CDD">
              <w:rPr>
                <w:b/>
                <w:noProof/>
                <w:sz w:val="20"/>
                <w:szCs w:val="20"/>
                <w:lang w:val="en-GB"/>
              </w:rPr>
              <w:t>Acute</w:t>
            </w:r>
            <w:r w:rsidRPr="00E51CDD">
              <w:rPr>
                <w:b/>
                <w:noProof/>
                <w:sz w:val="20"/>
                <w:szCs w:val="20"/>
                <w:vertAlign w:val="superscript"/>
                <w:lang w:val="en-GB"/>
              </w:rPr>
              <w:t xml:space="preserve"> #</w:t>
            </w:r>
          </w:p>
        </w:tc>
      </w:tr>
      <w:tr w:rsidR="00E51CDD" w:rsidRPr="00E51CDD" w14:paraId="5EA56C33" w14:textId="77777777" w:rsidTr="009938D9">
        <w:tc>
          <w:tcPr>
            <w:tcW w:w="909" w:type="pct"/>
            <w:shd w:val="clear" w:color="auto" w:fill="auto"/>
          </w:tcPr>
          <w:p w14:paraId="5445C309" w14:textId="77777777" w:rsidR="00E51CDD" w:rsidRPr="001D6183" w:rsidRDefault="00E51CDD" w:rsidP="00E51CDD">
            <w:pPr>
              <w:widowControl w:val="0"/>
              <w:rPr>
                <w:i/>
                <w:noProof/>
                <w:sz w:val="20"/>
                <w:szCs w:val="20"/>
                <w:lang w:val="en-GB"/>
              </w:rPr>
            </w:pPr>
            <w:r w:rsidRPr="001D6183">
              <w:rPr>
                <w:i/>
                <w:noProof/>
                <w:sz w:val="20"/>
                <w:szCs w:val="20"/>
                <w:lang w:val="en-GB"/>
              </w:rPr>
              <w:t>Eisenia fetida</w:t>
            </w:r>
          </w:p>
        </w:tc>
        <w:tc>
          <w:tcPr>
            <w:tcW w:w="1023" w:type="pct"/>
            <w:shd w:val="clear" w:color="auto" w:fill="auto"/>
          </w:tcPr>
          <w:p w14:paraId="1358144D" w14:textId="77777777" w:rsidR="00E51CDD" w:rsidRPr="001D6183" w:rsidRDefault="00E51CDD" w:rsidP="00E51CDD">
            <w:pPr>
              <w:widowControl w:val="0"/>
              <w:rPr>
                <w:noProof/>
                <w:sz w:val="20"/>
                <w:szCs w:val="20"/>
                <w:lang w:val="en-GB"/>
              </w:rPr>
            </w:pPr>
            <w:r w:rsidRPr="001D6183">
              <w:rPr>
                <w:noProof/>
                <w:sz w:val="20"/>
                <w:szCs w:val="20"/>
                <w:lang w:val="en-GB"/>
              </w:rPr>
              <w:t>fluxapyroxad</w:t>
            </w:r>
          </w:p>
        </w:tc>
        <w:tc>
          <w:tcPr>
            <w:tcW w:w="949" w:type="pct"/>
            <w:shd w:val="clear" w:color="auto" w:fill="auto"/>
          </w:tcPr>
          <w:p w14:paraId="350F9442" w14:textId="77777777" w:rsidR="00E51CDD" w:rsidRPr="001D6183" w:rsidRDefault="00E51CDD" w:rsidP="00E51CDD">
            <w:pPr>
              <w:widowControl w:val="0"/>
              <w:rPr>
                <w:noProof/>
                <w:sz w:val="20"/>
                <w:szCs w:val="20"/>
                <w:lang w:val="en-GB"/>
              </w:rPr>
            </w:pPr>
            <w:r w:rsidRPr="001D6183">
              <w:rPr>
                <w:noProof/>
                <w:sz w:val="20"/>
                <w:szCs w:val="20"/>
                <w:lang w:val="en-GB"/>
              </w:rPr>
              <w:t>Mixed into substrate</w:t>
            </w:r>
            <w:r w:rsidRPr="001D6183">
              <w:rPr>
                <w:noProof/>
                <w:sz w:val="20"/>
                <w:szCs w:val="20"/>
                <w:lang w:val="en-GB"/>
              </w:rPr>
              <w:br/>
              <w:t>14 d acute</w:t>
            </w:r>
            <w:r w:rsidRPr="001D6183">
              <w:rPr>
                <w:noProof/>
                <w:sz w:val="20"/>
                <w:szCs w:val="20"/>
                <w:lang w:val="en-GB"/>
              </w:rPr>
              <w:br/>
              <w:t>5% peat</w:t>
            </w:r>
          </w:p>
        </w:tc>
        <w:tc>
          <w:tcPr>
            <w:tcW w:w="1236" w:type="pct"/>
            <w:shd w:val="clear" w:color="auto" w:fill="auto"/>
          </w:tcPr>
          <w:p w14:paraId="31B769FD" w14:textId="77777777" w:rsidR="00E51CDD" w:rsidRPr="001D6183" w:rsidRDefault="00E51CDD" w:rsidP="00E51CDD">
            <w:pPr>
              <w:widowControl w:val="0"/>
              <w:rPr>
                <w:noProof/>
                <w:sz w:val="20"/>
                <w:szCs w:val="20"/>
                <w:lang w:val="en-GB"/>
              </w:rPr>
            </w:pPr>
            <w:r w:rsidRPr="001D6183">
              <w:rPr>
                <w:noProof/>
                <w:sz w:val="20"/>
                <w:szCs w:val="20"/>
                <w:lang w:val="en-GB"/>
              </w:rPr>
              <w:t>LC</w:t>
            </w:r>
            <w:r w:rsidRPr="001D6183">
              <w:rPr>
                <w:noProof/>
                <w:sz w:val="20"/>
                <w:szCs w:val="20"/>
                <w:vertAlign w:val="subscript"/>
                <w:lang w:val="en-GB"/>
              </w:rPr>
              <w:t>50</w:t>
            </w:r>
            <w:r w:rsidRPr="001D6183">
              <w:rPr>
                <w:noProof/>
                <w:sz w:val="20"/>
                <w:szCs w:val="20"/>
                <w:lang w:val="en-GB"/>
              </w:rPr>
              <w:t xml:space="preserve"> &gt; 1000 mg/kg dry soil </w:t>
            </w:r>
          </w:p>
        </w:tc>
        <w:tc>
          <w:tcPr>
            <w:tcW w:w="883" w:type="pct"/>
            <w:shd w:val="clear" w:color="auto" w:fill="auto"/>
          </w:tcPr>
          <w:p w14:paraId="6469E9B9" w14:textId="77777777" w:rsidR="00E51CDD" w:rsidRPr="001D6183" w:rsidRDefault="00E51CDD" w:rsidP="00E51CDD">
            <w:pPr>
              <w:widowControl w:val="0"/>
              <w:rPr>
                <w:bCs/>
                <w:iCs/>
                <w:noProof/>
                <w:sz w:val="20"/>
                <w:szCs w:val="20"/>
                <w:lang w:val="en-GB" w:eastAsia="en-US"/>
              </w:rPr>
            </w:pPr>
            <w:r w:rsidRPr="001D6183">
              <w:rPr>
                <w:bCs/>
                <w:iCs/>
                <w:noProof/>
                <w:sz w:val="20"/>
                <w:szCs w:val="20"/>
                <w:lang w:val="en-GB" w:eastAsia="en-US"/>
              </w:rPr>
              <w:t>EFSA Journal 2012; 10(1):2522</w:t>
            </w:r>
          </w:p>
          <w:p w14:paraId="4E383DBD" w14:textId="77777777" w:rsidR="00E51CDD" w:rsidRPr="001D6183" w:rsidRDefault="00E51CDD" w:rsidP="00E51CDD">
            <w:pPr>
              <w:widowControl w:val="0"/>
              <w:rPr>
                <w:bCs/>
                <w:iCs/>
                <w:noProof/>
                <w:sz w:val="20"/>
                <w:szCs w:val="20"/>
                <w:lang w:val="en-GB"/>
              </w:rPr>
            </w:pPr>
            <w:r w:rsidRPr="001D6183">
              <w:rPr>
                <w:noProof/>
                <w:sz w:val="20"/>
                <w:szCs w:val="20"/>
                <w:lang w:val="en-GB"/>
              </w:rPr>
              <w:t>2009/1072245</w:t>
            </w:r>
          </w:p>
        </w:tc>
      </w:tr>
      <w:tr w:rsidR="00E51CDD" w:rsidRPr="00E51CDD" w14:paraId="3A705C9B" w14:textId="77777777" w:rsidTr="009938D9">
        <w:tc>
          <w:tcPr>
            <w:tcW w:w="909" w:type="pct"/>
            <w:shd w:val="clear" w:color="auto" w:fill="auto"/>
          </w:tcPr>
          <w:p w14:paraId="0B34D9FD" w14:textId="77777777" w:rsidR="00E51CDD" w:rsidRPr="001D6183" w:rsidRDefault="00E51CDD" w:rsidP="00E51CDD">
            <w:pPr>
              <w:widowControl w:val="0"/>
              <w:rPr>
                <w:i/>
                <w:noProof/>
                <w:sz w:val="20"/>
                <w:szCs w:val="20"/>
                <w:lang w:val="en-GB"/>
              </w:rPr>
            </w:pPr>
            <w:r w:rsidRPr="001D6183">
              <w:rPr>
                <w:i/>
                <w:noProof/>
                <w:sz w:val="20"/>
                <w:szCs w:val="20"/>
                <w:lang w:val="en-GB"/>
              </w:rPr>
              <w:t>Eisenia fetida</w:t>
            </w:r>
          </w:p>
        </w:tc>
        <w:tc>
          <w:tcPr>
            <w:tcW w:w="1023" w:type="pct"/>
            <w:shd w:val="clear" w:color="auto" w:fill="auto"/>
          </w:tcPr>
          <w:p w14:paraId="059B8340" w14:textId="77777777" w:rsidR="00E51CDD" w:rsidRPr="001D6183" w:rsidRDefault="00E51CDD" w:rsidP="00E51CDD">
            <w:pPr>
              <w:widowControl w:val="0"/>
              <w:rPr>
                <w:noProof/>
                <w:sz w:val="20"/>
                <w:szCs w:val="20"/>
                <w:lang w:val="en-GB"/>
              </w:rPr>
            </w:pPr>
            <w:r w:rsidRPr="001D6183">
              <w:rPr>
                <w:noProof/>
                <w:sz w:val="20"/>
                <w:szCs w:val="20"/>
                <w:lang w:val="en-GB"/>
              </w:rPr>
              <w:t>Metabolite, Reg. No. 5 069 089</w:t>
            </w:r>
            <w:r w:rsidRPr="001D6183">
              <w:rPr>
                <w:noProof/>
                <w:sz w:val="20"/>
                <w:szCs w:val="20"/>
                <w:lang w:val="en-GB"/>
              </w:rPr>
              <w:br/>
              <w:t>M700F001</w:t>
            </w:r>
          </w:p>
        </w:tc>
        <w:tc>
          <w:tcPr>
            <w:tcW w:w="949" w:type="pct"/>
            <w:shd w:val="clear" w:color="auto" w:fill="auto"/>
          </w:tcPr>
          <w:p w14:paraId="3A06D48A" w14:textId="77777777" w:rsidR="00E51CDD" w:rsidRPr="001D6183" w:rsidRDefault="00E51CDD" w:rsidP="00E51CDD">
            <w:pPr>
              <w:widowControl w:val="0"/>
              <w:rPr>
                <w:noProof/>
                <w:sz w:val="20"/>
                <w:szCs w:val="20"/>
                <w:lang w:val="en-GB"/>
              </w:rPr>
            </w:pPr>
            <w:r w:rsidRPr="001D6183">
              <w:rPr>
                <w:noProof/>
                <w:sz w:val="20"/>
                <w:szCs w:val="20"/>
                <w:lang w:val="en-GB"/>
              </w:rPr>
              <w:t>Mixed into substrate</w:t>
            </w:r>
            <w:r w:rsidRPr="001D6183">
              <w:rPr>
                <w:noProof/>
                <w:sz w:val="20"/>
                <w:szCs w:val="20"/>
                <w:lang w:val="en-GB"/>
              </w:rPr>
              <w:br/>
              <w:t>14 d acute</w:t>
            </w:r>
            <w:r w:rsidRPr="001D6183">
              <w:rPr>
                <w:noProof/>
                <w:sz w:val="20"/>
                <w:szCs w:val="20"/>
                <w:lang w:val="en-GB"/>
              </w:rPr>
              <w:br/>
              <w:t>10% peat</w:t>
            </w:r>
          </w:p>
        </w:tc>
        <w:tc>
          <w:tcPr>
            <w:tcW w:w="1236" w:type="pct"/>
            <w:shd w:val="clear" w:color="auto" w:fill="auto"/>
          </w:tcPr>
          <w:p w14:paraId="33148501" w14:textId="77777777" w:rsidR="00E51CDD" w:rsidRPr="001D6183" w:rsidRDefault="00E51CDD" w:rsidP="00E51CDD">
            <w:pPr>
              <w:widowControl w:val="0"/>
              <w:rPr>
                <w:noProof/>
                <w:sz w:val="20"/>
                <w:szCs w:val="20"/>
                <w:lang w:val="en-GB"/>
              </w:rPr>
            </w:pPr>
            <w:r w:rsidRPr="001D6183">
              <w:rPr>
                <w:noProof/>
                <w:sz w:val="20"/>
                <w:szCs w:val="20"/>
                <w:lang w:val="en-GB"/>
              </w:rPr>
              <w:t>LC</w:t>
            </w:r>
            <w:r w:rsidRPr="001D6183">
              <w:rPr>
                <w:noProof/>
                <w:sz w:val="20"/>
                <w:szCs w:val="20"/>
                <w:vertAlign w:val="subscript"/>
                <w:lang w:val="en-GB"/>
              </w:rPr>
              <w:t>50</w:t>
            </w:r>
            <w:r w:rsidRPr="001D6183">
              <w:rPr>
                <w:noProof/>
                <w:sz w:val="20"/>
                <w:szCs w:val="20"/>
                <w:lang w:val="en-GB"/>
              </w:rPr>
              <w:t xml:space="preserve"> &gt; 1000 mg/kg dry soil</w:t>
            </w:r>
          </w:p>
        </w:tc>
        <w:tc>
          <w:tcPr>
            <w:tcW w:w="883" w:type="pct"/>
            <w:shd w:val="clear" w:color="auto" w:fill="auto"/>
          </w:tcPr>
          <w:p w14:paraId="353F4D28" w14:textId="77777777" w:rsidR="00E51CDD" w:rsidRPr="001D6183" w:rsidRDefault="00E51CDD" w:rsidP="00E51CDD">
            <w:pPr>
              <w:widowControl w:val="0"/>
              <w:rPr>
                <w:bCs/>
                <w:iCs/>
                <w:noProof/>
                <w:sz w:val="20"/>
                <w:szCs w:val="20"/>
                <w:lang w:val="en-GB" w:eastAsia="en-US"/>
              </w:rPr>
            </w:pPr>
            <w:r w:rsidRPr="001D6183">
              <w:rPr>
                <w:bCs/>
                <w:iCs/>
                <w:noProof/>
                <w:sz w:val="20"/>
                <w:szCs w:val="20"/>
                <w:lang w:val="en-GB" w:eastAsia="en-US"/>
              </w:rPr>
              <w:t>EFSA Journal 2012; 10(1):2522</w:t>
            </w:r>
          </w:p>
          <w:p w14:paraId="587FD08B" w14:textId="77777777" w:rsidR="00E51CDD" w:rsidRPr="001D6183" w:rsidRDefault="00E51CDD" w:rsidP="00E51CDD">
            <w:pPr>
              <w:widowControl w:val="0"/>
              <w:rPr>
                <w:bCs/>
                <w:iCs/>
                <w:noProof/>
                <w:sz w:val="20"/>
                <w:szCs w:val="20"/>
                <w:lang w:val="en-GB"/>
              </w:rPr>
            </w:pPr>
            <w:r w:rsidRPr="001D6183">
              <w:rPr>
                <w:noProof/>
                <w:sz w:val="20"/>
                <w:szCs w:val="20"/>
                <w:lang w:val="en-GB"/>
              </w:rPr>
              <w:t>2009/1050216</w:t>
            </w:r>
          </w:p>
        </w:tc>
      </w:tr>
      <w:tr w:rsidR="00E51CDD" w:rsidRPr="00E51CDD" w14:paraId="2E247923" w14:textId="77777777" w:rsidTr="009938D9">
        <w:tc>
          <w:tcPr>
            <w:tcW w:w="909" w:type="pct"/>
            <w:shd w:val="clear" w:color="auto" w:fill="auto"/>
          </w:tcPr>
          <w:p w14:paraId="039D86AC" w14:textId="77777777" w:rsidR="00E51CDD" w:rsidRPr="001D6183" w:rsidRDefault="00E51CDD" w:rsidP="00E51CDD">
            <w:pPr>
              <w:widowControl w:val="0"/>
              <w:rPr>
                <w:i/>
                <w:noProof/>
                <w:sz w:val="20"/>
                <w:szCs w:val="20"/>
                <w:lang w:val="en-GB"/>
              </w:rPr>
            </w:pPr>
            <w:r w:rsidRPr="001D6183">
              <w:rPr>
                <w:i/>
                <w:noProof/>
                <w:sz w:val="20"/>
                <w:szCs w:val="20"/>
                <w:lang w:val="en-GB"/>
              </w:rPr>
              <w:t>Eisenia fetida</w:t>
            </w:r>
          </w:p>
        </w:tc>
        <w:tc>
          <w:tcPr>
            <w:tcW w:w="1023" w:type="pct"/>
            <w:shd w:val="clear" w:color="auto" w:fill="auto"/>
          </w:tcPr>
          <w:p w14:paraId="4D44183A" w14:textId="77777777" w:rsidR="00E51CDD" w:rsidRPr="001D6183" w:rsidRDefault="00E51CDD" w:rsidP="00E51CDD">
            <w:pPr>
              <w:widowControl w:val="0"/>
              <w:rPr>
                <w:noProof/>
                <w:sz w:val="20"/>
                <w:szCs w:val="20"/>
                <w:lang w:val="en-GB"/>
              </w:rPr>
            </w:pPr>
            <w:r w:rsidRPr="001D6183">
              <w:rPr>
                <w:noProof/>
                <w:sz w:val="20"/>
                <w:szCs w:val="20"/>
                <w:lang w:val="en-GB"/>
              </w:rPr>
              <w:t>Metabolite, Reg. No. 5 435 595</w:t>
            </w:r>
            <w:r w:rsidRPr="001D6183">
              <w:rPr>
                <w:noProof/>
                <w:sz w:val="20"/>
                <w:szCs w:val="20"/>
                <w:lang w:val="en-GB"/>
              </w:rPr>
              <w:br/>
              <w:t>M700F002</w:t>
            </w:r>
          </w:p>
        </w:tc>
        <w:tc>
          <w:tcPr>
            <w:tcW w:w="949" w:type="pct"/>
            <w:shd w:val="clear" w:color="auto" w:fill="auto"/>
          </w:tcPr>
          <w:p w14:paraId="48623533" w14:textId="77777777" w:rsidR="00E51CDD" w:rsidRPr="001D6183" w:rsidRDefault="00E51CDD" w:rsidP="00E51CDD">
            <w:pPr>
              <w:widowControl w:val="0"/>
              <w:rPr>
                <w:noProof/>
                <w:sz w:val="20"/>
                <w:szCs w:val="20"/>
                <w:lang w:val="en-GB"/>
              </w:rPr>
            </w:pPr>
            <w:r w:rsidRPr="001D6183">
              <w:rPr>
                <w:noProof/>
                <w:sz w:val="20"/>
                <w:szCs w:val="20"/>
                <w:lang w:val="en-GB"/>
              </w:rPr>
              <w:t>Mixed into substrate</w:t>
            </w:r>
            <w:r w:rsidRPr="001D6183">
              <w:rPr>
                <w:noProof/>
                <w:sz w:val="20"/>
                <w:szCs w:val="20"/>
                <w:lang w:val="en-GB"/>
              </w:rPr>
              <w:br/>
              <w:t>14 d acute</w:t>
            </w:r>
            <w:r w:rsidRPr="001D6183">
              <w:rPr>
                <w:noProof/>
                <w:sz w:val="20"/>
                <w:szCs w:val="20"/>
                <w:lang w:val="en-GB"/>
              </w:rPr>
              <w:br/>
              <w:t>10% peat</w:t>
            </w:r>
          </w:p>
        </w:tc>
        <w:tc>
          <w:tcPr>
            <w:tcW w:w="1236" w:type="pct"/>
            <w:shd w:val="clear" w:color="auto" w:fill="auto"/>
          </w:tcPr>
          <w:p w14:paraId="7A9FADFB" w14:textId="77777777" w:rsidR="00E51CDD" w:rsidRPr="001D6183" w:rsidRDefault="00E51CDD" w:rsidP="00E51CDD">
            <w:pPr>
              <w:widowControl w:val="0"/>
              <w:rPr>
                <w:noProof/>
                <w:sz w:val="20"/>
                <w:szCs w:val="20"/>
                <w:lang w:val="en-GB"/>
              </w:rPr>
            </w:pPr>
            <w:r w:rsidRPr="001D6183">
              <w:rPr>
                <w:noProof/>
                <w:sz w:val="20"/>
                <w:szCs w:val="20"/>
                <w:lang w:val="en-GB"/>
              </w:rPr>
              <w:t>LC</w:t>
            </w:r>
            <w:r w:rsidRPr="001D6183">
              <w:rPr>
                <w:noProof/>
                <w:sz w:val="20"/>
                <w:szCs w:val="20"/>
                <w:vertAlign w:val="subscript"/>
                <w:lang w:val="en-GB"/>
              </w:rPr>
              <w:t>50</w:t>
            </w:r>
            <w:r w:rsidRPr="001D6183">
              <w:rPr>
                <w:noProof/>
                <w:sz w:val="20"/>
                <w:szCs w:val="20"/>
                <w:lang w:val="en-GB"/>
              </w:rPr>
              <w:t xml:space="preserve"> &gt; 1000 mg/kg dry soil</w:t>
            </w:r>
          </w:p>
        </w:tc>
        <w:tc>
          <w:tcPr>
            <w:tcW w:w="883" w:type="pct"/>
            <w:shd w:val="clear" w:color="auto" w:fill="auto"/>
          </w:tcPr>
          <w:p w14:paraId="5AE268D3" w14:textId="77777777" w:rsidR="00E51CDD" w:rsidRPr="001D6183" w:rsidRDefault="00E51CDD" w:rsidP="00E51CDD">
            <w:pPr>
              <w:widowControl w:val="0"/>
              <w:rPr>
                <w:bCs/>
                <w:iCs/>
                <w:noProof/>
                <w:sz w:val="20"/>
                <w:szCs w:val="20"/>
                <w:lang w:val="en-GB" w:eastAsia="en-US"/>
              </w:rPr>
            </w:pPr>
            <w:r w:rsidRPr="001D6183">
              <w:rPr>
                <w:bCs/>
                <w:iCs/>
                <w:noProof/>
                <w:sz w:val="20"/>
                <w:szCs w:val="20"/>
                <w:lang w:val="en-GB" w:eastAsia="en-US"/>
              </w:rPr>
              <w:t>EFSA Journal 2012; 10(1):2522</w:t>
            </w:r>
          </w:p>
          <w:p w14:paraId="3ADC3D32" w14:textId="77777777" w:rsidR="00E51CDD" w:rsidRPr="001D6183" w:rsidRDefault="00E51CDD" w:rsidP="00E51CDD">
            <w:pPr>
              <w:widowControl w:val="0"/>
              <w:rPr>
                <w:bCs/>
                <w:iCs/>
                <w:noProof/>
                <w:sz w:val="20"/>
                <w:szCs w:val="20"/>
                <w:lang w:val="en-GB"/>
              </w:rPr>
            </w:pPr>
            <w:r w:rsidRPr="001D6183">
              <w:rPr>
                <w:noProof/>
                <w:sz w:val="20"/>
                <w:szCs w:val="20"/>
                <w:lang w:val="en-GB"/>
              </w:rPr>
              <w:t>2009/1072244</w:t>
            </w:r>
          </w:p>
        </w:tc>
      </w:tr>
      <w:tr w:rsidR="00E51CDD" w:rsidRPr="00E51CDD" w14:paraId="0D992525" w14:textId="77777777" w:rsidTr="009938D9">
        <w:tc>
          <w:tcPr>
            <w:tcW w:w="5000" w:type="pct"/>
            <w:gridSpan w:val="5"/>
            <w:shd w:val="clear" w:color="auto" w:fill="auto"/>
          </w:tcPr>
          <w:p w14:paraId="4848029D" w14:textId="77777777" w:rsidR="00E51CDD" w:rsidRPr="001D6183" w:rsidRDefault="00E51CDD" w:rsidP="00E51CDD">
            <w:pPr>
              <w:widowControl w:val="0"/>
              <w:rPr>
                <w:bCs/>
                <w:iCs/>
                <w:noProof/>
                <w:sz w:val="20"/>
                <w:szCs w:val="20"/>
                <w:lang w:val="en-GB"/>
              </w:rPr>
            </w:pPr>
            <w:r w:rsidRPr="001D6183">
              <w:rPr>
                <w:b/>
                <w:bCs/>
                <w:iCs/>
                <w:noProof/>
                <w:sz w:val="20"/>
                <w:szCs w:val="20"/>
                <w:lang w:val="en-GB"/>
              </w:rPr>
              <w:t>Chronic</w:t>
            </w:r>
          </w:p>
        </w:tc>
      </w:tr>
      <w:tr w:rsidR="00E51CDD" w:rsidRPr="00E51CDD" w14:paraId="357A5C73" w14:textId="77777777" w:rsidTr="009938D9">
        <w:trPr>
          <w:trHeight w:val="28"/>
        </w:trPr>
        <w:tc>
          <w:tcPr>
            <w:tcW w:w="909" w:type="pct"/>
            <w:shd w:val="clear" w:color="auto" w:fill="auto"/>
          </w:tcPr>
          <w:p w14:paraId="4732A354" w14:textId="77777777" w:rsidR="00E51CDD" w:rsidRPr="008474BC" w:rsidRDefault="00E51CDD" w:rsidP="00E51CDD">
            <w:pPr>
              <w:widowControl w:val="0"/>
              <w:rPr>
                <w:i/>
                <w:strike/>
                <w:noProof/>
                <w:color w:val="D9D9D9" w:themeColor="background1" w:themeShade="D9"/>
                <w:sz w:val="20"/>
                <w:szCs w:val="20"/>
                <w:lang w:val="en-GB"/>
              </w:rPr>
            </w:pPr>
            <w:r w:rsidRPr="008474BC">
              <w:rPr>
                <w:i/>
                <w:strike/>
                <w:noProof/>
                <w:color w:val="D9D9D9" w:themeColor="background1" w:themeShade="D9"/>
                <w:sz w:val="20"/>
                <w:szCs w:val="20"/>
                <w:lang w:val="en-GB"/>
              </w:rPr>
              <w:t>Eisenia fetida</w:t>
            </w:r>
          </w:p>
        </w:tc>
        <w:tc>
          <w:tcPr>
            <w:tcW w:w="1023" w:type="pct"/>
            <w:shd w:val="clear" w:color="auto" w:fill="auto"/>
          </w:tcPr>
          <w:p w14:paraId="7CB0B1C4" w14:textId="77777777" w:rsidR="00E51CDD" w:rsidRPr="008474BC" w:rsidRDefault="00E51CDD" w:rsidP="00E51CDD">
            <w:pPr>
              <w:widowControl w:val="0"/>
              <w:rPr>
                <w:strike/>
                <w:noProof/>
                <w:color w:val="D9D9D9" w:themeColor="background1" w:themeShade="D9"/>
                <w:sz w:val="20"/>
                <w:szCs w:val="20"/>
                <w:lang w:val="en-GB"/>
              </w:rPr>
            </w:pPr>
            <w:r w:rsidRPr="008474BC">
              <w:rPr>
                <w:strike/>
                <w:noProof/>
                <w:color w:val="D9D9D9" w:themeColor="background1" w:themeShade="D9"/>
                <w:sz w:val="20"/>
                <w:szCs w:val="20"/>
                <w:lang w:val="en-GB"/>
              </w:rPr>
              <w:t>fluxapyroxad</w:t>
            </w:r>
          </w:p>
        </w:tc>
        <w:tc>
          <w:tcPr>
            <w:tcW w:w="949" w:type="pct"/>
            <w:shd w:val="clear" w:color="auto" w:fill="auto"/>
          </w:tcPr>
          <w:p w14:paraId="21A0ADC2" w14:textId="77777777" w:rsidR="00E51CDD" w:rsidRPr="008474BC" w:rsidRDefault="00E51CDD" w:rsidP="00E51CDD">
            <w:pPr>
              <w:widowControl w:val="0"/>
              <w:rPr>
                <w:strike/>
                <w:noProof/>
                <w:color w:val="D9D9D9" w:themeColor="background1" w:themeShade="D9"/>
                <w:sz w:val="20"/>
                <w:szCs w:val="20"/>
                <w:lang w:val="en-GB"/>
              </w:rPr>
            </w:pPr>
            <w:r w:rsidRPr="008474BC">
              <w:rPr>
                <w:strike/>
                <w:noProof/>
                <w:color w:val="D9D9D9" w:themeColor="background1" w:themeShade="D9"/>
                <w:sz w:val="20"/>
                <w:szCs w:val="20"/>
                <w:lang w:val="en-GB"/>
              </w:rPr>
              <w:t>Mixed into substrate</w:t>
            </w:r>
            <w:r w:rsidRPr="008474BC">
              <w:rPr>
                <w:strike/>
                <w:noProof/>
                <w:color w:val="D9D9D9" w:themeColor="background1" w:themeShade="D9"/>
                <w:sz w:val="20"/>
                <w:szCs w:val="20"/>
                <w:lang w:val="en-GB"/>
              </w:rPr>
              <w:br/>
              <w:t>56 d chronic</w:t>
            </w:r>
            <w:r w:rsidRPr="008474BC">
              <w:rPr>
                <w:strike/>
                <w:noProof/>
                <w:color w:val="D9D9D9" w:themeColor="background1" w:themeShade="D9"/>
                <w:sz w:val="20"/>
                <w:szCs w:val="20"/>
                <w:lang w:val="en-GB"/>
              </w:rPr>
              <w:br/>
              <w:t>10% peat</w:t>
            </w:r>
          </w:p>
        </w:tc>
        <w:tc>
          <w:tcPr>
            <w:tcW w:w="1236" w:type="pct"/>
            <w:shd w:val="clear" w:color="auto" w:fill="auto"/>
          </w:tcPr>
          <w:p w14:paraId="2C36A134" w14:textId="77777777" w:rsidR="00E51CDD" w:rsidRPr="008474BC" w:rsidRDefault="00E51CDD" w:rsidP="00E51CDD">
            <w:pPr>
              <w:widowControl w:val="0"/>
              <w:rPr>
                <w:strike/>
                <w:noProof/>
                <w:color w:val="D9D9D9" w:themeColor="background1" w:themeShade="D9"/>
                <w:sz w:val="20"/>
                <w:szCs w:val="20"/>
                <w:lang w:val="en-GB"/>
              </w:rPr>
            </w:pPr>
            <w:r w:rsidRPr="008474BC">
              <w:rPr>
                <w:strike/>
                <w:noProof/>
                <w:color w:val="D9D9D9" w:themeColor="background1" w:themeShade="D9"/>
                <w:sz w:val="20"/>
                <w:szCs w:val="20"/>
                <w:lang w:val="en-GB"/>
              </w:rPr>
              <w:t>NOEC = 122 mg/kg dry soil</w:t>
            </w:r>
            <w:r w:rsidRPr="008474BC">
              <w:rPr>
                <w:strike/>
                <w:noProof/>
                <w:color w:val="D9D9D9" w:themeColor="background1" w:themeShade="D9"/>
                <w:sz w:val="20"/>
                <w:szCs w:val="20"/>
                <w:lang w:val="en-GB"/>
              </w:rPr>
              <w:br/>
            </w:r>
            <w:r w:rsidRPr="008474BC">
              <w:rPr>
                <w:b/>
                <w:strike/>
                <w:noProof/>
                <w:color w:val="D9D9D9" w:themeColor="background1" w:themeShade="D9"/>
                <w:sz w:val="20"/>
                <w:szCs w:val="20"/>
                <w:lang w:val="en-GB"/>
              </w:rPr>
              <w:t>NOEC </w:t>
            </w:r>
            <w:r w:rsidRPr="008474BC">
              <w:rPr>
                <w:b/>
                <w:strike/>
                <w:noProof/>
                <w:color w:val="D9D9D9" w:themeColor="background1" w:themeShade="D9"/>
                <w:sz w:val="20"/>
                <w:szCs w:val="20"/>
                <w:vertAlign w:val="subscript"/>
                <w:lang w:val="en-GB"/>
              </w:rPr>
              <w:t>CORR</w:t>
            </w:r>
            <w:r w:rsidRPr="008474BC">
              <w:rPr>
                <w:b/>
                <w:strike/>
                <w:noProof/>
                <w:color w:val="D9D9D9" w:themeColor="background1" w:themeShade="D9"/>
                <w:sz w:val="20"/>
                <w:szCs w:val="20"/>
                <w:lang w:val="en-GB"/>
              </w:rPr>
              <w:t xml:space="preserve"> = 61 mg/kg dry soil</w:t>
            </w:r>
            <w:r w:rsidRPr="008474BC">
              <w:rPr>
                <w:b/>
                <w:strike/>
                <w:noProof/>
                <w:color w:val="D9D9D9" w:themeColor="background1" w:themeShade="D9"/>
                <w:sz w:val="20"/>
                <w:szCs w:val="20"/>
                <w:vertAlign w:val="superscript"/>
                <w:lang w:val="en-GB"/>
              </w:rPr>
              <w:t xml:space="preserve"> *</w:t>
            </w:r>
          </w:p>
        </w:tc>
        <w:tc>
          <w:tcPr>
            <w:tcW w:w="883" w:type="pct"/>
            <w:shd w:val="clear" w:color="auto" w:fill="auto"/>
          </w:tcPr>
          <w:p w14:paraId="46D3046F" w14:textId="77777777" w:rsidR="00E51CDD" w:rsidRPr="008474BC" w:rsidRDefault="00E51CDD" w:rsidP="00E51CDD">
            <w:pPr>
              <w:widowControl w:val="0"/>
              <w:rPr>
                <w:strike/>
                <w:color w:val="D9D9D9" w:themeColor="background1" w:themeShade="D9"/>
                <w:sz w:val="20"/>
                <w:szCs w:val="20"/>
                <w:lang w:val="en-GB"/>
              </w:rPr>
            </w:pPr>
            <w:r w:rsidRPr="008474BC">
              <w:rPr>
                <w:strike/>
                <w:color w:val="D9D9D9" w:themeColor="background1" w:themeShade="D9"/>
                <w:sz w:val="20"/>
                <w:szCs w:val="20"/>
                <w:lang w:val="en-GB"/>
              </w:rPr>
              <w:t>not EU evaluated</w:t>
            </w:r>
          </w:p>
          <w:p w14:paraId="285DE72C" w14:textId="77777777" w:rsidR="00E51CDD" w:rsidRPr="008474BC" w:rsidRDefault="00E51CDD" w:rsidP="00E51CDD">
            <w:pPr>
              <w:widowControl w:val="0"/>
              <w:rPr>
                <w:bCs/>
                <w:iCs/>
                <w:strike/>
                <w:noProof/>
                <w:color w:val="D9D9D9" w:themeColor="background1" w:themeShade="D9"/>
                <w:sz w:val="20"/>
                <w:szCs w:val="20"/>
                <w:lang w:val="en-GB"/>
              </w:rPr>
            </w:pPr>
            <w:r w:rsidRPr="008474BC">
              <w:rPr>
                <w:bCs/>
                <w:iCs/>
                <w:strike/>
                <w:noProof/>
                <w:color w:val="D9D9D9" w:themeColor="background1" w:themeShade="D9"/>
                <w:sz w:val="20"/>
                <w:szCs w:val="20"/>
                <w:lang w:val="en-GB" w:eastAsia="en-US"/>
              </w:rPr>
              <w:t>2014/1135449</w:t>
            </w:r>
          </w:p>
        </w:tc>
      </w:tr>
      <w:tr w:rsidR="00E51CDD" w:rsidRPr="00E51CDD" w14:paraId="3CD08719" w14:textId="77777777" w:rsidTr="009938D9">
        <w:tc>
          <w:tcPr>
            <w:tcW w:w="909" w:type="pct"/>
            <w:shd w:val="clear" w:color="auto" w:fill="auto"/>
          </w:tcPr>
          <w:p w14:paraId="32397CF9" w14:textId="77777777" w:rsidR="00E51CDD" w:rsidRPr="001D6183" w:rsidRDefault="00E51CDD" w:rsidP="00E51CDD">
            <w:pPr>
              <w:widowControl w:val="0"/>
              <w:rPr>
                <w:i/>
                <w:noProof/>
                <w:sz w:val="20"/>
                <w:szCs w:val="20"/>
                <w:lang w:val="en-GB"/>
              </w:rPr>
            </w:pPr>
            <w:r w:rsidRPr="001D6183">
              <w:rPr>
                <w:i/>
                <w:noProof/>
                <w:sz w:val="20"/>
                <w:szCs w:val="20"/>
                <w:lang w:val="en-GB"/>
              </w:rPr>
              <w:t>Eisenia fetida</w:t>
            </w:r>
          </w:p>
        </w:tc>
        <w:tc>
          <w:tcPr>
            <w:tcW w:w="1023" w:type="pct"/>
            <w:shd w:val="clear" w:color="auto" w:fill="auto"/>
          </w:tcPr>
          <w:p w14:paraId="627C2416" w14:textId="77777777" w:rsidR="00E51CDD" w:rsidRPr="001D6183" w:rsidRDefault="00E51CDD" w:rsidP="00E51CDD">
            <w:pPr>
              <w:widowControl w:val="0"/>
              <w:rPr>
                <w:noProof/>
                <w:sz w:val="20"/>
                <w:szCs w:val="20"/>
                <w:lang w:val="en-GB"/>
              </w:rPr>
            </w:pPr>
            <w:r w:rsidRPr="001D6183">
              <w:rPr>
                <w:noProof/>
                <w:sz w:val="20"/>
                <w:szCs w:val="20"/>
                <w:lang w:val="en-GB"/>
              </w:rPr>
              <w:t>Metabolite, Reg. No. 5 069 089</w:t>
            </w:r>
            <w:r w:rsidRPr="001D6183">
              <w:rPr>
                <w:noProof/>
                <w:sz w:val="20"/>
                <w:szCs w:val="20"/>
                <w:lang w:val="en-GB"/>
              </w:rPr>
              <w:br/>
              <w:t>M700F001</w:t>
            </w:r>
          </w:p>
        </w:tc>
        <w:tc>
          <w:tcPr>
            <w:tcW w:w="949" w:type="pct"/>
            <w:shd w:val="clear" w:color="auto" w:fill="auto"/>
          </w:tcPr>
          <w:p w14:paraId="4F8152B5" w14:textId="77777777" w:rsidR="00E51CDD" w:rsidRPr="001D6183" w:rsidRDefault="00E51CDD" w:rsidP="00E51CDD">
            <w:pPr>
              <w:widowControl w:val="0"/>
              <w:rPr>
                <w:noProof/>
                <w:sz w:val="20"/>
                <w:szCs w:val="20"/>
                <w:lang w:val="en-GB"/>
              </w:rPr>
            </w:pPr>
            <w:r w:rsidRPr="001D6183">
              <w:rPr>
                <w:noProof/>
                <w:sz w:val="20"/>
                <w:szCs w:val="20"/>
                <w:lang w:val="en-GB"/>
              </w:rPr>
              <w:t>Mixed into substrate</w:t>
            </w:r>
            <w:r w:rsidRPr="001D6183">
              <w:rPr>
                <w:noProof/>
                <w:sz w:val="20"/>
                <w:szCs w:val="20"/>
                <w:lang w:val="en-GB"/>
              </w:rPr>
              <w:br/>
              <w:t>56 d chronic</w:t>
            </w:r>
            <w:r w:rsidRPr="001D6183">
              <w:rPr>
                <w:noProof/>
                <w:sz w:val="20"/>
                <w:szCs w:val="20"/>
                <w:lang w:val="en-GB"/>
              </w:rPr>
              <w:br/>
              <w:t>5% peat</w:t>
            </w:r>
          </w:p>
        </w:tc>
        <w:tc>
          <w:tcPr>
            <w:tcW w:w="1236" w:type="pct"/>
            <w:shd w:val="clear" w:color="auto" w:fill="auto"/>
          </w:tcPr>
          <w:p w14:paraId="2F4EC71E" w14:textId="77777777" w:rsidR="00E51CDD" w:rsidRPr="001D6183" w:rsidRDefault="00E51CDD" w:rsidP="00E51CDD">
            <w:pPr>
              <w:widowControl w:val="0"/>
              <w:rPr>
                <w:b/>
                <w:noProof/>
                <w:sz w:val="20"/>
                <w:szCs w:val="20"/>
                <w:lang w:val="en-GB"/>
              </w:rPr>
            </w:pPr>
            <w:r w:rsidRPr="001D6183">
              <w:rPr>
                <w:b/>
                <w:noProof/>
                <w:sz w:val="20"/>
                <w:szCs w:val="20"/>
                <w:lang w:val="en-GB"/>
              </w:rPr>
              <w:t xml:space="preserve">NOEC </w:t>
            </w:r>
            <w:r w:rsidRPr="001D6183">
              <w:rPr>
                <w:rFonts w:eastAsia="PMingLiU"/>
                <w:b/>
                <w:noProof/>
                <w:sz w:val="20"/>
                <w:szCs w:val="20"/>
                <w:lang w:val="en-GB"/>
              </w:rPr>
              <w:t>≥</w:t>
            </w:r>
            <w:r w:rsidRPr="001D6183">
              <w:rPr>
                <w:b/>
                <w:noProof/>
                <w:sz w:val="20"/>
                <w:szCs w:val="20"/>
                <w:lang w:val="en-GB"/>
              </w:rPr>
              <w:t xml:space="preserve"> 5.33 mg/kg dry soil</w:t>
            </w:r>
          </w:p>
        </w:tc>
        <w:tc>
          <w:tcPr>
            <w:tcW w:w="883" w:type="pct"/>
            <w:shd w:val="clear" w:color="auto" w:fill="auto"/>
          </w:tcPr>
          <w:p w14:paraId="7C3989CF" w14:textId="77777777" w:rsidR="00E51CDD" w:rsidRPr="001D6183" w:rsidRDefault="00E51CDD" w:rsidP="00E51CDD">
            <w:pPr>
              <w:widowControl w:val="0"/>
              <w:rPr>
                <w:bCs/>
                <w:iCs/>
                <w:noProof/>
                <w:sz w:val="20"/>
                <w:szCs w:val="20"/>
                <w:lang w:val="en-GB" w:eastAsia="en-US"/>
              </w:rPr>
            </w:pPr>
            <w:r w:rsidRPr="001D6183">
              <w:rPr>
                <w:bCs/>
                <w:iCs/>
                <w:noProof/>
                <w:sz w:val="20"/>
                <w:szCs w:val="20"/>
                <w:lang w:val="en-GB" w:eastAsia="en-US"/>
              </w:rPr>
              <w:t>EFSA Journal 2012; 10(1):2522</w:t>
            </w:r>
          </w:p>
          <w:p w14:paraId="4668C814" w14:textId="77777777" w:rsidR="00E51CDD" w:rsidRPr="001D6183" w:rsidRDefault="00E51CDD" w:rsidP="00E51CDD">
            <w:pPr>
              <w:widowControl w:val="0"/>
              <w:rPr>
                <w:bCs/>
                <w:iCs/>
                <w:noProof/>
                <w:sz w:val="20"/>
                <w:szCs w:val="20"/>
                <w:lang w:val="en-GB"/>
              </w:rPr>
            </w:pPr>
            <w:r w:rsidRPr="001D6183">
              <w:rPr>
                <w:noProof/>
                <w:sz w:val="20"/>
                <w:szCs w:val="20"/>
                <w:lang w:val="en-GB"/>
              </w:rPr>
              <w:t>2008/1033932</w:t>
            </w:r>
          </w:p>
        </w:tc>
      </w:tr>
      <w:tr w:rsidR="00E51CDD" w:rsidRPr="00E51CDD" w14:paraId="3B126203" w14:textId="77777777" w:rsidTr="009938D9">
        <w:tc>
          <w:tcPr>
            <w:tcW w:w="909" w:type="pct"/>
            <w:shd w:val="clear" w:color="auto" w:fill="auto"/>
          </w:tcPr>
          <w:p w14:paraId="26DBB023" w14:textId="77777777" w:rsidR="00E51CDD" w:rsidRPr="001D6183" w:rsidRDefault="00E51CDD" w:rsidP="00E51CDD">
            <w:pPr>
              <w:widowControl w:val="0"/>
              <w:rPr>
                <w:i/>
                <w:noProof/>
                <w:sz w:val="20"/>
                <w:szCs w:val="20"/>
                <w:lang w:val="en-GB"/>
              </w:rPr>
            </w:pPr>
            <w:r w:rsidRPr="001D6183">
              <w:rPr>
                <w:i/>
                <w:noProof/>
                <w:sz w:val="20"/>
                <w:szCs w:val="20"/>
                <w:lang w:val="en-GB"/>
              </w:rPr>
              <w:t>Eisenia fetida</w:t>
            </w:r>
          </w:p>
        </w:tc>
        <w:tc>
          <w:tcPr>
            <w:tcW w:w="1023" w:type="pct"/>
            <w:shd w:val="clear" w:color="auto" w:fill="auto"/>
          </w:tcPr>
          <w:p w14:paraId="5500F153" w14:textId="77777777" w:rsidR="00E51CDD" w:rsidRPr="001D6183" w:rsidRDefault="00E51CDD" w:rsidP="00E51CDD">
            <w:pPr>
              <w:widowControl w:val="0"/>
              <w:rPr>
                <w:noProof/>
                <w:sz w:val="20"/>
                <w:szCs w:val="20"/>
                <w:lang w:val="en-GB"/>
              </w:rPr>
            </w:pPr>
            <w:r w:rsidRPr="001D6183">
              <w:rPr>
                <w:noProof/>
                <w:sz w:val="20"/>
                <w:szCs w:val="20"/>
                <w:lang w:val="en-GB"/>
              </w:rPr>
              <w:t>Metabolite, Reg. No. 5 435 595</w:t>
            </w:r>
            <w:r w:rsidRPr="001D6183">
              <w:rPr>
                <w:noProof/>
                <w:sz w:val="20"/>
                <w:szCs w:val="20"/>
                <w:lang w:val="en-GB"/>
              </w:rPr>
              <w:br/>
              <w:t>M700F002</w:t>
            </w:r>
          </w:p>
        </w:tc>
        <w:tc>
          <w:tcPr>
            <w:tcW w:w="949" w:type="pct"/>
            <w:shd w:val="clear" w:color="auto" w:fill="auto"/>
          </w:tcPr>
          <w:p w14:paraId="2036E95A" w14:textId="77777777" w:rsidR="00E51CDD" w:rsidRPr="001D6183" w:rsidRDefault="00E51CDD" w:rsidP="00E51CDD">
            <w:pPr>
              <w:widowControl w:val="0"/>
              <w:rPr>
                <w:noProof/>
                <w:sz w:val="20"/>
                <w:szCs w:val="20"/>
                <w:lang w:val="en-GB"/>
              </w:rPr>
            </w:pPr>
            <w:r w:rsidRPr="001D6183">
              <w:rPr>
                <w:noProof/>
                <w:sz w:val="20"/>
                <w:szCs w:val="20"/>
                <w:lang w:val="en-GB"/>
              </w:rPr>
              <w:t>Mixed into substrate</w:t>
            </w:r>
            <w:r w:rsidRPr="001D6183">
              <w:rPr>
                <w:noProof/>
                <w:sz w:val="20"/>
                <w:szCs w:val="20"/>
                <w:lang w:val="en-GB"/>
              </w:rPr>
              <w:br/>
              <w:t>56 d chronic</w:t>
            </w:r>
            <w:r w:rsidRPr="001D6183">
              <w:rPr>
                <w:noProof/>
                <w:sz w:val="20"/>
                <w:szCs w:val="20"/>
                <w:lang w:val="en-GB"/>
              </w:rPr>
              <w:br/>
              <w:t>5% peat</w:t>
            </w:r>
          </w:p>
        </w:tc>
        <w:tc>
          <w:tcPr>
            <w:tcW w:w="1236" w:type="pct"/>
            <w:shd w:val="clear" w:color="auto" w:fill="auto"/>
          </w:tcPr>
          <w:p w14:paraId="75A2E042" w14:textId="77777777" w:rsidR="00E51CDD" w:rsidRPr="001D6183" w:rsidRDefault="00E51CDD" w:rsidP="00E51CDD">
            <w:pPr>
              <w:widowControl w:val="0"/>
              <w:rPr>
                <w:b/>
                <w:noProof/>
                <w:sz w:val="20"/>
                <w:szCs w:val="20"/>
                <w:vertAlign w:val="superscript"/>
                <w:lang w:val="en-GB"/>
              </w:rPr>
            </w:pPr>
            <w:r w:rsidRPr="001D6183">
              <w:rPr>
                <w:b/>
                <w:noProof/>
                <w:sz w:val="20"/>
                <w:szCs w:val="20"/>
                <w:lang w:val="en-GB"/>
              </w:rPr>
              <w:t xml:space="preserve">NOEC </w:t>
            </w:r>
            <w:r w:rsidRPr="001D6183">
              <w:rPr>
                <w:rFonts w:eastAsia="PMingLiU"/>
                <w:b/>
                <w:noProof/>
                <w:sz w:val="20"/>
                <w:szCs w:val="20"/>
                <w:lang w:val="en-GB"/>
              </w:rPr>
              <w:t>≥</w:t>
            </w:r>
            <w:r w:rsidRPr="001D6183">
              <w:rPr>
                <w:b/>
                <w:noProof/>
                <w:sz w:val="20"/>
                <w:szCs w:val="20"/>
                <w:lang w:val="en-GB"/>
              </w:rPr>
              <w:t xml:space="preserve"> 2.56 mg/kg dry soil </w:t>
            </w:r>
            <w:r w:rsidRPr="00AD72B5">
              <w:rPr>
                <w:b/>
                <w:strike/>
                <w:noProof/>
                <w:sz w:val="20"/>
                <w:szCs w:val="20"/>
                <w:highlight w:val="cyan"/>
                <w:vertAlign w:val="superscript"/>
                <w:lang w:val="en-GB"/>
              </w:rPr>
              <w:t>1)</w:t>
            </w:r>
          </w:p>
          <w:p w14:paraId="04823785" w14:textId="77777777" w:rsidR="00E51CDD" w:rsidRPr="001D6183" w:rsidRDefault="00E51CDD" w:rsidP="00E51CDD">
            <w:pPr>
              <w:widowControl w:val="0"/>
              <w:rPr>
                <w:b/>
                <w:noProof/>
                <w:sz w:val="20"/>
                <w:szCs w:val="20"/>
                <w:vertAlign w:val="superscript"/>
                <w:lang w:val="en-GB"/>
              </w:rPr>
            </w:pPr>
          </w:p>
        </w:tc>
        <w:tc>
          <w:tcPr>
            <w:tcW w:w="883" w:type="pct"/>
            <w:shd w:val="clear" w:color="auto" w:fill="auto"/>
          </w:tcPr>
          <w:p w14:paraId="1298A064" w14:textId="77777777" w:rsidR="00E51CDD" w:rsidRPr="001D6183" w:rsidRDefault="00E51CDD" w:rsidP="00E51CDD">
            <w:pPr>
              <w:widowControl w:val="0"/>
              <w:rPr>
                <w:bCs/>
                <w:iCs/>
                <w:noProof/>
                <w:sz w:val="20"/>
                <w:szCs w:val="20"/>
                <w:lang w:val="en-GB" w:eastAsia="en-US"/>
              </w:rPr>
            </w:pPr>
            <w:bookmarkStart w:id="798" w:name="_Hlk63412517"/>
            <w:r w:rsidRPr="001D6183">
              <w:rPr>
                <w:bCs/>
                <w:iCs/>
                <w:noProof/>
                <w:sz w:val="20"/>
                <w:szCs w:val="20"/>
                <w:lang w:val="en-GB" w:eastAsia="en-US"/>
              </w:rPr>
              <w:t>EFSA Journal 2012; 10(1):2522</w:t>
            </w:r>
          </w:p>
          <w:p w14:paraId="044DE337" w14:textId="77777777" w:rsidR="00E51CDD" w:rsidRPr="001D6183" w:rsidRDefault="00E51CDD" w:rsidP="00E51CDD">
            <w:pPr>
              <w:widowControl w:val="0"/>
              <w:rPr>
                <w:noProof/>
                <w:sz w:val="20"/>
                <w:szCs w:val="20"/>
                <w:lang w:val="en-GB"/>
              </w:rPr>
            </w:pPr>
            <w:r w:rsidRPr="001D6183">
              <w:rPr>
                <w:noProof/>
                <w:sz w:val="20"/>
                <w:szCs w:val="20"/>
                <w:lang w:val="en-GB"/>
              </w:rPr>
              <w:t>2008/1017010</w:t>
            </w:r>
            <w:bookmarkEnd w:id="798"/>
          </w:p>
        </w:tc>
      </w:tr>
      <w:tr w:rsidR="00E51CDD" w:rsidRPr="00E51CDD" w14:paraId="77E73DF8" w14:textId="77777777" w:rsidTr="009938D9">
        <w:tc>
          <w:tcPr>
            <w:tcW w:w="909" w:type="pct"/>
            <w:shd w:val="clear" w:color="auto" w:fill="auto"/>
          </w:tcPr>
          <w:p w14:paraId="49240C9F" w14:textId="77777777" w:rsidR="00E51CDD" w:rsidRPr="00A92AD1" w:rsidRDefault="00E51CDD" w:rsidP="00E51CDD">
            <w:pPr>
              <w:widowControl w:val="0"/>
              <w:rPr>
                <w:i/>
                <w:strike/>
                <w:noProof/>
                <w:color w:val="D9D9D9" w:themeColor="background1" w:themeShade="D9"/>
                <w:sz w:val="20"/>
                <w:szCs w:val="20"/>
                <w:lang w:val="en-GB"/>
              </w:rPr>
            </w:pPr>
            <w:bookmarkStart w:id="799" w:name="_Hlk517174363"/>
            <w:r w:rsidRPr="00A92AD1">
              <w:rPr>
                <w:i/>
                <w:strike/>
                <w:noProof/>
                <w:color w:val="D9D9D9" w:themeColor="background1" w:themeShade="D9"/>
                <w:sz w:val="20"/>
                <w:szCs w:val="20"/>
                <w:lang w:val="en-GB"/>
              </w:rPr>
              <w:t>Folsomia candida</w:t>
            </w:r>
          </w:p>
        </w:tc>
        <w:tc>
          <w:tcPr>
            <w:tcW w:w="1023" w:type="pct"/>
            <w:shd w:val="clear" w:color="auto" w:fill="auto"/>
          </w:tcPr>
          <w:p w14:paraId="07051BE3" w14:textId="77777777" w:rsidR="00E51CDD" w:rsidRPr="00A92AD1" w:rsidRDefault="00E51CDD" w:rsidP="00E51CDD">
            <w:pPr>
              <w:widowControl w:val="0"/>
              <w:rPr>
                <w:strike/>
                <w:noProof/>
                <w:color w:val="D9D9D9" w:themeColor="background1" w:themeShade="D9"/>
                <w:sz w:val="20"/>
                <w:szCs w:val="20"/>
                <w:lang w:val="en-GB"/>
              </w:rPr>
            </w:pPr>
            <w:r w:rsidRPr="00A92AD1">
              <w:rPr>
                <w:strike/>
                <w:noProof/>
                <w:color w:val="D9D9D9" w:themeColor="background1" w:themeShade="D9"/>
                <w:sz w:val="20"/>
                <w:szCs w:val="20"/>
                <w:lang w:val="en-GB"/>
              </w:rPr>
              <w:t>fluxapyroxad</w:t>
            </w:r>
          </w:p>
        </w:tc>
        <w:tc>
          <w:tcPr>
            <w:tcW w:w="949" w:type="pct"/>
            <w:shd w:val="clear" w:color="auto" w:fill="auto"/>
          </w:tcPr>
          <w:p w14:paraId="6A0B8B0F" w14:textId="77777777" w:rsidR="00E51CDD" w:rsidRPr="00A92AD1" w:rsidRDefault="00E51CDD" w:rsidP="00E51CDD">
            <w:pPr>
              <w:widowControl w:val="0"/>
              <w:rPr>
                <w:strike/>
                <w:noProof/>
                <w:color w:val="D9D9D9" w:themeColor="background1" w:themeShade="D9"/>
                <w:sz w:val="20"/>
                <w:szCs w:val="20"/>
                <w:lang w:val="en-GB"/>
              </w:rPr>
            </w:pPr>
            <w:r w:rsidRPr="00A92AD1">
              <w:rPr>
                <w:strike/>
                <w:noProof/>
                <w:color w:val="D9D9D9" w:themeColor="background1" w:themeShade="D9"/>
                <w:sz w:val="20"/>
                <w:szCs w:val="20"/>
                <w:lang w:val="en-GB"/>
              </w:rPr>
              <w:t>Mixed into substrate</w:t>
            </w:r>
            <w:r w:rsidRPr="00A92AD1">
              <w:rPr>
                <w:strike/>
                <w:noProof/>
                <w:color w:val="D9D9D9" w:themeColor="background1" w:themeShade="D9"/>
                <w:sz w:val="20"/>
                <w:szCs w:val="20"/>
                <w:lang w:val="en-GB"/>
              </w:rPr>
              <w:br/>
              <w:t>28 d chronic</w:t>
            </w:r>
            <w:r w:rsidRPr="00A92AD1">
              <w:rPr>
                <w:strike/>
                <w:noProof/>
                <w:color w:val="D9D9D9" w:themeColor="background1" w:themeShade="D9"/>
                <w:sz w:val="20"/>
                <w:szCs w:val="20"/>
                <w:lang w:val="en-GB"/>
              </w:rPr>
              <w:br/>
              <w:t>5% peat</w:t>
            </w:r>
          </w:p>
        </w:tc>
        <w:tc>
          <w:tcPr>
            <w:tcW w:w="1236" w:type="pct"/>
            <w:shd w:val="clear" w:color="auto" w:fill="auto"/>
          </w:tcPr>
          <w:p w14:paraId="57E2B61C" w14:textId="77777777" w:rsidR="00E51CDD" w:rsidRPr="00A92AD1" w:rsidRDefault="00E51CDD" w:rsidP="00E51CDD">
            <w:pPr>
              <w:widowControl w:val="0"/>
              <w:rPr>
                <w:strike/>
                <w:noProof/>
                <w:color w:val="D9D9D9" w:themeColor="background1" w:themeShade="D9"/>
                <w:sz w:val="20"/>
                <w:szCs w:val="20"/>
                <w:lang w:val="en-GB"/>
              </w:rPr>
            </w:pPr>
            <w:r w:rsidRPr="00A92AD1">
              <w:rPr>
                <w:b/>
                <w:strike/>
                <w:noProof/>
                <w:color w:val="D9D9D9" w:themeColor="background1" w:themeShade="D9"/>
                <w:sz w:val="20"/>
                <w:szCs w:val="20"/>
                <w:lang w:val="en-GB"/>
              </w:rPr>
              <w:t xml:space="preserve">NOEC </w:t>
            </w:r>
            <w:r w:rsidRPr="00A92AD1">
              <w:rPr>
                <w:rFonts w:eastAsia="PMingLiU"/>
                <w:b/>
                <w:strike/>
                <w:noProof/>
                <w:color w:val="D9D9D9" w:themeColor="background1" w:themeShade="D9"/>
                <w:sz w:val="20"/>
                <w:szCs w:val="20"/>
                <w:lang w:val="en-GB"/>
              </w:rPr>
              <w:t>≥</w:t>
            </w:r>
            <w:r w:rsidRPr="00A92AD1">
              <w:rPr>
                <w:b/>
                <w:strike/>
                <w:noProof/>
                <w:color w:val="D9D9D9" w:themeColor="background1" w:themeShade="D9"/>
                <w:sz w:val="20"/>
                <w:szCs w:val="20"/>
                <w:lang w:val="en-GB"/>
              </w:rPr>
              <w:t xml:space="preserve"> 500 mg/kg dry soil</w:t>
            </w:r>
            <w:r w:rsidRPr="00A92AD1">
              <w:rPr>
                <w:strike/>
                <w:noProof/>
                <w:color w:val="D9D9D9" w:themeColor="background1" w:themeShade="D9"/>
                <w:sz w:val="20"/>
                <w:szCs w:val="20"/>
                <w:lang w:val="en-GB"/>
              </w:rPr>
              <w:br/>
              <w:t>EC</w:t>
            </w:r>
            <w:r w:rsidRPr="00A92AD1">
              <w:rPr>
                <w:strike/>
                <w:noProof/>
                <w:color w:val="D9D9D9" w:themeColor="background1" w:themeShade="D9"/>
                <w:sz w:val="20"/>
                <w:szCs w:val="20"/>
                <w:vertAlign w:val="subscript"/>
                <w:lang w:val="en-GB"/>
              </w:rPr>
              <w:t>10</w:t>
            </w:r>
            <w:r w:rsidRPr="00A92AD1">
              <w:rPr>
                <w:strike/>
                <w:noProof/>
                <w:color w:val="D9D9D9" w:themeColor="background1" w:themeShade="D9"/>
                <w:sz w:val="20"/>
                <w:szCs w:val="20"/>
                <w:lang w:val="en-GB"/>
              </w:rPr>
              <w:t xml:space="preserve"> &gt; 500 mg/kg dry soil</w:t>
            </w:r>
          </w:p>
          <w:p w14:paraId="2F712D16" w14:textId="77777777" w:rsidR="00E51CDD" w:rsidRPr="00A92AD1" w:rsidRDefault="00E51CDD" w:rsidP="00E51CDD">
            <w:pPr>
              <w:widowControl w:val="0"/>
              <w:rPr>
                <w:strike/>
                <w:noProof/>
                <w:color w:val="D9D9D9" w:themeColor="background1" w:themeShade="D9"/>
                <w:sz w:val="20"/>
                <w:szCs w:val="20"/>
                <w:lang w:val="en-GB"/>
              </w:rPr>
            </w:pPr>
            <w:r w:rsidRPr="00A92AD1">
              <w:rPr>
                <w:strike/>
                <w:color w:val="D9D9D9" w:themeColor="background1" w:themeShade="D9"/>
                <w:sz w:val="20"/>
                <w:szCs w:val="20"/>
                <w:lang w:val="en-GB"/>
              </w:rPr>
              <w:t>NOEC </w:t>
            </w:r>
            <w:r w:rsidRPr="00A92AD1">
              <w:rPr>
                <w:strike/>
                <w:color w:val="D9D9D9" w:themeColor="background1" w:themeShade="D9"/>
                <w:sz w:val="20"/>
                <w:szCs w:val="20"/>
                <w:vertAlign w:val="subscript"/>
                <w:lang w:val="en-GB"/>
              </w:rPr>
              <w:t>CORR</w:t>
            </w:r>
            <w:r w:rsidRPr="00A92AD1">
              <w:rPr>
                <w:strike/>
                <w:color w:val="D9D9D9" w:themeColor="background1" w:themeShade="D9"/>
                <w:sz w:val="20"/>
                <w:szCs w:val="20"/>
                <w:lang w:val="en-GB"/>
              </w:rPr>
              <w:t xml:space="preserve"> </w:t>
            </w:r>
            <w:r w:rsidRPr="00A92AD1">
              <w:rPr>
                <w:rFonts w:eastAsia="PMingLiU"/>
                <w:strike/>
                <w:color w:val="D9D9D9" w:themeColor="background1" w:themeShade="D9"/>
                <w:sz w:val="20"/>
                <w:szCs w:val="20"/>
                <w:lang w:val="en-GB"/>
              </w:rPr>
              <w:t>≥</w:t>
            </w:r>
            <w:r w:rsidRPr="00A92AD1">
              <w:rPr>
                <w:strike/>
                <w:color w:val="D9D9D9" w:themeColor="background1" w:themeShade="D9"/>
                <w:sz w:val="20"/>
                <w:szCs w:val="20"/>
                <w:lang w:val="en-GB"/>
              </w:rPr>
              <w:t xml:space="preserve"> 250 mg/kg dry soil</w:t>
            </w:r>
            <w:r w:rsidRPr="00A92AD1">
              <w:rPr>
                <w:bCs/>
                <w:strike/>
                <w:color w:val="D9D9D9" w:themeColor="background1" w:themeShade="D9"/>
                <w:sz w:val="20"/>
                <w:szCs w:val="20"/>
                <w:lang w:val="en-GB"/>
              </w:rPr>
              <w:t xml:space="preserve"> </w:t>
            </w:r>
            <w:r w:rsidRPr="00A92AD1">
              <w:rPr>
                <w:bCs/>
                <w:strike/>
                <w:color w:val="D9D9D9" w:themeColor="background1" w:themeShade="D9"/>
                <w:sz w:val="20"/>
                <w:szCs w:val="20"/>
                <w:vertAlign w:val="superscript"/>
                <w:lang w:val="en-GB"/>
              </w:rPr>
              <w:t>*</w:t>
            </w:r>
            <w:r w:rsidRPr="00A92AD1">
              <w:rPr>
                <w:strike/>
                <w:color w:val="D9D9D9" w:themeColor="background1" w:themeShade="D9"/>
                <w:sz w:val="20"/>
                <w:szCs w:val="20"/>
                <w:lang w:val="en-GB"/>
              </w:rPr>
              <w:br/>
              <w:t>EC</w:t>
            </w:r>
            <w:r w:rsidRPr="00A92AD1">
              <w:rPr>
                <w:strike/>
                <w:color w:val="D9D9D9" w:themeColor="background1" w:themeShade="D9"/>
                <w:sz w:val="20"/>
                <w:szCs w:val="20"/>
                <w:vertAlign w:val="subscript"/>
                <w:lang w:val="en-GB"/>
              </w:rPr>
              <w:t>10</w:t>
            </w:r>
            <w:r w:rsidRPr="00A92AD1">
              <w:rPr>
                <w:bCs/>
                <w:strike/>
                <w:color w:val="D9D9D9" w:themeColor="background1" w:themeShade="D9"/>
                <w:sz w:val="20"/>
                <w:szCs w:val="20"/>
                <w:lang w:val="en-GB"/>
              </w:rPr>
              <w:t> </w:t>
            </w:r>
            <w:r w:rsidRPr="00A92AD1">
              <w:rPr>
                <w:bCs/>
                <w:strike/>
                <w:color w:val="D9D9D9" w:themeColor="background1" w:themeShade="D9"/>
                <w:sz w:val="20"/>
                <w:szCs w:val="20"/>
                <w:vertAlign w:val="subscript"/>
                <w:lang w:val="en-GB"/>
              </w:rPr>
              <w:t>CORR</w:t>
            </w:r>
            <w:r w:rsidRPr="00A92AD1">
              <w:rPr>
                <w:strike/>
                <w:color w:val="D9D9D9" w:themeColor="background1" w:themeShade="D9"/>
                <w:sz w:val="20"/>
                <w:szCs w:val="20"/>
                <w:lang w:val="en-GB"/>
              </w:rPr>
              <w:t xml:space="preserve"> &gt; 250 mg/kg dry soil</w:t>
            </w:r>
            <w:r w:rsidRPr="00A92AD1">
              <w:rPr>
                <w:bCs/>
                <w:strike/>
                <w:color w:val="D9D9D9" w:themeColor="background1" w:themeShade="D9"/>
                <w:sz w:val="20"/>
                <w:szCs w:val="20"/>
                <w:lang w:val="en-GB"/>
              </w:rPr>
              <w:t xml:space="preserve"> </w:t>
            </w:r>
            <w:r w:rsidRPr="00A92AD1">
              <w:rPr>
                <w:bCs/>
                <w:strike/>
                <w:color w:val="D9D9D9" w:themeColor="background1" w:themeShade="D9"/>
                <w:sz w:val="20"/>
                <w:szCs w:val="20"/>
                <w:vertAlign w:val="superscript"/>
                <w:lang w:val="en-GB"/>
              </w:rPr>
              <w:t>*</w:t>
            </w:r>
          </w:p>
        </w:tc>
        <w:tc>
          <w:tcPr>
            <w:tcW w:w="883" w:type="pct"/>
            <w:shd w:val="clear" w:color="auto" w:fill="auto"/>
          </w:tcPr>
          <w:p w14:paraId="23DB6176" w14:textId="77777777" w:rsidR="00E51CDD" w:rsidRPr="00A92AD1" w:rsidRDefault="00E51CDD" w:rsidP="00E51CDD">
            <w:pPr>
              <w:widowControl w:val="0"/>
              <w:rPr>
                <w:strike/>
                <w:color w:val="D9D9D9" w:themeColor="background1" w:themeShade="D9"/>
                <w:sz w:val="20"/>
                <w:szCs w:val="20"/>
                <w:lang w:val="en-GB"/>
              </w:rPr>
            </w:pPr>
            <w:r w:rsidRPr="00A92AD1">
              <w:rPr>
                <w:strike/>
                <w:color w:val="D9D9D9" w:themeColor="background1" w:themeShade="D9"/>
                <w:sz w:val="20"/>
                <w:szCs w:val="20"/>
                <w:lang w:val="en-GB"/>
              </w:rPr>
              <w:t>not EU evaluated</w:t>
            </w:r>
          </w:p>
          <w:p w14:paraId="3236B5BF" w14:textId="77777777" w:rsidR="00E51CDD" w:rsidRPr="00A92AD1" w:rsidRDefault="00E51CDD" w:rsidP="00E51CDD">
            <w:pPr>
              <w:widowControl w:val="0"/>
              <w:rPr>
                <w:bCs/>
                <w:iCs/>
                <w:strike/>
                <w:noProof/>
                <w:color w:val="D9D9D9" w:themeColor="background1" w:themeShade="D9"/>
                <w:sz w:val="20"/>
                <w:szCs w:val="20"/>
                <w:lang w:val="en-GB" w:eastAsia="en-US"/>
              </w:rPr>
            </w:pPr>
            <w:bookmarkStart w:id="800" w:name="_Hlk515966070"/>
            <w:r w:rsidRPr="00A92AD1">
              <w:rPr>
                <w:bCs/>
                <w:iCs/>
                <w:strike/>
                <w:noProof/>
                <w:color w:val="D9D9D9" w:themeColor="background1" w:themeShade="D9"/>
                <w:sz w:val="20"/>
                <w:szCs w:val="20"/>
                <w:lang w:val="en-GB" w:eastAsia="en-US"/>
              </w:rPr>
              <w:t>2014/1135433</w:t>
            </w:r>
            <w:r w:rsidRPr="00A92AD1">
              <w:rPr>
                <w:bCs/>
                <w:iCs/>
                <w:strike/>
                <w:noProof/>
                <w:color w:val="D9D9D9" w:themeColor="background1" w:themeShade="D9"/>
                <w:sz w:val="20"/>
                <w:szCs w:val="20"/>
                <w:vertAlign w:val="superscript"/>
                <w:lang w:val="en-GB" w:eastAsia="en-US"/>
              </w:rPr>
              <w:t xml:space="preserve"> </w:t>
            </w:r>
            <w:bookmarkEnd w:id="800"/>
          </w:p>
        </w:tc>
      </w:tr>
      <w:bookmarkEnd w:id="799"/>
      <w:tr w:rsidR="00E51CDD" w:rsidRPr="00E51CDD" w14:paraId="3E4C77B3" w14:textId="77777777" w:rsidTr="009938D9">
        <w:tc>
          <w:tcPr>
            <w:tcW w:w="909" w:type="pct"/>
            <w:shd w:val="clear" w:color="auto" w:fill="auto"/>
          </w:tcPr>
          <w:p w14:paraId="7D414E46" w14:textId="77777777" w:rsidR="00E51CDD" w:rsidRPr="001D6183" w:rsidRDefault="00E51CDD" w:rsidP="00E51CDD">
            <w:pPr>
              <w:widowControl w:val="0"/>
              <w:rPr>
                <w:i/>
                <w:noProof/>
                <w:sz w:val="20"/>
                <w:szCs w:val="20"/>
                <w:lang w:val="en-GB"/>
              </w:rPr>
            </w:pPr>
            <w:r w:rsidRPr="001D6183">
              <w:rPr>
                <w:i/>
                <w:noProof/>
                <w:sz w:val="20"/>
                <w:szCs w:val="20"/>
                <w:lang w:val="en-GB"/>
              </w:rPr>
              <w:t>Folsomia candida</w:t>
            </w:r>
          </w:p>
        </w:tc>
        <w:tc>
          <w:tcPr>
            <w:tcW w:w="1023" w:type="pct"/>
            <w:shd w:val="clear" w:color="auto" w:fill="auto"/>
          </w:tcPr>
          <w:p w14:paraId="4D64C4F2" w14:textId="77777777" w:rsidR="00E51CDD" w:rsidRPr="001D6183" w:rsidRDefault="00E51CDD" w:rsidP="00E51CDD">
            <w:pPr>
              <w:widowControl w:val="0"/>
              <w:rPr>
                <w:noProof/>
                <w:sz w:val="20"/>
                <w:szCs w:val="20"/>
                <w:lang w:val="en-GB"/>
              </w:rPr>
            </w:pPr>
            <w:r w:rsidRPr="001D6183">
              <w:rPr>
                <w:noProof/>
                <w:sz w:val="20"/>
                <w:szCs w:val="20"/>
                <w:lang w:val="en-GB"/>
              </w:rPr>
              <w:t>Metabolite, Reg. No. 5 435 595</w:t>
            </w:r>
            <w:r w:rsidRPr="001D6183">
              <w:rPr>
                <w:noProof/>
                <w:sz w:val="20"/>
                <w:szCs w:val="20"/>
                <w:lang w:val="en-GB"/>
              </w:rPr>
              <w:br/>
              <w:t>M700F002</w:t>
            </w:r>
          </w:p>
        </w:tc>
        <w:tc>
          <w:tcPr>
            <w:tcW w:w="949" w:type="pct"/>
            <w:shd w:val="clear" w:color="auto" w:fill="auto"/>
          </w:tcPr>
          <w:p w14:paraId="2DE458F3" w14:textId="77777777" w:rsidR="00E51CDD" w:rsidRPr="001D6183" w:rsidRDefault="00E51CDD" w:rsidP="00E51CDD">
            <w:pPr>
              <w:widowControl w:val="0"/>
              <w:rPr>
                <w:noProof/>
                <w:sz w:val="20"/>
                <w:szCs w:val="20"/>
                <w:lang w:val="en-GB"/>
              </w:rPr>
            </w:pPr>
            <w:r w:rsidRPr="001D6183">
              <w:rPr>
                <w:noProof/>
                <w:sz w:val="20"/>
                <w:szCs w:val="20"/>
                <w:lang w:val="en-GB"/>
              </w:rPr>
              <w:t>Mixed into substrate</w:t>
            </w:r>
            <w:r w:rsidRPr="001D6183">
              <w:rPr>
                <w:noProof/>
                <w:sz w:val="20"/>
                <w:szCs w:val="20"/>
                <w:lang w:val="en-GB"/>
              </w:rPr>
              <w:br/>
              <w:t>28 d chronic</w:t>
            </w:r>
            <w:r w:rsidRPr="001D6183">
              <w:rPr>
                <w:noProof/>
                <w:sz w:val="20"/>
                <w:szCs w:val="20"/>
                <w:lang w:val="en-GB"/>
              </w:rPr>
              <w:br/>
              <w:t>5% peat</w:t>
            </w:r>
          </w:p>
        </w:tc>
        <w:tc>
          <w:tcPr>
            <w:tcW w:w="1236" w:type="pct"/>
            <w:shd w:val="clear" w:color="auto" w:fill="auto"/>
          </w:tcPr>
          <w:p w14:paraId="2C351E5F" w14:textId="77777777" w:rsidR="00E51CDD" w:rsidRPr="001D6183" w:rsidRDefault="00E51CDD" w:rsidP="00E51CDD">
            <w:pPr>
              <w:widowControl w:val="0"/>
              <w:rPr>
                <w:b/>
                <w:noProof/>
                <w:sz w:val="20"/>
                <w:szCs w:val="20"/>
                <w:lang w:val="en-GB"/>
              </w:rPr>
            </w:pPr>
            <w:r w:rsidRPr="001D6183">
              <w:rPr>
                <w:rFonts w:eastAsia="PMingLiU"/>
                <w:b/>
                <w:noProof/>
                <w:sz w:val="20"/>
                <w:szCs w:val="20"/>
                <w:lang w:val="en-GB"/>
              </w:rPr>
              <w:t>NOEC ≥ 1000 </w:t>
            </w:r>
            <w:r w:rsidRPr="001D6183">
              <w:rPr>
                <w:b/>
                <w:noProof/>
                <w:sz w:val="20"/>
                <w:szCs w:val="20"/>
                <w:lang w:val="en-GB"/>
              </w:rPr>
              <w:t>mg/kg dry soil</w:t>
            </w:r>
          </w:p>
          <w:p w14:paraId="0CDAEFEB" w14:textId="77777777" w:rsidR="00E51CDD" w:rsidRPr="001D6183" w:rsidRDefault="00E51CDD" w:rsidP="00E51CDD">
            <w:pPr>
              <w:widowControl w:val="0"/>
              <w:rPr>
                <w:noProof/>
                <w:sz w:val="20"/>
                <w:szCs w:val="20"/>
                <w:lang w:val="en-GB"/>
              </w:rPr>
            </w:pPr>
          </w:p>
        </w:tc>
        <w:tc>
          <w:tcPr>
            <w:tcW w:w="883" w:type="pct"/>
            <w:shd w:val="clear" w:color="auto" w:fill="auto"/>
          </w:tcPr>
          <w:p w14:paraId="4632AFD6" w14:textId="77777777" w:rsidR="00E51CDD" w:rsidRPr="001D6183" w:rsidRDefault="00E51CDD" w:rsidP="00E51CDD">
            <w:pPr>
              <w:widowControl w:val="0"/>
              <w:rPr>
                <w:bCs/>
                <w:iCs/>
                <w:noProof/>
                <w:sz w:val="20"/>
                <w:szCs w:val="20"/>
                <w:lang w:val="en-GB" w:eastAsia="en-US"/>
              </w:rPr>
            </w:pPr>
            <w:r w:rsidRPr="001D6183">
              <w:rPr>
                <w:bCs/>
                <w:iCs/>
                <w:noProof/>
                <w:sz w:val="20"/>
                <w:szCs w:val="20"/>
                <w:lang w:val="en-GB" w:eastAsia="en-US"/>
              </w:rPr>
              <w:t>EFSA Journal 2012; 10(1):2522</w:t>
            </w:r>
          </w:p>
          <w:p w14:paraId="219077B1" w14:textId="77777777" w:rsidR="00E51CDD" w:rsidRPr="001D6183" w:rsidRDefault="00E51CDD" w:rsidP="00E51CDD">
            <w:pPr>
              <w:widowControl w:val="0"/>
              <w:rPr>
                <w:bCs/>
                <w:iCs/>
                <w:noProof/>
                <w:sz w:val="20"/>
                <w:szCs w:val="20"/>
                <w:lang w:val="en-GB" w:eastAsia="en-US"/>
              </w:rPr>
            </w:pPr>
            <w:r w:rsidRPr="001D6183">
              <w:rPr>
                <w:noProof/>
                <w:sz w:val="20"/>
                <w:szCs w:val="20"/>
                <w:lang w:val="en-GB"/>
              </w:rPr>
              <w:t>2009/1045472</w:t>
            </w:r>
          </w:p>
        </w:tc>
      </w:tr>
      <w:tr w:rsidR="00E51CDD" w:rsidRPr="00E51CDD" w14:paraId="7E937F29" w14:textId="77777777" w:rsidTr="009938D9">
        <w:tc>
          <w:tcPr>
            <w:tcW w:w="909" w:type="pct"/>
            <w:shd w:val="clear" w:color="auto" w:fill="auto"/>
          </w:tcPr>
          <w:p w14:paraId="1698E2ED" w14:textId="77777777" w:rsidR="00E51CDD" w:rsidRPr="00A92AD1" w:rsidRDefault="00E51CDD" w:rsidP="00E51CDD">
            <w:pPr>
              <w:widowControl w:val="0"/>
              <w:rPr>
                <w:i/>
                <w:strike/>
                <w:noProof/>
                <w:color w:val="D9D9D9" w:themeColor="background1" w:themeShade="D9"/>
                <w:sz w:val="20"/>
                <w:szCs w:val="20"/>
                <w:lang w:val="en-GB"/>
              </w:rPr>
            </w:pPr>
            <w:r w:rsidRPr="00A92AD1">
              <w:rPr>
                <w:i/>
                <w:strike/>
                <w:color w:val="D9D9D9" w:themeColor="background1" w:themeShade="D9"/>
                <w:sz w:val="20"/>
                <w:szCs w:val="20"/>
                <w:lang w:val="en-GB"/>
              </w:rPr>
              <w:t>Hypoaspis aculeifer</w:t>
            </w:r>
          </w:p>
        </w:tc>
        <w:tc>
          <w:tcPr>
            <w:tcW w:w="1023" w:type="pct"/>
            <w:shd w:val="clear" w:color="auto" w:fill="auto"/>
          </w:tcPr>
          <w:p w14:paraId="024649DC" w14:textId="77777777" w:rsidR="00E51CDD" w:rsidRPr="00A92AD1" w:rsidRDefault="00E51CDD" w:rsidP="00E51CDD">
            <w:pPr>
              <w:widowControl w:val="0"/>
              <w:rPr>
                <w:strike/>
                <w:noProof/>
                <w:color w:val="D9D9D9" w:themeColor="background1" w:themeShade="D9"/>
                <w:sz w:val="20"/>
                <w:szCs w:val="20"/>
                <w:lang w:val="en-GB"/>
              </w:rPr>
            </w:pPr>
            <w:r w:rsidRPr="00A92AD1">
              <w:rPr>
                <w:strike/>
                <w:color w:val="D9D9D9" w:themeColor="background1" w:themeShade="D9"/>
                <w:sz w:val="20"/>
                <w:szCs w:val="20"/>
                <w:lang w:val="en-GB"/>
              </w:rPr>
              <w:t>fluxapyroxad</w:t>
            </w:r>
          </w:p>
        </w:tc>
        <w:tc>
          <w:tcPr>
            <w:tcW w:w="949" w:type="pct"/>
            <w:shd w:val="clear" w:color="auto" w:fill="auto"/>
          </w:tcPr>
          <w:p w14:paraId="5D8C3365" w14:textId="77777777" w:rsidR="00E51CDD" w:rsidRPr="00A92AD1" w:rsidRDefault="00E51CDD" w:rsidP="00E51CDD">
            <w:pPr>
              <w:widowControl w:val="0"/>
              <w:rPr>
                <w:strike/>
                <w:noProof/>
                <w:color w:val="D9D9D9" w:themeColor="background1" w:themeShade="D9"/>
                <w:sz w:val="20"/>
                <w:szCs w:val="20"/>
                <w:lang w:val="en-GB"/>
              </w:rPr>
            </w:pPr>
            <w:r w:rsidRPr="00A92AD1">
              <w:rPr>
                <w:strike/>
                <w:color w:val="D9D9D9" w:themeColor="background1" w:themeShade="D9"/>
                <w:sz w:val="20"/>
                <w:szCs w:val="20"/>
                <w:lang w:val="en-GB"/>
              </w:rPr>
              <w:t>Mixed into substrate 14 d</w:t>
            </w:r>
            <w:r w:rsidRPr="00A92AD1">
              <w:rPr>
                <w:strike/>
                <w:color w:val="D9D9D9" w:themeColor="background1" w:themeShade="D9"/>
                <w:sz w:val="20"/>
                <w:szCs w:val="20"/>
                <w:lang w:val="en-GB"/>
              </w:rPr>
              <w:br/>
              <w:t>5% peat content</w:t>
            </w:r>
          </w:p>
        </w:tc>
        <w:tc>
          <w:tcPr>
            <w:tcW w:w="1236" w:type="pct"/>
            <w:shd w:val="clear" w:color="auto" w:fill="auto"/>
          </w:tcPr>
          <w:p w14:paraId="669C858E" w14:textId="77777777" w:rsidR="00E51CDD" w:rsidRPr="00A92AD1" w:rsidRDefault="00E51CDD" w:rsidP="00E51CDD">
            <w:pPr>
              <w:widowControl w:val="0"/>
              <w:rPr>
                <w:strike/>
                <w:noProof/>
                <w:color w:val="D9D9D9" w:themeColor="background1" w:themeShade="D9"/>
                <w:sz w:val="20"/>
                <w:szCs w:val="20"/>
                <w:lang w:val="en-GB"/>
              </w:rPr>
            </w:pPr>
            <w:r w:rsidRPr="00A92AD1">
              <w:rPr>
                <w:b/>
                <w:strike/>
                <w:noProof/>
                <w:color w:val="D9D9D9" w:themeColor="background1" w:themeShade="D9"/>
                <w:sz w:val="20"/>
                <w:szCs w:val="20"/>
                <w:lang w:val="en-GB"/>
              </w:rPr>
              <w:t>NOEC ≥ 1000 mg/kg dry soil</w:t>
            </w:r>
            <w:r w:rsidRPr="00A92AD1">
              <w:rPr>
                <w:b/>
                <w:strike/>
                <w:noProof/>
                <w:color w:val="D9D9D9" w:themeColor="background1" w:themeShade="D9"/>
                <w:sz w:val="20"/>
                <w:szCs w:val="20"/>
                <w:lang w:val="en-GB"/>
              </w:rPr>
              <w:br/>
            </w:r>
            <w:r w:rsidRPr="00A92AD1">
              <w:rPr>
                <w:strike/>
                <w:noProof/>
                <w:color w:val="D9D9D9" w:themeColor="background1" w:themeShade="D9"/>
                <w:sz w:val="20"/>
                <w:szCs w:val="20"/>
                <w:lang w:val="en-GB"/>
              </w:rPr>
              <w:t>EC</w:t>
            </w:r>
            <w:r w:rsidRPr="00A92AD1">
              <w:rPr>
                <w:strike/>
                <w:noProof/>
                <w:color w:val="D9D9D9" w:themeColor="background1" w:themeShade="D9"/>
                <w:sz w:val="20"/>
                <w:szCs w:val="20"/>
                <w:vertAlign w:val="subscript"/>
                <w:lang w:val="en-GB"/>
              </w:rPr>
              <w:t>10</w:t>
            </w:r>
            <w:r w:rsidRPr="00A92AD1">
              <w:rPr>
                <w:strike/>
                <w:noProof/>
                <w:color w:val="D9D9D9" w:themeColor="background1" w:themeShade="D9"/>
                <w:sz w:val="20"/>
                <w:szCs w:val="20"/>
                <w:lang w:val="en-GB"/>
              </w:rPr>
              <w:t xml:space="preserve"> &gt; 1000 mg/kg dry </w:t>
            </w:r>
            <w:r w:rsidRPr="00A92AD1">
              <w:rPr>
                <w:strike/>
                <w:noProof/>
                <w:color w:val="D9D9D9" w:themeColor="background1" w:themeShade="D9"/>
                <w:sz w:val="20"/>
                <w:szCs w:val="20"/>
                <w:lang w:val="en-GB"/>
              </w:rPr>
              <w:lastRenderedPageBreak/>
              <w:t>soil</w:t>
            </w:r>
          </w:p>
          <w:p w14:paraId="1DBC7D97" w14:textId="77777777" w:rsidR="00E51CDD" w:rsidRPr="00A92AD1" w:rsidRDefault="00E51CDD" w:rsidP="00E51CDD">
            <w:pPr>
              <w:widowControl w:val="0"/>
              <w:rPr>
                <w:rFonts w:eastAsia="PMingLiU"/>
                <w:b/>
                <w:strike/>
                <w:noProof/>
                <w:color w:val="D9D9D9" w:themeColor="background1" w:themeShade="D9"/>
                <w:sz w:val="20"/>
                <w:szCs w:val="20"/>
                <w:lang w:val="en-GB"/>
              </w:rPr>
            </w:pPr>
            <w:r w:rsidRPr="00A92AD1">
              <w:rPr>
                <w:strike/>
                <w:color w:val="D9D9D9" w:themeColor="background1" w:themeShade="D9"/>
                <w:sz w:val="20"/>
                <w:szCs w:val="20"/>
                <w:lang w:val="en-GB"/>
              </w:rPr>
              <w:t>NOEC </w:t>
            </w:r>
            <w:r w:rsidRPr="00A92AD1">
              <w:rPr>
                <w:strike/>
                <w:color w:val="D9D9D9" w:themeColor="background1" w:themeShade="D9"/>
                <w:sz w:val="20"/>
                <w:szCs w:val="20"/>
                <w:vertAlign w:val="subscript"/>
                <w:lang w:val="en-GB"/>
              </w:rPr>
              <w:t>CORR</w:t>
            </w:r>
            <w:r w:rsidRPr="00A92AD1">
              <w:rPr>
                <w:strike/>
                <w:color w:val="D9D9D9" w:themeColor="background1" w:themeShade="D9"/>
                <w:sz w:val="20"/>
                <w:szCs w:val="20"/>
                <w:lang w:val="en-GB"/>
              </w:rPr>
              <w:t xml:space="preserve"> </w:t>
            </w:r>
            <w:r w:rsidRPr="00A92AD1">
              <w:rPr>
                <w:rFonts w:eastAsia="PMingLiU"/>
                <w:strike/>
                <w:color w:val="D9D9D9" w:themeColor="background1" w:themeShade="D9"/>
                <w:sz w:val="20"/>
                <w:szCs w:val="20"/>
                <w:lang w:val="en-GB"/>
              </w:rPr>
              <w:t>≥</w:t>
            </w:r>
            <w:r w:rsidRPr="00A92AD1">
              <w:rPr>
                <w:strike/>
                <w:color w:val="D9D9D9" w:themeColor="background1" w:themeShade="D9"/>
                <w:sz w:val="20"/>
                <w:szCs w:val="20"/>
                <w:lang w:val="en-GB"/>
              </w:rPr>
              <w:t xml:space="preserve"> 500 mg/kg dry soil</w:t>
            </w:r>
            <w:r w:rsidRPr="00A92AD1">
              <w:rPr>
                <w:bCs/>
                <w:strike/>
                <w:color w:val="D9D9D9" w:themeColor="background1" w:themeShade="D9"/>
                <w:sz w:val="20"/>
                <w:szCs w:val="20"/>
                <w:lang w:val="en-GB"/>
              </w:rPr>
              <w:t xml:space="preserve"> </w:t>
            </w:r>
            <w:r w:rsidRPr="00A92AD1">
              <w:rPr>
                <w:bCs/>
                <w:strike/>
                <w:color w:val="D9D9D9" w:themeColor="background1" w:themeShade="D9"/>
                <w:sz w:val="20"/>
                <w:szCs w:val="20"/>
                <w:vertAlign w:val="superscript"/>
                <w:lang w:val="en-GB"/>
              </w:rPr>
              <w:t>*</w:t>
            </w:r>
            <w:r w:rsidRPr="00A92AD1">
              <w:rPr>
                <w:strike/>
                <w:color w:val="D9D9D9" w:themeColor="background1" w:themeShade="D9"/>
                <w:sz w:val="20"/>
                <w:szCs w:val="20"/>
                <w:lang w:val="en-GB"/>
              </w:rPr>
              <w:br/>
              <w:t>EC</w:t>
            </w:r>
            <w:r w:rsidRPr="00A92AD1">
              <w:rPr>
                <w:strike/>
                <w:color w:val="D9D9D9" w:themeColor="background1" w:themeShade="D9"/>
                <w:sz w:val="20"/>
                <w:szCs w:val="20"/>
                <w:vertAlign w:val="subscript"/>
                <w:lang w:val="en-GB"/>
              </w:rPr>
              <w:t>10</w:t>
            </w:r>
            <w:r w:rsidRPr="00A92AD1">
              <w:rPr>
                <w:bCs/>
                <w:strike/>
                <w:color w:val="D9D9D9" w:themeColor="background1" w:themeShade="D9"/>
                <w:sz w:val="20"/>
                <w:szCs w:val="20"/>
                <w:lang w:val="en-GB"/>
              </w:rPr>
              <w:t> </w:t>
            </w:r>
            <w:r w:rsidRPr="00A92AD1">
              <w:rPr>
                <w:bCs/>
                <w:strike/>
                <w:color w:val="D9D9D9" w:themeColor="background1" w:themeShade="D9"/>
                <w:sz w:val="20"/>
                <w:szCs w:val="20"/>
                <w:vertAlign w:val="subscript"/>
                <w:lang w:val="en-GB"/>
              </w:rPr>
              <w:t>CORR</w:t>
            </w:r>
            <w:r w:rsidRPr="00A92AD1">
              <w:rPr>
                <w:strike/>
                <w:color w:val="D9D9D9" w:themeColor="background1" w:themeShade="D9"/>
                <w:sz w:val="20"/>
                <w:szCs w:val="20"/>
                <w:lang w:val="en-GB"/>
              </w:rPr>
              <w:t xml:space="preserve"> &gt; 500 mg/kg dry soil</w:t>
            </w:r>
            <w:r w:rsidRPr="00A92AD1">
              <w:rPr>
                <w:bCs/>
                <w:strike/>
                <w:color w:val="D9D9D9" w:themeColor="background1" w:themeShade="D9"/>
                <w:sz w:val="20"/>
                <w:szCs w:val="20"/>
                <w:lang w:val="en-GB"/>
              </w:rPr>
              <w:t xml:space="preserve"> </w:t>
            </w:r>
            <w:r w:rsidRPr="00A92AD1">
              <w:rPr>
                <w:bCs/>
                <w:strike/>
                <w:color w:val="D9D9D9" w:themeColor="background1" w:themeShade="D9"/>
                <w:sz w:val="20"/>
                <w:szCs w:val="20"/>
                <w:vertAlign w:val="superscript"/>
                <w:lang w:val="en-GB"/>
              </w:rPr>
              <w:t>*</w:t>
            </w:r>
          </w:p>
        </w:tc>
        <w:tc>
          <w:tcPr>
            <w:tcW w:w="883" w:type="pct"/>
            <w:shd w:val="clear" w:color="auto" w:fill="auto"/>
          </w:tcPr>
          <w:p w14:paraId="632ADE00" w14:textId="77777777" w:rsidR="00E51CDD" w:rsidRPr="00A92AD1" w:rsidRDefault="00E51CDD" w:rsidP="00E51CDD">
            <w:pPr>
              <w:widowControl w:val="0"/>
              <w:rPr>
                <w:bCs/>
                <w:iCs/>
                <w:strike/>
                <w:noProof/>
                <w:color w:val="D9D9D9" w:themeColor="background1" w:themeShade="D9"/>
                <w:sz w:val="20"/>
                <w:szCs w:val="20"/>
                <w:lang w:val="en-GB" w:eastAsia="en-US"/>
              </w:rPr>
            </w:pPr>
            <w:r w:rsidRPr="00A92AD1">
              <w:rPr>
                <w:strike/>
                <w:color w:val="D9D9D9" w:themeColor="background1" w:themeShade="D9"/>
                <w:sz w:val="20"/>
                <w:szCs w:val="20"/>
                <w:lang w:val="en-GB"/>
              </w:rPr>
              <w:lastRenderedPageBreak/>
              <w:t>not EU evaluated</w:t>
            </w:r>
            <w:r w:rsidRPr="00A92AD1">
              <w:rPr>
                <w:strike/>
                <w:color w:val="D9D9D9" w:themeColor="background1" w:themeShade="D9"/>
                <w:sz w:val="20"/>
                <w:szCs w:val="20"/>
                <w:lang w:val="en-GB"/>
              </w:rPr>
              <w:br/>
            </w:r>
            <w:r w:rsidRPr="00A92AD1">
              <w:rPr>
                <w:strike/>
                <w:color w:val="D9D9D9" w:themeColor="background1" w:themeShade="D9"/>
                <w:sz w:val="20"/>
                <w:szCs w:val="20"/>
                <w:lang w:val="en-GB" w:eastAsia="zh-CN"/>
              </w:rPr>
              <w:t>2016/1122885</w:t>
            </w:r>
          </w:p>
        </w:tc>
      </w:tr>
    </w:tbl>
    <w:p w14:paraId="7B824DF0" w14:textId="77777777" w:rsidR="00E51CDD" w:rsidRPr="00E51CDD" w:rsidRDefault="00E51CDD" w:rsidP="00E51CDD">
      <w:pPr>
        <w:widowControl w:val="0"/>
        <w:ind w:left="284" w:hanging="284"/>
        <w:jc w:val="both"/>
        <w:rPr>
          <w:lang w:val="en-GB"/>
        </w:rPr>
      </w:pPr>
      <w:bookmarkStart w:id="801" w:name="_Hlk29370833"/>
      <w:r w:rsidRPr="00E51CDD">
        <w:rPr>
          <w:bCs/>
          <w:sz w:val="18"/>
          <w:szCs w:val="18"/>
          <w:lang w:val="en-GB"/>
        </w:rPr>
        <w:t xml:space="preserve">Values shown in </w:t>
      </w:r>
      <w:r w:rsidRPr="00E51CDD">
        <w:rPr>
          <w:b/>
          <w:bCs/>
          <w:sz w:val="18"/>
          <w:szCs w:val="18"/>
          <w:lang w:val="en-GB"/>
        </w:rPr>
        <w:t>bold</w:t>
      </w:r>
      <w:r w:rsidRPr="00E51CDD">
        <w:rPr>
          <w:bCs/>
          <w:sz w:val="18"/>
          <w:szCs w:val="18"/>
          <w:lang w:val="en-GB"/>
        </w:rPr>
        <w:t xml:space="preserve"> are relevant for the conclusion of the risk assessment.</w:t>
      </w:r>
    </w:p>
    <w:bookmarkEnd w:id="801"/>
    <w:p w14:paraId="50F4EEBE" w14:textId="77777777" w:rsidR="00E51CDD" w:rsidRPr="00E51CDD" w:rsidRDefault="00E51CDD" w:rsidP="00E51CDD">
      <w:pPr>
        <w:widowControl w:val="0"/>
        <w:tabs>
          <w:tab w:val="left" w:pos="425"/>
        </w:tabs>
        <w:ind w:left="425" w:hanging="425"/>
        <w:jc w:val="both"/>
        <w:rPr>
          <w:noProof/>
          <w:sz w:val="18"/>
          <w:szCs w:val="18"/>
          <w:lang w:val="en-GB"/>
        </w:rPr>
      </w:pPr>
      <w:r w:rsidRPr="00E51CDD">
        <w:rPr>
          <w:noProof/>
          <w:sz w:val="18"/>
          <w:szCs w:val="18"/>
          <w:vertAlign w:val="superscript"/>
          <w:lang w:val="en-GB"/>
        </w:rPr>
        <w:t>#</w:t>
      </w:r>
      <w:r w:rsidRPr="00E51CDD">
        <w:rPr>
          <w:noProof/>
          <w:sz w:val="18"/>
          <w:szCs w:val="18"/>
          <w:lang w:val="en-GB"/>
        </w:rPr>
        <w:tab/>
        <w:t>Acute studies listed for reference only but not used in the risk assessment according to Commission Regulation (EU) 283/2013.</w:t>
      </w:r>
    </w:p>
    <w:p w14:paraId="1030E5AB" w14:textId="06ED6F3D" w:rsidR="00E51CDD" w:rsidRPr="00E51CDD" w:rsidRDefault="00E51CDD" w:rsidP="00532358">
      <w:pPr>
        <w:widowControl w:val="0"/>
        <w:tabs>
          <w:tab w:val="left" w:pos="425"/>
        </w:tabs>
        <w:ind w:left="425" w:hanging="425"/>
        <w:jc w:val="both"/>
        <w:rPr>
          <w:sz w:val="18"/>
          <w:szCs w:val="18"/>
          <w:lang w:val="en-GB"/>
        </w:rPr>
      </w:pPr>
      <w:r w:rsidRPr="00E51CDD">
        <w:rPr>
          <w:noProof/>
          <w:sz w:val="18"/>
          <w:szCs w:val="18"/>
          <w:lang w:val="en-GB"/>
        </w:rPr>
        <w:t>*</w:t>
      </w:r>
      <w:r w:rsidRPr="00E51CDD">
        <w:rPr>
          <w:noProof/>
          <w:sz w:val="18"/>
          <w:szCs w:val="18"/>
          <w:lang w:val="en-GB"/>
        </w:rPr>
        <w:tab/>
      </w:r>
      <w:r w:rsidRPr="00E51CDD">
        <w:rPr>
          <w:noProof/>
          <w:sz w:val="18"/>
          <w:szCs w:val="18"/>
        </w:rPr>
        <w:t xml:space="preserve">Corrected value derived by dividing the endpoint by a factor of 2 </w:t>
      </w:r>
      <w:r w:rsidRPr="00E51CDD">
        <w:rPr>
          <w:sz w:val="18"/>
          <w:szCs w:val="18"/>
        </w:rPr>
        <w:t>in accordance with the EPPO earthworm scheme 2002</w:t>
      </w:r>
      <w:r w:rsidRPr="00E51CDD">
        <w:t xml:space="preserve"> </w:t>
      </w:r>
      <w:r w:rsidRPr="00E51CDD">
        <w:rPr>
          <w:noProof/>
          <w:sz w:val="18"/>
          <w:szCs w:val="18"/>
        </w:rPr>
        <w:t>due to al log P</w:t>
      </w:r>
      <w:r w:rsidRPr="00E51CDD">
        <w:rPr>
          <w:noProof/>
          <w:sz w:val="18"/>
          <w:szCs w:val="18"/>
          <w:vertAlign w:val="subscript"/>
        </w:rPr>
        <w:t>OW</w:t>
      </w:r>
      <w:r w:rsidRPr="00E51CDD">
        <w:rPr>
          <w:noProof/>
          <w:sz w:val="18"/>
          <w:szCs w:val="18"/>
        </w:rPr>
        <w:t xml:space="preserve"> &gt; 2 of fluxapyroxad.</w:t>
      </w:r>
    </w:p>
    <w:p w14:paraId="3EE792FC" w14:textId="77777777" w:rsidR="00E51CDD" w:rsidRPr="00E51CDD" w:rsidRDefault="00E51CDD" w:rsidP="00E51CDD">
      <w:pPr>
        <w:tabs>
          <w:tab w:val="left" w:pos="1984"/>
        </w:tabs>
        <w:jc w:val="both"/>
        <w:rPr>
          <w:lang w:val="en-GB" w:eastAsia="en-US"/>
        </w:rPr>
      </w:pPr>
    </w:p>
    <w:p w14:paraId="54FE9A6C" w14:textId="77777777" w:rsidR="00E51CDD" w:rsidRPr="00E51CDD" w:rsidRDefault="00E51CDD" w:rsidP="00E51CDD">
      <w:pPr>
        <w:tabs>
          <w:tab w:val="left" w:pos="1984"/>
        </w:tabs>
        <w:jc w:val="both"/>
        <w:rPr>
          <w:lang w:val="en-GB" w:eastAsia="en-US"/>
        </w:rPr>
      </w:pPr>
    </w:p>
    <w:p w14:paraId="46770903" w14:textId="7F50F0DC" w:rsidR="00E51CDD" w:rsidRPr="00E51CDD" w:rsidRDefault="00E51CDD" w:rsidP="00E51CDD">
      <w:pPr>
        <w:ind w:left="1560" w:hanging="1560"/>
        <w:jc w:val="both"/>
        <w:rPr>
          <w:bCs/>
        </w:rPr>
      </w:pPr>
      <w:bookmarkStart w:id="802" w:name="_Ref82779900"/>
      <w:r w:rsidRPr="00E51CDD">
        <w:rPr>
          <w:b/>
          <w:bCs/>
        </w:rPr>
        <w:t xml:space="preserve">Table </w:t>
      </w:r>
      <w:r w:rsidRPr="00E51CDD">
        <w:rPr>
          <w:b/>
          <w:bCs/>
        </w:rPr>
        <w:fldChar w:fldCharType="begin"/>
      </w:r>
      <w:r w:rsidRPr="00E51CDD">
        <w:rPr>
          <w:b/>
          <w:bCs/>
        </w:rPr>
        <w:instrText xml:space="preserve"> STYLEREF 2 \s </w:instrText>
      </w:r>
      <w:r w:rsidRPr="00E51CDD">
        <w:rPr>
          <w:b/>
          <w:bCs/>
        </w:rPr>
        <w:fldChar w:fldCharType="separate"/>
      </w:r>
      <w:r w:rsidR="00662F32">
        <w:rPr>
          <w:b/>
          <w:bCs/>
          <w:noProof/>
        </w:rPr>
        <w:t>9.8</w:t>
      </w:r>
      <w:r w:rsidRPr="00E51CDD">
        <w:rPr>
          <w:b/>
          <w:bCs/>
        </w:rPr>
        <w:fldChar w:fldCharType="end"/>
      </w:r>
      <w:r w:rsidRPr="00E51CDD">
        <w:rPr>
          <w:b/>
          <w:bCs/>
        </w:rPr>
        <w:noBreakHyphen/>
      </w:r>
      <w:r w:rsidRPr="00E51CDD">
        <w:rPr>
          <w:b/>
          <w:bCs/>
        </w:rPr>
        <w:fldChar w:fldCharType="begin"/>
      </w:r>
      <w:r w:rsidRPr="00E51CDD">
        <w:rPr>
          <w:b/>
          <w:bCs/>
        </w:rPr>
        <w:instrText xml:space="preserve"> SEQ Table \* ARABIC \s 2 </w:instrText>
      </w:r>
      <w:r w:rsidRPr="00E51CDD">
        <w:rPr>
          <w:b/>
          <w:bCs/>
        </w:rPr>
        <w:fldChar w:fldCharType="separate"/>
      </w:r>
      <w:r w:rsidR="00662F32">
        <w:rPr>
          <w:b/>
          <w:bCs/>
          <w:noProof/>
        </w:rPr>
        <w:t>2</w:t>
      </w:r>
      <w:r w:rsidRPr="00E51CDD">
        <w:rPr>
          <w:b/>
          <w:bCs/>
        </w:rPr>
        <w:fldChar w:fldCharType="end"/>
      </w:r>
      <w:bookmarkEnd w:id="802"/>
      <w:r w:rsidRPr="00E51CDD">
        <w:rPr>
          <w:b/>
          <w:bCs/>
        </w:rPr>
        <w:t>:</w:t>
      </w:r>
      <w:r w:rsidRPr="00E51CDD">
        <w:rPr>
          <w:b/>
          <w:bCs/>
        </w:rPr>
        <w:tab/>
        <w:t>Endpoints and effect values of azoxystrobin and metabolites relevant for the risk assessment for earthworms and other non-target soil organisms (meso- and macrofauna)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26"/>
        <w:gridCol w:w="1937"/>
        <w:gridCol w:w="1734"/>
        <w:gridCol w:w="2304"/>
        <w:gridCol w:w="1644"/>
      </w:tblGrid>
      <w:tr w:rsidR="00E51CDD" w:rsidRPr="00E51CDD" w14:paraId="3B6399D5" w14:textId="77777777" w:rsidTr="009938D9">
        <w:trPr>
          <w:tblHeader/>
        </w:trPr>
        <w:tc>
          <w:tcPr>
            <w:tcW w:w="927" w:type="pct"/>
            <w:shd w:val="clear" w:color="auto" w:fill="auto"/>
          </w:tcPr>
          <w:p w14:paraId="5FA18185"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Species</w:t>
            </w:r>
          </w:p>
        </w:tc>
        <w:tc>
          <w:tcPr>
            <w:tcW w:w="1023" w:type="pct"/>
            <w:shd w:val="clear" w:color="auto" w:fill="auto"/>
          </w:tcPr>
          <w:p w14:paraId="51F2A574"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Substance/metabolite</w:t>
            </w:r>
          </w:p>
        </w:tc>
        <w:tc>
          <w:tcPr>
            <w:tcW w:w="931" w:type="pct"/>
            <w:shd w:val="clear" w:color="auto" w:fill="auto"/>
          </w:tcPr>
          <w:p w14:paraId="64C240AF"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Exposure System</w:t>
            </w:r>
          </w:p>
        </w:tc>
        <w:tc>
          <w:tcPr>
            <w:tcW w:w="1236" w:type="pct"/>
            <w:shd w:val="clear" w:color="auto" w:fill="auto"/>
          </w:tcPr>
          <w:p w14:paraId="0B3868D9"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Results</w:t>
            </w:r>
          </w:p>
        </w:tc>
        <w:tc>
          <w:tcPr>
            <w:tcW w:w="883" w:type="pct"/>
            <w:shd w:val="clear" w:color="auto" w:fill="auto"/>
          </w:tcPr>
          <w:p w14:paraId="0E1AF632"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Reference</w:t>
            </w:r>
          </w:p>
        </w:tc>
      </w:tr>
      <w:tr w:rsidR="00E51CDD" w:rsidRPr="00E51CDD" w14:paraId="6CD0A9C4" w14:textId="77777777" w:rsidTr="009938D9">
        <w:tc>
          <w:tcPr>
            <w:tcW w:w="5000" w:type="pct"/>
            <w:gridSpan w:val="5"/>
            <w:shd w:val="clear" w:color="auto" w:fill="auto"/>
          </w:tcPr>
          <w:p w14:paraId="771146A9" w14:textId="77777777" w:rsidR="00E51CDD" w:rsidRPr="00E51CDD" w:rsidRDefault="00E51CDD" w:rsidP="00E51CDD">
            <w:pPr>
              <w:widowControl w:val="0"/>
              <w:rPr>
                <w:b/>
                <w:bCs/>
                <w:iCs/>
                <w:noProof/>
                <w:sz w:val="20"/>
                <w:szCs w:val="20"/>
              </w:rPr>
            </w:pPr>
            <w:r w:rsidRPr="00E51CDD">
              <w:rPr>
                <w:b/>
                <w:noProof/>
                <w:sz w:val="20"/>
                <w:szCs w:val="20"/>
                <w:lang w:val="en-GB"/>
              </w:rPr>
              <w:t>Acute</w:t>
            </w:r>
            <w:r w:rsidRPr="00E51CDD">
              <w:rPr>
                <w:b/>
                <w:noProof/>
                <w:sz w:val="20"/>
                <w:szCs w:val="20"/>
                <w:vertAlign w:val="superscript"/>
                <w:lang w:val="en-GB"/>
              </w:rPr>
              <w:t xml:space="preserve"> #</w:t>
            </w:r>
          </w:p>
        </w:tc>
      </w:tr>
      <w:tr w:rsidR="00E51CDD" w:rsidRPr="00E51CDD" w14:paraId="5C100F50" w14:textId="77777777" w:rsidTr="009938D9">
        <w:tc>
          <w:tcPr>
            <w:tcW w:w="927" w:type="pct"/>
            <w:shd w:val="clear" w:color="auto" w:fill="auto"/>
          </w:tcPr>
          <w:p w14:paraId="1C0DC575" w14:textId="77777777" w:rsidR="00E51CDD" w:rsidRPr="00E51CDD" w:rsidRDefault="00E51CDD" w:rsidP="00E51CDD">
            <w:pPr>
              <w:widowControl w:val="0"/>
              <w:rPr>
                <w:i/>
                <w:noProof/>
                <w:sz w:val="20"/>
                <w:szCs w:val="20"/>
                <w:lang w:val="en-GB"/>
              </w:rPr>
            </w:pPr>
            <w:r w:rsidRPr="00E51CDD">
              <w:rPr>
                <w:i/>
                <w:sz w:val="20"/>
                <w:szCs w:val="20"/>
              </w:rPr>
              <w:t>Eisenia fetida</w:t>
            </w:r>
          </w:p>
        </w:tc>
        <w:tc>
          <w:tcPr>
            <w:tcW w:w="1023" w:type="pct"/>
            <w:shd w:val="clear" w:color="auto" w:fill="auto"/>
          </w:tcPr>
          <w:p w14:paraId="575CD9B7" w14:textId="77777777" w:rsidR="00E51CDD" w:rsidRPr="00E51CDD" w:rsidRDefault="00E51CDD" w:rsidP="00E51CDD">
            <w:pPr>
              <w:widowControl w:val="0"/>
              <w:rPr>
                <w:noProof/>
                <w:sz w:val="20"/>
                <w:szCs w:val="20"/>
                <w:lang w:val="en-GB"/>
              </w:rPr>
            </w:pPr>
            <w:r w:rsidRPr="00E51CDD">
              <w:rPr>
                <w:sz w:val="20"/>
                <w:szCs w:val="20"/>
              </w:rPr>
              <w:t>azoxystrobin</w:t>
            </w:r>
          </w:p>
        </w:tc>
        <w:tc>
          <w:tcPr>
            <w:tcW w:w="931" w:type="pct"/>
            <w:shd w:val="clear" w:color="auto" w:fill="auto"/>
          </w:tcPr>
          <w:p w14:paraId="201934DF" w14:textId="77777777" w:rsidR="00E51CDD" w:rsidRPr="00E51CDD" w:rsidRDefault="00E51CDD" w:rsidP="00E51CDD">
            <w:pPr>
              <w:widowControl w:val="0"/>
              <w:rPr>
                <w:noProof/>
                <w:sz w:val="20"/>
                <w:szCs w:val="20"/>
                <w:lang w:val="en-GB"/>
              </w:rPr>
            </w:pPr>
            <w:r w:rsidRPr="00E51CDD">
              <w:rPr>
                <w:sz w:val="20"/>
                <w:szCs w:val="20"/>
              </w:rPr>
              <w:t>Mixed into substrate 14 d</w:t>
            </w:r>
            <w:r w:rsidRPr="00E51CDD">
              <w:rPr>
                <w:sz w:val="20"/>
                <w:szCs w:val="20"/>
              </w:rPr>
              <w:br/>
              <w:t>10% peat content</w:t>
            </w:r>
          </w:p>
        </w:tc>
        <w:tc>
          <w:tcPr>
            <w:tcW w:w="1236" w:type="pct"/>
            <w:shd w:val="clear" w:color="auto" w:fill="auto"/>
          </w:tcPr>
          <w:p w14:paraId="020E1E5D" w14:textId="77777777" w:rsidR="00E51CDD" w:rsidRPr="00E51CDD" w:rsidRDefault="00E51CDD" w:rsidP="00E51CDD">
            <w:pPr>
              <w:keepNext/>
              <w:keepLines/>
              <w:widowControl w:val="0"/>
              <w:rPr>
                <w:sz w:val="20"/>
                <w:szCs w:val="20"/>
                <w:lang w:val="en-GB"/>
              </w:rPr>
            </w:pPr>
            <w:r w:rsidRPr="00E51CDD">
              <w:rPr>
                <w:sz w:val="20"/>
                <w:szCs w:val="20"/>
                <w:lang w:val="en-GB"/>
              </w:rPr>
              <w:t>LC</w:t>
            </w:r>
            <w:r w:rsidRPr="00E51CDD">
              <w:rPr>
                <w:sz w:val="20"/>
                <w:szCs w:val="20"/>
                <w:vertAlign w:val="subscript"/>
                <w:lang w:val="en-GB"/>
              </w:rPr>
              <w:t>50</w:t>
            </w:r>
            <w:r w:rsidRPr="00E51CDD">
              <w:rPr>
                <w:sz w:val="20"/>
                <w:szCs w:val="20"/>
                <w:lang w:val="en-GB"/>
              </w:rPr>
              <w:t xml:space="preserve"> = 283 mg/kg dry soil</w:t>
            </w:r>
          </w:p>
          <w:p w14:paraId="72AF96F8" w14:textId="77777777" w:rsidR="00E51CDD" w:rsidRPr="00E51CDD" w:rsidRDefault="00E51CDD" w:rsidP="00E51CDD">
            <w:pPr>
              <w:widowControl w:val="0"/>
              <w:rPr>
                <w:noProof/>
                <w:sz w:val="20"/>
                <w:szCs w:val="20"/>
              </w:rPr>
            </w:pPr>
            <w:r w:rsidRPr="00E51CDD">
              <w:rPr>
                <w:b/>
                <w:sz w:val="20"/>
                <w:szCs w:val="20"/>
              </w:rPr>
              <w:t>LC</w:t>
            </w:r>
            <w:r w:rsidRPr="00E51CDD">
              <w:rPr>
                <w:b/>
                <w:sz w:val="20"/>
                <w:szCs w:val="20"/>
                <w:vertAlign w:val="subscript"/>
              </w:rPr>
              <w:t>50 CORR</w:t>
            </w:r>
            <w:r w:rsidRPr="00E51CDD">
              <w:rPr>
                <w:b/>
                <w:sz w:val="20"/>
                <w:szCs w:val="20"/>
              </w:rPr>
              <w:t xml:space="preserve">= 142 mg/kg dry soil </w:t>
            </w:r>
            <w:r w:rsidRPr="00E51CDD">
              <w:rPr>
                <w:sz w:val="20"/>
                <w:szCs w:val="20"/>
                <w:vertAlign w:val="superscript"/>
              </w:rPr>
              <w:t>*</w:t>
            </w:r>
          </w:p>
        </w:tc>
        <w:tc>
          <w:tcPr>
            <w:tcW w:w="883" w:type="pct"/>
            <w:shd w:val="clear" w:color="auto" w:fill="auto"/>
          </w:tcPr>
          <w:p w14:paraId="553FA959" w14:textId="77777777" w:rsidR="00E51CDD" w:rsidRPr="00E51CDD" w:rsidRDefault="00E51CDD" w:rsidP="00E51CDD">
            <w:pPr>
              <w:keepNext/>
              <w:keepLines/>
              <w:widowControl w:val="0"/>
              <w:rPr>
                <w:sz w:val="20"/>
                <w:szCs w:val="20"/>
                <w:lang w:val="en-GB"/>
              </w:rPr>
            </w:pPr>
            <w:r w:rsidRPr="00E51CDD">
              <w:rPr>
                <w:sz w:val="20"/>
                <w:szCs w:val="20"/>
                <w:lang w:val="en-GB"/>
              </w:rPr>
              <w:t xml:space="preserve">EFSA Journal 2010; 8(4):1542, </w:t>
            </w:r>
          </w:p>
          <w:p w14:paraId="0650927A" w14:textId="34219D03" w:rsidR="00E51CDD" w:rsidRPr="00E51CDD" w:rsidRDefault="00E51CDD" w:rsidP="00E51CDD">
            <w:pPr>
              <w:keepNext/>
              <w:keepLines/>
              <w:widowControl w:val="0"/>
              <w:rPr>
                <w:bCs/>
                <w:iCs/>
                <w:noProof/>
                <w:sz w:val="20"/>
                <w:szCs w:val="20"/>
                <w:lang w:val="en-GB" w:eastAsia="en-US"/>
              </w:rPr>
            </w:pPr>
            <w:r w:rsidRPr="00E51CDD">
              <w:rPr>
                <w:sz w:val="20"/>
                <w:szCs w:val="20"/>
                <w:lang w:val="en-GB"/>
              </w:rPr>
              <w:t>Coulson J.M.,</w:t>
            </w:r>
            <w:r w:rsidR="006A40DA">
              <w:rPr>
                <w:sz w:val="20"/>
                <w:szCs w:val="20"/>
                <w:lang w:val="en-GB"/>
              </w:rPr>
              <w:t xml:space="preserve"> </w:t>
            </w:r>
            <w:r w:rsidRPr="00E51CDD">
              <w:rPr>
                <w:sz w:val="20"/>
                <w:szCs w:val="20"/>
                <w:lang w:val="en-GB"/>
              </w:rPr>
              <w:t>Yearsdon H.A., Flemming T.M., ICI5504/0904</w:t>
            </w:r>
          </w:p>
        </w:tc>
      </w:tr>
      <w:tr w:rsidR="00E51CDD" w:rsidRPr="00E51CDD" w14:paraId="2DA5616A" w14:textId="77777777" w:rsidTr="009938D9">
        <w:tc>
          <w:tcPr>
            <w:tcW w:w="927" w:type="pct"/>
            <w:shd w:val="clear" w:color="auto" w:fill="auto"/>
          </w:tcPr>
          <w:p w14:paraId="6F28445B" w14:textId="77777777" w:rsidR="00E51CDD" w:rsidRPr="00E51CDD" w:rsidRDefault="00E51CDD" w:rsidP="00E51CDD">
            <w:pPr>
              <w:widowControl w:val="0"/>
              <w:rPr>
                <w:i/>
                <w:noProof/>
                <w:sz w:val="20"/>
                <w:szCs w:val="20"/>
                <w:lang w:val="en-GB"/>
              </w:rPr>
            </w:pPr>
            <w:r w:rsidRPr="00E51CDD">
              <w:rPr>
                <w:i/>
                <w:sz w:val="20"/>
                <w:szCs w:val="20"/>
              </w:rPr>
              <w:t>Eisenia fetida</w:t>
            </w:r>
          </w:p>
        </w:tc>
        <w:tc>
          <w:tcPr>
            <w:tcW w:w="1023" w:type="pct"/>
            <w:shd w:val="clear" w:color="auto" w:fill="auto"/>
          </w:tcPr>
          <w:p w14:paraId="76D33E28" w14:textId="77777777" w:rsidR="00E51CDD" w:rsidRPr="00E51CDD" w:rsidRDefault="00E51CDD" w:rsidP="00E51CDD">
            <w:pPr>
              <w:widowControl w:val="0"/>
              <w:rPr>
                <w:sz w:val="20"/>
                <w:szCs w:val="20"/>
                <w:vertAlign w:val="superscript"/>
              </w:rPr>
            </w:pPr>
            <w:r w:rsidRPr="00E51CDD">
              <w:rPr>
                <w:sz w:val="20"/>
                <w:szCs w:val="20"/>
              </w:rPr>
              <w:t xml:space="preserve">A12705H </w:t>
            </w:r>
            <w:r w:rsidRPr="00E51CDD">
              <w:rPr>
                <w:sz w:val="20"/>
                <w:szCs w:val="20"/>
                <w:vertAlign w:val="superscript"/>
              </w:rPr>
              <w:t>1)</w:t>
            </w:r>
          </w:p>
          <w:p w14:paraId="21048257" w14:textId="77777777" w:rsidR="00E51CDD" w:rsidRPr="00E51CDD" w:rsidRDefault="00E51CDD" w:rsidP="00E51CDD">
            <w:pPr>
              <w:widowControl w:val="0"/>
              <w:rPr>
                <w:noProof/>
                <w:sz w:val="20"/>
                <w:szCs w:val="20"/>
                <w:lang w:val="en-GB"/>
              </w:rPr>
            </w:pPr>
            <w:r w:rsidRPr="00E51CDD">
              <w:rPr>
                <w:sz w:val="20"/>
                <w:szCs w:val="20"/>
              </w:rPr>
              <w:t>(250 SC)</w:t>
            </w:r>
          </w:p>
        </w:tc>
        <w:tc>
          <w:tcPr>
            <w:tcW w:w="931" w:type="pct"/>
            <w:shd w:val="clear" w:color="auto" w:fill="auto"/>
          </w:tcPr>
          <w:p w14:paraId="4508F62F" w14:textId="77777777" w:rsidR="00E51CDD" w:rsidRPr="00E51CDD" w:rsidRDefault="00E51CDD" w:rsidP="00E51CDD">
            <w:pPr>
              <w:widowControl w:val="0"/>
              <w:rPr>
                <w:noProof/>
                <w:sz w:val="20"/>
                <w:szCs w:val="20"/>
                <w:lang w:val="en-GB"/>
              </w:rPr>
            </w:pPr>
            <w:r w:rsidRPr="00E51CDD">
              <w:rPr>
                <w:sz w:val="20"/>
                <w:szCs w:val="20"/>
              </w:rPr>
              <w:t>Mixed into substrate 14 d</w:t>
            </w:r>
            <w:r w:rsidRPr="00E51CDD">
              <w:rPr>
                <w:sz w:val="20"/>
                <w:szCs w:val="20"/>
              </w:rPr>
              <w:br/>
              <w:t>10% peat content</w:t>
            </w:r>
          </w:p>
        </w:tc>
        <w:tc>
          <w:tcPr>
            <w:tcW w:w="1236" w:type="pct"/>
            <w:shd w:val="clear" w:color="auto" w:fill="auto"/>
          </w:tcPr>
          <w:p w14:paraId="03D933DB" w14:textId="77777777" w:rsidR="00E51CDD" w:rsidRPr="00E51CDD" w:rsidRDefault="00E51CDD" w:rsidP="00E51CDD">
            <w:pPr>
              <w:widowControl w:val="0"/>
              <w:rPr>
                <w:noProof/>
                <w:sz w:val="20"/>
                <w:szCs w:val="20"/>
              </w:rPr>
            </w:pPr>
            <w:r w:rsidRPr="00E51CDD">
              <w:rPr>
                <w:sz w:val="20"/>
                <w:szCs w:val="20"/>
              </w:rPr>
              <w:t>LC</w:t>
            </w:r>
            <w:r w:rsidRPr="00E51CDD">
              <w:rPr>
                <w:sz w:val="20"/>
                <w:szCs w:val="20"/>
                <w:vertAlign w:val="subscript"/>
              </w:rPr>
              <w:t>50</w:t>
            </w:r>
            <w:r w:rsidRPr="00E51CDD">
              <w:rPr>
                <w:sz w:val="20"/>
                <w:szCs w:val="20"/>
              </w:rPr>
              <w:t xml:space="preserve"> = 881 mg/kg dry soil</w:t>
            </w:r>
          </w:p>
        </w:tc>
        <w:tc>
          <w:tcPr>
            <w:tcW w:w="883" w:type="pct"/>
            <w:shd w:val="clear" w:color="auto" w:fill="auto"/>
          </w:tcPr>
          <w:p w14:paraId="3EA716AD" w14:textId="77777777" w:rsidR="00E51CDD" w:rsidRPr="00E51CDD" w:rsidRDefault="00E51CDD" w:rsidP="00E51CDD">
            <w:pPr>
              <w:widowControl w:val="0"/>
              <w:rPr>
                <w:sz w:val="20"/>
                <w:szCs w:val="20"/>
                <w:lang w:val="en-GB"/>
              </w:rPr>
            </w:pPr>
            <w:r w:rsidRPr="00E51CDD">
              <w:rPr>
                <w:sz w:val="20"/>
                <w:szCs w:val="20"/>
                <w:lang w:val="en-GB"/>
              </w:rPr>
              <w:t xml:space="preserve">EFSA Journal 2010; 8(4):1542, </w:t>
            </w:r>
          </w:p>
          <w:p w14:paraId="2B1DB494" w14:textId="77777777" w:rsidR="00E51CDD" w:rsidRPr="00E51CDD" w:rsidRDefault="00E51CDD" w:rsidP="00E51CDD">
            <w:pPr>
              <w:widowControl w:val="0"/>
              <w:rPr>
                <w:bCs/>
                <w:iCs/>
                <w:noProof/>
                <w:sz w:val="20"/>
                <w:szCs w:val="20"/>
                <w:lang w:val="en-GB" w:eastAsia="en-US"/>
              </w:rPr>
            </w:pPr>
            <w:r w:rsidRPr="00E51CDD">
              <w:rPr>
                <w:sz w:val="20"/>
                <w:szCs w:val="20"/>
                <w:lang w:val="en-GB"/>
              </w:rPr>
              <w:t>Bembridge J.D., Jackson, D., Coulson, J.M., ICI5504/0905</w:t>
            </w:r>
          </w:p>
        </w:tc>
      </w:tr>
      <w:tr w:rsidR="00E51CDD" w:rsidRPr="00662F32" w14:paraId="72672466" w14:textId="77777777" w:rsidTr="009938D9">
        <w:tc>
          <w:tcPr>
            <w:tcW w:w="927" w:type="pct"/>
            <w:shd w:val="clear" w:color="auto" w:fill="auto"/>
          </w:tcPr>
          <w:p w14:paraId="3C96FC92" w14:textId="77777777" w:rsidR="00E51CDD" w:rsidRPr="00E51CDD" w:rsidRDefault="00E51CDD" w:rsidP="00E51CDD">
            <w:pPr>
              <w:widowControl w:val="0"/>
              <w:rPr>
                <w:i/>
                <w:noProof/>
                <w:sz w:val="20"/>
                <w:szCs w:val="20"/>
                <w:lang w:val="en-GB"/>
              </w:rPr>
            </w:pPr>
            <w:r w:rsidRPr="00E51CDD">
              <w:rPr>
                <w:i/>
                <w:sz w:val="20"/>
                <w:szCs w:val="20"/>
              </w:rPr>
              <w:t>Eisenia fetida</w:t>
            </w:r>
          </w:p>
        </w:tc>
        <w:tc>
          <w:tcPr>
            <w:tcW w:w="1023" w:type="pct"/>
            <w:shd w:val="clear" w:color="auto" w:fill="auto"/>
          </w:tcPr>
          <w:p w14:paraId="07643772" w14:textId="77777777" w:rsidR="00E51CDD" w:rsidRPr="00E51CDD" w:rsidRDefault="00E51CDD" w:rsidP="00E51CDD">
            <w:pPr>
              <w:widowControl w:val="0"/>
              <w:rPr>
                <w:sz w:val="20"/>
                <w:szCs w:val="20"/>
              </w:rPr>
            </w:pPr>
            <w:r w:rsidRPr="00E51CDD">
              <w:rPr>
                <w:sz w:val="20"/>
                <w:szCs w:val="20"/>
              </w:rPr>
              <w:t>Metabolite,</w:t>
            </w:r>
          </w:p>
          <w:p w14:paraId="2AAFD20E" w14:textId="77777777" w:rsidR="00E51CDD" w:rsidRPr="00E51CDD" w:rsidRDefault="00E51CDD" w:rsidP="00E51CDD">
            <w:pPr>
              <w:widowControl w:val="0"/>
              <w:rPr>
                <w:noProof/>
                <w:sz w:val="20"/>
                <w:szCs w:val="20"/>
                <w:lang w:val="en-GB"/>
              </w:rPr>
            </w:pPr>
            <w:r w:rsidRPr="00E51CDD">
              <w:rPr>
                <w:sz w:val="20"/>
                <w:szCs w:val="20"/>
              </w:rPr>
              <w:t>R234886</w:t>
            </w:r>
          </w:p>
        </w:tc>
        <w:tc>
          <w:tcPr>
            <w:tcW w:w="931" w:type="pct"/>
            <w:shd w:val="clear" w:color="auto" w:fill="auto"/>
          </w:tcPr>
          <w:p w14:paraId="361A1B0F" w14:textId="77777777" w:rsidR="00E51CDD" w:rsidRPr="00E51CDD" w:rsidRDefault="00E51CDD" w:rsidP="00E51CDD">
            <w:pPr>
              <w:widowControl w:val="0"/>
              <w:rPr>
                <w:noProof/>
                <w:sz w:val="20"/>
                <w:szCs w:val="20"/>
                <w:lang w:val="en-GB"/>
              </w:rPr>
            </w:pPr>
            <w:r w:rsidRPr="00E51CDD">
              <w:rPr>
                <w:sz w:val="20"/>
                <w:szCs w:val="20"/>
              </w:rPr>
              <w:t>Mixed into substrate 14 d</w:t>
            </w:r>
            <w:r w:rsidRPr="00E51CDD">
              <w:rPr>
                <w:sz w:val="20"/>
                <w:szCs w:val="20"/>
              </w:rPr>
              <w:br/>
              <w:t>10% peat content</w:t>
            </w:r>
          </w:p>
        </w:tc>
        <w:tc>
          <w:tcPr>
            <w:tcW w:w="1236" w:type="pct"/>
            <w:shd w:val="clear" w:color="auto" w:fill="auto"/>
          </w:tcPr>
          <w:p w14:paraId="228CDC3A" w14:textId="77777777" w:rsidR="00E51CDD" w:rsidRPr="00E51CDD" w:rsidRDefault="00E51CDD" w:rsidP="00E51CDD">
            <w:pPr>
              <w:widowControl w:val="0"/>
              <w:rPr>
                <w:noProof/>
                <w:sz w:val="20"/>
                <w:szCs w:val="20"/>
              </w:rPr>
            </w:pPr>
            <w:r w:rsidRPr="00E51CDD">
              <w:rPr>
                <w:b/>
                <w:sz w:val="20"/>
                <w:szCs w:val="20"/>
              </w:rPr>
              <w:t>LC</w:t>
            </w:r>
            <w:r w:rsidRPr="00E51CDD">
              <w:rPr>
                <w:b/>
                <w:sz w:val="20"/>
                <w:szCs w:val="20"/>
                <w:vertAlign w:val="subscript"/>
              </w:rPr>
              <w:t>50</w:t>
            </w:r>
            <w:r w:rsidRPr="00E51CDD">
              <w:rPr>
                <w:b/>
                <w:sz w:val="20"/>
                <w:szCs w:val="20"/>
              </w:rPr>
              <w:t xml:space="preserve"> &gt; 1000 mg/kg dry soil</w:t>
            </w:r>
          </w:p>
        </w:tc>
        <w:tc>
          <w:tcPr>
            <w:tcW w:w="883" w:type="pct"/>
            <w:shd w:val="clear" w:color="auto" w:fill="auto"/>
          </w:tcPr>
          <w:p w14:paraId="10E96561" w14:textId="77777777" w:rsidR="00E51CDD" w:rsidRPr="00E51CDD" w:rsidRDefault="00E51CDD" w:rsidP="00E51CDD">
            <w:pPr>
              <w:widowControl w:val="0"/>
              <w:rPr>
                <w:sz w:val="20"/>
                <w:szCs w:val="20"/>
                <w:lang w:val="de-DE"/>
              </w:rPr>
            </w:pPr>
            <w:r w:rsidRPr="00E51CDD">
              <w:rPr>
                <w:sz w:val="20"/>
                <w:szCs w:val="20"/>
                <w:lang w:val="de-DE"/>
              </w:rPr>
              <w:t>EFSA Journal 2010; 8(4):1542,</w:t>
            </w:r>
          </w:p>
          <w:p w14:paraId="64E2F894" w14:textId="77777777" w:rsidR="00E51CDD" w:rsidRPr="00E51CDD" w:rsidRDefault="00E51CDD" w:rsidP="00E51CDD">
            <w:pPr>
              <w:widowControl w:val="0"/>
              <w:rPr>
                <w:bCs/>
                <w:iCs/>
                <w:noProof/>
                <w:sz w:val="20"/>
                <w:szCs w:val="20"/>
                <w:lang w:val="de-DE" w:eastAsia="en-US"/>
              </w:rPr>
            </w:pPr>
            <w:r w:rsidRPr="00E51CDD">
              <w:rPr>
                <w:sz w:val="20"/>
                <w:szCs w:val="20"/>
                <w:lang w:val="de-DE"/>
              </w:rPr>
              <w:t>Friedrich, S., 2002, R234886/0001</w:t>
            </w:r>
          </w:p>
        </w:tc>
      </w:tr>
      <w:tr w:rsidR="00E51CDD" w:rsidRPr="00E51CDD" w14:paraId="01DD7A8E" w14:textId="77777777" w:rsidTr="009938D9">
        <w:tc>
          <w:tcPr>
            <w:tcW w:w="927" w:type="pct"/>
            <w:shd w:val="clear" w:color="auto" w:fill="auto"/>
          </w:tcPr>
          <w:p w14:paraId="79EC46B3" w14:textId="77777777" w:rsidR="00E51CDD" w:rsidRPr="00E51CDD" w:rsidRDefault="00E51CDD" w:rsidP="00E51CDD">
            <w:pPr>
              <w:widowControl w:val="0"/>
              <w:rPr>
                <w:i/>
                <w:noProof/>
                <w:sz w:val="20"/>
                <w:szCs w:val="20"/>
                <w:lang w:val="en-GB"/>
              </w:rPr>
            </w:pPr>
            <w:r w:rsidRPr="00E51CDD">
              <w:rPr>
                <w:i/>
                <w:sz w:val="20"/>
                <w:szCs w:val="20"/>
              </w:rPr>
              <w:t>Eisenia fetida</w:t>
            </w:r>
          </w:p>
        </w:tc>
        <w:tc>
          <w:tcPr>
            <w:tcW w:w="1023" w:type="pct"/>
            <w:shd w:val="clear" w:color="auto" w:fill="auto"/>
          </w:tcPr>
          <w:p w14:paraId="786145B9" w14:textId="77777777" w:rsidR="00E51CDD" w:rsidRPr="00E51CDD" w:rsidRDefault="00E51CDD" w:rsidP="00E51CDD">
            <w:pPr>
              <w:widowControl w:val="0"/>
              <w:rPr>
                <w:sz w:val="20"/>
                <w:szCs w:val="20"/>
              </w:rPr>
            </w:pPr>
            <w:r w:rsidRPr="00E51CDD">
              <w:rPr>
                <w:sz w:val="20"/>
                <w:szCs w:val="20"/>
              </w:rPr>
              <w:t>Metabolite,</w:t>
            </w:r>
          </w:p>
          <w:p w14:paraId="46BCBE6C" w14:textId="77777777" w:rsidR="00E51CDD" w:rsidRPr="00E51CDD" w:rsidRDefault="00E51CDD" w:rsidP="00E51CDD">
            <w:pPr>
              <w:widowControl w:val="0"/>
              <w:rPr>
                <w:noProof/>
                <w:sz w:val="20"/>
                <w:szCs w:val="20"/>
                <w:lang w:val="en-GB"/>
              </w:rPr>
            </w:pPr>
            <w:r w:rsidRPr="00E51CDD">
              <w:rPr>
                <w:sz w:val="20"/>
                <w:szCs w:val="20"/>
              </w:rPr>
              <w:t>R402173</w:t>
            </w:r>
          </w:p>
        </w:tc>
        <w:tc>
          <w:tcPr>
            <w:tcW w:w="931" w:type="pct"/>
            <w:shd w:val="clear" w:color="auto" w:fill="auto"/>
          </w:tcPr>
          <w:p w14:paraId="51E20495" w14:textId="77777777" w:rsidR="00E51CDD" w:rsidRPr="00E51CDD" w:rsidRDefault="00E51CDD" w:rsidP="00E51CDD">
            <w:pPr>
              <w:widowControl w:val="0"/>
              <w:rPr>
                <w:noProof/>
                <w:sz w:val="20"/>
                <w:szCs w:val="20"/>
                <w:lang w:val="en-GB"/>
              </w:rPr>
            </w:pPr>
            <w:r w:rsidRPr="00E51CDD">
              <w:rPr>
                <w:sz w:val="20"/>
                <w:szCs w:val="20"/>
              </w:rPr>
              <w:t>Mixed into substrate 14 d</w:t>
            </w:r>
            <w:r w:rsidRPr="00E51CDD">
              <w:rPr>
                <w:sz w:val="20"/>
                <w:szCs w:val="20"/>
              </w:rPr>
              <w:br/>
              <w:t>10% peat content</w:t>
            </w:r>
          </w:p>
        </w:tc>
        <w:tc>
          <w:tcPr>
            <w:tcW w:w="1236" w:type="pct"/>
            <w:shd w:val="clear" w:color="auto" w:fill="auto"/>
          </w:tcPr>
          <w:p w14:paraId="66D6AFAE" w14:textId="77777777" w:rsidR="00E51CDD" w:rsidRPr="00E51CDD" w:rsidRDefault="00E51CDD" w:rsidP="00E51CDD">
            <w:pPr>
              <w:widowControl w:val="0"/>
              <w:rPr>
                <w:noProof/>
                <w:sz w:val="20"/>
                <w:szCs w:val="20"/>
              </w:rPr>
            </w:pPr>
            <w:r w:rsidRPr="00E51CDD">
              <w:rPr>
                <w:b/>
                <w:sz w:val="20"/>
                <w:szCs w:val="20"/>
              </w:rPr>
              <w:t>LC</w:t>
            </w:r>
            <w:r w:rsidRPr="00E51CDD">
              <w:rPr>
                <w:b/>
                <w:sz w:val="20"/>
                <w:szCs w:val="20"/>
                <w:vertAlign w:val="subscript"/>
              </w:rPr>
              <w:t>50</w:t>
            </w:r>
            <w:r w:rsidRPr="00E51CDD">
              <w:rPr>
                <w:b/>
                <w:sz w:val="20"/>
                <w:szCs w:val="20"/>
              </w:rPr>
              <w:t xml:space="preserve"> &gt; 1000 mg/kg dry soil</w:t>
            </w:r>
          </w:p>
        </w:tc>
        <w:tc>
          <w:tcPr>
            <w:tcW w:w="883" w:type="pct"/>
            <w:shd w:val="clear" w:color="auto" w:fill="auto"/>
          </w:tcPr>
          <w:p w14:paraId="551E8119" w14:textId="77777777" w:rsidR="00E51CDD" w:rsidRPr="00E51CDD" w:rsidRDefault="00E51CDD" w:rsidP="00E51CDD">
            <w:pPr>
              <w:widowControl w:val="0"/>
              <w:rPr>
                <w:sz w:val="20"/>
                <w:szCs w:val="20"/>
                <w:lang w:val="en-GB"/>
              </w:rPr>
            </w:pPr>
            <w:r w:rsidRPr="00E51CDD">
              <w:rPr>
                <w:sz w:val="20"/>
                <w:szCs w:val="20"/>
                <w:lang w:val="en-GB"/>
              </w:rPr>
              <w:t>EFSA Journal 2010; 8(4):1542,</w:t>
            </w:r>
          </w:p>
          <w:p w14:paraId="0E4B8296" w14:textId="77777777" w:rsidR="00E51CDD" w:rsidRPr="00E51CDD" w:rsidRDefault="00E51CDD" w:rsidP="00E51CDD">
            <w:pPr>
              <w:widowControl w:val="0"/>
              <w:rPr>
                <w:bCs/>
                <w:iCs/>
                <w:noProof/>
                <w:sz w:val="20"/>
                <w:szCs w:val="20"/>
                <w:lang w:val="en-GB" w:eastAsia="en-US"/>
              </w:rPr>
            </w:pPr>
            <w:r w:rsidRPr="00E51CDD">
              <w:rPr>
                <w:sz w:val="20"/>
                <w:szCs w:val="20"/>
                <w:lang w:val="en-GB"/>
              </w:rPr>
              <w:t>Friedrich, S., 2008a, SYN501114/0001</w:t>
            </w:r>
          </w:p>
        </w:tc>
      </w:tr>
      <w:tr w:rsidR="00E51CDD" w:rsidRPr="00E51CDD" w14:paraId="7C77308D" w14:textId="77777777" w:rsidTr="009938D9">
        <w:tc>
          <w:tcPr>
            <w:tcW w:w="927" w:type="pct"/>
            <w:shd w:val="clear" w:color="auto" w:fill="auto"/>
          </w:tcPr>
          <w:p w14:paraId="28B346B2" w14:textId="77777777" w:rsidR="00E51CDD" w:rsidRPr="00E51CDD" w:rsidRDefault="00E51CDD" w:rsidP="00E51CDD">
            <w:pPr>
              <w:widowControl w:val="0"/>
              <w:rPr>
                <w:i/>
                <w:noProof/>
                <w:sz w:val="20"/>
                <w:szCs w:val="20"/>
                <w:lang w:val="en-GB"/>
              </w:rPr>
            </w:pPr>
            <w:r w:rsidRPr="00E51CDD">
              <w:rPr>
                <w:i/>
                <w:sz w:val="20"/>
                <w:szCs w:val="20"/>
              </w:rPr>
              <w:t>Eisenia fetida</w:t>
            </w:r>
          </w:p>
        </w:tc>
        <w:tc>
          <w:tcPr>
            <w:tcW w:w="1023" w:type="pct"/>
            <w:shd w:val="clear" w:color="auto" w:fill="auto"/>
          </w:tcPr>
          <w:p w14:paraId="00ABDB7C" w14:textId="77777777" w:rsidR="00E51CDD" w:rsidRPr="00E51CDD" w:rsidRDefault="00E51CDD" w:rsidP="00E51CDD">
            <w:pPr>
              <w:widowControl w:val="0"/>
              <w:rPr>
                <w:sz w:val="20"/>
                <w:szCs w:val="20"/>
              </w:rPr>
            </w:pPr>
            <w:r w:rsidRPr="00E51CDD">
              <w:rPr>
                <w:sz w:val="20"/>
                <w:szCs w:val="20"/>
              </w:rPr>
              <w:t>Metabolite,</w:t>
            </w:r>
          </w:p>
          <w:p w14:paraId="5C0FCCBB" w14:textId="77777777" w:rsidR="00E51CDD" w:rsidRPr="00E51CDD" w:rsidRDefault="00E51CDD" w:rsidP="00E51CDD">
            <w:pPr>
              <w:widowControl w:val="0"/>
              <w:rPr>
                <w:noProof/>
                <w:sz w:val="20"/>
                <w:szCs w:val="20"/>
                <w:lang w:val="en-GB"/>
              </w:rPr>
            </w:pPr>
            <w:r w:rsidRPr="00E51CDD">
              <w:rPr>
                <w:sz w:val="20"/>
                <w:szCs w:val="20"/>
              </w:rPr>
              <w:t>R401553</w:t>
            </w:r>
          </w:p>
        </w:tc>
        <w:tc>
          <w:tcPr>
            <w:tcW w:w="931" w:type="pct"/>
            <w:shd w:val="clear" w:color="auto" w:fill="auto"/>
          </w:tcPr>
          <w:p w14:paraId="652E13F9" w14:textId="77777777" w:rsidR="00E51CDD" w:rsidRPr="00E51CDD" w:rsidRDefault="00E51CDD" w:rsidP="00E51CDD">
            <w:pPr>
              <w:widowControl w:val="0"/>
              <w:rPr>
                <w:noProof/>
                <w:sz w:val="20"/>
                <w:szCs w:val="20"/>
                <w:lang w:val="en-GB"/>
              </w:rPr>
            </w:pPr>
            <w:r w:rsidRPr="00E51CDD">
              <w:rPr>
                <w:sz w:val="20"/>
                <w:szCs w:val="20"/>
              </w:rPr>
              <w:t>Mixed into substrate 14 d</w:t>
            </w:r>
            <w:r w:rsidRPr="00E51CDD">
              <w:rPr>
                <w:sz w:val="20"/>
                <w:szCs w:val="20"/>
              </w:rPr>
              <w:br/>
              <w:t>10% peat content</w:t>
            </w:r>
          </w:p>
        </w:tc>
        <w:tc>
          <w:tcPr>
            <w:tcW w:w="1236" w:type="pct"/>
            <w:shd w:val="clear" w:color="auto" w:fill="auto"/>
          </w:tcPr>
          <w:p w14:paraId="33C12E4B" w14:textId="77777777" w:rsidR="00E51CDD" w:rsidRPr="00E51CDD" w:rsidRDefault="00E51CDD" w:rsidP="00E51CDD">
            <w:pPr>
              <w:widowControl w:val="0"/>
              <w:rPr>
                <w:noProof/>
                <w:sz w:val="20"/>
                <w:szCs w:val="20"/>
              </w:rPr>
            </w:pPr>
            <w:r w:rsidRPr="00E51CDD">
              <w:rPr>
                <w:b/>
                <w:sz w:val="20"/>
                <w:szCs w:val="20"/>
              </w:rPr>
              <w:t>LC</w:t>
            </w:r>
            <w:r w:rsidRPr="00E51CDD">
              <w:rPr>
                <w:b/>
                <w:sz w:val="20"/>
                <w:szCs w:val="20"/>
                <w:vertAlign w:val="subscript"/>
              </w:rPr>
              <w:t>50</w:t>
            </w:r>
            <w:r w:rsidRPr="00E51CDD">
              <w:rPr>
                <w:b/>
                <w:sz w:val="20"/>
                <w:szCs w:val="20"/>
              </w:rPr>
              <w:t xml:space="preserve"> &gt; 1000 mg/kg dry soil</w:t>
            </w:r>
          </w:p>
        </w:tc>
        <w:tc>
          <w:tcPr>
            <w:tcW w:w="883" w:type="pct"/>
            <w:shd w:val="clear" w:color="auto" w:fill="auto"/>
          </w:tcPr>
          <w:p w14:paraId="1519D03C" w14:textId="77777777" w:rsidR="00E51CDD" w:rsidRPr="00E51CDD" w:rsidRDefault="00E51CDD" w:rsidP="00E51CDD">
            <w:pPr>
              <w:widowControl w:val="0"/>
              <w:rPr>
                <w:sz w:val="20"/>
                <w:szCs w:val="20"/>
                <w:lang w:val="en-GB"/>
              </w:rPr>
            </w:pPr>
            <w:r w:rsidRPr="00E51CDD">
              <w:rPr>
                <w:sz w:val="20"/>
                <w:szCs w:val="20"/>
                <w:lang w:val="en-GB"/>
              </w:rPr>
              <w:t>EFSA Journal 2010; 8(4):1542,</w:t>
            </w:r>
          </w:p>
          <w:p w14:paraId="1A56513C" w14:textId="77777777" w:rsidR="00E51CDD" w:rsidRPr="00E51CDD" w:rsidRDefault="00E51CDD" w:rsidP="00E51CDD">
            <w:pPr>
              <w:widowControl w:val="0"/>
              <w:rPr>
                <w:bCs/>
                <w:iCs/>
                <w:noProof/>
                <w:sz w:val="20"/>
                <w:szCs w:val="20"/>
                <w:lang w:val="en-GB" w:eastAsia="en-US"/>
              </w:rPr>
            </w:pPr>
            <w:r w:rsidRPr="00E51CDD">
              <w:rPr>
                <w:sz w:val="20"/>
                <w:szCs w:val="20"/>
                <w:lang w:val="en-GB"/>
              </w:rPr>
              <w:t>Friedrich, S., 2008, SYN501657/0006</w:t>
            </w:r>
          </w:p>
        </w:tc>
      </w:tr>
      <w:tr w:rsidR="00E51CDD" w:rsidRPr="00E51CDD" w14:paraId="100BED4F" w14:textId="77777777" w:rsidTr="009938D9">
        <w:tc>
          <w:tcPr>
            <w:tcW w:w="5000" w:type="pct"/>
            <w:gridSpan w:val="5"/>
            <w:shd w:val="clear" w:color="auto" w:fill="auto"/>
          </w:tcPr>
          <w:p w14:paraId="038E958D" w14:textId="77777777" w:rsidR="00E51CDD" w:rsidRPr="00E51CDD" w:rsidRDefault="00E51CDD" w:rsidP="00E51CDD">
            <w:pPr>
              <w:pageBreakBefore/>
              <w:widowControl w:val="0"/>
              <w:rPr>
                <w:bCs/>
                <w:iCs/>
                <w:noProof/>
                <w:sz w:val="20"/>
                <w:szCs w:val="20"/>
              </w:rPr>
            </w:pPr>
            <w:r w:rsidRPr="00E51CDD">
              <w:rPr>
                <w:b/>
                <w:bCs/>
                <w:iCs/>
                <w:noProof/>
                <w:sz w:val="20"/>
                <w:szCs w:val="20"/>
              </w:rPr>
              <w:lastRenderedPageBreak/>
              <w:t>Chronic</w:t>
            </w:r>
          </w:p>
        </w:tc>
      </w:tr>
      <w:tr w:rsidR="00E51CDD" w:rsidRPr="007330A6" w14:paraId="278C477B" w14:textId="77777777" w:rsidTr="009938D9">
        <w:tc>
          <w:tcPr>
            <w:tcW w:w="927" w:type="pct"/>
            <w:shd w:val="clear" w:color="auto" w:fill="auto"/>
          </w:tcPr>
          <w:p w14:paraId="349BB42F" w14:textId="77777777" w:rsidR="00E51CDD" w:rsidRPr="00C02F44" w:rsidRDefault="00E51CDD" w:rsidP="00E51CDD">
            <w:pPr>
              <w:widowControl w:val="0"/>
              <w:rPr>
                <w:i/>
                <w:noProof/>
                <w:sz w:val="20"/>
                <w:szCs w:val="20"/>
                <w:lang w:val="en-GB"/>
              </w:rPr>
            </w:pPr>
            <w:r w:rsidRPr="00C02F44">
              <w:rPr>
                <w:i/>
                <w:sz w:val="20"/>
                <w:szCs w:val="20"/>
              </w:rPr>
              <w:t>Eisenia fetida</w:t>
            </w:r>
          </w:p>
        </w:tc>
        <w:tc>
          <w:tcPr>
            <w:tcW w:w="1023" w:type="pct"/>
            <w:shd w:val="clear" w:color="auto" w:fill="auto"/>
          </w:tcPr>
          <w:p w14:paraId="545C49A9" w14:textId="77777777" w:rsidR="00E51CDD" w:rsidRPr="00C02F44" w:rsidRDefault="00E51CDD" w:rsidP="00E51CDD">
            <w:pPr>
              <w:widowControl w:val="0"/>
              <w:rPr>
                <w:sz w:val="20"/>
                <w:szCs w:val="20"/>
              </w:rPr>
            </w:pPr>
            <w:r w:rsidRPr="00C02F44">
              <w:rPr>
                <w:sz w:val="20"/>
                <w:szCs w:val="20"/>
              </w:rPr>
              <w:t xml:space="preserve">azoxystrobin </w:t>
            </w:r>
          </w:p>
          <w:p w14:paraId="7382C962" w14:textId="77777777" w:rsidR="00E51CDD" w:rsidRPr="00C02F44" w:rsidRDefault="00E51CDD" w:rsidP="00E51CDD">
            <w:pPr>
              <w:widowControl w:val="0"/>
              <w:rPr>
                <w:noProof/>
                <w:sz w:val="20"/>
                <w:szCs w:val="20"/>
                <w:lang w:val="en-GB"/>
              </w:rPr>
            </w:pPr>
            <w:r w:rsidRPr="00C02F44">
              <w:rPr>
                <w:sz w:val="20"/>
                <w:szCs w:val="20"/>
              </w:rPr>
              <w:t>(tested as A12705B)</w:t>
            </w:r>
          </w:p>
        </w:tc>
        <w:tc>
          <w:tcPr>
            <w:tcW w:w="931" w:type="pct"/>
            <w:shd w:val="clear" w:color="auto" w:fill="auto"/>
          </w:tcPr>
          <w:p w14:paraId="7B74B181" w14:textId="77777777" w:rsidR="00E51CDD" w:rsidRPr="00C02F44" w:rsidRDefault="00E51CDD" w:rsidP="00E51CDD">
            <w:pPr>
              <w:widowControl w:val="0"/>
              <w:rPr>
                <w:noProof/>
                <w:sz w:val="20"/>
                <w:szCs w:val="20"/>
                <w:lang w:val="en-GB"/>
              </w:rPr>
            </w:pPr>
            <w:r w:rsidRPr="00C02F44">
              <w:rPr>
                <w:sz w:val="20"/>
                <w:szCs w:val="20"/>
              </w:rPr>
              <w:t>Mixed into substrate 56 d</w:t>
            </w:r>
            <w:r w:rsidRPr="00C02F44">
              <w:rPr>
                <w:sz w:val="20"/>
                <w:szCs w:val="20"/>
              </w:rPr>
              <w:br/>
              <w:t>10% peat content</w:t>
            </w:r>
          </w:p>
        </w:tc>
        <w:tc>
          <w:tcPr>
            <w:tcW w:w="1236" w:type="pct"/>
            <w:shd w:val="clear" w:color="auto" w:fill="auto"/>
          </w:tcPr>
          <w:p w14:paraId="46CA9A46" w14:textId="77777777" w:rsidR="00E51CDD" w:rsidRPr="00C02F44" w:rsidRDefault="00E51CDD" w:rsidP="00E51CDD">
            <w:pPr>
              <w:widowControl w:val="0"/>
              <w:rPr>
                <w:sz w:val="20"/>
                <w:szCs w:val="20"/>
                <w:lang w:val="en-GB"/>
              </w:rPr>
            </w:pPr>
            <w:r w:rsidRPr="00C02F44">
              <w:rPr>
                <w:sz w:val="20"/>
                <w:szCs w:val="20"/>
                <w:lang w:val="en-GB"/>
              </w:rPr>
              <w:t>NOEC = 20 mg a.s./kg dry soil</w:t>
            </w:r>
          </w:p>
          <w:p w14:paraId="658D455F" w14:textId="77777777" w:rsidR="00E51CDD" w:rsidRPr="00C02F44" w:rsidRDefault="00E51CDD" w:rsidP="00E51CDD">
            <w:pPr>
              <w:widowControl w:val="0"/>
              <w:rPr>
                <w:rFonts w:eastAsia="PMingLiU"/>
                <w:b/>
                <w:noProof/>
                <w:sz w:val="20"/>
                <w:szCs w:val="20"/>
                <w:lang w:val="en-GB"/>
              </w:rPr>
            </w:pPr>
            <w:r w:rsidRPr="00C02F44">
              <w:rPr>
                <w:b/>
                <w:sz w:val="20"/>
                <w:szCs w:val="20"/>
              </w:rPr>
              <w:t xml:space="preserve">NOEC </w:t>
            </w:r>
            <w:r w:rsidRPr="00C02F44">
              <w:rPr>
                <w:b/>
                <w:sz w:val="20"/>
                <w:szCs w:val="20"/>
                <w:vertAlign w:val="subscript"/>
              </w:rPr>
              <w:t>CORR</w:t>
            </w:r>
            <w:r w:rsidRPr="00C02F44">
              <w:rPr>
                <w:b/>
                <w:sz w:val="20"/>
                <w:szCs w:val="20"/>
              </w:rPr>
              <w:t xml:space="preserve"> = 10 mg a.s./kg dry soil </w:t>
            </w:r>
            <w:r w:rsidRPr="00C02F44">
              <w:rPr>
                <w:sz w:val="20"/>
                <w:szCs w:val="20"/>
                <w:vertAlign w:val="superscript"/>
              </w:rPr>
              <w:t>*</w:t>
            </w:r>
          </w:p>
        </w:tc>
        <w:tc>
          <w:tcPr>
            <w:tcW w:w="883" w:type="pct"/>
            <w:shd w:val="clear" w:color="auto" w:fill="auto"/>
          </w:tcPr>
          <w:p w14:paraId="30A99994" w14:textId="77777777" w:rsidR="00C02F44" w:rsidRPr="00C02F44" w:rsidRDefault="00C02F44" w:rsidP="00C02F44">
            <w:pPr>
              <w:widowControl w:val="0"/>
              <w:rPr>
                <w:sz w:val="20"/>
                <w:szCs w:val="20"/>
                <w:lang w:val="fr-FR"/>
              </w:rPr>
            </w:pPr>
            <w:r w:rsidRPr="00C02F44">
              <w:rPr>
                <w:sz w:val="20"/>
                <w:szCs w:val="20"/>
                <w:lang w:val="fr-FR"/>
              </w:rPr>
              <w:t>EFSA Journal 2010; 8(4):1542,</w:t>
            </w:r>
          </w:p>
          <w:p w14:paraId="7E0882BB" w14:textId="75758081" w:rsidR="00E51CDD" w:rsidRPr="002262EA" w:rsidRDefault="00C02F44" w:rsidP="00C02F44">
            <w:pPr>
              <w:widowControl w:val="0"/>
              <w:rPr>
                <w:bCs/>
                <w:iCs/>
                <w:noProof/>
                <w:sz w:val="20"/>
                <w:szCs w:val="20"/>
                <w:lang w:val="fr-BE" w:eastAsia="en-US"/>
              </w:rPr>
            </w:pPr>
            <w:r w:rsidRPr="00C02F44">
              <w:rPr>
                <w:sz w:val="20"/>
                <w:szCs w:val="20"/>
                <w:lang w:val="fr-FR" w:eastAsia="en-GB"/>
              </w:rPr>
              <w:t>Roembke, J., Moser, T., 2000, ICI5504/0903</w:t>
            </w:r>
          </w:p>
        </w:tc>
      </w:tr>
      <w:tr w:rsidR="00C02F44" w:rsidRPr="00E51CDD" w14:paraId="4B27478C" w14:textId="77777777" w:rsidTr="009938D9">
        <w:tc>
          <w:tcPr>
            <w:tcW w:w="927" w:type="pct"/>
            <w:shd w:val="clear" w:color="auto" w:fill="auto"/>
          </w:tcPr>
          <w:p w14:paraId="4B9F03CA" w14:textId="77777777" w:rsidR="00C02F44" w:rsidRPr="00AD512E" w:rsidRDefault="00C02F44" w:rsidP="00C02F44">
            <w:pPr>
              <w:widowControl w:val="0"/>
              <w:rPr>
                <w:i/>
                <w:strike/>
                <w:noProof/>
                <w:color w:val="D9D9D9" w:themeColor="background1" w:themeShade="D9"/>
                <w:sz w:val="20"/>
                <w:szCs w:val="20"/>
                <w:lang w:val="en-GB"/>
              </w:rPr>
            </w:pPr>
            <w:r w:rsidRPr="00AD512E">
              <w:rPr>
                <w:i/>
                <w:strike/>
                <w:color w:val="D9D9D9" w:themeColor="background1" w:themeShade="D9"/>
                <w:sz w:val="20"/>
                <w:szCs w:val="20"/>
              </w:rPr>
              <w:t>Eisenia fetida</w:t>
            </w:r>
          </w:p>
        </w:tc>
        <w:tc>
          <w:tcPr>
            <w:tcW w:w="1023" w:type="pct"/>
            <w:shd w:val="clear" w:color="auto" w:fill="auto"/>
          </w:tcPr>
          <w:p w14:paraId="2E612883" w14:textId="77777777" w:rsidR="00C02F44" w:rsidRPr="00AD512E" w:rsidRDefault="00C02F44" w:rsidP="00C02F44">
            <w:pPr>
              <w:widowControl w:val="0"/>
              <w:rPr>
                <w:strike/>
                <w:color w:val="D9D9D9" w:themeColor="background1" w:themeShade="D9"/>
                <w:sz w:val="20"/>
                <w:szCs w:val="20"/>
              </w:rPr>
            </w:pPr>
            <w:r w:rsidRPr="00AD512E">
              <w:rPr>
                <w:strike/>
                <w:color w:val="D9D9D9" w:themeColor="background1" w:themeShade="D9"/>
                <w:sz w:val="20"/>
                <w:szCs w:val="20"/>
              </w:rPr>
              <w:t>Metabolite,</w:t>
            </w:r>
          </w:p>
          <w:p w14:paraId="605BF20B" w14:textId="77777777" w:rsidR="00C02F44" w:rsidRPr="00AD512E" w:rsidRDefault="00C02F44" w:rsidP="00C02F44">
            <w:pPr>
              <w:widowControl w:val="0"/>
              <w:rPr>
                <w:strike/>
                <w:noProof/>
                <w:color w:val="D9D9D9" w:themeColor="background1" w:themeShade="D9"/>
                <w:sz w:val="20"/>
                <w:szCs w:val="20"/>
                <w:lang w:val="en-GB"/>
              </w:rPr>
            </w:pPr>
            <w:r w:rsidRPr="00AD512E">
              <w:rPr>
                <w:strike/>
                <w:color w:val="D9D9D9" w:themeColor="background1" w:themeShade="D9"/>
                <w:sz w:val="20"/>
                <w:szCs w:val="20"/>
              </w:rPr>
              <w:t>R234886</w:t>
            </w:r>
          </w:p>
        </w:tc>
        <w:tc>
          <w:tcPr>
            <w:tcW w:w="931" w:type="pct"/>
            <w:shd w:val="clear" w:color="auto" w:fill="auto"/>
          </w:tcPr>
          <w:p w14:paraId="426182A3" w14:textId="77777777" w:rsidR="00C02F44" w:rsidRPr="00AD512E" w:rsidRDefault="00C02F44" w:rsidP="00C02F44">
            <w:pPr>
              <w:widowControl w:val="0"/>
              <w:rPr>
                <w:strike/>
                <w:noProof/>
                <w:color w:val="D9D9D9" w:themeColor="background1" w:themeShade="D9"/>
                <w:sz w:val="20"/>
                <w:szCs w:val="20"/>
                <w:lang w:val="en-GB"/>
              </w:rPr>
            </w:pPr>
            <w:r w:rsidRPr="00AD512E">
              <w:rPr>
                <w:strike/>
                <w:color w:val="D9D9D9" w:themeColor="background1" w:themeShade="D9"/>
                <w:sz w:val="20"/>
                <w:szCs w:val="20"/>
              </w:rPr>
              <w:t>Mixed into substrate 56 d</w:t>
            </w:r>
            <w:r w:rsidRPr="00AD512E">
              <w:rPr>
                <w:strike/>
                <w:color w:val="D9D9D9" w:themeColor="background1" w:themeShade="D9"/>
                <w:sz w:val="20"/>
                <w:szCs w:val="20"/>
              </w:rPr>
              <w:br/>
              <w:t>5% peat content</w:t>
            </w:r>
          </w:p>
        </w:tc>
        <w:tc>
          <w:tcPr>
            <w:tcW w:w="1236" w:type="pct"/>
            <w:shd w:val="clear" w:color="auto" w:fill="auto"/>
          </w:tcPr>
          <w:p w14:paraId="31DD7D9C" w14:textId="77777777" w:rsidR="00C02F44" w:rsidRPr="00AD512E" w:rsidRDefault="00C02F44" w:rsidP="00C02F44">
            <w:pPr>
              <w:widowControl w:val="0"/>
              <w:rPr>
                <w:bCs/>
                <w:strike/>
                <w:color w:val="D9D9D9" w:themeColor="background1" w:themeShade="D9"/>
                <w:sz w:val="20"/>
                <w:szCs w:val="20"/>
              </w:rPr>
            </w:pPr>
            <w:r w:rsidRPr="00AD512E">
              <w:rPr>
                <w:bCs/>
                <w:strike/>
                <w:color w:val="D9D9D9" w:themeColor="background1" w:themeShade="D9"/>
                <w:sz w:val="20"/>
                <w:szCs w:val="20"/>
              </w:rPr>
              <w:t>NOEC = 16 mg/kg dry soil</w:t>
            </w:r>
          </w:p>
        </w:tc>
        <w:tc>
          <w:tcPr>
            <w:tcW w:w="883" w:type="pct"/>
            <w:shd w:val="clear" w:color="auto" w:fill="auto"/>
          </w:tcPr>
          <w:p w14:paraId="04BB8138" w14:textId="5694F0BD" w:rsidR="00C02F44" w:rsidRPr="00AD512E" w:rsidRDefault="00C02F44" w:rsidP="00C02F44">
            <w:pPr>
              <w:pStyle w:val="RepTable"/>
              <w:rPr>
                <w:strike/>
                <w:noProof w:val="0"/>
                <w:color w:val="D9D9D9" w:themeColor="background1" w:themeShade="D9"/>
                <w:szCs w:val="20"/>
              </w:rPr>
            </w:pPr>
            <w:r w:rsidRPr="00AD512E">
              <w:rPr>
                <w:strike/>
                <w:noProof w:val="0"/>
                <w:color w:val="D9D9D9" w:themeColor="background1" w:themeShade="D9"/>
                <w:szCs w:val="20"/>
              </w:rPr>
              <w:t>not EU evaluated</w:t>
            </w:r>
          </w:p>
          <w:p w14:paraId="0ACEB6E6" w14:textId="587467B5" w:rsidR="00C02F44" w:rsidRPr="00AD512E" w:rsidRDefault="00C02F44" w:rsidP="00C02F44">
            <w:pPr>
              <w:pStyle w:val="RepTable"/>
              <w:rPr>
                <w:strike/>
                <w:noProof w:val="0"/>
                <w:color w:val="D9D9D9" w:themeColor="background1" w:themeShade="D9"/>
                <w:szCs w:val="20"/>
              </w:rPr>
            </w:pPr>
            <w:r w:rsidRPr="00AD512E">
              <w:rPr>
                <w:strike/>
                <w:noProof w:val="0"/>
                <w:color w:val="D9D9D9" w:themeColor="background1" w:themeShade="D9"/>
                <w:szCs w:val="20"/>
              </w:rPr>
              <w:t>Friedrich, 2010a</w:t>
            </w:r>
          </w:p>
          <w:p w14:paraId="43D12FE5" w14:textId="374B47E8" w:rsidR="00C02F44" w:rsidRPr="00AD512E" w:rsidRDefault="00C02F44" w:rsidP="00C02F44">
            <w:pPr>
              <w:widowControl w:val="0"/>
              <w:rPr>
                <w:bCs/>
                <w:iCs/>
                <w:strike/>
                <w:noProof/>
                <w:color w:val="D9D9D9" w:themeColor="background1" w:themeShade="D9"/>
                <w:sz w:val="20"/>
                <w:szCs w:val="20"/>
                <w:lang w:eastAsia="en-US"/>
              </w:rPr>
            </w:pPr>
            <w:r w:rsidRPr="00AD512E">
              <w:rPr>
                <w:strike/>
                <w:color w:val="D9D9D9" w:themeColor="background1" w:themeShade="D9"/>
                <w:sz w:val="20"/>
                <w:szCs w:val="20"/>
              </w:rPr>
              <w:t>R234886_10001</w:t>
            </w:r>
          </w:p>
        </w:tc>
      </w:tr>
      <w:tr w:rsidR="00C02F44" w:rsidRPr="00E51CDD" w14:paraId="37E511DE" w14:textId="77777777" w:rsidTr="009938D9">
        <w:tc>
          <w:tcPr>
            <w:tcW w:w="927" w:type="pct"/>
            <w:shd w:val="clear" w:color="auto" w:fill="auto"/>
          </w:tcPr>
          <w:p w14:paraId="3CF09A27" w14:textId="77777777" w:rsidR="00C02F44" w:rsidRPr="00C02F44" w:rsidRDefault="00C02F44" w:rsidP="00C02F44">
            <w:pPr>
              <w:widowControl w:val="0"/>
              <w:rPr>
                <w:i/>
                <w:noProof/>
                <w:sz w:val="20"/>
                <w:szCs w:val="20"/>
                <w:lang w:val="en-GB"/>
              </w:rPr>
            </w:pPr>
            <w:r w:rsidRPr="00C02F44">
              <w:rPr>
                <w:i/>
                <w:sz w:val="20"/>
                <w:szCs w:val="20"/>
              </w:rPr>
              <w:t>Folsomia candida</w:t>
            </w:r>
          </w:p>
        </w:tc>
        <w:tc>
          <w:tcPr>
            <w:tcW w:w="1023" w:type="pct"/>
            <w:shd w:val="clear" w:color="auto" w:fill="auto"/>
          </w:tcPr>
          <w:p w14:paraId="7556B144" w14:textId="77777777" w:rsidR="00C02F44" w:rsidRPr="00C02F44" w:rsidRDefault="00C02F44" w:rsidP="00C02F44">
            <w:pPr>
              <w:widowControl w:val="0"/>
              <w:rPr>
                <w:sz w:val="20"/>
                <w:szCs w:val="20"/>
              </w:rPr>
            </w:pPr>
            <w:r w:rsidRPr="00C02F44">
              <w:rPr>
                <w:sz w:val="20"/>
                <w:szCs w:val="20"/>
              </w:rPr>
              <w:t>azoxystrobin</w:t>
            </w:r>
          </w:p>
          <w:p w14:paraId="19DB7B83" w14:textId="77777777" w:rsidR="00C02F44" w:rsidRPr="00C02F44" w:rsidRDefault="00C02F44" w:rsidP="00C02F44">
            <w:pPr>
              <w:widowControl w:val="0"/>
              <w:rPr>
                <w:noProof/>
                <w:sz w:val="20"/>
                <w:szCs w:val="20"/>
                <w:lang w:val="en-GB"/>
              </w:rPr>
            </w:pPr>
            <w:r w:rsidRPr="00C02F44">
              <w:rPr>
                <w:sz w:val="20"/>
                <w:szCs w:val="20"/>
              </w:rPr>
              <w:t>(tested as A12705B)</w:t>
            </w:r>
          </w:p>
        </w:tc>
        <w:tc>
          <w:tcPr>
            <w:tcW w:w="931" w:type="pct"/>
            <w:shd w:val="clear" w:color="auto" w:fill="auto"/>
          </w:tcPr>
          <w:p w14:paraId="141E032B" w14:textId="77777777" w:rsidR="00C02F44" w:rsidRPr="00C02F44" w:rsidRDefault="00C02F44" w:rsidP="00C02F44">
            <w:pPr>
              <w:widowControl w:val="0"/>
              <w:rPr>
                <w:noProof/>
                <w:sz w:val="20"/>
                <w:szCs w:val="20"/>
                <w:lang w:val="en-GB"/>
              </w:rPr>
            </w:pPr>
            <w:r w:rsidRPr="00C02F44">
              <w:rPr>
                <w:sz w:val="20"/>
                <w:szCs w:val="20"/>
              </w:rPr>
              <w:t>Mixed into substrate 28 d</w:t>
            </w:r>
            <w:r w:rsidRPr="00C02F44">
              <w:rPr>
                <w:sz w:val="20"/>
                <w:szCs w:val="20"/>
              </w:rPr>
              <w:br/>
              <w:t>5% peat content</w:t>
            </w:r>
          </w:p>
        </w:tc>
        <w:tc>
          <w:tcPr>
            <w:tcW w:w="1236" w:type="pct"/>
            <w:shd w:val="clear" w:color="auto" w:fill="auto"/>
          </w:tcPr>
          <w:p w14:paraId="5E6C5366" w14:textId="77777777" w:rsidR="00C02F44" w:rsidRPr="00C02F44" w:rsidRDefault="00C02F44" w:rsidP="00C02F44">
            <w:pPr>
              <w:widowControl w:val="0"/>
              <w:rPr>
                <w:b/>
                <w:bCs/>
                <w:sz w:val="20"/>
                <w:szCs w:val="20"/>
                <w:lang w:val="en-GB"/>
              </w:rPr>
            </w:pPr>
            <w:r w:rsidRPr="00C02F44">
              <w:rPr>
                <w:b/>
                <w:bCs/>
                <w:sz w:val="20"/>
                <w:szCs w:val="20"/>
                <w:lang w:val="en-GB"/>
              </w:rPr>
              <w:t>NOEC = 50 mg a.s./kg dry soil</w:t>
            </w:r>
          </w:p>
          <w:p w14:paraId="7CC85488" w14:textId="77777777" w:rsidR="00C02F44" w:rsidRPr="00C02F44" w:rsidRDefault="00C02F44" w:rsidP="00C02F44">
            <w:pPr>
              <w:widowControl w:val="0"/>
              <w:rPr>
                <w:rFonts w:eastAsia="PMingLiU"/>
                <w:bCs/>
                <w:noProof/>
                <w:sz w:val="20"/>
                <w:szCs w:val="20"/>
                <w:lang w:val="en-GB"/>
              </w:rPr>
            </w:pPr>
            <w:r w:rsidRPr="00C02F44">
              <w:rPr>
                <w:bCs/>
                <w:sz w:val="20"/>
                <w:szCs w:val="20"/>
              </w:rPr>
              <w:t>NOEC</w:t>
            </w:r>
            <w:r w:rsidRPr="00C02F44">
              <w:rPr>
                <w:bCs/>
                <w:sz w:val="20"/>
                <w:szCs w:val="20"/>
                <w:vertAlign w:val="subscript"/>
              </w:rPr>
              <w:t xml:space="preserve"> CORR</w:t>
            </w:r>
            <w:r w:rsidRPr="00C02F44">
              <w:rPr>
                <w:bCs/>
                <w:sz w:val="20"/>
                <w:szCs w:val="20"/>
              </w:rPr>
              <w:t xml:space="preserve"> = 25 mg a.s./kg dry soil </w:t>
            </w:r>
            <w:r w:rsidRPr="00C02F44">
              <w:rPr>
                <w:bCs/>
                <w:sz w:val="20"/>
                <w:szCs w:val="20"/>
                <w:vertAlign w:val="superscript"/>
              </w:rPr>
              <w:t>*</w:t>
            </w:r>
          </w:p>
        </w:tc>
        <w:tc>
          <w:tcPr>
            <w:tcW w:w="883" w:type="pct"/>
            <w:shd w:val="clear" w:color="auto" w:fill="auto"/>
          </w:tcPr>
          <w:p w14:paraId="03B397CD" w14:textId="77777777" w:rsidR="00C02F44" w:rsidRPr="00C02F44" w:rsidRDefault="00C02F44" w:rsidP="00C02F44">
            <w:pPr>
              <w:pStyle w:val="RepTable"/>
              <w:rPr>
                <w:noProof w:val="0"/>
                <w:szCs w:val="20"/>
              </w:rPr>
            </w:pPr>
            <w:r w:rsidRPr="00C02F44">
              <w:rPr>
                <w:noProof w:val="0"/>
                <w:szCs w:val="20"/>
              </w:rPr>
              <w:t>EFSA Journal 2010; 8(4):1542,</w:t>
            </w:r>
          </w:p>
          <w:p w14:paraId="738E5F25" w14:textId="1BD335B8" w:rsidR="00C02F44" w:rsidRPr="00C02F44" w:rsidRDefault="00C02F44" w:rsidP="00C02F44">
            <w:pPr>
              <w:widowControl w:val="0"/>
              <w:rPr>
                <w:bCs/>
                <w:iCs/>
                <w:noProof/>
                <w:sz w:val="20"/>
                <w:szCs w:val="20"/>
                <w:lang w:eastAsia="en-US"/>
              </w:rPr>
            </w:pPr>
            <w:r w:rsidRPr="00C02F44">
              <w:rPr>
                <w:sz w:val="20"/>
                <w:szCs w:val="20"/>
              </w:rPr>
              <w:t>Barth, M., 2001, ICI5504/1319</w:t>
            </w:r>
          </w:p>
        </w:tc>
      </w:tr>
      <w:tr w:rsidR="00C02F44" w:rsidRPr="00E51CDD" w14:paraId="53CBCC89" w14:textId="77777777" w:rsidTr="009938D9">
        <w:tc>
          <w:tcPr>
            <w:tcW w:w="927" w:type="pct"/>
            <w:shd w:val="clear" w:color="auto" w:fill="auto"/>
          </w:tcPr>
          <w:p w14:paraId="69EB3C33" w14:textId="77777777" w:rsidR="00C02F44" w:rsidRPr="00ED3A98" w:rsidRDefault="00C02F44" w:rsidP="00C02F44">
            <w:pPr>
              <w:widowControl w:val="0"/>
              <w:rPr>
                <w:i/>
                <w:strike/>
                <w:noProof/>
                <w:color w:val="D9D9D9" w:themeColor="background1" w:themeShade="D9"/>
                <w:sz w:val="20"/>
                <w:szCs w:val="20"/>
                <w:lang w:val="en-GB"/>
              </w:rPr>
            </w:pPr>
            <w:r w:rsidRPr="00ED3A98">
              <w:rPr>
                <w:i/>
                <w:strike/>
                <w:color w:val="D9D9D9" w:themeColor="background1" w:themeShade="D9"/>
                <w:sz w:val="20"/>
                <w:szCs w:val="20"/>
              </w:rPr>
              <w:t>Hypoaspis aculeifer</w:t>
            </w:r>
          </w:p>
        </w:tc>
        <w:tc>
          <w:tcPr>
            <w:tcW w:w="1023" w:type="pct"/>
            <w:shd w:val="clear" w:color="auto" w:fill="auto"/>
          </w:tcPr>
          <w:p w14:paraId="00716678" w14:textId="77777777" w:rsidR="00C02F44" w:rsidRPr="00ED3A98" w:rsidRDefault="00C02F44" w:rsidP="00C02F44">
            <w:pPr>
              <w:widowControl w:val="0"/>
              <w:rPr>
                <w:strike/>
                <w:color w:val="D9D9D9" w:themeColor="background1" w:themeShade="D9"/>
                <w:sz w:val="20"/>
                <w:szCs w:val="20"/>
              </w:rPr>
            </w:pPr>
            <w:r w:rsidRPr="00ED3A98">
              <w:rPr>
                <w:strike/>
                <w:color w:val="D9D9D9" w:themeColor="background1" w:themeShade="D9"/>
                <w:sz w:val="20"/>
                <w:szCs w:val="20"/>
              </w:rPr>
              <w:t>azoxystrobin</w:t>
            </w:r>
          </w:p>
          <w:p w14:paraId="1974B953" w14:textId="77777777" w:rsidR="00C02F44" w:rsidRPr="00ED3A98" w:rsidRDefault="00C02F44" w:rsidP="00C02F44">
            <w:pPr>
              <w:widowControl w:val="0"/>
              <w:rPr>
                <w:strike/>
                <w:noProof/>
                <w:color w:val="D9D9D9" w:themeColor="background1" w:themeShade="D9"/>
                <w:sz w:val="20"/>
                <w:szCs w:val="20"/>
                <w:lang w:val="en-GB"/>
              </w:rPr>
            </w:pPr>
            <w:r w:rsidRPr="00ED3A98">
              <w:rPr>
                <w:strike/>
                <w:color w:val="D9D9D9" w:themeColor="background1" w:themeShade="D9"/>
                <w:sz w:val="20"/>
                <w:szCs w:val="20"/>
              </w:rPr>
              <w:t>(tested as A12705B)</w:t>
            </w:r>
          </w:p>
        </w:tc>
        <w:tc>
          <w:tcPr>
            <w:tcW w:w="931" w:type="pct"/>
            <w:shd w:val="clear" w:color="auto" w:fill="auto"/>
          </w:tcPr>
          <w:p w14:paraId="2DF673AE" w14:textId="77777777" w:rsidR="00C02F44" w:rsidRPr="00ED3A98" w:rsidRDefault="00C02F44" w:rsidP="00C02F44">
            <w:pPr>
              <w:widowControl w:val="0"/>
              <w:rPr>
                <w:strike/>
                <w:noProof/>
                <w:color w:val="D9D9D9" w:themeColor="background1" w:themeShade="D9"/>
                <w:sz w:val="20"/>
                <w:szCs w:val="20"/>
                <w:lang w:val="en-GB"/>
              </w:rPr>
            </w:pPr>
            <w:r w:rsidRPr="00ED3A98">
              <w:rPr>
                <w:strike/>
                <w:color w:val="D9D9D9" w:themeColor="background1" w:themeShade="D9"/>
                <w:sz w:val="20"/>
                <w:szCs w:val="20"/>
              </w:rPr>
              <w:t>Mixed into substrate 14 d</w:t>
            </w:r>
            <w:r w:rsidRPr="00ED3A98">
              <w:rPr>
                <w:strike/>
                <w:color w:val="D9D9D9" w:themeColor="background1" w:themeShade="D9"/>
                <w:sz w:val="20"/>
                <w:szCs w:val="20"/>
              </w:rPr>
              <w:br/>
              <w:t>5% peat content</w:t>
            </w:r>
          </w:p>
        </w:tc>
        <w:tc>
          <w:tcPr>
            <w:tcW w:w="1236" w:type="pct"/>
            <w:shd w:val="clear" w:color="auto" w:fill="auto"/>
          </w:tcPr>
          <w:p w14:paraId="62C0A6F9" w14:textId="77777777" w:rsidR="00C02F44" w:rsidRPr="00ED3A98" w:rsidRDefault="00C02F44" w:rsidP="00C02F44">
            <w:pPr>
              <w:widowControl w:val="0"/>
              <w:rPr>
                <w:b/>
                <w:bCs/>
                <w:strike/>
                <w:color w:val="D9D9D9" w:themeColor="background1" w:themeShade="D9"/>
                <w:sz w:val="20"/>
                <w:szCs w:val="20"/>
                <w:lang w:val="en-GB"/>
              </w:rPr>
            </w:pPr>
            <w:r w:rsidRPr="00ED3A98">
              <w:rPr>
                <w:b/>
                <w:bCs/>
                <w:strike/>
                <w:color w:val="D9D9D9" w:themeColor="background1" w:themeShade="D9"/>
                <w:sz w:val="20"/>
                <w:szCs w:val="20"/>
                <w:lang w:val="en-GB"/>
              </w:rPr>
              <w:t>NOEC = 1000 mg a.s./kg dry soil</w:t>
            </w:r>
          </w:p>
          <w:p w14:paraId="13D28EF7" w14:textId="77777777" w:rsidR="00C02F44" w:rsidRPr="00ED3A98" w:rsidRDefault="00C02F44" w:rsidP="00C02F44">
            <w:pPr>
              <w:widowControl w:val="0"/>
              <w:rPr>
                <w:rFonts w:eastAsia="PMingLiU"/>
                <w:bCs/>
                <w:strike/>
                <w:noProof/>
                <w:color w:val="D9D9D9" w:themeColor="background1" w:themeShade="D9"/>
                <w:sz w:val="20"/>
                <w:szCs w:val="20"/>
                <w:lang w:val="en-GB"/>
              </w:rPr>
            </w:pPr>
            <w:r w:rsidRPr="00ED3A98">
              <w:rPr>
                <w:bCs/>
                <w:strike/>
                <w:color w:val="D9D9D9" w:themeColor="background1" w:themeShade="D9"/>
                <w:sz w:val="20"/>
                <w:szCs w:val="20"/>
              </w:rPr>
              <w:t>NOEC</w:t>
            </w:r>
            <w:r w:rsidRPr="00ED3A98">
              <w:rPr>
                <w:bCs/>
                <w:strike/>
                <w:color w:val="D9D9D9" w:themeColor="background1" w:themeShade="D9"/>
                <w:sz w:val="20"/>
                <w:szCs w:val="20"/>
                <w:vertAlign w:val="subscript"/>
              </w:rPr>
              <w:t xml:space="preserve"> CORR</w:t>
            </w:r>
            <w:r w:rsidRPr="00ED3A98">
              <w:rPr>
                <w:bCs/>
                <w:strike/>
                <w:color w:val="D9D9D9" w:themeColor="background1" w:themeShade="D9"/>
                <w:sz w:val="20"/>
                <w:szCs w:val="20"/>
              </w:rPr>
              <w:t xml:space="preserve"> = 500 mg a.s./kg dry soil </w:t>
            </w:r>
            <w:r w:rsidRPr="00ED3A98">
              <w:rPr>
                <w:bCs/>
                <w:strike/>
                <w:color w:val="D9D9D9" w:themeColor="background1" w:themeShade="D9"/>
                <w:sz w:val="20"/>
                <w:szCs w:val="20"/>
                <w:vertAlign w:val="superscript"/>
              </w:rPr>
              <w:t>*</w:t>
            </w:r>
          </w:p>
        </w:tc>
        <w:tc>
          <w:tcPr>
            <w:tcW w:w="883" w:type="pct"/>
            <w:shd w:val="clear" w:color="auto" w:fill="auto"/>
          </w:tcPr>
          <w:p w14:paraId="073DCD83" w14:textId="4F70D5AA" w:rsidR="00C02F44" w:rsidRPr="00ED3A98" w:rsidRDefault="00C02F44" w:rsidP="00C02F44">
            <w:pPr>
              <w:widowControl w:val="0"/>
              <w:rPr>
                <w:strike/>
                <w:color w:val="D9D9D9" w:themeColor="background1" w:themeShade="D9"/>
                <w:sz w:val="20"/>
                <w:szCs w:val="20"/>
              </w:rPr>
            </w:pPr>
            <w:r w:rsidRPr="00ED3A98">
              <w:rPr>
                <w:strike/>
                <w:color w:val="D9D9D9" w:themeColor="background1" w:themeShade="D9"/>
                <w:sz w:val="20"/>
                <w:szCs w:val="20"/>
              </w:rPr>
              <w:t>not EU evaluated</w:t>
            </w:r>
          </w:p>
          <w:p w14:paraId="0FC35620" w14:textId="6D8E4D71" w:rsidR="00C02F44" w:rsidRPr="00ED3A98" w:rsidRDefault="00C02F44" w:rsidP="00C02F44">
            <w:pPr>
              <w:widowControl w:val="0"/>
              <w:rPr>
                <w:bCs/>
                <w:iCs/>
                <w:strike/>
                <w:noProof/>
                <w:color w:val="D9D9D9" w:themeColor="background1" w:themeShade="D9"/>
                <w:sz w:val="20"/>
                <w:szCs w:val="20"/>
                <w:lang w:eastAsia="en-US"/>
              </w:rPr>
            </w:pPr>
            <w:r w:rsidRPr="00ED3A98">
              <w:rPr>
                <w:strike/>
                <w:color w:val="D9D9D9" w:themeColor="background1" w:themeShade="D9"/>
                <w:sz w:val="20"/>
                <w:szCs w:val="20"/>
              </w:rPr>
              <w:t>Schulz, L., 2017; A12705B_13887</w:t>
            </w:r>
          </w:p>
        </w:tc>
      </w:tr>
    </w:tbl>
    <w:p w14:paraId="18243CD6" w14:textId="77777777" w:rsidR="00E51CDD" w:rsidRPr="00E51CDD" w:rsidRDefault="00E51CDD" w:rsidP="00E51CDD">
      <w:pPr>
        <w:widowControl w:val="0"/>
        <w:ind w:left="284" w:hanging="284"/>
        <w:jc w:val="both"/>
        <w:rPr>
          <w:lang w:val="en-GB"/>
        </w:rPr>
      </w:pPr>
      <w:bookmarkStart w:id="803" w:name="_Hlk85534175"/>
      <w:r w:rsidRPr="00E51CDD">
        <w:rPr>
          <w:bCs/>
          <w:sz w:val="18"/>
          <w:szCs w:val="18"/>
          <w:lang w:val="en-GB"/>
        </w:rPr>
        <w:t xml:space="preserve">Values shown in </w:t>
      </w:r>
      <w:r w:rsidRPr="00E51CDD">
        <w:rPr>
          <w:b/>
          <w:bCs/>
          <w:sz w:val="18"/>
          <w:szCs w:val="18"/>
          <w:lang w:val="en-GB"/>
        </w:rPr>
        <w:t>bold</w:t>
      </w:r>
      <w:r w:rsidRPr="00E51CDD">
        <w:rPr>
          <w:bCs/>
          <w:sz w:val="18"/>
          <w:szCs w:val="18"/>
          <w:lang w:val="en-GB"/>
        </w:rPr>
        <w:t xml:space="preserve"> are relevant for the conclusion of the risk assessment.</w:t>
      </w:r>
    </w:p>
    <w:p w14:paraId="413EAC1E" w14:textId="77777777" w:rsidR="00E51CDD" w:rsidRPr="00E51CDD" w:rsidRDefault="00E51CDD" w:rsidP="00E51CDD">
      <w:pPr>
        <w:widowControl w:val="0"/>
        <w:tabs>
          <w:tab w:val="left" w:pos="425"/>
        </w:tabs>
        <w:ind w:left="425" w:hanging="425"/>
        <w:jc w:val="both"/>
        <w:rPr>
          <w:noProof/>
          <w:sz w:val="18"/>
          <w:szCs w:val="18"/>
          <w:lang w:val="en-GB"/>
        </w:rPr>
      </w:pPr>
      <w:r w:rsidRPr="00E51CDD">
        <w:rPr>
          <w:noProof/>
          <w:sz w:val="18"/>
          <w:szCs w:val="18"/>
          <w:vertAlign w:val="superscript"/>
          <w:lang w:val="en-GB"/>
        </w:rPr>
        <w:t>#</w:t>
      </w:r>
      <w:r w:rsidRPr="00E51CDD">
        <w:rPr>
          <w:noProof/>
          <w:sz w:val="18"/>
          <w:szCs w:val="18"/>
          <w:lang w:val="en-GB"/>
        </w:rPr>
        <w:tab/>
        <w:t>Acute studies listed for reference only but not used in the risk assessment according to Commission Regulation (EU) 283/2013.</w:t>
      </w:r>
    </w:p>
    <w:p w14:paraId="1C5DD497" w14:textId="77777777" w:rsidR="00E51CDD" w:rsidRPr="00E51CDD" w:rsidRDefault="00E51CDD" w:rsidP="00E51CDD">
      <w:pPr>
        <w:widowControl w:val="0"/>
        <w:tabs>
          <w:tab w:val="left" w:pos="425"/>
        </w:tabs>
        <w:ind w:left="425" w:hanging="425"/>
        <w:jc w:val="both"/>
        <w:rPr>
          <w:sz w:val="18"/>
          <w:szCs w:val="18"/>
        </w:rPr>
      </w:pPr>
      <w:r w:rsidRPr="00E51CDD">
        <w:rPr>
          <w:sz w:val="18"/>
          <w:szCs w:val="18"/>
          <w:vertAlign w:val="superscript"/>
          <w:lang w:val="en-GB"/>
        </w:rPr>
        <w:t>*</w:t>
      </w:r>
      <w:r w:rsidRPr="00E51CDD">
        <w:rPr>
          <w:noProof/>
          <w:sz w:val="18"/>
          <w:szCs w:val="18"/>
          <w:lang w:val="en-GB"/>
        </w:rPr>
        <w:tab/>
      </w:r>
      <w:r w:rsidRPr="00E51CDD">
        <w:rPr>
          <w:sz w:val="18"/>
          <w:szCs w:val="18"/>
          <w:lang w:val="en-GB"/>
        </w:rPr>
        <w:t xml:space="preserve">Corrected value derived by dividing the endpoint by a factor of 2 </w:t>
      </w:r>
      <w:r w:rsidRPr="00E51CDD">
        <w:rPr>
          <w:sz w:val="18"/>
          <w:szCs w:val="18"/>
        </w:rPr>
        <w:t>in accordance with the EPPO earthworm scheme 2002 due to the log P</w:t>
      </w:r>
      <w:r w:rsidRPr="00E51CDD">
        <w:rPr>
          <w:sz w:val="18"/>
          <w:szCs w:val="18"/>
          <w:vertAlign w:val="subscript"/>
        </w:rPr>
        <w:t>ow</w:t>
      </w:r>
      <w:r w:rsidRPr="00E51CDD">
        <w:rPr>
          <w:sz w:val="18"/>
          <w:szCs w:val="18"/>
        </w:rPr>
        <w:t xml:space="preserve"> &gt; 2 of azoxystrobin.</w:t>
      </w:r>
    </w:p>
    <w:p w14:paraId="6F064A7C" w14:textId="65130D15" w:rsidR="00E51CDD" w:rsidRPr="00E51CDD" w:rsidRDefault="00E51CDD" w:rsidP="00532358">
      <w:pPr>
        <w:widowControl w:val="0"/>
        <w:tabs>
          <w:tab w:val="left" w:pos="425"/>
        </w:tabs>
        <w:ind w:left="425" w:hanging="425"/>
        <w:jc w:val="both"/>
        <w:rPr>
          <w:noProof/>
          <w:sz w:val="18"/>
          <w:szCs w:val="18"/>
          <w:lang w:val="en-GB"/>
        </w:rPr>
      </w:pPr>
      <w:r w:rsidRPr="00E51CDD">
        <w:rPr>
          <w:sz w:val="18"/>
          <w:szCs w:val="18"/>
          <w:vertAlign w:val="superscript"/>
          <w:lang w:val="en-GB"/>
        </w:rPr>
        <w:t>1)</w:t>
      </w:r>
      <w:r w:rsidRPr="00E51CDD">
        <w:rPr>
          <w:noProof/>
          <w:sz w:val="18"/>
          <w:szCs w:val="18"/>
          <w:lang w:val="en-GB"/>
        </w:rPr>
        <w:tab/>
      </w:r>
      <w:r w:rsidRPr="00E51CDD">
        <w:rPr>
          <w:sz w:val="18"/>
          <w:szCs w:val="18"/>
        </w:rPr>
        <w:t>A12705B and A12705H contain the same active ingredient content and a nearly identical co-formulant profile except a marginal decrease for one co-formulants and marginal increases in two further co-formulants within A12705B compared to A12705H.</w:t>
      </w:r>
    </w:p>
    <w:bookmarkEnd w:id="803"/>
    <w:p w14:paraId="5F646AE2" w14:textId="77777777" w:rsidR="00E51CDD" w:rsidRPr="00E51CDD" w:rsidRDefault="00E51CDD" w:rsidP="00E51CDD">
      <w:pPr>
        <w:tabs>
          <w:tab w:val="left" w:pos="1984"/>
        </w:tabs>
        <w:jc w:val="both"/>
        <w:rPr>
          <w:lang w:val="en-GB" w:eastAsia="en-US"/>
        </w:rPr>
      </w:pPr>
    </w:p>
    <w:p w14:paraId="027BC4CB" w14:textId="77777777" w:rsidR="000630E1" w:rsidRDefault="000630E1" w:rsidP="00E51CDD">
      <w:pPr>
        <w:tabs>
          <w:tab w:val="left" w:pos="1984"/>
        </w:tabs>
        <w:spacing w:line="280" w:lineRule="exact"/>
        <w:ind w:left="1985" w:hanging="1985"/>
        <w:jc w:val="both"/>
        <w:rPr>
          <w:b/>
          <w:lang w:val="en-GB" w:eastAsia="en-US"/>
        </w:rPr>
      </w:pPr>
      <w:bookmarkStart w:id="804" w:name="_Ref436916457"/>
    </w:p>
    <w:p w14:paraId="0D23EDE9" w14:textId="56A491D7" w:rsidR="00E51CDD" w:rsidRPr="00E51CDD" w:rsidRDefault="00E51CDD" w:rsidP="00E51CDD">
      <w:pPr>
        <w:tabs>
          <w:tab w:val="left" w:pos="1984"/>
        </w:tabs>
        <w:spacing w:line="280" w:lineRule="exact"/>
        <w:ind w:left="1985" w:hanging="1985"/>
        <w:jc w:val="both"/>
        <w:rPr>
          <w:b/>
          <w:lang w:val="en-GB" w:eastAsia="en-US"/>
        </w:rPr>
      </w:pPr>
      <w:r w:rsidRPr="00E51CDD">
        <w:rPr>
          <w:b/>
          <w:lang w:val="en-GB" w:eastAsia="en-US"/>
        </w:rPr>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9.8</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3</w:t>
      </w:r>
      <w:r w:rsidRPr="00E51CDD">
        <w:rPr>
          <w:b/>
          <w:lang w:val="en-GB" w:eastAsia="en-US"/>
        </w:rPr>
        <w:fldChar w:fldCharType="end"/>
      </w:r>
      <w:bookmarkEnd w:id="804"/>
      <w:r w:rsidRPr="00E51CDD">
        <w:rPr>
          <w:b/>
          <w:lang w:val="en-GB" w:eastAsia="en-US"/>
        </w:rPr>
        <w:t>:</w:t>
      </w:r>
      <w:r w:rsidRPr="00E51CDD">
        <w:rPr>
          <w:b/>
          <w:lang w:val="en-GB" w:eastAsia="en-US"/>
        </w:rPr>
        <w:tab/>
        <w:t>Endpoints and effect values of BAS 736 00 F relevant for the risk assessment for earthworms and other non-target soil organisms (meso- and macrofauna)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746"/>
        <w:gridCol w:w="1867"/>
        <w:gridCol w:w="1776"/>
        <w:gridCol w:w="2265"/>
        <w:gridCol w:w="1691"/>
      </w:tblGrid>
      <w:tr w:rsidR="00E51CDD" w:rsidRPr="00E51CDD" w14:paraId="485700E1" w14:textId="77777777" w:rsidTr="009938D9">
        <w:tc>
          <w:tcPr>
            <w:tcW w:w="934" w:type="pct"/>
            <w:tcBorders>
              <w:top w:val="single" w:sz="4" w:space="0" w:color="auto"/>
              <w:left w:val="single" w:sz="4" w:space="0" w:color="auto"/>
              <w:bottom w:val="single" w:sz="4" w:space="0" w:color="auto"/>
              <w:right w:val="single" w:sz="4" w:space="0" w:color="auto"/>
            </w:tcBorders>
            <w:shd w:val="clear" w:color="auto" w:fill="auto"/>
          </w:tcPr>
          <w:p w14:paraId="366AB22D" w14:textId="77777777" w:rsidR="00E51CDD" w:rsidRPr="00E51CDD" w:rsidRDefault="00E51CDD" w:rsidP="00E51CDD">
            <w:pPr>
              <w:widowControl w:val="0"/>
              <w:rPr>
                <w:b/>
                <w:noProof/>
                <w:sz w:val="20"/>
                <w:lang w:val="en-GB"/>
              </w:rPr>
            </w:pPr>
            <w:r w:rsidRPr="00E51CDD">
              <w:rPr>
                <w:b/>
                <w:noProof/>
                <w:sz w:val="20"/>
                <w:lang w:val="en-GB"/>
              </w:rPr>
              <w:t>Species</w:t>
            </w:r>
          </w:p>
        </w:tc>
        <w:tc>
          <w:tcPr>
            <w:tcW w:w="999" w:type="pct"/>
            <w:tcBorders>
              <w:top w:val="single" w:sz="4" w:space="0" w:color="auto"/>
              <w:left w:val="single" w:sz="4" w:space="0" w:color="auto"/>
              <w:bottom w:val="single" w:sz="4" w:space="0" w:color="auto"/>
              <w:right w:val="single" w:sz="4" w:space="0" w:color="auto"/>
            </w:tcBorders>
            <w:shd w:val="clear" w:color="auto" w:fill="auto"/>
          </w:tcPr>
          <w:p w14:paraId="36423A78" w14:textId="77777777" w:rsidR="00E51CDD" w:rsidRPr="00E51CDD" w:rsidRDefault="00E51CDD" w:rsidP="00E51CDD">
            <w:pPr>
              <w:widowControl w:val="0"/>
              <w:rPr>
                <w:b/>
                <w:noProof/>
                <w:sz w:val="20"/>
                <w:lang w:val="en-GB"/>
              </w:rPr>
            </w:pPr>
            <w:r w:rsidRPr="00E51CDD">
              <w:rPr>
                <w:b/>
                <w:noProof/>
                <w:sz w:val="20"/>
                <w:lang w:val="en-GB"/>
              </w:rPr>
              <w:t>Product</w:t>
            </w:r>
          </w:p>
        </w:tc>
        <w:tc>
          <w:tcPr>
            <w:tcW w:w="950" w:type="pct"/>
            <w:tcBorders>
              <w:top w:val="single" w:sz="4" w:space="0" w:color="auto"/>
              <w:left w:val="single" w:sz="4" w:space="0" w:color="auto"/>
              <w:bottom w:val="single" w:sz="4" w:space="0" w:color="auto"/>
              <w:right w:val="single" w:sz="4" w:space="0" w:color="auto"/>
            </w:tcBorders>
            <w:shd w:val="clear" w:color="auto" w:fill="auto"/>
          </w:tcPr>
          <w:p w14:paraId="25C9EA6F" w14:textId="77777777" w:rsidR="00E51CDD" w:rsidRPr="00E51CDD" w:rsidRDefault="00E51CDD" w:rsidP="00E51CDD">
            <w:pPr>
              <w:widowControl w:val="0"/>
              <w:rPr>
                <w:b/>
                <w:noProof/>
                <w:sz w:val="20"/>
                <w:lang w:val="en-GB"/>
              </w:rPr>
            </w:pPr>
            <w:r w:rsidRPr="00E51CDD">
              <w:rPr>
                <w:b/>
                <w:noProof/>
                <w:sz w:val="20"/>
                <w:lang w:val="en-GB"/>
              </w:rPr>
              <w:t>Exposure System</w:t>
            </w:r>
          </w:p>
        </w:tc>
        <w:tc>
          <w:tcPr>
            <w:tcW w:w="1212" w:type="pct"/>
            <w:tcBorders>
              <w:top w:val="single" w:sz="4" w:space="0" w:color="auto"/>
              <w:left w:val="single" w:sz="4" w:space="0" w:color="auto"/>
              <w:bottom w:val="single" w:sz="4" w:space="0" w:color="auto"/>
              <w:right w:val="single" w:sz="4" w:space="0" w:color="auto"/>
            </w:tcBorders>
            <w:shd w:val="clear" w:color="auto" w:fill="auto"/>
          </w:tcPr>
          <w:p w14:paraId="4E3359D3" w14:textId="77777777" w:rsidR="00E51CDD" w:rsidRPr="00E51CDD" w:rsidRDefault="00E51CDD" w:rsidP="00E51CDD">
            <w:pPr>
              <w:widowControl w:val="0"/>
              <w:rPr>
                <w:b/>
                <w:noProof/>
                <w:sz w:val="20"/>
                <w:lang w:val="en-GB"/>
              </w:rPr>
            </w:pPr>
            <w:r w:rsidRPr="00E51CDD">
              <w:rPr>
                <w:b/>
                <w:noProof/>
                <w:sz w:val="20"/>
                <w:lang w:val="en-GB"/>
              </w:rPr>
              <w:t>Results</w:t>
            </w:r>
          </w:p>
        </w:tc>
        <w:tc>
          <w:tcPr>
            <w:tcW w:w="906" w:type="pct"/>
            <w:tcBorders>
              <w:top w:val="single" w:sz="4" w:space="0" w:color="auto"/>
              <w:left w:val="single" w:sz="4" w:space="0" w:color="auto"/>
              <w:bottom w:val="single" w:sz="4" w:space="0" w:color="auto"/>
              <w:right w:val="single" w:sz="4" w:space="0" w:color="auto"/>
            </w:tcBorders>
            <w:shd w:val="clear" w:color="auto" w:fill="auto"/>
          </w:tcPr>
          <w:p w14:paraId="2309C1A8" w14:textId="77777777" w:rsidR="00E51CDD" w:rsidRPr="00E51CDD" w:rsidRDefault="00E51CDD" w:rsidP="00E51CDD">
            <w:pPr>
              <w:widowControl w:val="0"/>
              <w:rPr>
                <w:b/>
                <w:bCs/>
                <w:iCs/>
                <w:noProof/>
                <w:sz w:val="20"/>
                <w:szCs w:val="20"/>
                <w:lang w:val="en-GB"/>
              </w:rPr>
            </w:pPr>
            <w:r w:rsidRPr="00E51CDD">
              <w:rPr>
                <w:b/>
                <w:bCs/>
                <w:iCs/>
                <w:noProof/>
                <w:sz w:val="20"/>
                <w:szCs w:val="20"/>
                <w:lang w:val="en-GB"/>
              </w:rPr>
              <w:t xml:space="preserve">Reference </w:t>
            </w:r>
          </w:p>
        </w:tc>
      </w:tr>
      <w:tr w:rsidR="00E51CDD" w:rsidRPr="00E51CDD" w14:paraId="6BA92F06" w14:textId="77777777" w:rsidTr="009938D9">
        <w:tc>
          <w:tcPr>
            <w:tcW w:w="5000" w:type="pct"/>
            <w:gridSpan w:val="5"/>
            <w:shd w:val="clear" w:color="auto" w:fill="auto"/>
          </w:tcPr>
          <w:p w14:paraId="4CC99014" w14:textId="77777777" w:rsidR="00E51CDD" w:rsidRPr="00E51CDD" w:rsidRDefault="00E51CDD" w:rsidP="00E51CDD">
            <w:pPr>
              <w:widowControl w:val="0"/>
              <w:rPr>
                <w:b/>
                <w:iCs/>
                <w:noProof/>
                <w:sz w:val="20"/>
                <w:szCs w:val="20"/>
                <w:lang w:eastAsia="en-US"/>
              </w:rPr>
            </w:pPr>
            <w:r w:rsidRPr="00E51CDD">
              <w:rPr>
                <w:b/>
                <w:iCs/>
                <w:noProof/>
                <w:sz w:val="20"/>
                <w:szCs w:val="20"/>
                <w:lang w:eastAsia="en-US"/>
              </w:rPr>
              <w:t>Chronic</w:t>
            </w:r>
          </w:p>
        </w:tc>
      </w:tr>
      <w:tr w:rsidR="00E51CDD" w:rsidRPr="00E51CDD" w14:paraId="6D3F1096" w14:textId="77777777" w:rsidTr="009938D9">
        <w:tc>
          <w:tcPr>
            <w:tcW w:w="934" w:type="pct"/>
            <w:shd w:val="clear" w:color="auto" w:fill="auto"/>
          </w:tcPr>
          <w:p w14:paraId="547DD843" w14:textId="77777777" w:rsidR="00E51CDD" w:rsidRPr="00E51CDD" w:rsidRDefault="00E51CDD" w:rsidP="00E51CDD">
            <w:pPr>
              <w:widowControl w:val="0"/>
              <w:rPr>
                <w:i/>
                <w:noProof/>
                <w:sz w:val="20"/>
                <w:lang w:val="en-GB"/>
              </w:rPr>
            </w:pPr>
            <w:r w:rsidRPr="00E51CDD">
              <w:rPr>
                <w:i/>
                <w:noProof/>
                <w:sz w:val="20"/>
                <w:lang w:val="en-GB"/>
              </w:rPr>
              <w:t>Eisenia fetida</w:t>
            </w:r>
          </w:p>
        </w:tc>
        <w:tc>
          <w:tcPr>
            <w:tcW w:w="999" w:type="pct"/>
            <w:shd w:val="clear" w:color="auto" w:fill="auto"/>
          </w:tcPr>
          <w:p w14:paraId="7ADE6F82" w14:textId="77777777" w:rsidR="00E51CDD" w:rsidRPr="00E51CDD" w:rsidRDefault="00E51CDD" w:rsidP="00E51CDD">
            <w:pPr>
              <w:widowControl w:val="0"/>
              <w:rPr>
                <w:noProof/>
                <w:sz w:val="20"/>
                <w:lang w:val="en-GB"/>
              </w:rPr>
            </w:pPr>
            <w:r w:rsidRPr="00E51CDD">
              <w:rPr>
                <w:noProof/>
                <w:sz w:val="20"/>
                <w:lang w:val="en-GB"/>
              </w:rPr>
              <w:t>BAS 736 00 F</w:t>
            </w:r>
          </w:p>
        </w:tc>
        <w:tc>
          <w:tcPr>
            <w:tcW w:w="950" w:type="pct"/>
            <w:shd w:val="clear" w:color="auto" w:fill="auto"/>
          </w:tcPr>
          <w:p w14:paraId="4268C104" w14:textId="77777777" w:rsidR="00E51CDD" w:rsidRPr="00E51CDD" w:rsidRDefault="00E51CDD" w:rsidP="00E51CDD">
            <w:pPr>
              <w:widowControl w:val="0"/>
              <w:rPr>
                <w:noProof/>
                <w:sz w:val="20"/>
                <w:lang w:val="en-GB"/>
              </w:rPr>
            </w:pPr>
            <w:r w:rsidRPr="00E51CDD">
              <w:rPr>
                <w:noProof/>
                <w:sz w:val="20"/>
                <w:lang w:val="en-GB"/>
              </w:rPr>
              <w:t>Mixed into substrate</w:t>
            </w:r>
          </w:p>
          <w:p w14:paraId="47C19AC8" w14:textId="77777777" w:rsidR="00E51CDD" w:rsidRPr="00E51CDD" w:rsidRDefault="00E51CDD" w:rsidP="00E51CDD">
            <w:pPr>
              <w:widowControl w:val="0"/>
              <w:rPr>
                <w:noProof/>
                <w:sz w:val="20"/>
                <w:lang w:val="en-GB"/>
              </w:rPr>
            </w:pPr>
            <w:r w:rsidRPr="00E51CDD">
              <w:rPr>
                <w:noProof/>
                <w:sz w:val="20"/>
                <w:lang w:val="en-GB"/>
              </w:rPr>
              <w:t>56 d</w:t>
            </w:r>
            <w:r w:rsidRPr="00E51CDD">
              <w:rPr>
                <w:noProof/>
                <w:sz w:val="20"/>
                <w:lang w:val="en-GB"/>
              </w:rPr>
              <w:br/>
              <w:t>10% peat content</w:t>
            </w:r>
          </w:p>
        </w:tc>
        <w:tc>
          <w:tcPr>
            <w:tcW w:w="1212" w:type="pct"/>
            <w:shd w:val="clear" w:color="auto" w:fill="auto"/>
          </w:tcPr>
          <w:p w14:paraId="695BCCCF" w14:textId="77777777" w:rsidR="00E51CDD" w:rsidRPr="002D3278" w:rsidRDefault="00E51CDD" w:rsidP="00E51CDD">
            <w:pPr>
              <w:widowControl w:val="0"/>
              <w:rPr>
                <w:noProof/>
                <w:sz w:val="20"/>
                <w:lang w:val="en-GB"/>
              </w:rPr>
            </w:pPr>
            <w:r w:rsidRPr="002D3278">
              <w:rPr>
                <w:noProof/>
                <w:sz w:val="20"/>
                <w:lang w:val="en-GB"/>
              </w:rPr>
              <w:t>NOEC = 284.0 mg/kg dry soil</w:t>
            </w:r>
            <w:r w:rsidRPr="002D3278">
              <w:rPr>
                <w:noProof/>
                <w:sz w:val="20"/>
                <w:lang w:val="en-GB"/>
              </w:rPr>
              <w:br/>
              <w:t>(equivalent to 13.2 mg fluxapyroxad and 19.8 mg azoxystrobin/kg dry soil)</w:t>
            </w:r>
            <w:r w:rsidRPr="002D3278">
              <w:rPr>
                <w:noProof/>
                <w:sz w:val="20"/>
                <w:lang w:val="en-GB"/>
              </w:rPr>
              <w:br/>
              <w:t>EC</w:t>
            </w:r>
            <w:r w:rsidRPr="002D3278">
              <w:rPr>
                <w:noProof/>
                <w:sz w:val="20"/>
                <w:vertAlign w:val="subscript"/>
                <w:lang w:val="en-GB"/>
              </w:rPr>
              <w:t>10</w:t>
            </w:r>
            <w:r w:rsidRPr="002D3278">
              <w:rPr>
                <w:noProof/>
                <w:sz w:val="20"/>
                <w:lang w:val="en-GB"/>
              </w:rPr>
              <w:t xml:space="preserve"> = 295.9 mg/kg dry soil (equivalent to 13.7 mg fluxapyroxad and 20.6 mg azoxystrobin/kg dry soil)</w:t>
            </w:r>
            <w:r w:rsidRPr="002D3278">
              <w:rPr>
                <w:noProof/>
                <w:sz w:val="20"/>
                <w:lang w:val="en-GB"/>
              </w:rPr>
              <w:br/>
            </w:r>
          </w:p>
          <w:p w14:paraId="01CD1F75" w14:textId="77777777" w:rsidR="00E51CDD" w:rsidRPr="002D3278" w:rsidRDefault="00E51CDD" w:rsidP="00E51CDD">
            <w:pPr>
              <w:widowControl w:val="0"/>
              <w:rPr>
                <w:noProof/>
                <w:sz w:val="20"/>
                <w:vertAlign w:val="superscript"/>
                <w:lang w:val="en-GB"/>
              </w:rPr>
            </w:pPr>
            <w:r w:rsidRPr="002D3278">
              <w:rPr>
                <w:noProof/>
                <w:sz w:val="20"/>
                <w:lang w:val="en-GB"/>
              </w:rPr>
              <w:t>NOEC</w:t>
            </w:r>
            <w:r w:rsidRPr="002D3278">
              <w:rPr>
                <w:noProof/>
                <w:sz w:val="20"/>
                <w:vertAlign w:val="subscript"/>
                <w:lang w:val="en-GB"/>
              </w:rPr>
              <w:t> CORR</w:t>
            </w:r>
            <w:r w:rsidRPr="002D3278">
              <w:rPr>
                <w:noProof/>
                <w:sz w:val="20"/>
                <w:lang w:val="en-GB"/>
              </w:rPr>
              <w:t xml:space="preserve"> = 16.5 mg total a.s./kg dry soil</w:t>
            </w:r>
            <w:r w:rsidRPr="002D3278">
              <w:rPr>
                <w:noProof/>
                <w:sz w:val="20"/>
                <w:vertAlign w:val="superscript"/>
                <w:lang w:val="en-GB"/>
              </w:rPr>
              <w:t xml:space="preserve"> 1) *</w:t>
            </w:r>
            <w:r w:rsidRPr="002D3278">
              <w:rPr>
                <w:noProof/>
                <w:sz w:val="20"/>
                <w:lang w:val="en-GB"/>
              </w:rPr>
              <w:br/>
            </w:r>
            <w:r w:rsidRPr="002D3278">
              <w:rPr>
                <w:b/>
                <w:bCs/>
                <w:noProof/>
                <w:sz w:val="20"/>
                <w:lang w:val="en-GB"/>
              </w:rPr>
              <w:t>EC</w:t>
            </w:r>
            <w:r w:rsidRPr="002D3278">
              <w:rPr>
                <w:b/>
                <w:bCs/>
                <w:noProof/>
                <w:sz w:val="20"/>
                <w:vertAlign w:val="subscript"/>
                <w:lang w:val="en-GB"/>
              </w:rPr>
              <w:t>10 CORR</w:t>
            </w:r>
            <w:r w:rsidRPr="002D3278">
              <w:rPr>
                <w:b/>
                <w:bCs/>
                <w:noProof/>
                <w:sz w:val="20"/>
                <w:lang w:val="en-GB"/>
              </w:rPr>
              <w:t xml:space="preserve"> = 17.2 mg total a.s./kg dry soil</w:t>
            </w:r>
            <w:r w:rsidRPr="002D3278">
              <w:rPr>
                <w:b/>
                <w:bCs/>
                <w:noProof/>
                <w:sz w:val="20"/>
                <w:vertAlign w:val="superscript"/>
                <w:lang w:val="en-GB"/>
              </w:rPr>
              <w:t xml:space="preserve"> 1) *</w:t>
            </w:r>
          </w:p>
        </w:tc>
        <w:tc>
          <w:tcPr>
            <w:tcW w:w="906" w:type="pct"/>
            <w:shd w:val="clear" w:color="auto" w:fill="auto"/>
          </w:tcPr>
          <w:p w14:paraId="353C8174" w14:textId="77777777" w:rsidR="00E51CDD" w:rsidRPr="00E51CDD" w:rsidRDefault="00E51CDD" w:rsidP="00E51CDD">
            <w:pPr>
              <w:widowControl w:val="0"/>
              <w:rPr>
                <w:bCs/>
                <w:iCs/>
                <w:noProof/>
                <w:sz w:val="20"/>
                <w:szCs w:val="20"/>
                <w:lang w:val="en-GB"/>
              </w:rPr>
            </w:pPr>
            <w:r w:rsidRPr="00E51CDD">
              <w:rPr>
                <w:bCs/>
                <w:iCs/>
                <w:noProof/>
                <w:sz w:val="20"/>
                <w:szCs w:val="20"/>
                <w:lang w:eastAsia="en-US"/>
              </w:rPr>
              <w:t>not EU evaluated</w:t>
            </w:r>
            <w:r w:rsidRPr="00E51CDD">
              <w:rPr>
                <w:noProof/>
                <w:sz w:val="20"/>
                <w:szCs w:val="20"/>
                <w:lang w:val="en-GB"/>
              </w:rPr>
              <w:br/>
            </w:r>
            <w:r w:rsidRPr="00E51CDD">
              <w:rPr>
                <w:bCs/>
                <w:iCs/>
                <w:noProof/>
                <w:sz w:val="20"/>
                <w:szCs w:val="20"/>
                <w:lang w:val="en-GB"/>
              </w:rPr>
              <w:t>2019/1061096</w:t>
            </w:r>
          </w:p>
        </w:tc>
      </w:tr>
      <w:tr w:rsidR="00E51CDD" w:rsidRPr="00E51CDD" w14:paraId="498167E6" w14:textId="77777777" w:rsidTr="009938D9">
        <w:tc>
          <w:tcPr>
            <w:tcW w:w="934" w:type="pct"/>
            <w:shd w:val="clear" w:color="auto" w:fill="auto"/>
          </w:tcPr>
          <w:p w14:paraId="276C4C58" w14:textId="77777777" w:rsidR="00E51CDD" w:rsidRPr="00E51CDD" w:rsidRDefault="00E51CDD" w:rsidP="00E51CDD">
            <w:pPr>
              <w:widowControl w:val="0"/>
              <w:rPr>
                <w:i/>
                <w:noProof/>
                <w:sz w:val="20"/>
                <w:lang w:val="en-GB"/>
              </w:rPr>
            </w:pPr>
            <w:r w:rsidRPr="00E51CDD">
              <w:rPr>
                <w:i/>
                <w:noProof/>
                <w:sz w:val="20"/>
                <w:lang w:val="en-GB"/>
              </w:rPr>
              <w:t>Folsomia candida</w:t>
            </w:r>
          </w:p>
        </w:tc>
        <w:tc>
          <w:tcPr>
            <w:tcW w:w="999" w:type="pct"/>
            <w:shd w:val="clear" w:color="auto" w:fill="auto"/>
          </w:tcPr>
          <w:p w14:paraId="00B99D92" w14:textId="77777777" w:rsidR="00E51CDD" w:rsidRPr="00E51CDD" w:rsidRDefault="00E51CDD" w:rsidP="00E51CDD">
            <w:pPr>
              <w:widowControl w:val="0"/>
              <w:rPr>
                <w:noProof/>
                <w:sz w:val="20"/>
                <w:lang w:val="en-GB"/>
              </w:rPr>
            </w:pPr>
            <w:r w:rsidRPr="00E51CDD">
              <w:rPr>
                <w:noProof/>
                <w:sz w:val="20"/>
                <w:lang w:val="en-GB"/>
              </w:rPr>
              <w:t>BAS 736 00 F</w:t>
            </w:r>
          </w:p>
        </w:tc>
        <w:tc>
          <w:tcPr>
            <w:tcW w:w="950" w:type="pct"/>
            <w:shd w:val="clear" w:color="auto" w:fill="auto"/>
          </w:tcPr>
          <w:p w14:paraId="6BDE9618" w14:textId="77777777" w:rsidR="00E51CDD" w:rsidRPr="00E51CDD" w:rsidRDefault="00E51CDD" w:rsidP="00E51CDD">
            <w:pPr>
              <w:widowControl w:val="0"/>
              <w:rPr>
                <w:noProof/>
                <w:sz w:val="20"/>
                <w:lang w:val="en-GB"/>
              </w:rPr>
            </w:pPr>
            <w:r w:rsidRPr="00E51CDD">
              <w:rPr>
                <w:noProof/>
                <w:sz w:val="20"/>
                <w:lang w:val="en-GB"/>
              </w:rPr>
              <w:t>Mixed into substrate</w:t>
            </w:r>
          </w:p>
          <w:p w14:paraId="55310F6E" w14:textId="77777777" w:rsidR="00E51CDD" w:rsidRPr="00E51CDD" w:rsidRDefault="00E51CDD" w:rsidP="00E51CDD">
            <w:pPr>
              <w:widowControl w:val="0"/>
              <w:rPr>
                <w:noProof/>
                <w:sz w:val="20"/>
                <w:lang w:val="en-GB"/>
              </w:rPr>
            </w:pPr>
            <w:r w:rsidRPr="00E51CDD">
              <w:rPr>
                <w:noProof/>
                <w:sz w:val="20"/>
                <w:lang w:val="en-GB"/>
              </w:rPr>
              <w:t>28 d</w:t>
            </w:r>
            <w:r w:rsidRPr="00E51CDD">
              <w:rPr>
                <w:noProof/>
                <w:sz w:val="20"/>
                <w:lang w:val="en-GB"/>
              </w:rPr>
              <w:br/>
              <w:t>5% peat content</w:t>
            </w:r>
          </w:p>
        </w:tc>
        <w:tc>
          <w:tcPr>
            <w:tcW w:w="1212" w:type="pct"/>
            <w:shd w:val="clear" w:color="auto" w:fill="auto"/>
          </w:tcPr>
          <w:p w14:paraId="5629C5F4" w14:textId="77777777" w:rsidR="00E51CDD" w:rsidRPr="002D3278" w:rsidRDefault="00E51CDD" w:rsidP="00E51CDD">
            <w:pPr>
              <w:widowControl w:val="0"/>
              <w:rPr>
                <w:noProof/>
                <w:sz w:val="20"/>
                <w:lang w:val="en-GB"/>
              </w:rPr>
            </w:pPr>
            <w:r w:rsidRPr="002D3278">
              <w:rPr>
                <w:noProof/>
                <w:sz w:val="20"/>
                <w:lang w:val="en-GB"/>
              </w:rPr>
              <w:t>NOEC = 147 mg/kg dry soil</w:t>
            </w:r>
            <w:r w:rsidRPr="002D3278">
              <w:rPr>
                <w:noProof/>
                <w:sz w:val="20"/>
                <w:lang w:val="en-GB"/>
              </w:rPr>
              <w:br/>
              <w:t>(equivalent to 6.8 mg fluxapyroxad and 10.2 mg azoxystrobin/kg dry soil)</w:t>
            </w:r>
            <w:r w:rsidRPr="002D3278">
              <w:rPr>
                <w:noProof/>
                <w:sz w:val="20"/>
                <w:lang w:val="en-GB"/>
              </w:rPr>
              <w:br/>
            </w:r>
            <w:r w:rsidRPr="002D3278">
              <w:rPr>
                <w:b/>
                <w:bCs/>
                <w:noProof/>
                <w:sz w:val="20"/>
                <w:lang w:val="en-GB"/>
              </w:rPr>
              <w:t>EC</w:t>
            </w:r>
            <w:r w:rsidRPr="002D3278">
              <w:rPr>
                <w:b/>
                <w:bCs/>
                <w:noProof/>
                <w:sz w:val="20"/>
                <w:vertAlign w:val="subscript"/>
                <w:lang w:val="en-GB"/>
              </w:rPr>
              <w:t>10</w:t>
            </w:r>
            <w:r w:rsidRPr="002D3278">
              <w:rPr>
                <w:b/>
                <w:bCs/>
                <w:noProof/>
                <w:sz w:val="20"/>
                <w:lang w:val="en-GB"/>
              </w:rPr>
              <w:t xml:space="preserve"> = 232 mg/kg dry soil (equivalent to 10.8 mg fluxapyroxad </w:t>
            </w:r>
            <w:r w:rsidRPr="002D3278">
              <w:rPr>
                <w:b/>
                <w:bCs/>
                <w:noProof/>
                <w:sz w:val="20"/>
                <w:lang w:val="en-GB"/>
              </w:rPr>
              <w:lastRenderedPageBreak/>
              <w:t>and 16.1 mg azoxystrobin/kg dry soil)</w:t>
            </w:r>
            <w:r w:rsidRPr="002D3278">
              <w:rPr>
                <w:noProof/>
                <w:sz w:val="20"/>
                <w:lang w:val="en-GB"/>
              </w:rPr>
              <w:br/>
            </w:r>
          </w:p>
          <w:p w14:paraId="1B9BF710" w14:textId="77777777" w:rsidR="00E51CDD" w:rsidRPr="002D3278" w:rsidRDefault="00E51CDD" w:rsidP="00E51CDD">
            <w:pPr>
              <w:widowControl w:val="0"/>
              <w:rPr>
                <w:noProof/>
                <w:sz w:val="20"/>
              </w:rPr>
            </w:pPr>
            <w:r w:rsidRPr="002D3278">
              <w:rPr>
                <w:noProof/>
                <w:sz w:val="20"/>
                <w:lang w:val="en-GB"/>
              </w:rPr>
              <w:t>NOEC</w:t>
            </w:r>
            <w:r w:rsidRPr="002D3278">
              <w:rPr>
                <w:noProof/>
                <w:sz w:val="20"/>
                <w:vertAlign w:val="subscript"/>
                <w:lang w:val="en-GB"/>
              </w:rPr>
              <w:t> CORR</w:t>
            </w:r>
            <w:r w:rsidRPr="002D3278">
              <w:rPr>
                <w:noProof/>
                <w:sz w:val="20"/>
                <w:lang w:val="en-GB"/>
              </w:rPr>
              <w:t xml:space="preserve"> = 8.5 mg total a.s./kg dry soil</w:t>
            </w:r>
            <w:r w:rsidRPr="002D3278">
              <w:rPr>
                <w:noProof/>
                <w:sz w:val="20"/>
                <w:vertAlign w:val="superscript"/>
                <w:lang w:val="en-GB"/>
              </w:rPr>
              <w:t xml:space="preserve"> 1) *</w:t>
            </w:r>
            <w:r w:rsidRPr="002D3278">
              <w:rPr>
                <w:noProof/>
                <w:sz w:val="20"/>
                <w:lang w:val="en-GB"/>
              </w:rPr>
              <w:br/>
              <w:t>EC</w:t>
            </w:r>
            <w:r w:rsidRPr="002D3278">
              <w:rPr>
                <w:noProof/>
                <w:sz w:val="20"/>
                <w:vertAlign w:val="subscript"/>
                <w:lang w:val="en-GB"/>
              </w:rPr>
              <w:t>10 CORR</w:t>
            </w:r>
            <w:r w:rsidRPr="002D3278">
              <w:rPr>
                <w:noProof/>
                <w:sz w:val="20"/>
                <w:lang w:val="en-GB"/>
              </w:rPr>
              <w:t xml:space="preserve"> = 13.5 mg total a.s./kg dry soil</w:t>
            </w:r>
            <w:r w:rsidRPr="002D3278">
              <w:rPr>
                <w:noProof/>
                <w:sz w:val="20"/>
                <w:vertAlign w:val="superscript"/>
                <w:lang w:val="en-GB"/>
              </w:rPr>
              <w:t xml:space="preserve"> 1) *</w:t>
            </w:r>
          </w:p>
        </w:tc>
        <w:tc>
          <w:tcPr>
            <w:tcW w:w="906" w:type="pct"/>
            <w:shd w:val="clear" w:color="auto" w:fill="auto"/>
          </w:tcPr>
          <w:p w14:paraId="4961D6FC" w14:textId="77777777" w:rsidR="00E51CDD" w:rsidRPr="00E51CDD" w:rsidRDefault="00E51CDD" w:rsidP="00E51CDD">
            <w:pPr>
              <w:widowControl w:val="0"/>
              <w:rPr>
                <w:bCs/>
                <w:iCs/>
                <w:noProof/>
                <w:sz w:val="20"/>
                <w:szCs w:val="20"/>
                <w:lang w:val="en-GB"/>
              </w:rPr>
            </w:pPr>
            <w:r w:rsidRPr="00E51CDD">
              <w:rPr>
                <w:bCs/>
                <w:iCs/>
                <w:noProof/>
                <w:sz w:val="20"/>
                <w:szCs w:val="20"/>
                <w:lang w:eastAsia="en-US"/>
              </w:rPr>
              <w:lastRenderedPageBreak/>
              <w:t>not EU evaluated</w:t>
            </w:r>
            <w:r w:rsidRPr="00E51CDD">
              <w:rPr>
                <w:noProof/>
                <w:sz w:val="20"/>
                <w:szCs w:val="20"/>
                <w:lang w:val="en-GB"/>
              </w:rPr>
              <w:br/>
            </w:r>
            <w:r w:rsidRPr="00E51CDD">
              <w:rPr>
                <w:bCs/>
                <w:iCs/>
                <w:noProof/>
                <w:sz w:val="20"/>
                <w:szCs w:val="20"/>
                <w:lang w:val="en-GB"/>
              </w:rPr>
              <w:t>2019/1061097</w:t>
            </w:r>
          </w:p>
        </w:tc>
      </w:tr>
      <w:tr w:rsidR="00E51CDD" w:rsidRPr="00E51CDD" w14:paraId="7B1E4E53" w14:textId="77777777" w:rsidTr="009938D9">
        <w:tc>
          <w:tcPr>
            <w:tcW w:w="934" w:type="pct"/>
            <w:shd w:val="clear" w:color="auto" w:fill="auto"/>
          </w:tcPr>
          <w:p w14:paraId="047BC10B" w14:textId="77777777" w:rsidR="00E51CDD" w:rsidRPr="00E51CDD" w:rsidRDefault="00E51CDD" w:rsidP="00E51CDD">
            <w:pPr>
              <w:widowControl w:val="0"/>
              <w:rPr>
                <w:i/>
                <w:noProof/>
                <w:sz w:val="20"/>
                <w:lang w:val="en-GB"/>
              </w:rPr>
            </w:pPr>
            <w:r w:rsidRPr="00E51CDD">
              <w:rPr>
                <w:i/>
                <w:noProof/>
                <w:sz w:val="20"/>
                <w:lang w:val="en-GB"/>
              </w:rPr>
              <w:t>Hypoaspis aculeifer</w:t>
            </w:r>
          </w:p>
        </w:tc>
        <w:tc>
          <w:tcPr>
            <w:tcW w:w="999" w:type="pct"/>
            <w:shd w:val="clear" w:color="auto" w:fill="auto"/>
          </w:tcPr>
          <w:p w14:paraId="1AA97859" w14:textId="77777777" w:rsidR="00E51CDD" w:rsidRPr="00E51CDD" w:rsidRDefault="00E51CDD" w:rsidP="00E51CDD">
            <w:pPr>
              <w:widowControl w:val="0"/>
              <w:rPr>
                <w:noProof/>
                <w:sz w:val="20"/>
                <w:lang w:val="en-GB"/>
              </w:rPr>
            </w:pPr>
            <w:r w:rsidRPr="00E51CDD">
              <w:rPr>
                <w:noProof/>
                <w:sz w:val="20"/>
                <w:lang w:val="en-GB"/>
              </w:rPr>
              <w:t>BAS 736 00 F</w:t>
            </w:r>
          </w:p>
        </w:tc>
        <w:tc>
          <w:tcPr>
            <w:tcW w:w="950" w:type="pct"/>
            <w:shd w:val="clear" w:color="auto" w:fill="auto"/>
          </w:tcPr>
          <w:p w14:paraId="727AAE65" w14:textId="77777777" w:rsidR="00E51CDD" w:rsidRPr="00E51CDD" w:rsidRDefault="00E51CDD" w:rsidP="00E51CDD">
            <w:pPr>
              <w:widowControl w:val="0"/>
              <w:rPr>
                <w:noProof/>
                <w:sz w:val="20"/>
                <w:lang w:val="en-GB"/>
              </w:rPr>
            </w:pPr>
            <w:r w:rsidRPr="00E51CDD">
              <w:rPr>
                <w:noProof/>
                <w:sz w:val="20"/>
                <w:lang w:val="en-GB"/>
              </w:rPr>
              <w:t>Mixed into substrate</w:t>
            </w:r>
          </w:p>
          <w:p w14:paraId="67813E24" w14:textId="77777777" w:rsidR="00E51CDD" w:rsidRPr="00E51CDD" w:rsidRDefault="00E51CDD" w:rsidP="00E51CDD">
            <w:pPr>
              <w:widowControl w:val="0"/>
              <w:rPr>
                <w:noProof/>
                <w:sz w:val="20"/>
                <w:lang w:val="en-GB"/>
              </w:rPr>
            </w:pPr>
            <w:r w:rsidRPr="00E51CDD">
              <w:rPr>
                <w:noProof/>
                <w:sz w:val="20"/>
                <w:lang w:val="en-GB"/>
              </w:rPr>
              <w:t>14 d</w:t>
            </w:r>
            <w:r w:rsidRPr="00E51CDD">
              <w:rPr>
                <w:noProof/>
                <w:sz w:val="20"/>
                <w:lang w:val="en-GB"/>
              </w:rPr>
              <w:br/>
              <w:t>5% peat content</w:t>
            </w:r>
          </w:p>
        </w:tc>
        <w:tc>
          <w:tcPr>
            <w:tcW w:w="1212" w:type="pct"/>
            <w:shd w:val="clear" w:color="auto" w:fill="auto"/>
          </w:tcPr>
          <w:p w14:paraId="6439E92E" w14:textId="77777777" w:rsidR="00E51CDD" w:rsidRPr="002D3278" w:rsidRDefault="00E51CDD" w:rsidP="00E51CDD">
            <w:pPr>
              <w:widowControl w:val="0"/>
              <w:rPr>
                <w:noProof/>
                <w:sz w:val="20"/>
                <w:lang w:val="en-GB"/>
              </w:rPr>
            </w:pPr>
            <w:r w:rsidRPr="002D3278">
              <w:rPr>
                <w:noProof/>
                <w:sz w:val="20"/>
                <w:lang w:val="en-GB"/>
              </w:rPr>
              <w:t>NOEC = 190.7 mg/kg dry soil</w:t>
            </w:r>
            <w:r w:rsidRPr="002D3278">
              <w:rPr>
                <w:noProof/>
                <w:sz w:val="20"/>
                <w:lang w:val="en-GB"/>
              </w:rPr>
              <w:br/>
              <w:t>(equivalent to 8.8 mg fluxapyroxad and 13.3 mg azoxystrobin/kg dry soil)</w:t>
            </w:r>
            <w:r w:rsidRPr="002D3278">
              <w:rPr>
                <w:noProof/>
                <w:sz w:val="20"/>
                <w:lang w:val="en-GB"/>
              </w:rPr>
              <w:br/>
            </w:r>
            <w:r w:rsidRPr="002D3278">
              <w:rPr>
                <w:b/>
                <w:bCs/>
                <w:noProof/>
                <w:sz w:val="20"/>
                <w:lang w:val="en-GB"/>
              </w:rPr>
              <w:t>EC</w:t>
            </w:r>
            <w:r w:rsidRPr="002D3278">
              <w:rPr>
                <w:b/>
                <w:bCs/>
                <w:noProof/>
                <w:sz w:val="20"/>
                <w:vertAlign w:val="subscript"/>
                <w:lang w:val="en-GB"/>
              </w:rPr>
              <w:t>10</w:t>
            </w:r>
            <w:r w:rsidRPr="002D3278">
              <w:rPr>
                <w:b/>
                <w:bCs/>
                <w:noProof/>
                <w:sz w:val="20"/>
                <w:lang w:val="en-GB"/>
              </w:rPr>
              <w:t xml:space="preserve"> = 438.9 mg/kg dry soil (equivalent to 20.4 mg fluxapyroxad and 30.5 mg azoxystrobin/kg dry soil)</w:t>
            </w:r>
            <w:r w:rsidRPr="002D3278">
              <w:rPr>
                <w:noProof/>
                <w:sz w:val="20"/>
                <w:lang w:val="en-GB"/>
              </w:rPr>
              <w:br/>
            </w:r>
          </w:p>
          <w:p w14:paraId="1CB37E74" w14:textId="77777777" w:rsidR="00E51CDD" w:rsidRPr="002D3278" w:rsidRDefault="00E51CDD" w:rsidP="00E51CDD">
            <w:pPr>
              <w:widowControl w:val="0"/>
              <w:rPr>
                <w:noProof/>
                <w:sz w:val="20"/>
                <w:lang w:val="en-GB"/>
              </w:rPr>
            </w:pPr>
            <w:r w:rsidRPr="002D3278">
              <w:rPr>
                <w:noProof/>
                <w:sz w:val="20"/>
                <w:lang w:val="en-GB"/>
              </w:rPr>
              <w:t>NOEC</w:t>
            </w:r>
            <w:r w:rsidRPr="002D3278">
              <w:rPr>
                <w:noProof/>
                <w:sz w:val="20"/>
                <w:vertAlign w:val="subscript"/>
                <w:lang w:val="en-GB"/>
              </w:rPr>
              <w:t> CORR</w:t>
            </w:r>
            <w:r w:rsidRPr="002D3278">
              <w:rPr>
                <w:noProof/>
                <w:sz w:val="20"/>
                <w:lang w:val="en-GB"/>
              </w:rPr>
              <w:t xml:space="preserve"> = 11.1 mg total a.s./kg dry soil</w:t>
            </w:r>
            <w:r w:rsidRPr="002D3278">
              <w:rPr>
                <w:noProof/>
                <w:sz w:val="20"/>
                <w:vertAlign w:val="superscript"/>
                <w:lang w:val="en-GB"/>
              </w:rPr>
              <w:t xml:space="preserve"> 1) *</w:t>
            </w:r>
            <w:r w:rsidRPr="002D3278">
              <w:rPr>
                <w:noProof/>
                <w:sz w:val="20"/>
                <w:lang w:val="en-GB"/>
              </w:rPr>
              <w:br/>
              <w:t>EC</w:t>
            </w:r>
            <w:r w:rsidRPr="002D3278">
              <w:rPr>
                <w:noProof/>
                <w:sz w:val="20"/>
                <w:vertAlign w:val="subscript"/>
                <w:lang w:val="en-GB"/>
              </w:rPr>
              <w:t>10 CORR</w:t>
            </w:r>
            <w:r w:rsidRPr="002D3278">
              <w:rPr>
                <w:noProof/>
                <w:sz w:val="20"/>
                <w:lang w:val="en-GB"/>
              </w:rPr>
              <w:t xml:space="preserve"> = 25.4 mg total a.s./kg dry soil</w:t>
            </w:r>
            <w:r w:rsidRPr="002D3278">
              <w:rPr>
                <w:noProof/>
                <w:sz w:val="20"/>
                <w:vertAlign w:val="superscript"/>
                <w:lang w:val="en-GB"/>
              </w:rPr>
              <w:t xml:space="preserve"> 1) *</w:t>
            </w:r>
          </w:p>
        </w:tc>
        <w:tc>
          <w:tcPr>
            <w:tcW w:w="906" w:type="pct"/>
            <w:shd w:val="clear" w:color="auto" w:fill="auto"/>
          </w:tcPr>
          <w:p w14:paraId="2D06DB78" w14:textId="77777777" w:rsidR="00E51CDD" w:rsidRPr="00E51CDD" w:rsidRDefault="00E51CDD" w:rsidP="00E51CDD">
            <w:pPr>
              <w:widowControl w:val="0"/>
              <w:rPr>
                <w:bCs/>
                <w:iCs/>
                <w:noProof/>
                <w:sz w:val="20"/>
                <w:szCs w:val="20"/>
              </w:rPr>
            </w:pPr>
            <w:r w:rsidRPr="00E51CDD">
              <w:rPr>
                <w:bCs/>
                <w:iCs/>
                <w:noProof/>
                <w:sz w:val="20"/>
                <w:szCs w:val="20"/>
                <w:lang w:eastAsia="en-US"/>
              </w:rPr>
              <w:t>not EU evaluated</w:t>
            </w:r>
            <w:r w:rsidRPr="00E51CDD">
              <w:rPr>
                <w:noProof/>
                <w:sz w:val="20"/>
                <w:szCs w:val="20"/>
                <w:lang w:val="en-GB"/>
              </w:rPr>
              <w:br/>
            </w:r>
            <w:r w:rsidRPr="00E51CDD">
              <w:rPr>
                <w:bCs/>
                <w:iCs/>
                <w:noProof/>
                <w:sz w:val="20"/>
                <w:szCs w:val="20"/>
              </w:rPr>
              <w:t>2019/1061098</w:t>
            </w:r>
          </w:p>
        </w:tc>
      </w:tr>
    </w:tbl>
    <w:p w14:paraId="54AFCE25" w14:textId="77777777" w:rsidR="00E51CDD" w:rsidRPr="00E51CDD" w:rsidRDefault="00E51CDD" w:rsidP="00E51CDD">
      <w:pPr>
        <w:widowControl w:val="0"/>
        <w:ind w:left="284" w:hanging="284"/>
        <w:jc w:val="both"/>
        <w:rPr>
          <w:lang w:val="en-GB"/>
        </w:rPr>
      </w:pPr>
      <w:bookmarkStart w:id="805" w:name="_Hlk29386956"/>
      <w:r w:rsidRPr="00E51CDD">
        <w:rPr>
          <w:bCs/>
          <w:sz w:val="18"/>
          <w:szCs w:val="18"/>
          <w:lang w:val="en-GB"/>
        </w:rPr>
        <w:t xml:space="preserve">Values shown in </w:t>
      </w:r>
      <w:r w:rsidRPr="00E51CDD">
        <w:rPr>
          <w:b/>
          <w:bCs/>
          <w:sz w:val="18"/>
          <w:szCs w:val="18"/>
          <w:lang w:val="en-GB"/>
        </w:rPr>
        <w:t>bold</w:t>
      </w:r>
      <w:r w:rsidRPr="00E51CDD">
        <w:rPr>
          <w:bCs/>
          <w:sz w:val="18"/>
          <w:szCs w:val="18"/>
          <w:lang w:val="en-GB"/>
        </w:rPr>
        <w:t xml:space="preserve"> are relevant for the conclusion of the risk assessment.</w:t>
      </w:r>
    </w:p>
    <w:bookmarkEnd w:id="805"/>
    <w:p w14:paraId="7784555A" w14:textId="77777777" w:rsidR="00E51CDD" w:rsidRPr="00E51CDD" w:rsidRDefault="00E51CDD" w:rsidP="00E51CDD">
      <w:pPr>
        <w:tabs>
          <w:tab w:val="left" w:pos="720"/>
        </w:tabs>
        <w:ind w:left="284" w:hanging="284"/>
        <w:jc w:val="both"/>
        <w:rPr>
          <w:sz w:val="18"/>
          <w:szCs w:val="24"/>
          <w:lang w:val="en-GB" w:eastAsia="en-US"/>
        </w:rPr>
      </w:pPr>
      <w:r w:rsidRPr="00E51CDD">
        <w:rPr>
          <w:sz w:val="18"/>
          <w:szCs w:val="24"/>
          <w:vertAlign w:val="superscript"/>
          <w:lang w:eastAsia="en-US"/>
        </w:rPr>
        <w:t>*</w:t>
      </w:r>
      <w:r w:rsidRPr="00E51CDD">
        <w:rPr>
          <w:sz w:val="18"/>
          <w:szCs w:val="24"/>
          <w:lang w:eastAsia="en-US"/>
        </w:rPr>
        <w:tab/>
        <w:t xml:space="preserve">Corrected value derived by dividing the endpoint by a factor of 2 </w:t>
      </w:r>
      <w:bookmarkStart w:id="806" w:name="_Hlk31625242"/>
      <w:r w:rsidRPr="00E51CDD">
        <w:rPr>
          <w:sz w:val="18"/>
          <w:szCs w:val="24"/>
          <w:lang w:eastAsia="en-US"/>
        </w:rPr>
        <w:t xml:space="preserve">in accordance with the EPPO earthworm scheme 2002 </w:t>
      </w:r>
      <w:bookmarkEnd w:id="806"/>
      <w:r w:rsidRPr="00E51CDD">
        <w:rPr>
          <w:sz w:val="18"/>
          <w:szCs w:val="24"/>
          <w:lang w:eastAsia="en-US"/>
        </w:rPr>
        <w:t>due to the log P</w:t>
      </w:r>
      <w:r w:rsidRPr="00E51CDD">
        <w:rPr>
          <w:sz w:val="18"/>
          <w:szCs w:val="24"/>
          <w:vertAlign w:val="subscript"/>
          <w:lang w:eastAsia="en-US"/>
        </w:rPr>
        <w:t>ow</w:t>
      </w:r>
      <w:r w:rsidRPr="00E51CDD">
        <w:rPr>
          <w:sz w:val="18"/>
          <w:szCs w:val="24"/>
          <w:lang w:eastAsia="en-US"/>
        </w:rPr>
        <w:t xml:space="preserve"> &gt; 2 of fluxapyroxad and azoxystrobin</w:t>
      </w:r>
      <w:r w:rsidRPr="00E51CDD">
        <w:rPr>
          <w:sz w:val="18"/>
          <w:szCs w:val="24"/>
          <w:lang w:val="en-GB" w:eastAsia="en-US"/>
        </w:rPr>
        <w:t>.</w:t>
      </w:r>
    </w:p>
    <w:p w14:paraId="2ACB5DD3" w14:textId="49FFEFEB" w:rsidR="00E51CDD" w:rsidRDefault="00E51CDD" w:rsidP="00E51CDD">
      <w:pPr>
        <w:tabs>
          <w:tab w:val="left" w:pos="720"/>
        </w:tabs>
        <w:ind w:left="284" w:hanging="284"/>
        <w:jc w:val="both"/>
        <w:rPr>
          <w:sz w:val="18"/>
          <w:szCs w:val="24"/>
          <w:lang w:eastAsia="en-US"/>
        </w:rPr>
      </w:pPr>
      <w:r w:rsidRPr="00E51CDD">
        <w:rPr>
          <w:sz w:val="18"/>
          <w:szCs w:val="24"/>
          <w:vertAlign w:val="superscript"/>
          <w:lang w:val="en-GB" w:eastAsia="en-US"/>
        </w:rPr>
        <w:t>1</w:t>
      </w:r>
      <w:r w:rsidRPr="00E51CDD">
        <w:rPr>
          <w:sz w:val="18"/>
          <w:szCs w:val="24"/>
          <w:vertAlign w:val="superscript"/>
          <w:lang w:eastAsia="en-US"/>
        </w:rPr>
        <w:t>)</w:t>
      </w:r>
      <w:r w:rsidRPr="00E51CDD">
        <w:rPr>
          <w:sz w:val="18"/>
          <w:szCs w:val="24"/>
          <w:lang w:eastAsia="en-US"/>
        </w:rPr>
        <w:tab/>
      </w:r>
      <w:bookmarkStart w:id="807" w:name="_Hlk527963808"/>
      <w:r w:rsidRPr="00E51CDD">
        <w:rPr>
          <w:sz w:val="18"/>
          <w:szCs w:val="24"/>
          <w:lang w:eastAsia="en-US"/>
        </w:rPr>
        <w:t>Endpoint based on sum of active substances (nominal) and taking into account a density of BAS 736 00 F of 1.078 g/cm</w:t>
      </w:r>
      <w:r w:rsidRPr="00E51CDD">
        <w:rPr>
          <w:sz w:val="18"/>
          <w:szCs w:val="24"/>
          <w:vertAlign w:val="superscript"/>
          <w:lang w:eastAsia="en-US"/>
        </w:rPr>
        <w:t>3</w:t>
      </w:r>
      <w:bookmarkEnd w:id="807"/>
      <w:r w:rsidRPr="00E51CDD">
        <w:rPr>
          <w:sz w:val="18"/>
          <w:szCs w:val="24"/>
          <w:lang w:eastAsia="en-US"/>
        </w:rPr>
        <w:t>.</w:t>
      </w:r>
    </w:p>
    <w:p w14:paraId="7AA3E302" w14:textId="77777777" w:rsidR="000630E1" w:rsidRPr="00E51CDD" w:rsidRDefault="000630E1" w:rsidP="00E51CDD">
      <w:pPr>
        <w:tabs>
          <w:tab w:val="left" w:pos="720"/>
        </w:tabs>
        <w:ind w:left="284" w:hanging="284"/>
        <w:jc w:val="both"/>
        <w:rPr>
          <w:sz w:val="18"/>
          <w:szCs w:val="24"/>
          <w:lang w:eastAsia="en-US"/>
        </w:rPr>
      </w:pPr>
    </w:p>
    <w:p w14:paraId="322D6A50" w14:textId="77777777" w:rsidR="00E51CDD" w:rsidRPr="00E51CDD" w:rsidRDefault="00E51CDD" w:rsidP="002E3CFC">
      <w:pPr>
        <w:pStyle w:val="Nagwek4"/>
      </w:pPr>
      <w:bookmarkStart w:id="808" w:name="_Toc412644021"/>
      <w:bookmarkStart w:id="809" w:name="_Toc413916865"/>
      <w:bookmarkStart w:id="810" w:name="_Toc413917007"/>
      <w:bookmarkStart w:id="811" w:name="_Toc413922068"/>
      <w:bookmarkStart w:id="812" w:name="_Toc413922557"/>
      <w:bookmarkStart w:id="813" w:name="_Toc413922661"/>
      <w:bookmarkStart w:id="814" w:name="_Toc414955298"/>
      <w:bookmarkStart w:id="815" w:name="_Toc415214605"/>
      <w:bookmarkStart w:id="816" w:name="_Toc125446447"/>
      <w:r w:rsidRPr="00E51CDD">
        <w:t>Justification for new endpoints</w:t>
      </w:r>
      <w:bookmarkEnd w:id="808"/>
      <w:bookmarkEnd w:id="809"/>
      <w:bookmarkEnd w:id="810"/>
      <w:bookmarkEnd w:id="811"/>
      <w:bookmarkEnd w:id="812"/>
      <w:bookmarkEnd w:id="813"/>
      <w:bookmarkEnd w:id="814"/>
      <w:bookmarkEnd w:id="815"/>
      <w:bookmarkEnd w:id="816"/>
    </w:p>
    <w:p w14:paraId="135444AD" w14:textId="77777777" w:rsidR="00E51CDD" w:rsidRPr="00E51CDD" w:rsidRDefault="00E51CDD" w:rsidP="00E51CDD">
      <w:pPr>
        <w:widowControl w:val="0"/>
        <w:jc w:val="both"/>
      </w:pPr>
      <w:bookmarkStart w:id="817" w:name="_Ref405924178"/>
      <w:bookmarkStart w:id="818" w:name="_Ref405924182"/>
      <w:r w:rsidRPr="00E51CDD">
        <w:t>Effects of the formulation BAS 736 00 F on earthworms and other non-target soil organisms (meso- and macrofauna) were not evaluated as part of the EU assessment of the active substances fluxapyroxad or azoxystrobin. Hence, all relevant data and assessments considering this formulation are provided here and are considered adequate.</w:t>
      </w:r>
    </w:p>
    <w:p w14:paraId="22DB4A83" w14:textId="77777777" w:rsidR="00E51CDD" w:rsidRPr="00E51CDD" w:rsidRDefault="00E51CDD" w:rsidP="00E51CDD">
      <w:pPr>
        <w:widowControl w:val="0"/>
        <w:jc w:val="both"/>
      </w:pPr>
    </w:p>
    <w:p w14:paraId="51C636C4" w14:textId="77777777" w:rsidR="00E51CDD" w:rsidRPr="00400591" w:rsidRDefault="00E51CDD" w:rsidP="00E51CDD">
      <w:pPr>
        <w:widowControl w:val="0"/>
        <w:jc w:val="both"/>
        <w:rPr>
          <w:strike/>
          <w:color w:val="D9D9D9" w:themeColor="background1" w:themeShade="D9"/>
        </w:rPr>
      </w:pPr>
      <w:r w:rsidRPr="00400591">
        <w:rPr>
          <w:strike/>
          <w:color w:val="D9D9D9" w:themeColor="background1" w:themeShade="D9"/>
        </w:rPr>
        <w:t>New chronic studies testing the effects of fluxapyroxad on earthworms, collembolans and soil mites which were not evaluated as part of the EU assessment of the active substance fluxapyroxad. As they provide valuable additional information they have been included in the evaluation. This applies to the new soil mites chronic study of azoxystrobin and earthworm study of its metabolite.</w:t>
      </w:r>
    </w:p>
    <w:p w14:paraId="3C2FD95E" w14:textId="77777777" w:rsidR="00E51CDD" w:rsidRPr="00E51CDD" w:rsidRDefault="00E51CDD" w:rsidP="00E51CDD">
      <w:pPr>
        <w:widowControl w:val="0"/>
        <w:suppressAutoHyphens/>
        <w:jc w:val="both"/>
        <w:rPr>
          <w:rFonts w:eastAsia="PMingLiU"/>
        </w:rPr>
      </w:pPr>
    </w:p>
    <w:p w14:paraId="12B2AEA9" w14:textId="06C3382C" w:rsidR="00E51CDD" w:rsidRPr="00E51CDD" w:rsidRDefault="00E51CDD" w:rsidP="00E51CDD">
      <w:pPr>
        <w:widowControl w:val="0"/>
        <w:suppressAutoHyphens/>
        <w:jc w:val="both"/>
        <w:rPr>
          <w:rFonts w:eastAsia="PMingLiU"/>
          <w:lang w:val="en-GB"/>
        </w:rPr>
      </w:pPr>
      <w:r w:rsidRPr="00E51CDD">
        <w:rPr>
          <w:rFonts w:eastAsia="PMingLiU"/>
          <w:lang w:val="en-GB"/>
        </w:rPr>
        <w:t>All chronic studies on earthworms and collembolans after guidelines OECD 222 and OECD 232 respectively, were checked for their potential to calculate EC</w:t>
      </w:r>
      <w:r w:rsidRPr="00E51CDD">
        <w:rPr>
          <w:rFonts w:eastAsia="PMingLiU"/>
          <w:vertAlign w:val="subscript"/>
          <w:lang w:val="en-GB"/>
        </w:rPr>
        <w:t>10/20</w:t>
      </w:r>
      <w:r w:rsidRPr="00E51CDD">
        <w:rPr>
          <w:rFonts w:eastAsia="PMingLiU"/>
          <w:lang w:val="en-GB"/>
        </w:rPr>
        <w:t xml:space="preserve"> values. If a calculation was possible, the EC</w:t>
      </w:r>
      <w:r w:rsidRPr="00E51CDD">
        <w:rPr>
          <w:rFonts w:eastAsia="PMingLiU"/>
          <w:vertAlign w:val="subscript"/>
          <w:lang w:val="en-GB"/>
        </w:rPr>
        <w:t>10/20</w:t>
      </w:r>
      <w:r w:rsidRPr="00E51CDD">
        <w:rPr>
          <w:rFonts w:eastAsia="PMingLiU"/>
          <w:lang w:val="en-GB"/>
        </w:rPr>
        <w:t xml:space="preserve"> are provided in the corresponding study summary in Appendix 2 and the EC</w:t>
      </w:r>
      <w:r w:rsidRPr="00E51CDD">
        <w:rPr>
          <w:rFonts w:eastAsia="PMingLiU"/>
          <w:vertAlign w:val="subscript"/>
          <w:lang w:val="en-GB"/>
        </w:rPr>
        <w:t>10</w:t>
      </w:r>
      <w:r w:rsidRPr="00E51CDD">
        <w:rPr>
          <w:rFonts w:eastAsia="PMingLiU"/>
          <w:lang w:val="en-GB"/>
        </w:rPr>
        <w:t xml:space="preserve"> is listed in Chapter </w:t>
      </w:r>
      <w:r w:rsidR="00843A50">
        <w:rPr>
          <w:rFonts w:eastAsia="PMingLiU"/>
          <w:lang w:val="en-GB"/>
        </w:rPr>
        <w:t>9.8.1.</w:t>
      </w:r>
    </w:p>
    <w:p w14:paraId="6BE3561E" w14:textId="77777777" w:rsidR="00E51CDD" w:rsidRPr="00E51CDD" w:rsidRDefault="00E51CDD" w:rsidP="00E51CDD">
      <w:pPr>
        <w:widowControl w:val="0"/>
        <w:suppressAutoHyphens/>
        <w:jc w:val="both"/>
        <w:rPr>
          <w:rFonts w:eastAsia="PMingLiU"/>
          <w:lang w:val="en-GB"/>
        </w:rPr>
      </w:pPr>
    </w:p>
    <w:p w14:paraId="0B6BBD1B" w14:textId="77777777" w:rsidR="00E51CDD" w:rsidRPr="00E51CDD" w:rsidRDefault="00E51CDD" w:rsidP="00E51CDD">
      <w:pPr>
        <w:widowControl w:val="0"/>
        <w:suppressAutoHyphens/>
        <w:jc w:val="both"/>
        <w:rPr>
          <w:rFonts w:eastAsia="PMingLiU"/>
          <w:lang w:val="en-GB"/>
        </w:rPr>
      </w:pPr>
      <w:r w:rsidRPr="00E51CDD">
        <w:rPr>
          <w:rFonts w:eastAsia="PMingLiU"/>
          <w:lang w:val="en-GB"/>
        </w:rPr>
        <w:t>For the risk assessment, both NOEC and EC</w:t>
      </w:r>
      <w:r w:rsidRPr="00E51CDD">
        <w:rPr>
          <w:rFonts w:eastAsia="PMingLiU"/>
          <w:vertAlign w:val="subscript"/>
          <w:lang w:val="en-GB"/>
        </w:rPr>
        <w:t>10</w:t>
      </w:r>
      <w:r w:rsidRPr="00E51CDD">
        <w:rPr>
          <w:rFonts w:eastAsia="PMingLiU"/>
          <w:lang w:val="en-GB"/>
        </w:rPr>
        <w:t xml:space="preserve"> (if available) are used. The conclusion, however, will be based on the EC</w:t>
      </w:r>
      <w:r w:rsidRPr="00E51CDD">
        <w:rPr>
          <w:rFonts w:eastAsia="PMingLiU"/>
          <w:vertAlign w:val="subscript"/>
          <w:lang w:val="en-GB"/>
        </w:rPr>
        <w:t>10</w:t>
      </w:r>
      <w:r w:rsidRPr="00E51CDD">
        <w:rPr>
          <w:rFonts w:eastAsia="PMingLiU"/>
          <w:lang w:val="en-GB"/>
        </w:rPr>
        <w:t xml:space="preserve"> if reliable. If the EC</w:t>
      </w:r>
      <w:r w:rsidRPr="00E51CDD">
        <w:rPr>
          <w:rFonts w:eastAsia="PMingLiU"/>
          <w:vertAlign w:val="subscript"/>
          <w:lang w:val="en-GB"/>
        </w:rPr>
        <w:t>10</w:t>
      </w:r>
      <w:r w:rsidRPr="00E51CDD">
        <w:rPr>
          <w:rFonts w:eastAsia="PMingLiU"/>
          <w:lang w:val="en-GB"/>
        </w:rPr>
        <w:t xml:space="preserve"> is not reliable or could not be calculated the NOEC is considered the relevant endpoint for the risk assessment.</w:t>
      </w:r>
    </w:p>
    <w:p w14:paraId="3F426031" w14:textId="77777777" w:rsidR="00E51CDD" w:rsidRPr="00E51CDD" w:rsidRDefault="00E51CDD" w:rsidP="00E51CDD">
      <w:pPr>
        <w:widowControl w:val="0"/>
        <w:suppressAutoHyphens/>
        <w:jc w:val="both"/>
        <w:rPr>
          <w:rFonts w:eastAsia="PMingLiU"/>
        </w:rPr>
      </w:pPr>
      <w:r w:rsidRPr="00E51CDD">
        <w:rPr>
          <w:rFonts w:eastAsia="PMingLiU"/>
          <w:lang w:val="en-GB"/>
        </w:rPr>
        <w:br w:type="page"/>
      </w:r>
    </w:p>
    <w:p w14:paraId="70711828" w14:textId="77777777" w:rsidR="00E51CDD" w:rsidRPr="00E51CDD" w:rsidRDefault="00E51CDD" w:rsidP="00B31542">
      <w:pPr>
        <w:pStyle w:val="Nagwek3"/>
      </w:pPr>
      <w:bookmarkStart w:id="819" w:name="_Toc412644022"/>
      <w:bookmarkStart w:id="820" w:name="_Toc413916866"/>
      <w:bookmarkStart w:id="821" w:name="_Toc413917008"/>
      <w:bookmarkStart w:id="822" w:name="_Toc413922069"/>
      <w:bookmarkStart w:id="823" w:name="_Toc413922558"/>
      <w:bookmarkStart w:id="824" w:name="_Toc413922662"/>
      <w:bookmarkStart w:id="825" w:name="_Toc414955299"/>
      <w:bookmarkStart w:id="826" w:name="_Toc415214606"/>
      <w:bookmarkStart w:id="827" w:name="_Toc125446448"/>
      <w:r w:rsidRPr="00E51CDD">
        <w:lastRenderedPageBreak/>
        <w:t>Risk assessment</w:t>
      </w:r>
      <w:bookmarkEnd w:id="817"/>
      <w:bookmarkEnd w:id="818"/>
      <w:bookmarkEnd w:id="819"/>
      <w:bookmarkEnd w:id="820"/>
      <w:bookmarkEnd w:id="821"/>
      <w:bookmarkEnd w:id="822"/>
      <w:bookmarkEnd w:id="823"/>
      <w:bookmarkEnd w:id="824"/>
      <w:bookmarkEnd w:id="825"/>
      <w:bookmarkEnd w:id="826"/>
      <w:bookmarkEnd w:id="827"/>
    </w:p>
    <w:p w14:paraId="3DB8A700" w14:textId="77777777" w:rsidR="00E51CDD" w:rsidRPr="00E51CDD" w:rsidRDefault="00E51CDD" w:rsidP="00E51CDD">
      <w:pPr>
        <w:widowControl w:val="0"/>
        <w:jc w:val="both"/>
        <w:rPr>
          <w:lang w:val="en-GB"/>
        </w:rPr>
      </w:pPr>
      <w:bookmarkStart w:id="828" w:name="_Toc412644023"/>
      <w:bookmarkStart w:id="829" w:name="_Toc413916867"/>
      <w:bookmarkStart w:id="830" w:name="_Toc413917009"/>
      <w:bookmarkStart w:id="831" w:name="_Toc413922070"/>
      <w:bookmarkStart w:id="832" w:name="_Toc413922559"/>
      <w:bookmarkStart w:id="833" w:name="_Toc413922663"/>
      <w:bookmarkStart w:id="834" w:name="_Toc414955300"/>
      <w:bookmarkStart w:id="835" w:name="_Toc415214607"/>
      <w:r w:rsidRPr="00E51CDD">
        <w:rPr>
          <w:lang w:val="en-GB"/>
        </w:rPr>
        <w:t>The evaluation of the risk for earthworms and other non-target soil organisms (meso- and macrofauna) was performed in accordance with the recommendations of the “Guidance Document on Terrestrial Ecotoxicology”, as provided by the Commission Services (SANCO/10329/2002 rev 2 (final), October 17, 2002).</w:t>
      </w:r>
    </w:p>
    <w:p w14:paraId="6FEB7733" w14:textId="77777777" w:rsidR="00E51CDD" w:rsidRPr="00E51CDD" w:rsidRDefault="00E51CDD" w:rsidP="00E51CDD">
      <w:pPr>
        <w:widowControl w:val="0"/>
        <w:jc w:val="both"/>
        <w:rPr>
          <w:rFonts w:eastAsia="PMingLiU"/>
        </w:rPr>
      </w:pPr>
    </w:p>
    <w:p w14:paraId="3748D551" w14:textId="77777777" w:rsidR="00E51CDD" w:rsidRPr="00E51CDD" w:rsidRDefault="00E51CDD" w:rsidP="00E51CDD">
      <w:pPr>
        <w:widowControl w:val="0"/>
        <w:jc w:val="both"/>
      </w:pPr>
      <w:r w:rsidRPr="00E51CDD">
        <w:rPr>
          <w:rFonts w:eastAsia="PMingLiU"/>
        </w:rPr>
        <w:t>For substances with a log P</w:t>
      </w:r>
      <w:r w:rsidRPr="00E51CDD">
        <w:rPr>
          <w:rFonts w:eastAsia="PMingLiU"/>
          <w:vertAlign w:val="subscript"/>
        </w:rPr>
        <w:t>ow</w:t>
      </w:r>
      <w:r w:rsidRPr="00E51CDD">
        <w:rPr>
          <w:rFonts w:eastAsia="PMingLiU"/>
        </w:rPr>
        <w:t xml:space="preserve"> &gt; 2 an endpoint correction by a soil factor of 2 (f</w:t>
      </w:r>
      <w:r w:rsidRPr="00E51CDD">
        <w:rPr>
          <w:rFonts w:eastAsia="PMingLiU"/>
          <w:vertAlign w:val="subscript"/>
        </w:rPr>
        <w:t>oc</w:t>
      </w:r>
      <w:r w:rsidRPr="00E51CDD">
        <w:rPr>
          <w:rFonts w:eastAsia="PMingLiU"/>
        </w:rPr>
        <w:t xml:space="preserve">) must be considered. </w:t>
      </w:r>
      <w:r w:rsidRPr="00E51CDD">
        <w:rPr>
          <w:rFonts w:eastAsia="PMingLiU"/>
          <w:lang w:val="en-GB"/>
        </w:rPr>
        <w:t>The log P</w:t>
      </w:r>
      <w:r w:rsidRPr="00E51CDD">
        <w:rPr>
          <w:rFonts w:eastAsia="PMingLiU"/>
          <w:vertAlign w:val="subscript"/>
          <w:lang w:val="en-GB"/>
        </w:rPr>
        <w:t>ow</w:t>
      </w:r>
      <w:r w:rsidRPr="00E51CDD">
        <w:rPr>
          <w:rFonts w:eastAsia="PMingLiU"/>
          <w:lang w:val="en-GB"/>
        </w:rPr>
        <w:t xml:space="preserve"> values of the fluxapyroxad metabolites </w:t>
      </w:r>
      <w:r w:rsidRPr="00E51CDD">
        <w:rPr>
          <w:rFonts w:eastAsia="PMingLiU"/>
        </w:rPr>
        <w:t xml:space="preserve">M700F001 and </w:t>
      </w:r>
      <w:r w:rsidRPr="00E51CDD">
        <w:t xml:space="preserve">M700F002 and the </w:t>
      </w:r>
      <w:r w:rsidRPr="00E51CDD">
        <w:rPr>
          <w:rFonts w:eastAsia="PMingLiU"/>
          <w:lang w:val="en-GB"/>
        </w:rPr>
        <w:t xml:space="preserve">azoxystrobin metabolites R234886, </w:t>
      </w:r>
      <w:r w:rsidRPr="00E51CDD">
        <w:t xml:space="preserve">R402173 and R401553 </w:t>
      </w:r>
      <w:r w:rsidRPr="00E51CDD">
        <w:rPr>
          <w:rFonts w:eastAsia="PMingLiU"/>
          <w:lang w:val="en-GB"/>
        </w:rPr>
        <w:t>are &lt; 2. Therefore, the endpoints are not corrected. The endpoints of the active substances fluxapyroxad and azoxystrobin were corrected (10% peat content), due to a log P</w:t>
      </w:r>
      <w:r w:rsidRPr="00E51CDD">
        <w:rPr>
          <w:rFonts w:eastAsia="PMingLiU"/>
          <w:vertAlign w:val="subscript"/>
          <w:lang w:val="en-GB"/>
        </w:rPr>
        <w:t>ow</w:t>
      </w:r>
      <w:r w:rsidRPr="00E51CDD">
        <w:rPr>
          <w:rFonts w:eastAsia="PMingLiU"/>
          <w:lang w:val="en-GB"/>
        </w:rPr>
        <w:t xml:space="preserve"> &gt; 2. </w:t>
      </w:r>
      <w:r w:rsidRPr="00E51CDD">
        <w:rPr>
          <w:rFonts w:eastAsia="PMingLiU"/>
        </w:rPr>
        <w:t>T</w:t>
      </w:r>
      <w:r w:rsidRPr="00E51CDD">
        <w:t>he EPPO earthworm scheme 2002 recommends an endpoint correction for earthworm studies with 10% peat content only. According to EPPO there is no need to correct endpoints derived from studies conducted with 5% peat. It should be noted that EFSA proposed an endpoint correction for 5% peat studies in its technical report on the outcome of the pesticides peer review meeting on general recurring issues in ecotoxicology (EFSA supporting publication 2015: EN 924. 62 pp.). However, this correction is not justified by specific data and is not adopted by all member states. Therefore, corrected and uncorrected values are given in the following risk assessment and the conclusion is based on endpoints which are in line with the EPPO earthworm scheme 2002.</w:t>
      </w:r>
    </w:p>
    <w:p w14:paraId="002C4C96" w14:textId="77777777" w:rsidR="00E51CDD" w:rsidRPr="00E51CDD" w:rsidRDefault="00E51CDD" w:rsidP="00E51CDD">
      <w:pPr>
        <w:widowControl w:val="0"/>
        <w:jc w:val="both"/>
        <w:rPr>
          <w:rFonts w:eastAsia="PMingLiU"/>
        </w:rPr>
      </w:pPr>
    </w:p>
    <w:p w14:paraId="3E82C6E5" w14:textId="77777777" w:rsidR="00E51CDD" w:rsidRPr="00E51CDD" w:rsidRDefault="00E51CDD" w:rsidP="00B31542">
      <w:pPr>
        <w:pStyle w:val="Nagwek4"/>
      </w:pPr>
      <w:bookmarkStart w:id="836" w:name="_Toc125446449"/>
      <w:r w:rsidRPr="00E51CDD">
        <w:t>First-tier risk assessment</w:t>
      </w:r>
      <w:bookmarkEnd w:id="828"/>
      <w:bookmarkEnd w:id="829"/>
      <w:bookmarkEnd w:id="830"/>
      <w:bookmarkEnd w:id="831"/>
      <w:bookmarkEnd w:id="832"/>
      <w:bookmarkEnd w:id="833"/>
      <w:bookmarkEnd w:id="834"/>
      <w:bookmarkEnd w:id="835"/>
      <w:bookmarkEnd w:id="836"/>
    </w:p>
    <w:p w14:paraId="3A152612" w14:textId="6006581A" w:rsidR="00E51CDD" w:rsidRPr="00E51CDD" w:rsidRDefault="00E51CDD" w:rsidP="00737850">
      <w:pPr>
        <w:widowControl w:val="0"/>
        <w:jc w:val="both"/>
        <w:rPr>
          <w:lang w:val="en-GB"/>
        </w:rPr>
      </w:pPr>
      <w:bookmarkStart w:id="837" w:name="_Toc412644024"/>
      <w:bookmarkStart w:id="838" w:name="_Toc413916868"/>
      <w:bookmarkStart w:id="839" w:name="_Toc413917010"/>
      <w:bookmarkStart w:id="840" w:name="_Toc413922071"/>
      <w:bookmarkStart w:id="841" w:name="_Toc413922560"/>
      <w:bookmarkStart w:id="842" w:name="_Toc413922664"/>
      <w:bookmarkStart w:id="843" w:name="_Toc414955301"/>
      <w:bookmarkStart w:id="844" w:name="_Toc415214608"/>
      <w:r w:rsidRPr="00E51CDD">
        <w:rPr>
          <w:lang w:val="en-GB"/>
        </w:rPr>
        <w:t>The relevant predicted environmental concentrations in soil (PEC</w:t>
      </w:r>
      <w:r w:rsidRPr="00E51CDD">
        <w:rPr>
          <w:vertAlign w:val="subscript"/>
          <w:lang w:val="en-GB"/>
        </w:rPr>
        <w:t>soil</w:t>
      </w:r>
      <w:r w:rsidRPr="00E51CDD">
        <w:rPr>
          <w:lang w:val="en-GB"/>
        </w:rPr>
        <w:t xml:space="preserve">) for risk assessments covering the proposed use pattern are taken from Part B Section 8 (Environmental Fate), Chapter 8.7.2. According to the assessment of environmental-fate data, multi-annual accumulation in soil does not need to be considered for </w:t>
      </w:r>
      <w:r w:rsidRPr="00E51CDD">
        <w:rPr>
          <w:lang w:val="en-GB" w:eastAsia="en-US"/>
        </w:rPr>
        <w:t>the relevant metabolite</w:t>
      </w:r>
      <w:r w:rsidR="00737850">
        <w:rPr>
          <w:lang w:val="en-GB" w:eastAsia="en-US"/>
        </w:rPr>
        <w:t>s</w:t>
      </w:r>
      <w:r w:rsidRPr="00E51CDD">
        <w:rPr>
          <w:lang w:val="en-GB" w:eastAsia="en-US"/>
        </w:rPr>
        <w:t xml:space="preserve"> </w:t>
      </w:r>
      <w:r w:rsidRPr="00E51CDD">
        <w:rPr>
          <w:lang w:val="en-GB"/>
        </w:rPr>
        <w:t>R234886</w:t>
      </w:r>
      <w:r w:rsidR="00737850">
        <w:rPr>
          <w:lang w:val="en-GB"/>
        </w:rPr>
        <w:t xml:space="preserve">, </w:t>
      </w:r>
      <w:r w:rsidR="00737850" w:rsidRPr="00737850">
        <w:rPr>
          <w:lang w:val="en-GB"/>
        </w:rPr>
        <w:t>R402173</w:t>
      </w:r>
      <w:r w:rsidR="00737850">
        <w:rPr>
          <w:lang w:val="en-GB"/>
        </w:rPr>
        <w:t xml:space="preserve"> and </w:t>
      </w:r>
      <w:r w:rsidR="00737850" w:rsidRPr="00737850">
        <w:rPr>
          <w:lang w:val="en-GB"/>
        </w:rPr>
        <w:t>R401553</w:t>
      </w:r>
      <w:r w:rsidRPr="00E51CDD">
        <w:rPr>
          <w:rFonts w:eastAsia="PMingLiU"/>
          <w:lang w:val="en-GB"/>
        </w:rPr>
        <w:t xml:space="preserve"> </w:t>
      </w:r>
      <w:r w:rsidRPr="00E51CDD">
        <w:rPr>
          <w:lang w:val="en-GB" w:eastAsia="en-US"/>
        </w:rPr>
        <w:t>of a</w:t>
      </w:r>
      <w:r w:rsidRPr="00E51CDD">
        <w:rPr>
          <w:lang w:val="en-GB"/>
        </w:rPr>
        <w:t xml:space="preserve">zoxystrobin. In contrast, multi-annual accumulation needs to be considered for the active substance azoxystrobin and </w:t>
      </w:r>
      <w:r w:rsidRPr="00E51CDD">
        <w:rPr>
          <w:rFonts w:eastAsia="PMingLiU"/>
          <w:lang w:val="en-GB"/>
        </w:rPr>
        <w:t xml:space="preserve">fluxapyroxad as well as for the fluxapyroxad metabolites M700F001 and </w:t>
      </w:r>
      <w:r w:rsidRPr="00E51CDD">
        <w:rPr>
          <w:lang w:val="en-GB"/>
        </w:rPr>
        <w:t>M700F002.</w:t>
      </w:r>
    </w:p>
    <w:p w14:paraId="58625176" w14:textId="77777777" w:rsidR="00E51CDD" w:rsidRPr="00E51CDD" w:rsidRDefault="00E51CDD" w:rsidP="00E51CDD">
      <w:pPr>
        <w:widowControl w:val="0"/>
        <w:jc w:val="both"/>
        <w:rPr>
          <w:lang w:val="en-GB"/>
        </w:rPr>
      </w:pPr>
    </w:p>
    <w:p w14:paraId="4EDBFC4D" w14:textId="3629C70D" w:rsidR="00E51CDD" w:rsidRPr="00E51CDD" w:rsidRDefault="00E51CDD" w:rsidP="00E51CDD">
      <w:pPr>
        <w:widowControl w:val="0"/>
        <w:tabs>
          <w:tab w:val="left" w:pos="720"/>
        </w:tabs>
        <w:spacing w:line="280" w:lineRule="exact"/>
        <w:jc w:val="both"/>
        <w:rPr>
          <w:lang w:eastAsia="en-US"/>
        </w:rPr>
      </w:pPr>
      <w:r w:rsidRPr="00E51CDD">
        <w:rPr>
          <w:lang w:val="en-GB" w:eastAsia="en-US"/>
        </w:rPr>
        <w:t xml:space="preserve">The potential risk of BAS 736 00 F, </w:t>
      </w:r>
      <w:r w:rsidRPr="00E51CDD">
        <w:rPr>
          <w:lang w:eastAsia="en-US"/>
        </w:rPr>
        <w:t>fluxapyroxad, azoxystrobin</w:t>
      </w:r>
      <w:r w:rsidRPr="00E51CDD">
        <w:rPr>
          <w:lang w:val="en-GB" w:eastAsia="en-US"/>
        </w:rPr>
        <w:t xml:space="preserve"> and their relevant metabolites to earthworms and other non-target soil macro-organisms was assessed by comparing the maximum PEC</w:t>
      </w:r>
      <w:r w:rsidRPr="00E51CDD">
        <w:rPr>
          <w:vertAlign w:val="subscript"/>
          <w:lang w:val="en-GB" w:eastAsia="en-US"/>
        </w:rPr>
        <w:t>soil</w:t>
      </w:r>
      <w:r w:rsidRPr="00E51CDD">
        <w:rPr>
          <w:lang w:val="en-GB" w:eastAsia="en-US"/>
        </w:rPr>
        <w:t xml:space="preserve"> values with NOEC or EC</w:t>
      </w:r>
      <w:r w:rsidRPr="00E51CDD">
        <w:rPr>
          <w:vertAlign w:val="subscript"/>
          <w:lang w:val="en-GB" w:eastAsia="en-US"/>
        </w:rPr>
        <w:t>10</w:t>
      </w:r>
      <w:r w:rsidRPr="00E51CDD">
        <w:rPr>
          <w:lang w:val="en-GB" w:eastAsia="en-US"/>
        </w:rPr>
        <w:t xml:space="preserve"> values, to generate long-term TER values </w:t>
      </w:r>
      <w:r w:rsidRPr="00E51CDD">
        <w:rPr>
          <w:lang w:eastAsia="en-US"/>
        </w:rPr>
        <w:t>(</w:t>
      </w:r>
      <w:r w:rsidRPr="00E51CDD">
        <w:rPr>
          <w:lang w:val="en-GB" w:eastAsia="en-US"/>
        </w:rPr>
        <w:t>TER</w:t>
      </w:r>
      <w:r w:rsidRPr="00E51CDD">
        <w:rPr>
          <w:vertAlign w:val="subscript"/>
          <w:lang w:val="en-GB" w:eastAsia="en-US"/>
        </w:rPr>
        <w:t>l</w:t>
      </w:r>
      <w:r w:rsidRPr="00E51CDD">
        <w:rPr>
          <w:vertAlign w:val="subscript"/>
          <w:lang w:eastAsia="en-US"/>
        </w:rPr>
        <w:t>t</w:t>
      </w:r>
      <w:r w:rsidRPr="00E51CDD">
        <w:rPr>
          <w:lang w:eastAsia="en-US"/>
        </w:rPr>
        <w:t xml:space="preserve">, </w:t>
      </w:r>
      <w:r w:rsidRPr="00E51CDD">
        <w:rPr>
          <w:lang w:eastAsia="en-US"/>
        </w:rPr>
        <w:fldChar w:fldCharType="begin"/>
      </w:r>
      <w:r w:rsidRPr="00E51CDD">
        <w:rPr>
          <w:lang w:eastAsia="en-US"/>
        </w:rPr>
        <w:instrText xml:space="preserve"> REF _Ref82776987 \h  \* MERGEFORMAT </w:instrText>
      </w:r>
      <w:r w:rsidRPr="00E51CDD">
        <w:rPr>
          <w:lang w:eastAsia="en-US"/>
        </w:rPr>
      </w:r>
      <w:r w:rsidRPr="00E51CDD">
        <w:rPr>
          <w:lang w:eastAsia="en-US"/>
        </w:rPr>
        <w:fldChar w:fldCharType="separate"/>
      </w:r>
      <w:r w:rsidR="00662F32" w:rsidRPr="00662F32">
        <w:rPr>
          <w:color w:val="000000"/>
          <w:lang w:val="en-GB" w:eastAsia="en-US"/>
        </w:rPr>
        <w:t xml:space="preserve">Table </w:t>
      </w:r>
      <w:r w:rsidR="00662F32" w:rsidRPr="00662F32">
        <w:rPr>
          <w:noProof/>
          <w:color w:val="000000"/>
          <w:lang w:val="en-GB" w:eastAsia="en-US"/>
        </w:rPr>
        <w:t>9.8</w:t>
      </w:r>
      <w:r w:rsidR="00662F32" w:rsidRPr="00662F32">
        <w:rPr>
          <w:noProof/>
          <w:color w:val="000000"/>
          <w:lang w:val="en-GB" w:eastAsia="en-US"/>
        </w:rPr>
        <w:noBreakHyphen/>
        <w:t>4</w:t>
      </w:r>
      <w:r w:rsidRPr="00E51CDD">
        <w:rPr>
          <w:lang w:eastAsia="en-US"/>
        </w:rPr>
        <w:fldChar w:fldCharType="end"/>
      </w:r>
      <w:r w:rsidRPr="00E51CDD">
        <w:rPr>
          <w:lang w:eastAsia="en-US"/>
        </w:rPr>
        <w:t xml:space="preserve"> to </w:t>
      </w:r>
      <w:r w:rsidRPr="00E51CDD">
        <w:rPr>
          <w:lang w:eastAsia="en-US"/>
        </w:rPr>
        <w:fldChar w:fldCharType="begin"/>
      </w:r>
      <w:r w:rsidRPr="00E51CDD">
        <w:rPr>
          <w:lang w:eastAsia="en-US"/>
        </w:rPr>
        <w:instrText xml:space="preserve"> REF _Ref5000481 \h  \* MERGEFORMAT </w:instrText>
      </w:r>
      <w:r w:rsidRPr="00E51CDD">
        <w:rPr>
          <w:lang w:eastAsia="en-US"/>
        </w:rPr>
      </w:r>
      <w:r w:rsidRPr="00E51CDD">
        <w:rPr>
          <w:lang w:eastAsia="en-US"/>
        </w:rPr>
        <w:fldChar w:fldCharType="separate"/>
      </w:r>
      <w:r w:rsidR="00662F32" w:rsidRPr="00662F32">
        <w:rPr>
          <w:lang w:val="en-GB" w:eastAsia="en-US"/>
        </w:rPr>
        <w:t xml:space="preserve">Table </w:t>
      </w:r>
      <w:r w:rsidR="00662F32" w:rsidRPr="00662F32">
        <w:rPr>
          <w:noProof/>
          <w:lang w:val="en-GB" w:eastAsia="en-US"/>
        </w:rPr>
        <w:t>9.8</w:t>
      </w:r>
      <w:r w:rsidR="00662F32" w:rsidRPr="00662F32">
        <w:rPr>
          <w:noProof/>
          <w:lang w:val="en-GB" w:eastAsia="en-US"/>
        </w:rPr>
        <w:noBreakHyphen/>
        <w:t>6</w:t>
      </w:r>
      <w:r w:rsidRPr="00E51CDD">
        <w:rPr>
          <w:lang w:eastAsia="en-US"/>
        </w:rPr>
        <w:fldChar w:fldCharType="end"/>
      </w:r>
      <w:r w:rsidRPr="00E51CDD">
        <w:rPr>
          <w:lang w:eastAsia="en-US"/>
        </w:rPr>
        <w:t>).</w:t>
      </w:r>
    </w:p>
    <w:p w14:paraId="686AE70B" w14:textId="77777777" w:rsidR="00E51CDD" w:rsidRPr="00E51CDD" w:rsidRDefault="00E51CDD" w:rsidP="00E51CDD">
      <w:pPr>
        <w:widowControl w:val="0"/>
        <w:rPr>
          <w:lang w:eastAsia="en-US"/>
        </w:rPr>
      </w:pPr>
    </w:p>
    <w:p w14:paraId="682E7F5D" w14:textId="77777777" w:rsidR="00E51CDD" w:rsidRPr="00E51CDD" w:rsidRDefault="00E51CDD" w:rsidP="00E51CDD">
      <w:pPr>
        <w:widowControl w:val="0"/>
        <w:rPr>
          <w:lang w:eastAsia="en-US"/>
        </w:rPr>
      </w:pPr>
      <w:r w:rsidRPr="00E51CDD">
        <w:rPr>
          <w:lang w:eastAsia="en-US"/>
        </w:rPr>
        <w:t>The TER was calculated as follows:</w:t>
      </w:r>
    </w:p>
    <w:p w14:paraId="5AD901FA" w14:textId="77777777" w:rsidR="00E51CDD" w:rsidRPr="00E51CDD" w:rsidRDefault="00E51CDD" w:rsidP="00E51CDD">
      <w:pPr>
        <w:widowControl w:val="0"/>
        <w:rPr>
          <w:lang w:eastAsia="en-US"/>
        </w:rPr>
      </w:pPr>
    </w:p>
    <w:p w14:paraId="522DC2F0" w14:textId="77777777" w:rsidR="00E51CDD" w:rsidRPr="00E51CDD" w:rsidRDefault="00E51CDD" w:rsidP="00E51CDD">
      <w:pPr>
        <w:widowControl w:val="0"/>
        <w:rPr>
          <w:lang w:eastAsia="en-US"/>
        </w:rPr>
      </w:pPr>
    </w:p>
    <w:p w14:paraId="409C5957" w14:textId="77777777" w:rsidR="00E51CDD" w:rsidRPr="00E51CDD" w:rsidRDefault="00E51CDD" w:rsidP="00E51CDD">
      <w:pPr>
        <w:keepNext/>
        <w:keepLines/>
        <w:widowControl w:val="0"/>
        <w:tabs>
          <w:tab w:val="left" w:pos="0"/>
        </w:tabs>
        <w:spacing w:before="200" w:after="120"/>
        <w:jc w:val="center"/>
        <w:rPr>
          <w:lang w:val="en-GB" w:eastAsia="en-US"/>
        </w:rPr>
      </w:pPr>
      <w:bookmarkStart w:id="845" w:name="_Hlk8641778"/>
      <m:oMathPara>
        <m:oMath>
          <m:r>
            <m:rPr>
              <m:sty m:val="b"/>
            </m:rPr>
            <w:rPr>
              <w:rFonts w:ascii="Cambria Math" w:hAnsi="Cambria Math"/>
              <w:sz w:val="24"/>
              <w:lang w:val="en-GB" w:eastAsia="en-US"/>
            </w:rPr>
            <m:t xml:space="preserve">TER= </m:t>
          </m:r>
          <m:f>
            <m:fPr>
              <m:ctrlPr>
                <w:rPr>
                  <w:rFonts w:ascii="Cambria Math" w:hAnsi="Cambria Math"/>
                  <w:sz w:val="24"/>
                  <w:lang w:val="en-GB" w:eastAsia="en-US"/>
                </w:rPr>
              </m:ctrlPr>
            </m:fPr>
            <m:num>
              <m:r>
                <m:rPr>
                  <m:sty m:val="b"/>
                </m:rPr>
                <w:rPr>
                  <w:rFonts w:ascii="Cambria Math" w:hAnsi="Cambria Math"/>
                  <w:sz w:val="24"/>
                  <w:lang w:val="en-GB" w:eastAsia="en-US"/>
                </w:rPr>
                <m:t xml:space="preserve">Endpoint </m:t>
              </m:r>
              <m:d>
                <m:dPr>
                  <m:begChr m:val="["/>
                  <m:endChr m:val="]"/>
                  <m:ctrlPr>
                    <w:rPr>
                      <w:rFonts w:ascii="Cambria Math" w:hAnsi="Cambria Math"/>
                      <w:sz w:val="24"/>
                      <w:lang w:val="en-GB" w:eastAsia="en-US"/>
                    </w:rPr>
                  </m:ctrlPr>
                </m:dPr>
                <m:e>
                  <m:f>
                    <m:fPr>
                      <m:type m:val="lin"/>
                      <m:ctrlPr>
                        <w:rPr>
                          <w:rFonts w:ascii="Cambria Math" w:hAnsi="Cambria Math"/>
                          <w:sz w:val="24"/>
                          <w:lang w:val="en-GB" w:eastAsia="en-US"/>
                        </w:rPr>
                      </m:ctrlPr>
                    </m:fPr>
                    <m:num>
                      <m:r>
                        <m:rPr>
                          <m:sty m:val="b"/>
                        </m:rPr>
                        <w:rPr>
                          <w:rFonts w:ascii="Cambria Math" w:hAnsi="Cambria Math"/>
                          <w:sz w:val="24"/>
                          <w:lang w:val="en-GB" w:eastAsia="en-US"/>
                        </w:rPr>
                        <m:t>mg</m:t>
                      </m:r>
                    </m:num>
                    <m:den>
                      <m:r>
                        <m:rPr>
                          <m:sty m:val="b"/>
                        </m:rPr>
                        <w:rPr>
                          <w:rFonts w:ascii="Cambria Math" w:hAnsi="Cambria Math"/>
                          <w:sz w:val="24"/>
                          <w:lang w:val="en-GB" w:eastAsia="en-US"/>
                        </w:rPr>
                        <m:t>kg dry soil</m:t>
                      </m:r>
                    </m:den>
                  </m:f>
                </m:e>
              </m:d>
            </m:num>
            <m:den>
              <m:sSub>
                <m:sSubPr>
                  <m:ctrlPr>
                    <w:rPr>
                      <w:rFonts w:ascii="Cambria Math" w:hAnsi="Cambria Math"/>
                      <w:sz w:val="24"/>
                      <w:lang w:val="en-GB" w:eastAsia="en-US"/>
                    </w:rPr>
                  </m:ctrlPr>
                </m:sSubPr>
                <m:e>
                  <m:r>
                    <m:rPr>
                      <m:sty m:val="b"/>
                    </m:rPr>
                    <w:rPr>
                      <w:rFonts w:ascii="Cambria Math" w:hAnsi="Cambria Math"/>
                      <w:sz w:val="24"/>
                      <w:lang w:val="en-GB" w:eastAsia="en-US"/>
                    </w:rPr>
                    <m:t>PEC</m:t>
                  </m:r>
                </m:e>
                <m:sub>
                  <m:r>
                    <m:rPr>
                      <m:sty m:val="b"/>
                    </m:rPr>
                    <w:rPr>
                      <w:rFonts w:ascii="Cambria Math" w:hAnsi="Cambria Math"/>
                      <w:sz w:val="24"/>
                      <w:lang w:val="en-GB" w:eastAsia="en-US"/>
                    </w:rPr>
                    <m:t>soil</m:t>
                  </m:r>
                </m:sub>
              </m:sSub>
              <m:r>
                <m:rPr>
                  <m:sty m:val="b"/>
                </m:rPr>
                <w:rPr>
                  <w:rFonts w:ascii="Cambria Math" w:hAnsi="Cambria Math"/>
                  <w:sz w:val="24"/>
                  <w:lang w:val="en-GB" w:eastAsia="en-US"/>
                </w:rPr>
                <m:t xml:space="preserve"> </m:t>
              </m:r>
              <m:d>
                <m:dPr>
                  <m:begChr m:val="["/>
                  <m:endChr m:val="]"/>
                  <m:ctrlPr>
                    <w:rPr>
                      <w:rFonts w:ascii="Cambria Math" w:hAnsi="Cambria Math"/>
                      <w:sz w:val="24"/>
                      <w:lang w:val="en-GB" w:eastAsia="en-US"/>
                    </w:rPr>
                  </m:ctrlPr>
                </m:dPr>
                <m:e>
                  <m:f>
                    <m:fPr>
                      <m:type m:val="lin"/>
                      <m:ctrlPr>
                        <w:rPr>
                          <w:rFonts w:ascii="Cambria Math" w:hAnsi="Cambria Math"/>
                          <w:sz w:val="24"/>
                          <w:lang w:val="en-GB" w:eastAsia="en-US"/>
                        </w:rPr>
                      </m:ctrlPr>
                    </m:fPr>
                    <m:num>
                      <m:r>
                        <m:rPr>
                          <m:sty m:val="b"/>
                        </m:rPr>
                        <w:rPr>
                          <w:rFonts w:ascii="Cambria Math" w:hAnsi="Cambria Math"/>
                          <w:sz w:val="24"/>
                          <w:lang w:val="en-GB" w:eastAsia="en-US"/>
                        </w:rPr>
                        <m:t>mg</m:t>
                      </m:r>
                    </m:num>
                    <m:den>
                      <m:r>
                        <m:rPr>
                          <m:sty m:val="b"/>
                        </m:rPr>
                        <w:rPr>
                          <w:rFonts w:ascii="Cambria Math" w:hAnsi="Cambria Math"/>
                          <w:sz w:val="24"/>
                          <w:lang w:val="en-GB" w:eastAsia="en-US"/>
                        </w:rPr>
                        <m:t>kg dry soil</m:t>
                      </m:r>
                    </m:den>
                  </m:f>
                </m:e>
              </m:d>
            </m:den>
          </m:f>
        </m:oMath>
      </m:oMathPara>
      <w:bookmarkEnd w:id="845"/>
    </w:p>
    <w:p w14:paraId="491C2483" w14:textId="77777777" w:rsidR="00E51CDD" w:rsidRPr="00E51CDD" w:rsidRDefault="00E51CDD" w:rsidP="00E51CDD">
      <w:pPr>
        <w:widowControl w:val="0"/>
        <w:jc w:val="both"/>
        <w:rPr>
          <w:lang w:val="en-GB" w:eastAsia="en-US"/>
        </w:rPr>
      </w:pPr>
    </w:p>
    <w:p w14:paraId="57B1A17C" w14:textId="77777777" w:rsidR="00E51CDD" w:rsidRPr="00E51CDD" w:rsidRDefault="00E51CDD" w:rsidP="00E51CDD">
      <w:pPr>
        <w:widowControl w:val="0"/>
        <w:jc w:val="both"/>
        <w:rPr>
          <w:lang w:val="en-GB" w:eastAsia="en-US"/>
        </w:rPr>
      </w:pPr>
      <w:r w:rsidRPr="00E51CDD">
        <w:rPr>
          <w:lang w:val="en-GB" w:eastAsia="en-US"/>
        </w:rPr>
        <w:br w:type="page"/>
      </w:r>
    </w:p>
    <w:p w14:paraId="548D0177" w14:textId="1EA9E879" w:rsidR="00E51CDD" w:rsidRPr="00E51CDD" w:rsidRDefault="00E51CDD" w:rsidP="00E51CDD">
      <w:pPr>
        <w:tabs>
          <w:tab w:val="left" w:pos="1984"/>
        </w:tabs>
        <w:spacing w:after="120" w:line="280" w:lineRule="exact"/>
        <w:ind w:left="1985" w:hanging="1985"/>
        <w:jc w:val="both"/>
      </w:pPr>
      <w:bookmarkStart w:id="846" w:name="_Ref82776987"/>
      <w:r w:rsidRPr="00E51CDD">
        <w:rPr>
          <w:b/>
          <w:lang w:val="en-GB" w:eastAsia="en-US"/>
        </w:rPr>
        <w:lastRenderedPageBreak/>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9.8</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4</w:t>
      </w:r>
      <w:r w:rsidRPr="00E51CDD">
        <w:rPr>
          <w:b/>
          <w:lang w:val="en-GB" w:eastAsia="en-US"/>
        </w:rPr>
        <w:fldChar w:fldCharType="end"/>
      </w:r>
      <w:bookmarkEnd w:id="846"/>
      <w:r w:rsidRPr="00E51CDD">
        <w:rPr>
          <w:b/>
          <w:lang w:val="en-GB" w:eastAsia="en-US"/>
        </w:rPr>
        <w:t>:</w:t>
      </w:r>
      <w:r w:rsidRPr="00E51CDD">
        <w:rPr>
          <w:b/>
          <w:lang w:val="en-GB" w:eastAsia="en-US"/>
        </w:rPr>
        <w:tab/>
      </w:r>
      <w:r w:rsidRPr="00E51CDD">
        <w:rPr>
          <w:b/>
        </w:rPr>
        <w:t>First-tier assessment of the chronic risk for earthworms and other non-target soil organisms (meso- and macrofauna) due to the use of fluxapyroxad as contained in BAS 736 00 F according to the proposed use pattern</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200"/>
        <w:gridCol w:w="2200"/>
        <w:gridCol w:w="2198"/>
      </w:tblGrid>
      <w:tr w:rsidR="00E51CDD" w:rsidRPr="00E51CDD" w14:paraId="5B2A696E" w14:textId="77777777" w:rsidTr="009938D9">
        <w:trPr>
          <w:cantSplit/>
        </w:trPr>
        <w:tc>
          <w:tcPr>
            <w:tcW w:w="1470" w:type="pct"/>
            <w:tcBorders>
              <w:top w:val="single" w:sz="4" w:space="0" w:color="auto"/>
              <w:bottom w:val="single" w:sz="4" w:space="0" w:color="auto"/>
            </w:tcBorders>
          </w:tcPr>
          <w:p w14:paraId="407E0FE4" w14:textId="77777777" w:rsidR="00E51CDD" w:rsidRPr="00E51CDD" w:rsidRDefault="00E51CDD" w:rsidP="00E51CDD">
            <w:pPr>
              <w:widowControl w:val="0"/>
              <w:rPr>
                <w:b/>
                <w:bCs/>
                <w:sz w:val="20"/>
                <w:szCs w:val="20"/>
                <w:lang w:val="en-GB"/>
              </w:rPr>
            </w:pPr>
            <w:r w:rsidRPr="00E51CDD">
              <w:rPr>
                <w:b/>
                <w:bCs/>
                <w:sz w:val="20"/>
                <w:szCs w:val="20"/>
                <w:lang w:val="en-GB"/>
              </w:rPr>
              <w:t>Intended use</w:t>
            </w:r>
          </w:p>
        </w:tc>
        <w:tc>
          <w:tcPr>
            <w:tcW w:w="3530" w:type="pct"/>
            <w:gridSpan w:val="3"/>
            <w:tcBorders>
              <w:top w:val="single" w:sz="4" w:space="0" w:color="auto"/>
              <w:bottom w:val="single" w:sz="4" w:space="0" w:color="auto"/>
            </w:tcBorders>
          </w:tcPr>
          <w:p w14:paraId="3F34799E" w14:textId="77777777" w:rsidR="00E51CDD" w:rsidRPr="00E51CDD" w:rsidRDefault="00E51CDD" w:rsidP="00E51CDD">
            <w:pPr>
              <w:widowControl w:val="0"/>
              <w:rPr>
                <w:noProof/>
                <w:sz w:val="20"/>
                <w:szCs w:val="20"/>
                <w:lang w:val="en-GB"/>
              </w:rPr>
            </w:pPr>
            <w:r w:rsidRPr="00E51CDD">
              <w:rPr>
                <w:noProof/>
                <w:sz w:val="20"/>
                <w:szCs w:val="20"/>
                <w:lang w:val="en-GB"/>
              </w:rPr>
              <w:t xml:space="preserve">2 x 100 g </w:t>
            </w:r>
            <w:r w:rsidRPr="00E51CDD">
              <w:rPr>
                <w:noProof/>
                <w:sz w:val="20"/>
                <w:szCs w:val="20"/>
              </w:rPr>
              <w:t>fluxapyroxad</w:t>
            </w:r>
            <w:r w:rsidRPr="00E51CDD">
              <w:rPr>
                <w:noProof/>
                <w:sz w:val="20"/>
                <w:szCs w:val="20"/>
                <w:lang w:val="en-GB"/>
              </w:rPr>
              <w:t>/ha in cereals</w:t>
            </w:r>
          </w:p>
        </w:tc>
      </w:tr>
      <w:tr w:rsidR="00E51CDD" w:rsidRPr="00E51CDD" w14:paraId="0B624F37" w14:textId="77777777" w:rsidTr="009938D9">
        <w:trPr>
          <w:cantSplit/>
        </w:trPr>
        <w:tc>
          <w:tcPr>
            <w:tcW w:w="5000" w:type="pct"/>
            <w:gridSpan w:val="4"/>
            <w:tcBorders>
              <w:top w:val="single" w:sz="4" w:space="0" w:color="auto"/>
            </w:tcBorders>
          </w:tcPr>
          <w:p w14:paraId="051B824C" w14:textId="77777777" w:rsidR="00E51CDD" w:rsidRPr="00E51CDD" w:rsidRDefault="00E51CDD" w:rsidP="00E51CDD">
            <w:pPr>
              <w:widowControl w:val="0"/>
              <w:rPr>
                <w:b/>
                <w:bCs/>
                <w:sz w:val="20"/>
                <w:szCs w:val="20"/>
                <w:lang w:val="en-GB"/>
              </w:rPr>
            </w:pPr>
            <w:r w:rsidRPr="00E51CDD">
              <w:rPr>
                <w:b/>
                <w:bCs/>
                <w:sz w:val="20"/>
                <w:szCs w:val="20"/>
                <w:lang w:val="en-GB"/>
              </w:rPr>
              <w:t>Chronic effects on earthworms</w:t>
            </w:r>
          </w:p>
        </w:tc>
      </w:tr>
      <w:tr w:rsidR="00E51CDD" w:rsidRPr="00E51CDD" w14:paraId="3BE4A5B6" w14:textId="77777777" w:rsidTr="009938D9">
        <w:trPr>
          <w:cantSplit/>
        </w:trPr>
        <w:tc>
          <w:tcPr>
            <w:tcW w:w="1470" w:type="pct"/>
            <w:tcBorders>
              <w:top w:val="single" w:sz="4" w:space="0" w:color="auto"/>
              <w:bottom w:val="single" w:sz="4" w:space="0" w:color="auto"/>
            </w:tcBorders>
          </w:tcPr>
          <w:p w14:paraId="5585ADE5" w14:textId="77777777" w:rsidR="00E51CDD" w:rsidRPr="00E51CDD" w:rsidRDefault="00E51CDD" w:rsidP="00E51CDD">
            <w:pPr>
              <w:widowControl w:val="0"/>
              <w:rPr>
                <w:b/>
                <w:bCs/>
                <w:sz w:val="20"/>
                <w:szCs w:val="20"/>
                <w:lang w:val="en-GB"/>
              </w:rPr>
            </w:pPr>
            <w:r w:rsidRPr="00E51CDD">
              <w:rPr>
                <w:b/>
                <w:bCs/>
                <w:sz w:val="20"/>
                <w:szCs w:val="20"/>
                <w:lang w:val="en-GB"/>
              </w:rPr>
              <w:t>Active substance/metabolite</w:t>
            </w:r>
          </w:p>
        </w:tc>
        <w:tc>
          <w:tcPr>
            <w:tcW w:w="1177" w:type="pct"/>
            <w:tcBorders>
              <w:top w:val="single" w:sz="4" w:space="0" w:color="auto"/>
              <w:bottom w:val="single" w:sz="4" w:space="0" w:color="auto"/>
            </w:tcBorders>
          </w:tcPr>
          <w:p w14:paraId="046D1DE2" w14:textId="77777777" w:rsidR="00E51CDD" w:rsidRPr="00E51CDD" w:rsidRDefault="00E51CDD" w:rsidP="00E51CDD">
            <w:pPr>
              <w:widowControl w:val="0"/>
              <w:rPr>
                <w:b/>
                <w:bCs/>
                <w:sz w:val="20"/>
                <w:szCs w:val="20"/>
                <w:lang w:val="en-GB"/>
              </w:rPr>
            </w:pPr>
            <w:r w:rsidRPr="00E51CDD">
              <w:rPr>
                <w:b/>
                <w:bCs/>
                <w:sz w:val="20"/>
                <w:szCs w:val="20"/>
                <w:lang w:val="en-GB"/>
              </w:rPr>
              <w:t xml:space="preserve">Endpoint </w:t>
            </w:r>
            <w:r w:rsidRPr="00E51CDD">
              <w:rPr>
                <w:b/>
                <w:bCs/>
                <w:sz w:val="20"/>
                <w:szCs w:val="20"/>
                <w:lang w:val="en-GB"/>
              </w:rPr>
              <w:br/>
              <w:t>(mg/kg dry soil)</w:t>
            </w:r>
          </w:p>
        </w:tc>
        <w:tc>
          <w:tcPr>
            <w:tcW w:w="1177" w:type="pct"/>
            <w:tcBorders>
              <w:top w:val="single" w:sz="4" w:space="0" w:color="auto"/>
              <w:bottom w:val="single" w:sz="4" w:space="0" w:color="auto"/>
            </w:tcBorders>
          </w:tcPr>
          <w:p w14:paraId="69202BF5" w14:textId="77777777" w:rsidR="00E51CDD" w:rsidRPr="00E51CDD" w:rsidRDefault="00E51CDD" w:rsidP="00E51CDD">
            <w:pPr>
              <w:widowControl w:val="0"/>
              <w:rPr>
                <w:b/>
                <w:bCs/>
                <w:sz w:val="20"/>
                <w:szCs w:val="20"/>
                <w:lang w:val="en-GB"/>
              </w:rPr>
            </w:pPr>
            <w:r w:rsidRPr="00E51CDD">
              <w:rPr>
                <w:b/>
                <w:bCs/>
                <w:sz w:val="20"/>
                <w:szCs w:val="20"/>
                <w:lang w:val="en-GB"/>
              </w:rPr>
              <w:t>PEC</w:t>
            </w:r>
            <w:r w:rsidRPr="00E51CDD">
              <w:rPr>
                <w:b/>
                <w:bCs/>
                <w:sz w:val="20"/>
                <w:szCs w:val="20"/>
                <w:vertAlign w:val="subscript"/>
                <w:lang w:val="en-GB"/>
              </w:rPr>
              <w:t>soil</w:t>
            </w:r>
            <w:r w:rsidRPr="00E51CDD">
              <w:rPr>
                <w:b/>
                <w:bCs/>
                <w:sz w:val="20"/>
                <w:szCs w:val="20"/>
                <w:vertAlign w:val="subscript"/>
                <w:lang w:val="en-GB"/>
              </w:rPr>
              <w:br/>
            </w:r>
            <w:r w:rsidRPr="00E51CDD">
              <w:rPr>
                <w:b/>
                <w:bCs/>
                <w:sz w:val="20"/>
                <w:szCs w:val="20"/>
                <w:lang w:val="en-GB"/>
              </w:rPr>
              <w:t>(mg/kg dry soil)</w:t>
            </w:r>
          </w:p>
        </w:tc>
        <w:tc>
          <w:tcPr>
            <w:tcW w:w="1176" w:type="pct"/>
            <w:tcBorders>
              <w:top w:val="single" w:sz="4" w:space="0" w:color="auto"/>
              <w:bottom w:val="single" w:sz="4" w:space="0" w:color="auto"/>
            </w:tcBorders>
          </w:tcPr>
          <w:p w14:paraId="12435370" w14:textId="77777777" w:rsidR="00E51CDD" w:rsidRPr="00E51CDD" w:rsidRDefault="00E51CDD" w:rsidP="00E51CDD">
            <w:pPr>
              <w:widowControl w:val="0"/>
              <w:rPr>
                <w:b/>
                <w:bCs/>
                <w:sz w:val="20"/>
                <w:szCs w:val="20"/>
                <w:lang w:val="en-GB"/>
              </w:rPr>
            </w:pPr>
            <w:r w:rsidRPr="00E51CDD">
              <w:rPr>
                <w:b/>
                <w:bCs/>
                <w:sz w:val="20"/>
                <w:szCs w:val="20"/>
                <w:lang w:val="en-GB"/>
              </w:rPr>
              <w:t>TER</w:t>
            </w:r>
            <w:r w:rsidRPr="00E51CDD">
              <w:rPr>
                <w:b/>
                <w:bCs/>
                <w:sz w:val="20"/>
                <w:szCs w:val="20"/>
                <w:vertAlign w:val="subscript"/>
                <w:lang w:val="en-GB"/>
              </w:rPr>
              <w:t>lt</w:t>
            </w:r>
            <w:r w:rsidRPr="00E51CDD">
              <w:rPr>
                <w:b/>
                <w:bCs/>
                <w:sz w:val="20"/>
                <w:szCs w:val="20"/>
                <w:vertAlign w:val="subscript"/>
                <w:lang w:val="en-GB"/>
              </w:rPr>
              <w:br/>
            </w:r>
            <w:r w:rsidRPr="00E51CDD">
              <w:rPr>
                <w:b/>
                <w:bCs/>
                <w:sz w:val="20"/>
                <w:szCs w:val="20"/>
                <w:lang w:val="en-GB"/>
              </w:rPr>
              <w:t>(criterion TER ≥ 5)</w:t>
            </w:r>
          </w:p>
        </w:tc>
      </w:tr>
      <w:tr w:rsidR="00E51CDD" w:rsidRPr="00E51CDD" w14:paraId="5F4C9C99" w14:textId="77777777" w:rsidTr="009938D9">
        <w:trPr>
          <w:cantSplit/>
        </w:trPr>
        <w:tc>
          <w:tcPr>
            <w:tcW w:w="1470" w:type="pct"/>
            <w:tcBorders>
              <w:top w:val="single" w:sz="4" w:space="0" w:color="auto"/>
              <w:bottom w:val="single" w:sz="4" w:space="0" w:color="auto"/>
            </w:tcBorders>
          </w:tcPr>
          <w:p w14:paraId="4DB60F88" w14:textId="77777777" w:rsidR="00E51CDD" w:rsidRPr="00E46AC7" w:rsidRDefault="00E51CDD" w:rsidP="00E51CDD">
            <w:pPr>
              <w:widowControl w:val="0"/>
              <w:rPr>
                <w:strike/>
                <w:noProof/>
                <w:color w:val="D9D9D9" w:themeColor="background1" w:themeShade="D9"/>
                <w:sz w:val="20"/>
                <w:szCs w:val="20"/>
                <w:lang w:val="en-GB"/>
              </w:rPr>
            </w:pPr>
            <w:r w:rsidRPr="00E46AC7">
              <w:rPr>
                <w:strike/>
                <w:noProof/>
                <w:color w:val="D9D9D9" w:themeColor="background1" w:themeShade="D9"/>
                <w:sz w:val="20"/>
                <w:szCs w:val="20"/>
                <w:lang w:val="en-GB"/>
              </w:rPr>
              <w:t>fluxapyroxad</w:t>
            </w:r>
          </w:p>
        </w:tc>
        <w:tc>
          <w:tcPr>
            <w:tcW w:w="1177" w:type="pct"/>
            <w:tcBorders>
              <w:top w:val="single" w:sz="4" w:space="0" w:color="auto"/>
              <w:bottom w:val="single" w:sz="4" w:space="0" w:color="auto"/>
            </w:tcBorders>
          </w:tcPr>
          <w:p w14:paraId="5C7EBB22" w14:textId="77777777" w:rsidR="00E51CDD" w:rsidRPr="00E46AC7" w:rsidRDefault="00E51CDD" w:rsidP="00E51CDD">
            <w:pPr>
              <w:widowControl w:val="0"/>
              <w:rPr>
                <w:b/>
                <w:bCs/>
                <w:strike/>
                <w:noProof/>
                <w:color w:val="D9D9D9" w:themeColor="background1" w:themeShade="D9"/>
                <w:sz w:val="20"/>
                <w:szCs w:val="20"/>
                <w:lang w:val="en-GB"/>
              </w:rPr>
            </w:pPr>
            <w:r w:rsidRPr="00E46AC7">
              <w:rPr>
                <w:strike/>
                <w:color w:val="D9D9D9" w:themeColor="background1" w:themeShade="D9"/>
                <w:sz w:val="20"/>
                <w:szCs w:val="20"/>
              </w:rPr>
              <w:t>NOEC</w:t>
            </w:r>
            <w:r w:rsidRPr="00E46AC7">
              <w:rPr>
                <w:strike/>
                <w:color w:val="D9D9D9" w:themeColor="background1" w:themeShade="D9"/>
                <w:sz w:val="20"/>
                <w:szCs w:val="20"/>
                <w:vertAlign w:val="subscript"/>
              </w:rPr>
              <w:t xml:space="preserve"> </w:t>
            </w:r>
            <w:r w:rsidRPr="00E46AC7">
              <w:rPr>
                <w:strike/>
                <w:color w:val="D9D9D9" w:themeColor="background1" w:themeShade="D9"/>
                <w:sz w:val="20"/>
                <w:szCs w:val="20"/>
              </w:rPr>
              <w:t xml:space="preserve">= 122 </w:t>
            </w:r>
            <w:r w:rsidRPr="00E46AC7">
              <w:rPr>
                <w:strike/>
                <w:color w:val="D9D9D9" w:themeColor="background1" w:themeShade="D9"/>
                <w:sz w:val="20"/>
                <w:szCs w:val="20"/>
              </w:rPr>
              <w:br/>
            </w:r>
            <w:r w:rsidRPr="00E46AC7">
              <w:rPr>
                <w:b/>
                <w:strike/>
                <w:color w:val="D9D9D9" w:themeColor="background1" w:themeShade="D9"/>
                <w:sz w:val="20"/>
                <w:szCs w:val="20"/>
              </w:rPr>
              <w:t>NOEC </w:t>
            </w:r>
            <w:r w:rsidRPr="00E46AC7">
              <w:rPr>
                <w:b/>
                <w:strike/>
                <w:color w:val="D9D9D9" w:themeColor="background1" w:themeShade="D9"/>
                <w:sz w:val="20"/>
                <w:szCs w:val="20"/>
                <w:vertAlign w:val="subscript"/>
              </w:rPr>
              <w:t>CORR</w:t>
            </w:r>
            <w:r w:rsidRPr="00E46AC7">
              <w:rPr>
                <w:b/>
                <w:strike/>
                <w:color w:val="D9D9D9" w:themeColor="background1" w:themeShade="D9"/>
                <w:sz w:val="20"/>
                <w:szCs w:val="20"/>
              </w:rPr>
              <w:t xml:space="preserve"> = 61</w:t>
            </w:r>
          </w:p>
        </w:tc>
        <w:tc>
          <w:tcPr>
            <w:tcW w:w="1177" w:type="pct"/>
            <w:tcBorders>
              <w:top w:val="single" w:sz="4" w:space="0" w:color="auto"/>
              <w:bottom w:val="single" w:sz="4" w:space="0" w:color="auto"/>
            </w:tcBorders>
          </w:tcPr>
          <w:p w14:paraId="04DDE252" w14:textId="77777777" w:rsidR="00E51CDD" w:rsidRPr="00E46AC7" w:rsidRDefault="00E51CDD" w:rsidP="00E51CDD">
            <w:pPr>
              <w:widowControl w:val="0"/>
              <w:rPr>
                <w:strike/>
                <w:noProof/>
                <w:color w:val="D9D9D9" w:themeColor="background1" w:themeShade="D9"/>
                <w:sz w:val="20"/>
                <w:szCs w:val="20"/>
                <w:lang w:val="en-GB"/>
              </w:rPr>
            </w:pPr>
            <w:r w:rsidRPr="00E46AC7">
              <w:rPr>
                <w:strike/>
                <w:noProof/>
                <w:color w:val="D9D9D9" w:themeColor="background1" w:themeShade="D9"/>
                <w:sz w:val="20"/>
                <w:szCs w:val="20"/>
                <w:lang w:val="en-GB"/>
              </w:rPr>
              <w:t xml:space="preserve">0.078 </w:t>
            </w:r>
            <w:r w:rsidRPr="00E46AC7">
              <w:rPr>
                <w:strike/>
                <w:noProof/>
                <w:color w:val="D9D9D9" w:themeColor="background1" w:themeShade="D9"/>
                <w:sz w:val="20"/>
                <w:szCs w:val="20"/>
                <w:vertAlign w:val="superscript"/>
                <w:lang w:val="en-GB"/>
              </w:rPr>
              <w:t>*</w:t>
            </w:r>
          </w:p>
        </w:tc>
        <w:tc>
          <w:tcPr>
            <w:tcW w:w="1176" w:type="pct"/>
            <w:tcBorders>
              <w:top w:val="single" w:sz="4" w:space="0" w:color="auto"/>
              <w:bottom w:val="single" w:sz="4" w:space="0" w:color="auto"/>
            </w:tcBorders>
          </w:tcPr>
          <w:p w14:paraId="4F400488" w14:textId="77777777" w:rsidR="00E51CDD" w:rsidRPr="00E46AC7" w:rsidRDefault="00E51CDD" w:rsidP="00E51CDD">
            <w:pPr>
              <w:widowControl w:val="0"/>
              <w:rPr>
                <w:strike/>
                <w:noProof/>
                <w:color w:val="D9D9D9" w:themeColor="background1" w:themeShade="D9"/>
                <w:sz w:val="20"/>
                <w:szCs w:val="20"/>
                <w:lang w:val="en-GB"/>
              </w:rPr>
            </w:pPr>
            <w:r w:rsidRPr="00E46AC7">
              <w:rPr>
                <w:strike/>
                <w:noProof/>
                <w:color w:val="D9D9D9" w:themeColor="background1" w:themeShade="D9"/>
                <w:sz w:val="20"/>
                <w:szCs w:val="20"/>
                <w:lang w:val="en-GB"/>
              </w:rPr>
              <w:t>1564</w:t>
            </w:r>
          </w:p>
          <w:p w14:paraId="65FABDB4" w14:textId="77777777" w:rsidR="00E51CDD" w:rsidRPr="00E46AC7" w:rsidRDefault="00E51CDD" w:rsidP="00E51CDD">
            <w:pPr>
              <w:widowControl w:val="0"/>
              <w:rPr>
                <w:b/>
                <w:bCs/>
                <w:strike/>
                <w:noProof/>
                <w:color w:val="D9D9D9" w:themeColor="background1" w:themeShade="D9"/>
                <w:sz w:val="20"/>
                <w:szCs w:val="20"/>
                <w:lang w:val="en-GB"/>
              </w:rPr>
            </w:pPr>
            <w:r w:rsidRPr="00E46AC7">
              <w:rPr>
                <w:b/>
                <w:bCs/>
                <w:strike/>
                <w:noProof/>
                <w:color w:val="D9D9D9" w:themeColor="background1" w:themeShade="D9"/>
                <w:sz w:val="20"/>
                <w:szCs w:val="20"/>
                <w:lang w:val="en-GB"/>
              </w:rPr>
              <w:t>782</w:t>
            </w:r>
          </w:p>
        </w:tc>
      </w:tr>
      <w:tr w:rsidR="00E51CDD" w:rsidRPr="00E51CDD" w14:paraId="00806208" w14:textId="77777777" w:rsidTr="009938D9">
        <w:trPr>
          <w:cantSplit/>
        </w:trPr>
        <w:tc>
          <w:tcPr>
            <w:tcW w:w="1470" w:type="pct"/>
            <w:tcBorders>
              <w:top w:val="single" w:sz="4" w:space="0" w:color="auto"/>
              <w:bottom w:val="single" w:sz="4" w:space="0" w:color="auto"/>
            </w:tcBorders>
          </w:tcPr>
          <w:p w14:paraId="19207D3D" w14:textId="77777777" w:rsidR="00E51CDD" w:rsidRPr="00E51CDD" w:rsidRDefault="00E51CDD" w:rsidP="00E51CDD">
            <w:pPr>
              <w:widowControl w:val="0"/>
              <w:rPr>
                <w:noProof/>
                <w:sz w:val="20"/>
                <w:szCs w:val="20"/>
                <w:lang w:val="en-GB"/>
              </w:rPr>
            </w:pPr>
            <w:r w:rsidRPr="00E51CDD">
              <w:rPr>
                <w:noProof/>
                <w:sz w:val="20"/>
                <w:szCs w:val="20"/>
                <w:lang w:val="en-GB"/>
              </w:rPr>
              <w:t>Metabolite, Reg. No. 5 069 089</w:t>
            </w:r>
            <w:r w:rsidRPr="00E51CDD">
              <w:rPr>
                <w:noProof/>
                <w:sz w:val="20"/>
                <w:szCs w:val="20"/>
                <w:lang w:val="en-GB"/>
              </w:rPr>
              <w:br/>
            </w:r>
            <w:r w:rsidRPr="00E51CDD">
              <w:rPr>
                <w:noProof/>
                <w:sz w:val="20"/>
                <w:szCs w:val="20"/>
              </w:rPr>
              <w:t>M700F001</w:t>
            </w:r>
          </w:p>
        </w:tc>
        <w:tc>
          <w:tcPr>
            <w:tcW w:w="1177" w:type="pct"/>
            <w:tcBorders>
              <w:top w:val="single" w:sz="4" w:space="0" w:color="auto"/>
              <w:bottom w:val="single" w:sz="4" w:space="0" w:color="auto"/>
            </w:tcBorders>
          </w:tcPr>
          <w:p w14:paraId="0E7156F8" w14:textId="77777777" w:rsidR="00E51CDD" w:rsidRPr="00E51CDD" w:rsidRDefault="00E51CDD" w:rsidP="00E51CDD">
            <w:pPr>
              <w:widowControl w:val="0"/>
              <w:rPr>
                <w:b/>
                <w:noProof/>
                <w:sz w:val="20"/>
                <w:szCs w:val="20"/>
                <w:lang w:val="en-GB"/>
              </w:rPr>
            </w:pPr>
            <w:r w:rsidRPr="00E51CDD">
              <w:rPr>
                <w:b/>
                <w:noProof/>
                <w:sz w:val="20"/>
                <w:szCs w:val="20"/>
                <w:lang w:val="en-GB"/>
              </w:rPr>
              <w:t xml:space="preserve">NOEC </w:t>
            </w:r>
            <w:r w:rsidRPr="00E51CDD">
              <w:rPr>
                <w:rFonts w:eastAsia="PMingLiU"/>
                <w:b/>
                <w:noProof/>
                <w:sz w:val="20"/>
                <w:szCs w:val="20"/>
              </w:rPr>
              <w:t>≥</w:t>
            </w:r>
            <w:r w:rsidRPr="00E51CDD">
              <w:rPr>
                <w:b/>
                <w:noProof/>
                <w:sz w:val="20"/>
                <w:szCs w:val="20"/>
                <w:lang w:val="en-GB"/>
              </w:rPr>
              <w:t xml:space="preserve"> 5.33</w:t>
            </w:r>
          </w:p>
          <w:p w14:paraId="2D221859" w14:textId="77777777" w:rsidR="00E51CDD" w:rsidRPr="00E51CDD" w:rsidRDefault="00E51CDD" w:rsidP="00E51CDD">
            <w:pPr>
              <w:widowControl w:val="0"/>
              <w:rPr>
                <w:rFonts w:eastAsia="PMingLiU"/>
                <w:b/>
                <w:bCs/>
                <w:noProof/>
                <w:sz w:val="20"/>
                <w:szCs w:val="20"/>
              </w:rPr>
            </w:pPr>
          </w:p>
        </w:tc>
        <w:tc>
          <w:tcPr>
            <w:tcW w:w="1177" w:type="pct"/>
            <w:tcBorders>
              <w:top w:val="single" w:sz="4" w:space="0" w:color="auto"/>
              <w:bottom w:val="single" w:sz="4" w:space="0" w:color="auto"/>
            </w:tcBorders>
          </w:tcPr>
          <w:p w14:paraId="100CE746" w14:textId="77777777" w:rsidR="00E51CDD" w:rsidRPr="00E51CDD" w:rsidRDefault="00E51CDD" w:rsidP="00E51CDD">
            <w:pPr>
              <w:widowControl w:val="0"/>
              <w:rPr>
                <w:noProof/>
                <w:sz w:val="20"/>
                <w:szCs w:val="20"/>
                <w:lang w:val="en-GB"/>
              </w:rPr>
            </w:pPr>
            <w:r w:rsidRPr="00E51CDD">
              <w:rPr>
                <w:noProof/>
                <w:sz w:val="20"/>
                <w:szCs w:val="20"/>
                <w:lang w:val="en-GB"/>
              </w:rPr>
              <w:t>0.004</w:t>
            </w:r>
            <w:r w:rsidRPr="00E51CDD">
              <w:rPr>
                <w:noProof/>
                <w:sz w:val="20"/>
                <w:szCs w:val="20"/>
                <w:vertAlign w:val="superscript"/>
                <w:lang w:val="en-GB"/>
              </w:rPr>
              <w:t xml:space="preserve"> *</w:t>
            </w:r>
          </w:p>
        </w:tc>
        <w:tc>
          <w:tcPr>
            <w:tcW w:w="1176" w:type="pct"/>
            <w:tcBorders>
              <w:top w:val="single" w:sz="4" w:space="0" w:color="auto"/>
              <w:bottom w:val="single" w:sz="4" w:space="0" w:color="auto"/>
            </w:tcBorders>
          </w:tcPr>
          <w:p w14:paraId="5A113335" w14:textId="77777777" w:rsidR="00E51CDD" w:rsidRPr="00E51CDD" w:rsidRDefault="00E51CDD" w:rsidP="00E51CDD">
            <w:pPr>
              <w:widowControl w:val="0"/>
              <w:rPr>
                <w:b/>
                <w:noProof/>
                <w:sz w:val="20"/>
                <w:szCs w:val="20"/>
                <w:lang w:val="en-GB"/>
              </w:rPr>
            </w:pPr>
            <w:r w:rsidRPr="00E51CDD">
              <w:rPr>
                <w:rFonts w:eastAsia="PMingLiU"/>
                <w:b/>
                <w:noProof/>
                <w:sz w:val="20"/>
                <w:szCs w:val="20"/>
              </w:rPr>
              <w:t xml:space="preserve">≥ </w:t>
            </w:r>
            <w:r w:rsidRPr="00E51CDD">
              <w:rPr>
                <w:b/>
                <w:noProof/>
                <w:sz w:val="20"/>
                <w:szCs w:val="20"/>
                <w:lang w:val="en-GB"/>
              </w:rPr>
              <w:t>1333</w:t>
            </w:r>
          </w:p>
          <w:p w14:paraId="60E65CBB" w14:textId="77777777" w:rsidR="00E51CDD" w:rsidRPr="00E51CDD" w:rsidRDefault="00E51CDD" w:rsidP="00E51CDD">
            <w:pPr>
              <w:widowControl w:val="0"/>
              <w:rPr>
                <w:bCs/>
                <w:noProof/>
                <w:sz w:val="20"/>
                <w:szCs w:val="20"/>
                <w:lang w:val="en-GB"/>
              </w:rPr>
            </w:pPr>
          </w:p>
        </w:tc>
      </w:tr>
      <w:tr w:rsidR="00E51CDD" w:rsidRPr="00E51CDD" w14:paraId="2028D445" w14:textId="77777777" w:rsidTr="009938D9">
        <w:trPr>
          <w:cantSplit/>
        </w:trPr>
        <w:tc>
          <w:tcPr>
            <w:tcW w:w="1470" w:type="pct"/>
            <w:tcBorders>
              <w:top w:val="single" w:sz="4" w:space="0" w:color="auto"/>
            </w:tcBorders>
          </w:tcPr>
          <w:p w14:paraId="583D7631" w14:textId="77777777" w:rsidR="00E51CDD" w:rsidRPr="00E51CDD" w:rsidRDefault="00E51CDD" w:rsidP="00E51CDD">
            <w:pPr>
              <w:widowControl w:val="0"/>
              <w:rPr>
                <w:noProof/>
                <w:sz w:val="20"/>
                <w:szCs w:val="20"/>
                <w:lang w:val="en-GB"/>
              </w:rPr>
            </w:pPr>
            <w:r w:rsidRPr="00E51CDD">
              <w:rPr>
                <w:noProof/>
                <w:sz w:val="20"/>
                <w:szCs w:val="20"/>
                <w:lang w:val="en-GB"/>
              </w:rPr>
              <w:t>Metabolite, Reg. No. 5 435 595</w:t>
            </w:r>
            <w:r w:rsidRPr="00E51CDD">
              <w:rPr>
                <w:noProof/>
                <w:sz w:val="20"/>
                <w:szCs w:val="20"/>
                <w:lang w:val="en-GB"/>
              </w:rPr>
              <w:br/>
            </w:r>
            <w:r w:rsidRPr="00E51CDD">
              <w:rPr>
                <w:noProof/>
                <w:sz w:val="20"/>
                <w:szCs w:val="20"/>
              </w:rPr>
              <w:t>M700F002</w:t>
            </w:r>
          </w:p>
        </w:tc>
        <w:tc>
          <w:tcPr>
            <w:tcW w:w="1177" w:type="pct"/>
            <w:tcBorders>
              <w:top w:val="single" w:sz="4" w:space="0" w:color="auto"/>
              <w:bottom w:val="single" w:sz="4" w:space="0" w:color="auto"/>
            </w:tcBorders>
          </w:tcPr>
          <w:p w14:paraId="48EC12DD" w14:textId="77777777" w:rsidR="00E51CDD" w:rsidRPr="00E51CDD" w:rsidRDefault="00E51CDD" w:rsidP="00E51CDD">
            <w:pPr>
              <w:widowControl w:val="0"/>
              <w:rPr>
                <w:b/>
                <w:noProof/>
                <w:sz w:val="20"/>
                <w:szCs w:val="20"/>
                <w:vertAlign w:val="superscript"/>
                <w:lang w:val="en-GB"/>
              </w:rPr>
            </w:pPr>
            <w:r w:rsidRPr="00E51CDD">
              <w:rPr>
                <w:b/>
                <w:noProof/>
                <w:sz w:val="20"/>
                <w:szCs w:val="20"/>
                <w:lang w:val="en-GB"/>
              </w:rPr>
              <w:t xml:space="preserve">NOEC </w:t>
            </w:r>
            <w:r w:rsidRPr="00E51CDD">
              <w:rPr>
                <w:rFonts w:eastAsia="PMingLiU"/>
                <w:b/>
                <w:noProof/>
                <w:sz w:val="20"/>
                <w:szCs w:val="20"/>
              </w:rPr>
              <w:t>≥</w:t>
            </w:r>
            <w:r w:rsidRPr="00E51CDD">
              <w:rPr>
                <w:b/>
                <w:noProof/>
                <w:sz w:val="20"/>
                <w:szCs w:val="20"/>
                <w:lang w:val="en-GB"/>
              </w:rPr>
              <w:t xml:space="preserve"> 2.56</w:t>
            </w:r>
          </w:p>
          <w:p w14:paraId="239C7E28" w14:textId="77777777" w:rsidR="00E51CDD" w:rsidRPr="00E51CDD" w:rsidRDefault="00E51CDD" w:rsidP="00E51CDD">
            <w:pPr>
              <w:widowControl w:val="0"/>
              <w:rPr>
                <w:b/>
                <w:bCs/>
                <w:noProof/>
                <w:sz w:val="20"/>
                <w:szCs w:val="20"/>
                <w:lang w:val="en-GB"/>
              </w:rPr>
            </w:pPr>
          </w:p>
        </w:tc>
        <w:tc>
          <w:tcPr>
            <w:tcW w:w="1177" w:type="pct"/>
            <w:tcBorders>
              <w:top w:val="single" w:sz="4" w:space="0" w:color="auto"/>
            </w:tcBorders>
          </w:tcPr>
          <w:p w14:paraId="45A07E27" w14:textId="77777777" w:rsidR="00E51CDD" w:rsidRPr="00E51CDD" w:rsidRDefault="00E51CDD" w:rsidP="00E51CDD">
            <w:pPr>
              <w:widowControl w:val="0"/>
              <w:rPr>
                <w:noProof/>
                <w:sz w:val="20"/>
                <w:szCs w:val="20"/>
                <w:lang w:val="en-GB"/>
              </w:rPr>
            </w:pPr>
            <w:r w:rsidRPr="00E51CDD">
              <w:rPr>
                <w:noProof/>
                <w:sz w:val="20"/>
                <w:szCs w:val="20"/>
                <w:lang w:val="en-GB"/>
              </w:rPr>
              <w:t>0.023</w:t>
            </w:r>
            <w:r w:rsidRPr="00E51CDD">
              <w:rPr>
                <w:noProof/>
                <w:sz w:val="20"/>
                <w:szCs w:val="20"/>
                <w:vertAlign w:val="superscript"/>
                <w:lang w:val="en-GB"/>
              </w:rPr>
              <w:t xml:space="preserve"> *</w:t>
            </w:r>
          </w:p>
        </w:tc>
        <w:tc>
          <w:tcPr>
            <w:tcW w:w="1176" w:type="pct"/>
            <w:tcBorders>
              <w:top w:val="single" w:sz="4" w:space="0" w:color="auto"/>
              <w:bottom w:val="single" w:sz="4" w:space="0" w:color="auto"/>
            </w:tcBorders>
          </w:tcPr>
          <w:p w14:paraId="39146BCB" w14:textId="77777777" w:rsidR="00E51CDD" w:rsidRPr="00E51CDD" w:rsidRDefault="00E51CDD" w:rsidP="00E51CDD">
            <w:pPr>
              <w:widowControl w:val="0"/>
              <w:rPr>
                <w:rFonts w:eastAsia="PMingLiU"/>
                <w:bCs/>
                <w:noProof/>
                <w:sz w:val="20"/>
                <w:szCs w:val="20"/>
              </w:rPr>
            </w:pPr>
            <w:r w:rsidRPr="00E51CDD">
              <w:rPr>
                <w:rFonts w:eastAsia="PMingLiU"/>
                <w:b/>
                <w:noProof/>
                <w:sz w:val="20"/>
                <w:szCs w:val="20"/>
              </w:rPr>
              <w:t>≥ 111</w:t>
            </w:r>
          </w:p>
          <w:p w14:paraId="5F782B7A" w14:textId="77777777" w:rsidR="00E51CDD" w:rsidRPr="00E51CDD" w:rsidRDefault="00E51CDD" w:rsidP="00E51CDD">
            <w:pPr>
              <w:widowControl w:val="0"/>
              <w:rPr>
                <w:bCs/>
                <w:noProof/>
                <w:sz w:val="20"/>
                <w:szCs w:val="20"/>
                <w:lang w:val="en-GB"/>
              </w:rPr>
            </w:pPr>
          </w:p>
        </w:tc>
      </w:tr>
      <w:tr w:rsidR="00E51CDD" w:rsidRPr="00E51CDD" w14:paraId="6F29F52F" w14:textId="77777777" w:rsidTr="009938D9">
        <w:trPr>
          <w:cantSplit/>
        </w:trPr>
        <w:tc>
          <w:tcPr>
            <w:tcW w:w="5000" w:type="pct"/>
            <w:gridSpan w:val="4"/>
            <w:tcBorders>
              <w:top w:val="single" w:sz="4" w:space="0" w:color="auto"/>
            </w:tcBorders>
          </w:tcPr>
          <w:p w14:paraId="59641296" w14:textId="77777777" w:rsidR="00E51CDD" w:rsidRPr="00E51CDD" w:rsidRDefault="00E51CDD" w:rsidP="00E51CDD">
            <w:pPr>
              <w:widowControl w:val="0"/>
              <w:rPr>
                <w:b/>
                <w:bCs/>
                <w:sz w:val="20"/>
                <w:szCs w:val="20"/>
                <w:lang w:val="en-GB"/>
              </w:rPr>
            </w:pPr>
            <w:r w:rsidRPr="00E51CDD">
              <w:rPr>
                <w:b/>
                <w:bCs/>
                <w:sz w:val="20"/>
                <w:szCs w:val="20"/>
                <w:lang w:val="en-GB"/>
              </w:rPr>
              <w:t>Chronic effects on other soil meso- and macrofauna</w:t>
            </w:r>
          </w:p>
        </w:tc>
      </w:tr>
      <w:tr w:rsidR="00E51CDD" w:rsidRPr="00E51CDD" w14:paraId="73280756" w14:textId="77777777" w:rsidTr="009938D9">
        <w:trPr>
          <w:cantSplit/>
        </w:trPr>
        <w:tc>
          <w:tcPr>
            <w:tcW w:w="5000" w:type="pct"/>
            <w:gridSpan w:val="4"/>
            <w:tcBorders>
              <w:top w:val="single" w:sz="4" w:space="0" w:color="auto"/>
            </w:tcBorders>
          </w:tcPr>
          <w:p w14:paraId="37AFED1B" w14:textId="77777777" w:rsidR="00E51CDD" w:rsidRPr="00E51CDD" w:rsidRDefault="00E51CDD" w:rsidP="00E51CDD">
            <w:pPr>
              <w:widowControl w:val="0"/>
              <w:rPr>
                <w:b/>
                <w:bCs/>
                <w:sz w:val="20"/>
                <w:szCs w:val="20"/>
                <w:lang w:val="en-GB"/>
              </w:rPr>
            </w:pPr>
            <w:r w:rsidRPr="00E51CDD">
              <w:rPr>
                <w:b/>
                <w:bCs/>
                <w:sz w:val="20"/>
                <w:szCs w:val="20"/>
                <w:lang w:val="en-GB"/>
              </w:rPr>
              <w:t>Collembola (</w:t>
            </w:r>
            <w:r w:rsidRPr="00E51CDD">
              <w:rPr>
                <w:b/>
                <w:bCs/>
                <w:i/>
                <w:sz w:val="20"/>
                <w:szCs w:val="20"/>
              </w:rPr>
              <w:t>Folsomia candida</w:t>
            </w:r>
            <w:r w:rsidRPr="00E51CDD">
              <w:rPr>
                <w:b/>
                <w:bCs/>
                <w:sz w:val="20"/>
                <w:szCs w:val="20"/>
                <w:lang w:val="en-GB"/>
              </w:rPr>
              <w:t>)</w:t>
            </w:r>
          </w:p>
        </w:tc>
      </w:tr>
      <w:tr w:rsidR="00E51CDD" w:rsidRPr="00E51CDD" w14:paraId="682D4E0D" w14:textId="77777777" w:rsidTr="009938D9">
        <w:trPr>
          <w:cantSplit/>
        </w:trPr>
        <w:tc>
          <w:tcPr>
            <w:tcW w:w="1470" w:type="pct"/>
            <w:tcBorders>
              <w:top w:val="single" w:sz="4" w:space="0" w:color="auto"/>
              <w:bottom w:val="single" w:sz="4" w:space="0" w:color="auto"/>
            </w:tcBorders>
          </w:tcPr>
          <w:p w14:paraId="61AE68F9" w14:textId="77777777" w:rsidR="00E51CDD" w:rsidRPr="00E51CDD" w:rsidRDefault="00E51CDD" w:rsidP="00E51CDD">
            <w:pPr>
              <w:widowControl w:val="0"/>
              <w:rPr>
                <w:b/>
                <w:bCs/>
                <w:sz w:val="20"/>
                <w:szCs w:val="20"/>
                <w:lang w:val="en-GB"/>
              </w:rPr>
            </w:pPr>
            <w:r w:rsidRPr="00E51CDD">
              <w:rPr>
                <w:b/>
                <w:bCs/>
                <w:sz w:val="20"/>
                <w:szCs w:val="20"/>
                <w:lang w:val="en-GB"/>
              </w:rPr>
              <w:t>Active substance/metabolite</w:t>
            </w:r>
          </w:p>
        </w:tc>
        <w:tc>
          <w:tcPr>
            <w:tcW w:w="1177" w:type="pct"/>
            <w:tcBorders>
              <w:top w:val="single" w:sz="4" w:space="0" w:color="auto"/>
              <w:bottom w:val="single" w:sz="4" w:space="0" w:color="auto"/>
            </w:tcBorders>
          </w:tcPr>
          <w:p w14:paraId="7AFE06AC" w14:textId="77777777" w:rsidR="00E51CDD" w:rsidRPr="00E51CDD" w:rsidRDefault="00E51CDD" w:rsidP="00E51CDD">
            <w:pPr>
              <w:widowControl w:val="0"/>
              <w:rPr>
                <w:b/>
                <w:bCs/>
                <w:sz w:val="20"/>
                <w:szCs w:val="20"/>
                <w:lang w:val="en-GB"/>
              </w:rPr>
            </w:pPr>
            <w:r w:rsidRPr="00E51CDD">
              <w:rPr>
                <w:b/>
                <w:bCs/>
                <w:sz w:val="20"/>
                <w:szCs w:val="20"/>
                <w:lang w:val="en-GB"/>
              </w:rPr>
              <w:t>Endpoints</w:t>
            </w:r>
            <w:r w:rsidRPr="00E51CDD">
              <w:rPr>
                <w:b/>
                <w:bCs/>
                <w:sz w:val="20"/>
                <w:szCs w:val="20"/>
                <w:lang w:val="en-GB"/>
              </w:rPr>
              <w:br/>
              <w:t>(mg/kg dry soil)</w:t>
            </w:r>
          </w:p>
        </w:tc>
        <w:tc>
          <w:tcPr>
            <w:tcW w:w="1177" w:type="pct"/>
            <w:tcBorders>
              <w:top w:val="single" w:sz="4" w:space="0" w:color="auto"/>
              <w:bottom w:val="single" w:sz="4" w:space="0" w:color="auto"/>
            </w:tcBorders>
          </w:tcPr>
          <w:p w14:paraId="7E52FC1A" w14:textId="77777777" w:rsidR="00E51CDD" w:rsidRPr="00E51CDD" w:rsidRDefault="00E51CDD" w:rsidP="00E51CDD">
            <w:pPr>
              <w:widowControl w:val="0"/>
              <w:rPr>
                <w:b/>
                <w:bCs/>
                <w:sz w:val="20"/>
                <w:szCs w:val="20"/>
                <w:lang w:val="en-GB"/>
              </w:rPr>
            </w:pPr>
            <w:r w:rsidRPr="00E51CDD">
              <w:rPr>
                <w:b/>
                <w:bCs/>
                <w:sz w:val="20"/>
                <w:szCs w:val="20"/>
                <w:lang w:val="en-GB"/>
              </w:rPr>
              <w:t>PEC</w:t>
            </w:r>
            <w:r w:rsidRPr="00E51CDD">
              <w:rPr>
                <w:b/>
                <w:bCs/>
                <w:sz w:val="20"/>
                <w:szCs w:val="20"/>
                <w:vertAlign w:val="subscript"/>
                <w:lang w:val="en-GB"/>
              </w:rPr>
              <w:t>soil</w:t>
            </w:r>
            <w:r w:rsidRPr="00E51CDD">
              <w:rPr>
                <w:b/>
                <w:bCs/>
                <w:sz w:val="20"/>
                <w:szCs w:val="20"/>
                <w:vertAlign w:val="subscript"/>
                <w:lang w:val="en-GB"/>
              </w:rPr>
              <w:br/>
            </w:r>
            <w:r w:rsidRPr="00E51CDD">
              <w:rPr>
                <w:b/>
                <w:bCs/>
                <w:sz w:val="20"/>
                <w:szCs w:val="20"/>
                <w:lang w:val="en-GB"/>
              </w:rPr>
              <w:t>(mg/kg dry soil)</w:t>
            </w:r>
          </w:p>
        </w:tc>
        <w:tc>
          <w:tcPr>
            <w:tcW w:w="1176" w:type="pct"/>
            <w:tcBorders>
              <w:top w:val="single" w:sz="4" w:space="0" w:color="auto"/>
              <w:bottom w:val="single" w:sz="4" w:space="0" w:color="auto"/>
            </w:tcBorders>
          </w:tcPr>
          <w:p w14:paraId="509E68F5" w14:textId="77777777" w:rsidR="00E51CDD" w:rsidRPr="00E51CDD" w:rsidRDefault="00E51CDD" w:rsidP="00E51CDD">
            <w:pPr>
              <w:widowControl w:val="0"/>
              <w:rPr>
                <w:b/>
                <w:bCs/>
                <w:sz w:val="20"/>
                <w:szCs w:val="20"/>
                <w:lang w:val="en-GB"/>
              </w:rPr>
            </w:pPr>
            <w:r w:rsidRPr="00E51CDD">
              <w:rPr>
                <w:b/>
                <w:bCs/>
                <w:sz w:val="20"/>
                <w:szCs w:val="20"/>
                <w:lang w:val="en-GB"/>
              </w:rPr>
              <w:t>TER</w:t>
            </w:r>
            <w:r w:rsidRPr="00E51CDD">
              <w:rPr>
                <w:b/>
                <w:bCs/>
                <w:sz w:val="20"/>
                <w:szCs w:val="20"/>
                <w:vertAlign w:val="subscript"/>
                <w:lang w:val="en-GB"/>
              </w:rPr>
              <w:t>lt</w:t>
            </w:r>
            <w:r w:rsidRPr="00E51CDD">
              <w:rPr>
                <w:b/>
                <w:bCs/>
                <w:sz w:val="20"/>
                <w:szCs w:val="20"/>
                <w:vertAlign w:val="subscript"/>
                <w:lang w:val="en-GB"/>
              </w:rPr>
              <w:br/>
            </w:r>
            <w:r w:rsidRPr="00E51CDD">
              <w:rPr>
                <w:b/>
                <w:bCs/>
                <w:sz w:val="20"/>
                <w:szCs w:val="20"/>
                <w:lang w:val="en-GB"/>
              </w:rPr>
              <w:t>(criterion TER ≥ 5)</w:t>
            </w:r>
          </w:p>
        </w:tc>
      </w:tr>
      <w:tr w:rsidR="00E51CDD" w:rsidRPr="00E51CDD" w14:paraId="5F409217" w14:textId="77777777" w:rsidTr="009938D9">
        <w:trPr>
          <w:cantSplit/>
        </w:trPr>
        <w:tc>
          <w:tcPr>
            <w:tcW w:w="1470" w:type="pct"/>
            <w:tcBorders>
              <w:top w:val="single" w:sz="4" w:space="0" w:color="auto"/>
              <w:bottom w:val="single" w:sz="4" w:space="0" w:color="auto"/>
            </w:tcBorders>
          </w:tcPr>
          <w:p w14:paraId="2D183AC4" w14:textId="77777777" w:rsidR="00E51CDD" w:rsidRPr="00BF15A2" w:rsidRDefault="00E51CDD" w:rsidP="00E51CDD">
            <w:pPr>
              <w:widowControl w:val="0"/>
              <w:rPr>
                <w:strike/>
                <w:noProof/>
                <w:color w:val="D9D9D9" w:themeColor="background1" w:themeShade="D9"/>
                <w:sz w:val="20"/>
                <w:szCs w:val="20"/>
                <w:lang w:val="en-GB"/>
              </w:rPr>
            </w:pPr>
            <w:r w:rsidRPr="00BF15A2">
              <w:rPr>
                <w:strike/>
                <w:noProof/>
                <w:color w:val="D9D9D9" w:themeColor="background1" w:themeShade="D9"/>
                <w:sz w:val="20"/>
                <w:szCs w:val="20"/>
                <w:lang w:val="en-GB"/>
              </w:rPr>
              <w:t>fluxapyroxad</w:t>
            </w:r>
          </w:p>
        </w:tc>
        <w:tc>
          <w:tcPr>
            <w:tcW w:w="1177" w:type="pct"/>
            <w:tcBorders>
              <w:top w:val="single" w:sz="4" w:space="0" w:color="auto"/>
              <w:bottom w:val="single" w:sz="4" w:space="0" w:color="auto"/>
            </w:tcBorders>
          </w:tcPr>
          <w:p w14:paraId="15933637" w14:textId="77777777" w:rsidR="00E51CDD" w:rsidRPr="00BF15A2" w:rsidRDefault="00E51CDD" w:rsidP="00E51CDD">
            <w:pPr>
              <w:widowControl w:val="0"/>
              <w:rPr>
                <w:strike/>
                <w:noProof/>
                <w:color w:val="D9D9D9" w:themeColor="background1" w:themeShade="D9"/>
                <w:sz w:val="20"/>
                <w:szCs w:val="20"/>
                <w:lang w:val="en-GB"/>
              </w:rPr>
            </w:pPr>
            <w:r w:rsidRPr="00BF15A2">
              <w:rPr>
                <w:b/>
                <w:strike/>
                <w:noProof/>
                <w:color w:val="D9D9D9" w:themeColor="background1" w:themeShade="D9"/>
                <w:sz w:val="20"/>
                <w:szCs w:val="20"/>
                <w:lang w:val="en-GB"/>
              </w:rPr>
              <w:t xml:space="preserve">NOEC </w:t>
            </w:r>
            <w:r w:rsidRPr="00BF15A2">
              <w:rPr>
                <w:rFonts w:eastAsia="PMingLiU"/>
                <w:b/>
                <w:strike/>
                <w:noProof/>
                <w:color w:val="D9D9D9" w:themeColor="background1" w:themeShade="D9"/>
                <w:sz w:val="20"/>
                <w:szCs w:val="20"/>
                <w:lang w:val="en-GB"/>
              </w:rPr>
              <w:t>≥</w:t>
            </w:r>
            <w:r w:rsidRPr="00BF15A2">
              <w:rPr>
                <w:b/>
                <w:strike/>
                <w:noProof/>
                <w:color w:val="D9D9D9" w:themeColor="background1" w:themeShade="D9"/>
                <w:sz w:val="20"/>
                <w:szCs w:val="20"/>
                <w:lang w:val="en-GB"/>
              </w:rPr>
              <w:t xml:space="preserve"> 500</w:t>
            </w:r>
            <w:r w:rsidRPr="00BF15A2">
              <w:rPr>
                <w:strike/>
                <w:noProof/>
                <w:color w:val="D9D9D9" w:themeColor="background1" w:themeShade="D9"/>
                <w:sz w:val="20"/>
                <w:szCs w:val="20"/>
                <w:lang w:val="en-GB"/>
              </w:rPr>
              <w:br/>
              <w:t>EC</w:t>
            </w:r>
            <w:r w:rsidRPr="00BF15A2">
              <w:rPr>
                <w:strike/>
                <w:noProof/>
                <w:color w:val="D9D9D9" w:themeColor="background1" w:themeShade="D9"/>
                <w:sz w:val="20"/>
                <w:szCs w:val="20"/>
                <w:vertAlign w:val="subscript"/>
                <w:lang w:val="en-GB"/>
              </w:rPr>
              <w:t>10</w:t>
            </w:r>
            <w:r w:rsidRPr="00BF15A2">
              <w:rPr>
                <w:strike/>
                <w:noProof/>
                <w:color w:val="D9D9D9" w:themeColor="background1" w:themeShade="D9"/>
                <w:sz w:val="20"/>
                <w:szCs w:val="20"/>
                <w:lang w:val="en-GB"/>
              </w:rPr>
              <w:t xml:space="preserve"> &gt; 500</w:t>
            </w:r>
          </w:p>
          <w:p w14:paraId="4B939A9F" w14:textId="77777777" w:rsidR="00E51CDD" w:rsidRPr="00BF15A2" w:rsidRDefault="00E51CDD" w:rsidP="00E51CDD">
            <w:pPr>
              <w:widowControl w:val="0"/>
              <w:rPr>
                <w:strike/>
                <w:noProof/>
                <w:color w:val="D9D9D9" w:themeColor="background1" w:themeShade="D9"/>
                <w:sz w:val="20"/>
                <w:szCs w:val="20"/>
                <w:vertAlign w:val="superscript"/>
                <w:lang w:val="en-GB"/>
              </w:rPr>
            </w:pPr>
            <w:r w:rsidRPr="00BF15A2">
              <w:rPr>
                <w:bCs/>
                <w:strike/>
                <w:color w:val="D9D9D9" w:themeColor="background1" w:themeShade="D9"/>
                <w:sz w:val="20"/>
                <w:szCs w:val="20"/>
              </w:rPr>
              <w:t>NOEC </w:t>
            </w:r>
            <w:r w:rsidRPr="00BF15A2">
              <w:rPr>
                <w:bCs/>
                <w:strike/>
                <w:color w:val="D9D9D9" w:themeColor="background1" w:themeShade="D9"/>
                <w:sz w:val="20"/>
                <w:szCs w:val="20"/>
                <w:vertAlign w:val="subscript"/>
              </w:rPr>
              <w:t>CORR</w:t>
            </w:r>
            <w:r w:rsidRPr="00BF15A2">
              <w:rPr>
                <w:bCs/>
                <w:strike/>
                <w:color w:val="D9D9D9" w:themeColor="background1" w:themeShade="D9"/>
                <w:sz w:val="20"/>
                <w:szCs w:val="20"/>
              </w:rPr>
              <w:t xml:space="preserve"> </w:t>
            </w:r>
            <w:r w:rsidRPr="00BF15A2">
              <w:rPr>
                <w:rFonts w:eastAsia="PMingLiU"/>
                <w:bCs/>
                <w:strike/>
                <w:color w:val="D9D9D9" w:themeColor="background1" w:themeShade="D9"/>
                <w:sz w:val="20"/>
                <w:szCs w:val="20"/>
              </w:rPr>
              <w:t>≥</w:t>
            </w:r>
            <w:r w:rsidRPr="00BF15A2">
              <w:rPr>
                <w:bCs/>
                <w:strike/>
                <w:color w:val="D9D9D9" w:themeColor="background1" w:themeShade="D9"/>
                <w:sz w:val="20"/>
                <w:szCs w:val="20"/>
              </w:rPr>
              <w:t xml:space="preserve"> 250 </w:t>
            </w:r>
            <w:r w:rsidRPr="00BF15A2">
              <w:rPr>
                <w:strike/>
                <w:color w:val="D9D9D9" w:themeColor="background1" w:themeShade="D9"/>
                <w:sz w:val="20"/>
                <w:szCs w:val="20"/>
              </w:rPr>
              <w:br/>
              <w:t>EC</w:t>
            </w:r>
            <w:r w:rsidRPr="00BF15A2">
              <w:rPr>
                <w:strike/>
                <w:color w:val="D9D9D9" w:themeColor="background1" w:themeShade="D9"/>
                <w:sz w:val="20"/>
                <w:szCs w:val="20"/>
                <w:vertAlign w:val="subscript"/>
              </w:rPr>
              <w:t>10</w:t>
            </w:r>
            <w:r w:rsidRPr="00BF15A2">
              <w:rPr>
                <w:bCs/>
                <w:strike/>
                <w:color w:val="D9D9D9" w:themeColor="background1" w:themeShade="D9"/>
                <w:sz w:val="20"/>
                <w:szCs w:val="20"/>
              </w:rPr>
              <w:t> </w:t>
            </w:r>
            <w:r w:rsidRPr="00BF15A2">
              <w:rPr>
                <w:bCs/>
                <w:strike/>
                <w:color w:val="D9D9D9" w:themeColor="background1" w:themeShade="D9"/>
                <w:sz w:val="20"/>
                <w:szCs w:val="20"/>
                <w:vertAlign w:val="subscript"/>
              </w:rPr>
              <w:t>CORR</w:t>
            </w:r>
            <w:r w:rsidRPr="00BF15A2">
              <w:rPr>
                <w:strike/>
                <w:color w:val="D9D9D9" w:themeColor="background1" w:themeShade="D9"/>
                <w:sz w:val="20"/>
                <w:szCs w:val="20"/>
              </w:rPr>
              <w:t xml:space="preserve"> &gt; 250</w:t>
            </w:r>
          </w:p>
        </w:tc>
        <w:tc>
          <w:tcPr>
            <w:tcW w:w="1177" w:type="pct"/>
            <w:tcBorders>
              <w:top w:val="single" w:sz="4" w:space="0" w:color="auto"/>
              <w:bottom w:val="single" w:sz="4" w:space="0" w:color="auto"/>
            </w:tcBorders>
          </w:tcPr>
          <w:p w14:paraId="789F99E7" w14:textId="77777777" w:rsidR="00E51CDD" w:rsidRPr="00BF15A2" w:rsidRDefault="00E51CDD" w:rsidP="00E51CDD">
            <w:pPr>
              <w:widowControl w:val="0"/>
              <w:rPr>
                <w:strike/>
                <w:noProof/>
                <w:color w:val="D9D9D9" w:themeColor="background1" w:themeShade="D9"/>
                <w:sz w:val="20"/>
                <w:szCs w:val="20"/>
                <w:lang w:val="en-GB"/>
              </w:rPr>
            </w:pPr>
            <w:r w:rsidRPr="00BF15A2">
              <w:rPr>
                <w:strike/>
                <w:noProof/>
                <w:color w:val="D9D9D9" w:themeColor="background1" w:themeShade="D9"/>
                <w:sz w:val="20"/>
                <w:szCs w:val="20"/>
                <w:lang w:val="en-GB"/>
              </w:rPr>
              <w:t xml:space="preserve">0.078 </w:t>
            </w:r>
            <w:r w:rsidRPr="00BF15A2">
              <w:rPr>
                <w:strike/>
                <w:noProof/>
                <w:color w:val="D9D9D9" w:themeColor="background1" w:themeShade="D9"/>
                <w:sz w:val="20"/>
                <w:szCs w:val="20"/>
                <w:vertAlign w:val="superscript"/>
                <w:lang w:val="en-GB"/>
              </w:rPr>
              <w:t>*</w:t>
            </w:r>
          </w:p>
        </w:tc>
        <w:tc>
          <w:tcPr>
            <w:tcW w:w="1176" w:type="pct"/>
            <w:tcBorders>
              <w:top w:val="single" w:sz="4" w:space="0" w:color="auto"/>
              <w:bottom w:val="single" w:sz="4" w:space="0" w:color="auto"/>
            </w:tcBorders>
          </w:tcPr>
          <w:p w14:paraId="1DE03273" w14:textId="77777777" w:rsidR="00E51CDD" w:rsidRPr="00BF15A2" w:rsidRDefault="00E51CDD" w:rsidP="00E51CDD">
            <w:pPr>
              <w:widowControl w:val="0"/>
              <w:rPr>
                <w:b/>
                <w:bCs/>
                <w:strike/>
                <w:noProof/>
                <w:color w:val="D9D9D9" w:themeColor="background1" w:themeShade="D9"/>
                <w:sz w:val="20"/>
                <w:szCs w:val="20"/>
                <w:lang w:val="en-GB"/>
              </w:rPr>
            </w:pPr>
            <w:r w:rsidRPr="00BF15A2">
              <w:rPr>
                <w:b/>
                <w:bCs/>
                <w:strike/>
                <w:noProof/>
                <w:color w:val="D9D9D9" w:themeColor="background1" w:themeShade="D9"/>
                <w:sz w:val="20"/>
                <w:szCs w:val="20"/>
                <w:lang w:val="en-GB"/>
              </w:rPr>
              <w:t>≥ 6410</w:t>
            </w:r>
          </w:p>
          <w:p w14:paraId="3CFC1F3F" w14:textId="77777777" w:rsidR="00E51CDD" w:rsidRPr="00BF15A2" w:rsidRDefault="00E51CDD" w:rsidP="00E51CDD">
            <w:pPr>
              <w:widowControl w:val="0"/>
              <w:rPr>
                <w:bCs/>
                <w:strike/>
                <w:noProof/>
                <w:color w:val="D9D9D9" w:themeColor="background1" w:themeShade="D9"/>
                <w:sz w:val="20"/>
                <w:szCs w:val="20"/>
                <w:lang w:val="en-GB"/>
              </w:rPr>
            </w:pPr>
            <w:r w:rsidRPr="00BF15A2">
              <w:rPr>
                <w:bCs/>
                <w:strike/>
                <w:noProof/>
                <w:color w:val="D9D9D9" w:themeColor="background1" w:themeShade="D9"/>
                <w:sz w:val="20"/>
                <w:szCs w:val="20"/>
                <w:lang w:val="en-GB"/>
              </w:rPr>
              <w:t>&gt; 6410</w:t>
            </w:r>
          </w:p>
          <w:p w14:paraId="2F4799F1" w14:textId="77777777" w:rsidR="00E51CDD" w:rsidRPr="00BF15A2" w:rsidRDefault="00E51CDD" w:rsidP="00E51CDD">
            <w:pPr>
              <w:widowControl w:val="0"/>
              <w:rPr>
                <w:bCs/>
                <w:strike/>
                <w:noProof/>
                <w:color w:val="D9D9D9" w:themeColor="background1" w:themeShade="D9"/>
                <w:sz w:val="20"/>
                <w:szCs w:val="20"/>
                <w:lang w:val="en-GB"/>
              </w:rPr>
            </w:pPr>
            <w:r w:rsidRPr="00BF15A2">
              <w:rPr>
                <w:bCs/>
                <w:strike/>
                <w:noProof/>
                <w:color w:val="D9D9D9" w:themeColor="background1" w:themeShade="D9"/>
                <w:sz w:val="20"/>
                <w:szCs w:val="20"/>
                <w:lang w:val="en-GB"/>
              </w:rPr>
              <w:t>≥ 3205</w:t>
            </w:r>
          </w:p>
          <w:p w14:paraId="68E97529" w14:textId="77777777" w:rsidR="00E51CDD" w:rsidRPr="00BF15A2" w:rsidRDefault="00E51CDD" w:rsidP="00E51CDD">
            <w:pPr>
              <w:widowControl w:val="0"/>
              <w:rPr>
                <w:bCs/>
                <w:strike/>
                <w:noProof/>
                <w:color w:val="D9D9D9" w:themeColor="background1" w:themeShade="D9"/>
                <w:sz w:val="20"/>
                <w:szCs w:val="20"/>
                <w:lang w:val="en-GB"/>
              </w:rPr>
            </w:pPr>
            <w:r w:rsidRPr="00BF15A2">
              <w:rPr>
                <w:bCs/>
                <w:strike/>
                <w:noProof/>
                <w:color w:val="D9D9D9" w:themeColor="background1" w:themeShade="D9"/>
                <w:sz w:val="20"/>
                <w:szCs w:val="20"/>
                <w:lang w:val="en-GB"/>
              </w:rPr>
              <w:t>&gt; 3205</w:t>
            </w:r>
          </w:p>
        </w:tc>
      </w:tr>
      <w:tr w:rsidR="00E51CDD" w:rsidRPr="00E51CDD" w14:paraId="41864E21" w14:textId="77777777" w:rsidTr="009938D9">
        <w:trPr>
          <w:cantSplit/>
        </w:trPr>
        <w:tc>
          <w:tcPr>
            <w:tcW w:w="1470" w:type="pct"/>
            <w:tcBorders>
              <w:top w:val="single" w:sz="4" w:space="0" w:color="auto"/>
              <w:bottom w:val="single" w:sz="4" w:space="0" w:color="auto"/>
            </w:tcBorders>
          </w:tcPr>
          <w:p w14:paraId="4B316149" w14:textId="77777777" w:rsidR="00E51CDD" w:rsidRPr="00E51CDD" w:rsidRDefault="00E51CDD" w:rsidP="00E51CDD">
            <w:pPr>
              <w:widowControl w:val="0"/>
              <w:rPr>
                <w:noProof/>
                <w:sz w:val="20"/>
                <w:szCs w:val="20"/>
                <w:lang w:val="en-GB"/>
              </w:rPr>
            </w:pPr>
            <w:r w:rsidRPr="00E51CDD">
              <w:rPr>
                <w:noProof/>
                <w:sz w:val="20"/>
                <w:szCs w:val="20"/>
                <w:lang w:val="en-GB"/>
              </w:rPr>
              <w:t>Metabolite,</w:t>
            </w:r>
            <w:r w:rsidRPr="00E51CDD">
              <w:rPr>
                <w:noProof/>
                <w:sz w:val="20"/>
                <w:szCs w:val="20"/>
                <w:lang w:val="en-GB"/>
              </w:rPr>
              <w:br/>
              <w:t>Reg. No. 5 435 595</w:t>
            </w:r>
            <w:r w:rsidRPr="00E51CDD">
              <w:rPr>
                <w:noProof/>
                <w:sz w:val="20"/>
                <w:szCs w:val="20"/>
                <w:lang w:val="en-GB"/>
              </w:rPr>
              <w:br/>
            </w:r>
            <w:r w:rsidRPr="00E51CDD">
              <w:rPr>
                <w:noProof/>
                <w:sz w:val="20"/>
                <w:szCs w:val="20"/>
              </w:rPr>
              <w:t>M700F002</w:t>
            </w:r>
          </w:p>
        </w:tc>
        <w:tc>
          <w:tcPr>
            <w:tcW w:w="1177" w:type="pct"/>
            <w:tcBorders>
              <w:top w:val="single" w:sz="4" w:space="0" w:color="auto"/>
              <w:bottom w:val="single" w:sz="4" w:space="0" w:color="auto"/>
            </w:tcBorders>
          </w:tcPr>
          <w:p w14:paraId="406DFAB2" w14:textId="77777777" w:rsidR="00E51CDD" w:rsidRPr="00E51CDD" w:rsidRDefault="00E51CDD" w:rsidP="00E51CDD">
            <w:pPr>
              <w:widowControl w:val="0"/>
              <w:rPr>
                <w:rFonts w:eastAsia="PMingLiU"/>
                <w:b/>
                <w:sz w:val="20"/>
                <w:szCs w:val="20"/>
              </w:rPr>
            </w:pPr>
            <w:r w:rsidRPr="00E51CDD">
              <w:rPr>
                <w:rFonts w:eastAsia="PMingLiU"/>
                <w:b/>
                <w:sz w:val="20"/>
                <w:szCs w:val="20"/>
              </w:rPr>
              <w:t>NOEC ≥ 1000</w:t>
            </w:r>
          </w:p>
        </w:tc>
        <w:tc>
          <w:tcPr>
            <w:tcW w:w="1177" w:type="pct"/>
            <w:tcBorders>
              <w:top w:val="single" w:sz="4" w:space="0" w:color="auto"/>
              <w:bottom w:val="single" w:sz="4" w:space="0" w:color="auto"/>
            </w:tcBorders>
          </w:tcPr>
          <w:p w14:paraId="56375BF3" w14:textId="77777777" w:rsidR="00E51CDD" w:rsidRPr="00E51CDD" w:rsidRDefault="00E51CDD" w:rsidP="00E51CDD">
            <w:pPr>
              <w:widowControl w:val="0"/>
              <w:rPr>
                <w:noProof/>
                <w:sz w:val="20"/>
                <w:szCs w:val="20"/>
                <w:vertAlign w:val="superscript"/>
                <w:lang w:val="en-GB"/>
              </w:rPr>
            </w:pPr>
            <w:r w:rsidRPr="00E51CDD">
              <w:rPr>
                <w:noProof/>
                <w:sz w:val="20"/>
                <w:szCs w:val="20"/>
                <w:lang w:val="en-GB"/>
              </w:rPr>
              <w:t xml:space="preserve">0.023 </w:t>
            </w:r>
            <w:r w:rsidRPr="00E51CDD">
              <w:rPr>
                <w:noProof/>
                <w:sz w:val="20"/>
                <w:szCs w:val="20"/>
                <w:vertAlign w:val="superscript"/>
                <w:lang w:val="en-GB"/>
              </w:rPr>
              <w:t>*</w:t>
            </w:r>
          </w:p>
        </w:tc>
        <w:tc>
          <w:tcPr>
            <w:tcW w:w="1176" w:type="pct"/>
            <w:tcBorders>
              <w:top w:val="single" w:sz="4" w:space="0" w:color="auto"/>
              <w:bottom w:val="single" w:sz="4" w:space="0" w:color="auto"/>
            </w:tcBorders>
          </w:tcPr>
          <w:p w14:paraId="24CF5897" w14:textId="77777777" w:rsidR="00E51CDD" w:rsidRPr="00E51CDD" w:rsidRDefault="00E51CDD" w:rsidP="00E51CDD">
            <w:pPr>
              <w:widowControl w:val="0"/>
              <w:rPr>
                <w:b/>
                <w:bCs/>
                <w:noProof/>
                <w:sz w:val="20"/>
                <w:szCs w:val="20"/>
                <w:lang w:val="en-GB"/>
              </w:rPr>
            </w:pPr>
            <w:r w:rsidRPr="00E51CDD">
              <w:rPr>
                <w:b/>
                <w:bCs/>
                <w:noProof/>
                <w:sz w:val="20"/>
                <w:szCs w:val="20"/>
                <w:lang w:val="en-GB"/>
              </w:rPr>
              <w:t>≥ 43478</w:t>
            </w:r>
          </w:p>
        </w:tc>
      </w:tr>
      <w:tr w:rsidR="00E51CDD" w:rsidRPr="00E51CDD" w14:paraId="61A629FC" w14:textId="77777777" w:rsidTr="009938D9">
        <w:trPr>
          <w:cantSplit/>
        </w:trPr>
        <w:tc>
          <w:tcPr>
            <w:tcW w:w="5000" w:type="pct"/>
            <w:gridSpan w:val="4"/>
            <w:tcBorders>
              <w:top w:val="single" w:sz="4" w:space="0" w:color="auto"/>
              <w:bottom w:val="single" w:sz="4" w:space="0" w:color="auto"/>
            </w:tcBorders>
          </w:tcPr>
          <w:p w14:paraId="58702772" w14:textId="77777777" w:rsidR="00E51CDD" w:rsidRPr="00E51CDD" w:rsidRDefault="00E51CDD" w:rsidP="00E51CDD">
            <w:pPr>
              <w:widowControl w:val="0"/>
              <w:rPr>
                <w:rFonts w:eastAsia="PMingLiU"/>
                <w:b/>
                <w:noProof/>
                <w:sz w:val="20"/>
                <w:szCs w:val="20"/>
              </w:rPr>
            </w:pPr>
            <w:r w:rsidRPr="00E51CDD">
              <w:rPr>
                <w:b/>
                <w:noProof/>
                <w:sz w:val="20"/>
                <w:szCs w:val="20"/>
                <w:lang w:val="en-GB"/>
              </w:rPr>
              <w:t>Soil mites (</w:t>
            </w:r>
            <w:r w:rsidRPr="00E51CDD">
              <w:rPr>
                <w:b/>
                <w:i/>
                <w:noProof/>
                <w:sz w:val="20"/>
                <w:szCs w:val="20"/>
                <w:lang w:val="en-GB"/>
              </w:rPr>
              <w:t>Hypoaspis aculeifer</w:t>
            </w:r>
            <w:r w:rsidRPr="00E51CDD">
              <w:rPr>
                <w:b/>
                <w:noProof/>
                <w:sz w:val="20"/>
                <w:szCs w:val="20"/>
                <w:lang w:val="en-GB"/>
              </w:rPr>
              <w:t>)</w:t>
            </w:r>
          </w:p>
        </w:tc>
      </w:tr>
      <w:tr w:rsidR="00E51CDD" w:rsidRPr="00E51CDD" w14:paraId="7C80A145" w14:textId="77777777" w:rsidTr="009938D9">
        <w:trPr>
          <w:cantSplit/>
        </w:trPr>
        <w:tc>
          <w:tcPr>
            <w:tcW w:w="1470" w:type="pct"/>
            <w:tcBorders>
              <w:top w:val="single" w:sz="4" w:space="0" w:color="auto"/>
              <w:bottom w:val="single" w:sz="4" w:space="0" w:color="auto"/>
            </w:tcBorders>
          </w:tcPr>
          <w:p w14:paraId="3EA5A621" w14:textId="77777777" w:rsidR="00E51CDD" w:rsidRPr="00BF15A2" w:rsidRDefault="00E51CDD" w:rsidP="00E51CDD">
            <w:pPr>
              <w:widowControl w:val="0"/>
              <w:rPr>
                <w:strike/>
                <w:noProof/>
                <w:color w:val="D9D9D9" w:themeColor="background1" w:themeShade="D9"/>
                <w:sz w:val="20"/>
                <w:szCs w:val="20"/>
                <w:lang w:val="en-GB"/>
              </w:rPr>
            </w:pPr>
            <w:r w:rsidRPr="00BF15A2">
              <w:rPr>
                <w:strike/>
                <w:noProof/>
                <w:color w:val="D9D9D9" w:themeColor="background1" w:themeShade="D9"/>
                <w:sz w:val="20"/>
                <w:szCs w:val="20"/>
                <w:lang w:val="en-GB"/>
              </w:rPr>
              <w:t>fluxapyroxad</w:t>
            </w:r>
          </w:p>
        </w:tc>
        <w:tc>
          <w:tcPr>
            <w:tcW w:w="1177" w:type="pct"/>
            <w:tcBorders>
              <w:top w:val="single" w:sz="4" w:space="0" w:color="auto"/>
              <w:bottom w:val="single" w:sz="4" w:space="0" w:color="auto"/>
            </w:tcBorders>
          </w:tcPr>
          <w:p w14:paraId="73E303F2" w14:textId="77777777" w:rsidR="00E51CDD" w:rsidRPr="00BF15A2" w:rsidRDefault="00E51CDD" w:rsidP="00E51CDD">
            <w:pPr>
              <w:widowControl w:val="0"/>
              <w:rPr>
                <w:rFonts w:eastAsia="PMingLiU"/>
                <w:strike/>
                <w:noProof/>
                <w:color w:val="D9D9D9" w:themeColor="background1" w:themeShade="D9"/>
                <w:sz w:val="20"/>
                <w:szCs w:val="20"/>
              </w:rPr>
            </w:pPr>
            <w:r w:rsidRPr="00BF15A2">
              <w:rPr>
                <w:b/>
                <w:strike/>
                <w:color w:val="D9D9D9" w:themeColor="background1" w:themeShade="D9"/>
                <w:sz w:val="20"/>
                <w:szCs w:val="20"/>
              </w:rPr>
              <w:t>NOEC ≥ 1000</w:t>
            </w:r>
            <w:r w:rsidRPr="00BF15A2">
              <w:rPr>
                <w:b/>
                <w:strike/>
                <w:color w:val="D9D9D9" w:themeColor="background1" w:themeShade="D9"/>
                <w:sz w:val="20"/>
                <w:szCs w:val="20"/>
              </w:rPr>
              <w:br/>
            </w:r>
            <w:r w:rsidRPr="00BF15A2">
              <w:rPr>
                <w:strike/>
                <w:color w:val="D9D9D9" w:themeColor="background1" w:themeShade="D9"/>
                <w:sz w:val="20"/>
                <w:szCs w:val="20"/>
              </w:rPr>
              <w:t>EC</w:t>
            </w:r>
            <w:r w:rsidRPr="00BF15A2">
              <w:rPr>
                <w:strike/>
                <w:color w:val="D9D9D9" w:themeColor="background1" w:themeShade="D9"/>
                <w:sz w:val="20"/>
                <w:szCs w:val="20"/>
                <w:vertAlign w:val="subscript"/>
              </w:rPr>
              <w:t>10</w:t>
            </w:r>
            <w:r w:rsidRPr="00BF15A2">
              <w:rPr>
                <w:strike/>
                <w:color w:val="D9D9D9" w:themeColor="background1" w:themeShade="D9"/>
                <w:sz w:val="20"/>
                <w:szCs w:val="20"/>
              </w:rPr>
              <w:t xml:space="preserve"> &gt; 1000</w:t>
            </w:r>
            <w:r w:rsidRPr="00BF15A2">
              <w:rPr>
                <w:strike/>
                <w:color w:val="D9D9D9" w:themeColor="background1" w:themeShade="D9"/>
                <w:sz w:val="20"/>
                <w:szCs w:val="20"/>
              </w:rPr>
              <w:br/>
            </w:r>
            <w:r w:rsidRPr="00BF15A2">
              <w:rPr>
                <w:bCs/>
                <w:strike/>
                <w:color w:val="D9D9D9" w:themeColor="background1" w:themeShade="D9"/>
                <w:sz w:val="20"/>
                <w:szCs w:val="20"/>
              </w:rPr>
              <w:t>NOEC </w:t>
            </w:r>
            <w:r w:rsidRPr="00BF15A2">
              <w:rPr>
                <w:bCs/>
                <w:strike/>
                <w:color w:val="D9D9D9" w:themeColor="background1" w:themeShade="D9"/>
                <w:sz w:val="20"/>
                <w:szCs w:val="20"/>
                <w:vertAlign w:val="subscript"/>
              </w:rPr>
              <w:t>CORR</w:t>
            </w:r>
            <w:r w:rsidRPr="00BF15A2">
              <w:rPr>
                <w:bCs/>
                <w:strike/>
                <w:color w:val="D9D9D9" w:themeColor="background1" w:themeShade="D9"/>
                <w:sz w:val="20"/>
                <w:szCs w:val="20"/>
              </w:rPr>
              <w:t xml:space="preserve"> </w:t>
            </w:r>
            <w:r w:rsidRPr="00BF15A2">
              <w:rPr>
                <w:rFonts w:eastAsia="PMingLiU"/>
                <w:bCs/>
                <w:strike/>
                <w:color w:val="D9D9D9" w:themeColor="background1" w:themeShade="D9"/>
                <w:sz w:val="20"/>
                <w:szCs w:val="20"/>
              </w:rPr>
              <w:t>≥</w:t>
            </w:r>
            <w:r w:rsidRPr="00BF15A2">
              <w:rPr>
                <w:bCs/>
                <w:strike/>
                <w:color w:val="D9D9D9" w:themeColor="background1" w:themeShade="D9"/>
                <w:sz w:val="20"/>
                <w:szCs w:val="20"/>
              </w:rPr>
              <w:t xml:space="preserve"> 500 </w:t>
            </w:r>
            <w:r w:rsidRPr="00BF15A2">
              <w:rPr>
                <w:strike/>
                <w:color w:val="D9D9D9" w:themeColor="background1" w:themeShade="D9"/>
                <w:sz w:val="20"/>
                <w:szCs w:val="20"/>
                <w:vertAlign w:val="superscript"/>
              </w:rPr>
              <w:t xml:space="preserve"> </w:t>
            </w:r>
            <w:r w:rsidRPr="00BF15A2">
              <w:rPr>
                <w:strike/>
                <w:color w:val="D9D9D9" w:themeColor="background1" w:themeShade="D9"/>
                <w:sz w:val="20"/>
                <w:szCs w:val="20"/>
              </w:rPr>
              <w:t xml:space="preserve"> </w:t>
            </w:r>
            <w:r w:rsidRPr="00BF15A2">
              <w:rPr>
                <w:strike/>
                <w:color w:val="D9D9D9" w:themeColor="background1" w:themeShade="D9"/>
                <w:sz w:val="20"/>
                <w:szCs w:val="20"/>
              </w:rPr>
              <w:br/>
              <w:t>EC</w:t>
            </w:r>
            <w:r w:rsidRPr="00BF15A2">
              <w:rPr>
                <w:strike/>
                <w:color w:val="D9D9D9" w:themeColor="background1" w:themeShade="D9"/>
                <w:sz w:val="20"/>
                <w:szCs w:val="20"/>
                <w:vertAlign w:val="subscript"/>
              </w:rPr>
              <w:t>10</w:t>
            </w:r>
            <w:r w:rsidRPr="00BF15A2">
              <w:rPr>
                <w:bCs/>
                <w:strike/>
                <w:color w:val="D9D9D9" w:themeColor="background1" w:themeShade="D9"/>
                <w:sz w:val="20"/>
                <w:szCs w:val="20"/>
              </w:rPr>
              <w:t> </w:t>
            </w:r>
            <w:r w:rsidRPr="00BF15A2">
              <w:rPr>
                <w:bCs/>
                <w:strike/>
                <w:color w:val="D9D9D9" w:themeColor="background1" w:themeShade="D9"/>
                <w:sz w:val="20"/>
                <w:szCs w:val="20"/>
                <w:vertAlign w:val="subscript"/>
              </w:rPr>
              <w:t>CORR</w:t>
            </w:r>
            <w:r w:rsidRPr="00BF15A2">
              <w:rPr>
                <w:strike/>
                <w:color w:val="D9D9D9" w:themeColor="background1" w:themeShade="D9"/>
                <w:sz w:val="20"/>
                <w:szCs w:val="20"/>
              </w:rPr>
              <w:t xml:space="preserve"> &gt; 500 </w:t>
            </w:r>
          </w:p>
        </w:tc>
        <w:tc>
          <w:tcPr>
            <w:tcW w:w="1177" w:type="pct"/>
            <w:tcBorders>
              <w:top w:val="single" w:sz="4" w:space="0" w:color="auto"/>
              <w:bottom w:val="single" w:sz="4" w:space="0" w:color="auto"/>
            </w:tcBorders>
          </w:tcPr>
          <w:p w14:paraId="671B5173" w14:textId="77777777" w:rsidR="00E51CDD" w:rsidRPr="00BF15A2" w:rsidRDefault="00E51CDD" w:rsidP="00E51CDD">
            <w:pPr>
              <w:widowControl w:val="0"/>
              <w:rPr>
                <w:strike/>
                <w:noProof/>
                <w:color w:val="D9D9D9" w:themeColor="background1" w:themeShade="D9"/>
                <w:sz w:val="20"/>
                <w:szCs w:val="20"/>
                <w:lang w:val="en-GB"/>
              </w:rPr>
            </w:pPr>
            <w:r w:rsidRPr="00BF15A2">
              <w:rPr>
                <w:strike/>
                <w:noProof/>
                <w:color w:val="D9D9D9" w:themeColor="background1" w:themeShade="D9"/>
                <w:sz w:val="20"/>
                <w:szCs w:val="20"/>
                <w:lang w:val="en-GB"/>
              </w:rPr>
              <w:t xml:space="preserve">0.078 </w:t>
            </w:r>
            <w:r w:rsidRPr="00BF15A2">
              <w:rPr>
                <w:strike/>
                <w:noProof/>
                <w:color w:val="D9D9D9" w:themeColor="background1" w:themeShade="D9"/>
                <w:sz w:val="20"/>
                <w:szCs w:val="20"/>
                <w:vertAlign w:val="superscript"/>
                <w:lang w:val="en-GB"/>
              </w:rPr>
              <w:t>*</w:t>
            </w:r>
          </w:p>
        </w:tc>
        <w:tc>
          <w:tcPr>
            <w:tcW w:w="1176" w:type="pct"/>
            <w:tcBorders>
              <w:top w:val="single" w:sz="4" w:space="0" w:color="auto"/>
              <w:bottom w:val="single" w:sz="4" w:space="0" w:color="auto"/>
            </w:tcBorders>
          </w:tcPr>
          <w:p w14:paraId="1E109068" w14:textId="77777777" w:rsidR="00E51CDD" w:rsidRPr="00BF15A2" w:rsidRDefault="00E51CDD" w:rsidP="00E51CDD">
            <w:pPr>
              <w:widowControl w:val="0"/>
              <w:rPr>
                <w:rFonts w:eastAsia="PMingLiU"/>
                <w:b/>
                <w:bCs/>
                <w:strike/>
                <w:noProof/>
                <w:color w:val="D9D9D9" w:themeColor="background1" w:themeShade="D9"/>
                <w:sz w:val="20"/>
                <w:szCs w:val="20"/>
              </w:rPr>
            </w:pPr>
            <w:r w:rsidRPr="00BF15A2">
              <w:rPr>
                <w:rFonts w:eastAsia="PMingLiU"/>
                <w:b/>
                <w:bCs/>
                <w:strike/>
                <w:color w:val="D9D9D9" w:themeColor="background1" w:themeShade="D9"/>
                <w:sz w:val="20"/>
                <w:szCs w:val="20"/>
              </w:rPr>
              <w:t xml:space="preserve">≥ </w:t>
            </w:r>
            <w:r w:rsidRPr="00BF15A2">
              <w:rPr>
                <w:b/>
                <w:bCs/>
                <w:strike/>
                <w:color w:val="D9D9D9" w:themeColor="background1" w:themeShade="D9"/>
                <w:sz w:val="20"/>
                <w:szCs w:val="20"/>
              </w:rPr>
              <w:t>12821</w:t>
            </w:r>
            <w:r w:rsidRPr="00BF15A2">
              <w:rPr>
                <w:b/>
                <w:bCs/>
                <w:strike/>
                <w:color w:val="D9D9D9" w:themeColor="background1" w:themeShade="D9"/>
                <w:sz w:val="20"/>
                <w:szCs w:val="20"/>
              </w:rPr>
              <w:br/>
            </w:r>
            <w:r w:rsidRPr="00BF15A2">
              <w:rPr>
                <w:strike/>
                <w:color w:val="D9D9D9" w:themeColor="background1" w:themeShade="D9"/>
                <w:sz w:val="20"/>
                <w:szCs w:val="20"/>
              </w:rPr>
              <w:t>&gt; 12821</w:t>
            </w:r>
            <w:r w:rsidRPr="00BF15A2">
              <w:rPr>
                <w:strike/>
                <w:color w:val="D9D9D9" w:themeColor="background1" w:themeShade="D9"/>
                <w:sz w:val="20"/>
                <w:szCs w:val="20"/>
              </w:rPr>
              <w:br/>
            </w:r>
            <w:r w:rsidRPr="00BF15A2">
              <w:rPr>
                <w:rFonts w:eastAsia="PMingLiU"/>
                <w:strike/>
                <w:color w:val="D9D9D9" w:themeColor="background1" w:themeShade="D9"/>
                <w:sz w:val="20"/>
                <w:szCs w:val="20"/>
              </w:rPr>
              <w:t xml:space="preserve">≥ </w:t>
            </w:r>
            <w:r w:rsidRPr="00BF15A2">
              <w:rPr>
                <w:strike/>
                <w:color w:val="D9D9D9" w:themeColor="background1" w:themeShade="D9"/>
                <w:sz w:val="20"/>
                <w:szCs w:val="20"/>
              </w:rPr>
              <w:t>6410</w:t>
            </w:r>
            <w:r w:rsidRPr="00BF15A2">
              <w:rPr>
                <w:strike/>
                <w:color w:val="D9D9D9" w:themeColor="background1" w:themeShade="D9"/>
                <w:sz w:val="20"/>
                <w:szCs w:val="20"/>
              </w:rPr>
              <w:br/>
              <w:t>&gt; 6410</w:t>
            </w:r>
          </w:p>
        </w:tc>
      </w:tr>
    </w:tbl>
    <w:p w14:paraId="6DB7DCCF" w14:textId="77777777" w:rsidR="00E51CDD" w:rsidRPr="00E51CDD" w:rsidRDefault="00E51CDD" w:rsidP="00E51CDD">
      <w:pPr>
        <w:widowControl w:val="0"/>
        <w:ind w:left="284" w:hanging="284"/>
        <w:jc w:val="both"/>
        <w:rPr>
          <w:sz w:val="18"/>
          <w:szCs w:val="18"/>
          <w:lang w:val="en-GB"/>
        </w:rPr>
      </w:pPr>
      <w:r w:rsidRPr="00E51CDD">
        <w:rPr>
          <w:sz w:val="18"/>
          <w:szCs w:val="18"/>
          <w:lang w:val="en-GB"/>
        </w:rPr>
        <w:t xml:space="preserve">Values in </w:t>
      </w:r>
      <w:r w:rsidRPr="00E51CDD">
        <w:rPr>
          <w:b/>
          <w:bCs/>
          <w:sz w:val="18"/>
          <w:szCs w:val="18"/>
          <w:lang w:val="en-GB"/>
        </w:rPr>
        <w:t>bold</w:t>
      </w:r>
      <w:r w:rsidRPr="00E51CDD">
        <w:rPr>
          <w:sz w:val="18"/>
          <w:szCs w:val="18"/>
          <w:lang w:val="en-GB"/>
        </w:rPr>
        <w:t xml:space="preserve"> are relevant for the conclusion of the risk assessment.</w:t>
      </w:r>
    </w:p>
    <w:p w14:paraId="419EDE12" w14:textId="77777777" w:rsidR="00E51CDD" w:rsidRPr="00E51CDD" w:rsidRDefault="00E51CDD" w:rsidP="00E51CDD">
      <w:pPr>
        <w:widowControl w:val="0"/>
        <w:ind w:left="284" w:hanging="284"/>
        <w:jc w:val="both"/>
        <w:rPr>
          <w:sz w:val="18"/>
          <w:lang w:val="en-GB"/>
        </w:rPr>
      </w:pPr>
      <w:r w:rsidRPr="00E51CDD">
        <w:rPr>
          <w:sz w:val="18"/>
          <w:vertAlign w:val="superscript"/>
          <w:lang w:val="en-GB"/>
        </w:rPr>
        <w:t>*</w:t>
      </w:r>
      <w:r w:rsidRPr="00E51CDD">
        <w:rPr>
          <w:sz w:val="18"/>
          <w:vertAlign w:val="superscript"/>
          <w:lang w:val="en-GB"/>
        </w:rPr>
        <w:tab/>
      </w:r>
      <w:r w:rsidRPr="00E51CDD">
        <w:rPr>
          <w:sz w:val="18"/>
          <w:lang w:val="en-GB"/>
        </w:rPr>
        <w:t>PEC</w:t>
      </w:r>
      <w:r w:rsidRPr="00E51CDD">
        <w:rPr>
          <w:sz w:val="18"/>
          <w:vertAlign w:val="subscript"/>
          <w:lang w:val="en-GB"/>
        </w:rPr>
        <w:t xml:space="preserve">soil, accu. </w:t>
      </w:r>
      <w:r w:rsidRPr="00E51CDD">
        <w:rPr>
          <w:sz w:val="18"/>
        </w:rPr>
        <w:t>For details please refer to section 8, chapter 8.7.</w:t>
      </w:r>
    </w:p>
    <w:p w14:paraId="06BA2F89" w14:textId="77777777" w:rsidR="00E51CDD" w:rsidRPr="00E51CDD" w:rsidRDefault="00E51CDD" w:rsidP="00E51CDD">
      <w:pPr>
        <w:widowControl w:val="0"/>
        <w:jc w:val="both"/>
        <w:rPr>
          <w:lang w:val="en-GB"/>
        </w:rPr>
      </w:pPr>
      <w:r w:rsidRPr="00E51CDD">
        <w:rPr>
          <w:lang w:val="en-GB"/>
        </w:rPr>
        <w:br w:type="page"/>
      </w:r>
    </w:p>
    <w:p w14:paraId="2FBE49D3" w14:textId="61AFAF9D" w:rsidR="00E51CDD" w:rsidRPr="00E51CDD" w:rsidRDefault="00E51CDD" w:rsidP="00E51CDD">
      <w:pPr>
        <w:tabs>
          <w:tab w:val="left" w:pos="1984"/>
        </w:tabs>
        <w:spacing w:line="280" w:lineRule="exact"/>
        <w:ind w:left="1985" w:hanging="1985"/>
        <w:jc w:val="both"/>
        <w:rPr>
          <w:b/>
          <w:lang w:val="en-GB" w:eastAsia="en-US"/>
        </w:rPr>
      </w:pPr>
      <w:bookmarkStart w:id="847" w:name="_Ref5000478"/>
      <w:r w:rsidRPr="00E51CDD">
        <w:rPr>
          <w:b/>
          <w:lang w:val="en-GB" w:eastAsia="en-US"/>
        </w:rPr>
        <w:lastRenderedPageBreak/>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9.8</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5</w:t>
      </w:r>
      <w:r w:rsidRPr="00E51CDD">
        <w:rPr>
          <w:b/>
          <w:lang w:val="en-GB" w:eastAsia="en-US"/>
        </w:rPr>
        <w:fldChar w:fldCharType="end"/>
      </w:r>
      <w:bookmarkEnd w:id="847"/>
      <w:r w:rsidRPr="00E51CDD">
        <w:rPr>
          <w:b/>
          <w:lang w:val="en-GB" w:eastAsia="en-US"/>
        </w:rPr>
        <w:t>:</w:t>
      </w:r>
      <w:r w:rsidRPr="00E51CDD">
        <w:rPr>
          <w:b/>
          <w:lang w:val="en-GB" w:eastAsia="en-US"/>
        </w:rPr>
        <w:tab/>
        <w:t>First-tier assessment of the chronic risk for earthworms and other non-target soil organisms (meso- and macrofauna) due to the use of azoxystrobin as contained in BAS 736 00 F according to the proposed use pattern</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200"/>
        <w:gridCol w:w="2200"/>
        <w:gridCol w:w="2198"/>
      </w:tblGrid>
      <w:tr w:rsidR="00E51CDD" w:rsidRPr="00A334C7" w14:paraId="215C7EDF" w14:textId="77777777" w:rsidTr="009938D9">
        <w:trPr>
          <w:cantSplit/>
        </w:trPr>
        <w:tc>
          <w:tcPr>
            <w:tcW w:w="1470" w:type="pct"/>
            <w:tcBorders>
              <w:top w:val="single" w:sz="4" w:space="0" w:color="auto"/>
              <w:bottom w:val="single" w:sz="4" w:space="0" w:color="auto"/>
            </w:tcBorders>
          </w:tcPr>
          <w:p w14:paraId="32230031" w14:textId="77777777" w:rsidR="00E51CDD" w:rsidRPr="00A334C7" w:rsidRDefault="00E51CDD" w:rsidP="00E51CDD">
            <w:pPr>
              <w:widowControl w:val="0"/>
              <w:rPr>
                <w:b/>
                <w:bCs/>
                <w:sz w:val="20"/>
                <w:szCs w:val="20"/>
                <w:lang w:val="en-GB"/>
              </w:rPr>
            </w:pPr>
            <w:r w:rsidRPr="00A334C7">
              <w:rPr>
                <w:b/>
                <w:bCs/>
                <w:sz w:val="20"/>
                <w:szCs w:val="20"/>
                <w:lang w:val="en-GB"/>
              </w:rPr>
              <w:t>Intended use</w:t>
            </w:r>
          </w:p>
        </w:tc>
        <w:tc>
          <w:tcPr>
            <w:tcW w:w="3530" w:type="pct"/>
            <w:gridSpan w:val="3"/>
            <w:tcBorders>
              <w:top w:val="single" w:sz="4" w:space="0" w:color="auto"/>
              <w:bottom w:val="single" w:sz="4" w:space="0" w:color="auto"/>
            </w:tcBorders>
          </w:tcPr>
          <w:p w14:paraId="03CB17CB" w14:textId="77777777" w:rsidR="00E51CDD" w:rsidRPr="00A334C7" w:rsidRDefault="00E51CDD" w:rsidP="00E51CDD">
            <w:pPr>
              <w:widowControl w:val="0"/>
              <w:rPr>
                <w:noProof/>
                <w:sz w:val="20"/>
                <w:szCs w:val="20"/>
                <w:vertAlign w:val="superscript"/>
                <w:lang w:val="en-GB"/>
              </w:rPr>
            </w:pPr>
            <w:r w:rsidRPr="00A334C7">
              <w:rPr>
                <w:noProof/>
                <w:sz w:val="20"/>
                <w:szCs w:val="20"/>
                <w:lang w:val="en-GB"/>
              </w:rPr>
              <w:t>2 x 150 g azoxystrobin/ha in cereals</w:t>
            </w:r>
          </w:p>
        </w:tc>
      </w:tr>
      <w:tr w:rsidR="0005573E" w:rsidRPr="00A334C7" w14:paraId="28AD9FF4" w14:textId="77777777" w:rsidTr="0005573E">
        <w:trPr>
          <w:cantSplit/>
        </w:trPr>
        <w:tc>
          <w:tcPr>
            <w:tcW w:w="5000" w:type="pct"/>
            <w:gridSpan w:val="4"/>
            <w:tcBorders>
              <w:top w:val="single" w:sz="4" w:space="0" w:color="auto"/>
            </w:tcBorders>
          </w:tcPr>
          <w:p w14:paraId="6AAA773F" w14:textId="05262C8C" w:rsidR="0005573E" w:rsidRPr="00D67A85" w:rsidRDefault="0005573E" w:rsidP="0005573E">
            <w:pPr>
              <w:widowControl w:val="0"/>
              <w:rPr>
                <w:b/>
                <w:bCs/>
                <w:strike/>
                <w:color w:val="D9D9D9" w:themeColor="background1" w:themeShade="D9"/>
                <w:sz w:val="20"/>
                <w:szCs w:val="20"/>
                <w:lang w:val="en-GB"/>
              </w:rPr>
            </w:pPr>
            <w:r w:rsidRPr="00D67A85">
              <w:rPr>
                <w:b/>
                <w:bCs/>
                <w:strike/>
                <w:color w:val="D9D9D9" w:themeColor="background1" w:themeShade="D9"/>
                <w:sz w:val="20"/>
                <w:szCs w:val="20"/>
                <w:lang w:val="en-GB"/>
              </w:rPr>
              <w:t>Acute effects on earthworms</w:t>
            </w:r>
          </w:p>
        </w:tc>
      </w:tr>
      <w:tr w:rsidR="0005573E" w:rsidRPr="00A334C7" w14:paraId="1A068CBB" w14:textId="77777777" w:rsidTr="0005573E">
        <w:trPr>
          <w:cantSplit/>
        </w:trPr>
        <w:tc>
          <w:tcPr>
            <w:tcW w:w="1470" w:type="pct"/>
            <w:tcBorders>
              <w:top w:val="single" w:sz="4" w:space="0" w:color="auto"/>
            </w:tcBorders>
          </w:tcPr>
          <w:p w14:paraId="0D9B8385" w14:textId="118C5D01" w:rsidR="0005573E" w:rsidRPr="00D67A85" w:rsidRDefault="0005573E" w:rsidP="0005573E">
            <w:pPr>
              <w:widowControl w:val="0"/>
              <w:rPr>
                <w:b/>
                <w:bCs/>
                <w:strike/>
                <w:color w:val="D9D9D9" w:themeColor="background1" w:themeShade="D9"/>
                <w:sz w:val="20"/>
                <w:szCs w:val="20"/>
                <w:lang w:val="en-GB"/>
              </w:rPr>
            </w:pPr>
            <w:r w:rsidRPr="00D67A85">
              <w:rPr>
                <w:b/>
                <w:bCs/>
                <w:strike/>
                <w:color w:val="D9D9D9" w:themeColor="background1" w:themeShade="D9"/>
                <w:sz w:val="20"/>
                <w:szCs w:val="20"/>
                <w:lang w:val="en-GB"/>
              </w:rPr>
              <w:t>Active substance/metabolite</w:t>
            </w:r>
          </w:p>
        </w:tc>
        <w:tc>
          <w:tcPr>
            <w:tcW w:w="1177" w:type="pct"/>
            <w:tcBorders>
              <w:top w:val="single" w:sz="4" w:space="0" w:color="auto"/>
            </w:tcBorders>
          </w:tcPr>
          <w:p w14:paraId="221137BF" w14:textId="25BD37CF" w:rsidR="0005573E" w:rsidRPr="00D67A85" w:rsidRDefault="0005573E" w:rsidP="0005573E">
            <w:pPr>
              <w:widowControl w:val="0"/>
              <w:rPr>
                <w:b/>
                <w:bCs/>
                <w:strike/>
                <w:color w:val="D9D9D9" w:themeColor="background1" w:themeShade="D9"/>
                <w:sz w:val="20"/>
                <w:szCs w:val="20"/>
                <w:lang w:val="en-GB"/>
              </w:rPr>
            </w:pPr>
            <w:r w:rsidRPr="00D67A85">
              <w:rPr>
                <w:b/>
                <w:bCs/>
                <w:strike/>
                <w:color w:val="D9D9D9" w:themeColor="background1" w:themeShade="D9"/>
                <w:sz w:val="20"/>
                <w:szCs w:val="20"/>
              </w:rPr>
              <w:t>Endpoint</w:t>
            </w:r>
            <w:r w:rsidRPr="00D67A85">
              <w:rPr>
                <w:b/>
                <w:bCs/>
                <w:strike/>
                <w:color w:val="D9D9D9" w:themeColor="background1" w:themeShade="D9"/>
                <w:sz w:val="20"/>
                <w:szCs w:val="20"/>
              </w:rPr>
              <w:br/>
              <w:t>(mg/kg dry soil)</w:t>
            </w:r>
          </w:p>
        </w:tc>
        <w:tc>
          <w:tcPr>
            <w:tcW w:w="1177" w:type="pct"/>
            <w:tcBorders>
              <w:top w:val="single" w:sz="4" w:space="0" w:color="auto"/>
            </w:tcBorders>
          </w:tcPr>
          <w:p w14:paraId="0994573B" w14:textId="562FE6BD" w:rsidR="0005573E" w:rsidRPr="00D67A85" w:rsidRDefault="0005573E" w:rsidP="0005573E">
            <w:pPr>
              <w:widowControl w:val="0"/>
              <w:rPr>
                <w:b/>
                <w:bCs/>
                <w:strike/>
                <w:color w:val="D9D9D9" w:themeColor="background1" w:themeShade="D9"/>
                <w:sz w:val="20"/>
                <w:szCs w:val="20"/>
                <w:lang w:val="en-GB"/>
              </w:rPr>
            </w:pPr>
            <w:r w:rsidRPr="00D67A85">
              <w:rPr>
                <w:b/>
                <w:bCs/>
                <w:strike/>
                <w:color w:val="D9D9D9" w:themeColor="background1" w:themeShade="D9"/>
                <w:sz w:val="20"/>
                <w:szCs w:val="20"/>
                <w:lang w:val="en-GB"/>
              </w:rPr>
              <w:t>PEC</w:t>
            </w:r>
            <w:r w:rsidRPr="00D67A85">
              <w:rPr>
                <w:b/>
                <w:bCs/>
                <w:strike/>
                <w:color w:val="D9D9D9" w:themeColor="background1" w:themeShade="D9"/>
                <w:sz w:val="20"/>
                <w:szCs w:val="20"/>
                <w:vertAlign w:val="subscript"/>
                <w:lang w:val="en-GB"/>
              </w:rPr>
              <w:t>soil</w:t>
            </w:r>
            <w:r w:rsidRPr="00D67A85">
              <w:rPr>
                <w:b/>
                <w:bCs/>
                <w:strike/>
                <w:color w:val="D9D9D9" w:themeColor="background1" w:themeShade="D9"/>
                <w:sz w:val="20"/>
                <w:szCs w:val="20"/>
                <w:vertAlign w:val="subscript"/>
                <w:lang w:val="en-GB"/>
              </w:rPr>
              <w:br/>
            </w:r>
            <w:r w:rsidRPr="00D67A85">
              <w:rPr>
                <w:b/>
                <w:bCs/>
                <w:strike/>
                <w:color w:val="D9D9D9" w:themeColor="background1" w:themeShade="D9"/>
                <w:sz w:val="20"/>
                <w:szCs w:val="20"/>
                <w:lang w:val="en-GB"/>
              </w:rPr>
              <w:t>(mg/kg dry soil)</w:t>
            </w:r>
          </w:p>
        </w:tc>
        <w:tc>
          <w:tcPr>
            <w:tcW w:w="1176" w:type="pct"/>
            <w:tcBorders>
              <w:top w:val="single" w:sz="4" w:space="0" w:color="auto"/>
            </w:tcBorders>
          </w:tcPr>
          <w:p w14:paraId="1AE338CB" w14:textId="76FD0029" w:rsidR="0005573E" w:rsidRPr="00D67A85" w:rsidRDefault="0005573E" w:rsidP="0005573E">
            <w:pPr>
              <w:widowControl w:val="0"/>
              <w:rPr>
                <w:b/>
                <w:bCs/>
                <w:strike/>
                <w:color w:val="D9D9D9" w:themeColor="background1" w:themeShade="D9"/>
                <w:sz w:val="20"/>
                <w:szCs w:val="20"/>
                <w:lang w:val="en-GB"/>
              </w:rPr>
            </w:pPr>
            <w:r w:rsidRPr="00D67A85">
              <w:rPr>
                <w:b/>
                <w:bCs/>
                <w:strike/>
                <w:color w:val="D9D9D9" w:themeColor="background1" w:themeShade="D9"/>
                <w:sz w:val="20"/>
                <w:szCs w:val="20"/>
                <w:lang w:val="en-GB"/>
              </w:rPr>
              <w:t>TER</w:t>
            </w:r>
            <w:r w:rsidRPr="00D67A85">
              <w:rPr>
                <w:b/>
                <w:bCs/>
                <w:strike/>
                <w:color w:val="D9D9D9" w:themeColor="background1" w:themeShade="D9"/>
                <w:sz w:val="20"/>
                <w:szCs w:val="20"/>
                <w:vertAlign w:val="subscript"/>
                <w:lang w:val="en-GB"/>
              </w:rPr>
              <w:t>lt</w:t>
            </w:r>
            <w:r w:rsidRPr="00D67A85">
              <w:rPr>
                <w:b/>
                <w:bCs/>
                <w:strike/>
                <w:color w:val="D9D9D9" w:themeColor="background1" w:themeShade="D9"/>
                <w:sz w:val="20"/>
                <w:szCs w:val="20"/>
                <w:vertAlign w:val="subscript"/>
                <w:lang w:val="en-GB"/>
              </w:rPr>
              <w:br/>
            </w:r>
            <w:r w:rsidRPr="00D67A85">
              <w:rPr>
                <w:b/>
                <w:bCs/>
                <w:strike/>
                <w:color w:val="D9D9D9" w:themeColor="background1" w:themeShade="D9"/>
                <w:sz w:val="20"/>
                <w:szCs w:val="20"/>
                <w:lang w:val="en-GB"/>
              </w:rPr>
              <w:t xml:space="preserve">(criterion TER ≥ </w:t>
            </w:r>
            <w:r w:rsidR="00737850" w:rsidRPr="00D67A85">
              <w:rPr>
                <w:b/>
                <w:bCs/>
                <w:strike/>
                <w:color w:val="D9D9D9" w:themeColor="background1" w:themeShade="D9"/>
                <w:sz w:val="20"/>
                <w:szCs w:val="20"/>
                <w:lang w:val="en-GB"/>
              </w:rPr>
              <w:t>10</w:t>
            </w:r>
            <w:r w:rsidRPr="00D67A85">
              <w:rPr>
                <w:b/>
                <w:bCs/>
                <w:strike/>
                <w:color w:val="D9D9D9" w:themeColor="background1" w:themeShade="D9"/>
                <w:sz w:val="20"/>
                <w:szCs w:val="20"/>
                <w:lang w:val="en-GB"/>
              </w:rPr>
              <w:t>)</w:t>
            </w:r>
          </w:p>
        </w:tc>
      </w:tr>
      <w:tr w:rsidR="0005573E" w:rsidRPr="00A334C7" w14:paraId="5C0F8CFE" w14:textId="77777777" w:rsidTr="00737850">
        <w:trPr>
          <w:cantSplit/>
        </w:trPr>
        <w:tc>
          <w:tcPr>
            <w:tcW w:w="1470" w:type="pct"/>
            <w:tcBorders>
              <w:top w:val="single" w:sz="4" w:space="0" w:color="auto"/>
            </w:tcBorders>
          </w:tcPr>
          <w:p w14:paraId="4C4873DC" w14:textId="23C9BE37" w:rsidR="0005573E" w:rsidRPr="00D67A85" w:rsidRDefault="0005573E" w:rsidP="0005573E">
            <w:pPr>
              <w:widowControl w:val="0"/>
              <w:rPr>
                <w:b/>
                <w:bCs/>
                <w:strike/>
                <w:color w:val="D9D9D9" w:themeColor="background1" w:themeShade="D9"/>
                <w:sz w:val="20"/>
                <w:szCs w:val="20"/>
                <w:lang w:val="en-GB"/>
              </w:rPr>
            </w:pPr>
            <w:r w:rsidRPr="00D67A85">
              <w:rPr>
                <w:strike/>
                <w:color w:val="D9D9D9" w:themeColor="background1" w:themeShade="D9"/>
                <w:sz w:val="20"/>
                <w:szCs w:val="20"/>
              </w:rPr>
              <w:t>Azoxystrobin</w:t>
            </w:r>
          </w:p>
        </w:tc>
        <w:tc>
          <w:tcPr>
            <w:tcW w:w="1177" w:type="pct"/>
            <w:tcBorders>
              <w:top w:val="single" w:sz="4" w:space="0" w:color="auto"/>
            </w:tcBorders>
          </w:tcPr>
          <w:p w14:paraId="12919DC9" w14:textId="4B74339B" w:rsidR="0005573E" w:rsidRPr="00D67A85" w:rsidRDefault="0005573E" w:rsidP="0005573E">
            <w:pPr>
              <w:widowControl w:val="0"/>
              <w:rPr>
                <w:b/>
                <w:bCs/>
                <w:strike/>
                <w:color w:val="D9D9D9" w:themeColor="background1" w:themeShade="D9"/>
                <w:sz w:val="20"/>
                <w:szCs w:val="20"/>
                <w:lang w:val="en-GB"/>
              </w:rPr>
            </w:pPr>
            <w:r w:rsidRPr="00D67A85">
              <w:rPr>
                <w:b/>
                <w:strike/>
                <w:color w:val="D9D9D9" w:themeColor="background1" w:themeShade="D9"/>
                <w:sz w:val="20"/>
                <w:szCs w:val="20"/>
              </w:rPr>
              <w:t>LC</w:t>
            </w:r>
            <w:r w:rsidRPr="00D67A85">
              <w:rPr>
                <w:b/>
                <w:strike/>
                <w:color w:val="D9D9D9" w:themeColor="background1" w:themeShade="D9"/>
                <w:sz w:val="20"/>
                <w:szCs w:val="20"/>
                <w:vertAlign w:val="subscript"/>
              </w:rPr>
              <w:t>50 CORR</w:t>
            </w:r>
            <w:r w:rsidRPr="00D67A85">
              <w:rPr>
                <w:b/>
                <w:strike/>
                <w:color w:val="D9D9D9" w:themeColor="background1" w:themeShade="D9"/>
                <w:sz w:val="20"/>
                <w:szCs w:val="20"/>
              </w:rPr>
              <w:t xml:space="preserve"> = 142</w:t>
            </w:r>
          </w:p>
        </w:tc>
        <w:tc>
          <w:tcPr>
            <w:tcW w:w="1177" w:type="pct"/>
            <w:tcBorders>
              <w:top w:val="single" w:sz="4" w:space="0" w:color="auto"/>
            </w:tcBorders>
            <w:vAlign w:val="center"/>
          </w:tcPr>
          <w:p w14:paraId="775ED9D8" w14:textId="5B5BE119" w:rsidR="0005573E" w:rsidRPr="00D67A85" w:rsidRDefault="0005573E" w:rsidP="0005573E">
            <w:pPr>
              <w:widowControl w:val="0"/>
              <w:rPr>
                <w:b/>
                <w:bCs/>
                <w:strike/>
                <w:color w:val="D9D9D9" w:themeColor="background1" w:themeShade="D9"/>
                <w:sz w:val="20"/>
                <w:szCs w:val="20"/>
                <w:lang w:val="en-GB"/>
              </w:rPr>
            </w:pPr>
            <w:r w:rsidRPr="00D67A85">
              <w:rPr>
                <w:strike/>
                <w:color w:val="D9D9D9" w:themeColor="background1" w:themeShade="D9"/>
                <w:sz w:val="20"/>
                <w:szCs w:val="20"/>
              </w:rPr>
              <w:t>0.091</w:t>
            </w:r>
          </w:p>
        </w:tc>
        <w:tc>
          <w:tcPr>
            <w:tcW w:w="1176" w:type="pct"/>
            <w:tcBorders>
              <w:top w:val="single" w:sz="4" w:space="0" w:color="auto"/>
            </w:tcBorders>
          </w:tcPr>
          <w:p w14:paraId="0CD82BA8" w14:textId="6F07B4E6" w:rsidR="0005573E" w:rsidRPr="00D67A85" w:rsidRDefault="0005573E" w:rsidP="0005573E">
            <w:pPr>
              <w:widowControl w:val="0"/>
              <w:rPr>
                <w:b/>
                <w:bCs/>
                <w:strike/>
                <w:color w:val="D9D9D9" w:themeColor="background1" w:themeShade="D9"/>
                <w:sz w:val="20"/>
                <w:szCs w:val="20"/>
                <w:lang w:val="en-GB"/>
              </w:rPr>
            </w:pPr>
            <w:r w:rsidRPr="00D67A85">
              <w:rPr>
                <w:b/>
                <w:strike/>
                <w:color w:val="D9D9D9" w:themeColor="background1" w:themeShade="D9"/>
                <w:sz w:val="20"/>
                <w:szCs w:val="20"/>
              </w:rPr>
              <w:t>1560</w:t>
            </w:r>
          </w:p>
        </w:tc>
      </w:tr>
      <w:tr w:rsidR="0005573E" w:rsidRPr="00A334C7" w14:paraId="5DB1FE5A" w14:textId="77777777" w:rsidTr="00737850">
        <w:trPr>
          <w:cantSplit/>
        </w:trPr>
        <w:tc>
          <w:tcPr>
            <w:tcW w:w="1470" w:type="pct"/>
            <w:tcBorders>
              <w:top w:val="single" w:sz="4" w:space="0" w:color="auto"/>
            </w:tcBorders>
          </w:tcPr>
          <w:p w14:paraId="490D8486" w14:textId="15C9CAD3" w:rsidR="0005573E" w:rsidRPr="00D67A85" w:rsidRDefault="0005573E" w:rsidP="0005573E">
            <w:pPr>
              <w:widowControl w:val="0"/>
              <w:rPr>
                <w:b/>
                <w:bCs/>
                <w:strike/>
                <w:color w:val="D9D9D9" w:themeColor="background1" w:themeShade="D9"/>
                <w:sz w:val="20"/>
                <w:szCs w:val="20"/>
                <w:lang w:val="en-GB"/>
              </w:rPr>
            </w:pPr>
            <w:r w:rsidRPr="00D67A85">
              <w:rPr>
                <w:strike/>
                <w:color w:val="D9D9D9" w:themeColor="background1" w:themeShade="D9"/>
                <w:sz w:val="20"/>
                <w:szCs w:val="20"/>
              </w:rPr>
              <w:t>R234886</w:t>
            </w:r>
          </w:p>
        </w:tc>
        <w:tc>
          <w:tcPr>
            <w:tcW w:w="1177" w:type="pct"/>
            <w:tcBorders>
              <w:top w:val="single" w:sz="4" w:space="0" w:color="auto"/>
            </w:tcBorders>
          </w:tcPr>
          <w:p w14:paraId="26A1DBED" w14:textId="43EC9095" w:rsidR="0005573E" w:rsidRPr="00D67A85" w:rsidRDefault="0005573E" w:rsidP="0005573E">
            <w:pPr>
              <w:widowControl w:val="0"/>
              <w:rPr>
                <w:b/>
                <w:bCs/>
                <w:strike/>
                <w:color w:val="D9D9D9" w:themeColor="background1" w:themeShade="D9"/>
                <w:sz w:val="20"/>
                <w:szCs w:val="20"/>
                <w:lang w:val="en-GB"/>
              </w:rPr>
            </w:pPr>
            <w:r w:rsidRPr="00D67A85">
              <w:rPr>
                <w:b/>
                <w:strike/>
                <w:color w:val="D9D9D9" w:themeColor="background1" w:themeShade="D9"/>
                <w:sz w:val="20"/>
                <w:szCs w:val="20"/>
              </w:rPr>
              <w:t>LC</w:t>
            </w:r>
            <w:r w:rsidRPr="00D67A85">
              <w:rPr>
                <w:b/>
                <w:strike/>
                <w:color w:val="D9D9D9" w:themeColor="background1" w:themeShade="D9"/>
                <w:sz w:val="20"/>
                <w:szCs w:val="20"/>
                <w:vertAlign w:val="subscript"/>
              </w:rPr>
              <w:t>50</w:t>
            </w:r>
            <w:r w:rsidRPr="00D67A85">
              <w:rPr>
                <w:b/>
                <w:strike/>
                <w:color w:val="D9D9D9" w:themeColor="background1" w:themeShade="D9"/>
                <w:sz w:val="20"/>
                <w:szCs w:val="20"/>
              </w:rPr>
              <w:t xml:space="preserve"> &gt; 1000</w:t>
            </w:r>
          </w:p>
        </w:tc>
        <w:tc>
          <w:tcPr>
            <w:tcW w:w="1177" w:type="pct"/>
            <w:tcBorders>
              <w:top w:val="single" w:sz="4" w:space="0" w:color="auto"/>
            </w:tcBorders>
            <w:vAlign w:val="center"/>
          </w:tcPr>
          <w:p w14:paraId="2A7EE55F" w14:textId="66EB10C2" w:rsidR="0005573E" w:rsidRPr="00D67A85" w:rsidRDefault="0005573E" w:rsidP="0005573E">
            <w:pPr>
              <w:widowControl w:val="0"/>
              <w:rPr>
                <w:b/>
                <w:bCs/>
                <w:strike/>
                <w:color w:val="D9D9D9" w:themeColor="background1" w:themeShade="D9"/>
                <w:sz w:val="20"/>
                <w:szCs w:val="20"/>
                <w:lang w:val="en-GB"/>
              </w:rPr>
            </w:pPr>
            <w:r w:rsidRPr="00D67A85">
              <w:rPr>
                <w:strike/>
                <w:color w:val="D9D9D9" w:themeColor="background1" w:themeShade="D9"/>
                <w:sz w:val="20"/>
                <w:szCs w:val="20"/>
              </w:rPr>
              <w:t>0.022</w:t>
            </w:r>
          </w:p>
        </w:tc>
        <w:tc>
          <w:tcPr>
            <w:tcW w:w="1176" w:type="pct"/>
            <w:tcBorders>
              <w:top w:val="single" w:sz="4" w:space="0" w:color="auto"/>
            </w:tcBorders>
          </w:tcPr>
          <w:p w14:paraId="613231EB" w14:textId="1096D27A" w:rsidR="0005573E" w:rsidRPr="00D67A85" w:rsidRDefault="0005573E" w:rsidP="0005573E">
            <w:pPr>
              <w:widowControl w:val="0"/>
              <w:rPr>
                <w:b/>
                <w:bCs/>
                <w:strike/>
                <w:color w:val="D9D9D9" w:themeColor="background1" w:themeShade="D9"/>
                <w:sz w:val="20"/>
                <w:szCs w:val="20"/>
                <w:lang w:val="en-GB"/>
              </w:rPr>
            </w:pPr>
            <w:r w:rsidRPr="00D67A85">
              <w:rPr>
                <w:b/>
                <w:strike/>
                <w:color w:val="D9D9D9" w:themeColor="background1" w:themeShade="D9"/>
                <w:sz w:val="20"/>
                <w:szCs w:val="20"/>
              </w:rPr>
              <w:t>&gt; 45455</w:t>
            </w:r>
          </w:p>
        </w:tc>
      </w:tr>
      <w:tr w:rsidR="0005573E" w:rsidRPr="00A334C7" w14:paraId="3DAFD5A7" w14:textId="77777777" w:rsidTr="00737850">
        <w:trPr>
          <w:cantSplit/>
        </w:trPr>
        <w:tc>
          <w:tcPr>
            <w:tcW w:w="1470" w:type="pct"/>
            <w:tcBorders>
              <w:top w:val="single" w:sz="4" w:space="0" w:color="auto"/>
            </w:tcBorders>
          </w:tcPr>
          <w:p w14:paraId="5E4B1C51" w14:textId="6AC0E6CE" w:rsidR="0005573E" w:rsidRPr="00D67A85" w:rsidRDefault="0005573E" w:rsidP="0005573E">
            <w:pPr>
              <w:widowControl w:val="0"/>
              <w:rPr>
                <w:b/>
                <w:bCs/>
                <w:strike/>
                <w:color w:val="D9D9D9" w:themeColor="background1" w:themeShade="D9"/>
                <w:sz w:val="20"/>
                <w:szCs w:val="20"/>
                <w:lang w:val="en-GB"/>
              </w:rPr>
            </w:pPr>
            <w:r w:rsidRPr="00D67A85">
              <w:rPr>
                <w:strike/>
                <w:color w:val="D9D9D9" w:themeColor="background1" w:themeShade="D9"/>
                <w:sz w:val="20"/>
                <w:szCs w:val="20"/>
              </w:rPr>
              <w:t>R402173</w:t>
            </w:r>
          </w:p>
        </w:tc>
        <w:tc>
          <w:tcPr>
            <w:tcW w:w="1177" w:type="pct"/>
            <w:tcBorders>
              <w:top w:val="single" w:sz="4" w:space="0" w:color="auto"/>
            </w:tcBorders>
          </w:tcPr>
          <w:p w14:paraId="028A4B10" w14:textId="657384B6" w:rsidR="0005573E" w:rsidRPr="00D67A85" w:rsidRDefault="0005573E" w:rsidP="0005573E">
            <w:pPr>
              <w:widowControl w:val="0"/>
              <w:rPr>
                <w:b/>
                <w:bCs/>
                <w:strike/>
                <w:color w:val="D9D9D9" w:themeColor="background1" w:themeShade="D9"/>
                <w:sz w:val="20"/>
                <w:szCs w:val="20"/>
                <w:lang w:val="en-GB"/>
              </w:rPr>
            </w:pPr>
            <w:r w:rsidRPr="00D67A85">
              <w:rPr>
                <w:b/>
                <w:strike/>
                <w:color w:val="D9D9D9" w:themeColor="background1" w:themeShade="D9"/>
                <w:sz w:val="20"/>
                <w:szCs w:val="20"/>
              </w:rPr>
              <w:t>LC</w:t>
            </w:r>
            <w:r w:rsidRPr="00D67A85">
              <w:rPr>
                <w:b/>
                <w:strike/>
                <w:color w:val="D9D9D9" w:themeColor="background1" w:themeShade="D9"/>
                <w:sz w:val="20"/>
                <w:szCs w:val="20"/>
                <w:vertAlign w:val="subscript"/>
              </w:rPr>
              <w:t>50</w:t>
            </w:r>
            <w:r w:rsidRPr="00D67A85">
              <w:rPr>
                <w:b/>
                <w:strike/>
                <w:color w:val="D9D9D9" w:themeColor="background1" w:themeShade="D9"/>
                <w:sz w:val="20"/>
                <w:szCs w:val="20"/>
              </w:rPr>
              <w:t xml:space="preserve"> &gt; 1000</w:t>
            </w:r>
          </w:p>
        </w:tc>
        <w:tc>
          <w:tcPr>
            <w:tcW w:w="1177" w:type="pct"/>
            <w:tcBorders>
              <w:top w:val="single" w:sz="4" w:space="0" w:color="auto"/>
            </w:tcBorders>
            <w:vAlign w:val="center"/>
          </w:tcPr>
          <w:p w14:paraId="0E6E5884" w14:textId="00D55F3C" w:rsidR="0005573E" w:rsidRPr="00D67A85" w:rsidRDefault="0005573E" w:rsidP="0005573E">
            <w:pPr>
              <w:widowControl w:val="0"/>
              <w:rPr>
                <w:b/>
                <w:bCs/>
                <w:strike/>
                <w:color w:val="D9D9D9" w:themeColor="background1" w:themeShade="D9"/>
                <w:sz w:val="20"/>
                <w:szCs w:val="20"/>
                <w:lang w:val="en-GB"/>
              </w:rPr>
            </w:pPr>
            <w:r w:rsidRPr="00D67A85">
              <w:rPr>
                <w:strike/>
                <w:color w:val="D9D9D9" w:themeColor="background1" w:themeShade="D9"/>
                <w:sz w:val="20"/>
                <w:szCs w:val="20"/>
              </w:rPr>
              <w:t>0.011</w:t>
            </w:r>
          </w:p>
        </w:tc>
        <w:tc>
          <w:tcPr>
            <w:tcW w:w="1176" w:type="pct"/>
            <w:tcBorders>
              <w:top w:val="single" w:sz="4" w:space="0" w:color="auto"/>
            </w:tcBorders>
          </w:tcPr>
          <w:p w14:paraId="3A46802B" w14:textId="1EA19813" w:rsidR="0005573E" w:rsidRPr="00D67A85" w:rsidRDefault="0005573E" w:rsidP="0005573E">
            <w:pPr>
              <w:widowControl w:val="0"/>
              <w:rPr>
                <w:b/>
                <w:bCs/>
                <w:strike/>
                <w:color w:val="D9D9D9" w:themeColor="background1" w:themeShade="D9"/>
                <w:sz w:val="20"/>
                <w:szCs w:val="20"/>
                <w:lang w:val="en-GB"/>
              </w:rPr>
            </w:pPr>
            <w:r w:rsidRPr="00D67A85">
              <w:rPr>
                <w:b/>
                <w:strike/>
                <w:color w:val="D9D9D9" w:themeColor="background1" w:themeShade="D9"/>
                <w:sz w:val="20"/>
                <w:szCs w:val="20"/>
              </w:rPr>
              <w:t>&gt; 90909</w:t>
            </w:r>
          </w:p>
        </w:tc>
      </w:tr>
      <w:tr w:rsidR="0005573E" w:rsidRPr="00A334C7" w14:paraId="5C0225DA" w14:textId="77777777" w:rsidTr="00737850">
        <w:trPr>
          <w:cantSplit/>
        </w:trPr>
        <w:tc>
          <w:tcPr>
            <w:tcW w:w="1470" w:type="pct"/>
            <w:tcBorders>
              <w:top w:val="single" w:sz="4" w:space="0" w:color="auto"/>
            </w:tcBorders>
          </w:tcPr>
          <w:p w14:paraId="088DBB60" w14:textId="6DDE553C" w:rsidR="0005573E" w:rsidRPr="00D67A85" w:rsidRDefault="0005573E" w:rsidP="0005573E">
            <w:pPr>
              <w:widowControl w:val="0"/>
              <w:rPr>
                <w:b/>
                <w:bCs/>
                <w:strike/>
                <w:color w:val="D9D9D9" w:themeColor="background1" w:themeShade="D9"/>
                <w:sz w:val="20"/>
                <w:szCs w:val="20"/>
                <w:lang w:val="en-GB"/>
              </w:rPr>
            </w:pPr>
            <w:r w:rsidRPr="00D67A85">
              <w:rPr>
                <w:strike/>
                <w:color w:val="D9D9D9" w:themeColor="background1" w:themeShade="D9"/>
                <w:sz w:val="20"/>
                <w:szCs w:val="20"/>
              </w:rPr>
              <w:t>R401553</w:t>
            </w:r>
          </w:p>
        </w:tc>
        <w:tc>
          <w:tcPr>
            <w:tcW w:w="1177" w:type="pct"/>
            <w:tcBorders>
              <w:top w:val="single" w:sz="4" w:space="0" w:color="auto"/>
            </w:tcBorders>
          </w:tcPr>
          <w:p w14:paraId="4059FDDC" w14:textId="1BB71921" w:rsidR="0005573E" w:rsidRPr="00D67A85" w:rsidRDefault="0005573E" w:rsidP="0005573E">
            <w:pPr>
              <w:widowControl w:val="0"/>
              <w:rPr>
                <w:b/>
                <w:bCs/>
                <w:strike/>
                <w:color w:val="D9D9D9" w:themeColor="background1" w:themeShade="D9"/>
                <w:sz w:val="20"/>
                <w:szCs w:val="20"/>
                <w:lang w:val="en-GB"/>
              </w:rPr>
            </w:pPr>
            <w:r w:rsidRPr="00D67A85">
              <w:rPr>
                <w:b/>
                <w:strike/>
                <w:color w:val="D9D9D9" w:themeColor="background1" w:themeShade="D9"/>
                <w:sz w:val="20"/>
                <w:szCs w:val="20"/>
              </w:rPr>
              <w:t>LC</w:t>
            </w:r>
            <w:r w:rsidRPr="00D67A85">
              <w:rPr>
                <w:b/>
                <w:strike/>
                <w:color w:val="D9D9D9" w:themeColor="background1" w:themeShade="D9"/>
                <w:sz w:val="20"/>
                <w:szCs w:val="20"/>
                <w:vertAlign w:val="subscript"/>
              </w:rPr>
              <w:t>50</w:t>
            </w:r>
            <w:r w:rsidRPr="00D67A85">
              <w:rPr>
                <w:b/>
                <w:strike/>
                <w:color w:val="D9D9D9" w:themeColor="background1" w:themeShade="D9"/>
                <w:sz w:val="20"/>
                <w:szCs w:val="20"/>
              </w:rPr>
              <w:t xml:space="preserve"> &gt; 1000</w:t>
            </w:r>
          </w:p>
        </w:tc>
        <w:tc>
          <w:tcPr>
            <w:tcW w:w="1177" w:type="pct"/>
            <w:tcBorders>
              <w:top w:val="single" w:sz="4" w:space="0" w:color="auto"/>
            </w:tcBorders>
            <w:vAlign w:val="center"/>
          </w:tcPr>
          <w:p w14:paraId="576CAC4C" w14:textId="45B0D6AF" w:rsidR="0005573E" w:rsidRPr="00D67A85" w:rsidRDefault="0005573E" w:rsidP="0005573E">
            <w:pPr>
              <w:widowControl w:val="0"/>
              <w:rPr>
                <w:b/>
                <w:bCs/>
                <w:strike/>
                <w:color w:val="D9D9D9" w:themeColor="background1" w:themeShade="D9"/>
                <w:sz w:val="20"/>
                <w:szCs w:val="20"/>
                <w:lang w:val="en-GB"/>
              </w:rPr>
            </w:pPr>
            <w:r w:rsidRPr="00D67A85">
              <w:rPr>
                <w:strike/>
                <w:color w:val="D9D9D9" w:themeColor="background1" w:themeShade="D9"/>
                <w:sz w:val="20"/>
                <w:szCs w:val="20"/>
              </w:rPr>
              <w:t>0.007</w:t>
            </w:r>
          </w:p>
        </w:tc>
        <w:tc>
          <w:tcPr>
            <w:tcW w:w="1176" w:type="pct"/>
            <w:tcBorders>
              <w:top w:val="single" w:sz="4" w:space="0" w:color="auto"/>
            </w:tcBorders>
          </w:tcPr>
          <w:p w14:paraId="7136BD1E" w14:textId="0170859A" w:rsidR="0005573E" w:rsidRPr="00D67A85" w:rsidRDefault="0005573E" w:rsidP="0005573E">
            <w:pPr>
              <w:widowControl w:val="0"/>
              <w:rPr>
                <w:b/>
                <w:bCs/>
                <w:strike/>
                <w:color w:val="D9D9D9" w:themeColor="background1" w:themeShade="D9"/>
                <w:sz w:val="20"/>
                <w:szCs w:val="20"/>
                <w:lang w:val="en-GB"/>
              </w:rPr>
            </w:pPr>
            <w:r w:rsidRPr="00D67A85">
              <w:rPr>
                <w:b/>
                <w:strike/>
                <w:color w:val="D9D9D9" w:themeColor="background1" w:themeShade="D9"/>
                <w:sz w:val="20"/>
                <w:szCs w:val="20"/>
              </w:rPr>
              <w:t>&gt; 142857</w:t>
            </w:r>
          </w:p>
        </w:tc>
      </w:tr>
      <w:tr w:rsidR="0005573E" w:rsidRPr="00A334C7" w14:paraId="50413DD9" w14:textId="77777777" w:rsidTr="009938D9">
        <w:trPr>
          <w:cantSplit/>
        </w:trPr>
        <w:tc>
          <w:tcPr>
            <w:tcW w:w="5000" w:type="pct"/>
            <w:gridSpan w:val="4"/>
            <w:tcBorders>
              <w:top w:val="single" w:sz="4" w:space="0" w:color="auto"/>
            </w:tcBorders>
          </w:tcPr>
          <w:p w14:paraId="747BE65C" w14:textId="77777777" w:rsidR="0005573E" w:rsidRPr="00A334C7" w:rsidRDefault="0005573E" w:rsidP="0005573E">
            <w:pPr>
              <w:widowControl w:val="0"/>
              <w:rPr>
                <w:b/>
                <w:bCs/>
                <w:sz w:val="20"/>
                <w:szCs w:val="20"/>
                <w:lang w:val="en-GB"/>
              </w:rPr>
            </w:pPr>
            <w:r w:rsidRPr="00A334C7">
              <w:rPr>
                <w:b/>
                <w:bCs/>
                <w:sz w:val="20"/>
                <w:szCs w:val="20"/>
                <w:lang w:val="en-GB"/>
              </w:rPr>
              <w:t>Chronic effects on earthworms</w:t>
            </w:r>
          </w:p>
        </w:tc>
      </w:tr>
      <w:tr w:rsidR="0005573E" w:rsidRPr="00A334C7" w14:paraId="6EB75776" w14:textId="77777777" w:rsidTr="009938D9">
        <w:trPr>
          <w:cantSplit/>
        </w:trPr>
        <w:tc>
          <w:tcPr>
            <w:tcW w:w="1470" w:type="pct"/>
            <w:tcBorders>
              <w:top w:val="single" w:sz="4" w:space="0" w:color="auto"/>
              <w:bottom w:val="single" w:sz="4" w:space="0" w:color="auto"/>
            </w:tcBorders>
          </w:tcPr>
          <w:p w14:paraId="71EE935B" w14:textId="70BD1128" w:rsidR="0005573E" w:rsidRPr="00A334C7" w:rsidRDefault="0005573E" w:rsidP="0005573E">
            <w:pPr>
              <w:widowControl w:val="0"/>
              <w:rPr>
                <w:b/>
                <w:bCs/>
                <w:sz w:val="20"/>
                <w:szCs w:val="20"/>
                <w:lang w:val="en-GB"/>
              </w:rPr>
            </w:pPr>
            <w:r w:rsidRPr="00A334C7">
              <w:rPr>
                <w:b/>
                <w:bCs/>
                <w:sz w:val="20"/>
                <w:szCs w:val="20"/>
                <w:lang w:val="en-GB"/>
              </w:rPr>
              <w:t>Active substance/metabolite</w:t>
            </w:r>
          </w:p>
        </w:tc>
        <w:tc>
          <w:tcPr>
            <w:tcW w:w="1177" w:type="pct"/>
            <w:tcBorders>
              <w:top w:val="single" w:sz="4" w:space="0" w:color="auto"/>
              <w:bottom w:val="single" w:sz="4" w:space="0" w:color="auto"/>
            </w:tcBorders>
          </w:tcPr>
          <w:p w14:paraId="68980EFB" w14:textId="77777777" w:rsidR="0005573E" w:rsidRPr="00A334C7" w:rsidRDefault="0005573E" w:rsidP="0005573E">
            <w:pPr>
              <w:widowControl w:val="0"/>
              <w:rPr>
                <w:b/>
                <w:bCs/>
                <w:sz w:val="20"/>
                <w:szCs w:val="20"/>
              </w:rPr>
            </w:pPr>
            <w:r w:rsidRPr="00A334C7">
              <w:rPr>
                <w:b/>
                <w:bCs/>
                <w:sz w:val="20"/>
                <w:szCs w:val="20"/>
              </w:rPr>
              <w:t>Endpoint</w:t>
            </w:r>
            <w:r w:rsidRPr="00A334C7">
              <w:rPr>
                <w:b/>
                <w:bCs/>
                <w:sz w:val="20"/>
                <w:szCs w:val="20"/>
              </w:rPr>
              <w:br/>
              <w:t>(mg/kg dry soil)</w:t>
            </w:r>
          </w:p>
        </w:tc>
        <w:tc>
          <w:tcPr>
            <w:tcW w:w="1177" w:type="pct"/>
            <w:tcBorders>
              <w:top w:val="single" w:sz="4" w:space="0" w:color="auto"/>
              <w:bottom w:val="single" w:sz="4" w:space="0" w:color="auto"/>
            </w:tcBorders>
          </w:tcPr>
          <w:p w14:paraId="2C839604" w14:textId="77777777" w:rsidR="0005573E" w:rsidRPr="00A334C7" w:rsidRDefault="0005573E" w:rsidP="0005573E">
            <w:pPr>
              <w:widowControl w:val="0"/>
              <w:rPr>
                <w:b/>
                <w:bCs/>
                <w:sz w:val="20"/>
                <w:szCs w:val="20"/>
                <w:lang w:val="en-GB"/>
              </w:rPr>
            </w:pPr>
            <w:r w:rsidRPr="00A334C7">
              <w:rPr>
                <w:b/>
                <w:bCs/>
                <w:sz w:val="20"/>
                <w:szCs w:val="20"/>
                <w:lang w:val="en-GB"/>
              </w:rPr>
              <w:t>PEC</w:t>
            </w:r>
            <w:r w:rsidRPr="00A334C7">
              <w:rPr>
                <w:b/>
                <w:bCs/>
                <w:sz w:val="20"/>
                <w:szCs w:val="20"/>
                <w:vertAlign w:val="subscript"/>
                <w:lang w:val="en-GB"/>
              </w:rPr>
              <w:t>soil</w:t>
            </w:r>
            <w:r w:rsidRPr="00A334C7">
              <w:rPr>
                <w:b/>
                <w:bCs/>
                <w:sz w:val="20"/>
                <w:szCs w:val="20"/>
                <w:vertAlign w:val="subscript"/>
                <w:lang w:val="en-GB"/>
              </w:rPr>
              <w:br/>
            </w:r>
            <w:r w:rsidRPr="00A334C7">
              <w:rPr>
                <w:b/>
                <w:bCs/>
                <w:sz w:val="20"/>
                <w:szCs w:val="20"/>
                <w:lang w:val="en-GB"/>
              </w:rPr>
              <w:t>(mg/kg dry soil)</w:t>
            </w:r>
          </w:p>
        </w:tc>
        <w:tc>
          <w:tcPr>
            <w:tcW w:w="1176" w:type="pct"/>
            <w:tcBorders>
              <w:top w:val="single" w:sz="4" w:space="0" w:color="auto"/>
              <w:bottom w:val="single" w:sz="4" w:space="0" w:color="auto"/>
            </w:tcBorders>
          </w:tcPr>
          <w:p w14:paraId="4F1EE155" w14:textId="77777777" w:rsidR="0005573E" w:rsidRPr="00A334C7" w:rsidRDefault="0005573E" w:rsidP="0005573E">
            <w:pPr>
              <w:widowControl w:val="0"/>
              <w:rPr>
                <w:b/>
                <w:bCs/>
                <w:sz w:val="20"/>
                <w:szCs w:val="20"/>
                <w:lang w:val="en-GB"/>
              </w:rPr>
            </w:pPr>
            <w:r w:rsidRPr="00A334C7">
              <w:rPr>
                <w:b/>
                <w:bCs/>
                <w:sz w:val="20"/>
                <w:szCs w:val="20"/>
                <w:lang w:val="en-GB"/>
              </w:rPr>
              <w:t>TER</w:t>
            </w:r>
            <w:r w:rsidRPr="00A334C7">
              <w:rPr>
                <w:b/>
                <w:bCs/>
                <w:sz w:val="20"/>
                <w:szCs w:val="20"/>
                <w:vertAlign w:val="subscript"/>
                <w:lang w:val="en-GB"/>
              </w:rPr>
              <w:t>lt</w:t>
            </w:r>
            <w:r w:rsidRPr="00A334C7">
              <w:rPr>
                <w:b/>
                <w:bCs/>
                <w:sz w:val="20"/>
                <w:szCs w:val="20"/>
                <w:vertAlign w:val="subscript"/>
                <w:lang w:val="en-GB"/>
              </w:rPr>
              <w:br/>
            </w:r>
            <w:r w:rsidRPr="00A334C7">
              <w:rPr>
                <w:b/>
                <w:bCs/>
                <w:sz w:val="20"/>
                <w:szCs w:val="20"/>
                <w:lang w:val="en-GB"/>
              </w:rPr>
              <w:t>(criterion TER ≥ 5)</w:t>
            </w:r>
          </w:p>
        </w:tc>
      </w:tr>
      <w:tr w:rsidR="0005573E" w:rsidRPr="00A334C7" w14:paraId="6D26038B" w14:textId="77777777" w:rsidTr="009938D9">
        <w:trPr>
          <w:cantSplit/>
        </w:trPr>
        <w:tc>
          <w:tcPr>
            <w:tcW w:w="1470" w:type="pct"/>
            <w:tcBorders>
              <w:top w:val="single" w:sz="4" w:space="0" w:color="auto"/>
              <w:bottom w:val="single" w:sz="4" w:space="0" w:color="auto"/>
            </w:tcBorders>
          </w:tcPr>
          <w:p w14:paraId="0AA3450E" w14:textId="77777777" w:rsidR="0005573E" w:rsidRPr="00A334C7" w:rsidRDefault="0005573E" w:rsidP="0005573E">
            <w:pPr>
              <w:widowControl w:val="0"/>
              <w:rPr>
                <w:noProof/>
                <w:sz w:val="20"/>
                <w:szCs w:val="20"/>
                <w:lang w:val="en-GB"/>
              </w:rPr>
            </w:pPr>
            <w:r w:rsidRPr="00A334C7">
              <w:rPr>
                <w:sz w:val="20"/>
                <w:szCs w:val="20"/>
                <w:lang w:val="en-GB"/>
              </w:rPr>
              <w:t>azoxystrobin</w:t>
            </w:r>
          </w:p>
        </w:tc>
        <w:tc>
          <w:tcPr>
            <w:tcW w:w="1177" w:type="pct"/>
            <w:tcBorders>
              <w:top w:val="single" w:sz="4" w:space="0" w:color="auto"/>
              <w:bottom w:val="single" w:sz="4" w:space="0" w:color="auto"/>
            </w:tcBorders>
          </w:tcPr>
          <w:p w14:paraId="349CCEE0" w14:textId="77777777" w:rsidR="0005573E" w:rsidRPr="00A334C7" w:rsidRDefault="0005573E" w:rsidP="0005573E">
            <w:pPr>
              <w:widowControl w:val="0"/>
              <w:rPr>
                <w:sz w:val="20"/>
                <w:szCs w:val="20"/>
                <w:lang w:val="en-GB"/>
              </w:rPr>
            </w:pPr>
            <w:r w:rsidRPr="00A334C7">
              <w:rPr>
                <w:sz w:val="20"/>
                <w:szCs w:val="20"/>
                <w:lang w:val="en-GB"/>
              </w:rPr>
              <w:t xml:space="preserve">NOEC = 20 </w:t>
            </w:r>
          </w:p>
          <w:p w14:paraId="7EB94854" w14:textId="77777777" w:rsidR="0005573E" w:rsidRPr="00A334C7" w:rsidRDefault="0005573E" w:rsidP="0005573E">
            <w:pPr>
              <w:widowControl w:val="0"/>
              <w:rPr>
                <w:b/>
                <w:noProof/>
                <w:sz w:val="20"/>
                <w:szCs w:val="20"/>
                <w:u w:val="single"/>
                <w:vertAlign w:val="subscript"/>
                <w:lang w:val="en-GB"/>
              </w:rPr>
            </w:pPr>
            <w:r w:rsidRPr="00A334C7">
              <w:rPr>
                <w:b/>
                <w:noProof/>
                <w:sz w:val="20"/>
                <w:szCs w:val="20"/>
                <w:lang w:val="en-GB"/>
              </w:rPr>
              <w:t>NOEC </w:t>
            </w:r>
            <w:r w:rsidRPr="00A334C7">
              <w:rPr>
                <w:b/>
                <w:noProof/>
                <w:sz w:val="20"/>
                <w:szCs w:val="20"/>
                <w:vertAlign w:val="subscript"/>
                <w:lang w:val="en-GB"/>
              </w:rPr>
              <w:t>CORR</w:t>
            </w:r>
            <w:r w:rsidRPr="00A334C7">
              <w:rPr>
                <w:b/>
                <w:noProof/>
                <w:sz w:val="20"/>
                <w:szCs w:val="20"/>
                <w:lang w:val="en-GB"/>
              </w:rPr>
              <w:t xml:space="preserve"> = </w:t>
            </w:r>
            <w:r w:rsidRPr="00A334C7">
              <w:rPr>
                <w:b/>
                <w:sz w:val="20"/>
                <w:szCs w:val="20"/>
                <w:lang w:val="en-GB"/>
              </w:rPr>
              <w:t>10</w:t>
            </w:r>
          </w:p>
        </w:tc>
        <w:tc>
          <w:tcPr>
            <w:tcW w:w="1177" w:type="pct"/>
            <w:tcBorders>
              <w:top w:val="single" w:sz="4" w:space="0" w:color="auto"/>
              <w:bottom w:val="single" w:sz="4" w:space="0" w:color="auto"/>
            </w:tcBorders>
            <w:vAlign w:val="center"/>
          </w:tcPr>
          <w:p w14:paraId="2518C05E" w14:textId="77777777" w:rsidR="0005573E" w:rsidRPr="00A334C7" w:rsidRDefault="0005573E" w:rsidP="0005573E">
            <w:pPr>
              <w:widowControl w:val="0"/>
              <w:rPr>
                <w:noProof/>
                <w:sz w:val="20"/>
                <w:szCs w:val="20"/>
                <w:vertAlign w:val="superscript"/>
                <w:lang w:val="en-GB"/>
              </w:rPr>
            </w:pPr>
            <w:r w:rsidRPr="00A334C7">
              <w:rPr>
                <w:noProof/>
                <w:color w:val="000000"/>
                <w:sz w:val="20"/>
                <w:szCs w:val="20"/>
                <w:lang w:val="en-GB"/>
              </w:rPr>
              <w:t xml:space="preserve">0.091 </w:t>
            </w:r>
            <w:r w:rsidRPr="00A334C7">
              <w:rPr>
                <w:noProof/>
                <w:color w:val="000000"/>
                <w:sz w:val="20"/>
                <w:szCs w:val="20"/>
                <w:vertAlign w:val="superscript"/>
                <w:lang w:val="en-GB"/>
              </w:rPr>
              <w:t>*</w:t>
            </w:r>
          </w:p>
        </w:tc>
        <w:tc>
          <w:tcPr>
            <w:tcW w:w="1176" w:type="pct"/>
            <w:tcBorders>
              <w:top w:val="single" w:sz="4" w:space="0" w:color="auto"/>
              <w:bottom w:val="single" w:sz="4" w:space="0" w:color="auto"/>
            </w:tcBorders>
            <w:vAlign w:val="center"/>
          </w:tcPr>
          <w:p w14:paraId="4198A7BF" w14:textId="77777777" w:rsidR="0005573E" w:rsidRPr="00A334C7" w:rsidRDefault="0005573E" w:rsidP="0005573E">
            <w:pPr>
              <w:widowControl w:val="0"/>
              <w:rPr>
                <w:noProof/>
                <w:color w:val="000000"/>
                <w:sz w:val="20"/>
                <w:szCs w:val="20"/>
                <w:lang w:val="en-GB"/>
              </w:rPr>
            </w:pPr>
            <w:r w:rsidRPr="00A334C7">
              <w:rPr>
                <w:noProof/>
                <w:color w:val="000000"/>
                <w:sz w:val="20"/>
                <w:szCs w:val="20"/>
                <w:lang w:val="en-GB"/>
              </w:rPr>
              <w:t>220</w:t>
            </w:r>
          </w:p>
          <w:p w14:paraId="18681CD0" w14:textId="77777777" w:rsidR="0005573E" w:rsidRPr="00A334C7" w:rsidRDefault="0005573E" w:rsidP="0005573E">
            <w:pPr>
              <w:widowControl w:val="0"/>
              <w:rPr>
                <w:b/>
                <w:bCs/>
                <w:noProof/>
                <w:sz w:val="20"/>
                <w:szCs w:val="20"/>
                <w:lang w:val="en-GB"/>
              </w:rPr>
            </w:pPr>
            <w:r w:rsidRPr="00A334C7">
              <w:rPr>
                <w:b/>
                <w:bCs/>
                <w:noProof/>
                <w:color w:val="000000"/>
                <w:sz w:val="20"/>
                <w:szCs w:val="20"/>
                <w:lang w:val="en-GB"/>
              </w:rPr>
              <w:t>110</w:t>
            </w:r>
          </w:p>
        </w:tc>
      </w:tr>
      <w:tr w:rsidR="0005573E" w:rsidRPr="00A334C7" w14:paraId="2327C2D8" w14:textId="77777777" w:rsidTr="009938D9">
        <w:trPr>
          <w:cantSplit/>
        </w:trPr>
        <w:tc>
          <w:tcPr>
            <w:tcW w:w="1470" w:type="pct"/>
            <w:tcBorders>
              <w:top w:val="single" w:sz="4" w:space="0" w:color="auto"/>
              <w:bottom w:val="single" w:sz="4" w:space="0" w:color="auto"/>
            </w:tcBorders>
          </w:tcPr>
          <w:p w14:paraId="6662DD3C" w14:textId="77777777" w:rsidR="0005573E" w:rsidRPr="008A278A" w:rsidRDefault="0005573E" w:rsidP="0005573E">
            <w:pPr>
              <w:widowControl w:val="0"/>
              <w:rPr>
                <w:strike/>
                <w:noProof/>
                <w:color w:val="D9D9D9" w:themeColor="background1" w:themeShade="D9"/>
                <w:sz w:val="20"/>
                <w:szCs w:val="20"/>
                <w:highlight w:val="yellow"/>
                <w:lang w:val="en-GB"/>
              </w:rPr>
            </w:pPr>
            <w:r w:rsidRPr="008A278A">
              <w:rPr>
                <w:strike/>
                <w:color w:val="D9D9D9" w:themeColor="background1" w:themeShade="D9"/>
                <w:sz w:val="20"/>
                <w:szCs w:val="20"/>
                <w:lang w:val="en-GB"/>
              </w:rPr>
              <w:t>Metabolite, R234886</w:t>
            </w:r>
          </w:p>
        </w:tc>
        <w:tc>
          <w:tcPr>
            <w:tcW w:w="1177" w:type="pct"/>
            <w:tcBorders>
              <w:top w:val="single" w:sz="4" w:space="0" w:color="auto"/>
              <w:bottom w:val="single" w:sz="4" w:space="0" w:color="auto"/>
            </w:tcBorders>
          </w:tcPr>
          <w:p w14:paraId="79CE3CCE" w14:textId="77777777" w:rsidR="0005573E" w:rsidRPr="008A278A" w:rsidRDefault="0005573E" w:rsidP="0005573E">
            <w:pPr>
              <w:widowControl w:val="0"/>
              <w:rPr>
                <w:rFonts w:eastAsia="PMingLiU"/>
                <w:b/>
                <w:strike/>
                <w:noProof/>
                <w:color w:val="D9D9D9" w:themeColor="background1" w:themeShade="D9"/>
                <w:sz w:val="20"/>
                <w:szCs w:val="20"/>
                <w:highlight w:val="yellow"/>
                <w:lang w:eastAsia="en-US"/>
              </w:rPr>
            </w:pPr>
            <w:r w:rsidRPr="008A278A">
              <w:rPr>
                <w:b/>
                <w:strike/>
                <w:noProof/>
                <w:color w:val="D9D9D9" w:themeColor="background1" w:themeShade="D9"/>
                <w:sz w:val="20"/>
                <w:szCs w:val="20"/>
                <w:lang w:val="en-GB"/>
              </w:rPr>
              <w:t xml:space="preserve">NOEC = </w:t>
            </w:r>
            <w:r w:rsidRPr="008A278A">
              <w:rPr>
                <w:b/>
                <w:strike/>
                <w:color w:val="D9D9D9" w:themeColor="background1" w:themeShade="D9"/>
                <w:sz w:val="20"/>
                <w:szCs w:val="20"/>
                <w:lang w:val="en-GB"/>
              </w:rPr>
              <w:t>16</w:t>
            </w:r>
          </w:p>
        </w:tc>
        <w:tc>
          <w:tcPr>
            <w:tcW w:w="1177" w:type="pct"/>
            <w:tcBorders>
              <w:top w:val="single" w:sz="4" w:space="0" w:color="auto"/>
              <w:bottom w:val="single" w:sz="4" w:space="0" w:color="auto"/>
            </w:tcBorders>
            <w:vAlign w:val="center"/>
          </w:tcPr>
          <w:p w14:paraId="77FFAE42" w14:textId="77777777" w:rsidR="0005573E" w:rsidRPr="008A278A" w:rsidRDefault="0005573E" w:rsidP="0005573E">
            <w:pPr>
              <w:widowControl w:val="0"/>
              <w:rPr>
                <w:strike/>
                <w:noProof/>
                <w:color w:val="D9D9D9" w:themeColor="background1" w:themeShade="D9"/>
                <w:sz w:val="20"/>
                <w:szCs w:val="20"/>
                <w:highlight w:val="yellow"/>
                <w:lang w:val="en-GB"/>
              </w:rPr>
            </w:pPr>
            <w:r w:rsidRPr="008A278A">
              <w:rPr>
                <w:strike/>
                <w:noProof/>
                <w:color w:val="D9D9D9" w:themeColor="background1" w:themeShade="D9"/>
                <w:sz w:val="20"/>
                <w:szCs w:val="20"/>
                <w:lang w:val="en-GB"/>
              </w:rPr>
              <w:t>0.022</w:t>
            </w:r>
          </w:p>
        </w:tc>
        <w:tc>
          <w:tcPr>
            <w:tcW w:w="1176" w:type="pct"/>
            <w:tcBorders>
              <w:top w:val="single" w:sz="4" w:space="0" w:color="auto"/>
              <w:bottom w:val="single" w:sz="4" w:space="0" w:color="auto"/>
            </w:tcBorders>
            <w:vAlign w:val="center"/>
          </w:tcPr>
          <w:p w14:paraId="26CD0AE5" w14:textId="77777777" w:rsidR="0005573E" w:rsidRPr="008A278A" w:rsidRDefault="0005573E" w:rsidP="0005573E">
            <w:pPr>
              <w:widowControl w:val="0"/>
              <w:rPr>
                <w:b/>
                <w:bCs/>
                <w:strike/>
                <w:noProof/>
                <w:color w:val="D9D9D9" w:themeColor="background1" w:themeShade="D9"/>
                <w:sz w:val="20"/>
                <w:szCs w:val="20"/>
                <w:lang w:val="en-GB"/>
              </w:rPr>
            </w:pPr>
            <w:r w:rsidRPr="008A278A">
              <w:rPr>
                <w:b/>
                <w:bCs/>
                <w:strike/>
                <w:noProof/>
                <w:color w:val="D9D9D9" w:themeColor="background1" w:themeShade="D9"/>
                <w:sz w:val="20"/>
                <w:szCs w:val="20"/>
                <w:lang w:val="en-GB"/>
              </w:rPr>
              <w:t>727</w:t>
            </w:r>
          </w:p>
        </w:tc>
      </w:tr>
      <w:tr w:rsidR="0005573E" w:rsidRPr="00A334C7" w14:paraId="5E032F06" w14:textId="77777777" w:rsidTr="009938D9">
        <w:trPr>
          <w:cantSplit/>
        </w:trPr>
        <w:tc>
          <w:tcPr>
            <w:tcW w:w="5000" w:type="pct"/>
            <w:gridSpan w:val="4"/>
            <w:tcBorders>
              <w:top w:val="single" w:sz="4" w:space="0" w:color="auto"/>
            </w:tcBorders>
          </w:tcPr>
          <w:p w14:paraId="476A8F2B" w14:textId="77777777" w:rsidR="0005573E" w:rsidRPr="00A334C7" w:rsidRDefault="0005573E" w:rsidP="0005573E">
            <w:pPr>
              <w:widowControl w:val="0"/>
              <w:rPr>
                <w:b/>
                <w:bCs/>
                <w:sz w:val="20"/>
                <w:szCs w:val="20"/>
                <w:lang w:val="en-GB"/>
              </w:rPr>
            </w:pPr>
            <w:r w:rsidRPr="00A334C7">
              <w:rPr>
                <w:b/>
                <w:bCs/>
                <w:sz w:val="20"/>
                <w:szCs w:val="20"/>
                <w:lang w:val="en-GB"/>
              </w:rPr>
              <w:t>Chronic effects on other soil meso- and macrofauna</w:t>
            </w:r>
          </w:p>
        </w:tc>
      </w:tr>
      <w:tr w:rsidR="0005573E" w:rsidRPr="00A334C7" w14:paraId="70259984" w14:textId="77777777" w:rsidTr="009938D9">
        <w:trPr>
          <w:cantSplit/>
        </w:trPr>
        <w:tc>
          <w:tcPr>
            <w:tcW w:w="1470" w:type="pct"/>
            <w:tcBorders>
              <w:top w:val="single" w:sz="4" w:space="0" w:color="auto"/>
              <w:bottom w:val="single" w:sz="4" w:space="0" w:color="auto"/>
            </w:tcBorders>
          </w:tcPr>
          <w:p w14:paraId="3B2FE12E" w14:textId="0758EFF3" w:rsidR="0005573E" w:rsidRPr="00A334C7" w:rsidRDefault="0005573E" w:rsidP="0005573E">
            <w:pPr>
              <w:widowControl w:val="0"/>
              <w:rPr>
                <w:b/>
                <w:bCs/>
                <w:sz w:val="20"/>
                <w:szCs w:val="20"/>
                <w:lang w:val="en-GB"/>
              </w:rPr>
            </w:pPr>
            <w:r w:rsidRPr="00A334C7">
              <w:rPr>
                <w:b/>
                <w:bCs/>
                <w:sz w:val="20"/>
                <w:szCs w:val="20"/>
                <w:lang w:val="en-GB"/>
              </w:rPr>
              <w:t>Active substance/metabolite</w:t>
            </w:r>
          </w:p>
        </w:tc>
        <w:tc>
          <w:tcPr>
            <w:tcW w:w="1177" w:type="pct"/>
            <w:tcBorders>
              <w:top w:val="single" w:sz="4" w:space="0" w:color="auto"/>
              <w:bottom w:val="single" w:sz="4" w:space="0" w:color="auto"/>
            </w:tcBorders>
          </w:tcPr>
          <w:p w14:paraId="36DE800C" w14:textId="77777777" w:rsidR="0005573E" w:rsidRPr="00A334C7" w:rsidRDefault="0005573E" w:rsidP="0005573E">
            <w:pPr>
              <w:widowControl w:val="0"/>
              <w:rPr>
                <w:b/>
                <w:bCs/>
                <w:sz w:val="20"/>
                <w:szCs w:val="20"/>
                <w:lang w:val="en-GB"/>
              </w:rPr>
            </w:pPr>
            <w:r w:rsidRPr="00A334C7">
              <w:rPr>
                <w:b/>
                <w:bCs/>
                <w:sz w:val="20"/>
                <w:szCs w:val="20"/>
              </w:rPr>
              <w:t>Endpoint</w:t>
            </w:r>
            <w:r w:rsidRPr="00A334C7">
              <w:rPr>
                <w:b/>
                <w:bCs/>
                <w:sz w:val="20"/>
                <w:szCs w:val="20"/>
                <w:lang w:val="en-GB"/>
              </w:rPr>
              <w:br/>
              <w:t>(mg a.s./kg dry soil)</w:t>
            </w:r>
          </w:p>
        </w:tc>
        <w:tc>
          <w:tcPr>
            <w:tcW w:w="1177" w:type="pct"/>
            <w:tcBorders>
              <w:top w:val="single" w:sz="4" w:space="0" w:color="auto"/>
              <w:bottom w:val="single" w:sz="4" w:space="0" w:color="auto"/>
            </w:tcBorders>
          </w:tcPr>
          <w:p w14:paraId="10E31A23" w14:textId="77777777" w:rsidR="0005573E" w:rsidRPr="00A334C7" w:rsidRDefault="0005573E" w:rsidP="0005573E">
            <w:pPr>
              <w:widowControl w:val="0"/>
              <w:rPr>
                <w:b/>
                <w:bCs/>
                <w:sz w:val="20"/>
                <w:szCs w:val="20"/>
                <w:lang w:val="en-GB"/>
              </w:rPr>
            </w:pPr>
            <w:r w:rsidRPr="00A334C7">
              <w:rPr>
                <w:b/>
                <w:bCs/>
                <w:sz w:val="20"/>
                <w:szCs w:val="20"/>
                <w:lang w:val="en-GB"/>
              </w:rPr>
              <w:t>PEC</w:t>
            </w:r>
            <w:r w:rsidRPr="00A334C7">
              <w:rPr>
                <w:b/>
                <w:bCs/>
                <w:sz w:val="20"/>
                <w:szCs w:val="20"/>
                <w:vertAlign w:val="subscript"/>
                <w:lang w:val="en-GB"/>
              </w:rPr>
              <w:t>soil</w:t>
            </w:r>
            <w:r w:rsidRPr="00A334C7">
              <w:rPr>
                <w:b/>
                <w:bCs/>
                <w:sz w:val="20"/>
                <w:szCs w:val="20"/>
                <w:vertAlign w:val="subscript"/>
                <w:lang w:val="en-GB"/>
              </w:rPr>
              <w:br/>
            </w:r>
            <w:r w:rsidRPr="00A334C7">
              <w:rPr>
                <w:b/>
                <w:bCs/>
                <w:sz w:val="20"/>
                <w:szCs w:val="20"/>
                <w:lang w:val="en-GB"/>
              </w:rPr>
              <w:t>(mg/kg dry soil)</w:t>
            </w:r>
          </w:p>
        </w:tc>
        <w:tc>
          <w:tcPr>
            <w:tcW w:w="1176" w:type="pct"/>
            <w:tcBorders>
              <w:top w:val="single" w:sz="4" w:space="0" w:color="auto"/>
              <w:bottom w:val="single" w:sz="4" w:space="0" w:color="auto"/>
            </w:tcBorders>
          </w:tcPr>
          <w:p w14:paraId="736E7905" w14:textId="77777777" w:rsidR="0005573E" w:rsidRPr="00A334C7" w:rsidRDefault="0005573E" w:rsidP="0005573E">
            <w:pPr>
              <w:widowControl w:val="0"/>
              <w:rPr>
                <w:b/>
                <w:bCs/>
                <w:sz w:val="20"/>
                <w:szCs w:val="20"/>
                <w:lang w:val="en-GB"/>
              </w:rPr>
            </w:pPr>
            <w:r w:rsidRPr="00A334C7">
              <w:rPr>
                <w:b/>
                <w:bCs/>
                <w:sz w:val="20"/>
                <w:szCs w:val="20"/>
                <w:lang w:val="en-GB"/>
              </w:rPr>
              <w:t>TER</w:t>
            </w:r>
            <w:r w:rsidRPr="00A334C7">
              <w:rPr>
                <w:b/>
                <w:bCs/>
                <w:sz w:val="20"/>
                <w:szCs w:val="20"/>
                <w:vertAlign w:val="subscript"/>
                <w:lang w:val="en-GB"/>
              </w:rPr>
              <w:t>lt</w:t>
            </w:r>
            <w:r w:rsidRPr="00A334C7">
              <w:rPr>
                <w:b/>
                <w:bCs/>
                <w:sz w:val="20"/>
                <w:szCs w:val="20"/>
                <w:vertAlign w:val="subscript"/>
                <w:lang w:val="en-GB"/>
              </w:rPr>
              <w:br/>
            </w:r>
            <w:r w:rsidRPr="00A334C7">
              <w:rPr>
                <w:b/>
                <w:bCs/>
                <w:sz w:val="20"/>
                <w:szCs w:val="20"/>
                <w:lang w:val="en-GB"/>
              </w:rPr>
              <w:t>(criterion TER ≥ 5)</w:t>
            </w:r>
          </w:p>
        </w:tc>
      </w:tr>
      <w:tr w:rsidR="0005573E" w:rsidRPr="00A334C7" w14:paraId="4ADD9100" w14:textId="77777777" w:rsidTr="009938D9">
        <w:trPr>
          <w:cantSplit/>
        </w:trPr>
        <w:tc>
          <w:tcPr>
            <w:tcW w:w="5000" w:type="pct"/>
            <w:gridSpan w:val="4"/>
            <w:tcBorders>
              <w:top w:val="single" w:sz="4" w:space="0" w:color="auto"/>
            </w:tcBorders>
          </w:tcPr>
          <w:p w14:paraId="6D7F61F3" w14:textId="77777777" w:rsidR="0005573E" w:rsidRPr="00A334C7" w:rsidRDefault="0005573E" w:rsidP="0005573E">
            <w:pPr>
              <w:widowControl w:val="0"/>
              <w:rPr>
                <w:b/>
                <w:bCs/>
                <w:sz w:val="20"/>
                <w:szCs w:val="20"/>
                <w:lang w:val="en-GB"/>
              </w:rPr>
            </w:pPr>
            <w:r w:rsidRPr="00A334C7">
              <w:rPr>
                <w:b/>
                <w:bCs/>
                <w:sz w:val="20"/>
                <w:szCs w:val="20"/>
                <w:lang w:val="en-GB"/>
              </w:rPr>
              <w:t>Collembola (</w:t>
            </w:r>
            <w:r w:rsidRPr="00A334C7">
              <w:rPr>
                <w:b/>
                <w:bCs/>
                <w:i/>
                <w:sz w:val="20"/>
                <w:szCs w:val="20"/>
              </w:rPr>
              <w:t>Folsomia candida</w:t>
            </w:r>
            <w:r w:rsidRPr="00A334C7">
              <w:rPr>
                <w:b/>
                <w:bCs/>
                <w:sz w:val="20"/>
                <w:szCs w:val="20"/>
                <w:lang w:val="en-GB"/>
              </w:rPr>
              <w:t>)</w:t>
            </w:r>
          </w:p>
        </w:tc>
      </w:tr>
      <w:tr w:rsidR="0005573E" w:rsidRPr="00A334C7" w14:paraId="5A03FAB8" w14:textId="77777777" w:rsidTr="009938D9">
        <w:trPr>
          <w:cantSplit/>
        </w:trPr>
        <w:tc>
          <w:tcPr>
            <w:tcW w:w="1470" w:type="pct"/>
            <w:tcBorders>
              <w:top w:val="single" w:sz="4" w:space="0" w:color="auto"/>
              <w:bottom w:val="single" w:sz="4" w:space="0" w:color="auto"/>
            </w:tcBorders>
          </w:tcPr>
          <w:p w14:paraId="3110923B" w14:textId="77777777" w:rsidR="0005573E" w:rsidRPr="00A334C7" w:rsidRDefault="0005573E" w:rsidP="0005573E">
            <w:pPr>
              <w:widowControl w:val="0"/>
              <w:rPr>
                <w:noProof/>
                <w:sz w:val="20"/>
                <w:szCs w:val="20"/>
                <w:lang w:val="en-GB"/>
              </w:rPr>
            </w:pPr>
            <w:r w:rsidRPr="00A334C7">
              <w:rPr>
                <w:sz w:val="20"/>
                <w:szCs w:val="20"/>
                <w:lang w:val="en-GB"/>
              </w:rPr>
              <w:t>azoxystrobin</w:t>
            </w:r>
          </w:p>
        </w:tc>
        <w:tc>
          <w:tcPr>
            <w:tcW w:w="1177" w:type="pct"/>
            <w:tcBorders>
              <w:top w:val="single" w:sz="4" w:space="0" w:color="auto"/>
              <w:bottom w:val="single" w:sz="4" w:space="0" w:color="auto"/>
            </w:tcBorders>
          </w:tcPr>
          <w:p w14:paraId="63C6A41E" w14:textId="77777777" w:rsidR="0005573E" w:rsidRPr="00A334C7" w:rsidRDefault="0005573E" w:rsidP="0005573E">
            <w:pPr>
              <w:widowControl w:val="0"/>
              <w:rPr>
                <w:b/>
                <w:bCs/>
                <w:sz w:val="20"/>
                <w:szCs w:val="20"/>
                <w:lang w:val="en-GB"/>
              </w:rPr>
            </w:pPr>
            <w:r w:rsidRPr="00A334C7">
              <w:rPr>
                <w:b/>
                <w:bCs/>
                <w:sz w:val="20"/>
                <w:szCs w:val="20"/>
                <w:lang w:val="en-GB"/>
              </w:rPr>
              <w:t xml:space="preserve">NOEC = 50 </w:t>
            </w:r>
          </w:p>
          <w:p w14:paraId="56930610" w14:textId="77777777" w:rsidR="0005573E" w:rsidRPr="00A334C7" w:rsidRDefault="0005573E" w:rsidP="0005573E">
            <w:pPr>
              <w:widowControl w:val="0"/>
              <w:rPr>
                <w:noProof/>
                <w:sz w:val="20"/>
                <w:szCs w:val="20"/>
                <w:vertAlign w:val="superscript"/>
                <w:lang w:val="en-GB"/>
              </w:rPr>
            </w:pPr>
            <w:r w:rsidRPr="00A334C7">
              <w:rPr>
                <w:bCs/>
                <w:noProof/>
                <w:sz w:val="20"/>
                <w:szCs w:val="20"/>
                <w:lang w:val="en-GB"/>
              </w:rPr>
              <w:t>NOEC </w:t>
            </w:r>
            <w:r w:rsidRPr="00A334C7">
              <w:rPr>
                <w:bCs/>
                <w:noProof/>
                <w:sz w:val="20"/>
                <w:szCs w:val="20"/>
                <w:vertAlign w:val="subscript"/>
                <w:lang w:val="en-GB"/>
              </w:rPr>
              <w:t>CORR</w:t>
            </w:r>
            <w:r w:rsidRPr="00A334C7">
              <w:rPr>
                <w:bCs/>
                <w:noProof/>
                <w:sz w:val="20"/>
                <w:szCs w:val="20"/>
                <w:lang w:val="en-GB"/>
              </w:rPr>
              <w:t xml:space="preserve"> = </w:t>
            </w:r>
            <w:r w:rsidRPr="00A334C7">
              <w:rPr>
                <w:sz w:val="20"/>
                <w:szCs w:val="20"/>
                <w:lang w:val="en-GB"/>
              </w:rPr>
              <w:t>25</w:t>
            </w:r>
          </w:p>
        </w:tc>
        <w:tc>
          <w:tcPr>
            <w:tcW w:w="1177" w:type="pct"/>
            <w:tcBorders>
              <w:top w:val="single" w:sz="4" w:space="0" w:color="auto"/>
              <w:bottom w:val="single" w:sz="4" w:space="0" w:color="auto"/>
            </w:tcBorders>
            <w:vAlign w:val="center"/>
          </w:tcPr>
          <w:p w14:paraId="615C749E" w14:textId="77777777" w:rsidR="0005573E" w:rsidRPr="00A334C7" w:rsidRDefault="0005573E" w:rsidP="0005573E">
            <w:pPr>
              <w:widowControl w:val="0"/>
              <w:rPr>
                <w:noProof/>
                <w:sz w:val="20"/>
                <w:szCs w:val="20"/>
                <w:lang w:val="en-GB"/>
              </w:rPr>
            </w:pPr>
            <w:r w:rsidRPr="00A334C7">
              <w:rPr>
                <w:noProof/>
                <w:color w:val="000000"/>
                <w:sz w:val="20"/>
                <w:szCs w:val="20"/>
                <w:lang w:val="en-GB"/>
              </w:rPr>
              <w:t xml:space="preserve">0.091 </w:t>
            </w:r>
            <w:r w:rsidRPr="00A334C7">
              <w:rPr>
                <w:noProof/>
                <w:color w:val="000000"/>
                <w:sz w:val="20"/>
                <w:szCs w:val="20"/>
                <w:vertAlign w:val="superscript"/>
                <w:lang w:val="en-GB"/>
              </w:rPr>
              <w:t>*</w:t>
            </w:r>
          </w:p>
        </w:tc>
        <w:tc>
          <w:tcPr>
            <w:tcW w:w="1176" w:type="pct"/>
            <w:tcBorders>
              <w:top w:val="single" w:sz="4" w:space="0" w:color="auto"/>
              <w:bottom w:val="single" w:sz="4" w:space="0" w:color="auto"/>
            </w:tcBorders>
            <w:vAlign w:val="center"/>
          </w:tcPr>
          <w:p w14:paraId="32F2C550" w14:textId="77777777" w:rsidR="0005573E" w:rsidRPr="00A334C7" w:rsidRDefault="0005573E" w:rsidP="0005573E">
            <w:pPr>
              <w:widowControl w:val="0"/>
              <w:rPr>
                <w:b/>
                <w:bCs/>
                <w:noProof/>
                <w:color w:val="000000"/>
                <w:sz w:val="20"/>
                <w:szCs w:val="20"/>
                <w:lang w:val="en-GB"/>
              </w:rPr>
            </w:pPr>
            <w:r w:rsidRPr="00A334C7">
              <w:rPr>
                <w:b/>
                <w:bCs/>
                <w:noProof/>
                <w:color w:val="000000"/>
                <w:sz w:val="20"/>
                <w:szCs w:val="20"/>
                <w:lang w:val="en-GB"/>
              </w:rPr>
              <w:t>549</w:t>
            </w:r>
          </w:p>
          <w:p w14:paraId="268867D4" w14:textId="77777777" w:rsidR="0005573E" w:rsidRPr="00A334C7" w:rsidRDefault="0005573E" w:rsidP="0005573E">
            <w:pPr>
              <w:widowControl w:val="0"/>
              <w:rPr>
                <w:noProof/>
                <w:sz w:val="20"/>
                <w:szCs w:val="20"/>
                <w:lang w:val="en-GB"/>
              </w:rPr>
            </w:pPr>
            <w:r w:rsidRPr="00A334C7">
              <w:rPr>
                <w:noProof/>
                <w:color w:val="000000"/>
                <w:sz w:val="20"/>
                <w:szCs w:val="20"/>
                <w:lang w:val="en-GB"/>
              </w:rPr>
              <w:t>275</w:t>
            </w:r>
          </w:p>
        </w:tc>
      </w:tr>
      <w:tr w:rsidR="0005573E" w:rsidRPr="00A334C7" w14:paraId="1C1C6AE9" w14:textId="77777777" w:rsidTr="009938D9">
        <w:trPr>
          <w:cantSplit/>
        </w:trPr>
        <w:tc>
          <w:tcPr>
            <w:tcW w:w="5000" w:type="pct"/>
            <w:gridSpan w:val="4"/>
            <w:tcBorders>
              <w:top w:val="single" w:sz="4" w:space="0" w:color="auto"/>
              <w:bottom w:val="single" w:sz="4" w:space="0" w:color="auto"/>
            </w:tcBorders>
          </w:tcPr>
          <w:p w14:paraId="65B6425A" w14:textId="77777777" w:rsidR="0005573E" w:rsidRPr="00A334C7" w:rsidRDefault="0005573E" w:rsidP="0005573E">
            <w:pPr>
              <w:widowControl w:val="0"/>
              <w:rPr>
                <w:noProof/>
                <w:sz w:val="20"/>
                <w:szCs w:val="20"/>
                <w:lang w:val="en-GB"/>
              </w:rPr>
            </w:pPr>
            <w:r w:rsidRPr="00A334C7">
              <w:rPr>
                <w:b/>
                <w:noProof/>
                <w:sz w:val="20"/>
                <w:szCs w:val="20"/>
                <w:lang w:val="en-GB"/>
              </w:rPr>
              <w:t>Soil mites (</w:t>
            </w:r>
            <w:r w:rsidRPr="00A334C7">
              <w:rPr>
                <w:b/>
                <w:i/>
                <w:noProof/>
                <w:sz w:val="20"/>
                <w:szCs w:val="20"/>
                <w:lang w:val="en-GB"/>
              </w:rPr>
              <w:t>Hypoaspis aculeifer</w:t>
            </w:r>
            <w:r w:rsidRPr="00A334C7">
              <w:rPr>
                <w:b/>
                <w:noProof/>
                <w:sz w:val="20"/>
                <w:szCs w:val="20"/>
                <w:lang w:val="en-GB"/>
              </w:rPr>
              <w:t>)</w:t>
            </w:r>
          </w:p>
        </w:tc>
      </w:tr>
      <w:tr w:rsidR="0005573E" w:rsidRPr="00A334C7" w14:paraId="502AD493" w14:textId="77777777" w:rsidTr="009938D9">
        <w:trPr>
          <w:cantSplit/>
        </w:trPr>
        <w:tc>
          <w:tcPr>
            <w:tcW w:w="1470" w:type="pct"/>
            <w:tcBorders>
              <w:top w:val="single" w:sz="4" w:space="0" w:color="auto"/>
              <w:bottom w:val="single" w:sz="4" w:space="0" w:color="auto"/>
            </w:tcBorders>
          </w:tcPr>
          <w:p w14:paraId="093E3BEC" w14:textId="77777777" w:rsidR="0005573E" w:rsidRPr="00B065F5" w:rsidRDefault="0005573E" w:rsidP="0005573E">
            <w:pPr>
              <w:widowControl w:val="0"/>
              <w:rPr>
                <w:strike/>
                <w:noProof/>
                <w:color w:val="D9D9D9" w:themeColor="background1" w:themeShade="D9"/>
                <w:sz w:val="20"/>
                <w:szCs w:val="20"/>
                <w:lang w:val="en-GB"/>
              </w:rPr>
            </w:pPr>
            <w:r w:rsidRPr="00B065F5">
              <w:rPr>
                <w:strike/>
                <w:color w:val="D9D9D9" w:themeColor="background1" w:themeShade="D9"/>
                <w:sz w:val="20"/>
                <w:szCs w:val="20"/>
                <w:lang w:val="en-GB"/>
              </w:rPr>
              <w:t>azoxystrobin</w:t>
            </w:r>
          </w:p>
        </w:tc>
        <w:tc>
          <w:tcPr>
            <w:tcW w:w="1177" w:type="pct"/>
            <w:tcBorders>
              <w:top w:val="single" w:sz="4" w:space="0" w:color="auto"/>
              <w:bottom w:val="single" w:sz="4" w:space="0" w:color="auto"/>
            </w:tcBorders>
          </w:tcPr>
          <w:p w14:paraId="338D86F4" w14:textId="77777777" w:rsidR="0005573E" w:rsidRPr="00B065F5" w:rsidRDefault="0005573E" w:rsidP="0005573E">
            <w:pPr>
              <w:widowControl w:val="0"/>
              <w:rPr>
                <w:b/>
                <w:bCs/>
                <w:strike/>
                <w:color w:val="D9D9D9" w:themeColor="background1" w:themeShade="D9"/>
                <w:sz w:val="20"/>
                <w:szCs w:val="20"/>
                <w:lang w:val="en-GB"/>
              </w:rPr>
            </w:pPr>
            <w:r w:rsidRPr="00B065F5">
              <w:rPr>
                <w:b/>
                <w:bCs/>
                <w:strike/>
                <w:color w:val="D9D9D9" w:themeColor="background1" w:themeShade="D9"/>
                <w:sz w:val="20"/>
                <w:szCs w:val="20"/>
                <w:lang w:val="en-GB"/>
              </w:rPr>
              <w:t>NOEC = 1000</w:t>
            </w:r>
          </w:p>
          <w:p w14:paraId="577F1DA6" w14:textId="77777777" w:rsidR="0005573E" w:rsidRPr="00B065F5" w:rsidRDefault="0005573E" w:rsidP="0005573E">
            <w:pPr>
              <w:widowControl w:val="0"/>
              <w:rPr>
                <w:strike/>
                <w:noProof/>
                <w:color w:val="D9D9D9" w:themeColor="background1" w:themeShade="D9"/>
                <w:sz w:val="20"/>
                <w:szCs w:val="20"/>
                <w:lang w:val="en-GB"/>
              </w:rPr>
            </w:pPr>
            <w:r w:rsidRPr="00B065F5">
              <w:rPr>
                <w:bCs/>
                <w:strike/>
                <w:noProof/>
                <w:color w:val="D9D9D9" w:themeColor="background1" w:themeShade="D9"/>
                <w:sz w:val="20"/>
                <w:szCs w:val="20"/>
                <w:lang w:val="en-GB"/>
              </w:rPr>
              <w:t>NOEC </w:t>
            </w:r>
            <w:r w:rsidRPr="00B065F5">
              <w:rPr>
                <w:bCs/>
                <w:strike/>
                <w:noProof/>
                <w:color w:val="D9D9D9" w:themeColor="background1" w:themeShade="D9"/>
                <w:sz w:val="20"/>
                <w:szCs w:val="20"/>
                <w:vertAlign w:val="subscript"/>
                <w:lang w:val="en-GB"/>
              </w:rPr>
              <w:t>CORR</w:t>
            </w:r>
            <w:r w:rsidRPr="00B065F5">
              <w:rPr>
                <w:bCs/>
                <w:strike/>
                <w:noProof/>
                <w:color w:val="D9D9D9" w:themeColor="background1" w:themeShade="D9"/>
                <w:sz w:val="20"/>
                <w:szCs w:val="20"/>
                <w:lang w:val="en-GB"/>
              </w:rPr>
              <w:t xml:space="preserve"> = </w:t>
            </w:r>
            <w:r w:rsidRPr="00B065F5">
              <w:rPr>
                <w:strike/>
                <w:color w:val="D9D9D9" w:themeColor="background1" w:themeShade="D9"/>
                <w:sz w:val="20"/>
                <w:szCs w:val="20"/>
                <w:lang w:val="en-GB"/>
              </w:rPr>
              <w:t>500</w:t>
            </w:r>
          </w:p>
        </w:tc>
        <w:tc>
          <w:tcPr>
            <w:tcW w:w="1177" w:type="pct"/>
            <w:tcBorders>
              <w:top w:val="single" w:sz="4" w:space="0" w:color="auto"/>
              <w:bottom w:val="single" w:sz="4" w:space="0" w:color="auto"/>
            </w:tcBorders>
            <w:vAlign w:val="center"/>
          </w:tcPr>
          <w:p w14:paraId="42A14F6F" w14:textId="77777777" w:rsidR="0005573E" w:rsidRPr="00B065F5" w:rsidRDefault="0005573E" w:rsidP="0005573E">
            <w:pPr>
              <w:widowControl w:val="0"/>
              <w:rPr>
                <w:strike/>
                <w:noProof/>
                <w:color w:val="D9D9D9" w:themeColor="background1" w:themeShade="D9"/>
                <w:sz w:val="20"/>
                <w:szCs w:val="20"/>
                <w:lang w:val="en-GB"/>
              </w:rPr>
            </w:pPr>
            <w:r w:rsidRPr="00B065F5">
              <w:rPr>
                <w:strike/>
                <w:noProof/>
                <w:color w:val="D9D9D9" w:themeColor="background1" w:themeShade="D9"/>
                <w:sz w:val="20"/>
                <w:szCs w:val="20"/>
                <w:lang w:val="en-GB"/>
              </w:rPr>
              <w:t xml:space="preserve">0.091 </w:t>
            </w:r>
            <w:r w:rsidRPr="00B065F5">
              <w:rPr>
                <w:strike/>
                <w:noProof/>
                <w:color w:val="D9D9D9" w:themeColor="background1" w:themeShade="D9"/>
                <w:sz w:val="20"/>
                <w:szCs w:val="20"/>
                <w:vertAlign w:val="superscript"/>
                <w:lang w:val="en-GB"/>
              </w:rPr>
              <w:t>*</w:t>
            </w:r>
          </w:p>
        </w:tc>
        <w:tc>
          <w:tcPr>
            <w:tcW w:w="1176" w:type="pct"/>
            <w:tcBorders>
              <w:top w:val="single" w:sz="4" w:space="0" w:color="auto"/>
              <w:bottom w:val="single" w:sz="4" w:space="0" w:color="auto"/>
            </w:tcBorders>
            <w:vAlign w:val="center"/>
          </w:tcPr>
          <w:p w14:paraId="41711EE7" w14:textId="77777777" w:rsidR="0005573E" w:rsidRPr="00B065F5" w:rsidRDefault="0005573E" w:rsidP="0005573E">
            <w:pPr>
              <w:widowControl w:val="0"/>
              <w:rPr>
                <w:strike/>
                <w:noProof/>
                <w:color w:val="D9D9D9" w:themeColor="background1" w:themeShade="D9"/>
                <w:sz w:val="20"/>
                <w:szCs w:val="20"/>
                <w:lang w:val="en-GB"/>
              </w:rPr>
            </w:pPr>
            <w:r w:rsidRPr="00B065F5">
              <w:rPr>
                <w:strike/>
                <w:noProof/>
                <w:color w:val="D9D9D9" w:themeColor="background1" w:themeShade="D9"/>
                <w:sz w:val="20"/>
                <w:szCs w:val="20"/>
                <w:lang w:val="en-GB"/>
              </w:rPr>
              <w:t>10989</w:t>
            </w:r>
          </w:p>
          <w:p w14:paraId="2BBB6BFF" w14:textId="77777777" w:rsidR="0005573E" w:rsidRPr="00B065F5" w:rsidRDefault="0005573E" w:rsidP="0005573E">
            <w:pPr>
              <w:widowControl w:val="0"/>
              <w:rPr>
                <w:strike/>
                <w:noProof/>
                <w:color w:val="D9D9D9" w:themeColor="background1" w:themeShade="D9"/>
                <w:sz w:val="20"/>
                <w:szCs w:val="20"/>
                <w:lang w:val="en-GB"/>
              </w:rPr>
            </w:pPr>
            <w:r w:rsidRPr="00B065F5">
              <w:rPr>
                <w:strike/>
                <w:noProof/>
                <w:color w:val="D9D9D9" w:themeColor="background1" w:themeShade="D9"/>
                <w:sz w:val="20"/>
                <w:szCs w:val="20"/>
                <w:lang w:val="en-GB"/>
              </w:rPr>
              <w:t>5495</w:t>
            </w:r>
          </w:p>
        </w:tc>
      </w:tr>
    </w:tbl>
    <w:p w14:paraId="1629FB6C" w14:textId="77777777" w:rsidR="00E51CDD" w:rsidRPr="00E51CDD" w:rsidRDefault="00E51CDD" w:rsidP="00E51CDD">
      <w:pPr>
        <w:widowControl w:val="0"/>
        <w:ind w:left="284" w:hanging="284"/>
        <w:jc w:val="both"/>
        <w:rPr>
          <w:sz w:val="18"/>
          <w:szCs w:val="18"/>
          <w:lang w:val="en-GB"/>
        </w:rPr>
      </w:pPr>
      <w:bookmarkStart w:id="848" w:name="_Toc360726678"/>
      <w:bookmarkStart w:id="849" w:name="_Toc362541811"/>
      <w:bookmarkStart w:id="850" w:name="_Toc362542720"/>
      <w:bookmarkEnd w:id="848"/>
      <w:bookmarkEnd w:id="849"/>
      <w:bookmarkEnd w:id="850"/>
      <w:r w:rsidRPr="00E51CDD">
        <w:rPr>
          <w:sz w:val="18"/>
          <w:szCs w:val="18"/>
          <w:lang w:val="en-GB"/>
        </w:rPr>
        <w:t xml:space="preserve">Values in </w:t>
      </w:r>
      <w:r w:rsidRPr="00E51CDD">
        <w:rPr>
          <w:b/>
          <w:bCs/>
          <w:sz w:val="18"/>
          <w:szCs w:val="18"/>
          <w:lang w:val="en-GB"/>
        </w:rPr>
        <w:t>bold</w:t>
      </w:r>
      <w:r w:rsidRPr="00E51CDD">
        <w:rPr>
          <w:sz w:val="18"/>
          <w:szCs w:val="18"/>
          <w:lang w:val="en-GB"/>
        </w:rPr>
        <w:t xml:space="preserve"> are relevant for the conclusion of the risk assessment.</w:t>
      </w:r>
    </w:p>
    <w:p w14:paraId="639F26EA" w14:textId="77777777" w:rsidR="00E51CDD" w:rsidRPr="00E51CDD" w:rsidRDefault="00E51CDD" w:rsidP="00E51CDD">
      <w:pPr>
        <w:widowControl w:val="0"/>
        <w:ind w:left="284" w:hanging="284"/>
        <w:jc w:val="both"/>
        <w:rPr>
          <w:sz w:val="18"/>
          <w:lang w:val="en-GB"/>
        </w:rPr>
      </w:pPr>
      <w:r w:rsidRPr="00E51CDD">
        <w:rPr>
          <w:sz w:val="18"/>
          <w:vertAlign w:val="superscript"/>
          <w:lang w:val="en-GB"/>
        </w:rPr>
        <w:t>*</w:t>
      </w:r>
      <w:r w:rsidRPr="00E51CDD">
        <w:rPr>
          <w:sz w:val="18"/>
          <w:vertAlign w:val="superscript"/>
          <w:lang w:val="en-GB"/>
        </w:rPr>
        <w:tab/>
      </w:r>
      <w:r w:rsidRPr="00E51CDD">
        <w:rPr>
          <w:sz w:val="18"/>
          <w:lang w:val="en-GB"/>
        </w:rPr>
        <w:t>PEC</w:t>
      </w:r>
      <w:r w:rsidRPr="00E51CDD">
        <w:rPr>
          <w:sz w:val="18"/>
          <w:vertAlign w:val="subscript"/>
          <w:lang w:val="en-GB"/>
        </w:rPr>
        <w:t xml:space="preserve">soil, accu. </w:t>
      </w:r>
      <w:r w:rsidRPr="00E51CDD">
        <w:rPr>
          <w:sz w:val="18"/>
        </w:rPr>
        <w:t>For details please refer to section 8, chapter 8.7.</w:t>
      </w:r>
    </w:p>
    <w:p w14:paraId="6BA4C030" w14:textId="77777777" w:rsidR="00E51CDD" w:rsidRPr="00E51CDD" w:rsidRDefault="00E51CDD" w:rsidP="00E51CDD">
      <w:pPr>
        <w:widowControl w:val="0"/>
        <w:jc w:val="both"/>
        <w:rPr>
          <w:lang w:val="en-GB"/>
        </w:rPr>
      </w:pPr>
      <w:r w:rsidRPr="00E51CDD">
        <w:rPr>
          <w:lang w:val="en-GB"/>
        </w:rPr>
        <w:br w:type="page"/>
      </w:r>
    </w:p>
    <w:p w14:paraId="2A6DE1D5" w14:textId="394FB366" w:rsidR="00E51CDD" w:rsidRPr="00E51CDD" w:rsidRDefault="00E51CDD" w:rsidP="00E51CDD">
      <w:pPr>
        <w:tabs>
          <w:tab w:val="left" w:pos="1984"/>
        </w:tabs>
        <w:spacing w:line="280" w:lineRule="exact"/>
        <w:ind w:left="1985" w:hanging="1985"/>
        <w:jc w:val="both"/>
        <w:rPr>
          <w:b/>
          <w:lang w:val="en-GB" w:eastAsia="en-US"/>
        </w:rPr>
      </w:pPr>
      <w:bookmarkStart w:id="851" w:name="_Ref5000481"/>
      <w:r w:rsidRPr="00E51CDD">
        <w:rPr>
          <w:b/>
          <w:lang w:val="en-GB" w:eastAsia="en-US"/>
        </w:rPr>
        <w:lastRenderedPageBreak/>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9.8</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6</w:t>
      </w:r>
      <w:r w:rsidRPr="00E51CDD">
        <w:rPr>
          <w:b/>
          <w:lang w:val="en-GB" w:eastAsia="en-US"/>
        </w:rPr>
        <w:fldChar w:fldCharType="end"/>
      </w:r>
      <w:bookmarkEnd w:id="851"/>
      <w:r w:rsidRPr="00E51CDD">
        <w:rPr>
          <w:b/>
          <w:lang w:val="en-GB" w:eastAsia="en-US"/>
        </w:rPr>
        <w:t>:</w:t>
      </w:r>
      <w:r w:rsidRPr="00E51CDD">
        <w:rPr>
          <w:b/>
          <w:lang w:val="en-GB" w:eastAsia="en-US"/>
        </w:rPr>
        <w:tab/>
        <w:t>First-tier assessment of the chronic risk for earthworms and other non-target soil organisms (meso- and macrofauna) due to the use of BAS 736 00 F according to the proposed use pattern</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346"/>
        <w:gridCol w:w="2054"/>
        <w:gridCol w:w="2198"/>
      </w:tblGrid>
      <w:tr w:rsidR="00E51CDD" w:rsidRPr="00E51CDD" w14:paraId="3160F905" w14:textId="77777777" w:rsidTr="009938D9">
        <w:trPr>
          <w:cantSplit/>
        </w:trPr>
        <w:tc>
          <w:tcPr>
            <w:tcW w:w="1470" w:type="pct"/>
            <w:tcBorders>
              <w:top w:val="single" w:sz="4" w:space="0" w:color="auto"/>
              <w:bottom w:val="single" w:sz="4" w:space="0" w:color="auto"/>
            </w:tcBorders>
          </w:tcPr>
          <w:p w14:paraId="547D6D89" w14:textId="77777777" w:rsidR="00E51CDD" w:rsidRPr="00E51CDD" w:rsidRDefault="00E51CDD" w:rsidP="00E51CDD">
            <w:pPr>
              <w:widowControl w:val="0"/>
              <w:rPr>
                <w:b/>
                <w:bCs/>
                <w:sz w:val="20"/>
                <w:szCs w:val="20"/>
                <w:lang w:val="en-GB"/>
              </w:rPr>
            </w:pPr>
            <w:r w:rsidRPr="00E51CDD">
              <w:rPr>
                <w:b/>
                <w:bCs/>
                <w:sz w:val="20"/>
                <w:szCs w:val="20"/>
                <w:lang w:val="en-GB"/>
              </w:rPr>
              <w:t>Intended use</w:t>
            </w:r>
          </w:p>
        </w:tc>
        <w:tc>
          <w:tcPr>
            <w:tcW w:w="3530" w:type="pct"/>
            <w:gridSpan w:val="3"/>
            <w:tcBorders>
              <w:top w:val="single" w:sz="4" w:space="0" w:color="auto"/>
              <w:bottom w:val="single" w:sz="4" w:space="0" w:color="auto"/>
            </w:tcBorders>
          </w:tcPr>
          <w:p w14:paraId="6AE013B5" w14:textId="77777777" w:rsidR="00E51CDD" w:rsidRPr="00E51CDD" w:rsidRDefault="00E51CDD" w:rsidP="00E51CDD">
            <w:pPr>
              <w:widowControl w:val="0"/>
              <w:rPr>
                <w:noProof/>
                <w:sz w:val="20"/>
                <w:vertAlign w:val="superscript"/>
                <w:lang w:val="en-GB"/>
              </w:rPr>
            </w:pPr>
            <w:r w:rsidRPr="00E51CDD">
              <w:rPr>
                <w:noProof/>
                <w:sz w:val="20"/>
                <w:szCs w:val="20"/>
                <w:lang w:val="en-GB"/>
              </w:rPr>
              <w:t>2 x 2.0 L BAS 736 00 F/ha in cereals</w:t>
            </w:r>
          </w:p>
        </w:tc>
      </w:tr>
      <w:tr w:rsidR="00E51CDD" w:rsidRPr="00E51CDD" w14:paraId="17CAD472" w14:textId="77777777" w:rsidTr="009938D9">
        <w:trPr>
          <w:cantSplit/>
        </w:trPr>
        <w:tc>
          <w:tcPr>
            <w:tcW w:w="5000" w:type="pct"/>
            <w:gridSpan w:val="4"/>
            <w:tcBorders>
              <w:top w:val="single" w:sz="4" w:space="0" w:color="auto"/>
            </w:tcBorders>
          </w:tcPr>
          <w:p w14:paraId="703E0ECD" w14:textId="77777777" w:rsidR="00E51CDD" w:rsidRPr="00E51CDD" w:rsidRDefault="00E51CDD" w:rsidP="00E51CDD">
            <w:pPr>
              <w:widowControl w:val="0"/>
              <w:rPr>
                <w:b/>
                <w:bCs/>
                <w:sz w:val="20"/>
                <w:szCs w:val="20"/>
                <w:lang w:val="en-GB"/>
              </w:rPr>
            </w:pPr>
            <w:r w:rsidRPr="00E51CDD">
              <w:rPr>
                <w:b/>
                <w:bCs/>
                <w:sz w:val="20"/>
                <w:szCs w:val="20"/>
                <w:lang w:val="en-GB"/>
              </w:rPr>
              <w:t>Chronic effects on earthworms</w:t>
            </w:r>
          </w:p>
        </w:tc>
      </w:tr>
      <w:tr w:rsidR="00E51CDD" w:rsidRPr="00E51CDD" w14:paraId="013F56D6" w14:textId="77777777" w:rsidTr="009938D9">
        <w:trPr>
          <w:cantSplit/>
        </w:trPr>
        <w:tc>
          <w:tcPr>
            <w:tcW w:w="1470" w:type="pct"/>
            <w:tcBorders>
              <w:top w:val="single" w:sz="4" w:space="0" w:color="auto"/>
              <w:bottom w:val="single" w:sz="4" w:space="0" w:color="auto"/>
            </w:tcBorders>
          </w:tcPr>
          <w:p w14:paraId="5B44EA8F" w14:textId="77777777" w:rsidR="00E51CDD" w:rsidRPr="00E51CDD" w:rsidRDefault="00E51CDD" w:rsidP="00E51CDD">
            <w:pPr>
              <w:widowControl w:val="0"/>
              <w:rPr>
                <w:b/>
                <w:bCs/>
                <w:sz w:val="20"/>
                <w:szCs w:val="20"/>
                <w:lang w:val="en-GB"/>
              </w:rPr>
            </w:pPr>
            <w:r w:rsidRPr="00E51CDD">
              <w:rPr>
                <w:b/>
                <w:bCs/>
                <w:sz w:val="20"/>
                <w:szCs w:val="20"/>
                <w:lang w:val="en-GB"/>
              </w:rPr>
              <w:t>Product</w:t>
            </w:r>
          </w:p>
        </w:tc>
        <w:tc>
          <w:tcPr>
            <w:tcW w:w="1255" w:type="pct"/>
            <w:tcBorders>
              <w:top w:val="single" w:sz="4" w:space="0" w:color="auto"/>
              <w:bottom w:val="single" w:sz="4" w:space="0" w:color="auto"/>
            </w:tcBorders>
          </w:tcPr>
          <w:p w14:paraId="7DE76549" w14:textId="77777777" w:rsidR="00E51CDD" w:rsidRPr="00E51CDD" w:rsidRDefault="00E51CDD" w:rsidP="00E51CDD">
            <w:pPr>
              <w:widowControl w:val="0"/>
              <w:rPr>
                <w:b/>
                <w:bCs/>
                <w:sz w:val="20"/>
                <w:szCs w:val="20"/>
              </w:rPr>
            </w:pPr>
            <w:r w:rsidRPr="00E51CDD">
              <w:rPr>
                <w:b/>
                <w:bCs/>
                <w:sz w:val="20"/>
                <w:szCs w:val="20"/>
              </w:rPr>
              <w:t>Endpoint</w:t>
            </w:r>
            <w:r w:rsidRPr="00E51CDD">
              <w:rPr>
                <w:b/>
                <w:bCs/>
                <w:sz w:val="20"/>
                <w:szCs w:val="20"/>
              </w:rPr>
              <w:br/>
              <w:t>(mg a.s./kg dry soil)</w:t>
            </w:r>
          </w:p>
        </w:tc>
        <w:tc>
          <w:tcPr>
            <w:tcW w:w="1099" w:type="pct"/>
            <w:tcBorders>
              <w:top w:val="single" w:sz="4" w:space="0" w:color="auto"/>
              <w:bottom w:val="single" w:sz="4" w:space="0" w:color="auto"/>
            </w:tcBorders>
          </w:tcPr>
          <w:p w14:paraId="31258C98" w14:textId="77777777" w:rsidR="00E51CDD" w:rsidRPr="00E51CDD" w:rsidRDefault="00E51CDD" w:rsidP="00E51CDD">
            <w:pPr>
              <w:widowControl w:val="0"/>
              <w:rPr>
                <w:b/>
                <w:bCs/>
                <w:sz w:val="20"/>
                <w:szCs w:val="20"/>
                <w:lang w:val="en-GB"/>
              </w:rPr>
            </w:pPr>
            <w:r w:rsidRPr="00E51CDD">
              <w:rPr>
                <w:b/>
                <w:bCs/>
                <w:sz w:val="20"/>
                <w:szCs w:val="20"/>
                <w:lang w:val="en-GB"/>
              </w:rPr>
              <w:t>PEC</w:t>
            </w:r>
            <w:r w:rsidRPr="00E51CDD">
              <w:rPr>
                <w:b/>
                <w:bCs/>
                <w:sz w:val="20"/>
                <w:szCs w:val="20"/>
                <w:vertAlign w:val="subscript"/>
                <w:lang w:val="en-GB"/>
              </w:rPr>
              <w:t>soil</w:t>
            </w:r>
            <w:r w:rsidRPr="00E51CDD">
              <w:rPr>
                <w:b/>
                <w:bCs/>
                <w:sz w:val="20"/>
                <w:szCs w:val="20"/>
                <w:vertAlign w:val="subscript"/>
                <w:lang w:val="en-GB"/>
              </w:rPr>
              <w:br/>
            </w:r>
            <w:r w:rsidRPr="00E51CDD">
              <w:rPr>
                <w:b/>
                <w:bCs/>
                <w:sz w:val="20"/>
                <w:szCs w:val="20"/>
                <w:lang w:val="en-GB"/>
              </w:rPr>
              <w:t>(mg a.s./kg dry soil)</w:t>
            </w:r>
          </w:p>
        </w:tc>
        <w:tc>
          <w:tcPr>
            <w:tcW w:w="1176" w:type="pct"/>
            <w:tcBorders>
              <w:top w:val="single" w:sz="4" w:space="0" w:color="auto"/>
              <w:bottom w:val="single" w:sz="4" w:space="0" w:color="auto"/>
            </w:tcBorders>
          </w:tcPr>
          <w:p w14:paraId="088F6C6D" w14:textId="77777777" w:rsidR="00E51CDD" w:rsidRPr="00E51CDD" w:rsidRDefault="00E51CDD" w:rsidP="00E51CDD">
            <w:pPr>
              <w:widowControl w:val="0"/>
              <w:rPr>
                <w:b/>
                <w:bCs/>
                <w:sz w:val="20"/>
                <w:szCs w:val="20"/>
                <w:lang w:val="en-GB"/>
              </w:rPr>
            </w:pPr>
            <w:r w:rsidRPr="00E51CDD">
              <w:rPr>
                <w:b/>
                <w:bCs/>
                <w:sz w:val="20"/>
                <w:szCs w:val="20"/>
                <w:lang w:val="en-GB"/>
              </w:rPr>
              <w:t>TER</w:t>
            </w:r>
            <w:r w:rsidRPr="00E51CDD">
              <w:rPr>
                <w:b/>
                <w:bCs/>
                <w:sz w:val="20"/>
                <w:szCs w:val="20"/>
                <w:vertAlign w:val="subscript"/>
                <w:lang w:val="en-GB"/>
              </w:rPr>
              <w:t>lt</w:t>
            </w:r>
            <w:r w:rsidRPr="00E51CDD">
              <w:rPr>
                <w:b/>
                <w:bCs/>
                <w:sz w:val="20"/>
                <w:szCs w:val="20"/>
                <w:vertAlign w:val="subscript"/>
                <w:lang w:val="en-GB"/>
              </w:rPr>
              <w:br/>
            </w:r>
            <w:r w:rsidRPr="00E51CDD">
              <w:rPr>
                <w:b/>
                <w:bCs/>
                <w:sz w:val="20"/>
                <w:szCs w:val="20"/>
                <w:lang w:val="en-GB"/>
              </w:rPr>
              <w:t>(criterion TER ≥ 5)</w:t>
            </w:r>
          </w:p>
        </w:tc>
      </w:tr>
      <w:tr w:rsidR="00E51CDD" w:rsidRPr="00E51CDD" w14:paraId="190F3B6A" w14:textId="77777777" w:rsidTr="009938D9">
        <w:trPr>
          <w:cantSplit/>
        </w:trPr>
        <w:tc>
          <w:tcPr>
            <w:tcW w:w="1470" w:type="pct"/>
            <w:tcBorders>
              <w:top w:val="single" w:sz="4" w:space="0" w:color="auto"/>
              <w:bottom w:val="single" w:sz="4" w:space="0" w:color="auto"/>
            </w:tcBorders>
          </w:tcPr>
          <w:p w14:paraId="75F2FCEC" w14:textId="77777777" w:rsidR="00E51CDD" w:rsidRPr="00E51CDD" w:rsidRDefault="00E51CDD" w:rsidP="00E51CDD">
            <w:pPr>
              <w:widowControl w:val="0"/>
              <w:rPr>
                <w:noProof/>
                <w:sz w:val="20"/>
                <w:lang w:val="en-GB"/>
              </w:rPr>
            </w:pPr>
            <w:r w:rsidRPr="00E51CDD">
              <w:rPr>
                <w:noProof/>
                <w:sz w:val="20"/>
                <w:lang w:val="en-GB"/>
              </w:rPr>
              <w:t>(total) a.s. in BAS 736 00 F</w:t>
            </w:r>
          </w:p>
        </w:tc>
        <w:tc>
          <w:tcPr>
            <w:tcW w:w="1255" w:type="pct"/>
            <w:tcBorders>
              <w:top w:val="single" w:sz="4" w:space="0" w:color="auto"/>
              <w:bottom w:val="single" w:sz="4" w:space="0" w:color="auto"/>
            </w:tcBorders>
          </w:tcPr>
          <w:p w14:paraId="05DDD7E2" w14:textId="77777777" w:rsidR="00E51CDD" w:rsidRPr="002262EA" w:rsidRDefault="00E51CDD" w:rsidP="00E51CDD">
            <w:pPr>
              <w:widowControl w:val="0"/>
              <w:rPr>
                <w:noProof/>
                <w:sz w:val="20"/>
                <w:lang w:val="fr-BE"/>
              </w:rPr>
            </w:pPr>
            <w:r w:rsidRPr="002262EA">
              <w:rPr>
                <w:noProof/>
                <w:sz w:val="20"/>
                <w:lang w:val="fr-BE"/>
              </w:rPr>
              <w:t>NOEC</w:t>
            </w:r>
            <w:r w:rsidRPr="002262EA">
              <w:rPr>
                <w:noProof/>
                <w:sz w:val="20"/>
                <w:vertAlign w:val="subscript"/>
                <w:lang w:val="fr-BE"/>
              </w:rPr>
              <w:t xml:space="preserve"> </w:t>
            </w:r>
            <w:r w:rsidRPr="002262EA">
              <w:rPr>
                <w:noProof/>
                <w:sz w:val="20"/>
                <w:lang w:val="fr-BE"/>
              </w:rPr>
              <w:t xml:space="preserve">= 33 </w:t>
            </w:r>
            <w:r w:rsidRPr="002262EA">
              <w:rPr>
                <w:noProof/>
                <w:sz w:val="20"/>
                <w:vertAlign w:val="superscript"/>
                <w:lang w:val="fr-BE"/>
              </w:rPr>
              <w:t>1)</w:t>
            </w:r>
            <w:r w:rsidRPr="002262EA">
              <w:rPr>
                <w:noProof/>
                <w:sz w:val="20"/>
                <w:lang w:val="fr-BE"/>
              </w:rPr>
              <w:br/>
              <w:t>EC</w:t>
            </w:r>
            <w:r w:rsidRPr="002262EA">
              <w:rPr>
                <w:noProof/>
                <w:sz w:val="20"/>
                <w:vertAlign w:val="subscript"/>
                <w:lang w:val="fr-BE"/>
              </w:rPr>
              <w:t>10 </w:t>
            </w:r>
            <w:r w:rsidRPr="002262EA">
              <w:rPr>
                <w:noProof/>
                <w:sz w:val="20"/>
                <w:lang w:val="fr-BE"/>
              </w:rPr>
              <w:t xml:space="preserve"> = 34.3 </w:t>
            </w:r>
            <w:r w:rsidRPr="002262EA">
              <w:rPr>
                <w:noProof/>
                <w:sz w:val="20"/>
                <w:vertAlign w:val="superscript"/>
                <w:lang w:val="fr-BE"/>
              </w:rPr>
              <w:t>1)</w:t>
            </w:r>
          </w:p>
          <w:p w14:paraId="2AAFB891" w14:textId="77777777" w:rsidR="00E51CDD" w:rsidRPr="002262EA" w:rsidRDefault="00E51CDD" w:rsidP="00E51CDD">
            <w:pPr>
              <w:widowControl w:val="0"/>
              <w:rPr>
                <w:noProof/>
                <w:sz w:val="20"/>
                <w:vertAlign w:val="superscript"/>
                <w:lang w:val="fr-BE"/>
              </w:rPr>
            </w:pPr>
            <w:r w:rsidRPr="002262EA">
              <w:rPr>
                <w:noProof/>
                <w:sz w:val="20"/>
                <w:lang w:val="fr-BE"/>
              </w:rPr>
              <w:t>NOEC</w:t>
            </w:r>
            <w:r w:rsidRPr="002262EA">
              <w:rPr>
                <w:noProof/>
                <w:sz w:val="20"/>
                <w:vertAlign w:val="subscript"/>
                <w:lang w:val="fr-BE"/>
              </w:rPr>
              <w:t> CORR</w:t>
            </w:r>
            <w:r w:rsidRPr="002262EA">
              <w:rPr>
                <w:noProof/>
                <w:sz w:val="20"/>
                <w:lang w:val="fr-BE"/>
              </w:rPr>
              <w:t xml:space="preserve"> = 16.5 </w:t>
            </w:r>
            <w:r w:rsidRPr="002262EA">
              <w:rPr>
                <w:noProof/>
                <w:sz w:val="20"/>
                <w:vertAlign w:val="superscript"/>
                <w:lang w:val="fr-BE"/>
              </w:rPr>
              <w:t>1)</w:t>
            </w:r>
            <w:r w:rsidRPr="002262EA">
              <w:rPr>
                <w:noProof/>
                <w:sz w:val="20"/>
                <w:lang w:val="fr-BE"/>
              </w:rPr>
              <w:br/>
            </w:r>
            <w:r w:rsidRPr="002262EA">
              <w:rPr>
                <w:b/>
                <w:bCs/>
                <w:noProof/>
                <w:sz w:val="20"/>
                <w:lang w:val="fr-BE"/>
              </w:rPr>
              <w:t>EC</w:t>
            </w:r>
            <w:r w:rsidRPr="002262EA">
              <w:rPr>
                <w:b/>
                <w:bCs/>
                <w:noProof/>
                <w:sz w:val="20"/>
                <w:vertAlign w:val="subscript"/>
                <w:lang w:val="fr-BE"/>
              </w:rPr>
              <w:t>10 CORR</w:t>
            </w:r>
            <w:r w:rsidRPr="002262EA">
              <w:rPr>
                <w:b/>
                <w:bCs/>
                <w:noProof/>
                <w:sz w:val="20"/>
                <w:lang w:val="fr-BE"/>
              </w:rPr>
              <w:t xml:space="preserve"> = 17.2 </w:t>
            </w:r>
            <w:r w:rsidRPr="002262EA">
              <w:rPr>
                <w:b/>
                <w:bCs/>
                <w:noProof/>
                <w:sz w:val="20"/>
                <w:vertAlign w:val="superscript"/>
                <w:lang w:val="fr-BE"/>
              </w:rPr>
              <w:t>1)</w:t>
            </w:r>
          </w:p>
        </w:tc>
        <w:tc>
          <w:tcPr>
            <w:tcW w:w="1099" w:type="pct"/>
            <w:tcBorders>
              <w:top w:val="single" w:sz="4" w:space="0" w:color="auto"/>
              <w:bottom w:val="single" w:sz="4" w:space="0" w:color="auto"/>
            </w:tcBorders>
          </w:tcPr>
          <w:p w14:paraId="324866BF" w14:textId="77777777" w:rsidR="00E51CDD" w:rsidRPr="00E51CDD" w:rsidRDefault="00E51CDD" w:rsidP="00E51CDD">
            <w:pPr>
              <w:widowControl w:val="0"/>
              <w:rPr>
                <w:noProof/>
                <w:sz w:val="20"/>
                <w:lang w:val="en-GB"/>
              </w:rPr>
            </w:pPr>
            <w:r w:rsidRPr="00E51CDD">
              <w:rPr>
                <w:noProof/>
                <w:sz w:val="20"/>
                <w:lang w:val="en-GB"/>
              </w:rPr>
              <w:t xml:space="preserve">0.169 </w:t>
            </w:r>
            <w:r w:rsidRPr="00E51CDD">
              <w:rPr>
                <w:noProof/>
                <w:sz w:val="20"/>
                <w:szCs w:val="20"/>
                <w:vertAlign w:val="superscript"/>
                <w:lang w:val="en-GB"/>
              </w:rPr>
              <w:t xml:space="preserve">* </w:t>
            </w:r>
            <w:r w:rsidRPr="00E51CDD">
              <w:rPr>
                <w:noProof/>
                <w:sz w:val="20"/>
                <w:vertAlign w:val="superscript"/>
                <w:lang w:val="en-GB"/>
              </w:rPr>
              <w:t>2)</w:t>
            </w:r>
          </w:p>
        </w:tc>
        <w:tc>
          <w:tcPr>
            <w:tcW w:w="1176" w:type="pct"/>
            <w:tcBorders>
              <w:top w:val="single" w:sz="4" w:space="0" w:color="auto"/>
              <w:bottom w:val="single" w:sz="4" w:space="0" w:color="auto"/>
            </w:tcBorders>
          </w:tcPr>
          <w:p w14:paraId="1E9A7F96" w14:textId="77777777" w:rsidR="00E51CDD" w:rsidRPr="00E51CDD" w:rsidRDefault="00E51CDD" w:rsidP="00E51CDD">
            <w:pPr>
              <w:widowControl w:val="0"/>
              <w:rPr>
                <w:noProof/>
                <w:sz w:val="20"/>
                <w:lang w:val="en-GB"/>
              </w:rPr>
            </w:pPr>
            <w:r w:rsidRPr="00E51CDD">
              <w:rPr>
                <w:noProof/>
                <w:sz w:val="20"/>
                <w:lang w:val="en-GB"/>
              </w:rPr>
              <w:t>195</w:t>
            </w:r>
          </w:p>
          <w:p w14:paraId="281D5AEF" w14:textId="77777777" w:rsidR="00E51CDD" w:rsidRPr="00E51CDD" w:rsidRDefault="00E51CDD" w:rsidP="00E51CDD">
            <w:pPr>
              <w:widowControl w:val="0"/>
              <w:rPr>
                <w:noProof/>
                <w:sz w:val="20"/>
                <w:lang w:val="en-GB"/>
              </w:rPr>
            </w:pPr>
            <w:r w:rsidRPr="00E51CDD">
              <w:rPr>
                <w:noProof/>
                <w:sz w:val="20"/>
                <w:lang w:val="en-GB"/>
              </w:rPr>
              <w:t>203</w:t>
            </w:r>
          </w:p>
          <w:p w14:paraId="09365A92" w14:textId="77777777" w:rsidR="00E51CDD" w:rsidRPr="002D3278" w:rsidRDefault="00E51CDD" w:rsidP="00E51CDD">
            <w:pPr>
              <w:widowControl w:val="0"/>
              <w:rPr>
                <w:noProof/>
                <w:sz w:val="20"/>
                <w:lang w:val="en-GB"/>
              </w:rPr>
            </w:pPr>
            <w:r w:rsidRPr="002D3278">
              <w:rPr>
                <w:noProof/>
                <w:sz w:val="20"/>
                <w:lang w:val="en-GB"/>
              </w:rPr>
              <w:t>98</w:t>
            </w:r>
          </w:p>
          <w:p w14:paraId="053D3B0E" w14:textId="77777777" w:rsidR="00E51CDD" w:rsidRPr="002D3278" w:rsidRDefault="00E51CDD" w:rsidP="00E51CDD">
            <w:pPr>
              <w:widowControl w:val="0"/>
              <w:rPr>
                <w:b/>
                <w:bCs/>
                <w:noProof/>
                <w:sz w:val="20"/>
                <w:lang w:val="en-GB"/>
              </w:rPr>
            </w:pPr>
            <w:r w:rsidRPr="002D3278">
              <w:rPr>
                <w:b/>
                <w:bCs/>
                <w:noProof/>
                <w:sz w:val="20"/>
                <w:lang w:val="en-GB"/>
              </w:rPr>
              <w:t>102</w:t>
            </w:r>
          </w:p>
        </w:tc>
      </w:tr>
      <w:tr w:rsidR="00E51CDD" w:rsidRPr="00E51CDD" w14:paraId="25A6CD28" w14:textId="77777777" w:rsidTr="009938D9">
        <w:trPr>
          <w:cantSplit/>
        </w:trPr>
        <w:tc>
          <w:tcPr>
            <w:tcW w:w="5000" w:type="pct"/>
            <w:gridSpan w:val="4"/>
            <w:tcBorders>
              <w:top w:val="single" w:sz="4" w:space="0" w:color="auto"/>
            </w:tcBorders>
          </w:tcPr>
          <w:p w14:paraId="7867153D" w14:textId="77777777" w:rsidR="00E51CDD" w:rsidRPr="00E51CDD" w:rsidRDefault="00E51CDD" w:rsidP="00E51CDD">
            <w:pPr>
              <w:widowControl w:val="0"/>
              <w:rPr>
                <w:b/>
                <w:bCs/>
                <w:sz w:val="20"/>
                <w:szCs w:val="20"/>
                <w:lang w:val="en-GB"/>
              </w:rPr>
            </w:pPr>
            <w:r w:rsidRPr="00E51CDD">
              <w:rPr>
                <w:b/>
                <w:bCs/>
                <w:sz w:val="20"/>
                <w:szCs w:val="20"/>
                <w:lang w:val="en-GB"/>
              </w:rPr>
              <w:t>Chronic effects on other soil meso- and macrofauna</w:t>
            </w:r>
          </w:p>
        </w:tc>
      </w:tr>
      <w:tr w:rsidR="00E51CDD" w:rsidRPr="00E51CDD" w14:paraId="6412FDBD" w14:textId="77777777" w:rsidTr="009938D9">
        <w:trPr>
          <w:cantSplit/>
        </w:trPr>
        <w:tc>
          <w:tcPr>
            <w:tcW w:w="1470" w:type="pct"/>
            <w:tcBorders>
              <w:top w:val="single" w:sz="4" w:space="0" w:color="auto"/>
              <w:bottom w:val="single" w:sz="4" w:space="0" w:color="auto"/>
            </w:tcBorders>
          </w:tcPr>
          <w:p w14:paraId="0B194516" w14:textId="77777777" w:rsidR="00E51CDD" w:rsidRPr="00E51CDD" w:rsidRDefault="00E51CDD" w:rsidP="00E51CDD">
            <w:pPr>
              <w:widowControl w:val="0"/>
              <w:rPr>
                <w:b/>
                <w:bCs/>
                <w:sz w:val="20"/>
                <w:szCs w:val="20"/>
                <w:lang w:val="en-GB"/>
              </w:rPr>
            </w:pPr>
            <w:r w:rsidRPr="00E51CDD">
              <w:rPr>
                <w:b/>
                <w:bCs/>
                <w:sz w:val="20"/>
                <w:szCs w:val="20"/>
                <w:lang w:val="en-GB"/>
              </w:rPr>
              <w:t>Product</w:t>
            </w:r>
          </w:p>
        </w:tc>
        <w:tc>
          <w:tcPr>
            <w:tcW w:w="1255" w:type="pct"/>
            <w:tcBorders>
              <w:top w:val="single" w:sz="4" w:space="0" w:color="auto"/>
              <w:bottom w:val="single" w:sz="4" w:space="0" w:color="auto"/>
            </w:tcBorders>
          </w:tcPr>
          <w:p w14:paraId="637C1064" w14:textId="77777777" w:rsidR="00E51CDD" w:rsidRPr="00E51CDD" w:rsidRDefault="00E51CDD" w:rsidP="00E51CDD">
            <w:pPr>
              <w:widowControl w:val="0"/>
              <w:rPr>
                <w:b/>
                <w:bCs/>
                <w:sz w:val="20"/>
                <w:szCs w:val="20"/>
                <w:lang w:val="en-GB"/>
              </w:rPr>
            </w:pPr>
            <w:r w:rsidRPr="00E51CDD">
              <w:rPr>
                <w:b/>
                <w:bCs/>
                <w:sz w:val="20"/>
                <w:szCs w:val="20"/>
              </w:rPr>
              <w:t>Endpoint</w:t>
            </w:r>
            <w:r w:rsidRPr="00E51CDD">
              <w:rPr>
                <w:b/>
                <w:bCs/>
                <w:sz w:val="20"/>
                <w:szCs w:val="20"/>
                <w:lang w:val="en-GB"/>
              </w:rPr>
              <w:br/>
              <w:t>(mg a.s./kg dry soil)</w:t>
            </w:r>
          </w:p>
        </w:tc>
        <w:tc>
          <w:tcPr>
            <w:tcW w:w="1099" w:type="pct"/>
            <w:tcBorders>
              <w:top w:val="single" w:sz="4" w:space="0" w:color="auto"/>
              <w:bottom w:val="single" w:sz="4" w:space="0" w:color="auto"/>
            </w:tcBorders>
          </w:tcPr>
          <w:p w14:paraId="298DBD66" w14:textId="77777777" w:rsidR="00E51CDD" w:rsidRPr="00E51CDD" w:rsidRDefault="00E51CDD" w:rsidP="00E51CDD">
            <w:pPr>
              <w:widowControl w:val="0"/>
              <w:rPr>
                <w:b/>
                <w:bCs/>
                <w:sz w:val="20"/>
                <w:szCs w:val="20"/>
                <w:lang w:val="en-GB"/>
              </w:rPr>
            </w:pPr>
            <w:r w:rsidRPr="00E51CDD">
              <w:rPr>
                <w:b/>
                <w:bCs/>
                <w:sz w:val="20"/>
                <w:szCs w:val="20"/>
                <w:lang w:val="en-GB"/>
              </w:rPr>
              <w:t>PEC</w:t>
            </w:r>
            <w:r w:rsidRPr="00E51CDD">
              <w:rPr>
                <w:b/>
                <w:bCs/>
                <w:sz w:val="20"/>
                <w:szCs w:val="20"/>
                <w:vertAlign w:val="subscript"/>
                <w:lang w:val="en-GB"/>
              </w:rPr>
              <w:t>soil</w:t>
            </w:r>
            <w:r w:rsidRPr="00E51CDD">
              <w:rPr>
                <w:b/>
                <w:bCs/>
                <w:sz w:val="20"/>
                <w:szCs w:val="20"/>
                <w:vertAlign w:val="subscript"/>
                <w:lang w:val="en-GB"/>
              </w:rPr>
              <w:br/>
            </w:r>
            <w:r w:rsidRPr="00E51CDD">
              <w:rPr>
                <w:b/>
                <w:bCs/>
                <w:sz w:val="20"/>
                <w:szCs w:val="20"/>
                <w:lang w:val="en-GB"/>
              </w:rPr>
              <w:t>(mg a.s./kg dry soil)</w:t>
            </w:r>
          </w:p>
        </w:tc>
        <w:tc>
          <w:tcPr>
            <w:tcW w:w="1176" w:type="pct"/>
            <w:tcBorders>
              <w:top w:val="single" w:sz="4" w:space="0" w:color="auto"/>
              <w:bottom w:val="single" w:sz="4" w:space="0" w:color="auto"/>
            </w:tcBorders>
          </w:tcPr>
          <w:p w14:paraId="3DA7A934" w14:textId="77777777" w:rsidR="00E51CDD" w:rsidRPr="00E51CDD" w:rsidRDefault="00E51CDD" w:rsidP="00E51CDD">
            <w:pPr>
              <w:widowControl w:val="0"/>
              <w:rPr>
                <w:b/>
                <w:bCs/>
                <w:sz w:val="20"/>
                <w:szCs w:val="20"/>
                <w:lang w:val="en-GB"/>
              </w:rPr>
            </w:pPr>
            <w:r w:rsidRPr="00E51CDD">
              <w:rPr>
                <w:b/>
                <w:bCs/>
                <w:sz w:val="20"/>
                <w:szCs w:val="20"/>
                <w:lang w:val="en-GB"/>
              </w:rPr>
              <w:t>TER</w:t>
            </w:r>
            <w:r w:rsidRPr="00E51CDD">
              <w:rPr>
                <w:b/>
                <w:bCs/>
                <w:sz w:val="20"/>
                <w:szCs w:val="20"/>
                <w:vertAlign w:val="subscript"/>
                <w:lang w:val="en-GB"/>
              </w:rPr>
              <w:t>lt</w:t>
            </w:r>
            <w:r w:rsidRPr="00E51CDD">
              <w:rPr>
                <w:b/>
                <w:bCs/>
                <w:sz w:val="20"/>
                <w:szCs w:val="20"/>
                <w:vertAlign w:val="subscript"/>
                <w:lang w:val="en-GB"/>
              </w:rPr>
              <w:br/>
            </w:r>
            <w:r w:rsidRPr="00E51CDD">
              <w:rPr>
                <w:b/>
                <w:bCs/>
                <w:sz w:val="20"/>
                <w:szCs w:val="20"/>
                <w:lang w:val="en-GB"/>
              </w:rPr>
              <w:t>(criterion TER ≥ 5)</w:t>
            </w:r>
          </w:p>
        </w:tc>
      </w:tr>
      <w:tr w:rsidR="00E51CDD" w:rsidRPr="00E51CDD" w14:paraId="74791130" w14:textId="77777777" w:rsidTr="009938D9">
        <w:trPr>
          <w:cantSplit/>
        </w:trPr>
        <w:tc>
          <w:tcPr>
            <w:tcW w:w="5000" w:type="pct"/>
            <w:gridSpan w:val="4"/>
            <w:tcBorders>
              <w:top w:val="single" w:sz="4" w:space="0" w:color="auto"/>
            </w:tcBorders>
          </w:tcPr>
          <w:p w14:paraId="479D314C" w14:textId="77777777" w:rsidR="00E51CDD" w:rsidRPr="00E51CDD" w:rsidRDefault="00E51CDD" w:rsidP="00E51CDD">
            <w:pPr>
              <w:widowControl w:val="0"/>
              <w:rPr>
                <w:b/>
                <w:bCs/>
                <w:sz w:val="20"/>
                <w:szCs w:val="20"/>
                <w:lang w:val="en-GB"/>
              </w:rPr>
            </w:pPr>
            <w:r w:rsidRPr="00E51CDD">
              <w:rPr>
                <w:b/>
                <w:bCs/>
                <w:sz w:val="20"/>
                <w:szCs w:val="20"/>
                <w:lang w:val="en-GB"/>
              </w:rPr>
              <w:t>Collembola (</w:t>
            </w:r>
            <w:r w:rsidRPr="00E51CDD">
              <w:rPr>
                <w:b/>
                <w:bCs/>
                <w:i/>
                <w:sz w:val="20"/>
                <w:szCs w:val="20"/>
              </w:rPr>
              <w:t>Folsomia candida</w:t>
            </w:r>
            <w:r w:rsidRPr="00E51CDD">
              <w:rPr>
                <w:b/>
                <w:bCs/>
                <w:sz w:val="20"/>
                <w:szCs w:val="20"/>
                <w:lang w:val="en-GB"/>
              </w:rPr>
              <w:t>)</w:t>
            </w:r>
          </w:p>
        </w:tc>
      </w:tr>
      <w:tr w:rsidR="00E51CDD" w:rsidRPr="00E51CDD" w14:paraId="7BB01F6D" w14:textId="77777777" w:rsidTr="009938D9">
        <w:trPr>
          <w:cantSplit/>
        </w:trPr>
        <w:tc>
          <w:tcPr>
            <w:tcW w:w="1470" w:type="pct"/>
            <w:tcBorders>
              <w:top w:val="single" w:sz="4" w:space="0" w:color="auto"/>
              <w:bottom w:val="single" w:sz="4" w:space="0" w:color="auto"/>
            </w:tcBorders>
          </w:tcPr>
          <w:p w14:paraId="639563CF" w14:textId="77777777" w:rsidR="00E51CDD" w:rsidRPr="00E51CDD" w:rsidRDefault="00E51CDD" w:rsidP="00E51CDD">
            <w:pPr>
              <w:widowControl w:val="0"/>
              <w:rPr>
                <w:noProof/>
                <w:sz w:val="20"/>
                <w:lang w:val="en-GB"/>
              </w:rPr>
            </w:pPr>
            <w:r w:rsidRPr="00E51CDD">
              <w:rPr>
                <w:noProof/>
                <w:sz w:val="20"/>
                <w:lang w:val="en-GB"/>
              </w:rPr>
              <w:t>(total) a.s. in BAS 736 00 F</w:t>
            </w:r>
          </w:p>
        </w:tc>
        <w:tc>
          <w:tcPr>
            <w:tcW w:w="1255" w:type="pct"/>
            <w:tcBorders>
              <w:top w:val="single" w:sz="4" w:space="0" w:color="auto"/>
              <w:bottom w:val="single" w:sz="4" w:space="0" w:color="auto"/>
            </w:tcBorders>
          </w:tcPr>
          <w:p w14:paraId="7522E253" w14:textId="77777777" w:rsidR="00E51CDD" w:rsidRPr="002262EA" w:rsidRDefault="00E51CDD" w:rsidP="00E51CDD">
            <w:pPr>
              <w:widowControl w:val="0"/>
              <w:rPr>
                <w:noProof/>
                <w:sz w:val="20"/>
                <w:lang w:val="fr-BE"/>
              </w:rPr>
            </w:pPr>
            <w:r w:rsidRPr="002262EA">
              <w:rPr>
                <w:noProof/>
                <w:sz w:val="20"/>
                <w:lang w:val="fr-BE"/>
              </w:rPr>
              <w:t>NOEC</w:t>
            </w:r>
            <w:r w:rsidRPr="002262EA">
              <w:rPr>
                <w:noProof/>
                <w:sz w:val="20"/>
                <w:vertAlign w:val="subscript"/>
                <w:lang w:val="fr-BE"/>
              </w:rPr>
              <w:t> </w:t>
            </w:r>
            <w:r w:rsidRPr="002262EA">
              <w:rPr>
                <w:noProof/>
                <w:sz w:val="20"/>
                <w:lang w:val="fr-BE"/>
              </w:rPr>
              <w:t xml:space="preserve">= 17 </w:t>
            </w:r>
            <w:r w:rsidRPr="002262EA">
              <w:rPr>
                <w:noProof/>
                <w:sz w:val="20"/>
                <w:vertAlign w:val="superscript"/>
                <w:lang w:val="fr-BE"/>
              </w:rPr>
              <w:t>1)</w:t>
            </w:r>
            <w:r w:rsidRPr="002262EA">
              <w:rPr>
                <w:noProof/>
                <w:sz w:val="20"/>
                <w:lang w:val="fr-BE"/>
              </w:rPr>
              <w:br/>
            </w:r>
            <w:r w:rsidRPr="002262EA">
              <w:rPr>
                <w:b/>
                <w:bCs/>
                <w:noProof/>
                <w:sz w:val="20"/>
                <w:lang w:val="fr-BE"/>
              </w:rPr>
              <w:t>EC</w:t>
            </w:r>
            <w:r w:rsidRPr="002262EA">
              <w:rPr>
                <w:b/>
                <w:bCs/>
                <w:noProof/>
                <w:sz w:val="20"/>
                <w:vertAlign w:val="subscript"/>
                <w:lang w:val="fr-BE"/>
              </w:rPr>
              <w:t>10 </w:t>
            </w:r>
            <w:r w:rsidRPr="002262EA">
              <w:rPr>
                <w:b/>
                <w:bCs/>
                <w:noProof/>
                <w:sz w:val="20"/>
                <w:lang w:val="fr-BE"/>
              </w:rPr>
              <w:t xml:space="preserve"> = 26.9 </w:t>
            </w:r>
            <w:r w:rsidRPr="002262EA">
              <w:rPr>
                <w:b/>
                <w:bCs/>
                <w:noProof/>
                <w:sz w:val="20"/>
                <w:vertAlign w:val="superscript"/>
                <w:lang w:val="fr-BE"/>
              </w:rPr>
              <w:t>1)</w:t>
            </w:r>
          </w:p>
          <w:p w14:paraId="56517A18" w14:textId="77777777" w:rsidR="00E51CDD" w:rsidRPr="002262EA" w:rsidRDefault="00E51CDD" w:rsidP="00E51CDD">
            <w:pPr>
              <w:widowControl w:val="0"/>
              <w:rPr>
                <w:noProof/>
                <w:sz w:val="20"/>
                <w:vertAlign w:val="superscript"/>
                <w:lang w:val="fr-BE"/>
              </w:rPr>
            </w:pPr>
            <w:r w:rsidRPr="002262EA">
              <w:rPr>
                <w:noProof/>
                <w:sz w:val="20"/>
                <w:lang w:val="fr-BE"/>
              </w:rPr>
              <w:t>NOEC</w:t>
            </w:r>
            <w:r w:rsidRPr="002262EA">
              <w:rPr>
                <w:noProof/>
                <w:sz w:val="20"/>
                <w:vertAlign w:val="subscript"/>
                <w:lang w:val="fr-BE"/>
              </w:rPr>
              <w:t> CORR</w:t>
            </w:r>
            <w:r w:rsidRPr="002262EA">
              <w:rPr>
                <w:noProof/>
                <w:sz w:val="20"/>
                <w:lang w:val="fr-BE"/>
              </w:rPr>
              <w:t xml:space="preserve"> = 8.5 </w:t>
            </w:r>
            <w:r w:rsidRPr="002262EA">
              <w:rPr>
                <w:noProof/>
                <w:sz w:val="20"/>
                <w:vertAlign w:val="superscript"/>
                <w:lang w:val="fr-BE"/>
              </w:rPr>
              <w:t>1)</w:t>
            </w:r>
            <w:r w:rsidRPr="002262EA">
              <w:rPr>
                <w:noProof/>
                <w:sz w:val="20"/>
                <w:lang w:val="fr-BE"/>
              </w:rPr>
              <w:br/>
              <w:t>EC</w:t>
            </w:r>
            <w:r w:rsidRPr="002262EA">
              <w:rPr>
                <w:noProof/>
                <w:sz w:val="20"/>
                <w:vertAlign w:val="subscript"/>
                <w:lang w:val="fr-BE"/>
              </w:rPr>
              <w:t>10 CORR</w:t>
            </w:r>
            <w:r w:rsidRPr="002262EA">
              <w:rPr>
                <w:noProof/>
                <w:sz w:val="20"/>
                <w:lang w:val="fr-BE"/>
              </w:rPr>
              <w:t xml:space="preserve"> = 13.5 </w:t>
            </w:r>
            <w:r w:rsidRPr="002262EA">
              <w:rPr>
                <w:noProof/>
                <w:sz w:val="20"/>
                <w:vertAlign w:val="superscript"/>
                <w:lang w:val="fr-BE"/>
              </w:rPr>
              <w:t>1)</w:t>
            </w:r>
          </w:p>
        </w:tc>
        <w:tc>
          <w:tcPr>
            <w:tcW w:w="1099" w:type="pct"/>
            <w:tcBorders>
              <w:top w:val="single" w:sz="4" w:space="0" w:color="auto"/>
              <w:bottom w:val="single" w:sz="4" w:space="0" w:color="auto"/>
            </w:tcBorders>
          </w:tcPr>
          <w:p w14:paraId="0EC5D2F3" w14:textId="77777777" w:rsidR="00E51CDD" w:rsidRPr="00E51CDD" w:rsidRDefault="00E51CDD" w:rsidP="00E51CDD">
            <w:pPr>
              <w:widowControl w:val="0"/>
              <w:rPr>
                <w:noProof/>
                <w:sz w:val="20"/>
                <w:lang w:val="en-GB"/>
              </w:rPr>
            </w:pPr>
            <w:r w:rsidRPr="00E51CDD">
              <w:rPr>
                <w:noProof/>
                <w:sz w:val="20"/>
                <w:lang w:val="en-GB"/>
              </w:rPr>
              <w:t xml:space="preserve">0.169 </w:t>
            </w:r>
            <w:r w:rsidRPr="00E51CDD">
              <w:rPr>
                <w:noProof/>
                <w:sz w:val="20"/>
                <w:szCs w:val="20"/>
                <w:vertAlign w:val="superscript"/>
                <w:lang w:val="en-GB"/>
              </w:rPr>
              <w:t xml:space="preserve">* </w:t>
            </w:r>
            <w:r w:rsidRPr="00E51CDD">
              <w:rPr>
                <w:noProof/>
                <w:sz w:val="20"/>
                <w:vertAlign w:val="superscript"/>
                <w:lang w:val="en-GB"/>
              </w:rPr>
              <w:t>2)</w:t>
            </w:r>
          </w:p>
        </w:tc>
        <w:tc>
          <w:tcPr>
            <w:tcW w:w="1176" w:type="pct"/>
            <w:tcBorders>
              <w:top w:val="single" w:sz="4" w:space="0" w:color="auto"/>
              <w:bottom w:val="single" w:sz="4" w:space="0" w:color="auto"/>
            </w:tcBorders>
          </w:tcPr>
          <w:p w14:paraId="563A5ACA" w14:textId="77777777" w:rsidR="00E51CDD" w:rsidRPr="002D3278" w:rsidRDefault="00E51CDD" w:rsidP="00E51CDD">
            <w:pPr>
              <w:widowControl w:val="0"/>
              <w:rPr>
                <w:noProof/>
                <w:sz w:val="20"/>
                <w:lang w:val="en-GB"/>
              </w:rPr>
            </w:pPr>
            <w:r w:rsidRPr="002D3278">
              <w:rPr>
                <w:noProof/>
                <w:sz w:val="20"/>
                <w:lang w:val="en-GB"/>
              </w:rPr>
              <w:t>101</w:t>
            </w:r>
          </w:p>
          <w:p w14:paraId="17B9DF29" w14:textId="77777777" w:rsidR="00E51CDD" w:rsidRPr="002D3278" w:rsidRDefault="00E51CDD" w:rsidP="00E51CDD">
            <w:pPr>
              <w:widowControl w:val="0"/>
              <w:rPr>
                <w:b/>
                <w:bCs/>
                <w:noProof/>
                <w:sz w:val="20"/>
                <w:lang w:val="en-GB"/>
              </w:rPr>
            </w:pPr>
            <w:r w:rsidRPr="002D3278">
              <w:rPr>
                <w:b/>
                <w:bCs/>
                <w:noProof/>
                <w:sz w:val="20"/>
                <w:lang w:val="en-GB"/>
              </w:rPr>
              <w:t>159</w:t>
            </w:r>
          </w:p>
          <w:p w14:paraId="50B2F153" w14:textId="77777777" w:rsidR="00E51CDD" w:rsidRPr="00E51CDD" w:rsidRDefault="00E51CDD" w:rsidP="00E51CDD">
            <w:pPr>
              <w:widowControl w:val="0"/>
              <w:rPr>
                <w:noProof/>
                <w:sz w:val="20"/>
                <w:lang w:val="en-GB"/>
              </w:rPr>
            </w:pPr>
            <w:r w:rsidRPr="00E51CDD">
              <w:rPr>
                <w:noProof/>
                <w:sz w:val="20"/>
                <w:lang w:val="en-GB"/>
              </w:rPr>
              <w:t>49</w:t>
            </w:r>
          </w:p>
          <w:p w14:paraId="7BE0D74A" w14:textId="77777777" w:rsidR="00E51CDD" w:rsidRPr="00E51CDD" w:rsidRDefault="00E51CDD" w:rsidP="00E51CDD">
            <w:pPr>
              <w:widowControl w:val="0"/>
              <w:rPr>
                <w:noProof/>
                <w:sz w:val="20"/>
                <w:lang w:val="en-GB"/>
              </w:rPr>
            </w:pPr>
            <w:r w:rsidRPr="00E51CDD">
              <w:rPr>
                <w:noProof/>
                <w:sz w:val="20"/>
                <w:lang w:val="en-GB"/>
              </w:rPr>
              <w:t>80</w:t>
            </w:r>
          </w:p>
        </w:tc>
      </w:tr>
      <w:tr w:rsidR="00E51CDD" w:rsidRPr="00E51CDD" w14:paraId="1218DF31" w14:textId="77777777" w:rsidTr="009938D9">
        <w:trPr>
          <w:cantSplit/>
        </w:trPr>
        <w:tc>
          <w:tcPr>
            <w:tcW w:w="5000" w:type="pct"/>
            <w:gridSpan w:val="4"/>
            <w:tcBorders>
              <w:top w:val="single" w:sz="4" w:space="0" w:color="auto"/>
              <w:bottom w:val="single" w:sz="4" w:space="0" w:color="auto"/>
            </w:tcBorders>
          </w:tcPr>
          <w:p w14:paraId="2EB28804" w14:textId="77777777" w:rsidR="00E51CDD" w:rsidRPr="00E51CDD" w:rsidRDefault="00E51CDD" w:rsidP="00E51CDD">
            <w:pPr>
              <w:widowControl w:val="0"/>
              <w:rPr>
                <w:noProof/>
                <w:sz w:val="20"/>
                <w:lang w:val="en-GB"/>
              </w:rPr>
            </w:pPr>
            <w:r w:rsidRPr="00E51CDD">
              <w:rPr>
                <w:b/>
                <w:noProof/>
                <w:sz w:val="20"/>
                <w:lang w:val="en-GB"/>
              </w:rPr>
              <w:t>Soil mites (</w:t>
            </w:r>
            <w:r w:rsidRPr="00E51CDD">
              <w:rPr>
                <w:b/>
                <w:i/>
                <w:noProof/>
                <w:sz w:val="20"/>
                <w:lang w:val="en-GB"/>
              </w:rPr>
              <w:t>Hypoaspis aculeifer</w:t>
            </w:r>
            <w:r w:rsidRPr="00E51CDD">
              <w:rPr>
                <w:b/>
                <w:noProof/>
                <w:sz w:val="20"/>
                <w:lang w:val="en-GB"/>
              </w:rPr>
              <w:t>)</w:t>
            </w:r>
          </w:p>
        </w:tc>
      </w:tr>
      <w:tr w:rsidR="00E51CDD" w:rsidRPr="00E51CDD" w14:paraId="26947905" w14:textId="77777777" w:rsidTr="009938D9">
        <w:trPr>
          <w:cantSplit/>
        </w:trPr>
        <w:tc>
          <w:tcPr>
            <w:tcW w:w="1470" w:type="pct"/>
            <w:tcBorders>
              <w:top w:val="single" w:sz="4" w:space="0" w:color="auto"/>
              <w:bottom w:val="single" w:sz="4" w:space="0" w:color="auto"/>
            </w:tcBorders>
            <w:shd w:val="clear" w:color="auto" w:fill="auto"/>
          </w:tcPr>
          <w:p w14:paraId="5F371731" w14:textId="77777777" w:rsidR="00E51CDD" w:rsidRPr="00E51CDD" w:rsidRDefault="00E51CDD" w:rsidP="00E51CDD">
            <w:pPr>
              <w:widowControl w:val="0"/>
              <w:rPr>
                <w:noProof/>
                <w:sz w:val="20"/>
                <w:lang w:val="en-GB"/>
              </w:rPr>
            </w:pPr>
            <w:r w:rsidRPr="00E51CDD">
              <w:rPr>
                <w:noProof/>
                <w:sz w:val="20"/>
                <w:lang w:val="en-GB"/>
              </w:rPr>
              <w:t>(total) a.s. in BAS 736 00 F</w:t>
            </w:r>
          </w:p>
        </w:tc>
        <w:tc>
          <w:tcPr>
            <w:tcW w:w="1255" w:type="pct"/>
            <w:tcBorders>
              <w:top w:val="single" w:sz="4" w:space="0" w:color="auto"/>
              <w:bottom w:val="single" w:sz="4" w:space="0" w:color="auto"/>
            </w:tcBorders>
          </w:tcPr>
          <w:p w14:paraId="5F819C13" w14:textId="77777777" w:rsidR="00E51CDD" w:rsidRPr="002262EA" w:rsidRDefault="00E51CDD" w:rsidP="00E51CDD">
            <w:pPr>
              <w:widowControl w:val="0"/>
              <w:rPr>
                <w:noProof/>
                <w:sz w:val="20"/>
                <w:vertAlign w:val="superscript"/>
                <w:lang w:val="fr-BE"/>
              </w:rPr>
            </w:pPr>
            <w:r w:rsidRPr="002262EA">
              <w:rPr>
                <w:noProof/>
                <w:sz w:val="20"/>
                <w:lang w:val="fr-BE"/>
              </w:rPr>
              <w:t>NOEC</w:t>
            </w:r>
            <w:r w:rsidRPr="002262EA">
              <w:rPr>
                <w:noProof/>
                <w:sz w:val="20"/>
                <w:vertAlign w:val="subscript"/>
                <w:lang w:val="fr-BE"/>
              </w:rPr>
              <w:t> </w:t>
            </w:r>
            <w:r w:rsidRPr="002262EA">
              <w:rPr>
                <w:noProof/>
                <w:sz w:val="20"/>
                <w:lang w:val="fr-BE"/>
              </w:rPr>
              <w:t xml:space="preserve">= 22.1 </w:t>
            </w:r>
            <w:r w:rsidRPr="002262EA">
              <w:rPr>
                <w:noProof/>
                <w:sz w:val="20"/>
                <w:vertAlign w:val="superscript"/>
                <w:lang w:val="fr-BE"/>
              </w:rPr>
              <w:t>1)</w:t>
            </w:r>
            <w:r w:rsidRPr="002262EA">
              <w:rPr>
                <w:noProof/>
                <w:sz w:val="20"/>
                <w:lang w:val="fr-BE"/>
              </w:rPr>
              <w:br/>
            </w:r>
            <w:r w:rsidRPr="002262EA">
              <w:rPr>
                <w:b/>
                <w:bCs/>
                <w:noProof/>
                <w:sz w:val="20"/>
                <w:lang w:val="fr-BE"/>
              </w:rPr>
              <w:t>EC</w:t>
            </w:r>
            <w:r w:rsidRPr="002262EA">
              <w:rPr>
                <w:b/>
                <w:bCs/>
                <w:noProof/>
                <w:sz w:val="20"/>
                <w:vertAlign w:val="subscript"/>
                <w:lang w:val="fr-BE"/>
              </w:rPr>
              <w:t>10 </w:t>
            </w:r>
            <w:r w:rsidRPr="002262EA">
              <w:rPr>
                <w:b/>
                <w:bCs/>
                <w:noProof/>
                <w:sz w:val="20"/>
                <w:lang w:val="fr-BE"/>
              </w:rPr>
              <w:t xml:space="preserve"> = 50.9 </w:t>
            </w:r>
            <w:r w:rsidRPr="002262EA">
              <w:rPr>
                <w:b/>
                <w:bCs/>
                <w:noProof/>
                <w:sz w:val="20"/>
                <w:vertAlign w:val="superscript"/>
                <w:lang w:val="fr-BE"/>
              </w:rPr>
              <w:t>1)</w:t>
            </w:r>
          </w:p>
          <w:p w14:paraId="0A4D669D" w14:textId="77777777" w:rsidR="00E51CDD" w:rsidRPr="002262EA" w:rsidRDefault="00E51CDD" w:rsidP="00E51CDD">
            <w:pPr>
              <w:widowControl w:val="0"/>
              <w:rPr>
                <w:noProof/>
                <w:sz w:val="20"/>
                <w:lang w:val="fr-BE"/>
              </w:rPr>
            </w:pPr>
            <w:r w:rsidRPr="002262EA">
              <w:rPr>
                <w:noProof/>
                <w:sz w:val="20"/>
                <w:lang w:val="fr-BE"/>
              </w:rPr>
              <w:t>NOEC</w:t>
            </w:r>
            <w:r w:rsidRPr="002262EA">
              <w:rPr>
                <w:noProof/>
                <w:sz w:val="20"/>
                <w:vertAlign w:val="subscript"/>
                <w:lang w:val="fr-BE"/>
              </w:rPr>
              <w:t> CORR</w:t>
            </w:r>
            <w:r w:rsidRPr="002262EA">
              <w:rPr>
                <w:noProof/>
                <w:sz w:val="20"/>
                <w:lang w:val="fr-BE"/>
              </w:rPr>
              <w:t xml:space="preserve"> = 11.1 </w:t>
            </w:r>
            <w:r w:rsidRPr="002262EA">
              <w:rPr>
                <w:noProof/>
                <w:sz w:val="20"/>
                <w:vertAlign w:val="superscript"/>
                <w:lang w:val="fr-BE"/>
              </w:rPr>
              <w:t>1)</w:t>
            </w:r>
            <w:r w:rsidRPr="002262EA">
              <w:rPr>
                <w:noProof/>
                <w:sz w:val="20"/>
                <w:lang w:val="fr-BE"/>
              </w:rPr>
              <w:br/>
              <w:t>EC</w:t>
            </w:r>
            <w:r w:rsidRPr="002262EA">
              <w:rPr>
                <w:noProof/>
                <w:sz w:val="20"/>
                <w:vertAlign w:val="subscript"/>
                <w:lang w:val="fr-BE"/>
              </w:rPr>
              <w:t>10 CORR</w:t>
            </w:r>
            <w:r w:rsidRPr="002262EA">
              <w:rPr>
                <w:noProof/>
                <w:sz w:val="20"/>
                <w:lang w:val="fr-BE"/>
              </w:rPr>
              <w:t xml:space="preserve"> = 25.4 </w:t>
            </w:r>
            <w:r w:rsidRPr="002262EA">
              <w:rPr>
                <w:noProof/>
                <w:sz w:val="20"/>
                <w:vertAlign w:val="superscript"/>
                <w:lang w:val="fr-BE"/>
              </w:rPr>
              <w:t>1)</w:t>
            </w:r>
          </w:p>
        </w:tc>
        <w:tc>
          <w:tcPr>
            <w:tcW w:w="1099" w:type="pct"/>
            <w:tcBorders>
              <w:top w:val="single" w:sz="4" w:space="0" w:color="auto"/>
              <w:bottom w:val="single" w:sz="4" w:space="0" w:color="auto"/>
            </w:tcBorders>
          </w:tcPr>
          <w:p w14:paraId="5666431D" w14:textId="77777777" w:rsidR="00E51CDD" w:rsidRPr="00E51CDD" w:rsidRDefault="00E51CDD" w:rsidP="00E51CDD">
            <w:pPr>
              <w:widowControl w:val="0"/>
              <w:rPr>
                <w:noProof/>
                <w:sz w:val="20"/>
                <w:lang w:val="en-GB"/>
              </w:rPr>
            </w:pPr>
            <w:r w:rsidRPr="00E51CDD">
              <w:rPr>
                <w:noProof/>
                <w:sz w:val="20"/>
                <w:lang w:val="en-GB"/>
              </w:rPr>
              <w:t xml:space="preserve">0.169 </w:t>
            </w:r>
            <w:r w:rsidRPr="00E51CDD">
              <w:rPr>
                <w:noProof/>
                <w:sz w:val="20"/>
                <w:szCs w:val="20"/>
                <w:vertAlign w:val="superscript"/>
                <w:lang w:val="en-GB"/>
              </w:rPr>
              <w:t xml:space="preserve">* </w:t>
            </w:r>
            <w:r w:rsidRPr="00E51CDD">
              <w:rPr>
                <w:noProof/>
                <w:sz w:val="20"/>
                <w:vertAlign w:val="superscript"/>
                <w:lang w:val="en-GB"/>
              </w:rPr>
              <w:t>2)</w:t>
            </w:r>
          </w:p>
        </w:tc>
        <w:tc>
          <w:tcPr>
            <w:tcW w:w="1176" w:type="pct"/>
            <w:tcBorders>
              <w:top w:val="single" w:sz="4" w:space="0" w:color="auto"/>
              <w:bottom w:val="single" w:sz="4" w:space="0" w:color="auto"/>
            </w:tcBorders>
          </w:tcPr>
          <w:p w14:paraId="2C29A493" w14:textId="77777777" w:rsidR="00E51CDD" w:rsidRPr="002D3278" w:rsidRDefault="00E51CDD" w:rsidP="00E51CDD">
            <w:pPr>
              <w:widowControl w:val="0"/>
              <w:rPr>
                <w:noProof/>
                <w:sz w:val="20"/>
                <w:lang w:val="en-GB"/>
              </w:rPr>
            </w:pPr>
            <w:r w:rsidRPr="002D3278">
              <w:rPr>
                <w:noProof/>
                <w:sz w:val="20"/>
                <w:lang w:val="en-GB"/>
              </w:rPr>
              <w:t>131</w:t>
            </w:r>
          </w:p>
          <w:p w14:paraId="549B6A9A" w14:textId="77777777" w:rsidR="00E51CDD" w:rsidRPr="002D3278" w:rsidRDefault="00E51CDD" w:rsidP="00E51CDD">
            <w:pPr>
              <w:widowControl w:val="0"/>
              <w:rPr>
                <w:b/>
                <w:bCs/>
                <w:noProof/>
                <w:sz w:val="20"/>
                <w:lang w:val="en-GB"/>
              </w:rPr>
            </w:pPr>
            <w:r w:rsidRPr="002D3278">
              <w:rPr>
                <w:b/>
                <w:bCs/>
                <w:noProof/>
                <w:sz w:val="20"/>
                <w:lang w:val="en-GB"/>
              </w:rPr>
              <w:t>301</w:t>
            </w:r>
          </w:p>
          <w:p w14:paraId="69556F8F" w14:textId="77777777" w:rsidR="00E51CDD" w:rsidRPr="00E51CDD" w:rsidRDefault="00E51CDD" w:rsidP="00E51CDD">
            <w:pPr>
              <w:widowControl w:val="0"/>
              <w:rPr>
                <w:noProof/>
                <w:sz w:val="20"/>
                <w:lang w:val="en-GB"/>
              </w:rPr>
            </w:pPr>
            <w:r w:rsidRPr="00E51CDD">
              <w:rPr>
                <w:noProof/>
                <w:sz w:val="20"/>
                <w:lang w:val="en-GB"/>
              </w:rPr>
              <w:t>66</w:t>
            </w:r>
          </w:p>
          <w:p w14:paraId="0DA5A415" w14:textId="77777777" w:rsidR="00E51CDD" w:rsidRPr="00E51CDD" w:rsidRDefault="00E51CDD" w:rsidP="00E51CDD">
            <w:pPr>
              <w:widowControl w:val="0"/>
              <w:rPr>
                <w:noProof/>
                <w:sz w:val="20"/>
                <w:lang w:val="en-GB"/>
              </w:rPr>
            </w:pPr>
            <w:r w:rsidRPr="00E51CDD">
              <w:rPr>
                <w:noProof/>
                <w:sz w:val="20"/>
                <w:lang w:val="en-GB"/>
              </w:rPr>
              <w:t>150</w:t>
            </w:r>
          </w:p>
        </w:tc>
      </w:tr>
    </w:tbl>
    <w:p w14:paraId="28F381EB" w14:textId="77777777" w:rsidR="00E51CDD" w:rsidRPr="00E51CDD" w:rsidRDefault="00E51CDD" w:rsidP="00E51CDD">
      <w:pPr>
        <w:widowControl w:val="0"/>
        <w:ind w:left="284" w:hanging="284"/>
        <w:jc w:val="both"/>
        <w:rPr>
          <w:sz w:val="18"/>
          <w:szCs w:val="18"/>
          <w:lang w:val="en-GB"/>
        </w:rPr>
      </w:pPr>
      <w:bookmarkStart w:id="852" w:name="_Hlk85536052"/>
      <w:r w:rsidRPr="00E51CDD">
        <w:rPr>
          <w:sz w:val="18"/>
          <w:szCs w:val="18"/>
          <w:lang w:val="en-GB"/>
        </w:rPr>
        <w:t xml:space="preserve">Values in </w:t>
      </w:r>
      <w:r w:rsidRPr="00E51CDD">
        <w:rPr>
          <w:b/>
          <w:bCs/>
          <w:sz w:val="18"/>
          <w:szCs w:val="18"/>
          <w:lang w:val="en-GB"/>
        </w:rPr>
        <w:t>bold</w:t>
      </w:r>
      <w:r w:rsidRPr="00E51CDD">
        <w:rPr>
          <w:sz w:val="18"/>
          <w:szCs w:val="18"/>
          <w:lang w:val="en-GB"/>
        </w:rPr>
        <w:t xml:space="preserve"> are relevant for the conclusion of the risk assessment.</w:t>
      </w:r>
    </w:p>
    <w:p w14:paraId="20CBEAB1" w14:textId="77777777" w:rsidR="00E51CDD" w:rsidRPr="00E51CDD" w:rsidRDefault="00E51CDD" w:rsidP="00E51CDD">
      <w:pPr>
        <w:widowControl w:val="0"/>
        <w:ind w:left="284" w:hanging="284"/>
        <w:jc w:val="both"/>
        <w:rPr>
          <w:sz w:val="18"/>
          <w:lang w:val="en-GB"/>
        </w:rPr>
      </w:pPr>
      <w:r w:rsidRPr="00E51CDD">
        <w:rPr>
          <w:sz w:val="18"/>
          <w:vertAlign w:val="superscript"/>
          <w:lang w:val="en-GB"/>
        </w:rPr>
        <w:t>*</w:t>
      </w:r>
      <w:r w:rsidRPr="00E51CDD">
        <w:rPr>
          <w:sz w:val="18"/>
          <w:vertAlign w:val="superscript"/>
          <w:lang w:val="en-GB"/>
        </w:rPr>
        <w:tab/>
      </w:r>
      <w:r w:rsidRPr="00E51CDD">
        <w:rPr>
          <w:sz w:val="18"/>
          <w:lang w:val="en-GB"/>
        </w:rPr>
        <w:t>PEC</w:t>
      </w:r>
      <w:r w:rsidRPr="00E51CDD">
        <w:rPr>
          <w:sz w:val="18"/>
          <w:vertAlign w:val="subscript"/>
          <w:lang w:val="en-GB"/>
        </w:rPr>
        <w:t xml:space="preserve">soil, accu. </w:t>
      </w:r>
      <w:r w:rsidRPr="00E51CDD">
        <w:rPr>
          <w:sz w:val="18"/>
        </w:rPr>
        <w:t>For details please refer to section 8, chapter 8.7.</w:t>
      </w:r>
    </w:p>
    <w:p w14:paraId="49F7455E" w14:textId="77777777" w:rsidR="00E51CDD" w:rsidRPr="00E51CDD" w:rsidRDefault="00E51CDD" w:rsidP="00E51CDD">
      <w:pPr>
        <w:tabs>
          <w:tab w:val="left" w:pos="720"/>
        </w:tabs>
        <w:ind w:left="284" w:hanging="284"/>
        <w:jc w:val="both"/>
        <w:rPr>
          <w:sz w:val="18"/>
          <w:szCs w:val="24"/>
          <w:lang w:eastAsia="en-US"/>
        </w:rPr>
      </w:pPr>
      <w:r w:rsidRPr="00E51CDD">
        <w:rPr>
          <w:sz w:val="18"/>
          <w:szCs w:val="24"/>
          <w:vertAlign w:val="superscript"/>
          <w:lang w:val="en-GB" w:eastAsia="en-US"/>
        </w:rPr>
        <w:t>1</w:t>
      </w:r>
      <w:r w:rsidRPr="00E51CDD">
        <w:rPr>
          <w:sz w:val="18"/>
          <w:szCs w:val="24"/>
          <w:vertAlign w:val="superscript"/>
          <w:lang w:eastAsia="en-US"/>
        </w:rPr>
        <w:t>)</w:t>
      </w:r>
      <w:r w:rsidRPr="00E51CDD">
        <w:rPr>
          <w:sz w:val="18"/>
          <w:szCs w:val="24"/>
          <w:lang w:eastAsia="en-US"/>
        </w:rPr>
        <w:tab/>
        <w:t>Endpoint based on the content of the active substances (nominal) and taking into account a density of BAS 736 00 F of 1.078 g/cm</w:t>
      </w:r>
      <w:r w:rsidRPr="00E51CDD">
        <w:rPr>
          <w:sz w:val="18"/>
          <w:szCs w:val="24"/>
          <w:vertAlign w:val="superscript"/>
          <w:lang w:eastAsia="en-US"/>
        </w:rPr>
        <w:t>3</w:t>
      </w:r>
      <w:r w:rsidRPr="00E51CDD">
        <w:rPr>
          <w:sz w:val="18"/>
          <w:szCs w:val="24"/>
          <w:lang w:eastAsia="en-US"/>
        </w:rPr>
        <w:t>.</w:t>
      </w:r>
    </w:p>
    <w:p w14:paraId="2E2D026A" w14:textId="77777777" w:rsidR="00E51CDD" w:rsidRPr="00E51CDD" w:rsidRDefault="00E51CDD" w:rsidP="00E51CDD">
      <w:pPr>
        <w:tabs>
          <w:tab w:val="left" w:pos="426"/>
        </w:tabs>
        <w:ind w:left="284" w:hanging="284"/>
        <w:rPr>
          <w:sz w:val="24"/>
          <w:szCs w:val="24"/>
        </w:rPr>
      </w:pPr>
      <w:r w:rsidRPr="00E51CDD">
        <w:rPr>
          <w:sz w:val="18"/>
          <w:vertAlign w:val="superscript"/>
        </w:rPr>
        <w:t>2</w:t>
      </w:r>
      <w:r w:rsidRPr="00E51CDD">
        <w:rPr>
          <w:vertAlign w:val="superscript"/>
        </w:rPr>
        <w:t>)</w:t>
      </w:r>
      <w:r w:rsidRPr="00E51CDD">
        <w:tab/>
      </w:r>
      <w:r w:rsidRPr="00E51CDD">
        <w:rPr>
          <w:sz w:val="18"/>
          <w:szCs w:val="18"/>
        </w:rPr>
        <w:t>Based on the sum of the worst-case active substance PEC</w:t>
      </w:r>
      <w:r w:rsidRPr="00E51CDD">
        <w:rPr>
          <w:sz w:val="18"/>
          <w:szCs w:val="18"/>
          <w:vertAlign w:val="subscript"/>
        </w:rPr>
        <w:t>soil</w:t>
      </w:r>
      <w:r w:rsidRPr="00E51CDD">
        <w:rPr>
          <w:sz w:val="18"/>
          <w:szCs w:val="18"/>
        </w:rPr>
        <w:t xml:space="preserve"> values.</w:t>
      </w:r>
    </w:p>
    <w:bookmarkEnd w:id="852"/>
    <w:p w14:paraId="0FC25921" w14:textId="77777777" w:rsidR="00E51CDD" w:rsidRPr="00E51CDD" w:rsidRDefault="00E51CDD" w:rsidP="00E51CDD">
      <w:pPr>
        <w:rPr>
          <w:sz w:val="20"/>
          <w:szCs w:val="20"/>
        </w:rPr>
      </w:pPr>
    </w:p>
    <w:p w14:paraId="2DE1F871" w14:textId="77777777" w:rsidR="00E51CDD" w:rsidRPr="00E51CDD" w:rsidRDefault="00E51CDD" w:rsidP="00E51CDD">
      <w:pPr>
        <w:rPr>
          <w:sz w:val="20"/>
          <w:szCs w:val="20"/>
        </w:rPr>
      </w:pPr>
    </w:p>
    <w:p w14:paraId="5104DC65" w14:textId="77777777" w:rsidR="00E51CDD" w:rsidRPr="00E51CDD" w:rsidRDefault="00E51CDD" w:rsidP="00B31542">
      <w:pPr>
        <w:pStyle w:val="Nagwek4"/>
      </w:pPr>
      <w:bookmarkStart w:id="853" w:name="_Toc125446450"/>
      <w:r w:rsidRPr="00E51CDD">
        <w:t>Higher-tier risk assessment</w:t>
      </w:r>
      <w:bookmarkEnd w:id="837"/>
      <w:bookmarkEnd w:id="838"/>
      <w:bookmarkEnd w:id="839"/>
      <w:bookmarkEnd w:id="840"/>
      <w:bookmarkEnd w:id="841"/>
      <w:bookmarkEnd w:id="842"/>
      <w:bookmarkEnd w:id="843"/>
      <w:bookmarkEnd w:id="844"/>
      <w:bookmarkEnd w:id="853"/>
    </w:p>
    <w:p w14:paraId="4287E442" w14:textId="77777777" w:rsidR="00E51CDD" w:rsidRPr="00E51CDD" w:rsidRDefault="00E51CDD" w:rsidP="00E51CDD">
      <w:pPr>
        <w:widowControl w:val="0"/>
        <w:jc w:val="both"/>
        <w:rPr>
          <w:lang w:val="en-GB"/>
        </w:rPr>
      </w:pPr>
      <w:r w:rsidRPr="00E51CDD">
        <w:rPr>
          <w:lang w:val="en-GB"/>
        </w:rPr>
        <w:t>Not relevant.</w:t>
      </w:r>
    </w:p>
    <w:p w14:paraId="724CA272" w14:textId="77777777" w:rsidR="00E51CDD" w:rsidRPr="00E51CDD" w:rsidRDefault="00E51CDD" w:rsidP="00E51CDD">
      <w:pPr>
        <w:widowControl w:val="0"/>
        <w:jc w:val="both"/>
        <w:rPr>
          <w:lang w:val="en-GB"/>
        </w:rPr>
      </w:pPr>
      <w:r w:rsidRPr="00E51CDD">
        <w:rPr>
          <w:lang w:val="en-GB"/>
        </w:rPr>
        <w:br w:type="page"/>
      </w:r>
    </w:p>
    <w:p w14:paraId="0100F3E4" w14:textId="77777777" w:rsidR="00E51CDD" w:rsidRPr="00E51CDD" w:rsidRDefault="00E51CDD" w:rsidP="00B31542">
      <w:pPr>
        <w:pStyle w:val="Nagwek3"/>
      </w:pPr>
      <w:bookmarkStart w:id="854" w:name="_Toc412644025"/>
      <w:bookmarkStart w:id="855" w:name="_Toc413916869"/>
      <w:bookmarkStart w:id="856" w:name="_Toc413917011"/>
      <w:bookmarkStart w:id="857" w:name="_Toc413922072"/>
      <w:bookmarkStart w:id="858" w:name="_Toc413922561"/>
      <w:bookmarkStart w:id="859" w:name="_Toc413922665"/>
      <w:bookmarkStart w:id="860" w:name="_Toc414955302"/>
      <w:bookmarkStart w:id="861" w:name="_Toc415214609"/>
      <w:bookmarkStart w:id="862" w:name="_Toc125446451"/>
      <w:r w:rsidRPr="00E51CDD">
        <w:lastRenderedPageBreak/>
        <w:t>Overall conclusions</w:t>
      </w:r>
      <w:bookmarkEnd w:id="854"/>
      <w:bookmarkEnd w:id="855"/>
      <w:bookmarkEnd w:id="856"/>
      <w:bookmarkEnd w:id="857"/>
      <w:bookmarkEnd w:id="858"/>
      <w:bookmarkEnd w:id="859"/>
      <w:bookmarkEnd w:id="860"/>
      <w:bookmarkEnd w:id="861"/>
      <w:bookmarkEnd w:id="862"/>
    </w:p>
    <w:p w14:paraId="1C992AB4" w14:textId="599297A3" w:rsidR="00E51CDD" w:rsidRPr="00E51CDD" w:rsidRDefault="00E51CDD" w:rsidP="00E51CDD">
      <w:pPr>
        <w:tabs>
          <w:tab w:val="left" w:pos="720"/>
        </w:tabs>
        <w:spacing w:line="280" w:lineRule="exact"/>
        <w:jc w:val="both"/>
        <w:rPr>
          <w:b/>
          <w:i/>
          <w:lang w:eastAsia="en-US"/>
        </w:rPr>
      </w:pPr>
      <w:r w:rsidRPr="00E51CDD">
        <w:rPr>
          <w:b/>
          <w:lang w:val="en-GB" w:eastAsia="en-US"/>
        </w:rPr>
        <w:t xml:space="preserve">All TER values for BAS 736 00 F, the active substances </w:t>
      </w:r>
      <w:r w:rsidRPr="00E51CDD">
        <w:rPr>
          <w:b/>
          <w:lang w:eastAsia="en-US"/>
        </w:rPr>
        <w:t xml:space="preserve">fluxapyroxad, azoxystrobin </w:t>
      </w:r>
      <w:r w:rsidRPr="00E51CDD">
        <w:rPr>
          <w:b/>
          <w:lang w:val="en-GB" w:eastAsia="en-US"/>
        </w:rPr>
        <w:t>and their relevant metabolites</w:t>
      </w:r>
      <w:r w:rsidRPr="00E51CDD" w:rsidDel="00430871">
        <w:rPr>
          <w:b/>
          <w:lang w:val="en-GB" w:eastAsia="en-US"/>
        </w:rPr>
        <w:t xml:space="preserve"> </w:t>
      </w:r>
      <w:r w:rsidRPr="00E51CDD">
        <w:rPr>
          <w:b/>
          <w:lang w:val="en-GB" w:eastAsia="en-US"/>
        </w:rPr>
        <w:t xml:space="preserve">for chronic exposure of earthworms and other non-target soil organisms (meso- and macrofauna) are considerably higher than the </w:t>
      </w:r>
      <w:r w:rsidR="00F24AC6">
        <w:rPr>
          <w:b/>
        </w:rPr>
        <w:t>relevant</w:t>
      </w:r>
      <w:r w:rsidRPr="00E51CDD">
        <w:rPr>
          <w:b/>
        </w:rPr>
        <w:t xml:space="preserve"> </w:t>
      </w:r>
      <w:r w:rsidRPr="00E51CDD">
        <w:rPr>
          <w:b/>
          <w:lang w:val="en-GB" w:eastAsia="en-US"/>
        </w:rPr>
        <w:t>trigger value. This indicates that BAS 736 00 F poses no unacceptable risk to earthworms and other non-target soil organisms (meso- and macrofauna) when applied according to the proposed use pattern.</w:t>
      </w:r>
    </w:p>
    <w:p w14:paraId="3B07E9B3" w14:textId="77777777" w:rsidR="00E51CDD" w:rsidRPr="00E51CDD" w:rsidRDefault="00E51CDD" w:rsidP="00E51CDD">
      <w:pPr>
        <w:tabs>
          <w:tab w:val="left" w:pos="720"/>
        </w:tabs>
        <w:spacing w:line="280" w:lineRule="exact"/>
        <w:jc w:val="both"/>
        <w:rPr>
          <w:lang w:eastAsia="en-US"/>
        </w:rPr>
      </w:pPr>
    </w:p>
    <w:bookmarkEnd w:id="796"/>
    <w:p w14:paraId="6572D612" w14:textId="77777777" w:rsidR="00E51CDD" w:rsidRDefault="00E51CDD" w:rsidP="00CE08CB">
      <w:pPr>
        <w:pStyle w:val="StyleOECD-BASIS-TEXTLeft"/>
        <w:rPr>
          <w:sz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ook w:val="01E0" w:firstRow="1" w:lastRow="1" w:firstColumn="1" w:lastColumn="1" w:noHBand="0" w:noVBand="0"/>
      </w:tblPr>
      <w:tblGrid>
        <w:gridCol w:w="9345"/>
      </w:tblGrid>
      <w:tr w:rsidR="00BF12FC" w:rsidRPr="001940B7" w14:paraId="74B251FE" w14:textId="77777777" w:rsidTr="000630E1">
        <w:tc>
          <w:tcPr>
            <w:tcW w:w="5000" w:type="pct"/>
            <w:shd w:val="clear" w:color="auto" w:fill="D9D9D9" w:themeFill="background1" w:themeFillShade="D9"/>
          </w:tcPr>
          <w:p w14:paraId="5AB39A40" w14:textId="77777777" w:rsidR="00BF12FC" w:rsidRPr="004457F0" w:rsidRDefault="00BF12FC" w:rsidP="00DF205C">
            <w:pPr>
              <w:keepNext/>
              <w:widowControl w:val="0"/>
              <w:spacing w:after="120"/>
              <w:jc w:val="both"/>
              <w:rPr>
                <w:b/>
                <w:bCs/>
                <w:lang w:eastAsia="en-US"/>
              </w:rPr>
            </w:pPr>
            <w:r w:rsidRPr="004457F0">
              <w:rPr>
                <w:b/>
                <w:bCs/>
                <w:lang w:eastAsia="en-US"/>
              </w:rPr>
              <w:t>Review Comments:</w:t>
            </w:r>
          </w:p>
          <w:p w14:paraId="37316ABC" w14:textId="4A39355D" w:rsidR="00BF12FC" w:rsidRPr="00AC357D" w:rsidRDefault="00BF12FC" w:rsidP="00DF205C">
            <w:pPr>
              <w:pStyle w:val="TableText"/>
              <w:widowControl w:val="0"/>
              <w:spacing w:after="120"/>
              <w:jc w:val="both"/>
              <w:rPr>
                <w:sz w:val="22"/>
                <w:szCs w:val="22"/>
              </w:rPr>
            </w:pPr>
            <w:r w:rsidRPr="00AC357D">
              <w:rPr>
                <w:sz w:val="22"/>
                <w:szCs w:val="22"/>
              </w:rPr>
              <w:t>The long-term risks of BAS 736 00 F to soil meso- and macro-organisms were assessed from toxicity exposure ratios between toxicity endpoints and maximum PEC</w:t>
            </w:r>
            <w:r w:rsidRPr="00AC357D">
              <w:rPr>
                <w:sz w:val="22"/>
                <w:szCs w:val="22"/>
                <w:vertAlign w:val="subscript"/>
              </w:rPr>
              <w:t>soil</w:t>
            </w:r>
            <w:r w:rsidRPr="00AC357D">
              <w:rPr>
                <w:sz w:val="22"/>
                <w:szCs w:val="22"/>
              </w:rPr>
              <w:t>. The relevant predicted environmental concentration in soil (PEC</w:t>
            </w:r>
            <w:r w:rsidRPr="00AC357D">
              <w:rPr>
                <w:sz w:val="22"/>
                <w:szCs w:val="22"/>
                <w:vertAlign w:val="subscript"/>
              </w:rPr>
              <w:t>soil</w:t>
            </w:r>
            <w:r w:rsidRPr="00AC357D">
              <w:rPr>
                <w:sz w:val="22"/>
                <w:szCs w:val="22"/>
              </w:rPr>
              <w:t>) for risk assessment covering the proposed use pattern was taken from Part B Section 8 (Environmental Fate).</w:t>
            </w:r>
          </w:p>
          <w:p w14:paraId="7DD8794C" w14:textId="60A142C0" w:rsidR="00BF12FC" w:rsidRPr="00AA468B" w:rsidRDefault="00BF12FC" w:rsidP="00DF205C">
            <w:pPr>
              <w:pStyle w:val="TableText"/>
              <w:widowControl w:val="0"/>
              <w:spacing w:after="120"/>
              <w:jc w:val="both"/>
              <w:rPr>
                <w:sz w:val="22"/>
                <w:szCs w:val="22"/>
                <w:lang w:eastAsia="en-US"/>
              </w:rPr>
            </w:pPr>
            <w:r w:rsidRPr="00AC357D">
              <w:rPr>
                <w:sz w:val="22"/>
                <w:szCs w:val="22"/>
                <w:lang w:eastAsia="en-US"/>
              </w:rPr>
              <w:t xml:space="preserve">Safe use of </w:t>
            </w:r>
            <w:r w:rsidRPr="00AC357D">
              <w:rPr>
                <w:sz w:val="22"/>
                <w:szCs w:val="22"/>
              </w:rPr>
              <w:t>BAS 736 00 F</w:t>
            </w:r>
            <w:r w:rsidRPr="00AC357D">
              <w:rPr>
                <w:sz w:val="22"/>
                <w:szCs w:val="22"/>
                <w:lang w:eastAsia="en-US"/>
              </w:rPr>
              <w:t xml:space="preserve"> w</w:t>
            </w:r>
            <w:r w:rsidR="00411C13">
              <w:rPr>
                <w:sz w:val="22"/>
                <w:szCs w:val="22"/>
                <w:lang w:eastAsia="en-US"/>
              </w:rPr>
              <w:t>as</w:t>
            </w:r>
            <w:r w:rsidRPr="00AC357D">
              <w:rPr>
                <w:sz w:val="22"/>
                <w:szCs w:val="22"/>
                <w:lang w:eastAsia="en-US"/>
              </w:rPr>
              <w:t xml:space="preserve"> confirmed based on TER</w:t>
            </w:r>
            <w:r w:rsidRPr="00AC357D">
              <w:rPr>
                <w:sz w:val="22"/>
                <w:szCs w:val="22"/>
                <w:vertAlign w:val="subscript"/>
                <w:lang w:eastAsia="en-US"/>
              </w:rPr>
              <w:t>LT</w:t>
            </w:r>
            <w:r w:rsidRPr="00AC357D">
              <w:rPr>
                <w:sz w:val="22"/>
                <w:szCs w:val="22"/>
                <w:lang w:eastAsia="en-US"/>
              </w:rPr>
              <w:t xml:space="preserve"> calculations for formulation</w:t>
            </w:r>
            <w:r w:rsidR="00B50767" w:rsidRPr="00AC357D">
              <w:rPr>
                <w:sz w:val="22"/>
                <w:szCs w:val="22"/>
                <w:lang w:eastAsia="en-US"/>
              </w:rPr>
              <w:t xml:space="preserve"> (endpoints based on the </w:t>
            </w:r>
            <w:r w:rsidR="004457F0" w:rsidRPr="00AC357D">
              <w:rPr>
                <w:sz w:val="22"/>
                <w:szCs w:val="22"/>
                <w:lang w:eastAsia="en-US"/>
              </w:rPr>
              <w:t xml:space="preserve">nominal </w:t>
            </w:r>
            <w:r w:rsidR="00B50767" w:rsidRPr="00AC357D">
              <w:rPr>
                <w:sz w:val="22"/>
                <w:szCs w:val="22"/>
                <w:lang w:eastAsia="en-US"/>
              </w:rPr>
              <w:t>content of the active substances</w:t>
            </w:r>
            <w:r w:rsidR="004457F0" w:rsidRPr="00AC357D">
              <w:rPr>
                <w:sz w:val="22"/>
                <w:szCs w:val="22"/>
                <w:lang w:eastAsia="en-US"/>
              </w:rPr>
              <w:t>)</w:t>
            </w:r>
            <w:r w:rsidRPr="00AC357D">
              <w:rPr>
                <w:sz w:val="22"/>
                <w:szCs w:val="22"/>
                <w:lang w:eastAsia="en-US"/>
              </w:rPr>
              <w:t>,</w:t>
            </w:r>
            <w:r w:rsidR="00E93841" w:rsidRPr="00AC357D">
              <w:rPr>
                <w:sz w:val="22"/>
                <w:szCs w:val="22"/>
                <w:lang w:eastAsia="en-US"/>
              </w:rPr>
              <w:t xml:space="preserve"> </w:t>
            </w:r>
            <w:r w:rsidR="004457F0" w:rsidRPr="00AC357D">
              <w:rPr>
                <w:sz w:val="22"/>
                <w:szCs w:val="22"/>
                <w:lang w:eastAsia="en-US"/>
              </w:rPr>
              <w:t>azoxystrobin</w:t>
            </w:r>
            <w:r w:rsidRPr="00AC357D">
              <w:rPr>
                <w:sz w:val="22"/>
                <w:szCs w:val="22"/>
                <w:lang w:eastAsia="en-US"/>
              </w:rPr>
              <w:t xml:space="preserve"> and </w:t>
            </w:r>
            <w:r w:rsidR="00AC357D" w:rsidRPr="00AC357D">
              <w:rPr>
                <w:noProof/>
                <w:sz w:val="22"/>
                <w:szCs w:val="22"/>
              </w:rPr>
              <w:t>fluxapyroxad</w:t>
            </w:r>
            <w:r w:rsidR="00AC357D" w:rsidRPr="00AC357D">
              <w:rPr>
                <w:sz w:val="22"/>
                <w:szCs w:val="22"/>
                <w:lang w:eastAsia="en-US"/>
              </w:rPr>
              <w:t xml:space="preserve"> </w:t>
            </w:r>
            <w:r w:rsidRPr="00AC357D">
              <w:rPr>
                <w:sz w:val="22"/>
                <w:szCs w:val="22"/>
                <w:lang w:eastAsia="en-US"/>
              </w:rPr>
              <w:t>metabolites</w:t>
            </w:r>
            <w:r w:rsidR="008D043E">
              <w:rPr>
                <w:sz w:val="22"/>
                <w:szCs w:val="22"/>
                <w:lang w:eastAsia="en-US"/>
              </w:rPr>
              <w:t xml:space="preserve"> (</w:t>
            </w:r>
            <w:r w:rsidR="008D043E" w:rsidRPr="00E51CDD">
              <w:rPr>
                <w:noProof/>
              </w:rPr>
              <w:t>M700F00</w:t>
            </w:r>
            <w:r w:rsidR="008D043E">
              <w:rPr>
                <w:noProof/>
              </w:rPr>
              <w:t xml:space="preserve">1 and </w:t>
            </w:r>
            <w:r w:rsidR="008D043E" w:rsidRPr="00E51CDD">
              <w:rPr>
                <w:noProof/>
              </w:rPr>
              <w:t>M700F002</w:t>
            </w:r>
            <w:r w:rsidR="008D043E">
              <w:rPr>
                <w:noProof/>
              </w:rPr>
              <w:t>)</w:t>
            </w:r>
            <w:r w:rsidRPr="00AC357D">
              <w:rPr>
                <w:sz w:val="22"/>
                <w:szCs w:val="22"/>
                <w:lang w:eastAsia="en-US"/>
              </w:rPr>
              <w:t>.</w:t>
            </w:r>
            <w:r w:rsidRPr="00AA468B">
              <w:rPr>
                <w:sz w:val="22"/>
                <w:szCs w:val="22"/>
                <w:lang w:eastAsia="en-US"/>
              </w:rPr>
              <w:t xml:space="preserve"> </w:t>
            </w:r>
          </w:p>
        </w:tc>
      </w:tr>
    </w:tbl>
    <w:p w14:paraId="61D04245" w14:textId="57F82366" w:rsidR="00BF12FC" w:rsidRDefault="00BF12FC" w:rsidP="00CE08CB">
      <w:pPr>
        <w:pStyle w:val="StyleOECD-BASIS-TEXTLeft"/>
        <w:rPr>
          <w:sz w:val="22"/>
          <w:lang w:val="en-US"/>
        </w:rPr>
        <w:sectPr w:rsidR="00BF12FC" w:rsidSect="009938D9">
          <w:headerReference w:type="even" r:id="rId45"/>
          <w:footerReference w:type="even" r:id="rId46"/>
          <w:headerReference w:type="first" r:id="rId47"/>
          <w:footerReference w:type="first" r:id="rId48"/>
          <w:pgSz w:w="11907" w:h="16840" w:code="9"/>
          <w:pgMar w:top="1418" w:right="1134" w:bottom="1418" w:left="1418" w:header="709" w:footer="709" w:gutter="0"/>
          <w:cols w:space="720"/>
        </w:sectPr>
      </w:pPr>
    </w:p>
    <w:p w14:paraId="24F500A3" w14:textId="77777777" w:rsidR="00E51CDD" w:rsidRPr="00E51CDD" w:rsidRDefault="00E51CDD" w:rsidP="00B31542">
      <w:pPr>
        <w:pStyle w:val="Nagwek2"/>
      </w:pPr>
      <w:bookmarkStart w:id="863" w:name="_Toc399487290"/>
      <w:bookmarkStart w:id="864" w:name="_Ref405399804"/>
      <w:bookmarkStart w:id="865" w:name="_Toc412644026"/>
      <w:bookmarkStart w:id="866" w:name="_Toc413916870"/>
      <w:bookmarkStart w:id="867" w:name="_Toc413917012"/>
      <w:bookmarkStart w:id="868" w:name="_Toc413922073"/>
      <w:bookmarkStart w:id="869" w:name="_Toc413922562"/>
      <w:bookmarkStart w:id="870" w:name="_Toc413922666"/>
      <w:bookmarkStart w:id="871" w:name="_Toc414955303"/>
      <w:bookmarkStart w:id="872" w:name="_Toc415214610"/>
      <w:bookmarkStart w:id="873" w:name="_Toc125446452"/>
      <w:r w:rsidRPr="00E51CDD">
        <w:lastRenderedPageBreak/>
        <w:t>Effects on soil microbial activity (KCP 10.5)</w:t>
      </w:r>
      <w:bookmarkEnd w:id="863"/>
      <w:bookmarkEnd w:id="864"/>
      <w:bookmarkEnd w:id="865"/>
      <w:bookmarkEnd w:id="866"/>
      <w:bookmarkEnd w:id="867"/>
      <w:bookmarkEnd w:id="868"/>
      <w:bookmarkEnd w:id="869"/>
      <w:bookmarkEnd w:id="870"/>
      <w:bookmarkEnd w:id="871"/>
      <w:bookmarkEnd w:id="872"/>
      <w:bookmarkEnd w:id="873"/>
    </w:p>
    <w:p w14:paraId="662630CC" w14:textId="77777777" w:rsidR="00E51CDD" w:rsidRPr="00E51CDD" w:rsidRDefault="00E51CDD" w:rsidP="00B31542">
      <w:pPr>
        <w:pStyle w:val="Nagwek3"/>
      </w:pPr>
      <w:bookmarkStart w:id="874" w:name="_Toc412644027"/>
      <w:bookmarkStart w:id="875" w:name="_Toc413916871"/>
      <w:bookmarkStart w:id="876" w:name="_Toc413917013"/>
      <w:bookmarkStart w:id="877" w:name="_Toc413922074"/>
      <w:bookmarkStart w:id="878" w:name="_Toc413922563"/>
      <w:bookmarkStart w:id="879" w:name="_Toc413922667"/>
      <w:bookmarkStart w:id="880" w:name="_Toc414955304"/>
      <w:bookmarkStart w:id="881" w:name="_Toc415214611"/>
      <w:bookmarkStart w:id="882" w:name="_Toc125446453"/>
      <w:r w:rsidRPr="00E51CDD">
        <w:t>Toxicity data</w:t>
      </w:r>
      <w:bookmarkEnd w:id="874"/>
      <w:bookmarkEnd w:id="875"/>
      <w:bookmarkEnd w:id="876"/>
      <w:bookmarkEnd w:id="877"/>
      <w:bookmarkEnd w:id="878"/>
      <w:bookmarkEnd w:id="879"/>
      <w:bookmarkEnd w:id="880"/>
      <w:bookmarkEnd w:id="881"/>
      <w:bookmarkEnd w:id="882"/>
    </w:p>
    <w:p w14:paraId="622AFC2A" w14:textId="77777777" w:rsidR="00E51CDD" w:rsidRPr="00E51CDD" w:rsidRDefault="00E51CDD" w:rsidP="00E51CDD">
      <w:pPr>
        <w:widowControl w:val="0"/>
        <w:jc w:val="both"/>
        <w:rPr>
          <w:lang w:val="en-GB"/>
        </w:rPr>
      </w:pPr>
      <w:bookmarkStart w:id="883" w:name="_Toc412644028"/>
      <w:bookmarkStart w:id="884" w:name="_Toc413916872"/>
      <w:bookmarkStart w:id="885" w:name="_Toc413917014"/>
      <w:bookmarkStart w:id="886" w:name="_Toc413922075"/>
      <w:bookmarkStart w:id="887" w:name="_Toc413922564"/>
      <w:bookmarkStart w:id="888" w:name="_Toc413922668"/>
      <w:bookmarkStart w:id="889" w:name="_Toc414955305"/>
      <w:bookmarkStart w:id="890" w:name="_Toc415214612"/>
      <w:bookmarkStart w:id="891" w:name="_Hlk88475884"/>
      <w:r w:rsidRPr="00E51CDD">
        <w:rPr>
          <w:lang w:val="en-GB"/>
        </w:rPr>
        <w:t xml:space="preserve">Studies on the effects on soil microorganisms have been carried out with </w:t>
      </w:r>
      <w:r w:rsidRPr="00E51CDD">
        <w:t xml:space="preserve">the active substances fluxapyroxad, azoxystrobin and their relevant metabolites. </w:t>
      </w:r>
      <w:r w:rsidRPr="00E51CDD">
        <w:rPr>
          <w:lang w:val="en-GB"/>
        </w:rPr>
        <w:t>Full details of these studies are provided in the respective EU documents.</w:t>
      </w:r>
    </w:p>
    <w:p w14:paraId="2618D357" w14:textId="77777777" w:rsidR="00E51CDD" w:rsidRPr="00E51CDD" w:rsidRDefault="00E51CDD" w:rsidP="00E51CDD">
      <w:pPr>
        <w:widowControl w:val="0"/>
        <w:jc w:val="both"/>
        <w:rPr>
          <w:lang w:val="en-GB"/>
        </w:rPr>
      </w:pPr>
    </w:p>
    <w:p w14:paraId="217082A7" w14:textId="77777777" w:rsidR="00E51CDD" w:rsidRPr="00E51CDD" w:rsidRDefault="00E51CDD" w:rsidP="00E51CDD">
      <w:pPr>
        <w:widowControl w:val="0"/>
        <w:jc w:val="both"/>
      </w:pPr>
      <w:r w:rsidRPr="00E51CDD">
        <w:rPr>
          <w:lang w:val="en-GB"/>
        </w:rPr>
        <w:t>New data submitted with this application are listed in Appendix 1 and summarized in Appendix 2</w:t>
      </w:r>
      <w:r w:rsidRPr="00E51CDD">
        <w:t xml:space="preserve">. </w:t>
      </w:r>
    </w:p>
    <w:p w14:paraId="74511688" w14:textId="77777777" w:rsidR="00E51CDD" w:rsidRPr="00E51CDD" w:rsidRDefault="00E51CDD" w:rsidP="00E51CDD">
      <w:pPr>
        <w:widowControl w:val="0"/>
        <w:jc w:val="both"/>
      </w:pPr>
    </w:p>
    <w:p w14:paraId="65DA65C0" w14:textId="79F3F690" w:rsidR="00E51CDD" w:rsidRPr="00E51CDD" w:rsidRDefault="00E51CDD" w:rsidP="00E51CDD">
      <w:pPr>
        <w:widowControl w:val="0"/>
        <w:jc w:val="both"/>
      </w:pPr>
      <w:r w:rsidRPr="00E51CDD">
        <w:t xml:space="preserve">All studies are listed in </w:t>
      </w:r>
      <w:r w:rsidRPr="00E51CDD">
        <w:fldChar w:fldCharType="begin"/>
      </w:r>
      <w:r w:rsidRPr="00E51CDD">
        <w:instrText xml:space="preserve"> REF _Ref441745857 \h  \* MERGEFORMAT </w:instrText>
      </w:r>
      <w:r w:rsidRPr="00E51CDD">
        <w:fldChar w:fldCharType="separate"/>
      </w:r>
      <w:r w:rsidR="00662F32" w:rsidRPr="00662F32">
        <w:rPr>
          <w:lang w:val="en-GB"/>
        </w:rPr>
        <w:t xml:space="preserve">Table </w:t>
      </w:r>
      <w:r w:rsidR="00662F32" w:rsidRPr="00662F32">
        <w:rPr>
          <w:noProof/>
          <w:lang w:val="en-GB"/>
        </w:rPr>
        <w:t>9.9</w:t>
      </w:r>
      <w:r w:rsidR="00662F32" w:rsidRPr="00662F32">
        <w:rPr>
          <w:noProof/>
          <w:lang w:val="en-GB"/>
        </w:rPr>
        <w:noBreakHyphen/>
        <w:t>1</w:t>
      </w:r>
      <w:r w:rsidRPr="00E51CDD">
        <w:fldChar w:fldCharType="end"/>
      </w:r>
      <w:r w:rsidRPr="00E51CDD">
        <w:t xml:space="preserve">, </w:t>
      </w:r>
      <w:r w:rsidRPr="00E51CDD">
        <w:fldChar w:fldCharType="begin"/>
      </w:r>
      <w:r w:rsidRPr="00E51CDD">
        <w:instrText xml:space="preserve"> REF _Ref83042852 \h  \* MERGEFORMAT </w:instrText>
      </w:r>
      <w:r w:rsidRPr="00E51CDD">
        <w:fldChar w:fldCharType="separate"/>
      </w:r>
      <w:r w:rsidR="00662F32" w:rsidRPr="00662F32">
        <w:rPr>
          <w:lang w:val="en-GB"/>
        </w:rPr>
        <w:t xml:space="preserve">Table </w:t>
      </w:r>
      <w:r w:rsidR="00662F32" w:rsidRPr="00662F32">
        <w:rPr>
          <w:noProof/>
          <w:lang w:val="en-GB"/>
        </w:rPr>
        <w:t>9.9</w:t>
      </w:r>
      <w:r w:rsidR="00662F32" w:rsidRPr="00662F32">
        <w:rPr>
          <w:noProof/>
          <w:lang w:val="en-GB"/>
        </w:rPr>
        <w:noBreakHyphen/>
        <w:t>2</w:t>
      </w:r>
      <w:r w:rsidRPr="00E51CDD">
        <w:fldChar w:fldCharType="end"/>
      </w:r>
      <w:r w:rsidRPr="00E51CDD">
        <w:t xml:space="preserve"> and </w:t>
      </w:r>
      <w:r w:rsidRPr="00E51CDD">
        <w:fldChar w:fldCharType="begin"/>
      </w:r>
      <w:r w:rsidRPr="00E51CDD">
        <w:instrText xml:space="preserve"> REF _Ref442263652 \h  \* MERGEFORMAT </w:instrText>
      </w:r>
      <w:r w:rsidRPr="00E51CDD">
        <w:fldChar w:fldCharType="separate"/>
      </w:r>
      <w:r w:rsidR="00662F32" w:rsidRPr="00662F32">
        <w:rPr>
          <w:lang w:val="en-GB"/>
        </w:rPr>
        <w:t xml:space="preserve">Table </w:t>
      </w:r>
      <w:r w:rsidR="00662F32" w:rsidRPr="00662F32">
        <w:rPr>
          <w:noProof/>
          <w:lang w:val="en-GB"/>
        </w:rPr>
        <w:t>9.9</w:t>
      </w:r>
      <w:r w:rsidR="00662F32" w:rsidRPr="00662F32">
        <w:rPr>
          <w:noProof/>
          <w:lang w:val="en-GB"/>
        </w:rPr>
        <w:noBreakHyphen/>
        <w:t>3</w:t>
      </w:r>
      <w:r w:rsidRPr="00E51CDD">
        <w:fldChar w:fldCharType="end"/>
      </w:r>
      <w:r w:rsidRPr="00E51CDD">
        <w:t>.</w:t>
      </w:r>
    </w:p>
    <w:p w14:paraId="067E6AD1" w14:textId="77777777" w:rsidR="00E51CDD" w:rsidRPr="00E51CDD" w:rsidRDefault="00E51CDD" w:rsidP="00E51CDD">
      <w:pPr>
        <w:widowControl w:val="0"/>
        <w:jc w:val="both"/>
      </w:pPr>
    </w:p>
    <w:p w14:paraId="3AD49544" w14:textId="5B27E4D4" w:rsidR="00E51CDD" w:rsidRPr="00E51CDD" w:rsidRDefault="00E51CDD" w:rsidP="00E51CDD">
      <w:pPr>
        <w:ind w:left="1985" w:hanging="1985"/>
        <w:rPr>
          <w:b/>
          <w:bCs/>
        </w:rPr>
      </w:pPr>
      <w:bookmarkStart w:id="892" w:name="_Ref441745857"/>
      <w:r w:rsidRPr="00E51CDD">
        <w:rPr>
          <w:b/>
          <w:bCs/>
        </w:rPr>
        <w:t xml:space="preserve">Table </w:t>
      </w:r>
      <w:r w:rsidRPr="00E51CDD">
        <w:rPr>
          <w:b/>
          <w:bCs/>
        </w:rPr>
        <w:fldChar w:fldCharType="begin"/>
      </w:r>
      <w:r w:rsidRPr="00E51CDD">
        <w:rPr>
          <w:b/>
          <w:bCs/>
        </w:rPr>
        <w:instrText xml:space="preserve"> STYLEREF 2 \s </w:instrText>
      </w:r>
      <w:r w:rsidRPr="00E51CDD">
        <w:rPr>
          <w:b/>
          <w:bCs/>
        </w:rPr>
        <w:fldChar w:fldCharType="separate"/>
      </w:r>
      <w:r w:rsidR="00662F32">
        <w:rPr>
          <w:b/>
          <w:bCs/>
          <w:noProof/>
        </w:rPr>
        <w:t>9.9</w:t>
      </w:r>
      <w:r w:rsidRPr="00E51CDD">
        <w:rPr>
          <w:b/>
          <w:bCs/>
        </w:rPr>
        <w:fldChar w:fldCharType="end"/>
      </w:r>
      <w:r w:rsidRPr="00E51CDD">
        <w:rPr>
          <w:b/>
          <w:bCs/>
        </w:rPr>
        <w:noBreakHyphen/>
      </w:r>
      <w:r w:rsidRPr="00E51CDD">
        <w:rPr>
          <w:b/>
          <w:bCs/>
        </w:rPr>
        <w:fldChar w:fldCharType="begin"/>
      </w:r>
      <w:r w:rsidRPr="00E51CDD">
        <w:rPr>
          <w:b/>
          <w:bCs/>
        </w:rPr>
        <w:instrText xml:space="preserve"> SEQ Table \* ARABIC \s 2 </w:instrText>
      </w:r>
      <w:r w:rsidRPr="00E51CDD">
        <w:rPr>
          <w:b/>
          <w:bCs/>
        </w:rPr>
        <w:fldChar w:fldCharType="separate"/>
      </w:r>
      <w:r w:rsidR="00662F32">
        <w:rPr>
          <w:b/>
          <w:bCs/>
          <w:noProof/>
        </w:rPr>
        <w:t>1</w:t>
      </w:r>
      <w:r w:rsidRPr="00E51CDD">
        <w:rPr>
          <w:b/>
          <w:bCs/>
        </w:rPr>
        <w:fldChar w:fldCharType="end"/>
      </w:r>
      <w:bookmarkEnd w:id="892"/>
      <w:r w:rsidRPr="00E51CDD">
        <w:rPr>
          <w:b/>
          <w:bCs/>
        </w:rPr>
        <w:t>:</w:t>
      </w:r>
      <w:r w:rsidRPr="00E51CDD">
        <w:rPr>
          <w:b/>
          <w:bCs/>
        </w:rPr>
        <w:tab/>
        <w:t>Endpoints and effect values of fluxapyroxad and relevant metabolites relevant for the risk assessment for soil microorganisms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69"/>
        <w:gridCol w:w="1869"/>
        <w:gridCol w:w="1869"/>
      </w:tblGrid>
      <w:tr w:rsidR="00E51CDD" w:rsidRPr="00E51CDD" w14:paraId="7719CDE0" w14:textId="77777777" w:rsidTr="009938D9">
        <w:trPr>
          <w:tblHeader/>
        </w:trPr>
        <w:tc>
          <w:tcPr>
            <w:tcW w:w="1000" w:type="pct"/>
            <w:shd w:val="clear" w:color="auto" w:fill="auto"/>
          </w:tcPr>
          <w:p w14:paraId="086F142B" w14:textId="77777777" w:rsidR="00E51CDD" w:rsidRPr="00E51CDD" w:rsidRDefault="00E51CDD" w:rsidP="00E51CDD">
            <w:pPr>
              <w:widowControl w:val="0"/>
              <w:spacing w:before="60" w:after="60"/>
              <w:rPr>
                <w:b/>
                <w:sz w:val="20"/>
                <w:szCs w:val="20"/>
                <w:lang w:val="en-GB"/>
              </w:rPr>
            </w:pPr>
            <w:r w:rsidRPr="00E51CDD">
              <w:rPr>
                <w:b/>
                <w:sz w:val="20"/>
                <w:szCs w:val="20"/>
                <w:lang w:val="en-GB"/>
              </w:rPr>
              <w:t>Endpoint</w:t>
            </w:r>
          </w:p>
        </w:tc>
        <w:tc>
          <w:tcPr>
            <w:tcW w:w="1000" w:type="pct"/>
            <w:shd w:val="clear" w:color="auto" w:fill="auto"/>
          </w:tcPr>
          <w:p w14:paraId="28656D85" w14:textId="77777777" w:rsidR="00E51CDD" w:rsidRPr="00E51CDD" w:rsidRDefault="00E51CDD" w:rsidP="00E51CDD">
            <w:pPr>
              <w:widowControl w:val="0"/>
              <w:spacing w:before="60" w:after="60"/>
              <w:rPr>
                <w:b/>
                <w:sz w:val="20"/>
                <w:szCs w:val="20"/>
                <w:lang w:val="en-GB"/>
              </w:rPr>
            </w:pPr>
            <w:r w:rsidRPr="00E51CDD">
              <w:rPr>
                <w:b/>
                <w:sz w:val="20"/>
                <w:szCs w:val="20"/>
                <w:lang w:val="en-GB"/>
              </w:rPr>
              <w:t>Substance</w:t>
            </w:r>
          </w:p>
        </w:tc>
        <w:tc>
          <w:tcPr>
            <w:tcW w:w="1000" w:type="pct"/>
            <w:shd w:val="clear" w:color="auto" w:fill="auto"/>
          </w:tcPr>
          <w:p w14:paraId="56274E1F" w14:textId="77777777" w:rsidR="00E51CDD" w:rsidRPr="00E51CDD" w:rsidRDefault="00E51CDD" w:rsidP="00E51CDD">
            <w:pPr>
              <w:widowControl w:val="0"/>
              <w:spacing w:before="60" w:after="60"/>
              <w:rPr>
                <w:b/>
                <w:sz w:val="20"/>
                <w:szCs w:val="20"/>
                <w:lang w:val="en-GB"/>
              </w:rPr>
            </w:pPr>
            <w:r w:rsidRPr="00E51CDD">
              <w:rPr>
                <w:b/>
                <w:sz w:val="20"/>
                <w:szCs w:val="20"/>
                <w:lang w:val="en-GB"/>
              </w:rPr>
              <w:t>Exposure System</w:t>
            </w:r>
          </w:p>
        </w:tc>
        <w:tc>
          <w:tcPr>
            <w:tcW w:w="1000" w:type="pct"/>
            <w:shd w:val="clear" w:color="auto" w:fill="auto"/>
          </w:tcPr>
          <w:p w14:paraId="3CECEE0D" w14:textId="77777777" w:rsidR="00E51CDD" w:rsidRPr="00E51CDD" w:rsidRDefault="00E51CDD" w:rsidP="00E51CDD">
            <w:pPr>
              <w:widowControl w:val="0"/>
              <w:spacing w:before="60" w:after="60"/>
              <w:rPr>
                <w:b/>
                <w:sz w:val="20"/>
                <w:szCs w:val="20"/>
                <w:lang w:val="en-GB"/>
              </w:rPr>
            </w:pPr>
            <w:r w:rsidRPr="00E51CDD">
              <w:rPr>
                <w:b/>
                <w:sz w:val="20"/>
                <w:szCs w:val="20"/>
                <w:lang w:val="en-GB"/>
              </w:rPr>
              <w:t>Results</w:t>
            </w:r>
          </w:p>
        </w:tc>
        <w:tc>
          <w:tcPr>
            <w:tcW w:w="1000" w:type="pct"/>
            <w:shd w:val="clear" w:color="auto" w:fill="auto"/>
          </w:tcPr>
          <w:p w14:paraId="68754D0D" w14:textId="77777777" w:rsidR="00E51CDD" w:rsidRPr="00E51CDD" w:rsidRDefault="00E51CDD" w:rsidP="00E51CDD">
            <w:pPr>
              <w:widowControl w:val="0"/>
              <w:spacing w:before="60" w:after="60"/>
              <w:rPr>
                <w:b/>
                <w:sz w:val="20"/>
                <w:szCs w:val="20"/>
                <w:lang w:val="en-GB"/>
              </w:rPr>
            </w:pPr>
            <w:r w:rsidRPr="00E51CDD">
              <w:rPr>
                <w:b/>
                <w:sz w:val="20"/>
                <w:szCs w:val="20"/>
                <w:lang w:val="en-GB"/>
              </w:rPr>
              <w:t>Reference</w:t>
            </w:r>
          </w:p>
        </w:tc>
      </w:tr>
      <w:tr w:rsidR="00E51CDD" w:rsidRPr="00E51CDD" w14:paraId="064C7BD4" w14:textId="77777777" w:rsidTr="009938D9">
        <w:tc>
          <w:tcPr>
            <w:tcW w:w="1000" w:type="pct"/>
            <w:vMerge w:val="restart"/>
            <w:shd w:val="clear" w:color="auto" w:fill="auto"/>
          </w:tcPr>
          <w:p w14:paraId="33FC08A1" w14:textId="77777777" w:rsidR="00E51CDD" w:rsidRPr="00E51CDD" w:rsidRDefault="00E51CDD" w:rsidP="00E51CDD">
            <w:pPr>
              <w:widowControl w:val="0"/>
              <w:rPr>
                <w:noProof/>
                <w:sz w:val="20"/>
                <w:lang w:val="en-GB"/>
              </w:rPr>
            </w:pPr>
            <w:r w:rsidRPr="00E51CDD">
              <w:rPr>
                <w:noProof/>
                <w:sz w:val="20"/>
                <w:lang w:val="en-GB"/>
              </w:rPr>
              <w:t>N-mineralization</w:t>
            </w:r>
          </w:p>
        </w:tc>
        <w:tc>
          <w:tcPr>
            <w:tcW w:w="1000" w:type="pct"/>
            <w:shd w:val="clear" w:color="auto" w:fill="auto"/>
          </w:tcPr>
          <w:p w14:paraId="66E3E4DF" w14:textId="77777777" w:rsidR="00E51CDD" w:rsidRPr="00E51CDD" w:rsidRDefault="00E51CDD" w:rsidP="00E51CDD">
            <w:pPr>
              <w:widowControl w:val="0"/>
              <w:rPr>
                <w:noProof/>
                <w:sz w:val="20"/>
                <w:lang w:val="en-GB"/>
              </w:rPr>
            </w:pPr>
            <w:r w:rsidRPr="00E51CDD">
              <w:rPr>
                <w:noProof/>
                <w:sz w:val="20"/>
                <w:lang w:val="en-GB"/>
              </w:rPr>
              <w:t>fluxapyroxad</w:t>
            </w:r>
          </w:p>
        </w:tc>
        <w:tc>
          <w:tcPr>
            <w:tcW w:w="1000" w:type="pct"/>
            <w:shd w:val="clear" w:color="auto" w:fill="auto"/>
          </w:tcPr>
          <w:p w14:paraId="4FD03DCA" w14:textId="77777777" w:rsidR="00E51CDD" w:rsidRPr="00E51CDD" w:rsidRDefault="00E51CDD" w:rsidP="00E51CDD">
            <w:pPr>
              <w:widowControl w:val="0"/>
              <w:rPr>
                <w:noProof/>
                <w:sz w:val="20"/>
                <w:lang w:val="en-GB"/>
              </w:rPr>
            </w:pPr>
            <w:r w:rsidRPr="00E51CDD">
              <w:rPr>
                <w:noProof/>
                <w:sz w:val="20"/>
                <w:lang w:val="en-GB"/>
              </w:rPr>
              <w:t>28 d, aerobic</w:t>
            </w:r>
            <w:r w:rsidRPr="00E51CDD">
              <w:rPr>
                <w:noProof/>
                <w:sz w:val="20"/>
                <w:lang w:val="en-GB"/>
              </w:rPr>
              <w:br/>
              <w:t>loamy sand soil</w:t>
            </w:r>
          </w:p>
        </w:tc>
        <w:tc>
          <w:tcPr>
            <w:tcW w:w="1000" w:type="pct"/>
            <w:shd w:val="clear" w:color="auto" w:fill="auto"/>
          </w:tcPr>
          <w:p w14:paraId="02DF551D" w14:textId="77777777" w:rsidR="00E51CDD" w:rsidRPr="00E51CDD" w:rsidRDefault="00E51CDD" w:rsidP="00E51CDD">
            <w:pPr>
              <w:widowControl w:val="0"/>
              <w:rPr>
                <w:noProof/>
                <w:sz w:val="20"/>
                <w:lang w:val="en-GB"/>
              </w:rPr>
            </w:pPr>
            <w:r w:rsidRPr="00E51CDD">
              <w:rPr>
                <w:noProof/>
                <w:sz w:val="20"/>
                <w:lang w:val="en-GB"/>
              </w:rPr>
              <w:t>Nitrate formation rate</w:t>
            </w:r>
            <w:r w:rsidRPr="00E51CDD">
              <w:rPr>
                <w:noProof/>
                <w:sz w:val="20"/>
                <w:lang w:val="en-GB"/>
              </w:rPr>
              <w:br/>
              <w:t>2.01 mg/kg dry soil</w:t>
            </w:r>
            <w:r w:rsidRPr="00E51CDD">
              <w:rPr>
                <w:noProof/>
                <w:sz w:val="20"/>
                <w:lang w:val="en-GB"/>
              </w:rPr>
              <w:br/>
              <w:t>-4.2%</w:t>
            </w:r>
          </w:p>
        </w:tc>
        <w:tc>
          <w:tcPr>
            <w:tcW w:w="1000" w:type="pct"/>
            <w:shd w:val="clear" w:color="auto" w:fill="auto"/>
          </w:tcPr>
          <w:p w14:paraId="4CD0EE22" w14:textId="77777777" w:rsidR="00E51CDD" w:rsidRPr="00E51CDD" w:rsidRDefault="00E51CDD" w:rsidP="00E51CDD">
            <w:pPr>
              <w:widowControl w:val="0"/>
              <w:rPr>
                <w:noProof/>
                <w:sz w:val="20"/>
                <w:lang w:val="en-GB"/>
              </w:rPr>
            </w:pPr>
            <w:r w:rsidRPr="00E51CDD">
              <w:rPr>
                <w:bCs/>
                <w:iCs/>
                <w:noProof/>
                <w:sz w:val="20"/>
                <w:lang w:eastAsia="en-US"/>
              </w:rPr>
              <w:t>EFSA Journal 2012; 10(1):2522</w:t>
            </w:r>
            <w:r w:rsidRPr="00E51CDD">
              <w:rPr>
                <w:bCs/>
                <w:iCs/>
                <w:noProof/>
                <w:sz w:val="20"/>
                <w:lang w:eastAsia="en-US"/>
              </w:rPr>
              <w:br/>
            </w:r>
            <w:r w:rsidRPr="00E51CDD">
              <w:rPr>
                <w:noProof/>
                <w:sz w:val="20"/>
              </w:rPr>
              <w:t>2008/1065108</w:t>
            </w:r>
          </w:p>
        </w:tc>
      </w:tr>
      <w:tr w:rsidR="00E51CDD" w:rsidRPr="00E51CDD" w14:paraId="5544E9DA" w14:textId="77777777" w:rsidTr="009938D9">
        <w:tc>
          <w:tcPr>
            <w:tcW w:w="1000" w:type="pct"/>
            <w:vMerge/>
            <w:shd w:val="clear" w:color="auto" w:fill="auto"/>
          </w:tcPr>
          <w:p w14:paraId="3F372698" w14:textId="77777777" w:rsidR="00E51CDD" w:rsidRPr="00E51CDD" w:rsidRDefault="00E51CDD" w:rsidP="00E51CDD">
            <w:pPr>
              <w:widowControl w:val="0"/>
              <w:rPr>
                <w:noProof/>
                <w:sz w:val="20"/>
                <w:lang w:val="en-GB"/>
              </w:rPr>
            </w:pPr>
          </w:p>
        </w:tc>
        <w:tc>
          <w:tcPr>
            <w:tcW w:w="1000" w:type="pct"/>
            <w:shd w:val="clear" w:color="auto" w:fill="auto"/>
          </w:tcPr>
          <w:p w14:paraId="41D05FFF" w14:textId="77777777" w:rsidR="00E51CDD" w:rsidRPr="00E51CDD" w:rsidRDefault="00E51CDD" w:rsidP="00E51CDD">
            <w:pPr>
              <w:widowControl w:val="0"/>
              <w:rPr>
                <w:noProof/>
                <w:sz w:val="20"/>
                <w:lang w:val="en-GB"/>
              </w:rPr>
            </w:pPr>
            <w:r w:rsidRPr="00E51CDD">
              <w:rPr>
                <w:noProof/>
                <w:sz w:val="20"/>
                <w:lang w:val="en-GB"/>
              </w:rPr>
              <w:t>Metabolite, Reg. No. 5 069 089</w:t>
            </w:r>
            <w:r w:rsidRPr="00E51CDD">
              <w:rPr>
                <w:noProof/>
                <w:sz w:val="20"/>
                <w:lang w:val="en-GB"/>
              </w:rPr>
              <w:br/>
            </w:r>
            <w:r w:rsidRPr="00E51CDD">
              <w:rPr>
                <w:noProof/>
                <w:sz w:val="20"/>
              </w:rPr>
              <w:t>M700F001</w:t>
            </w:r>
          </w:p>
        </w:tc>
        <w:tc>
          <w:tcPr>
            <w:tcW w:w="1000" w:type="pct"/>
            <w:shd w:val="clear" w:color="auto" w:fill="auto"/>
          </w:tcPr>
          <w:p w14:paraId="71FF9E1D" w14:textId="77777777" w:rsidR="00E51CDD" w:rsidRPr="00E51CDD" w:rsidRDefault="00E51CDD" w:rsidP="00E51CDD">
            <w:pPr>
              <w:widowControl w:val="0"/>
              <w:rPr>
                <w:noProof/>
                <w:sz w:val="20"/>
                <w:lang w:val="en-GB"/>
              </w:rPr>
            </w:pPr>
            <w:r w:rsidRPr="00E51CDD">
              <w:rPr>
                <w:noProof/>
                <w:sz w:val="20"/>
                <w:lang w:val="en-GB"/>
              </w:rPr>
              <w:t>28 d, aerobic</w:t>
            </w:r>
            <w:r w:rsidRPr="00E51CDD">
              <w:rPr>
                <w:noProof/>
                <w:sz w:val="20"/>
                <w:lang w:val="en-GB"/>
              </w:rPr>
              <w:br/>
              <w:t>loamy sand soil</w:t>
            </w:r>
          </w:p>
        </w:tc>
        <w:tc>
          <w:tcPr>
            <w:tcW w:w="1000" w:type="pct"/>
            <w:shd w:val="clear" w:color="auto" w:fill="auto"/>
          </w:tcPr>
          <w:p w14:paraId="7661AEA0" w14:textId="77777777" w:rsidR="00E51CDD" w:rsidRPr="00E51CDD" w:rsidRDefault="00E51CDD" w:rsidP="00E51CDD">
            <w:pPr>
              <w:widowControl w:val="0"/>
              <w:rPr>
                <w:noProof/>
                <w:sz w:val="20"/>
                <w:lang w:val="en-GB"/>
              </w:rPr>
            </w:pPr>
            <w:r w:rsidRPr="00E51CDD">
              <w:rPr>
                <w:noProof/>
                <w:sz w:val="20"/>
                <w:lang w:val="en-GB"/>
              </w:rPr>
              <w:t>Nitrate formation rate</w:t>
            </w:r>
            <w:r w:rsidRPr="00E51CDD">
              <w:rPr>
                <w:noProof/>
                <w:sz w:val="20"/>
                <w:lang w:val="en-GB"/>
              </w:rPr>
              <w:br/>
              <w:t>0.37 mg/kg dry soil</w:t>
            </w:r>
            <w:r w:rsidRPr="00E51CDD">
              <w:rPr>
                <w:noProof/>
                <w:sz w:val="20"/>
                <w:lang w:val="en-GB"/>
              </w:rPr>
              <w:br/>
              <w:t>+0.2%</w:t>
            </w:r>
          </w:p>
        </w:tc>
        <w:tc>
          <w:tcPr>
            <w:tcW w:w="1000" w:type="pct"/>
            <w:shd w:val="clear" w:color="auto" w:fill="auto"/>
          </w:tcPr>
          <w:p w14:paraId="1C752624" w14:textId="77777777" w:rsidR="00E51CDD" w:rsidRPr="00E51CDD" w:rsidRDefault="00E51CDD" w:rsidP="00E51CDD">
            <w:pPr>
              <w:widowControl w:val="0"/>
              <w:rPr>
                <w:noProof/>
                <w:sz w:val="20"/>
                <w:lang w:val="en-GB"/>
              </w:rPr>
            </w:pPr>
            <w:r w:rsidRPr="00E51CDD">
              <w:rPr>
                <w:bCs/>
                <w:iCs/>
                <w:noProof/>
                <w:sz w:val="20"/>
                <w:lang w:eastAsia="en-US"/>
              </w:rPr>
              <w:t>EFSA Journal 2012; 10(1):2522</w:t>
            </w:r>
            <w:r w:rsidRPr="00E51CDD">
              <w:rPr>
                <w:bCs/>
                <w:iCs/>
                <w:noProof/>
                <w:sz w:val="20"/>
                <w:lang w:eastAsia="en-US"/>
              </w:rPr>
              <w:br/>
            </w:r>
            <w:r w:rsidRPr="00E51CDD">
              <w:rPr>
                <w:noProof/>
                <w:sz w:val="20"/>
                <w:lang w:val="en-GB"/>
              </w:rPr>
              <w:t>2008/1065121</w:t>
            </w:r>
          </w:p>
        </w:tc>
      </w:tr>
      <w:tr w:rsidR="00E51CDD" w:rsidRPr="00E51CDD" w14:paraId="1237F2EA" w14:textId="77777777" w:rsidTr="009938D9">
        <w:tc>
          <w:tcPr>
            <w:tcW w:w="1000" w:type="pct"/>
            <w:vMerge/>
            <w:shd w:val="clear" w:color="auto" w:fill="auto"/>
          </w:tcPr>
          <w:p w14:paraId="4FCC2191" w14:textId="77777777" w:rsidR="00E51CDD" w:rsidRPr="00E51CDD" w:rsidRDefault="00E51CDD" w:rsidP="00E51CDD">
            <w:pPr>
              <w:widowControl w:val="0"/>
              <w:rPr>
                <w:noProof/>
                <w:sz w:val="20"/>
                <w:lang w:val="en-GB"/>
              </w:rPr>
            </w:pPr>
          </w:p>
        </w:tc>
        <w:tc>
          <w:tcPr>
            <w:tcW w:w="1000" w:type="pct"/>
            <w:shd w:val="clear" w:color="auto" w:fill="auto"/>
          </w:tcPr>
          <w:p w14:paraId="65309B8E" w14:textId="77777777" w:rsidR="00E51CDD" w:rsidRPr="00E51CDD" w:rsidRDefault="00E51CDD" w:rsidP="00E51CDD">
            <w:pPr>
              <w:widowControl w:val="0"/>
              <w:rPr>
                <w:noProof/>
                <w:sz w:val="20"/>
                <w:lang w:val="en-GB"/>
              </w:rPr>
            </w:pPr>
            <w:r w:rsidRPr="00E51CDD">
              <w:rPr>
                <w:noProof/>
                <w:sz w:val="20"/>
                <w:lang w:val="en-GB"/>
              </w:rPr>
              <w:t>Metabolite, Reg. No. 5 435 595</w:t>
            </w:r>
            <w:r w:rsidRPr="00E51CDD">
              <w:rPr>
                <w:noProof/>
                <w:sz w:val="20"/>
                <w:lang w:val="en-GB"/>
              </w:rPr>
              <w:br/>
            </w:r>
            <w:r w:rsidRPr="00E51CDD">
              <w:rPr>
                <w:noProof/>
                <w:sz w:val="20"/>
              </w:rPr>
              <w:t>M700F002</w:t>
            </w:r>
          </w:p>
        </w:tc>
        <w:tc>
          <w:tcPr>
            <w:tcW w:w="1000" w:type="pct"/>
            <w:shd w:val="clear" w:color="auto" w:fill="auto"/>
          </w:tcPr>
          <w:p w14:paraId="14CC754C" w14:textId="77777777" w:rsidR="00E51CDD" w:rsidRPr="00E51CDD" w:rsidRDefault="00E51CDD" w:rsidP="00E51CDD">
            <w:pPr>
              <w:widowControl w:val="0"/>
              <w:rPr>
                <w:noProof/>
                <w:sz w:val="20"/>
                <w:lang w:val="en-GB"/>
              </w:rPr>
            </w:pPr>
            <w:r w:rsidRPr="00E51CDD">
              <w:rPr>
                <w:noProof/>
                <w:sz w:val="20"/>
                <w:lang w:val="en-GB"/>
              </w:rPr>
              <w:t>28 d, aerobic</w:t>
            </w:r>
            <w:r w:rsidRPr="00E51CDD">
              <w:rPr>
                <w:noProof/>
                <w:sz w:val="20"/>
                <w:lang w:val="en-GB"/>
              </w:rPr>
              <w:br/>
              <w:t>loamy sand soil</w:t>
            </w:r>
          </w:p>
        </w:tc>
        <w:tc>
          <w:tcPr>
            <w:tcW w:w="1000" w:type="pct"/>
            <w:shd w:val="clear" w:color="auto" w:fill="auto"/>
          </w:tcPr>
          <w:p w14:paraId="02BCAEDE" w14:textId="77777777" w:rsidR="00E51CDD" w:rsidRPr="00E51CDD" w:rsidRDefault="00E51CDD" w:rsidP="00E51CDD">
            <w:pPr>
              <w:widowControl w:val="0"/>
              <w:rPr>
                <w:noProof/>
                <w:sz w:val="20"/>
                <w:lang w:val="en-GB"/>
              </w:rPr>
            </w:pPr>
            <w:r w:rsidRPr="00E51CDD">
              <w:rPr>
                <w:noProof/>
                <w:sz w:val="20"/>
                <w:lang w:val="en-GB"/>
              </w:rPr>
              <w:t>Nitrate formation rate</w:t>
            </w:r>
            <w:r w:rsidRPr="00E51CDD">
              <w:rPr>
                <w:noProof/>
                <w:sz w:val="20"/>
                <w:lang w:val="en-GB"/>
              </w:rPr>
              <w:br/>
              <w:t>1.0 mg/kg dry soil</w:t>
            </w:r>
            <w:r w:rsidRPr="00E51CDD">
              <w:rPr>
                <w:noProof/>
                <w:sz w:val="20"/>
                <w:lang w:val="en-GB"/>
              </w:rPr>
              <w:br/>
              <w:t>-5.1%</w:t>
            </w:r>
          </w:p>
        </w:tc>
        <w:tc>
          <w:tcPr>
            <w:tcW w:w="1000" w:type="pct"/>
            <w:shd w:val="clear" w:color="auto" w:fill="auto"/>
          </w:tcPr>
          <w:p w14:paraId="1B8D2E5A" w14:textId="77777777" w:rsidR="00E51CDD" w:rsidRPr="00E51CDD" w:rsidRDefault="00E51CDD" w:rsidP="00E51CDD">
            <w:pPr>
              <w:widowControl w:val="0"/>
              <w:rPr>
                <w:noProof/>
                <w:sz w:val="20"/>
                <w:lang w:val="en-GB"/>
              </w:rPr>
            </w:pPr>
            <w:r w:rsidRPr="00E51CDD">
              <w:rPr>
                <w:bCs/>
                <w:iCs/>
                <w:noProof/>
                <w:sz w:val="20"/>
                <w:lang w:eastAsia="en-US"/>
              </w:rPr>
              <w:t>EFSA Journal 2012; 10(1):2522</w:t>
            </w:r>
            <w:r w:rsidRPr="00E51CDD">
              <w:rPr>
                <w:bCs/>
                <w:iCs/>
                <w:noProof/>
                <w:sz w:val="20"/>
                <w:lang w:eastAsia="en-US"/>
              </w:rPr>
              <w:br/>
            </w:r>
            <w:r w:rsidRPr="00E51CDD">
              <w:rPr>
                <w:noProof/>
                <w:sz w:val="20"/>
                <w:lang w:val="en-GB"/>
              </w:rPr>
              <w:t>2009/1004145</w:t>
            </w:r>
          </w:p>
        </w:tc>
      </w:tr>
      <w:tr w:rsidR="00E51CDD" w:rsidRPr="00E51CDD" w14:paraId="11921915" w14:textId="77777777" w:rsidTr="009938D9">
        <w:tc>
          <w:tcPr>
            <w:tcW w:w="1000" w:type="pct"/>
            <w:vMerge w:val="restart"/>
            <w:shd w:val="clear" w:color="auto" w:fill="auto"/>
          </w:tcPr>
          <w:p w14:paraId="076EB8AD" w14:textId="77777777" w:rsidR="00E51CDD" w:rsidRPr="00E51CDD" w:rsidRDefault="00E51CDD" w:rsidP="00E51CDD">
            <w:pPr>
              <w:widowControl w:val="0"/>
              <w:rPr>
                <w:noProof/>
                <w:sz w:val="20"/>
                <w:lang w:val="en-GB"/>
              </w:rPr>
            </w:pPr>
            <w:r w:rsidRPr="00E51CDD">
              <w:rPr>
                <w:noProof/>
                <w:sz w:val="20"/>
                <w:lang w:val="en-GB"/>
              </w:rPr>
              <w:t xml:space="preserve">C-mineralization </w:t>
            </w:r>
            <w:r w:rsidRPr="00E51CDD">
              <w:rPr>
                <w:noProof/>
                <w:sz w:val="20"/>
                <w:vertAlign w:val="superscript"/>
                <w:lang w:val="en-GB"/>
              </w:rPr>
              <w:t>1)</w:t>
            </w:r>
          </w:p>
        </w:tc>
        <w:tc>
          <w:tcPr>
            <w:tcW w:w="1000" w:type="pct"/>
            <w:shd w:val="clear" w:color="auto" w:fill="auto"/>
          </w:tcPr>
          <w:p w14:paraId="3DAF8B22" w14:textId="77777777" w:rsidR="00E51CDD" w:rsidRPr="00E51CDD" w:rsidRDefault="00E51CDD" w:rsidP="00E51CDD">
            <w:pPr>
              <w:widowControl w:val="0"/>
              <w:rPr>
                <w:noProof/>
                <w:sz w:val="20"/>
                <w:lang w:val="en-GB"/>
              </w:rPr>
            </w:pPr>
            <w:r w:rsidRPr="00E51CDD">
              <w:rPr>
                <w:noProof/>
                <w:sz w:val="20"/>
                <w:lang w:val="en-GB"/>
              </w:rPr>
              <w:t>fluxapyroxad</w:t>
            </w:r>
          </w:p>
        </w:tc>
        <w:tc>
          <w:tcPr>
            <w:tcW w:w="1000" w:type="pct"/>
            <w:shd w:val="clear" w:color="auto" w:fill="auto"/>
          </w:tcPr>
          <w:p w14:paraId="1279595E" w14:textId="77777777" w:rsidR="00E51CDD" w:rsidRPr="00E51CDD" w:rsidRDefault="00E51CDD" w:rsidP="00E51CDD">
            <w:pPr>
              <w:widowControl w:val="0"/>
              <w:rPr>
                <w:noProof/>
                <w:sz w:val="20"/>
                <w:lang w:val="en-GB"/>
              </w:rPr>
            </w:pPr>
            <w:r w:rsidRPr="00E51CDD">
              <w:rPr>
                <w:noProof/>
                <w:sz w:val="20"/>
                <w:lang w:val="en-GB"/>
              </w:rPr>
              <w:t>28 d, aerobic</w:t>
            </w:r>
            <w:r w:rsidRPr="00E51CDD">
              <w:rPr>
                <w:noProof/>
                <w:sz w:val="20"/>
                <w:lang w:val="en-GB"/>
              </w:rPr>
              <w:br/>
              <w:t>loamy sand soil</w:t>
            </w:r>
          </w:p>
        </w:tc>
        <w:tc>
          <w:tcPr>
            <w:tcW w:w="1000" w:type="pct"/>
            <w:shd w:val="clear" w:color="auto" w:fill="auto"/>
          </w:tcPr>
          <w:p w14:paraId="54661F99" w14:textId="77777777" w:rsidR="00E51CDD" w:rsidRPr="00E51CDD" w:rsidRDefault="00E51CDD" w:rsidP="00E51CDD">
            <w:pPr>
              <w:widowControl w:val="0"/>
              <w:rPr>
                <w:noProof/>
                <w:sz w:val="20"/>
                <w:lang w:val="en-GB"/>
              </w:rPr>
            </w:pPr>
            <w:r w:rsidRPr="00E51CDD">
              <w:rPr>
                <w:noProof/>
                <w:sz w:val="20"/>
                <w:lang w:val="en-GB"/>
              </w:rPr>
              <w:t>CO</w:t>
            </w:r>
            <w:r w:rsidRPr="00E51CDD">
              <w:rPr>
                <w:noProof/>
                <w:sz w:val="20"/>
                <w:vertAlign w:val="subscript"/>
                <w:lang w:val="en-GB"/>
              </w:rPr>
              <w:t>2</w:t>
            </w:r>
            <w:r w:rsidRPr="00E51CDD">
              <w:rPr>
                <w:noProof/>
                <w:sz w:val="20"/>
                <w:lang w:val="en-GB"/>
              </w:rPr>
              <w:t xml:space="preserve"> formation</w:t>
            </w:r>
            <w:r w:rsidRPr="00E51CDD">
              <w:rPr>
                <w:noProof/>
                <w:sz w:val="20"/>
                <w:lang w:val="en-GB"/>
              </w:rPr>
              <w:br/>
              <w:t>2.01 mg/kg dry soil</w:t>
            </w:r>
            <w:r w:rsidRPr="00E51CDD">
              <w:rPr>
                <w:noProof/>
                <w:sz w:val="20"/>
                <w:lang w:val="en-GB"/>
              </w:rPr>
              <w:br/>
              <w:t>-4.2%</w:t>
            </w:r>
          </w:p>
        </w:tc>
        <w:tc>
          <w:tcPr>
            <w:tcW w:w="1000" w:type="pct"/>
            <w:shd w:val="clear" w:color="auto" w:fill="auto"/>
          </w:tcPr>
          <w:p w14:paraId="6CD7101D" w14:textId="77777777" w:rsidR="00E51CDD" w:rsidRPr="00E51CDD" w:rsidRDefault="00E51CDD" w:rsidP="00E51CDD">
            <w:pPr>
              <w:widowControl w:val="0"/>
              <w:rPr>
                <w:noProof/>
                <w:sz w:val="20"/>
                <w:lang w:val="en-GB"/>
              </w:rPr>
            </w:pPr>
            <w:r w:rsidRPr="00E51CDD">
              <w:rPr>
                <w:bCs/>
                <w:iCs/>
                <w:noProof/>
                <w:sz w:val="20"/>
                <w:lang w:eastAsia="en-US"/>
              </w:rPr>
              <w:t>EFSA Journal 2012; 10(1):2522</w:t>
            </w:r>
            <w:r w:rsidRPr="00E51CDD">
              <w:rPr>
                <w:bCs/>
                <w:iCs/>
                <w:noProof/>
                <w:sz w:val="20"/>
                <w:lang w:eastAsia="en-US"/>
              </w:rPr>
              <w:br/>
            </w:r>
            <w:r w:rsidRPr="00E51CDD">
              <w:rPr>
                <w:noProof/>
                <w:sz w:val="20"/>
                <w:lang w:val="en-GB"/>
              </w:rPr>
              <w:t>2008/1065107</w:t>
            </w:r>
          </w:p>
        </w:tc>
      </w:tr>
      <w:tr w:rsidR="00E51CDD" w:rsidRPr="00E51CDD" w14:paraId="7F3F383B" w14:textId="77777777" w:rsidTr="009938D9">
        <w:tc>
          <w:tcPr>
            <w:tcW w:w="1000" w:type="pct"/>
            <w:vMerge/>
            <w:shd w:val="clear" w:color="auto" w:fill="auto"/>
          </w:tcPr>
          <w:p w14:paraId="2CD8E783" w14:textId="77777777" w:rsidR="00E51CDD" w:rsidRPr="00E51CDD" w:rsidRDefault="00E51CDD" w:rsidP="00E51CDD">
            <w:pPr>
              <w:widowControl w:val="0"/>
              <w:rPr>
                <w:noProof/>
                <w:sz w:val="20"/>
                <w:lang w:val="en-GB"/>
              </w:rPr>
            </w:pPr>
          </w:p>
        </w:tc>
        <w:tc>
          <w:tcPr>
            <w:tcW w:w="1000" w:type="pct"/>
            <w:shd w:val="clear" w:color="auto" w:fill="auto"/>
          </w:tcPr>
          <w:p w14:paraId="18365EDD" w14:textId="77777777" w:rsidR="00E51CDD" w:rsidRPr="00E51CDD" w:rsidRDefault="00E51CDD" w:rsidP="00E51CDD">
            <w:pPr>
              <w:widowControl w:val="0"/>
              <w:rPr>
                <w:noProof/>
                <w:sz w:val="20"/>
                <w:lang w:val="en-GB"/>
              </w:rPr>
            </w:pPr>
            <w:r w:rsidRPr="00E51CDD">
              <w:rPr>
                <w:noProof/>
                <w:sz w:val="20"/>
                <w:lang w:val="en-GB"/>
              </w:rPr>
              <w:t>Metabolite, Reg. No. 5 069 089</w:t>
            </w:r>
            <w:r w:rsidRPr="00E51CDD">
              <w:rPr>
                <w:noProof/>
                <w:sz w:val="20"/>
                <w:lang w:val="en-GB"/>
              </w:rPr>
              <w:br/>
            </w:r>
            <w:r w:rsidRPr="00E51CDD">
              <w:rPr>
                <w:noProof/>
                <w:sz w:val="20"/>
              </w:rPr>
              <w:t>M700F001</w:t>
            </w:r>
          </w:p>
        </w:tc>
        <w:tc>
          <w:tcPr>
            <w:tcW w:w="1000" w:type="pct"/>
            <w:shd w:val="clear" w:color="auto" w:fill="auto"/>
          </w:tcPr>
          <w:p w14:paraId="78E208B1" w14:textId="77777777" w:rsidR="00E51CDD" w:rsidRPr="00E51CDD" w:rsidRDefault="00E51CDD" w:rsidP="00E51CDD">
            <w:pPr>
              <w:widowControl w:val="0"/>
              <w:rPr>
                <w:noProof/>
                <w:sz w:val="20"/>
                <w:lang w:val="en-GB"/>
              </w:rPr>
            </w:pPr>
            <w:r w:rsidRPr="00E51CDD">
              <w:rPr>
                <w:noProof/>
                <w:sz w:val="20"/>
                <w:lang w:val="en-GB"/>
              </w:rPr>
              <w:t>28 d, aerobic</w:t>
            </w:r>
            <w:r w:rsidRPr="00E51CDD">
              <w:rPr>
                <w:noProof/>
                <w:sz w:val="20"/>
                <w:lang w:val="en-GB"/>
              </w:rPr>
              <w:br/>
              <w:t>loamy sand soil</w:t>
            </w:r>
          </w:p>
        </w:tc>
        <w:tc>
          <w:tcPr>
            <w:tcW w:w="1000" w:type="pct"/>
            <w:shd w:val="clear" w:color="auto" w:fill="auto"/>
          </w:tcPr>
          <w:p w14:paraId="1274684A" w14:textId="77777777" w:rsidR="00E51CDD" w:rsidRPr="00E51CDD" w:rsidRDefault="00E51CDD" w:rsidP="00E51CDD">
            <w:pPr>
              <w:widowControl w:val="0"/>
              <w:rPr>
                <w:noProof/>
                <w:sz w:val="20"/>
                <w:lang w:val="en-GB"/>
              </w:rPr>
            </w:pPr>
            <w:r w:rsidRPr="00E51CDD">
              <w:rPr>
                <w:noProof/>
                <w:sz w:val="20"/>
                <w:lang w:val="en-GB"/>
              </w:rPr>
              <w:t>CO</w:t>
            </w:r>
            <w:r w:rsidRPr="00E51CDD">
              <w:rPr>
                <w:noProof/>
                <w:sz w:val="20"/>
                <w:vertAlign w:val="subscript"/>
                <w:lang w:val="en-GB"/>
              </w:rPr>
              <w:t>2</w:t>
            </w:r>
            <w:r w:rsidRPr="00E51CDD">
              <w:rPr>
                <w:noProof/>
                <w:sz w:val="20"/>
                <w:lang w:val="en-GB"/>
              </w:rPr>
              <w:t xml:space="preserve"> formation</w:t>
            </w:r>
            <w:r w:rsidRPr="00E51CDD">
              <w:rPr>
                <w:noProof/>
                <w:sz w:val="20"/>
                <w:lang w:val="en-GB"/>
              </w:rPr>
              <w:br/>
              <w:t>0.37 mg/kg dry soil</w:t>
            </w:r>
            <w:r w:rsidRPr="00E51CDD">
              <w:rPr>
                <w:noProof/>
                <w:sz w:val="20"/>
                <w:lang w:val="en-GB"/>
              </w:rPr>
              <w:br/>
              <w:t>-1.9%</w:t>
            </w:r>
          </w:p>
        </w:tc>
        <w:tc>
          <w:tcPr>
            <w:tcW w:w="1000" w:type="pct"/>
            <w:shd w:val="clear" w:color="auto" w:fill="auto"/>
          </w:tcPr>
          <w:p w14:paraId="16D18746" w14:textId="77777777" w:rsidR="00E51CDD" w:rsidRPr="00E51CDD" w:rsidRDefault="00E51CDD" w:rsidP="00E51CDD">
            <w:pPr>
              <w:widowControl w:val="0"/>
              <w:rPr>
                <w:noProof/>
                <w:sz w:val="20"/>
                <w:lang w:val="en-GB"/>
              </w:rPr>
            </w:pPr>
            <w:r w:rsidRPr="00E51CDD">
              <w:rPr>
                <w:bCs/>
                <w:iCs/>
                <w:noProof/>
                <w:sz w:val="20"/>
                <w:lang w:eastAsia="en-US"/>
              </w:rPr>
              <w:t>EFSA Journal 2012; 10(1):2522</w:t>
            </w:r>
            <w:r w:rsidRPr="00E51CDD">
              <w:rPr>
                <w:bCs/>
                <w:iCs/>
                <w:noProof/>
                <w:sz w:val="20"/>
                <w:lang w:eastAsia="en-US"/>
              </w:rPr>
              <w:br/>
            </w:r>
            <w:r w:rsidRPr="00E51CDD">
              <w:rPr>
                <w:noProof/>
                <w:sz w:val="20"/>
                <w:lang w:val="en-GB"/>
              </w:rPr>
              <w:t>2008/1065120</w:t>
            </w:r>
          </w:p>
        </w:tc>
      </w:tr>
      <w:tr w:rsidR="00E51CDD" w:rsidRPr="00E51CDD" w14:paraId="70DC71B3" w14:textId="77777777" w:rsidTr="009938D9">
        <w:tc>
          <w:tcPr>
            <w:tcW w:w="1000" w:type="pct"/>
            <w:vMerge/>
            <w:shd w:val="clear" w:color="auto" w:fill="auto"/>
          </w:tcPr>
          <w:p w14:paraId="375D2B4A" w14:textId="77777777" w:rsidR="00E51CDD" w:rsidRPr="00E51CDD" w:rsidRDefault="00E51CDD" w:rsidP="00E51CDD">
            <w:pPr>
              <w:widowControl w:val="0"/>
              <w:rPr>
                <w:noProof/>
                <w:sz w:val="20"/>
                <w:lang w:val="en-GB"/>
              </w:rPr>
            </w:pPr>
          </w:p>
        </w:tc>
        <w:tc>
          <w:tcPr>
            <w:tcW w:w="1000" w:type="pct"/>
            <w:shd w:val="clear" w:color="auto" w:fill="auto"/>
          </w:tcPr>
          <w:p w14:paraId="0C529977" w14:textId="77777777" w:rsidR="00E51CDD" w:rsidRPr="00E51CDD" w:rsidRDefault="00E51CDD" w:rsidP="00E51CDD">
            <w:pPr>
              <w:widowControl w:val="0"/>
              <w:rPr>
                <w:noProof/>
                <w:sz w:val="20"/>
                <w:lang w:val="en-GB"/>
              </w:rPr>
            </w:pPr>
            <w:r w:rsidRPr="00E51CDD">
              <w:rPr>
                <w:noProof/>
                <w:sz w:val="20"/>
                <w:lang w:val="en-GB"/>
              </w:rPr>
              <w:t>Metabolite, Reg. No. 5 435 595</w:t>
            </w:r>
            <w:r w:rsidRPr="00E51CDD">
              <w:rPr>
                <w:noProof/>
                <w:sz w:val="20"/>
                <w:lang w:val="en-GB"/>
              </w:rPr>
              <w:br/>
            </w:r>
            <w:r w:rsidRPr="00E51CDD">
              <w:rPr>
                <w:noProof/>
                <w:sz w:val="20"/>
              </w:rPr>
              <w:t>M700F002</w:t>
            </w:r>
          </w:p>
        </w:tc>
        <w:tc>
          <w:tcPr>
            <w:tcW w:w="1000" w:type="pct"/>
            <w:shd w:val="clear" w:color="auto" w:fill="auto"/>
          </w:tcPr>
          <w:p w14:paraId="57D62D11" w14:textId="77777777" w:rsidR="00E51CDD" w:rsidRPr="00E51CDD" w:rsidRDefault="00E51CDD" w:rsidP="00E51CDD">
            <w:pPr>
              <w:widowControl w:val="0"/>
              <w:rPr>
                <w:noProof/>
                <w:sz w:val="20"/>
                <w:lang w:val="en-GB"/>
              </w:rPr>
            </w:pPr>
            <w:r w:rsidRPr="00E51CDD">
              <w:rPr>
                <w:noProof/>
                <w:sz w:val="20"/>
                <w:lang w:val="en-GB"/>
              </w:rPr>
              <w:t>28 d, aerobic</w:t>
            </w:r>
            <w:r w:rsidRPr="00E51CDD">
              <w:rPr>
                <w:noProof/>
                <w:sz w:val="20"/>
                <w:lang w:val="en-GB"/>
              </w:rPr>
              <w:br/>
              <w:t>loamy sand soil</w:t>
            </w:r>
          </w:p>
        </w:tc>
        <w:tc>
          <w:tcPr>
            <w:tcW w:w="1000" w:type="pct"/>
            <w:shd w:val="clear" w:color="auto" w:fill="auto"/>
          </w:tcPr>
          <w:p w14:paraId="4E8BBFEA" w14:textId="77777777" w:rsidR="00E51CDD" w:rsidRPr="00E51CDD" w:rsidRDefault="00E51CDD" w:rsidP="00E51CDD">
            <w:pPr>
              <w:widowControl w:val="0"/>
              <w:rPr>
                <w:noProof/>
                <w:sz w:val="20"/>
                <w:lang w:val="en-GB"/>
              </w:rPr>
            </w:pPr>
            <w:r w:rsidRPr="00E51CDD">
              <w:rPr>
                <w:noProof/>
                <w:sz w:val="20"/>
                <w:lang w:val="en-GB"/>
              </w:rPr>
              <w:t>CO</w:t>
            </w:r>
            <w:r w:rsidRPr="00E51CDD">
              <w:rPr>
                <w:noProof/>
                <w:sz w:val="20"/>
                <w:vertAlign w:val="subscript"/>
                <w:lang w:val="en-GB"/>
              </w:rPr>
              <w:t>2</w:t>
            </w:r>
            <w:r w:rsidRPr="00E51CDD">
              <w:rPr>
                <w:noProof/>
                <w:sz w:val="20"/>
                <w:lang w:val="en-GB"/>
              </w:rPr>
              <w:t xml:space="preserve"> formation</w:t>
            </w:r>
            <w:r w:rsidRPr="00E51CDD">
              <w:rPr>
                <w:noProof/>
                <w:sz w:val="20"/>
                <w:lang w:val="en-GB"/>
              </w:rPr>
              <w:br/>
              <w:t>1.0 mg/kg dry soil</w:t>
            </w:r>
            <w:r w:rsidRPr="00E51CDD">
              <w:rPr>
                <w:noProof/>
                <w:sz w:val="20"/>
                <w:lang w:val="en-GB"/>
              </w:rPr>
              <w:br/>
              <w:t>-1.6%</w:t>
            </w:r>
          </w:p>
        </w:tc>
        <w:tc>
          <w:tcPr>
            <w:tcW w:w="1000" w:type="pct"/>
            <w:shd w:val="clear" w:color="auto" w:fill="auto"/>
          </w:tcPr>
          <w:p w14:paraId="624E4C92" w14:textId="77777777" w:rsidR="00E51CDD" w:rsidRPr="00E51CDD" w:rsidRDefault="00E51CDD" w:rsidP="00E51CDD">
            <w:pPr>
              <w:widowControl w:val="0"/>
              <w:rPr>
                <w:noProof/>
                <w:sz w:val="20"/>
                <w:lang w:val="en-GB"/>
              </w:rPr>
            </w:pPr>
            <w:r w:rsidRPr="00E51CDD">
              <w:rPr>
                <w:bCs/>
                <w:iCs/>
                <w:noProof/>
                <w:sz w:val="20"/>
                <w:lang w:eastAsia="en-US"/>
              </w:rPr>
              <w:t>EFSA Journal 2012; 10(1):2522</w:t>
            </w:r>
            <w:r w:rsidRPr="00E51CDD">
              <w:rPr>
                <w:bCs/>
                <w:iCs/>
                <w:noProof/>
                <w:sz w:val="20"/>
                <w:lang w:eastAsia="en-US"/>
              </w:rPr>
              <w:br/>
            </w:r>
            <w:r w:rsidRPr="00E51CDD">
              <w:rPr>
                <w:noProof/>
                <w:sz w:val="20"/>
                <w:lang w:val="en-GB"/>
              </w:rPr>
              <w:t>2009/1004144</w:t>
            </w:r>
          </w:p>
        </w:tc>
      </w:tr>
    </w:tbl>
    <w:p w14:paraId="5402D91C" w14:textId="77777777" w:rsidR="00E51CDD" w:rsidRPr="00E51CDD" w:rsidRDefault="00E51CDD" w:rsidP="00E51CDD">
      <w:pPr>
        <w:widowControl w:val="0"/>
        <w:jc w:val="both"/>
        <w:rPr>
          <w:sz w:val="18"/>
          <w:szCs w:val="18"/>
          <w:lang w:val="en-GB"/>
        </w:rPr>
      </w:pPr>
      <w:r w:rsidRPr="00E51CDD">
        <w:rPr>
          <w:sz w:val="18"/>
          <w:szCs w:val="18"/>
          <w:lang w:val="en-GB"/>
        </w:rPr>
        <w:t>+ = stimulation, - = inhibition</w:t>
      </w:r>
    </w:p>
    <w:p w14:paraId="0C4FF565" w14:textId="77777777" w:rsidR="00E51CDD" w:rsidRPr="00E51CDD" w:rsidRDefault="00E51CDD" w:rsidP="00E51CDD">
      <w:pPr>
        <w:widowControl w:val="0"/>
        <w:tabs>
          <w:tab w:val="left" w:pos="284"/>
        </w:tabs>
        <w:ind w:left="284" w:hanging="284"/>
        <w:jc w:val="both"/>
        <w:rPr>
          <w:sz w:val="18"/>
          <w:szCs w:val="18"/>
          <w:lang w:val="en-GB"/>
        </w:rPr>
      </w:pPr>
      <w:r w:rsidRPr="00E51CDD">
        <w:rPr>
          <w:vertAlign w:val="superscript"/>
          <w:lang w:val="en-GB"/>
        </w:rPr>
        <w:t>1)</w:t>
      </w:r>
      <w:r w:rsidRPr="00E51CDD">
        <w:rPr>
          <w:vertAlign w:val="superscript"/>
          <w:lang w:val="en-GB"/>
        </w:rPr>
        <w:tab/>
      </w:r>
      <w:r w:rsidRPr="00E51CDD">
        <w:rPr>
          <w:sz w:val="18"/>
          <w:szCs w:val="18"/>
          <w:lang w:val="en-GB"/>
        </w:rPr>
        <w:t>Carbon transformation studies are listed for reference only but are not used in the risk assessment according to Commission Regulation (EU) No 283/2013.</w:t>
      </w:r>
    </w:p>
    <w:p w14:paraId="7285DE95" w14:textId="77777777" w:rsidR="00E51CDD" w:rsidRPr="00E51CDD" w:rsidRDefault="00E51CDD" w:rsidP="00E51CDD">
      <w:pPr>
        <w:widowControl w:val="0"/>
        <w:tabs>
          <w:tab w:val="left" w:pos="1985"/>
        </w:tabs>
        <w:spacing w:before="40"/>
        <w:ind w:left="1985" w:hanging="1985"/>
        <w:rPr>
          <w:bCs/>
          <w:sz w:val="20"/>
          <w:szCs w:val="20"/>
          <w:lang w:val="en-GB"/>
        </w:rPr>
      </w:pPr>
      <w:r w:rsidRPr="00E51CDD">
        <w:rPr>
          <w:bCs/>
          <w:sz w:val="20"/>
          <w:szCs w:val="20"/>
          <w:lang w:val="en-GB"/>
        </w:rPr>
        <w:br w:type="page"/>
      </w:r>
    </w:p>
    <w:p w14:paraId="14B8F17E" w14:textId="602307BB" w:rsidR="00E51CDD" w:rsidRPr="00E51CDD" w:rsidRDefault="00E51CDD" w:rsidP="00E51CDD">
      <w:pPr>
        <w:ind w:left="1985" w:hanging="1985"/>
        <w:rPr>
          <w:b/>
          <w:bCs/>
        </w:rPr>
      </w:pPr>
      <w:bookmarkStart w:id="893" w:name="_Ref83042852"/>
      <w:r w:rsidRPr="00E51CDD">
        <w:rPr>
          <w:b/>
          <w:bCs/>
        </w:rPr>
        <w:lastRenderedPageBreak/>
        <w:t xml:space="preserve">Table </w:t>
      </w:r>
      <w:r w:rsidRPr="00E51CDD">
        <w:rPr>
          <w:b/>
          <w:bCs/>
        </w:rPr>
        <w:fldChar w:fldCharType="begin"/>
      </w:r>
      <w:r w:rsidRPr="00E51CDD">
        <w:rPr>
          <w:b/>
          <w:bCs/>
        </w:rPr>
        <w:instrText xml:space="preserve"> STYLEREF 2 \s </w:instrText>
      </w:r>
      <w:r w:rsidRPr="00E51CDD">
        <w:rPr>
          <w:b/>
          <w:bCs/>
        </w:rPr>
        <w:fldChar w:fldCharType="separate"/>
      </w:r>
      <w:r w:rsidR="00662F32">
        <w:rPr>
          <w:b/>
          <w:bCs/>
          <w:noProof/>
        </w:rPr>
        <w:t>9.9</w:t>
      </w:r>
      <w:r w:rsidRPr="00E51CDD">
        <w:rPr>
          <w:b/>
          <w:bCs/>
        </w:rPr>
        <w:fldChar w:fldCharType="end"/>
      </w:r>
      <w:r w:rsidRPr="00E51CDD">
        <w:rPr>
          <w:b/>
          <w:bCs/>
        </w:rPr>
        <w:noBreakHyphen/>
      </w:r>
      <w:r w:rsidRPr="00E51CDD">
        <w:rPr>
          <w:b/>
          <w:bCs/>
        </w:rPr>
        <w:fldChar w:fldCharType="begin"/>
      </w:r>
      <w:r w:rsidRPr="00E51CDD">
        <w:rPr>
          <w:b/>
          <w:bCs/>
        </w:rPr>
        <w:instrText xml:space="preserve"> SEQ Table \* ARABIC \s 2 </w:instrText>
      </w:r>
      <w:r w:rsidRPr="00E51CDD">
        <w:rPr>
          <w:b/>
          <w:bCs/>
        </w:rPr>
        <w:fldChar w:fldCharType="separate"/>
      </w:r>
      <w:r w:rsidR="00662F32">
        <w:rPr>
          <w:b/>
          <w:bCs/>
          <w:noProof/>
        </w:rPr>
        <w:t>2</w:t>
      </w:r>
      <w:r w:rsidRPr="00E51CDD">
        <w:rPr>
          <w:b/>
          <w:bCs/>
        </w:rPr>
        <w:fldChar w:fldCharType="end"/>
      </w:r>
      <w:bookmarkEnd w:id="893"/>
      <w:r w:rsidRPr="00E51CDD">
        <w:rPr>
          <w:b/>
          <w:bCs/>
        </w:rPr>
        <w:t>:</w:t>
      </w:r>
      <w:r w:rsidRPr="00E51CDD">
        <w:rPr>
          <w:b/>
          <w:bCs/>
        </w:rPr>
        <w:tab/>
        <w:t>Endpoints and effect values of azoxystrobin and relevant metabolites relevant for the risk assessment for soil microorganisms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69"/>
        <w:gridCol w:w="1869"/>
        <w:gridCol w:w="1869"/>
      </w:tblGrid>
      <w:tr w:rsidR="00E51CDD" w:rsidRPr="00E51CDD" w14:paraId="544CFAF8" w14:textId="77777777" w:rsidTr="009938D9">
        <w:trPr>
          <w:tblHeader/>
        </w:trPr>
        <w:tc>
          <w:tcPr>
            <w:tcW w:w="1000" w:type="pct"/>
            <w:shd w:val="clear" w:color="auto" w:fill="auto"/>
          </w:tcPr>
          <w:p w14:paraId="16152FE4" w14:textId="77777777" w:rsidR="00E51CDD" w:rsidRPr="00E51CDD" w:rsidRDefault="00E51CDD" w:rsidP="00E51CDD">
            <w:pPr>
              <w:widowControl w:val="0"/>
              <w:spacing w:before="60" w:after="60"/>
              <w:rPr>
                <w:b/>
                <w:sz w:val="20"/>
                <w:szCs w:val="20"/>
                <w:lang w:val="en-GB"/>
              </w:rPr>
            </w:pPr>
            <w:r w:rsidRPr="00E51CDD">
              <w:rPr>
                <w:b/>
                <w:sz w:val="20"/>
                <w:szCs w:val="20"/>
                <w:lang w:val="en-GB"/>
              </w:rPr>
              <w:t>Endpoint</w:t>
            </w:r>
          </w:p>
        </w:tc>
        <w:tc>
          <w:tcPr>
            <w:tcW w:w="1000" w:type="pct"/>
            <w:shd w:val="clear" w:color="auto" w:fill="auto"/>
          </w:tcPr>
          <w:p w14:paraId="45DAEB62" w14:textId="77777777" w:rsidR="00E51CDD" w:rsidRPr="00E51CDD" w:rsidRDefault="00E51CDD" w:rsidP="00E51CDD">
            <w:pPr>
              <w:widowControl w:val="0"/>
              <w:spacing w:before="60" w:after="60"/>
              <w:rPr>
                <w:b/>
                <w:sz w:val="20"/>
                <w:szCs w:val="20"/>
                <w:lang w:val="en-GB"/>
              </w:rPr>
            </w:pPr>
            <w:r w:rsidRPr="00E51CDD">
              <w:rPr>
                <w:b/>
                <w:sz w:val="20"/>
                <w:szCs w:val="20"/>
                <w:lang w:val="en-GB"/>
              </w:rPr>
              <w:t>Substance</w:t>
            </w:r>
          </w:p>
        </w:tc>
        <w:tc>
          <w:tcPr>
            <w:tcW w:w="1000" w:type="pct"/>
            <w:shd w:val="clear" w:color="auto" w:fill="auto"/>
          </w:tcPr>
          <w:p w14:paraId="7A84F939" w14:textId="77777777" w:rsidR="00E51CDD" w:rsidRPr="00E51CDD" w:rsidRDefault="00E51CDD" w:rsidP="00E51CDD">
            <w:pPr>
              <w:widowControl w:val="0"/>
              <w:spacing w:before="60" w:after="60"/>
              <w:rPr>
                <w:b/>
                <w:sz w:val="20"/>
                <w:szCs w:val="20"/>
                <w:lang w:val="en-GB"/>
              </w:rPr>
            </w:pPr>
            <w:r w:rsidRPr="00E51CDD">
              <w:rPr>
                <w:b/>
                <w:sz w:val="20"/>
                <w:szCs w:val="20"/>
                <w:lang w:val="en-GB"/>
              </w:rPr>
              <w:t>Exposure System</w:t>
            </w:r>
          </w:p>
        </w:tc>
        <w:tc>
          <w:tcPr>
            <w:tcW w:w="1000" w:type="pct"/>
            <w:shd w:val="clear" w:color="auto" w:fill="auto"/>
          </w:tcPr>
          <w:p w14:paraId="5A59EBC1" w14:textId="77777777" w:rsidR="00E51CDD" w:rsidRPr="00E51CDD" w:rsidRDefault="00E51CDD" w:rsidP="00E51CDD">
            <w:pPr>
              <w:widowControl w:val="0"/>
              <w:spacing w:before="60" w:after="60"/>
              <w:rPr>
                <w:b/>
                <w:sz w:val="20"/>
                <w:szCs w:val="20"/>
                <w:lang w:val="en-GB"/>
              </w:rPr>
            </w:pPr>
            <w:r w:rsidRPr="00E51CDD">
              <w:rPr>
                <w:b/>
                <w:sz w:val="20"/>
                <w:szCs w:val="20"/>
                <w:lang w:val="en-GB"/>
              </w:rPr>
              <w:t>Results</w:t>
            </w:r>
          </w:p>
        </w:tc>
        <w:tc>
          <w:tcPr>
            <w:tcW w:w="1000" w:type="pct"/>
            <w:shd w:val="clear" w:color="auto" w:fill="auto"/>
          </w:tcPr>
          <w:p w14:paraId="46B62241" w14:textId="77777777" w:rsidR="00E51CDD" w:rsidRPr="00E51CDD" w:rsidRDefault="00E51CDD" w:rsidP="00E51CDD">
            <w:pPr>
              <w:widowControl w:val="0"/>
              <w:spacing w:before="60" w:after="60"/>
              <w:rPr>
                <w:b/>
                <w:sz w:val="20"/>
                <w:szCs w:val="20"/>
                <w:lang w:val="en-GB"/>
              </w:rPr>
            </w:pPr>
            <w:r w:rsidRPr="00E51CDD">
              <w:rPr>
                <w:b/>
                <w:sz w:val="20"/>
                <w:szCs w:val="20"/>
                <w:lang w:val="en-GB"/>
              </w:rPr>
              <w:t>Reference</w:t>
            </w:r>
          </w:p>
        </w:tc>
      </w:tr>
      <w:tr w:rsidR="00E51CDD" w:rsidRPr="00E51CDD" w14:paraId="54C029DA" w14:textId="77777777" w:rsidTr="009938D9">
        <w:tc>
          <w:tcPr>
            <w:tcW w:w="1000" w:type="pct"/>
            <w:vMerge w:val="restart"/>
            <w:shd w:val="clear" w:color="auto" w:fill="auto"/>
          </w:tcPr>
          <w:p w14:paraId="2844D064" w14:textId="77777777" w:rsidR="00E51CDD" w:rsidRPr="00E51CDD" w:rsidRDefault="00E51CDD" w:rsidP="00E51CDD">
            <w:pPr>
              <w:widowControl w:val="0"/>
              <w:rPr>
                <w:noProof/>
                <w:sz w:val="20"/>
                <w:szCs w:val="20"/>
                <w:lang w:val="en-GB"/>
              </w:rPr>
            </w:pPr>
            <w:r w:rsidRPr="00E51CDD">
              <w:rPr>
                <w:noProof/>
                <w:sz w:val="20"/>
                <w:szCs w:val="20"/>
                <w:lang w:val="en-GB"/>
              </w:rPr>
              <w:t>N-mineralization</w:t>
            </w:r>
          </w:p>
        </w:tc>
        <w:tc>
          <w:tcPr>
            <w:tcW w:w="1000" w:type="pct"/>
            <w:shd w:val="clear" w:color="auto" w:fill="auto"/>
          </w:tcPr>
          <w:p w14:paraId="72FB4D10" w14:textId="77777777" w:rsidR="00E51CDD" w:rsidRPr="00E51CDD" w:rsidRDefault="00E51CDD" w:rsidP="00E51CDD">
            <w:pPr>
              <w:widowControl w:val="0"/>
              <w:rPr>
                <w:sz w:val="20"/>
                <w:szCs w:val="20"/>
              </w:rPr>
            </w:pPr>
            <w:r w:rsidRPr="00E51CDD">
              <w:rPr>
                <w:sz w:val="20"/>
                <w:szCs w:val="20"/>
              </w:rPr>
              <w:t>azoxystrobin</w:t>
            </w:r>
          </w:p>
          <w:p w14:paraId="2DC85C9E" w14:textId="77777777" w:rsidR="00E51CDD" w:rsidRPr="00E51CDD" w:rsidRDefault="00E51CDD" w:rsidP="00E51CDD">
            <w:pPr>
              <w:widowControl w:val="0"/>
              <w:rPr>
                <w:noProof/>
                <w:sz w:val="20"/>
                <w:szCs w:val="20"/>
                <w:lang w:val="en-GB"/>
              </w:rPr>
            </w:pPr>
            <w:r w:rsidRPr="00E51CDD">
              <w:rPr>
                <w:sz w:val="20"/>
                <w:szCs w:val="20"/>
              </w:rPr>
              <w:t>(tested as formulation 250 SC)</w:t>
            </w:r>
          </w:p>
        </w:tc>
        <w:tc>
          <w:tcPr>
            <w:tcW w:w="1000" w:type="pct"/>
            <w:shd w:val="clear" w:color="auto" w:fill="auto"/>
          </w:tcPr>
          <w:p w14:paraId="7A95F256" w14:textId="77777777" w:rsidR="00E51CDD" w:rsidRPr="00E51CDD" w:rsidRDefault="00E51CDD" w:rsidP="00E51CDD">
            <w:pPr>
              <w:widowControl w:val="0"/>
              <w:rPr>
                <w:noProof/>
                <w:sz w:val="20"/>
                <w:szCs w:val="20"/>
                <w:lang w:val="en-GB"/>
              </w:rPr>
            </w:pPr>
            <w:r w:rsidRPr="00E51CDD">
              <w:rPr>
                <w:noProof/>
                <w:sz w:val="20"/>
                <w:szCs w:val="20"/>
                <w:lang w:val="en-GB"/>
              </w:rPr>
              <w:t>28 d, aerobic</w:t>
            </w:r>
            <w:r w:rsidRPr="00E51CDD">
              <w:rPr>
                <w:noProof/>
                <w:sz w:val="20"/>
                <w:szCs w:val="20"/>
                <w:lang w:val="en-GB"/>
              </w:rPr>
              <w:br/>
              <w:t>loamy sand soil</w:t>
            </w:r>
          </w:p>
        </w:tc>
        <w:tc>
          <w:tcPr>
            <w:tcW w:w="1000" w:type="pct"/>
            <w:shd w:val="clear" w:color="auto" w:fill="auto"/>
          </w:tcPr>
          <w:p w14:paraId="657EBE62" w14:textId="6C6D31D5" w:rsidR="00E51CDD" w:rsidRPr="00E51CDD" w:rsidRDefault="00E51CDD" w:rsidP="00E51CDD">
            <w:pPr>
              <w:widowControl w:val="0"/>
              <w:rPr>
                <w:noProof/>
                <w:sz w:val="20"/>
                <w:szCs w:val="20"/>
                <w:lang w:val="en-GB"/>
              </w:rPr>
            </w:pPr>
            <w:r w:rsidRPr="00E51CDD">
              <w:rPr>
                <w:noProof/>
                <w:sz w:val="20"/>
                <w:szCs w:val="20"/>
                <w:lang w:val="en-GB"/>
              </w:rPr>
              <w:t>Nitrate formation rate</w:t>
            </w:r>
            <w:r w:rsidRPr="00E51CDD">
              <w:rPr>
                <w:noProof/>
                <w:sz w:val="20"/>
                <w:szCs w:val="20"/>
                <w:lang w:val="en-GB"/>
              </w:rPr>
              <w:br/>
              <w:t>3.3 mg/</w:t>
            </w:r>
            <w:r w:rsidRPr="00704A25">
              <w:rPr>
                <w:noProof/>
                <w:sz w:val="20"/>
                <w:szCs w:val="20"/>
                <w:lang w:val="en-GB"/>
              </w:rPr>
              <w:t>kg dry soil</w:t>
            </w:r>
            <w:r w:rsidRPr="00704A25">
              <w:rPr>
                <w:noProof/>
                <w:sz w:val="20"/>
                <w:szCs w:val="20"/>
                <w:lang w:val="en-GB"/>
              </w:rPr>
              <w:br/>
              <w:t>&lt; 25%</w:t>
            </w:r>
          </w:p>
        </w:tc>
        <w:tc>
          <w:tcPr>
            <w:tcW w:w="1000" w:type="pct"/>
            <w:shd w:val="clear" w:color="auto" w:fill="auto"/>
          </w:tcPr>
          <w:p w14:paraId="4A5A9A3B" w14:textId="77777777" w:rsidR="00E51CDD" w:rsidRPr="00C77713" w:rsidRDefault="00E51CDD" w:rsidP="00E51CDD">
            <w:pPr>
              <w:keepNext/>
              <w:keepLines/>
              <w:rPr>
                <w:strike/>
                <w:color w:val="D9D9D9" w:themeColor="background1" w:themeShade="D9"/>
                <w:sz w:val="20"/>
                <w:szCs w:val="20"/>
                <w:lang w:val="en-GB"/>
              </w:rPr>
            </w:pPr>
            <w:r w:rsidRPr="00C77713">
              <w:rPr>
                <w:strike/>
                <w:color w:val="D9D9D9" w:themeColor="background1" w:themeShade="D9"/>
                <w:sz w:val="20"/>
                <w:szCs w:val="20"/>
                <w:lang w:val="en-GB"/>
              </w:rPr>
              <w:t xml:space="preserve">EC review report (1998), 7581/VI/97-Final, </w:t>
            </w:r>
          </w:p>
          <w:p w14:paraId="56DABA24" w14:textId="77777777" w:rsidR="00FB10B3" w:rsidRPr="002262EA" w:rsidRDefault="00FB10B3" w:rsidP="00FB10B3">
            <w:pPr>
              <w:widowControl w:val="0"/>
              <w:shd w:val="clear" w:color="auto" w:fill="D9D9D9" w:themeFill="background1" w:themeFillShade="D9"/>
              <w:rPr>
                <w:bCs/>
                <w:iCs/>
                <w:noProof/>
                <w:sz w:val="20"/>
                <w:szCs w:val="20"/>
                <w:lang w:val="fr-BE" w:eastAsia="en-US"/>
              </w:rPr>
            </w:pPr>
            <w:r w:rsidRPr="002262EA">
              <w:rPr>
                <w:bCs/>
                <w:iCs/>
                <w:noProof/>
                <w:sz w:val="20"/>
                <w:szCs w:val="20"/>
                <w:lang w:val="fr-BE" w:eastAsia="en-US"/>
              </w:rPr>
              <w:t>EFSA Journal 2010; 8(4):1542,</w:t>
            </w:r>
          </w:p>
          <w:p w14:paraId="10DBA11A" w14:textId="77777777" w:rsidR="00E51CDD" w:rsidRPr="00E51CDD" w:rsidRDefault="00E51CDD" w:rsidP="00E51CDD">
            <w:pPr>
              <w:widowControl w:val="0"/>
              <w:rPr>
                <w:noProof/>
                <w:sz w:val="20"/>
                <w:szCs w:val="20"/>
                <w:lang w:val="en-GB"/>
              </w:rPr>
            </w:pPr>
            <w:r w:rsidRPr="00E51CDD">
              <w:rPr>
                <w:sz w:val="20"/>
                <w:szCs w:val="20"/>
                <w:lang w:val="en-GB" w:eastAsia="en-GB"/>
              </w:rPr>
              <w:t>Tarry, A.R., Prevett, A., Mason, G., 1994, ICI5504/0960</w:t>
            </w:r>
          </w:p>
        </w:tc>
      </w:tr>
      <w:tr w:rsidR="00E51CDD" w:rsidRPr="002262EA" w14:paraId="5B6052AE" w14:textId="77777777" w:rsidTr="009938D9">
        <w:tc>
          <w:tcPr>
            <w:tcW w:w="1000" w:type="pct"/>
            <w:vMerge/>
            <w:shd w:val="clear" w:color="auto" w:fill="auto"/>
          </w:tcPr>
          <w:p w14:paraId="6B126E01" w14:textId="77777777" w:rsidR="00E51CDD" w:rsidRPr="00E51CDD" w:rsidRDefault="00E51CDD" w:rsidP="00E51CDD">
            <w:pPr>
              <w:widowControl w:val="0"/>
              <w:rPr>
                <w:noProof/>
                <w:sz w:val="20"/>
                <w:szCs w:val="20"/>
                <w:lang w:val="en-GB"/>
              </w:rPr>
            </w:pPr>
          </w:p>
        </w:tc>
        <w:tc>
          <w:tcPr>
            <w:tcW w:w="1000" w:type="pct"/>
            <w:shd w:val="clear" w:color="auto" w:fill="auto"/>
          </w:tcPr>
          <w:p w14:paraId="3D130616" w14:textId="77777777" w:rsidR="00E51CDD" w:rsidRPr="00E51CDD" w:rsidRDefault="00E51CDD" w:rsidP="00E51CDD">
            <w:pPr>
              <w:widowControl w:val="0"/>
              <w:rPr>
                <w:sz w:val="20"/>
                <w:szCs w:val="20"/>
              </w:rPr>
            </w:pPr>
            <w:r w:rsidRPr="00E51CDD">
              <w:rPr>
                <w:sz w:val="20"/>
                <w:szCs w:val="20"/>
              </w:rPr>
              <w:t>Metabolite R234886</w:t>
            </w:r>
          </w:p>
        </w:tc>
        <w:tc>
          <w:tcPr>
            <w:tcW w:w="1000" w:type="pct"/>
            <w:shd w:val="clear" w:color="auto" w:fill="auto"/>
          </w:tcPr>
          <w:p w14:paraId="1DDD5F39" w14:textId="77777777" w:rsidR="00E51CDD" w:rsidRPr="00E51CDD" w:rsidRDefault="00E51CDD" w:rsidP="00E51CDD">
            <w:pPr>
              <w:widowControl w:val="0"/>
              <w:rPr>
                <w:noProof/>
                <w:sz w:val="20"/>
                <w:szCs w:val="20"/>
                <w:lang w:val="en-GB"/>
              </w:rPr>
            </w:pPr>
            <w:r w:rsidRPr="00E51CDD">
              <w:rPr>
                <w:noProof/>
                <w:sz w:val="20"/>
                <w:szCs w:val="20"/>
                <w:lang w:val="en-GB"/>
              </w:rPr>
              <w:t>28 d, aerobic</w:t>
            </w:r>
            <w:r w:rsidRPr="00E51CDD">
              <w:rPr>
                <w:noProof/>
                <w:sz w:val="20"/>
                <w:szCs w:val="20"/>
                <w:lang w:val="en-GB"/>
              </w:rPr>
              <w:br/>
              <w:t>silty sand soil</w:t>
            </w:r>
          </w:p>
        </w:tc>
        <w:tc>
          <w:tcPr>
            <w:tcW w:w="1000" w:type="pct"/>
            <w:shd w:val="clear" w:color="auto" w:fill="auto"/>
          </w:tcPr>
          <w:p w14:paraId="509AD064" w14:textId="77777777" w:rsidR="00E51CDD" w:rsidRPr="00E51CDD" w:rsidRDefault="00E51CDD" w:rsidP="00E51CDD">
            <w:pPr>
              <w:widowControl w:val="0"/>
              <w:rPr>
                <w:noProof/>
                <w:sz w:val="20"/>
                <w:szCs w:val="20"/>
                <w:lang w:val="en-GB"/>
              </w:rPr>
            </w:pPr>
            <w:r w:rsidRPr="00E51CDD">
              <w:rPr>
                <w:noProof/>
                <w:sz w:val="20"/>
                <w:szCs w:val="20"/>
                <w:lang w:val="en-GB"/>
              </w:rPr>
              <w:t>Nitrate formation rate</w:t>
            </w:r>
            <w:r w:rsidRPr="00E51CDD">
              <w:rPr>
                <w:noProof/>
                <w:sz w:val="20"/>
                <w:szCs w:val="20"/>
                <w:lang w:val="en-GB"/>
              </w:rPr>
              <w:br/>
              <w:t>10 mg/kg dry soil</w:t>
            </w:r>
            <w:r w:rsidRPr="00E51CDD">
              <w:rPr>
                <w:noProof/>
                <w:sz w:val="20"/>
                <w:szCs w:val="20"/>
                <w:lang w:val="en-GB"/>
              </w:rPr>
              <w:br/>
              <w:t>-3%</w:t>
            </w:r>
          </w:p>
        </w:tc>
        <w:tc>
          <w:tcPr>
            <w:tcW w:w="1000" w:type="pct"/>
            <w:shd w:val="clear" w:color="auto" w:fill="auto"/>
          </w:tcPr>
          <w:p w14:paraId="5E397F7E" w14:textId="77777777" w:rsidR="00E51CDD" w:rsidRPr="002262EA" w:rsidRDefault="00E51CDD" w:rsidP="00E51CDD">
            <w:pPr>
              <w:widowControl w:val="0"/>
              <w:rPr>
                <w:bCs/>
                <w:iCs/>
                <w:noProof/>
                <w:sz w:val="20"/>
                <w:szCs w:val="20"/>
                <w:lang w:val="fr-BE" w:eastAsia="en-US"/>
              </w:rPr>
            </w:pPr>
            <w:r w:rsidRPr="002262EA">
              <w:rPr>
                <w:bCs/>
                <w:iCs/>
                <w:noProof/>
                <w:sz w:val="20"/>
                <w:szCs w:val="20"/>
                <w:lang w:val="fr-BE" w:eastAsia="en-US"/>
              </w:rPr>
              <w:t>EFSA Journal 2010; 8(4):1542,</w:t>
            </w:r>
          </w:p>
          <w:p w14:paraId="5EDCE594" w14:textId="77777777" w:rsidR="00E51CDD" w:rsidRPr="002262EA" w:rsidRDefault="00E51CDD" w:rsidP="00E51CDD">
            <w:pPr>
              <w:widowControl w:val="0"/>
              <w:rPr>
                <w:bCs/>
                <w:iCs/>
                <w:noProof/>
                <w:sz w:val="20"/>
                <w:szCs w:val="20"/>
                <w:lang w:val="fr-BE" w:eastAsia="en-US"/>
              </w:rPr>
            </w:pPr>
            <w:r w:rsidRPr="002262EA">
              <w:rPr>
                <w:bCs/>
                <w:iCs/>
                <w:noProof/>
                <w:sz w:val="20"/>
                <w:szCs w:val="20"/>
                <w:lang w:val="fr-BE" w:eastAsia="en-US"/>
              </w:rPr>
              <w:t>Lemnitzer, B., 2002, R234886/0002</w:t>
            </w:r>
          </w:p>
        </w:tc>
      </w:tr>
      <w:tr w:rsidR="00E51CDD" w:rsidRPr="00662F32" w14:paraId="341BB85D" w14:textId="77777777" w:rsidTr="009938D9">
        <w:tc>
          <w:tcPr>
            <w:tcW w:w="1000" w:type="pct"/>
            <w:vMerge/>
            <w:shd w:val="clear" w:color="auto" w:fill="auto"/>
          </w:tcPr>
          <w:p w14:paraId="1950B6FA" w14:textId="77777777" w:rsidR="00E51CDD" w:rsidRPr="002262EA" w:rsidRDefault="00E51CDD" w:rsidP="00E51CDD">
            <w:pPr>
              <w:widowControl w:val="0"/>
              <w:rPr>
                <w:noProof/>
                <w:sz w:val="20"/>
                <w:szCs w:val="20"/>
                <w:lang w:val="fr-BE"/>
              </w:rPr>
            </w:pPr>
          </w:p>
        </w:tc>
        <w:tc>
          <w:tcPr>
            <w:tcW w:w="1000" w:type="pct"/>
            <w:shd w:val="clear" w:color="auto" w:fill="auto"/>
          </w:tcPr>
          <w:p w14:paraId="48885F86" w14:textId="77777777" w:rsidR="00E51CDD" w:rsidRPr="00E51CDD" w:rsidRDefault="00E51CDD" w:rsidP="00E51CDD">
            <w:pPr>
              <w:widowControl w:val="0"/>
              <w:rPr>
                <w:noProof/>
                <w:sz w:val="20"/>
                <w:szCs w:val="20"/>
                <w:lang w:val="en-GB"/>
              </w:rPr>
            </w:pPr>
            <w:r w:rsidRPr="00E51CDD">
              <w:rPr>
                <w:sz w:val="20"/>
                <w:szCs w:val="20"/>
              </w:rPr>
              <w:t>Metabolite R401553</w:t>
            </w:r>
          </w:p>
        </w:tc>
        <w:tc>
          <w:tcPr>
            <w:tcW w:w="1000" w:type="pct"/>
            <w:shd w:val="clear" w:color="auto" w:fill="auto"/>
          </w:tcPr>
          <w:p w14:paraId="32C57531" w14:textId="77777777" w:rsidR="00E51CDD" w:rsidRPr="00E51CDD" w:rsidRDefault="00E51CDD" w:rsidP="00E51CDD">
            <w:pPr>
              <w:widowControl w:val="0"/>
              <w:rPr>
                <w:noProof/>
                <w:sz w:val="20"/>
                <w:szCs w:val="20"/>
                <w:lang w:val="en-GB"/>
              </w:rPr>
            </w:pPr>
            <w:r w:rsidRPr="00E51CDD">
              <w:rPr>
                <w:noProof/>
                <w:sz w:val="20"/>
                <w:szCs w:val="20"/>
                <w:lang w:val="en-GB"/>
              </w:rPr>
              <w:t>28 d, aerobic</w:t>
            </w:r>
            <w:r w:rsidRPr="00E51CDD">
              <w:rPr>
                <w:noProof/>
                <w:sz w:val="20"/>
                <w:szCs w:val="20"/>
                <w:lang w:val="en-GB"/>
              </w:rPr>
              <w:br/>
              <w:t>loamy sand soil</w:t>
            </w:r>
          </w:p>
        </w:tc>
        <w:tc>
          <w:tcPr>
            <w:tcW w:w="1000" w:type="pct"/>
            <w:shd w:val="clear" w:color="auto" w:fill="auto"/>
          </w:tcPr>
          <w:p w14:paraId="5C2DA6A6" w14:textId="77777777" w:rsidR="00E51CDD" w:rsidRPr="00E51CDD" w:rsidRDefault="00E51CDD" w:rsidP="00E51CDD">
            <w:pPr>
              <w:widowControl w:val="0"/>
              <w:rPr>
                <w:noProof/>
                <w:sz w:val="20"/>
                <w:szCs w:val="20"/>
                <w:lang w:val="en-GB"/>
              </w:rPr>
            </w:pPr>
            <w:r w:rsidRPr="00E51CDD">
              <w:rPr>
                <w:noProof/>
                <w:sz w:val="20"/>
                <w:szCs w:val="20"/>
                <w:lang w:val="en-GB"/>
              </w:rPr>
              <w:t>Nitrate formation rate</w:t>
            </w:r>
            <w:r w:rsidRPr="00E51CDD">
              <w:rPr>
                <w:noProof/>
                <w:sz w:val="20"/>
                <w:szCs w:val="20"/>
                <w:lang w:val="en-GB"/>
              </w:rPr>
              <w:br/>
              <w:t>2.643 mg/kg dry soil</w:t>
            </w:r>
            <w:r w:rsidRPr="00E51CDD">
              <w:rPr>
                <w:noProof/>
                <w:sz w:val="20"/>
                <w:szCs w:val="20"/>
                <w:lang w:val="en-GB"/>
              </w:rPr>
              <w:br/>
              <w:t>-0.1%</w:t>
            </w:r>
          </w:p>
        </w:tc>
        <w:tc>
          <w:tcPr>
            <w:tcW w:w="1000" w:type="pct"/>
            <w:shd w:val="clear" w:color="auto" w:fill="auto"/>
          </w:tcPr>
          <w:p w14:paraId="5E5F23F1" w14:textId="77777777" w:rsidR="00E51CDD" w:rsidRPr="00E51CDD" w:rsidRDefault="00E51CDD" w:rsidP="00E51CDD">
            <w:pPr>
              <w:widowControl w:val="0"/>
              <w:rPr>
                <w:bCs/>
                <w:iCs/>
                <w:noProof/>
                <w:sz w:val="20"/>
                <w:szCs w:val="20"/>
                <w:lang w:val="de-DE" w:eastAsia="en-US"/>
              </w:rPr>
            </w:pPr>
            <w:r w:rsidRPr="00E51CDD">
              <w:rPr>
                <w:bCs/>
                <w:iCs/>
                <w:noProof/>
                <w:sz w:val="20"/>
                <w:szCs w:val="20"/>
                <w:lang w:val="de-DE" w:eastAsia="en-US"/>
              </w:rPr>
              <w:t>EFSA Journal 2010; 8(4):1542,</w:t>
            </w:r>
          </w:p>
          <w:p w14:paraId="02F2B523" w14:textId="77777777" w:rsidR="00E51CDD" w:rsidRPr="00E51CDD" w:rsidRDefault="00E51CDD" w:rsidP="00E51CDD">
            <w:pPr>
              <w:widowControl w:val="0"/>
              <w:rPr>
                <w:noProof/>
                <w:sz w:val="20"/>
                <w:szCs w:val="20"/>
                <w:lang w:val="de-DE"/>
              </w:rPr>
            </w:pPr>
            <w:r w:rsidRPr="00E51CDD">
              <w:rPr>
                <w:bCs/>
                <w:iCs/>
                <w:noProof/>
                <w:sz w:val="20"/>
                <w:szCs w:val="20"/>
                <w:lang w:val="de-DE" w:eastAsia="en-US"/>
              </w:rPr>
              <w:t>Schulz, L., 2008, SYN501657/0007</w:t>
            </w:r>
          </w:p>
        </w:tc>
      </w:tr>
      <w:tr w:rsidR="00E51CDD" w:rsidRPr="00E51CDD" w14:paraId="2BE39724" w14:textId="77777777" w:rsidTr="009938D9">
        <w:tc>
          <w:tcPr>
            <w:tcW w:w="1000" w:type="pct"/>
            <w:vMerge/>
            <w:shd w:val="clear" w:color="auto" w:fill="auto"/>
          </w:tcPr>
          <w:p w14:paraId="267C878E" w14:textId="77777777" w:rsidR="00E51CDD" w:rsidRPr="00E51CDD" w:rsidRDefault="00E51CDD" w:rsidP="00E51CDD">
            <w:pPr>
              <w:widowControl w:val="0"/>
              <w:rPr>
                <w:noProof/>
                <w:sz w:val="20"/>
                <w:szCs w:val="20"/>
                <w:lang w:val="de-DE"/>
              </w:rPr>
            </w:pPr>
          </w:p>
        </w:tc>
        <w:tc>
          <w:tcPr>
            <w:tcW w:w="1000" w:type="pct"/>
            <w:shd w:val="clear" w:color="auto" w:fill="auto"/>
          </w:tcPr>
          <w:p w14:paraId="12690CCF" w14:textId="77777777" w:rsidR="00E51CDD" w:rsidRPr="00E51CDD" w:rsidRDefault="00E51CDD" w:rsidP="00E51CDD">
            <w:pPr>
              <w:widowControl w:val="0"/>
              <w:rPr>
                <w:noProof/>
                <w:sz w:val="20"/>
                <w:szCs w:val="20"/>
                <w:lang w:val="en-GB"/>
              </w:rPr>
            </w:pPr>
            <w:r w:rsidRPr="00E51CDD">
              <w:rPr>
                <w:sz w:val="20"/>
                <w:szCs w:val="20"/>
              </w:rPr>
              <w:t xml:space="preserve">Metabolite </w:t>
            </w:r>
            <w:r w:rsidRPr="00E51CDD">
              <w:rPr>
                <w:noProof/>
                <w:sz w:val="20"/>
                <w:szCs w:val="20"/>
                <w:lang w:val="en-GB"/>
              </w:rPr>
              <w:t>R402173</w:t>
            </w:r>
          </w:p>
        </w:tc>
        <w:tc>
          <w:tcPr>
            <w:tcW w:w="1000" w:type="pct"/>
            <w:shd w:val="clear" w:color="auto" w:fill="auto"/>
          </w:tcPr>
          <w:p w14:paraId="631D19D8" w14:textId="77777777" w:rsidR="00E51CDD" w:rsidRPr="00E51CDD" w:rsidRDefault="00E51CDD" w:rsidP="00E51CDD">
            <w:pPr>
              <w:widowControl w:val="0"/>
              <w:rPr>
                <w:noProof/>
                <w:sz w:val="20"/>
                <w:szCs w:val="20"/>
                <w:lang w:val="en-GB"/>
              </w:rPr>
            </w:pPr>
            <w:r w:rsidRPr="00E51CDD">
              <w:rPr>
                <w:noProof/>
                <w:sz w:val="20"/>
                <w:szCs w:val="20"/>
                <w:lang w:val="en-GB"/>
              </w:rPr>
              <w:t>28 d, aerobic</w:t>
            </w:r>
            <w:r w:rsidRPr="00E51CDD">
              <w:rPr>
                <w:noProof/>
                <w:sz w:val="20"/>
                <w:szCs w:val="20"/>
                <w:lang w:val="en-GB"/>
              </w:rPr>
              <w:br/>
              <w:t>loamy sand soil</w:t>
            </w:r>
          </w:p>
        </w:tc>
        <w:tc>
          <w:tcPr>
            <w:tcW w:w="1000" w:type="pct"/>
            <w:shd w:val="clear" w:color="auto" w:fill="auto"/>
          </w:tcPr>
          <w:p w14:paraId="6E755998" w14:textId="77777777" w:rsidR="00E51CDD" w:rsidRPr="00E51CDD" w:rsidRDefault="00E51CDD" w:rsidP="00E51CDD">
            <w:pPr>
              <w:widowControl w:val="0"/>
              <w:rPr>
                <w:noProof/>
                <w:sz w:val="20"/>
                <w:szCs w:val="20"/>
                <w:lang w:val="en-GB"/>
              </w:rPr>
            </w:pPr>
            <w:r w:rsidRPr="00E51CDD">
              <w:rPr>
                <w:noProof/>
                <w:sz w:val="20"/>
                <w:szCs w:val="20"/>
                <w:lang w:val="en-GB"/>
              </w:rPr>
              <w:t>Nitrate formation rate</w:t>
            </w:r>
            <w:r w:rsidRPr="00E51CDD">
              <w:rPr>
                <w:noProof/>
                <w:sz w:val="20"/>
                <w:szCs w:val="20"/>
                <w:lang w:val="en-GB"/>
              </w:rPr>
              <w:br/>
              <w:t>4.131 mg/kg dry soil</w:t>
            </w:r>
            <w:r w:rsidRPr="00E51CDD">
              <w:rPr>
                <w:noProof/>
                <w:sz w:val="20"/>
                <w:szCs w:val="20"/>
                <w:lang w:val="en-GB"/>
              </w:rPr>
              <w:br/>
              <w:t>+7.6%</w:t>
            </w:r>
          </w:p>
        </w:tc>
        <w:tc>
          <w:tcPr>
            <w:tcW w:w="1000" w:type="pct"/>
            <w:shd w:val="clear" w:color="auto" w:fill="auto"/>
          </w:tcPr>
          <w:p w14:paraId="26FB0C2A" w14:textId="77777777" w:rsidR="00E51CDD" w:rsidRPr="00E51CDD" w:rsidRDefault="00E51CDD" w:rsidP="00E51CDD">
            <w:pPr>
              <w:widowControl w:val="0"/>
              <w:rPr>
                <w:bCs/>
                <w:iCs/>
                <w:noProof/>
                <w:sz w:val="20"/>
                <w:szCs w:val="20"/>
                <w:lang w:eastAsia="en-US"/>
              </w:rPr>
            </w:pPr>
            <w:r w:rsidRPr="00E51CDD">
              <w:rPr>
                <w:bCs/>
                <w:iCs/>
                <w:noProof/>
                <w:sz w:val="20"/>
                <w:szCs w:val="20"/>
                <w:lang w:eastAsia="en-US"/>
              </w:rPr>
              <w:t>EFSA Journal 2010; 8(4):1542,</w:t>
            </w:r>
          </w:p>
          <w:p w14:paraId="080E6920" w14:textId="77777777" w:rsidR="00E51CDD" w:rsidRPr="00E51CDD" w:rsidRDefault="00E51CDD" w:rsidP="00E51CDD">
            <w:pPr>
              <w:widowControl w:val="0"/>
              <w:rPr>
                <w:noProof/>
                <w:sz w:val="20"/>
                <w:szCs w:val="20"/>
                <w:lang w:val="en-GB"/>
              </w:rPr>
            </w:pPr>
            <w:r w:rsidRPr="00E51CDD">
              <w:rPr>
                <w:bCs/>
                <w:iCs/>
                <w:noProof/>
                <w:sz w:val="20"/>
                <w:szCs w:val="20"/>
                <w:lang w:eastAsia="en-US"/>
              </w:rPr>
              <w:t>Schulz, L., 2008a, SYN501114/0002</w:t>
            </w:r>
          </w:p>
        </w:tc>
      </w:tr>
      <w:tr w:rsidR="00E51CDD" w:rsidRPr="002262EA" w14:paraId="30A8CDD8" w14:textId="77777777" w:rsidTr="009938D9">
        <w:tc>
          <w:tcPr>
            <w:tcW w:w="1000" w:type="pct"/>
            <w:vMerge w:val="restart"/>
            <w:shd w:val="clear" w:color="auto" w:fill="auto"/>
          </w:tcPr>
          <w:p w14:paraId="552A017D" w14:textId="77777777" w:rsidR="00E51CDD" w:rsidRPr="00E51CDD" w:rsidRDefault="00E51CDD" w:rsidP="00E51CDD">
            <w:pPr>
              <w:widowControl w:val="0"/>
              <w:rPr>
                <w:noProof/>
                <w:sz w:val="20"/>
                <w:szCs w:val="20"/>
                <w:lang w:val="en-GB"/>
              </w:rPr>
            </w:pPr>
            <w:r w:rsidRPr="00E51CDD">
              <w:rPr>
                <w:noProof/>
                <w:sz w:val="20"/>
                <w:szCs w:val="20"/>
                <w:lang w:val="en-GB"/>
              </w:rPr>
              <w:t xml:space="preserve">C-mineralization </w:t>
            </w:r>
            <w:r w:rsidRPr="00E51CDD">
              <w:rPr>
                <w:noProof/>
                <w:sz w:val="20"/>
                <w:szCs w:val="20"/>
                <w:vertAlign w:val="superscript"/>
                <w:lang w:val="en-GB"/>
              </w:rPr>
              <w:t>1)</w:t>
            </w:r>
          </w:p>
        </w:tc>
        <w:tc>
          <w:tcPr>
            <w:tcW w:w="1000" w:type="pct"/>
            <w:shd w:val="clear" w:color="auto" w:fill="auto"/>
          </w:tcPr>
          <w:p w14:paraId="47880834" w14:textId="77777777" w:rsidR="00E51CDD" w:rsidRPr="00E51CDD" w:rsidRDefault="00E51CDD" w:rsidP="00E51CDD">
            <w:pPr>
              <w:widowControl w:val="0"/>
              <w:rPr>
                <w:noProof/>
                <w:sz w:val="20"/>
                <w:szCs w:val="20"/>
                <w:lang w:val="en-GB"/>
              </w:rPr>
            </w:pPr>
            <w:r w:rsidRPr="00E51CDD">
              <w:rPr>
                <w:sz w:val="20"/>
                <w:szCs w:val="20"/>
              </w:rPr>
              <w:t>Metabolite R234886</w:t>
            </w:r>
          </w:p>
        </w:tc>
        <w:tc>
          <w:tcPr>
            <w:tcW w:w="1000" w:type="pct"/>
            <w:shd w:val="clear" w:color="auto" w:fill="auto"/>
          </w:tcPr>
          <w:p w14:paraId="48AF8D07" w14:textId="77777777" w:rsidR="00E51CDD" w:rsidRPr="00E51CDD" w:rsidRDefault="00E51CDD" w:rsidP="00E51CDD">
            <w:pPr>
              <w:widowControl w:val="0"/>
              <w:rPr>
                <w:noProof/>
                <w:sz w:val="20"/>
                <w:szCs w:val="20"/>
                <w:lang w:val="en-GB"/>
              </w:rPr>
            </w:pPr>
            <w:r w:rsidRPr="00E51CDD">
              <w:rPr>
                <w:noProof/>
                <w:sz w:val="20"/>
                <w:szCs w:val="20"/>
                <w:lang w:val="en-GB"/>
              </w:rPr>
              <w:t>28 d, aerobic</w:t>
            </w:r>
            <w:r w:rsidRPr="00E51CDD">
              <w:rPr>
                <w:noProof/>
                <w:sz w:val="20"/>
                <w:szCs w:val="20"/>
                <w:lang w:val="en-GB"/>
              </w:rPr>
              <w:br/>
              <w:t>silty sand soil</w:t>
            </w:r>
          </w:p>
        </w:tc>
        <w:tc>
          <w:tcPr>
            <w:tcW w:w="1000" w:type="pct"/>
            <w:shd w:val="clear" w:color="auto" w:fill="auto"/>
          </w:tcPr>
          <w:p w14:paraId="11C23317" w14:textId="77777777" w:rsidR="00E51CDD" w:rsidRPr="00E51CDD" w:rsidRDefault="00E51CDD" w:rsidP="00E51CDD">
            <w:pPr>
              <w:widowControl w:val="0"/>
              <w:rPr>
                <w:noProof/>
                <w:sz w:val="20"/>
                <w:szCs w:val="20"/>
                <w:lang w:val="en-GB"/>
              </w:rPr>
            </w:pPr>
            <w:r w:rsidRPr="00E51CDD">
              <w:rPr>
                <w:noProof/>
                <w:sz w:val="20"/>
                <w:lang w:val="en-GB"/>
              </w:rPr>
              <w:t>CO</w:t>
            </w:r>
            <w:r w:rsidRPr="00E51CDD">
              <w:rPr>
                <w:noProof/>
                <w:sz w:val="20"/>
                <w:vertAlign w:val="subscript"/>
                <w:lang w:val="en-GB"/>
              </w:rPr>
              <w:t>2</w:t>
            </w:r>
            <w:r w:rsidRPr="00E51CDD">
              <w:rPr>
                <w:noProof/>
                <w:sz w:val="20"/>
                <w:lang w:val="en-GB"/>
              </w:rPr>
              <w:t xml:space="preserve"> formation</w:t>
            </w:r>
            <w:r w:rsidRPr="00E51CDD">
              <w:rPr>
                <w:noProof/>
                <w:sz w:val="20"/>
                <w:szCs w:val="20"/>
                <w:lang w:val="en-GB"/>
              </w:rPr>
              <w:br/>
              <w:t>10 mg/kg dry soil</w:t>
            </w:r>
            <w:r w:rsidRPr="00E51CDD">
              <w:rPr>
                <w:noProof/>
                <w:sz w:val="20"/>
                <w:szCs w:val="20"/>
                <w:lang w:val="en-GB"/>
              </w:rPr>
              <w:br/>
              <w:t>-2%</w:t>
            </w:r>
          </w:p>
        </w:tc>
        <w:tc>
          <w:tcPr>
            <w:tcW w:w="1000" w:type="pct"/>
            <w:shd w:val="clear" w:color="auto" w:fill="auto"/>
          </w:tcPr>
          <w:p w14:paraId="622EC242" w14:textId="77777777" w:rsidR="00E51CDD" w:rsidRPr="002262EA" w:rsidRDefault="00E51CDD" w:rsidP="00E51CDD">
            <w:pPr>
              <w:widowControl w:val="0"/>
              <w:rPr>
                <w:bCs/>
                <w:iCs/>
                <w:noProof/>
                <w:sz w:val="20"/>
                <w:szCs w:val="20"/>
                <w:lang w:val="fr-BE" w:eastAsia="en-US"/>
              </w:rPr>
            </w:pPr>
            <w:r w:rsidRPr="002262EA">
              <w:rPr>
                <w:bCs/>
                <w:iCs/>
                <w:noProof/>
                <w:sz w:val="20"/>
                <w:szCs w:val="20"/>
                <w:lang w:val="fr-BE" w:eastAsia="en-US"/>
              </w:rPr>
              <w:t>EFSA Journal 2010; 8(4):1542,</w:t>
            </w:r>
          </w:p>
          <w:p w14:paraId="36DF5410" w14:textId="77777777" w:rsidR="00E51CDD" w:rsidRPr="002262EA" w:rsidRDefault="00E51CDD" w:rsidP="00E51CDD">
            <w:pPr>
              <w:widowControl w:val="0"/>
              <w:rPr>
                <w:noProof/>
                <w:sz w:val="20"/>
                <w:szCs w:val="20"/>
                <w:lang w:val="fr-BE"/>
              </w:rPr>
            </w:pPr>
            <w:r w:rsidRPr="002262EA">
              <w:rPr>
                <w:bCs/>
                <w:iCs/>
                <w:noProof/>
                <w:sz w:val="20"/>
                <w:szCs w:val="20"/>
                <w:lang w:val="fr-BE" w:eastAsia="en-US"/>
              </w:rPr>
              <w:t>Lemnitzer, B., 2002, R234886/0002</w:t>
            </w:r>
          </w:p>
        </w:tc>
      </w:tr>
      <w:tr w:rsidR="00E51CDD" w:rsidRPr="00662F32" w14:paraId="4D430A8A" w14:textId="77777777" w:rsidTr="009938D9">
        <w:tc>
          <w:tcPr>
            <w:tcW w:w="1000" w:type="pct"/>
            <w:vMerge/>
            <w:shd w:val="clear" w:color="auto" w:fill="auto"/>
          </w:tcPr>
          <w:p w14:paraId="56ED9DC0" w14:textId="77777777" w:rsidR="00E51CDD" w:rsidRPr="002262EA" w:rsidRDefault="00E51CDD" w:rsidP="00E51CDD">
            <w:pPr>
              <w:widowControl w:val="0"/>
              <w:rPr>
                <w:noProof/>
                <w:sz w:val="20"/>
                <w:szCs w:val="20"/>
                <w:lang w:val="fr-BE"/>
              </w:rPr>
            </w:pPr>
          </w:p>
        </w:tc>
        <w:tc>
          <w:tcPr>
            <w:tcW w:w="1000" w:type="pct"/>
            <w:shd w:val="clear" w:color="auto" w:fill="auto"/>
          </w:tcPr>
          <w:p w14:paraId="74C9B71F" w14:textId="77777777" w:rsidR="00E51CDD" w:rsidRPr="00E51CDD" w:rsidRDefault="00E51CDD" w:rsidP="00E51CDD">
            <w:pPr>
              <w:widowControl w:val="0"/>
              <w:rPr>
                <w:noProof/>
                <w:sz w:val="20"/>
                <w:szCs w:val="20"/>
                <w:lang w:val="en-GB"/>
              </w:rPr>
            </w:pPr>
            <w:r w:rsidRPr="00E51CDD">
              <w:rPr>
                <w:sz w:val="20"/>
                <w:szCs w:val="20"/>
              </w:rPr>
              <w:t>Metabolite R401553</w:t>
            </w:r>
          </w:p>
        </w:tc>
        <w:tc>
          <w:tcPr>
            <w:tcW w:w="1000" w:type="pct"/>
            <w:shd w:val="clear" w:color="auto" w:fill="auto"/>
          </w:tcPr>
          <w:p w14:paraId="7983216F" w14:textId="77777777" w:rsidR="00E51CDD" w:rsidRPr="00E51CDD" w:rsidRDefault="00E51CDD" w:rsidP="00E51CDD">
            <w:pPr>
              <w:widowControl w:val="0"/>
              <w:rPr>
                <w:noProof/>
                <w:sz w:val="20"/>
                <w:szCs w:val="20"/>
                <w:lang w:val="en-GB"/>
              </w:rPr>
            </w:pPr>
            <w:r w:rsidRPr="00E51CDD">
              <w:rPr>
                <w:noProof/>
                <w:sz w:val="20"/>
                <w:szCs w:val="20"/>
                <w:lang w:val="en-GB"/>
              </w:rPr>
              <w:t>28 d, aerobic</w:t>
            </w:r>
            <w:r w:rsidRPr="00E51CDD">
              <w:rPr>
                <w:noProof/>
                <w:sz w:val="20"/>
                <w:szCs w:val="20"/>
                <w:lang w:val="en-GB"/>
              </w:rPr>
              <w:br/>
              <w:t>loamy sand soil</w:t>
            </w:r>
          </w:p>
        </w:tc>
        <w:tc>
          <w:tcPr>
            <w:tcW w:w="1000" w:type="pct"/>
            <w:shd w:val="clear" w:color="auto" w:fill="auto"/>
          </w:tcPr>
          <w:p w14:paraId="36A6A539" w14:textId="77777777" w:rsidR="00E51CDD" w:rsidRPr="00E51CDD" w:rsidRDefault="00E51CDD" w:rsidP="00E51CDD">
            <w:pPr>
              <w:widowControl w:val="0"/>
              <w:rPr>
                <w:noProof/>
                <w:sz w:val="20"/>
                <w:szCs w:val="20"/>
                <w:lang w:val="en-GB"/>
              </w:rPr>
            </w:pPr>
            <w:r w:rsidRPr="00E51CDD">
              <w:rPr>
                <w:noProof/>
                <w:sz w:val="20"/>
                <w:lang w:val="en-GB"/>
              </w:rPr>
              <w:t>CO</w:t>
            </w:r>
            <w:r w:rsidRPr="00E51CDD">
              <w:rPr>
                <w:noProof/>
                <w:sz w:val="20"/>
                <w:vertAlign w:val="subscript"/>
                <w:lang w:val="en-GB"/>
              </w:rPr>
              <w:t>2</w:t>
            </w:r>
            <w:r w:rsidRPr="00E51CDD">
              <w:rPr>
                <w:noProof/>
                <w:sz w:val="20"/>
                <w:lang w:val="en-GB"/>
              </w:rPr>
              <w:t xml:space="preserve"> formation</w:t>
            </w:r>
            <w:r w:rsidRPr="00E51CDD">
              <w:rPr>
                <w:noProof/>
                <w:sz w:val="20"/>
                <w:szCs w:val="20"/>
                <w:lang w:val="en-GB"/>
              </w:rPr>
              <w:br/>
              <w:t>2.643 mg/kg dry soil</w:t>
            </w:r>
            <w:r w:rsidRPr="00E51CDD">
              <w:rPr>
                <w:noProof/>
                <w:sz w:val="20"/>
                <w:szCs w:val="20"/>
                <w:lang w:val="en-GB"/>
              </w:rPr>
              <w:br/>
              <w:t>-4.4%</w:t>
            </w:r>
          </w:p>
        </w:tc>
        <w:tc>
          <w:tcPr>
            <w:tcW w:w="1000" w:type="pct"/>
            <w:shd w:val="clear" w:color="auto" w:fill="auto"/>
          </w:tcPr>
          <w:p w14:paraId="321D45F6" w14:textId="77777777" w:rsidR="00E51CDD" w:rsidRPr="00E51CDD" w:rsidRDefault="00E51CDD" w:rsidP="00E51CDD">
            <w:pPr>
              <w:widowControl w:val="0"/>
              <w:rPr>
                <w:bCs/>
                <w:iCs/>
                <w:noProof/>
                <w:sz w:val="20"/>
                <w:szCs w:val="20"/>
                <w:lang w:val="de-DE" w:eastAsia="en-US"/>
              </w:rPr>
            </w:pPr>
            <w:r w:rsidRPr="00E51CDD">
              <w:rPr>
                <w:bCs/>
                <w:iCs/>
                <w:noProof/>
                <w:sz w:val="20"/>
                <w:szCs w:val="20"/>
                <w:lang w:val="de-DE" w:eastAsia="en-US"/>
              </w:rPr>
              <w:t>EFSA Journal 2010; 8(4):1542,</w:t>
            </w:r>
          </w:p>
          <w:p w14:paraId="2811C86F" w14:textId="77777777" w:rsidR="00E51CDD" w:rsidRPr="00E51CDD" w:rsidRDefault="00E51CDD" w:rsidP="00E51CDD">
            <w:pPr>
              <w:widowControl w:val="0"/>
              <w:rPr>
                <w:noProof/>
                <w:sz w:val="20"/>
                <w:szCs w:val="20"/>
                <w:lang w:val="de-DE"/>
              </w:rPr>
            </w:pPr>
            <w:r w:rsidRPr="00E51CDD">
              <w:rPr>
                <w:bCs/>
                <w:iCs/>
                <w:noProof/>
                <w:sz w:val="20"/>
                <w:szCs w:val="20"/>
                <w:lang w:val="de-DE" w:eastAsia="en-US"/>
              </w:rPr>
              <w:t>Schulz, L., 2008, SYN501657/0007</w:t>
            </w:r>
          </w:p>
        </w:tc>
      </w:tr>
      <w:tr w:rsidR="00E51CDD" w:rsidRPr="00E51CDD" w14:paraId="70AA1726" w14:textId="77777777" w:rsidTr="009938D9">
        <w:tc>
          <w:tcPr>
            <w:tcW w:w="1000" w:type="pct"/>
            <w:vMerge/>
            <w:shd w:val="clear" w:color="auto" w:fill="auto"/>
          </w:tcPr>
          <w:p w14:paraId="1FF81D29" w14:textId="77777777" w:rsidR="00E51CDD" w:rsidRPr="00E51CDD" w:rsidRDefault="00E51CDD" w:rsidP="00E51CDD">
            <w:pPr>
              <w:widowControl w:val="0"/>
              <w:rPr>
                <w:noProof/>
                <w:sz w:val="20"/>
                <w:szCs w:val="20"/>
                <w:lang w:val="de-DE"/>
              </w:rPr>
            </w:pPr>
          </w:p>
        </w:tc>
        <w:tc>
          <w:tcPr>
            <w:tcW w:w="1000" w:type="pct"/>
            <w:shd w:val="clear" w:color="auto" w:fill="auto"/>
          </w:tcPr>
          <w:p w14:paraId="0C837D3F" w14:textId="77777777" w:rsidR="00E51CDD" w:rsidRPr="00E51CDD" w:rsidRDefault="00E51CDD" w:rsidP="00E51CDD">
            <w:pPr>
              <w:widowControl w:val="0"/>
              <w:rPr>
                <w:noProof/>
                <w:sz w:val="20"/>
                <w:szCs w:val="20"/>
                <w:lang w:val="en-GB"/>
              </w:rPr>
            </w:pPr>
            <w:r w:rsidRPr="00E51CDD">
              <w:rPr>
                <w:sz w:val="20"/>
                <w:szCs w:val="20"/>
              </w:rPr>
              <w:t xml:space="preserve">Metabolite </w:t>
            </w:r>
            <w:r w:rsidRPr="00E51CDD">
              <w:rPr>
                <w:noProof/>
                <w:sz w:val="20"/>
                <w:szCs w:val="20"/>
                <w:lang w:val="en-GB"/>
              </w:rPr>
              <w:t>R402173</w:t>
            </w:r>
          </w:p>
        </w:tc>
        <w:tc>
          <w:tcPr>
            <w:tcW w:w="1000" w:type="pct"/>
            <w:shd w:val="clear" w:color="auto" w:fill="auto"/>
          </w:tcPr>
          <w:p w14:paraId="2B689B13" w14:textId="77777777" w:rsidR="00E51CDD" w:rsidRPr="00E51CDD" w:rsidRDefault="00E51CDD" w:rsidP="00E51CDD">
            <w:pPr>
              <w:widowControl w:val="0"/>
              <w:rPr>
                <w:noProof/>
                <w:sz w:val="20"/>
                <w:szCs w:val="20"/>
                <w:lang w:val="en-GB"/>
              </w:rPr>
            </w:pPr>
            <w:r w:rsidRPr="00E51CDD">
              <w:rPr>
                <w:noProof/>
                <w:sz w:val="20"/>
                <w:szCs w:val="20"/>
                <w:lang w:val="en-GB"/>
              </w:rPr>
              <w:t>28 d, aerobic</w:t>
            </w:r>
            <w:r w:rsidRPr="00E51CDD">
              <w:rPr>
                <w:noProof/>
                <w:sz w:val="20"/>
                <w:szCs w:val="20"/>
                <w:lang w:val="en-GB"/>
              </w:rPr>
              <w:br/>
              <w:t>loamy sand soil</w:t>
            </w:r>
          </w:p>
        </w:tc>
        <w:tc>
          <w:tcPr>
            <w:tcW w:w="1000" w:type="pct"/>
            <w:shd w:val="clear" w:color="auto" w:fill="auto"/>
          </w:tcPr>
          <w:p w14:paraId="671202CA" w14:textId="77777777" w:rsidR="00E51CDD" w:rsidRPr="00E51CDD" w:rsidRDefault="00E51CDD" w:rsidP="00E51CDD">
            <w:pPr>
              <w:widowControl w:val="0"/>
              <w:rPr>
                <w:noProof/>
                <w:sz w:val="20"/>
                <w:szCs w:val="20"/>
                <w:lang w:val="en-GB"/>
              </w:rPr>
            </w:pPr>
            <w:r w:rsidRPr="00E51CDD">
              <w:rPr>
                <w:noProof/>
                <w:sz w:val="20"/>
                <w:lang w:val="en-GB"/>
              </w:rPr>
              <w:t>CO</w:t>
            </w:r>
            <w:r w:rsidRPr="00E51CDD">
              <w:rPr>
                <w:noProof/>
                <w:sz w:val="20"/>
                <w:vertAlign w:val="subscript"/>
                <w:lang w:val="en-GB"/>
              </w:rPr>
              <w:t>2</w:t>
            </w:r>
            <w:r w:rsidRPr="00E51CDD">
              <w:rPr>
                <w:noProof/>
                <w:sz w:val="20"/>
                <w:lang w:val="en-GB"/>
              </w:rPr>
              <w:t xml:space="preserve"> formation</w:t>
            </w:r>
            <w:r w:rsidRPr="00E51CDD">
              <w:rPr>
                <w:noProof/>
                <w:sz w:val="20"/>
                <w:szCs w:val="20"/>
                <w:lang w:val="en-GB"/>
              </w:rPr>
              <w:br/>
              <w:t>4.131 mg/kg dry soil</w:t>
            </w:r>
            <w:r w:rsidRPr="00E51CDD">
              <w:rPr>
                <w:noProof/>
                <w:sz w:val="20"/>
                <w:szCs w:val="20"/>
                <w:lang w:val="en-GB"/>
              </w:rPr>
              <w:br/>
              <w:t>-0.4%</w:t>
            </w:r>
          </w:p>
        </w:tc>
        <w:tc>
          <w:tcPr>
            <w:tcW w:w="1000" w:type="pct"/>
            <w:shd w:val="clear" w:color="auto" w:fill="auto"/>
          </w:tcPr>
          <w:p w14:paraId="3901E5E3" w14:textId="77777777" w:rsidR="00E51CDD" w:rsidRPr="00E51CDD" w:rsidRDefault="00E51CDD" w:rsidP="00E51CDD">
            <w:pPr>
              <w:widowControl w:val="0"/>
              <w:rPr>
                <w:bCs/>
                <w:iCs/>
                <w:noProof/>
                <w:sz w:val="20"/>
                <w:szCs w:val="20"/>
                <w:lang w:eastAsia="en-US"/>
              </w:rPr>
            </w:pPr>
            <w:r w:rsidRPr="00E51CDD">
              <w:rPr>
                <w:bCs/>
                <w:iCs/>
                <w:noProof/>
                <w:sz w:val="20"/>
                <w:szCs w:val="20"/>
                <w:lang w:eastAsia="en-US"/>
              </w:rPr>
              <w:t>EFSA Journal 2010; 8(4):1542,</w:t>
            </w:r>
          </w:p>
          <w:p w14:paraId="18DCFB87" w14:textId="77777777" w:rsidR="00E51CDD" w:rsidRPr="00E51CDD" w:rsidRDefault="00E51CDD" w:rsidP="00E51CDD">
            <w:pPr>
              <w:widowControl w:val="0"/>
              <w:rPr>
                <w:noProof/>
                <w:sz w:val="20"/>
                <w:szCs w:val="20"/>
                <w:lang w:val="en-GB"/>
              </w:rPr>
            </w:pPr>
            <w:r w:rsidRPr="00E51CDD">
              <w:rPr>
                <w:bCs/>
                <w:iCs/>
                <w:noProof/>
                <w:sz w:val="20"/>
                <w:szCs w:val="20"/>
                <w:lang w:eastAsia="en-US"/>
              </w:rPr>
              <w:t>Schulz, L., 2008a, SYN501114/0002</w:t>
            </w:r>
          </w:p>
        </w:tc>
      </w:tr>
    </w:tbl>
    <w:p w14:paraId="4846F3FB" w14:textId="77777777" w:rsidR="00E51CDD" w:rsidRPr="00E51CDD" w:rsidRDefault="00E51CDD" w:rsidP="00E51CDD">
      <w:pPr>
        <w:widowControl w:val="0"/>
        <w:jc w:val="both"/>
        <w:rPr>
          <w:sz w:val="18"/>
          <w:szCs w:val="18"/>
          <w:lang w:val="en-GB"/>
        </w:rPr>
      </w:pPr>
      <w:r w:rsidRPr="00E51CDD">
        <w:rPr>
          <w:sz w:val="18"/>
          <w:szCs w:val="18"/>
          <w:lang w:val="en-GB"/>
        </w:rPr>
        <w:t>+ = stimulation, - = inhibition</w:t>
      </w:r>
    </w:p>
    <w:p w14:paraId="650AC2AB" w14:textId="77777777" w:rsidR="00E51CDD" w:rsidRPr="00E51CDD" w:rsidRDefault="00E51CDD" w:rsidP="00E51CDD">
      <w:pPr>
        <w:widowControl w:val="0"/>
        <w:tabs>
          <w:tab w:val="left" w:pos="284"/>
        </w:tabs>
        <w:ind w:left="284" w:hanging="284"/>
        <w:jc w:val="both"/>
        <w:rPr>
          <w:sz w:val="18"/>
          <w:szCs w:val="18"/>
          <w:lang w:val="en-GB"/>
        </w:rPr>
      </w:pPr>
      <w:r w:rsidRPr="00E51CDD">
        <w:rPr>
          <w:vertAlign w:val="superscript"/>
          <w:lang w:val="en-GB"/>
        </w:rPr>
        <w:t>1)</w:t>
      </w:r>
      <w:r w:rsidRPr="00E51CDD">
        <w:rPr>
          <w:vertAlign w:val="superscript"/>
          <w:lang w:val="en-GB"/>
        </w:rPr>
        <w:tab/>
      </w:r>
      <w:r w:rsidRPr="00E51CDD">
        <w:rPr>
          <w:sz w:val="18"/>
          <w:szCs w:val="18"/>
          <w:lang w:val="en-GB"/>
        </w:rPr>
        <w:t>Carbon transformation studies are listed for reference only but are not used in the risk assessment according to Commission Regulation (EU) No 283/2013.</w:t>
      </w:r>
    </w:p>
    <w:p w14:paraId="0DAC5656" w14:textId="77777777" w:rsidR="000630E1" w:rsidRDefault="000630E1" w:rsidP="00E51CDD">
      <w:pPr>
        <w:widowControl w:val="0"/>
        <w:tabs>
          <w:tab w:val="left" w:pos="1984"/>
        </w:tabs>
        <w:spacing w:line="280" w:lineRule="exact"/>
        <w:ind w:left="1985" w:hanging="1985"/>
        <w:jc w:val="both"/>
        <w:rPr>
          <w:b/>
          <w:lang w:val="en-GB" w:eastAsia="en-US"/>
        </w:rPr>
      </w:pPr>
      <w:bookmarkStart w:id="894" w:name="_Ref438462852"/>
      <w:bookmarkStart w:id="895" w:name="_Ref442263652"/>
    </w:p>
    <w:p w14:paraId="63799203" w14:textId="77777777" w:rsidR="000630E1" w:rsidRDefault="000630E1" w:rsidP="00E51CDD">
      <w:pPr>
        <w:widowControl w:val="0"/>
        <w:tabs>
          <w:tab w:val="left" w:pos="1984"/>
        </w:tabs>
        <w:spacing w:line="280" w:lineRule="exact"/>
        <w:ind w:left="1985" w:hanging="1985"/>
        <w:jc w:val="both"/>
        <w:rPr>
          <w:b/>
          <w:lang w:val="en-GB" w:eastAsia="en-US"/>
        </w:rPr>
      </w:pPr>
    </w:p>
    <w:p w14:paraId="3315D2CF" w14:textId="12D9C681" w:rsidR="00E51CDD" w:rsidRPr="00E51CDD" w:rsidRDefault="00E51CDD" w:rsidP="00E51CDD">
      <w:pPr>
        <w:widowControl w:val="0"/>
        <w:tabs>
          <w:tab w:val="left" w:pos="1984"/>
        </w:tabs>
        <w:spacing w:line="280" w:lineRule="exact"/>
        <w:ind w:left="1985" w:hanging="1985"/>
        <w:jc w:val="both"/>
        <w:rPr>
          <w:b/>
          <w:lang w:val="en-GB" w:eastAsia="en-US"/>
        </w:rPr>
      </w:pPr>
      <w:r w:rsidRPr="00E51CDD">
        <w:rPr>
          <w:b/>
          <w:lang w:val="en-GB" w:eastAsia="en-US"/>
        </w:rPr>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9.9</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3</w:t>
      </w:r>
      <w:r w:rsidRPr="00E51CDD">
        <w:rPr>
          <w:b/>
          <w:lang w:val="en-GB" w:eastAsia="en-US"/>
        </w:rPr>
        <w:fldChar w:fldCharType="end"/>
      </w:r>
      <w:bookmarkEnd w:id="894"/>
      <w:bookmarkEnd w:id="895"/>
      <w:r w:rsidRPr="00E51CDD">
        <w:rPr>
          <w:b/>
          <w:lang w:val="en-GB" w:eastAsia="en-US"/>
        </w:rPr>
        <w:t>:</w:t>
      </w:r>
      <w:r w:rsidRPr="00E51CDD">
        <w:rPr>
          <w:b/>
          <w:lang w:val="en-GB" w:eastAsia="en-US"/>
        </w:rPr>
        <w:tab/>
        <w:t>Endpoints and effect values of BAS 736 00 F relevant for the risk assessment for soil microorganisms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869"/>
        <w:gridCol w:w="1869"/>
        <w:gridCol w:w="1869"/>
        <w:gridCol w:w="1869"/>
        <w:gridCol w:w="1869"/>
      </w:tblGrid>
      <w:tr w:rsidR="00E51CDD" w:rsidRPr="00E51CDD" w14:paraId="3AB714AB" w14:textId="77777777" w:rsidTr="009938D9">
        <w:trPr>
          <w:tblHeader/>
        </w:trPr>
        <w:tc>
          <w:tcPr>
            <w:tcW w:w="1000" w:type="pct"/>
            <w:shd w:val="clear" w:color="auto" w:fill="auto"/>
          </w:tcPr>
          <w:p w14:paraId="67450E49" w14:textId="77777777" w:rsidR="00E51CDD" w:rsidRPr="00E51CDD" w:rsidRDefault="00E51CDD" w:rsidP="00E51CDD">
            <w:pPr>
              <w:widowControl w:val="0"/>
              <w:spacing w:before="60" w:after="60"/>
              <w:rPr>
                <w:b/>
                <w:sz w:val="20"/>
                <w:szCs w:val="20"/>
                <w:lang w:val="en-GB"/>
              </w:rPr>
            </w:pPr>
            <w:r w:rsidRPr="00E51CDD">
              <w:rPr>
                <w:b/>
                <w:sz w:val="20"/>
                <w:szCs w:val="20"/>
                <w:lang w:val="en-GB"/>
              </w:rPr>
              <w:t>Endpoint</w:t>
            </w:r>
          </w:p>
        </w:tc>
        <w:tc>
          <w:tcPr>
            <w:tcW w:w="1000" w:type="pct"/>
            <w:shd w:val="clear" w:color="auto" w:fill="auto"/>
          </w:tcPr>
          <w:p w14:paraId="5F420479" w14:textId="77777777" w:rsidR="00E51CDD" w:rsidRPr="00E51CDD" w:rsidRDefault="00E51CDD" w:rsidP="00E51CDD">
            <w:pPr>
              <w:widowControl w:val="0"/>
              <w:spacing w:before="60" w:after="60"/>
              <w:rPr>
                <w:b/>
                <w:sz w:val="20"/>
                <w:szCs w:val="20"/>
                <w:lang w:val="en-GB"/>
              </w:rPr>
            </w:pPr>
            <w:r w:rsidRPr="00E51CDD">
              <w:rPr>
                <w:b/>
                <w:sz w:val="20"/>
                <w:szCs w:val="20"/>
                <w:lang w:val="en-GB"/>
              </w:rPr>
              <w:t>Product</w:t>
            </w:r>
          </w:p>
        </w:tc>
        <w:tc>
          <w:tcPr>
            <w:tcW w:w="1000" w:type="pct"/>
            <w:shd w:val="clear" w:color="auto" w:fill="auto"/>
          </w:tcPr>
          <w:p w14:paraId="02B27CC3" w14:textId="77777777" w:rsidR="00E51CDD" w:rsidRPr="00E51CDD" w:rsidRDefault="00E51CDD" w:rsidP="00E51CDD">
            <w:pPr>
              <w:widowControl w:val="0"/>
              <w:spacing w:before="60" w:after="60"/>
              <w:rPr>
                <w:b/>
                <w:sz w:val="20"/>
                <w:szCs w:val="20"/>
                <w:lang w:val="en-GB"/>
              </w:rPr>
            </w:pPr>
            <w:r w:rsidRPr="00E51CDD">
              <w:rPr>
                <w:b/>
                <w:sz w:val="20"/>
                <w:szCs w:val="20"/>
                <w:lang w:val="en-GB"/>
              </w:rPr>
              <w:t>Exposure System</w:t>
            </w:r>
          </w:p>
        </w:tc>
        <w:tc>
          <w:tcPr>
            <w:tcW w:w="1000" w:type="pct"/>
            <w:shd w:val="clear" w:color="auto" w:fill="auto"/>
          </w:tcPr>
          <w:p w14:paraId="14690069" w14:textId="77777777" w:rsidR="00E51CDD" w:rsidRPr="00E51CDD" w:rsidRDefault="00E51CDD" w:rsidP="00E51CDD">
            <w:pPr>
              <w:widowControl w:val="0"/>
              <w:spacing w:before="60" w:after="60"/>
              <w:rPr>
                <w:b/>
                <w:sz w:val="20"/>
                <w:szCs w:val="20"/>
                <w:lang w:val="en-GB"/>
              </w:rPr>
            </w:pPr>
            <w:r w:rsidRPr="00E51CDD">
              <w:rPr>
                <w:b/>
                <w:sz w:val="20"/>
                <w:szCs w:val="20"/>
                <w:lang w:val="en-GB"/>
              </w:rPr>
              <w:t>Results</w:t>
            </w:r>
          </w:p>
        </w:tc>
        <w:tc>
          <w:tcPr>
            <w:tcW w:w="1000" w:type="pct"/>
            <w:shd w:val="clear" w:color="auto" w:fill="auto"/>
          </w:tcPr>
          <w:p w14:paraId="1B417F23" w14:textId="77777777" w:rsidR="00E51CDD" w:rsidRPr="00E51CDD" w:rsidRDefault="00E51CDD" w:rsidP="00E51CDD">
            <w:pPr>
              <w:widowControl w:val="0"/>
              <w:spacing w:before="60" w:after="60"/>
              <w:rPr>
                <w:b/>
                <w:sz w:val="20"/>
                <w:szCs w:val="20"/>
                <w:lang w:val="en-GB"/>
              </w:rPr>
            </w:pPr>
            <w:r w:rsidRPr="00E51CDD">
              <w:rPr>
                <w:b/>
                <w:sz w:val="20"/>
                <w:szCs w:val="20"/>
                <w:lang w:val="en-GB"/>
              </w:rPr>
              <w:t>Reference</w:t>
            </w:r>
          </w:p>
        </w:tc>
      </w:tr>
      <w:tr w:rsidR="00E51CDD" w:rsidRPr="00E51CDD" w14:paraId="59CFA8F3" w14:textId="77777777" w:rsidTr="009938D9">
        <w:tc>
          <w:tcPr>
            <w:tcW w:w="1000" w:type="pct"/>
            <w:shd w:val="clear" w:color="auto" w:fill="auto"/>
          </w:tcPr>
          <w:p w14:paraId="1CA0AB61" w14:textId="77777777" w:rsidR="00E51CDD" w:rsidRPr="00E51CDD" w:rsidRDefault="00E51CDD" w:rsidP="00E51CDD">
            <w:pPr>
              <w:widowControl w:val="0"/>
              <w:rPr>
                <w:noProof/>
                <w:sz w:val="20"/>
                <w:lang w:val="en-GB"/>
              </w:rPr>
            </w:pPr>
            <w:r w:rsidRPr="00E51CDD">
              <w:rPr>
                <w:noProof/>
                <w:sz w:val="20"/>
                <w:lang w:val="en-GB"/>
              </w:rPr>
              <w:t>N-mineralization</w:t>
            </w:r>
          </w:p>
        </w:tc>
        <w:tc>
          <w:tcPr>
            <w:tcW w:w="1000" w:type="pct"/>
            <w:shd w:val="clear" w:color="auto" w:fill="auto"/>
          </w:tcPr>
          <w:p w14:paraId="5ADB781C" w14:textId="77777777" w:rsidR="00E51CDD" w:rsidRPr="00E51CDD" w:rsidRDefault="00E51CDD" w:rsidP="00E51CDD">
            <w:pPr>
              <w:widowControl w:val="0"/>
              <w:rPr>
                <w:noProof/>
                <w:sz w:val="20"/>
                <w:lang w:val="en-GB"/>
              </w:rPr>
            </w:pPr>
            <w:r w:rsidRPr="00E51CDD">
              <w:rPr>
                <w:noProof/>
                <w:sz w:val="20"/>
                <w:lang w:val="en-GB"/>
              </w:rPr>
              <w:t>BAS 736 00 F</w:t>
            </w:r>
          </w:p>
        </w:tc>
        <w:tc>
          <w:tcPr>
            <w:tcW w:w="1000" w:type="pct"/>
            <w:shd w:val="clear" w:color="auto" w:fill="auto"/>
          </w:tcPr>
          <w:p w14:paraId="309BBC24" w14:textId="77777777" w:rsidR="00E51CDD" w:rsidRPr="00E51CDD" w:rsidRDefault="00E51CDD" w:rsidP="00E51CDD">
            <w:pPr>
              <w:widowControl w:val="0"/>
              <w:rPr>
                <w:noProof/>
                <w:sz w:val="20"/>
                <w:lang w:val="en-GB"/>
              </w:rPr>
            </w:pPr>
            <w:r w:rsidRPr="00E51CDD">
              <w:rPr>
                <w:noProof/>
                <w:sz w:val="20"/>
                <w:lang w:val="en-GB"/>
              </w:rPr>
              <w:t>28 d, aerobic</w:t>
            </w:r>
            <w:r w:rsidRPr="00E51CDD">
              <w:rPr>
                <w:noProof/>
                <w:sz w:val="20"/>
                <w:lang w:val="en-GB"/>
              </w:rPr>
              <w:br/>
              <w:t>loamy sand</w:t>
            </w:r>
          </w:p>
        </w:tc>
        <w:tc>
          <w:tcPr>
            <w:tcW w:w="1000" w:type="pct"/>
            <w:shd w:val="clear" w:color="auto" w:fill="auto"/>
          </w:tcPr>
          <w:p w14:paraId="618D6F1E" w14:textId="77777777" w:rsidR="00E51CDD" w:rsidRPr="00E51CDD" w:rsidRDefault="00E51CDD" w:rsidP="00E51CDD">
            <w:pPr>
              <w:widowControl w:val="0"/>
              <w:rPr>
                <w:noProof/>
                <w:sz w:val="20"/>
                <w:lang w:val="en-GB"/>
              </w:rPr>
            </w:pPr>
            <w:r w:rsidRPr="00E51CDD">
              <w:rPr>
                <w:noProof/>
                <w:sz w:val="20"/>
                <w:lang w:val="en-GB"/>
              </w:rPr>
              <w:t>Nitrate formation rate at 35.00 mg/kg dry soil</w:t>
            </w:r>
            <w:r w:rsidRPr="00E51CDD">
              <w:rPr>
                <w:noProof/>
                <w:sz w:val="20"/>
                <w:lang w:val="en-GB"/>
              </w:rPr>
              <w:br/>
              <w:t xml:space="preserve">(equivalent to 1.6 mg fluxapyroxad and 2.4 mg azoxystrobin/kg dry soil) </w:t>
            </w:r>
            <w:r w:rsidRPr="00E51CDD">
              <w:rPr>
                <w:noProof/>
                <w:sz w:val="20"/>
                <w:vertAlign w:val="superscript"/>
                <w:lang w:val="en-GB"/>
              </w:rPr>
              <w:t>1)</w:t>
            </w:r>
            <w:r w:rsidRPr="00E51CDD">
              <w:rPr>
                <w:noProof/>
                <w:sz w:val="20"/>
                <w:lang w:val="en-GB"/>
              </w:rPr>
              <w:br/>
              <w:t>+0.4%</w:t>
            </w:r>
          </w:p>
        </w:tc>
        <w:tc>
          <w:tcPr>
            <w:tcW w:w="1000" w:type="pct"/>
            <w:shd w:val="clear" w:color="auto" w:fill="auto"/>
          </w:tcPr>
          <w:p w14:paraId="09ECBB07" w14:textId="77777777" w:rsidR="00E51CDD" w:rsidRPr="00E51CDD" w:rsidRDefault="00E51CDD" w:rsidP="00E51CDD">
            <w:pPr>
              <w:widowControl w:val="0"/>
              <w:rPr>
                <w:noProof/>
                <w:sz w:val="20"/>
                <w:lang w:val="en-GB"/>
              </w:rPr>
            </w:pPr>
            <w:r w:rsidRPr="00E51CDD">
              <w:rPr>
                <w:bCs/>
                <w:iCs/>
                <w:noProof/>
                <w:sz w:val="20"/>
                <w:szCs w:val="20"/>
                <w:lang w:eastAsia="en-US"/>
              </w:rPr>
              <w:t>not EU evaluated</w:t>
            </w:r>
            <w:r w:rsidRPr="00E51CDD">
              <w:rPr>
                <w:noProof/>
                <w:sz w:val="20"/>
                <w:szCs w:val="20"/>
                <w:lang w:val="en-GB"/>
              </w:rPr>
              <w:br/>
            </w:r>
            <w:r w:rsidRPr="00E51CDD">
              <w:rPr>
                <w:noProof/>
                <w:sz w:val="20"/>
                <w:lang w:val="en-GB"/>
              </w:rPr>
              <w:t>2019/1061099</w:t>
            </w:r>
          </w:p>
        </w:tc>
      </w:tr>
    </w:tbl>
    <w:p w14:paraId="0E914EF8" w14:textId="77777777" w:rsidR="00E51CDD" w:rsidRPr="00E51CDD" w:rsidRDefault="00E51CDD" w:rsidP="00E51CDD">
      <w:pPr>
        <w:widowControl w:val="0"/>
        <w:jc w:val="both"/>
        <w:rPr>
          <w:sz w:val="18"/>
          <w:szCs w:val="18"/>
          <w:lang w:val="en-GB"/>
        </w:rPr>
      </w:pPr>
      <w:r w:rsidRPr="00E51CDD">
        <w:rPr>
          <w:sz w:val="18"/>
          <w:szCs w:val="18"/>
          <w:lang w:val="en-GB"/>
        </w:rPr>
        <w:lastRenderedPageBreak/>
        <w:t>+ = stimulation, - = inhibition</w:t>
      </w:r>
    </w:p>
    <w:p w14:paraId="778F27A7" w14:textId="77777777" w:rsidR="00E51CDD" w:rsidRPr="00E51CDD" w:rsidRDefault="00E51CDD" w:rsidP="00E51CDD">
      <w:pPr>
        <w:tabs>
          <w:tab w:val="left" w:pos="720"/>
        </w:tabs>
        <w:ind w:left="425" w:hanging="425"/>
        <w:jc w:val="both"/>
        <w:rPr>
          <w:sz w:val="18"/>
          <w:szCs w:val="24"/>
          <w:lang w:eastAsia="en-US"/>
        </w:rPr>
      </w:pPr>
      <w:r w:rsidRPr="00E51CDD">
        <w:rPr>
          <w:sz w:val="18"/>
          <w:szCs w:val="18"/>
          <w:vertAlign w:val="superscript"/>
          <w:lang w:val="en-GB" w:eastAsia="en-US"/>
        </w:rPr>
        <w:t>1)</w:t>
      </w:r>
      <w:r w:rsidRPr="00E51CDD">
        <w:rPr>
          <w:sz w:val="18"/>
          <w:szCs w:val="18"/>
          <w:lang w:val="en-GB" w:eastAsia="en-US"/>
        </w:rPr>
        <w:tab/>
        <w:t xml:space="preserve">Calculated, based on the nominal content of the a.s. and </w:t>
      </w:r>
      <w:r w:rsidRPr="00E51CDD">
        <w:rPr>
          <w:sz w:val="18"/>
          <w:szCs w:val="24"/>
          <w:lang w:eastAsia="en-US"/>
        </w:rPr>
        <w:t>taking into account a density of BAS 736 00 F of 1.078 g/cm</w:t>
      </w:r>
      <w:r w:rsidRPr="00E51CDD">
        <w:rPr>
          <w:sz w:val="18"/>
          <w:szCs w:val="24"/>
          <w:vertAlign w:val="superscript"/>
          <w:lang w:eastAsia="en-US"/>
        </w:rPr>
        <w:t>3</w:t>
      </w:r>
      <w:r w:rsidRPr="00E51CDD">
        <w:rPr>
          <w:sz w:val="18"/>
          <w:szCs w:val="24"/>
          <w:lang w:eastAsia="en-US"/>
        </w:rPr>
        <w:t>.</w:t>
      </w:r>
    </w:p>
    <w:p w14:paraId="49F12E46" w14:textId="77777777" w:rsidR="00E51CDD" w:rsidRPr="00E51CDD" w:rsidRDefault="00E51CDD" w:rsidP="00E51CDD">
      <w:pPr>
        <w:rPr>
          <w:sz w:val="20"/>
          <w:szCs w:val="20"/>
        </w:rPr>
      </w:pPr>
    </w:p>
    <w:p w14:paraId="44890FF7" w14:textId="77777777" w:rsidR="00E51CDD" w:rsidRPr="00E51CDD" w:rsidRDefault="00E51CDD" w:rsidP="00B31542">
      <w:pPr>
        <w:pStyle w:val="Nagwek4"/>
      </w:pPr>
      <w:bookmarkStart w:id="896" w:name="_Toc125446454"/>
      <w:r w:rsidRPr="00E51CDD">
        <w:t>Justification for new endpoints</w:t>
      </w:r>
      <w:bookmarkEnd w:id="883"/>
      <w:bookmarkEnd w:id="884"/>
      <w:bookmarkEnd w:id="885"/>
      <w:bookmarkEnd w:id="886"/>
      <w:bookmarkEnd w:id="887"/>
      <w:bookmarkEnd w:id="888"/>
      <w:bookmarkEnd w:id="889"/>
      <w:bookmarkEnd w:id="890"/>
      <w:bookmarkEnd w:id="896"/>
    </w:p>
    <w:p w14:paraId="59365D15" w14:textId="07D499BA" w:rsidR="00E51CDD" w:rsidRDefault="00E51CDD" w:rsidP="00E51CDD">
      <w:pPr>
        <w:widowControl w:val="0"/>
        <w:tabs>
          <w:tab w:val="left" w:pos="720"/>
        </w:tabs>
        <w:spacing w:line="280" w:lineRule="exact"/>
        <w:jc w:val="both"/>
        <w:rPr>
          <w:szCs w:val="24"/>
          <w:lang w:eastAsia="en-US"/>
        </w:rPr>
      </w:pPr>
      <w:r w:rsidRPr="00E51CDD">
        <w:rPr>
          <w:szCs w:val="24"/>
          <w:lang w:eastAsia="en-US"/>
        </w:rPr>
        <w:t xml:space="preserve">Effects on soil microbial activity of BAS 736 00 F were not evaluated as part of the EU review of </w:t>
      </w:r>
      <w:r w:rsidRPr="00E51CDD">
        <w:rPr>
          <w:lang w:val="en-GB" w:eastAsia="en-US"/>
        </w:rPr>
        <w:t>fluxapyroxad and azoxystrobin</w:t>
      </w:r>
      <w:r w:rsidRPr="00E51CDD">
        <w:rPr>
          <w:szCs w:val="24"/>
          <w:lang w:eastAsia="en-US"/>
        </w:rPr>
        <w:t>. Therefore, all relevant data and assessments are provided here and are considered adequate.</w:t>
      </w:r>
    </w:p>
    <w:p w14:paraId="021A1F82" w14:textId="77777777" w:rsidR="000630E1" w:rsidRPr="00E51CDD" w:rsidRDefault="000630E1" w:rsidP="00E51CDD">
      <w:pPr>
        <w:widowControl w:val="0"/>
        <w:tabs>
          <w:tab w:val="left" w:pos="720"/>
        </w:tabs>
        <w:spacing w:line="280" w:lineRule="exact"/>
        <w:jc w:val="both"/>
        <w:rPr>
          <w:szCs w:val="24"/>
          <w:lang w:eastAsia="en-US"/>
        </w:rPr>
      </w:pPr>
    </w:p>
    <w:p w14:paraId="61D2AD3F" w14:textId="77777777" w:rsidR="00E51CDD" w:rsidRPr="00E51CDD" w:rsidRDefault="00E51CDD" w:rsidP="00B31542">
      <w:pPr>
        <w:pStyle w:val="Nagwek3"/>
      </w:pPr>
      <w:bookmarkStart w:id="897" w:name="_Toc412644029"/>
      <w:bookmarkStart w:id="898" w:name="_Toc413916873"/>
      <w:bookmarkStart w:id="899" w:name="_Toc413917015"/>
      <w:bookmarkStart w:id="900" w:name="_Toc413922076"/>
      <w:bookmarkStart w:id="901" w:name="_Toc413922565"/>
      <w:bookmarkStart w:id="902" w:name="_Toc413922669"/>
      <w:bookmarkStart w:id="903" w:name="_Toc414955306"/>
      <w:bookmarkStart w:id="904" w:name="_Toc415214613"/>
      <w:bookmarkStart w:id="905" w:name="_Toc125446455"/>
      <w:r w:rsidRPr="00E51CDD">
        <w:t>Risk assessment</w:t>
      </w:r>
      <w:bookmarkEnd w:id="897"/>
      <w:bookmarkEnd w:id="898"/>
      <w:bookmarkEnd w:id="899"/>
      <w:bookmarkEnd w:id="900"/>
      <w:bookmarkEnd w:id="901"/>
      <w:bookmarkEnd w:id="902"/>
      <w:bookmarkEnd w:id="903"/>
      <w:bookmarkEnd w:id="904"/>
      <w:bookmarkEnd w:id="905"/>
    </w:p>
    <w:p w14:paraId="6A4D3050" w14:textId="77777777" w:rsidR="00E51CDD" w:rsidRPr="00E51CDD" w:rsidRDefault="00E51CDD" w:rsidP="00E51CDD">
      <w:pPr>
        <w:widowControl w:val="0"/>
        <w:jc w:val="both"/>
        <w:rPr>
          <w:lang w:val="en-GB"/>
        </w:rPr>
      </w:pPr>
      <w:bookmarkStart w:id="906" w:name="_Toc412644030"/>
      <w:bookmarkStart w:id="907" w:name="_Toc413916874"/>
      <w:bookmarkStart w:id="908" w:name="_Toc413917016"/>
      <w:bookmarkStart w:id="909" w:name="_Toc413922077"/>
      <w:bookmarkStart w:id="910" w:name="_Toc413922566"/>
      <w:bookmarkStart w:id="911" w:name="_Toc413922670"/>
      <w:bookmarkStart w:id="912" w:name="_Toc414955307"/>
      <w:bookmarkStart w:id="913" w:name="_Toc415214614"/>
      <w:r w:rsidRPr="00E51CDD">
        <w:rPr>
          <w:lang w:val="en-GB"/>
        </w:rPr>
        <w:t>The evaluation of the risk for soil microorganisms was performed in accordance with the recommendations of the “Guidance Document on Terrestrial Ecotoxicology”, as provided by the Commission Services (SANCO/10329/2002 rev 2 (final), October 17, 2002).</w:t>
      </w:r>
    </w:p>
    <w:p w14:paraId="2E435284" w14:textId="77777777" w:rsidR="00E51CDD" w:rsidRPr="00E51CDD" w:rsidRDefault="00E51CDD" w:rsidP="00E51CDD">
      <w:pPr>
        <w:widowControl w:val="0"/>
        <w:jc w:val="both"/>
        <w:rPr>
          <w:lang w:val="en-GB"/>
        </w:rPr>
      </w:pPr>
    </w:p>
    <w:p w14:paraId="67C1698B" w14:textId="77777777" w:rsidR="00E51CDD" w:rsidRPr="00E51CDD" w:rsidRDefault="00E51CDD" w:rsidP="00E51CDD">
      <w:pPr>
        <w:widowControl w:val="0"/>
        <w:jc w:val="both"/>
        <w:rPr>
          <w:lang w:val="en-GB"/>
        </w:rPr>
      </w:pPr>
      <w:r w:rsidRPr="00E51CDD">
        <w:rPr>
          <w:lang w:val="en-GB"/>
        </w:rPr>
        <w:t>The relevant predicted environmental concentrations in soil (PEC</w:t>
      </w:r>
      <w:r w:rsidRPr="00E51CDD">
        <w:rPr>
          <w:vertAlign w:val="subscript"/>
          <w:lang w:val="en-GB"/>
        </w:rPr>
        <w:t>soil</w:t>
      </w:r>
      <w:r w:rsidRPr="00E51CDD">
        <w:rPr>
          <w:lang w:val="en-GB"/>
        </w:rPr>
        <w:t>) for risk assessments covering the proposed use pattern are taken from Section 8 (Environmental Fate), Chapter 8.7.2, and were already used in the risk assessment for earthworms and other non-target soil organisms (meso- and macrofauna) (see Section 9 Chapter 9.8).</w:t>
      </w:r>
    </w:p>
    <w:p w14:paraId="01FAE04D" w14:textId="77777777" w:rsidR="00E51CDD" w:rsidRPr="00E51CDD" w:rsidRDefault="00E51CDD" w:rsidP="00E51CDD">
      <w:pPr>
        <w:widowControl w:val="0"/>
        <w:jc w:val="both"/>
        <w:rPr>
          <w:lang w:val="en-GB"/>
        </w:rPr>
      </w:pPr>
    </w:p>
    <w:p w14:paraId="107BA58B" w14:textId="688EC3C4" w:rsidR="00E51CDD" w:rsidRPr="00E51CDD" w:rsidRDefault="00E51CDD" w:rsidP="00E51CDD">
      <w:pPr>
        <w:widowControl w:val="0"/>
        <w:jc w:val="both"/>
        <w:rPr>
          <w:lang w:val="en-GB"/>
        </w:rPr>
      </w:pPr>
      <w:r w:rsidRPr="00E51CDD">
        <w:rPr>
          <w:lang w:val="en-GB"/>
        </w:rPr>
        <w:t xml:space="preserve">The potential risk of BAS 736 00 F, </w:t>
      </w:r>
      <w:r w:rsidRPr="00E51CDD">
        <w:t>fluxapyroxad, azoxystrobin</w:t>
      </w:r>
      <w:r w:rsidRPr="00E51CDD">
        <w:rPr>
          <w:lang w:val="en-GB"/>
        </w:rPr>
        <w:t xml:space="preserve"> and relevant metabolites to soil micro-organisms was assessed by comparing the maximum PEC</w:t>
      </w:r>
      <w:r w:rsidRPr="00E51CDD">
        <w:rPr>
          <w:vertAlign w:val="subscript"/>
          <w:lang w:val="en-GB"/>
        </w:rPr>
        <w:t>soil</w:t>
      </w:r>
      <w:r w:rsidRPr="00E51CDD">
        <w:rPr>
          <w:lang w:val="en-GB"/>
        </w:rPr>
        <w:t xml:space="preserve"> values with the maximum concentration with effects ≤ 25 % (see </w:t>
      </w:r>
      <w:r w:rsidRPr="00E51CDD">
        <w:rPr>
          <w:lang w:val="en-GB"/>
        </w:rPr>
        <w:fldChar w:fldCharType="begin"/>
      </w:r>
      <w:r w:rsidRPr="00E51CDD">
        <w:rPr>
          <w:lang w:val="en-GB"/>
        </w:rPr>
        <w:instrText xml:space="preserve"> REF _Ref5000210 \h  \* MERGEFORMAT </w:instrText>
      </w:r>
      <w:r w:rsidRPr="00E51CDD">
        <w:rPr>
          <w:lang w:val="en-GB"/>
        </w:rPr>
      </w:r>
      <w:r w:rsidRPr="00E51CDD">
        <w:rPr>
          <w:lang w:val="en-GB"/>
        </w:rPr>
        <w:fldChar w:fldCharType="separate"/>
      </w:r>
      <w:r w:rsidR="00662F32" w:rsidRPr="00662F32">
        <w:rPr>
          <w:lang w:val="en-GB"/>
        </w:rPr>
        <w:t xml:space="preserve">Table </w:t>
      </w:r>
      <w:r w:rsidR="00662F32" w:rsidRPr="00662F32">
        <w:rPr>
          <w:noProof/>
          <w:lang w:val="en-GB"/>
        </w:rPr>
        <w:t>9.9</w:t>
      </w:r>
      <w:r w:rsidR="00662F32" w:rsidRPr="00662F32">
        <w:rPr>
          <w:noProof/>
          <w:lang w:val="en-GB"/>
        </w:rPr>
        <w:noBreakHyphen/>
        <w:t>4</w:t>
      </w:r>
      <w:r w:rsidRPr="00E51CDD">
        <w:rPr>
          <w:lang w:val="en-GB"/>
        </w:rPr>
        <w:fldChar w:fldCharType="end"/>
      </w:r>
      <w:r w:rsidRPr="00E51CDD">
        <w:rPr>
          <w:lang w:val="en-GB"/>
        </w:rPr>
        <w:t xml:space="preserve">, </w:t>
      </w:r>
      <w:r w:rsidRPr="00E51CDD">
        <w:rPr>
          <w:lang w:val="en-GB"/>
        </w:rPr>
        <w:fldChar w:fldCharType="begin"/>
      </w:r>
      <w:r w:rsidRPr="00E51CDD">
        <w:rPr>
          <w:lang w:val="en-GB"/>
        </w:rPr>
        <w:instrText xml:space="preserve"> REF _Ref83112016 \h  \* MERGEFORMAT </w:instrText>
      </w:r>
      <w:r w:rsidRPr="00E51CDD">
        <w:rPr>
          <w:lang w:val="en-GB"/>
        </w:rPr>
      </w:r>
      <w:r w:rsidRPr="00E51CDD">
        <w:rPr>
          <w:lang w:val="en-GB"/>
        </w:rPr>
        <w:fldChar w:fldCharType="separate"/>
      </w:r>
      <w:r w:rsidR="00662F32" w:rsidRPr="00662F32">
        <w:rPr>
          <w:lang w:val="en-GB"/>
        </w:rPr>
        <w:t xml:space="preserve">Table </w:t>
      </w:r>
      <w:r w:rsidR="00662F32" w:rsidRPr="00662F32">
        <w:rPr>
          <w:noProof/>
          <w:lang w:val="en-GB"/>
        </w:rPr>
        <w:t>9.9</w:t>
      </w:r>
      <w:r w:rsidR="00662F32" w:rsidRPr="00662F32">
        <w:rPr>
          <w:noProof/>
          <w:lang w:val="en-GB"/>
        </w:rPr>
        <w:noBreakHyphen/>
        <w:t>5</w:t>
      </w:r>
      <w:r w:rsidRPr="00E51CDD">
        <w:rPr>
          <w:lang w:val="en-GB"/>
        </w:rPr>
        <w:fldChar w:fldCharType="end"/>
      </w:r>
      <w:r w:rsidRPr="00E51CDD">
        <w:rPr>
          <w:lang w:val="en-GB"/>
        </w:rPr>
        <w:t xml:space="preserve"> and </w:t>
      </w:r>
      <w:r w:rsidRPr="00E51CDD">
        <w:rPr>
          <w:lang w:val="en-GB"/>
        </w:rPr>
        <w:fldChar w:fldCharType="begin"/>
      </w:r>
      <w:r w:rsidRPr="00E51CDD">
        <w:rPr>
          <w:lang w:val="en-GB"/>
        </w:rPr>
        <w:instrText xml:space="preserve"> REF _Ref5000212 \h  \* MERGEFORMAT </w:instrText>
      </w:r>
      <w:r w:rsidRPr="00E51CDD">
        <w:rPr>
          <w:lang w:val="en-GB"/>
        </w:rPr>
      </w:r>
      <w:r w:rsidRPr="00E51CDD">
        <w:rPr>
          <w:lang w:val="en-GB"/>
        </w:rPr>
        <w:fldChar w:fldCharType="separate"/>
      </w:r>
      <w:r w:rsidR="00662F32" w:rsidRPr="00662F32">
        <w:rPr>
          <w:lang w:val="en-GB"/>
        </w:rPr>
        <w:t xml:space="preserve">Table </w:t>
      </w:r>
      <w:r w:rsidR="00662F32" w:rsidRPr="00662F32">
        <w:rPr>
          <w:noProof/>
          <w:lang w:val="en-GB"/>
        </w:rPr>
        <w:t>9.9</w:t>
      </w:r>
      <w:r w:rsidR="00662F32" w:rsidRPr="00662F32">
        <w:rPr>
          <w:noProof/>
          <w:lang w:val="en-GB"/>
        </w:rPr>
        <w:noBreakHyphen/>
        <w:t>6</w:t>
      </w:r>
      <w:r w:rsidRPr="00E51CDD">
        <w:rPr>
          <w:lang w:val="en-GB"/>
        </w:rPr>
        <w:fldChar w:fldCharType="end"/>
      </w:r>
      <w:r w:rsidRPr="00E51CDD">
        <w:rPr>
          <w:lang w:val="en-GB"/>
        </w:rPr>
        <w:t>).</w:t>
      </w:r>
    </w:p>
    <w:p w14:paraId="728A887B" w14:textId="77777777" w:rsidR="00E51CDD" w:rsidRPr="00E51CDD" w:rsidRDefault="00E51CDD" w:rsidP="00E51CDD">
      <w:pPr>
        <w:widowControl w:val="0"/>
        <w:jc w:val="both"/>
        <w:rPr>
          <w:lang w:val="en-GB"/>
        </w:rPr>
      </w:pPr>
    </w:p>
    <w:p w14:paraId="47A2D65C" w14:textId="7EF6EB16" w:rsidR="00E51CDD" w:rsidRPr="00E51CDD" w:rsidRDefault="00E51CDD" w:rsidP="00E51CDD">
      <w:pPr>
        <w:tabs>
          <w:tab w:val="left" w:pos="1984"/>
        </w:tabs>
        <w:spacing w:line="280" w:lineRule="exact"/>
        <w:ind w:left="1985" w:hanging="1985"/>
        <w:jc w:val="both"/>
        <w:rPr>
          <w:b/>
          <w:lang w:eastAsia="en-US"/>
        </w:rPr>
      </w:pPr>
      <w:bookmarkStart w:id="914" w:name="_Ref5000210"/>
      <w:r w:rsidRPr="00E51CDD">
        <w:rPr>
          <w:b/>
          <w:lang w:val="en-GB" w:eastAsia="en-US"/>
        </w:rPr>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9.9</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4</w:t>
      </w:r>
      <w:r w:rsidRPr="00E51CDD">
        <w:rPr>
          <w:b/>
          <w:lang w:val="en-GB" w:eastAsia="en-US"/>
        </w:rPr>
        <w:fldChar w:fldCharType="end"/>
      </w:r>
      <w:bookmarkEnd w:id="914"/>
      <w:r w:rsidRPr="00E51CDD">
        <w:rPr>
          <w:b/>
          <w:lang w:val="en-GB" w:eastAsia="en-US"/>
        </w:rPr>
        <w:t>:</w:t>
      </w:r>
      <w:r w:rsidRPr="00E51CDD">
        <w:rPr>
          <w:b/>
          <w:lang w:val="en-GB" w:eastAsia="en-US"/>
        </w:rPr>
        <w:tab/>
        <w:t xml:space="preserve">Assessment of the risk for effects on soil micro-organisms due to the use of </w:t>
      </w:r>
      <w:r w:rsidRPr="00E51CDD">
        <w:rPr>
          <w:b/>
          <w:lang w:eastAsia="en-US"/>
        </w:rPr>
        <w:t>fluxapyroxad as contained in BAS 736 00 F according to the proposed use pattern</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200"/>
        <w:gridCol w:w="2200"/>
        <w:gridCol w:w="2198"/>
      </w:tblGrid>
      <w:tr w:rsidR="00E51CDD" w:rsidRPr="00E51CDD" w14:paraId="1E3F949E" w14:textId="77777777" w:rsidTr="009938D9">
        <w:trPr>
          <w:cantSplit/>
        </w:trPr>
        <w:tc>
          <w:tcPr>
            <w:tcW w:w="1470" w:type="pct"/>
            <w:tcBorders>
              <w:top w:val="single" w:sz="4" w:space="0" w:color="auto"/>
              <w:bottom w:val="single" w:sz="4" w:space="0" w:color="auto"/>
            </w:tcBorders>
            <w:vAlign w:val="center"/>
          </w:tcPr>
          <w:p w14:paraId="4D06750B" w14:textId="77777777" w:rsidR="00E51CDD" w:rsidRPr="00E51CDD" w:rsidRDefault="00E51CDD" w:rsidP="00E51CDD">
            <w:pPr>
              <w:widowControl w:val="0"/>
              <w:rPr>
                <w:b/>
                <w:bCs/>
                <w:sz w:val="20"/>
                <w:szCs w:val="20"/>
                <w:lang w:val="en-GB"/>
              </w:rPr>
            </w:pPr>
            <w:r w:rsidRPr="00E51CDD">
              <w:rPr>
                <w:b/>
                <w:bCs/>
                <w:sz w:val="20"/>
                <w:szCs w:val="20"/>
                <w:lang w:val="en-GB"/>
              </w:rPr>
              <w:t>Intended use</w:t>
            </w:r>
          </w:p>
        </w:tc>
        <w:tc>
          <w:tcPr>
            <w:tcW w:w="3530" w:type="pct"/>
            <w:gridSpan w:val="3"/>
            <w:tcBorders>
              <w:top w:val="single" w:sz="4" w:space="0" w:color="auto"/>
              <w:bottom w:val="single" w:sz="4" w:space="0" w:color="auto"/>
            </w:tcBorders>
            <w:vAlign w:val="center"/>
          </w:tcPr>
          <w:p w14:paraId="0BC4F6E0" w14:textId="77777777" w:rsidR="00E51CDD" w:rsidRPr="00E51CDD" w:rsidRDefault="00E51CDD" w:rsidP="00E51CDD">
            <w:pPr>
              <w:widowControl w:val="0"/>
              <w:rPr>
                <w:noProof/>
                <w:sz w:val="20"/>
                <w:vertAlign w:val="superscript"/>
                <w:lang w:val="it-IT"/>
              </w:rPr>
            </w:pPr>
            <w:r w:rsidRPr="00E51CDD">
              <w:rPr>
                <w:noProof/>
                <w:sz w:val="20"/>
                <w:lang w:val="en-GB"/>
              </w:rPr>
              <w:t>cereals</w:t>
            </w:r>
          </w:p>
        </w:tc>
      </w:tr>
      <w:tr w:rsidR="00E51CDD" w:rsidRPr="00E51CDD" w14:paraId="23B03356" w14:textId="77777777" w:rsidTr="009938D9">
        <w:trPr>
          <w:cantSplit/>
        </w:trPr>
        <w:tc>
          <w:tcPr>
            <w:tcW w:w="1470" w:type="pct"/>
            <w:tcBorders>
              <w:top w:val="single" w:sz="4" w:space="0" w:color="auto"/>
              <w:bottom w:val="single" w:sz="4" w:space="0" w:color="auto"/>
            </w:tcBorders>
            <w:vAlign w:val="center"/>
          </w:tcPr>
          <w:p w14:paraId="08352F71" w14:textId="77777777" w:rsidR="00E51CDD" w:rsidRPr="00E51CDD" w:rsidRDefault="00E51CDD" w:rsidP="00E51CDD">
            <w:pPr>
              <w:widowControl w:val="0"/>
              <w:rPr>
                <w:b/>
                <w:bCs/>
                <w:sz w:val="20"/>
                <w:szCs w:val="20"/>
                <w:lang w:val="en-GB"/>
              </w:rPr>
            </w:pPr>
            <w:r w:rsidRPr="00E51CDD">
              <w:rPr>
                <w:b/>
                <w:bCs/>
                <w:sz w:val="20"/>
                <w:szCs w:val="20"/>
                <w:lang w:val="en-GB"/>
              </w:rPr>
              <w:t>Active substance</w:t>
            </w:r>
          </w:p>
        </w:tc>
        <w:tc>
          <w:tcPr>
            <w:tcW w:w="3530" w:type="pct"/>
            <w:gridSpan w:val="3"/>
            <w:tcBorders>
              <w:top w:val="single" w:sz="4" w:space="0" w:color="auto"/>
              <w:bottom w:val="single" w:sz="4" w:space="0" w:color="auto"/>
            </w:tcBorders>
            <w:vAlign w:val="center"/>
          </w:tcPr>
          <w:p w14:paraId="7B69C4CF" w14:textId="77777777" w:rsidR="00E51CDD" w:rsidRPr="00E51CDD" w:rsidRDefault="00E51CDD" w:rsidP="00E51CDD">
            <w:pPr>
              <w:widowControl w:val="0"/>
              <w:rPr>
                <w:noProof/>
                <w:sz w:val="20"/>
                <w:lang w:val="en-GB"/>
              </w:rPr>
            </w:pPr>
            <w:r w:rsidRPr="00E51CDD">
              <w:rPr>
                <w:noProof/>
                <w:sz w:val="20"/>
              </w:rPr>
              <w:t xml:space="preserve">fluxapyroxad </w:t>
            </w:r>
          </w:p>
        </w:tc>
      </w:tr>
      <w:tr w:rsidR="00E51CDD" w:rsidRPr="00E51CDD" w14:paraId="2AC345F9" w14:textId="77777777" w:rsidTr="009938D9">
        <w:trPr>
          <w:cantSplit/>
        </w:trPr>
        <w:tc>
          <w:tcPr>
            <w:tcW w:w="1470" w:type="pct"/>
            <w:tcBorders>
              <w:top w:val="single" w:sz="4" w:space="0" w:color="auto"/>
              <w:bottom w:val="single" w:sz="4" w:space="0" w:color="auto"/>
            </w:tcBorders>
            <w:vAlign w:val="center"/>
          </w:tcPr>
          <w:p w14:paraId="39AE20B7" w14:textId="77777777" w:rsidR="00E51CDD" w:rsidRPr="00E51CDD" w:rsidRDefault="00E51CDD" w:rsidP="00E51CDD">
            <w:pPr>
              <w:widowControl w:val="0"/>
              <w:rPr>
                <w:b/>
                <w:bCs/>
                <w:sz w:val="20"/>
                <w:szCs w:val="20"/>
                <w:lang w:val="en-GB"/>
              </w:rPr>
            </w:pPr>
            <w:r w:rsidRPr="00E51CDD">
              <w:rPr>
                <w:b/>
                <w:bCs/>
                <w:sz w:val="20"/>
                <w:szCs w:val="20"/>
                <w:lang w:val="en-GB"/>
              </w:rPr>
              <w:t>Application rate (g a.s./ha)</w:t>
            </w:r>
          </w:p>
        </w:tc>
        <w:tc>
          <w:tcPr>
            <w:tcW w:w="3530" w:type="pct"/>
            <w:gridSpan w:val="3"/>
            <w:tcBorders>
              <w:top w:val="single" w:sz="4" w:space="0" w:color="auto"/>
              <w:bottom w:val="single" w:sz="4" w:space="0" w:color="auto"/>
            </w:tcBorders>
            <w:vAlign w:val="center"/>
          </w:tcPr>
          <w:p w14:paraId="6829E857" w14:textId="77777777" w:rsidR="00E51CDD" w:rsidRPr="00E51CDD" w:rsidRDefault="00E51CDD" w:rsidP="00E51CDD">
            <w:pPr>
              <w:widowControl w:val="0"/>
              <w:rPr>
                <w:noProof/>
                <w:sz w:val="20"/>
                <w:lang w:val="en-GB"/>
              </w:rPr>
            </w:pPr>
            <w:r w:rsidRPr="00E51CDD">
              <w:rPr>
                <w:noProof/>
                <w:sz w:val="20"/>
                <w:szCs w:val="20"/>
                <w:lang w:val="en-GB"/>
              </w:rPr>
              <w:t>2 x 100</w:t>
            </w:r>
          </w:p>
        </w:tc>
      </w:tr>
      <w:tr w:rsidR="00E51CDD" w:rsidRPr="00E51CDD" w14:paraId="219140AE" w14:textId="77777777" w:rsidTr="009938D9">
        <w:trPr>
          <w:cantSplit/>
        </w:trPr>
        <w:tc>
          <w:tcPr>
            <w:tcW w:w="5000" w:type="pct"/>
            <w:gridSpan w:val="4"/>
            <w:tcBorders>
              <w:top w:val="single" w:sz="4" w:space="0" w:color="auto"/>
            </w:tcBorders>
            <w:vAlign w:val="center"/>
          </w:tcPr>
          <w:p w14:paraId="2060184F" w14:textId="77777777" w:rsidR="00E51CDD" w:rsidRPr="00E51CDD" w:rsidRDefault="00E51CDD" w:rsidP="00E51CDD">
            <w:pPr>
              <w:widowControl w:val="0"/>
              <w:rPr>
                <w:b/>
                <w:bCs/>
                <w:sz w:val="20"/>
                <w:szCs w:val="20"/>
                <w:lang w:val="en-GB"/>
              </w:rPr>
            </w:pPr>
            <w:r w:rsidRPr="00E51CDD">
              <w:rPr>
                <w:b/>
                <w:bCs/>
                <w:sz w:val="20"/>
                <w:szCs w:val="20"/>
                <w:lang w:val="en-GB"/>
              </w:rPr>
              <w:t>N-mineralization</w:t>
            </w:r>
          </w:p>
        </w:tc>
      </w:tr>
      <w:tr w:rsidR="00E51CDD" w:rsidRPr="00E51CDD" w14:paraId="5D080A89" w14:textId="77777777" w:rsidTr="009938D9">
        <w:trPr>
          <w:cantSplit/>
        </w:trPr>
        <w:tc>
          <w:tcPr>
            <w:tcW w:w="1470" w:type="pct"/>
            <w:tcBorders>
              <w:top w:val="single" w:sz="4" w:space="0" w:color="auto"/>
              <w:bottom w:val="single" w:sz="4" w:space="0" w:color="auto"/>
            </w:tcBorders>
            <w:vAlign w:val="center"/>
          </w:tcPr>
          <w:p w14:paraId="5C6B0C9B" w14:textId="77777777" w:rsidR="00E51CDD" w:rsidRPr="00E51CDD" w:rsidRDefault="00E51CDD" w:rsidP="00E51CDD">
            <w:pPr>
              <w:widowControl w:val="0"/>
              <w:rPr>
                <w:b/>
                <w:bCs/>
                <w:sz w:val="20"/>
                <w:szCs w:val="20"/>
                <w:lang w:val="en-GB"/>
              </w:rPr>
            </w:pPr>
            <w:r w:rsidRPr="00E51CDD">
              <w:rPr>
                <w:b/>
                <w:bCs/>
                <w:sz w:val="20"/>
                <w:szCs w:val="20"/>
                <w:lang w:val="en-GB"/>
              </w:rPr>
              <w:t>Active substance/metabolite</w:t>
            </w:r>
          </w:p>
        </w:tc>
        <w:tc>
          <w:tcPr>
            <w:tcW w:w="1177" w:type="pct"/>
            <w:tcBorders>
              <w:top w:val="single" w:sz="4" w:space="0" w:color="auto"/>
              <w:bottom w:val="single" w:sz="4" w:space="0" w:color="auto"/>
            </w:tcBorders>
            <w:vAlign w:val="center"/>
          </w:tcPr>
          <w:p w14:paraId="11CF7565" w14:textId="77777777" w:rsidR="00E51CDD" w:rsidRPr="00E51CDD" w:rsidRDefault="00E51CDD" w:rsidP="00E51CDD">
            <w:pPr>
              <w:widowControl w:val="0"/>
              <w:rPr>
                <w:b/>
                <w:bCs/>
                <w:sz w:val="20"/>
                <w:szCs w:val="20"/>
                <w:lang w:val="en-GB"/>
              </w:rPr>
            </w:pPr>
            <w:r w:rsidRPr="00E51CDD">
              <w:rPr>
                <w:b/>
                <w:bCs/>
                <w:sz w:val="20"/>
                <w:szCs w:val="20"/>
                <w:lang w:val="en-GB"/>
              </w:rPr>
              <w:t>Max. conc. with effects ≤ 25 % (mg/kg dry soil)</w:t>
            </w:r>
          </w:p>
        </w:tc>
        <w:tc>
          <w:tcPr>
            <w:tcW w:w="1177" w:type="pct"/>
            <w:tcBorders>
              <w:top w:val="single" w:sz="4" w:space="0" w:color="auto"/>
              <w:bottom w:val="single" w:sz="4" w:space="0" w:color="auto"/>
            </w:tcBorders>
            <w:vAlign w:val="center"/>
          </w:tcPr>
          <w:p w14:paraId="5ED76A6C" w14:textId="77777777" w:rsidR="00E51CDD" w:rsidRPr="00E51CDD" w:rsidRDefault="00E51CDD" w:rsidP="00E51CDD">
            <w:pPr>
              <w:widowControl w:val="0"/>
              <w:rPr>
                <w:b/>
                <w:bCs/>
                <w:sz w:val="20"/>
                <w:szCs w:val="20"/>
                <w:lang w:val="en-GB"/>
              </w:rPr>
            </w:pPr>
            <w:r w:rsidRPr="00E51CDD">
              <w:rPr>
                <w:b/>
                <w:bCs/>
                <w:sz w:val="20"/>
                <w:szCs w:val="20"/>
                <w:lang w:val="en-GB"/>
              </w:rPr>
              <w:t>PEC</w:t>
            </w:r>
            <w:r w:rsidRPr="00E51CDD">
              <w:rPr>
                <w:b/>
                <w:bCs/>
                <w:sz w:val="20"/>
                <w:szCs w:val="20"/>
                <w:vertAlign w:val="subscript"/>
                <w:lang w:val="en-GB"/>
              </w:rPr>
              <w:t>soil</w:t>
            </w:r>
            <w:r w:rsidRPr="00E51CDD">
              <w:rPr>
                <w:b/>
                <w:bCs/>
                <w:sz w:val="20"/>
                <w:szCs w:val="20"/>
                <w:vertAlign w:val="subscript"/>
                <w:lang w:val="en-GB"/>
              </w:rPr>
              <w:br/>
            </w:r>
            <w:r w:rsidRPr="00E51CDD">
              <w:rPr>
                <w:b/>
                <w:bCs/>
                <w:sz w:val="20"/>
                <w:szCs w:val="20"/>
                <w:lang w:val="en-GB"/>
              </w:rPr>
              <w:t>(mg/kg dry soil)</w:t>
            </w:r>
          </w:p>
        </w:tc>
        <w:tc>
          <w:tcPr>
            <w:tcW w:w="1176" w:type="pct"/>
            <w:tcBorders>
              <w:top w:val="single" w:sz="4" w:space="0" w:color="auto"/>
              <w:bottom w:val="single" w:sz="4" w:space="0" w:color="auto"/>
            </w:tcBorders>
            <w:vAlign w:val="center"/>
          </w:tcPr>
          <w:p w14:paraId="091A9D0F" w14:textId="77777777" w:rsidR="00E51CDD" w:rsidRPr="00E51CDD" w:rsidRDefault="00E51CDD" w:rsidP="00E51CDD">
            <w:pPr>
              <w:widowControl w:val="0"/>
              <w:rPr>
                <w:b/>
                <w:bCs/>
                <w:sz w:val="20"/>
                <w:szCs w:val="20"/>
                <w:lang w:val="en-GB"/>
              </w:rPr>
            </w:pPr>
            <w:r w:rsidRPr="00E51CDD">
              <w:rPr>
                <w:b/>
                <w:bCs/>
                <w:sz w:val="20"/>
                <w:szCs w:val="20"/>
                <w:lang w:val="en-GB"/>
              </w:rPr>
              <w:t>Risk acceptable?</w:t>
            </w:r>
          </w:p>
        </w:tc>
      </w:tr>
      <w:tr w:rsidR="00E51CDD" w:rsidRPr="00E51CDD" w14:paraId="68BD322B" w14:textId="77777777" w:rsidTr="009938D9">
        <w:trPr>
          <w:cantSplit/>
        </w:trPr>
        <w:tc>
          <w:tcPr>
            <w:tcW w:w="1470" w:type="pct"/>
            <w:tcBorders>
              <w:top w:val="single" w:sz="4" w:space="0" w:color="auto"/>
              <w:bottom w:val="single" w:sz="4" w:space="0" w:color="auto"/>
            </w:tcBorders>
            <w:vAlign w:val="center"/>
          </w:tcPr>
          <w:p w14:paraId="18890B8E" w14:textId="77777777" w:rsidR="00E51CDD" w:rsidRPr="00E51CDD" w:rsidRDefault="00E51CDD" w:rsidP="00E51CDD">
            <w:pPr>
              <w:widowControl w:val="0"/>
              <w:rPr>
                <w:noProof/>
                <w:sz w:val="20"/>
                <w:lang w:val="en-GB"/>
              </w:rPr>
            </w:pPr>
            <w:r w:rsidRPr="00E51CDD">
              <w:rPr>
                <w:noProof/>
                <w:sz w:val="20"/>
                <w:lang w:val="en-GB"/>
              </w:rPr>
              <w:t>fluxapyroxad</w:t>
            </w:r>
          </w:p>
        </w:tc>
        <w:tc>
          <w:tcPr>
            <w:tcW w:w="1177" w:type="pct"/>
            <w:tcBorders>
              <w:top w:val="single" w:sz="4" w:space="0" w:color="auto"/>
              <w:bottom w:val="single" w:sz="4" w:space="0" w:color="auto"/>
            </w:tcBorders>
            <w:vAlign w:val="center"/>
          </w:tcPr>
          <w:p w14:paraId="5C8CFBA2" w14:textId="77777777" w:rsidR="00E51CDD" w:rsidRPr="00E51CDD" w:rsidRDefault="00E51CDD" w:rsidP="00E51CDD">
            <w:pPr>
              <w:widowControl w:val="0"/>
              <w:rPr>
                <w:noProof/>
                <w:sz w:val="20"/>
                <w:lang w:val="en-GB"/>
              </w:rPr>
            </w:pPr>
            <w:r w:rsidRPr="00E51CDD">
              <w:rPr>
                <w:noProof/>
                <w:sz w:val="20"/>
                <w:lang w:val="en-GB"/>
              </w:rPr>
              <w:t>2.01 (at 28 d)</w:t>
            </w:r>
          </w:p>
        </w:tc>
        <w:tc>
          <w:tcPr>
            <w:tcW w:w="1177" w:type="pct"/>
            <w:tcBorders>
              <w:top w:val="single" w:sz="4" w:space="0" w:color="auto"/>
              <w:left w:val="single" w:sz="4" w:space="0" w:color="auto"/>
              <w:bottom w:val="single" w:sz="4" w:space="0" w:color="auto"/>
              <w:right w:val="single" w:sz="4" w:space="0" w:color="auto"/>
            </w:tcBorders>
            <w:vAlign w:val="center"/>
          </w:tcPr>
          <w:p w14:paraId="279E66C5" w14:textId="77777777" w:rsidR="00E51CDD" w:rsidRPr="00E51CDD" w:rsidRDefault="00E51CDD" w:rsidP="00E51CDD">
            <w:pPr>
              <w:widowControl w:val="0"/>
              <w:rPr>
                <w:noProof/>
                <w:sz w:val="20"/>
                <w:lang w:val="en-GB"/>
              </w:rPr>
            </w:pPr>
            <w:r w:rsidRPr="00E51CDD">
              <w:rPr>
                <w:noProof/>
                <w:sz w:val="20"/>
                <w:lang w:val="en-GB"/>
              </w:rPr>
              <w:t xml:space="preserve">0.078 </w:t>
            </w:r>
            <w:r w:rsidRPr="00E51CDD">
              <w:rPr>
                <w:noProof/>
                <w:sz w:val="20"/>
                <w:vertAlign w:val="superscript"/>
                <w:lang w:val="en-GB"/>
              </w:rPr>
              <w:t>*</w:t>
            </w:r>
          </w:p>
        </w:tc>
        <w:tc>
          <w:tcPr>
            <w:tcW w:w="1176" w:type="pct"/>
            <w:tcBorders>
              <w:top w:val="single" w:sz="4" w:space="0" w:color="auto"/>
              <w:bottom w:val="single" w:sz="4" w:space="0" w:color="auto"/>
            </w:tcBorders>
            <w:vAlign w:val="center"/>
          </w:tcPr>
          <w:p w14:paraId="02D96325" w14:textId="77777777" w:rsidR="00E51CDD" w:rsidRPr="00E51CDD" w:rsidRDefault="00E51CDD" w:rsidP="00E51CDD">
            <w:pPr>
              <w:widowControl w:val="0"/>
              <w:rPr>
                <w:noProof/>
                <w:sz w:val="20"/>
                <w:lang w:val="en-GB"/>
              </w:rPr>
            </w:pPr>
            <w:r w:rsidRPr="00E51CDD">
              <w:rPr>
                <w:noProof/>
                <w:sz w:val="20"/>
                <w:lang w:val="en-GB"/>
              </w:rPr>
              <w:t>yes</w:t>
            </w:r>
          </w:p>
        </w:tc>
      </w:tr>
      <w:tr w:rsidR="00E51CDD" w:rsidRPr="00E51CDD" w14:paraId="6964907D" w14:textId="77777777" w:rsidTr="009938D9">
        <w:trPr>
          <w:cantSplit/>
        </w:trPr>
        <w:tc>
          <w:tcPr>
            <w:tcW w:w="1470" w:type="pct"/>
            <w:tcBorders>
              <w:top w:val="single" w:sz="4" w:space="0" w:color="auto"/>
              <w:bottom w:val="single" w:sz="4" w:space="0" w:color="auto"/>
            </w:tcBorders>
            <w:vAlign w:val="center"/>
          </w:tcPr>
          <w:p w14:paraId="3D3A9083" w14:textId="77777777" w:rsidR="00E51CDD" w:rsidRPr="00E51CDD" w:rsidRDefault="00E51CDD" w:rsidP="00E51CDD">
            <w:pPr>
              <w:widowControl w:val="0"/>
              <w:rPr>
                <w:noProof/>
                <w:sz w:val="20"/>
                <w:lang w:val="en-GB"/>
              </w:rPr>
            </w:pPr>
            <w:r w:rsidRPr="00E51CDD">
              <w:rPr>
                <w:noProof/>
                <w:sz w:val="20"/>
                <w:lang w:val="en-GB"/>
              </w:rPr>
              <w:t>Metabolite, Reg. No. 5 069 089</w:t>
            </w:r>
            <w:r w:rsidRPr="00E51CDD">
              <w:rPr>
                <w:noProof/>
                <w:sz w:val="20"/>
                <w:lang w:val="en-GB"/>
              </w:rPr>
              <w:br/>
            </w:r>
            <w:r w:rsidRPr="00E51CDD">
              <w:rPr>
                <w:noProof/>
                <w:sz w:val="20"/>
              </w:rPr>
              <w:t>M700F001</w:t>
            </w:r>
          </w:p>
        </w:tc>
        <w:tc>
          <w:tcPr>
            <w:tcW w:w="1177" w:type="pct"/>
            <w:tcBorders>
              <w:top w:val="single" w:sz="4" w:space="0" w:color="auto"/>
              <w:bottom w:val="single" w:sz="4" w:space="0" w:color="auto"/>
            </w:tcBorders>
            <w:vAlign w:val="center"/>
          </w:tcPr>
          <w:p w14:paraId="0AC6C9DC" w14:textId="77777777" w:rsidR="00E51CDD" w:rsidRPr="00E51CDD" w:rsidRDefault="00E51CDD" w:rsidP="00E51CDD">
            <w:pPr>
              <w:widowControl w:val="0"/>
              <w:rPr>
                <w:noProof/>
                <w:sz w:val="20"/>
                <w:lang w:val="en-GB"/>
              </w:rPr>
            </w:pPr>
            <w:r w:rsidRPr="00E51CDD">
              <w:rPr>
                <w:noProof/>
                <w:sz w:val="20"/>
                <w:lang w:val="en-GB"/>
              </w:rPr>
              <w:t>0.37 (at 28 d)</w:t>
            </w:r>
          </w:p>
        </w:tc>
        <w:tc>
          <w:tcPr>
            <w:tcW w:w="1177" w:type="pct"/>
            <w:tcBorders>
              <w:top w:val="single" w:sz="4" w:space="0" w:color="auto"/>
              <w:left w:val="single" w:sz="4" w:space="0" w:color="auto"/>
              <w:bottom w:val="single" w:sz="4" w:space="0" w:color="auto"/>
              <w:right w:val="single" w:sz="4" w:space="0" w:color="auto"/>
            </w:tcBorders>
            <w:vAlign w:val="center"/>
          </w:tcPr>
          <w:p w14:paraId="073AAF5A" w14:textId="77777777" w:rsidR="00E51CDD" w:rsidRPr="00E51CDD" w:rsidRDefault="00E51CDD" w:rsidP="00E51CDD">
            <w:pPr>
              <w:widowControl w:val="0"/>
              <w:rPr>
                <w:noProof/>
                <w:sz w:val="20"/>
                <w:lang w:val="en-GB"/>
              </w:rPr>
            </w:pPr>
            <w:r w:rsidRPr="00E51CDD">
              <w:rPr>
                <w:noProof/>
                <w:sz w:val="20"/>
                <w:lang w:val="en-GB"/>
              </w:rPr>
              <w:t xml:space="preserve">0.004 </w:t>
            </w:r>
            <w:r w:rsidRPr="00E51CDD">
              <w:rPr>
                <w:noProof/>
                <w:sz w:val="20"/>
                <w:vertAlign w:val="superscript"/>
                <w:lang w:val="en-GB"/>
              </w:rPr>
              <w:t>*</w:t>
            </w:r>
          </w:p>
        </w:tc>
        <w:tc>
          <w:tcPr>
            <w:tcW w:w="1176" w:type="pct"/>
            <w:tcBorders>
              <w:top w:val="single" w:sz="4" w:space="0" w:color="auto"/>
              <w:bottom w:val="single" w:sz="4" w:space="0" w:color="auto"/>
            </w:tcBorders>
            <w:vAlign w:val="center"/>
          </w:tcPr>
          <w:p w14:paraId="7165CC89" w14:textId="77777777" w:rsidR="00E51CDD" w:rsidRPr="00E51CDD" w:rsidRDefault="00E51CDD" w:rsidP="00E51CDD">
            <w:pPr>
              <w:widowControl w:val="0"/>
              <w:rPr>
                <w:noProof/>
                <w:sz w:val="20"/>
                <w:lang w:val="en-GB"/>
              </w:rPr>
            </w:pPr>
            <w:r w:rsidRPr="00E51CDD">
              <w:rPr>
                <w:noProof/>
                <w:sz w:val="20"/>
                <w:lang w:val="en-GB"/>
              </w:rPr>
              <w:t>yes</w:t>
            </w:r>
          </w:p>
        </w:tc>
      </w:tr>
      <w:tr w:rsidR="00E51CDD" w:rsidRPr="00E51CDD" w14:paraId="02F58239" w14:textId="77777777" w:rsidTr="009938D9">
        <w:trPr>
          <w:cantSplit/>
        </w:trPr>
        <w:tc>
          <w:tcPr>
            <w:tcW w:w="1470" w:type="pct"/>
            <w:tcBorders>
              <w:top w:val="single" w:sz="4" w:space="0" w:color="auto"/>
            </w:tcBorders>
            <w:vAlign w:val="center"/>
          </w:tcPr>
          <w:p w14:paraId="5207FAD4" w14:textId="77777777" w:rsidR="00E51CDD" w:rsidRPr="00E51CDD" w:rsidRDefault="00E51CDD" w:rsidP="00E51CDD">
            <w:pPr>
              <w:widowControl w:val="0"/>
              <w:rPr>
                <w:noProof/>
                <w:sz w:val="20"/>
                <w:lang w:val="en-GB"/>
              </w:rPr>
            </w:pPr>
            <w:r w:rsidRPr="00E51CDD">
              <w:rPr>
                <w:noProof/>
                <w:sz w:val="20"/>
                <w:lang w:val="en-GB"/>
              </w:rPr>
              <w:t>Metabolite, Reg. No. 5 435 595</w:t>
            </w:r>
            <w:r w:rsidRPr="00E51CDD">
              <w:rPr>
                <w:noProof/>
                <w:sz w:val="20"/>
                <w:lang w:val="en-GB"/>
              </w:rPr>
              <w:br/>
            </w:r>
            <w:r w:rsidRPr="00E51CDD">
              <w:rPr>
                <w:noProof/>
                <w:sz w:val="20"/>
              </w:rPr>
              <w:t>M700F002</w:t>
            </w:r>
          </w:p>
        </w:tc>
        <w:tc>
          <w:tcPr>
            <w:tcW w:w="1177" w:type="pct"/>
            <w:tcBorders>
              <w:top w:val="single" w:sz="4" w:space="0" w:color="auto"/>
            </w:tcBorders>
            <w:vAlign w:val="center"/>
          </w:tcPr>
          <w:p w14:paraId="172E74AE" w14:textId="77777777" w:rsidR="00E51CDD" w:rsidRPr="00E51CDD" w:rsidRDefault="00E51CDD" w:rsidP="00E51CDD">
            <w:pPr>
              <w:widowControl w:val="0"/>
              <w:rPr>
                <w:noProof/>
                <w:sz w:val="20"/>
                <w:lang w:val="en-GB"/>
              </w:rPr>
            </w:pPr>
            <w:r w:rsidRPr="00E51CDD">
              <w:rPr>
                <w:noProof/>
                <w:sz w:val="20"/>
                <w:lang w:val="en-GB"/>
              </w:rPr>
              <w:t>1.0 (at 28 d)</w:t>
            </w:r>
          </w:p>
        </w:tc>
        <w:tc>
          <w:tcPr>
            <w:tcW w:w="1177" w:type="pct"/>
            <w:tcBorders>
              <w:top w:val="single" w:sz="4" w:space="0" w:color="auto"/>
              <w:left w:val="single" w:sz="4" w:space="0" w:color="auto"/>
              <w:bottom w:val="single" w:sz="4" w:space="0" w:color="auto"/>
              <w:right w:val="single" w:sz="4" w:space="0" w:color="auto"/>
            </w:tcBorders>
            <w:vAlign w:val="center"/>
          </w:tcPr>
          <w:p w14:paraId="6C3EECA2" w14:textId="77777777" w:rsidR="00E51CDD" w:rsidRPr="00E51CDD" w:rsidRDefault="00E51CDD" w:rsidP="00E51CDD">
            <w:pPr>
              <w:widowControl w:val="0"/>
              <w:rPr>
                <w:noProof/>
                <w:sz w:val="20"/>
                <w:lang w:val="en-GB"/>
              </w:rPr>
            </w:pPr>
            <w:r w:rsidRPr="00E51CDD">
              <w:rPr>
                <w:noProof/>
                <w:sz w:val="20"/>
                <w:lang w:val="en-GB"/>
              </w:rPr>
              <w:t xml:space="preserve">0.023 </w:t>
            </w:r>
            <w:r w:rsidRPr="00E51CDD">
              <w:rPr>
                <w:noProof/>
                <w:sz w:val="20"/>
                <w:vertAlign w:val="superscript"/>
                <w:lang w:val="en-GB"/>
              </w:rPr>
              <w:t>*</w:t>
            </w:r>
          </w:p>
        </w:tc>
        <w:tc>
          <w:tcPr>
            <w:tcW w:w="1176" w:type="pct"/>
            <w:tcBorders>
              <w:top w:val="single" w:sz="4" w:space="0" w:color="auto"/>
            </w:tcBorders>
            <w:vAlign w:val="center"/>
          </w:tcPr>
          <w:p w14:paraId="4508F03F" w14:textId="77777777" w:rsidR="00E51CDD" w:rsidRPr="00E51CDD" w:rsidRDefault="00E51CDD" w:rsidP="00E51CDD">
            <w:pPr>
              <w:widowControl w:val="0"/>
              <w:rPr>
                <w:noProof/>
                <w:sz w:val="20"/>
                <w:lang w:val="en-GB"/>
              </w:rPr>
            </w:pPr>
            <w:r w:rsidRPr="00E51CDD">
              <w:rPr>
                <w:noProof/>
                <w:sz w:val="20"/>
                <w:lang w:val="en-GB"/>
              </w:rPr>
              <w:t>yes</w:t>
            </w:r>
          </w:p>
        </w:tc>
      </w:tr>
    </w:tbl>
    <w:p w14:paraId="1F917650" w14:textId="77777777" w:rsidR="00E51CDD" w:rsidRPr="00E51CDD" w:rsidRDefault="00E51CDD" w:rsidP="00E51CDD">
      <w:pPr>
        <w:widowControl w:val="0"/>
        <w:ind w:left="284" w:hanging="284"/>
        <w:jc w:val="both"/>
        <w:rPr>
          <w:sz w:val="18"/>
          <w:lang w:val="en-GB"/>
        </w:rPr>
      </w:pPr>
      <w:r w:rsidRPr="00E51CDD">
        <w:rPr>
          <w:sz w:val="18"/>
          <w:vertAlign w:val="superscript"/>
          <w:lang w:val="en-GB"/>
        </w:rPr>
        <w:t>*</w:t>
      </w:r>
      <w:r w:rsidRPr="00E51CDD">
        <w:rPr>
          <w:sz w:val="18"/>
          <w:vertAlign w:val="superscript"/>
          <w:lang w:val="en-GB"/>
        </w:rPr>
        <w:tab/>
      </w:r>
      <w:r w:rsidRPr="00E51CDD">
        <w:rPr>
          <w:sz w:val="18"/>
          <w:lang w:val="en-GB"/>
        </w:rPr>
        <w:t>PEC</w:t>
      </w:r>
      <w:r w:rsidRPr="00E51CDD">
        <w:rPr>
          <w:sz w:val="18"/>
          <w:vertAlign w:val="subscript"/>
          <w:lang w:val="en-GB"/>
        </w:rPr>
        <w:t xml:space="preserve">soil, accu. </w:t>
      </w:r>
      <w:r w:rsidRPr="00E51CDD">
        <w:rPr>
          <w:sz w:val="18"/>
        </w:rPr>
        <w:t>For details please refer to section 8, chapter 8.7.</w:t>
      </w:r>
    </w:p>
    <w:p w14:paraId="151E64BB" w14:textId="77777777" w:rsidR="000630E1" w:rsidRDefault="000630E1" w:rsidP="00E51CDD">
      <w:pPr>
        <w:tabs>
          <w:tab w:val="left" w:pos="1984"/>
        </w:tabs>
        <w:spacing w:line="280" w:lineRule="exact"/>
        <w:ind w:left="1985" w:hanging="1985"/>
        <w:jc w:val="both"/>
        <w:rPr>
          <w:b/>
          <w:lang w:val="en-GB" w:eastAsia="en-US"/>
        </w:rPr>
      </w:pPr>
      <w:bookmarkStart w:id="915" w:name="_Ref83112016"/>
    </w:p>
    <w:p w14:paraId="246D4E10" w14:textId="77777777" w:rsidR="000630E1" w:rsidRDefault="000630E1" w:rsidP="00E51CDD">
      <w:pPr>
        <w:tabs>
          <w:tab w:val="left" w:pos="1984"/>
        </w:tabs>
        <w:spacing w:line="280" w:lineRule="exact"/>
        <w:ind w:left="1985" w:hanging="1985"/>
        <w:jc w:val="both"/>
        <w:rPr>
          <w:b/>
          <w:lang w:val="en-GB" w:eastAsia="en-US"/>
        </w:rPr>
      </w:pPr>
    </w:p>
    <w:p w14:paraId="55F75C83" w14:textId="4A0B0937" w:rsidR="00E51CDD" w:rsidRPr="00E51CDD" w:rsidRDefault="00E51CDD" w:rsidP="005C40E6">
      <w:pPr>
        <w:keepNext/>
        <w:keepLines/>
        <w:tabs>
          <w:tab w:val="left" w:pos="1984"/>
        </w:tabs>
        <w:spacing w:line="280" w:lineRule="exact"/>
        <w:ind w:left="1985" w:hanging="1985"/>
        <w:jc w:val="both"/>
        <w:rPr>
          <w:b/>
          <w:lang w:eastAsia="en-US"/>
        </w:rPr>
      </w:pPr>
      <w:r w:rsidRPr="00E51CDD">
        <w:rPr>
          <w:b/>
          <w:lang w:val="en-GB" w:eastAsia="en-US"/>
        </w:rPr>
        <w:lastRenderedPageBreak/>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9.9</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5</w:t>
      </w:r>
      <w:r w:rsidRPr="00E51CDD">
        <w:rPr>
          <w:b/>
          <w:lang w:val="en-GB" w:eastAsia="en-US"/>
        </w:rPr>
        <w:fldChar w:fldCharType="end"/>
      </w:r>
      <w:bookmarkEnd w:id="915"/>
      <w:r w:rsidRPr="00E51CDD">
        <w:rPr>
          <w:b/>
          <w:lang w:val="en-GB" w:eastAsia="en-US"/>
        </w:rPr>
        <w:t>:</w:t>
      </w:r>
      <w:r w:rsidRPr="00E51CDD">
        <w:rPr>
          <w:b/>
          <w:lang w:val="en-GB" w:eastAsia="en-US"/>
        </w:rPr>
        <w:tab/>
        <w:t xml:space="preserve">Assessment of the risk for effects on soil micro-organisms due to the use of </w:t>
      </w:r>
      <w:r w:rsidRPr="00E51CDD">
        <w:rPr>
          <w:b/>
          <w:lang w:eastAsia="en-US"/>
        </w:rPr>
        <w:t>azoxystrobin as contained in BAS 736 00 F according to the proposed use pattern</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200"/>
        <w:gridCol w:w="2200"/>
        <w:gridCol w:w="2198"/>
      </w:tblGrid>
      <w:tr w:rsidR="00E51CDD" w:rsidRPr="00E51CDD" w14:paraId="6CC4621A" w14:textId="77777777" w:rsidTr="009938D9">
        <w:trPr>
          <w:cantSplit/>
        </w:trPr>
        <w:tc>
          <w:tcPr>
            <w:tcW w:w="1470" w:type="pct"/>
            <w:tcBorders>
              <w:top w:val="single" w:sz="4" w:space="0" w:color="auto"/>
              <w:bottom w:val="single" w:sz="4" w:space="0" w:color="auto"/>
            </w:tcBorders>
            <w:vAlign w:val="center"/>
          </w:tcPr>
          <w:p w14:paraId="0DA4EFC0" w14:textId="77777777" w:rsidR="00E51CDD" w:rsidRPr="00E51CDD" w:rsidRDefault="00E51CDD" w:rsidP="005C40E6">
            <w:pPr>
              <w:keepNext/>
              <w:keepLines/>
              <w:widowControl w:val="0"/>
              <w:rPr>
                <w:b/>
                <w:bCs/>
                <w:sz w:val="20"/>
                <w:szCs w:val="20"/>
                <w:lang w:val="en-GB"/>
              </w:rPr>
            </w:pPr>
            <w:r w:rsidRPr="00E51CDD">
              <w:rPr>
                <w:b/>
                <w:bCs/>
                <w:sz w:val="20"/>
                <w:szCs w:val="20"/>
                <w:lang w:val="en-GB"/>
              </w:rPr>
              <w:t>Intended use</w:t>
            </w:r>
          </w:p>
        </w:tc>
        <w:tc>
          <w:tcPr>
            <w:tcW w:w="3530" w:type="pct"/>
            <w:gridSpan w:val="3"/>
            <w:tcBorders>
              <w:top w:val="single" w:sz="4" w:space="0" w:color="auto"/>
              <w:bottom w:val="single" w:sz="4" w:space="0" w:color="auto"/>
            </w:tcBorders>
            <w:vAlign w:val="center"/>
          </w:tcPr>
          <w:p w14:paraId="0B8E4A48" w14:textId="77777777" w:rsidR="00E51CDD" w:rsidRPr="00E51CDD" w:rsidRDefault="00E51CDD" w:rsidP="005C40E6">
            <w:pPr>
              <w:keepNext/>
              <w:keepLines/>
              <w:widowControl w:val="0"/>
              <w:rPr>
                <w:noProof/>
                <w:sz w:val="20"/>
                <w:vertAlign w:val="superscript"/>
                <w:lang w:val="it-IT"/>
              </w:rPr>
            </w:pPr>
            <w:r w:rsidRPr="00E51CDD">
              <w:rPr>
                <w:noProof/>
                <w:sz w:val="20"/>
                <w:lang w:val="en-GB"/>
              </w:rPr>
              <w:t>cereals</w:t>
            </w:r>
          </w:p>
        </w:tc>
      </w:tr>
      <w:tr w:rsidR="00E51CDD" w:rsidRPr="00E51CDD" w14:paraId="3818E054" w14:textId="77777777" w:rsidTr="009938D9">
        <w:trPr>
          <w:cantSplit/>
        </w:trPr>
        <w:tc>
          <w:tcPr>
            <w:tcW w:w="1470" w:type="pct"/>
            <w:tcBorders>
              <w:top w:val="single" w:sz="4" w:space="0" w:color="auto"/>
              <w:bottom w:val="single" w:sz="4" w:space="0" w:color="auto"/>
            </w:tcBorders>
            <w:vAlign w:val="center"/>
          </w:tcPr>
          <w:p w14:paraId="44F47741" w14:textId="77777777" w:rsidR="00E51CDD" w:rsidRPr="00E51CDD" w:rsidRDefault="00E51CDD" w:rsidP="005C40E6">
            <w:pPr>
              <w:keepNext/>
              <w:keepLines/>
              <w:widowControl w:val="0"/>
              <w:rPr>
                <w:b/>
                <w:bCs/>
                <w:sz w:val="20"/>
                <w:szCs w:val="20"/>
                <w:lang w:val="en-GB"/>
              </w:rPr>
            </w:pPr>
            <w:r w:rsidRPr="00E51CDD">
              <w:rPr>
                <w:b/>
                <w:bCs/>
                <w:sz w:val="20"/>
                <w:szCs w:val="20"/>
                <w:lang w:val="en-GB"/>
              </w:rPr>
              <w:t>Active substance</w:t>
            </w:r>
          </w:p>
        </w:tc>
        <w:tc>
          <w:tcPr>
            <w:tcW w:w="3530" w:type="pct"/>
            <w:gridSpan w:val="3"/>
            <w:tcBorders>
              <w:top w:val="single" w:sz="4" w:space="0" w:color="auto"/>
              <w:bottom w:val="single" w:sz="4" w:space="0" w:color="auto"/>
            </w:tcBorders>
            <w:vAlign w:val="center"/>
          </w:tcPr>
          <w:p w14:paraId="718FE389" w14:textId="77777777" w:rsidR="00E51CDD" w:rsidRPr="00E51CDD" w:rsidRDefault="00E51CDD" w:rsidP="005C40E6">
            <w:pPr>
              <w:keepNext/>
              <w:keepLines/>
              <w:widowControl w:val="0"/>
              <w:rPr>
                <w:noProof/>
                <w:sz w:val="20"/>
                <w:szCs w:val="20"/>
                <w:lang w:val="en-GB"/>
              </w:rPr>
            </w:pPr>
            <w:r w:rsidRPr="00E51CDD">
              <w:rPr>
                <w:noProof/>
                <w:sz w:val="20"/>
                <w:lang w:val="en-GB"/>
              </w:rPr>
              <w:t>azoxystrobin</w:t>
            </w:r>
          </w:p>
        </w:tc>
      </w:tr>
      <w:tr w:rsidR="00E51CDD" w:rsidRPr="00E51CDD" w14:paraId="60B86F50" w14:textId="77777777" w:rsidTr="009938D9">
        <w:trPr>
          <w:cantSplit/>
        </w:trPr>
        <w:tc>
          <w:tcPr>
            <w:tcW w:w="1470" w:type="pct"/>
            <w:tcBorders>
              <w:top w:val="single" w:sz="4" w:space="0" w:color="auto"/>
              <w:bottom w:val="single" w:sz="4" w:space="0" w:color="auto"/>
            </w:tcBorders>
            <w:vAlign w:val="center"/>
          </w:tcPr>
          <w:p w14:paraId="2D62BD2D" w14:textId="77777777" w:rsidR="00E51CDD" w:rsidRPr="00E51CDD" w:rsidRDefault="00E51CDD" w:rsidP="005C40E6">
            <w:pPr>
              <w:keepNext/>
              <w:keepLines/>
              <w:widowControl w:val="0"/>
              <w:rPr>
                <w:b/>
                <w:bCs/>
                <w:sz w:val="20"/>
                <w:szCs w:val="20"/>
                <w:lang w:val="en-GB"/>
              </w:rPr>
            </w:pPr>
            <w:r w:rsidRPr="00E51CDD">
              <w:rPr>
                <w:b/>
                <w:bCs/>
                <w:sz w:val="20"/>
                <w:szCs w:val="20"/>
                <w:lang w:val="en-GB"/>
              </w:rPr>
              <w:t>Application rate (g a.s./ha)</w:t>
            </w:r>
          </w:p>
        </w:tc>
        <w:tc>
          <w:tcPr>
            <w:tcW w:w="3530" w:type="pct"/>
            <w:gridSpan w:val="3"/>
            <w:tcBorders>
              <w:top w:val="single" w:sz="4" w:space="0" w:color="auto"/>
              <w:bottom w:val="single" w:sz="4" w:space="0" w:color="auto"/>
            </w:tcBorders>
            <w:vAlign w:val="center"/>
          </w:tcPr>
          <w:p w14:paraId="400025D7" w14:textId="77777777" w:rsidR="00E51CDD" w:rsidRPr="00E51CDD" w:rsidRDefault="00E51CDD" w:rsidP="005C40E6">
            <w:pPr>
              <w:keepNext/>
              <w:keepLines/>
              <w:widowControl w:val="0"/>
              <w:rPr>
                <w:noProof/>
                <w:sz w:val="20"/>
                <w:szCs w:val="20"/>
                <w:lang w:val="en-GB"/>
              </w:rPr>
            </w:pPr>
            <w:r w:rsidRPr="00E51CDD">
              <w:rPr>
                <w:noProof/>
                <w:sz w:val="20"/>
                <w:szCs w:val="20"/>
                <w:lang w:val="en-GB"/>
              </w:rPr>
              <w:t>2 x 150</w:t>
            </w:r>
          </w:p>
        </w:tc>
      </w:tr>
      <w:tr w:rsidR="00E51CDD" w:rsidRPr="00E51CDD" w14:paraId="0FDDA788" w14:textId="77777777" w:rsidTr="009938D9">
        <w:trPr>
          <w:cantSplit/>
        </w:trPr>
        <w:tc>
          <w:tcPr>
            <w:tcW w:w="5000" w:type="pct"/>
            <w:gridSpan w:val="4"/>
            <w:tcBorders>
              <w:top w:val="single" w:sz="4" w:space="0" w:color="auto"/>
            </w:tcBorders>
            <w:vAlign w:val="center"/>
          </w:tcPr>
          <w:p w14:paraId="1E933179" w14:textId="77777777" w:rsidR="00E51CDD" w:rsidRPr="00E51CDD" w:rsidRDefault="00E51CDD" w:rsidP="005C40E6">
            <w:pPr>
              <w:keepNext/>
              <w:keepLines/>
              <w:widowControl w:val="0"/>
              <w:rPr>
                <w:b/>
                <w:bCs/>
                <w:sz w:val="20"/>
                <w:szCs w:val="20"/>
                <w:lang w:val="en-GB"/>
              </w:rPr>
            </w:pPr>
            <w:r w:rsidRPr="00E51CDD">
              <w:rPr>
                <w:b/>
                <w:bCs/>
                <w:sz w:val="20"/>
                <w:szCs w:val="20"/>
                <w:lang w:val="en-GB"/>
              </w:rPr>
              <w:t>N-mineralization</w:t>
            </w:r>
          </w:p>
        </w:tc>
      </w:tr>
      <w:tr w:rsidR="00E51CDD" w:rsidRPr="00E51CDD" w14:paraId="22709F68" w14:textId="77777777" w:rsidTr="009938D9">
        <w:trPr>
          <w:cantSplit/>
        </w:trPr>
        <w:tc>
          <w:tcPr>
            <w:tcW w:w="1470" w:type="pct"/>
            <w:tcBorders>
              <w:top w:val="single" w:sz="4" w:space="0" w:color="auto"/>
              <w:bottom w:val="single" w:sz="4" w:space="0" w:color="auto"/>
            </w:tcBorders>
            <w:vAlign w:val="center"/>
          </w:tcPr>
          <w:p w14:paraId="4570C534" w14:textId="77777777" w:rsidR="00E51CDD" w:rsidRPr="00E51CDD" w:rsidRDefault="00E51CDD" w:rsidP="005C40E6">
            <w:pPr>
              <w:keepNext/>
              <w:keepLines/>
              <w:widowControl w:val="0"/>
              <w:rPr>
                <w:b/>
                <w:bCs/>
                <w:sz w:val="20"/>
                <w:szCs w:val="20"/>
                <w:lang w:val="en-GB"/>
              </w:rPr>
            </w:pPr>
            <w:r w:rsidRPr="00E51CDD">
              <w:rPr>
                <w:b/>
                <w:bCs/>
                <w:sz w:val="20"/>
                <w:szCs w:val="20"/>
                <w:lang w:val="en-GB"/>
              </w:rPr>
              <w:t>Active substance/metabolite</w:t>
            </w:r>
          </w:p>
        </w:tc>
        <w:tc>
          <w:tcPr>
            <w:tcW w:w="1177" w:type="pct"/>
            <w:tcBorders>
              <w:top w:val="single" w:sz="4" w:space="0" w:color="auto"/>
              <w:bottom w:val="single" w:sz="4" w:space="0" w:color="auto"/>
            </w:tcBorders>
            <w:vAlign w:val="center"/>
          </w:tcPr>
          <w:p w14:paraId="124A2998" w14:textId="77777777" w:rsidR="00E51CDD" w:rsidRPr="00E51CDD" w:rsidRDefault="00E51CDD" w:rsidP="005C40E6">
            <w:pPr>
              <w:keepNext/>
              <w:keepLines/>
              <w:widowControl w:val="0"/>
              <w:rPr>
                <w:b/>
                <w:bCs/>
                <w:sz w:val="20"/>
                <w:szCs w:val="20"/>
                <w:lang w:val="en-GB"/>
              </w:rPr>
            </w:pPr>
            <w:r w:rsidRPr="00E51CDD">
              <w:rPr>
                <w:b/>
                <w:bCs/>
                <w:sz w:val="20"/>
                <w:szCs w:val="20"/>
                <w:lang w:val="en-GB"/>
              </w:rPr>
              <w:t>Max. conc. with effects ≤ 25 % (mg/kg dry soil)</w:t>
            </w:r>
          </w:p>
        </w:tc>
        <w:tc>
          <w:tcPr>
            <w:tcW w:w="1177" w:type="pct"/>
            <w:tcBorders>
              <w:top w:val="single" w:sz="4" w:space="0" w:color="auto"/>
              <w:bottom w:val="single" w:sz="4" w:space="0" w:color="auto"/>
            </w:tcBorders>
            <w:vAlign w:val="center"/>
          </w:tcPr>
          <w:p w14:paraId="422A6D8E" w14:textId="77777777" w:rsidR="00E51CDD" w:rsidRPr="00E51CDD" w:rsidRDefault="00E51CDD" w:rsidP="005C40E6">
            <w:pPr>
              <w:keepNext/>
              <w:keepLines/>
              <w:widowControl w:val="0"/>
              <w:rPr>
                <w:b/>
                <w:bCs/>
                <w:sz w:val="20"/>
                <w:szCs w:val="20"/>
                <w:lang w:val="en-GB"/>
              </w:rPr>
            </w:pPr>
            <w:r w:rsidRPr="00E51CDD">
              <w:rPr>
                <w:b/>
                <w:bCs/>
                <w:sz w:val="20"/>
                <w:szCs w:val="20"/>
                <w:lang w:val="en-GB"/>
              </w:rPr>
              <w:t>PEC</w:t>
            </w:r>
            <w:r w:rsidRPr="00E51CDD">
              <w:rPr>
                <w:b/>
                <w:bCs/>
                <w:sz w:val="20"/>
                <w:szCs w:val="20"/>
                <w:vertAlign w:val="subscript"/>
                <w:lang w:val="en-GB"/>
              </w:rPr>
              <w:t>soil</w:t>
            </w:r>
            <w:r w:rsidRPr="00E51CDD">
              <w:rPr>
                <w:b/>
                <w:bCs/>
                <w:sz w:val="20"/>
                <w:szCs w:val="20"/>
                <w:vertAlign w:val="subscript"/>
                <w:lang w:val="en-GB"/>
              </w:rPr>
              <w:br/>
            </w:r>
            <w:r w:rsidRPr="00E51CDD">
              <w:rPr>
                <w:b/>
                <w:bCs/>
                <w:sz w:val="20"/>
                <w:szCs w:val="20"/>
                <w:lang w:val="en-GB"/>
              </w:rPr>
              <w:t>(mg/kg dry soil)</w:t>
            </w:r>
          </w:p>
        </w:tc>
        <w:tc>
          <w:tcPr>
            <w:tcW w:w="1176" w:type="pct"/>
            <w:tcBorders>
              <w:top w:val="single" w:sz="4" w:space="0" w:color="auto"/>
              <w:bottom w:val="single" w:sz="4" w:space="0" w:color="auto"/>
            </w:tcBorders>
            <w:vAlign w:val="center"/>
          </w:tcPr>
          <w:p w14:paraId="70B9C968" w14:textId="77777777" w:rsidR="00E51CDD" w:rsidRPr="00E51CDD" w:rsidRDefault="00E51CDD" w:rsidP="005C40E6">
            <w:pPr>
              <w:keepNext/>
              <w:keepLines/>
              <w:widowControl w:val="0"/>
              <w:rPr>
                <w:b/>
                <w:bCs/>
                <w:sz w:val="20"/>
                <w:szCs w:val="20"/>
                <w:lang w:val="en-GB"/>
              </w:rPr>
            </w:pPr>
            <w:r w:rsidRPr="00E51CDD">
              <w:rPr>
                <w:b/>
                <w:bCs/>
                <w:sz w:val="20"/>
                <w:szCs w:val="20"/>
                <w:lang w:val="en-GB"/>
              </w:rPr>
              <w:t>Risk acceptable?</w:t>
            </w:r>
          </w:p>
        </w:tc>
      </w:tr>
      <w:tr w:rsidR="00E51CDD" w:rsidRPr="00E51CDD" w14:paraId="388623AC" w14:textId="77777777" w:rsidTr="009938D9">
        <w:trPr>
          <w:cantSplit/>
        </w:trPr>
        <w:tc>
          <w:tcPr>
            <w:tcW w:w="1470" w:type="pct"/>
            <w:tcBorders>
              <w:top w:val="single" w:sz="4" w:space="0" w:color="auto"/>
              <w:bottom w:val="single" w:sz="4" w:space="0" w:color="auto"/>
            </w:tcBorders>
            <w:vAlign w:val="center"/>
          </w:tcPr>
          <w:p w14:paraId="55A01FBD" w14:textId="77777777" w:rsidR="00E51CDD" w:rsidRPr="00E51CDD" w:rsidRDefault="00E51CDD" w:rsidP="005C40E6">
            <w:pPr>
              <w:keepNext/>
              <w:keepLines/>
              <w:widowControl w:val="0"/>
              <w:rPr>
                <w:sz w:val="20"/>
                <w:szCs w:val="20"/>
              </w:rPr>
            </w:pPr>
            <w:r w:rsidRPr="00E51CDD">
              <w:rPr>
                <w:sz w:val="20"/>
                <w:szCs w:val="20"/>
              </w:rPr>
              <w:t>azoxystrobin</w:t>
            </w:r>
          </w:p>
          <w:p w14:paraId="7AEE7005" w14:textId="77777777" w:rsidR="00E51CDD" w:rsidRPr="00E51CDD" w:rsidRDefault="00E51CDD" w:rsidP="005C40E6">
            <w:pPr>
              <w:keepNext/>
              <w:keepLines/>
              <w:widowControl w:val="0"/>
              <w:rPr>
                <w:noProof/>
                <w:sz w:val="20"/>
                <w:vertAlign w:val="superscript"/>
                <w:lang w:val="en-GB"/>
              </w:rPr>
            </w:pPr>
            <w:r w:rsidRPr="00E51CDD">
              <w:rPr>
                <w:noProof/>
                <w:sz w:val="20"/>
                <w:szCs w:val="20"/>
                <w:lang w:val="en-GB"/>
              </w:rPr>
              <w:t>(tested as formulation 250 SC)</w:t>
            </w:r>
          </w:p>
        </w:tc>
        <w:tc>
          <w:tcPr>
            <w:tcW w:w="1177" w:type="pct"/>
            <w:tcBorders>
              <w:top w:val="single" w:sz="4" w:space="0" w:color="auto"/>
              <w:bottom w:val="single" w:sz="4" w:space="0" w:color="auto"/>
            </w:tcBorders>
            <w:vAlign w:val="center"/>
          </w:tcPr>
          <w:p w14:paraId="284C7245" w14:textId="77777777" w:rsidR="00E51CDD" w:rsidRPr="00E51CDD" w:rsidRDefault="00E51CDD" w:rsidP="005C40E6">
            <w:pPr>
              <w:keepNext/>
              <w:keepLines/>
              <w:widowControl w:val="0"/>
              <w:rPr>
                <w:noProof/>
                <w:sz w:val="20"/>
                <w:lang w:val="en-GB"/>
              </w:rPr>
            </w:pPr>
            <w:r w:rsidRPr="00E51CDD">
              <w:rPr>
                <w:sz w:val="20"/>
                <w:lang w:val="en-GB"/>
              </w:rPr>
              <w:t xml:space="preserve">3.3 </w:t>
            </w:r>
            <w:r w:rsidRPr="00E51CDD">
              <w:rPr>
                <w:noProof/>
                <w:sz w:val="20"/>
                <w:lang w:val="en-GB"/>
              </w:rPr>
              <w:t>(at 28 d)</w:t>
            </w:r>
          </w:p>
        </w:tc>
        <w:tc>
          <w:tcPr>
            <w:tcW w:w="1177" w:type="pct"/>
            <w:tcBorders>
              <w:top w:val="single" w:sz="4" w:space="0" w:color="auto"/>
              <w:bottom w:val="single" w:sz="4" w:space="0" w:color="auto"/>
            </w:tcBorders>
            <w:vAlign w:val="center"/>
          </w:tcPr>
          <w:p w14:paraId="17C87DB0" w14:textId="77777777" w:rsidR="00E51CDD" w:rsidRPr="00E51CDD" w:rsidRDefault="00E51CDD" w:rsidP="005C40E6">
            <w:pPr>
              <w:keepNext/>
              <w:keepLines/>
              <w:widowControl w:val="0"/>
              <w:rPr>
                <w:noProof/>
                <w:sz w:val="20"/>
                <w:lang w:val="en-GB"/>
              </w:rPr>
            </w:pPr>
            <w:r w:rsidRPr="00E51CDD">
              <w:rPr>
                <w:noProof/>
                <w:color w:val="000000"/>
                <w:sz w:val="20"/>
                <w:szCs w:val="20"/>
                <w:lang w:val="en-GB"/>
              </w:rPr>
              <w:t xml:space="preserve">0.091 </w:t>
            </w:r>
            <w:r w:rsidRPr="00E51CDD">
              <w:rPr>
                <w:noProof/>
                <w:color w:val="000000"/>
                <w:sz w:val="20"/>
                <w:szCs w:val="20"/>
                <w:vertAlign w:val="superscript"/>
                <w:lang w:val="en-GB"/>
              </w:rPr>
              <w:t>*</w:t>
            </w:r>
          </w:p>
        </w:tc>
        <w:tc>
          <w:tcPr>
            <w:tcW w:w="1176" w:type="pct"/>
            <w:tcBorders>
              <w:top w:val="single" w:sz="4" w:space="0" w:color="auto"/>
              <w:bottom w:val="single" w:sz="4" w:space="0" w:color="auto"/>
            </w:tcBorders>
            <w:vAlign w:val="center"/>
          </w:tcPr>
          <w:p w14:paraId="018A7A65" w14:textId="77777777" w:rsidR="00E51CDD" w:rsidRPr="00E51CDD" w:rsidRDefault="00E51CDD" w:rsidP="005C40E6">
            <w:pPr>
              <w:keepNext/>
              <w:keepLines/>
              <w:widowControl w:val="0"/>
              <w:rPr>
                <w:noProof/>
                <w:sz w:val="20"/>
                <w:lang w:val="en-GB"/>
              </w:rPr>
            </w:pPr>
            <w:r w:rsidRPr="00E51CDD">
              <w:rPr>
                <w:noProof/>
                <w:sz w:val="20"/>
                <w:lang w:val="en-GB"/>
              </w:rPr>
              <w:t>yes</w:t>
            </w:r>
          </w:p>
        </w:tc>
      </w:tr>
      <w:tr w:rsidR="00E51CDD" w:rsidRPr="00E51CDD" w14:paraId="6FECF973" w14:textId="77777777" w:rsidTr="009938D9">
        <w:trPr>
          <w:cantSplit/>
        </w:trPr>
        <w:tc>
          <w:tcPr>
            <w:tcW w:w="1470" w:type="pct"/>
            <w:tcBorders>
              <w:top w:val="single" w:sz="4" w:space="0" w:color="auto"/>
              <w:bottom w:val="single" w:sz="4" w:space="0" w:color="auto"/>
            </w:tcBorders>
            <w:vAlign w:val="center"/>
          </w:tcPr>
          <w:p w14:paraId="0D13530F" w14:textId="77777777" w:rsidR="00E51CDD" w:rsidRPr="00E51CDD" w:rsidRDefault="00E51CDD" w:rsidP="00E51CDD">
            <w:pPr>
              <w:widowControl w:val="0"/>
              <w:rPr>
                <w:noProof/>
                <w:sz w:val="20"/>
                <w:vertAlign w:val="superscript"/>
              </w:rPr>
            </w:pPr>
            <w:r w:rsidRPr="00E51CDD">
              <w:rPr>
                <w:noProof/>
                <w:sz w:val="20"/>
                <w:szCs w:val="20"/>
                <w:lang w:val="en-GB"/>
              </w:rPr>
              <w:t xml:space="preserve">Metabolite </w:t>
            </w:r>
            <w:r w:rsidRPr="00E51CDD">
              <w:rPr>
                <w:sz w:val="20"/>
                <w:szCs w:val="20"/>
                <w:lang w:val="en-GB"/>
              </w:rPr>
              <w:t>R234886</w:t>
            </w:r>
          </w:p>
        </w:tc>
        <w:tc>
          <w:tcPr>
            <w:tcW w:w="1177" w:type="pct"/>
            <w:tcBorders>
              <w:top w:val="single" w:sz="4" w:space="0" w:color="auto"/>
              <w:bottom w:val="single" w:sz="4" w:space="0" w:color="auto"/>
            </w:tcBorders>
            <w:vAlign w:val="center"/>
          </w:tcPr>
          <w:p w14:paraId="39660FA9" w14:textId="77777777" w:rsidR="00E51CDD" w:rsidRPr="00E51CDD" w:rsidRDefault="00E51CDD" w:rsidP="00E51CDD">
            <w:pPr>
              <w:widowControl w:val="0"/>
              <w:rPr>
                <w:noProof/>
                <w:sz w:val="20"/>
                <w:lang w:val="en-GB"/>
              </w:rPr>
            </w:pPr>
            <w:r w:rsidRPr="00E51CDD">
              <w:rPr>
                <w:sz w:val="20"/>
                <w:lang w:val="en-GB"/>
              </w:rPr>
              <w:t xml:space="preserve">10 </w:t>
            </w:r>
            <w:r w:rsidRPr="00E51CDD">
              <w:rPr>
                <w:noProof/>
                <w:sz w:val="20"/>
                <w:lang w:val="en-GB"/>
              </w:rPr>
              <w:t>(at 28 d)</w:t>
            </w:r>
          </w:p>
        </w:tc>
        <w:tc>
          <w:tcPr>
            <w:tcW w:w="1177" w:type="pct"/>
            <w:tcBorders>
              <w:top w:val="single" w:sz="4" w:space="0" w:color="auto"/>
              <w:bottom w:val="single" w:sz="4" w:space="0" w:color="auto"/>
            </w:tcBorders>
            <w:vAlign w:val="center"/>
          </w:tcPr>
          <w:p w14:paraId="1B739C7D" w14:textId="77777777" w:rsidR="00E51CDD" w:rsidRPr="00E51CDD" w:rsidRDefault="00E51CDD" w:rsidP="00E51CDD">
            <w:pPr>
              <w:widowControl w:val="0"/>
              <w:rPr>
                <w:noProof/>
                <w:sz w:val="20"/>
                <w:lang w:val="en-GB"/>
              </w:rPr>
            </w:pPr>
            <w:r w:rsidRPr="00E51CDD">
              <w:rPr>
                <w:noProof/>
                <w:color w:val="000000"/>
                <w:sz w:val="20"/>
                <w:szCs w:val="20"/>
                <w:lang w:val="en-GB"/>
              </w:rPr>
              <w:t>0.022</w:t>
            </w:r>
          </w:p>
        </w:tc>
        <w:tc>
          <w:tcPr>
            <w:tcW w:w="1176" w:type="pct"/>
            <w:tcBorders>
              <w:top w:val="single" w:sz="4" w:space="0" w:color="auto"/>
              <w:bottom w:val="single" w:sz="4" w:space="0" w:color="auto"/>
            </w:tcBorders>
            <w:vAlign w:val="center"/>
          </w:tcPr>
          <w:p w14:paraId="3D4735EF" w14:textId="77777777" w:rsidR="00E51CDD" w:rsidRPr="00E51CDD" w:rsidRDefault="00E51CDD" w:rsidP="00E51CDD">
            <w:pPr>
              <w:widowControl w:val="0"/>
              <w:rPr>
                <w:noProof/>
                <w:sz w:val="20"/>
                <w:lang w:val="en-GB"/>
              </w:rPr>
            </w:pPr>
            <w:r w:rsidRPr="00E51CDD">
              <w:rPr>
                <w:noProof/>
                <w:sz w:val="20"/>
                <w:lang w:val="en-GB"/>
              </w:rPr>
              <w:t>yes</w:t>
            </w:r>
          </w:p>
        </w:tc>
      </w:tr>
      <w:tr w:rsidR="00E51CDD" w:rsidRPr="00E51CDD" w14:paraId="4EAE1A78" w14:textId="77777777" w:rsidTr="009938D9">
        <w:trPr>
          <w:cantSplit/>
        </w:trPr>
        <w:tc>
          <w:tcPr>
            <w:tcW w:w="1470" w:type="pct"/>
            <w:tcBorders>
              <w:top w:val="single" w:sz="4" w:space="0" w:color="auto"/>
              <w:bottom w:val="single" w:sz="4" w:space="0" w:color="auto"/>
            </w:tcBorders>
            <w:vAlign w:val="center"/>
          </w:tcPr>
          <w:p w14:paraId="712A92A2" w14:textId="77777777" w:rsidR="00E51CDD" w:rsidRPr="00E51CDD" w:rsidRDefault="00E51CDD" w:rsidP="00E51CDD">
            <w:pPr>
              <w:widowControl w:val="0"/>
              <w:spacing w:before="40" w:after="40"/>
              <w:rPr>
                <w:rFonts w:eastAsia="PMingLiU"/>
                <w:sz w:val="20"/>
                <w:szCs w:val="20"/>
                <w:highlight w:val="yellow"/>
                <w:lang w:eastAsia="en-US"/>
              </w:rPr>
            </w:pPr>
            <w:r w:rsidRPr="00E51CDD">
              <w:rPr>
                <w:sz w:val="20"/>
                <w:szCs w:val="20"/>
              </w:rPr>
              <w:t xml:space="preserve">Metabolite </w:t>
            </w:r>
            <w:r w:rsidRPr="00E51CDD">
              <w:rPr>
                <w:noProof/>
                <w:sz w:val="20"/>
                <w:szCs w:val="20"/>
                <w:lang w:val="en-GB"/>
              </w:rPr>
              <w:t>R402173</w:t>
            </w:r>
          </w:p>
        </w:tc>
        <w:tc>
          <w:tcPr>
            <w:tcW w:w="1177" w:type="pct"/>
            <w:tcBorders>
              <w:top w:val="single" w:sz="4" w:space="0" w:color="auto"/>
              <w:bottom w:val="single" w:sz="4" w:space="0" w:color="auto"/>
            </w:tcBorders>
            <w:vAlign w:val="center"/>
          </w:tcPr>
          <w:p w14:paraId="09483363" w14:textId="77777777" w:rsidR="00E51CDD" w:rsidRPr="00E51CDD" w:rsidRDefault="00E51CDD" w:rsidP="00E51CDD">
            <w:pPr>
              <w:widowControl w:val="0"/>
              <w:rPr>
                <w:noProof/>
                <w:sz w:val="20"/>
                <w:lang w:val="en-GB"/>
              </w:rPr>
            </w:pPr>
            <w:r w:rsidRPr="00E51CDD">
              <w:rPr>
                <w:sz w:val="20"/>
                <w:lang w:val="en-GB"/>
              </w:rPr>
              <w:t xml:space="preserve">4.131 </w:t>
            </w:r>
            <w:r w:rsidRPr="00E51CDD">
              <w:rPr>
                <w:noProof/>
                <w:sz w:val="20"/>
                <w:lang w:val="en-GB"/>
              </w:rPr>
              <w:t>(at 28 d)</w:t>
            </w:r>
          </w:p>
        </w:tc>
        <w:tc>
          <w:tcPr>
            <w:tcW w:w="1177" w:type="pct"/>
            <w:tcBorders>
              <w:top w:val="single" w:sz="4" w:space="0" w:color="auto"/>
              <w:bottom w:val="single" w:sz="4" w:space="0" w:color="auto"/>
            </w:tcBorders>
            <w:vAlign w:val="center"/>
          </w:tcPr>
          <w:p w14:paraId="31E80B0C" w14:textId="77777777" w:rsidR="00E51CDD" w:rsidRPr="00E51CDD" w:rsidRDefault="00E51CDD" w:rsidP="00E51CDD">
            <w:pPr>
              <w:widowControl w:val="0"/>
              <w:rPr>
                <w:noProof/>
                <w:sz w:val="20"/>
                <w:highlight w:val="yellow"/>
                <w:lang w:val="en-GB"/>
              </w:rPr>
            </w:pPr>
            <w:r w:rsidRPr="00E51CDD">
              <w:rPr>
                <w:noProof/>
                <w:color w:val="000000"/>
                <w:sz w:val="20"/>
                <w:szCs w:val="20"/>
                <w:lang w:val="en-GB"/>
              </w:rPr>
              <w:t>0.011</w:t>
            </w:r>
          </w:p>
        </w:tc>
        <w:tc>
          <w:tcPr>
            <w:tcW w:w="1176" w:type="pct"/>
            <w:tcBorders>
              <w:top w:val="single" w:sz="4" w:space="0" w:color="auto"/>
              <w:bottom w:val="single" w:sz="4" w:space="0" w:color="auto"/>
            </w:tcBorders>
            <w:vAlign w:val="center"/>
          </w:tcPr>
          <w:p w14:paraId="2DFC9A09" w14:textId="77777777" w:rsidR="00E51CDD" w:rsidRPr="00E51CDD" w:rsidRDefault="00E51CDD" w:rsidP="00E51CDD">
            <w:pPr>
              <w:widowControl w:val="0"/>
              <w:rPr>
                <w:noProof/>
                <w:sz w:val="20"/>
                <w:lang w:val="en-GB"/>
              </w:rPr>
            </w:pPr>
            <w:r w:rsidRPr="00E51CDD">
              <w:rPr>
                <w:noProof/>
                <w:sz w:val="20"/>
                <w:lang w:val="en-GB"/>
              </w:rPr>
              <w:t>yes</w:t>
            </w:r>
          </w:p>
        </w:tc>
      </w:tr>
      <w:tr w:rsidR="00E51CDD" w:rsidRPr="00E51CDD" w14:paraId="4423C349" w14:textId="77777777" w:rsidTr="009938D9">
        <w:trPr>
          <w:cantSplit/>
        </w:trPr>
        <w:tc>
          <w:tcPr>
            <w:tcW w:w="1470" w:type="pct"/>
            <w:tcBorders>
              <w:top w:val="single" w:sz="4" w:space="0" w:color="auto"/>
              <w:bottom w:val="single" w:sz="4" w:space="0" w:color="auto"/>
            </w:tcBorders>
            <w:vAlign w:val="center"/>
          </w:tcPr>
          <w:p w14:paraId="083A4736" w14:textId="77777777" w:rsidR="00E51CDD" w:rsidRPr="00E51CDD" w:rsidRDefault="00E51CDD" w:rsidP="00E51CDD">
            <w:pPr>
              <w:widowControl w:val="0"/>
              <w:spacing w:before="40" w:after="40"/>
              <w:rPr>
                <w:rFonts w:eastAsia="PMingLiU"/>
                <w:sz w:val="20"/>
                <w:szCs w:val="20"/>
                <w:highlight w:val="yellow"/>
                <w:lang w:eastAsia="en-US"/>
              </w:rPr>
            </w:pPr>
            <w:r w:rsidRPr="00E51CDD">
              <w:rPr>
                <w:sz w:val="20"/>
                <w:szCs w:val="20"/>
              </w:rPr>
              <w:t xml:space="preserve"> Metabolite R401553</w:t>
            </w:r>
          </w:p>
        </w:tc>
        <w:tc>
          <w:tcPr>
            <w:tcW w:w="1177" w:type="pct"/>
            <w:tcBorders>
              <w:top w:val="single" w:sz="4" w:space="0" w:color="auto"/>
              <w:bottom w:val="single" w:sz="4" w:space="0" w:color="auto"/>
            </w:tcBorders>
            <w:vAlign w:val="center"/>
          </w:tcPr>
          <w:p w14:paraId="3ECA9F62" w14:textId="77777777" w:rsidR="00E51CDD" w:rsidRPr="00E51CDD" w:rsidRDefault="00E51CDD" w:rsidP="00E51CDD">
            <w:pPr>
              <w:widowControl w:val="0"/>
              <w:rPr>
                <w:noProof/>
                <w:sz w:val="20"/>
                <w:lang w:val="en-GB"/>
              </w:rPr>
            </w:pPr>
            <w:r w:rsidRPr="00E51CDD">
              <w:rPr>
                <w:sz w:val="20"/>
                <w:lang w:val="en-GB"/>
              </w:rPr>
              <w:t xml:space="preserve">2.643 </w:t>
            </w:r>
            <w:r w:rsidRPr="00E51CDD">
              <w:rPr>
                <w:noProof/>
                <w:sz w:val="20"/>
                <w:lang w:val="en-GB"/>
              </w:rPr>
              <w:t>(at 28 d)</w:t>
            </w:r>
          </w:p>
        </w:tc>
        <w:tc>
          <w:tcPr>
            <w:tcW w:w="1177" w:type="pct"/>
            <w:tcBorders>
              <w:top w:val="single" w:sz="4" w:space="0" w:color="auto"/>
              <w:bottom w:val="single" w:sz="4" w:space="0" w:color="auto"/>
            </w:tcBorders>
            <w:vAlign w:val="center"/>
          </w:tcPr>
          <w:p w14:paraId="7E51585A" w14:textId="14B34236" w:rsidR="00E51CDD" w:rsidRPr="00E51CDD" w:rsidRDefault="00E51CDD" w:rsidP="00E51CDD">
            <w:pPr>
              <w:widowControl w:val="0"/>
              <w:rPr>
                <w:noProof/>
                <w:sz w:val="20"/>
                <w:highlight w:val="yellow"/>
                <w:lang w:val="en-GB"/>
              </w:rPr>
            </w:pPr>
            <w:r w:rsidRPr="00E51CDD">
              <w:rPr>
                <w:noProof/>
                <w:color w:val="000000"/>
                <w:sz w:val="20"/>
                <w:szCs w:val="20"/>
                <w:lang w:val="en-GB"/>
              </w:rPr>
              <w:t>0.007</w:t>
            </w:r>
          </w:p>
        </w:tc>
        <w:tc>
          <w:tcPr>
            <w:tcW w:w="1176" w:type="pct"/>
            <w:tcBorders>
              <w:top w:val="single" w:sz="4" w:space="0" w:color="auto"/>
              <w:bottom w:val="single" w:sz="4" w:space="0" w:color="auto"/>
            </w:tcBorders>
            <w:vAlign w:val="center"/>
          </w:tcPr>
          <w:p w14:paraId="11B7682A" w14:textId="77777777" w:rsidR="00E51CDD" w:rsidRPr="00E51CDD" w:rsidRDefault="00E51CDD" w:rsidP="00E51CDD">
            <w:pPr>
              <w:widowControl w:val="0"/>
              <w:rPr>
                <w:noProof/>
                <w:sz w:val="20"/>
                <w:lang w:val="en-GB"/>
              </w:rPr>
            </w:pPr>
            <w:r w:rsidRPr="00E51CDD">
              <w:rPr>
                <w:noProof/>
                <w:sz w:val="20"/>
                <w:lang w:val="en-GB"/>
              </w:rPr>
              <w:t>yes</w:t>
            </w:r>
          </w:p>
        </w:tc>
      </w:tr>
    </w:tbl>
    <w:p w14:paraId="2B07B1EB" w14:textId="77777777" w:rsidR="00E51CDD" w:rsidRPr="00E51CDD" w:rsidRDefault="00E51CDD" w:rsidP="00E51CDD">
      <w:pPr>
        <w:widowControl w:val="0"/>
        <w:ind w:left="284" w:hanging="284"/>
        <w:rPr>
          <w:sz w:val="18"/>
          <w:szCs w:val="18"/>
          <w:vertAlign w:val="subscript"/>
          <w:lang w:val="en-GB"/>
        </w:rPr>
      </w:pPr>
      <w:r w:rsidRPr="00E51CDD">
        <w:rPr>
          <w:sz w:val="18"/>
          <w:szCs w:val="18"/>
          <w:vertAlign w:val="superscript"/>
          <w:lang w:val="en-GB"/>
        </w:rPr>
        <w:t>*</w:t>
      </w:r>
      <w:r w:rsidRPr="00E51CDD">
        <w:rPr>
          <w:sz w:val="18"/>
          <w:szCs w:val="18"/>
          <w:vertAlign w:val="superscript"/>
          <w:lang w:val="en-GB"/>
        </w:rPr>
        <w:tab/>
      </w:r>
      <w:r w:rsidRPr="00E51CDD">
        <w:rPr>
          <w:sz w:val="18"/>
          <w:szCs w:val="18"/>
          <w:lang w:val="en-GB"/>
        </w:rPr>
        <w:t>PEC</w:t>
      </w:r>
      <w:r w:rsidRPr="00E51CDD">
        <w:rPr>
          <w:sz w:val="18"/>
          <w:szCs w:val="18"/>
          <w:vertAlign w:val="subscript"/>
          <w:lang w:val="en-GB"/>
        </w:rPr>
        <w:t>soil, accu</w:t>
      </w:r>
    </w:p>
    <w:p w14:paraId="61415B83" w14:textId="77777777" w:rsidR="00E51CDD" w:rsidRPr="00E51CDD" w:rsidRDefault="00E51CDD" w:rsidP="00E51CDD">
      <w:pPr>
        <w:widowControl w:val="0"/>
      </w:pPr>
    </w:p>
    <w:p w14:paraId="236093F2" w14:textId="77777777" w:rsidR="00E51CDD" w:rsidRPr="00E51CDD" w:rsidRDefault="00E51CDD" w:rsidP="00E51CDD">
      <w:pPr>
        <w:widowControl w:val="0"/>
      </w:pPr>
    </w:p>
    <w:p w14:paraId="4B187F35" w14:textId="7463AF26" w:rsidR="00E51CDD" w:rsidRPr="00E51CDD" w:rsidRDefault="00E51CDD" w:rsidP="00E51CDD">
      <w:pPr>
        <w:tabs>
          <w:tab w:val="left" w:pos="1984"/>
        </w:tabs>
        <w:spacing w:line="280" w:lineRule="exact"/>
        <w:ind w:left="1985" w:hanging="1985"/>
        <w:jc w:val="both"/>
        <w:rPr>
          <w:b/>
          <w:lang w:val="en-GB" w:eastAsia="en-US"/>
        </w:rPr>
      </w:pPr>
      <w:bookmarkStart w:id="916" w:name="_Ref5000212"/>
      <w:r w:rsidRPr="00E51CDD">
        <w:rPr>
          <w:b/>
          <w:lang w:val="en-GB" w:eastAsia="en-US"/>
        </w:rPr>
        <w:t xml:space="preserve">Table </w:t>
      </w:r>
      <w:r w:rsidRPr="00E51CDD">
        <w:rPr>
          <w:b/>
          <w:lang w:val="en-GB" w:eastAsia="en-US"/>
        </w:rPr>
        <w:fldChar w:fldCharType="begin"/>
      </w:r>
      <w:r w:rsidRPr="00E51CDD">
        <w:rPr>
          <w:b/>
          <w:lang w:val="en-GB" w:eastAsia="en-US"/>
        </w:rPr>
        <w:instrText xml:space="preserve"> STYLEREF 2 \s </w:instrText>
      </w:r>
      <w:r w:rsidRPr="00E51CDD">
        <w:rPr>
          <w:b/>
          <w:lang w:val="en-GB" w:eastAsia="en-US"/>
        </w:rPr>
        <w:fldChar w:fldCharType="separate"/>
      </w:r>
      <w:r w:rsidR="00662F32">
        <w:rPr>
          <w:b/>
          <w:noProof/>
          <w:lang w:val="en-GB" w:eastAsia="en-US"/>
        </w:rPr>
        <w:t>9.9</w:t>
      </w:r>
      <w:r w:rsidRPr="00E51CDD">
        <w:rPr>
          <w:b/>
          <w:lang w:val="en-GB" w:eastAsia="en-US"/>
        </w:rPr>
        <w:fldChar w:fldCharType="end"/>
      </w:r>
      <w:r w:rsidRPr="00E51CDD">
        <w:rPr>
          <w:b/>
          <w:lang w:val="en-GB" w:eastAsia="en-US"/>
        </w:rPr>
        <w:noBreakHyphen/>
      </w:r>
      <w:r w:rsidRPr="00E51CDD">
        <w:rPr>
          <w:b/>
          <w:lang w:val="en-GB" w:eastAsia="en-US"/>
        </w:rPr>
        <w:fldChar w:fldCharType="begin"/>
      </w:r>
      <w:r w:rsidRPr="00E51CDD">
        <w:rPr>
          <w:b/>
          <w:lang w:val="en-GB" w:eastAsia="en-US"/>
        </w:rPr>
        <w:instrText xml:space="preserve"> SEQ Table \* ARABIC \s 2 </w:instrText>
      </w:r>
      <w:r w:rsidRPr="00E51CDD">
        <w:rPr>
          <w:b/>
          <w:lang w:val="en-GB" w:eastAsia="en-US"/>
        </w:rPr>
        <w:fldChar w:fldCharType="separate"/>
      </w:r>
      <w:r w:rsidR="00662F32">
        <w:rPr>
          <w:b/>
          <w:noProof/>
          <w:lang w:val="en-GB" w:eastAsia="en-US"/>
        </w:rPr>
        <w:t>6</w:t>
      </w:r>
      <w:r w:rsidRPr="00E51CDD">
        <w:rPr>
          <w:b/>
          <w:lang w:val="en-GB" w:eastAsia="en-US"/>
        </w:rPr>
        <w:fldChar w:fldCharType="end"/>
      </w:r>
      <w:bookmarkEnd w:id="916"/>
      <w:r w:rsidRPr="00E51CDD">
        <w:rPr>
          <w:b/>
          <w:lang w:val="en-GB" w:eastAsia="en-US"/>
        </w:rPr>
        <w:t>:</w:t>
      </w:r>
      <w:r w:rsidRPr="00E51CDD">
        <w:rPr>
          <w:b/>
          <w:lang w:val="en-GB" w:eastAsia="en-US"/>
        </w:rPr>
        <w:tab/>
        <w:t xml:space="preserve">Assessment of the risk for effects on soil micro-organisms due to the use of </w:t>
      </w:r>
      <w:r w:rsidRPr="00E51CDD">
        <w:rPr>
          <w:b/>
          <w:lang w:eastAsia="en-US"/>
        </w:rPr>
        <w:t>BAS 736 00 F according to the proposed use pattern</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747"/>
        <w:gridCol w:w="2200"/>
        <w:gridCol w:w="2200"/>
        <w:gridCol w:w="2198"/>
      </w:tblGrid>
      <w:tr w:rsidR="00E51CDD" w:rsidRPr="00E51CDD" w14:paraId="78626C5D" w14:textId="77777777" w:rsidTr="009938D9">
        <w:trPr>
          <w:cantSplit/>
        </w:trPr>
        <w:tc>
          <w:tcPr>
            <w:tcW w:w="1470" w:type="pct"/>
            <w:tcBorders>
              <w:top w:val="single" w:sz="4" w:space="0" w:color="auto"/>
              <w:bottom w:val="single" w:sz="4" w:space="0" w:color="auto"/>
            </w:tcBorders>
          </w:tcPr>
          <w:p w14:paraId="05D4FB5C" w14:textId="77777777" w:rsidR="00E51CDD" w:rsidRPr="00E51CDD" w:rsidRDefault="00E51CDD" w:rsidP="00E51CDD">
            <w:pPr>
              <w:widowControl w:val="0"/>
              <w:rPr>
                <w:b/>
                <w:bCs/>
                <w:sz w:val="20"/>
                <w:szCs w:val="20"/>
                <w:lang w:val="en-GB"/>
              </w:rPr>
            </w:pPr>
            <w:r w:rsidRPr="00E51CDD">
              <w:rPr>
                <w:b/>
                <w:bCs/>
                <w:sz w:val="20"/>
                <w:szCs w:val="20"/>
                <w:lang w:val="en-GB"/>
              </w:rPr>
              <w:t>Intended use</w:t>
            </w:r>
          </w:p>
        </w:tc>
        <w:tc>
          <w:tcPr>
            <w:tcW w:w="3530" w:type="pct"/>
            <w:gridSpan w:val="3"/>
            <w:tcBorders>
              <w:top w:val="single" w:sz="4" w:space="0" w:color="auto"/>
              <w:bottom w:val="single" w:sz="4" w:space="0" w:color="auto"/>
            </w:tcBorders>
          </w:tcPr>
          <w:p w14:paraId="56BBA980" w14:textId="77777777" w:rsidR="00E51CDD" w:rsidRPr="00E51CDD" w:rsidRDefault="00E51CDD" w:rsidP="00E51CDD">
            <w:pPr>
              <w:widowControl w:val="0"/>
              <w:rPr>
                <w:noProof/>
                <w:sz w:val="20"/>
                <w:vertAlign w:val="superscript"/>
                <w:lang w:val="it-IT"/>
              </w:rPr>
            </w:pPr>
            <w:r w:rsidRPr="00E51CDD">
              <w:rPr>
                <w:noProof/>
                <w:sz w:val="20"/>
                <w:lang w:val="en-GB"/>
              </w:rPr>
              <w:t xml:space="preserve">cereals </w:t>
            </w:r>
          </w:p>
        </w:tc>
      </w:tr>
      <w:tr w:rsidR="00E51CDD" w:rsidRPr="00E51CDD" w14:paraId="1D5D239D" w14:textId="77777777" w:rsidTr="009938D9">
        <w:trPr>
          <w:cantSplit/>
        </w:trPr>
        <w:tc>
          <w:tcPr>
            <w:tcW w:w="1470" w:type="pct"/>
            <w:tcBorders>
              <w:top w:val="single" w:sz="4" w:space="0" w:color="auto"/>
              <w:bottom w:val="single" w:sz="4" w:space="0" w:color="auto"/>
            </w:tcBorders>
          </w:tcPr>
          <w:p w14:paraId="72E415F5" w14:textId="77777777" w:rsidR="00E51CDD" w:rsidRPr="00E51CDD" w:rsidRDefault="00E51CDD" w:rsidP="00E51CDD">
            <w:pPr>
              <w:widowControl w:val="0"/>
              <w:rPr>
                <w:b/>
                <w:bCs/>
                <w:sz w:val="20"/>
                <w:szCs w:val="20"/>
                <w:lang w:val="en-GB"/>
              </w:rPr>
            </w:pPr>
            <w:r w:rsidRPr="00E51CDD">
              <w:rPr>
                <w:b/>
                <w:bCs/>
                <w:sz w:val="20"/>
                <w:szCs w:val="20"/>
                <w:lang w:val="en-GB"/>
              </w:rPr>
              <w:t>Product</w:t>
            </w:r>
          </w:p>
        </w:tc>
        <w:tc>
          <w:tcPr>
            <w:tcW w:w="3530" w:type="pct"/>
            <w:gridSpan w:val="3"/>
            <w:tcBorders>
              <w:top w:val="single" w:sz="4" w:space="0" w:color="auto"/>
              <w:bottom w:val="single" w:sz="4" w:space="0" w:color="auto"/>
            </w:tcBorders>
          </w:tcPr>
          <w:p w14:paraId="332B40AE" w14:textId="77777777" w:rsidR="00E51CDD" w:rsidRPr="00E51CDD" w:rsidRDefault="00E51CDD" w:rsidP="00E51CDD">
            <w:pPr>
              <w:widowControl w:val="0"/>
              <w:rPr>
                <w:noProof/>
                <w:sz w:val="20"/>
                <w:szCs w:val="20"/>
                <w:lang w:val="en-GB"/>
              </w:rPr>
            </w:pPr>
            <w:r w:rsidRPr="00E51CDD">
              <w:rPr>
                <w:noProof/>
                <w:sz w:val="20"/>
                <w:szCs w:val="20"/>
                <w:lang w:val="en-GB"/>
              </w:rPr>
              <w:t>BAS 736 00 F</w:t>
            </w:r>
          </w:p>
        </w:tc>
      </w:tr>
      <w:tr w:rsidR="00E51CDD" w:rsidRPr="00E51CDD" w14:paraId="5258CB4E" w14:textId="77777777" w:rsidTr="009938D9">
        <w:trPr>
          <w:cantSplit/>
        </w:trPr>
        <w:tc>
          <w:tcPr>
            <w:tcW w:w="1470" w:type="pct"/>
            <w:tcBorders>
              <w:top w:val="single" w:sz="4" w:space="0" w:color="auto"/>
              <w:bottom w:val="single" w:sz="4" w:space="0" w:color="auto"/>
            </w:tcBorders>
          </w:tcPr>
          <w:p w14:paraId="192BEDB1" w14:textId="77777777" w:rsidR="00E51CDD" w:rsidRPr="00E51CDD" w:rsidRDefault="00E51CDD" w:rsidP="00E51CDD">
            <w:pPr>
              <w:widowControl w:val="0"/>
              <w:rPr>
                <w:b/>
                <w:bCs/>
                <w:sz w:val="20"/>
                <w:szCs w:val="20"/>
                <w:lang w:val="en-GB"/>
              </w:rPr>
            </w:pPr>
            <w:r w:rsidRPr="00E51CDD">
              <w:rPr>
                <w:b/>
                <w:bCs/>
                <w:sz w:val="20"/>
                <w:szCs w:val="20"/>
                <w:lang w:val="en-GB"/>
              </w:rPr>
              <w:t>Application rate (L/ha)</w:t>
            </w:r>
          </w:p>
        </w:tc>
        <w:tc>
          <w:tcPr>
            <w:tcW w:w="3530" w:type="pct"/>
            <w:gridSpan w:val="3"/>
            <w:tcBorders>
              <w:top w:val="single" w:sz="4" w:space="0" w:color="auto"/>
              <w:bottom w:val="single" w:sz="4" w:space="0" w:color="auto"/>
            </w:tcBorders>
          </w:tcPr>
          <w:p w14:paraId="454A66DB" w14:textId="77777777" w:rsidR="00E51CDD" w:rsidRPr="00E51CDD" w:rsidRDefault="00E51CDD" w:rsidP="00E51CDD">
            <w:pPr>
              <w:widowControl w:val="0"/>
              <w:rPr>
                <w:noProof/>
                <w:sz w:val="20"/>
                <w:szCs w:val="20"/>
                <w:lang w:val="en-GB"/>
              </w:rPr>
            </w:pPr>
            <w:r w:rsidRPr="00E51CDD">
              <w:rPr>
                <w:noProof/>
                <w:sz w:val="20"/>
                <w:szCs w:val="20"/>
                <w:lang w:val="en-GB"/>
              </w:rPr>
              <w:t>2 x 2.0</w:t>
            </w:r>
          </w:p>
        </w:tc>
      </w:tr>
      <w:tr w:rsidR="00E51CDD" w:rsidRPr="00E51CDD" w14:paraId="433547D4" w14:textId="77777777" w:rsidTr="009938D9">
        <w:trPr>
          <w:cantSplit/>
        </w:trPr>
        <w:tc>
          <w:tcPr>
            <w:tcW w:w="5000" w:type="pct"/>
            <w:gridSpan w:val="4"/>
            <w:tcBorders>
              <w:top w:val="single" w:sz="4" w:space="0" w:color="auto"/>
            </w:tcBorders>
          </w:tcPr>
          <w:p w14:paraId="337C50D2" w14:textId="77777777" w:rsidR="00E51CDD" w:rsidRPr="00E51CDD" w:rsidRDefault="00E51CDD" w:rsidP="00E51CDD">
            <w:pPr>
              <w:widowControl w:val="0"/>
              <w:rPr>
                <w:b/>
                <w:bCs/>
                <w:sz w:val="20"/>
                <w:szCs w:val="20"/>
                <w:lang w:val="en-GB"/>
              </w:rPr>
            </w:pPr>
            <w:r w:rsidRPr="00E51CDD">
              <w:rPr>
                <w:b/>
                <w:bCs/>
                <w:sz w:val="20"/>
                <w:szCs w:val="20"/>
                <w:lang w:val="en-GB"/>
              </w:rPr>
              <w:t>N-mineralization</w:t>
            </w:r>
          </w:p>
        </w:tc>
      </w:tr>
      <w:tr w:rsidR="00E51CDD" w:rsidRPr="00E51CDD" w14:paraId="759D212C" w14:textId="77777777" w:rsidTr="009938D9">
        <w:trPr>
          <w:cantSplit/>
        </w:trPr>
        <w:tc>
          <w:tcPr>
            <w:tcW w:w="1470" w:type="pct"/>
            <w:tcBorders>
              <w:top w:val="single" w:sz="4" w:space="0" w:color="auto"/>
              <w:bottom w:val="single" w:sz="4" w:space="0" w:color="auto"/>
            </w:tcBorders>
          </w:tcPr>
          <w:p w14:paraId="6E116B0D" w14:textId="77777777" w:rsidR="00E51CDD" w:rsidRPr="00E51CDD" w:rsidRDefault="00E51CDD" w:rsidP="00E51CDD">
            <w:pPr>
              <w:widowControl w:val="0"/>
              <w:rPr>
                <w:b/>
                <w:bCs/>
                <w:sz w:val="20"/>
                <w:szCs w:val="20"/>
                <w:lang w:val="en-GB"/>
              </w:rPr>
            </w:pPr>
            <w:r w:rsidRPr="00E51CDD">
              <w:rPr>
                <w:b/>
                <w:bCs/>
                <w:sz w:val="20"/>
                <w:szCs w:val="20"/>
                <w:lang w:val="en-GB"/>
              </w:rPr>
              <w:t>Product</w:t>
            </w:r>
          </w:p>
        </w:tc>
        <w:tc>
          <w:tcPr>
            <w:tcW w:w="1177" w:type="pct"/>
            <w:tcBorders>
              <w:top w:val="single" w:sz="4" w:space="0" w:color="auto"/>
              <w:bottom w:val="single" w:sz="4" w:space="0" w:color="auto"/>
            </w:tcBorders>
          </w:tcPr>
          <w:p w14:paraId="2D44C62A" w14:textId="77777777" w:rsidR="00E51CDD" w:rsidRPr="00E51CDD" w:rsidRDefault="00E51CDD" w:rsidP="00E51CDD">
            <w:pPr>
              <w:widowControl w:val="0"/>
              <w:rPr>
                <w:b/>
                <w:bCs/>
                <w:sz w:val="20"/>
                <w:szCs w:val="20"/>
                <w:lang w:val="en-GB"/>
              </w:rPr>
            </w:pPr>
            <w:r w:rsidRPr="00E51CDD">
              <w:rPr>
                <w:b/>
                <w:bCs/>
                <w:sz w:val="20"/>
                <w:szCs w:val="20"/>
                <w:lang w:val="en-GB"/>
              </w:rPr>
              <w:t>Max. conc. with effects ≤ 25 % (mg a.s./kg dry soil)</w:t>
            </w:r>
          </w:p>
        </w:tc>
        <w:tc>
          <w:tcPr>
            <w:tcW w:w="1177" w:type="pct"/>
            <w:tcBorders>
              <w:top w:val="single" w:sz="4" w:space="0" w:color="auto"/>
              <w:bottom w:val="single" w:sz="4" w:space="0" w:color="auto"/>
            </w:tcBorders>
          </w:tcPr>
          <w:p w14:paraId="4272F739" w14:textId="77777777" w:rsidR="00E51CDD" w:rsidRPr="00E51CDD" w:rsidRDefault="00E51CDD" w:rsidP="00E51CDD">
            <w:pPr>
              <w:widowControl w:val="0"/>
              <w:rPr>
                <w:b/>
                <w:bCs/>
                <w:sz w:val="20"/>
                <w:szCs w:val="20"/>
                <w:lang w:val="en-GB"/>
              </w:rPr>
            </w:pPr>
            <w:r w:rsidRPr="00E51CDD">
              <w:rPr>
                <w:b/>
                <w:bCs/>
                <w:sz w:val="20"/>
                <w:szCs w:val="20"/>
                <w:lang w:val="en-GB"/>
              </w:rPr>
              <w:t>PEC</w:t>
            </w:r>
            <w:r w:rsidRPr="00E51CDD">
              <w:rPr>
                <w:b/>
                <w:bCs/>
                <w:sz w:val="20"/>
                <w:szCs w:val="20"/>
                <w:vertAlign w:val="subscript"/>
                <w:lang w:val="en-GB"/>
              </w:rPr>
              <w:t>soil</w:t>
            </w:r>
            <w:r w:rsidRPr="00E51CDD">
              <w:rPr>
                <w:b/>
                <w:bCs/>
                <w:sz w:val="20"/>
                <w:szCs w:val="20"/>
                <w:vertAlign w:val="subscript"/>
                <w:lang w:val="en-GB"/>
              </w:rPr>
              <w:br/>
            </w:r>
            <w:r w:rsidRPr="00E51CDD">
              <w:rPr>
                <w:b/>
                <w:bCs/>
                <w:sz w:val="20"/>
                <w:szCs w:val="20"/>
                <w:lang w:val="en-GB"/>
              </w:rPr>
              <w:t>(mg a.s./kg dry soil)</w:t>
            </w:r>
          </w:p>
        </w:tc>
        <w:tc>
          <w:tcPr>
            <w:tcW w:w="1176" w:type="pct"/>
            <w:tcBorders>
              <w:top w:val="single" w:sz="4" w:space="0" w:color="auto"/>
              <w:bottom w:val="single" w:sz="4" w:space="0" w:color="auto"/>
            </w:tcBorders>
          </w:tcPr>
          <w:p w14:paraId="4F8327DD" w14:textId="77777777" w:rsidR="00E51CDD" w:rsidRPr="00E51CDD" w:rsidRDefault="00E51CDD" w:rsidP="00E51CDD">
            <w:pPr>
              <w:widowControl w:val="0"/>
              <w:rPr>
                <w:b/>
                <w:bCs/>
                <w:sz w:val="20"/>
                <w:szCs w:val="20"/>
                <w:lang w:val="en-GB"/>
              </w:rPr>
            </w:pPr>
            <w:r w:rsidRPr="00E51CDD">
              <w:rPr>
                <w:b/>
                <w:bCs/>
                <w:sz w:val="20"/>
                <w:szCs w:val="20"/>
                <w:lang w:val="en-GB"/>
              </w:rPr>
              <w:t>Risk acceptable?</w:t>
            </w:r>
          </w:p>
        </w:tc>
      </w:tr>
      <w:tr w:rsidR="00E51CDD" w:rsidRPr="00E51CDD" w14:paraId="4AFE2E10" w14:textId="77777777" w:rsidTr="009938D9">
        <w:trPr>
          <w:cantSplit/>
        </w:trPr>
        <w:tc>
          <w:tcPr>
            <w:tcW w:w="1470" w:type="pct"/>
            <w:tcBorders>
              <w:top w:val="single" w:sz="4" w:space="0" w:color="auto"/>
              <w:bottom w:val="single" w:sz="4" w:space="0" w:color="auto"/>
            </w:tcBorders>
          </w:tcPr>
          <w:p w14:paraId="280E97A9" w14:textId="77777777" w:rsidR="00E51CDD" w:rsidRPr="00E51CDD" w:rsidRDefault="00E51CDD" w:rsidP="00E51CDD">
            <w:pPr>
              <w:widowControl w:val="0"/>
              <w:rPr>
                <w:noProof/>
                <w:sz w:val="20"/>
              </w:rPr>
            </w:pPr>
            <w:r w:rsidRPr="00E51CDD">
              <w:rPr>
                <w:noProof/>
                <w:sz w:val="20"/>
              </w:rPr>
              <w:t>(total) a.s. in BAS 736 00 F</w:t>
            </w:r>
          </w:p>
        </w:tc>
        <w:tc>
          <w:tcPr>
            <w:tcW w:w="1177" w:type="pct"/>
            <w:tcBorders>
              <w:top w:val="single" w:sz="4" w:space="0" w:color="auto"/>
              <w:bottom w:val="single" w:sz="4" w:space="0" w:color="auto"/>
            </w:tcBorders>
          </w:tcPr>
          <w:p w14:paraId="52DCFFD7" w14:textId="77777777" w:rsidR="00E51CDD" w:rsidRPr="00E51CDD" w:rsidRDefault="00E51CDD" w:rsidP="00E51CDD">
            <w:pPr>
              <w:widowControl w:val="0"/>
              <w:rPr>
                <w:noProof/>
                <w:sz w:val="20"/>
                <w:vertAlign w:val="superscript"/>
                <w:lang w:val="en-GB"/>
              </w:rPr>
            </w:pPr>
            <w:r w:rsidRPr="00E51CDD">
              <w:rPr>
                <w:noProof/>
                <w:sz w:val="20"/>
                <w:lang w:val="en-GB"/>
              </w:rPr>
              <w:t xml:space="preserve">4.0 (at 28 d) </w:t>
            </w:r>
            <w:r w:rsidRPr="00E51CDD">
              <w:rPr>
                <w:noProof/>
                <w:sz w:val="20"/>
                <w:vertAlign w:val="superscript"/>
                <w:lang w:val="en-GB"/>
              </w:rPr>
              <w:t>1)</w:t>
            </w:r>
          </w:p>
        </w:tc>
        <w:tc>
          <w:tcPr>
            <w:tcW w:w="1177" w:type="pct"/>
            <w:tcBorders>
              <w:top w:val="single" w:sz="4" w:space="0" w:color="auto"/>
              <w:bottom w:val="single" w:sz="4" w:space="0" w:color="auto"/>
            </w:tcBorders>
          </w:tcPr>
          <w:p w14:paraId="034FC5F5" w14:textId="77777777" w:rsidR="00E51CDD" w:rsidRPr="00E51CDD" w:rsidRDefault="00E51CDD" w:rsidP="00E51CDD">
            <w:pPr>
              <w:widowControl w:val="0"/>
              <w:rPr>
                <w:noProof/>
                <w:sz w:val="20"/>
                <w:lang w:val="en-GB"/>
              </w:rPr>
            </w:pPr>
            <w:r w:rsidRPr="00E51CDD">
              <w:rPr>
                <w:noProof/>
                <w:sz w:val="20"/>
                <w:lang w:val="en-GB"/>
              </w:rPr>
              <w:t xml:space="preserve">0.169 </w:t>
            </w:r>
            <w:r w:rsidRPr="00E51CDD">
              <w:rPr>
                <w:noProof/>
                <w:sz w:val="20"/>
                <w:vertAlign w:val="superscript"/>
                <w:lang w:val="en-GB"/>
              </w:rPr>
              <w:t>* 2)</w:t>
            </w:r>
          </w:p>
        </w:tc>
        <w:tc>
          <w:tcPr>
            <w:tcW w:w="1176" w:type="pct"/>
            <w:tcBorders>
              <w:top w:val="single" w:sz="4" w:space="0" w:color="auto"/>
              <w:bottom w:val="single" w:sz="4" w:space="0" w:color="auto"/>
            </w:tcBorders>
          </w:tcPr>
          <w:p w14:paraId="2669FC3B" w14:textId="77777777" w:rsidR="00E51CDD" w:rsidRPr="00E51CDD" w:rsidRDefault="00E51CDD" w:rsidP="00E51CDD">
            <w:pPr>
              <w:widowControl w:val="0"/>
              <w:rPr>
                <w:noProof/>
                <w:sz w:val="20"/>
                <w:lang w:val="en-GB"/>
              </w:rPr>
            </w:pPr>
            <w:r w:rsidRPr="00E51CDD">
              <w:rPr>
                <w:noProof/>
                <w:sz w:val="20"/>
                <w:lang w:val="en-GB"/>
              </w:rPr>
              <w:t>yes</w:t>
            </w:r>
          </w:p>
        </w:tc>
      </w:tr>
    </w:tbl>
    <w:p w14:paraId="143A095C" w14:textId="77777777" w:rsidR="00E51CDD" w:rsidRPr="00E51CDD" w:rsidRDefault="00E51CDD" w:rsidP="00E51CDD">
      <w:pPr>
        <w:widowControl w:val="0"/>
        <w:ind w:left="284" w:hanging="284"/>
        <w:rPr>
          <w:sz w:val="18"/>
          <w:szCs w:val="18"/>
          <w:lang w:val="en-GB"/>
        </w:rPr>
      </w:pPr>
      <w:r w:rsidRPr="00E51CDD">
        <w:rPr>
          <w:sz w:val="18"/>
          <w:szCs w:val="18"/>
          <w:vertAlign w:val="superscript"/>
          <w:lang w:val="en-GB"/>
        </w:rPr>
        <w:t>*</w:t>
      </w:r>
      <w:r w:rsidRPr="00E51CDD">
        <w:rPr>
          <w:sz w:val="18"/>
          <w:szCs w:val="18"/>
          <w:vertAlign w:val="superscript"/>
          <w:lang w:val="en-GB"/>
        </w:rPr>
        <w:tab/>
      </w:r>
      <w:r w:rsidRPr="00E51CDD">
        <w:rPr>
          <w:sz w:val="18"/>
          <w:szCs w:val="18"/>
          <w:lang w:val="en-GB"/>
        </w:rPr>
        <w:t>PEC</w:t>
      </w:r>
      <w:r w:rsidRPr="00E51CDD">
        <w:rPr>
          <w:sz w:val="18"/>
          <w:szCs w:val="18"/>
          <w:vertAlign w:val="subscript"/>
          <w:lang w:val="en-GB"/>
        </w:rPr>
        <w:t xml:space="preserve">soil, accu </w:t>
      </w:r>
      <w:r w:rsidRPr="00E51CDD">
        <w:rPr>
          <w:sz w:val="18"/>
          <w:szCs w:val="18"/>
          <w:lang w:val="en-GB"/>
        </w:rPr>
        <w:t>for fluxapyroxad and azoxystrobin</w:t>
      </w:r>
    </w:p>
    <w:p w14:paraId="1185D755" w14:textId="77777777" w:rsidR="00E51CDD" w:rsidRPr="00E51CDD" w:rsidRDefault="00E51CDD" w:rsidP="00E51CDD">
      <w:pPr>
        <w:widowControl w:val="0"/>
        <w:spacing w:before="40"/>
        <w:ind w:left="284" w:hanging="284"/>
        <w:jc w:val="both"/>
        <w:rPr>
          <w:sz w:val="18"/>
        </w:rPr>
      </w:pPr>
      <w:bookmarkStart w:id="917" w:name="_Hlk496090033"/>
      <w:r w:rsidRPr="00E51CDD">
        <w:rPr>
          <w:sz w:val="18"/>
          <w:vertAlign w:val="superscript"/>
        </w:rPr>
        <w:t>1)</w:t>
      </w:r>
      <w:r w:rsidRPr="00E51CDD">
        <w:rPr>
          <w:sz w:val="18"/>
        </w:rPr>
        <w:tab/>
        <w:t>Endpoint based on the content of the active substances (nominal) and taking into account the density of BAS 736 00 F of 1.078 g/cm³.</w:t>
      </w:r>
    </w:p>
    <w:p w14:paraId="56A2813D" w14:textId="77777777" w:rsidR="00E51CDD" w:rsidRPr="00E51CDD" w:rsidRDefault="00E51CDD" w:rsidP="00E51CDD">
      <w:pPr>
        <w:widowControl w:val="0"/>
        <w:ind w:left="284" w:hanging="284"/>
        <w:rPr>
          <w:sz w:val="18"/>
          <w:szCs w:val="18"/>
        </w:rPr>
      </w:pPr>
      <w:r w:rsidRPr="00E51CDD">
        <w:rPr>
          <w:sz w:val="18"/>
          <w:vertAlign w:val="superscript"/>
        </w:rPr>
        <w:t>2)</w:t>
      </w:r>
      <w:r w:rsidRPr="00E51CDD">
        <w:rPr>
          <w:sz w:val="18"/>
          <w:vertAlign w:val="superscript"/>
        </w:rPr>
        <w:tab/>
      </w:r>
      <w:r w:rsidRPr="00E51CDD">
        <w:rPr>
          <w:sz w:val="18"/>
          <w:szCs w:val="18"/>
        </w:rPr>
        <w:t>Based on the sum of the worst-case active substance PEC</w:t>
      </w:r>
      <w:r w:rsidRPr="00E51CDD">
        <w:rPr>
          <w:sz w:val="18"/>
          <w:szCs w:val="18"/>
          <w:vertAlign w:val="subscript"/>
        </w:rPr>
        <w:t>soil</w:t>
      </w:r>
      <w:r w:rsidRPr="00E51CDD">
        <w:rPr>
          <w:sz w:val="18"/>
          <w:szCs w:val="18"/>
        </w:rPr>
        <w:t xml:space="preserve"> values.</w:t>
      </w:r>
    </w:p>
    <w:p w14:paraId="3344E531" w14:textId="77777777" w:rsidR="00E51CDD" w:rsidRPr="00E51CDD" w:rsidRDefault="00E51CDD" w:rsidP="00E51CDD">
      <w:pPr>
        <w:widowControl w:val="0"/>
        <w:ind w:left="284" w:hanging="284"/>
        <w:rPr>
          <w:sz w:val="18"/>
          <w:szCs w:val="18"/>
        </w:rPr>
      </w:pPr>
    </w:p>
    <w:p w14:paraId="66FBC101" w14:textId="77777777" w:rsidR="00E51CDD" w:rsidRPr="00E51CDD" w:rsidRDefault="00E51CDD" w:rsidP="00B31542">
      <w:pPr>
        <w:pStyle w:val="Nagwek3"/>
      </w:pPr>
      <w:bookmarkStart w:id="918" w:name="_Toc125446456"/>
      <w:bookmarkEnd w:id="917"/>
      <w:r w:rsidRPr="00E51CDD">
        <w:t>Overall conclusions</w:t>
      </w:r>
      <w:bookmarkEnd w:id="906"/>
      <w:bookmarkEnd w:id="907"/>
      <w:bookmarkEnd w:id="908"/>
      <w:bookmarkEnd w:id="909"/>
      <w:bookmarkEnd w:id="910"/>
      <w:bookmarkEnd w:id="911"/>
      <w:bookmarkEnd w:id="912"/>
      <w:bookmarkEnd w:id="913"/>
      <w:bookmarkEnd w:id="918"/>
    </w:p>
    <w:p w14:paraId="63281E40" w14:textId="77777777" w:rsidR="00E51CDD" w:rsidRDefault="00E51CDD" w:rsidP="00E51CDD">
      <w:pPr>
        <w:jc w:val="both"/>
        <w:rPr>
          <w:b/>
          <w:bCs/>
          <w:szCs w:val="20"/>
          <w:lang w:eastAsia="en-US"/>
        </w:rPr>
      </w:pPr>
      <w:r w:rsidRPr="00E51CDD">
        <w:rPr>
          <w:b/>
          <w:bCs/>
          <w:szCs w:val="20"/>
          <w:lang w:val="en-CA"/>
        </w:rPr>
        <w:t>For the formulation BAS 736 00 F, the active substances fluxapyroxad and azoxystrobin as well as for the relevant metabolites, the maximum concentration with effects &lt; 25% (SANCO/10329/2002 trigger) are all above the maximum PEC</w:t>
      </w:r>
      <w:r w:rsidRPr="00E51CDD">
        <w:rPr>
          <w:b/>
          <w:bCs/>
          <w:szCs w:val="20"/>
          <w:vertAlign w:val="subscript"/>
          <w:lang w:val="en-CA"/>
        </w:rPr>
        <w:t>soil</w:t>
      </w:r>
      <w:r w:rsidRPr="00E51CDD">
        <w:rPr>
          <w:b/>
          <w:bCs/>
          <w:szCs w:val="20"/>
          <w:lang w:val="en-CA"/>
        </w:rPr>
        <w:t xml:space="preserve"> values. Therefore, </w:t>
      </w:r>
      <w:r w:rsidRPr="00E51CDD">
        <w:rPr>
          <w:b/>
          <w:bCs/>
          <w:szCs w:val="20"/>
          <w:lang w:eastAsia="en-US"/>
        </w:rPr>
        <w:t xml:space="preserve">it is concluded that the use of </w:t>
      </w:r>
      <w:r w:rsidRPr="00E51CDD">
        <w:rPr>
          <w:b/>
          <w:bCs/>
          <w:szCs w:val="20"/>
          <w:lang w:val="en-CA"/>
        </w:rPr>
        <w:t>BAS 736 00 F</w:t>
      </w:r>
      <w:r w:rsidRPr="00E51CDD">
        <w:rPr>
          <w:b/>
          <w:bCs/>
          <w:szCs w:val="20"/>
          <w:lang w:eastAsia="en-US"/>
        </w:rPr>
        <w:t xml:space="preserve"> will not pose an unacceptable risk to non-target soil micro-organisms, if applied according to good agricultural practice.</w:t>
      </w:r>
    </w:p>
    <w:p w14:paraId="0C7BC10F" w14:textId="77777777" w:rsidR="008050EE" w:rsidRDefault="008050EE" w:rsidP="00E51CDD">
      <w:pPr>
        <w:jc w:val="both"/>
        <w:rPr>
          <w:b/>
          <w:bCs/>
          <w:szCs w:val="2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5"/>
      </w:tblGrid>
      <w:tr w:rsidR="00F33712" w:rsidRPr="001940B7" w14:paraId="7C94A3FC" w14:textId="77777777" w:rsidTr="00230125">
        <w:tc>
          <w:tcPr>
            <w:tcW w:w="5000" w:type="pct"/>
            <w:shd w:val="clear" w:color="auto" w:fill="D9D9D9"/>
          </w:tcPr>
          <w:p w14:paraId="4A60DE1B" w14:textId="77777777" w:rsidR="00F33712" w:rsidRPr="00F94BF1" w:rsidRDefault="00F33712" w:rsidP="0042510E">
            <w:pPr>
              <w:pStyle w:val="TableText"/>
              <w:spacing w:before="120" w:after="120"/>
              <w:rPr>
                <w:b/>
                <w:bCs/>
                <w:sz w:val="22"/>
                <w:szCs w:val="22"/>
                <w:lang w:eastAsia="en-US"/>
              </w:rPr>
            </w:pPr>
            <w:r w:rsidRPr="00F94BF1">
              <w:rPr>
                <w:b/>
                <w:bCs/>
                <w:sz w:val="22"/>
                <w:szCs w:val="22"/>
                <w:lang w:eastAsia="en-US"/>
              </w:rPr>
              <w:t>Review Comments:</w:t>
            </w:r>
          </w:p>
          <w:p w14:paraId="013580A3" w14:textId="102C1FD7" w:rsidR="00F33712" w:rsidRPr="001940B7" w:rsidRDefault="00F33712" w:rsidP="0042510E">
            <w:pPr>
              <w:pStyle w:val="OECD-BASIS-TEXT"/>
              <w:spacing w:before="120" w:after="120"/>
              <w:rPr>
                <w:color w:val="auto"/>
              </w:rPr>
            </w:pPr>
            <w:r w:rsidRPr="00F94BF1">
              <w:rPr>
                <w:bCs/>
                <w:sz w:val="22"/>
              </w:rPr>
              <w:t xml:space="preserve">The </w:t>
            </w:r>
            <w:r w:rsidRPr="00F94BF1">
              <w:rPr>
                <w:color w:val="auto"/>
                <w:sz w:val="22"/>
              </w:rPr>
              <w:t xml:space="preserve">use of </w:t>
            </w:r>
            <w:r w:rsidRPr="00F94BF1">
              <w:rPr>
                <w:bCs/>
                <w:sz w:val="22"/>
              </w:rPr>
              <w:t>BAS 7</w:t>
            </w:r>
            <w:r>
              <w:rPr>
                <w:bCs/>
                <w:sz w:val="22"/>
              </w:rPr>
              <w:t>36</w:t>
            </w:r>
            <w:r w:rsidRPr="00F94BF1">
              <w:rPr>
                <w:bCs/>
                <w:sz w:val="22"/>
              </w:rPr>
              <w:t> 00 F</w:t>
            </w:r>
            <w:r w:rsidRPr="00F94BF1">
              <w:rPr>
                <w:color w:val="auto"/>
                <w:sz w:val="22"/>
              </w:rPr>
              <w:t xml:space="preserve"> at the proposed rates poses no unacceptable risk to soil micro-organisms</w:t>
            </w:r>
            <w:r w:rsidRPr="00F94BF1">
              <w:rPr>
                <w:sz w:val="22"/>
              </w:rPr>
              <w:t>.</w:t>
            </w:r>
          </w:p>
        </w:tc>
      </w:tr>
      <w:bookmarkEnd w:id="891"/>
    </w:tbl>
    <w:p w14:paraId="38ABFF4D" w14:textId="77777777" w:rsidR="00E51CDD" w:rsidRDefault="00E51CDD" w:rsidP="00CE08CB">
      <w:pPr>
        <w:pStyle w:val="StyleOECD-BASIS-TEXTLeft"/>
        <w:rPr>
          <w:sz w:val="22"/>
          <w:lang w:val="en-US"/>
        </w:rPr>
        <w:sectPr w:rsidR="00E51CDD" w:rsidSect="009938D9">
          <w:headerReference w:type="even" r:id="rId49"/>
          <w:footerReference w:type="even" r:id="rId50"/>
          <w:headerReference w:type="first" r:id="rId51"/>
          <w:footerReference w:type="first" r:id="rId52"/>
          <w:pgSz w:w="11907" w:h="16840" w:code="9"/>
          <w:pgMar w:top="1418" w:right="1134" w:bottom="1418" w:left="1418" w:header="709" w:footer="709" w:gutter="0"/>
          <w:cols w:space="720"/>
        </w:sectPr>
      </w:pPr>
    </w:p>
    <w:p w14:paraId="5D73B76A" w14:textId="77777777" w:rsidR="00E51CDD" w:rsidRPr="00E51CDD" w:rsidRDefault="00E51CDD" w:rsidP="00E51CDD">
      <w:pPr>
        <w:jc w:val="both"/>
        <w:rPr>
          <w:color w:val="000000"/>
          <w:lang w:eastAsia="en-US"/>
        </w:rPr>
      </w:pPr>
    </w:p>
    <w:p w14:paraId="3B5046C8" w14:textId="77777777" w:rsidR="00E51CDD" w:rsidRPr="00E51CDD" w:rsidRDefault="00E51CDD" w:rsidP="00B31542">
      <w:pPr>
        <w:pStyle w:val="Nagwek2"/>
      </w:pPr>
      <w:bookmarkStart w:id="919" w:name="_Toc399487294"/>
      <w:bookmarkStart w:id="920" w:name="_Ref405399808"/>
      <w:bookmarkStart w:id="921" w:name="_Toc412644031"/>
      <w:bookmarkStart w:id="922" w:name="_Toc413916875"/>
      <w:bookmarkStart w:id="923" w:name="_Toc413917017"/>
      <w:bookmarkStart w:id="924" w:name="_Toc413922078"/>
      <w:bookmarkStart w:id="925" w:name="_Toc413922567"/>
      <w:bookmarkStart w:id="926" w:name="_Toc413922671"/>
      <w:bookmarkStart w:id="927" w:name="_Toc414955308"/>
      <w:bookmarkStart w:id="928" w:name="_Toc415214615"/>
      <w:bookmarkStart w:id="929" w:name="_Toc125446457"/>
      <w:r w:rsidRPr="00E51CDD">
        <w:t>Effects on non-target terrestrial plants (KCP 10.6)</w:t>
      </w:r>
      <w:bookmarkEnd w:id="919"/>
      <w:bookmarkEnd w:id="920"/>
      <w:bookmarkEnd w:id="921"/>
      <w:bookmarkEnd w:id="922"/>
      <w:bookmarkEnd w:id="923"/>
      <w:bookmarkEnd w:id="924"/>
      <w:bookmarkEnd w:id="925"/>
      <w:bookmarkEnd w:id="926"/>
      <w:bookmarkEnd w:id="927"/>
      <w:bookmarkEnd w:id="928"/>
      <w:bookmarkEnd w:id="929"/>
    </w:p>
    <w:p w14:paraId="11B8485E" w14:textId="77777777" w:rsidR="00E51CDD" w:rsidRPr="00E51CDD" w:rsidRDefault="00E51CDD" w:rsidP="00B31542">
      <w:pPr>
        <w:pStyle w:val="Nagwek3"/>
      </w:pPr>
      <w:bookmarkStart w:id="930" w:name="_Toc412644032"/>
      <w:bookmarkStart w:id="931" w:name="_Toc413916876"/>
      <w:bookmarkStart w:id="932" w:name="_Toc413917018"/>
      <w:bookmarkStart w:id="933" w:name="_Toc413922079"/>
      <w:bookmarkStart w:id="934" w:name="_Toc413922568"/>
      <w:bookmarkStart w:id="935" w:name="_Toc413922672"/>
      <w:bookmarkStart w:id="936" w:name="_Toc414955309"/>
      <w:bookmarkStart w:id="937" w:name="_Toc415214616"/>
      <w:bookmarkStart w:id="938" w:name="_Toc125446458"/>
      <w:r w:rsidRPr="00E51CDD">
        <w:t>Toxicity data</w:t>
      </w:r>
      <w:bookmarkEnd w:id="930"/>
      <w:bookmarkEnd w:id="931"/>
      <w:bookmarkEnd w:id="932"/>
      <w:bookmarkEnd w:id="933"/>
      <w:bookmarkEnd w:id="934"/>
      <w:bookmarkEnd w:id="935"/>
      <w:bookmarkEnd w:id="936"/>
      <w:bookmarkEnd w:id="937"/>
      <w:bookmarkEnd w:id="938"/>
    </w:p>
    <w:p w14:paraId="65BCEC3A" w14:textId="0E0C4F73" w:rsidR="00E51CDD" w:rsidRPr="00E51CDD" w:rsidRDefault="00E51CDD" w:rsidP="00E51CDD">
      <w:pPr>
        <w:widowControl w:val="0"/>
        <w:jc w:val="both"/>
        <w:rPr>
          <w:lang w:val="en-GB"/>
        </w:rPr>
      </w:pPr>
      <w:bookmarkStart w:id="939" w:name="_Toc412644033"/>
      <w:bookmarkStart w:id="940" w:name="_Toc413916877"/>
      <w:bookmarkStart w:id="941" w:name="_Toc413917019"/>
      <w:bookmarkStart w:id="942" w:name="_Toc413922080"/>
      <w:bookmarkStart w:id="943" w:name="_Toc413922569"/>
      <w:bookmarkStart w:id="944" w:name="_Toc413922673"/>
      <w:bookmarkStart w:id="945" w:name="_Toc414955310"/>
      <w:bookmarkStart w:id="946" w:name="_Toc415214617"/>
      <w:bookmarkStart w:id="947" w:name="_Hlk88476005"/>
      <w:r w:rsidRPr="00E51CDD">
        <w:t>Vegetative vigor and seedling emergence studies</w:t>
      </w:r>
      <w:r w:rsidRPr="00E51CDD">
        <w:rPr>
          <w:lang w:val="en-GB"/>
        </w:rPr>
        <w:t xml:space="preserve"> on the effects of the formulation </w:t>
      </w:r>
      <w:r w:rsidRPr="00E51CDD">
        <w:rPr>
          <w:szCs w:val="24"/>
          <w:lang w:eastAsia="en-US"/>
        </w:rPr>
        <w:t>BAS 736 00 F</w:t>
      </w:r>
      <w:r w:rsidRPr="00E51CDD">
        <w:rPr>
          <w:lang w:val="en-GB"/>
        </w:rPr>
        <w:t xml:space="preserve"> on non-target terrestrial plants were carried out which were not evaluated as part of the EU assessment of fluxapyroxad and azoxystrobin (see </w:t>
      </w:r>
      <w:r w:rsidRPr="00E51CDD">
        <w:rPr>
          <w:lang w:val="en-GB"/>
        </w:rPr>
        <w:fldChar w:fldCharType="begin"/>
      </w:r>
      <w:r w:rsidRPr="00E51CDD">
        <w:rPr>
          <w:lang w:val="en-GB"/>
        </w:rPr>
        <w:instrText xml:space="preserve"> REF _Ref441745963 \h  \* MERGEFORMAT </w:instrText>
      </w:r>
      <w:r w:rsidRPr="00E51CDD">
        <w:rPr>
          <w:lang w:val="en-GB"/>
        </w:rPr>
      </w:r>
      <w:r w:rsidRPr="00E51CDD">
        <w:rPr>
          <w:lang w:val="en-GB"/>
        </w:rPr>
        <w:fldChar w:fldCharType="separate"/>
      </w:r>
      <w:r w:rsidR="00662F32" w:rsidRPr="00662F32">
        <w:rPr>
          <w:lang w:val="en-GB"/>
        </w:rPr>
        <w:t xml:space="preserve">Table </w:t>
      </w:r>
      <w:r w:rsidR="00662F32" w:rsidRPr="00662F32">
        <w:rPr>
          <w:noProof/>
          <w:lang w:val="en-GB"/>
        </w:rPr>
        <w:t>9.10</w:t>
      </w:r>
      <w:r w:rsidR="00662F32" w:rsidRPr="00662F32">
        <w:rPr>
          <w:noProof/>
          <w:lang w:val="en-GB"/>
        </w:rPr>
        <w:noBreakHyphen/>
        <w:t>1</w:t>
      </w:r>
      <w:r w:rsidRPr="00E51CDD">
        <w:rPr>
          <w:lang w:val="en-GB"/>
        </w:rPr>
        <w:fldChar w:fldCharType="end"/>
      </w:r>
      <w:r w:rsidRPr="00E51CDD">
        <w:rPr>
          <w:lang w:val="en-GB"/>
        </w:rPr>
        <w:t>).</w:t>
      </w:r>
    </w:p>
    <w:p w14:paraId="1BBF621C" w14:textId="77777777" w:rsidR="00E51CDD" w:rsidRPr="00E51CDD" w:rsidRDefault="00E51CDD" w:rsidP="00E51CDD">
      <w:pPr>
        <w:widowControl w:val="0"/>
        <w:jc w:val="both"/>
        <w:rPr>
          <w:lang w:val="en-GB"/>
        </w:rPr>
      </w:pPr>
    </w:p>
    <w:p w14:paraId="18239B60" w14:textId="77777777" w:rsidR="00E51CDD" w:rsidRPr="00E51CDD" w:rsidRDefault="00E51CDD" w:rsidP="00E51CDD">
      <w:pPr>
        <w:widowControl w:val="0"/>
        <w:jc w:val="both"/>
      </w:pPr>
      <w:r w:rsidRPr="00E51CDD">
        <w:t>New data submitted with this application are listed in Appendix 1 and summarized in Appendix 2.</w:t>
      </w:r>
    </w:p>
    <w:p w14:paraId="290C6521" w14:textId="77777777" w:rsidR="00E51CDD" w:rsidRPr="00E51CDD" w:rsidRDefault="00E51CDD" w:rsidP="00E51CDD">
      <w:pPr>
        <w:widowControl w:val="0"/>
        <w:jc w:val="both"/>
      </w:pPr>
    </w:p>
    <w:p w14:paraId="5B905FC1" w14:textId="0A020A06" w:rsidR="00E51CDD" w:rsidRPr="00E51CDD" w:rsidRDefault="00E51CDD" w:rsidP="00E51CDD">
      <w:pPr>
        <w:ind w:left="1985" w:hanging="1985"/>
        <w:rPr>
          <w:b/>
          <w:bCs/>
        </w:rPr>
      </w:pPr>
      <w:bookmarkStart w:id="948" w:name="_Ref441745963"/>
      <w:r w:rsidRPr="00E51CDD">
        <w:rPr>
          <w:b/>
          <w:bCs/>
        </w:rPr>
        <w:t xml:space="preserve">Table </w:t>
      </w:r>
      <w:r w:rsidRPr="00E51CDD">
        <w:rPr>
          <w:b/>
          <w:bCs/>
        </w:rPr>
        <w:fldChar w:fldCharType="begin"/>
      </w:r>
      <w:r w:rsidRPr="00E51CDD">
        <w:rPr>
          <w:b/>
          <w:bCs/>
        </w:rPr>
        <w:instrText xml:space="preserve"> STYLEREF 2 \s </w:instrText>
      </w:r>
      <w:r w:rsidRPr="00E51CDD">
        <w:rPr>
          <w:b/>
          <w:bCs/>
        </w:rPr>
        <w:fldChar w:fldCharType="separate"/>
      </w:r>
      <w:r w:rsidR="00662F32">
        <w:rPr>
          <w:b/>
          <w:bCs/>
          <w:noProof/>
        </w:rPr>
        <w:t>9.10</w:t>
      </w:r>
      <w:r w:rsidRPr="00E51CDD">
        <w:rPr>
          <w:b/>
          <w:bCs/>
        </w:rPr>
        <w:fldChar w:fldCharType="end"/>
      </w:r>
      <w:r w:rsidRPr="00E51CDD">
        <w:rPr>
          <w:b/>
          <w:bCs/>
        </w:rPr>
        <w:noBreakHyphen/>
      </w:r>
      <w:r w:rsidRPr="00E51CDD">
        <w:rPr>
          <w:b/>
          <w:bCs/>
        </w:rPr>
        <w:fldChar w:fldCharType="begin"/>
      </w:r>
      <w:r w:rsidRPr="00E51CDD">
        <w:rPr>
          <w:b/>
          <w:bCs/>
        </w:rPr>
        <w:instrText xml:space="preserve"> SEQ Table \* ARABIC \s 2 </w:instrText>
      </w:r>
      <w:r w:rsidRPr="00E51CDD">
        <w:rPr>
          <w:b/>
          <w:bCs/>
        </w:rPr>
        <w:fldChar w:fldCharType="separate"/>
      </w:r>
      <w:r w:rsidR="00662F32">
        <w:rPr>
          <w:b/>
          <w:bCs/>
          <w:noProof/>
        </w:rPr>
        <w:t>1</w:t>
      </w:r>
      <w:r w:rsidRPr="00E51CDD">
        <w:rPr>
          <w:b/>
          <w:bCs/>
        </w:rPr>
        <w:fldChar w:fldCharType="end"/>
      </w:r>
      <w:bookmarkEnd w:id="948"/>
      <w:r w:rsidRPr="00E51CDD">
        <w:rPr>
          <w:b/>
          <w:bCs/>
        </w:rPr>
        <w:t>:</w:t>
      </w:r>
      <w:r w:rsidRPr="00E51CDD">
        <w:rPr>
          <w:b/>
          <w:bCs/>
        </w:rPr>
        <w:tab/>
        <w:t>Endpoints and effect values of BAS 736 00 F relevant for the risk assessment for non-target terrestrial plants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21"/>
        <w:gridCol w:w="1617"/>
        <w:gridCol w:w="1869"/>
        <w:gridCol w:w="1869"/>
        <w:gridCol w:w="1869"/>
      </w:tblGrid>
      <w:tr w:rsidR="00E51CDD" w:rsidRPr="00E51CDD" w14:paraId="0D8DC0A3" w14:textId="77777777" w:rsidTr="009938D9">
        <w:trPr>
          <w:tblHeader/>
        </w:trPr>
        <w:tc>
          <w:tcPr>
            <w:tcW w:w="1135" w:type="pct"/>
            <w:shd w:val="clear" w:color="auto" w:fill="auto"/>
          </w:tcPr>
          <w:p w14:paraId="4CB654DE"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Species</w:t>
            </w:r>
          </w:p>
        </w:tc>
        <w:tc>
          <w:tcPr>
            <w:tcW w:w="865" w:type="pct"/>
            <w:shd w:val="clear" w:color="auto" w:fill="auto"/>
          </w:tcPr>
          <w:p w14:paraId="09E295C1"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Product</w:t>
            </w:r>
          </w:p>
        </w:tc>
        <w:tc>
          <w:tcPr>
            <w:tcW w:w="1000" w:type="pct"/>
            <w:shd w:val="clear" w:color="auto" w:fill="auto"/>
          </w:tcPr>
          <w:p w14:paraId="5497BD11"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Exposure</w:t>
            </w:r>
          </w:p>
          <w:p w14:paraId="5C3D189B"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System</w:t>
            </w:r>
          </w:p>
        </w:tc>
        <w:tc>
          <w:tcPr>
            <w:tcW w:w="1000" w:type="pct"/>
            <w:shd w:val="clear" w:color="auto" w:fill="auto"/>
          </w:tcPr>
          <w:p w14:paraId="2EE5CD93"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Results</w:t>
            </w:r>
          </w:p>
        </w:tc>
        <w:tc>
          <w:tcPr>
            <w:tcW w:w="1000" w:type="pct"/>
            <w:shd w:val="clear" w:color="auto" w:fill="auto"/>
          </w:tcPr>
          <w:p w14:paraId="410C3D05" w14:textId="77777777" w:rsidR="00E51CDD" w:rsidRPr="00E51CDD" w:rsidRDefault="00E51CDD" w:rsidP="00E51CDD">
            <w:pPr>
              <w:keepNext/>
              <w:keepLines/>
              <w:widowControl w:val="0"/>
              <w:spacing w:before="60" w:after="60"/>
              <w:rPr>
                <w:b/>
                <w:sz w:val="20"/>
                <w:szCs w:val="20"/>
                <w:lang w:val="en-GB"/>
              </w:rPr>
            </w:pPr>
            <w:r w:rsidRPr="00E51CDD">
              <w:rPr>
                <w:b/>
                <w:sz w:val="20"/>
                <w:szCs w:val="20"/>
                <w:lang w:val="en-GB"/>
              </w:rPr>
              <w:t>Reference</w:t>
            </w:r>
          </w:p>
        </w:tc>
      </w:tr>
      <w:tr w:rsidR="00E51CDD" w:rsidRPr="00E51CDD" w14:paraId="04C33FBC" w14:textId="77777777" w:rsidTr="009938D9">
        <w:trPr>
          <w:trHeight w:val="259"/>
        </w:trPr>
        <w:tc>
          <w:tcPr>
            <w:tcW w:w="5000" w:type="pct"/>
            <w:gridSpan w:val="5"/>
            <w:shd w:val="clear" w:color="auto" w:fill="auto"/>
          </w:tcPr>
          <w:p w14:paraId="1223DC33" w14:textId="77777777" w:rsidR="00E51CDD" w:rsidRPr="00E51CDD" w:rsidRDefault="00E51CDD" w:rsidP="00E51CDD">
            <w:pPr>
              <w:keepNext/>
              <w:keepLines/>
              <w:widowControl w:val="0"/>
              <w:rPr>
                <w:b/>
                <w:sz w:val="20"/>
                <w:szCs w:val="20"/>
                <w:lang w:val="en-GB"/>
              </w:rPr>
            </w:pPr>
            <w:r w:rsidRPr="00E51CDD">
              <w:rPr>
                <w:b/>
                <w:sz w:val="20"/>
                <w:szCs w:val="20"/>
                <w:lang w:val="en-GB"/>
              </w:rPr>
              <w:t>Greenhouse</w:t>
            </w:r>
          </w:p>
        </w:tc>
      </w:tr>
      <w:tr w:rsidR="00E51CDD" w:rsidRPr="00E51CDD" w14:paraId="65F8C2FE" w14:textId="77777777" w:rsidTr="009938D9">
        <w:tc>
          <w:tcPr>
            <w:tcW w:w="1135" w:type="pct"/>
            <w:shd w:val="clear" w:color="auto" w:fill="auto"/>
          </w:tcPr>
          <w:p w14:paraId="5170D368" w14:textId="77777777" w:rsidR="00E51CDD" w:rsidRPr="00E51CDD" w:rsidRDefault="00E51CDD" w:rsidP="00E51CDD">
            <w:pPr>
              <w:widowControl w:val="0"/>
              <w:rPr>
                <w:noProof/>
                <w:sz w:val="20"/>
                <w:lang w:val="pt-PT"/>
              </w:rPr>
            </w:pPr>
            <w:r w:rsidRPr="00E51CDD">
              <w:rPr>
                <w:i/>
                <w:noProof/>
                <w:sz w:val="20"/>
                <w:lang w:val="pt-PT"/>
              </w:rPr>
              <w:t>Daucus carota</w:t>
            </w:r>
            <w:r w:rsidRPr="00E51CDD">
              <w:rPr>
                <w:i/>
                <w:noProof/>
                <w:sz w:val="20"/>
                <w:vertAlign w:val="subscript"/>
                <w:lang w:val="pt-PT"/>
              </w:rPr>
              <w:t xml:space="preserve"> </w:t>
            </w:r>
            <w:r w:rsidRPr="00E51CDD">
              <w:rPr>
                <w:noProof/>
                <w:sz w:val="20"/>
                <w:vertAlign w:val="subscript"/>
                <w:lang w:val="pt-PT"/>
              </w:rPr>
              <w:t>d</w:t>
            </w:r>
            <w:r w:rsidRPr="00E51CDD">
              <w:rPr>
                <w:noProof/>
                <w:sz w:val="20"/>
                <w:lang w:val="pt-PT"/>
              </w:rPr>
              <w:t xml:space="preserve"> (carrot)</w:t>
            </w:r>
          </w:p>
          <w:p w14:paraId="706B1AE3" w14:textId="77777777" w:rsidR="00E51CDD" w:rsidRPr="00E51CDD" w:rsidRDefault="00E51CDD" w:rsidP="00E51CDD">
            <w:pPr>
              <w:widowControl w:val="0"/>
              <w:rPr>
                <w:noProof/>
                <w:sz w:val="20"/>
                <w:vertAlign w:val="superscript"/>
                <w:lang w:val="pt-PT"/>
              </w:rPr>
            </w:pPr>
            <w:r w:rsidRPr="00E51CDD">
              <w:rPr>
                <w:i/>
                <w:noProof/>
                <w:sz w:val="20"/>
                <w:lang w:val="pt-PT"/>
              </w:rPr>
              <w:t>Lactuca sativa </w:t>
            </w:r>
            <w:r w:rsidRPr="00E51CDD">
              <w:rPr>
                <w:noProof/>
                <w:sz w:val="20"/>
                <w:vertAlign w:val="subscript"/>
                <w:lang w:val="pt-PT"/>
              </w:rPr>
              <w:t xml:space="preserve">d </w:t>
            </w:r>
            <w:r w:rsidRPr="00E51CDD">
              <w:rPr>
                <w:noProof/>
                <w:sz w:val="20"/>
                <w:lang w:val="pt-PT"/>
              </w:rPr>
              <w:t>(lettuce)</w:t>
            </w:r>
          </w:p>
          <w:p w14:paraId="57F37C10" w14:textId="77777777" w:rsidR="00E51CDD" w:rsidRPr="00E51CDD" w:rsidRDefault="00E51CDD" w:rsidP="00E51CDD">
            <w:pPr>
              <w:widowControl w:val="0"/>
              <w:rPr>
                <w:noProof/>
                <w:sz w:val="20"/>
                <w:lang w:val="pt-PT"/>
              </w:rPr>
            </w:pPr>
            <w:r w:rsidRPr="00E51CDD">
              <w:rPr>
                <w:i/>
                <w:noProof/>
                <w:sz w:val="20"/>
                <w:lang w:val="pt-PT"/>
              </w:rPr>
              <w:t>Brassica oleracea</w:t>
            </w:r>
            <w:r w:rsidRPr="00E51CDD">
              <w:rPr>
                <w:i/>
                <w:noProof/>
                <w:sz w:val="20"/>
                <w:vertAlign w:val="subscript"/>
                <w:lang w:val="pt-PT"/>
              </w:rPr>
              <w:t xml:space="preserve"> </w:t>
            </w:r>
            <w:r w:rsidRPr="00E51CDD">
              <w:rPr>
                <w:noProof/>
                <w:sz w:val="20"/>
                <w:vertAlign w:val="subscript"/>
                <w:lang w:val="pt-PT"/>
              </w:rPr>
              <w:t>d</w:t>
            </w:r>
            <w:r w:rsidRPr="00E51CDD">
              <w:rPr>
                <w:i/>
                <w:noProof/>
                <w:sz w:val="20"/>
                <w:vertAlign w:val="subscript"/>
                <w:lang w:val="pt-PT"/>
              </w:rPr>
              <w:t xml:space="preserve"> </w:t>
            </w:r>
            <w:r w:rsidRPr="00E51CDD">
              <w:rPr>
                <w:noProof/>
                <w:sz w:val="20"/>
                <w:lang w:val="pt-PT"/>
              </w:rPr>
              <w:t>(cabbage)</w:t>
            </w:r>
          </w:p>
          <w:p w14:paraId="32EB468F" w14:textId="77777777" w:rsidR="00E51CDD" w:rsidRPr="00E51CDD" w:rsidRDefault="00E51CDD" w:rsidP="00E51CDD">
            <w:pPr>
              <w:widowControl w:val="0"/>
              <w:rPr>
                <w:noProof/>
                <w:sz w:val="20"/>
                <w:lang w:val="pt-PT"/>
              </w:rPr>
            </w:pPr>
            <w:r w:rsidRPr="00E51CDD">
              <w:rPr>
                <w:i/>
                <w:noProof/>
                <w:sz w:val="20"/>
                <w:lang w:val="pt-PT"/>
              </w:rPr>
              <w:t>Brassica napus</w:t>
            </w:r>
            <w:r w:rsidRPr="00E51CDD">
              <w:rPr>
                <w:i/>
                <w:noProof/>
                <w:sz w:val="20"/>
                <w:vertAlign w:val="subscript"/>
                <w:lang w:val="pt-PT"/>
              </w:rPr>
              <w:t xml:space="preserve"> </w:t>
            </w:r>
            <w:r w:rsidRPr="00E51CDD">
              <w:rPr>
                <w:noProof/>
                <w:sz w:val="20"/>
                <w:vertAlign w:val="subscript"/>
                <w:lang w:val="pt-PT"/>
              </w:rPr>
              <w:t xml:space="preserve">d </w:t>
            </w:r>
            <w:r w:rsidRPr="00E51CDD">
              <w:rPr>
                <w:noProof/>
                <w:sz w:val="20"/>
                <w:lang w:val="pt-PT"/>
              </w:rPr>
              <w:t>(oilseed rape)</w:t>
            </w:r>
          </w:p>
          <w:p w14:paraId="06FEA023" w14:textId="77777777" w:rsidR="00E51CDD" w:rsidRPr="00E51CDD" w:rsidRDefault="00E51CDD" w:rsidP="00E51CDD">
            <w:pPr>
              <w:widowControl w:val="0"/>
              <w:rPr>
                <w:noProof/>
                <w:sz w:val="20"/>
                <w:lang w:val="it-IT"/>
              </w:rPr>
            </w:pPr>
            <w:r w:rsidRPr="00E51CDD">
              <w:rPr>
                <w:i/>
                <w:noProof/>
                <w:sz w:val="20"/>
              </w:rPr>
              <w:t>S</w:t>
            </w:r>
            <w:r w:rsidRPr="00E51CDD">
              <w:rPr>
                <w:i/>
                <w:iCs/>
                <w:noProof/>
                <w:sz w:val="20"/>
              </w:rPr>
              <w:t>olanum</w:t>
            </w:r>
            <w:r w:rsidRPr="00E51CDD">
              <w:rPr>
                <w:i/>
                <w:noProof/>
                <w:sz w:val="20"/>
              </w:rPr>
              <w:t xml:space="preserve"> </w:t>
            </w:r>
            <w:r w:rsidRPr="00E51CDD">
              <w:rPr>
                <w:i/>
                <w:iCs/>
                <w:noProof/>
                <w:sz w:val="20"/>
              </w:rPr>
              <w:t xml:space="preserve">lycopersicum </w:t>
            </w:r>
            <w:r w:rsidRPr="00E51CDD">
              <w:rPr>
                <w:i/>
                <w:noProof/>
                <w:sz w:val="20"/>
                <w:lang w:val="en-GB"/>
              </w:rPr>
              <w:t xml:space="preserve"> </w:t>
            </w:r>
            <w:r w:rsidRPr="00E51CDD">
              <w:rPr>
                <w:noProof/>
                <w:sz w:val="20"/>
                <w:vertAlign w:val="subscript"/>
                <w:lang w:val="it-IT"/>
              </w:rPr>
              <w:t xml:space="preserve">d </w:t>
            </w:r>
            <w:r w:rsidRPr="00E51CDD">
              <w:rPr>
                <w:noProof/>
                <w:sz w:val="20"/>
                <w:lang w:val="it-IT"/>
              </w:rPr>
              <w:t>(tomato)</w:t>
            </w:r>
          </w:p>
          <w:p w14:paraId="71521D6D" w14:textId="77777777" w:rsidR="00E51CDD" w:rsidRPr="00E51CDD" w:rsidRDefault="00E51CDD" w:rsidP="00E51CDD">
            <w:pPr>
              <w:widowControl w:val="0"/>
              <w:rPr>
                <w:noProof/>
                <w:sz w:val="20"/>
                <w:lang w:val="it-IT"/>
              </w:rPr>
            </w:pPr>
            <w:r w:rsidRPr="00E51CDD">
              <w:rPr>
                <w:i/>
                <w:noProof/>
                <w:sz w:val="20"/>
                <w:lang w:val="it-IT"/>
              </w:rPr>
              <w:t>Glycine max</w:t>
            </w:r>
            <w:r w:rsidRPr="00E51CDD">
              <w:rPr>
                <w:noProof/>
                <w:sz w:val="20"/>
                <w:lang w:val="it-IT"/>
              </w:rPr>
              <w:t xml:space="preserve"> </w:t>
            </w:r>
            <w:r w:rsidRPr="00E51CDD">
              <w:rPr>
                <w:noProof/>
                <w:sz w:val="20"/>
                <w:vertAlign w:val="subscript"/>
                <w:lang w:val="it-IT"/>
              </w:rPr>
              <w:t xml:space="preserve">d </w:t>
            </w:r>
            <w:r w:rsidRPr="00E51CDD">
              <w:rPr>
                <w:noProof/>
                <w:sz w:val="20"/>
                <w:lang w:val="it-IT"/>
              </w:rPr>
              <w:t>(soybean)</w:t>
            </w:r>
          </w:p>
          <w:p w14:paraId="763FE012" w14:textId="77777777" w:rsidR="00E51CDD" w:rsidRPr="00E51CDD" w:rsidRDefault="00E51CDD" w:rsidP="00E51CDD">
            <w:pPr>
              <w:widowControl w:val="0"/>
              <w:rPr>
                <w:i/>
                <w:noProof/>
                <w:sz w:val="20"/>
                <w:lang w:val="pt-PT"/>
              </w:rPr>
            </w:pPr>
            <w:r w:rsidRPr="00E51CDD">
              <w:rPr>
                <w:i/>
                <w:noProof/>
                <w:sz w:val="20"/>
                <w:lang w:val="pt-PT"/>
              </w:rPr>
              <w:t>Allium cepa</w:t>
            </w:r>
            <w:r w:rsidRPr="00E51CDD">
              <w:rPr>
                <w:noProof/>
                <w:sz w:val="20"/>
                <w:vertAlign w:val="subscript"/>
                <w:lang w:val="pt-PT"/>
              </w:rPr>
              <w:t xml:space="preserve"> m </w:t>
            </w:r>
            <w:r w:rsidRPr="00E51CDD">
              <w:rPr>
                <w:noProof/>
                <w:sz w:val="20"/>
                <w:lang w:val="pt-PT"/>
              </w:rPr>
              <w:t>(onion)</w:t>
            </w:r>
          </w:p>
          <w:p w14:paraId="0B840DF3" w14:textId="77777777" w:rsidR="00E51CDD" w:rsidRPr="00E51CDD" w:rsidRDefault="00E51CDD" w:rsidP="00E51CDD">
            <w:pPr>
              <w:widowControl w:val="0"/>
              <w:rPr>
                <w:i/>
                <w:noProof/>
                <w:sz w:val="20"/>
                <w:lang w:val="pt-PT"/>
              </w:rPr>
            </w:pPr>
            <w:r w:rsidRPr="00E51CDD">
              <w:rPr>
                <w:i/>
                <w:noProof/>
                <w:sz w:val="20"/>
                <w:lang w:val="pt-PT"/>
              </w:rPr>
              <w:t>Lolium multiflorum</w:t>
            </w:r>
            <w:r w:rsidRPr="00E51CDD">
              <w:rPr>
                <w:noProof/>
                <w:sz w:val="20"/>
                <w:vertAlign w:val="subscript"/>
                <w:lang w:val="pt-PT"/>
              </w:rPr>
              <w:t xml:space="preserve"> m </w:t>
            </w:r>
            <w:r w:rsidRPr="00E51CDD">
              <w:rPr>
                <w:noProof/>
                <w:sz w:val="20"/>
                <w:lang w:val="pt-PT"/>
              </w:rPr>
              <w:t>(ryegrass)</w:t>
            </w:r>
          </w:p>
          <w:p w14:paraId="6417DD0C" w14:textId="77777777" w:rsidR="00E51CDD" w:rsidRPr="00E51CDD" w:rsidRDefault="00E51CDD" w:rsidP="00E51CDD">
            <w:pPr>
              <w:widowControl w:val="0"/>
              <w:rPr>
                <w:noProof/>
                <w:sz w:val="20"/>
                <w:lang w:val="pt-PT"/>
              </w:rPr>
            </w:pPr>
            <w:r w:rsidRPr="00E51CDD">
              <w:rPr>
                <w:i/>
                <w:noProof/>
                <w:sz w:val="20"/>
                <w:lang w:val="pt-PT"/>
              </w:rPr>
              <w:t>Triticum aestivum</w:t>
            </w:r>
            <w:r w:rsidRPr="00E51CDD">
              <w:rPr>
                <w:noProof/>
                <w:sz w:val="20"/>
                <w:vertAlign w:val="subscript"/>
                <w:lang w:val="pt-PT"/>
              </w:rPr>
              <w:t xml:space="preserve"> m </w:t>
            </w:r>
            <w:r w:rsidRPr="00E51CDD">
              <w:rPr>
                <w:noProof/>
                <w:sz w:val="20"/>
                <w:lang w:val="pt-PT"/>
              </w:rPr>
              <w:t>(wheat)</w:t>
            </w:r>
          </w:p>
          <w:p w14:paraId="0287F0ED" w14:textId="77777777" w:rsidR="00E51CDD" w:rsidRPr="00E51CDD" w:rsidRDefault="00E51CDD" w:rsidP="00E51CDD">
            <w:pPr>
              <w:widowControl w:val="0"/>
              <w:rPr>
                <w:noProof/>
                <w:sz w:val="20"/>
                <w:highlight w:val="yellow"/>
                <w:lang w:val="pt-PT" w:eastAsia="zh-CN"/>
              </w:rPr>
            </w:pPr>
            <w:r w:rsidRPr="00E51CDD">
              <w:rPr>
                <w:i/>
                <w:noProof/>
                <w:sz w:val="20"/>
                <w:lang w:val="pt-PT"/>
              </w:rPr>
              <w:t>Zea mays</w:t>
            </w:r>
            <w:r w:rsidRPr="00E51CDD">
              <w:rPr>
                <w:noProof/>
                <w:sz w:val="20"/>
                <w:lang w:val="pt-PT"/>
              </w:rPr>
              <w:t xml:space="preserve"> </w:t>
            </w:r>
            <w:r w:rsidRPr="00E51CDD">
              <w:rPr>
                <w:noProof/>
                <w:sz w:val="20"/>
                <w:vertAlign w:val="subscript"/>
                <w:lang w:val="pt-PT"/>
              </w:rPr>
              <w:t xml:space="preserve">m </w:t>
            </w:r>
            <w:r w:rsidRPr="00E51CDD">
              <w:rPr>
                <w:noProof/>
                <w:sz w:val="20"/>
                <w:lang w:val="pt-PT"/>
              </w:rPr>
              <w:t>(corn)</w:t>
            </w:r>
          </w:p>
        </w:tc>
        <w:tc>
          <w:tcPr>
            <w:tcW w:w="865" w:type="pct"/>
            <w:shd w:val="clear" w:color="auto" w:fill="auto"/>
          </w:tcPr>
          <w:p w14:paraId="3432663A" w14:textId="77777777" w:rsidR="00E51CDD" w:rsidRPr="00E51CDD" w:rsidRDefault="00E51CDD" w:rsidP="00E51CDD">
            <w:pPr>
              <w:widowControl w:val="0"/>
              <w:rPr>
                <w:noProof/>
                <w:sz w:val="20"/>
                <w:lang w:val="en-GB"/>
              </w:rPr>
            </w:pPr>
            <w:r w:rsidRPr="00E51CDD">
              <w:rPr>
                <w:noProof/>
                <w:sz w:val="20"/>
                <w:lang w:val="en-GB"/>
              </w:rPr>
              <w:t>BAS 736 00 F</w:t>
            </w:r>
          </w:p>
        </w:tc>
        <w:tc>
          <w:tcPr>
            <w:tcW w:w="1000" w:type="pct"/>
            <w:shd w:val="clear" w:color="auto" w:fill="auto"/>
          </w:tcPr>
          <w:p w14:paraId="0C888668" w14:textId="77777777" w:rsidR="00E51CDD" w:rsidRPr="00E51CDD" w:rsidRDefault="00E51CDD" w:rsidP="00E51CDD">
            <w:pPr>
              <w:widowControl w:val="0"/>
              <w:rPr>
                <w:noProof/>
                <w:sz w:val="20"/>
                <w:lang w:val="en-GB"/>
              </w:rPr>
            </w:pPr>
            <w:r w:rsidRPr="00E51CDD">
              <w:rPr>
                <w:noProof/>
                <w:sz w:val="20"/>
                <w:szCs w:val="20"/>
                <w:lang w:val="en-GB"/>
              </w:rPr>
              <w:t xml:space="preserve">21 d </w:t>
            </w:r>
            <w:r w:rsidRPr="00E51CDD">
              <w:rPr>
                <w:noProof/>
                <w:sz w:val="20"/>
                <w:szCs w:val="20"/>
                <w:vertAlign w:val="superscript"/>
                <w:lang w:val="en-GB"/>
              </w:rPr>
              <w:t>1)</w:t>
            </w:r>
            <w:r w:rsidRPr="00E51CDD">
              <w:rPr>
                <w:noProof/>
                <w:sz w:val="20"/>
                <w:szCs w:val="20"/>
                <w:lang w:val="en-GB"/>
              </w:rPr>
              <w:br/>
              <w:t>Seedling emergence</w:t>
            </w:r>
          </w:p>
        </w:tc>
        <w:tc>
          <w:tcPr>
            <w:tcW w:w="1000" w:type="pct"/>
            <w:shd w:val="clear" w:color="auto" w:fill="auto"/>
          </w:tcPr>
          <w:p w14:paraId="6C990B43" w14:textId="77777777" w:rsidR="00E51CDD" w:rsidRPr="00E51CDD" w:rsidRDefault="00E51CDD" w:rsidP="00E51CDD">
            <w:pPr>
              <w:widowControl w:val="0"/>
              <w:rPr>
                <w:noProof/>
                <w:sz w:val="20"/>
                <w:lang w:val="de-DE"/>
              </w:rPr>
            </w:pPr>
            <w:r w:rsidRPr="00E51CDD">
              <w:rPr>
                <w:noProof/>
                <w:sz w:val="20"/>
                <w:lang w:val="de-DE"/>
              </w:rPr>
              <w:t>ER</w:t>
            </w:r>
            <w:r w:rsidRPr="00E51CDD">
              <w:rPr>
                <w:noProof/>
                <w:sz w:val="20"/>
                <w:vertAlign w:val="subscript"/>
                <w:lang w:val="de-DE"/>
              </w:rPr>
              <w:t xml:space="preserve">50 </w:t>
            </w:r>
            <w:r w:rsidRPr="00E51CDD">
              <w:rPr>
                <w:noProof/>
                <w:sz w:val="20"/>
                <w:lang w:val="de-DE"/>
              </w:rPr>
              <w:t>emergence &gt; 2.0 L/ha</w:t>
            </w:r>
          </w:p>
          <w:p w14:paraId="4651EE1E" w14:textId="77777777" w:rsidR="00E51CDD" w:rsidRPr="00E51CDD" w:rsidRDefault="00E51CDD" w:rsidP="00E51CDD">
            <w:pPr>
              <w:widowControl w:val="0"/>
              <w:rPr>
                <w:noProof/>
                <w:sz w:val="20"/>
                <w:lang w:val="de-DE"/>
              </w:rPr>
            </w:pPr>
            <w:r w:rsidRPr="00E51CDD">
              <w:rPr>
                <w:noProof/>
                <w:sz w:val="20"/>
                <w:lang w:val="de-DE"/>
              </w:rPr>
              <w:t>ER</w:t>
            </w:r>
            <w:r w:rsidRPr="00E51CDD">
              <w:rPr>
                <w:noProof/>
                <w:sz w:val="20"/>
                <w:vertAlign w:val="subscript"/>
                <w:lang w:val="de-DE"/>
              </w:rPr>
              <w:t>50</w:t>
            </w:r>
            <w:r w:rsidRPr="00E51CDD">
              <w:rPr>
                <w:noProof/>
                <w:sz w:val="20"/>
                <w:lang w:val="de-DE"/>
              </w:rPr>
              <w:t xml:space="preserve"> plant </w:t>
            </w:r>
            <w:r w:rsidRPr="00E51CDD">
              <w:rPr>
                <w:noProof/>
                <w:sz w:val="20"/>
                <w:lang w:val="en-GB"/>
              </w:rPr>
              <w:t xml:space="preserve">height </w:t>
            </w:r>
            <w:r w:rsidRPr="00E51CDD">
              <w:rPr>
                <w:noProof/>
                <w:sz w:val="20"/>
                <w:lang w:val="de-DE"/>
              </w:rPr>
              <w:t>&gt; 2.0 L/ha</w:t>
            </w:r>
          </w:p>
          <w:p w14:paraId="5028DA93" w14:textId="77777777" w:rsidR="00E51CDD" w:rsidRPr="00E51CDD" w:rsidRDefault="00E51CDD" w:rsidP="00E51CDD">
            <w:pPr>
              <w:widowControl w:val="0"/>
              <w:rPr>
                <w:noProof/>
                <w:sz w:val="20"/>
                <w:szCs w:val="20"/>
                <w:lang w:val="en-GB"/>
              </w:rPr>
            </w:pPr>
            <w:r w:rsidRPr="00E51CDD">
              <w:rPr>
                <w:noProof/>
                <w:sz w:val="20"/>
                <w:lang w:val="en-GB"/>
              </w:rPr>
              <w:t>ER</w:t>
            </w:r>
            <w:r w:rsidRPr="00E51CDD">
              <w:rPr>
                <w:noProof/>
                <w:sz w:val="20"/>
                <w:vertAlign w:val="subscript"/>
                <w:lang w:val="en-GB"/>
              </w:rPr>
              <w:t>50</w:t>
            </w:r>
            <w:r w:rsidRPr="00E51CDD">
              <w:rPr>
                <w:noProof/>
                <w:sz w:val="20"/>
                <w:lang w:val="en-GB"/>
              </w:rPr>
              <w:t xml:space="preserve"> plant </w:t>
            </w:r>
            <w:r w:rsidRPr="00E51CDD">
              <w:rPr>
                <w:noProof/>
                <w:sz w:val="20"/>
                <w:lang w:val="de-DE"/>
              </w:rPr>
              <w:t>weight &gt; 2.0 L/ha</w:t>
            </w:r>
          </w:p>
        </w:tc>
        <w:tc>
          <w:tcPr>
            <w:tcW w:w="1000" w:type="pct"/>
            <w:shd w:val="clear" w:color="auto" w:fill="auto"/>
          </w:tcPr>
          <w:p w14:paraId="4A5625E6" w14:textId="77777777" w:rsidR="00E51CDD" w:rsidRPr="00E51CDD" w:rsidRDefault="00E51CDD" w:rsidP="00E51CDD">
            <w:pPr>
              <w:widowControl w:val="0"/>
              <w:rPr>
                <w:noProof/>
                <w:sz w:val="20"/>
              </w:rPr>
            </w:pPr>
            <w:r w:rsidRPr="00E51CDD">
              <w:rPr>
                <w:bCs/>
                <w:iCs/>
                <w:noProof/>
                <w:sz w:val="20"/>
                <w:szCs w:val="20"/>
                <w:lang w:eastAsia="en-US"/>
              </w:rPr>
              <w:t>not EU evaluated</w:t>
            </w:r>
            <w:r w:rsidRPr="00E51CDD">
              <w:rPr>
                <w:noProof/>
                <w:sz w:val="20"/>
                <w:szCs w:val="20"/>
                <w:lang w:val="en-GB"/>
              </w:rPr>
              <w:br/>
            </w:r>
            <w:r w:rsidRPr="00E51CDD">
              <w:rPr>
                <w:noProof/>
                <w:sz w:val="20"/>
                <w:lang w:val="en-GB"/>
              </w:rPr>
              <w:t>2019/1061110</w:t>
            </w:r>
          </w:p>
        </w:tc>
      </w:tr>
      <w:tr w:rsidR="00E51CDD" w:rsidRPr="00E51CDD" w14:paraId="66D15286" w14:textId="77777777" w:rsidTr="009938D9">
        <w:tc>
          <w:tcPr>
            <w:tcW w:w="1135" w:type="pct"/>
            <w:shd w:val="clear" w:color="auto" w:fill="auto"/>
          </w:tcPr>
          <w:p w14:paraId="135D6D55" w14:textId="77777777" w:rsidR="00E51CDD" w:rsidRPr="00E51CDD" w:rsidRDefault="00E51CDD" w:rsidP="00E51CDD">
            <w:pPr>
              <w:widowControl w:val="0"/>
              <w:rPr>
                <w:noProof/>
                <w:sz w:val="20"/>
                <w:lang w:val="pt-PT"/>
              </w:rPr>
            </w:pPr>
            <w:r w:rsidRPr="00E51CDD">
              <w:rPr>
                <w:i/>
                <w:noProof/>
                <w:sz w:val="20"/>
                <w:lang w:val="pt-PT"/>
              </w:rPr>
              <w:t>Daucus carota</w:t>
            </w:r>
            <w:r w:rsidRPr="00E51CDD">
              <w:rPr>
                <w:i/>
                <w:noProof/>
                <w:sz w:val="20"/>
                <w:vertAlign w:val="subscript"/>
                <w:lang w:val="pt-PT"/>
              </w:rPr>
              <w:t xml:space="preserve"> </w:t>
            </w:r>
            <w:r w:rsidRPr="00E51CDD">
              <w:rPr>
                <w:noProof/>
                <w:sz w:val="20"/>
                <w:vertAlign w:val="subscript"/>
                <w:lang w:val="pt-PT"/>
              </w:rPr>
              <w:t>d</w:t>
            </w:r>
            <w:r w:rsidRPr="00E51CDD">
              <w:rPr>
                <w:noProof/>
                <w:sz w:val="20"/>
                <w:lang w:val="pt-PT"/>
              </w:rPr>
              <w:t xml:space="preserve"> (carrot)</w:t>
            </w:r>
          </w:p>
          <w:p w14:paraId="02380E4E" w14:textId="77777777" w:rsidR="00E51CDD" w:rsidRPr="00E51CDD" w:rsidRDefault="00E51CDD" w:rsidP="00E51CDD">
            <w:pPr>
              <w:widowControl w:val="0"/>
              <w:rPr>
                <w:noProof/>
                <w:sz w:val="20"/>
                <w:vertAlign w:val="superscript"/>
                <w:lang w:val="pt-PT"/>
              </w:rPr>
            </w:pPr>
            <w:r w:rsidRPr="00E51CDD">
              <w:rPr>
                <w:i/>
                <w:noProof/>
                <w:sz w:val="20"/>
                <w:lang w:val="pt-PT"/>
              </w:rPr>
              <w:t>Lactuca sativa </w:t>
            </w:r>
            <w:r w:rsidRPr="00E51CDD">
              <w:rPr>
                <w:noProof/>
                <w:sz w:val="20"/>
                <w:vertAlign w:val="subscript"/>
                <w:lang w:val="pt-PT"/>
              </w:rPr>
              <w:t xml:space="preserve">d </w:t>
            </w:r>
            <w:r w:rsidRPr="00E51CDD">
              <w:rPr>
                <w:noProof/>
                <w:sz w:val="20"/>
                <w:lang w:val="pt-PT"/>
              </w:rPr>
              <w:t>(lettuce)</w:t>
            </w:r>
          </w:p>
          <w:p w14:paraId="3B897132" w14:textId="77777777" w:rsidR="00E51CDD" w:rsidRPr="00E51CDD" w:rsidRDefault="00E51CDD" w:rsidP="00E51CDD">
            <w:pPr>
              <w:widowControl w:val="0"/>
              <w:rPr>
                <w:noProof/>
                <w:sz w:val="20"/>
                <w:lang w:val="pt-PT"/>
              </w:rPr>
            </w:pPr>
            <w:r w:rsidRPr="00E51CDD">
              <w:rPr>
                <w:i/>
                <w:noProof/>
                <w:sz w:val="20"/>
                <w:lang w:val="pt-PT"/>
              </w:rPr>
              <w:t>Brassica oleracea</w:t>
            </w:r>
            <w:r w:rsidRPr="00E51CDD">
              <w:rPr>
                <w:i/>
                <w:noProof/>
                <w:sz w:val="20"/>
                <w:vertAlign w:val="subscript"/>
                <w:lang w:val="pt-PT"/>
              </w:rPr>
              <w:t xml:space="preserve"> </w:t>
            </w:r>
            <w:r w:rsidRPr="00E51CDD">
              <w:rPr>
                <w:noProof/>
                <w:sz w:val="20"/>
                <w:vertAlign w:val="subscript"/>
                <w:lang w:val="pt-PT"/>
              </w:rPr>
              <w:t>d</w:t>
            </w:r>
            <w:r w:rsidRPr="00E51CDD">
              <w:rPr>
                <w:i/>
                <w:noProof/>
                <w:sz w:val="20"/>
                <w:vertAlign w:val="subscript"/>
                <w:lang w:val="pt-PT"/>
              </w:rPr>
              <w:t xml:space="preserve"> </w:t>
            </w:r>
            <w:r w:rsidRPr="00E51CDD">
              <w:rPr>
                <w:noProof/>
                <w:sz w:val="20"/>
                <w:lang w:val="pt-PT"/>
              </w:rPr>
              <w:t>(cabbage)</w:t>
            </w:r>
          </w:p>
          <w:p w14:paraId="22C8611C" w14:textId="77777777" w:rsidR="00E51CDD" w:rsidRPr="00E51CDD" w:rsidRDefault="00E51CDD" w:rsidP="00E51CDD">
            <w:pPr>
              <w:widowControl w:val="0"/>
              <w:rPr>
                <w:noProof/>
                <w:sz w:val="20"/>
                <w:lang w:val="pt-PT"/>
              </w:rPr>
            </w:pPr>
            <w:r w:rsidRPr="00E51CDD">
              <w:rPr>
                <w:i/>
                <w:noProof/>
                <w:sz w:val="20"/>
                <w:lang w:val="pt-PT"/>
              </w:rPr>
              <w:t>Brassica napus</w:t>
            </w:r>
            <w:r w:rsidRPr="00E51CDD">
              <w:rPr>
                <w:i/>
                <w:noProof/>
                <w:sz w:val="20"/>
                <w:vertAlign w:val="subscript"/>
                <w:lang w:val="pt-PT"/>
              </w:rPr>
              <w:t xml:space="preserve"> </w:t>
            </w:r>
            <w:r w:rsidRPr="00E51CDD">
              <w:rPr>
                <w:noProof/>
                <w:sz w:val="20"/>
                <w:vertAlign w:val="subscript"/>
                <w:lang w:val="pt-PT"/>
              </w:rPr>
              <w:t xml:space="preserve">d </w:t>
            </w:r>
            <w:r w:rsidRPr="00E51CDD">
              <w:rPr>
                <w:noProof/>
                <w:sz w:val="20"/>
                <w:lang w:val="pt-PT"/>
              </w:rPr>
              <w:t>(oilseed rape)</w:t>
            </w:r>
          </w:p>
          <w:p w14:paraId="7C4246C2" w14:textId="77777777" w:rsidR="00E51CDD" w:rsidRPr="00E51CDD" w:rsidRDefault="00E51CDD" w:rsidP="00E51CDD">
            <w:pPr>
              <w:widowControl w:val="0"/>
              <w:rPr>
                <w:noProof/>
                <w:sz w:val="20"/>
                <w:lang w:val="it-IT"/>
              </w:rPr>
            </w:pPr>
            <w:r w:rsidRPr="002262EA">
              <w:rPr>
                <w:i/>
                <w:noProof/>
                <w:sz w:val="20"/>
                <w:lang w:val="pt-PT"/>
              </w:rPr>
              <w:t xml:space="preserve">Lycopersicon esculentum </w:t>
            </w:r>
            <w:r w:rsidRPr="00E51CDD">
              <w:rPr>
                <w:noProof/>
                <w:sz w:val="20"/>
                <w:vertAlign w:val="subscript"/>
                <w:lang w:val="it-IT"/>
              </w:rPr>
              <w:t xml:space="preserve">d </w:t>
            </w:r>
            <w:r w:rsidRPr="00E51CDD">
              <w:rPr>
                <w:noProof/>
                <w:sz w:val="20"/>
                <w:lang w:val="it-IT"/>
              </w:rPr>
              <w:t>(tomato)</w:t>
            </w:r>
          </w:p>
          <w:p w14:paraId="15A18DA5" w14:textId="77777777" w:rsidR="00E51CDD" w:rsidRPr="00E51CDD" w:rsidRDefault="00E51CDD" w:rsidP="00E51CDD">
            <w:pPr>
              <w:widowControl w:val="0"/>
              <w:rPr>
                <w:noProof/>
                <w:sz w:val="20"/>
                <w:lang w:val="it-IT"/>
              </w:rPr>
            </w:pPr>
            <w:r w:rsidRPr="00E51CDD">
              <w:rPr>
                <w:i/>
                <w:noProof/>
                <w:sz w:val="20"/>
                <w:lang w:val="it-IT"/>
              </w:rPr>
              <w:t>Glycine max</w:t>
            </w:r>
            <w:r w:rsidRPr="00E51CDD">
              <w:rPr>
                <w:noProof/>
                <w:sz w:val="20"/>
                <w:lang w:val="it-IT"/>
              </w:rPr>
              <w:t xml:space="preserve"> </w:t>
            </w:r>
            <w:r w:rsidRPr="00E51CDD">
              <w:rPr>
                <w:noProof/>
                <w:sz w:val="20"/>
                <w:vertAlign w:val="subscript"/>
                <w:lang w:val="it-IT"/>
              </w:rPr>
              <w:t xml:space="preserve">d </w:t>
            </w:r>
            <w:r w:rsidRPr="00E51CDD">
              <w:rPr>
                <w:noProof/>
                <w:sz w:val="20"/>
                <w:lang w:val="it-IT"/>
              </w:rPr>
              <w:t>(soybean)</w:t>
            </w:r>
          </w:p>
          <w:p w14:paraId="71C3AE82" w14:textId="77777777" w:rsidR="00E51CDD" w:rsidRPr="00E51CDD" w:rsidRDefault="00E51CDD" w:rsidP="00E51CDD">
            <w:pPr>
              <w:widowControl w:val="0"/>
              <w:rPr>
                <w:i/>
                <w:noProof/>
                <w:sz w:val="20"/>
                <w:lang w:val="pt-PT"/>
              </w:rPr>
            </w:pPr>
            <w:r w:rsidRPr="00E51CDD">
              <w:rPr>
                <w:i/>
                <w:noProof/>
                <w:sz w:val="20"/>
                <w:lang w:val="pt-PT"/>
              </w:rPr>
              <w:t>Allium cepa</w:t>
            </w:r>
            <w:r w:rsidRPr="00E51CDD">
              <w:rPr>
                <w:noProof/>
                <w:sz w:val="20"/>
                <w:vertAlign w:val="subscript"/>
                <w:lang w:val="pt-PT"/>
              </w:rPr>
              <w:t xml:space="preserve"> m </w:t>
            </w:r>
            <w:r w:rsidRPr="00E51CDD">
              <w:rPr>
                <w:noProof/>
                <w:sz w:val="20"/>
                <w:lang w:val="pt-PT"/>
              </w:rPr>
              <w:t>(onion)</w:t>
            </w:r>
          </w:p>
          <w:p w14:paraId="7B0A9A93" w14:textId="77777777" w:rsidR="00E51CDD" w:rsidRPr="00E51CDD" w:rsidRDefault="00E51CDD" w:rsidP="00E51CDD">
            <w:pPr>
              <w:widowControl w:val="0"/>
              <w:rPr>
                <w:i/>
                <w:noProof/>
                <w:sz w:val="20"/>
                <w:lang w:val="pt-PT"/>
              </w:rPr>
            </w:pPr>
            <w:r w:rsidRPr="00E51CDD">
              <w:rPr>
                <w:i/>
                <w:noProof/>
                <w:sz w:val="20"/>
                <w:lang w:val="pt-PT"/>
              </w:rPr>
              <w:t>Lolium multiflorum</w:t>
            </w:r>
            <w:r w:rsidRPr="00E51CDD">
              <w:rPr>
                <w:noProof/>
                <w:sz w:val="20"/>
                <w:vertAlign w:val="subscript"/>
                <w:lang w:val="pt-PT"/>
              </w:rPr>
              <w:t xml:space="preserve"> m </w:t>
            </w:r>
            <w:r w:rsidRPr="00E51CDD">
              <w:rPr>
                <w:noProof/>
                <w:sz w:val="20"/>
                <w:lang w:val="pt-PT"/>
              </w:rPr>
              <w:t>(ryegrass)</w:t>
            </w:r>
          </w:p>
          <w:p w14:paraId="60D8E23A" w14:textId="77777777" w:rsidR="00E51CDD" w:rsidRPr="00E51CDD" w:rsidRDefault="00E51CDD" w:rsidP="00E51CDD">
            <w:pPr>
              <w:widowControl w:val="0"/>
              <w:rPr>
                <w:noProof/>
                <w:sz w:val="20"/>
                <w:lang w:val="pt-PT"/>
              </w:rPr>
            </w:pPr>
            <w:r w:rsidRPr="00E51CDD">
              <w:rPr>
                <w:i/>
                <w:noProof/>
                <w:sz w:val="20"/>
                <w:lang w:val="pt-PT"/>
              </w:rPr>
              <w:t>Triticum aestivum</w:t>
            </w:r>
            <w:r w:rsidRPr="00E51CDD">
              <w:rPr>
                <w:noProof/>
                <w:sz w:val="20"/>
                <w:vertAlign w:val="subscript"/>
                <w:lang w:val="pt-PT"/>
              </w:rPr>
              <w:t xml:space="preserve"> m </w:t>
            </w:r>
            <w:r w:rsidRPr="00E51CDD">
              <w:rPr>
                <w:noProof/>
                <w:sz w:val="20"/>
                <w:lang w:val="pt-PT"/>
              </w:rPr>
              <w:t>(wheat)</w:t>
            </w:r>
          </w:p>
          <w:p w14:paraId="7B6BA967" w14:textId="77777777" w:rsidR="00E51CDD" w:rsidRPr="00E51CDD" w:rsidRDefault="00E51CDD" w:rsidP="00E51CDD">
            <w:pPr>
              <w:widowControl w:val="0"/>
              <w:rPr>
                <w:noProof/>
                <w:sz w:val="20"/>
                <w:lang w:val="pt-PT"/>
              </w:rPr>
            </w:pPr>
            <w:r w:rsidRPr="00E51CDD">
              <w:rPr>
                <w:i/>
                <w:noProof/>
                <w:sz w:val="20"/>
                <w:lang w:val="pt-PT"/>
              </w:rPr>
              <w:t>Zea mays</w:t>
            </w:r>
            <w:r w:rsidRPr="00E51CDD">
              <w:rPr>
                <w:noProof/>
                <w:sz w:val="20"/>
                <w:lang w:val="pt-PT"/>
              </w:rPr>
              <w:t xml:space="preserve"> </w:t>
            </w:r>
            <w:r w:rsidRPr="00E51CDD">
              <w:rPr>
                <w:noProof/>
                <w:sz w:val="20"/>
                <w:vertAlign w:val="subscript"/>
                <w:lang w:val="pt-PT"/>
              </w:rPr>
              <w:t xml:space="preserve">m </w:t>
            </w:r>
            <w:r w:rsidRPr="00E51CDD">
              <w:rPr>
                <w:noProof/>
                <w:sz w:val="20"/>
                <w:lang w:val="pt-PT"/>
              </w:rPr>
              <w:t>(corn)</w:t>
            </w:r>
          </w:p>
        </w:tc>
        <w:tc>
          <w:tcPr>
            <w:tcW w:w="865" w:type="pct"/>
            <w:shd w:val="clear" w:color="auto" w:fill="auto"/>
          </w:tcPr>
          <w:p w14:paraId="6C4EC88E" w14:textId="77777777" w:rsidR="00E51CDD" w:rsidRPr="00E51CDD" w:rsidRDefault="00E51CDD" w:rsidP="00E51CDD">
            <w:pPr>
              <w:widowControl w:val="0"/>
              <w:rPr>
                <w:noProof/>
                <w:sz w:val="20"/>
                <w:lang w:val="en-GB"/>
              </w:rPr>
            </w:pPr>
            <w:r w:rsidRPr="00E51CDD">
              <w:rPr>
                <w:noProof/>
                <w:sz w:val="20"/>
                <w:lang w:val="en-GB"/>
              </w:rPr>
              <w:t>BAS 736 00 F</w:t>
            </w:r>
          </w:p>
        </w:tc>
        <w:tc>
          <w:tcPr>
            <w:tcW w:w="1000" w:type="pct"/>
            <w:shd w:val="clear" w:color="auto" w:fill="auto"/>
          </w:tcPr>
          <w:p w14:paraId="2570DE68" w14:textId="77777777" w:rsidR="00E51CDD" w:rsidRPr="00E51CDD" w:rsidRDefault="00E51CDD" w:rsidP="00E51CDD">
            <w:pPr>
              <w:widowControl w:val="0"/>
              <w:rPr>
                <w:noProof/>
                <w:sz w:val="20"/>
                <w:szCs w:val="20"/>
                <w:lang w:val="en-GB"/>
              </w:rPr>
            </w:pPr>
            <w:r w:rsidRPr="00E51CDD">
              <w:rPr>
                <w:noProof/>
                <w:sz w:val="20"/>
                <w:szCs w:val="20"/>
                <w:lang w:val="en-GB"/>
              </w:rPr>
              <w:t>21 d</w:t>
            </w:r>
            <w:r w:rsidRPr="00E51CDD">
              <w:rPr>
                <w:noProof/>
                <w:sz w:val="20"/>
                <w:szCs w:val="20"/>
                <w:lang w:val="en-GB"/>
              </w:rPr>
              <w:br/>
              <w:t>Vegetative vigor</w:t>
            </w:r>
          </w:p>
          <w:p w14:paraId="76110821" w14:textId="77777777" w:rsidR="00E51CDD" w:rsidRPr="00E51CDD" w:rsidRDefault="00E51CDD" w:rsidP="00E51CDD">
            <w:pPr>
              <w:widowControl w:val="0"/>
              <w:rPr>
                <w:noProof/>
                <w:sz w:val="20"/>
                <w:lang w:val="en-GB"/>
              </w:rPr>
            </w:pPr>
          </w:p>
        </w:tc>
        <w:tc>
          <w:tcPr>
            <w:tcW w:w="1000" w:type="pct"/>
            <w:shd w:val="clear" w:color="auto" w:fill="auto"/>
          </w:tcPr>
          <w:p w14:paraId="0671DDB7" w14:textId="77777777" w:rsidR="00E51CDD" w:rsidRPr="00E51CDD" w:rsidRDefault="00E51CDD" w:rsidP="00E51CDD">
            <w:pPr>
              <w:widowControl w:val="0"/>
              <w:rPr>
                <w:noProof/>
                <w:sz w:val="20"/>
                <w:lang w:val="de-DE"/>
              </w:rPr>
            </w:pPr>
            <w:r w:rsidRPr="00E51CDD">
              <w:rPr>
                <w:noProof/>
                <w:sz w:val="20"/>
                <w:lang w:val="de-DE"/>
              </w:rPr>
              <w:t>ER</w:t>
            </w:r>
            <w:r w:rsidRPr="00E51CDD">
              <w:rPr>
                <w:noProof/>
                <w:sz w:val="20"/>
                <w:vertAlign w:val="subscript"/>
                <w:lang w:val="de-DE"/>
              </w:rPr>
              <w:t>50</w:t>
            </w:r>
            <w:r w:rsidRPr="00E51CDD">
              <w:rPr>
                <w:noProof/>
                <w:sz w:val="20"/>
                <w:lang w:val="de-DE"/>
              </w:rPr>
              <w:t xml:space="preserve"> plant height &gt; 2.0 L/ha</w:t>
            </w:r>
          </w:p>
          <w:p w14:paraId="5953758B" w14:textId="77777777" w:rsidR="00E51CDD" w:rsidRPr="00E51CDD" w:rsidRDefault="00E51CDD" w:rsidP="00E51CDD">
            <w:pPr>
              <w:widowControl w:val="0"/>
              <w:rPr>
                <w:noProof/>
                <w:sz w:val="20"/>
                <w:lang w:val="de-DE"/>
              </w:rPr>
            </w:pPr>
            <w:r w:rsidRPr="00E51CDD">
              <w:rPr>
                <w:noProof/>
                <w:sz w:val="20"/>
                <w:lang w:val="de-DE"/>
              </w:rPr>
              <w:t>ER</w:t>
            </w:r>
            <w:r w:rsidRPr="00E51CDD">
              <w:rPr>
                <w:noProof/>
                <w:sz w:val="20"/>
                <w:vertAlign w:val="subscript"/>
                <w:lang w:val="de-DE"/>
              </w:rPr>
              <w:t>50</w:t>
            </w:r>
            <w:r w:rsidRPr="00E51CDD">
              <w:rPr>
                <w:noProof/>
                <w:sz w:val="20"/>
                <w:lang w:val="de-DE"/>
              </w:rPr>
              <w:t xml:space="preserve"> plant weight &gt; 2.0 L/ha</w:t>
            </w:r>
          </w:p>
        </w:tc>
        <w:tc>
          <w:tcPr>
            <w:tcW w:w="1000" w:type="pct"/>
            <w:shd w:val="clear" w:color="auto" w:fill="auto"/>
          </w:tcPr>
          <w:p w14:paraId="71D13AF2" w14:textId="77777777" w:rsidR="00E51CDD" w:rsidRPr="00E51CDD" w:rsidRDefault="00E51CDD" w:rsidP="00E51CDD">
            <w:pPr>
              <w:widowControl w:val="0"/>
              <w:rPr>
                <w:noProof/>
                <w:sz w:val="20"/>
                <w:szCs w:val="20"/>
                <w:lang w:val="en-GB" w:eastAsia="en-US"/>
              </w:rPr>
            </w:pPr>
            <w:r w:rsidRPr="00E51CDD">
              <w:rPr>
                <w:bCs/>
                <w:iCs/>
                <w:noProof/>
                <w:sz w:val="20"/>
                <w:szCs w:val="20"/>
                <w:lang w:eastAsia="en-US"/>
              </w:rPr>
              <w:t>not EU evaluated</w:t>
            </w:r>
          </w:p>
          <w:p w14:paraId="02CF53DF" w14:textId="77777777" w:rsidR="00E51CDD" w:rsidRPr="00E51CDD" w:rsidRDefault="00E51CDD" w:rsidP="00E51CDD">
            <w:pPr>
              <w:widowControl w:val="0"/>
              <w:rPr>
                <w:noProof/>
                <w:sz w:val="20"/>
                <w:lang w:val="en-GB"/>
              </w:rPr>
            </w:pPr>
            <w:r w:rsidRPr="00E51CDD">
              <w:rPr>
                <w:noProof/>
                <w:sz w:val="20"/>
                <w:lang w:val="en-GB"/>
              </w:rPr>
              <w:t>2019/1061112</w:t>
            </w:r>
          </w:p>
        </w:tc>
      </w:tr>
    </w:tbl>
    <w:p w14:paraId="0757C796" w14:textId="77777777" w:rsidR="00E51CDD" w:rsidRPr="00E51CDD" w:rsidRDefault="00E51CDD" w:rsidP="00E51CDD">
      <w:pPr>
        <w:widowControl w:val="0"/>
        <w:tabs>
          <w:tab w:val="left" w:pos="425"/>
        </w:tabs>
        <w:ind w:left="425" w:hanging="425"/>
        <w:rPr>
          <w:rFonts w:ascii="Symbol" w:hAnsi="Symbol"/>
          <w:noProof/>
          <w:sz w:val="18"/>
          <w:szCs w:val="18"/>
          <w:lang w:val="en-GB"/>
        </w:rPr>
      </w:pPr>
      <w:r w:rsidRPr="00E51CDD">
        <w:rPr>
          <w:noProof/>
          <w:sz w:val="18"/>
          <w:szCs w:val="18"/>
          <w:lang w:val="en-GB"/>
        </w:rPr>
        <w:t>m: monocotyledonous; d: dicotyledonous;</w:t>
      </w:r>
    </w:p>
    <w:p w14:paraId="4D9074FF" w14:textId="2581A098" w:rsidR="009938D9" w:rsidRDefault="00E51CDD" w:rsidP="00E51CDD">
      <w:pPr>
        <w:widowControl w:val="0"/>
        <w:ind w:left="284" w:hanging="284"/>
        <w:jc w:val="both"/>
        <w:rPr>
          <w:sz w:val="18"/>
          <w:lang w:val="en-GB"/>
        </w:rPr>
      </w:pPr>
      <w:r w:rsidRPr="00E51CDD">
        <w:rPr>
          <w:sz w:val="18"/>
          <w:vertAlign w:val="superscript"/>
          <w:lang w:val="en-GB"/>
        </w:rPr>
        <w:t>1)</w:t>
      </w:r>
      <w:r w:rsidRPr="00E51CDD">
        <w:rPr>
          <w:sz w:val="18"/>
          <w:lang w:val="en-GB"/>
        </w:rPr>
        <w:tab/>
        <w:t>28 days for carrot and onion.</w:t>
      </w:r>
    </w:p>
    <w:p w14:paraId="5FE66A1C" w14:textId="77777777" w:rsidR="00E51CDD" w:rsidRPr="00E51CDD" w:rsidRDefault="009938D9" w:rsidP="00E51CDD">
      <w:pPr>
        <w:widowControl w:val="0"/>
        <w:ind w:left="284" w:hanging="284"/>
        <w:jc w:val="both"/>
        <w:rPr>
          <w:sz w:val="18"/>
          <w:lang w:val="en-GB"/>
        </w:rPr>
      </w:pPr>
      <w:r>
        <w:rPr>
          <w:sz w:val="18"/>
          <w:lang w:val="en-GB"/>
        </w:rPr>
        <w:br w:type="page"/>
      </w:r>
    </w:p>
    <w:p w14:paraId="39E53A9F" w14:textId="77777777" w:rsidR="00E51CDD" w:rsidRPr="00E51CDD" w:rsidRDefault="00E51CDD" w:rsidP="00B31542">
      <w:pPr>
        <w:pStyle w:val="Nagwek4"/>
      </w:pPr>
      <w:bookmarkStart w:id="949" w:name="_Toc125446459"/>
      <w:r w:rsidRPr="00E51CDD">
        <w:lastRenderedPageBreak/>
        <w:t>Justification for new endpoints</w:t>
      </w:r>
      <w:bookmarkEnd w:id="939"/>
      <w:bookmarkEnd w:id="940"/>
      <w:bookmarkEnd w:id="941"/>
      <w:bookmarkEnd w:id="942"/>
      <w:bookmarkEnd w:id="943"/>
      <w:bookmarkEnd w:id="944"/>
      <w:bookmarkEnd w:id="945"/>
      <w:bookmarkEnd w:id="946"/>
      <w:bookmarkEnd w:id="949"/>
    </w:p>
    <w:p w14:paraId="2A06B364" w14:textId="77777777" w:rsidR="00E51CDD" w:rsidRPr="00E51CDD" w:rsidRDefault="00E51CDD" w:rsidP="00E51CDD">
      <w:pPr>
        <w:widowControl w:val="0"/>
        <w:jc w:val="both"/>
      </w:pPr>
      <w:bookmarkStart w:id="950" w:name="_Toc412644034"/>
      <w:bookmarkStart w:id="951" w:name="_Toc413916878"/>
      <w:bookmarkStart w:id="952" w:name="_Toc413917020"/>
      <w:bookmarkStart w:id="953" w:name="_Toc413922081"/>
      <w:bookmarkStart w:id="954" w:name="_Toc413922570"/>
      <w:bookmarkStart w:id="955" w:name="_Toc413922674"/>
      <w:bookmarkStart w:id="956" w:name="_Toc414955311"/>
      <w:bookmarkStart w:id="957" w:name="_Toc415214618"/>
      <w:r w:rsidRPr="00E51CDD">
        <w:rPr>
          <w:szCs w:val="24"/>
          <w:lang w:eastAsia="en-US"/>
        </w:rPr>
        <w:t xml:space="preserve">Effects on non-target plants of </w:t>
      </w:r>
      <w:bookmarkStart w:id="958" w:name="_Hlk518472576"/>
      <w:r w:rsidRPr="00E51CDD">
        <w:rPr>
          <w:szCs w:val="24"/>
          <w:lang w:eastAsia="en-US"/>
        </w:rPr>
        <w:t xml:space="preserve">BAS 736 00 F </w:t>
      </w:r>
      <w:bookmarkEnd w:id="958"/>
      <w:r w:rsidRPr="00E51CDD">
        <w:rPr>
          <w:szCs w:val="24"/>
          <w:lang w:eastAsia="en-US"/>
        </w:rPr>
        <w:t xml:space="preserve">were not evaluated as part of the initial Annex I inclusion or the Annex I renewal process of </w:t>
      </w:r>
      <w:bookmarkStart w:id="959" w:name="_Hlk518472586"/>
      <w:r w:rsidRPr="00E51CDD">
        <w:rPr>
          <w:lang w:val="en-GB"/>
        </w:rPr>
        <w:t xml:space="preserve">fluxapyroxad and </w:t>
      </w:r>
      <w:bookmarkEnd w:id="959"/>
      <w:r w:rsidRPr="00E51CDD">
        <w:rPr>
          <w:lang w:val="en-GB"/>
        </w:rPr>
        <w:t>azoxystrobin</w:t>
      </w:r>
      <w:r w:rsidRPr="00E51CDD">
        <w:rPr>
          <w:szCs w:val="24"/>
          <w:lang w:eastAsia="en-US"/>
        </w:rPr>
        <w:t xml:space="preserve">. </w:t>
      </w:r>
      <w:r w:rsidRPr="00E51CDD">
        <w:t>Hence, all relevant data and assessments considering this formulation are provided here and are considered adequate.</w:t>
      </w:r>
    </w:p>
    <w:p w14:paraId="5E1CBDB2" w14:textId="77777777" w:rsidR="00E51CDD" w:rsidRPr="00E51CDD" w:rsidRDefault="00E51CDD" w:rsidP="00E51CDD">
      <w:pPr>
        <w:widowControl w:val="0"/>
        <w:jc w:val="both"/>
      </w:pPr>
    </w:p>
    <w:p w14:paraId="0FA6429D" w14:textId="77777777" w:rsidR="00E51CDD" w:rsidRPr="00E51CDD" w:rsidRDefault="00E51CDD" w:rsidP="00E51CDD">
      <w:pPr>
        <w:widowControl w:val="0"/>
        <w:jc w:val="both"/>
        <w:rPr>
          <w:lang w:val="en-GB"/>
        </w:rPr>
      </w:pPr>
    </w:p>
    <w:p w14:paraId="7856388E" w14:textId="77777777" w:rsidR="00E51CDD" w:rsidRPr="00E51CDD" w:rsidRDefault="00E51CDD" w:rsidP="00B31542">
      <w:pPr>
        <w:pStyle w:val="Nagwek3"/>
      </w:pPr>
      <w:bookmarkStart w:id="960" w:name="_Toc125446460"/>
      <w:r w:rsidRPr="00E51CDD">
        <w:t>Risk assessment</w:t>
      </w:r>
      <w:bookmarkEnd w:id="950"/>
      <w:bookmarkEnd w:id="951"/>
      <w:bookmarkEnd w:id="952"/>
      <w:bookmarkEnd w:id="953"/>
      <w:bookmarkEnd w:id="954"/>
      <w:bookmarkEnd w:id="955"/>
      <w:bookmarkEnd w:id="956"/>
      <w:bookmarkEnd w:id="957"/>
      <w:bookmarkEnd w:id="960"/>
    </w:p>
    <w:p w14:paraId="1EC49048" w14:textId="77777777" w:rsidR="00E51CDD" w:rsidRPr="00843A50" w:rsidRDefault="00E51CDD" w:rsidP="00B31542">
      <w:pPr>
        <w:pStyle w:val="Nagwek4"/>
        <w:rPr>
          <w:lang w:val="en-US"/>
        </w:rPr>
      </w:pPr>
      <w:bookmarkStart w:id="961" w:name="_Toc412644035"/>
      <w:bookmarkStart w:id="962" w:name="_Toc413916879"/>
      <w:bookmarkStart w:id="963" w:name="_Toc413917021"/>
      <w:bookmarkStart w:id="964" w:name="_Toc413922082"/>
      <w:bookmarkStart w:id="965" w:name="_Toc413922571"/>
      <w:bookmarkStart w:id="966" w:name="_Toc413922675"/>
      <w:bookmarkStart w:id="967" w:name="_Toc414955312"/>
      <w:bookmarkStart w:id="968" w:name="_Toc415214619"/>
      <w:bookmarkStart w:id="969" w:name="_Toc125446461"/>
      <w:r w:rsidRPr="00843A50">
        <w:rPr>
          <w:lang w:val="en-US"/>
        </w:rPr>
        <w:t>Tier-1 risk assessment (based screening data)</w:t>
      </w:r>
      <w:bookmarkEnd w:id="961"/>
      <w:bookmarkEnd w:id="962"/>
      <w:bookmarkEnd w:id="963"/>
      <w:bookmarkEnd w:id="964"/>
      <w:bookmarkEnd w:id="965"/>
      <w:bookmarkEnd w:id="966"/>
      <w:bookmarkEnd w:id="967"/>
      <w:bookmarkEnd w:id="968"/>
      <w:bookmarkEnd w:id="969"/>
    </w:p>
    <w:p w14:paraId="75DFD4D2" w14:textId="77777777" w:rsidR="00E51CDD" w:rsidRPr="00E51CDD" w:rsidRDefault="00E51CDD" w:rsidP="00E51CDD">
      <w:pPr>
        <w:widowControl w:val="0"/>
        <w:jc w:val="both"/>
        <w:rPr>
          <w:lang w:val="en-GB"/>
        </w:rPr>
      </w:pPr>
      <w:r w:rsidRPr="00E51CDD">
        <w:rPr>
          <w:lang w:val="en-GB"/>
        </w:rPr>
        <w:t>Not relevant.</w:t>
      </w:r>
    </w:p>
    <w:p w14:paraId="26F4851C" w14:textId="77777777" w:rsidR="00E51CDD" w:rsidRPr="00843A50" w:rsidRDefault="00E51CDD" w:rsidP="00B31542">
      <w:pPr>
        <w:pStyle w:val="Nagwek4"/>
        <w:rPr>
          <w:lang w:val="en-US"/>
        </w:rPr>
      </w:pPr>
      <w:bookmarkStart w:id="970" w:name="_Toc412644036"/>
      <w:bookmarkStart w:id="971" w:name="_Toc413916880"/>
      <w:bookmarkStart w:id="972" w:name="_Toc413917022"/>
      <w:bookmarkStart w:id="973" w:name="_Toc413922083"/>
      <w:bookmarkStart w:id="974" w:name="_Toc413922572"/>
      <w:bookmarkStart w:id="975" w:name="_Toc413922676"/>
      <w:bookmarkStart w:id="976" w:name="_Toc414955313"/>
      <w:bookmarkStart w:id="977" w:name="_Toc415214620"/>
      <w:bookmarkStart w:id="978" w:name="_Toc125446462"/>
      <w:r w:rsidRPr="00843A50">
        <w:rPr>
          <w:lang w:val="en-US"/>
        </w:rPr>
        <w:t>Tier-2 risk assessment (based on dose-response data)</w:t>
      </w:r>
      <w:bookmarkEnd w:id="970"/>
      <w:bookmarkEnd w:id="971"/>
      <w:bookmarkEnd w:id="972"/>
      <w:bookmarkEnd w:id="973"/>
      <w:bookmarkEnd w:id="974"/>
      <w:bookmarkEnd w:id="975"/>
      <w:bookmarkEnd w:id="976"/>
      <w:bookmarkEnd w:id="977"/>
      <w:bookmarkEnd w:id="978"/>
    </w:p>
    <w:p w14:paraId="0DA350BA" w14:textId="77777777" w:rsidR="00E51CDD" w:rsidRPr="00E51CDD" w:rsidRDefault="00E51CDD" w:rsidP="00E51CDD">
      <w:pPr>
        <w:widowControl w:val="0"/>
        <w:jc w:val="both"/>
        <w:rPr>
          <w:lang w:val="en-GB"/>
        </w:rPr>
      </w:pPr>
      <w:bookmarkStart w:id="979" w:name="_Toc412644037"/>
      <w:bookmarkStart w:id="980" w:name="_Toc413916881"/>
      <w:bookmarkStart w:id="981" w:name="_Toc413917023"/>
      <w:bookmarkStart w:id="982" w:name="_Toc413922084"/>
      <w:bookmarkStart w:id="983" w:name="_Toc413922573"/>
      <w:bookmarkStart w:id="984" w:name="_Toc413922677"/>
      <w:bookmarkStart w:id="985" w:name="_Toc414955314"/>
      <w:bookmarkStart w:id="986" w:name="_Toc415214621"/>
      <w:r w:rsidRPr="00E51CDD">
        <w:rPr>
          <w:lang w:val="en-GB"/>
        </w:rPr>
        <w:t>The risk assessment is based on the “Guidance Document on Terrestrial Ecotoxicology”, (SANCO/10329/2002 rev.2 final, 2002). It is restricted to off-field areas, as non-target plants are non-cereals plants located outside the treated area.</w:t>
      </w:r>
    </w:p>
    <w:p w14:paraId="4D5CA2F8" w14:textId="77777777" w:rsidR="00E51CDD" w:rsidRPr="00E51CDD" w:rsidRDefault="00E51CDD" w:rsidP="00E51CDD">
      <w:pPr>
        <w:widowControl w:val="0"/>
        <w:jc w:val="both"/>
        <w:rPr>
          <w:lang w:val="en-GB"/>
        </w:rPr>
      </w:pPr>
    </w:p>
    <w:p w14:paraId="75E4F528" w14:textId="77777777" w:rsidR="00E51CDD" w:rsidRPr="00E51CDD" w:rsidRDefault="00E51CDD" w:rsidP="00E51CDD">
      <w:pPr>
        <w:widowControl w:val="0"/>
        <w:jc w:val="both"/>
      </w:pPr>
      <w:r w:rsidRPr="00E51CDD">
        <w:t>The application of BAS 736 00 F is envisioned in cereals. The following risk assessment is based on the worst-case field application rate of 2.0 L BAS 736 00 F/ha (see Section 9 Chapter 9.1 for details).</w:t>
      </w:r>
    </w:p>
    <w:p w14:paraId="6B9E0367" w14:textId="77777777" w:rsidR="00E51CDD" w:rsidRPr="00E51CDD" w:rsidRDefault="00E51CDD" w:rsidP="00E51CDD">
      <w:pPr>
        <w:widowControl w:val="0"/>
        <w:jc w:val="both"/>
      </w:pPr>
    </w:p>
    <w:p w14:paraId="27F57AA2" w14:textId="77777777" w:rsidR="00E51CDD" w:rsidRPr="00E51CDD" w:rsidRDefault="00E51CDD" w:rsidP="00E51CDD">
      <w:pPr>
        <w:widowControl w:val="0"/>
        <w:jc w:val="both"/>
        <w:rPr>
          <w:lang w:val="en-GB"/>
        </w:rPr>
      </w:pPr>
      <w:r w:rsidRPr="00E51CDD">
        <w:rPr>
          <w:lang w:val="en-GB"/>
        </w:rPr>
        <w:t>The amount of spray drift reaching off-cereals habitats is calculated using the 90</w:t>
      </w:r>
      <w:r w:rsidRPr="00E51CDD">
        <w:rPr>
          <w:vertAlign w:val="superscript"/>
          <w:lang w:val="en-GB"/>
        </w:rPr>
        <w:t>th</w:t>
      </w:r>
      <w:r w:rsidRPr="00E51CDD">
        <w:rPr>
          <w:lang w:val="en-GB"/>
        </w:rPr>
        <w:t xml:space="preserve"> percentile estimates in Appendix IV of ESCORT 2. Only a single application was considered, because factors like plant growth will reduce residues per unit area between multiple applications. The predicted rate reaching the off-cereals environment (PER</w:t>
      </w:r>
      <w:r w:rsidRPr="00E51CDD">
        <w:rPr>
          <w:vertAlign w:val="subscript"/>
          <w:lang w:val="en-GB"/>
        </w:rPr>
        <w:t> off-field</w:t>
      </w:r>
      <w:r w:rsidRPr="00E51CDD">
        <w:rPr>
          <w:lang w:val="en-GB"/>
        </w:rPr>
        <w:t>) is calculated as:</w:t>
      </w:r>
    </w:p>
    <w:p w14:paraId="0F6E6834" w14:textId="77777777" w:rsidR="00E51CDD" w:rsidRPr="00E51CDD" w:rsidRDefault="00E51CDD" w:rsidP="00E51CDD"/>
    <w:p w14:paraId="19A05415" w14:textId="77777777" w:rsidR="00E51CDD" w:rsidRPr="00E51CDD" w:rsidRDefault="00E51CDD" w:rsidP="00E51CDD"/>
    <w:p w14:paraId="36C65E28" w14:textId="77777777" w:rsidR="00E51CDD" w:rsidRPr="00E51CDD" w:rsidRDefault="00000000" w:rsidP="00E51CDD">
      <w:pPr>
        <w:rPr>
          <w:sz w:val="24"/>
        </w:rPr>
      </w:pPr>
      <m:oMathPara>
        <m:oMath>
          <m:sSub>
            <m:sSubPr>
              <m:ctrlPr>
                <w:rPr>
                  <w:rFonts w:ascii="Cambria Math" w:hAnsi="Cambria Math"/>
                  <w:i/>
                  <w:sz w:val="24"/>
                </w:rPr>
              </m:ctrlPr>
            </m:sSubPr>
            <m:e>
              <m:r>
                <m:rPr>
                  <m:nor/>
                </m:rPr>
                <w:rPr>
                  <w:sz w:val="24"/>
                </w:rPr>
                <m:t>PER</m:t>
              </m:r>
            </m:e>
            <m:sub>
              <m:r>
                <m:rPr>
                  <m:nor/>
                </m:rPr>
                <w:rPr>
                  <w:sz w:val="24"/>
                </w:rPr>
                <m:t xml:space="preserve">off-field </m:t>
              </m:r>
            </m:sub>
          </m:sSub>
          <m:r>
            <m:rPr>
              <m:sty m:val="p"/>
            </m:rPr>
            <w:rPr>
              <w:rFonts w:ascii="Cambria Math" w:hAnsi="Cambria Math"/>
              <w:sz w:val="24"/>
            </w:rPr>
            <m:t xml:space="preserve">=maximum single application rate </m:t>
          </m:r>
          <m:d>
            <m:dPr>
              <m:ctrlPr>
                <w:rPr>
                  <w:rFonts w:ascii="Cambria Math" w:hAnsi="Cambria Math"/>
                  <w:sz w:val="24"/>
                </w:rPr>
              </m:ctrlPr>
            </m:dPr>
            <m:e>
              <m:r>
                <m:rPr>
                  <m:sty m:val="p"/>
                </m:rPr>
                <w:rPr>
                  <w:rFonts w:ascii="Cambria Math" w:hAnsi="Cambria Math"/>
                  <w:sz w:val="24"/>
                </w:rPr>
                <m:t>L/ha</m:t>
              </m:r>
              <m:ctrlPr>
                <w:rPr>
                  <w:rFonts w:ascii="Cambria Math" w:hAnsi="Cambria Math"/>
                  <w:i/>
                  <w:sz w:val="24"/>
                </w:rPr>
              </m:ctrlPr>
            </m:e>
          </m:d>
          <m:r>
            <w:rPr>
              <w:rFonts w:ascii="Cambria Math" w:hAnsi="Cambria Math"/>
              <w:sz w:val="24"/>
            </w:rPr>
            <m:t>*</m:t>
          </m:r>
          <m:r>
            <m:rPr>
              <m:sty m:val="p"/>
            </m:rPr>
            <w:rPr>
              <w:rFonts w:ascii="Cambria Math" w:hAnsi="Cambria Math"/>
              <w:sz w:val="24"/>
            </w:rPr>
            <m:t>(% drift/100)</m:t>
          </m:r>
        </m:oMath>
      </m:oMathPara>
    </w:p>
    <w:p w14:paraId="7316E4AB" w14:textId="77777777" w:rsidR="00E51CDD" w:rsidRPr="00E51CDD" w:rsidRDefault="00E51CDD" w:rsidP="00E51CDD">
      <w:pPr>
        <w:widowControl w:val="0"/>
        <w:tabs>
          <w:tab w:val="left" w:pos="1118"/>
        </w:tabs>
        <w:jc w:val="both"/>
      </w:pPr>
    </w:p>
    <w:p w14:paraId="504F608B" w14:textId="77777777" w:rsidR="00E51CDD" w:rsidRPr="00E51CDD" w:rsidRDefault="00E51CDD" w:rsidP="00E51CDD">
      <w:pPr>
        <w:widowControl w:val="0"/>
        <w:tabs>
          <w:tab w:val="left" w:pos="1118"/>
        </w:tabs>
        <w:jc w:val="both"/>
        <w:rPr>
          <w:lang w:val="en-GB"/>
        </w:rPr>
      </w:pPr>
      <w:r w:rsidRPr="00E51CDD">
        <w:rPr>
          <w:lang w:val="en-GB"/>
        </w:rPr>
        <w:t>For a single application to field crops (i.e.), 2.77% of the application rate was assumed to reach areas at 1 m from the edge of the field (worst-case scenario). The highest single application rate of BAS 736 00 F is 2.0 L product/ha. The maximum off-field predicted environmental rate (PER</w:t>
      </w:r>
      <w:r w:rsidRPr="00E51CDD">
        <w:rPr>
          <w:vertAlign w:val="subscript"/>
          <w:lang w:val="en-GB"/>
        </w:rPr>
        <w:t>off-field</w:t>
      </w:r>
      <w:r w:rsidRPr="00E51CDD">
        <w:rPr>
          <w:lang w:val="en-GB"/>
        </w:rPr>
        <w:t>) is thus calculated to be 0.055 L product/ha.</w:t>
      </w:r>
    </w:p>
    <w:p w14:paraId="1037880B" w14:textId="77777777" w:rsidR="00E51CDD" w:rsidRPr="00E51CDD" w:rsidRDefault="00E51CDD" w:rsidP="00E51CDD">
      <w:pPr>
        <w:widowControl w:val="0"/>
        <w:jc w:val="both"/>
        <w:rPr>
          <w:lang w:val="en-GB"/>
        </w:rPr>
      </w:pPr>
    </w:p>
    <w:p w14:paraId="3D6AD5C7" w14:textId="77777777" w:rsidR="00E51CDD" w:rsidRPr="00E51CDD" w:rsidRDefault="00E51CDD" w:rsidP="00E51CDD">
      <w:pPr>
        <w:widowControl w:val="0"/>
        <w:tabs>
          <w:tab w:val="left" w:pos="720"/>
        </w:tabs>
        <w:spacing w:line="280" w:lineRule="exact"/>
        <w:jc w:val="both"/>
      </w:pPr>
      <w:r w:rsidRPr="00E51CDD">
        <w:rPr>
          <w:lang w:val="en-GB"/>
        </w:rPr>
        <w:t xml:space="preserve">The potential risk of </w:t>
      </w:r>
      <w:r w:rsidRPr="00E51CDD">
        <w:rPr>
          <w:color w:val="000000"/>
          <w:lang w:val="en-GB"/>
        </w:rPr>
        <w:t xml:space="preserve">BAS 736 00 F </w:t>
      </w:r>
      <w:r w:rsidRPr="00E51CDD">
        <w:rPr>
          <w:lang w:val="en-GB"/>
        </w:rPr>
        <w:t>to non-target plants was assessed by comparing the calculated PER value to the ER</w:t>
      </w:r>
      <w:r w:rsidRPr="00E51CDD">
        <w:rPr>
          <w:vertAlign w:val="subscript"/>
          <w:lang w:val="en-GB"/>
        </w:rPr>
        <w:t>50</w:t>
      </w:r>
      <w:r w:rsidRPr="00E51CDD">
        <w:rPr>
          <w:lang w:val="en-GB"/>
        </w:rPr>
        <w:t xml:space="preserve"> values in order to generate the toxicity exposure ratio </w:t>
      </w:r>
      <w:r w:rsidRPr="00E51CDD">
        <w:t>(</w:t>
      </w:r>
      <w:r w:rsidRPr="00E51CDD">
        <w:rPr>
          <w:lang w:val="en-GB"/>
        </w:rPr>
        <w:t>TER</w:t>
      </w:r>
      <w:r w:rsidRPr="00E51CDD">
        <w:t>) as follows.</w:t>
      </w:r>
    </w:p>
    <w:p w14:paraId="46980D95" w14:textId="77777777" w:rsidR="00E51CDD" w:rsidRPr="00E51CDD" w:rsidRDefault="00E51CDD" w:rsidP="00E51CDD">
      <w:pPr>
        <w:widowControl w:val="0"/>
        <w:rPr>
          <w:lang w:eastAsia="en-US"/>
        </w:rPr>
      </w:pPr>
    </w:p>
    <w:p w14:paraId="524DE23F" w14:textId="77777777" w:rsidR="00E51CDD" w:rsidRPr="00E51CDD" w:rsidRDefault="00E51CDD" w:rsidP="00E51CDD">
      <w:pPr>
        <w:widowControl w:val="0"/>
        <w:jc w:val="both"/>
        <w:rPr>
          <w:sz w:val="20"/>
          <w:lang w:val="en-GB" w:eastAsia="en-US"/>
        </w:rPr>
      </w:pPr>
      <m:oMathPara>
        <m:oMathParaPr>
          <m:jc m:val="center"/>
        </m:oMathParaPr>
        <m:oMath>
          <m:r>
            <m:rPr>
              <m:sty m:val="p"/>
            </m:rPr>
            <w:rPr>
              <w:rFonts w:ascii="Cambria Math" w:hAnsi="Cambria Math"/>
              <w:sz w:val="24"/>
              <w:lang w:val="en-GB" w:eastAsia="en-US"/>
            </w:rPr>
            <m:t>TER</m:t>
          </m:r>
          <m:r>
            <w:rPr>
              <w:rFonts w:ascii="Cambria Math" w:hAnsi="Cambria Math"/>
              <w:sz w:val="24"/>
              <w:lang w:val="en-GB" w:eastAsia="en-US"/>
            </w:rPr>
            <m:t xml:space="preserve">= </m:t>
          </m:r>
          <m:f>
            <m:fPr>
              <m:ctrlPr>
                <w:rPr>
                  <w:rFonts w:ascii="Cambria Math" w:hAnsi="Cambria Math"/>
                  <w:i/>
                  <w:sz w:val="24"/>
                  <w:lang w:val="en-GB" w:eastAsia="en-US"/>
                </w:rPr>
              </m:ctrlPr>
            </m:fPr>
            <m:num>
              <m:r>
                <m:rPr>
                  <m:sty m:val="p"/>
                </m:rPr>
                <w:rPr>
                  <w:rFonts w:ascii="Cambria Math" w:hAnsi="Cambria Math"/>
                  <w:sz w:val="24"/>
                  <w:lang w:val="en-GB" w:eastAsia="en-US"/>
                </w:rPr>
                <m:t>Endpoint [L/ha]</m:t>
              </m:r>
            </m:num>
            <m:den>
              <m:sSub>
                <m:sSubPr>
                  <m:ctrlPr>
                    <w:rPr>
                      <w:rFonts w:ascii="Cambria Math" w:hAnsi="Cambria Math"/>
                      <w:sz w:val="24"/>
                      <w:lang w:val="en-GB" w:eastAsia="en-US"/>
                    </w:rPr>
                  </m:ctrlPr>
                </m:sSubPr>
                <m:e>
                  <m:r>
                    <m:rPr>
                      <m:sty m:val="p"/>
                    </m:rPr>
                    <w:rPr>
                      <w:rFonts w:ascii="Cambria Math" w:hAnsi="Cambria Math"/>
                      <w:sz w:val="24"/>
                      <w:lang w:val="en-GB" w:eastAsia="en-US"/>
                    </w:rPr>
                    <m:t>PER</m:t>
                  </m:r>
                </m:e>
                <m:sub>
                  <m:r>
                    <m:rPr>
                      <m:sty m:val="p"/>
                    </m:rPr>
                    <w:rPr>
                      <w:rFonts w:ascii="Cambria Math" w:hAnsi="Cambria Math"/>
                      <w:sz w:val="24"/>
                      <w:lang w:val="en-GB" w:eastAsia="en-US"/>
                    </w:rPr>
                    <m:t>off-field</m:t>
                  </m:r>
                </m:sub>
              </m:sSub>
              <m:r>
                <m:rPr>
                  <m:sty m:val="p"/>
                </m:rPr>
                <w:rPr>
                  <w:rFonts w:ascii="Cambria Math" w:hAnsi="Cambria Math"/>
                  <w:sz w:val="24"/>
                  <w:lang w:val="en-GB" w:eastAsia="en-US"/>
                </w:rPr>
                <m:t xml:space="preserve"> [L/ha]</m:t>
              </m:r>
            </m:den>
          </m:f>
        </m:oMath>
      </m:oMathPara>
    </w:p>
    <w:p w14:paraId="10ED71EB" w14:textId="77777777" w:rsidR="00E51CDD" w:rsidRPr="00E51CDD" w:rsidRDefault="00E51CDD" w:rsidP="00E51CDD">
      <w:pPr>
        <w:widowControl w:val="0"/>
        <w:jc w:val="both"/>
        <w:rPr>
          <w:lang w:val="en-GB"/>
        </w:rPr>
      </w:pPr>
      <w:r w:rsidRPr="00E51CDD">
        <w:rPr>
          <w:lang w:val="en-GB"/>
        </w:rPr>
        <w:br w:type="page"/>
      </w:r>
    </w:p>
    <w:p w14:paraId="0037EE7C" w14:textId="60FBD5BB" w:rsidR="00E51CDD" w:rsidRPr="00E51CDD" w:rsidRDefault="00E51CDD" w:rsidP="00E51CDD">
      <w:pPr>
        <w:widowControl w:val="0"/>
        <w:jc w:val="both"/>
        <w:rPr>
          <w:lang w:val="en-GB"/>
        </w:rPr>
      </w:pPr>
      <w:r w:rsidRPr="00E51CDD">
        <w:rPr>
          <w:lang w:val="en-GB"/>
        </w:rPr>
        <w:lastRenderedPageBreak/>
        <w:t xml:space="preserve">The results of the risk assessment are presented in </w:t>
      </w:r>
      <w:r w:rsidR="00843A50" w:rsidRPr="00843A50">
        <w:rPr>
          <w:lang w:val="en-GB"/>
        </w:rPr>
        <w:fldChar w:fldCharType="begin"/>
      </w:r>
      <w:r w:rsidR="00843A50" w:rsidRPr="00843A50">
        <w:rPr>
          <w:lang w:val="en-GB"/>
        </w:rPr>
        <w:instrText xml:space="preserve"> REF _Ref88216241 \h  \* MERGEFORMAT </w:instrText>
      </w:r>
      <w:r w:rsidR="00843A50" w:rsidRPr="00843A50">
        <w:rPr>
          <w:lang w:val="en-GB"/>
        </w:rPr>
      </w:r>
      <w:r w:rsidR="00843A50" w:rsidRPr="00843A50">
        <w:rPr>
          <w:lang w:val="en-GB"/>
        </w:rPr>
        <w:fldChar w:fldCharType="separate"/>
      </w:r>
      <w:r w:rsidR="00662F32" w:rsidRPr="00662F32">
        <w:rPr>
          <w:lang w:val="en-GB"/>
        </w:rPr>
        <w:t xml:space="preserve">Table </w:t>
      </w:r>
      <w:r w:rsidR="00662F32" w:rsidRPr="00662F32">
        <w:rPr>
          <w:noProof/>
          <w:lang w:val="en-GB"/>
        </w:rPr>
        <w:t>9.10</w:t>
      </w:r>
      <w:r w:rsidR="00662F32" w:rsidRPr="00662F32">
        <w:rPr>
          <w:noProof/>
          <w:lang w:val="en-GB"/>
        </w:rPr>
        <w:noBreakHyphen/>
        <w:t>2</w:t>
      </w:r>
      <w:r w:rsidR="00843A50" w:rsidRPr="00843A50">
        <w:rPr>
          <w:lang w:val="en-GB"/>
        </w:rPr>
        <w:fldChar w:fldCharType="end"/>
      </w:r>
      <w:r w:rsidRPr="00843A50">
        <w:rPr>
          <w:lang w:val="en-GB"/>
        </w:rPr>
        <w:t>.</w:t>
      </w:r>
    </w:p>
    <w:p w14:paraId="7CC4C1AB" w14:textId="77777777" w:rsidR="00E51CDD" w:rsidRPr="00E51CDD" w:rsidRDefault="00E51CDD" w:rsidP="00E51CDD">
      <w:pPr>
        <w:widowControl w:val="0"/>
        <w:jc w:val="both"/>
        <w:rPr>
          <w:lang w:val="en-GB"/>
        </w:rPr>
      </w:pPr>
    </w:p>
    <w:p w14:paraId="2346A6EC" w14:textId="49C2530B" w:rsidR="00E51CDD" w:rsidRPr="00E51CDD" w:rsidRDefault="00E51CDD" w:rsidP="00E51CDD">
      <w:pPr>
        <w:keepNext/>
        <w:keepLines/>
        <w:widowControl w:val="0"/>
        <w:tabs>
          <w:tab w:val="left" w:pos="1984"/>
        </w:tabs>
        <w:ind w:left="1985" w:hanging="1985"/>
        <w:jc w:val="both"/>
        <w:rPr>
          <w:b/>
          <w:bCs/>
          <w:lang w:val="en-GB"/>
        </w:rPr>
      </w:pPr>
      <w:bookmarkStart w:id="987" w:name="_Ref88216241"/>
      <w:r w:rsidRPr="00E51CDD">
        <w:rPr>
          <w:b/>
          <w:bCs/>
          <w:lang w:val="en-GB"/>
        </w:rPr>
        <w:t xml:space="preserve">Table </w:t>
      </w:r>
      <w:r w:rsidRPr="00E51CDD">
        <w:rPr>
          <w:b/>
          <w:bCs/>
          <w:lang w:val="en-GB"/>
        </w:rPr>
        <w:fldChar w:fldCharType="begin"/>
      </w:r>
      <w:r w:rsidRPr="00E51CDD">
        <w:rPr>
          <w:b/>
          <w:bCs/>
          <w:lang w:val="en-GB"/>
        </w:rPr>
        <w:instrText xml:space="preserve"> STYLEREF 2 \s </w:instrText>
      </w:r>
      <w:r w:rsidRPr="00E51CDD">
        <w:rPr>
          <w:b/>
          <w:bCs/>
          <w:lang w:val="en-GB"/>
        </w:rPr>
        <w:fldChar w:fldCharType="separate"/>
      </w:r>
      <w:r w:rsidR="00662F32">
        <w:rPr>
          <w:b/>
          <w:bCs/>
          <w:noProof/>
          <w:lang w:val="en-GB"/>
        </w:rPr>
        <w:t>9.10</w:t>
      </w:r>
      <w:r w:rsidRPr="00E51CDD">
        <w:rPr>
          <w:b/>
          <w:bCs/>
          <w:lang w:val="en-GB"/>
        </w:rPr>
        <w:fldChar w:fldCharType="end"/>
      </w:r>
      <w:r w:rsidRPr="00E51CDD">
        <w:rPr>
          <w:b/>
          <w:bCs/>
          <w:lang w:val="en-GB"/>
        </w:rPr>
        <w:noBreakHyphen/>
      </w:r>
      <w:r w:rsidRPr="00E51CDD">
        <w:rPr>
          <w:b/>
          <w:bCs/>
          <w:lang w:val="en-GB"/>
        </w:rPr>
        <w:fldChar w:fldCharType="begin"/>
      </w:r>
      <w:r w:rsidRPr="00E51CDD">
        <w:rPr>
          <w:b/>
          <w:bCs/>
          <w:lang w:val="en-GB"/>
        </w:rPr>
        <w:instrText xml:space="preserve"> SEQ Table \* ARABIC \s 2 </w:instrText>
      </w:r>
      <w:r w:rsidRPr="00E51CDD">
        <w:rPr>
          <w:b/>
          <w:bCs/>
          <w:lang w:val="en-GB"/>
        </w:rPr>
        <w:fldChar w:fldCharType="separate"/>
      </w:r>
      <w:r w:rsidR="00662F32">
        <w:rPr>
          <w:b/>
          <w:bCs/>
          <w:noProof/>
          <w:lang w:val="en-GB"/>
        </w:rPr>
        <w:t>2</w:t>
      </w:r>
      <w:r w:rsidRPr="00E51CDD">
        <w:rPr>
          <w:b/>
          <w:bCs/>
          <w:lang w:val="en-GB"/>
        </w:rPr>
        <w:fldChar w:fldCharType="end"/>
      </w:r>
      <w:bookmarkEnd w:id="987"/>
      <w:r w:rsidRPr="00E51CDD">
        <w:rPr>
          <w:b/>
          <w:bCs/>
          <w:lang w:val="en-GB"/>
        </w:rPr>
        <w:t>:</w:t>
      </w:r>
      <w:r w:rsidRPr="00E51CDD">
        <w:rPr>
          <w:b/>
          <w:bCs/>
          <w:lang w:val="en-GB"/>
        </w:rPr>
        <w:tab/>
        <w:t>Assessment of the risk for non-target plants due to the use of BAS 736 00 F according to the proposed use pattern</w:t>
      </w:r>
    </w:p>
    <w:tbl>
      <w:tblPr>
        <w:tblW w:w="5000" w:type="pct"/>
        <w:tblBorders>
          <w:top w:val="single" w:sz="4" w:space="0" w:color="auto"/>
          <w:left w:val="single" w:sz="4" w:space="0" w:color="auto"/>
          <w:bottom w:val="single" w:sz="4" w:space="0" w:color="auto"/>
          <w:right w:val="single" w:sz="4" w:space="0" w:color="auto"/>
          <w:insideV w:val="single" w:sz="4" w:space="0" w:color="auto"/>
        </w:tblBorders>
        <w:tblCellMar>
          <w:top w:w="57" w:type="dxa"/>
          <w:left w:w="57" w:type="dxa"/>
          <w:bottom w:w="57" w:type="dxa"/>
          <w:right w:w="57" w:type="dxa"/>
        </w:tblCellMar>
        <w:tblLook w:val="00A0" w:firstRow="1" w:lastRow="0" w:firstColumn="1" w:lastColumn="0" w:noHBand="0" w:noVBand="0"/>
      </w:tblPr>
      <w:tblGrid>
        <w:gridCol w:w="1869"/>
        <w:gridCol w:w="878"/>
        <w:gridCol w:w="991"/>
        <w:gridCol w:w="1869"/>
        <w:gridCol w:w="1869"/>
        <w:gridCol w:w="1869"/>
      </w:tblGrid>
      <w:tr w:rsidR="00E51CDD" w:rsidRPr="00E51CDD" w14:paraId="148E849B" w14:textId="77777777" w:rsidTr="009938D9">
        <w:trPr>
          <w:cantSplit/>
        </w:trPr>
        <w:tc>
          <w:tcPr>
            <w:tcW w:w="1470" w:type="pct"/>
            <w:gridSpan w:val="2"/>
            <w:tcBorders>
              <w:top w:val="single" w:sz="4" w:space="0" w:color="auto"/>
              <w:bottom w:val="single" w:sz="4" w:space="0" w:color="auto"/>
            </w:tcBorders>
          </w:tcPr>
          <w:p w14:paraId="687E7FE0" w14:textId="77777777" w:rsidR="00E51CDD" w:rsidRPr="00E51CDD" w:rsidRDefault="00E51CDD" w:rsidP="00E51CDD">
            <w:pPr>
              <w:widowControl w:val="0"/>
              <w:rPr>
                <w:b/>
                <w:bCs/>
                <w:sz w:val="20"/>
                <w:szCs w:val="20"/>
                <w:lang w:val="en-GB"/>
              </w:rPr>
            </w:pPr>
            <w:r w:rsidRPr="00E51CDD">
              <w:rPr>
                <w:b/>
                <w:bCs/>
                <w:sz w:val="20"/>
                <w:szCs w:val="20"/>
                <w:lang w:val="en-GB"/>
              </w:rPr>
              <w:t>Intended use</w:t>
            </w:r>
          </w:p>
        </w:tc>
        <w:tc>
          <w:tcPr>
            <w:tcW w:w="3530" w:type="pct"/>
            <w:gridSpan w:val="4"/>
            <w:tcBorders>
              <w:top w:val="single" w:sz="4" w:space="0" w:color="auto"/>
              <w:bottom w:val="single" w:sz="4" w:space="0" w:color="auto"/>
            </w:tcBorders>
          </w:tcPr>
          <w:p w14:paraId="57FCB3E7" w14:textId="77777777" w:rsidR="00E51CDD" w:rsidRPr="00E51CDD" w:rsidRDefault="00E51CDD" w:rsidP="00E51CDD">
            <w:pPr>
              <w:widowControl w:val="0"/>
              <w:rPr>
                <w:noProof/>
                <w:sz w:val="20"/>
                <w:szCs w:val="20"/>
                <w:lang w:val="en-GB"/>
              </w:rPr>
            </w:pPr>
            <w:r w:rsidRPr="00E51CDD">
              <w:rPr>
                <w:noProof/>
                <w:sz w:val="20"/>
                <w:szCs w:val="20"/>
                <w:lang w:val="en-GB"/>
              </w:rPr>
              <w:t>cereals</w:t>
            </w:r>
          </w:p>
        </w:tc>
      </w:tr>
      <w:tr w:rsidR="00E51CDD" w:rsidRPr="00E51CDD" w14:paraId="2323B535" w14:textId="77777777" w:rsidTr="009938D9">
        <w:trPr>
          <w:cantSplit/>
        </w:trPr>
        <w:tc>
          <w:tcPr>
            <w:tcW w:w="1470" w:type="pct"/>
            <w:gridSpan w:val="2"/>
            <w:tcBorders>
              <w:top w:val="single" w:sz="4" w:space="0" w:color="auto"/>
              <w:bottom w:val="single" w:sz="4" w:space="0" w:color="auto"/>
            </w:tcBorders>
          </w:tcPr>
          <w:p w14:paraId="3A81E010" w14:textId="77777777" w:rsidR="00E51CDD" w:rsidRPr="00E51CDD" w:rsidRDefault="00E51CDD" w:rsidP="00E51CDD">
            <w:pPr>
              <w:widowControl w:val="0"/>
              <w:rPr>
                <w:b/>
                <w:bCs/>
                <w:sz w:val="20"/>
                <w:szCs w:val="20"/>
                <w:lang w:val="en-GB"/>
              </w:rPr>
            </w:pPr>
            <w:r w:rsidRPr="00E51CDD">
              <w:rPr>
                <w:b/>
                <w:bCs/>
                <w:sz w:val="20"/>
                <w:szCs w:val="20"/>
                <w:lang w:val="en-GB"/>
              </w:rPr>
              <w:t>Product</w:t>
            </w:r>
          </w:p>
        </w:tc>
        <w:tc>
          <w:tcPr>
            <w:tcW w:w="3530" w:type="pct"/>
            <w:gridSpan w:val="4"/>
            <w:tcBorders>
              <w:top w:val="single" w:sz="4" w:space="0" w:color="auto"/>
              <w:bottom w:val="single" w:sz="4" w:space="0" w:color="auto"/>
            </w:tcBorders>
          </w:tcPr>
          <w:p w14:paraId="237D90AB" w14:textId="77777777" w:rsidR="00E51CDD" w:rsidRPr="00E51CDD" w:rsidRDefault="00E51CDD" w:rsidP="00E51CDD">
            <w:pPr>
              <w:widowControl w:val="0"/>
              <w:rPr>
                <w:noProof/>
                <w:sz w:val="20"/>
                <w:szCs w:val="20"/>
                <w:lang w:val="en-GB"/>
              </w:rPr>
            </w:pPr>
            <w:r w:rsidRPr="00E51CDD">
              <w:rPr>
                <w:noProof/>
                <w:sz w:val="20"/>
                <w:szCs w:val="20"/>
                <w:lang w:val="en-GB"/>
              </w:rPr>
              <w:t>BAS 736 00 F</w:t>
            </w:r>
          </w:p>
        </w:tc>
      </w:tr>
      <w:tr w:rsidR="00E51CDD" w:rsidRPr="00E51CDD" w14:paraId="67D7953D" w14:textId="77777777" w:rsidTr="009938D9">
        <w:trPr>
          <w:cantSplit/>
        </w:trPr>
        <w:tc>
          <w:tcPr>
            <w:tcW w:w="1470" w:type="pct"/>
            <w:gridSpan w:val="2"/>
            <w:tcBorders>
              <w:top w:val="single" w:sz="4" w:space="0" w:color="auto"/>
              <w:bottom w:val="single" w:sz="4" w:space="0" w:color="auto"/>
            </w:tcBorders>
          </w:tcPr>
          <w:p w14:paraId="2BEB77DD" w14:textId="77777777" w:rsidR="00E51CDD" w:rsidRPr="00E51CDD" w:rsidRDefault="00E51CDD" w:rsidP="00E51CDD">
            <w:pPr>
              <w:widowControl w:val="0"/>
              <w:rPr>
                <w:b/>
                <w:bCs/>
                <w:sz w:val="20"/>
                <w:szCs w:val="20"/>
                <w:lang w:val="en-GB"/>
              </w:rPr>
            </w:pPr>
            <w:r w:rsidRPr="00E51CDD">
              <w:rPr>
                <w:b/>
                <w:bCs/>
                <w:sz w:val="20"/>
                <w:szCs w:val="20"/>
                <w:lang w:val="en-GB"/>
              </w:rPr>
              <w:t>Application rate (L/ha)</w:t>
            </w:r>
          </w:p>
        </w:tc>
        <w:tc>
          <w:tcPr>
            <w:tcW w:w="3530" w:type="pct"/>
            <w:gridSpan w:val="4"/>
            <w:tcBorders>
              <w:top w:val="single" w:sz="4" w:space="0" w:color="auto"/>
              <w:bottom w:val="single" w:sz="4" w:space="0" w:color="auto"/>
            </w:tcBorders>
          </w:tcPr>
          <w:p w14:paraId="03622950" w14:textId="77777777" w:rsidR="00E51CDD" w:rsidRPr="00E51CDD" w:rsidRDefault="00E51CDD" w:rsidP="00E51CDD">
            <w:pPr>
              <w:widowControl w:val="0"/>
              <w:rPr>
                <w:noProof/>
                <w:sz w:val="20"/>
                <w:szCs w:val="20"/>
                <w:lang w:val="en-GB"/>
              </w:rPr>
            </w:pPr>
            <w:r w:rsidRPr="00E51CDD">
              <w:rPr>
                <w:noProof/>
                <w:sz w:val="20"/>
                <w:szCs w:val="20"/>
                <w:lang w:val="en-GB"/>
              </w:rPr>
              <w:t>2 x 2.0</w:t>
            </w:r>
          </w:p>
        </w:tc>
      </w:tr>
      <w:tr w:rsidR="00E51CDD" w:rsidRPr="00E51CDD" w14:paraId="75C3B67B" w14:textId="77777777" w:rsidTr="009938D9">
        <w:trPr>
          <w:cantSplit/>
        </w:trPr>
        <w:tc>
          <w:tcPr>
            <w:tcW w:w="1470" w:type="pct"/>
            <w:gridSpan w:val="2"/>
            <w:tcBorders>
              <w:top w:val="single" w:sz="4" w:space="0" w:color="auto"/>
            </w:tcBorders>
          </w:tcPr>
          <w:p w14:paraId="54852152" w14:textId="77777777" w:rsidR="00E51CDD" w:rsidRPr="00E51CDD" w:rsidRDefault="00E51CDD" w:rsidP="00E51CDD">
            <w:pPr>
              <w:widowControl w:val="0"/>
              <w:rPr>
                <w:b/>
                <w:bCs/>
                <w:sz w:val="20"/>
                <w:szCs w:val="20"/>
                <w:lang w:val="en-GB"/>
              </w:rPr>
            </w:pPr>
            <w:r w:rsidRPr="00E51CDD">
              <w:rPr>
                <w:b/>
                <w:bCs/>
                <w:sz w:val="20"/>
                <w:szCs w:val="20"/>
                <w:lang w:val="en-GB"/>
              </w:rPr>
              <w:t>MAF</w:t>
            </w:r>
          </w:p>
        </w:tc>
        <w:tc>
          <w:tcPr>
            <w:tcW w:w="3530" w:type="pct"/>
            <w:gridSpan w:val="4"/>
            <w:tcBorders>
              <w:top w:val="single" w:sz="4" w:space="0" w:color="auto"/>
            </w:tcBorders>
          </w:tcPr>
          <w:p w14:paraId="125C30AA" w14:textId="77777777" w:rsidR="00E51CDD" w:rsidRPr="00E51CDD" w:rsidRDefault="00E51CDD" w:rsidP="00E51CDD">
            <w:pPr>
              <w:widowControl w:val="0"/>
              <w:rPr>
                <w:noProof/>
                <w:sz w:val="20"/>
                <w:szCs w:val="20"/>
                <w:lang w:val="en-GB"/>
              </w:rPr>
            </w:pPr>
            <w:r w:rsidRPr="00E51CDD">
              <w:rPr>
                <w:noProof/>
                <w:sz w:val="20"/>
                <w:szCs w:val="20"/>
                <w:lang w:val="en-GB"/>
              </w:rPr>
              <w:t>n/a</w:t>
            </w:r>
          </w:p>
        </w:tc>
      </w:tr>
      <w:tr w:rsidR="00E51CDD" w:rsidRPr="00E51CDD" w14:paraId="15C37A3D" w14:textId="77777777" w:rsidTr="009938D9">
        <w:tblPrEx>
          <w:tblBorders>
            <w:insideH w:val="single" w:sz="4" w:space="0" w:color="auto"/>
          </w:tblBorders>
          <w:tblLook w:val="01E0" w:firstRow="1" w:lastRow="1" w:firstColumn="1" w:lastColumn="1" w:noHBand="0" w:noVBand="0"/>
        </w:tblPrEx>
        <w:trPr>
          <w:cantSplit/>
        </w:trPr>
        <w:tc>
          <w:tcPr>
            <w:tcW w:w="1000" w:type="pct"/>
          </w:tcPr>
          <w:p w14:paraId="703C8CE2" w14:textId="77777777" w:rsidR="00E51CDD" w:rsidRPr="00E51CDD" w:rsidRDefault="00E51CDD" w:rsidP="00E51CDD">
            <w:pPr>
              <w:widowControl w:val="0"/>
              <w:rPr>
                <w:b/>
                <w:bCs/>
                <w:sz w:val="20"/>
                <w:szCs w:val="20"/>
                <w:lang w:val="en-GB"/>
              </w:rPr>
            </w:pPr>
            <w:r w:rsidRPr="00E51CDD">
              <w:rPr>
                <w:b/>
                <w:bCs/>
                <w:sz w:val="20"/>
                <w:szCs w:val="20"/>
                <w:lang w:val="en-GB"/>
              </w:rPr>
              <w:t>Test species</w:t>
            </w:r>
          </w:p>
        </w:tc>
        <w:tc>
          <w:tcPr>
            <w:tcW w:w="1000" w:type="pct"/>
            <w:gridSpan w:val="2"/>
          </w:tcPr>
          <w:p w14:paraId="5DF5B236" w14:textId="77777777" w:rsidR="00E51CDD" w:rsidRPr="00E51CDD" w:rsidRDefault="00E51CDD" w:rsidP="00E51CDD">
            <w:pPr>
              <w:widowControl w:val="0"/>
              <w:rPr>
                <w:b/>
                <w:bCs/>
                <w:sz w:val="20"/>
                <w:szCs w:val="20"/>
                <w:lang w:val="en-GB"/>
              </w:rPr>
            </w:pPr>
            <w:r w:rsidRPr="00E51CDD">
              <w:rPr>
                <w:b/>
                <w:bCs/>
                <w:sz w:val="20"/>
                <w:szCs w:val="20"/>
                <w:lang w:val="en-GB"/>
              </w:rPr>
              <w:t>ER</w:t>
            </w:r>
            <w:r w:rsidRPr="00E51CDD">
              <w:rPr>
                <w:b/>
                <w:bCs/>
                <w:sz w:val="20"/>
                <w:szCs w:val="20"/>
                <w:vertAlign w:val="subscript"/>
                <w:lang w:val="en-GB"/>
              </w:rPr>
              <w:t>50</w:t>
            </w:r>
          </w:p>
          <w:p w14:paraId="35C2A20D" w14:textId="77777777" w:rsidR="00E51CDD" w:rsidRPr="00E51CDD" w:rsidRDefault="00E51CDD" w:rsidP="00E51CDD">
            <w:pPr>
              <w:widowControl w:val="0"/>
              <w:rPr>
                <w:b/>
                <w:bCs/>
                <w:sz w:val="20"/>
                <w:szCs w:val="20"/>
                <w:vertAlign w:val="superscript"/>
                <w:lang w:val="en-GB"/>
              </w:rPr>
            </w:pPr>
            <w:r w:rsidRPr="00E51CDD">
              <w:rPr>
                <w:b/>
                <w:bCs/>
                <w:sz w:val="20"/>
                <w:szCs w:val="20"/>
                <w:lang w:val="en-GB"/>
              </w:rPr>
              <w:t xml:space="preserve">(L/ha) </w:t>
            </w:r>
            <w:r w:rsidRPr="00E51CDD">
              <w:rPr>
                <w:b/>
                <w:bCs/>
                <w:sz w:val="20"/>
                <w:szCs w:val="20"/>
                <w:vertAlign w:val="superscript"/>
                <w:lang w:val="en-GB"/>
              </w:rPr>
              <w:t>1)</w:t>
            </w:r>
          </w:p>
        </w:tc>
        <w:tc>
          <w:tcPr>
            <w:tcW w:w="1000" w:type="pct"/>
          </w:tcPr>
          <w:p w14:paraId="06CF9DCD" w14:textId="77777777" w:rsidR="00E51CDD" w:rsidRPr="00E51CDD" w:rsidRDefault="00E51CDD" w:rsidP="00E51CDD">
            <w:pPr>
              <w:widowControl w:val="0"/>
              <w:rPr>
                <w:b/>
                <w:bCs/>
                <w:sz w:val="20"/>
                <w:szCs w:val="20"/>
                <w:lang w:val="en-GB"/>
              </w:rPr>
            </w:pPr>
            <w:r w:rsidRPr="00E51CDD">
              <w:rPr>
                <w:b/>
                <w:bCs/>
                <w:sz w:val="20"/>
                <w:szCs w:val="20"/>
                <w:lang w:val="en-GB"/>
              </w:rPr>
              <w:t>Drift rate</w:t>
            </w:r>
          </w:p>
          <w:p w14:paraId="65E5631D" w14:textId="77777777" w:rsidR="00E51CDD" w:rsidRPr="00E51CDD" w:rsidRDefault="00E51CDD" w:rsidP="00E51CDD">
            <w:pPr>
              <w:widowControl w:val="0"/>
              <w:rPr>
                <w:b/>
                <w:bCs/>
                <w:sz w:val="20"/>
                <w:szCs w:val="20"/>
                <w:lang w:val="en-GB"/>
              </w:rPr>
            </w:pPr>
            <w:r w:rsidRPr="00E51CDD">
              <w:rPr>
                <w:b/>
                <w:bCs/>
                <w:sz w:val="20"/>
                <w:szCs w:val="20"/>
                <w:lang w:val="en-GB"/>
              </w:rPr>
              <w:t>(%)</w:t>
            </w:r>
          </w:p>
        </w:tc>
        <w:tc>
          <w:tcPr>
            <w:tcW w:w="1000" w:type="pct"/>
          </w:tcPr>
          <w:p w14:paraId="2C183EBB" w14:textId="77777777" w:rsidR="00E51CDD" w:rsidRPr="00E51CDD" w:rsidRDefault="00E51CDD" w:rsidP="00E51CDD">
            <w:pPr>
              <w:widowControl w:val="0"/>
              <w:rPr>
                <w:b/>
                <w:bCs/>
                <w:sz w:val="20"/>
                <w:szCs w:val="20"/>
                <w:lang w:val="en-GB"/>
              </w:rPr>
            </w:pPr>
            <w:r w:rsidRPr="00E51CDD">
              <w:rPr>
                <w:b/>
                <w:bCs/>
                <w:sz w:val="20"/>
                <w:szCs w:val="20"/>
                <w:lang w:val="en-GB"/>
              </w:rPr>
              <w:t>PER</w:t>
            </w:r>
            <w:r w:rsidRPr="00E51CDD">
              <w:rPr>
                <w:b/>
                <w:bCs/>
                <w:sz w:val="20"/>
                <w:szCs w:val="20"/>
                <w:vertAlign w:val="subscript"/>
                <w:lang w:val="en-GB"/>
              </w:rPr>
              <w:t>off</w:t>
            </w:r>
            <w:r w:rsidRPr="00E51CDD">
              <w:rPr>
                <w:b/>
                <w:bCs/>
                <w:sz w:val="20"/>
                <w:szCs w:val="20"/>
                <w:vertAlign w:val="subscript"/>
                <w:lang w:val="en-GB"/>
              </w:rPr>
              <w:noBreakHyphen/>
              <w:t>field</w:t>
            </w:r>
          </w:p>
          <w:p w14:paraId="392B54B1" w14:textId="77777777" w:rsidR="00E51CDD" w:rsidRPr="00E51CDD" w:rsidRDefault="00E51CDD" w:rsidP="00E51CDD">
            <w:pPr>
              <w:widowControl w:val="0"/>
              <w:rPr>
                <w:b/>
                <w:bCs/>
                <w:sz w:val="20"/>
                <w:szCs w:val="20"/>
                <w:lang w:val="en-GB"/>
              </w:rPr>
            </w:pPr>
            <w:r w:rsidRPr="00E51CDD">
              <w:rPr>
                <w:b/>
                <w:bCs/>
                <w:sz w:val="20"/>
                <w:szCs w:val="20"/>
                <w:lang w:val="en-GB"/>
              </w:rPr>
              <w:t>(L/ha)</w:t>
            </w:r>
          </w:p>
        </w:tc>
        <w:tc>
          <w:tcPr>
            <w:tcW w:w="1000" w:type="pct"/>
          </w:tcPr>
          <w:p w14:paraId="4E5CCC16" w14:textId="77777777" w:rsidR="00E51CDD" w:rsidRPr="00E51CDD" w:rsidRDefault="00E51CDD" w:rsidP="00E51CDD">
            <w:pPr>
              <w:widowControl w:val="0"/>
              <w:rPr>
                <w:b/>
                <w:bCs/>
                <w:sz w:val="20"/>
                <w:szCs w:val="20"/>
                <w:lang w:val="en-GB"/>
              </w:rPr>
            </w:pPr>
            <w:r w:rsidRPr="00E51CDD">
              <w:rPr>
                <w:b/>
                <w:bCs/>
                <w:sz w:val="20"/>
                <w:szCs w:val="20"/>
                <w:lang w:val="en-GB"/>
              </w:rPr>
              <w:t>TER</w:t>
            </w:r>
          </w:p>
          <w:p w14:paraId="590E5443" w14:textId="77777777" w:rsidR="00E51CDD" w:rsidRPr="00E51CDD" w:rsidRDefault="00E51CDD" w:rsidP="00E51CDD">
            <w:pPr>
              <w:widowControl w:val="0"/>
              <w:rPr>
                <w:b/>
                <w:bCs/>
                <w:sz w:val="20"/>
                <w:szCs w:val="20"/>
                <w:lang w:val="en-GB"/>
              </w:rPr>
            </w:pPr>
            <w:r w:rsidRPr="00E51CDD">
              <w:rPr>
                <w:b/>
                <w:bCs/>
                <w:sz w:val="20"/>
                <w:szCs w:val="20"/>
                <w:lang w:val="en-GB"/>
              </w:rPr>
              <w:t>criterion: TER ≥ 5</w:t>
            </w:r>
          </w:p>
        </w:tc>
      </w:tr>
      <w:tr w:rsidR="00E51CDD" w:rsidRPr="00E51CDD" w14:paraId="51970C45" w14:textId="77777777" w:rsidTr="009938D9">
        <w:tblPrEx>
          <w:tblBorders>
            <w:insideH w:val="single" w:sz="4" w:space="0" w:color="auto"/>
          </w:tblBorders>
          <w:tblLook w:val="01E0" w:firstRow="1" w:lastRow="1" w:firstColumn="1" w:lastColumn="1" w:noHBand="0" w:noVBand="0"/>
        </w:tblPrEx>
        <w:trPr>
          <w:cantSplit/>
        </w:trPr>
        <w:tc>
          <w:tcPr>
            <w:tcW w:w="1000" w:type="pct"/>
          </w:tcPr>
          <w:p w14:paraId="07353F38" w14:textId="77777777" w:rsidR="00E51CDD" w:rsidRPr="00E51CDD" w:rsidRDefault="00E51CDD" w:rsidP="00E51CDD">
            <w:pPr>
              <w:widowControl w:val="0"/>
              <w:rPr>
                <w:noProof/>
                <w:sz w:val="20"/>
                <w:szCs w:val="20"/>
                <w:lang w:val="pt-PT"/>
              </w:rPr>
            </w:pPr>
            <w:r w:rsidRPr="00E51CDD">
              <w:rPr>
                <w:i/>
                <w:noProof/>
                <w:sz w:val="20"/>
                <w:szCs w:val="20"/>
                <w:lang w:val="pt-PT"/>
              </w:rPr>
              <w:t>Daucus carota</w:t>
            </w:r>
            <w:r w:rsidRPr="00E51CDD">
              <w:rPr>
                <w:i/>
                <w:noProof/>
                <w:sz w:val="20"/>
                <w:szCs w:val="20"/>
                <w:vertAlign w:val="subscript"/>
                <w:lang w:val="pt-PT"/>
              </w:rPr>
              <w:t xml:space="preserve"> </w:t>
            </w:r>
            <w:r w:rsidRPr="00E51CDD">
              <w:rPr>
                <w:noProof/>
                <w:sz w:val="20"/>
                <w:szCs w:val="20"/>
                <w:vertAlign w:val="subscript"/>
                <w:lang w:val="pt-PT"/>
              </w:rPr>
              <w:t>d</w:t>
            </w:r>
            <w:r w:rsidRPr="00E51CDD">
              <w:rPr>
                <w:noProof/>
                <w:sz w:val="20"/>
                <w:szCs w:val="20"/>
                <w:lang w:val="pt-PT"/>
              </w:rPr>
              <w:t xml:space="preserve"> (carrot)</w:t>
            </w:r>
          </w:p>
          <w:p w14:paraId="20C6FEA5" w14:textId="77777777" w:rsidR="00E51CDD" w:rsidRPr="00E51CDD" w:rsidRDefault="00E51CDD" w:rsidP="00E51CDD">
            <w:pPr>
              <w:widowControl w:val="0"/>
              <w:rPr>
                <w:noProof/>
                <w:sz w:val="20"/>
                <w:szCs w:val="20"/>
                <w:vertAlign w:val="superscript"/>
                <w:lang w:val="pt-PT"/>
              </w:rPr>
            </w:pPr>
            <w:r w:rsidRPr="00E51CDD">
              <w:rPr>
                <w:i/>
                <w:noProof/>
                <w:sz w:val="20"/>
                <w:szCs w:val="20"/>
                <w:lang w:val="pt-PT"/>
              </w:rPr>
              <w:t>Lactuca sativa </w:t>
            </w:r>
            <w:r w:rsidRPr="00E51CDD">
              <w:rPr>
                <w:noProof/>
                <w:sz w:val="20"/>
                <w:szCs w:val="20"/>
                <w:vertAlign w:val="subscript"/>
                <w:lang w:val="pt-PT"/>
              </w:rPr>
              <w:t xml:space="preserve">d </w:t>
            </w:r>
            <w:r w:rsidRPr="00E51CDD">
              <w:rPr>
                <w:noProof/>
                <w:sz w:val="20"/>
                <w:szCs w:val="20"/>
                <w:lang w:val="pt-PT"/>
              </w:rPr>
              <w:t>(lettuce)</w:t>
            </w:r>
          </w:p>
          <w:p w14:paraId="0D23B55E" w14:textId="77777777" w:rsidR="00E51CDD" w:rsidRPr="00E51CDD" w:rsidRDefault="00E51CDD" w:rsidP="00E51CDD">
            <w:pPr>
              <w:widowControl w:val="0"/>
              <w:rPr>
                <w:noProof/>
                <w:sz w:val="20"/>
                <w:szCs w:val="20"/>
                <w:lang w:val="pt-PT"/>
              </w:rPr>
            </w:pPr>
            <w:r w:rsidRPr="00E51CDD">
              <w:rPr>
                <w:i/>
                <w:noProof/>
                <w:sz w:val="20"/>
                <w:szCs w:val="20"/>
                <w:lang w:val="pt-PT"/>
              </w:rPr>
              <w:t>Brassica oleracea</w:t>
            </w:r>
            <w:r w:rsidRPr="00E51CDD">
              <w:rPr>
                <w:i/>
                <w:noProof/>
                <w:sz w:val="20"/>
                <w:szCs w:val="20"/>
                <w:vertAlign w:val="subscript"/>
                <w:lang w:val="pt-PT"/>
              </w:rPr>
              <w:t xml:space="preserve"> </w:t>
            </w:r>
            <w:r w:rsidRPr="00E51CDD">
              <w:rPr>
                <w:noProof/>
                <w:sz w:val="20"/>
                <w:szCs w:val="20"/>
                <w:vertAlign w:val="subscript"/>
                <w:lang w:val="pt-PT"/>
              </w:rPr>
              <w:t>d</w:t>
            </w:r>
            <w:r w:rsidRPr="00E51CDD">
              <w:rPr>
                <w:i/>
                <w:noProof/>
                <w:sz w:val="20"/>
                <w:szCs w:val="20"/>
                <w:vertAlign w:val="subscript"/>
                <w:lang w:val="pt-PT"/>
              </w:rPr>
              <w:t xml:space="preserve"> </w:t>
            </w:r>
            <w:r w:rsidRPr="00E51CDD">
              <w:rPr>
                <w:noProof/>
                <w:sz w:val="20"/>
                <w:szCs w:val="20"/>
                <w:lang w:val="pt-PT"/>
              </w:rPr>
              <w:t>(cabbage)</w:t>
            </w:r>
          </w:p>
          <w:p w14:paraId="2DF19E2F" w14:textId="77777777" w:rsidR="00E51CDD" w:rsidRPr="00E51CDD" w:rsidRDefault="00E51CDD" w:rsidP="00E51CDD">
            <w:pPr>
              <w:widowControl w:val="0"/>
              <w:rPr>
                <w:noProof/>
                <w:sz w:val="20"/>
                <w:szCs w:val="20"/>
                <w:lang w:val="pt-PT"/>
              </w:rPr>
            </w:pPr>
            <w:r w:rsidRPr="00E51CDD">
              <w:rPr>
                <w:i/>
                <w:noProof/>
                <w:sz w:val="20"/>
                <w:szCs w:val="20"/>
                <w:lang w:val="pt-PT"/>
              </w:rPr>
              <w:t>Brassica napus</w:t>
            </w:r>
            <w:r w:rsidRPr="00E51CDD">
              <w:rPr>
                <w:i/>
                <w:noProof/>
                <w:sz w:val="20"/>
                <w:szCs w:val="20"/>
                <w:vertAlign w:val="subscript"/>
                <w:lang w:val="pt-PT"/>
              </w:rPr>
              <w:t xml:space="preserve"> </w:t>
            </w:r>
            <w:r w:rsidRPr="00E51CDD">
              <w:rPr>
                <w:noProof/>
                <w:sz w:val="20"/>
                <w:szCs w:val="20"/>
                <w:vertAlign w:val="subscript"/>
                <w:lang w:val="pt-PT"/>
              </w:rPr>
              <w:t xml:space="preserve">d </w:t>
            </w:r>
            <w:r w:rsidRPr="00E51CDD">
              <w:rPr>
                <w:noProof/>
                <w:sz w:val="20"/>
                <w:szCs w:val="20"/>
                <w:lang w:val="pt-PT"/>
              </w:rPr>
              <w:t>(oilseed rape)</w:t>
            </w:r>
          </w:p>
          <w:p w14:paraId="294E2C0B" w14:textId="77777777" w:rsidR="00E51CDD" w:rsidRPr="00E51CDD" w:rsidRDefault="00E51CDD" w:rsidP="00E51CDD">
            <w:pPr>
              <w:widowControl w:val="0"/>
              <w:rPr>
                <w:noProof/>
                <w:sz w:val="20"/>
                <w:szCs w:val="20"/>
                <w:lang w:val="it-IT"/>
              </w:rPr>
            </w:pPr>
            <w:r w:rsidRPr="00E51CDD">
              <w:rPr>
                <w:i/>
                <w:noProof/>
                <w:sz w:val="20"/>
                <w:szCs w:val="20"/>
                <w:lang w:val="en-GB"/>
              </w:rPr>
              <w:t xml:space="preserve">Lycopersicon esculentum </w:t>
            </w:r>
            <w:r w:rsidRPr="00E51CDD">
              <w:rPr>
                <w:noProof/>
                <w:sz w:val="20"/>
                <w:szCs w:val="20"/>
                <w:vertAlign w:val="subscript"/>
                <w:lang w:val="it-IT"/>
              </w:rPr>
              <w:t xml:space="preserve">d </w:t>
            </w:r>
            <w:r w:rsidRPr="00E51CDD">
              <w:rPr>
                <w:noProof/>
                <w:sz w:val="20"/>
                <w:szCs w:val="20"/>
                <w:lang w:val="it-IT"/>
              </w:rPr>
              <w:t>(tomato)</w:t>
            </w:r>
          </w:p>
          <w:p w14:paraId="36FC79F6" w14:textId="77777777" w:rsidR="00E51CDD" w:rsidRPr="00E51CDD" w:rsidRDefault="00E51CDD" w:rsidP="00E51CDD">
            <w:pPr>
              <w:widowControl w:val="0"/>
              <w:rPr>
                <w:noProof/>
                <w:sz w:val="20"/>
                <w:szCs w:val="20"/>
                <w:lang w:val="it-IT"/>
              </w:rPr>
            </w:pPr>
            <w:r w:rsidRPr="00E51CDD">
              <w:rPr>
                <w:i/>
                <w:noProof/>
                <w:sz w:val="20"/>
              </w:rPr>
              <w:t>S</w:t>
            </w:r>
            <w:r w:rsidRPr="00E51CDD">
              <w:rPr>
                <w:i/>
                <w:iCs/>
                <w:noProof/>
                <w:sz w:val="20"/>
              </w:rPr>
              <w:t>olanum</w:t>
            </w:r>
            <w:r w:rsidRPr="00E51CDD">
              <w:rPr>
                <w:i/>
                <w:noProof/>
                <w:sz w:val="20"/>
              </w:rPr>
              <w:t xml:space="preserve"> </w:t>
            </w:r>
            <w:r w:rsidRPr="00E51CDD">
              <w:rPr>
                <w:i/>
                <w:iCs/>
                <w:noProof/>
                <w:sz w:val="20"/>
              </w:rPr>
              <w:t xml:space="preserve">lycopersicum </w:t>
            </w:r>
            <w:r w:rsidRPr="00E51CDD">
              <w:rPr>
                <w:noProof/>
                <w:sz w:val="20"/>
                <w:szCs w:val="20"/>
                <w:vertAlign w:val="subscript"/>
                <w:lang w:val="it-IT"/>
              </w:rPr>
              <w:t xml:space="preserve">d </w:t>
            </w:r>
            <w:r w:rsidRPr="00E51CDD">
              <w:rPr>
                <w:noProof/>
                <w:sz w:val="20"/>
                <w:szCs w:val="20"/>
                <w:lang w:val="it-IT"/>
              </w:rPr>
              <w:t>(tomato)</w:t>
            </w:r>
          </w:p>
          <w:p w14:paraId="0EDFB5A7" w14:textId="77777777" w:rsidR="00E51CDD" w:rsidRPr="00E51CDD" w:rsidRDefault="00E51CDD" w:rsidP="00E51CDD">
            <w:pPr>
              <w:widowControl w:val="0"/>
              <w:rPr>
                <w:noProof/>
                <w:sz w:val="20"/>
                <w:szCs w:val="20"/>
                <w:lang w:val="it-IT"/>
              </w:rPr>
            </w:pPr>
            <w:r w:rsidRPr="00E51CDD">
              <w:rPr>
                <w:i/>
                <w:noProof/>
                <w:sz w:val="20"/>
                <w:szCs w:val="20"/>
                <w:lang w:val="it-IT"/>
              </w:rPr>
              <w:t>Glycine max</w:t>
            </w:r>
            <w:r w:rsidRPr="00E51CDD">
              <w:rPr>
                <w:noProof/>
                <w:sz w:val="20"/>
                <w:szCs w:val="20"/>
                <w:lang w:val="it-IT"/>
              </w:rPr>
              <w:t xml:space="preserve"> </w:t>
            </w:r>
            <w:r w:rsidRPr="00E51CDD">
              <w:rPr>
                <w:noProof/>
                <w:sz w:val="20"/>
                <w:szCs w:val="20"/>
                <w:vertAlign w:val="subscript"/>
                <w:lang w:val="it-IT"/>
              </w:rPr>
              <w:t xml:space="preserve">d </w:t>
            </w:r>
            <w:r w:rsidRPr="00E51CDD">
              <w:rPr>
                <w:noProof/>
                <w:sz w:val="20"/>
                <w:szCs w:val="20"/>
                <w:lang w:val="it-IT"/>
              </w:rPr>
              <w:t>(soybean)</w:t>
            </w:r>
          </w:p>
          <w:p w14:paraId="37486EA2" w14:textId="77777777" w:rsidR="00E51CDD" w:rsidRPr="00E51CDD" w:rsidRDefault="00E51CDD" w:rsidP="00E51CDD">
            <w:pPr>
              <w:widowControl w:val="0"/>
              <w:rPr>
                <w:i/>
                <w:noProof/>
                <w:sz w:val="20"/>
                <w:szCs w:val="20"/>
                <w:lang w:val="pt-PT"/>
              </w:rPr>
            </w:pPr>
            <w:r w:rsidRPr="00E51CDD">
              <w:rPr>
                <w:i/>
                <w:noProof/>
                <w:sz w:val="20"/>
                <w:szCs w:val="20"/>
                <w:lang w:val="pt-PT"/>
              </w:rPr>
              <w:t>Allium cepa</w:t>
            </w:r>
            <w:r w:rsidRPr="00E51CDD">
              <w:rPr>
                <w:noProof/>
                <w:sz w:val="20"/>
                <w:szCs w:val="20"/>
                <w:vertAlign w:val="subscript"/>
                <w:lang w:val="pt-PT"/>
              </w:rPr>
              <w:t xml:space="preserve"> m </w:t>
            </w:r>
            <w:r w:rsidRPr="00E51CDD">
              <w:rPr>
                <w:noProof/>
                <w:sz w:val="20"/>
                <w:szCs w:val="20"/>
                <w:lang w:val="pt-PT"/>
              </w:rPr>
              <w:t>(onion)</w:t>
            </w:r>
          </w:p>
          <w:p w14:paraId="70C901B5" w14:textId="77777777" w:rsidR="00E51CDD" w:rsidRPr="00E51CDD" w:rsidRDefault="00E51CDD" w:rsidP="00E51CDD">
            <w:pPr>
              <w:widowControl w:val="0"/>
              <w:rPr>
                <w:i/>
                <w:noProof/>
                <w:sz w:val="20"/>
                <w:szCs w:val="20"/>
                <w:lang w:val="pt-PT"/>
              </w:rPr>
            </w:pPr>
            <w:r w:rsidRPr="00E51CDD">
              <w:rPr>
                <w:i/>
                <w:noProof/>
                <w:sz w:val="20"/>
                <w:szCs w:val="20"/>
                <w:lang w:val="pt-PT"/>
              </w:rPr>
              <w:t>Lolium multiflorum</w:t>
            </w:r>
            <w:r w:rsidRPr="00E51CDD">
              <w:rPr>
                <w:noProof/>
                <w:sz w:val="20"/>
                <w:szCs w:val="20"/>
                <w:vertAlign w:val="subscript"/>
                <w:lang w:val="pt-PT"/>
              </w:rPr>
              <w:t xml:space="preserve"> m </w:t>
            </w:r>
            <w:r w:rsidRPr="00E51CDD">
              <w:rPr>
                <w:noProof/>
                <w:sz w:val="20"/>
                <w:szCs w:val="20"/>
                <w:lang w:val="pt-PT"/>
              </w:rPr>
              <w:t>(ryegrass)</w:t>
            </w:r>
          </w:p>
          <w:p w14:paraId="6A537A2E" w14:textId="77777777" w:rsidR="00E51CDD" w:rsidRPr="00E51CDD" w:rsidRDefault="00E51CDD" w:rsidP="00E51CDD">
            <w:pPr>
              <w:widowControl w:val="0"/>
              <w:rPr>
                <w:noProof/>
                <w:sz w:val="20"/>
                <w:szCs w:val="20"/>
                <w:lang w:val="pt-PT"/>
              </w:rPr>
            </w:pPr>
            <w:r w:rsidRPr="00E51CDD">
              <w:rPr>
                <w:i/>
                <w:noProof/>
                <w:sz w:val="20"/>
                <w:szCs w:val="20"/>
                <w:lang w:val="pt-PT"/>
              </w:rPr>
              <w:t>Triticum aestivum</w:t>
            </w:r>
            <w:r w:rsidRPr="00E51CDD">
              <w:rPr>
                <w:noProof/>
                <w:sz w:val="20"/>
                <w:szCs w:val="20"/>
                <w:vertAlign w:val="subscript"/>
                <w:lang w:val="pt-PT"/>
              </w:rPr>
              <w:t xml:space="preserve"> m </w:t>
            </w:r>
            <w:r w:rsidRPr="00E51CDD">
              <w:rPr>
                <w:noProof/>
                <w:sz w:val="20"/>
                <w:szCs w:val="20"/>
                <w:lang w:val="pt-PT"/>
              </w:rPr>
              <w:t>(wheat)</w:t>
            </w:r>
          </w:p>
          <w:p w14:paraId="1F83399D" w14:textId="77777777" w:rsidR="00E51CDD" w:rsidRPr="00E51CDD" w:rsidRDefault="00E51CDD" w:rsidP="00E51CDD">
            <w:pPr>
              <w:widowControl w:val="0"/>
              <w:rPr>
                <w:i/>
                <w:noProof/>
                <w:sz w:val="20"/>
                <w:szCs w:val="20"/>
                <w:lang w:val="en-GB"/>
              </w:rPr>
            </w:pPr>
            <w:r w:rsidRPr="00E51CDD">
              <w:rPr>
                <w:i/>
                <w:sz w:val="20"/>
                <w:szCs w:val="20"/>
                <w:lang w:val="pt-PT"/>
              </w:rPr>
              <w:t>Zea mays</w:t>
            </w:r>
            <w:r w:rsidRPr="00E51CDD">
              <w:rPr>
                <w:sz w:val="20"/>
                <w:szCs w:val="20"/>
                <w:lang w:val="pt-PT"/>
              </w:rPr>
              <w:t xml:space="preserve"> </w:t>
            </w:r>
            <w:r w:rsidRPr="00E51CDD">
              <w:rPr>
                <w:sz w:val="20"/>
                <w:szCs w:val="20"/>
                <w:vertAlign w:val="subscript"/>
                <w:lang w:val="pt-PT"/>
              </w:rPr>
              <w:t xml:space="preserve">m </w:t>
            </w:r>
            <w:r w:rsidRPr="00E51CDD">
              <w:rPr>
                <w:sz w:val="20"/>
                <w:szCs w:val="20"/>
                <w:lang w:val="pt-PT"/>
              </w:rPr>
              <w:t>(corn)</w:t>
            </w:r>
          </w:p>
        </w:tc>
        <w:tc>
          <w:tcPr>
            <w:tcW w:w="1000" w:type="pct"/>
            <w:gridSpan w:val="2"/>
            <w:vAlign w:val="center"/>
          </w:tcPr>
          <w:p w14:paraId="0845FC07" w14:textId="77777777" w:rsidR="00E51CDD" w:rsidRPr="00E51CDD" w:rsidRDefault="00E51CDD" w:rsidP="00E51CDD">
            <w:pPr>
              <w:widowControl w:val="0"/>
              <w:rPr>
                <w:noProof/>
                <w:sz w:val="20"/>
                <w:szCs w:val="20"/>
                <w:vertAlign w:val="superscript"/>
                <w:lang w:val="en-GB"/>
              </w:rPr>
            </w:pPr>
            <w:r w:rsidRPr="00E51CDD">
              <w:rPr>
                <w:noProof/>
                <w:sz w:val="20"/>
                <w:szCs w:val="20"/>
                <w:lang w:val="en-GB"/>
              </w:rPr>
              <w:t>&gt; 2.0</w:t>
            </w:r>
          </w:p>
        </w:tc>
        <w:tc>
          <w:tcPr>
            <w:tcW w:w="1000" w:type="pct"/>
            <w:vAlign w:val="center"/>
          </w:tcPr>
          <w:p w14:paraId="7FE250A9" w14:textId="77777777" w:rsidR="00E51CDD" w:rsidRPr="00E51CDD" w:rsidRDefault="00E51CDD" w:rsidP="00E51CDD">
            <w:pPr>
              <w:widowControl w:val="0"/>
              <w:rPr>
                <w:noProof/>
                <w:sz w:val="20"/>
                <w:szCs w:val="20"/>
                <w:lang w:val="en-GB"/>
              </w:rPr>
            </w:pPr>
            <w:r w:rsidRPr="00E51CDD">
              <w:rPr>
                <w:noProof/>
                <w:sz w:val="20"/>
                <w:szCs w:val="20"/>
                <w:lang w:val="en-GB"/>
              </w:rPr>
              <w:t>2.77</w:t>
            </w:r>
          </w:p>
        </w:tc>
        <w:tc>
          <w:tcPr>
            <w:tcW w:w="1000" w:type="pct"/>
            <w:vAlign w:val="center"/>
          </w:tcPr>
          <w:p w14:paraId="283D6579" w14:textId="77777777" w:rsidR="00E51CDD" w:rsidRPr="00E51CDD" w:rsidRDefault="00E51CDD" w:rsidP="00E51CDD">
            <w:pPr>
              <w:widowControl w:val="0"/>
              <w:rPr>
                <w:noProof/>
                <w:sz w:val="20"/>
                <w:szCs w:val="20"/>
                <w:lang w:val="en-GB"/>
              </w:rPr>
            </w:pPr>
            <w:r w:rsidRPr="00E51CDD">
              <w:rPr>
                <w:noProof/>
                <w:sz w:val="20"/>
                <w:szCs w:val="20"/>
                <w:lang w:val="en-GB"/>
              </w:rPr>
              <w:t>0.055</w:t>
            </w:r>
          </w:p>
        </w:tc>
        <w:tc>
          <w:tcPr>
            <w:tcW w:w="1000" w:type="pct"/>
            <w:vAlign w:val="center"/>
          </w:tcPr>
          <w:p w14:paraId="566A9305" w14:textId="77777777" w:rsidR="00E51CDD" w:rsidRPr="00E51CDD" w:rsidRDefault="00E51CDD" w:rsidP="00E51CDD">
            <w:pPr>
              <w:widowControl w:val="0"/>
              <w:rPr>
                <w:noProof/>
                <w:sz w:val="20"/>
                <w:szCs w:val="20"/>
                <w:lang w:val="en-GB"/>
              </w:rPr>
            </w:pPr>
            <w:r w:rsidRPr="00E51CDD">
              <w:rPr>
                <w:noProof/>
                <w:sz w:val="20"/>
                <w:szCs w:val="20"/>
                <w:lang w:val="en-GB"/>
              </w:rPr>
              <w:t>&gt; 36.4</w:t>
            </w:r>
          </w:p>
        </w:tc>
      </w:tr>
    </w:tbl>
    <w:p w14:paraId="2ABE8AA9" w14:textId="77777777" w:rsidR="00E51CDD" w:rsidRPr="00E51CDD" w:rsidRDefault="00E51CDD" w:rsidP="00E51CDD">
      <w:pPr>
        <w:widowControl w:val="0"/>
        <w:tabs>
          <w:tab w:val="left" w:pos="0"/>
        </w:tabs>
        <w:rPr>
          <w:noProof/>
          <w:sz w:val="18"/>
          <w:szCs w:val="18"/>
          <w:lang w:val="en-GB"/>
        </w:rPr>
      </w:pPr>
      <w:r w:rsidRPr="00E51CDD">
        <w:rPr>
          <w:noProof/>
          <w:sz w:val="18"/>
          <w:szCs w:val="18"/>
          <w:lang w:val="en-GB"/>
        </w:rPr>
        <w:t xml:space="preserve">MAF: Multiple application factor; PER: Predicted environmental rate; TER: toxicity to exposure ratio. </w:t>
      </w:r>
    </w:p>
    <w:p w14:paraId="6ADA35D5" w14:textId="77777777" w:rsidR="00E51CDD" w:rsidRPr="00E51CDD" w:rsidRDefault="00E51CDD" w:rsidP="00E51CDD">
      <w:pPr>
        <w:widowControl w:val="0"/>
        <w:ind w:left="284" w:hanging="284"/>
        <w:jc w:val="both"/>
        <w:rPr>
          <w:sz w:val="18"/>
          <w:lang w:val="en-GB"/>
        </w:rPr>
      </w:pPr>
      <w:r w:rsidRPr="00E51CDD">
        <w:rPr>
          <w:sz w:val="18"/>
          <w:vertAlign w:val="superscript"/>
          <w:lang w:val="en-GB"/>
        </w:rPr>
        <w:t>1)</w:t>
      </w:r>
      <w:r w:rsidRPr="00E51CDD">
        <w:rPr>
          <w:sz w:val="18"/>
          <w:vertAlign w:val="superscript"/>
          <w:lang w:val="en-GB"/>
        </w:rPr>
        <w:tab/>
      </w:r>
      <w:r w:rsidRPr="00E51CDD">
        <w:rPr>
          <w:sz w:val="18"/>
          <w:lang w:val="en-GB"/>
        </w:rPr>
        <w:t>Worst case</w:t>
      </w:r>
      <w:r w:rsidRPr="00E51CDD">
        <w:rPr>
          <w:sz w:val="18"/>
          <w:vertAlign w:val="superscript"/>
          <w:lang w:val="en-GB"/>
        </w:rPr>
        <w:t xml:space="preserve"> </w:t>
      </w:r>
      <w:r w:rsidRPr="00E51CDD">
        <w:rPr>
          <w:sz w:val="18"/>
          <w:lang w:val="en-GB"/>
        </w:rPr>
        <w:t>endpoint derived from vegetative vigor and seedling emergence.</w:t>
      </w:r>
    </w:p>
    <w:p w14:paraId="50500E4F" w14:textId="77777777" w:rsidR="00E51CDD" w:rsidRPr="00E51CDD" w:rsidRDefault="00E51CDD" w:rsidP="00E51CDD">
      <w:pPr>
        <w:widowControl w:val="0"/>
        <w:jc w:val="both"/>
        <w:rPr>
          <w:lang w:val="en-GB"/>
        </w:rPr>
      </w:pPr>
    </w:p>
    <w:p w14:paraId="2A41D620" w14:textId="77777777" w:rsidR="00E51CDD" w:rsidRPr="00E51CDD" w:rsidRDefault="00E51CDD" w:rsidP="00E51CDD">
      <w:pPr>
        <w:widowControl w:val="0"/>
        <w:jc w:val="both"/>
        <w:rPr>
          <w:lang w:val="en-GB"/>
        </w:rPr>
      </w:pPr>
    </w:p>
    <w:p w14:paraId="3AC052E8" w14:textId="77777777" w:rsidR="00E51CDD" w:rsidRPr="00E51CDD" w:rsidRDefault="00E51CDD" w:rsidP="00B31542">
      <w:pPr>
        <w:pStyle w:val="Nagwek4"/>
      </w:pPr>
      <w:bookmarkStart w:id="988" w:name="_Toc125446463"/>
      <w:r w:rsidRPr="00E51CDD">
        <w:t>Higher-tier risk assessment</w:t>
      </w:r>
      <w:bookmarkEnd w:id="979"/>
      <w:bookmarkEnd w:id="980"/>
      <w:bookmarkEnd w:id="981"/>
      <w:bookmarkEnd w:id="982"/>
      <w:bookmarkEnd w:id="983"/>
      <w:bookmarkEnd w:id="984"/>
      <w:bookmarkEnd w:id="985"/>
      <w:bookmarkEnd w:id="986"/>
      <w:bookmarkEnd w:id="988"/>
    </w:p>
    <w:p w14:paraId="7F395A7B" w14:textId="77777777" w:rsidR="00E51CDD" w:rsidRPr="00E51CDD" w:rsidRDefault="00E51CDD" w:rsidP="00E51CDD">
      <w:pPr>
        <w:widowControl w:val="0"/>
        <w:jc w:val="both"/>
        <w:rPr>
          <w:lang w:val="en-GB"/>
        </w:rPr>
      </w:pPr>
      <w:r w:rsidRPr="00E51CDD">
        <w:rPr>
          <w:lang w:val="en-GB"/>
        </w:rPr>
        <w:t>Not relevant.</w:t>
      </w:r>
    </w:p>
    <w:p w14:paraId="56511678" w14:textId="77777777" w:rsidR="00E51CDD" w:rsidRPr="00E51CDD" w:rsidRDefault="00E51CDD" w:rsidP="00E51CDD">
      <w:pPr>
        <w:widowControl w:val="0"/>
        <w:jc w:val="both"/>
        <w:rPr>
          <w:lang w:val="en-GB"/>
        </w:rPr>
      </w:pPr>
    </w:p>
    <w:p w14:paraId="7FD7E81C" w14:textId="77777777" w:rsidR="00E51CDD" w:rsidRPr="00E51CDD" w:rsidRDefault="00E51CDD" w:rsidP="00B31542">
      <w:pPr>
        <w:pStyle w:val="Nagwek4"/>
      </w:pPr>
      <w:bookmarkStart w:id="989" w:name="_Toc412644038"/>
      <w:bookmarkStart w:id="990" w:name="_Toc413916882"/>
      <w:bookmarkStart w:id="991" w:name="_Toc413917024"/>
      <w:bookmarkStart w:id="992" w:name="_Toc413922085"/>
      <w:bookmarkStart w:id="993" w:name="_Toc413922574"/>
      <w:bookmarkStart w:id="994" w:name="_Toc413922678"/>
      <w:bookmarkStart w:id="995" w:name="_Toc414955315"/>
      <w:bookmarkStart w:id="996" w:name="_Toc415214622"/>
      <w:bookmarkStart w:id="997" w:name="_Toc125446464"/>
      <w:r w:rsidRPr="00E51CDD">
        <w:t>Risk mitigation measures</w:t>
      </w:r>
      <w:bookmarkEnd w:id="989"/>
      <w:bookmarkEnd w:id="990"/>
      <w:bookmarkEnd w:id="991"/>
      <w:bookmarkEnd w:id="992"/>
      <w:bookmarkEnd w:id="993"/>
      <w:bookmarkEnd w:id="994"/>
      <w:bookmarkEnd w:id="995"/>
      <w:bookmarkEnd w:id="996"/>
      <w:bookmarkEnd w:id="997"/>
    </w:p>
    <w:p w14:paraId="18F0774E" w14:textId="77777777" w:rsidR="00E51CDD" w:rsidRPr="00E51CDD" w:rsidRDefault="00E51CDD" w:rsidP="00E51CDD">
      <w:pPr>
        <w:widowControl w:val="0"/>
        <w:jc w:val="both"/>
        <w:rPr>
          <w:lang w:val="en-GB"/>
        </w:rPr>
      </w:pPr>
      <w:r w:rsidRPr="00E51CDD">
        <w:rPr>
          <w:lang w:val="en-GB"/>
        </w:rPr>
        <w:t>No risk mitigation needed.</w:t>
      </w:r>
    </w:p>
    <w:p w14:paraId="5C1DABFF" w14:textId="77777777" w:rsidR="00E51CDD" w:rsidRPr="00E51CDD" w:rsidRDefault="00E51CDD" w:rsidP="00E51CDD">
      <w:pPr>
        <w:widowControl w:val="0"/>
        <w:jc w:val="both"/>
        <w:rPr>
          <w:lang w:val="en-GB"/>
        </w:rPr>
      </w:pPr>
      <w:r w:rsidRPr="00E51CDD">
        <w:rPr>
          <w:lang w:val="en-GB"/>
        </w:rPr>
        <w:br w:type="page"/>
      </w:r>
    </w:p>
    <w:p w14:paraId="795C4C78" w14:textId="77777777" w:rsidR="00E51CDD" w:rsidRPr="00E51CDD" w:rsidRDefault="00E51CDD" w:rsidP="00B31542">
      <w:pPr>
        <w:pStyle w:val="Nagwek3"/>
      </w:pPr>
      <w:bookmarkStart w:id="998" w:name="_Toc412644039"/>
      <w:bookmarkStart w:id="999" w:name="_Toc413916883"/>
      <w:bookmarkStart w:id="1000" w:name="_Toc413917025"/>
      <w:bookmarkStart w:id="1001" w:name="_Toc413922086"/>
      <w:bookmarkStart w:id="1002" w:name="_Toc413922575"/>
      <w:bookmarkStart w:id="1003" w:name="_Toc413922679"/>
      <w:bookmarkStart w:id="1004" w:name="_Toc414955316"/>
      <w:bookmarkStart w:id="1005" w:name="_Toc415214623"/>
      <w:bookmarkStart w:id="1006" w:name="_Toc125446465"/>
      <w:r w:rsidRPr="00E51CDD">
        <w:lastRenderedPageBreak/>
        <w:t>Overall conclusions</w:t>
      </w:r>
      <w:bookmarkEnd w:id="998"/>
      <w:bookmarkEnd w:id="999"/>
      <w:bookmarkEnd w:id="1000"/>
      <w:bookmarkEnd w:id="1001"/>
      <w:bookmarkEnd w:id="1002"/>
      <w:bookmarkEnd w:id="1003"/>
      <w:bookmarkEnd w:id="1004"/>
      <w:bookmarkEnd w:id="1005"/>
      <w:bookmarkEnd w:id="1006"/>
    </w:p>
    <w:p w14:paraId="64EE9AF1" w14:textId="77777777" w:rsidR="00E51CDD" w:rsidRPr="00E51CDD" w:rsidRDefault="00E51CDD" w:rsidP="00E51CDD">
      <w:pPr>
        <w:jc w:val="both"/>
        <w:rPr>
          <w:b/>
          <w:bCs/>
          <w:lang w:eastAsia="en-US"/>
        </w:rPr>
      </w:pPr>
      <w:bookmarkStart w:id="1007" w:name="_Hlk83807505"/>
      <w:r w:rsidRPr="00E51CDD">
        <w:rPr>
          <w:b/>
          <w:lang w:eastAsia="en-US"/>
        </w:rPr>
        <w:t>Based on the risk assessment it can be concluded that BAS 736 00 F poses no unacceptable risk to non-target plants,</w:t>
      </w:r>
      <w:r w:rsidRPr="00E51CDD">
        <w:rPr>
          <w:b/>
          <w:bCs/>
          <w:lang w:eastAsia="en-US"/>
        </w:rPr>
        <w:t xml:space="preserve"> if applied according to the recommended use pattern</w:t>
      </w:r>
      <w:r w:rsidRPr="00E51CDD">
        <w:rPr>
          <w:b/>
          <w:lang w:eastAsia="en-US"/>
        </w:rPr>
        <w:t>. Particular precautions to reduce the environmental concentrations resulting from BAS 736 00 F applications are not required for the protection of terrestrial non-target plants.</w:t>
      </w:r>
      <w:bookmarkEnd w:id="1007"/>
    </w:p>
    <w:p w14:paraId="5E1E1CF0" w14:textId="78FABAB0" w:rsidR="00E51CDD" w:rsidRDefault="00E51CDD" w:rsidP="00E51CDD">
      <w:pPr>
        <w:pStyle w:val="StyleOECD-BASIS-TEXTLeft"/>
        <w:rPr>
          <w:sz w:val="22"/>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5"/>
      </w:tblGrid>
      <w:tr w:rsidR="0042510E" w:rsidRPr="00DD5DB0" w14:paraId="59D50D5A" w14:textId="77777777" w:rsidTr="00230125">
        <w:tc>
          <w:tcPr>
            <w:tcW w:w="5000" w:type="pct"/>
            <w:shd w:val="clear" w:color="auto" w:fill="D9D9D9"/>
          </w:tcPr>
          <w:p w14:paraId="2B56EB5C" w14:textId="77777777" w:rsidR="0042510E" w:rsidRPr="00F94BF1" w:rsidRDefault="0042510E" w:rsidP="0042510E">
            <w:pPr>
              <w:pStyle w:val="TableText"/>
              <w:spacing w:before="120" w:after="120"/>
              <w:jc w:val="both"/>
              <w:rPr>
                <w:b/>
                <w:bCs/>
                <w:sz w:val="22"/>
                <w:szCs w:val="22"/>
              </w:rPr>
            </w:pPr>
            <w:r w:rsidRPr="00F94BF1">
              <w:rPr>
                <w:b/>
                <w:bCs/>
                <w:sz w:val="22"/>
                <w:szCs w:val="22"/>
              </w:rPr>
              <w:t>Review Comments:</w:t>
            </w:r>
          </w:p>
          <w:p w14:paraId="408FE258" w14:textId="77777777" w:rsidR="0042510E" w:rsidRPr="00F94BF1" w:rsidRDefault="0042510E" w:rsidP="0042510E">
            <w:pPr>
              <w:pStyle w:val="OECD-BASIS-TEXT"/>
              <w:spacing w:before="120" w:after="120"/>
              <w:rPr>
                <w:sz w:val="22"/>
              </w:rPr>
            </w:pPr>
            <w:r w:rsidRPr="00F94BF1">
              <w:rPr>
                <w:sz w:val="22"/>
              </w:rPr>
              <w:t>The risk assessment is based on the “Guidance Document on Terrestrial Ecotoxicology”, (SANCO/10329/2002 rev.2 final, 2002).</w:t>
            </w:r>
          </w:p>
          <w:p w14:paraId="6AEB241B" w14:textId="37D2AF82" w:rsidR="0042510E" w:rsidRPr="000C6071" w:rsidRDefault="0042510E" w:rsidP="0042510E">
            <w:pPr>
              <w:pStyle w:val="OECD-BASIS-TEXT"/>
              <w:spacing w:before="120" w:after="120"/>
            </w:pPr>
            <w:r w:rsidRPr="00F94BF1">
              <w:rPr>
                <w:sz w:val="22"/>
              </w:rPr>
              <w:t>Based on the risk assessment it can be concluded that the proposed use of BAS 7</w:t>
            </w:r>
            <w:r>
              <w:rPr>
                <w:sz w:val="22"/>
              </w:rPr>
              <w:t>36</w:t>
            </w:r>
            <w:r w:rsidRPr="00F94BF1">
              <w:rPr>
                <w:sz w:val="22"/>
              </w:rPr>
              <w:t> 00 F poses no unacceptable risk to non-target plants,</w:t>
            </w:r>
            <w:r w:rsidRPr="00F94BF1">
              <w:rPr>
                <w:bCs/>
                <w:sz w:val="22"/>
              </w:rPr>
              <w:t xml:space="preserve"> if applied according to the recommended use pattern</w:t>
            </w:r>
            <w:r w:rsidRPr="00F94BF1">
              <w:rPr>
                <w:sz w:val="22"/>
              </w:rPr>
              <w:t>. Particular precautions to reduce the environmental concentrations resulting from BAS 7</w:t>
            </w:r>
            <w:r>
              <w:rPr>
                <w:sz w:val="22"/>
              </w:rPr>
              <w:t>36</w:t>
            </w:r>
            <w:r w:rsidRPr="00F94BF1">
              <w:rPr>
                <w:sz w:val="22"/>
              </w:rPr>
              <w:t> 00 F applications are not required.</w:t>
            </w:r>
            <w:r>
              <w:t xml:space="preserve"> </w:t>
            </w:r>
          </w:p>
        </w:tc>
      </w:tr>
    </w:tbl>
    <w:p w14:paraId="320D925E" w14:textId="77777777" w:rsidR="008F6587" w:rsidRDefault="008F6587" w:rsidP="00E51CDD">
      <w:pPr>
        <w:pStyle w:val="StyleOECD-BASIS-TEXTLeft"/>
        <w:rPr>
          <w:sz w:val="22"/>
          <w:lang w:val="en-US"/>
        </w:rPr>
      </w:pPr>
    </w:p>
    <w:p w14:paraId="45D8D91D" w14:textId="2B0E0C05" w:rsidR="009938D9" w:rsidRDefault="009938D9" w:rsidP="00E51CDD">
      <w:pPr>
        <w:pStyle w:val="StyleOECD-BASIS-TEXTLeft"/>
        <w:rPr>
          <w:sz w:val="22"/>
          <w:lang w:val="en-US"/>
        </w:rPr>
      </w:pPr>
    </w:p>
    <w:p w14:paraId="54EFF787" w14:textId="77777777" w:rsidR="009938D9" w:rsidRDefault="009938D9" w:rsidP="00E51CDD">
      <w:pPr>
        <w:pStyle w:val="StyleOECD-BASIS-TEXTLeft"/>
        <w:rPr>
          <w:sz w:val="22"/>
          <w:lang w:val="en-US"/>
        </w:rPr>
      </w:pPr>
    </w:p>
    <w:p w14:paraId="4448F921" w14:textId="77777777" w:rsidR="00E51CDD" w:rsidRDefault="00E51CDD" w:rsidP="00E51CDD">
      <w:pPr>
        <w:pStyle w:val="Nagwek2"/>
      </w:pPr>
      <w:bookmarkStart w:id="1008" w:name="_Toc399487296"/>
      <w:bookmarkStart w:id="1009" w:name="_Ref405399810"/>
      <w:bookmarkStart w:id="1010" w:name="_Toc412644040"/>
      <w:bookmarkStart w:id="1011" w:name="_Toc413916884"/>
      <w:bookmarkStart w:id="1012" w:name="_Toc413917026"/>
      <w:bookmarkStart w:id="1013" w:name="_Toc413922087"/>
      <w:bookmarkStart w:id="1014" w:name="_Toc413922576"/>
      <w:bookmarkStart w:id="1015" w:name="_Toc413922680"/>
      <w:bookmarkStart w:id="1016" w:name="_Toc414955317"/>
      <w:bookmarkStart w:id="1017" w:name="_Toc415214624"/>
      <w:bookmarkStart w:id="1018" w:name="_Toc125446466"/>
      <w:r w:rsidRPr="002B1114">
        <w:t>Effects on other terrestrial organisms (flora and fauna) (KCP 10.7)</w:t>
      </w:r>
      <w:bookmarkEnd w:id="1008"/>
      <w:bookmarkEnd w:id="1009"/>
      <w:bookmarkEnd w:id="1010"/>
      <w:bookmarkEnd w:id="1011"/>
      <w:bookmarkEnd w:id="1012"/>
      <w:bookmarkEnd w:id="1013"/>
      <w:bookmarkEnd w:id="1014"/>
      <w:bookmarkEnd w:id="1015"/>
      <w:bookmarkEnd w:id="1016"/>
      <w:bookmarkEnd w:id="1017"/>
      <w:bookmarkEnd w:id="1018"/>
    </w:p>
    <w:p w14:paraId="3E8A4DF1" w14:textId="77777777" w:rsidR="00E51CDD" w:rsidRDefault="00E51CDD" w:rsidP="00E51CDD">
      <w:pPr>
        <w:pStyle w:val="StyleOECD-BASIS-TEXTLeft"/>
        <w:rPr>
          <w:sz w:val="22"/>
          <w:lang w:val="en-US"/>
        </w:rPr>
      </w:pPr>
      <w:r>
        <w:rPr>
          <w:sz w:val="22"/>
          <w:lang w:val="en-US"/>
        </w:rPr>
        <w:t>Not relevant.</w:t>
      </w:r>
    </w:p>
    <w:p w14:paraId="5ADCE00E" w14:textId="77777777" w:rsidR="00E51CDD" w:rsidRDefault="00E51CDD" w:rsidP="00E51CDD">
      <w:pPr>
        <w:pStyle w:val="RepStandard"/>
        <w:rPr>
          <w:lang w:val="en-US"/>
        </w:rPr>
      </w:pPr>
    </w:p>
    <w:p w14:paraId="7CD43605" w14:textId="77777777" w:rsidR="00E51CDD" w:rsidRDefault="00E51CDD" w:rsidP="00E51CDD">
      <w:pPr>
        <w:pStyle w:val="StyleOECD-BASIS-TEXTLeft"/>
        <w:rPr>
          <w:sz w:val="22"/>
          <w:lang w:val="en-US"/>
        </w:rPr>
      </w:pPr>
    </w:p>
    <w:p w14:paraId="74295660" w14:textId="77777777" w:rsidR="00E51CDD" w:rsidRDefault="00E51CDD" w:rsidP="00E51CDD">
      <w:pPr>
        <w:pStyle w:val="Nagwek2"/>
      </w:pPr>
      <w:bookmarkStart w:id="1019" w:name="_Toc399487297"/>
      <w:bookmarkStart w:id="1020" w:name="_Toc412644041"/>
      <w:bookmarkStart w:id="1021" w:name="_Toc413916885"/>
      <w:bookmarkStart w:id="1022" w:name="_Toc413917027"/>
      <w:bookmarkStart w:id="1023" w:name="_Toc413922088"/>
      <w:bookmarkStart w:id="1024" w:name="_Toc413922577"/>
      <w:bookmarkStart w:id="1025" w:name="_Toc413922681"/>
      <w:bookmarkStart w:id="1026" w:name="_Toc414955318"/>
      <w:bookmarkStart w:id="1027" w:name="_Toc415214625"/>
      <w:bookmarkStart w:id="1028" w:name="_Toc125446467"/>
      <w:r w:rsidRPr="002B1114">
        <w:t>Monitoring data (KCP 10.8)</w:t>
      </w:r>
      <w:bookmarkEnd w:id="1019"/>
      <w:bookmarkEnd w:id="1020"/>
      <w:bookmarkEnd w:id="1021"/>
      <w:bookmarkEnd w:id="1022"/>
      <w:bookmarkEnd w:id="1023"/>
      <w:bookmarkEnd w:id="1024"/>
      <w:bookmarkEnd w:id="1025"/>
      <w:bookmarkEnd w:id="1026"/>
      <w:bookmarkEnd w:id="1027"/>
      <w:bookmarkEnd w:id="1028"/>
    </w:p>
    <w:p w14:paraId="70E384C0" w14:textId="77777777" w:rsidR="00E51CDD" w:rsidRDefault="00E51CDD" w:rsidP="00E51CDD">
      <w:pPr>
        <w:widowControl w:val="0"/>
        <w:suppressAutoHyphens/>
        <w:jc w:val="both"/>
        <w:rPr>
          <w:lang w:val="en-GB"/>
        </w:rPr>
      </w:pPr>
      <w:r>
        <w:rPr>
          <w:lang w:val="en-GB"/>
        </w:rPr>
        <w:t>According to the knowledge of the applicant, there are currently no monitoring studies available which assess ecotoxicological effects of BAS 736 00 F or of the active substances.</w:t>
      </w:r>
    </w:p>
    <w:p w14:paraId="6368BEE5" w14:textId="77777777" w:rsidR="00E51CDD" w:rsidRDefault="00E51CDD" w:rsidP="00E51CDD">
      <w:pPr>
        <w:pStyle w:val="RepStandard"/>
      </w:pPr>
    </w:p>
    <w:p w14:paraId="44704EDA" w14:textId="77777777" w:rsidR="00E51CDD" w:rsidRDefault="00E51CDD" w:rsidP="00E51CDD">
      <w:pPr>
        <w:pStyle w:val="StyleOECD-BASIS-TEXTLeft"/>
        <w:rPr>
          <w:sz w:val="22"/>
          <w:lang w:val="en-US"/>
        </w:rPr>
      </w:pPr>
    </w:p>
    <w:bookmarkEnd w:id="947"/>
    <w:p w14:paraId="7C20969F" w14:textId="77777777" w:rsidR="00E51CDD" w:rsidRDefault="00E51CDD" w:rsidP="00CE08CB">
      <w:pPr>
        <w:pStyle w:val="StyleOECD-BASIS-TEXTLeft"/>
        <w:rPr>
          <w:sz w:val="22"/>
          <w:lang w:val="en-US"/>
        </w:rPr>
        <w:sectPr w:rsidR="00E51CDD" w:rsidSect="009938D9">
          <w:headerReference w:type="even" r:id="rId53"/>
          <w:footerReference w:type="even" r:id="rId54"/>
          <w:headerReference w:type="first" r:id="rId55"/>
          <w:footerReference w:type="first" r:id="rId56"/>
          <w:pgSz w:w="11907" w:h="16840" w:code="9"/>
          <w:pgMar w:top="1418" w:right="1134" w:bottom="1418" w:left="1418" w:header="709" w:footer="709" w:gutter="0"/>
          <w:cols w:space="720"/>
        </w:sectPr>
      </w:pPr>
    </w:p>
    <w:p w14:paraId="090D5FA9" w14:textId="77777777" w:rsidR="00E51CDD" w:rsidRDefault="00E51CDD" w:rsidP="00E51CDD">
      <w:pPr>
        <w:pStyle w:val="StyleOECD-BASIS-TEXTLeft"/>
        <w:rPr>
          <w:sz w:val="22"/>
          <w:lang w:val="en-US"/>
        </w:rPr>
      </w:pPr>
    </w:p>
    <w:p w14:paraId="611B96D5" w14:textId="77777777" w:rsidR="00E51CDD" w:rsidRPr="002B1114" w:rsidRDefault="00E51CDD" w:rsidP="00E51CDD">
      <w:pPr>
        <w:pStyle w:val="Nagwek2"/>
      </w:pPr>
      <w:bookmarkStart w:id="1029" w:name="_Toc399487301"/>
      <w:bookmarkStart w:id="1030" w:name="_Toc412644042"/>
      <w:bookmarkStart w:id="1031" w:name="_Toc413916886"/>
      <w:bookmarkStart w:id="1032" w:name="_Toc413917028"/>
      <w:bookmarkStart w:id="1033" w:name="_Toc413922089"/>
      <w:bookmarkStart w:id="1034" w:name="_Toc413922578"/>
      <w:bookmarkStart w:id="1035" w:name="_Toc413922682"/>
      <w:bookmarkStart w:id="1036" w:name="_Toc414955319"/>
      <w:bookmarkStart w:id="1037" w:name="_Toc415214626"/>
      <w:bookmarkStart w:id="1038" w:name="_Toc443473281"/>
      <w:bookmarkStart w:id="1039" w:name="_Toc125446468"/>
      <w:r w:rsidRPr="002B1114">
        <w:t>Classification and Labelling</w:t>
      </w:r>
      <w:bookmarkEnd w:id="1029"/>
      <w:bookmarkEnd w:id="1030"/>
      <w:bookmarkEnd w:id="1031"/>
      <w:bookmarkEnd w:id="1032"/>
      <w:bookmarkEnd w:id="1033"/>
      <w:bookmarkEnd w:id="1034"/>
      <w:bookmarkEnd w:id="1035"/>
      <w:bookmarkEnd w:id="1036"/>
      <w:bookmarkEnd w:id="1037"/>
      <w:bookmarkEnd w:id="1038"/>
      <w:bookmarkEnd w:id="1039"/>
    </w:p>
    <w:p w14:paraId="2733FF0D" w14:textId="77777777" w:rsidR="00E51CDD" w:rsidRPr="001E209C" w:rsidRDefault="00E51CDD" w:rsidP="00E51CDD">
      <w:pPr>
        <w:spacing w:line="280" w:lineRule="exact"/>
        <w:jc w:val="both"/>
      </w:pPr>
      <w:bookmarkStart w:id="1040" w:name="_Hlk497383060"/>
      <w:bookmarkStart w:id="1041" w:name="_Hlk57886202"/>
      <w:r w:rsidRPr="001E209C">
        <w:rPr>
          <w:bCs/>
        </w:rPr>
        <w:t xml:space="preserve">According to (EC) No 1272/2008 (CLP) plant protection products must be classified </w:t>
      </w:r>
      <w:r w:rsidRPr="001E209C">
        <w:t xml:space="preserve">for their environmental hazard (acute and chronic). </w:t>
      </w:r>
      <w:r w:rsidRPr="001E209C">
        <w:rPr>
          <w:bCs/>
        </w:rPr>
        <w:t xml:space="preserve">Classification is based on acute and chronic product data if adequate data is available. </w:t>
      </w:r>
      <w:bookmarkStart w:id="1042" w:name="_Hlk31698433"/>
      <w:r w:rsidRPr="001E209C">
        <w:t xml:space="preserve">When sufficient product </w:t>
      </w:r>
      <w:r w:rsidRPr="001E209C">
        <w:rPr>
          <w:bCs/>
        </w:rPr>
        <w:t>data is not available, the summation method is carried out instead.</w:t>
      </w:r>
    </w:p>
    <w:bookmarkEnd w:id="1042"/>
    <w:p w14:paraId="10CC5830" w14:textId="77777777" w:rsidR="00E51CDD" w:rsidRPr="001E209C" w:rsidRDefault="00E51CDD" w:rsidP="00E51CDD">
      <w:pPr>
        <w:pStyle w:val="Akapitzlist"/>
        <w:spacing w:line="280" w:lineRule="exact"/>
        <w:ind w:left="0"/>
        <w:contextualSpacing/>
        <w:jc w:val="both"/>
        <w:rPr>
          <w:bCs/>
        </w:rPr>
      </w:pPr>
    </w:p>
    <w:p w14:paraId="0A5FE156" w14:textId="369B9C3C" w:rsidR="00E51CDD" w:rsidRPr="001E209C" w:rsidRDefault="00E51CDD" w:rsidP="00E51CDD">
      <w:pPr>
        <w:suppressAutoHyphens/>
        <w:spacing w:line="280" w:lineRule="exact"/>
        <w:jc w:val="both"/>
        <w:rPr>
          <w:bCs/>
        </w:rPr>
      </w:pPr>
      <w:r w:rsidRPr="001E209C">
        <w:rPr>
          <w:bCs/>
        </w:rPr>
        <w:t xml:space="preserve">For the product </w:t>
      </w:r>
      <w:r>
        <w:rPr>
          <w:bCs/>
        </w:rPr>
        <w:t>BAS 736 00 F</w:t>
      </w:r>
      <w:r w:rsidRPr="001E209C">
        <w:rPr>
          <w:bCs/>
        </w:rPr>
        <w:t xml:space="preserve"> acute data (LC/EC</w:t>
      </w:r>
      <w:r w:rsidRPr="001E209C">
        <w:rPr>
          <w:bCs/>
          <w:vertAlign w:val="subscript"/>
        </w:rPr>
        <w:t>50</w:t>
      </w:r>
      <w:r w:rsidRPr="001E209C">
        <w:rPr>
          <w:bCs/>
        </w:rPr>
        <w:t>) are available for all trophic levels. Regarding chronic toxicity, adequate data are only available for algae, thus chronic classification will be based on the summation method using data on the active substance</w:t>
      </w:r>
      <w:r>
        <w:rPr>
          <w:bCs/>
        </w:rPr>
        <w:t>s</w:t>
      </w:r>
      <w:r w:rsidRPr="001E209C">
        <w:rPr>
          <w:bCs/>
        </w:rPr>
        <w:t xml:space="preserve">. </w:t>
      </w:r>
      <w:bookmarkStart w:id="1043" w:name="_Hlk88573392"/>
      <w:bookmarkStart w:id="1044" w:name="_Hlk88573161"/>
      <w:r w:rsidR="00FD6A45">
        <w:rPr>
          <w:bCs/>
        </w:rPr>
        <w:t>A</w:t>
      </w:r>
      <w:r w:rsidR="00FD6A45" w:rsidRPr="001E209C">
        <w:rPr>
          <w:bCs/>
        </w:rPr>
        <w:t>ccording to Annex VI of (EC) No 1272/2008 (CLP)</w:t>
      </w:r>
      <w:r w:rsidR="00FD6A45">
        <w:rPr>
          <w:bCs/>
        </w:rPr>
        <w:t>, t</w:t>
      </w:r>
      <w:r w:rsidRPr="001E209C">
        <w:rPr>
          <w:bCs/>
        </w:rPr>
        <w:t xml:space="preserve">he </w:t>
      </w:r>
      <w:r w:rsidR="00FD6A45">
        <w:rPr>
          <w:bCs/>
        </w:rPr>
        <w:t xml:space="preserve">relevant </w:t>
      </w:r>
      <w:r>
        <w:rPr>
          <w:bCs/>
        </w:rPr>
        <w:t xml:space="preserve">chronic classification of </w:t>
      </w:r>
      <w:r w:rsidRPr="001E209C">
        <w:rPr>
          <w:bCs/>
        </w:rPr>
        <w:t xml:space="preserve">active substance </w:t>
      </w:r>
      <w:r w:rsidR="00FD6A45">
        <w:rPr>
          <w:bCs/>
        </w:rPr>
        <w:t>fluxapyroxad</w:t>
      </w:r>
      <w:r>
        <w:rPr>
          <w:bCs/>
        </w:rPr>
        <w:t xml:space="preserve"> is H410 (M=1) </w:t>
      </w:r>
      <w:r w:rsidR="00FD6A45">
        <w:rPr>
          <w:bCs/>
        </w:rPr>
        <w:t xml:space="preserve">and the relevant chronic </w:t>
      </w:r>
      <w:r>
        <w:rPr>
          <w:bCs/>
        </w:rPr>
        <w:t xml:space="preserve">classification of azoxystrobin </w:t>
      </w:r>
      <w:r w:rsidRPr="001E209C">
        <w:rPr>
          <w:bCs/>
        </w:rPr>
        <w:t>is H410 (</w:t>
      </w:r>
      <w:r>
        <w:rPr>
          <w:bCs/>
        </w:rPr>
        <w:t>M=10</w:t>
      </w:r>
      <w:r w:rsidRPr="001E209C">
        <w:rPr>
          <w:bCs/>
        </w:rPr>
        <w:t>).</w:t>
      </w:r>
      <w:bookmarkEnd w:id="1043"/>
      <w:r w:rsidRPr="001E209C">
        <w:rPr>
          <w:bCs/>
        </w:rPr>
        <w:t xml:space="preserve"> </w:t>
      </w:r>
      <w:bookmarkEnd w:id="1044"/>
      <w:r w:rsidRPr="003141BE">
        <w:rPr>
          <w:bCs/>
          <w:highlight w:val="yellow"/>
        </w:rPr>
        <w:fldChar w:fldCharType="begin"/>
      </w:r>
      <w:r w:rsidRPr="001E209C">
        <w:rPr>
          <w:bCs/>
        </w:rPr>
        <w:instrText xml:space="preserve"> REF _Ref434840246 \h </w:instrText>
      </w:r>
      <w:r w:rsidRPr="001E209C">
        <w:rPr>
          <w:bCs/>
          <w:highlight w:val="yellow"/>
        </w:rPr>
        <w:instrText xml:space="preserve"> \* MERGEFORMAT </w:instrText>
      </w:r>
      <w:r w:rsidRPr="003141BE">
        <w:rPr>
          <w:bCs/>
          <w:highlight w:val="yellow"/>
        </w:rPr>
      </w:r>
      <w:r w:rsidRPr="003141BE">
        <w:rPr>
          <w:bCs/>
          <w:highlight w:val="yellow"/>
        </w:rPr>
        <w:fldChar w:fldCharType="separate"/>
      </w:r>
      <w:r w:rsidR="00662F32" w:rsidRPr="00662F32">
        <w:t>Table 9.13</w:t>
      </w:r>
      <w:r w:rsidR="00662F32" w:rsidRPr="00662F32">
        <w:noBreakHyphen/>
        <w:t>1</w:t>
      </w:r>
      <w:r w:rsidRPr="003141BE">
        <w:rPr>
          <w:bCs/>
          <w:highlight w:val="yellow"/>
        </w:rPr>
        <w:fldChar w:fldCharType="end"/>
      </w:r>
      <w:r w:rsidRPr="001E209C">
        <w:rPr>
          <w:bCs/>
        </w:rPr>
        <w:t xml:space="preserve"> shows the relevant data for classification purposes. </w:t>
      </w:r>
    </w:p>
    <w:p w14:paraId="1B54670D" w14:textId="77777777" w:rsidR="00E51CDD" w:rsidRPr="001E209C" w:rsidRDefault="00E51CDD" w:rsidP="00E51CDD">
      <w:pPr>
        <w:spacing w:line="280" w:lineRule="exact"/>
        <w:jc w:val="both"/>
        <w:rPr>
          <w:bCs/>
          <w:highlight w:val="yellow"/>
        </w:rPr>
      </w:pPr>
    </w:p>
    <w:p w14:paraId="10022A27" w14:textId="7EBFBDCF" w:rsidR="00E51CDD" w:rsidRPr="00681562" w:rsidRDefault="00E51CDD" w:rsidP="00E51CDD">
      <w:pPr>
        <w:keepNext/>
        <w:keepLines/>
        <w:widowControl w:val="0"/>
        <w:tabs>
          <w:tab w:val="left" w:pos="1985"/>
        </w:tabs>
        <w:spacing w:before="200" w:after="120"/>
        <w:ind w:left="1985" w:hanging="1985"/>
        <w:jc w:val="both"/>
        <w:rPr>
          <w:b/>
          <w:bCs/>
          <w:lang w:val="en-GB"/>
        </w:rPr>
      </w:pPr>
      <w:bookmarkStart w:id="1045" w:name="_Ref434840246"/>
      <w:r w:rsidRPr="00681562">
        <w:rPr>
          <w:b/>
          <w:bCs/>
          <w:lang w:val="en-GB"/>
        </w:rPr>
        <w:t xml:space="preserve">Table </w:t>
      </w:r>
      <w:r w:rsidRPr="00681562">
        <w:rPr>
          <w:b/>
          <w:bCs/>
          <w:lang w:val="en-GB"/>
        </w:rPr>
        <w:fldChar w:fldCharType="begin"/>
      </w:r>
      <w:r w:rsidRPr="00681562">
        <w:rPr>
          <w:b/>
          <w:bCs/>
          <w:lang w:val="en-GB"/>
        </w:rPr>
        <w:instrText xml:space="preserve"> STYLEREF 2 \s </w:instrText>
      </w:r>
      <w:r w:rsidRPr="00681562">
        <w:rPr>
          <w:b/>
          <w:bCs/>
          <w:lang w:val="en-GB"/>
        </w:rPr>
        <w:fldChar w:fldCharType="separate"/>
      </w:r>
      <w:r w:rsidR="00662F32">
        <w:rPr>
          <w:b/>
          <w:bCs/>
          <w:noProof/>
          <w:lang w:val="en-GB"/>
        </w:rPr>
        <w:t>9.13</w:t>
      </w:r>
      <w:r w:rsidRPr="00681562">
        <w:rPr>
          <w:b/>
          <w:bCs/>
          <w:noProof/>
          <w:lang w:val="en-GB"/>
        </w:rPr>
        <w:fldChar w:fldCharType="end"/>
      </w:r>
      <w:r w:rsidRPr="00681562">
        <w:rPr>
          <w:b/>
          <w:bCs/>
          <w:lang w:val="en-GB"/>
        </w:rPr>
        <w:noBreakHyphen/>
      </w:r>
      <w:r w:rsidRPr="00681562">
        <w:rPr>
          <w:b/>
          <w:bCs/>
          <w:lang w:val="en-GB"/>
        </w:rPr>
        <w:fldChar w:fldCharType="begin"/>
      </w:r>
      <w:r w:rsidRPr="00681562">
        <w:rPr>
          <w:b/>
          <w:bCs/>
          <w:lang w:val="en-GB"/>
        </w:rPr>
        <w:instrText xml:space="preserve"> SEQ Table \* ARABIC \s 2 </w:instrText>
      </w:r>
      <w:r w:rsidRPr="00681562">
        <w:rPr>
          <w:b/>
          <w:bCs/>
          <w:lang w:val="en-GB"/>
        </w:rPr>
        <w:fldChar w:fldCharType="separate"/>
      </w:r>
      <w:r w:rsidR="00662F32">
        <w:rPr>
          <w:b/>
          <w:bCs/>
          <w:noProof/>
          <w:lang w:val="en-GB"/>
        </w:rPr>
        <w:t>1</w:t>
      </w:r>
      <w:r w:rsidRPr="00681562">
        <w:rPr>
          <w:b/>
          <w:bCs/>
          <w:noProof/>
          <w:lang w:val="en-GB"/>
        </w:rPr>
        <w:fldChar w:fldCharType="end"/>
      </w:r>
      <w:bookmarkEnd w:id="1045"/>
      <w:r w:rsidRPr="00681562">
        <w:rPr>
          <w:b/>
          <w:bCs/>
          <w:lang w:val="en-GB"/>
        </w:rPr>
        <w:t>:</w:t>
      </w:r>
      <w:r w:rsidRPr="00681562">
        <w:rPr>
          <w:b/>
          <w:bCs/>
          <w:lang w:val="en-GB"/>
        </w:rPr>
        <w:tab/>
        <w:t xml:space="preserve">Ecotoxicology/Environment data relevant for </w:t>
      </w:r>
      <w:r>
        <w:rPr>
          <w:b/>
          <w:bCs/>
          <w:lang w:val="en-GB"/>
        </w:rPr>
        <w:t>c</w:t>
      </w:r>
      <w:r w:rsidRPr="00681562">
        <w:rPr>
          <w:b/>
          <w:bCs/>
          <w:lang w:val="en-GB"/>
        </w:rPr>
        <w:t xml:space="preserve">lassification of </w:t>
      </w:r>
      <w:r>
        <w:rPr>
          <w:b/>
          <w:bCs/>
        </w:rPr>
        <w:t>BAS 736 00 F</w:t>
      </w:r>
    </w:p>
    <w:tbl>
      <w:tblPr>
        <w:tblW w:w="5046" w:type="pct"/>
        <w:tblInd w:w="-1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000" w:firstRow="0" w:lastRow="0" w:firstColumn="0" w:lastColumn="0" w:noHBand="0" w:noVBand="0"/>
      </w:tblPr>
      <w:tblGrid>
        <w:gridCol w:w="1696"/>
        <w:gridCol w:w="23"/>
        <w:gridCol w:w="1667"/>
        <w:gridCol w:w="11"/>
        <w:gridCol w:w="2262"/>
        <w:gridCol w:w="1890"/>
        <w:gridCol w:w="13"/>
        <w:gridCol w:w="1869"/>
      </w:tblGrid>
      <w:tr w:rsidR="00E51CDD" w:rsidRPr="00681562" w14:paraId="354E42FC" w14:textId="77777777" w:rsidTr="009938D9">
        <w:trPr>
          <w:cantSplit/>
          <w:tblHeader/>
        </w:trPr>
        <w:tc>
          <w:tcPr>
            <w:tcW w:w="899" w:type="pct"/>
            <w:tcBorders>
              <w:top w:val="single" w:sz="4" w:space="0" w:color="auto"/>
              <w:left w:val="single" w:sz="4" w:space="0" w:color="auto"/>
              <w:bottom w:val="single" w:sz="4" w:space="0" w:color="auto"/>
              <w:right w:val="single" w:sz="4" w:space="0" w:color="auto"/>
            </w:tcBorders>
            <w:vAlign w:val="center"/>
          </w:tcPr>
          <w:p w14:paraId="3E17D822" w14:textId="77777777" w:rsidR="00E51CDD" w:rsidRPr="00681562" w:rsidRDefault="00E51CDD" w:rsidP="009938D9">
            <w:pPr>
              <w:spacing w:before="40" w:after="40"/>
              <w:rPr>
                <w:b/>
                <w:bCs/>
                <w:sz w:val="20"/>
                <w:szCs w:val="20"/>
              </w:rPr>
            </w:pPr>
            <w:r w:rsidRPr="00681562">
              <w:rPr>
                <w:b/>
                <w:bCs/>
                <w:sz w:val="20"/>
                <w:szCs w:val="20"/>
              </w:rPr>
              <w:t>Substance tested</w:t>
            </w:r>
          </w:p>
        </w:tc>
        <w:tc>
          <w:tcPr>
            <w:tcW w:w="896" w:type="pct"/>
            <w:gridSpan w:val="2"/>
            <w:tcBorders>
              <w:top w:val="single" w:sz="4" w:space="0" w:color="auto"/>
              <w:left w:val="single" w:sz="4" w:space="0" w:color="auto"/>
              <w:bottom w:val="single" w:sz="4" w:space="0" w:color="auto"/>
            </w:tcBorders>
            <w:vAlign w:val="center"/>
          </w:tcPr>
          <w:p w14:paraId="33CB7282" w14:textId="77777777" w:rsidR="00E51CDD" w:rsidRPr="00681562" w:rsidRDefault="00E51CDD" w:rsidP="009938D9">
            <w:pPr>
              <w:spacing w:before="40" w:after="40"/>
              <w:rPr>
                <w:b/>
                <w:bCs/>
                <w:sz w:val="20"/>
                <w:szCs w:val="20"/>
              </w:rPr>
            </w:pPr>
            <w:r w:rsidRPr="00681562">
              <w:rPr>
                <w:b/>
                <w:bCs/>
                <w:sz w:val="20"/>
                <w:szCs w:val="20"/>
              </w:rPr>
              <w:t>Study Type</w:t>
            </w:r>
          </w:p>
          <w:p w14:paraId="1EF4BD1F" w14:textId="77777777" w:rsidR="00E51CDD" w:rsidRPr="00681562" w:rsidRDefault="00E51CDD" w:rsidP="009938D9">
            <w:pPr>
              <w:spacing w:before="40" w:after="40"/>
              <w:rPr>
                <w:b/>
                <w:bCs/>
                <w:sz w:val="20"/>
                <w:szCs w:val="20"/>
              </w:rPr>
            </w:pPr>
            <w:r w:rsidRPr="00681562">
              <w:rPr>
                <w:b/>
                <w:bCs/>
                <w:sz w:val="20"/>
                <w:szCs w:val="20"/>
              </w:rPr>
              <w:t>(duration)</w:t>
            </w:r>
          </w:p>
        </w:tc>
        <w:tc>
          <w:tcPr>
            <w:tcW w:w="1205" w:type="pct"/>
            <w:gridSpan w:val="2"/>
            <w:tcBorders>
              <w:top w:val="single" w:sz="4" w:space="0" w:color="auto"/>
              <w:bottom w:val="single" w:sz="4" w:space="0" w:color="auto"/>
            </w:tcBorders>
            <w:vAlign w:val="center"/>
          </w:tcPr>
          <w:p w14:paraId="2E080436" w14:textId="77777777" w:rsidR="00E51CDD" w:rsidRPr="00681562" w:rsidRDefault="00E51CDD" w:rsidP="009938D9">
            <w:pPr>
              <w:keepNext/>
              <w:rPr>
                <w:b/>
                <w:sz w:val="20"/>
                <w:szCs w:val="20"/>
              </w:rPr>
            </w:pPr>
            <w:r w:rsidRPr="00681562">
              <w:rPr>
                <w:b/>
                <w:sz w:val="20"/>
                <w:szCs w:val="20"/>
              </w:rPr>
              <w:t>Findings</w:t>
            </w:r>
          </w:p>
        </w:tc>
        <w:tc>
          <w:tcPr>
            <w:tcW w:w="1009" w:type="pct"/>
            <w:gridSpan w:val="2"/>
            <w:tcBorders>
              <w:top w:val="single" w:sz="4" w:space="0" w:color="auto"/>
              <w:bottom w:val="single" w:sz="4" w:space="0" w:color="auto"/>
            </w:tcBorders>
            <w:vAlign w:val="center"/>
          </w:tcPr>
          <w:p w14:paraId="04965D11" w14:textId="77777777" w:rsidR="00E51CDD" w:rsidRPr="00681562" w:rsidRDefault="00E51CDD" w:rsidP="009938D9">
            <w:pPr>
              <w:spacing w:before="40" w:after="40"/>
              <w:rPr>
                <w:b/>
                <w:bCs/>
                <w:sz w:val="20"/>
                <w:szCs w:val="20"/>
              </w:rPr>
            </w:pPr>
            <w:r w:rsidRPr="00681562">
              <w:rPr>
                <w:b/>
                <w:bCs/>
                <w:sz w:val="20"/>
                <w:szCs w:val="20"/>
              </w:rPr>
              <w:t>Triggered classification and labelling</w:t>
            </w:r>
          </w:p>
        </w:tc>
        <w:tc>
          <w:tcPr>
            <w:tcW w:w="991" w:type="pct"/>
            <w:tcBorders>
              <w:top w:val="single" w:sz="4" w:space="0" w:color="auto"/>
              <w:bottom w:val="single" w:sz="4" w:space="0" w:color="auto"/>
              <w:right w:val="single" w:sz="4" w:space="0" w:color="auto"/>
            </w:tcBorders>
            <w:vAlign w:val="center"/>
          </w:tcPr>
          <w:p w14:paraId="177D19AA" w14:textId="77777777" w:rsidR="00E51CDD" w:rsidRPr="00681562" w:rsidRDefault="00E51CDD" w:rsidP="009938D9">
            <w:pPr>
              <w:spacing w:before="40" w:after="40"/>
              <w:rPr>
                <w:b/>
                <w:bCs/>
                <w:sz w:val="20"/>
                <w:szCs w:val="20"/>
              </w:rPr>
            </w:pPr>
            <w:r w:rsidRPr="00681562">
              <w:rPr>
                <w:b/>
                <w:bCs/>
                <w:sz w:val="20"/>
                <w:szCs w:val="20"/>
              </w:rPr>
              <w:t>Reference</w:t>
            </w:r>
          </w:p>
        </w:tc>
      </w:tr>
      <w:tr w:rsidR="00E51CDD" w:rsidRPr="001E209C" w14:paraId="5CB0FCE3" w14:textId="77777777" w:rsidTr="009938D9">
        <w:trPr>
          <w:cantSplit/>
          <w:tblHeader/>
        </w:trPr>
        <w:tc>
          <w:tcPr>
            <w:tcW w:w="5000" w:type="pct"/>
            <w:gridSpan w:val="8"/>
            <w:tcBorders>
              <w:top w:val="single" w:sz="4" w:space="0" w:color="auto"/>
              <w:left w:val="single" w:sz="4" w:space="0" w:color="auto"/>
              <w:right w:val="single" w:sz="4" w:space="0" w:color="auto"/>
            </w:tcBorders>
            <w:vAlign w:val="center"/>
          </w:tcPr>
          <w:p w14:paraId="166C882E" w14:textId="55E8C621" w:rsidR="00E51CDD" w:rsidRPr="001E209C" w:rsidRDefault="00E51CDD" w:rsidP="009938D9">
            <w:pPr>
              <w:suppressAutoHyphens/>
              <w:spacing w:before="40" w:after="40"/>
              <w:rPr>
                <w:b/>
                <w:sz w:val="20"/>
                <w:szCs w:val="20"/>
              </w:rPr>
            </w:pPr>
            <w:r w:rsidRPr="001E209C">
              <w:rPr>
                <w:b/>
                <w:sz w:val="20"/>
                <w:szCs w:val="20"/>
              </w:rPr>
              <w:t>Acute (short-term) aquatic hazard</w:t>
            </w:r>
          </w:p>
        </w:tc>
      </w:tr>
      <w:tr w:rsidR="00E51CDD" w:rsidRPr="00681562" w14:paraId="3AA2064A" w14:textId="77777777" w:rsidTr="009938D9">
        <w:trPr>
          <w:cantSplit/>
          <w:tblHeader/>
        </w:trPr>
        <w:tc>
          <w:tcPr>
            <w:tcW w:w="899" w:type="pct"/>
            <w:tcBorders>
              <w:left w:val="single" w:sz="4" w:space="0" w:color="auto"/>
              <w:right w:val="single" w:sz="4" w:space="0" w:color="auto"/>
            </w:tcBorders>
            <w:vAlign w:val="center"/>
          </w:tcPr>
          <w:p w14:paraId="0CE288CE" w14:textId="77777777" w:rsidR="00E51CDD" w:rsidRPr="00681562" w:rsidRDefault="00E51CDD" w:rsidP="009938D9">
            <w:pPr>
              <w:spacing w:before="40" w:after="40"/>
              <w:rPr>
                <w:sz w:val="20"/>
                <w:szCs w:val="20"/>
              </w:rPr>
            </w:pPr>
            <w:r>
              <w:rPr>
                <w:sz w:val="20"/>
                <w:szCs w:val="20"/>
              </w:rPr>
              <w:t>BAS 736 00 F</w:t>
            </w:r>
          </w:p>
        </w:tc>
        <w:tc>
          <w:tcPr>
            <w:tcW w:w="896" w:type="pct"/>
            <w:gridSpan w:val="2"/>
            <w:tcBorders>
              <w:left w:val="single" w:sz="4" w:space="0" w:color="auto"/>
            </w:tcBorders>
            <w:vAlign w:val="center"/>
          </w:tcPr>
          <w:p w14:paraId="69A6EF5F" w14:textId="77777777" w:rsidR="00E51CDD" w:rsidRPr="00681562" w:rsidRDefault="00E51CDD" w:rsidP="009938D9">
            <w:pPr>
              <w:spacing w:before="40" w:after="40"/>
              <w:rPr>
                <w:sz w:val="20"/>
                <w:szCs w:val="20"/>
              </w:rPr>
            </w:pPr>
            <w:r w:rsidRPr="00681562">
              <w:rPr>
                <w:i/>
                <w:sz w:val="20"/>
                <w:szCs w:val="20"/>
              </w:rPr>
              <w:t>Oncorhynchus mykiss</w:t>
            </w:r>
            <w:r w:rsidRPr="00681562">
              <w:rPr>
                <w:i/>
                <w:sz w:val="20"/>
                <w:szCs w:val="20"/>
              </w:rPr>
              <w:br/>
            </w:r>
            <w:r w:rsidRPr="00681562">
              <w:rPr>
                <w:sz w:val="20"/>
                <w:szCs w:val="20"/>
              </w:rPr>
              <w:t>(96 h)</w:t>
            </w:r>
          </w:p>
        </w:tc>
        <w:tc>
          <w:tcPr>
            <w:tcW w:w="1205" w:type="pct"/>
            <w:gridSpan w:val="2"/>
            <w:vAlign w:val="center"/>
          </w:tcPr>
          <w:p w14:paraId="4439F39E" w14:textId="77777777" w:rsidR="00E51CDD" w:rsidRPr="00681562" w:rsidRDefault="00E51CDD" w:rsidP="009938D9">
            <w:pPr>
              <w:spacing w:before="40" w:after="40"/>
              <w:rPr>
                <w:sz w:val="20"/>
                <w:szCs w:val="20"/>
                <w:lang w:val="pt-BR"/>
              </w:rPr>
            </w:pPr>
            <w:r w:rsidRPr="00681562">
              <w:rPr>
                <w:sz w:val="20"/>
                <w:szCs w:val="20"/>
                <w:lang w:val="pt-BR"/>
              </w:rPr>
              <w:t>LC</w:t>
            </w:r>
            <w:r w:rsidRPr="00681562">
              <w:rPr>
                <w:sz w:val="20"/>
                <w:szCs w:val="20"/>
                <w:vertAlign w:val="subscript"/>
                <w:lang w:val="pt-BR"/>
              </w:rPr>
              <w:t>50</w:t>
            </w:r>
            <w:r w:rsidRPr="00766D9E">
              <w:rPr>
                <w:sz w:val="20"/>
                <w:szCs w:val="20"/>
                <w:lang w:val="pt-BR"/>
              </w:rPr>
              <w:t xml:space="preserve"> </w:t>
            </w:r>
            <w:r>
              <w:rPr>
                <w:sz w:val="20"/>
                <w:szCs w:val="20"/>
                <w:lang w:val="pt-BR"/>
              </w:rPr>
              <w:t>=</w:t>
            </w:r>
            <w:r w:rsidRPr="00681562">
              <w:rPr>
                <w:sz w:val="20"/>
                <w:szCs w:val="20"/>
                <w:lang w:val="pt-BR"/>
              </w:rPr>
              <w:t xml:space="preserve"> </w:t>
            </w:r>
            <w:r>
              <w:rPr>
                <w:sz w:val="20"/>
                <w:szCs w:val="20"/>
                <w:lang w:val="pt-BR"/>
              </w:rPr>
              <w:t xml:space="preserve">2.83 </w:t>
            </w:r>
            <w:r w:rsidRPr="00681562">
              <w:rPr>
                <w:sz w:val="20"/>
                <w:szCs w:val="20"/>
                <w:lang w:val="pt-BR"/>
              </w:rPr>
              <w:t>mg/L</w:t>
            </w:r>
          </w:p>
        </w:tc>
        <w:tc>
          <w:tcPr>
            <w:tcW w:w="1009" w:type="pct"/>
            <w:gridSpan w:val="2"/>
            <w:vAlign w:val="center"/>
          </w:tcPr>
          <w:p w14:paraId="7E43C1A5" w14:textId="77777777" w:rsidR="00E51CDD" w:rsidRPr="001E209C" w:rsidRDefault="00E51CDD" w:rsidP="009938D9">
            <w:pPr>
              <w:spacing w:before="40" w:after="40"/>
              <w:rPr>
                <w:bCs/>
                <w:iCs/>
                <w:sz w:val="20"/>
                <w:szCs w:val="20"/>
              </w:rPr>
            </w:pPr>
            <w:r w:rsidRPr="001E209C">
              <w:rPr>
                <w:bCs/>
                <w:sz w:val="20"/>
                <w:szCs w:val="20"/>
              </w:rPr>
              <w:t>No aquatic acute hazard cat.</w:t>
            </w:r>
          </w:p>
        </w:tc>
        <w:tc>
          <w:tcPr>
            <w:tcW w:w="991" w:type="pct"/>
            <w:tcBorders>
              <w:right w:val="single" w:sz="4" w:space="0" w:color="auto"/>
            </w:tcBorders>
            <w:vAlign w:val="center"/>
          </w:tcPr>
          <w:p w14:paraId="0868E190" w14:textId="77777777" w:rsidR="00E51CDD" w:rsidRPr="00681562" w:rsidRDefault="00E51CDD" w:rsidP="009938D9">
            <w:pPr>
              <w:spacing w:before="40" w:after="40"/>
              <w:rPr>
                <w:sz w:val="20"/>
                <w:szCs w:val="20"/>
              </w:rPr>
            </w:pPr>
            <w:r w:rsidRPr="00681562">
              <w:rPr>
                <w:sz w:val="20"/>
                <w:szCs w:val="20"/>
              </w:rPr>
              <w:t xml:space="preserve">BASF DocID </w:t>
            </w:r>
            <w:r>
              <w:rPr>
                <w:sz w:val="20"/>
                <w:szCs w:val="20"/>
              </w:rPr>
              <w:t>2019/2039621</w:t>
            </w:r>
          </w:p>
        </w:tc>
      </w:tr>
      <w:tr w:rsidR="00E51CDD" w:rsidRPr="00681562" w14:paraId="1F66F344" w14:textId="77777777" w:rsidTr="009938D9">
        <w:trPr>
          <w:cantSplit/>
          <w:tblHeader/>
        </w:trPr>
        <w:tc>
          <w:tcPr>
            <w:tcW w:w="899" w:type="pct"/>
            <w:tcBorders>
              <w:left w:val="single" w:sz="4" w:space="0" w:color="auto"/>
              <w:right w:val="single" w:sz="4" w:space="0" w:color="auto"/>
            </w:tcBorders>
            <w:vAlign w:val="center"/>
          </w:tcPr>
          <w:p w14:paraId="74D80877" w14:textId="77777777" w:rsidR="00E51CDD" w:rsidRPr="00681562" w:rsidRDefault="00E51CDD" w:rsidP="009938D9">
            <w:pPr>
              <w:spacing w:before="40" w:after="40"/>
              <w:rPr>
                <w:bCs/>
                <w:sz w:val="20"/>
                <w:szCs w:val="20"/>
              </w:rPr>
            </w:pPr>
            <w:r>
              <w:rPr>
                <w:sz w:val="20"/>
                <w:szCs w:val="20"/>
              </w:rPr>
              <w:t>BAS 736 00 F</w:t>
            </w:r>
          </w:p>
        </w:tc>
        <w:tc>
          <w:tcPr>
            <w:tcW w:w="896" w:type="pct"/>
            <w:gridSpan w:val="2"/>
            <w:tcBorders>
              <w:left w:val="single" w:sz="4" w:space="0" w:color="auto"/>
            </w:tcBorders>
            <w:vAlign w:val="center"/>
          </w:tcPr>
          <w:p w14:paraId="1EC9B74A" w14:textId="77777777" w:rsidR="00E51CDD" w:rsidRPr="00681562" w:rsidRDefault="00E51CDD" w:rsidP="009938D9">
            <w:pPr>
              <w:spacing w:before="40" w:after="40"/>
              <w:rPr>
                <w:bCs/>
                <w:sz w:val="20"/>
                <w:szCs w:val="20"/>
              </w:rPr>
            </w:pPr>
            <w:r w:rsidRPr="00681562">
              <w:rPr>
                <w:bCs/>
                <w:i/>
                <w:sz w:val="20"/>
                <w:szCs w:val="20"/>
              </w:rPr>
              <w:t>Daphnia magna</w:t>
            </w:r>
            <w:r w:rsidRPr="00681562">
              <w:rPr>
                <w:bCs/>
                <w:sz w:val="20"/>
                <w:szCs w:val="20"/>
              </w:rPr>
              <w:br/>
              <w:t>(48 h)</w:t>
            </w:r>
          </w:p>
        </w:tc>
        <w:tc>
          <w:tcPr>
            <w:tcW w:w="1205" w:type="pct"/>
            <w:gridSpan w:val="2"/>
            <w:tcBorders>
              <w:bottom w:val="single" w:sz="2" w:space="0" w:color="auto"/>
            </w:tcBorders>
            <w:vAlign w:val="center"/>
          </w:tcPr>
          <w:p w14:paraId="3B8967AD" w14:textId="77777777" w:rsidR="00E51CDD" w:rsidRPr="00681562" w:rsidRDefault="00E51CDD" w:rsidP="009938D9">
            <w:pPr>
              <w:spacing w:before="40" w:after="40"/>
              <w:rPr>
                <w:bCs/>
                <w:sz w:val="20"/>
                <w:szCs w:val="20"/>
              </w:rPr>
            </w:pPr>
            <w:r w:rsidRPr="00681562">
              <w:rPr>
                <w:bCs/>
                <w:sz w:val="20"/>
                <w:szCs w:val="20"/>
              </w:rPr>
              <w:t>EC</w:t>
            </w:r>
            <w:r w:rsidRPr="00681562">
              <w:rPr>
                <w:bCs/>
                <w:sz w:val="20"/>
                <w:szCs w:val="20"/>
                <w:vertAlign w:val="subscript"/>
              </w:rPr>
              <w:t>50</w:t>
            </w:r>
            <w:r w:rsidRPr="00681562">
              <w:rPr>
                <w:bCs/>
                <w:sz w:val="20"/>
                <w:szCs w:val="20"/>
              </w:rPr>
              <w:t xml:space="preserve"> </w:t>
            </w:r>
            <w:r>
              <w:rPr>
                <w:bCs/>
                <w:sz w:val="20"/>
                <w:szCs w:val="20"/>
              </w:rPr>
              <w:t>=</w:t>
            </w:r>
            <w:r w:rsidRPr="00681562">
              <w:rPr>
                <w:bCs/>
                <w:sz w:val="20"/>
                <w:szCs w:val="20"/>
              </w:rPr>
              <w:t xml:space="preserve"> </w:t>
            </w:r>
            <w:r>
              <w:rPr>
                <w:bCs/>
                <w:sz w:val="20"/>
                <w:szCs w:val="20"/>
              </w:rPr>
              <w:t>1.57</w:t>
            </w:r>
            <w:r w:rsidRPr="00681562">
              <w:rPr>
                <w:bCs/>
                <w:sz w:val="20"/>
                <w:szCs w:val="20"/>
              </w:rPr>
              <w:t xml:space="preserve"> mg/L</w:t>
            </w:r>
          </w:p>
        </w:tc>
        <w:tc>
          <w:tcPr>
            <w:tcW w:w="1009" w:type="pct"/>
            <w:gridSpan w:val="2"/>
            <w:tcBorders>
              <w:bottom w:val="single" w:sz="2" w:space="0" w:color="auto"/>
            </w:tcBorders>
            <w:vAlign w:val="center"/>
          </w:tcPr>
          <w:p w14:paraId="215B30DD" w14:textId="77777777" w:rsidR="00E51CDD" w:rsidRPr="001E209C" w:rsidRDefault="00E51CDD" w:rsidP="009938D9">
            <w:pPr>
              <w:spacing w:before="40" w:after="40"/>
              <w:rPr>
                <w:bCs/>
                <w:sz w:val="20"/>
                <w:szCs w:val="20"/>
              </w:rPr>
            </w:pPr>
            <w:r w:rsidRPr="001E209C">
              <w:rPr>
                <w:bCs/>
                <w:sz w:val="20"/>
                <w:szCs w:val="20"/>
              </w:rPr>
              <w:t>No aquatic acute hazard cat.</w:t>
            </w:r>
          </w:p>
        </w:tc>
        <w:tc>
          <w:tcPr>
            <w:tcW w:w="991" w:type="pct"/>
            <w:tcBorders>
              <w:right w:val="single" w:sz="4" w:space="0" w:color="auto"/>
            </w:tcBorders>
            <w:vAlign w:val="center"/>
          </w:tcPr>
          <w:p w14:paraId="426E6008" w14:textId="77777777" w:rsidR="00E51CDD" w:rsidRPr="00681562" w:rsidRDefault="00E51CDD" w:rsidP="009938D9">
            <w:pPr>
              <w:spacing w:before="40" w:after="40"/>
              <w:rPr>
                <w:bCs/>
                <w:sz w:val="20"/>
                <w:szCs w:val="20"/>
              </w:rPr>
            </w:pPr>
            <w:r w:rsidRPr="00681562">
              <w:rPr>
                <w:sz w:val="20"/>
                <w:szCs w:val="20"/>
              </w:rPr>
              <w:t xml:space="preserve">BASF DocID </w:t>
            </w:r>
            <w:r>
              <w:rPr>
                <w:sz w:val="20"/>
                <w:szCs w:val="20"/>
              </w:rPr>
              <w:t>2019/2039622</w:t>
            </w:r>
          </w:p>
        </w:tc>
      </w:tr>
      <w:tr w:rsidR="00E51CDD" w:rsidRPr="00681562" w14:paraId="29444E63" w14:textId="77777777" w:rsidTr="009938D9">
        <w:trPr>
          <w:cantSplit/>
          <w:trHeight w:val="319"/>
          <w:tblHeader/>
        </w:trPr>
        <w:tc>
          <w:tcPr>
            <w:tcW w:w="899" w:type="pct"/>
            <w:vMerge w:val="restart"/>
            <w:tcBorders>
              <w:left w:val="single" w:sz="4" w:space="0" w:color="auto"/>
              <w:right w:val="single" w:sz="4" w:space="0" w:color="auto"/>
            </w:tcBorders>
            <w:vAlign w:val="center"/>
          </w:tcPr>
          <w:p w14:paraId="4B8F41CF" w14:textId="77777777" w:rsidR="00E51CDD" w:rsidRPr="00681562" w:rsidRDefault="00E51CDD" w:rsidP="009938D9">
            <w:pPr>
              <w:spacing w:before="40" w:after="40"/>
              <w:rPr>
                <w:sz w:val="20"/>
                <w:szCs w:val="20"/>
              </w:rPr>
            </w:pPr>
            <w:r>
              <w:rPr>
                <w:sz w:val="20"/>
                <w:szCs w:val="20"/>
              </w:rPr>
              <w:t>BAS 736 00 F</w:t>
            </w:r>
          </w:p>
        </w:tc>
        <w:tc>
          <w:tcPr>
            <w:tcW w:w="896" w:type="pct"/>
            <w:gridSpan w:val="2"/>
            <w:vMerge w:val="restart"/>
            <w:tcBorders>
              <w:left w:val="single" w:sz="4" w:space="0" w:color="auto"/>
            </w:tcBorders>
            <w:vAlign w:val="center"/>
          </w:tcPr>
          <w:p w14:paraId="51DC6E53" w14:textId="77777777" w:rsidR="00E51CDD" w:rsidRDefault="00E51CDD" w:rsidP="009938D9">
            <w:pPr>
              <w:spacing w:before="40" w:after="40"/>
              <w:rPr>
                <w:i/>
                <w:iCs/>
                <w:sz w:val="20"/>
                <w:szCs w:val="20"/>
              </w:rPr>
            </w:pPr>
            <w:r w:rsidRPr="000B54F9">
              <w:rPr>
                <w:i/>
                <w:iCs/>
                <w:sz w:val="20"/>
                <w:szCs w:val="20"/>
              </w:rPr>
              <w:t>Pseudokirchneriella subcapitata</w:t>
            </w:r>
            <w:r>
              <w:rPr>
                <w:i/>
                <w:iCs/>
                <w:sz w:val="20"/>
                <w:szCs w:val="20"/>
              </w:rPr>
              <w:t xml:space="preserve"> </w:t>
            </w:r>
          </w:p>
          <w:p w14:paraId="108154F9" w14:textId="77777777" w:rsidR="00E51CDD" w:rsidRPr="00681562" w:rsidRDefault="00E51CDD" w:rsidP="009938D9">
            <w:pPr>
              <w:spacing w:before="40" w:after="40"/>
              <w:rPr>
                <w:i/>
                <w:iCs/>
                <w:sz w:val="20"/>
                <w:szCs w:val="20"/>
              </w:rPr>
            </w:pPr>
            <w:r w:rsidRPr="000B54F9">
              <w:rPr>
                <w:iCs/>
                <w:sz w:val="20"/>
                <w:szCs w:val="20"/>
              </w:rPr>
              <w:t>(72 h)</w:t>
            </w:r>
          </w:p>
        </w:tc>
        <w:tc>
          <w:tcPr>
            <w:tcW w:w="1205" w:type="pct"/>
            <w:gridSpan w:val="2"/>
            <w:tcBorders>
              <w:top w:val="single" w:sz="2" w:space="0" w:color="auto"/>
              <w:bottom w:val="dotted" w:sz="4" w:space="0" w:color="auto"/>
            </w:tcBorders>
            <w:vAlign w:val="center"/>
          </w:tcPr>
          <w:p w14:paraId="4CA5A0BC" w14:textId="77777777" w:rsidR="00E51CDD" w:rsidRPr="00681562" w:rsidRDefault="00E51CDD" w:rsidP="009938D9">
            <w:pPr>
              <w:spacing w:before="40" w:after="40"/>
              <w:rPr>
                <w:bCs/>
                <w:sz w:val="20"/>
                <w:szCs w:val="20"/>
              </w:rPr>
            </w:pPr>
            <w:r w:rsidRPr="00681562">
              <w:rPr>
                <w:sz w:val="20"/>
                <w:szCs w:val="20"/>
              </w:rPr>
              <w:t>E</w:t>
            </w:r>
            <w:r w:rsidRPr="00681562">
              <w:rPr>
                <w:sz w:val="20"/>
                <w:szCs w:val="20"/>
                <w:vertAlign w:val="subscript"/>
              </w:rPr>
              <w:t>r</w:t>
            </w:r>
            <w:r w:rsidRPr="00681562">
              <w:rPr>
                <w:sz w:val="20"/>
                <w:szCs w:val="20"/>
              </w:rPr>
              <w:t>C</w:t>
            </w:r>
            <w:r w:rsidRPr="00681562">
              <w:rPr>
                <w:sz w:val="20"/>
                <w:szCs w:val="20"/>
                <w:vertAlign w:val="subscript"/>
              </w:rPr>
              <w:t>50</w:t>
            </w:r>
            <w:r w:rsidRPr="00681562">
              <w:rPr>
                <w:sz w:val="20"/>
                <w:szCs w:val="20"/>
              </w:rPr>
              <w:t xml:space="preserve"> = </w:t>
            </w:r>
            <w:r>
              <w:rPr>
                <w:sz w:val="20"/>
                <w:szCs w:val="20"/>
              </w:rPr>
              <w:t>4.19</w:t>
            </w:r>
            <w:r w:rsidRPr="00681562">
              <w:rPr>
                <w:sz w:val="20"/>
                <w:szCs w:val="20"/>
              </w:rPr>
              <w:t xml:space="preserve"> mg/L</w:t>
            </w:r>
          </w:p>
        </w:tc>
        <w:tc>
          <w:tcPr>
            <w:tcW w:w="1009" w:type="pct"/>
            <w:gridSpan w:val="2"/>
            <w:tcBorders>
              <w:top w:val="single" w:sz="2" w:space="0" w:color="auto"/>
              <w:bottom w:val="dotted" w:sz="4" w:space="0" w:color="auto"/>
            </w:tcBorders>
            <w:vAlign w:val="center"/>
          </w:tcPr>
          <w:p w14:paraId="091422B1" w14:textId="77777777" w:rsidR="00E51CDD" w:rsidRPr="001E209C" w:rsidRDefault="00E51CDD" w:rsidP="009938D9">
            <w:pPr>
              <w:spacing w:before="40" w:after="40"/>
              <w:rPr>
                <w:sz w:val="20"/>
                <w:szCs w:val="20"/>
              </w:rPr>
            </w:pPr>
            <w:r w:rsidRPr="001E209C">
              <w:rPr>
                <w:bCs/>
                <w:sz w:val="20"/>
                <w:szCs w:val="20"/>
              </w:rPr>
              <w:t>No aquatic acute hazard cat.</w:t>
            </w:r>
          </w:p>
        </w:tc>
        <w:tc>
          <w:tcPr>
            <w:tcW w:w="991" w:type="pct"/>
            <w:vMerge w:val="restart"/>
            <w:tcBorders>
              <w:right w:val="single" w:sz="4" w:space="0" w:color="auto"/>
            </w:tcBorders>
            <w:vAlign w:val="center"/>
          </w:tcPr>
          <w:p w14:paraId="6483A455" w14:textId="77777777" w:rsidR="00E51CDD" w:rsidRPr="00681562" w:rsidRDefault="00E51CDD" w:rsidP="009938D9">
            <w:pPr>
              <w:spacing w:before="40" w:after="40"/>
              <w:rPr>
                <w:sz w:val="20"/>
                <w:szCs w:val="20"/>
              </w:rPr>
            </w:pPr>
            <w:r w:rsidRPr="00681562">
              <w:rPr>
                <w:sz w:val="20"/>
                <w:szCs w:val="20"/>
              </w:rPr>
              <w:t xml:space="preserve">BASF DocID </w:t>
            </w:r>
            <w:r>
              <w:rPr>
                <w:sz w:val="20"/>
                <w:szCs w:val="20"/>
              </w:rPr>
              <w:t>2019/2039623</w:t>
            </w:r>
          </w:p>
        </w:tc>
      </w:tr>
      <w:tr w:rsidR="00E51CDD" w:rsidRPr="001E209C" w14:paraId="425DFDBC" w14:textId="77777777" w:rsidTr="009938D9">
        <w:trPr>
          <w:cantSplit/>
          <w:trHeight w:val="319"/>
          <w:tblHeader/>
        </w:trPr>
        <w:tc>
          <w:tcPr>
            <w:tcW w:w="899" w:type="pct"/>
            <w:vMerge/>
            <w:tcBorders>
              <w:left w:val="single" w:sz="4" w:space="0" w:color="auto"/>
              <w:right w:val="single" w:sz="4" w:space="0" w:color="auto"/>
            </w:tcBorders>
            <w:vAlign w:val="center"/>
          </w:tcPr>
          <w:p w14:paraId="3C7FE8F5" w14:textId="77777777" w:rsidR="00E51CDD" w:rsidRPr="00681562" w:rsidRDefault="00E51CDD" w:rsidP="009938D9">
            <w:pPr>
              <w:spacing w:before="40" w:after="40"/>
              <w:rPr>
                <w:sz w:val="20"/>
                <w:szCs w:val="20"/>
              </w:rPr>
            </w:pPr>
          </w:p>
        </w:tc>
        <w:tc>
          <w:tcPr>
            <w:tcW w:w="896" w:type="pct"/>
            <w:gridSpan w:val="2"/>
            <w:vMerge/>
            <w:tcBorders>
              <w:left w:val="single" w:sz="4" w:space="0" w:color="auto"/>
            </w:tcBorders>
            <w:vAlign w:val="center"/>
          </w:tcPr>
          <w:p w14:paraId="1218D34D" w14:textId="77777777" w:rsidR="00E51CDD" w:rsidRPr="00681562" w:rsidRDefault="00E51CDD" w:rsidP="009938D9">
            <w:pPr>
              <w:spacing w:before="40" w:after="40"/>
              <w:rPr>
                <w:i/>
                <w:iCs/>
                <w:sz w:val="20"/>
                <w:szCs w:val="20"/>
              </w:rPr>
            </w:pPr>
          </w:p>
        </w:tc>
        <w:tc>
          <w:tcPr>
            <w:tcW w:w="1205" w:type="pct"/>
            <w:gridSpan w:val="2"/>
            <w:tcBorders>
              <w:top w:val="dotted" w:sz="4" w:space="0" w:color="auto"/>
              <w:bottom w:val="single" w:sz="2" w:space="0" w:color="auto"/>
            </w:tcBorders>
            <w:vAlign w:val="center"/>
          </w:tcPr>
          <w:p w14:paraId="5D6EF1B6" w14:textId="77777777" w:rsidR="00E51CDD" w:rsidRPr="00681562" w:rsidRDefault="00E51CDD" w:rsidP="009938D9">
            <w:pPr>
              <w:spacing w:before="40" w:after="40"/>
              <w:rPr>
                <w:bCs/>
                <w:sz w:val="20"/>
                <w:szCs w:val="20"/>
              </w:rPr>
            </w:pPr>
            <w:r w:rsidRPr="00681562">
              <w:rPr>
                <w:sz w:val="20"/>
                <w:szCs w:val="20"/>
              </w:rPr>
              <w:t>E</w:t>
            </w:r>
            <w:r w:rsidRPr="00681562">
              <w:rPr>
                <w:sz w:val="20"/>
                <w:szCs w:val="20"/>
                <w:vertAlign w:val="subscript"/>
              </w:rPr>
              <w:t>r</w:t>
            </w:r>
            <w:r w:rsidRPr="00681562">
              <w:rPr>
                <w:sz w:val="20"/>
                <w:szCs w:val="20"/>
              </w:rPr>
              <w:t>C</w:t>
            </w:r>
            <w:r w:rsidRPr="00681562">
              <w:rPr>
                <w:sz w:val="20"/>
                <w:szCs w:val="20"/>
                <w:vertAlign w:val="subscript"/>
              </w:rPr>
              <w:t>10</w:t>
            </w:r>
            <w:r w:rsidRPr="00681562">
              <w:rPr>
                <w:sz w:val="20"/>
                <w:szCs w:val="20"/>
              </w:rPr>
              <w:t xml:space="preserve"> = </w:t>
            </w:r>
            <w:r>
              <w:rPr>
                <w:sz w:val="20"/>
                <w:szCs w:val="20"/>
              </w:rPr>
              <w:t>1.087</w:t>
            </w:r>
            <w:r w:rsidRPr="00681562">
              <w:rPr>
                <w:sz w:val="20"/>
                <w:szCs w:val="20"/>
              </w:rPr>
              <w:t xml:space="preserve"> </w:t>
            </w:r>
            <w:r w:rsidRPr="00681562">
              <w:rPr>
                <w:bCs/>
                <w:sz w:val="20"/>
                <w:szCs w:val="20"/>
              </w:rPr>
              <w:t>mg/L</w:t>
            </w:r>
          </w:p>
        </w:tc>
        <w:tc>
          <w:tcPr>
            <w:tcW w:w="1009" w:type="pct"/>
            <w:gridSpan w:val="2"/>
            <w:tcBorders>
              <w:top w:val="dotted" w:sz="4" w:space="0" w:color="auto"/>
              <w:bottom w:val="single" w:sz="2" w:space="0" w:color="auto"/>
            </w:tcBorders>
            <w:vAlign w:val="center"/>
          </w:tcPr>
          <w:p w14:paraId="043BAA90" w14:textId="77777777" w:rsidR="00E51CDD" w:rsidRPr="001E209C" w:rsidRDefault="00E51CDD" w:rsidP="009938D9">
            <w:pPr>
              <w:spacing w:before="40" w:after="40"/>
              <w:rPr>
                <w:sz w:val="20"/>
                <w:szCs w:val="20"/>
              </w:rPr>
            </w:pPr>
            <w:r w:rsidRPr="001E209C">
              <w:rPr>
                <w:bCs/>
                <w:sz w:val="20"/>
                <w:szCs w:val="20"/>
              </w:rPr>
              <w:t>No aquatic chronic hazard cat.</w:t>
            </w:r>
          </w:p>
        </w:tc>
        <w:tc>
          <w:tcPr>
            <w:tcW w:w="991" w:type="pct"/>
            <w:vMerge/>
            <w:tcBorders>
              <w:right w:val="single" w:sz="4" w:space="0" w:color="auto"/>
            </w:tcBorders>
            <w:vAlign w:val="center"/>
          </w:tcPr>
          <w:p w14:paraId="000B08D2" w14:textId="77777777" w:rsidR="00E51CDD" w:rsidRPr="001E209C" w:rsidRDefault="00E51CDD" w:rsidP="009938D9">
            <w:pPr>
              <w:spacing w:before="40" w:after="40"/>
              <w:rPr>
                <w:sz w:val="20"/>
                <w:szCs w:val="20"/>
              </w:rPr>
            </w:pPr>
          </w:p>
        </w:tc>
      </w:tr>
      <w:tr w:rsidR="00E51CDD" w:rsidRPr="00E33E87" w14:paraId="54A8378C" w14:textId="77777777" w:rsidTr="009938D9">
        <w:trPr>
          <w:cantSplit/>
          <w:trHeight w:val="319"/>
          <w:tblHeader/>
        </w:trPr>
        <w:tc>
          <w:tcPr>
            <w:tcW w:w="5000" w:type="pct"/>
            <w:gridSpan w:val="8"/>
            <w:tcBorders>
              <w:left w:val="single" w:sz="4" w:space="0" w:color="auto"/>
              <w:right w:val="single" w:sz="4" w:space="0" w:color="auto"/>
            </w:tcBorders>
            <w:vAlign w:val="center"/>
          </w:tcPr>
          <w:p w14:paraId="2ADBFDE6" w14:textId="77777777" w:rsidR="00E51CDD" w:rsidRPr="00E33E87" w:rsidRDefault="00E51CDD" w:rsidP="009938D9">
            <w:pPr>
              <w:spacing w:before="40" w:after="40"/>
              <w:rPr>
                <w:b/>
                <w:sz w:val="20"/>
                <w:szCs w:val="20"/>
              </w:rPr>
            </w:pPr>
            <w:bookmarkStart w:id="1046" w:name="_Hlk57886356"/>
            <w:r w:rsidRPr="00E33E87">
              <w:rPr>
                <w:b/>
                <w:sz w:val="20"/>
                <w:szCs w:val="20"/>
              </w:rPr>
              <w:t>Chronic (long-term) aquatic hazard</w:t>
            </w:r>
          </w:p>
        </w:tc>
      </w:tr>
      <w:tr w:rsidR="00E51CDD" w:rsidRPr="0001171D" w14:paraId="2D17463E" w14:textId="77777777" w:rsidTr="009938D9">
        <w:trPr>
          <w:cantSplit/>
          <w:trHeight w:val="319"/>
          <w:tblHeader/>
        </w:trPr>
        <w:tc>
          <w:tcPr>
            <w:tcW w:w="911" w:type="pct"/>
            <w:gridSpan w:val="2"/>
            <w:vMerge w:val="restart"/>
            <w:tcBorders>
              <w:left w:val="single" w:sz="4" w:space="0" w:color="auto"/>
              <w:right w:val="single" w:sz="4" w:space="0" w:color="auto"/>
            </w:tcBorders>
            <w:vAlign w:val="center"/>
          </w:tcPr>
          <w:p w14:paraId="5467CB47" w14:textId="7A275A79" w:rsidR="00E51CDD" w:rsidRPr="0001171D" w:rsidRDefault="00FD6A45" w:rsidP="009938D9">
            <w:pPr>
              <w:spacing w:before="40" w:after="40"/>
              <w:rPr>
                <w:sz w:val="20"/>
                <w:szCs w:val="20"/>
                <w:vertAlign w:val="superscript"/>
              </w:rPr>
            </w:pPr>
            <w:r>
              <w:rPr>
                <w:sz w:val="20"/>
                <w:szCs w:val="20"/>
              </w:rPr>
              <w:t>Fluxapyroxad</w:t>
            </w:r>
            <w:r w:rsidR="00E51CDD" w:rsidRPr="0001171D">
              <w:rPr>
                <w:sz w:val="20"/>
                <w:szCs w:val="20"/>
              </w:rPr>
              <w:t xml:space="preserve"> (BAS 7</w:t>
            </w:r>
            <w:r>
              <w:rPr>
                <w:sz w:val="20"/>
                <w:szCs w:val="20"/>
              </w:rPr>
              <w:t>0</w:t>
            </w:r>
            <w:r w:rsidR="00E51CDD" w:rsidRPr="0001171D">
              <w:rPr>
                <w:sz w:val="20"/>
                <w:szCs w:val="20"/>
              </w:rPr>
              <w:t xml:space="preserve">0 F) </w:t>
            </w:r>
            <w:r w:rsidR="00E51CDD" w:rsidRPr="0001171D">
              <w:rPr>
                <w:sz w:val="20"/>
                <w:szCs w:val="20"/>
                <w:vertAlign w:val="superscript"/>
              </w:rPr>
              <w:t>1)</w:t>
            </w:r>
          </w:p>
        </w:tc>
        <w:tc>
          <w:tcPr>
            <w:tcW w:w="890" w:type="pct"/>
            <w:gridSpan w:val="2"/>
            <w:tcBorders>
              <w:left w:val="single" w:sz="4" w:space="0" w:color="auto"/>
            </w:tcBorders>
            <w:vAlign w:val="center"/>
          </w:tcPr>
          <w:p w14:paraId="2CEE3F55" w14:textId="0E0146AD" w:rsidR="00E51CDD" w:rsidRPr="0001171D" w:rsidRDefault="00FD6A45" w:rsidP="009938D9">
            <w:pPr>
              <w:spacing w:before="40" w:after="40"/>
              <w:rPr>
                <w:i/>
                <w:iCs/>
                <w:sz w:val="20"/>
                <w:szCs w:val="20"/>
              </w:rPr>
            </w:pPr>
            <w:r>
              <w:rPr>
                <w:i/>
                <w:iCs/>
                <w:sz w:val="20"/>
                <w:szCs w:val="20"/>
              </w:rPr>
              <w:t>--</w:t>
            </w:r>
          </w:p>
        </w:tc>
        <w:tc>
          <w:tcPr>
            <w:tcW w:w="1199" w:type="pct"/>
            <w:tcBorders>
              <w:top w:val="dotted" w:sz="4" w:space="0" w:color="auto"/>
              <w:bottom w:val="single" w:sz="2" w:space="0" w:color="auto"/>
            </w:tcBorders>
            <w:vAlign w:val="center"/>
          </w:tcPr>
          <w:p w14:paraId="4B005FDE" w14:textId="5B75D002" w:rsidR="00E51CDD" w:rsidRPr="00E33E87" w:rsidRDefault="00FD6A45" w:rsidP="009938D9">
            <w:pPr>
              <w:spacing w:before="40" w:after="40"/>
              <w:rPr>
                <w:bCs/>
                <w:sz w:val="20"/>
                <w:szCs w:val="20"/>
              </w:rPr>
            </w:pPr>
            <w:r>
              <w:rPr>
                <w:bCs/>
                <w:sz w:val="20"/>
                <w:szCs w:val="20"/>
              </w:rPr>
              <w:t>--</w:t>
            </w:r>
          </w:p>
        </w:tc>
        <w:tc>
          <w:tcPr>
            <w:tcW w:w="1002" w:type="pct"/>
            <w:tcBorders>
              <w:top w:val="dotted" w:sz="4" w:space="0" w:color="auto"/>
              <w:bottom w:val="single" w:sz="2" w:space="0" w:color="auto"/>
            </w:tcBorders>
            <w:vAlign w:val="center"/>
          </w:tcPr>
          <w:p w14:paraId="686AA622" w14:textId="77777777" w:rsidR="00E51CDD" w:rsidRPr="00E33E87" w:rsidRDefault="00E51CDD" w:rsidP="009938D9">
            <w:pPr>
              <w:spacing w:before="40" w:after="40"/>
              <w:rPr>
                <w:sz w:val="20"/>
                <w:szCs w:val="20"/>
              </w:rPr>
            </w:pPr>
            <w:r w:rsidRPr="00E33E87">
              <w:rPr>
                <w:sz w:val="20"/>
                <w:szCs w:val="20"/>
              </w:rPr>
              <w:t>Aquatic chronic hazard cat. 1 (H410); M=1</w:t>
            </w:r>
          </w:p>
        </w:tc>
        <w:tc>
          <w:tcPr>
            <w:tcW w:w="998" w:type="pct"/>
            <w:gridSpan w:val="2"/>
            <w:tcBorders>
              <w:right w:val="single" w:sz="4" w:space="0" w:color="auto"/>
            </w:tcBorders>
            <w:vAlign w:val="center"/>
          </w:tcPr>
          <w:p w14:paraId="5E744210" w14:textId="359913D9" w:rsidR="00E51CDD" w:rsidRPr="0001171D" w:rsidRDefault="00FD6A45" w:rsidP="009938D9">
            <w:pPr>
              <w:spacing w:before="40" w:after="40"/>
              <w:rPr>
                <w:sz w:val="20"/>
                <w:szCs w:val="20"/>
              </w:rPr>
            </w:pPr>
            <w:r w:rsidRPr="006F54F6">
              <w:rPr>
                <w:sz w:val="20"/>
                <w:szCs w:val="20"/>
              </w:rPr>
              <w:t xml:space="preserve">Legal classification according to </w:t>
            </w:r>
            <w:r w:rsidRPr="006F54F6">
              <w:rPr>
                <w:bCs/>
                <w:sz w:val="20"/>
                <w:szCs w:val="20"/>
              </w:rPr>
              <w:t>Annex VI of (EC) No 1272/2008 (CLP)</w:t>
            </w:r>
          </w:p>
        </w:tc>
      </w:tr>
      <w:tr w:rsidR="00FD6A45" w:rsidRPr="0001171D" w14:paraId="429CC3B5" w14:textId="77777777" w:rsidTr="009938D9">
        <w:trPr>
          <w:cantSplit/>
          <w:trHeight w:val="75"/>
          <w:tblHeader/>
        </w:trPr>
        <w:tc>
          <w:tcPr>
            <w:tcW w:w="911" w:type="pct"/>
            <w:gridSpan w:val="2"/>
            <w:vMerge/>
            <w:tcBorders>
              <w:left w:val="single" w:sz="4" w:space="0" w:color="auto"/>
              <w:right w:val="single" w:sz="4" w:space="0" w:color="auto"/>
            </w:tcBorders>
            <w:vAlign w:val="center"/>
          </w:tcPr>
          <w:p w14:paraId="70EE779C" w14:textId="77777777" w:rsidR="00FD6A45" w:rsidRPr="0001171D" w:rsidRDefault="00FD6A45" w:rsidP="00FD6A45">
            <w:pPr>
              <w:spacing w:before="40" w:after="40"/>
              <w:rPr>
                <w:sz w:val="20"/>
                <w:szCs w:val="20"/>
              </w:rPr>
            </w:pPr>
          </w:p>
        </w:tc>
        <w:tc>
          <w:tcPr>
            <w:tcW w:w="890" w:type="pct"/>
            <w:gridSpan w:val="2"/>
            <w:tcBorders>
              <w:left w:val="single" w:sz="4" w:space="0" w:color="auto"/>
            </w:tcBorders>
            <w:vAlign w:val="center"/>
          </w:tcPr>
          <w:p w14:paraId="076F99A1" w14:textId="63714146" w:rsidR="00FD6A45" w:rsidRPr="0001171D" w:rsidRDefault="00FD6A45" w:rsidP="00FD6A45">
            <w:pPr>
              <w:spacing w:before="40" w:after="40"/>
              <w:rPr>
                <w:iCs/>
                <w:sz w:val="20"/>
                <w:szCs w:val="20"/>
              </w:rPr>
            </w:pPr>
            <w:r w:rsidRPr="0001171D">
              <w:rPr>
                <w:sz w:val="20"/>
                <w:szCs w:val="20"/>
              </w:rPr>
              <w:t xml:space="preserve">Biodegradation </w:t>
            </w:r>
          </w:p>
        </w:tc>
        <w:tc>
          <w:tcPr>
            <w:tcW w:w="1199" w:type="pct"/>
            <w:vAlign w:val="center"/>
          </w:tcPr>
          <w:p w14:paraId="5F657600" w14:textId="1A843FCF" w:rsidR="00FD6A45" w:rsidRPr="0001171D" w:rsidRDefault="00FD6A45" w:rsidP="00FD6A45">
            <w:pPr>
              <w:spacing w:before="40" w:after="40"/>
              <w:rPr>
                <w:bCs/>
                <w:sz w:val="20"/>
                <w:szCs w:val="20"/>
              </w:rPr>
            </w:pPr>
            <w:r w:rsidRPr="0001171D">
              <w:rPr>
                <w:sz w:val="20"/>
                <w:szCs w:val="20"/>
              </w:rPr>
              <w:t>not readily biodegradable</w:t>
            </w:r>
          </w:p>
        </w:tc>
        <w:tc>
          <w:tcPr>
            <w:tcW w:w="1002" w:type="pct"/>
            <w:vAlign w:val="center"/>
          </w:tcPr>
          <w:p w14:paraId="526CC6E6" w14:textId="6E1B3D39" w:rsidR="00FD6A45" w:rsidRPr="0001171D" w:rsidRDefault="00FD6A45" w:rsidP="00FD6A45">
            <w:pPr>
              <w:spacing w:before="40" w:after="40"/>
              <w:rPr>
                <w:sz w:val="20"/>
                <w:szCs w:val="20"/>
              </w:rPr>
            </w:pPr>
            <w:r w:rsidRPr="0001171D">
              <w:rPr>
                <w:bCs/>
                <w:iCs/>
                <w:sz w:val="20"/>
                <w:szCs w:val="20"/>
              </w:rPr>
              <w:t>--</w:t>
            </w:r>
          </w:p>
        </w:tc>
        <w:tc>
          <w:tcPr>
            <w:tcW w:w="998" w:type="pct"/>
            <w:gridSpan w:val="2"/>
            <w:tcBorders>
              <w:right w:val="single" w:sz="4" w:space="0" w:color="auto"/>
            </w:tcBorders>
            <w:vAlign w:val="center"/>
          </w:tcPr>
          <w:p w14:paraId="32174AC9" w14:textId="33C5E79B" w:rsidR="00FD6A45" w:rsidRPr="0001171D" w:rsidRDefault="00FD6A45" w:rsidP="00FD6A45">
            <w:pPr>
              <w:spacing w:before="40" w:after="40"/>
              <w:rPr>
                <w:sz w:val="20"/>
                <w:szCs w:val="20"/>
              </w:rPr>
            </w:pPr>
            <w:r w:rsidRPr="0001171D">
              <w:rPr>
                <w:sz w:val="20"/>
                <w:szCs w:val="20"/>
              </w:rPr>
              <w:t xml:space="preserve">BASF DocID </w:t>
            </w:r>
            <w:r>
              <w:rPr>
                <w:sz w:val="20"/>
                <w:szCs w:val="24"/>
              </w:rPr>
              <w:t>2008/1028082</w:t>
            </w:r>
          </w:p>
        </w:tc>
      </w:tr>
      <w:tr w:rsidR="00E51CDD" w:rsidRPr="006F54F6" w14:paraId="017DA1E6" w14:textId="77777777" w:rsidTr="009938D9">
        <w:trPr>
          <w:cantSplit/>
          <w:trHeight w:val="75"/>
          <w:tblHeader/>
        </w:trPr>
        <w:tc>
          <w:tcPr>
            <w:tcW w:w="911" w:type="pct"/>
            <w:gridSpan w:val="2"/>
            <w:vMerge w:val="restart"/>
            <w:tcBorders>
              <w:left w:val="single" w:sz="4" w:space="0" w:color="auto"/>
              <w:right w:val="single" w:sz="4" w:space="0" w:color="auto"/>
            </w:tcBorders>
            <w:vAlign w:val="center"/>
          </w:tcPr>
          <w:p w14:paraId="130CC38F" w14:textId="77777777" w:rsidR="00E51CDD" w:rsidRPr="0001171D" w:rsidRDefault="00E51CDD" w:rsidP="009938D9">
            <w:pPr>
              <w:spacing w:before="40" w:after="40"/>
              <w:rPr>
                <w:sz w:val="20"/>
                <w:szCs w:val="20"/>
              </w:rPr>
            </w:pPr>
            <w:r>
              <w:rPr>
                <w:sz w:val="20"/>
                <w:szCs w:val="20"/>
              </w:rPr>
              <w:t>Azoxystrobin</w:t>
            </w:r>
            <w:r w:rsidRPr="0001171D">
              <w:rPr>
                <w:sz w:val="20"/>
                <w:szCs w:val="20"/>
              </w:rPr>
              <w:t xml:space="preserve"> </w:t>
            </w:r>
            <w:r>
              <w:rPr>
                <w:sz w:val="20"/>
                <w:szCs w:val="20"/>
                <w:vertAlign w:val="superscript"/>
              </w:rPr>
              <w:t>2</w:t>
            </w:r>
            <w:r w:rsidRPr="0001171D">
              <w:rPr>
                <w:sz w:val="20"/>
                <w:szCs w:val="20"/>
                <w:vertAlign w:val="superscript"/>
              </w:rPr>
              <w:t>)</w:t>
            </w:r>
          </w:p>
        </w:tc>
        <w:tc>
          <w:tcPr>
            <w:tcW w:w="890" w:type="pct"/>
            <w:gridSpan w:val="2"/>
            <w:tcBorders>
              <w:left w:val="single" w:sz="4" w:space="0" w:color="auto"/>
            </w:tcBorders>
            <w:vAlign w:val="center"/>
          </w:tcPr>
          <w:p w14:paraId="6BB6FF64" w14:textId="77777777" w:rsidR="00E51CDD" w:rsidRPr="0001171D" w:rsidRDefault="00E51CDD" w:rsidP="009938D9">
            <w:pPr>
              <w:spacing w:before="40" w:after="40"/>
              <w:rPr>
                <w:sz w:val="20"/>
                <w:szCs w:val="20"/>
              </w:rPr>
            </w:pPr>
            <w:r>
              <w:rPr>
                <w:sz w:val="20"/>
                <w:szCs w:val="20"/>
              </w:rPr>
              <w:t>--</w:t>
            </w:r>
          </w:p>
        </w:tc>
        <w:tc>
          <w:tcPr>
            <w:tcW w:w="1199" w:type="pct"/>
            <w:vAlign w:val="center"/>
          </w:tcPr>
          <w:p w14:paraId="6670933D" w14:textId="5D0DC54D" w:rsidR="00E51CDD" w:rsidRPr="0001171D" w:rsidRDefault="00FD6A45" w:rsidP="009938D9">
            <w:pPr>
              <w:spacing w:before="40" w:after="40"/>
              <w:rPr>
                <w:sz w:val="20"/>
                <w:szCs w:val="20"/>
              </w:rPr>
            </w:pPr>
            <w:r>
              <w:rPr>
                <w:sz w:val="20"/>
                <w:szCs w:val="20"/>
              </w:rPr>
              <w:t>--</w:t>
            </w:r>
          </w:p>
        </w:tc>
        <w:tc>
          <w:tcPr>
            <w:tcW w:w="1002" w:type="pct"/>
            <w:vAlign w:val="center"/>
          </w:tcPr>
          <w:p w14:paraId="07CD8B5E" w14:textId="77777777" w:rsidR="00E51CDD" w:rsidRPr="00B93986" w:rsidRDefault="00E51CDD" w:rsidP="009938D9">
            <w:pPr>
              <w:spacing w:before="40" w:after="40"/>
              <w:rPr>
                <w:bCs/>
                <w:iCs/>
                <w:sz w:val="20"/>
                <w:szCs w:val="20"/>
              </w:rPr>
            </w:pPr>
            <w:r w:rsidRPr="00E33E87">
              <w:rPr>
                <w:sz w:val="20"/>
                <w:szCs w:val="20"/>
              </w:rPr>
              <w:t>Aquatic chronic hazard cat. 1 (H410); M=1</w:t>
            </w:r>
            <w:r>
              <w:rPr>
                <w:sz w:val="20"/>
                <w:szCs w:val="20"/>
              </w:rPr>
              <w:t>0</w:t>
            </w:r>
          </w:p>
        </w:tc>
        <w:tc>
          <w:tcPr>
            <w:tcW w:w="998" w:type="pct"/>
            <w:gridSpan w:val="2"/>
            <w:tcBorders>
              <w:right w:val="single" w:sz="4" w:space="0" w:color="auto"/>
            </w:tcBorders>
            <w:vAlign w:val="center"/>
          </w:tcPr>
          <w:p w14:paraId="73684074" w14:textId="77777777" w:rsidR="00E51CDD" w:rsidRPr="006F54F6" w:rsidRDefault="00E51CDD" w:rsidP="009938D9">
            <w:pPr>
              <w:spacing w:before="40" w:after="40"/>
              <w:rPr>
                <w:sz w:val="20"/>
                <w:szCs w:val="20"/>
              </w:rPr>
            </w:pPr>
            <w:r w:rsidRPr="006F54F6">
              <w:rPr>
                <w:sz w:val="20"/>
                <w:szCs w:val="20"/>
              </w:rPr>
              <w:t xml:space="preserve">Legal classification according to </w:t>
            </w:r>
            <w:r w:rsidRPr="006F54F6">
              <w:rPr>
                <w:bCs/>
                <w:sz w:val="20"/>
                <w:szCs w:val="20"/>
              </w:rPr>
              <w:t>Annex VI of (EC) No 1272/2008 (CLP)</w:t>
            </w:r>
          </w:p>
        </w:tc>
      </w:tr>
      <w:tr w:rsidR="00E51CDD" w:rsidRPr="0001171D" w14:paraId="3B3D13FE" w14:textId="77777777" w:rsidTr="009938D9">
        <w:trPr>
          <w:cantSplit/>
          <w:trHeight w:val="75"/>
          <w:tblHeader/>
        </w:trPr>
        <w:tc>
          <w:tcPr>
            <w:tcW w:w="911" w:type="pct"/>
            <w:gridSpan w:val="2"/>
            <w:vMerge/>
            <w:tcBorders>
              <w:left w:val="single" w:sz="4" w:space="0" w:color="auto"/>
              <w:right w:val="single" w:sz="4" w:space="0" w:color="auto"/>
            </w:tcBorders>
            <w:vAlign w:val="center"/>
          </w:tcPr>
          <w:p w14:paraId="4BB89C7E" w14:textId="77777777" w:rsidR="00E51CDD" w:rsidRPr="006F54F6" w:rsidRDefault="00E51CDD" w:rsidP="009938D9">
            <w:pPr>
              <w:spacing w:before="40" w:after="40"/>
              <w:rPr>
                <w:sz w:val="20"/>
                <w:szCs w:val="20"/>
              </w:rPr>
            </w:pPr>
          </w:p>
        </w:tc>
        <w:tc>
          <w:tcPr>
            <w:tcW w:w="890" w:type="pct"/>
            <w:gridSpan w:val="2"/>
            <w:tcBorders>
              <w:left w:val="single" w:sz="4" w:space="0" w:color="auto"/>
            </w:tcBorders>
            <w:vAlign w:val="center"/>
          </w:tcPr>
          <w:p w14:paraId="04586080" w14:textId="77777777" w:rsidR="00E51CDD" w:rsidRPr="0001171D" w:rsidRDefault="00E51CDD" w:rsidP="009938D9">
            <w:pPr>
              <w:spacing w:before="40" w:after="40"/>
              <w:rPr>
                <w:sz w:val="20"/>
                <w:szCs w:val="20"/>
              </w:rPr>
            </w:pPr>
            <w:r w:rsidRPr="0001171D">
              <w:rPr>
                <w:sz w:val="20"/>
                <w:szCs w:val="20"/>
              </w:rPr>
              <w:t xml:space="preserve">Biodegradation </w:t>
            </w:r>
          </w:p>
        </w:tc>
        <w:tc>
          <w:tcPr>
            <w:tcW w:w="1199" w:type="pct"/>
            <w:vAlign w:val="center"/>
          </w:tcPr>
          <w:p w14:paraId="4D7ABB75" w14:textId="77777777" w:rsidR="00E51CDD" w:rsidRPr="00B93986" w:rsidRDefault="00E51CDD" w:rsidP="009938D9">
            <w:pPr>
              <w:spacing w:before="40" w:after="40"/>
              <w:rPr>
                <w:sz w:val="20"/>
                <w:szCs w:val="20"/>
                <w:vertAlign w:val="superscript"/>
              </w:rPr>
            </w:pPr>
            <w:r>
              <w:rPr>
                <w:sz w:val="20"/>
                <w:szCs w:val="20"/>
              </w:rPr>
              <w:t xml:space="preserve">No information available </w:t>
            </w:r>
            <w:r>
              <w:rPr>
                <w:sz w:val="20"/>
                <w:szCs w:val="20"/>
                <w:vertAlign w:val="superscript"/>
              </w:rPr>
              <w:t>3)</w:t>
            </w:r>
          </w:p>
        </w:tc>
        <w:tc>
          <w:tcPr>
            <w:tcW w:w="1002" w:type="pct"/>
            <w:vAlign w:val="center"/>
          </w:tcPr>
          <w:p w14:paraId="787650BE" w14:textId="77777777" w:rsidR="00E51CDD" w:rsidRPr="0001171D" w:rsidRDefault="00E51CDD" w:rsidP="009938D9">
            <w:pPr>
              <w:spacing w:before="40" w:after="40"/>
              <w:rPr>
                <w:bCs/>
                <w:iCs/>
                <w:sz w:val="20"/>
                <w:szCs w:val="20"/>
              </w:rPr>
            </w:pPr>
            <w:r w:rsidRPr="0001171D">
              <w:rPr>
                <w:bCs/>
                <w:iCs/>
                <w:sz w:val="20"/>
                <w:szCs w:val="20"/>
              </w:rPr>
              <w:t>--</w:t>
            </w:r>
          </w:p>
        </w:tc>
        <w:tc>
          <w:tcPr>
            <w:tcW w:w="998" w:type="pct"/>
            <w:gridSpan w:val="2"/>
            <w:tcBorders>
              <w:right w:val="single" w:sz="4" w:space="0" w:color="auto"/>
            </w:tcBorders>
            <w:vAlign w:val="center"/>
          </w:tcPr>
          <w:p w14:paraId="6E046FAC" w14:textId="77777777" w:rsidR="00E51CDD" w:rsidRPr="0001171D" w:rsidRDefault="00E51CDD" w:rsidP="009938D9">
            <w:pPr>
              <w:spacing w:before="40" w:after="40"/>
              <w:rPr>
                <w:sz w:val="20"/>
                <w:szCs w:val="20"/>
              </w:rPr>
            </w:pPr>
            <w:r w:rsidRPr="00B93986">
              <w:rPr>
                <w:sz w:val="20"/>
                <w:szCs w:val="20"/>
              </w:rPr>
              <w:t>EFSA Journal 2010; 8(4):1542</w:t>
            </w:r>
          </w:p>
        </w:tc>
      </w:tr>
    </w:tbl>
    <w:bookmarkEnd w:id="1046"/>
    <w:p w14:paraId="3134D084" w14:textId="77777777" w:rsidR="00E51CDD" w:rsidRDefault="00E51CDD" w:rsidP="00E51CDD">
      <w:pPr>
        <w:pStyle w:val="OECD-BASIS-TEXT"/>
        <w:ind w:left="284" w:hanging="284"/>
        <w:rPr>
          <w:rFonts w:asciiTheme="majorBidi" w:hAnsiTheme="majorBidi" w:cstheme="majorBidi"/>
          <w:b/>
          <w:color w:val="auto"/>
          <w:sz w:val="18"/>
          <w:szCs w:val="18"/>
          <w:lang w:val="en-US"/>
        </w:rPr>
      </w:pPr>
      <w:r>
        <w:rPr>
          <w:sz w:val="18"/>
          <w:szCs w:val="18"/>
          <w:vertAlign w:val="superscript"/>
        </w:rPr>
        <w:t>1</w:t>
      </w:r>
      <w:r w:rsidRPr="000B54F9">
        <w:rPr>
          <w:sz w:val="18"/>
          <w:szCs w:val="18"/>
          <w:vertAlign w:val="superscript"/>
        </w:rPr>
        <w:t>)</w:t>
      </w:r>
      <w:r w:rsidRPr="000B54F9">
        <w:rPr>
          <w:sz w:val="18"/>
          <w:szCs w:val="18"/>
          <w:vertAlign w:val="superscript"/>
        </w:rPr>
        <w:tab/>
      </w:r>
      <w:r w:rsidRPr="000B54F9">
        <w:rPr>
          <w:rFonts w:asciiTheme="majorBidi" w:hAnsiTheme="majorBidi" w:cstheme="majorBidi"/>
          <w:color w:val="auto"/>
          <w:sz w:val="18"/>
          <w:szCs w:val="18"/>
          <w:lang w:val="en-US" w:eastAsia="de-DE"/>
        </w:rPr>
        <w:t xml:space="preserve">Nominal contents within the formulated product: </w:t>
      </w:r>
      <w:r>
        <w:rPr>
          <w:rFonts w:asciiTheme="majorBidi" w:hAnsiTheme="majorBidi" w:cstheme="majorBidi"/>
          <w:b/>
          <w:color w:val="auto"/>
          <w:sz w:val="18"/>
          <w:szCs w:val="18"/>
          <w:lang w:val="en-US"/>
        </w:rPr>
        <w:t>50</w:t>
      </w:r>
      <w:r w:rsidRPr="000B54F9">
        <w:rPr>
          <w:rFonts w:asciiTheme="majorBidi" w:hAnsiTheme="majorBidi" w:cstheme="majorBidi"/>
          <w:b/>
          <w:color w:val="auto"/>
          <w:sz w:val="18"/>
          <w:szCs w:val="18"/>
          <w:lang w:val="en-US"/>
        </w:rPr>
        <w:t> g/L</w:t>
      </w:r>
      <w:r>
        <w:rPr>
          <w:rFonts w:asciiTheme="majorBidi" w:hAnsiTheme="majorBidi" w:cstheme="majorBidi"/>
          <w:b/>
          <w:color w:val="auto"/>
          <w:sz w:val="18"/>
          <w:szCs w:val="18"/>
          <w:lang w:val="en-US"/>
        </w:rPr>
        <w:t xml:space="preserve"> (4.64% w/w)</w:t>
      </w:r>
      <w:r w:rsidRPr="000B54F9">
        <w:rPr>
          <w:rFonts w:asciiTheme="majorBidi" w:hAnsiTheme="majorBidi" w:cstheme="majorBidi"/>
          <w:b/>
          <w:color w:val="auto"/>
          <w:sz w:val="18"/>
          <w:szCs w:val="18"/>
          <w:lang w:val="en-US"/>
        </w:rPr>
        <w:t xml:space="preserve">. </w:t>
      </w:r>
    </w:p>
    <w:p w14:paraId="5230183E" w14:textId="77777777" w:rsidR="00E51CDD" w:rsidRDefault="00E51CDD" w:rsidP="00E51CDD">
      <w:pPr>
        <w:pStyle w:val="OECD-BASIS-TEXT"/>
        <w:ind w:left="284" w:hanging="284"/>
        <w:rPr>
          <w:rFonts w:asciiTheme="majorBidi" w:hAnsiTheme="majorBidi" w:cstheme="majorBidi"/>
          <w:b/>
          <w:color w:val="auto"/>
          <w:sz w:val="18"/>
          <w:szCs w:val="18"/>
          <w:lang w:val="en-US"/>
        </w:rPr>
      </w:pPr>
      <w:r>
        <w:rPr>
          <w:sz w:val="18"/>
          <w:szCs w:val="18"/>
          <w:vertAlign w:val="superscript"/>
        </w:rPr>
        <w:t>2)</w:t>
      </w:r>
      <w:r>
        <w:rPr>
          <w:sz w:val="18"/>
          <w:szCs w:val="18"/>
          <w:vertAlign w:val="superscript"/>
        </w:rPr>
        <w:tab/>
      </w:r>
      <w:r w:rsidRPr="000B54F9">
        <w:rPr>
          <w:rFonts w:asciiTheme="majorBidi" w:hAnsiTheme="majorBidi" w:cstheme="majorBidi"/>
          <w:color w:val="auto"/>
          <w:sz w:val="18"/>
          <w:szCs w:val="18"/>
          <w:lang w:val="en-US" w:eastAsia="de-DE"/>
        </w:rPr>
        <w:t xml:space="preserve">Nominal contents within the formulated product: </w:t>
      </w:r>
      <w:r>
        <w:rPr>
          <w:rFonts w:asciiTheme="majorBidi" w:hAnsiTheme="majorBidi" w:cstheme="majorBidi"/>
          <w:b/>
          <w:color w:val="auto"/>
          <w:sz w:val="18"/>
          <w:szCs w:val="18"/>
          <w:lang w:val="en-US"/>
        </w:rPr>
        <w:t>75</w:t>
      </w:r>
      <w:r w:rsidRPr="000B54F9">
        <w:rPr>
          <w:rFonts w:asciiTheme="majorBidi" w:hAnsiTheme="majorBidi" w:cstheme="majorBidi"/>
          <w:b/>
          <w:color w:val="auto"/>
          <w:sz w:val="18"/>
          <w:szCs w:val="18"/>
          <w:lang w:val="en-US"/>
        </w:rPr>
        <w:t> g/L</w:t>
      </w:r>
      <w:r>
        <w:rPr>
          <w:rFonts w:asciiTheme="majorBidi" w:hAnsiTheme="majorBidi" w:cstheme="majorBidi"/>
          <w:b/>
          <w:color w:val="auto"/>
          <w:sz w:val="18"/>
          <w:szCs w:val="18"/>
          <w:lang w:val="en-US"/>
        </w:rPr>
        <w:t xml:space="preserve"> (6.96% w/w)</w:t>
      </w:r>
      <w:r w:rsidRPr="000B54F9">
        <w:rPr>
          <w:rFonts w:asciiTheme="majorBidi" w:hAnsiTheme="majorBidi" w:cstheme="majorBidi"/>
          <w:b/>
          <w:color w:val="auto"/>
          <w:sz w:val="18"/>
          <w:szCs w:val="18"/>
          <w:lang w:val="en-US"/>
        </w:rPr>
        <w:t>.</w:t>
      </w:r>
    </w:p>
    <w:p w14:paraId="1A1ED685" w14:textId="77777777" w:rsidR="00E51CDD" w:rsidRPr="00B93986" w:rsidRDefault="00E51CDD" w:rsidP="00E51CDD">
      <w:pPr>
        <w:pStyle w:val="OECD-BASIS-TEXT"/>
        <w:ind w:left="284" w:hanging="284"/>
        <w:rPr>
          <w:rFonts w:asciiTheme="majorBidi" w:hAnsiTheme="majorBidi" w:cstheme="majorBidi"/>
          <w:b/>
          <w:color w:val="auto"/>
          <w:sz w:val="18"/>
          <w:szCs w:val="18"/>
          <w:lang w:val="en-US"/>
        </w:rPr>
      </w:pPr>
      <w:r>
        <w:rPr>
          <w:sz w:val="18"/>
          <w:szCs w:val="18"/>
          <w:vertAlign w:val="superscript"/>
        </w:rPr>
        <w:t>3)</w:t>
      </w:r>
      <w:r>
        <w:rPr>
          <w:sz w:val="18"/>
          <w:szCs w:val="18"/>
        </w:rPr>
        <w:tab/>
        <w:t>According to the EFSA Conclusion of azoxystrobin (</w:t>
      </w:r>
      <w:r w:rsidRPr="00B93986">
        <w:rPr>
          <w:sz w:val="18"/>
          <w:szCs w:val="18"/>
          <w:lang w:val="en-US"/>
        </w:rPr>
        <w:t>EFSA Journal 2010; 8(4):1542</w:t>
      </w:r>
      <w:r>
        <w:rPr>
          <w:sz w:val="18"/>
          <w:szCs w:val="18"/>
          <w:lang w:val="en-US"/>
        </w:rPr>
        <w:t>) no data on biodegradability is available. In a conservative approach, the active substance is assumed to be not readily biodegradable.</w:t>
      </w:r>
    </w:p>
    <w:p w14:paraId="2C18778C" w14:textId="22B41CF4" w:rsidR="00E51CDD" w:rsidRPr="001E209C" w:rsidRDefault="009938D9" w:rsidP="00E51CDD">
      <w:pPr>
        <w:jc w:val="both"/>
        <w:rPr>
          <w:bCs/>
          <w:sz w:val="24"/>
          <w:szCs w:val="18"/>
        </w:rPr>
      </w:pPr>
      <w:r>
        <w:rPr>
          <w:bCs/>
          <w:sz w:val="24"/>
          <w:szCs w:val="18"/>
        </w:rPr>
        <w:br w:type="page"/>
      </w:r>
    </w:p>
    <w:p w14:paraId="41AEF76C" w14:textId="77777777" w:rsidR="00E51CDD" w:rsidRPr="001E209C" w:rsidRDefault="00E51CDD" w:rsidP="00E51CDD">
      <w:pPr>
        <w:suppressAutoHyphens/>
        <w:jc w:val="both"/>
        <w:rPr>
          <w:bCs/>
        </w:rPr>
      </w:pPr>
      <w:r w:rsidRPr="001E209C">
        <w:rPr>
          <w:bCs/>
        </w:rPr>
        <w:lastRenderedPageBreak/>
        <w:t xml:space="preserve">Based on the lowest acute aquatic toxicity endpoint obtained with </w:t>
      </w:r>
      <w:r>
        <w:rPr>
          <w:bCs/>
        </w:rPr>
        <w:t>BAS 736 00 F</w:t>
      </w:r>
      <w:r w:rsidRPr="001E209C">
        <w:rPr>
          <w:bCs/>
        </w:rPr>
        <w:t xml:space="preserve"> </w:t>
      </w:r>
      <w:r>
        <w:rPr>
          <w:bCs/>
        </w:rPr>
        <w:t xml:space="preserve">no </w:t>
      </w:r>
      <w:r w:rsidRPr="001E209C">
        <w:rPr>
          <w:bCs/>
        </w:rPr>
        <w:t xml:space="preserve">aquatic acute hazard category is given according to (EC) No 1272/2008 (CLP). </w:t>
      </w:r>
    </w:p>
    <w:p w14:paraId="7056C199" w14:textId="77777777" w:rsidR="00E51CDD" w:rsidRPr="001E209C" w:rsidRDefault="00E51CDD" w:rsidP="00E51CDD">
      <w:pPr>
        <w:suppressAutoHyphens/>
        <w:jc w:val="both"/>
      </w:pPr>
    </w:p>
    <w:p w14:paraId="4B4E02D7" w14:textId="67ACED4C" w:rsidR="00E51CDD" w:rsidRPr="001E209C" w:rsidRDefault="00E51CDD" w:rsidP="00E51CDD">
      <w:pPr>
        <w:suppressAutoHyphens/>
        <w:jc w:val="both"/>
        <w:rPr>
          <w:bCs/>
        </w:rPr>
      </w:pPr>
      <w:r w:rsidRPr="001E209C">
        <w:t xml:space="preserve">Regarding chronic classification, </w:t>
      </w:r>
      <w:r w:rsidR="00FD6A45">
        <w:t>fluxapyroxad</w:t>
      </w:r>
      <w:r w:rsidRPr="001E209C">
        <w:t xml:space="preserve"> (a.</w:t>
      </w:r>
      <w:r>
        <w:t>s</w:t>
      </w:r>
      <w:r w:rsidRPr="001E209C">
        <w:t xml:space="preserve">. content of </w:t>
      </w:r>
      <w:r>
        <w:t>4</w:t>
      </w:r>
      <w:r w:rsidRPr="001E209C">
        <w:t>.</w:t>
      </w:r>
      <w:r>
        <w:t>64</w:t>
      </w:r>
      <w:r w:rsidRPr="001E209C">
        <w:t>% w/w within the product), classified as chronic hazard cat. 1</w:t>
      </w:r>
      <w:r>
        <w:t xml:space="preserve"> (M=1) and azoxystrobin (a.s. content of 6.96% w/w within the product), classified as chronic hazard cat. 1 (M=10) are</w:t>
      </w:r>
      <w:r w:rsidRPr="001E209C">
        <w:t xml:space="preserve"> considered for the summation method in the </w:t>
      </w:r>
      <w:r w:rsidRPr="001E209C">
        <w:rPr>
          <w:bCs/>
        </w:rPr>
        <w:t>1</w:t>
      </w:r>
      <w:r w:rsidRPr="001E209C">
        <w:rPr>
          <w:bCs/>
          <w:vertAlign w:val="superscript"/>
        </w:rPr>
        <w:t>st </w:t>
      </w:r>
      <w:r w:rsidRPr="001E209C">
        <w:rPr>
          <w:bCs/>
        </w:rPr>
        <w:t>equation according to CLP (</w:t>
      </w:r>
      <w:r w:rsidRPr="001E209C">
        <w:rPr>
          <w:bCs/>
          <w:i/>
          <w:iCs/>
        </w:rPr>
        <w:t>M x hazard cat. 1</w:t>
      </w:r>
      <w:r w:rsidRPr="001E209C">
        <w:rPr>
          <w:bCs/>
          <w:iCs/>
        </w:rPr>
        <w:t>)</w:t>
      </w:r>
      <w:r>
        <w:rPr>
          <w:bCs/>
          <w:i/>
          <w:iCs/>
        </w:rPr>
        <w:t>.</w:t>
      </w:r>
      <w:r w:rsidRPr="001E209C">
        <w:rPr>
          <w:bCs/>
          <w:i/>
          <w:iCs/>
        </w:rPr>
        <w:t xml:space="preserve"> </w:t>
      </w:r>
      <w:r w:rsidRPr="00DF0E6A">
        <w:rPr>
          <w:bCs/>
          <w:iCs/>
        </w:rPr>
        <w:t xml:space="preserve">The </w:t>
      </w:r>
      <w:r>
        <w:rPr>
          <w:bCs/>
          <w:iCs/>
        </w:rPr>
        <w:t>1</w:t>
      </w:r>
      <w:r w:rsidRPr="00DF0E6A">
        <w:rPr>
          <w:bCs/>
          <w:iCs/>
          <w:vertAlign w:val="superscript"/>
        </w:rPr>
        <w:t>st</w:t>
      </w:r>
      <w:r>
        <w:rPr>
          <w:bCs/>
          <w:iCs/>
        </w:rPr>
        <w:t xml:space="preserve"> equation </w:t>
      </w:r>
      <w:r w:rsidRPr="001E209C">
        <w:rPr>
          <w:bCs/>
          <w:iCs/>
        </w:rPr>
        <w:t>yield</w:t>
      </w:r>
      <w:r>
        <w:rPr>
          <w:bCs/>
          <w:iCs/>
        </w:rPr>
        <w:t>s</w:t>
      </w:r>
      <w:r w:rsidRPr="001E209C">
        <w:rPr>
          <w:bCs/>
        </w:rPr>
        <w:t xml:space="preserve"> a value which is above the trigger of 25%. Hence, </w:t>
      </w:r>
      <w:r>
        <w:rPr>
          <w:bCs/>
        </w:rPr>
        <w:t>BAS 736 00 F</w:t>
      </w:r>
      <w:r w:rsidRPr="001E209C">
        <w:rPr>
          <w:bCs/>
        </w:rPr>
        <w:t xml:space="preserve"> is classified as aquatic chronic hazard category 1 (H410). Chronic classification of </w:t>
      </w:r>
      <w:r>
        <w:rPr>
          <w:bCs/>
        </w:rPr>
        <w:t>BAS 736 00 F</w:t>
      </w:r>
      <w:r w:rsidRPr="001E209C">
        <w:rPr>
          <w:bCs/>
        </w:rPr>
        <w:t xml:space="preserve"> using the summation method is summarized in </w:t>
      </w:r>
      <w:r w:rsidRPr="001B5B5D">
        <w:rPr>
          <w:bCs/>
        </w:rPr>
        <w:fldChar w:fldCharType="begin"/>
      </w:r>
      <w:r w:rsidRPr="001E209C">
        <w:rPr>
          <w:bCs/>
        </w:rPr>
        <w:instrText xml:space="preserve"> REF _Ref434840247 \h  \* MERGEFORMAT </w:instrText>
      </w:r>
      <w:r w:rsidRPr="001B5B5D">
        <w:rPr>
          <w:bCs/>
        </w:rPr>
      </w:r>
      <w:r w:rsidRPr="001B5B5D">
        <w:rPr>
          <w:bCs/>
        </w:rPr>
        <w:fldChar w:fldCharType="separate"/>
      </w:r>
      <w:r w:rsidR="00662F32" w:rsidRPr="001B5B5D">
        <w:t xml:space="preserve">Table </w:t>
      </w:r>
      <w:r w:rsidR="00662F32">
        <w:t>9.13</w:t>
      </w:r>
      <w:r w:rsidR="00662F32" w:rsidRPr="001B5B5D">
        <w:noBreakHyphen/>
      </w:r>
      <w:r w:rsidR="00662F32">
        <w:t>2</w:t>
      </w:r>
      <w:r w:rsidRPr="001B5B5D">
        <w:rPr>
          <w:bCs/>
        </w:rPr>
        <w:fldChar w:fldCharType="end"/>
      </w:r>
      <w:r w:rsidRPr="001E209C">
        <w:rPr>
          <w:bCs/>
        </w:rPr>
        <w:t>.</w:t>
      </w:r>
    </w:p>
    <w:p w14:paraId="0ACFE07A" w14:textId="77777777" w:rsidR="00E51CDD" w:rsidRPr="001B5B5D" w:rsidRDefault="00E51CDD" w:rsidP="00E51CDD">
      <w:pPr>
        <w:pStyle w:val="OECD-BASIS-TEXT"/>
        <w:tabs>
          <w:tab w:val="left" w:pos="1984"/>
        </w:tabs>
        <w:suppressAutoHyphens/>
        <w:spacing w:after="40"/>
        <w:ind w:left="1560" w:hanging="1560"/>
        <w:rPr>
          <w:b/>
          <w:color w:val="auto"/>
          <w:lang w:val="en-US"/>
        </w:rPr>
      </w:pPr>
      <w:bookmarkStart w:id="1047" w:name="_Ref426989609"/>
    </w:p>
    <w:p w14:paraId="63E37126" w14:textId="4398F03D" w:rsidR="00E51CDD" w:rsidRPr="001B5B5D" w:rsidRDefault="00E51CDD" w:rsidP="00E51CDD">
      <w:pPr>
        <w:pStyle w:val="RepLabel"/>
        <w:suppressAutoHyphens/>
        <w:spacing w:before="0" w:after="40"/>
        <w:rPr>
          <w:lang w:val="en-US"/>
        </w:rPr>
      </w:pPr>
      <w:bookmarkStart w:id="1048" w:name="_Ref434840247"/>
      <w:bookmarkEnd w:id="1047"/>
      <w:r w:rsidRPr="001B5B5D">
        <w:rPr>
          <w:lang w:val="en-US"/>
        </w:rPr>
        <w:t xml:space="preserve">Table </w:t>
      </w:r>
      <w:r w:rsidRPr="001B5B5D">
        <w:rPr>
          <w:lang w:val="en-US"/>
        </w:rPr>
        <w:fldChar w:fldCharType="begin"/>
      </w:r>
      <w:r w:rsidRPr="001B5B5D">
        <w:rPr>
          <w:lang w:val="en-US"/>
        </w:rPr>
        <w:instrText xml:space="preserve"> STYLEREF 2 \s </w:instrText>
      </w:r>
      <w:r w:rsidRPr="001B5B5D">
        <w:rPr>
          <w:lang w:val="en-US"/>
        </w:rPr>
        <w:fldChar w:fldCharType="separate"/>
      </w:r>
      <w:r w:rsidR="00662F32">
        <w:rPr>
          <w:noProof/>
          <w:lang w:val="en-US"/>
        </w:rPr>
        <w:t>9.13</w:t>
      </w:r>
      <w:r w:rsidRPr="001B5B5D">
        <w:rPr>
          <w:lang w:val="en-US"/>
        </w:rPr>
        <w:fldChar w:fldCharType="end"/>
      </w:r>
      <w:r w:rsidRPr="001B5B5D">
        <w:rPr>
          <w:lang w:val="en-US"/>
        </w:rPr>
        <w:noBreakHyphen/>
      </w:r>
      <w:r w:rsidRPr="001B5B5D">
        <w:rPr>
          <w:lang w:val="en-US"/>
        </w:rPr>
        <w:fldChar w:fldCharType="begin"/>
      </w:r>
      <w:r w:rsidRPr="001B5B5D">
        <w:rPr>
          <w:lang w:val="en-US"/>
        </w:rPr>
        <w:instrText xml:space="preserve"> SEQ Table \* ARABIC \s 2 </w:instrText>
      </w:r>
      <w:r w:rsidRPr="001B5B5D">
        <w:rPr>
          <w:lang w:val="en-US"/>
        </w:rPr>
        <w:fldChar w:fldCharType="separate"/>
      </w:r>
      <w:r w:rsidR="00662F32">
        <w:rPr>
          <w:noProof/>
          <w:lang w:val="en-US"/>
        </w:rPr>
        <w:t>2</w:t>
      </w:r>
      <w:r w:rsidRPr="001B5B5D">
        <w:rPr>
          <w:lang w:val="en-US"/>
        </w:rPr>
        <w:fldChar w:fldCharType="end"/>
      </w:r>
      <w:bookmarkEnd w:id="1048"/>
      <w:r w:rsidRPr="001B5B5D">
        <w:rPr>
          <w:lang w:val="en-US"/>
        </w:rPr>
        <w:t>:</w:t>
      </w:r>
      <w:r w:rsidRPr="001B5B5D">
        <w:rPr>
          <w:lang w:val="en-US"/>
        </w:rPr>
        <w:tab/>
        <w:t xml:space="preserve">Chronic classification of </w:t>
      </w:r>
      <w:r>
        <w:rPr>
          <w:lang w:val="en-US"/>
        </w:rPr>
        <w:t>BAS 736 00 F</w:t>
      </w:r>
      <w:r w:rsidRPr="001B5B5D">
        <w:rPr>
          <w:lang w:val="en-US"/>
        </w:rPr>
        <w:t xml:space="preserve"> using the summation method according to (EC) No 1272/2008</w:t>
      </w:r>
    </w:p>
    <w:tbl>
      <w:tblPr>
        <w:tblStyle w:val="Tabela-Siatka"/>
        <w:tblW w:w="9356" w:type="dxa"/>
        <w:tblInd w:w="-5" w:type="dxa"/>
        <w:tblLayout w:type="fixed"/>
        <w:tblLook w:val="04A0" w:firstRow="1" w:lastRow="0" w:firstColumn="1" w:lastColumn="0" w:noHBand="0" w:noVBand="1"/>
      </w:tblPr>
      <w:tblGrid>
        <w:gridCol w:w="1247"/>
        <w:gridCol w:w="1418"/>
        <w:gridCol w:w="992"/>
        <w:gridCol w:w="596"/>
        <w:gridCol w:w="1843"/>
        <w:gridCol w:w="1417"/>
        <w:gridCol w:w="851"/>
        <w:gridCol w:w="992"/>
      </w:tblGrid>
      <w:tr w:rsidR="00E51CDD" w:rsidRPr="00DF0E6A" w14:paraId="5BB51EE2" w14:textId="77777777" w:rsidTr="009938D9">
        <w:trPr>
          <w:cantSplit/>
          <w:trHeight w:val="40"/>
        </w:trPr>
        <w:tc>
          <w:tcPr>
            <w:tcW w:w="9356" w:type="dxa"/>
            <w:gridSpan w:val="8"/>
            <w:tcBorders>
              <w:top w:val="single" w:sz="4" w:space="0" w:color="auto"/>
              <w:left w:val="single" w:sz="4" w:space="0" w:color="auto"/>
              <w:bottom w:val="single" w:sz="4" w:space="0" w:color="auto"/>
              <w:right w:val="single" w:sz="4" w:space="0" w:color="auto"/>
            </w:tcBorders>
          </w:tcPr>
          <w:p w14:paraId="2778ADED" w14:textId="7ED9833C" w:rsidR="00E51CDD" w:rsidRPr="00DF0E6A" w:rsidRDefault="00E51CDD" w:rsidP="009938D9">
            <w:pPr>
              <w:suppressAutoHyphens/>
              <w:spacing w:before="40" w:after="40"/>
              <w:jc w:val="left"/>
              <w:rPr>
                <w:b/>
                <w:sz w:val="20"/>
                <w:szCs w:val="20"/>
              </w:rPr>
            </w:pPr>
            <w:bookmarkStart w:id="1049" w:name="_Hlk88573258"/>
            <w:r w:rsidRPr="00DF0E6A">
              <w:rPr>
                <w:b/>
                <w:bCs/>
                <w:sz w:val="20"/>
                <w:szCs w:val="20"/>
              </w:rPr>
              <w:t>Chronic classification of BAS </w:t>
            </w:r>
            <w:r w:rsidR="00FD6A45">
              <w:rPr>
                <w:b/>
                <w:bCs/>
                <w:sz w:val="20"/>
                <w:szCs w:val="20"/>
              </w:rPr>
              <w:t>736</w:t>
            </w:r>
            <w:r w:rsidRPr="00DF0E6A">
              <w:rPr>
                <w:b/>
                <w:bCs/>
                <w:sz w:val="20"/>
                <w:szCs w:val="20"/>
              </w:rPr>
              <w:t> 0</w:t>
            </w:r>
            <w:r w:rsidR="00FD6A45">
              <w:rPr>
                <w:b/>
                <w:bCs/>
                <w:sz w:val="20"/>
                <w:szCs w:val="20"/>
              </w:rPr>
              <w:t>0</w:t>
            </w:r>
            <w:r w:rsidRPr="00DF0E6A">
              <w:rPr>
                <w:b/>
                <w:bCs/>
                <w:sz w:val="20"/>
                <w:szCs w:val="20"/>
              </w:rPr>
              <w:t> F</w:t>
            </w:r>
          </w:p>
        </w:tc>
      </w:tr>
      <w:tr w:rsidR="00E51CDD" w:rsidRPr="00E501FE" w14:paraId="1B399376" w14:textId="77777777" w:rsidTr="00FD6A45">
        <w:trPr>
          <w:cantSplit/>
          <w:trHeight w:val="377"/>
        </w:trPr>
        <w:tc>
          <w:tcPr>
            <w:tcW w:w="1247" w:type="dxa"/>
            <w:tcBorders>
              <w:top w:val="single" w:sz="4" w:space="0" w:color="auto"/>
              <w:left w:val="single" w:sz="4" w:space="0" w:color="auto"/>
              <w:bottom w:val="single" w:sz="6" w:space="0" w:color="auto"/>
              <w:right w:val="nil"/>
            </w:tcBorders>
          </w:tcPr>
          <w:p w14:paraId="4E6EB05F" w14:textId="77777777" w:rsidR="00E51CDD" w:rsidRPr="00E501FE" w:rsidRDefault="00E51CDD" w:rsidP="009938D9">
            <w:pPr>
              <w:suppressAutoHyphens/>
              <w:spacing w:before="40" w:after="40"/>
              <w:rPr>
                <w:sz w:val="20"/>
                <w:szCs w:val="20"/>
              </w:rPr>
            </w:pPr>
            <w:r>
              <w:rPr>
                <w:sz w:val="20"/>
                <w:szCs w:val="20"/>
              </w:rPr>
              <w:t>Summation step</w:t>
            </w:r>
          </w:p>
        </w:tc>
        <w:tc>
          <w:tcPr>
            <w:tcW w:w="1418" w:type="dxa"/>
            <w:tcBorders>
              <w:top w:val="single" w:sz="4" w:space="0" w:color="auto"/>
              <w:left w:val="single" w:sz="4" w:space="0" w:color="auto"/>
              <w:bottom w:val="single" w:sz="6" w:space="0" w:color="auto"/>
              <w:right w:val="nil"/>
            </w:tcBorders>
            <w:shd w:val="clear" w:color="auto" w:fill="auto"/>
            <w:vAlign w:val="center"/>
          </w:tcPr>
          <w:p w14:paraId="0771186A" w14:textId="77777777" w:rsidR="00E51CDD" w:rsidRPr="00E501FE" w:rsidRDefault="00E51CDD" w:rsidP="009938D9">
            <w:pPr>
              <w:suppressAutoHyphens/>
              <w:spacing w:before="40" w:after="40"/>
              <w:rPr>
                <w:sz w:val="20"/>
                <w:szCs w:val="20"/>
              </w:rPr>
            </w:pPr>
            <w:r w:rsidRPr="00E501FE">
              <w:rPr>
                <w:sz w:val="20"/>
                <w:szCs w:val="20"/>
              </w:rPr>
              <w:t>Name</w:t>
            </w:r>
          </w:p>
        </w:tc>
        <w:tc>
          <w:tcPr>
            <w:tcW w:w="992" w:type="dxa"/>
            <w:tcBorders>
              <w:top w:val="single" w:sz="4" w:space="0" w:color="auto"/>
              <w:left w:val="nil"/>
              <w:bottom w:val="single" w:sz="6" w:space="0" w:color="auto"/>
              <w:right w:val="nil"/>
            </w:tcBorders>
            <w:shd w:val="clear" w:color="auto" w:fill="auto"/>
            <w:vAlign w:val="center"/>
          </w:tcPr>
          <w:p w14:paraId="18C23D34" w14:textId="77777777" w:rsidR="00E51CDD" w:rsidRPr="00E501FE" w:rsidRDefault="00E51CDD" w:rsidP="009938D9">
            <w:pPr>
              <w:suppressAutoHyphens/>
              <w:spacing w:before="40" w:after="40"/>
              <w:rPr>
                <w:sz w:val="20"/>
                <w:szCs w:val="20"/>
              </w:rPr>
            </w:pPr>
            <w:r w:rsidRPr="00E501FE">
              <w:rPr>
                <w:sz w:val="20"/>
                <w:szCs w:val="20"/>
              </w:rPr>
              <w:t xml:space="preserve">Chronic </w:t>
            </w:r>
            <w:r>
              <w:rPr>
                <w:sz w:val="20"/>
                <w:szCs w:val="20"/>
              </w:rPr>
              <w:t>c</w:t>
            </w:r>
            <w:r w:rsidRPr="00E501FE">
              <w:rPr>
                <w:sz w:val="20"/>
                <w:szCs w:val="20"/>
              </w:rPr>
              <w:t>ategory</w:t>
            </w:r>
          </w:p>
        </w:tc>
        <w:tc>
          <w:tcPr>
            <w:tcW w:w="596" w:type="dxa"/>
            <w:tcBorders>
              <w:top w:val="single" w:sz="4" w:space="0" w:color="auto"/>
              <w:left w:val="nil"/>
              <w:bottom w:val="single" w:sz="6" w:space="0" w:color="auto"/>
              <w:right w:val="nil"/>
            </w:tcBorders>
            <w:shd w:val="clear" w:color="auto" w:fill="auto"/>
            <w:vAlign w:val="center"/>
          </w:tcPr>
          <w:p w14:paraId="6EB2AB2F" w14:textId="77777777" w:rsidR="00E51CDD" w:rsidRPr="00606C26" w:rsidRDefault="00E51CDD" w:rsidP="009938D9">
            <w:pPr>
              <w:suppressAutoHyphens/>
              <w:spacing w:before="40" w:after="40"/>
              <w:rPr>
                <w:sz w:val="20"/>
                <w:szCs w:val="20"/>
                <w:vertAlign w:val="superscript"/>
              </w:rPr>
            </w:pPr>
            <w:r w:rsidRPr="00E501FE">
              <w:rPr>
                <w:sz w:val="20"/>
                <w:szCs w:val="20"/>
              </w:rPr>
              <w:t>M</w:t>
            </w:r>
          </w:p>
        </w:tc>
        <w:tc>
          <w:tcPr>
            <w:tcW w:w="1843" w:type="dxa"/>
            <w:tcBorders>
              <w:top w:val="single" w:sz="4" w:space="0" w:color="auto"/>
              <w:left w:val="nil"/>
              <w:bottom w:val="single" w:sz="6" w:space="0" w:color="auto"/>
              <w:right w:val="nil"/>
            </w:tcBorders>
            <w:shd w:val="clear" w:color="auto" w:fill="auto"/>
            <w:vAlign w:val="center"/>
          </w:tcPr>
          <w:p w14:paraId="575E2C39" w14:textId="77777777" w:rsidR="00E51CDD" w:rsidRPr="00E501FE" w:rsidRDefault="00E51CDD" w:rsidP="009938D9">
            <w:pPr>
              <w:suppressAutoHyphens/>
              <w:spacing w:before="40" w:after="40"/>
              <w:rPr>
                <w:sz w:val="20"/>
                <w:szCs w:val="20"/>
              </w:rPr>
            </w:pPr>
            <w:r w:rsidRPr="00E501FE">
              <w:rPr>
                <w:sz w:val="20"/>
                <w:szCs w:val="20"/>
              </w:rPr>
              <w:t xml:space="preserve">Content in </w:t>
            </w:r>
            <w:r w:rsidRPr="00E501FE">
              <w:rPr>
                <w:bCs/>
                <w:sz w:val="20"/>
                <w:szCs w:val="20"/>
              </w:rPr>
              <w:t xml:space="preserve">BAS 762 02 F </w:t>
            </w:r>
            <w:r w:rsidRPr="00E501FE">
              <w:rPr>
                <w:sz w:val="20"/>
                <w:szCs w:val="20"/>
              </w:rPr>
              <w:t>[%]</w:t>
            </w:r>
          </w:p>
        </w:tc>
        <w:tc>
          <w:tcPr>
            <w:tcW w:w="1417" w:type="dxa"/>
            <w:tcBorders>
              <w:left w:val="nil"/>
              <w:bottom w:val="single" w:sz="6" w:space="0" w:color="auto"/>
              <w:right w:val="nil"/>
            </w:tcBorders>
            <w:shd w:val="clear" w:color="auto" w:fill="auto"/>
            <w:vAlign w:val="center"/>
          </w:tcPr>
          <w:p w14:paraId="52D3742D" w14:textId="77777777" w:rsidR="00E51CDD" w:rsidRPr="00E501FE" w:rsidRDefault="00E51CDD" w:rsidP="009938D9">
            <w:pPr>
              <w:suppressAutoHyphens/>
              <w:spacing w:before="40" w:after="40"/>
              <w:rPr>
                <w:sz w:val="20"/>
                <w:szCs w:val="20"/>
              </w:rPr>
            </w:pPr>
            <w:r w:rsidRPr="00E501FE">
              <w:rPr>
                <w:sz w:val="20"/>
                <w:szCs w:val="20"/>
              </w:rPr>
              <w:t>Result</w:t>
            </w:r>
            <w:r w:rsidRPr="00E501FE">
              <w:rPr>
                <w:sz w:val="20"/>
                <w:szCs w:val="20"/>
              </w:rPr>
              <w:br/>
              <w:t>(Content x M)</w:t>
            </w:r>
          </w:p>
        </w:tc>
        <w:tc>
          <w:tcPr>
            <w:tcW w:w="851" w:type="dxa"/>
            <w:tcBorders>
              <w:top w:val="single" w:sz="4" w:space="0" w:color="auto"/>
              <w:left w:val="nil"/>
              <w:bottom w:val="single" w:sz="4" w:space="0" w:color="auto"/>
              <w:right w:val="nil"/>
            </w:tcBorders>
            <w:shd w:val="clear" w:color="auto" w:fill="auto"/>
            <w:vAlign w:val="center"/>
          </w:tcPr>
          <w:p w14:paraId="151CCAA7" w14:textId="77777777" w:rsidR="00E51CDD" w:rsidRPr="00E501FE" w:rsidRDefault="00E51CDD" w:rsidP="009938D9">
            <w:pPr>
              <w:suppressAutoHyphens/>
              <w:spacing w:before="40" w:after="40"/>
              <w:rPr>
                <w:sz w:val="20"/>
                <w:szCs w:val="20"/>
              </w:rPr>
            </w:pPr>
            <w:r>
              <w:rPr>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tcPr>
          <w:p w14:paraId="0C971627" w14:textId="77777777" w:rsidR="00E51CDD" w:rsidRPr="00E501FE" w:rsidRDefault="00E51CDD" w:rsidP="009938D9">
            <w:pPr>
              <w:suppressAutoHyphens/>
              <w:spacing w:before="40" w:after="40"/>
              <w:rPr>
                <w:sz w:val="20"/>
                <w:szCs w:val="20"/>
              </w:rPr>
            </w:pPr>
            <w:r>
              <w:rPr>
                <w:sz w:val="20"/>
                <w:szCs w:val="20"/>
              </w:rPr>
              <w:t>Trigger</w:t>
            </w:r>
          </w:p>
        </w:tc>
      </w:tr>
      <w:tr w:rsidR="00E51CDD" w:rsidRPr="00E501FE" w14:paraId="5F4124AB" w14:textId="77777777" w:rsidTr="00FD6A45">
        <w:trPr>
          <w:cantSplit/>
        </w:trPr>
        <w:tc>
          <w:tcPr>
            <w:tcW w:w="1247" w:type="dxa"/>
            <w:vMerge w:val="restart"/>
            <w:tcBorders>
              <w:left w:val="single" w:sz="4" w:space="0" w:color="auto"/>
              <w:right w:val="nil"/>
            </w:tcBorders>
            <w:vAlign w:val="center"/>
          </w:tcPr>
          <w:p w14:paraId="0ADADFAD" w14:textId="77777777" w:rsidR="00E51CDD" w:rsidRPr="00A672C8" w:rsidRDefault="00E51CDD" w:rsidP="009938D9">
            <w:pPr>
              <w:suppressAutoHyphens/>
              <w:spacing w:before="40" w:after="40"/>
              <w:rPr>
                <w:sz w:val="20"/>
                <w:szCs w:val="20"/>
                <w:vertAlign w:val="superscript"/>
              </w:rPr>
            </w:pPr>
            <w:r w:rsidRPr="00E501FE">
              <w:rPr>
                <w:sz w:val="20"/>
                <w:szCs w:val="20"/>
              </w:rPr>
              <w:t>1</w:t>
            </w:r>
            <w:r w:rsidRPr="00E501FE">
              <w:rPr>
                <w:sz w:val="20"/>
                <w:szCs w:val="20"/>
                <w:vertAlign w:val="superscript"/>
              </w:rPr>
              <w:t>st</w:t>
            </w:r>
            <w:r w:rsidRPr="00E501FE">
              <w:rPr>
                <w:sz w:val="20"/>
                <w:szCs w:val="20"/>
              </w:rPr>
              <w:t xml:space="preserve"> equation</w:t>
            </w:r>
            <w:r>
              <w:rPr>
                <w:sz w:val="20"/>
                <w:szCs w:val="20"/>
              </w:rPr>
              <w:t xml:space="preserve"> </w:t>
            </w:r>
            <w:r>
              <w:rPr>
                <w:sz w:val="20"/>
                <w:szCs w:val="20"/>
                <w:vertAlign w:val="superscript"/>
              </w:rPr>
              <w:t>1)</w:t>
            </w:r>
          </w:p>
        </w:tc>
        <w:tc>
          <w:tcPr>
            <w:tcW w:w="1418" w:type="dxa"/>
            <w:tcBorders>
              <w:top w:val="single" w:sz="6" w:space="0" w:color="auto"/>
              <w:left w:val="single" w:sz="4" w:space="0" w:color="auto"/>
              <w:bottom w:val="nil"/>
              <w:right w:val="nil"/>
            </w:tcBorders>
            <w:shd w:val="clear" w:color="auto" w:fill="auto"/>
            <w:vAlign w:val="center"/>
          </w:tcPr>
          <w:p w14:paraId="09C3A01B" w14:textId="67724494" w:rsidR="00E51CDD" w:rsidRPr="00E501FE" w:rsidRDefault="00FD6A45" w:rsidP="009938D9">
            <w:pPr>
              <w:suppressAutoHyphens/>
              <w:spacing w:before="40" w:after="40"/>
              <w:rPr>
                <w:sz w:val="20"/>
                <w:szCs w:val="20"/>
              </w:rPr>
            </w:pPr>
            <w:r>
              <w:rPr>
                <w:sz w:val="20"/>
                <w:szCs w:val="20"/>
              </w:rPr>
              <w:t>Fluxapyroxad</w:t>
            </w:r>
          </w:p>
        </w:tc>
        <w:tc>
          <w:tcPr>
            <w:tcW w:w="992" w:type="dxa"/>
            <w:tcBorders>
              <w:top w:val="single" w:sz="6" w:space="0" w:color="auto"/>
              <w:left w:val="nil"/>
              <w:bottom w:val="nil"/>
              <w:right w:val="nil"/>
            </w:tcBorders>
            <w:shd w:val="clear" w:color="auto" w:fill="auto"/>
            <w:vAlign w:val="center"/>
          </w:tcPr>
          <w:p w14:paraId="30E1DE63" w14:textId="77777777" w:rsidR="00E51CDD" w:rsidRPr="00E501FE" w:rsidRDefault="00E51CDD" w:rsidP="009938D9">
            <w:pPr>
              <w:suppressAutoHyphens/>
              <w:spacing w:before="40" w:after="40"/>
              <w:rPr>
                <w:sz w:val="20"/>
                <w:szCs w:val="20"/>
              </w:rPr>
            </w:pPr>
            <w:r w:rsidRPr="00E501FE">
              <w:rPr>
                <w:sz w:val="20"/>
                <w:szCs w:val="20"/>
              </w:rPr>
              <w:t>1</w:t>
            </w:r>
          </w:p>
        </w:tc>
        <w:tc>
          <w:tcPr>
            <w:tcW w:w="596" w:type="dxa"/>
            <w:tcBorders>
              <w:top w:val="single" w:sz="6" w:space="0" w:color="auto"/>
              <w:left w:val="nil"/>
              <w:bottom w:val="nil"/>
              <w:right w:val="nil"/>
            </w:tcBorders>
            <w:shd w:val="clear" w:color="auto" w:fill="auto"/>
            <w:vAlign w:val="center"/>
          </w:tcPr>
          <w:p w14:paraId="641D46BE" w14:textId="77777777" w:rsidR="00E51CDD" w:rsidRPr="00E501FE" w:rsidRDefault="00E51CDD" w:rsidP="009938D9">
            <w:pPr>
              <w:suppressAutoHyphens/>
              <w:spacing w:before="40" w:after="40"/>
              <w:rPr>
                <w:sz w:val="20"/>
                <w:szCs w:val="20"/>
              </w:rPr>
            </w:pPr>
            <w:r w:rsidRPr="00E501FE">
              <w:rPr>
                <w:sz w:val="20"/>
                <w:szCs w:val="20"/>
              </w:rPr>
              <w:t>1</w:t>
            </w:r>
          </w:p>
        </w:tc>
        <w:tc>
          <w:tcPr>
            <w:tcW w:w="1843" w:type="dxa"/>
            <w:tcBorders>
              <w:top w:val="single" w:sz="6" w:space="0" w:color="auto"/>
              <w:left w:val="nil"/>
              <w:bottom w:val="nil"/>
              <w:right w:val="nil"/>
            </w:tcBorders>
            <w:shd w:val="clear" w:color="auto" w:fill="auto"/>
          </w:tcPr>
          <w:p w14:paraId="522FCB80" w14:textId="77777777" w:rsidR="00E51CDD" w:rsidRPr="00E501FE" w:rsidRDefault="00E51CDD" w:rsidP="009938D9">
            <w:pPr>
              <w:suppressAutoHyphens/>
              <w:spacing w:before="40" w:after="40"/>
              <w:rPr>
                <w:sz w:val="20"/>
                <w:szCs w:val="20"/>
              </w:rPr>
            </w:pPr>
            <w:r>
              <w:rPr>
                <w:sz w:val="20"/>
                <w:szCs w:val="20"/>
              </w:rPr>
              <w:t>4</w:t>
            </w:r>
            <w:r w:rsidRPr="00E501FE">
              <w:rPr>
                <w:sz w:val="20"/>
                <w:szCs w:val="20"/>
              </w:rPr>
              <w:t>.</w:t>
            </w:r>
            <w:r>
              <w:rPr>
                <w:sz w:val="20"/>
                <w:szCs w:val="20"/>
              </w:rPr>
              <w:t>64</w:t>
            </w:r>
          </w:p>
        </w:tc>
        <w:tc>
          <w:tcPr>
            <w:tcW w:w="1417" w:type="dxa"/>
            <w:tcBorders>
              <w:top w:val="single" w:sz="6" w:space="0" w:color="auto"/>
              <w:left w:val="nil"/>
              <w:bottom w:val="nil"/>
              <w:right w:val="nil"/>
            </w:tcBorders>
            <w:shd w:val="clear" w:color="auto" w:fill="auto"/>
          </w:tcPr>
          <w:p w14:paraId="0E9EDD99" w14:textId="77777777" w:rsidR="00E51CDD" w:rsidRPr="00E501FE" w:rsidRDefault="00E51CDD" w:rsidP="009938D9">
            <w:pPr>
              <w:suppressAutoHyphens/>
              <w:spacing w:before="40" w:after="40"/>
              <w:rPr>
                <w:sz w:val="20"/>
                <w:szCs w:val="20"/>
              </w:rPr>
            </w:pPr>
            <w:r>
              <w:rPr>
                <w:sz w:val="20"/>
                <w:szCs w:val="20"/>
              </w:rPr>
              <w:t>6.64</w:t>
            </w:r>
          </w:p>
        </w:tc>
        <w:tc>
          <w:tcPr>
            <w:tcW w:w="851" w:type="dxa"/>
            <w:vMerge w:val="restart"/>
            <w:tcBorders>
              <w:top w:val="single" w:sz="4" w:space="0" w:color="auto"/>
              <w:left w:val="nil"/>
              <w:bottom w:val="nil"/>
              <w:right w:val="nil"/>
            </w:tcBorders>
            <w:shd w:val="clear" w:color="auto" w:fill="auto"/>
            <w:vAlign w:val="center"/>
          </w:tcPr>
          <w:p w14:paraId="7FA7DFDD" w14:textId="77777777" w:rsidR="00E51CDD" w:rsidRPr="00A672C8" w:rsidRDefault="00E51CDD" w:rsidP="009938D9">
            <w:pPr>
              <w:suppressAutoHyphens/>
              <w:spacing w:before="40" w:after="40"/>
              <w:rPr>
                <w:sz w:val="20"/>
                <w:szCs w:val="20"/>
              </w:rPr>
            </w:pPr>
            <w:r>
              <w:rPr>
                <w:sz w:val="20"/>
                <w:szCs w:val="20"/>
              </w:rPr>
              <w:t>76.24</w:t>
            </w:r>
          </w:p>
        </w:tc>
        <w:tc>
          <w:tcPr>
            <w:tcW w:w="992" w:type="dxa"/>
            <w:vMerge w:val="restart"/>
            <w:tcBorders>
              <w:top w:val="single" w:sz="4" w:space="0" w:color="auto"/>
              <w:left w:val="nil"/>
              <w:bottom w:val="nil"/>
              <w:right w:val="single" w:sz="4" w:space="0" w:color="auto"/>
            </w:tcBorders>
            <w:shd w:val="clear" w:color="auto" w:fill="auto"/>
            <w:vAlign w:val="center"/>
          </w:tcPr>
          <w:p w14:paraId="664424B5" w14:textId="77777777" w:rsidR="00E51CDD" w:rsidRPr="00E501FE" w:rsidRDefault="00E51CDD" w:rsidP="009938D9">
            <w:pPr>
              <w:suppressAutoHyphens/>
              <w:spacing w:before="40" w:after="40"/>
              <w:rPr>
                <w:sz w:val="20"/>
                <w:szCs w:val="20"/>
              </w:rPr>
            </w:pPr>
            <w:r>
              <w:rPr>
                <w:sz w:val="20"/>
                <w:szCs w:val="20"/>
              </w:rPr>
              <w:t>&gt; 25%</w:t>
            </w:r>
          </w:p>
        </w:tc>
      </w:tr>
      <w:tr w:rsidR="00E51CDD" w:rsidRPr="00E501FE" w14:paraId="14EE3A53" w14:textId="77777777" w:rsidTr="00FD6A45">
        <w:trPr>
          <w:cantSplit/>
        </w:trPr>
        <w:tc>
          <w:tcPr>
            <w:tcW w:w="1247" w:type="dxa"/>
            <w:vMerge/>
            <w:tcBorders>
              <w:left w:val="single" w:sz="4" w:space="0" w:color="auto"/>
              <w:right w:val="nil"/>
            </w:tcBorders>
          </w:tcPr>
          <w:p w14:paraId="6128AA0E" w14:textId="77777777" w:rsidR="00E51CDD" w:rsidRPr="00E501FE" w:rsidRDefault="00E51CDD" w:rsidP="009938D9">
            <w:pPr>
              <w:suppressAutoHyphens/>
              <w:spacing w:before="40" w:after="40"/>
              <w:rPr>
                <w:sz w:val="20"/>
                <w:szCs w:val="20"/>
              </w:rPr>
            </w:pPr>
          </w:p>
        </w:tc>
        <w:tc>
          <w:tcPr>
            <w:tcW w:w="1418" w:type="dxa"/>
            <w:tcBorders>
              <w:top w:val="nil"/>
              <w:left w:val="single" w:sz="4" w:space="0" w:color="auto"/>
              <w:bottom w:val="single" w:sz="8" w:space="0" w:color="auto"/>
              <w:right w:val="nil"/>
            </w:tcBorders>
            <w:shd w:val="clear" w:color="auto" w:fill="auto"/>
            <w:vAlign w:val="center"/>
          </w:tcPr>
          <w:p w14:paraId="7010D78A" w14:textId="77777777" w:rsidR="00E51CDD" w:rsidRPr="00E501FE" w:rsidRDefault="00E51CDD" w:rsidP="009938D9">
            <w:pPr>
              <w:suppressAutoHyphens/>
              <w:spacing w:before="40" w:after="40"/>
              <w:rPr>
                <w:sz w:val="20"/>
                <w:szCs w:val="20"/>
              </w:rPr>
            </w:pPr>
            <w:r>
              <w:rPr>
                <w:sz w:val="20"/>
                <w:szCs w:val="20"/>
              </w:rPr>
              <w:t>Azoxystrobin</w:t>
            </w:r>
          </w:p>
        </w:tc>
        <w:tc>
          <w:tcPr>
            <w:tcW w:w="992" w:type="dxa"/>
            <w:tcBorders>
              <w:top w:val="nil"/>
              <w:left w:val="nil"/>
              <w:bottom w:val="single" w:sz="8" w:space="0" w:color="auto"/>
              <w:right w:val="nil"/>
            </w:tcBorders>
            <w:shd w:val="clear" w:color="auto" w:fill="auto"/>
            <w:vAlign w:val="center"/>
          </w:tcPr>
          <w:p w14:paraId="5129BE05" w14:textId="77777777" w:rsidR="00E51CDD" w:rsidRPr="00E501FE" w:rsidRDefault="00E51CDD" w:rsidP="009938D9">
            <w:pPr>
              <w:suppressAutoHyphens/>
              <w:spacing w:before="40" w:after="40"/>
              <w:rPr>
                <w:sz w:val="20"/>
                <w:szCs w:val="20"/>
              </w:rPr>
            </w:pPr>
            <w:r>
              <w:rPr>
                <w:sz w:val="20"/>
                <w:szCs w:val="20"/>
              </w:rPr>
              <w:t>1</w:t>
            </w:r>
          </w:p>
        </w:tc>
        <w:tc>
          <w:tcPr>
            <w:tcW w:w="596" w:type="dxa"/>
            <w:tcBorders>
              <w:top w:val="nil"/>
              <w:left w:val="nil"/>
              <w:bottom w:val="single" w:sz="8" w:space="0" w:color="auto"/>
              <w:right w:val="nil"/>
            </w:tcBorders>
            <w:shd w:val="clear" w:color="auto" w:fill="auto"/>
            <w:vAlign w:val="center"/>
          </w:tcPr>
          <w:p w14:paraId="496BAD71" w14:textId="77777777" w:rsidR="00E51CDD" w:rsidRPr="00E501FE" w:rsidRDefault="00E51CDD" w:rsidP="009938D9">
            <w:pPr>
              <w:suppressAutoHyphens/>
              <w:spacing w:before="40" w:after="40"/>
              <w:rPr>
                <w:sz w:val="20"/>
                <w:szCs w:val="20"/>
              </w:rPr>
            </w:pPr>
            <w:r>
              <w:rPr>
                <w:sz w:val="20"/>
                <w:szCs w:val="20"/>
              </w:rPr>
              <w:t>10</w:t>
            </w:r>
          </w:p>
        </w:tc>
        <w:tc>
          <w:tcPr>
            <w:tcW w:w="1843" w:type="dxa"/>
            <w:tcBorders>
              <w:top w:val="nil"/>
              <w:left w:val="nil"/>
              <w:bottom w:val="single" w:sz="8" w:space="0" w:color="auto"/>
              <w:right w:val="nil"/>
            </w:tcBorders>
            <w:shd w:val="clear" w:color="auto" w:fill="auto"/>
          </w:tcPr>
          <w:p w14:paraId="42E9A9E8" w14:textId="77777777" w:rsidR="00E51CDD" w:rsidRPr="00E501FE" w:rsidRDefault="00E51CDD" w:rsidP="009938D9">
            <w:pPr>
              <w:suppressAutoHyphens/>
              <w:spacing w:before="40" w:after="40"/>
              <w:rPr>
                <w:sz w:val="20"/>
                <w:szCs w:val="20"/>
              </w:rPr>
            </w:pPr>
            <w:r>
              <w:rPr>
                <w:sz w:val="20"/>
                <w:szCs w:val="20"/>
              </w:rPr>
              <w:t>6</w:t>
            </w:r>
            <w:r w:rsidRPr="00E501FE">
              <w:rPr>
                <w:sz w:val="20"/>
                <w:szCs w:val="20"/>
              </w:rPr>
              <w:t>.</w:t>
            </w:r>
            <w:r>
              <w:rPr>
                <w:sz w:val="20"/>
                <w:szCs w:val="20"/>
              </w:rPr>
              <w:t>96</w:t>
            </w:r>
          </w:p>
        </w:tc>
        <w:tc>
          <w:tcPr>
            <w:tcW w:w="1417" w:type="dxa"/>
            <w:tcBorders>
              <w:top w:val="nil"/>
              <w:left w:val="nil"/>
              <w:bottom w:val="single" w:sz="8" w:space="0" w:color="auto"/>
              <w:right w:val="nil"/>
            </w:tcBorders>
            <w:shd w:val="clear" w:color="auto" w:fill="auto"/>
          </w:tcPr>
          <w:p w14:paraId="19280BAA" w14:textId="77777777" w:rsidR="00E51CDD" w:rsidRPr="00E501FE" w:rsidRDefault="00E51CDD" w:rsidP="009938D9">
            <w:pPr>
              <w:suppressAutoHyphens/>
              <w:spacing w:before="40" w:after="40"/>
              <w:rPr>
                <w:sz w:val="20"/>
                <w:szCs w:val="20"/>
              </w:rPr>
            </w:pPr>
            <w:r>
              <w:rPr>
                <w:sz w:val="20"/>
                <w:szCs w:val="20"/>
              </w:rPr>
              <w:t>69.6</w:t>
            </w:r>
          </w:p>
        </w:tc>
        <w:tc>
          <w:tcPr>
            <w:tcW w:w="851" w:type="dxa"/>
            <w:vMerge/>
            <w:tcBorders>
              <w:top w:val="nil"/>
              <w:left w:val="nil"/>
              <w:bottom w:val="single" w:sz="4" w:space="0" w:color="auto"/>
              <w:right w:val="nil"/>
            </w:tcBorders>
            <w:shd w:val="clear" w:color="auto" w:fill="auto"/>
            <w:vAlign w:val="center"/>
          </w:tcPr>
          <w:p w14:paraId="30543F31" w14:textId="77777777" w:rsidR="00E51CDD" w:rsidRPr="00E501FE" w:rsidRDefault="00E51CDD" w:rsidP="009938D9">
            <w:pPr>
              <w:suppressAutoHyphens/>
              <w:spacing w:before="40" w:after="40"/>
              <w:rPr>
                <w:b/>
                <w:sz w:val="20"/>
                <w:szCs w:val="20"/>
              </w:rPr>
            </w:pPr>
          </w:p>
        </w:tc>
        <w:tc>
          <w:tcPr>
            <w:tcW w:w="992" w:type="dxa"/>
            <w:vMerge/>
            <w:tcBorders>
              <w:top w:val="nil"/>
              <w:left w:val="nil"/>
              <w:bottom w:val="single" w:sz="4" w:space="0" w:color="auto"/>
              <w:right w:val="single" w:sz="4" w:space="0" w:color="auto"/>
            </w:tcBorders>
            <w:shd w:val="clear" w:color="auto" w:fill="auto"/>
            <w:vAlign w:val="center"/>
          </w:tcPr>
          <w:p w14:paraId="2B090AC0" w14:textId="77777777" w:rsidR="00E51CDD" w:rsidRPr="00E501FE" w:rsidRDefault="00E51CDD" w:rsidP="009938D9">
            <w:pPr>
              <w:suppressAutoHyphens/>
              <w:spacing w:before="40" w:after="40"/>
              <w:rPr>
                <w:sz w:val="20"/>
                <w:szCs w:val="20"/>
              </w:rPr>
            </w:pPr>
          </w:p>
        </w:tc>
      </w:tr>
    </w:tbl>
    <w:bookmarkEnd w:id="1049"/>
    <w:p w14:paraId="12403C13" w14:textId="77777777" w:rsidR="00E51CDD" w:rsidRPr="00606C26" w:rsidRDefault="00E51CDD" w:rsidP="00E51CDD">
      <w:pPr>
        <w:suppressAutoHyphens/>
        <w:ind w:left="284" w:hanging="284"/>
        <w:jc w:val="both"/>
        <w:rPr>
          <w:bCs/>
          <w:sz w:val="18"/>
          <w:szCs w:val="18"/>
        </w:rPr>
      </w:pPr>
      <w:r>
        <w:rPr>
          <w:bCs/>
          <w:sz w:val="18"/>
          <w:szCs w:val="18"/>
        </w:rPr>
        <w:t>M = M-Factor</w:t>
      </w:r>
    </w:p>
    <w:p w14:paraId="454D680A" w14:textId="77777777" w:rsidR="00E51CDD" w:rsidRDefault="00E51CDD" w:rsidP="00E51CDD">
      <w:pPr>
        <w:suppressAutoHyphens/>
        <w:ind w:left="284" w:hanging="284"/>
        <w:jc w:val="both"/>
        <w:rPr>
          <w:i/>
          <w:iCs/>
          <w:sz w:val="20"/>
          <w:szCs w:val="20"/>
        </w:rPr>
      </w:pPr>
      <w:r w:rsidRPr="000E5184">
        <w:rPr>
          <w:bCs/>
          <w:sz w:val="18"/>
          <w:szCs w:val="18"/>
          <w:vertAlign w:val="superscript"/>
        </w:rPr>
        <w:t>1)</w:t>
      </w:r>
      <w:r w:rsidRPr="000E5184">
        <w:rPr>
          <w:bCs/>
          <w:sz w:val="18"/>
          <w:szCs w:val="18"/>
        </w:rPr>
        <w:tab/>
      </w:r>
      <w:r w:rsidRPr="00E501FE">
        <w:rPr>
          <w:sz w:val="20"/>
          <w:szCs w:val="20"/>
        </w:rPr>
        <w:t xml:space="preserve">SUM </w:t>
      </w:r>
      <w:r w:rsidRPr="00E501FE">
        <w:rPr>
          <w:i/>
          <w:iCs/>
          <w:sz w:val="20"/>
          <w:szCs w:val="20"/>
        </w:rPr>
        <w:t>(M x Chronic 1)</w:t>
      </w:r>
    </w:p>
    <w:p w14:paraId="459D17E2" w14:textId="77777777" w:rsidR="00E51CDD" w:rsidRPr="001E209C" w:rsidRDefault="00E51CDD" w:rsidP="00E51CDD">
      <w:pPr>
        <w:suppressAutoHyphens/>
        <w:jc w:val="both"/>
        <w:rPr>
          <w:bCs/>
          <w:u w:val="single"/>
        </w:rPr>
      </w:pPr>
    </w:p>
    <w:p w14:paraId="36AA012F" w14:textId="77777777" w:rsidR="00E51CDD" w:rsidRPr="001E209C" w:rsidRDefault="00E51CDD" w:rsidP="00E51CDD">
      <w:pPr>
        <w:jc w:val="both"/>
        <w:rPr>
          <w:bCs/>
          <w:sz w:val="24"/>
          <w:szCs w:val="18"/>
        </w:rPr>
      </w:pPr>
    </w:p>
    <w:p w14:paraId="32FC37E0" w14:textId="77777777" w:rsidR="00E51CDD" w:rsidRPr="001E209C" w:rsidRDefault="00E51CDD" w:rsidP="00E51CDD">
      <w:pPr>
        <w:jc w:val="both"/>
        <w:rPr>
          <w:b/>
          <w:bCs/>
          <w:u w:val="single"/>
        </w:rPr>
      </w:pPr>
      <w:r w:rsidRPr="001E209C">
        <w:rPr>
          <w:b/>
          <w:bCs/>
          <w:u w:val="single"/>
        </w:rPr>
        <w:t>Conclusion</w:t>
      </w:r>
    </w:p>
    <w:bookmarkEnd w:id="1040"/>
    <w:p w14:paraId="10F85103" w14:textId="77777777" w:rsidR="00E51CDD" w:rsidRPr="001E209C" w:rsidRDefault="00E51CDD" w:rsidP="00E51CDD">
      <w:pPr>
        <w:suppressAutoHyphens/>
        <w:jc w:val="both"/>
        <w:rPr>
          <w:b/>
          <w:bCs/>
          <w:u w:val="single"/>
        </w:rPr>
      </w:pPr>
    </w:p>
    <w:p w14:paraId="2148A241" w14:textId="77777777" w:rsidR="00E51CDD" w:rsidRPr="001E209C" w:rsidRDefault="00E51CDD" w:rsidP="00E51CDD">
      <w:pPr>
        <w:suppressAutoHyphens/>
        <w:jc w:val="both"/>
      </w:pPr>
      <w:r w:rsidRPr="001E209C">
        <w:rPr>
          <w:bCs/>
        </w:rPr>
        <w:t xml:space="preserve">Based on the data obtained with the product and the lowest chronic aquatic toxicity endpoints of the classified compounds within the formulated product the following classification and labelling is proposed for </w:t>
      </w:r>
      <w:r>
        <w:rPr>
          <w:bCs/>
        </w:rPr>
        <w:t>BAS 736 00 F</w:t>
      </w:r>
      <w:r w:rsidRPr="001E209C">
        <w:rPr>
          <w:bCs/>
        </w:rPr>
        <w:t xml:space="preserve">: </w:t>
      </w:r>
      <w:r w:rsidRPr="00DF0E6A">
        <w:rPr>
          <w:b/>
          <w:bCs/>
        </w:rPr>
        <w:t>no</w:t>
      </w:r>
      <w:r>
        <w:rPr>
          <w:bCs/>
        </w:rPr>
        <w:t xml:space="preserve"> </w:t>
      </w:r>
      <w:r w:rsidRPr="001E209C">
        <w:rPr>
          <w:b/>
          <w:bCs/>
        </w:rPr>
        <w:t>aquatic acute hazard category and aquatic chronic hazard category 1 (H410)</w:t>
      </w:r>
      <w:r w:rsidRPr="001E209C">
        <w:rPr>
          <w:bCs/>
        </w:rPr>
        <w:t xml:space="preserve"> according to GHS following Regulation (EC) No 1272/2008.</w:t>
      </w:r>
    </w:p>
    <w:bookmarkEnd w:id="1041"/>
    <w:p w14:paraId="7A8559FF" w14:textId="77777777" w:rsidR="00E51CDD" w:rsidRPr="001E209C" w:rsidRDefault="00E51CDD" w:rsidP="00E51CD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45"/>
      </w:tblGrid>
      <w:tr w:rsidR="00F5076F" w:rsidRPr="00DD5DB0" w14:paraId="03F554E9" w14:textId="77777777" w:rsidTr="00812324">
        <w:tc>
          <w:tcPr>
            <w:tcW w:w="5000" w:type="pct"/>
            <w:shd w:val="clear" w:color="auto" w:fill="D9D9D9"/>
          </w:tcPr>
          <w:p w14:paraId="115ED5A3" w14:textId="77777777" w:rsidR="00F5076F" w:rsidRPr="00F94BF1" w:rsidRDefault="00F5076F" w:rsidP="00812324">
            <w:pPr>
              <w:pStyle w:val="TableText"/>
              <w:spacing w:before="120" w:after="120"/>
              <w:jc w:val="both"/>
              <w:rPr>
                <w:b/>
                <w:bCs/>
                <w:sz w:val="22"/>
                <w:szCs w:val="22"/>
              </w:rPr>
            </w:pPr>
            <w:r w:rsidRPr="00F94BF1">
              <w:rPr>
                <w:b/>
                <w:bCs/>
                <w:sz w:val="22"/>
                <w:szCs w:val="22"/>
              </w:rPr>
              <w:t>Review Comments:</w:t>
            </w:r>
          </w:p>
          <w:p w14:paraId="0C005624" w14:textId="5EE04287" w:rsidR="00F5076F" w:rsidRPr="000C6071" w:rsidRDefault="00720118" w:rsidP="00812324">
            <w:pPr>
              <w:pStyle w:val="OECD-BASIS-TEXT"/>
              <w:spacing w:before="120" w:after="120"/>
            </w:pPr>
            <w:r>
              <w:t>T</w:t>
            </w:r>
            <w:r w:rsidRPr="00720118">
              <w:t xml:space="preserve">he proposal </w:t>
            </w:r>
            <w:r w:rsidR="000705CD">
              <w:t>of</w:t>
            </w:r>
            <w:r w:rsidRPr="00720118">
              <w:t xml:space="preserve"> the classification of </w:t>
            </w:r>
            <w:r w:rsidR="00104D95">
              <w:t>BAS 736 00 F</w:t>
            </w:r>
            <w:r w:rsidRPr="00720118">
              <w:t xml:space="preserve"> is correct.</w:t>
            </w:r>
            <w:r w:rsidR="00F5076F">
              <w:t xml:space="preserve"> </w:t>
            </w:r>
          </w:p>
        </w:tc>
      </w:tr>
    </w:tbl>
    <w:p w14:paraId="68DA894A" w14:textId="77777777" w:rsidR="00E51CDD" w:rsidRPr="0001034E" w:rsidRDefault="00E51CDD" w:rsidP="00E51CDD"/>
    <w:p w14:paraId="22D1CD40" w14:textId="77777777" w:rsidR="00E51CDD" w:rsidRPr="00AA115E" w:rsidRDefault="00E51CDD" w:rsidP="00E51CDD"/>
    <w:p w14:paraId="6D704F9A" w14:textId="77777777" w:rsidR="00E51CDD" w:rsidRDefault="00E51CDD" w:rsidP="00E51CDD">
      <w:pPr>
        <w:pStyle w:val="StyleOECD-BASIS-TEXTLeft"/>
        <w:rPr>
          <w:sz w:val="22"/>
          <w:lang w:val="en-US"/>
        </w:rPr>
      </w:pPr>
    </w:p>
    <w:p w14:paraId="08AAB877" w14:textId="77777777" w:rsidR="00E51CDD" w:rsidRDefault="00E51CDD" w:rsidP="00E51CDD">
      <w:pPr>
        <w:pStyle w:val="StyleOECD-BASIS-TEXTLeft"/>
        <w:rPr>
          <w:sz w:val="22"/>
          <w:lang w:val="en-US"/>
        </w:rPr>
      </w:pPr>
    </w:p>
    <w:p w14:paraId="187367E7" w14:textId="77777777" w:rsidR="00E51CDD" w:rsidRPr="00FF3041" w:rsidRDefault="00E51CDD" w:rsidP="00E51CDD">
      <w:pPr>
        <w:pStyle w:val="StyleOECD-BASIS-TEXTLeft"/>
        <w:rPr>
          <w:sz w:val="22"/>
          <w:lang w:val="en-US"/>
        </w:rPr>
        <w:sectPr w:rsidR="00E51CDD" w:rsidRPr="00FF3041" w:rsidSect="00106F5B">
          <w:headerReference w:type="even" r:id="rId57"/>
          <w:footerReference w:type="even" r:id="rId58"/>
          <w:headerReference w:type="first" r:id="rId59"/>
          <w:footerReference w:type="first" r:id="rId60"/>
          <w:pgSz w:w="11907" w:h="16840" w:code="9"/>
          <w:pgMar w:top="1418" w:right="1134" w:bottom="1418" w:left="1418" w:header="709" w:footer="709" w:gutter="0"/>
          <w:cols w:space="720"/>
        </w:sectPr>
      </w:pPr>
    </w:p>
    <w:p w14:paraId="1E65C503" w14:textId="77777777" w:rsidR="00E51CDD" w:rsidRPr="002B1114" w:rsidRDefault="00E51CDD" w:rsidP="00E51CDD">
      <w:pPr>
        <w:pStyle w:val="RepAppendix1"/>
        <w:numPr>
          <w:ilvl w:val="0"/>
          <w:numId w:val="15"/>
        </w:numPr>
      </w:pPr>
      <w:bookmarkStart w:id="1050" w:name="_Toc414955320"/>
      <w:bookmarkStart w:id="1051" w:name="_Ref414979066"/>
      <w:bookmarkStart w:id="1052" w:name="_Toc415214627"/>
      <w:bookmarkStart w:id="1053" w:name="_Toc399487304"/>
      <w:bookmarkStart w:id="1054" w:name="_Ref405984983"/>
      <w:bookmarkStart w:id="1055" w:name="_Ref405985341"/>
      <w:bookmarkStart w:id="1056" w:name="_Ref405985372"/>
      <w:bookmarkStart w:id="1057" w:name="_Ref405985396"/>
      <w:bookmarkStart w:id="1058" w:name="_Ref405986942"/>
      <w:bookmarkStart w:id="1059" w:name="_Toc125446469"/>
      <w:r w:rsidRPr="002B1114">
        <w:lastRenderedPageBreak/>
        <w:t>Lists of data considered in support of the evaluation</w:t>
      </w:r>
      <w:bookmarkEnd w:id="1050"/>
      <w:bookmarkEnd w:id="1051"/>
      <w:bookmarkEnd w:id="1052"/>
      <w:bookmarkEnd w:id="1059"/>
    </w:p>
    <w:p w14:paraId="4143D17E" w14:textId="77777777" w:rsidR="00E51CDD" w:rsidRPr="002B1114" w:rsidRDefault="00E51CDD" w:rsidP="00E51CDD">
      <w:pPr>
        <w:pStyle w:val="RepEditorNotesMS"/>
      </w:pPr>
      <w:r w:rsidRPr="002B1114">
        <w:rPr>
          <w:rStyle w:val="RepEditorNote"/>
          <w:color w:val="auto"/>
        </w:rPr>
        <w:t>Tables considered not relevant can be deleted as appropriate.</w:t>
      </w:r>
    </w:p>
    <w:p w14:paraId="61C89A99" w14:textId="77777777" w:rsidR="00E51CDD" w:rsidRPr="002B1114" w:rsidRDefault="00E51CDD" w:rsidP="00E51CDD">
      <w:pPr>
        <w:pStyle w:val="RepEditorNotesMS"/>
      </w:pPr>
      <w:r w:rsidRPr="002B1114">
        <w:t>MS to blacken authors of vertebrate studies in the version made available to third parties/public.</w:t>
      </w:r>
    </w:p>
    <w:p w14:paraId="67DFD8E4" w14:textId="77777777" w:rsidR="00E51CDD" w:rsidRPr="002B1114" w:rsidRDefault="00E51CDD" w:rsidP="00E51CDD">
      <w:pPr>
        <w:pStyle w:val="RepNewPart"/>
      </w:pPr>
      <w:r w:rsidRPr="002B1114">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95"/>
        <w:gridCol w:w="1790"/>
        <w:gridCol w:w="722"/>
        <w:gridCol w:w="8521"/>
        <w:gridCol w:w="1208"/>
        <w:gridCol w:w="1220"/>
      </w:tblGrid>
      <w:tr w:rsidR="00684519" w:rsidRPr="004E41E6" w14:paraId="4A702ADA" w14:textId="77777777" w:rsidTr="00AE44CE">
        <w:trPr>
          <w:cantSplit/>
          <w:tblHeader/>
        </w:trPr>
        <w:tc>
          <w:tcPr>
            <w:tcW w:w="376" w:type="pct"/>
            <w:shd w:val="clear" w:color="auto" w:fill="auto"/>
            <w:vAlign w:val="center"/>
          </w:tcPr>
          <w:p w14:paraId="07F2AA7C" w14:textId="77777777" w:rsidR="00684519" w:rsidRPr="004E41E6" w:rsidRDefault="00684519" w:rsidP="00AE44CE">
            <w:pPr>
              <w:pStyle w:val="RepTableHeader"/>
              <w:spacing w:before="0" w:after="0"/>
              <w:jc w:val="center"/>
            </w:pPr>
            <w:r w:rsidRPr="004E41E6">
              <w:t>Data point</w:t>
            </w:r>
          </w:p>
        </w:tc>
        <w:tc>
          <w:tcPr>
            <w:tcW w:w="615" w:type="pct"/>
            <w:shd w:val="clear" w:color="auto" w:fill="auto"/>
            <w:vAlign w:val="center"/>
          </w:tcPr>
          <w:p w14:paraId="0383085B" w14:textId="77777777" w:rsidR="00684519" w:rsidRPr="004E41E6" w:rsidRDefault="00684519" w:rsidP="00AE44CE">
            <w:pPr>
              <w:pStyle w:val="RepTableHeader"/>
              <w:spacing w:before="0" w:after="0"/>
              <w:jc w:val="center"/>
            </w:pPr>
            <w:r w:rsidRPr="004E41E6">
              <w:t>Author(s)</w:t>
            </w:r>
          </w:p>
        </w:tc>
        <w:tc>
          <w:tcPr>
            <w:tcW w:w="248" w:type="pct"/>
            <w:shd w:val="clear" w:color="auto" w:fill="auto"/>
            <w:vAlign w:val="center"/>
          </w:tcPr>
          <w:p w14:paraId="54E42C1A" w14:textId="77777777" w:rsidR="00684519" w:rsidRPr="004E41E6" w:rsidRDefault="00684519" w:rsidP="00AE44CE">
            <w:pPr>
              <w:pStyle w:val="RepTableHeader"/>
              <w:spacing w:before="0" w:after="0"/>
              <w:jc w:val="center"/>
            </w:pPr>
            <w:r w:rsidRPr="004E41E6">
              <w:t>Year</w:t>
            </w:r>
          </w:p>
        </w:tc>
        <w:tc>
          <w:tcPr>
            <w:tcW w:w="2927" w:type="pct"/>
            <w:shd w:val="clear" w:color="auto" w:fill="auto"/>
            <w:vAlign w:val="center"/>
          </w:tcPr>
          <w:p w14:paraId="507CBF41" w14:textId="77777777" w:rsidR="00684519" w:rsidRPr="0022256A" w:rsidRDefault="00684519" w:rsidP="00AE44CE">
            <w:pPr>
              <w:pStyle w:val="RepTableHeader"/>
              <w:spacing w:before="0" w:after="0"/>
              <w:jc w:val="center"/>
            </w:pPr>
            <w:r w:rsidRPr="0022256A">
              <w:t>Title</w:t>
            </w:r>
            <w:r w:rsidRPr="0022256A">
              <w:br/>
              <w:t>Company Report No.</w:t>
            </w:r>
            <w:r w:rsidRPr="0022256A">
              <w:tab/>
            </w:r>
            <w:r w:rsidRPr="0022256A">
              <w:br/>
              <w:t>Source (where different from company)</w:t>
            </w:r>
            <w:r w:rsidRPr="0022256A">
              <w:br/>
              <w:t>GLP or GEP status</w:t>
            </w:r>
            <w:r w:rsidRPr="0022256A">
              <w:br/>
              <w:t>Published or not</w:t>
            </w:r>
          </w:p>
        </w:tc>
        <w:tc>
          <w:tcPr>
            <w:tcW w:w="415" w:type="pct"/>
            <w:shd w:val="clear" w:color="auto" w:fill="auto"/>
            <w:vAlign w:val="center"/>
          </w:tcPr>
          <w:p w14:paraId="5CC20A56" w14:textId="77777777" w:rsidR="00684519" w:rsidRPr="004E41E6" w:rsidRDefault="00684519" w:rsidP="00AE44CE">
            <w:pPr>
              <w:pStyle w:val="RepTableHeader"/>
              <w:spacing w:before="0" w:after="0"/>
              <w:jc w:val="center"/>
            </w:pPr>
            <w:r w:rsidRPr="004E41E6">
              <w:t>Vertebrate study</w:t>
            </w:r>
          </w:p>
          <w:p w14:paraId="1B136A66" w14:textId="77777777" w:rsidR="00684519" w:rsidRPr="004E41E6" w:rsidRDefault="00684519" w:rsidP="00AE44CE">
            <w:pPr>
              <w:pStyle w:val="RepTableHeader"/>
              <w:spacing w:before="0" w:after="0"/>
              <w:jc w:val="center"/>
            </w:pPr>
            <w:r w:rsidRPr="004E41E6">
              <w:t>Y/N</w:t>
            </w:r>
          </w:p>
        </w:tc>
        <w:tc>
          <w:tcPr>
            <w:tcW w:w="419" w:type="pct"/>
            <w:shd w:val="clear" w:color="auto" w:fill="auto"/>
            <w:vAlign w:val="center"/>
          </w:tcPr>
          <w:p w14:paraId="52E586C6" w14:textId="77777777" w:rsidR="00684519" w:rsidRPr="004E41E6" w:rsidRDefault="00684519" w:rsidP="00AE44CE">
            <w:pPr>
              <w:pStyle w:val="RepTableHeader"/>
              <w:spacing w:before="0" w:after="0"/>
              <w:jc w:val="center"/>
            </w:pPr>
            <w:r w:rsidRPr="004E41E6">
              <w:t>Owner</w:t>
            </w:r>
          </w:p>
        </w:tc>
      </w:tr>
      <w:tr w:rsidR="00684519" w14:paraId="644BF0F0" w14:textId="77777777" w:rsidTr="00684519">
        <w:trPr>
          <w:cantSplit/>
        </w:trPr>
        <w:tc>
          <w:tcPr>
            <w:tcW w:w="0" w:type="auto"/>
          </w:tcPr>
          <w:p w14:paraId="4C28CDA1" w14:textId="77777777" w:rsidR="00684519" w:rsidRPr="007174BF" w:rsidRDefault="00684519" w:rsidP="00AE44CE">
            <w:pPr>
              <w:rPr>
                <w:strike/>
                <w:color w:val="D9D9D9" w:themeColor="background1" w:themeShade="D9"/>
                <w:sz w:val="18"/>
                <w:szCs w:val="18"/>
              </w:rPr>
            </w:pPr>
            <w:r w:rsidRPr="007174BF">
              <w:rPr>
                <w:strike/>
                <w:color w:val="D9D9D9" w:themeColor="background1" w:themeShade="D9"/>
                <w:sz w:val="18"/>
                <w:szCs w:val="18"/>
              </w:rPr>
              <w:t>KCP 10.1.1.1/1</w:t>
            </w:r>
          </w:p>
        </w:tc>
        <w:tc>
          <w:tcPr>
            <w:tcW w:w="0" w:type="auto"/>
          </w:tcPr>
          <w:p w14:paraId="54656A8F" w14:textId="77777777" w:rsidR="00684519" w:rsidRPr="00FC66B2" w:rsidRDefault="00684519" w:rsidP="00AE44CE">
            <w:pPr>
              <w:rPr>
                <w:strike/>
                <w:sz w:val="18"/>
                <w:szCs w:val="18"/>
              </w:rPr>
            </w:pPr>
            <w:r w:rsidRPr="00FC66B2">
              <w:rPr>
                <w:strike/>
                <w:sz w:val="18"/>
                <w:szCs w:val="18"/>
                <w:highlight w:val="black"/>
              </w:rPr>
              <w:t>Zok, S.</w:t>
            </w:r>
          </w:p>
        </w:tc>
        <w:tc>
          <w:tcPr>
            <w:tcW w:w="0" w:type="auto"/>
          </w:tcPr>
          <w:p w14:paraId="51B5DE51" w14:textId="77777777" w:rsidR="00684519" w:rsidRPr="007174BF" w:rsidRDefault="00684519" w:rsidP="00AE44CE">
            <w:pPr>
              <w:rPr>
                <w:strike/>
                <w:color w:val="D9D9D9" w:themeColor="background1" w:themeShade="D9"/>
                <w:sz w:val="18"/>
                <w:szCs w:val="18"/>
              </w:rPr>
            </w:pPr>
            <w:r w:rsidRPr="007174BF">
              <w:rPr>
                <w:strike/>
                <w:color w:val="D9D9D9" w:themeColor="background1" w:themeShade="D9"/>
                <w:sz w:val="18"/>
                <w:szCs w:val="18"/>
              </w:rPr>
              <w:t>2009</w:t>
            </w:r>
          </w:p>
        </w:tc>
        <w:tc>
          <w:tcPr>
            <w:tcW w:w="0" w:type="auto"/>
          </w:tcPr>
          <w:p w14:paraId="491EB89E" w14:textId="77777777" w:rsidR="00684519" w:rsidRPr="007174BF" w:rsidRDefault="00684519" w:rsidP="00AE44CE">
            <w:pPr>
              <w:rPr>
                <w:strike/>
                <w:color w:val="D9D9D9" w:themeColor="background1" w:themeShade="D9"/>
                <w:sz w:val="18"/>
                <w:szCs w:val="18"/>
              </w:rPr>
            </w:pPr>
            <w:r w:rsidRPr="007174BF">
              <w:rPr>
                <w:strike/>
                <w:color w:val="D9D9D9" w:themeColor="background1" w:themeShade="D9"/>
                <w:sz w:val="18"/>
                <w:szCs w:val="18"/>
              </w:rPr>
              <w:t>BAS 700 F - Acute toxicity in the Zebra finch (Taeniopygia guttata) after single oral administration (LD50)</w:t>
            </w:r>
          </w:p>
          <w:p w14:paraId="3A9D7485" w14:textId="77777777" w:rsidR="00684519" w:rsidRPr="007174BF" w:rsidRDefault="00684519" w:rsidP="00AE44CE">
            <w:pPr>
              <w:rPr>
                <w:strike/>
                <w:color w:val="D9D9D9" w:themeColor="background1" w:themeShade="D9"/>
                <w:sz w:val="18"/>
                <w:szCs w:val="18"/>
                <w:lang w:val="de-DE"/>
              </w:rPr>
            </w:pPr>
            <w:r w:rsidRPr="007174BF">
              <w:rPr>
                <w:strike/>
                <w:color w:val="D9D9D9" w:themeColor="background1" w:themeShade="D9"/>
                <w:sz w:val="18"/>
                <w:szCs w:val="18"/>
                <w:lang w:val="de-DE"/>
              </w:rPr>
              <w:t>2009/1050338</w:t>
            </w:r>
          </w:p>
          <w:p w14:paraId="458BD41A" w14:textId="77777777" w:rsidR="00684519" w:rsidRPr="007174BF" w:rsidRDefault="00684519" w:rsidP="00AE44CE">
            <w:pPr>
              <w:rPr>
                <w:strike/>
                <w:color w:val="D9D9D9" w:themeColor="background1" w:themeShade="D9"/>
                <w:sz w:val="18"/>
                <w:szCs w:val="18"/>
                <w:lang w:val="de-DE"/>
              </w:rPr>
            </w:pPr>
            <w:r w:rsidRPr="007174BF">
              <w:rPr>
                <w:strike/>
                <w:color w:val="D9D9D9" w:themeColor="background1" w:themeShade="D9"/>
                <w:sz w:val="18"/>
                <w:szCs w:val="18"/>
                <w:lang w:val="de-DE"/>
              </w:rPr>
              <w:t>BASF SE, Ludwigshafen/Rhein, Germany Fed.Rep.</w:t>
            </w:r>
          </w:p>
          <w:p w14:paraId="2054D5B8" w14:textId="77777777" w:rsidR="00684519" w:rsidRPr="007174BF" w:rsidRDefault="00684519" w:rsidP="00AE44CE">
            <w:pPr>
              <w:rPr>
                <w:strike/>
                <w:color w:val="D9D9D9" w:themeColor="background1" w:themeShade="D9"/>
                <w:sz w:val="18"/>
                <w:szCs w:val="18"/>
              </w:rPr>
            </w:pPr>
            <w:r w:rsidRPr="007174BF">
              <w:rPr>
                <w:strike/>
                <w:color w:val="D9D9D9" w:themeColor="background1" w:themeShade="D9"/>
                <w:sz w:val="18"/>
                <w:szCs w:val="18"/>
              </w:rPr>
              <w:t>yes</w:t>
            </w:r>
          </w:p>
          <w:p w14:paraId="7197B960" w14:textId="77777777" w:rsidR="00684519" w:rsidRPr="007174BF" w:rsidRDefault="00684519" w:rsidP="00AE44CE">
            <w:pPr>
              <w:rPr>
                <w:strike/>
                <w:color w:val="D9D9D9" w:themeColor="background1" w:themeShade="D9"/>
                <w:sz w:val="18"/>
                <w:szCs w:val="18"/>
              </w:rPr>
            </w:pPr>
            <w:r w:rsidRPr="007174BF">
              <w:rPr>
                <w:strike/>
                <w:color w:val="D9D9D9" w:themeColor="background1" w:themeShade="D9"/>
                <w:sz w:val="18"/>
                <w:szCs w:val="18"/>
              </w:rPr>
              <w:t>Unpublished</w:t>
            </w:r>
          </w:p>
        </w:tc>
        <w:tc>
          <w:tcPr>
            <w:tcW w:w="0" w:type="auto"/>
          </w:tcPr>
          <w:p w14:paraId="64AF874B" w14:textId="77777777" w:rsidR="00684519" w:rsidRPr="007174BF" w:rsidRDefault="00684519" w:rsidP="00AE44CE">
            <w:pPr>
              <w:jc w:val="center"/>
              <w:rPr>
                <w:strike/>
                <w:color w:val="D9D9D9" w:themeColor="background1" w:themeShade="D9"/>
                <w:sz w:val="18"/>
                <w:szCs w:val="18"/>
              </w:rPr>
            </w:pPr>
            <w:r w:rsidRPr="007174BF">
              <w:rPr>
                <w:strike/>
                <w:color w:val="D9D9D9" w:themeColor="background1" w:themeShade="D9"/>
                <w:sz w:val="18"/>
                <w:szCs w:val="18"/>
              </w:rPr>
              <w:t>Yes</w:t>
            </w:r>
          </w:p>
        </w:tc>
        <w:tc>
          <w:tcPr>
            <w:tcW w:w="0" w:type="auto"/>
          </w:tcPr>
          <w:p w14:paraId="3CE625FB" w14:textId="77777777" w:rsidR="00684519" w:rsidRPr="007174BF" w:rsidRDefault="00684519" w:rsidP="00AE44CE">
            <w:pPr>
              <w:pStyle w:val="RepTable"/>
              <w:jc w:val="center"/>
              <w:rPr>
                <w:strike/>
                <w:color w:val="D9D9D9" w:themeColor="background1" w:themeShade="D9"/>
                <w:highlight w:val="yellow"/>
              </w:rPr>
            </w:pPr>
            <w:r w:rsidRPr="007174BF">
              <w:rPr>
                <w:strike/>
                <w:color w:val="D9D9D9" w:themeColor="background1" w:themeShade="D9"/>
                <w:sz w:val="18"/>
                <w:szCs w:val="18"/>
              </w:rPr>
              <w:t>BASF</w:t>
            </w:r>
          </w:p>
        </w:tc>
      </w:tr>
      <w:tr w:rsidR="00684519" w14:paraId="4555FAF9" w14:textId="77777777" w:rsidTr="00684519">
        <w:trPr>
          <w:cantSplit/>
        </w:trPr>
        <w:tc>
          <w:tcPr>
            <w:tcW w:w="0" w:type="auto"/>
          </w:tcPr>
          <w:p w14:paraId="50671076" w14:textId="77777777" w:rsidR="00684519" w:rsidRDefault="00684519" w:rsidP="00AE44CE">
            <w:pPr>
              <w:rPr>
                <w:sz w:val="18"/>
                <w:szCs w:val="18"/>
              </w:rPr>
            </w:pPr>
            <w:r>
              <w:rPr>
                <w:color w:val="000000"/>
                <w:sz w:val="18"/>
                <w:szCs w:val="18"/>
              </w:rPr>
              <w:t>KCP 10.1.1.1/2</w:t>
            </w:r>
          </w:p>
        </w:tc>
        <w:tc>
          <w:tcPr>
            <w:tcW w:w="0" w:type="auto"/>
          </w:tcPr>
          <w:p w14:paraId="1CEF6093" w14:textId="77777777" w:rsidR="00684519" w:rsidRDefault="00684519" w:rsidP="00AE44CE">
            <w:pPr>
              <w:rPr>
                <w:sz w:val="18"/>
                <w:szCs w:val="18"/>
              </w:rPr>
            </w:pPr>
            <w:r w:rsidRPr="0071344F">
              <w:rPr>
                <w:color w:val="000000"/>
                <w:sz w:val="18"/>
                <w:szCs w:val="18"/>
                <w:highlight w:val="black"/>
              </w:rPr>
              <w:t>Hubbard, P.</w:t>
            </w:r>
          </w:p>
        </w:tc>
        <w:tc>
          <w:tcPr>
            <w:tcW w:w="0" w:type="auto"/>
          </w:tcPr>
          <w:p w14:paraId="2658BBD9" w14:textId="77777777" w:rsidR="00684519" w:rsidRDefault="00684519" w:rsidP="00AE44CE">
            <w:pPr>
              <w:rPr>
                <w:sz w:val="18"/>
                <w:szCs w:val="18"/>
              </w:rPr>
            </w:pPr>
            <w:r>
              <w:rPr>
                <w:color w:val="000000"/>
                <w:sz w:val="18"/>
                <w:szCs w:val="18"/>
              </w:rPr>
              <w:t>2020</w:t>
            </w:r>
          </w:p>
        </w:tc>
        <w:tc>
          <w:tcPr>
            <w:tcW w:w="0" w:type="auto"/>
          </w:tcPr>
          <w:p w14:paraId="352B4282" w14:textId="77777777" w:rsidR="00684519" w:rsidRDefault="00684519" w:rsidP="00AE44CE">
            <w:pPr>
              <w:rPr>
                <w:color w:val="000000"/>
                <w:sz w:val="18"/>
                <w:szCs w:val="18"/>
              </w:rPr>
            </w:pPr>
            <w:r w:rsidRPr="00734D02">
              <w:rPr>
                <w:color w:val="000000"/>
                <w:sz w:val="18"/>
                <w:szCs w:val="18"/>
              </w:rPr>
              <w:t>BAS 736 00 F: An acute oral toxicity study with the northern bobwhite using a sequential testing procedure</w:t>
            </w:r>
          </w:p>
          <w:p w14:paraId="57A3446D" w14:textId="77777777" w:rsidR="00684519" w:rsidRDefault="00684519" w:rsidP="00AE44CE">
            <w:pPr>
              <w:rPr>
                <w:color w:val="000000"/>
                <w:sz w:val="18"/>
                <w:szCs w:val="18"/>
              </w:rPr>
            </w:pPr>
            <w:r w:rsidRPr="00734D02">
              <w:rPr>
                <w:color w:val="000000"/>
                <w:sz w:val="18"/>
                <w:szCs w:val="18"/>
              </w:rPr>
              <w:t>2020/2095640</w:t>
            </w:r>
          </w:p>
          <w:p w14:paraId="2D84E337" w14:textId="77777777" w:rsidR="00684519" w:rsidRDefault="00684519" w:rsidP="00AE44CE">
            <w:pPr>
              <w:rPr>
                <w:color w:val="000000"/>
                <w:sz w:val="18"/>
                <w:szCs w:val="18"/>
              </w:rPr>
            </w:pPr>
            <w:r w:rsidRPr="00734D02">
              <w:rPr>
                <w:color w:val="000000"/>
                <w:sz w:val="18"/>
                <w:szCs w:val="18"/>
              </w:rPr>
              <w:t>Eurofins EAG Agroscience LLC, Easton MD, United States of America</w:t>
            </w:r>
          </w:p>
          <w:p w14:paraId="5E0D71BF" w14:textId="77777777" w:rsidR="00684519" w:rsidRDefault="00684519" w:rsidP="00AE44CE">
            <w:pPr>
              <w:rPr>
                <w:color w:val="000000"/>
                <w:sz w:val="18"/>
                <w:szCs w:val="18"/>
              </w:rPr>
            </w:pPr>
            <w:r>
              <w:rPr>
                <w:color w:val="000000"/>
                <w:sz w:val="18"/>
                <w:szCs w:val="18"/>
              </w:rPr>
              <w:t>yes</w:t>
            </w:r>
          </w:p>
          <w:p w14:paraId="44D19224" w14:textId="77777777" w:rsidR="00684519" w:rsidRDefault="00684519" w:rsidP="00AE44CE">
            <w:pPr>
              <w:rPr>
                <w:color w:val="000000"/>
                <w:sz w:val="18"/>
                <w:szCs w:val="18"/>
              </w:rPr>
            </w:pPr>
            <w:r>
              <w:rPr>
                <w:color w:val="000000"/>
                <w:sz w:val="18"/>
                <w:szCs w:val="18"/>
              </w:rPr>
              <w:t>Unpublished</w:t>
            </w:r>
          </w:p>
        </w:tc>
        <w:tc>
          <w:tcPr>
            <w:tcW w:w="0" w:type="auto"/>
          </w:tcPr>
          <w:p w14:paraId="36E03C2E" w14:textId="77777777" w:rsidR="00684519" w:rsidRDefault="00684519" w:rsidP="00AE44CE">
            <w:pPr>
              <w:jc w:val="center"/>
              <w:rPr>
                <w:sz w:val="18"/>
                <w:szCs w:val="18"/>
              </w:rPr>
            </w:pPr>
            <w:r>
              <w:rPr>
                <w:color w:val="000000"/>
                <w:sz w:val="18"/>
                <w:szCs w:val="18"/>
              </w:rPr>
              <w:t>Yes</w:t>
            </w:r>
          </w:p>
        </w:tc>
        <w:tc>
          <w:tcPr>
            <w:tcW w:w="0" w:type="auto"/>
          </w:tcPr>
          <w:p w14:paraId="53718707" w14:textId="77777777" w:rsidR="00684519" w:rsidRDefault="00684519" w:rsidP="00AE44CE">
            <w:pPr>
              <w:pStyle w:val="RepTable"/>
              <w:jc w:val="center"/>
              <w:rPr>
                <w:highlight w:val="yellow"/>
              </w:rPr>
            </w:pPr>
            <w:r>
              <w:rPr>
                <w:color w:val="000000"/>
                <w:sz w:val="18"/>
                <w:szCs w:val="18"/>
              </w:rPr>
              <w:t>BASF</w:t>
            </w:r>
          </w:p>
        </w:tc>
      </w:tr>
      <w:tr w:rsidR="00684519" w14:paraId="45EDEF04" w14:textId="77777777" w:rsidTr="00684519">
        <w:trPr>
          <w:cantSplit/>
        </w:trPr>
        <w:tc>
          <w:tcPr>
            <w:tcW w:w="0" w:type="auto"/>
          </w:tcPr>
          <w:p w14:paraId="0E89FDB9" w14:textId="77777777" w:rsidR="00684519" w:rsidRDefault="00684519" w:rsidP="00AE44CE">
            <w:pPr>
              <w:rPr>
                <w:sz w:val="18"/>
                <w:szCs w:val="18"/>
              </w:rPr>
            </w:pPr>
            <w:r>
              <w:rPr>
                <w:color w:val="000000"/>
                <w:sz w:val="18"/>
                <w:szCs w:val="18"/>
              </w:rPr>
              <w:t>KCP 10.2.1/1</w:t>
            </w:r>
          </w:p>
        </w:tc>
        <w:tc>
          <w:tcPr>
            <w:tcW w:w="0" w:type="auto"/>
          </w:tcPr>
          <w:p w14:paraId="5ED75ED3" w14:textId="77777777" w:rsidR="00684519" w:rsidRDefault="00684519" w:rsidP="00AE44CE">
            <w:pPr>
              <w:rPr>
                <w:sz w:val="18"/>
                <w:szCs w:val="18"/>
              </w:rPr>
            </w:pPr>
            <w:r w:rsidRPr="0071344F">
              <w:rPr>
                <w:color w:val="000000"/>
                <w:sz w:val="18"/>
                <w:szCs w:val="18"/>
                <w:highlight w:val="black"/>
              </w:rPr>
              <w:t>Mingo, V.</w:t>
            </w:r>
          </w:p>
        </w:tc>
        <w:tc>
          <w:tcPr>
            <w:tcW w:w="0" w:type="auto"/>
          </w:tcPr>
          <w:p w14:paraId="075D9C79" w14:textId="77777777" w:rsidR="00684519" w:rsidRDefault="00684519" w:rsidP="00AE44CE">
            <w:pPr>
              <w:rPr>
                <w:sz w:val="18"/>
                <w:szCs w:val="18"/>
              </w:rPr>
            </w:pPr>
            <w:r>
              <w:rPr>
                <w:color w:val="000000"/>
                <w:sz w:val="18"/>
                <w:szCs w:val="18"/>
              </w:rPr>
              <w:t>2020</w:t>
            </w:r>
          </w:p>
        </w:tc>
        <w:tc>
          <w:tcPr>
            <w:tcW w:w="0" w:type="auto"/>
          </w:tcPr>
          <w:p w14:paraId="2D487CF0" w14:textId="77777777" w:rsidR="00684519" w:rsidRDefault="00684519" w:rsidP="00AE44CE">
            <w:pPr>
              <w:rPr>
                <w:color w:val="000000"/>
                <w:sz w:val="18"/>
                <w:szCs w:val="18"/>
              </w:rPr>
            </w:pPr>
            <w:r>
              <w:rPr>
                <w:color w:val="000000"/>
                <w:sz w:val="18"/>
                <w:szCs w:val="18"/>
              </w:rPr>
              <w:t>BAS 736 00 F: Toxicity to the Rainbow Trout Oncorhynchus mykiss under Laboratory Conditions (Acute Toxicity Test – Static)</w:t>
            </w:r>
          </w:p>
          <w:p w14:paraId="50EDD8C1" w14:textId="77777777" w:rsidR="00684519" w:rsidRDefault="00684519" w:rsidP="00AE44CE">
            <w:pPr>
              <w:rPr>
                <w:color w:val="000000"/>
                <w:sz w:val="18"/>
                <w:szCs w:val="18"/>
              </w:rPr>
            </w:pPr>
            <w:r>
              <w:rPr>
                <w:color w:val="000000"/>
                <w:sz w:val="18"/>
                <w:szCs w:val="18"/>
              </w:rPr>
              <w:t>2019/2039621</w:t>
            </w:r>
          </w:p>
          <w:p w14:paraId="4FA14E96" w14:textId="77777777" w:rsidR="00684519" w:rsidRDefault="00684519" w:rsidP="00AE44CE">
            <w:pPr>
              <w:rPr>
                <w:color w:val="000000"/>
                <w:sz w:val="18"/>
                <w:szCs w:val="18"/>
              </w:rPr>
            </w:pPr>
            <w:r>
              <w:rPr>
                <w:color w:val="000000"/>
                <w:sz w:val="18"/>
                <w:szCs w:val="18"/>
              </w:rPr>
              <w:t>Eurofins Agroscience Services GmbH, Niefern-Oeschelbronn, Germany Fed.Rep.</w:t>
            </w:r>
          </w:p>
          <w:p w14:paraId="7A50AE99" w14:textId="77777777" w:rsidR="00684519" w:rsidRDefault="00684519" w:rsidP="00AE44CE">
            <w:pPr>
              <w:rPr>
                <w:color w:val="000000"/>
                <w:sz w:val="18"/>
                <w:szCs w:val="18"/>
              </w:rPr>
            </w:pPr>
            <w:r>
              <w:rPr>
                <w:color w:val="000000"/>
                <w:sz w:val="18"/>
                <w:szCs w:val="18"/>
              </w:rPr>
              <w:t>yes</w:t>
            </w:r>
          </w:p>
          <w:p w14:paraId="0447292F" w14:textId="77777777" w:rsidR="00684519" w:rsidRDefault="00684519" w:rsidP="00AE44CE">
            <w:pPr>
              <w:rPr>
                <w:color w:val="000000"/>
                <w:sz w:val="18"/>
                <w:szCs w:val="18"/>
              </w:rPr>
            </w:pPr>
            <w:r>
              <w:rPr>
                <w:color w:val="000000"/>
                <w:sz w:val="18"/>
                <w:szCs w:val="18"/>
              </w:rPr>
              <w:t>Unpublished</w:t>
            </w:r>
          </w:p>
        </w:tc>
        <w:tc>
          <w:tcPr>
            <w:tcW w:w="0" w:type="auto"/>
          </w:tcPr>
          <w:p w14:paraId="4DADCCB5" w14:textId="77777777" w:rsidR="00521C78" w:rsidRPr="00732B91" w:rsidRDefault="00521C78" w:rsidP="00521C78">
            <w:pPr>
              <w:jc w:val="center"/>
              <w:rPr>
                <w:strike/>
                <w:color w:val="D9D9D9" w:themeColor="background1" w:themeShade="D9"/>
                <w:sz w:val="18"/>
                <w:szCs w:val="18"/>
              </w:rPr>
            </w:pPr>
            <w:r w:rsidRPr="00732B91">
              <w:rPr>
                <w:strike/>
                <w:color w:val="D9D9D9" w:themeColor="background1" w:themeShade="D9"/>
                <w:sz w:val="18"/>
                <w:szCs w:val="18"/>
              </w:rPr>
              <w:t>No</w:t>
            </w:r>
          </w:p>
          <w:p w14:paraId="39039E75" w14:textId="1F9316DE" w:rsidR="00684519" w:rsidRDefault="00521C78" w:rsidP="00521C78">
            <w:pPr>
              <w:jc w:val="center"/>
              <w:rPr>
                <w:sz w:val="18"/>
                <w:szCs w:val="18"/>
              </w:rPr>
            </w:pPr>
            <w:r w:rsidRPr="00732B91">
              <w:rPr>
                <w:sz w:val="18"/>
                <w:szCs w:val="18"/>
                <w:shd w:val="clear" w:color="auto" w:fill="D9D9D9" w:themeFill="background1" w:themeFillShade="D9"/>
              </w:rPr>
              <w:t>Yes</w:t>
            </w:r>
          </w:p>
        </w:tc>
        <w:tc>
          <w:tcPr>
            <w:tcW w:w="0" w:type="auto"/>
          </w:tcPr>
          <w:p w14:paraId="5AE2B2B0" w14:textId="77777777" w:rsidR="00684519" w:rsidRDefault="00684519" w:rsidP="00AE44CE">
            <w:pPr>
              <w:pStyle w:val="RepTable"/>
              <w:jc w:val="center"/>
              <w:rPr>
                <w:highlight w:val="yellow"/>
              </w:rPr>
            </w:pPr>
            <w:r>
              <w:rPr>
                <w:color w:val="000000"/>
                <w:sz w:val="18"/>
                <w:szCs w:val="18"/>
              </w:rPr>
              <w:t>BASF</w:t>
            </w:r>
          </w:p>
        </w:tc>
      </w:tr>
      <w:tr w:rsidR="00684519" w14:paraId="78B939B4" w14:textId="77777777" w:rsidTr="00684519">
        <w:trPr>
          <w:cantSplit/>
        </w:trPr>
        <w:tc>
          <w:tcPr>
            <w:tcW w:w="0" w:type="auto"/>
          </w:tcPr>
          <w:p w14:paraId="53F74791" w14:textId="77777777" w:rsidR="00684519" w:rsidRDefault="00684519" w:rsidP="00AE44CE">
            <w:pPr>
              <w:rPr>
                <w:sz w:val="18"/>
                <w:szCs w:val="18"/>
              </w:rPr>
            </w:pPr>
            <w:r>
              <w:rPr>
                <w:color w:val="000000"/>
                <w:sz w:val="18"/>
                <w:szCs w:val="18"/>
              </w:rPr>
              <w:t>KCP 10.2.1/2</w:t>
            </w:r>
          </w:p>
        </w:tc>
        <w:tc>
          <w:tcPr>
            <w:tcW w:w="0" w:type="auto"/>
          </w:tcPr>
          <w:p w14:paraId="50815AB8" w14:textId="77777777" w:rsidR="00684519" w:rsidRDefault="00684519" w:rsidP="00AE44CE">
            <w:pPr>
              <w:rPr>
                <w:sz w:val="18"/>
                <w:szCs w:val="18"/>
              </w:rPr>
            </w:pPr>
            <w:r>
              <w:rPr>
                <w:color w:val="000000"/>
                <w:sz w:val="18"/>
                <w:szCs w:val="18"/>
              </w:rPr>
              <w:t>Lang, C.</w:t>
            </w:r>
          </w:p>
        </w:tc>
        <w:tc>
          <w:tcPr>
            <w:tcW w:w="0" w:type="auto"/>
          </w:tcPr>
          <w:p w14:paraId="0D8224E8" w14:textId="77777777" w:rsidR="00684519" w:rsidRDefault="00684519" w:rsidP="00AE44CE">
            <w:pPr>
              <w:rPr>
                <w:sz w:val="18"/>
                <w:szCs w:val="18"/>
              </w:rPr>
            </w:pPr>
            <w:r>
              <w:rPr>
                <w:color w:val="000000"/>
                <w:sz w:val="18"/>
                <w:szCs w:val="18"/>
              </w:rPr>
              <w:t>2020</w:t>
            </w:r>
          </w:p>
        </w:tc>
        <w:tc>
          <w:tcPr>
            <w:tcW w:w="0" w:type="auto"/>
          </w:tcPr>
          <w:p w14:paraId="54CE8683" w14:textId="77777777" w:rsidR="00684519" w:rsidRDefault="00684519" w:rsidP="00AE44CE">
            <w:pPr>
              <w:rPr>
                <w:color w:val="000000"/>
                <w:sz w:val="18"/>
                <w:szCs w:val="18"/>
              </w:rPr>
            </w:pPr>
            <w:r>
              <w:rPr>
                <w:color w:val="000000"/>
                <w:sz w:val="18"/>
                <w:szCs w:val="18"/>
              </w:rPr>
              <w:t>BAS 736 00 F: Toxicity to the water flea Daphnia magna Straus under laboratory conditions (Acute Immobilisation test - static)</w:t>
            </w:r>
          </w:p>
          <w:p w14:paraId="120B2C34" w14:textId="77777777" w:rsidR="00684519" w:rsidRDefault="00684519" w:rsidP="00AE44CE">
            <w:pPr>
              <w:rPr>
                <w:color w:val="000000"/>
                <w:sz w:val="18"/>
                <w:szCs w:val="18"/>
              </w:rPr>
            </w:pPr>
            <w:r>
              <w:rPr>
                <w:color w:val="000000"/>
                <w:sz w:val="18"/>
                <w:szCs w:val="18"/>
              </w:rPr>
              <w:t>2019/2039622</w:t>
            </w:r>
          </w:p>
          <w:p w14:paraId="51AB8DD9" w14:textId="77777777" w:rsidR="00684519" w:rsidRDefault="00684519" w:rsidP="00AE44CE">
            <w:pPr>
              <w:rPr>
                <w:color w:val="000000"/>
                <w:sz w:val="18"/>
                <w:szCs w:val="18"/>
              </w:rPr>
            </w:pPr>
            <w:r>
              <w:rPr>
                <w:color w:val="000000"/>
                <w:sz w:val="18"/>
                <w:szCs w:val="18"/>
              </w:rPr>
              <w:t>Eurofins Agroscience Services Ecotox GmbH, Niefern-Oeschelbronn, Germany Fed.Rep.</w:t>
            </w:r>
          </w:p>
          <w:p w14:paraId="3D6D9832" w14:textId="77777777" w:rsidR="00684519" w:rsidRDefault="00684519" w:rsidP="00AE44CE">
            <w:pPr>
              <w:rPr>
                <w:color w:val="000000"/>
                <w:sz w:val="18"/>
                <w:szCs w:val="18"/>
              </w:rPr>
            </w:pPr>
            <w:r>
              <w:rPr>
                <w:color w:val="000000"/>
                <w:sz w:val="18"/>
                <w:szCs w:val="18"/>
              </w:rPr>
              <w:t>yes</w:t>
            </w:r>
          </w:p>
          <w:p w14:paraId="30749241" w14:textId="77777777" w:rsidR="00684519" w:rsidRDefault="00684519" w:rsidP="00AE44CE">
            <w:pPr>
              <w:rPr>
                <w:color w:val="000000"/>
                <w:sz w:val="18"/>
                <w:szCs w:val="18"/>
              </w:rPr>
            </w:pPr>
            <w:r>
              <w:rPr>
                <w:color w:val="000000"/>
                <w:sz w:val="18"/>
                <w:szCs w:val="18"/>
              </w:rPr>
              <w:t>Unpublished</w:t>
            </w:r>
          </w:p>
        </w:tc>
        <w:tc>
          <w:tcPr>
            <w:tcW w:w="0" w:type="auto"/>
          </w:tcPr>
          <w:p w14:paraId="031B8429" w14:textId="77777777" w:rsidR="00684519" w:rsidRDefault="00684519" w:rsidP="00AE44CE">
            <w:pPr>
              <w:jc w:val="center"/>
              <w:rPr>
                <w:sz w:val="18"/>
                <w:szCs w:val="18"/>
              </w:rPr>
            </w:pPr>
            <w:r>
              <w:rPr>
                <w:color w:val="000000"/>
                <w:sz w:val="18"/>
                <w:szCs w:val="18"/>
              </w:rPr>
              <w:t>No</w:t>
            </w:r>
          </w:p>
        </w:tc>
        <w:tc>
          <w:tcPr>
            <w:tcW w:w="0" w:type="auto"/>
          </w:tcPr>
          <w:p w14:paraId="51A9C361" w14:textId="77777777" w:rsidR="00684519" w:rsidRDefault="00684519" w:rsidP="00AE44CE">
            <w:pPr>
              <w:pStyle w:val="RepTable"/>
              <w:jc w:val="center"/>
              <w:rPr>
                <w:highlight w:val="yellow"/>
              </w:rPr>
            </w:pPr>
            <w:r>
              <w:rPr>
                <w:color w:val="000000"/>
                <w:sz w:val="18"/>
                <w:szCs w:val="18"/>
              </w:rPr>
              <w:t>BASF</w:t>
            </w:r>
          </w:p>
        </w:tc>
      </w:tr>
      <w:tr w:rsidR="00684519" w14:paraId="0D82ED44" w14:textId="77777777" w:rsidTr="00684519">
        <w:trPr>
          <w:cantSplit/>
        </w:trPr>
        <w:tc>
          <w:tcPr>
            <w:tcW w:w="0" w:type="auto"/>
          </w:tcPr>
          <w:p w14:paraId="74E79A96" w14:textId="77777777" w:rsidR="00684519" w:rsidRDefault="00684519" w:rsidP="00AE44CE">
            <w:pPr>
              <w:rPr>
                <w:sz w:val="18"/>
                <w:szCs w:val="18"/>
              </w:rPr>
            </w:pPr>
            <w:r>
              <w:rPr>
                <w:color w:val="000000"/>
                <w:sz w:val="18"/>
                <w:szCs w:val="18"/>
              </w:rPr>
              <w:lastRenderedPageBreak/>
              <w:t>KCP 10.2.1/3</w:t>
            </w:r>
          </w:p>
        </w:tc>
        <w:tc>
          <w:tcPr>
            <w:tcW w:w="0" w:type="auto"/>
          </w:tcPr>
          <w:p w14:paraId="7422516B" w14:textId="77777777" w:rsidR="00684519" w:rsidRDefault="00684519" w:rsidP="00AE44CE">
            <w:pPr>
              <w:rPr>
                <w:sz w:val="18"/>
                <w:szCs w:val="18"/>
              </w:rPr>
            </w:pPr>
            <w:r>
              <w:rPr>
                <w:color w:val="000000"/>
                <w:sz w:val="18"/>
                <w:szCs w:val="18"/>
              </w:rPr>
              <w:t>Obert-Rauser, P.</w:t>
            </w:r>
          </w:p>
        </w:tc>
        <w:tc>
          <w:tcPr>
            <w:tcW w:w="0" w:type="auto"/>
          </w:tcPr>
          <w:p w14:paraId="639A697C" w14:textId="77777777" w:rsidR="00684519" w:rsidRDefault="00684519" w:rsidP="00AE44CE">
            <w:pPr>
              <w:rPr>
                <w:sz w:val="18"/>
                <w:szCs w:val="18"/>
              </w:rPr>
            </w:pPr>
            <w:r>
              <w:rPr>
                <w:color w:val="000000"/>
                <w:sz w:val="18"/>
                <w:szCs w:val="18"/>
              </w:rPr>
              <w:t>2020</w:t>
            </w:r>
          </w:p>
        </w:tc>
        <w:tc>
          <w:tcPr>
            <w:tcW w:w="0" w:type="auto"/>
          </w:tcPr>
          <w:p w14:paraId="35CD9E60" w14:textId="77777777" w:rsidR="00684519" w:rsidRDefault="00684519" w:rsidP="00AE44CE">
            <w:pPr>
              <w:rPr>
                <w:color w:val="000000"/>
                <w:sz w:val="18"/>
                <w:szCs w:val="18"/>
              </w:rPr>
            </w:pPr>
            <w:r>
              <w:rPr>
                <w:color w:val="000000"/>
                <w:sz w:val="18"/>
                <w:szCs w:val="18"/>
              </w:rPr>
              <w:t>BAS 736 00 F: Toxicity to the Single Cell Green Alga Pseudokirchneriella subcapitata Hindák under Laboratory Conditions</w:t>
            </w:r>
          </w:p>
          <w:p w14:paraId="2C41AB08" w14:textId="77777777" w:rsidR="00684519" w:rsidRDefault="00684519" w:rsidP="00AE44CE">
            <w:pPr>
              <w:rPr>
                <w:color w:val="000000"/>
                <w:sz w:val="18"/>
                <w:szCs w:val="18"/>
              </w:rPr>
            </w:pPr>
            <w:r>
              <w:rPr>
                <w:color w:val="000000"/>
                <w:sz w:val="18"/>
                <w:szCs w:val="18"/>
              </w:rPr>
              <w:t>2019/2039623</w:t>
            </w:r>
          </w:p>
          <w:p w14:paraId="6E4B29CB" w14:textId="77777777" w:rsidR="00684519" w:rsidRDefault="00684519" w:rsidP="00AE44CE">
            <w:pPr>
              <w:rPr>
                <w:color w:val="000000"/>
                <w:sz w:val="18"/>
                <w:szCs w:val="18"/>
              </w:rPr>
            </w:pPr>
            <w:r>
              <w:rPr>
                <w:color w:val="000000"/>
                <w:sz w:val="18"/>
                <w:szCs w:val="18"/>
              </w:rPr>
              <w:t>Eurofins Agroscience Services Ecotox GmbH, Niefern-Oeschelbronn, Germany Fed.Rep.</w:t>
            </w:r>
          </w:p>
          <w:p w14:paraId="548F536C" w14:textId="77777777" w:rsidR="00684519" w:rsidRDefault="00684519" w:rsidP="00AE44CE">
            <w:pPr>
              <w:rPr>
                <w:color w:val="000000"/>
                <w:sz w:val="18"/>
                <w:szCs w:val="18"/>
              </w:rPr>
            </w:pPr>
            <w:r>
              <w:rPr>
                <w:color w:val="000000"/>
                <w:sz w:val="18"/>
                <w:szCs w:val="18"/>
              </w:rPr>
              <w:t>yes</w:t>
            </w:r>
          </w:p>
          <w:p w14:paraId="198027AF" w14:textId="77777777" w:rsidR="00684519" w:rsidRDefault="00684519" w:rsidP="00AE44CE">
            <w:pPr>
              <w:rPr>
                <w:color w:val="000000"/>
                <w:sz w:val="18"/>
                <w:szCs w:val="18"/>
              </w:rPr>
            </w:pPr>
            <w:r>
              <w:rPr>
                <w:color w:val="000000"/>
                <w:sz w:val="18"/>
                <w:szCs w:val="18"/>
              </w:rPr>
              <w:t>Unpublished</w:t>
            </w:r>
          </w:p>
        </w:tc>
        <w:tc>
          <w:tcPr>
            <w:tcW w:w="0" w:type="auto"/>
          </w:tcPr>
          <w:p w14:paraId="647F290F" w14:textId="77777777" w:rsidR="00684519" w:rsidRDefault="00684519" w:rsidP="00AE44CE">
            <w:pPr>
              <w:jc w:val="center"/>
              <w:rPr>
                <w:sz w:val="18"/>
                <w:szCs w:val="18"/>
              </w:rPr>
            </w:pPr>
            <w:r>
              <w:rPr>
                <w:color w:val="000000"/>
                <w:sz w:val="18"/>
                <w:szCs w:val="18"/>
              </w:rPr>
              <w:t>No</w:t>
            </w:r>
          </w:p>
        </w:tc>
        <w:tc>
          <w:tcPr>
            <w:tcW w:w="0" w:type="auto"/>
          </w:tcPr>
          <w:p w14:paraId="7D56FF09" w14:textId="77777777" w:rsidR="00684519" w:rsidRDefault="00684519" w:rsidP="00AE44CE">
            <w:pPr>
              <w:pStyle w:val="RepTable"/>
              <w:jc w:val="center"/>
              <w:rPr>
                <w:highlight w:val="yellow"/>
              </w:rPr>
            </w:pPr>
            <w:r>
              <w:rPr>
                <w:color w:val="000000"/>
                <w:sz w:val="18"/>
                <w:szCs w:val="18"/>
              </w:rPr>
              <w:t>BASF</w:t>
            </w:r>
          </w:p>
        </w:tc>
      </w:tr>
      <w:tr w:rsidR="00684519" w14:paraId="1697F8F5" w14:textId="77777777" w:rsidTr="00684519">
        <w:trPr>
          <w:cantSplit/>
        </w:trPr>
        <w:tc>
          <w:tcPr>
            <w:tcW w:w="0" w:type="auto"/>
          </w:tcPr>
          <w:p w14:paraId="72D4F9E1" w14:textId="77777777" w:rsidR="00684519" w:rsidRDefault="00684519" w:rsidP="00AE44CE">
            <w:pPr>
              <w:rPr>
                <w:sz w:val="18"/>
                <w:szCs w:val="18"/>
              </w:rPr>
            </w:pPr>
            <w:r>
              <w:rPr>
                <w:color w:val="000000"/>
                <w:sz w:val="18"/>
                <w:szCs w:val="18"/>
              </w:rPr>
              <w:t>KCP 10.3.1.1.1/1</w:t>
            </w:r>
          </w:p>
        </w:tc>
        <w:tc>
          <w:tcPr>
            <w:tcW w:w="0" w:type="auto"/>
          </w:tcPr>
          <w:p w14:paraId="6F832512" w14:textId="77777777" w:rsidR="00684519" w:rsidRDefault="00684519" w:rsidP="00AE44CE">
            <w:pPr>
              <w:rPr>
                <w:sz w:val="18"/>
                <w:szCs w:val="18"/>
              </w:rPr>
            </w:pPr>
            <w:r>
              <w:rPr>
                <w:color w:val="000000"/>
                <w:sz w:val="18"/>
                <w:szCs w:val="18"/>
              </w:rPr>
              <w:t>Wendling, K.</w:t>
            </w:r>
          </w:p>
        </w:tc>
        <w:tc>
          <w:tcPr>
            <w:tcW w:w="0" w:type="auto"/>
          </w:tcPr>
          <w:p w14:paraId="153218F4" w14:textId="77777777" w:rsidR="00684519" w:rsidRDefault="00684519" w:rsidP="00AE44CE">
            <w:pPr>
              <w:rPr>
                <w:sz w:val="18"/>
                <w:szCs w:val="18"/>
              </w:rPr>
            </w:pPr>
            <w:r>
              <w:rPr>
                <w:color w:val="000000"/>
                <w:sz w:val="18"/>
                <w:szCs w:val="18"/>
              </w:rPr>
              <w:t>2019</w:t>
            </w:r>
          </w:p>
        </w:tc>
        <w:tc>
          <w:tcPr>
            <w:tcW w:w="0" w:type="auto"/>
          </w:tcPr>
          <w:p w14:paraId="3DF41465" w14:textId="77777777" w:rsidR="00684519" w:rsidRDefault="00684519" w:rsidP="00AE44CE">
            <w:pPr>
              <w:rPr>
                <w:color w:val="000000"/>
                <w:sz w:val="18"/>
                <w:szCs w:val="18"/>
              </w:rPr>
            </w:pPr>
            <w:r>
              <w:rPr>
                <w:color w:val="000000"/>
                <w:sz w:val="18"/>
                <w:szCs w:val="18"/>
              </w:rPr>
              <w:t>BAS 736 00 F: Acute Oral and Contact Toxicity to the Honey Bee, Apis mellifera L. under Laboratory Conditions</w:t>
            </w:r>
          </w:p>
          <w:p w14:paraId="57BF32AB" w14:textId="77777777" w:rsidR="00684519" w:rsidRDefault="00684519" w:rsidP="00AE44CE">
            <w:pPr>
              <w:rPr>
                <w:color w:val="000000"/>
                <w:sz w:val="18"/>
                <w:szCs w:val="18"/>
              </w:rPr>
            </w:pPr>
            <w:r>
              <w:rPr>
                <w:color w:val="000000"/>
                <w:sz w:val="18"/>
                <w:szCs w:val="18"/>
              </w:rPr>
              <w:t>2019/1061095</w:t>
            </w:r>
          </w:p>
          <w:p w14:paraId="5D07AB00" w14:textId="77777777" w:rsidR="00684519" w:rsidRDefault="00684519" w:rsidP="00AE44CE">
            <w:pPr>
              <w:rPr>
                <w:color w:val="000000"/>
                <w:sz w:val="18"/>
                <w:szCs w:val="18"/>
              </w:rPr>
            </w:pPr>
            <w:r>
              <w:rPr>
                <w:color w:val="000000"/>
                <w:sz w:val="18"/>
                <w:szCs w:val="18"/>
              </w:rPr>
              <w:t>Eurofins Agroscience Services GmbH, Niefern-Oeschelbronn, Germany Fed.Rep.</w:t>
            </w:r>
          </w:p>
          <w:p w14:paraId="0A3819E3" w14:textId="77777777" w:rsidR="00684519" w:rsidRDefault="00684519" w:rsidP="00AE44CE">
            <w:pPr>
              <w:rPr>
                <w:color w:val="000000"/>
                <w:sz w:val="18"/>
                <w:szCs w:val="18"/>
              </w:rPr>
            </w:pPr>
            <w:r>
              <w:rPr>
                <w:color w:val="000000"/>
                <w:sz w:val="18"/>
                <w:szCs w:val="18"/>
              </w:rPr>
              <w:t>yes</w:t>
            </w:r>
          </w:p>
          <w:p w14:paraId="2545C8BF" w14:textId="77777777" w:rsidR="00684519" w:rsidRDefault="00684519" w:rsidP="00AE44CE">
            <w:pPr>
              <w:rPr>
                <w:color w:val="000000"/>
                <w:sz w:val="18"/>
                <w:szCs w:val="18"/>
              </w:rPr>
            </w:pPr>
            <w:r>
              <w:rPr>
                <w:color w:val="000000"/>
                <w:sz w:val="18"/>
                <w:szCs w:val="18"/>
              </w:rPr>
              <w:t>Unpublished</w:t>
            </w:r>
          </w:p>
        </w:tc>
        <w:tc>
          <w:tcPr>
            <w:tcW w:w="0" w:type="auto"/>
          </w:tcPr>
          <w:p w14:paraId="01331278" w14:textId="77777777" w:rsidR="00684519" w:rsidRDefault="00684519" w:rsidP="00AE44CE">
            <w:pPr>
              <w:jc w:val="center"/>
              <w:rPr>
                <w:sz w:val="18"/>
                <w:szCs w:val="18"/>
              </w:rPr>
            </w:pPr>
            <w:r>
              <w:rPr>
                <w:color w:val="000000"/>
                <w:sz w:val="18"/>
                <w:szCs w:val="18"/>
              </w:rPr>
              <w:t>No</w:t>
            </w:r>
          </w:p>
        </w:tc>
        <w:tc>
          <w:tcPr>
            <w:tcW w:w="0" w:type="auto"/>
          </w:tcPr>
          <w:p w14:paraId="1F583939" w14:textId="77777777" w:rsidR="00684519" w:rsidRDefault="00684519" w:rsidP="00AE44CE">
            <w:pPr>
              <w:pStyle w:val="RepTable"/>
              <w:jc w:val="center"/>
              <w:rPr>
                <w:highlight w:val="yellow"/>
              </w:rPr>
            </w:pPr>
            <w:r>
              <w:rPr>
                <w:color w:val="000000"/>
                <w:sz w:val="18"/>
                <w:szCs w:val="18"/>
              </w:rPr>
              <w:t>BASF</w:t>
            </w:r>
          </w:p>
        </w:tc>
      </w:tr>
      <w:tr w:rsidR="00684519" w14:paraId="3FB8A71E" w14:textId="77777777" w:rsidTr="00684519">
        <w:trPr>
          <w:cantSplit/>
        </w:trPr>
        <w:tc>
          <w:tcPr>
            <w:tcW w:w="0" w:type="auto"/>
          </w:tcPr>
          <w:p w14:paraId="5F36854A"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KCP 10.3.1.1.1/2</w:t>
            </w:r>
          </w:p>
        </w:tc>
        <w:tc>
          <w:tcPr>
            <w:tcW w:w="0" w:type="auto"/>
          </w:tcPr>
          <w:p w14:paraId="49A44581"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Verge, E.</w:t>
            </w:r>
          </w:p>
        </w:tc>
        <w:tc>
          <w:tcPr>
            <w:tcW w:w="0" w:type="auto"/>
          </w:tcPr>
          <w:p w14:paraId="3E0B5150"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2014</w:t>
            </w:r>
          </w:p>
        </w:tc>
        <w:tc>
          <w:tcPr>
            <w:tcW w:w="0" w:type="auto"/>
          </w:tcPr>
          <w:p w14:paraId="533B2FAC"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BAS 700 04 F - Acute oral and contact toxicity to the bumble bee, Bombus terrestris L. under laboratory conditions</w:t>
            </w:r>
          </w:p>
          <w:p w14:paraId="20A0A983"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2014/1135445</w:t>
            </w:r>
          </w:p>
          <w:p w14:paraId="4E93B9C4"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Eurofins Agroscience Services EcoChem GmbH, Niefern-Oeschelbronn, Germany Fed.Rep.</w:t>
            </w:r>
          </w:p>
          <w:p w14:paraId="144A705E"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yes</w:t>
            </w:r>
          </w:p>
          <w:p w14:paraId="06C589AA"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Unpublished</w:t>
            </w:r>
          </w:p>
        </w:tc>
        <w:tc>
          <w:tcPr>
            <w:tcW w:w="0" w:type="auto"/>
          </w:tcPr>
          <w:p w14:paraId="633EE51F" w14:textId="77777777" w:rsidR="00684519" w:rsidRPr="00E321A8" w:rsidRDefault="00684519" w:rsidP="00AE44CE">
            <w:pPr>
              <w:jc w:val="center"/>
              <w:rPr>
                <w:strike/>
                <w:color w:val="D9D9D9" w:themeColor="background1" w:themeShade="D9"/>
                <w:sz w:val="18"/>
                <w:szCs w:val="18"/>
              </w:rPr>
            </w:pPr>
            <w:r w:rsidRPr="00E321A8">
              <w:rPr>
                <w:strike/>
                <w:color w:val="D9D9D9" w:themeColor="background1" w:themeShade="D9"/>
                <w:sz w:val="18"/>
                <w:szCs w:val="18"/>
              </w:rPr>
              <w:t>No</w:t>
            </w:r>
          </w:p>
        </w:tc>
        <w:tc>
          <w:tcPr>
            <w:tcW w:w="0" w:type="auto"/>
          </w:tcPr>
          <w:p w14:paraId="7EE8B019" w14:textId="77777777" w:rsidR="00684519" w:rsidRPr="00E321A8" w:rsidRDefault="00684519" w:rsidP="00AE44CE">
            <w:pPr>
              <w:pStyle w:val="RepTable"/>
              <w:jc w:val="center"/>
              <w:rPr>
                <w:strike/>
                <w:color w:val="D9D9D9" w:themeColor="background1" w:themeShade="D9"/>
                <w:highlight w:val="yellow"/>
              </w:rPr>
            </w:pPr>
            <w:r w:rsidRPr="00E321A8">
              <w:rPr>
                <w:strike/>
                <w:color w:val="D9D9D9" w:themeColor="background1" w:themeShade="D9"/>
                <w:sz w:val="18"/>
                <w:szCs w:val="18"/>
              </w:rPr>
              <w:t>BASF</w:t>
            </w:r>
          </w:p>
        </w:tc>
      </w:tr>
      <w:tr w:rsidR="00684519" w14:paraId="5361ED25" w14:textId="77777777" w:rsidTr="00684519">
        <w:trPr>
          <w:cantSplit/>
        </w:trPr>
        <w:tc>
          <w:tcPr>
            <w:tcW w:w="0" w:type="auto"/>
          </w:tcPr>
          <w:p w14:paraId="29F00370" w14:textId="77777777" w:rsidR="00684519" w:rsidRDefault="00684519" w:rsidP="00AE44CE">
            <w:pPr>
              <w:rPr>
                <w:sz w:val="18"/>
                <w:szCs w:val="18"/>
              </w:rPr>
            </w:pPr>
            <w:r>
              <w:rPr>
                <w:color w:val="000000"/>
                <w:sz w:val="18"/>
                <w:szCs w:val="18"/>
              </w:rPr>
              <w:t>KCP 10.3.1.1.2/1</w:t>
            </w:r>
          </w:p>
        </w:tc>
        <w:tc>
          <w:tcPr>
            <w:tcW w:w="0" w:type="auto"/>
          </w:tcPr>
          <w:p w14:paraId="77C0BBD9" w14:textId="77777777" w:rsidR="00684519" w:rsidRDefault="00684519" w:rsidP="00AE44CE">
            <w:pPr>
              <w:rPr>
                <w:sz w:val="18"/>
                <w:szCs w:val="18"/>
              </w:rPr>
            </w:pPr>
            <w:r>
              <w:rPr>
                <w:color w:val="000000"/>
                <w:sz w:val="18"/>
                <w:szCs w:val="18"/>
              </w:rPr>
              <w:t>Wendling, K.</w:t>
            </w:r>
          </w:p>
        </w:tc>
        <w:tc>
          <w:tcPr>
            <w:tcW w:w="0" w:type="auto"/>
          </w:tcPr>
          <w:p w14:paraId="37F35DB5" w14:textId="77777777" w:rsidR="00684519" w:rsidRDefault="00684519" w:rsidP="00AE44CE">
            <w:pPr>
              <w:rPr>
                <w:sz w:val="18"/>
                <w:szCs w:val="18"/>
              </w:rPr>
            </w:pPr>
            <w:r>
              <w:rPr>
                <w:color w:val="000000"/>
                <w:sz w:val="18"/>
                <w:szCs w:val="18"/>
              </w:rPr>
              <w:t>2019</w:t>
            </w:r>
          </w:p>
        </w:tc>
        <w:tc>
          <w:tcPr>
            <w:tcW w:w="0" w:type="auto"/>
          </w:tcPr>
          <w:p w14:paraId="0E5EB58F" w14:textId="77777777" w:rsidR="00684519" w:rsidRDefault="00684519" w:rsidP="00AE44CE">
            <w:pPr>
              <w:rPr>
                <w:color w:val="000000"/>
                <w:sz w:val="18"/>
                <w:szCs w:val="18"/>
              </w:rPr>
            </w:pPr>
            <w:r>
              <w:rPr>
                <w:color w:val="000000"/>
                <w:sz w:val="18"/>
                <w:szCs w:val="18"/>
              </w:rPr>
              <w:t>BAS 736 00 F: Acute Oral and Contact Toxicity to the Honey Bee, Apis mellifera L. under Laboratory Conditions</w:t>
            </w:r>
          </w:p>
          <w:p w14:paraId="6267E964" w14:textId="77777777" w:rsidR="00684519" w:rsidRDefault="00684519" w:rsidP="00AE44CE">
            <w:pPr>
              <w:rPr>
                <w:color w:val="000000"/>
                <w:sz w:val="18"/>
                <w:szCs w:val="18"/>
              </w:rPr>
            </w:pPr>
            <w:r>
              <w:rPr>
                <w:color w:val="000000"/>
                <w:sz w:val="18"/>
                <w:szCs w:val="18"/>
              </w:rPr>
              <w:t>2019/1061095</w:t>
            </w:r>
          </w:p>
          <w:p w14:paraId="4771953E" w14:textId="77777777" w:rsidR="00684519" w:rsidRDefault="00684519" w:rsidP="00AE44CE">
            <w:pPr>
              <w:rPr>
                <w:color w:val="000000"/>
                <w:sz w:val="18"/>
                <w:szCs w:val="18"/>
              </w:rPr>
            </w:pPr>
            <w:r>
              <w:rPr>
                <w:color w:val="000000"/>
                <w:sz w:val="18"/>
                <w:szCs w:val="18"/>
              </w:rPr>
              <w:t>Eurofins Agroscience Services GmbH, Niefern-Oeschelbronn, Germany Fed.Rep.</w:t>
            </w:r>
          </w:p>
          <w:p w14:paraId="6B774549" w14:textId="77777777" w:rsidR="00684519" w:rsidRDefault="00684519" w:rsidP="00AE44CE">
            <w:pPr>
              <w:rPr>
                <w:color w:val="000000"/>
                <w:sz w:val="18"/>
                <w:szCs w:val="18"/>
              </w:rPr>
            </w:pPr>
            <w:r>
              <w:rPr>
                <w:color w:val="000000"/>
                <w:sz w:val="18"/>
                <w:szCs w:val="18"/>
              </w:rPr>
              <w:t>yes</w:t>
            </w:r>
          </w:p>
          <w:p w14:paraId="59A9F296" w14:textId="77777777" w:rsidR="00684519" w:rsidRDefault="00684519" w:rsidP="00AE44CE">
            <w:pPr>
              <w:rPr>
                <w:color w:val="000000"/>
                <w:sz w:val="18"/>
                <w:szCs w:val="18"/>
              </w:rPr>
            </w:pPr>
            <w:r>
              <w:rPr>
                <w:color w:val="000000"/>
                <w:sz w:val="18"/>
                <w:szCs w:val="18"/>
              </w:rPr>
              <w:t>Unpublished</w:t>
            </w:r>
          </w:p>
        </w:tc>
        <w:tc>
          <w:tcPr>
            <w:tcW w:w="0" w:type="auto"/>
          </w:tcPr>
          <w:p w14:paraId="67CC4213" w14:textId="77777777" w:rsidR="00684519" w:rsidRDefault="00684519" w:rsidP="00AE44CE">
            <w:pPr>
              <w:jc w:val="center"/>
              <w:rPr>
                <w:sz w:val="18"/>
                <w:szCs w:val="18"/>
              </w:rPr>
            </w:pPr>
            <w:r>
              <w:rPr>
                <w:color w:val="000000"/>
                <w:sz w:val="18"/>
                <w:szCs w:val="18"/>
              </w:rPr>
              <w:t>No</w:t>
            </w:r>
          </w:p>
        </w:tc>
        <w:tc>
          <w:tcPr>
            <w:tcW w:w="0" w:type="auto"/>
          </w:tcPr>
          <w:p w14:paraId="220FCE16" w14:textId="77777777" w:rsidR="00684519" w:rsidRDefault="00684519" w:rsidP="00AE44CE">
            <w:pPr>
              <w:pStyle w:val="RepTable"/>
              <w:jc w:val="center"/>
              <w:rPr>
                <w:highlight w:val="yellow"/>
              </w:rPr>
            </w:pPr>
            <w:r>
              <w:rPr>
                <w:color w:val="000000"/>
                <w:sz w:val="18"/>
                <w:szCs w:val="18"/>
              </w:rPr>
              <w:t>BASF</w:t>
            </w:r>
          </w:p>
        </w:tc>
      </w:tr>
      <w:tr w:rsidR="00684519" w14:paraId="296B5BC0" w14:textId="77777777" w:rsidTr="00684519">
        <w:trPr>
          <w:cantSplit/>
        </w:trPr>
        <w:tc>
          <w:tcPr>
            <w:tcW w:w="0" w:type="auto"/>
          </w:tcPr>
          <w:p w14:paraId="6ED38565"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KCP 10.3.1.1.2/2</w:t>
            </w:r>
          </w:p>
        </w:tc>
        <w:tc>
          <w:tcPr>
            <w:tcW w:w="0" w:type="auto"/>
          </w:tcPr>
          <w:p w14:paraId="43B1758B"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Verge, E.</w:t>
            </w:r>
          </w:p>
        </w:tc>
        <w:tc>
          <w:tcPr>
            <w:tcW w:w="0" w:type="auto"/>
          </w:tcPr>
          <w:p w14:paraId="09F72719"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2014</w:t>
            </w:r>
          </w:p>
        </w:tc>
        <w:tc>
          <w:tcPr>
            <w:tcW w:w="0" w:type="auto"/>
          </w:tcPr>
          <w:p w14:paraId="69A39623"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BAS 700 04 F - Acute oral and contact toxicity to the bumble bee, Bombus terrestris L. under laboratory conditions</w:t>
            </w:r>
          </w:p>
          <w:p w14:paraId="43C3B56D"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2014/1135445</w:t>
            </w:r>
          </w:p>
          <w:p w14:paraId="4613E1FA"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Eurofins Agroscience Services EcoChem GmbH, Niefern-Oeschelbronn, Germany Fed.Rep.</w:t>
            </w:r>
          </w:p>
          <w:p w14:paraId="03D10353"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yes</w:t>
            </w:r>
          </w:p>
          <w:p w14:paraId="04792FEB" w14:textId="77777777" w:rsidR="00684519" w:rsidRPr="00E321A8" w:rsidRDefault="00684519" w:rsidP="00AE44CE">
            <w:pPr>
              <w:rPr>
                <w:strike/>
                <w:color w:val="D9D9D9" w:themeColor="background1" w:themeShade="D9"/>
                <w:sz w:val="18"/>
                <w:szCs w:val="18"/>
              </w:rPr>
            </w:pPr>
            <w:r w:rsidRPr="00E321A8">
              <w:rPr>
                <w:strike/>
                <w:color w:val="D9D9D9" w:themeColor="background1" w:themeShade="D9"/>
                <w:sz w:val="18"/>
                <w:szCs w:val="18"/>
              </w:rPr>
              <w:t>Unpublished</w:t>
            </w:r>
          </w:p>
        </w:tc>
        <w:tc>
          <w:tcPr>
            <w:tcW w:w="0" w:type="auto"/>
          </w:tcPr>
          <w:p w14:paraId="382FF6A8" w14:textId="77777777" w:rsidR="00684519" w:rsidRPr="00E321A8" w:rsidRDefault="00684519" w:rsidP="00AE44CE">
            <w:pPr>
              <w:jc w:val="center"/>
              <w:rPr>
                <w:strike/>
                <w:color w:val="D9D9D9" w:themeColor="background1" w:themeShade="D9"/>
                <w:sz w:val="18"/>
                <w:szCs w:val="18"/>
              </w:rPr>
            </w:pPr>
            <w:r w:rsidRPr="00E321A8">
              <w:rPr>
                <w:strike/>
                <w:color w:val="D9D9D9" w:themeColor="background1" w:themeShade="D9"/>
                <w:sz w:val="18"/>
                <w:szCs w:val="18"/>
              </w:rPr>
              <w:t>No</w:t>
            </w:r>
          </w:p>
        </w:tc>
        <w:tc>
          <w:tcPr>
            <w:tcW w:w="0" w:type="auto"/>
          </w:tcPr>
          <w:p w14:paraId="23164BEC" w14:textId="77777777" w:rsidR="00684519" w:rsidRPr="00E321A8" w:rsidRDefault="00684519" w:rsidP="00AE44CE">
            <w:pPr>
              <w:pStyle w:val="RepTable"/>
              <w:jc w:val="center"/>
              <w:rPr>
                <w:strike/>
                <w:color w:val="D9D9D9" w:themeColor="background1" w:themeShade="D9"/>
                <w:highlight w:val="yellow"/>
              </w:rPr>
            </w:pPr>
            <w:r w:rsidRPr="00E321A8">
              <w:rPr>
                <w:strike/>
                <w:color w:val="D9D9D9" w:themeColor="background1" w:themeShade="D9"/>
                <w:sz w:val="18"/>
                <w:szCs w:val="18"/>
              </w:rPr>
              <w:t>BASF</w:t>
            </w:r>
          </w:p>
        </w:tc>
      </w:tr>
      <w:tr w:rsidR="00684519" w14:paraId="64C37803" w14:textId="77777777" w:rsidTr="00684519">
        <w:trPr>
          <w:cantSplit/>
        </w:trPr>
        <w:tc>
          <w:tcPr>
            <w:tcW w:w="0" w:type="auto"/>
          </w:tcPr>
          <w:p w14:paraId="16ABA560"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KCP 10.3.1.2/1</w:t>
            </w:r>
          </w:p>
        </w:tc>
        <w:tc>
          <w:tcPr>
            <w:tcW w:w="0" w:type="auto"/>
          </w:tcPr>
          <w:p w14:paraId="51F4186F"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Dressler, K.</w:t>
            </w:r>
          </w:p>
        </w:tc>
        <w:tc>
          <w:tcPr>
            <w:tcW w:w="0" w:type="auto"/>
          </w:tcPr>
          <w:p w14:paraId="1C5A3BE2"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2021</w:t>
            </w:r>
          </w:p>
        </w:tc>
        <w:tc>
          <w:tcPr>
            <w:tcW w:w="0" w:type="auto"/>
          </w:tcPr>
          <w:p w14:paraId="4CB8139C"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Chronic toxicity of BAS 700 F tested as BAS 700 04 F to the honey bee Apis mellifera L. under laboratory conditions</w:t>
            </w:r>
          </w:p>
          <w:p w14:paraId="4CD51E97" w14:textId="77777777" w:rsidR="00684519" w:rsidRPr="00695008" w:rsidRDefault="00684519" w:rsidP="00AE44CE">
            <w:pPr>
              <w:rPr>
                <w:strike/>
                <w:color w:val="D9D9D9" w:themeColor="background1" w:themeShade="D9"/>
                <w:sz w:val="18"/>
                <w:szCs w:val="18"/>
                <w:lang w:val="de-DE"/>
              </w:rPr>
            </w:pPr>
            <w:r w:rsidRPr="00695008">
              <w:rPr>
                <w:strike/>
                <w:color w:val="D9D9D9" w:themeColor="background1" w:themeShade="D9"/>
                <w:sz w:val="18"/>
                <w:szCs w:val="18"/>
                <w:lang w:val="de-DE"/>
              </w:rPr>
              <w:t>2020/2083866</w:t>
            </w:r>
          </w:p>
          <w:p w14:paraId="2703554F" w14:textId="77777777" w:rsidR="00684519" w:rsidRPr="00695008" w:rsidRDefault="00684519" w:rsidP="00AE44CE">
            <w:pPr>
              <w:rPr>
                <w:strike/>
                <w:color w:val="D9D9D9" w:themeColor="background1" w:themeShade="D9"/>
                <w:sz w:val="18"/>
                <w:szCs w:val="18"/>
                <w:lang w:val="de-DE"/>
              </w:rPr>
            </w:pPr>
            <w:r w:rsidRPr="00695008">
              <w:rPr>
                <w:strike/>
                <w:color w:val="D9D9D9" w:themeColor="background1" w:themeShade="D9"/>
                <w:sz w:val="18"/>
                <w:szCs w:val="18"/>
                <w:lang w:val="de-DE"/>
              </w:rPr>
              <w:t>BioChem agrar Labor fuer biologische und chemische Analytik GmbH, Machern OT Gerichshain, Germany Fed.Rep.</w:t>
            </w:r>
          </w:p>
          <w:p w14:paraId="45EC71FE"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yes</w:t>
            </w:r>
          </w:p>
          <w:p w14:paraId="1ADE0341"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Unpublished</w:t>
            </w:r>
          </w:p>
        </w:tc>
        <w:tc>
          <w:tcPr>
            <w:tcW w:w="0" w:type="auto"/>
          </w:tcPr>
          <w:p w14:paraId="522F9041" w14:textId="77777777" w:rsidR="00684519" w:rsidRPr="00695008" w:rsidRDefault="00684519" w:rsidP="00AE44CE">
            <w:pPr>
              <w:jc w:val="center"/>
              <w:rPr>
                <w:strike/>
                <w:color w:val="D9D9D9" w:themeColor="background1" w:themeShade="D9"/>
                <w:sz w:val="18"/>
                <w:szCs w:val="18"/>
              </w:rPr>
            </w:pPr>
            <w:r w:rsidRPr="00695008">
              <w:rPr>
                <w:strike/>
                <w:color w:val="D9D9D9" w:themeColor="background1" w:themeShade="D9"/>
                <w:sz w:val="18"/>
                <w:szCs w:val="18"/>
              </w:rPr>
              <w:t>No</w:t>
            </w:r>
          </w:p>
        </w:tc>
        <w:tc>
          <w:tcPr>
            <w:tcW w:w="0" w:type="auto"/>
          </w:tcPr>
          <w:p w14:paraId="05BDFDEF" w14:textId="77777777" w:rsidR="00684519" w:rsidRPr="00695008" w:rsidRDefault="00684519" w:rsidP="00AE44CE">
            <w:pPr>
              <w:pStyle w:val="RepTable"/>
              <w:jc w:val="center"/>
              <w:rPr>
                <w:strike/>
                <w:color w:val="D9D9D9" w:themeColor="background1" w:themeShade="D9"/>
                <w:highlight w:val="yellow"/>
              </w:rPr>
            </w:pPr>
            <w:r w:rsidRPr="00695008">
              <w:rPr>
                <w:strike/>
                <w:color w:val="D9D9D9" w:themeColor="background1" w:themeShade="D9"/>
                <w:sz w:val="18"/>
                <w:szCs w:val="18"/>
              </w:rPr>
              <w:t>BASF</w:t>
            </w:r>
          </w:p>
        </w:tc>
      </w:tr>
      <w:tr w:rsidR="00684519" w14:paraId="674FB2D9" w14:textId="77777777" w:rsidTr="00684519">
        <w:trPr>
          <w:cantSplit/>
        </w:trPr>
        <w:tc>
          <w:tcPr>
            <w:tcW w:w="0" w:type="auto"/>
          </w:tcPr>
          <w:p w14:paraId="39E00227" w14:textId="77777777" w:rsidR="00684519" w:rsidRDefault="00684519" w:rsidP="00AE44CE">
            <w:pPr>
              <w:rPr>
                <w:sz w:val="18"/>
                <w:szCs w:val="18"/>
              </w:rPr>
            </w:pPr>
            <w:r>
              <w:rPr>
                <w:color w:val="000000"/>
                <w:sz w:val="18"/>
                <w:szCs w:val="18"/>
              </w:rPr>
              <w:lastRenderedPageBreak/>
              <w:t>KCP 10.3.1.2/2</w:t>
            </w:r>
          </w:p>
        </w:tc>
        <w:tc>
          <w:tcPr>
            <w:tcW w:w="0" w:type="auto"/>
          </w:tcPr>
          <w:p w14:paraId="61BF5DB2" w14:textId="77777777" w:rsidR="00684519" w:rsidRDefault="00684519" w:rsidP="00AE44CE">
            <w:pPr>
              <w:rPr>
                <w:sz w:val="18"/>
                <w:szCs w:val="18"/>
              </w:rPr>
            </w:pPr>
            <w:r>
              <w:rPr>
                <w:color w:val="000000"/>
                <w:sz w:val="18"/>
                <w:szCs w:val="18"/>
              </w:rPr>
              <w:t>Haeuser, R.</w:t>
            </w:r>
          </w:p>
        </w:tc>
        <w:tc>
          <w:tcPr>
            <w:tcW w:w="0" w:type="auto"/>
          </w:tcPr>
          <w:p w14:paraId="057A531B" w14:textId="77777777" w:rsidR="00684519" w:rsidRDefault="00684519" w:rsidP="00AE44CE">
            <w:pPr>
              <w:rPr>
                <w:sz w:val="18"/>
                <w:szCs w:val="18"/>
              </w:rPr>
            </w:pPr>
            <w:r>
              <w:rPr>
                <w:color w:val="000000"/>
                <w:sz w:val="18"/>
                <w:szCs w:val="18"/>
              </w:rPr>
              <w:t>2021</w:t>
            </w:r>
          </w:p>
        </w:tc>
        <w:tc>
          <w:tcPr>
            <w:tcW w:w="0" w:type="auto"/>
          </w:tcPr>
          <w:p w14:paraId="40D2D354" w14:textId="77777777" w:rsidR="00684519" w:rsidRDefault="00684519" w:rsidP="00AE44CE">
            <w:pPr>
              <w:rPr>
                <w:color w:val="000000"/>
                <w:sz w:val="18"/>
                <w:szCs w:val="18"/>
              </w:rPr>
            </w:pPr>
            <w:r>
              <w:rPr>
                <w:color w:val="000000"/>
                <w:sz w:val="18"/>
                <w:szCs w:val="18"/>
              </w:rPr>
              <w:t>BAS 736 00 F - Honey Bee (Apis mellifera L.) Chronic Oral Toxicity Test - 10 Day Feeding Test in the Laboratory</w:t>
            </w:r>
          </w:p>
          <w:p w14:paraId="730210E8" w14:textId="77777777" w:rsidR="00684519" w:rsidRDefault="00684519" w:rsidP="00AE44CE">
            <w:pPr>
              <w:rPr>
                <w:color w:val="000000"/>
                <w:sz w:val="18"/>
                <w:szCs w:val="18"/>
              </w:rPr>
            </w:pPr>
            <w:r>
              <w:rPr>
                <w:color w:val="000000"/>
                <w:sz w:val="18"/>
                <w:szCs w:val="18"/>
              </w:rPr>
              <w:t>2020/2080999</w:t>
            </w:r>
          </w:p>
          <w:p w14:paraId="314F9ADB" w14:textId="77777777" w:rsidR="00684519" w:rsidRDefault="00684519" w:rsidP="00AE44CE">
            <w:pPr>
              <w:rPr>
                <w:color w:val="000000"/>
                <w:sz w:val="18"/>
                <w:szCs w:val="18"/>
              </w:rPr>
            </w:pPr>
            <w:r>
              <w:rPr>
                <w:color w:val="000000"/>
                <w:sz w:val="18"/>
                <w:szCs w:val="18"/>
              </w:rPr>
              <w:t>Eurofins Agroscience Services Ecotox GmbH, Niefern-Oeschelbronn, Germany Fed.Rep.</w:t>
            </w:r>
          </w:p>
          <w:p w14:paraId="55F47FBA" w14:textId="77777777" w:rsidR="00684519" w:rsidRDefault="00684519" w:rsidP="00AE44CE">
            <w:pPr>
              <w:rPr>
                <w:color w:val="000000"/>
                <w:sz w:val="18"/>
                <w:szCs w:val="18"/>
              </w:rPr>
            </w:pPr>
            <w:r>
              <w:rPr>
                <w:color w:val="000000"/>
                <w:sz w:val="18"/>
                <w:szCs w:val="18"/>
              </w:rPr>
              <w:t>yes</w:t>
            </w:r>
          </w:p>
          <w:p w14:paraId="1FD4D6F1" w14:textId="77777777" w:rsidR="00684519" w:rsidRDefault="00684519" w:rsidP="00AE44CE">
            <w:pPr>
              <w:rPr>
                <w:color w:val="000000"/>
                <w:sz w:val="18"/>
                <w:szCs w:val="18"/>
              </w:rPr>
            </w:pPr>
            <w:r>
              <w:rPr>
                <w:color w:val="000000"/>
                <w:sz w:val="18"/>
                <w:szCs w:val="18"/>
              </w:rPr>
              <w:t>Unpublished</w:t>
            </w:r>
          </w:p>
        </w:tc>
        <w:tc>
          <w:tcPr>
            <w:tcW w:w="0" w:type="auto"/>
          </w:tcPr>
          <w:p w14:paraId="4346A342" w14:textId="77777777" w:rsidR="00684519" w:rsidRDefault="00684519" w:rsidP="00AE44CE">
            <w:pPr>
              <w:jc w:val="center"/>
              <w:rPr>
                <w:sz w:val="18"/>
                <w:szCs w:val="18"/>
              </w:rPr>
            </w:pPr>
            <w:r>
              <w:rPr>
                <w:color w:val="000000"/>
                <w:sz w:val="18"/>
                <w:szCs w:val="18"/>
              </w:rPr>
              <w:t>No</w:t>
            </w:r>
          </w:p>
        </w:tc>
        <w:tc>
          <w:tcPr>
            <w:tcW w:w="0" w:type="auto"/>
          </w:tcPr>
          <w:p w14:paraId="07F1EE4D" w14:textId="77777777" w:rsidR="00684519" w:rsidRDefault="00684519" w:rsidP="00AE44CE">
            <w:pPr>
              <w:pStyle w:val="RepTable"/>
              <w:jc w:val="center"/>
              <w:rPr>
                <w:highlight w:val="yellow"/>
              </w:rPr>
            </w:pPr>
            <w:r>
              <w:rPr>
                <w:color w:val="000000"/>
                <w:sz w:val="18"/>
                <w:szCs w:val="18"/>
              </w:rPr>
              <w:t>BASF</w:t>
            </w:r>
          </w:p>
        </w:tc>
      </w:tr>
      <w:tr w:rsidR="00684519" w14:paraId="7828DB8F" w14:textId="77777777" w:rsidTr="00684519">
        <w:trPr>
          <w:cantSplit/>
        </w:trPr>
        <w:tc>
          <w:tcPr>
            <w:tcW w:w="0" w:type="auto"/>
          </w:tcPr>
          <w:p w14:paraId="778D157B"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KCP 10.3.1.3/1</w:t>
            </w:r>
          </w:p>
        </w:tc>
        <w:tc>
          <w:tcPr>
            <w:tcW w:w="0" w:type="auto"/>
          </w:tcPr>
          <w:p w14:paraId="7A7E0A0A"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Kleebaum, K.</w:t>
            </w:r>
          </w:p>
        </w:tc>
        <w:tc>
          <w:tcPr>
            <w:tcW w:w="0" w:type="auto"/>
          </w:tcPr>
          <w:p w14:paraId="5054134C"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2018</w:t>
            </w:r>
          </w:p>
        </w:tc>
        <w:tc>
          <w:tcPr>
            <w:tcW w:w="0" w:type="auto"/>
          </w:tcPr>
          <w:p w14:paraId="44753994"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Repeated exposure of honey bee (Apis mellifera) larvae to BAS 700 F (Fluxapyroxad) under laboratory conditions (in vitro)</w:t>
            </w:r>
          </w:p>
          <w:p w14:paraId="602EBCFA"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2017/1036679</w:t>
            </w:r>
          </w:p>
          <w:p w14:paraId="7C14B755"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BioChem agrar GmbH, Gerichshain, Germany Fed.Rep.</w:t>
            </w:r>
          </w:p>
          <w:p w14:paraId="41CA2307"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yes</w:t>
            </w:r>
          </w:p>
          <w:p w14:paraId="02AE93CC" w14:textId="77777777" w:rsidR="00684519" w:rsidRPr="00695008" w:rsidRDefault="00684519" w:rsidP="00AE44CE">
            <w:pPr>
              <w:rPr>
                <w:strike/>
                <w:color w:val="D9D9D9" w:themeColor="background1" w:themeShade="D9"/>
                <w:sz w:val="18"/>
                <w:szCs w:val="18"/>
              </w:rPr>
            </w:pPr>
            <w:r w:rsidRPr="00695008">
              <w:rPr>
                <w:strike/>
                <w:color w:val="D9D9D9" w:themeColor="background1" w:themeShade="D9"/>
                <w:sz w:val="18"/>
                <w:szCs w:val="18"/>
              </w:rPr>
              <w:t>Unpublished</w:t>
            </w:r>
          </w:p>
        </w:tc>
        <w:tc>
          <w:tcPr>
            <w:tcW w:w="0" w:type="auto"/>
          </w:tcPr>
          <w:p w14:paraId="7E689AD3" w14:textId="77777777" w:rsidR="00684519" w:rsidRPr="00695008" w:rsidRDefault="00684519" w:rsidP="00AE44CE">
            <w:pPr>
              <w:jc w:val="center"/>
              <w:rPr>
                <w:strike/>
                <w:color w:val="D9D9D9" w:themeColor="background1" w:themeShade="D9"/>
                <w:sz w:val="18"/>
                <w:szCs w:val="18"/>
              </w:rPr>
            </w:pPr>
            <w:r w:rsidRPr="00695008">
              <w:rPr>
                <w:strike/>
                <w:color w:val="D9D9D9" w:themeColor="background1" w:themeShade="D9"/>
                <w:sz w:val="18"/>
                <w:szCs w:val="18"/>
              </w:rPr>
              <w:t>No</w:t>
            </w:r>
          </w:p>
        </w:tc>
        <w:tc>
          <w:tcPr>
            <w:tcW w:w="0" w:type="auto"/>
          </w:tcPr>
          <w:p w14:paraId="0E0886D2" w14:textId="77777777" w:rsidR="00684519" w:rsidRPr="00695008" w:rsidRDefault="00684519" w:rsidP="00AE44CE">
            <w:pPr>
              <w:pStyle w:val="RepTable"/>
              <w:jc w:val="center"/>
              <w:rPr>
                <w:strike/>
                <w:color w:val="D9D9D9" w:themeColor="background1" w:themeShade="D9"/>
                <w:highlight w:val="yellow"/>
              </w:rPr>
            </w:pPr>
            <w:r w:rsidRPr="00695008">
              <w:rPr>
                <w:strike/>
                <w:color w:val="D9D9D9" w:themeColor="background1" w:themeShade="D9"/>
                <w:sz w:val="18"/>
                <w:szCs w:val="18"/>
              </w:rPr>
              <w:t>BASF</w:t>
            </w:r>
          </w:p>
        </w:tc>
      </w:tr>
      <w:tr w:rsidR="00684519" w14:paraId="6CD42B2A" w14:textId="77777777" w:rsidTr="00684519">
        <w:trPr>
          <w:cantSplit/>
        </w:trPr>
        <w:tc>
          <w:tcPr>
            <w:tcW w:w="0" w:type="auto"/>
          </w:tcPr>
          <w:p w14:paraId="527C02C5" w14:textId="77777777" w:rsidR="00684519" w:rsidRDefault="00684519" w:rsidP="00AE44CE">
            <w:pPr>
              <w:rPr>
                <w:sz w:val="18"/>
                <w:szCs w:val="18"/>
              </w:rPr>
            </w:pPr>
            <w:r>
              <w:rPr>
                <w:color w:val="000000"/>
                <w:sz w:val="18"/>
                <w:szCs w:val="18"/>
              </w:rPr>
              <w:t>KCP 10.3.1.3/2</w:t>
            </w:r>
          </w:p>
        </w:tc>
        <w:tc>
          <w:tcPr>
            <w:tcW w:w="0" w:type="auto"/>
          </w:tcPr>
          <w:p w14:paraId="7A832949" w14:textId="77777777" w:rsidR="00684519" w:rsidRDefault="00684519" w:rsidP="00AE44CE">
            <w:pPr>
              <w:rPr>
                <w:sz w:val="18"/>
                <w:szCs w:val="18"/>
              </w:rPr>
            </w:pPr>
            <w:r>
              <w:rPr>
                <w:color w:val="000000"/>
                <w:sz w:val="18"/>
                <w:szCs w:val="18"/>
              </w:rPr>
              <w:t>Haeuser, R.</w:t>
            </w:r>
          </w:p>
        </w:tc>
        <w:tc>
          <w:tcPr>
            <w:tcW w:w="0" w:type="auto"/>
          </w:tcPr>
          <w:p w14:paraId="14D3E10A" w14:textId="77777777" w:rsidR="00684519" w:rsidRDefault="00684519" w:rsidP="00AE44CE">
            <w:pPr>
              <w:rPr>
                <w:sz w:val="18"/>
                <w:szCs w:val="18"/>
              </w:rPr>
            </w:pPr>
            <w:r>
              <w:rPr>
                <w:color w:val="000000"/>
                <w:sz w:val="18"/>
                <w:szCs w:val="18"/>
              </w:rPr>
              <w:t>2021</w:t>
            </w:r>
          </w:p>
        </w:tc>
        <w:tc>
          <w:tcPr>
            <w:tcW w:w="0" w:type="auto"/>
          </w:tcPr>
          <w:p w14:paraId="1F6CF881" w14:textId="77777777" w:rsidR="00684519" w:rsidRDefault="00684519" w:rsidP="00AE44CE">
            <w:pPr>
              <w:rPr>
                <w:color w:val="000000"/>
                <w:sz w:val="18"/>
                <w:szCs w:val="18"/>
              </w:rPr>
            </w:pPr>
            <w:r>
              <w:rPr>
                <w:color w:val="000000"/>
                <w:sz w:val="18"/>
                <w:szCs w:val="18"/>
              </w:rPr>
              <w:t>Repeated exposure of honey bee (Apis mellifera L.) larvae to BAS 736 00 F under laboratory conditions</w:t>
            </w:r>
          </w:p>
          <w:p w14:paraId="3286255C" w14:textId="77777777" w:rsidR="00684519" w:rsidRDefault="00684519" w:rsidP="00AE44CE">
            <w:pPr>
              <w:rPr>
                <w:color w:val="000000"/>
                <w:sz w:val="18"/>
                <w:szCs w:val="18"/>
              </w:rPr>
            </w:pPr>
            <w:r>
              <w:rPr>
                <w:color w:val="000000"/>
                <w:sz w:val="18"/>
                <w:szCs w:val="18"/>
              </w:rPr>
              <w:t>2020/2081000</w:t>
            </w:r>
          </w:p>
          <w:p w14:paraId="5F54129C" w14:textId="77777777" w:rsidR="00684519" w:rsidRDefault="00684519" w:rsidP="00AE44CE">
            <w:pPr>
              <w:rPr>
                <w:color w:val="000000"/>
                <w:sz w:val="18"/>
                <w:szCs w:val="18"/>
              </w:rPr>
            </w:pPr>
            <w:r>
              <w:rPr>
                <w:color w:val="000000"/>
                <w:sz w:val="18"/>
                <w:szCs w:val="18"/>
              </w:rPr>
              <w:t>Eurofins Agroscience Services Ecotox GmbH, Niefern-Oeschelbronn, Germany Fed.Rep.</w:t>
            </w:r>
          </w:p>
          <w:p w14:paraId="375AE2DC" w14:textId="77777777" w:rsidR="00684519" w:rsidRDefault="00684519" w:rsidP="00AE44CE">
            <w:pPr>
              <w:rPr>
                <w:color w:val="000000"/>
                <w:sz w:val="18"/>
                <w:szCs w:val="18"/>
              </w:rPr>
            </w:pPr>
            <w:r>
              <w:rPr>
                <w:color w:val="000000"/>
                <w:sz w:val="18"/>
                <w:szCs w:val="18"/>
              </w:rPr>
              <w:t>yes</w:t>
            </w:r>
          </w:p>
          <w:p w14:paraId="34BDD2E3" w14:textId="77777777" w:rsidR="00684519" w:rsidRDefault="00684519" w:rsidP="00AE44CE">
            <w:pPr>
              <w:rPr>
                <w:color w:val="000000"/>
                <w:sz w:val="18"/>
                <w:szCs w:val="18"/>
              </w:rPr>
            </w:pPr>
            <w:r>
              <w:rPr>
                <w:color w:val="000000"/>
                <w:sz w:val="18"/>
                <w:szCs w:val="18"/>
              </w:rPr>
              <w:t>Unpublished</w:t>
            </w:r>
          </w:p>
        </w:tc>
        <w:tc>
          <w:tcPr>
            <w:tcW w:w="0" w:type="auto"/>
          </w:tcPr>
          <w:p w14:paraId="71501472" w14:textId="77777777" w:rsidR="00684519" w:rsidRDefault="00684519" w:rsidP="00AE44CE">
            <w:pPr>
              <w:jc w:val="center"/>
              <w:rPr>
                <w:sz w:val="18"/>
                <w:szCs w:val="18"/>
              </w:rPr>
            </w:pPr>
            <w:r>
              <w:rPr>
                <w:color w:val="000000"/>
                <w:sz w:val="18"/>
                <w:szCs w:val="18"/>
              </w:rPr>
              <w:t>No</w:t>
            </w:r>
          </w:p>
        </w:tc>
        <w:tc>
          <w:tcPr>
            <w:tcW w:w="0" w:type="auto"/>
          </w:tcPr>
          <w:p w14:paraId="282D4C48" w14:textId="77777777" w:rsidR="00684519" w:rsidRDefault="00684519" w:rsidP="00AE44CE">
            <w:pPr>
              <w:pStyle w:val="RepTable"/>
              <w:jc w:val="center"/>
              <w:rPr>
                <w:highlight w:val="yellow"/>
              </w:rPr>
            </w:pPr>
            <w:r>
              <w:rPr>
                <w:color w:val="000000"/>
                <w:sz w:val="18"/>
                <w:szCs w:val="18"/>
              </w:rPr>
              <w:t>BASF</w:t>
            </w:r>
          </w:p>
        </w:tc>
      </w:tr>
      <w:tr w:rsidR="00684519" w14:paraId="0DB99BEE" w14:textId="77777777" w:rsidTr="00684519">
        <w:trPr>
          <w:cantSplit/>
        </w:trPr>
        <w:tc>
          <w:tcPr>
            <w:tcW w:w="0" w:type="auto"/>
          </w:tcPr>
          <w:p w14:paraId="2288CF43" w14:textId="77777777" w:rsidR="00684519" w:rsidRDefault="00684519" w:rsidP="00AE44CE">
            <w:pPr>
              <w:rPr>
                <w:sz w:val="18"/>
                <w:szCs w:val="18"/>
              </w:rPr>
            </w:pPr>
            <w:r>
              <w:rPr>
                <w:color w:val="000000"/>
                <w:sz w:val="18"/>
                <w:szCs w:val="18"/>
              </w:rPr>
              <w:t>KCP 10.3.2.1/1</w:t>
            </w:r>
          </w:p>
        </w:tc>
        <w:tc>
          <w:tcPr>
            <w:tcW w:w="0" w:type="auto"/>
          </w:tcPr>
          <w:p w14:paraId="7584117B" w14:textId="77777777" w:rsidR="00684519" w:rsidRDefault="00684519" w:rsidP="00AE44CE">
            <w:pPr>
              <w:rPr>
                <w:sz w:val="18"/>
                <w:szCs w:val="18"/>
              </w:rPr>
            </w:pPr>
            <w:r>
              <w:rPr>
                <w:color w:val="000000"/>
                <w:sz w:val="18"/>
                <w:szCs w:val="18"/>
              </w:rPr>
              <w:t>Roehlig, U.</w:t>
            </w:r>
          </w:p>
        </w:tc>
        <w:tc>
          <w:tcPr>
            <w:tcW w:w="0" w:type="auto"/>
          </w:tcPr>
          <w:p w14:paraId="669F9B36" w14:textId="77777777" w:rsidR="00684519" w:rsidRDefault="00684519" w:rsidP="00AE44CE">
            <w:pPr>
              <w:rPr>
                <w:sz w:val="18"/>
                <w:szCs w:val="18"/>
              </w:rPr>
            </w:pPr>
            <w:r>
              <w:rPr>
                <w:color w:val="000000"/>
                <w:sz w:val="18"/>
                <w:szCs w:val="18"/>
              </w:rPr>
              <w:t>2019</w:t>
            </w:r>
          </w:p>
        </w:tc>
        <w:tc>
          <w:tcPr>
            <w:tcW w:w="0" w:type="auto"/>
          </w:tcPr>
          <w:p w14:paraId="14124674" w14:textId="77777777" w:rsidR="00684519" w:rsidRDefault="00684519" w:rsidP="00AE44CE">
            <w:pPr>
              <w:rPr>
                <w:color w:val="000000"/>
                <w:sz w:val="18"/>
                <w:szCs w:val="18"/>
              </w:rPr>
            </w:pPr>
            <w:r>
              <w:rPr>
                <w:color w:val="000000"/>
                <w:sz w:val="18"/>
                <w:szCs w:val="18"/>
              </w:rPr>
              <w:t>Effects of BAS 736 00 F on the predatory mite Typhlodromus pyri SCHEUTEN in a laboratory test</w:t>
            </w:r>
          </w:p>
          <w:p w14:paraId="1C258FD5" w14:textId="77777777" w:rsidR="00684519" w:rsidRDefault="00684519" w:rsidP="00AE44CE">
            <w:pPr>
              <w:rPr>
                <w:color w:val="000000"/>
                <w:sz w:val="18"/>
                <w:szCs w:val="18"/>
              </w:rPr>
            </w:pPr>
            <w:r>
              <w:rPr>
                <w:color w:val="000000"/>
                <w:sz w:val="18"/>
                <w:szCs w:val="18"/>
              </w:rPr>
              <w:t>2019/1061102</w:t>
            </w:r>
          </w:p>
          <w:p w14:paraId="680BA0FD" w14:textId="77777777" w:rsidR="00684519" w:rsidRDefault="00684519" w:rsidP="00AE44CE">
            <w:pPr>
              <w:rPr>
                <w:color w:val="000000"/>
                <w:sz w:val="18"/>
                <w:szCs w:val="18"/>
              </w:rPr>
            </w:pPr>
            <w:r>
              <w:rPr>
                <w:color w:val="000000"/>
                <w:sz w:val="18"/>
                <w:szCs w:val="18"/>
              </w:rPr>
              <w:t>BioChem agrar GmbH, Gerichshain, Germany Fed.Rep.</w:t>
            </w:r>
          </w:p>
          <w:p w14:paraId="212BF61C" w14:textId="77777777" w:rsidR="00684519" w:rsidRDefault="00684519" w:rsidP="00AE44CE">
            <w:pPr>
              <w:rPr>
                <w:color w:val="000000"/>
                <w:sz w:val="18"/>
                <w:szCs w:val="18"/>
              </w:rPr>
            </w:pPr>
            <w:r>
              <w:rPr>
                <w:color w:val="000000"/>
                <w:sz w:val="18"/>
                <w:szCs w:val="18"/>
              </w:rPr>
              <w:t>no</w:t>
            </w:r>
          </w:p>
          <w:p w14:paraId="2E8D4EBD" w14:textId="77777777" w:rsidR="00684519" w:rsidRDefault="00684519" w:rsidP="00AE44CE">
            <w:pPr>
              <w:rPr>
                <w:color w:val="000000"/>
                <w:sz w:val="18"/>
                <w:szCs w:val="18"/>
              </w:rPr>
            </w:pPr>
            <w:r>
              <w:rPr>
                <w:color w:val="000000"/>
                <w:sz w:val="18"/>
                <w:szCs w:val="18"/>
              </w:rPr>
              <w:t>Unpublished</w:t>
            </w:r>
          </w:p>
        </w:tc>
        <w:tc>
          <w:tcPr>
            <w:tcW w:w="0" w:type="auto"/>
          </w:tcPr>
          <w:p w14:paraId="7E1275D5" w14:textId="77777777" w:rsidR="00684519" w:rsidRDefault="00684519" w:rsidP="00AE44CE">
            <w:pPr>
              <w:jc w:val="center"/>
              <w:rPr>
                <w:sz w:val="18"/>
                <w:szCs w:val="18"/>
              </w:rPr>
            </w:pPr>
            <w:r>
              <w:rPr>
                <w:color w:val="000000"/>
                <w:sz w:val="18"/>
                <w:szCs w:val="18"/>
              </w:rPr>
              <w:t>No</w:t>
            </w:r>
          </w:p>
        </w:tc>
        <w:tc>
          <w:tcPr>
            <w:tcW w:w="0" w:type="auto"/>
          </w:tcPr>
          <w:p w14:paraId="253F7008" w14:textId="77777777" w:rsidR="00684519" w:rsidRDefault="00684519" w:rsidP="00AE44CE">
            <w:pPr>
              <w:pStyle w:val="RepTable"/>
              <w:jc w:val="center"/>
              <w:rPr>
                <w:highlight w:val="yellow"/>
              </w:rPr>
            </w:pPr>
            <w:r>
              <w:rPr>
                <w:color w:val="000000"/>
                <w:sz w:val="18"/>
                <w:szCs w:val="18"/>
              </w:rPr>
              <w:t>BASF</w:t>
            </w:r>
          </w:p>
        </w:tc>
      </w:tr>
      <w:tr w:rsidR="00684519" w14:paraId="1C40B6FF" w14:textId="77777777" w:rsidTr="00684519">
        <w:trPr>
          <w:cantSplit/>
        </w:trPr>
        <w:tc>
          <w:tcPr>
            <w:tcW w:w="0" w:type="auto"/>
          </w:tcPr>
          <w:p w14:paraId="249FB5B5" w14:textId="77777777" w:rsidR="00684519" w:rsidRDefault="00684519" w:rsidP="00AE44CE">
            <w:pPr>
              <w:rPr>
                <w:sz w:val="18"/>
                <w:szCs w:val="18"/>
              </w:rPr>
            </w:pPr>
            <w:r>
              <w:rPr>
                <w:color w:val="000000"/>
                <w:sz w:val="18"/>
                <w:szCs w:val="18"/>
              </w:rPr>
              <w:t>KCP 10.3.2.1/2</w:t>
            </w:r>
          </w:p>
        </w:tc>
        <w:tc>
          <w:tcPr>
            <w:tcW w:w="0" w:type="auto"/>
          </w:tcPr>
          <w:p w14:paraId="1E0A95BB" w14:textId="77777777" w:rsidR="00684519" w:rsidRDefault="00684519" w:rsidP="00AE44CE">
            <w:pPr>
              <w:rPr>
                <w:sz w:val="18"/>
                <w:szCs w:val="18"/>
              </w:rPr>
            </w:pPr>
            <w:r>
              <w:rPr>
                <w:color w:val="000000"/>
                <w:sz w:val="18"/>
                <w:szCs w:val="18"/>
              </w:rPr>
              <w:t>Roehlig, U.</w:t>
            </w:r>
          </w:p>
        </w:tc>
        <w:tc>
          <w:tcPr>
            <w:tcW w:w="0" w:type="auto"/>
          </w:tcPr>
          <w:p w14:paraId="171EEA86" w14:textId="77777777" w:rsidR="00684519" w:rsidRDefault="00684519" w:rsidP="00AE44CE">
            <w:pPr>
              <w:rPr>
                <w:sz w:val="18"/>
                <w:szCs w:val="18"/>
              </w:rPr>
            </w:pPr>
            <w:r>
              <w:rPr>
                <w:color w:val="000000"/>
                <w:sz w:val="18"/>
                <w:szCs w:val="18"/>
              </w:rPr>
              <w:t>2019</w:t>
            </w:r>
          </w:p>
        </w:tc>
        <w:tc>
          <w:tcPr>
            <w:tcW w:w="0" w:type="auto"/>
          </w:tcPr>
          <w:p w14:paraId="1817C404" w14:textId="77777777" w:rsidR="00684519" w:rsidRDefault="00684519" w:rsidP="00AE44CE">
            <w:pPr>
              <w:rPr>
                <w:color w:val="000000"/>
                <w:sz w:val="18"/>
                <w:szCs w:val="18"/>
              </w:rPr>
            </w:pPr>
            <w:r>
              <w:rPr>
                <w:color w:val="000000"/>
                <w:sz w:val="18"/>
                <w:szCs w:val="18"/>
              </w:rPr>
              <w:t>Effects of BAS 736 00 F on the parasitic wasp Aphidius rhopalosiphi (DESTEFANI-PEREZ) in a laboratory test</w:t>
            </w:r>
          </w:p>
          <w:p w14:paraId="62C77CCE" w14:textId="77777777" w:rsidR="00684519" w:rsidRDefault="00684519" w:rsidP="00AE44CE">
            <w:pPr>
              <w:rPr>
                <w:color w:val="000000"/>
                <w:sz w:val="18"/>
                <w:szCs w:val="18"/>
              </w:rPr>
            </w:pPr>
            <w:r>
              <w:rPr>
                <w:color w:val="000000"/>
                <w:sz w:val="18"/>
                <w:szCs w:val="18"/>
              </w:rPr>
              <w:t>2019/1061100</w:t>
            </w:r>
          </w:p>
          <w:p w14:paraId="1A0BE340" w14:textId="77777777" w:rsidR="00684519" w:rsidRDefault="00684519" w:rsidP="00AE44CE">
            <w:pPr>
              <w:rPr>
                <w:color w:val="000000"/>
                <w:sz w:val="18"/>
                <w:szCs w:val="18"/>
              </w:rPr>
            </w:pPr>
            <w:r>
              <w:rPr>
                <w:color w:val="000000"/>
                <w:sz w:val="18"/>
                <w:szCs w:val="18"/>
              </w:rPr>
              <w:t>BioChem agrar GmbH, Gerichshain, Germany Fed.Rep.</w:t>
            </w:r>
          </w:p>
          <w:p w14:paraId="5519BDC1" w14:textId="77777777" w:rsidR="00684519" w:rsidRDefault="00684519" w:rsidP="00AE44CE">
            <w:pPr>
              <w:rPr>
                <w:color w:val="000000"/>
                <w:sz w:val="18"/>
                <w:szCs w:val="18"/>
              </w:rPr>
            </w:pPr>
            <w:r>
              <w:rPr>
                <w:color w:val="000000"/>
                <w:sz w:val="18"/>
                <w:szCs w:val="18"/>
              </w:rPr>
              <w:t>yes</w:t>
            </w:r>
          </w:p>
          <w:p w14:paraId="57917518" w14:textId="77777777" w:rsidR="00684519" w:rsidRDefault="00684519" w:rsidP="00AE44CE">
            <w:pPr>
              <w:rPr>
                <w:color w:val="000000"/>
                <w:sz w:val="18"/>
                <w:szCs w:val="18"/>
              </w:rPr>
            </w:pPr>
            <w:r>
              <w:rPr>
                <w:color w:val="000000"/>
                <w:sz w:val="18"/>
                <w:szCs w:val="18"/>
              </w:rPr>
              <w:t>Unpublished</w:t>
            </w:r>
          </w:p>
        </w:tc>
        <w:tc>
          <w:tcPr>
            <w:tcW w:w="0" w:type="auto"/>
          </w:tcPr>
          <w:p w14:paraId="02460DB6" w14:textId="77777777" w:rsidR="00684519" w:rsidRDefault="00684519" w:rsidP="00AE44CE">
            <w:pPr>
              <w:jc w:val="center"/>
              <w:rPr>
                <w:sz w:val="18"/>
                <w:szCs w:val="18"/>
              </w:rPr>
            </w:pPr>
            <w:r>
              <w:rPr>
                <w:color w:val="000000"/>
                <w:sz w:val="18"/>
                <w:szCs w:val="18"/>
              </w:rPr>
              <w:t>No</w:t>
            </w:r>
          </w:p>
        </w:tc>
        <w:tc>
          <w:tcPr>
            <w:tcW w:w="0" w:type="auto"/>
          </w:tcPr>
          <w:p w14:paraId="5488B97C" w14:textId="77777777" w:rsidR="00684519" w:rsidRDefault="00684519" w:rsidP="00AE44CE">
            <w:pPr>
              <w:pStyle w:val="RepTable"/>
              <w:jc w:val="center"/>
              <w:rPr>
                <w:highlight w:val="yellow"/>
              </w:rPr>
            </w:pPr>
            <w:r>
              <w:rPr>
                <w:color w:val="000000"/>
                <w:sz w:val="18"/>
                <w:szCs w:val="18"/>
              </w:rPr>
              <w:t>BASF</w:t>
            </w:r>
          </w:p>
        </w:tc>
      </w:tr>
      <w:tr w:rsidR="00684519" w14:paraId="209ED1A8" w14:textId="77777777" w:rsidTr="00684519">
        <w:trPr>
          <w:cantSplit/>
        </w:trPr>
        <w:tc>
          <w:tcPr>
            <w:tcW w:w="0" w:type="auto"/>
          </w:tcPr>
          <w:p w14:paraId="79B92329" w14:textId="77777777" w:rsidR="00684519" w:rsidRDefault="00684519" w:rsidP="00AE44CE">
            <w:pPr>
              <w:rPr>
                <w:sz w:val="18"/>
                <w:szCs w:val="18"/>
              </w:rPr>
            </w:pPr>
            <w:r>
              <w:rPr>
                <w:color w:val="000000"/>
                <w:sz w:val="18"/>
                <w:szCs w:val="18"/>
              </w:rPr>
              <w:t>KCP 10.3.2.2/1</w:t>
            </w:r>
          </w:p>
        </w:tc>
        <w:tc>
          <w:tcPr>
            <w:tcW w:w="0" w:type="auto"/>
          </w:tcPr>
          <w:p w14:paraId="4E86C385" w14:textId="77777777" w:rsidR="00684519" w:rsidRDefault="00684519" w:rsidP="00AE44CE">
            <w:pPr>
              <w:rPr>
                <w:sz w:val="18"/>
                <w:szCs w:val="18"/>
              </w:rPr>
            </w:pPr>
            <w:r>
              <w:rPr>
                <w:color w:val="000000"/>
                <w:sz w:val="18"/>
                <w:szCs w:val="18"/>
              </w:rPr>
              <w:t>Roehlig, U.</w:t>
            </w:r>
          </w:p>
        </w:tc>
        <w:tc>
          <w:tcPr>
            <w:tcW w:w="0" w:type="auto"/>
          </w:tcPr>
          <w:p w14:paraId="2307A740" w14:textId="77777777" w:rsidR="00684519" w:rsidRDefault="00684519" w:rsidP="00AE44CE">
            <w:pPr>
              <w:rPr>
                <w:sz w:val="18"/>
                <w:szCs w:val="18"/>
              </w:rPr>
            </w:pPr>
            <w:r>
              <w:rPr>
                <w:color w:val="000000"/>
                <w:sz w:val="18"/>
                <w:szCs w:val="18"/>
              </w:rPr>
              <w:t>2019</w:t>
            </w:r>
          </w:p>
        </w:tc>
        <w:tc>
          <w:tcPr>
            <w:tcW w:w="0" w:type="auto"/>
          </w:tcPr>
          <w:p w14:paraId="77A8053C" w14:textId="77777777" w:rsidR="00684519" w:rsidRDefault="00684519" w:rsidP="00AE44CE">
            <w:pPr>
              <w:rPr>
                <w:color w:val="000000"/>
                <w:sz w:val="18"/>
                <w:szCs w:val="18"/>
              </w:rPr>
            </w:pPr>
            <w:r>
              <w:rPr>
                <w:color w:val="000000"/>
                <w:sz w:val="18"/>
                <w:szCs w:val="18"/>
              </w:rPr>
              <w:t>Effects of BAS 736 00 F on the predatory mite Typhlodromus pyri Scheuten in an extended laboratory test</w:t>
            </w:r>
          </w:p>
          <w:p w14:paraId="03DDB77A" w14:textId="77777777" w:rsidR="00684519" w:rsidRDefault="00684519" w:rsidP="00AE44CE">
            <w:pPr>
              <w:rPr>
                <w:color w:val="000000"/>
                <w:sz w:val="18"/>
                <w:szCs w:val="18"/>
              </w:rPr>
            </w:pPr>
            <w:r>
              <w:rPr>
                <w:color w:val="000000"/>
                <w:sz w:val="18"/>
                <w:szCs w:val="18"/>
              </w:rPr>
              <w:t>2019/1061104</w:t>
            </w:r>
          </w:p>
          <w:p w14:paraId="6BD46D5A" w14:textId="77777777" w:rsidR="00684519" w:rsidRDefault="00684519" w:rsidP="00AE44CE">
            <w:pPr>
              <w:rPr>
                <w:color w:val="000000"/>
                <w:sz w:val="18"/>
                <w:szCs w:val="18"/>
              </w:rPr>
            </w:pPr>
            <w:r>
              <w:rPr>
                <w:color w:val="000000"/>
                <w:sz w:val="18"/>
                <w:szCs w:val="18"/>
              </w:rPr>
              <w:t>BioChem agrar GmbH, Gerichshain, Germany Fed.Rep.</w:t>
            </w:r>
          </w:p>
          <w:p w14:paraId="4F741213" w14:textId="77777777" w:rsidR="00684519" w:rsidRDefault="00684519" w:rsidP="00AE44CE">
            <w:pPr>
              <w:rPr>
                <w:color w:val="000000"/>
                <w:sz w:val="18"/>
                <w:szCs w:val="18"/>
              </w:rPr>
            </w:pPr>
            <w:r>
              <w:rPr>
                <w:color w:val="000000"/>
                <w:sz w:val="18"/>
                <w:szCs w:val="18"/>
              </w:rPr>
              <w:t>yes</w:t>
            </w:r>
          </w:p>
          <w:p w14:paraId="32E650D3" w14:textId="77777777" w:rsidR="00684519" w:rsidRDefault="00684519" w:rsidP="00AE44CE">
            <w:pPr>
              <w:rPr>
                <w:color w:val="000000"/>
                <w:sz w:val="18"/>
                <w:szCs w:val="18"/>
              </w:rPr>
            </w:pPr>
            <w:r>
              <w:rPr>
                <w:color w:val="000000"/>
                <w:sz w:val="18"/>
                <w:szCs w:val="18"/>
              </w:rPr>
              <w:t>Unpublished</w:t>
            </w:r>
          </w:p>
        </w:tc>
        <w:tc>
          <w:tcPr>
            <w:tcW w:w="0" w:type="auto"/>
          </w:tcPr>
          <w:p w14:paraId="48B77409" w14:textId="77777777" w:rsidR="00684519" w:rsidRDefault="00684519" w:rsidP="00AE44CE">
            <w:pPr>
              <w:jc w:val="center"/>
              <w:rPr>
                <w:sz w:val="18"/>
                <w:szCs w:val="18"/>
              </w:rPr>
            </w:pPr>
            <w:r>
              <w:rPr>
                <w:color w:val="000000"/>
                <w:sz w:val="18"/>
                <w:szCs w:val="18"/>
              </w:rPr>
              <w:t>No</w:t>
            </w:r>
          </w:p>
        </w:tc>
        <w:tc>
          <w:tcPr>
            <w:tcW w:w="0" w:type="auto"/>
          </w:tcPr>
          <w:p w14:paraId="40EB5EC0" w14:textId="77777777" w:rsidR="00684519" w:rsidRDefault="00684519" w:rsidP="00AE44CE">
            <w:pPr>
              <w:pStyle w:val="RepTable"/>
              <w:jc w:val="center"/>
              <w:rPr>
                <w:highlight w:val="yellow"/>
              </w:rPr>
            </w:pPr>
            <w:r>
              <w:rPr>
                <w:color w:val="000000"/>
                <w:sz w:val="18"/>
                <w:szCs w:val="18"/>
              </w:rPr>
              <w:t>BASF</w:t>
            </w:r>
          </w:p>
        </w:tc>
      </w:tr>
      <w:tr w:rsidR="00684519" w14:paraId="4F7ACE29" w14:textId="77777777" w:rsidTr="00684519">
        <w:trPr>
          <w:cantSplit/>
        </w:trPr>
        <w:tc>
          <w:tcPr>
            <w:tcW w:w="0" w:type="auto"/>
          </w:tcPr>
          <w:p w14:paraId="07DDCEB6" w14:textId="77777777" w:rsidR="00684519" w:rsidRDefault="00684519" w:rsidP="00AE44CE">
            <w:pPr>
              <w:rPr>
                <w:sz w:val="18"/>
                <w:szCs w:val="18"/>
              </w:rPr>
            </w:pPr>
            <w:r>
              <w:rPr>
                <w:color w:val="000000"/>
                <w:sz w:val="18"/>
                <w:szCs w:val="18"/>
              </w:rPr>
              <w:lastRenderedPageBreak/>
              <w:t>KCP 10.3.2.2/2</w:t>
            </w:r>
          </w:p>
        </w:tc>
        <w:tc>
          <w:tcPr>
            <w:tcW w:w="0" w:type="auto"/>
          </w:tcPr>
          <w:p w14:paraId="634FC3D4" w14:textId="77777777" w:rsidR="00684519" w:rsidRDefault="00684519" w:rsidP="00AE44CE">
            <w:pPr>
              <w:rPr>
                <w:sz w:val="18"/>
                <w:szCs w:val="18"/>
              </w:rPr>
            </w:pPr>
            <w:r>
              <w:rPr>
                <w:color w:val="000000"/>
                <w:sz w:val="18"/>
                <w:szCs w:val="18"/>
              </w:rPr>
              <w:t>Roehlig, U.</w:t>
            </w:r>
          </w:p>
        </w:tc>
        <w:tc>
          <w:tcPr>
            <w:tcW w:w="0" w:type="auto"/>
          </w:tcPr>
          <w:p w14:paraId="06188033" w14:textId="77777777" w:rsidR="00684519" w:rsidRDefault="00684519" w:rsidP="00AE44CE">
            <w:pPr>
              <w:rPr>
                <w:sz w:val="18"/>
                <w:szCs w:val="18"/>
              </w:rPr>
            </w:pPr>
            <w:r>
              <w:rPr>
                <w:color w:val="000000"/>
                <w:sz w:val="18"/>
                <w:szCs w:val="18"/>
              </w:rPr>
              <w:t>2019</w:t>
            </w:r>
          </w:p>
        </w:tc>
        <w:tc>
          <w:tcPr>
            <w:tcW w:w="0" w:type="auto"/>
          </w:tcPr>
          <w:p w14:paraId="74FAD261" w14:textId="77777777" w:rsidR="00684519" w:rsidRDefault="00684519" w:rsidP="00AE44CE">
            <w:pPr>
              <w:rPr>
                <w:color w:val="000000"/>
                <w:sz w:val="18"/>
                <w:szCs w:val="18"/>
              </w:rPr>
            </w:pPr>
            <w:r>
              <w:rPr>
                <w:color w:val="000000"/>
                <w:sz w:val="18"/>
                <w:szCs w:val="18"/>
              </w:rPr>
              <w:t>Effects of BAS 736 00 F on the parasitic wasp Aphidius rhopalosiphi (Destefani-Perez) in an Extended laboratory test</w:t>
            </w:r>
          </w:p>
          <w:p w14:paraId="5565D9BC" w14:textId="77777777" w:rsidR="00684519" w:rsidRDefault="00684519" w:rsidP="00AE44CE">
            <w:pPr>
              <w:rPr>
                <w:color w:val="000000"/>
                <w:sz w:val="18"/>
                <w:szCs w:val="18"/>
              </w:rPr>
            </w:pPr>
            <w:r>
              <w:rPr>
                <w:color w:val="000000"/>
                <w:sz w:val="18"/>
                <w:szCs w:val="18"/>
              </w:rPr>
              <w:t>2019/1061101</w:t>
            </w:r>
          </w:p>
          <w:p w14:paraId="3F5EDCEF" w14:textId="77777777" w:rsidR="00684519" w:rsidRDefault="00684519" w:rsidP="00AE44CE">
            <w:pPr>
              <w:rPr>
                <w:color w:val="000000"/>
                <w:sz w:val="18"/>
                <w:szCs w:val="18"/>
              </w:rPr>
            </w:pPr>
            <w:r>
              <w:rPr>
                <w:color w:val="000000"/>
                <w:sz w:val="18"/>
                <w:szCs w:val="18"/>
              </w:rPr>
              <w:t>BioChem agrar GmbH, Gerichshain, Germany Fed.Rep.</w:t>
            </w:r>
          </w:p>
          <w:p w14:paraId="354E9C49" w14:textId="77777777" w:rsidR="00684519" w:rsidRDefault="00684519" w:rsidP="00AE44CE">
            <w:pPr>
              <w:rPr>
                <w:color w:val="000000"/>
                <w:sz w:val="18"/>
                <w:szCs w:val="18"/>
              </w:rPr>
            </w:pPr>
            <w:r>
              <w:rPr>
                <w:color w:val="000000"/>
                <w:sz w:val="18"/>
                <w:szCs w:val="18"/>
              </w:rPr>
              <w:t>yes</w:t>
            </w:r>
          </w:p>
          <w:p w14:paraId="23CE5FBB" w14:textId="77777777" w:rsidR="00684519" w:rsidRDefault="00684519" w:rsidP="00AE44CE">
            <w:pPr>
              <w:rPr>
                <w:color w:val="000000"/>
                <w:sz w:val="18"/>
                <w:szCs w:val="18"/>
              </w:rPr>
            </w:pPr>
            <w:r>
              <w:rPr>
                <w:color w:val="000000"/>
                <w:sz w:val="18"/>
                <w:szCs w:val="18"/>
              </w:rPr>
              <w:t>Unpublished</w:t>
            </w:r>
          </w:p>
        </w:tc>
        <w:tc>
          <w:tcPr>
            <w:tcW w:w="0" w:type="auto"/>
          </w:tcPr>
          <w:p w14:paraId="3F3B6027" w14:textId="77777777" w:rsidR="00684519" w:rsidRDefault="00684519" w:rsidP="00AE44CE">
            <w:pPr>
              <w:jc w:val="center"/>
              <w:rPr>
                <w:sz w:val="18"/>
                <w:szCs w:val="18"/>
              </w:rPr>
            </w:pPr>
            <w:r>
              <w:rPr>
                <w:color w:val="000000"/>
                <w:sz w:val="18"/>
                <w:szCs w:val="18"/>
              </w:rPr>
              <w:t>No</w:t>
            </w:r>
          </w:p>
        </w:tc>
        <w:tc>
          <w:tcPr>
            <w:tcW w:w="0" w:type="auto"/>
          </w:tcPr>
          <w:p w14:paraId="63E47C20" w14:textId="77777777" w:rsidR="00684519" w:rsidRDefault="00684519" w:rsidP="00AE44CE">
            <w:pPr>
              <w:pStyle w:val="RepTable"/>
              <w:jc w:val="center"/>
              <w:rPr>
                <w:highlight w:val="yellow"/>
              </w:rPr>
            </w:pPr>
            <w:r>
              <w:rPr>
                <w:color w:val="000000"/>
                <w:sz w:val="18"/>
                <w:szCs w:val="18"/>
              </w:rPr>
              <w:t>BASF</w:t>
            </w:r>
          </w:p>
        </w:tc>
      </w:tr>
      <w:tr w:rsidR="00684519" w14:paraId="2A8826F0" w14:textId="77777777" w:rsidTr="00684519">
        <w:trPr>
          <w:cantSplit/>
        </w:trPr>
        <w:tc>
          <w:tcPr>
            <w:tcW w:w="0" w:type="auto"/>
          </w:tcPr>
          <w:p w14:paraId="3543E25F" w14:textId="77777777" w:rsidR="00684519" w:rsidRDefault="00684519" w:rsidP="00AE44CE">
            <w:pPr>
              <w:rPr>
                <w:sz w:val="18"/>
                <w:szCs w:val="18"/>
              </w:rPr>
            </w:pPr>
            <w:r>
              <w:rPr>
                <w:color w:val="000000"/>
                <w:sz w:val="18"/>
                <w:szCs w:val="18"/>
              </w:rPr>
              <w:t>KCP 10.3.2.2/3</w:t>
            </w:r>
          </w:p>
        </w:tc>
        <w:tc>
          <w:tcPr>
            <w:tcW w:w="0" w:type="auto"/>
          </w:tcPr>
          <w:p w14:paraId="08502A6F" w14:textId="77777777" w:rsidR="00684519" w:rsidRDefault="00684519" w:rsidP="00AE44CE">
            <w:pPr>
              <w:rPr>
                <w:sz w:val="18"/>
                <w:szCs w:val="18"/>
              </w:rPr>
            </w:pPr>
            <w:r>
              <w:rPr>
                <w:color w:val="000000"/>
                <w:sz w:val="18"/>
                <w:szCs w:val="18"/>
              </w:rPr>
              <w:t>Roehlig, U.</w:t>
            </w:r>
          </w:p>
        </w:tc>
        <w:tc>
          <w:tcPr>
            <w:tcW w:w="0" w:type="auto"/>
          </w:tcPr>
          <w:p w14:paraId="0678A896" w14:textId="77777777" w:rsidR="00684519" w:rsidRDefault="00684519" w:rsidP="00AE44CE">
            <w:pPr>
              <w:rPr>
                <w:sz w:val="18"/>
                <w:szCs w:val="18"/>
              </w:rPr>
            </w:pPr>
            <w:r>
              <w:rPr>
                <w:color w:val="000000"/>
                <w:sz w:val="18"/>
                <w:szCs w:val="18"/>
              </w:rPr>
              <w:t>2020</w:t>
            </w:r>
          </w:p>
        </w:tc>
        <w:tc>
          <w:tcPr>
            <w:tcW w:w="0" w:type="auto"/>
          </w:tcPr>
          <w:p w14:paraId="5DE8482D" w14:textId="77777777" w:rsidR="00684519" w:rsidRDefault="00684519" w:rsidP="00AE44CE">
            <w:pPr>
              <w:rPr>
                <w:color w:val="000000"/>
                <w:sz w:val="18"/>
                <w:szCs w:val="18"/>
              </w:rPr>
            </w:pPr>
            <w:r>
              <w:rPr>
                <w:color w:val="000000"/>
                <w:sz w:val="18"/>
                <w:szCs w:val="18"/>
              </w:rPr>
              <w:t>Effects of BAS 736 00 F on the green lacewing Chrysoperla carnea STEPH. in an (extended laboratory test)</w:t>
            </w:r>
          </w:p>
          <w:p w14:paraId="3325BD57" w14:textId="77777777" w:rsidR="00684519" w:rsidRDefault="00684519" w:rsidP="00AE44CE">
            <w:pPr>
              <w:rPr>
                <w:color w:val="000000"/>
                <w:sz w:val="18"/>
                <w:szCs w:val="18"/>
              </w:rPr>
            </w:pPr>
            <w:r>
              <w:rPr>
                <w:color w:val="000000"/>
                <w:sz w:val="18"/>
                <w:szCs w:val="18"/>
              </w:rPr>
              <w:t>2019/2054735</w:t>
            </w:r>
          </w:p>
          <w:p w14:paraId="49DD8806" w14:textId="77777777" w:rsidR="00684519" w:rsidRDefault="00684519" w:rsidP="00AE44CE">
            <w:pPr>
              <w:rPr>
                <w:color w:val="000000"/>
                <w:sz w:val="18"/>
                <w:szCs w:val="18"/>
              </w:rPr>
            </w:pPr>
            <w:r>
              <w:rPr>
                <w:color w:val="000000"/>
                <w:sz w:val="18"/>
                <w:szCs w:val="18"/>
              </w:rPr>
              <w:t>BioChem agrar GmbH, Gerichshain, Germany Fed.Rep.</w:t>
            </w:r>
          </w:p>
          <w:p w14:paraId="52B82AB7" w14:textId="77777777" w:rsidR="00684519" w:rsidRDefault="00684519" w:rsidP="00AE44CE">
            <w:pPr>
              <w:rPr>
                <w:color w:val="000000"/>
                <w:sz w:val="18"/>
                <w:szCs w:val="18"/>
              </w:rPr>
            </w:pPr>
            <w:r>
              <w:rPr>
                <w:color w:val="000000"/>
                <w:sz w:val="18"/>
                <w:szCs w:val="18"/>
              </w:rPr>
              <w:t>yes</w:t>
            </w:r>
          </w:p>
          <w:p w14:paraId="7E4B94D4" w14:textId="77777777" w:rsidR="00684519" w:rsidRDefault="00684519" w:rsidP="00AE44CE">
            <w:pPr>
              <w:rPr>
                <w:color w:val="000000"/>
                <w:sz w:val="18"/>
                <w:szCs w:val="18"/>
              </w:rPr>
            </w:pPr>
            <w:r>
              <w:rPr>
                <w:color w:val="000000"/>
                <w:sz w:val="18"/>
                <w:szCs w:val="18"/>
              </w:rPr>
              <w:t>Unpublished</w:t>
            </w:r>
          </w:p>
        </w:tc>
        <w:tc>
          <w:tcPr>
            <w:tcW w:w="0" w:type="auto"/>
          </w:tcPr>
          <w:p w14:paraId="34998DDD" w14:textId="77777777" w:rsidR="00684519" w:rsidRDefault="00684519" w:rsidP="00AE44CE">
            <w:pPr>
              <w:jc w:val="center"/>
              <w:rPr>
                <w:sz w:val="18"/>
                <w:szCs w:val="18"/>
              </w:rPr>
            </w:pPr>
            <w:r>
              <w:rPr>
                <w:color w:val="000000"/>
                <w:sz w:val="18"/>
                <w:szCs w:val="18"/>
              </w:rPr>
              <w:t>No</w:t>
            </w:r>
          </w:p>
        </w:tc>
        <w:tc>
          <w:tcPr>
            <w:tcW w:w="0" w:type="auto"/>
          </w:tcPr>
          <w:p w14:paraId="01E43314" w14:textId="77777777" w:rsidR="00684519" w:rsidRDefault="00684519" w:rsidP="00AE44CE">
            <w:pPr>
              <w:pStyle w:val="RepTable"/>
              <w:jc w:val="center"/>
              <w:rPr>
                <w:highlight w:val="yellow"/>
              </w:rPr>
            </w:pPr>
            <w:r>
              <w:rPr>
                <w:color w:val="000000"/>
                <w:sz w:val="18"/>
                <w:szCs w:val="18"/>
              </w:rPr>
              <w:t>BASF</w:t>
            </w:r>
          </w:p>
        </w:tc>
      </w:tr>
      <w:tr w:rsidR="00684519" w14:paraId="0B4D2122" w14:textId="77777777" w:rsidTr="00684519">
        <w:trPr>
          <w:cantSplit/>
        </w:trPr>
        <w:tc>
          <w:tcPr>
            <w:tcW w:w="0" w:type="auto"/>
          </w:tcPr>
          <w:p w14:paraId="444A8029"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KCP 10.4.1.1/1</w:t>
            </w:r>
          </w:p>
        </w:tc>
        <w:tc>
          <w:tcPr>
            <w:tcW w:w="0" w:type="auto"/>
          </w:tcPr>
          <w:p w14:paraId="79236D7F"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Witte, B.</w:t>
            </w:r>
          </w:p>
        </w:tc>
        <w:tc>
          <w:tcPr>
            <w:tcW w:w="0" w:type="auto"/>
          </w:tcPr>
          <w:p w14:paraId="5F2CA1B6"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2014</w:t>
            </w:r>
          </w:p>
        </w:tc>
        <w:tc>
          <w:tcPr>
            <w:tcW w:w="0" w:type="auto"/>
          </w:tcPr>
          <w:p w14:paraId="4E44B7A1"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Effects of BAS 700 F (Fluxapyroxad) on reproduction  and growth of earthworms Eisenia fetida in artificial soil</w:t>
            </w:r>
          </w:p>
          <w:p w14:paraId="3D4586A3"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2014/1135449</w:t>
            </w:r>
          </w:p>
          <w:p w14:paraId="2F4AEB51"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Institut fuer Biologische Analytik und Consulting IBACON GmbH, Rossdorf, Germany Fed.Rep.</w:t>
            </w:r>
          </w:p>
          <w:p w14:paraId="68323C91"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yes</w:t>
            </w:r>
          </w:p>
          <w:p w14:paraId="6A4A8514"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Unpublished</w:t>
            </w:r>
          </w:p>
        </w:tc>
        <w:tc>
          <w:tcPr>
            <w:tcW w:w="0" w:type="auto"/>
          </w:tcPr>
          <w:p w14:paraId="47E03A84" w14:textId="77777777" w:rsidR="00684519" w:rsidRPr="00D92A07" w:rsidRDefault="00684519" w:rsidP="00AE44CE">
            <w:pPr>
              <w:jc w:val="center"/>
              <w:rPr>
                <w:strike/>
                <w:color w:val="D9D9D9" w:themeColor="background1" w:themeShade="D9"/>
                <w:sz w:val="18"/>
                <w:szCs w:val="18"/>
              </w:rPr>
            </w:pPr>
            <w:r w:rsidRPr="00D92A07">
              <w:rPr>
                <w:strike/>
                <w:color w:val="D9D9D9" w:themeColor="background1" w:themeShade="D9"/>
                <w:sz w:val="18"/>
                <w:szCs w:val="18"/>
              </w:rPr>
              <w:t>No</w:t>
            </w:r>
          </w:p>
        </w:tc>
        <w:tc>
          <w:tcPr>
            <w:tcW w:w="0" w:type="auto"/>
          </w:tcPr>
          <w:p w14:paraId="0031A32A" w14:textId="77777777" w:rsidR="00684519" w:rsidRPr="00D92A07" w:rsidRDefault="00684519" w:rsidP="00AE44CE">
            <w:pPr>
              <w:pStyle w:val="RepTable"/>
              <w:jc w:val="center"/>
              <w:rPr>
                <w:strike/>
                <w:color w:val="D9D9D9" w:themeColor="background1" w:themeShade="D9"/>
                <w:highlight w:val="yellow"/>
              </w:rPr>
            </w:pPr>
            <w:r w:rsidRPr="00D92A07">
              <w:rPr>
                <w:strike/>
                <w:color w:val="D9D9D9" w:themeColor="background1" w:themeShade="D9"/>
                <w:sz w:val="18"/>
                <w:szCs w:val="18"/>
              </w:rPr>
              <w:t>BASF</w:t>
            </w:r>
          </w:p>
        </w:tc>
      </w:tr>
      <w:tr w:rsidR="00684519" w14:paraId="5B4EA027" w14:textId="77777777" w:rsidTr="00684519">
        <w:trPr>
          <w:cantSplit/>
        </w:trPr>
        <w:tc>
          <w:tcPr>
            <w:tcW w:w="0" w:type="auto"/>
          </w:tcPr>
          <w:p w14:paraId="28FCC289" w14:textId="77777777" w:rsidR="00684519" w:rsidRDefault="00684519" w:rsidP="00AE44CE">
            <w:pPr>
              <w:rPr>
                <w:sz w:val="18"/>
                <w:szCs w:val="18"/>
              </w:rPr>
            </w:pPr>
            <w:r>
              <w:rPr>
                <w:color w:val="000000"/>
                <w:sz w:val="18"/>
                <w:szCs w:val="18"/>
              </w:rPr>
              <w:t>KCP 10.4.1.1/2</w:t>
            </w:r>
          </w:p>
        </w:tc>
        <w:tc>
          <w:tcPr>
            <w:tcW w:w="0" w:type="auto"/>
          </w:tcPr>
          <w:p w14:paraId="03BFD7EF" w14:textId="77777777" w:rsidR="00684519" w:rsidRDefault="00684519" w:rsidP="00AE44CE">
            <w:pPr>
              <w:rPr>
                <w:sz w:val="18"/>
                <w:szCs w:val="18"/>
              </w:rPr>
            </w:pPr>
            <w:r>
              <w:rPr>
                <w:color w:val="000000"/>
                <w:sz w:val="18"/>
                <w:szCs w:val="18"/>
              </w:rPr>
              <w:t>Friedrich, S.</w:t>
            </w:r>
          </w:p>
        </w:tc>
        <w:tc>
          <w:tcPr>
            <w:tcW w:w="0" w:type="auto"/>
          </w:tcPr>
          <w:p w14:paraId="71CB8BB4" w14:textId="77777777" w:rsidR="00684519" w:rsidRDefault="00684519" w:rsidP="00AE44CE">
            <w:pPr>
              <w:rPr>
                <w:sz w:val="18"/>
                <w:szCs w:val="18"/>
              </w:rPr>
            </w:pPr>
            <w:r>
              <w:rPr>
                <w:color w:val="000000"/>
                <w:sz w:val="18"/>
                <w:szCs w:val="18"/>
              </w:rPr>
              <w:t>2019</w:t>
            </w:r>
          </w:p>
        </w:tc>
        <w:tc>
          <w:tcPr>
            <w:tcW w:w="0" w:type="auto"/>
          </w:tcPr>
          <w:p w14:paraId="28BB7077" w14:textId="77777777" w:rsidR="00684519" w:rsidRDefault="00684519" w:rsidP="00AE44CE">
            <w:pPr>
              <w:rPr>
                <w:color w:val="000000"/>
                <w:sz w:val="18"/>
                <w:szCs w:val="18"/>
              </w:rPr>
            </w:pPr>
            <w:r>
              <w:rPr>
                <w:color w:val="000000"/>
                <w:sz w:val="18"/>
                <w:szCs w:val="18"/>
              </w:rPr>
              <w:t>Effects of BAS 736 00 F on the reproduction of the earthworm Eisenia andrei in artificial soil</w:t>
            </w:r>
          </w:p>
          <w:p w14:paraId="39D64F09" w14:textId="77777777" w:rsidR="00684519" w:rsidRDefault="00684519" w:rsidP="00AE44CE">
            <w:pPr>
              <w:rPr>
                <w:color w:val="000000"/>
                <w:sz w:val="18"/>
                <w:szCs w:val="18"/>
              </w:rPr>
            </w:pPr>
            <w:r>
              <w:rPr>
                <w:color w:val="000000"/>
                <w:sz w:val="18"/>
                <w:szCs w:val="18"/>
              </w:rPr>
              <w:t>2019/1061096</w:t>
            </w:r>
          </w:p>
          <w:p w14:paraId="6DA2E2E2" w14:textId="77777777" w:rsidR="00684519" w:rsidRDefault="00684519" w:rsidP="00AE44CE">
            <w:pPr>
              <w:rPr>
                <w:color w:val="000000"/>
                <w:sz w:val="18"/>
                <w:szCs w:val="18"/>
              </w:rPr>
            </w:pPr>
            <w:r>
              <w:rPr>
                <w:color w:val="000000"/>
                <w:sz w:val="18"/>
                <w:szCs w:val="18"/>
              </w:rPr>
              <w:t>BioChem agrar GmbH, Gerichshain, Germany Fed.Rep.</w:t>
            </w:r>
          </w:p>
          <w:p w14:paraId="1CE6F768" w14:textId="77777777" w:rsidR="00684519" w:rsidRDefault="00684519" w:rsidP="00AE44CE">
            <w:pPr>
              <w:rPr>
                <w:color w:val="000000"/>
                <w:sz w:val="18"/>
                <w:szCs w:val="18"/>
              </w:rPr>
            </w:pPr>
            <w:r>
              <w:rPr>
                <w:color w:val="000000"/>
                <w:sz w:val="18"/>
                <w:szCs w:val="18"/>
              </w:rPr>
              <w:t>yes</w:t>
            </w:r>
          </w:p>
          <w:p w14:paraId="63AE1BA2" w14:textId="77777777" w:rsidR="00684519" w:rsidRDefault="00684519" w:rsidP="00AE44CE">
            <w:pPr>
              <w:rPr>
                <w:color w:val="000000"/>
                <w:sz w:val="18"/>
                <w:szCs w:val="18"/>
              </w:rPr>
            </w:pPr>
            <w:r>
              <w:rPr>
                <w:color w:val="000000"/>
                <w:sz w:val="18"/>
                <w:szCs w:val="18"/>
              </w:rPr>
              <w:t>Unpublished</w:t>
            </w:r>
          </w:p>
        </w:tc>
        <w:tc>
          <w:tcPr>
            <w:tcW w:w="0" w:type="auto"/>
          </w:tcPr>
          <w:p w14:paraId="2967014D" w14:textId="77777777" w:rsidR="00684519" w:rsidRDefault="00684519" w:rsidP="00AE44CE">
            <w:pPr>
              <w:jc w:val="center"/>
              <w:rPr>
                <w:sz w:val="18"/>
                <w:szCs w:val="18"/>
              </w:rPr>
            </w:pPr>
            <w:r>
              <w:rPr>
                <w:color w:val="000000"/>
                <w:sz w:val="18"/>
                <w:szCs w:val="18"/>
              </w:rPr>
              <w:t>No</w:t>
            </w:r>
          </w:p>
        </w:tc>
        <w:tc>
          <w:tcPr>
            <w:tcW w:w="0" w:type="auto"/>
          </w:tcPr>
          <w:p w14:paraId="6FA9AC94" w14:textId="77777777" w:rsidR="00684519" w:rsidRDefault="00684519" w:rsidP="00AE44CE">
            <w:pPr>
              <w:pStyle w:val="RepTable"/>
              <w:jc w:val="center"/>
              <w:rPr>
                <w:highlight w:val="yellow"/>
              </w:rPr>
            </w:pPr>
            <w:r>
              <w:rPr>
                <w:color w:val="000000"/>
                <w:sz w:val="18"/>
                <w:szCs w:val="18"/>
              </w:rPr>
              <w:t>BASF</w:t>
            </w:r>
          </w:p>
        </w:tc>
      </w:tr>
      <w:tr w:rsidR="00684519" w14:paraId="39355531" w14:textId="77777777" w:rsidTr="00684519">
        <w:trPr>
          <w:cantSplit/>
        </w:trPr>
        <w:tc>
          <w:tcPr>
            <w:tcW w:w="0" w:type="auto"/>
          </w:tcPr>
          <w:p w14:paraId="7262D1B4"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KCP 10.4.2.1/1</w:t>
            </w:r>
          </w:p>
        </w:tc>
        <w:tc>
          <w:tcPr>
            <w:tcW w:w="0" w:type="auto"/>
          </w:tcPr>
          <w:p w14:paraId="5413E8EA"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Friedrich, S.</w:t>
            </w:r>
          </w:p>
        </w:tc>
        <w:tc>
          <w:tcPr>
            <w:tcW w:w="0" w:type="auto"/>
          </w:tcPr>
          <w:p w14:paraId="1ADB4309"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2014</w:t>
            </w:r>
          </w:p>
        </w:tc>
        <w:tc>
          <w:tcPr>
            <w:tcW w:w="0" w:type="auto"/>
          </w:tcPr>
          <w:p w14:paraId="68A76491"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Effects of BAS 700 F (Fluxapyroxad) on the reproduction of the collembolan Folsomia candida</w:t>
            </w:r>
          </w:p>
          <w:p w14:paraId="78CA06A2" w14:textId="77777777" w:rsidR="00684519" w:rsidRPr="00D92A07" w:rsidRDefault="00684519" w:rsidP="00AE44CE">
            <w:pPr>
              <w:rPr>
                <w:strike/>
                <w:color w:val="D9D9D9" w:themeColor="background1" w:themeShade="D9"/>
                <w:sz w:val="18"/>
                <w:szCs w:val="18"/>
                <w:lang w:val="de-DE"/>
              </w:rPr>
            </w:pPr>
            <w:r w:rsidRPr="00D92A07">
              <w:rPr>
                <w:strike/>
                <w:color w:val="D9D9D9" w:themeColor="background1" w:themeShade="D9"/>
                <w:sz w:val="18"/>
                <w:szCs w:val="18"/>
                <w:lang w:val="de-DE"/>
              </w:rPr>
              <w:t>2014/1135433</w:t>
            </w:r>
          </w:p>
          <w:p w14:paraId="796D6DA2" w14:textId="77777777" w:rsidR="00684519" w:rsidRPr="00D92A07" w:rsidRDefault="00684519" w:rsidP="00AE44CE">
            <w:pPr>
              <w:rPr>
                <w:strike/>
                <w:color w:val="D9D9D9" w:themeColor="background1" w:themeShade="D9"/>
                <w:sz w:val="18"/>
                <w:szCs w:val="18"/>
                <w:lang w:val="de-DE"/>
              </w:rPr>
            </w:pPr>
            <w:r w:rsidRPr="00D92A07">
              <w:rPr>
                <w:strike/>
                <w:color w:val="D9D9D9" w:themeColor="background1" w:themeShade="D9"/>
                <w:sz w:val="18"/>
                <w:szCs w:val="18"/>
                <w:lang w:val="de-DE"/>
              </w:rPr>
              <w:t>BioChem agrar Labor fuer biologische und chemische Analytik GmbH, Gerichshain, Germany Fed.Rep.</w:t>
            </w:r>
          </w:p>
          <w:p w14:paraId="7613D88F"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yes</w:t>
            </w:r>
          </w:p>
          <w:p w14:paraId="7267D7C3"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Unpublished</w:t>
            </w:r>
          </w:p>
        </w:tc>
        <w:tc>
          <w:tcPr>
            <w:tcW w:w="0" w:type="auto"/>
          </w:tcPr>
          <w:p w14:paraId="14CD50C0" w14:textId="77777777" w:rsidR="00684519" w:rsidRPr="00D92A07" w:rsidRDefault="00684519" w:rsidP="00AE44CE">
            <w:pPr>
              <w:jc w:val="center"/>
              <w:rPr>
                <w:strike/>
                <w:color w:val="D9D9D9" w:themeColor="background1" w:themeShade="D9"/>
                <w:sz w:val="18"/>
                <w:szCs w:val="18"/>
              </w:rPr>
            </w:pPr>
            <w:r w:rsidRPr="00D92A07">
              <w:rPr>
                <w:strike/>
                <w:color w:val="D9D9D9" w:themeColor="background1" w:themeShade="D9"/>
                <w:sz w:val="18"/>
                <w:szCs w:val="18"/>
              </w:rPr>
              <w:t>No</w:t>
            </w:r>
          </w:p>
        </w:tc>
        <w:tc>
          <w:tcPr>
            <w:tcW w:w="0" w:type="auto"/>
          </w:tcPr>
          <w:p w14:paraId="239F816F" w14:textId="77777777" w:rsidR="00684519" w:rsidRPr="00D92A07" w:rsidRDefault="00684519" w:rsidP="00AE44CE">
            <w:pPr>
              <w:pStyle w:val="RepTable"/>
              <w:jc w:val="center"/>
              <w:rPr>
                <w:strike/>
                <w:color w:val="D9D9D9" w:themeColor="background1" w:themeShade="D9"/>
                <w:highlight w:val="yellow"/>
              </w:rPr>
            </w:pPr>
            <w:r w:rsidRPr="00D92A07">
              <w:rPr>
                <w:strike/>
                <w:color w:val="D9D9D9" w:themeColor="background1" w:themeShade="D9"/>
                <w:sz w:val="18"/>
                <w:szCs w:val="18"/>
              </w:rPr>
              <w:t>BASF</w:t>
            </w:r>
          </w:p>
        </w:tc>
      </w:tr>
      <w:tr w:rsidR="00684519" w14:paraId="6593FE8D" w14:textId="77777777" w:rsidTr="00684519">
        <w:trPr>
          <w:cantSplit/>
        </w:trPr>
        <w:tc>
          <w:tcPr>
            <w:tcW w:w="0" w:type="auto"/>
          </w:tcPr>
          <w:p w14:paraId="4E1218C9"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KCP 10.4.2.1/2</w:t>
            </w:r>
          </w:p>
        </w:tc>
        <w:tc>
          <w:tcPr>
            <w:tcW w:w="0" w:type="auto"/>
          </w:tcPr>
          <w:p w14:paraId="274DA4A6"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Schulz, L.</w:t>
            </w:r>
          </w:p>
        </w:tc>
        <w:tc>
          <w:tcPr>
            <w:tcW w:w="0" w:type="auto"/>
          </w:tcPr>
          <w:p w14:paraId="68B22EAC"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2016</w:t>
            </w:r>
          </w:p>
        </w:tc>
        <w:tc>
          <w:tcPr>
            <w:tcW w:w="0" w:type="auto"/>
          </w:tcPr>
          <w:p w14:paraId="16B5696F"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Effects of BAS 700 F (Fluxapyroxad) on the reproduction of the predatory mite Hypoaspis aculeifer</w:t>
            </w:r>
          </w:p>
          <w:p w14:paraId="489A7ED9" w14:textId="77777777" w:rsidR="00684519" w:rsidRPr="00D92A07" w:rsidRDefault="00684519" w:rsidP="00AE44CE">
            <w:pPr>
              <w:rPr>
                <w:strike/>
                <w:color w:val="D9D9D9" w:themeColor="background1" w:themeShade="D9"/>
                <w:sz w:val="18"/>
                <w:szCs w:val="18"/>
                <w:lang w:val="de-DE"/>
              </w:rPr>
            </w:pPr>
            <w:r w:rsidRPr="00D92A07">
              <w:rPr>
                <w:strike/>
                <w:color w:val="D9D9D9" w:themeColor="background1" w:themeShade="D9"/>
                <w:sz w:val="18"/>
                <w:szCs w:val="18"/>
                <w:lang w:val="de-DE"/>
              </w:rPr>
              <w:t>2016/1122885</w:t>
            </w:r>
          </w:p>
          <w:p w14:paraId="6A011529" w14:textId="77777777" w:rsidR="00684519" w:rsidRPr="00D92A07" w:rsidRDefault="00684519" w:rsidP="00AE44CE">
            <w:pPr>
              <w:rPr>
                <w:strike/>
                <w:color w:val="D9D9D9" w:themeColor="background1" w:themeShade="D9"/>
                <w:sz w:val="18"/>
                <w:szCs w:val="18"/>
                <w:lang w:val="de-DE"/>
              </w:rPr>
            </w:pPr>
            <w:r w:rsidRPr="00D92A07">
              <w:rPr>
                <w:strike/>
                <w:color w:val="D9D9D9" w:themeColor="background1" w:themeShade="D9"/>
                <w:sz w:val="18"/>
                <w:szCs w:val="18"/>
                <w:lang w:val="de-DE"/>
              </w:rPr>
              <w:t>BioChem agrar Labor fuer biologische und chemische Analytik GmbH, Gerichshain, Germany Fed.Rep.</w:t>
            </w:r>
          </w:p>
          <w:p w14:paraId="4695A6ED"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yes</w:t>
            </w:r>
          </w:p>
          <w:p w14:paraId="7631B48D" w14:textId="77777777" w:rsidR="00684519" w:rsidRPr="00D92A07" w:rsidRDefault="00684519" w:rsidP="00AE44CE">
            <w:pPr>
              <w:rPr>
                <w:strike/>
                <w:color w:val="D9D9D9" w:themeColor="background1" w:themeShade="D9"/>
                <w:sz w:val="18"/>
                <w:szCs w:val="18"/>
              </w:rPr>
            </w:pPr>
            <w:r w:rsidRPr="00D92A07">
              <w:rPr>
                <w:strike/>
                <w:color w:val="D9D9D9" w:themeColor="background1" w:themeShade="D9"/>
                <w:sz w:val="18"/>
                <w:szCs w:val="18"/>
              </w:rPr>
              <w:t>Unpublished</w:t>
            </w:r>
          </w:p>
        </w:tc>
        <w:tc>
          <w:tcPr>
            <w:tcW w:w="0" w:type="auto"/>
          </w:tcPr>
          <w:p w14:paraId="6BE878FC" w14:textId="77777777" w:rsidR="00684519" w:rsidRPr="00D92A07" w:rsidRDefault="00684519" w:rsidP="00AE44CE">
            <w:pPr>
              <w:jc w:val="center"/>
              <w:rPr>
                <w:strike/>
                <w:color w:val="D9D9D9" w:themeColor="background1" w:themeShade="D9"/>
                <w:sz w:val="18"/>
                <w:szCs w:val="18"/>
              </w:rPr>
            </w:pPr>
            <w:r w:rsidRPr="00D92A07">
              <w:rPr>
                <w:strike/>
                <w:color w:val="D9D9D9" w:themeColor="background1" w:themeShade="D9"/>
                <w:sz w:val="18"/>
                <w:szCs w:val="18"/>
              </w:rPr>
              <w:t>No</w:t>
            </w:r>
          </w:p>
        </w:tc>
        <w:tc>
          <w:tcPr>
            <w:tcW w:w="0" w:type="auto"/>
          </w:tcPr>
          <w:p w14:paraId="50764DD0" w14:textId="77777777" w:rsidR="00684519" w:rsidRPr="00D92A07" w:rsidRDefault="00684519" w:rsidP="00AE44CE">
            <w:pPr>
              <w:pStyle w:val="RepTable"/>
              <w:jc w:val="center"/>
              <w:rPr>
                <w:strike/>
                <w:color w:val="D9D9D9" w:themeColor="background1" w:themeShade="D9"/>
                <w:highlight w:val="yellow"/>
              </w:rPr>
            </w:pPr>
            <w:r w:rsidRPr="00D92A07">
              <w:rPr>
                <w:strike/>
                <w:color w:val="D9D9D9" w:themeColor="background1" w:themeShade="D9"/>
                <w:sz w:val="18"/>
                <w:szCs w:val="18"/>
              </w:rPr>
              <w:t>BASF</w:t>
            </w:r>
          </w:p>
        </w:tc>
      </w:tr>
      <w:tr w:rsidR="00684519" w14:paraId="1FB955FB" w14:textId="77777777" w:rsidTr="00684519">
        <w:trPr>
          <w:cantSplit/>
        </w:trPr>
        <w:tc>
          <w:tcPr>
            <w:tcW w:w="0" w:type="auto"/>
          </w:tcPr>
          <w:p w14:paraId="799946D4" w14:textId="77777777" w:rsidR="00684519" w:rsidRDefault="00684519" w:rsidP="00AE44CE">
            <w:pPr>
              <w:rPr>
                <w:sz w:val="18"/>
                <w:szCs w:val="18"/>
              </w:rPr>
            </w:pPr>
            <w:r>
              <w:rPr>
                <w:color w:val="000000"/>
                <w:sz w:val="18"/>
                <w:szCs w:val="18"/>
              </w:rPr>
              <w:lastRenderedPageBreak/>
              <w:t>KCP 10.4.2.1/3</w:t>
            </w:r>
          </w:p>
        </w:tc>
        <w:tc>
          <w:tcPr>
            <w:tcW w:w="0" w:type="auto"/>
          </w:tcPr>
          <w:p w14:paraId="083F2A88" w14:textId="77777777" w:rsidR="00684519" w:rsidRDefault="00684519" w:rsidP="00AE44CE">
            <w:pPr>
              <w:rPr>
                <w:sz w:val="18"/>
                <w:szCs w:val="18"/>
              </w:rPr>
            </w:pPr>
            <w:r>
              <w:rPr>
                <w:color w:val="000000"/>
                <w:sz w:val="18"/>
                <w:szCs w:val="18"/>
              </w:rPr>
              <w:t>Friedrich, S.</w:t>
            </w:r>
          </w:p>
        </w:tc>
        <w:tc>
          <w:tcPr>
            <w:tcW w:w="0" w:type="auto"/>
          </w:tcPr>
          <w:p w14:paraId="7A4F4C17" w14:textId="77777777" w:rsidR="00684519" w:rsidRDefault="00684519" w:rsidP="00AE44CE">
            <w:pPr>
              <w:rPr>
                <w:sz w:val="18"/>
                <w:szCs w:val="18"/>
              </w:rPr>
            </w:pPr>
            <w:r>
              <w:rPr>
                <w:color w:val="000000"/>
                <w:sz w:val="18"/>
                <w:szCs w:val="18"/>
              </w:rPr>
              <w:t>2019</w:t>
            </w:r>
          </w:p>
        </w:tc>
        <w:tc>
          <w:tcPr>
            <w:tcW w:w="0" w:type="auto"/>
          </w:tcPr>
          <w:p w14:paraId="4F270065" w14:textId="77777777" w:rsidR="00684519" w:rsidRDefault="00684519" w:rsidP="00AE44CE">
            <w:pPr>
              <w:rPr>
                <w:color w:val="000000"/>
                <w:sz w:val="18"/>
                <w:szCs w:val="18"/>
              </w:rPr>
            </w:pPr>
            <w:r>
              <w:rPr>
                <w:color w:val="000000"/>
                <w:sz w:val="18"/>
                <w:szCs w:val="18"/>
              </w:rPr>
              <w:t>Effects of BAS 736 00 F on the reproduction of the collembolan Folsomia candida</w:t>
            </w:r>
          </w:p>
          <w:p w14:paraId="26470E37" w14:textId="77777777" w:rsidR="00684519" w:rsidRDefault="00684519" w:rsidP="00AE44CE">
            <w:pPr>
              <w:rPr>
                <w:color w:val="000000"/>
                <w:sz w:val="18"/>
                <w:szCs w:val="18"/>
              </w:rPr>
            </w:pPr>
            <w:r>
              <w:rPr>
                <w:color w:val="000000"/>
                <w:sz w:val="18"/>
                <w:szCs w:val="18"/>
              </w:rPr>
              <w:t>2019/1061097</w:t>
            </w:r>
          </w:p>
          <w:p w14:paraId="0EF9208F" w14:textId="77777777" w:rsidR="00684519" w:rsidRDefault="00684519" w:rsidP="00AE44CE">
            <w:pPr>
              <w:rPr>
                <w:color w:val="000000"/>
                <w:sz w:val="18"/>
                <w:szCs w:val="18"/>
              </w:rPr>
            </w:pPr>
            <w:r>
              <w:rPr>
                <w:color w:val="000000"/>
                <w:sz w:val="18"/>
                <w:szCs w:val="18"/>
              </w:rPr>
              <w:t>BioChem agrar GmbH, Gerichshain, Germany Fed.Rep.</w:t>
            </w:r>
          </w:p>
          <w:p w14:paraId="0662D9DB" w14:textId="77777777" w:rsidR="00684519" w:rsidRDefault="00684519" w:rsidP="00AE44CE">
            <w:pPr>
              <w:rPr>
                <w:color w:val="000000"/>
                <w:sz w:val="18"/>
                <w:szCs w:val="18"/>
              </w:rPr>
            </w:pPr>
            <w:r>
              <w:rPr>
                <w:color w:val="000000"/>
                <w:sz w:val="18"/>
                <w:szCs w:val="18"/>
              </w:rPr>
              <w:t>yes</w:t>
            </w:r>
          </w:p>
          <w:p w14:paraId="194C5A1D" w14:textId="77777777" w:rsidR="00684519" w:rsidRDefault="00684519" w:rsidP="00AE44CE">
            <w:pPr>
              <w:rPr>
                <w:color w:val="000000"/>
                <w:sz w:val="18"/>
                <w:szCs w:val="18"/>
              </w:rPr>
            </w:pPr>
            <w:r>
              <w:rPr>
                <w:color w:val="000000"/>
                <w:sz w:val="18"/>
                <w:szCs w:val="18"/>
              </w:rPr>
              <w:t>Unpublished</w:t>
            </w:r>
          </w:p>
        </w:tc>
        <w:tc>
          <w:tcPr>
            <w:tcW w:w="0" w:type="auto"/>
          </w:tcPr>
          <w:p w14:paraId="2129BCD0" w14:textId="77777777" w:rsidR="00684519" w:rsidRDefault="00684519" w:rsidP="00AE44CE">
            <w:pPr>
              <w:jc w:val="center"/>
              <w:rPr>
                <w:sz w:val="18"/>
                <w:szCs w:val="18"/>
              </w:rPr>
            </w:pPr>
            <w:r>
              <w:rPr>
                <w:color w:val="000000"/>
                <w:sz w:val="18"/>
                <w:szCs w:val="18"/>
              </w:rPr>
              <w:t>No</w:t>
            </w:r>
          </w:p>
        </w:tc>
        <w:tc>
          <w:tcPr>
            <w:tcW w:w="0" w:type="auto"/>
          </w:tcPr>
          <w:p w14:paraId="593D4CD4" w14:textId="77777777" w:rsidR="00684519" w:rsidRDefault="00684519" w:rsidP="00AE44CE">
            <w:pPr>
              <w:pStyle w:val="RepTable"/>
              <w:jc w:val="center"/>
              <w:rPr>
                <w:highlight w:val="yellow"/>
              </w:rPr>
            </w:pPr>
            <w:r>
              <w:rPr>
                <w:color w:val="000000"/>
                <w:sz w:val="18"/>
                <w:szCs w:val="18"/>
              </w:rPr>
              <w:t>BASF</w:t>
            </w:r>
          </w:p>
        </w:tc>
      </w:tr>
      <w:tr w:rsidR="00684519" w14:paraId="408662DB" w14:textId="77777777" w:rsidTr="00684519">
        <w:trPr>
          <w:cantSplit/>
        </w:trPr>
        <w:tc>
          <w:tcPr>
            <w:tcW w:w="0" w:type="auto"/>
          </w:tcPr>
          <w:p w14:paraId="2424466B" w14:textId="77777777" w:rsidR="00684519" w:rsidRDefault="00684519" w:rsidP="00AE44CE">
            <w:pPr>
              <w:rPr>
                <w:sz w:val="18"/>
                <w:szCs w:val="18"/>
              </w:rPr>
            </w:pPr>
            <w:r>
              <w:rPr>
                <w:color w:val="000000"/>
                <w:sz w:val="18"/>
                <w:szCs w:val="18"/>
              </w:rPr>
              <w:t>KCP 10.4.2.1/4</w:t>
            </w:r>
          </w:p>
        </w:tc>
        <w:tc>
          <w:tcPr>
            <w:tcW w:w="0" w:type="auto"/>
          </w:tcPr>
          <w:p w14:paraId="1EAE2E3F" w14:textId="77777777" w:rsidR="00684519" w:rsidRDefault="00684519" w:rsidP="00AE44CE">
            <w:pPr>
              <w:rPr>
                <w:sz w:val="18"/>
                <w:szCs w:val="18"/>
              </w:rPr>
            </w:pPr>
            <w:r>
              <w:rPr>
                <w:color w:val="000000"/>
                <w:sz w:val="18"/>
                <w:szCs w:val="18"/>
              </w:rPr>
              <w:t>Schulz, L.</w:t>
            </w:r>
          </w:p>
        </w:tc>
        <w:tc>
          <w:tcPr>
            <w:tcW w:w="0" w:type="auto"/>
          </w:tcPr>
          <w:p w14:paraId="1B30E348" w14:textId="77777777" w:rsidR="00684519" w:rsidRDefault="00684519" w:rsidP="00AE44CE">
            <w:pPr>
              <w:rPr>
                <w:sz w:val="18"/>
                <w:szCs w:val="18"/>
              </w:rPr>
            </w:pPr>
            <w:r>
              <w:rPr>
                <w:color w:val="000000"/>
                <w:sz w:val="18"/>
                <w:szCs w:val="18"/>
              </w:rPr>
              <w:t>2021</w:t>
            </w:r>
          </w:p>
        </w:tc>
        <w:tc>
          <w:tcPr>
            <w:tcW w:w="0" w:type="auto"/>
          </w:tcPr>
          <w:p w14:paraId="3D8C0411" w14:textId="77777777" w:rsidR="00684519" w:rsidRDefault="00684519" w:rsidP="00AE44CE">
            <w:pPr>
              <w:rPr>
                <w:color w:val="000000"/>
                <w:sz w:val="18"/>
                <w:szCs w:val="18"/>
              </w:rPr>
            </w:pPr>
            <w:r>
              <w:rPr>
                <w:color w:val="000000"/>
                <w:sz w:val="18"/>
                <w:szCs w:val="18"/>
              </w:rPr>
              <w:t>Effects of BAS 736 00 F on the reproduction of the predatory mite Hypoaspis aculeifer</w:t>
            </w:r>
          </w:p>
          <w:p w14:paraId="3F84E1E2" w14:textId="77777777" w:rsidR="00684519" w:rsidRPr="00684519" w:rsidRDefault="00684519" w:rsidP="00AE44CE">
            <w:pPr>
              <w:rPr>
                <w:color w:val="000000"/>
                <w:sz w:val="18"/>
                <w:szCs w:val="18"/>
                <w:lang w:val="de-DE"/>
              </w:rPr>
            </w:pPr>
            <w:r w:rsidRPr="00684519">
              <w:rPr>
                <w:color w:val="000000"/>
                <w:sz w:val="18"/>
                <w:szCs w:val="18"/>
                <w:lang w:val="de-DE"/>
              </w:rPr>
              <w:t>2019/1061098</w:t>
            </w:r>
          </w:p>
          <w:p w14:paraId="67DA6F8B" w14:textId="77777777" w:rsidR="00684519" w:rsidRPr="00684519" w:rsidRDefault="00684519" w:rsidP="00AE44CE">
            <w:pPr>
              <w:rPr>
                <w:color w:val="000000"/>
                <w:sz w:val="18"/>
                <w:szCs w:val="18"/>
                <w:lang w:val="de-DE"/>
              </w:rPr>
            </w:pPr>
            <w:r w:rsidRPr="00684519">
              <w:rPr>
                <w:color w:val="000000"/>
                <w:sz w:val="18"/>
                <w:szCs w:val="18"/>
                <w:lang w:val="de-DE"/>
              </w:rPr>
              <w:t>BioChem agrar Labor fuer biologische und chemische Analytik GmbH, Machern OT Gerichshain, Germany Fed.Rep.</w:t>
            </w:r>
          </w:p>
          <w:p w14:paraId="41F61C89" w14:textId="77777777" w:rsidR="00684519" w:rsidRDefault="00684519" w:rsidP="00AE44CE">
            <w:pPr>
              <w:rPr>
                <w:color w:val="000000"/>
                <w:sz w:val="18"/>
                <w:szCs w:val="18"/>
              </w:rPr>
            </w:pPr>
            <w:r>
              <w:rPr>
                <w:color w:val="000000"/>
                <w:sz w:val="18"/>
                <w:szCs w:val="18"/>
              </w:rPr>
              <w:t>yes</w:t>
            </w:r>
          </w:p>
          <w:p w14:paraId="19B182F9" w14:textId="77777777" w:rsidR="00684519" w:rsidRDefault="00684519" w:rsidP="00AE44CE">
            <w:pPr>
              <w:rPr>
                <w:color w:val="000000"/>
                <w:sz w:val="18"/>
                <w:szCs w:val="18"/>
              </w:rPr>
            </w:pPr>
            <w:r>
              <w:rPr>
                <w:color w:val="000000"/>
                <w:sz w:val="18"/>
                <w:szCs w:val="18"/>
              </w:rPr>
              <w:t>Unpublished</w:t>
            </w:r>
          </w:p>
        </w:tc>
        <w:tc>
          <w:tcPr>
            <w:tcW w:w="0" w:type="auto"/>
          </w:tcPr>
          <w:p w14:paraId="49FA3DB5" w14:textId="77777777" w:rsidR="00684519" w:rsidRDefault="00684519" w:rsidP="00AE44CE">
            <w:pPr>
              <w:jc w:val="center"/>
              <w:rPr>
                <w:sz w:val="18"/>
                <w:szCs w:val="18"/>
              </w:rPr>
            </w:pPr>
            <w:r>
              <w:rPr>
                <w:color w:val="000000"/>
                <w:sz w:val="18"/>
                <w:szCs w:val="18"/>
              </w:rPr>
              <w:t>No</w:t>
            </w:r>
          </w:p>
        </w:tc>
        <w:tc>
          <w:tcPr>
            <w:tcW w:w="0" w:type="auto"/>
          </w:tcPr>
          <w:p w14:paraId="201E2BE3" w14:textId="77777777" w:rsidR="00684519" w:rsidRDefault="00684519" w:rsidP="00AE44CE">
            <w:pPr>
              <w:pStyle w:val="RepTable"/>
              <w:jc w:val="center"/>
              <w:rPr>
                <w:highlight w:val="yellow"/>
              </w:rPr>
            </w:pPr>
            <w:r>
              <w:rPr>
                <w:color w:val="000000"/>
                <w:sz w:val="18"/>
                <w:szCs w:val="18"/>
              </w:rPr>
              <w:t>BASF</w:t>
            </w:r>
          </w:p>
        </w:tc>
      </w:tr>
      <w:tr w:rsidR="00684519" w14:paraId="019DA6E2" w14:textId="77777777" w:rsidTr="00684519">
        <w:trPr>
          <w:cantSplit/>
        </w:trPr>
        <w:tc>
          <w:tcPr>
            <w:tcW w:w="0" w:type="auto"/>
          </w:tcPr>
          <w:p w14:paraId="7E8B38A8" w14:textId="77777777" w:rsidR="00684519" w:rsidRDefault="00684519" w:rsidP="00AE44CE">
            <w:pPr>
              <w:rPr>
                <w:sz w:val="18"/>
                <w:szCs w:val="18"/>
              </w:rPr>
            </w:pPr>
            <w:r>
              <w:rPr>
                <w:color w:val="000000"/>
                <w:sz w:val="18"/>
                <w:szCs w:val="18"/>
              </w:rPr>
              <w:t>KCP 10.5/1</w:t>
            </w:r>
          </w:p>
        </w:tc>
        <w:tc>
          <w:tcPr>
            <w:tcW w:w="0" w:type="auto"/>
          </w:tcPr>
          <w:p w14:paraId="3E0981B6" w14:textId="77777777" w:rsidR="00684519" w:rsidRDefault="00684519" w:rsidP="00AE44CE">
            <w:pPr>
              <w:rPr>
                <w:sz w:val="18"/>
                <w:szCs w:val="18"/>
              </w:rPr>
            </w:pPr>
            <w:r>
              <w:rPr>
                <w:color w:val="000000"/>
                <w:sz w:val="18"/>
                <w:szCs w:val="18"/>
              </w:rPr>
              <w:t>Persdorf, M.</w:t>
            </w:r>
          </w:p>
        </w:tc>
        <w:tc>
          <w:tcPr>
            <w:tcW w:w="0" w:type="auto"/>
          </w:tcPr>
          <w:p w14:paraId="0DC2068D" w14:textId="77777777" w:rsidR="00684519" w:rsidRDefault="00684519" w:rsidP="00AE44CE">
            <w:pPr>
              <w:rPr>
                <w:sz w:val="18"/>
                <w:szCs w:val="18"/>
              </w:rPr>
            </w:pPr>
            <w:r>
              <w:rPr>
                <w:color w:val="000000"/>
                <w:sz w:val="18"/>
                <w:szCs w:val="18"/>
              </w:rPr>
              <w:t>2019</w:t>
            </w:r>
          </w:p>
        </w:tc>
        <w:tc>
          <w:tcPr>
            <w:tcW w:w="0" w:type="auto"/>
          </w:tcPr>
          <w:p w14:paraId="6782041F" w14:textId="77777777" w:rsidR="00684519" w:rsidRDefault="00684519" w:rsidP="00AE44CE">
            <w:pPr>
              <w:rPr>
                <w:color w:val="000000"/>
                <w:sz w:val="18"/>
                <w:szCs w:val="18"/>
              </w:rPr>
            </w:pPr>
            <w:r>
              <w:rPr>
                <w:color w:val="000000"/>
                <w:sz w:val="18"/>
                <w:szCs w:val="18"/>
              </w:rPr>
              <w:t>Effects of BAS 736 00 F on the activity of soil microflora (Nitrogen transformation test)</w:t>
            </w:r>
          </w:p>
          <w:p w14:paraId="01E4FC3F" w14:textId="77777777" w:rsidR="00684519" w:rsidRDefault="00684519" w:rsidP="00AE44CE">
            <w:pPr>
              <w:rPr>
                <w:color w:val="000000"/>
                <w:sz w:val="18"/>
                <w:szCs w:val="18"/>
              </w:rPr>
            </w:pPr>
            <w:r>
              <w:rPr>
                <w:color w:val="000000"/>
                <w:sz w:val="18"/>
                <w:szCs w:val="18"/>
              </w:rPr>
              <w:t>2019/1061099</w:t>
            </w:r>
          </w:p>
          <w:p w14:paraId="48ADAE57" w14:textId="77777777" w:rsidR="00684519" w:rsidRDefault="00684519" w:rsidP="00AE44CE">
            <w:pPr>
              <w:rPr>
                <w:color w:val="000000"/>
                <w:sz w:val="18"/>
                <w:szCs w:val="18"/>
              </w:rPr>
            </w:pPr>
            <w:r>
              <w:rPr>
                <w:color w:val="000000"/>
                <w:sz w:val="18"/>
                <w:szCs w:val="18"/>
              </w:rPr>
              <w:t>BioChem agrar GmbH, Gerichshain, Germany Fed.Rep.</w:t>
            </w:r>
          </w:p>
          <w:p w14:paraId="4A0614F3" w14:textId="77777777" w:rsidR="00684519" w:rsidRDefault="00684519" w:rsidP="00AE44CE">
            <w:pPr>
              <w:rPr>
                <w:color w:val="000000"/>
                <w:sz w:val="18"/>
                <w:szCs w:val="18"/>
              </w:rPr>
            </w:pPr>
            <w:r>
              <w:rPr>
                <w:color w:val="000000"/>
                <w:sz w:val="18"/>
                <w:szCs w:val="18"/>
              </w:rPr>
              <w:t>yes</w:t>
            </w:r>
          </w:p>
          <w:p w14:paraId="665E9AD9" w14:textId="77777777" w:rsidR="00684519" w:rsidRDefault="00684519" w:rsidP="00AE44CE">
            <w:pPr>
              <w:rPr>
                <w:color w:val="000000"/>
                <w:sz w:val="18"/>
                <w:szCs w:val="18"/>
              </w:rPr>
            </w:pPr>
            <w:r>
              <w:rPr>
                <w:color w:val="000000"/>
                <w:sz w:val="18"/>
                <w:szCs w:val="18"/>
              </w:rPr>
              <w:t>Unpublished</w:t>
            </w:r>
          </w:p>
        </w:tc>
        <w:tc>
          <w:tcPr>
            <w:tcW w:w="0" w:type="auto"/>
          </w:tcPr>
          <w:p w14:paraId="5667583D" w14:textId="77777777" w:rsidR="00684519" w:rsidRDefault="00684519" w:rsidP="00AE44CE">
            <w:pPr>
              <w:jc w:val="center"/>
              <w:rPr>
                <w:sz w:val="18"/>
                <w:szCs w:val="18"/>
              </w:rPr>
            </w:pPr>
            <w:r>
              <w:rPr>
                <w:color w:val="000000"/>
                <w:sz w:val="18"/>
                <w:szCs w:val="18"/>
              </w:rPr>
              <w:t>No</w:t>
            </w:r>
          </w:p>
        </w:tc>
        <w:tc>
          <w:tcPr>
            <w:tcW w:w="0" w:type="auto"/>
          </w:tcPr>
          <w:p w14:paraId="55B0FB18" w14:textId="77777777" w:rsidR="00684519" w:rsidRDefault="00684519" w:rsidP="00AE44CE">
            <w:pPr>
              <w:pStyle w:val="RepTable"/>
              <w:jc w:val="center"/>
              <w:rPr>
                <w:highlight w:val="yellow"/>
              </w:rPr>
            </w:pPr>
            <w:r>
              <w:rPr>
                <w:color w:val="000000"/>
                <w:sz w:val="18"/>
                <w:szCs w:val="18"/>
              </w:rPr>
              <w:t>BASF</w:t>
            </w:r>
          </w:p>
        </w:tc>
      </w:tr>
      <w:tr w:rsidR="00684519" w14:paraId="2644C7FA" w14:textId="77777777" w:rsidTr="00684519">
        <w:trPr>
          <w:cantSplit/>
        </w:trPr>
        <w:tc>
          <w:tcPr>
            <w:tcW w:w="0" w:type="auto"/>
          </w:tcPr>
          <w:p w14:paraId="1817D371" w14:textId="77777777" w:rsidR="00684519" w:rsidRDefault="00684519" w:rsidP="00AE44CE">
            <w:pPr>
              <w:rPr>
                <w:sz w:val="18"/>
                <w:szCs w:val="18"/>
              </w:rPr>
            </w:pPr>
            <w:r>
              <w:rPr>
                <w:color w:val="000000"/>
                <w:sz w:val="18"/>
                <w:szCs w:val="18"/>
              </w:rPr>
              <w:t>KCP 10.6.2/1</w:t>
            </w:r>
          </w:p>
        </w:tc>
        <w:tc>
          <w:tcPr>
            <w:tcW w:w="0" w:type="auto"/>
          </w:tcPr>
          <w:p w14:paraId="65175763" w14:textId="77777777" w:rsidR="00684519" w:rsidRDefault="00684519" w:rsidP="00AE44CE">
            <w:pPr>
              <w:rPr>
                <w:sz w:val="18"/>
                <w:szCs w:val="18"/>
              </w:rPr>
            </w:pPr>
            <w:r>
              <w:rPr>
                <w:color w:val="000000"/>
                <w:sz w:val="18"/>
                <w:szCs w:val="18"/>
              </w:rPr>
              <w:t>Maleck, A.</w:t>
            </w:r>
          </w:p>
        </w:tc>
        <w:tc>
          <w:tcPr>
            <w:tcW w:w="0" w:type="auto"/>
          </w:tcPr>
          <w:p w14:paraId="4B80654A" w14:textId="77777777" w:rsidR="00684519" w:rsidRDefault="00684519" w:rsidP="00AE44CE">
            <w:pPr>
              <w:rPr>
                <w:sz w:val="18"/>
                <w:szCs w:val="18"/>
              </w:rPr>
            </w:pPr>
            <w:r>
              <w:rPr>
                <w:color w:val="000000"/>
                <w:sz w:val="18"/>
                <w:szCs w:val="18"/>
              </w:rPr>
              <w:t>2019</w:t>
            </w:r>
          </w:p>
        </w:tc>
        <w:tc>
          <w:tcPr>
            <w:tcW w:w="0" w:type="auto"/>
          </w:tcPr>
          <w:p w14:paraId="17BAB4D5" w14:textId="77777777" w:rsidR="00684519" w:rsidRDefault="00684519" w:rsidP="00AE44CE">
            <w:pPr>
              <w:rPr>
                <w:color w:val="000000"/>
                <w:sz w:val="18"/>
                <w:szCs w:val="18"/>
              </w:rPr>
            </w:pPr>
            <w:r>
              <w:rPr>
                <w:color w:val="000000"/>
                <w:sz w:val="18"/>
                <w:szCs w:val="18"/>
              </w:rPr>
              <w:t>Effect of BAS 736 00 F on vegetative vigour of ten species of terrestrial plants under greenhouse conditions</w:t>
            </w:r>
          </w:p>
          <w:p w14:paraId="70B806E6" w14:textId="77777777" w:rsidR="00684519" w:rsidRDefault="00684519" w:rsidP="00AE44CE">
            <w:pPr>
              <w:rPr>
                <w:color w:val="000000"/>
                <w:sz w:val="18"/>
                <w:szCs w:val="18"/>
              </w:rPr>
            </w:pPr>
            <w:r>
              <w:rPr>
                <w:color w:val="000000"/>
                <w:sz w:val="18"/>
                <w:szCs w:val="18"/>
              </w:rPr>
              <w:t>2019/1061112</w:t>
            </w:r>
          </w:p>
          <w:p w14:paraId="5EED963F" w14:textId="77777777" w:rsidR="00684519" w:rsidRDefault="00684519" w:rsidP="00AE44CE">
            <w:pPr>
              <w:rPr>
                <w:color w:val="000000"/>
                <w:sz w:val="18"/>
                <w:szCs w:val="18"/>
              </w:rPr>
            </w:pPr>
            <w:r>
              <w:rPr>
                <w:color w:val="000000"/>
                <w:sz w:val="18"/>
                <w:szCs w:val="18"/>
              </w:rPr>
              <w:t>Agro-Check Dr. Teresiak &amp; Erdmann GbR, Lentzke, Germany Fed.Rep.</w:t>
            </w:r>
          </w:p>
          <w:p w14:paraId="5BA9CFEB" w14:textId="77777777" w:rsidR="00684519" w:rsidRDefault="00684519" w:rsidP="00AE44CE">
            <w:pPr>
              <w:rPr>
                <w:color w:val="000000"/>
                <w:sz w:val="18"/>
                <w:szCs w:val="18"/>
              </w:rPr>
            </w:pPr>
            <w:r>
              <w:rPr>
                <w:color w:val="000000"/>
                <w:sz w:val="18"/>
                <w:szCs w:val="18"/>
              </w:rPr>
              <w:t>yes</w:t>
            </w:r>
          </w:p>
          <w:p w14:paraId="1C9A4CD4" w14:textId="77777777" w:rsidR="00684519" w:rsidRDefault="00684519" w:rsidP="00AE44CE">
            <w:pPr>
              <w:rPr>
                <w:color w:val="000000"/>
                <w:sz w:val="18"/>
                <w:szCs w:val="18"/>
              </w:rPr>
            </w:pPr>
            <w:r>
              <w:rPr>
                <w:color w:val="000000"/>
                <w:sz w:val="18"/>
                <w:szCs w:val="18"/>
              </w:rPr>
              <w:t>Unpublished</w:t>
            </w:r>
          </w:p>
        </w:tc>
        <w:tc>
          <w:tcPr>
            <w:tcW w:w="0" w:type="auto"/>
          </w:tcPr>
          <w:p w14:paraId="66822E6A" w14:textId="77777777" w:rsidR="00684519" w:rsidRDefault="00684519" w:rsidP="00AE44CE">
            <w:pPr>
              <w:jc w:val="center"/>
              <w:rPr>
                <w:sz w:val="18"/>
                <w:szCs w:val="18"/>
              </w:rPr>
            </w:pPr>
            <w:r>
              <w:rPr>
                <w:color w:val="000000"/>
                <w:sz w:val="18"/>
                <w:szCs w:val="18"/>
              </w:rPr>
              <w:t>No</w:t>
            </w:r>
          </w:p>
        </w:tc>
        <w:tc>
          <w:tcPr>
            <w:tcW w:w="0" w:type="auto"/>
          </w:tcPr>
          <w:p w14:paraId="2B3B8AB3" w14:textId="77777777" w:rsidR="00684519" w:rsidRDefault="00684519" w:rsidP="00AE44CE">
            <w:pPr>
              <w:pStyle w:val="RepTable"/>
              <w:jc w:val="center"/>
              <w:rPr>
                <w:highlight w:val="yellow"/>
              </w:rPr>
            </w:pPr>
            <w:r>
              <w:rPr>
                <w:color w:val="000000"/>
                <w:sz w:val="18"/>
                <w:szCs w:val="18"/>
              </w:rPr>
              <w:t>BASF</w:t>
            </w:r>
          </w:p>
        </w:tc>
      </w:tr>
      <w:tr w:rsidR="00684519" w14:paraId="40951A40" w14:textId="77777777" w:rsidTr="00684519">
        <w:trPr>
          <w:cantSplit/>
        </w:trPr>
        <w:tc>
          <w:tcPr>
            <w:tcW w:w="0" w:type="auto"/>
          </w:tcPr>
          <w:p w14:paraId="37B87838" w14:textId="77777777" w:rsidR="00684519" w:rsidRDefault="00684519" w:rsidP="00AE44CE">
            <w:pPr>
              <w:rPr>
                <w:sz w:val="18"/>
                <w:szCs w:val="18"/>
              </w:rPr>
            </w:pPr>
            <w:r>
              <w:rPr>
                <w:color w:val="000000"/>
                <w:sz w:val="18"/>
                <w:szCs w:val="18"/>
              </w:rPr>
              <w:t>KCP 10.6.2/2</w:t>
            </w:r>
          </w:p>
        </w:tc>
        <w:tc>
          <w:tcPr>
            <w:tcW w:w="0" w:type="auto"/>
          </w:tcPr>
          <w:p w14:paraId="3AE8D13D" w14:textId="77777777" w:rsidR="00684519" w:rsidRDefault="00684519" w:rsidP="00AE44CE">
            <w:pPr>
              <w:rPr>
                <w:sz w:val="18"/>
                <w:szCs w:val="18"/>
              </w:rPr>
            </w:pPr>
            <w:r>
              <w:rPr>
                <w:color w:val="000000"/>
                <w:sz w:val="18"/>
                <w:szCs w:val="18"/>
              </w:rPr>
              <w:t>Maleck, A.</w:t>
            </w:r>
          </w:p>
        </w:tc>
        <w:tc>
          <w:tcPr>
            <w:tcW w:w="0" w:type="auto"/>
          </w:tcPr>
          <w:p w14:paraId="10AFE349" w14:textId="77777777" w:rsidR="00684519" w:rsidRDefault="00684519" w:rsidP="00AE44CE">
            <w:pPr>
              <w:rPr>
                <w:sz w:val="18"/>
                <w:szCs w:val="18"/>
              </w:rPr>
            </w:pPr>
            <w:r>
              <w:rPr>
                <w:color w:val="000000"/>
                <w:sz w:val="18"/>
                <w:szCs w:val="18"/>
              </w:rPr>
              <w:t>2019</w:t>
            </w:r>
          </w:p>
        </w:tc>
        <w:tc>
          <w:tcPr>
            <w:tcW w:w="0" w:type="auto"/>
          </w:tcPr>
          <w:p w14:paraId="46AF1DFE" w14:textId="77777777" w:rsidR="00684519" w:rsidRDefault="00684519" w:rsidP="00AE44CE">
            <w:pPr>
              <w:rPr>
                <w:color w:val="000000"/>
                <w:sz w:val="18"/>
                <w:szCs w:val="18"/>
              </w:rPr>
            </w:pPr>
            <w:r>
              <w:rPr>
                <w:color w:val="000000"/>
                <w:sz w:val="18"/>
                <w:szCs w:val="18"/>
              </w:rPr>
              <w:t>Effect of BAS 736 00 F on seedling emergence and seedling growth of ten species of terrestrial plants under greenhouse conditions</w:t>
            </w:r>
          </w:p>
          <w:p w14:paraId="471E7523" w14:textId="77777777" w:rsidR="00684519" w:rsidRDefault="00684519" w:rsidP="00AE44CE">
            <w:pPr>
              <w:rPr>
                <w:color w:val="000000"/>
                <w:sz w:val="18"/>
                <w:szCs w:val="18"/>
              </w:rPr>
            </w:pPr>
            <w:r>
              <w:rPr>
                <w:color w:val="000000"/>
                <w:sz w:val="18"/>
                <w:szCs w:val="18"/>
              </w:rPr>
              <w:t>2019/1061110</w:t>
            </w:r>
          </w:p>
          <w:p w14:paraId="76808DB6" w14:textId="77777777" w:rsidR="00684519" w:rsidRDefault="00684519" w:rsidP="00AE44CE">
            <w:pPr>
              <w:rPr>
                <w:color w:val="000000"/>
                <w:sz w:val="18"/>
                <w:szCs w:val="18"/>
              </w:rPr>
            </w:pPr>
            <w:r>
              <w:rPr>
                <w:color w:val="000000"/>
                <w:sz w:val="18"/>
                <w:szCs w:val="18"/>
              </w:rPr>
              <w:t>Agro-Check Dr. Teresiak &amp; Erdmann GbR, Lentzke, Germany Fed.Rep.</w:t>
            </w:r>
          </w:p>
          <w:p w14:paraId="3CC982B1" w14:textId="77777777" w:rsidR="00684519" w:rsidRDefault="00684519" w:rsidP="00AE44CE">
            <w:pPr>
              <w:rPr>
                <w:color w:val="000000"/>
                <w:sz w:val="18"/>
                <w:szCs w:val="18"/>
              </w:rPr>
            </w:pPr>
            <w:r>
              <w:rPr>
                <w:color w:val="000000"/>
                <w:sz w:val="18"/>
                <w:szCs w:val="18"/>
              </w:rPr>
              <w:t>yes</w:t>
            </w:r>
          </w:p>
          <w:p w14:paraId="19A798A5" w14:textId="77777777" w:rsidR="00684519" w:rsidRDefault="00684519" w:rsidP="00AE44CE">
            <w:pPr>
              <w:rPr>
                <w:color w:val="000000"/>
                <w:sz w:val="18"/>
                <w:szCs w:val="18"/>
              </w:rPr>
            </w:pPr>
            <w:r>
              <w:rPr>
                <w:color w:val="000000"/>
                <w:sz w:val="18"/>
                <w:szCs w:val="18"/>
              </w:rPr>
              <w:t>Unpublished</w:t>
            </w:r>
          </w:p>
        </w:tc>
        <w:tc>
          <w:tcPr>
            <w:tcW w:w="0" w:type="auto"/>
          </w:tcPr>
          <w:p w14:paraId="4D97AB56" w14:textId="77777777" w:rsidR="00684519" w:rsidRDefault="00684519" w:rsidP="00AE44CE">
            <w:pPr>
              <w:jc w:val="center"/>
              <w:rPr>
                <w:sz w:val="18"/>
                <w:szCs w:val="18"/>
              </w:rPr>
            </w:pPr>
            <w:r>
              <w:rPr>
                <w:color w:val="000000"/>
                <w:sz w:val="18"/>
                <w:szCs w:val="18"/>
              </w:rPr>
              <w:t>No</w:t>
            </w:r>
          </w:p>
        </w:tc>
        <w:tc>
          <w:tcPr>
            <w:tcW w:w="0" w:type="auto"/>
          </w:tcPr>
          <w:p w14:paraId="4E94E153" w14:textId="77777777" w:rsidR="00684519" w:rsidRDefault="00684519" w:rsidP="00AE44CE">
            <w:pPr>
              <w:pStyle w:val="RepTable"/>
              <w:jc w:val="center"/>
              <w:rPr>
                <w:highlight w:val="yellow"/>
              </w:rPr>
            </w:pPr>
            <w:r>
              <w:rPr>
                <w:color w:val="000000"/>
                <w:sz w:val="18"/>
                <w:szCs w:val="18"/>
              </w:rPr>
              <w:t>BASF</w:t>
            </w:r>
          </w:p>
        </w:tc>
      </w:tr>
    </w:tbl>
    <w:p w14:paraId="11907F98" w14:textId="77777777" w:rsidR="00E51CDD" w:rsidRPr="00A93942" w:rsidRDefault="00E51CDD" w:rsidP="00E51CDD">
      <w:pPr>
        <w:pStyle w:val="RepStandard"/>
        <w:rPr>
          <w:lang w:val="en-US"/>
        </w:rPr>
      </w:pPr>
    </w:p>
    <w:p w14:paraId="6F7B98BF" w14:textId="77777777" w:rsidR="00E51CDD" w:rsidRDefault="00E51CDD" w:rsidP="00E51CDD"/>
    <w:p w14:paraId="739FCFDE" w14:textId="77777777" w:rsidR="00E51CDD" w:rsidRDefault="00E51CDD" w:rsidP="00E51CDD">
      <w:pPr>
        <w:pStyle w:val="RepStandard"/>
        <w:rPr>
          <w:lang w:val="en-US"/>
        </w:rPr>
      </w:pPr>
    </w:p>
    <w:p w14:paraId="54F67AD9" w14:textId="77777777" w:rsidR="00E51CDD" w:rsidRPr="009D6C8A" w:rsidRDefault="00E51CDD" w:rsidP="00E51CDD">
      <w:pPr>
        <w:pStyle w:val="RepStandard"/>
        <w:rPr>
          <w:lang w:val="en-US"/>
        </w:rPr>
      </w:pPr>
    </w:p>
    <w:p w14:paraId="0ED3B2C6" w14:textId="77777777" w:rsidR="00E51CDD" w:rsidRPr="002B1114" w:rsidRDefault="00E51CDD" w:rsidP="00E51CDD">
      <w:pPr>
        <w:pStyle w:val="RepNewPart"/>
      </w:pPr>
      <w:r w:rsidRPr="002B1114">
        <w:lastRenderedPageBreak/>
        <w:t>List of data submitted or referred to by the applicant and relied on, but already evaluated at EU peer review</w:t>
      </w:r>
    </w:p>
    <w:p w14:paraId="6A7E0488" w14:textId="77777777" w:rsidR="00E51CDD" w:rsidRDefault="00E51CDD" w:rsidP="00E51CDD">
      <w:pPr>
        <w:pStyle w:val="RepStandard"/>
      </w:pPr>
      <w:r>
        <w:t>BAS 736 00 F is a new product, no product data have been evaluated previously.</w:t>
      </w:r>
    </w:p>
    <w:p w14:paraId="7F80D4DB" w14:textId="77777777" w:rsidR="00E51CDD" w:rsidRPr="003D367E" w:rsidRDefault="00E51CDD" w:rsidP="00E51CDD">
      <w:pPr>
        <w:pStyle w:val="RepStandard"/>
      </w:pPr>
    </w:p>
    <w:p w14:paraId="0C72D4A4" w14:textId="77777777" w:rsidR="00E51CDD" w:rsidRDefault="00E51CDD" w:rsidP="00E51CDD"/>
    <w:p w14:paraId="2C544D74" w14:textId="77777777" w:rsidR="00E51CDD" w:rsidRDefault="00E51CDD" w:rsidP="00E51CDD">
      <w:pPr>
        <w:pStyle w:val="RepStandard"/>
        <w:rPr>
          <w:lang w:val="en-US"/>
        </w:rPr>
      </w:pPr>
    </w:p>
    <w:p w14:paraId="392C259F" w14:textId="77777777" w:rsidR="00E51CDD" w:rsidRPr="009D6C8A" w:rsidRDefault="00E51CDD" w:rsidP="00E51CDD">
      <w:pPr>
        <w:pStyle w:val="RepStandard"/>
        <w:rPr>
          <w:lang w:val="en-US"/>
        </w:rPr>
      </w:pPr>
      <w:r>
        <w:rPr>
          <w:lang w:val="en-US"/>
        </w:rPr>
        <w:br w:type="page"/>
      </w:r>
    </w:p>
    <w:p w14:paraId="6DAC0D5D" w14:textId="77777777" w:rsidR="00E51CDD" w:rsidRPr="002B1114" w:rsidRDefault="00E51CDD" w:rsidP="00E51CDD">
      <w:pPr>
        <w:pStyle w:val="RepEditorNotesMS"/>
      </w:pPr>
      <w:r w:rsidRPr="002B1114">
        <w:lastRenderedPageBreak/>
        <w:t>The following tables are to be completed by MS</w:t>
      </w:r>
    </w:p>
    <w:p w14:paraId="7C89A95C" w14:textId="77777777" w:rsidR="00E51CDD" w:rsidRPr="002B1114" w:rsidRDefault="00E51CDD" w:rsidP="00E51CDD">
      <w:pPr>
        <w:pStyle w:val="RepNewPart"/>
      </w:pPr>
      <w:r w:rsidRPr="002B1114">
        <w:t>List of data submitted by the applicant and not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0"/>
        <w:gridCol w:w="1849"/>
        <w:gridCol w:w="783"/>
        <w:gridCol w:w="8585"/>
        <w:gridCol w:w="1048"/>
        <w:gridCol w:w="1281"/>
      </w:tblGrid>
      <w:tr w:rsidR="00E51CDD" w:rsidRPr="002B1114" w14:paraId="4C4F6F6B" w14:textId="77777777" w:rsidTr="00AE44CE">
        <w:trPr>
          <w:tblHeader/>
        </w:trPr>
        <w:tc>
          <w:tcPr>
            <w:tcW w:w="347" w:type="pct"/>
            <w:shd w:val="clear" w:color="auto" w:fill="auto"/>
            <w:vAlign w:val="center"/>
          </w:tcPr>
          <w:p w14:paraId="483322EF" w14:textId="77777777" w:rsidR="00E51CDD" w:rsidRPr="002B1114" w:rsidRDefault="00E51CDD" w:rsidP="00AE44CE">
            <w:pPr>
              <w:pStyle w:val="RepTableHeader"/>
              <w:spacing w:before="0" w:after="0"/>
              <w:jc w:val="center"/>
              <w:rPr>
                <w:lang w:val="en-GB"/>
              </w:rPr>
            </w:pPr>
            <w:r w:rsidRPr="002B1114">
              <w:rPr>
                <w:lang w:val="en-GB"/>
              </w:rPr>
              <w:t>Data point</w:t>
            </w:r>
          </w:p>
        </w:tc>
        <w:tc>
          <w:tcPr>
            <w:tcW w:w="635" w:type="pct"/>
            <w:shd w:val="clear" w:color="auto" w:fill="auto"/>
            <w:vAlign w:val="center"/>
          </w:tcPr>
          <w:p w14:paraId="6CD0160B" w14:textId="77777777" w:rsidR="00E51CDD" w:rsidRPr="002B1114" w:rsidRDefault="00E51CDD" w:rsidP="00AE44CE">
            <w:pPr>
              <w:pStyle w:val="RepTableHeader"/>
              <w:spacing w:before="0" w:after="0"/>
              <w:jc w:val="center"/>
              <w:rPr>
                <w:lang w:val="en-GB"/>
              </w:rPr>
            </w:pPr>
            <w:r w:rsidRPr="002B1114">
              <w:rPr>
                <w:lang w:val="en-GB"/>
              </w:rPr>
              <w:t>Author(s)</w:t>
            </w:r>
          </w:p>
        </w:tc>
        <w:tc>
          <w:tcPr>
            <w:tcW w:w="269" w:type="pct"/>
            <w:shd w:val="clear" w:color="auto" w:fill="auto"/>
            <w:vAlign w:val="center"/>
          </w:tcPr>
          <w:p w14:paraId="05EAA16E" w14:textId="77777777" w:rsidR="00E51CDD" w:rsidRPr="002B1114" w:rsidRDefault="00E51CDD" w:rsidP="00AE44CE">
            <w:pPr>
              <w:pStyle w:val="RepTableHeader"/>
              <w:spacing w:before="0" w:after="0"/>
              <w:jc w:val="center"/>
              <w:rPr>
                <w:lang w:val="en-GB"/>
              </w:rPr>
            </w:pPr>
            <w:r w:rsidRPr="002B1114">
              <w:rPr>
                <w:lang w:val="en-GB"/>
              </w:rPr>
              <w:t>Year</w:t>
            </w:r>
          </w:p>
        </w:tc>
        <w:tc>
          <w:tcPr>
            <w:tcW w:w="2949" w:type="pct"/>
            <w:shd w:val="clear" w:color="auto" w:fill="auto"/>
            <w:vAlign w:val="center"/>
          </w:tcPr>
          <w:p w14:paraId="153FAF23" w14:textId="77777777" w:rsidR="00E51CDD" w:rsidRPr="002B1114" w:rsidRDefault="00E51CDD" w:rsidP="00AE44CE">
            <w:pPr>
              <w:pStyle w:val="RepTableHeader"/>
              <w:spacing w:before="0" w:after="0"/>
              <w:jc w:val="center"/>
              <w:rPr>
                <w:lang w:val="en-GB"/>
              </w:rPr>
            </w:pPr>
            <w:r w:rsidRPr="002B1114">
              <w:rPr>
                <w:lang w:val="en-GB"/>
              </w:rPr>
              <w:t>Title</w:t>
            </w:r>
            <w:r w:rsidRPr="002B1114">
              <w:rPr>
                <w:lang w:val="en-GB"/>
              </w:rPr>
              <w:br/>
              <w:t>Company Report No.</w:t>
            </w:r>
            <w:r w:rsidRPr="002B1114">
              <w:rPr>
                <w:lang w:val="en-GB"/>
              </w:rPr>
              <w:tab/>
            </w:r>
            <w:r w:rsidRPr="002B1114">
              <w:rPr>
                <w:lang w:val="en-GB"/>
              </w:rPr>
              <w:br/>
              <w:t>Source (where different from company)</w:t>
            </w:r>
            <w:r w:rsidRPr="002B1114">
              <w:rPr>
                <w:lang w:val="en-GB"/>
              </w:rPr>
              <w:br/>
              <w:t>GLP or GEP status</w:t>
            </w:r>
            <w:r w:rsidRPr="002B1114">
              <w:rPr>
                <w:lang w:val="en-GB"/>
              </w:rPr>
              <w:br/>
              <w:t>Published or not</w:t>
            </w:r>
          </w:p>
        </w:tc>
        <w:tc>
          <w:tcPr>
            <w:tcW w:w="360" w:type="pct"/>
            <w:shd w:val="clear" w:color="auto" w:fill="auto"/>
            <w:vAlign w:val="center"/>
          </w:tcPr>
          <w:p w14:paraId="472E91B4" w14:textId="77777777" w:rsidR="00E51CDD" w:rsidRPr="002B1114" w:rsidRDefault="00E51CDD" w:rsidP="00AE44CE">
            <w:pPr>
              <w:pStyle w:val="RepTableHeader"/>
              <w:spacing w:before="0" w:after="0"/>
              <w:jc w:val="center"/>
              <w:rPr>
                <w:lang w:val="en-GB"/>
              </w:rPr>
            </w:pPr>
            <w:r w:rsidRPr="002B1114">
              <w:rPr>
                <w:lang w:val="en-GB"/>
              </w:rPr>
              <w:t>Vertebrate study</w:t>
            </w:r>
          </w:p>
          <w:p w14:paraId="609884E0" w14:textId="77777777" w:rsidR="00E51CDD" w:rsidRPr="002B1114" w:rsidRDefault="00E51CDD" w:rsidP="00AE44CE">
            <w:pPr>
              <w:pStyle w:val="RepTableHeader"/>
              <w:spacing w:before="0" w:after="0"/>
              <w:jc w:val="center"/>
              <w:rPr>
                <w:lang w:val="en-GB"/>
              </w:rPr>
            </w:pPr>
            <w:r w:rsidRPr="002B1114">
              <w:rPr>
                <w:lang w:val="en-GB"/>
              </w:rPr>
              <w:t>Y/N</w:t>
            </w:r>
          </w:p>
        </w:tc>
        <w:tc>
          <w:tcPr>
            <w:tcW w:w="440" w:type="pct"/>
            <w:shd w:val="clear" w:color="auto" w:fill="auto"/>
            <w:vAlign w:val="center"/>
          </w:tcPr>
          <w:p w14:paraId="562E6116" w14:textId="77777777" w:rsidR="00E51CDD" w:rsidRPr="002B1114" w:rsidRDefault="00E51CDD" w:rsidP="00AE44CE">
            <w:pPr>
              <w:pStyle w:val="RepTableHeader"/>
              <w:spacing w:before="0" w:after="0"/>
              <w:jc w:val="center"/>
              <w:rPr>
                <w:lang w:val="en-GB"/>
              </w:rPr>
            </w:pPr>
            <w:r w:rsidRPr="002B1114">
              <w:rPr>
                <w:lang w:val="en-GB"/>
              </w:rPr>
              <w:t>Owner</w:t>
            </w:r>
          </w:p>
        </w:tc>
      </w:tr>
      <w:tr w:rsidR="00A56563" w:rsidRPr="002B1114" w14:paraId="46B75BB8" w14:textId="77777777" w:rsidTr="00577BD7">
        <w:tc>
          <w:tcPr>
            <w:tcW w:w="347" w:type="pct"/>
            <w:shd w:val="clear" w:color="auto" w:fill="D9D9D9" w:themeFill="background1" w:themeFillShade="D9"/>
          </w:tcPr>
          <w:p w14:paraId="1E724154" w14:textId="268DFEEA" w:rsidR="00A56563" w:rsidRPr="00577BD7" w:rsidRDefault="00A56563" w:rsidP="00AE44CE">
            <w:pPr>
              <w:pStyle w:val="RepTable"/>
              <w:rPr>
                <w:highlight w:val="yellow"/>
              </w:rPr>
            </w:pPr>
            <w:r w:rsidRPr="00577BD7">
              <w:rPr>
                <w:sz w:val="18"/>
                <w:szCs w:val="18"/>
              </w:rPr>
              <w:t>KCP 10.1.1.1/1</w:t>
            </w:r>
          </w:p>
        </w:tc>
        <w:tc>
          <w:tcPr>
            <w:tcW w:w="635" w:type="pct"/>
            <w:shd w:val="clear" w:color="auto" w:fill="D9D9D9" w:themeFill="background1" w:themeFillShade="D9"/>
          </w:tcPr>
          <w:p w14:paraId="2040E4BF" w14:textId="30792B74" w:rsidR="00A56563" w:rsidRPr="00577BD7" w:rsidRDefault="00A56563" w:rsidP="00AE44CE">
            <w:pPr>
              <w:pStyle w:val="RepTable"/>
              <w:rPr>
                <w:highlight w:val="yellow"/>
              </w:rPr>
            </w:pPr>
            <w:r w:rsidRPr="00E82B49">
              <w:rPr>
                <w:sz w:val="18"/>
                <w:szCs w:val="18"/>
                <w:highlight w:val="black"/>
              </w:rPr>
              <w:t>Zok, S.</w:t>
            </w:r>
          </w:p>
        </w:tc>
        <w:tc>
          <w:tcPr>
            <w:tcW w:w="269" w:type="pct"/>
            <w:shd w:val="clear" w:color="auto" w:fill="D9D9D9" w:themeFill="background1" w:themeFillShade="D9"/>
          </w:tcPr>
          <w:p w14:paraId="749433D2" w14:textId="3384CFD1" w:rsidR="00A56563" w:rsidRPr="00577BD7" w:rsidRDefault="00A56563" w:rsidP="00AE44CE">
            <w:pPr>
              <w:pStyle w:val="RepTable"/>
              <w:jc w:val="center"/>
              <w:rPr>
                <w:highlight w:val="yellow"/>
              </w:rPr>
            </w:pPr>
            <w:r w:rsidRPr="00577BD7">
              <w:rPr>
                <w:sz w:val="18"/>
                <w:szCs w:val="18"/>
              </w:rPr>
              <w:t>2009</w:t>
            </w:r>
          </w:p>
        </w:tc>
        <w:tc>
          <w:tcPr>
            <w:tcW w:w="2949" w:type="pct"/>
            <w:shd w:val="clear" w:color="auto" w:fill="D9D9D9" w:themeFill="background1" w:themeFillShade="D9"/>
          </w:tcPr>
          <w:p w14:paraId="09255421" w14:textId="77777777" w:rsidR="00A56563" w:rsidRPr="00577BD7" w:rsidRDefault="00A56563" w:rsidP="00AE44CE">
            <w:pPr>
              <w:rPr>
                <w:sz w:val="18"/>
                <w:szCs w:val="18"/>
              </w:rPr>
            </w:pPr>
            <w:r w:rsidRPr="00577BD7">
              <w:rPr>
                <w:sz w:val="18"/>
                <w:szCs w:val="18"/>
              </w:rPr>
              <w:t>BAS 700 F - Acute toxicity in the Zebra finch (Taeniopygia guttata) after single oral administration (LD50)</w:t>
            </w:r>
          </w:p>
          <w:p w14:paraId="7819293C" w14:textId="77777777" w:rsidR="00A56563" w:rsidRPr="00577BD7" w:rsidRDefault="00A56563" w:rsidP="00AE44CE">
            <w:pPr>
              <w:rPr>
                <w:sz w:val="18"/>
                <w:szCs w:val="18"/>
                <w:lang w:val="de-DE"/>
              </w:rPr>
            </w:pPr>
            <w:r w:rsidRPr="00577BD7">
              <w:rPr>
                <w:sz w:val="18"/>
                <w:szCs w:val="18"/>
                <w:lang w:val="de-DE"/>
              </w:rPr>
              <w:t>2009/1050338</w:t>
            </w:r>
          </w:p>
          <w:p w14:paraId="784FEC4A" w14:textId="77777777" w:rsidR="00A56563" w:rsidRPr="00577BD7" w:rsidRDefault="00A56563" w:rsidP="00AE44CE">
            <w:pPr>
              <w:rPr>
                <w:sz w:val="18"/>
                <w:szCs w:val="18"/>
                <w:lang w:val="de-DE"/>
              </w:rPr>
            </w:pPr>
            <w:r w:rsidRPr="00577BD7">
              <w:rPr>
                <w:sz w:val="18"/>
                <w:szCs w:val="18"/>
                <w:lang w:val="de-DE"/>
              </w:rPr>
              <w:t>BASF SE, Ludwigshafen/Rhein, Germany Fed.Rep.</w:t>
            </w:r>
          </w:p>
          <w:p w14:paraId="2D28B8B6" w14:textId="77777777" w:rsidR="00A56563" w:rsidRPr="00577BD7" w:rsidRDefault="00A56563" w:rsidP="00AE44CE">
            <w:pPr>
              <w:rPr>
                <w:sz w:val="18"/>
                <w:szCs w:val="18"/>
              </w:rPr>
            </w:pPr>
            <w:r w:rsidRPr="00577BD7">
              <w:rPr>
                <w:sz w:val="18"/>
                <w:szCs w:val="18"/>
              </w:rPr>
              <w:t>yes</w:t>
            </w:r>
          </w:p>
          <w:p w14:paraId="7CF22CA8" w14:textId="0E42F244" w:rsidR="00A56563" w:rsidRPr="00577BD7" w:rsidRDefault="00A56563" w:rsidP="00AE44CE">
            <w:pPr>
              <w:pStyle w:val="RepTable"/>
              <w:rPr>
                <w:highlight w:val="yellow"/>
              </w:rPr>
            </w:pPr>
            <w:r w:rsidRPr="00577BD7">
              <w:rPr>
                <w:sz w:val="18"/>
                <w:szCs w:val="18"/>
              </w:rPr>
              <w:t>Unpublished</w:t>
            </w:r>
          </w:p>
        </w:tc>
        <w:tc>
          <w:tcPr>
            <w:tcW w:w="360" w:type="pct"/>
            <w:shd w:val="clear" w:color="auto" w:fill="D9D9D9" w:themeFill="background1" w:themeFillShade="D9"/>
          </w:tcPr>
          <w:p w14:paraId="71A825DC" w14:textId="3954CD81" w:rsidR="00A56563" w:rsidRPr="00577BD7" w:rsidRDefault="00A56563" w:rsidP="00AE44CE">
            <w:pPr>
              <w:pStyle w:val="RepTable"/>
              <w:jc w:val="center"/>
              <w:rPr>
                <w:highlight w:val="yellow"/>
              </w:rPr>
            </w:pPr>
            <w:r w:rsidRPr="00577BD7">
              <w:rPr>
                <w:sz w:val="18"/>
                <w:szCs w:val="18"/>
              </w:rPr>
              <w:t>Yes</w:t>
            </w:r>
          </w:p>
        </w:tc>
        <w:tc>
          <w:tcPr>
            <w:tcW w:w="440" w:type="pct"/>
            <w:shd w:val="clear" w:color="auto" w:fill="D9D9D9" w:themeFill="background1" w:themeFillShade="D9"/>
          </w:tcPr>
          <w:p w14:paraId="5AC15A70" w14:textId="055CAD8D" w:rsidR="00A56563" w:rsidRPr="00577BD7" w:rsidRDefault="00A56563" w:rsidP="00AE44CE">
            <w:pPr>
              <w:pStyle w:val="RepTable"/>
              <w:jc w:val="center"/>
              <w:rPr>
                <w:highlight w:val="yellow"/>
              </w:rPr>
            </w:pPr>
            <w:r w:rsidRPr="00577BD7">
              <w:rPr>
                <w:sz w:val="18"/>
                <w:szCs w:val="18"/>
              </w:rPr>
              <w:t>BASF</w:t>
            </w:r>
          </w:p>
        </w:tc>
      </w:tr>
      <w:tr w:rsidR="00DD01F7" w:rsidRPr="002B1114" w14:paraId="36F4CC59" w14:textId="77777777" w:rsidTr="00577BD7">
        <w:tc>
          <w:tcPr>
            <w:tcW w:w="347" w:type="pct"/>
            <w:shd w:val="clear" w:color="auto" w:fill="D9D9D9" w:themeFill="background1" w:themeFillShade="D9"/>
          </w:tcPr>
          <w:p w14:paraId="0346844E" w14:textId="58249832" w:rsidR="00DD01F7" w:rsidRPr="00577BD7" w:rsidRDefault="00DD01F7" w:rsidP="00AE44CE">
            <w:pPr>
              <w:pStyle w:val="RepTable"/>
              <w:rPr>
                <w:highlight w:val="yellow"/>
              </w:rPr>
            </w:pPr>
            <w:r w:rsidRPr="00577BD7">
              <w:rPr>
                <w:sz w:val="18"/>
                <w:szCs w:val="18"/>
              </w:rPr>
              <w:t>KCP 10.3.1.1.1/2</w:t>
            </w:r>
          </w:p>
        </w:tc>
        <w:tc>
          <w:tcPr>
            <w:tcW w:w="635" w:type="pct"/>
            <w:shd w:val="clear" w:color="auto" w:fill="D9D9D9" w:themeFill="background1" w:themeFillShade="D9"/>
          </w:tcPr>
          <w:p w14:paraId="434E4B60" w14:textId="0EEF9DA5" w:rsidR="00DD01F7" w:rsidRPr="00577BD7" w:rsidRDefault="00DD01F7" w:rsidP="00AE44CE">
            <w:pPr>
              <w:pStyle w:val="RepTable"/>
              <w:rPr>
                <w:highlight w:val="yellow"/>
              </w:rPr>
            </w:pPr>
            <w:r w:rsidRPr="00577BD7">
              <w:rPr>
                <w:sz w:val="18"/>
                <w:szCs w:val="18"/>
              </w:rPr>
              <w:t>Verge, E.</w:t>
            </w:r>
          </w:p>
        </w:tc>
        <w:tc>
          <w:tcPr>
            <w:tcW w:w="269" w:type="pct"/>
            <w:shd w:val="clear" w:color="auto" w:fill="D9D9D9" w:themeFill="background1" w:themeFillShade="D9"/>
          </w:tcPr>
          <w:p w14:paraId="2DAE6DB5" w14:textId="197F7080" w:rsidR="00DD01F7" w:rsidRPr="00577BD7" w:rsidRDefault="00DD01F7" w:rsidP="00AE44CE">
            <w:pPr>
              <w:pStyle w:val="RepTable"/>
              <w:jc w:val="center"/>
              <w:rPr>
                <w:highlight w:val="yellow"/>
              </w:rPr>
            </w:pPr>
            <w:r w:rsidRPr="00577BD7">
              <w:rPr>
                <w:sz w:val="18"/>
                <w:szCs w:val="18"/>
              </w:rPr>
              <w:t>2014</w:t>
            </w:r>
          </w:p>
        </w:tc>
        <w:tc>
          <w:tcPr>
            <w:tcW w:w="2949" w:type="pct"/>
            <w:shd w:val="clear" w:color="auto" w:fill="D9D9D9" w:themeFill="background1" w:themeFillShade="D9"/>
          </w:tcPr>
          <w:p w14:paraId="490BA2C2" w14:textId="77777777" w:rsidR="00DD01F7" w:rsidRPr="00577BD7" w:rsidRDefault="00DD01F7" w:rsidP="00AE44CE">
            <w:pPr>
              <w:rPr>
                <w:sz w:val="18"/>
                <w:szCs w:val="18"/>
              </w:rPr>
            </w:pPr>
            <w:r w:rsidRPr="00577BD7">
              <w:rPr>
                <w:sz w:val="18"/>
                <w:szCs w:val="18"/>
              </w:rPr>
              <w:t>BAS 700 04 F - Acute oral and contact toxicity to the bumble bee, Bombus terrestris L. under laboratory conditions</w:t>
            </w:r>
          </w:p>
          <w:p w14:paraId="5E6FD886" w14:textId="77777777" w:rsidR="00DD01F7" w:rsidRPr="00577BD7" w:rsidRDefault="00DD01F7" w:rsidP="00AE44CE">
            <w:pPr>
              <w:rPr>
                <w:sz w:val="18"/>
                <w:szCs w:val="18"/>
              </w:rPr>
            </w:pPr>
            <w:r w:rsidRPr="00577BD7">
              <w:rPr>
                <w:sz w:val="18"/>
                <w:szCs w:val="18"/>
              </w:rPr>
              <w:t>2014/1135445</w:t>
            </w:r>
          </w:p>
          <w:p w14:paraId="03D263AD" w14:textId="77777777" w:rsidR="00DD01F7" w:rsidRPr="00577BD7" w:rsidRDefault="00DD01F7" w:rsidP="00AE44CE">
            <w:pPr>
              <w:rPr>
                <w:sz w:val="18"/>
                <w:szCs w:val="18"/>
              </w:rPr>
            </w:pPr>
            <w:r w:rsidRPr="00577BD7">
              <w:rPr>
                <w:sz w:val="18"/>
                <w:szCs w:val="18"/>
              </w:rPr>
              <w:t>Eurofins Agroscience Services EcoChem GmbH, Niefern-Oeschelbronn, Germany Fed.Rep.</w:t>
            </w:r>
          </w:p>
          <w:p w14:paraId="394692E7" w14:textId="77777777" w:rsidR="00DD01F7" w:rsidRPr="00577BD7" w:rsidRDefault="00DD01F7" w:rsidP="00AE44CE">
            <w:pPr>
              <w:rPr>
                <w:sz w:val="18"/>
                <w:szCs w:val="18"/>
              </w:rPr>
            </w:pPr>
            <w:r w:rsidRPr="00577BD7">
              <w:rPr>
                <w:sz w:val="18"/>
                <w:szCs w:val="18"/>
              </w:rPr>
              <w:t>yes</w:t>
            </w:r>
          </w:p>
          <w:p w14:paraId="17B37C58" w14:textId="637E8474" w:rsidR="00DD01F7" w:rsidRPr="00577BD7" w:rsidRDefault="00DD01F7" w:rsidP="00AE44CE">
            <w:pPr>
              <w:pStyle w:val="RepTable"/>
              <w:rPr>
                <w:highlight w:val="yellow"/>
              </w:rPr>
            </w:pPr>
            <w:r w:rsidRPr="00577BD7">
              <w:rPr>
                <w:sz w:val="18"/>
                <w:szCs w:val="18"/>
              </w:rPr>
              <w:t>Unpublished</w:t>
            </w:r>
          </w:p>
        </w:tc>
        <w:tc>
          <w:tcPr>
            <w:tcW w:w="360" w:type="pct"/>
            <w:shd w:val="clear" w:color="auto" w:fill="D9D9D9" w:themeFill="background1" w:themeFillShade="D9"/>
          </w:tcPr>
          <w:p w14:paraId="5BB5E94D" w14:textId="07AC3C7F" w:rsidR="00DD01F7" w:rsidRPr="00577BD7" w:rsidRDefault="00DD01F7" w:rsidP="00AE44CE">
            <w:pPr>
              <w:pStyle w:val="RepTable"/>
              <w:jc w:val="center"/>
              <w:rPr>
                <w:highlight w:val="yellow"/>
              </w:rPr>
            </w:pPr>
            <w:r w:rsidRPr="00577BD7">
              <w:rPr>
                <w:sz w:val="18"/>
                <w:szCs w:val="18"/>
              </w:rPr>
              <w:t>No</w:t>
            </w:r>
          </w:p>
        </w:tc>
        <w:tc>
          <w:tcPr>
            <w:tcW w:w="440" w:type="pct"/>
            <w:shd w:val="clear" w:color="auto" w:fill="D9D9D9" w:themeFill="background1" w:themeFillShade="D9"/>
          </w:tcPr>
          <w:p w14:paraId="6CC404B0" w14:textId="75998C41" w:rsidR="00DD01F7" w:rsidRPr="00577BD7" w:rsidRDefault="00DD01F7" w:rsidP="00AE44CE">
            <w:pPr>
              <w:pStyle w:val="RepTable"/>
              <w:jc w:val="center"/>
              <w:rPr>
                <w:highlight w:val="yellow"/>
              </w:rPr>
            </w:pPr>
            <w:r w:rsidRPr="00577BD7">
              <w:rPr>
                <w:sz w:val="18"/>
                <w:szCs w:val="18"/>
              </w:rPr>
              <w:t>BASF</w:t>
            </w:r>
          </w:p>
        </w:tc>
      </w:tr>
      <w:tr w:rsidR="00DD01F7" w:rsidRPr="002B1114" w14:paraId="44D55FCD" w14:textId="77777777" w:rsidTr="00577BD7">
        <w:tc>
          <w:tcPr>
            <w:tcW w:w="347" w:type="pct"/>
            <w:shd w:val="clear" w:color="auto" w:fill="D9D9D9" w:themeFill="background1" w:themeFillShade="D9"/>
          </w:tcPr>
          <w:p w14:paraId="4A95F10F" w14:textId="48C91B02" w:rsidR="00DD01F7" w:rsidRPr="00577BD7" w:rsidRDefault="00DD01F7" w:rsidP="00AE44CE">
            <w:pPr>
              <w:pStyle w:val="RepTable"/>
              <w:rPr>
                <w:sz w:val="18"/>
                <w:szCs w:val="18"/>
              </w:rPr>
            </w:pPr>
            <w:r w:rsidRPr="00577BD7">
              <w:rPr>
                <w:sz w:val="18"/>
                <w:szCs w:val="18"/>
              </w:rPr>
              <w:t>KCP 10.3.1.1.2/2</w:t>
            </w:r>
          </w:p>
        </w:tc>
        <w:tc>
          <w:tcPr>
            <w:tcW w:w="635" w:type="pct"/>
            <w:shd w:val="clear" w:color="auto" w:fill="D9D9D9" w:themeFill="background1" w:themeFillShade="D9"/>
          </w:tcPr>
          <w:p w14:paraId="754DA995" w14:textId="661DF15E" w:rsidR="00DD01F7" w:rsidRPr="00577BD7" w:rsidRDefault="00DD01F7" w:rsidP="00AE44CE">
            <w:pPr>
              <w:pStyle w:val="RepTable"/>
              <w:rPr>
                <w:sz w:val="18"/>
                <w:szCs w:val="18"/>
              </w:rPr>
            </w:pPr>
            <w:r w:rsidRPr="00577BD7">
              <w:rPr>
                <w:sz w:val="18"/>
                <w:szCs w:val="18"/>
              </w:rPr>
              <w:t>Verge, E.</w:t>
            </w:r>
          </w:p>
        </w:tc>
        <w:tc>
          <w:tcPr>
            <w:tcW w:w="269" w:type="pct"/>
            <w:shd w:val="clear" w:color="auto" w:fill="D9D9D9" w:themeFill="background1" w:themeFillShade="D9"/>
          </w:tcPr>
          <w:p w14:paraId="3F6FB0DD" w14:textId="25C19497" w:rsidR="00DD01F7" w:rsidRPr="00577BD7" w:rsidRDefault="00DD01F7" w:rsidP="00AE44CE">
            <w:pPr>
              <w:pStyle w:val="RepTable"/>
              <w:jc w:val="center"/>
              <w:rPr>
                <w:sz w:val="18"/>
                <w:szCs w:val="18"/>
              </w:rPr>
            </w:pPr>
            <w:r w:rsidRPr="00577BD7">
              <w:rPr>
                <w:sz w:val="18"/>
                <w:szCs w:val="18"/>
              </w:rPr>
              <w:t>2014</w:t>
            </w:r>
          </w:p>
        </w:tc>
        <w:tc>
          <w:tcPr>
            <w:tcW w:w="2949" w:type="pct"/>
            <w:shd w:val="clear" w:color="auto" w:fill="D9D9D9" w:themeFill="background1" w:themeFillShade="D9"/>
          </w:tcPr>
          <w:p w14:paraId="0E6E3ED9" w14:textId="77777777" w:rsidR="00DD01F7" w:rsidRPr="00577BD7" w:rsidRDefault="00DD01F7" w:rsidP="00AE44CE">
            <w:pPr>
              <w:rPr>
                <w:sz w:val="18"/>
                <w:szCs w:val="18"/>
              </w:rPr>
            </w:pPr>
            <w:r w:rsidRPr="00577BD7">
              <w:rPr>
                <w:sz w:val="18"/>
                <w:szCs w:val="18"/>
              </w:rPr>
              <w:t>BAS 700 04 F - Acute oral and contact toxicity to the bumble bee, Bombus terrestris L. under laboratory conditions</w:t>
            </w:r>
          </w:p>
          <w:p w14:paraId="366DC414" w14:textId="77777777" w:rsidR="00DD01F7" w:rsidRPr="00577BD7" w:rsidRDefault="00DD01F7" w:rsidP="00AE44CE">
            <w:pPr>
              <w:rPr>
                <w:sz w:val="18"/>
                <w:szCs w:val="18"/>
              </w:rPr>
            </w:pPr>
            <w:r w:rsidRPr="00577BD7">
              <w:rPr>
                <w:sz w:val="18"/>
                <w:szCs w:val="18"/>
              </w:rPr>
              <w:t>2014/1135445</w:t>
            </w:r>
          </w:p>
          <w:p w14:paraId="2C08046A" w14:textId="77777777" w:rsidR="00DD01F7" w:rsidRPr="00577BD7" w:rsidRDefault="00DD01F7" w:rsidP="00AE44CE">
            <w:pPr>
              <w:rPr>
                <w:sz w:val="18"/>
                <w:szCs w:val="18"/>
              </w:rPr>
            </w:pPr>
            <w:r w:rsidRPr="00577BD7">
              <w:rPr>
                <w:sz w:val="18"/>
                <w:szCs w:val="18"/>
              </w:rPr>
              <w:t>Eurofins Agroscience Services EcoChem GmbH, Niefern-Oeschelbronn, Germany Fed.Rep.</w:t>
            </w:r>
          </w:p>
          <w:p w14:paraId="4A9E257B" w14:textId="77777777" w:rsidR="00DD01F7" w:rsidRPr="00577BD7" w:rsidRDefault="00DD01F7" w:rsidP="00AE44CE">
            <w:pPr>
              <w:rPr>
                <w:sz w:val="18"/>
                <w:szCs w:val="18"/>
              </w:rPr>
            </w:pPr>
            <w:r w:rsidRPr="00577BD7">
              <w:rPr>
                <w:sz w:val="18"/>
                <w:szCs w:val="18"/>
              </w:rPr>
              <w:t>yes</w:t>
            </w:r>
          </w:p>
          <w:p w14:paraId="3AE0F251" w14:textId="3010CAC2" w:rsidR="00DD01F7" w:rsidRPr="00577BD7" w:rsidRDefault="00DD01F7" w:rsidP="00AE44CE">
            <w:pPr>
              <w:rPr>
                <w:sz w:val="18"/>
                <w:szCs w:val="18"/>
              </w:rPr>
            </w:pPr>
            <w:r w:rsidRPr="00577BD7">
              <w:rPr>
                <w:sz w:val="18"/>
                <w:szCs w:val="18"/>
              </w:rPr>
              <w:t>Unpublished</w:t>
            </w:r>
          </w:p>
        </w:tc>
        <w:tc>
          <w:tcPr>
            <w:tcW w:w="360" w:type="pct"/>
            <w:shd w:val="clear" w:color="auto" w:fill="D9D9D9" w:themeFill="background1" w:themeFillShade="D9"/>
          </w:tcPr>
          <w:p w14:paraId="62BCD3B5" w14:textId="0F3F3D9C" w:rsidR="00DD01F7" w:rsidRPr="00577BD7" w:rsidRDefault="00DD01F7" w:rsidP="00AE44CE">
            <w:pPr>
              <w:pStyle w:val="RepTable"/>
              <w:jc w:val="center"/>
              <w:rPr>
                <w:sz w:val="18"/>
                <w:szCs w:val="18"/>
              </w:rPr>
            </w:pPr>
            <w:r w:rsidRPr="00577BD7">
              <w:rPr>
                <w:sz w:val="18"/>
                <w:szCs w:val="18"/>
              </w:rPr>
              <w:t>No</w:t>
            </w:r>
          </w:p>
        </w:tc>
        <w:tc>
          <w:tcPr>
            <w:tcW w:w="440" w:type="pct"/>
            <w:shd w:val="clear" w:color="auto" w:fill="D9D9D9" w:themeFill="background1" w:themeFillShade="D9"/>
          </w:tcPr>
          <w:p w14:paraId="0112AF22" w14:textId="082B47F1" w:rsidR="00DD01F7" w:rsidRPr="00577BD7" w:rsidRDefault="00DD01F7" w:rsidP="00AE44CE">
            <w:pPr>
              <w:pStyle w:val="RepTable"/>
              <w:jc w:val="center"/>
              <w:rPr>
                <w:sz w:val="18"/>
                <w:szCs w:val="18"/>
              </w:rPr>
            </w:pPr>
            <w:r w:rsidRPr="00577BD7">
              <w:rPr>
                <w:sz w:val="18"/>
                <w:szCs w:val="18"/>
              </w:rPr>
              <w:t>BASF</w:t>
            </w:r>
          </w:p>
        </w:tc>
      </w:tr>
      <w:tr w:rsidR="00DD01F7" w:rsidRPr="002B1114" w14:paraId="48B1DCD5" w14:textId="77777777" w:rsidTr="00577BD7">
        <w:tc>
          <w:tcPr>
            <w:tcW w:w="347" w:type="pct"/>
            <w:shd w:val="clear" w:color="auto" w:fill="D9D9D9" w:themeFill="background1" w:themeFillShade="D9"/>
          </w:tcPr>
          <w:p w14:paraId="45CD07D2" w14:textId="6A71B3FD" w:rsidR="00DD01F7" w:rsidRPr="00577BD7" w:rsidRDefault="00DD01F7" w:rsidP="00AE44CE">
            <w:pPr>
              <w:pStyle w:val="RepTable"/>
              <w:rPr>
                <w:sz w:val="18"/>
                <w:szCs w:val="18"/>
              </w:rPr>
            </w:pPr>
            <w:r w:rsidRPr="00577BD7">
              <w:rPr>
                <w:sz w:val="18"/>
                <w:szCs w:val="18"/>
              </w:rPr>
              <w:t>KCP 10.3.1.2/1</w:t>
            </w:r>
          </w:p>
        </w:tc>
        <w:tc>
          <w:tcPr>
            <w:tcW w:w="635" w:type="pct"/>
            <w:shd w:val="clear" w:color="auto" w:fill="D9D9D9" w:themeFill="background1" w:themeFillShade="D9"/>
          </w:tcPr>
          <w:p w14:paraId="65B1CF1D" w14:textId="2712DE3B" w:rsidR="00DD01F7" w:rsidRPr="00577BD7" w:rsidRDefault="00DD01F7" w:rsidP="00AE44CE">
            <w:pPr>
              <w:pStyle w:val="RepTable"/>
              <w:rPr>
                <w:sz w:val="18"/>
                <w:szCs w:val="18"/>
              </w:rPr>
            </w:pPr>
            <w:r w:rsidRPr="00577BD7">
              <w:rPr>
                <w:sz w:val="18"/>
                <w:szCs w:val="18"/>
              </w:rPr>
              <w:t>Dressler, K.</w:t>
            </w:r>
          </w:p>
        </w:tc>
        <w:tc>
          <w:tcPr>
            <w:tcW w:w="269" w:type="pct"/>
            <w:shd w:val="clear" w:color="auto" w:fill="D9D9D9" w:themeFill="background1" w:themeFillShade="D9"/>
          </w:tcPr>
          <w:p w14:paraId="716384D7" w14:textId="19E457CD" w:rsidR="00DD01F7" w:rsidRPr="00577BD7" w:rsidRDefault="00DD01F7" w:rsidP="00AE44CE">
            <w:pPr>
              <w:pStyle w:val="RepTable"/>
              <w:jc w:val="center"/>
              <w:rPr>
                <w:sz w:val="18"/>
                <w:szCs w:val="18"/>
              </w:rPr>
            </w:pPr>
            <w:r w:rsidRPr="00577BD7">
              <w:rPr>
                <w:sz w:val="18"/>
                <w:szCs w:val="18"/>
              </w:rPr>
              <w:t>2021</w:t>
            </w:r>
          </w:p>
        </w:tc>
        <w:tc>
          <w:tcPr>
            <w:tcW w:w="2949" w:type="pct"/>
            <w:shd w:val="clear" w:color="auto" w:fill="D9D9D9" w:themeFill="background1" w:themeFillShade="D9"/>
          </w:tcPr>
          <w:p w14:paraId="68090932" w14:textId="77777777" w:rsidR="00DD01F7" w:rsidRPr="00577BD7" w:rsidRDefault="00DD01F7" w:rsidP="00AE44CE">
            <w:pPr>
              <w:rPr>
                <w:sz w:val="18"/>
                <w:szCs w:val="18"/>
              </w:rPr>
            </w:pPr>
            <w:r w:rsidRPr="00577BD7">
              <w:rPr>
                <w:sz w:val="18"/>
                <w:szCs w:val="18"/>
              </w:rPr>
              <w:t>Chronic toxicity of BAS 700 F tested as BAS 700 04 F to the honey bee Apis mellifera L. under laboratory conditions</w:t>
            </w:r>
          </w:p>
          <w:p w14:paraId="3DB2A612" w14:textId="77777777" w:rsidR="00DD01F7" w:rsidRPr="00577BD7" w:rsidRDefault="00DD01F7" w:rsidP="00AE44CE">
            <w:pPr>
              <w:rPr>
                <w:sz w:val="18"/>
                <w:szCs w:val="18"/>
                <w:lang w:val="de-DE"/>
              </w:rPr>
            </w:pPr>
            <w:r w:rsidRPr="00577BD7">
              <w:rPr>
                <w:sz w:val="18"/>
                <w:szCs w:val="18"/>
                <w:lang w:val="de-DE"/>
              </w:rPr>
              <w:t>2020/2083866</w:t>
            </w:r>
          </w:p>
          <w:p w14:paraId="0999D164" w14:textId="77777777" w:rsidR="00DD01F7" w:rsidRPr="00577BD7" w:rsidRDefault="00DD01F7" w:rsidP="00AE44CE">
            <w:pPr>
              <w:rPr>
                <w:sz w:val="18"/>
                <w:szCs w:val="18"/>
                <w:lang w:val="de-DE"/>
              </w:rPr>
            </w:pPr>
            <w:r w:rsidRPr="00577BD7">
              <w:rPr>
                <w:sz w:val="18"/>
                <w:szCs w:val="18"/>
                <w:lang w:val="de-DE"/>
              </w:rPr>
              <w:t>BioChem agrar Labor fuer biologische und chemische Analytik GmbH, Machern OT Gerichshain, Germany Fed.Rep.</w:t>
            </w:r>
          </w:p>
          <w:p w14:paraId="6D029C6D" w14:textId="77777777" w:rsidR="00DD01F7" w:rsidRPr="00577BD7" w:rsidRDefault="00DD01F7" w:rsidP="00AE44CE">
            <w:pPr>
              <w:rPr>
                <w:sz w:val="18"/>
                <w:szCs w:val="18"/>
              </w:rPr>
            </w:pPr>
            <w:r w:rsidRPr="00577BD7">
              <w:rPr>
                <w:sz w:val="18"/>
                <w:szCs w:val="18"/>
              </w:rPr>
              <w:t>yes</w:t>
            </w:r>
          </w:p>
          <w:p w14:paraId="11EC2F3C" w14:textId="1837FD28" w:rsidR="00DD01F7" w:rsidRPr="00577BD7" w:rsidRDefault="00DD01F7" w:rsidP="00AE44CE">
            <w:pPr>
              <w:rPr>
                <w:sz w:val="18"/>
                <w:szCs w:val="18"/>
              </w:rPr>
            </w:pPr>
            <w:r w:rsidRPr="00577BD7">
              <w:rPr>
                <w:sz w:val="18"/>
                <w:szCs w:val="18"/>
              </w:rPr>
              <w:t>Unpublished</w:t>
            </w:r>
          </w:p>
        </w:tc>
        <w:tc>
          <w:tcPr>
            <w:tcW w:w="360" w:type="pct"/>
            <w:shd w:val="clear" w:color="auto" w:fill="D9D9D9" w:themeFill="background1" w:themeFillShade="D9"/>
          </w:tcPr>
          <w:p w14:paraId="2CDCBF7B" w14:textId="36F7AF3D" w:rsidR="00DD01F7" w:rsidRPr="00577BD7" w:rsidRDefault="00DD01F7" w:rsidP="00AE44CE">
            <w:pPr>
              <w:pStyle w:val="RepTable"/>
              <w:jc w:val="center"/>
              <w:rPr>
                <w:sz w:val="18"/>
                <w:szCs w:val="18"/>
              </w:rPr>
            </w:pPr>
            <w:r w:rsidRPr="00577BD7">
              <w:rPr>
                <w:sz w:val="18"/>
                <w:szCs w:val="18"/>
              </w:rPr>
              <w:t>No</w:t>
            </w:r>
          </w:p>
        </w:tc>
        <w:tc>
          <w:tcPr>
            <w:tcW w:w="440" w:type="pct"/>
            <w:shd w:val="clear" w:color="auto" w:fill="D9D9D9" w:themeFill="background1" w:themeFillShade="D9"/>
          </w:tcPr>
          <w:p w14:paraId="2BAA8B61" w14:textId="570A8A7B" w:rsidR="00DD01F7" w:rsidRPr="00577BD7" w:rsidRDefault="00DD01F7" w:rsidP="00AE44CE">
            <w:pPr>
              <w:pStyle w:val="RepTable"/>
              <w:jc w:val="center"/>
              <w:rPr>
                <w:sz w:val="18"/>
                <w:szCs w:val="18"/>
              </w:rPr>
            </w:pPr>
            <w:r w:rsidRPr="00577BD7">
              <w:rPr>
                <w:sz w:val="18"/>
                <w:szCs w:val="18"/>
              </w:rPr>
              <w:t>BASF</w:t>
            </w:r>
          </w:p>
        </w:tc>
      </w:tr>
      <w:tr w:rsidR="00DD01F7" w:rsidRPr="002B1114" w14:paraId="616AB5BA" w14:textId="77777777" w:rsidTr="00577BD7">
        <w:tc>
          <w:tcPr>
            <w:tcW w:w="347" w:type="pct"/>
            <w:shd w:val="clear" w:color="auto" w:fill="D9D9D9" w:themeFill="background1" w:themeFillShade="D9"/>
          </w:tcPr>
          <w:p w14:paraId="326F473B" w14:textId="27FFA49E" w:rsidR="00DD01F7" w:rsidRPr="00577BD7" w:rsidRDefault="00DD01F7" w:rsidP="00AE44CE">
            <w:pPr>
              <w:pStyle w:val="RepTable"/>
              <w:rPr>
                <w:sz w:val="18"/>
                <w:szCs w:val="18"/>
              </w:rPr>
            </w:pPr>
            <w:r w:rsidRPr="00577BD7">
              <w:rPr>
                <w:sz w:val="18"/>
                <w:szCs w:val="18"/>
              </w:rPr>
              <w:t>KCP 10.3.1.3/1</w:t>
            </w:r>
          </w:p>
        </w:tc>
        <w:tc>
          <w:tcPr>
            <w:tcW w:w="635" w:type="pct"/>
            <w:shd w:val="clear" w:color="auto" w:fill="D9D9D9" w:themeFill="background1" w:themeFillShade="D9"/>
          </w:tcPr>
          <w:p w14:paraId="720C7454" w14:textId="155B1672" w:rsidR="00DD01F7" w:rsidRPr="00577BD7" w:rsidRDefault="00DD01F7" w:rsidP="00AE44CE">
            <w:pPr>
              <w:pStyle w:val="RepTable"/>
              <w:rPr>
                <w:sz w:val="18"/>
                <w:szCs w:val="18"/>
              </w:rPr>
            </w:pPr>
            <w:r w:rsidRPr="00577BD7">
              <w:rPr>
                <w:sz w:val="18"/>
                <w:szCs w:val="18"/>
              </w:rPr>
              <w:t>Kleebaum, K.</w:t>
            </w:r>
          </w:p>
        </w:tc>
        <w:tc>
          <w:tcPr>
            <w:tcW w:w="269" w:type="pct"/>
            <w:shd w:val="clear" w:color="auto" w:fill="D9D9D9" w:themeFill="background1" w:themeFillShade="D9"/>
          </w:tcPr>
          <w:p w14:paraId="62D7A8CF" w14:textId="6278CD1B" w:rsidR="00DD01F7" w:rsidRPr="00577BD7" w:rsidRDefault="00DD01F7" w:rsidP="00AE44CE">
            <w:pPr>
              <w:pStyle w:val="RepTable"/>
              <w:jc w:val="center"/>
              <w:rPr>
                <w:sz w:val="18"/>
                <w:szCs w:val="18"/>
              </w:rPr>
            </w:pPr>
            <w:r w:rsidRPr="00577BD7">
              <w:rPr>
                <w:sz w:val="18"/>
                <w:szCs w:val="18"/>
              </w:rPr>
              <w:t>2018</w:t>
            </w:r>
          </w:p>
        </w:tc>
        <w:tc>
          <w:tcPr>
            <w:tcW w:w="2949" w:type="pct"/>
            <w:shd w:val="clear" w:color="auto" w:fill="D9D9D9" w:themeFill="background1" w:themeFillShade="D9"/>
          </w:tcPr>
          <w:p w14:paraId="4F617FC4" w14:textId="77777777" w:rsidR="00DD01F7" w:rsidRPr="00577BD7" w:rsidRDefault="00DD01F7" w:rsidP="00AE44CE">
            <w:pPr>
              <w:rPr>
                <w:sz w:val="18"/>
                <w:szCs w:val="18"/>
              </w:rPr>
            </w:pPr>
            <w:r w:rsidRPr="00577BD7">
              <w:rPr>
                <w:sz w:val="18"/>
                <w:szCs w:val="18"/>
              </w:rPr>
              <w:t>Repeated exposure of honey bee (Apis mellifera) larvae to BAS 700 F (Fluxapyroxad) under laboratory conditions (in vitro)</w:t>
            </w:r>
          </w:p>
          <w:p w14:paraId="6A6F5ED0" w14:textId="77777777" w:rsidR="00DD01F7" w:rsidRPr="00577BD7" w:rsidRDefault="00DD01F7" w:rsidP="00AE44CE">
            <w:pPr>
              <w:rPr>
                <w:sz w:val="18"/>
                <w:szCs w:val="18"/>
              </w:rPr>
            </w:pPr>
            <w:r w:rsidRPr="00577BD7">
              <w:rPr>
                <w:sz w:val="18"/>
                <w:szCs w:val="18"/>
              </w:rPr>
              <w:t>2017/1036679</w:t>
            </w:r>
          </w:p>
          <w:p w14:paraId="4D953EE2" w14:textId="77777777" w:rsidR="00DD01F7" w:rsidRPr="00577BD7" w:rsidRDefault="00DD01F7" w:rsidP="00AE44CE">
            <w:pPr>
              <w:rPr>
                <w:sz w:val="18"/>
                <w:szCs w:val="18"/>
              </w:rPr>
            </w:pPr>
            <w:r w:rsidRPr="00577BD7">
              <w:rPr>
                <w:sz w:val="18"/>
                <w:szCs w:val="18"/>
              </w:rPr>
              <w:t>BioChem agrar GmbH, Gerichshain, Germany Fed.Rep.</w:t>
            </w:r>
          </w:p>
          <w:p w14:paraId="719A3E76" w14:textId="77777777" w:rsidR="00DD01F7" w:rsidRPr="00577BD7" w:rsidRDefault="00DD01F7" w:rsidP="00AE44CE">
            <w:pPr>
              <w:rPr>
                <w:sz w:val="18"/>
                <w:szCs w:val="18"/>
              </w:rPr>
            </w:pPr>
            <w:r w:rsidRPr="00577BD7">
              <w:rPr>
                <w:sz w:val="18"/>
                <w:szCs w:val="18"/>
              </w:rPr>
              <w:t>yes</w:t>
            </w:r>
          </w:p>
          <w:p w14:paraId="0673F56E" w14:textId="455B3751" w:rsidR="00DD01F7" w:rsidRPr="00577BD7" w:rsidRDefault="00DD01F7" w:rsidP="00AE44CE">
            <w:pPr>
              <w:rPr>
                <w:sz w:val="18"/>
                <w:szCs w:val="18"/>
              </w:rPr>
            </w:pPr>
            <w:r w:rsidRPr="00577BD7">
              <w:rPr>
                <w:sz w:val="18"/>
                <w:szCs w:val="18"/>
              </w:rPr>
              <w:t>Unpublished</w:t>
            </w:r>
          </w:p>
        </w:tc>
        <w:tc>
          <w:tcPr>
            <w:tcW w:w="360" w:type="pct"/>
            <w:shd w:val="clear" w:color="auto" w:fill="D9D9D9" w:themeFill="background1" w:themeFillShade="D9"/>
          </w:tcPr>
          <w:p w14:paraId="299B237A" w14:textId="57660168" w:rsidR="00DD01F7" w:rsidRPr="00577BD7" w:rsidRDefault="00DD01F7" w:rsidP="00AE44CE">
            <w:pPr>
              <w:pStyle w:val="RepTable"/>
              <w:jc w:val="center"/>
              <w:rPr>
                <w:sz w:val="18"/>
                <w:szCs w:val="18"/>
              </w:rPr>
            </w:pPr>
            <w:r w:rsidRPr="00577BD7">
              <w:rPr>
                <w:sz w:val="18"/>
                <w:szCs w:val="18"/>
              </w:rPr>
              <w:t>No</w:t>
            </w:r>
          </w:p>
        </w:tc>
        <w:tc>
          <w:tcPr>
            <w:tcW w:w="440" w:type="pct"/>
            <w:shd w:val="clear" w:color="auto" w:fill="D9D9D9" w:themeFill="background1" w:themeFillShade="D9"/>
          </w:tcPr>
          <w:p w14:paraId="3FACC0BC" w14:textId="7F50CA98" w:rsidR="00DD01F7" w:rsidRPr="00577BD7" w:rsidRDefault="00DD01F7" w:rsidP="00AE44CE">
            <w:pPr>
              <w:pStyle w:val="RepTable"/>
              <w:jc w:val="center"/>
              <w:rPr>
                <w:sz w:val="18"/>
                <w:szCs w:val="18"/>
              </w:rPr>
            </w:pPr>
            <w:r w:rsidRPr="00577BD7">
              <w:rPr>
                <w:sz w:val="18"/>
                <w:szCs w:val="18"/>
              </w:rPr>
              <w:t>BASF</w:t>
            </w:r>
          </w:p>
        </w:tc>
      </w:tr>
      <w:tr w:rsidR="00DD01F7" w:rsidRPr="002B1114" w14:paraId="578C6E9F" w14:textId="77777777" w:rsidTr="00577BD7">
        <w:tc>
          <w:tcPr>
            <w:tcW w:w="347" w:type="pct"/>
            <w:shd w:val="clear" w:color="auto" w:fill="D9D9D9" w:themeFill="background1" w:themeFillShade="D9"/>
          </w:tcPr>
          <w:p w14:paraId="4FC62603" w14:textId="7523FE38" w:rsidR="00DD01F7" w:rsidRPr="00577BD7" w:rsidRDefault="00DD01F7" w:rsidP="00AE44CE">
            <w:pPr>
              <w:pStyle w:val="RepTable"/>
              <w:rPr>
                <w:sz w:val="18"/>
                <w:szCs w:val="18"/>
              </w:rPr>
            </w:pPr>
            <w:r w:rsidRPr="00577BD7">
              <w:rPr>
                <w:sz w:val="18"/>
                <w:szCs w:val="18"/>
              </w:rPr>
              <w:t xml:space="preserve">KCP </w:t>
            </w:r>
            <w:r w:rsidRPr="00577BD7">
              <w:rPr>
                <w:sz w:val="18"/>
                <w:szCs w:val="18"/>
              </w:rPr>
              <w:lastRenderedPageBreak/>
              <w:t>10.4.1.1/1</w:t>
            </w:r>
          </w:p>
        </w:tc>
        <w:tc>
          <w:tcPr>
            <w:tcW w:w="635" w:type="pct"/>
            <w:shd w:val="clear" w:color="auto" w:fill="D9D9D9" w:themeFill="background1" w:themeFillShade="D9"/>
          </w:tcPr>
          <w:p w14:paraId="7FAD1BD3" w14:textId="00DCA681" w:rsidR="00DD01F7" w:rsidRPr="00577BD7" w:rsidRDefault="00DD01F7" w:rsidP="00AE44CE">
            <w:pPr>
              <w:pStyle w:val="RepTable"/>
              <w:rPr>
                <w:sz w:val="18"/>
                <w:szCs w:val="18"/>
              </w:rPr>
            </w:pPr>
            <w:r w:rsidRPr="00577BD7">
              <w:rPr>
                <w:sz w:val="18"/>
                <w:szCs w:val="18"/>
              </w:rPr>
              <w:lastRenderedPageBreak/>
              <w:t>Witte, B.</w:t>
            </w:r>
          </w:p>
        </w:tc>
        <w:tc>
          <w:tcPr>
            <w:tcW w:w="269" w:type="pct"/>
            <w:shd w:val="clear" w:color="auto" w:fill="D9D9D9" w:themeFill="background1" w:themeFillShade="D9"/>
          </w:tcPr>
          <w:p w14:paraId="2F116C95" w14:textId="2BEC6121" w:rsidR="00DD01F7" w:rsidRPr="00577BD7" w:rsidRDefault="00DD01F7" w:rsidP="00AE44CE">
            <w:pPr>
              <w:pStyle w:val="RepTable"/>
              <w:jc w:val="center"/>
              <w:rPr>
                <w:sz w:val="18"/>
                <w:szCs w:val="18"/>
              </w:rPr>
            </w:pPr>
            <w:r w:rsidRPr="00577BD7">
              <w:rPr>
                <w:sz w:val="18"/>
                <w:szCs w:val="18"/>
              </w:rPr>
              <w:t>2014</w:t>
            </w:r>
          </w:p>
        </w:tc>
        <w:tc>
          <w:tcPr>
            <w:tcW w:w="2949" w:type="pct"/>
            <w:shd w:val="clear" w:color="auto" w:fill="D9D9D9" w:themeFill="background1" w:themeFillShade="D9"/>
          </w:tcPr>
          <w:p w14:paraId="265706A8" w14:textId="77777777" w:rsidR="00DD01F7" w:rsidRPr="00577BD7" w:rsidRDefault="00DD01F7" w:rsidP="00AE44CE">
            <w:pPr>
              <w:rPr>
                <w:sz w:val="18"/>
                <w:szCs w:val="18"/>
              </w:rPr>
            </w:pPr>
            <w:r w:rsidRPr="00577BD7">
              <w:rPr>
                <w:sz w:val="18"/>
                <w:szCs w:val="18"/>
              </w:rPr>
              <w:t>Effects of BAS 700 F (Fluxapyroxad) on reproduction  and growth of earthworms Eisenia fetida in artificial soil</w:t>
            </w:r>
          </w:p>
          <w:p w14:paraId="73A72DF0" w14:textId="77777777" w:rsidR="00DD01F7" w:rsidRPr="00577BD7" w:rsidRDefault="00DD01F7" w:rsidP="00AE44CE">
            <w:pPr>
              <w:rPr>
                <w:sz w:val="18"/>
                <w:szCs w:val="18"/>
              </w:rPr>
            </w:pPr>
            <w:r w:rsidRPr="00577BD7">
              <w:rPr>
                <w:sz w:val="18"/>
                <w:szCs w:val="18"/>
              </w:rPr>
              <w:lastRenderedPageBreak/>
              <w:t>2014/1135449</w:t>
            </w:r>
          </w:p>
          <w:p w14:paraId="6F9A3CA5" w14:textId="77777777" w:rsidR="00DD01F7" w:rsidRPr="00577BD7" w:rsidRDefault="00DD01F7" w:rsidP="00AE44CE">
            <w:pPr>
              <w:rPr>
                <w:sz w:val="18"/>
                <w:szCs w:val="18"/>
              </w:rPr>
            </w:pPr>
            <w:r w:rsidRPr="00577BD7">
              <w:rPr>
                <w:sz w:val="18"/>
                <w:szCs w:val="18"/>
              </w:rPr>
              <w:t>Institut fuer Biologische Analytik und Consulting IBACON GmbH, Rossdorf, Germany Fed.Rep.</w:t>
            </w:r>
          </w:p>
          <w:p w14:paraId="0B15701E" w14:textId="77777777" w:rsidR="00DD01F7" w:rsidRPr="00577BD7" w:rsidRDefault="00DD01F7" w:rsidP="00AE44CE">
            <w:pPr>
              <w:rPr>
                <w:sz w:val="18"/>
                <w:szCs w:val="18"/>
              </w:rPr>
            </w:pPr>
            <w:r w:rsidRPr="00577BD7">
              <w:rPr>
                <w:sz w:val="18"/>
                <w:szCs w:val="18"/>
              </w:rPr>
              <w:t>yes</w:t>
            </w:r>
          </w:p>
          <w:p w14:paraId="4A7F5E94" w14:textId="507AF136" w:rsidR="00DD01F7" w:rsidRPr="00577BD7" w:rsidRDefault="00DD01F7" w:rsidP="00AE44CE">
            <w:pPr>
              <w:rPr>
                <w:sz w:val="18"/>
                <w:szCs w:val="18"/>
              </w:rPr>
            </w:pPr>
            <w:r w:rsidRPr="00577BD7">
              <w:rPr>
                <w:sz w:val="18"/>
                <w:szCs w:val="18"/>
              </w:rPr>
              <w:t>Unpublished</w:t>
            </w:r>
          </w:p>
        </w:tc>
        <w:tc>
          <w:tcPr>
            <w:tcW w:w="360" w:type="pct"/>
            <w:shd w:val="clear" w:color="auto" w:fill="D9D9D9" w:themeFill="background1" w:themeFillShade="D9"/>
          </w:tcPr>
          <w:p w14:paraId="135C346D" w14:textId="178474F1" w:rsidR="00DD01F7" w:rsidRPr="00577BD7" w:rsidRDefault="00DD01F7" w:rsidP="00AE44CE">
            <w:pPr>
              <w:pStyle w:val="RepTable"/>
              <w:jc w:val="center"/>
              <w:rPr>
                <w:sz w:val="18"/>
                <w:szCs w:val="18"/>
              </w:rPr>
            </w:pPr>
            <w:r w:rsidRPr="00577BD7">
              <w:rPr>
                <w:sz w:val="18"/>
                <w:szCs w:val="18"/>
              </w:rPr>
              <w:lastRenderedPageBreak/>
              <w:t>No</w:t>
            </w:r>
          </w:p>
        </w:tc>
        <w:tc>
          <w:tcPr>
            <w:tcW w:w="440" w:type="pct"/>
            <w:shd w:val="clear" w:color="auto" w:fill="D9D9D9" w:themeFill="background1" w:themeFillShade="D9"/>
          </w:tcPr>
          <w:p w14:paraId="5353F936" w14:textId="4F871099" w:rsidR="00DD01F7" w:rsidRPr="00577BD7" w:rsidRDefault="00DD01F7" w:rsidP="00AE44CE">
            <w:pPr>
              <w:pStyle w:val="RepTable"/>
              <w:jc w:val="center"/>
              <w:rPr>
                <w:sz w:val="18"/>
                <w:szCs w:val="18"/>
              </w:rPr>
            </w:pPr>
            <w:r w:rsidRPr="00577BD7">
              <w:rPr>
                <w:sz w:val="18"/>
                <w:szCs w:val="18"/>
              </w:rPr>
              <w:t>BASF</w:t>
            </w:r>
          </w:p>
        </w:tc>
      </w:tr>
      <w:tr w:rsidR="00DD01F7" w:rsidRPr="002B1114" w14:paraId="567404F5" w14:textId="77777777" w:rsidTr="00577BD7">
        <w:tc>
          <w:tcPr>
            <w:tcW w:w="347" w:type="pct"/>
            <w:shd w:val="clear" w:color="auto" w:fill="D9D9D9" w:themeFill="background1" w:themeFillShade="D9"/>
          </w:tcPr>
          <w:p w14:paraId="4B1BA3AF" w14:textId="3BEF1747" w:rsidR="00DD01F7" w:rsidRPr="00577BD7" w:rsidRDefault="00DD01F7" w:rsidP="00AE44CE">
            <w:pPr>
              <w:pStyle w:val="RepTable"/>
              <w:rPr>
                <w:sz w:val="18"/>
                <w:szCs w:val="18"/>
              </w:rPr>
            </w:pPr>
            <w:r w:rsidRPr="00577BD7">
              <w:rPr>
                <w:sz w:val="18"/>
                <w:szCs w:val="18"/>
              </w:rPr>
              <w:t>KCP 10.4.2.1/1</w:t>
            </w:r>
          </w:p>
        </w:tc>
        <w:tc>
          <w:tcPr>
            <w:tcW w:w="635" w:type="pct"/>
            <w:shd w:val="clear" w:color="auto" w:fill="D9D9D9" w:themeFill="background1" w:themeFillShade="D9"/>
          </w:tcPr>
          <w:p w14:paraId="7E635DE4" w14:textId="5E5CC453" w:rsidR="00DD01F7" w:rsidRPr="00577BD7" w:rsidRDefault="00DD01F7" w:rsidP="00AE44CE">
            <w:pPr>
              <w:pStyle w:val="RepTable"/>
              <w:rPr>
                <w:sz w:val="18"/>
                <w:szCs w:val="18"/>
              </w:rPr>
            </w:pPr>
            <w:r w:rsidRPr="00577BD7">
              <w:rPr>
                <w:sz w:val="18"/>
                <w:szCs w:val="18"/>
              </w:rPr>
              <w:t>Friedrich, S.</w:t>
            </w:r>
          </w:p>
        </w:tc>
        <w:tc>
          <w:tcPr>
            <w:tcW w:w="269" w:type="pct"/>
            <w:shd w:val="clear" w:color="auto" w:fill="D9D9D9" w:themeFill="background1" w:themeFillShade="D9"/>
          </w:tcPr>
          <w:p w14:paraId="4515F48E" w14:textId="27E49393" w:rsidR="00DD01F7" w:rsidRPr="00577BD7" w:rsidRDefault="00DD01F7" w:rsidP="00AE44CE">
            <w:pPr>
              <w:pStyle w:val="RepTable"/>
              <w:jc w:val="center"/>
              <w:rPr>
                <w:sz w:val="18"/>
                <w:szCs w:val="18"/>
              </w:rPr>
            </w:pPr>
            <w:r w:rsidRPr="00577BD7">
              <w:rPr>
                <w:sz w:val="18"/>
                <w:szCs w:val="18"/>
              </w:rPr>
              <w:t>2014</w:t>
            </w:r>
          </w:p>
        </w:tc>
        <w:tc>
          <w:tcPr>
            <w:tcW w:w="2949" w:type="pct"/>
            <w:shd w:val="clear" w:color="auto" w:fill="D9D9D9" w:themeFill="background1" w:themeFillShade="D9"/>
          </w:tcPr>
          <w:p w14:paraId="06FE25B4" w14:textId="77777777" w:rsidR="00DD01F7" w:rsidRPr="00577BD7" w:rsidRDefault="00DD01F7" w:rsidP="00AE44CE">
            <w:pPr>
              <w:rPr>
                <w:sz w:val="18"/>
                <w:szCs w:val="18"/>
              </w:rPr>
            </w:pPr>
            <w:r w:rsidRPr="00577BD7">
              <w:rPr>
                <w:sz w:val="18"/>
                <w:szCs w:val="18"/>
              </w:rPr>
              <w:t>Effects of BAS 700 F (Fluxapyroxad) on the reproduction of the collembolan Folsomia candida</w:t>
            </w:r>
          </w:p>
          <w:p w14:paraId="5EF91FD0" w14:textId="77777777" w:rsidR="00DD01F7" w:rsidRPr="00577BD7" w:rsidRDefault="00DD01F7" w:rsidP="00AE44CE">
            <w:pPr>
              <w:rPr>
                <w:sz w:val="18"/>
                <w:szCs w:val="18"/>
                <w:lang w:val="de-DE"/>
              </w:rPr>
            </w:pPr>
            <w:r w:rsidRPr="00577BD7">
              <w:rPr>
                <w:sz w:val="18"/>
                <w:szCs w:val="18"/>
                <w:lang w:val="de-DE"/>
              </w:rPr>
              <w:t>2014/1135433</w:t>
            </w:r>
          </w:p>
          <w:p w14:paraId="16465BF6" w14:textId="77777777" w:rsidR="00DD01F7" w:rsidRPr="00577BD7" w:rsidRDefault="00DD01F7" w:rsidP="00AE44CE">
            <w:pPr>
              <w:rPr>
                <w:sz w:val="18"/>
                <w:szCs w:val="18"/>
                <w:lang w:val="de-DE"/>
              </w:rPr>
            </w:pPr>
            <w:r w:rsidRPr="00577BD7">
              <w:rPr>
                <w:sz w:val="18"/>
                <w:szCs w:val="18"/>
                <w:lang w:val="de-DE"/>
              </w:rPr>
              <w:t>BioChem agrar Labor fuer biologische und chemische Analytik GmbH, Gerichshain, Germany Fed.Rep.</w:t>
            </w:r>
          </w:p>
          <w:p w14:paraId="2442A756" w14:textId="77777777" w:rsidR="00DD01F7" w:rsidRPr="00577BD7" w:rsidRDefault="00DD01F7" w:rsidP="00AE44CE">
            <w:pPr>
              <w:rPr>
                <w:sz w:val="18"/>
                <w:szCs w:val="18"/>
              </w:rPr>
            </w:pPr>
            <w:r w:rsidRPr="00577BD7">
              <w:rPr>
                <w:sz w:val="18"/>
                <w:szCs w:val="18"/>
              </w:rPr>
              <w:t>yes</w:t>
            </w:r>
          </w:p>
          <w:p w14:paraId="7653C7D2" w14:textId="2C1A6636" w:rsidR="00DD01F7" w:rsidRPr="00577BD7" w:rsidRDefault="00DD01F7" w:rsidP="00AE44CE">
            <w:pPr>
              <w:rPr>
                <w:sz w:val="18"/>
                <w:szCs w:val="18"/>
              </w:rPr>
            </w:pPr>
            <w:r w:rsidRPr="00577BD7">
              <w:rPr>
                <w:sz w:val="18"/>
                <w:szCs w:val="18"/>
              </w:rPr>
              <w:t>Unpublished</w:t>
            </w:r>
          </w:p>
        </w:tc>
        <w:tc>
          <w:tcPr>
            <w:tcW w:w="360" w:type="pct"/>
            <w:shd w:val="clear" w:color="auto" w:fill="D9D9D9" w:themeFill="background1" w:themeFillShade="D9"/>
          </w:tcPr>
          <w:p w14:paraId="0725B423" w14:textId="0BCFE28A" w:rsidR="00DD01F7" w:rsidRPr="00577BD7" w:rsidRDefault="00DD01F7" w:rsidP="00AE44CE">
            <w:pPr>
              <w:pStyle w:val="RepTable"/>
              <w:jc w:val="center"/>
              <w:rPr>
                <w:sz w:val="18"/>
                <w:szCs w:val="18"/>
              </w:rPr>
            </w:pPr>
            <w:r w:rsidRPr="00577BD7">
              <w:rPr>
                <w:sz w:val="18"/>
                <w:szCs w:val="18"/>
              </w:rPr>
              <w:t>No</w:t>
            </w:r>
          </w:p>
        </w:tc>
        <w:tc>
          <w:tcPr>
            <w:tcW w:w="440" w:type="pct"/>
            <w:shd w:val="clear" w:color="auto" w:fill="D9D9D9" w:themeFill="background1" w:themeFillShade="D9"/>
          </w:tcPr>
          <w:p w14:paraId="4C7C451B" w14:textId="41326F19" w:rsidR="00DD01F7" w:rsidRPr="00577BD7" w:rsidRDefault="00DD01F7" w:rsidP="00AE44CE">
            <w:pPr>
              <w:pStyle w:val="RepTable"/>
              <w:jc w:val="center"/>
              <w:rPr>
                <w:sz w:val="18"/>
                <w:szCs w:val="18"/>
              </w:rPr>
            </w:pPr>
            <w:r w:rsidRPr="00577BD7">
              <w:rPr>
                <w:sz w:val="18"/>
                <w:szCs w:val="18"/>
              </w:rPr>
              <w:t>BASF</w:t>
            </w:r>
          </w:p>
        </w:tc>
      </w:tr>
      <w:tr w:rsidR="00DD01F7" w:rsidRPr="002B1114" w14:paraId="66298644" w14:textId="77777777" w:rsidTr="00577BD7">
        <w:tc>
          <w:tcPr>
            <w:tcW w:w="347" w:type="pct"/>
            <w:shd w:val="clear" w:color="auto" w:fill="D9D9D9" w:themeFill="background1" w:themeFillShade="D9"/>
          </w:tcPr>
          <w:p w14:paraId="19FFA70C" w14:textId="6210CC52" w:rsidR="00DD01F7" w:rsidRPr="00577BD7" w:rsidRDefault="00DD01F7" w:rsidP="00AE44CE">
            <w:pPr>
              <w:pStyle w:val="RepTable"/>
              <w:rPr>
                <w:sz w:val="18"/>
                <w:szCs w:val="18"/>
              </w:rPr>
            </w:pPr>
            <w:r w:rsidRPr="00577BD7">
              <w:rPr>
                <w:sz w:val="18"/>
                <w:szCs w:val="18"/>
              </w:rPr>
              <w:t>KCP 10.4.2.1/2</w:t>
            </w:r>
          </w:p>
        </w:tc>
        <w:tc>
          <w:tcPr>
            <w:tcW w:w="635" w:type="pct"/>
            <w:shd w:val="clear" w:color="auto" w:fill="D9D9D9" w:themeFill="background1" w:themeFillShade="D9"/>
          </w:tcPr>
          <w:p w14:paraId="7FB8394B" w14:textId="397B5C07" w:rsidR="00DD01F7" w:rsidRPr="00577BD7" w:rsidRDefault="00DD01F7" w:rsidP="00AE44CE">
            <w:pPr>
              <w:pStyle w:val="RepTable"/>
              <w:rPr>
                <w:sz w:val="18"/>
                <w:szCs w:val="18"/>
              </w:rPr>
            </w:pPr>
            <w:r w:rsidRPr="00577BD7">
              <w:rPr>
                <w:sz w:val="18"/>
                <w:szCs w:val="18"/>
              </w:rPr>
              <w:t>Schulz, L.</w:t>
            </w:r>
          </w:p>
        </w:tc>
        <w:tc>
          <w:tcPr>
            <w:tcW w:w="269" w:type="pct"/>
            <w:shd w:val="clear" w:color="auto" w:fill="D9D9D9" w:themeFill="background1" w:themeFillShade="D9"/>
          </w:tcPr>
          <w:p w14:paraId="597AEC74" w14:textId="4C864425" w:rsidR="00DD01F7" w:rsidRPr="00577BD7" w:rsidRDefault="00DD01F7" w:rsidP="00AE44CE">
            <w:pPr>
              <w:pStyle w:val="RepTable"/>
              <w:jc w:val="center"/>
              <w:rPr>
                <w:sz w:val="18"/>
                <w:szCs w:val="18"/>
              </w:rPr>
            </w:pPr>
            <w:r w:rsidRPr="00577BD7">
              <w:rPr>
                <w:sz w:val="18"/>
                <w:szCs w:val="18"/>
              </w:rPr>
              <w:t>2016</w:t>
            </w:r>
          </w:p>
        </w:tc>
        <w:tc>
          <w:tcPr>
            <w:tcW w:w="2949" w:type="pct"/>
            <w:shd w:val="clear" w:color="auto" w:fill="D9D9D9" w:themeFill="background1" w:themeFillShade="D9"/>
          </w:tcPr>
          <w:p w14:paraId="55F123D8" w14:textId="77777777" w:rsidR="00DD01F7" w:rsidRPr="00577BD7" w:rsidRDefault="00DD01F7" w:rsidP="00AE44CE">
            <w:pPr>
              <w:rPr>
                <w:sz w:val="18"/>
                <w:szCs w:val="18"/>
              </w:rPr>
            </w:pPr>
            <w:r w:rsidRPr="00577BD7">
              <w:rPr>
                <w:sz w:val="18"/>
                <w:szCs w:val="18"/>
              </w:rPr>
              <w:t>Effects of BAS 700 F (Fluxapyroxad) on the reproduction of the predatory mite Hypoaspis aculeifer</w:t>
            </w:r>
          </w:p>
          <w:p w14:paraId="1EF8FE98" w14:textId="77777777" w:rsidR="00DD01F7" w:rsidRPr="00577BD7" w:rsidRDefault="00DD01F7" w:rsidP="00AE44CE">
            <w:pPr>
              <w:rPr>
                <w:sz w:val="18"/>
                <w:szCs w:val="18"/>
                <w:lang w:val="de-DE"/>
              </w:rPr>
            </w:pPr>
            <w:r w:rsidRPr="00577BD7">
              <w:rPr>
                <w:sz w:val="18"/>
                <w:szCs w:val="18"/>
                <w:lang w:val="de-DE"/>
              </w:rPr>
              <w:t>2016/1122885</w:t>
            </w:r>
          </w:p>
          <w:p w14:paraId="514BE0FD" w14:textId="77777777" w:rsidR="00DD01F7" w:rsidRPr="00577BD7" w:rsidRDefault="00DD01F7" w:rsidP="00AE44CE">
            <w:pPr>
              <w:rPr>
                <w:sz w:val="18"/>
                <w:szCs w:val="18"/>
                <w:lang w:val="de-DE"/>
              </w:rPr>
            </w:pPr>
            <w:r w:rsidRPr="00577BD7">
              <w:rPr>
                <w:sz w:val="18"/>
                <w:szCs w:val="18"/>
                <w:lang w:val="de-DE"/>
              </w:rPr>
              <w:t>BioChem agrar Labor fuer biologische und chemische Analytik GmbH, Gerichshain, Germany Fed.Rep.</w:t>
            </w:r>
          </w:p>
          <w:p w14:paraId="67032698" w14:textId="77777777" w:rsidR="00DD01F7" w:rsidRPr="00577BD7" w:rsidRDefault="00DD01F7" w:rsidP="00AE44CE">
            <w:pPr>
              <w:rPr>
                <w:sz w:val="18"/>
                <w:szCs w:val="18"/>
              </w:rPr>
            </w:pPr>
            <w:r w:rsidRPr="00577BD7">
              <w:rPr>
                <w:sz w:val="18"/>
                <w:szCs w:val="18"/>
              </w:rPr>
              <w:t>yes</w:t>
            </w:r>
          </w:p>
          <w:p w14:paraId="5BCE01DE" w14:textId="7EEC8981" w:rsidR="00DD01F7" w:rsidRPr="00577BD7" w:rsidRDefault="00DD01F7" w:rsidP="00AE44CE">
            <w:pPr>
              <w:rPr>
                <w:sz w:val="18"/>
                <w:szCs w:val="18"/>
              </w:rPr>
            </w:pPr>
            <w:r w:rsidRPr="00577BD7">
              <w:rPr>
                <w:sz w:val="18"/>
                <w:szCs w:val="18"/>
              </w:rPr>
              <w:t>Unpublished</w:t>
            </w:r>
          </w:p>
        </w:tc>
        <w:tc>
          <w:tcPr>
            <w:tcW w:w="360" w:type="pct"/>
            <w:shd w:val="clear" w:color="auto" w:fill="D9D9D9" w:themeFill="background1" w:themeFillShade="D9"/>
          </w:tcPr>
          <w:p w14:paraId="092A98CA" w14:textId="53641678" w:rsidR="00DD01F7" w:rsidRPr="00577BD7" w:rsidRDefault="00DD01F7" w:rsidP="00AE44CE">
            <w:pPr>
              <w:pStyle w:val="RepTable"/>
              <w:jc w:val="center"/>
              <w:rPr>
                <w:sz w:val="18"/>
                <w:szCs w:val="18"/>
              </w:rPr>
            </w:pPr>
            <w:r w:rsidRPr="00577BD7">
              <w:rPr>
                <w:sz w:val="18"/>
                <w:szCs w:val="18"/>
              </w:rPr>
              <w:t>No</w:t>
            </w:r>
          </w:p>
        </w:tc>
        <w:tc>
          <w:tcPr>
            <w:tcW w:w="440" w:type="pct"/>
            <w:shd w:val="clear" w:color="auto" w:fill="D9D9D9" w:themeFill="background1" w:themeFillShade="D9"/>
          </w:tcPr>
          <w:p w14:paraId="42342984" w14:textId="41BED621" w:rsidR="00DD01F7" w:rsidRPr="00577BD7" w:rsidRDefault="00DD01F7" w:rsidP="00AE44CE">
            <w:pPr>
              <w:pStyle w:val="RepTable"/>
              <w:jc w:val="center"/>
              <w:rPr>
                <w:sz w:val="18"/>
                <w:szCs w:val="18"/>
              </w:rPr>
            </w:pPr>
            <w:r w:rsidRPr="00577BD7">
              <w:rPr>
                <w:sz w:val="18"/>
                <w:szCs w:val="18"/>
              </w:rPr>
              <w:t>BASF</w:t>
            </w:r>
          </w:p>
        </w:tc>
      </w:tr>
    </w:tbl>
    <w:p w14:paraId="68504846" w14:textId="77777777" w:rsidR="00E51CDD" w:rsidRPr="002B1114" w:rsidRDefault="00E51CDD" w:rsidP="00E51CDD">
      <w:pPr>
        <w:pStyle w:val="RepStandard"/>
      </w:pPr>
    </w:p>
    <w:p w14:paraId="6AF18C61" w14:textId="77777777" w:rsidR="00E51CDD" w:rsidRPr="002B1114" w:rsidRDefault="00E51CDD" w:rsidP="00E51CDD">
      <w:pPr>
        <w:pStyle w:val="RepNewPart"/>
      </w:pPr>
      <w:r w:rsidRPr="002B1114">
        <w:t xml:space="preserve">List of data relied on not submitted by the applicant but necessary for evaluation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11"/>
        <w:gridCol w:w="1850"/>
        <w:gridCol w:w="784"/>
        <w:gridCol w:w="8584"/>
        <w:gridCol w:w="1047"/>
        <w:gridCol w:w="1280"/>
      </w:tblGrid>
      <w:tr w:rsidR="00E51CDD" w:rsidRPr="002B1114" w14:paraId="332D2DCC" w14:textId="77777777" w:rsidTr="00AE44CE">
        <w:trPr>
          <w:tblHeader/>
        </w:trPr>
        <w:tc>
          <w:tcPr>
            <w:tcW w:w="348" w:type="pct"/>
            <w:shd w:val="clear" w:color="auto" w:fill="auto"/>
            <w:vAlign w:val="center"/>
          </w:tcPr>
          <w:p w14:paraId="4FA3551B" w14:textId="77777777" w:rsidR="00E51CDD" w:rsidRPr="002B1114" w:rsidRDefault="00E51CDD" w:rsidP="00AE44CE">
            <w:pPr>
              <w:pStyle w:val="RepTableHeader"/>
              <w:jc w:val="center"/>
              <w:rPr>
                <w:lang w:val="en-GB"/>
              </w:rPr>
            </w:pPr>
            <w:r w:rsidRPr="002B1114">
              <w:rPr>
                <w:lang w:val="en-GB"/>
              </w:rPr>
              <w:t>Data point</w:t>
            </w:r>
          </w:p>
        </w:tc>
        <w:tc>
          <w:tcPr>
            <w:tcW w:w="636" w:type="pct"/>
            <w:shd w:val="clear" w:color="auto" w:fill="auto"/>
            <w:vAlign w:val="center"/>
          </w:tcPr>
          <w:p w14:paraId="4804CDFE" w14:textId="77777777" w:rsidR="00E51CDD" w:rsidRPr="002B1114" w:rsidRDefault="00E51CDD" w:rsidP="00AE44CE">
            <w:pPr>
              <w:pStyle w:val="RepTableHeader"/>
              <w:jc w:val="center"/>
              <w:rPr>
                <w:lang w:val="en-GB"/>
              </w:rPr>
            </w:pPr>
            <w:r w:rsidRPr="002B1114">
              <w:rPr>
                <w:lang w:val="en-GB"/>
              </w:rPr>
              <w:t>Author(s)</w:t>
            </w:r>
          </w:p>
        </w:tc>
        <w:tc>
          <w:tcPr>
            <w:tcW w:w="270" w:type="pct"/>
            <w:shd w:val="clear" w:color="auto" w:fill="auto"/>
            <w:vAlign w:val="center"/>
          </w:tcPr>
          <w:p w14:paraId="7B5F534D" w14:textId="77777777" w:rsidR="00E51CDD" w:rsidRPr="002B1114" w:rsidRDefault="00E51CDD" w:rsidP="00AE44CE">
            <w:pPr>
              <w:pStyle w:val="RepTableHeader"/>
              <w:jc w:val="center"/>
              <w:rPr>
                <w:lang w:val="en-GB"/>
              </w:rPr>
            </w:pPr>
            <w:r w:rsidRPr="002B1114">
              <w:rPr>
                <w:lang w:val="en-GB"/>
              </w:rPr>
              <w:t>Year</w:t>
            </w:r>
          </w:p>
        </w:tc>
        <w:tc>
          <w:tcPr>
            <w:tcW w:w="2949" w:type="pct"/>
            <w:shd w:val="clear" w:color="auto" w:fill="auto"/>
            <w:vAlign w:val="center"/>
          </w:tcPr>
          <w:p w14:paraId="130B9C7F" w14:textId="77777777" w:rsidR="00E51CDD" w:rsidRPr="002B1114" w:rsidRDefault="00E51CDD" w:rsidP="00AE44CE">
            <w:pPr>
              <w:pStyle w:val="RepTableHeader"/>
              <w:jc w:val="center"/>
              <w:rPr>
                <w:lang w:val="en-GB"/>
              </w:rPr>
            </w:pPr>
            <w:r w:rsidRPr="002B1114">
              <w:rPr>
                <w:lang w:val="en-GB"/>
              </w:rPr>
              <w:t>Title</w:t>
            </w:r>
            <w:r w:rsidRPr="002B1114">
              <w:rPr>
                <w:lang w:val="en-GB"/>
              </w:rPr>
              <w:br/>
              <w:t>Company Report No.</w:t>
            </w:r>
            <w:r w:rsidRPr="002B1114">
              <w:rPr>
                <w:lang w:val="en-GB"/>
              </w:rPr>
              <w:tab/>
            </w:r>
            <w:r w:rsidRPr="002B1114">
              <w:rPr>
                <w:lang w:val="en-GB"/>
              </w:rPr>
              <w:br/>
              <w:t>Source (where different from company)</w:t>
            </w:r>
            <w:r w:rsidRPr="002B1114">
              <w:rPr>
                <w:lang w:val="en-GB"/>
              </w:rPr>
              <w:br/>
              <w:t>GLP or GEP status</w:t>
            </w:r>
            <w:r w:rsidRPr="002B1114">
              <w:rPr>
                <w:lang w:val="en-GB"/>
              </w:rPr>
              <w:br/>
              <w:t>Published or not</w:t>
            </w:r>
          </w:p>
        </w:tc>
        <w:tc>
          <w:tcPr>
            <w:tcW w:w="357" w:type="pct"/>
            <w:shd w:val="clear" w:color="auto" w:fill="auto"/>
            <w:vAlign w:val="center"/>
          </w:tcPr>
          <w:p w14:paraId="3F7F80CA" w14:textId="77777777" w:rsidR="00E51CDD" w:rsidRPr="002B1114" w:rsidRDefault="00E51CDD" w:rsidP="00AE44CE">
            <w:pPr>
              <w:pStyle w:val="RepTableHeader"/>
              <w:jc w:val="center"/>
              <w:rPr>
                <w:lang w:val="en-GB"/>
              </w:rPr>
            </w:pPr>
            <w:r w:rsidRPr="002B1114">
              <w:rPr>
                <w:lang w:val="en-GB"/>
              </w:rPr>
              <w:t>Vertebrate study</w:t>
            </w:r>
          </w:p>
          <w:p w14:paraId="197C9842" w14:textId="77777777" w:rsidR="00E51CDD" w:rsidRPr="002B1114" w:rsidRDefault="00E51CDD" w:rsidP="00AE44CE">
            <w:pPr>
              <w:pStyle w:val="RepTableHeader"/>
              <w:jc w:val="center"/>
              <w:rPr>
                <w:lang w:val="en-GB"/>
              </w:rPr>
            </w:pPr>
            <w:r w:rsidRPr="002B1114">
              <w:rPr>
                <w:lang w:val="en-GB"/>
              </w:rPr>
              <w:t>Y/N</w:t>
            </w:r>
          </w:p>
        </w:tc>
        <w:tc>
          <w:tcPr>
            <w:tcW w:w="440" w:type="pct"/>
            <w:shd w:val="clear" w:color="auto" w:fill="auto"/>
            <w:vAlign w:val="center"/>
          </w:tcPr>
          <w:p w14:paraId="5BE9CB68" w14:textId="77777777" w:rsidR="00E51CDD" w:rsidRPr="002B1114" w:rsidRDefault="00E51CDD" w:rsidP="00AE44CE">
            <w:pPr>
              <w:pStyle w:val="RepTableHeader"/>
              <w:jc w:val="center"/>
              <w:rPr>
                <w:lang w:val="en-GB"/>
              </w:rPr>
            </w:pPr>
            <w:r w:rsidRPr="002B1114">
              <w:rPr>
                <w:lang w:val="en-GB"/>
              </w:rPr>
              <w:t>Owner</w:t>
            </w:r>
          </w:p>
        </w:tc>
      </w:tr>
      <w:tr w:rsidR="00E51CDD" w:rsidRPr="002B1114" w14:paraId="33972ED8" w14:textId="77777777" w:rsidTr="009938D9">
        <w:tc>
          <w:tcPr>
            <w:tcW w:w="348" w:type="pct"/>
            <w:shd w:val="clear" w:color="auto" w:fill="auto"/>
          </w:tcPr>
          <w:p w14:paraId="6742BCDB" w14:textId="77777777" w:rsidR="00E51CDD" w:rsidRPr="002B1114" w:rsidRDefault="00E51CDD" w:rsidP="009938D9">
            <w:pPr>
              <w:pStyle w:val="RepTable"/>
              <w:rPr>
                <w:highlight w:val="yellow"/>
              </w:rPr>
            </w:pPr>
            <w:r w:rsidRPr="002B1114">
              <w:rPr>
                <w:highlight w:val="yellow"/>
              </w:rPr>
              <w:t>KCP XX</w:t>
            </w:r>
          </w:p>
        </w:tc>
        <w:tc>
          <w:tcPr>
            <w:tcW w:w="636" w:type="pct"/>
            <w:shd w:val="clear" w:color="auto" w:fill="auto"/>
          </w:tcPr>
          <w:p w14:paraId="0653FDEC" w14:textId="77777777" w:rsidR="00E51CDD" w:rsidRPr="002B1114" w:rsidRDefault="00E51CDD" w:rsidP="009938D9">
            <w:pPr>
              <w:pStyle w:val="RepTable"/>
              <w:rPr>
                <w:highlight w:val="yellow"/>
              </w:rPr>
            </w:pPr>
            <w:r w:rsidRPr="002B1114">
              <w:rPr>
                <w:highlight w:val="yellow"/>
              </w:rPr>
              <w:t>Author</w:t>
            </w:r>
          </w:p>
        </w:tc>
        <w:tc>
          <w:tcPr>
            <w:tcW w:w="270" w:type="pct"/>
            <w:shd w:val="clear" w:color="auto" w:fill="auto"/>
          </w:tcPr>
          <w:p w14:paraId="5F40EA79" w14:textId="77777777" w:rsidR="00E51CDD" w:rsidRPr="002B1114" w:rsidRDefault="00E51CDD" w:rsidP="009938D9">
            <w:pPr>
              <w:pStyle w:val="RepTable"/>
              <w:jc w:val="center"/>
              <w:rPr>
                <w:highlight w:val="yellow"/>
              </w:rPr>
            </w:pPr>
            <w:r w:rsidRPr="002B1114">
              <w:rPr>
                <w:highlight w:val="yellow"/>
              </w:rPr>
              <w:t>YYYY</w:t>
            </w:r>
          </w:p>
        </w:tc>
        <w:tc>
          <w:tcPr>
            <w:tcW w:w="2949" w:type="pct"/>
            <w:shd w:val="clear" w:color="auto" w:fill="auto"/>
          </w:tcPr>
          <w:p w14:paraId="58701672" w14:textId="77777777" w:rsidR="00E51CDD" w:rsidRPr="002B1114" w:rsidRDefault="00E51CDD" w:rsidP="009938D9">
            <w:pPr>
              <w:pStyle w:val="RepTable"/>
              <w:rPr>
                <w:highlight w:val="yellow"/>
              </w:rPr>
            </w:pPr>
            <w:r w:rsidRPr="002B1114">
              <w:rPr>
                <w:highlight w:val="yellow"/>
              </w:rPr>
              <w:t>Title</w:t>
            </w:r>
          </w:p>
          <w:p w14:paraId="5F1A023B" w14:textId="77777777" w:rsidR="00E51CDD" w:rsidRPr="002B1114" w:rsidRDefault="00E51CDD" w:rsidP="009938D9">
            <w:pPr>
              <w:pStyle w:val="RepTable"/>
              <w:rPr>
                <w:highlight w:val="yellow"/>
              </w:rPr>
            </w:pPr>
            <w:r w:rsidRPr="002B1114">
              <w:rPr>
                <w:highlight w:val="yellow"/>
              </w:rPr>
              <w:t>Company Report N</w:t>
            </w:r>
          </w:p>
          <w:p w14:paraId="03D48414" w14:textId="77777777" w:rsidR="00E51CDD" w:rsidRPr="002B1114" w:rsidRDefault="00E51CDD" w:rsidP="009938D9">
            <w:pPr>
              <w:pStyle w:val="RepTable"/>
              <w:rPr>
                <w:highlight w:val="yellow"/>
              </w:rPr>
            </w:pPr>
            <w:r w:rsidRPr="002B1114">
              <w:rPr>
                <w:highlight w:val="yellow"/>
              </w:rPr>
              <w:t>Source</w:t>
            </w:r>
          </w:p>
          <w:p w14:paraId="0ADBA34C" w14:textId="77777777" w:rsidR="00E51CDD" w:rsidRPr="002B1114" w:rsidRDefault="00E51CDD" w:rsidP="009938D9">
            <w:pPr>
              <w:pStyle w:val="RepTable"/>
              <w:rPr>
                <w:highlight w:val="yellow"/>
              </w:rPr>
            </w:pPr>
            <w:r w:rsidRPr="002B1114">
              <w:rPr>
                <w:highlight w:val="yellow"/>
              </w:rPr>
              <w:t>GLP/non GLP/GEP/non GEP</w:t>
            </w:r>
          </w:p>
          <w:p w14:paraId="27145EA5" w14:textId="77777777" w:rsidR="00E51CDD" w:rsidRPr="002B1114" w:rsidRDefault="00E51CDD" w:rsidP="009938D9">
            <w:pPr>
              <w:pStyle w:val="RepTable"/>
              <w:rPr>
                <w:highlight w:val="yellow"/>
              </w:rPr>
            </w:pPr>
            <w:r w:rsidRPr="002B1114">
              <w:rPr>
                <w:highlight w:val="yellow"/>
              </w:rPr>
              <w:t>Published/Unpublished</w:t>
            </w:r>
          </w:p>
        </w:tc>
        <w:tc>
          <w:tcPr>
            <w:tcW w:w="357" w:type="pct"/>
            <w:shd w:val="clear" w:color="auto" w:fill="auto"/>
          </w:tcPr>
          <w:p w14:paraId="537FB715" w14:textId="77777777" w:rsidR="00E51CDD" w:rsidRPr="002B1114" w:rsidRDefault="00E51CDD" w:rsidP="009938D9">
            <w:pPr>
              <w:pStyle w:val="RepTable"/>
              <w:jc w:val="center"/>
              <w:rPr>
                <w:highlight w:val="yellow"/>
              </w:rPr>
            </w:pPr>
            <w:r w:rsidRPr="002B1114">
              <w:rPr>
                <w:highlight w:val="yellow"/>
              </w:rPr>
              <w:t>Y/N</w:t>
            </w:r>
          </w:p>
        </w:tc>
        <w:tc>
          <w:tcPr>
            <w:tcW w:w="440" w:type="pct"/>
            <w:shd w:val="clear" w:color="auto" w:fill="auto"/>
          </w:tcPr>
          <w:p w14:paraId="659F83FB" w14:textId="77777777" w:rsidR="00E51CDD" w:rsidRPr="002B1114" w:rsidRDefault="00E51CDD" w:rsidP="009938D9">
            <w:pPr>
              <w:pStyle w:val="RepTable"/>
              <w:jc w:val="center"/>
              <w:rPr>
                <w:highlight w:val="yellow"/>
              </w:rPr>
            </w:pPr>
            <w:r w:rsidRPr="002B1114">
              <w:rPr>
                <w:highlight w:val="yellow"/>
              </w:rPr>
              <w:t>Owner</w:t>
            </w:r>
          </w:p>
        </w:tc>
      </w:tr>
      <w:tr w:rsidR="00E51CDD" w:rsidRPr="002B1114" w14:paraId="187A0A4C" w14:textId="77777777" w:rsidTr="009938D9">
        <w:tc>
          <w:tcPr>
            <w:tcW w:w="348" w:type="pct"/>
            <w:shd w:val="clear" w:color="auto" w:fill="auto"/>
          </w:tcPr>
          <w:p w14:paraId="49ECD535" w14:textId="77777777" w:rsidR="00E51CDD" w:rsidRPr="002B1114" w:rsidRDefault="00E51CDD" w:rsidP="009938D9">
            <w:pPr>
              <w:pStyle w:val="RepTable"/>
              <w:rPr>
                <w:highlight w:val="yellow"/>
              </w:rPr>
            </w:pPr>
          </w:p>
        </w:tc>
        <w:tc>
          <w:tcPr>
            <w:tcW w:w="636" w:type="pct"/>
            <w:shd w:val="clear" w:color="auto" w:fill="auto"/>
          </w:tcPr>
          <w:p w14:paraId="1DBC29B3" w14:textId="77777777" w:rsidR="00E51CDD" w:rsidRPr="002B1114" w:rsidRDefault="00E51CDD" w:rsidP="009938D9">
            <w:pPr>
              <w:pStyle w:val="RepTable"/>
              <w:rPr>
                <w:highlight w:val="yellow"/>
              </w:rPr>
            </w:pPr>
          </w:p>
        </w:tc>
        <w:tc>
          <w:tcPr>
            <w:tcW w:w="270" w:type="pct"/>
            <w:shd w:val="clear" w:color="auto" w:fill="auto"/>
          </w:tcPr>
          <w:p w14:paraId="56986A87" w14:textId="77777777" w:rsidR="00E51CDD" w:rsidRPr="002B1114" w:rsidRDefault="00E51CDD" w:rsidP="009938D9">
            <w:pPr>
              <w:pStyle w:val="RepTable"/>
              <w:jc w:val="center"/>
              <w:rPr>
                <w:highlight w:val="yellow"/>
              </w:rPr>
            </w:pPr>
          </w:p>
        </w:tc>
        <w:tc>
          <w:tcPr>
            <w:tcW w:w="2949" w:type="pct"/>
            <w:shd w:val="clear" w:color="auto" w:fill="auto"/>
          </w:tcPr>
          <w:p w14:paraId="303BA738" w14:textId="77777777" w:rsidR="00E51CDD" w:rsidRPr="002B1114" w:rsidRDefault="00E51CDD" w:rsidP="009938D9">
            <w:pPr>
              <w:pStyle w:val="RepTable"/>
              <w:rPr>
                <w:highlight w:val="yellow"/>
              </w:rPr>
            </w:pPr>
          </w:p>
        </w:tc>
        <w:tc>
          <w:tcPr>
            <w:tcW w:w="357" w:type="pct"/>
            <w:shd w:val="clear" w:color="auto" w:fill="auto"/>
          </w:tcPr>
          <w:p w14:paraId="7B8AD194" w14:textId="77777777" w:rsidR="00E51CDD" w:rsidRPr="002B1114" w:rsidRDefault="00E51CDD" w:rsidP="009938D9">
            <w:pPr>
              <w:pStyle w:val="RepTable"/>
              <w:jc w:val="center"/>
              <w:rPr>
                <w:highlight w:val="yellow"/>
              </w:rPr>
            </w:pPr>
          </w:p>
        </w:tc>
        <w:tc>
          <w:tcPr>
            <w:tcW w:w="440" w:type="pct"/>
            <w:shd w:val="clear" w:color="auto" w:fill="auto"/>
          </w:tcPr>
          <w:p w14:paraId="17970A7D" w14:textId="77777777" w:rsidR="00E51CDD" w:rsidRPr="002B1114" w:rsidRDefault="00E51CDD" w:rsidP="009938D9">
            <w:pPr>
              <w:pStyle w:val="RepTable"/>
              <w:jc w:val="center"/>
              <w:rPr>
                <w:highlight w:val="yellow"/>
              </w:rPr>
            </w:pPr>
          </w:p>
        </w:tc>
      </w:tr>
      <w:bookmarkEnd w:id="1053"/>
      <w:bookmarkEnd w:id="1054"/>
      <w:bookmarkEnd w:id="1055"/>
      <w:bookmarkEnd w:id="1056"/>
      <w:bookmarkEnd w:id="1057"/>
      <w:bookmarkEnd w:id="1058"/>
    </w:tbl>
    <w:p w14:paraId="1CE9B185" w14:textId="77777777" w:rsidR="00E51CDD" w:rsidRDefault="00E51CDD" w:rsidP="00E51CDD">
      <w:pPr>
        <w:pStyle w:val="RepStandard"/>
      </w:pPr>
    </w:p>
    <w:p w14:paraId="39E54572" w14:textId="77777777" w:rsidR="00E51CDD" w:rsidRDefault="00E51CDD" w:rsidP="00CE08CB">
      <w:pPr>
        <w:pStyle w:val="StyleOECD-BASIS-TEXTLeft"/>
        <w:rPr>
          <w:sz w:val="22"/>
          <w:lang w:val="en-US"/>
        </w:rPr>
        <w:sectPr w:rsidR="00E51CDD" w:rsidSect="009938D9">
          <w:headerReference w:type="default" r:id="rId61"/>
          <w:footerReference w:type="default" r:id="rId62"/>
          <w:pgSz w:w="16834" w:h="11909" w:orient="landscape" w:code="9"/>
          <w:pgMar w:top="1418" w:right="1134" w:bottom="1134" w:left="1134" w:header="709" w:footer="709" w:gutter="0"/>
          <w:pgNumType w:chapSep="period"/>
          <w:cols w:space="720"/>
          <w:noEndnote/>
          <w:docGrid w:linePitch="299"/>
        </w:sectPr>
      </w:pPr>
    </w:p>
    <w:p w14:paraId="19FB18CE" w14:textId="77777777" w:rsidR="00E51CDD" w:rsidRPr="00E51CDD" w:rsidRDefault="00E51CDD" w:rsidP="00B31542">
      <w:pPr>
        <w:pStyle w:val="RepAppendix1"/>
      </w:pPr>
      <w:bookmarkStart w:id="1060" w:name="_Toc412644044"/>
      <w:bookmarkStart w:id="1061" w:name="_Toc413916888"/>
      <w:bookmarkStart w:id="1062" w:name="_Toc413917030"/>
      <w:bookmarkStart w:id="1063" w:name="_Toc413922091"/>
      <w:bookmarkStart w:id="1064" w:name="_Toc413922580"/>
      <w:bookmarkStart w:id="1065" w:name="_Toc413922684"/>
      <w:bookmarkStart w:id="1066" w:name="_Toc414955321"/>
      <w:bookmarkStart w:id="1067" w:name="_Ref414958733"/>
      <w:bookmarkStart w:id="1068" w:name="_Ref414958870"/>
      <w:bookmarkStart w:id="1069" w:name="_Ref414960979"/>
      <w:bookmarkStart w:id="1070" w:name="_Ref414963503"/>
      <w:bookmarkStart w:id="1071" w:name="_Ref414968855"/>
      <w:bookmarkStart w:id="1072" w:name="_Ref414968938"/>
      <w:bookmarkStart w:id="1073" w:name="_Ref414970056"/>
      <w:bookmarkStart w:id="1074" w:name="_Ref414970285"/>
      <w:bookmarkStart w:id="1075" w:name="_Ref414970802"/>
      <w:bookmarkStart w:id="1076" w:name="_Ref414970842"/>
      <w:bookmarkStart w:id="1077" w:name="_Ref414977899"/>
      <w:bookmarkStart w:id="1078" w:name="_Ref414978963"/>
      <w:bookmarkStart w:id="1079" w:name="_Toc415214628"/>
      <w:bookmarkStart w:id="1080" w:name="_Ref415475349"/>
      <w:bookmarkStart w:id="1081" w:name="_Toc125446470"/>
      <w:r w:rsidRPr="00E51CDD">
        <w:lastRenderedPageBreak/>
        <w:t>Detailed evaluation of the new studies</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14:paraId="50F3673C" w14:textId="77777777" w:rsidR="00E51CDD" w:rsidRPr="00E51CDD" w:rsidRDefault="00E51CDD" w:rsidP="00B31542">
      <w:pPr>
        <w:pStyle w:val="RepAppendix2"/>
      </w:pPr>
      <w:bookmarkStart w:id="1082" w:name="_Toc413922092"/>
      <w:bookmarkStart w:id="1083" w:name="_Toc413922581"/>
      <w:bookmarkStart w:id="1084" w:name="_Toc413922685"/>
      <w:bookmarkStart w:id="1085" w:name="_Toc414955322"/>
      <w:bookmarkStart w:id="1086" w:name="_Toc415214629"/>
      <w:bookmarkStart w:id="1087" w:name="_Toc125446471"/>
      <w:r w:rsidRPr="00E51CDD">
        <w:t>KCP 10.1</w:t>
      </w:r>
      <w:r w:rsidRPr="00E51CDD">
        <w:tab/>
        <w:t>Effects on birds and other terrestrial vertebrates</w:t>
      </w:r>
      <w:bookmarkEnd w:id="1082"/>
      <w:bookmarkEnd w:id="1083"/>
      <w:bookmarkEnd w:id="1084"/>
      <w:bookmarkEnd w:id="1085"/>
      <w:bookmarkEnd w:id="1086"/>
      <w:bookmarkEnd w:id="1087"/>
    </w:p>
    <w:p w14:paraId="24CC3ED1" w14:textId="77777777" w:rsidR="00E51CDD" w:rsidRPr="00E51CDD" w:rsidRDefault="00E51CDD" w:rsidP="00B31542">
      <w:pPr>
        <w:pStyle w:val="RepAppendix3"/>
      </w:pPr>
      <w:bookmarkStart w:id="1088" w:name="_Toc413922093"/>
      <w:bookmarkStart w:id="1089" w:name="_Toc413922582"/>
      <w:bookmarkStart w:id="1090" w:name="_Toc413922686"/>
      <w:bookmarkStart w:id="1091" w:name="_Toc414955323"/>
      <w:bookmarkStart w:id="1092" w:name="_Toc415214630"/>
      <w:bookmarkStart w:id="1093" w:name="_Toc125446472"/>
      <w:r w:rsidRPr="00E51CDD">
        <w:t>KCP 10.1.1</w:t>
      </w:r>
      <w:r w:rsidRPr="00E51CDD">
        <w:tab/>
        <w:t>Effects on birds</w:t>
      </w:r>
      <w:bookmarkEnd w:id="1088"/>
      <w:bookmarkEnd w:id="1089"/>
      <w:bookmarkEnd w:id="1090"/>
      <w:bookmarkEnd w:id="1091"/>
      <w:bookmarkEnd w:id="1092"/>
      <w:bookmarkEnd w:id="1093"/>
    </w:p>
    <w:p w14:paraId="4A929F7B" w14:textId="77777777" w:rsidR="00E51CDD" w:rsidRPr="00E51CDD" w:rsidRDefault="00E51CDD" w:rsidP="00B31542">
      <w:pPr>
        <w:pStyle w:val="RepAppendix4"/>
      </w:pPr>
      <w:r w:rsidRPr="00E51CDD">
        <w:t>KCP 10.1.1.1</w:t>
      </w:r>
      <w:r w:rsidRPr="00E51CDD">
        <w:tab/>
        <w:t>Acute oral toxicity</w:t>
      </w:r>
    </w:p>
    <w:p w14:paraId="75FD1D6D" w14:textId="77777777" w:rsidR="00E51CDD" w:rsidRPr="00E51CDD" w:rsidRDefault="00E51CDD" w:rsidP="00B31542">
      <w:pPr>
        <w:pStyle w:val="RepAppendix5"/>
      </w:pPr>
      <w:bookmarkStart w:id="1094" w:name="_Toc314557411"/>
      <w:bookmarkStart w:id="1095" w:name="_Toc314557669"/>
      <w:bookmarkStart w:id="1096" w:name="_Toc328552268"/>
      <w:bookmarkStart w:id="1097" w:name="_Toc332020617"/>
      <w:bookmarkStart w:id="1098" w:name="_Toc332203461"/>
      <w:bookmarkStart w:id="1099" w:name="_Toc332207014"/>
      <w:bookmarkStart w:id="1100" w:name="_Toc332296182"/>
      <w:bookmarkStart w:id="1101" w:name="_Toc336434749"/>
      <w:bookmarkStart w:id="1102" w:name="_Toc397516901"/>
      <w:bookmarkStart w:id="1103" w:name="_Toc399335736"/>
      <w:bookmarkStart w:id="1104" w:name="_Toc412562668"/>
      <w:bookmarkStart w:id="1105" w:name="_Toc412562745"/>
      <w:bookmarkStart w:id="1106" w:name="_Toc413662737"/>
      <w:bookmarkStart w:id="1107" w:name="_Toc413673594"/>
      <w:bookmarkStart w:id="1108" w:name="_Toc413673692"/>
      <w:bookmarkStart w:id="1109" w:name="_Toc413673763"/>
      <w:r w:rsidRPr="00E51CDD">
        <w:t xml:space="preserve">Study </w:t>
      </w:r>
      <w:bookmarkEnd w:id="1094"/>
      <w:bookmarkEnd w:id="1095"/>
      <w:bookmarkEnd w:id="1096"/>
      <w:bookmarkEnd w:id="1097"/>
      <w:bookmarkEnd w:id="1098"/>
      <w:bookmarkEnd w:id="1099"/>
      <w:bookmarkEnd w:id="1100"/>
      <w:bookmarkEnd w:id="1101"/>
      <w:bookmarkEnd w:id="1102"/>
      <w:r w:rsidRPr="00E51CDD">
        <w:t>1</w:t>
      </w:r>
      <w:bookmarkEnd w:id="1103"/>
      <w:bookmarkEnd w:id="1104"/>
      <w:bookmarkEnd w:id="1105"/>
      <w:bookmarkEnd w:id="1106"/>
      <w:bookmarkEnd w:id="1107"/>
      <w:bookmarkEnd w:id="1108"/>
      <w:bookmarkEnd w:id="1109"/>
    </w:p>
    <w:tbl>
      <w:tblPr>
        <w:tblW w:w="50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989"/>
        <w:gridCol w:w="7366"/>
      </w:tblGrid>
      <w:tr w:rsidR="00E51CDD" w:rsidRPr="00E51CDD" w14:paraId="25BD1C2E" w14:textId="77777777" w:rsidTr="009D1A79">
        <w:trPr>
          <w:trHeight w:val="373"/>
        </w:trPr>
        <w:tc>
          <w:tcPr>
            <w:tcW w:w="1063" w:type="pct"/>
            <w:shd w:val="clear" w:color="auto" w:fill="D9D9D9" w:themeFill="background1" w:themeFillShade="D9"/>
          </w:tcPr>
          <w:p w14:paraId="75BB6306" w14:textId="77777777" w:rsidR="00E51CDD" w:rsidRPr="00E51CDD" w:rsidRDefault="00E51CDD" w:rsidP="00E51CDD">
            <w:pPr>
              <w:widowControl w:val="0"/>
              <w:jc w:val="both"/>
              <w:rPr>
                <w:rFonts w:eastAsia="Batang"/>
                <w:lang w:val="en-GB"/>
              </w:rPr>
            </w:pPr>
            <w:bookmarkStart w:id="1110" w:name="_Hlk85382628"/>
            <w:r w:rsidRPr="00E51CDD">
              <w:rPr>
                <w:lang w:val="en-GB"/>
              </w:rPr>
              <w:t>Comments of zRMS:</w:t>
            </w:r>
          </w:p>
        </w:tc>
        <w:tc>
          <w:tcPr>
            <w:tcW w:w="3937" w:type="pct"/>
            <w:shd w:val="clear" w:color="auto" w:fill="D9D9D9" w:themeFill="background1" w:themeFillShade="D9"/>
          </w:tcPr>
          <w:p w14:paraId="30D2E58D" w14:textId="7B9AE009" w:rsidR="00E51CDD" w:rsidRPr="00E51CDD" w:rsidRDefault="002C0FC1" w:rsidP="00E51CDD">
            <w:pPr>
              <w:widowControl w:val="0"/>
              <w:ind w:left="85"/>
              <w:jc w:val="both"/>
              <w:rPr>
                <w:rFonts w:eastAsia="Batang"/>
                <w:lang w:val="en-GB"/>
              </w:rPr>
            </w:pPr>
            <w:r>
              <w:rPr>
                <w:lang w:val="en-GB"/>
              </w:rPr>
              <w:t>Study not evaluated.</w:t>
            </w:r>
            <w:r w:rsidR="00E51CDD" w:rsidRPr="00E51CDD">
              <w:rPr>
                <w:lang w:val="en-GB"/>
              </w:rPr>
              <w:fldChar w:fldCharType="begin"/>
            </w:r>
            <w:r w:rsidR="00E51CDD" w:rsidRPr="00E51CDD">
              <w:rPr>
                <w:lang w:val="en-GB"/>
              </w:rPr>
              <w:instrText xml:space="preserve"> FORMTEXT </w:instrText>
            </w:r>
            <w:r w:rsidR="00000000">
              <w:rPr>
                <w:lang w:val="en-GB"/>
              </w:rPr>
              <w:fldChar w:fldCharType="separate"/>
            </w:r>
            <w:r w:rsidR="00E51CDD" w:rsidRPr="00E51CDD">
              <w:rPr>
                <w:lang w:val="en-GB"/>
              </w:rPr>
              <w:fldChar w:fldCharType="end"/>
            </w:r>
          </w:p>
        </w:tc>
      </w:tr>
    </w:tbl>
    <w:p w14:paraId="62EECEE6" w14:textId="77777777" w:rsidR="00E51CDD" w:rsidRPr="00E51CDD" w:rsidRDefault="00E51CDD" w:rsidP="00E51CDD">
      <w:pPr>
        <w:widowControl w:val="0"/>
        <w:tabs>
          <w:tab w:val="left" w:pos="425"/>
          <w:tab w:val="left" w:pos="850"/>
        </w:tabs>
        <w:ind w:left="2835" w:hanging="2835"/>
        <w:jc w:val="both"/>
        <w:rPr>
          <w:b/>
        </w:rPr>
      </w:pPr>
    </w:p>
    <w:p w14:paraId="7E84449D" w14:textId="77777777" w:rsidR="00E51CDD" w:rsidRPr="00E51CDD" w:rsidRDefault="00E51CDD" w:rsidP="00E51CDD">
      <w:pPr>
        <w:keepLines/>
        <w:jc w:val="both"/>
      </w:pPr>
      <w:r w:rsidRPr="00E51CDD">
        <w:rPr>
          <w:rFonts w:eastAsia="SimSun"/>
          <w:lang w:eastAsia="zh-CN"/>
        </w:rPr>
        <w:t>Overall, three acute toxicity studies in birds are available for the active substance fluxapyroxad. Two standard acute toxicity studies with bobwhite quail and mallard duck</w:t>
      </w:r>
      <w:r w:rsidRPr="00E51CDD">
        <w:rPr>
          <w:rFonts w:eastAsia="SimSun"/>
          <w:i/>
          <w:lang w:eastAsia="zh-CN"/>
        </w:rPr>
        <w:t xml:space="preserve"> </w:t>
      </w:r>
      <w:r w:rsidRPr="00E51CDD">
        <w:rPr>
          <w:rFonts w:eastAsia="SimSun"/>
          <w:lang w:eastAsia="zh-CN"/>
        </w:rPr>
        <w:t>which have already been evaluated during the Annex I inclusion process. In addition, a new acute study on zebra finch (</w:t>
      </w:r>
      <w:r w:rsidRPr="00E51CDD">
        <w:rPr>
          <w:i/>
        </w:rPr>
        <w:t>Taeniopygia guttata</w:t>
      </w:r>
      <w:r w:rsidRPr="00E51CDD">
        <w:rPr>
          <w:rFonts w:eastAsia="SimSun"/>
          <w:lang w:eastAsia="zh-CN"/>
        </w:rPr>
        <w:t xml:space="preserve">) was conducted. </w:t>
      </w:r>
      <w:r w:rsidRPr="00E51CDD">
        <w:rPr>
          <w:rFonts w:eastAsia="SimSun"/>
        </w:rPr>
        <w:t xml:space="preserve">The study has already been used in previous </w:t>
      </w:r>
      <w:r w:rsidRPr="00E51CDD">
        <w:rPr>
          <w:rFonts w:eastAsia="SimSun"/>
          <w:lang w:eastAsia="zh-CN"/>
        </w:rPr>
        <w:t xml:space="preserve">EU </w:t>
      </w:r>
      <w:r w:rsidRPr="00E51CDD">
        <w:rPr>
          <w:rFonts w:eastAsia="SimSun"/>
        </w:rPr>
        <w:t xml:space="preserve">end-use product registrations but </w:t>
      </w:r>
      <w:r w:rsidRPr="00E51CDD">
        <w:t>has not been evaluated previously on EU level and is provided in support of the bird risk assessment.</w:t>
      </w:r>
    </w:p>
    <w:p w14:paraId="33492CED" w14:textId="77777777" w:rsidR="00E51CDD" w:rsidRPr="00E51CDD" w:rsidRDefault="00E51CDD" w:rsidP="00E51CDD"/>
    <w:p w14:paraId="194D5D89" w14:textId="77777777" w:rsidR="00E51CDD" w:rsidRPr="00E51CDD" w:rsidRDefault="00E51CDD" w:rsidP="00E51CDD"/>
    <w:tbl>
      <w:tblPr>
        <w:tblW w:w="8875" w:type="dxa"/>
        <w:tblLayout w:type="fixed"/>
        <w:tblCellMar>
          <w:top w:w="57" w:type="dxa"/>
          <w:left w:w="57" w:type="dxa"/>
          <w:bottom w:w="57" w:type="dxa"/>
          <w:right w:w="57" w:type="dxa"/>
        </w:tblCellMar>
        <w:tblLook w:val="01E0" w:firstRow="1" w:lastRow="1" w:firstColumn="1" w:lastColumn="1" w:noHBand="0" w:noVBand="0"/>
      </w:tblPr>
      <w:tblGrid>
        <w:gridCol w:w="2379"/>
        <w:gridCol w:w="6468"/>
        <w:gridCol w:w="12"/>
        <w:gridCol w:w="16"/>
      </w:tblGrid>
      <w:tr w:rsidR="00E51CDD" w:rsidRPr="00E51CDD" w14:paraId="42128705" w14:textId="77777777" w:rsidTr="009938D9">
        <w:trPr>
          <w:gridAfter w:val="2"/>
          <w:wAfter w:w="16" w:type="pct"/>
        </w:trPr>
        <w:tc>
          <w:tcPr>
            <w:tcW w:w="1340" w:type="pct"/>
            <w:shd w:val="clear" w:color="auto" w:fill="auto"/>
          </w:tcPr>
          <w:p w14:paraId="480A17A7" w14:textId="77777777" w:rsidR="00E51CDD" w:rsidRPr="00E51CDD" w:rsidRDefault="00E51CDD" w:rsidP="00E51CDD">
            <w:pPr>
              <w:widowControl w:val="0"/>
              <w:jc w:val="both"/>
              <w:rPr>
                <w:i/>
                <w:iCs/>
                <w:lang w:val="en-GB"/>
              </w:rPr>
            </w:pPr>
            <w:r w:rsidRPr="00E51CDD">
              <w:rPr>
                <w:i/>
                <w:iCs/>
                <w:lang w:val="en-GB"/>
              </w:rPr>
              <w:t>Reference:</w:t>
            </w:r>
          </w:p>
        </w:tc>
        <w:tc>
          <w:tcPr>
            <w:tcW w:w="3644" w:type="pct"/>
            <w:shd w:val="clear" w:color="auto" w:fill="auto"/>
          </w:tcPr>
          <w:p w14:paraId="463A3510" w14:textId="77777777" w:rsidR="00E51CDD" w:rsidRPr="00E51CDD" w:rsidRDefault="00E51CDD" w:rsidP="00E51CDD">
            <w:pPr>
              <w:widowControl w:val="0"/>
              <w:jc w:val="both"/>
              <w:rPr>
                <w:i/>
                <w:iCs/>
              </w:rPr>
            </w:pPr>
            <w:r w:rsidRPr="00E51CDD">
              <w:rPr>
                <w:i/>
                <w:iCs/>
              </w:rPr>
              <w:t>CP 10.1.1.1/1</w:t>
            </w:r>
          </w:p>
        </w:tc>
      </w:tr>
      <w:tr w:rsidR="00E51CDD" w:rsidRPr="00E51CDD" w14:paraId="79DCAE91" w14:textId="77777777" w:rsidTr="009938D9">
        <w:trPr>
          <w:gridAfter w:val="2"/>
          <w:wAfter w:w="16" w:type="pct"/>
        </w:trPr>
        <w:tc>
          <w:tcPr>
            <w:tcW w:w="1340" w:type="pct"/>
            <w:shd w:val="clear" w:color="auto" w:fill="auto"/>
          </w:tcPr>
          <w:p w14:paraId="5BD2AD59" w14:textId="77777777" w:rsidR="00E51CDD" w:rsidRPr="00E51CDD" w:rsidRDefault="00E51CDD" w:rsidP="00E51CDD">
            <w:pPr>
              <w:widowControl w:val="0"/>
              <w:spacing w:after="120"/>
              <w:jc w:val="both"/>
              <w:rPr>
                <w:i/>
                <w:iCs/>
                <w:lang w:val="en-GB"/>
              </w:rPr>
            </w:pPr>
            <w:r w:rsidRPr="00E51CDD">
              <w:rPr>
                <w:i/>
                <w:iCs/>
                <w:lang w:val="en-GB"/>
              </w:rPr>
              <w:t>Report</w:t>
            </w:r>
          </w:p>
        </w:tc>
        <w:tc>
          <w:tcPr>
            <w:tcW w:w="3644" w:type="pct"/>
            <w:shd w:val="clear" w:color="auto" w:fill="auto"/>
          </w:tcPr>
          <w:p w14:paraId="3C5103B4" w14:textId="77777777" w:rsidR="00E51CDD" w:rsidRPr="00E51CDD" w:rsidRDefault="00E51CDD" w:rsidP="00E51CDD">
            <w:pPr>
              <w:widowControl w:val="0"/>
              <w:spacing w:after="120"/>
              <w:jc w:val="both"/>
              <w:rPr>
                <w:i/>
                <w:iCs/>
              </w:rPr>
            </w:pPr>
            <w:r w:rsidRPr="00E51CDD">
              <w:rPr>
                <w:i/>
                <w:iCs/>
              </w:rPr>
              <w:t>BAS 700 F - Acute toxicity in the Zebra finch (Taeniopygia guttata) after single oral administration (LD50),</w:t>
            </w:r>
          </w:p>
          <w:p w14:paraId="0B07D81A" w14:textId="77777777" w:rsidR="00E51CDD" w:rsidRPr="002C0FC1" w:rsidRDefault="00E51CDD" w:rsidP="00E51CDD">
            <w:pPr>
              <w:widowControl w:val="0"/>
              <w:spacing w:after="120"/>
              <w:jc w:val="both"/>
              <w:rPr>
                <w:b/>
                <w:bCs/>
                <w:i/>
                <w:iCs/>
                <w:lang w:val="pl-PL"/>
              </w:rPr>
            </w:pPr>
            <w:r w:rsidRPr="002C0FC1">
              <w:rPr>
                <w:b/>
                <w:bCs/>
                <w:i/>
                <w:iCs/>
                <w:highlight w:val="black"/>
                <w:lang w:val="pl-PL"/>
              </w:rPr>
              <w:t>Zok S., 2009</w:t>
            </w:r>
          </w:p>
          <w:p w14:paraId="46FA0A67" w14:textId="77777777" w:rsidR="00E51CDD" w:rsidRPr="00E85255" w:rsidRDefault="00E51CDD" w:rsidP="00E51CDD">
            <w:pPr>
              <w:widowControl w:val="0"/>
              <w:spacing w:after="120"/>
              <w:jc w:val="both"/>
              <w:rPr>
                <w:i/>
                <w:iCs/>
                <w:lang w:val="pl-PL"/>
              </w:rPr>
            </w:pPr>
            <w:r w:rsidRPr="00E85255">
              <w:rPr>
                <w:i/>
                <w:iCs/>
                <w:lang w:val="pl-PL"/>
              </w:rPr>
              <w:t>report No 15W0683/055095</w:t>
            </w:r>
          </w:p>
          <w:p w14:paraId="016DEAA9" w14:textId="77777777" w:rsidR="00E51CDD" w:rsidRPr="00E51CDD" w:rsidRDefault="00E51CDD" w:rsidP="00E51CDD">
            <w:pPr>
              <w:widowControl w:val="0"/>
              <w:spacing w:after="120"/>
              <w:jc w:val="both"/>
              <w:rPr>
                <w:i/>
                <w:iCs/>
                <w:lang w:val="en-GB"/>
              </w:rPr>
            </w:pPr>
            <w:r w:rsidRPr="00E51CDD">
              <w:rPr>
                <w:i/>
                <w:iCs/>
                <w:lang w:val="en-GB"/>
              </w:rPr>
              <w:t xml:space="preserve">BASF DocID </w:t>
            </w:r>
            <w:r w:rsidRPr="00E51CDD">
              <w:rPr>
                <w:i/>
                <w:iCs/>
              </w:rPr>
              <w:t>2009/1050338</w:t>
            </w:r>
          </w:p>
          <w:p w14:paraId="70D015AE" w14:textId="77777777" w:rsidR="00E51CDD" w:rsidRPr="00E51CDD" w:rsidRDefault="00E51CDD" w:rsidP="00E51CDD">
            <w:pPr>
              <w:widowControl w:val="0"/>
              <w:jc w:val="both"/>
              <w:rPr>
                <w:i/>
                <w:iCs/>
                <w:lang w:val="en-GB"/>
              </w:rPr>
            </w:pPr>
            <w:r w:rsidRPr="00E51CDD">
              <w:rPr>
                <w:i/>
                <w:iCs/>
                <w:lang w:val="en-GB"/>
              </w:rPr>
              <w:t>Authority registration No</w:t>
            </w:r>
          </w:p>
        </w:tc>
      </w:tr>
      <w:tr w:rsidR="00E51CDD" w:rsidRPr="008E1621" w14:paraId="13321EC8" w14:textId="77777777" w:rsidTr="009938D9">
        <w:trPr>
          <w:gridAfter w:val="2"/>
          <w:wAfter w:w="16" w:type="pct"/>
        </w:trPr>
        <w:tc>
          <w:tcPr>
            <w:tcW w:w="1340" w:type="pct"/>
            <w:shd w:val="clear" w:color="auto" w:fill="auto"/>
          </w:tcPr>
          <w:p w14:paraId="2221EDE2" w14:textId="77777777" w:rsidR="00E51CDD" w:rsidRPr="00E51CDD" w:rsidRDefault="00E51CDD" w:rsidP="00E51CDD">
            <w:pPr>
              <w:widowControl w:val="0"/>
              <w:jc w:val="both"/>
              <w:rPr>
                <w:i/>
                <w:iCs/>
                <w:lang w:val="en-GB"/>
              </w:rPr>
            </w:pPr>
            <w:r w:rsidRPr="00E51CDD">
              <w:rPr>
                <w:i/>
                <w:iCs/>
                <w:lang w:val="en-GB"/>
              </w:rPr>
              <w:t>Guideline(s):</w:t>
            </w:r>
          </w:p>
        </w:tc>
        <w:tc>
          <w:tcPr>
            <w:tcW w:w="3644" w:type="pct"/>
            <w:shd w:val="clear" w:color="auto" w:fill="auto"/>
          </w:tcPr>
          <w:p w14:paraId="0AAFBEA9" w14:textId="77777777" w:rsidR="00E51CDD" w:rsidRPr="00E51CDD" w:rsidRDefault="00E51CDD" w:rsidP="00E51CDD">
            <w:pPr>
              <w:widowControl w:val="0"/>
              <w:spacing w:after="120"/>
              <w:jc w:val="both"/>
              <w:rPr>
                <w:i/>
                <w:iCs/>
                <w:lang w:val="de-DE"/>
              </w:rPr>
            </w:pPr>
            <w:r w:rsidRPr="00E51CDD">
              <w:rPr>
                <w:i/>
                <w:iCs/>
                <w:lang w:val="de-DE"/>
              </w:rPr>
              <w:t>EPA 71-1, EPA 850.2100, EPA 540/9-82-024, EPA 540/9-85-007, EPA 712-C-96-139</w:t>
            </w:r>
          </w:p>
        </w:tc>
      </w:tr>
      <w:tr w:rsidR="00E51CDD" w:rsidRPr="00E51CDD" w14:paraId="7441946A" w14:textId="77777777" w:rsidTr="009938D9">
        <w:trPr>
          <w:gridAfter w:val="2"/>
          <w:wAfter w:w="16" w:type="pct"/>
        </w:trPr>
        <w:tc>
          <w:tcPr>
            <w:tcW w:w="1340" w:type="pct"/>
            <w:shd w:val="clear" w:color="auto" w:fill="auto"/>
          </w:tcPr>
          <w:p w14:paraId="04D399C7" w14:textId="77777777" w:rsidR="00E51CDD" w:rsidRPr="00E51CDD" w:rsidRDefault="00E51CDD" w:rsidP="00E51CDD">
            <w:pPr>
              <w:widowControl w:val="0"/>
              <w:jc w:val="both"/>
              <w:rPr>
                <w:i/>
                <w:iCs/>
                <w:lang w:val="en-GB"/>
              </w:rPr>
            </w:pPr>
            <w:r w:rsidRPr="00E51CDD">
              <w:rPr>
                <w:i/>
                <w:iCs/>
                <w:lang w:val="en-GB"/>
              </w:rPr>
              <w:t>Deviations:</w:t>
            </w:r>
          </w:p>
        </w:tc>
        <w:tc>
          <w:tcPr>
            <w:tcW w:w="3644" w:type="pct"/>
            <w:shd w:val="clear" w:color="auto" w:fill="auto"/>
          </w:tcPr>
          <w:p w14:paraId="44BF26D5" w14:textId="77777777" w:rsidR="00E51CDD" w:rsidRPr="00E51CDD" w:rsidRDefault="00E51CDD" w:rsidP="00E51CDD">
            <w:pPr>
              <w:widowControl w:val="0"/>
              <w:spacing w:after="120"/>
              <w:jc w:val="both"/>
              <w:rPr>
                <w:i/>
                <w:iCs/>
                <w:lang w:val="en-GB"/>
              </w:rPr>
            </w:pPr>
            <w:r w:rsidRPr="00E51CDD">
              <w:rPr>
                <w:i/>
                <w:iCs/>
                <w:lang w:val="en-GB"/>
              </w:rPr>
              <w:t xml:space="preserve">No </w:t>
            </w:r>
          </w:p>
        </w:tc>
      </w:tr>
      <w:tr w:rsidR="00E51CDD" w:rsidRPr="00662F32" w14:paraId="75B35119" w14:textId="77777777" w:rsidTr="009938D9">
        <w:tc>
          <w:tcPr>
            <w:tcW w:w="1340" w:type="pct"/>
            <w:shd w:val="clear" w:color="auto" w:fill="auto"/>
          </w:tcPr>
          <w:p w14:paraId="12E79AF3" w14:textId="77777777" w:rsidR="00E51CDD" w:rsidRPr="00E51CDD" w:rsidRDefault="00E51CDD" w:rsidP="00E51CDD">
            <w:pPr>
              <w:widowControl w:val="0"/>
              <w:jc w:val="both"/>
              <w:rPr>
                <w:i/>
                <w:iCs/>
                <w:lang w:val="en-GB"/>
              </w:rPr>
            </w:pPr>
            <w:r w:rsidRPr="00E51CDD">
              <w:rPr>
                <w:i/>
                <w:iCs/>
                <w:lang w:val="en-GB"/>
              </w:rPr>
              <w:t>GLP:</w:t>
            </w:r>
          </w:p>
        </w:tc>
        <w:tc>
          <w:tcPr>
            <w:tcW w:w="3660" w:type="pct"/>
            <w:gridSpan w:val="3"/>
            <w:shd w:val="clear" w:color="auto" w:fill="auto"/>
          </w:tcPr>
          <w:p w14:paraId="5A301A3E" w14:textId="77777777" w:rsidR="00E51CDD" w:rsidRPr="00E51CDD" w:rsidRDefault="00E51CDD" w:rsidP="00E51CDD">
            <w:pPr>
              <w:tabs>
                <w:tab w:val="left" w:pos="425"/>
                <w:tab w:val="left" w:pos="850"/>
              </w:tabs>
              <w:spacing w:after="120"/>
              <w:ind w:left="1985" w:hanging="1985"/>
              <w:rPr>
                <w:b/>
                <w:i/>
                <w:iCs/>
                <w:lang w:val="de-DE"/>
              </w:rPr>
            </w:pPr>
            <w:r w:rsidRPr="00E51CDD">
              <w:rPr>
                <w:i/>
                <w:iCs/>
                <w:lang w:val="de-DE"/>
              </w:rPr>
              <w:t>yes</w:t>
            </w:r>
          </w:p>
          <w:p w14:paraId="026B9EAF" w14:textId="77777777" w:rsidR="00E51CDD" w:rsidRPr="00E51CDD" w:rsidRDefault="00E51CDD" w:rsidP="00E51CDD">
            <w:pPr>
              <w:widowControl w:val="0"/>
              <w:spacing w:after="120"/>
              <w:rPr>
                <w:i/>
                <w:iCs/>
                <w:lang w:val="de-DE"/>
              </w:rPr>
            </w:pPr>
            <w:r w:rsidRPr="00E51CDD">
              <w:rPr>
                <w:i/>
                <w:iCs/>
                <w:lang w:val="de-DE"/>
              </w:rPr>
              <w:t>(certified by Landesamt fuer Umwelt, Wasserwirtschaft und Gewerbeaufsicht, Mainz, Germany)</w:t>
            </w:r>
          </w:p>
        </w:tc>
      </w:tr>
      <w:tr w:rsidR="00E51CDD" w:rsidRPr="00E51CDD" w14:paraId="78FC35D2" w14:textId="77777777" w:rsidTr="009938D9">
        <w:trPr>
          <w:gridAfter w:val="1"/>
          <w:wAfter w:w="9" w:type="pct"/>
        </w:trPr>
        <w:tc>
          <w:tcPr>
            <w:tcW w:w="1340" w:type="pct"/>
            <w:shd w:val="clear" w:color="auto" w:fill="auto"/>
          </w:tcPr>
          <w:p w14:paraId="7B3B2EC2" w14:textId="77777777" w:rsidR="00E51CDD" w:rsidRPr="00E51CDD" w:rsidRDefault="00E51CDD" w:rsidP="00E51CDD">
            <w:pPr>
              <w:widowControl w:val="0"/>
              <w:jc w:val="both"/>
              <w:rPr>
                <w:i/>
                <w:iCs/>
                <w:lang w:val="en-GB"/>
              </w:rPr>
            </w:pPr>
            <w:r w:rsidRPr="00E51CDD">
              <w:rPr>
                <w:i/>
                <w:iCs/>
                <w:lang w:val="en-GB"/>
              </w:rPr>
              <w:t>Acceptability:</w:t>
            </w:r>
          </w:p>
        </w:tc>
        <w:tc>
          <w:tcPr>
            <w:tcW w:w="3651" w:type="pct"/>
            <w:gridSpan w:val="2"/>
            <w:shd w:val="clear" w:color="auto" w:fill="auto"/>
          </w:tcPr>
          <w:p w14:paraId="287DB101" w14:textId="77777777" w:rsidR="00E51CDD" w:rsidRPr="00E51CDD" w:rsidRDefault="00E51CDD" w:rsidP="00E51CDD">
            <w:pPr>
              <w:widowControl w:val="0"/>
              <w:jc w:val="both"/>
              <w:rPr>
                <w:i/>
                <w:iCs/>
                <w:lang w:val="en-GB"/>
              </w:rPr>
            </w:pPr>
            <w:r w:rsidRPr="00E51CDD">
              <w:rPr>
                <w:i/>
                <w:iCs/>
                <w:lang w:val="en-GB"/>
              </w:rPr>
              <w:t xml:space="preserve">Yes </w:t>
            </w:r>
          </w:p>
        </w:tc>
      </w:tr>
      <w:tr w:rsidR="00E51CDD" w:rsidRPr="00E51CDD" w14:paraId="5C4B5E2B" w14:textId="77777777" w:rsidTr="009938D9">
        <w:trPr>
          <w:gridAfter w:val="1"/>
          <w:wAfter w:w="9" w:type="pct"/>
        </w:trPr>
        <w:tc>
          <w:tcPr>
            <w:tcW w:w="1340" w:type="pct"/>
            <w:shd w:val="clear" w:color="auto" w:fill="auto"/>
          </w:tcPr>
          <w:p w14:paraId="7EA9BDE9" w14:textId="77777777" w:rsidR="00E51CDD" w:rsidRPr="00E51CDD" w:rsidRDefault="00E51CDD" w:rsidP="00E51CDD">
            <w:pPr>
              <w:widowControl w:val="0"/>
              <w:jc w:val="both"/>
              <w:rPr>
                <w:i/>
                <w:iCs/>
                <w:lang w:val="en-GB"/>
              </w:rPr>
            </w:pPr>
            <w:r w:rsidRPr="00E51CDD">
              <w:rPr>
                <w:i/>
                <w:iCs/>
                <w:lang w:val="en-GB"/>
              </w:rPr>
              <w:t xml:space="preserve">Duplication </w:t>
            </w:r>
            <w:r w:rsidRPr="00E51CDD">
              <w:rPr>
                <w:i/>
                <w:iCs/>
                <w:lang w:val="en-GB"/>
              </w:rPr>
              <w:br/>
              <w:t>(if vertebrate study)</w:t>
            </w:r>
          </w:p>
        </w:tc>
        <w:tc>
          <w:tcPr>
            <w:tcW w:w="3651" w:type="pct"/>
            <w:gridSpan w:val="2"/>
            <w:shd w:val="clear" w:color="auto" w:fill="auto"/>
          </w:tcPr>
          <w:p w14:paraId="50E780F7" w14:textId="77777777" w:rsidR="00E51CDD" w:rsidRPr="00E51CDD" w:rsidRDefault="00E51CDD" w:rsidP="00E51CDD">
            <w:pPr>
              <w:widowControl w:val="0"/>
              <w:spacing w:after="120"/>
              <w:jc w:val="both"/>
              <w:rPr>
                <w:i/>
                <w:iCs/>
                <w:lang w:val="en-GB"/>
              </w:rPr>
            </w:pPr>
            <w:r w:rsidRPr="00E51CDD">
              <w:rPr>
                <w:i/>
                <w:iCs/>
                <w:lang w:val="en-GB"/>
              </w:rPr>
              <w:t xml:space="preserve">No </w:t>
            </w:r>
          </w:p>
        </w:tc>
      </w:tr>
    </w:tbl>
    <w:p w14:paraId="52687AAD" w14:textId="77777777" w:rsidR="00E51CDD" w:rsidRPr="00E51CDD" w:rsidRDefault="00E51CDD" w:rsidP="00E51CDD">
      <w:pPr>
        <w:widowControl w:val="0"/>
        <w:tabs>
          <w:tab w:val="left" w:pos="425"/>
          <w:tab w:val="left" w:pos="850"/>
        </w:tabs>
        <w:ind w:left="2835" w:hanging="2835"/>
        <w:jc w:val="both"/>
        <w:rPr>
          <w:b/>
        </w:rPr>
      </w:pPr>
    </w:p>
    <w:bookmarkEnd w:id="1110"/>
    <w:p w14:paraId="0D371DA3" w14:textId="77777777" w:rsidR="00E51CDD" w:rsidRPr="00E51CDD" w:rsidRDefault="00E51CDD" w:rsidP="00E51CDD">
      <w:pPr>
        <w:widowControl w:val="0"/>
        <w:tabs>
          <w:tab w:val="left" w:pos="425"/>
          <w:tab w:val="left" w:pos="850"/>
        </w:tabs>
        <w:ind w:left="2835" w:hanging="2835"/>
        <w:jc w:val="both"/>
        <w:rPr>
          <w:b/>
        </w:rPr>
      </w:pPr>
      <w:r w:rsidRPr="00E51CDD">
        <w:rPr>
          <w:b/>
        </w:rPr>
        <w:br w:type="page"/>
      </w:r>
    </w:p>
    <w:p w14:paraId="1678A114" w14:textId="77777777" w:rsidR="00E51CDD" w:rsidRPr="00E51CDD" w:rsidRDefault="00E51CDD" w:rsidP="00E51CDD">
      <w:pPr>
        <w:widowControl w:val="0"/>
        <w:tabs>
          <w:tab w:val="left" w:pos="425"/>
          <w:tab w:val="left" w:pos="850"/>
        </w:tabs>
        <w:ind w:left="2835" w:hanging="2835"/>
        <w:jc w:val="both"/>
        <w:rPr>
          <w:b/>
        </w:rPr>
      </w:pPr>
      <w:r w:rsidRPr="00E51CDD">
        <w:rPr>
          <w:b/>
        </w:rPr>
        <w:lastRenderedPageBreak/>
        <w:t>Executive Summary</w:t>
      </w:r>
    </w:p>
    <w:p w14:paraId="2CC82BD9" w14:textId="77777777" w:rsidR="00E51CDD" w:rsidRPr="00E51CDD" w:rsidRDefault="00E51CDD" w:rsidP="00E51CDD">
      <w:pPr>
        <w:jc w:val="both"/>
        <w:rPr>
          <w:lang w:val="en-GB" w:eastAsia="en-US"/>
        </w:rPr>
      </w:pPr>
    </w:p>
    <w:p w14:paraId="1646E46C" w14:textId="77777777" w:rsidR="00E51CDD" w:rsidRPr="00E51CDD" w:rsidRDefault="00E51CDD" w:rsidP="00E51CDD">
      <w:pPr>
        <w:jc w:val="both"/>
        <w:rPr>
          <w:lang w:val="en-GB" w:eastAsia="en-US"/>
        </w:rPr>
      </w:pPr>
      <w:r w:rsidRPr="00E51CDD">
        <w:rPr>
          <w:lang w:val="en-GB" w:eastAsia="en-US"/>
        </w:rPr>
        <w:t>An acute oral avian toxicity test with BAS 700 F was conducted. The objective of the study was to test the item on its acute toxicity in the zebra finch and to determine the LD</w:t>
      </w:r>
      <w:r w:rsidRPr="00E51CDD">
        <w:rPr>
          <w:vertAlign w:val="subscript"/>
          <w:lang w:val="en-GB" w:eastAsia="en-US"/>
        </w:rPr>
        <w:t>50</w:t>
      </w:r>
      <w:r w:rsidRPr="00E51CDD">
        <w:rPr>
          <w:lang w:val="en-GB" w:eastAsia="en-US"/>
        </w:rPr>
        <w:t xml:space="preserve"> and the no observed effect level (NOEL). The test item was administered via a single-dose of 500, 1000 or 2000 mg BAS 700 F/kg b.w. to 1 – 2 month old zebra finches. Ten birds (5 males and 5 females) were used in each group. The doses were suspended in 0.5% aqueous carboxyl methyl cellulose as a carrier which was applied once by gavage in the crop. Feed was removed for 19 - 21 hours prior to dosing. </w:t>
      </w:r>
    </w:p>
    <w:p w14:paraId="38B5CCBD" w14:textId="77777777" w:rsidR="00E51CDD" w:rsidRPr="00E51CDD" w:rsidRDefault="00E51CDD" w:rsidP="00E51CDD">
      <w:pPr>
        <w:jc w:val="both"/>
        <w:rPr>
          <w:lang w:val="en-GB" w:eastAsia="en-US"/>
        </w:rPr>
      </w:pPr>
    </w:p>
    <w:p w14:paraId="317C4FC5" w14:textId="77777777" w:rsidR="00E51CDD" w:rsidRPr="00E51CDD" w:rsidRDefault="00E51CDD" w:rsidP="00E51CDD">
      <w:pPr>
        <w:jc w:val="both"/>
        <w:rPr>
          <w:lang w:val="en-GB" w:eastAsia="en-US"/>
        </w:rPr>
      </w:pPr>
      <w:r w:rsidRPr="00E51CDD">
        <w:rPr>
          <w:lang w:val="en-GB" w:eastAsia="en-US"/>
        </w:rPr>
        <w:t>All groups were observed for mortality, signs of clinical toxicity, impact on food consumption and body weight for 14 consecutive days post dosing. Afterwards a gross post-mortem examination was conducted. All groups received food and water ad libitum throughout the test. The test was terminated after 14 days.</w:t>
      </w:r>
    </w:p>
    <w:p w14:paraId="090CFBA2" w14:textId="77777777" w:rsidR="00E51CDD" w:rsidRPr="00E51CDD" w:rsidRDefault="00E51CDD" w:rsidP="00E51CDD">
      <w:pPr>
        <w:jc w:val="both"/>
        <w:rPr>
          <w:lang w:val="en-GB" w:eastAsia="en-US"/>
        </w:rPr>
      </w:pPr>
    </w:p>
    <w:p w14:paraId="521E18C4" w14:textId="77777777" w:rsidR="00E51CDD" w:rsidRPr="00E51CDD" w:rsidRDefault="00E51CDD" w:rsidP="00E51CDD">
      <w:pPr>
        <w:jc w:val="both"/>
        <w:rPr>
          <w:lang w:val="en-GB" w:eastAsia="en-US"/>
        </w:rPr>
      </w:pPr>
      <w:r w:rsidRPr="00E51CDD">
        <w:rPr>
          <w:color w:val="000000"/>
          <w:lang w:eastAsia="en-US"/>
        </w:rPr>
        <w:t xml:space="preserve">In males, no mortality and no toxic signs were observed in the control and any of the test item treatments up to the </w:t>
      </w:r>
      <w:r w:rsidRPr="00E51CDD">
        <w:rPr>
          <w:lang w:val="en-GB" w:eastAsia="en-US"/>
        </w:rPr>
        <w:t xml:space="preserve">highest tested concentration of 2000 mg BAS 700 mg/kg b.w.. </w:t>
      </w:r>
    </w:p>
    <w:p w14:paraId="67A909C4" w14:textId="77777777" w:rsidR="00E51CDD" w:rsidRPr="00E51CDD" w:rsidRDefault="00E51CDD" w:rsidP="00E51CDD">
      <w:pPr>
        <w:jc w:val="both"/>
        <w:rPr>
          <w:lang w:val="en-GB" w:eastAsia="en-US"/>
        </w:rPr>
      </w:pPr>
    </w:p>
    <w:p w14:paraId="5AE899FD" w14:textId="77777777" w:rsidR="00E51CDD" w:rsidRPr="00E51CDD" w:rsidRDefault="00E51CDD" w:rsidP="00E51CDD">
      <w:pPr>
        <w:jc w:val="both"/>
        <w:rPr>
          <w:lang w:val="en-GB" w:eastAsia="en-US"/>
        </w:rPr>
      </w:pPr>
      <w:r w:rsidRPr="00E51CDD">
        <w:rPr>
          <w:lang w:val="en-GB" w:eastAsia="en-US"/>
        </w:rPr>
        <w:t>No substance-related impairment of feed uptake in comparison to the control was observed in any of the dose groups. No statistically significant substance-related reduction of the body weights in the male and female birds was observed on day 7 and at day 14 (sacrifice) in any of the dose groups compared to the control and the body weight development was not impaired compared to the control group. No substance-related abnormalities were detected in surviving birds after sacrifice. In one female bird of the control group a clay-like coloration of the liver was observed.</w:t>
      </w:r>
    </w:p>
    <w:p w14:paraId="28686D6E" w14:textId="77777777" w:rsidR="00E51CDD" w:rsidRPr="00E51CDD" w:rsidRDefault="00E51CDD" w:rsidP="00E51CDD">
      <w:pPr>
        <w:jc w:val="both"/>
        <w:rPr>
          <w:lang w:val="en-GB" w:eastAsia="en-US"/>
        </w:rPr>
      </w:pPr>
    </w:p>
    <w:p w14:paraId="493AEBBA" w14:textId="77777777" w:rsidR="00E51CDD" w:rsidRPr="00E51CDD" w:rsidRDefault="00E51CDD" w:rsidP="00E51CDD">
      <w:pPr>
        <w:jc w:val="both"/>
        <w:rPr>
          <w:b/>
          <w:lang w:val="en-GB" w:eastAsia="en-US"/>
        </w:rPr>
      </w:pPr>
      <w:r w:rsidRPr="00E51CDD">
        <w:rPr>
          <w:b/>
          <w:lang w:val="en-GB" w:eastAsia="en-US"/>
        </w:rPr>
        <w:t>In an acute toxicity test with the zebra finch, the LD</w:t>
      </w:r>
      <w:r w:rsidRPr="00E51CDD">
        <w:rPr>
          <w:b/>
          <w:vertAlign w:val="subscript"/>
          <w:lang w:val="en-GB" w:eastAsia="en-US"/>
        </w:rPr>
        <w:t>50</w:t>
      </w:r>
      <w:r w:rsidRPr="00E51CDD">
        <w:rPr>
          <w:b/>
          <w:lang w:val="en-GB" w:eastAsia="en-US"/>
        </w:rPr>
        <w:t xml:space="preserve"> of BAS 700 F was &gt; 2000 mg/kg b.w.. The NOEL was ≥ 2000 mg/kg b.w..</w:t>
      </w:r>
    </w:p>
    <w:p w14:paraId="74722572" w14:textId="77777777" w:rsidR="00E51CDD" w:rsidRPr="00E51CDD" w:rsidRDefault="00E51CDD" w:rsidP="00E51CDD">
      <w:pPr>
        <w:widowControl w:val="0"/>
        <w:jc w:val="both"/>
        <w:rPr>
          <w:lang w:val="en-GB"/>
        </w:rPr>
      </w:pPr>
    </w:p>
    <w:p w14:paraId="5A136F50" w14:textId="77777777" w:rsidR="00E51CDD" w:rsidRPr="00E51CDD" w:rsidRDefault="00E51CDD" w:rsidP="00E51CDD">
      <w:pPr>
        <w:widowControl w:val="0"/>
        <w:suppressAutoHyphens/>
        <w:jc w:val="both"/>
        <w:rPr>
          <w:b/>
        </w:rPr>
      </w:pPr>
      <w:r w:rsidRPr="00E51CDD">
        <w:rPr>
          <w:b/>
        </w:rPr>
        <w:br w:type="page"/>
      </w:r>
    </w:p>
    <w:p w14:paraId="36A2354B" w14:textId="77777777" w:rsidR="00E51CDD" w:rsidRPr="00E51CDD" w:rsidRDefault="00E51CDD" w:rsidP="00E51CDD">
      <w:pPr>
        <w:tabs>
          <w:tab w:val="left" w:pos="425"/>
          <w:tab w:val="left" w:pos="850"/>
        </w:tabs>
        <w:ind w:left="2835" w:hanging="2835"/>
        <w:rPr>
          <w:b/>
          <w:bCs/>
        </w:rPr>
      </w:pPr>
      <w:r w:rsidRPr="00E51CDD">
        <w:rPr>
          <w:b/>
          <w:bCs/>
        </w:rPr>
        <w:lastRenderedPageBreak/>
        <w:t>I.</w:t>
      </w:r>
      <w:r w:rsidRPr="00E51CDD">
        <w:rPr>
          <w:b/>
          <w:bCs/>
        </w:rPr>
        <w:tab/>
        <w:t>MATERIAL AND METHODS</w:t>
      </w:r>
    </w:p>
    <w:p w14:paraId="07E340F0" w14:textId="77777777" w:rsidR="00E51CDD" w:rsidRPr="00E51CDD" w:rsidRDefault="00E51CDD" w:rsidP="00E51CDD">
      <w:pPr>
        <w:widowControl w:val="0"/>
        <w:ind w:left="2410" w:hanging="2410"/>
        <w:jc w:val="both"/>
      </w:pPr>
    </w:p>
    <w:p w14:paraId="343EDDA0" w14:textId="77777777" w:rsidR="00E51CDD" w:rsidRPr="00E51CDD" w:rsidRDefault="00E51CDD" w:rsidP="00E51CDD">
      <w:pPr>
        <w:tabs>
          <w:tab w:val="left" w:pos="425"/>
          <w:tab w:val="left" w:pos="850"/>
        </w:tabs>
        <w:ind w:left="2835" w:hanging="2835"/>
        <w:rPr>
          <w:b/>
          <w:bCs/>
        </w:rPr>
      </w:pPr>
      <w:r w:rsidRPr="00E51CDD">
        <w:rPr>
          <w:b/>
          <w:bCs/>
        </w:rPr>
        <w:t>A.</w:t>
      </w:r>
      <w:r w:rsidRPr="00E51CDD">
        <w:rPr>
          <w:b/>
          <w:bCs/>
        </w:rPr>
        <w:tab/>
        <w:t>MATERIALS</w:t>
      </w:r>
    </w:p>
    <w:p w14:paraId="6AC923EE" w14:textId="77777777" w:rsidR="00E51CDD" w:rsidRPr="00E51CDD" w:rsidRDefault="00E51CDD" w:rsidP="00E51CDD">
      <w:pPr>
        <w:widowControl w:val="0"/>
        <w:tabs>
          <w:tab w:val="left" w:pos="425"/>
          <w:tab w:val="left" w:pos="850"/>
        </w:tabs>
        <w:suppressAutoHyphens/>
        <w:ind w:left="2835" w:hanging="2835"/>
        <w:jc w:val="both"/>
      </w:pPr>
    </w:p>
    <w:p w14:paraId="41745560" w14:textId="77777777" w:rsidR="00E51CDD" w:rsidRPr="00E51CDD" w:rsidRDefault="00E51CDD" w:rsidP="00E51CDD">
      <w:pPr>
        <w:widowControl w:val="0"/>
        <w:ind w:left="2410" w:hanging="2410"/>
        <w:jc w:val="both"/>
      </w:pPr>
    </w:p>
    <w:p w14:paraId="26FC1DB7" w14:textId="77777777" w:rsidR="00E51CDD" w:rsidRPr="00E51CDD" w:rsidRDefault="00E51CDD" w:rsidP="00E51CDD">
      <w:pPr>
        <w:widowControl w:val="0"/>
        <w:ind w:left="2410" w:hanging="2410"/>
        <w:jc w:val="both"/>
      </w:pPr>
      <w:r w:rsidRPr="00E51CDD">
        <w:t xml:space="preserve">Test item: </w:t>
      </w:r>
      <w:r w:rsidRPr="00E51CDD">
        <w:tab/>
        <w:t>BAS 700 F; batch no. COD-001049 content of a.s.: BAS 700 F, (Reg. No. 5094351)</w:t>
      </w:r>
    </w:p>
    <w:p w14:paraId="310CC727" w14:textId="77777777" w:rsidR="00E51CDD" w:rsidRPr="00E51CDD" w:rsidRDefault="00E51CDD" w:rsidP="00E51CDD">
      <w:pPr>
        <w:widowControl w:val="0"/>
        <w:ind w:left="2410" w:hanging="2410"/>
        <w:jc w:val="both"/>
      </w:pPr>
    </w:p>
    <w:p w14:paraId="5240FC8E" w14:textId="77777777" w:rsidR="00E51CDD" w:rsidRPr="00E51CDD" w:rsidRDefault="00E51CDD" w:rsidP="00E51CDD">
      <w:pPr>
        <w:tabs>
          <w:tab w:val="left" w:pos="425"/>
          <w:tab w:val="left" w:pos="850"/>
        </w:tabs>
        <w:ind w:left="2835" w:hanging="2835"/>
        <w:rPr>
          <w:b/>
          <w:bCs/>
        </w:rPr>
      </w:pPr>
      <w:r w:rsidRPr="00E51CDD">
        <w:rPr>
          <w:b/>
          <w:bCs/>
        </w:rPr>
        <w:t>B.</w:t>
      </w:r>
      <w:r w:rsidRPr="00E51CDD">
        <w:rPr>
          <w:b/>
          <w:bCs/>
        </w:rPr>
        <w:tab/>
        <w:t>STUDY DESIGN</w:t>
      </w:r>
    </w:p>
    <w:p w14:paraId="2225C82D" w14:textId="77777777" w:rsidR="00E51CDD" w:rsidRPr="00E51CDD" w:rsidRDefault="00E51CDD" w:rsidP="00E51CDD">
      <w:pPr>
        <w:widowControl w:val="0"/>
        <w:suppressAutoHyphens/>
        <w:ind w:left="2410" w:hanging="2410"/>
        <w:jc w:val="both"/>
      </w:pPr>
    </w:p>
    <w:p w14:paraId="1E7D321A" w14:textId="77777777" w:rsidR="00E51CDD" w:rsidRPr="00E51CDD" w:rsidRDefault="00E51CDD" w:rsidP="00E51CDD">
      <w:pPr>
        <w:widowControl w:val="0"/>
        <w:ind w:left="2410" w:hanging="2410"/>
        <w:jc w:val="both"/>
      </w:pPr>
      <w:r w:rsidRPr="00E51CDD">
        <w:t>Test species:</w:t>
      </w:r>
      <w:r w:rsidRPr="00E51CDD">
        <w:tab/>
        <w:t>Zebra finch (</w:t>
      </w:r>
      <w:r w:rsidRPr="00E51CDD">
        <w:rPr>
          <w:i/>
        </w:rPr>
        <w:t>Taeniopygia guttata</w:t>
      </w:r>
      <w:r w:rsidRPr="00E51CDD">
        <w:t>); indistinguishable from wild birds; age: approx. 1 - 2 month; source: Kölle-Zoo, Ludwigshafen, Germany</w:t>
      </w:r>
    </w:p>
    <w:p w14:paraId="43F7DB6C" w14:textId="77777777" w:rsidR="00E51CDD" w:rsidRPr="00E51CDD" w:rsidRDefault="00E51CDD" w:rsidP="00E51CDD">
      <w:pPr>
        <w:widowControl w:val="0"/>
        <w:ind w:left="2410" w:hanging="2410"/>
        <w:jc w:val="both"/>
      </w:pPr>
    </w:p>
    <w:p w14:paraId="16A99F1F" w14:textId="77777777" w:rsidR="00E51CDD" w:rsidRPr="00E51CDD" w:rsidRDefault="00E51CDD" w:rsidP="00E51CDD">
      <w:pPr>
        <w:widowControl w:val="0"/>
        <w:ind w:left="2410" w:hanging="2410"/>
        <w:jc w:val="both"/>
      </w:pPr>
      <w:r w:rsidRPr="00E51CDD">
        <w:t>Test design:</w:t>
      </w:r>
      <w:r w:rsidRPr="00E51CDD">
        <w:tab/>
        <w:t xml:space="preserve">Birds were administered different doses of the test item BAS 700 F with the carrier of 0.5% aqueous carboxy methyl cellulose suspension in bidistilled water, in a total amount of 10 g per kg body weight by gavage into the crop; 5 males and 5 females per dose group were used; observation period of 14 days; assessment of mortality and signs of clinical toxicity was carried out three times on day of dosing, daily thereafter; assessment of body weight was carried out on day 7 and 14. Gross-mortem examinations of all birds at termination of the test were conducted. </w:t>
      </w:r>
    </w:p>
    <w:p w14:paraId="044A166C" w14:textId="77777777" w:rsidR="00E51CDD" w:rsidRPr="00E51CDD" w:rsidRDefault="00E51CDD" w:rsidP="00E51CDD">
      <w:pPr>
        <w:widowControl w:val="0"/>
        <w:jc w:val="both"/>
      </w:pPr>
    </w:p>
    <w:p w14:paraId="294ADC84" w14:textId="77777777" w:rsidR="00E51CDD" w:rsidRPr="00E51CDD" w:rsidRDefault="00E51CDD" w:rsidP="00E51CDD">
      <w:pPr>
        <w:widowControl w:val="0"/>
        <w:ind w:left="2410" w:hanging="2410"/>
        <w:jc w:val="both"/>
      </w:pPr>
      <w:r w:rsidRPr="00E51CDD">
        <w:t>Endpoints:</w:t>
      </w:r>
      <w:r w:rsidRPr="00E51CDD">
        <w:tab/>
        <w:t>LD</w:t>
      </w:r>
      <w:r w:rsidRPr="00E51CDD">
        <w:rPr>
          <w:vertAlign w:val="subscript"/>
        </w:rPr>
        <w:t>50</w:t>
      </w:r>
      <w:r w:rsidRPr="00E51CDD">
        <w:t xml:space="preserve">, mortality, clinical signs, feed consumption, body weight (b.w.), gross pathological examinations were conducted on all birds sacrificed at the termination of the test. </w:t>
      </w:r>
    </w:p>
    <w:p w14:paraId="37FA7F08" w14:textId="77777777" w:rsidR="00E51CDD" w:rsidRPr="00E51CDD" w:rsidRDefault="00E51CDD" w:rsidP="00E51CDD">
      <w:pPr>
        <w:widowControl w:val="0"/>
        <w:jc w:val="both"/>
      </w:pPr>
    </w:p>
    <w:p w14:paraId="1FE82FE6" w14:textId="77777777" w:rsidR="00E51CDD" w:rsidRPr="00E51CDD" w:rsidRDefault="00E51CDD" w:rsidP="00E51CDD">
      <w:pPr>
        <w:widowControl w:val="0"/>
        <w:ind w:left="2410" w:hanging="2410"/>
        <w:jc w:val="both"/>
      </w:pPr>
      <w:r w:rsidRPr="00E51CDD">
        <w:t>Test concentrations:</w:t>
      </w:r>
      <w:r w:rsidRPr="00E51CDD">
        <w:tab/>
        <w:t xml:space="preserve">Control, 500, 1000 and 2000 mg </w:t>
      </w:r>
      <w:r w:rsidRPr="00E51CDD">
        <w:rPr>
          <w:bCs/>
        </w:rPr>
        <w:t>BAS 700 mg a.s.</w:t>
      </w:r>
      <w:r w:rsidRPr="00E51CDD">
        <w:t>/kg b.w.</w:t>
      </w:r>
    </w:p>
    <w:p w14:paraId="298243CD" w14:textId="77777777" w:rsidR="00E51CDD" w:rsidRPr="00E51CDD" w:rsidRDefault="00E51CDD" w:rsidP="00E51CDD">
      <w:pPr>
        <w:widowControl w:val="0"/>
        <w:jc w:val="both"/>
      </w:pPr>
    </w:p>
    <w:p w14:paraId="056FE0A0" w14:textId="77777777" w:rsidR="00E51CDD" w:rsidRPr="00E51CDD" w:rsidRDefault="00E51CDD" w:rsidP="00E51CDD">
      <w:pPr>
        <w:widowControl w:val="0"/>
        <w:ind w:left="2410" w:hanging="2410"/>
        <w:jc w:val="both"/>
      </w:pPr>
      <w:r w:rsidRPr="00E51CDD">
        <w:t xml:space="preserve">Test conditions: </w:t>
      </w:r>
      <w:r w:rsidRPr="00E51CDD">
        <w:tab/>
        <w:t>Birds fasted for about 19 - 21 h before administration of the test item; temperature 20.0 °C to 24.4 °C, deviation for 2 days, 21 h and 45 min from the temperature range of 20.8 °C – 23.4 °C; relative humidity: 45% - 75%, deviation of 1 day, 15 h and 30 minutes above the limit of 45% - 70%; deviation of 22 h and 15 minutes below the limit of 45% - 70%; photoperiod: 8 hours light : 16 hours dark.</w:t>
      </w:r>
    </w:p>
    <w:p w14:paraId="300902BD" w14:textId="77777777" w:rsidR="00E51CDD" w:rsidRPr="00E51CDD" w:rsidRDefault="00E51CDD" w:rsidP="00E51CDD">
      <w:pPr>
        <w:widowControl w:val="0"/>
        <w:ind w:left="2410" w:hanging="2410"/>
        <w:jc w:val="both"/>
      </w:pPr>
    </w:p>
    <w:p w14:paraId="64BAD15E" w14:textId="77777777" w:rsidR="00E51CDD" w:rsidRPr="00E51CDD" w:rsidRDefault="00E51CDD" w:rsidP="00E51CDD">
      <w:pPr>
        <w:widowControl w:val="0"/>
        <w:autoSpaceDE w:val="0"/>
        <w:autoSpaceDN w:val="0"/>
        <w:adjustRightInd w:val="0"/>
        <w:ind w:left="2410" w:hanging="2410"/>
        <w:jc w:val="both"/>
      </w:pPr>
      <w:r w:rsidRPr="00E51CDD">
        <w:t xml:space="preserve">Analytics: </w:t>
      </w:r>
      <w:r w:rsidRPr="00E51CDD">
        <w:tab/>
        <w:t>The test substance concentrations were analysed using HPLC.</w:t>
      </w:r>
    </w:p>
    <w:p w14:paraId="6DFEF2A4" w14:textId="77777777" w:rsidR="00E51CDD" w:rsidRPr="00E51CDD" w:rsidRDefault="00E51CDD" w:rsidP="00E51CDD">
      <w:pPr>
        <w:widowControl w:val="0"/>
        <w:suppressAutoHyphens/>
        <w:jc w:val="both"/>
      </w:pPr>
    </w:p>
    <w:p w14:paraId="68AF6234" w14:textId="77777777" w:rsidR="00E51CDD" w:rsidRPr="00E51CDD" w:rsidRDefault="00E51CDD" w:rsidP="00E51CDD">
      <w:pPr>
        <w:widowControl w:val="0"/>
        <w:ind w:left="2410" w:hanging="2410"/>
        <w:jc w:val="both"/>
      </w:pPr>
      <w:r w:rsidRPr="00E51CDD">
        <w:t>Statistics:</w:t>
      </w:r>
      <w:r w:rsidRPr="00E51CDD">
        <w:tab/>
        <w:t>Descriptive statistics, Dunnett-test for body weight data (</w:t>
      </w:r>
      <w:r w:rsidRPr="00E51CDD">
        <w:sym w:font="Symbol" w:char="0061"/>
      </w:r>
      <w:r w:rsidRPr="00E51CDD">
        <w:t xml:space="preserve"> = 0.05).</w:t>
      </w:r>
    </w:p>
    <w:p w14:paraId="2B5762FF" w14:textId="77777777" w:rsidR="00E51CDD" w:rsidRPr="00E51CDD" w:rsidRDefault="00E51CDD" w:rsidP="00E51CDD"/>
    <w:p w14:paraId="527D9F03" w14:textId="77777777" w:rsidR="00E51CDD" w:rsidRPr="00E51CDD" w:rsidRDefault="00E51CDD" w:rsidP="00E51CDD">
      <w:r w:rsidRPr="00E51CDD">
        <w:br w:type="page"/>
      </w:r>
    </w:p>
    <w:p w14:paraId="384A0FC8" w14:textId="77777777" w:rsidR="00E51CDD" w:rsidRPr="00E51CDD" w:rsidRDefault="00E51CDD" w:rsidP="00E51CDD">
      <w:pPr>
        <w:jc w:val="both"/>
        <w:rPr>
          <w:b/>
          <w:bCs/>
          <w:caps/>
        </w:rPr>
      </w:pPr>
      <w:r w:rsidRPr="00E51CDD">
        <w:rPr>
          <w:b/>
          <w:bCs/>
          <w:caps/>
        </w:rPr>
        <w:lastRenderedPageBreak/>
        <w:t>C.</w:t>
      </w:r>
      <w:r w:rsidRPr="00E51CDD">
        <w:rPr>
          <w:b/>
          <w:bCs/>
          <w:caps/>
        </w:rPr>
        <w:tab/>
        <w:t>Description of the analytical procedures</w:t>
      </w:r>
    </w:p>
    <w:p w14:paraId="0C4C2F65" w14:textId="77777777" w:rsidR="00E51CDD" w:rsidRPr="00E51CDD" w:rsidRDefault="00E51CDD" w:rsidP="00E51CDD">
      <w:pPr>
        <w:rPr>
          <w:b/>
        </w:rPr>
      </w:pPr>
    </w:p>
    <w:p w14:paraId="61C2F0F5" w14:textId="77777777" w:rsidR="00E51CDD" w:rsidRPr="00E51CDD" w:rsidRDefault="00E51CDD" w:rsidP="00E51CDD">
      <w:pPr>
        <w:jc w:val="both"/>
        <w:rPr>
          <w:bCs/>
        </w:rPr>
      </w:pPr>
      <w:r w:rsidRPr="00E51CDD">
        <w:rPr>
          <w:bCs/>
        </w:rPr>
        <w:t xml:space="preserve">Concentrations of BAS 700 F in 0.5% aqueous carboxy methyl cellulose were determined using the method described within the study report. </w:t>
      </w:r>
      <w:r w:rsidRPr="00E51CDD">
        <w:rPr>
          <w:color w:val="000000"/>
        </w:rPr>
        <w:t xml:space="preserve">The samples were diluted with acetonitrile/highly deionized water 1/1 (v/v) into measuring flasks and filled up to a total volume of 100mL (sample 1) and 200mL (sample 2, 3). The sample 3 was further diluted with acetonitrile/highly deionized water 1/1 (v/v) at a ratio of 1:1. Aliquots of the samples were used for HPLC- analysis. The determination was performed by HPLC-UV detection. The limit of quantification (LOQ) was 164.5 mg/L and the limit of detection (LOD) was not given. </w:t>
      </w:r>
      <w:r w:rsidRPr="00E51CDD">
        <w:rPr>
          <w:bCs/>
        </w:rPr>
        <w:t>Details on measured fortification samples and obtained procedural recoveries for BAS 700 F are given in the table below.</w:t>
      </w:r>
    </w:p>
    <w:p w14:paraId="0EA2DAD9" w14:textId="77777777" w:rsidR="00E51CDD" w:rsidRPr="00E51CDD" w:rsidRDefault="00E51CDD" w:rsidP="00E51CDD">
      <w:pPr>
        <w:widowControl w:val="0"/>
        <w:tabs>
          <w:tab w:val="left" w:pos="-720"/>
        </w:tabs>
        <w:jc w:val="both"/>
        <w:rPr>
          <w:rFonts w:eastAsia="Batang"/>
          <w:bCs/>
        </w:rPr>
      </w:pPr>
    </w:p>
    <w:p w14:paraId="18B26344" w14:textId="6AECEFAA" w:rsidR="00E51CDD" w:rsidRPr="00E51CDD" w:rsidRDefault="00E51CDD" w:rsidP="00E51CDD">
      <w:pPr>
        <w:widowControl w:val="0"/>
        <w:tabs>
          <w:tab w:val="left" w:pos="-720"/>
        </w:tabs>
        <w:jc w:val="both"/>
        <w:rPr>
          <w:b/>
        </w:rPr>
      </w:pPr>
      <w:r w:rsidRPr="00E51CDD">
        <w:rPr>
          <w:b/>
        </w:rPr>
        <w:t xml:space="preserve">Table A </w:t>
      </w:r>
      <w:r w:rsidRPr="00E51CDD">
        <w:rPr>
          <w:b/>
        </w:rPr>
        <w:fldChar w:fldCharType="begin"/>
      </w:r>
      <w:r w:rsidRPr="00E51CDD">
        <w:rPr>
          <w:b/>
        </w:rPr>
        <w:instrText xml:space="preserve"> SEQ Table_A \* ARABIC </w:instrText>
      </w:r>
      <w:r w:rsidRPr="00E51CDD">
        <w:rPr>
          <w:b/>
        </w:rPr>
        <w:fldChar w:fldCharType="separate"/>
      </w:r>
      <w:r w:rsidR="00662F32">
        <w:rPr>
          <w:b/>
          <w:noProof/>
        </w:rPr>
        <w:t>1</w:t>
      </w:r>
      <w:r w:rsidRPr="00E51CDD">
        <w:rPr>
          <w:b/>
        </w:rPr>
        <w:fldChar w:fldCharType="end"/>
      </w:r>
      <w:r w:rsidRPr="00E51CDD">
        <w:rPr>
          <w:b/>
        </w:rPr>
        <w:t>:</w:t>
      </w:r>
      <w:r w:rsidRPr="00E51CDD">
        <w:rPr>
          <w:b/>
        </w:rPr>
        <w:tab/>
        <w:t>Procedural recoveries for BAS 700 F</w:t>
      </w:r>
    </w:p>
    <w:tbl>
      <w:tblPr>
        <w:tblStyle w:val="Tabela-Siatka"/>
        <w:tblW w:w="5000" w:type="pct"/>
        <w:tblLook w:val="04A0" w:firstRow="1" w:lastRow="0" w:firstColumn="1" w:lastColumn="0" w:noHBand="0" w:noVBand="1"/>
      </w:tblPr>
      <w:tblGrid>
        <w:gridCol w:w="2480"/>
        <w:gridCol w:w="2338"/>
        <w:gridCol w:w="1022"/>
        <w:gridCol w:w="1170"/>
        <w:gridCol w:w="1024"/>
        <w:gridCol w:w="1310"/>
      </w:tblGrid>
      <w:tr w:rsidR="00E51CDD" w:rsidRPr="00E51CDD" w14:paraId="7D13CD81" w14:textId="77777777" w:rsidTr="009938D9">
        <w:tc>
          <w:tcPr>
            <w:tcW w:w="1327" w:type="pct"/>
            <w:vMerge w:val="restart"/>
            <w:vAlign w:val="center"/>
          </w:tcPr>
          <w:p w14:paraId="0E96F688" w14:textId="77777777" w:rsidR="00E51CDD" w:rsidRPr="00E51CDD" w:rsidRDefault="00E51CDD" w:rsidP="00E51CDD">
            <w:pPr>
              <w:widowControl w:val="0"/>
              <w:tabs>
                <w:tab w:val="left" w:pos="-720"/>
              </w:tabs>
              <w:jc w:val="left"/>
              <w:rPr>
                <w:b/>
                <w:sz w:val="20"/>
                <w:szCs w:val="20"/>
              </w:rPr>
            </w:pPr>
            <w:r w:rsidRPr="00E51CDD">
              <w:rPr>
                <w:b/>
                <w:bCs/>
                <w:sz w:val="20"/>
                <w:szCs w:val="20"/>
                <w:lang w:val="en-GB"/>
              </w:rPr>
              <w:t>Matrix</w:t>
            </w:r>
          </w:p>
        </w:tc>
        <w:tc>
          <w:tcPr>
            <w:tcW w:w="1251" w:type="pct"/>
            <w:vMerge w:val="restart"/>
            <w:vAlign w:val="center"/>
          </w:tcPr>
          <w:p w14:paraId="507C762E" w14:textId="77777777" w:rsidR="00E51CDD" w:rsidRPr="00E51CDD" w:rsidRDefault="00E51CDD" w:rsidP="00E51CDD">
            <w:pPr>
              <w:widowControl w:val="0"/>
              <w:tabs>
                <w:tab w:val="left" w:pos="-720"/>
              </w:tabs>
              <w:rPr>
                <w:b/>
                <w:bCs/>
                <w:sz w:val="20"/>
                <w:szCs w:val="20"/>
                <w:lang w:val="en-GB"/>
              </w:rPr>
            </w:pPr>
            <w:r w:rsidRPr="00E51CDD">
              <w:rPr>
                <w:b/>
                <w:bCs/>
                <w:sz w:val="20"/>
                <w:szCs w:val="20"/>
                <w:lang w:val="en-GB"/>
              </w:rPr>
              <w:t>Fortification Level</w:t>
            </w:r>
            <w:r w:rsidRPr="00E51CDD">
              <w:rPr>
                <w:b/>
                <w:bCs/>
                <w:sz w:val="20"/>
                <w:szCs w:val="20"/>
                <w:lang w:val="en-GB"/>
              </w:rPr>
              <w:br/>
              <w:t>[g/50g]</w:t>
            </w:r>
          </w:p>
        </w:tc>
        <w:tc>
          <w:tcPr>
            <w:tcW w:w="2422" w:type="pct"/>
            <w:gridSpan w:val="4"/>
            <w:vAlign w:val="center"/>
          </w:tcPr>
          <w:p w14:paraId="51CE9415" w14:textId="77777777" w:rsidR="00E51CDD" w:rsidRPr="00E51CDD" w:rsidRDefault="00E51CDD" w:rsidP="00E51CDD">
            <w:pPr>
              <w:widowControl w:val="0"/>
              <w:tabs>
                <w:tab w:val="left" w:pos="-720"/>
              </w:tabs>
              <w:rPr>
                <w:b/>
                <w:sz w:val="20"/>
                <w:szCs w:val="20"/>
              </w:rPr>
            </w:pPr>
            <w:r w:rsidRPr="00E51CDD">
              <w:rPr>
                <w:b/>
                <w:bCs/>
                <w:sz w:val="20"/>
                <w:szCs w:val="20"/>
                <w:lang w:val="en-GB"/>
              </w:rPr>
              <w:t>BAS 700 F</w:t>
            </w:r>
          </w:p>
        </w:tc>
      </w:tr>
      <w:tr w:rsidR="00E51CDD" w:rsidRPr="00E51CDD" w14:paraId="7AB69950" w14:textId="77777777" w:rsidTr="009938D9">
        <w:tc>
          <w:tcPr>
            <w:tcW w:w="1327" w:type="pct"/>
            <w:vMerge/>
            <w:vAlign w:val="center"/>
          </w:tcPr>
          <w:p w14:paraId="7BBFD2EF" w14:textId="77777777" w:rsidR="00E51CDD" w:rsidRPr="00E51CDD" w:rsidRDefault="00E51CDD" w:rsidP="00E51CDD">
            <w:pPr>
              <w:widowControl w:val="0"/>
              <w:tabs>
                <w:tab w:val="left" w:pos="-720"/>
              </w:tabs>
              <w:jc w:val="left"/>
              <w:rPr>
                <w:b/>
                <w:sz w:val="20"/>
                <w:szCs w:val="20"/>
              </w:rPr>
            </w:pPr>
          </w:p>
        </w:tc>
        <w:tc>
          <w:tcPr>
            <w:tcW w:w="1251" w:type="pct"/>
            <w:vMerge/>
            <w:vAlign w:val="center"/>
          </w:tcPr>
          <w:p w14:paraId="090C0B72" w14:textId="77777777" w:rsidR="00E51CDD" w:rsidRPr="00E51CDD" w:rsidRDefault="00E51CDD" w:rsidP="00E51CDD">
            <w:pPr>
              <w:widowControl w:val="0"/>
              <w:tabs>
                <w:tab w:val="left" w:pos="-720"/>
              </w:tabs>
              <w:rPr>
                <w:b/>
                <w:sz w:val="20"/>
                <w:szCs w:val="20"/>
              </w:rPr>
            </w:pPr>
          </w:p>
        </w:tc>
        <w:tc>
          <w:tcPr>
            <w:tcW w:w="547" w:type="pct"/>
            <w:vAlign w:val="center"/>
          </w:tcPr>
          <w:p w14:paraId="2E1FC831" w14:textId="77777777" w:rsidR="00E51CDD" w:rsidRPr="00E51CDD" w:rsidRDefault="00E51CDD" w:rsidP="00E51CDD">
            <w:pPr>
              <w:widowControl w:val="0"/>
              <w:tabs>
                <w:tab w:val="left" w:pos="-720"/>
              </w:tabs>
              <w:rPr>
                <w:b/>
                <w:sz w:val="20"/>
                <w:szCs w:val="20"/>
              </w:rPr>
            </w:pPr>
            <w:r w:rsidRPr="00E51CDD">
              <w:rPr>
                <w:b/>
                <w:sz w:val="20"/>
                <w:szCs w:val="20"/>
              </w:rPr>
              <w:t>n</w:t>
            </w:r>
          </w:p>
        </w:tc>
        <w:tc>
          <w:tcPr>
            <w:tcW w:w="626" w:type="pct"/>
            <w:vAlign w:val="center"/>
          </w:tcPr>
          <w:p w14:paraId="144FC6FC" w14:textId="77777777" w:rsidR="00E51CDD" w:rsidRPr="00E51CDD" w:rsidRDefault="00E51CDD" w:rsidP="00E51CDD">
            <w:pPr>
              <w:autoSpaceDE w:val="0"/>
              <w:autoSpaceDN w:val="0"/>
              <w:adjustRightInd w:val="0"/>
              <w:rPr>
                <w:b/>
                <w:sz w:val="20"/>
                <w:szCs w:val="20"/>
              </w:rPr>
            </w:pPr>
            <w:r w:rsidRPr="00E51CDD">
              <w:rPr>
                <w:b/>
                <w:bCs/>
                <w:sz w:val="20"/>
                <w:szCs w:val="20"/>
                <w:lang w:val="en-GB"/>
              </w:rPr>
              <w:t>Mean</w:t>
            </w:r>
            <w:r w:rsidRPr="00E51CDD">
              <w:rPr>
                <w:b/>
                <w:bCs/>
                <w:sz w:val="20"/>
                <w:szCs w:val="20"/>
                <w:lang w:val="en-GB"/>
              </w:rPr>
              <w:br/>
              <w:t>[%]</w:t>
            </w:r>
          </w:p>
        </w:tc>
        <w:tc>
          <w:tcPr>
            <w:tcW w:w="548" w:type="pct"/>
            <w:vAlign w:val="center"/>
          </w:tcPr>
          <w:p w14:paraId="53917A74" w14:textId="77777777" w:rsidR="00E51CDD" w:rsidRPr="00E51CDD" w:rsidRDefault="00E51CDD" w:rsidP="00E51CDD">
            <w:pPr>
              <w:autoSpaceDE w:val="0"/>
              <w:autoSpaceDN w:val="0"/>
              <w:adjustRightInd w:val="0"/>
              <w:rPr>
                <w:b/>
                <w:sz w:val="20"/>
                <w:szCs w:val="20"/>
              </w:rPr>
            </w:pPr>
            <w:r w:rsidRPr="00E51CDD">
              <w:rPr>
                <w:b/>
                <w:bCs/>
                <w:sz w:val="20"/>
                <w:szCs w:val="20"/>
                <w:lang w:val="en-GB"/>
              </w:rPr>
              <w:t>SD</w:t>
            </w:r>
            <w:r w:rsidRPr="00E51CDD">
              <w:rPr>
                <w:b/>
                <w:bCs/>
                <w:sz w:val="20"/>
                <w:szCs w:val="20"/>
                <w:lang w:val="en-GB"/>
              </w:rPr>
              <w:br/>
              <w:t>[±]</w:t>
            </w:r>
          </w:p>
        </w:tc>
        <w:tc>
          <w:tcPr>
            <w:tcW w:w="701" w:type="pct"/>
            <w:vAlign w:val="center"/>
          </w:tcPr>
          <w:p w14:paraId="0F1383DE" w14:textId="77777777" w:rsidR="00E51CDD" w:rsidRPr="00E51CDD" w:rsidRDefault="00E51CDD" w:rsidP="00E51CDD">
            <w:pPr>
              <w:autoSpaceDE w:val="0"/>
              <w:autoSpaceDN w:val="0"/>
              <w:adjustRightInd w:val="0"/>
              <w:rPr>
                <w:b/>
                <w:sz w:val="20"/>
                <w:szCs w:val="20"/>
              </w:rPr>
            </w:pPr>
            <w:r w:rsidRPr="00E51CDD">
              <w:rPr>
                <w:b/>
                <w:bCs/>
                <w:sz w:val="20"/>
                <w:szCs w:val="20"/>
                <w:lang w:val="en-GB"/>
              </w:rPr>
              <w:t>RSD</w:t>
            </w:r>
            <w:r w:rsidRPr="00E51CDD">
              <w:rPr>
                <w:b/>
                <w:bCs/>
                <w:sz w:val="20"/>
                <w:szCs w:val="20"/>
                <w:lang w:val="en-GB"/>
              </w:rPr>
              <w:br/>
              <w:t>[%]</w:t>
            </w:r>
          </w:p>
        </w:tc>
      </w:tr>
      <w:tr w:rsidR="00E51CDD" w:rsidRPr="00E51CDD" w14:paraId="68CDCEDD" w14:textId="77777777" w:rsidTr="009938D9">
        <w:tc>
          <w:tcPr>
            <w:tcW w:w="1327" w:type="pct"/>
            <w:vAlign w:val="center"/>
          </w:tcPr>
          <w:p w14:paraId="4A247EB5" w14:textId="77777777" w:rsidR="00E51CDD" w:rsidRPr="00E51CDD" w:rsidRDefault="00E51CDD" w:rsidP="00E51CDD">
            <w:pPr>
              <w:widowControl w:val="0"/>
              <w:tabs>
                <w:tab w:val="left" w:pos="-720"/>
              </w:tabs>
              <w:jc w:val="left"/>
              <w:rPr>
                <w:bCs/>
                <w:sz w:val="20"/>
                <w:szCs w:val="20"/>
                <w:lang w:val="en-GB"/>
              </w:rPr>
            </w:pPr>
            <w:r w:rsidRPr="00E51CDD">
              <w:rPr>
                <w:sz w:val="20"/>
                <w:szCs w:val="20"/>
              </w:rPr>
              <w:t>Carboxy methyl cellulose</w:t>
            </w:r>
          </w:p>
        </w:tc>
        <w:tc>
          <w:tcPr>
            <w:tcW w:w="1251" w:type="pct"/>
            <w:tcBorders>
              <w:top w:val="single" w:sz="4" w:space="0" w:color="auto"/>
              <w:left w:val="single" w:sz="4" w:space="0" w:color="auto"/>
              <w:bottom w:val="single" w:sz="4" w:space="0" w:color="auto"/>
              <w:right w:val="single" w:sz="4" w:space="0" w:color="auto"/>
            </w:tcBorders>
            <w:shd w:val="clear" w:color="000000" w:fill="FFFFFF"/>
            <w:vAlign w:val="center"/>
          </w:tcPr>
          <w:p w14:paraId="751DCE47" w14:textId="77777777" w:rsidR="00E51CDD" w:rsidRPr="00E51CDD" w:rsidRDefault="00E51CDD" w:rsidP="00E51CDD">
            <w:pPr>
              <w:widowControl w:val="0"/>
              <w:tabs>
                <w:tab w:val="left" w:pos="-720"/>
              </w:tabs>
              <w:rPr>
                <w:bCs/>
                <w:sz w:val="20"/>
                <w:szCs w:val="20"/>
                <w:lang w:val="en-GB"/>
              </w:rPr>
            </w:pPr>
            <w:r w:rsidRPr="00E51CDD">
              <w:rPr>
                <w:sz w:val="20"/>
                <w:szCs w:val="20"/>
              </w:rPr>
              <w:t>2.5</w:t>
            </w:r>
          </w:p>
        </w:tc>
        <w:tc>
          <w:tcPr>
            <w:tcW w:w="547" w:type="pct"/>
            <w:tcBorders>
              <w:top w:val="single" w:sz="4" w:space="0" w:color="auto"/>
              <w:left w:val="nil"/>
              <w:bottom w:val="single" w:sz="4" w:space="0" w:color="auto"/>
              <w:right w:val="single" w:sz="4" w:space="0" w:color="auto"/>
            </w:tcBorders>
            <w:shd w:val="clear" w:color="000000" w:fill="FFFFFF"/>
            <w:vAlign w:val="center"/>
          </w:tcPr>
          <w:p w14:paraId="137F628C" w14:textId="77777777" w:rsidR="00E51CDD" w:rsidRPr="00E51CDD" w:rsidRDefault="00E51CDD" w:rsidP="00E51CDD">
            <w:pPr>
              <w:widowControl w:val="0"/>
              <w:tabs>
                <w:tab w:val="left" w:pos="-720"/>
              </w:tabs>
              <w:rPr>
                <w:bCs/>
                <w:sz w:val="20"/>
                <w:szCs w:val="20"/>
                <w:lang w:val="en-GB"/>
              </w:rPr>
            </w:pPr>
            <w:r w:rsidRPr="00E51CDD">
              <w:rPr>
                <w:sz w:val="20"/>
                <w:szCs w:val="20"/>
              </w:rPr>
              <w:t>2</w:t>
            </w:r>
          </w:p>
        </w:tc>
        <w:tc>
          <w:tcPr>
            <w:tcW w:w="626" w:type="pct"/>
            <w:tcBorders>
              <w:top w:val="single" w:sz="4" w:space="0" w:color="auto"/>
              <w:left w:val="nil"/>
              <w:bottom w:val="single" w:sz="4" w:space="0" w:color="auto"/>
              <w:right w:val="single" w:sz="4" w:space="0" w:color="auto"/>
            </w:tcBorders>
            <w:shd w:val="clear" w:color="000000" w:fill="FFFFFF"/>
            <w:vAlign w:val="center"/>
          </w:tcPr>
          <w:p w14:paraId="18F445F1" w14:textId="77777777" w:rsidR="00E51CDD" w:rsidRPr="00E51CDD" w:rsidRDefault="00E51CDD" w:rsidP="00E51CDD">
            <w:pPr>
              <w:widowControl w:val="0"/>
              <w:tabs>
                <w:tab w:val="left" w:pos="-720"/>
              </w:tabs>
              <w:rPr>
                <w:bCs/>
                <w:sz w:val="20"/>
                <w:szCs w:val="20"/>
                <w:lang w:val="en-GB"/>
              </w:rPr>
            </w:pPr>
            <w:r w:rsidRPr="00E51CDD">
              <w:rPr>
                <w:sz w:val="20"/>
                <w:szCs w:val="20"/>
              </w:rPr>
              <w:t>92.1</w:t>
            </w:r>
          </w:p>
        </w:tc>
        <w:tc>
          <w:tcPr>
            <w:tcW w:w="548" w:type="pct"/>
            <w:tcBorders>
              <w:top w:val="single" w:sz="4" w:space="0" w:color="auto"/>
              <w:left w:val="nil"/>
              <w:bottom w:val="single" w:sz="4" w:space="0" w:color="auto"/>
              <w:right w:val="single" w:sz="4" w:space="0" w:color="auto"/>
            </w:tcBorders>
            <w:shd w:val="clear" w:color="000000" w:fill="FFFFFF"/>
            <w:vAlign w:val="center"/>
          </w:tcPr>
          <w:p w14:paraId="6E2BE10D" w14:textId="77777777" w:rsidR="00E51CDD" w:rsidRPr="00E51CDD" w:rsidRDefault="00E51CDD" w:rsidP="00E51CDD">
            <w:pPr>
              <w:widowControl w:val="0"/>
              <w:tabs>
                <w:tab w:val="left" w:pos="-720"/>
              </w:tabs>
              <w:rPr>
                <w:bCs/>
                <w:sz w:val="20"/>
                <w:szCs w:val="20"/>
                <w:lang w:val="en-GB"/>
              </w:rPr>
            </w:pPr>
            <w:r w:rsidRPr="00E51CDD">
              <w:rPr>
                <w:sz w:val="20"/>
                <w:szCs w:val="20"/>
              </w:rPr>
              <w:t>0.019</w:t>
            </w:r>
          </w:p>
        </w:tc>
        <w:tc>
          <w:tcPr>
            <w:tcW w:w="701" w:type="pct"/>
            <w:tcBorders>
              <w:top w:val="single" w:sz="4" w:space="0" w:color="auto"/>
              <w:left w:val="nil"/>
              <w:bottom w:val="single" w:sz="4" w:space="0" w:color="auto"/>
              <w:right w:val="single" w:sz="4" w:space="0" w:color="auto"/>
            </w:tcBorders>
            <w:shd w:val="clear" w:color="000000" w:fill="FFFFFF"/>
            <w:vAlign w:val="center"/>
          </w:tcPr>
          <w:p w14:paraId="246599E6" w14:textId="77777777" w:rsidR="00E51CDD" w:rsidRPr="00E51CDD" w:rsidRDefault="00E51CDD" w:rsidP="00E51CDD">
            <w:pPr>
              <w:rPr>
                <w:sz w:val="20"/>
                <w:szCs w:val="20"/>
              </w:rPr>
            </w:pPr>
            <w:r w:rsidRPr="00E51CDD">
              <w:rPr>
                <w:sz w:val="20"/>
                <w:szCs w:val="20"/>
              </w:rPr>
              <w:t>0.83</w:t>
            </w:r>
          </w:p>
        </w:tc>
      </w:tr>
      <w:tr w:rsidR="00E51CDD" w:rsidRPr="00E51CDD" w14:paraId="4B3324D6" w14:textId="77777777" w:rsidTr="009938D9">
        <w:tc>
          <w:tcPr>
            <w:tcW w:w="1327" w:type="pct"/>
            <w:vAlign w:val="center"/>
          </w:tcPr>
          <w:p w14:paraId="3A85EAF9" w14:textId="77777777" w:rsidR="00E51CDD" w:rsidRPr="00E51CDD" w:rsidRDefault="00E51CDD" w:rsidP="00E51CDD">
            <w:pPr>
              <w:widowControl w:val="0"/>
              <w:tabs>
                <w:tab w:val="left" w:pos="-720"/>
              </w:tabs>
              <w:jc w:val="left"/>
              <w:rPr>
                <w:bCs/>
                <w:sz w:val="20"/>
                <w:szCs w:val="20"/>
                <w:lang w:val="en-GB"/>
              </w:rPr>
            </w:pPr>
            <w:r w:rsidRPr="00E51CDD">
              <w:rPr>
                <w:sz w:val="20"/>
                <w:szCs w:val="20"/>
              </w:rPr>
              <w:t>Carboxy methyl cellulose</w:t>
            </w:r>
          </w:p>
        </w:tc>
        <w:tc>
          <w:tcPr>
            <w:tcW w:w="1251" w:type="pct"/>
            <w:tcBorders>
              <w:top w:val="nil"/>
              <w:left w:val="single" w:sz="4" w:space="0" w:color="auto"/>
              <w:bottom w:val="single" w:sz="4" w:space="0" w:color="auto"/>
              <w:right w:val="single" w:sz="4" w:space="0" w:color="auto"/>
            </w:tcBorders>
            <w:shd w:val="clear" w:color="000000" w:fill="FFFFFF"/>
            <w:vAlign w:val="center"/>
          </w:tcPr>
          <w:p w14:paraId="3E942182" w14:textId="77777777" w:rsidR="00E51CDD" w:rsidRPr="00E51CDD" w:rsidRDefault="00E51CDD" w:rsidP="00E51CDD">
            <w:pPr>
              <w:widowControl w:val="0"/>
              <w:tabs>
                <w:tab w:val="left" w:pos="-720"/>
              </w:tabs>
              <w:rPr>
                <w:bCs/>
                <w:sz w:val="20"/>
                <w:szCs w:val="20"/>
                <w:lang w:val="en-GB"/>
              </w:rPr>
            </w:pPr>
            <w:r w:rsidRPr="00E51CDD">
              <w:rPr>
                <w:sz w:val="20"/>
                <w:szCs w:val="20"/>
              </w:rPr>
              <w:t>5.0</w:t>
            </w:r>
          </w:p>
        </w:tc>
        <w:tc>
          <w:tcPr>
            <w:tcW w:w="547" w:type="pct"/>
            <w:tcBorders>
              <w:top w:val="nil"/>
              <w:left w:val="nil"/>
              <w:bottom w:val="single" w:sz="4" w:space="0" w:color="auto"/>
              <w:right w:val="single" w:sz="4" w:space="0" w:color="auto"/>
            </w:tcBorders>
            <w:shd w:val="clear" w:color="000000" w:fill="FFFFFF"/>
            <w:vAlign w:val="center"/>
          </w:tcPr>
          <w:p w14:paraId="53D643E7" w14:textId="77777777" w:rsidR="00E51CDD" w:rsidRPr="00E51CDD" w:rsidRDefault="00E51CDD" w:rsidP="00E51CDD">
            <w:pPr>
              <w:widowControl w:val="0"/>
              <w:tabs>
                <w:tab w:val="left" w:pos="-720"/>
              </w:tabs>
              <w:rPr>
                <w:bCs/>
                <w:sz w:val="20"/>
                <w:szCs w:val="20"/>
                <w:lang w:val="en-GB"/>
              </w:rPr>
            </w:pPr>
            <w:r w:rsidRPr="00E51CDD">
              <w:rPr>
                <w:bCs/>
                <w:sz w:val="20"/>
                <w:szCs w:val="20"/>
                <w:lang w:val="en-GB"/>
              </w:rPr>
              <w:t>2</w:t>
            </w:r>
          </w:p>
        </w:tc>
        <w:tc>
          <w:tcPr>
            <w:tcW w:w="626" w:type="pct"/>
            <w:tcBorders>
              <w:top w:val="nil"/>
              <w:left w:val="nil"/>
              <w:bottom w:val="single" w:sz="4" w:space="0" w:color="auto"/>
              <w:right w:val="single" w:sz="4" w:space="0" w:color="auto"/>
            </w:tcBorders>
            <w:shd w:val="clear" w:color="000000" w:fill="FFFFFF"/>
            <w:vAlign w:val="center"/>
          </w:tcPr>
          <w:p w14:paraId="5DF7E04A" w14:textId="77777777" w:rsidR="00E51CDD" w:rsidRPr="00E51CDD" w:rsidRDefault="00E51CDD" w:rsidP="00E51CDD">
            <w:pPr>
              <w:widowControl w:val="0"/>
              <w:tabs>
                <w:tab w:val="left" w:pos="-720"/>
              </w:tabs>
              <w:rPr>
                <w:bCs/>
                <w:sz w:val="20"/>
                <w:szCs w:val="20"/>
                <w:lang w:val="en-GB"/>
              </w:rPr>
            </w:pPr>
            <w:r w:rsidRPr="00E51CDD">
              <w:rPr>
                <w:sz w:val="20"/>
                <w:szCs w:val="20"/>
              </w:rPr>
              <w:t>95.2</w:t>
            </w:r>
          </w:p>
        </w:tc>
        <w:tc>
          <w:tcPr>
            <w:tcW w:w="548" w:type="pct"/>
            <w:tcBorders>
              <w:top w:val="nil"/>
              <w:left w:val="nil"/>
              <w:bottom w:val="single" w:sz="4" w:space="0" w:color="auto"/>
              <w:right w:val="single" w:sz="4" w:space="0" w:color="auto"/>
            </w:tcBorders>
            <w:shd w:val="clear" w:color="000000" w:fill="FFFFFF"/>
            <w:vAlign w:val="center"/>
          </w:tcPr>
          <w:p w14:paraId="09645BE4" w14:textId="77777777" w:rsidR="00E51CDD" w:rsidRPr="00E51CDD" w:rsidRDefault="00E51CDD" w:rsidP="00E51CDD">
            <w:pPr>
              <w:widowControl w:val="0"/>
              <w:tabs>
                <w:tab w:val="left" w:pos="-720"/>
              </w:tabs>
              <w:rPr>
                <w:bCs/>
                <w:sz w:val="20"/>
                <w:szCs w:val="20"/>
                <w:lang w:val="en-GB"/>
              </w:rPr>
            </w:pPr>
            <w:r w:rsidRPr="00E51CDD">
              <w:rPr>
                <w:sz w:val="20"/>
                <w:szCs w:val="20"/>
              </w:rPr>
              <w:t>0.030</w:t>
            </w:r>
          </w:p>
        </w:tc>
        <w:tc>
          <w:tcPr>
            <w:tcW w:w="701" w:type="pct"/>
            <w:tcBorders>
              <w:top w:val="nil"/>
              <w:left w:val="nil"/>
              <w:bottom w:val="single" w:sz="4" w:space="0" w:color="auto"/>
              <w:right w:val="single" w:sz="4" w:space="0" w:color="auto"/>
            </w:tcBorders>
            <w:shd w:val="clear" w:color="000000" w:fill="FFFFFF"/>
            <w:vAlign w:val="center"/>
          </w:tcPr>
          <w:p w14:paraId="6A25E79B" w14:textId="77777777" w:rsidR="00E51CDD" w:rsidRPr="00E51CDD" w:rsidRDefault="00E51CDD" w:rsidP="00E51CDD">
            <w:pPr>
              <w:rPr>
                <w:bCs/>
                <w:sz w:val="20"/>
                <w:szCs w:val="20"/>
                <w:lang w:val="en-GB"/>
              </w:rPr>
            </w:pPr>
            <w:r w:rsidRPr="00E51CDD">
              <w:rPr>
                <w:sz w:val="20"/>
                <w:szCs w:val="20"/>
              </w:rPr>
              <w:t>0.64</w:t>
            </w:r>
          </w:p>
        </w:tc>
      </w:tr>
      <w:tr w:rsidR="00E51CDD" w:rsidRPr="00E51CDD" w14:paraId="66A899D8" w14:textId="77777777" w:rsidTr="009938D9">
        <w:tc>
          <w:tcPr>
            <w:tcW w:w="1327" w:type="pct"/>
            <w:vAlign w:val="center"/>
          </w:tcPr>
          <w:p w14:paraId="0419056E" w14:textId="77777777" w:rsidR="00E51CDD" w:rsidRPr="00E51CDD" w:rsidRDefault="00E51CDD" w:rsidP="00E51CDD">
            <w:pPr>
              <w:widowControl w:val="0"/>
              <w:tabs>
                <w:tab w:val="left" w:pos="-720"/>
              </w:tabs>
              <w:jc w:val="left"/>
              <w:rPr>
                <w:bCs/>
                <w:sz w:val="20"/>
                <w:szCs w:val="20"/>
                <w:lang w:val="en-GB"/>
              </w:rPr>
            </w:pPr>
            <w:r w:rsidRPr="00E51CDD">
              <w:rPr>
                <w:sz w:val="20"/>
                <w:szCs w:val="20"/>
              </w:rPr>
              <w:t>Carboxy methyl cellulose</w:t>
            </w:r>
          </w:p>
        </w:tc>
        <w:tc>
          <w:tcPr>
            <w:tcW w:w="1251" w:type="pct"/>
            <w:tcBorders>
              <w:top w:val="nil"/>
              <w:left w:val="single" w:sz="4" w:space="0" w:color="auto"/>
              <w:bottom w:val="single" w:sz="4" w:space="0" w:color="auto"/>
              <w:right w:val="single" w:sz="4" w:space="0" w:color="auto"/>
            </w:tcBorders>
            <w:shd w:val="clear" w:color="000000" w:fill="FFFFFF"/>
            <w:vAlign w:val="center"/>
          </w:tcPr>
          <w:p w14:paraId="4EF1FEB6" w14:textId="77777777" w:rsidR="00E51CDD" w:rsidRPr="00E51CDD" w:rsidRDefault="00E51CDD" w:rsidP="00E51CDD">
            <w:pPr>
              <w:widowControl w:val="0"/>
              <w:tabs>
                <w:tab w:val="left" w:pos="-720"/>
              </w:tabs>
              <w:rPr>
                <w:bCs/>
                <w:sz w:val="20"/>
                <w:szCs w:val="20"/>
                <w:lang w:val="en-GB"/>
              </w:rPr>
            </w:pPr>
            <w:r w:rsidRPr="00E51CDD">
              <w:rPr>
                <w:sz w:val="20"/>
                <w:szCs w:val="20"/>
              </w:rPr>
              <w:t>10.1</w:t>
            </w:r>
          </w:p>
        </w:tc>
        <w:tc>
          <w:tcPr>
            <w:tcW w:w="547" w:type="pct"/>
            <w:tcBorders>
              <w:top w:val="nil"/>
              <w:left w:val="nil"/>
              <w:bottom w:val="single" w:sz="4" w:space="0" w:color="auto"/>
              <w:right w:val="single" w:sz="4" w:space="0" w:color="auto"/>
            </w:tcBorders>
            <w:shd w:val="clear" w:color="000000" w:fill="FFFFFF"/>
            <w:vAlign w:val="center"/>
          </w:tcPr>
          <w:p w14:paraId="34C57D56" w14:textId="77777777" w:rsidR="00E51CDD" w:rsidRPr="00E51CDD" w:rsidRDefault="00E51CDD" w:rsidP="00E51CDD">
            <w:pPr>
              <w:widowControl w:val="0"/>
              <w:tabs>
                <w:tab w:val="left" w:pos="-720"/>
              </w:tabs>
              <w:rPr>
                <w:bCs/>
                <w:sz w:val="20"/>
                <w:szCs w:val="20"/>
                <w:lang w:val="en-GB"/>
              </w:rPr>
            </w:pPr>
            <w:r w:rsidRPr="00E51CDD">
              <w:rPr>
                <w:bCs/>
                <w:sz w:val="20"/>
                <w:szCs w:val="20"/>
              </w:rPr>
              <w:t>2</w:t>
            </w:r>
          </w:p>
        </w:tc>
        <w:tc>
          <w:tcPr>
            <w:tcW w:w="626" w:type="pct"/>
            <w:tcBorders>
              <w:top w:val="nil"/>
              <w:left w:val="nil"/>
              <w:bottom w:val="single" w:sz="4" w:space="0" w:color="auto"/>
              <w:right w:val="single" w:sz="4" w:space="0" w:color="auto"/>
            </w:tcBorders>
            <w:shd w:val="clear" w:color="000000" w:fill="FFFFFF"/>
            <w:vAlign w:val="center"/>
          </w:tcPr>
          <w:p w14:paraId="17661154" w14:textId="77777777" w:rsidR="00E51CDD" w:rsidRPr="00E51CDD" w:rsidRDefault="00E51CDD" w:rsidP="00E51CDD">
            <w:pPr>
              <w:widowControl w:val="0"/>
              <w:tabs>
                <w:tab w:val="left" w:pos="-720"/>
              </w:tabs>
              <w:rPr>
                <w:bCs/>
                <w:sz w:val="20"/>
                <w:szCs w:val="20"/>
                <w:lang w:val="en-GB"/>
              </w:rPr>
            </w:pPr>
            <w:r w:rsidRPr="00E51CDD">
              <w:rPr>
                <w:sz w:val="20"/>
                <w:szCs w:val="20"/>
              </w:rPr>
              <w:t>95.8</w:t>
            </w:r>
          </w:p>
        </w:tc>
        <w:tc>
          <w:tcPr>
            <w:tcW w:w="548" w:type="pct"/>
            <w:tcBorders>
              <w:top w:val="nil"/>
              <w:left w:val="nil"/>
              <w:bottom w:val="single" w:sz="4" w:space="0" w:color="auto"/>
              <w:right w:val="single" w:sz="4" w:space="0" w:color="auto"/>
            </w:tcBorders>
            <w:shd w:val="clear" w:color="000000" w:fill="FFFFFF"/>
            <w:vAlign w:val="center"/>
          </w:tcPr>
          <w:p w14:paraId="41B38920" w14:textId="77777777" w:rsidR="00E51CDD" w:rsidRPr="00E51CDD" w:rsidRDefault="00E51CDD" w:rsidP="00E51CDD">
            <w:pPr>
              <w:widowControl w:val="0"/>
              <w:tabs>
                <w:tab w:val="left" w:pos="-720"/>
              </w:tabs>
              <w:rPr>
                <w:bCs/>
                <w:sz w:val="20"/>
                <w:szCs w:val="20"/>
                <w:lang w:val="en-GB"/>
              </w:rPr>
            </w:pPr>
            <w:r w:rsidRPr="00E51CDD">
              <w:rPr>
                <w:sz w:val="20"/>
                <w:szCs w:val="20"/>
              </w:rPr>
              <w:t>0.057</w:t>
            </w:r>
          </w:p>
        </w:tc>
        <w:tc>
          <w:tcPr>
            <w:tcW w:w="701" w:type="pct"/>
            <w:tcBorders>
              <w:top w:val="nil"/>
              <w:left w:val="nil"/>
              <w:bottom w:val="single" w:sz="4" w:space="0" w:color="auto"/>
              <w:right w:val="single" w:sz="4" w:space="0" w:color="auto"/>
            </w:tcBorders>
            <w:shd w:val="clear" w:color="000000" w:fill="FFFFFF"/>
            <w:vAlign w:val="center"/>
          </w:tcPr>
          <w:p w14:paraId="1FA060A7" w14:textId="77777777" w:rsidR="00E51CDD" w:rsidRPr="00E51CDD" w:rsidRDefault="00E51CDD" w:rsidP="00E51CDD">
            <w:pPr>
              <w:rPr>
                <w:sz w:val="20"/>
                <w:szCs w:val="20"/>
              </w:rPr>
            </w:pPr>
            <w:r w:rsidRPr="00E51CDD">
              <w:rPr>
                <w:sz w:val="20"/>
                <w:szCs w:val="20"/>
              </w:rPr>
              <w:t>0.58</w:t>
            </w:r>
          </w:p>
        </w:tc>
      </w:tr>
    </w:tbl>
    <w:p w14:paraId="6D22CFA1" w14:textId="77777777" w:rsidR="00E51CDD" w:rsidRPr="00E51CDD" w:rsidRDefault="00E51CDD" w:rsidP="00E51CDD">
      <w:pPr>
        <w:tabs>
          <w:tab w:val="left" w:pos="720"/>
        </w:tabs>
        <w:suppressAutoHyphens/>
        <w:jc w:val="both"/>
      </w:pPr>
    </w:p>
    <w:p w14:paraId="6B843D5C" w14:textId="77777777" w:rsidR="00E51CDD" w:rsidRPr="00E51CDD" w:rsidRDefault="00E51CDD" w:rsidP="00E51CDD">
      <w:pPr>
        <w:rPr>
          <w:b/>
        </w:rPr>
      </w:pPr>
    </w:p>
    <w:p w14:paraId="4B32E596" w14:textId="77777777" w:rsidR="00E51CDD" w:rsidRPr="00E51CDD" w:rsidRDefault="00E51CDD" w:rsidP="00E51CDD">
      <w:pPr>
        <w:widowControl w:val="0"/>
        <w:tabs>
          <w:tab w:val="left" w:pos="425"/>
          <w:tab w:val="left" w:pos="850"/>
        </w:tabs>
        <w:suppressAutoHyphens/>
        <w:ind w:left="2835" w:hanging="2835"/>
        <w:jc w:val="both"/>
        <w:rPr>
          <w:b/>
        </w:rPr>
      </w:pPr>
      <w:r w:rsidRPr="00E51CDD">
        <w:rPr>
          <w:b/>
        </w:rPr>
        <w:t>II.</w:t>
      </w:r>
      <w:r w:rsidRPr="00E51CDD">
        <w:rPr>
          <w:b/>
        </w:rPr>
        <w:tab/>
        <w:t>RESULTS AND DISCUSSION</w:t>
      </w:r>
    </w:p>
    <w:p w14:paraId="7A9E8C5F" w14:textId="77777777" w:rsidR="00E51CDD" w:rsidRPr="00E51CDD" w:rsidRDefault="00E51CDD" w:rsidP="00E51CDD">
      <w:pPr>
        <w:jc w:val="both"/>
        <w:rPr>
          <w:lang w:val="en-GB" w:eastAsia="en-US"/>
        </w:rPr>
      </w:pPr>
    </w:p>
    <w:p w14:paraId="2F7C1365" w14:textId="77777777" w:rsidR="00E51CDD" w:rsidRPr="00E51CDD" w:rsidRDefault="00E51CDD" w:rsidP="00E51CDD">
      <w:pPr>
        <w:jc w:val="both"/>
        <w:rPr>
          <w:b/>
          <w:bCs/>
          <w:i/>
          <w:iCs/>
          <w:lang w:val="en-GB" w:eastAsia="en-US"/>
        </w:rPr>
      </w:pPr>
      <w:r w:rsidRPr="00E51CDD">
        <w:rPr>
          <w:b/>
          <w:bCs/>
          <w:i/>
          <w:iCs/>
          <w:lang w:val="en-GB" w:eastAsia="en-US"/>
        </w:rPr>
        <w:t xml:space="preserve">Analytical results: </w:t>
      </w:r>
    </w:p>
    <w:p w14:paraId="4600DF56" w14:textId="77777777" w:rsidR="00E51CDD" w:rsidRPr="00E51CDD" w:rsidRDefault="00E51CDD" w:rsidP="00E51CDD">
      <w:pPr>
        <w:jc w:val="both"/>
        <w:rPr>
          <w:lang w:val="en-GB" w:eastAsia="en-US"/>
        </w:rPr>
      </w:pPr>
    </w:p>
    <w:p w14:paraId="2A84B152" w14:textId="77777777" w:rsidR="00E51CDD" w:rsidRPr="00E51CDD" w:rsidRDefault="00E51CDD" w:rsidP="00E51CDD">
      <w:pPr>
        <w:jc w:val="both"/>
        <w:rPr>
          <w:lang w:val="en-GB" w:eastAsia="en-US"/>
        </w:rPr>
      </w:pPr>
      <w:r w:rsidRPr="00E51CDD">
        <w:rPr>
          <w:lang w:val="en-GB" w:eastAsia="en-US"/>
        </w:rPr>
        <w:t>The values of the analytically determined concentrations of the preparations given to the birds by gavage were close to the nominal concentrations (92 – 96%). The biological results are therefore based on the nominal values.</w:t>
      </w:r>
    </w:p>
    <w:p w14:paraId="3F9370C7" w14:textId="77777777" w:rsidR="00E51CDD" w:rsidRPr="00E51CDD" w:rsidRDefault="00E51CDD" w:rsidP="00E51CDD">
      <w:pPr>
        <w:jc w:val="both"/>
        <w:rPr>
          <w:lang w:val="en-GB" w:eastAsia="en-US"/>
        </w:rPr>
      </w:pPr>
    </w:p>
    <w:p w14:paraId="165A61E8" w14:textId="77777777" w:rsidR="00E51CDD" w:rsidRPr="00E51CDD" w:rsidRDefault="00E51CDD" w:rsidP="00E51CDD">
      <w:pPr>
        <w:jc w:val="both"/>
        <w:rPr>
          <w:lang w:val="en-GB" w:eastAsia="en-US"/>
        </w:rPr>
      </w:pPr>
    </w:p>
    <w:p w14:paraId="246AAC11" w14:textId="77777777" w:rsidR="00E51CDD" w:rsidRPr="00E51CDD" w:rsidRDefault="00E51CDD" w:rsidP="00E51CDD">
      <w:pPr>
        <w:jc w:val="both"/>
        <w:rPr>
          <w:b/>
          <w:bCs/>
          <w:i/>
          <w:iCs/>
          <w:lang w:val="en-GB" w:eastAsia="en-US"/>
        </w:rPr>
      </w:pPr>
      <w:r w:rsidRPr="00E51CDD">
        <w:rPr>
          <w:b/>
          <w:bCs/>
          <w:i/>
          <w:iCs/>
          <w:lang w:val="en-GB" w:eastAsia="en-US"/>
        </w:rPr>
        <w:t xml:space="preserve">Biological results: </w:t>
      </w:r>
    </w:p>
    <w:p w14:paraId="2B57D727" w14:textId="77777777" w:rsidR="00E51CDD" w:rsidRPr="00E51CDD" w:rsidRDefault="00E51CDD" w:rsidP="00E51CDD">
      <w:pPr>
        <w:jc w:val="both"/>
        <w:rPr>
          <w:lang w:val="en-GB" w:eastAsia="en-US"/>
        </w:rPr>
      </w:pPr>
    </w:p>
    <w:p w14:paraId="63E5B7E0" w14:textId="77777777" w:rsidR="00E51CDD" w:rsidRPr="00E51CDD" w:rsidRDefault="00E51CDD" w:rsidP="00E51CDD">
      <w:pPr>
        <w:jc w:val="both"/>
        <w:rPr>
          <w:lang w:val="en-GB" w:eastAsia="en-US"/>
        </w:rPr>
      </w:pPr>
      <w:r w:rsidRPr="00E51CDD">
        <w:rPr>
          <w:lang w:val="en-GB" w:eastAsia="en-US"/>
        </w:rPr>
        <w:t xml:space="preserve">In both groups males and females, no mortality and no toxic signs were observed in the control and any of the test item treatment groups up to the highest tested concentration of 2000 mg /kg b.w.. </w:t>
      </w:r>
    </w:p>
    <w:p w14:paraId="7ECBFBDD" w14:textId="77777777" w:rsidR="00E51CDD" w:rsidRPr="00E51CDD" w:rsidRDefault="00E51CDD" w:rsidP="00E51CDD">
      <w:pPr>
        <w:jc w:val="both"/>
        <w:rPr>
          <w:lang w:val="en-GB" w:eastAsia="en-US"/>
        </w:rPr>
      </w:pPr>
      <w:r w:rsidRPr="00E51CDD">
        <w:rPr>
          <w:lang w:val="en-GB" w:eastAsia="en-US"/>
        </w:rPr>
        <w:t xml:space="preserve">Diarrhea in the first time after dosing is a consequence of the fasting period and is usually observed in all dose groups as well as in the control group and is not considered to be toxic effect. </w:t>
      </w:r>
    </w:p>
    <w:p w14:paraId="728A5846" w14:textId="77777777" w:rsidR="00E51CDD" w:rsidRPr="00E51CDD" w:rsidRDefault="00E51CDD" w:rsidP="00E51CDD">
      <w:pPr>
        <w:jc w:val="both"/>
        <w:rPr>
          <w:lang w:val="en-GB" w:eastAsia="en-US"/>
        </w:rPr>
      </w:pPr>
      <w:r w:rsidRPr="00E51CDD">
        <w:rPr>
          <w:lang w:val="en-GB" w:eastAsia="en-US"/>
        </w:rPr>
        <w:t xml:space="preserve">No substance-related impairment of feed uptake in comparison to the control was observed in any of the dose groups. No statistically significant substance-related reduction of the body weights was observed in any of the dose groups at day 7 or day 14 and the body weight development was not impaired in comparison to the control group. </w:t>
      </w:r>
    </w:p>
    <w:p w14:paraId="40697389" w14:textId="4254CA32" w:rsidR="00E51CDD" w:rsidRPr="00E51CDD" w:rsidRDefault="00E51CDD" w:rsidP="00E51CDD">
      <w:pPr>
        <w:jc w:val="both"/>
        <w:rPr>
          <w:lang w:val="en-GB" w:eastAsia="en-US"/>
        </w:rPr>
      </w:pPr>
      <w:r w:rsidRPr="00E51CDD">
        <w:rPr>
          <w:lang w:val="en-GB" w:eastAsia="en-US"/>
        </w:rPr>
        <w:t xml:space="preserve">No treatment-related macroscopic abnormalities were detected in the gross post-mortem examination. </w:t>
      </w:r>
      <w:r w:rsidRPr="00E51CDD">
        <w:rPr>
          <w:lang w:eastAsia="en-US"/>
        </w:rPr>
        <w:t xml:space="preserve">The relevant endpoints are summarized in </w:t>
      </w:r>
      <w:r w:rsidRPr="00E51CDD">
        <w:rPr>
          <w:lang w:val="en-GB" w:eastAsia="en-US"/>
        </w:rPr>
        <w:fldChar w:fldCharType="begin"/>
      </w:r>
      <w:r w:rsidRPr="00E51CDD">
        <w:rPr>
          <w:lang w:eastAsia="en-US"/>
        </w:rPr>
        <w:instrText xml:space="preserve"> REF _Ref450060387  \* MERGEFORMAT </w:instrText>
      </w:r>
      <w:r w:rsidRPr="00E51CDD">
        <w:rPr>
          <w:lang w:val="en-GB" w:eastAsia="en-US"/>
        </w:rPr>
        <w:fldChar w:fldCharType="separate"/>
      </w:r>
      <w:r w:rsidR="00662F32" w:rsidRPr="00662F32">
        <w:t xml:space="preserve">Table A </w:t>
      </w:r>
      <w:r w:rsidR="00662F32" w:rsidRPr="00662F32">
        <w:rPr>
          <w:noProof/>
        </w:rPr>
        <w:t>2</w:t>
      </w:r>
      <w:r w:rsidRPr="00E51CDD">
        <w:rPr>
          <w:lang w:val="en-GB" w:eastAsia="en-US"/>
        </w:rPr>
        <w:fldChar w:fldCharType="end"/>
      </w:r>
      <w:r w:rsidRPr="00E51CDD">
        <w:rPr>
          <w:lang w:val="en-GB" w:eastAsia="en-US"/>
        </w:rPr>
        <w:t>.</w:t>
      </w:r>
    </w:p>
    <w:p w14:paraId="28821D39" w14:textId="77777777" w:rsidR="00E51CDD" w:rsidRPr="00E51CDD" w:rsidRDefault="00E51CDD" w:rsidP="00E51CDD">
      <w:pPr>
        <w:jc w:val="both"/>
        <w:rPr>
          <w:lang w:val="en-GB" w:eastAsia="en-US"/>
        </w:rPr>
      </w:pPr>
    </w:p>
    <w:p w14:paraId="22A7CE01" w14:textId="36E8A403" w:rsidR="00E51CDD" w:rsidRPr="00E51CDD" w:rsidRDefault="00E51CDD" w:rsidP="00E51CDD">
      <w:pPr>
        <w:rPr>
          <w:b/>
          <w:bCs/>
        </w:rPr>
      </w:pPr>
      <w:bookmarkStart w:id="1111" w:name="_Ref450060387"/>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2</w:t>
      </w:r>
      <w:r w:rsidRPr="00E51CDD">
        <w:rPr>
          <w:b/>
          <w:bCs/>
        </w:rPr>
        <w:fldChar w:fldCharType="end"/>
      </w:r>
      <w:bookmarkEnd w:id="1111"/>
      <w:r w:rsidRPr="00E51CDD">
        <w:rPr>
          <w:b/>
          <w:bCs/>
        </w:rPr>
        <w:t>:</w:t>
      </w:r>
      <w:r w:rsidRPr="00E51CDD">
        <w:rPr>
          <w:b/>
          <w:bCs/>
        </w:rPr>
        <w:tab/>
        <w:t>Acute toxicity of BAS 700 F to the zebra finch (</w:t>
      </w:r>
      <w:r w:rsidRPr="00E51CDD">
        <w:rPr>
          <w:b/>
          <w:bCs/>
          <w:i/>
        </w:rPr>
        <w:t>Taeniopygia guttata</w:t>
      </w:r>
      <w:r w:rsidRPr="00E51CDD">
        <w:rPr>
          <w:b/>
          <w:bCs/>
        </w:rPr>
        <w:t>)</w:t>
      </w:r>
    </w:p>
    <w:tbl>
      <w:tblPr>
        <w:tblW w:w="9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60"/>
        <w:gridCol w:w="3720"/>
      </w:tblGrid>
      <w:tr w:rsidR="00E51CDD" w:rsidRPr="007330A6" w14:paraId="22EE59F9" w14:textId="77777777" w:rsidTr="009938D9">
        <w:trPr>
          <w:tblHeader/>
        </w:trPr>
        <w:tc>
          <w:tcPr>
            <w:tcW w:w="5760" w:type="dxa"/>
          </w:tcPr>
          <w:p w14:paraId="1A96BBFB" w14:textId="77777777" w:rsidR="00E51CDD" w:rsidRPr="00E51CDD" w:rsidRDefault="00E51CDD" w:rsidP="00E51CDD">
            <w:pPr>
              <w:widowControl w:val="0"/>
              <w:rPr>
                <w:b/>
                <w:sz w:val="20"/>
                <w:szCs w:val="20"/>
              </w:rPr>
            </w:pPr>
            <w:r w:rsidRPr="00E51CDD">
              <w:rPr>
                <w:b/>
                <w:sz w:val="20"/>
                <w:szCs w:val="20"/>
              </w:rPr>
              <w:t>Mortality</w:t>
            </w:r>
          </w:p>
        </w:tc>
        <w:tc>
          <w:tcPr>
            <w:tcW w:w="3720" w:type="dxa"/>
          </w:tcPr>
          <w:p w14:paraId="23B647D4" w14:textId="77777777" w:rsidR="00E51CDD" w:rsidRPr="00E51CDD" w:rsidRDefault="00E51CDD" w:rsidP="00E51CDD">
            <w:pPr>
              <w:widowControl w:val="0"/>
              <w:rPr>
                <w:b/>
                <w:sz w:val="20"/>
                <w:szCs w:val="20"/>
                <w:lang w:val="fr-FR"/>
              </w:rPr>
            </w:pPr>
            <w:r w:rsidRPr="00E51CDD">
              <w:rPr>
                <w:b/>
                <w:sz w:val="20"/>
                <w:szCs w:val="20"/>
                <w:lang w:val="fr-FR"/>
              </w:rPr>
              <w:t>Dose [mg BAS 700 F /kg b.w.]</w:t>
            </w:r>
          </w:p>
        </w:tc>
      </w:tr>
      <w:tr w:rsidR="00E51CDD" w:rsidRPr="00E51CDD" w14:paraId="453D7D44" w14:textId="77777777" w:rsidTr="009938D9">
        <w:tc>
          <w:tcPr>
            <w:tcW w:w="5760" w:type="dxa"/>
            <w:vAlign w:val="center"/>
          </w:tcPr>
          <w:p w14:paraId="2CFE63A6" w14:textId="77777777" w:rsidR="00E51CDD" w:rsidRPr="00E51CDD" w:rsidRDefault="00E51CDD" w:rsidP="00E51CDD">
            <w:pPr>
              <w:widowControl w:val="0"/>
              <w:rPr>
                <w:sz w:val="20"/>
                <w:szCs w:val="20"/>
              </w:rPr>
            </w:pPr>
            <w:r w:rsidRPr="00E51CDD">
              <w:rPr>
                <w:sz w:val="20"/>
                <w:szCs w:val="20"/>
              </w:rPr>
              <w:t>Highest dose causing no treatment-related mortality</w:t>
            </w:r>
          </w:p>
        </w:tc>
        <w:tc>
          <w:tcPr>
            <w:tcW w:w="3720" w:type="dxa"/>
            <w:vAlign w:val="center"/>
          </w:tcPr>
          <w:p w14:paraId="3641A801" w14:textId="77777777" w:rsidR="00E51CDD" w:rsidRPr="00E51CDD" w:rsidRDefault="00E51CDD" w:rsidP="00E51CDD">
            <w:pPr>
              <w:widowControl w:val="0"/>
              <w:tabs>
                <w:tab w:val="left" w:pos="952"/>
              </w:tabs>
              <w:jc w:val="center"/>
              <w:rPr>
                <w:sz w:val="20"/>
                <w:szCs w:val="20"/>
              </w:rPr>
            </w:pPr>
            <w:r w:rsidRPr="00E51CDD">
              <w:rPr>
                <w:sz w:val="20"/>
                <w:szCs w:val="20"/>
              </w:rPr>
              <w:t>males: 2000</w:t>
            </w:r>
          </w:p>
          <w:p w14:paraId="0FD6F9E5" w14:textId="77777777" w:rsidR="00E51CDD" w:rsidRPr="00E51CDD" w:rsidRDefault="00E51CDD" w:rsidP="00E51CDD">
            <w:pPr>
              <w:widowControl w:val="0"/>
              <w:tabs>
                <w:tab w:val="left" w:pos="952"/>
              </w:tabs>
              <w:jc w:val="center"/>
              <w:rPr>
                <w:sz w:val="20"/>
                <w:szCs w:val="20"/>
              </w:rPr>
            </w:pPr>
            <w:r w:rsidRPr="00E51CDD">
              <w:rPr>
                <w:sz w:val="20"/>
                <w:szCs w:val="20"/>
              </w:rPr>
              <w:t>females: 1000</w:t>
            </w:r>
          </w:p>
        </w:tc>
      </w:tr>
      <w:tr w:rsidR="00E51CDD" w:rsidRPr="00E51CDD" w14:paraId="21AE3DAD" w14:textId="77777777" w:rsidTr="009938D9">
        <w:tc>
          <w:tcPr>
            <w:tcW w:w="5760" w:type="dxa"/>
            <w:vAlign w:val="center"/>
          </w:tcPr>
          <w:p w14:paraId="62FB6095" w14:textId="77777777" w:rsidR="00E51CDD" w:rsidRPr="00E51CDD" w:rsidRDefault="00E51CDD" w:rsidP="00E51CDD">
            <w:pPr>
              <w:widowControl w:val="0"/>
              <w:rPr>
                <w:sz w:val="20"/>
                <w:szCs w:val="20"/>
              </w:rPr>
            </w:pPr>
            <w:r w:rsidRPr="00E51CDD">
              <w:rPr>
                <w:sz w:val="20"/>
                <w:szCs w:val="20"/>
              </w:rPr>
              <w:t>LD</w:t>
            </w:r>
            <w:r w:rsidRPr="00E51CDD">
              <w:rPr>
                <w:sz w:val="20"/>
                <w:szCs w:val="20"/>
                <w:vertAlign w:val="subscript"/>
              </w:rPr>
              <w:t>50</w:t>
            </w:r>
            <w:r w:rsidRPr="00E51CDD">
              <w:rPr>
                <w:sz w:val="20"/>
                <w:szCs w:val="20"/>
              </w:rPr>
              <w:t xml:space="preserve"> (14 d)</w:t>
            </w:r>
          </w:p>
        </w:tc>
        <w:tc>
          <w:tcPr>
            <w:tcW w:w="3720" w:type="dxa"/>
            <w:vAlign w:val="center"/>
          </w:tcPr>
          <w:p w14:paraId="60B52DE3" w14:textId="77777777" w:rsidR="00E51CDD" w:rsidRPr="00E51CDD" w:rsidRDefault="00E51CDD" w:rsidP="00E51CDD">
            <w:pPr>
              <w:widowControl w:val="0"/>
              <w:tabs>
                <w:tab w:val="left" w:pos="732"/>
              </w:tabs>
              <w:jc w:val="center"/>
              <w:rPr>
                <w:sz w:val="20"/>
                <w:szCs w:val="20"/>
              </w:rPr>
            </w:pPr>
            <w:r w:rsidRPr="00E51CDD">
              <w:rPr>
                <w:sz w:val="20"/>
                <w:szCs w:val="20"/>
              </w:rPr>
              <w:t>&gt; 2000</w:t>
            </w:r>
          </w:p>
        </w:tc>
      </w:tr>
      <w:tr w:rsidR="00E51CDD" w:rsidRPr="00E51CDD" w14:paraId="6F69E15B" w14:textId="77777777" w:rsidTr="009938D9">
        <w:tc>
          <w:tcPr>
            <w:tcW w:w="5760" w:type="dxa"/>
            <w:vAlign w:val="center"/>
          </w:tcPr>
          <w:p w14:paraId="3480D204" w14:textId="77777777" w:rsidR="00E51CDD" w:rsidRPr="00E51CDD" w:rsidRDefault="00E51CDD" w:rsidP="00E51CDD">
            <w:pPr>
              <w:widowControl w:val="0"/>
              <w:rPr>
                <w:sz w:val="20"/>
                <w:szCs w:val="20"/>
              </w:rPr>
            </w:pPr>
            <w:r w:rsidRPr="00E51CDD">
              <w:rPr>
                <w:sz w:val="20"/>
                <w:szCs w:val="20"/>
              </w:rPr>
              <w:t>NOEL</w:t>
            </w:r>
          </w:p>
        </w:tc>
        <w:tc>
          <w:tcPr>
            <w:tcW w:w="3720" w:type="dxa"/>
            <w:vAlign w:val="center"/>
          </w:tcPr>
          <w:p w14:paraId="4D05B7D2" w14:textId="77777777" w:rsidR="00E51CDD" w:rsidRPr="00E51CDD" w:rsidRDefault="00E51CDD" w:rsidP="00E51CDD">
            <w:pPr>
              <w:widowControl w:val="0"/>
              <w:tabs>
                <w:tab w:val="left" w:pos="511"/>
                <w:tab w:val="left" w:pos="997"/>
              </w:tabs>
              <w:jc w:val="center"/>
              <w:rPr>
                <w:sz w:val="20"/>
                <w:szCs w:val="20"/>
              </w:rPr>
            </w:pPr>
            <w:r w:rsidRPr="00E51CDD">
              <w:rPr>
                <w:sz w:val="20"/>
                <w:szCs w:val="20"/>
              </w:rPr>
              <w:t>≥ 2000</w:t>
            </w:r>
          </w:p>
        </w:tc>
      </w:tr>
    </w:tbl>
    <w:p w14:paraId="4BF759BE" w14:textId="77777777" w:rsidR="00E51CDD" w:rsidRPr="00E51CDD" w:rsidRDefault="00E51CDD" w:rsidP="00E51CDD">
      <w:pPr>
        <w:widowControl w:val="0"/>
        <w:tabs>
          <w:tab w:val="left" w:pos="425"/>
          <w:tab w:val="left" w:pos="850"/>
        </w:tabs>
        <w:ind w:left="2835" w:hanging="2835"/>
        <w:rPr>
          <w:sz w:val="18"/>
          <w:szCs w:val="18"/>
        </w:rPr>
      </w:pPr>
      <w:r w:rsidRPr="00E51CDD">
        <w:rPr>
          <w:sz w:val="18"/>
          <w:szCs w:val="18"/>
        </w:rPr>
        <w:t>b.w. = body weight</w:t>
      </w:r>
    </w:p>
    <w:p w14:paraId="6B3AA743" w14:textId="77777777" w:rsidR="00E51CDD" w:rsidRPr="00E51CDD" w:rsidRDefault="00E51CDD" w:rsidP="00E51CDD">
      <w:pPr>
        <w:widowControl w:val="0"/>
        <w:tabs>
          <w:tab w:val="left" w:pos="425"/>
          <w:tab w:val="left" w:pos="850"/>
        </w:tabs>
        <w:ind w:left="2835" w:hanging="2835"/>
      </w:pPr>
      <w:r w:rsidRPr="00E51CDD">
        <w:br w:type="page"/>
      </w:r>
    </w:p>
    <w:p w14:paraId="442F9BFE" w14:textId="77777777" w:rsidR="00E51CDD" w:rsidRPr="00E51CDD" w:rsidRDefault="00E51CDD" w:rsidP="00E51CDD">
      <w:pPr>
        <w:jc w:val="both"/>
        <w:rPr>
          <w:u w:val="single"/>
        </w:rPr>
      </w:pPr>
      <w:r w:rsidRPr="00E51CDD">
        <w:rPr>
          <w:u w:val="single"/>
        </w:rPr>
        <w:lastRenderedPageBreak/>
        <w:t>Validity criteria:</w:t>
      </w:r>
    </w:p>
    <w:p w14:paraId="7180336A" w14:textId="77777777" w:rsidR="00E51CDD" w:rsidRPr="00E51CDD" w:rsidRDefault="00E51CDD" w:rsidP="00E51CDD">
      <w:pPr>
        <w:autoSpaceDE w:val="0"/>
        <w:autoSpaceDN w:val="0"/>
        <w:adjustRightInd w:val="0"/>
        <w:rPr>
          <w:rFonts w:eastAsiaTheme="minorHAnsi"/>
        </w:rPr>
      </w:pPr>
    </w:p>
    <w:tbl>
      <w:tblPr>
        <w:tblStyle w:val="Tabela-Siatka"/>
        <w:tblW w:w="0" w:type="auto"/>
        <w:tblInd w:w="108" w:type="dxa"/>
        <w:tblLook w:val="04A0" w:firstRow="1" w:lastRow="0" w:firstColumn="1" w:lastColumn="0" w:noHBand="0" w:noVBand="1"/>
      </w:tblPr>
      <w:tblGrid>
        <w:gridCol w:w="4022"/>
        <w:gridCol w:w="1646"/>
        <w:gridCol w:w="1167"/>
        <w:gridCol w:w="1184"/>
        <w:gridCol w:w="1217"/>
      </w:tblGrid>
      <w:tr w:rsidR="00E51CDD" w:rsidRPr="00E51CDD" w14:paraId="3AE9CF14" w14:textId="77777777" w:rsidTr="009938D9">
        <w:tc>
          <w:tcPr>
            <w:tcW w:w="4027" w:type="dxa"/>
          </w:tcPr>
          <w:p w14:paraId="5E416909" w14:textId="77777777" w:rsidR="00E51CDD" w:rsidRPr="00E51CDD" w:rsidRDefault="00E51CDD" w:rsidP="00E51CDD">
            <w:pPr>
              <w:rPr>
                <w:b/>
                <w:sz w:val="20"/>
                <w:szCs w:val="20"/>
              </w:rPr>
            </w:pPr>
            <w:r w:rsidRPr="00E51CDD">
              <w:rPr>
                <w:b/>
                <w:sz w:val="20"/>
                <w:szCs w:val="20"/>
              </w:rPr>
              <w:t>Criteria</w:t>
            </w:r>
          </w:p>
        </w:tc>
        <w:tc>
          <w:tcPr>
            <w:tcW w:w="1647" w:type="dxa"/>
          </w:tcPr>
          <w:p w14:paraId="0E675E1B" w14:textId="77777777" w:rsidR="00E51CDD" w:rsidRPr="00E51CDD" w:rsidRDefault="00E51CDD" w:rsidP="00E51CDD">
            <w:pPr>
              <w:rPr>
                <w:b/>
                <w:sz w:val="20"/>
                <w:szCs w:val="20"/>
              </w:rPr>
            </w:pPr>
            <w:r w:rsidRPr="00E51CDD">
              <w:rPr>
                <w:b/>
                <w:sz w:val="20"/>
                <w:szCs w:val="20"/>
              </w:rPr>
              <w:t>Trigger value</w:t>
            </w:r>
          </w:p>
        </w:tc>
        <w:tc>
          <w:tcPr>
            <w:tcW w:w="1167" w:type="dxa"/>
          </w:tcPr>
          <w:p w14:paraId="2E91F180" w14:textId="77777777" w:rsidR="00E51CDD" w:rsidRPr="00E51CDD" w:rsidRDefault="00E51CDD" w:rsidP="00E51CDD">
            <w:pPr>
              <w:rPr>
                <w:b/>
                <w:sz w:val="20"/>
                <w:szCs w:val="20"/>
              </w:rPr>
            </w:pPr>
            <w:r w:rsidRPr="00E51CDD">
              <w:rPr>
                <w:b/>
                <w:sz w:val="20"/>
                <w:szCs w:val="20"/>
              </w:rPr>
              <w:t>Study value and page no.</w:t>
            </w:r>
          </w:p>
        </w:tc>
        <w:tc>
          <w:tcPr>
            <w:tcW w:w="1184" w:type="dxa"/>
          </w:tcPr>
          <w:p w14:paraId="2FEA7E1D" w14:textId="77777777" w:rsidR="00E51CDD" w:rsidRPr="00E51CDD" w:rsidRDefault="00E51CDD" w:rsidP="00E51CDD">
            <w:pPr>
              <w:rPr>
                <w:b/>
                <w:sz w:val="20"/>
                <w:szCs w:val="20"/>
              </w:rPr>
            </w:pPr>
            <w:r w:rsidRPr="00E51CDD">
              <w:rPr>
                <w:b/>
                <w:sz w:val="20"/>
                <w:szCs w:val="20"/>
              </w:rPr>
              <w:t>Criteria met? Y/N</w:t>
            </w:r>
          </w:p>
        </w:tc>
        <w:tc>
          <w:tcPr>
            <w:tcW w:w="1217" w:type="dxa"/>
          </w:tcPr>
          <w:p w14:paraId="51F4E45E" w14:textId="77777777" w:rsidR="00E51CDD" w:rsidRPr="00E51CDD" w:rsidRDefault="00E51CDD" w:rsidP="00E51CDD">
            <w:pPr>
              <w:rPr>
                <w:b/>
                <w:sz w:val="20"/>
                <w:szCs w:val="20"/>
              </w:rPr>
            </w:pPr>
            <w:r w:rsidRPr="00E51CDD">
              <w:rPr>
                <w:b/>
                <w:sz w:val="20"/>
                <w:szCs w:val="20"/>
              </w:rPr>
              <w:t>Guideline</w:t>
            </w:r>
          </w:p>
        </w:tc>
      </w:tr>
      <w:tr w:rsidR="00E51CDD" w:rsidRPr="00E51CDD" w14:paraId="296EB6AC" w14:textId="77777777" w:rsidTr="009938D9">
        <w:tc>
          <w:tcPr>
            <w:tcW w:w="4027" w:type="dxa"/>
          </w:tcPr>
          <w:p w14:paraId="36B9FF71" w14:textId="77777777" w:rsidR="00E51CDD" w:rsidRPr="00E51CDD" w:rsidRDefault="00E51CDD" w:rsidP="00E51CDD">
            <w:pPr>
              <w:ind w:left="-14"/>
              <w:contextualSpacing/>
              <w:jc w:val="left"/>
              <w:rPr>
                <w:sz w:val="20"/>
                <w:szCs w:val="20"/>
              </w:rPr>
            </w:pPr>
            <w:r w:rsidRPr="00E51CDD">
              <w:rPr>
                <w:sz w:val="20"/>
                <w:szCs w:val="20"/>
              </w:rPr>
              <w:t>Birds assignment to treatment and control pens</w:t>
            </w:r>
          </w:p>
        </w:tc>
        <w:tc>
          <w:tcPr>
            <w:tcW w:w="1647" w:type="dxa"/>
            <w:vAlign w:val="center"/>
          </w:tcPr>
          <w:p w14:paraId="18896F57" w14:textId="77777777" w:rsidR="00E51CDD" w:rsidRPr="00E51CDD" w:rsidRDefault="00E51CDD" w:rsidP="00E51CDD">
            <w:pPr>
              <w:rPr>
                <w:sz w:val="20"/>
                <w:szCs w:val="20"/>
              </w:rPr>
            </w:pPr>
            <w:r w:rsidRPr="00E51CDD">
              <w:rPr>
                <w:sz w:val="20"/>
                <w:szCs w:val="20"/>
              </w:rPr>
              <w:t>Random</w:t>
            </w:r>
          </w:p>
        </w:tc>
        <w:tc>
          <w:tcPr>
            <w:tcW w:w="1167" w:type="dxa"/>
            <w:vAlign w:val="center"/>
          </w:tcPr>
          <w:p w14:paraId="6B81158C" w14:textId="77777777" w:rsidR="00E51CDD" w:rsidRPr="00E51CDD" w:rsidRDefault="00E51CDD" w:rsidP="00E51CDD">
            <w:pPr>
              <w:rPr>
                <w:sz w:val="20"/>
                <w:szCs w:val="20"/>
              </w:rPr>
            </w:pPr>
            <w:r w:rsidRPr="00E51CDD">
              <w:rPr>
                <w:sz w:val="20"/>
                <w:szCs w:val="20"/>
              </w:rPr>
              <w:t>Random</w:t>
            </w:r>
          </w:p>
          <w:p w14:paraId="52249DDC" w14:textId="77777777" w:rsidR="00E51CDD" w:rsidRPr="00E51CDD" w:rsidRDefault="00E51CDD" w:rsidP="00E51CDD">
            <w:pPr>
              <w:rPr>
                <w:sz w:val="20"/>
                <w:szCs w:val="20"/>
              </w:rPr>
            </w:pPr>
            <w:r w:rsidRPr="00E51CDD">
              <w:rPr>
                <w:sz w:val="20"/>
                <w:szCs w:val="20"/>
              </w:rPr>
              <w:t>p. 16</w:t>
            </w:r>
          </w:p>
        </w:tc>
        <w:tc>
          <w:tcPr>
            <w:tcW w:w="1184" w:type="dxa"/>
            <w:vAlign w:val="center"/>
          </w:tcPr>
          <w:p w14:paraId="61C8E074" w14:textId="77777777" w:rsidR="00E51CDD" w:rsidRPr="00E51CDD" w:rsidRDefault="00E51CDD" w:rsidP="00E51CDD">
            <w:pPr>
              <w:rPr>
                <w:sz w:val="20"/>
                <w:szCs w:val="20"/>
              </w:rPr>
            </w:pPr>
            <w:r w:rsidRPr="00E51CDD">
              <w:rPr>
                <w:sz w:val="20"/>
                <w:szCs w:val="20"/>
              </w:rPr>
              <w:t>Y</w:t>
            </w:r>
          </w:p>
        </w:tc>
        <w:tc>
          <w:tcPr>
            <w:tcW w:w="1217" w:type="dxa"/>
            <w:vAlign w:val="center"/>
          </w:tcPr>
          <w:p w14:paraId="7257B2AE" w14:textId="77777777" w:rsidR="00E51CDD" w:rsidRPr="00E51CDD" w:rsidRDefault="00E51CDD" w:rsidP="00E51CDD">
            <w:pPr>
              <w:rPr>
                <w:sz w:val="20"/>
                <w:szCs w:val="20"/>
              </w:rPr>
            </w:pPr>
            <w:r w:rsidRPr="00E51CDD">
              <w:rPr>
                <w:sz w:val="20"/>
                <w:szCs w:val="20"/>
              </w:rPr>
              <w:t>OCSPP 850.2100</w:t>
            </w:r>
          </w:p>
        </w:tc>
      </w:tr>
      <w:tr w:rsidR="00E51CDD" w:rsidRPr="00E51CDD" w14:paraId="330B792E" w14:textId="77777777" w:rsidTr="009938D9">
        <w:tc>
          <w:tcPr>
            <w:tcW w:w="4027" w:type="dxa"/>
          </w:tcPr>
          <w:p w14:paraId="1762A8E6" w14:textId="77777777" w:rsidR="00E51CDD" w:rsidRPr="00E51CDD" w:rsidRDefault="00E51CDD" w:rsidP="00E51CDD">
            <w:pPr>
              <w:ind w:left="-14"/>
              <w:contextualSpacing/>
              <w:jc w:val="left"/>
              <w:rPr>
                <w:sz w:val="20"/>
                <w:szCs w:val="20"/>
              </w:rPr>
            </w:pPr>
            <w:r w:rsidRPr="00E51CDD">
              <w:rPr>
                <w:sz w:val="20"/>
                <w:szCs w:val="20"/>
              </w:rPr>
              <w:t>Control birds died or became moribund</w:t>
            </w:r>
          </w:p>
        </w:tc>
        <w:tc>
          <w:tcPr>
            <w:tcW w:w="1647" w:type="dxa"/>
            <w:vAlign w:val="center"/>
          </w:tcPr>
          <w:p w14:paraId="3EF62CD0" w14:textId="77777777" w:rsidR="00E51CDD" w:rsidRPr="00E51CDD" w:rsidRDefault="00E51CDD" w:rsidP="00E51CDD">
            <w:pPr>
              <w:rPr>
                <w:sz w:val="20"/>
                <w:szCs w:val="20"/>
              </w:rPr>
            </w:pPr>
            <w:r w:rsidRPr="00E51CDD">
              <w:rPr>
                <w:sz w:val="20"/>
                <w:szCs w:val="20"/>
              </w:rPr>
              <w:t>≤ 10%</w:t>
            </w:r>
          </w:p>
        </w:tc>
        <w:tc>
          <w:tcPr>
            <w:tcW w:w="1167" w:type="dxa"/>
            <w:vAlign w:val="center"/>
          </w:tcPr>
          <w:p w14:paraId="0521F651" w14:textId="77777777" w:rsidR="00E51CDD" w:rsidRPr="00E51CDD" w:rsidRDefault="00E51CDD" w:rsidP="00E51CDD">
            <w:pPr>
              <w:rPr>
                <w:sz w:val="20"/>
                <w:szCs w:val="20"/>
              </w:rPr>
            </w:pPr>
            <w:r w:rsidRPr="00E51CDD">
              <w:rPr>
                <w:sz w:val="20"/>
                <w:szCs w:val="20"/>
              </w:rPr>
              <w:t>0%</w:t>
            </w:r>
          </w:p>
          <w:p w14:paraId="02F3313C" w14:textId="77777777" w:rsidR="00E51CDD" w:rsidRPr="00E51CDD" w:rsidRDefault="00E51CDD" w:rsidP="00E51CDD">
            <w:pPr>
              <w:rPr>
                <w:sz w:val="20"/>
                <w:szCs w:val="20"/>
              </w:rPr>
            </w:pPr>
            <w:r w:rsidRPr="00E51CDD">
              <w:rPr>
                <w:sz w:val="20"/>
                <w:szCs w:val="20"/>
              </w:rPr>
              <w:t>p. 25</w:t>
            </w:r>
          </w:p>
        </w:tc>
        <w:tc>
          <w:tcPr>
            <w:tcW w:w="1184" w:type="dxa"/>
            <w:vAlign w:val="center"/>
          </w:tcPr>
          <w:p w14:paraId="46B479ED" w14:textId="77777777" w:rsidR="00E51CDD" w:rsidRPr="00E51CDD" w:rsidRDefault="00E51CDD" w:rsidP="00E51CDD">
            <w:pPr>
              <w:rPr>
                <w:sz w:val="20"/>
                <w:szCs w:val="20"/>
              </w:rPr>
            </w:pPr>
            <w:r w:rsidRPr="00E51CDD">
              <w:rPr>
                <w:sz w:val="20"/>
                <w:szCs w:val="20"/>
              </w:rPr>
              <w:t>Y</w:t>
            </w:r>
          </w:p>
        </w:tc>
        <w:tc>
          <w:tcPr>
            <w:tcW w:w="1217" w:type="dxa"/>
            <w:vAlign w:val="center"/>
          </w:tcPr>
          <w:p w14:paraId="14B65C9C" w14:textId="77777777" w:rsidR="00E51CDD" w:rsidRPr="00E51CDD" w:rsidRDefault="00E51CDD" w:rsidP="00E51CDD">
            <w:pPr>
              <w:rPr>
                <w:sz w:val="20"/>
                <w:szCs w:val="20"/>
              </w:rPr>
            </w:pPr>
            <w:r w:rsidRPr="00E51CDD">
              <w:rPr>
                <w:sz w:val="20"/>
                <w:szCs w:val="20"/>
              </w:rPr>
              <w:t>OCSPP 850.2100</w:t>
            </w:r>
          </w:p>
        </w:tc>
      </w:tr>
      <w:tr w:rsidR="00E51CDD" w:rsidRPr="00E51CDD" w14:paraId="7ABB98AC" w14:textId="77777777" w:rsidTr="009938D9">
        <w:tc>
          <w:tcPr>
            <w:tcW w:w="4027" w:type="dxa"/>
          </w:tcPr>
          <w:p w14:paraId="5A34AF81" w14:textId="77777777" w:rsidR="00E51CDD" w:rsidRPr="00E51CDD" w:rsidRDefault="00E51CDD" w:rsidP="00E51CDD">
            <w:pPr>
              <w:ind w:left="-14"/>
              <w:contextualSpacing/>
              <w:jc w:val="left"/>
              <w:rPr>
                <w:sz w:val="20"/>
                <w:szCs w:val="20"/>
              </w:rPr>
            </w:pPr>
            <w:r w:rsidRPr="00E51CDD">
              <w:rPr>
                <w:sz w:val="20"/>
                <w:szCs w:val="20"/>
              </w:rPr>
              <w:t>Number of birds used for each dose level of the test substance and control</w:t>
            </w:r>
          </w:p>
        </w:tc>
        <w:tc>
          <w:tcPr>
            <w:tcW w:w="1647" w:type="dxa"/>
            <w:vAlign w:val="center"/>
          </w:tcPr>
          <w:p w14:paraId="323DC0E1" w14:textId="77777777" w:rsidR="00E51CDD" w:rsidRPr="00E51CDD" w:rsidRDefault="00E51CDD" w:rsidP="00E51CDD">
            <w:pPr>
              <w:rPr>
                <w:sz w:val="20"/>
                <w:szCs w:val="20"/>
              </w:rPr>
            </w:pPr>
            <w:r w:rsidRPr="00E51CDD">
              <w:rPr>
                <w:sz w:val="20"/>
                <w:szCs w:val="20"/>
              </w:rPr>
              <w:t>≥ 10</w:t>
            </w:r>
          </w:p>
        </w:tc>
        <w:tc>
          <w:tcPr>
            <w:tcW w:w="1167" w:type="dxa"/>
            <w:vAlign w:val="center"/>
          </w:tcPr>
          <w:p w14:paraId="061D497D" w14:textId="77777777" w:rsidR="00E51CDD" w:rsidRPr="00E51CDD" w:rsidRDefault="00E51CDD" w:rsidP="00E51CDD">
            <w:pPr>
              <w:rPr>
                <w:sz w:val="20"/>
                <w:szCs w:val="20"/>
              </w:rPr>
            </w:pPr>
            <w:r w:rsidRPr="00E51CDD">
              <w:rPr>
                <w:sz w:val="20"/>
                <w:szCs w:val="20"/>
              </w:rPr>
              <w:t>10</w:t>
            </w:r>
          </w:p>
          <w:p w14:paraId="2C98FA68" w14:textId="77777777" w:rsidR="00E51CDD" w:rsidRPr="00E51CDD" w:rsidRDefault="00E51CDD" w:rsidP="00E51CDD">
            <w:pPr>
              <w:rPr>
                <w:sz w:val="20"/>
                <w:szCs w:val="20"/>
              </w:rPr>
            </w:pPr>
            <w:r w:rsidRPr="00E51CDD">
              <w:rPr>
                <w:sz w:val="20"/>
                <w:szCs w:val="20"/>
              </w:rPr>
              <w:t>p. 19</w:t>
            </w:r>
          </w:p>
        </w:tc>
        <w:tc>
          <w:tcPr>
            <w:tcW w:w="1184" w:type="dxa"/>
            <w:vAlign w:val="center"/>
          </w:tcPr>
          <w:p w14:paraId="03CB31E4" w14:textId="77777777" w:rsidR="00E51CDD" w:rsidRPr="00E51CDD" w:rsidRDefault="00E51CDD" w:rsidP="00E51CDD">
            <w:pPr>
              <w:rPr>
                <w:sz w:val="20"/>
                <w:szCs w:val="20"/>
              </w:rPr>
            </w:pPr>
            <w:r w:rsidRPr="00E51CDD">
              <w:rPr>
                <w:sz w:val="20"/>
                <w:szCs w:val="20"/>
              </w:rPr>
              <w:t>Y</w:t>
            </w:r>
          </w:p>
        </w:tc>
        <w:tc>
          <w:tcPr>
            <w:tcW w:w="1217" w:type="dxa"/>
            <w:vAlign w:val="center"/>
          </w:tcPr>
          <w:p w14:paraId="25459D98" w14:textId="77777777" w:rsidR="00E51CDD" w:rsidRPr="00E51CDD" w:rsidRDefault="00E51CDD" w:rsidP="00E51CDD">
            <w:pPr>
              <w:rPr>
                <w:sz w:val="20"/>
                <w:szCs w:val="20"/>
              </w:rPr>
            </w:pPr>
            <w:r w:rsidRPr="00E51CDD">
              <w:rPr>
                <w:sz w:val="20"/>
                <w:szCs w:val="20"/>
              </w:rPr>
              <w:t>OCSPP 850.2100</w:t>
            </w:r>
          </w:p>
        </w:tc>
      </w:tr>
      <w:tr w:rsidR="00E51CDD" w:rsidRPr="00E51CDD" w14:paraId="548031B2" w14:textId="77777777" w:rsidTr="009938D9">
        <w:tc>
          <w:tcPr>
            <w:tcW w:w="4027" w:type="dxa"/>
          </w:tcPr>
          <w:p w14:paraId="09DCF121" w14:textId="77777777" w:rsidR="00E51CDD" w:rsidRPr="00E51CDD" w:rsidRDefault="00E51CDD" w:rsidP="00E51CDD">
            <w:pPr>
              <w:ind w:left="-14"/>
              <w:contextualSpacing/>
              <w:jc w:val="left"/>
              <w:rPr>
                <w:sz w:val="20"/>
                <w:szCs w:val="20"/>
              </w:rPr>
            </w:pPr>
            <w:r w:rsidRPr="00E51CDD">
              <w:rPr>
                <w:sz w:val="20"/>
                <w:szCs w:val="20"/>
              </w:rPr>
              <w:t>Test substance method of administration</w:t>
            </w:r>
          </w:p>
        </w:tc>
        <w:tc>
          <w:tcPr>
            <w:tcW w:w="1647" w:type="dxa"/>
            <w:vAlign w:val="center"/>
          </w:tcPr>
          <w:p w14:paraId="7C1B2F2A" w14:textId="77777777" w:rsidR="00E51CDD" w:rsidRPr="00E51CDD" w:rsidRDefault="00E51CDD" w:rsidP="00E51CDD">
            <w:pPr>
              <w:rPr>
                <w:sz w:val="20"/>
                <w:szCs w:val="20"/>
              </w:rPr>
            </w:pPr>
            <w:r w:rsidRPr="00E51CDD">
              <w:rPr>
                <w:sz w:val="20"/>
                <w:szCs w:val="20"/>
              </w:rPr>
              <w:t>Orally, by capsule or gavage</w:t>
            </w:r>
          </w:p>
        </w:tc>
        <w:tc>
          <w:tcPr>
            <w:tcW w:w="1167" w:type="dxa"/>
            <w:vAlign w:val="center"/>
          </w:tcPr>
          <w:p w14:paraId="39ED5698" w14:textId="77777777" w:rsidR="00E51CDD" w:rsidRPr="00E51CDD" w:rsidRDefault="00E51CDD" w:rsidP="00E51CDD">
            <w:pPr>
              <w:rPr>
                <w:sz w:val="20"/>
                <w:szCs w:val="20"/>
              </w:rPr>
            </w:pPr>
            <w:r w:rsidRPr="00E51CDD">
              <w:rPr>
                <w:sz w:val="20"/>
                <w:szCs w:val="20"/>
              </w:rPr>
              <w:t>Gavage</w:t>
            </w:r>
          </w:p>
          <w:p w14:paraId="611FD444" w14:textId="77777777" w:rsidR="00E51CDD" w:rsidRPr="00E51CDD" w:rsidRDefault="00E51CDD" w:rsidP="00E51CDD">
            <w:pPr>
              <w:rPr>
                <w:sz w:val="20"/>
                <w:szCs w:val="20"/>
              </w:rPr>
            </w:pPr>
            <w:r w:rsidRPr="00E51CDD">
              <w:rPr>
                <w:sz w:val="20"/>
                <w:szCs w:val="20"/>
              </w:rPr>
              <w:t>p. 22</w:t>
            </w:r>
          </w:p>
        </w:tc>
        <w:tc>
          <w:tcPr>
            <w:tcW w:w="1184" w:type="dxa"/>
            <w:vAlign w:val="center"/>
          </w:tcPr>
          <w:p w14:paraId="1D1F26BF" w14:textId="77777777" w:rsidR="00E51CDD" w:rsidRPr="00E51CDD" w:rsidRDefault="00E51CDD" w:rsidP="00E51CDD">
            <w:pPr>
              <w:rPr>
                <w:sz w:val="20"/>
                <w:szCs w:val="20"/>
              </w:rPr>
            </w:pPr>
            <w:r w:rsidRPr="00E51CDD">
              <w:rPr>
                <w:sz w:val="20"/>
                <w:szCs w:val="20"/>
              </w:rPr>
              <w:t>Y</w:t>
            </w:r>
          </w:p>
        </w:tc>
        <w:tc>
          <w:tcPr>
            <w:tcW w:w="1217" w:type="dxa"/>
            <w:vAlign w:val="center"/>
          </w:tcPr>
          <w:p w14:paraId="4F1E3265" w14:textId="77777777" w:rsidR="00E51CDD" w:rsidRPr="00E51CDD" w:rsidRDefault="00E51CDD" w:rsidP="00E51CDD">
            <w:pPr>
              <w:rPr>
                <w:sz w:val="20"/>
                <w:szCs w:val="20"/>
              </w:rPr>
            </w:pPr>
            <w:r w:rsidRPr="00E51CDD">
              <w:rPr>
                <w:sz w:val="20"/>
                <w:szCs w:val="20"/>
              </w:rPr>
              <w:t>OCSPP 850.2100</w:t>
            </w:r>
          </w:p>
        </w:tc>
      </w:tr>
      <w:tr w:rsidR="00E51CDD" w:rsidRPr="00E51CDD" w14:paraId="1076F41C" w14:textId="77777777" w:rsidTr="009938D9">
        <w:tc>
          <w:tcPr>
            <w:tcW w:w="4027" w:type="dxa"/>
          </w:tcPr>
          <w:p w14:paraId="54FF4DCF" w14:textId="77777777" w:rsidR="00E51CDD" w:rsidRPr="00E51CDD" w:rsidRDefault="00E51CDD" w:rsidP="00E51CDD">
            <w:pPr>
              <w:ind w:left="-14"/>
              <w:contextualSpacing/>
              <w:jc w:val="left"/>
              <w:rPr>
                <w:sz w:val="20"/>
                <w:szCs w:val="20"/>
              </w:rPr>
            </w:pPr>
            <w:r w:rsidRPr="00E51CDD">
              <w:rPr>
                <w:sz w:val="20"/>
                <w:szCs w:val="20"/>
              </w:rPr>
              <w:t>In a definitive test only, number of treatments tested</w:t>
            </w:r>
          </w:p>
        </w:tc>
        <w:tc>
          <w:tcPr>
            <w:tcW w:w="1647" w:type="dxa"/>
            <w:vAlign w:val="center"/>
          </w:tcPr>
          <w:p w14:paraId="6158D75D" w14:textId="77777777" w:rsidR="00E51CDD" w:rsidRPr="00E51CDD" w:rsidRDefault="00E51CDD" w:rsidP="00E51CDD">
            <w:pPr>
              <w:rPr>
                <w:sz w:val="20"/>
                <w:szCs w:val="20"/>
              </w:rPr>
            </w:pPr>
            <w:r w:rsidRPr="00E51CDD">
              <w:rPr>
                <w:sz w:val="20"/>
                <w:szCs w:val="20"/>
              </w:rPr>
              <w:t>≥ 5 + control</w:t>
            </w:r>
          </w:p>
        </w:tc>
        <w:tc>
          <w:tcPr>
            <w:tcW w:w="1167" w:type="dxa"/>
            <w:vAlign w:val="center"/>
          </w:tcPr>
          <w:p w14:paraId="284AEA78" w14:textId="77777777" w:rsidR="00E51CDD" w:rsidRPr="00E51CDD" w:rsidRDefault="00E51CDD" w:rsidP="00E51CDD">
            <w:pPr>
              <w:rPr>
                <w:sz w:val="20"/>
                <w:szCs w:val="20"/>
              </w:rPr>
            </w:pPr>
            <w:r w:rsidRPr="00E51CDD">
              <w:rPr>
                <w:sz w:val="20"/>
                <w:szCs w:val="20"/>
              </w:rPr>
              <w:t>3 + control</w:t>
            </w:r>
          </w:p>
          <w:p w14:paraId="5D11D5B5" w14:textId="77777777" w:rsidR="00E51CDD" w:rsidRPr="00E51CDD" w:rsidRDefault="00E51CDD" w:rsidP="00E51CDD">
            <w:pPr>
              <w:rPr>
                <w:sz w:val="20"/>
                <w:szCs w:val="20"/>
              </w:rPr>
            </w:pPr>
            <w:r w:rsidRPr="00E51CDD">
              <w:rPr>
                <w:sz w:val="20"/>
                <w:szCs w:val="20"/>
              </w:rPr>
              <w:t>p. 19</w:t>
            </w:r>
          </w:p>
        </w:tc>
        <w:tc>
          <w:tcPr>
            <w:tcW w:w="1184" w:type="dxa"/>
            <w:vAlign w:val="center"/>
          </w:tcPr>
          <w:p w14:paraId="104071F9" w14:textId="77777777" w:rsidR="00E51CDD" w:rsidRPr="00E51CDD" w:rsidRDefault="00E51CDD" w:rsidP="00E51CDD">
            <w:pPr>
              <w:rPr>
                <w:sz w:val="20"/>
                <w:szCs w:val="20"/>
              </w:rPr>
            </w:pPr>
            <w:r w:rsidRPr="00E51CDD">
              <w:rPr>
                <w:sz w:val="20"/>
                <w:szCs w:val="20"/>
              </w:rPr>
              <w:t>N</w:t>
            </w:r>
          </w:p>
        </w:tc>
        <w:tc>
          <w:tcPr>
            <w:tcW w:w="1217" w:type="dxa"/>
            <w:vAlign w:val="center"/>
          </w:tcPr>
          <w:p w14:paraId="1361228B" w14:textId="77777777" w:rsidR="00E51CDD" w:rsidRPr="00E51CDD" w:rsidRDefault="00E51CDD" w:rsidP="00E51CDD">
            <w:pPr>
              <w:rPr>
                <w:sz w:val="20"/>
                <w:szCs w:val="20"/>
              </w:rPr>
            </w:pPr>
            <w:r w:rsidRPr="00E51CDD">
              <w:rPr>
                <w:sz w:val="20"/>
                <w:szCs w:val="20"/>
              </w:rPr>
              <w:t>OCSPP 850.2100</w:t>
            </w:r>
          </w:p>
        </w:tc>
      </w:tr>
      <w:tr w:rsidR="00E51CDD" w:rsidRPr="00E51CDD" w14:paraId="35BE0539" w14:textId="77777777" w:rsidTr="009938D9">
        <w:tc>
          <w:tcPr>
            <w:tcW w:w="4027" w:type="dxa"/>
          </w:tcPr>
          <w:p w14:paraId="3E7F7FD5" w14:textId="77777777" w:rsidR="00E51CDD" w:rsidRPr="00E51CDD" w:rsidRDefault="00E51CDD" w:rsidP="00E51CDD">
            <w:pPr>
              <w:ind w:left="-14"/>
              <w:contextualSpacing/>
              <w:jc w:val="left"/>
              <w:rPr>
                <w:sz w:val="20"/>
                <w:szCs w:val="20"/>
              </w:rPr>
            </w:pPr>
            <w:r w:rsidRPr="00E51CDD">
              <w:rPr>
                <w:sz w:val="20"/>
                <w:szCs w:val="20"/>
              </w:rPr>
              <w:t>Non-incidental control mortality</w:t>
            </w:r>
            <w:r w:rsidRPr="00E51CDD">
              <w:rPr>
                <w:sz w:val="20"/>
                <w:szCs w:val="20"/>
                <w:vertAlign w:val="superscript"/>
              </w:rPr>
              <w:t>1</w:t>
            </w:r>
          </w:p>
        </w:tc>
        <w:tc>
          <w:tcPr>
            <w:tcW w:w="1647" w:type="dxa"/>
            <w:vAlign w:val="center"/>
          </w:tcPr>
          <w:p w14:paraId="3C57E7EB" w14:textId="77777777" w:rsidR="00E51CDD" w:rsidRPr="00E51CDD" w:rsidRDefault="00E51CDD" w:rsidP="00E51CDD">
            <w:pPr>
              <w:rPr>
                <w:sz w:val="20"/>
                <w:szCs w:val="20"/>
              </w:rPr>
            </w:pPr>
            <w:r w:rsidRPr="00E51CDD">
              <w:rPr>
                <w:sz w:val="20"/>
                <w:szCs w:val="20"/>
              </w:rPr>
              <w:t>0%</w:t>
            </w:r>
          </w:p>
        </w:tc>
        <w:tc>
          <w:tcPr>
            <w:tcW w:w="1167" w:type="dxa"/>
            <w:vAlign w:val="center"/>
          </w:tcPr>
          <w:p w14:paraId="1368FE89" w14:textId="77777777" w:rsidR="00E51CDD" w:rsidRPr="00E51CDD" w:rsidRDefault="00E51CDD" w:rsidP="00E51CDD">
            <w:pPr>
              <w:rPr>
                <w:sz w:val="20"/>
                <w:szCs w:val="20"/>
              </w:rPr>
            </w:pPr>
            <w:r w:rsidRPr="00E51CDD">
              <w:rPr>
                <w:sz w:val="20"/>
                <w:szCs w:val="20"/>
              </w:rPr>
              <w:t>0%</w:t>
            </w:r>
          </w:p>
          <w:p w14:paraId="3DF99148" w14:textId="77777777" w:rsidR="00E51CDD" w:rsidRPr="00E51CDD" w:rsidRDefault="00E51CDD" w:rsidP="00E51CDD">
            <w:pPr>
              <w:rPr>
                <w:sz w:val="20"/>
                <w:szCs w:val="20"/>
              </w:rPr>
            </w:pPr>
            <w:r w:rsidRPr="00E51CDD">
              <w:rPr>
                <w:sz w:val="20"/>
                <w:szCs w:val="20"/>
              </w:rPr>
              <w:t>p. 25</w:t>
            </w:r>
          </w:p>
        </w:tc>
        <w:tc>
          <w:tcPr>
            <w:tcW w:w="1184" w:type="dxa"/>
            <w:vAlign w:val="center"/>
          </w:tcPr>
          <w:p w14:paraId="2A4743E2" w14:textId="77777777" w:rsidR="00E51CDD" w:rsidRPr="00E51CDD" w:rsidRDefault="00E51CDD" w:rsidP="00E51CDD">
            <w:pPr>
              <w:rPr>
                <w:sz w:val="20"/>
                <w:szCs w:val="20"/>
              </w:rPr>
            </w:pPr>
            <w:r w:rsidRPr="00E51CDD">
              <w:rPr>
                <w:sz w:val="20"/>
                <w:szCs w:val="20"/>
              </w:rPr>
              <w:t>Y</w:t>
            </w:r>
          </w:p>
        </w:tc>
        <w:tc>
          <w:tcPr>
            <w:tcW w:w="1217" w:type="dxa"/>
            <w:vAlign w:val="center"/>
          </w:tcPr>
          <w:p w14:paraId="0B040EF2" w14:textId="77777777" w:rsidR="00E51CDD" w:rsidRPr="00E51CDD" w:rsidRDefault="00E51CDD" w:rsidP="00E51CDD">
            <w:pPr>
              <w:rPr>
                <w:sz w:val="20"/>
                <w:szCs w:val="20"/>
              </w:rPr>
            </w:pPr>
            <w:r w:rsidRPr="00E51CDD">
              <w:rPr>
                <w:sz w:val="20"/>
                <w:szCs w:val="20"/>
              </w:rPr>
              <w:t>OECD 223</w:t>
            </w:r>
          </w:p>
        </w:tc>
      </w:tr>
      <w:tr w:rsidR="00E51CDD" w:rsidRPr="00E51CDD" w14:paraId="28FC81FE" w14:textId="77777777" w:rsidTr="009938D9">
        <w:tc>
          <w:tcPr>
            <w:tcW w:w="4027" w:type="dxa"/>
          </w:tcPr>
          <w:p w14:paraId="55DB3518" w14:textId="77777777" w:rsidR="00E51CDD" w:rsidRPr="00E51CDD" w:rsidRDefault="00E51CDD" w:rsidP="00E51CDD">
            <w:pPr>
              <w:ind w:left="-14"/>
              <w:contextualSpacing/>
              <w:jc w:val="left"/>
              <w:rPr>
                <w:sz w:val="20"/>
                <w:szCs w:val="20"/>
              </w:rPr>
            </w:pPr>
            <w:r w:rsidRPr="00E51CDD">
              <w:rPr>
                <w:sz w:val="20"/>
                <w:szCs w:val="20"/>
              </w:rPr>
              <w:t>Incidental control mortality</w:t>
            </w:r>
            <w:r w:rsidRPr="00E51CDD">
              <w:rPr>
                <w:sz w:val="20"/>
                <w:szCs w:val="20"/>
                <w:vertAlign w:val="superscript"/>
              </w:rPr>
              <w:t>1</w:t>
            </w:r>
          </w:p>
        </w:tc>
        <w:tc>
          <w:tcPr>
            <w:tcW w:w="1647" w:type="dxa"/>
            <w:vAlign w:val="center"/>
          </w:tcPr>
          <w:p w14:paraId="5590CE4E" w14:textId="77777777" w:rsidR="00E51CDD" w:rsidRPr="00E51CDD" w:rsidRDefault="00E51CDD" w:rsidP="00E51CDD">
            <w:pPr>
              <w:rPr>
                <w:sz w:val="20"/>
                <w:szCs w:val="20"/>
              </w:rPr>
            </w:pPr>
            <w:r w:rsidRPr="00E51CDD">
              <w:rPr>
                <w:sz w:val="20"/>
                <w:szCs w:val="20"/>
              </w:rPr>
              <w:t>≤ 10%</w:t>
            </w:r>
          </w:p>
        </w:tc>
        <w:tc>
          <w:tcPr>
            <w:tcW w:w="1167" w:type="dxa"/>
            <w:vAlign w:val="center"/>
          </w:tcPr>
          <w:p w14:paraId="2F477874" w14:textId="77777777" w:rsidR="00E51CDD" w:rsidRPr="00E51CDD" w:rsidRDefault="00E51CDD" w:rsidP="00E51CDD">
            <w:pPr>
              <w:rPr>
                <w:sz w:val="20"/>
                <w:szCs w:val="20"/>
              </w:rPr>
            </w:pPr>
            <w:r w:rsidRPr="00E51CDD">
              <w:rPr>
                <w:sz w:val="20"/>
                <w:szCs w:val="20"/>
              </w:rPr>
              <w:t>0%</w:t>
            </w:r>
          </w:p>
          <w:p w14:paraId="63E4C61E" w14:textId="77777777" w:rsidR="00E51CDD" w:rsidRPr="00E51CDD" w:rsidRDefault="00E51CDD" w:rsidP="00E51CDD">
            <w:pPr>
              <w:rPr>
                <w:sz w:val="20"/>
                <w:szCs w:val="20"/>
              </w:rPr>
            </w:pPr>
            <w:r w:rsidRPr="00E51CDD">
              <w:rPr>
                <w:sz w:val="20"/>
                <w:szCs w:val="20"/>
              </w:rPr>
              <w:t>p. 25</w:t>
            </w:r>
          </w:p>
        </w:tc>
        <w:tc>
          <w:tcPr>
            <w:tcW w:w="1184" w:type="dxa"/>
            <w:vAlign w:val="center"/>
          </w:tcPr>
          <w:p w14:paraId="5A914DC8" w14:textId="77777777" w:rsidR="00E51CDD" w:rsidRPr="00E51CDD" w:rsidRDefault="00E51CDD" w:rsidP="00E51CDD">
            <w:pPr>
              <w:rPr>
                <w:sz w:val="20"/>
                <w:szCs w:val="20"/>
              </w:rPr>
            </w:pPr>
            <w:r w:rsidRPr="00E51CDD">
              <w:rPr>
                <w:sz w:val="20"/>
                <w:szCs w:val="20"/>
              </w:rPr>
              <w:t>Y</w:t>
            </w:r>
          </w:p>
        </w:tc>
        <w:tc>
          <w:tcPr>
            <w:tcW w:w="1217" w:type="dxa"/>
            <w:vAlign w:val="center"/>
          </w:tcPr>
          <w:p w14:paraId="1361C62E" w14:textId="77777777" w:rsidR="00E51CDD" w:rsidRPr="00E51CDD" w:rsidRDefault="00E51CDD" w:rsidP="00E51CDD">
            <w:pPr>
              <w:rPr>
                <w:sz w:val="20"/>
                <w:szCs w:val="20"/>
              </w:rPr>
            </w:pPr>
            <w:r w:rsidRPr="00E51CDD">
              <w:rPr>
                <w:sz w:val="20"/>
                <w:szCs w:val="20"/>
              </w:rPr>
              <w:t>OECD 223</w:t>
            </w:r>
          </w:p>
        </w:tc>
      </w:tr>
    </w:tbl>
    <w:p w14:paraId="7A13B859" w14:textId="77777777" w:rsidR="00E51CDD" w:rsidRPr="00E51CDD" w:rsidRDefault="00E51CDD" w:rsidP="00E51CDD">
      <w:pPr>
        <w:rPr>
          <w:sz w:val="18"/>
          <w:szCs w:val="18"/>
        </w:rPr>
      </w:pPr>
      <w:r w:rsidRPr="00E51CDD">
        <w:rPr>
          <w:sz w:val="18"/>
          <w:szCs w:val="18"/>
          <w:vertAlign w:val="superscript"/>
        </w:rPr>
        <w:t>1</w:t>
      </w:r>
      <w:r w:rsidRPr="00E51CDD">
        <w:rPr>
          <w:sz w:val="18"/>
          <w:szCs w:val="18"/>
        </w:rPr>
        <w:t>Incidental = self-inflicted, e.g., abrasions or broken legs.  Non-incidental mortality is things like disease or mishandling of animals that indicate poor health of the test population or poor study conduct.</w:t>
      </w:r>
    </w:p>
    <w:p w14:paraId="61942EAF" w14:textId="77777777" w:rsidR="00E51CDD" w:rsidRPr="00E51CDD" w:rsidRDefault="00E51CDD" w:rsidP="00E51CDD"/>
    <w:p w14:paraId="0CCFCF43" w14:textId="77777777" w:rsidR="00E51CDD" w:rsidRPr="00E51CDD" w:rsidRDefault="00E51CDD" w:rsidP="00E51CDD"/>
    <w:p w14:paraId="1B4EEF18" w14:textId="77777777" w:rsidR="00E51CDD" w:rsidRPr="00E51CDD" w:rsidRDefault="00E51CDD" w:rsidP="00E51CDD">
      <w:pPr>
        <w:jc w:val="both"/>
        <w:rPr>
          <w:color w:val="171419"/>
        </w:rPr>
      </w:pPr>
      <w:r w:rsidRPr="00E51CDD">
        <w:t xml:space="preserve">In </w:t>
      </w:r>
      <w:r w:rsidRPr="00E51CDD">
        <w:rPr>
          <w:color w:val="171419"/>
        </w:rPr>
        <w:t>Commission Regulation (EU) No. 283/2013, acute bird studies are required to be conducted using either US EPA OCSPP 850.2100 (2012) or OECD 223 (2010). This study</w:t>
      </w:r>
      <w:r w:rsidRPr="00E51CDD">
        <w:t xml:space="preserve"> </w:t>
      </w:r>
      <w:r w:rsidRPr="00E51CDD">
        <w:rPr>
          <w:color w:val="171419"/>
        </w:rPr>
        <w:t>was conducted under EPA 71-1 and EPA OPPTS 850.2100, which are precursors of OCSPP 850.2100. All validity criteria for OCSPP 850.2100 and OECD 223 (included for completeness) are fulfilled except one. While this study tested 3 treatments + control, OCSPP 850.2100 requires 5 treatments + control. However, no mortality occurred in this study and the maximum dose of 2000 mg/kg b.w. recommended by OCSPP 850.2100 was tested. Therefore, the results of this study would not have been altered by the inclusion of more dose levels below 2000 mg/kg b.w. and this study should be considered fully valid for use in risk assessment.</w:t>
      </w:r>
    </w:p>
    <w:p w14:paraId="3E373693" w14:textId="77777777" w:rsidR="00E51CDD" w:rsidRPr="00E51CDD" w:rsidRDefault="00E51CDD" w:rsidP="00E51CDD">
      <w:pPr>
        <w:jc w:val="both"/>
      </w:pPr>
    </w:p>
    <w:p w14:paraId="67356A7C" w14:textId="77777777" w:rsidR="00E51CDD" w:rsidRPr="00E51CDD" w:rsidRDefault="00E51CDD" w:rsidP="00E51CDD">
      <w:pPr>
        <w:widowControl w:val="0"/>
        <w:tabs>
          <w:tab w:val="left" w:pos="425"/>
          <w:tab w:val="left" w:pos="850"/>
        </w:tabs>
        <w:ind w:left="2835" w:hanging="2835"/>
      </w:pPr>
    </w:p>
    <w:p w14:paraId="07430306" w14:textId="77777777" w:rsidR="00E51CDD" w:rsidRPr="00E51CDD" w:rsidRDefault="00E51CDD" w:rsidP="00E51CDD">
      <w:pPr>
        <w:widowControl w:val="0"/>
        <w:tabs>
          <w:tab w:val="left" w:pos="425"/>
          <w:tab w:val="left" w:pos="850"/>
        </w:tabs>
        <w:suppressAutoHyphens/>
        <w:ind w:left="2835" w:hanging="2835"/>
        <w:jc w:val="both"/>
        <w:rPr>
          <w:b/>
        </w:rPr>
      </w:pPr>
      <w:r w:rsidRPr="00E51CDD">
        <w:rPr>
          <w:b/>
        </w:rPr>
        <w:t>III. CONCLUSION</w:t>
      </w:r>
    </w:p>
    <w:p w14:paraId="30D7A6D7" w14:textId="77777777" w:rsidR="00E51CDD" w:rsidRPr="00E51CDD" w:rsidRDefault="00E51CDD" w:rsidP="00E51CDD">
      <w:pPr>
        <w:jc w:val="both"/>
        <w:rPr>
          <w:lang w:val="en-GB" w:eastAsia="en-US"/>
        </w:rPr>
      </w:pPr>
    </w:p>
    <w:p w14:paraId="5C285FA5" w14:textId="77777777" w:rsidR="00E51CDD" w:rsidRPr="00E51CDD" w:rsidRDefault="00E51CDD" w:rsidP="00E51CDD">
      <w:pPr>
        <w:jc w:val="both"/>
        <w:rPr>
          <w:b/>
          <w:lang w:val="en-GB" w:eastAsia="en-US"/>
        </w:rPr>
      </w:pPr>
      <w:r w:rsidRPr="00E51CDD">
        <w:rPr>
          <w:b/>
          <w:lang w:val="en-GB" w:eastAsia="en-US"/>
        </w:rPr>
        <w:t>In an acute toxicity test with the zebra finch, the LD</w:t>
      </w:r>
      <w:r w:rsidRPr="00E51CDD">
        <w:rPr>
          <w:b/>
          <w:vertAlign w:val="subscript"/>
          <w:lang w:val="en-GB" w:eastAsia="en-US"/>
        </w:rPr>
        <w:t>50</w:t>
      </w:r>
      <w:r w:rsidRPr="00E51CDD">
        <w:rPr>
          <w:b/>
          <w:lang w:val="en-GB" w:eastAsia="en-US"/>
        </w:rPr>
        <w:t xml:space="preserve"> of BAS 700 F was &gt; 2000 mg/kg b.w.. The NOEL was ≥ 2000 mg/kg b.w..</w:t>
      </w:r>
    </w:p>
    <w:p w14:paraId="13EA191B" w14:textId="77777777" w:rsidR="00E51CDD" w:rsidRPr="00E51CDD" w:rsidRDefault="00E51CDD" w:rsidP="00E51CDD">
      <w:pPr>
        <w:rPr>
          <w:lang w:val="en-GB" w:eastAsia="en-US"/>
        </w:rPr>
      </w:pPr>
      <w:r w:rsidRPr="00E51CDD">
        <w:rPr>
          <w:lang w:val="en-GB" w:eastAsia="en-US"/>
        </w:rPr>
        <w:br w:type="page"/>
      </w:r>
    </w:p>
    <w:p w14:paraId="16D1E452" w14:textId="77777777" w:rsidR="00E51CDD" w:rsidRPr="00E51CDD" w:rsidRDefault="00E51CDD" w:rsidP="00B31542">
      <w:pPr>
        <w:pStyle w:val="RepAppendix5"/>
      </w:pPr>
      <w:r w:rsidRPr="00E51CDD">
        <w:lastRenderedPageBreak/>
        <w:t>Study 2</w:t>
      </w:r>
    </w:p>
    <w:tbl>
      <w:tblPr>
        <w:tblW w:w="5036" w:type="pct"/>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2001"/>
        <w:gridCol w:w="7410"/>
      </w:tblGrid>
      <w:tr w:rsidR="00E51CDD" w:rsidRPr="00E51CDD" w14:paraId="5C15746B" w14:textId="77777777" w:rsidTr="00F52924">
        <w:tc>
          <w:tcPr>
            <w:tcW w:w="1063" w:type="pct"/>
            <w:shd w:val="clear" w:color="auto" w:fill="D9D9D9" w:themeFill="background1" w:themeFillShade="D9"/>
          </w:tcPr>
          <w:p w14:paraId="0D30EA85" w14:textId="77777777" w:rsidR="00E51CDD" w:rsidRPr="00E51CDD" w:rsidRDefault="00E51CDD" w:rsidP="00E51CDD">
            <w:pPr>
              <w:widowControl w:val="0"/>
              <w:outlineLvl w:val="0"/>
              <w:rPr>
                <w:rFonts w:eastAsia="Batang"/>
                <w:lang w:val="en-GB"/>
              </w:rPr>
            </w:pPr>
            <w:r w:rsidRPr="00E51CDD">
              <w:rPr>
                <w:lang w:val="en-GB"/>
              </w:rPr>
              <w:t>Comments of zRMS:</w:t>
            </w:r>
          </w:p>
        </w:tc>
        <w:tc>
          <w:tcPr>
            <w:tcW w:w="3937" w:type="pct"/>
            <w:shd w:val="clear" w:color="auto" w:fill="D9D9D9" w:themeFill="background1" w:themeFillShade="D9"/>
          </w:tcPr>
          <w:p w14:paraId="721389D5" w14:textId="1957A39A" w:rsidR="0041637E" w:rsidRPr="007A6328" w:rsidRDefault="0041637E" w:rsidP="0041637E">
            <w:pPr>
              <w:pStyle w:val="RepStandard"/>
              <w:rPr>
                <w:color w:val="000000"/>
              </w:rPr>
            </w:pPr>
            <w:r w:rsidRPr="007A6328">
              <w:rPr>
                <w:color w:val="000000"/>
              </w:rPr>
              <w:t>The study was conducted to OECD guideline 2</w:t>
            </w:r>
            <w:r>
              <w:rPr>
                <w:color w:val="000000"/>
              </w:rPr>
              <w:t>23</w:t>
            </w:r>
            <w:r w:rsidRPr="007A6328">
              <w:rPr>
                <w:color w:val="000000"/>
              </w:rPr>
              <w:t xml:space="preserve"> and according to the principles of GLP. No deviations to the guideline were noted. All validity criteria were met.</w:t>
            </w:r>
          </w:p>
          <w:p w14:paraId="28A1A3CB" w14:textId="409C2D63" w:rsidR="00E51CDD" w:rsidRPr="0041637E" w:rsidRDefault="0041637E" w:rsidP="0041637E">
            <w:pPr>
              <w:pStyle w:val="RepStandard"/>
              <w:rPr>
                <w:color w:val="000000"/>
              </w:rPr>
            </w:pPr>
            <w:r w:rsidRPr="007A6328">
              <w:rPr>
                <w:color w:val="000000"/>
              </w:rPr>
              <w:t xml:space="preserve">The study is considered to be reliable </w:t>
            </w:r>
            <w:r w:rsidRPr="007A6328">
              <w:t>and suitable for the risk assessment</w:t>
            </w:r>
            <w:r w:rsidRPr="007A6328">
              <w:rPr>
                <w:color w:val="000000"/>
              </w:rPr>
              <w:t>.</w:t>
            </w:r>
          </w:p>
        </w:tc>
      </w:tr>
    </w:tbl>
    <w:p w14:paraId="3E200643" w14:textId="77777777" w:rsidR="00E51CDD" w:rsidRPr="00E51CDD" w:rsidRDefault="00E51CDD" w:rsidP="00E51CDD">
      <w:pPr>
        <w:widowControl w:val="0"/>
        <w:jc w:val="both"/>
        <w:rPr>
          <w:lang w:val="en-GB"/>
        </w:rPr>
      </w:pPr>
    </w:p>
    <w:tbl>
      <w:tblPr>
        <w:tblW w:w="8875" w:type="dxa"/>
        <w:tblLayout w:type="fixed"/>
        <w:tblCellMar>
          <w:top w:w="57" w:type="dxa"/>
          <w:left w:w="57" w:type="dxa"/>
          <w:bottom w:w="57" w:type="dxa"/>
          <w:right w:w="57" w:type="dxa"/>
        </w:tblCellMar>
        <w:tblLook w:val="01E0" w:firstRow="1" w:lastRow="1" w:firstColumn="1" w:lastColumn="1" w:noHBand="0" w:noVBand="0"/>
      </w:tblPr>
      <w:tblGrid>
        <w:gridCol w:w="2378"/>
        <w:gridCol w:w="6481"/>
        <w:gridCol w:w="16"/>
      </w:tblGrid>
      <w:tr w:rsidR="00E51CDD" w:rsidRPr="00E51CDD" w14:paraId="0E43AC04" w14:textId="77777777" w:rsidTr="009938D9">
        <w:trPr>
          <w:gridAfter w:val="1"/>
          <w:wAfter w:w="9" w:type="pct"/>
        </w:trPr>
        <w:tc>
          <w:tcPr>
            <w:tcW w:w="1340" w:type="pct"/>
            <w:shd w:val="clear" w:color="auto" w:fill="auto"/>
          </w:tcPr>
          <w:p w14:paraId="6D9D0690" w14:textId="77777777" w:rsidR="00E51CDD" w:rsidRPr="00E51CDD" w:rsidRDefault="00E51CDD" w:rsidP="00E51CDD">
            <w:pPr>
              <w:widowControl w:val="0"/>
              <w:jc w:val="both"/>
              <w:rPr>
                <w:i/>
                <w:iCs/>
                <w:lang w:val="en-GB"/>
              </w:rPr>
            </w:pPr>
            <w:r w:rsidRPr="00E51CDD">
              <w:rPr>
                <w:i/>
                <w:iCs/>
                <w:lang w:val="en-GB"/>
              </w:rPr>
              <w:t>Reference:</w:t>
            </w:r>
          </w:p>
        </w:tc>
        <w:tc>
          <w:tcPr>
            <w:tcW w:w="3651" w:type="pct"/>
            <w:shd w:val="clear" w:color="auto" w:fill="auto"/>
          </w:tcPr>
          <w:p w14:paraId="3C11B46E" w14:textId="77777777" w:rsidR="00E51CDD" w:rsidRPr="00E51CDD" w:rsidRDefault="00E51CDD" w:rsidP="00E51CDD">
            <w:pPr>
              <w:widowControl w:val="0"/>
              <w:jc w:val="both"/>
              <w:rPr>
                <w:i/>
                <w:iCs/>
              </w:rPr>
            </w:pPr>
            <w:r w:rsidRPr="00E51CDD">
              <w:rPr>
                <w:i/>
                <w:iCs/>
              </w:rPr>
              <w:t>CP 10.1.1.1/2</w:t>
            </w:r>
          </w:p>
        </w:tc>
      </w:tr>
      <w:tr w:rsidR="00E51CDD" w:rsidRPr="00E51CDD" w14:paraId="03FDA0D9" w14:textId="77777777" w:rsidTr="009938D9">
        <w:trPr>
          <w:gridAfter w:val="1"/>
          <w:wAfter w:w="9" w:type="pct"/>
        </w:trPr>
        <w:tc>
          <w:tcPr>
            <w:tcW w:w="1340" w:type="pct"/>
            <w:shd w:val="clear" w:color="auto" w:fill="auto"/>
          </w:tcPr>
          <w:p w14:paraId="552AD6F1" w14:textId="77777777" w:rsidR="00E51CDD" w:rsidRPr="00E51CDD" w:rsidRDefault="00E51CDD" w:rsidP="00E51CDD">
            <w:pPr>
              <w:widowControl w:val="0"/>
              <w:spacing w:after="120"/>
              <w:jc w:val="both"/>
              <w:rPr>
                <w:i/>
                <w:iCs/>
                <w:lang w:val="en-GB"/>
              </w:rPr>
            </w:pPr>
            <w:r w:rsidRPr="00E51CDD">
              <w:rPr>
                <w:i/>
                <w:iCs/>
                <w:lang w:val="en-GB"/>
              </w:rPr>
              <w:t>Report:</w:t>
            </w:r>
          </w:p>
        </w:tc>
        <w:tc>
          <w:tcPr>
            <w:tcW w:w="3651" w:type="pct"/>
            <w:shd w:val="clear" w:color="auto" w:fill="auto"/>
          </w:tcPr>
          <w:p w14:paraId="6784ABF2" w14:textId="77777777" w:rsidR="00E51CDD" w:rsidRPr="00E51CDD" w:rsidRDefault="00E51CDD" w:rsidP="00E51CDD">
            <w:pPr>
              <w:widowControl w:val="0"/>
              <w:spacing w:after="120"/>
              <w:jc w:val="both"/>
              <w:rPr>
                <w:i/>
                <w:iCs/>
              </w:rPr>
            </w:pPr>
            <w:r w:rsidRPr="00E51CDD">
              <w:rPr>
                <w:i/>
                <w:iCs/>
              </w:rPr>
              <w:t xml:space="preserve">BAS 736 00 F: An Acute Oral Toxicity Study with the Northern Bobwhite Using a Sequential Testing Procedure </w:t>
            </w:r>
          </w:p>
          <w:p w14:paraId="67C55F4B" w14:textId="77777777" w:rsidR="00E51CDD" w:rsidRPr="00E51CDD" w:rsidRDefault="00E51CDD" w:rsidP="00E51CDD">
            <w:pPr>
              <w:widowControl w:val="0"/>
              <w:spacing w:after="120"/>
              <w:jc w:val="both"/>
              <w:rPr>
                <w:i/>
                <w:iCs/>
              </w:rPr>
            </w:pPr>
            <w:r w:rsidRPr="00F52924">
              <w:rPr>
                <w:i/>
                <w:iCs/>
                <w:highlight w:val="black"/>
              </w:rPr>
              <w:t>Hubbard P.M., Temple D.L., 2020</w:t>
            </w:r>
          </w:p>
          <w:p w14:paraId="19E5AE2B" w14:textId="77777777" w:rsidR="00E51CDD" w:rsidRPr="00E51CDD" w:rsidRDefault="00E51CDD" w:rsidP="00E51CDD">
            <w:pPr>
              <w:autoSpaceDE w:val="0"/>
              <w:autoSpaceDN w:val="0"/>
              <w:adjustRightInd w:val="0"/>
              <w:rPr>
                <w:rFonts w:eastAsiaTheme="minorHAnsi"/>
                <w:i/>
                <w:iCs/>
                <w:color w:val="000000"/>
                <w:lang w:eastAsia="en-US"/>
              </w:rPr>
            </w:pPr>
            <w:r w:rsidRPr="00E51CDD">
              <w:rPr>
                <w:rFonts w:eastAsiaTheme="minorHAnsi"/>
                <w:i/>
                <w:iCs/>
                <w:color w:val="000000"/>
                <w:lang w:eastAsia="en-US"/>
              </w:rPr>
              <w:t>Study no. 147B-38, 849610</w:t>
            </w:r>
          </w:p>
          <w:p w14:paraId="1B576D02" w14:textId="77777777" w:rsidR="00E51CDD" w:rsidRPr="00E51CDD" w:rsidRDefault="00E51CDD" w:rsidP="00E51CDD">
            <w:pPr>
              <w:widowControl w:val="0"/>
              <w:spacing w:after="120"/>
              <w:jc w:val="both"/>
              <w:rPr>
                <w:i/>
                <w:iCs/>
                <w:lang w:val="en-GB"/>
              </w:rPr>
            </w:pPr>
            <w:r w:rsidRPr="00E51CDD">
              <w:rPr>
                <w:i/>
                <w:iCs/>
              </w:rPr>
              <w:t xml:space="preserve">BASF DocID: </w:t>
            </w:r>
            <w:bookmarkStart w:id="1112" w:name="_Hlk63951304"/>
            <w:r w:rsidRPr="00E51CDD">
              <w:rPr>
                <w:i/>
                <w:iCs/>
              </w:rPr>
              <w:t>2020/</w:t>
            </w:r>
            <w:bookmarkEnd w:id="1112"/>
            <w:r w:rsidRPr="00E51CDD">
              <w:rPr>
                <w:i/>
                <w:iCs/>
              </w:rPr>
              <w:t>2095640</w:t>
            </w:r>
          </w:p>
        </w:tc>
      </w:tr>
      <w:tr w:rsidR="00E51CDD" w:rsidRPr="00E51CDD" w14:paraId="1015CE4D" w14:textId="77777777" w:rsidTr="009938D9">
        <w:trPr>
          <w:gridAfter w:val="1"/>
          <w:wAfter w:w="9" w:type="pct"/>
        </w:trPr>
        <w:tc>
          <w:tcPr>
            <w:tcW w:w="1340" w:type="pct"/>
            <w:shd w:val="clear" w:color="auto" w:fill="auto"/>
          </w:tcPr>
          <w:p w14:paraId="3410645F" w14:textId="77777777" w:rsidR="00E51CDD" w:rsidRPr="00E51CDD" w:rsidRDefault="00E51CDD" w:rsidP="00E51CDD">
            <w:pPr>
              <w:widowControl w:val="0"/>
              <w:jc w:val="both"/>
              <w:rPr>
                <w:i/>
                <w:iCs/>
                <w:lang w:val="en-GB"/>
              </w:rPr>
            </w:pPr>
            <w:r w:rsidRPr="00E51CDD">
              <w:rPr>
                <w:i/>
                <w:iCs/>
                <w:lang w:val="en-GB"/>
              </w:rPr>
              <w:t>Guideline(s):</w:t>
            </w:r>
          </w:p>
        </w:tc>
        <w:tc>
          <w:tcPr>
            <w:tcW w:w="3651" w:type="pct"/>
            <w:shd w:val="clear" w:color="auto" w:fill="auto"/>
          </w:tcPr>
          <w:p w14:paraId="73E76B8C" w14:textId="77777777" w:rsidR="00E51CDD" w:rsidRPr="00E51CDD" w:rsidRDefault="00E51CDD" w:rsidP="00E51CDD">
            <w:pPr>
              <w:widowControl w:val="0"/>
              <w:spacing w:after="120"/>
              <w:jc w:val="both"/>
              <w:rPr>
                <w:i/>
                <w:iCs/>
                <w:lang w:val="en-GB"/>
              </w:rPr>
            </w:pPr>
            <w:r w:rsidRPr="00E51CDD">
              <w:rPr>
                <w:i/>
                <w:iCs/>
              </w:rPr>
              <w:t>OECD Guideline 223</w:t>
            </w:r>
          </w:p>
        </w:tc>
      </w:tr>
      <w:tr w:rsidR="00E51CDD" w:rsidRPr="00E51CDD" w14:paraId="0AE6A1DD" w14:textId="77777777" w:rsidTr="009938D9">
        <w:trPr>
          <w:gridAfter w:val="1"/>
          <w:wAfter w:w="9" w:type="pct"/>
        </w:trPr>
        <w:tc>
          <w:tcPr>
            <w:tcW w:w="1340" w:type="pct"/>
            <w:shd w:val="clear" w:color="auto" w:fill="auto"/>
          </w:tcPr>
          <w:p w14:paraId="2F981DF1" w14:textId="77777777" w:rsidR="00E51CDD" w:rsidRPr="00E51CDD" w:rsidRDefault="00E51CDD" w:rsidP="00E51CDD">
            <w:pPr>
              <w:widowControl w:val="0"/>
              <w:jc w:val="both"/>
              <w:rPr>
                <w:i/>
                <w:iCs/>
                <w:lang w:val="en-GB"/>
              </w:rPr>
            </w:pPr>
            <w:r w:rsidRPr="00E51CDD">
              <w:rPr>
                <w:i/>
                <w:iCs/>
                <w:lang w:val="en-GB"/>
              </w:rPr>
              <w:t>Deviations:</w:t>
            </w:r>
          </w:p>
        </w:tc>
        <w:tc>
          <w:tcPr>
            <w:tcW w:w="3651" w:type="pct"/>
            <w:shd w:val="clear" w:color="auto" w:fill="auto"/>
          </w:tcPr>
          <w:p w14:paraId="79C16257" w14:textId="77777777" w:rsidR="00E51CDD" w:rsidRPr="00E51CDD" w:rsidRDefault="00E51CDD" w:rsidP="00E51CDD">
            <w:pPr>
              <w:widowControl w:val="0"/>
              <w:spacing w:after="120"/>
              <w:jc w:val="both"/>
              <w:rPr>
                <w:i/>
                <w:iCs/>
                <w:lang w:val="en-GB"/>
              </w:rPr>
            </w:pPr>
            <w:r w:rsidRPr="00E51CDD">
              <w:rPr>
                <w:i/>
                <w:iCs/>
                <w:lang w:val="en-GB"/>
              </w:rPr>
              <w:t>No</w:t>
            </w:r>
          </w:p>
        </w:tc>
      </w:tr>
      <w:tr w:rsidR="00E51CDD" w:rsidRPr="00E51CDD" w14:paraId="72DEC44D" w14:textId="77777777" w:rsidTr="009938D9">
        <w:tc>
          <w:tcPr>
            <w:tcW w:w="1340" w:type="pct"/>
            <w:shd w:val="clear" w:color="auto" w:fill="auto"/>
          </w:tcPr>
          <w:p w14:paraId="4CDC514F" w14:textId="77777777" w:rsidR="00E51CDD" w:rsidRPr="00E51CDD" w:rsidRDefault="00E51CDD" w:rsidP="00E51CDD">
            <w:pPr>
              <w:widowControl w:val="0"/>
              <w:jc w:val="both"/>
              <w:rPr>
                <w:i/>
                <w:iCs/>
                <w:lang w:val="en-GB"/>
              </w:rPr>
            </w:pPr>
            <w:r w:rsidRPr="00E51CDD">
              <w:rPr>
                <w:i/>
                <w:iCs/>
                <w:lang w:val="en-GB"/>
              </w:rPr>
              <w:t>GLP:</w:t>
            </w:r>
          </w:p>
        </w:tc>
        <w:tc>
          <w:tcPr>
            <w:tcW w:w="3660" w:type="pct"/>
            <w:gridSpan w:val="2"/>
            <w:shd w:val="clear" w:color="auto" w:fill="auto"/>
          </w:tcPr>
          <w:p w14:paraId="3B281C1D" w14:textId="77777777" w:rsidR="00E51CDD" w:rsidRPr="00E51CDD" w:rsidRDefault="00E51CDD" w:rsidP="00E51CDD">
            <w:pPr>
              <w:tabs>
                <w:tab w:val="left" w:pos="425"/>
                <w:tab w:val="left" w:pos="850"/>
              </w:tabs>
              <w:spacing w:after="120"/>
              <w:ind w:left="1985" w:hanging="1985"/>
              <w:rPr>
                <w:b/>
                <w:i/>
                <w:iCs/>
              </w:rPr>
            </w:pPr>
            <w:r w:rsidRPr="00E51CDD">
              <w:rPr>
                <w:i/>
                <w:iCs/>
              </w:rPr>
              <w:t>Yes</w:t>
            </w:r>
          </w:p>
          <w:p w14:paraId="0CCB6B44" w14:textId="77777777" w:rsidR="00E51CDD" w:rsidRPr="00E51CDD" w:rsidRDefault="00E51CDD" w:rsidP="00E51CDD">
            <w:pPr>
              <w:widowControl w:val="0"/>
              <w:spacing w:after="120"/>
              <w:rPr>
                <w:i/>
                <w:iCs/>
              </w:rPr>
            </w:pPr>
            <w:r w:rsidRPr="00E51CDD">
              <w:rPr>
                <w:i/>
                <w:iCs/>
              </w:rPr>
              <w:t>(certified by United States Environmental Protection Agency)</w:t>
            </w:r>
          </w:p>
        </w:tc>
      </w:tr>
      <w:tr w:rsidR="00E51CDD" w:rsidRPr="00E51CDD" w14:paraId="55688E69" w14:textId="77777777" w:rsidTr="009938D9">
        <w:trPr>
          <w:gridAfter w:val="1"/>
          <w:wAfter w:w="9" w:type="pct"/>
        </w:trPr>
        <w:tc>
          <w:tcPr>
            <w:tcW w:w="1340" w:type="pct"/>
            <w:shd w:val="clear" w:color="auto" w:fill="auto"/>
          </w:tcPr>
          <w:p w14:paraId="671DAB71" w14:textId="77777777" w:rsidR="00E51CDD" w:rsidRPr="00E51CDD" w:rsidRDefault="00E51CDD" w:rsidP="00E51CDD">
            <w:pPr>
              <w:widowControl w:val="0"/>
              <w:jc w:val="both"/>
              <w:rPr>
                <w:i/>
                <w:iCs/>
                <w:lang w:val="en-GB"/>
              </w:rPr>
            </w:pPr>
            <w:r w:rsidRPr="00E51CDD">
              <w:rPr>
                <w:i/>
                <w:iCs/>
                <w:lang w:val="en-GB"/>
              </w:rPr>
              <w:t>Acceptability:</w:t>
            </w:r>
          </w:p>
        </w:tc>
        <w:tc>
          <w:tcPr>
            <w:tcW w:w="3651" w:type="pct"/>
            <w:shd w:val="clear" w:color="auto" w:fill="auto"/>
          </w:tcPr>
          <w:p w14:paraId="7846F66C" w14:textId="77777777" w:rsidR="00E51CDD" w:rsidRPr="00E51CDD" w:rsidRDefault="00E51CDD" w:rsidP="00E51CDD">
            <w:pPr>
              <w:widowControl w:val="0"/>
              <w:jc w:val="both"/>
              <w:rPr>
                <w:i/>
                <w:iCs/>
                <w:lang w:val="en-GB"/>
              </w:rPr>
            </w:pPr>
            <w:r w:rsidRPr="00E51CDD">
              <w:rPr>
                <w:i/>
                <w:iCs/>
                <w:lang w:val="en-GB"/>
              </w:rPr>
              <w:t xml:space="preserve">Yes </w:t>
            </w:r>
          </w:p>
        </w:tc>
      </w:tr>
      <w:tr w:rsidR="00E51CDD" w:rsidRPr="00E51CDD" w14:paraId="2DE7916D" w14:textId="77777777" w:rsidTr="009938D9">
        <w:trPr>
          <w:gridAfter w:val="1"/>
          <w:wAfter w:w="9" w:type="pct"/>
        </w:trPr>
        <w:tc>
          <w:tcPr>
            <w:tcW w:w="1340" w:type="pct"/>
            <w:shd w:val="clear" w:color="auto" w:fill="auto"/>
          </w:tcPr>
          <w:p w14:paraId="272C31AE" w14:textId="77777777" w:rsidR="00E51CDD" w:rsidRPr="00E51CDD" w:rsidRDefault="00E51CDD" w:rsidP="00E51CDD">
            <w:pPr>
              <w:widowControl w:val="0"/>
              <w:jc w:val="both"/>
              <w:rPr>
                <w:i/>
                <w:iCs/>
                <w:lang w:val="en-GB"/>
              </w:rPr>
            </w:pPr>
            <w:r w:rsidRPr="00E51CDD">
              <w:rPr>
                <w:i/>
                <w:iCs/>
                <w:lang w:val="en-GB"/>
              </w:rPr>
              <w:t xml:space="preserve">Duplication </w:t>
            </w:r>
            <w:r w:rsidRPr="00E51CDD">
              <w:rPr>
                <w:i/>
                <w:iCs/>
                <w:lang w:val="en-GB"/>
              </w:rPr>
              <w:br/>
              <w:t>(if vertebrate study):</w:t>
            </w:r>
          </w:p>
        </w:tc>
        <w:tc>
          <w:tcPr>
            <w:tcW w:w="3651" w:type="pct"/>
            <w:shd w:val="clear" w:color="auto" w:fill="auto"/>
          </w:tcPr>
          <w:p w14:paraId="657AAA63" w14:textId="77777777" w:rsidR="00E51CDD" w:rsidRPr="00E51CDD" w:rsidRDefault="00E51CDD" w:rsidP="00E51CDD">
            <w:pPr>
              <w:widowControl w:val="0"/>
              <w:spacing w:after="120"/>
              <w:jc w:val="both"/>
              <w:rPr>
                <w:i/>
                <w:iCs/>
                <w:lang w:val="en-GB"/>
              </w:rPr>
            </w:pPr>
            <w:r w:rsidRPr="00E51CDD">
              <w:rPr>
                <w:i/>
                <w:iCs/>
                <w:lang w:val="en-GB"/>
              </w:rPr>
              <w:t xml:space="preserve">No </w:t>
            </w:r>
          </w:p>
        </w:tc>
      </w:tr>
    </w:tbl>
    <w:p w14:paraId="27C2C6EF" w14:textId="77777777" w:rsidR="00E51CDD" w:rsidRPr="00E51CDD" w:rsidRDefault="00E51CDD" w:rsidP="00E51CDD">
      <w:pPr>
        <w:widowControl w:val="0"/>
        <w:jc w:val="both"/>
      </w:pPr>
    </w:p>
    <w:p w14:paraId="76568B79" w14:textId="77777777" w:rsidR="00E51CDD" w:rsidRPr="00E51CDD" w:rsidRDefault="00E51CDD" w:rsidP="00E51CDD">
      <w:pPr>
        <w:widowControl w:val="0"/>
        <w:jc w:val="both"/>
      </w:pPr>
    </w:p>
    <w:p w14:paraId="71319A30" w14:textId="77777777" w:rsidR="00E51CDD" w:rsidRPr="00E51CDD" w:rsidRDefault="00E51CDD" w:rsidP="00E51CDD">
      <w:pPr>
        <w:widowControl w:val="0"/>
        <w:tabs>
          <w:tab w:val="left" w:pos="425"/>
          <w:tab w:val="left" w:pos="850"/>
        </w:tabs>
        <w:ind w:left="2835" w:hanging="2835"/>
        <w:jc w:val="both"/>
        <w:rPr>
          <w:b/>
        </w:rPr>
      </w:pPr>
      <w:r w:rsidRPr="00E51CDD">
        <w:rPr>
          <w:b/>
        </w:rPr>
        <w:t>Executive Summary</w:t>
      </w:r>
    </w:p>
    <w:p w14:paraId="16F51FBF" w14:textId="77777777" w:rsidR="00E51CDD" w:rsidRPr="00E51CDD" w:rsidRDefault="00E51CDD" w:rsidP="00E51CDD">
      <w:pPr>
        <w:widowControl w:val="0"/>
        <w:tabs>
          <w:tab w:val="left" w:pos="425"/>
          <w:tab w:val="left" w:pos="850"/>
        </w:tabs>
        <w:ind w:left="2835" w:hanging="2835"/>
        <w:jc w:val="both"/>
      </w:pPr>
    </w:p>
    <w:p w14:paraId="54CFA30D" w14:textId="77777777" w:rsidR="00E51CDD" w:rsidRPr="00E51CDD" w:rsidRDefault="00E51CDD" w:rsidP="00E51CDD">
      <w:pPr>
        <w:widowControl w:val="0"/>
        <w:autoSpaceDE w:val="0"/>
        <w:autoSpaceDN w:val="0"/>
        <w:adjustRightInd w:val="0"/>
        <w:jc w:val="both"/>
        <w:rPr>
          <w:rFonts w:eastAsia="PMingLiU"/>
          <w:bCs/>
          <w:szCs w:val="24"/>
        </w:rPr>
      </w:pPr>
      <w:r w:rsidRPr="00E51CDD">
        <w:rPr>
          <w:bCs/>
          <w:szCs w:val="24"/>
        </w:rPr>
        <w:t xml:space="preserve">An acute oral avian toxicity test with the formulation BAS 736 00 F </w:t>
      </w:r>
      <w:r w:rsidRPr="00E51CDD">
        <w:rPr>
          <w:rFonts w:eastAsia="PMingLiU"/>
          <w:bCs/>
          <w:szCs w:val="24"/>
        </w:rPr>
        <w:t xml:space="preserve">containing the active substances fluxapyroxad and azoxystrobin was conducted. </w:t>
      </w:r>
      <w:r w:rsidRPr="00E51CDD">
        <w:rPr>
          <w:rFonts w:eastAsiaTheme="minorHAnsi"/>
        </w:rPr>
        <w:t>The objective of the study was to provide evidence that the LD</w:t>
      </w:r>
      <w:r w:rsidRPr="00E51CDD">
        <w:rPr>
          <w:rFonts w:eastAsiaTheme="minorHAnsi"/>
          <w:vertAlign w:val="subscript"/>
        </w:rPr>
        <w:t xml:space="preserve">50 </w:t>
      </w:r>
      <w:r w:rsidRPr="00E51CDD">
        <w:rPr>
          <w:rFonts w:eastAsiaTheme="minorHAnsi"/>
        </w:rPr>
        <w:t>for the test substance is above the tested limit-dose.</w:t>
      </w:r>
    </w:p>
    <w:p w14:paraId="3CAEFA32" w14:textId="77777777" w:rsidR="00E51CDD" w:rsidRPr="00E51CDD" w:rsidRDefault="00E51CDD" w:rsidP="00E51CDD">
      <w:pPr>
        <w:autoSpaceDE w:val="0"/>
        <w:autoSpaceDN w:val="0"/>
        <w:adjustRightInd w:val="0"/>
        <w:rPr>
          <w:rFonts w:eastAsiaTheme="minorHAnsi"/>
        </w:rPr>
      </w:pPr>
    </w:p>
    <w:p w14:paraId="1FC12D27" w14:textId="77777777" w:rsidR="00E51CDD" w:rsidRPr="00E51CDD" w:rsidRDefault="00E51CDD" w:rsidP="00E51CDD">
      <w:pPr>
        <w:autoSpaceDE w:val="0"/>
        <w:autoSpaceDN w:val="0"/>
        <w:adjustRightInd w:val="0"/>
        <w:jc w:val="both"/>
        <w:rPr>
          <w:rFonts w:eastAsia="Batang"/>
        </w:rPr>
      </w:pPr>
      <w:r w:rsidRPr="00E51CDD">
        <w:rPr>
          <w:rFonts w:eastAsiaTheme="minorHAnsi"/>
        </w:rPr>
        <w:t xml:space="preserve">The test substance was administered via a single oral dose of 0 (control) and 2000 mg formulation/kg b.w. to 49-week-old bobwhite quails. Five birds (mixed sex) were used in each test group. After fasting for approximately 17.6 hours, the test substance was administered once by gavage directly into the crop of each bird at the dosing volume of 1.86 mL (in reverse osmosis deionized water) per kg body weight. The animals of the control group received reverse osmosis deionized water only and all birds were observed for regurgitation on the Day 0 of the test. The birds were offered Easton game bird ration </w:t>
      </w:r>
      <w:r w:rsidRPr="00E51CDD">
        <w:rPr>
          <w:rFonts w:eastAsiaTheme="minorHAnsi"/>
          <w:i/>
          <w:iCs/>
        </w:rPr>
        <w:t>ad libitum</w:t>
      </w:r>
      <w:r w:rsidRPr="00E51CDD">
        <w:rPr>
          <w:rFonts w:eastAsiaTheme="minorHAnsi"/>
        </w:rPr>
        <w:t xml:space="preserve"> with the exception of a fasting period prior to dosing and municipal water </w:t>
      </w:r>
      <w:r w:rsidRPr="00E51CDD">
        <w:rPr>
          <w:rFonts w:eastAsiaTheme="minorHAnsi"/>
          <w:i/>
          <w:iCs/>
        </w:rPr>
        <w:t>ad libitum</w:t>
      </w:r>
      <w:r w:rsidRPr="00E51CDD">
        <w:rPr>
          <w:rFonts w:eastAsiaTheme="minorHAnsi"/>
        </w:rPr>
        <w:t>. The test was terminated after 14 days.</w:t>
      </w:r>
      <w:r w:rsidRPr="00E51CDD">
        <w:rPr>
          <w:rFonts w:eastAsia="Batang"/>
        </w:rPr>
        <w:t xml:space="preserve"> </w:t>
      </w:r>
      <w:r w:rsidRPr="00E51CDD">
        <w:rPr>
          <w:rFonts w:eastAsiaTheme="minorHAnsi"/>
        </w:rPr>
        <w:t xml:space="preserve">Mortalities, signs of toxicity and abnormal behavior were recorded at least twice daily during the observation period. Gross-pathological examinations were conducted on all birds. </w:t>
      </w:r>
    </w:p>
    <w:p w14:paraId="50EDF49A" w14:textId="77777777" w:rsidR="00E51CDD" w:rsidRPr="00E51CDD" w:rsidRDefault="00E51CDD" w:rsidP="00E51CDD">
      <w:pPr>
        <w:widowControl w:val="0"/>
        <w:jc w:val="both"/>
      </w:pPr>
    </w:p>
    <w:p w14:paraId="53CDA411" w14:textId="77777777" w:rsidR="00E51CDD" w:rsidRPr="00E51CDD" w:rsidRDefault="00E51CDD" w:rsidP="00E51CDD">
      <w:pPr>
        <w:autoSpaceDE w:val="0"/>
        <w:autoSpaceDN w:val="0"/>
        <w:adjustRightInd w:val="0"/>
        <w:jc w:val="both"/>
        <w:rPr>
          <w:rFonts w:eastAsiaTheme="minorHAnsi"/>
        </w:rPr>
      </w:pPr>
      <w:r w:rsidRPr="00E51CDD">
        <w:rPr>
          <w:rFonts w:eastAsiaTheme="minorHAnsi"/>
        </w:rPr>
        <w:t xml:space="preserve">No regurgitation was observed among the control birds or among any of the treatment birds.  </w:t>
      </w:r>
      <w:r w:rsidRPr="00E51CDD">
        <w:rPr>
          <w:szCs w:val="24"/>
        </w:rPr>
        <w:t>No mortality and no toxic signs were observed in the control and the test item treatment of 2000 mg</w:t>
      </w:r>
      <w:r w:rsidRPr="00E51CDD">
        <w:rPr>
          <w:bCs/>
          <w:szCs w:val="24"/>
        </w:rPr>
        <w:t xml:space="preserve"> BAS 736 00 F</w:t>
      </w:r>
      <w:r w:rsidRPr="00E51CDD">
        <w:rPr>
          <w:szCs w:val="24"/>
        </w:rPr>
        <w:t xml:space="preserve">/kg b.w. and all birds were normal in appearance and behavior for the duration of the test. </w:t>
      </w:r>
    </w:p>
    <w:p w14:paraId="131BFE24" w14:textId="77777777" w:rsidR="00E51CDD" w:rsidRPr="00E51CDD" w:rsidRDefault="00E51CDD" w:rsidP="00E51CDD">
      <w:pPr>
        <w:widowControl w:val="0"/>
        <w:autoSpaceDE w:val="0"/>
        <w:autoSpaceDN w:val="0"/>
        <w:adjustRightInd w:val="0"/>
        <w:jc w:val="both"/>
        <w:rPr>
          <w:rFonts w:eastAsiaTheme="minorHAnsi"/>
        </w:rPr>
      </w:pPr>
      <w:r w:rsidRPr="00E51CDD">
        <w:rPr>
          <w:rFonts w:eastAsiaTheme="minorHAnsi"/>
        </w:rPr>
        <w:br w:type="page"/>
      </w:r>
    </w:p>
    <w:p w14:paraId="33F15603" w14:textId="77777777" w:rsidR="00E51CDD" w:rsidRPr="00E51CDD" w:rsidRDefault="00E51CDD" w:rsidP="00E51CDD">
      <w:pPr>
        <w:autoSpaceDE w:val="0"/>
        <w:autoSpaceDN w:val="0"/>
        <w:adjustRightInd w:val="0"/>
        <w:jc w:val="both"/>
      </w:pPr>
      <w:r w:rsidRPr="00E51CDD">
        <w:lastRenderedPageBreak/>
        <w:t xml:space="preserve">When compared to the control group, there was a statistically significant treatment related loss of mean body weight in the 2000 mg </w:t>
      </w:r>
      <w:r w:rsidRPr="00E51CDD">
        <w:rPr>
          <w:bCs/>
          <w:szCs w:val="24"/>
        </w:rPr>
        <w:t>BAS 736 00 F</w:t>
      </w:r>
      <w:r w:rsidRPr="00E51CDD">
        <w:t xml:space="preserve">/kg dosage level from Day 0 to Day 3. There were no other statistically significant differences in mean body weight or mean body weight changes for the 2000 mg </w:t>
      </w:r>
      <w:r w:rsidRPr="00E51CDD">
        <w:rPr>
          <w:bCs/>
          <w:szCs w:val="24"/>
        </w:rPr>
        <w:t>BAS 736 00 F</w:t>
      </w:r>
      <w:r w:rsidRPr="00E51CDD">
        <w:t xml:space="preserve">/kg group when compared to the control group. There was a reduction in feed consumption from Day 0 to 1 and Day 1 to 2 for the 2000 mg </w:t>
      </w:r>
      <w:r w:rsidRPr="00E51CDD">
        <w:rPr>
          <w:bCs/>
          <w:szCs w:val="24"/>
        </w:rPr>
        <w:t>BAS 736 00 F</w:t>
      </w:r>
      <w:r w:rsidRPr="00E51CDD">
        <w:t xml:space="preserve">/kg dosage level relative to the control group. For all feeding intervals from Day 2 to Day 14 the feed consumption for the 2000 mg </w:t>
      </w:r>
      <w:r w:rsidRPr="00E51CDD">
        <w:rPr>
          <w:bCs/>
          <w:szCs w:val="24"/>
        </w:rPr>
        <w:t>BAS 736 00 F</w:t>
      </w:r>
      <w:r w:rsidRPr="00E51CDD">
        <w:t xml:space="preserve">/kg dosage group was comparable to the control group. </w:t>
      </w:r>
    </w:p>
    <w:p w14:paraId="4C7D8E00" w14:textId="77777777" w:rsidR="00E51CDD" w:rsidRPr="00E51CDD" w:rsidRDefault="00E51CDD" w:rsidP="00E51CDD">
      <w:pPr>
        <w:widowControl w:val="0"/>
        <w:autoSpaceDE w:val="0"/>
        <w:autoSpaceDN w:val="0"/>
        <w:adjustRightInd w:val="0"/>
        <w:jc w:val="both"/>
        <w:rPr>
          <w:szCs w:val="24"/>
        </w:rPr>
      </w:pPr>
    </w:p>
    <w:p w14:paraId="07BD78D6" w14:textId="77777777" w:rsidR="00E51CDD" w:rsidRPr="00E51CDD" w:rsidRDefault="00E51CDD" w:rsidP="00E51CDD">
      <w:pPr>
        <w:widowControl w:val="0"/>
        <w:autoSpaceDE w:val="0"/>
        <w:autoSpaceDN w:val="0"/>
        <w:adjustRightInd w:val="0"/>
        <w:jc w:val="both"/>
        <w:rPr>
          <w:szCs w:val="24"/>
        </w:rPr>
      </w:pPr>
      <w:r w:rsidRPr="00E51CDD">
        <w:rPr>
          <w:szCs w:val="24"/>
        </w:rPr>
        <w:t xml:space="preserve">No test substance specific effects were identified during the gross post-mortem examination. </w:t>
      </w:r>
    </w:p>
    <w:p w14:paraId="0AD14D43" w14:textId="77777777" w:rsidR="00E51CDD" w:rsidRPr="00E51CDD" w:rsidRDefault="00E51CDD" w:rsidP="00E51CDD">
      <w:pPr>
        <w:autoSpaceDE w:val="0"/>
        <w:autoSpaceDN w:val="0"/>
        <w:adjustRightInd w:val="0"/>
        <w:jc w:val="both"/>
        <w:rPr>
          <w:rFonts w:eastAsiaTheme="minorHAnsi"/>
        </w:rPr>
      </w:pPr>
    </w:p>
    <w:p w14:paraId="1A8DBA91" w14:textId="77777777" w:rsidR="00E51CDD" w:rsidRPr="00E51CDD" w:rsidRDefault="00E51CDD" w:rsidP="00E51CDD">
      <w:pPr>
        <w:autoSpaceDE w:val="0"/>
        <w:autoSpaceDN w:val="0"/>
        <w:adjustRightInd w:val="0"/>
        <w:jc w:val="both"/>
        <w:rPr>
          <w:rFonts w:eastAsiaTheme="minorHAnsi"/>
        </w:rPr>
      </w:pPr>
    </w:p>
    <w:p w14:paraId="4A3AFB22" w14:textId="77777777" w:rsidR="00E51CDD" w:rsidRPr="00E51CDD" w:rsidRDefault="00E51CDD" w:rsidP="00E51CDD">
      <w:pPr>
        <w:jc w:val="both"/>
        <w:rPr>
          <w:rFonts w:eastAsiaTheme="minorHAnsi"/>
          <w:b/>
        </w:rPr>
      </w:pPr>
      <w:r w:rsidRPr="00E51CDD">
        <w:rPr>
          <w:b/>
          <w:bCs/>
        </w:rPr>
        <w:t xml:space="preserve">In an acute toxicity test with the bobwhite quail </w:t>
      </w:r>
      <w:r w:rsidRPr="00E51CDD">
        <w:rPr>
          <w:rFonts w:eastAsia="PMingLiU"/>
          <w:b/>
          <w:bCs/>
          <w:szCs w:val="24"/>
        </w:rPr>
        <w:t>(</w:t>
      </w:r>
      <w:r w:rsidRPr="00E51CDD">
        <w:rPr>
          <w:rFonts w:eastAsia="PMingLiU"/>
          <w:b/>
          <w:bCs/>
          <w:i/>
          <w:szCs w:val="24"/>
        </w:rPr>
        <w:t>Colinus virginianus</w:t>
      </w:r>
      <w:r w:rsidRPr="00E51CDD">
        <w:rPr>
          <w:rFonts w:eastAsia="PMingLiU"/>
          <w:b/>
          <w:bCs/>
          <w:szCs w:val="24"/>
        </w:rPr>
        <w:t>)</w:t>
      </w:r>
      <w:r w:rsidRPr="00E51CDD">
        <w:rPr>
          <w:b/>
          <w:bCs/>
        </w:rPr>
        <w:t>, the 14-day LD</w:t>
      </w:r>
      <w:r w:rsidRPr="00E51CDD">
        <w:rPr>
          <w:b/>
          <w:bCs/>
          <w:vertAlign w:val="subscript"/>
        </w:rPr>
        <w:t>50</w:t>
      </w:r>
      <w:r w:rsidRPr="00E51CDD">
        <w:rPr>
          <w:b/>
          <w:bCs/>
        </w:rPr>
        <w:t xml:space="preserve"> of BAS 736 00 F was &gt; 2000 mg BAS 736 00 F/kg b.w.. </w:t>
      </w:r>
      <w:r w:rsidRPr="00E51CDD">
        <w:rPr>
          <w:rFonts w:eastAsiaTheme="minorHAnsi"/>
          <w:b/>
        </w:rPr>
        <w:t>The NOEL for mortality was 2000 mg BAS 736 00/kg b.w..</w:t>
      </w:r>
    </w:p>
    <w:p w14:paraId="53C11281" w14:textId="77777777" w:rsidR="00E51CDD" w:rsidRPr="00E51CDD" w:rsidRDefault="00E51CDD" w:rsidP="00E51CDD">
      <w:pPr>
        <w:widowControl w:val="0"/>
        <w:autoSpaceDE w:val="0"/>
        <w:autoSpaceDN w:val="0"/>
        <w:adjustRightInd w:val="0"/>
        <w:jc w:val="both"/>
        <w:rPr>
          <w:b/>
          <w:bCs/>
        </w:rPr>
      </w:pPr>
    </w:p>
    <w:p w14:paraId="30EFBFD2" w14:textId="77777777" w:rsidR="00E51CDD" w:rsidRPr="00E51CDD" w:rsidRDefault="00E51CDD" w:rsidP="00E51CDD">
      <w:pPr>
        <w:widowControl w:val="0"/>
        <w:autoSpaceDE w:val="0"/>
        <w:autoSpaceDN w:val="0"/>
        <w:adjustRightInd w:val="0"/>
        <w:jc w:val="both"/>
        <w:rPr>
          <w:b/>
          <w:bCs/>
        </w:rPr>
      </w:pPr>
      <w:r w:rsidRPr="00E51CDD">
        <w:rPr>
          <w:b/>
          <w:bCs/>
        </w:rPr>
        <w:br w:type="page"/>
      </w:r>
    </w:p>
    <w:p w14:paraId="789EB6C6" w14:textId="77777777" w:rsidR="00E51CDD" w:rsidRPr="00E51CDD" w:rsidRDefault="00E51CDD" w:rsidP="00E51CDD">
      <w:pPr>
        <w:tabs>
          <w:tab w:val="left" w:pos="425"/>
          <w:tab w:val="left" w:pos="850"/>
        </w:tabs>
        <w:ind w:left="2835" w:hanging="2835"/>
        <w:rPr>
          <w:b/>
        </w:rPr>
      </w:pPr>
      <w:r w:rsidRPr="00E51CDD">
        <w:rPr>
          <w:b/>
        </w:rPr>
        <w:lastRenderedPageBreak/>
        <w:t>I.</w:t>
      </w:r>
      <w:r w:rsidRPr="00E51CDD">
        <w:rPr>
          <w:b/>
        </w:rPr>
        <w:tab/>
        <w:t>MATERIAL AND METHODS</w:t>
      </w:r>
    </w:p>
    <w:p w14:paraId="7BD6C1D0" w14:textId="77777777" w:rsidR="00E51CDD" w:rsidRPr="00E51CDD" w:rsidRDefault="00E51CDD" w:rsidP="00E51CDD">
      <w:pPr>
        <w:tabs>
          <w:tab w:val="left" w:pos="425"/>
          <w:tab w:val="left" w:pos="850"/>
        </w:tabs>
        <w:ind w:left="2835" w:hanging="2835"/>
        <w:rPr>
          <w:b/>
        </w:rPr>
      </w:pPr>
    </w:p>
    <w:p w14:paraId="78D63A60" w14:textId="77777777" w:rsidR="00E51CDD" w:rsidRPr="00E51CDD" w:rsidRDefault="00E51CDD" w:rsidP="00E51CDD">
      <w:pPr>
        <w:tabs>
          <w:tab w:val="left" w:pos="425"/>
          <w:tab w:val="left" w:pos="850"/>
        </w:tabs>
        <w:ind w:left="2835" w:hanging="2835"/>
        <w:rPr>
          <w:b/>
          <w:bCs/>
        </w:rPr>
      </w:pPr>
      <w:r w:rsidRPr="00E51CDD">
        <w:rPr>
          <w:b/>
          <w:bCs/>
        </w:rPr>
        <w:t>A.</w:t>
      </w:r>
      <w:r w:rsidRPr="00E51CDD">
        <w:rPr>
          <w:b/>
          <w:bCs/>
        </w:rPr>
        <w:tab/>
        <w:t>MATERIALS</w:t>
      </w:r>
    </w:p>
    <w:p w14:paraId="4D8A71C8" w14:textId="77777777" w:rsidR="00E51CDD" w:rsidRPr="00E51CDD" w:rsidRDefault="00E51CDD" w:rsidP="00E51CDD">
      <w:pPr>
        <w:tabs>
          <w:tab w:val="left" w:pos="425"/>
          <w:tab w:val="left" w:pos="850"/>
        </w:tabs>
        <w:ind w:left="2835" w:hanging="2835"/>
        <w:rPr>
          <w:b/>
        </w:rPr>
      </w:pPr>
    </w:p>
    <w:p w14:paraId="533BD7B4" w14:textId="77777777" w:rsidR="00E51CDD" w:rsidRPr="00E51CDD" w:rsidRDefault="00E51CDD" w:rsidP="00E51CDD">
      <w:pPr>
        <w:widowControl w:val="0"/>
        <w:ind w:left="2400" w:hanging="2400"/>
        <w:jc w:val="both"/>
        <w:rPr>
          <w:rFonts w:eastAsiaTheme="minorHAnsi"/>
        </w:rPr>
      </w:pPr>
      <w:r w:rsidRPr="00E51CDD">
        <w:t xml:space="preserve">Test item: </w:t>
      </w:r>
      <w:r w:rsidRPr="00E51CDD">
        <w:tab/>
        <w:t xml:space="preserve">BAS 736 00 F; </w:t>
      </w:r>
      <w:r w:rsidRPr="00E51CDD">
        <w:rPr>
          <w:rFonts w:eastAsiaTheme="minorHAnsi"/>
        </w:rPr>
        <w:t>batch no.: FD-190220-0002; content of a.s.: Fluxapyroxad (BAS 700 F, Reg. No. 5094351): 49.4 g/L (nominal: 50 g/L), Azoxystrobin (BAS 9164 F, Reg. No. 300254): 73.9 g/L (nominal: 75 g/L).</w:t>
      </w:r>
    </w:p>
    <w:p w14:paraId="39CEEA42" w14:textId="77777777" w:rsidR="00E51CDD" w:rsidRPr="00E51CDD" w:rsidRDefault="00E51CDD" w:rsidP="00E51CDD">
      <w:pPr>
        <w:tabs>
          <w:tab w:val="left" w:pos="425"/>
          <w:tab w:val="left" w:pos="850"/>
        </w:tabs>
        <w:ind w:left="2835" w:hanging="2835"/>
        <w:rPr>
          <w:b/>
          <w:bCs/>
        </w:rPr>
      </w:pPr>
    </w:p>
    <w:p w14:paraId="51FDC5F5" w14:textId="77777777" w:rsidR="00E51CDD" w:rsidRPr="00E51CDD" w:rsidRDefault="00E51CDD" w:rsidP="00E51CDD">
      <w:pPr>
        <w:tabs>
          <w:tab w:val="left" w:pos="425"/>
          <w:tab w:val="left" w:pos="850"/>
        </w:tabs>
        <w:ind w:left="2835" w:hanging="2835"/>
        <w:rPr>
          <w:b/>
          <w:bCs/>
        </w:rPr>
      </w:pPr>
      <w:r w:rsidRPr="00E51CDD">
        <w:rPr>
          <w:b/>
          <w:bCs/>
        </w:rPr>
        <w:t>B.</w:t>
      </w:r>
      <w:r w:rsidRPr="00E51CDD">
        <w:rPr>
          <w:b/>
          <w:bCs/>
        </w:rPr>
        <w:tab/>
        <w:t>STUDY DESIGN</w:t>
      </w:r>
    </w:p>
    <w:p w14:paraId="0FA03BFF" w14:textId="77777777" w:rsidR="00E51CDD" w:rsidRPr="00E51CDD" w:rsidRDefault="00E51CDD" w:rsidP="00E51CDD">
      <w:pPr>
        <w:tabs>
          <w:tab w:val="left" w:pos="425"/>
          <w:tab w:val="left" w:pos="850"/>
        </w:tabs>
        <w:ind w:left="2835" w:hanging="2835"/>
        <w:rPr>
          <w:b/>
          <w:bCs/>
        </w:rPr>
      </w:pPr>
    </w:p>
    <w:p w14:paraId="112A6002" w14:textId="77777777" w:rsidR="00E51CDD" w:rsidRPr="00E51CDD" w:rsidRDefault="00E51CDD" w:rsidP="00E51CDD">
      <w:pPr>
        <w:widowControl w:val="0"/>
        <w:ind w:left="2410" w:hanging="2410"/>
        <w:jc w:val="both"/>
      </w:pPr>
      <w:r w:rsidRPr="00E51CDD">
        <w:t>Test species:</w:t>
      </w:r>
      <w:r w:rsidRPr="00E51CDD">
        <w:tab/>
        <w:t>Bobwhite quail</w:t>
      </w:r>
      <w:r w:rsidRPr="00E51CDD">
        <w:rPr>
          <w:rFonts w:eastAsiaTheme="minorHAnsi"/>
        </w:rPr>
        <w:t xml:space="preserve"> (</w:t>
      </w:r>
      <w:r w:rsidRPr="00E51CDD">
        <w:rPr>
          <w:rFonts w:eastAsiaTheme="minorHAnsi"/>
          <w:i/>
        </w:rPr>
        <w:t>Colinus virginianus</w:t>
      </w:r>
      <w:r w:rsidRPr="00E51CDD">
        <w:rPr>
          <w:rFonts w:eastAsiaTheme="minorHAnsi"/>
        </w:rPr>
        <w:t xml:space="preserve">), visually indistinguishable from wild birds; age: 49 weeks at dosing, hatch date: 16 July 2019; source: Trace Pheasantry, Douglassville, Pennsylvania, United States. </w:t>
      </w:r>
    </w:p>
    <w:p w14:paraId="21B1F350" w14:textId="77777777" w:rsidR="00E51CDD" w:rsidRPr="00E51CDD" w:rsidRDefault="00E51CDD" w:rsidP="00E51CDD">
      <w:pPr>
        <w:widowControl w:val="0"/>
        <w:ind w:left="2410" w:hanging="2410"/>
        <w:jc w:val="both"/>
      </w:pPr>
    </w:p>
    <w:p w14:paraId="42CFFB96" w14:textId="77777777" w:rsidR="00E51CDD" w:rsidRPr="00E51CDD" w:rsidRDefault="00E51CDD" w:rsidP="00E51CDD">
      <w:pPr>
        <w:widowControl w:val="0"/>
        <w:ind w:left="2410" w:hanging="2410"/>
        <w:jc w:val="both"/>
        <w:rPr>
          <w:rFonts w:eastAsiaTheme="minorHAnsi"/>
        </w:rPr>
      </w:pPr>
      <w:r w:rsidRPr="00E51CDD">
        <w:t>Test design:</w:t>
      </w:r>
      <w:r w:rsidRPr="00E51CDD">
        <w:tab/>
        <w:t xml:space="preserve">Five birds of mixed sex were randomly assigned each to the treatment group and the control group. Prior to the administration, the birds were fasted for approx. 17.6 hours. Thereafter </w:t>
      </w:r>
      <w:r w:rsidRPr="00E51CDD">
        <w:rPr>
          <w:rFonts w:eastAsiaTheme="minorHAnsi"/>
        </w:rPr>
        <w:t>birds were administered a single dose, once by gavage into the crop in a total amount of 1.86 mL/kg b.w. of 0 (reverse osmosis deionized water) or 2000 mg BAS 736 00 F/kg b.w (in reverse osmosis deionized water). The animals were observed for regurgitation on Day 0 of the test. An observation period of 14 days followed, during which mortalities, signs of toxicity and abnormal behavior were observed at least twice daily. Body weights were measured individually on the day of dosing (Day 0) and on Days 3, 7, and 14 of the test. Food consumption was determined by pen for approx. 24-hour intervals from Day 0 to 1, Day 1 to 2, and Day 2 to 3. Mean food consumption (g/animal/day) was then determined from Days 3 to 7 and from Days 7 to 14. Mean food consumption was calculated by measuring the change in weight of the food offered to the birds over a given period of time. All animals were sacrificed by CO</w:t>
      </w:r>
      <w:r w:rsidRPr="00E51CDD">
        <w:rPr>
          <w:rFonts w:eastAsiaTheme="minorHAnsi"/>
          <w:vertAlign w:val="subscript"/>
        </w:rPr>
        <w:t xml:space="preserve">2 </w:t>
      </w:r>
      <w:r w:rsidRPr="00E51CDD">
        <w:rPr>
          <w:rFonts w:eastAsiaTheme="minorHAnsi"/>
        </w:rPr>
        <w:t xml:space="preserve">asphyxia at the termination of the observation period. The post-mortem examination included, but was not limited to, a general examination of the exterior of the bird, and an examination of the thoracic and abdominal cavities, including cardiovascular and respiratory systems, liver, spleen, </w:t>
      </w:r>
      <w:r w:rsidRPr="00E51CDD">
        <w:t xml:space="preserve">gastro-intestinal </w:t>
      </w:r>
      <w:r w:rsidRPr="00E51CDD">
        <w:rPr>
          <w:rFonts w:eastAsiaTheme="minorHAnsi"/>
        </w:rPr>
        <w:t xml:space="preserve">tract, and urogenital system. </w:t>
      </w:r>
    </w:p>
    <w:p w14:paraId="3FF373D2" w14:textId="77777777" w:rsidR="00E51CDD" w:rsidRPr="00E51CDD" w:rsidRDefault="00E51CDD" w:rsidP="00E51CDD">
      <w:pPr>
        <w:widowControl w:val="0"/>
        <w:ind w:left="2410" w:hanging="2410"/>
        <w:jc w:val="both"/>
      </w:pPr>
    </w:p>
    <w:p w14:paraId="79AF2051" w14:textId="77777777" w:rsidR="00E51CDD" w:rsidRPr="00E51CDD" w:rsidRDefault="00E51CDD" w:rsidP="00E51CDD">
      <w:pPr>
        <w:widowControl w:val="0"/>
        <w:ind w:left="2410" w:hanging="2410"/>
        <w:jc w:val="both"/>
      </w:pPr>
      <w:r w:rsidRPr="00E51CDD">
        <w:t>Endpoints:</w:t>
      </w:r>
      <w:r w:rsidRPr="00E51CDD">
        <w:tab/>
      </w:r>
      <w:r w:rsidRPr="00E51CDD">
        <w:rPr>
          <w:rFonts w:eastAsiaTheme="minorHAnsi"/>
        </w:rPr>
        <w:t>Mortality, clinical signs, feed consumption, body weight (b.w.), and gross-pathological examinations were conducted. Calculation of LD</w:t>
      </w:r>
      <w:r w:rsidRPr="00E51CDD">
        <w:rPr>
          <w:rFonts w:eastAsiaTheme="minorHAnsi"/>
          <w:vertAlign w:val="subscript"/>
        </w:rPr>
        <w:t>50</w:t>
      </w:r>
      <w:r w:rsidRPr="00E51CDD">
        <w:rPr>
          <w:rFonts w:eastAsiaTheme="minorHAnsi"/>
        </w:rPr>
        <w:t xml:space="preserve"> and NOEL was conducted.</w:t>
      </w:r>
    </w:p>
    <w:p w14:paraId="4E77CC3F" w14:textId="77777777" w:rsidR="00E51CDD" w:rsidRPr="00E51CDD" w:rsidRDefault="00E51CDD" w:rsidP="00E51CDD">
      <w:pPr>
        <w:widowControl w:val="0"/>
        <w:ind w:left="2410" w:hanging="2410"/>
        <w:jc w:val="both"/>
      </w:pPr>
    </w:p>
    <w:p w14:paraId="64E35A70" w14:textId="77777777" w:rsidR="00E51CDD" w:rsidRPr="00E51CDD" w:rsidRDefault="00E51CDD" w:rsidP="00E51CDD">
      <w:pPr>
        <w:widowControl w:val="0"/>
        <w:ind w:left="2410" w:hanging="2410"/>
        <w:jc w:val="both"/>
      </w:pPr>
      <w:r w:rsidRPr="00E51CDD">
        <w:t>Test concentrations:</w:t>
      </w:r>
      <w:r w:rsidRPr="00E51CDD">
        <w:tab/>
      </w:r>
      <w:r w:rsidRPr="00E51CDD">
        <w:rPr>
          <w:rFonts w:eastAsiaTheme="minorHAnsi"/>
        </w:rPr>
        <w:t xml:space="preserve">0 (control) and 2000 mg formulation/kg b.w. </w:t>
      </w:r>
    </w:p>
    <w:p w14:paraId="01115475" w14:textId="77777777" w:rsidR="00E51CDD" w:rsidRPr="00E51CDD" w:rsidRDefault="00E51CDD" w:rsidP="00E51CDD">
      <w:pPr>
        <w:widowControl w:val="0"/>
        <w:ind w:left="2410" w:hanging="2410"/>
        <w:jc w:val="both"/>
      </w:pPr>
    </w:p>
    <w:p w14:paraId="10E1B0D9" w14:textId="77777777" w:rsidR="00E51CDD" w:rsidRPr="00E51CDD" w:rsidRDefault="00E51CDD" w:rsidP="00E51CDD">
      <w:pPr>
        <w:widowControl w:val="0"/>
        <w:autoSpaceDE w:val="0"/>
        <w:autoSpaceDN w:val="0"/>
        <w:adjustRightInd w:val="0"/>
        <w:ind w:left="2410" w:hanging="2410"/>
        <w:jc w:val="both"/>
        <w:rPr>
          <w:rFonts w:eastAsiaTheme="minorHAnsi"/>
        </w:rPr>
      </w:pPr>
      <w:r w:rsidRPr="00E51CDD">
        <w:t xml:space="preserve">Test conditions: </w:t>
      </w:r>
      <w:r w:rsidRPr="00E51CDD">
        <w:tab/>
      </w:r>
      <w:r w:rsidRPr="00E51CDD">
        <w:rPr>
          <w:rFonts w:eastAsiaTheme="minorHAnsi"/>
        </w:rPr>
        <w:t>Birds fasted for approx. 17.6 hours before administration of the test substance; average temperature: 21.1°C, between 20.5°C (minimum) and 21.9°C (maximum); average relative humidity: 72%, between 58% (minimum) and 80% (maximum); photoperiod: 8 hours light : 16 hours dark, fluorescent lights that closely approximated the color spectrum of noonday sunlight. Light intensity: approx. 124 Lux.</w:t>
      </w:r>
    </w:p>
    <w:p w14:paraId="3D4A2BFB" w14:textId="77777777" w:rsidR="00E51CDD" w:rsidRPr="00E51CDD" w:rsidRDefault="00E51CDD" w:rsidP="00E51CDD">
      <w:pPr>
        <w:widowControl w:val="0"/>
        <w:ind w:left="2410" w:hanging="2410"/>
        <w:jc w:val="both"/>
      </w:pPr>
    </w:p>
    <w:p w14:paraId="61861589" w14:textId="77777777" w:rsidR="00E51CDD" w:rsidRPr="00E51CDD" w:rsidRDefault="00E51CDD" w:rsidP="00E51CDD">
      <w:pPr>
        <w:widowControl w:val="0"/>
        <w:autoSpaceDE w:val="0"/>
        <w:autoSpaceDN w:val="0"/>
        <w:adjustRightInd w:val="0"/>
        <w:ind w:left="2410" w:hanging="2410"/>
        <w:jc w:val="both"/>
        <w:rPr>
          <w:rFonts w:eastAsiaTheme="minorHAnsi"/>
          <w:color w:val="000000" w:themeColor="text1"/>
        </w:rPr>
      </w:pPr>
      <w:r w:rsidRPr="00E51CDD">
        <w:rPr>
          <w:color w:val="000000" w:themeColor="text1"/>
        </w:rPr>
        <w:t xml:space="preserve">Analytics: </w:t>
      </w:r>
      <w:r w:rsidRPr="00E51CDD">
        <w:rPr>
          <w:color w:val="000000" w:themeColor="text1"/>
        </w:rPr>
        <w:tab/>
      </w:r>
      <w:r w:rsidRPr="00E51CDD">
        <w:rPr>
          <w:rFonts w:eastAsiaTheme="minorHAnsi"/>
          <w:color w:val="000000" w:themeColor="text1"/>
        </w:rPr>
        <w:t xml:space="preserve">The analysis of the test item preparations has not been performed. </w:t>
      </w:r>
    </w:p>
    <w:p w14:paraId="6FF506BA" w14:textId="77777777" w:rsidR="00E51CDD" w:rsidRPr="00E51CDD" w:rsidRDefault="00E51CDD" w:rsidP="00E51CDD">
      <w:pPr>
        <w:widowControl w:val="0"/>
        <w:autoSpaceDE w:val="0"/>
        <w:autoSpaceDN w:val="0"/>
        <w:adjustRightInd w:val="0"/>
        <w:ind w:left="2410" w:hanging="2410"/>
        <w:jc w:val="both"/>
      </w:pPr>
    </w:p>
    <w:p w14:paraId="2610053C" w14:textId="77777777" w:rsidR="00E51CDD" w:rsidRPr="00E51CDD" w:rsidRDefault="00E51CDD" w:rsidP="00E51CDD">
      <w:pPr>
        <w:widowControl w:val="0"/>
        <w:ind w:left="2410" w:hanging="2410"/>
        <w:jc w:val="both"/>
      </w:pPr>
      <w:r w:rsidRPr="00E51CDD">
        <w:t>Statistics:</w:t>
      </w:r>
      <w:r w:rsidRPr="00E51CDD">
        <w:tab/>
        <w:t xml:space="preserve">Descriptive statistics; </w:t>
      </w:r>
      <w:r w:rsidRPr="00E51CDD">
        <w:rPr>
          <w:rFonts w:eastAsiaTheme="minorHAnsi"/>
        </w:rPr>
        <w:t>body weight change: Student’s t-test. No statistical calculation of the LD</w:t>
      </w:r>
      <w:r w:rsidRPr="00E51CDD">
        <w:rPr>
          <w:rFonts w:eastAsiaTheme="minorHAnsi"/>
          <w:vertAlign w:val="subscript"/>
        </w:rPr>
        <w:t xml:space="preserve">50 </w:t>
      </w:r>
      <w:r w:rsidRPr="00E51CDD">
        <w:rPr>
          <w:rFonts w:eastAsiaTheme="minorHAnsi"/>
        </w:rPr>
        <w:t>was performed since the test was run as a limit test with only one control and one dose group</w:t>
      </w:r>
    </w:p>
    <w:p w14:paraId="4FA5856B" w14:textId="77777777" w:rsidR="00E51CDD" w:rsidRPr="00E51CDD" w:rsidRDefault="00E51CDD" w:rsidP="00E51CDD">
      <w:pPr>
        <w:widowControl w:val="0"/>
        <w:tabs>
          <w:tab w:val="left" w:pos="426"/>
          <w:tab w:val="left" w:pos="850"/>
        </w:tabs>
        <w:ind w:left="2835" w:hanging="2835"/>
        <w:jc w:val="both"/>
        <w:rPr>
          <w:b/>
        </w:rPr>
      </w:pPr>
      <w:r w:rsidRPr="00E51CDD">
        <w:rPr>
          <w:b/>
        </w:rPr>
        <w:br w:type="page"/>
      </w:r>
    </w:p>
    <w:p w14:paraId="1BFC43AC" w14:textId="77777777" w:rsidR="00E51CDD" w:rsidRPr="00E51CDD" w:rsidRDefault="00E51CDD" w:rsidP="00E51CDD">
      <w:pPr>
        <w:tabs>
          <w:tab w:val="left" w:pos="426"/>
        </w:tabs>
        <w:jc w:val="both"/>
        <w:rPr>
          <w:b/>
          <w:bCs/>
          <w:caps/>
          <w:color w:val="000000" w:themeColor="text1"/>
        </w:rPr>
      </w:pPr>
      <w:r w:rsidRPr="00E51CDD">
        <w:rPr>
          <w:b/>
          <w:bCs/>
          <w:caps/>
          <w:color w:val="000000" w:themeColor="text1"/>
        </w:rPr>
        <w:lastRenderedPageBreak/>
        <w:t>C.</w:t>
      </w:r>
      <w:r w:rsidRPr="00E51CDD">
        <w:rPr>
          <w:b/>
          <w:bCs/>
          <w:caps/>
          <w:color w:val="000000" w:themeColor="text1"/>
        </w:rPr>
        <w:tab/>
        <w:t>Description of the analytical procedures</w:t>
      </w:r>
    </w:p>
    <w:p w14:paraId="37BCE33E" w14:textId="77777777" w:rsidR="00E51CDD" w:rsidRPr="00E51CDD" w:rsidRDefault="00E51CDD" w:rsidP="00E51CDD">
      <w:pPr>
        <w:rPr>
          <w:b/>
          <w:color w:val="000000" w:themeColor="text1"/>
        </w:rPr>
      </w:pPr>
    </w:p>
    <w:p w14:paraId="64669F7B" w14:textId="77777777" w:rsidR="00E51CDD" w:rsidRPr="00E51CDD" w:rsidRDefault="00E51CDD" w:rsidP="00E51CDD">
      <w:pPr>
        <w:autoSpaceDE w:val="0"/>
        <w:autoSpaceDN w:val="0"/>
        <w:adjustRightInd w:val="0"/>
        <w:jc w:val="both"/>
        <w:rPr>
          <w:color w:val="000000" w:themeColor="text1"/>
        </w:rPr>
      </w:pPr>
      <w:r w:rsidRPr="00E51CDD">
        <w:rPr>
          <w:rFonts w:eastAsiaTheme="minorHAnsi"/>
          <w:color w:val="000000" w:themeColor="text1"/>
          <w:lang w:eastAsia="en-US"/>
        </w:rPr>
        <w:t xml:space="preserve">Not applicable, no analysis of the test-substance preparations was carried out. </w:t>
      </w:r>
    </w:p>
    <w:p w14:paraId="50012958" w14:textId="77777777" w:rsidR="00E51CDD" w:rsidRPr="00E51CDD" w:rsidRDefault="00E51CDD" w:rsidP="00E51CDD">
      <w:pPr>
        <w:widowControl w:val="0"/>
        <w:tabs>
          <w:tab w:val="left" w:pos="425"/>
          <w:tab w:val="left" w:pos="850"/>
        </w:tabs>
        <w:ind w:left="2835" w:hanging="2835"/>
        <w:jc w:val="both"/>
      </w:pPr>
    </w:p>
    <w:p w14:paraId="579BF1E1" w14:textId="77777777" w:rsidR="00E51CDD" w:rsidRPr="00E51CDD" w:rsidRDefault="00E51CDD" w:rsidP="00E51CDD">
      <w:pPr>
        <w:widowControl w:val="0"/>
        <w:tabs>
          <w:tab w:val="left" w:pos="425"/>
          <w:tab w:val="left" w:pos="850"/>
        </w:tabs>
        <w:ind w:left="2835" w:hanging="2835"/>
        <w:jc w:val="both"/>
      </w:pPr>
    </w:p>
    <w:p w14:paraId="149B2792" w14:textId="77777777" w:rsidR="00E51CDD" w:rsidRPr="00E51CDD" w:rsidRDefault="00E51CDD" w:rsidP="00E51CDD">
      <w:pPr>
        <w:tabs>
          <w:tab w:val="left" w:pos="425"/>
          <w:tab w:val="left" w:pos="850"/>
        </w:tabs>
        <w:ind w:left="2835" w:hanging="2835"/>
        <w:rPr>
          <w:b/>
        </w:rPr>
      </w:pPr>
      <w:r w:rsidRPr="00E51CDD">
        <w:rPr>
          <w:b/>
        </w:rPr>
        <w:t>II.</w:t>
      </w:r>
      <w:r w:rsidRPr="00E51CDD">
        <w:rPr>
          <w:b/>
        </w:rPr>
        <w:tab/>
        <w:t>RESULTS AND DISCUSSION</w:t>
      </w:r>
    </w:p>
    <w:p w14:paraId="1F49D5EC" w14:textId="77777777" w:rsidR="00E51CDD" w:rsidRPr="00E51CDD" w:rsidRDefault="00E51CDD" w:rsidP="00E51CDD">
      <w:pPr>
        <w:widowControl w:val="0"/>
        <w:jc w:val="both"/>
      </w:pPr>
    </w:p>
    <w:p w14:paraId="6EA075F4" w14:textId="77777777" w:rsidR="00E51CDD" w:rsidRPr="00E51CDD" w:rsidRDefault="00E51CDD" w:rsidP="00E51CDD">
      <w:pPr>
        <w:widowControl w:val="0"/>
        <w:autoSpaceDE w:val="0"/>
        <w:autoSpaceDN w:val="0"/>
        <w:adjustRightInd w:val="0"/>
        <w:jc w:val="both"/>
        <w:rPr>
          <w:rFonts w:eastAsiaTheme="minorHAnsi"/>
          <w:b/>
          <w:bCs/>
          <w:i/>
          <w:iCs/>
        </w:rPr>
      </w:pPr>
      <w:r w:rsidRPr="00E51CDD">
        <w:rPr>
          <w:rFonts w:eastAsiaTheme="minorHAnsi"/>
          <w:b/>
          <w:bCs/>
          <w:i/>
          <w:iCs/>
        </w:rPr>
        <w:t>Biological results:</w:t>
      </w:r>
    </w:p>
    <w:p w14:paraId="1CDA0CD3" w14:textId="77777777" w:rsidR="00E51CDD" w:rsidRPr="00E51CDD" w:rsidRDefault="00E51CDD" w:rsidP="00E51CDD">
      <w:pPr>
        <w:autoSpaceDE w:val="0"/>
        <w:autoSpaceDN w:val="0"/>
        <w:adjustRightInd w:val="0"/>
        <w:jc w:val="both"/>
        <w:rPr>
          <w:rFonts w:eastAsiaTheme="minorHAnsi"/>
        </w:rPr>
      </w:pPr>
    </w:p>
    <w:p w14:paraId="742AC5CD" w14:textId="77777777" w:rsidR="00E51CDD" w:rsidRPr="00E51CDD" w:rsidRDefault="00E51CDD" w:rsidP="00E51CDD">
      <w:pPr>
        <w:autoSpaceDE w:val="0"/>
        <w:autoSpaceDN w:val="0"/>
        <w:adjustRightInd w:val="0"/>
        <w:jc w:val="both"/>
        <w:rPr>
          <w:rFonts w:eastAsiaTheme="minorHAnsi"/>
        </w:rPr>
      </w:pPr>
      <w:r w:rsidRPr="00E51CDD">
        <w:rPr>
          <w:rFonts w:eastAsiaTheme="minorHAnsi"/>
        </w:rPr>
        <w:t xml:space="preserve">No regurgitation was observed among the control birds or among any of the treatment birds.  </w:t>
      </w:r>
      <w:r w:rsidRPr="00E51CDD">
        <w:rPr>
          <w:szCs w:val="24"/>
        </w:rPr>
        <w:t>No mortality and no toxic signs were observed in the control and the test item treatment of 2000 mg</w:t>
      </w:r>
      <w:r w:rsidRPr="00E51CDD">
        <w:rPr>
          <w:bCs/>
          <w:szCs w:val="24"/>
        </w:rPr>
        <w:t xml:space="preserve"> BAS 736 00 F</w:t>
      </w:r>
      <w:r w:rsidRPr="00E51CDD">
        <w:rPr>
          <w:szCs w:val="24"/>
        </w:rPr>
        <w:t xml:space="preserve">/kg b.w. and all birds were normal in appearance and behavior for the duration of the test. </w:t>
      </w:r>
    </w:p>
    <w:p w14:paraId="27F350CC" w14:textId="77777777" w:rsidR="00E51CDD" w:rsidRPr="00E51CDD" w:rsidRDefault="00E51CDD" w:rsidP="00E51CDD">
      <w:pPr>
        <w:widowControl w:val="0"/>
        <w:autoSpaceDE w:val="0"/>
        <w:autoSpaceDN w:val="0"/>
        <w:adjustRightInd w:val="0"/>
        <w:jc w:val="both"/>
        <w:rPr>
          <w:rFonts w:eastAsiaTheme="minorHAnsi"/>
        </w:rPr>
      </w:pPr>
    </w:p>
    <w:p w14:paraId="3C6F5762" w14:textId="77777777" w:rsidR="00E51CDD" w:rsidRPr="00E51CDD" w:rsidRDefault="00E51CDD" w:rsidP="00E51CDD">
      <w:pPr>
        <w:autoSpaceDE w:val="0"/>
        <w:autoSpaceDN w:val="0"/>
        <w:adjustRightInd w:val="0"/>
        <w:jc w:val="both"/>
      </w:pPr>
      <w:r w:rsidRPr="00E51CDD">
        <w:t xml:space="preserve">When compared to the control group, there was a statistically significant treatment related loss of mean body weight in the 2000 mg </w:t>
      </w:r>
      <w:r w:rsidRPr="00E51CDD">
        <w:rPr>
          <w:bCs/>
          <w:szCs w:val="24"/>
        </w:rPr>
        <w:t>BAS 736 00 F</w:t>
      </w:r>
      <w:r w:rsidRPr="00E51CDD">
        <w:t xml:space="preserve">/kg dosage level from Day 0 to Day 3. There were no other statistically significant differences in mean body weight or mean body weight changes for the 2000 mg </w:t>
      </w:r>
      <w:r w:rsidRPr="00E51CDD">
        <w:rPr>
          <w:bCs/>
          <w:szCs w:val="24"/>
        </w:rPr>
        <w:t>BAS 736 00 F</w:t>
      </w:r>
      <w:r w:rsidRPr="00E51CDD">
        <w:t xml:space="preserve">/kg group when compared to the control group. There was a reduction in feed consumption from Day 0 to 1 and Day 1 to 2 for the 2000 mg </w:t>
      </w:r>
      <w:r w:rsidRPr="00E51CDD">
        <w:rPr>
          <w:bCs/>
          <w:szCs w:val="24"/>
        </w:rPr>
        <w:t>BAS 736 00 F</w:t>
      </w:r>
      <w:r w:rsidRPr="00E51CDD">
        <w:t xml:space="preserve">/kg dosage level relative to the control group. For all feeding intervals from Day 2 to Day 14 the feed consumption for the 2000 mg </w:t>
      </w:r>
      <w:r w:rsidRPr="00E51CDD">
        <w:rPr>
          <w:bCs/>
          <w:szCs w:val="24"/>
        </w:rPr>
        <w:t>BAS 736 00 F</w:t>
      </w:r>
      <w:r w:rsidRPr="00E51CDD">
        <w:t xml:space="preserve">/kg dosage group was comparable to the control group. </w:t>
      </w:r>
    </w:p>
    <w:p w14:paraId="16782A10" w14:textId="77777777" w:rsidR="00E51CDD" w:rsidRPr="00E51CDD" w:rsidRDefault="00E51CDD" w:rsidP="00E51CDD">
      <w:pPr>
        <w:widowControl w:val="0"/>
        <w:autoSpaceDE w:val="0"/>
        <w:autoSpaceDN w:val="0"/>
        <w:adjustRightInd w:val="0"/>
        <w:jc w:val="both"/>
        <w:rPr>
          <w:szCs w:val="24"/>
        </w:rPr>
      </w:pPr>
    </w:p>
    <w:p w14:paraId="1AF26B07" w14:textId="77777777" w:rsidR="00E51CDD" w:rsidRPr="00E51CDD" w:rsidRDefault="00E51CDD" w:rsidP="00E51CDD">
      <w:pPr>
        <w:widowControl w:val="0"/>
        <w:autoSpaceDE w:val="0"/>
        <w:autoSpaceDN w:val="0"/>
        <w:adjustRightInd w:val="0"/>
        <w:jc w:val="both"/>
        <w:rPr>
          <w:szCs w:val="24"/>
        </w:rPr>
      </w:pPr>
      <w:bookmarkStart w:id="1113" w:name="_Hlk83389308"/>
      <w:r w:rsidRPr="00E51CDD">
        <w:rPr>
          <w:szCs w:val="24"/>
        </w:rPr>
        <w:t xml:space="preserve">No test substance specific effects were identified during the gross post-mortem examination. </w:t>
      </w:r>
    </w:p>
    <w:bookmarkEnd w:id="1113"/>
    <w:p w14:paraId="61009C65" w14:textId="77777777" w:rsidR="00E51CDD" w:rsidRPr="00E51CDD" w:rsidRDefault="00E51CDD" w:rsidP="00E51CDD">
      <w:pPr>
        <w:widowControl w:val="0"/>
        <w:rPr>
          <w:rFonts w:eastAsia="Batang"/>
        </w:rPr>
      </w:pPr>
    </w:p>
    <w:p w14:paraId="6F7CB903" w14:textId="11E64C6C" w:rsidR="00E51CDD" w:rsidRPr="00E51CDD" w:rsidRDefault="00E51CDD" w:rsidP="00E51CDD">
      <w:pPr>
        <w:keepNext/>
        <w:ind w:left="1276" w:hanging="1276"/>
        <w:jc w:val="both"/>
        <w:rPr>
          <w:b/>
          <w:bCs/>
        </w:rPr>
      </w:pPr>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3</w:t>
      </w:r>
      <w:r w:rsidRPr="00E51CDD">
        <w:rPr>
          <w:b/>
          <w:bCs/>
        </w:rPr>
        <w:fldChar w:fldCharType="end"/>
      </w:r>
      <w:r w:rsidRPr="00E51CDD">
        <w:rPr>
          <w:b/>
          <w:bCs/>
        </w:rPr>
        <w:t>:</w:t>
      </w:r>
      <w:r w:rsidRPr="00E51CDD">
        <w:rPr>
          <w:b/>
          <w:bCs/>
        </w:rPr>
        <w:tab/>
        <w:t>Acute toxicity of BAS 736 00 F to the bobwhite quail (</w:t>
      </w:r>
      <w:r w:rsidRPr="00E51CDD">
        <w:rPr>
          <w:b/>
          <w:bCs/>
          <w:i/>
        </w:rPr>
        <w:t>Colinus virginianus</w:t>
      </w:r>
      <w:r w:rsidRPr="00E51CDD">
        <w:rPr>
          <w:b/>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659"/>
        <w:gridCol w:w="3685"/>
      </w:tblGrid>
      <w:tr w:rsidR="00E51CDD" w:rsidRPr="007330A6" w14:paraId="04F9729C" w14:textId="77777777" w:rsidTr="009938D9">
        <w:trPr>
          <w:cantSplit/>
        </w:trPr>
        <w:tc>
          <w:tcPr>
            <w:tcW w:w="3028" w:type="pct"/>
          </w:tcPr>
          <w:p w14:paraId="1ED29EA1" w14:textId="77777777" w:rsidR="00E51CDD" w:rsidRPr="00E51CDD" w:rsidRDefault="00E51CDD" w:rsidP="00E51CDD">
            <w:pPr>
              <w:spacing w:before="40" w:after="40"/>
              <w:rPr>
                <w:sz w:val="20"/>
                <w:szCs w:val="20"/>
              </w:rPr>
            </w:pPr>
            <w:r w:rsidRPr="00E51CDD">
              <w:rPr>
                <w:b/>
                <w:sz w:val="20"/>
                <w:szCs w:val="20"/>
              </w:rPr>
              <w:t>Mortality</w:t>
            </w:r>
          </w:p>
        </w:tc>
        <w:tc>
          <w:tcPr>
            <w:tcW w:w="1972" w:type="pct"/>
          </w:tcPr>
          <w:p w14:paraId="111C47C1" w14:textId="77777777" w:rsidR="00E51CDD" w:rsidRPr="00E51CDD" w:rsidRDefault="00E51CDD" w:rsidP="00E51CDD">
            <w:pPr>
              <w:spacing w:before="40" w:after="40"/>
              <w:jc w:val="center"/>
              <w:rPr>
                <w:sz w:val="20"/>
                <w:szCs w:val="20"/>
                <w:lang w:val="fr-FR"/>
              </w:rPr>
            </w:pPr>
            <w:r w:rsidRPr="00E51CDD">
              <w:rPr>
                <w:b/>
                <w:sz w:val="20"/>
                <w:szCs w:val="20"/>
                <w:lang w:val="fr-FR"/>
              </w:rPr>
              <w:t>Dose [mg BAS 736 00 F/kg b.w.]</w:t>
            </w:r>
          </w:p>
        </w:tc>
      </w:tr>
      <w:tr w:rsidR="00E51CDD" w:rsidRPr="00E51CDD" w14:paraId="19ACCE3F" w14:textId="77777777" w:rsidTr="009938D9">
        <w:trPr>
          <w:cantSplit/>
        </w:trPr>
        <w:tc>
          <w:tcPr>
            <w:tcW w:w="3028" w:type="pct"/>
            <w:vAlign w:val="center"/>
          </w:tcPr>
          <w:p w14:paraId="70AE86B0" w14:textId="77777777" w:rsidR="00E51CDD" w:rsidRPr="00E51CDD" w:rsidRDefault="00E51CDD" w:rsidP="00E51CDD">
            <w:pPr>
              <w:spacing w:before="40" w:after="40"/>
              <w:rPr>
                <w:b/>
                <w:sz w:val="20"/>
                <w:szCs w:val="20"/>
              </w:rPr>
            </w:pPr>
            <w:r w:rsidRPr="00E51CDD">
              <w:rPr>
                <w:sz w:val="20"/>
                <w:szCs w:val="20"/>
                <w:lang w:eastAsia="en-CA"/>
              </w:rPr>
              <w:t>Highest dose causing no treatment-related mortality</w:t>
            </w:r>
          </w:p>
        </w:tc>
        <w:tc>
          <w:tcPr>
            <w:tcW w:w="1972" w:type="pct"/>
            <w:vAlign w:val="center"/>
          </w:tcPr>
          <w:p w14:paraId="7271FABB" w14:textId="77777777" w:rsidR="00E51CDD" w:rsidRPr="00E51CDD" w:rsidRDefault="00E51CDD" w:rsidP="00E51CDD">
            <w:pPr>
              <w:spacing w:before="40" w:after="40"/>
              <w:jc w:val="center"/>
              <w:rPr>
                <w:b/>
                <w:sz w:val="20"/>
                <w:szCs w:val="20"/>
                <w:lang w:val="fr-FR"/>
              </w:rPr>
            </w:pPr>
            <w:r w:rsidRPr="00E51CDD">
              <w:rPr>
                <w:sz w:val="20"/>
                <w:szCs w:val="20"/>
                <w:lang w:eastAsia="en-CA"/>
              </w:rPr>
              <w:t>2000</w:t>
            </w:r>
          </w:p>
        </w:tc>
      </w:tr>
      <w:tr w:rsidR="00E51CDD" w:rsidRPr="00E51CDD" w14:paraId="632EDB68" w14:textId="77777777" w:rsidTr="009938D9">
        <w:trPr>
          <w:cantSplit/>
        </w:trPr>
        <w:tc>
          <w:tcPr>
            <w:tcW w:w="3028" w:type="pct"/>
            <w:vAlign w:val="center"/>
          </w:tcPr>
          <w:p w14:paraId="15711989" w14:textId="77777777" w:rsidR="00E51CDD" w:rsidRPr="00E51CDD" w:rsidRDefault="00E51CDD" w:rsidP="00E51CDD">
            <w:pPr>
              <w:spacing w:before="40" w:after="40"/>
              <w:rPr>
                <w:sz w:val="20"/>
                <w:szCs w:val="20"/>
              </w:rPr>
            </w:pPr>
            <w:r w:rsidRPr="00E51CDD">
              <w:rPr>
                <w:sz w:val="20"/>
                <w:szCs w:val="20"/>
              </w:rPr>
              <w:t>NOEL mortality</w:t>
            </w:r>
          </w:p>
        </w:tc>
        <w:tc>
          <w:tcPr>
            <w:tcW w:w="1972" w:type="pct"/>
            <w:vAlign w:val="center"/>
          </w:tcPr>
          <w:p w14:paraId="2EED5DA9" w14:textId="77777777" w:rsidR="00E51CDD" w:rsidRPr="00E51CDD" w:rsidRDefault="00E51CDD" w:rsidP="00E51CDD">
            <w:pPr>
              <w:spacing w:before="40" w:after="40"/>
              <w:jc w:val="center"/>
              <w:rPr>
                <w:sz w:val="20"/>
                <w:szCs w:val="20"/>
              </w:rPr>
            </w:pPr>
            <w:r w:rsidRPr="00E51CDD">
              <w:rPr>
                <w:sz w:val="20"/>
                <w:szCs w:val="20"/>
              </w:rPr>
              <w:t>2000</w:t>
            </w:r>
          </w:p>
        </w:tc>
      </w:tr>
      <w:tr w:rsidR="00E51CDD" w:rsidRPr="00E51CDD" w14:paraId="1D32C22F" w14:textId="77777777" w:rsidTr="009938D9">
        <w:trPr>
          <w:cantSplit/>
        </w:trPr>
        <w:tc>
          <w:tcPr>
            <w:tcW w:w="3028" w:type="pct"/>
            <w:vAlign w:val="center"/>
          </w:tcPr>
          <w:p w14:paraId="17A41BC5" w14:textId="77777777" w:rsidR="00E51CDD" w:rsidRPr="00E51CDD" w:rsidRDefault="00E51CDD" w:rsidP="00E51CDD">
            <w:pPr>
              <w:spacing w:before="40" w:after="40"/>
              <w:rPr>
                <w:sz w:val="20"/>
                <w:szCs w:val="20"/>
              </w:rPr>
            </w:pPr>
            <w:r w:rsidRPr="00E51CDD">
              <w:rPr>
                <w:sz w:val="20"/>
                <w:szCs w:val="20"/>
              </w:rPr>
              <w:t>LD</w:t>
            </w:r>
            <w:r w:rsidRPr="00E51CDD">
              <w:rPr>
                <w:sz w:val="20"/>
                <w:szCs w:val="20"/>
                <w:vertAlign w:val="subscript"/>
              </w:rPr>
              <w:t>50</w:t>
            </w:r>
            <w:r w:rsidRPr="00E51CDD">
              <w:rPr>
                <w:sz w:val="20"/>
                <w:szCs w:val="20"/>
              </w:rPr>
              <w:t xml:space="preserve"> (14 d)</w:t>
            </w:r>
          </w:p>
        </w:tc>
        <w:tc>
          <w:tcPr>
            <w:tcW w:w="1972" w:type="pct"/>
            <w:vAlign w:val="center"/>
          </w:tcPr>
          <w:p w14:paraId="0DCA1921" w14:textId="77777777" w:rsidR="00E51CDD" w:rsidRPr="00E51CDD" w:rsidRDefault="00E51CDD" w:rsidP="00E51CDD">
            <w:pPr>
              <w:spacing w:before="40" w:after="40"/>
              <w:jc w:val="center"/>
              <w:rPr>
                <w:sz w:val="20"/>
                <w:szCs w:val="20"/>
              </w:rPr>
            </w:pPr>
            <w:r w:rsidRPr="00E51CDD">
              <w:rPr>
                <w:sz w:val="20"/>
                <w:szCs w:val="20"/>
              </w:rPr>
              <w:t>&gt; 2000</w:t>
            </w:r>
          </w:p>
        </w:tc>
      </w:tr>
    </w:tbl>
    <w:p w14:paraId="3F504B95" w14:textId="77777777" w:rsidR="00E51CDD" w:rsidRPr="00E51CDD" w:rsidRDefault="00E51CDD" w:rsidP="00E51CDD">
      <w:pPr>
        <w:widowControl w:val="0"/>
        <w:tabs>
          <w:tab w:val="left" w:pos="425"/>
          <w:tab w:val="left" w:pos="850"/>
        </w:tabs>
        <w:ind w:left="2835" w:hanging="2835"/>
        <w:rPr>
          <w:bCs/>
          <w:sz w:val="18"/>
          <w:szCs w:val="18"/>
        </w:rPr>
      </w:pPr>
      <w:r w:rsidRPr="00E51CDD">
        <w:rPr>
          <w:bCs/>
          <w:sz w:val="18"/>
          <w:szCs w:val="18"/>
        </w:rPr>
        <w:t>b.w. = body weight</w:t>
      </w:r>
    </w:p>
    <w:p w14:paraId="06706A0D" w14:textId="77777777" w:rsidR="00E51CDD" w:rsidRPr="00E51CDD" w:rsidRDefault="00E51CDD" w:rsidP="00E51CDD"/>
    <w:p w14:paraId="21A11CD0" w14:textId="77777777" w:rsidR="00E51CDD" w:rsidRPr="00E51CDD" w:rsidRDefault="00E51CDD" w:rsidP="00E51CDD">
      <w:pPr>
        <w:jc w:val="both"/>
      </w:pPr>
    </w:p>
    <w:p w14:paraId="3CDB11DB" w14:textId="77777777" w:rsidR="00E51CDD" w:rsidRPr="00E51CDD" w:rsidRDefault="00E51CDD" w:rsidP="00E51CDD">
      <w:pPr>
        <w:jc w:val="both"/>
        <w:rPr>
          <w:b/>
          <w:bCs/>
          <w:u w:val="single"/>
        </w:rPr>
      </w:pPr>
      <w:r w:rsidRPr="00E51CDD">
        <w:rPr>
          <w:b/>
          <w:bCs/>
          <w:u w:val="single"/>
        </w:rPr>
        <w:t>Validity criteria:</w:t>
      </w:r>
    </w:p>
    <w:p w14:paraId="3B48E489" w14:textId="77777777" w:rsidR="00E51CDD" w:rsidRPr="00E51CDD" w:rsidRDefault="00E51CDD" w:rsidP="00E51CDD">
      <w:pPr>
        <w:autoSpaceDE w:val="0"/>
        <w:autoSpaceDN w:val="0"/>
        <w:adjustRightInd w:val="0"/>
        <w:rPr>
          <w:rFonts w:eastAsiaTheme="minorHAnsi"/>
        </w:rPr>
      </w:pPr>
    </w:p>
    <w:tbl>
      <w:tblPr>
        <w:tblStyle w:val="Tabela-Siatka"/>
        <w:tblW w:w="0" w:type="auto"/>
        <w:tblLook w:val="04A0" w:firstRow="1" w:lastRow="0" w:firstColumn="1" w:lastColumn="0" w:noHBand="0" w:noVBand="1"/>
      </w:tblPr>
      <w:tblGrid>
        <w:gridCol w:w="4059"/>
        <w:gridCol w:w="1628"/>
        <w:gridCol w:w="1156"/>
        <w:gridCol w:w="1177"/>
        <w:gridCol w:w="1324"/>
      </w:tblGrid>
      <w:tr w:rsidR="00E51CDD" w:rsidRPr="00E51CDD" w14:paraId="412EF36E" w14:textId="77777777" w:rsidTr="009938D9">
        <w:tc>
          <w:tcPr>
            <w:tcW w:w="4135" w:type="dxa"/>
          </w:tcPr>
          <w:p w14:paraId="76743DC6" w14:textId="77777777" w:rsidR="00E51CDD" w:rsidRPr="00E51CDD" w:rsidRDefault="00E51CDD" w:rsidP="00E51CDD">
            <w:pPr>
              <w:jc w:val="left"/>
              <w:rPr>
                <w:b/>
                <w:sz w:val="20"/>
                <w:szCs w:val="20"/>
              </w:rPr>
            </w:pPr>
            <w:r w:rsidRPr="00E51CDD">
              <w:rPr>
                <w:b/>
                <w:sz w:val="20"/>
                <w:szCs w:val="20"/>
              </w:rPr>
              <w:t>Criteria</w:t>
            </w:r>
          </w:p>
        </w:tc>
        <w:tc>
          <w:tcPr>
            <w:tcW w:w="1647" w:type="dxa"/>
          </w:tcPr>
          <w:p w14:paraId="6472C53F" w14:textId="77777777" w:rsidR="00E51CDD" w:rsidRPr="00E51CDD" w:rsidRDefault="00E51CDD" w:rsidP="00E51CDD">
            <w:pPr>
              <w:jc w:val="left"/>
              <w:rPr>
                <w:b/>
                <w:sz w:val="20"/>
                <w:szCs w:val="20"/>
              </w:rPr>
            </w:pPr>
            <w:r w:rsidRPr="00E51CDD">
              <w:rPr>
                <w:b/>
                <w:sz w:val="20"/>
                <w:szCs w:val="20"/>
              </w:rPr>
              <w:t>Trigger value</w:t>
            </w:r>
          </w:p>
        </w:tc>
        <w:tc>
          <w:tcPr>
            <w:tcW w:w="1167" w:type="dxa"/>
          </w:tcPr>
          <w:p w14:paraId="2205E684" w14:textId="77777777" w:rsidR="00E51CDD" w:rsidRPr="00E51CDD" w:rsidRDefault="00E51CDD" w:rsidP="00E51CDD">
            <w:pPr>
              <w:jc w:val="left"/>
              <w:rPr>
                <w:b/>
                <w:sz w:val="20"/>
                <w:szCs w:val="20"/>
              </w:rPr>
            </w:pPr>
            <w:r w:rsidRPr="00E51CDD">
              <w:rPr>
                <w:b/>
                <w:sz w:val="20"/>
                <w:szCs w:val="20"/>
              </w:rPr>
              <w:t>Study value and page no.</w:t>
            </w:r>
          </w:p>
        </w:tc>
        <w:tc>
          <w:tcPr>
            <w:tcW w:w="1184" w:type="dxa"/>
          </w:tcPr>
          <w:p w14:paraId="57692D9E" w14:textId="77777777" w:rsidR="00E51CDD" w:rsidRPr="00E51CDD" w:rsidRDefault="00E51CDD" w:rsidP="00E51CDD">
            <w:pPr>
              <w:jc w:val="left"/>
              <w:rPr>
                <w:b/>
                <w:sz w:val="20"/>
                <w:szCs w:val="20"/>
              </w:rPr>
            </w:pPr>
            <w:r w:rsidRPr="00E51CDD">
              <w:rPr>
                <w:b/>
                <w:sz w:val="20"/>
                <w:szCs w:val="20"/>
              </w:rPr>
              <w:t>Criteria met? Y/N</w:t>
            </w:r>
          </w:p>
        </w:tc>
        <w:tc>
          <w:tcPr>
            <w:tcW w:w="1331" w:type="dxa"/>
          </w:tcPr>
          <w:p w14:paraId="7907F42A" w14:textId="77777777" w:rsidR="00E51CDD" w:rsidRPr="00E51CDD" w:rsidRDefault="00E51CDD" w:rsidP="00E51CDD">
            <w:pPr>
              <w:jc w:val="left"/>
              <w:rPr>
                <w:b/>
                <w:sz w:val="20"/>
                <w:szCs w:val="20"/>
              </w:rPr>
            </w:pPr>
            <w:r w:rsidRPr="00E51CDD">
              <w:rPr>
                <w:b/>
                <w:sz w:val="20"/>
                <w:szCs w:val="20"/>
              </w:rPr>
              <w:t>Guideline</w:t>
            </w:r>
          </w:p>
        </w:tc>
      </w:tr>
      <w:tr w:rsidR="00E51CDD" w:rsidRPr="00E51CDD" w14:paraId="5D3A5936" w14:textId="77777777" w:rsidTr="009938D9">
        <w:tc>
          <w:tcPr>
            <w:tcW w:w="4135" w:type="dxa"/>
          </w:tcPr>
          <w:p w14:paraId="413DACAF" w14:textId="77777777" w:rsidR="00E51CDD" w:rsidRPr="00E51CDD" w:rsidRDefault="00E51CDD" w:rsidP="00E51CDD">
            <w:pPr>
              <w:ind w:left="65"/>
              <w:contextualSpacing/>
              <w:jc w:val="left"/>
              <w:rPr>
                <w:sz w:val="20"/>
                <w:szCs w:val="20"/>
              </w:rPr>
            </w:pPr>
            <w:r w:rsidRPr="00E51CDD">
              <w:rPr>
                <w:sz w:val="20"/>
                <w:szCs w:val="20"/>
              </w:rPr>
              <w:t>Non-incidental control mortality</w:t>
            </w:r>
            <w:r w:rsidRPr="00E51CDD">
              <w:rPr>
                <w:sz w:val="20"/>
                <w:szCs w:val="20"/>
                <w:vertAlign w:val="superscript"/>
              </w:rPr>
              <w:t>1</w:t>
            </w:r>
          </w:p>
        </w:tc>
        <w:tc>
          <w:tcPr>
            <w:tcW w:w="1647" w:type="dxa"/>
          </w:tcPr>
          <w:p w14:paraId="76169AB9" w14:textId="77777777" w:rsidR="00E51CDD" w:rsidRPr="00E51CDD" w:rsidRDefault="00E51CDD" w:rsidP="00E51CDD">
            <w:pPr>
              <w:jc w:val="left"/>
              <w:rPr>
                <w:sz w:val="20"/>
                <w:szCs w:val="20"/>
              </w:rPr>
            </w:pPr>
            <w:r w:rsidRPr="00E51CDD">
              <w:rPr>
                <w:sz w:val="20"/>
                <w:szCs w:val="20"/>
              </w:rPr>
              <w:t>0%</w:t>
            </w:r>
          </w:p>
        </w:tc>
        <w:tc>
          <w:tcPr>
            <w:tcW w:w="1167" w:type="dxa"/>
          </w:tcPr>
          <w:p w14:paraId="5C3AB3A6" w14:textId="77777777" w:rsidR="00E51CDD" w:rsidRPr="00E51CDD" w:rsidRDefault="00E51CDD" w:rsidP="00E51CDD">
            <w:pPr>
              <w:jc w:val="left"/>
              <w:rPr>
                <w:sz w:val="20"/>
                <w:szCs w:val="20"/>
              </w:rPr>
            </w:pPr>
            <w:r w:rsidRPr="00E51CDD">
              <w:rPr>
                <w:sz w:val="20"/>
                <w:szCs w:val="20"/>
              </w:rPr>
              <w:t>0%</w:t>
            </w:r>
          </w:p>
          <w:p w14:paraId="530ADEAA" w14:textId="77777777" w:rsidR="00E51CDD" w:rsidRPr="00E51CDD" w:rsidRDefault="00E51CDD" w:rsidP="00E51CDD">
            <w:pPr>
              <w:jc w:val="left"/>
              <w:rPr>
                <w:sz w:val="20"/>
                <w:szCs w:val="20"/>
              </w:rPr>
            </w:pPr>
            <w:r w:rsidRPr="00E51CDD">
              <w:rPr>
                <w:sz w:val="20"/>
                <w:szCs w:val="20"/>
              </w:rPr>
              <w:t>p. 16</w:t>
            </w:r>
          </w:p>
        </w:tc>
        <w:tc>
          <w:tcPr>
            <w:tcW w:w="1184" w:type="dxa"/>
          </w:tcPr>
          <w:p w14:paraId="630D0728" w14:textId="77777777" w:rsidR="00E51CDD" w:rsidRPr="00E51CDD" w:rsidRDefault="00E51CDD" w:rsidP="00E51CDD">
            <w:pPr>
              <w:jc w:val="left"/>
              <w:rPr>
                <w:sz w:val="20"/>
                <w:szCs w:val="20"/>
              </w:rPr>
            </w:pPr>
            <w:r w:rsidRPr="00E51CDD">
              <w:rPr>
                <w:sz w:val="20"/>
                <w:szCs w:val="20"/>
              </w:rPr>
              <w:t>Y</w:t>
            </w:r>
          </w:p>
        </w:tc>
        <w:tc>
          <w:tcPr>
            <w:tcW w:w="1331" w:type="dxa"/>
          </w:tcPr>
          <w:p w14:paraId="05D87CDA" w14:textId="77777777" w:rsidR="00E51CDD" w:rsidRPr="00E51CDD" w:rsidRDefault="00E51CDD" w:rsidP="00E51CDD">
            <w:pPr>
              <w:jc w:val="left"/>
              <w:rPr>
                <w:sz w:val="20"/>
                <w:szCs w:val="20"/>
              </w:rPr>
            </w:pPr>
            <w:r w:rsidRPr="00E51CDD">
              <w:rPr>
                <w:sz w:val="20"/>
                <w:szCs w:val="20"/>
              </w:rPr>
              <w:t>OECD 223</w:t>
            </w:r>
          </w:p>
        </w:tc>
      </w:tr>
      <w:tr w:rsidR="00E51CDD" w:rsidRPr="00E51CDD" w14:paraId="1761A9E6" w14:textId="77777777" w:rsidTr="009938D9">
        <w:tc>
          <w:tcPr>
            <w:tcW w:w="4135" w:type="dxa"/>
          </w:tcPr>
          <w:p w14:paraId="227D584B" w14:textId="77777777" w:rsidR="00E51CDD" w:rsidRPr="00E51CDD" w:rsidRDefault="00E51CDD" w:rsidP="00E51CDD">
            <w:pPr>
              <w:ind w:left="65"/>
              <w:contextualSpacing/>
              <w:jc w:val="left"/>
              <w:rPr>
                <w:sz w:val="20"/>
                <w:szCs w:val="20"/>
              </w:rPr>
            </w:pPr>
            <w:r w:rsidRPr="00E51CDD">
              <w:rPr>
                <w:sz w:val="20"/>
                <w:szCs w:val="20"/>
              </w:rPr>
              <w:t>Incidental control mortality</w:t>
            </w:r>
            <w:r w:rsidRPr="00E51CDD">
              <w:rPr>
                <w:sz w:val="20"/>
                <w:szCs w:val="20"/>
                <w:vertAlign w:val="superscript"/>
              </w:rPr>
              <w:t>1</w:t>
            </w:r>
          </w:p>
        </w:tc>
        <w:tc>
          <w:tcPr>
            <w:tcW w:w="1647" w:type="dxa"/>
          </w:tcPr>
          <w:p w14:paraId="3DB0E966" w14:textId="77777777" w:rsidR="00E51CDD" w:rsidRPr="00E51CDD" w:rsidRDefault="00E51CDD" w:rsidP="00E51CDD">
            <w:pPr>
              <w:jc w:val="left"/>
              <w:rPr>
                <w:sz w:val="20"/>
                <w:szCs w:val="20"/>
              </w:rPr>
            </w:pPr>
            <w:r w:rsidRPr="00E51CDD">
              <w:rPr>
                <w:sz w:val="20"/>
                <w:szCs w:val="20"/>
              </w:rPr>
              <w:t>≤ 10%</w:t>
            </w:r>
          </w:p>
        </w:tc>
        <w:tc>
          <w:tcPr>
            <w:tcW w:w="1167" w:type="dxa"/>
          </w:tcPr>
          <w:p w14:paraId="46F6B1B7" w14:textId="77777777" w:rsidR="00E51CDD" w:rsidRPr="00E51CDD" w:rsidRDefault="00E51CDD" w:rsidP="00E51CDD">
            <w:pPr>
              <w:jc w:val="left"/>
              <w:rPr>
                <w:sz w:val="20"/>
                <w:szCs w:val="20"/>
              </w:rPr>
            </w:pPr>
            <w:r w:rsidRPr="00E51CDD">
              <w:rPr>
                <w:sz w:val="20"/>
                <w:szCs w:val="20"/>
              </w:rPr>
              <w:t>0%</w:t>
            </w:r>
          </w:p>
          <w:p w14:paraId="010C9426" w14:textId="77777777" w:rsidR="00E51CDD" w:rsidRPr="00E51CDD" w:rsidRDefault="00E51CDD" w:rsidP="00E51CDD">
            <w:pPr>
              <w:jc w:val="left"/>
              <w:rPr>
                <w:sz w:val="20"/>
                <w:szCs w:val="20"/>
              </w:rPr>
            </w:pPr>
            <w:r w:rsidRPr="00E51CDD">
              <w:rPr>
                <w:sz w:val="20"/>
                <w:szCs w:val="20"/>
              </w:rPr>
              <w:t>p. 16</w:t>
            </w:r>
          </w:p>
        </w:tc>
        <w:tc>
          <w:tcPr>
            <w:tcW w:w="1184" w:type="dxa"/>
          </w:tcPr>
          <w:p w14:paraId="5A9C2109" w14:textId="77777777" w:rsidR="00E51CDD" w:rsidRPr="00E51CDD" w:rsidRDefault="00E51CDD" w:rsidP="00E51CDD">
            <w:pPr>
              <w:jc w:val="left"/>
              <w:rPr>
                <w:sz w:val="20"/>
                <w:szCs w:val="20"/>
              </w:rPr>
            </w:pPr>
            <w:r w:rsidRPr="00E51CDD">
              <w:rPr>
                <w:sz w:val="20"/>
                <w:szCs w:val="20"/>
              </w:rPr>
              <w:t>Y</w:t>
            </w:r>
          </w:p>
        </w:tc>
        <w:tc>
          <w:tcPr>
            <w:tcW w:w="1331" w:type="dxa"/>
          </w:tcPr>
          <w:p w14:paraId="32AC4F0E" w14:textId="77777777" w:rsidR="00E51CDD" w:rsidRPr="00E51CDD" w:rsidRDefault="00E51CDD" w:rsidP="00E51CDD">
            <w:pPr>
              <w:jc w:val="left"/>
              <w:rPr>
                <w:sz w:val="20"/>
                <w:szCs w:val="20"/>
              </w:rPr>
            </w:pPr>
            <w:r w:rsidRPr="00E51CDD">
              <w:rPr>
                <w:sz w:val="20"/>
                <w:szCs w:val="20"/>
              </w:rPr>
              <w:t>OECD 223</w:t>
            </w:r>
          </w:p>
        </w:tc>
      </w:tr>
    </w:tbl>
    <w:p w14:paraId="18BF9FEB" w14:textId="77777777" w:rsidR="00E51CDD" w:rsidRPr="00E51CDD" w:rsidRDefault="00E51CDD" w:rsidP="00E51CDD">
      <w:pPr>
        <w:rPr>
          <w:sz w:val="18"/>
          <w:szCs w:val="18"/>
        </w:rPr>
      </w:pPr>
      <w:r w:rsidRPr="00E51CDD">
        <w:rPr>
          <w:sz w:val="18"/>
          <w:szCs w:val="18"/>
          <w:vertAlign w:val="superscript"/>
        </w:rPr>
        <w:t>1</w:t>
      </w:r>
      <w:r w:rsidRPr="00E51CDD">
        <w:rPr>
          <w:sz w:val="18"/>
          <w:szCs w:val="18"/>
        </w:rPr>
        <w:t>Incidental = self-inflicted, e.g., abrasions or broken legs.  Non-incidental mortality is things like disease or mishandling of animals that indicate poor health of the test population or poor study conduct.</w:t>
      </w:r>
    </w:p>
    <w:p w14:paraId="0A66B92A" w14:textId="77777777" w:rsidR="00E51CDD" w:rsidRPr="00E51CDD" w:rsidRDefault="00E51CDD" w:rsidP="00E51CDD">
      <w:pPr>
        <w:jc w:val="both"/>
      </w:pPr>
    </w:p>
    <w:p w14:paraId="21DA3BFA" w14:textId="77777777" w:rsidR="00E51CDD" w:rsidRPr="00E51CDD" w:rsidRDefault="00E51CDD" w:rsidP="00E51CDD">
      <w:pPr>
        <w:jc w:val="both"/>
      </w:pPr>
    </w:p>
    <w:p w14:paraId="4C3BB6BE" w14:textId="77777777" w:rsidR="00E51CDD" w:rsidRPr="00E51CDD" w:rsidRDefault="00E51CDD" w:rsidP="00E51CDD">
      <w:pPr>
        <w:jc w:val="both"/>
      </w:pPr>
      <w:r w:rsidRPr="00E51CDD">
        <w:t>In Commission Regulation (EU) No. 283/2013, acute bird studies are required to be conducted using either US EPA OCSPP 850.2100 (2012) or OECD 223 (2016). This study was conducted under OECD 223 (2016) and met all validity criteria for OECD 223.</w:t>
      </w:r>
    </w:p>
    <w:p w14:paraId="29DE7775" w14:textId="77777777" w:rsidR="00E51CDD" w:rsidRPr="00E51CDD" w:rsidRDefault="00E51CDD" w:rsidP="00E51CDD">
      <w:pPr>
        <w:jc w:val="both"/>
      </w:pPr>
      <w:r w:rsidRPr="00E51CDD">
        <w:t>Therefore, this study should be considered fully valid and reliable for use in the risk assessment.</w:t>
      </w:r>
    </w:p>
    <w:p w14:paraId="56999493" w14:textId="77777777" w:rsidR="00E51CDD" w:rsidRPr="00E51CDD" w:rsidRDefault="00E51CDD" w:rsidP="00E51CDD">
      <w:pPr>
        <w:jc w:val="both"/>
      </w:pPr>
    </w:p>
    <w:p w14:paraId="5CE5B9C5" w14:textId="77777777" w:rsidR="00E51CDD" w:rsidRPr="00E51CDD" w:rsidRDefault="00E51CDD" w:rsidP="00E51CDD">
      <w:pPr>
        <w:widowControl w:val="0"/>
        <w:tabs>
          <w:tab w:val="left" w:pos="425"/>
          <w:tab w:val="left" w:pos="850"/>
        </w:tabs>
        <w:ind w:left="2835" w:hanging="2835"/>
        <w:jc w:val="both"/>
        <w:rPr>
          <w:bCs/>
        </w:rPr>
      </w:pPr>
    </w:p>
    <w:p w14:paraId="7414A9C2" w14:textId="77777777" w:rsidR="00E51CDD" w:rsidRPr="00E51CDD" w:rsidRDefault="00E51CDD" w:rsidP="00E51CDD">
      <w:pPr>
        <w:tabs>
          <w:tab w:val="left" w:pos="425"/>
          <w:tab w:val="left" w:pos="850"/>
        </w:tabs>
        <w:ind w:left="2835" w:hanging="2835"/>
        <w:rPr>
          <w:b/>
        </w:rPr>
      </w:pPr>
      <w:r w:rsidRPr="00E51CDD">
        <w:rPr>
          <w:b/>
        </w:rPr>
        <w:t>III.</w:t>
      </w:r>
      <w:r w:rsidRPr="00E51CDD">
        <w:rPr>
          <w:b/>
        </w:rPr>
        <w:tab/>
        <w:t>CONCLUSION</w:t>
      </w:r>
    </w:p>
    <w:p w14:paraId="57C16698" w14:textId="77777777" w:rsidR="00E51CDD" w:rsidRPr="00E51CDD" w:rsidRDefault="00E51CDD" w:rsidP="00E51CDD">
      <w:pPr>
        <w:widowControl w:val="0"/>
        <w:tabs>
          <w:tab w:val="left" w:pos="425"/>
          <w:tab w:val="left" w:pos="850"/>
        </w:tabs>
        <w:ind w:left="2835" w:hanging="2835"/>
        <w:jc w:val="both"/>
        <w:rPr>
          <w:bCs/>
        </w:rPr>
      </w:pPr>
    </w:p>
    <w:p w14:paraId="3189BD72" w14:textId="77777777" w:rsidR="00E51CDD" w:rsidRPr="00E51CDD" w:rsidRDefault="00E51CDD" w:rsidP="00E51CDD">
      <w:pPr>
        <w:jc w:val="both"/>
        <w:rPr>
          <w:rFonts w:eastAsiaTheme="minorHAnsi"/>
          <w:b/>
        </w:rPr>
      </w:pPr>
      <w:r w:rsidRPr="00E51CDD">
        <w:rPr>
          <w:b/>
          <w:bCs/>
        </w:rPr>
        <w:t>In an acute toxicity test with the bobwhite quail, the 14-day LD</w:t>
      </w:r>
      <w:r w:rsidRPr="00E51CDD">
        <w:rPr>
          <w:b/>
          <w:bCs/>
          <w:vertAlign w:val="subscript"/>
        </w:rPr>
        <w:t>50</w:t>
      </w:r>
      <w:r w:rsidRPr="00E51CDD">
        <w:rPr>
          <w:b/>
          <w:bCs/>
        </w:rPr>
        <w:t xml:space="preserve"> of BAS 736 00 F was &gt; 2000 mg BAS 736 00 F/kg b.w.. </w:t>
      </w:r>
      <w:r w:rsidRPr="00E51CDD">
        <w:rPr>
          <w:rFonts w:eastAsiaTheme="minorHAnsi"/>
          <w:b/>
        </w:rPr>
        <w:t xml:space="preserve">The NOEL for mortality was 2000 mg </w:t>
      </w:r>
      <w:r w:rsidRPr="00E51CDD">
        <w:rPr>
          <w:b/>
          <w:bCs/>
        </w:rPr>
        <w:t>BAS 736 00 F</w:t>
      </w:r>
      <w:r w:rsidRPr="00E51CDD">
        <w:rPr>
          <w:rFonts w:eastAsiaTheme="minorHAnsi"/>
          <w:b/>
        </w:rPr>
        <w:t>/kg b.w.</w:t>
      </w:r>
    </w:p>
    <w:p w14:paraId="0C358B4B" w14:textId="77777777" w:rsidR="00E51CDD" w:rsidRPr="00E51CDD" w:rsidRDefault="00E51CDD" w:rsidP="00E51CDD">
      <w:r w:rsidRPr="00E51CDD">
        <w:rPr>
          <w:rFonts w:eastAsiaTheme="minorHAnsi"/>
        </w:rPr>
        <w:br w:type="page"/>
      </w:r>
    </w:p>
    <w:p w14:paraId="7D2D7DA8" w14:textId="77777777" w:rsidR="00E51CDD" w:rsidRPr="00E51CDD" w:rsidRDefault="00E51CDD" w:rsidP="00B31542">
      <w:pPr>
        <w:pStyle w:val="RepAppendix4"/>
      </w:pPr>
      <w:r w:rsidRPr="00E51CDD">
        <w:lastRenderedPageBreak/>
        <w:t xml:space="preserve">KCP 10.1.1.2 </w:t>
      </w:r>
      <w:r w:rsidRPr="00E51CDD">
        <w:tab/>
        <w:t>Higher tier data on birds</w:t>
      </w:r>
    </w:p>
    <w:p w14:paraId="553A85D3" w14:textId="77777777" w:rsidR="00E51CDD" w:rsidRPr="00E51CDD" w:rsidRDefault="00E51CDD" w:rsidP="00E51CDD">
      <w:pPr>
        <w:widowControl w:val="0"/>
        <w:jc w:val="both"/>
        <w:rPr>
          <w:lang w:val="en-GB"/>
        </w:rPr>
      </w:pPr>
      <w:r w:rsidRPr="00E51CDD">
        <w:rPr>
          <w:lang w:val="en-GB"/>
        </w:rPr>
        <w:t xml:space="preserve">No studies conducted </w:t>
      </w:r>
    </w:p>
    <w:p w14:paraId="412CC9CB" w14:textId="77777777" w:rsidR="00E51CDD" w:rsidRPr="00E51CDD" w:rsidRDefault="00E51CDD" w:rsidP="00E51CDD">
      <w:pPr>
        <w:jc w:val="both"/>
        <w:rPr>
          <w:color w:val="000000"/>
          <w:lang w:eastAsia="en-US"/>
        </w:rPr>
      </w:pPr>
    </w:p>
    <w:p w14:paraId="3FE540CE" w14:textId="77777777" w:rsidR="00E51CDD" w:rsidRDefault="00E51CDD" w:rsidP="00E51CDD">
      <w:pPr>
        <w:pStyle w:val="StyleOECD-BASIS-TEXTLeft"/>
        <w:rPr>
          <w:sz w:val="22"/>
          <w:lang w:val="en-US"/>
        </w:rPr>
      </w:pPr>
    </w:p>
    <w:p w14:paraId="58F3E2B8" w14:textId="77777777" w:rsidR="00E51CDD" w:rsidRDefault="00E51CDD" w:rsidP="00E51CDD">
      <w:pPr>
        <w:pStyle w:val="StyleOECD-BASIS-TEXTLeft"/>
        <w:rPr>
          <w:sz w:val="22"/>
          <w:lang w:val="en-US"/>
        </w:rPr>
      </w:pPr>
    </w:p>
    <w:p w14:paraId="1F4D9C6A" w14:textId="77777777" w:rsidR="00E51CDD" w:rsidRPr="002B1114" w:rsidRDefault="00E51CDD" w:rsidP="00E51CDD">
      <w:pPr>
        <w:pStyle w:val="RepAppendix3"/>
      </w:pPr>
      <w:bookmarkStart w:id="1114" w:name="_Toc413922094"/>
      <w:bookmarkStart w:id="1115" w:name="_Toc413922583"/>
      <w:bookmarkStart w:id="1116" w:name="_Toc413922687"/>
      <w:bookmarkStart w:id="1117" w:name="_Toc414955324"/>
      <w:bookmarkStart w:id="1118" w:name="_Toc415214631"/>
      <w:bookmarkStart w:id="1119" w:name="_Toc125446473"/>
      <w:r w:rsidRPr="002B1114">
        <w:t xml:space="preserve">KCP 10.1.2 </w:t>
      </w:r>
      <w:r w:rsidRPr="002B1114">
        <w:tab/>
        <w:t>Effects on terrestrial vertebrates other than birds</w:t>
      </w:r>
      <w:bookmarkEnd w:id="1114"/>
      <w:bookmarkEnd w:id="1115"/>
      <w:bookmarkEnd w:id="1116"/>
      <w:bookmarkEnd w:id="1117"/>
      <w:bookmarkEnd w:id="1118"/>
      <w:bookmarkEnd w:id="1119"/>
    </w:p>
    <w:p w14:paraId="7F7653BD" w14:textId="77777777" w:rsidR="00E51CDD" w:rsidRDefault="00E51CDD" w:rsidP="00E51CDD">
      <w:pPr>
        <w:pStyle w:val="RepAppendix4"/>
      </w:pPr>
      <w:r w:rsidRPr="002B1114">
        <w:t>KCP 10.1.2.1</w:t>
      </w:r>
      <w:r w:rsidRPr="002B1114">
        <w:tab/>
        <w:t>Acute oral toxicity to mammals</w:t>
      </w:r>
    </w:p>
    <w:p w14:paraId="79777391" w14:textId="77777777" w:rsidR="00E51CDD" w:rsidRPr="002321A6" w:rsidRDefault="00E51CDD" w:rsidP="00E51CDD">
      <w:pPr>
        <w:pStyle w:val="RepStandard"/>
      </w:pPr>
      <w:r>
        <w:t>No further studies conducted.</w:t>
      </w:r>
    </w:p>
    <w:p w14:paraId="76996FE4" w14:textId="77777777" w:rsidR="00E51CDD" w:rsidRDefault="00E51CDD" w:rsidP="00E51CDD">
      <w:pPr>
        <w:pStyle w:val="RepAppendix4"/>
      </w:pPr>
      <w:r w:rsidRPr="002B1114">
        <w:t xml:space="preserve">KCP 10.1.2.2 </w:t>
      </w:r>
      <w:r w:rsidRPr="002B1114">
        <w:tab/>
        <w:t>Higher tier data on mammals</w:t>
      </w:r>
    </w:p>
    <w:p w14:paraId="77668585" w14:textId="77777777" w:rsidR="00E51CDD" w:rsidRDefault="00E51CDD" w:rsidP="00E51CDD">
      <w:pPr>
        <w:pStyle w:val="RepStandard"/>
      </w:pPr>
      <w:r>
        <w:t xml:space="preserve">No studies conducted. </w:t>
      </w:r>
    </w:p>
    <w:p w14:paraId="331D3DB9" w14:textId="77777777" w:rsidR="00E51CDD" w:rsidRPr="002321A6" w:rsidRDefault="00E51CDD" w:rsidP="00E51CDD">
      <w:pPr>
        <w:pStyle w:val="RepStandard"/>
      </w:pPr>
    </w:p>
    <w:p w14:paraId="4E0D44D5" w14:textId="77777777" w:rsidR="00E51CDD" w:rsidRDefault="00E51CDD" w:rsidP="00E51CDD">
      <w:pPr>
        <w:pStyle w:val="StyleOECD-BASIS-TEXTLeft"/>
        <w:rPr>
          <w:sz w:val="22"/>
          <w:lang w:val="en-US"/>
        </w:rPr>
      </w:pPr>
    </w:p>
    <w:p w14:paraId="71AAAEB1" w14:textId="77777777" w:rsidR="00E51CDD" w:rsidRDefault="00E51CDD" w:rsidP="00E51CDD">
      <w:pPr>
        <w:pStyle w:val="RepAppendix3"/>
      </w:pPr>
      <w:bookmarkStart w:id="1120" w:name="_Toc413922095"/>
      <w:bookmarkStart w:id="1121" w:name="_Toc413922584"/>
      <w:bookmarkStart w:id="1122" w:name="_Toc413922688"/>
      <w:bookmarkStart w:id="1123" w:name="_Toc414955325"/>
      <w:bookmarkStart w:id="1124" w:name="_Toc415214632"/>
      <w:bookmarkStart w:id="1125" w:name="_Toc125446474"/>
      <w:r w:rsidRPr="002B1114">
        <w:t>KCP 10.1.3</w:t>
      </w:r>
      <w:r w:rsidRPr="002B1114">
        <w:tab/>
        <w:t>Effects on other terrestrial vertebrate wildlife (reptiles and amphibians)</w:t>
      </w:r>
      <w:bookmarkEnd w:id="1120"/>
      <w:bookmarkEnd w:id="1121"/>
      <w:bookmarkEnd w:id="1122"/>
      <w:bookmarkEnd w:id="1123"/>
      <w:bookmarkEnd w:id="1124"/>
      <w:bookmarkEnd w:id="1125"/>
    </w:p>
    <w:p w14:paraId="3BFCA7F9" w14:textId="77777777" w:rsidR="00E51CDD" w:rsidRPr="00D21E91" w:rsidRDefault="00E51CDD" w:rsidP="00E51CDD">
      <w:pPr>
        <w:pStyle w:val="RepStandard"/>
      </w:pPr>
      <w:r>
        <w:t xml:space="preserve">No studies conducted. </w:t>
      </w:r>
    </w:p>
    <w:p w14:paraId="66C4D60B" w14:textId="77777777" w:rsidR="00E51CDD" w:rsidRPr="002321A6" w:rsidRDefault="00E51CDD" w:rsidP="00E51CDD">
      <w:pPr>
        <w:pStyle w:val="RepStandard"/>
      </w:pPr>
    </w:p>
    <w:p w14:paraId="285454FD" w14:textId="77777777" w:rsidR="00E51CDD" w:rsidRDefault="00E51CDD" w:rsidP="00E51CDD">
      <w:pPr>
        <w:pStyle w:val="StyleOECD-BASIS-TEXTLeft"/>
        <w:rPr>
          <w:sz w:val="22"/>
          <w:lang w:val="en-US"/>
        </w:rPr>
      </w:pPr>
    </w:p>
    <w:p w14:paraId="2A7EC2FB" w14:textId="77777777" w:rsidR="00E51CDD" w:rsidRDefault="00E51CDD" w:rsidP="00CE08CB">
      <w:pPr>
        <w:pStyle w:val="StyleOECD-BASIS-TEXTLeft"/>
        <w:rPr>
          <w:sz w:val="22"/>
          <w:lang w:val="en-US"/>
        </w:rPr>
        <w:sectPr w:rsidR="00E51CDD" w:rsidSect="00D20BDB">
          <w:headerReference w:type="default" r:id="rId63"/>
          <w:footerReference w:type="default" r:id="rId64"/>
          <w:pgSz w:w="11906" w:h="16838"/>
          <w:pgMar w:top="1418" w:right="1134" w:bottom="1134" w:left="1418" w:header="709" w:footer="709" w:gutter="0"/>
          <w:pgNumType w:chapSep="period"/>
          <w:cols w:space="708"/>
          <w:docGrid w:linePitch="360"/>
        </w:sectPr>
      </w:pPr>
    </w:p>
    <w:p w14:paraId="2A4A7CE8" w14:textId="77777777" w:rsidR="00E51CDD" w:rsidRPr="002B1114" w:rsidRDefault="00E51CDD" w:rsidP="00E51CDD">
      <w:pPr>
        <w:pStyle w:val="RepAppendix2"/>
      </w:pPr>
      <w:bookmarkStart w:id="1126" w:name="_Toc413922096"/>
      <w:bookmarkStart w:id="1127" w:name="_Toc413922585"/>
      <w:bookmarkStart w:id="1128" w:name="_Toc413922689"/>
      <w:bookmarkStart w:id="1129" w:name="_Toc414955326"/>
      <w:bookmarkStart w:id="1130" w:name="_Toc415214633"/>
      <w:bookmarkStart w:id="1131" w:name="_Toc125446475"/>
      <w:r w:rsidRPr="002B1114">
        <w:lastRenderedPageBreak/>
        <w:t>KCP 10.2</w:t>
      </w:r>
      <w:r w:rsidRPr="002B1114">
        <w:tab/>
        <w:t>Effects on aquatic organisms</w:t>
      </w:r>
      <w:bookmarkEnd w:id="1126"/>
      <w:bookmarkEnd w:id="1127"/>
      <w:bookmarkEnd w:id="1128"/>
      <w:bookmarkEnd w:id="1129"/>
      <w:bookmarkEnd w:id="1130"/>
      <w:bookmarkEnd w:id="1131"/>
    </w:p>
    <w:p w14:paraId="06A69A2A" w14:textId="77777777" w:rsidR="00E51CDD" w:rsidRDefault="00E51CDD" w:rsidP="00E51CDD">
      <w:pPr>
        <w:pStyle w:val="RepAppendix3"/>
      </w:pPr>
      <w:bookmarkStart w:id="1132" w:name="_Toc413922097"/>
      <w:bookmarkStart w:id="1133" w:name="_Toc413922586"/>
      <w:bookmarkStart w:id="1134" w:name="_Toc413922690"/>
      <w:bookmarkStart w:id="1135" w:name="_Toc414955327"/>
      <w:bookmarkStart w:id="1136" w:name="_Toc415214634"/>
      <w:bookmarkStart w:id="1137" w:name="_Toc125446476"/>
      <w:r w:rsidRPr="002B1114">
        <w:t>KCP 10.2.1</w:t>
      </w:r>
      <w:r w:rsidRPr="002B1114">
        <w:tab/>
        <w:t>Acute toxicity to fish, aquatic invertebrates, or effects on aquatic algae and macrophytes</w:t>
      </w:r>
      <w:bookmarkEnd w:id="1132"/>
      <w:bookmarkEnd w:id="1133"/>
      <w:bookmarkEnd w:id="1134"/>
      <w:bookmarkEnd w:id="1135"/>
      <w:bookmarkEnd w:id="1136"/>
      <w:bookmarkEnd w:id="1137"/>
    </w:p>
    <w:p w14:paraId="4074F47B" w14:textId="77777777" w:rsidR="00E51CDD" w:rsidRPr="00B16C79" w:rsidRDefault="00E51CDD" w:rsidP="00E51CDD">
      <w:pPr>
        <w:pStyle w:val="RepAppendix4"/>
      </w:pPr>
      <w:r w:rsidRPr="00B16C79">
        <w:t>Study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54647969" w14:textId="77777777" w:rsidTr="009D1A79">
        <w:trPr>
          <w:trHeight w:val="1059"/>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D3E780" w14:textId="77777777" w:rsidR="00E51CDD" w:rsidRDefault="00E51CDD" w:rsidP="009938D9">
            <w:pPr>
              <w:pStyle w:val="RepStandard"/>
              <w:rPr>
                <w:rFonts w:eastAsia="Batang"/>
              </w:rPr>
            </w:pPr>
            <w:bookmarkStart w:id="1138" w:name="_Toc413922098"/>
            <w:bookmarkStart w:id="1139" w:name="_Toc413922587"/>
            <w:bookmarkStart w:id="1140" w:name="_Toc413922691"/>
            <w:bookmarkStart w:id="1141" w:name="_Toc414955328"/>
            <w:bookmarkStart w:id="1142" w:name="_Toc415214635"/>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2C0803" w14:textId="1609AA73" w:rsidR="0041637E" w:rsidRPr="007A6328" w:rsidRDefault="0041637E" w:rsidP="0041637E">
            <w:pPr>
              <w:pStyle w:val="RepStandard"/>
              <w:rPr>
                <w:color w:val="000000"/>
              </w:rPr>
            </w:pPr>
            <w:r w:rsidRPr="007A6328">
              <w:rPr>
                <w:color w:val="000000"/>
              </w:rPr>
              <w:t>The study was conducted to OECD guideline 20</w:t>
            </w:r>
            <w:r>
              <w:rPr>
                <w:color w:val="000000"/>
              </w:rPr>
              <w:t>3</w:t>
            </w:r>
            <w:r w:rsidRPr="007A6328">
              <w:rPr>
                <w:color w:val="000000"/>
              </w:rPr>
              <w:t xml:space="preserve"> and according to the principles of GLP. No deviations to the guideline were noted. All validity criteria were met.</w:t>
            </w:r>
          </w:p>
          <w:p w14:paraId="4891D115" w14:textId="77777777" w:rsidR="00E51CDD" w:rsidRDefault="0041637E" w:rsidP="0041637E">
            <w:pPr>
              <w:pStyle w:val="RepStandard"/>
              <w:rPr>
                <w:color w:val="000000"/>
              </w:rPr>
            </w:pPr>
            <w:r w:rsidRPr="007A6328">
              <w:rPr>
                <w:color w:val="000000"/>
              </w:rPr>
              <w:t xml:space="preserve">The study is considered to be reliable </w:t>
            </w:r>
            <w:r w:rsidRPr="007A6328">
              <w:t>and suitable for the risk assessment</w:t>
            </w:r>
            <w:r w:rsidRPr="007A6328">
              <w:rPr>
                <w:color w:val="000000"/>
              </w:rPr>
              <w:t>.</w:t>
            </w:r>
          </w:p>
          <w:p w14:paraId="19650B05" w14:textId="1D0EFC48" w:rsidR="00966EB7" w:rsidRPr="0041637E" w:rsidRDefault="00966EB7" w:rsidP="0041637E">
            <w:pPr>
              <w:pStyle w:val="RepStandard"/>
              <w:rPr>
                <w:color w:val="000000"/>
              </w:rPr>
            </w:pPr>
            <w:r>
              <w:rPr>
                <w:rFonts w:eastAsia="Calibri"/>
                <w:lang w:eastAsia="de-AT"/>
              </w:rPr>
              <w:t>T</w:t>
            </w:r>
            <w:r w:rsidRPr="00034B15">
              <w:rPr>
                <w:rFonts w:eastAsia="Calibri"/>
                <w:lang w:eastAsia="de-AT"/>
              </w:rPr>
              <w:t>he</w:t>
            </w:r>
            <w:r w:rsidRPr="007A6328">
              <w:t xml:space="preserve"> results refer to nominal concentrations</w:t>
            </w:r>
            <w:r>
              <w:t>.</w:t>
            </w:r>
          </w:p>
        </w:tc>
      </w:tr>
    </w:tbl>
    <w:p w14:paraId="2D928CA2"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5CE1B6FB" w14:textId="77777777" w:rsidTr="009938D9">
        <w:trPr>
          <w:gridAfter w:val="1"/>
          <w:wAfter w:w="9" w:type="pct"/>
        </w:trPr>
        <w:tc>
          <w:tcPr>
            <w:tcW w:w="1340" w:type="pct"/>
            <w:hideMark/>
          </w:tcPr>
          <w:p w14:paraId="6A29F45F" w14:textId="77777777" w:rsidR="00E51CDD" w:rsidRDefault="00E51CDD" w:rsidP="009938D9">
            <w:pPr>
              <w:pStyle w:val="RepStandard"/>
              <w:rPr>
                <w:lang w:val="de-DE"/>
              </w:rPr>
            </w:pPr>
            <w:r>
              <w:t>Reference:</w:t>
            </w:r>
          </w:p>
        </w:tc>
        <w:tc>
          <w:tcPr>
            <w:tcW w:w="3651" w:type="pct"/>
            <w:hideMark/>
          </w:tcPr>
          <w:p w14:paraId="6690D253" w14:textId="77777777" w:rsidR="00E51CDD" w:rsidRDefault="00E51CDD" w:rsidP="009938D9">
            <w:pPr>
              <w:pStyle w:val="RepStandard"/>
            </w:pPr>
            <w:r>
              <w:t>CP 10.2.1/1</w:t>
            </w:r>
          </w:p>
        </w:tc>
      </w:tr>
      <w:tr w:rsidR="00E51CDD" w14:paraId="2FB52655" w14:textId="77777777" w:rsidTr="009938D9">
        <w:trPr>
          <w:gridAfter w:val="1"/>
          <w:wAfter w:w="9" w:type="pct"/>
        </w:trPr>
        <w:tc>
          <w:tcPr>
            <w:tcW w:w="1340" w:type="pct"/>
            <w:hideMark/>
          </w:tcPr>
          <w:p w14:paraId="5A35AC8C" w14:textId="77777777" w:rsidR="00E51CDD" w:rsidRDefault="00E51CDD" w:rsidP="009938D9">
            <w:pPr>
              <w:pStyle w:val="RepStandard"/>
              <w:spacing w:after="120"/>
            </w:pPr>
            <w:r>
              <w:t>Report</w:t>
            </w:r>
          </w:p>
        </w:tc>
        <w:tc>
          <w:tcPr>
            <w:tcW w:w="3651" w:type="pct"/>
            <w:hideMark/>
          </w:tcPr>
          <w:p w14:paraId="5829703E" w14:textId="77777777" w:rsidR="00E51CDD" w:rsidRDefault="00E51CDD" w:rsidP="009938D9">
            <w:pPr>
              <w:pStyle w:val="RepStandard"/>
              <w:spacing w:after="120"/>
              <w:rPr>
                <w:lang w:val="en-US"/>
              </w:rPr>
            </w:pPr>
            <w:r>
              <w:rPr>
                <w:lang w:val="en-US"/>
              </w:rPr>
              <w:t>BAS 736 00 F: Toxicity to the Rainbow Trout Oncorhynchus mykiss under Laboratory Conditions (Acute Toxicity Test – Static),</w:t>
            </w:r>
          </w:p>
          <w:p w14:paraId="48C3DE41" w14:textId="77777777" w:rsidR="00E51CDD" w:rsidRDefault="00E51CDD" w:rsidP="009938D9">
            <w:pPr>
              <w:pStyle w:val="RepStandard"/>
              <w:spacing w:after="120"/>
              <w:rPr>
                <w:lang w:val="en-US"/>
              </w:rPr>
            </w:pPr>
            <w:r w:rsidRPr="00736557">
              <w:rPr>
                <w:highlight w:val="black"/>
                <w:lang w:val="en-US"/>
              </w:rPr>
              <w:t>Mingo, V.,</w:t>
            </w:r>
            <w:r>
              <w:rPr>
                <w:lang w:val="en-US"/>
              </w:rPr>
              <w:t xml:space="preserve"> 2020</w:t>
            </w:r>
          </w:p>
          <w:p w14:paraId="1D323463" w14:textId="77777777" w:rsidR="00E51CDD" w:rsidRDefault="00E51CDD" w:rsidP="009938D9">
            <w:pPr>
              <w:pStyle w:val="RepStandard"/>
              <w:spacing w:after="120"/>
              <w:rPr>
                <w:lang w:val="en-US"/>
              </w:rPr>
            </w:pPr>
            <w:r>
              <w:rPr>
                <w:lang w:val="en-US"/>
              </w:rPr>
              <w:t>report No 849663, S19-20423</w:t>
            </w:r>
          </w:p>
          <w:p w14:paraId="2A108C76" w14:textId="77777777" w:rsidR="00E51CDD" w:rsidRDefault="00E51CDD" w:rsidP="009938D9">
            <w:pPr>
              <w:pStyle w:val="RepStandard"/>
              <w:spacing w:after="120"/>
            </w:pPr>
            <w:r>
              <w:rPr>
                <w:lang w:val="en-US"/>
              </w:rPr>
              <w:t>2019/2039621</w:t>
            </w:r>
          </w:p>
          <w:p w14:paraId="57E9642E" w14:textId="77777777" w:rsidR="00E51CDD" w:rsidRDefault="00E51CDD" w:rsidP="009938D9">
            <w:pPr>
              <w:pStyle w:val="RepStandard"/>
            </w:pPr>
            <w:r>
              <w:t>Authority registration No</w:t>
            </w:r>
          </w:p>
        </w:tc>
      </w:tr>
      <w:tr w:rsidR="00E51CDD" w14:paraId="081E75E3" w14:textId="77777777" w:rsidTr="009938D9">
        <w:trPr>
          <w:gridAfter w:val="1"/>
          <w:wAfter w:w="9" w:type="pct"/>
        </w:trPr>
        <w:tc>
          <w:tcPr>
            <w:tcW w:w="1340" w:type="pct"/>
            <w:hideMark/>
          </w:tcPr>
          <w:p w14:paraId="538C5AC0" w14:textId="77777777" w:rsidR="00E51CDD" w:rsidRDefault="00E51CDD" w:rsidP="009938D9">
            <w:pPr>
              <w:pStyle w:val="RepStandard"/>
            </w:pPr>
            <w:r>
              <w:t>Guideline(s):</w:t>
            </w:r>
          </w:p>
        </w:tc>
        <w:tc>
          <w:tcPr>
            <w:tcW w:w="3651" w:type="pct"/>
            <w:hideMark/>
          </w:tcPr>
          <w:p w14:paraId="4A8269B7" w14:textId="77777777" w:rsidR="00E51CDD" w:rsidRDefault="00E51CDD" w:rsidP="009938D9">
            <w:pPr>
              <w:pStyle w:val="RepStandard"/>
              <w:spacing w:after="120"/>
            </w:pPr>
            <w:r>
              <w:rPr>
                <w:lang w:val="en-US"/>
              </w:rPr>
              <w:t>OECD 203 (2019)</w:t>
            </w:r>
          </w:p>
        </w:tc>
      </w:tr>
      <w:tr w:rsidR="00E51CDD" w14:paraId="603B90CA" w14:textId="77777777" w:rsidTr="009938D9">
        <w:trPr>
          <w:gridAfter w:val="1"/>
          <w:wAfter w:w="9" w:type="pct"/>
        </w:trPr>
        <w:tc>
          <w:tcPr>
            <w:tcW w:w="1340" w:type="pct"/>
            <w:hideMark/>
          </w:tcPr>
          <w:p w14:paraId="139D483B" w14:textId="77777777" w:rsidR="00E51CDD" w:rsidRDefault="00E51CDD" w:rsidP="009938D9">
            <w:pPr>
              <w:pStyle w:val="RepStandard"/>
            </w:pPr>
            <w:r>
              <w:t>Deviations:</w:t>
            </w:r>
          </w:p>
        </w:tc>
        <w:tc>
          <w:tcPr>
            <w:tcW w:w="3651" w:type="pct"/>
            <w:hideMark/>
          </w:tcPr>
          <w:p w14:paraId="13E8ACD8" w14:textId="77777777" w:rsidR="00E51CDD" w:rsidRDefault="00E51CDD" w:rsidP="009938D9">
            <w:pPr>
              <w:pStyle w:val="RepStandard"/>
              <w:spacing w:after="120"/>
            </w:pPr>
            <w:r>
              <w:t xml:space="preserve">No </w:t>
            </w:r>
          </w:p>
        </w:tc>
      </w:tr>
      <w:tr w:rsidR="00E51CDD" w:rsidRPr="00662F32" w14:paraId="0A2F874B" w14:textId="77777777" w:rsidTr="009938D9">
        <w:tc>
          <w:tcPr>
            <w:tcW w:w="1340" w:type="pct"/>
            <w:hideMark/>
          </w:tcPr>
          <w:p w14:paraId="682E89AB" w14:textId="77777777" w:rsidR="00E51CDD" w:rsidRDefault="00E51CDD" w:rsidP="009938D9">
            <w:pPr>
              <w:pStyle w:val="RepStandard"/>
            </w:pPr>
            <w:r>
              <w:t>GLP:</w:t>
            </w:r>
          </w:p>
        </w:tc>
        <w:tc>
          <w:tcPr>
            <w:tcW w:w="3660" w:type="pct"/>
            <w:gridSpan w:val="2"/>
            <w:hideMark/>
          </w:tcPr>
          <w:p w14:paraId="5C6461BA" w14:textId="77777777" w:rsidR="00E51CDD" w:rsidRPr="00B16C79" w:rsidRDefault="00E51CDD" w:rsidP="009938D9">
            <w:pPr>
              <w:tabs>
                <w:tab w:val="left" w:pos="425"/>
                <w:tab w:val="left" w:pos="850"/>
              </w:tabs>
              <w:spacing w:after="120"/>
              <w:ind w:left="1985" w:hanging="1985"/>
              <w:rPr>
                <w:b/>
                <w:lang w:val="de-DE"/>
              </w:rPr>
            </w:pPr>
            <w:r w:rsidRPr="00B16C79">
              <w:rPr>
                <w:lang w:val="de-DE"/>
              </w:rPr>
              <w:t>yes</w:t>
            </w:r>
          </w:p>
          <w:p w14:paraId="1205F909" w14:textId="77777777" w:rsidR="00E51CDD" w:rsidRPr="00B16C79" w:rsidRDefault="00E51CDD" w:rsidP="009938D9">
            <w:pPr>
              <w:pStyle w:val="RepStandard"/>
              <w:spacing w:after="120"/>
              <w:jc w:val="left"/>
              <w:rPr>
                <w:lang w:val="de-DE"/>
              </w:rPr>
            </w:pPr>
            <w:r w:rsidRPr="00B16C79">
              <w:rPr>
                <w:lang w:val="de-DE"/>
              </w:rPr>
              <w:t xml:space="preserve">(certified by LUBW Landesanstalt fuer Umwelt Baden-Wuerttemberg, Karlsruhe, Germany), </w:t>
            </w:r>
          </w:p>
        </w:tc>
      </w:tr>
      <w:tr w:rsidR="00E51CDD" w14:paraId="7EF42B55" w14:textId="77777777" w:rsidTr="009938D9">
        <w:trPr>
          <w:gridAfter w:val="1"/>
          <w:wAfter w:w="9" w:type="pct"/>
        </w:trPr>
        <w:tc>
          <w:tcPr>
            <w:tcW w:w="1340" w:type="pct"/>
            <w:hideMark/>
          </w:tcPr>
          <w:p w14:paraId="5C66047D" w14:textId="77777777" w:rsidR="00E51CDD" w:rsidRDefault="00E51CDD" w:rsidP="009938D9">
            <w:pPr>
              <w:pStyle w:val="RepStandard"/>
              <w:rPr>
                <w:lang w:val="de-DE"/>
              </w:rPr>
            </w:pPr>
            <w:r>
              <w:t>Acceptability:</w:t>
            </w:r>
          </w:p>
        </w:tc>
        <w:tc>
          <w:tcPr>
            <w:tcW w:w="3651" w:type="pct"/>
            <w:hideMark/>
          </w:tcPr>
          <w:p w14:paraId="50C70ABF" w14:textId="77777777" w:rsidR="00E51CDD" w:rsidRDefault="00E51CDD" w:rsidP="009938D9">
            <w:pPr>
              <w:pStyle w:val="RepStandard"/>
            </w:pPr>
            <w:r>
              <w:t xml:space="preserve">Yes/ </w:t>
            </w:r>
          </w:p>
        </w:tc>
      </w:tr>
      <w:tr w:rsidR="00E51CDD" w14:paraId="741F4F45" w14:textId="77777777" w:rsidTr="009938D9">
        <w:trPr>
          <w:gridAfter w:val="1"/>
          <w:wAfter w:w="9" w:type="pct"/>
        </w:trPr>
        <w:tc>
          <w:tcPr>
            <w:tcW w:w="1340" w:type="pct"/>
            <w:hideMark/>
          </w:tcPr>
          <w:p w14:paraId="782F55EF" w14:textId="77777777" w:rsidR="00E51CDD" w:rsidRDefault="00E51CDD" w:rsidP="009938D9">
            <w:pPr>
              <w:pStyle w:val="RepStandard"/>
            </w:pPr>
            <w:r>
              <w:t xml:space="preserve">Duplication </w:t>
            </w:r>
            <w:r>
              <w:br/>
              <w:t>(if vertebrate study)</w:t>
            </w:r>
          </w:p>
        </w:tc>
        <w:tc>
          <w:tcPr>
            <w:tcW w:w="3651" w:type="pct"/>
            <w:hideMark/>
          </w:tcPr>
          <w:p w14:paraId="4B00ADFB" w14:textId="77777777" w:rsidR="00E51CDD" w:rsidRPr="00B16C79" w:rsidRDefault="00E51CDD" w:rsidP="009938D9">
            <w:pPr>
              <w:pStyle w:val="RepStandard"/>
              <w:spacing w:after="120"/>
            </w:pPr>
            <w:r>
              <w:t xml:space="preserve">No </w:t>
            </w:r>
          </w:p>
        </w:tc>
      </w:tr>
    </w:tbl>
    <w:p w14:paraId="70310924" w14:textId="77777777" w:rsidR="00E51CDD" w:rsidRPr="00B16C79" w:rsidRDefault="00E51CDD" w:rsidP="00E51CDD">
      <w:pPr>
        <w:pStyle w:val="RepStandard"/>
        <w:rPr>
          <w:lang w:val="en-US"/>
        </w:rPr>
      </w:pPr>
    </w:p>
    <w:p w14:paraId="2438ACAE" w14:textId="77777777" w:rsidR="00E51CDD" w:rsidRDefault="00E51CDD" w:rsidP="00E51CDD">
      <w:pPr>
        <w:tabs>
          <w:tab w:val="left" w:pos="425"/>
          <w:tab w:val="left" w:pos="850"/>
        </w:tabs>
        <w:suppressAutoHyphens/>
        <w:ind w:left="2837" w:hanging="2837"/>
        <w:jc w:val="both"/>
        <w:rPr>
          <w:b/>
          <w:bCs/>
          <w:lang w:eastAsia="en-US"/>
        </w:rPr>
      </w:pPr>
    </w:p>
    <w:p w14:paraId="2D4559C4" w14:textId="77777777" w:rsidR="00E51CDD" w:rsidRPr="00822497" w:rsidRDefault="00E51CDD" w:rsidP="00E51CDD">
      <w:pPr>
        <w:tabs>
          <w:tab w:val="left" w:pos="425"/>
          <w:tab w:val="left" w:pos="850"/>
        </w:tabs>
        <w:suppressAutoHyphens/>
        <w:ind w:left="2837" w:hanging="2837"/>
        <w:jc w:val="both"/>
        <w:rPr>
          <w:b/>
          <w:bCs/>
          <w:lang w:eastAsia="en-US"/>
        </w:rPr>
      </w:pPr>
      <w:r w:rsidRPr="00822497">
        <w:rPr>
          <w:b/>
          <w:bCs/>
          <w:lang w:eastAsia="en-US"/>
        </w:rPr>
        <w:t>Executive Summary</w:t>
      </w:r>
    </w:p>
    <w:p w14:paraId="589183C7" w14:textId="77777777" w:rsidR="00E51CDD" w:rsidRPr="00822497" w:rsidRDefault="00E51CDD" w:rsidP="00E51CDD">
      <w:pPr>
        <w:suppressAutoHyphens/>
        <w:jc w:val="both"/>
        <w:rPr>
          <w:b/>
          <w:bCs/>
          <w:szCs w:val="24"/>
        </w:rPr>
      </w:pPr>
    </w:p>
    <w:p w14:paraId="61793F62" w14:textId="77777777" w:rsidR="00E51CDD" w:rsidRPr="00822497" w:rsidRDefault="00E51CDD" w:rsidP="00E51CDD">
      <w:pPr>
        <w:suppressAutoHyphens/>
        <w:jc w:val="both"/>
      </w:pPr>
      <w:r w:rsidRPr="00822497">
        <w:t xml:space="preserve">In a 96-hour static acute toxicity laboratory study, juvenile rainbow trout were exposed to nominal concentrations of </w:t>
      </w:r>
      <w:r w:rsidRPr="00822497">
        <w:rPr>
          <w:szCs w:val="24"/>
        </w:rPr>
        <w:t>0 (control), 0.5, 1.0, 2.0, 4.0 and 8.0 mg BAS 736 00 H/L</w:t>
      </w:r>
      <w:r w:rsidRPr="00822497">
        <w:t xml:space="preserve"> in groups of 7 animals per treatment in glass aquaria containing 15 L of water. Fish were observed for survival and symptoms of toxicity after </w:t>
      </w:r>
      <w:r w:rsidRPr="00822497">
        <w:rPr>
          <w:szCs w:val="24"/>
        </w:rPr>
        <w:t xml:space="preserve">0 h, 4 – 6 h, and </w:t>
      </w:r>
      <w:r>
        <w:rPr>
          <w:szCs w:val="24"/>
        </w:rPr>
        <w:t>once or twice daily thereafter until test end (96 h)</w:t>
      </w:r>
      <w:r>
        <w:t>.</w:t>
      </w:r>
    </w:p>
    <w:p w14:paraId="0381877E" w14:textId="77777777" w:rsidR="00E51CDD" w:rsidRPr="00822497" w:rsidRDefault="00E51CDD" w:rsidP="00E51CDD">
      <w:pPr>
        <w:suppressAutoHyphens/>
        <w:jc w:val="both"/>
        <w:rPr>
          <w:szCs w:val="24"/>
        </w:rPr>
      </w:pPr>
    </w:p>
    <w:p w14:paraId="1B37AE0A" w14:textId="77777777" w:rsidR="00E51CDD" w:rsidRPr="00822497" w:rsidRDefault="00E51CDD" w:rsidP="00E51CDD">
      <w:pPr>
        <w:suppressAutoHyphens/>
        <w:jc w:val="both"/>
      </w:pPr>
      <w:r w:rsidRPr="00822497">
        <w:t>The biological results are based on nominal</w:t>
      </w:r>
      <w:r>
        <w:t xml:space="preserve"> test item</w:t>
      </w:r>
      <w:r w:rsidRPr="00822497">
        <w:t xml:space="preserve"> concentrations. After 96 hours of exposure, no mortality was observed in the control and at concentrations of up to and including 2.0 mg BAS 736 00 F/L, whereas 100% mortality was observed at the two highest test item concentrations. Sublethal effects could not be observed at test end, but at earlier timepoints.</w:t>
      </w:r>
    </w:p>
    <w:p w14:paraId="421C7120" w14:textId="77777777" w:rsidR="00E51CDD" w:rsidRPr="00822497" w:rsidRDefault="00E51CDD" w:rsidP="00E51CDD">
      <w:pPr>
        <w:suppressAutoHyphens/>
        <w:jc w:val="both"/>
        <w:rPr>
          <w:szCs w:val="24"/>
        </w:rPr>
      </w:pPr>
    </w:p>
    <w:p w14:paraId="582CBB01" w14:textId="77777777" w:rsidR="00E51CDD" w:rsidRPr="00822497" w:rsidRDefault="00E51CDD" w:rsidP="00E51CDD">
      <w:pPr>
        <w:keepNext/>
        <w:suppressAutoHyphens/>
        <w:jc w:val="both"/>
        <w:rPr>
          <w:b/>
          <w:szCs w:val="24"/>
        </w:rPr>
      </w:pPr>
      <w:r w:rsidRPr="00822497">
        <w:rPr>
          <w:b/>
          <w:szCs w:val="24"/>
        </w:rPr>
        <w:lastRenderedPageBreak/>
        <w:t xml:space="preserve">In a </w:t>
      </w:r>
      <w:r>
        <w:rPr>
          <w:b/>
          <w:szCs w:val="24"/>
        </w:rPr>
        <w:t xml:space="preserve">96-hour </w:t>
      </w:r>
      <w:r w:rsidRPr="00822497">
        <w:rPr>
          <w:b/>
          <w:szCs w:val="24"/>
        </w:rPr>
        <w:t>static acute toxicity study on rainbow trout, the LC</w:t>
      </w:r>
      <w:r w:rsidRPr="00822497">
        <w:rPr>
          <w:b/>
          <w:szCs w:val="24"/>
          <w:vertAlign w:val="subscript"/>
        </w:rPr>
        <w:t>50</w:t>
      </w:r>
      <w:r w:rsidRPr="00822497">
        <w:rPr>
          <w:b/>
          <w:szCs w:val="24"/>
        </w:rPr>
        <w:t xml:space="preserve"> (96 h) of BAS 736 00 F was 2.83 mg/L based on nominal concentrations. The NOEC (96 h) was determined to be 2.0 mg/L (nominal).</w:t>
      </w:r>
    </w:p>
    <w:p w14:paraId="1E8A670B" w14:textId="35C8EC0C" w:rsidR="00E51CDD" w:rsidRPr="00822497" w:rsidRDefault="00E51CDD" w:rsidP="00282586">
      <w:pPr>
        <w:tabs>
          <w:tab w:val="left" w:pos="425"/>
          <w:tab w:val="left" w:pos="850"/>
        </w:tabs>
        <w:suppressAutoHyphens/>
        <w:jc w:val="both"/>
        <w:rPr>
          <w:b/>
          <w:bCs/>
          <w:lang w:eastAsia="en-US"/>
        </w:rPr>
      </w:pPr>
    </w:p>
    <w:p w14:paraId="3E9FCAEB" w14:textId="77777777" w:rsidR="00E51CDD" w:rsidRPr="00822497" w:rsidRDefault="00E51CDD" w:rsidP="00E51CDD">
      <w:pPr>
        <w:tabs>
          <w:tab w:val="left" w:pos="425"/>
          <w:tab w:val="left" w:pos="850"/>
        </w:tabs>
        <w:suppressAutoHyphens/>
        <w:ind w:left="2835" w:hanging="2835"/>
        <w:jc w:val="both"/>
        <w:rPr>
          <w:b/>
          <w:bCs/>
          <w:lang w:eastAsia="en-US"/>
        </w:rPr>
      </w:pPr>
      <w:r w:rsidRPr="00822497">
        <w:rPr>
          <w:b/>
          <w:bCs/>
          <w:lang w:eastAsia="en-US"/>
        </w:rPr>
        <w:t>I.</w:t>
      </w:r>
      <w:r w:rsidRPr="00822497">
        <w:rPr>
          <w:b/>
          <w:bCs/>
          <w:lang w:eastAsia="en-US"/>
        </w:rPr>
        <w:tab/>
        <w:t>MATERIAL AND METHODS</w:t>
      </w:r>
    </w:p>
    <w:p w14:paraId="13385C83" w14:textId="77777777" w:rsidR="00E51CDD" w:rsidRPr="00822497" w:rsidRDefault="00E51CDD" w:rsidP="00E51CDD">
      <w:pPr>
        <w:suppressAutoHyphens/>
        <w:rPr>
          <w:sz w:val="24"/>
          <w:szCs w:val="24"/>
          <w:lang w:eastAsia="en-US"/>
        </w:rPr>
      </w:pPr>
    </w:p>
    <w:p w14:paraId="7441B779" w14:textId="77777777" w:rsidR="00E51CDD" w:rsidRPr="00822497" w:rsidRDefault="00E51CDD" w:rsidP="00E51CDD">
      <w:pPr>
        <w:tabs>
          <w:tab w:val="left" w:pos="425"/>
          <w:tab w:val="left" w:pos="850"/>
        </w:tabs>
        <w:suppressAutoHyphens/>
        <w:ind w:left="2835" w:hanging="2835"/>
        <w:jc w:val="both"/>
        <w:rPr>
          <w:b/>
          <w:bCs/>
          <w:lang w:eastAsia="en-US"/>
        </w:rPr>
      </w:pPr>
      <w:r w:rsidRPr="00822497">
        <w:rPr>
          <w:b/>
          <w:bCs/>
          <w:lang w:eastAsia="en-US"/>
        </w:rPr>
        <w:t>A.</w:t>
      </w:r>
      <w:r w:rsidRPr="00822497">
        <w:rPr>
          <w:b/>
          <w:bCs/>
          <w:lang w:eastAsia="en-US"/>
        </w:rPr>
        <w:tab/>
        <w:t>MATERIALS</w:t>
      </w:r>
    </w:p>
    <w:p w14:paraId="18288B67" w14:textId="77777777" w:rsidR="00E51CDD" w:rsidRPr="00822497" w:rsidRDefault="00E51CDD" w:rsidP="00E51CDD">
      <w:pPr>
        <w:tabs>
          <w:tab w:val="left" w:pos="425"/>
          <w:tab w:val="left" w:pos="850"/>
        </w:tabs>
        <w:suppressAutoHyphens/>
        <w:ind w:left="2268" w:hanging="2268"/>
        <w:jc w:val="both"/>
        <w:rPr>
          <w:rFonts w:ascii="Arial" w:hAnsi="Arial" w:cs="Arial"/>
          <w:b/>
          <w:bCs/>
          <w:lang w:eastAsia="en-US"/>
        </w:rPr>
      </w:pPr>
    </w:p>
    <w:p w14:paraId="6678BE5D" w14:textId="77777777" w:rsidR="00E51CDD" w:rsidRPr="00822497" w:rsidRDefault="00E51CDD" w:rsidP="00E51CDD">
      <w:pPr>
        <w:suppressAutoHyphens/>
        <w:ind w:left="2127" w:hanging="2127"/>
        <w:jc w:val="both"/>
        <w:rPr>
          <w:szCs w:val="24"/>
        </w:rPr>
      </w:pPr>
      <w:r w:rsidRPr="00822497">
        <w:rPr>
          <w:szCs w:val="24"/>
        </w:rPr>
        <w:t xml:space="preserve">Test item: </w:t>
      </w:r>
      <w:r w:rsidRPr="00822497">
        <w:rPr>
          <w:szCs w:val="24"/>
        </w:rPr>
        <w:tab/>
        <w:t>BAS 736 00 F, batch no. FD-190220-0002, content of a.s.: azoxystrobin (BAS 9164 F, reg. no. 300254: 73.9 g/L (nominal: 75.0 g/L), fluxapyroxad (BAS 700 F, reg. no. 5094351): 49.4 g/L (nominal: 50.0 g/L); density: 1.078 g/cm³.</w:t>
      </w:r>
    </w:p>
    <w:p w14:paraId="412BEEB8" w14:textId="77777777" w:rsidR="00E51CDD" w:rsidRPr="00822497" w:rsidRDefault="00E51CDD" w:rsidP="00E51CDD">
      <w:pPr>
        <w:suppressAutoHyphens/>
        <w:ind w:left="2268" w:hanging="2268"/>
        <w:jc w:val="both"/>
        <w:rPr>
          <w:sz w:val="24"/>
          <w:szCs w:val="24"/>
          <w:lang w:eastAsia="en-US"/>
        </w:rPr>
      </w:pPr>
    </w:p>
    <w:p w14:paraId="4D71E920" w14:textId="77777777" w:rsidR="00E51CDD" w:rsidRPr="00822497" w:rsidRDefault="00E51CDD" w:rsidP="00E51CDD">
      <w:pPr>
        <w:tabs>
          <w:tab w:val="left" w:pos="425"/>
          <w:tab w:val="left" w:pos="850"/>
        </w:tabs>
        <w:suppressAutoHyphens/>
        <w:ind w:left="2835" w:hanging="2835"/>
        <w:jc w:val="both"/>
        <w:rPr>
          <w:b/>
          <w:bCs/>
          <w:lang w:eastAsia="en-US"/>
        </w:rPr>
      </w:pPr>
      <w:r w:rsidRPr="00822497">
        <w:rPr>
          <w:b/>
          <w:bCs/>
          <w:lang w:eastAsia="en-US"/>
        </w:rPr>
        <w:t>B.</w:t>
      </w:r>
      <w:r w:rsidRPr="00822497">
        <w:rPr>
          <w:b/>
          <w:bCs/>
          <w:lang w:eastAsia="en-US"/>
        </w:rPr>
        <w:tab/>
        <w:t>STUDY DESIGN</w:t>
      </w:r>
    </w:p>
    <w:p w14:paraId="26095A20" w14:textId="77777777" w:rsidR="00E51CDD" w:rsidRPr="00822497" w:rsidRDefault="00E51CDD" w:rsidP="00E51CDD">
      <w:pPr>
        <w:tabs>
          <w:tab w:val="left" w:pos="425"/>
          <w:tab w:val="left" w:pos="850"/>
        </w:tabs>
        <w:suppressAutoHyphens/>
        <w:ind w:left="2268" w:hanging="2268"/>
        <w:jc w:val="both"/>
        <w:rPr>
          <w:rFonts w:ascii="Arial" w:hAnsi="Arial" w:cs="Arial"/>
          <w:b/>
          <w:bCs/>
          <w:sz w:val="24"/>
          <w:szCs w:val="24"/>
          <w:lang w:eastAsia="en-US"/>
        </w:rPr>
      </w:pPr>
    </w:p>
    <w:p w14:paraId="4FD34DDF" w14:textId="77777777" w:rsidR="00E51CDD" w:rsidRPr="00822497" w:rsidRDefault="00E51CDD" w:rsidP="00E51CDD">
      <w:pPr>
        <w:suppressAutoHyphens/>
        <w:ind w:left="2040" w:hanging="2040"/>
        <w:jc w:val="both"/>
        <w:rPr>
          <w:color w:val="0070C0"/>
          <w:szCs w:val="24"/>
        </w:rPr>
      </w:pPr>
      <w:r w:rsidRPr="00822497">
        <w:rPr>
          <w:szCs w:val="24"/>
        </w:rPr>
        <w:t xml:space="preserve">Test species: </w:t>
      </w:r>
      <w:r w:rsidRPr="00822497">
        <w:rPr>
          <w:szCs w:val="24"/>
        </w:rPr>
        <w:tab/>
        <w:t>Rainbow trout (</w:t>
      </w:r>
      <w:r w:rsidRPr="00822497">
        <w:rPr>
          <w:i/>
          <w:iCs/>
          <w:szCs w:val="24"/>
        </w:rPr>
        <w:t xml:space="preserve">Oncorhynchus mykiss, </w:t>
      </w:r>
      <w:r w:rsidRPr="00822497">
        <w:rPr>
          <w:iCs/>
          <w:szCs w:val="24"/>
        </w:rPr>
        <w:t>Walbaum</w:t>
      </w:r>
      <w:r w:rsidRPr="00822497">
        <w:rPr>
          <w:szCs w:val="24"/>
        </w:rPr>
        <w:t>); average body length: 47 ± 3 mm (test end); average body weight: 1.45 ± 0.23 g (test end); supplied by trout farm "Peter Störk", D-88348 Bad Saulgau, Germany</w:t>
      </w:r>
      <w:r w:rsidRPr="00822497">
        <w:rPr>
          <w:color w:val="0070C0"/>
          <w:szCs w:val="24"/>
        </w:rPr>
        <w:t>.</w:t>
      </w:r>
    </w:p>
    <w:p w14:paraId="785F5274" w14:textId="77777777" w:rsidR="00E51CDD" w:rsidRPr="00822497" w:rsidRDefault="00E51CDD" w:rsidP="00E51CDD">
      <w:pPr>
        <w:suppressAutoHyphens/>
        <w:ind w:left="2040" w:hanging="2040"/>
        <w:jc w:val="both"/>
        <w:rPr>
          <w:szCs w:val="24"/>
        </w:rPr>
      </w:pPr>
    </w:p>
    <w:p w14:paraId="7BEB224D" w14:textId="77777777" w:rsidR="00E51CDD" w:rsidRPr="00822497" w:rsidRDefault="00E51CDD" w:rsidP="00E51CDD">
      <w:pPr>
        <w:suppressAutoHyphens/>
        <w:ind w:left="2040" w:hanging="2040"/>
        <w:jc w:val="both"/>
        <w:rPr>
          <w:szCs w:val="24"/>
        </w:rPr>
      </w:pPr>
      <w:r w:rsidRPr="00822497">
        <w:rPr>
          <w:szCs w:val="24"/>
        </w:rPr>
        <w:t xml:space="preserve">Test design: </w:t>
      </w:r>
      <w:r w:rsidRPr="00822497">
        <w:rPr>
          <w:szCs w:val="24"/>
        </w:rPr>
        <w:tab/>
        <w:t xml:space="preserve">Static system (96 hours); </w:t>
      </w:r>
      <w:r>
        <w:rPr>
          <w:szCs w:val="24"/>
        </w:rPr>
        <w:t xml:space="preserve">5 test item concentrations plus a control with untreated test medium, 1 replicate (aquarium) per treatment; </w:t>
      </w:r>
      <w:r w:rsidRPr="00822497">
        <w:rPr>
          <w:szCs w:val="24"/>
        </w:rPr>
        <w:t xml:space="preserve">7 fish per treatment and aquarium (loading 0.68 g fish/L); assessment of mortality and symptoms of toxicity after 0 h, 4 – 6 h, </w:t>
      </w:r>
      <w:r>
        <w:rPr>
          <w:szCs w:val="24"/>
        </w:rPr>
        <w:t xml:space="preserve">1 day, </w:t>
      </w:r>
      <w:r w:rsidRPr="00822497">
        <w:rPr>
          <w:szCs w:val="24"/>
        </w:rPr>
        <w:t>2 days (twice daily), 3 days (twice daily) and 4 days after start of exposure.</w:t>
      </w:r>
    </w:p>
    <w:p w14:paraId="068FCF0D" w14:textId="77777777" w:rsidR="00E51CDD" w:rsidRPr="00822497" w:rsidRDefault="00E51CDD" w:rsidP="00E51CDD">
      <w:pPr>
        <w:suppressAutoHyphens/>
        <w:ind w:left="2040" w:hanging="2040"/>
        <w:jc w:val="both"/>
        <w:rPr>
          <w:szCs w:val="24"/>
        </w:rPr>
      </w:pPr>
    </w:p>
    <w:p w14:paraId="5606C890" w14:textId="77777777" w:rsidR="00E51CDD" w:rsidRPr="00822497" w:rsidRDefault="00E51CDD" w:rsidP="00E51CDD">
      <w:pPr>
        <w:suppressAutoHyphens/>
        <w:ind w:left="2040" w:hanging="2040"/>
        <w:jc w:val="both"/>
        <w:rPr>
          <w:szCs w:val="24"/>
        </w:rPr>
      </w:pPr>
      <w:r w:rsidRPr="00822497">
        <w:rPr>
          <w:szCs w:val="24"/>
        </w:rPr>
        <w:t>Endpoints:</w:t>
      </w:r>
      <w:r w:rsidRPr="00822497">
        <w:rPr>
          <w:szCs w:val="24"/>
        </w:rPr>
        <w:tab/>
        <w:t>LC</w:t>
      </w:r>
      <w:r w:rsidRPr="00822497">
        <w:rPr>
          <w:szCs w:val="24"/>
          <w:vertAlign w:val="subscript"/>
        </w:rPr>
        <w:t>50</w:t>
      </w:r>
      <w:r w:rsidRPr="00822497">
        <w:rPr>
          <w:szCs w:val="24"/>
        </w:rPr>
        <w:t>, NOEC, based on mortality and sub-lethal effects.</w:t>
      </w:r>
    </w:p>
    <w:p w14:paraId="5D4927E8" w14:textId="77777777" w:rsidR="00E51CDD" w:rsidRPr="00822497" w:rsidRDefault="00E51CDD" w:rsidP="00E51CDD">
      <w:pPr>
        <w:suppressAutoHyphens/>
        <w:ind w:left="2040" w:hanging="2040"/>
        <w:jc w:val="both"/>
        <w:rPr>
          <w:szCs w:val="24"/>
        </w:rPr>
      </w:pPr>
    </w:p>
    <w:p w14:paraId="5A8CE930" w14:textId="77777777" w:rsidR="00E51CDD" w:rsidRPr="00822497" w:rsidRDefault="00E51CDD" w:rsidP="00E51CDD">
      <w:pPr>
        <w:suppressAutoHyphens/>
        <w:ind w:left="2040" w:hanging="2040"/>
        <w:jc w:val="both"/>
        <w:rPr>
          <w:szCs w:val="24"/>
        </w:rPr>
      </w:pPr>
      <w:r w:rsidRPr="00822497">
        <w:rPr>
          <w:szCs w:val="24"/>
        </w:rPr>
        <w:t xml:space="preserve">Test concentrations: </w:t>
      </w:r>
      <w:r w:rsidRPr="00822497">
        <w:rPr>
          <w:szCs w:val="24"/>
        </w:rPr>
        <w:tab/>
        <w:t>0 (control), 0.5, 1.0, 2.0, 4.0 and 8.0 mg BAS 736 00 F/L (nominal).</w:t>
      </w:r>
    </w:p>
    <w:p w14:paraId="6ADAC494" w14:textId="77777777" w:rsidR="00E51CDD" w:rsidRPr="00822497" w:rsidRDefault="00E51CDD" w:rsidP="00E51CDD">
      <w:pPr>
        <w:suppressAutoHyphens/>
        <w:ind w:left="2040" w:hanging="2040"/>
        <w:jc w:val="both"/>
        <w:rPr>
          <w:szCs w:val="24"/>
        </w:rPr>
      </w:pPr>
    </w:p>
    <w:p w14:paraId="65B4626A" w14:textId="77777777" w:rsidR="00E51CDD" w:rsidRPr="00822497" w:rsidRDefault="00E51CDD" w:rsidP="00E51CDD">
      <w:pPr>
        <w:suppressAutoHyphens/>
        <w:ind w:left="2040" w:hanging="2040"/>
        <w:jc w:val="both"/>
        <w:rPr>
          <w:szCs w:val="24"/>
        </w:rPr>
      </w:pPr>
      <w:r w:rsidRPr="00822497">
        <w:rPr>
          <w:szCs w:val="24"/>
        </w:rPr>
        <w:t xml:space="preserve">Test conditions: </w:t>
      </w:r>
      <w:r w:rsidRPr="00822497">
        <w:rPr>
          <w:szCs w:val="24"/>
        </w:rPr>
        <w:tab/>
      </w:r>
      <w:r>
        <w:rPr>
          <w:szCs w:val="24"/>
        </w:rPr>
        <w:t xml:space="preserve">Test vessels: </w:t>
      </w:r>
      <w:r w:rsidRPr="00822497">
        <w:rPr>
          <w:szCs w:val="24"/>
        </w:rPr>
        <w:t>18</w:t>
      </w:r>
      <w:r>
        <w:rPr>
          <w:szCs w:val="24"/>
        </w:rPr>
        <w:t>-</w:t>
      </w:r>
      <w:r w:rsidRPr="00822497">
        <w:rPr>
          <w:szCs w:val="24"/>
        </w:rPr>
        <w:t xml:space="preserve">L glass aquaria, test volume: 15 L; test medium: dechlorinated drinking water mixed with deionized water; temperature: 12.5 – 13.4 °C; pH 7.61 – 8.10; oxygen content: 70 – 97% of air saturation; </w:t>
      </w:r>
      <w:r>
        <w:rPr>
          <w:szCs w:val="24"/>
        </w:rPr>
        <w:t xml:space="preserve">conductivity: 414 µS/cm; </w:t>
      </w:r>
      <w:r w:rsidRPr="00822497">
        <w:rPr>
          <w:szCs w:val="24"/>
        </w:rPr>
        <w:t>hardness: 178 mg CaCO</w:t>
      </w:r>
      <w:r w:rsidRPr="00822497">
        <w:rPr>
          <w:szCs w:val="24"/>
          <w:vertAlign w:val="subscript"/>
        </w:rPr>
        <w:t>3</w:t>
      </w:r>
      <w:r w:rsidRPr="00822497">
        <w:rPr>
          <w:szCs w:val="24"/>
        </w:rPr>
        <w:t>/L; photoperiod: 16 h light : 8 h dark with 30 min transition; light intensity: 879 lux (at test start); no aeration, no feeding.</w:t>
      </w:r>
      <w:r>
        <w:rPr>
          <w:szCs w:val="24"/>
        </w:rPr>
        <w:t xml:space="preserve"> </w:t>
      </w:r>
    </w:p>
    <w:p w14:paraId="54307810" w14:textId="77777777" w:rsidR="00E51CDD" w:rsidRPr="00822497" w:rsidRDefault="00E51CDD" w:rsidP="00E51CDD">
      <w:pPr>
        <w:suppressAutoHyphens/>
        <w:ind w:left="2040" w:hanging="2040"/>
        <w:jc w:val="both"/>
        <w:rPr>
          <w:szCs w:val="24"/>
        </w:rPr>
      </w:pPr>
    </w:p>
    <w:p w14:paraId="627AEBCE" w14:textId="77777777" w:rsidR="00E51CDD" w:rsidRPr="00822497" w:rsidRDefault="00E51CDD" w:rsidP="00E51CDD">
      <w:pPr>
        <w:suppressAutoHyphens/>
        <w:ind w:left="1985" w:hanging="1985"/>
        <w:jc w:val="both"/>
        <w:rPr>
          <w:szCs w:val="24"/>
        </w:rPr>
      </w:pPr>
      <w:r w:rsidRPr="00822497">
        <w:rPr>
          <w:szCs w:val="24"/>
        </w:rPr>
        <w:t xml:space="preserve">Analytics: </w:t>
      </w:r>
      <w:r w:rsidRPr="00822497">
        <w:rPr>
          <w:szCs w:val="24"/>
        </w:rPr>
        <w:tab/>
        <w:t>Analytical verification of test item concentrations was conducted using a HPLC-method with MS/MS-detection</w:t>
      </w:r>
      <w:r>
        <w:rPr>
          <w:szCs w:val="24"/>
        </w:rPr>
        <w:t xml:space="preserve"> (analytical method no. L0361/03 and L0361/01)</w:t>
      </w:r>
      <w:r w:rsidRPr="00822497">
        <w:rPr>
          <w:szCs w:val="24"/>
        </w:rPr>
        <w:t xml:space="preserve">. </w:t>
      </w:r>
    </w:p>
    <w:p w14:paraId="20B5308E" w14:textId="77777777" w:rsidR="00E51CDD" w:rsidRPr="00822497" w:rsidRDefault="00E51CDD" w:rsidP="00E51CDD">
      <w:pPr>
        <w:suppressAutoHyphens/>
        <w:ind w:left="2040" w:hanging="2040"/>
        <w:jc w:val="both"/>
        <w:rPr>
          <w:szCs w:val="24"/>
        </w:rPr>
      </w:pPr>
    </w:p>
    <w:p w14:paraId="62146E95" w14:textId="77777777" w:rsidR="00E51CDD" w:rsidRPr="00822497" w:rsidRDefault="00E51CDD" w:rsidP="00E51CDD">
      <w:pPr>
        <w:suppressAutoHyphens/>
        <w:ind w:left="2040" w:hanging="2040"/>
        <w:jc w:val="both"/>
        <w:rPr>
          <w:b/>
          <w:bCs/>
          <w:szCs w:val="24"/>
        </w:rPr>
      </w:pPr>
      <w:r w:rsidRPr="00822497">
        <w:rPr>
          <w:szCs w:val="24"/>
        </w:rPr>
        <w:t xml:space="preserve">Statistics: </w:t>
      </w:r>
      <w:r w:rsidRPr="00822497">
        <w:rPr>
          <w:szCs w:val="24"/>
        </w:rPr>
        <w:tab/>
        <w:t>Descriptive statistics; 96-h LC</w:t>
      </w:r>
      <w:r w:rsidRPr="00822497">
        <w:rPr>
          <w:szCs w:val="24"/>
          <w:vertAlign w:val="subscript"/>
        </w:rPr>
        <w:t>50</w:t>
      </w:r>
      <w:r w:rsidRPr="00822497">
        <w:rPr>
          <w:szCs w:val="24"/>
        </w:rPr>
        <w:t xml:space="preserve"> value was determined by the geometric mean between the highest test item concentration causing no mortality and the lowest test item concentration causing 100 % mortality; Step-down Cochran-Armitage test (α = 0.05) for determination of NOEC.</w:t>
      </w:r>
    </w:p>
    <w:p w14:paraId="44E33068" w14:textId="77777777" w:rsidR="00E51CDD" w:rsidRPr="00822497" w:rsidRDefault="00E51CDD" w:rsidP="00E51CDD">
      <w:pPr>
        <w:suppressAutoHyphens/>
        <w:jc w:val="both"/>
        <w:rPr>
          <w:szCs w:val="24"/>
        </w:rPr>
      </w:pPr>
    </w:p>
    <w:p w14:paraId="5AC4DD4C" w14:textId="77777777" w:rsidR="00E51CDD" w:rsidRPr="00822497" w:rsidRDefault="00E51CDD" w:rsidP="00E51CDD">
      <w:pPr>
        <w:suppressAutoHyphens/>
        <w:jc w:val="both"/>
        <w:rPr>
          <w:szCs w:val="24"/>
        </w:rPr>
      </w:pPr>
      <w:r>
        <w:rPr>
          <w:szCs w:val="24"/>
        </w:rPr>
        <w:br w:type="page"/>
      </w:r>
    </w:p>
    <w:p w14:paraId="4D6A8C71" w14:textId="77777777" w:rsidR="00E51CDD" w:rsidRPr="00822497" w:rsidRDefault="00E51CDD" w:rsidP="00E51CDD">
      <w:pPr>
        <w:tabs>
          <w:tab w:val="left" w:pos="425"/>
          <w:tab w:val="left" w:pos="850"/>
        </w:tabs>
        <w:suppressAutoHyphens/>
        <w:ind w:left="2835" w:hanging="2835"/>
        <w:jc w:val="both"/>
        <w:rPr>
          <w:b/>
          <w:bCs/>
          <w:lang w:eastAsia="en-US"/>
        </w:rPr>
      </w:pPr>
      <w:bookmarkStart w:id="1143" w:name="_Hlk35338224"/>
      <w:r w:rsidRPr="00822497">
        <w:rPr>
          <w:b/>
          <w:bCs/>
          <w:lang w:eastAsia="en-US"/>
        </w:rPr>
        <w:lastRenderedPageBreak/>
        <w:t>C.</w:t>
      </w:r>
      <w:r w:rsidRPr="00822497">
        <w:tab/>
      </w:r>
      <w:r w:rsidRPr="00822497">
        <w:rPr>
          <w:b/>
          <w:bCs/>
          <w:lang w:eastAsia="en-US"/>
        </w:rPr>
        <w:t xml:space="preserve">DESCRIPTION OF THE ANALYTICAL PROCEDURES </w:t>
      </w:r>
    </w:p>
    <w:p w14:paraId="0B9AB11B" w14:textId="77777777" w:rsidR="00E51CDD" w:rsidRPr="00822497" w:rsidRDefault="00E51CDD" w:rsidP="00E51CDD">
      <w:pPr>
        <w:suppressAutoHyphens/>
        <w:ind w:left="2040" w:hanging="2040"/>
        <w:jc w:val="both"/>
        <w:rPr>
          <w:b/>
        </w:rPr>
      </w:pPr>
    </w:p>
    <w:bookmarkEnd w:id="1143"/>
    <w:p w14:paraId="48891B6B" w14:textId="77777777" w:rsidR="00E51CDD" w:rsidRPr="00822497" w:rsidRDefault="00E51CDD" w:rsidP="00E51CDD">
      <w:pPr>
        <w:suppressAutoHyphens/>
        <w:jc w:val="both"/>
      </w:pPr>
      <w:r w:rsidRPr="00822497">
        <w:t xml:space="preserve">Concentrations of fluxapyroxad (BAS 700 F; contained in BAS 736 00 F) and azoxystrobin (BAS 9164 F; contained in BAS 736 00 F) in test medium were determined according to the analytical methods L0361/01 and L0361/03, respectively. The validation of each analytical methods is described within separate study reports BASF DocID 2017/1065621 and 2019/1039564, respectively. Analysis of BAS 700 F and BAS 9164 F was performed by direct injection of test medium samples after dilution with acetonitrile/water/formic acid (400/600/2, v/v/v) and if necessary further dilution with diluted blank medium (test medium /(acetonitrile/water/formic acid (400/600/2, v/v/v)) (1:1, v/v)) before analysis. Final determination was accomplished by LC-MS/MS. The limit of quantification (LOQ) was 0.00229 mg/L for fluxapyroxad and 0.00343 mg/L for azoxystrobin. The limit of detection (LOD) was set to 0.000597 mg/L for fluxapyroxad and 0.000897 mg/L for azoxystrobin. In the current study, matrix effects on LC-MS/MS detection were not investigated. Matrix-matched standards were used for quantification. In the current study, the maximum storage period from sampling to analysis was 12 days for BAS 700 F and B AS 9164 F. Residues are regarded as stable if the samples are stored deep frozen for up to 30 days between sampling and analysis (EU COM 7032/VI/95). Therefore, the stability of BAS 700 F and BAS 9164 F in BAS 736 00 F was not verified. The average recoveries for the fortification levels of 0.05 and 10.4 mg/L were found to be 103% and 108% for fluxapyroxad and 102% – 104% for azoxystrobin. </w:t>
      </w:r>
    </w:p>
    <w:p w14:paraId="4EEDC411" w14:textId="77777777" w:rsidR="00E51CDD" w:rsidRPr="00822497" w:rsidRDefault="00E51CDD" w:rsidP="00E51CDD">
      <w:pPr>
        <w:suppressAutoHyphens/>
        <w:jc w:val="both"/>
      </w:pPr>
      <w:r w:rsidRPr="00822497">
        <w:t>Details on measured fortification samples and obtained procedural recoveries are provided in the tables below.</w:t>
      </w:r>
    </w:p>
    <w:p w14:paraId="1287A51B" w14:textId="77777777" w:rsidR="00E51CDD" w:rsidRPr="00822497" w:rsidRDefault="00E51CDD" w:rsidP="00E51CDD">
      <w:pPr>
        <w:suppressAutoHyphens/>
        <w:jc w:val="both"/>
        <w:rPr>
          <w:szCs w:val="24"/>
        </w:rPr>
      </w:pPr>
    </w:p>
    <w:p w14:paraId="78D5C9FB" w14:textId="1B96FCB2" w:rsidR="00E51CDD" w:rsidRPr="00822497" w:rsidRDefault="00E51CDD" w:rsidP="00E51CDD">
      <w:pPr>
        <w:keepNext/>
        <w:keepLines/>
        <w:widowControl w:val="0"/>
        <w:suppressAutoHyphens/>
        <w:spacing w:before="200" w:after="40"/>
        <w:ind w:left="1418" w:hanging="1418"/>
        <w:jc w:val="both"/>
        <w:rPr>
          <w:b/>
          <w:bCs/>
        </w:rPr>
      </w:pPr>
      <w:r w:rsidRPr="00822497">
        <w:rPr>
          <w:b/>
        </w:rPr>
        <w:t xml:space="preserve">Table A </w:t>
      </w:r>
      <w:r w:rsidRPr="00822497">
        <w:rPr>
          <w:b/>
        </w:rPr>
        <w:fldChar w:fldCharType="begin"/>
      </w:r>
      <w:r w:rsidRPr="00822497">
        <w:rPr>
          <w:b/>
        </w:rPr>
        <w:instrText xml:space="preserve"> SEQ Table_A \* ARABIC </w:instrText>
      </w:r>
      <w:r w:rsidRPr="00822497">
        <w:rPr>
          <w:b/>
        </w:rPr>
        <w:fldChar w:fldCharType="separate"/>
      </w:r>
      <w:r w:rsidR="00662F32">
        <w:rPr>
          <w:b/>
          <w:noProof/>
        </w:rPr>
        <w:t>4</w:t>
      </w:r>
      <w:r w:rsidRPr="00822497">
        <w:rPr>
          <w:b/>
        </w:rPr>
        <w:fldChar w:fldCharType="end"/>
      </w:r>
      <w:r w:rsidRPr="00822497">
        <w:rPr>
          <w:b/>
        </w:rPr>
        <w:t>:</w:t>
      </w:r>
      <w:r w:rsidRPr="00822497">
        <w:rPr>
          <w:b/>
          <w:bCs/>
        </w:rPr>
        <w:tab/>
        <w:t>Procedural recoveries for BAS 736 00 F (based on measurement of BAS 700 F)</w:t>
      </w:r>
    </w:p>
    <w:tbl>
      <w:tblPr>
        <w:tblW w:w="5000" w:type="pct"/>
        <w:tblCellMar>
          <w:left w:w="70" w:type="dxa"/>
          <w:right w:w="70" w:type="dxa"/>
        </w:tblCellMar>
        <w:tblLook w:val="04A0" w:firstRow="1" w:lastRow="0" w:firstColumn="1" w:lastColumn="0" w:noHBand="0" w:noVBand="1"/>
      </w:tblPr>
      <w:tblGrid>
        <w:gridCol w:w="2157"/>
        <w:gridCol w:w="2917"/>
        <w:gridCol w:w="690"/>
        <w:gridCol w:w="1861"/>
        <w:gridCol w:w="1719"/>
      </w:tblGrid>
      <w:tr w:rsidR="00E51CDD" w:rsidRPr="00822497" w14:paraId="4947DBB9" w14:textId="77777777" w:rsidTr="009938D9">
        <w:trPr>
          <w:trHeight w:val="367"/>
        </w:trPr>
        <w:tc>
          <w:tcPr>
            <w:tcW w:w="11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CB2A5D5" w14:textId="77777777" w:rsidR="00E51CDD" w:rsidRPr="00822497" w:rsidRDefault="00E51CDD" w:rsidP="009938D9">
            <w:pPr>
              <w:suppressAutoHyphens/>
              <w:spacing w:before="40" w:after="40"/>
              <w:jc w:val="center"/>
              <w:rPr>
                <w:b/>
                <w:bCs/>
                <w:sz w:val="20"/>
                <w:szCs w:val="20"/>
              </w:rPr>
            </w:pPr>
            <w:r w:rsidRPr="00822497">
              <w:rPr>
                <w:b/>
                <w:bCs/>
                <w:sz w:val="20"/>
                <w:szCs w:val="20"/>
              </w:rPr>
              <w:t>Matrix</w:t>
            </w:r>
          </w:p>
        </w:tc>
        <w:tc>
          <w:tcPr>
            <w:tcW w:w="1561" w:type="pct"/>
            <w:tcBorders>
              <w:top w:val="single" w:sz="4" w:space="0" w:color="auto"/>
              <w:left w:val="nil"/>
              <w:bottom w:val="single" w:sz="4" w:space="0" w:color="auto"/>
              <w:right w:val="single" w:sz="4" w:space="0" w:color="auto"/>
            </w:tcBorders>
            <w:shd w:val="clear" w:color="auto" w:fill="FFFFFF"/>
            <w:vAlign w:val="center"/>
            <w:hideMark/>
          </w:tcPr>
          <w:p w14:paraId="2C90BBC4" w14:textId="77777777" w:rsidR="00E51CDD" w:rsidRPr="00822497" w:rsidRDefault="00E51CDD" w:rsidP="009938D9">
            <w:pPr>
              <w:suppressAutoHyphens/>
              <w:spacing w:before="40" w:after="40"/>
              <w:jc w:val="center"/>
              <w:rPr>
                <w:b/>
                <w:bCs/>
                <w:sz w:val="20"/>
                <w:szCs w:val="20"/>
              </w:rPr>
            </w:pPr>
            <w:r w:rsidRPr="00822497">
              <w:rPr>
                <w:b/>
                <w:bCs/>
                <w:sz w:val="20"/>
                <w:szCs w:val="20"/>
              </w:rPr>
              <w:t xml:space="preserve">Fortification level </w:t>
            </w:r>
            <w:r w:rsidRPr="00822497">
              <w:rPr>
                <w:b/>
                <w:bCs/>
                <w:sz w:val="20"/>
                <w:szCs w:val="20"/>
              </w:rPr>
              <w:br/>
              <w:t>[mg BAS 700 F/L]</w:t>
            </w:r>
          </w:p>
        </w:tc>
        <w:tc>
          <w:tcPr>
            <w:tcW w:w="369" w:type="pct"/>
            <w:tcBorders>
              <w:top w:val="single" w:sz="4" w:space="0" w:color="auto"/>
              <w:left w:val="nil"/>
              <w:bottom w:val="single" w:sz="4" w:space="0" w:color="auto"/>
              <w:right w:val="single" w:sz="4" w:space="0" w:color="auto"/>
            </w:tcBorders>
            <w:shd w:val="clear" w:color="auto" w:fill="FFFFFF"/>
            <w:noWrap/>
            <w:vAlign w:val="center"/>
            <w:hideMark/>
          </w:tcPr>
          <w:p w14:paraId="47800A72" w14:textId="77777777" w:rsidR="00E51CDD" w:rsidRPr="00822497" w:rsidRDefault="00E51CDD" w:rsidP="009938D9">
            <w:pPr>
              <w:suppressAutoHyphens/>
              <w:spacing w:before="40" w:after="40"/>
              <w:jc w:val="center"/>
              <w:rPr>
                <w:b/>
                <w:bCs/>
                <w:sz w:val="20"/>
                <w:szCs w:val="20"/>
                <w:vertAlign w:val="superscript"/>
              </w:rPr>
            </w:pPr>
            <w:r w:rsidRPr="00822497">
              <w:rPr>
                <w:b/>
                <w:bCs/>
                <w:sz w:val="20"/>
                <w:szCs w:val="20"/>
              </w:rPr>
              <w:t>n</w:t>
            </w:r>
          </w:p>
        </w:tc>
        <w:tc>
          <w:tcPr>
            <w:tcW w:w="996" w:type="pct"/>
            <w:tcBorders>
              <w:top w:val="single" w:sz="4" w:space="0" w:color="auto"/>
              <w:left w:val="nil"/>
              <w:bottom w:val="single" w:sz="4" w:space="0" w:color="auto"/>
              <w:right w:val="single" w:sz="4" w:space="0" w:color="auto"/>
            </w:tcBorders>
            <w:shd w:val="clear" w:color="auto" w:fill="FFFFFF"/>
            <w:noWrap/>
            <w:vAlign w:val="center"/>
            <w:hideMark/>
          </w:tcPr>
          <w:p w14:paraId="161D92C1" w14:textId="77777777" w:rsidR="00E51CDD" w:rsidRPr="00822497" w:rsidRDefault="00E51CDD" w:rsidP="009938D9">
            <w:pPr>
              <w:suppressAutoHyphens/>
              <w:spacing w:before="40" w:after="40"/>
              <w:jc w:val="center"/>
              <w:rPr>
                <w:b/>
                <w:bCs/>
                <w:sz w:val="20"/>
                <w:szCs w:val="20"/>
              </w:rPr>
            </w:pPr>
            <w:r w:rsidRPr="00822497">
              <w:rPr>
                <w:b/>
                <w:bCs/>
                <w:sz w:val="20"/>
                <w:szCs w:val="20"/>
              </w:rPr>
              <w:t>Mean recovery [%]</w:t>
            </w:r>
          </w:p>
        </w:tc>
        <w:tc>
          <w:tcPr>
            <w:tcW w:w="92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93B9B4" w14:textId="77777777" w:rsidR="00E51CDD" w:rsidRPr="00822497" w:rsidRDefault="00E51CDD" w:rsidP="009938D9">
            <w:pPr>
              <w:suppressAutoHyphens/>
              <w:spacing w:before="40" w:after="40"/>
              <w:jc w:val="center"/>
              <w:rPr>
                <w:b/>
                <w:bCs/>
                <w:sz w:val="20"/>
                <w:szCs w:val="20"/>
              </w:rPr>
            </w:pPr>
            <w:r w:rsidRPr="00822497">
              <w:rPr>
                <w:b/>
                <w:bCs/>
                <w:sz w:val="20"/>
                <w:szCs w:val="20"/>
              </w:rPr>
              <w:t>RSD [%]</w:t>
            </w:r>
          </w:p>
        </w:tc>
      </w:tr>
      <w:tr w:rsidR="00E51CDD" w:rsidRPr="00822497" w14:paraId="6B9C9DE9"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vAlign w:val="center"/>
            <w:hideMark/>
          </w:tcPr>
          <w:p w14:paraId="64C51DEC" w14:textId="77777777" w:rsidR="00E51CDD" w:rsidRPr="00822497" w:rsidRDefault="00E51CDD" w:rsidP="009938D9">
            <w:pPr>
              <w:suppressAutoHyphens/>
              <w:spacing w:before="40" w:after="40"/>
              <w:jc w:val="center"/>
              <w:rPr>
                <w:sz w:val="20"/>
                <w:szCs w:val="20"/>
              </w:rPr>
            </w:pPr>
            <w:r w:rsidRPr="00822497">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7919DF24" w14:textId="77777777" w:rsidR="00E51CDD" w:rsidRPr="00822497" w:rsidRDefault="00E51CDD" w:rsidP="009938D9">
            <w:pPr>
              <w:suppressAutoHyphens/>
              <w:spacing w:before="40" w:after="40"/>
              <w:jc w:val="center"/>
              <w:rPr>
                <w:sz w:val="20"/>
                <w:szCs w:val="20"/>
              </w:rPr>
            </w:pPr>
            <w:r w:rsidRPr="00822497">
              <w:rPr>
                <w:sz w:val="20"/>
                <w:szCs w:val="20"/>
              </w:rPr>
              <w:t>0.05</w:t>
            </w:r>
          </w:p>
        </w:tc>
        <w:tc>
          <w:tcPr>
            <w:tcW w:w="369" w:type="pct"/>
            <w:tcBorders>
              <w:top w:val="nil"/>
              <w:left w:val="nil"/>
              <w:bottom w:val="single" w:sz="4" w:space="0" w:color="auto"/>
              <w:right w:val="single" w:sz="4" w:space="0" w:color="auto"/>
            </w:tcBorders>
            <w:shd w:val="clear" w:color="auto" w:fill="FFFFFF"/>
            <w:noWrap/>
            <w:vAlign w:val="center"/>
            <w:hideMark/>
          </w:tcPr>
          <w:p w14:paraId="7092644E" w14:textId="77777777" w:rsidR="00E51CDD" w:rsidRPr="00822497" w:rsidRDefault="00E51CDD" w:rsidP="009938D9">
            <w:pPr>
              <w:suppressAutoHyphens/>
              <w:spacing w:before="40" w:after="40"/>
              <w:jc w:val="center"/>
              <w:rPr>
                <w:sz w:val="20"/>
                <w:szCs w:val="20"/>
              </w:rPr>
            </w:pPr>
            <w:r w:rsidRPr="00822497">
              <w:rPr>
                <w:sz w:val="20"/>
                <w:szCs w:val="20"/>
              </w:rPr>
              <w:t>5</w:t>
            </w:r>
          </w:p>
        </w:tc>
        <w:tc>
          <w:tcPr>
            <w:tcW w:w="996" w:type="pct"/>
            <w:tcBorders>
              <w:top w:val="nil"/>
              <w:left w:val="nil"/>
              <w:bottom w:val="single" w:sz="4" w:space="0" w:color="auto"/>
              <w:right w:val="single" w:sz="4" w:space="0" w:color="auto"/>
            </w:tcBorders>
            <w:shd w:val="clear" w:color="auto" w:fill="FFFFFF"/>
            <w:noWrap/>
          </w:tcPr>
          <w:p w14:paraId="3B1F0AD5" w14:textId="77777777" w:rsidR="00E51CDD" w:rsidRPr="00822497" w:rsidRDefault="00E51CDD" w:rsidP="009938D9">
            <w:pPr>
              <w:suppressAutoHyphens/>
              <w:spacing w:before="40" w:after="40"/>
              <w:jc w:val="center"/>
              <w:rPr>
                <w:sz w:val="20"/>
                <w:szCs w:val="20"/>
              </w:rPr>
            </w:pPr>
            <w:r w:rsidRPr="00822497">
              <w:rPr>
                <w:sz w:val="20"/>
                <w:szCs w:val="20"/>
              </w:rPr>
              <w:t>103</w:t>
            </w:r>
          </w:p>
        </w:tc>
        <w:tc>
          <w:tcPr>
            <w:tcW w:w="920" w:type="pct"/>
            <w:tcBorders>
              <w:top w:val="nil"/>
              <w:left w:val="nil"/>
              <w:bottom w:val="single" w:sz="4" w:space="0" w:color="auto"/>
              <w:right w:val="single" w:sz="4" w:space="0" w:color="auto"/>
            </w:tcBorders>
            <w:shd w:val="clear" w:color="auto" w:fill="FFFFFF"/>
            <w:noWrap/>
          </w:tcPr>
          <w:p w14:paraId="30EF6904" w14:textId="77777777" w:rsidR="00E51CDD" w:rsidRPr="00822497" w:rsidRDefault="00E51CDD" w:rsidP="009938D9">
            <w:pPr>
              <w:suppressAutoHyphens/>
              <w:spacing w:before="40" w:after="40"/>
              <w:jc w:val="center"/>
              <w:rPr>
                <w:sz w:val="20"/>
                <w:szCs w:val="20"/>
              </w:rPr>
            </w:pPr>
            <w:r w:rsidRPr="00822497">
              <w:rPr>
                <w:sz w:val="20"/>
                <w:szCs w:val="20"/>
              </w:rPr>
              <w:t>4</w:t>
            </w:r>
          </w:p>
        </w:tc>
      </w:tr>
      <w:tr w:rsidR="00E51CDD" w:rsidRPr="00822497" w14:paraId="65D34AB9"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vAlign w:val="center"/>
            <w:hideMark/>
          </w:tcPr>
          <w:p w14:paraId="7262DD37" w14:textId="77777777" w:rsidR="00E51CDD" w:rsidRPr="00822497" w:rsidRDefault="00E51CDD" w:rsidP="009938D9">
            <w:pPr>
              <w:suppressAutoHyphens/>
              <w:spacing w:before="40" w:after="40"/>
              <w:jc w:val="center"/>
              <w:rPr>
                <w:sz w:val="20"/>
                <w:szCs w:val="20"/>
              </w:rPr>
            </w:pPr>
            <w:r w:rsidRPr="00822497">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55CD84A2" w14:textId="77777777" w:rsidR="00E51CDD" w:rsidRPr="00822497" w:rsidRDefault="00E51CDD" w:rsidP="009938D9">
            <w:pPr>
              <w:suppressAutoHyphens/>
              <w:spacing w:before="40" w:after="40"/>
              <w:jc w:val="center"/>
              <w:rPr>
                <w:sz w:val="20"/>
                <w:szCs w:val="20"/>
              </w:rPr>
            </w:pPr>
            <w:r w:rsidRPr="00822497">
              <w:rPr>
                <w:sz w:val="20"/>
                <w:szCs w:val="20"/>
              </w:rPr>
              <w:t>10.4</w:t>
            </w:r>
          </w:p>
        </w:tc>
        <w:tc>
          <w:tcPr>
            <w:tcW w:w="369" w:type="pct"/>
            <w:tcBorders>
              <w:top w:val="nil"/>
              <w:left w:val="nil"/>
              <w:bottom w:val="single" w:sz="4" w:space="0" w:color="auto"/>
              <w:right w:val="single" w:sz="4" w:space="0" w:color="auto"/>
            </w:tcBorders>
            <w:shd w:val="clear" w:color="auto" w:fill="FFFFFF"/>
            <w:noWrap/>
            <w:vAlign w:val="center"/>
            <w:hideMark/>
          </w:tcPr>
          <w:p w14:paraId="48662C38" w14:textId="77777777" w:rsidR="00E51CDD" w:rsidRPr="00822497" w:rsidRDefault="00E51CDD" w:rsidP="009938D9">
            <w:pPr>
              <w:suppressAutoHyphens/>
              <w:spacing w:before="40" w:after="40"/>
              <w:jc w:val="center"/>
              <w:rPr>
                <w:sz w:val="20"/>
                <w:szCs w:val="20"/>
              </w:rPr>
            </w:pPr>
            <w:r w:rsidRPr="00822497">
              <w:rPr>
                <w:sz w:val="20"/>
                <w:szCs w:val="20"/>
              </w:rPr>
              <w:t>5</w:t>
            </w:r>
          </w:p>
        </w:tc>
        <w:tc>
          <w:tcPr>
            <w:tcW w:w="996" w:type="pct"/>
            <w:tcBorders>
              <w:top w:val="nil"/>
              <w:left w:val="nil"/>
              <w:bottom w:val="single" w:sz="4" w:space="0" w:color="auto"/>
              <w:right w:val="single" w:sz="4" w:space="0" w:color="auto"/>
            </w:tcBorders>
            <w:shd w:val="clear" w:color="auto" w:fill="FFFFFF"/>
            <w:noWrap/>
          </w:tcPr>
          <w:p w14:paraId="12BB335E" w14:textId="77777777" w:rsidR="00E51CDD" w:rsidRPr="00822497" w:rsidRDefault="00E51CDD" w:rsidP="009938D9">
            <w:pPr>
              <w:suppressAutoHyphens/>
              <w:spacing w:before="40" w:after="40"/>
              <w:jc w:val="center"/>
              <w:rPr>
                <w:sz w:val="20"/>
                <w:szCs w:val="20"/>
              </w:rPr>
            </w:pPr>
            <w:r w:rsidRPr="00822497">
              <w:rPr>
                <w:sz w:val="20"/>
                <w:szCs w:val="20"/>
              </w:rPr>
              <w:t>108</w:t>
            </w:r>
          </w:p>
        </w:tc>
        <w:tc>
          <w:tcPr>
            <w:tcW w:w="920" w:type="pct"/>
            <w:tcBorders>
              <w:top w:val="nil"/>
              <w:left w:val="nil"/>
              <w:bottom w:val="single" w:sz="4" w:space="0" w:color="auto"/>
              <w:right w:val="single" w:sz="4" w:space="0" w:color="auto"/>
            </w:tcBorders>
            <w:shd w:val="clear" w:color="auto" w:fill="FFFFFF"/>
            <w:noWrap/>
          </w:tcPr>
          <w:p w14:paraId="32AE5A84" w14:textId="77777777" w:rsidR="00E51CDD" w:rsidRPr="00822497" w:rsidRDefault="00E51CDD" w:rsidP="009938D9">
            <w:pPr>
              <w:suppressAutoHyphens/>
              <w:spacing w:before="40" w:after="40"/>
              <w:jc w:val="center"/>
              <w:rPr>
                <w:sz w:val="20"/>
                <w:szCs w:val="20"/>
              </w:rPr>
            </w:pPr>
            <w:r w:rsidRPr="00822497">
              <w:rPr>
                <w:sz w:val="20"/>
                <w:szCs w:val="20"/>
              </w:rPr>
              <w:t>3</w:t>
            </w:r>
          </w:p>
        </w:tc>
      </w:tr>
    </w:tbl>
    <w:p w14:paraId="75E69410" w14:textId="77777777" w:rsidR="00E51CDD" w:rsidRDefault="00E51CDD" w:rsidP="00E51CDD">
      <w:pPr>
        <w:suppressAutoHyphens/>
        <w:jc w:val="both"/>
        <w:rPr>
          <w:sz w:val="18"/>
          <w:szCs w:val="18"/>
          <w:lang w:eastAsia="en-US"/>
        </w:rPr>
      </w:pPr>
      <w:r w:rsidRPr="00822497">
        <w:rPr>
          <w:sz w:val="18"/>
          <w:szCs w:val="18"/>
          <w:u w:val="single"/>
          <w:lang w:eastAsia="en-US"/>
        </w:rPr>
        <w:t>Abbreviation:</w:t>
      </w:r>
      <w:r w:rsidRPr="00822497">
        <w:rPr>
          <w:sz w:val="18"/>
          <w:szCs w:val="18"/>
          <w:lang w:eastAsia="en-US"/>
        </w:rPr>
        <w:t xml:space="preserve"> RSD = relative standard deviation</w:t>
      </w:r>
    </w:p>
    <w:p w14:paraId="29CB297E" w14:textId="77777777" w:rsidR="00E51CDD" w:rsidRPr="00822497" w:rsidRDefault="00E51CDD" w:rsidP="00E51CDD">
      <w:pPr>
        <w:suppressAutoHyphens/>
        <w:jc w:val="both"/>
        <w:rPr>
          <w:sz w:val="18"/>
          <w:szCs w:val="18"/>
          <w:lang w:eastAsia="en-US"/>
        </w:rPr>
      </w:pPr>
    </w:p>
    <w:p w14:paraId="72038E07" w14:textId="292B7458" w:rsidR="00E51CDD" w:rsidRPr="00822497" w:rsidRDefault="00E51CDD" w:rsidP="00E51CDD">
      <w:pPr>
        <w:keepNext/>
        <w:keepLines/>
        <w:widowControl w:val="0"/>
        <w:suppressAutoHyphens/>
        <w:spacing w:before="200" w:after="40"/>
        <w:ind w:left="1418" w:hanging="1418"/>
        <w:jc w:val="both"/>
        <w:rPr>
          <w:b/>
          <w:bCs/>
        </w:rPr>
      </w:pPr>
      <w:r w:rsidRPr="00822497">
        <w:rPr>
          <w:b/>
        </w:rPr>
        <w:t xml:space="preserve">Table A </w:t>
      </w:r>
      <w:r w:rsidRPr="00822497">
        <w:rPr>
          <w:b/>
        </w:rPr>
        <w:fldChar w:fldCharType="begin"/>
      </w:r>
      <w:r w:rsidRPr="00822497">
        <w:rPr>
          <w:b/>
        </w:rPr>
        <w:instrText xml:space="preserve"> SEQ Table_A \* ARABIC </w:instrText>
      </w:r>
      <w:r w:rsidRPr="00822497">
        <w:rPr>
          <w:b/>
        </w:rPr>
        <w:fldChar w:fldCharType="separate"/>
      </w:r>
      <w:r w:rsidR="00662F32">
        <w:rPr>
          <w:b/>
          <w:noProof/>
        </w:rPr>
        <w:t>5</w:t>
      </w:r>
      <w:r w:rsidRPr="00822497">
        <w:rPr>
          <w:b/>
        </w:rPr>
        <w:fldChar w:fldCharType="end"/>
      </w:r>
      <w:r w:rsidRPr="00822497">
        <w:rPr>
          <w:b/>
        </w:rPr>
        <w:t>:</w:t>
      </w:r>
      <w:r w:rsidRPr="00822497">
        <w:rPr>
          <w:b/>
          <w:bCs/>
        </w:rPr>
        <w:tab/>
        <w:t>Procedural recoveries for BAS 736 00 F (based on measurement of BAS 9164 F)</w:t>
      </w:r>
    </w:p>
    <w:tbl>
      <w:tblPr>
        <w:tblW w:w="5000" w:type="pct"/>
        <w:tblCellMar>
          <w:left w:w="70" w:type="dxa"/>
          <w:right w:w="70" w:type="dxa"/>
        </w:tblCellMar>
        <w:tblLook w:val="04A0" w:firstRow="1" w:lastRow="0" w:firstColumn="1" w:lastColumn="0" w:noHBand="0" w:noVBand="1"/>
      </w:tblPr>
      <w:tblGrid>
        <w:gridCol w:w="2157"/>
        <w:gridCol w:w="2917"/>
        <w:gridCol w:w="690"/>
        <w:gridCol w:w="1861"/>
        <w:gridCol w:w="1719"/>
      </w:tblGrid>
      <w:tr w:rsidR="00E51CDD" w:rsidRPr="00822497" w14:paraId="1F68AFE2" w14:textId="77777777" w:rsidTr="009938D9">
        <w:trPr>
          <w:trHeight w:val="367"/>
        </w:trPr>
        <w:tc>
          <w:tcPr>
            <w:tcW w:w="11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D6C98C9" w14:textId="77777777" w:rsidR="00E51CDD" w:rsidRPr="00822497" w:rsidRDefault="00E51CDD" w:rsidP="009938D9">
            <w:pPr>
              <w:suppressAutoHyphens/>
              <w:spacing w:before="40" w:after="40"/>
              <w:jc w:val="center"/>
              <w:rPr>
                <w:b/>
                <w:bCs/>
                <w:sz w:val="20"/>
                <w:szCs w:val="20"/>
              </w:rPr>
            </w:pPr>
            <w:r w:rsidRPr="00822497">
              <w:rPr>
                <w:b/>
                <w:bCs/>
                <w:sz w:val="20"/>
                <w:szCs w:val="20"/>
              </w:rPr>
              <w:t>Matrix</w:t>
            </w:r>
          </w:p>
        </w:tc>
        <w:tc>
          <w:tcPr>
            <w:tcW w:w="1561" w:type="pct"/>
            <w:tcBorders>
              <w:top w:val="single" w:sz="4" w:space="0" w:color="auto"/>
              <w:left w:val="nil"/>
              <w:bottom w:val="single" w:sz="4" w:space="0" w:color="auto"/>
              <w:right w:val="single" w:sz="4" w:space="0" w:color="auto"/>
            </w:tcBorders>
            <w:shd w:val="clear" w:color="auto" w:fill="FFFFFF"/>
            <w:vAlign w:val="center"/>
            <w:hideMark/>
          </w:tcPr>
          <w:p w14:paraId="1A2DFC69" w14:textId="77777777" w:rsidR="00E51CDD" w:rsidRPr="00822497" w:rsidRDefault="00E51CDD" w:rsidP="009938D9">
            <w:pPr>
              <w:suppressAutoHyphens/>
              <w:spacing w:before="40" w:after="40"/>
              <w:jc w:val="center"/>
              <w:rPr>
                <w:b/>
                <w:bCs/>
                <w:sz w:val="20"/>
                <w:szCs w:val="20"/>
              </w:rPr>
            </w:pPr>
            <w:r w:rsidRPr="00822497">
              <w:rPr>
                <w:b/>
                <w:bCs/>
                <w:sz w:val="20"/>
                <w:szCs w:val="20"/>
              </w:rPr>
              <w:t xml:space="preserve">Fortification level </w:t>
            </w:r>
            <w:r w:rsidRPr="00822497">
              <w:rPr>
                <w:b/>
                <w:bCs/>
                <w:sz w:val="20"/>
                <w:szCs w:val="20"/>
              </w:rPr>
              <w:br/>
              <w:t>[mg BAS 9164 F/L]</w:t>
            </w:r>
          </w:p>
        </w:tc>
        <w:tc>
          <w:tcPr>
            <w:tcW w:w="369" w:type="pct"/>
            <w:tcBorders>
              <w:top w:val="single" w:sz="4" w:space="0" w:color="auto"/>
              <w:left w:val="nil"/>
              <w:bottom w:val="single" w:sz="4" w:space="0" w:color="auto"/>
              <w:right w:val="single" w:sz="4" w:space="0" w:color="auto"/>
            </w:tcBorders>
            <w:shd w:val="clear" w:color="auto" w:fill="FFFFFF"/>
            <w:noWrap/>
            <w:vAlign w:val="center"/>
            <w:hideMark/>
          </w:tcPr>
          <w:p w14:paraId="7139141F" w14:textId="77777777" w:rsidR="00E51CDD" w:rsidRPr="00822497" w:rsidRDefault="00E51CDD" w:rsidP="009938D9">
            <w:pPr>
              <w:suppressAutoHyphens/>
              <w:spacing w:before="40" w:after="40"/>
              <w:jc w:val="center"/>
              <w:rPr>
                <w:b/>
                <w:bCs/>
                <w:sz w:val="20"/>
                <w:szCs w:val="20"/>
                <w:vertAlign w:val="superscript"/>
              </w:rPr>
            </w:pPr>
            <w:r w:rsidRPr="00822497">
              <w:rPr>
                <w:b/>
                <w:bCs/>
                <w:sz w:val="20"/>
                <w:szCs w:val="20"/>
              </w:rPr>
              <w:t>n</w:t>
            </w:r>
          </w:p>
        </w:tc>
        <w:tc>
          <w:tcPr>
            <w:tcW w:w="996" w:type="pct"/>
            <w:tcBorders>
              <w:top w:val="single" w:sz="4" w:space="0" w:color="auto"/>
              <w:left w:val="nil"/>
              <w:bottom w:val="single" w:sz="4" w:space="0" w:color="auto"/>
              <w:right w:val="single" w:sz="4" w:space="0" w:color="auto"/>
            </w:tcBorders>
            <w:shd w:val="clear" w:color="auto" w:fill="FFFFFF"/>
            <w:noWrap/>
            <w:vAlign w:val="center"/>
            <w:hideMark/>
          </w:tcPr>
          <w:p w14:paraId="35C5CA25" w14:textId="77777777" w:rsidR="00E51CDD" w:rsidRPr="00822497" w:rsidRDefault="00E51CDD" w:rsidP="009938D9">
            <w:pPr>
              <w:suppressAutoHyphens/>
              <w:spacing w:before="40" w:after="40"/>
              <w:jc w:val="center"/>
              <w:rPr>
                <w:b/>
                <w:bCs/>
                <w:sz w:val="20"/>
                <w:szCs w:val="20"/>
              </w:rPr>
            </w:pPr>
            <w:r w:rsidRPr="00822497">
              <w:rPr>
                <w:b/>
                <w:bCs/>
                <w:sz w:val="20"/>
                <w:szCs w:val="20"/>
              </w:rPr>
              <w:t>Mean recovery [%]</w:t>
            </w:r>
          </w:p>
        </w:tc>
        <w:tc>
          <w:tcPr>
            <w:tcW w:w="92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FE8C208" w14:textId="77777777" w:rsidR="00E51CDD" w:rsidRPr="00822497" w:rsidRDefault="00E51CDD" w:rsidP="009938D9">
            <w:pPr>
              <w:suppressAutoHyphens/>
              <w:spacing w:before="40" w:after="40"/>
              <w:jc w:val="center"/>
              <w:rPr>
                <w:b/>
                <w:bCs/>
                <w:sz w:val="20"/>
                <w:szCs w:val="20"/>
              </w:rPr>
            </w:pPr>
            <w:r w:rsidRPr="00822497">
              <w:rPr>
                <w:b/>
                <w:bCs/>
                <w:sz w:val="20"/>
                <w:szCs w:val="20"/>
              </w:rPr>
              <w:t>RSD [%]</w:t>
            </w:r>
          </w:p>
        </w:tc>
      </w:tr>
      <w:tr w:rsidR="00E51CDD" w:rsidRPr="00822497" w14:paraId="4184DF96"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hideMark/>
          </w:tcPr>
          <w:p w14:paraId="0E303810" w14:textId="77777777" w:rsidR="00E51CDD" w:rsidRPr="00822497" w:rsidRDefault="00E51CDD" w:rsidP="009938D9">
            <w:pPr>
              <w:suppressAutoHyphens/>
              <w:spacing w:before="40" w:after="40"/>
              <w:jc w:val="center"/>
              <w:rPr>
                <w:sz w:val="20"/>
                <w:szCs w:val="20"/>
              </w:rPr>
            </w:pPr>
            <w:r w:rsidRPr="00822497">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6AE371CF" w14:textId="77777777" w:rsidR="00E51CDD" w:rsidRPr="00822497" w:rsidRDefault="00E51CDD" w:rsidP="009938D9">
            <w:pPr>
              <w:suppressAutoHyphens/>
              <w:spacing w:before="40" w:after="40"/>
              <w:jc w:val="center"/>
              <w:rPr>
                <w:sz w:val="20"/>
                <w:szCs w:val="20"/>
              </w:rPr>
            </w:pPr>
            <w:r w:rsidRPr="00822497">
              <w:rPr>
                <w:sz w:val="20"/>
                <w:szCs w:val="20"/>
              </w:rPr>
              <w:t>0.05</w:t>
            </w:r>
          </w:p>
        </w:tc>
        <w:tc>
          <w:tcPr>
            <w:tcW w:w="369" w:type="pct"/>
            <w:tcBorders>
              <w:top w:val="nil"/>
              <w:left w:val="nil"/>
              <w:bottom w:val="single" w:sz="4" w:space="0" w:color="auto"/>
              <w:right w:val="single" w:sz="4" w:space="0" w:color="auto"/>
            </w:tcBorders>
            <w:shd w:val="clear" w:color="auto" w:fill="FFFFFF"/>
            <w:noWrap/>
            <w:vAlign w:val="center"/>
            <w:hideMark/>
          </w:tcPr>
          <w:p w14:paraId="329214A7" w14:textId="77777777" w:rsidR="00E51CDD" w:rsidRPr="00822497" w:rsidRDefault="00E51CDD" w:rsidP="009938D9">
            <w:pPr>
              <w:suppressAutoHyphens/>
              <w:spacing w:before="40" w:after="40"/>
              <w:jc w:val="center"/>
              <w:rPr>
                <w:sz w:val="20"/>
                <w:szCs w:val="20"/>
              </w:rPr>
            </w:pPr>
            <w:r w:rsidRPr="00822497">
              <w:rPr>
                <w:sz w:val="20"/>
                <w:szCs w:val="20"/>
              </w:rPr>
              <w:t>5</w:t>
            </w:r>
          </w:p>
        </w:tc>
        <w:tc>
          <w:tcPr>
            <w:tcW w:w="996" w:type="pct"/>
            <w:tcBorders>
              <w:top w:val="nil"/>
              <w:left w:val="nil"/>
              <w:bottom w:val="single" w:sz="4" w:space="0" w:color="auto"/>
              <w:right w:val="single" w:sz="4" w:space="0" w:color="auto"/>
            </w:tcBorders>
            <w:shd w:val="clear" w:color="auto" w:fill="FFFFFF"/>
            <w:noWrap/>
          </w:tcPr>
          <w:p w14:paraId="292F0749" w14:textId="77777777" w:rsidR="00E51CDD" w:rsidRPr="00822497" w:rsidRDefault="00E51CDD" w:rsidP="009938D9">
            <w:pPr>
              <w:suppressAutoHyphens/>
              <w:spacing w:before="40" w:after="40"/>
              <w:jc w:val="center"/>
              <w:rPr>
                <w:sz w:val="20"/>
                <w:szCs w:val="20"/>
              </w:rPr>
            </w:pPr>
            <w:r w:rsidRPr="00822497">
              <w:rPr>
                <w:sz w:val="20"/>
                <w:szCs w:val="20"/>
              </w:rPr>
              <w:t>102</w:t>
            </w:r>
          </w:p>
        </w:tc>
        <w:tc>
          <w:tcPr>
            <w:tcW w:w="920" w:type="pct"/>
            <w:tcBorders>
              <w:top w:val="nil"/>
              <w:left w:val="nil"/>
              <w:bottom w:val="single" w:sz="4" w:space="0" w:color="auto"/>
              <w:right w:val="single" w:sz="4" w:space="0" w:color="auto"/>
            </w:tcBorders>
            <w:shd w:val="clear" w:color="auto" w:fill="FFFFFF"/>
            <w:noWrap/>
          </w:tcPr>
          <w:p w14:paraId="0C375357" w14:textId="77777777" w:rsidR="00E51CDD" w:rsidRPr="00822497" w:rsidRDefault="00E51CDD" w:rsidP="009938D9">
            <w:pPr>
              <w:suppressAutoHyphens/>
              <w:spacing w:before="40" w:after="40"/>
              <w:jc w:val="center"/>
              <w:rPr>
                <w:sz w:val="20"/>
                <w:szCs w:val="20"/>
              </w:rPr>
            </w:pPr>
            <w:r w:rsidRPr="00822497">
              <w:rPr>
                <w:sz w:val="20"/>
                <w:szCs w:val="20"/>
              </w:rPr>
              <w:t>4</w:t>
            </w:r>
          </w:p>
        </w:tc>
      </w:tr>
      <w:tr w:rsidR="00E51CDD" w:rsidRPr="00822497" w14:paraId="6D2A5507"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hideMark/>
          </w:tcPr>
          <w:p w14:paraId="21825310" w14:textId="77777777" w:rsidR="00E51CDD" w:rsidRPr="00822497" w:rsidRDefault="00E51CDD" w:rsidP="009938D9">
            <w:pPr>
              <w:suppressAutoHyphens/>
              <w:spacing w:before="40" w:after="40"/>
              <w:jc w:val="center"/>
              <w:rPr>
                <w:sz w:val="20"/>
                <w:szCs w:val="20"/>
              </w:rPr>
            </w:pPr>
            <w:r w:rsidRPr="00822497">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1FB950ED" w14:textId="77777777" w:rsidR="00E51CDD" w:rsidRPr="00822497" w:rsidRDefault="00E51CDD" w:rsidP="009938D9">
            <w:pPr>
              <w:suppressAutoHyphens/>
              <w:spacing w:before="40" w:after="40"/>
              <w:jc w:val="center"/>
              <w:rPr>
                <w:sz w:val="20"/>
                <w:szCs w:val="20"/>
              </w:rPr>
            </w:pPr>
            <w:r w:rsidRPr="00822497">
              <w:rPr>
                <w:sz w:val="20"/>
                <w:szCs w:val="20"/>
              </w:rPr>
              <w:t>10.4</w:t>
            </w:r>
          </w:p>
        </w:tc>
        <w:tc>
          <w:tcPr>
            <w:tcW w:w="369" w:type="pct"/>
            <w:tcBorders>
              <w:top w:val="nil"/>
              <w:left w:val="nil"/>
              <w:bottom w:val="single" w:sz="4" w:space="0" w:color="auto"/>
              <w:right w:val="single" w:sz="4" w:space="0" w:color="auto"/>
            </w:tcBorders>
            <w:shd w:val="clear" w:color="auto" w:fill="FFFFFF"/>
            <w:noWrap/>
            <w:vAlign w:val="center"/>
            <w:hideMark/>
          </w:tcPr>
          <w:p w14:paraId="23624BD9" w14:textId="77777777" w:rsidR="00E51CDD" w:rsidRPr="00822497" w:rsidRDefault="00E51CDD" w:rsidP="009938D9">
            <w:pPr>
              <w:suppressAutoHyphens/>
              <w:spacing w:before="40" w:after="40"/>
              <w:jc w:val="center"/>
              <w:rPr>
                <w:sz w:val="20"/>
                <w:szCs w:val="20"/>
              </w:rPr>
            </w:pPr>
            <w:r w:rsidRPr="00822497">
              <w:rPr>
                <w:sz w:val="20"/>
                <w:szCs w:val="20"/>
              </w:rPr>
              <w:t>5</w:t>
            </w:r>
          </w:p>
        </w:tc>
        <w:tc>
          <w:tcPr>
            <w:tcW w:w="996" w:type="pct"/>
            <w:tcBorders>
              <w:top w:val="nil"/>
              <w:left w:val="nil"/>
              <w:bottom w:val="single" w:sz="4" w:space="0" w:color="auto"/>
              <w:right w:val="single" w:sz="4" w:space="0" w:color="auto"/>
            </w:tcBorders>
            <w:shd w:val="clear" w:color="auto" w:fill="FFFFFF"/>
            <w:noWrap/>
          </w:tcPr>
          <w:p w14:paraId="0D047CB5" w14:textId="77777777" w:rsidR="00E51CDD" w:rsidRPr="00822497" w:rsidRDefault="00E51CDD" w:rsidP="009938D9">
            <w:pPr>
              <w:suppressAutoHyphens/>
              <w:spacing w:before="40" w:after="40"/>
              <w:jc w:val="center"/>
              <w:rPr>
                <w:sz w:val="20"/>
                <w:szCs w:val="20"/>
              </w:rPr>
            </w:pPr>
            <w:r w:rsidRPr="00822497">
              <w:rPr>
                <w:sz w:val="20"/>
                <w:szCs w:val="20"/>
              </w:rPr>
              <w:t>104</w:t>
            </w:r>
          </w:p>
        </w:tc>
        <w:tc>
          <w:tcPr>
            <w:tcW w:w="920" w:type="pct"/>
            <w:tcBorders>
              <w:top w:val="nil"/>
              <w:left w:val="nil"/>
              <w:bottom w:val="single" w:sz="4" w:space="0" w:color="auto"/>
              <w:right w:val="single" w:sz="4" w:space="0" w:color="auto"/>
            </w:tcBorders>
            <w:shd w:val="clear" w:color="auto" w:fill="FFFFFF"/>
            <w:noWrap/>
          </w:tcPr>
          <w:p w14:paraId="0030DA10" w14:textId="77777777" w:rsidR="00E51CDD" w:rsidRPr="00822497" w:rsidRDefault="00E51CDD" w:rsidP="009938D9">
            <w:pPr>
              <w:suppressAutoHyphens/>
              <w:spacing w:before="40" w:after="40"/>
              <w:jc w:val="center"/>
              <w:rPr>
                <w:sz w:val="20"/>
                <w:szCs w:val="20"/>
              </w:rPr>
            </w:pPr>
            <w:r w:rsidRPr="00822497">
              <w:rPr>
                <w:sz w:val="20"/>
                <w:szCs w:val="20"/>
              </w:rPr>
              <w:t>3</w:t>
            </w:r>
          </w:p>
        </w:tc>
      </w:tr>
    </w:tbl>
    <w:p w14:paraId="0C0CD6BF" w14:textId="77777777" w:rsidR="00E51CDD" w:rsidRPr="00822497" w:rsidRDefault="00E51CDD" w:rsidP="00E51CDD">
      <w:pPr>
        <w:suppressAutoHyphens/>
        <w:jc w:val="both"/>
        <w:rPr>
          <w:sz w:val="18"/>
          <w:szCs w:val="18"/>
          <w:lang w:eastAsia="en-US"/>
        </w:rPr>
      </w:pPr>
      <w:r w:rsidRPr="00822497">
        <w:rPr>
          <w:sz w:val="18"/>
          <w:szCs w:val="18"/>
          <w:u w:val="single"/>
          <w:lang w:eastAsia="en-US"/>
        </w:rPr>
        <w:t>Abbreviation:</w:t>
      </w:r>
      <w:r w:rsidRPr="00822497">
        <w:rPr>
          <w:sz w:val="18"/>
          <w:szCs w:val="18"/>
          <w:lang w:eastAsia="en-US"/>
        </w:rPr>
        <w:t xml:space="preserve"> RSD = relative standard deviation</w:t>
      </w:r>
    </w:p>
    <w:p w14:paraId="63972025" w14:textId="77777777" w:rsidR="00E51CDD" w:rsidRPr="00822497" w:rsidRDefault="00E51CDD" w:rsidP="00E51CDD">
      <w:pPr>
        <w:suppressAutoHyphens/>
        <w:jc w:val="both"/>
        <w:rPr>
          <w:szCs w:val="24"/>
        </w:rPr>
      </w:pPr>
    </w:p>
    <w:p w14:paraId="37B92593" w14:textId="77777777" w:rsidR="00E51CDD" w:rsidRPr="00822497" w:rsidRDefault="00E51CDD" w:rsidP="00E51CDD">
      <w:pPr>
        <w:suppressAutoHyphens/>
        <w:jc w:val="both"/>
        <w:rPr>
          <w:color w:val="0070C0"/>
          <w:szCs w:val="24"/>
        </w:rPr>
      </w:pPr>
      <w:r>
        <w:rPr>
          <w:color w:val="0070C0"/>
          <w:szCs w:val="24"/>
        </w:rPr>
        <w:br w:type="page"/>
      </w:r>
    </w:p>
    <w:p w14:paraId="54E35516" w14:textId="77777777" w:rsidR="00E51CDD" w:rsidRPr="00822497" w:rsidRDefault="00E51CDD" w:rsidP="00E51CDD">
      <w:pPr>
        <w:tabs>
          <w:tab w:val="left" w:pos="425"/>
          <w:tab w:val="left" w:pos="850"/>
        </w:tabs>
        <w:suppressAutoHyphens/>
        <w:ind w:left="2835" w:hanging="2835"/>
        <w:jc w:val="both"/>
        <w:rPr>
          <w:b/>
          <w:bCs/>
          <w:lang w:eastAsia="en-US"/>
        </w:rPr>
      </w:pPr>
      <w:r w:rsidRPr="00822497">
        <w:rPr>
          <w:b/>
          <w:bCs/>
          <w:lang w:eastAsia="en-US"/>
        </w:rPr>
        <w:lastRenderedPageBreak/>
        <w:t>II.</w:t>
      </w:r>
      <w:r w:rsidRPr="00822497">
        <w:rPr>
          <w:b/>
          <w:bCs/>
          <w:lang w:eastAsia="en-US"/>
        </w:rPr>
        <w:tab/>
        <w:t>RESULTS AND DISCUSSION</w:t>
      </w:r>
    </w:p>
    <w:p w14:paraId="30442148" w14:textId="77777777" w:rsidR="00E51CDD" w:rsidRPr="00822497" w:rsidRDefault="00E51CDD" w:rsidP="00E51CDD">
      <w:pPr>
        <w:tabs>
          <w:tab w:val="left" w:pos="425"/>
          <w:tab w:val="left" w:pos="850"/>
        </w:tabs>
        <w:suppressAutoHyphens/>
        <w:jc w:val="both"/>
        <w:rPr>
          <w:rFonts w:ascii="Arial" w:hAnsi="Arial" w:cs="Arial"/>
          <w:b/>
          <w:bCs/>
          <w:sz w:val="24"/>
          <w:szCs w:val="24"/>
          <w:lang w:eastAsia="en-US"/>
        </w:rPr>
      </w:pPr>
    </w:p>
    <w:p w14:paraId="40BD9D66" w14:textId="77777777" w:rsidR="00E51CDD" w:rsidRPr="00822497" w:rsidRDefault="00E51CDD" w:rsidP="00E51CDD">
      <w:pPr>
        <w:suppressAutoHyphens/>
        <w:jc w:val="both"/>
        <w:rPr>
          <w:color w:val="0070C0"/>
          <w:szCs w:val="24"/>
        </w:rPr>
      </w:pPr>
      <w:r w:rsidRPr="00822497">
        <w:rPr>
          <w:szCs w:val="24"/>
        </w:rPr>
        <w:t>Analytical measurements: Analytical verification of azoxystrobin and fluxapyroxad concentrations was conducted in each concentration at the beginning and at the end of the test. After 24 and 72 h analytical verification was conducted for 8.0 mg/L and 4.0 mg/L, respectively. The analyzed contents of azoxystrobin ranged from 96.7% to 101% of nominal concentrations at test initiation, was determined to be 93.1% of nominal for the concentration of 8.0 mg/L after 24 h, 93.4% of nominal for the concentration of 4.0 mg/L after 72 h and ranged from 90.9% to 96.4% of nominal at test termination. The analyzed contents of fluxapyroxad ranged from 97.8% to 100% of nominal concentrations at test initiation, was determined to be 92.9% of nominal for the concentration of 8.0 mg/L after 24 h, 93.4% of nominal for the concentration of 4.0 mg/L after 72 h and ranged from 88.5% to 100% of nominal at test termination. The following biological results are based on nominal concentrations.</w:t>
      </w:r>
    </w:p>
    <w:p w14:paraId="454C2E84" w14:textId="77777777" w:rsidR="00E51CDD" w:rsidRPr="00822497" w:rsidRDefault="00E51CDD" w:rsidP="00E51CDD">
      <w:pPr>
        <w:suppressAutoHyphens/>
        <w:jc w:val="both"/>
        <w:rPr>
          <w:szCs w:val="24"/>
        </w:rPr>
      </w:pPr>
    </w:p>
    <w:p w14:paraId="16A15D57" w14:textId="166AEBC4" w:rsidR="00E51CDD" w:rsidRPr="00822497" w:rsidRDefault="00E51CDD" w:rsidP="00E51CDD">
      <w:pPr>
        <w:suppressAutoHyphens/>
        <w:jc w:val="both"/>
        <w:rPr>
          <w:color w:val="0070C0"/>
        </w:rPr>
      </w:pPr>
      <w:r w:rsidRPr="00822497">
        <w:t xml:space="preserve">Biological results: After 96 hours of exposure, no mortality was observed in the control and at concentrations of up to and including 2.0 mg BAS 736 00 F/L, whereas 100% mortality was observed at the two highest test item concentrations. Sublethal effects could not be observed at test end, but at earlier timepoints. The results are summarized in </w:t>
      </w:r>
      <w:r w:rsidRPr="00822497">
        <w:rPr>
          <w:szCs w:val="24"/>
        </w:rPr>
        <w:fldChar w:fldCharType="begin"/>
      </w:r>
      <w:r w:rsidRPr="00822497">
        <w:instrText xml:space="preserve"> REF _Ref508973300 \h  \* MERGEFORMAT </w:instrText>
      </w:r>
      <w:r w:rsidRPr="00822497">
        <w:rPr>
          <w:szCs w:val="24"/>
        </w:rPr>
      </w:r>
      <w:r w:rsidRPr="00822497">
        <w:rPr>
          <w:szCs w:val="24"/>
        </w:rPr>
        <w:fldChar w:fldCharType="separate"/>
      </w:r>
      <w:r w:rsidR="00662F32" w:rsidRPr="00662F32">
        <w:t xml:space="preserve">Table A </w:t>
      </w:r>
      <w:r w:rsidR="00662F32" w:rsidRPr="00662F32">
        <w:rPr>
          <w:noProof/>
        </w:rPr>
        <w:t>6</w:t>
      </w:r>
      <w:r w:rsidRPr="00822497">
        <w:rPr>
          <w:szCs w:val="24"/>
        </w:rPr>
        <w:fldChar w:fldCharType="end"/>
      </w:r>
      <w:r w:rsidRPr="00822497">
        <w:t>.</w:t>
      </w:r>
    </w:p>
    <w:p w14:paraId="47868ED9" w14:textId="77777777" w:rsidR="00E51CDD" w:rsidRPr="00822497" w:rsidRDefault="00E51CDD" w:rsidP="00E51CDD">
      <w:pPr>
        <w:suppressAutoHyphens/>
        <w:rPr>
          <w:szCs w:val="24"/>
        </w:rPr>
      </w:pPr>
    </w:p>
    <w:p w14:paraId="1022F62C" w14:textId="5F610D86" w:rsidR="00E51CDD" w:rsidRPr="00822497" w:rsidRDefault="00E51CDD" w:rsidP="00E51CDD">
      <w:pPr>
        <w:suppressAutoHyphens/>
        <w:spacing w:after="120"/>
        <w:rPr>
          <w:b/>
          <w:szCs w:val="24"/>
        </w:rPr>
      </w:pPr>
      <w:bookmarkStart w:id="1144" w:name="_Ref508973300"/>
      <w:r w:rsidRPr="00822497">
        <w:rPr>
          <w:b/>
        </w:rPr>
        <w:t xml:space="preserve">Table A </w:t>
      </w:r>
      <w:r w:rsidRPr="00822497">
        <w:fldChar w:fldCharType="begin"/>
      </w:r>
      <w:r w:rsidRPr="00822497">
        <w:rPr>
          <w:b/>
        </w:rPr>
        <w:instrText xml:space="preserve"> SEQ Table_A \* ARABIC </w:instrText>
      </w:r>
      <w:r w:rsidRPr="00822497">
        <w:fldChar w:fldCharType="separate"/>
      </w:r>
      <w:r w:rsidR="00662F32">
        <w:rPr>
          <w:b/>
          <w:noProof/>
        </w:rPr>
        <w:t>6</w:t>
      </w:r>
      <w:r w:rsidRPr="00822497">
        <w:fldChar w:fldCharType="end"/>
      </w:r>
      <w:bookmarkEnd w:id="1144"/>
      <w:r w:rsidRPr="00822497">
        <w:rPr>
          <w:b/>
        </w:rPr>
        <w:t>:</w:t>
      </w:r>
      <w:r w:rsidRPr="00822497">
        <w:rPr>
          <w:b/>
        </w:rPr>
        <w:tab/>
        <w:t>Acute toxicity (96 h) of BAS 736 00 F on rainbow trout (</w:t>
      </w:r>
      <w:r w:rsidRPr="00822497">
        <w:rPr>
          <w:b/>
          <w:i/>
          <w:iCs/>
        </w:rPr>
        <w:t>O. mykiss</w:t>
      </w:r>
      <w:r w:rsidRPr="00822497">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1"/>
        <w:gridCol w:w="1211"/>
        <w:gridCol w:w="1209"/>
        <w:gridCol w:w="1209"/>
        <w:gridCol w:w="1209"/>
        <w:gridCol w:w="1209"/>
        <w:gridCol w:w="1276"/>
      </w:tblGrid>
      <w:tr w:rsidR="00E51CDD" w:rsidRPr="00822497" w14:paraId="4F1872CC" w14:textId="77777777" w:rsidTr="009938D9">
        <w:trPr>
          <w:trHeight w:val="288"/>
          <w:tblHeader/>
        </w:trPr>
        <w:tc>
          <w:tcPr>
            <w:tcW w:w="1081" w:type="pct"/>
            <w:tcBorders>
              <w:top w:val="single" w:sz="4" w:space="0" w:color="auto"/>
              <w:left w:val="single" w:sz="4" w:space="0" w:color="auto"/>
              <w:bottom w:val="single" w:sz="4" w:space="0" w:color="auto"/>
              <w:right w:val="single" w:sz="4" w:space="0" w:color="auto"/>
            </w:tcBorders>
            <w:vAlign w:val="center"/>
            <w:hideMark/>
          </w:tcPr>
          <w:p w14:paraId="284AB992" w14:textId="77777777" w:rsidR="00E51CDD" w:rsidRPr="00822497" w:rsidRDefault="00E51CDD" w:rsidP="009938D9">
            <w:pPr>
              <w:keepLines/>
              <w:suppressAutoHyphens/>
              <w:overflowPunct w:val="0"/>
              <w:autoSpaceDE w:val="0"/>
              <w:autoSpaceDN w:val="0"/>
              <w:adjustRightInd w:val="0"/>
              <w:spacing w:before="40" w:after="40"/>
              <w:textAlignment w:val="baseline"/>
              <w:rPr>
                <w:b/>
                <w:bCs/>
                <w:sz w:val="20"/>
                <w:szCs w:val="20"/>
              </w:rPr>
            </w:pPr>
            <w:r w:rsidRPr="00822497">
              <w:rPr>
                <w:b/>
                <w:bCs/>
                <w:sz w:val="20"/>
                <w:szCs w:val="20"/>
              </w:rPr>
              <w:t>Concentration [mg/L] (nominal)</w:t>
            </w:r>
          </w:p>
        </w:tc>
        <w:tc>
          <w:tcPr>
            <w:tcW w:w="648" w:type="pct"/>
            <w:tcBorders>
              <w:top w:val="single" w:sz="4" w:space="0" w:color="auto"/>
              <w:left w:val="single" w:sz="4" w:space="0" w:color="auto"/>
              <w:bottom w:val="single" w:sz="4" w:space="0" w:color="auto"/>
              <w:right w:val="single" w:sz="4" w:space="0" w:color="auto"/>
            </w:tcBorders>
            <w:vAlign w:val="center"/>
            <w:hideMark/>
          </w:tcPr>
          <w:p w14:paraId="55BDE9BC"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822497">
              <w:rPr>
                <w:b/>
                <w:bCs/>
                <w:sz w:val="20"/>
                <w:szCs w:val="20"/>
              </w:rPr>
              <w:t>Control</w:t>
            </w:r>
          </w:p>
        </w:tc>
        <w:tc>
          <w:tcPr>
            <w:tcW w:w="647" w:type="pct"/>
            <w:tcBorders>
              <w:top w:val="single" w:sz="4" w:space="0" w:color="auto"/>
              <w:left w:val="single" w:sz="4" w:space="0" w:color="auto"/>
              <w:bottom w:val="single" w:sz="4" w:space="0" w:color="auto"/>
              <w:right w:val="single" w:sz="4" w:space="0" w:color="auto"/>
            </w:tcBorders>
            <w:vAlign w:val="center"/>
          </w:tcPr>
          <w:p w14:paraId="71BCA703"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822497">
              <w:rPr>
                <w:b/>
                <w:bCs/>
                <w:sz w:val="20"/>
                <w:szCs w:val="20"/>
              </w:rPr>
              <w:t>0.5</w:t>
            </w:r>
          </w:p>
        </w:tc>
        <w:tc>
          <w:tcPr>
            <w:tcW w:w="647" w:type="pct"/>
            <w:tcBorders>
              <w:top w:val="single" w:sz="4" w:space="0" w:color="auto"/>
              <w:left w:val="single" w:sz="4" w:space="0" w:color="auto"/>
              <w:bottom w:val="single" w:sz="4" w:space="0" w:color="auto"/>
              <w:right w:val="single" w:sz="4" w:space="0" w:color="auto"/>
            </w:tcBorders>
            <w:vAlign w:val="center"/>
          </w:tcPr>
          <w:p w14:paraId="6D60167F"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822497">
              <w:rPr>
                <w:b/>
                <w:bCs/>
                <w:sz w:val="20"/>
                <w:szCs w:val="20"/>
              </w:rPr>
              <w:t>1.0</w:t>
            </w:r>
          </w:p>
        </w:tc>
        <w:tc>
          <w:tcPr>
            <w:tcW w:w="647" w:type="pct"/>
            <w:tcBorders>
              <w:top w:val="single" w:sz="4" w:space="0" w:color="auto"/>
              <w:left w:val="single" w:sz="4" w:space="0" w:color="auto"/>
              <w:bottom w:val="single" w:sz="4" w:space="0" w:color="auto"/>
              <w:right w:val="single" w:sz="4" w:space="0" w:color="auto"/>
            </w:tcBorders>
            <w:vAlign w:val="center"/>
          </w:tcPr>
          <w:p w14:paraId="1A4C0272"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822497">
              <w:rPr>
                <w:b/>
                <w:bCs/>
                <w:sz w:val="20"/>
                <w:szCs w:val="20"/>
              </w:rPr>
              <w:t>2.0</w:t>
            </w:r>
          </w:p>
        </w:tc>
        <w:tc>
          <w:tcPr>
            <w:tcW w:w="647" w:type="pct"/>
            <w:tcBorders>
              <w:top w:val="single" w:sz="4" w:space="0" w:color="auto"/>
              <w:left w:val="single" w:sz="4" w:space="0" w:color="auto"/>
              <w:bottom w:val="single" w:sz="4" w:space="0" w:color="auto"/>
              <w:right w:val="single" w:sz="4" w:space="0" w:color="auto"/>
            </w:tcBorders>
            <w:vAlign w:val="center"/>
          </w:tcPr>
          <w:p w14:paraId="71069013"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822497">
              <w:rPr>
                <w:b/>
                <w:bCs/>
                <w:sz w:val="20"/>
                <w:szCs w:val="20"/>
              </w:rPr>
              <w:t>4.0</w:t>
            </w:r>
          </w:p>
        </w:tc>
        <w:tc>
          <w:tcPr>
            <w:tcW w:w="682" w:type="pct"/>
            <w:tcBorders>
              <w:top w:val="single" w:sz="4" w:space="0" w:color="auto"/>
              <w:left w:val="single" w:sz="4" w:space="0" w:color="auto"/>
              <w:bottom w:val="single" w:sz="4" w:space="0" w:color="auto"/>
              <w:right w:val="single" w:sz="4" w:space="0" w:color="auto"/>
            </w:tcBorders>
            <w:vAlign w:val="center"/>
          </w:tcPr>
          <w:p w14:paraId="23D21FBE"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822497">
              <w:rPr>
                <w:b/>
                <w:bCs/>
                <w:sz w:val="20"/>
                <w:szCs w:val="20"/>
              </w:rPr>
              <w:t>8.0</w:t>
            </w:r>
          </w:p>
        </w:tc>
      </w:tr>
      <w:tr w:rsidR="00E51CDD" w:rsidRPr="00822497" w14:paraId="065AA5F0" w14:textId="77777777" w:rsidTr="009938D9">
        <w:trPr>
          <w:trHeight w:val="288"/>
        </w:trPr>
        <w:tc>
          <w:tcPr>
            <w:tcW w:w="1081" w:type="pct"/>
            <w:tcBorders>
              <w:top w:val="single" w:sz="4" w:space="0" w:color="auto"/>
              <w:left w:val="single" w:sz="4" w:space="0" w:color="auto"/>
              <w:bottom w:val="single" w:sz="4" w:space="0" w:color="auto"/>
              <w:right w:val="single" w:sz="4" w:space="0" w:color="auto"/>
            </w:tcBorders>
            <w:hideMark/>
          </w:tcPr>
          <w:p w14:paraId="77F8CD7A" w14:textId="77777777" w:rsidR="00E51CDD" w:rsidRPr="00822497" w:rsidRDefault="00E51CDD" w:rsidP="009938D9">
            <w:pPr>
              <w:keepLines/>
              <w:suppressAutoHyphens/>
              <w:overflowPunct w:val="0"/>
              <w:autoSpaceDE w:val="0"/>
              <w:autoSpaceDN w:val="0"/>
              <w:adjustRightInd w:val="0"/>
              <w:spacing w:before="40" w:after="40"/>
              <w:textAlignment w:val="baseline"/>
              <w:rPr>
                <w:sz w:val="20"/>
                <w:szCs w:val="20"/>
              </w:rPr>
            </w:pPr>
            <w:r w:rsidRPr="00822497">
              <w:rPr>
                <w:sz w:val="20"/>
                <w:szCs w:val="20"/>
              </w:rPr>
              <w:t>Mortality [%]</w:t>
            </w:r>
          </w:p>
        </w:tc>
        <w:tc>
          <w:tcPr>
            <w:tcW w:w="648" w:type="pct"/>
            <w:tcBorders>
              <w:top w:val="single" w:sz="4" w:space="0" w:color="auto"/>
              <w:left w:val="single" w:sz="4" w:space="0" w:color="auto"/>
              <w:bottom w:val="single" w:sz="4" w:space="0" w:color="auto"/>
              <w:right w:val="single" w:sz="4" w:space="0" w:color="auto"/>
            </w:tcBorders>
            <w:vAlign w:val="center"/>
            <w:hideMark/>
          </w:tcPr>
          <w:p w14:paraId="1EEFCB91"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0</w:t>
            </w:r>
          </w:p>
        </w:tc>
        <w:tc>
          <w:tcPr>
            <w:tcW w:w="647" w:type="pct"/>
            <w:tcBorders>
              <w:top w:val="single" w:sz="4" w:space="0" w:color="auto"/>
              <w:left w:val="single" w:sz="4" w:space="0" w:color="auto"/>
              <w:bottom w:val="single" w:sz="4" w:space="0" w:color="auto"/>
              <w:right w:val="single" w:sz="4" w:space="0" w:color="auto"/>
            </w:tcBorders>
            <w:vAlign w:val="center"/>
            <w:hideMark/>
          </w:tcPr>
          <w:p w14:paraId="70613218"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0</w:t>
            </w:r>
          </w:p>
        </w:tc>
        <w:tc>
          <w:tcPr>
            <w:tcW w:w="647" w:type="pct"/>
            <w:tcBorders>
              <w:top w:val="single" w:sz="4" w:space="0" w:color="auto"/>
              <w:left w:val="single" w:sz="4" w:space="0" w:color="auto"/>
              <w:bottom w:val="single" w:sz="4" w:space="0" w:color="auto"/>
              <w:right w:val="single" w:sz="4" w:space="0" w:color="auto"/>
            </w:tcBorders>
            <w:vAlign w:val="center"/>
            <w:hideMark/>
          </w:tcPr>
          <w:p w14:paraId="5BCBBA4E"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0</w:t>
            </w:r>
          </w:p>
        </w:tc>
        <w:tc>
          <w:tcPr>
            <w:tcW w:w="647" w:type="pct"/>
            <w:tcBorders>
              <w:top w:val="single" w:sz="4" w:space="0" w:color="auto"/>
              <w:left w:val="single" w:sz="4" w:space="0" w:color="auto"/>
              <w:bottom w:val="single" w:sz="4" w:space="0" w:color="auto"/>
              <w:right w:val="single" w:sz="4" w:space="0" w:color="auto"/>
            </w:tcBorders>
            <w:vAlign w:val="center"/>
            <w:hideMark/>
          </w:tcPr>
          <w:p w14:paraId="31B71848"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0</w:t>
            </w:r>
          </w:p>
        </w:tc>
        <w:tc>
          <w:tcPr>
            <w:tcW w:w="647" w:type="pct"/>
            <w:tcBorders>
              <w:top w:val="single" w:sz="4" w:space="0" w:color="auto"/>
              <w:left w:val="single" w:sz="4" w:space="0" w:color="auto"/>
              <w:bottom w:val="single" w:sz="4" w:space="0" w:color="auto"/>
              <w:right w:val="single" w:sz="4" w:space="0" w:color="auto"/>
            </w:tcBorders>
            <w:vAlign w:val="center"/>
            <w:hideMark/>
          </w:tcPr>
          <w:p w14:paraId="582B42BE"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100*</w:t>
            </w:r>
          </w:p>
        </w:tc>
        <w:tc>
          <w:tcPr>
            <w:tcW w:w="682" w:type="pct"/>
            <w:tcBorders>
              <w:top w:val="single" w:sz="4" w:space="0" w:color="auto"/>
              <w:left w:val="single" w:sz="4" w:space="0" w:color="auto"/>
              <w:bottom w:val="single" w:sz="4" w:space="0" w:color="auto"/>
              <w:right w:val="single" w:sz="4" w:space="0" w:color="auto"/>
            </w:tcBorders>
            <w:vAlign w:val="center"/>
            <w:hideMark/>
          </w:tcPr>
          <w:p w14:paraId="0EAC62E5"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100*</w:t>
            </w:r>
          </w:p>
        </w:tc>
      </w:tr>
      <w:tr w:rsidR="00E51CDD" w:rsidRPr="00822497" w14:paraId="6AD8321E" w14:textId="77777777" w:rsidTr="009938D9">
        <w:trPr>
          <w:trHeight w:val="288"/>
        </w:trPr>
        <w:tc>
          <w:tcPr>
            <w:tcW w:w="1081" w:type="pct"/>
            <w:tcBorders>
              <w:top w:val="single" w:sz="4" w:space="0" w:color="auto"/>
              <w:left w:val="single" w:sz="4" w:space="0" w:color="auto"/>
              <w:bottom w:val="single" w:sz="4" w:space="0" w:color="auto"/>
              <w:right w:val="single" w:sz="4" w:space="0" w:color="auto"/>
            </w:tcBorders>
            <w:vAlign w:val="center"/>
            <w:hideMark/>
          </w:tcPr>
          <w:p w14:paraId="5E9CAB3F" w14:textId="77777777" w:rsidR="00E51CDD" w:rsidRPr="00822497" w:rsidRDefault="00E51CDD" w:rsidP="009938D9">
            <w:pPr>
              <w:keepLines/>
              <w:suppressAutoHyphens/>
              <w:overflowPunct w:val="0"/>
              <w:autoSpaceDE w:val="0"/>
              <w:autoSpaceDN w:val="0"/>
              <w:adjustRightInd w:val="0"/>
              <w:spacing w:before="40" w:after="40"/>
              <w:textAlignment w:val="baseline"/>
              <w:rPr>
                <w:sz w:val="20"/>
                <w:szCs w:val="20"/>
              </w:rPr>
            </w:pPr>
            <w:r w:rsidRPr="00822497">
              <w:rPr>
                <w:sz w:val="20"/>
                <w:szCs w:val="20"/>
              </w:rPr>
              <w:t>Symptoms</w:t>
            </w:r>
            <w:r w:rsidRPr="00822497">
              <w:rPr>
                <w:sz w:val="20"/>
                <w:szCs w:val="20"/>
                <w:vertAlign w:val="superscript"/>
              </w:rPr>
              <w:t> 1)</w:t>
            </w:r>
          </w:p>
        </w:tc>
        <w:tc>
          <w:tcPr>
            <w:tcW w:w="648" w:type="pct"/>
            <w:tcBorders>
              <w:top w:val="single" w:sz="4" w:space="0" w:color="auto"/>
              <w:left w:val="single" w:sz="4" w:space="0" w:color="auto"/>
              <w:bottom w:val="single" w:sz="4" w:space="0" w:color="auto"/>
              <w:right w:val="single" w:sz="4" w:space="0" w:color="auto"/>
            </w:tcBorders>
            <w:vAlign w:val="center"/>
            <w:hideMark/>
          </w:tcPr>
          <w:p w14:paraId="3B627F88"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none</w:t>
            </w:r>
          </w:p>
        </w:tc>
        <w:tc>
          <w:tcPr>
            <w:tcW w:w="647" w:type="pct"/>
            <w:tcBorders>
              <w:top w:val="single" w:sz="4" w:space="0" w:color="auto"/>
              <w:left w:val="single" w:sz="4" w:space="0" w:color="auto"/>
              <w:bottom w:val="single" w:sz="4" w:space="0" w:color="auto"/>
              <w:right w:val="single" w:sz="4" w:space="0" w:color="auto"/>
            </w:tcBorders>
            <w:vAlign w:val="center"/>
            <w:hideMark/>
          </w:tcPr>
          <w:p w14:paraId="4CC3509C"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none</w:t>
            </w:r>
          </w:p>
        </w:tc>
        <w:tc>
          <w:tcPr>
            <w:tcW w:w="647" w:type="pct"/>
            <w:tcBorders>
              <w:top w:val="single" w:sz="4" w:space="0" w:color="auto"/>
              <w:left w:val="single" w:sz="4" w:space="0" w:color="auto"/>
              <w:bottom w:val="single" w:sz="4" w:space="0" w:color="auto"/>
              <w:right w:val="single" w:sz="4" w:space="0" w:color="auto"/>
            </w:tcBorders>
            <w:vAlign w:val="center"/>
            <w:hideMark/>
          </w:tcPr>
          <w:p w14:paraId="7BF84018"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none</w:t>
            </w:r>
          </w:p>
        </w:tc>
        <w:tc>
          <w:tcPr>
            <w:tcW w:w="647" w:type="pct"/>
            <w:tcBorders>
              <w:top w:val="single" w:sz="4" w:space="0" w:color="auto"/>
              <w:left w:val="single" w:sz="4" w:space="0" w:color="auto"/>
              <w:bottom w:val="single" w:sz="4" w:space="0" w:color="auto"/>
              <w:right w:val="single" w:sz="4" w:space="0" w:color="auto"/>
            </w:tcBorders>
            <w:vAlign w:val="center"/>
            <w:hideMark/>
          </w:tcPr>
          <w:p w14:paraId="7DBFC73C"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none</w:t>
            </w:r>
          </w:p>
        </w:tc>
        <w:tc>
          <w:tcPr>
            <w:tcW w:w="647" w:type="pct"/>
            <w:tcBorders>
              <w:top w:val="single" w:sz="4" w:space="0" w:color="auto"/>
              <w:left w:val="single" w:sz="4" w:space="0" w:color="auto"/>
              <w:bottom w:val="single" w:sz="4" w:space="0" w:color="auto"/>
              <w:right w:val="single" w:sz="4" w:space="0" w:color="auto"/>
            </w:tcBorders>
            <w:vAlign w:val="center"/>
            <w:hideMark/>
          </w:tcPr>
          <w:p w14:paraId="414B4601"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n.d.</w:t>
            </w:r>
          </w:p>
        </w:tc>
        <w:tc>
          <w:tcPr>
            <w:tcW w:w="682" w:type="pct"/>
            <w:tcBorders>
              <w:top w:val="single" w:sz="4" w:space="0" w:color="auto"/>
              <w:left w:val="single" w:sz="4" w:space="0" w:color="auto"/>
              <w:bottom w:val="single" w:sz="4" w:space="0" w:color="auto"/>
              <w:right w:val="single" w:sz="4" w:space="0" w:color="auto"/>
            </w:tcBorders>
            <w:vAlign w:val="center"/>
            <w:hideMark/>
          </w:tcPr>
          <w:p w14:paraId="7FC95BEB"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n.d.</w:t>
            </w:r>
          </w:p>
        </w:tc>
      </w:tr>
      <w:tr w:rsidR="00E51CDD" w:rsidRPr="007330A6" w14:paraId="4AE0A0C5" w14:textId="77777777" w:rsidTr="009938D9">
        <w:trPr>
          <w:trHeight w:val="288"/>
        </w:trPr>
        <w:tc>
          <w:tcPr>
            <w:tcW w:w="1081" w:type="pct"/>
            <w:tcBorders>
              <w:top w:val="single" w:sz="4" w:space="0" w:color="auto"/>
              <w:left w:val="single" w:sz="4" w:space="0" w:color="auto"/>
              <w:bottom w:val="single" w:sz="4" w:space="0" w:color="auto"/>
              <w:right w:val="single" w:sz="4" w:space="0" w:color="auto"/>
            </w:tcBorders>
          </w:tcPr>
          <w:p w14:paraId="03078A89" w14:textId="77777777" w:rsidR="00E51CDD" w:rsidRPr="00822497" w:rsidRDefault="00E51CDD" w:rsidP="009938D9">
            <w:pPr>
              <w:keepLines/>
              <w:suppressAutoHyphens/>
              <w:overflowPunct w:val="0"/>
              <w:autoSpaceDE w:val="0"/>
              <w:autoSpaceDN w:val="0"/>
              <w:adjustRightInd w:val="0"/>
              <w:spacing w:before="40" w:after="40"/>
              <w:textAlignment w:val="baseline"/>
              <w:rPr>
                <w:sz w:val="20"/>
                <w:szCs w:val="20"/>
              </w:rPr>
            </w:pPr>
          </w:p>
        </w:tc>
        <w:tc>
          <w:tcPr>
            <w:tcW w:w="3919" w:type="pct"/>
            <w:gridSpan w:val="6"/>
            <w:tcBorders>
              <w:top w:val="single" w:sz="4" w:space="0" w:color="auto"/>
              <w:left w:val="single" w:sz="4" w:space="0" w:color="auto"/>
              <w:bottom w:val="single" w:sz="4" w:space="0" w:color="auto"/>
              <w:right w:val="single" w:sz="4" w:space="0" w:color="auto"/>
            </w:tcBorders>
            <w:vAlign w:val="center"/>
            <w:hideMark/>
          </w:tcPr>
          <w:p w14:paraId="535A50F5" w14:textId="77777777" w:rsidR="00E51CDD" w:rsidRPr="00E0404D" w:rsidRDefault="00E51CDD" w:rsidP="009938D9">
            <w:pPr>
              <w:keepLines/>
              <w:suppressAutoHyphens/>
              <w:overflowPunct w:val="0"/>
              <w:autoSpaceDE w:val="0"/>
              <w:autoSpaceDN w:val="0"/>
              <w:adjustRightInd w:val="0"/>
              <w:spacing w:before="40" w:after="40"/>
              <w:jc w:val="center"/>
              <w:textAlignment w:val="baseline"/>
              <w:rPr>
                <w:b/>
                <w:bCs/>
                <w:sz w:val="20"/>
                <w:szCs w:val="20"/>
                <w:lang w:val="fr-FR"/>
              </w:rPr>
            </w:pPr>
            <w:r w:rsidRPr="00E0404D">
              <w:rPr>
                <w:b/>
                <w:bCs/>
                <w:sz w:val="20"/>
                <w:szCs w:val="20"/>
                <w:lang w:val="fr-FR"/>
              </w:rPr>
              <w:t>Endpoints [mg BAS 736 00 F/L]</w:t>
            </w:r>
            <w:r w:rsidRPr="00E0404D">
              <w:rPr>
                <w:b/>
                <w:sz w:val="20"/>
                <w:szCs w:val="20"/>
                <w:lang w:val="fr-FR"/>
              </w:rPr>
              <w:t xml:space="preserve"> (nominal)</w:t>
            </w:r>
          </w:p>
        </w:tc>
      </w:tr>
      <w:tr w:rsidR="00E51CDD" w:rsidRPr="00822497" w14:paraId="3765CC0D" w14:textId="77777777" w:rsidTr="009938D9">
        <w:trPr>
          <w:trHeight w:val="288"/>
        </w:trPr>
        <w:tc>
          <w:tcPr>
            <w:tcW w:w="1081" w:type="pct"/>
            <w:tcBorders>
              <w:top w:val="single" w:sz="4" w:space="0" w:color="auto"/>
              <w:left w:val="single" w:sz="4" w:space="0" w:color="auto"/>
              <w:bottom w:val="single" w:sz="4" w:space="0" w:color="auto"/>
              <w:right w:val="single" w:sz="4" w:space="0" w:color="auto"/>
            </w:tcBorders>
            <w:hideMark/>
          </w:tcPr>
          <w:p w14:paraId="26848746" w14:textId="77777777" w:rsidR="00E51CDD" w:rsidRPr="00822497" w:rsidRDefault="00E51CDD" w:rsidP="009938D9">
            <w:pPr>
              <w:keepLines/>
              <w:suppressAutoHyphens/>
              <w:overflowPunct w:val="0"/>
              <w:autoSpaceDE w:val="0"/>
              <w:autoSpaceDN w:val="0"/>
              <w:adjustRightInd w:val="0"/>
              <w:spacing w:before="40" w:after="40"/>
              <w:textAlignment w:val="baseline"/>
              <w:rPr>
                <w:sz w:val="20"/>
                <w:szCs w:val="20"/>
              </w:rPr>
            </w:pPr>
            <w:r w:rsidRPr="00822497">
              <w:rPr>
                <w:sz w:val="20"/>
                <w:szCs w:val="20"/>
              </w:rPr>
              <w:t>LC</w:t>
            </w:r>
            <w:r w:rsidRPr="00822497">
              <w:rPr>
                <w:sz w:val="20"/>
                <w:szCs w:val="20"/>
                <w:vertAlign w:val="subscript"/>
              </w:rPr>
              <w:t>50</w:t>
            </w:r>
            <w:r w:rsidRPr="00822497">
              <w:rPr>
                <w:sz w:val="20"/>
                <w:szCs w:val="20"/>
              </w:rPr>
              <w:t xml:space="preserve"> (96 h)</w:t>
            </w:r>
          </w:p>
        </w:tc>
        <w:tc>
          <w:tcPr>
            <w:tcW w:w="3919" w:type="pct"/>
            <w:gridSpan w:val="6"/>
            <w:tcBorders>
              <w:top w:val="single" w:sz="4" w:space="0" w:color="auto"/>
              <w:left w:val="single" w:sz="4" w:space="0" w:color="auto"/>
              <w:bottom w:val="single" w:sz="4" w:space="0" w:color="auto"/>
              <w:right w:val="single" w:sz="4" w:space="0" w:color="auto"/>
            </w:tcBorders>
            <w:vAlign w:val="center"/>
            <w:hideMark/>
          </w:tcPr>
          <w:p w14:paraId="45465CE0" w14:textId="77777777" w:rsidR="00E51CDD" w:rsidRPr="00822497" w:rsidRDefault="00E51CDD" w:rsidP="009938D9">
            <w:pPr>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2.83 (95% confidence limits: n.c.)</w:t>
            </w:r>
          </w:p>
        </w:tc>
      </w:tr>
      <w:tr w:rsidR="00E51CDD" w:rsidRPr="00822497" w14:paraId="0637B977" w14:textId="77777777" w:rsidTr="009938D9">
        <w:trPr>
          <w:trHeight w:val="288"/>
        </w:trPr>
        <w:tc>
          <w:tcPr>
            <w:tcW w:w="1081" w:type="pct"/>
            <w:tcBorders>
              <w:top w:val="single" w:sz="4" w:space="0" w:color="auto"/>
              <w:left w:val="single" w:sz="4" w:space="0" w:color="auto"/>
              <w:bottom w:val="single" w:sz="4" w:space="0" w:color="auto"/>
              <w:right w:val="single" w:sz="4" w:space="0" w:color="auto"/>
            </w:tcBorders>
            <w:hideMark/>
          </w:tcPr>
          <w:p w14:paraId="5751DDEC" w14:textId="77777777" w:rsidR="00E51CDD" w:rsidRPr="00822497" w:rsidRDefault="00E51CDD" w:rsidP="009938D9">
            <w:pPr>
              <w:keepLines/>
              <w:suppressAutoHyphens/>
              <w:overflowPunct w:val="0"/>
              <w:autoSpaceDE w:val="0"/>
              <w:autoSpaceDN w:val="0"/>
              <w:adjustRightInd w:val="0"/>
              <w:spacing w:before="40" w:after="40"/>
              <w:textAlignment w:val="baseline"/>
              <w:rPr>
                <w:sz w:val="20"/>
                <w:szCs w:val="20"/>
              </w:rPr>
            </w:pPr>
            <w:r w:rsidRPr="00822497">
              <w:rPr>
                <w:sz w:val="20"/>
                <w:szCs w:val="20"/>
              </w:rPr>
              <w:t>NOEC (96 h)</w:t>
            </w:r>
          </w:p>
        </w:tc>
        <w:tc>
          <w:tcPr>
            <w:tcW w:w="3919" w:type="pct"/>
            <w:gridSpan w:val="6"/>
            <w:tcBorders>
              <w:top w:val="single" w:sz="4" w:space="0" w:color="auto"/>
              <w:left w:val="single" w:sz="4" w:space="0" w:color="auto"/>
              <w:bottom w:val="single" w:sz="4" w:space="0" w:color="auto"/>
              <w:right w:val="single" w:sz="4" w:space="0" w:color="auto"/>
            </w:tcBorders>
            <w:vAlign w:val="center"/>
            <w:hideMark/>
          </w:tcPr>
          <w:p w14:paraId="7ABB8058" w14:textId="77777777" w:rsidR="00E51CDD" w:rsidRPr="00822497" w:rsidRDefault="00E51CDD" w:rsidP="009938D9">
            <w:pPr>
              <w:keepNext/>
              <w:keepLines/>
              <w:suppressAutoHyphens/>
              <w:overflowPunct w:val="0"/>
              <w:autoSpaceDE w:val="0"/>
              <w:autoSpaceDN w:val="0"/>
              <w:adjustRightInd w:val="0"/>
              <w:spacing w:before="40" w:after="40"/>
              <w:jc w:val="center"/>
              <w:textAlignment w:val="baseline"/>
              <w:rPr>
                <w:sz w:val="20"/>
                <w:szCs w:val="20"/>
              </w:rPr>
            </w:pPr>
            <w:r w:rsidRPr="00822497">
              <w:rPr>
                <w:sz w:val="20"/>
                <w:szCs w:val="20"/>
              </w:rPr>
              <w:t>2.0</w:t>
            </w:r>
          </w:p>
        </w:tc>
      </w:tr>
    </w:tbl>
    <w:p w14:paraId="22D2C9B2" w14:textId="77777777" w:rsidR="00E51CDD" w:rsidRPr="00822497" w:rsidRDefault="00E51CDD" w:rsidP="00E51CDD">
      <w:pPr>
        <w:keepLines/>
        <w:suppressAutoHyphens/>
        <w:spacing w:before="120"/>
        <w:ind w:left="284" w:hanging="284"/>
        <w:rPr>
          <w:sz w:val="16"/>
          <w:szCs w:val="20"/>
        </w:rPr>
      </w:pPr>
      <w:r w:rsidRPr="00822497">
        <w:rPr>
          <w:sz w:val="16"/>
          <w:szCs w:val="20"/>
        </w:rPr>
        <w:t>n.d. = not determined; all fish dead; n.c. = not calculated due to mathematical reasons.</w:t>
      </w:r>
    </w:p>
    <w:p w14:paraId="0B9085BD" w14:textId="77777777" w:rsidR="00E51CDD" w:rsidRPr="00822497" w:rsidRDefault="00E51CDD" w:rsidP="00E51CDD">
      <w:pPr>
        <w:keepLines/>
        <w:suppressAutoHyphens/>
        <w:ind w:left="284" w:hanging="284"/>
        <w:rPr>
          <w:b/>
          <w:bCs/>
          <w:sz w:val="16"/>
          <w:szCs w:val="20"/>
        </w:rPr>
      </w:pPr>
      <w:r w:rsidRPr="00822497">
        <w:rPr>
          <w:sz w:val="16"/>
          <w:szCs w:val="20"/>
        </w:rPr>
        <w:t>*</w:t>
      </w:r>
      <w:r w:rsidRPr="00822497">
        <w:rPr>
          <w:sz w:val="16"/>
          <w:szCs w:val="20"/>
        </w:rPr>
        <w:tab/>
        <w:t>Statistically significant difference compared to control (step-down Cochran-Armitage, α = 0.05)</w:t>
      </w:r>
    </w:p>
    <w:p w14:paraId="42674F7E" w14:textId="77777777" w:rsidR="00E51CDD" w:rsidRPr="00822497" w:rsidRDefault="00E51CDD" w:rsidP="00E51CDD">
      <w:pPr>
        <w:keepLines/>
        <w:suppressAutoHyphens/>
        <w:ind w:left="284" w:hanging="284"/>
        <w:rPr>
          <w:sz w:val="16"/>
          <w:szCs w:val="20"/>
        </w:rPr>
      </w:pPr>
      <w:r w:rsidRPr="00822497">
        <w:rPr>
          <w:sz w:val="16"/>
          <w:szCs w:val="20"/>
          <w:vertAlign w:val="superscript"/>
        </w:rPr>
        <w:t>1)</w:t>
      </w:r>
      <w:r w:rsidRPr="00822497">
        <w:rPr>
          <w:sz w:val="16"/>
          <w:szCs w:val="20"/>
        </w:rPr>
        <w:tab/>
        <w:t>Symptoms have only been observed in earlier time points. Fish either recovered (2.0 mg/L) or died (4 mg/L) until test end.</w:t>
      </w:r>
    </w:p>
    <w:p w14:paraId="10617895" w14:textId="77777777" w:rsidR="00E51CDD" w:rsidRPr="00822497" w:rsidRDefault="00E51CDD" w:rsidP="00E51CDD">
      <w:pPr>
        <w:suppressAutoHyphens/>
        <w:rPr>
          <w:szCs w:val="24"/>
        </w:rPr>
      </w:pPr>
    </w:p>
    <w:p w14:paraId="065B9D83" w14:textId="77777777" w:rsidR="00E51CDD" w:rsidRPr="00822497" w:rsidRDefault="00E51CDD" w:rsidP="00E51CDD">
      <w:pPr>
        <w:suppressAutoHyphens/>
        <w:jc w:val="both"/>
        <w:rPr>
          <w:lang w:eastAsia="en-US"/>
        </w:rPr>
      </w:pPr>
    </w:p>
    <w:tbl>
      <w:tblPr>
        <w:tblStyle w:val="Tabela-Siatka"/>
        <w:tblW w:w="0" w:type="auto"/>
        <w:tblLook w:val="04A0" w:firstRow="1" w:lastRow="0" w:firstColumn="1" w:lastColumn="0" w:noHBand="0" w:noVBand="1"/>
      </w:tblPr>
      <w:tblGrid>
        <w:gridCol w:w="7150"/>
        <w:gridCol w:w="2194"/>
      </w:tblGrid>
      <w:tr w:rsidR="00E51CDD" w:rsidRPr="00433B09" w14:paraId="7F10ABF2" w14:textId="77777777" w:rsidTr="009938D9">
        <w:tc>
          <w:tcPr>
            <w:tcW w:w="7338" w:type="dxa"/>
            <w:tcBorders>
              <w:top w:val="single" w:sz="4" w:space="0" w:color="auto"/>
              <w:left w:val="single" w:sz="4" w:space="0" w:color="auto"/>
              <w:bottom w:val="single" w:sz="4" w:space="0" w:color="auto"/>
              <w:right w:val="single" w:sz="4" w:space="0" w:color="auto"/>
            </w:tcBorders>
            <w:hideMark/>
          </w:tcPr>
          <w:p w14:paraId="03B6529B" w14:textId="77777777" w:rsidR="00E51CDD" w:rsidRPr="00433B09" w:rsidRDefault="00E51CDD" w:rsidP="009938D9">
            <w:pPr>
              <w:suppressAutoHyphens/>
              <w:jc w:val="both"/>
              <w:rPr>
                <w:sz w:val="20"/>
                <w:szCs w:val="20"/>
                <w:lang w:eastAsia="en-US"/>
              </w:rPr>
            </w:pPr>
            <w:r w:rsidRPr="00433B09">
              <w:rPr>
                <w:b/>
                <w:bCs/>
                <w:sz w:val="20"/>
                <w:szCs w:val="20"/>
              </w:rPr>
              <w:t>Validity criteria according to OECD 203 (2019)</w:t>
            </w:r>
          </w:p>
        </w:tc>
        <w:tc>
          <w:tcPr>
            <w:tcW w:w="2232" w:type="dxa"/>
            <w:tcBorders>
              <w:top w:val="single" w:sz="4" w:space="0" w:color="auto"/>
              <w:left w:val="single" w:sz="4" w:space="0" w:color="auto"/>
              <w:bottom w:val="single" w:sz="4" w:space="0" w:color="auto"/>
              <w:right w:val="single" w:sz="4" w:space="0" w:color="auto"/>
            </w:tcBorders>
            <w:vAlign w:val="center"/>
            <w:hideMark/>
          </w:tcPr>
          <w:p w14:paraId="048BB7A3" w14:textId="77777777" w:rsidR="00E51CDD" w:rsidRPr="00433B09" w:rsidRDefault="00E51CDD" w:rsidP="009938D9">
            <w:pPr>
              <w:suppressAutoHyphens/>
              <w:jc w:val="both"/>
              <w:rPr>
                <w:sz w:val="20"/>
                <w:szCs w:val="20"/>
                <w:lang w:eastAsia="en-US"/>
              </w:rPr>
            </w:pPr>
            <w:r w:rsidRPr="00433B09">
              <w:rPr>
                <w:b/>
                <w:bCs/>
                <w:sz w:val="20"/>
                <w:szCs w:val="20"/>
              </w:rPr>
              <w:t xml:space="preserve">Obtained in this study </w:t>
            </w:r>
          </w:p>
        </w:tc>
      </w:tr>
      <w:tr w:rsidR="00E51CDD" w:rsidRPr="00433B09" w14:paraId="35B869EE" w14:textId="77777777" w:rsidTr="009938D9">
        <w:tc>
          <w:tcPr>
            <w:tcW w:w="7338" w:type="dxa"/>
            <w:tcBorders>
              <w:top w:val="single" w:sz="4" w:space="0" w:color="auto"/>
              <w:left w:val="single" w:sz="4" w:space="0" w:color="auto"/>
              <w:bottom w:val="single" w:sz="4" w:space="0" w:color="auto"/>
              <w:right w:val="single" w:sz="4" w:space="0" w:color="auto"/>
            </w:tcBorders>
            <w:hideMark/>
          </w:tcPr>
          <w:p w14:paraId="3DA16AE9" w14:textId="77777777" w:rsidR="00E51CDD" w:rsidRPr="00433B09" w:rsidRDefault="00E51CDD" w:rsidP="009938D9">
            <w:pPr>
              <w:suppressAutoHyphens/>
              <w:jc w:val="both"/>
              <w:rPr>
                <w:sz w:val="20"/>
                <w:szCs w:val="20"/>
                <w:lang w:eastAsia="en-US"/>
              </w:rPr>
            </w:pPr>
            <w:r w:rsidRPr="00433B09">
              <w:rPr>
                <w:sz w:val="20"/>
                <w:szCs w:val="20"/>
              </w:rPr>
              <w:t>In the control(s) (dilution water control, solvent control), the mortality should not exceed 10% (or one fish, if fewer than 10 control fish are tested) at the end of the exposure</w:t>
            </w:r>
          </w:p>
        </w:tc>
        <w:tc>
          <w:tcPr>
            <w:tcW w:w="2232" w:type="dxa"/>
            <w:tcBorders>
              <w:top w:val="single" w:sz="4" w:space="0" w:color="auto"/>
              <w:left w:val="single" w:sz="4" w:space="0" w:color="auto"/>
              <w:bottom w:val="single" w:sz="4" w:space="0" w:color="auto"/>
              <w:right w:val="single" w:sz="4" w:space="0" w:color="auto"/>
            </w:tcBorders>
            <w:hideMark/>
          </w:tcPr>
          <w:p w14:paraId="748F3A31" w14:textId="77777777" w:rsidR="00E51CDD" w:rsidRPr="00433B09" w:rsidRDefault="00E51CDD" w:rsidP="009938D9">
            <w:pPr>
              <w:suppressAutoHyphens/>
              <w:jc w:val="both"/>
              <w:rPr>
                <w:sz w:val="20"/>
                <w:szCs w:val="20"/>
                <w:lang w:eastAsia="en-US"/>
              </w:rPr>
            </w:pPr>
            <w:r w:rsidRPr="00433B09">
              <w:rPr>
                <w:sz w:val="20"/>
                <w:szCs w:val="20"/>
                <w:lang w:eastAsia="en-US"/>
              </w:rPr>
              <w:t>0%</w:t>
            </w:r>
          </w:p>
        </w:tc>
      </w:tr>
      <w:tr w:rsidR="00E51CDD" w:rsidRPr="00433B09" w14:paraId="0726C94C" w14:textId="77777777" w:rsidTr="009938D9">
        <w:tc>
          <w:tcPr>
            <w:tcW w:w="7338" w:type="dxa"/>
            <w:tcBorders>
              <w:top w:val="single" w:sz="4" w:space="0" w:color="auto"/>
              <w:left w:val="single" w:sz="4" w:space="0" w:color="auto"/>
              <w:bottom w:val="single" w:sz="4" w:space="0" w:color="auto"/>
              <w:right w:val="single" w:sz="4" w:space="0" w:color="auto"/>
            </w:tcBorders>
            <w:hideMark/>
          </w:tcPr>
          <w:p w14:paraId="7EC49A50" w14:textId="77777777" w:rsidR="00E51CDD" w:rsidRPr="00433B09" w:rsidRDefault="00E51CDD" w:rsidP="009938D9">
            <w:pPr>
              <w:suppressAutoHyphens/>
              <w:jc w:val="both"/>
              <w:rPr>
                <w:sz w:val="20"/>
                <w:szCs w:val="20"/>
                <w:lang w:eastAsia="en-US"/>
              </w:rPr>
            </w:pPr>
            <w:r w:rsidRPr="00433B09">
              <w:rPr>
                <w:sz w:val="20"/>
                <w:szCs w:val="20"/>
              </w:rPr>
              <w:t>The dissolved oxygen concentration must have been at least 60% of the air saturation value throughout the test</w:t>
            </w:r>
          </w:p>
        </w:tc>
        <w:tc>
          <w:tcPr>
            <w:tcW w:w="2232" w:type="dxa"/>
            <w:tcBorders>
              <w:top w:val="single" w:sz="4" w:space="0" w:color="auto"/>
              <w:left w:val="single" w:sz="4" w:space="0" w:color="auto"/>
              <w:bottom w:val="single" w:sz="4" w:space="0" w:color="auto"/>
              <w:right w:val="single" w:sz="4" w:space="0" w:color="auto"/>
            </w:tcBorders>
            <w:hideMark/>
          </w:tcPr>
          <w:p w14:paraId="5760DA82" w14:textId="77777777" w:rsidR="00E51CDD" w:rsidRPr="00433B09" w:rsidRDefault="00E51CDD" w:rsidP="009938D9">
            <w:pPr>
              <w:suppressAutoHyphens/>
              <w:spacing w:before="40" w:after="40"/>
              <w:jc w:val="left"/>
              <w:rPr>
                <w:sz w:val="20"/>
                <w:szCs w:val="20"/>
              </w:rPr>
            </w:pPr>
            <w:r w:rsidRPr="00433B09">
              <w:rPr>
                <w:sz w:val="20"/>
                <w:szCs w:val="20"/>
              </w:rPr>
              <w:t xml:space="preserve">&gt; 60% </w:t>
            </w:r>
          </w:p>
          <w:p w14:paraId="39AB9959" w14:textId="77777777" w:rsidR="00E51CDD" w:rsidRPr="00433B09" w:rsidRDefault="00E51CDD" w:rsidP="009938D9">
            <w:pPr>
              <w:suppressAutoHyphens/>
              <w:jc w:val="left"/>
              <w:rPr>
                <w:sz w:val="20"/>
                <w:szCs w:val="20"/>
                <w:lang w:eastAsia="en-US"/>
              </w:rPr>
            </w:pPr>
            <w:r w:rsidRPr="00433B09">
              <w:rPr>
                <w:sz w:val="20"/>
                <w:szCs w:val="20"/>
              </w:rPr>
              <w:t>(70 – 97%)</w:t>
            </w:r>
          </w:p>
        </w:tc>
      </w:tr>
    </w:tbl>
    <w:p w14:paraId="7605138A" w14:textId="77777777" w:rsidR="00E51CDD" w:rsidRPr="00822497" w:rsidRDefault="00E51CDD" w:rsidP="00E51CDD">
      <w:pPr>
        <w:suppressAutoHyphens/>
        <w:rPr>
          <w:sz w:val="24"/>
          <w:szCs w:val="24"/>
          <w:lang w:eastAsia="en-US"/>
        </w:rPr>
      </w:pPr>
    </w:p>
    <w:p w14:paraId="3BCB9868" w14:textId="77777777" w:rsidR="00E51CDD" w:rsidRPr="00822497" w:rsidRDefault="00E51CDD" w:rsidP="00E51CDD">
      <w:pPr>
        <w:suppressAutoHyphens/>
        <w:rPr>
          <w:sz w:val="24"/>
          <w:szCs w:val="24"/>
          <w:lang w:eastAsia="en-US"/>
        </w:rPr>
      </w:pPr>
    </w:p>
    <w:p w14:paraId="585E40EA" w14:textId="77777777" w:rsidR="00E51CDD" w:rsidRPr="00822497" w:rsidRDefault="00E51CDD" w:rsidP="00E51CDD">
      <w:pPr>
        <w:tabs>
          <w:tab w:val="left" w:pos="425"/>
          <w:tab w:val="left" w:pos="850"/>
        </w:tabs>
        <w:suppressAutoHyphens/>
        <w:ind w:left="2835" w:hanging="2835"/>
        <w:jc w:val="both"/>
        <w:rPr>
          <w:b/>
          <w:bCs/>
          <w:lang w:eastAsia="en-US"/>
        </w:rPr>
      </w:pPr>
      <w:r w:rsidRPr="00822497">
        <w:rPr>
          <w:b/>
          <w:bCs/>
          <w:lang w:eastAsia="en-US"/>
        </w:rPr>
        <w:t>III.</w:t>
      </w:r>
      <w:r w:rsidRPr="00822497">
        <w:rPr>
          <w:b/>
          <w:bCs/>
          <w:lang w:eastAsia="en-US"/>
        </w:rPr>
        <w:tab/>
        <w:t>CONCLUSION</w:t>
      </w:r>
    </w:p>
    <w:p w14:paraId="32ED2E98" w14:textId="77777777" w:rsidR="00E51CDD" w:rsidRPr="00822497" w:rsidRDefault="00E51CDD" w:rsidP="00E51CDD">
      <w:pPr>
        <w:keepNext/>
        <w:suppressAutoHyphens/>
        <w:rPr>
          <w:szCs w:val="24"/>
        </w:rPr>
      </w:pPr>
    </w:p>
    <w:p w14:paraId="50215209" w14:textId="77777777" w:rsidR="00E51CDD" w:rsidRPr="00822497" w:rsidRDefault="00E51CDD" w:rsidP="00E51CDD">
      <w:pPr>
        <w:keepNext/>
        <w:suppressAutoHyphens/>
        <w:jc w:val="both"/>
        <w:rPr>
          <w:b/>
          <w:szCs w:val="24"/>
        </w:rPr>
      </w:pPr>
      <w:r w:rsidRPr="00822497">
        <w:rPr>
          <w:b/>
          <w:szCs w:val="24"/>
        </w:rPr>
        <w:t xml:space="preserve">In a </w:t>
      </w:r>
      <w:r>
        <w:rPr>
          <w:b/>
          <w:szCs w:val="24"/>
        </w:rPr>
        <w:t xml:space="preserve">96-hour </w:t>
      </w:r>
      <w:r w:rsidRPr="00822497">
        <w:rPr>
          <w:b/>
          <w:szCs w:val="24"/>
        </w:rPr>
        <w:t>static acute toxicity study on rainbow trout, the LC</w:t>
      </w:r>
      <w:r w:rsidRPr="00822497">
        <w:rPr>
          <w:b/>
          <w:szCs w:val="24"/>
          <w:vertAlign w:val="subscript"/>
        </w:rPr>
        <w:t>50</w:t>
      </w:r>
      <w:r w:rsidRPr="00822497">
        <w:rPr>
          <w:b/>
          <w:szCs w:val="24"/>
        </w:rPr>
        <w:t xml:space="preserve"> (96 h) of BAS 736 00 F was 2.83 mg/L based on nominal concentrations. The NOEC (96 h) was determined to be 2.0 mg/L (nominal).</w:t>
      </w:r>
    </w:p>
    <w:p w14:paraId="295514CA" w14:textId="77777777" w:rsidR="00E51CDD" w:rsidRPr="00822497" w:rsidRDefault="00E51CDD" w:rsidP="00E51CDD">
      <w:pPr>
        <w:suppressAutoHyphens/>
      </w:pPr>
    </w:p>
    <w:p w14:paraId="400B43FA" w14:textId="77777777" w:rsidR="00E51CDD" w:rsidRPr="00822497" w:rsidRDefault="00E51CDD" w:rsidP="00E51CDD"/>
    <w:p w14:paraId="0B3BA950" w14:textId="77777777" w:rsidR="00E51CDD" w:rsidRPr="00004CB8" w:rsidRDefault="00E51CDD" w:rsidP="00E51CDD">
      <w:pPr>
        <w:pStyle w:val="RepStandard"/>
        <w:rPr>
          <w:lang w:val="en-US"/>
        </w:rPr>
      </w:pPr>
    </w:p>
    <w:p w14:paraId="0ADB0D3A" w14:textId="77777777" w:rsidR="00E51CDD" w:rsidRPr="00B16C79" w:rsidRDefault="00E51CDD" w:rsidP="00E51CDD">
      <w:pPr>
        <w:pStyle w:val="RepAppendix4"/>
      </w:pPr>
      <w:r>
        <w:br w:type="page"/>
      </w:r>
      <w:r w:rsidRPr="00B16C79">
        <w:lastRenderedPageBreak/>
        <w:t>Study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7FEFB0C9" w14:textId="77777777" w:rsidTr="009D1A79">
        <w:trPr>
          <w:trHeight w:val="1056"/>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970F2A" w14:textId="77777777" w:rsidR="00E51CDD" w:rsidRDefault="00E51CDD" w:rsidP="009938D9">
            <w:pPr>
              <w:pStyle w:val="RepStandard"/>
              <w:rPr>
                <w:rFonts w:eastAsia="Batang"/>
              </w:rPr>
            </w:pPr>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6526B9" w14:textId="4E110C49" w:rsidR="00B6556A" w:rsidRPr="007A6328" w:rsidRDefault="00B6556A" w:rsidP="00B6556A">
            <w:pPr>
              <w:pStyle w:val="RepStandard"/>
              <w:rPr>
                <w:color w:val="000000"/>
              </w:rPr>
            </w:pPr>
            <w:r w:rsidRPr="007A6328">
              <w:rPr>
                <w:color w:val="000000"/>
              </w:rPr>
              <w:t>The study was conducted to OECD guideline 20</w:t>
            </w:r>
            <w:r>
              <w:rPr>
                <w:color w:val="000000"/>
              </w:rPr>
              <w:t>2</w:t>
            </w:r>
            <w:r w:rsidRPr="007A6328">
              <w:rPr>
                <w:color w:val="000000"/>
              </w:rPr>
              <w:t xml:space="preserve"> and according to the principles of GLP. No deviations to the guideline were noted. All validity criteria were met.</w:t>
            </w:r>
          </w:p>
          <w:p w14:paraId="378B3C7B" w14:textId="77777777" w:rsidR="00B6556A" w:rsidRDefault="00B6556A" w:rsidP="00B6556A">
            <w:pPr>
              <w:pStyle w:val="RepStandard"/>
              <w:rPr>
                <w:color w:val="000000"/>
              </w:rPr>
            </w:pPr>
            <w:r w:rsidRPr="007A6328">
              <w:rPr>
                <w:color w:val="000000"/>
              </w:rPr>
              <w:t xml:space="preserve">The study is considered to be reliable </w:t>
            </w:r>
            <w:r w:rsidRPr="007A6328">
              <w:t>and suitable for the risk assessment</w:t>
            </w:r>
            <w:r w:rsidRPr="007A6328">
              <w:rPr>
                <w:color w:val="000000"/>
              </w:rPr>
              <w:t>.</w:t>
            </w:r>
          </w:p>
          <w:p w14:paraId="0E2D6E5D" w14:textId="739C1A24" w:rsidR="00E51CDD" w:rsidRDefault="00B6556A" w:rsidP="00B6556A">
            <w:pPr>
              <w:pStyle w:val="RepStandard"/>
              <w:rPr>
                <w:rFonts w:eastAsia="Batang"/>
              </w:rPr>
            </w:pPr>
            <w:r>
              <w:rPr>
                <w:rFonts w:eastAsia="Calibri"/>
                <w:lang w:eastAsia="de-AT"/>
              </w:rPr>
              <w:t>T</w:t>
            </w:r>
            <w:r w:rsidRPr="00034B15">
              <w:rPr>
                <w:rFonts w:eastAsia="Calibri"/>
                <w:lang w:eastAsia="de-AT"/>
              </w:rPr>
              <w:t>he</w:t>
            </w:r>
            <w:r w:rsidRPr="007A6328">
              <w:t xml:space="preserve"> results refer to nominal concentrations</w:t>
            </w:r>
            <w:r>
              <w:t>.</w:t>
            </w:r>
          </w:p>
        </w:tc>
      </w:tr>
    </w:tbl>
    <w:p w14:paraId="295E0868"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2CC28D43" w14:textId="77777777" w:rsidTr="009938D9">
        <w:trPr>
          <w:gridAfter w:val="1"/>
          <w:wAfter w:w="9" w:type="pct"/>
        </w:trPr>
        <w:tc>
          <w:tcPr>
            <w:tcW w:w="1340" w:type="pct"/>
            <w:hideMark/>
          </w:tcPr>
          <w:p w14:paraId="17753B26" w14:textId="77777777" w:rsidR="00E51CDD" w:rsidRDefault="00E51CDD" w:rsidP="009938D9">
            <w:pPr>
              <w:pStyle w:val="RepStandard"/>
              <w:rPr>
                <w:lang w:val="de-DE"/>
              </w:rPr>
            </w:pPr>
            <w:r>
              <w:t>Reference:</w:t>
            </w:r>
          </w:p>
        </w:tc>
        <w:tc>
          <w:tcPr>
            <w:tcW w:w="3651" w:type="pct"/>
            <w:hideMark/>
          </w:tcPr>
          <w:p w14:paraId="076AF195" w14:textId="77777777" w:rsidR="00E51CDD" w:rsidRDefault="00E51CDD" w:rsidP="009938D9">
            <w:pPr>
              <w:pStyle w:val="RepStandard"/>
            </w:pPr>
            <w:r>
              <w:t>CP 10.2.1/2</w:t>
            </w:r>
          </w:p>
        </w:tc>
      </w:tr>
      <w:tr w:rsidR="00E51CDD" w14:paraId="764200A7" w14:textId="77777777" w:rsidTr="009938D9">
        <w:trPr>
          <w:gridAfter w:val="1"/>
          <w:wAfter w:w="9" w:type="pct"/>
        </w:trPr>
        <w:tc>
          <w:tcPr>
            <w:tcW w:w="1340" w:type="pct"/>
            <w:hideMark/>
          </w:tcPr>
          <w:p w14:paraId="3EB21CA8" w14:textId="77777777" w:rsidR="00E51CDD" w:rsidRDefault="00E51CDD" w:rsidP="009938D9">
            <w:pPr>
              <w:pStyle w:val="RepStandard"/>
              <w:spacing w:after="120"/>
            </w:pPr>
            <w:r>
              <w:t>Report</w:t>
            </w:r>
          </w:p>
        </w:tc>
        <w:tc>
          <w:tcPr>
            <w:tcW w:w="3651" w:type="pct"/>
            <w:hideMark/>
          </w:tcPr>
          <w:p w14:paraId="5202204A" w14:textId="77777777" w:rsidR="00E51CDD" w:rsidRDefault="00E51CDD" w:rsidP="009938D9">
            <w:pPr>
              <w:pStyle w:val="RepStandard"/>
              <w:spacing w:after="120"/>
              <w:rPr>
                <w:lang w:val="en-US"/>
              </w:rPr>
            </w:pPr>
            <w:r>
              <w:rPr>
                <w:lang w:val="en-US"/>
              </w:rPr>
              <w:t>BAS 736 00 F: Toxicity to the water flea Daphnia magna Straus under laboratory conditions (Acute Immobilisation test - static),</w:t>
            </w:r>
          </w:p>
          <w:p w14:paraId="369D86C2" w14:textId="77777777" w:rsidR="00E51CDD" w:rsidRDefault="00E51CDD" w:rsidP="009938D9">
            <w:pPr>
              <w:pStyle w:val="RepStandard"/>
              <w:spacing w:after="120"/>
              <w:rPr>
                <w:lang w:val="en-US"/>
              </w:rPr>
            </w:pPr>
            <w:r>
              <w:rPr>
                <w:lang w:val="en-US"/>
              </w:rPr>
              <w:t>Lang, C., 2020</w:t>
            </w:r>
          </w:p>
          <w:p w14:paraId="54478C14" w14:textId="77777777" w:rsidR="00E51CDD" w:rsidRDefault="00E51CDD" w:rsidP="009938D9">
            <w:pPr>
              <w:pStyle w:val="RepStandard"/>
              <w:spacing w:after="120"/>
              <w:rPr>
                <w:lang w:val="en-US"/>
              </w:rPr>
            </w:pPr>
            <w:r>
              <w:rPr>
                <w:lang w:val="en-US"/>
              </w:rPr>
              <w:t>report No 849662, S19-20422</w:t>
            </w:r>
          </w:p>
          <w:p w14:paraId="57D5BFAB" w14:textId="77777777" w:rsidR="00E51CDD" w:rsidRDefault="00E51CDD" w:rsidP="009938D9">
            <w:pPr>
              <w:pStyle w:val="RepStandard"/>
              <w:spacing w:after="120"/>
            </w:pPr>
            <w:r>
              <w:rPr>
                <w:lang w:val="en-US"/>
              </w:rPr>
              <w:t>2019/2039622</w:t>
            </w:r>
          </w:p>
          <w:p w14:paraId="3E26EC3F" w14:textId="77777777" w:rsidR="00E51CDD" w:rsidRDefault="00E51CDD" w:rsidP="009938D9">
            <w:pPr>
              <w:pStyle w:val="RepStandard"/>
            </w:pPr>
            <w:r>
              <w:t>Authority registration No</w:t>
            </w:r>
          </w:p>
        </w:tc>
      </w:tr>
      <w:tr w:rsidR="00E51CDD" w14:paraId="72E42CAD" w14:textId="77777777" w:rsidTr="009938D9">
        <w:trPr>
          <w:gridAfter w:val="1"/>
          <w:wAfter w:w="9" w:type="pct"/>
        </w:trPr>
        <w:tc>
          <w:tcPr>
            <w:tcW w:w="1340" w:type="pct"/>
            <w:hideMark/>
          </w:tcPr>
          <w:p w14:paraId="5D2009B7" w14:textId="77777777" w:rsidR="00E51CDD" w:rsidRDefault="00E51CDD" w:rsidP="009938D9">
            <w:pPr>
              <w:pStyle w:val="RepStandard"/>
            </w:pPr>
            <w:r>
              <w:t>Guideline(s):</w:t>
            </w:r>
          </w:p>
        </w:tc>
        <w:tc>
          <w:tcPr>
            <w:tcW w:w="3651" w:type="pct"/>
            <w:hideMark/>
          </w:tcPr>
          <w:p w14:paraId="3121A5D8" w14:textId="77777777" w:rsidR="00E51CDD" w:rsidRDefault="00E51CDD" w:rsidP="009938D9">
            <w:pPr>
              <w:pStyle w:val="RepStandard"/>
              <w:spacing w:after="120"/>
            </w:pPr>
            <w:r>
              <w:rPr>
                <w:lang w:val="en-US"/>
              </w:rPr>
              <w:t>OECD 202 (2004)</w:t>
            </w:r>
          </w:p>
        </w:tc>
      </w:tr>
      <w:tr w:rsidR="00E51CDD" w14:paraId="2971BB24" w14:textId="77777777" w:rsidTr="009938D9">
        <w:trPr>
          <w:gridAfter w:val="1"/>
          <w:wAfter w:w="9" w:type="pct"/>
        </w:trPr>
        <w:tc>
          <w:tcPr>
            <w:tcW w:w="1340" w:type="pct"/>
            <w:hideMark/>
          </w:tcPr>
          <w:p w14:paraId="3692E78D" w14:textId="77777777" w:rsidR="00E51CDD" w:rsidRDefault="00E51CDD" w:rsidP="009938D9">
            <w:pPr>
              <w:pStyle w:val="RepStandard"/>
            </w:pPr>
            <w:r>
              <w:t>Deviations:</w:t>
            </w:r>
          </w:p>
        </w:tc>
        <w:tc>
          <w:tcPr>
            <w:tcW w:w="3651" w:type="pct"/>
            <w:hideMark/>
          </w:tcPr>
          <w:p w14:paraId="3CC9EC0E" w14:textId="77777777" w:rsidR="00E51CDD" w:rsidRDefault="00E51CDD" w:rsidP="009938D9">
            <w:pPr>
              <w:pStyle w:val="RepStandard"/>
              <w:spacing w:after="120"/>
            </w:pPr>
            <w:r>
              <w:t>No</w:t>
            </w:r>
          </w:p>
        </w:tc>
      </w:tr>
      <w:tr w:rsidR="00E51CDD" w:rsidRPr="00662F32" w14:paraId="780E9A54" w14:textId="77777777" w:rsidTr="009938D9">
        <w:tc>
          <w:tcPr>
            <w:tcW w:w="1340" w:type="pct"/>
            <w:hideMark/>
          </w:tcPr>
          <w:p w14:paraId="0B2516B1" w14:textId="77777777" w:rsidR="00E51CDD" w:rsidRDefault="00E51CDD" w:rsidP="009938D9">
            <w:pPr>
              <w:pStyle w:val="RepStandard"/>
            </w:pPr>
            <w:r>
              <w:t>GLP:</w:t>
            </w:r>
          </w:p>
        </w:tc>
        <w:tc>
          <w:tcPr>
            <w:tcW w:w="3660" w:type="pct"/>
            <w:gridSpan w:val="2"/>
            <w:hideMark/>
          </w:tcPr>
          <w:p w14:paraId="28E44A23" w14:textId="77777777" w:rsidR="00E51CDD" w:rsidRPr="00B16C79" w:rsidRDefault="00E51CDD" w:rsidP="009938D9">
            <w:pPr>
              <w:tabs>
                <w:tab w:val="left" w:pos="425"/>
                <w:tab w:val="left" w:pos="850"/>
              </w:tabs>
              <w:spacing w:after="120"/>
              <w:ind w:left="1985" w:hanging="1985"/>
              <w:rPr>
                <w:b/>
                <w:lang w:val="de-DE"/>
              </w:rPr>
            </w:pPr>
            <w:r w:rsidRPr="00B16C79">
              <w:rPr>
                <w:lang w:val="de-DE"/>
              </w:rPr>
              <w:t>yes</w:t>
            </w:r>
          </w:p>
          <w:p w14:paraId="58FCDF47" w14:textId="77777777" w:rsidR="00E51CDD" w:rsidRPr="00B16C79" w:rsidRDefault="00E51CDD" w:rsidP="009938D9">
            <w:pPr>
              <w:pStyle w:val="RepStandard"/>
              <w:spacing w:after="120"/>
              <w:jc w:val="left"/>
              <w:rPr>
                <w:lang w:val="de-DE"/>
              </w:rPr>
            </w:pPr>
            <w:r w:rsidRPr="00B16C79">
              <w:rPr>
                <w:lang w:val="de-DE"/>
              </w:rPr>
              <w:t xml:space="preserve">(certified by LUBW Landesanstalt fuer Umwelt Baden-Wuerttemberg, Karlsruhe, Germany), </w:t>
            </w:r>
          </w:p>
        </w:tc>
      </w:tr>
      <w:tr w:rsidR="00E51CDD" w14:paraId="0BBCA430" w14:textId="77777777" w:rsidTr="009938D9">
        <w:trPr>
          <w:gridAfter w:val="1"/>
          <w:wAfter w:w="9" w:type="pct"/>
        </w:trPr>
        <w:tc>
          <w:tcPr>
            <w:tcW w:w="1340" w:type="pct"/>
            <w:hideMark/>
          </w:tcPr>
          <w:p w14:paraId="63438C2A" w14:textId="77777777" w:rsidR="00E51CDD" w:rsidRDefault="00E51CDD" w:rsidP="009938D9">
            <w:pPr>
              <w:pStyle w:val="RepStandard"/>
              <w:rPr>
                <w:lang w:val="de-DE"/>
              </w:rPr>
            </w:pPr>
            <w:r>
              <w:t>Acceptability:</w:t>
            </w:r>
          </w:p>
        </w:tc>
        <w:tc>
          <w:tcPr>
            <w:tcW w:w="3651" w:type="pct"/>
            <w:hideMark/>
          </w:tcPr>
          <w:p w14:paraId="316506A5" w14:textId="77777777" w:rsidR="00E51CDD" w:rsidRDefault="00E51CDD" w:rsidP="009938D9">
            <w:pPr>
              <w:pStyle w:val="RepStandard"/>
            </w:pPr>
            <w:r>
              <w:t xml:space="preserve">Yes </w:t>
            </w:r>
          </w:p>
        </w:tc>
      </w:tr>
      <w:tr w:rsidR="00E51CDD" w14:paraId="0959846B" w14:textId="77777777" w:rsidTr="009938D9">
        <w:trPr>
          <w:gridAfter w:val="1"/>
          <w:wAfter w:w="9" w:type="pct"/>
        </w:trPr>
        <w:tc>
          <w:tcPr>
            <w:tcW w:w="1340" w:type="pct"/>
            <w:hideMark/>
          </w:tcPr>
          <w:p w14:paraId="5EF37A69" w14:textId="77777777" w:rsidR="00E51CDD" w:rsidRDefault="00E51CDD" w:rsidP="009938D9">
            <w:pPr>
              <w:pStyle w:val="RepStandard"/>
            </w:pPr>
            <w:r>
              <w:t xml:space="preserve">Duplication </w:t>
            </w:r>
            <w:r>
              <w:br/>
              <w:t>(if vertebrate study)</w:t>
            </w:r>
          </w:p>
        </w:tc>
        <w:tc>
          <w:tcPr>
            <w:tcW w:w="3651" w:type="pct"/>
            <w:hideMark/>
          </w:tcPr>
          <w:p w14:paraId="3DABF818" w14:textId="77777777" w:rsidR="00E51CDD" w:rsidRPr="00B16C79" w:rsidRDefault="00E51CDD" w:rsidP="009938D9">
            <w:pPr>
              <w:pStyle w:val="RepStandard"/>
              <w:spacing w:after="120"/>
            </w:pPr>
            <w:r>
              <w:t xml:space="preserve">No </w:t>
            </w:r>
          </w:p>
        </w:tc>
      </w:tr>
    </w:tbl>
    <w:p w14:paraId="4A39AC3A" w14:textId="77777777" w:rsidR="00E51CDD" w:rsidRPr="00B16C79" w:rsidRDefault="00E51CDD" w:rsidP="00E51CDD">
      <w:pPr>
        <w:pStyle w:val="RepStandard"/>
        <w:rPr>
          <w:lang w:val="en-US"/>
        </w:rPr>
      </w:pPr>
    </w:p>
    <w:p w14:paraId="2190FF1E" w14:textId="77777777" w:rsidR="00E51CDD" w:rsidRPr="003630CE" w:rsidRDefault="00E51CDD" w:rsidP="00E51CDD">
      <w:pPr>
        <w:tabs>
          <w:tab w:val="left" w:pos="425"/>
          <w:tab w:val="left" w:pos="850"/>
        </w:tabs>
        <w:suppressAutoHyphens/>
        <w:ind w:left="2837" w:hanging="2837"/>
        <w:jc w:val="both"/>
        <w:rPr>
          <w:b/>
          <w:bCs/>
          <w:lang w:eastAsia="en-US"/>
        </w:rPr>
      </w:pPr>
      <w:r w:rsidRPr="003630CE">
        <w:rPr>
          <w:b/>
          <w:bCs/>
          <w:sz w:val="24"/>
          <w:lang w:eastAsia="en-US"/>
        </w:rPr>
        <w:t>Executive</w:t>
      </w:r>
      <w:r w:rsidRPr="003630CE">
        <w:rPr>
          <w:b/>
          <w:bCs/>
          <w:lang w:eastAsia="en-US"/>
        </w:rPr>
        <w:t xml:space="preserve"> Summary</w:t>
      </w:r>
    </w:p>
    <w:p w14:paraId="5297F7C4" w14:textId="77777777" w:rsidR="00E51CDD" w:rsidRPr="003630CE" w:rsidRDefault="00E51CDD" w:rsidP="00E51CDD">
      <w:pPr>
        <w:widowControl w:val="0"/>
        <w:suppressAutoHyphens/>
        <w:jc w:val="both"/>
      </w:pPr>
    </w:p>
    <w:p w14:paraId="2B08FA30" w14:textId="77777777" w:rsidR="00E51CDD" w:rsidRPr="003630CE" w:rsidRDefault="00E51CDD" w:rsidP="00E51CDD">
      <w:pPr>
        <w:suppressAutoHyphens/>
        <w:jc w:val="both"/>
      </w:pPr>
      <w:r w:rsidRPr="003630CE">
        <w:t xml:space="preserve">In a 48-hour static acute toxicity laboratory study, water flea neonates were exposed to BAS 736 00 F at nominal concentrations of </w:t>
      </w:r>
      <w:r w:rsidRPr="003630CE">
        <w:rPr>
          <w:szCs w:val="24"/>
        </w:rPr>
        <w:t>0 (control), 0.5, 1.0, 2.0, 4.0 and 8.0 mg BAS 736 00 H</w:t>
      </w:r>
      <w:r w:rsidRPr="003630CE">
        <w:t xml:space="preserve">/L in 4 replicates per concentration, containing 5 daphnids each. Daphnids were observed for immobility 24 hours and 48 hours after the start of exposure. </w:t>
      </w:r>
    </w:p>
    <w:p w14:paraId="1272D111" w14:textId="77777777" w:rsidR="00E51CDD" w:rsidRPr="003630CE" w:rsidRDefault="00E51CDD" w:rsidP="00E51CDD">
      <w:pPr>
        <w:suppressAutoHyphens/>
        <w:rPr>
          <w:szCs w:val="24"/>
        </w:rPr>
      </w:pPr>
    </w:p>
    <w:p w14:paraId="59CB338B" w14:textId="77777777" w:rsidR="00E51CDD" w:rsidRPr="00921B5F" w:rsidRDefault="00E51CDD" w:rsidP="00E51CDD">
      <w:pPr>
        <w:suppressAutoHyphens/>
        <w:jc w:val="both"/>
      </w:pPr>
      <w:r w:rsidRPr="003630CE">
        <w:t xml:space="preserve">The biological results are based on nominal concentrations. After 48 hours of exposure no immobility </w:t>
      </w:r>
      <w:r w:rsidRPr="00921B5F">
        <w:t xml:space="preserve">occurred at nominal concentrations up to and including </w:t>
      </w:r>
      <w:r>
        <w:t>1</w:t>
      </w:r>
      <w:r w:rsidRPr="00921B5F">
        <w:t xml:space="preserve">.0 mg BAS 736 00 F/L, whereas 85, 100 and 100% of the daphnids were immobile at 2.0, 4.0 and 8.0 mg BAS 736 00 F/L, respectively, which was a statistically significant increase in immobility compared to the control. No other sublethal effects were observed </w:t>
      </w:r>
      <w:r>
        <w:t xml:space="preserve">in the control and all test item concentrations </w:t>
      </w:r>
      <w:r w:rsidRPr="00921B5F">
        <w:t>during the test.</w:t>
      </w:r>
    </w:p>
    <w:p w14:paraId="63854871" w14:textId="77777777" w:rsidR="00E51CDD" w:rsidRPr="008A06B6" w:rsidRDefault="00E51CDD" w:rsidP="00E51CDD">
      <w:pPr>
        <w:suppressAutoHyphens/>
        <w:jc w:val="both"/>
        <w:rPr>
          <w:color w:val="0070C0"/>
          <w:szCs w:val="24"/>
        </w:rPr>
      </w:pPr>
    </w:p>
    <w:p w14:paraId="0B38F4F1" w14:textId="77777777" w:rsidR="00E51CDD" w:rsidRPr="00921B5F" w:rsidRDefault="00E51CDD" w:rsidP="00E51CDD">
      <w:pPr>
        <w:suppressAutoHyphens/>
        <w:jc w:val="both"/>
        <w:rPr>
          <w:b/>
          <w:bCs/>
          <w:szCs w:val="24"/>
        </w:rPr>
      </w:pPr>
      <w:r w:rsidRPr="00921B5F">
        <w:rPr>
          <w:b/>
          <w:bCs/>
          <w:szCs w:val="24"/>
        </w:rPr>
        <w:t xml:space="preserve">In a </w:t>
      </w:r>
      <w:r>
        <w:rPr>
          <w:b/>
          <w:bCs/>
          <w:szCs w:val="24"/>
        </w:rPr>
        <w:t xml:space="preserve">48-hour </w:t>
      </w:r>
      <w:r w:rsidRPr="00921B5F">
        <w:rPr>
          <w:b/>
          <w:bCs/>
          <w:szCs w:val="24"/>
        </w:rPr>
        <w:t xml:space="preserve">static acute toxicity study on </w:t>
      </w:r>
      <w:r w:rsidRPr="00921B5F">
        <w:rPr>
          <w:b/>
          <w:bCs/>
          <w:i/>
          <w:iCs/>
          <w:szCs w:val="24"/>
        </w:rPr>
        <w:t>Daphnia magna,</w:t>
      </w:r>
      <w:r w:rsidRPr="00921B5F">
        <w:rPr>
          <w:b/>
          <w:bCs/>
          <w:szCs w:val="24"/>
        </w:rPr>
        <w:t xml:space="preserve"> the EC</w:t>
      </w:r>
      <w:r w:rsidRPr="00921B5F">
        <w:rPr>
          <w:b/>
          <w:bCs/>
          <w:szCs w:val="24"/>
          <w:vertAlign w:val="subscript"/>
        </w:rPr>
        <w:t>50</w:t>
      </w:r>
      <w:r w:rsidRPr="00921B5F">
        <w:rPr>
          <w:b/>
          <w:bCs/>
          <w:szCs w:val="24"/>
        </w:rPr>
        <w:t xml:space="preserve"> (48 h) of BAS 736 00 F was 1.57 mg/L based on nominal concentrations. The NOEC was determined to be 1.0 mg/L (nominal). </w:t>
      </w:r>
    </w:p>
    <w:p w14:paraId="23196585" w14:textId="77777777" w:rsidR="00E51CDD" w:rsidRPr="008A06B6" w:rsidRDefault="00E51CDD" w:rsidP="00E51CDD">
      <w:pPr>
        <w:tabs>
          <w:tab w:val="left" w:pos="425"/>
          <w:tab w:val="left" w:pos="850"/>
        </w:tabs>
        <w:suppressAutoHyphens/>
        <w:jc w:val="both"/>
        <w:rPr>
          <w:color w:val="0070C0"/>
          <w:sz w:val="24"/>
          <w:szCs w:val="24"/>
          <w:lang w:eastAsia="en-US"/>
        </w:rPr>
      </w:pPr>
    </w:p>
    <w:p w14:paraId="205859FD" w14:textId="77777777" w:rsidR="00E51CDD" w:rsidRPr="008A06B6" w:rsidRDefault="00E51CDD" w:rsidP="00E51CDD">
      <w:pPr>
        <w:tabs>
          <w:tab w:val="left" w:pos="425"/>
          <w:tab w:val="left" w:pos="850"/>
        </w:tabs>
        <w:suppressAutoHyphens/>
        <w:jc w:val="both"/>
        <w:rPr>
          <w:color w:val="0070C0"/>
          <w:sz w:val="24"/>
          <w:szCs w:val="24"/>
          <w:lang w:eastAsia="en-US"/>
        </w:rPr>
      </w:pPr>
      <w:r>
        <w:rPr>
          <w:color w:val="0070C0"/>
          <w:sz w:val="24"/>
          <w:szCs w:val="24"/>
          <w:lang w:eastAsia="en-US"/>
        </w:rPr>
        <w:br w:type="page"/>
      </w:r>
    </w:p>
    <w:p w14:paraId="7880FB00" w14:textId="77777777" w:rsidR="00E51CDD" w:rsidRPr="008A06B6" w:rsidRDefault="00E51CDD" w:rsidP="00E51CDD">
      <w:pPr>
        <w:tabs>
          <w:tab w:val="left" w:pos="425"/>
          <w:tab w:val="left" w:pos="850"/>
        </w:tabs>
        <w:suppressAutoHyphens/>
        <w:ind w:left="2835" w:hanging="2835"/>
        <w:jc w:val="both"/>
        <w:rPr>
          <w:b/>
          <w:bCs/>
          <w:lang w:eastAsia="en-US"/>
        </w:rPr>
      </w:pPr>
      <w:r w:rsidRPr="008A06B6">
        <w:rPr>
          <w:b/>
          <w:bCs/>
          <w:lang w:eastAsia="en-US"/>
        </w:rPr>
        <w:lastRenderedPageBreak/>
        <w:t>I.</w:t>
      </w:r>
      <w:r w:rsidRPr="008A06B6">
        <w:rPr>
          <w:b/>
          <w:bCs/>
          <w:lang w:eastAsia="en-US"/>
        </w:rPr>
        <w:tab/>
        <w:t>MATERIAL AND METHODS</w:t>
      </w:r>
    </w:p>
    <w:p w14:paraId="072A22C5" w14:textId="77777777" w:rsidR="00E51CDD" w:rsidRPr="008A06B6" w:rsidRDefault="00E51CDD" w:rsidP="00E51CDD">
      <w:pPr>
        <w:suppressAutoHyphens/>
        <w:rPr>
          <w:sz w:val="24"/>
          <w:szCs w:val="24"/>
          <w:lang w:eastAsia="en-US"/>
        </w:rPr>
      </w:pPr>
    </w:p>
    <w:p w14:paraId="7684851A" w14:textId="77777777" w:rsidR="00E51CDD" w:rsidRPr="008A06B6" w:rsidRDefault="00E51CDD" w:rsidP="00E51CDD">
      <w:pPr>
        <w:tabs>
          <w:tab w:val="left" w:pos="425"/>
          <w:tab w:val="left" w:pos="850"/>
        </w:tabs>
        <w:suppressAutoHyphens/>
        <w:ind w:left="2835" w:hanging="2835"/>
        <w:jc w:val="both"/>
        <w:rPr>
          <w:b/>
          <w:bCs/>
          <w:lang w:eastAsia="en-US"/>
        </w:rPr>
      </w:pPr>
      <w:r w:rsidRPr="008A06B6">
        <w:rPr>
          <w:b/>
          <w:bCs/>
          <w:lang w:eastAsia="en-US"/>
        </w:rPr>
        <w:t>A.</w:t>
      </w:r>
      <w:r w:rsidRPr="008A06B6">
        <w:rPr>
          <w:b/>
          <w:bCs/>
          <w:lang w:eastAsia="en-US"/>
        </w:rPr>
        <w:tab/>
        <w:t>MATERIALS</w:t>
      </w:r>
    </w:p>
    <w:p w14:paraId="54F336B9" w14:textId="77777777" w:rsidR="00E51CDD" w:rsidRPr="008A06B6" w:rsidRDefault="00E51CDD" w:rsidP="00E51CDD">
      <w:pPr>
        <w:suppressAutoHyphens/>
        <w:ind w:left="2040" w:hanging="2040"/>
        <w:jc w:val="both"/>
        <w:rPr>
          <w:szCs w:val="24"/>
        </w:rPr>
      </w:pPr>
    </w:p>
    <w:p w14:paraId="11872FDA" w14:textId="77777777" w:rsidR="00E51CDD" w:rsidRPr="008A06B6" w:rsidRDefault="00E51CDD" w:rsidP="00E51CDD">
      <w:pPr>
        <w:suppressAutoHyphens/>
        <w:ind w:left="2268" w:hanging="2268"/>
        <w:jc w:val="both"/>
        <w:rPr>
          <w:szCs w:val="24"/>
        </w:rPr>
      </w:pPr>
      <w:r w:rsidRPr="008A06B6">
        <w:rPr>
          <w:szCs w:val="24"/>
        </w:rPr>
        <w:t xml:space="preserve">Test item: </w:t>
      </w:r>
      <w:r w:rsidRPr="008A06B6">
        <w:rPr>
          <w:szCs w:val="24"/>
        </w:rPr>
        <w:tab/>
        <w:t>BAS 736 00 F, batch no. FD-190220-0002, content of a.s.: azoxystrobin (BAS 9164 F, reg. no. 300254: 73.9 g/L (nominal: 75.0 g/L), fluxapyroxad (BAS 700 F, reg. no. 5094351): 49.4 g/L (nominal: 50.0 g/L); density: 1.078 g/cm³.</w:t>
      </w:r>
    </w:p>
    <w:p w14:paraId="0A436D1B" w14:textId="77777777" w:rsidR="00E51CDD" w:rsidRPr="008A06B6" w:rsidRDefault="00E51CDD" w:rsidP="00E51CDD">
      <w:pPr>
        <w:suppressAutoHyphens/>
        <w:ind w:left="2268" w:hanging="2268"/>
        <w:jc w:val="both"/>
        <w:rPr>
          <w:sz w:val="24"/>
          <w:szCs w:val="24"/>
          <w:lang w:eastAsia="en-US"/>
        </w:rPr>
      </w:pPr>
    </w:p>
    <w:p w14:paraId="57BD4D0B" w14:textId="77777777" w:rsidR="00E51CDD" w:rsidRPr="00703846" w:rsidRDefault="00E51CDD" w:rsidP="00E51CDD">
      <w:pPr>
        <w:tabs>
          <w:tab w:val="left" w:pos="425"/>
          <w:tab w:val="left" w:pos="850"/>
        </w:tabs>
        <w:suppressAutoHyphens/>
        <w:ind w:left="2835" w:hanging="2835"/>
        <w:jc w:val="both"/>
        <w:rPr>
          <w:b/>
          <w:bCs/>
          <w:lang w:eastAsia="en-US"/>
        </w:rPr>
      </w:pPr>
      <w:r w:rsidRPr="00703846">
        <w:rPr>
          <w:b/>
          <w:bCs/>
          <w:lang w:eastAsia="en-US"/>
        </w:rPr>
        <w:t>B.</w:t>
      </w:r>
      <w:r w:rsidRPr="00703846">
        <w:rPr>
          <w:b/>
          <w:bCs/>
          <w:lang w:eastAsia="en-US"/>
        </w:rPr>
        <w:tab/>
        <w:t>STUDY DESIGN</w:t>
      </w:r>
    </w:p>
    <w:p w14:paraId="14418D98" w14:textId="77777777" w:rsidR="00E51CDD" w:rsidRPr="00703846" w:rsidRDefault="00E51CDD" w:rsidP="00E51CDD">
      <w:pPr>
        <w:tabs>
          <w:tab w:val="left" w:pos="425"/>
          <w:tab w:val="left" w:pos="850"/>
        </w:tabs>
        <w:suppressAutoHyphens/>
        <w:ind w:left="2268" w:hanging="2268"/>
        <w:jc w:val="both"/>
        <w:rPr>
          <w:rFonts w:ascii="Arial" w:hAnsi="Arial" w:cs="Arial"/>
          <w:b/>
          <w:bCs/>
          <w:sz w:val="24"/>
          <w:szCs w:val="24"/>
          <w:lang w:eastAsia="en-US"/>
        </w:rPr>
      </w:pPr>
    </w:p>
    <w:p w14:paraId="31E1B798" w14:textId="77777777" w:rsidR="00E51CDD" w:rsidRPr="00703846" w:rsidRDefault="00E51CDD" w:rsidP="00E51CDD">
      <w:pPr>
        <w:suppressAutoHyphens/>
        <w:ind w:left="2268" w:hanging="2268"/>
        <w:jc w:val="both"/>
        <w:rPr>
          <w:szCs w:val="24"/>
        </w:rPr>
      </w:pPr>
      <w:r w:rsidRPr="00703846">
        <w:rPr>
          <w:szCs w:val="24"/>
        </w:rPr>
        <w:t xml:space="preserve">Test species: </w:t>
      </w:r>
      <w:r w:rsidRPr="00703846">
        <w:rPr>
          <w:szCs w:val="24"/>
        </w:rPr>
        <w:tab/>
        <w:t>Water flea (</w:t>
      </w:r>
      <w:r w:rsidRPr="00703846">
        <w:rPr>
          <w:i/>
          <w:iCs/>
          <w:szCs w:val="24"/>
        </w:rPr>
        <w:t>Daphnia magna</w:t>
      </w:r>
      <w:r w:rsidRPr="00703846">
        <w:rPr>
          <w:szCs w:val="24"/>
        </w:rPr>
        <w:t xml:space="preserve"> STRAUS), clone V, not first-brood progeny, neonates collected from in house culture less than 24 hours old at test initiation</w:t>
      </w:r>
      <w:r>
        <w:rPr>
          <w:szCs w:val="24"/>
        </w:rPr>
        <w:t>, originally obtained from Federal Environmental agency, Berlin, Germany</w:t>
      </w:r>
      <w:r w:rsidRPr="00703846">
        <w:rPr>
          <w:szCs w:val="24"/>
        </w:rPr>
        <w:t>.</w:t>
      </w:r>
    </w:p>
    <w:p w14:paraId="3B4CFE9D" w14:textId="77777777" w:rsidR="00E51CDD" w:rsidRPr="00703846" w:rsidRDefault="00E51CDD" w:rsidP="00E51CDD">
      <w:pPr>
        <w:suppressAutoHyphens/>
        <w:ind w:left="2268" w:hanging="2268"/>
        <w:jc w:val="both"/>
        <w:rPr>
          <w:szCs w:val="24"/>
        </w:rPr>
      </w:pPr>
    </w:p>
    <w:p w14:paraId="13D08FF3" w14:textId="77777777" w:rsidR="00E51CDD" w:rsidRPr="00703846" w:rsidRDefault="00E51CDD" w:rsidP="00E51CDD">
      <w:pPr>
        <w:suppressAutoHyphens/>
        <w:ind w:left="2268" w:hanging="2268"/>
        <w:jc w:val="both"/>
        <w:rPr>
          <w:szCs w:val="24"/>
        </w:rPr>
      </w:pPr>
      <w:r w:rsidRPr="00703846">
        <w:rPr>
          <w:szCs w:val="24"/>
        </w:rPr>
        <w:t xml:space="preserve">Test design: </w:t>
      </w:r>
      <w:r w:rsidRPr="00703846">
        <w:rPr>
          <w:szCs w:val="24"/>
        </w:rPr>
        <w:tab/>
        <w:t>Static system (48 hours), 5 test item concentrations plus control, 4 replicates with 5 daphnids in each; assessment of immobility after 24 and 48 hours.</w:t>
      </w:r>
    </w:p>
    <w:p w14:paraId="432F189F" w14:textId="77777777" w:rsidR="00E51CDD" w:rsidRPr="00703846" w:rsidRDefault="00E51CDD" w:rsidP="00E51CDD">
      <w:pPr>
        <w:suppressAutoHyphens/>
        <w:ind w:left="2268" w:hanging="2268"/>
        <w:jc w:val="both"/>
        <w:rPr>
          <w:szCs w:val="24"/>
        </w:rPr>
      </w:pPr>
    </w:p>
    <w:p w14:paraId="00D06036" w14:textId="77777777" w:rsidR="00E51CDD" w:rsidRPr="00703846" w:rsidRDefault="00E51CDD" w:rsidP="00E51CDD">
      <w:pPr>
        <w:suppressAutoHyphens/>
        <w:ind w:left="2268" w:hanging="2268"/>
        <w:jc w:val="both"/>
        <w:rPr>
          <w:szCs w:val="24"/>
        </w:rPr>
      </w:pPr>
      <w:r w:rsidRPr="00703846">
        <w:rPr>
          <w:szCs w:val="24"/>
        </w:rPr>
        <w:t>Endpoints:</w:t>
      </w:r>
      <w:r w:rsidRPr="00703846">
        <w:rPr>
          <w:szCs w:val="24"/>
        </w:rPr>
        <w:tab/>
        <w:t>NOEC and EC</w:t>
      </w:r>
      <w:r w:rsidRPr="00703846">
        <w:rPr>
          <w:szCs w:val="24"/>
          <w:vertAlign w:val="subscript"/>
        </w:rPr>
        <w:t>50</w:t>
      </w:r>
      <w:r w:rsidRPr="00703846">
        <w:rPr>
          <w:szCs w:val="24"/>
        </w:rPr>
        <w:t xml:space="preserve"> based on immobility of daphnids.</w:t>
      </w:r>
    </w:p>
    <w:p w14:paraId="55079FED" w14:textId="77777777" w:rsidR="00E51CDD" w:rsidRPr="0098242E" w:rsidRDefault="00E51CDD" w:rsidP="00E51CDD">
      <w:pPr>
        <w:suppressAutoHyphens/>
        <w:ind w:left="2268" w:hanging="2268"/>
        <w:jc w:val="both"/>
        <w:rPr>
          <w:szCs w:val="24"/>
        </w:rPr>
      </w:pPr>
    </w:p>
    <w:p w14:paraId="208F3CAA" w14:textId="77777777" w:rsidR="00E51CDD" w:rsidRPr="0098242E" w:rsidRDefault="00E51CDD" w:rsidP="00E51CDD">
      <w:pPr>
        <w:suppressAutoHyphens/>
        <w:ind w:left="2268" w:hanging="2268"/>
        <w:jc w:val="both"/>
        <w:rPr>
          <w:szCs w:val="24"/>
        </w:rPr>
      </w:pPr>
      <w:r w:rsidRPr="0098242E">
        <w:rPr>
          <w:szCs w:val="24"/>
        </w:rPr>
        <w:t xml:space="preserve">Test concentrations: </w:t>
      </w:r>
      <w:r w:rsidRPr="0098242E">
        <w:rPr>
          <w:szCs w:val="24"/>
        </w:rPr>
        <w:tab/>
        <w:t>0 (control), 0.5, 1.0, 2.0, 4.0 and 8.0 mg BAS 736 00 F/L (nominal).</w:t>
      </w:r>
    </w:p>
    <w:p w14:paraId="32170479" w14:textId="77777777" w:rsidR="00E51CDD" w:rsidRPr="0098242E" w:rsidRDefault="00E51CDD" w:rsidP="00E51CDD">
      <w:pPr>
        <w:suppressAutoHyphens/>
        <w:ind w:left="2268" w:hanging="2268"/>
        <w:jc w:val="both"/>
        <w:rPr>
          <w:szCs w:val="24"/>
        </w:rPr>
      </w:pPr>
    </w:p>
    <w:p w14:paraId="38137112" w14:textId="77777777" w:rsidR="00E51CDD" w:rsidRPr="00D26F6C" w:rsidRDefault="00E51CDD" w:rsidP="00E51CDD">
      <w:pPr>
        <w:suppressAutoHyphens/>
        <w:ind w:left="2268" w:hanging="2268"/>
        <w:jc w:val="both"/>
        <w:rPr>
          <w:szCs w:val="24"/>
        </w:rPr>
      </w:pPr>
      <w:r w:rsidRPr="00703846">
        <w:rPr>
          <w:szCs w:val="24"/>
        </w:rPr>
        <w:t xml:space="preserve">Test conditions: </w:t>
      </w:r>
      <w:r w:rsidRPr="00703846">
        <w:rPr>
          <w:szCs w:val="24"/>
        </w:rPr>
        <w:tab/>
        <w:t xml:space="preserve">100 mL glass beakers, test volume: </w:t>
      </w:r>
      <w:r w:rsidRPr="002100A3">
        <w:rPr>
          <w:szCs w:val="24"/>
        </w:rPr>
        <w:t xml:space="preserve">50 mL, test medium: dilution water "M4" </w:t>
      </w:r>
      <w:r w:rsidRPr="00D26F6C">
        <w:rPr>
          <w:szCs w:val="24"/>
        </w:rPr>
        <w:t>(Elendt medium); pH 7.71 – 8.10; oxygen content: 7.6 mg/L – 8.9 mg/L; temperature: 20.1 °C – 20.5 °C, photoperiod: 16 h light : 8 h dark; light intensity: ~630 lux; no feeding, no aeration.</w:t>
      </w:r>
    </w:p>
    <w:p w14:paraId="5CE59495" w14:textId="77777777" w:rsidR="00E51CDD" w:rsidRPr="00D26F6C" w:rsidRDefault="00E51CDD" w:rsidP="00E51CDD">
      <w:pPr>
        <w:suppressAutoHyphens/>
        <w:ind w:left="2268" w:hanging="2268"/>
        <w:jc w:val="both"/>
        <w:rPr>
          <w:szCs w:val="24"/>
        </w:rPr>
      </w:pPr>
    </w:p>
    <w:p w14:paraId="6E81F82F" w14:textId="77777777" w:rsidR="00E51CDD" w:rsidRPr="00D26F6C" w:rsidRDefault="00E51CDD" w:rsidP="00E51CDD">
      <w:pPr>
        <w:suppressAutoHyphens/>
        <w:ind w:left="2268" w:hanging="2268"/>
        <w:jc w:val="both"/>
        <w:rPr>
          <w:szCs w:val="24"/>
        </w:rPr>
      </w:pPr>
      <w:r w:rsidRPr="00D26F6C">
        <w:rPr>
          <w:szCs w:val="24"/>
        </w:rPr>
        <w:t xml:space="preserve">Analytics: </w:t>
      </w:r>
      <w:r w:rsidRPr="00D26F6C">
        <w:rPr>
          <w:szCs w:val="24"/>
        </w:rPr>
        <w:tab/>
        <w:t>Analytical verification of test item concentrations was conducted using a LC-method with MS/MS-detection</w:t>
      </w:r>
      <w:r>
        <w:rPr>
          <w:szCs w:val="24"/>
        </w:rPr>
        <w:t xml:space="preserve"> (methods no. L0361/03 and L0361/01)</w:t>
      </w:r>
      <w:r w:rsidRPr="00D26F6C">
        <w:rPr>
          <w:szCs w:val="24"/>
        </w:rPr>
        <w:t>.</w:t>
      </w:r>
    </w:p>
    <w:p w14:paraId="0B1B1E09" w14:textId="77777777" w:rsidR="00E51CDD" w:rsidRPr="00D26F6C" w:rsidRDefault="00E51CDD" w:rsidP="00E51CDD">
      <w:pPr>
        <w:suppressAutoHyphens/>
        <w:ind w:left="2268" w:hanging="2268"/>
        <w:jc w:val="both"/>
        <w:rPr>
          <w:szCs w:val="24"/>
        </w:rPr>
      </w:pPr>
    </w:p>
    <w:p w14:paraId="2A5BF598" w14:textId="77777777" w:rsidR="00E51CDD" w:rsidRPr="002100A3" w:rsidRDefault="00E51CDD" w:rsidP="00E51CDD">
      <w:pPr>
        <w:suppressAutoHyphens/>
        <w:ind w:left="2268" w:hanging="2268"/>
        <w:jc w:val="both"/>
        <w:rPr>
          <w:szCs w:val="24"/>
        </w:rPr>
      </w:pPr>
      <w:r w:rsidRPr="002100A3">
        <w:rPr>
          <w:szCs w:val="24"/>
        </w:rPr>
        <w:t xml:space="preserve">Statistics: </w:t>
      </w:r>
      <w:r w:rsidRPr="002100A3">
        <w:rPr>
          <w:szCs w:val="24"/>
        </w:rPr>
        <w:tab/>
        <w:t>Descriptive statistics; Trimmed Spearmen-Karber Procedure for determination of the EC</w:t>
      </w:r>
      <w:r w:rsidRPr="002100A3">
        <w:rPr>
          <w:szCs w:val="24"/>
          <w:vertAlign w:val="subscript"/>
        </w:rPr>
        <w:t>50</w:t>
      </w:r>
      <w:r w:rsidRPr="002100A3">
        <w:rPr>
          <w:szCs w:val="24"/>
        </w:rPr>
        <w:t xml:space="preserve"> value; Step-down Cochran-Armitage Test Procedure for determination of the NOEC.</w:t>
      </w:r>
    </w:p>
    <w:p w14:paraId="24E99625" w14:textId="77777777" w:rsidR="00E51CDD" w:rsidRPr="002013DF" w:rsidRDefault="00E51CDD" w:rsidP="00E51CDD">
      <w:pPr>
        <w:suppressAutoHyphens/>
        <w:ind w:left="2268" w:hanging="2268"/>
        <w:jc w:val="both"/>
        <w:rPr>
          <w:sz w:val="24"/>
          <w:szCs w:val="24"/>
          <w:lang w:eastAsia="en-US"/>
        </w:rPr>
      </w:pPr>
    </w:p>
    <w:p w14:paraId="3031DFAF" w14:textId="77777777" w:rsidR="00E51CDD" w:rsidRPr="002013DF" w:rsidRDefault="00E51CDD" w:rsidP="00E51CDD">
      <w:pPr>
        <w:suppressAutoHyphens/>
        <w:ind w:left="2268" w:hanging="2268"/>
        <w:jc w:val="both"/>
        <w:rPr>
          <w:sz w:val="24"/>
          <w:szCs w:val="24"/>
          <w:lang w:eastAsia="en-US"/>
        </w:rPr>
      </w:pPr>
      <w:r>
        <w:rPr>
          <w:sz w:val="24"/>
          <w:szCs w:val="24"/>
          <w:lang w:eastAsia="en-US"/>
        </w:rPr>
        <w:br w:type="page"/>
      </w:r>
    </w:p>
    <w:p w14:paraId="045F190A" w14:textId="77777777" w:rsidR="00E51CDD" w:rsidRPr="002013DF" w:rsidRDefault="00E51CDD" w:rsidP="00E51CDD">
      <w:pPr>
        <w:tabs>
          <w:tab w:val="left" w:pos="425"/>
          <w:tab w:val="left" w:pos="850"/>
        </w:tabs>
        <w:suppressAutoHyphens/>
        <w:ind w:left="2835" w:hanging="2835"/>
        <w:jc w:val="both"/>
        <w:rPr>
          <w:b/>
          <w:bCs/>
          <w:lang w:eastAsia="en-US"/>
        </w:rPr>
      </w:pPr>
      <w:r w:rsidRPr="002013DF">
        <w:rPr>
          <w:b/>
          <w:bCs/>
          <w:lang w:eastAsia="en-US"/>
        </w:rPr>
        <w:lastRenderedPageBreak/>
        <w:t>C.</w:t>
      </w:r>
      <w:r w:rsidRPr="002013DF">
        <w:rPr>
          <w:b/>
          <w:bCs/>
          <w:lang w:eastAsia="en-US"/>
        </w:rPr>
        <w:tab/>
        <w:t xml:space="preserve">DESCRIPTION OF THE ANALYTICAL PRODECDURES </w:t>
      </w:r>
    </w:p>
    <w:p w14:paraId="4F504DA7" w14:textId="77777777" w:rsidR="00E51CDD" w:rsidRPr="002013DF" w:rsidRDefault="00E51CDD" w:rsidP="00E51CDD">
      <w:pPr>
        <w:suppressAutoHyphens/>
        <w:ind w:left="2040" w:hanging="2040"/>
        <w:jc w:val="both"/>
        <w:rPr>
          <w:b/>
        </w:rPr>
      </w:pPr>
    </w:p>
    <w:p w14:paraId="56BFE246" w14:textId="77777777" w:rsidR="00E51CDD" w:rsidRPr="002013DF" w:rsidRDefault="00E51CDD" w:rsidP="00E51CDD">
      <w:pPr>
        <w:suppressAutoHyphens/>
        <w:jc w:val="both"/>
      </w:pPr>
      <w:r w:rsidRPr="002013DF">
        <w:t xml:space="preserve">Concentrations of fluxapyroxad (BAS 700 F; contained in BAS 736 00 F) and azoxystrobin (BAS 9164 F; contained in BAS 736 00 F) in test medium were determined according to the analytical methods L0361/01 and L0361/03, respectively. The validation of each analytical methods is described within separate study reports BASF DocID 2017/1065621 and 2019/1039564, respectively. Analysis of BAS 700 F and BAS 9164 F was performed by direct injection of test medium samples after dilution with acetonitrile/water/formic acid (400/600/2, v/v/v) and if necessary further dilution with diluted blank medium (test medium /(acetonitrile/water/formic acid (400/600/2, v/v/v)) (1:1, v/v)) before analysis. Final determination was accomplished by LC-MS/MS. The limit of quantification (LOQ) was 0.00229 mg/L for fluxapyroxad and 0.00343 mg/L for azoxystrobin. The limit of detection (LOD) was set to 0.000597 mg/L for fluxapyroxad and 0.000897 mg/L for azoxystrobin. In the current study, matrix effects on LC-MS/MS detection were not investigated. Matrix-matched standards were used for quantification. In the current study, the maximum storage period from sampling to analysis was 12 days for BAS 700 F and B AS 9164 F. Residues are regarded as stable if the samples are stored deep frozen for up to 30 days between sampling and analysis (EU COM 7032/VI/95). Therefore, the stability of BAS 700 F and BAS 9164 F in BAS 736 00 F was not verified. The average recoveries for the fortification levels of 0.05 and 10.4 mg/L were found to be </w:t>
      </w:r>
      <w:r>
        <w:t>96.8</w:t>
      </w:r>
      <w:r w:rsidRPr="002013DF">
        <w:t xml:space="preserve">% and </w:t>
      </w:r>
      <w:r>
        <w:t>92.0</w:t>
      </w:r>
      <w:r w:rsidRPr="002013DF">
        <w:t xml:space="preserve">% for fluxapyroxad and </w:t>
      </w:r>
      <w:r>
        <w:t>95.5</w:t>
      </w:r>
      <w:r w:rsidRPr="002013DF">
        <w:t xml:space="preserve">% – </w:t>
      </w:r>
      <w:r>
        <w:t>89.4</w:t>
      </w:r>
      <w:r w:rsidRPr="002013DF">
        <w:t xml:space="preserve">% for azoxystrobin. </w:t>
      </w:r>
    </w:p>
    <w:p w14:paraId="1A5872C5" w14:textId="77777777" w:rsidR="00E51CDD" w:rsidRPr="002013DF" w:rsidRDefault="00E51CDD" w:rsidP="00E51CDD">
      <w:pPr>
        <w:suppressAutoHyphens/>
        <w:jc w:val="both"/>
      </w:pPr>
      <w:r w:rsidRPr="002013DF">
        <w:t>Details on measured fortification samples and obtained procedural recoveries are provided in the tables below.</w:t>
      </w:r>
    </w:p>
    <w:p w14:paraId="4E37B327" w14:textId="77777777" w:rsidR="00E51CDD" w:rsidRPr="002013DF" w:rsidRDefault="00E51CDD" w:rsidP="00E51CDD">
      <w:pPr>
        <w:suppressAutoHyphens/>
        <w:jc w:val="both"/>
        <w:rPr>
          <w:szCs w:val="24"/>
        </w:rPr>
      </w:pPr>
    </w:p>
    <w:p w14:paraId="49E0B2DD" w14:textId="4A093FA1" w:rsidR="00E51CDD" w:rsidRPr="002013DF" w:rsidRDefault="00E51CDD" w:rsidP="00E51CDD">
      <w:pPr>
        <w:keepNext/>
        <w:keepLines/>
        <w:widowControl w:val="0"/>
        <w:suppressAutoHyphens/>
        <w:spacing w:before="200" w:after="40"/>
        <w:ind w:left="1418" w:hanging="1418"/>
        <w:jc w:val="both"/>
        <w:rPr>
          <w:b/>
          <w:bCs/>
        </w:rPr>
      </w:pPr>
      <w:r w:rsidRPr="002013DF">
        <w:rPr>
          <w:b/>
        </w:rPr>
        <w:t xml:space="preserve">Table A </w:t>
      </w:r>
      <w:r w:rsidRPr="002013DF">
        <w:rPr>
          <w:b/>
        </w:rPr>
        <w:fldChar w:fldCharType="begin"/>
      </w:r>
      <w:r w:rsidRPr="002013DF">
        <w:rPr>
          <w:b/>
        </w:rPr>
        <w:instrText xml:space="preserve"> SEQ Table_A \* ARABIC </w:instrText>
      </w:r>
      <w:r w:rsidRPr="002013DF">
        <w:rPr>
          <w:b/>
        </w:rPr>
        <w:fldChar w:fldCharType="separate"/>
      </w:r>
      <w:r w:rsidR="00662F32">
        <w:rPr>
          <w:b/>
          <w:noProof/>
        </w:rPr>
        <w:t>7</w:t>
      </w:r>
      <w:r w:rsidRPr="002013DF">
        <w:rPr>
          <w:b/>
        </w:rPr>
        <w:fldChar w:fldCharType="end"/>
      </w:r>
      <w:r w:rsidRPr="002013DF">
        <w:rPr>
          <w:b/>
        </w:rPr>
        <w:t>:</w:t>
      </w:r>
      <w:r w:rsidRPr="002013DF">
        <w:rPr>
          <w:b/>
          <w:bCs/>
        </w:rPr>
        <w:tab/>
        <w:t>Procedural recoveries for BAS 736 00 F (based on measurement of BAS 700 F)</w:t>
      </w:r>
    </w:p>
    <w:tbl>
      <w:tblPr>
        <w:tblW w:w="5000" w:type="pct"/>
        <w:tblCellMar>
          <w:left w:w="70" w:type="dxa"/>
          <w:right w:w="70" w:type="dxa"/>
        </w:tblCellMar>
        <w:tblLook w:val="04A0" w:firstRow="1" w:lastRow="0" w:firstColumn="1" w:lastColumn="0" w:noHBand="0" w:noVBand="1"/>
      </w:tblPr>
      <w:tblGrid>
        <w:gridCol w:w="2157"/>
        <w:gridCol w:w="2917"/>
        <w:gridCol w:w="690"/>
        <w:gridCol w:w="1861"/>
        <w:gridCol w:w="1719"/>
      </w:tblGrid>
      <w:tr w:rsidR="00E51CDD" w:rsidRPr="002013DF" w14:paraId="1F08008F" w14:textId="77777777" w:rsidTr="009938D9">
        <w:trPr>
          <w:trHeight w:val="367"/>
        </w:trPr>
        <w:tc>
          <w:tcPr>
            <w:tcW w:w="11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C3A9E01" w14:textId="77777777" w:rsidR="00E51CDD" w:rsidRPr="002013DF" w:rsidRDefault="00E51CDD" w:rsidP="009938D9">
            <w:pPr>
              <w:suppressAutoHyphens/>
              <w:spacing w:before="40" w:after="40"/>
              <w:jc w:val="center"/>
              <w:rPr>
                <w:b/>
                <w:bCs/>
                <w:sz w:val="20"/>
                <w:szCs w:val="20"/>
              </w:rPr>
            </w:pPr>
            <w:r w:rsidRPr="002013DF">
              <w:rPr>
                <w:b/>
                <w:bCs/>
                <w:sz w:val="20"/>
                <w:szCs w:val="20"/>
              </w:rPr>
              <w:t>Matrix</w:t>
            </w:r>
          </w:p>
        </w:tc>
        <w:tc>
          <w:tcPr>
            <w:tcW w:w="1561" w:type="pct"/>
            <w:tcBorders>
              <w:top w:val="single" w:sz="4" w:space="0" w:color="auto"/>
              <w:left w:val="nil"/>
              <w:bottom w:val="single" w:sz="4" w:space="0" w:color="auto"/>
              <w:right w:val="single" w:sz="4" w:space="0" w:color="auto"/>
            </w:tcBorders>
            <w:shd w:val="clear" w:color="auto" w:fill="FFFFFF"/>
            <w:vAlign w:val="center"/>
            <w:hideMark/>
          </w:tcPr>
          <w:p w14:paraId="7FCC5E68" w14:textId="77777777" w:rsidR="00E51CDD" w:rsidRPr="002013DF" w:rsidRDefault="00E51CDD" w:rsidP="009938D9">
            <w:pPr>
              <w:suppressAutoHyphens/>
              <w:spacing w:before="40" w:after="40"/>
              <w:jc w:val="center"/>
              <w:rPr>
                <w:b/>
                <w:bCs/>
                <w:sz w:val="20"/>
                <w:szCs w:val="20"/>
              </w:rPr>
            </w:pPr>
            <w:r w:rsidRPr="002013DF">
              <w:rPr>
                <w:b/>
                <w:bCs/>
                <w:sz w:val="20"/>
                <w:szCs w:val="20"/>
              </w:rPr>
              <w:t xml:space="preserve">Fortification level </w:t>
            </w:r>
            <w:r w:rsidRPr="002013DF">
              <w:rPr>
                <w:b/>
                <w:bCs/>
                <w:sz w:val="20"/>
                <w:szCs w:val="20"/>
              </w:rPr>
              <w:br/>
              <w:t>[mg BAS 700 F/L]</w:t>
            </w:r>
          </w:p>
        </w:tc>
        <w:tc>
          <w:tcPr>
            <w:tcW w:w="369" w:type="pct"/>
            <w:tcBorders>
              <w:top w:val="single" w:sz="4" w:space="0" w:color="auto"/>
              <w:left w:val="nil"/>
              <w:bottom w:val="single" w:sz="4" w:space="0" w:color="auto"/>
              <w:right w:val="single" w:sz="4" w:space="0" w:color="auto"/>
            </w:tcBorders>
            <w:shd w:val="clear" w:color="auto" w:fill="FFFFFF"/>
            <w:noWrap/>
            <w:vAlign w:val="center"/>
            <w:hideMark/>
          </w:tcPr>
          <w:p w14:paraId="5E4EB803" w14:textId="77777777" w:rsidR="00E51CDD" w:rsidRPr="002013DF" w:rsidRDefault="00E51CDD" w:rsidP="009938D9">
            <w:pPr>
              <w:suppressAutoHyphens/>
              <w:spacing w:before="40" w:after="40"/>
              <w:jc w:val="center"/>
              <w:rPr>
                <w:b/>
                <w:bCs/>
                <w:sz w:val="20"/>
                <w:szCs w:val="20"/>
                <w:vertAlign w:val="superscript"/>
              </w:rPr>
            </w:pPr>
            <w:r w:rsidRPr="002013DF">
              <w:rPr>
                <w:b/>
                <w:bCs/>
                <w:sz w:val="20"/>
                <w:szCs w:val="20"/>
              </w:rPr>
              <w:t>n</w:t>
            </w:r>
          </w:p>
        </w:tc>
        <w:tc>
          <w:tcPr>
            <w:tcW w:w="996" w:type="pct"/>
            <w:tcBorders>
              <w:top w:val="single" w:sz="4" w:space="0" w:color="auto"/>
              <w:left w:val="nil"/>
              <w:bottom w:val="single" w:sz="4" w:space="0" w:color="auto"/>
              <w:right w:val="single" w:sz="4" w:space="0" w:color="auto"/>
            </w:tcBorders>
            <w:shd w:val="clear" w:color="auto" w:fill="FFFFFF"/>
            <w:noWrap/>
            <w:vAlign w:val="center"/>
            <w:hideMark/>
          </w:tcPr>
          <w:p w14:paraId="0CF62B3A" w14:textId="77777777" w:rsidR="00E51CDD" w:rsidRPr="002013DF" w:rsidRDefault="00E51CDD" w:rsidP="009938D9">
            <w:pPr>
              <w:suppressAutoHyphens/>
              <w:spacing w:before="40" w:after="40"/>
              <w:jc w:val="center"/>
              <w:rPr>
                <w:b/>
                <w:bCs/>
                <w:sz w:val="20"/>
                <w:szCs w:val="20"/>
              </w:rPr>
            </w:pPr>
            <w:r w:rsidRPr="002013DF">
              <w:rPr>
                <w:b/>
                <w:bCs/>
                <w:sz w:val="20"/>
                <w:szCs w:val="20"/>
              </w:rPr>
              <w:t>Mean recovery [%]</w:t>
            </w:r>
          </w:p>
        </w:tc>
        <w:tc>
          <w:tcPr>
            <w:tcW w:w="92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AE50545" w14:textId="77777777" w:rsidR="00E51CDD" w:rsidRPr="002013DF" w:rsidRDefault="00E51CDD" w:rsidP="009938D9">
            <w:pPr>
              <w:suppressAutoHyphens/>
              <w:spacing w:before="40" w:after="40"/>
              <w:jc w:val="center"/>
              <w:rPr>
                <w:b/>
                <w:bCs/>
                <w:sz w:val="20"/>
                <w:szCs w:val="20"/>
              </w:rPr>
            </w:pPr>
            <w:r w:rsidRPr="002013DF">
              <w:rPr>
                <w:b/>
                <w:bCs/>
                <w:sz w:val="20"/>
                <w:szCs w:val="20"/>
              </w:rPr>
              <w:t>RSD [%]</w:t>
            </w:r>
          </w:p>
        </w:tc>
      </w:tr>
      <w:tr w:rsidR="00E51CDD" w:rsidRPr="002013DF" w14:paraId="6B3A351F"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vAlign w:val="center"/>
            <w:hideMark/>
          </w:tcPr>
          <w:p w14:paraId="110A3549" w14:textId="77777777" w:rsidR="00E51CDD" w:rsidRPr="002013DF" w:rsidRDefault="00E51CDD" w:rsidP="009938D9">
            <w:pPr>
              <w:suppressAutoHyphens/>
              <w:spacing w:before="40" w:after="40"/>
              <w:jc w:val="center"/>
              <w:rPr>
                <w:sz w:val="20"/>
                <w:szCs w:val="20"/>
              </w:rPr>
            </w:pPr>
            <w:r w:rsidRPr="002013DF">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4FAAE1FF" w14:textId="77777777" w:rsidR="00E51CDD" w:rsidRPr="002013DF" w:rsidRDefault="00E51CDD" w:rsidP="009938D9">
            <w:pPr>
              <w:suppressAutoHyphens/>
              <w:spacing w:before="40" w:after="40"/>
              <w:jc w:val="center"/>
              <w:rPr>
                <w:sz w:val="20"/>
                <w:szCs w:val="20"/>
              </w:rPr>
            </w:pPr>
            <w:r w:rsidRPr="002013DF">
              <w:rPr>
                <w:sz w:val="20"/>
                <w:szCs w:val="20"/>
              </w:rPr>
              <w:t>0.05</w:t>
            </w:r>
          </w:p>
        </w:tc>
        <w:tc>
          <w:tcPr>
            <w:tcW w:w="369" w:type="pct"/>
            <w:tcBorders>
              <w:top w:val="nil"/>
              <w:left w:val="nil"/>
              <w:bottom w:val="single" w:sz="4" w:space="0" w:color="auto"/>
              <w:right w:val="single" w:sz="4" w:space="0" w:color="auto"/>
            </w:tcBorders>
            <w:shd w:val="clear" w:color="auto" w:fill="FFFFFF"/>
            <w:noWrap/>
            <w:vAlign w:val="center"/>
            <w:hideMark/>
          </w:tcPr>
          <w:p w14:paraId="69ACE17B" w14:textId="77777777" w:rsidR="00E51CDD" w:rsidRPr="002013DF" w:rsidRDefault="00E51CDD" w:rsidP="009938D9">
            <w:pPr>
              <w:suppressAutoHyphens/>
              <w:spacing w:before="40" w:after="40"/>
              <w:jc w:val="center"/>
              <w:rPr>
                <w:sz w:val="20"/>
                <w:szCs w:val="20"/>
              </w:rPr>
            </w:pPr>
            <w:r w:rsidRPr="002013DF">
              <w:rPr>
                <w:sz w:val="20"/>
                <w:szCs w:val="20"/>
              </w:rPr>
              <w:t>5</w:t>
            </w:r>
          </w:p>
        </w:tc>
        <w:tc>
          <w:tcPr>
            <w:tcW w:w="996" w:type="pct"/>
            <w:tcBorders>
              <w:top w:val="nil"/>
              <w:left w:val="nil"/>
              <w:bottom w:val="single" w:sz="4" w:space="0" w:color="auto"/>
              <w:right w:val="single" w:sz="4" w:space="0" w:color="auto"/>
            </w:tcBorders>
            <w:shd w:val="clear" w:color="auto" w:fill="FFFFFF"/>
            <w:noWrap/>
          </w:tcPr>
          <w:p w14:paraId="28531077" w14:textId="77777777" w:rsidR="00E51CDD" w:rsidRPr="002013DF" w:rsidRDefault="00E51CDD" w:rsidP="009938D9">
            <w:pPr>
              <w:suppressAutoHyphens/>
              <w:spacing w:before="40" w:after="40"/>
              <w:jc w:val="center"/>
              <w:rPr>
                <w:sz w:val="20"/>
                <w:szCs w:val="20"/>
              </w:rPr>
            </w:pPr>
            <w:r>
              <w:rPr>
                <w:sz w:val="20"/>
                <w:szCs w:val="20"/>
              </w:rPr>
              <w:t>96.8</w:t>
            </w:r>
          </w:p>
        </w:tc>
        <w:tc>
          <w:tcPr>
            <w:tcW w:w="920" w:type="pct"/>
            <w:tcBorders>
              <w:top w:val="nil"/>
              <w:left w:val="nil"/>
              <w:bottom w:val="single" w:sz="4" w:space="0" w:color="auto"/>
              <w:right w:val="single" w:sz="4" w:space="0" w:color="auto"/>
            </w:tcBorders>
            <w:shd w:val="clear" w:color="auto" w:fill="FFFFFF"/>
            <w:noWrap/>
          </w:tcPr>
          <w:p w14:paraId="15AB6479" w14:textId="77777777" w:rsidR="00E51CDD" w:rsidRPr="002013DF" w:rsidRDefault="00E51CDD" w:rsidP="009938D9">
            <w:pPr>
              <w:suppressAutoHyphens/>
              <w:spacing w:before="40" w:after="40"/>
              <w:jc w:val="center"/>
              <w:rPr>
                <w:sz w:val="20"/>
                <w:szCs w:val="20"/>
              </w:rPr>
            </w:pPr>
            <w:r w:rsidRPr="002013DF">
              <w:rPr>
                <w:sz w:val="20"/>
                <w:szCs w:val="20"/>
              </w:rPr>
              <w:t>4</w:t>
            </w:r>
          </w:p>
        </w:tc>
      </w:tr>
      <w:tr w:rsidR="00E51CDD" w:rsidRPr="002013DF" w14:paraId="6EBD0AEB"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vAlign w:val="center"/>
            <w:hideMark/>
          </w:tcPr>
          <w:p w14:paraId="3314C4D3" w14:textId="77777777" w:rsidR="00E51CDD" w:rsidRPr="002013DF" w:rsidRDefault="00E51CDD" w:rsidP="009938D9">
            <w:pPr>
              <w:suppressAutoHyphens/>
              <w:spacing w:before="40" w:after="40"/>
              <w:jc w:val="center"/>
              <w:rPr>
                <w:sz w:val="20"/>
                <w:szCs w:val="20"/>
              </w:rPr>
            </w:pPr>
            <w:r w:rsidRPr="002013DF">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3ECF8F1F" w14:textId="77777777" w:rsidR="00E51CDD" w:rsidRPr="002013DF" w:rsidRDefault="00E51CDD" w:rsidP="009938D9">
            <w:pPr>
              <w:suppressAutoHyphens/>
              <w:spacing w:before="40" w:after="40"/>
              <w:jc w:val="center"/>
              <w:rPr>
                <w:sz w:val="20"/>
                <w:szCs w:val="20"/>
              </w:rPr>
            </w:pPr>
            <w:r w:rsidRPr="002013DF">
              <w:rPr>
                <w:sz w:val="20"/>
                <w:szCs w:val="20"/>
              </w:rPr>
              <w:t>10.4</w:t>
            </w:r>
          </w:p>
        </w:tc>
        <w:tc>
          <w:tcPr>
            <w:tcW w:w="369" w:type="pct"/>
            <w:tcBorders>
              <w:top w:val="nil"/>
              <w:left w:val="nil"/>
              <w:bottom w:val="single" w:sz="4" w:space="0" w:color="auto"/>
              <w:right w:val="single" w:sz="4" w:space="0" w:color="auto"/>
            </w:tcBorders>
            <w:shd w:val="clear" w:color="auto" w:fill="FFFFFF"/>
            <w:noWrap/>
            <w:vAlign w:val="center"/>
            <w:hideMark/>
          </w:tcPr>
          <w:p w14:paraId="3BB26224" w14:textId="77777777" w:rsidR="00E51CDD" w:rsidRPr="002013DF" w:rsidRDefault="00E51CDD" w:rsidP="009938D9">
            <w:pPr>
              <w:suppressAutoHyphens/>
              <w:spacing w:before="40" w:after="40"/>
              <w:jc w:val="center"/>
              <w:rPr>
                <w:sz w:val="20"/>
                <w:szCs w:val="20"/>
              </w:rPr>
            </w:pPr>
            <w:r w:rsidRPr="002013DF">
              <w:rPr>
                <w:sz w:val="20"/>
                <w:szCs w:val="20"/>
              </w:rPr>
              <w:t>5</w:t>
            </w:r>
          </w:p>
        </w:tc>
        <w:tc>
          <w:tcPr>
            <w:tcW w:w="996" w:type="pct"/>
            <w:tcBorders>
              <w:top w:val="nil"/>
              <w:left w:val="nil"/>
              <w:bottom w:val="single" w:sz="4" w:space="0" w:color="auto"/>
              <w:right w:val="single" w:sz="4" w:space="0" w:color="auto"/>
            </w:tcBorders>
            <w:shd w:val="clear" w:color="auto" w:fill="FFFFFF"/>
            <w:noWrap/>
          </w:tcPr>
          <w:p w14:paraId="456BDCAA" w14:textId="77777777" w:rsidR="00E51CDD" w:rsidRPr="002013DF" w:rsidRDefault="00E51CDD" w:rsidP="009938D9">
            <w:pPr>
              <w:suppressAutoHyphens/>
              <w:spacing w:before="40" w:after="40"/>
              <w:jc w:val="center"/>
              <w:rPr>
                <w:sz w:val="20"/>
                <w:szCs w:val="20"/>
              </w:rPr>
            </w:pPr>
            <w:r>
              <w:rPr>
                <w:sz w:val="20"/>
                <w:szCs w:val="20"/>
              </w:rPr>
              <w:t>92.0</w:t>
            </w:r>
          </w:p>
        </w:tc>
        <w:tc>
          <w:tcPr>
            <w:tcW w:w="920" w:type="pct"/>
            <w:tcBorders>
              <w:top w:val="nil"/>
              <w:left w:val="nil"/>
              <w:bottom w:val="single" w:sz="4" w:space="0" w:color="auto"/>
              <w:right w:val="single" w:sz="4" w:space="0" w:color="auto"/>
            </w:tcBorders>
            <w:shd w:val="clear" w:color="auto" w:fill="FFFFFF"/>
            <w:noWrap/>
          </w:tcPr>
          <w:p w14:paraId="55FD3A93" w14:textId="77777777" w:rsidR="00E51CDD" w:rsidRPr="002013DF" w:rsidRDefault="00E51CDD" w:rsidP="009938D9">
            <w:pPr>
              <w:suppressAutoHyphens/>
              <w:spacing w:before="40" w:after="40"/>
              <w:jc w:val="center"/>
              <w:rPr>
                <w:sz w:val="20"/>
                <w:szCs w:val="20"/>
              </w:rPr>
            </w:pPr>
            <w:r w:rsidRPr="002013DF">
              <w:rPr>
                <w:sz w:val="20"/>
                <w:szCs w:val="20"/>
              </w:rPr>
              <w:t>3</w:t>
            </w:r>
          </w:p>
        </w:tc>
      </w:tr>
    </w:tbl>
    <w:p w14:paraId="6558BA54" w14:textId="77777777" w:rsidR="00E51CDD" w:rsidRDefault="00E51CDD" w:rsidP="00E51CDD">
      <w:pPr>
        <w:suppressAutoHyphens/>
        <w:jc w:val="both"/>
        <w:rPr>
          <w:sz w:val="18"/>
          <w:szCs w:val="18"/>
          <w:lang w:eastAsia="en-US"/>
        </w:rPr>
      </w:pPr>
      <w:r w:rsidRPr="002013DF">
        <w:rPr>
          <w:sz w:val="18"/>
          <w:szCs w:val="18"/>
          <w:u w:val="single"/>
          <w:lang w:eastAsia="en-US"/>
        </w:rPr>
        <w:t>Abbreviation:</w:t>
      </w:r>
      <w:r w:rsidRPr="002013DF">
        <w:rPr>
          <w:sz w:val="18"/>
          <w:szCs w:val="18"/>
          <w:lang w:eastAsia="en-US"/>
        </w:rPr>
        <w:t xml:space="preserve"> RSD = relative standard deviation</w:t>
      </w:r>
    </w:p>
    <w:p w14:paraId="17F10428" w14:textId="77777777" w:rsidR="00E51CDD" w:rsidRPr="002013DF" w:rsidRDefault="00E51CDD" w:rsidP="00E51CDD">
      <w:pPr>
        <w:suppressAutoHyphens/>
        <w:jc w:val="both"/>
        <w:rPr>
          <w:sz w:val="18"/>
          <w:szCs w:val="18"/>
          <w:lang w:eastAsia="en-US"/>
        </w:rPr>
      </w:pPr>
    </w:p>
    <w:p w14:paraId="14392BA1" w14:textId="25842726" w:rsidR="00E51CDD" w:rsidRPr="002013DF" w:rsidRDefault="00E51CDD" w:rsidP="00E51CDD">
      <w:pPr>
        <w:keepNext/>
        <w:keepLines/>
        <w:widowControl w:val="0"/>
        <w:suppressAutoHyphens/>
        <w:spacing w:before="200" w:after="40"/>
        <w:ind w:left="1418" w:hanging="1418"/>
        <w:jc w:val="both"/>
        <w:rPr>
          <w:b/>
          <w:bCs/>
        </w:rPr>
      </w:pPr>
      <w:r w:rsidRPr="002013DF">
        <w:rPr>
          <w:b/>
        </w:rPr>
        <w:t xml:space="preserve">Table A </w:t>
      </w:r>
      <w:r w:rsidRPr="002013DF">
        <w:rPr>
          <w:b/>
        </w:rPr>
        <w:fldChar w:fldCharType="begin"/>
      </w:r>
      <w:r w:rsidRPr="002013DF">
        <w:rPr>
          <w:b/>
        </w:rPr>
        <w:instrText xml:space="preserve"> SEQ Table_A \* ARABIC </w:instrText>
      </w:r>
      <w:r w:rsidRPr="002013DF">
        <w:rPr>
          <w:b/>
        </w:rPr>
        <w:fldChar w:fldCharType="separate"/>
      </w:r>
      <w:r w:rsidR="00662F32">
        <w:rPr>
          <w:b/>
          <w:noProof/>
        </w:rPr>
        <w:t>8</w:t>
      </w:r>
      <w:r w:rsidRPr="002013DF">
        <w:rPr>
          <w:b/>
        </w:rPr>
        <w:fldChar w:fldCharType="end"/>
      </w:r>
      <w:r w:rsidRPr="002013DF">
        <w:rPr>
          <w:b/>
        </w:rPr>
        <w:t>:</w:t>
      </w:r>
      <w:r w:rsidRPr="002013DF">
        <w:rPr>
          <w:b/>
          <w:bCs/>
        </w:rPr>
        <w:tab/>
        <w:t>Procedural recoveries for BAS 736 00 F (based on measurement of BAS 9164 F)</w:t>
      </w:r>
    </w:p>
    <w:tbl>
      <w:tblPr>
        <w:tblW w:w="5000" w:type="pct"/>
        <w:tblCellMar>
          <w:left w:w="70" w:type="dxa"/>
          <w:right w:w="70" w:type="dxa"/>
        </w:tblCellMar>
        <w:tblLook w:val="04A0" w:firstRow="1" w:lastRow="0" w:firstColumn="1" w:lastColumn="0" w:noHBand="0" w:noVBand="1"/>
      </w:tblPr>
      <w:tblGrid>
        <w:gridCol w:w="2157"/>
        <w:gridCol w:w="2917"/>
        <w:gridCol w:w="690"/>
        <w:gridCol w:w="1861"/>
        <w:gridCol w:w="1719"/>
      </w:tblGrid>
      <w:tr w:rsidR="00E51CDD" w:rsidRPr="002013DF" w14:paraId="7A67AA06" w14:textId="77777777" w:rsidTr="009938D9">
        <w:trPr>
          <w:trHeight w:val="367"/>
        </w:trPr>
        <w:tc>
          <w:tcPr>
            <w:tcW w:w="11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04B82B2" w14:textId="77777777" w:rsidR="00E51CDD" w:rsidRPr="002013DF" w:rsidRDefault="00E51CDD" w:rsidP="009938D9">
            <w:pPr>
              <w:suppressAutoHyphens/>
              <w:spacing w:before="40" w:after="40"/>
              <w:jc w:val="center"/>
              <w:rPr>
                <w:b/>
                <w:bCs/>
                <w:sz w:val="20"/>
                <w:szCs w:val="20"/>
              </w:rPr>
            </w:pPr>
            <w:r w:rsidRPr="002013DF">
              <w:rPr>
                <w:b/>
                <w:bCs/>
                <w:sz w:val="20"/>
                <w:szCs w:val="20"/>
              </w:rPr>
              <w:t>Matrix</w:t>
            </w:r>
          </w:p>
        </w:tc>
        <w:tc>
          <w:tcPr>
            <w:tcW w:w="1561" w:type="pct"/>
            <w:tcBorders>
              <w:top w:val="single" w:sz="4" w:space="0" w:color="auto"/>
              <w:left w:val="nil"/>
              <w:bottom w:val="single" w:sz="4" w:space="0" w:color="auto"/>
              <w:right w:val="single" w:sz="4" w:space="0" w:color="auto"/>
            </w:tcBorders>
            <w:shd w:val="clear" w:color="auto" w:fill="FFFFFF"/>
            <w:vAlign w:val="center"/>
            <w:hideMark/>
          </w:tcPr>
          <w:p w14:paraId="1BE1E43F" w14:textId="77777777" w:rsidR="00E51CDD" w:rsidRPr="002013DF" w:rsidRDefault="00E51CDD" w:rsidP="009938D9">
            <w:pPr>
              <w:suppressAutoHyphens/>
              <w:spacing w:before="40" w:after="40"/>
              <w:jc w:val="center"/>
              <w:rPr>
                <w:b/>
                <w:bCs/>
                <w:sz w:val="20"/>
                <w:szCs w:val="20"/>
              </w:rPr>
            </w:pPr>
            <w:r w:rsidRPr="002013DF">
              <w:rPr>
                <w:b/>
                <w:bCs/>
                <w:sz w:val="20"/>
                <w:szCs w:val="20"/>
              </w:rPr>
              <w:t xml:space="preserve">Fortification level </w:t>
            </w:r>
            <w:r w:rsidRPr="002013DF">
              <w:rPr>
                <w:b/>
                <w:bCs/>
                <w:sz w:val="20"/>
                <w:szCs w:val="20"/>
              </w:rPr>
              <w:br/>
              <w:t>[mg BAS 9164 F/L]</w:t>
            </w:r>
          </w:p>
        </w:tc>
        <w:tc>
          <w:tcPr>
            <w:tcW w:w="369" w:type="pct"/>
            <w:tcBorders>
              <w:top w:val="single" w:sz="4" w:space="0" w:color="auto"/>
              <w:left w:val="nil"/>
              <w:bottom w:val="single" w:sz="4" w:space="0" w:color="auto"/>
              <w:right w:val="single" w:sz="4" w:space="0" w:color="auto"/>
            </w:tcBorders>
            <w:shd w:val="clear" w:color="auto" w:fill="FFFFFF"/>
            <w:noWrap/>
            <w:vAlign w:val="center"/>
            <w:hideMark/>
          </w:tcPr>
          <w:p w14:paraId="43FE08D9" w14:textId="77777777" w:rsidR="00E51CDD" w:rsidRPr="002013DF" w:rsidRDefault="00E51CDD" w:rsidP="009938D9">
            <w:pPr>
              <w:suppressAutoHyphens/>
              <w:spacing w:before="40" w:after="40"/>
              <w:jc w:val="center"/>
              <w:rPr>
                <w:b/>
                <w:bCs/>
                <w:sz w:val="20"/>
                <w:szCs w:val="20"/>
                <w:vertAlign w:val="superscript"/>
              </w:rPr>
            </w:pPr>
            <w:r w:rsidRPr="002013DF">
              <w:rPr>
                <w:b/>
                <w:bCs/>
                <w:sz w:val="20"/>
                <w:szCs w:val="20"/>
              </w:rPr>
              <w:t>n</w:t>
            </w:r>
          </w:p>
        </w:tc>
        <w:tc>
          <w:tcPr>
            <w:tcW w:w="996" w:type="pct"/>
            <w:tcBorders>
              <w:top w:val="single" w:sz="4" w:space="0" w:color="auto"/>
              <w:left w:val="nil"/>
              <w:bottom w:val="single" w:sz="4" w:space="0" w:color="auto"/>
              <w:right w:val="single" w:sz="4" w:space="0" w:color="auto"/>
            </w:tcBorders>
            <w:shd w:val="clear" w:color="auto" w:fill="FFFFFF"/>
            <w:noWrap/>
            <w:vAlign w:val="center"/>
            <w:hideMark/>
          </w:tcPr>
          <w:p w14:paraId="03A63D02" w14:textId="77777777" w:rsidR="00E51CDD" w:rsidRPr="002013DF" w:rsidRDefault="00E51CDD" w:rsidP="009938D9">
            <w:pPr>
              <w:suppressAutoHyphens/>
              <w:spacing w:before="40" w:after="40"/>
              <w:jc w:val="center"/>
              <w:rPr>
                <w:b/>
                <w:bCs/>
                <w:sz w:val="20"/>
                <w:szCs w:val="20"/>
              </w:rPr>
            </w:pPr>
            <w:r w:rsidRPr="002013DF">
              <w:rPr>
                <w:b/>
                <w:bCs/>
                <w:sz w:val="20"/>
                <w:szCs w:val="20"/>
              </w:rPr>
              <w:t>Mean recovery [%]</w:t>
            </w:r>
          </w:p>
        </w:tc>
        <w:tc>
          <w:tcPr>
            <w:tcW w:w="92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B7F36D8" w14:textId="77777777" w:rsidR="00E51CDD" w:rsidRPr="002013DF" w:rsidRDefault="00E51CDD" w:rsidP="009938D9">
            <w:pPr>
              <w:suppressAutoHyphens/>
              <w:spacing w:before="40" w:after="40"/>
              <w:jc w:val="center"/>
              <w:rPr>
                <w:b/>
                <w:bCs/>
                <w:sz w:val="20"/>
                <w:szCs w:val="20"/>
              </w:rPr>
            </w:pPr>
            <w:r w:rsidRPr="002013DF">
              <w:rPr>
                <w:b/>
                <w:bCs/>
                <w:sz w:val="20"/>
                <w:szCs w:val="20"/>
              </w:rPr>
              <w:t>RSD [%]</w:t>
            </w:r>
          </w:p>
        </w:tc>
      </w:tr>
      <w:tr w:rsidR="00E51CDD" w:rsidRPr="002013DF" w14:paraId="1C6E1C24"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hideMark/>
          </w:tcPr>
          <w:p w14:paraId="75F292CD" w14:textId="77777777" w:rsidR="00E51CDD" w:rsidRPr="002013DF" w:rsidRDefault="00E51CDD" w:rsidP="009938D9">
            <w:pPr>
              <w:suppressAutoHyphens/>
              <w:spacing w:before="40" w:after="40"/>
              <w:jc w:val="center"/>
              <w:rPr>
                <w:sz w:val="20"/>
                <w:szCs w:val="20"/>
              </w:rPr>
            </w:pPr>
            <w:r w:rsidRPr="002013DF">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75F6AE97" w14:textId="77777777" w:rsidR="00E51CDD" w:rsidRPr="002013DF" w:rsidRDefault="00E51CDD" w:rsidP="009938D9">
            <w:pPr>
              <w:suppressAutoHyphens/>
              <w:spacing w:before="40" w:after="40"/>
              <w:jc w:val="center"/>
              <w:rPr>
                <w:sz w:val="20"/>
                <w:szCs w:val="20"/>
              </w:rPr>
            </w:pPr>
            <w:r w:rsidRPr="002013DF">
              <w:rPr>
                <w:sz w:val="20"/>
                <w:szCs w:val="20"/>
              </w:rPr>
              <w:t>0.05</w:t>
            </w:r>
          </w:p>
        </w:tc>
        <w:tc>
          <w:tcPr>
            <w:tcW w:w="369" w:type="pct"/>
            <w:tcBorders>
              <w:top w:val="nil"/>
              <w:left w:val="nil"/>
              <w:bottom w:val="single" w:sz="4" w:space="0" w:color="auto"/>
              <w:right w:val="single" w:sz="4" w:space="0" w:color="auto"/>
            </w:tcBorders>
            <w:shd w:val="clear" w:color="auto" w:fill="FFFFFF"/>
            <w:noWrap/>
            <w:vAlign w:val="center"/>
            <w:hideMark/>
          </w:tcPr>
          <w:p w14:paraId="1394DB42" w14:textId="77777777" w:rsidR="00E51CDD" w:rsidRPr="002013DF" w:rsidRDefault="00E51CDD" w:rsidP="009938D9">
            <w:pPr>
              <w:suppressAutoHyphens/>
              <w:spacing w:before="40" w:after="40"/>
              <w:jc w:val="center"/>
              <w:rPr>
                <w:sz w:val="20"/>
                <w:szCs w:val="20"/>
              </w:rPr>
            </w:pPr>
            <w:r w:rsidRPr="002013DF">
              <w:rPr>
                <w:sz w:val="20"/>
                <w:szCs w:val="20"/>
              </w:rPr>
              <w:t>5</w:t>
            </w:r>
          </w:p>
        </w:tc>
        <w:tc>
          <w:tcPr>
            <w:tcW w:w="996" w:type="pct"/>
            <w:tcBorders>
              <w:top w:val="nil"/>
              <w:left w:val="nil"/>
              <w:bottom w:val="single" w:sz="4" w:space="0" w:color="auto"/>
              <w:right w:val="single" w:sz="4" w:space="0" w:color="auto"/>
            </w:tcBorders>
            <w:shd w:val="clear" w:color="auto" w:fill="FFFFFF"/>
            <w:noWrap/>
          </w:tcPr>
          <w:p w14:paraId="50AC24F4" w14:textId="77777777" w:rsidR="00E51CDD" w:rsidRPr="002013DF" w:rsidRDefault="00E51CDD" w:rsidP="009938D9">
            <w:pPr>
              <w:suppressAutoHyphens/>
              <w:spacing w:before="40" w:after="40"/>
              <w:jc w:val="center"/>
              <w:rPr>
                <w:sz w:val="20"/>
                <w:szCs w:val="20"/>
              </w:rPr>
            </w:pPr>
            <w:r>
              <w:rPr>
                <w:sz w:val="20"/>
                <w:szCs w:val="20"/>
              </w:rPr>
              <w:t>95.5</w:t>
            </w:r>
          </w:p>
        </w:tc>
        <w:tc>
          <w:tcPr>
            <w:tcW w:w="920" w:type="pct"/>
            <w:tcBorders>
              <w:top w:val="nil"/>
              <w:left w:val="nil"/>
              <w:bottom w:val="single" w:sz="4" w:space="0" w:color="auto"/>
              <w:right w:val="single" w:sz="4" w:space="0" w:color="auto"/>
            </w:tcBorders>
            <w:shd w:val="clear" w:color="auto" w:fill="FFFFFF"/>
            <w:noWrap/>
          </w:tcPr>
          <w:p w14:paraId="77128465" w14:textId="77777777" w:rsidR="00E51CDD" w:rsidRPr="002013DF" w:rsidRDefault="00E51CDD" w:rsidP="009938D9">
            <w:pPr>
              <w:suppressAutoHyphens/>
              <w:spacing w:before="40" w:after="40"/>
              <w:jc w:val="center"/>
              <w:rPr>
                <w:sz w:val="20"/>
                <w:szCs w:val="20"/>
              </w:rPr>
            </w:pPr>
            <w:r>
              <w:rPr>
                <w:sz w:val="20"/>
                <w:szCs w:val="20"/>
              </w:rPr>
              <w:t>2</w:t>
            </w:r>
          </w:p>
        </w:tc>
      </w:tr>
      <w:tr w:rsidR="00E51CDD" w:rsidRPr="002013DF" w14:paraId="36392254"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hideMark/>
          </w:tcPr>
          <w:p w14:paraId="473A57E3" w14:textId="77777777" w:rsidR="00E51CDD" w:rsidRPr="002013DF" w:rsidRDefault="00E51CDD" w:rsidP="009938D9">
            <w:pPr>
              <w:suppressAutoHyphens/>
              <w:spacing w:before="40" w:after="40"/>
              <w:jc w:val="center"/>
              <w:rPr>
                <w:sz w:val="20"/>
                <w:szCs w:val="20"/>
              </w:rPr>
            </w:pPr>
            <w:r w:rsidRPr="002013DF">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244A6BE5" w14:textId="77777777" w:rsidR="00E51CDD" w:rsidRPr="002013DF" w:rsidRDefault="00E51CDD" w:rsidP="009938D9">
            <w:pPr>
              <w:suppressAutoHyphens/>
              <w:spacing w:before="40" w:after="40"/>
              <w:jc w:val="center"/>
              <w:rPr>
                <w:sz w:val="20"/>
                <w:szCs w:val="20"/>
              </w:rPr>
            </w:pPr>
            <w:r w:rsidRPr="002013DF">
              <w:rPr>
                <w:sz w:val="20"/>
                <w:szCs w:val="20"/>
              </w:rPr>
              <w:t>10.4</w:t>
            </w:r>
          </w:p>
        </w:tc>
        <w:tc>
          <w:tcPr>
            <w:tcW w:w="369" w:type="pct"/>
            <w:tcBorders>
              <w:top w:val="nil"/>
              <w:left w:val="nil"/>
              <w:bottom w:val="single" w:sz="4" w:space="0" w:color="auto"/>
              <w:right w:val="single" w:sz="4" w:space="0" w:color="auto"/>
            </w:tcBorders>
            <w:shd w:val="clear" w:color="auto" w:fill="FFFFFF"/>
            <w:noWrap/>
            <w:vAlign w:val="center"/>
            <w:hideMark/>
          </w:tcPr>
          <w:p w14:paraId="5619EE28" w14:textId="77777777" w:rsidR="00E51CDD" w:rsidRPr="002013DF" w:rsidRDefault="00E51CDD" w:rsidP="009938D9">
            <w:pPr>
              <w:suppressAutoHyphens/>
              <w:spacing w:before="40" w:after="40"/>
              <w:jc w:val="center"/>
              <w:rPr>
                <w:sz w:val="20"/>
                <w:szCs w:val="20"/>
              </w:rPr>
            </w:pPr>
            <w:r w:rsidRPr="002013DF">
              <w:rPr>
                <w:sz w:val="20"/>
                <w:szCs w:val="20"/>
              </w:rPr>
              <w:t>5</w:t>
            </w:r>
          </w:p>
        </w:tc>
        <w:tc>
          <w:tcPr>
            <w:tcW w:w="996" w:type="pct"/>
            <w:tcBorders>
              <w:top w:val="nil"/>
              <w:left w:val="nil"/>
              <w:bottom w:val="single" w:sz="4" w:space="0" w:color="auto"/>
              <w:right w:val="single" w:sz="4" w:space="0" w:color="auto"/>
            </w:tcBorders>
            <w:shd w:val="clear" w:color="auto" w:fill="FFFFFF"/>
            <w:noWrap/>
          </w:tcPr>
          <w:p w14:paraId="3BD256B0" w14:textId="77777777" w:rsidR="00E51CDD" w:rsidRPr="002013DF" w:rsidRDefault="00E51CDD" w:rsidP="009938D9">
            <w:pPr>
              <w:suppressAutoHyphens/>
              <w:spacing w:before="40" w:after="40"/>
              <w:jc w:val="center"/>
              <w:rPr>
                <w:sz w:val="20"/>
                <w:szCs w:val="20"/>
              </w:rPr>
            </w:pPr>
            <w:r>
              <w:rPr>
                <w:sz w:val="20"/>
                <w:szCs w:val="20"/>
              </w:rPr>
              <w:t>89.4</w:t>
            </w:r>
          </w:p>
        </w:tc>
        <w:tc>
          <w:tcPr>
            <w:tcW w:w="920" w:type="pct"/>
            <w:tcBorders>
              <w:top w:val="nil"/>
              <w:left w:val="nil"/>
              <w:bottom w:val="single" w:sz="4" w:space="0" w:color="auto"/>
              <w:right w:val="single" w:sz="4" w:space="0" w:color="auto"/>
            </w:tcBorders>
            <w:shd w:val="clear" w:color="auto" w:fill="FFFFFF"/>
            <w:noWrap/>
          </w:tcPr>
          <w:p w14:paraId="0F5475D5" w14:textId="77777777" w:rsidR="00E51CDD" w:rsidRPr="002013DF" w:rsidRDefault="00E51CDD" w:rsidP="009938D9">
            <w:pPr>
              <w:suppressAutoHyphens/>
              <w:spacing w:before="40" w:after="40"/>
              <w:jc w:val="center"/>
              <w:rPr>
                <w:sz w:val="20"/>
                <w:szCs w:val="20"/>
              </w:rPr>
            </w:pPr>
            <w:r>
              <w:rPr>
                <w:sz w:val="20"/>
                <w:szCs w:val="20"/>
              </w:rPr>
              <w:t>2</w:t>
            </w:r>
          </w:p>
        </w:tc>
      </w:tr>
    </w:tbl>
    <w:p w14:paraId="48E6C1F6" w14:textId="77777777" w:rsidR="00E51CDD" w:rsidRPr="002013DF" w:rsidRDefault="00E51CDD" w:rsidP="00E51CDD">
      <w:pPr>
        <w:suppressAutoHyphens/>
        <w:jc w:val="both"/>
        <w:rPr>
          <w:sz w:val="18"/>
          <w:szCs w:val="18"/>
          <w:lang w:eastAsia="en-US"/>
        </w:rPr>
      </w:pPr>
      <w:r w:rsidRPr="002013DF">
        <w:rPr>
          <w:sz w:val="18"/>
          <w:szCs w:val="18"/>
          <w:u w:val="single"/>
          <w:lang w:eastAsia="en-US"/>
        </w:rPr>
        <w:t>Abbreviation:</w:t>
      </w:r>
      <w:r w:rsidRPr="002013DF">
        <w:rPr>
          <w:sz w:val="18"/>
          <w:szCs w:val="18"/>
          <w:lang w:eastAsia="en-US"/>
        </w:rPr>
        <w:t xml:space="preserve"> RSD = relative standard deviation</w:t>
      </w:r>
    </w:p>
    <w:p w14:paraId="57ABE537" w14:textId="77777777" w:rsidR="00E51CDD" w:rsidRPr="002013DF" w:rsidRDefault="00E51CDD" w:rsidP="00E51CDD">
      <w:pPr>
        <w:tabs>
          <w:tab w:val="left" w:pos="425"/>
          <w:tab w:val="left" w:pos="850"/>
        </w:tabs>
        <w:suppressAutoHyphens/>
        <w:ind w:left="2835" w:hanging="2835"/>
        <w:jc w:val="both"/>
        <w:rPr>
          <w:b/>
          <w:bCs/>
          <w:lang w:eastAsia="en-US"/>
        </w:rPr>
      </w:pPr>
    </w:p>
    <w:p w14:paraId="78854991" w14:textId="77777777" w:rsidR="00E51CDD" w:rsidRPr="002013DF" w:rsidRDefault="00E51CDD" w:rsidP="00E51CDD">
      <w:pPr>
        <w:tabs>
          <w:tab w:val="left" w:pos="425"/>
          <w:tab w:val="left" w:pos="850"/>
        </w:tabs>
        <w:suppressAutoHyphens/>
        <w:ind w:left="2835" w:hanging="2835"/>
        <w:jc w:val="both"/>
        <w:rPr>
          <w:b/>
          <w:bCs/>
          <w:lang w:eastAsia="en-US"/>
        </w:rPr>
      </w:pPr>
      <w:r>
        <w:rPr>
          <w:b/>
          <w:bCs/>
          <w:lang w:eastAsia="en-US"/>
        </w:rPr>
        <w:br w:type="page"/>
      </w:r>
    </w:p>
    <w:p w14:paraId="2C6430AB" w14:textId="77777777" w:rsidR="00E51CDD" w:rsidRPr="002013DF" w:rsidRDefault="00E51CDD" w:rsidP="00E51CDD">
      <w:pPr>
        <w:tabs>
          <w:tab w:val="left" w:pos="425"/>
          <w:tab w:val="left" w:pos="850"/>
        </w:tabs>
        <w:suppressAutoHyphens/>
        <w:ind w:left="2835" w:hanging="2835"/>
        <w:jc w:val="both"/>
        <w:rPr>
          <w:b/>
          <w:bCs/>
          <w:lang w:eastAsia="en-US"/>
        </w:rPr>
      </w:pPr>
      <w:r w:rsidRPr="002013DF">
        <w:rPr>
          <w:b/>
          <w:bCs/>
          <w:lang w:eastAsia="en-US"/>
        </w:rPr>
        <w:lastRenderedPageBreak/>
        <w:t>II.</w:t>
      </w:r>
      <w:r w:rsidRPr="002013DF">
        <w:rPr>
          <w:b/>
          <w:bCs/>
          <w:lang w:eastAsia="en-US"/>
        </w:rPr>
        <w:tab/>
        <w:t>RESULTS AND DISCUSSION</w:t>
      </w:r>
    </w:p>
    <w:p w14:paraId="1AABE6AA" w14:textId="77777777" w:rsidR="00E51CDD" w:rsidRPr="002013DF" w:rsidRDefault="00E51CDD" w:rsidP="00E51CDD">
      <w:pPr>
        <w:tabs>
          <w:tab w:val="left" w:pos="425"/>
          <w:tab w:val="left" w:pos="850"/>
        </w:tabs>
        <w:suppressAutoHyphens/>
        <w:jc w:val="both"/>
        <w:rPr>
          <w:rFonts w:ascii="Arial" w:hAnsi="Arial" w:cs="Arial"/>
          <w:b/>
          <w:bCs/>
          <w:sz w:val="24"/>
          <w:szCs w:val="24"/>
          <w:lang w:eastAsia="en-US"/>
        </w:rPr>
      </w:pPr>
    </w:p>
    <w:p w14:paraId="4FBCD9BB" w14:textId="77777777" w:rsidR="00E51CDD" w:rsidRPr="00921B5F" w:rsidRDefault="00E51CDD" w:rsidP="00E51CDD">
      <w:pPr>
        <w:suppressAutoHyphens/>
        <w:jc w:val="both"/>
        <w:rPr>
          <w:szCs w:val="24"/>
        </w:rPr>
      </w:pPr>
      <w:r w:rsidRPr="0098242E">
        <w:rPr>
          <w:szCs w:val="24"/>
        </w:rPr>
        <w:t xml:space="preserve">Analytical measurements: Analytical verification of azoxystrobin and fluxapyroxad concentrations was conducted in each concentration at the beginning and at </w:t>
      </w:r>
      <w:r w:rsidRPr="00921B5F">
        <w:rPr>
          <w:szCs w:val="24"/>
        </w:rPr>
        <w:t>the end of the test. The analyzed contents of azoxystrobin ranged from 88.3% to 106% of nominal concentrations at test initiation and from 95.0% to 102% of nominal at test termination. The analyzed contents of fluxapyroxad ranged from 86.5% to 103% of nominal concentrations at test initiation and from 89.5% to 105% of nominal at test termination. The following biological results are based on nominal concentrations.</w:t>
      </w:r>
    </w:p>
    <w:p w14:paraId="1AF9A9D6" w14:textId="77777777" w:rsidR="00E51CDD" w:rsidRPr="00921B5F" w:rsidRDefault="00E51CDD" w:rsidP="00E51CDD">
      <w:pPr>
        <w:suppressAutoHyphens/>
        <w:jc w:val="both"/>
        <w:rPr>
          <w:szCs w:val="24"/>
        </w:rPr>
      </w:pPr>
    </w:p>
    <w:p w14:paraId="76F5347B" w14:textId="037FA362" w:rsidR="00E51CDD" w:rsidRPr="00921B5F" w:rsidRDefault="00E51CDD" w:rsidP="00E51CDD">
      <w:pPr>
        <w:suppressAutoHyphens/>
        <w:jc w:val="both"/>
      </w:pPr>
      <w:r w:rsidRPr="00921B5F">
        <w:t xml:space="preserve">Biological results: After 48 hours of exposure no immobility occurred at nominal concentrations up to and including </w:t>
      </w:r>
      <w:r>
        <w:t>1</w:t>
      </w:r>
      <w:r w:rsidRPr="00921B5F">
        <w:t xml:space="preserve">.0 mg BAS 736 00 F/L, whereas 85, 100 and 100% of the daphnids were immobile at 2.0, 4.0 and 8.0 mg BAS 736 00 F/L, respectively, which was a statistically significant increase in immobility compared to the control (Step-down Cochran-Armitage Test, one-sided greater, α = 0.05). No other sublethal effects were observed during the test. For results see </w:t>
      </w:r>
      <w:r w:rsidRPr="00921B5F">
        <w:rPr>
          <w:szCs w:val="24"/>
        </w:rPr>
        <w:fldChar w:fldCharType="begin"/>
      </w:r>
      <w:r w:rsidRPr="00921B5F">
        <w:instrText xml:space="preserve"> REF _Ref508974740 \h  \* MERGEFORMAT </w:instrText>
      </w:r>
      <w:r w:rsidRPr="00921B5F">
        <w:rPr>
          <w:szCs w:val="24"/>
        </w:rPr>
      </w:r>
      <w:r w:rsidRPr="00921B5F">
        <w:rPr>
          <w:szCs w:val="24"/>
        </w:rPr>
        <w:fldChar w:fldCharType="separate"/>
      </w:r>
      <w:r w:rsidR="00662F32" w:rsidRPr="00662F32">
        <w:rPr>
          <w:lang w:eastAsia="en-US"/>
        </w:rPr>
        <w:t xml:space="preserve">Table A </w:t>
      </w:r>
      <w:r w:rsidR="00662F32" w:rsidRPr="00662F32">
        <w:rPr>
          <w:noProof/>
          <w:lang w:eastAsia="en-US"/>
        </w:rPr>
        <w:t>9</w:t>
      </w:r>
      <w:r w:rsidRPr="00921B5F">
        <w:rPr>
          <w:szCs w:val="24"/>
        </w:rPr>
        <w:fldChar w:fldCharType="end"/>
      </w:r>
      <w:r w:rsidRPr="00921B5F">
        <w:t>.</w:t>
      </w:r>
    </w:p>
    <w:p w14:paraId="37EB464C" w14:textId="77777777" w:rsidR="00E51CDD" w:rsidRPr="00921B5F" w:rsidRDefault="00E51CDD" w:rsidP="00E51CDD">
      <w:pPr>
        <w:suppressAutoHyphens/>
        <w:rPr>
          <w:szCs w:val="24"/>
        </w:rPr>
      </w:pPr>
    </w:p>
    <w:p w14:paraId="57F4B5F0" w14:textId="5BC1B594" w:rsidR="00E51CDD" w:rsidRPr="00921B5F" w:rsidRDefault="00E51CDD" w:rsidP="00E51CDD">
      <w:pPr>
        <w:keepLines/>
        <w:suppressAutoHyphens/>
        <w:spacing w:before="120" w:after="120"/>
        <w:ind w:left="1452" w:hanging="1452"/>
        <w:jc w:val="both"/>
        <w:rPr>
          <w:b/>
          <w:lang w:eastAsia="en-US"/>
        </w:rPr>
      </w:pPr>
      <w:bookmarkStart w:id="1145" w:name="_Ref508974740"/>
      <w:r w:rsidRPr="00921B5F">
        <w:rPr>
          <w:b/>
          <w:lang w:eastAsia="en-US"/>
        </w:rPr>
        <w:t xml:space="preserve">Table A </w:t>
      </w:r>
      <w:r w:rsidRPr="00921B5F">
        <w:fldChar w:fldCharType="begin"/>
      </w:r>
      <w:r w:rsidRPr="00921B5F">
        <w:rPr>
          <w:b/>
          <w:lang w:eastAsia="en-US"/>
        </w:rPr>
        <w:instrText xml:space="preserve"> SEQ Table_A \* ARABIC </w:instrText>
      </w:r>
      <w:r w:rsidRPr="00921B5F">
        <w:fldChar w:fldCharType="separate"/>
      </w:r>
      <w:r w:rsidR="00662F32">
        <w:rPr>
          <w:b/>
          <w:noProof/>
          <w:lang w:eastAsia="en-US"/>
        </w:rPr>
        <w:t>9</w:t>
      </w:r>
      <w:r w:rsidRPr="00921B5F">
        <w:fldChar w:fldCharType="end"/>
      </w:r>
      <w:bookmarkEnd w:id="1145"/>
      <w:r w:rsidRPr="00921B5F">
        <w:rPr>
          <w:b/>
          <w:lang w:eastAsia="en-US"/>
        </w:rPr>
        <w:t>:</w:t>
      </w:r>
      <w:r w:rsidRPr="00921B5F">
        <w:rPr>
          <w:b/>
          <w:lang w:eastAsia="en-US"/>
        </w:rPr>
        <w:tab/>
        <w:t xml:space="preserve">Effects of </w:t>
      </w:r>
      <w:r w:rsidRPr="00921B5F">
        <w:rPr>
          <w:b/>
          <w:szCs w:val="24"/>
        </w:rPr>
        <w:t>BAS 736 00 F</w:t>
      </w:r>
      <w:r w:rsidRPr="00921B5F">
        <w:rPr>
          <w:b/>
          <w:lang w:eastAsia="en-US"/>
        </w:rPr>
        <w:t xml:space="preserve"> on </w:t>
      </w:r>
      <w:r w:rsidRPr="00921B5F">
        <w:rPr>
          <w:b/>
          <w:i/>
          <w:iCs/>
          <w:lang w:eastAsia="en-US"/>
        </w:rPr>
        <w:t>Daphnia magna</w:t>
      </w:r>
      <w:r w:rsidRPr="00921B5F">
        <w:rPr>
          <w:b/>
          <w:lang w:eastAsia="en-US"/>
        </w:rPr>
        <w:t xml:space="preserve"> immobility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01"/>
        <w:gridCol w:w="1148"/>
        <w:gridCol w:w="1149"/>
        <w:gridCol w:w="1149"/>
        <w:gridCol w:w="1149"/>
        <w:gridCol w:w="1149"/>
        <w:gridCol w:w="1299"/>
      </w:tblGrid>
      <w:tr w:rsidR="00E51CDD" w:rsidRPr="0098242E" w14:paraId="66E91F39" w14:textId="77777777" w:rsidTr="009938D9">
        <w:trPr>
          <w:trHeight w:val="20"/>
        </w:trPr>
        <w:tc>
          <w:tcPr>
            <w:tcW w:w="1231" w:type="pct"/>
            <w:tcBorders>
              <w:top w:val="single" w:sz="4" w:space="0" w:color="auto"/>
              <w:left w:val="single" w:sz="4" w:space="0" w:color="auto"/>
              <w:bottom w:val="single" w:sz="4" w:space="0" w:color="auto"/>
              <w:right w:val="single" w:sz="4" w:space="0" w:color="auto"/>
            </w:tcBorders>
            <w:vAlign w:val="center"/>
            <w:hideMark/>
          </w:tcPr>
          <w:p w14:paraId="61F49A58" w14:textId="77777777" w:rsidR="00E51CDD" w:rsidRPr="0098242E" w:rsidRDefault="00E51CDD" w:rsidP="009938D9">
            <w:pPr>
              <w:keepLines/>
              <w:suppressAutoHyphens/>
              <w:overflowPunct w:val="0"/>
              <w:autoSpaceDE w:val="0"/>
              <w:autoSpaceDN w:val="0"/>
              <w:adjustRightInd w:val="0"/>
              <w:spacing w:before="40" w:after="40"/>
              <w:textAlignment w:val="baseline"/>
              <w:rPr>
                <w:b/>
                <w:bCs/>
                <w:sz w:val="20"/>
                <w:szCs w:val="20"/>
              </w:rPr>
            </w:pPr>
            <w:r w:rsidRPr="0098242E">
              <w:rPr>
                <w:b/>
                <w:bCs/>
                <w:sz w:val="20"/>
                <w:szCs w:val="20"/>
              </w:rPr>
              <w:t xml:space="preserve">Concentration [mg/L] </w:t>
            </w:r>
            <w:r w:rsidRPr="0098242E">
              <w:rPr>
                <w:b/>
                <w:bCs/>
                <w:sz w:val="20"/>
                <w:szCs w:val="20"/>
              </w:rPr>
              <w:br/>
              <w:t>(nominal)</w:t>
            </w:r>
          </w:p>
        </w:tc>
        <w:tc>
          <w:tcPr>
            <w:tcW w:w="614" w:type="pct"/>
            <w:tcBorders>
              <w:top w:val="single" w:sz="4" w:space="0" w:color="auto"/>
              <w:left w:val="single" w:sz="4" w:space="0" w:color="auto"/>
              <w:bottom w:val="single" w:sz="4" w:space="0" w:color="auto"/>
              <w:right w:val="single" w:sz="4" w:space="0" w:color="auto"/>
            </w:tcBorders>
            <w:vAlign w:val="center"/>
            <w:hideMark/>
          </w:tcPr>
          <w:p w14:paraId="7FD1F9DB" w14:textId="77777777" w:rsidR="00E51CDD" w:rsidRPr="0098242E"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98242E">
              <w:rPr>
                <w:b/>
                <w:bCs/>
                <w:sz w:val="20"/>
                <w:szCs w:val="20"/>
              </w:rPr>
              <w:t>Control</w:t>
            </w:r>
          </w:p>
        </w:tc>
        <w:tc>
          <w:tcPr>
            <w:tcW w:w="615" w:type="pct"/>
            <w:tcBorders>
              <w:top w:val="single" w:sz="4" w:space="0" w:color="auto"/>
              <w:left w:val="single" w:sz="4" w:space="0" w:color="auto"/>
              <w:bottom w:val="single" w:sz="4" w:space="0" w:color="auto"/>
              <w:right w:val="single" w:sz="4" w:space="0" w:color="auto"/>
            </w:tcBorders>
            <w:vAlign w:val="center"/>
            <w:hideMark/>
          </w:tcPr>
          <w:p w14:paraId="356B493C" w14:textId="77777777" w:rsidR="00E51CDD" w:rsidRPr="0098242E"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98242E">
              <w:rPr>
                <w:b/>
                <w:bCs/>
                <w:sz w:val="20"/>
                <w:szCs w:val="20"/>
              </w:rPr>
              <w:t>0.5</w:t>
            </w:r>
          </w:p>
        </w:tc>
        <w:tc>
          <w:tcPr>
            <w:tcW w:w="615" w:type="pct"/>
            <w:tcBorders>
              <w:top w:val="single" w:sz="4" w:space="0" w:color="auto"/>
              <w:left w:val="single" w:sz="4" w:space="0" w:color="auto"/>
              <w:bottom w:val="single" w:sz="4" w:space="0" w:color="auto"/>
              <w:right w:val="single" w:sz="4" w:space="0" w:color="auto"/>
            </w:tcBorders>
            <w:vAlign w:val="center"/>
            <w:hideMark/>
          </w:tcPr>
          <w:p w14:paraId="6FE5543E" w14:textId="77777777" w:rsidR="00E51CDD" w:rsidRPr="0098242E"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98242E">
              <w:rPr>
                <w:b/>
                <w:bCs/>
                <w:sz w:val="20"/>
                <w:szCs w:val="20"/>
              </w:rPr>
              <w:t>1.0</w:t>
            </w:r>
          </w:p>
        </w:tc>
        <w:tc>
          <w:tcPr>
            <w:tcW w:w="615" w:type="pct"/>
            <w:tcBorders>
              <w:top w:val="single" w:sz="4" w:space="0" w:color="auto"/>
              <w:left w:val="single" w:sz="4" w:space="0" w:color="auto"/>
              <w:bottom w:val="single" w:sz="4" w:space="0" w:color="auto"/>
              <w:right w:val="single" w:sz="4" w:space="0" w:color="auto"/>
            </w:tcBorders>
            <w:vAlign w:val="center"/>
            <w:hideMark/>
          </w:tcPr>
          <w:p w14:paraId="4BDDB95F" w14:textId="77777777" w:rsidR="00E51CDD" w:rsidRPr="0098242E"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98242E">
              <w:rPr>
                <w:b/>
                <w:bCs/>
                <w:sz w:val="20"/>
                <w:szCs w:val="20"/>
              </w:rPr>
              <w:t>2.0</w:t>
            </w:r>
          </w:p>
        </w:tc>
        <w:tc>
          <w:tcPr>
            <w:tcW w:w="615" w:type="pct"/>
            <w:tcBorders>
              <w:top w:val="single" w:sz="4" w:space="0" w:color="auto"/>
              <w:left w:val="single" w:sz="4" w:space="0" w:color="auto"/>
              <w:bottom w:val="single" w:sz="4" w:space="0" w:color="auto"/>
              <w:right w:val="single" w:sz="4" w:space="0" w:color="auto"/>
            </w:tcBorders>
            <w:vAlign w:val="center"/>
            <w:hideMark/>
          </w:tcPr>
          <w:p w14:paraId="141D4C41" w14:textId="77777777" w:rsidR="00E51CDD" w:rsidRPr="0098242E"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98242E">
              <w:rPr>
                <w:b/>
                <w:bCs/>
                <w:sz w:val="20"/>
                <w:szCs w:val="20"/>
              </w:rPr>
              <w:t>4.0</w:t>
            </w:r>
          </w:p>
        </w:tc>
        <w:tc>
          <w:tcPr>
            <w:tcW w:w="695" w:type="pct"/>
            <w:tcBorders>
              <w:top w:val="single" w:sz="4" w:space="0" w:color="auto"/>
              <w:left w:val="single" w:sz="4" w:space="0" w:color="auto"/>
              <w:bottom w:val="single" w:sz="4" w:space="0" w:color="auto"/>
              <w:right w:val="single" w:sz="4" w:space="0" w:color="auto"/>
            </w:tcBorders>
            <w:vAlign w:val="center"/>
            <w:hideMark/>
          </w:tcPr>
          <w:p w14:paraId="43030BD1" w14:textId="77777777" w:rsidR="00E51CDD" w:rsidRPr="0098242E"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98242E">
              <w:rPr>
                <w:b/>
                <w:bCs/>
                <w:sz w:val="20"/>
                <w:szCs w:val="20"/>
              </w:rPr>
              <w:t>8.0</w:t>
            </w:r>
          </w:p>
        </w:tc>
      </w:tr>
      <w:tr w:rsidR="00E51CDD" w:rsidRPr="002100A3" w14:paraId="58521D07" w14:textId="77777777" w:rsidTr="009938D9">
        <w:trPr>
          <w:trHeight w:val="20"/>
        </w:trPr>
        <w:tc>
          <w:tcPr>
            <w:tcW w:w="1231" w:type="pct"/>
            <w:tcBorders>
              <w:top w:val="single" w:sz="4" w:space="0" w:color="auto"/>
              <w:left w:val="single" w:sz="4" w:space="0" w:color="auto"/>
              <w:bottom w:val="single" w:sz="4" w:space="0" w:color="auto"/>
              <w:right w:val="single" w:sz="4" w:space="0" w:color="auto"/>
            </w:tcBorders>
            <w:vAlign w:val="center"/>
            <w:hideMark/>
          </w:tcPr>
          <w:p w14:paraId="185FC6CB" w14:textId="77777777" w:rsidR="00E51CDD" w:rsidRPr="002100A3" w:rsidRDefault="00E51CDD" w:rsidP="009938D9">
            <w:pPr>
              <w:keepLines/>
              <w:suppressAutoHyphens/>
              <w:overflowPunct w:val="0"/>
              <w:autoSpaceDE w:val="0"/>
              <w:autoSpaceDN w:val="0"/>
              <w:adjustRightInd w:val="0"/>
              <w:spacing w:before="40" w:after="40"/>
              <w:textAlignment w:val="baseline"/>
              <w:rPr>
                <w:sz w:val="20"/>
                <w:szCs w:val="20"/>
              </w:rPr>
            </w:pPr>
            <w:r w:rsidRPr="002100A3">
              <w:rPr>
                <w:sz w:val="20"/>
                <w:szCs w:val="20"/>
              </w:rPr>
              <w:t>Immobility (24 h) (%)</w:t>
            </w:r>
          </w:p>
        </w:tc>
        <w:tc>
          <w:tcPr>
            <w:tcW w:w="614" w:type="pct"/>
            <w:tcBorders>
              <w:top w:val="single" w:sz="4" w:space="0" w:color="auto"/>
              <w:left w:val="single" w:sz="4" w:space="0" w:color="auto"/>
              <w:bottom w:val="single" w:sz="4" w:space="0" w:color="auto"/>
              <w:right w:val="single" w:sz="4" w:space="0" w:color="auto"/>
            </w:tcBorders>
            <w:vAlign w:val="center"/>
            <w:hideMark/>
          </w:tcPr>
          <w:p w14:paraId="2D5A219B"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0</w:t>
            </w:r>
          </w:p>
        </w:tc>
        <w:tc>
          <w:tcPr>
            <w:tcW w:w="615" w:type="pct"/>
            <w:tcBorders>
              <w:top w:val="single" w:sz="4" w:space="0" w:color="auto"/>
              <w:left w:val="single" w:sz="4" w:space="0" w:color="auto"/>
              <w:bottom w:val="single" w:sz="4" w:space="0" w:color="auto"/>
              <w:right w:val="single" w:sz="4" w:space="0" w:color="auto"/>
            </w:tcBorders>
            <w:vAlign w:val="center"/>
            <w:hideMark/>
          </w:tcPr>
          <w:p w14:paraId="75C7F233"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0</w:t>
            </w:r>
          </w:p>
        </w:tc>
        <w:tc>
          <w:tcPr>
            <w:tcW w:w="615" w:type="pct"/>
            <w:tcBorders>
              <w:top w:val="single" w:sz="4" w:space="0" w:color="auto"/>
              <w:left w:val="single" w:sz="4" w:space="0" w:color="auto"/>
              <w:bottom w:val="single" w:sz="4" w:space="0" w:color="auto"/>
              <w:right w:val="single" w:sz="4" w:space="0" w:color="auto"/>
            </w:tcBorders>
            <w:vAlign w:val="center"/>
            <w:hideMark/>
          </w:tcPr>
          <w:p w14:paraId="12A385E4"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0</w:t>
            </w:r>
          </w:p>
        </w:tc>
        <w:tc>
          <w:tcPr>
            <w:tcW w:w="615" w:type="pct"/>
            <w:tcBorders>
              <w:top w:val="single" w:sz="4" w:space="0" w:color="auto"/>
              <w:left w:val="single" w:sz="4" w:space="0" w:color="auto"/>
              <w:bottom w:val="single" w:sz="4" w:space="0" w:color="auto"/>
              <w:right w:val="single" w:sz="4" w:space="0" w:color="auto"/>
            </w:tcBorders>
            <w:vAlign w:val="center"/>
            <w:hideMark/>
          </w:tcPr>
          <w:p w14:paraId="26543CF1"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60</w:t>
            </w:r>
            <w:r>
              <w:rPr>
                <w:sz w:val="20"/>
                <w:szCs w:val="20"/>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08B2BD79"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90</w:t>
            </w:r>
            <w:r>
              <w:rPr>
                <w:sz w:val="20"/>
                <w:szCs w:val="20"/>
              </w:rPr>
              <w:t>*</w:t>
            </w:r>
          </w:p>
        </w:tc>
        <w:tc>
          <w:tcPr>
            <w:tcW w:w="695" w:type="pct"/>
            <w:tcBorders>
              <w:top w:val="single" w:sz="4" w:space="0" w:color="auto"/>
              <w:left w:val="single" w:sz="4" w:space="0" w:color="auto"/>
              <w:bottom w:val="single" w:sz="4" w:space="0" w:color="auto"/>
              <w:right w:val="single" w:sz="4" w:space="0" w:color="auto"/>
            </w:tcBorders>
            <w:vAlign w:val="center"/>
            <w:hideMark/>
          </w:tcPr>
          <w:p w14:paraId="4C1B8F37"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100</w:t>
            </w:r>
            <w:r>
              <w:rPr>
                <w:sz w:val="20"/>
                <w:szCs w:val="20"/>
              </w:rPr>
              <w:t>*</w:t>
            </w:r>
          </w:p>
        </w:tc>
      </w:tr>
      <w:tr w:rsidR="00E51CDD" w:rsidRPr="002100A3" w14:paraId="723B4D41" w14:textId="77777777" w:rsidTr="009938D9">
        <w:trPr>
          <w:trHeight w:val="20"/>
        </w:trPr>
        <w:tc>
          <w:tcPr>
            <w:tcW w:w="1231" w:type="pct"/>
            <w:tcBorders>
              <w:top w:val="single" w:sz="4" w:space="0" w:color="auto"/>
              <w:left w:val="single" w:sz="4" w:space="0" w:color="auto"/>
              <w:bottom w:val="single" w:sz="4" w:space="0" w:color="auto"/>
              <w:right w:val="single" w:sz="4" w:space="0" w:color="auto"/>
            </w:tcBorders>
            <w:vAlign w:val="center"/>
            <w:hideMark/>
          </w:tcPr>
          <w:p w14:paraId="61306C88" w14:textId="77777777" w:rsidR="00E51CDD" w:rsidRPr="002100A3" w:rsidRDefault="00E51CDD" w:rsidP="009938D9">
            <w:pPr>
              <w:keepLines/>
              <w:suppressAutoHyphens/>
              <w:overflowPunct w:val="0"/>
              <w:autoSpaceDE w:val="0"/>
              <w:autoSpaceDN w:val="0"/>
              <w:adjustRightInd w:val="0"/>
              <w:spacing w:before="40" w:after="40"/>
              <w:textAlignment w:val="baseline"/>
              <w:rPr>
                <w:sz w:val="20"/>
                <w:szCs w:val="20"/>
              </w:rPr>
            </w:pPr>
            <w:r w:rsidRPr="002100A3">
              <w:rPr>
                <w:sz w:val="20"/>
                <w:szCs w:val="20"/>
              </w:rPr>
              <w:t>Immobility (48 h) (%)</w:t>
            </w:r>
          </w:p>
        </w:tc>
        <w:tc>
          <w:tcPr>
            <w:tcW w:w="614" w:type="pct"/>
            <w:tcBorders>
              <w:top w:val="single" w:sz="4" w:space="0" w:color="auto"/>
              <w:left w:val="single" w:sz="4" w:space="0" w:color="auto"/>
              <w:bottom w:val="single" w:sz="4" w:space="0" w:color="auto"/>
              <w:right w:val="single" w:sz="4" w:space="0" w:color="auto"/>
            </w:tcBorders>
            <w:vAlign w:val="center"/>
            <w:hideMark/>
          </w:tcPr>
          <w:p w14:paraId="19C09931"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0</w:t>
            </w:r>
          </w:p>
        </w:tc>
        <w:tc>
          <w:tcPr>
            <w:tcW w:w="615" w:type="pct"/>
            <w:tcBorders>
              <w:top w:val="single" w:sz="4" w:space="0" w:color="auto"/>
              <w:left w:val="single" w:sz="4" w:space="0" w:color="auto"/>
              <w:bottom w:val="single" w:sz="4" w:space="0" w:color="auto"/>
              <w:right w:val="single" w:sz="4" w:space="0" w:color="auto"/>
            </w:tcBorders>
            <w:vAlign w:val="center"/>
            <w:hideMark/>
          </w:tcPr>
          <w:p w14:paraId="0CC1A2FA"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0</w:t>
            </w:r>
          </w:p>
        </w:tc>
        <w:tc>
          <w:tcPr>
            <w:tcW w:w="615" w:type="pct"/>
            <w:tcBorders>
              <w:top w:val="single" w:sz="4" w:space="0" w:color="auto"/>
              <w:left w:val="single" w:sz="4" w:space="0" w:color="auto"/>
              <w:bottom w:val="single" w:sz="4" w:space="0" w:color="auto"/>
              <w:right w:val="single" w:sz="4" w:space="0" w:color="auto"/>
            </w:tcBorders>
            <w:vAlign w:val="center"/>
            <w:hideMark/>
          </w:tcPr>
          <w:p w14:paraId="7B9610CE"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0</w:t>
            </w:r>
          </w:p>
        </w:tc>
        <w:tc>
          <w:tcPr>
            <w:tcW w:w="615" w:type="pct"/>
            <w:tcBorders>
              <w:top w:val="single" w:sz="4" w:space="0" w:color="auto"/>
              <w:left w:val="single" w:sz="4" w:space="0" w:color="auto"/>
              <w:bottom w:val="single" w:sz="4" w:space="0" w:color="auto"/>
              <w:right w:val="single" w:sz="4" w:space="0" w:color="auto"/>
            </w:tcBorders>
            <w:vAlign w:val="center"/>
            <w:hideMark/>
          </w:tcPr>
          <w:p w14:paraId="470FB3AF"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85</w:t>
            </w:r>
            <w:r>
              <w:rPr>
                <w:sz w:val="20"/>
                <w:szCs w:val="20"/>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406D1C5D"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100</w:t>
            </w:r>
            <w:r>
              <w:rPr>
                <w:sz w:val="20"/>
                <w:szCs w:val="20"/>
              </w:rPr>
              <w:t>*</w:t>
            </w:r>
          </w:p>
        </w:tc>
        <w:tc>
          <w:tcPr>
            <w:tcW w:w="695" w:type="pct"/>
            <w:tcBorders>
              <w:top w:val="single" w:sz="4" w:space="0" w:color="auto"/>
              <w:left w:val="single" w:sz="4" w:space="0" w:color="auto"/>
              <w:bottom w:val="single" w:sz="4" w:space="0" w:color="auto"/>
              <w:right w:val="single" w:sz="4" w:space="0" w:color="auto"/>
            </w:tcBorders>
            <w:vAlign w:val="center"/>
            <w:hideMark/>
          </w:tcPr>
          <w:p w14:paraId="34E5E2D1"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100</w:t>
            </w:r>
            <w:r>
              <w:rPr>
                <w:sz w:val="20"/>
                <w:szCs w:val="20"/>
              </w:rPr>
              <w:t>*</w:t>
            </w:r>
          </w:p>
        </w:tc>
      </w:tr>
      <w:tr w:rsidR="00E51CDD" w:rsidRPr="007330A6" w14:paraId="5A37CC72" w14:textId="77777777" w:rsidTr="009938D9">
        <w:trPr>
          <w:trHeight w:val="20"/>
        </w:trPr>
        <w:tc>
          <w:tcPr>
            <w:tcW w:w="1231" w:type="pct"/>
            <w:tcBorders>
              <w:top w:val="single" w:sz="4" w:space="0" w:color="auto"/>
              <w:left w:val="single" w:sz="4" w:space="0" w:color="auto"/>
              <w:bottom w:val="single" w:sz="4" w:space="0" w:color="auto"/>
              <w:right w:val="single" w:sz="4" w:space="0" w:color="auto"/>
            </w:tcBorders>
            <w:vAlign w:val="center"/>
          </w:tcPr>
          <w:p w14:paraId="680FB4F1" w14:textId="77777777" w:rsidR="00E51CDD" w:rsidRPr="002100A3" w:rsidRDefault="00E51CDD" w:rsidP="009938D9">
            <w:pPr>
              <w:keepLines/>
              <w:suppressAutoHyphens/>
              <w:overflowPunct w:val="0"/>
              <w:autoSpaceDE w:val="0"/>
              <w:autoSpaceDN w:val="0"/>
              <w:adjustRightInd w:val="0"/>
              <w:spacing w:before="40" w:after="40"/>
              <w:textAlignment w:val="baseline"/>
              <w:rPr>
                <w:rFonts w:cs="Arial"/>
                <w:caps/>
                <w:sz w:val="20"/>
                <w:szCs w:val="20"/>
              </w:rPr>
            </w:pPr>
          </w:p>
        </w:tc>
        <w:tc>
          <w:tcPr>
            <w:tcW w:w="3769" w:type="pct"/>
            <w:gridSpan w:val="6"/>
            <w:tcBorders>
              <w:top w:val="single" w:sz="4" w:space="0" w:color="auto"/>
              <w:left w:val="single" w:sz="4" w:space="0" w:color="auto"/>
              <w:bottom w:val="single" w:sz="4" w:space="0" w:color="auto"/>
              <w:right w:val="single" w:sz="4" w:space="0" w:color="auto"/>
            </w:tcBorders>
            <w:hideMark/>
          </w:tcPr>
          <w:p w14:paraId="3D9D64FB"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b/>
                <w:bCs/>
                <w:sz w:val="20"/>
                <w:szCs w:val="20"/>
                <w:lang w:val="fr-FR"/>
              </w:rPr>
            </w:pPr>
            <w:r w:rsidRPr="002100A3">
              <w:rPr>
                <w:b/>
                <w:bCs/>
                <w:sz w:val="20"/>
                <w:szCs w:val="20"/>
                <w:lang w:val="fr-FR"/>
              </w:rPr>
              <w:t>Endpoints [mg </w:t>
            </w:r>
            <w:r w:rsidRPr="002100A3">
              <w:rPr>
                <w:b/>
                <w:sz w:val="20"/>
                <w:szCs w:val="20"/>
                <w:lang w:val="fr-FR"/>
              </w:rPr>
              <w:t>BAS 736 00 F</w:t>
            </w:r>
            <w:r w:rsidRPr="002100A3">
              <w:rPr>
                <w:b/>
                <w:bCs/>
                <w:sz w:val="20"/>
                <w:szCs w:val="20"/>
                <w:lang w:val="fr-FR"/>
              </w:rPr>
              <w:t xml:space="preserve"> /L] (nominal)</w:t>
            </w:r>
          </w:p>
        </w:tc>
      </w:tr>
      <w:tr w:rsidR="00E51CDD" w:rsidRPr="002100A3" w14:paraId="0C7CD693" w14:textId="77777777" w:rsidTr="009938D9">
        <w:trPr>
          <w:trHeight w:val="20"/>
        </w:trPr>
        <w:tc>
          <w:tcPr>
            <w:tcW w:w="1231" w:type="pct"/>
            <w:tcBorders>
              <w:top w:val="single" w:sz="4" w:space="0" w:color="auto"/>
              <w:left w:val="single" w:sz="4" w:space="0" w:color="auto"/>
              <w:bottom w:val="single" w:sz="4" w:space="0" w:color="auto"/>
              <w:right w:val="single" w:sz="4" w:space="0" w:color="auto"/>
            </w:tcBorders>
            <w:vAlign w:val="center"/>
            <w:hideMark/>
          </w:tcPr>
          <w:p w14:paraId="29AB1465" w14:textId="77777777" w:rsidR="00E51CDD" w:rsidRPr="002100A3" w:rsidRDefault="00E51CDD" w:rsidP="009938D9">
            <w:pPr>
              <w:keepLines/>
              <w:suppressAutoHyphens/>
              <w:overflowPunct w:val="0"/>
              <w:autoSpaceDE w:val="0"/>
              <w:autoSpaceDN w:val="0"/>
              <w:adjustRightInd w:val="0"/>
              <w:spacing w:before="40" w:after="40"/>
              <w:textAlignment w:val="baseline"/>
              <w:rPr>
                <w:sz w:val="20"/>
                <w:szCs w:val="20"/>
              </w:rPr>
            </w:pPr>
            <w:r w:rsidRPr="002100A3">
              <w:rPr>
                <w:sz w:val="20"/>
                <w:szCs w:val="20"/>
              </w:rPr>
              <w:t>EC</w:t>
            </w:r>
            <w:r w:rsidRPr="002100A3">
              <w:rPr>
                <w:sz w:val="20"/>
                <w:szCs w:val="20"/>
                <w:vertAlign w:val="subscript"/>
              </w:rPr>
              <w:t>50</w:t>
            </w:r>
            <w:r w:rsidRPr="002100A3">
              <w:rPr>
                <w:sz w:val="20"/>
                <w:szCs w:val="20"/>
              </w:rPr>
              <w:t xml:space="preserve"> (48 h)</w:t>
            </w:r>
          </w:p>
        </w:tc>
        <w:tc>
          <w:tcPr>
            <w:tcW w:w="3769" w:type="pct"/>
            <w:gridSpan w:val="6"/>
            <w:tcBorders>
              <w:top w:val="single" w:sz="4" w:space="0" w:color="auto"/>
              <w:left w:val="single" w:sz="4" w:space="0" w:color="auto"/>
              <w:bottom w:val="single" w:sz="4" w:space="0" w:color="auto"/>
              <w:right w:val="single" w:sz="4" w:space="0" w:color="auto"/>
            </w:tcBorders>
            <w:hideMark/>
          </w:tcPr>
          <w:p w14:paraId="233A3E82"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1.57 (95% confidence limit: 1.41 – 1.75)</w:t>
            </w:r>
          </w:p>
        </w:tc>
      </w:tr>
      <w:tr w:rsidR="00E51CDD" w:rsidRPr="002100A3" w14:paraId="34E2FEC4" w14:textId="77777777" w:rsidTr="009938D9">
        <w:trPr>
          <w:trHeight w:val="20"/>
        </w:trPr>
        <w:tc>
          <w:tcPr>
            <w:tcW w:w="1231" w:type="pct"/>
            <w:tcBorders>
              <w:top w:val="single" w:sz="4" w:space="0" w:color="auto"/>
              <w:left w:val="single" w:sz="4" w:space="0" w:color="auto"/>
              <w:bottom w:val="single" w:sz="4" w:space="0" w:color="auto"/>
              <w:right w:val="single" w:sz="4" w:space="0" w:color="auto"/>
            </w:tcBorders>
            <w:vAlign w:val="center"/>
            <w:hideMark/>
          </w:tcPr>
          <w:p w14:paraId="2C40749C" w14:textId="77777777" w:rsidR="00E51CDD" w:rsidRPr="002100A3" w:rsidRDefault="00E51CDD" w:rsidP="009938D9">
            <w:pPr>
              <w:keepLines/>
              <w:suppressAutoHyphens/>
              <w:overflowPunct w:val="0"/>
              <w:autoSpaceDE w:val="0"/>
              <w:autoSpaceDN w:val="0"/>
              <w:adjustRightInd w:val="0"/>
              <w:spacing w:before="40" w:after="40"/>
              <w:textAlignment w:val="baseline"/>
              <w:rPr>
                <w:sz w:val="20"/>
                <w:szCs w:val="20"/>
              </w:rPr>
            </w:pPr>
            <w:r w:rsidRPr="002100A3">
              <w:rPr>
                <w:sz w:val="20"/>
                <w:szCs w:val="20"/>
              </w:rPr>
              <w:t>NOEC (48 h)</w:t>
            </w:r>
          </w:p>
        </w:tc>
        <w:tc>
          <w:tcPr>
            <w:tcW w:w="3769" w:type="pct"/>
            <w:gridSpan w:val="6"/>
            <w:tcBorders>
              <w:top w:val="single" w:sz="4" w:space="0" w:color="auto"/>
              <w:left w:val="single" w:sz="4" w:space="0" w:color="auto"/>
              <w:bottom w:val="single" w:sz="4" w:space="0" w:color="auto"/>
              <w:right w:val="single" w:sz="4" w:space="0" w:color="auto"/>
            </w:tcBorders>
            <w:hideMark/>
          </w:tcPr>
          <w:p w14:paraId="3FC648C8" w14:textId="77777777" w:rsidR="00E51CDD" w:rsidRPr="002100A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2100A3">
              <w:rPr>
                <w:sz w:val="20"/>
                <w:szCs w:val="20"/>
              </w:rPr>
              <w:t>1.00</w:t>
            </w:r>
          </w:p>
        </w:tc>
      </w:tr>
    </w:tbl>
    <w:p w14:paraId="03548471" w14:textId="77777777" w:rsidR="00E51CDD" w:rsidRPr="002100A3" w:rsidRDefault="00E51CDD" w:rsidP="00E51CDD">
      <w:pPr>
        <w:suppressAutoHyphens/>
        <w:rPr>
          <w:sz w:val="16"/>
          <w:szCs w:val="18"/>
        </w:rPr>
      </w:pPr>
      <w:r w:rsidRPr="002100A3">
        <w:rPr>
          <w:sz w:val="16"/>
          <w:szCs w:val="18"/>
        </w:rPr>
        <w:t>* Statistically significantly different from the control (Step-down Cochran-Armitage Test, one-sided greater, α = 0.05).</w:t>
      </w:r>
    </w:p>
    <w:p w14:paraId="5C69915B" w14:textId="77777777" w:rsidR="00E51CDD" w:rsidRPr="002100A3" w:rsidRDefault="00E51CDD" w:rsidP="00E51CDD">
      <w:pPr>
        <w:suppressAutoHyphens/>
        <w:rPr>
          <w:szCs w:val="24"/>
        </w:rPr>
      </w:pPr>
    </w:p>
    <w:p w14:paraId="58FA33A4" w14:textId="77777777" w:rsidR="00E51CDD" w:rsidRPr="008A06B6" w:rsidRDefault="00E51CDD" w:rsidP="00E51CDD">
      <w:pPr>
        <w:suppressAutoHyphens/>
        <w:rPr>
          <w:color w:val="0070C0"/>
          <w:szCs w:val="24"/>
        </w:rPr>
      </w:pPr>
    </w:p>
    <w:tbl>
      <w:tblPr>
        <w:tblStyle w:val="Tabela-Siatka"/>
        <w:tblW w:w="0" w:type="auto"/>
        <w:tblLook w:val="04A0" w:firstRow="1" w:lastRow="0" w:firstColumn="1" w:lastColumn="0" w:noHBand="0" w:noVBand="1"/>
      </w:tblPr>
      <w:tblGrid>
        <w:gridCol w:w="5807"/>
        <w:gridCol w:w="3255"/>
      </w:tblGrid>
      <w:tr w:rsidR="00E51CDD" w:rsidRPr="00433B09" w14:paraId="3F8F73E3" w14:textId="77777777" w:rsidTr="009938D9">
        <w:tc>
          <w:tcPr>
            <w:tcW w:w="5807" w:type="dxa"/>
            <w:tcBorders>
              <w:top w:val="single" w:sz="4" w:space="0" w:color="auto"/>
              <w:left w:val="single" w:sz="4" w:space="0" w:color="auto"/>
              <w:bottom w:val="single" w:sz="4" w:space="0" w:color="auto"/>
              <w:right w:val="single" w:sz="4" w:space="0" w:color="auto"/>
            </w:tcBorders>
            <w:hideMark/>
          </w:tcPr>
          <w:p w14:paraId="119BF46C" w14:textId="77777777" w:rsidR="00E51CDD" w:rsidRPr="00433B09" w:rsidRDefault="00E51CDD" w:rsidP="009938D9">
            <w:pPr>
              <w:suppressAutoHyphens/>
              <w:jc w:val="both"/>
              <w:rPr>
                <w:sz w:val="20"/>
                <w:szCs w:val="20"/>
                <w:lang w:eastAsia="en-US"/>
              </w:rPr>
            </w:pPr>
            <w:r w:rsidRPr="00433B09">
              <w:rPr>
                <w:b/>
                <w:bCs/>
                <w:sz w:val="20"/>
                <w:szCs w:val="20"/>
              </w:rPr>
              <w:t>Validity criteria according to OECD 202 (2004)</w:t>
            </w:r>
          </w:p>
        </w:tc>
        <w:tc>
          <w:tcPr>
            <w:tcW w:w="3255" w:type="dxa"/>
            <w:tcBorders>
              <w:top w:val="single" w:sz="4" w:space="0" w:color="auto"/>
              <w:left w:val="single" w:sz="4" w:space="0" w:color="auto"/>
              <w:bottom w:val="single" w:sz="4" w:space="0" w:color="auto"/>
              <w:right w:val="single" w:sz="4" w:space="0" w:color="auto"/>
            </w:tcBorders>
            <w:vAlign w:val="center"/>
            <w:hideMark/>
          </w:tcPr>
          <w:p w14:paraId="26FC7E8B" w14:textId="77777777" w:rsidR="00E51CDD" w:rsidRPr="00433B09" w:rsidRDefault="00E51CDD" w:rsidP="009938D9">
            <w:pPr>
              <w:suppressAutoHyphens/>
              <w:jc w:val="left"/>
              <w:rPr>
                <w:sz w:val="20"/>
                <w:szCs w:val="20"/>
                <w:lang w:eastAsia="en-US"/>
              </w:rPr>
            </w:pPr>
            <w:r w:rsidRPr="00433B09">
              <w:rPr>
                <w:b/>
                <w:bCs/>
                <w:sz w:val="20"/>
                <w:szCs w:val="20"/>
              </w:rPr>
              <w:t xml:space="preserve">Validity criteria according to OECD 202 (2004) </w:t>
            </w:r>
          </w:p>
        </w:tc>
      </w:tr>
      <w:tr w:rsidR="00E51CDD" w:rsidRPr="00433B09" w14:paraId="7DF5D022" w14:textId="77777777" w:rsidTr="009938D9">
        <w:tc>
          <w:tcPr>
            <w:tcW w:w="5807" w:type="dxa"/>
            <w:tcBorders>
              <w:top w:val="single" w:sz="4" w:space="0" w:color="auto"/>
              <w:left w:val="single" w:sz="4" w:space="0" w:color="auto"/>
              <w:bottom w:val="single" w:sz="4" w:space="0" w:color="auto"/>
              <w:right w:val="single" w:sz="4" w:space="0" w:color="auto"/>
            </w:tcBorders>
            <w:hideMark/>
          </w:tcPr>
          <w:p w14:paraId="7D5D99B0" w14:textId="77777777" w:rsidR="00E51CDD" w:rsidRPr="00433B09" w:rsidRDefault="00E51CDD" w:rsidP="009938D9">
            <w:pPr>
              <w:suppressAutoHyphens/>
              <w:jc w:val="both"/>
              <w:rPr>
                <w:sz w:val="20"/>
                <w:szCs w:val="20"/>
                <w:lang w:eastAsia="en-US"/>
              </w:rPr>
            </w:pPr>
            <w:r w:rsidRPr="00433B09">
              <w:rPr>
                <w:sz w:val="20"/>
                <w:szCs w:val="20"/>
              </w:rPr>
              <w:t>In the control, including the control containing the solubilizing agent, not more than 10% of the daphnids should have been immobilized. (Not more than 10% of the control daphnids should show immobilization or other signs of disease or stress, for example, discoloration or unusual behavior such as trapping at surface of water.)</w:t>
            </w:r>
          </w:p>
        </w:tc>
        <w:tc>
          <w:tcPr>
            <w:tcW w:w="3255" w:type="dxa"/>
            <w:tcBorders>
              <w:top w:val="single" w:sz="4" w:space="0" w:color="auto"/>
              <w:left w:val="single" w:sz="4" w:space="0" w:color="auto"/>
              <w:bottom w:val="single" w:sz="4" w:space="0" w:color="auto"/>
              <w:right w:val="single" w:sz="4" w:space="0" w:color="auto"/>
            </w:tcBorders>
            <w:hideMark/>
          </w:tcPr>
          <w:p w14:paraId="0ADDE70F" w14:textId="77777777" w:rsidR="00E51CDD" w:rsidRPr="00433B09" w:rsidRDefault="00E51CDD" w:rsidP="009938D9">
            <w:pPr>
              <w:suppressAutoHyphens/>
              <w:jc w:val="both"/>
              <w:rPr>
                <w:sz w:val="20"/>
                <w:szCs w:val="20"/>
                <w:lang w:eastAsia="en-US"/>
              </w:rPr>
            </w:pPr>
            <w:r w:rsidRPr="00433B09">
              <w:rPr>
                <w:sz w:val="20"/>
                <w:szCs w:val="20"/>
                <w:lang w:eastAsia="en-US"/>
              </w:rPr>
              <w:t>0%</w:t>
            </w:r>
          </w:p>
        </w:tc>
      </w:tr>
      <w:tr w:rsidR="00E51CDD" w:rsidRPr="00433B09" w14:paraId="08DED3AA" w14:textId="77777777" w:rsidTr="009938D9">
        <w:tc>
          <w:tcPr>
            <w:tcW w:w="5807" w:type="dxa"/>
            <w:tcBorders>
              <w:top w:val="single" w:sz="4" w:space="0" w:color="auto"/>
              <w:left w:val="single" w:sz="4" w:space="0" w:color="auto"/>
              <w:bottom w:val="single" w:sz="4" w:space="0" w:color="auto"/>
              <w:right w:val="single" w:sz="4" w:space="0" w:color="auto"/>
            </w:tcBorders>
            <w:hideMark/>
          </w:tcPr>
          <w:p w14:paraId="5A3EB690" w14:textId="77777777" w:rsidR="00E51CDD" w:rsidRPr="00433B09" w:rsidRDefault="00E51CDD" w:rsidP="009938D9">
            <w:pPr>
              <w:suppressAutoHyphens/>
              <w:jc w:val="both"/>
              <w:rPr>
                <w:sz w:val="20"/>
                <w:szCs w:val="20"/>
                <w:lang w:eastAsia="en-US"/>
              </w:rPr>
            </w:pPr>
            <w:r w:rsidRPr="00433B09">
              <w:rPr>
                <w:sz w:val="20"/>
                <w:szCs w:val="20"/>
              </w:rPr>
              <w:t>The dissolved oxygen concentration at the end of the test should be ≥ 3 mg/L in control and test vessels.</w:t>
            </w:r>
          </w:p>
        </w:tc>
        <w:tc>
          <w:tcPr>
            <w:tcW w:w="3255" w:type="dxa"/>
            <w:tcBorders>
              <w:top w:val="single" w:sz="4" w:space="0" w:color="auto"/>
              <w:left w:val="single" w:sz="4" w:space="0" w:color="auto"/>
              <w:bottom w:val="single" w:sz="4" w:space="0" w:color="auto"/>
              <w:right w:val="single" w:sz="4" w:space="0" w:color="auto"/>
            </w:tcBorders>
            <w:hideMark/>
          </w:tcPr>
          <w:p w14:paraId="32EEA93A" w14:textId="77777777" w:rsidR="00E51CDD" w:rsidRPr="00433B09" w:rsidRDefault="00E51CDD" w:rsidP="009938D9">
            <w:pPr>
              <w:suppressAutoHyphens/>
              <w:jc w:val="left"/>
              <w:rPr>
                <w:sz w:val="20"/>
                <w:szCs w:val="20"/>
                <w:lang w:eastAsia="en-US"/>
              </w:rPr>
            </w:pPr>
            <w:r w:rsidRPr="00433B09">
              <w:rPr>
                <w:sz w:val="20"/>
                <w:szCs w:val="20"/>
              </w:rPr>
              <w:t>7.6  – 8.9 mg/L</w:t>
            </w:r>
          </w:p>
        </w:tc>
      </w:tr>
    </w:tbl>
    <w:p w14:paraId="676AE012" w14:textId="77777777" w:rsidR="00E51CDD" w:rsidRPr="00921B5F" w:rsidRDefault="00E51CDD" w:rsidP="00E51CDD">
      <w:pPr>
        <w:suppressAutoHyphens/>
        <w:rPr>
          <w:szCs w:val="24"/>
        </w:rPr>
      </w:pPr>
    </w:p>
    <w:p w14:paraId="0A22FF0A" w14:textId="77777777" w:rsidR="00E51CDD" w:rsidRPr="00921B5F" w:rsidRDefault="00E51CDD" w:rsidP="00E51CDD">
      <w:pPr>
        <w:suppressAutoHyphens/>
        <w:rPr>
          <w:szCs w:val="24"/>
        </w:rPr>
      </w:pPr>
    </w:p>
    <w:p w14:paraId="7B9ED6B4" w14:textId="77777777" w:rsidR="00E51CDD" w:rsidRPr="00921B5F" w:rsidRDefault="00E51CDD" w:rsidP="00E51CDD">
      <w:pPr>
        <w:tabs>
          <w:tab w:val="left" w:pos="425"/>
          <w:tab w:val="left" w:pos="850"/>
        </w:tabs>
        <w:suppressAutoHyphens/>
        <w:ind w:left="2835" w:hanging="2835"/>
        <w:jc w:val="both"/>
        <w:rPr>
          <w:b/>
          <w:bCs/>
          <w:lang w:eastAsia="en-US"/>
        </w:rPr>
      </w:pPr>
      <w:r w:rsidRPr="00921B5F">
        <w:rPr>
          <w:b/>
          <w:bCs/>
          <w:lang w:eastAsia="en-US"/>
        </w:rPr>
        <w:t>III.</w:t>
      </w:r>
      <w:r w:rsidRPr="00921B5F">
        <w:rPr>
          <w:b/>
          <w:bCs/>
          <w:lang w:eastAsia="en-US"/>
        </w:rPr>
        <w:tab/>
        <w:t>CONCLUSION</w:t>
      </w:r>
    </w:p>
    <w:p w14:paraId="179FC0D0" w14:textId="77777777" w:rsidR="00E51CDD" w:rsidRPr="00921B5F" w:rsidRDefault="00E51CDD" w:rsidP="00E51CDD">
      <w:pPr>
        <w:suppressAutoHyphens/>
        <w:rPr>
          <w:szCs w:val="24"/>
        </w:rPr>
      </w:pPr>
    </w:p>
    <w:p w14:paraId="66B4A422" w14:textId="77777777" w:rsidR="00E51CDD" w:rsidRPr="00921B5F" w:rsidRDefault="00E51CDD" w:rsidP="00E51CDD">
      <w:pPr>
        <w:suppressAutoHyphens/>
        <w:jc w:val="both"/>
        <w:rPr>
          <w:b/>
          <w:bCs/>
          <w:szCs w:val="24"/>
        </w:rPr>
      </w:pPr>
      <w:r w:rsidRPr="00921B5F">
        <w:rPr>
          <w:b/>
          <w:bCs/>
          <w:szCs w:val="24"/>
        </w:rPr>
        <w:t>In a</w:t>
      </w:r>
      <w:r>
        <w:rPr>
          <w:b/>
          <w:bCs/>
          <w:szCs w:val="24"/>
        </w:rPr>
        <w:t xml:space="preserve"> 48-hour</w:t>
      </w:r>
      <w:r w:rsidRPr="00921B5F">
        <w:rPr>
          <w:b/>
          <w:bCs/>
          <w:szCs w:val="24"/>
        </w:rPr>
        <w:t xml:space="preserve"> static acute toxicity study on </w:t>
      </w:r>
      <w:r w:rsidRPr="00921B5F">
        <w:rPr>
          <w:b/>
          <w:bCs/>
          <w:i/>
          <w:iCs/>
          <w:szCs w:val="24"/>
        </w:rPr>
        <w:t>Daphnia magna,</w:t>
      </w:r>
      <w:r w:rsidRPr="00921B5F">
        <w:rPr>
          <w:b/>
          <w:bCs/>
          <w:szCs w:val="24"/>
        </w:rPr>
        <w:t xml:space="preserve"> the EC</w:t>
      </w:r>
      <w:r w:rsidRPr="00921B5F">
        <w:rPr>
          <w:b/>
          <w:bCs/>
          <w:szCs w:val="24"/>
          <w:vertAlign w:val="subscript"/>
        </w:rPr>
        <w:t>50</w:t>
      </w:r>
      <w:r w:rsidRPr="00921B5F">
        <w:rPr>
          <w:b/>
          <w:bCs/>
          <w:szCs w:val="24"/>
        </w:rPr>
        <w:t xml:space="preserve"> (48 h) of BAS 736 00 F was 1.57 mg/L based on nominal concentrations. The NOEC was determined to be 1.0 mg/L (nominal). </w:t>
      </w:r>
    </w:p>
    <w:p w14:paraId="3B098B83" w14:textId="77777777" w:rsidR="00E51CDD" w:rsidRPr="00921B5F" w:rsidRDefault="00E51CDD" w:rsidP="00E51CDD">
      <w:pPr>
        <w:widowControl w:val="0"/>
        <w:suppressAutoHyphens/>
        <w:jc w:val="both"/>
      </w:pPr>
    </w:p>
    <w:p w14:paraId="7839EE4A" w14:textId="77777777" w:rsidR="00E51CDD" w:rsidRPr="00921B5F" w:rsidRDefault="00E51CDD" w:rsidP="00E51CDD"/>
    <w:p w14:paraId="61777495" w14:textId="77777777" w:rsidR="00E51CDD" w:rsidRDefault="00E51CDD" w:rsidP="00E51CDD">
      <w:pPr>
        <w:pStyle w:val="RepStandard"/>
      </w:pPr>
    </w:p>
    <w:p w14:paraId="3EC060F4" w14:textId="77777777" w:rsidR="00E51CDD" w:rsidRPr="00B16C79" w:rsidRDefault="00E51CDD" w:rsidP="00E51CDD">
      <w:pPr>
        <w:pStyle w:val="RepAppendix4"/>
      </w:pPr>
      <w:r>
        <w:br w:type="page"/>
      </w:r>
      <w:r w:rsidRPr="00B16C79">
        <w:lastRenderedPageBreak/>
        <w:t>Study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12FF3E13" w14:textId="77777777" w:rsidTr="009D1A79">
        <w:trPr>
          <w:trHeight w:val="1198"/>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544EE6" w14:textId="77777777" w:rsidR="00E51CDD" w:rsidRDefault="00E51CDD" w:rsidP="009938D9">
            <w:pPr>
              <w:pStyle w:val="RepStandard"/>
              <w:rPr>
                <w:rFonts w:eastAsia="Batang"/>
              </w:rPr>
            </w:pPr>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ACF402" w14:textId="3D39FAE9" w:rsidR="00174C76" w:rsidRPr="007A6328" w:rsidRDefault="00174C76" w:rsidP="00174C76">
            <w:pPr>
              <w:pStyle w:val="RepStandard"/>
              <w:rPr>
                <w:color w:val="000000"/>
              </w:rPr>
            </w:pPr>
            <w:r w:rsidRPr="007A6328">
              <w:rPr>
                <w:color w:val="000000"/>
              </w:rPr>
              <w:t>The study was conducted to OECD guideline 20</w:t>
            </w:r>
            <w:r>
              <w:rPr>
                <w:color w:val="000000"/>
              </w:rPr>
              <w:t>1</w:t>
            </w:r>
            <w:r w:rsidRPr="007A6328">
              <w:rPr>
                <w:color w:val="000000"/>
              </w:rPr>
              <w:t xml:space="preserve"> and according to the principles of GLP. No deviations to the guideline were noted. All validity criteria were met.</w:t>
            </w:r>
          </w:p>
          <w:p w14:paraId="1019BD4E" w14:textId="77777777" w:rsidR="00174C76" w:rsidRDefault="00174C76" w:rsidP="00174C76">
            <w:pPr>
              <w:pStyle w:val="RepStandard"/>
              <w:rPr>
                <w:color w:val="000000"/>
              </w:rPr>
            </w:pPr>
            <w:r w:rsidRPr="007A6328">
              <w:rPr>
                <w:color w:val="000000"/>
              </w:rPr>
              <w:t xml:space="preserve">The study is considered to be reliable </w:t>
            </w:r>
            <w:r w:rsidRPr="007A6328">
              <w:t>and suitable for the risk assessment</w:t>
            </w:r>
            <w:r w:rsidRPr="007A6328">
              <w:rPr>
                <w:color w:val="000000"/>
              </w:rPr>
              <w:t>.</w:t>
            </w:r>
          </w:p>
          <w:p w14:paraId="3E63BABA" w14:textId="4680253D" w:rsidR="00E51CDD" w:rsidRDefault="00174C76" w:rsidP="00174C76">
            <w:pPr>
              <w:pStyle w:val="RepStandard"/>
              <w:rPr>
                <w:rFonts w:eastAsia="Batang"/>
              </w:rPr>
            </w:pPr>
            <w:r>
              <w:rPr>
                <w:rFonts w:eastAsia="Calibri"/>
                <w:lang w:eastAsia="de-AT"/>
              </w:rPr>
              <w:t>T</w:t>
            </w:r>
            <w:r w:rsidRPr="00034B15">
              <w:rPr>
                <w:rFonts w:eastAsia="Calibri"/>
                <w:lang w:eastAsia="de-AT"/>
              </w:rPr>
              <w:t>he</w:t>
            </w:r>
            <w:r w:rsidRPr="007A6328">
              <w:t xml:space="preserve"> results refer to nominal concentrations</w:t>
            </w:r>
            <w:r>
              <w:t>.</w:t>
            </w:r>
          </w:p>
        </w:tc>
      </w:tr>
    </w:tbl>
    <w:p w14:paraId="64FD23D6"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37E25EBD" w14:textId="77777777" w:rsidTr="009938D9">
        <w:trPr>
          <w:gridAfter w:val="1"/>
          <w:wAfter w:w="9" w:type="pct"/>
        </w:trPr>
        <w:tc>
          <w:tcPr>
            <w:tcW w:w="1340" w:type="pct"/>
            <w:hideMark/>
          </w:tcPr>
          <w:p w14:paraId="5E54A6C7" w14:textId="77777777" w:rsidR="00E51CDD" w:rsidRDefault="00E51CDD" w:rsidP="009938D9">
            <w:pPr>
              <w:pStyle w:val="RepStandard"/>
              <w:rPr>
                <w:lang w:val="de-DE"/>
              </w:rPr>
            </w:pPr>
            <w:r>
              <w:t>Reference:</w:t>
            </w:r>
          </w:p>
        </w:tc>
        <w:tc>
          <w:tcPr>
            <w:tcW w:w="3651" w:type="pct"/>
            <w:hideMark/>
          </w:tcPr>
          <w:p w14:paraId="708EF88E" w14:textId="77777777" w:rsidR="00E51CDD" w:rsidRDefault="00E51CDD" w:rsidP="009938D9">
            <w:pPr>
              <w:pStyle w:val="RepStandard"/>
            </w:pPr>
            <w:r>
              <w:t>CP 10.2.1/3</w:t>
            </w:r>
          </w:p>
        </w:tc>
      </w:tr>
      <w:tr w:rsidR="00E51CDD" w14:paraId="4D154259" w14:textId="77777777" w:rsidTr="009938D9">
        <w:trPr>
          <w:gridAfter w:val="1"/>
          <w:wAfter w:w="9" w:type="pct"/>
        </w:trPr>
        <w:tc>
          <w:tcPr>
            <w:tcW w:w="1340" w:type="pct"/>
            <w:hideMark/>
          </w:tcPr>
          <w:p w14:paraId="02595BF2" w14:textId="77777777" w:rsidR="00E51CDD" w:rsidRDefault="00E51CDD" w:rsidP="009938D9">
            <w:pPr>
              <w:pStyle w:val="RepStandard"/>
              <w:spacing w:after="120"/>
            </w:pPr>
            <w:r>
              <w:t>Report</w:t>
            </w:r>
          </w:p>
        </w:tc>
        <w:tc>
          <w:tcPr>
            <w:tcW w:w="3651" w:type="pct"/>
            <w:hideMark/>
          </w:tcPr>
          <w:p w14:paraId="3928F9E1" w14:textId="77777777" w:rsidR="00E51CDD" w:rsidRDefault="00E51CDD" w:rsidP="009938D9">
            <w:pPr>
              <w:pStyle w:val="RepStandard"/>
              <w:spacing w:after="120"/>
              <w:rPr>
                <w:lang w:val="en-US"/>
              </w:rPr>
            </w:pPr>
            <w:r>
              <w:rPr>
                <w:lang w:val="en-US"/>
              </w:rPr>
              <w:t>BAS 736 00 F: Toxicity to the Single Cell Green Alga Pseudokirchneriella subcapitata Hindák under Laboratory Conditions,</w:t>
            </w:r>
          </w:p>
          <w:p w14:paraId="7406F199" w14:textId="77777777" w:rsidR="00E51CDD" w:rsidRDefault="00E51CDD" w:rsidP="009938D9">
            <w:pPr>
              <w:pStyle w:val="RepStandard"/>
              <w:spacing w:after="120"/>
              <w:rPr>
                <w:lang w:val="en-US"/>
              </w:rPr>
            </w:pPr>
            <w:r>
              <w:rPr>
                <w:lang w:val="en-US"/>
              </w:rPr>
              <w:t>Obert-Rauser, P., 2020</w:t>
            </w:r>
          </w:p>
          <w:p w14:paraId="496F68A7" w14:textId="77777777" w:rsidR="00E51CDD" w:rsidRDefault="00E51CDD" w:rsidP="009938D9">
            <w:pPr>
              <w:pStyle w:val="RepStandard"/>
              <w:spacing w:after="120"/>
              <w:rPr>
                <w:lang w:val="en-US"/>
              </w:rPr>
            </w:pPr>
            <w:r>
              <w:rPr>
                <w:lang w:val="en-US"/>
              </w:rPr>
              <w:t>report No 849661, S19-20424</w:t>
            </w:r>
          </w:p>
          <w:p w14:paraId="520EA210" w14:textId="77777777" w:rsidR="00E51CDD" w:rsidRDefault="00E51CDD" w:rsidP="009938D9">
            <w:pPr>
              <w:pStyle w:val="RepStandard"/>
              <w:spacing w:after="120"/>
            </w:pPr>
            <w:r>
              <w:rPr>
                <w:lang w:val="en-US"/>
              </w:rPr>
              <w:t>2019/2039623</w:t>
            </w:r>
          </w:p>
          <w:p w14:paraId="166C2006" w14:textId="77777777" w:rsidR="00E51CDD" w:rsidRDefault="00E51CDD" w:rsidP="009938D9">
            <w:pPr>
              <w:pStyle w:val="RepStandard"/>
            </w:pPr>
            <w:r>
              <w:t>Authority registration No</w:t>
            </w:r>
          </w:p>
        </w:tc>
      </w:tr>
      <w:tr w:rsidR="00E51CDD" w14:paraId="50AEF367" w14:textId="77777777" w:rsidTr="009938D9">
        <w:trPr>
          <w:gridAfter w:val="1"/>
          <w:wAfter w:w="9" w:type="pct"/>
        </w:trPr>
        <w:tc>
          <w:tcPr>
            <w:tcW w:w="1340" w:type="pct"/>
            <w:hideMark/>
          </w:tcPr>
          <w:p w14:paraId="439F24B4" w14:textId="77777777" w:rsidR="00E51CDD" w:rsidRDefault="00E51CDD" w:rsidP="009938D9">
            <w:pPr>
              <w:pStyle w:val="RepStandard"/>
            </w:pPr>
            <w:r>
              <w:t>Guideline(s):</w:t>
            </w:r>
          </w:p>
        </w:tc>
        <w:tc>
          <w:tcPr>
            <w:tcW w:w="3651" w:type="pct"/>
            <w:hideMark/>
          </w:tcPr>
          <w:p w14:paraId="4B4FD519" w14:textId="77777777" w:rsidR="00E51CDD" w:rsidRDefault="00E51CDD" w:rsidP="009938D9">
            <w:pPr>
              <w:pStyle w:val="RepStandard"/>
              <w:spacing w:after="120"/>
            </w:pPr>
            <w:r>
              <w:rPr>
                <w:lang w:val="en-US"/>
              </w:rPr>
              <w:t>OECD 201 (2006)</w:t>
            </w:r>
            <w:r>
              <w:t xml:space="preserve"> </w:t>
            </w:r>
          </w:p>
        </w:tc>
      </w:tr>
      <w:tr w:rsidR="00E51CDD" w14:paraId="0B6D3B93" w14:textId="77777777" w:rsidTr="009938D9">
        <w:trPr>
          <w:gridAfter w:val="1"/>
          <w:wAfter w:w="9" w:type="pct"/>
        </w:trPr>
        <w:tc>
          <w:tcPr>
            <w:tcW w:w="1340" w:type="pct"/>
            <w:hideMark/>
          </w:tcPr>
          <w:p w14:paraId="62BC8FA8" w14:textId="77777777" w:rsidR="00E51CDD" w:rsidRDefault="00E51CDD" w:rsidP="009938D9">
            <w:pPr>
              <w:pStyle w:val="RepStandard"/>
            </w:pPr>
            <w:r>
              <w:t>Deviations:</w:t>
            </w:r>
          </w:p>
        </w:tc>
        <w:tc>
          <w:tcPr>
            <w:tcW w:w="3651" w:type="pct"/>
            <w:hideMark/>
          </w:tcPr>
          <w:p w14:paraId="76E006AE" w14:textId="77777777" w:rsidR="00E51CDD" w:rsidRDefault="00E51CDD" w:rsidP="009938D9">
            <w:pPr>
              <w:pStyle w:val="RepStandard"/>
              <w:spacing w:after="120"/>
            </w:pPr>
            <w:r>
              <w:t xml:space="preserve">No </w:t>
            </w:r>
          </w:p>
        </w:tc>
      </w:tr>
      <w:tr w:rsidR="00E51CDD" w:rsidRPr="00662F32" w14:paraId="3A630DA9" w14:textId="77777777" w:rsidTr="009938D9">
        <w:tc>
          <w:tcPr>
            <w:tcW w:w="1340" w:type="pct"/>
            <w:hideMark/>
          </w:tcPr>
          <w:p w14:paraId="78931B57" w14:textId="77777777" w:rsidR="00E51CDD" w:rsidRDefault="00E51CDD" w:rsidP="009938D9">
            <w:pPr>
              <w:pStyle w:val="RepStandard"/>
            </w:pPr>
            <w:r>
              <w:t>GLP:</w:t>
            </w:r>
          </w:p>
        </w:tc>
        <w:tc>
          <w:tcPr>
            <w:tcW w:w="3660" w:type="pct"/>
            <w:gridSpan w:val="2"/>
            <w:hideMark/>
          </w:tcPr>
          <w:p w14:paraId="3E8CC780" w14:textId="77777777" w:rsidR="00E51CDD" w:rsidRPr="00B16C79" w:rsidRDefault="00E51CDD" w:rsidP="009938D9">
            <w:pPr>
              <w:tabs>
                <w:tab w:val="left" w:pos="425"/>
                <w:tab w:val="left" w:pos="850"/>
              </w:tabs>
              <w:spacing w:after="120"/>
              <w:ind w:left="1985" w:hanging="1985"/>
              <w:rPr>
                <w:b/>
                <w:lang w:val="de-DE"/>
              </w:rPr>
            </w:pPr>
            <w:r w:rsidRPr="00B16C79">
              <w:rPr>
                <w:lang w:val="de-DE"/>
              </w:rPr>
              <w:t>yes</w:t>
            </w:r>
          </w:p>
          <w:p w14:paraId="39CE4CBF" w14:textId="77777777" w:rsidR="00E51CDD" w:rsidRPr="00B16C79" w:rsidRDefault="00E51CDD" w:rsidP="009938D9">
            <w:pPr>
              <w:pStyle w:val="RepStandard"/>
              <w:spacing w:after="120"/>
              <w:jc w:val="left"/>
              <w:rPr>
                <w:lang w:val="de-DE"/>
              </w:rPr>
            </w:pPr>
            <w:r w:rsidRPr="00B16C79">
              <w:rPr>
                <w:lang w:val="de-DE"/>
              </w:rPr>
              <w:t xml:space="preserve">(certified by Landesanstalt fuer Umwelt, Baden-Wuerttemberg, Karlsruhe, Germany ), </w:t>
            </w:r>
          </w:p>
        </w:tc>
      </w:tr>
      <w:tr w:rsidR="00E51CDD" w14:paraId="4C645141" w14:textId="77777777" w:rsidTr="009938D9">
        <w:trPr>
          <w:gridAfter w:val="1"/>
          <w:wAfter w:w="9" w:type="pct"/>
        </w:trPr>
        <w:tc>
          <w:tcPr>
            <w:tcW w:w="1340" w:type="pct"/>
            <w:hideMark/>
          </w:tcPr>
          <w:p w14:paraId="050FD0CF" w14:textId="77777777" w:rsidR="00E51CDD" w:rsidRDefault="00E51CDD" w:rsidP="009938D9">
            <w:pPr>
              <w:pStyle w:val="RepStandard"/>
              <w:rPr>
                <w:lang w:val="de-DE"/>
              </w:rPr>
            </w:pPr>
            <w:r>
              <w:t>Acceptability:</w:t>
            </w:r>
          </w:p>
        </w:tc>
        <w:tc>
          <w:tcPr>
            <w:tcW w:w="3651" w:type="pct"/>
            <w:hideMark/>
          </w:tcPr>
          <w:p w14:paraId="4ACA4275" w14:textId="77777777" w:rsidR="00E51CDD" w:rsidRDefault="00E51CDD" w:rsidP="009938D9">
            <w:pPr>
              <w:pStyle w:val="RepStandard"/>
            </w:pPr>
            <w:r>
              <w:t xml:space="preserve">Yes </w:t>
            </w:r>
          </w:p>
        </w:tc>
      </w:tr>
      <w:tr w:rsidR="00E51CDD" w14:paraId="10B16B50" w14:textId="77777777" w:rsidTr="009938D9">
        <w:trPr>
          <w:gridAfter w:val="1"/>
          <w:wAfter w:w="9" w:type="pct"/>
        </w:trPr>
        <w:tc>
          <w:tcPr>
            <w:tcW w:w="1340" w:type="pct"/>
            <w:hideMark/>
          </w:tcPr>
          <w:p w14:paraId="3F8E00C8" w14:textId="77777777" w:rsidR="00E51CDD" w:rsidRDefault="00E51CDD" w:rsidP="009938D9">
            <w:pPr>
              <w:pStyle w:val="RepStandard"/>
            </w:pPr>
            <w:r>
              <w:t xml:space="preserve">Duplication </w:t>
            </w:r>
            <w:r>
              <w:br/>
              <w:t>(if vertebrate study)</w:t>
            </w:r>
          </w:p>
        </w:tc>
        <w:tc>
          <w:tcPr>
            <w:tcW w:w="3651" w:type="pct"/>
            <w:hideMark/>
          </w:tcPr>
          <w:p w14:paraId="45C0CE26" w14:textId="77777777" w:rsidR="00E51CDD" w:rsidRPr="00B16C79" w:rsidRDefault="00E51CDD" w:rsidP="009938D9">
            <w:pPr>
              <w:pStyle w:val="RepStandard"/>
              <w:spacing w:after="120"/>
            </w:pPr>
            <w:r>
              <w:t xml:space="preserve">No </w:t>
            </w:r>
          </w:p>
        </w:tc>
      </w:tr>
    </w:tbl>
    <w:p w14:paraId="016E97EF" w14:textId="77777777" w:rsidR="00E51CDD" w:rsidRPr="00B16C79" w:rsidRDefault="00E51CDD" w:rsidP="00E51CDD">
      <w:pPr>
        <w:pStyle w:val="RepStandard"/>
        <w:rPr>
          <w:lang w:val="en-US"/>
        </w:rPr>
      </w:pPr>
    </w:p>
    <w:p w14:paraId="0AC76453" w14:textId="77777777" w:rsidR="00E51CDD" w:rsidRPr="00C032C8" w:rsidRDefault="00E51CDD" w:rsidP="00E51CDD">
      <w:pPr>
        <w:tabs>
          <w:tab w:val="left" w:pos="425"/>
          <w:tab w:val="left" w:pos="850"/>
        </w:tabs>
        <w:suppressAutoHyphens/>
        <w:ind w:left="2837" w:hanging="2837"/>
        <w:jc w:val="both"/>
        <w:rPr>
          <w:b/>
          <w:bCs/>
          <w:lang w:eastAsia="en-US"/>
        </w:rPr>
      </w:pPr>
      <w:r w:rsidRPr="00C032C8">
        <w:rPr>
          <w:b/>
          <w:bCs/>
          <w:sz w:val="24"/>
          <w:lang w:eastAsia="en-US"/>
        </w:rPr>
        <w:t>Executive</w:t>
      </w:r>
      <w:r w:rsidRPr="00C032C8">
        <w:rPr>
          <w:b/>
          <w:bCs/>
          <w:lang w:eastAsia="en-US"/>
        </w:rPr>
        <w:t xml:space="preserve"> Summary</w:t>
      </w:r>
    </w:p>
    <w:p w14:paraId="1E6075FC" w14:textId="77777777" w:rsidR="00E51CDD" w:rsidRPr="00C032C8" w:rsidRDefault="00E51CDD" w:rsidP="00E51CDD">
      <w:pPr>
        <w:widowControl w:val="0"/>
        <w:suppressAutoHyphens/>
        <w:jc w:val="both"/>
      </w:pPr>
    </w:p>
    <w:p w14:paraId="759AFB81" w14:textId="77777777" w:rsidR="00E51CDD" w:rsidRPr="00C032C8" w:rsidRDefault="00E51CDD" w:rsidP="00E51CDD">
      <w:pPr>
        <w:suppressAutoHyphens/>
        <w:jc w:val="both"/>
        <w:rPr>
          <w:szCs w:val="24"/>
        </w:rPr>
      </w:pPr>
      <w:r w:rsidRPr="00C032C8">
        <w:rPr>
          <w:szCs w:val="24"/>
        </w:rPr>
        <w:t xml:space="preserve">In a 72-hour static toxicity laboratory study, the effect of BAS 736 00 F on the growth of the green alga </w:t>
      </w:r>
      <w:r w:rsidRPr="00C032C8">
        <w:rPr>
          <w:i/>
          <w:iCs/>
          <w:szCs w:val="24"/>
        </w:rPr>
        <w:t>Pseudokirchneriella subcapitata</w:t>
      </w:r>
      <w:r w:rsidRPr="00C032C8">
        <w:rPr>
          <w:szCs w:val="24"/>
        </w:rPr>
        <w:t xml:space="preserve"> was investigated. The following nominal concentrations were applied: 0 (control), 0.260, 0.729, 2.04, 5.71 and 16.0 mg BAS 736 00 F/L. Assessment of growth was conducted 0 h, 24 h, 48 h and 72 h after test initiation. </w:t>
      </w:r>
      <w:r w:rsidRPr="00C032C8">
        <w:t>The percentage growth inhibition, relative to the control, was calculated for each test concentration based upon mean growth rates and yield based on number of cells.</w:t>
      </w:r>
    </w:p>
    <w:p w14:paraId="55AF79D6" w14:textId="77777777" w:rsidR="00E51CDD" w:rsidRPr="00C032C8" w:rsidRDefault="00E51CDD" w:rsidP="00E51CDD">
      <w:pPr>
        <w:suppressAutoHyphens/>
        <w:jc w:val="both"/>
        <w:rPr>
          <w:szCs w:val="24"/>
        </w:rPr>
      </w:pPr>
    </w:p>
    <w:p w14:paraId="47E1F39D" w14:textId="77777777" w:rsidR="00E51CDD" w:rsidRPr="00C032C8" w:rsidRDefault="00E51CDD" w:rsidP="00E51CDD">
      <w:pPr>
        <w:suppressAutoHyphens/>
        <w:jc w:val="both"/>
        <w:rPr>
          <w:szCs w:val="24"/>
        </w:rPr>
      </w:pPr>
      <w:r w:rsidRPr="00C032C8">
        <w:rPr>
          <w:szCs w:val="24"/>
        </w:rPr>
        <w:t xml:space="preserve">The biological results are based on nominal concentrations. </w:t>
      </w:r>
      <w:r w:rsidRPr="00C032C8">
        <w:t>No morphological effects on algae were observed in the control and up to and including 5.71 mg/L. No algal cells were visible at test concentration of 16.0 mg/L. After 72 h significant inhibitory effects were determined for growth rate and yield at test item concentrations of 2.04 mg/L and above.</w:t>
      </w:r>
    </w:p>
    <w:p w14:paraId="424BA4F4" w14:textId="77777777" w:rsidR="00E51CDD" w:rsidRPr="00C032C8" w:rsidRDefault="00E51CDD" w:rsidP="00E51CDD">
      <w:pPr>
        <w:suppressAutoHyphens/>
        <w:jc w:val="both"/>
        <w:rPr>
          <w:szCs w:val="24"/>
        </w:rPr>
      </w:pPr>
    </w:p>
    <w:p w14:paraId="6B03F317" w14:textId="77777777" w:rsidR="00E51CDD" w:rsidRPr="00C032C8" w:rsidRDefault="00E51CDD" w:rsidP="00E51CDD">
      <w:pPr>
        <w:keepNext/>
        <w:suppressAutoHyphens/>
        <w:jc w:val="both"/>
        <w:rPr>
          <w:b/>
          <w:bCs/>
          <w:szCs w:val="24"/>
        </w:rPr>
      </w:pPr>
      <w:r w:rsidRPr="00C032C8">
        <w:rPr>
          <w:b/>
          <w:bCs/>
          <w:szCs w:val="24"/>
        </w:rPr>
        <w:t xml:space="preserve">In a 72-hour algae test with </w:t>
      </w:r>
      <w:r w:rsidRPr="00C032C8">
        <w:rPr>
          <w:b/>
          <w:bCs/>
          <w:i/>
          <w:iCs/>
          <w:szCs w:val="24"/>
        </w:rPr>
        <w:t>Pseudokirchneriella subcapitata,</w:t>
      </w:r>
      <w:r w:rsidRPr="00C032C8">
        <w:rPr>
          <w:b/>
          <w:bCs/>
          <w:szCs w:val="24"/>
        </w:rPr>
        <w:t xml:space="preserve"> the E</w:t>
      </w:r>
      <w:r w:rsidRPr="00C032C8">
        <w:rPr>
          <w:b/>
          <w:bCs/>
          <w:szCs w:val="24"/>
          <w:vertAlign w:val="subscript"/>
        </w:rPr>
        <w:t>r</w:t>
      </w:r>
      <w:r w:rsidRPr="00C032C8">
        <w:rPr>
          <w:b/>
          <w:bCs/>
          <w:szCs w:val="24"/>
        </w:rPr>
        <w:t>C</w:t>
      </w:r>
      <w:r w:rsidRPr="00C032C8">
        <w:rPr>
          <w:b/>
          <w:bCs/>
          <w:szCs w:val="24"/>
          <w:vertAlign w:val="subscript"/>
        </w:rPr>
        <w:t>50</w:t>
      </w:r>
      <w:r w:rsidRPr="00C032C8">
        <w:rPr>
          <w:b/>
          <w:bCs/>
          <w:szCs w:val="24"/>
        </w:rPr>
        <w:t xml:space="preserve"> for BAS 736 00 F was determined to be </w:t>
      </w:r>
      <w:r w:rsidRPr="00C032C8">
        <w:rPr>
          <w:b/>
        </w:rPr>
        <w:t>4.19 m</w:t>
      </w:r>
      <w:r w:rsidRPr="00C032C8">
        <w:rPr>
          <w:b/>
          <w:bCs/>
          <w:szCs w:val="24"/>
        </w:rPr>
        <w:t>g/L and the E</w:t>
      </w:r>
      <w:r w:rsidRPr="00C032C8">
        <w:rPr>
          <w:b/>
          <w:bCs/>
          <w:szCs w:val="24"/>
          <w:vertAlign w:val="subscript"/>
        </w:rPr>
        <w:t>y</w:t>
      </w:r>
      <w:r w:rsidRPr="00C032C8">
        <w:rPr>
          <w:b/>
          <w:bCs/>
          <w:szCs w:val="24"/>
        </w:rPr>
        <w:t>C</w:t>
      </w:r>
      <w:r w:rsidRPr="00C032C8">
        <w:rPr>
          <w:b/>
          <w:bCs/>
          <w:szCs w:val="24"/>
          <w:vertAlign w:val="subscript"/>
        </w:rPr>
        <w:t>50</w:t>
      </w:r>
      <w:r w:rsidRPr="00C032C8">
        <w:rPr>
          <w:b/>
          <w:bCs/>
          <w:szCs w:val="24"/>
        </w:rPr>
        <w:t xml:space="preserve"> was 1.46 mg/L based on nominal concentrations.</w:t>
      </w:r>
    </w:p>
    <w:p w14:paraId="11919A04" w14:textId="77777777" w:rsidR="00E51CDD" w:rsidRPr="00C032C8" w:rsidRDefault="00E51CDD" w:rsidP="00E51CDD">
      <w:pPr>
        <w:tabs>
          <w:tab w:val="left" w:pos="425"/>
          <w:tab w:val="left" w:pos="850"/>
        </w:tabs>
        <w:suppressAutoHyphens/>
        <w:jc w:val="both"/>
        <w:rPr>
          <w:sz w:val="24"/>
          <w:szCs w:val="24"/>
          <w:lang w:eastAsia="en-US"/>
        </w:rPr>
      </w:pPr>
    </w:p>
    <w:p w14:paraId="19CE4B38" w14:textId="77777777" w:rsidR="00E51CDD" w:rsidRPr="00C032C8" w:rsidRDefault="00E51CDD" w:rsidP="00E51CDD">
      <w:pPr>
        <w:tabs>
          <w:tab w:val="left" w:pos="425"/>
          <w:tab w:val="left" w:pos="850"/>
        </w:tabs>
        <w:suppressAutoHyphens/>
        <w:jc w:val="both"/>
        <w:rPr>
          <w:sz w:val="24"/>
          <w:szCs w:val="24"/>
          <w:lang w:eastAsia="en-US"/>
        </w:rPr>
      </w:pPr>
    </w:p>
    <w:p w14:paraId="1A286CED" w14:textId="77777777" w:rsidR="00E51CDD" w:rsidRPr="00C032C8" w:rsidRDefault="00E51CDD" w:rsidP="00E51CDD">
      <w:pPr>
        <w:rPr>
          <w:sz w:val="24"/>
          <w:szCs w:val="24"/>
          <w:lang w:eastAsia="en-US"/>
        </w:rPr>
        <w:sectPr w:rsidR="00E51CDD" w:rsidRPr="00C032C8">
          <w:pgSz w:w="11906" w:h="16838"/>
          <w:pgMar w:top="1418" w:right="1134" w:bottom="1134" w:left="1418" w:header="709" w:footer="709" w:gutter="0"/>
          <w:pgNumType w:chapSep="period"/>
          <w:cols w:space="720"/>
        </w:sectPr>
      </w:pPr>
    </w:p>
    <w:p w14:paraId="1BE781D0" w14:textId="77777777" w:rsidR="00E51CDD" w:rsidRPr="00E36B00" w:rsidRDefault="00E51CDD" w:rsidP="00E51CDD">
      <w:pPr>
        <w:tabs>
          <w:tab w:val="left" w:pos="425"/>
          <w:tab w:val="left" w:pos="850"/>
        </w:tabs>
        <w:suppressAutoHyphens/>
        <w:ind w:left="2835" w:hanging="2835"/>
        <w:jc w:val="both"/>
        <w:rPr>
          <w:b/>
          <w:bCs/>
          <w:lang w:eastAsia="en-US"/>
        </w:rPr>
      </w:pPr>
      <w:r w:rsidRPr="00E36B00">
        <w:rPr>
          <w:b/>
          <w:bCs/>
          <w:lang w:eastAsia="en-US"/>
        </w:rPr>
        <w:lastRenderedPageBreak/>
        <w:t>I.</w:t>
      </w:r>
      <w:r w:rsidRPr="00E36B00">
        <w:rPr>
          <w:b/>
          <w:bCs/>
          <w:lang w:eastAsia="en-US"/>
        </w:rPr>
        <w:tab/>
        <w:t>MATERIAL AND METHODS</w:t>
      </w:r>
    </w:p>
    <w:p w14:paraId="1B6BC781" w14:textId="77777777" w:rsidR="00E51CDD" w:rsidRPr="00E36B00" w:rsidRDefault="00E51CDD" w:rsidP="00E51CDD">
      <w:pPr>
        <w:suppressAutoHyphens/>
        <w:rPr>
          <w:sz w:val="24"/>
          <w:szCs w:val="24"/>
          <w:lang w:eastAsia="en-US"/>
        </w:rPr>
      </w:pPr>
    </w:p>
    <w:p w14:paraId="10D16985" w14:textId="77777777" w:rsidR="00E51CDD" w:rsidRPr="00BE4D4F" w:rsidRDefault="00E51CDD" w:rsidP="00E51CDD">
      <w:pPr>
        <w:tabs>
          <w:tab w:val="left" w:pos="425"/>
          <w:tab w:val="left" w:pos="850"/>
        </w:tabs>
        <w:suppressAutoHyphens/>
        <w:ind w:left="2835" w:hanging="2835"/>
        <w:jc w:val="both"/>
        <w:rPr>
          <w:b/>
          <w:bCs/>
          <w:lang w:eastAsia="en-US"/>
        </w:rPr>
      </w:pPr>
      <w:r w:rsidRPr="00BE4D4F">
        <w:rPr>
          <w:b/>
          <w:bCs/>
          <w:lang w:eastAsia="en-US"/>
        </w:rPr>
        <w:t>A.</w:t>
      </w:r>
      <w:r w:rsidRPr="00BE4D4F">
        <w:rPr>
          <w:b/>
          <w:bCs/>
          <w:lang w:eastAsia="en-US"/>
        </w:rPr>
        <w:tab/>
        <w:t>MATERIALS</w:t>
      </w:r>
    </w:p>
    <w:p w14:paraId="4CC9DBFF" w14:textId="77777777" w:rsidR="00E51CDD" w:rsidRPr="00BE4D4F" w:rsidRDefault="00E51CDD" w:rsidP="00E51CDD">
      <w:pPr>
        <w:suppressAutoHyphens/>
        <w:ind w:left="2040" w:hanging="2040"/>
        <w:jc w:val="both"/>
        <w:rPr>
          <w:szCs w:val="24"/>
        </w:rPr>
      </w:pPr>
    </w:p>
    <w:p w14:paraId="7709A6D1" w14:textId="77777777" w:rsidR="00E51CDD" w:rsidRPr="00BE4D4F" w:rsidRDefault="00E51CDD" w:rsidP="00E51CDD">
      <w:pPr>
        <w:suppressAutoHyphens/>
        <w:ind w:left="2268" w:hanging="2268"/>
        <w:jc w:val="both"/>
        <w:rPr>
          <w:szCs w:val="24"/>
        </w:rPr>
      </w:pPr>
      <w:r w:rsidRPr="00BE4D4F">
        <w:rPr>
          <w:szCs w:val="24"/>
        </w:rPr>
        <w:t xml:space="preserve">Test item: </w:t>
      </w:r>
      <w:r w:rsidRPr="00BE4D4F">
        <w:rPr>
          <w:szCs w:val="24"/>
        </w:rPr>
        <w:tab/>
      </w:r>
      <w:bookmarkStart w:id="1146" w:name="_Hlk79667899"/>
      <w:r w:rsidRPr="00BE4D4F">
        <w:rPr>
          <w:szCs w:val="24"/>
        </w:rPr>
        <w:t>BAS 736 00 F, batch no. FD-190220-0002, content of a.s.: azoxystrobin (BAS 9164 F, reg. no. 300254: 73.9 g/L (nominal: 75.0 g/L), fluxapyroxad (BAS 700 F, reg. no. 5094351): 49.4 g/L (nominal: 50.0 g/L); density: 1.078 g/cm³.</w:t>
      </w:r>
      <w:bookmarkEnd w:id="1146"/>
    </w:p>
    <w:p w14:paraId="48519051" w14:textId="77777777" w:rsidR="00E51CDD" w:rsidRPr="00BE4D4F" w:rsidRDefault="00E51CDD" w:rsidP="00E51CDD">
      <w:pPr>
        <w:suppressAutoHyphens/>
        <w:ind w:left="2268" w:hanging="2268"/>
        <w:jc w:val="both"/>
        <w:rPr>
          <w:sz w:val="24"/>
          <w:szCs w:val="24"/>
          <w:lang w:eastAsia="en-US"/>
        </w:rPr>
      </w:pPr>
    </w:p>
    <w:p w14:paraId="7C1A5EF2" w14:textId="77777777" w:rsidR="00E51CDD" w:rsidRPr="00BE4D4F" w:rsidRDefault="00E51CDD" w:rsidP="00E51CDD">
      <w:pPr>
        <w:tabs>
          <w:tab w:val="left" w:pos="425"/>
          <w:tab w:val="left" w:pos="850"/>
        </w:tabs>
        <w:suppressAutoHyphens/>
        <w:ind w:left="2835" w:hanging="2835"/>
        <w:jc w:val="both"/>
        <w:rPr>
          <w:b/>
          <w:bCs/>
          <w:lang w:eastAsia="en-US"/>
        </w:rPr>
      </w:pPr>
      <w:r w:rsidRPr="00BE4D4F">
        <w:rPr>
          <w:b/>
          <w:bCs/>
          <w:lang w:eastAsia="en-US"/>
        </w:rPr>
        <w:t>B.</w:t>
      </w:r>
      <w:r w:rsidRPr="00BE4D4F">
        <w:rPr>
          <w:b/>
          <w:bCs/>
          <w:lang w:eastAsia="en-US"/>
        </w:rPr>
        <w:tab/>
        <w:t>STUDY DESIGN</w:t>
      </w:r>
    </w:p>
    <w:p w14:paraId="1AB95CDB" w14:textId="77777777" w:rsidR="00E51CDD" w:rsidRPr="00F736CC" w:rsidRDefault="00E51CDD" w:rsidP="00E51CDD">
      <w:pPr>
        <w:tabs>
          <w:tab w:val="left" w:pos="425"/>
          <w:tab w:val="left" w:pos="850"/>
        </w:tabs>
        <w:suppressAutoHyphens/>
        <w:ind w:left="2268" w:hanging="2268"/>
        <w:jc w:val="both"/>
        <w:rPr>
          <w:rFonts w:ascii="Arial" w:hAnsi="Arial" w:cs="Arial"/>
          <w:b/>
          <w:bCs/>
          <w:sz w:val="24"/>
          <w:szCs w:val="24"/>
          <w:lang w:eastAsia="en-US"/>
        </w:rPr>
      </w:pPr>
    </w:p>
    <w:p w14:paraId="542C099C" w14:textId="77777777" w:rsidR="00E51CDD" w:rsidRPr="00353EC0" w:rsidRDefault="00E51CDD" w:rsidP="00E51CDD">
      <w:pPr>
        <w:suppressAutoHyphens/>
        <w:ind w:left="2268" w:hanging="2268"/>
        <w:jc w:val="both"/>
        <w:rPr>
          <w:szCs w:val="24"/>
        </w:rPr>
      </w:pPr>
      <w:r w:rsidRPr="00F736CC">
        <w:rPr>
          <w:szCs w:val="24"/>
        </w:rPr>
        <w:t xml:space="preserve">Test species: </w:t>
      </w:r>
      <w:r w:rsidRPr="00F736CC">
        <w:rPr>
          <w:szCs w:val="24"/>
        </w:rPr>
        <w:tab/>
        <w:t xml:space="preserve">Unicellular fresh water green alga, </w:t>
      </w:r>
      <w:r w:rsidRPr="00353EC0">
        <w:rPr>
          <w:i/>
          <w:iCs/>
          <w:szCs w:val="24"/>
        </w:rPr>
        <w:t xml:space="preserve">Pseudokirchneriella subcapitata </w:t>
      </w:r>
      <w:r w:rsidRPr="00353EC0">
        <w:rPr>
          <w:szCs w:val="24"/>
        </w:rPr>
        <w:t xml:space="preserve">(Hindàk) Korshikov (syn. </w:t>
      </w:r>
      <w:r w:rsidRPr="00353EC0">
        <w:rPr>
          <w:i/>
          <w:iCs/>
          <w:szCs w:val="24"/>
        </w:rPr>
        <w:t>Selenastrum capricornutum</w:t>
      </w:r>
      <w:r w:rsidRPr="00353EC0">
        <w:rPr>
          <w:szCs w:val="24"/>
        </w:rPr>
        <w:t xml:space="preserve">), SAG 61.81; in-house culture, stock obtained from “MBM Sciencebridge GmbH”, Göttingen, Germany. </w:t>
      </w:r>
    </w:p>
    <w:p w14:paraId="38798D86" w14:textId="77777777" w:rsidR="00E51CDD" w:rsidRPr="00F736CC" w:rsidRDefault="00E51CDD" w:rsidP="00E51CDD">
      <w:pPr>
        <w:suppressAutoHyphens/>
        <w:ind w:left="2268" w:hanging="2268"/>
        <w:jc w:val="both"/>
        <w:rPr>
          <w:szCs w:val="24"/>
        </w:rPr>
      </w:pPr>
    </w:p>
    <w:p w14:paraId="2A371E14" w14:textId="77777777" w:rsidR="00E51CDD" w:rsidRPr="00F736CC" w:rsidRDefault="00E51CDD" w:rsidP="00E51CDD">
      <w:pPr>
        <w:suppressAutoHyphens/>
        <w:ind w:left="2268" w:hanging="2268"/>
        <w:jc w:val="both"/>
        <w:rPr>
          <w:szCs w:val="24"/>
        </w:rPr>
      </w:pPr>
      <w:r w:rsidRPr="00F736CC">
        <w:rPr>
          <w:szCs w:val="24"/>
        </w:rPr>
        <w:t xml:space="preserve">Test design: </w:t>
      </w:r>
      <w:r w:rsidRPr="00F736CC">
        <w:rPr>
          <w:szCs w:val="24"/>
        </w:rPr>
        <w:tab/>
        <w:t>Static system; test duration 72 hours; 5 test item concentrations, each with 5 replicates per treatment plus a control with 10 replicates; daily assessment of growth.</w:t>
      </w:r>
    </w:p>
    <w:p w14:paraId="1F89BB49" w14:textId="77777777" w:rsidR="00E51CDD" w:rsidRPr="00F736CC" w:rsidRDefault="00E51CDD" w:rsidP="00E51CDD">
      <w:pPr>
        <w:suppressAutoHyphens/>
        <w:ind w:left="2268" w:hanging="2268"/>
        <w:jc w:val="both"/>
        <w:rPr>
          <w:szCs w:val="24"/>
        </w:rPr>
      </w:pPr>
    </w:p>
    <w:p w14:paraId="01E2A715" w14:textId="77777777" w:rsidR="00E51CDD" w:rsidRPr="00F736CC" w:rsidRDefault="00E51CDD" w:rsidP="00E51CDD">
      <w:pPr>
        <w:suppressAutoHyphens/>
        <w:ind w:left="2268" w:hanging="2268"/>
        <w:jc w:val="both"/>
        <w:rPr>
          <w:szCs w:val="24"/>
        </w:rPr>
      </w:pPr>
      <w:r w:rsidRPr="00F736CC">
        <w:rPr>
          <w:szCs w:val="24"/>
        </w:rPr>
        <w:t>Endpoints:</w:t>
      </w:r>
      <w:r w:rsidRPr="00F736CC">
        <w:rPr>
          <w:szCs w:val="24"/>
        </w:rPr>
        <w:tab/>
        <w:t>EC</w:t>
      </w:r>
      <w:r w:rsidRPr="00F736CC">
        <w:rPr>
          <w:szCs w:val="24"/>
          <w:vertAlign w:val="subscript"/>
        </w:rPr>
        <w:t>10</w:t>
      </w:r>
      <w:r w:rsidRPr="00F736CC">
        <w:rPr>
          <w:szCs w:val="24"/>
        </w:rPr>
        <w:t>, EC</w:t>
      </w:r>
      <w:r w:rsidRPr="00F736CC">
        <w:rPr>
          <w:szCs w:val="24"/>
          <w:vertAlign w:val="subscript"/>
        </w:rPr>
        <w:t>20</w:t>
      </w:r>
      <w:r w:rsidRPr="00F736CC">
        <w:rPr>
          <w:szCs w:val="24"/>
        </w:rPr>
        <w:t xml:space="preserve"> and EC</w:t>
      </w:r>
      <w:r w:rsidRPr="00F736CC">
        <w:rPr>
          <w:szCs w:val="24"/>
          <w:vertAlign w:val="subscript"/>
        </w:rPr>
        <w:t>50</w:t>
      </w:r>
      <w:r w:rsidRPr="00F736CC">
        <w:rPr>
          <w:szCs w:val="24"/>
        </w:rPr>
        <w:t xml:space="preserve"> with respect to growth rate and yield after exposure over 72 hours, NOEC.</w:t>
      </w:r>
    </w:p>
    <w:p w14:paraId="6F306FA6" w14:textId="77777777" w:rsidR="00E51CDD" w:rsidRPr="00F736CC" w:rsidRDefault="00E51CDD" w:rsidP="00E51CDD">
      <w:pPr>
        <w:suppressAutoHyphens/>
        <w:ind w:left="2268" w:hanging="2268"/>
        <w:jc w:val="both"/>
        <w:rPr>
          <w:szCs w:val="24"/>
        </w:rPr>
      </w:pPr>
    </w:p>
    <w:p w14:paraId="303814CA" w14:textId="77777777" w:rsidR="00E51CDD" w:rsidRPr="00F736CC" w:rsidRDefault="00E51CDD" w:rsidP="00E51CDD">
      <w:pPr>
        <w:suppressAutoHyphens/>
        <w:ind w:left="2268" w:hanging="2268"/>
        <w:jc w:val="both"/>
        <w:rPr>
          <w:szCs w:val="24"/>
        </w:rPr>
      </w:pPr>
      <w:r w:rsidRPr="00F736CC">
        <w:rPr>
          <w:szCs w:val="24"/>
        </w:rPr>
        <w:t xml:space="preserve">Test concentrations: </w:t>
      </w:r>
      <w:r w:rsidRPr="00F736CC">
        <w:rPr>
          <w:szCs w:val="24"/>
        </w:rPr>
        <w:tab/>
        <w:t>0 (control), 0.260, 0.729, 2.04, 5.71 and 16.0 mg BAS 736 00 F/L (nominal).</w:t>
      </w:r>
    </w:p>
    <w:p w14:paraId="72825FEC" w14:textId="77777777" w:rsidR="00E51CDD" w:rsidRPr="00F736CC" w:rsidRDefault="00E51CDD" w:rsidP="00E51CDD">
      <w:pPr>
        <w:suppressAutoHyphens/>
        <w:ind w:left="2268" w:hanging="2268"/>
        <w:jc w:val="both"/>
        <w:rPr>
          <w:szCs w:val="24"/>
        </w:rPr>
      </w:pPr>
    </w:p>
    <w:p w14:paraId="0EA6D913" w14:textId="77777777" w:rsidR="00E51CDD" w:rsidRPr="00E36B00" w:rsidRDefault="00E51CDD" w:rsidP="00E51CDD">
      <w:pPr>
        <w:suppressAutoHyphens/>
        <w:ind w:left="2268" w:hanging="2268"/>
        <w:jc w:val="both"/>
        <w:rPr>
          <w:color w:val="0070C0"/>
          <w:szCs w:val="24"/>
        </w:rPr>
      </w:pPr>
      <w:r w:rsidRPr="00F736CC">
        <w:rPr>
          <w:szCs w:val="24"/>
        </w:rPr>
        <w:t xml:space="preserve">Test conditions: </w:t>
      </w:r>
      <w:r w:rsidRPr="00F736CC">
        <w:rPr>
          <w:szCs w:val="24"/>
        </w:rPr>
        <w:tab/>
        <w:t xml:space="preserve">100 mL </w:t>
      </w:r>
      <w:r w:rsidRPr="00FC2143">
        <w:rPr>
          <w:szCs w:val="24"/>
        </w:rPr>
        <w:t xml:space="preserve">Erlenmeyer flasks with aluminum caps; test </w:t>
      </w:r>
      <w:r w:rsidRPr="00F736CC">
        <w:rPr>
          <w:szCs w:val="24"/>
        </w:rPr>
        <w:t>volume</w:t>
      </w:r>
      <w:r>
        <w:rPr>
          <w:szCs w:val="24"/>
        </w:rPr>
        <w:t>:</w:t>
      </w:r>
      <w:r w:rsidRPr="00F736CC">
        <w:rPr>
          <w:szCs w:val="24"/>
        </w:rPr>
        <w:t xml:space="preserve"> </w:t>
      </w:r>
      <w:r>
        <w:rPr>
          <w:szCs w:val="24"/>
        </w:rPr>
        <w:t>~</w:t>
      </w:r>
      <w:r w:rsidRPr="00F736CC">
        <w:rPr>
          <w:szCs w:val="24"/>
        </w:rPr>
        <w:t>50 mL</w:t>
      </w:r>
      <w:r w:rsidRPr="00FC2143">
        <w:rPr>
          <w:szCs w:val="24"/>
        </w:rPr>
        <w:t xml:space="preserve">; OECD 201 nutrient solution (AAP medium); </w:t>
      </w:r>
      <w:r w:rsidRPr="00353EC0">
        <w:rPr>
          <w:szCs w:val="24"/>
        </w:rPr>
        <w:t>pH 7.35</w:t>
      </w:r>
      <w:r>
        <w:rPr>
          <w:szCs w:val="24"/>
        </w:rPr>
        <w:t> – 7.41 (at test initiation) and 7.98</w:t>
      </w:r>
      <w:r w:rsidRPr="00353EC0">
        <w:rPr>
          <w:szCs w:val="24"/>
        </w:rPr>
        <w:t xml:space="preserve"> – 8.</w:t>
      </w:r>
      <w:r>
        <w:rPr>
          <w:szCs w:val="24"/>
        </w:rPr>
        <w:t>67 (at test termination);</w:t>
      </w:r>
      <w:r w:rsidRPr="00E36B00">
        <w:rPr>
          <w:color w:val="0070C0"/>
          <w:szCs w:val="24"/>
        </w:rPr>
        <w:t xml:space="preserve"> </w:t>
      </w:r>
      <w:r w:rsidRPr="00353EC0">
        <w:rPr>
          <w:szCs w:val="24"/>
        </w:rPr>
        <w:t>temperature: 22.5 – 23.0 °</w:t>
      </w:r>
      <w:r w:rsidRPr="00FC2143">
        <w:rPr>
          <w:szCs w:val="24"/>
        </w:rPr>
        <w:t xml:space="preserve">C; initial cell densities </w:t>
      </w:r>
      <w:r>
        <w:rPr>
          <w:szCs w:val="24"/>
        </w:rPr>
        <w:t>0.55</w:t>
      </w:r>
      <w:r w:rsidRPr="00FC2143">
        <w:rPr>
          <w:szCs w:val="24"/>
        </w:rPr>
        <w:t> x 10</w:t>
      </w:r>
      <w:r w:rsidRPr="00FC2143">
        <w:rPr>
          <w:szCs w:val="24"/>
          <w:vertAlign w:val="superscript"/>
        </w:rPr>
        <w:t>4</w:t>
      </w:r>
      <w:r w:rsidRPr="00FC2143">
        <w:rPr>
          <w:szCs w:val="24"/>
        </w:rPr>
        <w:t> cells/mL; continuous light at 85.6</w:t>
      </w:r>
      <w:r>
        <w:rPr>
          <w:szCs w:val="24"/>
        </w:rPr>
        <w:t> </w:t>
      </w:r>
      <w:r w:rsidRPr="00FC2143">
        <w:rPr>
          <w:szCs w:val="24"/>
        </w:rPr>
        <w:t>µEm</w:t>
      </w:r>
      <w:r>
        <w:rPr>
          <w:szCs w:val="24"/>
          <w:vertAlign w:val="superscript"/>
        </w:rPr>
        <w:noBreakHyphen/>
      </w:r>
      <w:r w:rsidRPr="00FC2143">
        <w:rPr>
          <w:szCs w:val="24"/>
          <w:vertAlign w:val="superscript"/>
        </w:rPr>
        <w:t>2</w:t>
      </w:r>
      <w:r w:rsidRPr="00FC2143">
        <w:rPr>
          <w:szCs w:val="24"/>
        </w:rPr>
        <w:t>s</w:t>
      </w:r>
      <w:r>
        <w:rPr>
          <w:szCs w:val="24"/>
          <w:vertAlign w:val="superscript"/>
        </w:rPr>
        <w:noBreakHyphen/>
      </w:r>
      <w:r w:rsidRPr="00FC2143">
        <w:rPr>
          <w:szCs w:val="24"/>
          <w:vertAlign w:val="superscript"/>
        </w:rPr>
        <w:t>1</w:t>
      </w:r>
      <w:r w:rsidRPr="00FC2143">
        <w:rPr>
          <w:szCs w:val="24"/>
        </w:rPr>
        <w:t>; continuous shaking.</w:t>
      </w:r>
    </w:p>
    <w:p w14:paraId="31E25697" w14:textId="77777777" w:rsidR="00E51CDD" w:rsidRPr="00353EC0" w:rsidRDefault="00E51CDD" w:rsidP="00E51CDD">
      <w:pPr>
        <w:suppressAutoHyphens/>
        <w:ind w:left="2268" w:hanging="2268"/>
        <w:jc w:val="both"/>
        <w:rPr>
          <w:szCs w:val="24"/>
        </w:rPr>
      </w:pPr>
    </w:p>
    <w:p w14:paraId="5320AA88" w14:textId="77777777" w:rsidR="00E51CDD" w:rsidRPr="00353EC0" w:rsidRDefault="00E51CDD" w:rsidP="00E51CDD">
      <w:pPr>
        <w:suppressAutoHyphens/>
        <w:ind w:left="2268" w:hanging="2268"/>
        <w:jc w:val="both"/>
        <w:rPr>
          <w:szCs w:val="24"/>
        </w:rPr>
      </w:pPr>
      <w:r w:rsidRPr="00353EC0">
        <w:rPr>
          <w:szCs w:val="24"/>
        </w:rPr>
        <w:t xml:space="preserve">Analytics: </w:t>
      </w:r>
      <w:r w:rsidRPr="00353EC0">
        <w:rPr>
          <w:szCs w:val="24"/>
        </w:rPr>
        <w:tab/>
      </w:r>
      <w:bookmarkStart w:id="1147" w:name="_Hlk78875408"/>
      <w:r w:rsidRPr="00353EC0">
        <w:rPr>
          <w:szCs w:val="24"/>
        </w:rPr>
        <w:t>Analytical verification of test item concentrations was conducted using a LC-method with MS/MS-detection</w:t>
      </w:r>
      <w:r>
        <w:rPr>
          <w:szCs w:val="24"/>
        </w:rPr>
        <w:t xml:space="preserve"> (analytical methods no. L0361/03 and L0361/01)</w:t>
      </w:r>
      <w:r w:rsidRPr="00353EC0">
        <w:rPr>
          <w:szCs w:val="24"/>
        </w:rPr>
        <w:t xml:space="preserve">. </w:t>
      </w:r>
    </w:p>
    <w:bookmarkEnd w:id="1147"/>
    <w:p w14:paraId="273B0EC8" w14:textId="77777777" w:rsidR="00E51CDD" w:rsidRPr="00353EC0" w:rsidRDefault="00E51CDD" w:rsidP="00E51CDD">
      <w:pPr>
        <w:suppressAutoHyphens/>
        <w:ind w:left="2268" w:hanging="2268"/>
        <w:jc w:val="both"/>
        <w:rPr>
          <w:szCs w:val="24"/>
        </w:rPr>
      </w:pPr>
    </w:p>
    <w:p w14:paraId="1FB2CD4C" w14:textId="77777777" w:rsidR="00E51CDD" w:rsidRPr="00F736CC" w:rsidRDefault="00E51CDD" w:rsidP="00E51CDD">
      <w:pPr>
        <w:suppressAutoHyphens/>
        <w:ind w:left="2268" w:hanging="2268"/>
        <w:jc w:val="both"/>
      </w:pPr>
      <w:r w:rsidRPr="00353EC0">
        <w:rPr>
          <w:szCs w:val="24"/>
        </w:rPr>
        <w:t xml:space="preserve">Statistics: </w:t>
      </w:r>
      <w:r w:rsidRPr="00353EC0">
        <w:rPr>
          <w:szCs w:val="24"/>
        </w:rPr>
        <w:tab/>
        <w:t>Descriptive statistics;</w:t>
      </w:r>
      <w:r>
        <w:rPr>
          <w:szCs w:val="24"/>
        </w:rPr>
        <w:t xml:space="preserve"> weighted non-linear regression with weighting by variability (1/Var(Y)) using a 3 parametric normal cumulative distribution function after Downhill Simplex optimization for determination of growth rate EC</w:t>
      </w:r>
      <w:r w:rsidRPr="00747EBF">
        <w:rPr>
          <w:szCs w:val="24"/>
          <w:vertAlign w:val="subscript"/>
        </w:rPr>
        <w:t>xx</w:t>
      </w:r>
      <w:r>
        <w:rPr>
          <w:szCs w:val="24"/>
        </w:rPr>
        <w:t xml:space="preserve"> values,</w:t>
      </w:r>
      <w:r w:rsidRPr="00353EC0">
        <w:rPr>
          <w:szCs w:val="24"/>
        </w:rPr>
        <w:t xml:space="preserve"> non-linear regression without weighting using a 3</w:t>
      </w:r>
      <w:r>
        <w:rPr>
          <w:szCs w:val="24"/>
        </w:rPr>
        <w:t> </w:t>
      </w:r>
      <w:r w:rsidRPr="00353EC0">
        <w:rPr>
          <w:szCs w:val="24"/>
        </w:rPr>
        <w:t>parametric normal cumulative distribution function after Levenberg-Marquardt optimization for determination of</w:t>
      </w:r>
      <w:r>
        <w:rPr>
          <w:szCs w:val="24"/>
        </w:rPr>
        <w:t xml:space="preserve"> yield</w:t>
      </w:r>
      <w:r w:rsidRPr="00353EC0">
        <w:rPr>
          <w:szCs w:val="24"/>
        </w:rPr>
        <w:t xml:space="preserve"> EC</w:t>
      </w:r>
      <w:r w:rsidRPr="00353EC0">
        <w:rPr>
          <w:szCs w:val="24"/>
          <w:vertAlign w:val="subscript"/>
        </w:rPr>
        <w:t>x</w:t>
      </w:r>
      <w:r>
        <w:rPr>
          <w:szCs w:val="24"/>
          <w:vertAlign w:val="subscript"/>
        </w:rPr>
        <w:t>x</w:t>
      </w:r>
      <w:r w:rsidRPr="00353EC0">
        <w:rPr>
          <w:szCs w:val="24"/>
        </w:rPr>
        <w:t xml:space="preserve"> values, Step-down Jonckheere-Terpstra Test Procedure</w:t>
      </w:r>
      <w:r>
        <w:rPr>
          <w:szCs w:val="24"/>
        </w:rPr>
        <w:t xml:space="preserve"> </w:t>
      </w:r>
      <w:r w:rsidRPr="00353EC0">
        <w:rPr>
          <w:rFonts w:eastAsiaTheme="minorHAnsi"/>
        </w:rPr>
        <w:t xml:space="preserve">for determination of the NOEC </w:t>
      </w:r>
      <w:r w:rsidRPr="00F736CC">
        <w:rPr>
          <w:rFonts w:eastAsiaTheme="minorHAnsi"/>
        </w:rPr>
        <w:t>values</w:t>
      </w:r>
      <w:r w:rsidRPr="00353EC0">
        <w:rPr>
          <w:szCs w:val="24"/>
        </w:rPr>
        <w:t xml:space="preserve"> (left sided</w:t>
      </w:r>
      <w:r w:rsidRPr="00353EC0">
        <w:rPr>
          <w:bCs/>
        </w:rPr>
        <w:t xml:space="preserve"> </w:t>
      </w:r>
      <w:r>
        <w:rPr>
          <w:szCs w:val="24"/>
        </w:rPr>
        <w:t>,</w:t>
      </w:r>
      <w:r w:rsidRPr="00F736CC">
        <w:rPr>
          <w:rFonts w:eastAsiaTheme="minorHAnsi"/>
          <w:bCs/>
          <w:szCs w:val="24"/>
        </w:rPr>
        <w:t>α = 0.05).</w:t>
      </w:r>
    </w:p>
    <w:p w14:paraId="297AB0C1" w14:textId="77777777" w:rsidR="00E51CDD" w:rsidRPr="00E36B00" w:rsidRDefault="00E51CDD" w:rsidP="00E51CDD">
      <w:pPr>
        <w:suppressAutoHyphens/>
        <w:ind w:left="2268" w:hanging="2268"/>
        <w:jc w:val="both"/>
        <w:rPr>
          <w:color w:val="0070C0"/>
          <w:szCs w:val="24"/>
        </w:rPr>
      </w:pPr>
    </w:p>
    <w:p w14:paraId="62DBB547" w14:textId="77777777" w:rsidR="00E51CDD" w:rsidRPr="003F5281" w:rsidRDefault="00E51CDD" w:rsidP="00E51CDD">
      <w:pPr>
        <w:suppressAutoHyphens/>
        <w:ind w:left="2268" w:hanging="2268"/>
        <w:jc w:val="both"/>
        <w:rPr>
          <w:sz w:val="24"/>
          <w:szCs w:val="24"/>
          <w:lang w:eastAsia="en-US"/>
        </w:rPr>
      </w:pPr>
      <w:r>
        <w:rPr>
          <w:sz w:val="24"/>
          <w:szCs w:val="24"/>
          <w:lang w:eastAsia="en-US"/>
        </w:rPr>
        <w:br w:type="page"/>
      </w:r>
    </w:p>
    <w:p w14:paraId="21C6447B" w14:textId="77777777" w:rsidR="00E51CDD" w:rsidRPr="003F5281" w:rsidRDefault="00E51CDD" w:rsidP="00E51CDD">
      <w:pPr>
        <w:tabs>
          <w:tab w:val="left" w:pos="425"/>
          <w:tab w:val="left" w:pos="850"/>
        </w:tabs>
        <w:suppressAutoHyphens/>
        <w:ind w:left="2835" w:hanging="2835"/>
        <w:jc w:val="both"/>
        <w:rPr>
          <w:b/>
          <w:bCs/>
          <w:lang w:eastAsia="en-US"/>
        </w:rPr>
      </w:pPr>
      <w:r w:rsidRPr="003F5281">
        <w:rPr>
          <w:b/>
          <w:bCs/>
          <w:lang w:eastAsia="en-US"/>
        </w:rPr>
        <w:lastRenderedPageBreak/>
        <w:t>C.</w:t>
      </w:r>
      <w:r w:rsidRPr="003F5281">
        <w:rPr>
          <w:b/>
          <w:bCs/>
          <w:lang w:eastAsia="en-US"/>
        </w:rPr>
        <w:tab/>
        <w:t xml:space="preserve">DESCRIPTION OF THE ANALYTICAL PRODECDURES </w:t>
      </w:r>
    </w:p>
    <w:p w14:paraId="4E3DD46F" w14:textId="77777777" w:rsidR="00E51CDD" w:rsidRPr="003F5281" w:rsidRDefault="00E51CDD" w:rsidP="00E51CDD">
      <w:pPr>
        <w:suppressAutoHyphens/>
        <w:ind w:left="2040" w:hanging="2040"/>
        <w:jc w:val="both"/>
        <w:rPr>
          <w:b/>
        </w:rPr>
      </w:pPr>
      <w:bookmarkStart w:id="1148" w:name="_Hlk78880614"/>
    </w:p>
    <w:bookmarkEnd w:id="1148"/>
    <w:p w14:paraId="350B978B" w14:textId="77777777" w:rsidR="00E51CDD" w:rsidRPr="002013DF" w:rsidRDefault="00E51CDD" w:rsidP="00E51CDD">
      <w:pPr>
        <w:suppressAutoHyphens/>
        <w:jc w:val="both"/>
      </w:pPr>
      <w:r w:rsidRPr="003F5281">
        <w:t xml:space="preserve">Concentrations of fluxapyroxad (BAS 700 F; contained in BAS 736 00 F) and azoxystrobin </w:t>
      </w:r>
      <w:r w:rsidRPr="002013DF">
        <w:t xml:space="preserve">(BAS 9164 F; contained in BAS 736 00 F) in test medium were determined according to the analytical methods L0361/01 and L0361/03, respectively. The validation of each analytical methods is described within separate study reports BASF DocID 2017/1065621 and 2019/1039564, respectively. Analysis of BAS 700 F and BAS 9164 F was performed by direct injection of test medium samples after dilution with acetonitrile/water/formic acid (400/600/2, v/v/v) and if necessary further dilution with diluted blank medium (test medium /(acetonitrile/water/formic acid (400/600/2, v/v/v)) (1:1, v/v)) before analysis. Final determination was accomplished by LC-MS/MS. The limit of quantification (LOQ) was </w:t>
      </w:r>
      <w:r>
        <w:t>0.00119</w:t>
      </w:r>
      <w:r w:rsidRPr="002013DF">
        <w:t xml:space="preserve"> mg/L for fluxapyroxad and </w:t>
      </w:r>
      <w:r>
        <w:t>0.00178</w:t>
      </w:r>
      <w:r w:rsidRPr="002013DF">
        <w:t> mg/L for azoxystrobin. The limit of detection (LOD) was set to 0</w:t>
      </w:r>
      <w:r>
        <w:t>.0002</w:t>
      </w:r>
      <w:r w:rsidRPr="002013DF">
        <w:t xml:space="preserve"> mg/L for fluxapyroxad and </w:t>
      </w:r>
      <w:r>
        <w:t>0.0003</w:t>
      </w:r>
      <w:r w:rsidRPr="002013DF">
        <w:t xml:space="preserve"> mg/L for azoxystrobin. In the current study, matrix effects on LC-MS/MS detection were not investigated. Matrix-matched standards were used for quantification. In the current study, the maximum storage period from sampling to analysis was </w:t>
      </w:r>
      <w:r>
        <w:t xml:space="preserve">7 </w:t>
      </w:r>
      <w:r w:rsidRPr="002013DF">
        <w:t xml:space="preserve">days for BAS 700 F and BAS 9164 F. Residues are regarded as stable if the samples are stored deep frozen for up to 30 days between sampling and analysis (EU COM 7032/VI/95). Therefore, the stability of BAS 700 F and BAS 9164 F in BAS 736 00 F was not verified. The average recoveries for the fortification levels of </w:t>
      </w:r>
      <w:r>
        <w:t>0.026</w:t>
      </w:r>
      <w:r w:rsidRPr="002013DF">
        <w:t xml:space="preserve"> and </w:t>
      </w:r>
      <w:r>
        <w:t>20.8</w:t>
      </w:r>
      <w:r w:rsidRPr="002013DF">
        <w:t xml:space="preserve"> mg/L were found to be </w:t>
      </w:r>
      <w:r>
        <w:t>87.6</w:t>
      </w:r>
      <w:r w:rsidRPr="002013DF">
        <w:t xml:space="preserve">% and </w:t>
      </w:r>
      <w:r>
        <w:t>99.3</w:t>
      </w:r>
      <w:r w:rsidRPr="002013DF">
        <w:t xml:space="preserve">% for fluxapyroxad and </w:t>
      </w:r>
      <w:r>
        <w:t>89.8</w:t>
      </w:r>
      <w:r w:rsidRPr="002013DF">
        <w:t xml:space="preserve">% – </w:t>
      </w:r>
      <w:r>
        <w:t>99.2</w:t>
      </w:r>
      <w:r w:rsidRPr="002013DF">
        <w:t xml:space="preserve">% for azoxystrobin. </w:t>
      </w:r>
    </w:p>
    <w:p w14:paraId="18C17495" w14:textId="77777777" w:rsidR="00E51CDD" w:rsidRPr="002013DF" w:rsidRDefault="00E51CDD" w:rsidP="00E51CDD">
      <w:pPr>
        <w:suppressAutoHyphens/>
        <w:jc w:val="both"/>
      </w:pPr>
      <w:r w:rsidRPr="002013DF">
        <w:t>Details on measured fortification samples and obtained procedural recoveries are provided in the tables below.</w:t>
      </w:r>
    </w:p>
    <w:p w14:paraId="50A23DBD" w14:textId="77777777" w:rsidR="00E51CDD" w:rsidRPr="002013DF" w:rsidRDefault="00E51CDD" w:rsidP="00E51CDD">
      <w:pPr>
        <w:suppressAutoHyphens/>
        <w:jc w:val="both"/>
        <w:rPr>
          <w:szCs w:val="24"/>
        </w:rPr>
      </w:pPr>
    </w:p>
    <w:p w14:paraId="7B274BAE" w14:textId="6D35E610" w:rsidR="00E51CDD" w:rsidRPr="002013DF" w:rsidRDefault="00E51CDD" w:rsidP="00E51CDD">
      <w:pPr>
        <w:keepNext/>
        <w:keepLines/>
        <w:widowControl w:val="0"/>
        <w:suppressAutoHyphens/>
        <w:spacing w:before="200" w:after="40"/>
        <w:ind w:left="1418" w:hanging="1418"/>
        <w:jc w:val="both"/>
        <w:rPr>
          <w:b/>
          <w:bCs/>
        </w:rPr>
      </w:pPr>
      <w:r w:rsidRPr="002013DF">
        <w:rPr>
          <w:b/>
        </w:rPr>
        <w:t xml:space="preserve">Table A </w:t>
      </w:r>
      <w:r w:rsidRPr="002013DF">
        <w:rPr>
          <w:b/>
        </w:rPr>
        <w:fldChar w:fldCharType="begin"/>
      </w:r>
      <w:r w:rsidRPr="002013DF">
        <w:rPr>
          <w:b/>
        </w:rPr>
        <w:instrText xml:space="preserve"> SEQ Table_A \* ARABIC </w:instrText>
      </w:r>
      <w:r w:rsidRPr="002013DF">
        <w:rPr>
          <w:b/>
        </w:rPr>
        <w:fldChar w:fldCharType="separate"/>
      </w:r>
      <w:r w:rsidR="00662F32">
        <w:rPr>
          <w:b/>
          <w:noProof/>
        </w:rPr>
        <w:t>10</w:t>
      </w:r>
      <w:r w:rsidRPr="002013DF">
        <w:rPr>
          <w:b/>
        </w:rPr>
        <w:fldChar w:fldCharType="end"/>
      </w:r>
      <w:r w:rsidRPr="002013DF">
        <w:rPr>
          <w:b/>
        </w:rPr>
        <w:t>:</w:t>
      </w:r>
      <w:r w:rsidRPr="002013DF">
        <w:rPr>
          <w:b/>
          <w:bCs/>
        </w:rPr>
        <w:tab/>
        <w:t>Procedural recoveries for BAS 736 00 F (based on measurement of BAS 700 F)</w:t>
      </w:r>
    </w:p>
    <w:tbl>
      <w:tblPr>
        <w:tblW w:w="5000" w:type="pct"/>
        <w:tblCellMar>
          <w:left w:w="70" w:type="dxa"/>
          <w:right w:w="70" w:type="dxa"/>
        </w:tblCellMar>
        <w:tblLook w:val="04A0" w:firstRow="1" w:lastRow="0" w:firstColumn="1" w:lastColumn="0" w:noHBand="0" w:noVBand="1"/>
      </w:tblPr>
      <w:tblGrid>
        <w:gridCol w:w="2157"/>
        <w:gridCol w:w="2917"/>
        <w:gridCol w:w="690"/>
        <w:gridCol w:w="1861"/>
        <w:gridCol w:w="1719"/>
      </w:tblGrid>
      <w:tr w:rsidR="00E51CDD" w:rsidRPr="002013DF" w14:paraId="7B31B8CF" w14:textId="77777777" w:rsidTr="009938D9">
        <w:trPr>
          <w:trHeight w:val="367"/>
        </w:trPr>
        <w:tc>
          <w:tcPr>
            <w:tcW w:w="11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D8F521D" w14:textId="77777777" w:rsidR="00E51CDD" w:rsidRPr="002013DF" w:rsidRDefault="00E51CDD" w:rsidP="009938D9">
            <w:pPr>
              <w:suppressAutoHyphens/>
              <w:spacing w:before="40" w:after="40"/>
              <w:jc w:val="center"/>
              <w:rPr>
                <w:b/>
                <w:bCs/>
                <w:sz w:val="20"/>
                <w:szCs w:val="20"/>
              </w:rPr>
            </w:pPr>
            <w:r w:rsidRPr="002013DF">
              <w:rPr>
                <w:b/>
                <w:bCs/>
                <w:sz w:val="20"/>
                <w:szCs w:val="20"/>
              </w:rPr>
              <w:t>Matrix</w:t>
            </w:r>
          </w:p>
        </w:tc>
        <w:tc>
          <w:tcPr>
            <w:tcW w:w="1561" w:type="pct"/>
            <w:tcBorders>
              <w:top w:val="single" w:sz="4" w:space="0" w:color="auto"/>
              <w:left w:val="nil"/>
              <w:bottom w:val="single" w:sz="4" w:space="0" w:color="auto"/>
              <w:right w:val="single" w:sz="4" w:space="0" w:color="auto"/>
            </w:tcBorders>
            <w:shd w:val="clear" w:color="auto" w:fill="FFFFFF"/>
            <w:vAlign w:val="center"/>
            <w:hideMark/>
          </w:tcPr>
          <w:p w14:paraId="6E4DFEC5" w14:textId="77777777" w:rsidR="00E51CDD" w:rsidRPr="002013DF" w:rsidRDefault="00E51CDD" w:rsidP="009938D9">
            <w:pPr>
              <w:suppressAutoHyphens/>
              <w:spacing w:before="40" w:after="40"/>
              <w:jc w:val="center"/>
              <w:rPr>
                <w:b/>
                <w:bCs/>
                <w:sz w:val="20"/>
                <w:szCs w:val="20"/>
              </w:rPr>
            </w:pPr>
            <w:r w:rsidRPr="002013DF">
              <w:rPr>
                <w:b/>
                <w:bCs/>
                <w:sz w:val="20"/>
                <w:szCs w:val="20"/>
              </w:rPr>
              <w:t xml:space="preserve">Fortification level </w:t>
            </w:r>
            <w:r w:rsidRPr="002013DF">
              <w:rPr>
                <w:b/>
                <w:bCs/>
                <w:sz w:val="20"/>
                <w:szCs w:val="20"/>
              </w:rPr>
              <w:br/>
              <w:t>[mg BAS 700 F/L]</w:t>
            </w:r>
          </w:p>
        </w:tc>
        <w:tc>
          <w:tcPr>
            <w:tcW w:w="369" w:type="pct"/>
            <w:tcBorders>
              <w:top w:val="single" w:sz="4" w:space="0" w:color="auto"/>
              <w:left w:val="nil"/>
              <w:bottom w:val="single" w:sz="4" w:space="0" w:color="auto"/>
              <w:right w:val="single" w:sz="4" w:space="0" w:color="auto"/>
            </w:tcBorders>
            <w:shd w:val="clear" w:color="auto" w:fill="FFFFFF"/>
            <w:noWrap/>
            <w:vAlign w:val="center"/>
            <w:hideMark/>
          </w:tcPr>
          <w:p w14:paraId="4133BC69" w14:textId="77777777" w:rsidR="00E51CDD" w:rsidRPr="002013DF" w:rsidRDefault="00E51CDD" w:rsidP="009938D9">
            <w:pPr>
              <w:suppressAutoHyphens/>
              <w:spacing w:before="40" w:after="40"/>
              <w:jc w:val="center"/>
              <w:rPr>
                <w:b/>
                <w:bCs/>
                <w:sz w:val="20"/>
                <w:szCs w:val="20"/>
                <w:vertAlign w:val="superscript"/>
              </w:rPr>
            </w:pPr>
            <w:r w:rsidRPr="002013DF">
              <w:rPr>
                <w:b/>
                <w:bCs/>
                <w:sz w:val="20"/>
                <w:szCs w:val="20"/>
              </w:rPr>
              <w:t>n</w:t>
            </w:r>
          </w:p>
        </w:tc>
        <w:tc>
          <w:tcPr>
            <w:tcW w:w="996" w:type="pct"/>
            <w:tcBorders>
              <w:top w:val="single" w:sz="4" w:space="0" w:color="auto"/>
              <w:left w:val="nil"/>
              <w:bottom w:val="single" w:sz="4" w:space="0" w:color="auto"/>
              <w:right w:val="single" w:sz="4" w:space="0" w:color="auto"/>
            </w:tcBorders>
            <w:shd w:val="clear" w:color="auto" w:fill="FFFFFF"/>
            <w:noWrap/>
            <w:vAlign w:val="center"/>
            <w:hideMark/>
          </w:tcPr>
          <w:p w14:paraId="78CFD0E6" w14:textId="77777777" w:rsidR="00E51CDD" w:rsidRPr="002013DF" w:rsidRDefault="00E51CDD" w:rsidP="009938D9">
            <w:pPr>
              <w:suppressAutoHyphens/>
              <w:spacing w:before="40" w:after="40"/>
              <w:jc w:val="center"/>
              <w:rPr>
                <w:b/>
                <w:bCs/>
                <w:sz w:val="20"/>
                <w:szCs w:val="20"/>
              </w:rPr>
            </w:pPr>
            <w:r w:rsidRPr="002013DF">
              <w:rPr>
                <w:b/>
                <w:bCs/>
                <w:sz w:val="20"/>
                <w:szCs w:val="20"/>
              </w:rPr>
              <w:t>Mean recovery [%]</w:t>
            </w:r>
          </w:p>
        </w:tc>
        <w:tc>
          <w:tcPr>
            <w:tcW w:w="92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78DEFB4" w14:textId="77777777" w:rsidR="00E51CDD" w:rsidRPr="002013DF" w:rsidRDefault="00E51CDD" w:rsidP="009938D9">
            <w:pPr>
              <w:suppressAutoHyphens/>
              <w:spacing w:before="40" w:after="40"/>
              <w:jc w:val="center"/>
              <w:rPr>
                <w:b/>
                <w:bCs/>
                <w:sz w:val="20"/>
                <w:szCs w:val="20"/>
              </w:rPr>
            </w:pPr>
            <w:r w:rsidRPr="002013DF">
              <w:rPr>
                <w:b/>
                <w:bCs/>
                <w:sz w:val="20"/>
                <w:szCs w:val="20"/>
              </w:rPr>
              <w:t>RSD [%]</w:t>
            </w:r>
          </w:p>
        </w:tc>
      </w:tr>
      <w:tr w:rsidR="00E51CDD" w:rsidRPr="002013DF" w14:paraId="34BF1484"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vAlign w:val="center"/>
            <w:hideMark/>
          </w:tcPr>
          <w:p w14:paraId="3D8BD708" w14:textId="77777777" w:rsidR="00E51CDD" w:rsidRPr="002013DF" w:rsidRDefault="00E51CDD" w:rsidP="009938D9">
            <w:pPr>
              <w:suppressAutoHyphens/>
              <w:spacing w:before="40" w:after="40"/>
              <w:jc w:val="center"/>
              <w:rPr>
                <w:sz w:val="20"/>
                <w:szCs w:val="20"/>
              </w:rPr>
            </w:pPr>
            <w:r w:rsidRPr="002013DF">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38C5353C" w14:textId="77777777" w:rsidR="00E51CDD" w:rsidRPr="002013DF" w:rsidRDefault="00E51CDD" w:rsidP="009938D9">
            <w:pPr>
              <w:suppressAutoHyphens/>
              <w:spacing w:before="40" w:after="40"/>
              <w:jc w:val="center"/>
              <w:rPr>
                <w:sz w:val="20"/>
                <w:szCs w:val="20"/>
              </w:rPr>
            </w:pPr>
            <w:r>
              <w:rPr>
                <w:sz w:val="20"/>
                <w:szCs w:val="20"/>
              </w:rPr>
              <w:t>0.026</w:t>
            </w:r>
          </w:p>
        </w:tc>
        <w:tc>
          <w:tcPr>
            <w:tcW w:w="369" w:type="pct"/>
            <w:tcBorders>
              <w:top w:val="nil"/>
              <w:left w:val="nil"/>
              <w:bottom w:val="single" w:sz="4" w:space="0" w:color="auto"/>
              <w:right w:val="single" w:sz="4" w:space="0" w:color="auto"/>
            </w:tcBorders>
            <w:shd w:val="clear" w:color="auto" w:fill="FFFFFF"/>
            <w:noWrap/>
            <w:vAlign w:val="center"/>
            <w:hideMark/>
          </w:tcPr>
          <w:p w14:paraId="009804C9" w14:textId="77777777" w:rsidR="00E51CDD" w:rsidRPr="002013DF" w:rsidRDefault="00E51CDD" w:rsidP="009938D9">
            <w:pPr>
              <w:suppressAutoHyphens/>
              <w:spacing w:before="40" w:after="40"/>
              <w:jc w:val="center"/>
              <w:rPr>
                <w:sz w:val="20"/>
                <w:szCs w:val="20"/>
              </w:rPr>
            </w:pPr>
            <w:r w:rsidRPr="002013DF">
              <w:rPr>
                <w:sz w:val="20"/>
                <w:szCs w:val="20"/>
              </w:rPr>
              <w:t>5</w:t>
            </w:r>
          </w:p>
        </w:tc>
        <w:tc>
          <w:tcPr>
            <w:tcW w:w="996" w:type="pct"/>
            <w:tcBorders>
              <w:top w:val="nil"/>
              <w:left w:val="nil"/>
              <w:bottom w:val="single" w:sz="4" w:space="0" w:color="auto"/>
              <w:right w:val="single" w:sz="4" w:space="0" w:color="auto"/>
            </w:tcBorders>
            <w:shd w:val="clear" w:color="auto" w:fill="FFFFFF"/>
            <w:noWrap/>
          </w:tcPr>
          <w:p w14:paraId="62FC3928" w14:textId="77777777" w:rsidR="00E51CDD" w:rsidRPr="002013DF" w:rsidRDefault="00E51CDD" w:rsidP="009938D9">
            <w:pPr>
              <w:suppressAutoHyphens/>
              <w:spacing w:before="40" w:after="40"/>
              <w:jc w:val="center"/>
              <w:rPr>
                <w:sz w:val="20"/>
                <w:szCs w:val="20"/>
              </w:rPr>
            </w:pPr>
            <w:r>
              <w:rPr>
                <w:sz w:val="20"/>
                <w:szCs w:val="20"/>
              </w:rPr>
              <w:t>87.6</w:t>
            </w:r>
          </w:p>
        </w:tc>
        <w:tc>
          <w:tcPr>
            <w:tcW w:w="920" w:type="pct"/>
            <w:tcBorders>
              <w:top w:val="nil"/>
              <w:left w:val="nil"/>
              <w:bottom w:val="single" w:sz="4" w:space="0" w:color="auto"/>
              <w:right w:val="single" w:sz="4" w:space="0" w:color="auto"/>
            </w:tcBorders>
            <w:shd w:val="clear" w:color="auto" w:fill="FFFFFF"/>
            <w:noWrap/>
          </w:tcPr>
          <w:p w14:paraId="01299ED5" w14:textId="77777777" w:rsidR="00E51CDD" w:rsidRPr="002013DF" w:rsidRDefault="00E51CDD" w:rsidP="009938D9">
            <w:pPr>
              <w:suppressAutoHyphens/>
              <w:spacing w:before="40" w:after="40"/>
              <w:jc w:val="center"/>
              <w:rPr>
                <w:sz w:val="20"/>
                <w:szCs w:val="20"/>
              </w:rPr>
            </w:pPr>
            <w:r>
              <w:rPr>
                <w:sz w:val="20"/>
                <w:szCs w:val="20"/>
              </w:rPr>
              <w:t>2</w:t>
            </w:r>
          </w:p>
        </w:tc>
      </w:tr>
      <w:tr w:rsidR="00E51CDD" w:rsidRPr="002013DF" w14:paraId="0595750F"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vAlign w:val="center"/>
            <w:hideMark/>
          </w:tcPr>
          <w:p w14:paraId="2182DC34" w14:textId="77777777" w:rsidR="00E51CDD" w:rsidRPr="002013DF" w:rsidRDefault="00E51CDD" w:rsidP="009938D9">
            <w:pPr>
              <w:suppressAutoHyphens/>
              <w:spacing w:before="40" w:after="40"/>
              <w:jc w:val="center"/>
              <w:rPr>
                <w:sz w:val="20"/>
                <w:szCs w:val="20"/>
              </w:rPr>
            </w:pPr>
            <w:r w:rsidRPr="002013DF">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34468A79" w14:textId="77777777" w:rsidR="00E51CDD" w:rsidRPr="002013DF" w:rsidRDefault="00E51CDD" w:rsidP="009938D9">
            <w:pPr>
              <w:suppressAutoHyphens/>
              <w:spacing w:before="40" w:after="40"/>
              <w:jc w:val="center"/>
              <w:rPr>
                <w:sz w:val="20"/>
                <w:szCs w:val="20"/>
              </w:rPr>
            </w:pPr>
            <w:r>
              <w:rPr>
                <w:sz w:val="20"/>
                <w:szCs w:val="20"/>
              </w:rPr>
              <w:t>20.8</w:t>
            </w:r>
          </w:p>
        </w:tc>
        <w:tc>
          <w:tcPr>
            <w:tcW w:w="369" w:type="pct"/>
            <w:tcBorders>
              <w:top w:val="nil"/>
              <w:left w:val="nil"/>
              <w:bottom w:val="single" w:sz="4" w:space="0" w:color="auto"/>
              <w:right w:val="single" w:sz="4" w:space="0" w:color="auto"/>
            </w:tcBorders>
            <w:shd w:val="clear" w:color="auto" w:fill="FFFFFF"/>
            <w:noWrap/>
            <w:vAlign w:val="center"/>
            <w:hideMark/>
          </w:tcPr>
          <w:p w14:paraId="113B2268" w14:textId="77777777" w:rsidR="00E51CDD" w:rsidRPr="002013DF" w:rsidRDefault="00E51CDD" w:rsidP="009938D9">
            <w:pPr>
              <w:suppressAutoHyphens/>
              <w:spacing w:before="40" w:after="40"/>
              <w:jc w:val="center"/>
              <w:rPr>
                <w:sz w:val="20"/>
                <w:szCs w:val="20"/>
              </w:rPr>
            </w:pPr>
            <w:r w:rsidRPr="002013DF">
              <w:rPr>
                <w:sz w:val="20"/>
                <w:szCs w:val="20"/>
              </w:rPr>
              <w:t>5</w:t>
            </w:r>
          </w:p>
        </w:tc>
        <w:tc>
          <w:tcPr>
            <w:tcW w:w="996" w:type="pct"/>
            <w:tcBorders>
              <w:top w:val="nil"/>
              <w:left w:val="nil"/>
              <w:bottom w:val="single" w:sz="4" w:space="0" w:color="auto"/>
              <w:right w:val="single" w:sz="4" w:space="0" w:color="auto"/>
            </w:tcBorders>
            <w:shd w:val="clear" w:color="auto" w:fill="FFFFFF"/>
            <w:noWrap/>
          </w:tcPr>
          <w:p w14:paraId="24A3B4D4" w14:textId="77777777" w:rsidR="00E51CDD" w:rsidRPr="002013DF" w:rsidRDefault="00E51CDD" w:rsidP="009938D9">
            <w:pPr>
              <w:suppressAutoHyphens/>
              <w:spacing w:before="40" w:after="40"/>
              <w:jc w:val="center"/>
              <w:rPr>
                <w:sz w:val="20"/>
                <w:szCs w:val="20"/>
              </w:rPr>
            </w:pPr>
            <w:r>
              <w:rPr>
                <w:sz w:val="20"/>
                <w:szCs w:val="20"/>
              </w:rPr>
              <w:t>99.3</w:t>
            </w:r>
          </w:p>
        </w:tc>
        <w:tc>
          <w:tcPr>
            <w:tcW w:w="920" w:type="pct"/>
            <w:tcBorders>
              <w:top w:val="nil"/>
              <w:left w:val="nil"/>
              <w:bottom w:val="single" w:sz="4" w:space="0" w:color="auto"/>
              <w:right w:val="single" w:sz="4" w:space="0" w:color="auto"/>
            </w:tcBorders>
            <w:shd w:val="clear" w:color="auto" w:fill="FFFFFF"/>
            <w:noWrap/>
          </w:tcPr>
          <w:p w14:paraId="375CFE53" w14:textId="77777777" w:rsidR="00E51CDD" w:rsidRPr="002013DF" w:rsidRDefault="00E51CDD" w:rsidP="009938D9">
            <w:pPr>
              <w:suppressAutoHyphens/>
              <w:spacing w:before="40" w:after="40"/>
              <w:jc w:val="center"/>
              <w:rPr>
                <w:sz w:val="20"/>
                <w:szCs w:val="20"/>
              </w:rPr>
            </w:pPr>
            <w:r>
              <w:rPr>
                <w:sz w:val="20"/>
                <w:szCs w:val="20"/>
              </w:rPr>
              <w:t>5</w:t>
            </w:r>
          </w:p>
        </w:tc>
      </w:tr>
    </w:tbl>
    <w:p w14:paraId="51B87366" w14:textId="77777777" w:rsidR="00E51CDD" w:rsidRDefault="00E51CDD" w:rsidP="00E51CDD">
      <w:pPr>
        <w:suppressAutoHyphens/>
        <w:jc w:val="both"/>
        <w:rPr>
          <w:sz w:val="18"/>
          <w:szCs w:val="18"/>
          <w:lang w:eastAsia="en-US"/>
        </w:rPr>
      </w:pPr>
      <w:r w:rsidRPr="002013DF">
        <w:rPr>
          <w:sz w:val="18"/>
          <w:szCs w:val="18"/>
          <w:u w:val="single"/>
          <w:lang w:eastAsia="en-US"/>
        </w:rPr>
        <w:t>Abbreviation:</w:t>
      </w:r>
      <w:r w:rsidRPr="002013DF">
        <w:rPr>
          <w:sz w:val="18"/>
          <w:szCs w:val="18"/>
          <w:lang w:eastAsia="en-US"/>
        </w:rPr>
        <w:t xml:space="preserve"> RSD = relative standard deviation</w:t>
      </w:r>
    </w:p>
    <w:p w14:paraId="2C2FFDAD" w14:textId="77777777" w:rsidR="00E51CDD" w:rsidRPr="002013DF" w:rsidRDefault="00E51CDD" w:rsidP="00E51CDD">
      <w:pPr>
        <w:suppressAutoHyphens/>
        <w:jc w:val="both"/>
        <w:rPr>
          <w:sz w:val="18"/>
          <w:szCs w:val="18"/>
          <w:lang w:eastAsia="en-US"/>
        </w:rPr>
      </w:pPr>
    </w:p>
    <w:p w14:paraId="4823A5B9" w14:textId="3035526B" w:rsidR="00E51CDD" w:rsidRPr="002013DF" w:rsidRDefault="00E51CDD" w:rsidP="00E51CDD">
      <w:pPr>
        <w:keepNext/>
        <w:keepLines/>
        <w:widowControl w:val="0"/>
        <w:suppressAutoHyphens/>
        <w:spacing w:before="200" w:after="40"/>
        <w:ind w:left="1418" w:hanging="1418"/>
        <w:jc w:val="both"/>
        <w:rPr>
          <w:b/>
          <w:bCs/>
        </w:rPr>
      </w:pPr>
      <w:r w:rsidRPr="002013DF">
        <w:rPr>
          <w:b/>
        </w:rPr>
        <w:t xml:space="preserve">Table A </w:t>
      </w:r>
      <w:r w:rsidRPr="002013DF">
        <w:rPr>
          <w:b/>
        </w:rPr>
        <w:fldChar w:fldCharType="begin"/>
      </w:r>
      <w:r w:rsidRPr="002013DF">
        <w:rPr>
          <w:b/>
        </w:rPr>
        <w:instrText xml:space="preserve"> SEQ Table_A \* ARABIC </w:instrText>
      </w:r>
      <w:r w:rsidRPr="002013DF">
        <w:rPr>
          <w:b/>
        </w:rPr>
        <w:fldChar w:fldCharType="separate"/>
      </w:r>
      <w:r w:rsidR="00662F32">
        <w:rPr>
          <w:b/>
          <w:noProof/>
        </w:rPr>
        <w:t>11</w:t>
      </w:r>
      <w:r w:rsidRPr="002013DF">
        <w:rPr>
          <w:b/>
        </w:rPr>
        <w:fldChar w:fldCharType="end"/>
      </w:r>
      <w:r w:rsidRPr="002013DF">
        <w:rPr>
          <w:b/>
        </w:rPr>
        <w:t>:</w:t>
      </w:r>
      <w:r w:rsidRPr="002013DF">
        <w:rPr>
          <w:b/>
          <w:bCs/>
        </w:rPr>
        <w:tab/>
        <w:t>Procedural recoveries for BAS 736 00 F (based on measurement of BAS 9164 F)</w:t>
      </w:r>
    </w:p>
    <w:tbl>
      <w:tblPr>
        <w:tblW w:w="5000" w:type="pct"/>
        <w:tblCellMar>
          <w:left w:w="70" w:type="dxa"/>
          <w:right w:w="70" w:type="dxa"/>
        </w:tblCellMar>
        <w:tblLook w:val="04A0" w:firstRow="1" w:lastRow="0" w:firstColumn="1" w:lastColumn="0" w:noHBand="0" w:noVBand="1"/>
      </w:tblPr>
      <w:tblGrid>
        <w:gridCol w:w="2157"/>
        <w:gridCol w:w="2917"/>
        <w:gridCol w:w="690"/>
        <w:gridCol w:w="1861"/>
        <w:gridCol w:w="1719"/>
      </w:tblGrid>
      <w:tr w:rsidR="00E51CDD" w:rsidRPr="002013DF" w14:paraId="4ABC1BA2" w14:textId="77777777" w:rsidTr="009938D9">
        <w:trPr>
          <w:trHeight w:val="367"/>
        </w:trPr>
        <w:tc>
          <w:tcPr>
            <w:tcW w:w="1154"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A9975D0" w14:textId="77777777" w:rsidR="00E51CDD" w:rsidRPr="002013DF" w:rsidRDefault="00E51CDD" w:rsidP="009938D9">
            <w:pPr>
              <w:suppressAutoHyphens/>
              <w:spacing w:before="40" w:after="40"/>
              <w:jc w:val="center"/>
              <w:rPr>
                <w:b/>
                <w:bCs/>
                <w:sz w:val="20"/>
                <w:szCs w:val="20"/>
              </w:rPr>
            </w:pPr>
            <w:r w:rsidRPr="002013DF">
              <w:rPr>
                <w:b/>
                <w:bCs/>
                <w:sz w:val="20"/>
                <w:szCs w:val="20"/>
              </w:rPr>
              <w:t>Matrix</w:t>
            </w:r>
          </w:p>
        </w:tc>
        <w:tc>
          <w:tcPr>
            <w:tcW w:w="1561" w:type="pct"/>
            <w:tcBorders>
              <w:top w:val="single" w:sz="4" w:space="0" w:color="auto"/>
              <w:left w:val="nil"/>
              <w:bottom w:val="single" w:sz="4" w:space="0" w:color="auto"/>
              <w:right w:val="single" w:sz="4" w:space="0" w:color="auto"/>
            </w:tcBorders>
            <w:shd w:val="clear" w:color="auto" w:fill="FFFFFF"/>
            <w:vAlign w:val="center"/>
            <w:hideMark/>
          </w:tcPr>
          <w:p w14:paraId="0C496A9B" w14:textId="77777777" w:rsidR="00E51CDD" w:rsidRPr="002013DF" w:rsidRDefault="00E51CDD" w:rsidP="009938D9">
            <w:pPr>
              <w:suppressAutoHyphens/>
              <w:spacing w:before="40" w:after="40"/>
              <w:jc w:val="center"/>
              <w:rPr>
                <w:b/>
                <w:bCs/>
                <w:sz w:val="20"/>
                <w:szCs w:val="20"/>
              </w:rPr>
            </w:pPr>
            <w:r w:rsidRPr="002013DF">
              <w:rPr>
                <w:b/>
                <w:bCs/>
                <w:sz w:val="20"/>
                <w:szCs w:val="20"/>
              </w:rPr>
              <w:t xml:space="preserve">Fortification level </w:t>
            </w:r>
            <w:r w:rsidRPr="002013DF">
              <w:rPr>
                <w:b/>
                <w:bCs/>
                <w:sz w:val="20"/>
                <w:szCs w:val="20"/>
              </w:rPr>
              <w:br/>
              <w:t>[mg BAS 9164 F/L]</w:t>
            </w:r>
          </w:p>
        </w:tc>
        <w:tc>
          <w:tcPr>
            <w:tcW w:w="369" w:type="pct"/>
            <w:tcBorders>
              <w:top w:val="single" w:sz="4" w:space="0" w:color="auto"/>
              <w:left w:val="nil"/>
              <w:bottom w:val="single" w:sz="4" w:space="0" w:color="auto"/>
              <w:right w:val="single" w:sz="4" w:space="0" w:color="auto"/>
            </w:tcBorders>
            <w:shd w:val="clear" w:color="auto" w:fill="FFFFFF"/>
            <w:noWrap/>
            <w:vAlign w:val="center"/>
            <w:hideMark/>
          </w:tcPr>
          <w:p w14:paraId="778B7F11" w14:textId="77777777" w:rsidR="00E51CDD" w:rsidRPr="002013DF" w:rsidRDefault="00E51CDD" w:rsidP="009938D9">
            <w:pPr>
              <w:suppressAutoHyphens/>
              <w:spacing w:before="40" w:after="40"/>
              <w:jc w:val="center"/>
              <w:rPr>
                <w:b/>
                <w:bCs/>
                <w:sz w:val="20"/>
                <w:szCs w:val="20"/>
                <w:vertAlign w:val="superscript"/>
              </w:rPr>
            </w:pPr>
            <w:r w:rsidRPr="002013DF">
              <w:rPr>
                <w:b/>
                <w:bCs/>
                <w:sz w:val="20"/>
                <w:szCs w:val="20"/>
              </w:rPr>
              <w:t>n</w:t>
            </w:r>
          </w:p>
        </w:tc>
        <w:tc>
          <w:tcPr>
            <w:tcW w:w="996" w:type="pct"/>
            <w:tcBorders>
              <w:top w:val="single" w:sz="4" w:space="0" w:color="auto"/>
              <w:left w:val="nil"/>
              <w:bottom w:val="single" w:sz="4" w:space="0" w:color="auto"/>
              <w:right w:val="single" w:sz="4" w:space="0" w:color="auto"/>
            </w:tcBorders>
            <w:shd w:val="clear" w:color="auto" w:fill="FFFFFF"/>
            <w:noWrap/>
            <w:vAlign w:val="center"/>
            <w:hideMark/>
          </w:tcPr>
          <w:p w14:paraId="3D96A94F" w14:textId="77777777" w:rsidR="00E51CDD" w:rsidRPr="002013DF" w:rsidRDefault="00E51CDD" w:rsidP="009938D9">
            <w:pPr>
              <w:suppressAutoHyphens/>
              <w:spacing w:before="40" w:after="40"/>
              <w:jc w:val="center"/>
              <w:rPr>
                <w:b/>
                <w:bCs/>
                <w:sz w:val="20"/>
                <w:szCs w:val="20"/>
              </w:rPr>
            </w:pPr>
            <w:r w:rsidRPr="002013DF">
              <w:rPr>
                <w:b/>
                <w:bCs/>
                <w:sz w:val="20"/>
                <w:szCs w:val="20"/>
              </w:rPr>
              <w:t>Mean recovery [%]</w:t>
            </w:r>
          </w:p>
        </w:tc>
        <w:tc>
          <w:tcPr>
            <w:tcW w:w="92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7EA1889" w14:textId="77777777" w:rsidR="00E51CDD" w:rsidRPr="002013DF" w:rsidRDefault="00E51CDD" w:rsidP="009938D9">
            <w:pPr>
              <w:suppressAutoHyphens/>
              <w:spacing w:before="40" w:after="40"/>
              <w:jc w:val="center"/>
              <w:rPr>
                <w:b/>
                <w:bCs/>
                <w:sz w:val="20"/>
                <w:szCs w:val="20"/>
              </w:rPr>
            </w:pPr>
            <w:r w:rsidRPr="002013DF">
              <w:rPr>
                <w:b/>
                <w:bCs/>
                <w:sz w:val="20"/>
                <w:szCs w:val="20"/>
              </w:rPr>
              <w:t>RSD [%]</w:t>
            </w:r>
          </w:p>
        </w:tc>
      </w:tr>
      <w:tr w:rsidR="00E51CDD" w:rsidRPr="002013DF" w14:paraId="663C8CA6"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hideMark/>
          </w:tcPr>
          <w:p w14:paraId="2D7CE3DA" w14:textId="77777777" w:rsidR="00E51CDD" w:rsidRPr="002013DF" w:rsidRDefault="00E51CDD" w:rsidP="009938D9">
            <w:pPr>
              <w:suppressAutoHyphens/>
              <w:spacing w:before="40" w:after="40"/>
              <w:jc w:val="center"/>
              <w:rPr>
                <w:sz w:val="20"/>
                <w:szCs w:val="20"/>
              </w:rPr>
            </w:pPr>
            <w:r w:rsidRPr="002013DF">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2B3DFF68" w14:textId="77777777" w:rsidR="00E51CDD" w:rsidRPr="002013DF" w:rsidRDefault="00E51CDD" w:rsidP="009938D9">
            <w:pPr>
              <w:suppressAutoHyphens/>
              <w:spacing w:before="40" w:after="40"/>
              <w:jc w:val="center"/>
              <w:rPr>
                <w:sz w:val="20"/>
                <w:szCs w:val="20"/>
              </w:rPr>
            </w:pPr>
            <w:r>
              <w:rPr>
                <w:sz w:val="20"/>
                <w:szCs w:val="20"/>
              </w:rPr>
              <w:t>0.026</w:t>
            </w:r>
          </w:p>
        </w:tc>
        <w:tc>
          <w:tcPr>
            <w:tcW w:w="369" w:type="pct"/>
            <w:tcBorders>
              <w:top w:val="nil"/>
              <w:left w:val="nil"/>
              <w:bottom w:val="single" w:sz="4" w:space="0" w:color="auto"/>
              <w:right w:val="single" w:sz="4" w:space="0" w:color="auto"/>
            </w:tcBorders>
            <w:shd w:val="clear" w:color="auto" w:fill="FFFFFF"/>
            <w:noWrap/>
            <w:vAlign w:val="center"/>
            <w:hideMark/>
          </w:tcPr>
          <w:p w14:paraId="047C1120" w14:textId="77777777" w:rsidR="00E51CDD" w:rsidRPr="002013DF" w:rsidRDefault="00E51CDD" w:rsidP="009938D9">
            <w:pPr>
              <w:suppressAutoHyphens/>
              <w:spacing w:before="40" w:after="40"/>
              <w:jc w:val="center"/>
              <w:rPr>
                <w:sz w:val="20"/>
                <w:szCs w:val="20"/>
              </w:rPr>
            </w:pPr>
            <w:r w:rsidRPr="002013DF">
              <w:rPr>
                <w:sz w:val="20"/>
                <w:szCs w:val="20"/>
              </w:rPr>
              <w:t>5</w:t>
            </w:r>
          </w:p>
        </w:tc>
        <w:tc>
          <w:tcPr>
            <w:tcW w:w="996" w:type="pct"/>
            <w:tcBorders>
              <w:top w:val="nil"/>
              <w:left w:val="nil"/>
              <w:bottom w:val="single" w:sz="4" w:space="0" w:color="auto"/>
              <w:right w:val="single" w:sz="4" w:space="0" w:color="auto"/>
            </w:tcBorders>
            <w:shd w:val="clear" w:color="auto" w:fill="FFFFFF"/>
            <w:noWrap/>
          </w:tcPr>
          <w:p w14:paraId="26A9B206" w14:textId="77777777" w:rsidR="00E51CDD" w:rsidRPr="002013DF" w:rsidRDefault="00E51CDD" w:rsidP="009938D9">
            <w:pPr>
              <w:suppressAutoHyphens/>
              <w:spacing w:before="40" w:after="40"/>
              <w:jc w:val="center"/>
              <w:rPr>
                <w:sz w:val="20"/>
                <w:szCs w:val="20"/>
              </w:rPr>
            </w:pPr>
            <w:r>
              <w:rPr>
                <w:sz w:val="20"/>
                <w:szCs w:val="20"/>
              </w:rPr>
              <w:t>89.8</w:t>
            </w:r>
          </w:p>
        </w:tc>
        <w:tc>
          <w:tcPr>
            <w:tcW w:w="920" w:type="pct"/>
            <w:tcBorders>
              <w:top w:val="nil"/>
              <w:left w:val="nil"/>
              <w:bottom w:val="single" w:sz="4" w:space="0" w:color="auto"/>
              <w:right w:val="single" w:sz="4" w:space="0" w:color="auto"/>
            </w:tcBorders>
            <w:shd w:val="clear" w:color="auto" w:fill="FFFFFF"/>
            <w:noWrap/>
          </w:tcPr>
          <w:p w14:paraId="571F48E6" w14:textId="77777777" w:rsidR="00E51CDD" w:rsidRPr="002013DF" w:rsidRDefault="00E51CDD" w:rsidP="009938D9">
            <w:pPr>
              <w:suppressAutoHyphens/>
              <w:spacing w:before="40" w:after="40"/>
              <w:jc w:val="center"/>
              <w:rPr>
                <w:sz w:val="20"/>
                <w:szCs w:val="20"/>
              </w:rPr>
            </w:pPr>
            <w:r>
              <w:rPr>
                <w:sz w:val="20"/>
                <w:szCs w:val="20"/>
              </w:rPr>
              <w:t>5</w:t>
            </w:r>
          </w:p>
        </w:tc>
      </w:tr>
      <w:tr w:rsidR="00E51CDD" w:rsidRPr="002013DF" w14:paraId="69641710" w14:textId="77777777" w:rsidTr="009938D9">
        <w:trPr>
          <w:trHeight w:val="255"/>
        </w:trPr>
        <w:tc>
          <w:tcPr>
            <w:tcW w:w="1154" w:type="pct"/>
            <w:tcBorders>
              <w:top w:val="nil"/>
              <w:left w:val="single" w:sz="4" w:space="0" w:color="auto"/>
              <w:bottom w:val="single" w:sz="4" w:space="0" w:color="auto"/>
              <w:right w:val="single" w:sz="4" w:space="0" w:color="auto"/>
            </w:tcBorders>
            <w:shd w:val="clear" w:color="auto" w:fill="FFFFFF"/>
            <w:noWrap/>
            <w:hideMark/>
          </w:tcPr>
          <w:p w14:paraId="3BECA821" w14:textId="77777777" w:rsidR="00E51CDD" w:rsidRPr="002013DF" w:rsidRDefault="00E51CDD" w:rsidP="009938D9">
            <w:pPr>
              <w:suppressAutoHyphens/>
              <w:spacing w:before="40" w:after="40"/>
              <w:jc w:val="center"/>
              <w:rPr>
                <w:sz w:val="20"/>
                <w:szCs w:val="20"/>
              </w:rPr>
            </w:pPr>
            <w:r w:rsidRPr="002013DF">
              <w:rPr>
                <w:sz w:val="20"/>
                <w:szCs w:val="20"/>
              </w:rPr>
              <w:t>Test medium</w:t>
            </w:r>
          </w:p>
        </w:tc>
        <w:tc>
          <w:tcPr>
            <w:tcW w:w="1561" w:type="pct"/>
            <w:tcBorders>
              <w:top w:val="nil"/>
              <w:left w:val="nil"/>
              <w:bottom w:val="single" w:sz="4" w:space="0" w:color="auto"/>
              <w:right w:val="single" w:sz="4" w:space="0" w:color="auto"/>
            </w:tcBorders>
            <w:shd w:val="clear" w:color="auto" w:fill="FFFFFF"/>
            <w:noWrap/>
            <w:vAlign w:val="center"/>
            <w:hideMark/>
          </w:tcPr>
          <w:p w14:paraId="00FABC14" w14:textId="77777777" w:rsidR="00E51CDD" w:rsidRPr="002013DF" w:rsidRDefault="00E51CDD" w:rsidP="009938D9">
            <w:pPr>
              <w:suppressAutoHyphens/>
              <w:spacing w:before="40" w:after="40"/>
              <w:jc w:val="center"/>
              <w:rPr>
                <w:sz w:val="20"/>
                <w:szCs w:val="20"/>
              </w:rPr>
            </w:pPr>
            <w:r>
              <w:rPr>
                <w:sz w:val="20"/>
                <w:szCs w:val="20"/>
              </w:rPr>
              <w:t>20.8</w:t>
            </w:r>
          </w:p>
        </w:tc>
        <w:tc>
          <w:tcPr>
            <w:tcW w:w="369" w:type="pct"/>
            <w:tcBorders>
              <w:top w:val="nil"/>
              <w:left w:val="nil"/>
              <w:bottom w:val="single" w:sz="4" w:space="0" w:color="auto"/>
              <w:right w:val="single" w:sz="4" w:space="0" w:color="auto"/>
            </w:tcBorders>
            <w:shd w:val="clear" w:color="auto" w:fill="FFFFFF"/>
            <w:noWrap/>
            <w:vAlign w:val="center"/>
            <w:hideMark/>
          </w:tcPr>
          <w:p w14:paraId="2E0E06AF" w14:textId="77777777" w:rsidR="00E51CDD" w:rsidRPr="002013DF" w:rsidRDefault="00E51CDD" w:rsidP="009938D9">
            <w:pPr>
              <w:suppressAutoHyphens/>
              <w:spacing w:before="40" w:after="40"/>
              <w:jc w:val="center"/>
              <w:rPr>
                <w:sz w:val="20"/>
                <w:szCs w:val="20"/>
              </w:rPr>
            </w:pPr>
            <w:r w:rsidRPr="002013DF">
              <w:rPr>
                <w:sz w:val="20"/>
                <w:szCs w:val="20"/>
              </w:rPr>
              <w:t>5</w:t>
            </w:r>
          </w:p>
        </w:tc>
        <w:tc>
          <w:tcPr>
            <w:tcW w:w="996" w:type="pct"/>
            <w:tcBorders>
              <w:top w:val="nil"/>
              <w:left w:val="nil"/>
              <w:bottom w:val="single" w:sz="4" w:space="0" w:color="auto"/>
              <w:right w:val="single" w:sz="4" w:space="0" w:color="auto"/>
            </w:tcBorders>
            <w:shd w:val="clear" w:color="auto" w:fill="FFFFFF"/>
            <w:noWrap/>
          </w:tcPr>
          <w:p w14:paraId="6B2342FC" w14:textId="77777777" w:rsidR="00E51CDD" w:rsidRPr="002013DF" w:rsidRDefault="00E51CDD" w:rsidP="009938D9">
            <w:pPr>
              <w:suppressAutoHyphens/>
              <w:spacing w:before="40" w:after="40"/>
              <w:jc w:val="center"/>
              <w:rPr>
                <w:sz w:val="20"/>
                <w:szCs w:val="20"/>
              </w:rPr>
            </w:pPr>
            <w:r>
              <w:rPr>
                <w:sz w:val="20"/>
                <w:szCs w:val="20"/>
              </w:rPr>
              <w:t>99.2</w:t>
            </w:r>
          </w:p>
        </w:tc>
        <w:tc>
          <w:tcPr>
            <w:tcW w:w="920" w:type="pct"/>
            <w:tcBorders>
              <w:top w:val="nil"/>
              <w:left w:val="nil"/>
              <w:bottom w:val="single" w:sz="4" w:space="0" w:color="auto"/>
              <w:right w:val="single" w:sz="4" w:space="0" w:color="auto"/>
            </w:tcBorders>
            <w:shd w:val="clear" w:color="auto" w:fill="FFFFFF"/>
            <w:noWrap/>
          </w:tcPr>
          <w:p w14:paraId="42CDB9F7" w14:textId="77777777" w:rsidR="00E51CDD" w:rsidRPr="002013DF" w:rsidRDefault="00E51CDD" w:rsidP="009938D9">
            <w:pPr>
              <w:suppressAutoHyphens/>
              <w:spacing w:before="40" w:after="40"/>
              <w:jc w:val="center"/>
              <w:rPr>
                <w:sz w:val="20"/>
                <w:szCs w:val="20"/>
              </w:rPr>
            </w:pPr>
            <w:r>
              <w:rPr>
                <w:sz w:val="20"/>
                <w:szCs w:val="20"/>
              </w:rPr>
              <w:t>3</w:t>
            </w:r>
          </w:p>
        </w:tc>
      </w:tr>
    </w:tbl>
    <w:p w14:paraId="3FD5B4F4" w14:textId="77777777" w:rsidR="00E51CDD" w:rsidRPr="002013DF" w:rsidRDefault="00E51CDD" w:rsidP="00E51CDD">
      <w:pPr>
        <w:suppressAutoHyphens/>
        <w:jc w:val="both"/>
        <w:rPr>
          <w:sz w:val="18"/>
          <w:szCs w:val="18"/>
          <w:lang w:eastAsia="en-US"/>
        </w:rPr>
      </w:pPr>
      <w:r w:rsidRPr="002013DF">
        <w:rPr>
          <w:sz w:val="18"/>
          <w:szCs w:val="18"/>
          <w:u w:val="single"/>
          <w:lang w:eastAsia="en-US"/>
        </w:rPr>
        <w:t>Abbreviation:</w:t>
      </w:r>
      <w:r w:rsidRPr="002013DF">
        <w:rPr>
          <w:sz w:val="18"/>
          <w:szCs w:val="18"/>
          <w:lang w:eastAsia="en-US"/>
        </w:rPr>
        <w:t xml:space="preserve"> RSD = relative standard deviation</w:t>
      </w:r>
    </w:p>
    <w:p w14:paraId="048BBCF3" w14:textId="77777777" w:rsidR="00E51CDD" w:rsidRPr="00E36B00" w:rsidRDefault="00E51CDD" w:rsidP="00E51CDD">
      <w:pPr>
        <w:suppressAutoHyphens/>
        <w:jc w:val="both"/>
        <w:rPr>
          <w:color w:val="0070C0"/>
          <w:sz w:val="18"/>
          <w:szCs w:val="18"/>
          <w:lang w:eastAsia="en-US"/>
        </w:rPr>
      </w:pPr>
    </w:p>
    <w:p w14:paraId="7FDC749D" w14:textId="77777777" w:rsidR="00E51CDD" w:rsidRPr="00E36B00" w:rsidRDefault="00E51CDD" w:rsidP="00E51CDD">
      <w:pPr>
        <w:tabs>
          <w:tab w:val="left" w:pos="425"/>
          <w:tab w:val="left" w:pos="850"/>
        </w:tabs>
        <w:suppressAutoHyphens/>
        <w:ind w:left="2835" w:hanging="2835"/>
        <w:jc w:val="both"/>
        <w:rPr>
          <w:b/>
          <w:bCs/>
          <w:color w:val="0070C0"/>
          <w:lang w:eastAsia="en-US"/>
        </w:rPr>
      </w:pPr>
      <w:r>
        <w:rPr>
          <w:b/>
          <w:bCs/>
          <w:color w:val="0070C0"/>
          <w:lang w:eastAsia="en-US"/>
        </w:rPr>
        <w:br w:type="page"/>
      </w:r>
    </w:p>
    <w:p w14:paraId="4772B008" w14:textId="77777777" w:rsidR="00E51CDD" w:rsidRPr="00353EC0" w:rsidRDefault="00E51CDD" w:rsidP="00E51CDD">
      <w:pPr>
        <w:tabs>
          <w:tab w:val="left" w:pos="425"/>
          <w:tab w:val="left" w:pos="850"/>
        </w:tabs>
        <w:suppressAutoHyphens/>
        <w:ind w:left="2835" w:hanging="2835"/>
        <w:jc w:val="both"/>
        <w:rPr>
          <w:b/>
          <w:bCs/>
          <w:lang w:eastAsia="en-US"/>
        </w:rPr>
      </w:pPr>
      <w:r w:rsidRPr="00353EC0">
        <w:rPr>
          <w:b/>
          <w:bCs/>
          <w:lang w:eastAsia="en-US"/>
        </w:rPr>
        <w:lastRenderedPageBreak/>
        <w:t>II.</w:t>
      </w:r>
      <w:r w:rsidRPr="00353EC0">
        <w:rPr>
          <w:b/>
          <w:bCs/>
          <w:lang w:eastAsia="en-US"/>
        </w:rPr>
        <w:tab/>
        <w:t>RESULTS AND DISCUSSION</w:t>
      </w:r>
    </w:p>
    <w:p w14:paraId="15D80CA2" w14:textId="77777777" w:rsidR="00E51CDD" w:rsidRPr="00353EC0" w:rsidRDefault="00E51CDD" w:rsidP="00E51CDD">
      <w:pPr>
        <w:tabs>
          <w:tab w:val="left" w:pos="425"/>
          <w:tab w:val="left" w:pos="850"/>
        </w:tabs>
        <w:suppressAutoHyphens/>
        <w:jc w:val="both"/>
        <w:rPr>
          <w:rFonts w:ascii="Arial" w:hAnsi="Arial" w:cs="Arial"/>
          <w:b/>
          <w:bCs/>
          <w:sz w:val="24"/>
          <w:szCs w:val="24"/>
          <w:lang w:eastAsia="en-US"/>
        </w:rPr>
      </w:pPr>
    </w:p>
    <w:p w14:paraId="1C6961A5" w14:textId="77777777" w:rsidR="00E51CDD" w:rsidRPr="00353EC0" w:rsidRDefault="00E51CDD" w:rsidP="00E51CDD">
      <w:pPr>
        <w:suppressAutoHyphens/>
        <w:jc w:val="both"/>
        <w:rPr>
          <w:szCs w:val="24"/>
        </w:rPr>
      </w:pPr>
      <w:bookmarkStart w:id="1149" w:name="_Hlk78880634"/>
      <w:r w:rsidRPr="00353EC0">
        <w:rPr>
          <w:szCs w:val="24"/>
        </w:rPr>
        <w:t>Analytical measurements: Analytical verification of azoxystrobin and fluxapyroxad concentrations was conducted in each concentration at the beginning and at the end of the test. The analyzed contents of azoxystrobin ranged from 98.3% to 104% of nominal concentrations at test initiation and from 97.1% to 10</w:t>
      </w:r>
      <w:r>
        <w:rPr>
          <w:szCs w:val="24"/>
        </w:rPr>
        <w:t>7</w:t>
      </w:r>
      <w:r w:rsidRPr="00353EC0">
        <w:rPr>
          <w:szCs w:val="24"/>
        </w:rPr>
        <w:t>% of nominal at test termination. The analyzed contents of fluxapyroxad ranged from 97.5% to 103% of nominal concentrations at test initiation and from 95.3% to 107% of nominal at test termination. The following biological results are based on nominal concentrations.</w:t>
      </w:r>
    </w:p>
    <w:p w14:paraId="11D3B2AA" w14:textId="77777777" w:rsidR="00E51CDD" w:rsidRPr="00353EC0" w:rsidRDefault="00E51CDD" w:rsidP="00E51CDD">
      <w:pPr>
        <w:suppressAutoHyphens/>
        <w:jc w:val="both"/>
        <w:rPr>
          <w:szCs w:val="24"/>
        </w:rPr>
      </w:pPr>
    </w:p>
    <w:bookmarkEnd w:id="1149"/>
    <w:p w14:paraId="0179CE52" w14:textId="4F70C372" w:rsidR="00E51CDD" w:rsidRPr="00353EC0" w:rsidRDefault="00E51CDD" w:rsidP="00E51CDD">
      <w:pPr>
        <w:suppressAutoHyphens/>
        <w:jc w:val="both"/>
      </w:pPr>
      <w:r w:rsidRPr="00353EC0">
        <w:t>Biological results: No morphological effects on algae were observed in the control and up to and including 5.71 mg/L. No algal cells were visible at test concentration of 16.0 mg/L. After 72</w:t>
      </w:r>
      <w:r>
        <w:t> </w:t>
      </w:r>
      <w:r w:rsidRPr="00353EC0">
        <w:t>h significant inhibitory effects were determined for growth rate and yield at test item concentrations of 2.04 mg/L and above</w:t>
      </w:r>
      <w:r>
        <w:t xml:space="preserve"> (</w:t>
      </w:r>
      <w:r w:rsidRPr="00C032C8">
        <w:t xml:space="preserve">Step-down Jonckheere-Terpstra Test Procedure, </w:t>
      </w:r>
      <w:r>
        <w:t>left sided, α</w:t>
      </w:r>
      <w:r w:rsidRPr="00C032C8">
        <w:t xml:space="preserve"> = 0.05</w:t>
      </w:r>
      <w:r>
        <w:t>)</w:t>
      </w:r>
      <w:r w:rsidRPr="00353EC0">
        <w:t xml:space="preserve">. The effects on algal growth rate and yield are summarized in </w:t>
      </w:r>
      <w:r w:rsidRPr="00353EC0">
        <w:fldChar w:fldCharType="begin"/>
      </w:r>
      <w:r w:rsidRPr="00353EC0">
        <w:instrText xml:space="preserve"> REF _Ref508974937 \h  \* MERGEFORMAT </w:instrText>
      </w:r>
      <w:r w:rsidRPr="00353EC0">
        <w:fldChar w:fldCharType="separate"/>
      </w:r>
      <w:r w:rsidR="00662F32" w:rsidRPr="00662F32">
        <w:t xml:space="preserve">Table A </w:t>
      </w:r>
      <w:r w:rsidR="00662F32" w:rsidRPr="00662F32">
        <w:rPr>
          <w:noProof/>
        </w:rPr>
        <w:t>12</w:t>
      </w:r>
      <w:r w:rsidRPr="00353EC0">
        <w:fldChar w:fldCharType="end"/>
      </w:r>
      <w:r w:rsidRPr="00353EC0">
        <w:t>.</w:t>
      </w:r>
    </w:p>
    <w:p w14:paraId="38ECD9DC" w14:textId="77777777" w:rsidR="00E51CDD" w:rsidRPr="00FC2143" w:rsidRDefault="00E51CDD" w:rsidP="00E51CDD">
      <w:pPr>
        <w:suppressAutoHyphens/>
        <w:jc w:val="both"/>
      </w:pPr>
    </w:p>
    <w:p w14:paraId="716E9DFE" w14:textId="521172CE" w:rsidR="00E51CDD" w:rsidRPr="00FC2143" w:rsidRDefault="00E51CDD" w:rsidP="00E51CDD">
      <w:pPr>
        <w:keepNext/>
        <w:suppressAutoHyphens/>
        <w:spacing w:after="120"/>
        <w:rPr>
          <w:b/>
          <w:bCs/>
        </w:rPr>
      </w:pPr>
      <w:bookmarkStart w:id="1150" w:name="_Ref508974937"/>
      <w:r w:rsidRPr="00FC2143">
        <w:rPr>
          <w:b/>
          <w:bCs/>
        </w:rPr>
        <w:t xml:space="preserve">Table A </w:t>
      </w:r>
      <w:r w:rsidRPr="00FC2143">
        <w:fldChar w:fldCharType="begin"/>
      </w:r>
      <w:r w:rsidRPr="00FC2143">
        <w:rPr>
          <w:b/>
          <w:bCs/>
        </w:rPr>
        <w:instrText xml:space="preserve"> SEQ Table_A \* ARABIC </w:instrText>
      </w:r>
      <w:r w:rsidRPr="00FC2143">
        <w:fldChar w:fldCharType="separate"/>
      </w:r>
      <w:r w:rsidR="00662F32">
        <w:rPr>
          <w:b/>
          <w:bCs/>
          <w:noProof/>
        </w:rPr>
        <w:t>12</w:t>
      </w:r>
      <w:r w:rsidRPr="00FC2143">
        <w:fldChar w:fldCharType="end"/>
      </w:r>
      <w:bookmarkEnd w:id="1150"/>
      <w:r w:rsidRPr="00FC2143">
        <w:rPr>
          <w:b/>
          <w:bCs/>
        </w:rPr>
        <w:t>:</w:t>
      </w:r>
      <w:r w:rsidRPr="00FC2143">
        <w:rPr>
          <w:b/>
          <w:bCs/>
        </w:rPr>
        <w:tab/>
        <w:t xml:space="preserve">Effect of BAS 736 00 H on the growth of green alga </w:t>
      </w:r>
      <w:r w:rsidRPr="00FC2143">
        <w:rPr>
          <w:b/>
          <w:bCs/>
          <w:i/>
          <w:iCs/>
        </w:rPr>
        <w:t>P. subcapitata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96"/>
        <w:gridCol w:w="1317"/>
        <w:gridCol w:w="1314"/>
        <w:gridCol w:w="1314"/>
        <w:gridCol w:w="1314"/>
        <w:gridCol w:w="1389"/>
      </w:tblGrid>
      <w:tr w:rsidR="00E51CDD" w:rsidRPr="00FC2143" w14:paraId="30E26824" w14:textId="77777777" w:rsidTr="009938D9">
        <w:trPr>
          <w:cantSplit/>
          <w:trHeight w:val="342"/>
          <w:tblHeader/>
        </w:trPr>
        <w:tc>
          <w:tcPr>
            <w:tcW w:w="1443" w:type="pct"/>
            <w:tcBorders>
              <w:top w:val="single" w:sz="4" w:space="0" w:color="auto"/>
              <w:left w:val="single" w:sz="4" w:space="0" w:color="auto"/>
              <w:bottom w:val="single" w:sz="4" w:space="0" w:color="auto"/>
              <w:right w:val="single" w:sz="4" w:space="0" w:color="auto"/>
            </w:tcBorders>
            <w:vAlign w:val="center"/>
            <w:hideMark/>
          </w:tcPr>
          <w:p w14:paraId="3BB0131C" w14:textId="77777777" w:rsidR="00E51CDD" w:rsidRPr="00FC2143" w:rsidRDefault="00E51CDD" w:rsidP="009938D9">
            <w:pPr>
              <w:keepLines/>
              <w:suppressAutoHyphens/>
              <w:overflowPunct w:val="0"/>
              <w:autoSpaceDE w:val="0"/>
              <w:autoSpaceDN w:val="0"/>
              <w:adjustRightInd w:val="0"/>
              <w:spacing w:before="40" w:after="40"/>
              <w:textAlignment w:val="baseline"/>
              <w:rPr>
                <w:b/>
                <w:bCs/>
                <w:sz w:val="20"/>
                <w:szCs w:val="20"/>
              </w:rPr>
            </w:pPr>
            <w:r w:rsidRPr="00FC2143">
              <w:rPr>
                <w:b/>
                <w:bCs/>
                <w:sz w:val="20"/>
                <w:szCs w:val="20"/>
              </w:rPr>
              <w:t>Concentration</w:t>
            </w:r>
            <w:r w:rsidRPr="00FC2143">
              <w:rPr>
                <w:b/>
                <w:bCs/>
                <w:sz w:val="20"/>
                <w:szCs w:val="20"/>
              </w:rPr>
              <w:br/>
              <w:t>[mg/L] (nominal)</w:t>
            </w:r>
          </w:p>
        </w:tc>
        <w:tc>
          <w:tcPr>
            <w:tcW w:w="705" w:type="pct"/>
            <w:tcBorders>
              <w:top w:val="single" w:sz="4" w:space="0" w:color="auto"/>
              <w:left w:val="single" w:sz="4" w:space="0" w:color="auto"/>
              <w:bottom w:val="single" w:sz="4" w:space="0" w:color="auto"/>
              <w:right w:val="single" w:sz="4" w:space="0" w:color="auto"/>
            </w:tcBorders>
            <w:vAlign w:val="center"/>
            <w:hideMark/>
          </w:tcPr>
          <w:p w14:paraId="6CD9DA22"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FC2143">
              <w:rPr>
                <w:b/>
                <w:bCs/>
                <w:sz w:val="20"/>
                <w:szCs w:val="20"/>
              </w:rPr>
              <w:t>0.260</w:t>
            </w:r>
          </w:p>
        </w:tc>
        <w:tc>
          <w:tcPr>
            <w:tcW w:w="703" w:type="pct"/>
            <w:tcBorders>
              <w:top w:val="single" w:sz="4" w:space="0" w:color="auto"/>
              <w:left w:val="single" w:sz="4" w:space="0" w:color="auto"/>
              <w:bottom w:val="single" w:sz="4" w:space="0" w:color="auto"/>
              <w:right w:val="single" w:sz="4" w:space="0" w:color="auto"/>
            </w:tcBorders>
            <w:vAlign w:val="center"/>
            <w:hideMark/>
          </w:tcPr>
          <w:p w14:paraId="7C9236B2"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FC2143">
              <w:rPr>
                <w:b/>
                <w:bCs/>
                <w:sz w:val="20"/>
                <w:szCs w:val="20"/>
              </w:rPr>
              <w:t>0.729</w:t>
            </w:r>
          </w:p>
        </w:tc>
        <w:tc>
          <w:tcPr>
            <w:tcW w:w="703" w:type="pct"/>
            <w:tcBorders>
              <w:top w:val="single" w:sz="4" w:space="0" w:color="auto"/>
              <w:left w:val="single" w:sz="4" w:space="0" w:color="auto"/>
              <w:bottom w:val="single" w:sz="4" w:space="0" w:color="auto"/>
              <w:right w:val="single" w:sz="4" w:space="0" w:color="auto"/>
            </w:tcBorders>
            <w:vAlign w:val="center"/>
            <w:hideMark/>
          </w:tcPr>
          <w:p w14:paraId="10493DAF"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FC2143">
              <w:rPr>
                <w:b/>
                <w:bCs/>
                <w:sz w:val="20"/>
                <w:szCs w:val="20"/>
              </w:rPr>
              <w:t>2.04</w:t>
            </w:r>
          </w:p>
        </w:tc>
        <w:tc>
          <w:tcPr>
            <w:tcW w:w="703" w:type="pct"/>
            <w:tcBorders>
              <w:top w:val="single" w:sz="4" w:space="0" w:color="auto"/>
              <w:left w:val="single" w:sz="4" w:space="0" w:color="auto"/>
              <w:bottom w:val="single" w:sz="4" w:space="0" w:color="auto"/>
              <w:right w:val="single" w:sz="4" w:space="0" w:color="auto"/>
            </w:tcBorders>
            <w:vAlign w:val="center"/>
            <w:hideMark/>
          </w:tcPr>
          <w:p w14:paraId="64D00F28"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FC2143">
              <w:rPr>
                <w:b/>
                <w:bCs/>
                <w:sz w:val="20"/>
                <w:szCs w:val="20"/>
              </w:rPr>
              <w:t>5.71</w:t>
            </w:r>
          </w:p>
        </w:tc>
        <w:tc>
          <w:tcPr>
            <w:tcW w:w="744" w:type="pct"/>
            <w:tcBorders>
              <w:top w:val="single" w:sz="4" w:space="0" w:color="auto"/>
              <w:left w:val="single" w:sz="4" w:space="0" w:color="auto"/>
              <w:bottom w:val="single" w:sz="4" w:space="0" w:color="auto"/>
              <w:right w:val="single" w:sz="4" w:space="0" w:color="auto"/>
            </w:tcBorders>
            <w:vAlign w:val="center"/>
            <w:hideMark/>
          </w:tcPr>
          <w:p w14:paraId="1CE24E4C"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b/>
                <w:bCs/>
                <w:sz w:val="20"/>
                <w:szCs w:val="20"/>
              </w:rPr>
            </w:pPr>
            <w:r w:rsidRPr="00FC2143">
              <w:rPr>
                <w:b/>
                <w:bCs/>
                <w:sz w:val="20"/>
                <w:szCs w:val="20"/>
              </w:rPr>
              <w:t>16.0</w:t>
            </w:r>
          </w:p>
        </w:tc>
      </w:tr>
      <w:tr w:rsidR="00E51CDD" w:rsidRPr="00C032C8" w14:paraId="79C32CA7" w14:textId="77777777" w:rsidTr="009938D9">
        <w:trPr>
          <w:cantSplit/>
          <w:trHeight w:val="342"/>
        </w:trPr>
        <w:tc>
          <w:tcPr>
            <w:tcW w:w="1443" w:type="pct"/>
            <w:tcBorders>
              <w:top w:val="single" w:sz="4" w:space="0" w:color="auto"/>
              <w:left w:val="single" w:sz="4" w:space="0" w:color="auto"/>
              <w:bottom w:val="single" w:sz="4" w:space="0" w:color="auto"/>
              <w:right w:val="single" w:sz="4" w:space="0" w:color="auto"/>
            </w:tcBorders>
            <w:vAlign w:val="center"/>
            <w:hideMark/>
          </w:tcPr>
          <w:p w14:paraId="78C1FF32" w14:textId="77777777" w:rsidR="00E51CDD" w:rsidRPr="00C032C8" w:rsidRDefault="00E51CDD" w:rsidP="009938D9">
            <w:pPr>
              <w:keepLines/>
              <w:suppressAutoHyphens/>
              <w:overflowPunct w:val="0"/>
              <w:autoSpaceDE w:val="0"/>
              <w:autoSpaceDN w:val="0"/>
              <w:adjustRightInd w:val="0"/>
              <w:spacing w:before="40" w:after="40"/>
              <w:textAlignment w:val="baseline"/>
              <w:rPr>
                <w:sz w:val="20"/>
                <w:szCs w:val="20"/>
              </w:rPr>
            </w:pPr>
            <w:r w:rsidRPr="00C032C8">
              <w:rPr>
                <w:sz w:val="20"/>
                <w:szCs w:val="20"/>
              </w:rPr>
              <w:t>Inhibition in 72 h</w:t>
            </w:r>
            <w:r w:rsidRPr="00C032C8">
              <w:rPr>
                <w:sz w:val="20"/>
                <w:szCs w:val="20"/>
              </w:rPr>
              <w:br/>
              <w:t xml:space="preserve">(growth rate) [%] </w:t>
            </w:r>
            <w:r w:rsidRPr="00C032C8">
              <w:rPr>
                <w:sz w:val="20"/>
                <w:szCs w:val="20"/>
                <w:vertAlign w:val="superscript"/>
              </w:rPr>
              <w:t>#</w:t>
            </w:r>
          </w:p>
        </w:tc>
        <w:tc>
          <w:tcPr>
            <w:tcW w:w="705" w:type="pct"/>
            <w:tcBorders>
              <w:top w:val="single" w:sz="4" w:space="0" w:color="auto"/>
              <w:left w:val="single" w:sz="4" w:space="0" w:color="auto"/>
              <w:bottom w:val="single" w:sz="4" w:space="0" w:color="auto"/>
              <w:right w:val="single" w:sz="4" w:space="0" w:color="auto"/>
            </w:tcBorders>
            <w:vAlign w:val="center"/>
            <w:hideMark/>
          </w:tcPr>
          <w:p w14:paraId="4568245D" w14:textId="77777777" w:rsidR="00E51CDD" w:rsidRPr="00C032C8" w:rsidRDefault="00E51CDD" w:rsidP="009938D9">
            <w:pPr>
              <w:keepLines/>
              <w:suppressAutoHyphens/>
              <w:overflowPunct w:val="0"/>
              <w:autoSpaceDE w:val="0"/>
              <w:autoSpaceDN w:val="0"/>
              <w:adjustRightInd w:val="0"/>
              <w:spacing w:before="40" w:after="40"/>
              <w:jc w:val="center"/>
              <w:textAlignment w:val="baseline"/>
              <w:rPr>
                <w:sz w:val="20"/>
                <w:szCs w:val="20"/>
              </w:rPr>
            </w:pPr>
            <w:r w:rsidRPr="00C032C8">
              <w:rPr>
                <w:sz w:val="20"/>
                <w:szCs w:val="20"/>
              </w:rPr>
              <w:t>-0.7</w:t>
            </w:r>
          </w:p>
        </w:tc>
        <w:tc>
          <w:tcPr>
            <w:tcW w:w="703" w:type="pct"/>
            <w:tcBorders>
              <w:top w:val="single" w:sz="4" w:space="0" w:color="auto"/>
              <w:left w:val="single" w:sz="4" w:space="0" w:color="auto"/>
              <w:bottom w:val="single" w:sz="4" w:space="0" w:color="auto"/>
              <w:right w:val="single" w:sz="4" w:space="0" w:color="auto"/>
            </w:tcBorders>
            <w:vAlign w:val="center"/>
            <w:hideMark/>
          </w:tcPr>
          <w:p w14:paraId="4747DFB9" w14:textId="77777777" w:rsidR="00E51CDD" w:rsidRPr="00C032C8" w:rsidRDefault="00E51CDD" w:rsidP="009938D9">
            <w:pPr>
              <w:keepLines/>
              <w:suppressAutoHyphens/>
              <w:overflowPunct w:val="0"/>
              <w:autoSpaceDE w:val="0"/>
              <w:autoSpaceDN w:val="0"/>
              <w:adjustRightInd w:val="0"/>
              <w:spacing w:before="40" w:after="40"/>
              <w:jc w:val="center"/>
              <w:textAlignment w:val="baseline"/>
              <w:rPr>
                <w:sz w:val="20"/>
                <w:szCs w:val="20"/>
              </w:rPr>
            </w:pPr>
            <w:r w:rsidRPr="00C032C8">
              <w:rPr>
                <w:sz w:val="20"/>
                <w:szCs w:val="20"/>
              </w:rPr>
              <w:t>2.7</w:t>
            </w:r>
          </w:p>
        </w:tc>
        <w:tc>
          <w:tcPr>
            <w:tcW w:w="703" w:type="pct"/>
            <w:tcBorders>
              <w:top w:val="single" w:sz="4" w:space="0" w:color="auto"/>
              <w:left w:val="single" w:sz="4" w:space="0" w:color="auto"/>
              <w:bottom w:val="single" w:sz="4" w:space="0" w:color="auto"/>
              <w:right w:val="single" w:sz="4" w:space="0" w:color="auto"/>
            </w:tcBorders>
            <w:vAlign w:val="center"/>
            <w:hideMark/>
          </w:tcPr>
          <w:p w14:paraId="2B5E912D" w14:textId="77777777" w:rsidR="00E51CDD" w:rsidRPr="00C032C8" w:rsidRDefault="00E51CDD" w:rsidP="009938D9">
            <w:pPr>
              <w:keepLines/>
              <w:suppressAutoHyphens/>
              <w:overflowPunct w:val="0"/>
              <w:autoSpaceDE w:val="0"/>
              <w:autoSpaceDN w:val="0"/>
              <w:adjustRightInd w:val="0"/>
              <w:spacing w:before="40" w:after="40"/>
              <w:jc w:val="center"/>
              <w:textAlignment w:val="baseline"/>
              <w:rPr>
                <w:sz w:val="20"/>
                <w:szCs w:val="20"/>
              </w:rPr>
            </w:pPr>
            <w:r w:rsidRPr="00C032C8">
              <w:rPr>
                <w:sz w:val="20"/>
                <w:szCs w:val="20"/>
              </w:rPr>
              <w:t>26.3*</w:t>
            </w:r>
          </w:p>
        </w:tc>
        <w:tc>
          <w:tcPr>
            <w:tcW w:w="703" w:type="pct"/>
            <w:tcBorders>
              <w:top w:val="single" w:sz="4" w:space="0" w:color="auto"/>
              <w:left w:val="single" w:sz="4" w:space="0" w:color="auto"/>
              <w:bottom w:val="single" w:sz="4" w:space="0" w:color="auto"/>
              <w:right w:val="single" w:sz="4" w:space="0" w:color="auto"/>
            </w:tcBorders>
            <w:vAlign w:val="center"/>
            <w:hideMark/>
          </w:tcPr>
          <w:p w14:paraId="65F4446F" w14:textId="77777777" w:rsidR="00E51CDD" w:rsidRPr="00C032C8" w:rsidRDefault="00E51CDD" w:rsidP="009938D9">
            <w:pPr>
              <w:keepLines/>
              <w:suppressAutoHyphens/>
              <w:overflowPunct w:val="0"/>
              <w:autoSpaceDE w:val="0"/>
              <w:autoSpaceDN w:val="0"/>
              <w:adjustRightInd w:val="0"/>
              <w:spacing w:before="40" w:after="40"/>
              <w:jc w:val="center"/>
              <w:textAlignment w:val="baseline"/>
              <w:rPr>
                <w:sz w:val="20"/>
                <w:szCs w:val="20"/>
              </w:rPr>
            </w:pPr>
            <w:r w:rsidRPr="00C032C8">
              <w:rPr>
                <w:sz w:val="20"/>
                <w:szCs w:val="20"/>
              </w:rPr>
              <w:t>61.3*</w:t>
            </w:r>
          </w:p>
        </w:tc>
        <w:tc>
          <w:tcPr>
            <w:tcW w:w="744" w:type="pct"/>
            <w:tcBorders>
              <w:top w:val="single" w:sz="4" w:space="0" w:color="auto"/>
              <w:left w:val="single" w:sz="4" w:space="0" w:color="auto"/>
              <w:bottom w:val="single" w:sz="4" w:space="0" w:color="auto"/>
              <w:right w:val="single" w:sz="4" w:space="0" w:color="auto"/>
            </w:tcBorders>
            <w:vAlign w:val="center"/>
            <w:hideMark/>
          </w:tcPr>
          <w:p w14:paraId="66F25567" w14:textId="77777777" w:rsidR="00E51CDD" w:rsidRPr="00C032C8" w:rsidRDefault="00E51CDD" w:rsidP="009938D9">
            <w:pPr>
              <w:keepLines/>
              <w:suppressAutoHyphens/>
              <w:overflowPunct w:val="0"/>
              <w:autoSpaceDE w:val="0"/>
              <w:autoSpaceDN w:val="0"/>
              <w:adjustRightInd w:val="0"/>
              <w:spacing w:before="40" w:after="40"/>
              <w:jc w:val="center"/>
              <w:textAlignment w:val="baseline"/>
              <w:rPr>
                <w:sz w:val="20"/>
                <w:szCs w:val="20"/>
              </w:rPr>
            </w:pPr>
            <w:r w:rsidRPr="00C032C8">
              <w:rPr>
                <w:sz w:val="20"/>
                <w:szCs w:val="20"/>
              </w:rPr>
              <w:t>140.5*</w:t>
            </w:r>
          </w:p>
        </w:tc>
      </w:tr>
      <w:tr w:rsidR="00E51CDD" w:rsidRPr="00C032C8" w14:paraId="36BF263F" w14:textId="77777777" w:rsidTr="009938D9">
        <w:trPr>
          <w:cantSplit/>
          <w:trHeight w:val="351"/>
        </w:trPr>
        <w:tc>
          <w:tcPr>
            <w:tcW w:w="1443" w:type="pct"/>
            <w:tcBorders>
              <w:top w:val="single" w:sz="4" w:space="0" w:color="auto"/>
              <w:left w:val="single" w:sz="4" w:space="0" w:color="auto"/>
              <w:bottom w:val="single" w:sz="4" w:space="0" w:color="auto"/>
              <w:right w:val="single" w:sz="4" w:space="0" w:color="auto"/>
            </w:tcBorders>
            <w:vAlign w:val="center"/>
            <w:hideMark/>
          </w:tcPr>
          <w:p w14:paraId="4F94F382" w14:textId="77777777" w:rsidR="00E51CDD" w:rsidRPr="00C032C8" w:rsidRDefault="00E51CDD" w:rsidP="009938D9">
            <w:pPr>
              <w:keepLines/>
              <w:suppressAutoHyphens/>
              <w:overflowPunct w:val="0"/>
              <w:autoSpaceDE w:val="0"/>
              <w:autoSpaceDN w:val="0"/>
              <w:adjustRightInd w:val="0"/>
              <w:spacing w:before="40" w:after="40"/>
              <w:textAlignment w:val="baseline"/>
              <w:rPr>
                <w:sz w:val="20"/>
                <w:szCs w:val="20"/>
              </w:rPr>
            </w:pPr>
            <w:r w:rsidRPr="00C032C8">
              <w:rPr>
                <w:sz w:val="20"/>
                <w:szCs w:val="20"/>
              </w:rPr>
              <w:t>Inhibition in 72 h</w:t>
            </w:r>
            <w:r w:rsidRPr="00C032C8">
              <w:rPr>
                <w:sz w:val="20"/>
                <w:szCs w:val="20"/>
              </w:rPr>
              <w:br/>
              <w:t>(yield) [%]</w:t>
            </w:r>
            <w:r>
              <w:rPr>
                <w:sz w:val="20"/>
                <w:szCs w:val="20"/>
              </w:rPr>
              <w:t xml:space="preserve"> </w:t>
            </w:r>
            <w:r w:rsidRPr="00C032C8">
              <w:rPr>
                <w:sz w:val="20"/>
                <w:szCs w:val="20"/>
                <w:vertAlign w:val="superscript"/>
              </w:rPr>
              <w:t>#</w:t>
            </w:r>
          </w:p>
        </w:tc>
        <w:tc>
          <w:tcPr>
            <w:tcW w:w="705" w:type="pct"/>
            <w:tcBorders>
              <w:top w:val="single" w:sz="4" w:space="0" w:color="auto"/>
              <w:left w:val="single" w:sz="4" w:space="0" w:color="auto"/>
              <w:bottom w:val="single" w:sz="4" w:space="0" w:color="auto"/>
              <w:right w:val="single" w:sz="4" w:space="0" w:color="auto"/>
            </w:tcBorders>
            <w:vAlign w:val="center"/>
            <w:hideMark/>
          </w:tcPr>
          <w:p w14:paraId="204EB159" w14:textId="77777777" w:rsidR="00E51CDD" w:rsidRPr="00C032C8" w:rsidRDefault="00E51CDD" w:rsidP="009938D9">
            <w:pPr>
              <w:keepLines/>
              <w:suppressAutoHyphens/>
              <w:overflowPunct w:val="0"/>
              <w:autoSpaceDE w:val="0"/>
              <w:autoSpaceDN w:val="0"/>
              <w:adjustRightInd w:val="0"/>
              <w:spacing w:before="40" w:after="40"/>
              <w:jc w:val="center"/>
              <w:textAlignment w:val="baseline"/>
              <w:rPr>
                <w:sz w:val="20"/>
                <w:szCs w:val="20"/>
              </w:rPr>
            </w:pPr>
            <w:r w:rsidRPr="00C032C8">
              <w:rPr>
                <w:sz w:val="20"/>
                <w:szCs w:val="20"/>
              </w:rPr>
              <w:t>-3.8</w:t>
            </w:r>
          </w:p>
        </w:tc>
        <w:tc>
          <w:tcPr>
            <w:tcW w:w="703" w:type="pct"/>
            <w:tcBorders>
              <w:top w:val="single" w:sz="4" w:space="0" w:color="auto"/>
              <w:left w:val="single" w:sz="4" w:space="0" w:color="auto"/>
              <w:bottom w:val="single" w:sz="4" w:space="0" w:color="auto"/>
              <w:right w:val="single" w:sz="4" w:space="0" w:color="auto"/>
            </w:tcBorders>
            <w:vAlign w:val="center"/>
            <w:hideMark/>
          </w:tcPr>
          <w:p w14:paraId="05F6651F" w14:textId="77777777" w:rsidR="00E51CDD" w:rsidRPr="00C032C8" w:rsidRDefault="00E51CDD" w:rsidP="009938D9">
            <w:pPr>
              <w:keepLines/>
              <w:suppressAutoHyphens/>
              <w:overflowPunct w:val="0"/>
              <w:autoSpaceDE w:val="0"/>
              <w:autoSpaceDN w:val="0"/>
              <w:adjustRightInd w:val="0"/>
              <w:spacing w:before="40" w:after="40"/>
              <w:jc w:val="center"/>
              <w:textAlignment w:val="baseline"/>
              <w:rPr>
                <w:sz w:val="20"/>
                <w:szCs w:val="20"/>
              </w:rPr>
            </w:pPr>
            <w:r w:rsidRPr="00C032C8">
              <w:rPr>
                <w:sz w:val="20"/>
                <w:szCs w:val="20"/>
              </w:rPr>
              <w:t>11.5</w:t>
            </w:r>
          </w:p>
        </w:tc>
        <w:tc>
          <w:tcPr>
            <w:tcW w:w="703" w:type="pct"/>
            <w:tcBorders>
              <w:top w:val="single" w:sz="4" w:space="0" w:color="auto"/>
              <w:left w:val="single" w:sz="4" w:space="0" w:color="auto"/>
              <w:bottom w:val="single" w:sz="4" w:space="0" w:color="auto"/>
              <w:right w:val="single" w:sz="4" w:space="0" w:color="auto"/>
            </w:tcBorders>
            <w:vAlign w:val="center"/>
            <w:hideMark/>
          </w:tcPr>
          <w:p w14:paraId="58921C2B" w14:textId="77777777" w:rsidR="00E51CDD" w:rsidRPr="00C032C8" w:rsidRDefault="00E51CDD" w:rsidP="009938D9">
            <w:pPr>
              <w:keepLines/>
              <w:suppressAutoHyphens/>
              <w:overflowPunct w:val="0"/>
              <w:autoSpaceDE w:val="0"/>
              <w:autoSpaceDN w:val="0"/>
              <w:adjustRightInd w:val="0"/>
              <w:spacing w:before="40" w:after="40"/>
              <w:jc w:val="center"/>
              <w:textAlignment w:val="baseline"/>
              <w:rPr>
                <w:sz w:val="20"/>
                <w:szCs w:val="20"/>
              </w:rPr>
            </w:pPr>
            <w:r w:rsidRPr="00C032C8">
              <w:rPr>
                <w:sz w:val="20"/>
                <w:szCs w:val="20"/>
              </w:rPr>
              <w:t>70.9*</w:t>
            </w:r>
          </w:p>
        </w:tc>
        <w:tc>
          <w:tcPr>
            <w:tcW w:w="703" w:type="pct"/>
            <w:tcBorders>
              <w:top w:val="single" w:sz="4" w:space="0" w:color="auto"/>
              <w:left w:val="single" w:sz="4" w:space="0" w:color="auto"/>
              <w:bottom w:val="single" w:sz="4" w:space="0" w:color="auto"/>
              <w:right w:val="single" w:sz="4" w:space="0" w:color="auto"/>
            </w:tcBorders>
            <w:vAlign w:val="center"/>
            <w:hideMark/>
          </w:tcPr>
          <w:p w14:paraId="784F8984" w14:textId="77777777" w:rsidR="00E51CDD" w:rsidRPr="00C032C8" w:rsidRDefault="00E51CDD" w:rsidP="009938D9">
            <w:pPr>
              <w:keepLines/>
              <w:suppressAutoHyphens/>
              <w:overflowPunct w:val="0"/>
              <w:autoSpaceDE w:val="0"/>
              <w:autoSpaceDN w:val="0"/>
              <w:adjustRightInd w:val="0"/>
              <w:spacing w:before="40" w:after="40"/>
              <w:jc w:val="center"/>
              <w:textAlignment w:val="baseline"/>
              <w:rPr>
                <w:sz w:val="20"/>
                <w:szCs w:val="20"/>
              </w:rPr>
            </w:pPr>
            <w:r w:rsidRPr="00C032C8">
              <w:rPr>
                <w:sz w:val="20"/>
                <w:szCs w:val="20"/>
              </w:rPr>
              <w:t>95.1*</w:t>
            </w:r>
          </w:p>
        </w:tc>
        <w:tc>
          <w:tcPr>
            <w:tcW w:w="744" w:type="pct"/>
            <w:tcBorders>
              <w:top w:val="single" w:sz="4" w:space="0" w:color="auto"/>
              <w:left w:val="single" w:sz="4" w:space="0" w:color="auto"/>
              <w:bottom w:val="single" w:sz="4" w:space="0" w:color="auto"/>
              <w:right w:val="single" w:sz="4" w:space="0" w:color="auto"/>
            </w:tcBorders>
            <w:vAlign w:val="center"/>
            <w:hideMark/>
          </w:tcPr>
          <w:p w14:paraId="1E5B7C60" w14:textId="77777777" w:rsidR="00E51CDD" w:rsidRPr="00C032C8" w:rsidRDefault="00E51CDD" w:rsidP="009938D9">
            <w:pPr>
              <w:keepLines/>
              <w:suppressAutoHyphens/>
              <w:overflowPunct w:val="0"/>
              <w:autoSpaceDE w:val="0"/>
              <w:autoSpaceDN w:val="0"/>
              <w:adjustRightInd w:val="0"/>
              <w:spacing w:before="40" w:after="40"/>
              <w:jc w:val="center"/>
              <w:textAlignment w:val="baseline"/>
              <w:rPr>
                <w:sz w:val="20"/>
                <w:szCs w:val="20"/>
              </w:rPr>
            </w:pPr>
            <w:r w:rsidRPr="00C032C8">
              <w:rPr>
                <w:sz w:val="20"/>
                <w:szCs w:val="20"/>
              </w:rPr>
              <w:t>100.8*</w:t>
            </w:r>
          </w:p>
        </w:tc>
      </w:tr>
      <w:tr w:rsidR="00E51CDD" w:rsidRPr="00220E5E" w14:paraId="6E6D81E6" w14:textId="77777777" w:rsidTr="009938D9">
        <w:trPr>
          <w:cantSplit/>
          <w:trHeight w:val="193"/>
        </w:trPr>
        <w:tc>
          <w:tcPr>
            <w:tcW w:w="1443" w:type="pct"/>
            <w:tcBorders>
              <w:top w:val="single" w:sz="4" w:space="0" w:color="auto"/>
              <w:left w:val="single" w:sz="4" w:space="0" w:color="auto"/>
              <w:bottom w:val="single" w:sz="4" w:space="0" w:color="auto"/>
              <w:right w:val="single" w:sz="4" w:space="0" w:color="auto"/>
            </w:tcBorders>
          </w:tcPr>
          <w:p w14:paraId="5E2B21A4" w14:textId="77777777" w:rsidR="00E51CDD" w:rsidRPr="00FC2143" w:rsidRDefault="00E51CDD" w:rsidP="009938D9">
            <w:pPr>
              <w:keepLines/>
              <w:suppressAutoHyphens/>
              <w:overflowPunct w:val="0"/>
              <w:autoSpaceDE w:val="0"/>
              <w:autoSpaceDN w:val="0"/>
              <w:adjustRightInd w:val="0"/>
              <w:spacing w:before="40" w:after="40"/>
              <w:textAlignment w:val="baseline"/>
              <w:rPr>
                <w:sz w:val="20"/>
                <w:szCs w:val="20"/>
              </w:rPr>
            </w:pPr>
          </w:p>
        </w:tc>
        <w:tc>
          <w:tcPr>
            <w:tcW w:w="3557" w:type="pct"/>
            <w:gridSpan w:val="5"/>
            <w:tcBorders>
              <w:top w:val="single" w:sz="4" w:space="0" w:color="auto"/>
              <w:left w:val="single" w:sz="4" w:space="0" w:color="auto"/>
              <w:bottom w:val="single" w:sz="4" w:space="0" w:color="auto"/>
              <w:right w:val="single" w:sz="4" w:space="0" w:color="auto"/>
            </w:tcBorders>
            <w:hideMark/>
          </w:tcPr>
          <w:p w14:paraId="37B679DA"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FC2143">
              <w:rPr>
                <w:b/>
                <w:bCs/>
                <w:sz w:val="20"/>
                <w:szCs w:val="20"/>
              </w:rPr>
              <w:t>Endpoints [mg BAS 736 00 H/L] (nominal)</w:t>
            </w:r>
          </w:p>
        </w:tc>
      </w:tr>
      <w:tr w:rsidR="00E51CDD" w:rsidRPr="00FC2143" w14:paraId="61626B03" w14:textId="77777777" w:rsidTr="009938D9">
        <w:trPr>
          <w:cantSplit/>
          <w:trHeight w:val="202"/>
        </w:trPr>
        <w:tc>
          <w:tcPr>
            <w:tcW w:w="1443" w:type="pct"/>
            <w:tcBorders>
              <w:top w:val="single" w:sz="4" w:space="0" w:color="auto"/>
              <w:left w:val="single" w:sz="4" w:space="0" w:color="auto"/>
              <w:bottom w:val="single" w:sz="4" w:space="0" w:color="auto"/>
              <w:right w:val="single" w:sz="4" w:space="0" w:color="auto"/>
            </w:tcBorders>
            <w:hideMark/>
          </w:tcPr>
          <w:p w14:paraId="7A1D4F5C" w14:textId="77777777" w:rsidR="00E51CDD" w:rsidRPr="00FC2143" w:rsidRDefault="00E51CDD" w:rsidP="009938D9">
            <w:pPr>
              <w:keepLines/>
              <w:suppressAutoHyphens/>
              <w:overflowPunct w:val="0"/>
              <w:autoSpaceDE w:val="0"/>
              <w:autoSpaceDN w:val="0"/>
              <w:adjustRightInd w:val="0"/>
              <w:spacing w:before="40" w:after="40"/>
              <w:textAlignment w:val="baseline"/>
              <w:rPr>
                <w:sz w:val="20"/>
                <w:szCs w:val="20"/>
              </w:rPr>
            </w:pPr>
            <w:r w:rsidRPr="00FC2143">
              <w:rPr>
                <w:sz w:val="20"/>
                <w:szCs w:val="20"/>
              </w:rPr>
              <w:t>E</w:t>
            </w:r>
            <w:r w:rsidRPr="00FC2143">
              <w:rPr>
                <w:sz w:val="20"/>
                <w:szCs w:val="20"/>
                <w:vertAlign w:val="subscript"/>
              </w:rPr>
              <w:t>r</w:t>
            </w:r>
            <w:r w:rsidRPr="00FC2143">
              <w:rPr>
                <w:sz w:val="20"/>
                <w:szCs w:val="20"/>
              </w:rPr>
              <w:t>C</w:t>
            </w:r>
            <w:r w:rsidRPr="00FC2143">
              <w:rPr>
                <w:sz w:val="20"/>
                <w:szCs w:val="20"/>
                <w:vertAlign w:val="subscript"/>
              </w:rPr>
              <w:t>50</w:t>
            </w:r>
            <w:r w:rsidRPr="00FC2143">
              <w:rPr>
                <w:sz w:val="20"/>
                <w:szCs w:val="20"/>
              </w:rPr>
              <w:t xml:space="preserve"> (72 h)</w:t>
            </w:r>
          </w:p>
        </w:tc>
        <w:tc>
          <w:tcPr>
            <w:tcW w:w="3557" w:type="pct"/>
            <w:gridSpan w:val="5"/>
            <w:tcBorders>
              <w:top w:val="single" w:sz="4" w:space="0" w:color="auto"/>
              <w:left w:val="single" w:sz="4" w:space="0" w:color="auto"/>
              <w:bottom w:val="single" w:sz="4" w:space="0" w:color="auto"/>
              <w:right w:val="single" w:sz="4" w:space="0" w:color="auto"/>
            </w:tcBorders>
            <w:hideMark/>
          </w:tcPr>
          <w:p w14:paraId="517A7189"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FC2143">
              <w:rPr>
                <w:sz w:val="20"/>
                <w:szCs w:val="20"/>
              </w:rPr>
              <w:t>4.19 (95% confidence limits: 4.03 – 4.35)</w:t>
            </w:r>
          </w:p>
        </w:tc>
      </w:tr>
      <w:tr w:rsidR="00E51CDD" w:rsidRPr="00FC2143" w14:paraId="7FC83AE9" w14:textId="77777777" w:rsidTr="009938D9">
        <w:trPr>
          <w:cantSplit/>
          <w:trHeight w:val="202"/>
        </w:trPr>
        <w:tc>
          <w:tcPr>
            <w:tcW w:w="1443" w:type="pct"/>
            <w:tcBorders>
              <w:top w:val="single" w:sz="4" w:space="0" w:color="auto"/>
              <w:left w:val="single" w:sz="4" w:space="0" w:color="auto"/>
              <w:bottom w:val="single" w:sz="4" w:space="0" w:color="auto"/>
              <w:right w:val="single" w:sz="4" w:space="0" w:color="auto"/>
            </w:tcBorders>
          </w:tcPr>
          <w:p w14:paraId="17B02E8E" w14:textId="77777777" w:rsidR="00E51CDD" w:rsidRPr="00FC2143" w:rsidRDefault="00E51CDD" w:rsidP="009938D9">
            <w:pPr>
              <w:keepLines/>
              <w:suppressAutoHyphens/>
              <w:overflowPunct w:val="0"/>
              <w:autoSpaceDE w:val="0"/>
              <w:autoSpaceDN w:val="0"/>
              <w:adjustRightInd w:val="0"/>
              <w:spacing w:before="40" w:after="40"/>
              <w:textAlignment w:val="baseline"/>
              <w:rPr>
                <w:sz w:val="20"/>
                <w:szCs w:val="20"/>
              </w:rPr>
            </w:pPr>
            <w:r w:rsidRPr="00FC2143">
              <w:rPr>
                <w:sz w:val="20"/>
                <w:szCs w:val="20"/>
              </w:rPr>
              <w:t>E</w:t>
            </w:r>
            <w:r w:rsidRPr="00FC2143">
              <w:rPr>
                <w:sz w:val="20"/>
                <w:szCs w:val="20"/>
                <w:vertAlign w:val="subscript"/>
              </w:rPr>
              <w:t>r</w:t>
            </w:r>
            <w:r w:rsidRPr="00FC2143">
              <w:rPr>
                <w:sz w:val="20"/>
                <w:szCs w:val="20"/>
              </w:rPr>
              <w:t>C</w:t>
            </w:r>
            <w:r w:rsidRPr="00FC2143">
              <w:rPr>
                <w:sz w:val="20"/>
                <w:szCs w:val="20"/>
                <w:vertAlign w:val="subscript"/>
              </w:rPr>
              <w:t>20</w:t>
            </w:r>
            <w:r w:rsidRPr="00FC2143">
              <w:rPr>
                <w:sz w:val="20"/>
                <w:szCs w:val="20"/>
              </w:rPr>
              <w:t xml:space="preserve"> (72 h)</w:t>
            </w:r>
          </w:p>
        </w:tc>
        <w:tc>
          <w:tcPr>
            <w:tcW w:w="3557" w:type="pct"/>
            <w:gridSpan w:val="5"/>
            <w:tcBorders>
              <w:top w:val="single" w:sz="4" w:space="0" w:color="auto"/>
              <w:left w:val="single" w:sz="4" w:space="0" w:color="auto"/>
              <w:bottom w:val="single" w:sz="4" w:space="0" w:color="auto"/>
              <w:right w:val="single" w:sz="4" w:space="0" w:color="auto"/>
            </w:tcBorders>
          </w:tcPr>
          <w:p w14:paraId="5CF6B69B"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FC2143">
              <w:rPr>
                <w:sz w:val="20"/>
                <w:szCs w:val="20"/>
              </w:rPr>
              <w:t>1.73 (95% confidence limits: 1.54 – 1.92)</w:t>
            </w:r>
          </w:p>
        </w:tc>
      </w:tr>
      <w:tr w:rsidR="00E51CDD" w:rsidRPr="00FC2143" w14:paraId="5B796DEF" w14:textId="77777777" w:rsidTr="009938D9">
        <w:trPr>
          <w:cantSplit/>
          <w:trHeight w:val="193"/>
        </w:trPr>
        <w:tc>
          <w:tcPr>
            <w:tcW w:w="1443" w:type="pct"/>
            <w:tcBorders>
              <w:top w:val="single" w:sz="4" w:space="0" w:color="auto"/>
              <w:left w:val="single" w:sz="4" w:space="0" w:color="auto"/>
              <w:bottom w:val="single" w:sz="4" w:space="0" w:color="auto"/>
              <w:right w:val="single" w:sz="4" w:space="0" w:color="auto"/>
            </w:tcBorders>
            <w:hideMark/>
          </w:tcPr>
          <w:p w14:paraId="3F88FE59" w14:textId="77777777" w:rsidR="00E51CDD" w:rsidRPr="00FC2143" w:rsidRDefault="00E51CDD" w:rsidP="009938D9">
            <w:pPr>
              <w:keepLines/>
              <w:suppressAutoHyphens/>
              <w:overflowPunct w:val="0"/>
              <w:autoSpaceDE w:val="0"/>
              <w:autoSpaceDN w:val="0"/>
              <w:adjustRightInd w:val="0"/>
              <w:spacing w:before="40" w:after="40"/>
              <w:textAlignment w:val="baseline"/>
              <w:rPr>
                <w:sz w:val="20"/>
                <w:szCs w:val="20"/>
              </w:rPr>
            </w:pPr>
            <w:r w:rsidRPr="00FC2143">
              <w:rPr>
                <w:sz w:val="20"/>
                <w:szCs w:val="20"/>
              </w:rPr>
              <w:t>E</w:t>
            </w:r>
            <w:r w:rsidRPr="00FC2143">
              <w:rPr>
                <w:sz w:val="20"/>
                <w:szCs w:val="20"/>
                <w:vertAlign w:val="subscript"/>
              </w:rPr>
              <w:t>r</w:t>
            </w:r>
            <w:r w:rsidRPr="00FC2143">
              <w:rPr>
                <w:sz w:val="20"/>
                <w:szCs w:val="20"/>
              </w:rPr>
              <w:t>C</w:t>
            </w:r>
            <w:r w:rsidRPr="00FC2143">
              <w:rPr>
                <w:sz w:val="20"/>
                <w:szCs w:val="20"/>
                <w:vertAlign w:val="subscript"/>
              </w:rPr>
              <w:t>10</w:t>
            </w:r>
            <w:r w:rsidRPr="00FC2143">
              <w:rPr>
                <w:sz w:val="20"/>
                <w:szCs w:val="20"/>
              </w:rPr>
              <w:t xml:space="preserve"> (72 h)</w:t>
            </w:r>
          </w:p>
        </w:tc>
        <w:tc>
          <w:tcPr>
            <w:tcW w:w="3557" w:type="pct"/>
            <w:gridSpan w:val="5"/>
            <w:tcBorders>
              <w:top w:val="single" w:sz="4" w:space="0" w:color="auto"/>
              <w:left w:val="single" w:sz="4" w:space="0" w:color="auto"/>
              <w:bottom w:val="single" w:sz="4" w:space="0" w:color="auto"/>
              <w:right w:val="single" w:sz="4" w:space="0" w:color="auto"/>
            </w:tcBorders>
            <w:hideMark/>
          </w:tcPr>
          <w:p w14:paraId="05925FFF"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FC2143">
              <w:rPr>
                <w:sz w:val="20"/>
                <w:szCs w:val="20"/>
              </w:rPr>
              <w:t>1.09 (95% confidence limits: 0.935 – 1.26)</w:t>
            </w:r>
          </w:p>
        </w:tc>
      </w:tr>
      <w:tr w:rsidR="00E51CDD" w:rsidRPr="00FC2143" w14:paraId="6BF97765" w14:textId="77777777" w:rsidTr="009938D9">
        <w:trPr>
          <w:cantSplit/>
          <w:trHeight w:val="193"/>
        </w:trPr>
        <w:tc>
          <w:tcPr>
            <w:tcW w:w="1443" w:type="pct"/>
            <w:tcBorders>
              <w:top w:val="single" w:sz="4" w:space="0" w:color="auto"/>
              <w:left w:val="single" w:sz="4" w:space="0" w:color="auto"/>
              <w:bottom w:val="single" w:sz="4" w:space="0" w:color="auto"/>
              <w:right w:val="single" w:sz="4" w:space="0" w:color="auto"/>
            </w:tcBorders>
            <w:hideMark/>
          </w:tcPr>
          <w:p w14:paraId="5C7B61C8" w14:textId="77777777" w:rsidR="00E51CDD" w:rsidRPr="00FC2143" w:rsidRDefault="00E51CDD" w:rsidP="009938D9">
            <w:pPr>
              <w:keepLines/>
              <w:suppressAutoHyphens/>
              <w:overflowPunct w:val="0"/>
              <w:autoSpaceDE w:val="0"/>
              <w:autoSpaceDN w:val="0"/>
              <w:adjustRightInd w:val="0"/>
              <w:spacing w:before="40" w:after="40"/>
              <w:textAlignment w:val="baseline"/>
              <w:rPr>
                <w:sz w:val="20"/>
                <w:szCs w:val="20"/>
              </w:rPr>
            </w:pPr>
            <w:r w:rsidRPr="00FC2143">
              <w:rPr>
                <w:sz w:val="20"/>
                <w:szCs w:val="20"/>
              </w:rPr>
              <w:t>E</w:t>
            </w:r>
            <w:r w:rsidRPr="00FC2143">
              <w:rPr>
                <w:sz w:val="20"/>
                <w:szCs w:val="20"/>
                <w:vertAlign w:val="subscript"/>
              </w:rPr>
              <w:t>y</w:t>
            </w:r>
            <w:r w:rsidRPr="00FC2143">
              <w:rPr>
                <w:sz w:val="20"/>
                <w:szCs w:val="20"/>
              </w:rPr>
              <w:t>C</w:t>
            </w:r>
            <w:r w:rsidRPr="00FC2143">
              <w:rPr>
                <w:sz w:val="20"/>
                <w:szCs w:val="20"/>
                <w:vertAlign w:val="subscript"/>
              </w:rPr>
              <w:t>50</w:t>
            </w:r>
            <w:r w:rsidRPr="00FC2143">
              <w:rPr>
                <w:sz w:val="20"/>
                <w:szCs w:val="20"/>
              </w:rPr>
              <w:t xml:space="preserve"> (72 h)</w:t>
            </w:r>
          </w:p>
        </w:tc>
        <w:tc>
          <w:tcPr>
            <w:tcW w:w="3557" w:type="pct"/>
            <w:gridSpan w:val="5"/>
            <w:tcBorders>
              <w:top w:val="single" w:sz="4" w:space="0" w:color="auto"/>
              <w:left w:val="single" w:sz="4" w:space="0" w:color="auto"/>
              <w:bottom w:val="single" w:sz="4" w:space="0" w:color="auto"/>
              <w:right w:val="single" w:sz="4" w:space="0" w:color="auto"/>
            </w:tcBorders>
            <w:hideMark/>
          </w:tcPr>
          <w:p w14:paraId="04632E72"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FC2143">
              <w:rPr>
                <w:sz w:val="20"/>
                <w:szCs w:val="20"/>
              </w:rPr>
              <w:t>1.46 (95% confidence limits: 1.12 – 1.90)</w:t>
            </w:r>
          </w:p>
        </w:tc>
      </w:tr>
      <w:tr w:rsidR="00E51CDD" w:rsidRPr="00FC2143" w14:paraId="59514184" w14:textId="77777777" w:rsidTr="009938D9">
        <w:trPr>
          <w:cantSplit/>
          <w:trHeight w:val="193"/>
        </w:trPr>
        <w:tc>
          <w:tcPr>
            <w:tcW w:w="1443" w:type="pct"/>
            <w:tcBorders>
              <w:top w:val="single" w:sz="4" w:space="0" w:color="auto"/>
              <w:left w:val="single" w:sz="4" w:space="0" w:color="auto"/>
              <w:bottom w:val="single" w:sz="4" w:space="0" w:color="auto"/>
              <w:right w:val="single" w:sz="4" w:space="0" w:color="auto"/>
            </w:tcBorders>
          </w:tcPr>
          <w:p w14:paraId="5C664F6E" w14:textId="77777777" w:rsidR="00E51CDD" w:rsidRPr="00FC2143" w:rsidRDefault="00E51CDD" w:rsidP="009938D9">
            <w:pPr>
              <w:keepLines/>
              <w:suppressAutoHyphens/>
              <w:overflowPunct w:val="0"/>
              <w:autoSpaceDE w:val="0"/>
              <w:autoSpaceDN w:val="0"/>
              <w:adjustRightInd w:val="0"/>
              <w:spacing w:before="40" w:after="40"/>
              <w:textAlignment w:val="baseline"/>
              <w:rPr>
                <w:sz w:val="20"/>
                <w:szCs w:val="20"/>
              </w:rPr>
            </w:pPr>
            <w:r w:rsidRPr="00FC2143">
              <w:rPr>
                <w:sz w:val="20"/>
                <w:szCs w:val="20"/>
              </w:rPr>
              <w:t>E</w:t>
            </w:r>
            <w:r w:rsidRPr="00FC2143">
              <w:rPr>
                <w:sz w:val="20"/>
                <w:szCs w:val="20"/>
                <w:vertAlign w:val="subscript"/>
              </w:rPr>
              <w:t>y</w:t>
            </w:r>
            <w:r w:rsidRPr="00FC2143">
              <w:rPr>
                <w:sz w:val="20"/>
                <w:szCs w:val="20"/>
              </w:rPr>
              <w:t>C</w:t>
            </w:r>
            <w:r w:rsidRPr="00FC2143">
              <w:rPr>
                <w:sz w:val="20"/>
                <w:szCs w:val="20"/>
                <w:vertAlign w:val="subscript"/>
              </w:rPr>
              <w:t>20</w:t>
            </w:r>
            <w:r w:rsidRPr="00FC2143">
              <w:rPr>
                <w:sz w:val="20"/>
                <w:szCs w:val="20"/>
              </w:rPr>
              <w:t xml:space="preserve"> (72 h)</w:t>
            </w:r>
          </w:p>
        </w:tc>
        <w:tc>
          <w:tcPr>
            <w:tcW w:w="3557" w:type="pct"/>
            <w:gridSpan w:val="5"/>
            <w:tcBorders>
              <w:top w:val="single" w:sz="4" w:space="0" w:color="auto"/>
              <w:left w:val="single" w:sz="4" w:space="0" w:color="auto"/>
              <w:bottom w:val="single" w:sz="4" w:space="0" w:color="auto"/>
              <w:right w:val="single" w:sz="4" w:space="0" w:color="auto"/>
            </w:tcBorders>
          </w:tcPr>
          <w:p w14:paraId="5C0224F9"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FC2143">
              <w:rPr>
                <w:sz w:val="20"/>
                <w:szCs w:val="20"/>
              </w:rPr>
              <w:t>0.866 (95% confidence limits: 0.699 – 1.08)</w:t>
            </w:r>
          </w:p>
        </w:tc>
      </w:tr>
      <w:tr w:rsidR="00E51CDD" w:rsidRPr="00FC2143" w14:paraId="03E44BCF" w14:textId="77777777" w:rsidTr="009938D9">
        <w:trPr>
          <w:cantSplit/>
          <w:trHeight w:val="202"/>
        </w:trPr>
        <w:tc>
          <w:tcPr>
            <w:tcW w:w="1443" w:type="pct"/>
            <w:tcBorders>
              <w:top w:val="single" w:sz="4" w:space="0" w:color="auto"/>
              <w:left w:val="single" w:sz="4" w:space="0" w:color="auto"/>
              <w:bottom w:val="single" w:sz="4" w:space="0" w:color="auto"/>
              <w:right w:val="single" w:sz="4" w:space="0" w:color="auto"/>
            </w:tcBorders>
            <w:hideMark/>
          </w:tcPr>
          <w:p w14:paraId="1D4B55B9" w14:textId="77777777" w:rsidR="00E51CDD" w:rsidRPr="00FC2143" w:rsidRDefault="00E51CDD" w:rsidP="009938D9">
            <w:pPr>
              <w:keepLines/>
              <w:suppressAutoHyphens/>
              <w:overflowPunct w:val="0"/>
              <w:autoSpaceDE w:val="0"/>
              <w:autoSpaceDN w:val="0"/>
              <w:adjustRightInd w:val="0"/>
              <w:spacing w:before="40" w:after="40"/>
              <w:textAlignment w:val="baseline"/>
              <w:rPr>
                <w:sz w:val="20"/>
                <w:szCs w:val="20"/>
              </w:rPr>
            </w:pPr>
            <w:r w:rsidRPr="00FC2143">
              <w:rPr>
                <w:sz w:val="20"/>
                <w:szCs w:val="20"/>
              </w:rPr>
              <w:t>E</w:t>
            </w:r>
            <w:r w:rsidRPr="00FC2143">
              <w:rPr>
                <w:sz w:val="20"/>
                <w:szCs w:val="20"/>
                <w:vertAlign w:val="subscript"/>
              </w:rPr>
              <w:t>y</w:t>
            </w:r>
            <w:r w:rsidRPr="00FC2143">
              <w:rPr>
                <w:sz w:val="20"/>
                <w:szCs w:val="20"/>
              </w:rPr>
              <w:t>C</w:t>
            </w:r>
            <w:r w:rsidRPr="00FC2143">
              <w:rPr>
                <w:sz w:val="20"/>
                <w:szCs w:val="20"/>
                <w:vertAlign w:val="subscript"/>
              </w:rPr>
              <w:t>10</w:t>
            </w:r>
            <w:r w:rsidRPr="00FC2143">
              <w:rPr>
                <w:sz w:val="20"/>
                <w:szCs w:val="20"/>
              </w:rPr>
              <w:t xml:space="preserve"> (72 h)</w:t>
            </w:r>
          </w:p>
        </w:tc>
        <w:tc>
          <w:tcPr>
            <w:tcW w:w="3557" w:type="pct"/>
            <w:gridSpan w:val="5"/>
            <w:tcBorders>
              <w:top w:val="single" w:sz="4" w:space="0" w:color="auto"/>
              <w:left w:val="single" w:sz="4" w:space="0" w:color="auto"/>
              <w:bottom w:val="single" w:sz="4" w:space="0" w:color="auto"/>
              <w:right w:val="single" w:sz="4" w:space="0" w:color="auto"/>
            </w:tcBorders>
            <w:hideMark/>
          </w:tcPr>
          <w:p w14:paraId="6E245BD7" w14:textId="77777777" w:rsidR="00E51CDD" w:rsidRPr="00FC2143" w:rsidRDefault="00E51CDD" w:rsidP="009938D9">
            <w:pPr>
              <w:keepLines/>
              <w:suppressAutoHyphens/>
              <w:overflowPunct w:val="0"/>
              <w:autoSpaceDE w:val="0"/>
              <w:autoSpaceDN w:val="0"/>
              <w:adjustRightInd w:val="0"/>
              <w:spacing w:before="40" w:after="40"/>
              <w:jc w:val="center"/>
              <w:textAlignment w:val="baseline"/>
              <w:rPr>
                <w:sz w:val="20"/>
                <w:szCs w:val="20"/>
              </w:rPr>
            </w:pPr>
            <w:r w:rsidRPr="00FC2143">
              <w:rPr>
                <w:sz w:val="20"/>
                <w:szCs w:val="20"/>
              </w:rPr>
              <w:t>0.660 (95% confidence limits: 0.526 – 0.828)</w:t>
            </w:r>
          </w:p>
        </w:tc>
      </w:tr>
    </w:tbl>
    <w:p w14:paraId="683CEBAF" w14:textId="77777777" w:rsidR="00E51CDD" w:rsidRPr="00C032C8" w:rsidRDefault="00E51CDD" w:rsidP="00E51CDD">
      <w:pPr>
        <w:suppressAutoHyphens/>
        <w:spacing w:before="120"/>
        <w:jc w:val="both"/>
        <w:rPr>
          <w:sz w:val="18"/>
          <w:szCs w:val="18"/>
        </w:rPr>
      </w:pPr>
      <w:r w:rsidRPr="00C032C8">
        <w:rPr>
          <w:sz w:val="18"/>
          <w:szCs w:val="18"/>
          <w:vertAlign w:val="superscript"/>
        </w:rPr>
        <w:t>#</w:t>
      </w:r>
      <w:r w:rsidRPr="00C032C8">
        <w:rPr>
          <w:sz w:val="18"/>
          <w:szCs w:val="18"/>
        </w:rPr>
        <w:t xml:space="preserve"> Negative values indicate stimulated growth</w:t>
      </w:r>
    </w:p>
    <w:p w14:paraId="042A8E37" w14:textId="77777777" w:rsidR="00E51CDD" w:rsidRPr="00C032C8" w:rsidRDefault="00E51CDD" w:rsidP="00E51CDD">
      <w:pPr>
        <w:suppressAutoHyphens/>
        <w:ind w:left="284" w:hanging="284"/>
        <w:jc w:val="both"/>
        <w:rPr>
          <w:rFonts w:asciiTheme="majorBidi" w:hAnsiTheme="majorBidi" w:cstheme="majorBidi"/>
          <w:bCs/>
          <w:sz w:val="18"/>
          <w:szCs w:val="18"/>
          <w:lang w:eastAsia="en-US"/>
        </w:rPr>
      </w:pPr>
      <w:r w:rsidRPr="00C032C8">
        <w:rPr>
          <w:rFonts w:asciiTheme="majorBidi" w:hAnsiTheme="majorBidi" w:cstheme="majorBidi"/>
          <w:bCs/>
          <w:sz w:val="18"/>
          <w:szCs w:val="18"/>
          <w:lang w:eastAsia="en-US"/>
        </w:rPr>
        <w:t>*</w:t>
      </w:r>
      <w:r w:rsidRPr="00C032C8">
        <w:rPr>
          <w:rFonts w:asciiTheme="majorBidi" w:hAnsiTheme="majorBidi" w:cstheme="majorBidi"/>
          <w:bCs/>
          <w:sz w:val="18"/>
          <w:szCs w:val="18"/>
          <w:lang w:eastAsia="en-US"/>
        </w:rPr>
        <w:tab/>
        <w:t>Statistically significant differences in growth rate and yield (</w:t>
      </w:r>
      <w:r w:rsidRPr="00C032C8">
        <w:rPr>
          <w:sz w:val="18"/>
          <w:szCs w:val="18"/>
        </w:rPr>
        <w:t>Step-down Jonckheere-Terpstra Test Procedure</w:t>
      </w:r>
      <w:r w:rsidRPr="00C032C8">
        <w:rPr>
          <w:rFonts w:asciiTheme="majorBidi" w:hAnsiTheme="majorBidi" w:cstheme="majorBidi"/>
          <w:bCs/>
          <w:sz w:val="18"/>
          <w:szCs w:val="18"/>
          <w:lang w:eastAsia="en-US"/>
        </w:rPr>
        <w:t>,</w:t>
      </w:r>
      <w:r>
        <w:rPr>
          <w:rFonts w:asciiTheme="majorBidi" w:hAnsiTheme="majorBidi" w:cstheme="majorBidi"/>
          <w:bCs/>
          <w:sz w:val="18"/>
          <w:szCs w:val="18"/>
          <w:lang w:eastAsia="en-US"/>
        </w:rPr>
        <w:t xml:space="preserve"> left sided</w:t>
      </w:r>
      <w:r w:rsidRPr="00C032C8">
        <w:rPr>
          <w:rFonts w:asciiTheme="majorBidi" w:hAnsiTheme="majorBidi" w:cstheme="majorBidi"/>
          <w:bCs/>
          <w:sz w:val="18"/>
          <w:szCs w:val="18"/>
          <w:lang w:eastAsia="en-US"/>
        </w:rPr>
        <w:t xml:space="preserve"> </w:t>
      </w:r>
      <w:r w:rsidRPr="00C032C8">
        <w:rPr>
          <w:rFonts w:asciiTheme="majorBidi" w:hAnsiTheme="majorBidi" w:cstheme="majorBidi"/>
          <w:bCs/>
          <w:sz w:val="18"/>
          <w:szCs w:val="18"/>
          <w:lang w:eastAsia="en-US"/>
        </w:rPr>
        <w:sym w:font="Symbol" w:char="F061"/>
      </w:r>
      <w:r w:rsidRPr="00C032C8">
        <w:rPr>
          <w:rFonts w:asciiTheme="majorBidi" w:hAnsiTheme="majorBidi" w:cstheme="majorBidi"/>
          <w:bCs/>
          <w:sz w:val="18"/>
          <w:szCs w:val="18"/>
          <w:lang w:eastAsia="en-US"/>
        </w:rPr>
        <w:t xml:space="preserve"> = 0.05) compared to the control </w:t>
      </w:r>
    </w:p>
    <w:p w14:paraId="6F9E8E32" w14:textId="77777777" w:rsidR="00E51CDD" w:rsidRPr="00C032C8" w:rsidRDefault="00E51CDD" w:rsidP="00E51CDD">
      <w:pPr>
        <w:suppressAutoHyphens/>
        <w:spacing w:before="120"/>
        <w:jc w:val="both"/>
        <w:rPr>
          <w:sz w:val="20"/>
          <w:szCs w:val="24"/>
        </w:rPr>
      </w:pPr>
    </w:p>
    <w:p w14:paraId="30C2198A" w14:textId="77777777" w:rsidR="00E51CDD" w:rsidRPr="00433B09" w:rsidRDefault="00E51CDD" w:rsidP="00E51CDD">
      <w:pPr>
        <w:suppressAutoHyphens/>
        <w:rPr>
          <w:sz w:val="20"/>
          <w:szCs w:val="20"/>
        </w:rPr>
      </w:pPr>
    </w:p>
    <w:tbl>
      <w:tblPr>
        <w:tblStyle w:val="Tabela-Siatka"/>
        <w:tblW w:w="0" w:type="auto"/>
        <w:tblLook w:val="04A0" w:firstRow="1" w:lastRow="0" w:firstColumn="1" w:lastColumn="0" w:noHBand="0" w:noVBand="1"/>
      </w:tblPr>
      <w:tblGrid>
        <w:gridCol w:w="6751"/>
        <w:gridCol w:w="2593"/>
      </w:tblGrid>
      <w:tr w:rsidR="00E51CDD" w:rsidRPr="00433B09" w14:paraId="7EECAF6C" w14:textId="77777777" w:rsidTr="009938D9">
        <w:tc>
          <w:tcPr>
            <w:tcW w:w="6912" w:type="dxa"/>
            <w:tcBorders>
              <w:top w:val="single" w:sz="4" w:space="0" w:color="auto"/>
              <w:left w:val="single" w:sz="4" w:space="0" w:color="auto"/>
              <w:bottom w:val="single" w:sz="4" w:space="0" w:color="auto"/>
              <w:right w:val="single" w:sz="4" w:space="0" w:color="auto"/>
            </w:tcBorders>
            <w:hideMark/>
          </w:tcPr>
          <w:p w14:paraId="215A82E6" w14:textId="77777777" w:rsidR="00E51CDD" w:rsidRPr="00433B09" w:rsidRDefault="00E51CDD" w:rsidP="009938D9">
            <w:pPr>
              <w:widowControl w:val="0"/>
              <w:suppressAutoHyphens/>
              <w:spacing w:before="40" w:after="40"/>
              <w:jc w:val="left"/>
              <w:rPr>
                <w:sz w:val="20"/>
                <w:szCs w:val="20"/>
              </w:rPr>
            </w:pPr>
            <w:r w:rsidRPr="00433B09">
              <w:rPr>
                <w:b/>
                <w:bCs/>
                <w:sz w:val="20"/>
                <w:szCs w:val="20"/>
              </w:rPr>
              <w:t>Validity criteria according to OECD 201 (2011)</w:t>
            </w:r>
          </w:p>
        </w:tc>
        <w:tc>
          <w:tcPr>
            <w:tcW w:w="2658" w:type="dxa"/>
            <w:tcBorders>
              <w:top w:val="single" w:sz="4" w:space="0" w:color="auto"/>
              <w:left w:val="single" w:sz="4" w:space="0" w:color="auto"/>
              <w:bottom w:val="single" w:sz="4" w:space="0" w:color="auto"/>
              <w:right w:val="single" w:sz="4" w:space="0" w:color="auto"/>
            </w:tcBorders>
            <w:vAlign w:val="center"/>
            <w:hideMark/>
          </w:tcPr>
          <w:p w14:paraId="285C7B23" w14:textId="77777777" w:rsidR="00E51CDD" w:rsidRPr="00433B09" w:rsidRDefault="00E51CDD" w:rsidP="009938D9">
            <w:pPr>
              <w:widowControl w:val="0"/>
              <w:suppressAutoHyphens/>
              <w:spacing w:before="40" w:after="40"/>
              <w:jc w:val="left"/>
              <w:rPr>
                <w:sz w:val="20"/>
                <w:szCs w:val="20"/>
              </w:rPr>
            </w:pPr>
            <w:r w:rsidRPr="00433B09">
              <w:rPr>
                <w:b/>
                <w:bCs/>
                <w:sz w:val="20"/>
                <w:szCs w:val="20"/>
              </w:rPr>
              <w:t xml:space="preserve">Obtained in this study </w:t>
            </w:r>
          </w:p>
        </w:tc>
      </w:tr>
      <w:tr w:rsidR="00E51CDD" w:rsidRPr="00433B09" w14:paraId="48C13015" w14:textId="77777777" w:rsidTr="009938D9">
        <w:tc>
          <w:tcPr>
            <w:tcW w:w="6912" w:type="dxa"/>
            <w:tcBorders>
              <w:top w:val="single" w:sz="4" w:space="0" w:color="auto"/>
              <w:left w:val="single" w:sz="4" w:space="0" w:color="auto"/>
              <w:bottom w:val="single" w:sz="4" w:space="0" w:color="auto"/>
              <w:right w:val="single" w:sz="4" w:space="0" w:color="auto"/>
            </w:tcBorders>
            <w:vAlign w:val="bottom"/>
            <w:hideMark/>
          </w:tcPr>
          <w:p w14:paraId="5912CDE6" w14:textId="77777777" w:rsidR="00E51CDD" w:rsidRPr="00433B09" w:rsidRDefault="00E51CDD" w:rsidP="009938D9">
            <w:pPr>
              <w:widowControl w:val="0"/>
              <w:suppressAutoHyphens/>
              <w:spacing w:before="40" w:after="40"/>
              <w:jc w:val="both"/>
              <w:rPr>
                <w:sz w:val="20"/>
                <w:szCs w:val="20"/>
              </w:rPr>
            </w:pPr>
            <w:r w:rsidRPr="00433B09">
              <w:rPr>
                <w:sz w:val="20"/>
                <w:szCs w:val="20"/>
              </w:rPr>
              <w:t>The biomass in the control cultures should have increased exponentially by a factor of at least 16 within the 72-hour test period. This corresponds to a specific growth rate of 0.92/day (for species in Annex 2 of OECD 201)</w:t>
            </w:r>
          </w:p>
        </w:tc>
        <w:tc>
          <w:tcPr>
            <w:tcW w:w="2658" w:type="dxa"/>
            <w:tcBorders>
              <w:top w:val="single" w:sz="4" w:space="0" w:color="auto"/>
              <w:left w:val="single" w:sz="4" w:space="0" w:color="auto"/>
              <w:bottom w:val="single" w:sz="4" w:space="0" w:color="auto"/>
              <w:right w:val="single" w:sz="4" w:space="0" w:color="auto"/>
            </w:tcBorders>
            <w:vAlign w:val="center"/>
            <w:hideMark/>
          </w:tcPr>
          <w:p w14:paraId="4171E093" w14:textId="77777777" w:rsidR="00E51CDD" w:rsidRPr="00433B09" w:rsidRDefault="00E51CDD" w:rsidP="009938D9">
            <w:pPr>
              <w:widowControl w:val="0"/>
              <w:suppressAutoHyphens/>
              <w:spacing w:before="40" w:after="40"/>
              <w:jc w:val="left"/>
              <w:rPr>
                <w:sz w:val="20"/>
                <w:szCs w:val="20"/>
              </w:rPr>
            </w:pPr>
            <w:r w:rsidRPr="00433B09">
              <w:rPr>
                <w:sz w:val="20"/>
                <w:szCs w:val="20"/>
              </w:rPr>
              <w:t>102-fold</w:t>
            </w:r>
          </w:p>
        </w:tc>
      </w:tr>
      <w:tr w:rsidR="00E51CDD" w:rsidRPr="00433B09" w14:paraId="77C23360" w14:textId="77777777" w:rsidTr="009938D9">
        <w:tc>
          <w:tcPr>
            <w:tcW w:w="6912" w:type="dxa"/>
            <w:tcBorders>
              <w:top w:val="single" w:sz="4" w:space="0" w:color="auto"/>
              <w:left w:val="single" w:sz="4" w:space="0" w:color="auto"/>
              <w:bottom w:val="single" w:sz="4" w:space="0" w:color="auto"/>
              <w:right w:val="single" w:sz="4" w:space="0" w:color="auto"/>
            </w:tcBorders>
            <w:vAlign w:val="bottom"/>
            <w:hideMark/>
          </w:tcPr>
          <w:p w14:paraId="365E76D0" w14:textId="77777777" w:rsidR="00E51CDD" w:rsidRPr="00433B09" w:rsidRDefault="00E51CDD" w:rsidP="009938D9">
            <w:pPr>
              <w:widowControl w:val="0"/>
              <w:suppressAutoHyphens/>
              <w:spacing w:before="40" w:after="40"/>
              <w:jc w:val="both"/>
              <w:rPr>
                <w:sz w:val="20"/>
                <w:szCs w:val="20"/>
              </w:rPr>
            </w:pPr>
            <w:r w:rsidRPr="00433B09">
              <w:rPr>
                <w:rFonts w:eastAsiaTheme="minorHAnsi"/>
                <w:sz w:val="20"/>
                <w:szCs w:val="20"/>
              </w:rPr>
              <w:t xml:space="preserve">The mean coefficient of variation for section-by-section specific growth rates (days 0-1, 1-2 and 2-3, for 72-hour tests) in the control cultures must not exceed 35%. </w:t>
            </w:r>
          </w:p>
        </w:tc>
        <w:tc>
          <w:tcPr>
            <w:tcW w:w="2658" w:type="dxa"/>
            <w:tcBorders>
              <w:top w:val="single" w:sz="4" w:space="0" w:color="auto"/>
              <w:left w:val="single" w:sz="4" w:space="0" w:color="auto"/>
              <w:bottom w:val="single" w:sz="4" w:space="0" w:color="auto"/>
              <w:right w:val="single" w:sz="4" w:space="0" w:color="auto"/>
            </w:tcBorders>
            <w:vAlign w:val="center"/>
            <w:hideMark/>
          </w:tcPr>
          <w:p w14:paraId="6100D397" w14:textId="77777777" w:rsidR="00E51CDD" w:rsidRPr="00433B09" w:rsidRDefault="00E51CDD" w:rsidP="009938D9">
            <w:pPr>
              <w:widowControl w:val="0"/>
              <w:suppressAutoHyphens/>
              <w:spacing w:before="40" w:after="40"/>
              <w:jc w:val="left"/>
              <w:rPr>
                <w:sz w:val="20"/>
                <w:szCs w:val="20"/>
              </w:rPr>
            </w:pPr>
            <w:r w:rsidRPr="00433B09">
              <w:rPr>
                <w:sz w:val="20"/>
                <w:szCs w:val="20"/>
              </w:rPr>
              <w:t>22.</w:t>
            </w:r>
            <w:r w:rsidRPr="00C157E8">
              <w:rPr>
                <w:strike/>
                <w:color w:val="D9D9D9" w:themeColor="background1" w:themeShade="D9"/>
                <w:sz w:val="20"/>
                <w:szCs w:val="20"/>
              </w:rPr>
              <w:t>4</w:t>
            </w:r>
            <w:r w:rsidRPr="00433B09">
              <w:rPr>
                <w:sz w:val="20"/>
                <w:szCs w:val="20"/>
              </w:rPr>
              <w:t>%</w:t>
            </w:r>
          </w:p>
        </w:tc>
      </w:tr>
      <w:tr w:rsidR="00E51CDD" w:rsidRPr="00433B09" w14:paraId="7F60A3BE" w14:textId="77777777" w:rsidTr="009938D9">
        <w:tc>
          <w:tcPr>
            <w:tcW w:w="6912" w:type="dxa"/>
            <w:tcBorders>
              <w:top w:val="single" w:sz="4" w:space="0" w:color="auto"/>
              <w:left w:val="single" w:sz="4" w:space="0" w:color="auto"/>
              <w:bottom w:val="single" w:sz="4" w:space="0" w:color="auto"/>
              <w:right w:val="single" w:sz="4" w:space="0" w:color="auto"/>
            </w:tcBorders>
            <w:vAlign w:val="bottom"/>
            <w:hideMark/>
          </w:tcPr>
          <w:p w14:paraId="7039DCD0" w14:textId="77777777" w:rsidR="00E51CDD" w:rsidRPr="00433B09" w:rsidRDefault="00E51CDD" w:rsidP="009938D9">
            <w:pPr>
              <w:widowControl w:val="0"/>
              <w:suppressAutoHyphens/>
              <w:spacing w:before="40" w:after="40"/>
              <w:jc w:val="both"/>
              <w:rPr>
                <w:sz w:val="20"/>
                <w:szCs w:val="20"/>
              </w:rPr>
            </w:pPr>
            <w:r w:rsidRPr="00433B09">
              <w:rPr>
                <w:rFonts w:eastAsiaTheme="minorHAnsi"/>
                <w:sz w:val="20"/>
                <w:szCs w:val="20"/>
              </w:rPr>
              <w:t xml:space="preserve">The coefficient of variation of average specific growth rates during the whole test period in replicate control cultures must not exceed 7% in tests on </w:t>
            </w:r>
            <w:r w:rsidRPr="00433B09">
              <w:rPr>
                <w:rFonts w:eastAsiaTheme="minorHAnsi"/>
                <w:i/>
                <w:iCs/>
                <w:sz w:val="20"/>
                <w:szCs w:val="20"/>
              </w:rPr>
              <w:t xml:space="preserve">Pseudokirchneriella subcapitata </w:t>
            </w:r>
            <w:r w:rsidRPr="00433B09">
              <w:rPr>
                <w:rFonts w:eastAsiaTheme="minorHAnsi"/>
                <w:sz w:val="20"/>
                <w:szCs w:val="20"/>
              </w:rPr>
              <w:t xml:space="preserve">and </w:t>
            </w:r>
            <w:r w:rsidRPr="00433B09">
              <w:rPr>
                <w:rFonts w:eastAsiaTheme="minorHAnsi"/>
                <w:i/>
                <w:iCs/>
                <w:sz w:val="20"/>
                <w:szCs w:val="20"/>
              </w:rPr>
              <w:t>Desmodesmus subspicatus</w:t>
            </w:r>
            <w:r w:rsidRPr="00433B09">
              <w:rPr>
                <w:rFonts w:eastAsiaTheme="minorHAnsi"/>
                <w:sz w:val="20"/>
                <w:szCs w:val="20"/>
              </w:rPr>
              <w:t xml:space="preserve">. For other less frequently tested species, the value should not exceed 10%. </w:t>
            </w:r>
          </w:p>
        </w:tc>
        <w:tc>
          <w:tcPr>
            <w:tcW w:w="2658" w:type="dxa"/>
            <w:tcBorders>
              <w:top w:val="single" w:sz="4" w:space="0" w:color="auto"/>
              <w:left w:val="single" w:sz="4" w:space="0" w:color="auto"/>
              <w:bottom w:val="single" w:sz="4" w:space="0" w:color="auto"/>
              <w:right w:val="single" w:sz="4" w:space="0" w:color="auto"/>
            </w:tcBorders>
            <w:vAlign w:val="center"/>
            <w:hideMark/>
          </w:tcPr>
          <w:p w14:paraId="76D909FA" w14:textId="77777777" w:rsidR="00E51CDD" w:rsidRPr="00433B09" w:rsidRDefault="00E51CDD" w:rsidP="009938D9">
            <w:pPr>
              <w:widowControl w:val="0"/>
              <w:suppressAutoHyphens/>
              <w:spacing w:before="40" w:after="40"/>
              <w:jc w:val="left"/>
              <w:rPr>
                <w:sz w:val="20"/>
                <w:szCs w:val="20"/>
              </w:rPr>
            </w:pPr>
            <w:r w:rsidRPr="00433B09">
              <w:rPr>
                <w:sz w:val="20"/>
                <w:szCs w:val="20"/>
              </w:rPr>
              <w:t>2.0%</w:t>
            </w:r>
          </w:p>
        </w:tc>
      </w:tr>
    </w:tbl>
    <w:p w14:paraId="3976ADD4" w14:textId="77777777" w:rsidR="00E51CDD" w:rsidRPr="00433B09" w:rsidRDefault="00E51CDD" w:rsidP="00E51CDD">
      <w:pPr>
        <w:suppressAutoHyphens/>
        <w:rPr>
          <w:sz w:val="20"/>
          <w:szCs w:val="20"/>
        </w:rPr>
      </w:pPr>
    </w:p>
    <w:p w14:paraId="18F776F5" w14:textId="77777777" w:rsidR="00E51CDD" w:rsidRPr="00C032C8" w:rsidRDefault="00E51CDD" w:rsidP="00E51CDD">
      <w:pPr>
        <w:suppressAutoHyphens/>
        <w:rPr>
          <w:b/>
          <w:bCs/>
          <w:szCs w:val="24"/>
        </w:rPr>
      </w:pPr>
    </w:p>
    <w:p w14:paraId="689B5FC8" w14:textId="77777777" w:rsidR="00E51CDD" w:rsidRPr="00C032C8" w:rsidRDefault="00E51CDD" w:rsidP="00E51CDD">
      <w:pPr>
        <w:tabs>
          <w:tab w:val="left" w:pos="425"/>
          <w:tab w:val="left" w:pos="850"/>
        </w:tabs>
        <w:suppressAutoHyphens/>
        <w:ind w:left="2835" w:hanging="2835"/>
        <w:jc w:val="both"/>
        <w:rPr>
          <w:b/>
          <w:bCs/>
          <w:lang w:eastAsia="en-US"/>
        </w:rPr>
      </w:pPr>
      <w:r w:rsidRPr="00C032C8">
        <w:rPr>
          <w:b/>
          <w:bCs/>
          <w:lang w:eastAsia="en-US"/>
        </w:rPr>
        <w:t>III.</w:t>
      </w:r>
      <w:r w:rsidRPr="00C032C8">
        <w:rPr>
          <w:b/>
          <w:bCs/>
          <w:lang w:eastAsia="en-US"/>
        </w:rPr>
        <w:tab/>
        <w:t>CONCLUSION</w:t>
      </w:r>
    </w:p>
    <w:p w14:paraId="2BB66023" w14:textId="77777777" w:rsidR="00E51CDD" w:rsidRPr="00C032C8" w:rsidRDefault="00E51CDD" w:rsidP="00E51CDD">
      <w:pPr>
        <w:suppressAutoHyphens/>
        <w:rPr>
          <w:szCs w:val="24"/>
        </w:rPr>
      </w:pPr>
    </w:p>
    <w:p w14:paraId="0E92E873" w14:textId="77777777" w:rsidR="00E51CDD" w:rsidRPr="00C032C8" w:rsidRDefault="00E51CDD" w:rsidP="00E51CDD">
      <w:pPr>
        <w:keepNext/>
        <w:suppressAutoHyphens/>
        <w:jc w:val="both"/>
        <w:rPr>
          <w:b/>
          <w:bCs/>
          <w:szCs w:val="24"/>
        </w:rPr>
      </w:pPr>
      <w:r w:rsidRPr="00C032C8">
        <w:rPr>
          <w:b/>
          <w:bCs/>
          <w:szCs w:val="24"/>
        </w:rPr>
        <w:t xml:space="preserve">In a 72-hour algae test with </w:t>
      </w:r>
      <w:r w:rsidRPr="00C032C8">
        <w:rPr>
          <w:b/>
          <w:bCs/>
          <w:i/>
          <w:iCs/>
          <w:szCs w:val="24"/>
        </w:rPr>
        <w:t>Pseudokirchneriella subcapitata,</w:t>
      </w:r>
      <w:r w:rsidRPr="00C032C8">
        <w:rPr>
          <w:b/>
          <w:bCs/>
          <w:szCs w:val="24"/>
        </w:rPr>
        <w:t xml:space="preserve"> the E</w:t>
      </w:r>
      <w:r w:rsidRPr="00C032C8">
        <w:rPr>
          <w:b/>
          <w:bCs/>
          <w:szCs w:val="24"/>
          <w:vertAlign w:val="subscript"/>
        </w:rPr>
        <w:t>r</w:t>
      </w:r>
      <w:r w:rsidRPr="00C032C8">
        <w:rPr>
          <w:b/>
          <w:bCs/>
          <w:szCs w:val="24"/>
        </w:rPr>
        <w:t>C</w:t>
      </w:r>
      <w:r w:rsidRPr="00C032C8">
        <w:rPr>
          <w:b/>
          <w:bCs/>
          <w:szCs w:val="24"/>
          <w:vertAlign w:val="subscript"/>
        </w:rPr>
        <w:t>50</w:t>
      </w:r>
      <w:r w:rsidRPr="00C032C8">
        <w:rPr>
          <w:b/>
          <w:bCs/>
          <w:szCs w:val="24"/>
        </w:rPr>
        <w:t xml:space="preserve"> for BAS 736 00 F was determined to be </w:t>
      </w:r>
      <w:r w:rsidRPr="00C032C8">
        <w:rPr>
          <w:b/>
        </w:rPr>
        <w:t>4.19 m</w:t>
      </w:r>
      <w:r w:rsidRPr="00C032C8">
        <w:rPr>
          <w:b/>
          <w:bCs/>
          <w:szCs w:val="24"/>
        </w:rPr>
        <w:t>g/L and the E</w:t>
      </w:r>
      <w:r w:rsidRPr="00C032C8">
        <w:rPr>
          <w:b/>
          <w:bCs/>
          <w:szCs w:val="24"/>
          <w:vertAlign w:val="subscript"/>
        </w:rPr>
        <w:t>y</w:t>
      </w:r>
      <w:r w:rsidRPr="00C032C8">
        <w:rPr>
          <w:b/>
          <w:bCs/>
          <w:szCs w:val="24"/>
        </w:rPr>
        <w:t>C</w:t>
      </w:r>
      <w:r w:rsidRPr="00C032C8">
        <w:rPr>
          <w:b/>
          <w:bCs/>
          <w:szCs w:val="24"/>
          <w:vertAlign w:val="subscript"/>
        </w:rPr>
        <w:t>50</w:t>
      </w:r>
      <w:r w:rsidRPr="00C032C8">
        <w:rPr>
          <w:b/>
          <w:bCs/>
          <w:szCs w:val="24"/>
        </w:rPr>
        <w:t xml:space="preserve"> was 1.46 mg/L based on nominal concentrations.</w:t>
      </w:r>
    </w:p>
    <w:p w14:paraId="34EC2D10" w14:textId="77777777" w:rsidR="00E51CDD" w:rsidRPr="00004CB8" w:rsidRDefault="00E51CDD" w:rsidP="00E51CDD">
      <w:pPr>
        <w:pStyle w:val="RepStandard"/>
        <w:rPr>
          <w:lang w:val="en-US"/>
        </w:rPr>
      </w:pPr>
      <w:r>
        <w:rPr>
          <w:lang w:val="en-US"/>
        </w:rPr>
        <w:br w:type="page"/>
      </w:r>
    </w:p>
    <w:p w14:paraId="63899BDF" w14:textId="77777777" w:rsidR="00E51CDD" w:rsidRDefault="00E51CDD" w:rsidP="00E51CDD">
      <w:pPr>
        <w:pStyle w:val="RepAppendix3"/>
      </w:pPr>
      <w:bookmarkStart w:id="1151" w:name="_Toc125446477"/>
      <w:r w:rsidRPr="002B1114">
        <w:lastRenderedPageBreak/>
        <w:t>KCP 10.2.2</w:t>
      </w:r>
      <w:r w:rsidRPr="002B1114">
        <w:tab/>
        <w:t>Additional long-term and chronic toxicity studies on fish, aquatic invertebrates and sediment dwelling organisms</w:t>
      </w:r>
      <w:bookmarkEnd w:id="1138"/>
      <w:bookmarkEnd w:id="1139"/>
      <w:bookmarkEnd w:id="1140"/>
      <w:bookmarkEnd w:id="1141"/>
      <w:bookmarkEnd w:id="1142"/>
      <w:bookmarkEnd w:id="1151"/>
    </w:p>
    <w:p w14:paraId="312DAAC8" w14:textId="77777777" w:rsidR="00E51CDD" w:rsidRDefault="00E51CDD" w:rsidP="00E51CDD">
      <w:pPr>
        <w:pStyle w:val="RepStandard"/>
      </w:pPr>
      <w:bookmarkStart w:id="1152" w:name="_Toc413922099"/>
      <w:bookmarkStart w:id="1153" w:name="_Toc413922588"/>
      <w:bookmarkStart w:id="1154" w:name="_Toc413922692"/>
      <w:bookmarkStart w:id="1155" w:name="_Toc414955329"/>
      <w:bookmarkStart w:id="1156" w:name="_Toc415214636"/>
      <w:r>
        <w:t>Not necessary</w:t>
      </w:r>
    </w:p>
    <w:p w14:paraId="3FFD7C4B" w14:textId="77777777" w:rsidR="00E51CDD" w:rsidRPr="002321A6" w:rsidRDefault="00E51CDD" w:rsidP="00E51CDD">
      <w:pPr>
        <w:pStyle w:val="RepStandard"/>
      </w:pPr>
    </w:p>
    <w:p w14:paraId="7A962794" w14:textId="77777777" w:rsidR="00E51CDD" w:rsidRDefault="00E51CDD" w:rsidP="00E51CDD">
      <w:pPr>
        <w:pStyle w:val="RepAppendix3"/>
      </w:pPr>
      <w:bookmarkStart w:id="1157" w:name="_Toc125446478"/>
      <w:r w:rsidRPr="002B1114">
        <w:t>KCP 10.2.3</w:t>
      </w:r>
      <w:r w:rsidRPr="002B1114">
        <w:tab/>
        <w:t>Further testing on aquatic organisms</w:t>
      </w:r>
      <w:bookmarkEnd w:id="1152"/>
      <w:bookmarkEnd w:id="1153"/>
      <w:bookmarkEnd w:id="1154"/>
      <w:bookmarkEnd w:id="1155"/>
      <w:bookmarkEnd w:id="1156"/>
      <w:bookmarkEnd w:id="1157"/>
    </w:p>
    <w:p w14:paraId="6D794CE7" w14:textId="77777777" w:rsidR="00E51CDD" w:rsidRPr="002321A6" w:rsidRDefault="00E51CDD" w:rsidP="00E51CDD">
      <w:pPr>
        <w:pStyle w:val="RepStandard"/>
      </w:pPr>
      <w:r>
        <w:t>Not conducted</w:t>
      </w:r>
    </w:p>
    <w:p w14:paraId="618828BC" w14:textId="77777777" w:rsidR="00E51CDD" w:rsidRDefault="00E51CDD" w:rsidP="00E51CDD">
      <w:pPr>
        <w:pStyle w:val="StyleOECD-BASIS-TEXTLeft"/>
        <w:rPr>
          <w:sz w:val="22"/>
          <w:lang w:val="en-US"/>
        </w:rPr>
      </w:pPr>
    </w:p>
    <w:p w14:paraId="57DE8FE0" w14:textId="77777777" w:rsidR="00E51CDD" w:rsidRDefault="00E51CDD" w:rsidP="00CE08CB">
      <w:pPr>
        <w:pStyle w:val="StyleOECD-BASIS-TEXTLeft"/>
        <w:rPr>
          <w:sz w:val="22"/>
          <w:lang w:val="en-US"/>
        </w:rPr>
        <w:sectPr w:rsidR="00E51CDD" w:rsidSect="00D20BDB">
          <w:pgSz w:w="11906" w:h="16838"/>
          <w:pgMar w:top="1418" w:right="1134" w:bottom="1134" w:left="1418" w:header="709" w:footer="709" w:gutter="0"/>
          <w:pgNumType w:chapSep="period"/>
          <w:cols w:space="708"/>
          <w:docGrid w:linePitch="360"/>
        </w:sectPr>
      </w:pPr>
    </w:p>
    <w:p w14:paraId="306EDABB" w14:textId="77777777" w:rsidR="00E51CDD" w:rsidRPr="002B1114" w:rsidRDefault="00E51CDD" w:rsidP="00E51CDD">
      <w:pPr>
        <w:pStyle w:val="RepAppendix2"/>
      </w:pPr>
      <w:bookmarkStart w:id="1158" w:name="_Toc413922100"/>
      <w:bookmarkStart w:id="1159" w:name="_Toc413922589"/>
      <w:bookmarkStart w:id="1160" w:name="_Toc413922693"/>
      <w:bookmarkStart w:id="1161" w:name="_Toc414955330"/>
      <w:bookmarkStart w:id="1162" w:name="_Toc415214637"/>
      <w:bookmarkStart w:id="1163" w:name="_Hlk86410906"/>
      <w:bookmarkStart w:id="1164" w:name="_Toc125446479"/>
      <w:r w:rsidRPr="002B1114">
        <w:lastRenderedPageBreak/>
        <w:t xml:space="preserve">KCP 10.3 </w:t>
      </w:r>
      <w:r w:rsidRPr="002B1114">
        <w:tab/>
        <w:t>Effects on arthropods</w:t>
      </w:r>
      <w:bookmarkEnd w:id="1158"/>
      <w:bookmarkEnd w:id="1159"/>
      <w:bookmarkEnd w:id="1160"/>
      <w:bookmarkEnd w:id="1161"/>
      <w:bookmarkEnd w:id="1162"/>
      <w:bookmarkEnd w:id="1164"/>
    </w:p>
    <w:p w14:paraId="27C9FB12" w14:textId="77777777" w:rsidR="00E51CDD" w:rsidRPr="002B1114" w:rsidRDefault="00E51CDD" w:rsidP="00E51CDD">
      <w:pPr>
        <w:pStyle w:val="RepAppendix3"/>
      </w:pPr>
      <w:bookmarkStart w:id="1165" w:name="_Toc413922101"/>
      <w:bookmarkStart w:id="1166" w:name="_Toc413922590"/>
      <w:bookmarkStart w:id="1167" w:name="_Toc413922694"/>
      <w:bookmarkStart w:id="1168" w:name="_Toc414955331"/>
      <w:bookmarkStart w:id="1169" w:name="_Toc415214638"/>
      <w:bookmarkStart w:id="1170" w:name="_Toc125446480"/>
      <w:r w:rsidRPr="002B1114">
        <w:t xml:space="preserve">KCP 10.3.1 </w:t>
      </w:r>
      <w:r w:rsidRPr="002B1114">
        <w:tab/>
        <w:t>Effects on bees</w:t>
      </w:r>
      <w:bookmarkEnd w:id="1165"/>
      <w:bookmarkEnd w:id="1166"/>
      <w:bookmarkEnd w:id="1167"/>
      <w:bookmarkEnd w:id="1168"/>
      <w:bookmarkEnd w:id="1169"/>
      <w:bookmarkEnd w:id="1170"/>
    </w:p>
    <w:p w14:paraId="0AB1B1CA" w14:textId="77777777" w:rsidR="00E51CDD" w:rsidRPr="002B1114" w:rsidRDefault="00E51CDD" w:rsidP="00E51CDD">
      <w:pPr>
        <w:pStyle w:val="RepAppendix4"/>
      </w:pPr>
      <w:r w:rsidRPr="002B1114">
        <w:t xml:space="preserve">KCP 10.3.1.1 </w:t>
      </w:r>
      <w:r w:rsidRPr="002B1114">
        <w:tab/>
        <w:t>Acute toxicity to bees</w:t>
      </w:r>
    </w:p>
    <w:p w14:paraId="5DFE5A76" w14:textId="77777777" w:rsidR="00E51CDD" w:rsidRDefault="00E51CDD" w:rsidP="00E51CDD">
      <w:pPr>
        <w:pStyle w:val="RepAppendix5"/>
      </w:pPr>
      <w:r w:rsidRPr="002B1114">
        <w:t>KCP 10.3.1.1.1</w:t>
      </w:r>
      <w:r w:rsidRPr="002B1114">
        <w:tab/>
        <w:t>Acute oral toxicity to bees</w:t>
      </w:r>
    </w:p>
    <w:p w14:paraId="01E15709" w14:textId="77777777" w:rsidR="00E51CDD" w:rsidRPr="00FC6E3A" w:rsidRDefault="00E51CDD" w:rsidP="00E51CDD">
      <w:pPr>
        <w:pStyle w:val="RepAppendix6"/>
      </w:pPr>
      <w:r w:rsidRPr="00FC6E3A">
        <w:t>Study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134E4CC9" w14:textId="77777777" w:rsidTr="002346A8">
        <w:trPr>
          <w:trHeight w:val="950"/>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D4928B" w14:textId="77777777" w:rsidR="00E51CDD" w:rsidRDefault="00E51CDD" w:rsidP="009938D9">
            <w:pPr>
              <w:pStyle w:val="RepStandard"/>
              <w:rPr>
                <w:rFonts w:eastAsia="Batang"/>
              </w:rPr>
            </w:pPr>
            <w:bookmarkStart w:id="1171" w:name="_Hlk88465711"/>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59FD62" w14:textId="730BC027" w:rsidR="005A1138" w:rsidRDefault="005A1138" w:rsidP="005A1138">
            <w:pPr>
              <w:pStyle w:val="RepStandard"/>
              <w:rPr>
                <w:color w:val="000000"/>
              </w:rPr>
            </w:pPr>
            <w:r w:rsidRPr="00547ED5">
              <w:rPr>
                <w:color w:val="000000"/>
              </w:rPr>
              <w:t>The study was conducted to OECD guideline</w:t>
            </w:r>
            <w:r>
              <w:rPr>
                <w:color w:val="000000"/>
              </w:rPr>
              <w:t>s</w:t>
            </w:r>
            <w:r w:rsidRPr="00547ED5">
              <w:rPr>
                <w:color w:val="000000"/>
              </w:rPr>
              <w:t xml:space="preserve"> 213 and according to the principles of GLP. </w:t>
            </w:r>
            <w:r>
              <w:rPr>
                <w:color w:val="000000"/>
              </w:rPr>
              <w:t>Validity criteria were met</w:t>
            </w:r>
            <w:r w:rsidRPr="00547ED5">
              <w:rPr>
                <w:color w:val="000000"/>
              </w:rPr>
              <w:t xml:space="preserve">. </w:t>
            </w:r>
          </w:p>
          <w:p w14:paraId="4206A0A9" w14:textId="365A58F7" w:rsidR="00E51CDD" w:rsidRDefault="005A1138" w:rsidP="005A1138">
            <w:pPr>
              <w:pStyle w:val="RepStandard"/>
              <w:rPr>
                <w:rFonts w:eastAsia="Batang"/>
              </w:rPr>
            </w:pPr>
            <w:r w:rsidRPr="00547ED5">
              <w:rPr>
                <w:color w:val="000000"/>
              </w:rPr>
              <w:t xml:space="preserve">The study is considered to be reliable </w:t>
            </w:r>
            <w:r w:rsidRPr="00547ED5">
              <w:t>and suitable for the risk assessment</w:t>
            </w:r>
            <w:r w:rsidRPr="00547ED5">
              <w:rPr>
                <w:color w:val="000000"/>
              </w:rPr>
              <w:t>.</w:t>
            </w:r>
          </w:p>
        </w:tc>
      </w:tr>
    </w:tbl>
    <w:p w14:paraId="3DE4893F"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220F7478" w14:textId="77777777" w:rsidTr="009938D9">
        <w:trPr>
          <w:gridAfter w:val="1"/>
          <w:wAfter w:w="9" w:type="pct"/>
        </w:trPr>
        <w:tc>
          <w:tcPr>
            <w:tcW w:w="1340" w:type="pct"/>
            <w:hideMark/>
          </w:tcPr>
          <w:p w14:paraId="037201A5" w14:textId="77777777" w:rsidR="00E51CDD" w:rsidRDefault="00E51CDD" w:rsidP="009938D9">
            <w:pPr>
              <w:pStyle w:val="RepStandard"/>
              <w:rPr>
                <w:lang w:val="de-DE"/>
              </w:rPr>
            </w:pPr>
            <w:r>
              <w:t>Reference:</w:t>
            </w:r>
          </w:p>
        </w:tc>
        <w:tc>
          <w:tcPr>
            <w:tcW w:w="3651" w:type="pct"/>
            <w:hideMark/>
          </w:tcPr>
          <w:p w14:paraId="47B5BC8E" w14:textId="77777777" w:rsidR="00E51CDD" w:rsidRDefault="00E51CDD" w:rsidP="009938D9">
            <w:pPr>
              <w:pStyle w:val="RepStandard"/>
            </w:pPr>
            <w:r>
              <w:t>CP 10.3.1.1.1/1</w:t>
            </w:r>
          </w:p>
        </w:tc>
      </w:tr>
      <w:tr w:rsidR="00E51CDD" w14:paraId="233A491F" w14:textId="77777777" w:rsidTr="009938D9">
        <w:trPr>
          <w:gridAfter w:val="1"/>
          <w:wAfter w:w="9" w:type="pct"/>
        </w:trPr>
        <w:tc>
          <w:tcPr>
            <w:tcW w:w="1340" w:type="pct"/>
            <w:hideMark/>
          </w:tcPr>
          <w:p w14:paraId="45F3F41D" w14:textId="77777777" w:rsidR="00E51CDD" w:rsidRDefault="00E51CDD" w:rsidP="009938D9">
            <w:pPr>
              <w:pStyle w:val="RepStandard"/>
              <w:spacing w:after="120"/>
            </w:pPr>
            <w:r>
              <w:t>Report</w:t>
            </w:r>
          </w:p>
        </w:tc>
        <w:tc>
          <w:tcPr>
            <w:tcW w:w="3651" w:type="pct"/>
            <w:hideMark/>
          </w:tcPr>
          <w:p w14:paraId="3AE8D22E" w14:textId="77777777" w:rsidR="00E51CDD" w:rsidRDefault="00E51CDD" w:rsidP="009938D9">
            <w:pPr>
              <w:pStyle w:val="RepStandard"/>
              <w:spacing w:after="120"/>
              <w:rPr>
                <w:lang w:val="en-US"/>
              </w:rPr>
            </w:pPr>
            <w:r>
              <w:rPr>
                <w:lang w:val="en-US"/>
              </w:rPr>
              <w:t>BAS 736 00 F: Acute Oral and Contact Toxicity to the Honey Bee, Apis mellifera L. under Laboratory Conditions,</w:t>
            </w:r>
          </w:p>
          <w:p w14:paraId="10D3F9CB" w14:textId="77777777" w:rsidR="00E51CDD" w:rsidRDefault="00E51CDD" w:rsidP="009938D9">
            <w:pPr>
              <w:pStyle w:val="RepStandard"/>
              <w:spacing w:after="120"/>
              <w:rPr>
                <w:lang w:val="en-US"/>
              </w:rPr>
            </w:pPr>
            <w:r>
              <w:rPr>
                <w:lang w:val="en-US"/>
              </w:rPr>
              <w:t>Wendling, K., 2019</w:t>
            </w:r>
          </w:p>
          <w:p w14:paraId="2F22945F" w14:textId="77777777" w:rsidR="00E51CDD" w:rsidRDefault="00E51CDD" w:rsidP="009938D9">
            <w:pPr>
              <w:pStyle w:val="RepStandard"/>
              <w:spacing w:after="120"/>
              <w:rPr>
                <w:lang w:val="en-US"/>
              </w:rPr>
            </w:pPr>
            <w:r>
              <w:rPr>
                <w:lang w:val="en-US"/>
              </w:rPr>
              <w:t>report No 849664, S19-02328</w:t>
            </w:r>
          </w:p>
          <w:p w14:paraId="5CA2E01E" w14:textId="77777777" w:rsidR="00E51CDD" w:rsidRDefault="00E51CDD" w:rsidP="009938D9">
            <w:pPr>
              <w:pStyle w:val="RepStandard"/>
              <w:spacing w:after="120"/>
            </w:pPr>
            <w:r>
              <w:rPr>
                <w:lang w:val="en-US"/>
              </w:rPr>
              <w:t>2019/1061095</w:t>
            </w:r>
          </w:p>
          <w:p w14:paraId="6F7CD668" w14:textId="77777777" w:rsidR="00E51CDD" w:rsidRDefault="00E51CDD" w:rsidP="009938D9">
            <w:pPr>
              <w:pStyle w:val="RepStandard"/>
            </w:pPr>
            <w:r>
              <w:t>Authority registration No</w:t>
            </w:r>
          </w:p>
        </w:tc>
      </w:tr>
      <w:tr w:rsidR="00E51CDD" w14:paraId="1EF525E8" w14:textId="77777777" w:rsidTr="009938D9">
        <w:trPr>
          <w:gridAfter w:val="1"/>
          <w:wAfter w:w="9" w:type="pct"/>
        </w:trPr>
        <w:tc>
          <w:tcPr>
            <w:tcW w:w="1340" w:type="pct"/>
            <w:hideMark/>
          </w:tcPr>
          <w:p w14:paraId="0E13EF20" w14:textId="77777777" w:rsidR="00E51CDD" w:rsidRDefault="00E51CDD" w:rsidP="009938D9">
            <w:pPr>
              <w:pStyle w:val="RepStandard"/>
            </w:pPr>
            <w:r>
              <w:t>Guideline(s):</w:t>
            </w:r>
          </w:p>
        </w:tc>
        <w:tc>
          <w:tcPr>
            <w:tcW w:w="3651" w:type="pct"/>
            <w:hideMark/>
          </w:tcPr>
          <w:p w14:paraId="2DC94F54" w14:textId="77777777" w:rsidR="00E51CDD" w:rsidRDefault="00E51CDD" w:rsidP="009938D9">
            <w:pPr>
              <w:pStyle w:val="RepStandard"/>
              <w:spacing w:after="120"/>
            </w:pPr>
            <w:r>
              <w:rPr>
                <w:lang w:val="en-US"/>
              </w:rPr>
              <w:t>OECD 213, OECD 214</w:t>
            </w:r>
            <w:r>
              <w:t xml:space="preserve"> </w:t>
            </w:r>
          </w:p>
        </w:tc>
      </w:tr>
      <w:tr w:rsidR="00E51CDD" w14:paraId="4CB9AB45" w14:textId="77777777" w:rsidTr="009938D9">
        <w:trPr>
          <w:gridAfter w:val="1"/>
          <w:wAfter w:w="9" w:type="pct"/>
        </w:trPr>
        <w:tc>
          <w:tcPr>
            <w:tcW w:w="1340" w:type="pct"/>
            <w:hideMark/>
          </w:tcPr>
          <w:p w14:paraId="3DBBE755" w14:textId="77777777" w:rsidR="00E51CDD" w:rsidRDefault="00E51CDD" w:rsidP="009938D9">
            <w:pPr>
              <w:pStyle w:val="RepStandard"/>
            </w:pPr>
            <w:r>
              <w:t>Deviations:</w:t>
            </w:r>
          </w:p>
        </w:tc>
        <w:tc>
          <w:tcPr>
            <w:tcW w:w="3651" w:type="pct"/>
            <w:hideMark/>
          </w:tcPr>
          <w:p w14:paraId="6CA68E9A" w14:textId="77777777" w:rsidR="00E51CDD" w:rsidRDefault="00E51CDD" w:rsidP="009938D9">
            <w:pPr>
              <w:pStyle w:val="RepStandard"/>
              <w:spacing w:after="120"/>
            </w:pPr>
            <w:r>
              <w:t xml:space="preserve">No </w:t>
            </w:r>
          </w:p>
        </w:tc>
      </w:tr>
      <w:tr w:rsidR="00E51CDD" w:rsidRPr="00662F32" w14:paraId="4922C0A9" w14:textId="77777777" w:rsidTr="009938D9">
        <w:tc>
          <w:tcPr>
            <w:tcW w:w="1340" w:type="pct"/>
            <w:hideMark/>
          </w:tcPr>
          <w:p w14:paraId="09EC63B1" w14:textId="77777777" w:rsidR="00E51CDD" w:rsidRDefault="00E51CDD" w:rsidP="009938D9">
            <w:pPr>
              <w:pStyle w:val="RepStandard"/>
            </w:pPr>
            <w:r>
              <w:t>GLP:</w:t>
            </w:r>
          </w:p>
        </w:tc>
        <w:tc>
          <w:tcPr>
            <w:tcW w:w="3660" w:type="pct"/>
            <w:gridSpan w:val="2"/>
            <w:hideMark/>
          </w:tcPr>
          <w:p w14:paraId="4CB926D0" w14:textId="77777777" w:rsidR="00E51CDD" w:rsidRPr="00E111CB" w:rsidRDefault="00E51CDD" w:rsidP="009938D9">
            <w:pPr>
              <w:tabs>
                <w:tab w:val="left" w:pos="425"/>
                <w:tab w:val="left" w:pos="850"/>
              </w:tabs>
              <w:spacing w:after="120"/>
              <w:ind w:left="1985" w:hanging="1985"/>
              <w:rPr>
                <w:b/>
                <w:lang w:val="de-DE"/>
              </w:rPr>
            </w:pPr>
            <w:r w:rsidRPr="00E111CB">
              <w:rPr>
                <w:lang w:val="de-DE"/>
              </w:rPr>
              <w:t>yes</w:t>
            </w:r>
          </w:p>
          <w:p w14:paraId="7612C52A" w14:textId="77777777" w:rsidR="00E51CDD" w:rsidRPr="00E111CB" w:rsidRDefault="00E51CDD" w:rsidP="009938D9">
            <w:pPr>
              <w:pStyle w:val="RepStandard"/>
              <w:spacing w:after="120"/>
              <w:jc w:val="left"/>
              <w:rPr>
                <w:lang w:val="de-DE"/>
              </w:rPr>
            </w:pPr>
            <w:r w:rsidRPr="00E111CB">
              <w:rPr>
                <w:lang w:val="de-DE"/>
              </w:rPr>
              <w:t>(certified by Landesanstalt fuer Umwelt, Baden-Wuerttemberg, Karlsruhe, Germany),</w:t>
            </w:r>
          </w:p>
        </w:tc>
      </w:tr>
      <w:tr w:rsidR="00E51CDD" w14:paraId="75C17EAD" w14:textId="77777777" w:rsidTr="009938D9">
        <w:trPr>
          <w:gridAfter w:val="1"/>
          <w:wAfter w:w="9" w:type="pct"/>
        </w:trPr>
        <w:tc>
          <w:tcPr>
            <w:tcW w:w="1340" w:type="pct"/>
            <w:hideMark/>
          </w:tcPr>
          <w:p w14:paraId="5545FC85" w14:textId="77777777" w:rsidR="00E51CDD" w:rsidRDefault="00E51CDD" w:rsidP="009938D9">
            <w:pPr>
              <w:pStyle w:val="RepStandard"/>
              <w:rPr>
                <w:lang w:val="de-DE"/>
              </w:rPr>
            </w:pPr>
            <w:r>
              <w:t>Acceptability:</w:t>
            </w:r>
          </w:p>
        </w:tc>
        <w:tc>
          <w:tcPr>
            <w:tcW w:w="3651" w:type="pct"/>
            <w:hideMark/>
          </w:tcPr>
          <w:p w14:paraId="78F54E15" w14:textId="77777777" w:rsidR="00E51CDD" w:rsidRDefault="00E51CDD" w:rsidP="009938D9">
            <w:pPr>
              <w:pStyle w:val="RepStandard"/>
            </w:pPr>
            <w:r>
              <w:t xml:space="preserve">Yes </w:t>
            </w:r>
          </w:p>
        </w:tc>
      </w:tr>
      <w:tr w:rsidR="00E51CDD" w14:paraId="43DF403A" w14:textId="77777777" w:rsidTr="009938D9">
        <w:trPr>
          <w:gridAfter w:val="1"/>
          <w:wAfter w:w="9" w:type="pct"/>
        </w:trPr>
        <w:tc>
          <w:tcPr>
            <w:tcW w:w="1340" w:type="pct"/>
            <w:hideMark/>
          </w:tcPr>
          <w:p w14:paraId="1B25A737" w14:textId="77777777" w:rsidR="00E51CDD" w:rsidRDefault="00E51CDD" w:rsidP="009938D9">
            <w:pPr>
              <w:pStyle w:val="RepStandard"/>
            </w:pPr>
            <w:r>
              <w:t xml:space="preserve">Duplication </w:t>
            </w:r>
            <w:r>
              <w:br/>
              <w:t>(if vertebrate study)</w:t>
            </w:r>
          </w:p>
        </w:tc>
        <w:tc>
          <w:tcPr>
            <w:tcW w:w="3651" w:type="pct"/>
            <w:hideMark/>
          </w:tcPr>
          <w:p w14:paraId="0E8C9FE8" w14:textId="77777777" w:rsidR="00E51CDD" w:rsidRDefault="00E51CDD" w:rsidP="009938D9">
            <w:pPr>
              <w:pStyle w:val="RepStandard"/>
              <w:spacing w:after="120"/>
              <w:rPr>
                <w:highlight w:val="yellow"/>
              </w:rPr>
            </w:pPr>
            <w:r>
              <w:t>No</w:t>
            </w:r>
          </w:p>
        </w:tc>
      </w:tr>
    </w:tbl>
    <w:p w14:paraId="66AFCCB5" w14:textId="77777777" w:rsidR="00E51CDD" w:rsidRPr="00FC6E3A" w:rsidRDefault="00E51CDD" w:rsidP="00E51CDD">
      <w:pPr>
        <w:widowControl w:val="0"/>
        <w:tabs>
          <w:tab w:val="left" w:pos="425"/>
          <w:tab w:val="left" w:pos="850"/>
        </w:tabs>
        <w:rPr>
          <w:szCs w:val="24"/>
        </w:rPr>
      </w:pPr>
    </w:p>
    <w:p w14:paraId="014D1B37" w14:textId="77777777" w:rsidR="00E51CDD" w:rsidRPr="00FC6E3A" w:rsidRDefault="00E51CDD" w:rsidP="00E51CDD">
      <w:pPr>
        <w:widowControl w:val="0"/>
        <w:tabs>
          <w:tab w:val="left" w:pos="425"/>
          <w:tab w:val="left" w:pos="850"/>
        </w:tabs>
        <w:ind w:left="2835" w:hanging="2835"/>
        <w:rPr>
          <w:b/>
          <w:szCs w:val="24"/>
          <w:lang w:eastAsia="en-US"/>
        </w:rPr>
      </w:pPr>
      <w:r>
        <w:rPr>
          <w:b/>
          <w:szCs w:val="24"/>
          <w:lang w:eastAsia="en-US"/>
        </w:rPr>
        <w:br w:type="page"/>
      </w:r>
    </w:p>
    <w:p w14:paraId="0619D032" w14:textId="77777777" w:rsidR="00E51CDD" w:rsidRPr="00FC6E3A" w:rsidRDefault="00E51CDD" w:rsidP="00E51CDD">
      <w:pPr>
        <w:widowControl w:val="0"/>
        <w:tabs>
          <w:tab w:val="left" w:pos="425"/>
          <w:tab w:val="left" w:pos="850"/>
        </w:tabs>
        <w:ind w:left="2835" w:hanging="2835"/>
        <w:rPr>
          <w:b/>
          <w:szCs w:val="24"/>
          <w:lang w:eastAsia="en-US"/>
        </w:rPr>
      </w:pPr>
      <w:r w:rsidRPr="00FC6E3A">
        <w:rPr>
          <w:b/>
          <w:szCs w:val="24"/>
          <w:lang w:eastAsia="en-US"/>
        </w:rPr>
        <w:lastRenderedPageBreak/>
        <w:t>Executive Summary</w:t>
      </w:r>
    </w:p>
    <w:p w14:paraId="2754BF05" w14:textId="77777777" w:rsidR="00E51CDD" w:rsidRPr="00FC6E3A" w:rsidRDefault="00E51CDD" w:rsidP="00E51CDD">
      <w:pPr>
        <w:widowControl w:val="0"/>
        <w:rPr>
          <w:szCs w:val="24"/>
          <w:lang w:eastAsia="en-US"/>
        </w:rPr>
      </w:pPr>
    </w:p>
    <w:p w14:paraId="7930F245" w14:textId="77777777" w:rsidR="00E51CDD" w:rsidRPr="00FC6E3A" w:rsidRDefault="00E51CDD" w:rsidP="00E51CDD">
      <w:pPr>
        <w:widowControl w:val="0"/>
        <w:jc w:val="both"/>
        <w:rPr>
          <w:szCs w:val="24"/>
        </w:rPr>
      </w:pPr>
      <w:r w:rsidRPr="00FC6E3A">
        <w:t>In an oral toxicity test, adult worker bees (</w:t>
      </w:r>
      <w:r w:rsidRPr="00FC6E3A">
        <w:rPr>
          <w:i/>
          <w:iCs/>
        </w:rPr>
        <w:t>Apis mellifera</w:t>
      </w:r>
      <w:r w:rsidRPr="00FC6E3A">
        <w:t xml:space="preserve"> L.) were exposed to BAS 736 00 F. The toxicity of the test item was determined at nominal dose rates of </w:t>
      </w:r>
      <w:bookmarkStart w:id="1172" w:name="_Hlk82096160"/>
      <w:r w:rsidRPr="00FC6E3A">
        <w:rPr>
          <w:szCs w:val="24"/>
          <w:lang w:eastAsia="en-US"/>
        </w:rPr>
        <w:t xml:space="preserve">62.5, 125, 250, 500 and 1000 </w:t>
      </w:r>
      <w:r w:rsidRPr="00FC6E3A">
        <w:t xml:space="preserve">µg BAS 736 00 F/bee </w:t>
      </w:r>
      <w:bookmarkStart w:id="1173" w:name="_Hlk80172600"/>
      <w:r w:rsidRPr="00FC6E3A">
        <w:t>that is corresponding to 7.25, 14.5, 29.0, 58.0 and 116 µg total a.s./bee</w:t>
      </w:r>
      <w:bookmarkEnd w:id="1173"/>
      <w:r w:rsidRPr="00FC6E3A">
        <w:t xml:space="preserve">. </w:t>
      </w:r>
      <w:bookmarkEnd w:id="1172"/>
      <w:r w:rsidRPr="00FC6E3A">
        <w:rPr>
          <w:lang w:eastAsia="en-US"/>
        </w:rPr>
        <w:t>The resulting oral uptake was 6</w:t>
      </w:r>
      <w:r w:rsidRPr="00FC6E3A">
        <w:t>4.6, 114, 182, 267 and 432 µg BAS 736 00 F/bee (corresponding to 7.49, 13.2, 21.1, 31.0 and 50.1 µg total a.s./bee). Additionally, honeybees were treated with BAS 152 11 I</w:t>
      </w:r>
      <w:r w:rsidRPr="00FC6E3A">
        <w:rPr>
          <w:szCs w:val="24"/>
          <w:lang w:eastAsia="en-US"/>
        </w:rPr>
        <w:t xml:space="preserve"> </w:t>
      </w:r>
      <w:r w:rsidRPr="00FC6E3A">
        <w:t xml:space="preserve">as reference item at dose rates ranging from 0.06 to 0.14 µg dimethoate/bee (based on analyzed content of a.s.), and furthermore with a 50% (w/v) sucrose solution as control. </w:t>
      </w:r>
      <w:r w:rsidRPr="00FC6E3A">
        <w:rPr>
          <w:szCs w:val="24"/>
        </w:rPr>
        <w:t>Assessments of mortality were made after 4, 24 and 48 hours.</w:t>
      </w:r>
    </w:p>
    <w:p w14:paraId="65CB3E9B" w14:textId="77777777" w:rsidR="00E51CDD" w:rsidRPr="00FC6E3A" w:rsidRDefault="00E51CDD" w:rsidP="00E51CDD">
      <w:pPr>
        <w:widowControl w:val="0"/>
        <w:tabs>
          <w:tab w:val="left" w:pos="425"/>
          <w:tab w:val="left" w:pos="850"/>
        </w:tabs>
        <w:ind w:left="2835" w:hanging="2835"/>
        <w:jc w:val="both"/>
        <w:rPr>
          <w:szCs w:val="24"/>
          <w:lang w:eastAsia="en-US"/>
        </w:rPr>
      </w:pPr>
    </w:p>
    <w:p w14:paraId="412DBA5E" w14:textId="77777777" w:rsidR="00E51CDD" w:rsidRPr="00FC6E3A" w:rsidRDefault="00E51CDD" w:rsidP="00E51CDD">
      <w:pPr>
        <w:widowControl w:val="0"/>
        <w:tabs>
          <w:tab w:val="left" w:pos="425"/>
          <w:tab w:val="left" w:pos="850"/>
        </w:tabs>
        <w:jc w:val="both"/>
        <w:rPr>
          <w:lang w:eastAsia="en-US"/>
        </w:rPr>
      </w:pPr>
      <w:r w:rsidRPr="00FC6E3A">
        <w:rPr>
          <w:lang w:eastAsia="en-US"/>
        </w:rPr>
        <w:t>After 48 hours of oral exposure, a mortality of 2.5% was observed at the final assessment after 48 in the untreated control group fed with pure sucrose solution. In the test item treatment, no mortality was observed after oral consumption ≤ 182 µg consumed BAS 736 00 F/bee, after 24 and 48 hours. At the highest dose level of 432 </w:t>
      </w:r>
      <w:r w:rsidRPr="00FC6E3A">
        <w:rPr>
          <w:lang w:val="de-DE" w:eastAsia="en-US"/>
        </w:rPr>
        <w:t>μ</w:t>
      </w:r>
      <w:r w:rsidRPr="00FC6E3A">
        <w:rPr>
          <w:lang w:eastAsia="en-US"/>
        </w:rPr>
        <w:t xml:space="preserve">g consumed BAS 736 00 F/bee a maximum mortality of 25.0 (corrected 23.1%) was observed after 48 hours. Behavioral abnormalities like affected and/or apathetic and/or moribund bees were observed in the treatment groups of the nominal dose levels of 114, 182, 267 and 432 </w:t>
      </w:r>
      <w:r w:rsidRPr="00FC6E3A">
        <w:rPr>
          <w:lang w:val="de-DE" w:eastAsia="en-US"/>
        </w:rPr>
        <w:t>μ</w:t>
      </w:r>
      <w:r w:rsidRPr="00FC6E3A">
        <w:rPr>
          <w:lang w:eastAsia="en-US"/>
        </w:rPr>
        <w:t xml:space="preserve">g BAS 736 00 F/bee. </w:t>
      </w:r>
    </w:p>
    <w:p w14:paraId="12537DDF" w14:textId="77777777" w:rsidR="00E51CDD" w:rsidRPr="00FC6E3A" w:rsidRDefault="00E51CDD" w:rsidP="00E51CDD">
      <w:pPr>
        <w:widowControl w:val="0"/>
        <w:tabs>
          <w:tab w:val="left" w:pos="425"/>
          <w:tab w:val="left" w:pos="850"/>
        </w:tabs>
        <w:jc w:val="both"/>
        <w:rPr>
          <w:color w:val="0070C0"/>
          <w:szCs w:val="24"/>
          <w:lang w:eastAsia="en-US"/>
        </w:rPr>
      </w:pPr>
    </w:p>
    <w:p w14:paraId="1BFFA589" w14:textId="3F9EE25F" w:rsidR="00E51CDD" w:rsidRPr="00FC6E3A" w:rsidRDefault="00E51CDD" w:rsidP="005A1138">
      <w:pPr>
        <w:widowControl w:val="0"/>
        <w:jc w:val="both"/>
        <w:rPr>
          <w:b/>
          <w:color w:val="0070C0"/>
        </w:rPr>
      </w:pPr>
      <w:r w:rsidRPr="00FC6E3A">
        <w:rPr>
          <w:b/>
          <w:bCs/>
        </w:rPr>
        <w:t>In an acute oral toxicity test with BAS 736 00 F on honey bees, the LD</w:t>
      </w:r>
      <w:r w:rsidRPr="00FC6E3A">
        <w:rPr>
          <w:b/>
          <w:bCs/>
          <w:vertAlign w:val="subscript"/>
        </w:rPr>
        <w:t>50</w:t>
      </w:r>
      <w:r w:rsidRPr="00FC6E3A">
        <w:rPr>
          <w:b/>
          <w:bCs/>
        </w:rPr>
        <w:t xml:space="preserve"> (48 h) was determined to be &gt; 432 µg consumed BAS 736 00 F/bee.</w:t>
      </w:r>
    </w:p>
    <w:p w14:paraId="397E3264" w14:textId="77777777" w:rsidR="00E51CDD" w:rsidRPr="00FC6E3A" w:rsidRDefault="00E51CDD" w:rsidP="00E51CDD">
      <w:pPr>
        <w:widowControl w:val="0"/>
        <w:tabs>
          <w:tab w:val="left" w:pos="425"/>
          <w:tab w:val="left" w:pos="850"/>
        </w:tabs>
        <w:jc w:val="both"/>
        <w:rPr>
          <w:b/>
          <w:color w:val="0070C0"/>
        </w:rPr>
      </w:pPr>
      <w:r>
        <w:rPr>
          <w:b/>
          <w:color w:val="0070C0"/>
        </w:rPr>
        <w:br w:type="page"/>
      </w:r>
    </w:p>
    <w:p w14:paraId="395FF3F4" w14:textId="77777777" w:rsidR="00E51CDD" w:rsidRPr="00FC6E3A" w:rsidRDefault="00E51CDD" w:rsidP="00E51CDD">
      <w:pPr>
        <w:widowControl w:val="0"/>
        <w:tabs>
          <w:tab w:val="left" w:pos="425"/>
          <w:tab w:val="left" w:pos="850"/>
        </w:tabs>
        <w:ind w:left="2835" w:hanging="2835"/>
        <w:jc w:val="both"/>
        <w:rPr>
          <w:b/>
        </w:rPr>
      </w:pPr>
      <w:r w:rsidRPr="00FC6E3A">
        <w:rPr>
          <w:b/>
        </w:rPr>
        <w:lastRenderedPageBreak/>
        <w:t>I.</w:t>
      </w:r>
      <w:r w:rsidRPr="00FC6E3A">
        <w:rPr>
          <w:b/>
        </w:rPr>
        <w:tab/>
        <w:t>MATERIALS AND METHODS</w:t>
      </w:r>
    </w:p>
    <w:p w14:paraId="311EB860" w14:textId="77777777" w:rsidR="00E51CDD" w:rsidRPr="00FC6E3A" w:rsidRDefault="00E51CDD" w:rsidP="00E51CDD">
      <w:pPr>
        <w:widowControl w:val="0"/>
        <w:jc w:val="both"/>
        <w:rPr>
          <w:sz w:val="24"/>
        </w:rPr>
      </w:pPr>
    </w:p>
    <w:p w14:paraId="02940176" w14:textId="77777777" w:rsidR="00E51CDD" w:rsidRPr="00FC6E3A" w:rsidRDefault="00E51CDD" w:rsidP="00E51CDD">
      <w:pPr>
        <w:tabs>
          <w:tab w:val="left" w:pos="425"/>
          <w:tab w:val="left" w:pos="850"/>
        </w:tabs>
        <w:ind w:left="2835" w:hanging="2835"/>
        <w:jc w:val="both"/>
        <w:rPr>
          <w:b/>
          <w:bCs/>
        </w:rPr>
      </w:pPr>
      <w:r w:rsidRPr="00FC6E3A">
        <w:rPr>
          <w:b/>
          <w:bCs/>
        </w:rPr>
        <w:t>A.</w:t>
      </w:r>
      <w:r w:rsidRPr="00FC6E3A">
        <w:rPr>
          <w:b/>
          <w:bCs/>
        </w:rPr>
        <w:tab/>
        <w:t>MATERIALS</w:t>
      </w:r>
    </w:p>
    <w:p w14:paraId="0308C365" w14:textId="77777777" w:rsidR="00E51CDD" w:rsidRPr="00FC6E3A" w:rsidRDefault="00E51CDD" w:rsidP="00E51CDD">
      <w:pPr>
        <w:widowControl w:val="0"/>
        <w:jc w:val="both"/>
        <w:rPr>
          <w:sz w:val="24"/>
        </w:rPr>
      </w:pPr>
    </w:p>
    <w:p w14:paraId="023C9DAA" w14:textId="77777777" w:rsidR="00E51CDD" w:rsidRPr="00FC6E3A" w:rsidRDefault="00E51CDD" w:rsidP="00E51CDD">
      <w:pPr>
        <w:widowControl w:val="0"/>
        <w:tabs>
          <w:tab w:val="left" w:pos="425"/>
          <w:tab w:val="left" w:pos="850"/>
        </w:tabs>
        <w:ind w:left="2268" w:hanging="2268"/>
        <w:jc w:val="both"/>
        <w:rPr>
          <w:szCs w:val="24"/>
        </w:rPr>
      </w:pPr>
      <w:r w:rsidRPr="00FC6E3A">
        <w:rPr>
          <w:szCs w:val="24"/>
          <w:lang w:eastAsia="en-US"/>
        </w:rPr>
        <w:t xml:space="preserve">Test item: </w:t>
      </w:r>
      <w:r w:rsidRPr="00FC6E3A">
        <w:rPr>
          <w:szCs w:val="24"/>
          <w:lang w:eastAsia="en-US"/>
        </w:rPr>
        <w:tab/>
      </w:r>
      <w:bookmarkStart w:id="1174" w:name="_Hlk82095941"/>
      <w:r w:rsidRPr="00FC6E3A">
        <w:rPr>
          <w:szCs w:val="24"/>
        </w:rPr>
        <w:t>BAS 736 00 F; batch no. FD-190220-0002; content of a.s.: azoxystrobin (BAS 9164 F, Reg. No. 300 254): 73.9 g/L analyzed (75.0</w:t>
      </w:r>
      <w:r w:rsidRPr="00FC6E3A">
        <w:t> g</w:t>
      </w:r>
      <w:r w:rsidRPr="00FC6E3A">
        <w:rPr>
          <w:szCs w:val="24"/>
        </w:rPr>
        <w:t>/L nominal), fluxapyroxad (BAS 700 F, Reg. No. 5 094 351): 49.4 g/L analyzed (50.0 g/L nominal); density: 1.078 g/cm³.</w:t>
      </w:r>
      <w:bookmarkEnd w:id="1174"/>
    </w:p>
    <w:p w14:paraId="6A792E0F" w14:textId="77777777" w:rsidR="00E51CDD" w:rsidRPr="00FC6E3A" w:rsidRDefault="00E51CDD" w:rsidP="00E51CDD">
      <w:pPr>
        <w:widowControl w:val="0"/>
        <w:tabs>
          <w:tab w:val="left" w:pos="425"/>
          <w:tab w:val="left" w:pos="850"/>
        </w:tabs>
        <w:ind w:left="2268" w:hanging="2268"/>
        <w:jc w:val="both"/>
        <w:rPr>
          <w:szCs w:val="24"/>
          <w:lang w:eastAsia="en-US"/>
        </w:rPr>
      </w:pPr>
    </w:p>
    <w:p w14:paraId="45E8ED93" w14:textId="77777777" w:rsidR="00E51CDD" w:rsidRPr="00FC6E3A" w:rsidRDefault="00E51CDD" w:rsidP="00E51CDD">
      <w:pPr>
        <w:tabs>
          <w:tab w:val="left" w:pos="425"/>
          <w:tab w:val="left" w:pos="850"/>
        </w:tabs>
        <w:ind w:left="2835" w:hanging="2835"/>
        <w:jc w:val="both"/>
        <w:rPr>
          <w:b/>
          <w:bCs/>
        </w:rPr>
      </w:pPr>
      <w:r w:rsidRPr="00FC6E3A">
        <w:rPr>
          <w:b/>
          <w:bCs/>
        </w:rPr>
        <w:t>B.</w:t>
      </w:r>
      <w:r w:rsidRPr="00FC6E3A">
        <w:rPr>
          <w:b/>
          <w:bCs/>
        </w:rPr>
        <w:tab/>
        <w:t>STUDY DESIGN</w:t>
      </w:r>
    </w:p>
    <w:p w14:paraId="13EF0842" w14:textId="77777777" w:rsidR="00E51CDD" w:rsidRPr="00FC6E3A" w:rsidRDefault="00E51CDD" w:rsidP="00E51CDD">
      <w:pPr>
        <w:widowControl w:val="0"/>
        <w:ind w:left="2268" w:hanging="2268"/>
        <w:jc w:val="both"/>
      </w:pPr>
    </w:p>
    <w:p w14:paraId="541C7603"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Test species:</w:t>
      </w:r>
      <w:r w:rsidRPr="00FC6E3A">
        <w:rPr>
          <w:szCs w:val="24"/>
          <w:lang w:eastAsia="en-US"/>
        </w:rPr>
        <w:tab/>
      </w:r>
      <w:bookmarkStart w:id="1175" w:name="_Hlk79675554"/>
      <w:r w:rsidRPr="00FC6E3A">
        <w:rPr>
          <w:szCs w:val="24"/>
          <w:lang w:eastAsia="en-US"/>
        </w:rPr>
        <w:t>Honey bee (</w:t>
      </w:r>
      <w:r w:rsidRPr="00FC6E3A">
        <w:rPr>
          <w:i/>
          <w:szCs w:val="24"/>
          <w:lang w:eastAsia="en-US"/>
        </w:rPr>
        <w:t xml:space="preserve">Apis mellifera </w:t>
      </w:r>
      <w:r w:rsidRPr="00FC6E3A">
        <w:rPr>
          <w:iCs/>
          <w:szCs w:val="24"/>
          <w:lang w:eastAsia="en-US"/>
        </w:rPr>
        <w:t xml:space="preserve">L.) </w:t>
      </w:r>
      <w:r w:rsidRPr="00FC6E3A">
        <w:rPr>
          <w:szCs w:val="24"/>
          <w:lang w:eastAsia="en-US"/>
        </w:rPr>
        <w:t>adult worker bees, derived from a healthy and queen-right colony</w:t>
      </w:r>
      <w:bookmarkStart w:id="1176" w:name="_Hlk82095922"/>
      <w:r w:rsidRPr="00FC6E3A">
        <w:rPr>
          <w:szCs w:val="24"/>
          <w:lang w:eastAsia="en-US"/>
        </w:rPr>
        <w:t xml:space="preserve">; </w:t>
      </w:r>
      <w:r w:rsidRPr="00FC6E3A">
        <w:t>brushed off the combs of the honey chamber and distributed into test cages one day before test start;</w:t>
      </w:r>
      <w:r w:rsidRPr="00FC6E3A">
        <w:rPr>
          <w:color w:val="0070C0"/>
          <w:szCs w:val="24"/>
          <w:lang w:eastAsia="en-US"/>
        </w:rPr>
        <w:t xml:space="preserve"> </w:t>
      </w:r>
      <w:r w:rsidRPr="00FC6E3A">
        <w:rPr>
          <w:szCs w:val="24"/>
          <w:lang w:eastAsia="en-US"/>
        </w:rPr>
        <w:t>source: Eurofins Agroscience Services Ecotox GmbH, Niefern-Öschelbronn, Germany</w:t>
      </w:r>
      <w:bookmarkEnd w:id="1176"/>
      <w:r w:rsidRPr="00FC6E3A">
        <w:rPr>
          <w:szCs w:val="24"/>
          <w:lang w:eastAsia="en-US"/>
        </w:rPr>
        <w:t>.</w:t>
      </w:r>
      <w:bookmarkEnd w:id="1175"/>
    </w:p>
    <w:p w14:paraId="62E8271B" w14:textId="77777777" w:rsidR="00E51CDD" w:rsidRPr="00FC6E3A" w:rsidRDefault="00E51CDD" w:rsidP="00E51CDD">
      <w:pPr>
        <w:widowControl w:val="0"/>
        <w:tabs>
          <w:tab w:val="left" w:pos="425"/>
          <w:tab w:val="left" w:pos="850"/>
        </w:tabs>
        <w:ind w:left="2268" w:hanging="2268"/>
        <w:jc w:val="both"/>
        <w:rPr>
          <w:szCs w:val="24"/>
          <w:lang w:eastAsia="en-US"/>
        </w:rPr>
      </w:pPr>
    </w:p>
    <w:p w14:paraId="7F3124BA"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Test design:</w:t>
      </w:r>
      <w:r w:rsidRPr="00FC6E3A">
        <w:rPr>
          <w:szCs w:val="24"/>
          <w:lang w:eastAsia="en-US"/>
        </w:rPr>
        <w:tab/>
        <w:t xml:space="preserve">In a 48-hour test, adult worker bees of </w:t>
      </w:r>
      <w:r w:rsidRPr="00FC6E3A">
        <w:rPr>
          <w:i/>
          <w:szCs w:val="24"/>
          <w:lang w:eastAsia="en-US"/>
        </w:rPr>
        <w:t>Apis mellifera</w:t>
      </w:r>
      <w:r w:rsidRPr="00FC6E3A">
        <w:rPr>
          <w:szCs w:val="24"/>
          <w:lang w:eastAsia="en-US"/>
        </w:rPr>
        <w:t xml:space="preserve"> L. were exposed orally to BAS 736 00 F via treated food (50% (w/v) aqueous sucrose solution). </w:t>
      </w:r>
      <w:r w:rsidRPr="00FC6E3A">
        <w:rPr>
          <w:rFonts w:eastAsia="Arial"/>
        </w:rPr>
        <w:t xml:space="preserve">The following treatment groups were set up: </w:t>
      </w:r>
      <w:r w:rsidRPr="00FC6E3A">
        <w:rPr>
          <w:szCs w:val="24"/>
          <w:lang w:eastAsia="en-US"/>
        </w:rPr>
        <w:t xml:space="preserve">5 concentration of the test item, 1 untreated control and 4 concentrations of the reference item with 6 replicates in the control and test item treatments </w:t>
      </w:r>
      <w:r w:rsidRPr="00FC6E3A">
        <w:t>with 4 replicates per dose rate and 10 bees per replicate, respectively.</w:t>
      </w:r>
      <w:r w:rsidRPr="00FC6E3A">
        <w:rPr>
          <w:szCs w:val="24"/>
          <w:lang w:eastAsia="en-US"/>
        </w:rPr>
        <w:t xml:space="preserve"> Assessments o</w:t>
      </w:r>
      <w:r w:rsidRPr="00FC6E3A">
        <w:t>f honey bee mortality and behavioral effects were done after 4, 24 and 48 hours.</w:t>
      </w:r>
    </w:p>
    <w:p w14:paraId="1B5ADF52" w14:textId="77777777" w:rsidR="00E51CDD" w:rsidRPr="00FC6E3A" w:rsidRDefault="00E51CDD" w:rsidP="00E51CDD">
      <w:pPr>
        <w:widowControl w:val="0"/>
        <w:tabs>
          <w:tab w:val="left" w:pos="425"/>
          <w:tab w:val="left" w:pos="850"/>
        </w:tabs>
        <w:ind w:left="2268" w:hanging="2268"/>
        <w:jc w:val="both"/>
        <w:rPr>
          <w:szCs w:val="24"/>
          <w:lang w:eastAsia="en-US"/>
        </w:rPr>
      </w:pPr>
    </w:p>
    <w:p w14:paraId="08360810" w14:textId="77777777" w:rsidR="00E51CDD" w:rsidRPr="00FC6E3A" w:rsidRDefault="00E51CDD" w:rsidP="00E51CDD">
      <w:pPr>
        <w:widowControl w:val="0"/>
        <w:tabs>
          <w:tab w:val="left" w:pos="425"/>
          <w:tab w:val="left" w:pos="850"/>
        </w:tabs>
        <w:ind w:left="2268" w:hanging="2268"/>
        <w:jc w:val="both"/>
        <w:rPr>
          <w:szCs w:val="24"/>
          <w:lang w:eastAsia="en-US"/>
        </w:rPr>
      </w:pPr>
      <w:bookmarkStart w:id="1177" w:name="_Hlk79675580"/>
      <w:r w:rsidRPr="00FC6E3A">
        <w:rPr>
          <w:szCs w:val="24"/>
          <w:lang w:eastAsia="en-US"/>
        </w:rPr>
        <w:t>Endpoints:</w:t>
      </w:r>
      <w:r w:rsidRPr="00FC6E3A">
        <w:rPr>
          <w:szCs w:val="24"/>
          <w:lang w:eastAsia="en-US"/>
        </w:rPr>
        <w:tab/>
        <w:t>Mortality (LD</w:t>
      </w:r>
      <w:r w:rsidRPr="00FC6E3A">
        <w:rPr>
          <w:szCs w:val="24"/>
          <w:vertAlign w:val="subscript"/>
          <w:lang w:eastAsia="en-US"/>
        </w:rPr>
        <w:t>50</w:t>
      </w:r>
      <w:r w:rsidRPr="00FC6E3A">
        <w:rPr>
          <w:szCs w:val="24"/>
          <w:lang w:eastAsia="en-US"/>
        </w:rPr>
        <w:t>)</w:t>
      </w:r>
      <w:r w:rsidRPr="00FC6E3A">
        <w:rPr>
          <w:lang w:eastAsia="en-US"/>
        </w:rPr>
        <w:t>, behavioral impairments</w:t>
      </w:r>
      <w:r w:rsidRPr="00FC6E3A">
        <w:rPr>
          <w:szCs w:val="24"/>
          <w:lang w:eastAsia="en-US"/>
        </w:rPr>
        <w:t>.</w:t>
      </w:r>
    </w:p>
    <w:p w14:paraId="1BDFF4ED" w14:textId="77777777" w:rsidR="00E51CDD" w:rsidRPr="00FC6E3A" w:rsidRDefault="00E51CDD" w:rsidP="00E51CDD">
      <w:pPr>
        <w:widowControl w:val="0"/>
        <w:tabs>
          <w:tab w:val="left" w:pos="425"/>
          <w:tab w:val="left" w:pos="850"/>
        </w:tabs>
        <w:ind w:left="2268" w:hanging="2268"/>
        <w:jc w:val="both"/>
        <w:rPr>
          <w:szCs w:val="24"/>
          <w:lang w:eastAsia="en-US"/>
        </w:rPr>
      </w:pPr>
    </w:p>
    <w:p w14:paraId="79C3FAE4"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 xml:space="preserve">Reference item: </w:t>
      </w:r>
      <w:r w:rsidRPr="00FC6E3A">
        <w:rPr>
          <w:szCs w:val="24"/>
          <w:lang w:eastAsia="en-US"/>
        </w:rPr>
        <w:tab/>
      </w:r>
      <w:bookmarkStart w:id="1178" w:name="_Hlk82096183"/>
      <w:bookmarkStart w:id="1179" w:name="_Hlk82095976"/>
      <w:r w:rsidRPr="00FC6E3A">
        <w:t>BAS 152 11 I</w:t>
      </w:r>
      <w:r w:rsidRPr="00FC6E3A">
        <w:rPr>
          <w:szCs w:val="24"/>
          <w:lang w:eastAsia="en-US"/>
        </w:rPr>
        <w:t xml:space="preserve"> </w:t>
      </w:r>
      <w:bookmarkEnd w:id="1178"/>
      <w:r w:rsidRPr="00FC6E3A">
        <w:rPr>
          <w:szCs w:val="24"/>
          <w:lang w:eastAsia="en-US"/>
        </w:rPr>
        <w:t>(a.s.: dimethoate, analyzed content: 429.0 g/L, nominal: 400 g/L).</w:t>
      </w:r>
      <w:bookmarkEnd w:id="1179"/>
    </w:p>
    <w:bookmarkEnd w:id="1177"/>
    <w:p w14:paraId="6E7CF203" w14:textId="77777777" w:rsidR="00E51CDD" w:rsidRPr="00FC6E3A" w:rsidRDefault="00E51CDD" w:rsidP="00E51CDD">
      <w:pPr>
        <w:widowControl w:val="0"/>
        <w:tabs>
          <w:tab w:val="left" w:pos="425"/>
          <w:tab w:val="left" w:pos="850"/>
        </w:tabs>
        <w:ind w:left="2268" w:hanging="2268"/>
        <w:jc w:val="both"/>
        <w:rPr>
          <w:szCs w:val="24"/>
          <w:lang w:eastAsia="en-US"/>
        </w:rPr>
      </w:pPr>
    </w:p>
    <w:p w14:paraId="4A5D6097"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Test concentrations:</w:t>
      </w:r>
      <w:r w:rsidRPr="00FC6E3A">
        <w:rPr>
          <w:szCs w:val="24"/>
          <w:lang w:eastAsia="en-US"/>
        </w:rPr>
        <w:tab/>
      </w:r>
      <w:bookmarkStart w:id="1180" w:name="_Hlk79675544"/>
      <w:r w:rsidRPr="00FC6E3A">
        <w:rPr>
          <w:szCs w:val="24"/>
          <w:lang w:eastAsia="en-US"/>
        </w:rPr>
        <w:t>Control: untreated</w:t>
      </w:r>
      <w:bookmarkEnd w:id="1180"/>
      <w:r w:rsidRPr="00FC6E3A">
        <w:rPr>
          <w:szCs w:val="24"/>
          <w:lang w:eastAsia="en-US"/>
        </w:rPr>
        <w:t xml:space="preserve"> sucrose solution (50% w/v); test item at dose rates of </w:t>
      </w:r>
      <w:bookmarkStart w:id="1181" w:name="_Hlk80172577"/>
      <w:r w:rsidRPr="00FC6E3A">
        <w:rPr>
          <w:szCs w:val="24"/>
          <w:lang w:eastAsia="en-US"/>
        </w:rPr>
        <w:t xml:space="preserve">62.5, 125, 250, 500 and 1000 </w:t>
      </w:r>
      <w:bookmarkEnd w:id="1181"/>
      <w:r w:rsidRPr="00FC6E3A">
        <w:rPr>
          <w:szCs w:val="24"/>
          <w:lang w:eastAsia="en-US"/>
        </w:rPr>
        <w:t>µg</w:t>
      </w:r>
      <w:r w:rsidRPr="00FC6E3A">
        <w:rPr>
          <w:szCs w:val="24"/>
        </w:rPr>
        <w:t xml:space="preserve"> BAS 736 00 F</w:t>
      </w:r>
      <w:r w:rsidRPr="00FC6E3A">
        <w:rPr>
          <w:szCs w:val="24"/>
          <w:lang w:eastAsia="en-US"/>
        </w:rPr>
        <w:t>/bee; reference item at dose rates of 0.06, 0.08, 0.11 and 0.14 µg a.s./bee.</w:t>
      </w:r>
      <w:bookmarkStart w:id="1182" w:name="_Hlk80172623"/>
    </w:p>
    <w:p w14:paraId="7B4F524D" w14:textId="77777777" w:rsidR="00E51CDD" w:rsidRPr="00FC6E3A" w:rsidRDefault="00E51CDD" w:rsidP="00E51CDD">
      <w:pPr>
        <w:widowControl w:val="0"/>
        <w:ind w:left="2268"/>
        <w:jc w:val="both"/>
        <w:rPr>
          <w:lang w:eastAsia="en-US"/>
        </w:rPr>
      </w:pPr>
      <w:r w:rsidRPr="00FC6E3A">
        <w:rPr>
          <w:lang w:eastAsia="en-US"/>
        </w:rPr>
        <w:t>Test item at dose rates (nominal):</w:t>
      </w:r>
    </w:p>
    <w:tbl>
      <w:tblPr>
        <w:tblStyle w:val="DAR00711"/>
        <w:tblW w:w="3786" w:type="pct"/>
        <w:tblInd w:w="2263" w:type="dxa"/>
        <w:tblLook w:val="04A0" w:firstRow="1" w:lastRow="0" w:firstColumn="1" w:lastColumn="0" w:noHBand="0" w:noVBand="1"/>
      </w:tblPr>
      <w:tblGrid>
        <w:gridCol w:w="1858"/>
        <w:gridCol w:w="1798"/>
        <w:gridCol w:w="1619"/>
        <w:gridCol w:w="1800"/>
      </w:tblGrid>
      <w:tr w:rsidR="00E51CDD" w:rsidRPr="00FC6E3A" w14:paraId="64EDBA1B" w14:textId="77777777" w:rsidTr="009938D9">
        <w:trPr>
          <w:trHeight w:val="247"/>
        </w:trPr>
        <w:tc>
          <w:tcPr>
            <w:tcW w:w="2584" w:type="pct"/>
            <w:gridSpan w:val="2"/>
            <w:vAlign w:val="center"/>
          </w:tcPr>
          <w:p w14:paraId="2D153ED2" w14:textId="77777777" w:rsidR="00E51CDD" w:rsidRPr="00FC6E3A" w:rsidRDefault="00E51CDD" w:rsidP="009938D9">
            <w:pPr>
              <w:widowControl w:val="0"/>
              <w:rPr>
                <w:sz w:val="20"/>
                <w:szCs w:val="24"/>
              </w:rPr>
            </w:pPr>
            <w:r w:rsidRPr="00FC6E3A">
              <w:rPr>
                <w:sz w:val="20"/>
                <w:szCs w:val="24"/>
              </w:rPr>
              <w:t>Nominal dose [µg/bee]</w:t>
            </w:r>
          </w:p>
        </w:tc>
        <w:tc>
          <w:tcPr>
            <w:tcW w:w="2416" w:type="pct"/>
            <w:gridSpan w:val="2"/>
            <w:vAlign w:val="center"/>
          </w:tcPr>
          <w:p w14:paraId="2317D908" w14:textId="77777777" w:rsidR="00E51CDD" w:rsidRPr="00FC6E3A" w:rsidRDefault="00E51CDD" w:rsidP="009938D9">
            <w:pPr>
              <w:widowControl w:val="0"/>
              <w:rPr>
                <w:sz w:val="20"/>
                <w:szCs w:val="24"/>
              </w:rPr>
            </w:pPr>
            <w:r w:rsidRPr="00FC6E3A">
              <w:rPr>
                <w:sz w:val="20"/>
                <w:szCs w:val="24"/>
              </w:rPr>
              <w:t>Consumed dose [µg/bee]</w:t>
            </w:r>
          </w:p>
        </w:tc>
      </w:tr>
      <w:tr w:rsidR="00E51CDD" w:rsidRPr="00FC6E3A" w14:paraId="68859EF4" w14:textId="77777777" w:rsidTr="009938D9">
        <w:trPr>
          <w:trHeight w:val="247"/>
        </w:trPr>
        <w:tc>
          <w:tcPr>
            <w:tcW w:w="1313" w:type="pct"/>
            <w:vAlign w:val="center"/>
          </w:tcPr>
          <w:p w14:paraId="0F09927A" w14:textId="77777777" w:rsidR="00E51CDD" w:rsidRPr="00FC6E3A" w:rsidRDefault="00E51CDD" w:rsidP="009938D9">
            <w:pPr>
              <w:widowControl w:val="0"/>
              <w:rPr>
                <w:sz w:val="20"/>
                <w:szCs w:val="24"/>
              </w:rPr>
            </w:pPr>
            <w:r w:rsidRPr="00FC6E3A">
              <w:rPr>
                <w:sz w:val="20"/>
                <w:szCs w:val="24"/>
              </w:rPr>
              <w:t>BAS 736 00 F</w:t>
            </w:r>
          </w:p>
          <w:p w14:paraId="7D44FEAD" w14:textId="77777777" w:rsidR="00E51CDD" w:rsidRPr="00FC6E3A" w:rsidRDefault="00E51CDD" w:rsidP="009938D9">
            <w:pPr>
              <w:widowControl w:val="0"/>
              <w:rPr>
                <w:sz w:val="20"/>
                <w:szCs w:val="24"/>
              </w:rPr>
            </w:pPr>
            <w:r w:rsidRPr="00FC6E3A">
              <w:rPr>
                <w:sz w:val="20"/>
                <w:szCs w:val="24"/>
              </w:rPr>
              <w:t>[µg/bee]</w:t>
            </w:r>
          </w:p>
        </w:tc>
        <w:tc>
          <w:tcPr>
            <w:tcW w:w="1271" w:type="pct"/>
            <w:vAlign w:val="center"/>
          </w:tcPr>
          <w:p w14:paraId="5AEB2111" w14:textId="77777777" w:rsidR="00E51CDD" w:rsidRPr="00FC6E3A" w:rsidRDefault="00E51CDD" w:rsidP="009938D9">
            <w:pPr>
              <w:widowControl w:val="0"/>
              <w:rPr>
                <w:b/>
                <w:sz w:val="20"/>
                <w:szCs w:val="24"/>
              </w:rPr>
            </w:pPr>
            <w:r w:rsidRPr="00FC6E3A">
              <w:rPr>
                <w:sz w:val="20"/>
                <w:szCs w:val="24"/>
              </w:rPr>
              <w:t>Total active substance [µg/bee]</w:t>
            </w:r>
          </w:p>
        </w:tc>
        <w:tc>
          <w:tcPr>
            <w:tcW w:w="1144" w:type="pct"/>
            <w:vAlign w:val="center"/>
          </w:tcPr>
          <w:p w14:paraId="09606A83" w14:textId="77777777" w:rsidR="00E51CDD" w:rsidRPr="00FC6E3A" w:rsidRDefault="00E51CDD" w:rsidP="009938D9">
            <w:pPr>
              <w:widowControl w:val="0"/>
              <w:rPr>
                <w:sz w:val="20"/>
                <w:szCs w:val="24"/>
              </w:rPr>
            </w:pPr>
            <w:r w:rsidRPr="00FC6E3A">
              <w:rPr>
                <w:sz w:val="20"/>
                <w:szCs w:val="24"/>
              </w:rPr>
              <w:t>BAS 736 00 F</w:t>
            </w:r>
          </w:p>
          <w:p w14:paraId="52E2D531" w14:textId="77777777" w:rsidR="00E51CDD" w:rsidRPr="00FC6E3A" w:rsidRDefault="00E51CDD" w:rsidP="009938D9">
            <w:pPr>
              <w:widowControl w:val="0"/>
              <w:rPr>
                <w:sz w:val="20"/>
                <w:szCs w:val="24"/>
              </w:rPr>
            </w:pPr>
            <w:r w:rsidRPr="00FC6E3A">
              <w:rPr>
                <w:sz w:val="20"/>
                <w:szCs w:val="24"/>
              </w:rPr>
              <w:t>[µg/bee]</w:t>
            </w:r>
          </w:p>
        </w:tc>
        <w:tc>
          <w:tcPr>
            <w:tcW w:w="1271" w:type="pct"/>
            <w:vAlign w:val="center"/>
          </w:tcPr>
          <w:p w14:paraId="63199C14" w14:textId="77777777" w:rsidR="00E51CDD" w:rsidRPr="00FC6E3A" w:rsidRDefault="00E51CDD" w:rsidP="009938D9">
            <w:pPr>
              <w:widowControl w:val="0"/>
              <w:rPr>
                <w:sz w:val="20"/>
                <w:szCs w:val="24"/>
              </w:rPr>
            </w:pPr>
            <w:r w:rsidRPr="00FC6E3A">
              <w:rPr>
                <w:sz w:val="20"/>
                <w:szCs w:val="24"/>
              </w:rPr>
              <w:t>Total active substance [µg/bee]</w:t>
            </w:r>
          </w:p>
        </w:tc>
      </w:tr>
      <w:tr w:rsidR="00E51CDD" w:rsidRPr="00FC6E3A" w14:paraId="13E50D99" w14:textId="77777777" w:rsidTr="009938D9">
        <w:trPr>
          <w:trHeight w:val="247"/>
        </w:trPr>
        <w:tc>
          <w:tcPr>
            <w:tcW w:w="1313" w:type="pct"/>
            <w:vAlign w:val="center"/>
          </w:tcPr>
          <w:p w14:paraId="692FE1DC" w14:textId="77777777" w:rsidR="00E51CDD" w:rsidRPr="00FC6E3A" w:rsidRDefault="00E51CDD" w:rsidP="009938D9">
            <w:pPr>
              <w:widowControl w:val="0"/>
              <w:rPr>
                <w:sz w:val="20"/>
                <w:szCs w:val="24"/>
              </w:rPr>
            </w:pPr>
            <w:r w:rsidRPr="00FC6E3A">
              <w:rPr>
                <w:sz w:val="20"/>
                <w:szCs w:val="24"/>
              </w:rPr>
              <w:t>62.5</w:t>
            </w:r>
          </w:p>
        </w:tc>
        <w:tc>
          <w:tcPr>
            <w:tcW w:w="1271" w:type="pct"/>
            <w:vAlign w:val="center"/>
          </w:tcPr>
          <w:p w14:paraId="6CF8B259" w14:textId="77777777" w:rsidR="00E51CDD" w:rsidRPr="00FC6E3A" w:rsidRDefault="00E51CDD" w:rsidP="009938D9">
            <w:pPr>
              <w:widowControl w:val="0"/>
              <w:rPr>
                <w:sz w:val="20"/>
                <w:szCs w:val="24"/>
              </w:rPr>
            </w:pPr>
            <w:r w:rsidRPr="00FC6E3A">
              <w:rPr>
                <w:sz w:val="20"/>
                <w:szCs w:val="24"/>
              </w:rPr>
              <w:t>7.25</w:t>
            </w:r>
          </w:p>
        </w:tc>
        <w:tc>
          <w:tcPr>
            <w:tcW w:w="1144" w:type="pct"/>
            <w:vAlign w:val="center"/>
          </w:tcPr>
          <w:p w14:paraId="1BDF0316" w14:textId="77777777" w:rsidR="00E51CDD" w:rsidRPr="00FC6E3A" w:rsidRDefault="00E51CDD" w:rsidP="009938D9">
            <w:pPr>
              <w:widowControl w:val="0"/>
              <w:rPr>
                <w:sz w:val="20"/>
                <w:szCs w:val="24"/>
              </w:rPr>
            </w:pPr>
            <w:r w:rsidRPr="00FC6E3A">
              <w:rPr>
                <w:sz w:val="20"/>
                <w:szCs w:val="24"/>
              </w:rPr>
              <w:t>64.6</w:t>
            </w:r>
          </w:p>
        </w:tc>
        <w:tc>
          <w:tcPr>
            <w:tcW w:w="1271" w:type="pct"/>
            <w:vAlign w:val="center"/>
          </w:tcPr>
          <w:p w14:paraId="5586151E" w14:textId="77777777" w:rsidR="00E51CDD" w:rsidRPr="00FC6E3A" w:rsidRDefault="00E51CDD" w:rsidP="009938D9">
            <w:pPr>
              <w:widowControl w:val="0"/>
              <w:rPr>
                <w:sz w:val="20"/>
                <w:szCs w:val="24"/>
              </w:rPr>
            </w:pPr>
            <w:r w:rsidRPr="00FC6E3A">
              <w:rPr>
                <w:sz w:val="20"/>
                <w:szCs w:val="24"/>
              </w:rPr>
              <w:t>7.49</w:t>
            </w:r>
          </w:p>
        </w:tc>
      </w:tr>
      <w:tr w:rsidR="00E51CDD" w:rsidRPr="00FC6E3A" w14:paraId="1D0F3730" w14:textId="77777777" w:rsidTr="009938D9">
        <w:trPr>
          <w:trHeight w:val="247"/>
        </w:trPr>
        <w:tc>
          <w:tcPr>
            <w:tcW w:w="1313" w:type="pct"/>
            <w:vAlign w:val="center"/>
          </w:tcPr>
          <w:p w14:paraId="5547570F" w14:textId="77777777" w:rsidR="00E51CDD" w:rsidRPr="00FC6E3A" w:rsidRDefault="00E51CDD" w:rsidP="009938D9">
            <w:pPr>
              <w:widowControl w:val="0"/>
              <w:rPr>
                <w:sz w:val="20"/>
                <w:szCs w:val="24"/>
              </w:rPr>
            </w:pPr>
            <w:r w:rsidRPr="00FC6E3A">
              <w:rPr>
                <w:sz w:val="20"/>
                <w:szCs w:val="24"/>
              </w:rPr>
              <w:t>125</w:t>
            </w:r>
          </w:p>
        </w:tc>
        <w:tc>
          <w:tcPr>
            <w:tcW w:w="1271" w:type="pct"/>
            <w:vAlign w:val="center"/>
          </w:tcPr>
          <w:p w14:paraId="2CE3C84C" w14:textId="77777777" w:rsidR="00E51CDD" w:rsidRPr="00FC6E3A" w:rsidRDefault="00E51CDD" w:rsidP="009938D9">
            <w:pPr>
              <w:widowControl w:val="0"/>
              <w:rPr>
                <w:sz w:val="20"/>
                <w:szCs w:val="24"/>
              </w:rPr>
            </w:pPr>
            <w:r w:rsidRPr="00FC6E3A">
              <w:rPr>
                <w:sz w:val="20"/>
                <w:szCs w:val="24"/>
              </w:rPr>
              <w:t>14.5</w:t>
            </w:r>
          </w:p>
        </w:tc>
        <w:tc>
          <w:tcPr>
            <w:tcW w:w="1144" w:type="pct"/>
            <w:vAlign w:val="center"/>
          </w:tcPr>
          <w:p w14:paraId="3987CA06" w14:textId="77777777" w:rsidR="00E51CDD" w:rsidRPr="00FC6E3A" w:rsidRDefault="00E51CDD" w:rsidP="009938D9">
            <w:pPr>
              <w:widowControl w:val="0"/>
              <w:rPr>
                <w:sz w:val="20"/>
                <w:szCs w:val="24"/>
              </w:rPr>
            </w:pPr>
            <w:r w:rsidRPr="00FC6E3A">
              <w:rPr>
                <w:sz w:val="20"/>
                <w:szCs w:val="24"/>
              </w:rPr>
              <w:t>114</w:t>
            </w:r>
          </w:p>
        </w:tc>
        <w:tc>
          <w:tcPr>
            <w:tcW w:w="1271" w:type="pct"/>
            <w:vAlign w:val="center"/>
          </w:tcPr>
          <w:p w14:paraId="295E2DC9" w14:textId="77777777" w:rsidR="00E51CDD" w:rsidRPr="00FC6E3A" w:rsidRDefault="00E51CDD" w:rsidP="009938D9">
            <w:pPr>
              <w:widowControl w:val="0"/>
              <w:rPr>
                <w:sz w:val="20"/>
                <w:szCs w:val="24"/>
              </w:rPr>
            </w:pPr>
            <w:r w:rsidRPr="00FC6E3A">
              <w:rPr>
                <w:sz w:val="20"/>
                <w:szCs w:val="24"/>
              </w:rPr>
              <w:t>13.2</w:t>
            </w:r>
          </w:p>
        </w:tc>
      </w:tr>
      <w:tr w:rsidR="00E51CDD" w:rsidRPr="00FC6E3A" w14:paraId="44448CBF" w14:textId="77777777" w:rsidTr="009938D9">
        <w:trPr>
          <w:trHeight w:val="247"/>
        </w:trPr>
        <w:tc>
          <w:tcPr>
            <w:tcW w:w="1313" w:type="pct"/>
            <w:vAlign w:val="center"/>
          </w:tcPr>
          <w:p w14:paraId="6BC4E4A2" w14:textId="77777777" w:rsidR="00E51CDD" w:rsidRPr="00FC6E3A" w:rsidRDefault="00E51CDD" w:rsidP="009938D9">
            <w:pPr>
              <w:widowControl w:val="0"/>
              <w:rPr>
                <w:sz w:val="20"/>
                <w:szCs w:val="24"/>
              </w:rPr>
            </w:pPr>
            <w:r w:rsidRPr="00FC6E3A">
              <w:rPr>
                <w:sz w:val="20"/>
                <w:szCs w:val="24"/>
              </w:rPr>
              <w:t>250</w:t>
            </w:r>
          </w:p>
        </w:tc>
        <w:tc>
          <w:tcPr>
            <w:tcW w:w="1271" w:type="pct"/>
            <w:vAlign w:val="center"/>
          </w:tcPr>
          <w:p w14:paraId="7B83FD87" w14:textId="77777777" w:rsidR="00E51CDD" w:rsidRPr="00FC6E3A" w:rsidRDefault="00E51CDD" w:rsidP="009938D9">
            <w:pPr>
              <w:widowControl w:val="0"/>
              <w:rPr>
                <w:sz w:val="20"/>
                <w:szCs w:val="24"/>
              </w:rPr>
            </w:pPr>
            <w:r w:rsidRPr="00FC6E3A">
              <w:rPr>
                <w:sz w:val="20"/>
                <w:szCs w:val="24"/>
              </w:rPr>
              <w:t>29.0</w:t>
            </w:r>
          </w:p>
        </w:tc>
        <w:tc>
          <w:tcPr>
            <w:tcW w:w="1144" w:type="pct"/>
            <w:vAlign w:val="center"/>
          </w:tcPr>
          <w:p w14:paraId="11A22CCA" w14:textId="77777777" w:rsidR="00E51CDD" w:rsidRPr="00FC6E3A" w:rsidRDefault="00E51CDD" w:rsidP="009938D9">
            <w:pPr>
              <w:widowControl w:val="0"/>
              <w:rPr>
                <w:sz w:val="20"/>
                <w:szCs w:val="24"/>
              </w:rPr>
            </w:pPr>
            <w:r w:rsidRPr="00FC6E3A">
              <w:rPr>
                <w:sz w:val="20"/>
                <w:szCs w:val="24"/>
              </w:rPr>
              <w:t>182</w:t>
            </w:r>
          </w:p>
        </w:tc>
        <w:tc>
          <w:tcPr>
            <w:tcW w:w="1271" w:type="pct"/>
            <w:vAlign w:val="center"/>
          </w:tcPr>
          <w:p w14:paraId="159D07E5" w14:textId="77777777" w:rsidR="00E51CDD" w:rsidRPr="00FC6E3A" w:rsidRDefault="00E51CDD" w:rsidP="009938D9">
            <w:pPr>
              <w:widowControl w:val="0"/>
              <w:rPr>
                <w:sz w:val="20"/>
                <w:szCs w:val="24"/>
              </w:rPr>
            </w:pPr>
            <w:r w:rsidRPr="00FC6E3A">
              <w:rPr>
                <w:sz w:val="20"/>
                <w:szCs w:val="24"/>
              </w:rPr>
              <w:t>21.1</w:t>
            </w:r>
          </w:p>
        </w:tc>
      </w:tr>
      <w:tr w:rsidR="00E51CDD" w:rsidRPr="00FC6E3A" w14:paraId="73FC58F6" w14:textId="77777777" w:rsidTr="009938D9">
        <w:trPr>
          <w:trHeight w:val="247"/>
        </w:trPr>
        <w:tc>
          <w:tcPr>
            <w:tcW w:w="1313" w:type="pct"/>
            <w:vAlign w:val="center"/>
          </w:tcPr>
          <w:p w14:paraId="14D849D7" w14:textId="77777777" w:rsidR="00E51CDD" w:rsidRPr="00FC6E3A" w:rsidRDefault="00E51CDD" w:rsidP="009938D9">
            <w:pPr>
              <w:widowControl w:val="0"/>
              <w:rPr>
                <w:sz w:val="20"/>
                <w:szCs w:val="24"/>
              </w:rPr>
            </w:pPr>
            <w:r w:rsidRPr="00FC6E3A">
              <w:rPr>
                <w:sz w:val="20"/>
                <w:szCs w:val="24"/>
              </w:rPr>
              <w:t>500</w:t>
            </w:r>
          </w:p>
        </w:tc>
        <w:tc>
          <w:tcPr>
            <w:tcW w:w="1271" w:type="pct"/>
            <w:vAlign w:val="center"/>
          </w:tcPr>
          <w:p w14:paraId="48957766" w14:textId="77777777" w:rsidR="00E51CDD" w:rsidRPr="00FC6E3A" w:rsidRDefault="00E51CDD" w:rsidP="009938D9">
            <w:pPr>
              <w:widowControl w:val="0"/>
              <w:rPr>
                <w:sz w:val="20"/>
                <w:szCs w:val="24"/>
              </w:rPr>
            </w:pPr>
            <w:r w:rsidRPr="00FC6E3A">
              <w:rPr>
                <w:sz w:val="20"/>
                <w:szCs w:val="24"/>
              </w:rPr>
              <w:t>58.0</w:t>
            </w:r>
          </w:p>
        </w:tc>
        <w:tc>
          <w:tcPr>
            <w:tcW w:w="1144" w:type="pct"/>
            <w:vAlign w:val="center"/>
          </w:tcPr>
          <w:p w14:paraId="29126A09" w14:textId="77777777" w:rsidR="00E51CDD" w:rsidRPr="00FC6E3A" w:rsidRDefault="00E51CDD" w:rsidP="009938D9">
            <w:pPr>
              <w:widowControl w:val="0"/>
              <w:rPr>
                <w:sz w:val="20"/>
                <w:szCs w:val="24"/>
              </w:rPr>
            </w:pPr>
            <w:r w:rsidRPr="00FC6E3A">
              <w:rPr>
                <w:sz w:val="20"/>
                <w:szCs w:val="24"/>
              </w:rPr>
              <w:t>267</w:t>
            </w:r>
          </w:p>
        </w:tc>
        <w:tc>
          <w:tcPr>
            <w:tcW w:w="1271" w:type="pct"/>
            <w:vAlign w:val="center"/>
          </w:tcPr>
          <w:p w14:paraId="427A96EA" w14:textId="77777777" w:rsidR="00E51CDD" w:rsidRPr="00FC6E3A" w:rsidRDefault="00E51CDD" w:rsidP="009938D9">
            <w:pPr>
              <w:widowControl w:val="0"/>
              <w:rPr>
                <w:sz w:val="20"/>
                <w:szCs w:val="24"/>
              </w:rPr>
            </w:pPr>
            <w:r w:rsidRPr="00FC6E3A">
              <w:rPr>
                <w:sz w:val="20"/>
                <w:szCs w:val="24"/>
              </w:rPr>
              <w:t>31.0</w:t>
            </w:r>
          </w:p>
        </w:tc>
      </w:tr>
      <w:tr w:rsidR="00E51CDD" w:rsidRPr="00FC6E3A" w14:paraId="096F9A25" w14:textId="77777777" w:rsidTr="009938D9">
        <w:trPr>
          <w:trHeight w:val="247"/>
        </w:trPr>
        <w:tc>
          <w:tcPr>
            <w:tcW w:w="1313" w:type="pct"/>
            <w:vAlign w:val="center"/>
          </w:tcPr>
          <w:p w14:paraId="32EDB9EC" w14:textId="77777777" w:rsidR="00E51CDD" w:rsidRPr="00FC6E3A" w:rsidRDefault="00E51CDD" w:rsidP="009938D9">
            <w:pPr>
              <w:widowControl w:val="0"/>
              <w:rPr>
                <w:sz w:val="20"/>
                <w:szCs w:val="24"/>
              </w:rPr>
            </w:pPr>
            <w:r w:rsidRPr="00FC6E3A">
              <w:rPr>
                <w:sz w:val="20"/>
                <w:szCs w:val="24"/>
              </w:rPr>
              <w:t>1000</w:t>
            </w:r>
          </w:p>
        </w:tc>
        <w:tc>
          <w:tcPr>
            <w:tcW w:w="1271" w:type="pct"/>
            <w:vAlign w:val="center"/>
          </w:tcPr>
          <w:p w14:paraId="65026394" w14:textId="77777777" w:rsidR="00E51CDD" w:rsidRPr="00FC6E3A" w:rsidRDefault="00E51CDD" w:rsidP="009938D9">
            <w:pPr>
              <w:widowControl w:val="0"/>
              <w:rPr>
                <w:sz w:val="20"/>
                <w:szCs w:val="24"/>
              </w:rPr>
            </w:pPr>
            <w:r w:rsidRPr="00FC6E3A">
              <w:rPr>
                <w:sz w:val="20"/>
                <w:szCs w:val="24"/>
              </w:rPr>
              <w:t>116</w:t>
            </w:r>
          </w:p>
        </w:tc>
        <w:tc>
          <w:tcPr>
            <w:tcW w:w="1144" w:type="pct"/>
            <w:vAlign w:val="center"/>
          </w:tcPr>
          <w:p w14:paraId="27B32498" w14:textId="77777777" w:rsidR="00E51CDD" w:rsidRPr="00FC6E3A" w:rsidRDefault="00E51CDD" w:rsidP="009938D9">
            <w:pPr>
              <w:widowControl w:val="0"/>
              <w:rPr>
                <w:sz w:val="20"/>
                <w:szCs w:val="24"/>
              </w:rPr>
            </w:pPr>
            <w:r w:rsidRPr="00FC6E3A">
              <w:rPr>
                <w:sz w:val="20"/>
                <w:szCs w:val="24"/>
              </w:rPr>
              <w:t>432</w:t>
            </w:r>
          </w:p>
        </w:tc>
        <w:tc>
          <w:tcPr>
            <w:tcW w:w="1271" w:type="pct"/>
            <w:vAlign w:val="center"/>
          </w:tcPr>
          <w:p w14:paraId="1E8FB06A" w14:textId="77777777" w:rsidR="00E51CDD" w:rsidRPr="00FC6E3A" w:rsidRDefault="00E51CDD" w:rsidP="009938D9">
            <w:pPr>
              <w:widowControl w:val="0"/>
              <w:rPr>
                <w:sz w:val="20"/>
                <w:szCs w:val="24"/>
              </w:rPr>
            </w:pPr>
            <w:r w:rsidRPr="00FC6E3A">
              <w:rPr>
                <w:sz w:val="20"/>
                <w:szCs w:val="24"/>
              </w:rPr>
              <w:t>50.1</w:t>
            </w:r>
          </w:p>
        </w:tc>
      </w:tr>
    </w:tbl>
    <w:p w14:paraId="1979236F" w14:textId="77777777" w:rsidR="00E51CDD" w:rsidRPr="00FC6E3A" w:rsidRDefault="00E51CDD" w:rsidP="00E51CDD">
      <w:pPr>
        <w:widowControl w:val="0"/>
        <w:tabs>
          <w:tab w:val="left" w:pos="425"/>
          <w:tab w:val="left" w:pos="850"/>
        </w:tabs>
        <w:ind w:left="2268" w:hanging="2268"/>
        <w:jc w:val="both"/>
        <w:rPr>
          <w:szCs w:val="24"/>
          <w:lang w:eastAsia="en-US"/>
        </w:rPr>
      </w:pPr>
    </w:p>
    <w:bookmarkEnd w:id="1182"/>
    <w:p w14:paraId="57511052"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Test conditions:</w:t>
      </w:r>
      <w:r w:rsidRPr="00FC6E3A">
        <w:rPr>
          <w:szCs w:val="24"/>
          <w:lang w:eastAsia="en-US"/>
        </w:rPr>
        <w:tab/>
      </w:r>
      <w:bookmarkStart w:id="1183" w:name="_Hlk82096209"/>
      <w:r w:rsidRPr="00FC6E3A">
        <w:rPr>
          <w:szCs w:val="24"/>
          <w:lang w:eastAsia="en-US"/>
        </w:rPr>
        <w:t xml:space="preserve">Temperature: 23.7 °C - 26.0 °C; relative humidity: 53.7% - 63.2%; photoperiod: 24 h darkness (with exception of diffuse artificial light during assessments and handling, only); food: 50% (w/v) sucrose solution, </w:t>
      </w:r>
      <w:r w:rsidRPr="00FC6E3A">
        <w:rPr>
          <w:i/>
          <w:iCs/>
          <w:szCs w:val="24"/>
          <w:lang w:eastAsia="en-US"/>
        </w:rPr>
        <w:t>ad libitum</w:t>
      </w:r>
      <w:r w:rsidRPr="00FC6E3A">
        <w:rPr>
          <w:szCs w:val="24"/>
          <w:lang w:eastAsia="en-US"/>
        </w:rPr>
        <w:t>.</w:t>
      </w:r>
      <w:bookmarkEnd w:id="1183"/>
    </w:p>
    <w:p w14:paraId="5BEC0011" w14:textId="77777777" w:rsidR="00E51CDD" w:rsidRPr="00FC6E3A" w:rsidRDefault="00E51CDD" w:rsidP="00E51CDD">
      <w:pPr>
        <w:widowControl w:val="0"/>
        <w:tabs>
          <w:tab w:val="left" w:pos="425"/>
          <w:tab w:val="left" w:pos="850"/>
        </w:tabs>
        <w:ind w:left="2268" w:hanging="2268"/>
        <w:jc w:val="both"/>
        <w:rPr>
          <w:szCs w:val="24"/>
          <w:lang w:eastAsia="en-US"/>
        </w:rPr>
      </w:pPr>
    </w:p>
    <w:p w14:paraId="07CB63B2"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Analytics:</w:t>
      </w:r>
      <w:r w:rsidRPr="00FC6E3A">
        <w:rPr>
          <w:szCs w:val="24"/>
          <w:lang w:eastAsia="en-US"/>
        </w:rPr>
        <w:tab/>
      </w:r>
      <w:r w:rsidRPr="00FC6E3A">
        <w:rPr>
          <w:rFonts w:eastAsia="PMingLiU"/>
        </w:rPr>
        <w:t>No analytical verification of the test item is required according to the current test guideline. Hence, no analytical verification was conducted</w:t>
      </w:r>
      <w:r w:rsidRPr="00FC6E3A">
        <w:t>.</w:t>
      </w:r>
    </w:p>
    <w:p w14:paraId="20BC5D23" w14:textId="77777777" w:rsidR="00E51CDD" w:rsidRPr="00FC6E3A" w:rsidRDefault="00E51CDD" w:rsidP="00E51CDD">
      <w:pPr>
        <w:widowControl w:val="0"/>
        <w:tabs>
          <w:tab w:val="left" w:pos="425"/>
          <w:tab w:val="left" w:pos="850"/>
        </w:tabs>
        <w:ind w:left="2268" w:hanging="2268"/>
        <w:jc w:val="both"/>
        <w:rPr>
          <w:szCs w:val="24"/>
          <w:lang w:eastAsia="en-US"/>
        </w:rPr>
      </w:pPr>
    </w:p>
    <w:p w14:paraId="754DC767" w14:textId="77777777" w:rsidR="00E51CDD" w:rsidRDefault="00E51CDD" w:rsidP="00E51CDD">
      <w:pPr>
        <w:widowControl w:val="0"/>
        <w:tabs>
          <w:tab w:val="left" w:pos="425"/>
          <w:tab w:val="left" w:pos="850"/>
        </w:tabs>
        <w:ind w:left="2268" w:hanging="2268"/>
        <w:jc w:val="both"/>
      </w:pPr>
      <w:r w:rsidRPr="00FC6E3A">
        <w:rPr>
          <w:szCs w:val="24"/>
          <w:lang w:eastAsia="en-US"/>
        </w:rPr>
        <w:t>Statistics:</w:t>
      </w:r>
      <w:r w:rsidRPr="00FC6E3A">
        <w:rPr>
          <w:szCs w:val="24"/>
          <w:lang w:eastAsia="en-US"/>
        </w:rPr>
        <w:tab/>
        <w:t xml:space="preserve">Descriptive statistics; </w:t>
      </w:r>
      <w:r w:rsidRPr="00FC6E3A">
        <w:t>Statistical program ToxRat Professional 3.3.0 was used to analyze the study data.</w:t>
      </w:r>
    </w:p>
    <w:p w14:paraId="43E7A365" w14:textId="77777777" w:rsidR="00E51CDD" w:rsidRDefault="00E51CDD" w:rsidP="00E51CDD">
      <w:pPr>
        <w:widowControl w:val="0"/>
        <w:tabs>
          <w:tab w:val="left" w:pos="425"/>
          <w:tab w:val="left" w:pos="850"/>
        </w:tabs>
        <w:ind w:left="2268" w:hanging="2268"/>
        <w:jc w:val="both"/>
      </w:pPr>
    </w:p>
    <w:p w14:paraId="28741F9A" w14:textId="77777777" w:rsidR="00E51CDD" w:rsidRPr="00FC6E3A" w:rsidRDefault="00E51CDD" w:rsidP="00E51CDD">
      <w:pPr>
        <w:widowControl w:val="0"/>
        <w:tabs>
          <w:tab w:val="left" w:pos="425"/>
          <w:tab w:val="left" w:pos="850"/>
        </w:tabs>
        <w:ind w:left="2268" w:hanging="2268"/>
        <w:jc w:val="both"/>
        <w:rPr>
          <w:b/>
          <w:color w:val="0070C0"/>
        </w:rPr>
      </w:pPr>
      <w:r>
        <w:rPr>
          <w:b/>
          <w:color w:val="0070C0"/>
        </w:rPr>
        <w:br w:type="page"/>
      </w:r>
    </w:p>
    <w:p w14:paraId="09ED1C7B" w14:textId="77777777" w:rsidR="00E51CDD" w:rsidRPr="00FC6E3A" w:rsidRDefault="00E51CDD" w:rsidP="00E51CDD">
      <w:pPr>
        <w:widowControl w:val="0"/>
        <w:tabs>
          <w:tab w:val="left" w:pos="425"/>
          <w:tab w:val="left" w:pos="850"/>
        </w:tabs>
        <w:ind w:left="2835" w:hanging="2835"/>
        <w:rPr>
          <w:b/>
        </w:rPr>
      </w:pPr>
      <w:r w:rsidRPr="00FC6E3A">
        <w:rPr>
          <w:b/>
        </w:rPr>
        <w:lastRenderedPageBreak/>
        <w:t>II.</w:t>
      </w:r>
      <w:r w:rsidRPr="00FC6E3A">
        <w:rPr>
          <w:b/>
        </w:rPr>
        <w:tab/>
        <w:t>RESULTS AND DISCUSSION</w:t>
      </w:r>
    </w:p>
    <w:p w14:paraId="686A63BD" w14:textId="77777777" w:rsidR="00E51CDD" w:rsidRPr="00FC6E3A" w:rsidRDefault="00E51CDD" w:rsidP="00E51CDD">
      <w:pPr>
        <w:widowControl w:val="0"/>
        <w:rPr>
          <w:sz w:val="24"/>
        </w:rPr>
      </w:pPr>
    </w:p>
    <w:p w14:paraId="54812752" w14:textId="3767F8C5" w:rsidR="00E51CDD" w:rsidRPr="00FC6E3A" w:rsidRDefault="00E51CDD" w:rsidP="00E51CDD">
      <w:pPr>
        <w:autoSpaceDE w:val="0"/>
        <w:autoSpaceDN w:val="0"/>
        <w:adjustRightInd w:val="0"/>
        <w:jc w:val="both"/>
      </w:pPr>
      <w:r w:rsidRPr="00FC6E3A">
        <w:rPr>
          <w:lang w:eastAsia="en-US"/>
        </w:rPr>
        <w:t xml:space="preserve">After 48 hours of oral exposure, </w:t>
      </w:r>
      <w:r w:rsidRPr="00FC6E3A">
        <w:t xml:space="preserve">a mortality of 2.5% was observed at the final assessment after 48 </w:t>
      </w:r>
      <w:r w:rsidRPr="00FC6E3A">
        <w:rPr>
          <w:lang w:eastAsia="en-US"/>
        </w:rPr>
        <w:t xml:space="preserve">in the untreated control group fed with pure sucrose solution. In the test item treatment, </w:t>
      </w:r>
      <w:r w:rsidRPr="00FC6E3A">
        <w:t>no mortality was observed after oral consumption ≤ 182 µg consumed BAS 736 00 F/bee, after 24 and 48 hours. At the highest dose level of 432 </w:t>
      </w:r>
      <w:r w:rsidRPr="00FC6E3A">
        <w:rPr>
          <w:lang w:val="de-DE"/>
        </w:rPr>
        <w:t>μ</w:t>
      </w:r>
      <w:r w:rsidRPr="00FC6E3A">
        <w:t xml:space="preserve">g consumed BAS 736 00 F/bee a maximum mortality of 25.0 (corrected 23.1%) was observed after 48 hours. Behavioral abnormalities like affected and/or apathetic and/or moribund bees were observed in the treatment groups of the nominal dose levels of 114, 182, 267 and 432 </w:t>
      </w:r>
      <w:r w:rsidRPr="00FC6E3A">
        <w:rPr>
          <w:lang w:val="de-DE"/>
        </w:rPr>
        <w:t>μ</w:t>
      </w:r>
      <w:r w:rsidRPr="00FC6E3A">
        <w:t xml:space="preserve">g </w:t>
      </w:r>
      <w:r w:rsidRPr="00FC6E3A">
        <w:rPr>
          <w:szCs w:val="24"/>
          <w:lang w:eastAsia="en-US"/>
        </w:rPr>
        <w:t>BAS 736 00 F</w:t>
      </w:r>
      <w:r w:rsidRPr="00FC6E3A">
        <w:t xml:space="preserve">/bee. </w:t>
      </w:r>
      <w:r w:rsidRPr="00FC6E3A">
        <w:rPr>
          <w:szCs w:val="24"/>
          <w:lang w:eastAsia="en-US"/>
        </w:rPr>
        <w:t xml:space="preserve">The results are summarized in </w:t>
      </w:r>
      <w:r>
        <w:rPr>
          <w:szCs w:val="24"/>
          <w:lang w:eastAsia="en-US"/>
        </w:rPr>
        <w:fldChar w:fldCharType="begin"/>
      </w:r>
      <w:r>
        <w:rPr>
          <w:szCs w:val="24"/>
          <w:lang w:eastAsia="en-US"/>
        </w:rPr>
        <w:instrText xml:space="preserve"> REF _Ref85436918 \h </w:instrText>
      </w:r>
      <w:r>
        <w:rPr>
          <w:szCs w:val="24"/>
          <w:lang w:eastAsia="en-US"/>
        </w:rPr>
      </w:r>
      <w:r>
        <w:rPr>
          <w:szCs w:val="24"/>
          <w:lang w:eastAsia="en-US"/>
        </w:rPr>
        <w:fldChar w:fldCharType="separate"/>
      </w:r>
      <w:r w:rsidR="00662F32" w:rsidRPr="00FC6E3A">
        <w:t xml:space="preserve">Table A </w:t>
      </w:r>
      <w:r w:rsidR="00662F32">
        <w:rPr>
          <w:noProof/>
        </w:rPr>
        <w:t>13</w:t>
      </w:r>
      <w:r>
        <w:rPr>
          <w:szCs w:val="24"/>
          <w:lang w:eastAsia="en-US"/>
        </w:rPr>
        <w:fldChar w:fldCharType="end"/>
      </w:r>
      <w:r w:rsidRPr="00FC6E3A">
        <w:rPr>
          <w:szCs w:val="24"/>
          <w:lang w:eastAsia="en-US"/>
        </w:rPr>
        <w:t>.</w:t>
      </w:r>
    </w:p>
    <w:p w14:paraId="79CE5093" w14:textId="77777777" w:rsidR="00E51CDD" w:rsidRPr="00FC6E3A" w:rsidRDefault="00E51CDD" w:rsidP="00E51CDD">
      <w:pPr>
        <w:widowControl w:val="0"/>
        <w:jc w:val="both"/>
        <w:rPr>
          <w:szCs w:val="24"/>
          <w:lang w:eastAsia="en-US"/>
        </w:rPr>
      </w:pPr>
    </w:p>
    <w:p w14:paraId="7AF604CB" w14:textId="3C0881E7" w:rsidR="00E51CDD" w:rsidRPr="00FC6E3A" w:rsidRDefault="00E51CDD" w:rsidP="00E51CDD">
      <w:pPr>
        <w:pStyle w:val="Legenda"/>
        <w:rPr>
          <w:sz w:val="22"/>
          <w:szCs w:val="22"/>
        </w:rPr>
      </w:pPr>
      <w:bookmarkStart w:id="1184" w:name="_Ref85436918"/>
      <w:r w:rsidRPr="00FC6E3A">
        <w:rPr>
          <w:sz w:val="22"/>
          <w:szCs w:val="22"/>
        </w:rPr>
        <w:t xml:space="preserve">Table A </w:t>
      </w:r>
      <w:r w:rsidRPr="00FC6E3A">
        <w:rPr>
          <w:sz w:val="22"/>
          <w:szCs w:val="22"/>
        </w:rPr>
        <w:fldChar w:fldCharType="begin"/>
      </w:r>
      <w:r w:rsidRPr="00FC6E3A">
        <w:rPr>
          <w:sz w:val="22"/>
          <w:szCs w:val="22"/>
        </w:rPr>
        <w:instrText xml:space="preserve"> SEQ Table_A \* ARABIC </w:instrText>
      </w:r>
      <w:r w:rsidRPr="00FC6E3A">
        <w:rPr>
          <w:sz w:val="22"/>
          <w:szCs w:val="22"/>
        </w:rPr>
        <w:fldChar w:fldCharType="separate"/>
      </w:r>
      <w:r w:rsidR="00662F32">
        <w:rPr>
          <w:noProof/>
          <w:sz w:val="22"/>
          <w:szCs w:val="22"/>
        </w:rPr>
        <w:t>13</w:t>
      </w:r>
      <w:r w:rsidRPr="00FC6E3A">
        <w:rPr>
          <w:sz w:val="22"/>
          <w:szCs w:val="22"/>
        </w:rPr>
        <w:fldChar w:fldCharType="end"/>
      </w:r>
      <w:bookmarkEnd w:id="1184"/>
      <w:r w:rsidRPr="00FC6E3A">
        <w:rPr>
          <w:sz w:val="22"/>
          <w:szCs w:val="22"/>
        </w:rPr>
        <w:t>:</w:t>
      </w:r>
      <w:r w:rsidRPr="00FC6E3A">
        <w:rPr>
          <w:sz w:val="22"/>
          <w:szCs w:val="22"/>
        </w:rPr>
        <w:tab/>
        <w:t>Effects of BAS 736 00 F to honey bees (</w:t>
      </w:r>
      <w:r w:rsidRPr="00FC6E3A">
        <w:rPr>
          <w:i/>
          <w:sz w:val="22"/>
          <w:szCs w:val="22"/>
        </w:rPr>
        <w:t>Apis mellifera</w:t>
      </w:r>
      <w:r w:rsidRPr="00FC6E3A">
        <w:rPr>
          <w:sz w:val="22"/>
          <w:szCs w:val="22"/>
        </w:rPr>
        <w:t>) in an oral toxicity test</w:t>
      </w:r>
    </w:p>
    <w:tbl>
      <w:tblPr>
        <w:tblStyle w:val="DAR00751"/>
        <w:tblW w:w="5021" w:type="pct"/>
        <w:tblInd w:w="-34" w:type="dxa"/>
        <w:tblLayout w:type="fixed"/>
        <w:tblLook w:val="04A0" w:firstRow="1" w:lastRow="0" w:firstColumn="1" w:lastColumn="0" w:noHBand="0" w:noVBand="1"/>
      </w:tblPr>
      <w:tblGrid>
        <w:gridCol w:w="1405"/>
        <w:gridCol w:w="1670"/>
        <w:gridCol w:w="1631"/>
        <w:gridCol w:w="1439"/>
        <w:gridCol w:w="1618"/>
        <w:gridCol w:w="1620"/>
      </w:tblGrid>
      <w:tr w:rsidR="00E51CDD" w:rsidRPr="00FC6E3A" w14:paraId="59E85A43" w14:textId="77777777" w:rsidTr="009938D9">
        <w:trPr>
          <w:trHeight w:val="308"/>
        </w:trPr>
        <w:tc>
          <w:tcPr>
            <w:tcW w:w="749" w:type="pct"/>
            <w:vMerge w:val="restart"/>
            <w:vAlign w:val="center"/>
          </w:tcPr>
          <w:p w14:paraId="4B22E771" w14:textId="77777777" w:rsidR="00E51CDD" w:rsidRPr="00FC6E3A" w:rsidRDefault="00E51CDD" w:rsidP="009938D9">
            <w:pPr>
              <w:jc w:val="center"/>
              <w:rPr>
                <w:b/>
                <w:sz w:val="20"/>
                <w:szCs w:val="20"/>
              </w:rPr>
            </w:pPr>
            <w:r w:rsidRPr="00FC6E3A">
              <w:rPr>
                <w:b/>
                <w:sz w:val="20"/>
                <w:szCs w:val="20"/>
              </w:rPr>
              <w:t>Treatment</w:t>
            </w:r>
          </w:p>
        </w:tc>
        <w:tc>
          <w:tcPr>
            <w:tcW w:w="890" w:type="pct"/>
            <w:vMerge w:val="restart"/>
            <w:vAlign w:val="center"/>
          </w:tcPr>
          <w:p w14:paraId="1515B218" w14:textId="77777777" w:rsidR="00E51CDD" w:rsidRPr="00FC6E3A" w:rsidRDefault="00E51CDD" w:rsidP="009938D9">
            <w:pPr>
              <w:jc w:val="center"/>
              <w:rPr>
                <w:b/>
                <w:sz w:val="20"/>
                <w:szCs w:val="20"/>
              </w:rPr>
            </w:pPr>
            <w:r w:rsidRPr="00FC6E3A">
              <w:rPr>
                <w:b/>
                <w:sz w:val="20"/>
                <w:szCs w:val="20"/>
              </w:rPr>
              <w:t>Dosage</w:t>
            </w:r>
            <w:r w:rsidRPr="00FC6E3A">
              <w:rPr>
                <w:b/>
                <w:sz w:val="20"/>
                <w:szCs w:val="20"/>
              </w:rPr>
              <w:br/>
              <w:t>[consumed]</w:t>
            </w:r>
          </w:p>
        </w:tc>
        <w:tc>
          <w:tcPr>
            <w:tcW w:w="1636" w:type="pct"/>
            <w:gridSpan w:val="2"/>
            <w:vAlign w:val="center"/>
          </w:tcPr>
          <w:p w14:paraId="7C5E069A" w14:textId="77777777" w:rsidR="00E51CDD" w:rsidRPr="00FC6E3A" w:rsidRDefault="00E51CDD" w:rsidP="009938D9">
            <w:pPr>
              <w:jc w:val="center"/>
              <w:rPr>
                <w:b/>
                <w:sz w:val="20"/>
                <w:szCs w:val="20"/>
              </w:rPr>
            </w:pPr>
            <w:r w:rsidRPr="00FC6E3A">
              <w:rPr>
                <w:b/>
                <w:sz w:val="20"/>
                <w:szCs w:val="20"/>
              </w:rPr>
              <w:t>After 24 hours</w:t>
            </w:r>
          </w:p>
        </w:tc>
        <w:tc>
          <w:tcPr>
            <w:tcW w:w="1725" w:type="pct"/>
            <w:gridSpan w:val="2"/>
            <w:vAlign w:val="center"/>
          </w:tcPr>
          <w:p w14:paraId="3E303184" w14:textId="77777777" w:rsidR="00E51CDD" w:rsidRPr="00FC6E3A" w:rsidRDefault="00E51CDD" w:rsidP="009938D9">
            <w:pPr>
              <w:jc w:val="center"/>
              <w:rPr>
                <w:b/>
                <w:sz w:val="20"/>
                <w:szCs w:val="20"/>
              </w:rPr>
            </w:pPr>
            <w:r w:rsidRPr="00FC6E3A">
              <w:rPr>
                <w:b/>
                <w:sz w:val="20"/>
                <w:szCs w:val="20"/>
              </w:rPr>
              <w:t>After 48 hours</w:t>
            </w:r>
          </w:p>
        </w:tc>
      </w:tr>
      <w:tr w:rsidR="00E51CDD" w:rsidRPr="00FC6E3A" w14:paraId="266DFEA6" w14:textId="77777777" w:rsidTr="009938D9">
        <w:trPr>
          <w:trHeight w:val="253"/>
        </w:trPr>
        <w:tc>
          <w:tcPr>
            <w:tcW w:w="749" w:type="pct"/>
            <w:vMerge/>
            <w:vAlign w:val="center"/>
          </w:tcPr>
          <w:p w14:paraId="41DB96DA" w14:textId="77777777" w:rsidR="00E51CDD" w:rsidRPr="00FC6E3A" w:rsidRDefault="00E51CDD" w:rsidP="009938D9">
            <w:pPr>
              <w:jc w:val="center"/>
              <w:rPr>
                <w:sz w:val="20"/>
                <w:szCs w:val="20"/>
              </w:rPr>
            </w:pPr>
          </w:p>
        </w:tc>
        <w:tc>
          <w:tcPr>
            <w:tcW w:w="890" w:type="pct"/>
            <w:vMerge/>
            <w:vAlign w:val="center"/>
          </w:tcPr>
          <w:p w14:paraId="20371339" w14:textId="77777777" w:rsidR="00E51CDD" w:rsidRPr="00FC6E3A" w:rsidRDefault="00E51CDD" w:rsidP="009938D9">
            <w:pPr>
              <w:jc w:val="center"/>
              <w:rPr>
                <w:sz w:val="20"/>
                <w:szCs w:val="20"/>
              </w:rPr>
            </w:pPr>
          </w:p>
        </w:tc>
        <w:tc>
          <w:tcPr>
            <w:tcW w:w="1636" w:type="pct"/>
            <w:gridSpan w:val="2"/>
          </w:tcPr>
          <w:p w14:paraId="7BE92601" w14:textId="77777777" w:rsidR="00E51CDD" w:rsidRPr="00FC6E3A" w:rsidRDefault="00E51CDD" w:rsidP="009938D9">
            <w:pPr>
              <w:jc w:val="center"/>
              <w:rPr>
                <w:b/>
                <w:sz w:val="20"/>
                <w:szCs w:val="20"/>
              </w:rPr>
            </w:pPr>
            <w:r w:rsidRPr="00FC6E3A">
              <w:rPr>
                <w:b/>
                <w:sz w:val="20"/>
                <w:szCs w:val="20"/>
              </w:rPr>
              <w:t xml:space="preserve">Mortality </w:t>
            </w:r>
            <w:r w:rsidRPr="00FC6E3A">
              <w:rPr>
                <w:b/>
                <w:bCs/>
                <w:sz w:val="20"/>
                <w:szCs w:val="20"/>
              </w:rPr>
              <w:t>[%]</w:t>
            </w:r>
          </w:p>
        </w:tc>
        <w:tc>
          <w:tcPr>
            <w:tcW w:w="1725" w:type="pct"/>
            <w:gridSpan w:val="2"/>
          </w:tcPr>
          <w:p w14:paraId="3A63EC53" w14:textId="77777777" w:rsidR="00E51CDD" w:rsidRPr="00FC6E3A" w:rsidRDefault="00E51CDD" w:rsidP="009938D9">
            <w:pPr>
              <w:jc w:val="center"/>
              <w:rPr>
                <w:b/>
                <w:sz w:val="20"/>
                <w:szCs w:val="20"/>
              </w:rPr>
            </w:pPr>
            <w:r w:rsidRPr="00FC6E3A">
              <w:rPr>
                <w:b/>
                <w:sz w:val="20"/>
                <w:szCs w:val="20"/>
              </w:rPr>
              <w:t xml:space="preserve">Mortality </w:t>
            </w:r>
            <w:r w:rsidRPr="00FC6E3A">
              <w:rPr>
                <w:b/>
                <w:bCs/>
                <w:sz w:val="20"/>
                <w:szCs w:val="20"/>
              </w:rPr>
              <w:t>[%]</w:t>
            </w:r>
          </w:p>
        </w:tc>
      </w:tr>
      <w:tr w:rsidR="00E51CDD" w:rsidRPr="00FC6E3A" w14:paraId="6C687B2E" w14:textId="77777777" w:rsidTr="009938D9">
        <w:trPr>
          <w:trHeight w:val="253"/>
        </w:trPr>
        <w:tc>
          <w:tcPr>
            <w:tcW w:w="749" w:type="pct"/>
            <w:vMerge/>
            <w:vAlign w:val="center"/>
          </w:tcPr>
          <w:p w14:paraId="64CEFF9E" w14:textId="77777777" w:rsidR="00E51CDD" w:rsidRPr="00FC6E3A" w:rsidRDefault="00E51CDD" w:rsidP="009938D9">
            <w:pPr>
              <w:jc w:val="center"/>
              <w:rPr>
                <w:sz w:val="20"/>
                <w:szCs w:val="20"/>
              </w:rPr>
            </w:pPr>
          </w:p>
        </w:tc>
        <w:tc>
          <w:tcPr>
            <w:tcW w:w="890" w:type="pct"/>
            <w:vMerge/>
            <w:vAlign w:val="center"/>
          </w:tcPr>
          <w:p w14:paraId="74313E04" w14:textId="77777777" w:rsidR="00E51CDD" w:rsidRPr="00FC6E3A" w:rsidRDefault="00E51CDD" w:rsidP="009938D9">
            <w:pPr>
              <w:jc w:val="center"/>
              <w:rPr>
                <w:sz w:val="20"/>
                <w:szCs w:val="20"/>
              </w:rPr>
            </w:pPr>
          </w:p>
        </w:tc>
        <w:tc>
          <w:tcPr>
            <w:tcW w:w="869" w:type="pct"/>
            <w:vAlign w:val="center"/>
          </w:tcPr>
          <w:p w14:paraId="202515B1" w14:textId="77777777" w:rsidR="00E51CDD" w:rsidRPr="00FC6E3A" w:rsidRDefault="00E51CDD" w:rsidP="009938D9">
            <w:pPr>
              <w:jc w:val="center"/>
              <w:rPr>
                <w:b/>
                <w:sz w:val="20"/>
                <w:szCs w:val="20"/>
              </w:rPr>
            </w:pPr>
            <w:r w:rsidRPr="00FC6E3A">
              <w:rPr>
                <w:b/>
                <w:sz w:val="20"/>
                <w:szCs w:val="20"/>
              </w:rPr>
              <w:t>total</w:t>
            </w:r>
          </w:p>
        </w:tc>
        <w:tc>
          <w:tcPr>
            <w:tcW w:w="767" w:type="pct"/>
            <w:vAlign w:val="center"/>
          </w:tcPr>
          <w:p w14:paraId="49BDF30E" w14:textId="77777777" w:rsidR="00E51CDD" w:rsidRPr="00FC6E3A" w:rsidRDefault="00E51CDD" w:rsidP="009938D9">
            <w:pPr>
              <w:jc w:val="center"/>
              <w:rPr>
                <w:b/>
                <w:sz w:val="20"/>
                <w:szCs w:val="20"/>
              </w:rPr>
            </w:pPr>
            <w:r w:rsidRPr="00FC6E3A">
              <w:rPr>
                <w:b/>
                <w:sz w:val="20"/>
                <w:szCs w:val="20"/>
              </w:rPr>
              <w:t>corr.</w:t>
            </w:r>
            <w:r w:rsidRPr="00FC6E3A">
              <w:rPr>
                <w:b/>
                <w:sz w:val="20"/>
                <w:szCs w:val="20"/>
                <w:vertAlign w:val="superscript"/>
              </w:rPr>
              <w:t xml:space="preserve"> 1)</w:t>
            </w:r>
          </w:p>
        </w:tc>
        <w:tc>
          <w:tcPr>
            <w:tcW w:w="862" w:type="pct"/>
            <w:vAlign w:val="center"/>
          </w:tcPr>
          <w:p w14:paraId="17222C11" w14:textId="77777777" w:rsidR="00E51CDD" w:rsidRPr="00FC6E3A" w:rsidRDefault="00E51CDD" w:rsidP="009938D9">
            <w:pPr>
              <w:jc w:val="center"/>
              <w:rPr>
                <w:b/>
                <w:sz w:val="20"/>
                <w:szCs w:val="20"/>
              </w:rPr>
            </w:pPr>
            <w:r w:rsidRPr="00FC6E3A">
              <w:rPr>
                <w:b/>
                <w:sz w:val="20"/>
                <w:szCs w:val="20"/>
              </w:rPr>
              <w:t>total</w:t>
            </w:r>
          </w:p>
        </w:tc>
        <w:tc>
          <w:tcPr>
            <w:tcW w:w="863" w:type="pct"/>
            <w:vAlign w:val="center"/>
          </w:tcPr>
          <w:p w14:paraId="150142B3" w14:textId="77777777" w:rsidR="00E51CDD" w:rsidRPr="00FC6E3A" w:rsidRDefault="00E51CDD" w:rsidP="009938D9">
            <w:pPr>
              <w:jc w:val="center"/>
              <w:rPr>
                <w:b/>
                <w:sz w:val="20"/>
                <w:szCs w:val="20"/>
              </w:rPr>
            </w:pPr>
            <w:r w:rsidRPr="00FC6E3A">
              <w:rPr>
                <w:b/>
                <w:sz w:val="20"/>
                <w:szCs w:val="20"/>
              </w:rPr>
              <w:t>corr.</w:t>
            </w:r>
            <w:r w:rsidRPr="00FC6E3A">
              <w:rPr>
                <w:b/>
                <w:sz w:val="20"/>
                <w:szCs w:val="20"/>
                <w:vertAlign w:val="superscript"/>
              </w:rPr>
              <w:t xml:space="preserve"> 1)</w:t>
            </w:r>
          </w:p>
        </w:tc>
      </w:tr>
      <w:tr w:rsidR="00E51CDD" w:rsidRPr="00FC6E3A" w14:paraId="6558ABB9" w14:textId="77777777" w:rsidTr="009938D9">
        <w:trPr>
          <w:trHeight w:val="373"/>
        </w:trPr>
        <w:tc>
          <w:tcPr>
            <w:tcW w:w="749" w:type="pct"/>
            <w:vAlign w:val="center"/>
          </w:tcPr>
          <w:p w14:paraId="7F4A8FB7" w14:textId="77777777" w:rsidR="00E51CDD" w:rsidRPr="00FC6E3A" w:rsidRDefault="00E51CDD" w:rsidP="009938D9">
            <w:pPr>
              <w:widowControl w:val="0"/>
              <w:overflowPunct w:val="0"/>
              <w:autoSpaceDE w:val="0"/>
              <w:autoSpaceDN w:val="0"/>
              <w:adjustRightInd w:val="0"/>
              <w:spacing w:before="40" w:after="40"/>
              <w:jc w:val="center"/>
              <w:textAlignment w:val="baseline"/>
              <w:rPr>
                <w:b/>
                <w:sz w:val="20"/>
                <w:szCs w:val="20"/>
              </w:rPr>
            </w:pPr>
            <w:r w:rsidRPr="00FC6E3A">
              <w:rPr>
                <w:b/>
                <w:sz w:val="20"/>
                <w:szCs w:val="20"/>
              </w:rPr>
              <w:t>Control</w:t>
            </w:r>
          </w:p>
        </w:tc>
        <w:tc>
          <w:tcPr>
            <w:tcW w:w="890" w:type="pct"/>
            <w:vAlign w:val="center"/>
          </w:tcPr>
          <w:p w14:paraId="6A7850FF" w14:textId="77777777" w:rsidR="00E51CDD" w:rsidRPr="00FC6E3A" w:rsidRDefault="00E51CDD" w:rsidP="009938D9">
            <w:pPr>
              <w:widowControl w:val="0"/>
              <w:overflowPunct w:val="0"/>
              <w:autoSpaceDE w:val="0"/>
              <w:autoSpaceDN w:val="0"/>
              <w:adjustRightInd w:val="0"/>
              <w:spacing w:before="40" w:after="40"/>
              <w:jc w:val="center"/>
              <w:textAlignment w:val="baseline"/>
              <w:rPr>
                <w:sz w:val="20"/>
                <w:szCs w:val="20"/>
              </w:rPr>
            </w:pPr>
            <w:r w:rsidRPr="00FC6E3A">
              <w:rPr>
                <w:sz w:val="20"/>
                <w:szCs w:val="20"/>
              </w:rPr>
              <w:t>Sucrose solution</w:t>
            </w:r>
          </w:p>
        </w:tc>
        <w:tc>
          <w:tcPr>
            <w:tcW w:w="869" w:type="pct"/>
            <w:vAlign w:val="center"/>
          </w:tcPr>
          <w:p w14:paraId="24C827AC" w14:textId="77777777" w:rsidR="00E51CDD" w:rsidRPr="00FC6E3A" w:rsidRDefault="00E51CDD" w:rsidP="009938D9">
            <w:pPr>
              <w:jc w:val="center"/>
              <w:rPr>
                <w:sz w:val="20"/>
                <w:szCs w:val="20"/>
              </w:rPr>
            </w:pPr>
            <w:r w:rsidRPr="00FC6E3A">
              <w:rPr>
                <w:sz w:val="20"/>
                <w:szCs w:val="20"/>
              </w:rPr>
              <w:t>0.0</w:t>
            </w:r>
          </w:p>
        </w:tc>
        <w:tc>
          <w:tcPr>
            <w:tcW w:w="767" w:type="pct"/>
            <w:vAlign w:val="center"/>
          </w:tcPr>
          <w:p w14:paraId="2DA6AD94" w14:textId="77777777" w:rsidR="00E51CDD" w:rsidRPr="00FC6E3A" w:rsidRDefault="00E51CDD" w:rsidP="009938D9">
            <w:pPr>
              <w:jc w:val="center"/>
              <w:rPr>
                <w:sz w:val="20"/>
                <w:szCs w:val="20"/>
              </w:rPr>
            </w:pPr>
            <w:r w:rsidRPr="00FC6E3A">
              <w:rPr>
                <w:sz w:val="20"/>
                <w:szCs w:val="20"/>
              </w:rPr>
              <w:t>--</w:t>
            </w:r>
          </w:p>
        </w:tc>
        <w:tc>
          <w:tcPr>
            <w:tcW w:w="862" w:type="pct"/>
            <w:vAlign w:val="center"/>
          </w:tcPr>
          <w:p w14:paraId="6E5DD42A" w14:textId="77777777" w:rsidR="00E51CDD" w:rsidRPr="00FC6E3A" w:rsidRDefault="00E51CDD" w:rsidP="009938D9">
            <w:pPr>
              <w:jc w:val="center"/>
              <w:rPr>
                <w:sz w:val="20"/>
                <w:szCs w:val="20"/>
              </w:rPr>
            </w:pPr>
            <w:r w:rsidRPr="00FC6E3A">
              <w:rPr>
                <w:sz w:val="20"/>
                <w:szCs w:val="20"/>
              </w:rPr>
              <w:t>2.5</w:t>
            </w:r>
          </w:p>
        </w:tc>
        <w:tc>
          <w:tcPr>
            <w:tcW w:w="863" w:type="pct"/>
            <w:vAlign w:val="center"/>
          </w:tcPr>
          <w:p w14:paraId="20A14173" w14:textId="77777777" w:rsidR="00E51CDD" w:rsidRPr="00FC6E3A" w:rsidRDefault="00E51CDD" w:rsidP="009938D9">
            <w:pPr>
              <w:jc w:val="center"/>
              <w:rPr>
                <w:sz w:val="20"/>
                <w:szCs w:val="20"/>
              </w:rPr>
            </w:pPr>
            <w:r w:rsidRPr="00FC6E3A">
              <w:rPr>
                <w:sz w:val="20"/>
                <w:szCs w:val="20"/>
              </w:rPr>
              <w:t>--</w:t>
            </w:r>
          </w:p>
        </w:tc>
      </w:tr>
      <w:tr w:rsidR="00E51CDD" w:rsidRPr="00FC6E3A" w14:paraId="2CB37171" w14:textId="77777777" w:rsidTr="009938D9">
        <w:trPr>
          <w:trHeight w:val="372"/>
        </w:trPr>
        <w:tc>
          <w:tcPr>
            <w:tcW w:w="749" w:type="pct"/>
            <w:vMerge w:val="restart"/>
            <w:vAlign w:val="center"/>
          </w:tcPr>
          <w:p w14:paraId="15C0B4F9" w14:textId="77777777" w:rsidR="00E51CDD" w:rsidRPr="00FC6E3A" w:rsidRDefault="00E51CDD" w:rsidP="009938D9">
            <w:pPr>
              <w:jc w:val="center"/>
              <w:rPr>
                <w:sz w:val="20"/>
                <w:szCs w:val="20"/>
              </w:rPr>
            </w:pPr>
            <w:r w:rsidRPr="00FC6E3A">
              <w:rPr>
                <w:b/>
                <w:sz w:val="20"/>
                <w:szCs w:val="20"/>
              </w:rPr>
              <w:t>BAS 736 00 F</w:t>
            </w:r>
            <w:r w:rsidRPr="00FC6E3A">
              <w:rPr>
                <w:b/>
                <w:sz w:val="20"/>
                <w:szCs w:val="20"/>
              </w:rPr>
              <w:br/>
            </w:r>
            <w:r w:rsidRPr="00FC6E3A">
              <w:rPr>
                <w:b/>
                <w:bCs/>
                <w:sz w:val="20"/>
                <w:szCs w:val="20"/>
              </w:rPr>
              <w:t>[µg/bee]</w:t>
            </w:r>
          </w:p>
        </w:tc>
        <w:tc>
          <w:tcPr>
            <w:tcW w:w="890" w:type="pct"/>
            <w:vAlign w:val="center"/>
          </w:tcPr>
          <w:p w14:paraId="1CEB62FD" w14:textId="77777777" w:rsidR="00E51CDD" w:rsidRPr="00FC6E3A" w:rsidRDefault="00E51CDD" w:rsidP="009938D9">
            <w:pPr>
              <w:jc w:val="center"/>
              <w:rPr>
                <w:sz w:val="20"/>
                <w:szCs w:val="20"/>
              </w:rPr>
            </w:pPr>
            <w:r w:rsidRPr="00FC6E3A">
              <w:rPr>
                <w:sz w:val="20"/>
                <w:szCs w:val="24"/>
              </w:rPr>
              <w:t>64.6</w:t>
            </w:r>
          </w:p>
        </w:tc>
        <w:tc>
          <w:tcPr>
            <w:tcW w:w="869" w:type="pct"/>
            <w:vAlign w:val="center"/>
          </w:tcPr>
          <w:p w14:paraId="0D415609" w14:textId="77777777" w:rsidR="00E51CDD" w:rsidRPr="00FC6E3A" w:rsidRDefault="00E51CDD" w:rsidP="009938D9">
            <w:pPr>
              <w:jc w:val="center"/>
              <w:rPr>
                <w:sz w:val="20"/>
                <w:szCs w:val="20"/>
              </w:rPr>
            </w:pPr>
            <w:r w:rsidRPr="00FC6E3A">
              <w:rPr>
                <w:sz w:val="20"/>
                <w:szCs w:val="20"/>
              </w:rPr>
              <w:t>0.0</w:t>
            </w:r>
          </w:p>
        </w:tc>
        <w:tc>
          <w:tcPr>
            <w:tcW w:w="767" w:type="pct"/>
            <w:vAlign w:val="center"/>
          </w:tcPr>
          <w:p w14:paraId="1E8E4DBF" w14:textId="77777777" w:rsidR="00E51CDD" w:rsidRPr="00FC6E3A" w:rsidRDefault="00E51CDD" w:rsidP="009938D9">
            <w:pPr>
              <w:jc w:val="center"/>
              <w:rPr>
                <w:sz w:val="20"/>
                <w:szCs w:val="20"/>
              </w:rPr>
            </w:pPr>
            <w:r w:rsidRPr="00FC6E3A">
              <w:rPr>
                <w:sz w:val="20"/>
                <w:szCs w:val="20"/>
              </w:rPr>
              <w:t>--</w:t>
            </w:r>
          </w:p>
        </w:tc>
        <w:tc>
          <w:tcPr>
            <w:tcW w:w="862" w:type="pct"/>
            <w:vAlign w:val="center"/>
          </w:tcPr>
          <w:p w14:paraId="54494DE2" w14:textId="77777777" w:rsidR="00E51CDD" w:rsidRPr="00FC6E3A" w:rsidRDefault="00E51CDD" w:rsidP="009938D9">
            <w:pPr>
              <w:jc w:val="center"/>
              <w:rPr>
                <w:sz w:val="20"/>
                <w:szCs w:val="20"/>
              </w:rPr>
            </w:pPr>
            <w:r w:rsidRPr="00FC6E3A">
              <w:rPr>
                <w:sz w:val="20"/>
                <w:szCs w:val="20"/>
              </w:rPr>
              <w:t>0.0</w:t>
            </w:r>
          </w:p>
        </w:tc>
        <w:tc>
          <w:tcPr>
            <w:tcW w:w="863" w:type="pct"/>
            <w:vAlign w:val="center"/>
          </w:tcPr>
          <w:p w14:paraId="1B3DCB78" w14:textId="77777777" w:rsidR="00E51CDD" w:rsidRPr="00FC6E3A" w:rsidRDefault="00E51CDD" w:rsidP="009938D9">
            <w:pPr>
              <w:jc w:val="center"/>
              <w:rPr>
                <w:sz w:val="20"/>
                <w:szCs w:val="20"/>
              </w:rPr>
            </w:pPr>
            <w:r w:rsidRPr="00FC6E3A">
              <w:rPr>
                <w:sz w:val="20"/>
                <w:szCs w:val="20"/>
              </w:rPr>
              <w:t>0.0</w:t>
            </w:r>
          </w:p>
        </w:tc>
      </w:tr>
      <w:tr w:rsidR="00E51CDD" w:rsidRPr="00FC6E3A" w14:paraId="0DA5B71C" w14:textId="77777777" w:rsidTr="009938D9">
        <w:trPr>
          <w:trHeight w:val="372"/>
        </w:trPr>
        <w:tc>
          <w:tcPr>
            <w:tcW w:w="749" w:type="pct"/>
            <w:vMerge/>
            <w:vAlign w:val="center"/>
          </w:tcPr>
          <w:p w14:paraId="7B13D463" w14:textId="77777777" w:rsidR="00E51CDD" w:rsidRPr="00FC6E3A" w:rsidRDefault="00E51CDD" w:rsidP="009938D9">
            <w:pPr>
              <w:jc w:val="center"/>
              <w:rPr>
                <w:b/>
                <w:color w:val="0070C0"/>
                <w:sz w:val="20"/>
                <w:szCs w:val="20"/>
              </w:rPr>
            </w:pPr>
          </w:p>
        </w:tc>
        <w:tc>
          <w:tcPr>
            <w:tcW w:w="890" w:type="pct"/>
            <w:vAlign w:val="center"/>
          </w:tcPr>
          <w:p w14:paraId="42C7E016" w14:textId="77777777" w:rsidR="00E51CDD" w:rsidRPr="00FC6E3A" w:rsidRDefault="00E51CDD" w:rsidP="009938D9">
            <w:pPr>
              <w:jc w:val="center"/>
              <w:rPr>
                <w:sz w:val="20"/>
                <w:szCs w:val="20"/>
              </w:rPr>
            </w:pPr>
            <w:r w:rsidRPr="00FC6E3A">
              <w:rPr>
                <w:sz w:val="20"/>
                <w:szCs w:val="24"/>
              </w:rPr>
              <w:t>114</w:t>
            </w:r>
          </w:p>
        </w:tc>
        <w:tc>
          <w:tcPr>
            <w:tcW w:w="869" w:type="pct"/>
            <w:vAlign w:val="center"/>
          </w:tcPr>
          <w:p w14:paraId="08EC8B3B" w14:textId="77777777" w:rsidR="00E51CDD" w:rsidRPr="00FC6E3A" w:rsidRDefault="00E51CDD" w:rsidP="009938D9">
            <w:pPr>
              <w:jc w:val="center"/>
              <w:rPr>
                <w:sz w:val="20"/>
                <w:szCs w:val="20"/>
              </w:rPr>
            </w:pPr>
            <w:r w:rsidRPr="00FC6E3A">
              <w:rPr>
                <w:sz w:val="20"/>
                <w:szCs w:val="20"/>
              </w:rPr>
              <w:t>0.0</w:t>
            </w:r>
          </w:p>
        </w:tc>
        <w:tc>
          <w:tcPr>
            <w:tcW w:w="767" w:type="pct"/>
            <w:vAlign w:val="center"/>
          </w:tcPr>
          <w:p w14:paraId="75A604BD" w14:textId="77777777" w:rsidR="00E51CDD" w:rsidRPr="00FC6E3A" w:rsidRDefault="00E51CDD" w:rsidP="009938D9">
            <w:pPr>
              <w:jc w:val="center"/>
              <w:rPr>
                <w:sz w:val="20"/>
                <w:szCs w:val="20"/>
              </w:rPr>
            </w:pPr>
            <w:r w:rsidRPr="00FC6E3A">
              <w:rPr>
                <w:sz w:val="20"/>
                <w:szCs w:val="20"/>
              </w:rPr>
              <w:t>--</w:t>
            </w:r>
          </w:p>
        </w:tc>
        <w:tc>
          <w:tcPr>
            <w:tcW w:w="862" w:type="pct"/>
            <w:vAlign w:val="center"/>
          </w:tcPr>
          <w:p w14:paraId="7D10AA3D" w14:textId="77777777" w:rsidR="00E51CDD" w:rsidRPr="00FC6E3A" w:rsidRDefault="00E51CDD" w:rsidP="009938D9">
            <w:pPr>
              <w:jc w:val="center"/>
              <w:rPr>
                <w:sz w:val="20"/>
                <w:szCs w:val="20"/>
              </w:rPr>
            </w:pPr>
            <w:r w:rsidRPr="00FC6E3A">
              <w:rPr>
                <w:sz w:val="20"/>
                <w:szCs w:val="20"/>
              </w:rPr>
              <w:t>0.0</w:t>
            </w:r>
          </w:p>
        </w:tc>
        <w:tc>
          <w:tcPr>
            <w:tcW w:w="863" w:type="pct"/>
            <w:vAlign w:val="center"/>
          </w:tcPr>
          <w:p w14:paraId="035FCF70" w14:textId="77777777" w:rsidR="00E51CDD" w:rsidRPr="00FC6E3A" w:rsidRDefault="00E51CDD" w:rsidP="009938D9">
            <w:pPr>
              <w:jc w:val="center"/>
              <w:rPr>
                <w:sz w:val="20"/>
                <w:szCs w:val="20"/>
              </w:rPr>
            </w:pPr>
            <w:r w:rsidRPr="00FC6E3A">
              <w:rPr>
                <w:sz w:val="20"/>
                <w:szCs w:val="20"/>
              </w:rPr>
              <w:t>0.0</w:t>
            </w:r>
          </w:p>
        </w:tc>
      </w:tr>
      <w:tr w:rsidR="00E51CDD" w:rsidRPr="00FC6E3A" w14:paraId="7D131BB2" w14:textId="77777777" w:rsidTr="009938D9">
        <w:trPr>
          <w:trHeight w:val="372"/>
        </w:trPr>
        <w:tc>
          <w:tcPr>
            <w:tcW w:w="749" w:type="pct"/>
            <w:vMerge/>
            <w:vAlign w:val="center"/>
          </w:tcPr>
          <w:p w14:paraId="296E6239" w14:textId="77777777" w:rsidR="00E51CDD" w:rsidRPr="00FC6E3A" w:rsidRDefault="00E51CDD" w:rsidP="009938D9">
            <w:pPr>
              <w:jc w:val="center"/>
              <w:rPr>
                <w:b/>
                <w:color w:val="0070C0"/>
                <w:sz w:val="20"/>
                <w:szCs w:val="20"/>
              </w:rPr>
            </w:pPr>
          </w:p>
        </w:tc>
        <w:tc>
          <w:tcPr>
            <w:tcW w:w="890" w:type="pct"/>
            <w:vAlign w:val="center"/>
          </w:tcPr>
          <w:p w14:paraId="0ABAEF44" w14:textId="77777777" w:rsidR="00E51CDD" w:rsidRPr="00FC6E3A" w:rsidRDefault="00E51CDD" w:rsidP="009938D9">
            <w:pPr>
              <w:jc w:val="center"/>
              <w:rPr>
                <w:sz w:val="20"/>
                <w:szCs w:val="20"/>
              </w:rPr>
            </w:pPr>
            <w:r w:rsidRPr="00FC6E3A">
              <w:rPr>
                <w:sz w:val="20"/>
                <w:szCs w:val="24"/>
              </w:rPr>
              <w:t>182</w:t>
            </w:r>
          </w:p>
        </w:tc>
        <w:tc>
          <w:tcPr>
            <w:tcW w:w="869" w:type="pct"/>
            <w:vAlign w:val="center"/>
          </w:tcPr>
          <w:p w14:paraId="4079ACEA" w14:textId="77777777" w:rsidR="00E51CDD" w:rsidRPr="00FC6E3A" w:rsidRDefault="00E51CDD" w:rsidP="009938D9">
            <w:pPr>
              <w:jc w:val="center"/>
              <w:rPr>
                <w:sz w:val="20"/>
                <w:szCs w:val="20"/>
              </w:rPr>
            </w:pPr>
            <w:r w:rsidRPr="00FC6E3A">
              <w:rPr>
                <w:sz w:val="20"/>
                <w:szCs w:val="20"/>
              </w:rPr>
              <w:t>0.0</w:t>
            </w:r>
          </w:p>
        </w:tc>
        <w:tc>
          <w:tcPr>
            <w:tcW w:w="767" w:type="pct"/>
            <w:vAlign w:val="center"/>
          </w:tcPr>
          <w:p w14:paraId="16EB631A" w14:textId="77777777" w:rsidR="00E51CDD" w:rsidRPr="00FC6E3A" w:rsidRDefault="00E51CDD" w:rsidP="009938D9">
            <w:pPr>
              <w:jc w:val="center"/>
              <w:rPr>
                <w:sz w:val="20"/>
                <w:szCs w:val="20"/>
              </w:rPr>
            </w:pPr>
            <w:r w:rsidRPr="00FC6E3A">
              <w:rPr>
                <w:sz w:val="20"/>
                <w:szCs w:val="20"/>
              </w:rPr>
              <w:t>--</w:t>
            </w:r>
          </w:p>
        </w:tc>
        <w:tc>
          <w:tcPr>
            <w:tcW w:w="862" w:type="pct"/>
            <w:vAlign w:val="center"/>
          </w:tcPr>
          <w:p w14:paraId="5F45AAF8" w14:textId="77777777" w:rsidR="00E51CDD" w:rsidRPr="00FC6E3A" w:rsidRDefault="00E51CDD" w:rsidP="009938D9">
            <w:pPr>
              <w:jc w:val="center"/>
              <w:rPr>
                <w:sz w:val="20"/>
                <w:szCs w:val="20"/>
              </w:rPr>
            </w:pPr>
            <w:r w:rsidRPr="00FC6E3A">
              <w:rPr>
                <w:sz w:val="20"/>
                <w:szCs w:val="20"/>
              </w:rPr>
              <w:t>0.0</w:t>
            </w:r>
          </w:p>
        </w:tc>
        <w:tc>
          <w:tcPr>
            <w:tcW w:w="863" w:type="pct"/>
            <w:vAlign w:val="center"/>
          </w:tcPr>
          <w:p w14:paraId="0EBCD3B9" w14:textId="77777777" w:rsidR="00E51CDD" w:rsidRPr="00FC6E3A" w:rsidRDefault="00E51CDD" w:rsidP="009938D9">
            <w:pPr>
              <w:jc w:val="center"/>
              <w:rPr>
                <w:sz w:val="20"/>
                <w:szCs w:val="20"/>
              </w:rPr>
            </w:pPr>
            <w:r w:rsidRPr="00FC6E3A">
              <w:rPr>
                <w:sz w:val="20"/>
                <w:szCs w:val="20"/>
              </w:rPr>
              <w:t>0.0</w:t>
            </w:r>
          </w:p>
        </w:tc>
      </w:tr>
      <w:tr w:rsidR="00E51CDD" w:rsidRPr="00FC6E3A" w14:paraId="744DBF54" w14:textId="77777777" w:rsidTr="009938D9">
        <w:trPr>
          <w:trHeight w:val="372"/>
        </w:trPr>
        <w:tc>
          <w:tcPr>
            <w:tcW w:w="749" w:type="pct"/>
            <w:vMerge/>
            <w:vAlign w:val="center"/>
          </w:tcPr>
          <w:p w14:paraId="611A8468" w14:textId="77777777" w:rsidR="00E51CDD" w:rsidRPr="00FC6E3A" w:rsidRDefault="00E51CDD" w:rsidP="009938D9">
            <w:pPr>
              <w:jc w:val="center"/>
              <w:rPr>
                <w:b/>
                <w:color w:val="0070C0"/>
                <w:sz w:val="20"/>
                <w:szCs w:val="20"/>
              </w:rPr>
            </w:pPr>
          </w:p>
        </w:tc>
        <w:tc>
          <w:tcPr>
            <w:tcW w:w="890" w:type="pct"/>
            <w:vAlign w:val="center"/>
          </w:tcPr>
          <w:p w14:paraId="515676A7" w14:textId="77777777" w:rsidR="00E51CDD" w:rsidRPr="00FC6E3A" w:rsidRDefault="00E51CDD" w:rsidP="009938D9">
            <w:pPr>
              <w:jc w:val="center"/>
              <w:rPr>
                <w:sz w:val="20"/>
                <w:szCs w:val="20"/>
              </w:rPr>
            </w:pPr>
            <w:r w:rsidRPr="00FC6E3A">
              <w:rPr>
                <w:sz w:val="20"/>
                <w:szCs w:val="24"/>
              </w:rPr>
              <w:t>267</w:t>
            </w:r>
          </w:p>
        </w:tc>
        <w:tc>
          <w:tcPr>
            <w:tcW w:w="869" w:type="pct"/>
            <w:vAlign w:val="center"/>
          </w:tcPr>
          <w:p w14:paraId="7D12BB95" w14:textId="77777777" w:rsidR="00E51CDD" w:rsidRPr="00FC6E3A" w:rsidRDefault="00E51CDD" w:rsidP="009938D9">
            <w:pPr>
              <w:jc w:val="center"/>
              <w:rPr>
                <w:sz w:val="20"/>
                <w:szCs w:val="20"/>
              </w:rPr>
            </w:pPr>
            <w:r w:rsidRPr="00FC6E3A">
              <w:rPr>
                <w:sz w:val="20"/>
                <w:szCs w:val="20"/>
              </w:rPr>
              <w:t>2.5</w:t>
            </w:r>
          </w:p>
        </w:tc>
        <w:tc>
          <w:tcPr>
            <w:tcW w:w="767" w:type="pct"/>
            <w:vAlign w:val="center"/>
          </w:tcPr>
          <w:p w14:paraId="52B337F1" w14:textId="77777777" w:rsidR="00E51CDD" w:rsidRPr="00FC6E3A" w:rsidRDefault="00E51CDD" w:rsidP="009938D9">
            <w:pPr>
              <w:jc w:val="center"/>
              <w:rPr>
                <w:sz w:val="20"/>
                <w:szCs w:val="20"/>
              </w:rPr>
            </w:pPr>
            <w:r w:rsidRPr="00FC6E3A">
              <w:rPr>
                <w:sz w:val="20"/>
                <w:szCs w:val="20"/>
              </w:rPr>
              <w:t>--</w:t>
            </w:r>
          </w:p>
        </w:tc>
        <w:tc>
          <w:tcPr>
            <w:tcW w:w="862" w:type="pct"/>
            <w:vAlign w:val="center"/>
          </w:tcPr>
          <w:p w14:paraId="4075F949" w14:textId="77777777" w:rsidR="00E51CDD" w:rsidRPr="00FC6E3A" w:rsidRDefault="00E51CDD" w:rsidP="009938D9">
            <w:pPr>
              <w:jc w:val="center"/>
              <w:rPr>
                <w:sz w:val="20"/>
                <w:szCs w:val="20"/>
              </w:rPr>
            </w:pPr>
            <w:r w:rsidRPr="00FC6E3A">
              <w:rPr>
                <w:sz w:val="20"/>
                <w:szCs w:val="20"/>
              </w:rPr>
              <w:t>5.0</w:t>
            </w:r>
          </w:p>
        </w:tc>
        <w:tc>
          <w:tcPr>
            <w:tcW w:w="863" w:type="pct"/>
            <w:vAlign w:val="center"/>
          </w:tcPr>
          <w:p w14:paraId="08E92C1B" w14:textId="77777777" w:rsidR="00E51CDD" w:rsidRPr="00FC6E3A" w:rsidRDefault="00E51CDD" w:rsidP="009938D9">
            <w:pPr>
              <w:jc w:val="center"/>
              <w:rPr>
                <w:sz w:val="20"/>
                <w:szCs w:val="20"/>
              </w:rPr>
            </w:pPr>
            <w:r w:rsidRPr="00FC6E3A">
              <w:rPr>
                <w:sz w:val="20"/>
                <w:szCs w:val="20"/>
              </w:rPr>
              <w:t>2.6</w:t>
            </w:r>
          </w:p>
        </w:tc>
      </w:tr>
      <w:tr w:rsidR="00E51CDD" w:rsidRPr="00FC6E3A" w14:paraId="12832BA6" w14:textId="77777777" w:rsidTr="009938D9">
        <w:trPr>
          <w:trHeight w:val="372"/>
        </w:trPr>
        <w:tc>
          <w:tcPr>
            <w:tcW w:w="749" w:type="pct"/>
            <w:vMerge/>
            <w:vAlign w:val="center"/>
          </w:tcPr>
          <w:p w14:paraId="65B1EA35" w14:textId="77777777" w:rsidR="00E51CDD" w:rsidRPr="00FC6E3A" w:rsidRDefault="00E51CDD" w:rsidP="009938D9">
            <w:pPr>
              <w:jc w:val="center"/>
              <w:rPr>
                <w:b/>
                <w:color w:val="0070C0"/>
                <w:sz w:val="20"/>
                <w:szCs w:val="20"/>
              </w:rPr>
            </w:pPr>
          </w:p>
        </w:tc>
        <w:tc>
          <w:tcPr>
            <w:tcW w:w="890" w:type="pct"/>
            <w:vAlign w:val="center"/>
          </w:tcPr>
          <w:p w14:paraId="7572D448" w14:textId="77777777" w:rsidR="00E51CDD" w:rsidRPr="00FC6E3A" w:rsidRDefault="00E51CDD" w:rsidP="009938D9">
            <w:pPr>
              <w:jc w:val="center"/>
              <w:rPr>
                <w:sz w:val="20"/>
                <w:szCs w:val="20"/>
              </w:rPr>
            </w:pPr>
            <w:r w:rsidRPr="00FC6E3A">
              <w:rPr>
                <w:sz w:val="20"/>
                <w:szCs w:val="24"/>
              </w:rPr>
              <w:t>432</w:t>
            </w:r>
          </w:p>
        </w:tc>
        <w:tc>
          <w:tcPr>
            <w:tcW w:w="869" w:type="pct"/>
            <w:vAlign w:val="center"/>
          </w:tcPr>
          <w:p w14:paraId="5146D6F9" w14:textId="77777777" w:rsidR="00E51CDD" w:rsidRPr="00FC6E3A" w:rsidRDefault="00E51CDD" w:rsidP="009938D9">
            <w:pPr>
              <w:jc w:val="center"/>
              <w:rPr>
                <w:sz w:val="20"/>
                <w:szCs w:val="20"/>
              </w:rPr>
            </w:pPr>
            <w:r w:rsidRPr="00FC6E3A">
              <w:rPr>
                <w:sz w:val="20"/>
                <w:szCs w:val="20"/>
              </w:rPr>
              <w:t>22.5</w:t>
            </w:r>
          </w:p>
        </w:tc>
        <w:tc>
          <w:tcPr>
            <w:tcW w:w="767" w:type="pct"/>
            <w:vAlign w:val="center"/>
          </w:tcPr>
          <w:p w14:paraId="25B2025F" w14:textId="77777777" w:rsidR="00E51CDD" w:rsidRPr="00FC6E3A" w:rsidRDefault="00E51CDD" w:rsidP="009938D9">
            <w:pPr>
              <w:jc w:val="center"/>
              <w:rPr>
                <w:sz w:val="20"/>
                <w:szCs w:val="20"/>
              </w:rPr>
            </w:pPr>
            <w:r w:rsidRPr="00FC6E3A">
              <w:rPr>
                <w:sz w:val="20"/>
                <w:szCs w:val="20"/>
              </w:rPr>
              <w:t>--</w:t>
            </w:r>
          </w:p>
        </w:tc>
        <w:tc>
          <w:tcPr>
            <w:tcW w:w="862" w:type="pct"/>
            <w:vAlign w:val="center"/>
          </w:tcPr>
          <w:p w14:paraId="3911D047" w14:textId="77777777" w:rsidR="00E51CDD" w:rsidRPr="00FC6E3A" w:rsidRDefault="00E51CDD" w:rsidP="009938D9">
            <w:pPr>
              <w:jc w:val="center"/>
              <w:rPr>
                <w:sz w:val="20"/>
                <w:szCs w:val="20"/>
              </w:rPr>
            </w:pPr>
            <w:r w:rsidRPr="00FC6E3A">
              <w:rPr>
                <w:sz w:val="20"/>
                <w:szCs w:val="20"/>
              </w:rPr>
              <w:t>25.0</w:t>
            </w:r>
          </w:p>
        </w:tc>
        <w:tc>
          <w:tcPr>
            <w:tcW w:w="863" w:type="pct"/>
            <w:vAlign w:val="center"/>
          </w:tcPr>
          <w:p w14:paraId="7B6FFE7E" w14:textId="77777777" w:rsidR="00E51CDD" w:rsidRPr="00FC6E3A" w:rsidRDefault="00E51CDD" w:rsidP="009938D9">
            <w:pPr>
              <w:jc w:val="center"/>
              <w:rPr>
                <w:sz w:val="20"/>
                <w:szCs w:val="20"/>
              </w:rPr>
            </w:pPr>
            <w:r w:rsidRPr="00FC6E3A">
              <w:rPr>
                <w:sz w:val="20"/>
                <w:szCs w:val="20"/>
              </w:rPr>
              <w:t>23.1</w:t>
            </w:r>
          </w:p>
        </w:tc>
      </w:tr>
      <w:tr w:rsidR="00E51CDD" w:rsidRPr="00FC6E3A" w14:paraId="76A1AD6A" w14:textId="77777777" w:rsidTr="009938D9">
        <w:trPr>
          <w:trHeight w:val="372"/>
        </w:trPr>
        <w:tc>
          <w:tcPr>
            <w:tcW w:w="749" w:type="pct"/>
          </w:tcPr>
          <w:p w14:paraId="4D2E4D28" w14:textId="77777777" w:rsidR="00E51CDD" w:rsidRPr="00FC6E3A" w:rsidRDefault="00E51CDD" w:rsidP="009938D9">
            <w:pPr>
              <w:jc w:val="center"/>
              <w:rPr>
                <w:sz w:val="20"/>
                <w:szCs w:val="20"/>
              </w:rPr>
            </w:pPr>
          </w:p>
        </w:tc>
        <w:tc>
          <w:tcPr>
            <w:tcW w:w="4251" w:type="pct"/>
            <w:gridSpan w:val="5"/>
          </w:tcPr>
          <w:p w14:paraId="0452C6CF" w14:textId="77777777" w:rsidR="00E51CDD" w:rsidRPr="00FC6E3A" w:rsidRDefault="00E51CDD" w:rsidP="009938D9">
            <w:pPr>
              <w:jc w:val="center"/>
              <w:rPr>
                <w:b/>
                <w:sz w:val="20"/>
                <w:szCs w:val="20"/>
              </w:rPr>
            </w:pPr>
            <w:r w:rsidRPr="00FC6E3A">
              <w:rPr>
                <w:b/>
                <w:sz w:val="20"/>
                <w:szCs w:val="20"/>
              </w:rPr>
              <w:t>Endpoint</w:t>
            </w:r>
            <w:r w:rsidRPr="00FC6E3A">
              <w:rPr>
                <w:b/>
                <w:sz w:val="20"/>
                <w:szCs w:val="20"/>
              </w:rPr>
              <w:br/>
              <w:t>[µg</w:t>
            </w:r>
            <w:r w:rsidRPr="00FC6E3A">
              <w:rPr>
                <w:sz w:val="20"/>
                <w:szCs w:val="20"/>
              </w:rPr>
              <w:t xml:space="preserve"> </w:t>
            </w:r>
            <w:r w:rsidRPr="00FC6E3A">
              <w:rPr>
                <w:b/>
                <w:bCs/>
                <w:sz w:val="20"/>
                <w:szCs w:val="20"/>
              </w:rPr>
              <w:t>consumed BAS 736 00 F</w:t>
            </w:r>
            <w:r w:rsidRPr="00FC6E3A">
              <w:rPr>
                <w:b/>
                <w:sz w:val="20"/>
                <w:szCs w:val="20"/>
              </w:rPr>
              <w:t>/bee]</w:t>
            </w:r>
          </w:p>
        </w:tc>
      </w:tr>
      <w:tr w:rsidR="00E51CDD" w:rsidRPr="00FC6E3A" w14:paraId="16F7D73B" w14:textId="77777777" w:rsidTr="009938D9">
        <w:trPr>
          <w:trHeight w:val="372"/>
        </w:trPr>
        <w:tc>
          <w:tcPr>
            <w:tcW w:w="749" w:type="pct"/>
            <w:vAlign w:val="center"/>
          </w:tcPr>
          <w:p w14:paraId="3386C0E2" w14:textId="77777777" w:rsidR="00E51CDD" w:rsidRPr="00FC6E3A" w:rsidRDefault="00E51CDD" w:rsidP="009938D9">
            <w:pPr>
              <w:jc w:val="center"/>
              <w:rPr>
                <w:sz w:val="20"/>
                <w:szCs w:val="20"/>
              </w:rPr>
            </w:pPr>
            <w:r w:rsidRPr="00FC6E3A">
              <w:rPr>
                <w:sz w:val="20"/>
                <w:szCs w:val="20"/>
              </w:rPr>
              <w:t>LD</w:t>
            </w:r>
            <w:r w:rsidRPr="00FC6E3A">
              <w:rPr>
                <w:sz w:val="20"/>
                <w:szCs w:val="20"/>
                <w:vertAlign w:val="subscript"/>
              </w:rPr>
              <w:t>50</w:t>
            </w:r>
            <w:r w:rsidRPr="00FC6E3A">
              <w:rPr>
                <w:sz w:val="20"/>
                <w:szCs w:val="20"/>
              </w:rPr>
              <w:t xml:space="preserve"> (48 h)</w:t>
            </w:r>
          </w:p>
        </w:tc>
        <w:tc>
          <w:tcPr>
            <w:tcW w:w="4251" w:type="pct"/>
            <w:gridSpan w:val="5"/>
            <w:vAlign w:val="center"/>
          </w:tcPr>
          <w:p w14:paraId="53A25DDD" w14:textId="77777777" w:rsidR="00E51CDD" w:rsidRPr="00FC6E3A" w:rsidRDefault="00E51CDD" w:rsidP="009938D9">
            <w:pPr>
              <w:jc w:val="center"/>
              <w:rPr>
                <w:sz w:val="20"/>
                <w:szCs w:val="20"/>
              </w:rPr>
            </w:pPr>
            <w:r w:rsidRPr="00FC6E3A">
              <w:rPr>
                <w:sz w:val="20"/>
                <w:szCs w:val="20"/>
              </w:rPr>
              <w:t>&gt; 432</w:t>
            </w:r>
          </w:p>
        </w:tc>
      </w:tr>
    </w:tbl>
    <w:p w14:paraId="3D08B425" w14:textId="77777777" w:rsidR="00E51CDD" w:rsidRPr="00FC6E3A" w:rsidRDefault="00E51CDD" w:rsidP="00E51CDD">
      <w:pPr>
        <w:widowControl w:val="0"/>
        <w:jc w:val="both"/>
        <w:rPr>
          <w:sz w:val="18"/>
          <w:szCs w:val="20"/>
        </w:rPr>
      </w:pPr>
      <w:bookmarkStart w:id="1185" w:name="_Hlk85189794"/>
      <w:r w:rsidRPr="00FC6E3A">
        <w:rPr>
          <w:sz w:val="18"/>
          <w:szCs w:val="20"/>
          <w:vertAlign w:val="superscript"/>
        </w:rPr>
        <w:t>1)</w:t>
      </w:r>
      <w:r w:rsidRPr="00FC6E3A">
        <w:rPr>
          <w:sz w:val="18"/>
          <w:szCs w:val="20"/>
        </w:rPr>
        <w:tab/>
        <w:t>Corrected mortality according to Abbott (1925)</w:t>
      </w:r>
      <w:r w:rsidRPr="00FC6E3A">
        <w:rPr>
          <w:rFonts w:ascii="Arial" w:eastAsia="Calibri" w:hAnsi="Arial" w:cs="Arial"/>
          <w:sz w:val="20"/>
          <w:szCs w:val="20"/>
          <w:lang w:eastAsia="en-US"/>
        </w:rPr>
        <w:t xml:space="preserve"> </w:t>
      </w:r>
      <w:r w:rsidRPr="00FC6E3A">
        <w:rPr>
          <w:sz w:val="18"/>
          <w:szCs w:val="20"/>
        </w:rPr>
        <w:t>modified by SCHNEIDER-ORELLI (1947).</w:t>
      </w:r>
      <w:bookmarkEnd w:id="1185"/>
    </w:p>
    <w:p w14:paraId="11F3D4BF" w14:textId="77777777" w:rsidR="00E51CDD" w:rsidRDefault="00E51CDD" w:rsidP="00E51CDD">
      <w:pPr>
        <w:widowControl w:val="0"/>
        <w:jc w:val="both"/>
        <w:rPr>
          <w:sz w:val="18"/>
          <w:szCs w:val="20"/>
        </w:rPr>
      </w:pPr>
    </w:p>
    <w:p w14:paraId="52356D0A" w14:textId="77777777" w:rsidR="00E51CDD" w:rsidRPr="00FC6E3A" w:rsidRDefault="00E51CDD" w:rsidP="00E51CDD">
      <w:pPr>
        <w:widowControl w:val="0"/>
        <w:jc w:val="both"/>
        <w:rPr>
          <w:sz w:val="18"/>
          <w:szCs w:val="20"/>
        </w:rPr>
      </w:pPr>
    </w:p>
    <w:p w14:paraId="66A507AD" w14:textId="77777777" w:rsidR="00E51CDD" w:rsidRPr="00FC6E3A" w:rsidRDefault="00E51CDD" w:rsidP="00E51CDD">
      <w:pPr>
        <w:widowControl w:val="0"/>
        <w:jc w:val="both"/>
        <w:rPr>
          <w:bCs/>
          <w:lang w:eastAsia="en-US"/>
        </w:rPr>
      </w:pPr>
      <w:r w:rsidRPr="00FC6E3A">
        <w:t>The LD</w:t>
      </w:r>
      <w:r w:rsidRPr="00FC6E3A">
        <w:rPr>
          <w:vertAlign w:val="subscript"/>
        </w:rPr>
        <w:t>50</w:t>
      </w:r>
      <w:r w:rsidRPr="00FC6E3A">
        <w:t xml:space="preserve"> value (24 h) for the reference item in the oral toxicity test was determined to be 0.10 µg a.s./bee (95% confidence limits: 0.09 – 0.10 µg a.s./bee) based on actual consumption.</w:t>
      </w:r>
    </w:p>
    <w:p w14:paraId="64245907" w14:textId="77777777" w:rsidR="00E51CDD" w:rsidRPr="00FC6E3A" w:rsidRDefault="00E51CDD" w:rsidP="00E51CDD">
      <w:pPr>
        <w:widowControl w:val="0"/>
        <w:tabs>
          <w:tab w:val="left" w:pos="425"/>
          <w:tab w:val="left" w:pos="850"/>
        </w:tabs>
        <w:ind w:left="2835" w:hanging="2835"/>
        <w:jc w:val="both"/>
        <w:rPr>
          <w:bCs/>
          <w:lang w:eastAsia="en-US"/>
        </w:rPr>
      </w:pPr>
    </w:p>
    <w:p w14:paraId="617851EF" w14:textId="77777777" w:rsidR="00E51CDD" w:rsidRPr="00FC6E3A" w:rsidRDefault="00E51CDD" w:rsidP="00E51CDD">
      <w:pPr>
        <w:widowControl w:val="0"/>
        <w:tabs>
          <w:tab w:val="left" w:pos="425"/>
          <w:tab w:val="left" w:pos="850"/>
        </w:tabs>
        <w:ind w:left="2835" w:hanging="2835"/>
        <w:jc w:val="both"/>
        <w:rPr>
          <w:bCs/>
          <w:lang w:eastAsia="en-US"/>
        </w:rPr>
      </w:pPr>
    </w:p>
    <w:p w14:paraId="5FEC2958" w14:textId="77777777" w:rsidR="00E51CDD" w:rsidRPr="00FC6E3A" w:rsidRDefault="00E51CDD" w:rsidP="00E51CDD">
      <w:pPr>
        <w:jc w:val="both"/>
        <w:rPr>
          <w:u w:val="single"/>
        </w:rPr>
      </w:pPr>
      <w:bookmarkStart w:id="1186" w:name="_Hlk31007129"/>
      <w:r w:rsidRPr="00FC6E3A">
        <w:rPr>
          <w:u w:val="single"/>
        </w:rPr>
        <w:t>Validity criteria:</w:t>
      </w:r>
    </w:p>
    <w:p w14:paraId="01FB07EA" w14:textId="77777777" w:rsidR="00E51CDD" w:rsidRPr="00FC6E3A" w:rsidRDefault="00E51CDD" w:rsidP="00E51CDD">
      <w:pPr>
        <w:autoSpaceDE w:val="0"/>
        <w:autoSpaceDN w:val="0"/>
        <w:adjustRightInd w:val="0"/>
        <w:rPr>
          <w:rFonts w:eastAsia="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33"/>
        <w:gridCol w:w="2111"/>
      </w:tblGrid>
      <w:tr w:rsidR="00E51CDD" w:rsidRPr="00FC6E3A" w14:paraId="441FA893" w14:textId="77777777" w:rsidTr="009938D9">
        <w:trPr>
          <w:trHeight w:val="240"/>
        </w:trPr>
        <w:tc>
          <w:tcPr>
            <w:tcW w:w="3672" w:type="pct"/>
            <w:shd w:val="clear" w:color="auto" w:fill="auto"/>
            <w:noWrap/>
            <w:vAlign w:val="center"/>
            <w:hideMark/>
          </w:tcPr>
          <w:p w14:paraId="166B418D" w14:textId="77777777" w:rsidR="00E51CDD" w:rsidRPr="00FC6E3A" w:rsidRDefault="00E51CDD" w:rsidP="009938D9">
            <w:pPr>
              <w:widowControl w:val="0"/>
              <w:rPr>
                <w:b/>
                <w:bCs/>
                <w:sz w:val="20"/>
                <w:szCs w:val="20"/>
              </w:rPr>
            </w:pPr>
            <w:r w:rsidRPr="00FC6E3A">
              <w:rPr>
                <w:b/>
                <w:sz w:val="20"/>
                <w:szCs w:val="20"/>
              </w:rPr>
              <w:t xml:space="preserve">Validity criteria according to OECD 213 </w:t>
            </w:r>
            <w:r w:rsidRPr="00FC6E3A">
              <w:rPr>
                <w:b/>
                <w:bCs/>
                <w:sz w:val="20"/>
                <w:szCs w:val="20"/>
              </w:rPr>
              <w:t>(1998)</w:t>
            </w:r>
          </w:p>
        </w:tc>
        <w:tc>
          <w:tcPr>
            <w:tcW w:w="1328" w:type="pct"/>
            <w:shd w:val="clear" w:color="auto" w:fill="auto"/>
            <w:noWrap/>
            <w:vAlign w:val="center"/>
            <w:hideMark/>
          </w:tcPr>
          <w:p w14:paraId="2BBE71C7" w14:textId="77777777" w:rsidR="00E51CDD" w:rsidRPr="00FC6E3A" w:rsidRDefault="00E51CDD" w:rsidP="009938D9">
            <w:pPr>
              <w:widowControl w:val="0"/>
              <w:rPr>
                <w:b/>
                <w:bCs/>
              </w:rPr>
            </w:pPr>
            <w:r w:rsidRPr="00FC6E3A">
              <w:rPr>
                <w:b/>
                <w:sz w:val="20"/>
                <w:szCs w:val="20"/>
              </w:rPr>
              <w:t>Obtained in this study</w:t>
            </w:r>
          </w:p>
        </w:tc>
      </w:tr>
      <w:tr w:rsidR="00E51CDD" w:rsidRPr="00FC6E3A" w14:paraId="49932C74" w14:textId="77777777" w:rsidTr="009938D9">
        <w:trPr>
          <w:trHeight w:val="244"/>
        </w:trPr>
        <w:tc>
          <w:tcPr>
            <w:tcW w:w="3672" w:type="pct"/>
            <w:shd w:val="clear" w:color="auto" w:fill="auto"/>
            <w:noWrap/>
            <w:vAlign w:val="center"/>
          </w:tcPr>
          <w:p w14:paraId="0D92DB9C" w14:textId="77777777" w:rsidR="00E51CDD" w:rsidRPr="00FC6E3A" w:rsidRDefault="00E51CDD" w:rsidP="009938D9">
            <w:pPr>
              <w:widowControl w:val="0"/>
              <w:rPr>
                <w:sz w:val="20"/>
                <w:szCs w:val="20"/>
              </w:rPr>
            </w:pPr>
            <w:r w:rsidRPr="00FC6E3A">
              <w:rPr>
                <w:sz w:val="20"/>
                <w:szCs w:val="20"/>
              </w:rPr>
              <w:t>Control mortality ≤ 10%</w:t>
            </w:r>
          </w:p>
        </w:tc>
        <w:tc>
          <w:tcPr>
            <w:tcW w:w="1328" w:type="pct"/>
            <w:shd w:val="clear" w:color="auto" w:fill="auto"/>
            <w:noWrap/>
            <w:vAlign w:val="center"/>
          </w:tcPr>
          <w:p w14:paraId="55FF98BB" w14:textId="77777777" w:rsidR="00E51CDD" w:rsidRPr="00FC6E3A" w:rsidRDefault="00E51CDD" w:rsidP="009938D9">
            <w:pPr>
              <w:widowControl w:val="0"/>
              <w:rPr>
                <w:sz w:val="20"/>
                <w:szCs w:val="20"/>
              </w:rPr>
            </w:pPr>
            <w:r w:rsidRPr="00FC6E3A">
              <w:rPr>
                <w:sz w:val="20"/>
                <w:szCs w:val="20"/>
              </w:rPr>
              <w:t>2.5%</w:t>
            </w:r>
          </w:p>
        </w:tc>
      </w:tr>
      <w:tr w:rsidR="00E51CDD" w:rsidRPr="00FC6E3A" w14:paraId="1F17DA6F" w14:textId="77777777" w:rsidTr="009938D9">
        <w:tc>
          <w:tcPr>
            <w:tcW w:w="3672" w:type="pct"/>
            <w:shd w:val="clear" w:color="auto" w:fill="auto"/>
            <w:noWrap/>
            <w:vAlign w:val="center"/>
          </w:tcPr>
          <w:p w14:paraId="2E1D34E9" w14:textId="77777777" w:rsidR="00E51CDD" w:rsidRPr="00FC6E3A" w:rsidRDefault="00E51CDD" w:rsidP="009938D9">
            <w:pPr>
              <w:widowControl w:val="0"/>
              <w:rPr>
                <w:sz w:val="20"/>
                <w:szCs w:val="20"/>
              </w:rPr>
            </w:pPr>
            <w:r w:rsidRPr="00FC6E3A">
              <w:rPr>
                <w:sz w:val="20"/>
                <w:szCs w:val="20"/>
              </w:rPr>
              <w:t>LD</w:t>
            </w:r>
            <w:r w:rsidRPr="00FC6E3A">
              <w:rPr>
                <w:sz w:val="20"/>
                <w:szCs w:val="20"/>
                <w:vertAlign w:val="subscript"/>
              </w:rPr>
              <w:t>50</w:t>
            </w:r>
            <w:r w:rsidRPr="00FC6E3A">
              <w:rPr>
                <w:sz w:val="20"/>
                <w:szCs w:val="20"/>
              </w:rPr>
              <w:t xml:space="preserve"> (24 h) of the reference item should be in the specified range 0.10 – 0.35 µg a.s./bee</w:t>
            </w:r>
          </w:p>
        </w:tc>
        <w:tc>
          <w:tcPr>
            <w:tcW w:w="1328" w:type="pct"/>
            <w:shd w:val="clear" w:color="auto" w:fill="auto"/>
            <w:noWrap/>
            <w:vAlign w:val="center"/>
          </w:tcPr>
          <w:p w14:paraId="31838F29" w14:textId="77777777" w:rsidR="00E51CDD" w:rsidRPr="00FC6E3A" w:rsidRDefault="00E51CDD" w:rsidP="009938D9">
            <w:pPr>
              <w:widowControl w:val="0"/>
              <w:rPr>
                <w:sz w:val="20"/>
                <w:szCs w:val="20"/>
              </w:rPr>
            </w:pPr>
            <w:r w:rsidRPr="00FC6E3A">
              <w:rPr>
                <w:sz w:val="20"/>
                <w:szCs w:val="20"/>
              </w:rPr>
              <w:t>0.10 µg a.s./bee</w:t>
            </w:r>
          </w:p>
        </w:tc>
      </w:tr>
    </w:tbl>
    <w:p w14:paraId="71239330" w14:textId="77777777" w:rsidR="00E51CDD" w:rsidRDefault="00E51CDD" w:rsidP="00E51CDD">
      <w:pPr>
        <w:jc w:val="both"/>
        <w:rPr>
          <w:b/>
          <w:highlight w:val="green"/>
          <w:u w:val="single"/>
        </w:rPr>
      </w:pPr>
    </w:p>
    <w:p w14:paraId="7CD2817C" w14:textId="77777777" w:rsidR="00E51CDD" w:rsidRPr="00FC6E3A" w:rsidRDefault="00E51CDD" w:rsidP="00E51CDD">
      <w:pPr>
        <w:jc w:val="both"/>
        <w:rPr>
          <w:b/>
          <w:highlight w:val="green"/>
          <w:u w:val="single"/>
        </w:rPr>
      </w:pPr>
    </w:p>
    <w:p w14:paraId="32BE655D" w14:textId="77777777" w:rsidR="00E51CDD" w:rsidRPr="00FC6E3A" w:rsidRDefault="00E51CDD" w:rsidP="00E51CDD">
      <w:pPr>
        <w:jc w:val="both"/>
      </w:pPr>
      <w:r w:rsidRPr="00FC6E3A">
        <w:t>All validity criteria were met.</w:t>
      </w:r>
    </w:p>
    <w:bookmarkEnd w:id="1186"/>
    <w:p w14:paraId="4D43693E" w14:textId="77777777" w:rsidR="00E51CDD" w:rsidRPr="00FC6E3A" w:rsidRDefault="00E51CDD" w:rsidP="00E51CDD">
      <w:pPr>
        <w:widowControl w:val="0"/>
        <w:tabs>
          <w:tab w:val="left" w:pos="425"/>
          <w:tab w:val="left" w:pos="850"/>
        </w:tabs>
        <w:ind w:left="2835" w:hanging="2835"/>
        <w:jc w:val="both"/>
        <w:rPr>
          <w:bCs/>
          <w:szCs w:val="24"/>
          <w:lang w:eastAsia="en-US"/>
        </w:rPr>
      </w:pPr>
    </w:p>
    <w:p w14:paraId="2E293BCD" w14:textId="77777777" w:rsidR="00E51CDD" w:rsidRPr="00FC6E3A" w:rsidRDefault="00E51CDD" w:rsidP="00E51CDD">
      <w:pPr>
        <w:widowControl w:val="0"/>
        <w:tabs>
          <w:tab w:val="left" w:pos="425"/>
          <w:tab w:val="left" w:pos="850"/>
        </w:tabs>
        <w:ind w:left="2835" w:hanging="2835"/>
        <w:jc w:val="both"/>
        <w:rPr>
          <w:bCs/>
          <w:szCs w:val="24"/>
          <w:lang w:eastAsia="en-US"/>
        </w:rPr>
      </w:pPr>
    </w:p>
    <w:p w14:paraId="7EE7FDDD" w14:textId="77777777" w:rsidR="00E51CDD" w:rsidRPr="00FC6E3A" w:rsidRDefault="00E51CDD" w:rsidP="00E51CDD">
      <w:pPr>
        <w:widowControl w:val="0"/>
        <w:jc w:val="both"/>
        <w:rPr>
          <w:b/>
        </w:rPr>
      </w:pPr>
      <w:r w:rsidRPr="00FC6E3A">
        <w:rPr>
          <w:b/>
        </w:rPr>
        <w:t>III.</w:t>
      </w:r>
      <w:r w:rsidRPr="00FC6E3A">
        <w:rPr>
          <w:b/>
        </w:rPr>
        <w:tab/>
        <w:t>CONCLUSION</w:t>
      </w:r>
    </w:p>
    <w:p w14:paraId="2502F1AF" w14:textId="77777777" w:rsidR="00E51CDD" w:rsidRPr="00FC6E3A" w:rsidRDefault="00E51CDD" w:rsidP="00E51CDD">
      <w:pPr>
        <w:widowControl w:val="0"/>
        <w:jc w:val="both"/>
        <w:rPr>
          <w:bCs/>
          <w:szCs w:val="24"/>
          <w:lang w:eastAsia="en-US"/>
        </w:rPr>
      </w:pPr>
    </w:p>
    <w:p w14:paraId="7CFE9DB6" w14:textId="77777777" w:rsidR="00E51CDD" w:rsidRPr="00FC6E3A" w:rsidRDefault="00E51CDD" w:rsidP="00E51CDD">
      <w:pPr>
        <w:widowControl w:val="0"/>
        <w:jc w:val="both"/>
      </w:pPr>
      <w:r w:rsidRPr="00FC6E3A">
        <w:rPr>
          <w:b/>
          <w:bCs/>
        </w:rPr>
        <w:t>In an acute oral toxicity test with BAS 736 00 F on honey bees, the LD</w:t>
      </w:r>
      <w:r w:rsidRPr="00FC6E3A">
        <w:rPr>
          <w:b/>
          <w:bCs/>
          <w:vertAlign w:val="subscript"/>
        </w:rPr>
        <w:t>50</w:t>
      </w:r>
      <w:r w:rsidRPr="00FC6E3A">
        <w:rPr>
          <w:b/>
          <w:bCs/>
        </w:rPr>
        <w:t xml:space="preserve"> (48 h) was determined to be &gt; 432 µg consumed BAS 736 00 F/bee.</w:t>
      </w:r>
    </w:p>
    <w:p w14:paraId="4EF558D6" w14:textId="77777777" w:rsidR="00E51CDD" w:rsidRPr="00FC6E3A" w:rsidRDefault="00E51CDD" w:rsidP="00E51CDD">
      <w:pPr>
        <w:widowControl w:val="0"/>
        <w:jc w:val="both"/>
      </w:pPr>
    </w:p>
    <w:p w14:paraId="355DDE30" w14:textId="77777777" w:rsidR="00E51CDD" w:rsidRPr="00D1129D" w:rsidRDefault="00E51CDD" w:rsidP="00E51CDD">
      <w:pPr>
        <w:pStyle w:val="RepStandard"/>
        <w:rPr>
          <w:lang w:val="en-US"/>
        </w:rPr>
      </w:pPr>
      <w:r>
        <w:rPr>
          <w:lang w:val="en-US"/>
        </w:rPr>
        <w:br w:type="page"/>
      </w:r>
    </w:p>
    <w:p w14:paraId="6D21A61C" w14:textId="77777777" w:rsidR="00E51CDD" w:rsidRPr="00540745" w:rsidRDefault="00E51CDD" w:rsidP="00B31542">
      <w:pPr>
        <w:pStyle w:val="RepAppendix6"/>
      </w:pPr>
      <w:r w:rsidRPr="00540745">
        <w:lastRenderedPageBreak/>
        <w:t>Study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50725BA5" w14:textId="77777777" w:rsidTr="002346A8">
        <w:trPr>
          <w:trHeight w:val="490"/>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EE75BC" w14:textId="77777777" w:rsidR="00E51CDD" w:rsidRDefault="00E51CDD" w:rsidP="009938D9">
            <w:pPr>
              <w:pStyle w:val="RepStandard"/>
              <w:rPr>
                <w:rFonts w:eastAsia="Batang"/>
              </w:rPr>
            </w:pPr>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2786FC" w14:textId="6C55AF83" w:rsidR="00E51CDD" w:rsidRDefault="00D7379E" w:rsidP="009938D9">
            <w:pPr>
              <w:pStyle w:val="RepStandard"/>
              <w:ind w:left="85"/>
              <w:rPr>
                <w:rFonts w:eastAsia="Batang"/>
              </w:rPr>
            </w:pPr>
            <w:r>
              <w:rPr>
                <w:rFonts w:eastAsia="Batang"/>
              </w:rPr>
              <w:t xml:space="preserve">Study not evaluated. </w:t>
            </w:r>
          </w:p>
        </w:tc>
      </w:tr>
    </w:tbl>
    <w:p w14:paraId="4E32AA93"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4E2F3E98" w14:textId="77777777" w:rsidTr="009938D9">
        <w:trPr>
          <w:gridAfter w:val="1"/>
          <w:wAfter w:w="9" w:type="pct"/>
        </w:trPr>
        <w:tc>
          <w:tcPr>
            <w:tcW w:w="1340" w:type="pct"/>
            <w:hideMark/>
          </w:tcPr>
          <w:p w14:paraId="08C696E2" w14:textId="77777777" w:rsidR="00E51CDD" w:rsidRDefault="00E51CDD" w:rsidP="009938D9">
            <w:pPr>
              <w:pStyle w:val="RepStandard"/>
              <w:rPr>
                <w:lang w:val="de-DE"/>
              </w:rPr>
            </w:pPr>
            <w:r>
              <w:t>Reference:</w:t>
            </w:r>
          </w:p>
        </w:tc>
        <w:tc>
          <w:tcPr>
            <w:tcW w:w="3651" w:type="pct"/>
            <w:hideMark/>
          </w:tcPr>
          <w:p w14:paraId="45970889" w14:textId="77777777" w:rsidR="00E51CDD" w:rsidRDefault="00E51CDD" w:rsidP="009938D9">
            <w:pPr>
              <w:pStyle w:val="RepStandard"/>
            </w:pPr>
            <w:r>
              <w:t>CP 10.3.1.1.1/2</w:t>
            </w:r>
          </w:p>
        </w:tc>
      </w:tr>
      <w:tr w:rsidR="00E51CDD" w14:paraId="0B880F83" w14:textId="77777777" w:rsidTr="009938D9">
        <w:trPr>
          <w:gridAfter w:val="1"/>
          <w:wAfter w:w="9" w:type="pct"/>
        </w:trPr>
        <w:tc>
          <w:tcPr>
            <w:tcW w:w="1340" w:type="pct"/>
            <w:hideMark/>
          </w:tcPr>
          <w:p w14:paraId="05812A5C" w14:textId="77777777" w:rsidR="00E51CDD" w:rsidRDefault="00E51CDD" w:rsidP="009938D9">
            <w:pPr>
              <w:pStyle w:val="RepStandard"/>
              <w:spacing w:after="120"/>
            </w:pPr>
            <w:r>
              <w:t>Report</w:t>
            </w:r>
          </w:p>
        </w:tc>
        <w:tc>
          <w:tcPr>
            <w:tcW w:w="3651" w:type="pct"/>
            <w:hideMark/>
          </w:tcPr>
          <w:p w14:paraId="4742B66E" w14:textId="77777777" w:rsidR="00E51CDD" w:rsidRDefault="00E51CDD" w:rsidP="009938D9">
            <w:pPr>
              <w:pStyle w:val="RepStandard"/>
              <w:spacing w:after="120"/>
              <w:rPr>
                <w:lang w:val="en-US"/>
              </w:rPr>
            </w:pPr>
            <w:r>
              <w:rPr>
                <w:lang w:val="en-US"/>
              </w:rPr>
              <w:t>BAS 700 04 F - Acute oral and contact toxicity to the bumble bee, Bombus terrestris L. under laboratory conditions,</w:t>
            </w:r>
          </w:p>
          <w:p w14:paraId="655D7DD7" w14:textId="77777777" w:rsidR="00E51CDD" w:rsidRDefault="00E51CDD" w:rsidP="009938D9">
            <w:pPr>
              <w:pStyle w:val="RepStandard"/>
              <w:spacing w:after="120"/>
              <w:rPr>
                <w:lang w:val="en-US"/>
              </w:rPr>
            </w:pPr>
            <w:r>
              <w:rPr>
                <w:lang w:val="en-US"/>
              </w:rPr>
              <w:t>Verge, E., 2014</w:t>
            </w:r>
          </w:p>
          <w:p w14:paraId="4EB17FD0" w14:textId="77777777" w:rsidR="00E51CDD" w:rsidRDefault="00E51CDD" w:rsidP="009938D9">
            <w:pPr>
              <w:pStyle w:val="RepStandard"/>
              <w:spacing w:after="120"/>
              <w:rPr>
                <w:lang w:val="en-US"/>
              </w:rPr>
            </w:pPr>
            <w:r>
              <w:rPr>
                <w:lang w:val="en-US"/>
              </w:rPr>
              <w:t>report No EU-S14-00228,EU-704424,S14-00228</w:t>
            </w:r>
          </w:p>
          <w:p w14:paraId="0A813F2F" w14:textId="77777777" w:rsidR="00E51CDD" w:rsidRDefault="00E51CDD" w:rsidP="009938D9">
            <w:pPr>
              <w:pStyle w:val="RepStandard"/>
              <w:spacing w:after="120"/>
            </w:pPr>
            <w:r>
              <w:rPr>
                <w:lang w:val="en-US"/>
              </w:rPr>
              <w:t>2014/1135445</w:t>
            </w:r>
          </w:p>
          <w:p w14:paraId="1B61A1C7" w14:textId="77777777" w:rsidR="00E51CDD" w:rsidRDefault="00E51CDD" w:rsidP="009938D9">
            <w:pPr>
              <w:pStyle w:val="RepStandard"/>
            </w:pPr>
            <w:r>
              <w:t>Authority registration No</w:t>
            </w:r>
          </w:p>
        </w:tc>
      </w:tr>
      <w:tr w:rsidR="00E51CDD" w:rsidRPr="002262EA" w14:paraId="070B73FF" w14:textId="77777777" w:rsidTr="009938D9">
        <w:trPr>
          <w:gridAfter w:val="1"/>
          <w:wAfter w:w="9" w:type="pct"/>
        </w:trPr>
        <w:tc>
          <w:tcPr>
            <w:tcW w:w="1340" w:type="pct"/>
            <w:hideMark/>
          </w:tcPr>
          <w:p w14:paraId="7DC7BB40" w14:textId="77777777" w:rsidR="00E51CDD" w:rsidRDefault="00E51CDD" w:rsidP="009938D9">
            <w:pPr>
              <w:pStyle w:val="RepStandard"/>
            </w:pPr>
            <w:r>
              <w:t>Guideline(s):</w:t>
            </w:r>
          </w:p>
        </w:tc>
        <w:tc>
          <w:tcPr>
            <w:tcW w:w="3651" w:type="pct"/>
            <w:hideMark/>
          </w:tcPr>
          <w:p w14:paraId="72677BF6" w14:textId="77777777" w:rsidR="00E51CDD" w:rsidRPr="002262EA" w:rsidRDefault="00E51CDD" w:rsidP="009938D9">
            <w:pPr>
              <w:pStyle w:val="RepStandard"/>
              <w:spacing w:after="120"/>
              <w:rPr>
                <w:lang w:val="nl-BE"/>
              </w:rPr>
            </w:pPr>
            <w:r w:rsidRPr="002262EA">
              <w:rPr>
                <w:lang w:val="nl-BE"/>
              </w:rPr>
              <w:t xml:space="preserve">EPPO PP 1/170 (4) (2010), OECD 213, OECD 214 (1998), Van der Steen (2001) </w:t>
            </w:r>
          </w:p>
        </w:tc>
      </w:tr>
      <w:tr w:rsidR="00E51CDD" w14:paraId="680EB1D5" w14:textId="77777777" w:rsidTr="009938D9">
        <w:trPr>
          <w:gridAfter w:val="1"/>
          <w:wAfter w:w="9" w:type="pct"/>
        </w:trPr>
        <w:tc>
          <w:tcPr>
            <w:tcW w:w="1340" w:type="pct"/>
            <w:hideMark/>
          </w:tcPr>
          <w:p w14:paraId="5D6DB934" w14:textId="77777777" w:rsidR="00E51CDD" w:rsidRDefault="00E51CDD" w:rsidP="009938D9">
            <w:pPr>
              <w:pStyle w:val="RepStandard"/>
            </w:pPr>
            <w:r>
              <w:t>Deviations:</w:t>
            </w:r>
          </w:p>
        </w:tc>
        <w:tc>
          <w:tcPr>
            <w:tcW w:w="3651" w:type="pct"/>
            <w:hideMark/>
          </w:tcPr>
          <w:p w14:paraId="5566E93D" w14:textId="77777777" w:rsidR="00E51CDD" w:rsidRDefault="00E51CDD" w:rsidP="009938D9">
            <w:pPr>
              <w:pStyle w:val="RepStandard"/>
              <w:spacing w:after="120"/>
            </w:pPr>
            <w:r>
              <w:t>No</w:t>
            </w:r>
          </w:p>
        </w:tc>
      </w:tr>
      <w:tr w:rsidR="00E51CDD" w:rsidRPr="00662F32" w14:paraId="7842F4C1" w14:textId="77777777" w:rsidTr="009938D9">
        <w:tc>
          <w:tcPr>
            <w:tcW w:w="1340" w:type="pct"/>
            <w:hideMark/>
          </w:tcPr>
          <w:p w14:paraId="16C92F11" w14:textId="77777777" w:rsidR="00E51CDD" w:rsidRDefault="00E51CDD" w:rsidP="009938D9">
            <w:pPr>
              <w:pStyle w:val="RepStandard"/>
            </w:pPr>
            <w:r>
              <w:t>GLP:</w:t>
            </w:r>
          </w:p>
        </w:tc>
        <w:tc>
          <w:tcPr>
            <w:tcW w:w="3660" w:type="pct"/>
            <w:gridSpan w:val="2"/>
            <w:hideMark/>
          </w:tcPr>
          <w:p w14:paraId="3F1F6E3A" w14:textId="77777777" w:rsidR="00E51CDD" w:rsidRPr="00E111CB" w:rsidRDefault="00E51CDD" w:rsidP="009938D9">
            <w:pPr>
              <w:tabs>
                <w:tab w:val="left" w:pos="425"/>
                <w:tab w:val="left" w:pos="850"/>
              </w:tabs>
              <w:spacing w:after="120"/>
              <w:ind w:left="1985" w:hanging="1985"/>
              <w:rPr>
                <w:b/>
                <w:lang w:val="de-DE"/>
              </w:rPr>
            </w:pPr>
            <w:r w:rsidRPr="00E111CB">
              <w:rPr>
                <w:lang w:val="de-DE"/>
              </w:rPr>
              <w:t>yes</w:t>
            </w:r>
          </w:p>
          <w:p w14:paraId="33D472C0" w14:textId="77777777" w:rsidR="00E51CDD" w:rsidRPr="00E111CB" w:rsidRDefault="00E51CDD" w:rsidP="009938D9">
            <w:pPr>
              <w:pStyle w:val="RepStandard"/>
              <w:spacing w:after="120"/>
              <w:jc w:val="left"/>
              <w:rPr>
                <w:lang w:val="de-DE"/>
              </w:rPr>
            </w:pPr>
            <w:r w:rsidRPr="00E111CB">
              <w:rPr>
                <w:lang w:val="de-DE"/>
              </w:rPr>
              <w:t>(certified by Landesanstalt fuer Umwelt, Messungen und Naturschutz Baden-Wuerttemberg, Karlsruhe, Germany</w:t>
            </w:r>
            <w:r>
              <w:rPr>
                <w:lang w:val="de-DE"/>
              </w:rPr>
              <w:t>)</w:t>
            </w:r>
            <w:r w:rsidRPr="00E111CB">
              <w:rPr>
                <w:lang w:val="de-DE"/>
              </w:rPr>
              <w:t>,</w:t>
            </w:r>
          </w:p>
        </w:tc>
      </w:tr>
      <w:tr w:rsidR="00E51CDD" w14:paraId="75904B2D" w14:textId="77777777" w:rsidTr="009938D9">
        <w:trPr>
          <w:gridAfter w:val="1"/>
          <w:wAfter w:w="9" w:type="pct"/>
        </w:trPr>
        <w:tc>
          <w:tcPr>
            <w:tcW w:w="1340" w:type="pct"/>
            <w:hideMark/>
          </w:tcPr>
          <w:p w14:paraId="3BB49B7B" w14:textId="77777777" w:rsidR="00E51CDD" w:rsidRDefault="00E51CDD" w:rsidP="009938D9">
            <w:pPr>
              <w:pStyle w:val="RepStandard"/>
              <w:rPr>
                <w:lang w:val="de-DE"/>
              </w:rPr>
            </w:pPr>
            <w:r>
              <w:t>Acceptability:</w:t>
            </w:r>
          </w:p>
        </w:tc>
        <w:tc>
          <w:tcPr>
            <w:tcW w:w="3651" w:type="pct"/>
            <w:hideMark/>
          </w:tcPr>
          <w:p w14:paraId="1ABD91D5" w14:textId="77777777" w:rsidR="00E51CDD" w:rsidRDefault="00E51CDD" w:rsidP="009938D9">
            <w:pPr>
              <w:pStyle w:val="RepStandard"/>
            </w:pPr>
            <w:r>
              <w:t xml:space="preserve">Yes </w:t>
            </w:r>
          </w:p>
        </w:tc>
      </w:tr>
      <w:tr w:rsidR="00E51CDD" w14:paraId="0916DCED" w14:textId="77777777" w:rsidTr="009938D9">
        <w:trPr>
          <w:gridAfter w:val="1"/>
          <w:wAfter w:w="9" w:type="pct"/>
        </w:trPr>
        <w:tc>
          <w:tcPr>
            <w:tcW w:w="1340" w:type="pct"/>
            <w:hideMark/>
          </w:tcPr>
          <w:p w14:paraId="3BA10365" w14:textId="77777777" w:rsidR="00E51CDD" w:rsidRDefault="00E51CDD" w:rsidP="009938D9">
            <w:pPr>
              <w:pStyle w:val="RepStandard"/>
            </w:pPr>
            <w:r>
              <w:t xml:space="preserve">Duplication </w:t>
            </w:r>
            <w:r>
              <w:br/>
              <w:t>(if vertebrate study)</w:t>
            </w:r>
          </w:p>
        </w:tc>
        <w:tc>
          <w:tcPr>
            <w:tcW w:w="3651" w:type="pct"/>
            <w:hideMark/>
          </w:tcPr>
          <w:p w14:paraId="2B0C11E2" w14:textId="77777777" w:rsidR="00E51CDD" w:rsidRDefault="00E51CDD" w:rsidP="009938D9">
            <w:pPr>
              <w:pStyle w:val="RepStandard"/>
              <w:spacing w:after="120"/>
              <w:rPr>
                <w:highlight w:val="yellow"/>
              </w:rPr>
            </w:pPr>
            <w:r>
              <w:t>No</w:t>
            </w:r>
          </w:p>
        </w:tc>
      </w:tr>
    </w:tbl>
    <w:p w14:paraId="4D26310F" w14:textId="77777777" w:rsidR="00E51CDD" w:rsidRPr="00E111CB" w:rsidRDefault="00E51CDD" w:rsidP="00E51CDD">
      <w:pPr>
        <w:widowControl w:val="0"/>
        <w:jc w:val="both"/>
      </w:pPr>
    </w:p>
    <w:p w14:paraId="4D34F8CC" w14:textId="77777777" w:rsidR="00E51CDD" w:rsidRPr="00E862D9" w:rsidRDefault="00E51CDD" w:rsidP="00E51CDD">
      <w:pPr>
        <w:suppressAutoHyphens/>
        <w:ind w:left="425" w:hanging="425"/>
        <w:jc w:val="both"/>
        <w:rPr>
          <w:b/>
          <w:bCs/>
          <w:lang w:eastAsia="en-US"/>
        </w:rPr>
      </w:pPr>
      <w:r w:rsidRPr="00E862D9">
        <w:rPr>
          <w:b/>
          <w:bCs/>
          <w:lang w:eastAsia="en-US"/>
        </w:rPr>
        <w:t>Executive Summary</w:t>
      </w:r>
    </w:p>
    <w:p w14:paraId="0439769D" w14:textId="77777777" w:rsidR="00E51CDD" w:rsidRPr="00E862D9" w:rsidRDefault="00E51CDD" w:rsidP="00E51CDD">
      <w:pPr>
        <w:widowControl w:val="0"/>
        <w:suppressAutoHyphens/>
        <w:jc w:val="both"/>
        <w:rPr>
          <w:sz w:val="24"/>
          <w:szCs w:val="24"/>
          <w:lang w:eastAsia="en-US"/>
        </w:rPr>
      </w:pPr>
    </w:p>
    <w:p w14:paraId="2B8829F9" w14:textId="77777777" w:rsidR="00E51CDD" w:rsidRPr="00E862D9" w:rsidRDefault="00E51CDD" w:rsidP="00E51CDD">
      <w:pPr>
        <w:widowControl w:val="0"/>
        <w:suppressAutoHyphens/>
        <w:jc w:val="both"/>
        <w:rPr>
          <w:lang w:eastAsia="en-US"/>
        </w:rPr>
      </w:pPr>
      <w:r w:rsidRPr="00E862D9">
        <w:rPr>
          <w:lang w:eastAsia="en-US"/>
        </w:rPr>
        <w:t>In an acute oral toxicity test, young adult worker bumble bees (</w:t>
      </w:r>
      <w:r w:rsidRPr="00E862D9">
        <w:rPr>
          <w:i/>
          <w:iCs/>
          <w:lang w:eastAsia="en-US"/>
        </w:rPr>
        <w:t>Bombus terrestris</w:t>
      </w:r>
      <w:r w:rsidRPr="00E862D9">
        <w:rPr>
          <w:lang w:eastAsia="en-US"/>
        </w:rPr>
        <w:t>) were exposed to BAS 700 04 F. The toxicity of the test item was determined at a dose rates of 52.1, 72.9, 102.0, 142.9 and 200.0 μg a.s./bumble bee; the resulting oral uptake was 50.1, 64.1, 91.4, 121.7 and 176.3 μg a.s./bumble bee. Additionally, bumble bees were treated with BAS 152 11 I (a.s. dimethoate) as a reference item at a dose rate of 1.5 µg dimethoate/bumble bee, and furthermore with a 50% (w/v) aqueous sucrose solution as control. Assessments of bumble bee mortality and behavioral effects were done after 4, 24, 48, 72 and 96 hours.</w:t>
      </w:r>
    </w:p>
    <w:p w14:paraId="21BEED22" w14:textId="77777777" w:rsidR="00E51CDD" w:rsidRPr="00E862D9" w:rsidRDefault="00E51CDD" w:rsidP="00E51CDD">
      <w:pPr>
        <w:widowControl w:val="0"/>
        <w:suppressAutoHyphens/>
        <w:jc w:val="both"/>
        <w:rPr>
          <w:lang w:eastAsia="en-US"/>
        </w:rPr>
      </w:pPr>
    </w:p>
    <w:p w14:paraId="349BE341" w14:textId="77777777" w:rsidR="00E51CDD" w:rsidRPr="00E862D9" w:rsidRDefault="00E51CDD" w:rsidP="00E51CDD">
      <w:pPr>
        <w:widowControl w:val="0"/>
        <w:suppressAutoHyphens/>
        <w:jc w:val="both"/>
        <w:rPr>
          <w:lang w:eastAsia="en-US"/>
        </w:rPr>
      </w:pPr>
      <w:r w:rsidRPr="00E862D9">
        <w:rPr>
          <w:lang w:eastAsia="en-US"/>
        </w:rPr>
        <w:t>After 96 hours of oral exposure, no mortality was observed in the control group. At the end of the 96-hour exposure period no mortality was recorded at the nominal dose level of 200 µg a.s./bumble bee. The maximum mortality of 3.33% was recorded at the nominal dose of 102 µg a.s./bumble bee. At the assessment after 4 hours affected and moribund bees were observed in the three highest dose levels tested. At each nominal dose of 52.1 and 102.0 µg a.s./bumble bee, one affected bee was observed at the assessment after 48 hours. At the assessments 24, 72 and 96 hours after test start no sub-lethal effects or abnormal behavior were observed.</w:t>
      </w:r>
    </w:p>
    <w:p w14:paraId="5B6A0D67" w14:textId="77777777" w:rsidR="00E51CDD" w:rsidRPr="00E862D9" w:rsidRDefault="00E51CDD" w:rsidP="00E51CDD">
      <w:pPr>
        <w:widowControl w:val="0"/>
        <w:suppressAutoHyphens/>
        <w:jc w:val="both"/>
        <w:rPr>
          <w:lang w:eastAsia="en-US"/>
        </w:rPr>
      </w:pPr>
    </w:p>
    <w:p w14:paraId="0E910BA0" w14:textId="77777777" w:rsidR="00E51CDD" w:rsidRDefault="00E51CDD" w:rsidP="00E51CDD">
      <w:pPr>
        <w:widowControl w:val="0"/>
        <w:suppressAutoHyphens/>
        <w:jc w:val="both"/>
        <w:rPr>
          <w:b/>
          <w:bCs/>
        </w:rPr>
      </w:pPr>
      <w:r w:rsidRPr="00E862D9">
        <w:rPr>
          <w:b/>
          <w:bCs/>
        </w:rPr>
        <w:t>In the acute oral toxicity test with BAS 700 04 F, the resulting LD</w:t>
      </w:r>
      <w:r w:rsidRPr="00E862D9">
        <w:rPr>
          <w:b/>
          <w:bCs/>
          <w:vertAlign w:val="subscript"/>
        </w:rPr>
        <w:t>50</w:t>
      </w:r>
      <w:r w:rsidRPr="00E862D9">
        <w:rPr>
          <w:b/>
          <w:bCs/>
        </w:rPr>
        <w:t xml:space="preserve"> after 96 hours was estimated to be &gt; 664.1 μg consumed BAS 700 04 F/bumble bee, corresponding to &gt; 176.3 µg consumed a.s./bumble bee.</w:t>
      </w:r>
    </w:p>
    <w:p w14:paraId="6D77BF7B" w14:textId="77777777" w:rsidR="00E51CDD" w:rsidRDefault="00E51CDD" w:rsidP="00E51CDD">
      <w:pPr>
        <w:widowControl w:val="0"/>
        <w:suppressAutoHyphens/>
        <w:jc w:val="both"/>
        <w:rPr>
          <w:b/>
          <w:bCs/>
        </w:rPr>
      </w:pPr>
    </w:p>
    <w:p w14:paraId="25F9C107" w14:textId="77777777" w:rsidR="00E51CDD" w:rsidRPr="00E862D9" w:rsidRDefault="00E51CDD" w:rsidP="00E51CDD">
      <w:pPr>
        <w:widowControl w:val="0"/>
        <w:suppressAutoHyphens/>
        <w:jc w:val="both"/>
      </w:pPr>
      <w:r>
        <w:br w:type="page"/>
      </w:r>
    </w:p>
    <w:p w14:paraId="796F0062" w14:textId="77777777" w:rsidR="00E51CDD" w:rsidRPr="00E862D9" w:rsidRDefault="00E51CDD" w:rsidP="00E51CDD">
      <w:pPr>
        <w:widowControl w:val="0"/>
        <w:tabs>
          <w:tab w:val="left" w:pos="425"/>
          <w:tab w:val="left" w:pos="850"/>
        </w:tabs>
        <w:ind w:left="2835" w:hanging="2835"/>
        <w:jc w:val="both"/>
        <w:rPr>
          <w:b/>
        </w:rPr>
      </w:pPr>
      <w:r w:rsidRPr="00E862D9">
        <w:rPr>
          <w:b/>
        </w:rPr>
        <w:lastRenderedPageBreak/>
        <w:t>I.</w:t>
      </w:r>
      <w:r w:rsidRPr="00E862D9">
        <w:rPr>
          <w:b/>
        </w:rPr>
        <w:tab/>
        <w:t>MATERIALS AND METHODS</w:t>
      </w:r>
    </w:p>
    <w:p w14:paraId="326E9D73" w14:textId="77777777" w:rsidR="00E51CDD" w:rsidRPr="00E862D9" w:rsidRDefault="00E51CDD" w:rsidP="00E51CDD">
      <w:pPr>
        <w:widowControl w:val="0"/>
        <w:jc w:val="both"/>
        <w:rPr>
          <w:sz w:val="24"/>
        </w:rPr>
      </w:pPr>
    </w:p>
    <w:p w14:paraId="589B0357" w14:textId="77777777" w:rsidR="00E51CDD" w:rsidRPr="00E862D9" w:rsidRDefault="00E51CDD" w:rsidP="00E51CDD">
      <w:pPr>
        <w:tabs>
          <w:tab w:val="left" w:pos="425"/>
          <w:tab w:val="left" w:pos="850"/>
        </w:tabs>
        <w:ind w:left="2835" w:hanging="2835"/>
        <w:jc w:val="both"/>
        <w:rPr>
          <w:b/>
          <w:bCs/>
        </w:rPr>
      </w:pPr>
      <w:r w:rsidRPr="00E862D9">
        <w:rPr>
          <w:b/>
          <w:bCs/>
        </w:rPr>
        <w:t>A.</w:t>
      </w:r>
      <w:r w:rsidRPr="00E862D9">
        <w:rPr>
          <w:b/>
          <w:bCs/>
        </w:rPr>
        <w:tab/>
        <w:t>MATERIALS</w:t>
      </w:r>
    </w:p>
    <w:p w14:paraId="4DDC1425" w14:textId="77777777" w:rsidR="00E51CDD" w:rsidRPr="00E862D9" w:rsidRDefault="00E51CDD" w:rsidP="00E51CDD">
      <w:pPr>
        <w:widowControl w:val="0"/>
        <w:suppressAutoHyphens/>
        <w:ind w:left="2041" w:hanging="2041"/>
        <w:jc w:val="both"/>
        <w:rPr>
          <w:sz w:val="24"/>
          <w:szCs w:val="24"/>
          <w:lang w:eastAsia="en-US"/>
        </w:rPr>
      </w:pPr>
    </w:p>
    <w:p w14:paraId="0EFDACBB" w14:textId="77777777" w:rsidR="00E51CDD" w:rsidRPr="00E862D9" w:rsidRDefault="00E51CDD" w:rsidP="00E51CDD">
      <w:pPr>
        <w:widowControl w:val="0"/>
        <w:suppressAutoHyphens/>
        <w:ind w:left="2041" w:hanging="2041"/>
        <w:jc w:val="both"/>
        <w:rPr>
          <w:bCs/>
          <w:lang w:eastAsia="en-US"/>
        </w:rPr>
      </w:pPr>
      <w:r w:rsidRPr="00E862D9">
        <w:rPr>
          <w:lang w:eastAsia="en-US"/>
        </w:rPr>
        <w:t>Test item:</w:t>
      </w:r>
      <w:r w:rsidRPr="00E862D9">
        <w:rPr>
          <w:lang w:eastAsia="en-US"/>
        </w:rPr>
        <w:tab/>
      </w:r>
      <w:r w:rsidRPr="00E862D9">
        <w:rPr>
          <w:szCs w:val="24"/>
          <w:lang w:val="en-GB" w:eastAsia="en-US"/>
        </w:rPr>
        <w:t>BAS 700 04 F, batch No. 2122S02XS; content of a.s.: fluxapyroxad (BAS 700 F, Reg. No. 5 094 351): 27.7% (nominal 300 g/L); density: 1.130 g/cm</w:t>
      </w:r>
      <w:r w:rsidRPr="00E862D9">
        <w:rPr>
          <w:szCs w:val="24"/>
          <w:vertAlign w:val="superscript"/>
          <w:lang w:val="en-GB" w:eastAsia="en-US"/>
        </w:rPr>
        <w:t>3</w:t>
      </w:r>
      <w:r w:rsidRPr="00E862D9">
        <w:rPr>
          <w:szCs w:val="24"/>
          <w:lang w:val="en-GB" w:eastAsia="en-US"/>
        </w:rPr>
        <w:t>.</w:t>
      </w:r>
    </w:p>
    <w:p w14:paraId="34D83AE1" w14:textId="77777777" w:rsidR="00E51CDD" w:rsidRPr="00E862D9" w:rsidRDefault="00E51CDD" w:rsidP="00E51CDD">
      <w:pPr>
        <w:widowControl w:val="0"/>
        <w:suppressAutoHyphens/>
        <w:ind w:left="2041" w:hanging="2041"/>
        <w:jc w:val="both"/>
        <w:rPr>
          <w:sz w:val="24"/>
          <w:szCs w:val="24"/>
          <w:lang w:eastAsia="en-US"/>
        </w:rPr>
      </w:pPr>
    </w:p>
    <w:p w14:paraId="6657A560" w14:textId="77777777" w:rsidR="00E51CDD" w:rsidRPr="00E862D9" w:rsidRDefault="00E51CDD" w:rsidP="00E51CDD">
      <w:pPr>
        <w:keepLines/>
        <w:tabs>
          <w:tab w:val="left" w:pos="425"/>
          <w:tab w:val="left" w:pos="850"/>
        </w:tabs>
        <w:suppressAutoHyphens/>
        <w:ind w:left="2268" w:hanging="2268"/>
        <w:jc w:val="both"/>
        <w:rPr>
          <w:b/>
          <w:bCs/>
          <w:lang w:eastAsia="zh-CN"/>
        </w:rPr>
      </w:pPr>
      <w:r w:rsidRPr="00E862D9">
        <w:rPr>
          <w:b/>
          <w:bCs/>
          <w:lang w:eastAsia="zh-CN"/>
        </w:rPr>
        <w:t>B.</w:t>
      </w:r>
      <w:r w:rsidRPr="00E862D9">
        <w:rPr>
          <w:b/>
          <w:bCs/>
          <w:lang w:eastAsia="zh-CN"/>
        </w:rPr>
        <w:tab/>
        <w:t>STUDY DESIGN</w:t>
      </w:r>
    </w:p>
    <w:p w14:paraId="4B703355" w14:textId="77777777" w:rsidR="00E51CDD" w:rsidRPr="00E862D9" w:rsidRDefault="00E51CDD" w:rsidP="00E51CDD">
      <w:pPr>
        <w:widowControl w:val="0"/>
        <w:suppressAutoHyphens/>
      </w:pPr>
    </w:p>
    <w:p w14:paraId="2A6E2D74" w14:textId="77777777" w:rsidR="00E51CDD" w:rsidRPr="00E862D9" w:rsidRDefault="00E51CDD" w:rsidP="00E51CDD">
      <w:pPr>
        <w:widowControl w:val="0"/>
        <w:suppressAutoHyphens/>
        <w:ind w:left="2041" w:hanging="2041"/>
        <w:jc w:val="both"/>
        <w:rPr>
          <w:lang w:eastAsia="en-US"/>
        </w:rPr>
      </w:pPr>
      <w:r w:rsidRPr="00E862D9">
        <w:rPr>
          <w:lang w:eastAsia="en-US"/>
        </w:rPr>
        <w:t>Test species:</w:t>
      </w:r>
      <w:r w:rsidRPr="00E862D9">
        <w:rPr>
          <w:lang w:eastAsia="en-US"/>
        </w:rPr>
        <w:tab/>
      </w:r>
      <w:r w:rsidRPr="00E862D9">
        <w:rPr>
          <w:i/>
          <w:iCs/>
          <w:lang w:eastAsia="en-US"/>
        </w:rPr>
        <w:t>Bombus terrestris</w:t>
      </w:r>
      <w:r w:rsidRPr="00E862D9">
        <w:rPr>
          <w:lang w:eastAsia="en-US"/>
        </w:rPr>
        <w:t xml:space="preserve"> L. (bumble bee), young adult worker bumble bees derived from healthy and queen-right hives; source: Koppert, P.O. Box 155, 2650 AD Berkel en Rodenrijs, The Netherlands; collected one day before use.</w:t>
      </w:r>
    </w:p>
    <w:p w14:paraId="5FD2925B" w14:textId="77777777" w:rsidR="00E51CDD" w:rsidRPr="00E862D9" w:rsidRDefault="00E51CDD" w:rsidP="00E51CDD">
      <w:pPr>
        <w:widowControl w:val="0"/>
        <w:suppressAutoHyphens/>
        <w:ind w:left="2041" w:hanging="2041"/>
        <w:jc w:val="both"/>
        <w:rPr>
          <w:lang w:eastAsia="en-US"/>
        </w:rPr>
      </w:pPr>
    </w:p>
    <w:p w14:paraId="2C459762" w14:textId="77777777" w:rsidR="00E51CDD" w:rsidRPr="00E862D9" w:rsidRDefault="00E51CDD" w:rsidP="00E51CDD">
      <w:pPr>
        <w:widowControl w:val="0"/>
        <w:suppressAutoHyphens/>
        <w:ind w:left="2041" w:hanging="2041"/>
        <w:jc w:val="both"/>
        <w:rPr>
          <w:lang w:eastAsia="en-US"/>
        </w:rPr>
      </w:pPr>
      <w:r w:rsidRPr="00E862D9">
        <w:rPr>
          <w:lang w:eastAsia="en-US"/>
        </w:rPr>
        <w:t>Test design:</w:t>
      </w:r>
      <w:r w:rsidRPr="00E862D9">
        <w:rPr>
          <w:lang w:eastAsia="en-US"/>
        </w:rPr>
        <w:tab/>
        <w:t xml:space="preserve">In a 96-hour test, adults of </w:t>
      </w:r>
      <w:r w:rsidRPr="00E862D9">
        <w:rPr>
          <w:i/>
          <w:lang w:eastAsia="en-US"/>
        </w:rPr>
        <w:t>Bombus terrestris</w:t>
      </w:r>
      <w:r w:rsidRPr="00E862D9">
        <w:rPr>
          <w:lang w:eastAsia="en-US"/>
        </w:rPr>
        <w:t xml:space="preserve"> were exposed to 5 doses of BAS 700 04 F in treated food (50% (w/v) aqueous sucrose solution). In total, 7 treatment groups were set up: 5 dose rates of the test item, 1 control group and 1 dose rate of the reference item with 3 replicates for all treatments and 10 bumble bees per replicate. Assessments of bumble bee mortality and behavioral effects were done after 4, 24, 48, 72 and 96 hours.</w:t>
      </w:r>
    </w:p>
    <w:p w14:paraId="04CD5AC7" w14:textId="77777777" w:rsidR="00E51CDD" w:rsidRPr="00E862D9" w:rsidRDefault="00E51CDD" w:rsidP="00E51CDD">
      <w:pPr>
        <w:widowControl w:val="0"/>
        <w:suppressAutoHyphens/>
        <w:ind w:left="2041" w:hanging="2041"/>
        <w:jc w:val="both"/>
        <w:rPr>
          <w:lang w:eastAsia="en-US"/>
        </w:rPr>
      </w:pPr>
    </w:p>
    <w:p w14:paraId="55204568" w14:textId="77777777" w:rsidR="00E51CDD" w:rsidRPr="00E862D9" w:rsidRDefault="00E51CDD" w:rsidP="00E51CDD">
      <w:pPr>
        <w:widowControl w:val="0"/>
        <w:suppressAutoHyphens/>
        <w:ind w:left="2041" w:hanging="2041"/>
        <w:jc w:val="both"/>
        <w:rPr>
          <w:lang w:eastAsia="en-US"/>
        </w:rPr>
      </w:pPr>
      <w:r w:rsidRPr="00E862D9">
        <w:rPr>
          <w:lang w:eastAsia="en-US"/>
        </w:rPr>
        <w:t>Endpoints:</w:t>
      </w:r>
      <w:r w:rsidRPr="00E862D9">
        <w:rPr>
          <w:lang w:eastAsia="en-US"/>
        </w:rPr>
        <w:tab/>
        <w:t>Mortality, behavioral impairments.</w:t>
      </w:r>
    </w:p>
    <w:p w14:paraId="52137AB3" w14:textId="77777777" w:rsidR="00E51CDD" w:rsidRPr="00E862D9" w:rsidRDefault="00E51CDD" w:rsidP="00E51CDD">
      <w:pPr>
        <w:widowControl w:val="0"/>
        <w:suppressAutoHyphens/>
        <w:ind w:left="2041" w:hanging="2041"/>
        <w:jc w:val="both"/>
        <w:rPr>
          <w:lang w:eastAsia="en-US"/>
        </w:rPr>
      </w:pPr>
    </w:p>
    <w:p w14:paraId="50570FA6" w14:textId="77777777" w:rsidR="00E51CDD" w:rsidRPr="00E862D9" w:rsidRDefault="00E51CDD" w:rsidP="00E51CDD">
      <w:pPr>
        <w:widowControl w:val="0"/>
        <w:suppressAutoHyphens/>
        <w:ind w:left="2041" w:hanging="2041"/>
        <w:jc w:val="both"/>
        <w:rPr>
          <w:lang w:eastAsia="en-US"/>
        </w:rPr>
      </w:pPr>
      <w:r w:rsidRPr="00E862D9">
        <w:rPr>
          <w:lang w:eastAsia="en-US"/>
        </w:rPr>
        <w:t>Reference item:</w:t>
      </w:r>
      <w:r w:rsidRPr="00E862D9">
        <w:rPr>
          <w:lang w:eastAsia="en-US"/>
        </w:rPr>
        <w:tab/>
        <w:t>BAS 152 11 I (dimethoate, 400.9 g/L analyzed).</w:t>
      </w:r>
    </w:p>
    <w:p w14:paraId="37003F5A" w14:textId="77777777" w:rsidR="00E51CDD" w:rsidRPr="00E862D9" w:rsidRDefault="00E51CDD" w:rsidP="00E51CDD">
      <w:pPr>
        <w:widowControl w:val="0"/>
        <w:suppressAutoHyphens/>
        <w:ind w:left="2041" w:hanging="2041"/>
        <w:jc w:val="both"/>
        <w:rPr>
          <w:lang w:eastAsia="en-US"/>
        </w:rPr>
      </w:pPr>
    </w:p>
    <w:p w14:paraId="1F8B36B0" w14:textId="77777777" w:rsidR="00E51CDD" w:rsidRPr="00E862D9" w:rsidRDefault="00E51CDD" w:rsidP="00E51CDD">
      <w:pPr>
        <w:widowControl w:val="0"/>
        <w:suppressAutoHyphens/>
        <w:ind w:left="2041" w:hanging="2041"/>
        <w:jc w:val="both"/>
        <w:rPr>
          <w:lang w:eastAsia="en-US"/>
        </w:rPr>
      </w:pPr>
      <w:r w:rsidRPr="00E862D9">
        <w:rPr>
          <w:lang w:eastAsia="en-US"/>
        </w:rPr>
        <w:t>Test doses:</w:t>
      </w:r>
      <w:r w:rsidRPr="00E862D9">
        <w:rPr>
          <w:lang w:eastAsia="en-US"/>
        </w:rPr>
        <w:tab/>
        <w:t>Control: 50% (w/v) aqueous sucrose solution;</w:t>
      </w:r>
    </w:p>
    <w:p w14:paraId="3ABDD35B" w14:textId="77777777" w:rsidR="00E51CDD" w:rsidRPr="00E862D9" w:rsidRDefault="00E51CDD" w:rsidP="00E51CDD">
      <w:pPr>
        <w:widowControl w:val="0"/>
        <w:suppressAutoHyphens/>
        <w:ind w:left="2041"/>
        <w:jc w:val="both"/>
        <w:rPr>
          <w:lang w:eastAsia="en-US"/>
        </w:rPr>
      </w:pPr>
      <w:r w:rsidRPr="00E862D9">
        <w:rPr>
          <w:lang w:eastAsia="en-US"/>
        </w:rPr>
        <w:t>BAS 700 04 F:</w:t>
      </w:r>
    </w:p>
    <w:tbl>
      <w:tblPr>
        <w:tblStyle w:val="Tabela-Siatka"/>
        <w:tblW w:w="0" w:type="auto"/>
        <w:tblInd w:w="2041" w:type="dxa"/>
        <w:tblLook w:val="04A0" w:firstRow="1" w:lastRow="0" w:firstColumn="1" w:lastColumn="0" w:noHBand="0" w:noVBand="1"/>
      </w:tblPr>
      <w:tblGrid>
        <w:gridCol w:w="2105"/>
        <w:gridCol w:w="2189"/>
        <w:gridCol w:w="3009"/>
      </w:tblGrid>
      <w:tr w:rsidR="00E51CDD" w:rsidRPr="00E862D9" w14:paraId="7470E664" w14:textId="77777777" w:rsidTr="009938D9">
        <w:tc>
          <w:tcPr>
            <w:tcW w:w="2178" w:type="dxa"/>
            <w:tcBorders>
              <w:top w:val="single" w:sz="4" w:space="0" w:color="auto"/>
              <w:left w:val="single" w:sz="4" w:space="0" w:color="auto"/>
              <w:bottom w:val="single" w:sz="4" w:space="0" w:color="auto"/>
              <w:right w:val="single" w:sz="4" w:space="0" w:color="auto"/>
            </w:tcBorders>
            <w:vAlign w:val="center"/>
            <w:hideMark/>
          </w:tcPr>
          <w:p w14:paraId="1F622699" w14:textId="77777777" w:rsidR="00E51CDD" w:rsidRPr="00E862D9" w:rsidRDefault="00E51CDD" w:rsidP="009938D9">
            <w:pPr>
              <w:widowControl w:val="0"/>
              <w:suppressAutoHyphens/>
              <w:rPr>
                <w:sz w:val="20"/>
                <w:lang w:eastAsia="en-US"/>
              </w:rPr>
            </w:pPr>
            <w:r w:rsidRPr="00E862D9">
              <w:rPr>
                <w:sz w:val="20"/>
                <w:lang w:eastAsia="en-US"/>
              </w:rPr>
              <w:t>Nominal doses</w:t>
            </w:r>
            <w:r w:rsidRPr="00E862D9">
              <w:rPr>
                <w:sz w:val="20"/>
                <w:lang w:eastAsia="en-US"/>
              </w:rPr>
              <w:br/>
              <w:t>[µg a.s./bumble bee]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6F7B93" w14:textId="77777777" w:rsidR="00E51CDD" w:rsidRPr="00E862D9" w:rsidRDefault="00E51CDD" w:rsidP="009938D9">
            <w:pPr>
              <w:widowControl w:val="0"/>
              <w:suppressAutoHyphens/>
              <w:rPr>
                <w:sz w:val="20"/>
                <w:lang w:eastAsia="en-US"/>
              </w:rPr>
            </w:pPr>
            <w:r w:rsidRPr="00E862D9">
              <w:rPr>
                <w:sz w:val="20"/>
                <w:lang w:eastAsia="en-US"/>
              </w:rPr>
              <w:t>Actual intake</w:t>
            </w:r>
            <w:r w:rsidRPr="00E862D9">
              <w:rPr>
                <w:sz w:val="20"/>
                <w:lang w:eastAsia="en-US"/>
              </w:rPr>
              <w:br/>
              <w:t>[µg a.s./bumble bee]</w:t>
            </w:r>
          </w:p>
        </w:tc>
        <w:tc>
          <w:tcPr>
            <w:tcW w:w="3083" w:type="dxa"/>
            <w:tcBorders>
              <w:top w:val="single" w:sz="4" w:space="0" w:color="auto"/>
              <w:left w:val="single" w:sz="4" w:space="0" w:color="auto"/>
              <w:bottom w:val="single" w:sz="4" w:space="0" w:color="auto"/>
              <w:right w:val="single" w:sz="4" w:space="0" w:color="auto"/>
            </w:tcBorders>
            <w:vAlign w:val="center"/>
            <w:hideMark/>
          </w:tcPr>
          <w:p w14:paraId="36E46E86" w14:textId="77777777" w:rsidR="00E51CDD" w:rsidRPr="00E862D9" w:rsidRDefault="00E51CDD" w:rsidP="009938D9">
            <w:pPr>
              <w:widowControl w:val="0"/>
              <w:suppressAutoHyphens/>
              <w:rPr>
                <w:sz w:val="20"/>
                <w:vertAlign w:val="superscript"/>
                <w:lang w:eastAsia="en-US"/>
              </w:rPr>
            </w:pPr>
            <w:r w:rsidRPr="00E862D9">
              <w:rPr>
                <w:sz w:val="20"/>
                <w:lang w:eastAsia="en-US"/>
              </w:rPr>
              <w:t>Actual intake</w:t>
            </w:r>
            <w:r w:rsidRPr="00E862D9">
              <w:rPr>
                <w:sz w:val="20"/>
                <w:lang w:eastAsia="en-US"/>
              </w:rPr>
              <w:br/>
              <w:t xml:space="preserve">[µg BAS 700 04 F/bumble bee] </w:t>
            </w:r>
            <w:r w:rsidRPr="00E862D9">
              <w:rPr>
                <w:sz w:val="20"/>
                <w:vertAlign w:val="superscript"/>
                <w:lang w:eastAsia="en-US"/>
              </w:rPr>
              <w:t>*</w:t>
            </w:r>
          </w:p>
        </w:tc>
      </w:tr>
      <w:tr w:rsidR="00E51CDD" w:rsidRPr="00E862D9" w14:paraId="7B8BD48B" w14:textId="77777777" w:rsidTr="009938D9">
        <w:tc>
          <w:tcPr>
            <w:tcW w:w="2178" w:type="dxa"/>
            <w:tcBorders>
              <w:top w:val="single" w:sz="4" w:space="0" w:color="auto"/>
              <w:left w:val="single" w:sz="4" w:space="0" w:color="auto"/>
              <w:bottom w:val="single" w:sz="4" w:space="0" w:color="auto"/>
              <w:right w:val="single" w:sz="4" w:space="0" w:color="auto"/>
            </w:tcBorders>
            <w:vAlign w:val="center"/>
            <w:hideMark/>
          </w:tcPr>
          <w:p w14:paraId="2A4370C2" w14:textId="77777777" w:rsidR="00E51CDD" w:rsidRPr="00E862D9" w:rsidRDefault="00E51CDD" w:rsidP="009938D9">
            <w:pPr>
              <w:widowControl w:val="0"/>
              <w:suppressAutoHyphens/>
              <w:rPr>
                <w:sz w:val="20"/>
                <w:lang w:eastAsia="en-US"/>
              </w:rPr>
            </w:pPr>
            <w:r w:rsidRPr="00E862D9">
              <w:rPr>
                <w:sz w:val="20"/>
                <w:lang w:eastAsia="en-US"/>
              </w:rPr>
              <w:t>52.1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4981A3" w14:textId="77777777" w:rsidR="00E51CDD" w:rsidRPr="00E862D9" w:rsidRDefault="00E51CDD" w:rsidP="009938D9">
            <w:pPr>
              <w:widowControl w:val="0"/>
              <w:suppressAutoHyphens/>
              <w:rPr>
                <w:sz w:val="20"/>
                <w:lang w:eastAsia="en-US"/>
              </w:rPr>
            </w:pPr>
            <w:r w:rsidRPr="00E862D9">
              <w:rPr>
                <w:sz w:val="20"/>
                <w:lang w:eastAsia="en-US"/>
              </w:rPr>
              <w:t>50.1</w:t>
            </w:r>
          </w:p>
        </w:tc>
        <w:tc>
          <w:tcPr>
            <w:tcW w:w="3083" w:type="dxa"/>
            <w:tcBorders>
              <w:top w:val="single" w:sz="4" w:space="0" w:color="auto"/>
              <w:left w:val="single" w:sz="4" w:space="0" w:color="auto"/>
              <w:bottom w:val="single" w:sz="4" w:space="0" w:color="auto"/>
              <w:right w:val="single" w:sz="4" w:space="0" w:color="auto"/>
            </w:tcBorders>
            <w:vAlign w:val="center"/>
            <w:hideMark/>
          </w:tcPr>
          <w:p w14:paraId="36FF4F23" w14:textId="77777777" w:rsidR="00E51CDD" w:rsidRPr="00E862D9" w:rsidRDefault="00E51CDD" w:rsidP="009938D9">
            <w:pPr>
              <w:widowControl w:val="0"/>
              <w:suppressAutoHyphens/>
              <w:rPr>
                <w:sz w:val="20"/>
                <w:lang w:eastAsia="en-US"/>
              </w:rPr>
            </w:pPr>
            <w:r w:rsidRPr="00E862D9">
              <w:rPr>
                <w:sz w:val="20"/>
                <w:lang w:eastAsia="en-US"/>
              </w:rPr>
              <w:t>188.7</w:t>
            </w:r>
          </w:p>
        </w:tc>
      </w:tr>
      <w:tr w:rsidR="00E51CDD" w:rsidRPr="00E862D9" w14:paraId="3D0D67B0" w14:textId="77777777" w:rsidTr="009938D9">
        <w:tc>
          <w:tcPr>
            <w:tcW w:w="2178" w:type="dxa"/>
            <w:tcBorders>
              <w:top w:val="single" w:sz="4" w:space="0" w:color="auto"/>
              <w:left w:val="single" w:sz="4" w:space="0" w:color="auto"/>
              <w:bottom w:val="single" w:sz="4" w:space="0" w:color="auto"/>
              <w:right w:val="single" w:sz="4" w:space="0" w:color="auto"/>
            </w:tcBorders>
            <w:vAlign w:val="center"/>
            <w:hideMark/>
          </w:tcPr>
          <w:p w14:paraId="3E65C8BD" w14:textId="77777777" w:rsidR="00E51CDD" w:rsidRPr="00E862D9" w:rsidRDefault="00E51CDD" w:rsidP="009938D9">
            <w:pPr>
              <w:widowControl w:val="0"/>
              <w:suppressAutoHyphens/>
              <w:rPr>
                <w:sz w:val="20"/>
                <w:lang w:eastAsia="en-US"/>
              </w:rPr>
            </w:pPr>
            <w:r w:rsidRPr="00E862D9">
              <w:rPr>
                <w:sz w:val="20"/>
                <w:lang w:eastAsia="en-US"/>
              </w:rPr>
              <w:t>72.9</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1D2D865" w14:textId="77777777" w:rsidR="00E51CDD" w:rsidRPr="00E862D9" w:rsidRDefault="00E51CDD" w:rsidP="009938D9">
            <w:pPr>
              <w:widowControl w:val="0"/>
              <w:suppressAutoHyphens/>
              <w:rPr>
                <w:sz w:val="20"/>
                <w:lang w:eastAsia="en-US"/>
              </w:rPr>
            </w:pPr>
            <w:r w:rsidRPr="00E862D9">
              <w:rPr>
                <w:sz w:val="20"/>
                <w:lang w:eastAsia="en-US"/>
              </w:rPr>
              <w:t>64.1</w:t>
            </w:r>
          </w:p>
        </w:tc>
        <w:tc>
          <w:tcPr>
            <w:tcW w:w="3083" w:type="dxa"/>
            <w:tcBorders>
              <w:top w:val="single" w:sz="4" w:space="0" w:color="auto"/>
              <w:left w:val="single" w:sz="4" w:space="0" w:color="auto"/>
              <w:bottom w:val="single" w:sz="4" w:space="0" w:color="auto"/>
              <w:right w:val="single" w:sz="4" w:space="0" w:color="auto"/>
            </w:tcBorders>
            <w:vAlign w:val="center"/>
            <w:hideMark/>
          </w:tcPr>
          <w:p w14:paraId="70C47D72" w14:textId="77777777" w:rsidR="00E51CDD" w:rsidRPr="00E862D9" w:rsidRDefault="00E51CDD" w:rsidP="009938D9">
            <w:pPr>
              <w:widowControl w:val="0"/>
              <w:suppressAutoHyphens/>
              <w:rPr>
                <w:sz w:val="20"/>
                <w:lang w:eastAsia="en-US"/>
              </w:rPr>
            </w:pPr>
            <w:r w:rsidRPr="00E862D9">
              <w:rPr>
                <w:sz w:val="20"/>
                <w:lang w:eastAsia="en-US"/>
              </w:rPr>
              <w:t>241.4</w:t>
            </w:r>
          </w:p>
        </w:tc>
      </w:tr>
      <w:tr w:rsidR="00E51CDD" w:rsidRPr="00E862D9" w14:paraId="7015210D" w14:textId="77777777" w:rsidTr="009938D9">
        <w:tc>
          <w:tcPr>
            <w:tcW w:w="2178" w:type="dxa"/>
            <w:tcBorders>
              <w:top w:val="single" w:sz="4" w:space="0" w:color="auto"/>
              <w:left w:val="single" w:sz="4" w:space="0" w:color="auto"/>
              <w:bottom w:val="single" w:sz="4" w:space="0" w:color="auto"/>
              <w:right w:val="single" w:sz="4" w:space="0" w:color="auto"/>
            </w:tcBorders>
            <w:vAlign w:val="center"/>
            <w:hideMark/>
          </w:tcPr>
          <w:p w14:paraId="464FACB8" w14:textId="77777777" w:rsidR="00E51CDD" w:rsidRPr="00E862D9" w:rsidRDefault="00E51CDD" w:rsidP="009938D9">
            <w:pPr>
              <w:widowControl w:val="0"/>
              <w:suppressAutoHyphens/>
              <w:rPr>
                <w:sz w:val="20"/>
                <w:lang w:eastAsia="en-US"/>
              </w:rPr>
            </w:pPr>
            <w:r w:rsidRPr="00E862D9">
              <w:rPr>
                <w:sz w:val="20"/>
                <w:lang w:eastAsia="en-US"/>
              </w:rPr>
              <w:t>102.0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9A1EA41" w14:textId="77777777" w:rsidR="00E51CDD" w:rsidRPr="00E862D9" w:rsidRDefault="00E51CDD" w:rsidP="009938D9">
            <w:pPr>
              <w:widowControl w:val="0"/>
              <w:suppressAutoHyphens/>
              <w:rPr>
                <w:sz w:val="20"/>
                <w:lang w:eastAsia="en-US"/>
              </w:rPr>
            </w:pPr>
            <w:r w:rsidRPr="00E862D9">
              <w:rPr>
                <w:sz w:val="20"/>
                <w:lang w:eastAsia="en-US"/>
              </w:rPr>
              <w:t>91.4</w:t>
            </w:r>
          </w:p>
        </w:tc>
        <w:tc>
          <w:tcPr>
            <w:tcW w:w="3083" w:type="dxa"/>
            <w:tcBorders>
              <w:top w:val="single" w:sz="4" w:space="0" w:color="auto"/>
              <w:left w:val="single" w:sz="4" w:space="0" w:color="auto"/>
              <w:bottom w:val="single" w:sz="4" w:space="0" w:color="auto"/>
              <w:right w:val="single" w:sz="4" w:space="0" w:color="auto"/>
            </w:tcBorders>
            <w:vAlign w:val="center"/>
            <w:hideMark/>
          </w:tcPr>
          <w:p w14:paraId="53A4B088" w14:textId="77777777" w:rsidR="00E51CDD" w:rsidRPr="00E862D9" w:rsidRDefault="00E51CDD" w:rsidP="009938D9">
            <w:pPr>
              <w:widowControl w:val="0"/>
              <w:suppressAutoHyphens/>
              <w:rPr>
                <w:sz w:val="20"/>
                <w:lang w:eastAsia="en-US"/>
              </w:rPr>
            </w:pPr>
            <w:r w:rsidRPr="00E862D9">
              <w:rPr>
                <w:sz w:val="20"/>
                <w:lang w:eastAsia="en-US"/>
              </w:rPr>
              <w:t>344.3</w:t>
            </w:r>
          </w:p>
        </w:tc>
      </w:tr>
      <w:tr w:rsidR="00E51CDD" w:rsidRPr="00E862D9" w14:paraId="6C803F99" w14:textId="77777777" w:rsidTr="009938D9">
        <w:tc>
          <w:tcPr>
            <w:tcW w:w="2178" w:type="dxa"/>
            <w:tcBorders>
              <w:top w:val="single" w:sz="4" w:space="0" w:color="auto"/>
              <w:left w:val="single" w:sz="4" w:space="0" w:color="auto"/>
              <w:bottom w:val="single" w:sz="4" w:space="0" w:color="auto"/>
              <w:right w:val="single" w:sz="4" w:space="0" w:color="auto"/>
            </w:tcBorders>
            <w:vAlign w:val="center"/>
            <w:hideMark/>
          </w:tcPr>
          <w:p w14:paraId="75A1F325" w14:textId="77777777" w:rsidR="00E51CDD" w:rsidRPr="00E862D9" w:rsidRDefault="00E51CDD" w:rsidP="009938D9">
            <w:pPr>
              <w:widowControl w:val="0"/>
              <w:suppressAutoHyphens/>
              <w:rPr>
                <w:sz w:val="20"/>
                <w:lang w:eastAsia="en-US"/>
              </w:rPr>
            </w:pPr>
            <w:r w:rsidRPr="00E862D9">
              <w:rPr>
                <w:sz w:val="20"/>
                <w:lang w:eastAsia="en-US"/>
              </w:rPr>
              <w:t>142.9</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0F9C35B" w14:textId="77777777" w:rsidR="00E51CDD" w:rsidRPr="00E862D9" w:rsidRDefault="00E51CDD" w:rsidP="009938D9">
            <w:pPr>
              <w:widowControl w:val="0"/>
              <w:suppressAutoHyphens/>
              <w:rPr>
                <w:sz w:val="20"/>
                <w:lang w:eastAsia="en-US"/>
              </w:rPr>
            </w:pPr>
            <w:r w:rsidRPr="00E862D9">
              <w:rPr>
                <w:sz w:val="20"/>
                <w:lang w:eastAsia="en-US"/>
              </w:rPr>
              <w:t>121.7</w:t>
            </w:r>
          </w:p>
        </w:tc>
        <w:tc>
          <w:tcPr>
            <w:tcW w:w="3083" w:type="dxa"/>
            <w:tcBorders>
              <w:top w:val="single" w:sz="4" w:space="0" w:color="auto"/>
              <w:left w:val="single" w:sz="4" w:space="0" w:color="auto"/>
              <w:bottom w:val="single" w:sz="4" w:space="0" w:color="auto"/>
              <w:right w:val="single" w:sz="4" w:space="0" w:color="auto"/>
            </w:tcBorders>
            <w:vAlign w:val="center"/>
            <w:hideMark/>
          </w:tcPr>
          <w:p w14:paraId="68C87012" w14:textId="77777777" w:rsidR="00E51CDD" w:rsidRPr="00E862D9" w:rsidRDefault="00E51CDD" w:rsidP="009938D9">
            <w:pPr>
              <w:widowControl w:val="0"/>
              <w:suppressAutoHyphens/>
              <w:rPr>
                <w:sz w:val="20"/>
                <w:lang w:eastAsia="en-US"/>
              </w:rPr>
            </w:pPr>
            <w:r w:rsidRPr="00E862D9">
              <w:rPr>
                <w:sz w:val="20"/>
                <w:lang w:eastAsia="en-US"/>
              </w:rPr>
              <w:t>458.4</w:t>
            </w:r>
          </w:p>
        </w:tc>
      </w:tr>
      <w:tr w:rsidR="00E51CDD" w:rsidRPr="00E862D9" w14:paraId="2D3B37A6" w14:textId="77777777" w:rsidTr="009938D9">
        <w:tc>
          <w:tcPr>
            <w:tcW w:w="2178" w:type="dxa"/>
            <w:tcBorders>
              <w:top w:val="single" w:sz="4" w:space="0" w:color="auto"/>
              <w:left w:val="single" w:sz="4" w:space="0" w:color="auto"/>
              <w:bottom w:val="single" w:sz="4" w:space="0" w:color="auto"/>
              <w:right w:val="single" w:sz="4" w:space="0" w:color="auto"/>
            </w:tcBorders>
            <w:vAlign w:val="center"/>
            <w:hideMark/>
          </w:tcPr>
          <w:p w14:paraId="0F14C15A" w14:textId="77777777" w:rsidR="00E51CDD" w:rsidRPr="00E862D9" w:rsidRDefault="00E51CDD" w:rsidP="009938D9">
            <w:pPr>
              <w:widowControl w:val="0"/>
              <w:suppressAutoHyphens/>
              <w:rPr>
                <w:sz w:val="20"/>
                <w:lang w:eastAsia="en-US"/>
              </w:rPr>
            </w:pPr>
            <w:r w:rsidRPr="00E862D9">
              <w:rPr>
                <w:sz w:val="20"/>
                <w:lang w:eastAsia="en-US"/>
              </w:rPr>
              <w:t>200.0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A4A5B69" w14:textId="77777777" w:rsidR="00E51CDD" w:rsidRPr="00E862D9" w:rsidRDefault="00E51CDD" w:rsidP="009938D9">
            <w:pPr>
              <w:widowControl w:val="0"/>
              <w:suppressAutoHyphens/>
              <w:rPr>
                <w:sz w:val="20"/>
                <w:lang w:eastAsia="en-US"/>
              </w:rPr>
            </w:pPr>
            <w:r w:rsidRPr="00E862D9">
              <w:rPr>
                <w:sz w:val="20"/>
                <w:lang w:eastAsia="en-US"/>
              </w:rPr>
              <w:t>176.3</w:t>
            </w:r>
          </w:p>
        </w:tc>
        <w:tc>
          <w:tcPr>
            <w:tcW w:w="3083" w:type="dxa"/>
            <w:tcBorders>
              <w:top w:val="single" w:sz="4" w:space="0" w:color="auto"/>
              <w:left w:val="single" w:sz="4" w:space="0" w:color="auto"/>
              <w:bottom w:val="single" w:sz="4" w:space="0" w:color="auto"/>
              <w:right w:val="single" w:sz="4" w:space="0" w:color="auto"/>
            </w:tcBorders>
            <w:vAlign w:val="center"/>
            <w:hideMark/>
          </w:tcPr>
          <w:p w14:paraId="01A18A17" w14:textId="77777777" w:rsidR="00E51CDD" w:rsidRPr="00E862D9" w:rsidRDefault="00E51CDD" w:rsidP="009938D9">
            <w:pPr>
              <w:widowControl w:val="0"/>
              <w:suppressAutoHyphens/>
              <w:rPr>
                <w:sz w:val="20"/>
                <w:lang w:eastAsia="en-US"/>
              </w:rPr>
            </w:pPr>
            <w:r w:rsidRPr="00E862D9">
              <w:rPr>
                <w:sz w:val="20"/>
                <w:lang w:eastAsia="en-US"/>
              </w:rPr>
              <w:t>664.1</w:t>
            </w:r>
          </w:p>
        </w:tc>
      </w:tr>
    </w:tbl>
    <w:p w14:paraId="53D2A3FC" w14:textId="77777777" w:rsidR="00E51CDD" w:rsidRPr="00E862D9" w:rsidRDefault="00E51CDD" w:rsidP="00E51CDD">
      <w:pPr>
        <w:widowControl w:val="0"/>
        <w:suppressAutoHyphens/>
        <w:ind w:left="2041"/>
        <w:jc w:val="both"/>
        <w:rPr>
          <w:sz w:val="18"/>
          <w:lang w:eastAsia="en-US"/>
        </w:rPr>
      </w:pPr>
      <w:r w:rsidRPr="00E862D9">
        <w:rPr>
          <w:sz w:val="18"/>
          <w:vertAlign w:val="superscript"/>
          <w:lang w:eastAsia="en-US"/>
        </w:rPr>
        <w:t>*</w:t>
      </w:r>
      <w:r w:rsidRPr="00E862D9">
        <w:rPr>
          <w:sz w:val="18"/>
          <w:lang w:eastAsia="en-US"/>
        </w:rPr>
        <w:tab/>
        <w:t>calculated based on the nominal content of a.s. in BAS 700 04 F and a density of 1.130 g/cm³</w:t>
      </w:r>
    </w:p>
    <w:p w14:paraId="52E9E73B" w14:textId="77777777" w:rsidR="00E51CDD" w:rsidRPr="00E862D9" w:rsidRDefault="00E51CDD" w:rsidP="00E51CDD">
      <w:pPr>
        <w:widowControl w:val="0"/>
        <w:suppressAutoHyphens/>
        <w:ind w:left="2041"/>
        <w:jc w:val="both"/>
        <w:rPr>
          <w:lang w:eastAsia="en-US"/>
        </w:rPr>
      </w:pPr>
    </w:p>
    <w:p w14:paraId="72589B25" w14:textId="77777777" w:rsidR="00E51CDD" w:rsidRPr="00E862D9" w:rsidRDefault="00E51CDD" w:rsidP="00E51CDD">
      <w:pPr>
        <w:widowControl w:val="0"/>
        <w:suppressAutoHyphens/>
        <w:ind w:left="2041"/>
        <w:jc w:val="both"/>
        <w:rPr>
          <w:lang w:eastAsia="en-US"/>
        </w:rPr>
      </w:pPr>
    </w:p>
    <w:p w14:paraId="4C44DD0A" w14:textId="77777777" w:rsidR="00E51CDD" w:rsidRPr="00E862D9" w:rsidRDefault="00E51CDD" w:rsidP="00E51CDD">
      <w:pPr>
        <w:widowControl w:val="0"/>
        <w:suppressAutoHyphens/>
        <w:ind w:left="2041"/>
        <w:jc w:val="both"/>
        <w:rPr>
          <w:lang w:eastAsia="en-US"/>
        </w:rPr>
      </w:pPr>
      <w:r w:rsidRPr="00E862D9">
        <w:rPr>
          <w:lang w:eastAsia="en-US"/>
        </w:rPr>
        <w:t>Reference item: 1.5 μg dimethoate/bumble bee.</w:t>
      </w:r>
    </w:p>
    <w:p w14:paraId="08E0B98E" w14:textId="77777777" w:rsidR="00E51CDD" w:rsidRPr="00E862D9" w:rsidRDefault="00E51CDD" w:rsidP="00E51CDD">
      <w:pPr>
        <w:widowControl w:val="0"/>
        <w:suppressAutoHyphens/>
        <w:jc w:val="both"/>
        <w:rPr>
          <w:lang w:eastAsia="en-US"/>
        </w:rPr>
      </w:pPr>
    </w:p>
    <w:p w14:paraId="303B25CC" w14:textId="77777777" w:rsidR="00E51CDD" w:rsidRPr="00E862D9" w:rsidRDefault="00E51CDD" w:rsidP="00E51CDD">
      <w:pPr>
        <w:widowControl w:val="0"/>
        <w:suppressAutoHyphens/>
        <w:ind w:left="2041" w:hanging="2041"/>
        <w:jc w:val="both"/>
        <w:rPr>
          <w:lang w:eastAsia="en-US"/>
        </w:rPr>
      </w:pPr>
      <w:r w:rsidRPr="00E862D9">
        <w:rPr>
          <w:lang w:eastAsia="en-US"/>
        </w:rPr>
        <w:t>Test conditions:</w:t>
      </w:r>
      <w:r w:rsidRPr="00E862D9">
        <w:rPr>
          <w:lang w:eastAsia="en-US"/>
        </w:rPr>
        <w:tab/>
        <w:t>Temperature: 23.8°C – 26.3°C, relative humidity: 49.6% – 67.1%, photoperiod: 24 h darkness; food: 50% (w/v) aqueous sucrose solution.</w:t>
      </w:r>
    </w:p>
    <w:p w14:paraId="6825D933" w14:textId="77777777" w:rsidR="00E51CDD" w:rsidRPr="00E862D9" w:rsidRDefault="00E51CDD" w:rsidP="00E51CDD">
      <w:pPr>
        <w:widowControl w:val="0"/>
        <w:suppressAutoHyphens/>
        <w:ind w:left="2041" w:hanging="2041"/>
        <w:jc w:val="both"/>
        <w:rPr>
          <w:lang w:eastAsia="en-US"/>
        </w:rPr>
      </w:pPr>
    </w:p>
    <w:p w14:paraId="0F0A6E6B" w14:textId="77777777" w:rsidR="00E51CDD" w:rsidRPr="00E862D9" w:rsidRDefault="00E51CDD" w:rsidP="00E51CDD">
      <w:pPr>
        <w:widowControl w:val="0"/>
        <w:suppressAutoHyphens/>
        <w:ind w:left="2041" w:hanging="2041"/>
        <w:jc w:val="both"/>
        <w:rPr>
          <w:lang w:eastAsia="en-US"/>
        </w:rPr>
      </w:pPr>
      <w:r w:rsidRPr="00E862D9">
        <w:rPr>
          <w:lang w:eastAsia="en-US"/>
        </w:rPr>
        <w:t>Statistics:</w:t>
      </w:r>
      <w:r w:rsidRPr="00E862D9">
        <w:rPr>
          <w:lang w:eastAsia="en-US"/>
        </w:rPr>
        <w:tab/>
        <w:t>Descriptive statistics.</w:t>
      </w:r>
    </w:p>
    <w:p w14:paraId="1E3AC023" w14:textId="77777777" w:rsidR="00E51CDD" w:rsidRPr="00E862D9" w:rsidRDefault="00E51CDD" w:rsidP="00E51CDD">
      <w:pPr>
        <w:widowControl w:val="0"/>
        <w:suppressAutoHyphens/>
        <w:ind w:left="2041" w:hanging="2041"/>
        <w:jc w:val="both"/>
        <w:rPr>
          <w:lang w:eastAsia="en-US"/>
        </w:rPr>
      </w:pPr>
    </w:p>
    <w:p w14:paraId="4EE9BA35" w14:textId="77777777" w:rsidR="00E51CDD" w:rsidRPr="00E862D9" w:rsidRDefault="00E51CDD" w:rsidP="00E51CDD">
      <w:pPr>
        <w:widowControl w:val="0"/>
        <w:suppressAutoHyphens/>
        <w:ind w:left="2041" w:hanging="2041"/>
        <w:jc w:val="both"/>
        <w:rPr>
          <w:lang w:eastAsia="en-US"/>
        </w:rPr>
      </w:pPr>
      <w:r w:rsidRPr="00E862D9">
        <w:rPr>
          <w:color w:val="000000"/>
          <w:lang w:eastAsia="en-US"/>
        </w:rPr>
        <w:t>Analytics:</w:t>
      </w:r>
      <w:r w:rsidRPr="00E862D9">
        <w:rPr>
          <w:color w:val="000000"/>
          <w:lang w:eastAsia="en-US"/>
        </w:rPr>
        <w:tab/>
        <w:t>Not applicable.</w:t>
      </w:r>
    </w:p>
    <w:p w14:paraId="779965A2" w14:textId="77777777" w:rsidR="00E51CDD" w:rsidRDefault="00E51CDD" w:rsidP="00E51CDD">
      <w:pPr>
        <w:widowControl w:val="0"/>
        <w:suppressAutoHyphens/>
      </w:pPr>
    </w:p>
    <w:p w14:paraId="52DCE4A6" w14:textId="77777777" w:rsidR="00E51CDD" w:rsidRPr="00E862D9" w:rsidRDefault="00E51CDD" w:rsidP="00E51CDD">
      <w:pPr>
        <w:widowControl w:val="0"/>
        <w:suppressAutoHyphens/>
      </w:pPr>
      <w:r>
        <w:br w:type="page"/>
      </w:r>
    </w:p>
    <w:p w14:paraId="7F3C8440" w14:textId="77777777" w:rsidR="00E51CDD" w:rsidRPr="00E862D9" w:rsidRDefault="00E51CDD" w:rsidP="00E51CDD">
      <w:pPr>
        <w:tabs>
          <w:tab w:val="left" w:pos="425"/>
        </w:tabs>
        <w:suppressAutoHyphens/>
        <w:ind w:left="2835" w:hanging="2835"/>
        <w:jc w:val="both"/>
        <w:rPr>
          <w:b/>
          <w:bCs/>
          <w:lang w:eastAsia="zh-CN"/>
        </w:rPr>
      </w:pPr>
      <w:r w:rsidRPr="00E862D9">
        <w:rPr>
          <w:b/>
          <w:bCs/>
          <w:lang w:eastAsia="zh-CN"/>
        </w:rPr>
        <w:lastRenderedPageBreak/>
        <w:t>II.</w:t>
      </w:r>
      <w:r w:rsidRPr="00E862D9">
        <w:rPr>
          <w:b/>
          <w:bCs/>
          <w:lang w:eastAsia="zh-CN"/>
        </w:rPr>
        <w:tab/>
        <w:t>RESULTS AND DISCUSSION</w:t>
      </w:r>
    </w:p>
    <w:p w14:paraId="4FAA842F" w14:textId="77777777" w:rsidR="00E51CDD" w:rsidRPr="00E862D9" w:rsidRDefault="00E51CDD" w:rsidP="00E51CDD">
      <w:pPr>
        <w:widowControl w:val="0"/>
        <w:suppressAutoHyphens/>
      </w:pPr>
    </w:p>
    <w:p w14:paraId="5B9DDF81" w14:textId="77777777" w:rsidR="00E51CDD" w:rsidRDefault="00E51CDD" w:rsidP="00E51CDD">
      <w:pPr>
        <w:widowControl w:val="0"/>
        <w:suppressAutoHyphens/>
        <w:jc w:val="both"/>
        <w:rPr>
          <w:lang w:eastAsia="en-US"/>
        </w:rPr>
      </w:pPr>
      <w:r w:rsidRPr="00E862D9">
        <w:rPr>
          <w:lang w:eastAsia="en-US"/>
        </w:rPr>
        <w:t>After 96 hours of oral exposure, no mortality was observed in the control group. At the end of the 96-hour exposure period no mortality was recorded at the nominal dose level of 200 µg a.s./bumble bee. The maximum mortality of 3.33% was recorded at the nominal dose of 102 µg a.s./bumble bee. At the assessment after 4 hours affected and moribund bees were observed in the three highest dose levels tested. At each nominal dose of 52.1 and 102.0 µg a.s./bumble bee, one affected bee was observed at the assessment after 48 hours. At the assessments 24, 72 and 96 hours after test start no sub-lethal effects or abnormal behavior were observed. The results are summarized below.</w:t>
      </w:r>
    </w:p>
    <w:p w14:paraId="52944F4C" w14:textId="77777777" w:rsidR="00E51CDD" w:rsidRPr="00E862D9" w:rsidRDefault="00E51CDD" w:rsidP="00E51CDD">
      <w:pPr>
        <w:widowControl w:val="0"/>
        <w:suppressAutoHyphens/>
        <w:jc w:val="both"/>
        <w:rPr>
          <w:sz w:val="24"/>
          <w:szCs w:val="24"/>
          <w:lang w:eastAsia="en-US"/>
        </w:rPr>
      </w:pPr>
    </w:p>
    <w:p w14:paraId="1EB304FB" w14:textId="530F0C9D" w:rsidR="00E51CDD" w:rsidRPr="00D1129D" w:rsidRDefault="00E51CDD" w:rsidP="00E51CDD">
      <w:pPr>
        <w:pStyle w:val="Legenda"/>
        <w:rPr>
          <w:b w:val="0"/>
          <w:bCs w:val="0"/>
          <w:sz w:val="22"/>
          <w:szCs w:val="22"/>
        </w:rPr>
      </w:pPr>
      <w:r w:rsidRPr="00D1129D">
        <w:rPr>
          <w:sz w:val="22"/>
          <w:szCs w:val="22"/>
        </w:rPr>
        <w:t xml:space="preserve">Table A </w:t>
      </w:r>
      <w:r w:rsidRPr="00D1129D">
        <w:rPr>
          <w:sz w:val="22"/>
          <w:szCs w:val="22"/>
        </w:rPr>
        <w:fldChar w:fldCharType="begin"/>
      </w:r>
      <w:r w:rsidRPr="00D1129D">
        <w:rPr>
          <w:sz w:val="22"/>
          <w:szCs w:val="22"/>
        </w:rPr>
        <w:instrText xml:space="preserve"> SEQ Table_A \* ARABIC </w:instrText>
      </w:r>
      <w:r w:rsidRPr="00D1129D">
        <w:rPr>
          <w:sz w:val="22"/>
          <w:szCs w:val="22"/>
        </w:rPr>
        <w:fldChar w:fldCharType="separate"/>
      </w:r>
      <w:r w:rsidR="00662F32">
        <w:rPr>
          <w:noProof/>
          <w:sz w:val="22"/>
          <w:szCs w:val="22"/>
        </w:rPr>
        <w:t>14</w:t>
      </w:r>
      <w:r w:rsidRPr="00D1129D">
        <w:rPr>
          <w:sz w:val="22"/>
          <w:szCs w:val="22"/>
        </w:rPr>
        <w:fldChar w:fldCharType="end"/>
      </w:r>
      <w:r>
        <w:rPr>
          <w:sz w:val="22"/>
          <w:szCs w:val="22"/>
        </w:rPr>
        <w:t>:</w:t>
      </w:r>
      <w:r w:rsidRPr="00D1129D">
        <w:rPr>
          <w:sz w:val="22"/>
          <w:szCs w:val="22"/>
        </w:rPr>
        <w:tab/>
        <w:t xml:space="preserve">Toxicity of BAS 700 04 F to </w:t>
      </w:r>
      <w:r w:rsidRPr="00D1129D">
        <w:rPr>
          <w:i/>
          <w:iCs/>
          <w:sz w:val="22"/>
          <w:szCs w:val="22"/>
        </w:rPr>
        <w:t>Bombus terrestris</w:t>
      </w:r>
      <w:r w:rsidRPr="00D1129D">
        <w:rPr>
          <w:sz w:val="22"/>
          <w:szCs w:val="22"/>
        </w:rPr>
        <w:t xml:space="preserve"> (bumble bee) in an oral toxicity test</w:t>
      </w:r>
    </w:p>
    <w:tbl>
      <w:tblPr>
        <w:tblStyle w:val="Tabela-Siatka"/>
        <w:tblW w:w="5000" w:type="pct"/>
        <w:jc w:val="center"/>
        <w:tblLook w:val="04A0" w:firstRow="1" w:lastRow="0" w:firstColumn="1" w:lastColumn="0" w:noHBand="0" w:noVBand="1"/>
      </w:tblPr>
      <w:tblGrid>
        <w:gridCol w:w="1904"/>
        <w:gridCol w:w="2076"/>
        <w:gridCol w:w="1342"/>
        <w:gridCol w:w="1340"/>
        <w:gridCol w:w="1340"/>
        <w:gridCol w:w="1342"/>
      </w:tblGrid>
      <w:tr w:rsidR="00E51CDD" w:rsidRPr="00E862D9" w14:paraId="572F64B0" w14:textId="77777777" w:rsidTr="009938D9">
        <w:trPr>
          <w:trHeight w:val="338"/>
          <w:jc w:val="center"/>
        </w:trPr>
        <w:tc>
          <w:tcPr>
            <w:tcW w:w="1019" w:type="pct"/>
            <w:vMerge w:val="restart"/>
            <w:tcBorders>
              <w:top w:val="single" w:sz="4" w:space="0" w:color="auto"/>
              <w:left w:val="single" w:sz="4" w:space="0" w:color="auto"/>
              <w:bottom w:val="single" w:sz="4" w:space="0" w:color="auto"/>
              <w:right w:val="single" w:sz="4" w:space="0" w:color="auto"/>
            </w:tcBorders>
            <w:vAlign w:val="center"/>
            <w:hideMark/>
          </w:tcPr>
          <w:p w14:paraId="54D2DA03" w14:textId="77777777" w:rsidR="00E51CDD" w:rsidRPr="00E862D9" w:rsidRDefault="00E51CDD" w:rsidP="009938D9">
            <w:pPr>
              <w:suppressAutoHyphens/>
              <w:rPr>
                <w:b/>
                <w:sz w:val="20"/>
                <w:szCs w:val="20"/>
                <w:lang w:eastAsia="en-US"/>
              </w:rPr>
            </w:pPr>
            <w:r w:rsidRPr="00E862D9">
              <w:rPr>
                <w:b/>
                <w:sz w:val="20"/>
                <w:szCs w:val="20"/>
                <w:lang w:eastAsia="en-US"/>
              </w:rPr>
              <w:t>Treatment</w:t>
            </w:r>
            <w:r w:rsidRPr="00E862D9">
              <w:rPr>
                <w:b/>
                <w:sz w:val="20"/>
                <w:szCs w:val="20"/>
                <w:lang w:eastAsia="en-US"/>
              </w:rPr>
              <w:br/>
              <w:t>[µg a.s./bumble bee]</w:t>
            </w:r>
          </w:p>
        </w:tc>
        <w:tc>
          <w:tcPr>
            <w:tcW w:w="1111" w:type="pct"/>
            <w:vMerge w:val="restart"/>
            <w:tcBorders>
              <w:top w:val="single" w:sz="4" w:space="0" w:color="auto"/>
              <w:left w:val="single" w:sz="4" w:space="0" w:color="auto"/>
              <w:bottom w:val="single" w:sz="4" w:space="0" w:color="auto"/>
              <w:right w:val="single" w:sz="4" w:space="0" w:color="auto"/>
            </w:tcBorders>
            <w:vAlign w:val="center"/>
            <w:hideMark/>
          </w:tcPr>
          <w:p w14:paraId="38029436" w14:textId="77777777" w:rsidR="00E51CDD" w:rsidRPr="00E862D9" w:rsidRDefault="00E51CDD" w:rsidP="009938D9">
            <w:pPr>
              <w:suppressAutoHyphens/>
              <w:rPr>
                <w:b/>
                <w:sz w:val="20"/>
                <w:szCs w:val="20"/>
                <w:lang w:eastAsia="en-US"/>
              </w:rPr>
            </w:pPr>
            <w:r w:rsidRPr="00E862D9">
              <w:rPr>
                <w:b/>
                <w:sz w:val="20"/>
                <w:szCs w:val="20"/>
                <w:lang w:eastAsia="en-US"/>
              </w:rPr>
              <w:t>Intake</w:t>
            </w:r>
            <w:r w:rsidRPr="00E862D9">
              <w:rPr>
                <w:b/>
                <w:sz w:val="20"/>
                <w:szCs w:val="20"/>
                <w:lang w:eastAsia="en-US"/>
              </w:rPr>
              <w:br/>
              <w:t>[µg a.s./bumble bee]</w:t>
            </w:r>
          </w:p>
        </w:tc>
        <w:tc>
          <w:tcPr>
            <w:tcW w:w="2869" w:type="pct"/>
            <w:gridSpan w:val="4"/>
            <w:tcBorders>
              <w:top w:val="single" w:sz="4" w:space="0" w:color="auto"/>
              <w:left w:val="single" w:sz="4" w:space="0" w:color="auto"/>
              <w:bottom w:val="single" w:sz="4" w:space="0" w:color="auto"/>
              <w:right w:val="single" w:sz="4" w:space="0" w:color="auto"/>
            </w:tcBorders>
            <w:vAlign w:val="center"/>
            <w:hideMark/>
          </w:tcPr>
          <w:p w14:paraId="55FC9D67" w14:textId="77777777" w:rsidR="00E51CDD" w:rsidRPr="00E862D9" w:rsidRDefault="00E51CDD" w:rsidP="009938D9">
            <w:pPr>
              <w:suppressAutoHyphens/>
              <w:rPr>
                <w:b/>
                <w:sz w:val="20"/>
                <w:szCs w:val="20"/>
                <w:lang w:eastAsia="en-US"/>
              </w:rPr>
            </w:pPr>
            <w:r w:rsidRPr="00E862D9">
              <w:rPr>
                <w:b/>
                <w:sz w:val="20"/>
                <w:szCs w:val="20"/>
                <w:lang w:eastAsia="en-US"/>
              </w:rPr>
              <w:t xml:space="preserve">Mortality </w:t>
            </w:r>
            <w:r w:rsidRPr="00E862D9">
              <w:rPr>
                <w:b/>
                <w:bCs/>
                <w:sz w:val="20"/>
                <w:szCs w:val="20"/>
                <w:lang w:eastAsia="en-US"/>
              </w:rPr>
              <w:t>[%]</w:t>
            </w:r>
          </w:p>
        </w:tc>
      </w:tr>
      <w:tr w:rsidR="00E51CDD" w:rsidRPr="00E862D9" w14:paraId="6F4475E7" w14:textId="77777777" w:rsidTr="009938D9">
        <w:trPr>
          <w:trHeight w:val="27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369FD5" w14:textId="77777777" w:rsidR="00E51CDD" w:rsidRPr="00E862D9" w:rsidRDefault="00E51CDD" w:rsidP="009938D9">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9E9DCC" w14:textId="77777777" w:rsidR="00E51CDD" w:rsidRPr="00E862D9" w:rsidRDefault="00E51CDD" w:rsidP="009938D9">
            <w:pPr>
              <w:rPr>
                <w:b/>
                <w:sz w:val="20"/>
                <w:szCs w:val="20"/>
                <w:lang w:eastAsia="en-US"/>
              </w:rPr>
            </w:pPr>
          </w:p>
        </w:tc>
        <w:tc>
          <w:tcPr>
            <w:tcW w:w="718" w:type="pct"/>
            <w:tcBorders>
              <w:top w:val="single" w:sz="4" w:space="0" w:color="auto"/>
              <w:left w:val="single" w:sz="4" w:space="0" w:color="auto"/>
              <w:bottom w:val="single" w:sz="4" w:space="0" w:color="auto"/>
              <w:right w:val="single" w:sz="4" w:space="0" w:color="auto"/>
            </w:tcBorders>
            <w:vAlign w:val="center"/>
            <w:hideMark/>
          </w:tcPr>
          <w:p w14:paraId="121878C6" w14:textId="77777777" w:rsidR="00E51CDD" w:rsidRPr="00E862D9" w:rsidRDefault="00E51CDD" w:rsidP="009938D9">
            <w:pPr>
              <w:suppressAutoHyphens/>
              <w:rPr>
                <w:b/>
                <w:sz w:val="20"/>
                <w:szCs w:val="20"/>
                <w:lang w:eastAsia="en-US"/>
              </w:rPr>
            </w:pPr>
            <w:r w:rsidRPr="00E862D9">
              <w:rPr>
                <w:b/>
                <w:sz w:val="20"/>
                <w:szCs w:val="20"/>
                <w:lang w:eastAsia="en-US"/>
              </w:rPr>
              <w:t>24 h</w:t>
            </w:r>
          </w:p>
        </w:tc>
        <w:tc>
          <w:tcPr>
            <w:tcW w:w="717" w:type="pct"/>
            <w:tcBorders>
              <w:top w:val="single" w:sz="4" w:space="0" w:color="auto"/>
              <w:left w:val="single" w:sz="4" w:space="0" w:color="auto"/>
              <w:bottom w:val="single" w:sz="4" w:space="0" w:color="auto"/>
              <w:right w:val="single" w:sz="4" w:space="0" w:color="auto"/>
            </w:tcBorders>
            <w:vAlign w:val="center"/>
            <w:hideMark/>
          </w:tcPr>
          <w:p w14:paraId="4FDDF95A" w14:textId="77777777" w:rsidR="00E51CDD" w:rsidRPr="00E862D9" w:rsidRDefault="00E51CDD" w:rsidP="009938D9">
            <w:pPr>
              <w:suppressAutoHyphens/>
              <w:rPr>
                <w:b/>
                <w:sz w:val="20"/>
                <w:szCs w:val="20"/>
                <w:lang w:eastAsia="en-US"/>
              </w:rPr>
            </w:pPr>
            <w:r w:rsidRPr="00E862D9">
              <w:rPr>
                <w:b/>
                <w:sz w:val="20"/>
                <w:szCs w:val="20"/>
                <w:lang w:eastAsia="en-US"/>
              </w:rPr>
              <w:t>48 h</w:t>
            </w:r>
          </w:p>
        </w:tc>
        <w:tc>
          <w:tcPr>
            <w:tcW w:w="717" w:type="pct"/>
            <w:tcBorders>
              <w:top w:val="single" w:sz="4" w:space="0" w:color="auto"/>
              <w:left w:val="single" w:sz="4" w:space="0" w:color="auto"/>
              <w:bottom w:val="single" w:sz="4" w:space="0" w:color="auto"/>
              <w:right w:val="single" w:sz="4" w:space="0" w:color="auto"/>
            </w:tcBorders>
            <w:vAlign w:val="center"/>
            <w:hideMark/>
          </w:tcPr>
          <w:p w14:paraId="11B3DF18" w14:textId="77777777" w:rsidR="00E51CDD" w:rsidRPr="00E862D9" w:rsidRDefault="00E51CDD" w:rsidP="009938D9">
            <w:pPr>
              <w:suppressAutoHyphens/>
              <w:rPr>
                <w:b/>
                <w:sz w:val="20"/>
                <w:szCs w:val="20"/>
                <w:lang w:eastAsia="en-US"/>
              </w:rPr>
            </w:pPr>
            <w:r w:rsidRPr="00E862D9">
              <w:rPr>
                <w:b/>
                <w:sz w:val="20"/>
                <w:szCs w:val="20"/>
                <w:lang w:eastAsia="en-US"/>
              </w:rPr>
              <w:t>72 h</w:t>
            </w:r>
          </w:p>
        </w:tc>
        <w:tc>
          <w:tcPr>
            <w:tcW w:w="718" w:type="pct"/>
            <w:tcBorders>
              <w:top w:val="single" w:sz="4" w:space="0" w:color="auto"/>
              <w:left w:val="single" w:sz="4" w:space="0" w:color="auto"/>
              <w:bottom w:val="single" w:sz="4" w:space="0" w:color="auto"/>
              <w:right w:val="single" w:sz="4" w:space="0" w:color="auto"/>
            </w:tcBorders>
            <w:vAlign w:val="center"/>
            <w:hideMark/>
          </w:tcPr>
          <w:p w14:paraId="3C8256B0" w14:textId="77777777" w:rsidR="00E51CDD" w:rsidRPr="00E862D9" w:rsidRDefault="00E51CDD" w:rsidP="009938D9">
            <w:pPr>
              <w:suppressAutoHyphens/>
              <w:rPr>
                <w:b/>
                <w:sz w:val="20"/>
                <w:szCs w:val="20"/>
                <w:lang w:eastAsia="en-US"/>
              </w:rPr>
            </w:pPr>
            <w:r w:rsidRPr="00E862D9">
              <w:rPr>
                <w:b/>
                <w:sz w:val="20"/>
                <w:szCs w:val="20"/>
                <w:lang w:eastAsia="en-US"/>
              </w:rPr>
              <w:t>96 h</w:t>
            </w:r>
          </w:p>
        </w:tc>
      </w:tr>
      <w:tr w:rsidR="00E51CDD" w:rsidRPr="00E862D9" w14:paraId="51E2C98F" w14:textId="77777777" w:rsidTr="009938D9">
        <w:trPr>
          <w:trHeight w:val="409"/>
          <w:jc w:val="center"/>
        </w:trPr>
        <w:tc>
          <w:tcPr>
            <w:tcW w:w="1019" w:type="pct"/>
            <w:tcBorders>
              <w:top w:val="single" w:sz="4" w:space="0" w:color="auto"/>
              <w:left w:val="single" w:sz="4" w:space="0" w:color="auto"/>
              <w:bottom w:val="single" w:sz="4" w:space="0" w:color="auto"/>
              <w:right w:val="single" w:sz="4" w:space="0" w:color="auto"/>
            </w:tcBorders>
            <w:vAlign w:val="center"/>
            <w:hideMark/>
          </w:tcPr>
          <w:p w14:paraId="306C0233" w14:textId="77777777" w:rsidR="00E51CDD" w:rsidRPr="00E862D9" w:rsidRDefault="00E51CDD" w:rsidP="009938D9">
            <w:pPr>
              <w:widowControl w:val="0"/>
              <w:suppressAutoHyphens/>
              <w:overflowPunct w:val="0"/>
              <w:autoSpaceDE w:val="0"/>
              <w:autoSpaceDN w:val="0"/>
              <w:adjustRightInd w:val="0"/>
              <w:spacing w:before="40" w:after="40"/>
              <w:textAlignment w:val="baseline"/>
              <w:rPr>
                <w:sz w:val="20"/>
                <w:szCs w:val="20"/>
                <w:lang w:eastAsia="en-US"/>
              </w:rPr>
            </w:pPr>
            <w:r w:rsidRPr="00E862D9">
              <w:rPr>
                <w:sz w:val="20"/>
                <w:szCs w:val="20"/>
                <w:lang w:eastAsia="en-US"/>
              </w:rPr>
              <w:t>Control</w:t>
            </w:r>
          </w:p>
        </w:tc>
        <w:tc>
          <w:tcPr>
            <w:tcW w:w="1111" w:type="pct"/>
            <w:tcBorders>
              <w:top w:val="single" w:sz="4" w:space="0" w:color="auto"/>
              <w:left w:val="single" w:sz="4" w:space="0" w:color="auto"/>
              <w:bottom w:val="single" w:sz="4" w:space="0" w:color="auto"/>
              <w:right w:val="single" w:sz="4" w:space="0" w:color="auto"/>
            </w:tcBorders>
            <w:vAlign w:val="center"/>
            <w:hideMark/>
          </w:tcPr>
          <w:p w14:paraId="3A9D2BEE" w14:textId="77777777" w:rsidR="00E51CDD" w:rsidRPr="00E862D9" w:rsidRDefault="00E51CDD" w:rsidP="009938D9">
            <w:pPr>
              <w:suppressAutoHyphens/>
              <w:rPr>
                <w:sz w:val="20"/>
                <w:szCs w:val="20"/>
                <w:lang w:eastAsia="en-US"/>
              </w:rPr>
            </w:pPr>
            <w:r w:rsidRPr="00E862D9">
              <w:rPr>
                <w:sz w:val="20"/>
                <w:szCs w:val="20"/>
                <w:lang w:eastAsia="en-US"/>
              </w:rPr>
              <w:t>--</w:t>
            </w:r>
          </w:p>
        </w:tc>
        <w:tc>
          <w:tcPr>
            <w:tcW w:w="718" w:type="pct"/>
            <w:tcBorders>
              <w:top w:val="single" w:sz="4" w:space="0" w:color="auto"/>
              <w:left w:val="single" w:sz="4" w:space="0" w:color="auto"/>
              <w:bottom w:val="single" w:sz="4" w:space="0" w:color="auto"/>
              <w:right w:val="single" w:sz="4" w:space="0" w:color="auto"/>
            </w:tcBorders>
            <w:vAlign w:val="center"/>
            <w:hideMark/>
          </w:tcPr>
          <w:p w14:paraId="3AAB154A"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7" w:type="pct"/>
            <w:tcBorders>
              <w:top w:val="single" w:sz="4" w:space="0" w:color="auto"/>
              <w:left w:val="single" w:sz="4" w:space="0" w:color="auto"/>
              <w:bottom w:val="single" w:sz="4" w:space="0" w:color="auto"/>
              <w:right w:val="single" w:sz="4" w:space="0" w:color="auto"/>
            </w:tcBorders>
            <w:vAlign w:val="center"/>
            <w:hideMark/>
          </w:tcPr>
          <w:p w14:paraId="505C8AD4"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7" w:type="pct"/>
            <w:tcBorders>
              <w:top w:val="single" w:sz="4" w:space="0" w:color="auto"/>
              <w:left w:val="single" w:sz="4" w:space="0" w:color="auto"/>
              <w:bottom w:val="single" w:sz="4" w:space="0" w:color="auto"/>
              <w:right w:val="single" w:sz="4" w:space="0" w:color="auto"/>
            </w:tcBorders>
            <w:vAlign w:val="center"/>
            <w:hideMark/>
          </w:tcPr>
          <w:p w14:paraId="0946C3C8"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8" w:type="pct"/>
            <w:tcBorders>
              <w:top w:val="single" w:sz="4" w:space="0" w:color="auto"/>
              <w:left w:val="single" w:sz="4" w:space="0" w:color="auto"/>
              <w:bottom w:val="single" w:sz="4" w:space="0" w:color="auto"/>
              <w:right w:val="single" w:sz="4" w:space="0" w:color="auto"/>
            </w:tcBorders>
            <w:vAlign w:val="center"/>
            <w:hideMark/>
          </w:tcPr>
          <w:p w14:paraId="7AD17E2F" w14:textId="77777777" w:rsidR="00E51CDD" w:rsidRPr="00E862D9" w:rsidRDefault="00E51CDD" w:rsidP="009938D9">
            <w:pPr>
              <w:suppressAutoHyphens/>
              <w:rPr>
                <w:sz w:val="20"/>
                <w:szCs w:val="20"/>
                <w:lang w:eastAsia="en-US"/>
              </w:rPr>
            </w:pPr>
            <w:r w:rsidRPr="00E862D9">
              <w:rPr>
                <w:sz w:val="20"/>
                <w:szCs w:val="20"/>
                <w:lang w:eastAsia="en-US"/>
              </w:rPr>
              <w:t>0.0</w:t>
            </w:r>
          </w:p>
        </w:tc>
      </w:tr>
      <w:tr w:rsidR="00E51CDD" w:rsidRPr="00E862D9" w14:paraId="5F51AE26" w14:textId="77777777" w:rsidTr="009938D9">
        <w:trPr>
          <w:trHeight w:val="408"/>
          <w:jc w:val="center"/>
        </w:trPr>
        <w:tc>
          <w:tcPr>
            <w:tcW w:w="1019" w:type="pct"/>
            <w:tcBorders>
              <w:top w:val="single" w:sz="4" w:space="0" w:color="auto"/>
              <w:left w:val="single" w:sz="4" w:space="0" w:color="auto"/>
              <w:bottom w:val="single" w:sz="4" w:space="0" w:color="auto"/>
              <w:right w:val="single" w:sz="4" w:space="0" w:color="auto"/>
            </w:tcBorders>
            <w:vAlign w:val="center"/>
            <w:hideMark/>
          </w:tcPr>
          <w:p w14:paraId="045B4FCA" w14:textId="77777777" w:rsidR="00E51CDD" w:rsidRPr="00E862D9" w:rsidRDefault="00E51CDD" w:rsidP="009938D9">
            <w:pPr>
              <w:widowControl w:val="0"/>
              <w:suppressAutoHyphens/>
              <w:rPr>
                <w:sz w:val="20"/>
                <w:lang w:eastAsia="en-US"/>
              </w:rPr>
            </w:pPr>
            <w:r w:rsidRPr="00E862D9">
              <w:rPr>
                <w:sz w:val="20"/>
                <w:lang w:eastAsia="en-US"/>
              </w:rPr>
              <w:t>52.1</w:t>
            </w:r>
          </w:p>
        </w:tc>
        <w:tc>
          <w:tcPr>
            <w:tcW w:w="1111" w:type="pct"/>
            <w:tcBorders>
              <w:top w:val="single" w:sz="4" w:space="0" w:color="auto"/>
              <w:left w:val="single" w:sz="4" w:space="0" w:color="auto"/>
              <w:bottom w:val="single" w:sz="4" w:space="0" w:color="auto"/>
              <w:right w:val="single" w:sz="4" w:space="0" w:color="auto"/>
            </w:tcBorders>
            <w:vAlign w:val="center"/>
            <w:hideMark/>
          </w:tcPr>
          <w:p w14:paraId="3E10ADE2" w14:textId="77777777" w:rsidR="00E51CDD" w:rsidRPr="00E862D9" w:rsidRDefault="00E51CDD" w:rsidP="009938D9">
            <w:pPr>
              <w:widowControl w:val="0"/>
              <w:suppressAutoHyphens/>
              <w:rPr>
                <w:sz w:val="20"/>
                <w:lang w:eastAsia="en-US"/>
              </w:rPr>
            </w:pPr>
            <w:r w:rsidRPr="00E862D9">
              <w:rPr>
                <w:sz w:val="20"/>
                <w:lang w:eastAsia="en-US"/>
              </w:rPr>
              <w:t>50.1</w:t>
            </w:r>
          </w:p>
        </w:tc>
        <w:tc>
          <w:tcPr>
            <w:tcW w:w="718" w:type="pct"/>
            <w:tcBorders>
              <w:top w:val="single" w:sz="4" w:space="0" w:color="auto"/>
              <w:left w:val="single" w:sz="4" w:space="0" w:color="auto"/>
              <w:bottom w:val="single" w:sz="4" w:space="0" w:color="auto"/>
              <w:right w:val="single" w:sz="4" w:space="0" w:color="auto"/>
            </w:tcBorders>
            <w:vAlign w:val="center"/>
            <w:hideMark/>
          </w:tcPr>
          <w:p w14:paraId="20EB851B"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7" w:type="pct"/>
            <w:tcBorders>
              <w:top w:val="single" w:sz="4" w:space="0" w:color="auto"/>
              <w:left w:val="single" w:sz="4" w:space="0" w:color="auto"/>
              <w:bottom w:val="single" w:sz="4" w:space="0" w:color="auto"/>
              <w:right w:val="single" w:sz="4" w:space="0" w:color="auto"/>
            </w:tcBorders>
            <w:vAlign w:val="center"/>
            <w:hideMark/>
          </w:tcPr>
          <w:p w14:paraId="065E13A9"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7" w:type="pct"/>
            <w:tcBorders>
              <w:top w:val="single" w:sz="4" w:space="0" w:color="auto"/>
              <w:left w:val="single" w:sz="4" w:space="0" w:color="auto"/>
              <w:bottom w:val="single" w:sz="4" w:space="0" w:color="auto"/>
              <w:right w:val="single" w:sz="4" w:space="0" w:color="auto"/>
            </w:tcBorders>
            <w:vAlign w:val="center"/>
            <w:hideMark/>
          </w:tcPr>
          <w:p w14:paraId="6224EC5F"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8" w:type="pct"/>
            <w:tcBorders>
              <w:top w:val="single" w:sz="4" w:space="0" w:color="auto"/>
              <w:left w:val="single" w:sz="4" w:space="0" w:color="auto"/>
              <w:bottom w:val="single" w:sz="4" w:space="0" w:color="auto"/>
              <w:right w:val="single" w:sz="4" w:space="0" w:color="auto"/>
            </w:tcBorders>
            <w:vAlign w:val="center"/>
            <w:hideMark/>
          </w:tcPr>
          <w:p w14:paraId="3D8CD845" w14:textId="77777777" w:rsidR="00E51CDD" w:rsidRPr="00E862D9" w:rsidRDefault="00E51CDD" w:rsidP="009938D9">
            <w:pPr>
              <w:suppressAutoHyphens/>
              <w:rPr>
                <w:sz w:val="20"/>
                <w:szCs w:val="20"/>
                <w:lang w:eastAsia="en-US"/>
              </w:rPr>
            </w:pPr>
            <w:r w:rsidRPr="00E862D9">
              <w:rPr>
                <w:sz w:val="20"/>
                <w:szCs w:val="20"/>
                <w:lang w:eastAsia="en-US"/>
              </w:rPr>
              <w:t>0.0</w:t>
            </w:r>
          </w:p>
        </w:tc>
      </w:tr>
      <w:tr w:rsidR="00E51CDD" w:rsidRPr="00E862D9" w14:paraId="6F5532D0" w14:textId="77777777" w:rsidTr="009938D9">
        <w:trPr>
          <w:trHeight w:val="408"/>
          <w:jc w:val="center"/>
        </w:trPr>
        <w:tc>
          <w:tcPr>
            <w:tcW w:w="1019" w:type="pct"/>
            <w:tcBorders>
              <w:top w:val="single" w:sz="4" w:space="0" w:color="auto"/>
              <w:left w:val="single" w:sz="4" w:space="0" w:color="auto"/>
              <w:bottom w:val="single" w:sz="4" w:space="0" w:color="auto"/>
              <w:right w:val="single" w:sz="4" w:space="0" w:color="auto"/>
            </w:tcBorders>
            <w:vAlign w:val="center"/>
            <w:hideMark/>
          </w:tcPr>
          <w:p w14:paraId="5B92D4E6" w14:textId="77777777" w:rsidR="00E51CDD" w:rsidRPr="00E862D9" w:rsidRDefault="00E51CDD" w:rsidP="009938D9">
            <w:pPr>
              <w:widowControl w:val="0"/>
              <w:suppressAutoHyphens/>
              <w:rPr>
                <w:sz w:val="20"/>
                <w:lang w:eastAsia="en-US"/>
              </w:rPr>
            </w:pPr>
            <w:r w:rsidRPr="00E862D9">
              <w:rPr>
                <w:sz w:val="20"/>
                <w:lang w:eastAsia="en-US"/>
              </w:rPr>
              <w:t>72.9</w:t>
            </w:r>
          </w:p>
        </w:tc>
        <w:tc>
          <w:tcPr>
            <w:tcW w:w="1111" w:type="pct"/>
            <w:tcBorders>
              <w:top w:val="single" w:sz="4" w:space="0" w:color="auto"/>
              <w:left w:val="single" w:sz="4" w:space="0" w:color="auto"/>
              <w:bottom w:val="single" w:sz="4" w:space="0" w:color="auto"/>
              <w:right w:val="single" w:sz="4" w:space="0" w:color="auto"/>
            </w:tcBorders>
            <w:vAlign w:val="center"/>
            <w:hideMark/>
          </w:tcPr>
          <w:p w14:paraId="2AFE6761" w14:textId="77777777" w:rsidR="00E51CDD" w:rsidRPr="00E862D9" w:rsidRDefault="00E51CDD" w:rsidP="009938D9">
            <w:pPr>
              <w:widowControl w:val="0"/>
              <w:suppressAutoHyphens/>
              <w:rPr>
                <w:sz w:val="20"/>
                <w:lang w:eastAsia="en-US"/>
              </w:rPr>
            </w:pPr>
            <w:r w:rsidRPr="00E862D9">
              <w:rPr>
                <w:sz w:val="20"/>
                <w:lang w:eastAsia="en-US"/>
              </w:rPr>
              <w:t>64.1</w:t>
            </w:r>
          </w:p>
        </w:tc>
        <w:tc>
          <w:tcPr>
            <w:tcW w:w="718" w:type="pct"/>
            <w:tcBorders>
              <w:top w:val="single" w:sz="4" w:space="0" w:color="auto"/>
              <w:left w:val="single" w:sz="4" w:space="0" w:color="auto"/>
              <w:bottom w:val="single" w:sz="4" w:space="0" w:color="auto"/>
              <w:right w:val="single" w:sz="4" w:space="0" w:color="auto"/>
            </w:tcBorders>
            <w:vAlign w:val="center"/>
            <w:hideMark/>
          </w:tcPr>
          <w:p w14:paraId="7CD0B652"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7" w:type="pct"/>
            <w:tcBorders>
              <w:top w:val="single" w:sz="4" w:space="0" w:color="auto"/>
              <w:left w:val="single" w:sz="4" w:space="0" w:color="auto"/>
              <w:bottom w:val="single" w:sz="4" w:space="0" w:color="auto"/>
              <w:right w:val="single" w:sz="4" w:space="0" w:color="auto"/>
            </w:tcBorders>
            <w:vAlign w:val="center"/>
            <w:hideMark/>
          </w:tcPr>
          <w:p w14:paraId="6DEF6FEE"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7" w:type="pct"/>
            <w:tcBorders>
              <w:top w:val="single" w:sz="4" w:space="0" w:color="auto"/>
              <w:left w:val="single" w:sz="4" w:space="0" w:color="auto"/>
              <w:bottom w:val="single" w:sz="4" w:space="0" w:color="auto"/>
              <w:right w:val="single" w:sz="4" w:space="0" w:color="auto"/>
            </w:tcBorders>
            <w:vAlign w:val="center"/>
            <w:hideMark/>
          </w:tcPr>
          <w:p w14:paraId="15A5FF51"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8" w:type="pct"/>
            <w:tcBorders>
              <w:top w:val="single" w:sz="4" w:space="0" w:color="auto"/>
              <w:left w:val="single" w:sz="4" w:space="0" w:color="auto"/>
              <w:bottom w:val="single" w:sz="4" w:space="0" w:color="auto"/>
              <w:right w:val="single" w:sz="4" w:space="0" w:color="auto"/>
            </w:tcBorders>
            <w:vAlign w:val="center"/>
            <w:hideMark/>
          </w:tcPr>
          <w:p w14:paraId="1C4071A9" w14:textId="77777777" w:rsidR="00E51CDD" w:rsidRPr="00E862D9" w:rsidRDefault="00E51CDD" w:rsidP="009938D9">
            <w:pPr>
              <w:suppressAutoHyphens/>
              <w:rPr>
                <w:sz w:val="20"/>
                <w:szCs w:val="20"/>
                <w:lang w:eastAsia="en-US"/>
              </w:rPr>
            </w:pPr>
            <w:r w:rsidRPr="00E862D9">
              <w:rPr>
                <w:sz w:val="20"/>
                <w:szCs w:val="20"/>
                <w:lang w:eastAsia="en-US"/>
              </w:rPr>
              <w:t>0.0</w:t>
            </w:r>
          </w:p>
        </w:tc>
      </w:tr>
      <w:tr w:rsidR="00E51CDD" w:rsidRPr="00E862D9" w14:paraId="443CDBD9" w14:textId="77777777" w:rsidTr="009938D9">
        <w:trPr>
          <w:trHeight w:val="408"/>
          <w:jc w:val="center"/>
        </w:trPr>
        <w:tc>
          <w:tcPr>
            <w:tcW w:w="1019" w:type="pct"/>
            <w:tcBorders>
              <w:top w:val="single" w:sz="4" w:space="0" w:color="auto"/>
              <w:left w:val="single" w:sz="4" w:space="0" w:color="auto"/>
              <w:bottom w:val="single" w:sz="4" w:space="0" w:color="auto"/>
              <w:right w:val="single" w:sz="4" w:space="0" w:color="auto"/>
            </w:tcBorders>
            <w:vAlign w:val="center"/>
            <w:hideMark/>
          </w:tcPr>
          <w:p w14:paraId="328B4E46" w14:textId="77777777" w:rsidR="00E51CDD" w:rsidRPr="00E862D9" w:rsidRDefault="00E51CDD" w:rsidP="009938D9">
            <w:pPr>
              <w:widowControl w:val="0"/>
              <w:suppressAutoHyphens/>
              <w:rPr>
                <w:sz w:val="20"/>
                <w:lang w:eastAsia="en-US"/>
              </w:rPr>
            </w:pPr>
            <w:r w:rsidRPr="00E862D9">
              <w:rPr>
                <w:sz w:val="20"/>
                <w:lang w:eastAsia="en-US"/>
              </w:rPr>
              <w:t>102.0</w:t>
            </w:r>
          </w:p>
        </w:tc>
        <w:tc>
          <w:tcPr>
            <w:tcW w:w="1111" w:type="pct"/>
            <w:tcBorders>
              <w:top w:val="single" w:sz="4" w:space="0" w:color="auto"/>
              <w:left w:val="single" w:sz="4" w:space="0" w:color="auto"/>
              <w:bottom w:val="single" w:sz="4" w:space="0" w:color="auto"/>
              <w:right w:val="single" w:sz="4" w:space="0" w:color="auto"/>
            </w:tcBorders>
            <w:vAlign w:val="center"/>
            <w:hideMark/>
          </w:tcPr>
          <w:p w14:paraId="25469EE2" w14:textId="77777777" w:rsidR="00E51CDD" w:rsidRPr="00E862D9" w:rsidRDefault="00E51CDD" w:rsidP="009938D9">
            <w:pPr>
              <w:widowControl w:val="0"/>
              <w:suppressAutoHyphens/>
              <w:rPr>
                <w:sz w:val="20"/>
                <w:lang w:eastAsia="en-US"/>
              </w:rPr>
            </w:pPr>
            <w:r w:rsidRPr="00E862D9">
              <w:rPr>
                <w:sz w:val="20"/>
                <w:lang w:eastAsia="en-US"/>
              </w:rPr>
              <w:t>91.4</w:t>
            </w:r>
          </w:p>
        </w:tc>
        <w:tc>
          <w:tcPr>
            <w:tcW w:w="718" w:type="pct"/>
            <w:tcBorders>
              <w:top w:val="single" w:sz="4" w:space="0" w:color="auto"/>
              <w:left w:val="single" w:sz="4" w:space="0" w:color="auto"/>
              <w:bottom w:val="single" w:sz="4" w:space="0" w:color="auto"/>
              <w:right w:val="single" w:sz="4" w:space="0" w:color="auto"/>
            </w:tcBorders>
            <w:vAlign w:val="center"/>
            <w:hideMark/>
          </w:tcPr>
          <w:p w14:paraId="214A1A92" w14:textId="77777777" w:rsidR="00E51CDD" w:rsidRPr="00E862D9" w:rsidRDefault="00E51CDD" w:rsidP="009938D9">
            <w:pPr>
              <w:suppressAutoHyphens/>
              <w:rPr>
                <w:sz w:val="20"/>
                <w:szCs w:val="20"/>
                <w:lang w:eastAsia="en-US"/>
              </w:rPr>
            </w:pPr>
            <w:r w:rsidRPr="00E862D9">
              <w:rPr>
                <w:sz w:val="20"/>
                <w:szCs w:val="20"/>
                <w:lang w:eastAsia="en-US"/>
              </w:rPr>
              <w:t>3.3</w:t>
            </w:r>
          </w:p>
        </w:tc>
        <w:tc>
          <w:tcPr>
            <w:tcW w:w="717" w:type="pct"/>
            <w:tcBorders>
              <w:top w:val="single" w:sz="4" w:space="0" w:color="auto"/>
              <w:left w:val="single" w:sz="4" w:space="0" w:color="auto"/>
              <w:bottom w:val="single" w:sz="4" w:space="0" w:color="auto"/>
              <w:right w:val="single" w:sz="4" w:space="0" w:color="auto"/>
            </w:tcBorders>
            <w:vAlign w:val="center"/>
            <w:hideMark/>
          </w:tcPr>
          <w:p w14:paraId="32EA1E0B" w14:textId="77777777" w:rsidR="00E51CDD" w:rsidRPr="00E862D9" w:rsidRDefault="00E51CDD" w:rsidP="009938D9">
            <w:pPr>
              <w:suppressAutoHyphens/>
              <w:rPr>
                <w:sz w:val="20"/>
                <w:szCs w:val="20"/>
                <w:lang w:eastAsia="en-US"/>
              </w:rPr>
            </w:pPr>
            <w:r w:rsidRPr="00E862D9">
              <w:rPr>
                <w:sz w:val="20"/>
                <w:szCs w:val="20"/>
                <w:lang w:eastAsia="en-US"/>
              </w:rPr>
              <w:t>3.3</w:t>
            </w:r>
          </w:p>
        </w:tc>
        <w:tc>
          <w:tcPr>
            <w:tcW w:w="717" w:type="pct"/>
            <w:tcBorders>
              <w:top w:val="single" w:sz="4" w:space="0" w:color="auto"/>
              <w:left w:val="single" w:sz="4" w:space="0" w:color="auto"/>
              <w:bottom w:val="single" w:sz="4" w:space="0" w:color="auto"/>
              <w:right w:val="single" w:sz="4" w:space="0" w:color="auto"/>
            </w:tcBorders>
            <w:vAlign w:val="center"/>
            <w:hideMark/>
          </w:tcPr>
          <w:p w14:paraId="5A8F5F04" w14:textId="77777777" w:rsidR="00E51CDD" w:rsidRPr="00E862D9" w:rsidRDefault="00E51CDD" w:rsidP="009938D9">
            <w:pPr>
              <w:suppressAutoHyphens/>
              <w:rPr>
                <w:sz w:val="20"/>
                <w:szCs w:val="20"/>
                <w:lang w:eastAsia="en-US"/>
              </w:rPr>
            </w:pPr>
            <w:r w:rsidRPr="00E862D9">
              <w:rPr>
                <w:sz w:val="20"/>
                <w:szCs w:val="20"/>
                <w:lang w:eastAsia="en-US"/>
              </w:rPr>
              <w:t>3.3</w:t>
            </w:r>
          </w:p>
        </w:tc>
        <w:tc>
          <w:tcPr>
            <w:tcW w:w="718" w:type="pct"/>
            <w:tcBorders>
              <w:top w:val="single" w:sz="4" w:space="0" w:color="auto"/>
              <w:left w:val="single" w:sz="4" w:space="0" w:color="auto"/>
              <w:bottom w:val="single" w:sz="4" w:space="0" w:color="auto"/>
              <w:right w:val="single" w:sz="4" w:space="0" w:color="auto"/>
            </w:tcBorders>
            <w:vAlign w:val="center"/>
            <w:hideMark/>
          </w:tcPr>
          <w:p w14:paraId="493D002F" w14:textId="77777777" w:rsidR="00E51CDD" w:rsidRPr="00E862D9" w:rsidRDefault="00E51CDD" w:rsidP="009938D9">
            <w:pPr>
              <w:suppressAutoHyphens/>
              <w:rPr>
                <w:sz w:val="20"/>
                <w:szCs w:val="20"/>
                <w:lang w:eastAsia="en-US"/>
              </w:rPr>
            </w:pPr>
            <w:r w:rsidRPr="00E862D9">
              <w:rPr>
                <w:sz w:val="20"/>
                <w:szCs w:val="20"/>
                <w:lang w:eastAsia="en-US"/>
              </w:rPr>
              <w:t>3.3</w:t>
            </w:r>
          </w:p>
        </w:tc>
      </w:tr>
      <w:tr w:rsidR="00E51CDD" w:rsidRPr="00E862D9" w14:paraId="322A6EE8" w14:textId="77777777" w:rsidTr="009938D9">
        <w:trPr>
          <w:trHeight w:val="408"/>
          <w:jc w:val="center"/>
        </w:trPr>
        <w:tc>
          <w:tcPr>
            <w:tcW w:w="1019" w:type="pct"/>
            <w:tcBorders>
              <w:top w:val="single" w:sz="4" w:space="0" w:color="auto"/>
              <w:left w:val="single" w:sz="4" w:space="0" w:color="auto"/>
              <w:bottom w:val="single" w:sz="4" w:space="0" w:color="auto"/>
              <w:right w:val="single" w:sz="4" w:space="0" w:color="auto"/>
            </w:tcBorders>
            <w:vAlign w:val="center"/>
            <w:hideMark/>
          </w:tcPr>
          <w:p w14:paraId="6DCAE653" w14:textId="77777777" w:rsidR="00E51CDD" w:rsidRPr="00E862D9" w:rsidRDefault="00E51CDD" w:rsidP="009938D9">
            <w:pPr>
              <w:widowControl w:val="0"/>
              <w:suppressAutoHyphens/>
              <w:rPr>
                <w:sz w:val="20"/>
                <w:lang w:eastAsia="en-US"/>
              </w:rPr>
            </w:pPr>
            <w:r w:rsidRPr="00E862D9">
              <w:rPr>
                <w:sz w:val="20"/>
                <w:lang w:eastAsia="en-US"/>
              </w:rPr>
              <w:t>142.9</w:t>
            </w:r>
          </w:p>
        </w:tc>
        <w:tc>
          <w:tcPr>
            <w:tcW w:w="1111" w:type="pct"/>
            <w:tcBorders>
              <w:top w:val="single" w:sz="4" w:space="0" w:color="auto"/>
              <w:left w:val="single" w:sz="4" w:space="0" w:color="auto"/>
              <w:bottom w:val="single" w:sz="4" w:space="0" w:color="auto"/>
              <w:right w:val="single" w:sz="4" w:space="0" w:color="auto"/>
            </w:tcBorders>
            <w:vAlign w:val="center"/>
            <w:hideMark/>
          </w:tcPr>
          <w:p w14:paraId="1BF2FDD5" w14:textId="77777777" w:rsidR="00E51CDD" w:rsidRPr="00E862D9" w:rsidRDefault="00E51CDD" w:rsidP="009938D9">
            <w:pPr>
              <w:widowControl w:val="0"/>
              <w:suppressAutoHyphens/>
              <w:rPr>
                <w:sz w:val="20"/>
                <w:lang w:eastAsia="en-US"/>
              </w:rPr>
            </w:pPr>
            <w:r w:rsidRPr="00E862D9">
              <w:rPr>
                <w:sz w:val="20"/>
                <w:lang w:eastAsia="en-US"/>
              </w:rPr>
              <w:t>121.7</w:t>
            </w:r>
          </w:p>
        </w:tc>
        <w:tc>
          <w:tcPr>
            <w:tcW w:w="718" w:type="pct"/>
            <w:tcBorders>
              <w:top w:val="single" w:sz="4" w:space="0" w:color="auto"/>
              <w:left w:val="single" w:sz="4" w:space="0" w:color="auto"/>
              <w:bottom w:val="single" w:sz="4" w:space="0" w:color="auto"/>
              <w:right w:val="single" w:sz="4" w:space="0" w:color="auto"/>
            </w:tcBorders>
            <w:vAlign w:val="center"/>
            <w:hideMark/>
          </w:tcPr>
          <w:p w14:paraId="54009BA3"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7" w:type="pct"/>
            <w:tcBorders>
              <w:top w:val="single" w:sz="4" w:space="0" w:color="auto"/>
              <w:left w:val="single" w:sz="4" w:space="0" w:color="auto"/>
              <w:bottom w:val="single" w:sz="4" w:space="0" w:color="auto"/>
              <w:right w:val="single" w:sz="4" w:space="0" w:color="auto"/>
            </w:tcBorders>
            <w:vAlign w:val="center"/>
            <w:hideMark/>
          </w:tcPr>
          <w:p w14:paraId="365F8C17"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7" w:type="pct"/>
            <w:tcBorders>
              <w:top w:val="single" w:sz="4" w:space="0" w:color="auto"/>
              <w:left w:val="single" w:sz="4" w:space="0" w:color="auto"/>
              <w:bottom w:val="single" w:sz="4" w:space="0" w:color="auto"/>
              <w:right w:val="single" w:sz="4" w:space="0" w:color="auto"/>
            </w:tcBorders>
            <w:vAlign w:val="center"/>
            <w:hideMark/>
          </w:tcPr>
          <w:p w14:paraId="0A8E19F6"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8" w:type="pct"/>
            <w:tcBorders>
              <w:top w:val="single" w:sz="4" w:space="0" w:color="auto"/>
              <w:left w:val="single" w:sz="4" w:space="0" w:color="auto"/>
              <w:bottom w:val="single" w:sz="4" w:space="0" w:color="auto"/>
              <w:right w:val="single" w:sz="4" w:space="0" w:color="auto"/>
            </w:tcBorders>
            <w:vAlign w:val="center"/>
            <w:hideMark/>
          </w:tcPr>
          <w:p w14:paraId="0886B069" w14:textId="77777777" w:rsidR="00E51CDD" w:rsidRPr="00E862D9" w:rsidRDefault="00E51CDD" w:rsidP="009938D9">
            <w:pPr>
              <w:suppressAutoHyphens/>
              <w:rPr>
                <w:sz w:val="20"/>
                <w:szCs w:val="20"/>
                <w:lang w:eastAsia="en-US"/>
              </w:rPr>
            </w:pPr>
            <w:r w:rsidRPr="00E862D9">
              <w:rPr>
                <w:sz w:val="20"/>
                <w:szCs w:val="20"/>
                <w:lang w:eastAsia="en-US"/>
              </w:rPr>
              <w:t>0.0</w:t>
            </w:r>
          </w:p>
        </w:tc>
      </w:tr>
      <w:tr w:rsidR="00E51CDD" w:rsidRPr="00E862D9" w14:paraId="21E9E2D7" w14:textId="77777777" w:rsidTr="009938D9">
        <w:trPr>
          <w:trHeight w:val="408"/>
          <w:jc w:val="center"/>
        </w:trPr>
        <w:tc>
          <w:tcPr>
            <w:tcW w:w="1019" w:type="pct"/>
            <w:tcBorders>
              <w:top w:val="single" w:sz="4" w:space="0" w:color="auto"/>
              <w:left w:val="single" w:sz="4" w:space="0" w:color="auto"/>
              <w:bottom w:val="single" w:sz="4" w:space="0" w:color="auto"/>
              <w:right w:val="single" w:sz="4" w:space="0" w:color="auto"/>
            </w:tcBorders>
            <w:vAlign w:val="center"/>
            <w:hideMark/>
          </w:tcPr>
          <w:p w14:paraId="20ED8E0E" w14:textId="77777777" w:rsidR="00E51CDD" w:rsidRPr="00E862D9" w:rsidRDefault="00E51CDD" w:rsidP="009938D9">
            <w:pPr>
              <w:widowControl w:val="0"/>
              <w:suppressAutoHyphens/>
              <w:rPr>
                <w:sz w:val="20"/>
                <w:lang w:eastAsia="en-US"/>
              </w:rPr>
            </w:pPr>
            <w:r w:rsidRPr="00E862D9">
              <w:rPr>
                <w:sz w:val="20"/>
                <w:lang w:eastAsia="en-US"/>
              </w:rPr>
              <w:t>200.0</w:t>
            </w:r>
          </w:p>
        </w:tc>
        <w:tc>
          <w:tcPr>
            <w:tcW w:w="1111" w:type="pct"/>
            <w:tcBorders>
              <w:top w:val="single" w:sz="4" w:space="0" w:color="auto"/>
              <w:left w:val="single" w:sz="4" w:space="0" w:color="auto"/>
              <w:bottom w:val="single" w:sz="4" w:space="0" w:color="auto"/>
              <w:right w:val="single" w:sz="4" w:space="0" w:color="auto"/>
            </w:tcBorders>
            <w:vAlign w:val="center"/>
            <w:hideMark/>
          </w:tcPr>
          <w:p w14:paraId="546F6568" w14:textId="77777777" w:rsidR="00E51CDD" w:rsidRPr="00E862D9" w:rsidRDefault="00E51CDD" w:rsidP="009938D9">
            <w:pPr>
              <w:widowControl w:val="0"/>
              <w:suppressAutoHyphens/>
              <w:rPr>
                <w:sz w:val="20"/>
                <w:lang w:eastAsia="en-US"/>
              </w:rPr>
            </w:pPr>
            <w:r w:rsidRPr="00E862D9">
              <w:rPr>
                <w:sz w:val="20"/>
                <w:lang w:eastAsia="en-US"/>
              </w:rPr>
              <w:t>176.3</w:t>
            </w:r>
          </w:p>
        </w:tc>
        <w:tc>
          <w:tcPr>
            <w:tcW w:w="718" w:type="pct"/>
            <w:tcBorders>
              <w:top w:val="single" w:sz="4" w:space="0" w:color="auto"/>
              <w:left w:val="single" w:sz="4" w:space="0" w:color="auto"/>
              <w:bottom w:val="single" w:sz="4" w:space="0" w:color="auto"/>
              <w:right w:val="single" w:sz="4" w:space="0" w:color="auto"/>
            </w:tcBorders>
            <w:vAlign w:val="center"/>
            <w:hideMark/>
          </w:tcPr>
          <w:p w14:paraId="50923B12"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7" w:type="pct"/>
            <w:tcBorders>
              <w:top w:val="single" w:sz="4" w:space="0" w:color="auto"/>
              <w:left w:val="single" w:sz="4" w:space="0" w:color="auto"/>
              <w:bottom w:val="single" w:sz="4" w:space="0" w:color="auto"/>
              <w:right w:val="single" w:sz="4" w:space="0" w:color="auto"/>
            </w:tcBorders>
            <w:vAlign w:val="center"/>
            <w:hideMark/>
          </w:tcPr>
          <w:p w14:paraId="14F0F7C9"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7" w:type="pct"/>
            <w:tcBorders>
              <w:top w:val="single" w:sz="4" w:space="0" w:color="auto"/>
              <w:left w:val="single" w:sz="4" w:space="0" w:color="auto"/>
              <w:bottom w:val="single" w:sz="4" w:space="0" w:color="auto"/>
              <w:right w:val="single" w:sz="4" w:space="0" w:color="auto"/>
            </w:tcBorders>
            <w:vAlign w:val="center"/>
            <w:hideMark/>
          </w:tcPr>
          <w:p w14:paraId="7B5E901D"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718" w:type="pct"/>
            <w:tcBorders>
              <w:top w:val="single" w:sz="4" w:space="0" w:color="auto"/>
              <w:left w:val="single" w:sz="4" w:space="0" w:color="auto"/>
              <w:bottom w:val="single" w:sz="4" w:space="0" w:color="auto"/>
              <w:right w:val="single" w:sz="4" w:space="0" w:color="auto"/>
            </w:tcBorders>
            <w:vAlign w:val="center"/>
            <w:hideMark/>
          </w:tcPr>
          <w:p w14:paraId="75CBAE47" w14:textId="77777777" w:rsidR="00E51CDD" w:rsidRPr="00E862D9" w:rsidRDefault="00E51CDD" w:rsidP="009938D9">
            <w:pPr>
              <w:suppressAutoHyphens/>
              <w:rPr>
                <w:sz w:val="20"/>
                <w:szCs w:val="20"/>
                <w:lang w:eastAsia="en-US"/>
              </w:rPr>
            </w:pPr>
            <w:r w:rsidRPr="00E862D9">
              <w:rPr>
                <w:sz w:val="20"/>
                <w:szCs w:val="20"/>
                <w:lang w:eastAsia="en-US"/>
              </w:rPr>
              <w:t>0.0</w:t>
            </w:r>
          </w:p>
        </w:tc>
      </w:tr>
      <w:tr w:rsidR="00E51CDD" w:rsidRPr="00E862D9" w14:paraId="46AE1766" w14:textId="77777777" w:rsidTr="009938D9">
        <w:trPr>
          <w:trHeight w:val="283"/>
          <w:jc w:val="center"/>
        </w:trPr>
        <w:tc>
          <w:tcPr>
            <w:tcW w:w="1019" w:type="pct"/>
            <w:tcBorders>
              <w:top w:val="single" w:sz="4" w:space="0" w:color="auto"/>
              <w:left w:val="single" w:sz="4" w:space="0" w:color="auto"/>
              <w:bottom w:val="single" w:sz="4" w:space="0" w:color="auto"/>
              <w:right w:val="single" w:sz="4" w:space="0" w:color="auto"/>
            </w:tcBorders>
            <w:vAlign w:val="center"/>
          </w:tcPr>
          <w:p w14:paraId="24B00E20" w14:textId="77777777" w:rsidR="00E51CDD" w:rsidRPr="00E862D9" w:rsidRDefault="00E51CDD" w:rsidP="009938D9">
            <w:pPr>
              <w:widowControl w:val="0"/>
              <w:suppressAutoHyphens/>
              <w:rPr>
                <w:sz w:val="20"/>
                <w:szCs w:val="20"/>
                <w:lang w:eastAsia="en-US"/>
              </w:rPr>
            </w:pPr>
          </w:p>
        </w:tc>
        <w:tc>
          <w:tcPr>
            <w:tcW w:w="3981" w:type="pct"/>
            <w:gridSpan w:val="5"/>
            <w:tcBorders>
              <w:top w:val="single" w:sz="4" w:space="0" w:color="auto"/>
              <w:left w:val="single" w:sz="4" w:space="0" w:color="auto"/>
              <w:bottom w:val="single" w:sz="4" w:space="0" w:color="auto"/>
              <w:right w:val="single" w:sz="4" w:space="0" w:color="auto"/>
            </w:tcBorders>
            <w:vAlign w:val="center"/>
            <w:hideMark/>
          </w:tcPr>
          <w:p w14:paraId="111AA810" w14:textId="77777777" w:rsidR="00E51CDD" w:rsidRPr="00E862D9" w:rsidRDefault="00E51CDD" w:rsidP="009938D9">
            <w:pPr>
              <w:widowControl w:val="0"/>
              <w:suppressAutoHyphens/>
              <w:rPr>
                <w:sz w:val="20"/>
                <w:szCs w:val="20"/>
                <w:lang w:eastAsia="en-US"/>
              </w:rPr>
            </w:pPr>
            <w:r w:rsidRPr="00E862D9">
              <w:rPr>
                <w:b/>
                <w:sz w:val="20"/>
                <w:szCs w:val="20"/>
                <w:lang w:eastAsia="en-US"/>
              </w:rPr>
              <w:t>Endpoints</w:t>
            </w:r>
          </w:p>
        </w:tc>
      </w:tr>
      <w:tr w:rsidR="00E51CDD" w:rsidRPr="00E862D9" w14:paraId="37333568" w14:textId="77777777" w:rsidTr="009938D9">
        <w:trPr>
          <w:trHeight w:val="272"/>
          <w:jc w:val="center"/>
        </w:trPr>
        <w:tc>
          <w:tcPr>
            <w:tcW w:w="1019" w:type="pct"/>
            <w:vMerge w:val="restart"/>
            <w:tcBorders>
              <w:top w:val="single" w:sz="4" w:space="0" w:color="auto"/>
              <w:left w:val="single" w:sz="4" w:space="0" w:color="auto"/>
              <w:bottom w:val="single" w:sz="4" w:space="0" w:color="auto"/>
              <w:right w:val="single" w:sz="4" w:space="0" w:color="auto"/>
            </w:tcBorders>
            <w:vAlign w:val="center"/>
            <w:hideMark/>
          </w:tcPr>
          <w:p w14:paraId="1FC476A1" w14:textId="77777777" w:rsidR="00E51CDD" w:rsidRPr="00E862D9" w:rsidRDefault="00E51CDD" w:rsidP="009938D9">
            <w:pPr>
              <w:suppressAutoHyphens/>
              <w:rPr>
                <w:sz w:val="20"/>
                <w:szCs w:val="20"/>
                <w:lang w:eastAsia="en-US"/>
              </w:rPr>
            </w:pPr>
            <w:r w:rsidRPr="00E862D9">
              <w:rPr>
                <w:sz w:val="20"/>
                <w:szCs w:val="20"/>
                <w:lang w:eastAsia="en-US"/>
              </w:rPr>
              <w:t>LD</w:t>
            </w:r>
            <w:r w:rsidRPr="00E862D9">
              <w:rPr>
                <w:sz w:val="20"/>
                <w:szCs w:val="20"/>
                <w:vertAlign w:val="subscript"/>
                <w:lang w:eastAsia="en-US"/>
              </w:rPr>
              <w:t>50</w:t>
            </w:r>
            <w:r w:rsidRPr="00E862D9">
              <w:rPr>
                <w:sz w:val="20"/>
                <w:szCs w:val="20"/>
                <w:lang w:eastAsia="en-US"/>
              </w:rPr>
              <w:t xml:space="preserve"> (96 h)</w:t>
            </w:r>
          </w:p>
        </w:tc>
        <w:tc>
          <w:tcPr>
            <w:tcW w:w="1829" w:type="pct"/>
            <w:gridSpan w:val="2"/>
            <w:tcBorders>
              <w:top w:val="single" w:sz="4" w:space="0" w:color="auto"/>
              <w:left w:val="single" w:sz="4" w:space="0" w:color="auto"/>
              <w:bottom w:val="single" w:sz="4" w:space="0" w:color="auto"/>
              <w:right w:val="single" w:sz="4" w:space="0" w:color="auto"/>
            </w:tcBorders>
            <w:vAlign w:val="center"/>
            <w:hideMark/>
          </w:tcPr>
          <w:p w14:paraId="4F07B868" w14:textId="77777777" w:rsidR="00E51CDD" w:rsidRPr="00E862D9" w:rsidRDefault="00E51CDD" w:rsidP="009938D9">
            <w:pPr>
              <w:widowControl w:val="0"/>
              <w:suppressAutoHyphens/>
              <w:rPr>
                <w:b/>
                <w:sz w:val="20"/>
                <w:szCs w:val="20"/>
                <w:lang w:eastAsia="en-US"/>
              </w:rPr>
            </w:pPr>
            <w:r w:rsidRPr="00E862D9">
              <w:rPr>
                <w:b/>
                <w:sz w:val="20"/>
                <w:szCs w:val="20"/>
                <w:lang w:eastAsia="en-US"/>
              </w:rPr>
              <w:t>[µg consumed a.s./bumble bee]</w:t>
            </w:r>
          </w:p>
        </w:tc>
        <w:tc>
          <w:tcPr>
            <w:tcW w:w="2152" w:type="pct"/>
            <w:gridSpan w:val="3"/>
            <w:tcBorders>
              <w:top w:val="single" w:sz="4" w:space="0" w:color="auto"/>
              <w:left w:val="single" w:sz="4" w:space="0" w:color="auto"/>
              <w:bottom w:val="single" w:sz="4" w:space="0" w:color="auto"/>
              <w:right w:val="single" w:sz="4" w:space="0" w:color="auto"/>
            </w:tcBorders>
            <w:vAlign w:val="center"/>
            <w:hideMark/>
          </w:tcPr>
          <w:p w14:paraId="763A5747" w14:textId="77777777" w:rsidR="00E51CDD" w:rsidRPr="00E862D9" w:rsidRDefault="00E51CDD" w:rsidP="009938D9">
            <w:pPr>
              <w:widowControl w:val="0"/>
              <w:suppressAutoHyphens/>
              <w:rPr>
                <w:b/>
                <w:sz w:val="20"/>
                <w:szCs w:val="20"/>
                <w:lang w:eastAsia="en-US"/>
              </w:rPr>
            </w:pPr>
            <w:r w:rsidRPr="00E862D9">
              <w:rPr>
                <w:b/>
                <w:sz w:val="20"/>
                <w:szCs w:val="20"/>
                <w:lang w:eastAsia="en-US"/>
              </w:rPr>
              <w:t>[µg consumed BAS 700 04 F/bumble bee]</w:t>
            </w:r>
          </w:p>
        </w:tc>
      </w:tr>
      <w:tr w:rsidR="00E51CDD" w:rsidRPr="00E862D9" w14:paraId="49C3F6DA" w14:textId="77777777" w:rsidTr="009938D9">
        <w:trPr>
          <w:trHeight w:val="27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949EF0" w14:textId="77777777" w:rsidR="00E51CDD" w:rsidRPr="00E862D9" w:rsidRDefault="00E51CDD" w:rsidP="009938D9">
            <w:pPr>
              <w:rPr>
                <w:sz w:val="20"/>
                <w:szCs w:val="20"/>
                <w:lang w:eastAsia="en-US"/>
              </w:rPr>
            </w:pPr>
          </w:p>
        </w:tc>
        <w:tc>
          <w:tcPr>
            <w:tcW w:w="1829" w:type="pct"/>
            <w:gridSpan w:val="2"/>
            <w:tcBorders>
              <w:top w:val="single" w:sz="4" w:space="0" w:color="auto"/>
              <w:left w:val="single" w:sz="4" w:space="0" w:color="auto"/>
              <w:bottom w:val="single" w:sz="4" w:space="0" w:color="auto"/>
              <w:right w:val="single" w:sz="4" w:space="0" w:color="auto"/>
            </w:tcBorders>
            <w:vAlign w:val="center"/>
            <w:hideMark/>
          </w:tcPr>
          <w:p w14:paraId="5AA233F4" w14:textId="77777777" w:rsidR="00E51CDD" w:rsidRPr="00E862D9" w:rsidRDefault="00E51CDD" w:rsidP="009938D9">
            <w:pPr>
              <w:suppressAutoHyphens/>
              <w:rPr>
                <w:sz w:val="20"/>
                <w:szCs w:val="20"/>
                <w:lang w:eastAsia="en-US"/>
              </w:rPr>
            </w:pPr>
            <w:r w:rsidRPr="00E862D9">
              <w:rPr>
                <w:sz w:val="20"/>
                <w:szCs w:val="20"/>
                <w:lang w:eastAsia="en-US"/>
              </w:rPr>
              <w:t>&gt; 176.3</w:t>
            </w:r>
          </w:p>
        </w:tc>
        <w:tc>
          <w:tcPr>
            <w:tcW w:w="2152" w:type="pct"/>
            <w:gridSpan w:val="3"/>
            <w:tcBorders>
              <w:top w:val="single" w:sz="4" w:space="0" w:color="auto"/>
              <w:left w:val="single" w:sz="4" w:space="0" w:color="auto"/>
              <w:bottom w:val="single" w:sz="4" w:space="0" w:color="auto"/>
              <w:right w:val="single" w:sz="4" w:space="0" w:color="auto"/>
            </w:tcBorders>
            <w:vAlign w:val="center"/>
            <w:hideMark/>
          </w:tcPr>
          <w:p w14:paraId="1BAFFE85" w14:textId="77777777" w:rsidR="00E51CDD" w:rsidRPr="00E862D9" w:rsidRDefault="00E51CDD" w:rsidP="009938D9">
            <w:pPr>
              <w:suppressAutoHyphens/>
              <w:rPr>
                <w:sz w:val="20"/>
                <w:szCs w:val="20"/>
                <w:lang w:eastAsia="en-US"/>
              </w:rPr>
            </w:pPr>
            <w:r w:rsidRPr="00E862D9">
              <w:rPr>
                <w:sz w:val="20"/>
                <w:szCs w:val="20"/>
                <w:lang w:eastAsia="en-US"/>
              </w:rPr>
              <w:t>&gt; 664.1</w:t>
            </w:r>
          </w:p>
        </w:tc>
      </w:tr>
    </w:tbl>
    <w:p w14:paraId="7DE1EE6C" w14:textId="77777777" w:rsidR="00E51CDD" w:rsidRPr="00E862D9" w:rsidRDefault="00E51CDD" w:rsidP="00E51CDD">
      <w:pPr>
        <w:widowControl w:val="0"/>
        <w:suppressAutoHyphens/>
      </w:pPr>
    </w:p>
    <w:p w14:paraId="5F848E48" w14:textId="77777777" w:rsidR="00E51CDD" w:rsidRPr="00E862D9" w:rsidRDefault="00E51CDD" w:rsidP="00E51CDD">
      <w:pPr>
        <w:jc w:val="both"/>
        <w:rPr>
          <w:b/>
          <w:u w:val="single"/>
        </w:rPr>
      </w:pPr>
    </w:p>
    <w:p w14:paraId="7B535378" w14:textId="77777777" w:rsidR="00E51CDD" w:rsidRPr="00E862D9" w:rsidRDefault="00E51CDD" w:rsidP="00E51CDD">
      <w:pPr>
        <w:jc w:val="both"/>
        <w:rPr>
          <w:u w:val="single"/>
        </w:rPr>
      </w:pPr>
      <w:bookmarkStart w:id="1187" w:name="_Hlk31198291"/>
      <w:r w:rsidRPr="00E862D9">
        <w:rPr>
          <w:u w:val="single"/>
        </w:rPr>
        <w:t>Validity criteria:</w:t>
      </w:r>
    </w:p>
    <w:p w14:paraId="46B61156" w14:textId="77777777" w:rsidR="00E51CDD" w:rsidRPr="00E862D9" w:rsidRDefault="00E51CDD" w:rsidP="00E51CDD">
      <w:pPr>
        <w:autoSpaceDE w:val="0"/>
        <w:autoSpaceDN w:val="0"/>
        <w:adjustRightInd w:val="0"/>
        <w:rPr>
          <w:rFonts w:eastAsiaTheme="minorHAn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57"/>
        <w:gridCol w:w="3610"/>
      </w:tblGrid>
      <w:tr w:rsidR="00E51CDD" w:rsidRPr="00E862D9" w14:paraId="1D271E20" w14:textId="77777777" w:rsidTr="009938D9">
        <w:trPr>
          <w:trHeight w:val="240"/>
        </w:trPr>
        <w:tc>
          <w:tcPr>
            <w:tcW w:w="5457" w:type="dxa"/>
            <w:shd w:val="clear" w:color="auto" w:fill="auto"/>
            <w:noWrap/>
            <w:vAlign w:val="center"/>
            <w:hideMark/>
          </w:tcPr>
          <w:p w14:paraId="51C3FC10" w14:textId="77777777" w:rsidR="00E51CDD" w:rsidRPr="00E862D9" w:rsidRDefault="00E51CDD" w:rsidP="009938D9">
            <w:pPr>
              <w:widowControl w:val="0"/>
              <w:rPr>
                <w:b/>
                <w:bCs/>
                <w:sz w:val="20"/>
                <w:szCs w:val="20"/>
              </w:rPr>
            </w:pPr>
            <w:r w:rsidRPr="00E862D9">
              <w:rPr>
                <w:b/>
                <w:sz w:val="20"/>
                <w:szCs w:val="20"/>
              </w:rPr>
              <w:t xml:space="preserve">Validity criteria according to OECD 247 </w:t>
            </w:r>
            <w:r w:rsidRPr="00E862D9">
              <w:rPr>
                <w:b/>
                <w:bCs/>
                <w:sz w:val="20"/>
                <w:szCs w:val="20"/>
              </w:rPr>
              <w:t>(2017)</w:t>
            </w:r>
          </w:p>
        </w:tc>
        <w:tc>
          <w:tcPr>
            <w:tcW w:w="3610" w:type="dxa"/>
            <w:shd w:val="clear" w:color="auto" w:fill="auto"/>
            <w:noWrap/>
            <w:vAlign w:val="center"/>
            <w:hideMark/>
          </w:tcPr>
          <w:p w14:paraId="66A9DA43" w14:textId="77777777" w:rsidR="00E51CDD" w:rsidRPr="00E862D9" w:rsidRDefault="00E51CDD" w:rsidP="009938D9">
            <w:pPr>
              <w:widowControl w:val="0"/>
              <w:rPr>
                <w:b/>
                <w:bCs/>
                <w:sz w:val="20"/>
                <w:szCs w:val="20"/>
              </w:rPr>
            </w:pPr>
            <w:r w:rsidRPr="00E862D9">
              <w:rPr>
                <w:b/>
                <w:sz w:val="20"/>
                <w:szCs w:val="20"/>
              </w:rPr>
              <w:t>Obtained in this study</w:t>
            </w:r>
          </w:p>
        </w:tc>
      </w:tr>
      <w:tr w:rsidR="00E51CDD" w:rsidRPr="00E862D9" w14:paraId="3EC7CFFE" w14:textId="77777777" w:rsidTr="009938D9">
        <w:trPr>
          <w:trHeight w:val="244"/>
        </w:trPr>
        <w:tc>
          <w:tcPr>
            <w:tcW w:w="5457" w:type="dxa"/>
            <w:shd w:val="clear" w:color="auto" w:fill="auto"/>
            <w:noWrap/>
            <w:vAlign w:val="center"/>
          </w:tcPr>
          <w:p w14:paraId="00BB66AE" w14:textId="77777777" w:rsidR="00E51CDD" w:rsidRPr="00E862D9" w:rsidRDefault="00E51CDD" w:rsidP="009938D9">
            <w:pPr>
              <w:widowControl w:val="0"/>
              <w:rPr>
                <w:sz w:val="20"/>
                <w:szCs w:val="20"/>
              </w:rPr>
            </w:pPr>
            <w:r w:rsidRPr="00E862D9">
              <w:rPr>
                <w:sz w:val="20"/>
                <w:szCs w:val="20"/>
              </w:rPr>
              <w:t>Control mortality ≤ 10%</w:t>
            </w:r>
          </w:p>
        </w:tc>
        <w:tc>
          <w:tcPr>
            <w:tcW w:w="3610" w:type="dxa"/>
            <w:shd w:val="clear" w:color="auto" w:fill="auto"/>
            <w:noWrap/>
            <w:vAlign w:val="center"/>
          </w:tcPr>
          <w:p w14:paraId="305EC567" w14:textId="77777777" w:rsidR="00E51CDD" w:rsidRPr="00E862D9" w:rsidRDefault="00E51CDD" w:rsidP="009938D9">
            <w:pPr>
              <w:widowControl w:val="0"/>
              <w:rPr>
                <w:sz w:val="20"/>
                <w:szCs w:val="20"/>
              </w:rPr>
            </w:pPr>
            <w:r w:rsidRPr="00E862D9">
              <w:rPr>
                <w:sz w:val="20"/>
                <w:szCs w:val="20"/>
              </w:rPr>
              <w:t>0%</w:t>
            </w:r>
          </w:p>
        </w:tc>
      </w:tr>
      <w:tr w:rsidR="00E51CDD" w:rsidRPr="00E862D9" w14:paraId="0A611144" w14:textId="77777777" w:rsidTr="009938D9">
        <w:tc>
          <w:tcPr>
            <w:tcW w:w="5457" w:type="dxa"/>
            <w:shd w:val="clear" w:color="auto" w:fill="auto"/>
            <w:noWrap/>
            <w:vAlign w:val="center"/>
          </w:tcPr>
          <w:p w14:paraId="128324DF" w14:textId="77777777" w:rsidR="00E51CDD" w:rsidRPr="00E862D9" w:rsidRDefault="00E51CDD" w:rsidP="009938D9">
            <w:pPr>
              <w:widowControl w:val="0"/>
              <w:rPr>
                <w:sz w:val="20"/>
                <w:szCs w:val="20"/>
              </w:rPr>
            </w:pPr>
            <w:r w:rsidRPr="00E862D9">
              <w:rPr>
                <w:sz w:val="20"/>
                <w:szCs w:val="20"/>
              </w:rPr>
              <w:t xml:space="preserve">Reference item mortality ≥ 50% </w:t>
            </w:r>
          </w:p>
        </w:tc>
        <w:tc>
          <w:tcPr>
            <w:tcW w:w="3610" w:type="dxa"/>
            <w:shd w:val="clear" w:color="auto" w:fill="auto"/>
            <w:noWrap/>
            <w:vAlign w:val="center"/>
          </w:tcPr>
          <w:p w14:paraId="4C2A35DC" w14:textId="77777777" w:rsidR="00E51CDD" w:rsidRPr="00E862D9" w:rsidRDefault="00E51CDD" w:rsidP="009938D9">
            <w:pPr>
              <w:widowControl w:val="0"/>
              <w:rPr>
                <w:sz w:val="20"/>
                <w:szCs w:val="20"/>
              </w:rPr>
            </w:pPr>
            <w:r w:rsidRPr="00E862D9">
              <w:rPr>
                <w:sz w:val="20"/>
                <w:szCs w:val="20"/>
              </w:rPr>
              <w:t>73.3% (at 1.5 µg a.s./bumble bee)</w:t>
            </w:r>
          </w:p>
        </w:tc>
      </w:tr>
    </w:tbl>
    <w:p w14:paraId="48E01719" w14:textId="77777777" w:rsidR="00E51CDD" w:rsidRDefault="00E51CDD" w:rsidP="00E51CDD">
      <w:pPr>
        <w:jc w:val="both"/>
        <w:rPr>
          <w:b/>
          <w:u w:val="single"/>
        </w:rPr>
      </w:pPr>
    </w:p>
    <w:p w14:paraId="57E2F92A" w14:textId="77777777" w:rsidR="00E51CDD" w:rsidRPr="00E862D9" w:rsidRDefault="00E51CDD" w:rsidP="00E51CDD">
      <w:pPr>
        <w:jc w:val="both"/>
        <w:rPr>
          <w:b/>
          <w:u w:val="single"/>
        </w:rPr>
      </w:pPr>
    </w:p>
    <w:bookmarkEnd w:id="1187"/>
    <w:p w14:paraId="397DAD5B" w14:textId="77777777" w:rsidR="00E51CDD" w:rsidRPr="00E862D9" w:rsidRDefault="00E51CDD" w:rsidP="00E51CDD">
      <w:pPr>
        <w:jc w:val="both"/>
      </w:pPr>
      <w:r w:rsidRPr="00E862D9">
        <w:t>All validity criteria were met.</w:t>
      </w:r>
    </w:p>
    <w:p w14:paraId="25704185" w14:textId="77777777" w:rsidR="00E51CDD" w:rsidRPr="00E862D9" w:rsidRDefault="00E51CDD" w:rsidP="00E51CDD">
      <w:pPr>
        <w:widowControl w:val="0"/>
        <w:suppressAutoHyphens/>
      </w:pPr>
    </w:p>
    <w:p w14:paraId="5E8E4D67" w14:textId="77777777" w:rsidR="00E51CDD" w:rsidRPr="00E862D9" w:rsidRDefault="00E51CDD" w:rsidP="00E51CDD">
      <w:pPr>
        <w:widowControl w:val="0"/>
        <w:suppressAutoHyphens/>
      </w:pPr>
    </w:p>
    <w:p w14:paraId="143C4A34" w14:textId="77777777" w:rsidR="00E51CDD" w:rsidRPr="00E862D9" w:rsidRDefault="00E51CDD" w:rsidP="00E51CDD">
      <w:pPr>
        <w:widowControl w:val="0"/>
        <w:jc w:val="both"/>
        <w:rPr>
          <w:b/>
        </w:rPr>
      </w:pPr>
      <w:r w:rsidRPr="00E862D9">
        <w:rPr>
          <w:b/>
        </w:rPr>
        <w:t>III.</w:t>
      </w:r>
      <w:r w:rsidRPr="00E862D9">
        <w:rPr>
          <w:b/>
        </w:rPr>
        <w:tab/>
        <w:t>CONCLUSION</w:t>
      </w:r>
    </w:p>
    <w:p w14:paraId="67F761F0" w14:textId="77777777" w:rsidR="00E51CDD" w:rsidRPr="00E862D9" w:rsidRDefault="00E51CDD" w:rsidP="00E51CDD">
      <w:pPr>
        <w:widowControl w:val="0"/>
        <w:suppressAutoHyphens/>
      </w:pPr>
    </w:p>
    <w:p w14:paraId="1875251B" w14:textId="77777777" w:rsidR="00E51CDD" w:rsidRPr="00E862D9" w:rsidRDefault="00E51CDD" w:rsidP="00E51CDD">
      <w:pPr>
        <w:widowControl w:val="0"/>
        <w:suppressAutoHyphens/>
        <w:jc w:val="both"/>
        <w:rPr>
          <w:b/>
          <w:bCs/>
          <w:lang w:eastAsia="en-US"/>
        </w:rPr>
      </w:pPr>
      <w:r w:rsidRPr="00E862D9">
        <w:rPr>
          <w:b/>
          <w:bCs/>
        </w:rPr>
        <w:t>In the acute oral toxicity test with BAS 700 04 F, the resulting LD</w:t>
      </w:r>
      <w:r w:rsidRPr="00E862D9">
        <w:rPr>
          <w:b/>
          <w:bCs/>
          <w:vertAlign w:val="subscript"/>
        </w:rPr>
        <w:t>50</w:t>
      </w:r>
      <w:r w:rsidRPr="00E862D9">
        <w:rPr>
          <w:b/>
          <w:bCs/>
        </w:rPr>
        <w:t xml:space="preserve"> after 96 hours was estimated to be &gt; 664.1 μg consumed BAS 700 04 F/bumble bee, corresponding to &gt; 176.3 µg consumed a.s./bumble bee.</w:t>
      </w:r>
    </w:p>
    <w:p w14:paraId="611D4C61" w14:textId="77777777" w:rsidR="00E51CDD" w:rsidRPr="0026218E" w:rsidRDefault="00E51CDD" w:rsidP="00E51CDD">
      <w:pPr>
        <w:pStyle w:val="RepStandard"/>
        <w:rPr>
          <w:lang w:val="en-US"/>
        </w:rPr>
      </w:pPr>
    </w:p>
    <w:p w14:paraId="3C0821B2" w14:textId="77777777" w:rsidR="00E51CDD" w:rsidRPr="002321A6" w:rsidRDefault="00E51CDD" w:rsidP="00E51CDD">
      <w:pPr>
        <w:pStyle w:val="RepStandard"/>
      </w:pPr>
      <w:r>
        <w:br w:type="page"/>
      </w:r>
    </w:p>
    <w:p w14:paraId="1F017831" w14:textId="77777777" w:rsidR="00E51CDD" w:rsidRDefault="00E51CDD" w:rsidP="00E51CDD">
      <w:pPr>
        <w:pStyle w:val="RepAppendix5"/>
      </w:pPr>
      <w:r w:rsidRPr="002B1114">
        <w:lastRenderedPageBreak/>
        <w:t>KCP 10.3.1.1.2</w:t>
      </w:r>
      <w:r w:rsidRPr="002B1114">
        <w:tab/>
        <w:t xml:space="preserve"> Acute contact toxicity to bees</w:t>
      </w:r>
    </w:p>
    <w:p w14:paraId="166CB111" w14:textId="77777777" w:rsidR="00E51CDD" w:rsidRPr="00FC6E3A" w:rsidRDefault="00E51CDD" w:rsidP="00E51CDD">
      <w:pPr>
        <w:pStyle w:val="RepAppendix6"/>
      </w:pPr>
      <w:r w:rsidRPr="00FC6E3A">
        <w:t>Study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6C3A894B" w14:textId="77777777" w:rsidTr="002346A8">
        <w:trPr>
          <w:trHeight w:val="854"/>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D194AB" w14:textId="77777777" w:rsidR="00E51CDD" w:rsidRDefault="00E51CDD" w:rsidP="009938D9">
            <w:pPr>
              <w:pStyle w:val="RepStandard"/>
              <w:rPr>
                <w:rFonts w:eastAsia="Batang"/>
                <w:lang w:val="en-US"/>
              </w:rPr>
            </w:pPr>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DEC58A" w14:textId="70AF42F0" w:rsidR="00D7379E" w:rsidRDefault="00D7379E" w:rsidP="00D7379E">
            <w:pPr>
              <w:pStyle w:val="RepStandard"/>
              <w:rPr>
                <w:color w:val="000000"/>
              </w:rPr>
            </w:pPr>
            <w:r w:rsidRPr="00547ED5">
              <w:rPr>
                <w:color w:val="000000"/>
              </w:rPr>
              <w:t>The study was conducted to OECD guideline</w:t>
            </w:r>
            <w:r>
              <w:rPr>
                <w:color w:val="000000"/>
              </w:rPr>
              <w:t>s</w:t>
            </w:r>
            <w:r w:rsidRPr="00547ED5">
              <w:rPr>
                <w:color w:val="000000"/>
              </w:rPr>
              <w:t xml:space="preserve"> 21</w:t>
            </w:r>
            <w:r>
              <w:rPr>
                <w:color w:val="000000"/>
              </w:rPr>
              <w:t>4</w:t>
            </w:r>
            <w:r w:rsidRPr="00547ED5">
              <w:rPr>
                <w:color w:val="000000"/>
              </w:rPr>
              <w:t xml:space="preserve"> and according to the principles of GLP. </w:t>
            </w:r>
            <w:r>
              <w:rPr>
                <w:color w:val="000000"/>
              </w:rPr>
              <w:t>Validity criteria were met</w:t>
            </w:r>
            <w:r w:rsidRPr="00547ED5">
              <w:rPr>
                <w:color w:val="000000"/>
              </w:rPr>
              <w:t xml:space="preserve">. </w:t>
            </w:r>
          </w:p>
          <w:p w14:paraId="1D414681" w14:textId="694D2149" w:rsidR="00E51CDD" w:rsidRDefault="00D7379E" w:rsidP="00D7379E">
            <w:pPr>
              <w:pStyle w:val="RepStandard"/>
              <w:rPr>
                <w:rFonts w:eastAsia="Batang"/>
              </w:rPr>
            </w:pPr>
            <w:r w:rsidRPr="00547ED5">
              <w:rPr>
                <w:color w:val="000000"/>
              </w:rPr>
              <w:t xml:space="preserve">The study is considered to be reliable </w:t>
            </w:r>
            <w:r w:rsidRPr="00547ED5">
              <w:t>and suitable for the risk assessment</w:t>
            </w:r>
            <w:r w:rsidRPr="00547ED5">
              <w:rPr>
                <w:color w:val="000000"/>
              </w:rPr>
              <w:t>.</w:t>
            </w:r>
          </w:p>
        </w:tc>
      </w:tr>
    </w:tbl>
    <w:p w14:paraId="1CB1F88F"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1B472F20" w14:textId="77777777" w:rsidTr="009938D9">
        <w:trPr>
          <w:gridAfter w:val="1"/>
          <w:wAfter w:w="9" w:type="pct"/>
        </w:trPr>
        <w:tc>
          <w:tcPr>
            <w:tcW w:w="1340" w:type="pct"/>
            <w:hideMark/>
          </w:tcPr>
          <w:p w14:paraId="72995898" w14:textId="77777777" w:rsidR="00E51CDD" w:rsidRDefault="00E51CDD" w:rsidP="009938D9">
            <w:pPr>
              <w:pStyle w:val="RepStandard"/>
              <w:rPr>
                <w:lang w:val="de-DE"/>
              </w:rPr>
            </w:pPr>
            <w:r>
              <w:t>Reference:</w:t>
            </w:r>
          </w:p>
        </w:tc>
        <w:tc>
          <w:tcPr>
            <w:tcW w:w="3651" w:type="pct"/>
            <w:hideMark/>
          </w:tcPr>
          <w:p w14:paraId="7FE8A677" w14:textId="77777777" w:rsidR="00E51CDD" w:rsidRDefault="00E51CDD" w:rsidP="009938D9">
            <w:pPr>
              <w:pStyle w:val="RepStandard"/>
            </w:pPr>
            <w:r>
              <w:t>CP 10.3.1.1.2/1</w:t>
            </w:r>
          </w:p>
        </w:tc>
      </w:tr>
      <w:tr w:rsidR="00E51CDD" w14:paraId="41D776AC" w14:textId="77777777" w:rsidTr="009938D9">
        <w:trPr>
          <w:gridAfter w:val="1"/>
          <w:wAfter w:w="9" w:type="pct"/>
        </w:trPr>
        <w:tc>
          <w:tcPr>
            <w:tcW w:w="1340" w:type="pct"/>
            <w:hideMark/>
          </w:tcPr>
          <w:p w14:paraId="14E796E6" w14:textId="77777777" w:rsidR="00E51CDD" w:rsidRDefault="00E51CDD" w:rsidP="009938D9">
            <w:pPr>
              <w:pStyle w:val="RepStandard"/>
              <w:spacing w:after="120"/>
            </w:pPr>
            <w:r>
              <w:t>Report</w:t>
            </w:r>
          </w:p>
        </w:tc>
        <w:tc>
          <w:tcPr>
            <w:tcW w:w="3651" w:type="pct"/>
            <w:hideMark/>
          </w:tcPr>
          <w:p w14:paraId="1394B8D8" w14:textId="77777777" w:rsidR="00E51CDD" w:rsidRDefault="00E51CDD" w:rsidP="009938D9">
            <w:pPr>
              <w:pStyle w:val="RepStandard"/>
              <w:spacing w:after="120"/>
              <w:rPr>
                <w:lang w:val="en-US"/>
              </w:rPr>
            </w:pPr>
            <w:r>
              <w:rPr>
                <w:lang w:val="en-US"/>
              </w:rPr>
              <w:t>BAS 736 00 F: Acute Oral and Contact Toxicity to the Honey Bee, Apis mellifera L. under Laboratory Conditions,</w:t>
            </w:r>
          </w:p>
          <w:p w14:paraId="4B83EE4A" w14:textId="77777777" w:rsidR="00E51CDD" w:rsidRDefault="00E51CDD" w:rsidP="009938D9">
            <w:pPr>
              <w:pStyle w:val="RepStandard"/>
              <w:spacing w:after="120"/>
              <w:rPr>
                <w:lang w:val="en-US"/>
              </w:rPr>
            </w:pPr>
            <w:r>
              <w:rPr>
                <w:lang w:val="en-US"/>
              </w:rPr>
              <w:t>Wendling, K., 2019</w:t>
            </w:r>
          </w:p>
          <w:p w14:paraId="1F597316" w14:textId="77777777" w:rsidR="00E51CDD" w:rsidRDefault="00E51CDD" w:rsidP="009938D9">
            <w:pPr>
              <w:pStyle w:val="RepStandard"/>
              <w:spacing w:after="120"/>
              <w:rPr>
                <w:lang w:val="en-US"/>
              </w:rPr>
            </w:pPr>
            <w:r>
              <w:rPr>
                <w:lang w:val="en-US"/>
              </w:rPr>
              <w:t>report No 849664, S19-02328</w:t>
            </w:r>
          </w:p>
          <w:p w14:paraId="45A0E38A" w14:textId="77777777" w:rsidR="00E51CDD" w:rsidRDefault="00E51CDD" w:rsidP="009938D9">
            <w:pPr>
              <w:pStyle w:val="RepStandard"/>
              <w:spacing w:after="120"/>
            </w:pPr>
            <w:r>
              <w:rPr>
                <w:lang w:val="en-US"/>
              </w:rPr>
              <w:t>2019/1061095</w:t>
            </w:r>
          </w:p>
          <w:p w14:paraId="48460916" w14:textId="77777777" w:rsidR="00E51CDD" w:rsidRDefault="00E51CDD" w:rsidP="009938D9">
            <w:pPr>
              <w:pStyle w:val="RepStandard"/>
            </w:pPr>
            <w:r>
              <w:t>Authority registration No</w:t>
            </w:r>
          </w:p>
        </w:tc>
      </w:tr>
      <w:tr w:rsidR="00E51CDD" w14:paraId="7D8139CC" w14:textId="77777777" w:rsidTr="009938D9">
        <w:trPr>
          <w:gridAfter w:val="1"/>
          <w:wAfter w:w="9" w:type="pct"/>
        </w:trPr>
        <w:tc>
          <w:tcPr>
            <w:tcW w:w="1340" w:type="pct"/>
            <w:hideMark/>
          </w:tcPr>
          <w:p w14:paraId="01F06A9F" w14:textId="77777777" w:rsidR="00E51CDD" w:rsidRDefault="00E51CDD" w:rsidP="009938D9">
            <w:pPr>
              <w:pStyle w:val="RepStandard"/>
            </w:pPr>
            <w:r>
              <w:t>Guideline(s):</w:t>
            </w:r>
          </w:p>
        </w:tc>
        <w:tc>
          <w:tcPr>
            <w:tcW w:w="3651" w:type="pct"/>
            <w:hideMark/>
          </w:tcPr>
          <w:p w14:paraId="7F3709D5" w14:textId="77777777" w:rsidR="00E51CDD" w:rsidRDefault="00E51CDD" w:rsidP="009938D9">
            <w:pPr>
              <w:pStyle w:val="RepStandard"/>
              <w:spacing w:after="120"/>
            </w:pPr>
            <w:r>
              <w:rPr>
                <w:lang w:val="en-US"/>
              </w:rPr>
              <w:t>OECD 213, OECD 214</w:t>
            </w:r>
            <w:r>
              <w:t xml:space="preserve"> </w:t>
            </w:r>
          </w:p>
        </w:tc>
      </w:tr>
      <w:tr w:rsidR="00E51CDD" w14:paraId="00DB65A6" w14:textId="77777777" w:rsidTr="009938D9">
        <w:trPr>
          <w:gridAfter w:val="1"/>
          <w:wAfter w:w="9" w:type="pct"/>
        </w:trPr>
        <w:tc>
          <w:tcPr>
            <w:tcW w:w="1340" w:type="pct"/>
            <w:hideMark/>
          </w:tcPr>
          <w:p w14:paraId="61933CF8" w14:textId="77777777" w:rsidR="00E51CDD" w:rsidRDefault="00E51CDD" w:rsidP="009938D9">
            <w:pPr>
              <w:pStyle w:val="RepStandard"/>
            </w:pPr>
            <w:r>
              <w:t>Deviations:</w:t>
            </w:r>
          </w:p>
        </w:tc>
        <w:tc>
          <w:tcPr>
            <w:tcW w:w="3651" w:type="pct"/>
            <w:hideMark/>
          </w:tcPr>
          <w:p w14:paraId="6896EBA7" w14:textId="77777777" w:rsidR="00E51CDD" w:rsidRDefault="00E51CDD" w:rsidP="009938D9">
            <w:pPr>
              <w:pStyle w:val="RepStandard"/>
              <w:spacing w:after="120"/>
            </w:pPr>
            <w:r>
              <w:t xml:space="preserve">No </w:t>
            </w:r>
          </w:p>
        </w:tc>
      </w:tr>
      <w:tr w:rsidR="00E51CDD" w:rsidRPr="00662F32" w14:paraId="1AA758BC" w14:textId="77777777" w:rsidTr="009938D9">
        <w:tc>
          <w:tcPr>
            <w:tcW w:w="1340" w:type="pct"/>
            <w:hideMark/>
          </w:tcPr>
          <w:p w14:paraId="7BD74E11" w14:textId="77777777" w:rsidR="00E51CDD" w:rsidRDefault="00E51CDD" w:rsidP="009938D9">
            <w:pPr>
              <w:pStyle w:val="RepStandard"/>
            </w:pPr>
            <w:r>
              <w:t>GLP:</w:t>
            </w:r>
          </w:p>
        </w:tc>
        <w:tc>
          <w:tcPr>
            <w:tcW w:w="3660" w:type="pct"/>
            <w:gridSpan w:val="2"/>
            <w:hideMark/>
          </w:tcPr>
          <w:p w14:paraId="0DDAEE4C" w14:textId="77777777" w:rsidR="00E51CDD" w:rsidRPr="00E111CB" w:rsidRDefault="00E51CDD" w:rsidP="009938D9">
            <w:pPr>
              <w:tabs>
                <w:tab w:val="left" w:pos="425"/>
                <w:tab w:val="left" w:pos="850"/>
              </w:tabs>
              <w:spacing w:after="120"/>
              <w:ind w:left="1985" w:hanging="1985"/>
              <w:rPr>
                <w:b/>
                <w:lang w:val="de-DE"/>
              </w:rPr>
            </w:pPr>
            <w:r w:rsidRPr="00E111CB">
              <w:rPr>
                <w:lang w:val="de-DE"/>
              </w:rPr>
              <w:t>yes</w:t>
            </w:r>
          </w:p>
          <w:p w14:paraId="22F48BE3" w14:textId="77777777" w:rsidR="00E51CDD" w:rsidRPr="00E111CB" w:rsidRDefault="00E51CDD" w:rsidP="009938D9">
            <w:pPr>
              <w:pStyle w:val="RepStandard"/>
              <w:spacing w:after="120"/>
              <w:jc w:val="left"/>
              <w:rPr>
                <w:lang w:val="de-DE"/>
              </w:rPr>
            </w:pPr>
            <w:r w:rsidRPr="00E111CB">
              <w:rPr>
                <w:lang w:val="de-DE"/>
              </w:rPr>
              <w:t xml:space="preserve">(certified by Landesanstalt fuer Umwelt, Baden-Wuerttemberg, Karlsruhe, Germany), </w:t>
            </w:r>
          </w:p>
        </w:tc>
      </w:tr>
      <w:tr w:rsidR="00E51CDD" w14:paraId="6271E1C1" w14:textId="77777777" w:rsidTr="009938D9">
        <w:trPr>
          <w:gridAfter w:val="1"/>
          <w:wAfter w:w="9" w:type="pct"/>
        </w:trPr>
        <w:tc>
          <w:tcPr>
            <w:tcW w:w="1340" w:type="pct"/>
            <w:hideMark/>
          </w:tcPr>
          <w:p w14:paraId="2103F2E6" w14:textId="77777777" w:rsidR="00E51CDD" w:rsidRDefault="00E51CDD" w:rsidP="009938D9">
            <w:pPr>
              <w:pStyle w:val="RepStandard"/>
              <w:rPr>
                <w:lang w:val="de-DE"/>
              </w:rPr>
            </w:pPr>
            <w:r>
              <w:t>Acceptability:</w:t>
            </w:r>
          </w:p>
        </w:tc>
        <w:tc>
          <w:tcPr>
            <w:tcW w:w="3651" w:type="pct"/>
            <w:hideMark/>
          </w:tcPr>
          <w:p w14:paraId="2F8A29C9" w14:textId="77777777" w:rsidR="00E51CDD" w:rsidRDefault="00E51CDD" w:rsidP="009938D9">
            <w:pPr>
              <w:pStyle w:val="RepStandard"/>
            </w:pPr>
            <w:r>
              <w:t xml:space="preserve">Yes </w:t>
            </w:r>
          </w:p>
        </w:tc>
      </w:tr>
      <w:tr w:rsidR="00E51CDD" w14:paraId="0F8EBB72" w14:textId="77777777" w:rsidTr="009938D9">
        <w:trPr>
          <w:gridAfter w:val="1"/>
          <w:wAfter w:w="9" w:type="pct"/>
        </w:trPr>
        <w:tc>
          <w:tcPr>
            <w:tcW w:w="1340" w:type="pct"/>
            <w:hideMark/>
          </w:tcPr>
          <w:p w14:paraId="45EE8BDE" w14:textId="77777777" w:rsidR="00E51CDD" w:rsidRDefault="00E51CDD" w:rsidP="009938D9">
            <w:pPr>
              <w:pStyle w:val="RepStandard"/>
            </w:pPr>
            <w:r>
              <w:t xml:space="preserve">Duplication </w:t>
            </w:r>
            <w:r>
              <w:br/>
              <w:t>(if vertebrate study)</w:t>
            </w:r>
          </w:p>
        </w:tc>
        <w:tc>
          <w:tcPr>
            <w:tcW w:w="3651" w:type="pct"/>
            <w:hideMark/>
          </w:tcPr>
          <w:p w14:paraId="6B78ACEC" w14:textId="77777777" w:rsidR="00E51CDD" w:rsidRDefault="00E51CDD" w:rsidP="009938D9">
            <w:pPr>
              <w:pStyle w:val="RepStandard"/>
              <w:spacing w:after="120"/>
              <w:rPr>
                <w:highlight w:val="yellow"/>
              </w:rPr>
            </w:pPr>
            <w:r>
              <w:t>No</w:t>
            </w:r>
          </w:p>
        </w:tc>
      </w:tr>
    </w:tbl>
    <w:p w14:paraId="71B9B27E" w14:textId="77777777" w:rsidR="00E51CDD" w:rsidRDefault="00E51CDD" w:rsidP="00E51CDD">
      <w:pPr>
        <w:widowControl w:val="0"/>
        <w:tabs>
          <w:tab w:val="left" w:pos="425"/>
          <w:tab w:val="left" w:pos="850"/>
        </w:tabs>
        <w:ind w:left="2835" w:hanging="2835"/>
        <w:rPr>
          <w:b/>
          <w:szCs w:val="24"/>
        </w:rPr>
      </w:pPr>
    </w:p>
    <w:p w14:paraId="7C0180CF" w14:textId="77777777" w:rsidR="00E51CDD" w:rsidRPr="00FC6E3A" w:rsidRDefault="00E51CDD" w:rsidP="00E51CDD">
      <w:pPr>
        <w:widowControl w:val="0"/>
        <w:tabs>
          <w:tab w:val="left" w:pos="425"/>
          <w:tab w:val="left" w:pos="850"/>
        </w:tabs>
        <w:ind w:left="2835" w:hanging="2835"/>
        <w:rPr>
          <w:b/>
          <w:szCs w:val="24"/>
        </w:rPr>
      </w:pPr>
    </w:p>
    <w:p w14:paraId="60B77AE9" w14:textId="77777777" w:rsidR="00E51CDD" w:rsidRPr="00FC6E3A" w:rsidRDefault="00E51CDD" w:rsidP="00E51CDD">
      <w:pPr>
        <w:widowControl w:val="0"/>
        <w:tabs>
          <w:tab w:val="left" w:pos="425"/>
          <w:tab w:val="left" w:pos="850"/>
        </w:tabs>
        <w:ind w:left="2835" w:hanging="2835"/>
        <w:rPr>
          <w:b/>
          <w:szCs w:val="24"/>
        </w:rPr>
      </w:pPr>
      <w:r w:rsidRPr="00FC6E3A">
        <w:rPr>
          <w:b/>
          <w:szCs w:val="24"/>
        </w:rPr>
        <w:t>Executive Summary</w:t>
      </w:r>
    </w:p>
    <w:p w14:paraId="79F32444" w14:textId="77777777" w:rsidR="00E51CDD" w:rsidRPr="00FC6E3A" w:rsidRDefault="00E51CDD" w:rsidP="00E51CDD">
      <w:pPr>
        <w:widowControl w:val="0"/>
        <w:jc w:val="both"/>
        <w:rPr>
          <w:szCs w:val="24"/>
        </w:rPr>
      </w:pPr>
    </w:p>
    <w:p w14:paraId="7FC34CEB" w14:textId="77777777" w:rsidR="00E51CDD" w:rsidRPr="00FC6E3A" w:rsidRDefault="00E51CDD" w:rsidP="00E51CDD">
      <w:pPr>
        <w:widowControl w:val="0"/>
        <w:spacing w:before="40" w:after="40"/>
        <w:jc w:val="both"/>
        <w:rPr>
          <w:szCs w:val="24"/>
        </w:rPr>
      </w:pPr>
      <w:r w:rsidRPr="00FC6E3A">
        <w:t>In a contact toxicity test, adult worker bees (</w:t>
      </w:r>
      <w:r w:rsidRPr="00FC6E3A">
        <w:rPr>
          <w:i/>
          <w:iCs/>
        </w:rPr>
        <w:t>Apis mellifera</w:t>
      </w:r>
      <w:r w:rsidRPr="00FC6E3A">
        <w:t xml:space="preserve"> L.) were exposed to BAS 736 00 F. The toxicity of the test item was determined at nominal dose rates of </w:t>
      </w:r>
      <w:r w:rsidRPr="00FC6E3A">
        <w:rPr>
          <w:szCs w:val="24"/>
          <w:lang w:eastAsia="en-US"/>
        </w:rPr>
        <w:t xml:space="preserve">62.5, 125, 250, 500 and 1000 </w:t>
      </w:r>
      <w:r w:rsidRPr="00FC6E3A">
        <w:t xml:space="preserve">µg BAS 736 00 F/bee that is corresponding to 7.25, 14.5, 29.0, 58.0 and 116 µg total a.s./bee. Additionally, honey bees were treated with </w:t>
      </w:r>
      <w:bookmarkStart w:id="1188" w:name="_Hlk85186366"/>
      <w:r w:rsidRPr="00FC6E3A">
        <w:t>BAS 152 11 I</w:t>
      </w:r>
      <w:r w:rsidRPr="00FC6E3A">
        <w:rPr>
          <w:szCs w:val="24"/>
          <w:lang w:eastAsia="en-US"/>
        </w:rPr>
        <w:t xml:space="preserve"> </w:t>
      </w:r>
      <w:bookmarkEnd w:id="1188"/>
      <w:r w:rsidRPr="00FC6E3A">
        <w:t xml:space="preserve">as reference item at dose rates ranging from 0.10 to 0.34 µg a.s./bee (based on analyzed content of a.s.: dimethoate), and furthermore with Triton X-100 solution as control. </w:t>
      </w:r>
      <w:r w:rsidRPr="00FC6E3A">
        <w:rPr>
          <w:szCs w:val="24"/>
        </w:rPr>
        <w:t>Assessments of mortality and behavioral abnormalities were made after 4, 24, 48 and 72 hours.</w:t>
      </w:r>
    </w:p>
    <w:p w14:paraId="026ADC45" w14:textId="77777777" w:rsidR="00E51CDD" w:rsidRPr="00FC6E3A" w:rsidRDefault="00E51CDD" w:rsidP="00E51CDD">
      <w:pPr>
        <w:widowControl w:val="0"/>
        <w:spacing w:before="40" w:after="40"/>
        <w:jc w:val="both"/>
        <w:rPr>
          <w:szCs w:val="24"/>
        </w:rPr>
      </w:pPr>
    </w:p>
    <w:p w14:paraId="5890F125" w14:textId="77777777" w:rsidR="00E51CDD" w:rsidRPr="00FC6E3A" w:rsidRDefault="00E51CDD" w:rsidP="00E51CDD">
      <w:pPr>
        <w:widowControl w:val="0"/>
        <w:spacing w:before="40" w:after="40"/>
        <w:jc w:val="both"/>
      </w:pPr>
      <w:r w:rsidRPr="00FC6E3A">
        <w:t xml:space="preserve">After 72 hours of contact exposure, a mortality of 2.5% occurred in the control group. The maximum mortality observed in the contact toxicity test with </w:t>
      </w:r>
      <w:r w:rsidRPr="00FC6E3A">
        <w:rPr>
          <w:szCs w:val="24"/>
        </w:rPr>
        <w:t>BAS 736 00 F</w:t>
      </w:r>
      <w:r w:rsidRPr="00FC6E3A" w:rsidDel="00FE38F9">
        <w:t xml:space="preserve"> </w:t>
      </w:r>
      <w:r w:rsidRPr="00FC6E3A">
        <w:t xml:space="preserve">was 25.0% (corrected 23.1%) at the test concentration of 500 µg </w:t>
      </w:r>
      <w:r w:rsidRPr="00FC6E3A">
        <w:rPr>
          <w:szCs w:val="24"/>
        </w:rPr>
        <w:t>BAS 736 00 F</w:t>
      </w:r>
      <w:r w:rsidRPr="00FC6E3A" w:rsidDel="00FE38F9">
        <w:t xml:space="preserve"> </w:t>
      </w:r>
      <w:r w:rsidRPr="00FC6E3A">
        <w:t xml:space="preserve">/bee after 72 hours. Behavioral abnormalities like affected and/or apathetic and/or moribund bees were observed at all treatment groups. </w:t>
      </w:r>
    </w:p>
    <w:p w14:paraId="4B800D7B" w14:textId="77777777" w:rsidR="00E51CDD" w:rsidRPr="00FC6E3A" w:rsidRDefault="00E51CDD" w:rsidP="00E51CDD">
      <w:pPr>
        <w:widowControl w:val="0"/>
        <w:spacing w:before="40" w:after="40"/>
        <w:jc w:val="both"/>
        <w:rPr>
          <w:szCs w:val="24"/>
        </w:rPr>
      </w:pPr>
    </w:p>
    <w:p w14:paraId="0A920DE4" w14:textId="77777777" w:rsidR="00E51CDD" w:rsidRDefault="00E51CDD" w:rsidP="00E51CDD">
      <w:pPr>
        <w:widowControl w:val="0"/>
        <w:jc w:val="both"/>
        <w:rPr>
          <w:b/>
          <w:bCs/>
        </w:rPr>
      </w:pPr>
      <w:r w:rsidRPr="00FC6E3A">
        <w:rPr>
          <w:b/>
          <w:bCs/>
        </w:rPr>
        <w:t>In an acute contact toxicity test with BAS 736 00 F on honey bees, the LD</w:t>
      </w:r>
      <w:r w:rsidRPr="00FC6E3A">
        <w:rPr>
          <w:b/>
          <w:bCs/>
          <w:vertAlign w:val="subscript"/>
        </w:rPr>
        <w:t>50</w:t>
      </w:r>
      <w:r w:rsidRPr="00FC6E3A">
        <w:rPr>
          <w:b/>
          <w:bCs/>
        </w:rPr>
        <w:t xml:space="preserve"> (48 h) was determined to be &gt; 1000 µg BAS 736 00 F/bee.</w:t>
      </w:r>
    </w:p>
    <w:p w14:paraId="202B8E04" w14:textId="77777777" w:rsidR="00E51CDD" w:rsidRPr="00FC6E3A" w:rsidRDefault="00E51CDD" w:rsidP="00E51CDD">
      <w:pPr>
        <w:widowControl w:val="0"/>
        <w:jc w:val="both"/>
        <w:rPr>
          <w:color w:val="0070C0"/>
          <w:szCs w:val="24"/>
          <w:lang w:eastAsia="en-US"/>
        </w:rPr>
      </w:pPr>
      <w:r>
        <w:rPr>
          <w:color w:val="0070C0"/>
          <w:szCs w:val="24"/>
          <w:lang w:eastAsia="en-US"/>
        </w:rPr>
        <w:br w:type="page"/>
      </w:r>
    </w:p>
    <w:p w14:paraId="41F3ED0B" w14:textId="77777777" w:rsidR="00E51CDD" w:rsidRPr="00FC6E3A" w:rsidRDefault="00E51CDD" w:rsidP="00E51CDD">
      <w:pPr>
        <w:widowControl w:val="0"/>
        <w:tabs>
          <w:tab w:val="left" w:pos="425"/>
          <w:tab w:val="left" w:pos="850"/>
        </w:tabs>
        <w:ind w:left="2835" w:hanging="2835"/>
        <w:jc w:val="both"/>
        <w:rPr>
          <w:b/>
        </w:rPr>
      </w:pPr>
      <w:r w:rsidRPr="00FC6E3A">
        <w:rPr>
          <w:b/>
        </w:rPr>
        <w:lastRenderedPageBreak/>
        <w:t>I.</w:t>
      </w:r>
      <w:r w:rsidRPr="00FC6E3A">
        <w:rPr>
          <w:b/>
        </w:rPr>
        <w:tab/>
        <w:t>MATERIALS AND METHODS</w:t>
      </w:r>
    </w:p>
    <w:p w14:paraId="45D9A4AC" w14:textId="77777777" w:rsidR="00E51CDD" w:rsidRPr="00FC6E3A" w:rsidRDefault="00E51CDD" w:rsidP="00E51CDD">
      <w:pPr>
        <w:widowControl w:val="0"/>
        <w:jc w:val="both"/>
        <w:rPr>
          <w:sz w:val="24"/>
        </w:rPr>
      </w:pPr>
    </w:p>
    <w:p w14:paraId="498F46FB" w14:textId="77777777" w:rsidR="00E51CDD" w:rsidRPr="00FC6E3A" w:rsidRDefault="00E51CDD" w:rsidP="00E51CDD">
      <w:pPr>
        <w:tabs>
          <w:tab w:val="left" w:pos="425"/>
          <w:tab w:val="left" w:pos="850"/>
        </w:tabs>
        <w:ind w:left="2835" w:hanging="2835"/>
        <w:jc w:val="both"/>
        <w:rPr>
          <w:b/>
          <w:bCs/>
        </w:rPr>
      </w:pPr>
      <w:r w:rsidRPr="00FC6E3A">
        <w:rPr>
          <w:b/>
          <w:bCs/>
        </w:rPr>
        <w:t>A.</w:t>
      </w:r>
      <w:r w:rsidRPr="00FC6E3A">
        <w:rPr>
          <w:b/>
          <w:bCs/>
        </w:rPr>
        <w:tab/>
        <w:t>MATERIALS</w:t>
      </w:r>
    </w:p>
    <w:p w14:paraId="18A2E5A0" w14:textId="77777777" w:rsidR="00E51CDD" w:rsidRPr="00FC6E3A" w:rsidRDefault="00E51CDD" w:rsidP="00E51CDD">
      <w:pPr>
        <w:widowControl w:val="0"/>
        <w:ind w:left="2420" w:hanging="2420"/>
        <w:jc w:val="both"/>
        <w:rPr>
          <w:szCs w:val="24"/>
          <w:lang w:eastAsia="en-US"/>
        </w:rPr>
      </w:pPr>
    </w:p>
    <w:p w14:paraId="3C4FE7D1"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 xml:space="preserve">Test item: </w:t>
      </w:r>
      <w:r w:rsidRPr="00FC6E3A">
        <w:rPr>
          <w:szCs w:val="24"/>
          <w:lang w:eastAsia="en-US"/>
        </w:rPr>
        <w:tab/>
      </w:r>
      <w:r w:rsidRPr="00FC6E3A">
        <w:rPr>
          <w:szCs w:val="24"/>
        </w:rPr>
        <w:t>BAS 736 00 F; batch no. FD-190220-0002; content of a.s.: azoxystrobin (BAS 9164 F, Reg. No. 300 254): 73.9 g/L analyzed (75.0</w:t>
      </w:r>
      <w:r w:rsidRPr="00FC6E3A">
        <w:t> g</w:t>
      </w:r>
      <w:r w:rsidRPr="00FC6E3A">
        <w:rPr>
          <w:szCs w:val="24"/>
        </w:rPr>
        <w:t>/L nominal), fluxapyroxad (BAS 700 F, Reg. No. 5 094 351): 49.4 g/L analyzed (50.0 g/L nominal); density: 1.078 g/cm³.</w:t>
      </w:r>
    </w:p>
    <w:p w14:paraId="607D1BB5" w14:textId="77777777" w:rsidR="00E51CDD" w:rsidRPr="00FC6E3A" w:rsidRDefault="00E51CDD" w:rsidP="00E51CDD">
      <w:pPr>
        <w:widowControl w:val="0"/>
        <w:tabs>
          <w:tab w:val="left" w:pos="425"/>
          <w:tab w:val="left" w:pos="850"/>
        </w:tabs>
        <w:ind w:left="2268" w:hanging="2268"/>
        <w:jc w:val="both"/>
        <w:rPr>
          <w:szCs w:val="24"/>
          <w:lang w:eastAsia="en-US"/>
        </w:rPr>
      </w:pPr>
    </w:p>
    <w:p w14:paraId="3A9CE657" w14:textId="77777777" w:rsidR="00E51CDD" w:rsidRPr="00FC6E3A" w:rsidRDefault="00E51CDD" w:rsidP="00E51CDD">
      <w:pPr>
        <w:tabs>
          <w:tab w:val="left" w:pos="425"/>
          <w:tab w:val="left" w:pos="850"/>
        </w:tabs>
        <w:ind w:left="2835" w:hanging="2835"/>
        <w:jc w:val="both"/>
        <w:rPr>
          <w:b/>
          <w:bCs/>
        </w:rPr>
      </w:pPr>
      <w:r w:rsidRPr="00FC6E3A">
        <w:rPr>
          <w:b/>
          <w:bCs/>
        </w:rPr>
        <w:t>B.</w:t>
      </w:r>
      <w:r w:rsidRPr="00FC6E3A">
        <w:rPr>
          <w:b/>
          <w:bCs/>
        </w:rPr>
        <w:tab/>
        <w:t>STUDY DESIGN</w:t>
      </w:r>
    </w:p>
    <w:p w14:paraId="303D6D8D" w14:textId="77777777" w:rsidR="00E51CDD" w:rsidRPr="00FC6E3A" w:rsidRDefault="00E51CDD" w:rsidP="00E51CDD">
      <w:pPr>
        <w:widowControl w:val="0"/>
        <w:ind w:left="2268" w:hanging="2268"/>
        <w:jc w:val="both"/>
      </w:pPr>
    </w:p>
    <w:p w14:paraId="3FA07AD0"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Test species:</w:t>
      </w:r>
      <w:r w:rsidRPr="00FC6E3A">
        <w:rPr>
          <w:szCs w:val="24"/>
          <w:lang w:eastAsia="en-US"/>
        </w:rPr>
        <w:tab/>
        <w:t>Honey bee (</w:t>
      </w:r>
      <w:r w:rsidRPr="00FC6E3A">
        <w:rPr>
          <w:i/>
          <w:szCs w:val="24"/>
          <w:lang w:eastAsia="en-US"/>
        </w:rPr>
        <w:t xml:space="preserve">Apis mellifera </w:t>
      </w:r>
      <w:r w:rsidRPr="00FC6E3A">
        <w:rPr>
          <w:iCs/>
          <w:szCs w:val="24"/>
          <w:lang w:eastAsia="en-US"/>
        </w:rPr>
        <w:t xml:space="preserve">L.) </w:t>
      </w:r>
      <w:r w:rsidRPr="00FC6E3A">
        <w:rPr>
          <w:szCs w:val="24"/>
          <w:lang w:eastAsia="en-US"/>
        </w:rPr>
        <w:t xml:space="preserve">adult worker bees, derived from a healthy and queen-right colony; </w:t>
      </w:r>
      <w:r w:rsidRPr="00FC6E3A">
        <w:t>brushed off the combs of the honey chamber and distributed into test cages one day before test start;</w:t>
      </w:r>
      <w:r w:rsidRPr="00FC6E3A">
        <w:rPr>
          <w:szCs w:val="24"/>
          <w:lang w:eastAsia="en-US"/>
        </w:rPr>
        <w:t xml:space="preserve"> source: Eurofins Agroscience Services Ecotox GmbH, Niefern-Öschelbronn, Germany.</w:t>
      </w:r>
    </w:p>
    <w:p w14:paraId="0A944712" w14:textId="77777777" w:rsidR="00E51CDD" w:rsidRPr="00FC6E3A" w:rsidRDefault="00E51CDD" w:rsidP="00E51CDD">
      <w:pPr>
        <w:widowControl w:val="0"/>
        <w:tabs>
          <w:tab w:val="left" w:pos="425"/>
          <w:tab w:val="left" w:pos="850"/>
        </w:tabs>
        <w:ind w:left="2268" w:hanging="2268"/>
        <w:jc w:val="both"/>
        <w:rPr>
          <w:szCs w:val="24"/>
          <w:lang w:eastAsia="en-US"/>
        </w:rPr>
      </w:pPr>
    </w:p>
    <w:p w14:paraId="75773848" w14:textId="77777777" w:rsidR="00E51CDD" w:rsidRPr="00FC6E3A" w:rsidRDefault="00E51CDD" w:rsidP="00E51CDD">
      <w:pPr>
        <w:widowControl w:val="0"/>
        <w:ind w:left="2268" w:hanging="2268"/>
        <w:jc w:val="both"/>
        <w:rPr>
          <w:szCs w:val="24"/>
          <w:lang w:eastAsia="en-US"/>
        </w:rPr>
      </w:pPr>
      <w:r w:rsidRPr="00FC6E3A">
        <w:rPr>
          <w:szCs w:val="24"/>
          <w:lang w:eastAsia="en-US"/>
        </w:rPr>
        <w:t>Test design:</w:t>
      </w:r>
      <w:r w:rsidRPr="00FC6E3A">
        <w:rPr>
          <w:szCs w:val="24"/>
          <w:lang w:eastAsia="en-US"/>
        </w:rPr>
        <w:tab/>
        <w:t xml:space="preserve">In a 72-hour test, adult worker bees of </w:t>
      </w:r>
      <w:r w:rsidRPr="00FC6E3A">
        <w:rPr>
          <w:i/>
          <w:szCs w:val="24"/>
          <w:lang w:eastAsia="en-US"/>
        </w:rPr>
        <w:t>Apis mellifera</w:t>
      </w:r>
      <w:r w:rsidRPr="00FC6E3A">
        <w:rPr>
          <w:szCs w:val="24"/>
          <w:lang w:eastAsia="en-US"/>
        </w:rPr>
        <w:t xml:space="preserve"> L. were exposed to BAS 736 00 F </w:t>
      </w:r>
      <w:r w:rsidRPr="00FC6E3A">
        <w:t>in an appropriate carrier (0.1% Triton X-100 as wetting agent) placed on the dorsal bee thorax</w:t>
      </w:r>
      <w:r w:rsidRPr="00FC6E3A">
        <w:rPr>
          <w:szCs w:val="24"/>
          <w:lang w:eastAsia="en-US"/>
        </w:rPr>
        <w:t xml:space="preserve">. </w:t>
      </w:r>
      <w:r w:rsidRPr="00FC6E3A">
        <w:rPr>
          <w:rFonts w:eastAsia="Arial"/>
        </w:rPr>
        <w:t xml:space="preserve">The following treatment groups were set up: </w:t>
      </w:r>
      <w:r w:rsidRPr="00FC6E3A">
        <w:rPr>
          <w:szCs w:val="24"/>
          <w:lang w:eastAsia="en-US"/>
        </w:rPr>
        <w:t xml:space="preserve">5 concentration of the test item, 2 untreated control and 4 concentrations of the reference item with 4 replicates for all treatments </w:t>
      </w:r>
      <w:r w:rsidRPr="00FC6E3A">
        <w:t xml:space="preserve">and 10 bees per replicate, respectively. </w:t>
      </w:r>
      <w:r w:rsidRPr="00FC6E3A">
        <w:rPr>
          <w:szCs w:val="24"/>
          <w:lang w:eastAsia="en-US"/>
        </w:rPr>
        <w:t>Assessments o</w:t>
      </w:r>
      <w:r w:rsidRPr="00FC6E3A">
        <w:t>f honey bee mortality and behavioral effects were done after 4, 24, 48 and 72 hours.</w:t>
      </w:r>
    </w:p>
    <w:p w14:paraId="79B70B94" w14:textId="77777777" w:rsidR="00E51CDD" w:rsidRPr="00FC6E3A" w:rsidRDefault="00E51CDD" w:rsidP="00E51CDD">
      <w:pPr>
        <w:widowControl w:val="0"/>
        <w:ind w:left="2268" w:hanging="2268"/>
        <w:jc w:val="both"/>
        <w:rPr>
          <w:szCs w:val="24"/>
          <w:lang w:eastAsia="en-US"/>
        </w:rPr>
      </w:pPr>
    </w:p>
    <w:p w14:paraId="7E441C7B" w14:textId="77777777" w:rsidR="00E51CDD" w:rsidRPr="00FC6E3A" w:rsidRDefault="00E51CDD" w:rsidP="00E51CDD">
      <w:pPr>
        <w:widowControl w:val="0"/>
        <w:ind w:left="2268" w:hanging="2268"/>
        <w:jc w:val="both"/>
        <w:rPr>
          <w:szCs w:val="24"/>
          <w:lang w:eastAsia="en-US"/>
        </w:rPr>
      </w:pPr>
      <w:r w:rsidRPr="00FC6E3A">
        <w:rPr>
          <w:szCs w:val="24"/>
          <w:lang w:eastAsia="en-US"/>
        </w:rPr>
        <w:t>Endpoints:</w:t>
      </w:r>
      <w:r w:rsidRPr="00FC6E3A">
        <w:rPr>
          <w:szCs w:val="24"/>
          <w:lang w:eastAsia="en-US"/>
        </w:rPr>
        <w:tab/>
        <w:t xml:space="preserve">Mortality </w:t>
      </w:r>
      <w:bookmarkStart w:id="1189" w:name="_Hlk85186555"/>
      <w:r w:rsidRPr="00FC6E3A">
        <w:rPr>
          <w:szCs w:val="24"/>
          <w:lang w:eastAsia="en-US"/>
        </w:rPr>
        <w:t>(LD</w:t>
      </w:r>
      <w:r w:rsidRPr="00FC6E3A">
        <w:rPr>
          <w:szCs w:val="24"/>
          <w:vertAlign w:val="subscript"/>
          <w:lang w:eastAsia="en-US"/>
        </w:rPr>
        <w:t>50</w:t>
      </w:r>
      <w:r w:rsidRPr="00FC6E3A">
        <w:rPr>
          <w:szCs w:val="24"/>
          <w:lang w:eastAsia="en-US"/>
        </w:rPr>
        <w:t>)</w:t>
      </w:r>
      <w:r w:rsidRPr="00FC6E3A">
        <w:rPr>
          <w:lang w:eastAsia="en-US"/>
        </w:rPr>
        <w:t>, behavioral impairments</w:t>
      </w:r>
      <w:r w:rsidRPr="00FC6E3A">
        <w:rPr>
          <w:szCs w:val="24"/>
          <w:lang w:eastAsia="en-US"/>
        </w:rPr>
        <w:t>.</w:t>
      </w:r>
      <w:bookmarkEnd w:id="1189"/>
    </w:p>
    <w:p w14:paraId="1605944C" w14:textId="77777777" w:rsidR="00E51CDD" w:rsidRPr="00FC6E3A" w:rsidRDefault="00E51CDD" w:rsidP="00E51CDD">
      <w:pPr>
        <w:widowControl w:val="0"/>
        <w:ind w:left="2268" w:hanging="2268"/>
        <w:jc w:val="both"/>
        <w:rPr>
          <w:szCs w:val="24"/>
          <w:lang w:eastAsia="en-US"/>
        </w:rPr>
      </w:pPr>
    </w:p>
    <w:p w14:paraId="6F16D397"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 xml:space="preserve">Reference item: </w:t>
      </w:r>
      <w:r w:rsidRPr="00FC6E3A">
        <w:rPr>
          <w:szCs w:val="24"/>
          <w:lang w:eastAsia="en-US"/>
        </w:rPr>
        <w:tab/>
      </w:r>
      <w:r w:rsidRPr="00FC6E3A">
        <w:t>BAS 152 11 I</w:t>
      </w:r>
      <w:r w:rsidRPr="00FC6E3A">
        <w:rPr>
          <w:szCs w:val="24"/>
          <w:lang w:eastAsia="en-US"/>
        </w:rPr>
        <w:t xml:space="preserve"> (a.s.: dimethoate, analyzed content: 429.0 g/L, nominal: 400 g/L).</w:t>
      </w:r>
    </w:p>
    <w:p w14:paraId="59C03998" w14:textId="77777777" w:rsidR="00E51CDD" w:rsidRPr="00FC6E3A" w:rsidRDefault="00E51CDD" w:rsidP="00E51CDD">
      <w:pPr>
        <w:widowControl w:val="0"/>
        <w:tabs>
          <w:tab w:val="left" w:pos="425"/>
          <w:tab w:val="left" w:pos="850"/>
        </w:tabs>
        <w:ind w:left="2268" w:hanging="2268"/>
        <w:jc w:val="both"/>
        <w:rPr>
          <w:color w:val="0070C0"/>
          <w:szCs w:val="24"/>
          <w:lang w:eastAsia="en-US"/>
        </w:rPr>
      </w:pPr>
    </w:p>
    <w:p w14:paraId="3E6E723B"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Test concentrations:</w:t>
      </w:r>
      <w:r w:rsidRPr="00FC6E3A">
        <w:rPr>
          <w:szCs w:val="24"/>
          <w:lang w:eastAsia="en-US"/>
        </w:rPr>
        <w:tab/>
        <w:t>Solvent control: deionized water + 0.1% (v/v) Triton X-100; test item at dose rates of 62.5, 125, 250, 500 and 1000 µg</w:t>
      </w:r>
      <w:r w:rsidRPr="00FC6E3A">
        <w:rPr>
          <w:szCs w:val="24"/>
        </w:rPr>
        <w:t xml:space="preserve"> BAS 736 00 F</w:t>
      </w:r>
      <w:r w:rsidRPr="00FC6E3A">
        <w:rPr>
          <w:szCs w:val="24"/>
          <w:lang w:eastAsia="en-US"/>
        </w:rPr>
        <w:t>/bee; reference item at dose rates of 0.10, 0.15, 0.23 and 0.34 µg a.s./bee.</w:t>
      </w:r>
    </w:p>
    <w:p w14:paraId="2E211E7F" w14:textId="77777777" w:rsidR="00E51CDD" w:rsidRPr="00FC6E3A" w:rsidRDefault="00E51CDD" w:rsidP="00E51CDD">
      <w:pPr>
        <w:widowControl w:val="0"/>
        <w:ind w:left="2268"/>
        <w:jc w:val="both"/>
        <w:rPr>
          <w:lang w:eastAsia="en-US"/>
        </w:rPr>
      </w:pPr>
      <w:bookmarkStart w:id="1190" w:name="_Hlk85186476"/>
      <w:r w:rsidRPr="00FC6E3A">
        <w:rPr>
          <w:lang w:eastAsia="en-US"/>
        </w:rPr>
        <w:t>Test item at dose rates (nominal):</w:t>
      </w:r>
    </w:p>
    <w:tbl>
      <w:tblPr>
        <w:tblStyle w:val="DAR00712"/>
        <w:tblW w:w="3790" w:type="pct"/>
        <w:tblInd w:w="2263" w:type="dxa"/>
        <w:tblLook w:val="04A0" w:firstRow="1" w:lastRow="0" w:firstColumn="1" w:lastColumn="0" w:noHBand="0" w:noVBand="1"/>
      </w:tblPr>
      <w:tblGrid>
        <w:gridCol w:w="3704"/>
        <w:gridCol w:w="3379"/>
      </w:tblGrid>
      <w:tr w:rsidR="00E51CDD" w:rsidRPr="00FC6E3A" w14:paraId="3C036E22" w14:textId="77777777" w:rsidTr="009938D9">
        <w:trPr>
          <w:trHeight w:val="247"/>
        </w:trPr>
        <w:tc>
          <w:tcPr>
            <w:tcW w:w="5000" w:type="pct"/>
            <w:gridSpan w:val="2"/>
            <w:vAlign w:val="center"/>
          </w:tcPr>
          <w:bookmarkEnd w:id="1190"/>
          <w:p w14:paraId="479BB88A" w14:textId="77777777" w:rsidR="00E51CDD" w:rsidRPr="00FC6E3A" w:rsidRDefault="00E51CDD" w:rsidP="009938D9">
            <w:pPr>
              <w:widowControl w:val="0"/>
              <w:rPr>
                <w:sz w:val="20"/>
                <w:szCs w:val="24"/>
              </w:rPr>
            </w:pPr>
            <w:r w:rsidRPr="00FC6E3A">
              <w:rPr>
                <w:sz w:val="20"/>
                <w:szCs w:val="24"/>
              </w:rPr>
              <w:t>Nominal dose [µg/bee]</w:t>
            </w:r>
          </w:p>
        </w:tc>
      </w:tr>
      <w:tr w:rsidR="00E51CDD" w:rsidRPr="00FC6E3A" w14:paraId="5ACAD9C9" w14:textId="77777777" w:rsidTr="009938D9">
        <w:trPr>
          <w:trHeight w:val="247"/>
        </w:trPr>
        <w:tc>
          <w:tcPr>
            <w:tcW w:w="2615" w:type="pct"/>
            <w:vAlign w:val="center"/>
          </w:tcPr>
          <w:p w14:paraId="6AA4ECAF" w14:textId="77777777" w:rsidR="00E51CDD" w:rsidRPr="00FC6E3A" w:rsidRDefault="00E51CDD" w:rsidP="009938D9">
            <w:pPr>
              <w:widowControl w:val="0"/>
              <w:rPr>
                <w:sz w:val="20"/>
                <w:szCs w:val="24"/>
              </w:rPr>
            </w:pPr>
            <w:r w:rsidRPr="00FC6E3A">
              <w:rPr>
                <w:sz w:val="20"/>
                <w:szCs w:val="24"/>
              </w:rPr>
              <w:t>BAS 736 00 F [µg/bee]</w:t>
            </w:r>
          </w:p>
        </w:tc>
        <w:tc>
          <w:tcPr>
            <w:tcW w:w="2385" w:type="pct"/>
            <w:vAlign w:val="center"/>
          </w:tcPr>
          <w:p w14:paraId="5418E9B6" w14:textId="77777777" w:rsidR="00E51CDD" w:rsidRPr="00FC6E3A" w:rsidRDefault="00E51CDD" w:rsidP="009938D9">
            <w:pPr>
              <w:widowControl w:val="0"/>
              <w:rPr>
                <w:b/>
                <w:sz w:val="20"/>
                <w:szCs w:val="24"/>
              </w:rPr>
            </w:pPr>
            <w:r w:rsidRPr="00FC6E3A">
              <w:rPr>
                <w:sz w:val="20"/>
                <w:szCs w:val="24"/>
              </w:rPr>
              <w:t>Total active substance [µg/bee]</w:t>
            </w:r>
          </w:p>
        </w:tc>
      </w:tr>
      <w:tr w:rsidR="00E51CDD" w:rsidRPr="00FC6E3A" w14:paraId="6CD094C0" w14:textId="77777777" w:rsidTr="009938D9">
        <w:trPr>
          <w:trHeight w:val="247"/>
        </w:trPr>
        <w:tc>
          <w:tcPr>
            <w:tcW w:w="2615" w:type="pct"/>
            <w:vAlign w:val="center"/>
          </w:tcPr>
          <w:p w14:paraId="3311D8B9" w14:textId="77777777" w:rsidR="00E51CDD" w:rsidRPr="00FC6E3A" w:rsidRDefault="00E51CDD" w:rsidP="009938D9">
            <w:pPr>
              <w:widowControl w:val="0"/>
              <w:rPr>
                <w:sz w:val="20"/>
                <w:szCs w:val="24"/>
              </w:rPr>
            </w:pPr>
            <w:r w:rsidRPr="00FC6E3A">
              <w:rPr>
                <w:sz w:val="20"/>
                <w:szCs w:val="24"/>
              </w:rPr>
              <w:t>62.5</w:t>
            </w:r>
          </w:p>
        </w:tc>
        <w:tc>
          <w:tcPr>
            <w:tcW w:w="2385" w:type="pct"/>
            <w:vAlign w:val="center"/>
          </w:tcPr>
          <w:p w14:paraId="4EB40FD7" w14:textId="77777777" w:rsidR="00E51CDD" w:rsidRPr="00FC6E3A" w:rsidRDefault="00E51CDD" w:rsidP="009938D9">
            <w:pPr>
              <w:widowControl w:val="0"/>
              <w:rPr>
                <w:sz w:val="20"/>
                <w:szCs w:val="24"/>
              </w:rPr>
            </w:pPr>
            <w:r w:rsidRPr="00FC6E3A">
              <w:rPr>
                <w:sz w:val="20"/>
                <w:szCs w:val="24"/>
              </w:rPr>
              <w:t>7.25</w:t>
            </w:r>
          </w:p>
        </w:tc>
      </w:tr>
      <w:tr w:rsidR="00E51CDD" w:rsidRPr="00FC6E3A" w14:paraId="017BDEFC" w14:textId="77777777" w:rsidTr="009938D9">
        <w:trPr>
          <w:trHeight w:val="247"/>
        </w:trPr>
        <w:tc>
          <w:tcPr>
            <w:tcW w:w="2615" w:type="pct"/>
            <w:vAlign w:val="center"/>
          </w:tcPr>
          <w:p w14:paraId="18E78E4D" w14:textId="77777777" w:rsidR="00E51CDD" w:rsidRPr="00FC6E3A" w:rsidRDefault="00E51CDD" w:rsidP="009938D9">
            <w:pPr>
              <w:widowControl w:val="0"/>
              <w:rPr>
                <w:sz w:val="20"/>
                <w:szCs w:val="24"/>
              </w:rPr>
            </w:pPr>
            <w:r w:rsidRPr="00FC6E3A">
              <w:rPr>
                <w:sz w:val="20"/>
                <w:szCs w:val="24"/>
              </w:rPr>
              <w:t>125</w:t>
            </w:r>
          </w:p>
        </w:tc>
        <w:tc>
          <w:tcPr>
            <w:tcW w:w="2385" w:type="pct"/>
            <w:vAlign w:val="center"/>
          </w:tcPr>
          <w:p w14:paraId="064ADFE4" w14:textId="77777777" w:rsidR="00E51CDD" w:rsidRPr="00FC6E3A" w:rsidRDefault="00E51CDD" w:rsidP="009938D9">
            <w:pPr>
              <w:widowControl w:val="0"/>
              <w:rPr>
                <w:sz w:val="20"/>
                <w:szCs w:val="24"/>
              </w:rPr>
            </w:pPr>
            <w:r w:rsidRPr="00FC6E3A">
              <w:rPr>
                <w:sz w:val="20"/>
                <w:szCs w:val="24"/>
              </w:rPr>
              <w:t>14.5</w:t>
            </w:r>
          </w:p>
        </w:tc>
      </w:tr>
      <w:tr w:rsidR="00E51CDD" w:rsidRPr="00FC6E3A" w14:paraId="1AA9E758" w14:textId="77777777" w:rsidTr="009938D9">
        <w:trPr>
          <w:trHeight w:val="247"/>
        </w:trPr>
        <w:tc>
          <w:tcPr>
            <w:tcW w:w="2615" w:type="pct"/>
            <w:vAlign w:val="center"/>
          </w:tcPr>
          <w:p w14:paraId="08262305" w14:textId="77777777" w:rsidR="00E51CDD" w:rsidRPr="00FC6E3A" w:rsidRDefault="00E51CDD" w:rsidP="009938D9">
            <w:pPr>
              <w:widowControl w:val="0"/>
              <w:rPr>
                <w:sz w:val="20"/>
                <w:szCs w:val="24"/>
              </w:rPr>
            </w:pPr>
            <w:r w:rsidRPr="00FC6E3A">
              <w:rPr>
                <w:sz w:val="20"/>
                <w:szCs w:val="24"/>
              </w:rPr>
              <w:t>250</w:t>
            </w:r>
          </w:p>
        </w:tc>
        <w:tc>
          <w:tcPr>
            <w:tcW w:w="2385" w:type="pct"/>
            <w:vAlign w:val="center"/>
          </w:tcPr>
          <w:p w14:paraId="3A1A3682" w14:textId="77777777" w:rsidR="00E51CDD" w:rsidRPr="00FC6E3A" w:rsidRDefault="00E51CDD" w:rsidP="009938D9">
            <w:pPr>
              <w:widowControl w:val="0"/>
              <w:rPr>
                <w:sz w:val="20"/>
                <w:szCs w:val="24"/>
              </w:rPr>
            </w:pPr>
            <w:r w:rsidRPr="00FC6E3A">
              <w:rPr>
                <w:sz w:val="20"/>
                <w:szCs w:val="24"/>
              </w:rPr>
              <w:t>29.0</w:t>
            </w:r>
          </w:p>
        </w:tc>
      </w:tr>
      <w:tr w:rsidR="00E51CDD" w:rsidRPr="00FC6E3A" w14:paraId="37637026" w14:textId="77777777" w:rsidTr="009938D9">
        <w:trPr>
          <w:trHeight w:val="247"/>
        </w:trPr>
        <w:tc>
          <w:tcPr>
            <w:tcW w:w="2615" w:type="pct"/>
            <w:vAlign w:val="center"/>
          </w:tcPr>
          <w:p w14:paraId="031CC921" w14:textId="77777777" w:rsidR="00E51CDD" w:rsidRPr="00FC6E3A" w:rsidRDefault="00E51CDD" w:rsidP="009938D9">
            <w:pPr>
              <w:widowControl w:val="0"/>
              <w:rPr>
                <w:sz w:val="20"/>
                <w:szCs w:val="24"/>
              </w:rPr>
            </w:pPr>
            <w:r w:rsidRPr="00FC6E3A">
              <w:rPr>
                <w:sz w:val="20"/>
                <w:szCs w:val="24"/>
              </w:rPr>
              <w:t>500</w:t>
            </w:r>
          </w:p>
        </w:tc>
        <w:tc>
          <w:tcPr>
            <w:tcW w:w="2385" w:type="pct"/>
            <w:vAlign w:val="center"/>
          </w:tcPr>
          <w:p w14:paraId="025CA646" w14:textId="77777777" w:rsidR="00E51CDD" w:rsidRPr="00FC6E3A" w:rsidRDefault="00E51CDD" w:rsidP="009938D9">
            <w:pPr>
              <w:widowControl w:val="0"/>
              <w:rPr>
                <w:sz w:val="20"/>
                <w:szCs w:val="24"/>
              </w:rPr>
            </w:pPr>
            <w:r w:rsidRPr="00FC6E3A">
              <w:rPr>
                <w:sz w:val="20"/>
                <w:szCs w:val="24"/>
              </w:rPr>
              <w:t>58.0</w:t>
            </w:r>
          </w:p>
        </w:tc>
      </w:tr>
      <w:tr w:rsidR="00E51CDD" w:rsidRPr="00FC6E3A" w14:paraId="4D4E4A1A" w14:textId="77777777" w:rsidTr="009938D9">
        <w:trPr>
          <w:trHeight w:val="247"/>
        </w:trPr>
        <w:tc>
          <w:tcPr>
            <w:tcW w:w="2615" w:type="pct"/>
            <w:vAlign w:val="center"/>
          </w:tcPr>
          <w:p w14:paraId="7CD22C6D" w14:textId="77777777" w:rsidR="00E51CDD" w:rsidRPr="00FC6E3A" w:rsidRDefault="00E51CDD" w:rsidP="009938D9">
            <w:pPr>
              <w:widowControl w:val="0"/>
              <w:rPr>
                <w:sz w:val="20"/>
                <w:szCs w:val="24"/>
              </w:rPr>
            </w:pPr>
            <w:r w:rsidRPr="00FC6E3A">
              <w:rPr>
                <w:sz w:val="20"/>
                <w:szCs w:val="24"/>
              </w:rPr>
              <w:t>1000</w:t>
            </w:r>
          </w:p>
        </w:tc>
        <w:tc>
          <w:tcPr>
            <w:tcW w:w="2385" w:type="pct"/>
            <w:vAlign w:val="center"/>
          </w:tcPr>
          <w:p w14:paraId="25FF46DD" w14:textId="77777777" w:rsidR="00E51CDD" w:rsidRPr="00FC6E3A" w:rsidRDefault="00E51CDD" w:rsidP="009938D9">
            <w:pPr>
              <w:widowControl w:val="0"/>
              <w:rPr>
                <w:sz w:val="20"/>
                <w:szCs w:val="24"/>
              </w:rPr>
            </w:pPr>
            <w:r w:rsidRPr="00FC6E3A">
              <w:rPr>
                <w:sz w:val="20"/>
                <w:szCs w:val="24"/>
              </w:rPr>
              <w:t>116</w:t>
            </w:r>
          </w:p>
        </w:tc>
      </w:tr>
    </w:tbl>
    <w:p w14:paraId="4F7D9BAA" w14:textId="77777777" w:rsidR="00E51CDD" w:rsidRPr="00FC6E3A" w:rsidRDefault="00E51CDD" w:rsidP="00E51CDD">
      <w:pPr>
        <w:widowControl w:val="0"/>
        <w:tabs>
          <w:tab w:val="left" w:pos="425"/>
          <w:tab w:val="left" w:pos="850"/>
        </w:tabs>
        <w:ind w:left="2268" w:hanging="2268"/>
        <w:jc w:val="both"/>
        <w:rPr>
          <w:szCs w:val="24"/>
          <w:lang w:eastAsia="en-US"/>
        </w:rPr>
      </w:pPr>
    </w:p>
    <w:p w14:paraId="20C9A8E5"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Test conditions:</w:t>
      </w:r>
      <w:r w:rsidRPr="00FC6E3A">
        <w:rPr>
          <w:szCs w:val="24"/>
          <w:lang w:eastAsia="en-US"/>
        </w:rPr>
        <w:tab/>
        <w:t xml:space="preserve">Temperature: 23.7 °C - 26.0 °C; relative humidity: 53.7% - 63.2%; photoperiod: 24 h darkness (with exception of diffuse artificial light during assessments and handling, only); food: 50% (w/v) sucrose solution, </w:t>
      </w:r>
      <w:r w:rsidRPr="00FC6E3A">
        <w:rPr>
          <w:i/>
          <w:iCs/>
          <w:szCs w:val="24"/>
          <w:lang w:eastAsia="en-US"/>
        </w:rPr>
        <w:t>ad libitum</w:t>
      </w:r>
      <w:r w:rsidRPr="00FC6E3A">
        <w:rPr>
          <w:szCs w:val="24"/>
          <w:lang w:eastAsia="en-US"/>
        </w:rPr>
        <w:t>.</w:t>
      </w:r>
    </w:p>
    <w:p w14:paraId="73610E63" w14:textId="77777777" w:rsidR="00E51CDD" w:rsidRPr="00FC6E3A" w:rsidRDefault="00E51CDD" w:rsidP="00E51CDD">
      <w:pPr>
        <w:widowControl w:val="0"/>
        <w:tabs>
          <w:tab w:val="left" w:pos="425"/>
          <w:tab w:val="left" w:pos="850"/>
        </w:tabs>
        <w:ind w:left="2268" w:hanging="2268"/>
        <w:jc w:val="both"/>
        <w:rPr>
          <w:szCs w:val="24"/>
          <w:lang w:eastAsia="en-US"/>
        </w:rPr>
      </w:pPr>
    </w:p>
    <w:p w14:paraId="6D71EAD1"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Analytics:</w:t>
      </w:r>
      <w:r w:rsidRPr="00FC6E3A">
        <w:rPr>
          <w:szCs w:val="24"/>
          <w:lang w:eastAsia="en-US"/>
        </w:rPr>
        <w:tab/>
      </w:r>
      <w:r w:rsidRPr="00FC6E3A">
        <w:rPr>
          <w:rFonts w:eastAsia="PMingLiU"/>
        </w:rPr>
        <w:t>No analytical verification of the test item is required according to the current test guideline. Hence, no analytical verification was conducted</w:t>
      </w:r>
      <w:r w:rsidRPr="00FC6E3A">
        <w:t>.</w:t>
      </w:r>
    </w:p>
    <w:p w14:paraId="464A41B2" w14:textId="77777777" w:rsidR="00E51CDD" w:rsidRPr="00FC6E3A" w:rsidRDefault="00E51CDD" w:rsidP="00E51CDD">
      <w:pPr>
        <w:widowControl w:val="0"/>
        <w:tabs>
          <w:tab w:val="left" w:pos="425"/>
          <w:tab w:val="left" w:pos="850"/>
        </w:tabs>
        <w:ind w:left="2268" w:hanging="2268"/>
        <w:jc w:val="both"/>
        <w:rPr>
          <w:szCs w:val="24"/>
          <w:lang w:eastAsia="en-US"/>
        </w:rPr>
      </w:pPr>
    </w:p>
    <w:p w14:paraId="29C7278D" w14:textId="77777777" w:rsidR="00E51CDD" w:rsidRPr="00FC6E3A" w:rsidRDefault="00E51CDD" w:rsidP="00E51CDD">
      <w:pPr>
        <w:widowControl w:val="0"/>
        <w:tabs>
          <w:tab w:val="left" w:pos="425"/>
          <w:tab w:val="left" w:pos="850"/>
        </w:tabs>
        <w:ind w:left="2268" w:hanging="2268"/>
        <w:jc w:val="both"/>
        <w:rPr>
          <w:szCs w:val="24"/>
          <w:lang w:eastAsia="en-US"/>
        </w:rPr>
      </w:pPr>
      <w:r w:rsidRPr="00FC6E3A">
        <w:rPr>
          <w:szCs w:val="24"/>
          <w:lang w:eastAsia="en-US"/>
        </w:rPr>
        <w:t>Statistics:</w:t>
      </w:r>
      <w:r w:rsidRPr="00FC6E3A">
        <w:rPr>
          <w:szCs w:val="24"/>
          <w:lang w:eastAsia="en-US"/>
        </w:rPr>
        <w:tab/>
        <w:t xml:space="preserve">Descriptive statistics; </w:t>
      </w:r>
      <w:r w:rsidRPr="00FC6E3A">
        <w:t>Statistical program ToxRat Professional 3.3.0 was used to analyze the study data.</w:t>
      </w:r>
    </w:p>
    <w:p w14:paraId="5845168D" w14:textId="77777777" w:rsidR="00E51CDD" w:rsidRPr="00FC6E3A" w:rsidRDefault="00E51CDD" w:rsidP="00E51CDD">
      <w:pPr>
        <w:widowControl w:val="0"/>
        <w:tabs>
          <w:tab w:val="left" w:pos="425"/>
          <w:tab w:val="left" w:pos="850"/>
        </w:tabs>
        <w:jc w:val="both"/>
        <w:rPr>
          <w:bCs/>
          <w:color w:val="0070C0"/>
          <w:szCs w:val="24"/>
        </w:rPr>
      </w:pPr>
      <w:r>
        <w:rPr>
          <w:bCs/>
          <w:color w:val="0070C0"/>
          <w:szCs w:val="24"/>
        </w:rPr>
        <w:br w:type="page"/>
      </w:r>
    </w:p>
    <w:p w14:paraId="6D7F0041" w14:textId="77777777" w:rsidR="00E51CDD" w:rsidRPr="00FC6E3A" w:rsidRDefault="00E51CDD" w:rsidP="00E51CDD">
      <w:pPr>
        <w:widowControl w:val="0"/>
        <w:tabs>
          <w:tab w:val="left" w:pos="425"/>
          <w:tab w:val="left" w:pos="850"/>
        </w:tabs>
        <w:jc w:val="both"/>
        <w:rPr>
          <w:b/>
        </w:rPr>
      </w:pPr>
      <w:r w:rsidRPr="00FC6E3A">
        <w:rPr>
          <w:b/>
        </w:rPr>
        <w:lastRenderedPageBreak/>
        <w:t>II.</w:t>
      </w:r>
      <w:r w:rsidRPr="00FC6E3A">
        <w:rPr>
          <w:b/>
        </w:rPr>
        <w:tab/>
        <w:t>RESULTS AND DISCUSSION</w:t>
      </w:r>
    </w:p>
    <w:p w14:paraId="3C39A012" w14:textId="77777777" w:rsidR="00E51CDD" w:rsidRPr="00FC6E3A" w:rsidRDefault="00E51CDD" w:rsidP="00E51CDD">
      <w:pPr>
        <w:widowControl w:val="0"/>
        <w:jc w:val="both"/>
        <w:rPr>
          <w:szCs w:val="24"/>
        </w:rPr>
      </w:pPr>
    </w:p>
    <w:p w14:paraId="09BEA018" w14:textId="2E22447F" w:rsidR="00E51CDD" w:rsidRPr="00FC6E3A" w:rsidRDefault="00E51CDD" w:rsidP="00E51CDD">
      <w:pPr>
        <w:widowControl w:val="0"/>
        <w:jc w:val="both"/>
        <w:rPr>
          <w:szCs w:val="24"/>
        </w:rPr>
      </w:pPr>
      <w:r w:rsidRPr="00FC6E3A">
        <w:t xml:space="preserve">After 72 hours of contact exposure, a mortality of 2.5% occurred in the control group. The maximum mortality observed in the contact toxicity test with </w:t>
      </w:r>
      <w:r w:rsidRPr="00FC6E3A">
        <w:rPr>
          <w:szCs w:val="24"/>
        </w:rPr>
        <w:t>BAS 736 00 F</w:t>
      </w:r>
      <w:r w:rsidRPr="00FC6E3A" w:rsidDel="00FE38F9">
        <w:t xml:space="preserve"> </w:t>
      </w:r>
      <w:r w:rsidRPr="00FC6E3A">
        <w:t xml:space="preserve">was 25.0% (corrected 23.1%) at the test concentration of 500 µg </w:t>
      </w:r>
      <w:r w:rsidRPr="00FC6E3A">
        <w:rPr>
          <w:szCs w:val="24"/>
        </w:rPr>
        <w:t>BAS 736 00 F</w:t>
      </w:r>
      <w:r w:rsidRPr="00FC6E3A" w:rsidDel="00FE38F9">
        <w:t xml:space="preserve"> </w:t>
      </w:r>
      <w:r w:rsidRPr="00FC6E3A">
        <w:t xml:space="preserve">/bee after 72 hours. Behavioral abnormalities like affected and/or apathetic and/or moribund bees were observed at all treatment groups. </w:t>
      </w:r>
      <w:r w:rsidRPr="00FC6E3A">
        <w:rPr>
          <w:szCs w:val="24"/>
        </w:rPr>
        <w:t xml:space="preserve">The results are summarized in </w:t>
      </w:r>
      <w:r w:rsidRPr="00FC6E3A">
        <w:rPr>
          <w:szCs w:val="24"/>
        </w:rPr>
        <w:fldChar w:fldCharType="begin"/>
      </w:r>
      <w:r w:rsidRPr="00FC6E3A">
        <w:rPr>
          <w:szCs w:val="24"/>
        </w:rPr>
        <w:instrText xml:space="preserve"> REF _Ref508368007 \h  \* MERGEFORMAT </w:instrText>
      </w:r>
      <w:r w:rsidRPr="00FC6E3A">
        <w:rPr>
          <w:szCs w:val="24"/>
        </w:rPr>
      </w:r>
      <w:r w:rsidRPr="00FC6E3A">
        <w:rPr>
          <w:szCs w:val="24"/>
        </w:rPr>
        <w:fldChar w:fldCharType="separate"/>
      </w:r>
      <w:r w:rsidR="00662F32" w:rsidRPr="00662F32">
        <w:rPr>
          <w:szCs w:val="20"/>
        </w:rPr>
        <w:t xml:space="preserve">Table A </w:t>
      </w:r>
      <w:r w:rsidR="00662F32" w:rsidRPr="00662F32">
        <w:rPr>
          <w:noProof/>
          <w:szCs w:val="20"/>
        </w:rPr>
        <w:t>15</w:t>
      </w:r>
      <w:r w:rsidRPr="00FC6E3A">
        <w:rPr>
          <w:szCs w:val="24"/>
        </w:rPr>
        <w:fldChar w:fldCharType="end"/>
      </w:r>
      <w:r w:rsidRPr="00FC6E3A">
        <w:rPr>
          <w:szCs w:val="24"/>
        </w:rPr>
        <w:t>.</w:t>
      </w:r>
    </w:p>
    <w:p w14:paraId="71106C1E" w14:textId="77777777" w:rsidR="00E51CDD" w:rsidRPr="00FC6E3A" w:rsidRDefault="00E51CDD" w:rsidP="00E51CDD">
      <w:pPr>
        <w:widowControl w:val="0"/>
        <w:jc w:val="both"/>
        <w:rPr>
          <w:szCs w:val="24"/>
        </w:rPr>
      </w:pPr>
    </w:p>
    <w:p w14:paraId="1E10ABF8" w14:textId="43F14853" w:rsidR="00E51CDD" w:rsidRPr="00FC6E3A" w:rsidRDefault="00E51CDD" w:rsidP="00E51CDD">
      <w:pPr>
        <w:keepNext/>
        <w:rPr>
          <w:b/>
          <w:bCs/>
          <w:szCs w:val="20"/>
        </w:rPr>
      </w:pPr>
      <w:bookmarkStart w:id="1191" w:name="_Ref508368007"/>
      <w:r w:rsidRPr="00FC6E3A">
        <w:rPr>
          <w:b/>
          <w:bCs/>
          <w:szCs w:val="20"/>
        </w:rPr>
        <w:t xml:space="preserve">Table A </w:t>
      </w:r>
      <w:r w:rsidRPr="00FC6E3A">
        <w:rPr>
          <w:b/>
          <w:bCs/>
          <w:szCs w:val="20"/>
        </w:rPr>
        <w:fldChar w:fldCharType="begin"/>
      </w:r>
      <w:r w:rsidRPr="00FC6E3A">
        <w:rPr>
          <w:b/>
          <w:bCs/>
          <w:szCs w:val="20"/>
        </w:rPr>
        <w:instrText xml:space="preserve"> SEQ Table_A \* ARABIC </w:instrText>
      </w:r>
      <w:r w:rsidRPr="00FC6E3A">
        <w:rPr>
          <w:b/>
          <w:bCs/>
          <w:szCs w:val="20"/>
        </w:rPr>
        <w:fldChar w:fldCharType="separate"/>
      </w:r>
      <w:r w:rsidR="00662F32">
        <w:rPr>
          <w:b/>
          <w:bCs/>
          <w:noProof/>
          <w:szCs w:val="20"/>
        </w:rPr>
        <w:t>15</w:t>
      </w:r>
      <w:r w:rsidRPr="00FC6E3A">
        <w:rPr>
          <w:b/>
          <w:bCs/>
          <w:szCs w:val="20"/>
        </w:rPr>
        <w:fldChar w:fldCharType="end"/>
      </w:r>
      <w:bookmarkEnd w:id="1191"/>
      <w:r w:rsidRPr="00FC6E3A">
        <w:rPr>
          <w:b/>
          <w:bCs/>
          <w:szCs w:val="20"/>
        </w:rPr>
        <w:t>:</w:t>
      </w:r>
      <w:r w:rsidRPr="00FC6E3A">
        <w:rPr>
          <w:b/>
          <w:bCs/>
          <w:szCs w:val="20"/>
        </w:rPr>
        <w:tab/>
        <w:t xml:space="preserve">Effects of </w:t>
      </w:r>
      <w:r w:rsidRPr="00FC6E3A">
        <w:rPr>
          <w:b/>
          <w:lang w:eastAsia="fr-FR"/>
        </w:rPr>
        <w:t>BAS 736 00 F</w:t>
      </w:r>
      <w:r w:rsidRPr="00FC6E3A">
        <w:rPr>
          <w:b/>
          <w:bCs/>
          <w:szCs w:val="20"/>
        </w:rPr>
        <w:t xml:space="preserve"> to honey bees (</w:t>
      </w:r>
      <w:r w:rsidRPr="00FC6E3A">
        <w:rPr>
          <w:b/>
          <w:bCs/>
          <w:i/>
          <w:szCs w:val="20"/>
        </w:rPr>
        <w:t>Apis mellifera</w:t>
      </w:r>
      <w:r w:rsidRPr="00FC6E3A">
        <w:rPr>
          <w:b/>
          <w:bCs/>
          <w:szCs w:val="20"/>
        </w:rPr>
        <w:t>) in a contact toxicity test</w:t>
      </w:r>
    </w:p>
    <w:tbl>
      <w:tblPr>
        <w:tblStyle w:val="DAR00751"/>
        <w:tblW w:w="4944" w:type="pct"/>
        <w:tblInd w:w="-34" w:type="dxa"/>
        <w:tblLook w:val="04A0" w:firstRow="1" w:lastRow="0" w:firstColumn="1" w:lastColumn="0" w:noHBand="0" w:noVBand="1"/>
      </w:tblPr>
      <w:tblGrid>
        <w:gridCol w:w="1413"/>
        <w:gridCol w:w="1280"/>
        <w:gridCol w:w="1085"/>
        <w:gridCol w:w="1016"/>
        <w:gridCol w:w="1170"/>
        <w:gridCol w:w="1109"/>
        <w:gridCol w:w="1081"/>
        <w:gridCol w:w="1085"/>
      </w:tblGrid>
      <w:tr w:rsidR="00E51CDD" w:rsidRPr="00FC6E3A" w14:paraId="32185AC3" w14:textId="77777777" w:rsidTr="009938D9">
        <w:trPr>
          <w:trHeight w:val="308"/>
        </w:trPr>
        <w:tc>
          <w:tcPr>
            <w:tcW w:w="765" w:type="pct"/>
            <w:vMerge w:val="restart"/>
            <w:vAlign w:val="center"/>
          </w:tcPr>
          <w:p w14:paraId="00A20052" w14:textId="77777777" w:rsidR="00E51CDD" w:rsidRPr="00FC6E3A" w:rsidRDefault="00E51CDD" w:rsidP="009938D9">
            <w:pPr>
              <w:jc w:val="center"/>
              <w:rPr>
                <w:b/>
                <w:sz w:val="20"/>
                <w:szCs w:val="20"/>
              </w:rPr>
            </w:pPr>
            <w:r w:rsidRPr="00FC6E3A">
              <w:rPr>
                <w:b/>
                <w:sz w:val="20"/>
                <w:szCs w:val="20"/>
              </w:rPr>
              <w:t>Treatment</w:t>
            </w:r>
          </w:p>
        </w:tc>
        <w:tc>
          <w:tcPr>
            <w:tcW w:w="693" w:type="pct"/>
            <w:vMerge w:val="restart"/>
            <w:vAlign w:val="center"/>
          </w:tcPr>
          <w:p w14:paraId="61F2F83E" w14:textId="77777777" w:rsidR="00E51CDD" w:rsidRPr="00FC6E3A" w:rsidRDefault="00E51CDD" w:rsidP="009938D9">
            <w:pPr>
              <w:jc w:val="center"/>
              <w:rPr>
                <w:b/>
                <w:sz w:val="20"/>
                <w:szCs w:val="20"/>
              </w:rPr>
            </w:pPr>
            <w:r w:rsidRPr="00FC6E3A">
              <w:rPr>
                <w:b/>
                <w:sz w:val="20"/>
                <w:szCs w:val="20"/>
              </w:rPr>
              <w:t>Dosage</w:t>
            </w:r>
            <w:r w:rsidRPr="00FC6E3A">
              <w:rPr>
                <w:b/>
                <w:sz w:val="20"/>
                <w:szCs w:val="20"/>
              </w:rPr>
              <w:br/>
              <w:t>[</w:t>
            </w:r>
            <w:r>
              <w:rPr>
                <w:b/>
                <w:sz w:val="20"/>
                <w:szCs w:val="20"/>
              </w:rPr>
              <w:t>applied</w:t>
            </w:r>
            <w:r w:rsidRPr="00FC6E3A">
              <w:rPr>
                <w:b/>
                <w:sz w:val="20"/>
                <w:szCs w:val="20"/>
              </w:rPr>
              <w:t>]</w:t>
            </w:r>
          </w:p>
        </w:tc>
        <w:tc>
          <w:tcPr>
            <w:tcW w:w="1137" w:type="pct"/>
            <w:gridSpan w:val="2"/>
            <w:vAlign w:val="center"/>
          </w:tcPr>
          <w:p w14:paraId="412A540B" w14:textId="77777777" w:rsidR="00E51CDD" w:rsidRPr="00FC6E3A" w:rsidRDefault="00E51CDD" w:rsidP="009938D9">
            <w:pPr>
              <w:jc w:val="center"/>
              <w:rPr>
                <w:b/>
                <w:sz w:val="20"/>
                <w:szCs w:val="20"/>
              </w:rPr>
            </w:pPr>
            <w:r w:rsidRPr="00FC6E3A">
              <w:rPr>
                <w:b/>
                <w:sz w:val="20"/>
                <w:szCs w:val="20"/>
              </w:rPr>
              <w:t>After 24 hours</w:t>
            </w:r>
          </w:p>
        </w:tc>
        <w:tc>
          <w:tcPr>
            <w:tcW w:w="1233" w:type="pct"/>
            <w:gridSpan w:val="2"/>
            <w:vAlign w:val="center"/>
          </w:tcPr>
          <w:p w14:paraId="0FE6F00F" w14:textId="77777777" w:rsidR="00E51CDD" w:rsidRPr="00FC6E3A" w:rsidRDefault="00E51CDD" w:rsidP="009938D9">
            <w:pPr>
              <w:jc w:val="center"/>
              <w:rPr>
                <w:b/>
                <w:sz w:val="20"/>
                <w:szCs w:val="20"/>
              </w:rPr>
            </w:pPr>
            <w:r w:rsidRPr="00FC6E3A">
              <w:rPr>
                <w:b/>
                <w:sz w:val="20"/>
                <w:szCs w:val="20"/>
              </w:rPr>
              <w:t>After 48 hours</w:t>
            </w:r>
          </w:p>
        </w:tc>
        <w:tc>
          <w:tcPr>
            <w:tcW w:w="1172" w:type="pct"/>
            <w:gridSpan w:val="2"/>
            <w:vAlign w:val="center"/>
          </w:tcPr>
          <w:p w14:paraId="29941C8F" w14:textId="77777777" w:rsidR="00E51CDD" w:rsidRPr="00FC6E3A" w:rsidRDefault="00E51CDD" w:rsidP="009938D9">
            <w:pPr>
              <w:jc w:val="center"/>
              <w:rPr>
                <w:b/>
                <w:sz w:val="20"/>
                <w:szCs w:val="20"/>
              </w:rPr>
            </w:pPr>
            <w:r w:rsidRPr="00FC6E3A">
              <w:rPr>
                <w:b/>
                <w:sz w:val="20"/>
                <w:szCs w:val="20"/>
              </w:rPr>
              <w:t>After 72 hours</w:t>
            </w:r>
          </w:p>
        </w:tc>
      </w:tr>
      <w:tr w:rsidR="00E51CDD" w:rsidRPr="00FC6E3A" w14:paraId="7C761395" w14:textId="77777777" w:rsidTr="009938D9">
        <w:trPr>
          <w:trHeight w:val="253"/>
        </w:trPr>
        <w:tc>
          <w:tcPr>
            <w:tcW w:w="765" w:type="pct"/>
            <w:vMerge/>
            <w:vAlign w:val="center"/>
          </w:tcPr>
          <w:p w14:paraId="6B5EC93F" w14:textId="77777777" w:rsidR="00E51CDD" w:rsidRPr="00FC6E3A" w:rsidRDefault="00E51CDD" w:rsidP="009938D9">
            <w:pPr>
              <w:jc w:val="center"/>
              <w:rPr>
                <w:sz w:val="20"/>
                <w:szCs w:val="20"/>
              </w:rPr>
            </w:pPr>
          </w:p>
        </w:tc>
        <w:tc>
          <w:tcPr>
            <w:tcW w:w="693" w:type="pct"/>
            <w:vMerge/>
            <w:vAlign w:val="center"/>
          </w:tcPr>
          <w:p w14:paraId="2E5B70FF" w14:textId="77777777" w:rsidR="00E51CDD" w:rsidRPr="00FC6E3A" w:rsidRDefault="00E51CDD" w:rsidP="009938D9">
            <w:pPr>
              <w:jc w:val="center"/>
              <w:rPr>
                <w:sz w:val="20"/>
                <w:szCs w:val="20"/>
              </w:rPr>
            </w:pPr>
          </w:p>
        </w:tc>
        <w:tc>
          <w:tcPr>
            <w:tcW w:w="1137" w:type="pct"/>
            <w:gridSpan w:val="2"/>
            <w:vAlign w:val="center"/>
          </w:tcPr>
          <w:p w14:paraId="050AAAE6" w14:textId="77777777" w:rsidR="00E51CDD" w:rsidRPr="00FC6E3A" w:rsidRDefault="00E51CDD" w:rsidP="009938D9">
            <w:pPr>
              <w:jc w:val="center"/>
              <w:rPr>
                <w:b/>
                <w:sz w:val="20"/>
                <w:szCs w:val="20"/>
              </w:rPr>
            </w:pPr>
            <w:r w:rsidRPr="00FC6E3A">
              <w:rPr>
                <w:b/>
                <w:sz w:val="20"/>
                <w:szCs w:val="20"/>
              </w:rPr>
              <w:t xml:space="preserve">Mortality </w:t>
            </w:r>
            <w:r w:rsidRPr="00FC6E3A">
              <w:rPr>
                <w:b/>
                <w:bCs/>
                <w:sz w:val="20"/>
                <w:szCs w:val="20"/>
              </w:rPr>
              <w:t>[%]</w:t>
            </w:r>
          </w:p>
        </w:tc>
        <w:tc>
          <w:tcPr>
            <w:tcW w:w="1233" w:type="pct"/>
            <w:gridSpan w:val="2"/>
          </w:tcPr>
          <w:p w14:paraId="054AFF3E" w14:textId="77777777" w:rsidR="00E51CDD" w:rsidRPr="00FC6E3A" w:rsidRDefault="00E51CDD" w:rsidP="009938D9">
            <w:pPr>
              <w:jc w:val="center"/>
              <w:rPr>
                <w:b/>
                <w:sz w:val="20"/>
                <w:szCs w:val="20"/>
              </w:rPr>
            </w:pPr>
            <w:r w:rsidRPr="00FC6E3A">
              <w:rPr>
                <w:b/>
                <w:sz w:val="20"/>
                <w:szCs w:val="20"/>
              </w:rPr>
              <w:t xml:space="preserve">Mortality </w:t>
            </w:r>
            <w:r w:rsidRPr="00FC6E3A">
              <w:rPr>
                <w:b/>
                <w:bCs/>
                <w:sz w:val="20"/>
                <w:szCs w:val="20"/>
              </w:rPr>
              <w:t>[%]</w:t>
            </w:r>
          </w:p>
        </w:tc>
        <w:tc>
          <w:tcPr>
            <w:tcW w:w="1172" w:type="pct"/>
            <w:gridSpan w:val="2"/>
          </w:tcPr>
          <w:p w14:paraId="292E9E27" w14:textId="77777777" w:rsidR="00E51CDD" w:rsidRPr="00FC6E3A" w:rsidRDefault="00E51CDD" w:rsidP="009938D9">
            <w:pPr>
              <w:jc w:val="center"/>
              <w:rPr>
                <w:b/>
                <w:sz w:val="20"/>
                <w:szCs w:val="20"/>
              </w:rPr>
            </w:pPr>
            <w:r w:rsidRPr="00FC6E3A">
              <w:rPr>
                <w:b/>
                <w:sz w:val="20"/>
                <w:szCs w:val="20"/>
              </w:rPr>
              <w:t xml:space="preserve">Mortality </w:t>
            </w:r>
            <w:r w:rsidRPr="00FC6E3A">
              <w:rPr>
                <w:b/>
                <w:bCs/>
                <w:sz w:val="20"/>
                <w:szCs w:val="20"/>
              </w:rPr>
              <w:t>[%]</w:t>
            </w:r>
          </w:p>
        </w:tc>
      </w:tr>
      <w:tr w:rsidR="00E51CDD" w:rsidRPr="00FC6E3A" w14:paraId="034D3FE3" w14:textId="77777777" w:rsidTr="009938D9">
        <w:trPr>
          <w:trHeight w:val="253"/>
        </w:trPr>
        <w:tc>
          <w:tcPr>
            <w:tcW w:w="765" w:type="pct"/>
            <w:vMerge/>
            <w:vAlign w:val="center"/>
          </w:tcPr>
          <w:p w14:paraId="58DA3E07" w14:textId="77777777" w:rsidR="00E51CDD" w:rsidRPr="00FC6E3A" w:rsidRDefault="00E51CDD" w:rsidP="009938D9">
            <w:pPr>
              <w:jc w:val="center"/>
              <w:rPr>
                <w:sz w:val="20"/>
                <w:szCs w:val="20"/>
              </w:rPr>
            </w:pPr>
          </w:p>
        </w:tc>
        <w:tc>
          <w:tcPr>
            <w:tcW w:w="693" w:type="pct"/>
            <w:vMerge/>
            <w:vAlign w:val="center"/>
          </w:tcPr>
          <w:p w14:paraId="478A78F8" w14:textId="77777777" w:rsidR="00E51CDD" w:rsidRPr="00FC6E3A" w:rsidRDefault="00E51CDD" w:rsidP="009938D9">
            <w:pPr>
              <w:jc w:val="center"/>
              <w:rPr>
                <w:sz w:val="20"/>
                <w:szCs w:val="20"/>
              </w:rPr>
            </w:pPr>
          </w:p>
        </w:tc>
        <w:tc>
          <w:tcPr>
            <w:tcW w:w="587" w:type="pct"/>
            <w:vAlign w:val="center"/>
          </w:tcPr>
          <w:p w14:paraId="264FA78C" w14:textId="77777777" w:rsidR="00E51CDD" w:rsidRPr="00FC6E3A" w:rsidRDefault="00E51CDD" w:rsidP="009938D9">
            <w:pPr>
              <w:jc w:val="center"/>
              <w:rPr>
                <w:b/>
                <w:sz w:val="20"/>
                <w:szCs w:val="20"/>
              </w:rPr>
            </w:pPr>
            <w:r w:rsidRPr="00FC6E3A">
              <w:rPr>
                <w:b/>
                <w:sz w:val="20"/>
                <w:szCs w:val="20"/>
              </w:rPr>
              <w:t>total</w:t>
            </w:r>
          </w:p>
        </w:tc>
        <w:tc>
          <w:tcPr>
            <w:tcW w:w="550" w:type="pct"/>
            <w:vAlign w:val="center"/>
          </w:tcPr>
          <w:p w14:paraId="58DB7D73" w14:textId="77777777" w:rsidR="00E51CDD" w:rsidRPr="00FC6E3A" w:rsidRDefault="00E51CDD" w:rsidP="009938D9">
            <w:pPr>
              <w:jc w:val="center"/>
              <w:rPr>
                <w:b/>
                <w:sz w:val="20"/>
                <w:szCs w:val="20"/>
                <w:vertAlign w:val="superscript"/>
              </w:rPr>
            </w:pPr>
            <w:r w:rsidRPr="00FC6E3A">
              <w:rPr>
                <w:b/>
                <w:sz w:val="20"/>
                <w:szCs w:val="20"/>
              </w:rPr>
              <w:t xml:space="preserve">corr. </w:t>
            </w:r>
            <w:r w:rsidRPr="00FC6E3A">
              <w:rPr>
                <w:b/>
                <w:sz w:val="20"/>
                <w:szCs w:val="20"/>
                <w:vertAlign w:val="superscript"/>
              </w:rPr>
              <w:t>1)</w:t>
            </w:r>
          </w:p>
        </w:tc>
        <w:tc>
          <w:tcPr>
            <w:tcW w:w="633" w:type="pct"/>
            <w:vAlign w:val="center"/>
          </w:tcPr>
          <w:p w14:paraId="77688B93" w14:textId="77777777" w:rsidR="00E51CDD" w:rsidRPr="00FC6E3A" w:rsidRDefault="00E51CDD" w:rsidP="009938D9">
            <w:pPr>
              <w:jc w:val="center"/>
              <w:rPr>
                <w:b/>
                <w:sz w:val="20"/>
                <w:szCs w:val="20"/>
              </w:rPr>
            </w:pPr>
            <w:r w:rsidRPr="00FC6E3A">
              <w:rPr>
                <w:b/>
                <w:sz w:val="20"/>
                <w:szCs w:val="20"/>
              </w:rPr>
              <w:t>total</w:t>
            </w:r>
          </w:p>
        </w:tc>
        <w:tc>
          <w:tcPr>
            <w:tcW w:w="600" w:type="pct"/>
            <w:vAlign w:val="center"/>
          </w:tcPr>
          <w:p w14:paraId="00BF8EB3" w14:textId="77777777" w:rsidR="00E51CDD" w:rsidRPr="00FC6E3A" w:rsidRDefault="00E51CDD" w:rsidP="009938D9">
            <w:pPr>
              <w:jc w:val="center"/>
              <w:rPr>
                <w:b/>
                <w:sz w:val="20"/>
                <w:szCs w:val="20"/>
              </w:rPr>
            </w:pPr>
            <w:r w:rsidRPr="00FC6E3A">
              <w:rPr>
                <w:b/>
                <w:sz w:val="20"/>
                <w:szCs w:val="20"/>
              </w:rPr>
              <w:t>corr.</w:t>
            </w:r>
            <w:r w:rsidRPr="00FC6E3A">
              <w:rPr>
                <w:b/>
                <w:sz w:val="20"/>
                <w:szCs w:val="20"/>
                <w:vertAlign w:val="superscript"/>
              </w:rPr>
              <w:t xml:space="preserve"> 1)</w:t>
            </w:r>
          </w:p>
        </w:tc>
        <w:tc>
          <w:tcPr>
            <w:tcW w:w="585" w:type="pct"/>
            <w:vAlign w:val="center"/>
          </w:tcPr>
          <w:p w14:paraId="4FD22C16" w14:textId="77777777" w:rsidR="00E51CDD" w:rsidRPr="00FC6E3A" w:rsidRDefault="00E51CDD" w:rsidP="009938D9">
            <w:pPr>
              <w:jc w:val="center"/>
              <w:rPr>
                <w:b/>
                <w:sz w:val="20"/>
                <w:szCs w:val="20"/>
              </w:rPr>
            </w:pPr>
            <w:r w:rsidRPr="00FC6E3A">
              <w:rPr>
                <w:b/>
                <w:sz w:val="20"/>
                <w:szCs w:val="20"/>
              </w:rPr>
              <w:t>total</w:t>
            </w:r>
          </w:p>
        </w:tc>
        <w:tc>
          <w:tcPr>
            <w:tcW w:w="587" w:type="pct"/>
            <w:vAlign w:val="center"/>
          </w:tcPr>
          <w:p w14:paraId="4CF237A3" w14:textId="77777777" w:rsidR="00E51CDD" w:rsidRPr="00FC6E3A" w:rsidRDefault="00E51CDD" w:rsidP="009938D9">
            <w:pPr>
              <w:jc w:val="center"/>
              <w:rPr>
                <w:b/>
                <w:sz w:val="20"/>
                <w:szCs w:val="20"/>
              </w:rPr>
            </w:pPr>
            <w:r w:rsidRPr="00FC6E3A">
              <w:rPr>
                <w:b/>
                <w:sz w:val="20"/>
                <w:szCs w:val="20"/>
              </w:rPr>
              <w:t>corr.</w:t>
            </w:r>
            <w:r w:rsidRPr="00FC6E3A">
              <w:rPr>
                <w:b/>
                <w:sz w:val="20"/>
                <w:szCs w:val="20"/>
                <w:vertAlign w:val="superscript"/>
              </w:rPr>
              <w:t xml:space="preserve"> 1)</w:t>
            </w:r>
          </w:p>
        </w:tc>
      </w:tr>
      <w:tr w:rsidR="00E51CDD" w:rsidRPr="00FC6E3A" w14:paraId="39C70283" w14:textId="77777777" w:rsidTr="009938D9">
        <w:trPr>
          <w:trHeight w:val="373"/>
        </w:trPr>
        <w:tc>
          <w:tcPr>
            <w:tcW w:w="765" w:type="pct"/>
            <w:vAlign w:val="center"/>
          </w:tcPr>
          <w:p w14:paraId="45988882" w14:textId="77777777" w:rsidR="00E51CDD" w:rsidRPr="00FC6E3A" w:rsidRDefault="00E51CDD" w:rsidP="009938D9">
            <w:pPr>
              <w:widowControl w:val="0"/>
              <w:overflowPunct w:val="0"/>
              <w:autoSpaceDE w:val="0"/>
              <w:autoSpaceDN w:val="0"/>
              <w:adjustRightInd w:val="0"/>
              <w:spacing w:before="40" w:after="40"/>
              <w:jc w:val="center"/>
              <w:textAlignment w:val="baseline"/>
              <w:rPr>
                <w:b/>
                <w:sz w:val="20"/>
                <w:szCs w:val="20"/>
              </w:rPr>
            </w:pPr>
            <w:r w:rsidRPr="00FC6E3A">
              <w:rPr>
                <w:b/>
                <w:sz w:val="20"/>
                <w:szCs w:val="20"/>
              </w:rPr>
              <w:t>Control</w:t>
            </w:r>
          </w:p>
        </w:tc>
        <w:tc>
          <w:tcPr>
            <w:tcW w:w="693" w:type="pct"/>
            <w:vAlign w:val="center"/>
          </w:tcPr>
          <w:p w14:paraId="07B9C10B" w14:textId="77777777" w:rsidR="00E51CDD" w:rsidRPr="00FC6E3A" w:rsidRDefault="00E51CDD" w:rsidP="009938D9">
            <w:pPr>
              <w:widowControl w:val="0"/>
              <w:overflowPunct w:val="0"/>
              <w:autoSpaceDE w:val="0"/>
              <w:autoSpaceDN w:val="0"/>
              <w:adjustRightInd w:val="0"/>
              <w:spacing w:before="40" w:after="40"/>
              <w:jc w:val="center"/>
              <w:textAlignment w:val="baseline"/>
              <w:rPr>
                <w:sz w:val="20"/>
                <w:szCs w:val="20"/>
              </w:rPr>
            </w:pPr>
            <w:r w:rsidRPr="00FC6E3A">
              <w:rPr>
                <w:sz w:val="20"/>
                <w:szCs w:val="20"/>
              </w:rPr>
              <w:t>Water + Triton X-100</w:t>
            </w:r>
          </w:p>
        </w:tc>
        <w:tc>
          <w:tcPr>
            <w:tcW w:w="587" w:type="pct"/>
            <w:vAlign w:val="center"/>
          </w:tcPr>
          <w:p w14:paraId="7C2F76FE" w14:textId="77777777" w:rsidR="00E51CDD" w:rsidRPr="00FC6E3A" w:rsidRDefault="00E51CDD" w:rsidP="009938D9">
            <w:pPr>
              <w:jc w:val="center"/>
              <w:rPr>
                <w:sz w:val="20"/>
                <w:szCs w:val="20"/>
              </w:rPr>
            </w:pPr>
            <w:r w:rsidRPr="00FC6E3A">
              <w:rPr>
                <w:sz w:val="20"/>
                <w:szCs w:val="20"/>
              </w:rPr>
              <w:t>2.5</w:t>
            </w:r>
          </w:p>
        </w:tc>
        <w:tc>
          <w:tcPr>
            <w:tcW w:w="550" w:type="pct"/>
            <w:vAlign w:val="center"/>
          </w:tcPr>
          <w:p w14:paraId="43F4F0B9" w14:textId="77777777" w:rsidR="00E51CDD" w:rsidRPr="00FC6E3A" w:rsidRDefault="00E51CDD" w:rsidP="009938D9">
            <w:pPr>
              <w:jc w:val="center"/>
              <w:rPr>
                <w:sz w:val="20"/>
                <w:szCs w:val="20"/>
              </w:rPr>
            </w:pPr>
            <w:r w:rsidRPr="00FC6E3A">
              <w:rPr>
                <w:sz w:val="20"/>
                <w:szCs w:val="20"/>
              </w:rPr>
              <w:t>--</w:t>
            </w:r>
          </w:p>
        </w:tc>
        <w:tc>
          <w:tcPr>
            <w:tcW w:w="633" w:type="pct"/>
            <w:vAlign w:val="center"/>
          </w:tcPr>
          <w:p w14:paraId="26C3CC30" w14:textId="77777777" w:rsidR="00E51CDD" w:rsidRPr="00FC6E3A" w:rsidRDefault="00E51CDD" w:rsidP="009938D9">
            <w:pPr>
              <w:jc w:val="center"/>
              <w:rPr>
                <w:sz w:val="20"/>
                <w:szCs w:val="20"/>
              </w:rPr>
            </w:pPr>
            <w:r w:rsidRPr="00FC6E3A">
              <w:rPr>
                <w:sz w:val="20"/>
                <w:szCs w:val="20"/>
              </w:rPr>
              <w:t>2.5</w:t>
            </w:r>
          </w:p>
        </w:tc>
        <w:tc>
          <w:tcPr>
            <w:tcW w:w="600" w:type="pct"/>
            <w:vAlign w:val="center"/>
          </w:tcPr>
          <w:p w14:paraId="407D2541" w14:textId="77777777" w:rsidR="00E51CDD" w:rsidRPr="00FC6E3A" w:rsidRDefault="00E51CDD" w:rsidP="009938D9">
            <w:pPr>
              <w:jc w:val="center"/>
              <w:rPr>
                <w:sz w:val="20"/>
                <w:szCs w:val="20"/>
              </w:rPr>
            </w:pPr>
            <w:r w:rsidRPr="00FC6E3A">
              <w:rPr>
                <w:sz w:val="20"/>
                <w:szCs w:val="20"/>
              </w:rPr>
              <w:t>--</w:t>
            </w:r>
          </w:p>
        </w:tc>
        <w:tc>
          <w:tcPr>
            <w:tcW w:w="585" w:type="pct"/>
            <w:vAlign w:val="center"/>
          </w:tcPr>
          <w:p w14:paraId="1C0B03F6" w14:textId="77777777" w:rsidR="00E51CDD" w:rsidRPr="00FC6E3A" w:rsidRDefault="00E51CDD" w:rsidP="009938D9">
            <w:pPr>
              <w:jc w:val="center"/>
              <w:rPr>
                <w:sz w:val="20"/>
                <w:szCs w:val="20"/>
              </w:rPr>
            </w:pPr>
            <w:r w:rsidRPr="00FC6E3A">
              <w:rPr>
                <w:sz w:val="20"/>
                <w:szCs w:val="20"/>
              </w:rPr>
              <w:t>2.5</w:t>
            </w:r>
          </w:p>
        </w:tc>
        <w:tc>
          <w:tcPr>
            <w:tcW w:w="587" w:type="pct"/>
            <w:vAlign w:val="center"/>
          </w:tcPr>
          <w:p w14:paraId="6DA3A392" w14:textId="77777777" w:rsidR="00E51CDD" w:rsidRPr="00FC6E3A" w:rsidRDefault="00E51CDD" w:rsidP="009938D9">
            <w:pPr>
              <w:jc w:val="center"/>
              <w:rPr>
                <w:sz w:val="20"/>
                <w:szCs w:val="20"/>
              </w:rPr>
            </w:pPr>
            <w:r w:rsidRPr="00FC6E3A">
              <w:rPr>
                <w:sz w:val="20"/>
                <w:szCs w:val="20"/>
              </w:rPr>
              <w:t>--</w:t>
            </w:r>
          </w:p>
        </w:tc>
      </w:tr>
      <w:tr w:rsidR="00E51CDD" w:rsidRPr="00FC6E3A" w14:paraId="1B461EC0" w14:textId="77777777" w:rsidTr="009938D9">
        <w:trPr>
          <w:trHeight w:val="372"/>
        </w:trPr>
        <w:tc>
          <w:tcPr>
            <w:tcW w:w="765" w:type="pct"/>
            <w:vMerge w:val="restart"/>
            <w:vAlign w:val="center"/>
          </w:tcPr>
          <w:p w14:paraId="22B839C7" w14:textId="77777777" w:rsidR="00E51CDD" w:rsidRPr="00FC6E3A" w:rsidRDefault="00E51CDD" w:rsidP="009938D9">
            <w:pPr>
              <w:jc w:val="center"/>
              <w:rPr>
                <w:sz w:val="20"/>
                <w:szCs w:val="20"/>
              </w:rPr>
            </w:pPr>
            <w:r w:rsidRPr="00FC6E3A">
              <w:rPr>
                <w:b/>
                <w:sz w:val="20"/>
                <w:szCs w:val="20"/>
              </w:rPr>
              <w:t>BAS 736 00 F</w:t>
            </w:r>
            <w:r w:rsidRPr="00FC6E3A">
              <w:rPr>
                <w:b/>
                <w:sz w:val="20"/>
                <w:szCs w:val="20"/>
              </w:rPr>
              <w:br/>
            </w:r>
            <w:r w:rsidRPr="00FC6E3A">
              <w:rPr>
                <w:b/>
                <w:bCs/>
                <w:sz w:val="20"/>
                <w:szCs w:val="20"/>
              </w:rPr>
              <w:t>[µg/bee]</w:t>
            </w:r>
          </w:p>
        </w:tc>
        <w:tc>
          <w:tcPr>
            <w:tcW w:w="693" w:type="pct"/>
            <w:vAlign w:val="center"/>
          </w:tcPr>
          <w:p w14:paraId="108D4723" w14:textId="77777777" w:rsidR="00E51CDD" w:rsidRPr="00FC6E3A" w:rsidRDefault="00E51CDD" w:rsidP="009938D9">
            <w:pPr>
              <w:jc w:val="center"/>
              <w:rPr>
                <w:color w:val="0070C0"/>
                <w:sz w:val="20"/>
                <w:szCs w:val="20"/>
              </w:rPr>
            </w:pPr>
            <w:r w:rsidRPr="00FC6E3A">
              <w:rPr>
                <w:sz w:val="20"/>
                <w:szCs w:val="24"/>
              </w:rPr>
              <w:t>62.5</w:t>
            </w:r>
          </w:p>
        </w:tc>
        <w:tc>
          <w:tcPr>
            <w:tcW w:w="587" w:type="pct"/>
            <w:vAlign w:val="center"/>
          </w:tcPr>
          <w:p w14:paraId="16EEB3E7" w14:textId="77777777" w:rsidR="00E51CDD" w:rsidRPr="00FC6E3A" w:rsidRDefault="00E51CDD" w:rsidP="009938D9">
            <w:pPr>
              <w:jc w:val="center"/>
              <w:rPr>
                <w:sz w:val="20"/>
                <w:szCs w:val="20"/>
              </w:rPr>
            </w:pPr>
            <w:r w:rsidRPr="00FC6E3A">
              <w:rPr>
                <w:sz w:val="20"/>
                <w:szCs w:val="20"/>
              </w:rPr>
              <w:t>0.0</w:t>
            </w:r>
          </w:p>
        </w:tc>
        <w:tc>
          <w:tcPr>
            <w:tcW w:w="550" w:type="pct"/>
            <w:vAlign w:val="center"/>
          </w:tcPr>
          <w:p w14:paraId="5E786282" w14:textId="77777777" w:rsidR="00E51CDD" w:rsidRPr="00FC6E3A" w:rsidRDefault="00E51CDD" w:rsidP="009938D9">
            <w:pPr>
              <w:jc w:val="center"/>
              <w:rPr>
                <w:sz w:val="20"/>
                <w:szCs w:val="20"/>
              </w:rPr>
            </w:pPr>
            <w:r w:rsidRPr="00FC6E3A">
              <w:rPr>
                <w:sz w:val="20"/>
                <w:szCs w:val="20"/>
              </w:rPr>
              <w:t>-2.6</w:t>
            </w:r>
          </w:p>
        </w:tc>
        <w:tc>
          <w:tcPr>
            <w:tcW w:w="633" w:type="pct"/>
            <w:vAlign w:val="center"/>
          </w:tcPr>
          <w:p w14:paraId="4B67FAE7" w14:textId="77777777" w:rsidR="00E51CDD" w:rsidRPr="00FC6E3A" w:rsidRDefault="00E51CDD" w:rsidP="009938D9">
            <w:pPr>
              <w:jc w:val="center"/>
              <w:rPr>
                <w:sz w:val="20"/>
                <w:szCs w:val="20"/>
              </w:rPr>
            </w:pPr>
            <w:r w:rsidRPr="00FC6E3A">
              <w:rPr>
                <w:sz w:val="20"/>
                <w:szCs w:val="20"/>
              </w:rPr>
              <w:t>0.0</w:t>
            </w:r>
          </w:p>
        </w:tc>
        <w:tc>
          <w:tcPr>
            <w:tcW w:w="600" w:type="pct"/>
            <w:vAlign w:val="center"/>
          </w:tcPr>
          <w:p w14:paraId="6F115C69" w14:textId="77777777" w:rsidR="00E51CDD" w:rsidRPr="00FC6E3A" w:rsidRDefault="00E51CDD" w:rsidP="009938D9">
            <w:pPr>
              <w:jc w:val="center"/>
              <w:rPr>
                <w:sz w:val="20"/>
                <w:szCs w:val="20"/>
              </w:rPr>
            </w:pPr>
            <w:r w:rsidRPr="00FC6E3A">
              <w:rPr>
                <w:sz w:val="20"/>
                <w:szCs w:val="20"/>
              </w:rPr>
              <w:t>-2.6</w:t>
            </w:r>
          </w:p>
        </w:tc>
        <w:tc>
          <w:tcPr>
            <w:tcW w:w="585" w:type="pct"/>
            <w:vAlign w:val="center"/>
          </w:tcPr>
          <w:p w14:paraId="081328F3" w14:textId="77777777" w:rsidR="00E51CDD" w:rsidRPr="00FC6E3A" w:rsidRDefault="00E51CDD" w:rsidP="009938D9">
            <w:pPr>
              <w:jc w:val="center"/>
              <w:rPr>
                <w:sz w:val="20"/>
                <w:szCs w:val="20"/>
              </w:rPr>
            </w:pPr>
            <w:r w:rsidRPr="00FC6E3A">
              <w:rPr>
                <w:sz w:val="20"/>
                <w:szCs w:val="20"/>
              </w:rPr>
              <w:t>5.0</w:t>
            </w:r>
          </w:p>
        </w:tc>
        <w:tc>
          <w:tcPr>
            <w:tcW w:w="587" w:type="pct"/>
            <w:vAlign w:val="center"/>
          </w:tcPr>
          <w:p w14:paraId="6216AF0B" w14:textId="77777777" w:rsidR="00E51CDD" w:rsidRPr="00FC6E3A" w:rsidRDefault="00E51CDD" w:rsidP="009938D9">
            <w:pPr>
              <w:jc w:val="center"/>
              <w:rPr>
                <w:sz w:val="20"/>
                <w:szCs w:val="20"/>
              </w:rPr>
            </w:pPr>
            <w:r w:rsidRPr="00FC6E3A">
              <w:rPr>
                <w:sz w:val="20"/>
                <w:szCs w:val="20"/>
              </w:rPr>
              <w:t>2.6</w:t>
            </w:r>
          </w:p>
        </w:tc>
      </w:tr>
      <w:tr w:rsidR="00E51CDD" w:rsidRPr="00FC6E3A" w14:paraId="75BA96C1" w14:textId="77777777" w:rsidTr="009938D9">
        <w:trPr>
          <w:trHeight w:val="372"/>
        </w:trPr>
        <w:tc>
          <w:tcPr>
            <w:tcW w:w="765" w:type="pct"/>
            <w:vMerge/>
            <w:vAlign w:val="center"/>
          </w:tcPr>
          <w:p w14:paraId="6C1678D9" w14:textId="77777777" w:rsidR="00E51CDD" w:rsidRPr="00FC6E3A" w:rsidRDefault="00E51CDD" w:rsidP="009938D9">
            <w:pPr>
              <w:jc w:val="center"/>
              <w:rPr>
                <w:b/>
                <w:sz w:val="20"/>
                <w:szCs w:val="20"/>
              </w:rPr>
            </w:pPr>
          </w:p>
        </w:tc>
        <w:tc>
          <w:tcPr>
            <w:tcW w:w="693" w:type="pct"/>
            <w:vAlign w:val="center"/>
          </w:tcPr>
          <w:p w14:paraId="35271984" w14:textId="77777777" w:rsidR="00E51CDD" w:rsidRPr="00FC6E3A" w:rsidRDefault="00E51CDD" w:rsidP="009938D9">
            <w:pPr>
              <w:jc w:val="center"/>
              <w:rPr>
                <w:color w:val="0070C0"/>
                <w:sz w:val="20"/>
                <w:szCs w:val="20"/>
              </w:rPr>
            </w:pPr>
            <w:r w:rsidRPr="00FC6E3A">
              <w:rPr>
                <w:sz w:val="20"/>
                <w:szCs w:val="24"/>
              </w:rPr>
              <w:t>125</w:t>
            </w:r>
          </w:p>
        </w:tc>
        <w:tc>
          <w:tcPr>
            <w:tcW w:w="587" w:type="pct"/>
            <w:vAlign w:val="center"/>
          </w:tcPr>
          <w:p w14:paraId="380A9A05" w14:textId="77777777" w:rsidR="00E51CDD" w:rsidRPr="00FC6E3A" w:rsidRDefault="00E51CDD" w:rsidP="009938D9">
            <w:pPr>
              <w:jc w:val="center"/>
              <w:rPr>
                <w:sz w:val="20"/>
                <w:szCs w:val="20"/>
              </w:rPr>
            </w:pPr>
            <w:r w:rsidRPr="00FC6E3A">
              <w:rPr>
                <w:sz w:val="20"/>
                <w:szCs w:val="20"/>
              </w:rPr>
              <w:t>2.5</w:t>
            </w:r>
          </w:p>
        </w:tc>
        <w:tc>
          <w:tcPr>
            <w:tcW w:w="550" w:type="pct"/>
            <w:vAlign w:val="center"/>
          </w:tcPr>
          <w:p w14:paraId="09C38D15" w14:textId="77777777" w:rsidR="00E51CDD" w:rsidRPr="00FC6E3A" w:rsidRDefault="00E51CDD" w:rsidP="009938D9">
            <w:pPr>
              <w:jc w:val="center"/>
              <w:rPr>
                <w:sz w:val="20"/>
                <w:szCs w:val="20"/>
              </w:rPr>
            </w:pPr>
            <w:r w:rsidRPr="00FC6E3A">
              <w:rPr>
                <w:sz w:val="20"/>
                <w:szCs w:val="20"/>
              </w:rPr>
              <w:t>0.0</w:t>
            </w:r>
          </w:p>
        </w:tc>
        <w:tc>
          <w:tcPr>
            <w:tcW w:w="633" w:type="pct"/>
            <w:vAlign w:val="center"/>
          </w:tcPr>
          <w:p w14:paraId="2E081B3F" w14:textId="77777777" w:rsidR="00E51CDD" w:rsidRPr="00FC6E3A" w:rsidRDefault="00E51CDD" w:rsidP="009938D9">
            <w:pPr>
              <w:jc w:val="center"/>
              <w:rPr>
                <w:sz w:val="20"/>
                <w:szCs w:val="20"/>
              </w:rPr>
            </w:pPr>
            <w:r w:rsidRPr="00FC6E3A">
              <w:rPr>
                <w:sz w:val="20"/>
                <w:szCs w:val="20"/>
              </w:rPr>
              <w:t>7.5</w:t>
            </w:r>
          </w:p>
        </w:tc>
        <w:tc>
          <w:tcPr>
            <w:tcW w:w="600" w:type="pct"/>
            <w:vAlign w:val="center"/>
          </w:tcPr>
          <w:p w14:paraId="080A17B5" w14:textId="77777777" w:rsidR="00E51CDD" w:rsidRPr="00FC6E3A" w:rsidRDefault="00E51CDD" w:rsidP="009938D9">
            <w:pPr>
              <w:jc w:val="center"/>
              <w:rPr>
                <w:sz w:val="20"/>
                <w:szCs w:val="20"/>
              </w:rPr>
            </w:pPr>
            <w:r w:rsidRPr="00FC6E3A">
              <w:rPr>
                <w:sz w:val="20"/>
                <w:szCs w:val="20"/>
              </w:rPr>
              <w:t>5.1</w:t>
            </w:r>
          </w:p>
        </w:tc>
        <w:tc>
          <w:tcPr>
            <w:tcW w:w="585" w:type="pct"/>
            <w:vAlign w:val="center"/>
          </w:tcPr>
          <w:p w14:paraId="063C29BD" w14:textId="77777777" w:rsidR="00E51CDD" w:rsidRPr="00FC6E3A" w:rsidRDefault="00E51CDD" w:rsidP="009938D9">
            <w:pPr>
              <w:jc w:val="center"/>
              <w:rPr>
                <w:sz w:val="20"/>
                <w:szCs w:val="20"/>
              </w:rPr>
            </w:pPr>
            <w:r w:rsidRPr="00FC6E3A">
              <w:rPr>
                <w:sz w:val="20"/>
                <w:szCs w:val="20"/>
              </w:rPr>
              <w:t>12.5</w:t>
            </w:r>
          </w:p>
        </w:tc>
        <w:tc>
          <w:tcPr>
            <w:tcW w:w="587" w:type="pct"/>
            <w:vAlign w:val="center"/>
          </w:tcPr>
          <w:p w14:paraId="4D19E6DD" w14:textId="77777777" w:rsidR="00E51CDD" w:rsidRPr="00FC6E3A" w:rsidRDefault="00E51CDD" w:rsidP="009938D9">
            <w:pPr>
              <w:jc w:val="center"/>
              <w:rPr>
                <w:sz w:val="20"/>
                <w:szCs w:val="20"/>
              </w:rPr>
            </w:pPr>
            <w:r w:rsidRPr="00FC6E3A">
              <w:rPr>
                <w:sz w:val="20"/>
                <w:szCs w:val="20"/>
              </w:rPr>
              <w:t>10.3</w:t>
            </w:r>
          </w:p>
        </w:tc>
      </w:tr>
      <w:tr w:rsidR="00E51CDD" w:rsidRPr="00FC6E3A" w14:paraId="7DD023D7" w14:textId="77777777" w:rsidTr="009938D9">
        <w:trPr>
          <w:trHeight w:val="372"/>
        </w:trPr>
        <w:tc>
          <w:tcPr>
            <w:tcW w:w="765" w:type="pct"/>
            <w:vMerge/>
            <w:vAlign w:val="center"/>
          </w:tcPr>
          <w:p w14:paraId="12366E97" w14:textId="77777777" w:rsidR="00E51CDD" w:rsidRPr="00FC6E3A" w:rsidRDefault="00E51CDD" w:rsidP="009938D9">
            <w:pPr>
              <w:jc w:val="center"/>
              <w:rPr>
                <w:b/>
                <w:sz w:val="20"/>
                <w:szCs w:val="20"/>
              </w:rPr>
            </w:pPr>
          </w:p>
        </w:tc>
        <w:tc>
          <w:tcPr>
            <w:tcW w:w="693" w:type="pct"/>
            <w:vAlign w:val="center"/>
          </w:tcPr>
          <w:p w14:paraId="4D3D4FBA" w14:textId="77777777" w:rsidR="00E51CDD" w:rsidRPr="00FC6E3A" w:rsidRDefault="00E51CDD" w:rsidP="009938D9">
            <w:pPr>
              <w:jc w:val="center"/>
              <w:rPr>
                <w:color w:val="0070C0"/>
                <w:sz w:val="20"/>
                <w:szCs w:val="20"/>
              </w:rPr>
            </w:pPr>
            <w:r w:rsidRPr="00FC6E3A">
              <w:rPr>
                <w:sz w:val="20"/>
                <w:szCs w:val="24"/>
              </w:rPr>
              <w:t>250</w:t>
            </w:r>
          </w:p>
        </w:tc>
        <w:tc>
          <w:tcPr>
            <w:tcW w:w="587" w:type="pct"/>
            <w:vAlign w:val="center"/>
          </w:tcPr>
          <w:p w14:paraId="4428673D" w14:textId="77777777" w:rsidR="00E51CDD" w:rsidRPr="00FC6E3A" w:rsidRDefault="00E51CDD" w:rsidP="009938D9">
            <w:pPr>
              <w:jc w:val="center"/>
              <w:rPr>
                <w:sz w:val="20"/>
                <w:szCs w:val="20"/>
              </w:rPr>
            </w:pPr>
            <w:r w:rsidRPr="00FC6E3A">
              <w:rPr>
                <w:sz w:val="20"/>
                <w:szCs w:val="20"/>
              </w:rPr>
              <w:t>5.0</w:t>
            </w:r>
          </w:p>
        </w:tc>
        <w:tc>
          <w:tcPr>
            <w:tcW w:w="550" w:type="pct"/>
            <w:vAlign w:val="center"/>
          </w:tcPr>
          <w:p w14:paraId="5D0D72BD" w14:textId="77777777" w:rsidR="00E51CDD" w:rsidRPr="00FC6E3A" w:rsidRDefault="00E51CDD" w:rsidP="009938D9">
            <w:pPr>
              <w:jc w:val="center"/>
              <w:rPr>
                <w:sz w:val="20"/>
                <w:szCs w:val="20"/>
              </w:rPr>
            </w:pPr>
            <w:r w:rsidRPr="00FC6E3A">
              <w:rPr>
                <w:sz w:val="20"/>
                <w:szCs w:val="20"/>
              </w:rPr>
              <w:t>2.6</w:t>
            </w:r>
          </w:p>
        </w:tc>
        <w:tc>
          <w:tcPr>
            <w:tcW w:w="633" w:type="pct"/>
            <w:vAlign w:val="center"/>
          </w:tcPr>
          <w:p w14:paraId="67F7A5DB" w14:textId="77777777" w:rsidR="00E51CDD" w:rsidRPr="00FC6E3A" w:rsidRDefault="00E51CDD" w:rsidP="009938D9">
            <w:pPr>
              <w:jc w:val="center"/>
              <w:rPr>
                <w:sz w:val="20"/>
                <w:szCs w:val="20"/>
              </w:rPr>
            </w:pPr>
            <w:r w:rsidRPr="00FC6E3A">
              <w:rPr>
                <w:sz w:val="20"/>
                <w:szCs w:val="20"/>
              </w:rPr>
              <w:t>12.5</w:t>
            </w:r>
          </w:p>
        </w:tc>
        <w:tc>
          <w:tcPr>
            <w:tcW w:w="600" w:type="pct"/>
            <w:vAlign w:val="center"/>
          </w:tcPr>
          <w:p w14:paraId="22A2C3AA" w14:textId="77777777" w:rsidR="00E51CDD" w:rsidRPr="00FC6E3A" w:rsidRDefault="00E51CDD" w:rsidP="009938D9">
            <w:pPr>
              <w:jc w:val="center"/>
              <w:rPr>
                <w:sz w:val="20"/>
                <w:szCs w:val="20"/>
              </w:rPr>
            </w:pPr>
            <w:r w:rsidRPr="00FC6E3A">
              <w:rPr>
                <w:sz w:val="20"/>
                <w:szCs w:val="20"/>
              </w:rPr>
              <w:t>10.3</w:t>
            </w:r>
          </w:p>
        </w:tc>
        <w:tc>
          <w:tcPr>
            <w:tcW w:w="585" w:type="pct"/>
            <w:vAlign w:val="center"/>
          </w:tcPr>
          <w:p w14:paraId="593902F5" w14:textId="77777777" w:rsidR="00E51CDD" w:rsidRPr="00FC6E3A" w:rsidRDefault="00E51CDD" w:rsidP="009938D9">
            <w:pPr>
              <w:jc w:val="center"/>
              <w:rPr>
                <w:sz w:val="20"/>
                <w:szCs w:val="20"/>
              </w:rPr>
            </w:pPr>
            <w:r w:rsidRPr="00FC6E3A">
              <w:rPr>
                <w:sz w:val="20"/>
                <w:szCs w:val="20"/>
              </w:rPr>
              <w:t>20.0</w:t>
            </w:r>
          </w:p>
        </w:tc>
        <w:tc>
          <w:tcPr>
            <w:tcW w:w="587" w:type="pct"/>
            <w:vAlign w:val="center"/>
          </w:tcPr>
          <w:p w14:paraId="7B3365AA" w14:textId="77777777" w:rsidR="00E51CDD" w:rsidRPr="00FC6E3A" w:rsidRDefault="00E51CDD" w:rsidP="009938D9">
            <w:pPr>
              <w:jc w:val="center"/>
              <w:rPr>
                <w:sz w:val="20"/>
                <w:szCs w:val="20"/>
              </w:rPr>
            </w:pPr>
            <w:r w:rsidRPr="00FC6E3A">
              <w:rPr>
                <w:sz w:val="20"/>
                <w:szCs w:val="20"/>
              </w:rPr>
              <w:t>17.9</w:t>
            </w:r>
          </w:p>
        </w:tc>
      </w:tr>
      <w:tr w:rsidR="00E51CDD" w:rsidRPr="00FC6E3A" w14:paraId="09D62A8E" w14:textId="77777777" w:rsidTr="009938D9">
        <w:trPr>
          <w:trHeight w:val="372"/>
        </w:trPr>
        <w:tc>
          <w:tcPr>
            <w:tcW w:w="765" w:type="pct"/>
            <w:vMerge/>
            <w:vAlign w:val="center"/>
          </w:tcPr>
          <w:p w14:paraId="34FBDD53" w14:textId="77777777" w:rsidR="00E51CDD" w:rsidRPr="00FC6E3A" w:rsidRDefault="00E51CDD" w:rsidP="009938D9">
            <w:pPr>
              <w:jc w:val="center"/>
              <w:rPr>
                <w:b/>
                <w:sz w:val="20"/>
                <w:szCs w:val="20"/>
              </w:rPr>
            </w:pPr>
          </w:p>
        </w:tc>
        <w:tc>
          <w:tcPr>
            <w:tcW w:w="693" w:type="pct"/>
            <w:vAlign w:val="center"/>
          </w:tcPr>
          <w:p w14:paraId="3D669A7C" w14:textId="77777777" w:rsidR="00E51CDD" w:rsidRPr="00FC6E3A" w:rsidRDefault="00E51CDD" w:rsidP="009938D9">
            <w:pPr>
              <w:jc w:val="center"/>
              <w:rPr>
                <w:color w:val="0070C0"/>
                <w:sz w:val="20"/>
                <w:szCs w:val="20"/>
              </w:rPr>
            </w:pPr>
            <w:r w:rsidRPr="00FC6E3A">
              <w:rPr>
                <w:sz w:val="20"/>
                <w:szCs w:val="24"/>
              </w:rPr>
              <w:t>500</w:t>
            </w:r>
          </w:p>
        </w:tc>
        <w:tc>
          <w:tcPr>
            <w:tcW w:w="587" w:type="pct"/>
            <w:vAlign w:val="center"/>
          </w:tcPr>
          <w:p w14:paraId="24415F04" w14:textId="77777777" w:rsidR="00E51CDD" w:rsidRPr="00FC6E3A" w:rsidRDefault="00E51CDD" w:rsidP="009938D9">
            <w:pPr>
              <w:jc w:val="center"/>
              <w:rPr>
                <w:sz w:val="20"/>
                <w:szCs w:val="20"/>
              </w:rPr>
            </w:pPr>
            <w:r w:rsidRPr="00FC6E3A">
              <w:rPr>
                <w:sz w:val="20"/>
                <w:szCs w:val="20"/>
              </w:rPr>
              <w:t>0.0</w:t>
            </w:r>
          </w:p>
        </w:tc>
        <w:tc>
          <w:tcPr>
            <w:tcW w:w="550" w:type="pct"/>
            <w:vAlign w:val="center"/>
          </w:tcPr>
          <w:p w14:paraId="7AE6D95E" w14:textId="77777777" w:rsidR="00E51CDD" w:rsidRPr="00FC6E3A" w:rsidRDefault="00E51CDD" w:rsidP="009938D9">
            <w:pPr>
              <w:jc w:val="center"/>
              <w:rPr>
                <w:sz w:val="20"/>
                <w:szCs w:val="20"/>
              </w:rPr>
            </w:pPr>
            <w:r w:rsidRPr="00FC6E3A">
              <w:rPr>
                <w:sz w:val="20"/>
                <w:szCs w:val="20"/>
              </w:rPr>
              <w:t>-2.6</w:t>
            </w:r>
          </w:p>
        </w:tc>
        <w:tc>
          <w:tcPr>
            <w:tcW w:w="633" w:type="pct"/>
            <w:vAlign w:val="center"/>
          </w:tcPr>
          <w:p w14:paraId="052DDED7" w14:textId="77777777" w:rsidR="00E51CDD" w:rsidRPr="00FC6E3A" w:rsidRDefault="00E51CDD" w:rsidP="009938D9">
            <w:pPr>
              <w:jc w:val="center"/>
              <w:rPr>
                <w:sz w:val="20"/>
                <w:szCs w:val="20"/>
              </w:rPr>
            </w:pPr>
            <w:r w:rsidRPr="00FC6E3A">
              <w:rPr>
                <w:sz w:val="20"/>
                <w:szCs w:val="20"/>
              </w:rPr>
              <w:t>15.0</w:t>
            </w:r>
          </w:p>
        </w:tc>
        <w:tc>
          <w:tcPr>
            <w:tcW w:w="600" w:type="pct"/>
            <w:vAlign w:val="center"/>
          </w:tcPr>
          <w:p w14:paraId="4BCAA2F7" w14:textId="77777777" w:rsidR="00E51CDD" w:rsidRPr="00FC6E3A" w:rsidRDefault="00E51CDD" w:rsidP="009938D9">
            <w:pPr>
              <w:jc w:val="center"/>
              <w:rPr>
                <w:sz w:val="20"/>
                <w:szCs w:val="20"/>
              </w:rPr>
            </w:pPr>
            <w:r w:rsidRPr="00FC6E3A">
              <w:rPr>
                <w:sz w:val="20"/>
                <w:szCs w:val="20"/>
              </w:rPr>
              <w:t>12.8</w:t>
            </w:r>
          </w:p>
        </w:tc>
        <w:tc>
          <w:tcPr>
            <w:tcW w:w="585" w:type="pct"/>
            <w:vAlign w:val="center"/>
          </w:tcPr>
          <w:p w14:paraId="37DAB4CC" w14:textId="77777777" w:rsidR="00E51CDD" w:rsidRPr="00FC6E3A" w:rsidRDefault="00E51CDD" w:rsidP="009938D9">
            <w:pPr>
              <w:jc w:val="center"/>
              <w:rPr>
                <w:sz w:val="20"/>
                <w:szCs w:val="20"/>
              </w:rPr>
            </w:pPr>
            <w:r w:rsidRPr="00FC6E3A">
              <w:rPr>
                <w:sz w:val="20"/>
                <w:szCs w:val="20"/>
              </w:rPr>
              <w:t>25.0</w:t>
            </w:r>
          </w:p>
        </w:tc>
        <w:tc>
          <w:tcPr>
            <w:tcW w:w="587" w:type="pct"/>
            <w:vAlign w:val="center"/>
          </w:tcPr>
          <w:p w14:paraId="5C56D27F" w14:textId="77777777" w:rsidR="00E51CDD" w:rsidRPr="00FC6E3A" w:rsidRDefault="00E51CDD" w:rsidP="009938D9">
            <w:pPr>
              <w:jc w:val="center"/>
              <w:rPr>
                <w:sz w:val="20"/>
                <w:szCs w:val="20"/>
              </w:rPr>
            </w:pPr>
            <w:r w:rsidRPr="00FC6E3A">
              <w:rPr>
                <w:sz w:val="20"/>
                <w:szCs w:val="20"/>
              </w:rPr>
              <w:t>23.1</w:t>
            </w:r>
          </w:p>
        </w:tc>
      </w:tr>
      <w:tr w:rsidR="00E51CDD" w:rsidRPr="00FC6E3A" w14:paraId="7BE59105" w14:textId="77777777" w:rsidTr="009938D9">
        <w:trPr>
          <w:trHeight w:val="372"/>
        </w:trPr>
        <w:tc>
          <w:tcPr>
            <w:tcW w:w="765" w:type="pct"/>
            <w:vMerge/>
            <w:vAlign w:val="center"/>
          </w:tcPr>
          <w:p w14:paraId="782B49F2" w14:textId="77777777" w:rsidR="00E51CDD" w:rsidRPr="00FC6E3A" w:rsidRDefault="00E51CDD" w:rsidP="009938D9">
            <w:pPr>
              <w:jc w:val="center"/>
              <w:rPr>
                <w:b/>
                <w:sz w:val="20"/>
                <w:szCs w:val="20"/>
              </w:rPr>
            </w:pPr>
          </w:p>
        </w:tc>
        <w:tc>
          <w:tcPr>
            <w:tcW w:w="693" w:type="pct"/>
            <w:vAlign w:val="center"/>
          </w:tcPr>
          <w:p w14:paraId="2FC0CA3E" w14:textId="77777777" w:rsidR="00E51CDD" w:rsidRPr="00FC6E3A" w:rsidRDefault="00E51CDD" w:rsidP="009938D9">
            <w:pPr>
              <w:jc w:val="center"/>
              <w:rPr>
                <w:color w:val="0070C0"/>
                <w:sz w:val="20"/>
                <w:szCs w:val="20"/>
              </w:rPr>
            </w:pPr>
            <w:r w:rsidRPr="00FC6E3A">
              <w:rPr>
                <w:sz w:val="20"/>
                <w:szCs w:val="24"/>
              </w:rPr>
              <w:t>1000</w:t>
            </w:r>
          </w:p>
        </w:tc>
        <w:tc>
          <w:tcPr>
            <w:tcW w:w="587" w:type="pct"/>
            <w:vAlign w:val="center"/>
          </w:tcPr>
          <w:p w14:paraId="121B73C9" w14:textId="77777777" w:rsidR="00E51CDD" w:rsidRPr="00FC6E3A" w:rsidRDefault="00E51CDD" w:rsidP="009938D9">
            <w:pPr>
              <w:jc w:val="center"/>
              <w:rPr>
                <w:sz w:val="20"/>
                <w:szCs w:val="20"/>
              </w:rPr>
            </w:pPr>
            <w:r w:rsidRPr="00FC6E3A">
              <w:rPr>
                <w:sz w:val="20"/>
                <w:szCs w:val="20"/>
              </w:rPr>
              <w:t>0.0</w:t>
            </w:r>
          </w:p>
        </w:tc>
        <w:tc>
          <w:tcPr>
            <w:tcW w:w="550" w:type="pct"/>
            <w:vAlign w:val="center"/>
          </w:tcPr>
          <w:p w14:paraId="42358F88" w14:textId="77777777" w:rsidR="00E51CDD" w:rsidRPr="00FC6E3A" w:rsidRDefault="00E51CDD" w:rsidP="009938D9">
            <w:pPr>
              <w:jc w:val="center"/>
              <w:rPr>
                <w:sz w:val="20"/>
                <w:szCs w:val="20"/>
              </w:rPr>
            </w:pPr>
            <w:r w:rsidRPr="00FC6E3A">
              <w:rPr>
                <w:sz w:val="20"/>
                <w:szCs w:val="20"/>
              </w:rPr>
              <w:t>-2.6</w:t>
            </w:r>
          </w:p>
        </w:tc>
        <w:tc>
          <w:tcPr>
            <w:tcW w:w="633" w:type="pct"/>
            <w:vAlign w:val="center"/>
          </w:tcPr>
          <w:p w14:paraId="1BD02003" w14:textId="77777777" w:rsidR="00E51CDD" w:rsidRPr="00FC6E3A" w:rsidRDefault="00E51CDD" w:rsidP="009938D9">
            <w:pPr>
              <w:jc w:val="center"/>
              <w:rPr>
                <w:sz w:val="20"/>
                <w:szCs w:val="20"/>
              </w:rPr>
            </w:pPr>
            <w:r w:rsidRPr="00FC6E3A">
              <w:rPr>
                <w:sz w:val="20"/>
                <w:szCs w:val="20"/>
              </w:rPr>
              <w:t>5.0</w:t>
            </w:r>
          </w:p>
        </w:tc>
        <w:tc>
          <w:tcPr>
            <w:tcW w:w="600" w:type="pct"/>
            <w:vAlign w:val="center"/>
          </w:tcPr>
          <w:p w14:paraId="1A68D122" w14:textId="77777777" w:rsidR="00E51CDD" w:rsidRPr="00FC6E3A" w:rsidRDefault="00E51CDD" w:rsidP="009938D9">
            <w:pPr>
              <w:jc w:val="center"/>
              <w:rPr>
                <w:sz w:val="20"/>
                <w:szCs w:val="20"/>
              </w:rPr>
            </w:pPr>
            <w:r w:rsidRPr="00FC6E3A">
              <w:rPr>
                <w:sz w:val="20"/>
                <w:szCs w:val="20"/>
              </w:rPr>
              <w:t>2.6</w:t>
            </w:r>
          </w:p>
        </w:tc>
        <w:tc>
          <w:tcPr>
            <w:tcW w:w="585" w:type="pct"/>
            <w:vAlign w:val="center"/>
          </w:tcPr>
          <w:p w14:paraId="422BC81D" w14:textId="77777777" w:rsidR="00E51CDD" w:rsidRPr="00FC6E3A" w:rsidRDefault="00E51CDD" w:rsidP="009938D9">
            <w:pPr>
              <w:jc w:val="center"/>
              <w:rPr>
                <w:sz w:val="20"/>
                <w:szCs w:val="20"/>
              </w:rPr>
            </w:pPr>
            <w:r w:rsidRPr="00FC6E3A">
              <w:rPr>
                <w:sz w:val="20"/>
                <w:szCs w:val="20"/>
              </w:rPr>
              <w:t>7.5</w:t>
            </w:r>
          </w:p>
        </w:tc>
        <w:tc>
          <w:tcPr>
            <w:tcW w:w="587" w:type="pct"/>
            <w:vAlign w:val="center"/>
          </w:tcPr>
          <w:p w14:paraId="24A8D44F" w14:textId="77777777" w:rsidR="00E51CDD" w:rsidRPr="00FC6E3A" w:rsidRDefault="00E51CDD" w:rsidP="009938D9">
            <w:pPr>
              <w:jc w:val="center"/>
              <w:rPr>
                <w:sz w:val="20"/>
                <w:szCs w:val="20"/>
              </w:rPr>
            </w:pPr>
            <w:r w:rsidRPr="00FC6E3A">
              <w:rPr>
                <w:sz w:val="20"/>
                <w:szCs w:val="20"/>
              </w:rPr>
              <w:t>5.1</w:t>
            </w:r>
          </w:p>
        </w:tc>
      </w:tr>
      <w:tr w:rsidR="00E51CDD" w:rsidRPr="00FC6E3A" w14:paraId="6127122F" w14:textId="77777777" w:rsidTr="009938D9">
        <w:trPr>
          <w:trHeight w:val="372"/>
        </w:trPr>
        <w:tc>
          <w:tcPr>
            <w:tcW w:w="765" w:type="pct"/>
          </w:tcPr>
          <w:p w14:paraId="30F9611B" w14:textId="77777777" w:rsidR="00E51CDD" w:rsidRPr="00FC6E3A" w:rsidRDefault="00E51CDD" w:rsidP="009938D9">
            <w:pPr>
              <w:jc w:val="center"/>
              <w:rPr>
                <w:sz w:val="20"/>
                <w:szCs w:val="20"/>
              </w:rPr>
            </w:pPr>
          </w:p>
        </w:tc>
        <w:tc>
          <w:tcPr>
            <w:tcW w:w="4235" w:type="pct"/>
            <w:gridSpan w:val="7"/>
          </w:tcPr>
          <w:p w14:paraId="6A0F1F0C" w14:textId="77777777" w:rsidR="00E51CDD" w:rsidRPr="00FC6E3A" w:rsidRDefault="00E51CDD" w:rsidP="009938D9">
            <w:pPr>
              <w:jc w:val="center"/>
              <w:rPr>
                <w:b/>
                <w:sz w:val="20"/>
                <w:szCs w:val="20"/>
              </w:rPr>
            </w:pPr>
            <w:r w:rsidRPr="00FC6E3A">
              <w:rPr>
                <w:b/>
                <w:sz w:val="20"/>
                <w:szCs w:val="20"/>
              </w:rPr>
              <w:t>Endpoint</w:t>
            </w:r>
            <w:r w:rsidRPr="00FC6E3A">
              <w:rPr>
                <w:b/>
                <w:sz w:val="20"/>
                <w:szCs w:val="20"/>
              </w:rPr>
              <w:br/>
              <w:t>[µg/bee]</w:t>
            </w:r>
          </w:p>
        </w:tc>
      </w:tr>
      <w:tr w:rsidR="00E51CDD" w:rsidRPr="00FC6E3A" w14:paraId="47380082" w14:textId="77777777" w:rsidTr="009938D9">
        <w:trPr>
          <w:trHeight w:val="372"/>
        </w:trPr>
        <w:tc>
          <w:tcPr>
            <w:tcW w:w="765" w:type="pct"/>
            <w:vAlign w:val="center"/>
          </w:tcPr>
          <w:p w14:paraId="32F17476" w14:textId="77777777" w:rsidR="00E51CDD" w:rsidRPr="00FC6E3A" w:rsidRDefault="00E51CDD" w:rsidP="009938D9">
            <w:pPr>
              <w:jc w:val="center"/>
              <w:rPr>
                <w:sz w:val="20"/>
                <w:szCs w:val="20"/>
              </w:rPr>
            </w:pPr>
            <w:r w:rsidRPr="00FC6E3A">
              <w:rPr>
                <w:sz w:val="20"/>
                <w:szCs w:val="20"/>
              </w:rPr>
              <w:t>LD</w:t>
            </w:r>
            <w:r w:rsidRPr="00FC6E3A">
              <w:rPr>
                <w:sz w:val="20"/>
                <w:szCs w:val="20"/>
                <w:vertAlign w:val="subscript"/>
              </w:rPr>
              <w:t>50</w:t>
            </w:r>
            <w:r w:rsidRPr="00FC6E3A">
              <w:rPr>
                <w:sz w:val="20"/>
                <w:szCs w:val="20"/>
              </w:rPr>
              <w:t xml:space="preserve"> (72 h)</w:t>
            </w:r>
          </w:p>
        </w:tc>
        <w:tc>
          <w:tcPr>
            <w:tcW w:w="4235" w:type="pct"/>
            <w:gridSpan w:val="7"/>
            <w:vAlign w:val="center"/>
          </w:tcPr>
          <w:p w14:paraId="740D8F1B" w14:textId="77777777" w:rsidR="00E51CDD" w:rsidRPr="00FC6E3A" w:rsidRDefault="00E51CDD" w:rsidP="009938D9">
            <w:pPr>
              <w:jc w:val="center"/>
              <w:rPr>
                <w:sz w:val="20"/>
                <w:szCs w:val="20"/>
              </w:rPr>
            </w:pPr>
            <w:r w:rsidRPr="00FC6E3A">
              <w:rPr>
                <w:sz w:val="20"/>
                <w:szCs w:val="20"/>
              </w:rPr>
              <w:t>&gt; 1000</w:t>
            </w:r>
          </w:p>
        </w:tc>
      </w:tr>
    </w:tbl>
    <w:p w14:paraId="4A786540" w14:textId="77777777" w:rsidR="00E51CDD" w:rsidRPr="00FC6E3A" w:rsidRDefault="00E51CDD" w:rsidP="00E51CDD">
      <w:pPr>
        <w:keepNext/>
        <w:keepLines/>
        <w:ind w:left="284" w:hanging="284"/>
        <w:jc w:val="both"/>
        <w:rPr>
          <w:sz w:val="18"/>
          <w:szCs w:val="20"/>
        </w:rPr>
      </w:pPr>
      <w:bookmarkStart w:id="1192" w:name="_Hlk85189817"/>
      <w:r w:rsidRPr="00FC6E3A">
        <w:rPr>
          <w:sz w:val="18"/>
          <w:szCs w:val="20"/>
          <w:vertAlign w:val="superscript"/>
        </w:rPr>
        <w:t>1)</w:t>
      </w:r>
      <w:r w:rsidRPr="00FC6E3A">
        <w:rPr>
          <w:sz w:val="18"/>
          <w:szCs w:val="20"/>
        </w:rPr>
        <w:tab/>
        <w:t>Corrected mortality according to Abbott (1925)</w:t>
      </w:r>
      <w:r w:rsidRPr="00FC6E3A">
        <w:rPr>
          <w:rFonts w:ascii="Arial" w:eastAsia="Calibri" w:hAnsi="Arial" w:cs="Arial"/>
          <w:sz w:val="20"/>
          <w:szCs w:val="20"/>
          <w:lang w:eastAsia="en-US"/>
        </w:rPr>
        <w:t xml:space="preserve"> </w:t>
      </w:r>
      <w:r w:rsidRPr="00FC6E3A">
        <w:rPr>
          <w:sz w:val="18"/>
          <w:szCs w:val="20"/>
        </w:rPr>
        <w:t xml:space="preserve">modified by SCHNEIDER-ORELLI (1947). </w:t>
      </w:r>
      <w:r w:rsidRPr="00FC6E3A">
        <w:rPr>
          <w:sz w:val="18"/>
          <w:szCs w:val="18"/>
        </w:rPr>
        <w:t xml:space="preserve">Negative values indicate lower mortality compared to the control </w:t>
      </w:r>
      <w:bookmarkEnd w:id="1192"/>
      <w:r w:rsidRPr="00FC6E3A">
        <w:rPr>
          <w:sz w:val="18"/>
          <w:szCs w:val="18"/>
        </w:rPr>
        <w:t>group.</w:t>
      </w:r>
    </w:p>
    <w:p w14:paraId="07D122EB" w14:textId="77777777" w:rsidR="00E51CDD" w:rsidRDefault="00E51CDD" w:rsidP="00E51CDD">
      <w:pPr>
        <w:widowControl w:val="0"/>
        <w:rPr>
          <w:bCs/>
          <w:color w:val="0070C0"/>
          <w:szCs w:val="24"/>
          <w:lang w:eastAsia="en-US"/>
        </w:rPr>
      </w:pPr>
    </w:p>
    <w:p w14:paraId="7D353C9A" w14:textId="77777777" w:rsidR="00E51CDD" w:rsidRPr="00FC6E3A" w:rsidRDefault="00E51CDD" w:rsidP="00E51CDD">
      <w:pPr>
        <w:widowControl w:val="0"/>
        <w:rPr>
          <w:bCs/>
          <w:color w:val="0070C0"/>
          <w:szCs w:val="24"/>
          <w:lang w:eastAsia="en-US"/>
        </w:rPr>
      </w:pPr>
    </w:p>
    <w:p w14:paraId="7E62D8BA" w14:textId="77777777" w:rsidR="00E51CDD" w:rsidRPr="00FC6E3A" w:rsidRDefault="00E51CDD" w:rsidP="00E51CDD">
      <w:pPr>
        <w:widowControl w:val="0"/>
        <w:jc w:val="both"/>
        <w:rPr>
          <w:bCs/>
          <w:lang w:eastAsia="en-US"/>
        </w:rPr>
      </w:pPr>
      <w:r w:rsidRPr="00FC6E3A">
        <w:t>The LD</w:t>
      </w:r>
      <w:r w:rsidRPr="00FC6E3A">
        <w:rPr>
          <w:vertAlign w:val="subscript"/>
        </w:rPr>
        <w:t>50</w:t>
      </w:r>
      <w:r w:rsidRPr="00FC6E3A">
        <w:t xml:space="preserve"> value (24 h) for the reference item in the contact toxicity test was determined to be 0.22 µg a.s./bee (95% confidence limits: 0.20 – 0.25 µg a.s./bee).</w:t>
      </w:r>
    </w:p>
    <w:p w14:paraId="31215048" w14:textId="77777777" w:rsidR="00E51CDD" w:rsidRPr="00FC6E3A" w:rsidRDefault="00E51CDD" w:rsidP="00E51CDD">
      <w:pPr>
        <w:widowControl w:val="0"/>
        <w:tabs>
          <w:tab w:val="left" w:pos="425"/>
          <w:tab w:val="left" w:pos="850"/>
        </w:tabs>
        <w:ind w:left="2835" w:hanging="2835"/>
        <w:jc w:val="both"/>
        <w:rPr>
          <w:bCs/>
          <w:color w:val="0070C0"/>
        </w:rPr>
      </w:pPr>
    </w:p>
    <w:p w14:paraId="6611A59B" w14:textId="77777777" w:rsidR="00E51CDD" w:rsidRPr="00FC6E3A" w:rsidRDefault="00E51CDD" w:rsidP="00E51CDD">
      <w:pPr>
        <w:widowControl w:val="0"/>
        <w:tabs>
          <w:tab w:val="left" w:pos="425"/>
          <w:tab w:val="left" w:pos="850"/>
        </w:tabs>
        <w:ind w:left="2835" w:hanging="2835"/>
        <w:jc w:val="both"/>
        <w:rPr>
          <w:bCs/>
          <w:color w:val="0070C0"/>
        </w:rPr>
      </w:pPr>
    </w:p>
    <w:p w14:paraId="4E0B2823" w14:textId="77777777" w:rsidR="00E51CDD" w:rsidRPr="00FC6E3A" w:rsidRDefault="00E51CDD" w:rsidP="00E51CDD">
      <w:pPr>
        <w:jc w:val="both"/>
        <w:rPr>
          <w:u w:val="single"/>
        </w:rPr>
      </w:pPr>
      <w:bookmarkStart w:id="1193" w:name="_Hlk31007177"/>
      <w:r w:rsidRPr="00FC6E3A">
        <w:rPr>
          <w:u w:val="single"/>
        </w:rPr>
        <w:t>Validity criteria:</w:t>
      </w:r>
    </w:p>
    <w:p w14:paraId="1D0FB815" w14:textId="77777777" w:rsidR="00E51CDD" w:rsidRPr="00FC6E3A" w:rsidRDefault="00E51CDD" w:rsidP="00E51CDD">
      <w:pPr>
        <w:autoSpaceDE w:val="0"/>
        <w:autoSpaceDN w:val="0"/>
        <w:adjustRightInd w:val="0"/>
        <w:rPr>
          <w:rFonts w:eastAsia="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33"/>
        <w:gridCol w:w="2111"/>
      </w:tblGrid>
      <w:tr w:rsidR="00E51CDD" w:rsidRPr="00FC6E3A" w14:paraId="258EAE1E" w14:textId="77777777" w:rsidTr="009938D9">
        <w:trPr>
          <w:trHeight w:val="240"/>
        </w:trPr>
        <w:tc>
          <w:tcPr>
            <w:tcW w:w="3672" w:type="pct"/>
            <w:shd w:val="clear" w:color="auto" w:fill="auto"/>
            <w:noWrap/>
            <w:vAlign w:val="center"/>
            <w:hideMark/>
          </w:tcPr>
          <w:p w14:paraId="7F15D0A5" w14:textId="77777777" w:rsidR="00E51CDD" w:rsidRPr="00FC6E3A" w:rsidRDefault="00E51CDD" w:rsidP="009938D9">
            <w:pPr>
              <w:widowControl w:val="0"/>
              <w:rPr>
                <w:b/>
                <w:bCs/>
                <w:sz w:val="20"/>
                <w:szCs w:val="20"/>
              </w:rPr>
            </w:pPr>
            <w:r w:rsidRPr="00FC6E3A">
              <w:rPr>
                <w:b/>
                <w:sz w:val="20"/>
                <w:szCs w:val="20"/>
              </w:rPr>
              <w:t xml:space="preserve">Validity criteria according to OECD 214 </w:t>
            </w:r>
            <w:r w:rsidRPr="00FC6E3A">
              <w:rPr>
                <w:b/>
                <w:bCs/>
                <w:sz w:val="20"/>
                <w:szCs w:val="20"/>
              </w:rPr>
              <w:t>(1998)</w:t>
            </w:r>
          </w:p>
        </w:tc>
        <w:tc>
          <w:tcPr>
            <w:tcW w:w="1328" w:type="pct"/>
            <w:shd w:val="clear" w:color="auto" w:fill="auto"/>
            <w:noWrap/>
            <w:vAlign w:val="center"/>
            <w:hideMark/>
          </w:tcPr>
          <w:p w14:paraId="02F2540A" w14:textId="77777777" w:rsidR="00E51CDD" w:rsidRPr="00FC6E3A" w:rsidRDefault="00E51CDD" w:rsidP="009938D9">
            <w:pPr>
              <w:widowControl w:val="0"/>
              <w:rPr>
                <w:b/>
                <w:bCs/>
                <w:sz w:val="20"/>
                <w:szCs w:val="20"/>
              </w:rPr>
            </w:pPr>
            <w:r w:rsidRPr="00FC6E3A">
              <w:rPr>
                <w:b/>
                <w:sz w:val="20"/>
                <w:szCs w:val="20"/>
              </w:rPr>
              <w:t>Obtained in this study</w:t>
            </w:r>
          </w:p>
        </w:tc>
      </w:tr>
      <w:tr w:rsidR="00E51CDD" w:rsidRPr="00FC6E3A" w14:paraId="44C58F1D" w14:textId="77777777" w:rsidTr="009938D9">
        <w:trPr>
          <w:trHeight w:val="244"/>
        </w:trPr>
        <w:tc>
          <w:tcPr>
            <w:tcW w:w="3672" w:type="pct"/>
            <w:shd w:val="clear" w:color="auto" w:fill="auto"/>
            <w:noWrap/>
            <w:vAlign w:val="center"/>
          </w:tcPr>
          <w:p w14:paraId="6DBA8E5D" w14:textId="77777777" w:rsidR="00E51CDD" w:rsidRPr="00FC6E3A" w:rsidRDefault="00E51CDD" w:rsidP="009938D9">
            <w:pPr>
              <w:widowControl w:val="0"/>
              <w:rPr>
                <w:sz w:val="20"/>
                <w:szCs w:val="20"/>
              </w:rPr>
            </w:pPr>
            <w:r w:rsidRPr="00FC6E3A">
              <w:rPr>
                <w:sz w:val="20"/>
                <w:szCs w:val="20"/>
              </w:rPr>
              <w:t>Control mortality ≤ 10%</w:t>
            </w:r>
          </w:p>
        </w:tc>
        <w:tc>
          <w:tcPr>
            <w:tcW w:w="1328" w:type="pct"/>
            <w:shd w:val="clear" w:color="auto" w:fill="auto"/>
            <w:noWrap/>
            <w:vAlign w:val="center"/>
          </w:tcPr>
          <w:p w14:paraId="28F471FC" w14:textId="77777777" w:rsidR="00E51CDD" w:rsidRPr="00FC6E3A" w:rsidRDefault="00E51CDD" w:rsidP="009938D9">
            <w:pPr>
              <w:widowControl w:val="0"/>
              <w:rPr>
                <w:sz w:val="20"/>
                <w:szCs w:val="20"/>
              </w:rPr>
            </w:pPr>
            <w:r w:rsidRPr="00FC6E3A">
              <w:rPr>
                <w:sz w:val="20"/>
                <w:szCs w:val="20"/>
              </w:rPr>
              <w:t>2.5% control</w:t>
            </w:r>
          </w:p>
        </w:tc>
      </w:tr>
      <w:tr w:rsidR="00E51CDD" w:rsidRPr="00FC6E3A" w14:paraId="7E3DDDB9" w14:textId="77777777" w:rsidTr="009938D9">
        <w:tc>
          <w:tcPr>
            <w:tcW w:w="3672" w:type="pct"/>
            <w:shd w:val="clear" w:color="auto" w:fill="auto"/>
            <w:noWrap/>
            <w:vAlign w:val="center"/>
          </w:tcPr>
          <w:p w14:paraId="6A1018B6" w14:textId="77777777" w:rsidR="00E51CDD" w:rsidRPr="00FC6E3A" w:rsidRDefault="00E51CDD" w:rsidP="009938D9">
            <w:pPr>
              <w:widowControl w:val="0"/>
              <w:rPr>
                <w:sz w:val="20"/>
                <w:szCs w:val="20"/>
              </w:rPr>
            </w:pPr>
            <w:r w:rsidRPr="00FC6E3A">
              <w:rPr>
                <w:sz w:val="20"/>
                <w:szCs w:val="20"/>
              </w:rPr>
              <w:t>LD</w:t>
            </w:r>
            <w:r w:rsidRPr="00FC6E3A">
              <w:rPr>
                <w:sz w:val="20"/>
                <w:szCs w:val="20"/>
                <w:vertAlign w:val="subscript"/>
              </w:rPr>
              <w:t>50</w:t>
            </w:r>
            <w:r w:rsidRPr="00FC6E3A">
              <w:rPr>
                <w:sz w:val="20"/>
                <w:szCs w:val="20"/>
              </w:rPr>
              <w:t xml:space="preserve"> (24 h) of the reference item should be in the specified range 0.10 – 0.30 µg a.s./bee</w:t>
            </w:r>
          </w:p>
        </w:tc>
        <w:tc>
          <w:tcPr>
            <w:tcW w:w="1328" w:type="pct"/>
            <w:shd w:val="clear" w:color="auto" w:fill="auto"/>
            <w:noWrap/>
            <w:vAlign w:val="center"/>
          </w:tcPr>
          <w:p w14:paraId="0690DB68" w14:textId="77777777" w:rsidR="00E51CDD" w:rsidRPr="00FC6E3A" w:rsidRDefault="00E51CDD" w:rsidP="009938D9">
            <w:pPr>
              <w:widowControl w:val="0"/>
              <w:rPr>
                <w:sz w:val="20"/>
                <w:szCs w:val="20"/>
              </w:rPr>
            </w:pPr>
            <w:r w:rsidRPr="00FC6E3A">
              <w:rPr>
                <w:sz w:val="20"/>
                <w:szCs w:val="20"/>
              </w:rPr>
              <w:t>0.22 µg a.s./bee</w:t>
            </w:r>
          </w:p>
        </w:tc>
      </w:tr>
      <w:bookmarkEnd w:id="1193"/>
    </w:tbl>
    <w:p w14:paraId="26700436" w14:textId="77777777" w:rsidR="00E51CDD" w:rsidRDefault="00E51CDD" w:rsidP="00E51CDD">
      <w:pPr>
        <w:jc w:val="both"/>
        <w:rPr>
          <w:b/>
          <w:highlight w:val="green"/>
          <w:u w:val="single"/>
        </w:rPr>
      </w:pPr>
    </w:p>
    <w:p w14:paraId="325E44CA" w14:textId="77777777" w:rsidR="00E51CDD" w:rsidRPr="00FC6E3A" w:rsidRDefault="00E51CDD" w:rsidP="00E51CDD">
      <w:pPr>
        <w:jc w:val="both"/>
        <w:rPr>
          <w:b/>
          <w:highlight w:val="green"/>
          <w:u w:val="single"/>
        </w:rPr>
      </w:pPr>
    </w:p>
    <w:p w14:paraId="6581C38F" w14:textId="77777777" w:rsidR="00E51CDD" w:rsidRPr="00FC6E3A" w:rsidRDefault="00E51CDD" w:rsidP="00E51CDD">
      <w:pPr>
        <w:jc w:val="both"/>
      </w:pPr>
      <w:r w:rsidRPr="00FC6E3A">
        <w:t>All validity criteria were met.</w:t>
      </w:r>
    </w:p>
    <w:p w14:paraId="3E383E69" w14:textId="77777777" w:rsidR="00E51CDD" w:rsidRPr="00FC6E3A" w:rsidRDefault="00E51CDD" w:rsidP="00E51CDD">
      <w:pPr>
        <w:widowControl w:val="0"/>
        <w:tabs>
          <w:tab w:val="left" w:pos="425"/>
          <w:tab w:val="left" w:pos="850"/>
        </w:tabs>
        <w:ind w:left="2835" w:hanging="2835"/>
        <w:jc w:val="both"/>
        <w:rPr>
          <w:bCs/>
        </w:rPr>
      </w:pPr>
    </w:p>
    <w:p w14:paraId="0EBF067C" w14:textId="77777777" w:rsidR="00E51CDD" w:rsidRPr="00FC6E3A" w:rsidRDefault="00E51CDD" w:rsidP="00E51CDD">
      <w:pPr>
        <w:widowControl w:val="0"/>
        <w:tabs>
          <w:tab w:val="left" w:pos="425"/>
          <w:tab w:val="left" w:pos="850"/>
        </w:tabs>
        <w:ind w:left="2835" w:hanging="2835"/>
        <w:jc w:val="both"/>
        <w:rPr>
          <w:bCs/>
          <w:szCs w:val="24"/>
        </w:rPr>
      </w:pPr>
    </w:p>
    <w:p w14:paraId="51686956" w14:textId="77777777" w:rsidR="00E51CDD" w:rsidRPr="00FC6E3A" w:rsidRDefault="00E51CDD" w:rsidP="00E51CDD">
      <w:pPr>
        <w:widowControl w:val="0"/>
        <w:jc w:val="both"/>
        <w:rPr>
          <w:b/>
        </w:rPr>
      </w:pPr>
      <w:r w:rsidRPr="00FC6E3A">
        <w:rPr>
          <w:b/>
        </w:rPr>
        <w:t>III.</w:t>
      </w:r>
      <w:r w:rsidRPr="00FC6E3A">
        <w:rPr>
          <w:b/>
        </w:rPr>
        <w:tab/>
        <w:t>CONCLUSION</w:t>
      </w:r>
    </w:p>
    <w:p w14:paraId="2D9DDB1D" w14:textId="77777777" w:rsidR="00E51CDD" w:rsidRPr="00FC6E3A" w:rsidRDefault="00E51CDD" w:rsidP="00E51CDD">
      <w:pPr>
        <w:widowControl w:val="0"/>
        <w:tabs>
          <w:tab w:val="left" w:pos="425"/>
          <w:tab w:val="left" w:pos="850"/>
        </w:tabs>
        <w:ind w:left="2835" w:hanging="2835"/>
        <w:jc w:val="both"/>
        <w:rPr>
          <w:bCs/>
          <w:szCs w:val="24"/>
        </w:rPr>
      </w:pPr>
    </w:p>
    <w:p w14:paraId="1BEBBD55" w14:textId="77777777" w:rsidR="00E51CDD" w:rsidRPr="00E111CB" w:rsidRDefault="00E51CDD" w:rsidP="00E51CDD">
      <w:pPr>
        <w:widowControl w:val="0"/>
        <w:jc w:val="both"/>
      </w:pPr>
      <w:r w:rsidRPr="00FC6E3A">
        <w:rPr>
          <w:b/>
          <w:bCs/>
        </w:rPr>
        <w:t>In an acute contact toxicity test with BAS 736 00 F on honey bees, the LD</w:t>
      </w:r>
      <w:r w:rsidRPr="00FC6E3A">
        <w:rPr>
          <w:b/>
          <w:bCs/>
          <w:vertAlign w:val="subscript"/>
        </w:rPr>
        <w:t>50</w:t>
      </w:r>
      <w:r w:rsidRPr="00FC6E3A">
        <w:rPr>
          <w:b/>
          <w:bCs/>
        </w:rPr>
        <w:t xml:space="preserve"> (48 h) was determined to be &gt; 1000 µg BAS 736 00 F/bee.</w:t>
      </w:r>
    </w:p>
    <w:p w14:paraId="3DCB1888" w14:textId="77777777" w:rsidR="00E51CDD" w:rsidRPr="00FC6E3A" w:rsidRDefault="00E51CDD" w:rsidP="00E51CDD">
      <w:pPr>
        <w:widowControl w:val="0"/>
        <w:jc w:val="both"/>
        <w:rPr>
          <w:lang w:val="en-GB"/>
        </w:rPr>
      </w:pPr>
      <w:r>
        <w:rPr>
          <w:lang w:val="en-GB"/>
        </w:rPr>
        <w:br w:type="page"/>
      </w:r>
    </w:p>
    <w:p w14:paraId="3378EB27" w14:textId="77777777" w:rsidR="00E51CDD" w:rsidRPr="00E862D9" w:rsidRDefault="00E51CDD" w:rsidP="00E51CDD">
      <w:pPr>
        <w:pStyle w:val="RepAppendix6"/>
        <w:numPr>
          <w:ilvl w:val="5"/>
          <w:numId w:val="40"/>
        </w:numPr>
      </w:pPr>
      <w:r w:rsidRPr="00E862D9">
        <w:lastRenderedPageBreak/>
        <w:t>Study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624E5DEE" w14:textId="77777777" w:rsidTr="002346A8">
        <w:trPr>
          <w:trHeight w:val="348"/>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E21787" w14:textId="77777777" w:rsidR="00E51CDD" w:rsidRDefault="00E51CDD" w:rsidP="009938D9">
            <w:pPr>
              <w:pStyle w:val="RepStandard"/>
              <w:rPr>
                <w:rFonts w:eastAsia="Batang"/>
              </w:rPr>
            </w:pPr>
            <w:bookmarkStart w:id="1194" w:name="_Hlk82074219"/>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AD6026" w14:textId="1DFDA0A3" w:rsidR="00E51CDD" w:rsidRDefault="00750399" w:rsidP="009938D9">
            <w:pPr>
              <w:pStyle w:val="RepStandard"/>
              <w:ind w:left="85"/>
              <w:rPr>
                <w:rFonts w:eastAsia="Batang"/>
              </w:rPr>
            </w:pPr>
            <w:r>
              <w:rPr>
                <w:rFonts w:eastAsia="Batang"/>
              </w:rPr>
              <w:t>Study not evaluated.</w:t>
            </w:r>
          </w:p>
        </w:tc>
      </w:tr>
    </w:tbl>
    <w:p w14:paraId="73766247"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71D55E9E" w14:textId="77777777" w:rsidTr="009938D9">
        <w:trPr>
          <w:gridAfter w:val="1"/>
          <w:wAfter w:w="9" w:type="pct"/>
        </w:trPr>
        <w:tc>
          <w:tcPr>
            <w:tcW w:w="1340" w:type="pct"/>
            <w:hideMark/>
          </w:tcPr>
          <w:p w14:paraId="1FA53070" w14:textId="77777777" w:rsidR="00E51CDD" w:rsidRDefault="00E51CDD" w:rsidP="009938D9">
            <w:pPr>
              <w:pStyle w:val="RepStandard"/>
              <w:rPr>
                <w:lang w:val="de-DE"/>
              </w:rPr>
            </w:pPr>
            <w:r>
              <w:t>Reference:</w:t>
            </w:r>
          </w:p>
        </w:tc>
        <w:tc>
          <w:tcPr>
            <w:tcW w:w="3651" w:type="pct"/>
            <w:hideMark/>
          </w:tcPr>
          <w:p w14:paraId="1F3FE8DE" w14:textId="77777777" w:rsidR="00E51CDD" w:rsidRDefault="00E51CDD" w:rsidP="009938D9">
            <w:pPr>
              <w:pStyle w:val="RepStandard"/>
            </w:pPr>
            <w:r>
              <w:t>CP 10.3.1.1.2/2</w:t>
            </w:r>
          </w:p>
        </w:tc>
      </w:tr>
      <w:tr w:rsidR="00E51CDD" w14:paraId="4D8A7EA4" w14:textId="77777777" w:rsidTr="009938D9">
        <w:trPr>
          <w:gridAfter w:val="1"/>
          <w:wAfter w:w="9" w:type="pct"/>
        </w:trPr>
        <w:tc>
          <w:tcPr>
            <w:tcW w:w="1340" w:type="pct"/>
            <w:hideMark/>
          </w:tcPr>
          <w:p w14:paraId="219BC8AA" w14:textId="77777777" w:rsidR="00E51CDD" w:rsidRDefault="00E51CDD" w:rsidP="009938D9">
            <w:pPr>
              <w:pStyle w:val="RepStandard"/>
              <w:spacing w:after="120"/>
            </w:pPr>
            <w:r>
              <w:t>Report</w:t>
            </w:r>
          </w:p>
        </w:tc>
        <w:tc>
          <w:tcPr>
            <w:tcW w:w="3651" w:type="pct"/>
            <w:hideMark/>
          </w:tcPr>
          <w:p w14:paraId="706DDF92" w14:textId="77777777" w:rsidR="00E51CDD" w:rsidRDefault="00E51CDD" w:rsidP="009938D9">
            <w:pPr>
              <w:pStyle w:val="RepStandard"/>
              <w:spacing w:after="120"/>
              <w:rPr>
                <w:lang w:val="en-US"/>
              </w:rPr>
            </w:pPr>
            <w:r>
              <w:rPr>
                <w:lang w:val="en-US"/>
              </w:rPr>
              <w:t>BAS 700 04 F - Acute oral and contact toxicity to the bumble bee, Bombus terrestris L. under laboratory conditions,</w:t>
            </w:r>
          </w:p>
          <w:p w14:paraId="4226DE9F" w14:textId="77777777" w:rsidR="00E51CDD" w:rsidRDefault="00E51CDD" w:rsidP="009938D9">
            <w:pPr>
              <w:pStyle w:val="RepStandard"/>
              <w:spacing w:after="120"/>
              <w:rPr>
                <w:lang w:val="en-US"/>
              </w:rPr>
            </w:pPr>
            <w:r>
              <w:rPr>
                <w:lang w:val="en-US"/>
              </w:rPr>
              <w:t>Verge, E., 2014</w:t>
            </w:r>
          </w:p>
          <w:p w14:paraId="683759E5" w14:textId="77777777" w:rsidR="00E51CDD" w:rsidRDefault="00E51CDD" w:rsidP="009938D9">
            <w:pPr>
              <w:pStyle w:val="RepStandard"/>
              <w:spacing w:after="120"/>
              <w:rPr>
                <w:lang w:val="en-US"/>
              </w:rPr>
            </w:pPr>
            <w:r>
              <w:rPr>
                <w:lang w:val="en-US"/>
              </w:rPr>
              <w:t>report No EU-S14-00228,EU-704424,S14-00228</w:t>
            </w:r>
          </w:p>
          <w:p w14:paraId="2E8081C1" w14:textId="77777777" w:rsidR="00E51CDD" w:rsidRDefault="00E51CDD" w:rsidP="009938D9">
            <w:pPr>
              <w:pStyle w:val="RepStandard"/>
              <w:spacing w:after="120"/>
            </w:pPr>
            <w:r>
              <w:rPr>
                <w:lang w:val="en-US"/>
              </w:rPr>
              <w:t>2014/1135445</w:t>
            </w:r>
          </w:p>
          <w:p w14:paraId="12FEA19B" w14:textId="77777777" w:rsidR="00E51CDD" w:rsidRDefault="00E51CDD" w:rsidP="009938D9">
            <w:pPr>
              <w:pStyle w:val="RepStandard"/>
            </w:pPr>
            <w:r>
              <w:t>Authority registration No</w:t>
            </w:r>
          </w:p>
        </w:tc>
      </w:tr>
      <w:tr w:rsidR="00E51CDD" w:rsidRPr="002262EA" w14:paraId="56F85F42" w14:textId="77777777" w:rsidTr="009938D9">
        <w:trPr>
          <w:gridAfter w:val="1"/>
          <w:wAfter w:w="9" w:type="pct"/>
        </w:trPr>
        <w:tc>
          <w:tcPr>
            <w:tcW w:w="1340" w:type="pct"/>
            <w:hideMark/>
          </w:tcPr>
          <w:p w14:paraId="5529306B" w14:textId="77777777" w:rsidR="00E51CDD" w:rsidRDefault="00E51CDD" w:rsidP="009938D9">
            <w:pPr>
              <w:pStyle w:val="RepStandard"/>
            </w:pPr>
            <w:r>
              <w:t>Guideline(s):</w:t>
            </w:r>
          </w:p>
        </w:tc>
        <w:tc>
          <w:tcPr>
            <w:tcW w:w="3651" w:type="pct"/>
            <w:hideMark/>
          </w:tcPr>
          <w:p w14:paraId="283366B8" w14:textId="77777777" w:rsidR="00E51CDD" w:rsidRPr="002262EA" w:rsidRDefault="00E51CDD" w:rsidP="009938D9">
            <w:pPr>
              <w:pStyle w:val="RepStandard"/>
              <w:spacing w:after="120"/>
              <w:rPr>
                <w:lang w:val="nl-BE"/>
              </w:rPr>
            </w:pPr>
            <w:r w:rsidRPr="002262EA">
              <w:rPr>
                <w:lang w:val="nl-BE"/>
              </w:rPr>
              <w:t xml:space="preserve">EPPO PP 1/170 (4) (2010), OECD 213, OECD 214 (1998), Van der Steen (2001) </w:t>
            </w:r>
          </w:p>
        </w:tc>
      </w:tr>
      <w:tr w:rsidR="00E51CDD" w14:paraId="4402AECE" w14:textId="77777777" w:rsidTr="009938D9">
        <w:trPr>
          <w:gridAfter w:val="1"/>
          <w:wAfter w:w="9" w:type="pct"/>
        </w:trPr>
        <w:tc>
          <w:tcPr>
            <w:tcW w:w="1340" w:type="pct"/>
            <w:hideMark/>
          </w:tcPr>
          <w:p w14:paraId="116B4C95" w14:textId="77777777" w:rsidR="00E51CDD" w:rsidRDefault="00E51CDD" w:rsidP="009938D9">
            <w:pPr>
              <w:pStyle w:val="RepStandard"/>
            </w:pPr>
            <w:r>
              <w:t>Deviations:</w:t>
            </w:r>
          </w:p>
        </w:tc>
        <w:tc>
          <w:tcPr>
            <w:tcW w:w="3651" w:type="pct"/>
            <w:hideMark/>
          </w:tcPr>
          <w:p w14:paraId="5C65AF4B" w14:textId="77777777" w:rsidR="00E51CDD" w:rsidRDefault="00E51CDD" w:rsidP="009938D9">
            <w:pPr>
              <w:pStyle w:val="RepStandard"/>
              <w:spacing w:after="120"/>
            </w:pPr>
            <w:r>
              <w:t>No</w:t>
            </w:r>
          </w:p>
        </w:tc>
      </w:tr>
      <w:tr w:rsidR="00E51CDD" w:rsidRPr="00662F32" w14:paraId="384504E8" w14:textId="77777777" w:rsidTr="009938D9">
        <w:tc>
          <w:tcPr>
            <w:tcW w:w="1340" w:type="pct"/>
            <w:hideMark/>
          </w:tcPr>
          <w:p w14:paraId="35F8F784" w14:textId="77777777" w:rsidR="00E51CDD" w:rsidRDefault="00E51CDD" w:rsidP="009938D9">
            <w:pPr>
              <w:pStyle w:val="RepStandard"/>
            </w:pPr>
            <w:r>
              <w:t>GLP:</w:t>
            </w:r>
          </w:p>
        </w:tc>
        <w:tc>
          <w:tcPr>
            <w:tcW w:w="3660" w:type="pct"/>
            <w:gridSpan w:val="2"/>
            <w:hideMark/>
          </w:tcPr>
          <w:p w14:paraId="2B3C6543" w14:textId="77777777" w:rsidR="00E51CDD" w:rsidRPr="00E111CB" w:rsidRDefault="00E51CDD" w:rsidP="009938D9">
            <w:pPr>
              <w:tabs>
                <w:tab w:val="left" w:pos="425"/>
                <w:tab w:val="left" w:pos="850"/>
              </w:tabs>
              <w:spacing w:after="120"/>
              <w:ind w:left="1985" w:hanging="1985"/>
              <w:rPr>
                <w:b/>
                <w:lang w:val="de-DE"/>
              </w:rPr>
            </w:pPr>
            <w:r w:rsidRPr="00E111CB">
              <w:rPr>
                <w:lang w:val="de-DE"/>
              </w:rPr>
              <w:t>yes</w:t>
            </w:r>
          </w:p>
          <w:p w14:paraId="47057ACE" w14:textId="77777777" w:rsidR="00E51CDD" w:rsidRPr="00E111CB" w:rsidRDefault="00E51CDD" w:rsidP="009938D9">
            <w:pPr>
              <w:pStyle w:val="RepStandard"/>
              <w:spacing w:after="120"/>
              <w:jc w:val="left"/>
              <w:rPr>
                <w:lang w:val="de-DE"/>
              </w:rPr>
            </w:pPr>
            <w:r w:rsidRPr="00E111CB">
              <w:rPr>
                <w:lang w:val="de-DE"/>
              </w:rPr>
              <w:t xml:space="preserve">(certified by Landesanstalt fuer Umwelt, Messungen und Naturschutz Baden-Wuerttemberg, Karlsruhe, Germany), </w:t>
            </w:r>
          </w:p>
        </w:tc>
      </w:tr>
      <w:tr w:rsidR="00E51CDD" w14:paraId="4A80795E" w14:textId="77777777" w:rsidTr="009938D9">
        <w:trPr>
          <w:gridAfter w:val="1"/>
          <w:wAfter w:w="9" w:type="pct"/>
        </w:trPr>
        <w:tc>
          <w:tcPr>
            <w:tcW w:w="1340" w:type="pct"/>
            <w:hideMark/>
          </w:tcPr>
          <w:p w14:paraId="4ADA0A7A" w14:textId="77777777" w:rsidR="00E51CDD" w:rsidRDefault="00E51CDD" w:rsidP="009938D9">
            <w:pPr>
              <w:pStyle w:val="RepStandard"/>
              <w:rPr>
                <w:lang w:val="de-DE"/>
              </w:rPr>
            </w:pPr>
            <w:r>
              <w:t>Acceptability:</w:t>
            </w:r>
          </w:p>
        </w:tc>
        <w:tc>
          <w:tcPr>
            <w:tcW w:w="3651" w:type="pct"/>
            <w:hideMark/>
          </w:tcPr>
          <w:p w14:paraId="29D0CE20" w14:textId="77777777" w:rsidR="00E51CDD" w:rsidRDefault="00E51CDD" w:rsidP="009938D9">
            <w:pPr>
              <w:pStyle w:val="RepStandard"/>
            </w:pPr>
            <w:r>
              <w:t xml:space="preserve">Yes </w:t>
            </w:r>
          </w:p>
        </w:tc>
      </w:tr>
      <w:tr w:rsidR="00E51CDD" w14:paraId="25E0D740" w14:textId="77777777" w:rsidTr="009938D9">
        <w:trPr>
          <w:gridAfter w:val="1"/>
          <w:wAfter w:w="9" w:type="pct"/>
        </w:trPr>
        <w:tc>
          <w:tcPr>
            <w:tcW w:w="1340" w:type="pct"/>
            <w:hideMark/>
          </w:tcPr>
          <w:p w14:paraId="3DBCD986" w14:textId="77777777" w:rsidR="00E51CDD" w:rsidRDefault="00E51CDD" w:rsidP="009938D9">
            <w:pPr>
              <w:pStyle w:val="RepStandard"/>
            </w:pPr>
            <w:r>
              <w:t xml:space="preserve">Duplication </w:t>
            </w:r>
            <w:r>
              <w:br/>
              <w:t>(if vertebrate study)</w:t>
            </w:r>
          </w:p>
        </w:tc>
        <w:tc>
          <w:tcPr>
            <w:tcW w:w="3651" w:type="pct"/>
            <w:hideMark/>
          </w:tcPr>
          <w:p w14:paraId="10F1C35F" w14:textId="77777777" w:rsidR="00E51CDD" w:rsidRDefault="00E51CDD" w:rsidP="009938D9">
            <w:pPr>
              <w:pStyle w:val="RepStandard"/>
              <w:spacing w:after="120"/>
              <w:rPr>
                <w:highlight w:val="yellow"/>
              </w:rPr>
            </w:pPr>
            <w:r>
              <w:t>No</w:t>
            </w:r>
          </w:p>
        </w:tc>
      </w:tr>
    </w:tbl>
    <w:p w14:paraId="3DAE6D85" w14:textId="77777777" w:rsidR="00E51CDD" w:rsidRDefault="00E51CDD" w:rsidP="00E51CDD">
      <w:pPr>
        <w:widowControl w:val="0"/>
        <w:jc w:val="both"/>
      </w:pPr>
    </w:p>
    <w:p w14:paraId="67AC54CA" w14:textId="77777777" w:rsidR="00E51CDD" w:rsidRPr="00E111CB" w:rsidRDefault="00E51CDD" w:rsidP="00E51CDD">
      <w:pPr>
        <w:widowControl w:val="0"/>
        <w:jc w:val="both"/>
      </w:pPr>
    </w:p>
    <w:p w14:paraId="593DC28A" w14:textId="77777777" w:rsidR="00E51CDD" w:rsidRPr="00E862D9" w:rsidRDefault="00E51CDD" w:rsidP="00E51CDD">
      <w:pPr>
        <w:widowControl w:val="0"/>
        <w:tabs>
          <w:tab w:val="left" w:pos="425"/>
          <w:tab w:val="left" w:pos="850"/>
        </w:tabs>
        <w:ind w:left="2835" w:hanging="2835"/>
        <w:rPr>
          <w:b/>
          <w:szCs w:val="24"/>
        </w:rPr>
      </w:pPr>
      <w:r w:rsidRPr="00E862D9">
        <w:rPr>
          <w:b/>
          <w:szCs w:val="24"/>
        </w:rPr>
        <w:t>Executive Summary</w:t>
      </w:r>
    </w:p>
    <w:p w14:paraId="315D1D52" w14:textId="77777777" w:rsidR="00E51CDD" w:rsidRPr="00E862D9" w:rsidRDefault="00E51CDD" w:rsidP="00E51CDD">
      <w:pPr>
        <w:widowControl w:val="0"/>
        <w:jc w:val="both"/>
      </w:pPr>
    </w:p>
    <w:p w14:paraId="5C3AAFEC" w14:textId="77777777" w:rsidR="00E51CDD" w:rsidRPr="00E862D9" w:rsidRDefault="00E51CDD" w:rsidP="00E51CDD">
      <w:pPr>
        <w:widowControl w:val="0"/>
        <w:suppressAutoHyphens/>
        <w:jc w:val="both"/>
        <w:rPr>
          <w:lang w:eastAsia="en-US"/>
        </w:rPr>
      </w:pPr>
      <w:r w:rsidRPr="00E862D9">
        <w:rPr>
          <w:lang w:eastAsia="en-US"/>
        </w:rPr>
        <w:t>In an acute contact toxicity test, young adult worker bumble bees (</w:t>
      </w:r>
      <w:r w:rsidRPr="00E862D9">
        <w:rPr>
          <w:i/>
          <w:iCs/>
          <w:lang w:eastAsia="en-US"/>
        </w:rPr>
        <w:t>Bombus terrestris</w:t>
      </w:r>
      <w:r w:rsidRPr="00E862D9">
        <w:rPr>
          <w:lang w:eastAsia="en-US"/>
        </w:rPr>
        <w:t>) were exposed to BAS 700 04 F. a dose rates of 52.1, 72.9, 102.0, 142.9 and 200.0 μg a.s./bumble bee; the resulting oral uptake was 196.2, 274.6, 384.2, 538.3 and 753.3 μg BAS 700 04 F/bumble bee. Additionally, bumble bees were treated with BAS 152 11 I (a.s. dimethoate) as a reference item at a dose rate of 12 µg dimethoate/bumble bee, and furthermore with tap water as control. Assessments of bumble bee mortality and behavioral effects were done after 4, 24, 48, 72 and 96 hours.</w:t>
      </w:r>
    </w:p>
    <w:p w14:paraId="527BE878" w14:textId="77777777" w:rsidR="00E51CDD" w:rsidRPr="00E862D9" w:rsidRDefault="00E51CDD" w:rsidP="00E51CDD">
      <w:pPr>
        <w:widowControl w:val="0"/>
        <w:suppressAutoHyphens/>
        <w:jc w:val="both"/>
        <w:rPr>
          <w:lang w:eastAsia="en-US"/>
        </w:rPr>
      </w:pPr>
    </w:p>
    <w:p w14:paraId="76922778" w14:textId="77777777" w:rsidR="00E51CDD" w:rsidRPr="00E862D9" w:rsidRDefault="00E51CDD" w:rsidP="00E51CDD">
      <w:pPr>
        <w:widowControl w:val="0"/>
        <w:suppressAutoHyphens/>
        <w:jc w:val="both"/>
        <w:rPr>
          <w:lang w:eastAsia="en-US"/>
        </w:rPr>
      </w:pPr>
      <w:r w:rsidRPr="00E862D9">
        <w:rPr>
          <w:lang w:eastAsia="en-US"/>
        </w:rPr>
        <w:t>After 96 hours of contact exposure, no mortality was observed in the control. After 96 hours of exposure no mortality was observed in the BAS 700 04 F treatment groups. No sub-lethal effects or abnormal behavior were observed during the entire 96-h test period.</w:t>
      </w:r>
    </w:p>
    <w:p w14:paraId="60012BAA" w14:textId="77777777" w:rsidR="00E51CDD" w:rsidRPr="00E862D9" w:rsidRDefault="00E51CDD" w:rsidP="00E51CDD">
      <w:pPr>
        <w:widowControl w:val="0"/>
        <w:suppressAutoHyphens/>
        <w:jc w:val="both"/>
        <w:rPr>
          <w:lang w:eastAsia="en-US"/>
        </w:rPr>
      </w:pPr>
    </w:p>
    <w:p w14:paraId="27F50960" w14:textId="77777777" w:rsidR="00E51CDD" w:rsidRDefault="00E51CDD" w:rsidP="00E51CDD">
      <w:pPr>
        <w:widowControl w:val="0"/>
        <w:suppressAutoHyphens/>
        <w:jc w:val="both"/>
        <w:rPr>
          <w:b/>
          <w:bCs/>
        </w:rPr>
      </w:pPr>
      <w:r w:rsidRPr="00E862D9">
        <w:rPr>
          <w:b/>
          <w:bCs/>
        </w:rPr>
        <w:t>In the acute contact toxicity test with BAS 700 04 F, the resulting LD</w:t>
      </w:r>
      <w:r w:rsidRPr="00E862D9">
        <w:rPr>
          <w:b/>
          <w:bCs/>
          <w:vertAlign w:val="subscript"/>
        </w:rPr>
        <w:t>50</w:t>
      </w:r>
      <w:r w:rsidRPr="00E862D9">
        <w:rPr>
          <w:b/>
          <w:bCs/>
        </w:rPr>
        <w:t xml:space="preserve"> after 96 hours was estimated to be &gt; 753.3 μg BAS 700 04 F/bumble bee, corresponding to &gt; 200 µg a.s./bumble bee.</w:t>
      </w:r>
    </w:p>
    <w:p w14:paraId="7E7581EF" w14:textId="77777777" w:rsidR="00E51CDD" w:rsidRDefault="00E51CDD" w:rsidP="00E51CDD">
      <w:pPr>
        <w:widowControl w:val="0"/>
        <w:suppressAutoHyphens/>
        <w:jc w:val="both"/>
        <w:rPr>
          <w:b/>
          <w:bCs/>
        </w:rPr>
      </w:pPr>
    </w:p>
    <w:p w14:paraId="7D06BAC3" w14:textId="77777777" w:rsidR="00E51CDD" w:rsidRPr="00E862D9" w:rsidRDefault="00E51CDD" w:rsidP="00E51CDD">
      <w:pPr>
        <w:widowControl w:val="0"/>
        <w:suppressAutoHyphens/>
        <w:jc w:val="both"/>
      </w:pPr>
      <w:r>
        <w:br w:type="page"/>
      </w:r>
    </w:p>
    <w:p w14:paraId="0637BE4F" w14:textId="77777777" w:rsidR="00E51CDD" w:rsidRPr="00E862D9" w:rsidRDefault="00E51CDD" w:rsidP="00E51CDD">
      <w:pPr>
        <w:widowControl w:val="0"/>
        <w:tabs>
          <w:tab w:val="left" w:pos="425"/>
          <w:tab w:val="left" w:pos="850"/>
        </w:tabs>
        <w:ind w:left="2835" w:hanging="2835"/>
        <w:jc w:val="both"/>
        <w:rPr>
          <w:b/>
        </w:rPr>
      </w:pPr>
      <w:r w:rsidRPr="00E862D9">
        <w:rPr>
          <w:b/>
        </w:rPr>
        <w:lastRenderedPageBreak/>
        <w:t>I.</w:t>
      </w:r>
      <w:r w:rsidRPr="00E862D9">
        <w:rPr>
          <w:b/>
        </w:rPr>
        <w:tab/>
        <w:t>MATERIALS AND METHODS</w:t>
      </w:r>
    </w:p>
    <w:p w14:paraId="238C8CBB" w14:textId="77777777" w:rsidR="00E51CDD" w:rsidRPr="00E862D9" w:rsidRDefault="00E51CDD" w:rsidP="00E51CDD">
      <w:pPr>
        <w:widowControl w:val="0"/>
        <w:jc w:val="both"/>
        <w:rPr>
          <w:sz w:val="24"/>
        </w:rPr>
      </w:pPr>
    </w:p>
    <w:p w14:paraId="61FFA5F7" w14:textId="77777777" w:rsidR="00E51CDD" w:rsidRPr="00E862D9" w:rsidRDefault="00E51CDD" w:rsidP="00E51CDD">
      <w:pPr>
        <w:tabs>
          <w:tab w:val="left" w:pos="425"/>
          <w:tab w:val="left" w:pos="850"/>
        </w:tabs>
        <w:ind w:left="2835" w:hanging="2835"/>
        <w:jc w:val="both"/>
        <w:rPr>
          <w:b/>
          <w:bCs/>
        </w:rPr>
      </w:pPr>
      <w:r w:rsidRPr="00E862D9">
        <w:rPr>
          <w:b/>
          <w:bCs/>
        </w:rPr>
        <w:t>A.</w:t>
      </w:r>
      <w:r w:rsidRPr="00E862D9">
        <w:rPr>
          <w:b/>
          <w:bCs/>
        </w:rPr>
        <w:tab/>
        <w:t>MATERIALS</w:t>
      </w:r>
    </w:p>
    <w:p w14:paraId="278EF23D" w14:textId="77777777" w:rsidR="00E51CDD" w:rsidRPr="00E862D9" w:rsidRDefault="00E51CDD" w:rsidP="00E51CDD">
      <w:pPr>
        <w:widowControl w:val="0"/>
        <w:suppressAutoHyphens/>
        <w:ind w:left="2041" w:hanging="2041"/>
        <w:jc w:val="both"/>
        <w:rPr>
          <w:sz w:val="24"/>
          <w:szCs w:val="24"/>
          <w:lang w:eastAsia="en-US"/>
        </w:rPr>
      </w:pPr>
    </w:p>
    <w:p w14:paraId="31EFCB27" w14:textId="77777777" w:rsidR="00E51CDD" w:rsidRPr="00E862D9" w:rsidRDefault="00E51CDD" w:rsidP="00E51CDD">
      <w:pPr>
        <w:widowControl w:val="0"/>
        <w:suppressAutoHyphens/>
        <w:ind w:left="2041" w:hanging="2041"/>
        <w:jc w:val="both"/>
        <w:rPr>
          <w:bCs/>
          <w:lang w:eastAsia="en-US"/>
        </w:rPr>
      </w:pPr>
      <w:r w:rsidRPr="00E862D9">
        <w:rPr>
          <w:lang w:eastAsia="en-US"/>
        </w:rPr>
        <w:t>Test item:</w:t>
      </w:r>
      <w:r w:rsidRPr="00E862D9">
        <w:rPr>
          <w:lang w:eastAsia="en-US"/>
        </w:rPr>
        <w:tab/>
      </w:r>
      <w:r w:rsidRPr="00E862D9">
        <w:rPr>
          <w:szCs w:val="24"/>
          <w:lang w:val="en-GB" w:eastAsia="en-US"/>
        </w:rPr>
        <w:t>BAS 700 04 F, batch No. 2122S02XS; content of a.s.: fluxapyroxad (BAS 700 F, Reg. No. 5 094 351): 27.7% (nominal 300 g/L); density: 1.130 g/cm</w:t>
      </w:r>
      <w:r w:rsidRPr="00E862D9">
        <w:rPr>
          <w:szCs w:val="24"/>
          <w:vertAlign w:val="superscript"/>
          <w:lang w:val="en-GB" w:eastAsia="en-US"/>
        </w:rPr>
        <w:t>3</w:t>
      </w:r>
      <w:r w:rsidRPr="00E862D9">
        <w:rPr>
          <w:szCs w:val="24"/>
          <w:lang w:val="en-GB" w:eastAsia="en-US"/>
        </w:rPr>
        <w:t>.</w:t>
      </w:r>
    </w:p>
    <w:p w14:paraId="57516B76" w14:textId="77777777" w:rsidR="00E51CDD" w:rsidRPr="00E862D9" w:rsidRDefault="00E51CDD" w:rsidP="00E51CDD">
      <w:pPr>
        <w:widowControl w:val="0"/>
        <w:suppressAutoHyphens/>
        <w:ind w:left="2041" w:hanging="2041"/>
        <w:jc w:val="both"/>
        <w:rPr>
          <w:sz w:val="24"/>
          <w:szCs w:val="24"/>
          <w:lang w:eastAsia="en-US"/>
        </w:rPr>
      </w:pPr>
    </w:p>
    <w:p w14:paraId="699474F7" w14:textId="77777777" w:rsidR="00E51CDD" w:rsidRPr="00E862D9" w:rsidRDefault="00E51CDD" w:rsidP="00E51CDD">
      <w:pPr>
        <w:keepLines/>
        <w:tabs>
          <w:tab w:val="left" w:pos="425"/>
          <w:tab w:val="left" w:pos="850"/>
        </w:tabs>
        <w:suppressAutoHyphens/>
        <w:ind w:left="2268" w:hanging="2268"/>
        <w:jc w:val="both"/>
        <w:rPr>
          <w:b/>
          <w:bCs/>
          <w:lang w:eastAsia="zh-CN"/>
        </w:rPr>
      </w:pPr>
      <w:r w:rsidRPr="00E862D9">
        <w:rPr>
          <w:b/>
          <w:bCs/>
          <w:lang w:eastAsia="zh-CN"/>
        </w:rPr>
        <w:t>B.</w:t>
      </w:r>
      <w:r w:rsidRPr="00E862D9">
        <w:rPr>
          <w:b/>
          <w:bCs/>
          <w:lang w:eastAsia="zh-CN"/>
        </w:rPr>
        <w:tab/>
        <w:t>STUDY DESIGN</w:t>
      </w:r>
    </w:p>
    <w:p w14:paraId="7F582588" w14:textId="77777777" w:rsidR="00E51CDD" w:rsidRPr="00E862D9" w:rsidRDefault="00E51CDD" w:rsidP="00E51CDD">
      <w:pPr>
        <w:widowControl w:val="0"/>
        <w:suppressAutoHyphens/>
      </w:pPr>
    </w:p>
    <w:p w14:paraId="73A4D1A2" w14:textId="77777777" w:rsidR="00E51CDD" w:rsidRPr="00E862D9" w:rsidRDefault="00E51CDD" w:rsidP="00E51CDD">
      <w:pPr>
        <w:widowControl w:val="0"/>
        <w:suppressAutoHyphens/>
        <w:ind w:left="2041" w:hanging="2041"/>
        <w:jc w:val="both"/>
        <w:rPr>
          <w:lang w:eastAsia="en-US"/>
        </w:rPr>
      </w:pPr>
      <w:r w:rsidRPr="00E862D9">
        <w:rPr>
          <w:lang w:eastAsia="en-US"/>
        </w:rPr>
        <w:t>Test species:</w:t>
      </w:r>
      <w:r w:rsidRPr="00E862D9">
        <w:rPr>
          <w:lang w:eastAsia="en-US"/>
        </w:rPr>
        <w:tab/>
      </w:r>
      <w:r w:rsidRPr="00E862D9">
        <w:rPr>
          <w:i/>
          <w:iCs/>
          <w:lang w:eastAsia="en-US"/>
        </w:rPr>
        <w:t>Bombus terrestris</w:t>
      </w:r>
      <w:r w:rsidRPr="00E862D9">
        <w:rPr>
          <w:lang w:eastAsia="en-US"/>
        </w:rPr>
        <w:t xml:space="preserve"> L. (bumble bee), young adult worker bumble bees derived from healthy and queen-right hives; source: Koppert, P.O. Box 155, 2650 AD Berkel en Rodenrijs, The Netherlands; collected one day before use.</w:t>
      </w:r>
    </w:p>
    <w:p w14:paraId="150B1E2E" w14:textId="77777777" w:rsidR="00E51CDD" w:rsidRPr="00E862D9" w:rsidRDefault="00E51CDD" w:rsidP="00E51CDD">
      <w:pPr>
        <w:widowControl w:val="0"/>
        <w:suppressAutoHyphens/>
        <w:ind w:left="2041" w:hanging="2041"/>
        <w:jc w:val="both"/>
        <w:rPr>
          <w:lang w:eastAsia="en-US"/>
        </w:rPr>
      </w:pPr>
    </w:p>
    <w:p w14:paraId="66917498" w14:textId="77777777" w:rsidR="00E51CDD" w:rsidRPr="00E862D9" w:rsidRDefault="00E51CDD" w:rsidP="00E51CDD">
      <w:pPr>
        <w:widowControl w:val="0"/>
        <w:suppressAutoHyphens/>
        <w:ind w:left="2041" w:hanging="2041"/>
        <w:jc w:val="both"/>
        <w:rPr>
          <w:lang w:eastAsia="en-US"/>
        </w:rPr>
      </w:pPr>
      <w:r w:rsidRPr="00E862D9">
        <w:rPr>
          <w:lang w:eastAsia="en-US"/>
        </w:rPr>
        <w:t>Test design:</w:t>
      </w:r>
      <w:r w:rsidRPr="00E862D9">
        <w:rPr>
          <w:lang w:eastAsia="en-US"/>
        </w:rPr>
        <w:tab/>
        <w:t xml:space="preserve">In a 96 hour test, adults of </w:t>
      </w:r>
      <w:r w:rsidRPr="00E862D9">
        <w:rPr>
          <w:i/>
          <w:lang w:eastAsia="en-US"/>
        </w:rPr>
        <w:t>Bombus terrestris</w:t>
      </w:r>
      <w:r w:rsidRPr="00E862D9">
        <w:rPr>
          <w:lang w:eastAsia="en-US"/>
        </w:rPr>
        <w:t xml:space="preserve"> were exposed to 5 dose rates of BAS 700 04 F placed on the dorsal bumble bee thorax. In total, 7 treatment groups were set up: 5 dose rate of the test item, 1 control group and 1 dose rate of the reference item with 3 per treatment and 10 bumble bee per replicate. Assessments of bumble bee mortality and behavioral effects were done after 4, 24, 48, 72 and 96 hours.</w:t>
      </w:r>
    </w:p>
    <w:p w14:paraId="7532D9A9" w14:textId="77777777" w:rsidR="00E51CDD" w:rsidRPr="00E862D9" w:rsidRDefault="00E51CDD" w:rsidP="00E51CDD">
      <w:pPr>
        <w:widowControl w:val="0"/>
        <w:suppressAutoHyphens/>
        <w:ind w:left="2041" w:hanging="2041"/>
        <w:jc w:val="both"/>
        <w:rPr>
          <w:lang w:eastAsia="en-US"/>
        </w:rPr>
      </w:pPr>
    </w:p>
    <w:p w14:paraId="3AD51E8F" w14:textId="77777777" w:rsidR="00E51CDD" w:rsidRPr="00E862D9" w:rsidRDefault="00E51CDD" w:rsidP="00E51CDD">
      <w:pPr>
        <w:widowControl w:val="0"/>
        <w:suppressAutoHyphens/>
        <w:ind w:left="2041" w:hanging="2041"/>
        <w:jc w:val="both"/>
        <w:rPr>
          <w:lang w:eastAsia="en-US"/>
        </w:rPr>
      </w:pPr>
      <w:r w:rsidRPr="00E862D9">
        <w:rPr>
          <w:lang w:eastAsia="en-US"/>
        </w:rPr>
        <w:t>Endpoints:</w:t>
      </w:r>
      <w:r w:rsidRPr="00E862D9">
        <w:rPr>
          <w:lang w:eastAsia="en-US"/>
        </w:rPr>
        <w:tab/>
        <w:t>Mortality, behavioral impairments.</w:t>
      </w:r>
    </w:p>
    <w:p w14:paraId="1D0218A9" w14:textId="77777777" w:rsidR="00E51CDD" w:rsidRPr="00E862D9" w:rsidRDefault="00E51CDD" w:rsidP="00E51CDD">
      <w:pPr>
        <w:widowControl w:val="0"/>
        <w:suppressAutoHyphens/>
        <w:ind w:left="2041" w:hanging="2041"/>
        <w:jc w:val="both"/>
        <w:rPr>
          <w:lang w:eastAsia="en-US"/>
        </w:rPr>
      </w:pPr>
    </w:p>
    <w:p w14:paraId="7478D486" w14:textId="77777777" w:rsidR="00E51CDD" w:rsidRPr="00E862D9" w:rsidRDefault="00E51CDD" w:rsidP="00E51CDD">
      <w:pPr>
        <w:widowControl w:val="0"/>
        <w:suppressAutoHyphens/>
        <w:ind w:left="2041" w:hanging="2041"/>
        <w:jc w:val="both"/>
        <w:rPr>
          <w:lang w:eastAsia="en-US"/>
        </w:rPr>
      </w:pPr>
      <w:r w:rsidRPr="00E862D9">
        <w:rPr>
          <w:lang w:eastAsia="en-US"/>
        </w:rPr>
        <w:t>Reference item:</w:t>
      </w:r>
      <w:r w:rsidRPr="00E862D9">
        <w:rPr>
          <w:lang w:eastAsia="en-US"/>
        </w:rPr>
        <w:tab/>
        <w:t>BAS 152 11 I (dimethoate, 400.9 g/L analyzed).</w:t>
      </w:r>
    </w:p>
    <w:p w14:paraId="5A7DFD4F" w14:textId="77777777" w:rsidR="00E51CDD" w:rsidRPr="00E862D9" w:rsidRDefault="00E51CDD" w:rsidP="00E51CDD">
      <w:pPr>
        <w:widowControl w:val="0"/>
        <w:suppressAutoHyphens/>
        <w:ind w:left="2041" w:hanging="2041"/>
        <w:jc w:val="both"/>
        <w:rPr>
          <w:lang w:eastAsia="en-US"/>
        </w:rPr>
      </w:pPr>
    </w:p>
    <w:p w14:paraId="2E6B9771" w14:textId="77777777" w:rsidR="00E51CDD" w:rsidRPr="00E862D9" w:rsidRDefault="00E51CDD" w:rsidP="00E51CDD">
      <w:pPr>
        <w:widowControl w:val="0"/>
        <w:suppressAutoHyphens/>
        <w:ind w:left="2041" w:hanging="2041"/>
        <w:jc w:val="both"/>
        <w:rPr>
          <w:lang w:eastAsia="en-US"/>
        </w:rPr>
      </w:pPr>
      <w:r w:rsidRPr="00E862D9">
        <w:rPr>
          <w:lang w:eastAsia="en-US"/>
        </w:rPr>
        <w:t>Test doses:</w:t>
      </w:r>
      <w:r w:rsidRPr="00E862D9">
        <w:rPr>
          <w:lang w:eastAsia="en-US"/>
        </w:rPr>
        <w:tab/>
        <w:t>Control: tap water,</w:t>
      </w:r>
    </w:p>
    <w:p w14:paraId="709D986C" w14:textId="77777777" w:rsidR="00E51CDD" w:rsidRPr="00E862D9" w:rsidRDefault="00E51CDD" w:rsidP="00E51CDD">
      <w:pPr>
        <w:widowControl w:val="0"/>
        <w:suppressAutoHyphens/>
        <w:ind w:left="2041"/>
        <w:jc w:val="both"/>
        <w:rPr>
          <w:lang w:eastAsia="en-US"/>
        </w:rPr>
      </w:pPr>
      <w:r w:rsidRPr="00E862D9">
        <w:rPr>
          <w:lang w:eastAsia="en-US"/>
        </w:rPr>
        <w:t xml:space="preserve">BAS 500 F: </w:t>
      </w:r>
    </w:p>
    <w:tbl>
      <w:tblPr>
        <w:tblStyle w:val="Tabela-Siatka"/>
        <w:tblW w:w="0" w:type="auto"/>
        <w:tblInd w:w="2041" w:type="dxa"/>
        <w:tblLook w:val="04A0" w:firstRow="1" w:lastRow="0" w:firstColumn="1" w:lastColumn="0" w:noHBand="0" w:noVBand="1"/>
      </w:tblPr>
      <w:tblGrid>
        <w:gridCol w:w="3483"/>
        <w:gridCol w:w="3820"/>
      </w:tblGrid>
      <w:tr w:rsidR="00E51CDD" w:rsidRPr="002262EA" w14:paraId="7D9E7FE6" w14:textId="77777777" w:rsidTr="009938D9">
        <w:tc>
          <w:tcPr>
            <w:tcW w:w="3611" w:type="dxa"/>
            <w:tcBorders>
              <w:top w:val="single" w:sz="4" w:space="0" w:color="auto"/>
              <w:left w:val="single" w:sz="4" w:space="0" w:color="auto"/>
              <w:bottom w:val="single" w:sz="4" w:space="0" w:color="auto"/>
              <w:right w:val="single" w:sz="4" w:space="0" w:color="auto"/>
            </w:tcBorders>
            <w:vAlign w:val="center"/>
            <w:hideMark/>
          </w:tcPr>
          <w:p w14:paraId="68ED6749" w14:textId="77777777" w:rsidR="00E51CDD" w:rsidRPr="00E862D9" w:rsidRDefault="00E51CDD" w:rsidP="009938D9">
            <w:pPr>
              <w:widowControl w:val="0"/>
              <w:suppressAutoHyphens/>
              <w:rPr>
                <w:sz w:val="20"/>
                <w:lang w:eastAsia="en-US"/>
              </w:rPr>
            </w:pPr>
            <w:r w:rsidRPr="00E862D9">
              <w:rPr>
                <w:sz w:val="20"/>
                <w:lang w:eastAsia="en-US"/>
              </w:rPr>
              <w:t>Nominal doses</w:t>
            </w:r>
            <w:r w:rsidRPr="00E862D9">
              <w:rPr>
                <w:sz w:val="20"/>
                <w:lang w:eastAsia="en-US"/>
              </w:rPr>
              <w:br/>
              <w:t>[µg a.s./bumble bee]</w:t>
            </w:r>
          </w:p>
        </w:tc>
        <w:tc>
          <w:tcPr>
            <w:tcW w:w="3918" w:type="dxa"/>
            <w:tcBorders>
              <w:top w:val="single" w:sz="4" w:space="0" w:color="auto"/>
              <w:left w:val="single" w:sz="4" w:space="0" w:color="auto"/>
              <w:bottom w:val="single" w:sz="4" w:space="0" w:color="auto"/>
              <w:right w:val="single" w:sz="4" w:space="0" w:color="auto"/>
            </w:tcBorders>
            <w:vAlign w:val="center"/>
            <w:hideMark/>
          </w:tcPr>
          <w:p w14:paraId="76A045B1" w14:textId="77777777" w:rsidR="00E51CDD" w:rsidRPr="002262EA" w:rsidRDefault="00E51CDD" w:rsidP="009938D9">
            <w:pPr>
              <w:widowControl w:val="0"/>
              <w:suppressAutoHyphens/>
              <w:rPr>
                <w:sz w:val="20"/>
                <w:vertAlign w:val="superscript"/>
                <w:lang w:val="fr-BE" w:eastAsia="en-US"/>
              </w:rPr>
            </w:pPr>
            <w:r w:rsidRPr="002262EA">
              <w:rPr>
                <w:sz w:val="20"/>
                <w:lang w:val="fr-BE" w:eastAsia="en-US"/>
              </w:rPr>
              <w:t>Nominal doses</w:t>
            </w:r>
            <w:r w:rsidRPr="002262EA">
              <w:rPr>
                <w:sz w:val="20"/>
                <w:lang w:val="fr-BE" w:eastAsia="en-US"/>
              </w:rPr>
              <w:br/>
              <w:t xml:space="preserve">[µg BAS 700 04 F/bumble bee] </w:t>
            </w:r>
            <w:r w:rsidRPr="002262EA">
              <w:rPr>
                <w:sz w:val="20"/>
                <w:vertAlign w:val="superscript"/>
                <w:lang w:val="fr-BE" w:eastAsia="en-US"/>
              </w:rPr>
              <w:t>*</w:t>
            </w:r>
          </w:p>
        </w:tc>
      </w:tr>
      <w:tr w:rsidR="00E51CDD" w:rsidRPr="00E862D9" w14:paraId="0D12291F" w14:textId="77777777" w:rsidTr="009938D9">
        <w:tc>
          <w:tcPr>
            <w:tcW w:w="3611" w:type="dxa"/>
            <w:tcBorders>
              <w:top w:val="single" w:sz="4" w:space="0" w:color="auto"/>
              <w:left w:val="single" w:sz="4" w:space="0" w:color="auto"/>
              <w:bottom w:val="single" w:sz="4" w:space="0" w:color="auto"/>
              <w:right w:val="single" w:sz="4" w:space="0" w:color="auto"/>
            </w:tcBorders>
            <w:vAlign w:val="center"/>
            <w:hideMark/>
          </w:tcPr>
          <w:p w14:paraId="449D8A46" w14:textId="77777777" w:rsidR="00E51CDD" w:rsidRPr="00E862D9" w:rsidRDefault="00E51CDD" w:rsidP="009938D9">
            <w:pPr>
              <w:widowControl w:val="0"/>
              <w:suppressAutoHyphens/>
              <w:rPr>
                <w:sz w:val="20"/>
                <w:lang w:eastAsia="en-US"/>
              </w:rPr>
            </w:pPr>
            <w:r w:rsidRPr="00E862D9">
              <w:rPr>
                <w:sz w:val="20"/>
                <w:lang w:eastAsia="en-US"/>
              </w:rPr>
              <w:t>52.1</w:t>
            </w:r>
          </w:p>
        </w:tc>
        <w:tc>
          <w:tcPr>
            <w:tcW w:w="3918" w:type="dxa"/>
            <w:tcBorders>
              <w:top w:val="single" w:sz="4" w:space="0" w:color="auto"/>
              <w:left w:val="single" w:sz="4" w:space="0" w:color="auto"/>
              <w:bottom w:val="single" w:sz="4" w:space="0" w:color="auto"/>
              <w:right w:val="single" w:sz="4" w:space="0" w:color="auto"/>
            </w:tcBorders>
            <w:vAlign w:val="center"/>
            <w:hideMark/>
          </w:tcPr>
          <w:p w14:paraId="6ACE72AC" w14:textId="77777777" w:rsidR="00E51CDD" w:rsidRPr="00E862D9" w:rsidRDefault="00E51CDD" w:rsidP="009938D9">
            <w:pPr>
              <w:widowControl w:val="0"/>
              <w:suppressAutoHyphens/>
              <w:rPr>
                <w:sz w:val="20"/>
                <w:lang w:eastAsia="en-US"/>
              </w:rPr>
            </w:pPr>
            <w:r w:rsidRPr="00E862D9">
              <w:rPr>
                <w:sz w:val="20"/>
                <w:lang w:eastAsia="en-US"/>
              </w:rPr>
              <w:t>196.2</w:t>
            </w:r>
          </w:p>
        </w:tc>
      </w:tr>
      <w:tr w:rsidR="00E51CDD" w:rsidRPr="00E862D9" w14:paraId="3E12DE57" w14:textId="77777777" w:rsidTr="009938D9">
        <w:tc>
          <w:tcPr>
            <w:tcW w:w="3611" w:type="dxa"/>
            <w:tcBorders>
              <w:top w:val="single" w:sz="4" w:space="0" w:color="auto"/>
              <w:left w:val="single" w:sz="4" w:space="0" w:color="auto"/>
              <w:bottom w:val="single" w:sz="4" w:space="0" w:color="auto"/>
              <w:right w:val="single" w:sz="4" w:space="0" w:color="auto"/>
            </w:tcBorders>
            <w:vAlign w:val="center"/>
            <w:hideMark/>
          </w:tcPr>
          <w:p w14:paraId="0CC04ED3" w14:textId="77777777" w:rsidR="00E51CDD" w:rsidRPr="00E862D9" w:rsidRDefault="00E51CDD" w:rsidP="009938D9">
            <w:pPr>
              <w:widowControl w:val="0"/>
              <w:suppressAutoHyphens/>
              <w:rPr>
                <w:sz w:val="20"/>
                <w:lang w:eastAsia="en-US"/>
              </w:rPr>
            </w:pPr>
            <w:r w:rsidRPr="00E862D9">
              <w:rPr>
                <w:sz w:val="20"/>
                <w:lang w:eastAsia="en-US"/>
              </w:rPr>
              <w:t>72.9</w:t>
            </w:r>
          </w:p>
        </w:tc>
        <w:tc>
          <w:tcPr>
            <w:tcW w:w="3918" w:type="dxa"/>
            <w:tcBorders>
              <w:top w:val="single" w:sz="4" w:space="0" w:color="auto"/>
              <w:left w:val="single" w:sz="4" w:space="0" w:color="auto"/>
              <w:bottom w:val="single" w:sz="4" w:space="0" w:color="auto"/>
              <w:right w:val="single" w:sz="4" w:space="0" w:color="auto"/>
            </w:tcBorders>
            <w:vAlign w:val="center"/>
            <w:hideMark/>
          </w:tcPr>
          <w:p w14:paraId="489CAFD8" w14:textId="77777777" w:rsidR="00E51CDD" w:rsidRPr="00E862D9" w:rsidRDefault="00E51CDD" w:rsidP="009938D9">
            <w:pPr>
              <w:widowControl w:val="0"/>
              <w:suppressAutoHyphens/>
              <w:rPr>
                <w:sz w:val="20"/>
                <w:lang w:eastAsia="en-US"/>
              </w:rPr>
            </w:pPr>
            <w:r w:rsidRPr="00E862D9">
              <w:rPr>
                <w:sz w:val="20"/>
                <w:lang w:eastAsia="en-US"/>
              </w:rPr>
              <w:t>274.6</w:t>
            </w:r>
          </w:p>
        </w:tc>
      </w:tr>
      <w:tr w:rsidR="00E51CDD" w:rsidRPr="00E862D9" w14:paraId="47357FB8" w14:textId="77777777" w:rsidTr="009938D9">
        <w:tc>
          <w:tcPr>
            <w:tcW w:w="3611" w:type="dxa"/>
            <w:tcBorders>
              <w:top w:val="single" w:sz="4" w:space="0" w:color="auto"/>
              <w:left w:val="single" w:sz="4" w:space="0" w:color="auto"/>
              <w:bottom w:val="single" w:sz="4" w:space="0" w:color="auto"/>
              <w:right w:val="single" w:sz="4" w:space="0" w:color="auto"/>
            </w:tcBorders>
            <w:vAlign w:val="center"/>
            <w:hideMark/>
          </w:tcPr>
          <w:p w14:paraId="74E88685" w14:textId="77777777" w:rsidR="00E51CDD" w:rsidRPr="00E862D9" w:rsidRDefault="00E51CDD" w:rsidP="009938D9">
            <w:pPr>
              <w:widowControl w:val="0"/>
              <w:suppressAutoHyphens/>
              <w:rPr>
                <w:sz w:val="20"/>
                <w:lang w:eastAsia="en-US"/>
              </w:rPr>
            </w:pPr>
            <w:r w:rsidRPr="00E862D9">
              <w:rPr>
                <w:sz w:val="20"/>
                <w:lang w:eastAsia="en-US"/>
              </w:rPr>
              <w:t>102.0</w:t>
            </w:r>
          </w:p>
        </w:tc>
        <w:tc>
          <w:tcPr>
            <w:tcW w:w="3918" w:type="dxa"/>
            <w:tcBorders>
              <w:top w:val="single" w:sz="4" w:space="0" w:color="auto"/>
              <w:left w:val="single" w:sz="4" w:space="0" w:color="auto"/>
              <w:bottom w:val="single" w:sz="4" w:space="0" w:color="auto"/>
              <w:right w:val="single" w:sz="4" w:space="0" w:color="auto"/>
            </w:tcBorders>
            <w:vAlign w:val="center"/>
            <w:hideMark/>
          </w:tcPr>
          <w:p w14:paraId="177D9122" w14:textId="77777777" w:rsidR="00E51CDD" w:rsidRPr="00E862D9" w:rsidRDefault="00E51CDD" w:rsidP="009938D9">
            <w:pPr>
              <w:widowControl w:val="0"/>
              <w:suppressAutoHyphens/>
              <w:rPr>
                <w:sz w:val="20"/>
                <w:lang w:eastAsia="en-US"/>
              </w:rPr>
            </w:pPr>
            <w:r w:rsidRPr="00E862D9">
              <w:rPr>
                <w:sz w:val="20"/>
                <w:lang w:eastAsia="en-US"/>
              </w:rPr>
              <w:t>384.2</w:t>
            </w:r>
          </w:p>
        </w:tc>
      </w:tr>
      <w:tr w:rsidR="00E51CDD" w:rsidRPr="00E862D9" w14:paraId="36C70A65" w14:textId="77777777" w:rsidTr="009938D9">
        <w:tc>
          <w:tcPr>
            <w:tcW w:w="3611" w:type="dxa"/>
            <w:tcBorders>
              <w:top w:val="single" w:sz="4" w:space="0" w:color="auto"/>
              <w:left w:val="single" w:sz="4" w:space="0" w:color="auto"/>
              <w:bottom w:val="single" w:sz="4" w:space="0" w:color="auto"/>
              <w:right w:val="single" w:sz="4" w:space="0" w:color="auto"/>
            </w:tcBorders>
            <w:vAlign w:val="center"/>
            <w:hideMark/>
          </w:tcPr>
          <w:p w14:paraId="6A71A2CA" w14:textId="77777777" w:rsidR="00E51CDD" w:rsidRPr="00E862D9" w:rsidRDefault="00E51CDD" w:rsidP="009938D9">
            <w:pPr>
              <w:widowControl w:val="0"/>
              <w:suppressAutoHyphens/>
              <w:rPr>
                <w:sz w:val="20"/>
                <w:lang w:eastAsia="en-US"/>
              </w:rPr>
            </w:pPr>
            <w:r w:rsidRPr="00E862D9">
              <w:rPr>
                <w:sz w:val="20"/>
                <w:lang w:eastAsia="en-US"/>
              </w:rPr>
              <w:t>142.9</w:t>
            </w:r>
          </w:p>
        </w:tc>
        <w:tc>
          <w:tcPr>
            <w:tcW w:w="3918" w:type="dxa"/>
            <w:tcBorders>
              <w:top w:val="single" w:sz="4" w:space="0" w:color="auto"/>
              <w:left w:val="single" w:sz="4" w:space="0" w:color="auto"/>
              <w:bottom w:val="single" w:sz="4" w:space="0" w:color="auto"/>
              <w:right w:val="single" w:sz="4" w:space="0" w:color="auto"/>
            </w:tcBorders>
            <w:vAlign w:val="center"/>
            <w:hideMark/>
          </w:tcPr>
          <w:p w14:paraId="247EFD45" w14:textId="77777777" w:rsidR="00E51CDD" w:rsidRPr="00E862D9" w:rsidRDefault="00E51CDD" w:rsidP="009938D9">
            <w:pPr>
              <w:widowControl w:val="0"/>
              <w:suppressAutoHyphens/>
              <w:rPr>
                <w:sz w:val="20"/>
                <w:lang w:eastAsia="en-US"/>
              </w:rPr>
            </w:pPr>
            <w:r w:rsidRPr="00E862D9">
              <w:rPr>
                <w:sz w:val="20"/>
                <w:lang w:eastAsia="en-US"/>
              </w:rPr>
              <w:t>538.3</w:t>
            </w:r>
          </w:p>
        </w:tc>
      </w:tr>
      <w:tr w:rsidR="00E51CDD" w:rsidRPr="00E862D9" w14:paraId="03D1232A" w14:textId="77777777" w:rsidTr="009938D9">
        <w:tc>
          <w:tcPr>
            <w:tcW w:w="3611" w:type="dxa"/>
            <w:tcBorders>
              <w:top w:val="single" w:sz="4" w:space="0" w:color="auto"/>
              <w:left w:val="single" w:sz="4" w:space="0" w:color="auto"/>
              <w:bottom w:val="single" w:sz="4" w:space="0" w:color="auto"/>
              <w:right w:val="single" w:sz="4" w:space="0" w:color="auto"/>
            </w:tcBorders>
            <w:vAlign w:val="center"/>
            <w:hideMark/>
          </w:tcPr>
          <w:p w14:paraId="0CE6A5BA" w14:textId="77777777" w:rsidR="00E51CDD" w:rsidRPr="00E862D9" w:rsidRDefault="00E51CDD" w:rsidP="009938D9">
            <w:pPr>
              <w:widowControl w:val="0"/>
              <w:suppressAutoHyphens/>
              <w:rPr>
                <w:sz w:val="20"/>
                <w:lang w:eastAsia="en-US"/>
              </w:rPr>
            </w:pPr>
            <w:r w:rsidRPr="00E862D9">
              <w:rPr>
                <w:sz w:val="20"/>
                <w:lang w:eastAsia="en-US"/>
              </w:rPr>
              <w:t>200.0</w:t>
            </w:r>
          </w:p>
        </w:tc>
        <w:tc>
          <w:tcPr>
            <w:tcW w:w="3918" w:type="dxa"/>
            <w:tcBorders>
              <w:top w:val="single" w:sz="4" w:space="0" w:color="auto"/>
              <w:left w:val="single" w:sz="4" w:space="0" w:color="auto"/>
              <w:bottom w:val="single" w:sz="4" w:space="0" w:color="auto"/>
              <w:right w:val="single" w:sz="4" w:space="0" w:color="auto"/>
            </w:tcBorders>
            <w:vAlign w:val="center"/>
            <w:hideMark/>
          </w:tcPr>
          <w:p w14:paraId="07708CAB" w14:textId="77777777" w:rsidR="00E51CDD" w:rsidRPr="00E862D9" w:rsidRDefault="00E51CDD" w:rsidP="009938D9">
            <w:pPr>
              <w:widowControl w:val="0"/>
              <w:suppressAutoHyphens/>
              <w:rPr>
                <w:sz w:val="20"/>
                <w:lang w:eastAsia="en-US"/>
              </w:rPr>
            </w:pPr>
            <w:r w:rsidRPr="00E862D9">
              <w:rPr>
                <w:sz w:val="20"/>
                <w:lang w:eastAsia="en-US"/>
              </w:rPr>
              <w:t>753.3</w:t>
            </w:r>
          </w:p>
        </w:tc>
      </w:tr>
    </w:tbl>
    <w:p w14:paraId="093EA7BA" w14:textId="77777777" w:rsidR="00E51CDD" w:rsidRPr="00E862D9" w:rsidRDefault="00E51CDD" w:rsidP="00E51CDD">
      <w:pPr>
        <w:widowControl w:val="0"/>
        <w:suppressAutoHyphens/>
        <w:ind w:left="2041"/>
        <w:jc w:val="both"/>
        <w:rPr>
          <w:sz w:val="18"/>
          <w:lang w:eastAsia="en-US"/>
        </w:rPr>
      </w:pPr>
      <w:r w:rsidRPr="00E862D9">
        <w:rPr>
          <w:sz w:val="18"/>
          <w:vertAlign w:val="superscript"/>
          <w:lang w:eastAsia="en-US"/>
        </w:rPr>
        <w:t>*</w:t>
      </w:r>
      <w:r w:rsidRPr="00E862D9">
        <w:rPr>
          <w:sz w:val="18"/>
          <w:lang w:eastAsia="en-US"/>
        </w:rPr>
        <w:tab/>
        <w:t>calculated based on the nominal content of a.s. in BAS 700 04 F and a density of 1.130 g/cm³</w:t>
      </w:r>
    </w:p>
    <w:p w14:paraId="43B53727" w14:textId="77777777" w:rsidR="00E51CDD" w:rsidRPr="00E862D9" w:rsidRDefault="00E51CDD" w:rsidP="00E51CDD">
      <w:pPr>
        <w:widowControl w:val="0"/>
        <w:suppressAutoHyphens/>
        <w:ind w:left="2041"/>
        <w:jc w:val="both"/>
        <w:rPr>
          <w:lang w:eastAsia="en-US"/>
        </w:rPr>
      </w:pPr>
    </w:p>
    <w:p w14:paraId="1A11AFEF" w14:textId="77777777" w:rsidR="00E51CDD" w:rsidRPr="00E862D9" w:rsidRDefault="00E51CDD" w:rsidP="00E51CDD">
      <w:pPr>
        <w:widowControl w:val="0"/>
        <w:suppressAutoHyphens/>
        <w:ind w:left="2041"/>
        <w:jc w:val="both"/>
        <w:rPr>
          <w:lang w:eastAsia="en-US"/>
        </w:rPr>
      </w:pPr>
      <w:r w:rsidRPr="00E862D9">
        <w:rPr>
          <w:lang w:eastAsia="en-US"/>
        </w:rPr>
        <w:t>Reference item: 12 μg dimethoate/bumble bee.</w:t>
      </w:r>
    </w:p>
    <w:p w14:paraId="3397125B" w14:textId="77777777" w:rsidR="00E51CDD" w:rsidRPr="00E862D9" w:rsidRDefault="00E51CDD" w:rsidP="00E51CDD">
      <w:pPr>
        <w:widowControl w:val="0"/>
        <w:suppressAutoHyphens/>
        <w:jc w:val="both"/>
        <w:rPr>
          <w:lang w:eastAsia="en-US"/>
        </w:rPr>
      </w:pPr>
    </w:p>
    <w:p w14:paraId="45A7FF2E" w14:textId="77777777" w:rsidR="00E51CDD" w:rsidRPr="00E862D9" w:rsidRDefault="00E51CDD" w:rsidP="00E51CDD">
      <w:pPr>
        <w:widowControl w:val="0"/>
        <w:suppressAutoHyphens/>
        <w:ind w:left="2041" w:hanging="2041"/>
        <w:jc w:val="both"/>
        <w:rPr>
          <w:lang w:eastAsia="en-US"/>
        </w:rPr>
      </w:pPr>
      <w:r w:rsidRPr="00E862D9">
        <w:rPr>
          <w:lang w:eastAsia="en-US"/>
        </w:rPr>
        <w:t>Test conditions:</w:t>
      </w:r>
      <w:r w:rsidRPr="00E862D9">
        <w:rPr>
          <w:lang w:eastAsia="en-US"/>
        </w:rPr>
        <w:tab/>
        <w:t>Temperature: 23.7°C – 26.1°C, relative humidity: 53.1% – 64.6%, photoperiod: 24 h darkness; food: 50% (w/v) aqueous sucrose solution.</w:t>
      </w:r>
    </w:p>
    <w:p w14:paraId="58F5648C" w14:textId="77777777" w:rsidR="00E51CDD" w:rsidRPr="00E862D9" w:rsidRDefault="00E51CDD" w:rsidP="00E51CDD">
      <w:pPr>
        <w:widowControl w:val="0"/>
        <w:suppressAutoHyphens/>
        <w:ind w:left="2041" w:hanging="2041"/>
        <w:jc w:val="both"/>
        <w:rPr>
          <w:lang w:eastAsia="en-US"/>
        </w:rPr>
      </w:pPr>
    </w:p>
    <w:p w14:paraId="591F2AB8" w14:textId="77777777" w:rsidR="00E51CDD" w:rsidRPr="00E862D9" w:rsidRDefault="00E51CDD" w:rsidP="00E51CDD">
      <w:pPr>
        <w:widowControl w:val="0"/>
        <w:suppressAutoHyphens/>
        <w:ind w:left="2041" w:hanging="2041"/>
        <w:jc w:val="both"/>
        <w:rPr>
          <w:lang w:eastAsia="en-US"/>
        </w:rPr>
      </w:pPr>
      <w:r w:rsidRPr="00E862D9">
        <w:rPr>
          <w:lang w:eastAsia="en-US"/>
        </w:rPr>
        <w:t>Statistics:</w:t>
      </w:r>
      <w:r w:rsidRPr="00E862D9">
        <w:rPr>
          <w:lang w:eastAsia="en-US"/>
        </w:rPr>
        <w:tab/>
        <w:t xml:space="preserve">Descriptive statistics. </w:t>
      </w:r>
    </w:p>
    <w:p w14:paraId="1BB6C936" w14:textId="77777777" w:rsidR="00E51CDD" w:rsidRPr="00E862D9" w:rsidRDefault="00E51CDD" w:rsidP="00E51CDD">
      <w:pPr>
        <w:jc w:val="both"/>
        <w:rPr>
          <w:color w:val="000000"/>
          <w:lang w:eastAsia="en-US"/>
        </w:rPr>
      </w:pPr>
    </w:p>
    <w:p w14:paraId="4E51D377" w14:textId="77777777" w:rsidR="00E51CDD" w:rsidRPr="00E862D9" w:rsidRDefault="00E51CDD" w:rsidP="00E51CDD">
      <w:pPr>
        <w:ind w:left="1985" w:hanging="1985"/>
        <w:jc w:val="both"/>
        <w:rPr>
          <w:color w:val="000000"/>
          <w:lang w:eastAsia="en-US"/>
        </w:rPr>
      </w:pPr>
      <w:r w:rsidRPr="00E862D9">
        <w:rPr>
          <w:color w:val="000000"/>
          <w:lang w:eastAsia="en-US"/>
        </w:rPr>
        <w:t>Analytics:</w:t>
      </w:r>
      <w:r w:rsidRPr="00E862D9">
        <w:rPr>
          <w:color w:val="000000"/>
          <w:lang w:eastAsia="en-US"/>
        </w:rPr>
        <w:tab/>
        <w:t>Not applicable.</w:t>
      </w:r>
    </w:p>
    <w:p w14:paraId="342A5492" w14:textId="77777777" w:rsidR="00E51CDD" w:rsidRPr="00E862D9" w:rsidRDefault="00E51CDD" w:rsidP="00E51CDD">
      <w:pPr>
        <w:suppressAutoHyphens/>
      </w:pPr>
    </w:p>
    <w:p w14:paraId="56FB44CC" w14:textId="77777777" w:rsidR="00E51CDD" w:rsidRPr="00E862D9" w:rsidRDefault="00E51CDD" w:rsidP="00E51CDD">
      <w:pPr>
        <w:widowControl w:val="0"/>
        <w:suppressAutoHyphens/>
      </w:pPr>
      <w:r w:rsidRPr="00E862D9">
        <w:br w:type="page"/>
      </w:r>
    </w:p>
    <w:p w14:paraId="008B2533" w14:textId="77777777" w:rsidR="00E51CDD" w:rsidRPr="00E862D9" w:rsidRDefault="00E51CDD" w:rsidP="00E51CDD">
      <w:pPr>
        <w:tabs>
          <w:tab w:val="left" w:pos="425"/>
        </w:tabs>
        <w:suppressAutoHyphens/>
        <w:ind w:left="2835" w:hanging="2835"/>
        <w:jc w:val="both"/>
        <w:rPr>
          <w:b/>
          <w:bCs/>
          <w:lang w:eastAsia="zh-CN"/>
        </w:rPr>
      </w:pPr>
      <w:r w:rsidRPr="00E862D9">
        <w:rPr>
          <w:b/>
          <w:bCs/>
          <w:lang w:eastAsia="zh-CN"/>
        </w:rPr>
        <w:lastRenderedPageBreak/>
        <w:t>II.</w:t>
      </w:r>
      <w:r w:rsidRPr="00E862D9">
        <w:rPr>
          <w:b/>
          <w:bCs/>
          <w:lang w:eastAsia="zh-CN"/>
        </w:rPr>
        <w:tab/>
        <w:t>RESULTS AND DISCUSSION</w:t>
      </w:r>
    </w:p>
    <w:p w14:paraId="751EB5E5" w14:textId="77777777" w:rsidR="00E51CDD" w:rsidRPr="00E862D9" w:rsidRDefault="00E51CDD" w:rsidP="00E51CDD">
      <w:pPr>
        <w:widowControl w:val="0"/>
        <w:suppressAutoHyphens/>
      </w:pPr>
    </w:p>
    <w:p w14:paraId="3634FE04" w14:textId="77777777" w:rsidR="00E51CDD" w:rsidRPr="00E862D9" w:rsidRDefault="00E51CDD" w:rsidP="00E51CDD">
      <w:pPr>
        <w:widowControl w:val="0"/>
        <w:suppressAutoHyphens/>
        <w:jc w:val="both"/>
        <w:rPr>
          <w:lang w:eastAsia="en-US"/>
        </w:rPr>
      </w:pPr>
      <w:r w:rsidRPr="00E862D9">
        <w:rPr>
          <w:lang w:eastAsia="en-US"/>
        </w:rPr>
        <w:t>After 96 hours of contact exposure, no mortality was observed in the control. After 96 hours of exposure no mortality was observed in the BAS 700 04 F treatment groups. No sub-lethal effects or abnormal behavior were observed during the entire 96-h test period. The results are summarized below.</w:t>
      </w:r>
    </w:p>
    <w:p w14:paraId="2A01AD28" w14:textId="77777777" w:rsidR="00E51CDD" w:rsidRPr="00E862D9" w:rsidRDefault="00E51CDD" w:rsidP="00E51CDD">
      <w:pPr>
        <w:widowControl w:val="0"/>
        <w:suppressAutoHyphens/>
        <w:jc w:val="both"/>
        <w:rPr>
          <w:sz w:val="24"/>
          <w:szCs w:val="24"/>
          <w:lang w:eastAsia="en-US"/>
        </w:rPr>
      </w:pPr>
    </w:p>
    <w:p w14:paraId="1D5C98DF" w14:textId="335E9156" w:rsidR="00E51CDD" w:rsidRPr="004A6EAB" w:rsidRDefault="00E51CDD" w:rsidP="00E51CDD">
      <w:pPr>
        <w:pStyle w:val="Legenda"/>
        <w:rPr>
          <w:sz w:val="22"/>
          <w:szCs w:val="22"/>
        </w:rPr>
      </w:pPr>
      <w:r w:rsidRPr="004A6EAB">
        <w:rPr>
          <w:sz w:val="22"/>
          <w:szCs w:val="22"/>
        </w:rPr>
        <w:t xml:space="preserve">Table A </w:t>
      </w:r>
      <w:r w:rsidRPr="004A6EAB">
        <w:rPr>
          <w:sz w:val="22"/>
          <w:szCs w:val="22"/>
        </w:rPr>
        <w:fldChar w:fldCharType="begin"/>
      </w:r>
      <w:r w:rsidRPr="004A6EAB">
        <w:rPr>
          <w:sz w:val="22"/>
          <w:szCs w:val="22"/>
        </w:rPr>
        <w:instrText xml:space="preserve"> SEQ Table_A \* ARABIC </w:instrText>
      </w:r>
      <w:r w:rsidRPr="004A6EAB">
        <w:rPr>
          <w:sz w:val="22"/>
          <w:szCs w:val="22"/>
        </w:rPr>
        <w:fldChar w:fldCharType="separate"/>
      </w:r>
      <w:r w:rsidR="00662F32">
        <w:rPr>
          <w:noProof/>
          <w:sz w:val="22"/>
          <w:szCs w:val="22"/>
        </w:rPr>
        <w:t>16</w:t>
      </w:r>
      <w:r w:rsidRPr="004A6EAB">
        <w:rPr>
          <w:sz w:val="22"/>
          <w:szCs w:val="22"/>
        </w:rPr>
        <w:fldChar w:fldCharType="end"/>
      </w:r>
      <w:r w:rsidRPr="004A6EAB">
        <w:rPr>
          <w:sz w:val="22"/>
          <w:szCs w:val="22"/>
        </w:rPr>
        <w:t>:</w:t>
      </w:r>
      <w:r w:rsidRPr="004A6EAB">
        <w:rPr>
          <w:sz w:val="22"/>
          <w:szCs w:val="22"/>
        </w:rPr>
        <w:tab/>
        <w:t xml:space="preserve">Toxicity of BAS 700 04 F to </w:t>
      </w:r>
      <w:r w:rsidRPr="004A6EAB">
        <w:rPr>
          <w:i/>
          <w:iCs/>
          <w:sz w:val="22"/>
          <w:szCs w:val="22"/>
        </w:rPr>
        <w:t>Bombus terrestris</w:t>
      </w:r>
      <w:r w:rsidRPr="004A6EAB">
        <w:rPr>
          <w:sz w:val="22"/>
          <w:szCs w:val="22"/>
        </w:rPr>
        <w:t xml:space="preserve"> (bumble bee) in a contact toxicity test</w:t>
      </w:r>
    </w:p>
    <w:tbl>
      <w:tblPr>
        <w:tblStyle w:val="Tabela-Siatka"/>
        <w:tblW w:w="5000" w:type="pct"/>
        <w:jc w:val="center"/>
        <w:tblLook w:val="04A0" w:firstRow="1" w:lastRow="0" w:firstColumn="1" w:lastColumn="0" w:noHBand="0" w:noVBand="1"/>
      </w:tblPr>
      <w:tblGrid>
        <w:gridCol w:w="2591"/>
        <w:gridCol w:w="1661"/>
        <w:gridCol w:w="1659"/>
        <w:gridCol w:w="1661"/>
        <w:gridCol w:w="1772"/>
      </w:tblGrid>
      <w:tr w:rsidR="00E51CDD" w:rsidRPr="00E862D9" w14:paraId="42617827" w14:textId="77777777" w:rsidTr="009938D9">
        <w:trPr>
          <w:trHeight w:val="338"/>
          <w:jc w:val="center"/>
        </w:trPr>
        <w:tc>
          <w:tcPr>
            <w:tcW w:w="1386" w:type="pct"/>
            <w:vMerge w:val="restart"/>
            <w:tcBorders>
              <w:top w:val="single" w:sz="4" w:space="0" w:color="auto"/>
              <w:left w:val="single" w:sz="4" w:space="0" w:color="auto"/>
              <w:bottom w:val="single" w:sz="4" w:space="0" w:color="auto"/>
              <w:right w:val="single" w:sz="4" w:space="0" w:color="auto"/>
            </w:tcBorders>
            <w:vAlign w:val="center"/>
            <w:hideMark/>
          </w:tcPr>
          <w:p w14:paraId="0461657A" w14:textId="77777777" w:rsidR="00E51CDD" w:rsidRPr="00E862D9" w:rsidRDefault="00E51CDD" w:rsidP="009938D9">
            <w:pPr>
              <w:suppressAutoHyphens/>
              <w:rPr>
                <w:b/>
                <w:sz w:val="20"/>
                <w:szCs w:val="20"/>
                <w:lang w:eastAsia="en-US"/>
              </w:rPr>
            </w:pPr>
            <w:r w:rsidRPr="00E862D9">
              <w:rPr>
                <w:b/>
                <w:sz w:val="20"/>
                <w:szCs w:val="20"/>
                <w:lang w:eastAsia="en-US"/>
              </w:rPr>
              <w:t>Treatment</w:t>
            </w:r>
            <w:r w:rsidRPr="00E862D9">
              <w:rPr>
                <w:b/>
                <w:sz w:val="20"/>
                <w:szCs w:val="20"/>
                <w:lang w:eastAsia="en-US"/>
              </w:rPr>
              <w:br/>
              <w:t>[µg a.s./bumble bee]</w:t>
            </w:r>
          </w:p>
        </w:tc>
        <w:tc>
          <w:tcPr>
            <w:tcW w:w="3614" w:type="pct"/>
            <w:gridSpan w:val="4"/>
            <w:tcBorders>
              <w:top w:val="single" w:sz="4" w:space="0" w:color="auto"/>
              <w:left w:val="single" w:sz="4" w:space="0" w:color="auto"/>
              <w:bottom w:val="single" w:sz="4" w:space="0" w:color="auto"/>
              <w:right w:val="single" w:sz="4" w:space="0" w:color="auto"/>
            </w:tcBorders>
            <w:vAlign w:val="center"/>
            <w:hideMark/>
          </w:tcPr>
          <w:p w14:paraId="277EB138" w14:textId="77777777" w:rsidR="00E51CDD" w:rsidRPr="00E862D9" w:rsidRDefault="00E51CDD" w:rsidP="009938D9">
            <w:pPr>
              <w:suppressAutoHyphens/>
              <w:rPr>
                <w:b/>
                <w:sz w:val="20"/>
                <w:szCs w:val="20"/>
                <w:lang w:eastAsia="en-US"/>
              </w:rPr>
            </w:pPr>
            <w:r w:rsidRPr="00E862D9">
              <w:rPr>
                <w:b/>
                <w:sz w:val="20"/>
                <w:szCs w:val="20"/>
                <w:lang w:eastAsia="en-US"/>
              </w:rPr>
              <w:t xml:space="preserve">Mortality </w:t>
            </w:r>
            <w:r w:rsidRPr="00E862D9">
              <w:rPr>
                <w:b/>
                <w:bCs/>
                <w:sz w:val="20"/>
                <w:szCs w:val="20"/>
                <w:lang w:eastAsia="en-US"/>
              </w:rPr>
              <w:t>[%]</w:t>
            </w:r>
          </w:p>
        </w:tc>
      </w:tr>
      <w:tr w:rsidR="00E51CDD" w:rsidRPr="00E862D9" w14:paraId="0D47087A" w14:textId="77777777" w:rsidTr="009938D9">
        <w:trPr>
          <w:trHeight w:val="27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4B3C99" w14:textId="77777777" w:rsidR="00E51CDD" w:rsidRPr="00E862D9" w:rsidRDefault="00E51CDD" w:rsidP="009938D9">
            <w:pPr>
              <w:rPr>
                <w:b/>
                <w:sz w:val="20"/>
                <w:szCs w:val="20"/>
                <w:lang w:eastAsia="en-US"/>
              </w:rPr>
            </w:pPr>
          </w:p>
        </w:tc>
        <w:tc>
          <w:tcPr>
            <w:tcW w:w="889" w:type="pct"/>
            <w:tcBorders>
              <w:top w:val="single" w:sz="4" w:space="0" w:color="auto"/>
              <w:left w:val="single" w:sz="4" w:space="0" w:color="auto"/>
              <w:bottom w:val="single" w:sz="4" w:space="0" w:color="auto"/>
              <w:right w:val="single" w:sz="4" w:space="0" w:color="auto"/>
            </w:tcBorders>
            <w:vAlign w:val="center"/>
            <w:hideMark/>
          </w:tcPr>
          <w:p w14:paraId="5160778C" w14:textId="77777777" w:rsidR="00E51CDD" w:rsidRPr="00E862D9" w:rsidRDefault="00E51CDD" w:rsidP="009938D9">
            <w:pPr>
              <w:suppressAutoHyphens/>
              <w:rPr>
                <w:b/>
                <w:sz w:val="20"/>
                <w:szCs w:val="20"/>
                <w:lang w:eastAsia="en-US"/>
              </w:rPr>
            </w:pPr>
            <w:r w:rsidRPr="00E862D9">
              <w:rPr>
                <w:b/>
                <w:sz w:val="20"/>
                <w:szCs w:val="20"/>
                <w:lang w:eastAsia="en-US"/>
              </w:rPr>
              <w:t>24 h</w:t>
            </w:r>
          </w:p>
        </w:tc>
        <w:tc>
          <w:tcPr>
            <w:tcW w:w="888" w:type="pct"/>
            <w:tcBorders>
              <w:top w:val="single" w:sz="4" w:space="0" w:color="auto"/>
              <w:left w:val="single" w:sz="4" w:space="0" w:color="auto"/>
              <w:bottom w:val="single" w:sz="4" w:space="0" w:color="auto"/>
              <w:right w:val="single" w:sz="4" w:space="0" w:color="auto"/>
            </w:tcBorders>
            <w:vAlign w:val="center"/>
            <w:hideMark/>
          </w:tcPr>
          <w:p w14:paraId="7CD71803" w14:textId="77777777" w:rsidR="00E51CDD" w:rsidRPr="00E862D9" w:rsidRDefault="00E51CDD" w:rsidP="009938D9">
            <w:pPr>
              <w:suppressAutoHyphens/>
              <w:rPr>
                <w:b/>
                <w:sz w:val="20"/>
                <w:szCs w:val="20"/>
                <w:lang w:eastAsia="en-US"/>
              </w:rPr>
            </w:pPr>
            <w:r w:rsidRPr="00E862D9">
              <w:rPr>
                <w:b/>
                <w:sz w:val="20"/>
                <w:szCs w:val="20"/>
                <w:lang w:eastAsia="en-US"/>
              </w:rPr>
              <w:t>48 h</w:t>
            </w:r>
          </w:p>
        </w:tc>
        <w:tc>
          <w:tcPr>
            <w:tcW w:w="889" w:type="pct"/>
            <w:tcBorders>
              <w:top w:val="single" w:sz="4" w:space="0" w:color="auto"/>
              <w:left w:val="single" w:sz="4" w:space="0" w:color="auto"/>
              <w:bottom w:val="single" w:sz="4" w:space="0" w:color="auto"/>
              <w:right w:val="single" w:sz="4" w:space="0" w:color="auto"/>
            </w:tcBorders>
            <w:vAlign w:val="center"/>
            <w:hideMark/>
          </w:tcPr>
          <w:p w14:paraId="62C12958" w14:textId="77777777" w:rsidR="00E51CDD" w:rsidRPr="00E862D9" w:rsidRDefault="00E51CDD" w:rsidP="009938D9">
            <w:pPr>
              <w:suppressAutoHyphens/>
              <w:rPr>
                <w:b/>
                <w:sz w:val="20"/>
                <w:szCs w:val="20"/>
                <w:lang w:eastAsia="en-US"/>
              </w:rPr>
            </w:pPr>
            <w:r w:rsidRPr="00E862D9">
              <w:rPr>
                <w:b/>
                <w:sz w:val="20"/>
                <w:szCs w:val="20"/>
                <w:lang w:eastAsia="en-US"/>
              </w:rPr>
              <w:t>72 h</w:t>
            </w:r>
          </w:p>
        </w:tc>
        <w:tc>
          <w:tcPr>
            <w:tcW w:w="948" w:type="pct"/>
            <w:tcBorders>
              <w:top w:val="single" w:sz="4" w:space="0" w:color="auto"/>
              <w:left w:val="single" w:sz="4" w:space="0" w:color="auto"/>
              <w:bottom w:val="single" w:sz="4" w:space="0" w:color="auto"/>
              <w:right w:val="single" w:sz="4" w:space="0" w:color="auto"/>
            </w:tcBorders>
            <w:vAlign w:val="center"/>
            <w:hideMark/>
          </w:tcPr>
          <w:p w14:paraId="275BF15B" w14:textId="77777777" w:rsidR="00E51CDD" w:rsidRPr="00E862D9" w:rsidRDefault="00E51CDD" w:rsidP="009938D9">
            <w:pPr>
              <w:suppressAutoHyphens/>
              <w:rPr>
                <w:b/>
                <w:sz w:val="20"/>
                <w:szCs w:val="20"/>
                <w:lang w:eastAsia="en-US"/>
              </w:rPr>
            </w:pPr>
            <w:r w:rsidRPr="00E862D9">
              <w:rPr>
                <w:b/>
                <w:sz w:val="20"/>
                <w:szCs w:val="20"/>
                <w:lang w:eastAsia="en-US"/>
              </w:rPr>
              <w:t>96 h</w:t>
            </w:r>
          </w:p>
        </w:tc>
      </w:tr>
      <w:tr w:rsidR="00E51CDD" w:rsidRPr="00E862D9" w14:paraId="005A3D2E" w14:textId="77777777" w:rsidTr="009938D9">
        <w:trPr>
          <w:trHeight w:val="409"/>
          <w:jc w:val="center"/>
        </w:trPr>
        <w:tc>
          <w:tcPr>
            <w:tcW w:w="1386" w:type="pct"/>
            <w:tcBorders>
              <w:top w:val="single" w:sz="4" w:space="0" w:color="auto"/>
              <w:left w:val="single" w:sz="4" w:space="0" w:color="auto"/>
              <w:bottom w:val="single" w:sz="4" w:space="0" w:color="auto"/>
              <w:right w:val="single" w:sz="4" w:space="0" w:color="auto"/>
            </w:tcBorders>
            <w:vAlign w:val="center"/>
            <w:hideMark/>
          </w:tcPr>
          <w:p w14:paraId="791CF0AE" w14:textId="77777777" w:rsidR="00E51CDD" w:rsidRPr="00E862D9" w:rsidRDefault="00E51CDD" w:rsidP="009938D9">
            <w:pPr>
              <w:suppressAutoHyphens/>
              <w:rPr>
                <w:sz w:val="20"/>
                <w:szCs w:val="20"/>
                <w:lang w:eastAsia="en-US"/>
              </w:rPr>
            </w:pPr>
            <w:r w:rsidRPr="00E862D9">
              <w:rPr>
                <w:b/>
                <w:sz w:val="20"/>
                <w:szCs w:val="20"/>
                <w:lang w:eastAsia="en-US"/>
              </w:rPr>
              <w:t>Control</w:t>
            </w:r>
          </w:p>
        </w:tc>
        <w:tc>
          <w:tcPr>
            <w:tcW w:w="889" w:type="pct"/>
            <w:tcBorders>
              <w:top w:val="single" w:sz="4" w:space="0" w:color="auto"/>
              <w:left w:val="single" w:sz="4" w:space="0" w:color="auto"/>
              <w:bottom w:val="single" w:sz="4" w:space="0" w:color="auto"/>
              <w:right w:val="single" w:sz="4" w:space="0" w:color="auto"/>
            </w:tcBorders>
            <w:vAlign w:val="center"/>
            <w:hideMark/>
          </w:tcPr>
          <w:p w14:paraId="664A4489"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8" w:type="pct"/>
            <w:tcBorders>
              <w:top w:val="single" w:sz="4" w:space="0" w:color="auto"/>
              <w:left w:val="single" w:sz="4" w:space="0" w:color="auto"/>
              <w:bottom w:val="single" w:sz="4" w:space="0" w:color="auto"/>
              <w:right w:val="single" w:sz="4" w:space="0" w:color="auto"/>
            </w:tcBorders>
            <w:vAlign w:val="center"/>
            <w:hideMark/>
          </w:tcPr>
          <w:p w14:paraId="4A342964"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9" w:type="pct"/>
            <w:tcBorders>
              <w:top w:val="single" w:sz="4" w:space="0" w:color="auto"/>
              <w:left w:val="single" w:sz="4" w:space="0" w:color="auto"/>
              <w:bottom w:val="single" w:sz="4" w:space="0" w:color="auto"/>
              <w:right w:val="single" w:sz="4" w:space="0" w:color="auto"/>
            </w:tcBorders>
            <w:vAlign w:val="center"/>
            <w:hideMark/>
          </w:tcPr>
          <w:p w14:paraId="4E24B133"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948" w:type="pct"/>
            <w:tcBorders>
              <w:top w:val="single" w:sz="4" w:space="0" w:color="auto"/>
              <w:left w:val="single" w:sz="4" w:space="0" w:color="auto"/>
              <w:bottom w:val="single" w:sz="4" w:space="0" w:color="auto"/>
              <w:right w:val="single" w:sz="4" w:space="0" w:color="auto"/>
            </w:tcBorders>
            <w:vAlign w:val="center"/>
            <w:hideMark/>
          </w:tcPr>
          <w:p w14:paraId="70AEE37E" w14:textId="77777777" w:rsidR="00E51CDD" w:rsidRPr="00E862D9" w:rsidRDefault="00E51CDD" w:rsidP="009938D9">
            <w:pPr>
              <w:suppressAutoHyphens/>
              <w:rPr>
                <w:sz w:val="20"/>
                <w:szCs w:val="20"/>
                <w:lang w:eastAsia="en-US"/>
              </w:rPr>
            </w:pPr>
            <w:r w:rsidRPr="00E862D9">
              <w:rPr>
                <w:sz w:val="20"/>
                <w:szCs w:val="20"/>
                <w:lang w:eastAsia="en-US"/>
              </w:rPr>
              <w:t>0.0</w:t>
            </w:r>
          </w:p>
        </w:tc>
      </w:tr>
      <w:tr w:rsidR="00E51CDD" w:rsidRPr="00E862D9" w14:paraId="28FC864A" w14:textId="77777777" w:rsidTr="009938D9">
        <w:trPr>
          <w:trHeight w:val="409"/>
          <w:jc w:val="center"/>
        </w:trPr>
        <w:tc>
          <w:tcPr>
            <w:tcW w:w="1386" w:type="pct"/>
            <w:tcBorders>
              <w:top w:val="single" w:sz="4" w:space="0" w:color="auto"/>
              <w:left w:val="single" w:sz="4" w:space="0" w:color="auto"/>
              <w:bottom w:val="single" w:sz="4" w:space="0" w:color="auto"/>
              <w:right w:val="single" w:sz="4" w:space="0" w:color="auto"/>
            </w:tcBorders>
            <w:vAlign w:val="center"/>
            <w:hideMark/>
          </w:tcPr>
          <w:p w14:paraId="20E9D079" w14:textId="77777777" w:rsidR="00E51CDD" w:rsidRPr="00E862D9" w:rsidRDefault="00E51CDD" w:rsidP="009938D9">
            <w:pPr>
              <w:widowControl w:val="0"/>
              <w:suppressAutoHyphens/>
              <w:rPr>
                <w:sz w:val="20"/>
                <w:lang w:eastAsia="en-US"/>
              </w:rPr>
            </w:pPr>
            <w:r w:rsidRPr="00E862D9">
              <w:rPr>
                <w:sz w:val="20"/>
                <w:lang w:eastAsia="en-US"/>
              </w:rPr>
              <w:t>52.1</w:t>
            </w:r>
          </w:p>
        </w:tc>
        <w:tc>
          <w:tcPr>
            <w:tcW w:w="889" w:type="pct"/>
            <w:tcBorders>
              <w:top w:val="single" w:sz="4" w:space="0" w:color="auto"/>
              <w:left w:val="single" w:sz="4" w:space="0" w:color="auto"/>
              <w:bottom w:val="single" w:sz="4" w:space="0" w:color="auto"/>
              <w:right w:val="single" w:sz="4" w:space="0" w:color="auto"/>
            </w:tcBorders>
            <w:vAlign w:val="center"/>
            <w:hideMark/>
          </w:tcPr>
          <w:p w14:paraId="44EF85BA"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8" w:type="pct"/>
            <w:tcBorders>
              <w:top w:val="single" w:sz="4" w:space="0" w:color="auto"/>
              <w:left w:val="single" w:sz="4" w:space="0" w:color="auto"/>
              <w:bottom w:val="single" w:sz="4" w:space="0" w:color="auto"/>
              <w:right w:val="single" w:sz="4" w:space="0" w:color="auto"/>
            </w:tcBorders>
            <w:vAlign w:val="center"/>
            <w:hideMark/>
          </w:tcPr>
          <w:p w14:paraId="33EA1BA5"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9" w:type="pct"/>
            <w:tcBorders>
              <w:top w:val="single" w:sz="4" w:space="0" w:color="auto"/>
              <w:left w:val="single" w:sz="4" w:space="0" w:color="auto"/>
              <w:bottom w:val="single" w:sz="4" w:space="0" w:color="auto"/>
              <w:right w:val="single" w:sz="4" w:space="0" w:color="auto"/>
            </w:tcBorders>
            <w:vAlign w:val="center"/>
            <w:hideMark/>
          </w:tcPr>
          <w:p w14:paraId="37335213"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948" w:type="pct"/>
            <w:tcBorders>
              <w:top w:val="single" w:sz="4" w:space="0" w:color="auto"/>
              <w:left w:val="single" w:sz="4" w:space="0" w:color="auto"/>
              <w:bottom w:val="single" w:sz="4" w:space="0" w:color="auto"/>
              <w:right w:val="single" w:sz="4" w:space="0" w:color="auto"/>
            </w:tcBorders>
            <w:vAlign w:val="center"/>
            <w:hideMark/>
          </w:tcPr>
          <w:p w14:paraId="46E0612B" w14:textId="77777777" w:rsidR="00E51CDD" w:rsidRPr="00E862D9" w:rsidRDefault="00E51CDD" w:rsidP="009938D9">
            <w:pPr>
              <w:suppressAutoHyphens/>
              <w:rPr>
                <w:sz w:val="20"/>
                <w:szCs w:val="20"/>
                <w:lang w:eastAsia="en-US"/>
              </w:rPr>
            </w:pPr>
            <w:r w:rsidRPr="00E862D9">
              <w:rPr>
                <w:sz w:val="20"/>
                <w:szCs w:val="20"/>
                <w:lang w:eastAsia="en-US"/>
              </w:rPr>
              <w:t>0.0</w:t>
            </w:r>
          </w:p>
        </w:tc>
      </w:tr>
      <w:tr w:rsidR="00E51CDD" w:rsidRPr="00E862D9" w14:paraId="5750774A" w14:textId="77777777" w:rsidTr="009938D9">
        <w:trPr>
          <w:trHeight w:val="409"/>
          <w:jc w:val="center"/>
        </w:trPr>
        <w:tc>
          <w:tcPr>
            <w:tcW w:w="1386" w:type="pct"/>
            <w:tcBorders>
              <w:top w:val="single" w:sz="4" w:space="0" w:color="auto"/>
              <w:left w:val="single" w:sz="4" w:space="0" w:color="auto"/>
              <w:bottom w:val="single" w:sz="4" w:space="0" w:color="auto"/>
              <w:right w:val="single" w:sz="4" w:space="0" w:color="auto"/>
            </w:tcBorders>
            <w:vAlign w:val="center"/>
            <w:hideMark/>
          </w:tcPr>
          <w:p w14:paraId="7AB88C49" w14:textId="77777777" w:rsidR="00E51CDD" w:rsidRPr="00E862D9" w:rsidRDefault="00E51CDD" w:rsidP="009938D9">
            <w:pPr>
              <w:widowControl w:val="0"/>
              <w:suppressAutoHyphens/>
              <w:rPr>
                <w:sz w:val="20"/>
                <w:lang w:eastAsia="en-US"/>
              </w:rPr>
            </w:pPr>
            <w:r w:rsidRPr="00E862D9">
              <w:rPr>
                <w:sz w:val="20"/>
                <w:lang w:eastAsia="en-US"/>
              </w:rPr>
              <w:t>72.9</w:t>
            </w:r>
          </w:p>
        </w:tc>
        <w:tc>
          <w:tcPr>
            <w:tcW w:w="889" w:type="pct"/>
            <w:tcBorders>
              <w:top w:val="single" w:sz="4" w:space="0" w:color="auto"/>
              <w:left w:val="single" w:sz="4" w:space="0" w:color="auto"/>
              <w:bottom w:val="single" w:sz="4" w:space="0" w:color="auto"/>
              <w:right w:val="single" w:sz="4" w:space="0" w:color="auto"/>
            </w:tcBorders>
            <w:vAlign w:val="center"/>
            <w:hideMark/>
          </w:tcPr>
          <w:p w14:paraId="14EAD0B2"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8" w:type="pct"/>
            <w:tcBorders>
              <w:top w:val="single" w:sz="4" w:space="0" w:color="auto"/>
              <w:left w:val="single" w:sz="4" w:space="0" w:color="auto"/>
              <w:bottom w:val="single" w:sz="4" w:space="0" w:color="auto"/>
              <w:right w:val="single" w:sz="4" w:space="0" w:color="auto"/>
            </w:tcBorders>
            <w:vAlign w:val="center"/>
            <w:hideMark/>
          </w:tcPr>
          <w:p w14:paraId="0F550007"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9" w:type="pct"/>
            <w:tcBorders>
              <w:top w:val="single" w:sz="4" w:space="0" w:color="auto"/>
              <w:left w:val="single" w:sz="4" w:space="0" w:color="auto"/>
              <w:bottom w:val="single" w:sz="4" w:space="0" w:color="auto"/>
              <w:right w:val="single" w:sz="4" w:space="0" w:color="auto"/>
            </w:tcBorders>
            <w:vAlign w:val="center"/>
            <w:hideMark/>
          </w:tcPr>
          <w:p w14:paraId="4AEECB55"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948" w:type="pct"/>
            <w:tcBorders>
              <w:top w:val="single" w:sz="4" w:space="0" w:color="auto"/>
              <w:left w:val="single" w:sz="4" w:space="0" w:color="auto"/>
              <w:bottom w:val="single" w:sz="4" w:space="0" w:color="auto"/>
              <w:right w:val="single" w:sz="4" w:space="0" w:color="auto"/>
            </w:tcBorders>
            <w:vAlign w:val="center"/>
            <w:hideMark/>
          </w:tcPr>
          <w:p w14:paraId="45FB5DF6" w14:textId="77777777" w:rsidR="00E51CDD" w:rsidRPr="00E862D9" w:rsidRDefault="00E51CDD" w:rsidP="009938D9">
            <w:pPr>
              <w:suppressAutoHyphens/>
              <w:rPr>
                <w:sz w:val="20"/>
                <w:szCs w:val="20"/>
                <w:lang w:eastAsia="en-US"/>
              </w:rPr>
            </w:pPr>
            <w:r w:rsidRPr="00E862D9">
              <w:rPr>
                <w:sz w:val="20"/>
                <w:szCs w:val="20"/>
                <w:lang w:eastAsia="en-US"/>
              </w:rPr>
              <w:t>0.0</w:t>
            </w:r>
          </w:p>
        </w:tc>
      </w:tr>
      <w:tr w:rsidR="00E51CDD" w:rsidRPr="00E862D9" w14:paraId="3BBE4B0B" w14:textId="77777777" w:rsidTr="009938D9">
        <w:trPr>
          <w:trHeight w:val="409"/>
          <w:jc w:val="center"/>
        </w:trPr>
        <w:tc>
          <w:tcPr>
            <w:tcW w:w="1386" w:type="pct"/>
            <w:tcBorders>
              <w:top w:val="single" w:sz="4" w:space="0" w:color="auto"/>
              <w:left w:val="single" w:sz="4" w:space="0" w:color="auto"/>
              <w:bottom w:val="single" w:sz="4" w:space="0" w:color="auto"/>
              <w:right w:val="single" w:sz="4" w:space="0" w:color="auto"/>
            </w:tcBorders>
            <w:vAlign w:val="center"/>
            <w:hideMark/>
          </w:tcPr>
          <w:p w14:paraId="44FD3251" w14:textId="77777777" w:rsidR="00E51CDD" w:rsidRPr="00E862D9" w:rsidRDefault="00E51CDD" w:rsidP="009938D9">
            <w:pPr>
              <w:widowControl w:val="0"/>
              <w:suppressAutoHyphens/>
              <w:rPr>
                <w:sz w:val="20"/>
                <w:lang w:eastAsia="en-US"/>
              </w:rPr>
            </w:pPr>
            <w:r w:rsidRPr="00E862D9">
              <w:rPr>
                <w:sz w:val="20"/>
                <w:lang w:eastAsia="en-US"/>
              </w:rPr>
              <w:t>102.0</w:t>
            </w:r>
          </w:p>
        </w:tc>
        <w:tc>
          <w:tcPr>
            <w:tcW w:w="889" w:type="pct"/>
            <w:tcBorders>
              <w:top w:val="single" w:sz="4" w:space="0" w:color="auto"/>
              <w:left w:val="single" w:sz="4" w:space="0" w:color="auto"/>
              <w:bottom w:val="single" w:sz="4" w:space="0" w:color="auto"/>
              <w:right w:val="single" w:sz="4" w:space="0" w:color="auto"/>
            </w:tcBorders>
            <w:vAlign w:val="center"/>
            <w:hideMark/>
          </w:tcPr>
          <w:p w14:paraId="40801E80"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8" w:type="pct"/>
            <w:tcBorders>
              <w:top w:val="single" w:sz="4" w:space="0" w:color="auto"/>
              <w:left w:val="single" w:sz="4" w:space="0" w:color="auto"/>
              <w:bottom w:val="single" w:sz="4" w:space="0" w:color="auto"/>
              <w:right w:val="single" w:sz="4" w:space="0" w:color="auto"/>
            </w:tcBorders>
            <w:vAlign w:val="center"/>
            <w:hideMark/>
          </w:tcPr>
          <w:p w14:paraId="0E1EDC82"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9" w:type="pct"/>
            <w:tcBorders>
              <w:top w:val="single" w:sz="4" w:space="0" w:color="auto"/>
              <w:left w:val="single" w:sz="4" w:space="0" w:color="auto"/>
              <w:bottom w:val="single" w:sz="4" w:space="0" w:color="auto"/>
              <w:right w:val="single" w:sz="4" w:space="0" w:color="auto"/>
            </w:tcBorders>
            <w:vAlign w:val="center"/>
            <w:hideMark/>
          </w:tcPr>
          <w:p w14:paraId="50FE300E"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948" w:type="pct"/>
            <w:tcBorders>
              <w:top w:val="single" w:sz="4" w:space="0" w:color="auto"/>
              <w:left w:val="single" w:sz="4" w:space="0" w:color="auto"/>
              <w:bottom w:val="single" w:sz="4" w:space="0" w:color="auto"/>
              <w:right w:val="single" w:sz="4" w:space="0" w:color="auto"/>
            </w:tcBorders>
            <w:vAlign w:val="center"/>
            <w:hideMark/>
          </w:tcPr>
          <w:p w14:paraId="42867834" w14:textId="77777777" w:rsidR="00E51CDD" w:rsidRPr="00E862D9" w:rsidRDefault="00E51CDD" w:rsidP="009938D9">
            <w:pPr>
              <w:suppressAutoHyphens/>
              <w:rPr>
                <w:sz w:val="20"/>
                <w:szCs w:val="20"/>
                <w:lang w:eastAsia="en-US"/>
              </w:rPr>
            </w:pPr>
            <w:r w:rsidRPr="00E862D9">
              <w:rPr>
                <w:sz w:val="20"/>
                <w:szCs w:val="20"/>
                <w:lang w:eastAsia="en-US"/>
              </w:rPr>
              <w:t>0.0</w:t>
            </w:r>
          </w:p>
        </w:tc>
      </w:tr>
      <w:tr w:rsidR="00E51CDD" w:rsidRPr="00E862D9" w14:paraId="66A7ADE6" w14:textId="77777777" w:rsidTr="009938D9">
        <w:trPr>
          <w:trHeight w:val="409"/>
          <w:jc w:val="center"/>
        </w:trPr>
        <w:tc>
          <w:tcPr>
            <w:tcW w:w="1386" w:type="pct"/>
            <w:tcBorders>
              <w:top w:val="single" w:sz="4" w:space="0" w:color="auto"/>
              <w:left w:val="single" w:sz="4" w:space="0" w:color="auto"/>
              <w:bottom w:val="single" w:sz="4" w:space="0" w:color="auto"/>
              <w:right w:val="single" w:sz="4" w:space="0" w:color="auto"/>
            </w:tcBorders>
            <w:vAlign w:val="center"/>
            <w:hideMark/>
          </w:tcPr>
          <w:p w14:paraId="0E51AAE8" w14:textId="77777777" w:rsidR="00E51CDD" w:rsidRPr="00E862D9" w:rsidRDefault="00E51CDD" w:rsidP="009938D9">
            <w:pPr>
              <w:widowControl w:val="0"/>
              <w:suppressAutoHyphens/>
              <w:rPr>
                <w:sz w:val="20"/>
                <w:lang w:eastAsia="en-US"/>
              </w:rPr>
            </w:pPr>
            <w:r w:rsidRPr="00E862D9">
              <w:rPr>
                <w:sz w:val="20"/>
                <w:lang w:eastAsia="en-US"/>
              </w:rPr>
              <w:t>142.9</w:t>
            </w:r>
          </w:p>
        </w:tc>
        <w:tc>
          <w:tcPr>
            <w:tcW w:w="889" w:type="pct"/>
            <w:tcBorders>
              <w:top w:val="single" w:sz="4" w:space="0" w:color="auto"/>
              <w:left w:val="single" w:sz="4" w:space="0" w:color="auto"/>
              <w:bottom w:val="single" w:sz="4" w:space="0" w:color="auto"/>
              <w:right w:val="single" w:sz="4" w:space="0" w:color="auto"/>
            </w:tcBorders>
            <w:vAlign w:val="center"/>
            <w:hideMark/>
          </w:tcPr>
          <w:p w14:paraId="6E164BD0"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8" w:type="pct"/>
            <w:tcBorders>
              <w:top w:val="single" w:sz="4" w:space="0" w:color="auto"/>
              <w:left w:val="single" w:sz="4" w:space="0" w:color="auto"/>
              <w:bottom w:val="single" w:sz="4" w:space="0" w:color="auto"/>
              <w:right w:val="single" w:sz="4" w:space="0" w:color="auto"/>
            </w:tcBorders>
            <w:vAlign w:val="center"/>
            <w:hideMark/>
          </w:tcPr>
          <w:p w14:paraId="686759FB"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9" w:type="pct"/>
            <w:tcBorders>
              <w:top w:val="single" w:sz="4" w:space="0" w:color="auto"/>
              <w:left w:val="single" w:sz="4" w:space="0" w:color="auto"/>
              <w:bottom w:val="single" w:sz="4" w:space="0" w:color="auto"/>
              <w:right w:val="single" w:sz="4" w:space="0" w:color="auto"/>
            </w:tcBorders>
            <w:vAlign w:val="center"/>
            <w:hideMark/>
          </w:tcPr>
          <w:p w14:paraId="5FF3CFEB"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948" w:type="pct"/>
            <w:tcBorders>
              <w:top w:val="single" w:sz="4" w:space="0" w:color="auto"/>
              <w:left w:val="single" w:sz="4" w:space="0" w:color="auto"/>
              <w:bottom w:val="single" w:sz="4" w:space="0" w:color="auto"/>
              <w:right w:val="single" w:sz="4" w:space="0" w:color="auto"/>
            </w:tcBorders>
            <w:vAlign w:val="center"/>
            <w:hideMark/>
          </w:tcPr>
          <w:p w14:paraId="277C4D21" w14:textId="77777777" w:rsidR="00E51CDD" w:rsidRPr="00E862D9" w:rsidRDefault="00E51CDD" w:rsidP="009938D9">
            <w:pPr>
              <w:suppressAutoHyphens/>
              <w:rPr>
                <w:sz w:val="20"/>
                <w:szCs w:val="20"/>
                <w:lang w:eastAsia="en-US"/>
              </w:rPr>
            </w:pPr>
            <w:r w:rsidRPr="00E862D9">
              <w:rPr>
                <w:sz w:val="20"/>
                <w:szCs w:val="20"/>
                <w:lang w:eastAsia="en-US"/>
              </w:rPr>
              <w:t>0.0</w:t>
            </w:r>
          </w:p>
        </w:tc>
      </w:tr>
      <w:tr w:rsidR="00E51CDD" w:rsidRPr="00E862D9" w14:paraId="7204A577" w14:textId="77777777" w:rsidTr="009938D9">
        <w:trPr>
          <w:trHeight w:val="408"/>
          <w:jc w:val="center"/>
        </w:trPr>
        <w:tc>
          <w:tcPr>
            <w:tcW w:w="1386" w:type="pct"/>
            <w:tcBorders>
              <w:top w:val="single" w:sz="4" w:space="0" w:color="auto"/>
              <w:left w:val="single" w:sz="4" w:space="0" w:color="auto"/>
              <w:bottom w:val="single" w:sz="4" w:space="0" w:color="auto"/>
              <w:right w:val="single" w:sz="4" w:space="0" w:color="auto"/>
            </w:tcBorders>
            <w:vAlign w:val="center"/>
            <w:hideMark/>
          </w:tcPr>
          <w:p w14:paraId="49C73243" w14:textId="77777777" w:rsidR="00E51CDD" w:rsidRPr="00E862D9" w:rsidRDefault="00E51CDD" w:rsidP="009938D9">
            <w:pPr>
              <w:widowControl w:val="0"/>
              <w:suppressAutoHyphens/>
              <w:rPr>
                <w:sz w:val="20"/>
                <w:lang w:eastAsia="en-US"/>
              </w:rPr>
            </w:pPr>
            <w:r w:rsidRPr="00E862D9">
              <w:rPr>
                <w:sz w:val="20"/>
                <w:lang w:eastAsia="en-US"/>
              </w:rPr>
              <w:t>200.0</w:t>
            </w:r>
          </w:p>
        </w:tc>
        <w:tc>
          <w:tcPr>
            <w:tcW w:w="889" w:type="pct"/>
            <w:tcBorders>
              <w:top w:val="single" w:sz="4" w:space="0" w:color="auto"/>
              <w:left w:val="single" w:sz="4" w:space="0" w:color="auto"/>
              <w:bottom w:val="single" w:sz="4" w:space="0" w:color="auto"/>
              <w:right w:val="single" w:sz="4" w:space="0" w:color="auto"/>
            </w:tcBorders>
            <w:vAlign w:val="center"/>
            <w:hideMark/>
          </w:tcPr>
          <w:p w14:paraId="79E008C8"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8" w:type="pct"/>
            <w:tcBorders>
              <w:top w:val="single" w:sz="4" w:space="0" w:color="auto"/>
              <w:left w:val="single" w:sz="4" w:space="0" w:color="auto"/>
              <w:bottom w:val="single" w:sz="4" w:space="0" w:color="auto"/>
              <w:right w:val="single" w:sz="4" w:space="0" w:color="auto"/>
            </w:tcBorders>
            <w:vAlign w:val="center"/>
            <w:hideMark/>
          </w:tcPr>
          <w:p w14:paraId="22BDD5B2"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889" w:type="pct"/>
            <w:tcBorders>
              <w:top w:val="single" w:sz="4" w:space="0" w:color="auto"/>
              <w:left w:val="single" w:sz="4" w:space="0" w:color="auto"/>
              <w:bottom w:val="single" w:sz="4" w:space="0" w:color="auto"/>
              <w:right w:val="single" w:sz="4" w:space="0" w:color="auto"/>
            </w:tcBorders>
            <w:vAlign w:val="center"/>
            <w:hideMark/>
          </w:tcPr>
          <w:p w14:paraId="67BBDD03" w14:textId="77777777" w:rsidR="00E51CDD" w:rsidRPr="00E862D9" w:rsidRDefault="00E51CDD" w:rsidP="009938D9">
            <w:pPr>
              <w:suppressAutoHyphens/>
              <w:rPr>
                <w:sz w:val="20"/>
                <w:szCs w:val="20"/>
                <w:lang w:eastAsia="en-US"/>
              </w:rPr>
            </w:pPr>
            <w:r w:rsidRPr="00E862D9">
              <w:rPr>
                <w:sz w:val="20"/>
                <w:szCs w:val="20"/>
                <w:lang w:eastAsia="en-US"/>
              </w:rPr>
              <w:t>0.0</w:t>
            </w:r>
          </w:p>
        </w:tc>
        <w:tc>
          <w:tcPr>
            <w:tcW w:w="948" w:type="pct"/>
            <w:tcBorders>
              <w:top w:val="single" w:sz="4" w:space="0" w:color="auto"/>
              <w:left w:val="single" w:sz="4" w:space="0" w:color="auto"/>
              <w:bottom w:val="single" w:sz="4" w:space="0" w:color="auto"/>
              <w:right w:val="single" w:sz="4" w:space="0" w:color="auto"/>
            </w:tcBorders>
            <w:vAlign w:val="center"/>
            <w:hideMark/>
          </w:tcPr>
          <w:p w14:paraId="2D1AA3A4" w14:textId="77777777" w:rsidR="00E51CDD" w:rsidRPr="00E862D9" w:rsidRDefault="00E51CDD" w:rsidP="009938D9">
            <w:pPr>
              <w:suppressAutoHyphens/>
              <w:rPr>
                <w:sz w:val="20"/>
                <w:szCs w:val="20"/>
                <w:lang w:eastAsia="en-US"/>
              </w:rPr>
            </w:pPr>
            <w:r w:rsidRPr="00E862D9">
              <w:rPr>
                <w:sz w:val="20"/>
                <w:szCs w:val="20"/>
                <w:lang w:eastAsia="en-US"/>
              </w:rPr>
              <w:t>0.0</w:t>
            </w:r>
          </w:p>
        </w:tc>
      </w:tr>
      <w:tr w:rsidR="00E51CDD" w:rsidRPr="00E862D9" w14:paraId="67156C87" w14:textId="77777777" w:rsidTr="009938D9">
        <w:trPr>
          <w:trHeight w:val="465"/>
          <w:jc w:val="center"/>
        </w:trPr>
        <w:tc>
          <w:tcPr>
            <w:tcW w:w="1386" w:type="pct"/>
            <w:tcBorders>
              <w:top w:val="single" w:sz="4" w:space="0" w:color="auto"/>
              <w:left w:val="single" w:sz="4" w:space="0" w:color="auto"/>
              <w:bottom w:val="single" w:sz="4" w:space="0" w:color="auto"/>
              <w:right w:val="single" w:sz="4" w:space="0" w:color="auto"/>
            </w:tcBorders>
            <w:vAlign w:val="center"/>
          </w:tcPr>
          <w:p w14:paraId="374CACBC" w14:textId="77777777" w:rsidR="00E51CDD" w:rsidRPr="00E862D9" w:rsidRDefault="00E51CDD" w:rsidP="009938D9">
            <w:pPr>
              <w:widowControl w:val="0"/>
              <w:suppressAutoHyphens/>
              <w:rPr>
                <w:sz w:val="20"/>
                <w:szCs w:val="20"/>
                <w:lang w:eastAsia="en-US"/>
              </w:rPr>
            </w:pPr>
          </w:p>
        </w:tc>
        <w:tc>
          <w:tcPr>
            <w:tcW w:w="3614" w:type="pct"/>
            <w:gridSpan w:val="4"/>
            <w:tcBorders>
              <w:top w:val="single" w:sz="4" w:space="0" w:color="auto"/>
              <w:left w:val="single" w:sz="4" w:space="0" w:color="auto"/>
              <w:bottom w:val="single" w:sz="4" w:space="0" w:color="auto"/>
              <w:right w:val="single" w:sz="4" w:space="0" w:color="auto"/>
            </w:tcBorders>
            <w:vAlign w:val="center"/>
            <w:hideMark/>
          </w:tcPr>
          <w:p w14:paraId="138B6E5C" w14:textId="77777777" w:rsidR="00E51CDD" w:rsidRPr="00E862D9" w:rsidRDefault="00E51CDD" w:rsidP="009938D9">
            <w:pPr>
              <w:widowControl w:val="0"/>
              <w:suppressAutoHyphens/>
              <w:rPr>
                <w:sz w:val="20"/>
                <w:szCs w:val="20"/>
                <w:lang w:eastAsia="en-US"/>
              </w:rPr>
            </w:pPr>
            <w:r w:rsidRPr="00E862D9">
              <w:rPr>
                <w:b/>
                <w:sz w:val="20"/>
                <w:szCs w:val="20"/>
                <w:lang w:eastAsia="en-US"/>
              </w:rPr>
              <w:t>Endpoints</w:t>
            </w:r>
          </w:p>
        </w:tc>
      </w:tr>
      <w:tr w:rsidR="00E51CDD" w:rsidRPr="00E862D9" w14:paraId="166A241C" w14:textId="77777777" w:rsidTr="009938D9">
        <w:trPr>
          <w:trHeight w:val="272"/>
          <w:jc w:val="center"/>
        </w:trPr>
        <w:tc>
          <w:tcPr>
            <w:tcW w:w="1386" w:type="pct"/>
            <w:vMerge w:val="restart"/>
            <w:tcBorders>
              <w:top w:val="single" w:sz="4" w:space="0" w:color="auto"/>
              <w:left w:val="single" w:sz="4" w:space="0" w:color="auto"/>
              <w:bottom w:val="single" w:sz="4" w:space="0" w:color="auto"/>
              <w:right w:val="single" w:sz="4" w:space="0" w:color="auto"/>
            </w:tcBorders>
            <w:vAlign w:val="center"/>
            <w:hideMark/>
          </w:tcPr>
          <w:p w14:paraId="3BF15E38" w14:textId="77777777" w:rsidR="00E51CDD" w:rsidRPr="00E862D9" w:rsidRDefault="00E51CDD" w:rsidP="009938D9">
            <w:pPr>
              <w:suppressAutoHyphens/>
              <w:rPr>
                <w:sz w:val="20"/>
                <w:szCs w:val="20"/>
                <w:lang w:eastAsia="en-US"/>
              </w:rPr>
            </w:pPr>
            <w:r w:rsidRPr="00E862D9">
              <w:rPr>
                <w:sz w:val="20"/>
                <w:szCs w:val="20"/>
                <w:lang w:eastAsia="en-US"/>
              </w:rPr>
              <w:t>LD</w:t>
            </w:r>
            <w:r w:rsidRPr="00E862D9">
              <w:rPr>
                <w:sz w:val="20"/>
                <w:szCs w:val="20"/>
                <w:vertAlign w:val="subscript"/>
                <w:lang w:eastAsia="en-US"/>
              </w:rPr>
              <w:t>50</w:t>
            </w:r>
            <w:r w:rsidRPr="00E862D9">
              <w:rPr>
                <w:sz w:val="20"/>
                <w:szCs w:val="20"/>
                <w:lang w:eastAsia="en-US"/>
              </w:rPr>
              <w:t xml:space="preserve"> (96 h)</w:t>
            </w:r>
          </w:p>
        </w:tc>
        <w:tc>
          <w:tcPr>
            <w:tcW w:w="1777" w:type="pct"/>
            <w:gridSpan w:val="2"/>
            <w:tcBorders>
              <w:top w:val="single" w:sz="4" w:space="0" w:color="auto"/>
              <w:left w:val="single" w:sz="4" w:space="0" w:color="auto"/>
              <w:bottom w:val="single" w:sz="4" w:space="0" w:color="auto"/>
              <w:right w:val="single" w:sz="4" w:space="0" w:color="auto"/>
            </w:tcBorders>
            <w:vAlign w:val="center"/>
            <w:hideMark/>
          </w:tcPr>
          <w:p w14:paraId="35B868C1" w14:textId="77777777" w:rsidR="00E51CDD" w:rsidRPr="00E862D9" w:rsidRDefault="00E51CDD" w:rsidP="009938D9">
            <w:pPr>
              <w:widowControl w:val="0"/>
              <w:suppressAutoHyphens/>
              <w:rPr>
                <w:b/>
                <w:sz w:val="20"/>
                <w:szCs w:val="20"/>
                <w:lang w:eastAsia="en-US"/>
              </w:rPr>
            </w:pPr>
            <w:r w:rsidRPr="00E862D9">
              <w:rPr>
                <w:b/>
                <w:sz w:val="20"/>
                <w:szCs w:val="20"/>
                <w:lang w:eastAsia="en-US"/>
              </w:rPr>
              <w:t>[µg consumed a.s./bumble bee]</w:t>
            </w:r>
          </w:p>
        </w:tc>
        <w:tc>
          <w:tcPr>
            <w:tcW w:w="1837" w:type="pct"/>
            <w:gridSpan w:val="2"/>
            <w:tcBorders>
              <w:top w:val="single" w:sz="4" w:space="0" w:color="auto"/>
              <w:left w:val="single" w:sz="4" w:space="0" w:color="auto"/>
              <w:bottom w:val="single" w:sz="4" w:space="0" w:color="auto"/>
              <w:right w:val="single" w:sz="4" w:space="0" w:color="auto"/>
            </w:tcBorders>
            <w:vAlign w:val="center"/>
            <w:hideMark/>
          </w:tcPr>
          <w:p w14:paraId="7E9788DB" w14:textId="77777777" w:rsidR="00E51CDD" w:rsidRPr="00E862D9" w:rsidRDefault="00E51CDD" w:rsidP="009938D9">
            <w:pPr>
              <w:widowControl w:val="0"/>
              <w:suppressAutoHyphens/>
              <w:rPr>
                <w:b/>
                <w:sz w:val="20"/>
                <w:szCs w:val="20"/>
                <w:lang w:eastAsia="en-US"/>
              </w:rPr>
            </w:pPr>
            <w:r w:rsidRPr="00E862D9">
              <w:rPr>
                <w:b/>
                <w:sz w:val="20"/>
                <w:szCs w:val="20"/>
                <w:lang w:eastAsia="en-US"/>
              </w:rPr>
              <w:t>[µg consumed BAS 700 04 F/bumble bee]</w:t>
            </w:r>
          </w:p>
        </w:tc>
      </w:tr>
      <w:tr w:rsidR="00E51CDD" w:rsidRPr="00E862D9" w14:paraId="17307621" w14:textId="77777777" w:rsidTr="009938D9">
        <w:trPr>
          <w:trHeight w:val="40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F8050A" w14:textId="77777777" w:rsidR="00E51CDD" w:rsidRPr="00E862D9" w:rsidRDefault="00E51CDD" w:rsidP="009938D9">
            <w:pPr>
              <w:rPr>
                <w:sz w:val="20"/>
                <w:szCs w:val="20"/>
                <w:lang w:eastAsia="en-US"/>
              </w:rPr>
            </w:pPr>
          </w:p>
        </w:tc>
        <w:tc>
          <w:tcPr>
            <w:tcW w:w="1777" w:type="pct"/>
            <w:gridSpan w:val="2"/>
            <w:tcBorders>
              <w:top w:val="single" w:sz="4" w:space="0" w:color="auto"/>
              <w:left w:val="single" w:sz="4" w:space="0" w:color="auto"/>
              <w:bottom w:val="single" w:sz="4" w:space="0" w:color="auto"/>
              <w:right w:val="single" w:sz="4" w:space="0" w:color="auto"/>
            </w:tcBorders>
            <w:vAlign w:val="center"/>
            <w:hideMark/>
          </w:tcPr>
          <w:p w14:paraId="45E61352" w14:textId="77777777" w:rsidR="00E51CDD" w:rsidRPr="00E862D9" w:rsidRDefault="00E51CDD" w:rsidP="009938D9">
            <w:pPr>
              <w:suppressAutoHyphens/>
              <w:rPr>
                <w:sz w:val="20"/>
                <w:szCs w:val="20"/>
                <w:lang w:eastAsia="en-US"/>
              </w:rPr>
            </w:pPr>
            <w:r w:rsidRPr="00E862D9">
              <w:rPr>
                <w:sz w:val="20"/>
                <w:szCs w:val="20"/>
                <w:lang w:eastAsia="en-US"/>
              </w:rPr>
              <w:t>&gt; 200</w:t>
            </w:r>
          </w:p>
        </w:tc>
        <w:tc>
          <w:tcPr>
            <w:tcW w:w="1837" w:type="pct"/>
            <w:gridSpan w:val="2"/>
            <w:tcBorders>
              <w:top w:val="single" w:sz="4" w:space="0" w:color="auto"/>
              <w:left w:val="single" w:sz="4" w:space="0" w:color="auto"/>
              <w:bottom w:val="single" w:sz="4" w:space="0" w:color="auto"/>
              <w:right w:val="single" w:sz="4" w:space="0" w:color="auto"/>
            </w:tcBorders>
            <w:vAlign w:val="center"/>
            <w:hideMark/>
          </w:tcPr>
          <w:p w14:paraId="267FFD98" w14:textId="77777777" w:rsidR="00E51CDD" w:rsidRPr="00E862D9" w:rsidRDefault="00E51CDD" w:rsidP="009938D9">
            <w:pPr>
              <w:suppressAutoHyphens/>
              <w:rPr>
                <w:sz w:val="20"/>
                <w:szCs w:val="20"/>
                <w:lang w:eastAsia="en-US"/>
              </w:rPr>
            </w:pPr>
            <w:r w:rsidRPr="00E862D9">
              <w:rPr>
                <w:sz w:val="20"/>
                <w:szCs w:val="20"/>
                <w:lang w:eastAsia="en-US"/>
              </w:rPr>
              <w:t>&gt; 753.3</w:t>
            </w:r>
          </w:p>
        </w:tc>
      </w:tr>
    </w:tbl>
    <w:p w14:paraId="39309586" w14:textId="77777777" w:rsidR="00E51CDD" w:rsidRPr="00E862D9" w:rsidRDefault="00E51CDD" w:rsidP="00E51CDD">
      <w:pPr>
        <w:widowControl w:val="0"/>
        <w:suppressAutoHyphens/>
      </w:pPr>
    </w:p>
    <w:p w14:paraId="17E4FEBD" w14:textId="77777777" w:rsidR="00E51CDD" w:rsidRPr="00E862D9" w:rsidRDefault="00E51CDD" w:rsidP="00E51CDD">
      <w:pPr>
        <w:widowControl w:val="0"/>
        <w:suppressAutoHyphens/>
      </w:pPr>
      <w:bookmarkStart w:id="1195" w:name="_Hlk31200647"/>
    </w:p>
    <w:p w14:paraId="470D4FF5" w14:textId="77777777" w:rsidR="00E51CDD" w:rsidRPr="00E862D9" w:rsidRDefault="00E51CDD" w:rsidP="00E51CDD">
      <w:pPr>
        <w:jc w:val="both"/>
        <w:rPr>
          <w:u w:val="single"/>
        </w:rPr>
      </w:pPr>
      <w:r w:rsidRPr="00E862D9">
        <w:rPr>
          <w:u w:val="single"/>
        </w:rPr>
        <w:t>Validity criteria:</w:t>
      </w:r>
    </w:p>
    <w:p w14:paraId="64C145CA" w14:textId="77777777" w:rsidR="00E51CDD" w:rsidRPr="00E862D9" w:rsidRDefault="00E51CDD" w:rsidP="00E51CDD">
      <w:pPr>
        <w:autoSpaceDE w:val="0"/>
        <w:autoSpaceDN w:val="0"/>
        <w:adjustRightInd w:val="0"/>
        <w:rPr>
          <w:rFonts w:asciiTheme="minorHAnsi" w:eastAsiaTheme="minorHAnsi" w:hAnsiTheme="minorHAnsi" w:cstheme="minorHAnsi"/>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40"/>
        <w:gridCol w:w="3828"/>
      </w:tblGrid>
      <w:tr w:rsidR="00E51CDD" w:rsidRPr="00E862D9" w14:paraId="2BBC7418" w14:textId="77777777" w:rsidTr="009938D9">
        <w:trPr>
          <w:trHeight w:val="240"/>
        </w:trPr>
        <w:tc>
          <w:tcPr>
            <w:tcW w:w="5740" w:type="dxa"/>
            <w:shd w:val="clear" w:color="auto" w:fill="auto"/>
            <w:noWrap/>
            <w:vAlign w:val="center"/>
            <w:hideMark/>
          </w:tcPr>
          <w:p w14:paraId="659F43C7" w14:textId="77777777" w:rsidR="00E51CDD" w:rsidRPr="00E862D9" w:rsidRDefault="00E51CDD" w:rsidP="009938D9">
            <w:pPr>
              <w:widowControl w:val="0"/>
              <w:rPr>
                <w:b/>
                <w:bCs/>
                <w:sz w:val="20"/>
                <w:szCs w:val="20"/>
              </w:rPr>
            </w:pPr>
            <w:r w:rsidRPr="00E862D9">
              <w:rPr>
                <w:b/>
                <w:sz w:val="20"/>
                <w:szCs w:val="20"/>
              </w:rPr>
              <w:t xml:space="preserve">Validity criteria according to OECD 246 </w:t>
            </w:r>
            <w:r w:rsidRPr="00E862D9">
              <w:rPr>
                <w:b/>
                <w:bCs/>
                <w:sz w:val="20"/>
                <w:szCs w:val="20"/>
              </w:rPr>
              <w:t>(2017)</w:t>
            </w:r>
          </w:p>
        </w:tc>
        <w:tc>
          <w:tcPr>
            <w:tcW w:w="3828" w:type="dxa"/>
            <w:shd w:val="clear" w:color="auto" w:fill="auto"/>
            <w:noWrap/>
            <w:vAlign w:val="center"/>
            <w:hideMark/>
          </w:tcPr>
          <w:p w14:paraId="29F80AA0" w14:textId="77777777" w:rsidR="00E51CDD" w:rsidRPr="00E862D9" w:rsidRDefault="00E51CDD" w:rsidP="009938D9">
            <w:pPr>
              <w:widowControl w:val="0"/>
              <w:rPr>
                <w:b/>
                <w:bCs/>
                <w:sz w:val="20"/>
                <w:szCs w:val="20"/>
              </w:rPr>
            </w:pPr>
            <w:r w:rsidRPr="00E862D9">
              <w:rPr>
                <w:b/>
                <w:sz w:val="20"/>
                <w:szCs w:val="20"/>
              </w:rPr>
              <w:t>Obtained in this study</w:t>
            </w:r>
          </w:p>
        </w:tc>
      </w:tr>
      <w:tr w:rsidR="00E51CDD" w:rsidRPr="00E862D9" w14:paraId="6925AC5A" w14:textId="77777777" w:rsidTr="009938D9">
        <w:trPr>
          <w:trHeight w:val="244"/>
        </w:trPr>
        <w:tc>
          <w:tcPr>
            <w:tcW w:w="5740" w:type="dxa"/>
            <w:shd w:val="clear" w:color="auto" w:fill="auto"/>
            <w:noWrap/>
            <w:vAlign w:val="center"/>
          </w:tcPr>
          <w:p w14:paraId="77BE79A2" w14:textId="77777777" w:rsidR="00E51CDD" w:rsidRPr="00E862D9" w:rsidRDefault="00E51CDD" w:rsidP="009938D9">
            <w:pPr>
              <w:widowControl w:val="0"/>
              <w:rPr>
                <w:sz w:val="20"/>
                <w:szCs w:val="20"/>
              </w:rPr>
            </w:pPr>
            <w:r w:rsidRPr="00E862D9">
              <w:rPr>
                <w:sz w:val="20"/>
                <w:szCs w:val="20"/>
              </w:rPr>
              <w:t>Control mortality ≤ 10%</w:t>
            </w:r>
          </w:p>
        </w:tc>
        <w:tc>
          <w:tcPr>
            <w:tcW w:w="3828" w:type="dxa"/>
            <w:shd w:val="clear" w:color="auto" w:fill="auto"/>
            <w:noWrap/>
            <w:vAlign w:val="center"/>
          </w:tcPr>
          <w:p w14:paraId="614D2F8A" w14:textId="77777777" w:rsidR="00E51CDD" w:rsidRPr="00E862D9" w:rsidRDefault="00E51CDD" w:rsidP="009938D9">
            <w:pPr>
              <w:widowControl w:val="0"/>
              <w:rPr>
                <w:sz w:val="20"/>
                <w:szCs w:val="20"/>
              </w:rPr>
            </w:pPr>
            <w:r w:rsidRPr="00E862D9">
              <w:rPr>
                <w:sz w:val="20"/>
                <w:szCs w:val="20"/>
              </w:rPr>
              <w:t>0%</w:t>
            </w:r>
          </w:p>
        </w:tc>
      </w:tr>
      <w:tr w:rsidR="00E51CDD" w:rsidRPr="00E862D9" w14:paraId="295F7982" w14:textId="77777777" w:rsidTr="009938D9">
        <w:tc>
          <w:tcPr>
            <w:tcW w:w="5740" w:type="dxa"/>
            <w:shd w:val="clear" w:color="auto" w:fill="auto"/>
            <w:noWrap/>
            <w:vAlign w:val="center"/>
          </w:tcPr>
          <w:p w14:paraId="6551F620" w14:textId="77777777" w:rsidR="00E51CDD" w:rsidRPr="00E862D9" w:rsidRDefault="00E51CDD" w:rsidP="009938D9">
            <w:pPr>
              <w:widowControl w:val="0"/>
              <w:rPr>
                <w:sz w:val="20"/>
                <w:szCs w:val="20"/>
              </w:rPr>
            </w:pPr>
            <w:r w:rsidRPr="00E862D9">
              <w:rPr>
                <w:sz w:val="20"/>
                <w:szCs w:val="20"/>
              </w:rPr>
              <w:t xml:space="preserve">Reference item mortality ≥ 50% </w:t>
            </w:r>
          </w:p>
        </w:tc>
        <w:tc>
          <w:tcPr>
            <w:tcW w:w="3828" w:type="dxa"/>
            <w:shd w:val="clear" w:color="auto" w:fill="auto"/>
            <w:noWrap/>
            <w:vAlign w:val="center"/>
          </w:tcPr>
          <w:p w14:paraId="145C0604" w14:textId="77777777" w:rsidR="00E51CDD" w:rsidRPr="00E862D9" w:rsidRDefault="00E51CDD" w:rsidP="009938D9">
            <w:pPr>
              <w:widowControl w:val="0"/>
              <w:rPr>
                <w:sz w:val="20"/>
                <w:szCs w:val="20"/>
              </w:rPr>
            </w:pPr>
            <w:r w:rsidRPr="00E862D9">
              <w:rPr>
                <w:sz w:val="20"/>
                <w:szCs w:val="20"/>
              </w:rPr>
              <w:t>83.3% at 12 µg a.s./bumble bee</w:t>
            </w:r>
          </w:p>
        </w:tc>
      </w:tr>
    </w:tbl>
    <w:p w14:paraId="4EC53097" w14:textId="77777777" w:rsidR="00E51CDD" w:rsidRDefault="00E51CDD" w:rsidP="00E51CDD">
      <w:pPr>
        <w:jc w:val="both"/>
        <w:rPr>
          <w:b/>
          <w:u w:val="single"/>
        </w:rPr>
      </w:pPr>
    </w:p>
    <w:p w14:paraId="7DE5EBD1" w14:textId="77777777" w:rsidR="00E51CDD" w:rsidRPr="00E862D9" w:rsidRDefault="00E51CDD" w:rsidP="00E51CDD">
      <w:pPr>
        <w:jc w:val="both"/>
        <w:rPr>
          <w:b/>
          <w:u w:val="single"/>
        </w:rPr>
      </w:pPr>
    </w:p>
    <w:p w14:paraId="78949E65" w14:textId="77777777" w:rsidR="00E51CDD" w:rsidRPr="00E862D9" w:rsidRDefault="00E51CDD" w:rsidP="00E51CDD">
      <w:pPr>
        <w:jc w:val="both"/>
      </w:pPr>
      <w:r w:rsidRPr="00E862D9">
        <w:t>All validity criteria were met.</w:t>
      </w:r>
    </w:p>
    <w:bookmarkEnd w:id="1195"/>
    <w:p w14:paraId="788D7110" w14:textId="77777777" w:rsidR="00E51CDD" w:rsidRPr="00E862D9" w:rsidRDefault="00E51CDD" w:rsidP="00E51CDD">
      <w:pPr>
        <w:widowControl w:val="0"/>
        <w:suppressAutoHyphens/>
      </w:pPr>
    </w:p>
    <w:p w14:paraId="65377410" w14:textId="77777777" w:rsidR="00E51CDD" w:rsidRPr="00E862D9" w:rsidRDefault="00E51CDD" w:rsidP="00E51CDD">
      <w:pPr>
        <w:widowControl w:val="0"/>
        <w:suppressAutoHyphens/>
      </w:pPr>
    </w:p>
    <w:p w14:paraId="1B6C7064" w14:textId="77777777" w:rsidR="00E51CDD" w:rsidRPr="00E862D9" w:rsidRDefault="00E51CDD" w:rsidP="00E51CDD">
      <w:pPr>
        <w:widowControl w:val="0"/>
        <w:jc w:val="both"/>
        <w:rPr>
          <w:b/>
        </w:rPr>
      </w:pPr>
      <w:r w:rsidRPr="00E862D9">
        <w:rPr>
          <w:b/>
        </w:rPr>
        <w:t>III.</w:t>
      </w:r>
      <w:r w:rsidRPr="00E862D9">
        <w:rPr>
          <w:b/>
        </w:rPr>
        <w:tab/>
        <w:t>CONCLUSION</w:t>
      </w:r>
    </w:p>
    <w:p w14:paraId="2A20795B" w14:textId="77777777" w:rsidR="00E51CDD" w:rsidRPr="00E862D9" w:rsidRDefault="00E51CDD" w:rsidP="00E51CDD">
      <w:pPr>
        <w:widowControl w:val="0"/>
        <w:suppressAutoHyphens/>
      </w:pPr>
    </w:p>
    <w:p w14:paraId="3ADC6769" w14:textId="77777777" w:rsidR="00E51CDD" w:rsidRPr="00E862D9" w:rsidRDefault="00E51CDD" w:rsidP="00E51CDD">
      <w:pPr>
        <w:widowControl w:val="0"/>
        <w:suppressAutoHyphens/>
        <w:jc w:val="both"/>
      </w:pPr>
      <w:r w:rsidRPr="00E862D9">
        <w:rPr>
          <w:b/>
          <w:bCs/>
        </w:rPr>
        <w:t>In the acute contact toxicity test with BAS 700 04 F, the resulting LD</w:t>
      </w:r>
      <w:r w:rsidRPr="00E862D9">
        <w:rPr>
          <w:b/>
          <w:bCs/>
          <w:vertAlign w:val="subscript"/>
        </w:rPr>
        <w:t>50</w:t>
      </w:r>
      <w:r w:rsidRPr="00E862D9">
        <w:rPr>
          <w:b/>
          <w:bCs/>
        </w:rPr>
        <w:t xml:space="preserve"> after 96 hours was estimated to be &gt; 753.3 μg BAS 700 04 F/bumble bee, corresponding to &gt; 200 µg a.s./bumble bee.</w:t>
      </w:r>
    </w:p>
    <w:bookmarkEnd w:id="1194"/>
    <w:p w14:paraId="3477E855" w14:textId="77777777" w:rsidR="00E51CDD" w:rsidRPr="002321A6" w:rsidRDefault="00E51CDD" w:rsidP="00E51CDD">
      <w:pPr>
        <w:widowControl w:val="0"/>
        <w:jc w:val="both"/>
      </w:pPr>
      <w:r>
        <w:br w:type="page"/>
      </w:r>
    </w:p>
    <w:bookmarkEnd w:id="1171"/>
    <w:p w14:paraId="7718DFC4" w14:textId="77777777" w:rsidR="00E51CDD" w:rsidRDefault="00E51CDD" w:rsidP="00E51CDD">
      <w:pPr>
        <w:pStyle w:val="RepAppendix4"/>
      </w:pPr>
      <w:r w:rsidRPr="002B1114">
        <w:lastRenderedPageBreak/>
        <w:t xml:space="preserve">KCP 10.3.1.2. </w:t>
      </w:r>
      <w:r w:rsidRPr="002B1114">
        <w:tab/>
        <w:t>Chronic toxicity to bees</w:t>
      </w:r>
    </w:p>
    <w:p w14:paraId="104D48B5" w14:textId="77777777" w:rsidR="00E51CDD" w:rsidRPr="00BE28C7" w:rsidRDefault="00E51CDD" w:rsidP="00B31542">
      <w:pPr>
        <w:pStyle w:val="RepAppendix5"/>
      </w:pPr>
      <w:r w:rsidRPr="00BE28C7">
        <w:t>Study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2D09F23C" w14:textId="77777777" w:rsidTr="002346A8">
        <w:trPr>
          <w:trHeight w:val="429"/>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EB0DCF" w14:textId="77777777" w:rsidR="00E51CDD" w:rsidRDefault="00E51CDD" w:rsidP="009938D9">
            <w:pPr>
              <w:pStyle w:val="RepStandard"/>
              <w:rPr>
                <w:rFonts w:eastAsia="Batang"/>
              </w:rPr>
            </w:pPr>
            <w:bookmarkStart w:id="1196" w:name="_Hlk88465826"/>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7DB808" w14:textId="55AB8F13" w:rsidR="00E51CDD" w:rsidRDefault="00750399" w:rsidP="009938D9">
            <w:pPr>
              <w:pStyle w:val="RepStandard"/>
              <w:ind w:left="85"/>
              <w:rPr>
                <w:rFonts w:eastAsia="Batang"/>
              </w:rPr>
            </w:pPr>
            <w:r>
              <w:rPr>
                <w:rFonts w:eastAsia="Batang"/>
              </w:rPr>
              <w:t xml:space="preserve">Study not evaluated. </w:t>
            </w:r>
          </w:p>
        </w:tc>
      </w:tr>
    </w:tbl>
    <w:p w14:paraId="719EADDA"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6C3A6611" w14:textId="77777777" w:rsidTr="009938D9">
        <w:trPr>
          <w:gridAfter w:val="1"/>
          <w:wAfter w:w="9" w:type="pct"/>
        </w:trPr>
        <w:tc>
          <w:tcPr>
            <w:tcW w:w="1340" w:type="pct"/>
            <w:hideMark/>
          </w:tcPr>
          <w:p w14:paraId="6F807E07" w14:textId="77777777" w:rsidR="00E51CDD" w:rsidRDefault="00E51CDD" w:rsidP="009938D9">
            <w:pPr>
              <w:pStyle w:val="RepStandard"/>
              <w:rPr>
                <w:lang w:val="de-DE"/>
              </w:rPr>
            </w:pPr>
            <w:r>
              <w:t>Reference:</w:t>
            </w:r>
          </w:p>
        </w:tc>
        <w:tc>
          <w:tcPr>
            <w:tcW w:w="3651" w:type="pct"/>
            <w:hideMark/>
          </w:tcPr>
          <w:p w14:paraId="2F6FB9DF" w14:textId="77777777" w:rsidR="00E51CDD" w:rsidRDefault="00E51CDD" w:rsidP="009938D9">
            <w:pPr>
              <w:pStyle w:val="RepStandard"/>
            </w:pPr>
            <w:r>
              <w:t>CP 10.3.1.2/1</w:t>
            </w:r>
          </w:p>
        </w:tc>
      </w:tr>
      <w:tr w:rsidR="00E51CDD" w14:paraId="4C9144CF" w14:textId="77777777" w:rsidTr="009938D9">
        <w:trPr>
          <w:gridAfter w:val="1"/>
          <w:wAfter w:w="9" w:type="pct"/>
        </w:trPr>
        <w:tc>
          <w:tcPr>
            <w:tcW w:w="1340" w:type="pct"/>
            <w:hideMark/>
          </w:tcPr>
          <w:p w14:paraId="176A9403" w14:textId="77777777" w:rsidR="00E51CDD" w:rsidRDefault="00E51CDD" w:rsidP="009938D9">
            <w:pPr>
              <w:pStyle w:val="RepStandard"/>
              <w:spacing w:after="120"/>
            </w:pPr>
            <w:r>
              <w:t>Report</w:t>
            </w:r>
          </w:p>
        </w:tc>
        <w:tc>
          <w:tcPr>
            <w:tcW w:w="3651" w:type="pct"/>
            <w:hideMark/>
          </w:tcPr>
          <w:p w14:paraId="6EBCF80D" w14:textId="77777777" w:rsidR="00E51CDD" w:rsidRDefault="00E51CDD" w:rsidP="009938D9">
            <w:pPr>
              <w:pStyle w:val="RepStandard"/>
              <w:spacing w:after="120"/>
              <w:rPr>
                <w:lang w:val="en-US"/>
              </w:rPr>
            </w:pPr>
            <w:r>
              <w:rPr>
                <w:lang w:val="en-US"/>
              </w:rPr>
              <w:t>Chronic toxicity of BAS 700 F tested as BAS 700 04 F to the honey bee Apis mellifera L. under laboratory conditions,</w:t>
            </w:r>
          </w:p>
          <w:p w14:paraId="6284F711" w14:textId="77777777" w:rsidR="00E51CDD" w:rsidRDefault="00E51CDD" w:rsidP="009938D9">
            <w:pPr>
              <w:pStyle w:val="RepStandard"/>
              <w:spacing w:after="120"/>
              <w:rPr>
                <w:lang w:val="en-US"/>
              </w:rPr>
            </w:pPr>
            <w:r>
              <w:rPr>
                <w:lang w:val="en-US"/>
              </w:rPr>
              <w:t>Dressler, K., 2021</w:t>
            </w:r>
          </w:p>
          <w:p w14:paraId="22073A31" w14:textId="77777777" w:rsidR="00E51CDD" w:rsidRDefault="00E51CDD" w:rsidP="009938D9">
            <w:pPr>
              <w:pStyle w:val="RepStandard"/>
              <w:spacing w:after="120"/>
              <w:rPr>
                <w:lang w:val="en-US"/>
              </w:rPr>
            </w:pPr>
            <w:r>
              <w:rPr>
                <w:lang w:val="en-US"/>
              </w:rPr>
              <w:t>report No 863261, 2048BAC0072</w:t>
            </w:r>
          </w:p>
          <w:p w14:paraId="0A503CAD" w14:textId="77777777" w:rsidR="00E51CDD" w:rsidRDefault="00E51CDD" w:rsidP="009938D9">
            <w:pPr>
              <w:pStyle w:val="RepStandard"/>
              <w:spacing w:after="120"/>
            </w:pPr>
            <w:r>
              <w:rPr>
                <w:lang w:val="en-US"/>
              </w:rPr>
              <w:t>2020/2083866</w:t>
            </w:r>
          </w:p>
          <w:p w14:paraId="43346847" w14:textId="77777777" w:rsidR="00E51CDD" w:rsidRDefault="00E51CDD" w:rsidP="009938D9">
            <w:pPr>
              <w:pStyle w:val="RepStandard"/>
            </w:pPr>
            <w:r>
              <w:t>Authority registration No</w:t>
            </w:r>
          </w:p>
        </w:tc>
      </w:tr>
      <w:tr w:rsidR="00E51CDD" w14:paraId="2BA8B5AF" w14:textId="77777777" w:rsidTr="009938D9">
        <w:trPr>
          <w:gridAfter w:val="1"/>
          <w:wAfter w:w="9" w:type="pct"/>
        </w:trPr>
        <w:tc>
          <w:tcPr>
            <w:tcW w:w="1340" w:type="pct"/>
            <w:hideMark/>
          </w:tcPr>
          <w:p w14:paraId="7C098AF1" w14:textId="77777777" w:rsidR="00E51CDD" w:rsidRDefault="00E51CDD" w:rsidP="009938D9">
            <w:pPr>
              <w:pStyle w:val="RepStandard"/>
            </w:pPr>
            <w:r>
              <w:t>Guideline(s):</w:t>
            </w:r>
          </w:p>
        </w:tc>
        <w:tc>
          <w:tcPr>
            <w:tcW w:w="3651" w:type="pct"/>
            <w:hideMark/>
          </w:tcPr>
          <w:p w14:paraId="15244646" w14:textId="77777777" w:rsidR="00E51CDD" w:rsidRDefault="00E51CDD" w:rsidP="009938D9">
            <w:pPr>
              <w:pStyle w:val="RepStandard"/>
              <w:spacing w:after="120"/>
            </w:pPr>
            <w:r>
              <w:rPr>
                <w:lang w:val="en-US"/>
              </w:rPr>
              <w:t>OECD 245 (2017)</w:t>
            </w:r>
            <w:r>
              <w:t xml:space="preserve"> </w:t>
            </w:r>
          </w:p>
        </w:tc>
      </w:tr>
      <w:tr w:rsidR="00E51CDD" w14:paraId="3074D3C7" w14:textId="77777777" w:rsidTr="009938D9">
        <w:trPr>
          <w:gridAfter w:val="1"/>
          <w:wAfter w:w="9" w:type="pct"/>
        </w:trPr>
        <w:tc>
          <w:tcPr>
            <w:tcW w:w="1340" w:type="pct"/>
            <w:hideMark/>
          </w:tcPr>
          <w:p w14:paraId="024ED4A4" w14:textId="77777777" w:rsidR="00E51CDD" w:rsidRDefault="00E51CDD" w:rsidP="009938D9">
            <w:pPr>
              <w:pStyle w:val="RepStandard"/>
            </w:pPr>
            <w:r>
              <w:t>Deviations:</w:t>
            </w:r>
          </w:p>
        </w:tc>
        <w:tc>
          <w:tcPr>
            <w:tcW w:w="3651" w:type="pct"/>
            <w:hideMark/>
          </w:tcPr>
          <w:p w14:paraId="254057CB" w14:textId="77777777" w:rsidR="00E51CDD" w:rsidRDefault="00E51CDD" w:rsidP="009938D9">
            <w:pPr>
              <w:pStyle w:val="RepStandard"/>
              <w:spacing w:after="120"/>
            </w:pPr>
            <w:r>
              <w:t>No</w:t>
            </w:r>
          </w:p>
        </w:tc>
      </w:tr>
      <w:tr w:rsidR="00E51CDD" w:rsidRPr="00662F32" w14:paraId="61059D27" w14:textId="77777777" w:rsidTr="009938D9">
        <w:tc>
          <w:tcPr>
            <w:tcW w:w="1340" w:type="pct"/>
            <w:hideMark/>
          </w:tcPr>
          <w:p w14:paraId="0CED3949" w14:textId="77777777" w:rsidR="00E51CDD" w:rsidRDefault="00E51CDD" w:rsidP="009938D9">
            <w:pPr>
              <w:pStyle w:val="RepStandard"/>
            </w:pPr>
            <w:r>
              <w:t>GLP:</w:t>
            </w:r>
          </w:p>
        </w:tc>
        <w:tc>
          <w:tcPr>
            <w:tcW w:w="3660" w:type="pct"/>
            <w:gridSpan w:val="2"/>
            <w:hideMark/>
          </w:tcPr>
          <w:p w14:paraId="03BB5DA5" w14:textId="77777777" w:rsidR="00E51CDD" w:rsidRPr="00E111CB" w:rsidRDefault="00E51CDD" w:rsidP="009938D9">
            <w:pPr>
              <w:tabs>
                <w:tab w:val="left" w:pos="425"/>
                <w:tab w:val="left" w:pos="850"/>
              </w:tabs>
              <w:spacing w:after="120"/>
              <w:ind w:left="1985" w:hanging="1985"/>
              <w:rPr>
                <w:b/>
                <w:lang w:val="de-DE"/>
              </w:rPr>
            </w:pPr>
            <w:r w:rsidRPr="00E111CB">
              <w:rPr>
                <w:lang w:val="de-DE"/>
              </w:rPr>
              <w:t>yes</w:t>
            </w:r>
          </w:p>
          <w:p w14:paraId="4604384A" w14:textId="77777777" w:rsidR="00E51CDD" w:rsidRPr="00E111CB" w:rsidRDefault="00E51CDD" w:rsidP="009938D9">
            <w:pPr>
              <w:pStyle w:val="RepStandard"/>
              <w:spacing w:after="120"/>
              <w:jc w:val="left"/>
              <w:rPr>
                <w:lang w:val="de-DE"/>
              </w:rPr>
            </w:pPr>
            <w:r w:rsidRPr="00E111CB">
              <w:rPr>
                <w:lang w:val="de-DE"/>
              </w:rPr>
              <w:t>(certified by Saechsisches Staatsministerium fuer Umwelt und Landwirtschaft, Dresden, Germany</w:t>
            </w:r>
            <w:r>
              <w:rPr>
                <w:lang w:val="de-DE"/>
              </w:rPr>
              <w:t>),</w:t>
            </w:r>
          </w:p>
          <w:p w14:paraId="2AF05550" w14:textId="77777777" w:rsidR="00E51CDD" w:rsidRPr="00E111CB" w:rsidRDefault="00E51CDD" w:rsidP="009938D9">
            <w:pPr>
              <w:pStyle w:val="RepStandard"/>
              <w:jc w:val="left"/>
              <w:rPr>
                <w:lang w:val="de-DE"/>
              </w:rPr>
            </w:pPr>
          </w:p>
        </w:tc>
      </w:tr>
      <w:tr w:rsidR="00E51CDD" w14:paraId="00EF72BA" w14:textId="77777777" w:rsidTr="009938D9">
        <w:trPr>
          <w:gridAfter w:val="1"/>
          <w:wAfter w:w="9" w:type="pct"/>
        </w:trPr>
        <w:tc>
          <w:tcPr>
            <w:tcW w:w="1340" w:type="pct"/>
            <w:hideMark/>
          </w:tcPr>
          <w:p w14:paraId="2F6AB8C3" w14:textId="77777777" w:rsidR="00E51CDD" w:rsidRDefault="00E51CDD" w:rsidP="009938D9">
            <w:pPr>
              <w:pStyle w:val="RepStandard"/>
              <w:rPr>
                <w:lang w:val="de-DE"/>
              </w:rPr>
            </w:pPr>
            <w:r>
              <w:t>Acceptability:</w:t>
            </w:r>
          </w:p>
        </w:tc>
        <w:tc>
          <w:tcPr>
            <w:tcW w:w="3651" w:type="pct"/>
            <w:hideMark/>
          </w:tcPr>
          <w:p w14:paraId="2C3ED148" w14:textId="77777777" w:rsidR="00E51CDD" w:rsidRDefault="00E51CDD" w:rsidP="009938D9">
            <w:pPr>
              <w:pStyle w:val="RepStandard"/>
            </w:pPr>
            <w:r>
              <w:t xml:space="preserve">Yes </w:t>
            </w:r>
          </w:p>
        </w:tc>
      </w:tr>
      <w:tr w:rsidR="00E51CDD" w14:paraId="45E0C247" w14:textId="77777777" w:rsidTr="009938D9">
        <w:trPr>
          <w:gridAfter w:val="1"/>
          <w:wAfter w:w="9" w:type="pct"/>
        </w:trPr>
        <w:tc>
          <w:tcPr>
            <w:tcW w:w="1340" w:type="pct"/>
            <w:hideMark/>
          </w:tcPr>
          <w:p w14:paraId="7D110C8E" w14:textId="77777777" w:rsidR="00E51CDD" w:rsidRDefault="00E51CDD" w:rsidP="009938D9">
            <w:pPr>
              <w:pStyle w:val="RepStandard"/>
            </w:pPr>
            <w:r>
              <w:t xml:space="preserve">Duplication </w:t>
            </w:r>
            <w:r>
              <w:br/>
              <w:t>(if vertebrate study)</w:t>
            </w:r>
          </w:p>
        </w:tc>
        <w:tc>
          <w:tcPr>
            <w:tcW w:w="3651" w:type="pct"/>
            <w:hideMark/>
          </w:tcPr>
          <w:p w14:paraId="121B8C44" w14:textId="77777777" w:rsidR="00E51CDD" w:rsidRDefault="00E51CDD" w:rsidP="009938D9">
            <w:pPr>
              <w:pStyle w:val="RepStandard"/>
              <w:spacing w:after="120"/>
              <w:rPr>
                <w:highlight w:val="yellow"/>
              </w:rPr>
            </w:pPr>
            <w:r>
              <w:t>No</w:t>
            </w:r>
          </w:p>
        </w:tc>
      </w:tr>
    </w:tbl>
    <w:p w14:paraId="5A89F2C3" w14:textId="77777777" w:rsidR="00E51CDD" w:rsidRDefault="00E51CDD" w:rsidP="00E51CDD">
      <w:pPr>
        <w:widowControl w:val="0"/>
        <w:jc w:val="both"/>
      </w:pPr>
    </w:p>
    <w:p w14:paraId="7932FBED" w14:textId="77777777" w:rsidR="00E51CDD" w:rsidRDefault="00E51CDD" w:rsidP="00E51CDD">
      <w:pPr>
        <w:tabs>
          <w:tab w:val="left" w:pos="425"/>
          <w:tab w:val="left" w:pos="850"/>
          <w:tab w:val="left" w:pos="7365"/>
        </w:tabs>
        <w:rPr>
          <w:b/>
          <w:bCs/>
          <w:szCs w:val="24"/>
        </w:rPr>
      </w:pPr>
      <w:r>
        <w:rPr>
          <w:b/>
          <w:bCs/>
          <w:szCs w:val="24"/>
        </w:rPr>
        <w:t>Executive Summary</w:t>
      </w:r>
    </w:p>
    <w:p w14:paraId="33F7B22D" w14:textId="77777777" w:rsidR="00E51CDD" w:rsidRDefault="00E51CDD" w:rsidP="00E51CDD">
      <w:pPr>
        <w:widowControl w:val="0"/>
        <w:rPr>
          <w:szCs w:val="24"/>
        </w:rPr>
      </w:pPr>
    </w:p>
    <w:p w14:paraId="407B4496" w14:textId="77777777" w:rsidR="00E51CDD" w:rsidRPr="00A25D45" w:rsidRDefault="00E51CDD" w:rsidP="00E51CDD">
      <w:pPr>
        <w:widowControl w:val="0"/>
        <w:jc w:val="both"/>
        <w:rPr>
          <w:szCs w:val="24"/>
        </w:rPr>
      </w:pPr>
      <w:r w:rsidRPr="00A25D45">
        <w:t>In a 10-day chronic toxicity feeding test, max. 2-day old worker honey bees (</w:t>
      </w:r>
      <w:r w:rsidRPr="00A25D45">
        <w:rPr>
          <w:i/>
          <w:iCs/>
        </w:rPr>
        <w:t>Apis mellifera</w:t>
      </w:r>
      <w:r w:rsidRPr="00A25D45">
        <w:t xml:space="preserve"> L. ssp. Buckfast) were exposed to a daily application of BAS 700 04 F diluted in the bee food. The chronic oral toxicity of the test item was determined at nominal doses of 47.1, 94.1, 188, 377 and 753 µg product/bee/day </w:t>
      </w:r>
      <w:r w:rsidRPr="00A25D45">
        <w:rPr>
          <w:szCs w:val="24"/>
        </w:rPr>
        <w:t>(effective doses were 46.5, 108, 172, 413 and 697 </w:t>
      </w:r>
      <w:r>
        <w:rPr>
          <w:szCs w:val="24"/>
        </w:rPr>
        <w:t>μ</w:t>
      </w:r>
      <w:r w:rsidRPr="00A25D45">
        <w:rPr>
          <w:szCs w:val="24"/>
        </w:rPr>
        <w:t>g product/bee/day)</w:t>
      </w:r>
      <w:r w:rsidRPr="00A25D45">
        <w:t xml:space="preserve">, corresponding to concentrations of 1.199, 2.397, 4.794, 9.588 and 19.176 g product/kg food. </w:t>
      </w:r>
      <w:r w:rsidRPr="00A25D45">
        <w:rPr>
          <w:szCs w:val="24"/>
        </w:rPr>
        <w:t xml:space="preserve">Additionally, honey bees were treated with Danadim® Progress (dimethoate) as reference item at a nominal dose of 27.3 ng a.s./bee/day. Untreated diet was served as a control and </w:t>
      </w:r>
      <w:r w:rsidRPr="00A25D45">
        <w:t>untreated diet containing 0.1% (w/v) xanthan served as viscosifier control.</w:t>
      </w:r>
      <w:r w:rsidRPr="00A25D45">
        <w:rPr>
          <w:szCs w:val="24"/>
        </w:rPr>
        <w:t xml:space="preserve"> Assessments of mortality, </w:t>
      </w:r>
      <w:r w:rsidRPr="00A25D45">
        <w:t>food consumption</w:t>
      </w:r>
      <w:r w:rsidRPr="00A25D45">
        <w:rPr>
          <w:szCs w:val="24"/>
        </w:rPr>
        <w:t xml:space="preserve"> and behavioral abnormalities were done daily.</w:t>
      </w:r>
    </w:p>
    <w:p w14:paraId="5402F8F8" w14:textId="77777777" w:rsidR="00E51CDD" w:rsidRPr="00A25D45" w:rsidRDefault="00E51CDD" w:rsidP="00E51CDD">
      <w:pPr>
        <w:widowControl w:val="0"/>
        <w:jc w:val="both"/>
        <w:rPr>
          <w:szCs w:val="24"/>
        </w:rPr>
      </w:pPr>
    </w:p>
    <w:p w14:paraId="11163111" w14:textId="77777777" w:rsidR="00E51CDD" w:rsidRPr="00A25D45" w:rsidRDefault="00E51CDD" w:rsidP="00E51CDD">
      <w:pPr>
        <w:widowControl w:val="0"/>
        <w:jc w:val="both"/>
        <w:rPr>
          <w:szCs w:val="24"/>
        </w:rPr>
      </w:pPr>
      <w:r w:rsidRPr="00A25D45">
        <w:rPr>
          <w:szCs w:val="24"/>
        </w:rPr>
        <w:t xml:space="preserve">After 10 days of continuous exposure, a mean mortality of 3.3% was observed in both control groups. In the test item group, bees effectively consumed doses of 46.5, 108, 172, 413 and 697 µg BAS 700 04 F/bee/day which resulted in mortalities of 0.0, 0.0, 0.0, 3.3 and 6.7%, respectively. The resulting corrected mortalities were 0.0, 0.0, 0.0, 0.0 and 3.4%. None of the obtained mortalities were statistically significantly increased compared to the viscosifier control group. </w:t>
      </w:r>
      <w:r w:rsidRPr="00A25D45">
        <w:t>No behavioral abnormalities were observed in any test item treatment group on any assessment day.</w:t>
      </w:r>
    </w:p>
    <w:p w14:paraId="1B650D07" w14:textId="77777777" w:rsidR="00E51CDD" w:rsidRPr="00A25D45" w:rsidRDefault="00E51CDD" w:rsidP="00E51CDD">
      <w:pPr>
        <w:widowControl w:val="0"/>
        <w:jc w:val="both"/>
        <w:rPr>
          <w:szCs w:val="24"/>
        </w:rPr>
      </w:pPr>
    </w:p>
    <w:p w14:paraId="0EB193B2" w14:textId="77777777" w:rsidR="00E51CDD" w:rsidRDefault="00E51CDD" w:rsidP="00E51CDD">
      <w:pPr>
        <w:widowControl w:val="0"/>
        <w:jc w:val="both"/>
        <w:rPr>
          <w:b/>
          <w:szCs w:val="24"/>
        </w:rPr>
      </w:pPr>
      <w:r w:rsidRPr="00A25D45">
        <w:rPr>
          <w:b/>
          <w:szCs w:val="24"/>
        </w:rPr>
        <w:t>In a 10-day chronic toxicity feeding test with BAS 700 04 F the NOEDD and NOEC were determined to be ≥ 697 </w:t>
      </w:r>
      <w:r>
        <w:rPr>
          <w:b/>
          <w:szCs w:val="24"/>
        </w:rPr>
        <w:t>μ</w:t>
      </w:r>
      <w:r w:rsidRPr="00A25D45">
        <w:rPr>
          <w:b/>
          <w:szCs w:val="24"/>
        </w:rPr>
        <w:t>g consumed product/bee/day and ≥ 19.176 mg product/kg food, respectively. The LDD</w:t>
      </w:r>
      <w:r w:rsidRPr="00A25D45">
        <w:rPr>
          <w:b/>
          <w:szCs w:val="24"/>
          <w:vertAlign w:val="subscript"/>
        </w:rPr>
        <w:t>50</w:t>
      </w:r>
      <w:r w:rsidRPr="00A25D45">
        <w:rPr>
          <w:b/>
          <w:szCs w:val="24"/>
        </w:rPr>
        <w:t xml:space="preserve"> and LC</w:t>
      </w:r>
      <w:r w:rsidRPr="00A25D45">
        <w:rPr>
          <w:b/>
          <w:szCs w:val="24"/>
          <w:vertAlign w:val="subscript"/>
        </w:rPr>
        <w:t>50</w:t>
      </w:r>
      <w:r w:rsidRPr="00A25D45">
        <w:rPr>
          <w:b/>
          <w:szCs w:val="24"/>
        </w:rPr>
        <w:t xml:space="preserve"> were determined to be &gt; 697 </w:t>
      </w:r>
      <w:r>
        <w:rPr>
          <w:b/>
          <w:szCs w:val="24"/>
        </w:rPr>
        <w:t>μ</w:t>
      </w:r>
      <w:r w:rsidRPr="00A25D45">
        <w:rPr>
          <w:b/>
          <w:szCs w:val="24"/>
        </w:rPr>
        <w:t>g consumed product/bee/day and &gt; 19.176 mg product/kg food, respectively.</w:t>
      </w:r>
    </w:p>
    <w:p w14:paraId="4D7BD873" w14:textId="77777777" w:rsidR="00E51CDD" w:rsidRPr="00A25D45" w:rsidRDefault="00E51CDD" w:rsidP="00E51CDD">
      <w:pPr>
        <w:widowControl w:val="0"/>
        <w:jc w:val="both"/>
        <w:rPr>
          <w:szCs w:val="24"/>
        </w:rPr>
      </w:pPr>
      <w:r>
        <w:rPr>
          <w:b/>
          <w:szCs w:val="24"/>
        </w:rPr>
        <w:br w:type="page"/>
      </w:r>
    </w:p>
    <w:p w14:paraId="232B83E1" w14:textId="77777777" w:rsidR="00E51CDD" w:rsidRPr="00A25D45" w:rsidRDefault="00E51CDD" w:rsidP="00E51CDD">
      <w:pPr>
        <w:widowControl w:val="0"/>
        <w:rPr>
          <w:b/>
          <w:bCs/>
          <w:szCs w:val="24"/>
        </w:rPr>
      </w:pPr>
      <w:r w:rsidRPr="00A25D45">
        <w:rPr>
          <w:b/>
          <w:bCs/>
          <w:szCs w:val="24"/>
        </w:rPr>
        <w:lastRenderedPageBreak/>
        <w:t>I.</w:t>
      </w:r>
      <w:r w:rsidRPr="00A25D45">
        <w:rPr>
          <w:b/>
          <w:bCs/>
          <w:szCs w:val="24"/>
        </w:rPr>
        <w:tab/>
        <w:t>MATERIAL AND METHODS</w:t>
      </w:r>
    </w:p>
    <w:p w14:paraId="576F08E2" w14:textId="77777777" w:rsidR="00E51CDD" w:rsidRPr="00A25D45" w:rsidRDefault="00E51CDD" w:rsidP="00E51CDD">
      <w:pPr>
        <w:widowControl w:val="0"/>
        <w:rPr>
          <w:b/>
          <w:bCs/>
          <w:szCs w:val="24"/>
        </w:rPr>
      </w:pPr>
    </w:p>
    <w:p w14:paraId="59B49E24" w14:textId="77777777" w:rsidR="00E51CDD" w:rsidRPr="00A25D45" w:rsidRDefault="00E51CDD" w:rsidP="00E51CDD">
      <w:pPr>
        <w:widowControl w:val="0"/>
        <w:rPr>
          <w:b/>
          <w:bCs/>
          <w:szCs w:val="24"/>
        </w:rPr>
      </w:pPr>
      <w:r w:rsidRPr="00A25D45">
        <w:rPr>
          <w:b/>
          <w:bCs/>
          <w:szCs w:val="24"/>
        </w:rPr>
        <w:t>A.</w:t>
      </w:r>
      <w:r w:rsidRPr="00A25D45">
        <w:rPr>
          <w:b/>
          <w:bCs/>
          <w:szCs w:val="24"/>
        </w:rPr>
        <w:tab/>
        <w:t>MATERIALS</w:t>
      </w:r>
    </w:p>
    <w:p w14:paraId="0123B555" w14:textId="77777777" w:rsidR="00E51CDD" w:rsidRPr="00A25D45" w:rsidRDefault="00E51CDD" w:rsidP="00E51CDD">
      <w:pPr>
        <w:widowControl w:val="0"/>
        <w:rPr>
          <w:szCs w:val="24"/>
        </w:rPr>
      </w:pPr>
    </w:p>
    <w:p w14:paraId="51F020B8" w14:textId="77777777" w:rsidR="00E51CDD" w:rsidRPr="00A25D45" w:rsidRDefault="00E51CDD" w:rsidP="00E51CDD">
      <w:pPr>
        <w:widowControl w:val="0"/>
        <w:ind w:left="2041" w:hanging="2041"/>
        <w:jc w:val="both"/>
        <w:rPr>
          <w:szCs w:val="24"/>
        </w:rPr>
      </w:pPr>
      <w:r w:rsidRPr="00A25D45">
        <w:rPr>
          <w:szCs w:val="24"/>
        </w:rPr>
        <w:t>Test item:</w:t>
      </w:r>
      <w:r w:rsidRPr="00A25D45">
        <w:rPr>
          <w:szCs w:val="24"/>
        </w:rPr>
        <w:tab/>
        <w:t>BAS 700 04 F; batch no. FRE-001683; content of a.s.: fluxapyroxad (BAS 700 F,</w:t>
      </w:r>
      <w:r>
        <w:rPr>
          <w:szCs w:val="24"/>
          <w:lang w:val="en-GB"/>
        </w:rPr>
        <w:t xml:space="preserve"> Reg. No. 5 094 351</w:t>
      </w:r>
      <w:r w:rsidRPr="00A25D45">
        <w:rPr>
          <w:szCs w:val="24"/>
        </w:rPr>
        <w:t>): 300.8 g/L analyzed (300.0 g/L nominal); density: 1.130 g/cm³.</w:t>
      </w:r>
    </w:p>
    <w:p w14:paraId="04241E72" w14:textId="77777777" w:rsidR="00E51CDD" w:rsidRPr="00A25D45" w:rsidRDefault="00E51CDD" w:rsidP="00E51CDD">
      <w:pPr>
        <w:rPr>
          <w:szCs w:val="24"/>
        </w:rPr>
      </w:pPr>
    </w:p>
    <w:p w14:paraId="78B0B40F" w14:textId="77777777" w:rsidR="00E51CDD" w:rsidRPr="00A25D45" w:rsidRDefault="00E51CDD" w:rsidP="00E51CDD">
      <w:pPr>
        <w:widowControl w:val="0"/>
        <w:rPr>
          <w:szCs w:val="24"/>
        </w:rPr>
      </w:pPr>
    </w:p>
    <w:p w14:paraId="2DF88994" w14:textId="77777777" w:rsidR="00E51CDD" w:rsidRPr="00A25D45" w:rsidRDefault="00E51CDD" w:rsidP="00E51CDD">
      <w:pPr>
        <w:widowControl w:val="0"/>
        <w:rPr>
          <w:b/>
          <w:bCs/>
          <w:szCs w:val="24"/>
        </w:rPr>
      </w:pPr>
      <w:r w:rsidRPr="00A25D45">
        <w:rPr>
          <w:b/>
          <w:bCs/>
          <w:szCs w:val="24"/>
        </w:rPr>
        <w:t>B.</w:t>
      </w:r>
      <w:r w:rsidRPr="00A25D45">
        <w:rPr>
          <w:b/>
          <w:bCs/>
          <w:szCs w:val="24"/>
        </w:rPr>
        <w:tab/>
        <w:t>STUDY DESIGN</w:t>
      </w:r>
    </w:p>
    <w:p w14:paraId="32C2BC6C" w14:textId="77777777" w:rsidR="00E51CDD" w:rsidRPr="00A25D45" w:rsidRDefault="00E51CDD" w:rsidP="00E51CDD">
      <w:pPr>
        <w:widowControl w:val="0"/>
        <w:rPr>
          <w:szCs w:val="24"/>
        </w:rPr>
      </w:pPr>
    </w:p>
    <w:p w14:paraId="73C343E9" w14:textId="77777777" w:rsidR="00E51CDD" w:rsidRPr="00A25D45" w:rsidRDefault="00E51CDD" w:rsidP="00E51CDD">
      <w:pPr>
        <w:widowControl w:val="0"/>
        <w:ind w:left="2041" w:hanging="2041"/>
        <w:jc w:val="both"/>
        <w:rPr>
          <w:szCs w:val="24"/>
        </w:rPr>
      </w:pPr>
      <w:r w:rsidRPr="00A25D45">
        <w:rPr>
          <w:szCs w:val="24"/>
        </w:rPr>
        <w:t>Test species:</w:t>
      </w:r>
      <w:r w:rsidRPr="00A25D45">
        <w:rPr>
          <w:szCs w:val="24"/>
        </w:rPr>
        <w:tab/>
      </w:r>
      <w:r w:rsidRPr="00A25D45">
        <w:rPr>
          <w:i/>
          <w:szCs w:val="24"/>
        </w:rPr>
        <w:t>Apis mellifera</w:t>
      </w:r>
      <w:r w:rsidRPr="00A25D45">
        <w:rPr>
          <w:szCs w:val="24"/>
        </w:rPr>
        <w:t xml:space="preserve"> L. ssp. Buckfast (honey bee), max. 2-day old bees; derived from healthy and queen-right colonies; source: in-house colonies.</w:t>
      </w:r>
    </w:p>
    <w:p w14:paraId="25114931" w14:textId="77777777" w:rsidR="00E51CDD" w:rsidRPr="00A25D45" w:rsidRDefault="00E51CDD" w:rsidP="00E51CDD">
      <w:pPr>
        <w:widowControl w:val="0"/>
        <w:ind w:left="2041" w:hanging="2041"/>
        <w:jc w:val="both"/>
        <w:rPr>
          <w:szCs w:val="24"/>
        </w:rPr>
      </w:pPr>
    </w:p>
    <w:p w14:paraId="2331A6E8" w14:textId="77777777" w:rsidR="00E51CDD" w:rsidRPr="00A25D45" w:rsidRDefault="00E51CDD" w:rsidP="00E51CDD">
      <w:pPr>
        <w:widowControl w:val="0"/>
        <w:ind w:left="2041" w:hanging="2041"/>
        <w:jc w:val="both"/>
        <w:rPr>
          <w:szCs w:val="24"/>
        </w:rPr>
      </w:pPr>
      <w:r w:rsidRPr="00A25D45">
        <w:rPr>
          <w:szCs w:val="24"/>
        </w:rPr>
        <w:t>Test design:</w:t>
      </w:r>
      <w:r w:rsidRPr="00A25D45">
        <w:rPr>
          <w:szCs w:val="24"/>
        </w:rPr>
        <w:tab/>
        <w:t xml:space="preserve">In a 10-day chronic test, young adults of </w:t>
      </w:r>
      <w:r w:rsidRPr="00A25D45">
        <w:rPr>
          <w:i/>
          <w:szCs w:val="24"/>
        </w:rPr>
        <w:t>Apis mellifera</w:t>
      </w:r>
      <w:r w:rsidRPr="00A25D45">
        <w:rPr>
          <w:szCs w:val="24"/>
        </w:rPr>
        <w:t xml:space="preserve"> L. were daily exposed to 5 doses of BAS 700 04 F in treated food (50% (w/v) aqueous sucrose solution + 0.1% (w/v) xanthan). The following treatment groups were set up: 5 doses of the test item, one untreated control group fed with 50% (w/v) aqueous sucrose solution, one viscosifier control group fed with 50% (w/v) aqueous sucrose solution + 0.1% (w/v) xanthan and one dose of the reference item with 3 replicates per dose and 10 bees per replicate. Assessments of bee mortality, </w:t>
      </w:r>
      <w:r w:rsidRPr="00A25D45">
        <w:t>food consumption</w:t>
      </w:r>
      <w:r w:rsidRPr="00A25D45">
        <w:rPr>
          <w:szCs w:val="24"/>
        </w:rPr>
        <w:t xml:space="preserve"> and behavioral effects were done daily during the study. Concentration of both active substances in the highest and lowest test item feeding concentration were determined analytically on the first and last day of application.</w:t>
      </w:r>
    </w:p>
    <w:p w14:paraId="42DCDE69" w14:textId="77777777" w:rsidR="00E51CDD" w:rsidRPr="00A25D45" w:rsidRDefault="00E51CDD" w:rsidP="00E51CDD">
      <w:pPr>
        <w:widowControl w:val="0"/>
        <w:ind w:left="2041" w:hanging="2041"/>
        <w:jc w:val="both"/>
        <w:rPr>
          <w:szCs w:val="24"/>
        </w:rPr>
      </w:pPr>
    </w:p>
    <w:p w14:paraId="2E4D2A9A" w14:textId="77777777" w:rsidR="00E51CDD" w:rsidRPr="00A25D45" w:rsidRDefault="00E51CDD" w:rsidP="00E51CDD">
      <w:pPr>
        <w:widowControl w:val="0"/>
        <w:ind w:left="2041" w:hanging="2041"/>
        <w:jc w:val="both"/>
        <w:rPr>
          <w:szCs w:val="24"/>
        </w:rPr>
      </w:pPr>
      <w:r w:rsidRPr="00A25D45">
        <w:rPr>
          <w:szCs w:val="24"/>
        </w:rPr>
        <w:t>Endpoint:</w:t>
      </w:r>
      <w:r w:rsidRPr="00A25D45">
        <w:rPr>
          <w:szCs w:val="24"/>
        </w:rPr>
        <w:tab/>
        <w:t>Mortality (LDD</w:t>
      </w:r>
      <w:r w:rsidRPr="00A25D45">
        <w:rPr>
          <w:szCs w:val="24"/>
          <w:vertAlign w:val="subscript"/>
        </w:rPr>
        <w:t>50</w:t>
      </w:r>
      <w:r w:rsidRPr="00A25D45">
        <w:rPr>
          <w:szCs w:val="24"/>
        </w:rPr>
        <w:t>, LC</w:t>
      </w:r>
      <w:r w:rsidRPr="00A25D45">
        <w:rPr>
          <w:szCs w:val="24"/>
          <w:vertAlign w:val="subscript"/>
        </w:rPr>
        <w:t>50</w:t>
      </w:r>
      <w:r w:rsidRPr="00A25D45">
        <w:rPr>
          <w:szCs w:val="24"/>
        </w:rPr>
        <w:t>, NOEDD, NOEC), behavioral abnormalities.</w:t>
      </w:r>
    </w:p>
    <w:p w14:paraId="61682238" w14:textId="77777777" w:rsidR="00E51CDD" w:rsidRPr="00A25D45" w:rsidRDefault="00E51CDD" w:rsidP="00E51CDD">
      <w:pPr>
        <w:widowControl w:val="0"/>
        <w:jc w:val="both"/>
        <w:rPr>
          <w:szCs w:val="24"/>
        </w:rPr>
      </w:pPr>
    </w:p>
    <w:p w14:paraId="72F5BB19" w14:textId="77777777" w:rsidR="00E51CDD" w:rsidRPr="00A25D45" w:rsidRDefault="00E51CDD" w:rsidP="00E51CDD">
      <w:pPr>
        <w:widowControl w:val="0"/>
        <w:ind w:left="2041" w:hanging="2041"/>
        <w:jc w:val="both"/>
        <w:rPr>
          <w:szCs w:val="24"/>
        </w:rPr>
      </w:pPr>
      <w:r w:rsidRPr="00A25D45">
        <w:rPr>
          <w:szCs w:val="24"/>
        </w:rPr>
        <w:t>Reference item:</w:t>
      </w:r>
      <w:r w:rsidRPr="00A25D45">
        <w:rPr>
          <w:szCs w:val="24"/>
        </w:rPr>
        <w:tab/>
        <w:t xml:space="preserve">Danadim® Progress (411.2 g dimethoate/L </w:t>
      </w:r>
      <w:r>
        <w:rPr>
          <w:szCs w:val="24"/>
          <w:lang w:val="en-GB"/>
        </w:rPr>
        <w:t>analysed, 400 g/L nominal</w:t>
      </w:r>
      <w:r w:rsidRPr="00A25D45">
        <w:rPr>
          <w:szCs w:val="24"/>
        </w:rPr>
        <w:t>).</w:t>
      </w:r>
    </w:p>
    <w:p w14:paraId="5817987B" w14:textId="77777777" w:rsidR="00E51CDD" w:rsidRPr="00A25D45" w:rsidRDefault="00E51CDD" w:rsidP="00E51CDD">
      <w:pPr>
        <w:widowControl w:val="0"/>
        <w:jc w:val="both"/>
        <w:rPr>
          <w:szCs w:val="24"/>
        </w:rPr>
      </w:pPr>
    </w:p>
    <w:p w14:paraId="1C417DD4" w14:textId="77777777" w:rsidR="00E51CDD" w:rsidRPr="00A25D45" w:rsidRDefault="00E51CDD" w:rsidP="00E51CDD">
      <w:pPr>
        <w:widowControl w:val="0"/>
        <w:ind w:left="2041" w:hanging="2041"/>
        <w:jc w:val="both"/>
        <w:rPr>
          <w:szCs w:val="24"/>
        </w:rPr>
      </w:pPr>
      <w:r w:rsidRPr="00A25D45">
        <w:rPr>
          <w:szCs w:val="24"/>
        </w:rPr>
        <w:t>Test concentrations:</w:t>
      </w:r>
      <w:r w:rsidRPr="00A25D45">
        <w:rPr>
          <w:szCs w:val="24"/>
        </w:rPr>
        <w:tab/>
        <w:t>Control (50% (w/v) aqueous sucrose solution);</w:t>
      </w:r>
    </w:p>
    <w:p w14:paraId="1784EB03" w14:textId="77777777" w:rsidR="00E51CDD" w:rsidRPr="00A25D45" w:rsidRDefault="00E51CDD" w:rsidP="00E51CDD">
      <w:pPr>
        <w:widowControl w:val="0"/>
        <w:ind w:left="2041"/>
        <w:jc w:val="both"/>
        <w:rPr>
          <w:szCs w:val="24"/>
        </w:rPr>
      </w:pPr>
      <w:r w:rsidRPr="00A25D45">
        <w:rPr>
          <w:szCs w:val="24"/>
        </w:rPr>
        <w:t>Viscosifier control (50% (w/v) aqueous sucrose solution + 0.1% (w/v) xanthan);</w:t>
      </w:r>
    </w:p>
    <w:p w14:paraId="61388005" w14:textId="77777777" w:rsidR="00E51CDD" w:rsidRPr="00A25D45" w:rsidRDefault="00E51CDD" w:rsidP="00E51CDD">
      <w:pPr>
        <w:widowControl w:val="0"/>
        <w:ind w:left="2041"/>
        <w:jc w:val="both"/>
        <w:rPr>
          <w:szCs w:val="24"/>
        </w:rPr>
      </w:pPr>
      <w:r w:rsidRPr="00A25D45">
        <w:rPr>
          <w:szCs w:val="24"/>
        </w:rPr>
        <w:t>test item (applied in 50% (w/v) sucrose solution + 0.1% (w/v) xanthan):</w:t>
      </w:r>
    </w:p>
    <w:p w14:paraId="4F9426EB" w14:textId="77777777" w:rsidR="00E51CDD" w:rsidRPr="00A25D45" w:rsidRDefault="00E51CDD" w:rsidP="00E51CDD">
      <w:pPr>
        <w:widowControl w:val="0"/>
        <w:ind w:left="2041"/>
        <w:rPr>
          <w:color w:val="0070C0"/>
          <w:szCs w:val="24"/>
        </w:rPr>
      </w:pPr>
    </w:p>
    <w:tbl>
      <w:tblPr>
        <w:tblStyle w:val="Tabela-Siatka"/>
        <w:tblW w:w="3910" w:type="pct"/>
        <w:tblInd w:w="1980" w:type="dxa"/>
        <w:tblLook w:val="04A0" w:firstRow="1" w:lastRow="0" w:firstColumn="1" w:lastColumn="0" w:noHBand="0" w:noVBand="1"/>
      </w:tblPr>
      <w:tblGrid>
        <w:gridCol w:w="1899"/>
        <w:gridCol w:w="1900"/>
        <w:gridCol w:w="1754"/>
        <w:gridCol w:w="1754"/>
      </w:tblGrid>
      <w:tr w:rsidR="00E51CDD" w:rsidRPr="00A25D45" w14:paraId="65586FC5" w14:textId="77777777" w:rsidTr="009938D9">
        <w:trPr>
          <w:trHeight w:val="247"/>
        </w:trPr>
        <w:tc>
          <w:tcPr>
            <w:tcW w:w="2600" w:type="pct"/>
            <w:gridSpan w:val="2"/>
            <w:tcBorders>
              <w:top w:val="single" w:sz="4" w:space="0" w:color="auto"/>
              <w:left w:val="single" w:sz="4" w:space="0" w:color="auto"/>
              <w:bottom w:val="single" w:sz="4" w:space="0" w:color="auto"/>
              <w:right w:val="single" w:sz="4" w:space="0" w:color="auto"/>
            </w:tcBorders>
            <w:vAlign w:val="center"/>
            <w:hideMark/>
          </w:tcPr>
          <w:p w14:paraId="01A5DCD1" w14:textId="77777777" w:rsidR="00E51CDD" w:rsidRPr="00A25D45" w:rsidRDefault="00E51CDD" w:rsidP="009938D9">
            <w:pPr>
              <w:widowControl w:val="0"/>
              <w:rPr>
                <w:sz w:val="20"/>
              </w:rPr>
            </w:pPr>
            <w:r w:rsidRPr="00A25D45">
              <w:rPr>
                <w:sz w:val="20"/>
              </w:rPr>
              <w:t>Nominal dose [µg/bee/day]</w:t>
            </w:r>
          </w:p>
        </w:tc>
        <w:tc>
          <w:tcPr>
            <w:tcW w:w="2400" w:type="pct"/>
            <w:gridSpan w:val="2"/>
            <w:tcBorders>
              <w:top w:val="single" w:sz="4" w:space="0" w:color="auto"/>
              <w:left w:val="single" w:sz="4" w:space="0" w:color="auto"/>
              <w:bottom w:val="single" w:sz="4" w:space="0" w:color="auto"/>
              <w:right w:val="single" w:sz="4" w:space="0" w:color="auto"/>
            </w:tcBorders>
            <w:vAlign w:val="center"/>
            <w:hideMark/>
          </w:tcPr>
          <w:p w14:paraId="5314F06D" w14:textId="77777777" w:rsidR="00E51CDD" w:rsidRPr="00A25D45" w:rsidRDefault="00E51CDD" w:rsidP="009938D9">
            <w:pPr>
              <w:widowControl w:val="0"/>
              <w:rPr>
                <w:sz w:val="20"/>
              </w:rPr>
            </w:pPr>
            <w:r w:rsidRPr="00A25D45">
              <w:rPr>
                <w:sz w:val="20"/>
              </w:rPr>
              <w:t>Consumed dose [µg/bee/day]</w:t>
            </w:r>
          </w:p>
        </w:tc>
      </w:tr>
      <w:tr w:rsidR="00E51CDD" w14:paraId="019B20B4" w14:textId="77777777" w:rsidTr="009938D9">
        <w:trPr>
          <w:trHeight w:val="247"/>
        </w:trPr>
        <w:tc>
          <w:tcPr>
            <w:tcW w:w="1300" w:type="pct"/>
            <w:tcBorders>
              <w:top w:val="single" w:sz="4" w:space="0" w:color="auto"/>
              <w:left w:val="single" w:sz="4" w:space="0" w:color="auto"/>
              <w:bottom w:val="single" w:sz="4" w:space="0" w:color="auto"/>
              <w:right w:val="single" w:sz="4" w:space="0" w:color="auto"/>
            </w:tcBorders>
            <w:vAlign w:val="center"/>
            <w:hideMark/>
          </w:tcPr>
          <w:p w14:paraId="0CC4CCA2" w14:textId="77777777" w:rsidR="00E51CDD" w:rsidRDefault="00E51CDD" w:rsidP="009938D9">
            <w:pPr>
              <w:widowControl w:val="0"/>
              <w:rPr>
                <w:sz w:val="20"/>
              </w:rPr>
            </w:pPr>
            <w:r>
              <w:rPr>
                <w:sz w:val="20"/>
              </w:rPr>
              <w:t>BAS 700 04 F</w:t>
            </w:r>
          </w:p>
        </w:tc>
        <w:tc>
          <w:tcPr>
            <w:tcW w:w="1300" w:type="pct"/>
            <w:tcBorders>
              <w:top w:val="single" w:sz="4" w:space="0" w:color="auto"/>
              <w:left w:val="single" w:sz="4" w:space="0" w:color="auto"/>
              <w:bottom w:val="single" w:sz="4" w:space="0" w:color="auto"/>
              <w:right w:val="single" w:sz="4" w:space="0" w:color="auto"/>
            </w:tcBorders>
            <w:vAlign w:val="center"/>
            <w:hideMark/>
          </w:tcPr>
          <w:p w14:paraId="74EB2430" w14:textId="77777777" w:rsidR="00E51CDD" w:rsidRDefault="00E51CDD" w:rsidP="009938D9">
            <w:pPr>
              <w:widowControl w:val="0"/>
              <w:rPr>
                <w:b/>
                <w:sz w:val="20"/>
              </w:rPr>
            </w:pPr>
            <w:r>
              <w:rPr>
                <w:sz w:val="20"/>
              </w:rPr>
              <w:t>BAS 700 F</w:t>
            </w:r>
          </w:p>
        </w:tc>
        <w:tc>
          <w:tcPr>
            <w:tcW w:w="1200" w:type="pct"/>
            <w:tcBorders>
              <w:top w:val="single" w:sz="4" w:space="0" w:color="auto"/>
              <w:left w:val="single" w:sz="4" w:space="0" w:color="auto"/>
              <w:bottom w:val="single" w:sz="4" w:space="0" w:color="auto"/>
              <w:right w:val="single" w:sz="4" w:space="0" w:color="auto"/>
            </w:tcBorders>
            <w:vAlign w:val="center"/>
            <w:hideMark/>
          </w:tcPr>
          <w:p w14:paraId="7BD82E42" w14:textId="77777777" w:rsidR="00E51CDD" w:rsidRDefault="00E51CDD" w:rsidP="009938D9">
            <w:pPr>
              <w:widowControl w:val="0"/>
              <w:rPr>
                <w:sz w:val="20"/>
              </w:rPr>
            </w:pPr>
            <w:r>
              <w:rPr>
                <w:sz w:val="20"/>
              </w:rPr>
              <w:t>BAS 700 04 F</w:t>
            </w:r>
          </w:p>
        </w:tc>
        <w:tc>
          <w:tcPr>
            <w:tcW w:w="1200" w:type="pct"/>
            <w:tcBorders>
              <w:top w:val="single" w:sz="4" w:space="0" w:color="auto"/>
              <w:left w:val="single" w:sz="4" w:space="0" w:color="auto"/>
              <w:bottom w:val="single" w:sz="4" w:space="0" w:color="auto"/>
              <w:right w:val="single" w:sz="4" w:space="0" w:color="auto"/>
            </w:tcBorders>
            <w:vAlign w:val="center"/>
            <w:hideMark/>
          </w:tcPr>
          <w:p w14:paraId="2F739EAD" w14:textId="77777777" w:rsidR="00E51CDD" w:rsidRDefault="00E51CDD" w:rsidP="009938D9">
            <w:pPr>
              <w:widowControl w:val="0"/>
              <w:rPr>
                <w:sz w:val="20"/>
              </w:rPr>
            </w:pPr>
            <w:r>
              <w:rPr>
                <w:sz w:val="20"/>
              </w:rPr>
              <w:t>BAS 700 F</w:t>
            </w:r>
          </w:p>
        </w:tc>
      </w:tr>
      <w:tr w:rsidR="00E51CDD" w14:paraId="06A10C30" w14:textId="77777777" w:rsidTr="009938D9">
        <w:trPr>
          <w:trHeight w:val="247"/>
        </w:trPr>
        <w:tc>
          <w:tcPr>
            <w:tcW w:w="1300" w:type="pct"/>
            <w:tcBorders>
              <w:top w:val="single" w:sz="4" w:space="0" w:color="auto"/>
              <w:left w:val="single" w:sz="4" w:space="0" w:color="auto"/>
              <w:bottom w:val="single" w:sz="4" w:space="0" w:color="auto"/>
              <w:right w:val="single" w:sz="4" w:space="0" w:color="auto"/>
            </w:tcBorders>
            <w:vAlign w:val="center"/>
            <w:hideMark/>
          </w:tcPr>
          <w:p w14:paraId="3742424D" w14:textId="77777777" w:rsidR="00E51CDD" w:rsidRDefault="00E51CDD" w:rsidP="009938D9">
            <w:pPr>
              <w:widowControl w:val="0"/>
              <w:rPr>
                <w:sz w:val="20"/>
              </w:rPr>
            </w:pPr>
            <w:bookmarkStart w:id="1197" w:name="_Hlk56078009"/>
            <w:r>
              <w:rPr>
                <w:sz w:val="20"/>
              </w:rPr>
              <w:t>47.1</w:t>
            </w:r>
          </w:p>
        </w:tc>
        <w:tc>
          <w:tcPr>
            <w:tcW w:w="1300" w:type="pct"/>
            <w:tcBorders>
              <w:top w:val="single" w:sz="4" w:space="0" w:color="auto"/>
              <w:left w:val="single" w:sz="4" w:space="0" w:color="auto"/>
              <w:bottom w:val="single" w:sz="4" w:space="0" w:color="auto"/>
              <w:right w:val="single" w:sz="4" w:space="0" w:color="auto"/>
            </w:tcBorders>
            <w:vAlign w:val="center"/>
            <w:hideMark/>
          </w:tcPr>
          <w:p w14:paraId="03F6648F" w14:textId="77777777" w:rsidR="00E51CDD" w:rsidRDefault="00E51CDD" w:rsidP="009938D9">
            <w:pPr>
              <w:widowControl w:val="0"/>
              <w:rPr>
                <w:sz w:val="20"/>
              </w:rPr>
            </w:pPr>
            <w:r>
              <w:rPr>
                <w:sz w:val="20"/>
              </w:rPr>
              <w:t>12.5</w:t>
            </w:r>
          </w:p>
        </w:tc>
        <w:tc>
          <w:tcPr>
            <w:tcW w:w="1200" w:type="pct"/>
            <w:tcBorders>
              <w:top w:val="single" w:sz="4" w:space="0" w:color="auto"/>
              <w:left w:val="single" w:sz="4" w:space="0" w:color="auto"/>
              <w:bottom w:val="single" w:sz="4" w:space="0" w:color="auto"/>
              <w:right w:val="single" w:sz="4" w:space="0" w:color="auto"/>
            </w:tcBorders>
            <w:vAlign w:val="center"/>
            <w:hideMark/>
          </w:tcPr>
          <w:p w14:paraId="1E7C8610" w14:textId="77777777" w:rsidR="00E51CDD" w:rsidRDefault="00E51CDD" w:rsidP="009938D9">
            <w:pPr>
              <w:widowControl w:val="0"/>
              <w:rPr>
                <w:sz w:val="20"/>
              </w:rPr>
            </w:pPr>
            <w:r>
              <w:rPr>
                <w:sz w:val="20"/>
              </w:rPr>
              <w:t>46.5</w:t>
            </w:r>
          </w:p>
        </w:tc>
        <w:tc>
          <w:tcPr>
            <w:tcW w:w="1200" w:type="pct"/>
            <w:tcBorders>
              <w:top w:val="single" w:sz="4" w:space="0" w:color="auto"/>
              <w:left w:val="single" w:sz="4" w:space="0" w:color="auto"/>
              <w:bottom w:val="single" w:sz="4" w:space="0" w:color="auto"/>
              <w:right w:val="single" w:sz="4" w:space="0" w:color="auto"/>
            </w:tcBorders>
            <w:vAlign w:val="center"/>
            <w:hideMark/>
          </w:tcPr>
          <w:p w14:paraId="2A2FCB90" w14:textId="77777777" w:rsidR="00E51CDD" w:rsidRDefault="00E51CDD" w:rsidP="009938D9">
            <w:pPr>
              <w:widowControl w:val="0"/>
              <w:rPr>
                <w:sz w:val="20"/>
              </w:rPr>
            </w:pPr>
            <w:r>
              <w:rPr>
                <w:sz w:val="20"/>
              </w:rPr>
              <w:t>12.3</w:t>
            </w:r>
          </w:p>
        </w:tc>
      </w:tr>
      <w:tr w:rsidR="00E51CDD" w14:paraId="73C3B109" w14:textId="77777777" w:rsidTr="009938D9">
        <w:trPr>
          <w:trHeight w:val="247"/>
        </w:trPr>
        <w:tc>
          <w:tcPr>
            <w:tcW w:w="1300" w:type="pct"/>
            <w:tcBorders>
              <w:top w:val="single" w:sz="4" w:space="0" w:color="auto"/>
              <w:left w:val="single" w:sz="4" w:space="0" w:color="auto"/>
              <w:bottom w:val="single" w:sz="4" w:space="0" w:color="auto"/>
              <w:right w:val="single" w:sz="4" w:space="0" w:color="auto"/>
            </w:tcBorders>
            <w:vAlign w:val="center"/>
            <w:hideMark/>
          </w:tcPr>
          <w:p w14:paraId="6B5D3BBE" w14:textId="77777777" w:rsidR="00E51CDD" w:rsidRDefault="00E51CDD" w:rsidP="009938D9">
            <w:pPr>
              <w:widowControl w:val="0"/>
              <w:rPr>
                <w:sz w:val="20"/>
              </w:rPr>
            </w:pPr>
            <w:r>
              <w:rPr>
                <w:sz w:val="20"/>
              </w:rPr>
              <w:t>94.1</w:t>
            </w:r>
          </w:p>
        </w:tc>
        <w:tc>
          <w:tcPr>
            <w:tcW w:w="1300" w:type="pct"/>
            <w:tcBorders>
              <w:top w:val="single" w:sz="4" w:space="0" w:color="auto"/>
              <w:left w:val="single" w:sz="4" w:space="0" w:color="auto"/>
              <w:bottom w:val="single" w:sz="4" w:space="0" w:color="auto"/>
              <w:right w:val="single" w:sz="4" w:space="0" w:color="auto"/>
            </w:tcBorders>
            <w:vAlign w:val="center"/>
            <w:hideMark/>
          </w:tcPr>
          <w:p w14:paraId="72C9CB9A" w14:textId="77777777" w:rsidR="00E51CDD" w:rsidRDefault="00E51CDD" w:rsidP="009938D9">
            <w:pPr>
              <w:widowControl w:val="0"/>
              <w:rPr>
                <w:sz w:val="20"/>
              </w:rPr>
            </w:pPr>
            <w:r>
              <w:rPr>
                <w:sz w:val="20"/>
              </w:rPr>
              <w:t>25.0</w:t>
            </w:r>
          </w:p>
        </w:tc>
        <w:tc>
          <w:tcPr>
            <w:tcW w:w="1200" w:type="pct"/>
            <w:tcBorders>
              <w:top w:val="single" w:sz="4" w:space="0" w:color="auto"/>
              <w:left w:val="single" w:sz="4" w:space="0" w:color="auto"/>
              <w:bottom w:val="single" w:sz="4" w:space="0" w:color="auto"/>
              <w:right w:val="single" w:sz="4" w:space="0" w:color="auto"/>
            </w:tcBorders>
            <w:vAlign w:val="center"/>
            <w:hideMark/>
          </w:tcPr>
          <w:p w14:paraId="4294BC38" w14:textId="77777777" w:rsidR="00E51CDD" w:rsidRDefault="00E51CDD" w:rsidP="009938D9">
            <w:pPr>
              <w:widowControl w:val="0"/>
              <w:rPr>
                <w:sz w:val="20"/>
              </w:rPr>
            </w:pPr>
            <w:r>
              <w:rPr>
                <w:sz w:val="20"/>
              </w:rPr>
              <w:t>108</w:t>
            </w:r>
          </w:p>
        </w:tc>
        <w:tc>
          <w:tcPr>
            <w:tcW w:w="1200" w:type="pct"/>
            <w:tcBorders>
              <w:top w:val="single" w:sz="4" w:space="0" w:color="auto"/>
              <w:left w:val="single" w:sz="4" w:space="0" w:color="auto"/>
              <w:bottom w:val="single" w:sz="4" w:space="0" w:color="auto"/>
              <w:right w:val="single" w:sz="4" w:space="0" w:color="auto"/>
            </w:tcBorders>
            <w:vAlign w:val="center"/>
            <w:hideMark/>
          </w:tcPr>
          <w:p w14:paraId="5F059220" w14:textId="77777777" w:rsidR="00E51CDD" w:rsidRDefault="00E51CDD" w:rsidP="009938D9">
            <w:pPr>
              <w:widowControl w:val="0"/>
              <w:rPr>
                <w:sz w:val="20"/>
              </w:rPr>
            </w:pPr>
            <w:r>
              <w:rPr>
                <w:sz w:val="20"/>
              </w:rPr>
              <w:t>28.5</w:t>
            </w:r>
          </w:p>
        </w:tc>
      </w:tr>
      <w:tr w:rsidR="00E51CDD" w14:paraId="2BF8573A" w14:textId="77777777" w:rsidTr="009938D9">
        <w:trPr>
          <w:trHeight w:val="247"/>
        </w:trPr>
        <w:tc>
          <w:tcPr>
            <w:tcW w:w="1300" w:type="pct"/>
            <w:tcBorders>
              <w:top w:val="single" w:sz="4" w:space="0" w:color="auto"/>
              <w:left w:val="single" w:sz="4" w:space="0" w:color="auto"/>
              <w:bottom w:val="single" w:sz="4" w:space="0" w:color="auto"/>
              <w:right w:val="single" w:sz="4" w:space="0" w:color="auto"/>
            </w:tcBorders>
            <w:vAlign w:val="center"/>
            <w:hideMark/>
          </w:tcPr>
          <w:p w14:paraId="356B9730" w14:textId="77777777" w:rsidR="00E51CDD" w:rsidRDefault="00E51CDD" w:rsidP="009938D9">
            <w:pPr>
              <w:widowControl w:val="0"/>
              <w:rPr>
                <w:sz w:val="20"/>
              </w:rPr>
            </w:pPr>
            <w:r>
              <w:rPr>
                <w:sz w:val="20"/>
              </w:rPr>
              <w:t>188</w:t>
            </w:r>
          </w:p>
        </w:tc>
        <w:tc>
          <w:tcPr>
            <w:tcW w:w="1300" w:type="pct"/>
            <w:tcBorders>
              <w:top w:val="single" w:sz="4" w:space="0" w:color="auto"/>
              <w:left w:val="single" w:sz="4" w:space="0" w:color="auto"/>
              <w:bottom w:val="single" w:sz="4" w:space="0" w:color="auto"/>
              <w:right w:val="single" w:sz="4" w:space="0" w:color="auto"/>
            </w:tcBorders>
            <w:vAlign w:val="center"/>
            <w:hideMark/>
          </w:tcPr>
          <w:p w14:paraId="7B93DC15" w14:textId="77777777" w:rsidR="00E51CDD" w:rsidRDefault="00E51CDD" w:rsidP="009938D9">
            <w:pPr>
              <w:widowControl w:val="0"/>
              <w:rPr>
                <w:sz w:val="20"/>
              </w:rPr>
            </w:pPr>
            <w:r>
              <w:rPr>
                <w:sz w:val="20"/>
              </w:rPr>
              <w:t>50.0</w:t>
            </w:r>
          </w:p>
        </w:tc>
        <w:tc>
          <w:tcPr>
            <w:tcW w:w="1200" w:type="pct"/>
            <w:tcBorders>
              <w:top w:val="single" w:sz="4" w:space="0" w:color="auto"/>
              <w:left w:val="single" w:sz="4" w:space="0" w:color="auto"/>
              <w:bottom w:val="single" w:sz="4" w:space="0" w:color="auto"/>
              <w:right w:val="single" w:sz="4" w:space="0" w:color="auto"/>
            </w:tcBorders>
            <w:vAlign w:val="center"/>
            <w:hideMark/>
          </w:tcPr>
          <w:p w14:paraId="726F150D" w14:textId="77777777" w:rsidR="00E51CDD" w:rsidRDefault="00E51CDD" w:rsidP="009938D9">
            <w:pPr>
              <w:widowControl w:val="0"/>
              <w:rPr>
                <w:sz w:val="20"/>
              </w:rPr>
            </w:pPr>
            <w:r>
              <w:rPr>
                <w:sz w:val="20"/>
              </w:rPr>
              <w:t>172</w:t>
            </w:r>
          </w:p>
        </w:tc>
        <w:tc>
          <w:tcPr>
            <w:tcW w:w="1200" w:type="pct"/>
            <w:tcBorders>
              <w:top w:val="single" w:sz="4" w:space="0" w:color="auto"/>
              <w:left w:val="single" w:sz="4" w:space="0" w:color="auto"/>
              <w:bottom w:val="single" w:sz="4" w:space="0" w:color="auto"/>
              <w:right w:val="single" w:sz="4" w:space="0" w:color="auto"/>
            </w:tcBorders>
            <w:vAlign w:val="center"/>
            <w:hideMark/>
          </w:tcPr>
          <w:p w14:paraId="2A8784A4" w14:textId="77777777" w:rsidR="00E51CDD" w:rsidRDefault="00E51CDD" w:rsidP="009938D9">
            <w:pPr>
              <w:widowControl w:val="0"/>
              <w:rPr>
                <w:sz w:val="20"/>
              </w:rPr>
            </w:pPr>
            <w:r>
              <w:rPr>
                <w:sz w:val="20"/>
              </w:rPr>
              <w:t>45.7</w:t>
            </w:r>
          </w:p>
        </w:tc>
      </w:tr>
      <w:tr w:rsidR="00E51CDD" w14:paraId="5388778C" w14:textId="77777777" w:rsidTr="009938D9">
        <w:trPr>
          <w:trHeight w:val="247"/>
        </w:trPr>
        <w:tc>
          <w:tcPr>
            <w:tcW w:w="1300" w:type="pct"/>
            <w:tcBorders>
              <w:top w:val="single" w:sz="4" w:space="0" w:color="auto"/>
              <w:left w:val="single" w:sz="4" w:space="0" w:color="auto"/>
              <w:bottom w:val="single" w:sz="4" w:space="0" w:color="auto"/>
              <w:right w:val="single" w:sz="4" w:space="0" w:color="auto"/>
            </w:tcBorders>
            <w:vAlign w:val="center"/>
            <w:hideMark/>
          </w:tcPr>
          <w:p w14:paraId="71372921" w14:textId="77777777" w:rsidR="00E51CDD" w:rsidRDefault="00E51CDD" w:rsidP="009938D9">
            <w:pPr>
              <w:widowControl w:val="0"/>
              <w:rPr>
                <w:sz w:val="20"/>
              </w:rPr>
            </w:pPr>
            <w:r>
              <w:rPr>
                <w:sz w:val="20"/>
              </w:rPr>
              <w:t>377</w:t>
            </w:r>
          </w:p>
        </w:tc>
        <w:tc>
          <w:tcPr>
            <w:tcW w:w="1300" w:type="pct"/>
            <w:tcBorders>
              <w:top w:val="single" w:sz="4" w:space="0" w:color="auto"/>
              <w:left w:val="single" w:sz="4" w:space="0" w:color="auto"/>
              <w:bottom w:val="single" w:sz="4" w:space="0" w:color="auto"/>
              <w:right w:val="single" w:sz="4" w:space="0" w:color="auto"/>
            </w:tcBorders>
            <w:vAlign w:val="center"/>
            <w:hideMark/>
          </w:tcPr>
          <w:p w14:paraId="6C31C7C1" w14:textId="77777777" w:rsidR="00E51CDD" w:rsidRDefault="00E51CDD" w:rsidP="009938D9">
            <w:pPr>
              <w:widowControl w:val="0"/>
              <w:rPr>
                <w:sz w:val="20"/>
              </w:rPr>
            </w:pPr>
            <w:r>
              <w:rPr>
                <w:sz w:val="20"/>
              </w:rPr>
              <w:t>100</w:t>
            </w:r>
          </w:p>
        </w:tc>
        <w:tc>
          <w:tcPr>
            <w:tcW w:w="1200" w:type="pct"/>
            <w:tcBorders>
              <w:top w:val="single" w:sz="4" w:space="0" w:color="auto"/>
              <w:left w:val="single" w:sz="4" w:space="0" w:color="auto"/>
              <w:bottom w:val="single" w:sz="4" w:space="0" w:color="auto"/>
              <w:right w:val="single" w:sz="4" w:space="0" w:color="auto"/>
            </w:tcBorders>
            <w:vAlign w:val="center"/>
            <w:hideMark/>
          </w:tcPr>
          <w:p w14:paraId="4CC91F30" w14:textId="77777777" w:rsidR="00E51CDD" w:rsidRDefault="00E51CDD" w:rsidP="009938D9">
            <w:pPr>
              <w:widowControl w:val="0"/>
              <w:rPr>
                <w:sz w:val="20"/>
              </w:rPr>
            </w:pPr>
            <w:r>
              <w:rPr>
                <w:sz w:val="20"/>
              </w:rPr>
              <w:t>413</w:t>
            </w:r>
          </w:p>
        </w:tc>
        <w:tc>
          <w:tcPr>
            <w:tcW w:w="1200" w:type="pct"/>
            <w:tcBorders>
              <w:top w:val="single" w:sz="4" w:space="0" w:color="auto"/>
              <w:left w:val="single" w:sz="4" w:space="0" w:color="auto"/>
              <w:bottom w:val="single" w:sz="4" w:space="0" w:color="auto"/>
              <w:right w:val="single" w:sz="4" w:space="0" w:color="auto"/>
            </w:tcBorders>
            <w:vAlign w:val="center"/>
            <w:hideMark/>
          </w:tcPr>
          <w:p w14:paraId="5ABE59D0" w14:textId="77777777" w:rsidR="00E51CDD" w:rsidRDefault="00E51CDD" w:rsidP="009938D9">
            <w:pPr>
              <w:widowControl w:val="0"/>
              <w:rPr>
                <w:sz w:val="20"/>
              </w:rPr>
            </w:pPr>
            <w:r>
              <w:rPr>
                <w:sz w:val="20"/>
              </w:rPr>
              <w:t>110</w:t>
            </w:r>
          </w:p>
        </w:tc>
      </w:tr>
      <w:tr w:rsidR="00E51CDD" w14:paraId="7160F4F6" w14:textId="77777777" w:rsidTr="009938D9">
        <w:trPr>
          <w:trHeight w:val="247"/>
        </w:trPr>
        <w:tc>
          <w:tcPr>
            <w:tcW w:w="1300" w:type="pct"/>
            <w:tcBorders>
              <w:top w:val="single" w:sz="4" w:space="0" w:color="auto"/>
              <w:left w:val="single" w:sz="4" w:space="0" w:color="auto"/>
              <w:bottom w:val="single" w:sz="4" w:space="0" w:color="auto"/>
              <w:right w:val="single" w:sz="4" w:space="0" w:color="auto"/>
            </w:tcBorders>
            <w:vAlign w:val="center"/>
            <w:hideMark/>
          </w:tcPr>
          <w:p w14:paraId="355F20C8" w14:textId="77777777" w:rsidR="00E51CDD" w:rsidRDefault="00E51CDD" w:rsidP="009938D9">
            <w:pPr>
              <w:widowControl w:val="0"/>
              <w:rPr>
                <w:sz w:val="20"/>
              </w:rPr>
            </w:pPr>
            <w:r>
              <w:rPr>
                <w:sz w:val="20"/>
              </w:rPr>
              <w:t>753</w:t>
            </w:r>
          </w:p>
        </w:tc>
        <w:tc>
          <w:tcPr>
            <w:tcW w:w="1300" w:type="pct"/>
            <w:tcBorders>
              <w:top w:val="single" w:sz="4" w:space="0" w:color="auto"/>
              <w:left w:val="single" w:sz="4" w:space="0" w:color="auto"/>
              <w:bottom w:val="single" w:sz="4" w:space="0" w:color="auto"/>
              <w:right w:val="single" w:sz="4" w:space="0" w:color="auto"/>
            </w:tcBorders>
            <w:vAlign w:val="center"/>
            <w:hideMark/>
          </w:tcPr>
          <w:p w14:paraId="1D797A37" w14:textId="77777777" w:rsidR="00E51CDD" w:rsidRDefault="00E51CDD" w:rsidP="009938D9">
            <w:pPr>
              <w:widowControl w:val="0"/>
              <w:rPr>
                <w:sz w:val="20"/>
              </w:rPr>
            </w:pPr>
            <w:r>
              <w:rPr>
                <w:sz w:val="20"/>
              </w:rPr>
              <w:t>200</w:t>
            </w:r>
          </w:p>
        </w:tc>
        <w:tc>
          <w:tcPr>
            <w:tcW w:w="1200" w:type="pct"/>
            <w:tcBorders>
              <w:top w:val="single" w:sz="4" w:space="0" w:color="auto"/>
              <w:left w:val="single" w:sz="4" w:space="0" w:color="auto"/>
              <w:bottom w:val="single" w:sz="4" w:space="0" w:color="auto"/>
              <w:right w:val="single" w:sz="4" w:space="0" w:color="auto"/>
            </w:tcBorders>
            <w:vAlign w:val="center"/>
            <w:hideMark/>
          </w:tcPr>
          <w:p w14:paraId="5852567D" w14:textId="77777777" w:rsidR="00E51CDD" w:rsidRDefault="00E51CDD" w:rsidP="009938D9">
            <w:pPr>
              <w:widowControl w:val="0"/>
              <w:rPr>
                <w:sz w:val="20"/>
              </w:rPr>
            </w:pPr>
            <w:r>
              <w:rPr>
                <w:sz w:val="20"/>
              </w:rPr>
              <w:t>697</w:t>
            </w:r>
          </w:p>
        </w:tc>
        <w:tc>
          <w:tcPr>
            <w:tcW w:w="1200" w:type="pct"/>
            <w:tcBorders>
              <w:top w:val="single" w:sz="4" w:space="0" w:color="auto"/>
              <w:left w:val="single" w:sz="4" w:space="0" w:color="auto"/>
              <w:bottom w:val="single" w:sz="4" w:space="0" w:color="auto"/>
              <w:right w:val="single" w:sz="4" w:space="0" w:color="auto"/>
            </w:tcBorders>
            <w:vAlign w:val="center"/>
            <w:hideMark/>
          </w:tcPr>
          <w:p w14:paraId="69CCD053" w14:textId="77777777" w:rsidR="00E51CDD" w:rsidRDefault="00E51CDD" w:rsidP="009938D9">
            <w:pPr>
              <w:widowControl w:val="0"/>
              <w:rPr>
                <w:sz w:val="20"/>
              </w:rPr>
            </w:pPr>
            <w:r>
              <w:rPr>
                <w:sz w:val="20"/>
              </w:rPr>
              <w:t>185</w:t>
            </w:r>
          </w:p>
        </w:tc>
      </w:tr>
      <w:bookmarkEnd w:id="1197"/>
    </w:tbl>
    <w:p w14:paraId="2FA28864" w14:textId="77777777" w:rsidR="00E51CDD" w:rsidRDefault="00E51CDD" w:rsidP="00E51CDD">
      <w:pPr>
        <w:widowControl w:val="0"/>
        <w:ind w:left="2041"/>
        <w:rPr>
          <w:color w:val="0070C0"/>
          <w:szCs w:val="24"/>
        </w:rPr>
      </w:pPr>
    </w:p>
    <w:p w14:paraId="09572419" w14:textId="77777777" w:rsidR="00E51CDD" w:rsidRPr="00A25D45" w:rsidRDefault="00E51CDD" w:rsidP="00E51CDD">
      <w:pPr>
        <w:widowControl w:val="0"/>
        <w:ind w:left="2041"/>
        <w:jc w:val="both"/>
        <w:rPr>
          <w:szCs w:val="24"/>
        </w:rPr>
      </w:pPr>
      <w:r w:rsidRPr="00A25D45">
        <w:rPr>
          <w:szCs w:val="24"/>
        </w:rPr>
        <w:t>The doses correspond to concentrations of 1.199, 2.397, 4.794, 9.588 and 19.176 g product/kg food (equivalent to 0.318, 0.636, 1.273, 2.546 and 5.091 g BAS 700 F/kg food).</w:t>
      </w:r>
    </w:p>
    <w:p w14:paraId="6F10764C" w14:textId="77777777" w:rsidR="00E51CDD" w:rsidRPr="00A25D45" w:rsidRDefault="00E51CDD" w:rsidP="00E51CDD">
      <w:pPr>
        <w:widowControl w:val="0"/>
        <w:ind w:left="2041"/>
        <w:jc w:val="both"/>
        <w:rPr>
          <w:szCs w:val="24"/>
        </w:rPr>
      </w:pPr>
    </w:p>
    <w:p w14:paraId="659729AF" w14:textId="77777777" w:rsidR="00E51CDD" w:rsidRPr="00A25D45" w:rsidRDefault="00E51CDD" w:rsidP="00E51CDD">
      <w:pPr>
        <w:widowControl w:val="0"/>
        <w:ind w:left="2041"/>
        <w:jc w:val="both"/>
        <w:rPr>
          <w:szCs w:val="24"/>
        </w:rPr>
      </w:pPr>
      <w:r w:rsidRPr="00A25D45">
        <w:rPr>
          <w:szCs w:val="24"/>
        </w:rPr>
        <w:t>Reference item (applied in 50% sucrose solution): treated diet at a nominal dose of 27.3 ng dimethoate/bee/day (corresponding to a concentration of 0.694 mg dimethoate/kg food).</w:t>
      </w:r>
    </w:p>
    <w:p w14:paraId="732703F3" w14:textId="77777777" w:rsidR="00E51CDD" w:rsidRPr="00A25D45" w:rsidRDefault="00E51CDD" w:rsidP="00E51CDD">
      <w:pPr>
        <w:widowControl w:val="0"/>
        <w:jc w:val="both"/>
        <w:rPr>
          <w:szCs w:val="24"/>
        </w:rPr>
      </w:pPr>
      <w:r>
        <w:rPr>
          <w:szCs w:val="24"/>
        </w:rPr>
        <w:br w:type="page"/>
      </w:r>
    </w:p>
    <w:p w14:paraId="3ACF7844" w14:textId="77777777" w:rsidR="00E51CDD" w:rsidRPr="00A25D45" w:rsidRDefault="00E51CDD" w:rsidP="00E51CDD">
      <w:pPr>
        <w:widowControl w:val="0"/>
        <w:ind w:left="2041" w:hanging="2041"/>
        <w:jc w:val="both"/>
        <w:rPr>
          <w:szCs w:val="24"/>
        </w:rPr>
      </w:pPr>
      <w:r w:rsidRPr="00A25D45">
        <w:rPr>
          <w:szCs w:val="24"/>
        </w:rPr>
        <w:lastRenderedPageBreak/>
        <w:t>Test conditions:</w:t>
      </w:r>
      <w:r w:rsidRPr="00A25D45">
        <w:rPr>
          <w:szCs w:val="24"/>
        </w:rPr>
        <w:tab/>
        <w:t>Temperature: 31.9 – 33.4 °C, relative humidity: 56.3 – 63.5%, photoperiod: constant darkness (diffuse artificial light during assessments), food: 50% (w/v) aqueous sucrose solution.</w:t>
      </w:r>
    </w:p>
    <w:p w14:paraId="44458D43" w14:textId="77777777" w:rsidR="00E51CDD" w:rsidRPr="00A25D45" w:rsidRDefault="00E51CDD" w:rsidP="00E51CDD">
      <w:pPr>
        <w:widowControl w:val="0"/>
        <w:jc w:val="both"/>
        <w:rPr>
          <w:szCs w:val="24"/>
        </w:rPr>
      </w:pPr>
    </w:p>
    <w:p w14:paraId="3B4924E6" w14:textId="77777777" w:rsidR="00E51CDD" w:rsidRPr="00A25D45" w:rsidRDefault="00E51CDD" w:rsidP="00E51CDD">
      <w:pPr>
        <w:widowControl w:val="0"/>
        <w:ind w:left="2041" w:hanging="2041"/>
        <w:jc w:val="both"/>
        <w:rPr>
          <w:szCs w:val="24"/>
        </w:rPr>
      </w:pPr>
      <w:r w:rsidRPr="00A25D45">
        <w:rPr>
          <w:szCs w:val="24"/>
        </w:rPr>
        <w:t>Analytics:</w:t>
      </w:r>
      <w:r w:rsidRPr="00A25D45">
        <w:rPr>
          <w:szCs w:val="24"/>
        </w:rPr>
        <w:tab/>
        <w:t>Analytical verification of the test item was conducted by BASF method L0372/02 using high performance liquid chromatography (HPLC) with mass-spectrometric (MS-MS) detection.</w:t>
      </w:r>
    </w:p>
    <w:p w14:paraId="00195211" w14:textId="77777777" w:rsidR="00E51CDD" w:rsidRPr="00A25D45" w:rsidRDefault="00E51CDD" w:rsidP="00E51CDD">
      <w:pPr>
        <w:jc w:val="both"/>
        <w:rPr>
          <w:szCs w:val="24"/>
        </w:rPr>
      </w:pPr>
    </w:p>
    <w:p w14:paraId="666E06BA" w14:textId="77777777" w:rsidR="00E51CDD" w:rsidRPr="00A25D45" w:rsidRDefault="00E51CDD" w:rsidP="00E51CDD">
      <w:pPr>
        <w:widowControl w:val="0"/>
        <w:ind w:left="2041" w:hanging="2041"/>
        <w:jc w:val="both"/>
        <w:rPr>
          <w:szCs w:val="24"/>
        </w:rPr>
      </w:pPr>
      <w:r w:rsidRPr="00A25D45">
        <w:rPr>
          <w:szCs w:val="24"/>
        </w:rPr>
        <w:t>Statistics:</w:t>
      </w:r>
      <w:r w:rsidRPr="00A25D45">
        <w:rPr>
          <w:szCs w:val="24"/>
        </w:rPr>
        <w:tab/>
        <w:t xml:space="preserve">Descriptive statistics; Fisher’s Exact Binomial Test with Bonferroni Correction for comparison of control with test item treatment group and determination of NOEDD and NOEC (one-sided greater, </w:t>
      </w:r>
      <w:r>
        <w:rPr>
          <w:szCs w:val="24"/>
        </w:rPr>
        <w:t>α</w:t>
      </w:r>
      <w:r w:rsidRPr="00A25D45">
        <w:rPr>
          <w:szCs w:val="24"/>
        </w:rPr>
        <w:t xml:space="preserve"> = 0.05). Due to the lack of effects in all dose groups, the LDD</w:t>
      </w:r>
      <w:r w:rsidRPr="00A25D45">
        <w:rPr>
          <w:szCs w:val="24"/>
          <w:vertAlign w:val="subscript"/>
        </w:rPr>
        <w:t>X</w:t>
      </w:r>
      <w:r w:rsidRPr="00A25D45">
        <w:rPr>
          <w:szCs w:val="24"/>
        </w:rPr>
        <w:t xml:space="preserve"> and LC</w:t>
      </w:r>
      <w:r w:rsidRPr="00A25D45">
        <w:rPr>
          <w:szCs w:val="24"/>
          <w:vertAlign w:val="subscript"/>
        </w:rPr>
        <w:t>X</w:t>
      </w:r>
      <w:r w:rsidRPr="00A25D45">
        <w:rPr>
          <w:szCs w:val="24"/>
        </w:rPr>
        <w:t xml:space="preserve"> values could not be calculated. They were estimated from the generated raw data</w:t>
      </w:r>
    </w:p>
    <w:p w14:paraId="26050263" w14:textId="77777777" w:rsidR="00E51CDD" w:rsidRPr="00A25D45" w:rsidRDefault="00E51CDD" w:rsidP="00E51CDD">
      <w:pPr>
        <w:widowControl w:val="0"/>
        <w:suppressAutoHyphens/>
        <w:jc w:val="both"/>
        <w:rPr>
          <w:szCs w:val="24"/>
        </w:rPr>
      </w:pPr>
    </w:p>
    <w:p w14:paraId="293957E6" w14:textId="77777777" w:rsidR="00E51CDD" w:rsidRPr="00A25D45" w:rsidRDefault="00E51CDD" w:rsidP="00E51CDD">
      <w:pPr>
        <w:widowControl w:val="0"/>
        <w:suppressAutoHyphens/>
        <w:jc w:val="both"/>
        <w:rPr>
          <w:szCs w:val="24"/>
        </w:rPr>
      </w:pPr>
    </w:p>
    <w:p w14:paraId="17EDD46B" w14:textId="77777777" w:rsidR="00E51CDD" w:rsidRPr="00A25D45" w:rsidRDefault="00E51CDD" w:rsidP="00E51CDD">
      <w:pPr>
        <w:tabs>
          <w:tab w:val="left" w:pos="425"/>
          <w:tab w:val="left" w:pos="850"/>
        </w:tabs>
        <w:suppressAutoHyphens/>
        <w:ind w:left="2835" w:hanging="2835"/>
        <w:jc w:val="both"/>
        <w:rPr>
          <w:b/>
          <w:bCs/>
          <w:szCs w:val="24"/>
        </w:rPr>
      </w:pPr>
      <w:r w:rsidRPr="00A25D45">
        <w:rPr>
          <w:b/>
          <w:bCs/>
          <w:szCs w:val="24"/>
        </w:rPr>
        <w:t>C.</w:t>
      </w:r>
      <w:r w:rsidRPr="00A25D45">
        <w:rPr>
          <w:b/>
          <w:bCs/>
          <w:szCs w:val="24"/>
        </w:rPr>
        <w:tab/>
        <w:t>DESCRIPTION OF THE ANALYTICAL PROCEDURES</w:t>
      </w:r>
    </w:p>
    <w:p w14:paraId="19FAD9C0" w14:textId="77777777" w:rsidR="00E51CDD" w:rsidRPr="00A25D45" w:rsidRDefault="00E51CDD" w:rsidP="00E51CDD">
      <w:pPr>
        <w:suppressAutoHyphens/>
        <w:jc w:val="both"/>
        <w:rPr>
          <w:szCs w:val="24"/>
        </w:rPr>
      </w:pPr>
    </w:p>
    <w:p w14:paraId="47805C2A" w14:textId="1F3CC6D1" w:rsidR="00E51CDD" w:rsidRPr="00D61C03" w:rsidRDefault="00E51CDD" w:rsidP="00E51CDD">
      <w:pPr>
        <w:jc w:val="both"/>
        <w:rPr>
          <w:szCs w:val="24"/>
        </w:rPr>
      </w:pPr>
      <w:r w:rsidRPr="00A25D45">
        <w:rPr>
          <w:szCs w:val="24"/>
        </w:rPr>
        <w:t>Concentrations of BAS 700 F (contained in BAS 700 04 F) in honey bee feeding solution were determined according to the analytical method L0372/02. The validation of the analytical method is described in the study report. A 0.2 g aliquot of sample was extracted with 4 mL of methanol/water 75/25 (v/v). The mixture was shaken for 30 minutes and centrifuged. The extract was transferred into a 10 mL-measuring flask and filled to the mark with methanol/water 75/25 (v/v). 1 mL-aliquot was added to a 2 mL-centrifugation tube containing 150 mg MgSO</w:t>
      </w:r>
      <w:r w:rsidRPr="00A25D45">
        <w:rPr>
          <w:szCs w:val="24"/>
          <w:vertAlign w:val="subscript"/>
        </w:rPr>
        <w:t>4</w:t>
      </w:r>
      <w:r w:rsidRPr="00A25D45">
        <w:rPr>
          <w:szCs w:val="24"/>
        </w:rPr>
        <w:t xml:space="preserve">, 50 mg C18-EC and 50 mg PSA. The tube was shaken for 30 s on a vortexer and 400 </w:t>
      </w:r>
      <w:r>
        <w:rPr>
          <w:szCs w:val="24"/>
        </w:rPr>
        <w:t>μ</w:t>
      </w:r>
      <w:r w:rsidRPr="00A25D45">
        <w:rPr>
          <w:szCs w:val="24"/>
        </w:rPr>
        <w:t xml:space="preserve">l of the extract diluted with 600 </w:t>
      </w:r>
      <w:r>
        <w:rPr>
          <w:szCs w:val="24"/>
        </w:rPr>
        <w:t>μ</w:t>
      </w:r>
      <w:r w:rsidRPr="00A25D45">
        <w:rPr>
          <w:szCs w:val="24"/>
        </w:rPr>
        <w:t>l methanol/water 75/25 (v/v). If necessary, the diluted extracts were further diluted into the range of the calibration curve before injecting into the HPLC system. The determination was performed by HPLC-MS/MS. The limit of quantification (LOQ) was 0.01 mg/kg and the limit of detection (LOD) was set to ≤ 30% of LOQ (</w:t>
      </w:r>
      <w:r w:rsidRPr="00A25D45">
        <w:t>0.00188 mg/kg)</w:t>
      </w:r>
      <w:r w:rsidRPr="00A25D45">
        <w:rPr>
          <w:szCs w:val="24"/>
        </w:rPr>
        <w:t xml:space="preserve">. Matrix effects were taken into account by the addition of the same amount of blank extract to calibration samples as included in the analysis samples. Thus, all measured samples contained the same amount of original sample matrix. </w:t>
      </w:r>
      <w:r w:rsidRPr="00A25D45">
        <w:t>Since the samples of the test item feeding solutions were analyzed within 30 days, the analysis of storage stability samples did not take place.</w:t>
      </w:r>
      <w:r w:rsidRPr="00A25D45">
        <w:rPr>
          <w:szCs w:val="24"/>
        </w:rPr>
        <w:t xml:space="preserve"> Details on measured fortification samples and obtained </w:t>
      </w:r>
      <w:r w:rsidRPr="00D61C03">
        <w:rPr>
          <w:szCs w:val="24"/>
        </w:rPr>
        <w:t xml:space="preserve">procedural recoveries for BAS 700 F are given in </w:t>
      </w:r>
      <w:r>
        <w:rPr>
          <w:szCs w:val="24"/>
        </w:rPr>
        <w:fldChar w:fldCharType="begin"/>
      </w:r>
      <w:r>
        <w:rPr>
          <w:szCs w:val="24"/>
        </w:rPr>
        <w:instrText xml:space="preserve"> REF _Ref85437380 \h </w:instrText>
      </w:r>
      <w:r>
        <w:rPr>
          <w:szCs w:val="24"/>
        </w:rPr>
      </w:r>
      <w:r>
        <w:rPr>
          <w:szCs w:val="24"/>
        </w:rPr>
        <w:fldChar w:fldCharType="separate"/>
      </w:r>
      <w:r w:rsidR="00662F32" w:rsidRPr="00D61C03">
        <w:t xml:space="preserve">Table A </w:t>
      </w:r>
      <w:r w:rsidR="00662F32">
        <w:rPr>
          <w:noProof/>
        </w:rPr>
        <w:t>17</w:t>
      </w:r>
      <w:r>
        <w:rPr>
          <w:szCs w:val="24"/>
        </w:rPr>
        <w:fldChar w:fldCharType="end"/>
      </w:r>
      <w:r w:rsidRPr="00D61C03">
        <w:rPr>
          <w:szCs w:val="24"/>
        </w:rPr>
        <w:t>.</w:t>
      </w:r>
    </w:p>
    <w:p w14:paraId="225C80B1" w14:textId="77777777" w:rsidR="00E51CDD" w:rsidRPr="00D61C03" w:rsidRDefault="00E51CDD" w:rsidP="00E51CDD">
      <w:pPr>
        <w:widowControl w:val="0"/>
        <w:suppressAutoHyphens/>
        <w:rPr>
          <w:szCs w:val="24"/>
        </w:rPr>
      </w:pPr>
    </w:p>
    <w:p w14:paraId="51C1BA13" w14:textId="40A11331" w:rsidR="00E51CDD" w:rsidRPr="00D61C03" w:rsidRDefault="00E51CDD" w:rsidP="00E51CDD">
      <w:pPr>
        <w:pStyle w:val="Legenda"/>
        <w:rPr>
          <w:sz w:val="22"/>
          <w:szCs w:val="22"/>
        </w:rPr>
      </w:pPr>
      <w:bookmarkStart w:id="1198" w:name="_Ref85437380"/>
      <w:r w:rsidRPr="00D61C03">
        <w:rPr>
          <w:sz w:val="22"/>
          <w:szCs w:val="22"/>
        </w:rPr>
        <w:t xml:space="preserve">Table A </w:t>
      </w:r>
      <w:r w:rsidRPr="00D61C03">
        <w:rPr>
          <w:sz w:val="22"/>
          <w:szCs w:val="22"/>
        </w:rPr>
        <w:fldChar w:fldCharType="begin"/>
      </w:r>
      <w:r w:rsidRPr="00D61C03">
        <w:rPr>
          <w:sz w:val="22"/>
          <w:szCs w:val="22"/>
        </w:rPr>
        <w:instrText xml:space="preserve"> SEQ Table_A \* ARABIC </w:instrText>
      </w:r>
      <w:r w:rsidRPr="00D61C03">
        <w:rPr>
          <w:sz w:val="22"/>
          <w:szCs w:val="22"/>
        </w:rPr>
        <w:fldChar w:fldCharType="separate"/>
      </w:r>
      <w:r w:rsidR="00662F32">
        <w:rPr>
          <w:noProof/>
          <w:sz w:val="22"/>
          <w:szCs w:val="22"/>
        </w:rPr>
        <w:t>17</w:t>
      </w:r>
      <w:r w:rsidRPr="00D61C03">
        <w:rPr>
          <w:sz w:val="22"/>
          <w:szCs w:val="22"/>
        </w:rPr>
        <w:fldChar w:fldCharType="end"/>
      </w:r>
      <w:bookmarkEnd w:id="1198"/>
      <w:r w:rsidRPr="00D61C03">
        <w:rPr>
          <w:bCs w:val="0"/>
          <w:sz w:val="22"/>
          <w:szCs w:val="22"/>
          <w:lang w:val="en-GB"/>
        </w:rPr>
        <w:t>:</w:t>
      </w:r>
      <w:r w:rsidRPr="00D61C03">
        <w:rPr>
          <w:bCs w:val="0"/>
          <w:sz w:val="22"/>
          <w:szCs w:val="22"/>
          <w:lang w:val="en-GB"/>
        </w:rPr>
        <w:tab/>
        <w:t>Procedural recoveries for BAS 700 F in honey bee diet</w:t>
      </w:r>
    </w:p>
    <w:tbl>
      <w:tblPr>
        <w:tblW w:w="5000" w:type="pct"/>
        <w:tblCellMar>
          <w:left w:w="70" w:type="dxa"/>
          <w:right w:w="70" w:type="dxa"/>
        </w:tblCellMar>
        <w:tblLook w:val="04A0" w:firstRow="1" w:lastRow="0" w:firstColumn="1" w:lastColumn="0" w:noHBand="0" w:noVBand="1"/>
      </w:tblPr>
      <w:tblGrid>
        <w:gridCol w:w="1647"/>
        <w:gridCol w:w="1646"/>
        <w:gridCol w:w="2644"/>
        <w:gridCol w:w="381"/>
        <w:gridCol w:w="1514"/>
        <w:gridCol w:w="1512"/>
      </w:tblGrid>
      <w:tr w:rsidR="00E51CDD" w14:paraId="45E7876C" w14:textId="77777777" w:rsidTr="009938D9">
        <w:trPr>
          <w:trHeight w:val="528"/>
        </w:trPr>
        <w:tc>
          <w:tcPr>
            <w:tcW w:w="88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0C5873" w14:textId="77777777" w:rsidR="00E51CDD" w:rsidRPr="00A25D45" w:rsidRDefault="00E51CDD" w:rsidP="009938D9">
            <w:pPr>
              <w:jc w:val="center"/>
              <w:rPr>
                <w:b/>
                <w:bCs/>
                <w:szCs w:val="24"/>
              </w:rPr>
            </w:pPr>
            <w:r w:rsidRPr="00A25D45">
              <w:rPr>
                <w:b/>
                <w:bCs/>
                <w:szCs w:val="24"/>
              </w:rPr>
              <w:t>Substance</w:t>
            </w:r>
          </w:p>
        </w:tc>
        <w:tc>
          <w:tcPr>
            <w:tcW w:w="88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4A9FCAF" w14:textId="77777777" w:rsidR="00E51CDD" w:rsidRPr="00A25D45" w:rsidRDefault="00E51CDD" w:rsidP="009938D9">
            <w:pPr>
              <w:jc w:val="center"/>
              <w:rPr>
                <w:b/>
                <w:bCs/>
                <w:szCs w:val="24"/>
              </w:rPr>
            </w:pPr>
            <w:r w:rsidRPr="00A25D45">
              <w:rPr>
                <w:b/>
                <w:bCs/>
                <w:szCs w:val="24"/>
              </w:rPr>
              <w:t>Matrix</w:t>
            </w:r>
          </w:p>
        </w:tc>
        <w:tc>
          <w:tcPr>
            <w:tcW w:w="1415" w:type="pct"/>
            <w:tcBorders>
              <w:top w:val="single" w:sz="4" w:space="0" w:color="auto"/>
              <w:left w:val="nil"/>
              <w:bottom w:val="single" w:sz="4" w:space="0" w:color="auto"/>
              <w:right w:val="single" w:sz="4" w:space="0" w:color="auto"/>
            </w:tcBorders>
            <w:shd w:val="clear" w:color="auto" w:fill="FFFFFF"/>
            <w:vAlign w:val="center"/>
            <w:hideMark/>
          </w:tcPr>
          <w:p w14:paraId="484F954C" w14:textId="77777777" w:rsidR="00E51CDD" w:rsidRPr="00A25D45" w:rsidRDefault="00E51CDD" w:rsidP="009938D9">
            <w:pPr>
              <w:jc w:val="center"/>
              <w:rPr>
                <w:b/>
                <w:bCs/>
                <w:szCs w:val="24"/>
              </w:rPr>
            </w:pPr>
            <w:r w:rsidRPr="00A25D45">
              <w:rPr>
                <w:b/>
                <w:bCs/>
                <w:szCs w:val="24"/>
              </w:rPr>
              <w:t>Fortification level (mg/kg)</w:t>
            </w:r>
          </w:p>
        </w:tc>
        <w:tc>
          <w:tcPr>
            <w:tcW w:w="204" w:type="pct"/>
            <w:tcBorders>
              <w:top w:val="single" w:sz="4" w:space="0" w:color="auto"/>
              <w:left w:val="nil"/>
              <w:bottom w:val="single" w:sz="4" w:space="0" w:color="auto"/>
              <w:right w:val="single" w:sz="4" w:space="0" w:color="auto"/>
            </w:tcBorders>
            <w:shd w:val="clear" w:color="auto" w:fill="FFFFFF"/>
            <w:noWrap/>
            <w:vAlign w:val="center"/>
            <w:hideMark/>
          </w:tcPr>
          <w:p w14:paraId="301F68A4" w14:textId="77777777" w:rsidR="00E51CDD" w:rsidRPr="00A25D45" w:rsidRDefault="00E51CDD" w:rsidP="009938D9">
            <w:pPr>
              <w:jc w:val="center"/>
              <w:rPr>
                <w:b/>
                <w:bCs/>
                <w:szCs w:val="24"/>
              </w:rPr>
            </w:pPr>
            <w:r w:rsidRPr="00A25D45">
              <w:rPr>
                <w:b/>
                <w:bCs/>
                <w:szCs w:val="24"/>
              </w:rPr>
              <w:t>n</w:t>
            </w:r>
          </w:p>
        </w:tc>
        <w:tc>
          <w:tcPr>
            <w:tcW w:w="810" w:type="pct"/>
            <w:tcBorders>
              <w:top w:val="single" w:sz="4" w:space="0" w:color="auto"/>
              <w:left w:val="nil"/>
              <w:bottom w:val="single" w:sz="4" w:space="0" w:color="auto"/>
              <w:right w:val="single" w:sz="4" w:space="0" w:color="auto"/>
            </w:tcBorders>
            <w:shd w:val="clear" w:color="auto" w:fill="FFFFFF"/>
            <w:noWrap/>
            <w:vAlign w:val="center"/>
            <w:hideMark/>
          </w:tcPr>
          <w:p w14:paraId="3FFE21DC" w14:textId="77777777" w:rsidR="00E51CDD" w:rsidRPr="00A25D45" w:rsidRDefault="00E51CDD" w:rsidP="009938D9">
            <w:pPr>
              <w:jc w:val="center"/>
              <w:rPr>
                <w:b/>
                <w:bCs/>
                <w:szCs w:val="24"/>
              </w:rPr>
            </w:pPr>
            <w:r w:rsidRPr="00A25D45">
              <w:rPr>
                <w:b/>
                <w:bCs/>
                <w:szCs w:val="24"/>
              </w:rPr>
              <w:t>Mean (%)</w:t>
            </w:r>
          </w:p>
        </w:tc>
        <w:tc>
          <w:tcPr>
            <w:tcW w:w="80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365DD4D" w14:textId="77777777" w:rsidR="00E51CDD" w:rsidRDefault="00E51CDD" w:rsidP="009938D9">
            <w:pPr>
              <w:jc w:val="center"/>
              <w:rPr>
                <w:b/>
                <w:bCs/>
                <w:szCs w:val="24"/>
              </w:rPr>
            </w:pPr>
            <w:r w:rsidRPr="00A25D45">
              <w:rPr>
                <w:b/>
                <w:bCs/>
                <w:szCs w:val="24"/>
              </w:rPr>
              <w:t>RSD (%)</w:t>
            </w:r>
          </w:p>
        </w:tc>
      </w:tr>
      <w:tr w:rsidR="00E51CDD" w14:paraId="7CBA59B5" w14:textId="77777777" w:rsidTr="009938D9">
        <w:trPr>
          <w:trHeight w:val="264"/>
        </w:trPr>
        <w:tc>
          <w:tcPr>
            <w:tcW w:w="88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E4319C4" w14:textId="77777777" w:rsidR="00E51CDD" w:rsidRDefault="00E51CDD" w:rsidP="009938D9">
            <w:pPr>
              <w:jc w:val="center"/>
              <w:rPr>
                <w:szCs w:val="24"/>
              </w:rPr>
            </w:pPr>
            <w:r>
              <w:rPr>
                <w:szCs w:val="24"/>
              </w:rPr>
              <w:t>BAS 700 F</w:t>
            </w:r>
          </w:p>
        </w:tc>
        <w:tc>
          <w:tcPr>
            <w:tcW w:w="881"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F4064BF" w14:textId="77777777" w:rsidR="00E51CDD" w:rsidRDefault="00E51CDD" w:rsidP="009938D9">
            <w:pPr>
              <w:jc w:val="center"/>
              <w:rPr>
                <w:szCs w:val="24"/>
              </w:rPr>
            </w:pPr>
            <w:r>
              <w:rPr>
                <w:szCs w:val="24"/>
              </w:rPr>
              <w:t>Honey bee diet</w:t>
            </w:r>
          </w:p>
        </w:tc>
        <w:tc>
          <w:tcPr>
            <w:tcW w:w="1415" w:type="pct"/>
            <w:tcBorders>
              <w:top w:val="single" w:sz="4" w:space="0" w:color="auto"/>
              <w:left w:val="nil"/>
              <w:bottom w:val="single" w:sz="4" w:space="0" w:color="auto"/>
              <w:right w:val="single" w:sz="4" w:space="0" w:color="auto"/>
            </w:tcBorders>
            <w:shd w:val="clear" w:color="auto" w:fill="FFFFFF"/>
            <w:noWrap/>
            <w:vAlign w:val="center"/>
            <w:hideMark/>
          </w:tcPr>
          <w:p w14:paraId="7465C67B" w14:textId="77777777" w:rsidR="00E51CDD" w:rsidRDefault="00E51CDD" w:rsidP="009938D9">
            <w:pPr>
              <w:jc w:val="center"/>
              <w:rPr>
                <w:szCs w:val="24"/>
              </w:rPr>
            </w:pPr>
            <w:r>
              <w:rPr>
                <w:szCs w:val="24"/>
              </w:rPr>
              <w:t>0.010</w:t>
            </w:r>
          </w:p>
        </w:tc>
        <w:tc>
          <w:tcPr>
            <w:tcW w:w="204" w:type="pct"/>
            <w:tcBorders>
              <w:top w:val="single" w:sz="4" w:space="0" w:color="auto"/>
              <w:left w:val="nil"/>
              <w:bottom w:val="single" w:sz="4" w:space="0" w:color="auto"/>
              <w:right w:val="single" w:sz="4" w:space="0" w:color="auto"/>
            </w:tcBorders>
            <w:shd w:val="clear" w:color="auto" w:fill="FFFFFF"/>
            <w:noWrap/>
            <w:vAlign w:val="center"/>
            <w:hideMark/>
          </w:tcPr>
          <w:p w14:paraId="7F7C4761" w14:textId="77777777" w:rsidR="00E51CDD" w:rsidRDefault="00E51CDD" w:rsidP="009938D9">
            <w:pPr>
              <w:jc w:val="center"/>
              <w:rPr>
                <w:szCs w:val="24"/>
              </w:rPr>
            </w:pPr>
            <w:r>
              <w:rPr>
                <w:szCs w:val="24"/>
              </w:rPr>
              <w:t>4</w:t>
            </w:r>
            <w:r>
              <w:rPr>
                <w:szCs w:val="24"/>
                <w:vertAlign w:val="superscript"/>
              </w:rPr>
              <w:t>*</w:t>
            </w:r>
          </w:p>
        </w:tc>
        <w:tc>
          <w:tcPr>
            <w:tcW w:w="810" w:type="pct"/>
            <w:tcBorders>
              <w:top w:val="single" w:sz="4" w:space="0" w:color="auto"/>
              <w:left w:val="nil"/>
              <w:bottom w:val="single" w:sz="4" w:space="0" w:color="auto"/>
              <w:right w:val="single" w:sz="4" w:space="0" w:color="auto"/>
            </w:tcBorders>
            <w:shd w:val="clear" w:color="auto" w:fill="FFFFFF"/>
            <w:noWrap/>
            <w:vAlign w:val="center"/>
            <w:hideMark/>
          </w:tcPr>
          <w:p w14:paraId="5DCB4740" w14:textId="77777777" w:rsidR="00E51CDD" w:rsidRDefault="00E51CDD" w:rsidP="009938D9">
            <w:pPr>
              <w:jc w:val="center"/>
              <w:rPr>
                <w:szCs w:val="24"/>
              </w:rPr>
            </w:pPr>
            <w:r>
              <w:rPr>
                <w:szCs w:val="24"/>
              </w:rPr>
              <w:t>89.7</w:t>
            </w:r>
          </w:p>
        </w:tc>
        <w:tc>
          <w:tcPr>
            <w:tcW w:w="809" w:type="pct"/>
            <w:tcBorders>
              <w:top w:val="single" w:sz="4" w:space="0" w:color="auto"/>
              <w:left w:val="nil"/>
              <w:bottom w:val="single" w:sz="4" w:space="0" w:color="auto"/>
              <w:right w:val="single" w:sz="4" w:space="0" w:color="auto"/>
            </w:tcBorders>
            <w:shd w:val="clear" w:color="auto" w:fill="FFFFFF"/>
            <w:noWrap/>
            <w:vAlign w:val="center"/>
            <w:hideMark/>
          </w:tcPr>
          <w:p w14:paraId="5A795B8F" w14:textId="77777777" w:rsidR="00E51CDD" w:rsidRDefault="00E51CDD" w:rsidP="009938D9">
            <w:pPr>
              <w:jc w:val="center"/>
              <w:rPr>
                <w:szCs w:val="24"/>
              </w:rPr>
            </w:pPr>
            <w:r>
              <w:rPr>
                <w:szCs w:val="24"/>
              </w:rPr>
              <w:t>13.5</w:t>
            </w:r>
          </w:p>
        </w:tc>
      </w:tr>
      <w:tr w:rsidR="00E51CDD" w14:paraId="0CCB3CF6" w14:textId="77777777" w:rsidTr="009938D9">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107004" w14:textId="77777777" w:rsidR="00E51CDD" w:rsidRDefault="00E51CDD" w:rsidP="009938D9">
            <w:pPr>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A5F549" w14:textId="77777777" w:rsidR="00E51CDD" w:rsidRDefault="00E51CDD" w:rsidP="009938D9">
            <w:pPr>
              <w:rPr>
                <w:szCs w:val="24"/>
              </w:rPr>
            </w:pPr>
          </w:p>
        </w:tc>
        <w:tc>
          <w:tcPr>
            <w:tcW w:w="1415" w:type="pct"/>
            <w:tcBorders>
              <w:top w:val="single" w:sz="4" w:space="0" w:color="auto"/>
              <w:left w:val="nil"/>
              <w:bottom w:val="single" w:sz="4" w:space="0" w:color="auto"/>
              <w:right w:val="single" w:sz="4" w:space="0" w:color="auto"/>
            </w:tcBorders>
            <w:shd w:val="clear" w:color="auto" w:fill="FFFFFF"/>
            <w:noWrap/>
            <w:vAlign w:val="center"/>
            <w:hideMark/>
          </w:tcPr>
          <w:p w14:paraId="5ABFD553" w14:textId="77777777" w:rsidR="00E51CDD" w:rsidRDefault="00E51CDD" w:rsidP="009938D9">
            <w:pPr>
              <w:jc w:val="center"/>
              <w:rPr>
                <w:szCs w:val="24"/>
              </w:rPr>
            </w:pPr>
            <w:r>
              <w:rPr>
                <w:szCs w:val="24"/>
              </w:rPr>
              <w:t>6711</w:t>
            </w:r>
          </w:p>
        </w:tc>
        <w:tc>
          <w:tcPr>
            <w:tcW w:w="204" w:type="pct"/>
            <w:tcBorders>
              <w:top w:val="single" w:sz="4" w:space="0" w:color="auto"/>
              <w:left w:val="nil"/>
              <w:bottom w:val="single" w:sz="4" w:space="0" w:color="auto"/>
              <w:right w:val="single" w:sz="4" w:space="0" w:color="auto"/>
            </w:tcBorders>
            <w:shd w:val="clear" w:color="auto" w:fill="FFFFFF"/>
            <w:noWrap/>
            <w:vAlign w:val="center"/>
            <w:hideMark/>
          </w:tcPr>
          <w:p w14:paraId="0C67A8E6" w14:textId="77777777" w:rsidR="00E51CDD" w:rsidRDefault="00E51CDD" w:rsidP="009938D9">
            <w:pPr>
              <w:jc w:val="center"/>
              <w:rPr>
                <w:szCs w:val="24"/>
              </w:rPr>
            </w:pPr>
            <w:r>
              <w:rPr>
                <w:szCs w:val="24"/>
              </w:rPr>
              <w:t>5</w:t>
            </w:r>
          </w:p>
        </w:tc>
        <w:tc>
          <w:tcPr>
            <w:tcW w:w="810" w:type="pct"/>
            <w:tcBorders>
              <w:top w:val="single" w:sz="4" w:space="0" w:color="auto"/>
              <w:left w:val="nil"/>
              <w:bottom w:val="single" w:sz="4" w:space="0" w:color="auto"/>
              <w:right w:val="single" w:sz="4" w:space="0" w:color="auto"/>
            </w:tcBorders>
            <w:shd w:val="clear" w:color="auto" w:fill="FFFFFF"/>
            <w:noWrap/>
            <w:vAlign w:val="center"/>
            <w:hideMark/>
          </w:tcPr>
          <w:p w14:paraId="7FC72790" w14:textId="77777777" w:rsidR="00E51CDD" w:rsidRDefault="00E51CDD" w:rsidP="009938D9">
            <w:pPr>
              <w:jc w:val="center"/>
              <w:rPr>
                <w:szCs w:val="24"/>
              </w:rPr>
            </w:pPr>
            <w:r>
              <w:rPr>
                <w:szCs w:val="24"/>
              </w:rPr>
              <w:t>94.4</w:t>
            </w:r>
          </w:p>
        </w:tc>
        <w:tc>
          <w:tcPr>
            <w:tcW w:w="809" w:type="pct"/>
            <w:tcBorders>
              <w:top w:val="single" w:sz="4" w:space="0" w:color="auto"/>
              <w:left w:val="nil"/>
              <w:bottom w:val="single" w:sz="4" w:space="0" w:color="auto"/>
              <w:right w:val="single" w:sz="4" w:space="0" w:color="auto"/>
            </w:tcBorders>
            <w:shd w:val="clear" w:color="auto" w:fill="FFFFFF"/>
            <w:noWrap/>
            <w:vAlign w:val="center"/>
            <w:hideMark/>
          </w:tcPr>
          <w:p w14:paraId="1645BF5E" w14:textId="77777777" w:rsidR="00E51CDD" w:rsidRDefault="00E51CDD" w:rsidP="009938D9">
            <w:pPr>
              <w:jc w:val="center"/>
              <w:rPr>
                <w:szCs w:val="24"/>
              </w:rPr>
            </w:pPr>
            <w:r>
              <w:rPr>
                <w:szCs w:val="24"/>
              </w:rPr>
              <w:t>6.54</w:t>
            </w:r>
          </w:p>
        </w:tc>
      </w:tr>
    </w:tbl>
    <w:p w14:paraId="6BEE6B9A" w14:textId="77777777" w:rsidR="00E51CDD" w:rsidRDefault="00E51CDD" w:rsidP="00E51CDD">
      <w:pPr>
        <w:widowControl w:val="0"/>
        <w:rPr>
          <w:sz w:val="18"/>
          <w:szCs w:val="18"/>
        </w:rPr>
      </w:pPr>
      <w:r w:rsidRPr="00A25D45">
        <w:rPr>
          <w:sz w:val="18"/>
          <w:szCs w:val="18"/>
        </w:rPr>
        <w:t>*One out of five samples was out of range confirmed by Dixon test</w:t>
      </w:r>
    </w:p>
    <w:p w14:paraId="34A2E2AA" w14:textId="77777777" w:rsidR="00E51CDD" w:rsidRPr="00A25D45" w:rsidRDefault="00E51CDD" w:rsidP="00E51CDD">
      <w:pPr>
        <w:widowControl w:val="0"/>
        <w:rPr>
          <w:szCs w:val="24"/>
        </w:rPr>
      </w:pPr>
    </w:p>
    <w:p w14:paraId="67DE6700" w14:textId="77777777" w:rsidR="00E51CDD" w:rsidRPr="00A25D45" w:rsidRDefault="00E51CDD" w:rsidP="00E51CDD">
      <w:pPr>
        <w:widowControl w:val="0"/>
        <w:rPr>
          <w:szCs w:val="24"/>
        </w:rPr>
      </w:pPr>
      <w:r>
        <w:rPr>
          <w:szCs w:val="24"/>
        </w:rPr>
        <w:br w:type="page"/>
      </w:r>
    </w:p>
    <w:p w14:paraId="5A2263A2" w14:textId="77777777" w:rsidR="00E51CDD" w:rsidRPr="00A25D45" w:rsidRDefault="00E51CDD" w:rsidP="00E51CDD">
      <w:pPr>
        <w:widowControl w:val="0"/>
        <w:rPr>
          <w:b/>
          <w:bCs/>
          <w:szCs w:val="24"/>
        </w:rPr>
      </w:pPr>
      <w:r w:rsidRPr="00A25D45">
        <w:rPr>
          <w:b/>
          <w:bCs/>
          <w:szCs w:val="24"/>
        </w:rPr>
        <w:lastRenderedPageBreak/>
        <w:t>II.</w:t>
      </w:r>
      <w:r w:rsidRPr="00A25D45">
        <w:rPr>
          <w:b/>
          <w:bCs/>
          <w:szCs w:val="24"/>
        </w:rPr>
        <w:tab/>
        <w:t>RESULTS AND DISCUSSION</w:t>
      </w:r>
    </w:p>
    <w:p w14:paraId="7455289F" w14:textId="77777777" w:rsidR="00E51CDD" w:rsidRPr="00A25D45" w:rsidRDefault="00E51CDD" w:rsidP="00E51CDD">
      <w:pPr>
        <w:widowControl w:val="0"/>
        <w:rPr>
          <w:szCs w:val="24"/>
        </w:rPr>
      </w:pPr>
    </w:p>
    <w:p w14:paraId="020455C0" w14:textId="47C35E95" w:rsidR="00E51CDD" w:rsidRPr="00D61C03" w:rsidRDefault="00E51CDD" w:rsidP="00E51CDD">
      <w:pPr>
        <w:widowControl w:val="0"/>
        <w:jc w:val="both"/>
        <w:rPr>
          <w:szCs w:val="24"/>
        </w:rPr>
      </w:pPr>
      <w:r w:rsidRPr="00A25D45">
        <w:rPr>
          <w:szCs w:val="24"/>
        </w:rPr>
        <w:t xml:space="preserve">After 10 days of continuous exposure, a mean mortality of 3.3% was observed in both control groups. In the test item group, bees effectively consumed doses of 46.5, 108, 172, 413 and 697 µg BAS 700 04 F/bee/day which resulted in mortalities of 0.0, 0.0, 0.0, 3.3 and 6.7%, respectively. The resulting corrected mortalities were 0.0, 0.0, 0.0, 0.0 and 3.4%. None of the obtained mortalities were statistically significantly increased compared to the viscosifier control group </w:t>
      </w:r>
      <w:r w:rsidRPr="00A25D45">
        <w:t xml:space="preserve">(Fisher’s Exact Binomial Test with Bonferroni Correction, </w:t>
      </w:r>
      <w:r>
        <w:sym w:font="Symbol" w:char="F061"/>
      </w:r>
      <w:r w:rsidRPr="00A25D45">
        <w:t xml:space="preserve"> = 0.05, one-sided greater)</w:t>
      </w:r>
      <w:r w:rsidRPr="00A25D45">
        <w:rPr>
          <w:szCs w:val="24"/>
        </w:rPr>
        <w:t xml:space="preserve">. </w:t>
      </w:r>
      <w:r w:rsidRPr="00A25D45">
        <w:t>No behavioral abnormalities were observed in any test item treatment group on any assessment day</w:t>
      </w:r>
      <w:r>
        <w:t>. T</w:t>
      </w:r>
      <w:r w:rsidRPr="00A25D45">
        <w:rPr>
          <w:szCs w:val="24"/>
        </w:rPr>
        <w:t xml:space="preserve">he results are </w:t>
      </w:r>
      <w:r w:rsidRPr="00D61C03">
        <w:rPr>
          <w:szCs w:val="24"/>
        </w:rPr>
        <w:t xml:space="preserve">summarized in </w:t>
      </w:r>
      <w:r>
        <w:rPr>
          <w:szCs w:val="24"/>
        </w:rPr>
        <w:fldChar w:fldCharType="begin"/>
      </w:r>
      <w:r>
        <w:rPr>
          <w:szCs w:val="24"/>
        </w:rPr>
        <w:instrText xml:space="preserve"> REF _Ref85437353 \h </w:instrText>
      </w:r>
      <w:r>
        <w:rPr>
          <w:szCs w:val="24"/>
        </w:rPr>
      </w:r>
      <w:r>
        <w:rPr>
          <w:szCs w:val="24"/>
        </w:rPr>
        <w:fldChar w:fldCharType="separate"/>
      </w:r>
      <w:r w:rsidR="00662F32" w:rsidRPr="00D61C03">
        <w:t xml:space="preserve">Table A </w:t>
      </w:r>
      <w:r w:rsidR="00662F32">
        <w:rPr>
          <w:noProof/>
        </w:rPr>
        <w:t>18</w:t>
      </w:r>
      <w:r>
        <w:rPr>
          <w:szCs w:val="24"/>
        </w:rPr>
        <w:fldChar w:fldCharType="end"/>
      </w:r>
      <w:r>
        <w:rPr>
          <w:szCs w:val="24"/>
        </w:rPr>
        <w:t>.</w:t>
      </w:r>
    </w:p>
    <w:p w14:paraId="7B5A4F22" w14:textId="77777777" w:rsidR="00E51CDD" w:rsidRPr="00D61C03" w:rsidRDefault="00E51CDD" w:rsidP="00E51CDD">
      <w:pPr>
        <w:widowControl w:val="0"/>
        <w:jc w:val="both"/>
      </w:pPr>
    </w:p>
    <w:p w14:paraId="7F983B2B" w14:textId="2B47AB2D" w:rsidR="00B31542" w:rsidRDefault="00E51CDD" w:rsidP="00E51CDD">
      <w:pPr>
        <w:pStyle w:val="Legenda"/>
        <w:rPr>
          <w:sz w:val="22"/>
          <w:szCs w:val="22"/>
          <w:lang w:val="en-GB"/>
        </w:rPr>
      </w:pPr>
      <w:bookmarkStart w:id="1199" w:name="_Ref85437353"/>
      <w:r w:rsidRPr="00D61C03">
        <w:rPr>
          <w:sz w:val="22"/>
          <w:szCs w:val="22"/>
        </w:rPr>
        <w:t xml:space="preserve">Table A </w:t>
      </w:r>
      <w:r w:rsidRPr="00D61C03">
        <w:rPr>
          <w:sz w:val="22"/>
          <w:szCs w:val="22"/>
        </w:rPr>
        <w:fldChar w:fldCharType="begin"/>
      </w:r>
      <w:r w:rsidRPr="00D61C03">
        <w:rPr>
          <w:sz w:val="22"/>
          <w:szCs w:val="22"/>
        </w:rPr>
        <w:instrText xml:space="preserve"> SEQ Table_A \* ARABIC </w:instrText>
      </w:r>
      <w:r w:rsidRPr="00D61C03">
        <w:rPr>
          <w:sz w:val="22"/>
          <w:szCs w:val="22"/>
        </w:rPr>
        <w:fldChar w:fldCharType="separate"/>
      </w:r>
      <w:r w:rsidR="00662F32">
        <w:rPr>
          <w:noProof/>
          <w:sz w:val="22"/>
          <w:szCs w:val="22"/>
        </w:rPr>
        <w:t>18</w:t>
      </w:r>
      <w:r w:rsidRPr="00D61C03">
        <w:rPr>
          <w:sz w:val="22"/>
          <w:szCs w:val="22"/>
        </w:rPr>
        <w:fldChar w:fldCharType="end"/>
      </w:r>
      <w:bookmarkEnd w:id="1199"/>
      <w:r w:rsidRPr="00D61C03">
        <w:rPr>
          <w:sz w:val="22"/>
          <w:szCs w:val="22"/>
        </w:rPr>
        <w:t>:</w:t>
      </w:r>
      <w:r w:rsidRPr="00D61C03">
        <w:rPr>
          <w:sz w:val="22"/>
          <w:szCs w:val="22"/>
        </w:rPr>
        <w:tab/>
      </w:r>
      <w:r w:rsidRPr="00D61C03">
        <w:rPr>
          <w:sz w:val="22"/>
          <w:szCs w:val="22"/>
          <w:lang w:val="en-GB"/>
        </w:rPr>
        <w:t xml:space="preserve">Toxicity of BAS 700 04 F to </w:t>
      </w:r>
      <w:r w:rsidRPr="00D61C03">
        <w:rPr>
          <w:i/>
          <w:sz w:val="22"/>
          <w:szCs w:val="22"/>
          <w:lang w:val="en-GB"/>
        </w:rPr>
        <w:t>Apis mellifera</w:t>
      </w:r>
      <w:r w:rsidRPr="00D61C03">
        <w:rPr>
          <w:sz w:val="22"/>
          <w:szCs w:val="22"/>
          <w:lang w:val="en-GB"/>
        </w:rPr>
        <w:t xml:space="preserve"> L. in a chronic toxicity feeding test after </w:t>
      </w:r>
    </w:p>
    <w:p w14:paraId="529AC7E2" w14:textId="7FE49795" w:rsidR="00E51CDD" w:rsidRPr="00D61C03" w:rsidRDefault="00E51CDD" w:rsidP="00B31542">
      <w:pPr>
        <w:pStyle w:val="Legenda"/>
        <w:ind w:left="708" w:firstLine="708"/>
        <w:rPr>
          <w:sz w:val="22"/>
          <w:szCs w:val="22"/>
          <w:lang w:val="en-GB"/>
        </w:rPr>
      </w:pPr>
      <w:r w:rsidRPr="00D61C03">
        <w:rPr>
          <w:sz w:val="22"/>
          <w:szCs w:val="22"/>
          <w:lang w:val="en-GB"/>
        </w:rPr>
        <w:t>10 days</w:t>
      </w: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984"/>
        <w:gridCol w:w="1718"/>
        <w:gridCol w:w="802"/>
        <w:gridCol w:w="336"/>
        <w:gridCol w:w="1259"/>
        <w:gridCol w:w="1562"/>
      </w:tblGrid>
      <w:tr w:rsidR="00E51CDD" w14:paraId="5B6031C3" w14:textId="77777777" w:rsidTr="009938D9">
        <w:trPr>
          <w:trHeight w:val="340"/>
        </w:trPr>
        <w:tc>
          <w:tcPr>
            <w:tcW w:w="2947" w:type="pct"/>
            <w:gridSpan w:val="3"/>
            <w:tcBorders>
              <w:top w:val="single" w:sz="4" w:space="0" w:color="auto"/>
              <w:left w:val="single" w:sz="4" w:space="0" w:color="auto"/>
              <w:bottom w:val="single" w:sz="4" w:space="0" w:color="auto"/>
              <w:right w:val="single" w:sz="4" w:space="0" w:color="auto"/>
            </w:tcBorders>
            <w:vAlign w:val="center"/>
            <w:hideMark/>
          </w:tcPr>
          <w:p w14:paraId="16F315AD" w14:textId="77777777" w:rsidR="00E51CDD" w:rsidRDefault="00E51CDD" w:rsidP="009938D9">
            <w:pPr>
              <w:widowControl w:val="0"/>
              <w:rPr>
                <w:b/>
                <w:sz w:val="20"/>
                <w:szCs w:val="20"/>
              </w:rPr>
            </w:pPr>
            <w:r>
              <w:rPr>
                <w:b/>
                <w:sz w:val="20"/>
                <w:szCs w:val="20"/>
              </w:rPr>
              <w:t>Treatment</w:t>
            </w:r>
          </w:p>
        </w:tc>
        <w:tc>
          <w:tcPr>
            <w:tcW w:w="2053" w:type="pct"/>
            <w:gridSpan w:val="4"/>
            <w:tcBorders>
              <w:top w:val="single" w:sz="4" w:space="0" w:color="auto"/>
              <w:left w:val="single" w:sz="4" w:space="0" w:color="auto"/>
              <w:bottom w:val="single" w:sz="4" w:space="0" w:color="auto"/>
              <w:right w:val="single" w:sz="4" w:space="0" w:color="auto"/>
            </w:tcBorders>
            <w:vAlign w:val="center"/>
            <w:hideMark/>
          </w:tcPr>
          <w:p w14:paraId="069348E5" w14:textId="77777777" w:rsidR="00E51CDD" w:rsidRDefault="00E51CDD" w:rsidP="009938D9">
            <w:pPr>
              <w:widowControl w:val="0"/>
              <w:rPr>
                <w:b/>
                <w:sz w:val="20"/>
                <w:szCs w:val="20"/>
              </w:rPr>
            </w:pPr>
            <w:r>
              <w:rPr>
                <w:b/>
                <w:sz w:val="20"/>
                <w:szCs w:val="20"/>
              </w:rPr>
              <w:t>Mortality after 10 days</w:t>
            </w:r>
          </w:p>
        </w:tc>
      </w:tr>
      <w:tr w:rsidR="00E51CDD" w:rsidRPr="00A25D45" w14:paraId="1D8CF519" w14:textId="77777777" w:rsidTr="009938D9">
        <w:tc>
          <w:tcPr>
            <w:tcW w:w="1027" w:type="pct"/>
            <w:tcBorders>
              <w:top w:val="single" w:sz="4" w:space="0" w:color="auto"/>
              <w:left w:val="single" w:sz="4" w:space="0" w:color="auto"/>
              <w:bottom w:val="single" w:sz="4" w:space="0" w:color="auto"/>
              <w:right w:val="single" w:sz="4" w:space="0" w:color="auto"/>
            </w:tcBorders>
            <w:hideMark/>
          </w:tcPr>
          <w:p w14:paraId="1461E500" w14:textId="77777777" w:rsidR="00E51CDD" w:rsidRPr="00A25D45" w:rsidRDefault="00E51CDD" w:rsidP="009938D9">
            <w:pPr>
              <w:widowControl w:val="0"/>
              <w:rPr>
                <w:b/>
                <w:sz w:val="20"/>
                <w:szCs w:val="20"/>
              </w:rPr>
            </w:pPr>
            <w:r w:rsidRPr="00A25D45">
              <w:rPr>
                <w:b/>
                <w:sz w:val="20"/>
                <w:szCs w:val="20"/>
              </w:rPr>
              <w:t xml:space="preserve">Nominal dosage </w:t>
            </w:r>
            <w:r w:rsidRPr="00A25D45">
              <w:rPr>
                <w:bCs/>
                <w:sz w:val="20"/>
                <w:szCs w:val="20"/>
              </w:rPr>
              <w:t>[µg product/bee/day]</w:t>
            </w:r>
          </w:p>
        </w:tc>
        <w:tc>
          <w:tcPr>
            <w:tcW w:w="1029" w:type="pct"/>
            <w:tcBorders>
              <w:top w:val="single" w:sz="4" w:space="0" w:color="auto"/>
              <w:left w:val="single" w:sz="4" w:space="0" w:color="auto"/>
              <w:bottom w:val="single" w:sz="4" w:space="0" w:color="auto"/>
              <w:right w:val="single" w:sz="4" w:space="0" w:color="auto"/>
            </w:tcBorders>
            <w:hideMark/>
          </w:tcPr>
          <w:p w14:paraId="0A9AFEB4" w14:textId="77777777" w:rsidR="00E51CDD" w:rsidRPr="00A25D45" w:rsidRDefault="00E51CDD" w:rsidP="009938D9">
            <w:pPr>
              <w:widowControl w:val="0"/>
              <w:rPr>
                <w:b/>
                <w:sz w:val="20"/>
                <w:szCs w:val="20"/>
              </w:rPr>
            </w:pPr>
            <w:r w:rsidRPr="00A25D45">
              <w:rPr>
                <w:b/>
                <w:sz w:val="20"/>
                <w:szCs w:val="20"/>
              </w:rPr>
              <w:t xml:space="preserve">Consumed dosage </w:t>
            </w:r>
            <w:r w:rsidRPr="00A25D45">
              <w:rPr>
                <w:bCs/>
                <w:sz w:val="20"/>
                <w:szCs w:val="20"/>
              </w:rPr>
              <w:t>[µg product/bee/day]</w:t>
            </w:r>
          </w:p>
        </w:tc>
        <w:tc>
          <w:tcPr>
            <w:tcW w:w="890" w:type="pct"/>
            <w:tcBorders>
              <w:top w:val="single" w:sz="4" w:space="0" w:color="auto"/>
              <w:left w:val="single" w:sz="4" w:space="0" w:color="auto"/>
              <w:bottom w:val="single" w:sz="4" w:space="0" w:color="auto"/>
              <w:right w:val="single" w:sz="4" w:space="0" w:color="auto"/>
            </w:tcBorders>
            <w:hideMark/>
          </w:tcPr>
          <w:p w14:paraId="772A00BA" w14:textId="77777777" w:rsidR="00E51CDD" w:rsidRPr="00A25D45" w:rsidRDefault="00E51CDD" w:rsidP="009938D9">
            <w:pPr>
              <w:widowControl w:val="0"/>
              <w:rPr>
                <w:b/>
                <w:sz w:val="20"/>
                <w:szCs w:val="20"/>
              </w:rPr>
            </w:pPr>
            <w:r w:rsidRPr="00A25D45">
              <w:rPr>
                <w:b/>
                <w:sz w:val="20"/>
                <w:szCs w:val="20"/>
              </w:rPr>
              <w:t>Concentration</w:t>
            </w:r>
            <w:r w:rsidRPr="00A25D45">
              <w:rPr>
                <w:b/>
                <w:sz w:val="20"/>
                <w:szCs w:val="20"/>
              </w:rPr>
              <w:br/>
            </w:r>
            <w:r w:rsidRPr="00A25D45">
              <w:rPr>
                <w:bCs/>
                <w:sz w:val="20"/>
                <w:szCs w:val="20"/>
              </w:rPr>
              <w:t>[mg product/kg food]</w:t>
            </w:r>
          </w:p>
        </w:tc>
        <w:tc>
          <w:tcPr>
            <w:tcW w:w="590" w:type="pct"/>
            <w:gridSpan w:val="2"/>
            <w:tcBorders>
              <w:top w:val="single" w:sz="4" w:space="0" w:color="auto"/>
              <w:left w:val="single" w:sz="4" w:space="0" w:color="auto"/>
              <w:bottom w:val="single" w:sz="4" w:space="0" w:color="auto"/>
              <w:right w:val="single" w:sz="4" w:space="0" w:color="auto"/>
            </w:tcBorders>
            <w:hideMark/>
          </w:tcPr>
          <w:p w14:paraId="216AC866" w14:textId="77777777" w:rsidR="00E51CDD" w:rsidRDefault="00E51CDD" w:rsidP="009938D9">
            <w:pPr>
              <w:widowControl w:val="0"/>
              <w:rPr>
                <w:b/>
                <w:sz w:val="20"/>
                <w:szCs w:val="20"/>
              </w:rPr>
            </w:pPr>
            <w:r>
              <w:rPr>
                <w:b/>
                <w:sz w:val="20"/>
                <w:szCs w:val="20"/>
              </w:rPr>
              <w:t xml:space="preserve">Mean mortality </w:t>
            </w:r>
            <w:r>
              <w:rPr>
                <w:bCs/>
                <w:sz w:val="20"/>
                <w:szCs w:val="20"/>
              </w:rPr>
              <w:t>[%]</w:t>
            </w:r>
          </w:p>
        </w:tc>
        <w:tc>
          <w:tcPr>
            <w:tcW w:w="653" w:type="pct"/>
            <w:tcBorders>
              <w:top w:val="single" w:sz="4" w:space="0" w:color="auto"/>
              <w:left w:val="single" w:sz="4" w:space="0" w:color="auto"/>
              <w:bottom w:val="single" w:sz="4" w:space="0" w:color="auto"/>
              <w:right w:val="single" w:sz="4" w:space="0" w:color="auto"/>
            </w:tcBorders>
            <w:hideMark/>
          </w:tcPr>
          <w:p w14:paraId="1896A907" w14:textId="77777777" w:rsidR="00E51CDD" w:rsidRDefault="00E51CDD" w:rsidP="009938D9">
            <w:pPr>
              <w:widowControl w:val="0"/>
              <w:rPr>
                <w:b/>
                <w:sz w:val="20"/>
                <w:szCs w:val="20"/>
              </w:rPr>
            </w:pPr>
            <w:r>
              <w:rPr>
                <w:b/>
                <w:sz w:val="20"/>
                <w:szCs w:val="20"/>
              </w:rPr>
              <w:t xml:space="preserve">Corrected mortality </w:t>
            </w:r>
            <w:r>
              <w:rPr>
                <w:bCs/>
                <w:sz w:val="20"/>
                <w:szCs w:val="20"/>
              </w:rPr>
              <w:t>[%]</w:t>
            </w:r>
          </w:p>
        </w:tc>
        <w:tc>
          <w:tcPr>
            <w:tcW w:w="809" w:type="pct"/>
            <w:tcBorders>
              <w:top w:val="single" w:sz="4" w:space="0" w:color="auto"/>
              <w:left w:val="single" w:sz="4" w:space="0" w:color="auto"/>
              <w:bottom w:val="single" w:sz="4" w:space="0" w:color="auto"/>
              <w:right w:val="single" w:sz="4" w:space="0" w:color="auto"/>
            </w:tcBorders>
            <w:hideMark/>
          </w:tcPr>
          <w:p w14:paraId="66DF3F51" w14:textId="77777777" w:rsidR="00E51CDD" w:rsidRPr="00A25D45" w:rsidRDefault="00E51CDD" w:rsidP="009938D9">
            <w:pPr>
              <w:widowControl w:val="0"/>
              <w:rPr>
                <w:b/>
                <w:sz w:val="20"/>
                <w:szCs w:val="20"/>
              </w:rPr>
            </w:pPr>
            <w:r w:rsidRPr="00A25D45">
              <w:rPr>
                <w:b/>
                <w:sz w:val="20"/>
                <w:szCs w:val="20"/>
              </w:rPr>
              <w:t xml:space="preserve">Number of bees with behavioral abnormalities </w:t>
            </w:r>
            <w:r w:rsidRPr="00A25D45">
              <w:rPr>
                <w:b/>
                <w:sz w:val="20"/>
                <w:szCs w:val="20"/>
                <w:vertAlign w:val="superscript"/>
              </w:rPr>
              <w:t>1)</w:t>
            </w:r>
          </w:p>
        </w:tc>
      </w:tr>
      <w:tr w:rsidR="00E51CDD" w14:paraId="4F51F816"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43A37E6C" w14:textId="77777777" w:rsidR="00E51CDD" w:rsidRDefault="00E51CDD" w:rsidP="009938D9">
            <w:pPr>
              <w:widowControl w:val="0"/>
              <w:rPr>
                <w:sz w:val="20"/>
                <w:szCs w:val="20"/>
              </w:rPr>
            </w:pPr>
            <w:r>
              <w:rPr>
                <w:sz w:val="20"/>
                <w:szCs w:val="20"/>
              </w:rPr>
              <w:t>Control</w:t>
            </w:r>
          </w:p>
        </w:tc>
        <w:tc>
          <w:tcPr>
            <w:tcW w:w="1029" w:type="pct"/>
            <w:tcBorders>
              <w:top w:val="single" w:sz="4" w:space="0" w:color="auto"/>
              <w:left w:val="single" w:sz="4" w:space="0" w:color="auto"/>
              <w:bottom w:val="single" w:sz="4" w:space="0" w:color="auto"/>
              <w:right w:val="single" w:sz="4" w:space="0" w:color="auto"/>
            </w:tcBorders>
            <w:vAlign w:val="center"/>
            <w:hideMark/>
          </w:tcPr>
          <w:p w14:paraId="7235D3DE" w14:textId="77777777" w:rsidR="00E51CDD" w:rsidRDefault="00E51CDD" w:rsidP="009938D9">
            <w:pPr>
              <w:widowControl w:val="0"/>
              <w:rPr>
                <w:sz w:val="20"/>
                <w:szCs w:val="20"/>
              </w:rPr>
            </w:pPr>
            <w:r>
              <w:rPr>
                <w:sz w:val="20"/>
                <w:szCs w:val="20"/>
              </w:rPr>
              <w:t>--</w:t>
            </w:r>
          </w:p>
        </w:tc>
        <w:tc>
          <w:tcPr>
            <w:tcW w:w="890" w:type="pct"/>
            <w:tcBorders>
              <w:top w:val="single" w:sz="4" w:space="0" w:color="auto"/>
              <w:left w:val="single" w:sz="4" w:space="0" w:color="auto"/>
              <w:bottom w:val="single" w:sz="4" w:space="0" w:color="auto"/>
              <w:right w:val="single" w:sz="4" w:space="0" w:color="auto"/>
            </w:tcBorders>
            <w:vAlign w:val="center"/>
            <w:hideMark/>
          </w:tcPr>
          <w:p w14:paraId="160DD54D" w14:textId="77777777" w:rsidR="00E51CDD" w:rsidRDefault="00E51CDD" w:rsidP="009938D9">
            <w:pPr>
              <w:widowControl w:val="0"/>
              <w:rPr>
                <w:sz w:val="20"/>
                <w:szCs w:val="20"/>
              </w:rPr>
            </w:pPr>
            <w:r>
              <w:rPr>
                <w:sz w:val="20"/>
                <w:szCs w:val="20"/>
              </w:rPr>
              <w:t>--</w:t>
            </w:r>
          </w:p>
        </w:tc>
        <w:tc>
          <w:tcPr>
            <w:tcW w:w="590" w:type="pct"/>
            <w:gridSpan w:val="2"/>
            <w:tcBorders>
              <w:top w:val="single" w:sz="4" w:space="0" w:color="auto"/>
              <w:left w:val="single" w:sz="4" w:space="0" w:color="auto"/>
              <w:bottom w:val="single" w:sz="4" w:space="0" w:color="auto"/>
              <w:right w:val="single" w:sz="4" w:space="0" w:color="auto"/>
            </w:tcBorders>
            <w:vAlign w:val="center"/>
            <w:hideMark/>
          </w:tcPr>
          <w:p w14:paraId="2BBCA2F2" w14:textId="77777777" w:rsidR="00E51CDD" w:rsidRDefault="00E51CDD" w:rsidP="009938D9">
            <w:pPr>
              <w:widowControl w:val="0"/>
              <w:rPr>
                <w:sz w:val="20"/>
                <w:szCs w:val="20"/>
              </w:rPr>
            </w:pPr>
            <w:r>
              <w:rPr>
                <w:sz w:val="20"/>
                <w:szCs w:val="20"/>
              </w:rPr>
              <w:t>3.3</w:t>
            </w:r>
          </w:p>
        </w:tc>
        <w:tc>
          <w:tcPr>
            <w:tcW w:w="653" w:type="pct"/>
            <w:tcBorders>
              <w:top w:val="single" w:sz="4" w:space="0" w:color="auto"/>
              <w:left w:val="single" w:sz="4" w:space="0" w:color="auto"/>
              <w:bottom w:val="single" w:sz="4" w:space="0" w:color="auto"/>
              <w:right w:val="single" w:sz="4" w:space="0" w:color="auto"/>
            </w:tcBorders>
            <w:vAlign w:val="center"/>
            <w:hideMark/>
          </w:tcPr>
          <w:p w14:paraId="7EC3EBB0" w14:textId="77777777" w:rsidR="00E51CDD" w:rsidRDefault="00E51CDD" w:rsidP="009938D9">
            <w:pPr>
              <w:widowControl w:val="0"/>
              <w:rPr>
                <w:sz w:val="20"/>
                <w:szCs w:val="20"/>
              </w:rPr>
            </w:pPr>
            <w:r>
              <w:rPr>
                <w:sz w:val="20"/>
                <w:szCs w:val="20"/>
              </w:rPr>
              <w:t>--</w:t>
            </w:r>
          </w:p>
        </w:tc>
        <w:tc>
          <w:tcPr>
            <w:tcW w:w="809" w:type="pct"/>
            <w:tcBorders>
              <w:top w:val="single" w:sz="4" w:space="0" w:color="auto"/>
              <w:left w:val="single" w:sz="4" w:space="0" w:color="auto"/>
              <w:bottom w:val="single" w:sz="4" w:space="0" w:color="auto"/>
              <w:right w:val="single" w:sz="4" w:space="0" w:color="auto"/>
            </w:tcBorders>
            <w:vAlign w:val="center"/>
            <w:hideMark/>
          </w:tcPr>
          <w:p w14:paraId="3D35AD9B" w14:textId="77777777" w:rsidR="00E51CDD" w:rsidRDefault="00E51CDD" w:rsidP="009938D9">
            <w:pPr>
              <w:widowControl w:val="0"/>
              <w:rPr>
                <w:sz w:val="20"/>
                <w:szCs w:val="20"/>
              </w:rPr>
            </w:pPr>
            <w:r>
              <w:rPr>
                <w:sz w:val="20"/>
                <w:szCs w:val="20"/>
              </w:rPr>
              <w:t>0 (29)</w:t>
            </w:r>
          </w:p>
        </w:tc>
      </w:tr>
      <w:tr w:rsidR="00E51CDD" w14:paraId="1BC7FA4C"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16A74999" w14:textId="77777777" w:rsidR="00E51CDD" w:rsidRDefault="00E51CDD" w:rsidP="009938D9">
            <w:pPr>
              <w:widowControl w:val="0"/>
              <w:rPr>
                <w:sz w:val="20"/>
                <w:szCs w:val="20"/>
              </w:rPr>
            </w:pPr>
            <w:r>
              <w:rPr>
                <w:sz w:val="20"/>
                <w:szCs w:val="20"/>
              </w:rPr>
              <w:t>Viscosifier control</w:t>
            </w:r>
          </w:p>
        </w:tc>
        <w:tc>
          <w:tcPr>
            <w:tcW w:w="1029" w:type="pct"/>
            <w:tcBorders>
              <w:top w:val="single" w:sz="4" w:space="0" w:color="auto"/>
              <w:left w:val="single" w:sz="4" w:space="0" w:color="auto"/>
              <w:bottom w:val="single" w:sz="4" w:space="0" w:color="auto"/>
              <w:right w:val="single" w:sz="4" w:space="0" w:color="auto"/>
            </w:tcBorders>
            <w:vAlign w:val="center"/>
            <w:hideMark/>
          </w:tcPr>
          <w:p w14:paraId="2ABF31C0" w14:textId="77777777" w:rsidR="00E51CDD" w:rsidRDefault="00E51CDD" w:rsidP="009938D9">
            <w:pPr>
              <w:widowControl w:val="0"/>
              <w:rPr>
                <w:sz w:val="20"/>
                <w:szCs w:val="20"/>
              </w:rPr>
            </w:pPr>
            <w:r>
              <w:rPr>
                <w:sz w:val="20"/>
                <w:szCs w:val="20"/>
              </w:rPr>
              <w:t>--</w:t>
            </w:r>
          </w:p>
        </w:tc>
        <w:tc>
          <w:tcPr>
            <w:tcW w:w="890" w:type="pct"/>
            <w:tcBorders>
              <w:top w:val="single" w:sz="4" w:space="0" w:color="auto"/>
              <w:left w:val="single" w:sz="4" w:space="0" w:color="auto"/>
              <w:bottom w:val="single" w:sz="4" w:space="0" w:color="auto"/>
              <w:right w:val="single" w:sz="4" w:space="0" w:color="auto"/>
            </w:tcBorders>
            <w:vAlign w:val="center"/>
            <w:hideMark/>
          </w:tcPr>
          <w:p w14:paraId="03E44AF3" w14:textId="77777777" w:rsidR="00E51CDD" w:rsidRDefault="00E51CDD" w:rsidP="009938D9">
            <w:pPr>
              <w:widowControl w:val="0"/>
              <w:rPr>
                <w:sz w:val="20"/>
                <w:szCs w:val="20"/>
              </w:rPr>
            </w:pPr>
            <w:r>
              <w:rPr>
                <w:sz w:val="20"/>
                <w:szCs w:val="20"/>
              </w:rPr>
              <w:t>--</w:t>
            </w:r>
          </w:p>
        </w:tc>
        <w:tc>
          <w:tcPr>
            <w:tcW w:w="590" w:type="pct"/>
            <w:gridSpan w:val="2"/>
            <w:tcBorders>
              <w:top w:val="single" w:sz="4" w:space="0" w:color="auto"/>
              <w:left w:val="single" w:sz="4" w:space="0" w:color="auto"/>
              <w:bottom w:val="single" w:sz="4" w:space="0" w:color="auto"/>
              <w:right w:val="single" w:sz="4" w:space="0" w:color="auto"/>
            </w:tcBorders>
            <w:vAlign w:val="center"/>
            <w:hideMark/>
          </w:tcPr>
          <w:p w14:paraId="681C0898" w14:textId="77777777" w:rsidR="00E51CDD" w:rsidRDefault="00E51CDD" w:rsidP="009938D9">
            <w:pPr>
              <w:widowControl w:val="0"/>
              <w:rPr>
                <w:sz w:val="20"/>
                <w:szCs w:val="20"/>
              </w:rPr>
            </w:pPr>
            <w:r>
              <w:rPr>
                <w:sz w:val="20"/>
                <w:szCs w:val="20"/>
              </w:rPr>
              <w:t>3.3</w:t>
            </w:r>
          </w:p>
        </w:tc>
        <w:tc>
          <w:tcPr>
            <w:tcW w:w="653" w:type="pct"/>
            <w:tcBorders>
              <w:top w:val="single" w:sz="4" w:space="0" w:color="auto"/>
              <w:left w:val="single" w:sz="4" w:space="0" w:color="auto"/>
              <w:bottom w:val="single" w:sz="4" w:space="0" w:color="auto"/>
              <w:right w:val="single" w:sz="4" w:space="0" w:color="auto"/>
            </w:tcBorders>
            <w:vAlign w:val="center"/>
            <w:hideMark/>
          </w:tcPr>
          <w:p w14:paraId="16829187" w14:textId="77777777" w:rsidR="00E51CDD" w:rsidRDefault="00E51CDD" w:rsidP="009938D9">
            <w:pPr>
              <w:widowControl w:val="0"/>
              <w:rPr>
                <w:sz w:val="20"/>
                <w:szCs w:val="20"/>
              </w:rPr>
            </w:pPr>
            <w:r>
              <w:rPr>
                <w:sz w:val="20"/>
                <w:szCs w:val="20"/>
              </w:rPr>
              <w:t>--</w:t>
            </w:r>
          </w:p>
        </w:tc>
        <w:tc>
          <w:tcPr>
            <w:tcW w:w="809" w:type="pct"/>
            <w:tcBorders>
              <w:top w:val="single" w:sz="4" w:space="0" w:color="auto"/>
              <w:left w:val="single" w:sz="4" w:space="0" w:color="auto"/>
              <w:bottom w:val="single" w:sz="4" w:space="0" w:color="auto"/>
              <w:right w:val="single" w:sz="4" w:space="0" w:color="auto"/>
            </w:tcBorders>
            <w:vAlign w:val="center"/>
            <w:hideMark/>
          </w:tcPr>
          <w:p w14:paraId="2A15A782" w14:textId="77777777" w:rsidR="00E51CDD" w:rsidRDefault="00E51CDD" w:rsidP="009938D9">
            <w:pPr>
              <w:widowControl w:val="0"/>
              <w:rPr>
                <w:sz w:val="20"/>
                <w:szCs w:val="20"/>
              </w:rPr>
            </w:pPr>
            <w:r>
              <w:rPr>
                <w:sz w:val="20"/>
                <w:szCs w:val="20"/>
              </w:rPr>
              <w:t>0 (29)</w:t>
            </w:r>
          </w:p>
        </w:tc>
      </w:tr>
      <w:tr w:rsidR="00E51CDD" w14:paraId="63B61E5F"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61DA07CE" w14:textId="77777777" w:rsidR="00E51CDD" w:rsidRDefault="00E51CDD" w:rsidP="009938D9">
            <w:pPr>
              <w:widowControl w:val="0"/>
              <w:rPr>
                <w:sz w:val="20"/>
                <w:szCs w:val="20"/>
              </w:rPr>
            </w:pPr>
            <w:r>
              <w:rPr>
                <w:sz w:val="20"/>
                <w:szCs w:val="20"/>
              </w:rPr>
              <w:t>47.1</w:t>
            </w:r>
          </w:p>
        </w:tc>
        <w:tc>
          <w:tcPr>
            <w:tcW w:w="1029" w:type="pct"/>
            <w:tcBorders>
              <w:top w:val="single" w:sz="4" w:space="0" w:color="auto"/>
              <w:left w:val="single" w:sz="4" w:space="0" w:color="auto"/>
              <w:bottom w:val="single" w:sz="4" w:space="0" w:color="auto"/>
              <w:right w:val="single" w:sz="4" w:space="0" w:color="auto"/>
            </w:tcBorders>
            <w:vAlign w:val="center"/>
            <w:hideMark/>
          </w:tcPr>
          <w:p w14:paraId="046A4DA5" w14:textId="77777777" w:rsidR="00E51CDD" w:rsidRDefault="00E51CDD" w:rsidP="009938D9">
            <w:pPr>
              <w:widowControl w:val="0"/>
              <w:rPr>
                <w:sz w:val="20"/>
                <w:szCs w:val="20"/>
              </w:rPr>
            </w:pPr>
            <w:r>
              <w:rPr>
                <w:sz w:val="20"/>
                <w:szCs w:val="20"/>
              </w:rPr>
              <w:t>46.5</w:t>
            </w:r>
          </w:p>
        </w:tc>
        <w:tc>
          <w:tcPr>
            <w:tcW w:w="890" w:type="pct"/>
            <w:tcBorders>
              <w:top w:val="single" w:sz="4" w:space="0" w:color="auto"/>
              <w:left w:val="single" w:sz="4" w:space="0" w:color="auto"/>
              <w:bottom w:val="single" w:sz="4" w:space="0" w:color="auto"/>
              <w:right w:val="single" w:sz="4" w:space="0" w:color="auto"/>
            </w:tcBorders>
            <w:vAlign w:val="center"/>
            <w:hideMark/>
          </w:tcPr>
          <w:p w14:paraId="7D316451" w14:textId="77777777" w:rsidR="00E51CDD" w:rsidRDefault="00E51CDD" w:rsidP="009938D9">
            <w:pPr>
              <w:widowControl w:val="0"/>
              <w:rPr>
                <w:sz w:val="20"/>
                <w:szCs w:val="20"/>
              </w:rPr>
            </w:pPr>
            <w:r>
              <w:rPr>
                <w:sz w:val="20"/>
                <w:szCs w:val="20"/>
              </w:rPr>
              <w:t>1.199</w:t>
            </w:r>
          </w:p>
        </w:tc>
        <w:tc>
          <w:tcPr>
            <w:tcW w:w="590" w:type="pct"/>
            <w:gridSpan w:val="2"/>
            <w:tcBorders>
              <w:top w:val="single" w:sz="4" w:space="0" w:color="auto"/>
              <w:left w:val="single" w:sz="4" w:space="0" w:color="auto"/>
              <w:bottom w:val="single" w:sz="4" w:space="0" w:color="auto"/>
              <w:right w:val="single" w:sz="4" w:space="0" w:color="auto"/>
            </w:tcBorders>
            <w:vAlign w:val="center"/>
            <w:hideMark/>
          </w:tcPr>
          <w:p w14:paraId="6AE26C29" w14:textId="77777777" w:rsidR="00E51CDD" w:rsidRDefault="00E51CDD" w:rsidP="009938D9">
            <w:pPr>
              <w:widowControl w:val="0"/>
              <w:rPr>
                <w:sz w:val="20"/>
                <w:szCs w:val="20"/>
              </w:rPr>
            </w:pPr>
            <w:r>
              <w:rPr>
                <w:sz w:val="20"/>
                <w:szCs w:val="20"/>
              </w:rPr>
              <w:t>0.0</w:t>
            </w:r>
          </w:p>
        </w:tc>
        <w:tc>
          <w:tcPr>
            <w:tcW w:w="653" w:type="pct"/>
            <w:tcBorders>
              <w:top w:val="single" w:sz="4" w:space="0" w:color="auto"/>
              <w:left w:val="single" w:sz="4" w:space="0" w:color="auto"/>
              <w:bottom w:val="single" w:sz="4" w:space="0" w:color="auto"/>
              <w:right w:val="single" w:sz="4" w:space="0" w:color="auto"/>
            </w:tcBorders>
            <w:vAlign w:val="center"/>
            <w:hideMark/>
          </w:tcPr>
          <w:p w14:paraId="0B5C611A" w14:textId="77777777" w:rsidR="00E51CDD" w:rsidRDefault="00E51CDD" w:rsidP="009938D9">
            <w:pPr>
              <w:widowControl w:val="0"/>
              <w:rPr>
                <w:sz w:val="20"/>
                <w:szCs w:val="20"/>
              </w:rPr>
            </w:pPr>
            <w:r>
              <w:rPr>
                <w:sz w:val="20"/>
                <w:szCs w:val="20"/>
              </w:rPr>
              <w:t>0.0</w:t>
            </w:r>
          </w:p>
        </w:tc>
        <w:tc>
          <w:tcPr>
            <w:tcW w:w="809" w:type="pct"/>
            <w:tcBorders>
              <w:top w:val="single" w:sz="4" w:space="0" w:color="auto"/>
              <w:left w:val="single" w:sz="4" w:space="0" w:color="auto"/>
              <w:bottom w:val="single" w:sz="4" w:space="0" w:color="auto"/>
              <w:right w:val="single" w:sz="4" w:space="0" w:color="auto"/>
            </w:tcBorders>
            <w:vAlign w:val="center"/>
            <w:hideMark/>
          </w:tcPr>
          <w:p w14:paraId="7205CDD3" w14:textId="77777777" w:rsidR="00E51CDD" w:rsidRDefault="00E51CDD" w:rsidP="009938D9">
            <w:pPr>
              <w:widowControl w:val="0"/>
              <w:rPr>
                <w:sz w:val="20"/>
                <w:szCs w:val="20"/>
              </w:rPr>
            </w:pPr>
            <w:r>
              <w:rPr>
                <w:sz w:val="20"/>
                <w:szCs w:val="20"/>
              </w:rPr>
              <w:t>0 (30)</w:t>
            </w:r>
          </w:p>
        </w:tc>
      </w:tr>
      <w:tr w:rsidR="00E51CDD" w14:paraId="3239FBFE"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5CB81321" w14:textId="77777777" w:rsidR="00E51CDD" w:rsidRDefault="00E51CDD" w:rsidP="009938D9">
            <w:pPr>
              <w:widowControl w:val="0"/>
              <w:rPr>
                <w:sz w:val="20"/>
                <w:szCs w:val="20"/>
              </w:rPr>
            </w:pPr>
            <w:r>
              <w:rPr>
                <w:sz w:val="20"/>
                <w:szCs w:val="20"/>
              </w:rPr>
              <w:t>94.1</w:t>
            </w:r>
          </w:p>
        </w:tc>
        <w:tc>
          <w:tcPr>
            <w:tcW w:w="1029" w:type="pct"/>
            <w:tcBorders>
              <w:top w:val="single" w:sz="4" w:space="0" w:color="auto"/>
              <w:left w:val="single" w:sz="4" w:space="0" w:color="auto"/>
              <w:bottom w:val="single" w:sz="4" w:space="0" w:color="auto"/>
              <w:right w:val="single" w:sz="4" w:space="0" w:color="auto"/>
            </w:tcBorders>
            <w:vAlign w:val="center"/>
            <w:hideMark/>
          </w:tcPr>
          <w:p w14:paraId="1CC2B30E" w14:textId="77777777" w:rsidR="00E51CDD" w:rsidRDefault="00E51CDD" w:rsidP="009938D9">
            <w:pPr>
              <w:widowControl w:val="0"/>
              <w:rPr>
                <w:sz w:val="20"/>
                <w:szCs w:val="20"/>
              </w:rPr>
            </w:pPr>
            <w:r>
              <w:rPr>
                <w:sz w:val="20"/>
                <w:szCs w:val="20"/>
              </w:rPr>
              <w:t>108</w:t>
            </w:r>
          </w:p>
        </w:tc>
        <w:tc>
          <w:tcPr>
            <w:tcW w:w="890" w:type="pct"/>
            <w:tcBorders>
              <w:top w:val="single" w:sz="4" w:space="0" w:color="auto"/>
              <w:left w:val="single" w:sz="4" w:space="0" w:color="auto"/>
              <w:bottom w:val="single" w:sz="4" w:space="0" w:color="auto"/>
              <w:right w:val="single" w:sz="4" w:space="0" w:color="auto"/>
            </w:tcBorders>
            <w:vAlign w:val="center"/>
            <w:hideMark/>
          </w:tcPr>
          <w:p w14:paraId="745BE04C" w14:textId="77777777" w:rsidR="00E51CDD" w:rsidRDefault="00E51CDD" w:rsidP="009938D9">
            <w:pPr>
              <w:widowControl w:val="0"/>
              <w:rPr>
                <w:sz w:val="20"/>
                <w:szCs w:val="20"/>
              </w:rPr>
            </w:pPr>
            <w:r>
              <w:rPr>
                <w:sz w:val="20"/>
                <w:szCs w:val="20"/>
              </w:rPr>
              <w:t>2.397</w:t>
            </w:r>
          </w:p>
        </w:tc>
        <w:tc>
          <w:tcPr>
            <w:tcW w:w="590" w:type="pct"/>
            <w:gridSpan w:val="2"/>
            <w:tcBorders>
              <w:top w:val="single" w:sz="4" w:space="0" w:color="auto"/>
              <w:left w:val="single" w:sz="4" w:space="0" w:color="auto"/>
              <w:bottom w:val="single" w:sz="4" w:space="0" w:color="auto"/>
              <w:right w:val="single" w:sz="4" w:space="0" w:color="auto"/>
            </w:tcBorders>
            <w:vAlign w:val="center"/>
            <w:hideMark/>
          </w:tcPr>
          <w:p w14:paraId="03B8B701" w14:textId="77777777" w:rsidR="00E51CDD" w:rsidRDefault="00E51CDD" w:rsidP="009938D9">
            <w:pPr>
              <w:widowControl w:val="0"/>
              <w:rPr>
                <w:sz w:val="20"/>
                <w:szCs w:val="20"/>
              </w:rPr>
            </w:pPr>
            <w:r>
              <w:rPr>
                <w:sz w:val="20"/>
                <w:szCs w:val="20"/>
              </w:rPr>
              <w:t>0.0</w:t>
            </w:r>
          </w:p>
        </w:tc>
        <w:tc>
          <w:tcPr>
            <w:tcW w:w="653" w:type="pct"/>
            <w:tcBorders>
              <w:top w:val="single" w:sz="4" w:space="0" w:color="auto"/>
              <w:left w:val="single" w:sz="4" w:space="0" w:color="auto"/>
              <w:bottom w:val="single" w:sz="4" w:space="0" w:color="auto"/>
              <w:right w:val="single" w:sz="4" w:space="0" w:color="auto"/>
            </w:tcBorders>
            <w:vAlign w:val="center"/>
            <w:hideMark/>
          </w:tcPr>
          <w:p w14:paraId="60514A59" w14:textId="77777777" w:rsidR="00E51CDD" w:rsidRDefault="00E51CDD" w:rsidP="009938D9">
            <w:pPr>
              <w:widowControl w:val="0"/>
              <w:rPr>
                <w:sz w:val="20"/>
                <w:szCs w:val="20"/>
              </w:rPr>
            </w:pPr>
            <w:r>
              <w:rPr>
                <w:sz w:val="20"/>
                <w:szCs w:val="20"/>
              </w:rPr>
              <w:t>0.0</w:t>
            </w:r>
          </w:p>
        </w:tc>
        <w:tc>
          <w:tcPr>
            <w:tcW w:w="809" w:type="pct"/>
            <w:tcBorders>
              <w:top w:val="single" w:sz="4" w:space="0" w:color="auto"/>
              <w:left w:val="single" w:sz="4" w:space="0" w:color="auto"/>
              <w:bottom w:val="single" w:sz="4" w:space="0" w:color="auto"/>
              <w:right w:val="single" w:sz="4" w:space="0" w:color="auto"/>
            </w:tcBorders>
            <w:vAlign w:val="center"/>
            <w:hideMark/>
          </w:tcPr>
          <w:p w14:paraId="299E1FE2" w14:textId="77777777" w:rsidR="00E51CDD" w:rsidRDefault="00E51CDD" w:rsidP="009938D9">
            <w:pPr>
              <w:rPr>
                <w:sz w:val="20"/>
                <w:szCs w:val="20"/>
              </w:rPr>
            </w:pPr>
            <w:r>
              <w:rPr>
                <w:sz w:val="20"/>
                <w:szCs w:val="20"/>
              </w:rPr>
              <w:t>0 (30)</w:t>
            </w:r>
          </w:p>
        </w:tc>
      </w:tr>
      <w:tr w:rsidR="00E51CDD" w14:paraId="6CAB423F"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7584FF69" w14:textId="77777777" w:rsidR="00E51CDD" w:rsidRDefault="00E51CDD" w:rsidP="009938D9">
            <w:pPr>
              <w:widowControl w:val="0"/>
              <w:rPr>
                <w:sz w:val="20"/>
                <w:szCs w:val="20"/>
              </w:rPr>
            </w:pPr>
            <w:r>
              <w:rPr>
                <w:sz w:val="20"/>
                <w:szCs w:val="20"/>
              </w:rPr>
              <w:t>188</w:t>
            </w:r>
          </w:p>
        </w:tc>
        <w:tc>
          <w:tcPr>
            <w:tcW w:w="1029" w:type="pct"/>
            <w:tcBorders>
              <w:top w:val="single" w:sz="4" w:space="0" w:color="auto"/>
              <w:left w:val="single" w:sz="4" w:space="0" w:color="auto"/>
              <w:bottom w:val="single" w:sz="4" w:space="0" w:color="auto"/>
              <w:right w:val="single" w:sz="4" w:space="0" w:color="auto"/>
            </w:tcBorders>
            <w:vAlign w:val="center"/>
            <w:hideMark/>
          </w:tcPr>
          <w:p w14:paraId="0A474B92" w14:textId="77777777" w:rsidR="00E51CDD" w:rsidRDefault="00E51CDD" w:rsidP="009938D9">
            <w:pPr>
              <w:widowControl w:val="0"/>
              <w:rPr>
                <w:sz w:val="20"/>
                <w:szCs w:val="20"/>
              </w:rPr>
            </w:pPr>
            <w:r>
              <w:rPr>
                <w:sz w:val="20"/>
                <w:szCs w:val="20"/>
              </w:rPr>
              <w:t>172</w:t>
            </w:r>
          </w:p>
        </w:tc>
        <w:tc>
          <w:tcPr>
            <w:tcW w:w="890" w:type="pct"/>
            <w:tcBorders>
              <w:top w:val="single" w:sz="4" w:space="0" w:color="auto"/>
              <w:left w:val="single" w:sz="4" w:space="0" w:color="auto"/>
              <w:bottom w:val="single" w:sz="4" w:space="0" w:color="auto"/>
              <w:right w:val="single" w:sz="4" w:space="0" w:color="auto"/>
            </w:tcBorders>
            <w:vAlign w:val="center"/>
            <w:hideMark/>
          </w:tcPr>
          <w:p w14:paraId="6C2ACD38" w14:textId="77777777" w:rsidR="00E51CDD" w:rsidRDefault="00E51CDD" w:rsidP="009938D9">
            <w:pPr>
              <w:widowControl w:val="0"/>
              <w:rPr>
                <w:sz w:val="20"/>
                <w:szCs w:val="20"/>
              </w:rPr>
            </w:pPr>
            <w:r>
              <w:rPr>
                <w:sz w:val="20"/>
                <w:szCs w:val="20"/>
              </w:rPr>
              <w:t>4.794</w:t>
            </w:r>
          </w:p>
        </w:tc>
        <w:tc>
          <w:tcPr>
            <w:tcW w:w="590" w:type="pct"/>
            <w:gridSpan w:val="2"/>
            <w:tcBorders>
              <w:top w:val="single" w:sz="4" w:space="0" w:color="auto"/>
              <w:left w:val="single" w:sz="4" w:space="0" w:color="auto"/>
              <w:bottom w:val="single" w:sz="4" w:space="0" w:color="auto"/>
              <w:right w:val="single" w:sz="4" w:space="0" w:color="auto"/>
            </w:tcBorders>
            <w:vAlign w:val="center"/>
            <w:hideMark/>
          </w:tcPr>
          <w:p w14:paraId="410FCB7D" w14:textId="77777777" w:rsidR="00E51CDD" w:rsidRDefault="00E51CDD" w:rsidP="009938D9">
            <w:pPr>
              <w:widowControl w:val="0"/>
              <w:rPr>
                <w:sz w:val="20"/>
                <w:szCs w:val="20"/>
              </w:rPr>
            </w:pPr>
            <w:r>
              <w:rPr>
                <w:sz w:val="20"/>
                <w:szCs w:val="20"/>
              </w:rPr>
              <w:t>0.0</w:t>
            </w:r>
          </w:p>
        </w:tc>
        <w:tc>
          <w:tcPr>
            <w:tcW w:w="653" w:type="pct"/>
            <w:tcBorders>
              <w:top w:val="single" w:sz="4" w:space="0" w:color="auto"/>
              <w:left w:val="single" w:sz="4" w:space="0" w:color="auto"/>
              <w:bottom w:val="single" w:sz="4" w:space="0" w:color="auto"/>
              <w:right w:val="single" w:sz="4" w:space="0" w:color="auto"/>
            </w:tcBorders>
            <w:vAlign w:val="center"/>
            <w:hideMark/>
          </w:tcPr>
          <w:p w14:paraId="15FE54DA" w14:textId="77777777" w:rsidR="00E51CDD" w:rsidRDefault="00E51CDD" w:rsidP="009938D9">
            <w:pPr>
              <w:widowControl w:val="0"/>
              <w:rPr>
                <w:sz w:val="20"/>
                <w:szCs w:val="20"/>
              </w:rPr>
            </w:pPr>
            <w:r>
              <w:rPr>
                <w:sz w:val="20"/>
                <w:szCs w:val="20"/>
              </w:rPr>
              <w:t>0.0</w:t>
            </w:r>
          </w:p>
        </w:tc>
        <w:tc>
          <w:tcPr>
            <w:tcW w:w="809" w:type="pct"/>
            <w:tcBorders>
              <w:top w:val="single" w:sz="4" w:space="0" w:color="auto"/>
              <w:left w:val="single" w:sz="4" w:space="0" w:color="auto"/>
              <w:bottom w:val="single" w:sz="4" w:space="0" w:color="auto"/>
              <w:right w:val="single" w:sz="4" w:space="0" w:color="auto"/>
            </w:tcBorders>
            <w:vAlign w:val="center"/>
            <w:hideMark/>
          </w:tcPr>
          <w:p w14:paraId="5909EBE3" w14:textId="77777777" w:rsidR="00E51CDD" w:rsidRDefault="00E51CDD" w:rsidP="009938D9">
            <w:pPr>
              <w:rPr>
                <w:sz w:val="20"/>
                <w:szCs w:val="20"/>
              </w:rPr>
            </w:pPr>
            <w:r>
              <w:rPr>
                <w:sz w:val="20"/>
                <w:szCs w:val="20"/>
              </w:rPr>
              <w:t>0 (30)</w:t>
            </w:r>
          </w:p>
        </w:tc>
      </w:tr>
      <w:tr w:rsidR="00E51CDD" w14:paraId="138DCAC1"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0119627A" w14:textId="77777777" w:rsidR="00E51CDD" w:rsidRDefault="00E51CDD" w:rsidP="009938D9">
            <w:pPr>
              <w:widowControl w:val="0"/>
              <w:rPr>
                <w:sz w:val="20"/>
                <w:szCs w:val="20"/>
              </w:rPr>
            </w:pPr>
            <w:r>
              <w:rPr>
                <w:sz w:val="20"/>
                <w:szCs w:val="20"/>
              </w:rPr>
              <w:t>377</w:t>
            </w:r>
          </w:p>
        </w:tc>
        <w:tc>
          <w:tcPr>
            <w:tcW w:w="1029" w:type="pct"/>
            <w:tcBorders>
              <w:top w:val="single" w:sz="4" w:space="0" w:color="auto"/>
              <w:left w:val="single" w:sz="4" w:space="0" w:color="auto"/>
              <w:bottom w:val="single" w:sz="4" w:space="0" w:color="auto"/>
              <w:right w:val="single" w:sz="4" w:space="0" w:color="auto"/>
            </w:tcBorders>
            <w:vAlign w:val="center"/>
            <w:hideMark/>
          </w:tcPr>
          <w:p w14:paraId="45E391E6" w14:textId="77777777" w:rsidR="00E51CDD" w:rsidRDefault="00E51CDD" w:rsidP="009938D9">
            <w:pPr>
              <w:widowControl w:val="0"/>
              <w:rPr>
                <w:sz w:val="20"/>
                <w:szCs w:val="20"/>
              </w:rPr>
            </w:pPr>
            <w:r>
              <w:rPr>
                <w:sz w:val="20"/>
                <w:szCs w:val="20"/>
              </w:rPr>
              <w:t>413</w:t>
            </w:r>
          </w:p>
        </w:tc>
        <w:tc>
          <w:tcPr>
            <w:tcW w:w="890" w:type="pct"/>
            <w:tcBorders>
              <w:top w:val="single" w:sz="4" w:space="0" w:color="auto"/>
              <w:left w:val="single" w:sz="4" w:space="0" w:color="auto"/>
              <w:bottom w:val="single" w:sz="4" w:space="0" w:color="auto"/>
              <w:right w:val="single" w:sz="4" w:space="0" w:color="auto"/>
            </w:tcBorders>
            <w:vAlign w:val="center"/>
            <w:hideMark/>
          </w:tcPr>
          <w:p w14:paraId="46610B82" w14:textId="77777777" w:rsidR="00E51CDD" w:rsidRDefault="00E51CDD" w:rsidP="009938D9">
            <w:pPr>
              <w:widowControl w:val="0"/>
              <w:rPr>
                <w:sz w:val="20"/>
                <w:szCs w:val="20"/>
              </w:rPr>
            </w:pPr>
            <w:r>
              <w:rPr>
                <w:sz w:val="20"/>
                <w:szCs w:val="20"/>
              </w:rPr>
              <w:t>9.588</w:t>
            </w:r>
          </w:p>
        </w:tc>
        <w:tc>
          <w:tcPr>
            <w:tcW w:w="590" w:type="pct"/>
            <w:gridSpan w:val="2"/>
            <w:tcBorders>
              <w:top w:val="single" w:sz="4" w:space="0" w:color="auto"/>
              <w:left w:val="single" w:sz="4" w:space="0" w:color="auto"/>
              <w:bottom w:val="single" w:sz="4" w:space="0" w:color="auto"/>
              <w:right w:val="single" w:sz="4" w:space="0" w:color="auto"/>
            </w:tcBorders>
            <w:vAlign w:val="center"/>
            <w:hideMark/>
          </w:tcPr>
          <w:p w14:paraId="14034F33" w14:textId="77777777" w:rsidR="00E51CDD" w:rsidRDefault="00E51CDD" w:rsidP="009938D9">
            <w:pPr>
              <w:widowControl w:val="0"/>
              <w:rPr>
                <w:sz w:val="20"/>
                <w:szCs w:val="20"/>
              </w:rPr>
            </w:pPr>
            <w:r>
              <w:rPr>
                <w:sz w:val="20"/>
                <w:szCs w:val="20"/>
              </w:rPr>
              <w:t>3.3</w:t>
            </w:r>
          </w:p>
        </w:tc>
        <w:tc>
          <w:tcPr>
            <w:tcW w:w="653" w:type="pct"/>
            <w:tcBorders>
              <w:top w:val="single" w:sz="4" w:space="0" w:color="auto"/>
              <w:left w:val="single" w:sz="4" w:space="0" w:color="auto"/>
              <w:bottom w:val="single" w:sz="4" w:space="0" w:color="auto"/>
              <w:right w:val="single" w:sz="4" w:space="0" w:color="auto"/>
            </w:tcBorders>
            <w:vAlign w:val="center"/>
            <w:hideMark/>
          </w:tcPr>
          <w:p w14:paraId="5E020A41" w14:textId="77777777" w:rsidR="00E51CDD" w:rsidRDefault="00E51CDD" w:rsidP="009938D9">
            <w:pPr>
              <w:widowControl w:val="0"/>
              <w:rPr>
                <w:sz w:val="20"/>
                <w:szCs w:val="20"/>
              </w:rPr>
            </w:pPr>
            <w:r>
              <w:rPr>
                <w:sz w:val="20"/>
                <w:szCs w:val="20"/>
              </w:rPr>
              <w:t>0.0</w:t>
            </w:r>
          </w:p>
        </w:tc>
        <w:tc>
          <w:tcPr>
            <w:tcW w:w="809" w:type="pct"/>
            <w:tcBorders>
              <w:top w:val="single" w:sz="4" w:space="0" w:color="auto"/>
              <w:left w:val="single" w:sz="4" w:space="0" w:color="auto"/>
              <w:bottom w:val="single" w:sz="4" w:space="0" w:color="auto"/>
              <w:right w:val="single" w:sz="4" w:space="0" w:color="auto"/>
            </w:tcBorders>
            <w:vAlign w:val="center"/>
            <w:hideMark/>
          </w:tcPr>
          <w:p w14:paraId="0F503855" w14:textId="77777777" w:rsidR="00E51CDD" w:rsidRDefault="00E51CDD" w:rsidP="009938D9">
            <w:pPr>
              <w:rPr>
                <w:sz w:val="20"/>
                <w:szCs w:val="20"/>
              </w:rPr>
            </w:pPr>
            <w:r>
              <w:rPr>
                <w:sz w:val="20"/>
                <w:szCs w:val="20"/>
              </w:rPr>
              <w:t>0 (29)</w:t>
            </w:r>
          </w:p>
        </w:tc>
      </w:tr>
      <w:tr w:rsidR="00E51CDD" w14:paraId="57DB4F7C"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41A81898" w14:textId="77777777" w:rsidR="00E51CDD" w:rsidRDefault="00E51CDD" w:rsidP="009938D9">
            <w:pPr>
              <w:widowControl w:val="0"/>
              <w:rPr>
                <w:sz w:val="20"/>
                <w:szCs w:val="20"/>
              </w:rPr>
            </w:pPr>
            <w:r>
              <w:rPr>
                <w:sz w:val="20"/>
                <w:szCs w:val="20"/>
              </w:rPr>
              <w:t>753</w:t>
            </w:r>
          </w:p>
        </w:tc>
        <w:tc>
          <w:tcPr>
            <w:tcW w:w="1029" w:type="pct"/>
            <w:tcBorders>
              <w:top w:val="single" w:sz="4" w:space="0" w:color="auto"/>
              <w:left w:val="single" w:sz="4" w:space="0" w:color="auto"/>
              <w:bottom w:val="single" w:sz="4" w:space="0" w:color="auto"/>
              <w:right w:val="single" w:sz="4" w:space="0" w:color="auto"/>
            </w:tcBorders>
            <w:vAlign w:val="center"/>
            <w:hideMark/>
          </w:tcPr>
          <w:p w14:paraId="68C447D2" w14:textId="77777777" w:rsidR="00E51CDD" w:rsidRDefault="00E51CDD" w:rsidP="009938D9">
            <w:pPr>
              <w:widowControl w:val="0"/>
              <w:rPr>
                <w:sz w:val="20"/>
                <w:szCs w:val="20"/>
              </w:rPr>
            </w:pPr>
            <w:r>
              <w:rPr>
                <w:sz w:val="20"/>
                <w:szCs w:val="20"/>
              </w:rPr>
              <w:t>697</w:t>
            </w:r>
          </w:p>
        </w:tc>
        <w:tc>
          <w:tcPr>
            <w:tcW w:w="890" w:type="pct"/>
            <w:tcBorders>
              <w:top w:val="single" w:sz="4" w:space="0" w:color="auto"/>
              <w:left w:val="single" w:sz="4" w:space="0" w:color="auto"/>
              <w:bottom w:val="single" w:sz="4" w:space="0" w:color="auto"/>
              <w:right w:val="single" w:sz="4" w:space="0" w:color="auto"/>
            </w:tcBorders>
            <w:vAlign w:val="center"/>
            <w:hideMark/>
          </w:tcPr>
          <w:p w14:paraId="4D0443DE" w14:textId="77777777" w:rsidR="00E51CDD" w:rsidRDefault="00E51CDD" w:rsidP="009938D9">
            <w:pPr>
              <w:widowControl w:val="0"/>
              <w:rPr>
                <w:sz w:val="20"/>
                <w:szCs w:val="20"/>
              </w:rPr>
            </w:pPr>
            <w:r>
              <w:rPr>
                <w:sz w:val="20"/>
                <w:szCs w:val="20"/>
              </w:rPr>
              <w:t>19.176</w:t>
            </w:r>
          </w:p>
        </w:tc>
        <w:tc>
          <w:tcPr>
            <w:tcW w:w="590" w:type="pct"/>
            <w:gridSpan w:val="2"/>
            <w:tcBorders>
              <w:top w:val="single" w:sz="4" w:space="0" w:color="auto"/>
              <w:left w:val="single" w:sz="4" w:space="0" w:color="auto"/>
              <w:bottom w:val="single" w:sz="4" w:space="0" w:color="auto"/>
              <w:right w:val="single" w:sz="4" w:space="0" w:color="auto"/>
            </w:tcBorders>
            <w:vAlign w:val="center"/>
            <w:hideMark/>
          </w:tcPr>
          <w:p w14:paraId="37AC69CD" w14:textId="77777777" w:rsidR="00E51CDD" w:rsidRDefault="00E51CDD" w:rsidP="009938D9">
            <w:pPr>
              <w:widowControl w:val="0"/>
              <w:rPr>
                <w:sz w:val="20"/>
                <w:szCs w:val="20"/>
              </w:rPr>
            </w:pPr>
            <w:r>
              <w:rPr>
                <w:sz w:val="20"/>
                <w:szCs w:val="20"/>
              </w:rPr>
              <w:t>6.7</w:t>
            </w:r>
          </w:p>
        </w:tc>
        <w:tc>
          <w:tcPr>
            <w:tcW w:w="653" w:type="pct"/>
            <w:tcBorders>
              <w:top w:val="single" w:sz="4" w:space="0" w:color="auto"/>
              <w:left w:val="single" w:sz="4" w:space="0" w:color="auto"/>
              <w:bottom w:val="single" w:sz="4" w:space="0" w:color="auto"/>
              <w:right w:val="single" w:sz="4" w:space="0" w:color="auto"/>
            </w:tcBorders>
            <w:vAlign w:val="center"/>
            <w:hideMark/>
          </w:tcPr>
          <w:p w14:paraId="6C63A241" w14:textId="77777777" w:rsidR="00E51CDD" w:rsidRDefault="00E51CDD" w:rsidP="009938D9">
            <w:pPr>
              <w:widowControl w:val="0"/>
              <w:rPr>
                <w:sz w:val="20"/>
                <w:szCs w:val="20"/>
              </w:rPr>
            </w:pPr>
            <w:r>
              <w:rPr>
                <w:sz w:val="20"/>
                <w:szCs w:val="20"/>
              </w:rPr>
              <w:t>3.4</w:t>
            </w:r>
          </w:p>
        </w:tc>
        <w:tc>
          <w:tcPr>
            <w:tcW w:w="809" w:type="pct"/>
            <w:tcBorders>
              <w:top w:val="single" w:sz="4" w:space="0" w:color="auto"/>
              <w:left w:val="single" w:sz="4" w:space="0" w:color="auto"/>
              <w:bottom w:val="single" w:sz="4" w:space="0" w:color="auto"/>
              <w:right w:val="single" w:sz="4" w:space="0" w:color="auto"/>
            </w:tcBorders>
            <w:vAlign w:val="center"/>
            <w:hideMark/>
          </w:tcPr>
          <w:p w14:paraId="45548E13" w14:textId="77777777" w:rsidR="00E51CDD" w:rsidRDefault="00E51CDD" w:rsidP="009938D9">
            <w:pPr>
              <w:rPr>
                <w:sz w:val="20"/>
                <w:szCs w:val="20"/>
              </w:rPr>
            </w:pPr>
            <w:r>
              <w:rPr>
                <w:sz w:val="20"/>
                <w:szCs w:val="20"/>
              </w:rPr>
              <w:t>0 (28)</w:t>
            </w:r>
          </w:p>
        </w:tc>
      </w:tr>
      <w:tr w:rsidR="00E51CDD" w14:paraId="76382A36" w14:textId="77777777" w:rsidTr="009938D9">
        <w:trPr>
          <w:trHeight w:val="340"/>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14:paraId="1385270F" w14:textId="77777777" w:rsidR="00E51CDD" w:rsidRDefault="00E51CDD" w:rsidP="009938D9">
            <w:pPr>
              <w:widowControl w:val="0"/>
              <w:rPr>
                <w:sz w:val="20"/>
                <w:szCs w:val="20"/>
              </w:rPr>
            </w:pPr>
            <w:r>
              <w:rPr>
                <w:b/>
                <w:sz w:val="20"/>
                <w:szCs w:val="20"/>
              </w:rPr>
              <w:t>Endpoints [10 days]</w:t>
            </w:r>
          </w:p>
        </w:tc>
      </w:tr>
      <w:tr w:rsidR="00E51CDD" w14:paraId="3FE5E47C" w14:textId="77777777" w:rsidTr="009938D9">
        <w:trPr>
          <w:trHeight w:val="454"/>
        </w:trPr>
        <w:tc>
          <w:tcPr>
            <w:tcW w:w="1027" w:type="pct"/>
            <w:vMerge w:val="restart"/>
            <w:tcBorders>
              <w:top w:val="single" w:sz="4" w:space="0" w:color="auto"/>
              <w:left w:val="single" w:sz="4" w:space="0" w:color="auto"/>
              <w:bottom w:val="single" w:sz="4" w:space="0" w:color="auto"/>
              <w:right w:val="single" w:sz="4" w:space="0" w:color="auto"/>
            </w:tcBorders>
            <w:vAlign w:val="center"/>
            <w:hideMark/>
          </w:tcPr>
          <w:p w14:paraId="63B8498F" w14:textId="77777777" w:rsidR="00E51CDD" w:rsidRDefault="00E51CDD" w:rsidP="009938D9">
            <w:pPr>
              <w:widowControl w:val="0"/>
              <w:rPr>
                <w:sz w:val="20"/>
                <w:szCs w:val="20"/>
              </w:rPr>
            </w:pPr>
            <w:r>
              <w:rPr>
                <w:sz w:val="20"/>
                <w:szCs w:val="20"/>
              </w:rPr>
              <w:t>Test item doses</w:t>
            </w:r>
          </w:p>
        </w:tc>
        <w:tc>
          <w:tcPr>
            <w:tcW w:w="2336" w:type="pct"/>
            <w:gridSpan w:val="3"/>
            <w:tcBorders>
              <w:top w:val="single" w:sz="4" w:space="0" w:color="auto"/>
              <w:left w:val="single" w:sz="4" w:space="0" w:color="auto"/>
              <w:bottom w:val="dotted" w:sz="4" w:space="0" w:color="auto"/>
              <w:right w:val="single" w:sz="4" w:space="0" w:color="auto"/>
            </w:tcBorders>
            <w:vAlign w:val="center"/>
            <w:hideMark/>
          </w:tcPr>
          <w:p w14:paraId="2FEADB2D" w14:textId="77777777" w:rsidR="00E51CDD" w:rsidRPr="00A25D45" w:rsidRDefault="00E51CDD" w:rsidP="009938D9">
            <w:pPr>
              <w:widowControl w:val="0"/>
              <w:rPr>
                <w:sz w:val="20"/>
                <w:szCs w:val="20"/>
                <w:vertAlign w:val="superscript"/>
              </w:rPr>
            </w:pPr>
            <w:r w:rsidRPr="00A25D45">
              <w:rPr>
                <w:sz w:val="20"/>
                <w:szCs w:val="20"/>
              </w:rPr>
              <w:t>LDD</w:t>
            </w:r>
            <w:r w:rsidRPr="00A25D45">
              <w:rPr>
                <w:sz w:val="20"/>
                <w:szCs w:val="20"/>
                <w:vertAlign w:val="subscript"/>
              </w:rPr>
              <w:t>50/20/10</w:t>
            </w:r>
            <w:r w:rsidRPr="00A25D45">
              <w:rPr>
                <w:sz w:val="20"/>
                <w:szCs w:val="20"/>
              </w:rPr>
              <w:t xml:space="preserve"> [</w:t>
            </w:r>
            <w:r>
              <w:rPr>
                <w:sz w:val="20"/>
                <w:szCs w:val="20"/>
              </w:rPr>
              <w:t>μ</w:t>
            </w:r>
            <w:r w:rsidRPr="00A25D45">
              <w:rPr>
                <w:sz w:val="20"/>
                <w:szCs w:val="20"/>
              </w:rPr>
              <w:t xml:space="preserve">g consumed product/bee/day] </w:t>
            </w:r>
            <w:r w:rsidRPr="00A25D45">
              <w:rPr>
                <w:sz w:val="20"/>
                <w:szCs w:val="20"/>
                <w:vertAlign w:val="superscript"/>
              </w:rPr>
              <w:t>2) 3)</w:t>
            </w:r>
          </w:p>
        </w:tc>
        <w:tc>
          <w:tcPr>
            <w:tcW w:w="1637" w:type="pct"/>
            <w:gridSpan w:val="3"/>
            <w:tcBorders>
              <w:top w:val="single" w:sz="4" w:space="0" w:color="auto"/>
              <w:left w:val="single" w:sz="4" w:space="0" w:color="auto"/>
              <w:bottom w:val="dotted" w:sz="4" w:space="0" w:color="auto"/>
              <w:right w:val="single" w:sz="4" w:space="0" w:color="auto"/>
            </w:tcBorders>
            <w:vAlign w:val="center"/>
            <w:hideMark/>
          </w:tcPr>
          <w:p w14:paraId="5FE71A39" w14:textId="77777777" w:rsidR="00E51CDD" w:rsidRDefault="00E51CDD" w:rsidP="009938D9">
            <w:pPr>
              <w:widowControl w:val="0"/>
              <w:rPr>
                <w:sz w:val="20"/>
                <w:szCs w:val="20"/>
              </w:rPr>
            </w:pPr>
            <w:r>
              <w:rPr>
                <w:sz w:val="20"/>
                <w:szCs w:val="20"/>
              </w:rPr>
              <w:t>&gt; 697</w:t>
            </w:r>
          </w:p>
        </w:tc>
      </w:tr>
      <w:tr w:rsidR="00E51CDD" w14:paraId="4CAA2580" w14:textId="77777777" w:rsidTr="009938D9">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7B3279" w14:textId="77777777" w:rsidR="00E51CDD" w:rsidRDefault="00E51CDD" w:rsidP="009938D9">
            <w:pPr>
              <w:rPr>
                <w:sz w:val="20"/>
                <w:szCs w:val="20"/>
              </w:rPr>
            </w:pPr>
          </w:p>
        </w:tc>
        <w:tc>
          <w:tcPr>
            <w:tcW w:w="2336" w:type="pct"/>
            <w:gridSpan w:val="3"/>
            <w:tcBorders>
              <w:top w:val="dotted" w:sz="4" w:space="0" w:color="auto"/>
              <w:left w:val="single" w:sz="4" w:space="0" w:color="auto"/>
              <w:bottom w:val="dotted" w:sz="4" w:space="0" w:color="auto"/>
              <w:right w:val="single" w:sz="4" w:space="0" w:color="auto"/>
            </w:tcBorders>
            <w:vAlign w:val="center"/>
            <w:hideMark/>
          </w:tcPr>
          <w:p w14:paraId="1E4C4C76" w14:textId="77777777" w:rsidR="00E51CDD" w:rsidRPr="00A25D45" w:rsidRDefault="00E51CDD" w:rsidP="009938D9">
            <w:pPr>
              <w:widowControl w:val="0"/>
              <w:rPr>
                <w:sz w:val="20"/>
                <w:szCs w:val="20"/>
              </w:rPr>
            </w:pPr>
            <w:r w:rsidRPr="00A25D45">
              <w:rPr>
                <w:sz w:val="20"/>
                <w:szCs w:val="20"/>
              </w:rPr>
              <w:t>LDD</w:t>
            </w:r>
            <w:r w:rsidRPr="00A25D45">
              <w:rPr>
                <w:sz w:val="20"/>
                <w:szCs w:val="20"/>
                <w:vertAlign w:val="subscript"/>
              </w:rPr>
              <w:t>50/20/10</w:t>
            </w:r>
            <w:r w:rsidRPr="00A25D45">
              <w:rPr>
                <w:sz w:val="20"/>
                <w:szCs w:val="20"/>
              </w:rPr>
              <w:t xml:space="preserve"> [</w:t>
            </w:r>
            <w:r>
              <w:rPr>
                <w:sz w:val="20"/>
                <w:szCs w:val="20"/>
              </w:rPr>
              <w:t>μ</w:t>
            </w:r>
            <w:r w:rsidRPr="00A25D45">
              <w:rPr>
                <w:sz w:val="20"/>
                <w:szCs w:val="20"/>
              </w:rPr>
              <w:t xml:space="preserve">g consumed a.s./bee/day] </w:t>
            </w:r>
            <w:r w:rsidRPr="00A25D45">
              <w:rPr>
                <w:sz w:val="20"/>
                <w:szCs w:val="20"/>
                <w:vertAlign w:val="superscript"/>
              </w:rPr>
              <w:t>2) 3)</w:t>
            </w:r>
          </w:p>
        </w:tc>
        <w:tc>
          <w:tcPr>
            <w:tcW w:w="1637" w:type="pct"/>
            <w:gridSpan w:val="3"/>
            <w:tcBorders>
              <w:top w:val="dotted" w:sz="4" w:space="0" w:color="auto"/>
              <w:left w:val="single" w:sz="4" w:space="0" w:color="auto"/>
              <w:bottom w:val="dotted" w:sz="4" w:space="0" w:color="auto"/>
              <w:right w:val="single" w:sz="4" w:space="0" w:color="auto"/>
            </w:tcBorders>
            <w:vAlign w:val="center"/>
            <w:hideMark/>
          </w:tcPr>
          <w:p w14:paraId="701E121F" w14:textId="77777777" w:rsidR="00E51CDD" w:rsidRDefault="00E51CDD" w:rsidP="009938D9">
            <w:pPr>
              <w:widowControl w:val="0"/>
              <w:rPr>
                <w:sz w:val="20"/>
                <w:szCs w:val="20"/>
              </w:rPr>
            </w:pPr>
            <w:r>
              <w:rPr>
                <w:sz w:val="20"/>
                <w:szCs w:val="20"/>
              </w:rPr>
              <w:t>&gt; 185</w:t>
            </w:r>
          </w:p>
        </w:tc>
      </w:tr>
      <w:tr w:rsidR="00E51CDD" w14:paraId="17C6AC2F" w14:textId="77777777" w:rsidTr="009938D9">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D6B41" w14:textId="77777777" w:rsidR="00E51CDD" w:rsidRDefault="00E51CDD" w:rsidP="009938D9">
            <w:pPr>
              <w:rPr>
                <w:sz w:val="20"/>
                <w:szCs w:val="20"/>
              </w:rPr>
            </w:pPr>
          </w:p>
        </w:tc>
        <w:tc>
          <w:tcPr>
            <w:tcW w:w="2336" w:type="pct"/>
            <w:gridSpan w:val="3"/>
            <w:tcBorders>
              <w:top w:val="dotted" w:sz="4" w:space="0" w:color="auto"/>
              <w:left w:val="single" w:sz="4" w:space="0" w:color="auto"/>
              <w:bottom w:val="dotted" w:sz="4" w:space="0" w:color="auto"/>
              <w:right w:val="single" w:sz="4" w:space="0" w:color="auto"/>
            </w:tcBorders>
            <w:vAlign w:val="center"/>
            <w:hideMark/>
          </w:tcPr>
          <w:p w14:paraId="1EB86898" w14:textId="77777777" w:rsidR="00E51CDD" w:rsidRPr="00A25D45" w:rsidRDefault="00E51CDD" w:rsidP="009938D9">
            <w:pPr>
              <w:widowControl w:val="0"/>
              <w:rPr>
                <w:sz w:val="20"/>
                <w:szCs w:val="20"/>
              </w:rPr>
            </w:pPr>
            <w:r w:rsidRPr="00A25D45">
              <w:rPr>
                <w:sz w:val="20"/>
                <w:szCs w:val="20"/>
              </w:rPr>
              <w:t>NOEDD [</w:t>
            </w:r>
            <w:r>
              <w:rPr>
                <w:sz w:val="20"/>
                <w:szCs w:val="20"/>
              </w:rPr>
              <w:t>μ</w:t>
            </w:r>
            <w:r w:rsidRPr="00A25D45">
              <w:rPr>
                <w:sz w:val="20"/>
                <w:szCs w:val="20"/>
              </w:rPr>
              <w:t xml:space="preserve">g consumed product/bee/day] </w:t>
            </w:r>
            <w:r w:rsidRPr="00A25D45">
              <w:rPr>
                <w:sz w:val="20"/>
                <w:szCs w:val="20"/>
                <w:vertAlign w:val="superscript"/>
              </w:rPr>
              <w:t>2) 4)</w:t>
            </w:r>
          </w:p>
        </w:tc>
        <w:tc>
          <w:tcPr>
            <w:tcW w:w="1637" w:type="pct"/>
            <w:gridSpan w:val="3"/>
            <w:tcBorders>
              <w:top w:val="dotted" w:sz="4" w:space="0" w:color="auto"/>
              <w:left w:val="single" w:sz="4" w:space="0" w:color="auto"/>
              <w:bottom w:val="dotted" w:sz="4" w:space="0" w:color="auto"/>
              <w:right w:val="single" w:sz="4" w:space="0" w:color="auto"/>
            </w:tcBorders>
            <w:vAlign w:val="center"/>
            <w:hideMark/>
          </w:tcPr>
          <w:p w14:paraId="239149BD" w14:textId="77777777" w:rsidR="00E51CDD" w:rsidRDefault="00E51CDD" w:rsidP="009938D9">
            <w:pPr>
              <w:widowControl w:val="0"/>
              <w:rPr>
                <w:sz w:val="20"/>
                <w:szCs w:val="20"/>
              </w:rPr>
            </w:pPr>
            <w:r>
              <w:rPr>
                <w:sz w:val="20"/>
                <w:szCs w:val="20"/>
              </w:rPr>
              <w:t>≥ 697</w:t>
            </w:r>
          </w:p>
        </w:tc>
      </w:tr>
      <w:tr w:rsidR="00E51CDD" w14:paraId="1459FD01" w14:textId="77777777" w:rsidTr="009938D9">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C8365B" w14:textId="77777777" w:rsidR="00E51CDD" w:rsidRDefault="00E51CDD" w:rsidP="009938D9">
            <w:pPr>
              <w:rPr>
                <w:sz w:val="20"/>
                <w:szCs w:val="20"/>
              </w:rPr>
            </w:pPr>
          </w:p>
        </w:tc>
        <w:tc>
          <w:tcPr>
            <w:tcW w:w="2336" w:type="pct"/>
            <w:gridSpan w:val="3"/>
            <w:tcBorders>
              <w:top w:val="dotted" w:sz="4" w:space="0" w:color="auto"/>
              <w:left w:val="single" w:sz="4" w:space="0" w:color="auto"/>
              <w:bottom w:val="single" w:sz="4" w:space="0" w:color="auto"/>
              <w:right w:val="single" w:sz="4" w:space="0" w:color="auto"/>
            </w:tcBorders>
            <w:vAlign w:val="center"/>
            <w:hideMark/>
          </w:tcPr>
          <w:p w14:paraId="0ADA0C24" w14:textId="77777777" w:rsidR="00E51CDD" w:rsidRPr="00A25D45" w:rsidRDefault="00E51CDD" w:rsidP="009938D9">
            <w:pPr>
              <w:widowControl w:val="0"/>
              <w:rPr>
                <w:sz w:val="20"/>
                <w:szCs w:val="20"/>
              </w:rPr>
            </w:pPr>
            <w:r w:rsidRPr="00A25D45">
              <w:rPr>
                <w:sz w:val="20"/>
                <w:szCs w:val="20"/>
              </w:rPr>
              <w:t>NOEDD [</w:t>
            </w:r>
            <w:r>
              <w:rPr>
                <w:sz w:val="20"/>
                <w:szCs w:val="20"/>
              </w:rPr>
              <w:t>μ</w:t>
            </w:r>
            <w:r w:rsidRPr="00A25D45">
              <w:rPr>
                <w:sz w:val="20"/>
                <w:szCs w:val="20"/>
              </w:rPr>
              <w:t>g consumed a.s./bee/day]</w:t>
            </w:r>
            <w:r w:rsidRPr="00A25D45">
              <w:rPr>
                <w:sz w:val="20"/>
                <w:szCs w:val="20"/>
                <w:vertAlign w:val="superscript"/>
              </w:rPr>
              <w:t xml:space="preserve"> 2) 4)</w:t>
            </w:r>
          </w:p>
        </w:tc>
        <w:tc>
          <w:tcPr>
            <w:tcW w:w="1637" w:type="pct"/>
            <w:gridSpan w:val="3"/>
            <w:tcBorders>
              <w:top w:val="dotted" w:sz="4" w:space="0" w:color="auto"/>
              <w:left w:val="single" w:sz="4" w:space="0" w:color="auto"/>
              <w:bottom w:val="single" w:sz="4" w:space="0" w:color="auto"/>
              <w:right w:val="single" w:sz="4" w:space="0" w:color="auto"/>
            </w:tcBorders>
            <w:vAlign w:val="center"/>
            <w:hideMark/>
          </w:tcPr>
          <w:p w14:paraId="6A1074B4" w14:textId="77777777" w:rsidR="00E51CDD" w:rsidRDefault="00E51CDD" w:rsidP="009938D9">
            <w:pPr>
              <w:widowControl w:val="0"/>
              <w:rPr>
                <w:sz w:val="20"/>
                <w:szCs w:val="20"/>
              </w:rPr>
            </w:pPr>
            <w:r>
              <w:rPr>
                <w:sz w:val="20"/>
                <w:szCs w:val="20"/>
              </w:rPr>
              <w:t>≥ 185</w:t>
            </w:r>
          </w:p>
        </w:tc>
      </w:tr>
      <w:tr w:rsidR="00E51CDD" w14:paraId="7B80AA47" w14:textId="77777777" w:rsidTr="009938D9">
        <w:trPr>
          <w:trHeight w:val="454"/>
        </w:trPr>
        <w:tc>
          <w:tcPr>
            <w:tcW w:w="1027" w:type="pct"/>
            <w:vMerge w:val="restart"/>
            <w:tcBorders>
              <w:top w:val="single" w:sz="4" w:space="0" w:color="auto"/>
              <w:left w:val="single" w:sz="4" w:space="0" w:color="auto"/>
              <w:bottom w:val="single" w:sz="4" w:space="0" w:color="auto"/>
              <w:right w:val="single" w:sz="4" w:space="0" w:color="auto"/>
            </w:tcBorders>
            <w:vAlign w:val="center"/>
            <w:hideMark/>
          </w:tcPr>
          <w:p w14:paraId="5B4BBA25" w14:textId="77777777" w:rsidR="00E51CDD" w:rsidRDefault="00E51CDD" w:rsidP="009938D9">
            <w:pPr>
              <w:widowControl w:val="0"/>
              <w:rPr>
                <w:sz w:val="20"/>
                <w:szCs w:val="20"/>
              </w:rPr>
            </w:pPr>
            <w:r>
              <w:rPr>
                <w:sz w:val="20"/>
                <w:szCs w:val="20"/>
              </w:rPr>
              <w:t>Test item concentrations</w:t>
            </w:r>
          </w:p>
        </w:tc>
        <w:tc>
          <w:tcPr>
            <w:tcW w:w="2336" w:type="pct"/>
            <w:gridSpan w:val="3"/>
            <w:tcBorders>
              <w:top w:val="single" w:sz="4" w:space="0" w:color="auto"/>
              <w:left w:val="single" w:sz="4" w:space="0" w:color="auto"/>
              <w:bottom w:val="dotted" w:sz="4" w:space="0" w:color="auto"/>
              <w:right w:val="single" w:sz="4" w:space="0" w:color="auto"/>
            </w:tcBorders>
            <w:vAlign w:val="center"/>
            <w:hideMark/>
          </w:tcPr>
          <w:p w14:paraId="033112C8" w14:textId="77777777" w:rsidR="00E51CDD" w:rsidRPr="00A25D45" w:rsidRDefault="00E51CDD" w:rsidP="009938D9">
            <w:pPr>
              <w:widowControl w:val="0"/>
              <w:rPr>
                <w:sz w:val="20"/>
                <w:szCs w:val="20"/>
              </w:rPr>
            </w:pPr>
            <w:r w:rsidRPr="00A25D45">
              <w:rPr>
                <w:sz w:val="20"/>
                <w:szCs w:val="20"/>
              </w:rPr>
              <w:t>LC</w:t>
            </w:r>
            <w:r w:rsidRPr="00A25D45">
              <w:rPr>
                <w:sz w:val="20"/>
                <w:szCs w:val="20"/>
                <w:vertAlign w:val="subscript"/>
              </w:rPr>
              <w:t>50/20/10</w:t>
            </w:r>
            <w:r w:rsidRPr="00A25D45">
              <w:rPr>
                <w:sz w:val="20"/>
                <w:szCs w:val="20"/>
              </w:rPr>
              <w:t xml:space="preserve"> [g product/kg food]</w:t>
            </w:r>
            <w:r w:rsidRPr="00A25D45">
              <w:rPr>
                <w:sz w:val="20"/>
                <w:szCs w:val="20"/>
                <w:vertAlign w:val="superscript"/>
              </w:rPr>
              <w:t>3)</w:t>
            </w:r>
          </w:p>
        </w:tc>
        <w:tc>
          <w:tcPr>
            <w:tcW w:w="1637" w:type="pct"/>
            <w:gridSpan w:val="3"/>
            <w:tcBorders>
              <w:top w:val="single" w:sz="4" w:space="0" w:color="auto"/>
              <w:left w:val="single" w:sz="4" w:space="0" w:color="auto"/>
              <w:bottom w:val="dotted" w:sz="4" w:space="0" w:color="auto"/>
              <w:right w:val="single" w:sz="4" w:space="0" w:color="auto"/>
            </w:tcBorders>
            <w:vAlign w:val="center"/>
            <w:hideMark/>
          </w:tcPr>
          <w:p w14:paraId="0CAA475E" w14:textId="77777777" w:rsidR="00E51CDD" w:rsidRDefault="00E51CDD" w:rsidP="009938D9">
            <w:pPr>
              <w:widowControl w:val="0"/>
              <w:rPr>
                <w:sz w:val="20"/>
                <w:szCs w:val="20"/>
              </w:rPr>
            </w:pPr>
            <w:r>
              <w:rPr>
                <w:sz w:val="20"/>
                <w:szCs w:val="20"/>
              </w:rPr>
              <w:t>&gt; 19.176</w:t>
            </w:r>
          </w:p>
        </w:tc>
      </w:tr>
      <w:tr w:rsidR="00E51CDD" w14:paraId="66FA3742" w14:textId="77777777" w:rsidTr="009938D9">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11616B" w14:textId="77777777" w:rsidR="00E51CDD" w:rsidRDefault="00E51CDD" w:rsidP="009938D9">
            <w:pPr>
              <w:rPr>
                <w:sz w:val="20"/>
                <w:szCs w:val="20"/>
              </w:rPr>
            </w:pPr>
          </w:p>
        </w:tc>
        <w:tc>
          <w:tcPr>
            <w:tcW w:w="2336" w:type="pct"/>
            <w:gridSpan w:val="3"/>
            <w:tcBorders>
              <w:top w:val="dotted" w:sz="4" w:space="0" w:color="auto"/>
              <w:left w:val="single" w:sz="4" w:space="0" w:color="auto"/>
              <w:bottom w:val="dotted" w:sz="4" w:space="0" w:color="auto"/>
              <w:right w:val="single" w:sz="4" w:space="0" w:color="auto"/>
            </w:tcBorders>
            <w:vAlign w:val="center"/>
            <w:hideMark/>
          </w:tcPr>
          <w:p w14:paraId="3FD30556" w14:textId="77777777" w:rsidR="00E51CDD" w:rsidRPr="00A25D45" w:rsidRDefault="00E51CDD" w:rsidP="009938D9">
            <w:pPr>
              <w:widowControl w:val="0"/>
              <w:rPr>
                <w:sz w:val="20"/>
                <w:szCs w:val="20"/>
              </w:rPr>
            </w:pPr>
            <w:r w:rsidRPr="00A25D45">
              <w:rPr>
                <w:sz w:val="20"/>
                <w:szCs w:val="20"/>
              </w:rPr>
              <w:t>LC</w:t>
            </w:r>
            <w:r w:rsidRPr="00A25D45">
              <w:rPr>
                <w:sz w:val="20"/>
                <w:szCs w:val="20"/>
                <w:vertAlign w:val="subscript"/>
              </w:rPr>
              <w:t>50/20/10</w:t>
            </w:r>
            <w:r w:rsidRPr="00A25D45">
              <w:rPr>
                <w:sz w:val="20"/>
                <w:szCs w:val="20"/>
              </w:rPr>
              <w:t xml:space="preserve"> [g a.s./kg food]</w:t>
            </w:r>
            <w:r w:rsidRPr="00A25D45">
              <w:rPr>
                <w:sz w:val="20"/>
                <w:szCs w:val="20"/>
                <w:vertAlign w:val="superscript"/>
              </w:rPr>
              <w:t xml:space="preserve"> 3)</w:t>
            </w:r>
          </w:p>
        </w:tc>
        <w:tc>
          <w:tcPr>
            <w:tcW w:w="1637" w:type="pct"/>
            <w:gridSpan w:val="3"/>
            <w:tcBorders>
              <w:top w:val="dotted" w:sz="4" w:space="0" w:color="auto"/>
              <w:left w:val="single" w:sz="4" w:space="0" w:color="auto"/>
              <w:bottom w:val="dotted" w:sz="4" w:space="0" w:color="auto"/>
              <w:right w:val="single" w:sz="4" w:space="0" w:color="auto"/>
            </w:tcBorders>
            <w:vAlign w:val="center"/>
            <w:hideMark/>
          </w:tcPr>
          <w:p w14:paraId="1D808850" w14:textId="77777777" w:rsidR="00E51CDD" w:rsidRDefault="00E51CDD" w:rsidP="009938D9">
            <w:pPr>
              <w:widowControl w:val="0"/>
              <w:rPr>
                <w:sz w:val="20"/>
                <w:szCs w:val="20"/>
              </w:rPr>
            </w:pPr>
            <w:r>
              <w:rPr>
                <w:sz w:val="20"/>
                <w:szCs w:val="20"/>
              </w:rPr>
              <w:t>&gt; 5.091</w:t>
            </w:r>
          </w:p>
        </w:tc>
      </w:tr>
      <w:tr w:rsidR="00E51CDD" w14:paraId="363ACACD" w14:textId="77777777" w:rsidTr="009938D9">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26C2C8" w14:textId="77777777" w:rsidR="00E51CDD" w:rsidRDefault="00E51CDD" w:rsidP="009938D9">
            <w:pPr>
              <w:rPr>
                <w:sz w:val="20"/>
                <w:szCs w:val="20"/>
              </w:rPr>
            </w:pPr>
          </w:p>
        </w:tc>
        <w:tc>
          <w:tcPr>
            <w:tcW w:w="2336" w:type="pct"/>
            <w:gridSpan w:val="3"/>
            <w:tcBorders>
              <w:top w:val="dotted" w:sz="4" w:space="0" w:color="auto"/>
              <w:left w:val="single" w:sz="4" w:space="0" w:color="auto"/>
              <w:bottom w:val="dotted" w:sz="4" w:space="0" w:color="auto"/>
              <w:right w:val="single" w:sz="4" w:space="0" w:color="auto"/>
            </w:tcBorders>
            <w:vAlign w:val="center"/>
            <w:hideMark/>
          </w:tcPr>
          <w:p w14:paraId="720B4A65" w14:textId="77777777" w:rsidR="00E51CDD" w:rsidRPr="00A25D45" w:rsidRDefault="00E51CDD" w:rsidP="009938D9">
            <w:pPr>
              <w:widowControl w:val="0"/>
              <w:rPr>
                <w:sz w:val="20"/>
                <w:szCs w:val="20"/>
              </w:rPr>
            </w:pPr>
            <w:r w:rsidRPr="00A25D45">
              <w:rPr>
                <w:sz w:val="20"/>
                <w:szCs w:val="20"/>
              </w:rPr>
              <w:t>NOEC [g product/kg food]</w:t>
            </w:r>
            <w:r w:rsidRPr="00A25D45">
              <w:rPr>
                <w:sz w:val="20"/>
                <w:szCs w:val="20"/>
                <w:vertAlign w:val="superscript"/>
              </w:rPr>
              <w:t>4)</w:t>
            </w:r>
          </w:p>
        </w:tc>
        <w:tc>
          <w:tcPr>
            <w:tcW w:w="1637" w:type="pct"/>
            <w:gridSpan w:val="3"/>
            <w:tcBorders>
              <w:top w:val="dotted" w:sz="4" w:space="0" w:color="auto"/>
              <w:left w:val="single" w:sz="4" w:space="0" w:color="auto"/>
              <w:bottom w:val="dotted" w:sz="4" w:space="0" w:color="auto"/>
              <w:right w:val="single" w:sz="4" w:space="0" w:color="auto"/>
            </w:tcBorders>
            <w:vAlign w:val="center"/>
            <w:hideMark/>
          </w:tcPr>
          <w:p w14:paraId="3631F96E" w14:textId="77777777" w:rsidR="00E51CDD" w:rsidRDefault="00E51CDD" w:rsidP="009938D9">
            <w:pPr>
              <w:widowControl w:val="0"/>
              <w:rPr>
                <w:sz w:val="20"/>
                <w:szCs w:val="20"/>
              </w:rPr>
            </w:pPr>
            <w:r>
              <w:rPr>
                <w:sz w:val="20"/>
                <w:szCs w:val="20"/>
              </w:rPr>
              <w:t>≥ 19.176</w:t>
            </w:r>
          </w:p>
        </w:tc>
      </w:tr>
      <w:tr w:rsidR="00E51CDD" w14:paraId="060C5B11" w14:textId="77777777" w:rsidTr="009938D9">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82EC26" w14:textId="77777777" w:rsidR="00E51CDD" w:rsidRDefault="00E51CDD" w:rsidP="009938D9">
            <w:pPr>
              <w:rPr>
                <w:sz w:val="20"/>
                <w:szCs w:val="20"/>
              </w:rPr>
            </w:pPr>
          </w:p>
        </w:tc>
        <w:tc>
          <w:tcPr>
            <w:tcW w:w="2336" w:type="pct"/>
            <w:gridSpan w:val="3"/>
            <w:tcBorders>
              <w:top w:val="dotted" w:sz="4" w:space="0" w:color="auto"/>
              <w:left w:val="single" w:sz="4" w:space="0" w:color="auto"/>
              <w:bottom w:val="single" w:sz="4" w:space="0" w:color="auto"/>
              <w:right w:val="single" w:sz="4" w:space="0" w:color="auto"/>
            </w:tcBorders>
            <w:vAlign w:val="center"/>
            <w:hideMark/>
          </w:tcPr>
          <w:p w14:paraId="21AA20D5" w14:textId="77777777" w:rsidR="00E51CDD" w:rsidRPr="00A25D45" w:rsidRDefault="00E51CDD" w:rsidP="009938D9">
            <w:pPr>
              <w:widowControl w:val="0"/>
              <w:rPr>
                <w:sz w:val="20"/>
                <w:szCs w:val="20"/>
              </w:rPr>
            </w:pPr>
            <w:r w:rsidRPr="00A25D45">
              <w:rPr>
                <w:sz w:val="20"/>
                <w:szCs w:val="20"/>
              </w:rPr>
              <w:t>NOEC [g a.s./kg food]</w:t>
            </w:r>
            <w:r w:rsidRPr="00A25D45">
              <w:rPr>
                <w:sz w:val="20"/>
                <w:szCs w:val="20"/>
                <w:vertAlign w:val="superscript"/>
              </w:rPr>
              <w:t>4)</w:t>
            </w:r>
          </w:p>
        </w:tc>
        <w:tc>
          <w:tcPr>
            <w:tcW w:w="1637" w:type="pct"/>
            <w:gridSpan w:val="3"/>
            <w:tcBorders>
              <w:top w:val="dotted" w:sz="4" w:space="0" w:color="auto"/>
              <w:left w:val="single" w:sz="4" w:space="0" w:color="auto"/>
              <w:bottom w:val="single" w:sz="4" w:space="0" w:color="auto"/>
              <w:right w:val="single" w:sz="4" w:space="0" w:color="auto"/>
            </w:tcBorders>
            <w:vAlign w:val="center"/>
            <w:hideMark/>
          </w:tcPr>
          <w:p w14:paraId="16BA599B" w14:textId="77777777" w:rsidR="00E51CDD" w:rsidRDefault="00E51CDD" w:rsidP="009938D9">
            <w:pPr>
              <w:widowControl w:val="0"/>
              <w:rPr>
                <w:sz w:val="20"/>
                <w:szCs w:val="20"/>
              </w:rPr>
            </w:pPr>
            <w:r>
              <w:rPr>
                <w:sz w:val="20"/>
                <w:szCs w:val="20"/>
              </w:rPr>
              <w:t>≥ 5.091</w:t>
            </w:r>
          </w:p>
        </w:tc>
      </w:tr>
    </w:tbl>
    <w:p w14:paraId="230E40CB" w14:textId="77777777" w:rsidR="00E51CDD" w:rsidRDefault="00E51CDD" w:rsidP="00E51CDD">
      <w:pPr>
        <w:widowControl w:val="0"/>
        <w:spacing w:before="40"/>
        <w:rPr>
          <w:sz w:val="18"/>
          <w:szCs w:val="18"/>
        </w:rPr>
      </w:pPr>
      <w:r w:rsidRPr="00A25D45">
        <w:rPr>
          <w:sz w:val="18"/>
          <w:szCs w:val="18"/>
        </w:rPr>
        <w:t>Corrected mortality (according to SCHNEIDER-ORELLI 1947); Mortality of the test item treatment group was corrected for mortality of untreated viscosifier control group.</w:t>
      </w:r>
    </w:p>
    <w:p w14:paraId="74D86643" w14:textId="77777777" w:rsidR="00E51CDD" w:rsidRPr="00A25D45" w:rsidRDefault="00E51CDD" w:rsidP="00E51CDD">
      <w:pPr>
        <w:widowControl w:val="0"/>
        <w:spacing w:before="40"/>
        <w:ind w:left="284" w:hanging="284"/>
        <w:rPr>
          <w:sz w:val="18"/>
          <w:szCs w:val="20"/>
        </w:rPr>
      </w:pPr>
      <w:r w:rsidRPr="00A25D45">
        <w:rPr>
          <w:sz w:val="18"/>
          <w:szCs w:val="20"/>
          <w:vertAlign w:val="superscript"/>
        </w:rPr>
        <w:t>1)</w:t>
      </w:r>
      <w:r w:rsidRPr="00A25D45">
        <w:rPr>
          <w:sz w:val="18"/>
          <w:szCs w:val="20"/>
        </w:rPr>
        <w:tab/>
        <w:t>Behavioral abnormalities at the end of the test referring to the number of remaining bees, given in parentheses.</w:t>
      </w:r>
    </w:p>
    <w:p w14:paraId="2CD81339" w14:textId="77777777" w:rsidR="00E51CDD" w:rsidRPr="00A25D45" w:rsidRDefault="00E51CDD" w:rsidP="00E51CDD">
      <w:pPr>
        <w:widowControl w:val="0"/>
        <w:ind w:left="284" w:hanging="284"/>
        <w:rPr>
          <w:sz w:val="18"/>
          <w:szCs w:val="20"/>
        </w:rPr>
      </w:pPr>
      <w:r w:rsidRPr="00A25D45">
        <w:rPr>
          <w:sz w:val="18"/>
          <w:szCs w:val="20"/>
          <w:vertAlign w:val="superscript"/>
        </w:rPr>
        <w:t>2)</w:t>
      </w:r>
      <w:r w:rsidRPr="00A25D45">
        <w:rPr>
          <w:sz w:val="18"/>
          <w:szCs w:val="20"/>
        </w:rPr>
        <w:tab/>
        <w:t>Taking into account the actual food uptake and evaporation.</w:t>
      </w:r>
    </w:p>
    <w:p w14:paraId="78664759" w14:textId="77777777" w:rsidR="00E51CDD" w:rsidRPr="00A25D45" w:rsidRDefault="00E51CDD" w:rsidP="00E51CDD">
      <w:pPr>
        <w:widowControl w:val="0"/>
        <w:ind w:left="284" w:hanging="284"/>
        <w:rPr>
          <w:sz w:val="18"/>
          <w:szCs w:val="20"/>
        </w:rPr>
      </w:pPr>
      <w:r w:rsidRPr="00A25D45">
        <w:rPr>
          <w:sz w:val="18"/>
          <w:szCs w:val="20"/>
          <w:vertAlign w:val="superscript"/>
        </w:rPr>
        <w:t>3)</w:t>
      </w:r>
      <w:r w:rsidRPr="00A25D45">
        <w:rPr>
          <w:sz w:val="18"/>
          <w:szCs w:val="20"/>
          <w:vertAlign w:val="superscript"/>
        </w:rPr>
        <w:tab/>
      </w:r>
      <w:r w:rsidRPr="00A25D45">
        <w:rPr>
          <w:sz w:val="18"/>
          <w:szCs w:val="20"/>
        </w:rPr>
        <w:t>Lethal dietary doses/concentrations were estimated from the generated raw data.</w:t>
      </w:r>
    </w:p>
    <w:p w14:paraId="06CC12C7" w14:textId="77777777" w:rsidR="00E51CDD" w:rsidRPr="00A25D45" w:rsidRDefault="00E51CDD" w:rsidP="00E51CDD">
      <w:pPr>
        <w:widowControl w:val="0"/>
        <w:ind w:left="284" w:hanging="284"/>
        <w:jc w:val="both"/>
        <w:rPr>
          <w:sz w:val="18"/>
          <w:szCs w:val="20"/>
        </w:rPr>
      </w:pPr>
      <w:r w:rsidRPr="00A25D45">
        <w:rPr>
          <w:sz w:val="18"/>
          <w:szCs w:val="20"/>
          <w:vertAlign w:val="superscript"/>
        </w:rPr>
        <w:t>4)</w:t>
      </w:r>
      <w:r w:rsidRPr="00A25D45">
        <w:rPr>
          <w:sz w:val="18"/>
          <w:szCs w:val="20"/>
        </w:rPr>
        <w:tab/>
        <w:t>No observed effect dietary dose/concentration were calculated using Fisher’s Exact Binomial Test with Bonferroni Correction (</w:t>
      </w:r>
      <w:r>
        <w:rPr>
          <w:sz w:val="18"/>
          <w:szCs w:val="20"/>
        </w:rPr>
        <w:t>α</w:t>
      </w:r>
      <w:r w:rsidRPr="00A25D45">
        <w:rPr>
          <w:sz w:val="18"/>
          <w:szCs w:val="20"/>
        </w:rPr>
        <w:t xml:space="preserve"> = 0.05; one-sided greater).</w:t>
      </w:r>
    </w:p>
    <w:p w14:paraId="5DF91011" w14:textId="77777777" w:rsidR="00E51CDD" w:rsidRPr="00A25D45" w:rsidRDefault="00E51CDD" w:rsidP="00E51CDD">
      <w:pPr>
        <w:widowControl w:val="0"/>
        <w:rPr>
          <w:szCs w:val="24"/>
        </w:rPr>
      </w:pPr>
    </w:p>
    <w:p w14:paraId="36EA49B9" w14:textId="77777777" w:rsidR="00E51CDD" w:rsidRPr="00A25D45" w:rsidRDefault="00E51CDD" w:rsidP="00E51CDD">
      <w:pPr>
        <w:widowControl w:val="0"/>
        <w:rPr>
          <w:szCs w:val="24"/>
        </w:rPr>
      </w:pPr>
    </w:p>
    <w:p w14:paraId="551B071C" w14:textId="77777777" w:rsidR="00E51CDD" w:rsidRPr="00A25D45" w:rsidRDefault="00E51CDD" w:rsidP="00E51CDD">
      <w:pPr>
        <w:widowControl w:val="0"/>
        <w:rPr>
          <w:szCs w:val="24"/>
        </w:rPr>
      </w:pPr>
      <w:r w:rsidRPr="00A25D45">
        <w:rPr>
          <w:szCs w:val="24"/>
        </w:rPr>
        <w:t>The reference item, applied at 27.3 ng a.s./bee/day (equivalent to 0.696 mg a.s./kg food), caused 100% mortality of the exposed honey bees after 10 days.</w:t>
      </w:r>
    </w:p>
    <w:p w14:paraId="08ECB343" w14:textId="77777777" w:rsidR="00E51CDD" w:rsidRPr="00A25D45" w:rsidRDefault="00E51CDD" w:rsidP="00E51CDD">
      <w:pPr>
        <w:widowControl w:val="0"/>
        <w:rPr>
          <w:szCs w:val="24"/>
        </w:rPr>
      </w:pPr>
    </w:p>
    <w:p w14:paraId="7BA5CF01" w14:textId="77777777" w:rsidR="00E51CDD" w:rsidRPr="00A25D45" w:rsidRDefault="00E51CDD" w:rsidP="00E51CDD">
      <w:pPr>
        <w:widowControl w:val="0"/>
        <w:rPr>
          <w:szCs w:val="24"/>
        </w:rPr>
      </w:pPr>
      <w:r>
        <w:rPr>
          <w:szCs w:val="24"/>
        </w:rPr>
        <w:br w:type="page"/>
      </w:r>
    </w:p>
    <w:p w14:paraId="23034603" w14:textId="77777777" w:rsidR="00E51CDD" w:rsidRDefault="00E51CDD" w:rsidP="00E51CDD">
      <w:pPr>
        <w:rPr>
          <w:szCs w:val="24"/>
          <w:u w:val="single"/>
        </w:rPr>
      </w:pPr>
      <w:r>
        <w:rPr>
          <w:szCs w:val="24"/>
          <w:u w:val="single"/>
        </w:rPr>
        <w:lastRenderedPageBreak/>
        <w:t>Validity criteria:</w:t>
      </w:r>
    </w:p>
    <w:p w14:paraId="4FA1A340" w14:textId="77777777" w:rsidR="00E51CDD" w:rsidRDefault="00E51CDD" w:rsidP="00E51CDD">
      <w:pPr>
        <w:autoSpaceDE w:val="0"/>
        <w:autoSpaceDN w:val="0"/>
        <w:adjustRightInd w:val="0"/>
        <w:rPr>
          <w:rFonts w:eastAsia="Arial"/>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58"/>
        <w:gridCol w:w="2409"/>
      </w:tblGrid>
      <w:tr w:rsidR="00E51CDD" w14:paraId="6656D22C" w14:textId="77777777" w:rsidTr="009938D9">
        <w:trPr>
          <w:trHeight w:val="240"/>
        </w:trPr>
        <w:tc>
          <w:tcPr>
            <w:tcW w:w="6658" w:type="dxa"/>
            <w:tcBorders>
              <w:top w:val="single" w:sz="4" w:space="0" w:color="auto"/>
              <w:left w:val="single" w:sz="4" w:space="0" w:color="auto"/>
              <w:bottom w:val="single" w:sz="4" w:space="0" w:color="auto"/>
              <w:right w:val="single" w:sz="4" w:space="0" w:color="auto"/>
            </w:tcBorders>
            <w:noWrap/>
            <w:vAlign w:val="center"/>
            <w:hideMark/>
          </w:tcPr>
          <w:p w14:paraId="0700B701" w14:textId="77777777" w:rsidR="00E51CDD" w:rsidRPr="00A25D45" w:rsidRDefault="00E51CDD" w:rsidP="009938D9">
            <w:pPr>
              <w:widowControl w:val="0"/>
              <w:rPr>
                <w:b/>
                <w:bCs/>
                <w:sz w:val="20"/>
              </w:rPr>
            </w:pPr>
            <w:r w:rsidRPr="00A25D45">
              <w:rPr>
                <w:b/>
                <w:sz w:val="20"/>
              </w:rPr>
              <w:t xml:space="preserve">Validity criteria according to OECD 245 </w:t>
            </w:r>
            <w:r w:rsidRPr="00A25D45">
              <w:rPr>
                <w:b/>
                <w:bCs/>
                <w:sz w:val="20"/>
              </w:rPr>
              <w:t>(2017)</w:t>
            </w:r>
          </w:p>
        </w:tc>
        <w:tc>
          <w:tcPr>
            <w:tcW w:w="2409" w:type="dxa"/>
            <w:tcBorders>
              <w:top w:val="single" w:sz="4" w:space="0" w:color="auto"/>
              <w:left w:val="single" w:sz="4" w:space="0" w:color="auto"/>
              <w:bottom w:val="single" w:sz="4" w:space="0" w:color="auto"/>
              <w:right w:val="single" w:sz="4" w:space="0" w:color="auto"/>
            </w:tcBorders>
            <w:noWrap/>
            <w:vAlign w:val="center"/>
            <w:hideMark/>
          </w:tcPr>
          <w:p w14:paraId="4179524B" w14:textId="77777777" w:rsidR="00E51CDD" w:rsidRDefault="00E51CDD" w:rsidP="009938D9">
            <w:pPr>
              <w:widowControl w:val="0"/>
              <w:rPr>
                <w:b/>
                <w:bCs/>
                <w:sz w:val="20"/>
              </w:rPr>
            </w:pPr>
            <w:r>
              <w:rPr>
                <w:b/>
                <w:sz w:val="20"/>
              </w:rPr>
              <w:t>Obtained in this study</w:t>
            </w:r>
          </w:p>
        </w:tc>
      </w:tr>
      <w:tr w:rsidR="00E51CDD" w14:paraId="328878AE" w14:textId="77777777" w:rsidTr="009938D9">
        <w:trPr>
          <w:trHeight w:val="244"/>
        </w:trPr>
        <w:tc>
          <w:tcPr>
            <w:tcW w:w="6658" w:type="dxa"/>
            <w:tcBorders>
              <w:top w:val="single" w:sz="4" w:space="0" w:color="auto"/>
              <w:left w:val="single" w:sz="4" w:space="0" w:color="auto"/>
              <w:bottom w:val="single" w:sz="4" w:space="0" w:color="auto"/>
              <w:right w:val="single" w:sz="4" w:space="0" w:color="auto"/>
            </w:tcBorders>
            <w:noWrap/>
            <w:vAlign w:val="center"/>
            <w:hideMark/>
          </w:tcPr>
          <w:p w14:paraId="2BC9D467" w14:textId="77777777" w:rsidR="00E51CDD" w:rsidRPr="00A25D45" w:rsidRDefault="00E51CDD" w:rsidP="009938D9">
            <w:pPr>
              <w:widowControl w:val="0"/>
              <w:rPr>
                <w:sz w:val="20"/>
              </w:rPr>
            </w:pPr>
            <w:r w:rsidRPr="00A25D45">
              <w:rPr>
                <w:sz w:val="20"/>
              </w:rPr>
              <w:t>Control mortality from ≤ 15% at D10 across all replicates</w:t>
            </w:r>
          </w:p>
        </w:tc>
        <w:tc>
          <w:tcPr>
            <w:tcW w:w="2409" w:type="dxa"/>
            <w:tcBorders>
              <w:top w:val="single" w:sz="4" w:space="0" w:color="auto"/>
              <w:left w:val="single" w:sz="4" w:space="0" w:color="auto"/>
              <w:bottom w:val="single" w:sz="4" w:space="0" w:color="auto"/>
              <w:right w:val="single" w:sz="4" w:space="0" w:color="auto"/>
            </w:tcBorders>
            <w:noWrap/>
            <w:vAlign w:val="center"/>
            <w:hideMark/>
          </w:tcPr>
          <w:p w14:paraId="78E634E7" w14:textId="77777777" w:rsidR="00E51CDD" w:rsidRDefault="00E51CDD" w:rsidP="009938D9">
            <w:pPr>
              <w:widowControl w:val="0"/>
              <w:rPr>
                <w:sz w:val="20"/>
              </w:rPr>
            </w:pPr>
            <w:r>
              <w:rPr>
                <w:sz w:val="20"/>
              </w:rPr>
              <w:t>3.3% both controls</w:t>
            </w:r>
          </w:p>
        </w:tc>
      </w:tr>
      <w:tr w:rsidR="00E51CDD" w14:paraId="7AC3EE8B" w14:textId="77777777" w:rsidTr="009938D9">
        <w:tc>
          <w:tcPr>
            <w:tcW w:w="6658" w:type="dxa"/>
            <w:tcBorders>
              <w:top w:val="single" w:sz="4" w:space="0" w:color="auto"/>
              <w:left w:val="single" w:sz="4" w:space="0" w:color="auto"/>
              <w:bottom w:val="single" w:sz="4" w:space="0" w:color="auto"/>
              <w:right w:val="single" w:sz="4" w:space="0" w:color="auto"/>
            </w:tcBorders>
            <w:noWrap/>
            <w:vAlign w:val="center"/>
            <w:hideMark/>
          </w:tcPr>
          <w:p w14:paraId="388A814E" w14:textId="77777777" w:rsidR="00E51CDD" w:rsidRPr="00A25D45" w:rsidRDefault="00E51CDD" w:rsidP="009938D9">
            <w:pPr>
              <w:widowControl w:val="0"/>
              <w:rPr>
                <w:sz w:val="20"/>
              </w:rPr>
            </w:pPr>
            <w:r w:rsidRPr="00A25D45">
              <w:rPr>
                <w:sz w:val="20"/>
              </w:rPr>
              <w:t>Reference item mortality ≥ 50% on D10</w:t>
            </w:r>
          </w:p>
        </w:tc>
        <w:tc>
          <w:tcPr>
            <w:tcW w:w="2409" w:type="dxa"/>
            <w:tcBorders>
              <w:top w:val="single" w:sz="4" w:space="0" w:color="auto"/>
              <w:left w:val="single" w:sz="4" w:space="0" w:color="auto"/>
              <w:bottom w:val="single" w:sz="4" w:space="0" w:color="auto"/>
              <w:right w:val="single" w:sz="4" w:space="0" w:color="auto"/>
            </w:tcBorders>
            <w:noWrap/>
            <w:vAlign w:val="center"/>
            <w:hideMark/>
          </w:tcPr>
          <w:p w14:paraId="348F5BDD" w14:textId="77777777" w:rsidR="00E51CDD" w:rsidRDefault="00E51CDD" w:rsidP="009938D9">
            <w:pPr>
              <w:widowControl w:val="0"/>
              <w:rPr>
                <w:sz w:val="20"/>
              </w:rPr>
            </w:pPr>
            <w:r>
              <w:rPr>
                <w:sz w:val="20"/>
              </w:rPr>
              <w:t>100%</w:t>
            </w:r>
          </w:p>
        </w:tc>
      </w:tr>
    </w:tbl>
    <w:p w14:paraId="49A352B7" w14:textId="77777777" w:rsidR="00E51CDD" w:rsidRDefault="00E51CDD" w:rsidP="00E51CDD">
      <w:pPr>
        <w:rPr>
          <w:b/>
          <w:szCs w:val="24"/>
          <w:u w:val="single"/>
        </w:rPr>
      </w:pPr>
    </w:p>
    <w:p w14:paraId="19A91904" w14:textId="77777777" w:rsidR="00E51CDD" w:rsidRDefault="00E51CDD" w:rsidP="00E51CDD">
      <w:pPr>
        <w:rPr>
          <w:b/>
          <w:szCs w:val="24"/>
          <w:u w:val="single"/>
        </w:rPr>
      </w:pPr>
    </w:p>
    <w:p w14:paraId="07315C77" w14:textId="77777777" w:rsidR="00E51CDD" w:rsidRPr="00A25D45" w:rsidRDefault="00E51CDD" w:rsidP="00E51CDD">
      <w:pPr>
        <w:rPr>
          <w:szCs w:val="24"/>
        </w:rPr>
      </w:pPr>
      <w:r w:rsidRPr="00A25D45">
        <w:rPr>
          <w:szCs w:val="24"/>
        </w:rPr>
        <w:t>All validity criteria were met.</w:t>
      </w:r>
    </w:p>
    <w:p w14:paraId="0BB4E294" w14:textId="77777777" w:rsidR="00E51CDD" w:rsidRPr="00A25D45" w:rsidRDefault="00E51CDD" w:rsidP="00E51CDD">
      <w:pPr>
        <w:widowControl w:val="0"/>
        <w:rPr>
          <w:szCs w:val="24"/>
        </w:rPr>
      </w:pPr>
    </w:p>
    <w:p w14:paraId="3564F4B9" w14:textId="77777777" w:rsidR="00E51CDD" w:rsidRPr="00A25D45" w:rsidRDefault="00E51CDD" w:rsidP="00E51CDD">
      <w:pPr>
        <w:widowControl w:val="0"/>
        <w:rPr>
          <w:szCs w:val="24"/>
        </w:rPr>
      </w:pPr>
    </w:p>
    <w:p w14:paraId="7D0D3671" w14:textId="77777777" w:rsidR="00E51CDD" w:rsidRPr="00A25D45" w:rsidRDefault="00E51CDD" w:rsidP="00E51CDD">
      <w:pPr>
        <w:widowControl w:val="0"/>
        <w:rPr>
          <w:b/>
          <w:bCs/>
          <w:szCs w:val="24"/>
        </w:rPr>
      </w:pPr>
      <w:r w:rsidRPr="00A25D45">
        <w:rPr>
          <w:b/>
          <w:bCs/>
          <w:szCs w:val="24"/>
        </w:rPr>
        <w:t>III.</w:t>
      </w:r>
      <w:r w:rsidRPr="00A25D45">
        <w:rPr>
          <w:b/>
          <w:bCs/>
          <w:szCs w:val="24"/>
        </w:rPr>
        <w:tab/>
        <w:t>CONCLUSION</w:t>
      </w:r>
    </w:p>
    <w:p w14:paraId="7EEE9A10" w14:textId="77777777" w:rsidR="00E51CDD" w:rsidRDefault="00E51CDD" w:rsidP="00E51CDD">
      <w:pPr>
        <w:widowControl w:val="0"/>
        <w:jc w:val="both"/>
        <w:rPr>
          <w:lang w:val="en-GB"/>
        </w:rPr>
      </w:pPr>
    </w:p>
    <w:p w14:paraId="22995253" w14:textId="77777777" w:rsidR="00E51CDD" w:rsidRDefault="00E51CDD" w:rsidP="00E51CDD">
      <w:pPr>
        <w:widowControl w:val="0"/>
        <w:jc w:val="both"/>
        <w:rPr>
          <w:b/>
          <w:szCs w:val="24"/>
        </w:rPr>
      </w:pPr>
      <w:r w:rsidRPr="00A25D45">
        <w:rPr>
          <w:b/>
          <w:szCs w:val="24"/>
        </w:rPr>
        <w:t>In a 10-day chronic toxicity feeding test with BAS 700 04 F the NOEDD and NOEC were determined to be ≥ 697</w:t>
      </w:r>
      <w:r>
        <w:rPr>
          <w:b/>
          <w:szCs w:val="24"/>
        </w:rPr>
        <w:t>μ</w:t>
      </w:r>
      <w:r w:rsidRPr="00A25D45">
        <w:rPr>
          <w:b/>
          <w:szCs w:val="24"/>
        </w:rPr>
        <w:t>g consumed product/bee/day and ≥ 19.176 mg product/kg food, respectively. The LDD</w:t>
      </w:r>
      <w:r w:rsidRPr="00A25D45">
        <w:rPr>
          <w:b/>
          <w:szCs w:val="24"/>
          <w:vertAlign w:val="subscript"/>
        </w:rPr>
        <w:t>50</w:t>
      </w:r>
      <w:r w:rsidRPr="00A25D45">
        <w:rPr>
          <w:b/>
          <w:szCs w:val="24"/>
        </w:rPr>
        <w:t xml:space="preserve"> and LC</w:t>
      </w:r>
      <w:r w:rsidRPr="00A25D45">
        <w:rPr>
          <w:b/>
          <w:szCs w:val="24"/>
          <w:vertAlign w:val="subscript"/>
        </w:rPr>
        <w:t>50</w:t>
      </w:r>
      <w:r w:rsidRPr="00A25D45">
        <w:rPr>
          <w:b/>
          <w:szCs w:val="24"/>
        </w:rPr>
        <w:t xml:space="preserve"> were determined to be &gt; 697</w:t>
      </w:r>
      <w:r>
        <w:rPr>
          <w:b/>
          <w:szCs w:val="24"/>
        </w:rPr>
        <w:t>μ</w:t>
      </w:r>
      <w:r w:rsidRPr="00A25D45">
        <w:rPr>
          <w:b/>
          <w:szCs w:val="24"/>
        </w:rPr>
        <w:t>g consumed product/bee/day and &gt; 19.176 mg product/kg food, respectively.</w:t>
      </w:r>
    </w:p>
    <w:p w14:paraId="6EF7ED07" w14:textId="77777777" w:rsidR="00E51CDD" w:rsidRDefault="00E51CDD" w:rsidP="00E51CDD">
      <w:pPr>
        <w:pStyle w:val="RepStandard"/>
        <w:rPr>
          <w:lang w:val="en-US"/>
        </w:rPr>
      </w:pPr>
      <w:r>
        <w:rPr>
          <w:lang w:val="en-US"/>
        </w:rPr>
        <w:br w:type="page"/>
      </w:r>
    </w:p>
    <w:p w14:paraId="384D0C32" w14:textId="77777777" w:rsidR="00E51CDD" w:rsidRPr="00BE28C7" w:rsidRDefault="00E51CDD" w:rsidP="00B31542">
      <w:pPr>
        <w:pStyle w:val="RepAppendix5"/>
      </w:pPr>
      <w:r w:rsidRPr="00BE28C7">
        <w:lastRenderedPageBreak/>
        <w:t xml:space="preserve">Study </w:t>
      </w:r>
      <w: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3D7F2F1E" w14:textId="77777777" w:rsidTr="002346A8">
        <w:trPr>
          <w:trHeight w:val="915"/>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D9AE4E" w14:textId="77777777" w:rsidR="00E51CDD" w:rsidRDefault="00E51CDD" w:rsidP="009938D9">
            <w:pPr>
              <w:pStyle w:val="RepStandard"/>
              <w:rPr>
                <w:rFonts w:eastAsia="Batang"/>
              </w:rPr>
            </w:pPr>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00E5DE" w14:textId="3CDA1C4B" w:rsidR="00E51CDD" w:rsidRDefault="00C21689" w:rsidP="009938D9">
            <w:pPr>
              <w:pStyle w:val="RepStandard"/>
              <w:ind w:left="85"/>
              <w:rPr>
                <w:rFonts w:eastAsia="Batang"/>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533F77F4"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07902B3A" w14:textId="77777777" w:rsidTr="009938D9">
        <w:trPr>
          <w:gridAfter w:val="1"/>
          <w:wAfter w:w="9" w:type="pct"/>
        </w:trPr>
        <w:tc>
          <w:tcPr>
            <w:tcW w:w="1340" w:type="pct"/>
            <w:hideMark/>
          </w:tcPr>
          <w:p w14:paraId="44E99C0A" w14:textId="77777777" w:rsidR="00E51CDD" w:rsidRDefault="00E51CDD" w:rsidP="009938D9">
            <w:pPr>
              <w:pStyle w:val="RepStandard"/>
              <w:rPr>
                <w:lang w:val="de-DE"/>
              </w:rPr>
            </w:pPr>
            <w:r>
              <w:t>Reference:</w:t>
            </w:r>
          </w:p>
        </w:tc>
        <w:tc>
          <w:tcPr>
            <w:tcW w:w="3651" w:type="pct"/>
            <w:hideMark/>
          </w:tcPr>
          <w:p w14:paraId="511401A6" w14:textId="77777777" w:rsidR="00E51CDD" w:rsidRDefault="00E51CDD" w:rsidP="009938D9">
            <w:pPr>
              <w:pStyle w:val="RepStandard"/>
            </w:pPr>
            <w:r>
              <w:t>CP 10.3.1.2/2</w:t>
            </w:r>
          </w:p>
        </w:tc>
      </w:tr>
      <w:tr w:rsidR="00E51CDD" w14:paraId="03CF85D6" w14:textId="77777777" w:rsidTr="009938D9">
        <w:trPr>
          <w:gridAfter w:val="1"/>
          <w:wAfter w:w="9" w:type="pct"/>
        </w:trPr>
        <w:tc>
          <w:tcPr>
            <w:tcW w:w="1340" w:type="pct"/>
            <w:hideMark/>
          </w:tcPr>
          <w:p w14:paraId="40D71574" w14:textId="77777777" w:rsidR="00E51CDD" w:rsidRDefault="00E51CDD" w:rsidP="009938D9">
            <w:pPr>
              <w:pStyle w:val="RepStandard"/>
              <w:spacing w:after="120"/>
            </w:pPr>
            <w:r>
              <w:t>Report</w:t>
            </w:r>
          </w:p>
        </w:tc>
        <w:tc>
          <w:tcPr>
            <w:tcW w:w="3651" w:type="pct"/>
            <w:hideMark/>
          </w:tcPr>
          <w:p w14:paraId="165EE4A0" w14:textId="77777777" w:rsidR="00E51CDD" w:rsidRDefault="00E51CDD" w:rsidP="009938D9">
            <w:pPr>
              <w:pStyle w:val="RepStandard"/>
              <w:spacing w:after="120"/>
              <w:rPr>
                <w:lang w:val="en-US"/>
              </w:rPr>
            </w:pPr>
            <w:r>
              <w:rPr>
                <w:lang w:val="en-US"/>
              </w:rPr>
              <w:t>BAS 736 00 F - Honey Bee (Apis mellifera L.) Chronic Oral Toxicity Test - 10 Day Feeding Test in the Laboratory,</w:t>
            </w:r>
          </w:p>
          <w:p w14:paraId="51758DAA" w14:textId="77777777" w:rsidR="00E51CDD" w:rsidRDefault="00E51CDD" w:rsidP="009938D9">
            <w:pPr>
              <w:pStyle w:val="RepStandard"/>
              <w:spacing w:after="120"/>
              <w:rPr>
                <w:lang w:val="en-US"/>
              </w:rPr>
            </w:pPr>
            <w:r>
              <w:rPr>
                <w:lang w:val="en-US"/>
              </w:rPr>
              <w:t>Haeuser, R., 2021</w:t>
            </w:r>
          </w:p>
          <w:p w14:paraId="25C88DCC" w14:textId="77777777" w:rsidR="00E51CDD" w:rsidRDefault="00E51CDD" w:rsidP="009938D9">
            <w:pPr>
              <w:pStyle w:val="RepStandard"/>
              <w:spacing w:after="120"/>
              <w:rPr>
                <w:lang w:val="en-US"/>
              </w:rPr>
            </w:pPr>
            <w:r>
              <w:rPr>
                <w:lang w:val="en-US"/>
              </w:rPr>
              <w:t>report No 900786, S20-05931</w:t>
            </w:r>
          </w:p>
          <w:p w14:paraId="19F49930" w14:textId="77777777" w:rsidR="00E51CDD" w:rsidRDefault="00E51CDD" w:rsidP="009938D9">
            <w:pPr>
              <w:pStyle w:val="RepStandard"/>
              <w:spacing w:after="120"/>
            </w:pPr>
            <w:r>
              <w:rPr>
                <w:lang w:val="en-US"/>
              </w:rPr>
              <w:t>2020/2080999</w:t>
            </w:r>
          </w:p>
          <w:p w14:paraId="57A58441" w14:textId="77777777" w:rsidR="00E51CDD" w:rsidRDefault="00E51CDD" w:rsidP="009938D9">
            <w:pPr>
              <w:pStyle w:val="RepStandard"/>
            </w:pPr>
            <w:r>
              <w:t>Authority registration No</w:t>
            </w:r>
          </w:p>
        </w:tc>
      </w:tr>
      <w:tr w:rsidR="00E51CDD" w14:paraId="776E15A8" w14:textId="77777777" w:rsidTr="009938D9">
        <w:trPr>
          <w:gridAfter w:val="1"/>
          <w:wAfter w:w="9" w:type="pct"/>
        </w:trPr>
        <w:tc>
          <w:tcPr>
            <w:tcW w:w="1340" w:type="pct"/>
            <w:hideMark/>
          </w:tcPr>
          <w:p w14:paraId="4B4E1C83" w14:textId="77777777" w:rsidR="00E51CDD" w:rsidRDefault="00E51CDD" w:rsidP="009938D9">
            <w:pPr>
              <w:pStyle w:val="RepStandard"/>
            </w:pPr>
            <w:r>
              <w:t>Guideline(s):</w:t>
            </w:r>
          </w:p>
        </w:tc>
        <w:tc>
          <w:tcPr>
            <w:tcW w:w="3651" w:type="pct"/>
            <w:hideMark/>
          </w:tcPr>
          <w:p w14:paraId="0EA8A928" w14:textId="77777777" w:rsidR="00E51CDD" w:rsidRDefault="00E51CDD" w:rsidP="009938D9">
            <w:pPr>
              <w:pStyle w:val="RepStandard"/>
              <w:spacing w:after="120"/>
            </w:pPr>
            <w:r>
              <w:rPr>
                <w:lang w:val="en-US"/>
              </w:rPr>
              <w:t>OECD 245 (2017)</w:t>
            </w:r>
            <w:r>
              <w:t xml:space="preserve"> </w:t>
            </w:r>
          </w:p>
        </w:tc>
      </w:tr>
      <w:tr w:rsidR="00E51CDD" w14:paraId="00959AFE" w14:textId="77777777" w:rsidTr="009938D9">
        <w:trPr>
          <w:gridAfter w:val="1"/>
          <w:wAfter w:w="9" w:type="pct"/>
        </w:trPr>
        <w:tc>
          <w:tcPr>
            <w:tcW w:w="1340" w:type="pct"/>
            <w:hideMark/>
          </w:tcPr>
          <w:p w14:paraId="5541BBBA" w14:textId="77777777" w:rsidR="00E51CDD" w:rsidRDefault="00E51CDD" w:rsidP="009938D9">
            <w:pPr>
              <w:pStyle w:val="RepStandard"/>
            </w:pPr>
            <w:r>
              <w:t>Deviations:</w:t>
            </w:r>
          </w:p>
        </w:tc>
        <w:tc>
          <w:tcPr>
            <w:tcW w:w="3651" w:type="pct"/>
            <w:hideMark/>
          </w:tcPr>
          <w:p w14:paraId="55CBA569" w14:textId="77777777" w:rsidR="00E51CDD" w:rsidRDefault="00E51CDD" w:rsidP="009938D9">
            <w:pPr>
              <w:pStyle w:val="RepStandard"/>
              <w:spacing w:after="120"/>
            </w:pPr>
            <w:r>
              <w:t>No</w:t>
            </w:r>
          </w:p>
        </w:tc>
      </w:tr>
      <w:tr w:rsidR="00E51CDD" w:rsidRPr="00662F32" w14:paraId="2CB09423" w14:textId="77777777" w:rsidTr="009938D9">
        <w:tc>
          <w:tcPr>
            <w:tcW w:w="1340" w:type="pct"/>
            <w:hideMark/>
          </w:tcPr>
          <w:p w14:paraId="0667C0B1" w14:textId="77777777" w:rsidR="00E51CDD" w:rsidRDefault="00E51CDD" w:rsidP="009938D9">
            <w:pPr>
              <w:pStyle w:val="RepStandard"/>
            </w:pPr>
            <w:r>
              <w:t>GLP:</w:t>
            </w:r>
          </w:p>
        </w:tc>
        <w:tc>
          <w:tcPr>
            <w:tcW w:w="3660" w:type="pct"/>
            <w:gridSpan w:val="2"/>
            <w:hideMark/>
          </w:tcPr>
          <w:p w14:paraId="5558058A" w14:textId="77777777" w:rsidR="00E51CDD" w:rsidRPr="00E111CB" w:rsidRDefault="00E51CDD" w:rsidP="009938D9">
            <w:pPr>
              <w:tabs>
                <w:tab w:val="left" w:pos="425"/>
                <w:tab w:val="left" w:pos="850"/>
              </w:tabs>
              <w:spacing w:after="120"/>
              <w:ind w:left="1985" w:hanging="1985"/>
              <w:rPr>
                <w:b/>
                <w:lang w:val="de-DE"/>
              </w:rPr>
            </w:pPr>
            <w:r w:rsidRPr="00E111CB">
              <w:rPr>
                <w:lang w:val="de-DE"/>
              </w:rPr>
              <w:t>yes</w:t>
            </w:r>
          </w:p>
          <w:p w14:paraId="2CD97029" w14:textId="77777777" w:rsidR="00E51CDD" w:rsidRPr="00E111CB" w:rsidRDefault="00E51CDD" w:rsidP="009938D9">
            <w:pPr>
              <w:pStyle w:val="RepStandard"/>
              <w:spacing w:after="120"/>
              <w:jc w:val="left"/>
              <w:rPr>
                <w:lang w:val="de-DE"/>
              </w:rPr>
            </w:pPr>
            <w:r w:rsidRPr="00E111CB">
              <w:rPr>
                <w:lang w:val="de-DE"/>
              </w:rPr>
              <w:t xml:space="preserve">(certified by LUBW Landesanstalt fuer Umwelt Baden-Wuerttemberg, Karlsruhe, Germany), </w:t>
            </w:r>
          </w:p>
        </w:tc>
      </w:tr>
      <w:tr w:rsidR="00E51CDD" w14:paraId="00444D4B" w14:textId="77777777" w:rsidTr="009938D9">
        <w:trPr>
          <w:gridAfter w:val="1"/>
          <w:wAfter w:w="9" w:type="pct"/>
        </w:trPr>
        <w:tc>
          <w:tcPr>
            <w:tcW w:w="1340" w:type="pct"/>
            <w:hideMark/>
          </w:tcPr>
          <w:p w14:paraId="0D2FC1E2" w14:textId="77777777" w:rsidR="00E51CDD" w:rsidRDefault="00E51CDD" w:rsidP="009938D9">
            <w:pPr>
              <w:pStyle w:val="RepStandard"/>
              <w:rPr>
                <w:lang w:val="de-DE"/>
              </w:rPr>
            </w:pPr>
            <w:r>
              <w:t>Acceptability:</w:t>
            </w:r>
          </w:p>
        </w:tc>
        <w:tc>
          <w:tcPr>
            <w:tcW w:w="3651" w:type="pct"/>
            <w:hideMark/>
          </w:tcPr>
          <w:p w14:paraId="7C2DB34B" w14:textId="77777777" w:rsidR="00E51CDD" w:rsidRDefault="00E51CDD" w:rsidP="009938D9">
            <w:pPr>
              <w:pStyle w:val="RepStandard"/>
            </w:pPr>
            <w:r>
              <w:t xml:space="preserve">Yes </w:t>
            </w:r>
          </w:p>
        </w:tc>
      </w:tr>
      <w:tr w:rsidR="00E51CDD" w14:paraId="6F38DA0C" w14:textId="77777777" w:rsidTr="009938D9">
        <w:trPr>
          <w:gridAfter w:val="1"/>
          <w:wAfter w:w="9" w:type="pct"/>
        </w:trPr>
        <w:tc>
          <w:tcPr>
            <w:tcW w:w="1340" w:type="pct"/>
            <w:hideMark/>
          </w:tcPr>
          <w:p w14:paraId="5755F243" w14:textId="77777777" w:rsidR="00E51CDD" w:rsidRDefault="00E51CDD" w:rsidP="009938D9">
            <w:pPr>
              <w:pStyle w:val="RepStandard"/>
            </w:pPr>
            <w:r>
              <w:t xml:space="preserve">Duplication </w:t>
            </w:r>
            <w:r>
              <w:br/>
              <w:t>(if vertebrate study)</w:t>
            </w:r>
          </w:p>
        </w:tc>
        <w:tc>
          <w:tcPr>
            <w:tcW w:w="3651" w:type="pct"/>
            <w:hideMark/>
          </w:tcPr>
          <w:p w14:paraId="173BE124" w14:textId="77777777" w:rsidR="00E51CDD" w:rsidRDefault="00E51CDD" w:rsidP="009938D9">
            <w:pPr>
              <w:pStyle w:val="RepStandard"/>
              <w:spacing w:after="120"/>
              <w:rPr>
                <w:highlight w:val="yellow"/>
              </w:rPr>
            </w:pPr>
            <w:r>
              <w:t>No</w:t>
            </w:r>
          </w:p>
        </w:tc>
      </w:tr>
    </w:tbl>
    <w:p w14:paraId="7311F27F" w14:textId="77777777" w:rsidR="00E51CDD" w:rsidRPr="00CA4E5C" w:rsidRDefault="00E51CDD" w:rsidP="00E51CDD">
      <w:pPr>
        <w:widowControl w:val="0"/>
        <w:jc w:val="both"/>
      </w:pPr>
    </w:p>
    <w:p w14:paraId="1290E0F5" w14:textId="77777777" w:rsidR="00E51CDD" w:rsidRPr="00960E15" w:rsidRDefault="00E51CDD" w:rsidP="00E51CDD">
      <w:pPr>
        <w:tabs>
          <w:tab w:val="left" w:pos="425"/>
          <w:tab w:val="left" w:pos="850"/>
          <w:tab w:val="left" w:pos="7365"/>
        </w:tabs>
        <w:rPr>
          <w:b/>
          <w:bCs/>
          <w:szCs w:val="24"/>
        </w:rPr>
      </w:pPr>
      <w:r w:rsidRPr="00960E15">
        <w:rPr>
          <w:b/>
          <w:bCs/>
          <w:szCs w:val="24"/>
        </w:rPr>
        <w:t>Executive Summary</w:t>
      </w:r>
    </w:p>
    <w:p w14:paraId="5B12E35B" w14:textId="77777777" w:rsidR="00E51CDD" w:rsidRPr="00960E15" w:rsidRDefault="00E51CDD" w:rsidP="00E51CDD">
      <w:pPr>
        <w:widowControl w:val="0"/>
        <w:rPr>
          <w:szCs w:val="24"/>
        </w:rPr>
      </w:pPr>
    </w:p>
    <w:p w14:paraId="7EA8F76A" w14:textId="77777777" w:rsidR="00E51CDD" w:rsidRPr="00960E15" w:rsidRDefault="00E51CDD" w:rsidP="00E51CDD">
      <w:pPr>
        <w:widowControl w:val="0"/>
        <w:jc w:val="both"/>
        <w:rPr>
          <w:szCs w:val="24"/>
        </w:rPr>
      </w:pPr>
      <w:r w:rsidRPr="00960E15">
        <w:rPr>
          <w:szCs w:val="24"/>
        </w:rPr>
        <w:t>In a 10-day chronic toxicity feeding test max. 2-day old worker honey bees (</w:t>
      </w:r>
      <w:r w:rsidRPr="00960E15">
        <w:rPr>
          <w:i/>
          <w:iCs/>
          <w:szCs w:val="24"/>
        </w:rPr>
        <w:t>Apis mellifera</w:t>
      </w:r>
      <w:r w:rsidRPr="00960E15">
        <w:rPr>
          <w:szCs w:val="24"/>
        </w:rPr>
        <w:t xml:space="preserve"> L.) were exposed to a daily application of BAS 736 00 F diluted in bee food. The chronic toxicity of the test item was determined at nominal doses of 25.0, 50.0, 100, 200 and 400 µg product/bee/day (effective doses were 19.2, 28.3, 40.7, 60.2 and 92.2 µg product/bee/day), corresponding to concentrations of </w:t>
      </w:r>
      <w:bookmarkStart w:id="1200" w:name="_Hlk78802316"/>
      <w:r w:rsidRPr="00960E15">
        <w:rPr>
          <w:szCs w:val="24"/>
        </w:rPr>
        <w:t>0.637, 1.27, 2.55, 5.09 and 10.2 g product/kg food</w:t>
      </w:r>
      <w:bookmarkEnd w:id="1200"/>
      <w:r w:rsidRPr="00960E15">
        <w:rPr>
          <w:szCs w:val="24"/>
        </w:rPr>
        <w:t>. Additionally, honey bees were treated with BAS 152 65 I (dimethoate) as reference item at a nominal dose of 0.02 µg a.s./bee/day. Untreated diet was served as a control</w:t>
      </w:r>
      <w:r w:rsidRPr="00960E15">
        <w:t>.</w:t>
      </w:r>
      <w:r w:rsidRPr="00960E15">
        <w:rPr>
          <w:szCs w:val="24"/>
        </w:rPr>
        <w:t xml:space="preserve"> Assessments of mortality and behavioral abnormalities were done daily. </w:t>
      </w:r>
    </w:p>
    <w:p w14:paraId="3328AA26" w14:textId="77777777" w:rsidR="00E51CDD" w:rsidRPr="00960E15" w:rsidRDefault="00E51CDD" w:rsidP="00E51CDD">
      <w:pPr>
        <w:widowControl w:val="0"/>
        <w:jc w:val="both"/>
        <w:rPr>
          <w:szCs w:val="24"/>
        </w:rPr>
      </w:pPr>
    </w:p>
    <w:p w14:paraId="3A144B66" w14:textId="77777777" w:rsidR="00E51CDD" w:rsidRPr="00960E15" w:rsidRDefault="00E51CDD" w:rsidP="00E51CDD">
      <w:pPr>
        <w:widowControl w:val="0"/>
        <w:jc w:val="both"/>
        <w:rPr>
          <w:color w:val="000000"/>
          <w:szCs w:val="24"/>
        </w:rPr>
      </w:pPr>
      <w:r w:rsidRPr="00960E15">
        <w:rPr>
          <w:szCs w:val="24"/>
        </w:rPr>
        <w:t xml:space="preserve">After 10 days of continuous exposure, no mortality was observed in the control group. In the test item groups, bees effectively consumed doses of 19.2, 28.3, 40.7, 60.2 and 92.2 µg BAS 736 00 F/bee/day which resulted in cumulative mortalities of 0.0, 35.0, 57.5, 100.0 and 100.0%, respectively. </w:t>
      </w:r>
      <w:r w:rsidRPr="00960E15">
        <w:rPr>
          <w:color w:val="000000"/>
          <w:szCs w:val="24"/>
        </w:rPr>
        <w:t xml:space="preserve">A statistically significant increase in mortality was found in the test item groups with an actual consumed dose of 28.3, 40.7, 60.2 and 92.2 µg BAS 736 00 F/bee/day compared to the control group. </w:t>
      </w:r>
      <w:r w:rsidRPr="00960E15">
        <w:rPr>
          <w:color w:val="000000"/>
        </w:rPr>
        <w:t>Behavioral abnormalities were observed in a few bees in terms of affected or moribund, at the concentrations of 0.637, 1.27, 2.55, 5.09 and 10.2 g BAS 736 00 F/kg food at several assessment intervals during the 10-day observation period.</w:t>
      </w:r>
    </w:p>
    <w:p w14:paraId="379D487E" w14:textId="77777777" w:rsidR="00E51CDD" w:rsidRPr="00960E15" w:rsidRDefault="00E51CDD" w:rsidP="00E51CDD">
      <w:pPr>
        <w:widowControl w:val="0"/>
        <w:jc w:val="both"/>
        <w:rPr>
          <w:color w:val="000000"/>
          <w:szCs w:val="24"/>
        </w:rPr>
      </w:pPr>
    </w:p>
    <w:p w14:paraId="27F2EBB5" w14:textId="77777777" w:rsidR="00E51CDD" w:rsidRPr="00960E15" w:rsidRDefault="00E51CDD" w:rsidP="00E51CDD">
      <w:pPr>
        <w:widowControl w:val="0"/>
        <w:jc w:val="both"/>
        <w:rPr>
          <w:b/>
          <w:color w:val="000000"/>
          <w:szCs w:val="24"/>
        </w:rPr>
      </w:pPr>
      <w:bookmarkStart w:id="1201" w:name="_Hlk78808561"/>
      <w:r w:rsidRPr="00960E15">
        <w:rPr>
          <w:b/>
          <w:color w:val="000000"/>
          <w:szCs w:val="24"/>
        </w:rPr>
        <w:t>In a 10-day chronic toxicity feeding test with BAS 736 00 F the NOEDD and NOEC were determined to be 19.2 μg consumed product/bee/day and 0.637 g product/kg food, respectively. The LDD</w:t>
      </w:r>
      <w:r w:rsidRPr="00960E15">
        <w:rPr>
          <w:b/>
          <w:color w:val="000000"/>
          <w:szCs w:val="24"/>
          <w:vertAlign w:val="subscript"/>
        </w:rPr>
        <w:t>50</w:t>
      </w:r>
      <w:r w:rsidRPr="00960E15">
        <w:rPr>
          <w:b/>
          <w:color w:val="000000"/>
          <w:szCs w:val="24"/>
        </w:rPr>
        <w:t xml:space="preserve"> and LC</w:t>
      </w:r>
      <w:r w:rsidRPr="00960E15">
        <w:rPr>
          <w:b/>
          <w:color w:val="000000"/>
          <w:szCs w:val="24"/>
          <w:vertAlign w:val="subscript"/>
        </w:rPr>
        <w:t>50</w:t>
      </w:r>
      <w:r w:rsidRPr="00960E15">
        <w:rPr>
          <w:b/>
          <w:color w:val="000000"/>
          <w:szCs w:val="24"/>
        </w:rPr>
        <w:t xml:space="preserve"> were determined to be 36.6 μg consumed product/bee/day and 1.89 g product/kg food, respectively.</w:t>
      </w:r>
    </w:p>
    <w:bookmarkEnd w:id="1201"/>
    <w:p w14:paraId="2D4941BE" w14:textId="77777777" w:rsidR="00E51CDD" w:rsidRPr="00960E15" w:rsidRDefault="00E51CDD" w:rsidP="00E51CDD">
      <w:pPr>
        <w:widowControl w:val="0"/>
        <w:jc w:val="both"/>
        <w:rPr>
          <w:color w:val="000000"/>
          <w:szCs w:val="24"/>
        </w:rPr>
      </w:pPr>
      <w:r>
        <w:rPr>
          <w:color w:val="000000"/>
          <w:szCs w:val="24"/>
        </w:rPr>
        <w:br w:type="page"/>
      </w:r>
    </w:p>
    <w:p w14:paraId="6E6BD855" w14:textId="77777777" w:rsidR="00E51CDD" w:rsidRPr="00960E15" w:rsidRDefault="00E51CDD" w:rsidP="00E51CDD">
      <w:pPr>
        <w:widowControl w:val="0"/>
        <w:jc w:val="both"/>
        <w:rPr>
          <w:b/>
          <w:bCs/>
          <w:color w:val="000000"/>
          <w:szCs w:val="24"/>
        </w:rPr>
      </w:pPr>
      <w:r w:rsidRPr="00960E15">
        <w:rPr>
          <w:b/>
          <w:bCs/>
          <w:color w:val="000000"/>
          <w:szCs w:val="24"/>
        </w:rPr>
        <w:lastRenderedPageBreak/>
        <w:t>I.</w:t>
      </w:r>
      <w:r w:rsidRPr="00960E15">
        <w:rPr>
          <w:b/>
          <w:bCs/>
          <w:color w:val="000000"/>
          <w:szCs w:val="24"/>
        </w:rPr>
        <w:tab/>
        <w:t>MATERIAL AND METHODS</w:t>
      </w:r>
    </w:p>
    <w:p w14:paraId="3A572B91" w14:textId="77777777" w:rsidR="00E51CDD" w:rsidRPr="00960E15" w:rsidRDefault="00E51CDD" w:rsidP="00E51CDD">
      <w:pPr>
        <w:widowControl w:val="0"/>
        <w:jc w:val="both"/>
        <w:rPr>
          <w:b/>
          <w:bCs/>
          <w:color w:val="000000"/>
          <w:szCs w:val="24"/>
        </w:rPr>
      </w:pPr>
    </w:p>
    <w:p w14:paraId="3D2F28BA" w14:textId="77777777" w:rsidR="00E51CDD" w:rsidRPr="00960E15" w:rsidRDefault="00E51CDD" w:rsidP="00E51CDD">
      <w:pPr>
        <w:widowControl w:val="0"/>
        <w:jc w:val="both"/>
        <w:rPr>
          <w:b/>
          <w:bCs/>
          <w:color w:val="000000"/>
          <w:szCs w:val="24"/>
        </w:rPr>
      </w:pPr>
      <w:r w:rsidRPr="00960E15">
        <w:rPr>
          <w:b/>
          <w:bCs/>
          <w:color w:val="000000"/>
          <w:szCs w:val="24"/>
        </w:rPr>
        <w:t>A.</w:t>
      </w:r>
      <w:r w:rsidRPr="00960E15">
        <w:rPr>
          <w:b/>
          <w:bCs/>
          <w:color w:val="000000"/>
          <w:szCs w:val="24"/>
        </w:rPr>
        <w:tab/>
        <w:t>MATERIALS</w:t>
      </w:r>
    </w:p>
    <w:p w14:paraId="553A333F" w14:textId="77777777" w:rsidR="00E51CDD" w:rsidRPr="00960E15" w:rsidRDefault="00E51CDD" w:rsidP="00E51CDD">
      <w:pPr>
        <w:widowControl w:val="0"/>
        <w:jc w:val="both"/>
        <w:rPr>
          <w:color w:val="000000"/>
          <w:szCs w:val="24"/>
        </w:rPr>
      </w:pPr>
    </w:p>
    <w:p w14:paraId="34CCE343" w14:textId="77777777" w:rsidR="00E51CDD" w:rsidRPr="00960E15" w:rsidRDefault="00E51CDD" w:rsidP="00E51CDD">
      <w:pPr>
        <w:widowControl w:val="0"/>
        <w:ind w:left="2041" w:hanging="2041"/>
        <w:jc w:val="both"/>
        <w:rPr>
          <w:color w:val="000000"/>
          <w:szCs w:val="24"/>
        </w:rPr>
      </w:pPr>
      <w:r w:rsidRPr="00960E15">
        <w:rPr>
          <w:color w:val="000000"/>
          <w:szCs w:val="24"/>
        </w:rPr>
        <w:t>Test item:</w:t>
      </w:r>
      <w:r w:rsidRPr="00960E15">
        <w:rPr>
          <w:color w:val="000000"/>
          <w:szCs w:val="24"/>
        </w:rPr>
        <w:tab/>
        <w:t>BAS 736 00 F; batch no. FD-190220-0002; content of a.s.: azoxystrobin (BAS 9164 F, Reg. No. 300 254): 73.9 g/L analyzed (75.0</w:t>
      </w:r>
      <w:r w:rsidRPr="00960E15">
        <w:rPr>
          <w:rFonts w:eastAsia="Calibri"/>
          <w:lang w:eastAsia="en-US"/>
        </w:rPr>
        <w:t> </w:t>
      </w:r>
      <w:r w:rsidRPr="00960E15">
        <w:rPr>
          <w:color w:val="000000"/>
          <w:szCs w:val="24"/>
        </w:rPr>
        <w:t>g/L nominal), fluxapyroxad (BAS 700 F, Reg. No. 5 094 351): 49.4 g/L analyzed (50.0 g/L nominal); density: 1.078 g/cm³.</w:t>
      </w:r>
    </w:p>
    <w:p w14:paraId="33373FFB" w14:textId="77777777" w:rsidR="00E51CDD" w:rsidRPr="00960E15" w:rsidRDefault="00E51CDD" w:rsidP="00E51CDD">
      <w:pPr>
        <w:jc w:val="both"/>
        <w:rPr>
          <w:color w:val="0070C0"/>
          <w:szCs w:val="24"/>
        </w:rPr>
      </w:pPr>
    </w:p>
    <w:p w14:paraId="699E5453" w14:textId="77777777" w:rsidR="00E51CDD" w:rsidRPr="00960E15" w:rsidRDefault="00E51CDD" w:rsidP="00E51CDD">
      <w:pPr>
        <w:widowControl w:val="0"/>
        <w:jc w:val="both"/>
        <w:rPr>
          <w:color w:val="0070C0"/>
          <w:szCs w:val="24"/>
        </w:rPr>
      </w:pPr>
    </w:p>
    <w:p w14:paraId="7A15F3AD" w14:textId="77777777" w:rsidR="00E51CDD" w:rsidRPr="00960E15" w:rsidRDefault="00E51CDD" w:rsidP="00E51CDD">
      <w:pPr>
        <w:widowControl w:val="0"/>
        <w:jc w:val="both"/>
        <w:rPr>
          <w:b/>
          <w:bCs/>
          <w:color w:val="000000"/>
          <w:szCs w:val="24"/>
        </w:rPr>
      </w:pPr>
      <w:r w:rsidRPr="00960E15">
        <w:rPr>
          <w:b/>
          <w:bCs/>
          <w:color w:val="000000"/>
          <w:szCs w:val="24"/>
        </w:rPr>
        <w:t>B.</w:t>
      </w:r>
      <w:r w:rsidRPr="00960E15">
        <w:rPr>
          <w:b/>
          <w:bCs/>
          <w:color w:val="000000"/>
          <w:szCs w:val="24"/>
        </w:rPr>
        <w:tab/>
        <w:t>STUDY DESIGN</w:t>
      </w:r>
    </w:p>
    <w:p w14:paraId="373239E5" w14:textId="77777777" w:rsidR="00E51CDD" w:rsidRPr="00960E15" w:rsidRDefault="00E51CDD" w:rsidP="00E51CDD">
      <w:pPr>
        <w:widowControl w:val="0"/>
        <w:jc w:val="both"/>
        <w:rPr>
          <w:color w:val="000000"/>
          <w:szCs w:val="24"/>
        </w:rPr>
      </w:pPr>
    </w:p>
    <w:p w14:paraId="1CE3DE62" w14:textId="77777777" w:rsidR="00E51CDD" w:rsidRPr="00960E15" w:rsidRDefault="00E51CDD" w:rsidP="00E51CDD">
      <w:pPr>
        <w:widowControl w:val="0"/>
        <w:ind w:left="2041" w:hanging="2041"/>
        <w:jc w:val="both"/>
        <w:rPr>
          <w:color w:val="000000"/>
          <w:szCs w:val="24"/>
        </w:rPr>
      </w:pPr>
      <w:r w:rsidRPr="00960E15">
        <w:rPr>
          <w:color w:val="000000"/>
          <w:szCs w:val="24"/>
        </w:rPr>
        <w:t>Test species:</w:t>
      </w:r>
      <w:r w:rsidRPr="00960E15">
        <w:rPr>
          <w:color w:val="000000"/>
          <w:szCs w:val="24"/>
        </w:rPr>
        <w:tab/>
        <w:t>Honey bee (</w:t>
      </w:r>
      <w:r w:rsidRPr="00960E15">
        <w:rPr>
          <w:i/>
          <w:color w:val="000000"/>
          <w:szCs w:val="24"/>
        </w:rPr>
        <w:t>Apis mellifera</w:t>
      </w:r>
      <w:r w:rsidRPr="00960E15">
        <w:rPr>
          <w:color w:val="000000"/>
          <w:szCs w:val="24"/>
        </w:rPr>
        <w:t xml:space="preserve"> L.), max. 2-day old bees; derived from healthy and queen-right colonies; source: test facility own stock.</w:t>
      </w:r>
    </w:p>
    <w:p w14:paraId="6CD7276C" w14:textId="77777777" w:rsidR="00E51CDD" w:rsidRPr="00960E15" w:rsidRDefault="00E51CDD" w:rsidP="00E51CDD">
      <w:pPr>
        <w:widowControl w:val="0"/>
        <w:ind w:left="2041" w:hanging="2041"/>
        <w:jc w:val="both"/>
        <w:rPr>
          <w:color w:val="000000"/>
          <w:szCs w:val="24"/>
        </w:rPr>
      </w:pPr>
    </w:p>
    <w:p w14:paraId="15104190" w14:textId="77777777" w:rsidR="00E51CDD" w:rsidRPr="00960E15" w:rsidRDefault="00E51CDD" w:rsidP="00E51CDD">
      <w:pPr>
        <w:widowControl w:val="0"/>
        <w:ind w:left="2041" w:hanging="2041"/>
        <w:jc w:val="both"/>
        <w:rPr>
          <w:color w:val="000000"/>
          <w:szCs w:val="24"/>
        </w:rPr>
      </w:pPr>
      <w:r w:rsidRPr="00960E15">
        <w:rPr>
          <w:color w:val="000000"/>
          <w:szCs w:val="24"/>
        </w:rPr>
        <w:t>Test design:</w:t>
      </w:r>
      <w:r w:rsidRPr="00960E15">
        <w:rPr>
          <w:color w:val="000000"/>
          <w:szCs w:val="24"/>
        </w:rPr>
        <w:tab/>
        <w:t xml:space="preserve">In a 10-day chronic test, young adults of </w:t>
      </w:r>
      <w:r w:rsidRPr="00960E15">
        <w:rPr>
          <w:i/>
          <w:iCs/>
          <w:color w:val="000000"/>
          <w:szCs w:val="24"/>
        </w:rPr>
        <w:t>Apis mellifera</w:t>
      </w:r>
      <w:r w:rsidRPr="00960E15">
        <w:rPr>
          <w:color w:val="000000"/>
          <w:szCs w:val="24"/>
        </w:rPr>
        <w:t xml:space="preserve"> L. were exposed daily to 5 doses of BAS 736 00 F in treated food (50% (w/v) aqueous sucrose solution). The following treatment groups were set up: 5 doses of the test item, one untreated control group fed with 50% (w/v) aqueous sucrose solution and one dose of the reference item with 4 replicates per dose and 10 bees per replicate. Assessments of bee mortality, food consumption and behavioral effects were done daily during the study. </w:t>
      </w:r>
    </w:p>
    <w:p w14:paraId="2BAFF75F" w14:textId="77777777" w:rsidR="00E51CDD" w:rsidRPr="00960E15" w:rsidRDefault="00E51CDD" w:rsidP="00E51CDD">
      <w:pPr>
        <w:widowControl w:val="0"/>
        <w:ind w:left="2041" w:hanging="2041"/>
        <w:jc w:val="both"/>
        <w:rPr>
          <w:color w:val="000000"/>
          <w:szCs w:val="24"/>
        </w:rPr>
      </w:pPr>
    </w:p>
    <w:p w14:paraId="18B1CAFC" w14:textId="77777777" w:rsidR="00E51CDD" w:rsidRPr="00960E15" w:rsidRDefault="00E51CDD" w:rsidP="00E51CDD">
      <w:pPr>
        <w:widowControl w:val="0"/>
        <w:ind w:left="2041" w:hanging="2041"/>
        <w:jc w:val="both"/>
        <w:rPr>
          <w:color w:val="000000"/>
          <w:szCs w:val="24"/>
        </w:rPr>
      </w:pPr>
      <w:r w:rsidRPr="00960E15">
        <w:rPr>
          <w:color w:val="000000"/>
          <w:szCs w:val="24"/>
        </w:rPr>
        <w:t>Endpoint:</w:t>
      </w:r>
      <w:r w:rsidRPr="00960E15">
        <w:rPr>
          <w:color w:val="000000"/>
          <w:szCs w:val="24"/>
        </w:rPr>
        <w:tab/>
        <w:t>Mortality (LDD</w:t>
      </w:r>
      <w:r w:rsidRPr="00960E15">
        <w:rPr>
          <w:color w:val="000000"/>
          <w:szCs w:val="24"/>
          <w:vertAlign w:val="subscript"/>
        </w:rPr>
        <w:t>10/20/50</w:t>
      </w:r>
      <w:r w:rsidRPr="00960E15">
        <w:rPr>
          <w:color w:val="000000"/>
          <w:szCs w:val="24"/>
        </w:rPr>
        <w:t>, LC</w:t>
      </w:r>
      <w:r w:rsidRPr="00960E15">
        <w:rPr>
          <w:color w:val="000000"/>
          <w:szCs w:val="24"/>
          <w:vertAlign w:val="subscript"/>
        </w:rPr>
        <w:t>10/20/50</w:t>
      </w:r>
      <w:r w:rsidRPr="00960E15">
        <w:rPr>
          <w:color w:val="000000"/>
          <w:szCs w:val="24"/>
        </w:rPr>
        <w:t>, NOEDD, NOEC, LOEDD, LOEC), behavioral abnormalities.</w:t>
      </w:r>
    </w:p>
    <w:p w14:paraId="77C4E65B" w14:textId="77777777" w:rsidR="00E51CDD" w:rsidRPr="00960E15" w:rsidRDefault="00E51CDD" w:rsidP="00E51CDD">
      <w:pPr>
        <w:widowControl w:val="0"/>
        <w:jc w:val="both"/>
        <w:rPr>
          <w:color w:val="0070C0"/>
          <w:szCs w:val="24"/>
        </w:rPr>
      </w:pPr>
    </w:p>
    <w:p w14:paraId="57C635D5" w14:textId="77777777" w:rsidR="00E51CDD" w:rsidRPr="00960E15" w:rsidRDefault="00E51CDD" w:rsidP="00E51CDD">
      <w:pPr>
        <w:widowControl w:val="0"/>
        <w:ind w:left="2041" w:hanging="2041"/>
        <w:jc w:val="both"/>
        <w:rPr>
          <w:color w:val="000000"/>
          <w:szCs w:val="24"/>
        </w:rPr>
      </w:pPr>
      <w:r w:rsidRPr="00960E15">
        <w:rPr>
          <w:color w:val="000000"/>
          <w:szCs w:val="24"/>
        </w:rPr>
        <w:t>Reference item:</w:t>
      </w:r>
      <w:r w:rsidRPr="00960E15">
        <w:rPr>
          <w:color w:val="000000"/>
          <w:szCs w:val="24"/>
        </w:rPr>
        <w:tab/>
        <w:t>BAS 152 65 I (a.s.: dimethoate, analyzed content: 412 g/L, nominal: 400 g/L).</w:t>
      </w:r>
    </w:p>
    <w:p w14:paraId="6A0C011F" w14:textId="77777777" w:rsidR="00E51CDD" w:rsidRPr="00960E15" w:rsidRDefault="00E51CDD" w:rsidP="00E51CDD">
      <w:pPr>
        <w:widowControl w:val="0"/>
        <w:jc w:val="both"/>
        <w:rPr>
          <w:color w:val="0070C0"/>
          <w:szCs w:val="24"/>
        </w:rPr>
      </w:pPr>
    </w:p>
    <w:p w14:paraId="6993ECCF" w14:textId="77777777" w:rsidR="00E51CDD" w:rsidRPr="00960E15" w:rsidRDefault="00E51CDD" w:rsidP="00E51CDD">
      <w:pPr>
        <w:widowControl w:val="0"/>
        <w:ind w:left="2041" w:hanging="2041"/>
        <w:jc w:val="both"/>
        <w:rPr>
          <w:color w:val="000000"/>
          <w:szCs w:val="24"/>
        </w:rPr>
      </w:pPr>
      <w:r w:rsidRPr="00960E15">
        <w:rPr>
          <w:color w:val="000000"/>
          <w:szCs w:val="24"/>
        </w:rPr>
        <w:t>Test concentrations:</w:t>
      </w:r>
      <w:r w:rsidRPr="00960E15">
        <w:rPr>
          <w:color w:val="000000"/>
          <w:szCs w:val="24"/>
        </w:rPr>
        <w:tab/>
        <w:t>Control: 50% (w/v) aqueous sucrose solution;</w:t>
      </w:r>
    </w:p>
    <w:p w14:paraId="6AF0A646" w14:textId="77777777" w:rsidR="00E51CDD" w:rsidRPr="00960E15" w:rsidRDefault="00E51CDD" w:rsidP="00E51CDD">
      <w:pPr>
        <w:widowControl w:val="0"/>
        <w:ind w:left="2041"/>
        <w:jc w:val="both"/>
        <w:rPr>
          <w:color w:val="000000"/>
          <w:szCs w:val="24"/>
        </w:rPr>
      </w:pPr>
      <w:r w:rsidRPr="00960E15">
        <w:rPr>
          <w:color w:val="000000"/>
          <w:szCs w:val="24"/>
        </w:rPr>
        <w:t>Test item (applied in 50% (w/v) sucrose solution):</w:t>
      </w:r>
    </w:p>
    <w:tbl>
      <w:tblPr>
        <w:tblStyle w:val="DAR0078"/>
        <w:tblW w:w="4105" w:type="pct"/>
        <w:tblInd w:w="1980" w:type="dxa"/>
        <w:tblLook w:val="04A0" w:firstRow="1" w:lastRow="0" w:firstColumn="1" w:lastColumn="0" w:noHBand="0" w:noVBand="1"/>
      </w:tblPr>
      <w:tblGrid>
        <w:gridCol w:w="1384"/>
        <w:gridCol w:w="1316"/>
        <w:gridCol w:w="1149"/>
        <w:gridCol w:w="7"/>
        <w:gridCol w:w="1360"/>
        <w:gridCol w:w="1316"/>
        <w:gridCol w:w="1131"/>
        <w:gridCol w:w="8"/>
      </w:tblGrid>
      <w:tr w:rsidR="00E51CDD" w:rsidRPr="00960E15" w14:paraId="15F51137" w14:textId="77777777" w:rsidTr="009938D9">
        <w:trPr>
          <w:trHeight w:val="247"/>
        </w:trPr>
        <w:tc>
          <w:tcPr>
            <w:tcW w:w="2514" w:type="pct"/>
            <w:gridSpan w:val="4"/>
            <w:vAlign w:val="center"/>
          </w:tcPr>
          <w:p w14:paraId="2D27CCE8" w14:textId="77777777" w:rsidR="00E51CDD" w:rsidRPr="00960E15" w:rsidRDefault="00E51CDD" w:rsidP="009938D9">
            <w:pPr>
              <w:widowControl w:val="0"/>
              <w:rPr>
                <w:color w:val="000000"/>
                <w:sz w:val="20"/>
                <w:szCs w:val="24"/>
              </w:rPr>
            </w:pPr>
            <w:r w:rsidRPr="00960E15">
              <w:rPr>
                <w:color w:val="000000"/>
                <w:sz w:val="20"/>
                <w:szCs w:val="24"/>
              </w:rPr>
              <w:t>Nominal dose [µg/bee/day]</w:t>
            </w:r>
          </w:p>
        </w:tc>
        <w:tc>
          <w:tcPr>
            <w:tcW w:w="2486" w:type="pct"/>
            <w:gridSpan w:val="4"/>
            <w:vAlign w:val="center"/>
          </w:tcPr>
          <w:p w14:paraId="6AECB553" w14:textId="77777777" w:rsidR="00E51CDD" w:rsidRPr="00960E15" w:rsidRDefault="00E51CDD" w:rsidP="009938D9">
            <w:pPr>
              <w:widowControl w:val="0"/>
              <w:rPr>
                <w:color w:val="000000"/>
                <w:sz w:val="20"/>
                <w:szCs w:val="24"/>
              </w:rPr>
            </w:pPr>
            <w:r w:rsidRPr="00960E15">
              <w:rPr>
                <w:color w:val="000000"/>
                <w:sz w:val="20"/>
                <w:szCs w:val="24"/>
              </w:rPr>
              <w:t>Consumed dose [µg/bee/day]</w:t>
            </w:r>
          </w:p>
        </w:tc>
      </w:tr>
      <w:tr w:rsidR="00E51CDD" w:rsidRPr="00960E15" w14:paraId="4BEEC44B" w14:textId="77777777" w:rsidTr="009938D9">
        <w:trPr>
          <w:gridAfter w:val="1"/>
          <w:wAfter w:w="4" w:type="pct"/>
          <w:trHeight w:val="247"/>
        </w:trPr>
        <w:tc>
          <w:tcPr>
            <w:tcW w:w="903" w:type="pct"/>
            <w:vAlign w:val="center"/>
          </w:tcPr>
          <w:p w14:paraId="75A2195C" w14:textId="77777777" w:rsidR="00E51CDD" w:rsidRPr="00960E15" w:rsidRDefault="00E51CDD" w:rsidP="009938D9">
            <w:pPr>
              <w:widowControl w:val="0"/>
              <w:rPr>
                <w:color w:val="000000"/>
                <w:sz w:val="20"/>
                <w:szCs w:val="24"/>
              </w:rPr>
            </w:pPr>
            <w:r w:rsidRPr="00960E15">
              <w:rPr>
                <w:color w:val="000000"/>
                <w:sz w:val="20"/>
                <w:szCs w:val="24"/>
              </w:rPr>
              <w:t>BAS 736 00 F</w:t>
            </w:r>
          </w:p>
        </w:tc>
        <w:tc>
          <w:tcPr>
            <w:tcW w:w="858" w:type="pct"/>
            <w:vAlign w:val="center"/>
          </w:tcPr>
          <w:p w14:paraId="66B3C8F8" w14:textId="77777777" w:rsidR="00E51CDD" w:rsidRPr="00960E15" w:rsidRDefault="00E51CDD" w:rsidP="009938D9">
            <w:pPr>
              <w:widowControl w:val="0"/>
              <w:rPr>
                <w:color w:val="000000"/>
                <w:sz w:val="20"/>
                <w:szCs w:val="24"/>
              </w:rPr>
            </w:pPr>
            <w:r w:rsidRPr="00960E15">
              <w:rPr>
                <w:color w:val="000000"/>
                <w:sz w:val="20"/>
                <w:szCs w:val="24"/>
              </w:rPr>
              <w:t>BAS 9164 F</w:t>
            </w:r>
          </w:p>
        </w:tc>
        <w:tc>
          <w:tcPr>
            <w:tcW w:w="749" w:type="pct"/>
            <w:vAlign w:val="center"/>
          </w:tcPr>
          <w:p w14:paraId="1A31B753" w14:textId="77777777" w:rsidR="00E51CDD" w:rsidRPr="00960E15" w:rsidRDefault="00E51CDD" w:rsidP="009938D9">
            <w:pPr>
              <w:widowControl w:val="0"/>
              <w:rPr>
                <w:color w:val="000000"/>
                <w:sz w:val="20"/>
                <w:szCs w:val="24"/>
              </w:rPr>
            </w:pPr>
            <w:r w:rsidRPr="00960E15">
              <w:rPr>
                <w:color w:val="000000"/>
                <w:sz w:val="20"/>
                <w:szCs w:val="24"/>
              </w:rPr>
              <w:t>BAS 700 F</w:t>
            </w:r>
          </w:p>
        </w:tc>
        <w:tc>
          <w:tcPr>
            <w:tcW w:w="890" w:type="pct"/>
            <w:gridSpan w:val="2"/>
            <w:vAlign w:val="center"/>
          </w:tcPr>
          <w:p w14:paraId="0052ADD8" w14:textId="77777777" w:rsidR="00E51CDD" w:rsidRPr="00960E15" w:rsidRDefault="00E51CDD" w:rsidP="009938D9">
            <w:pPr>
              <w:widowControl w:val="0"/>
              <w:rPr>
                <w:color w:val="000000"/>
                <w:sz w:val="20"/>
                <w:szCs w:val="24"/>
              </w:rPr>
            </w:pPr>
            <w:r w:rsidRPr="00960E15">
              <w:rPr>
                <w:color w:val="000000"/>
                <w:sz w:val="20"/>
                <w:szCs w:val="24"/>
              </w:rPr>
              <w:t>BAS 736 00 F</w:t>
            </w:r>
          </w:p>
        </w:tc>
        <w:tc>
          <w:tcPr>
            <w:tcW w:w="858" w:type="pct"/>
            <w:vAlign w:val="center"/>
          </w:tcPr>
          <w:p w14:paraId="7EE3DDE7" w14:textId="77777777" w:rsidR="00E51CDD" w:rsidRPr="00960E15" w:rsidRDefault="00E51CDD" w:rsidP="009938D9">
            <w:pPr>
              <w:widowControl w:val="0"/>
              <w:rPr>
                <w:color w:val="000000"/>
                <w:sz w:val="20"/>
                <w:szCs w:val="24"/>
              </w:rPr>
            </w:pPr>
            <w:r w:rsidRPr="00960E15">
              <w:rPr>
                <w:color w:val="000000"/>
                <w:sz w:val="20"/>
                <w:szCs w:val="24"/>
              </w:rPr>
              <w:t>BAS 9164 F</w:t>
            </w:r>
          </w:p>
        </w:tc>
        <w:tc>
          <w:tcPr>
            <w:tcW w:w="737" w:type="pct"/>
            <w:vAlign w:val="center"/>
          </w:tcPr>
          <w:p w14:paraId="06C4EE18" w14:textId="77777777" w:rsidR="00E51CDD" w:rsidRPr="00960E15" w:rsidRDefault="00E51CDD" w:rsidP="009938D9">
            <w:pPr>
              <w:widowControl w:val="0"/>
              <w:rPr>
                <w:color w:val="000000"/>
                <w:sz w:val="20"/>
                <w:szCs w:val="24"/>
              </w:rPr>
            </w:pPr>
            <w:r w:rsidRPr="00960E15">
              <w:rPr>
                <w:color w:val="000000"/>
                <w:sz w:val="20"/>
                <w:szCs w:val="24"/>
              </w:rPr>
              <w:t>BAS 700 F</w:t>
            </w:r>
          </w:p>
        </w:tc>
      </w:tr>
      <w:tr w:rsidR="00E51CDD" w:rsidRPr="00960E15" w14:paraId="13303319" w14:textId="77777777" w:rsidTr="009938D9">
        <w:trPr>
          <w:gridAfter w:val="1"/>
          <w:wAfter w:w="4" w:type="pct"/>
          <w:trHeight w:val="247"/>
        </w:trPr>
        <w:tc>
          <w:tcPr>
            <w:tcW w:w="903" w:type="pct"/>
            <w:vAlign w:val="center"/>
          </w:tcPr>
          <w:p w14:paraId="21ED4638" w14:textId="77777777" w:rsidR="00E51CDD" w:rsidRPr="00960E15" w:rsidRDefault="00E51CDD" w:rsidP="009938D9">
            <w:pPr>
              <w:widowControl w:val="0"/>
              <w:rPr>
                <w:color w:val="000000"/>
                <w:sz w:val="20"/>
                <w:szCs w:val="24"/>
              </w:rPr>
            </w:pPr>
            <w:r w:rsidRPr="00960E15">
              <w:rPr>
                <w:color w:val="000000"/>
                <w:sz w:val="20"/>
                <w:szCs w:val="24"/>
              </w:rPr>
              <w:t>25.0</w:t>
            </w:r>
          </w:p>
        </w:tc>
        <w:tc>
          <w:tcPr>
            <w:tcW w:w="858" w:type="pct"/>
            <w:vAlign w:val="center"/>
          </w:tcPr>
          <w:p w14:paraId="26AB8512" w14:textId="77777777" w:rsidR="00E51CDD" w:rsidRPr="00960E15" w:rsidRDefault="00E51CDD" w:rsidP="009938D9">
            <w:pPr>
              <w:widowControl w:val="0"/>
              <w:rPr>
                <w:color w:val="000000"/>
                <w:sz w:val="20"/>
                <w:szCs w:val="24"/>
              </w:rPr>
            </w:pPr>
            <w:r w:rsidRPr="00960E15">
              <w:rPr>
                <w:color w:val="000000"/>
                <w:sz w:val="20"/>
                <w:szCs w:val="24"/>
              </w:rPr>
              <w:t>1.74</w:t>
            </w:r>
          </w:p>
        </w:tc>
        <w:tc>
          <w:tcPr>
            <w:tcW w:w="749" w:type="pct"/>
            <w:vAlign w:val="center"/>
          </w:tcPr>
          <w:p w14:paraId="1D1CDC42" w14:textId="77777777" w:rsidR="00E51CDD" w:rsidRPr="00960E15" w:rsidRDefault="00E51CDD" w:rsidP="009938D9">
            <w:pPr>
              <w:widowControl w:val="0"/>
              <w:rPr>
                <w:color w:val="000000"/>
                <w:sz w:val="20"/>
                <w:szCs w:val="24"/>
              </w:rPr>
            </w:pPr>
            <w:r w:rsidRPr="00960E15">
              <w:rPr>
                <w:color w:val="000000"/>
                <w:sz w:val="20"/>
                <w:szCs w:val="24"/>
              </w:rPr>
              <w:t>1.16</w:t>
            </w:r>
          </w:p>
        </w:tc>
        <w:tc>
          <w:tcPr>
            <w:tcW w:w="890" w:type="pct"/>
            <w:gridSpan w:val="2"/>
            <w:vAlign w:val="center"/>
          </w:tcPr>
          <w:p w14:paraId="773A85D9" w14:textId="77777777" w:rsidR="00E51CDD" w:rsidRPr="00960E15" w:rsidRDefault="00E51CDD" w:rsidP="009938D9">
            <w:pPr>
              <w:widowControl w:val="0"/>
              <w:rPr>
                <w:color w:val="000000"/>
                <w:sz w:val="20"/>
                <w:szCs w:val="24"/>
              </w:rPr>
            </w:pPr>
            <w:r w:rsidRPr="00960E15">
              <w:rPr>
                <w:color w:val="000000"/>
                <w:sz w:val="20"/>
                <w:szCs w:val="24"/>
              </w:rPr>
              <w:t>19.2</w:t>
            </w:r>
          </w:p>
        </w:tc>
        <w:tc>
          <w:tcPr>
            <w:tcW w:w="858" w:type="pct"/>
            <w:vAlign w:val="center"/>
          </w:tcPr>
          <w:p w14:paraId="1B2DC6AD" w14:textId="77777777" w:rsidR="00E51CDD" w:rsidRPr="00960E15" w:rsidRDefault="00E51CDD" w:rsidP="009938D9">
            <w:pPr>
              <w:widowControl w:val="0"/>
              <w:rPr>
                <w:color w:val="000000"/>
                <w:sz w:val="20"/>
                <w:szCs w:val="24"/>
              </w:rPr>
            </w:pPr>
            <w:r w:rsidRPr="00960E15">
              <w:rPr>
                <w:color w:val="000000"/>
                <w:sz w:val="20"/>
                <w:szCs w:val="24"/>
              </w:rPr>
              <w:t>1.34</w:t>
            </w:r>
          </w:p>
        </w:tc>
        <w:tc>
          <w:tcPr>
            <w:tcW w:w="737" w:type="pct"/>
            <w:vAlign w:val="center"/>
          </w:tcPr>
          <w:p w14:paraId="462BA39A" w14:textId="77777777" w:rsidR="00E51CDD" w:rsidRPr="00960E15" w:rsidRDefault="00E51CDD" w:rsidP="009938D9">
            <w:pPr>
              <w:widowControl w:val="0"/>
              <w:rPr>
                <w:color w:val="000000"/>
                <w:sz w:val="20"/>
                <w:szCs w:val="24"/>
              </w:rPr>
            </w:pPr>
            <w:r w:rsidRPr="00960E15">
              <w:rPr>
                <w:color w:val="000000"/>
                <w:sz w:val="20"/>
                <w:szCs w:val="24"/>
              </w:rPr>
              <w:t>0.891</w:t>
            </w:r>
          </w:p>
        </w:tc>
      </w:tr>
      <w:tr w:rsidR="00E51CDD" w:rsidRPr="00960E15" w14:paraId="5E721D13" w14:textId="77777777" w:rsidTr="009938D9">
        <w:trPr>
          <w:gridAfter w:val="1"/>
          <w:wAfter w:w="4" w:type="pct"/>
          <w:trHeight w:val="247"/>
        </w:trPr>
        <w:tc>
          <w:tcPr>
            <w:tcW w:w="903" w:type="pct"/>
            <w:vAlign w:val="center"/>
          </w:tcPr>
          <w:p w14:paraId="3B250BFE" w14:textId="77777777" w:rsidR="00E51CDD" w:rsidRPr="00960E15" w:rsidRDefault="00E51CDD" w:rsidP="009938D9">
            <w:pPr>
              <w:widowControl w:val="0"/>
              <w:rPr>
                <w:color w:val="000000"/>
                <w:sz w:val="20"/>
                <w:szCs w:val="24"/>
              </w:rPr>
            </w:pPr>
            <w:r w:rsidRPr="00960E15">
              <w:rPr>
                <w:color w:val="000000"/>
                <w:sz w:val="20"/>
                <w:szCs w:val="24"/>
              </w:rPr>
              <w:t>50.0</w:t>
            </w:r>
          </w:p>
        </w:tc>
        <w:tc>
          <w:tcPr>
            <w:tcW w:w="858" w:type="pct"/>
            <w:vAlign w:val="center"/>
          </w:tcPr>
          <w:p w14:paraId="1749D4CF" w14:textId="77777777" w:rsidR="00E51CDD" w:rsidRPr="00960E15" w:rsidRDefault="00E51CDD" w:rsidP="009938D9">
            <w:pPr>
              <w:widowControl w:val="0"/>
              <w:rPr>
                <w:color w:val="000000"/>
                <w:sz w:val="20"/>
                <w:szCs w:val="24"/>
              </w:rPr>
            </w:pPr>
            <w:r w:rsidRPr="00960E15">
              <w:rPr>
                <w:color w:val="000000"/>
                <w:sz w:val="20"/>
                <w:szCs w:val="24"/>
              </w:rPr>
              <w:t>3.48</w:t>
            </w:r>
          </w:p>
        </w:tc>
        <w:tc>
          <w:tcPr>
            <w:tcW w:w="749" w:type="pct"/>
            <w:vAlign w:val="center"/>
          </w:tcPr>
          <w:p w14:paraId="0675D242" w14:textId="77777777" w:rsidR="00E51CDD" w:rsidRPr="00960E15" w:rsidRDefault="00E51CDD" w:rsidP="009938D9">
            <w:pPr>
              <w:widowControl w:val="0"/>
              <w:rPr>
                <w:color w:val="000000"/>
                <w:sz w:val="20"/>
                <w:szCs w:val="24"/>
              </w:rPr>
            </w:pPr>
            <w:r w:rsidRPr="00960E15">
              <w:rPr>
                <w:color w:val="000000"/>
                <w:sz w:val="20"/>
                <w:szCs w:val="24"/>
              </w:rPr>
              <w:t>2.32</w:t>
            </w:r>
          </w:p>
        </w:tc>
        <w:tc>
          <w:tcPr>
            <w:tcW w:w="890" w:type="pct"/>
            <w:gridSpan w:val="2"/>
            <w:vAlign w:val="center"/>
          </w:tcPr>
          <w:p w14:paraId="710FE545" w14:textId="77777777" w:rsidR="00E51CDD" w:rsidRPr="00960E15" w:rsidRDefault="00E51CDD" w:rsidP="009938D9">
            <w:pPr>
              <w:widowControl w:val="0"/>
              <w:rPr>
                <w:color w:val="000000"/>
                <w:sz w:val="20"/>
                <w:szCs w:val="24"/>
              </w:rPr>
            </w:pPr>
            <w:r w:rsidRPr="00960E15">
              <w:rPr>
                <w:color w:val="000000"/>
                <w:sz w:val="20"/>
                <w:szCs w:val="24"/>
              </w:rPr>
              <w:t>28.3</w:t>
            </w:r>
          </w:p>
        </w:tc>
        <w:tc>
          <w:tcPr>
            <w:tcW w:w="858" w:type="pct"/>
            <w:vAlign w:val="center"/>
          </w:tcPr>
          <w:p w14:paraId="09DB8A38" w14:textId="77777777" w:rsidR="00E51CDD" w:rsidRPr="00960E15" w:rsidRDefault="00E51CDD" w:rsidP="009938D9">
            <w:pPr>
              <w:widowControl w:val="0"/>
              <w:rPr>
                <w:color w:val="000000"/>
                <w:sz w:val="20"/>
                <w:szCs w:val="24"/>
              </w:rPr>
            </w:pPr>
            <w:r w:rsidRPr="00960E15">
              <w:rPr>
                <w:color w:val="000000"/>
                <w:sz w:val="20"/>
                <w:szCs w:val="24"/>
              </w:rPr>
              <w:t>1.97</w:t>
            </w:r>
          </w:p>
        </w:tc>
        <w:tc>
          <w:tcPr>
            <w:tcW w:w="737" w:type="pct"/>
            <w:vAlign w:val="center"/>
          </w:tcPr>
          <w:p w14:paraId="46524D73" w14:textId="77777777" w:rsidR="00E51CDD" w:rsidRPr="00960E15" w:rsidRDefault="00E51CDD" w:rsidP="009938D9">
            <w:pPr>
              <w:widowControl w:val="0"/>
              <w:rPr>
                <w:color w:val="000000"/>
                <w:sz w:val="20"/>
                <w:szCs w:val="24"/>
              </w:rPr>
            </w:pPr>
            <w:r w:rsidRPr="00960E15">
              <w:rPr>
                <w:color w:val="000000"/>
                <w:sz w:val="20"/>
                <w:szCs w:val="24"/>
              </w:rPr>
              <w:t>1.31</w:t>
            </w:r>
          </w:p>
        </w:tc>
      </w:tr>
      <w:tr w:rsidR="00E51CDD" w:rsidRPr="00960E15" w14:paraId="7F9F8086" w14:textId="77777777" w:rsidTr="009938D9">
        <w:trPr>
          <w:gridAfter w:val="1"/>
          <w:wAfter w:w="4" w:type="pct"/>
          <w:trHeight w:val="247"/>
        </w:trPr>
        <w:tc>
          <w:tcPr>
            <w:tcW w:w="903" w:type="pct"/>
            <w:vAlign w:val="center"/>
          </w:tcPr>
          <w:p w14:paraId="5AD25C1C" w14:textId="77777777" w:rsidR="00E51CDD" w:rsidRPr="00960E15" w:rsidRDefault="00E51CDD" w:rsidP="009938D9">
            <w:pPr>
              <w:widowControl w:val="0"/>
              <w:rPr>
                <w:color w:val="000000"/>
                <w:sz w:val="20"/>
                <w:szCs w:val="24"/>
              </w:rPr>
            </w:pPr>
            <w:r w:rsidRPr="00960E15">
              <w:rPr>
                <w:color w:val="000000"/>
                <w:sz w:val="20"/>
                <w:szCs w:val="24"/>
              </w:rPr>
              <w:t>100</w:t>
            </w:r>
          </w:p>
        </w:tc>
        <w:tc>
          <w:tcPr>
            <w:tcW w:w="858" w:type="pct"/>
            <w:vAlign w:val="center"/>
          </w:tcPr>
          <w:p w14:paraId="532481D3" w14:textId="77777777" w:rsidR="00E51CDD" w:rsidRPr="00960E15" w:rsidRDefault="00E51CDD" w:rsidP="009938D9">
            <w:pPr>
              <w:widowControl w:val="0"/>
              <w:rPr>
                <w:color w:val="000000"/>
                <w:sz w:val="20"/>
                <w:szCs w:val="24"/>
              </w:rPr>
            </w:pPr>
            <w:r w:rsidRPr="00960E15">
              <w:rPr>
                <w:color w:val="000000"/>
                <w:sz w:val="20"/>
                <w:szCs w:val="24"/>
              </w:rPr>
              <w:t>6.96</w:t>
            </w:r>
          </w:p>
        </w:tc>
        <w:tc>
          <w:tcPr>
            <w:tcW w:w="749" w:type="pct"/>
            <w:vAlign w:val="center"/>
          </w:tcPr>
          <w:p w14:paraId="3A956BD2" w14:textId="77777777" w:rsidR="00E51CDD" w:rsidRPr="00960E15" w:rsidRDefault="00E51CDD" w:rsidP="009938D9">
            <w:pPr>
              <w:widowControl w:val="0"/>
              <w:rPr>
                <w:color w:val="000000"/>
                <w:sz w:val="20"/>
                <w:szCs w:val="24"/>
              </w:rPr>
            </w:pPr>
            <w:r w:rsidRPr="00960E15">
              <w:rPr>
                <w:color w:val="000000"/>
                <w:sz w:val="20"/>
                <w:szCs w:val="24"/>
              </w:rPr>
              <w:t>4.64</w:t>
            </w:r>
          </w:p>
        </w:tc>
        <w:tc>
          <w:tcPr>
            <w:tcW w:w="890" w:type="pct"/>
            <w:gridSpan w:val="2"/>
            <w:vAlign w:val="center"/>
          </w:tcPr>
          <w:p w14:paraId="11562DE9" w14:textId="77777777" w:rsidR="00E51CDD" w:rsidRPr="00960E15" w:rsidRDefault="00E51CDD" w:rsidP="009938D9">
            <w:pPr>
              <w:widowControl w:val="0"/>
              <w:rPr>
                <w:color w:val="000000"/>
                <w:sz w:val="20"/>
                <w:szCs w:val="24"/>
              </w:rPr>
            </w:pPr>
            <w:r w:rsidRPr="00960E15">
              <w:rPr>
                <w:color w:val="000000"/>
                <w:sz w:val="20"/>
                <w:szCs w:val="24"/>
              </w:rPr>
              <w:t>40.7</w:t>
            </w:r>
          </w:p>
        </w:tc>
        <w:tc>
          <w:tcPr>
            <w:tcW w:w="858" w:type="pct"/>
            <w:vAlign w:val="center"/>
          </w:tcPr>
          <w:p w14:paraId="322BF639" w14:textId="77777777" w:rsidR="00E51CDD" w:rsidRPr="00960E15" w:rsidRDefault="00E51CDD" w:rsidP="009938D9">
            <w:pPr>
              <w:widowControl w:val="0"/>
              <w:rPr>
                <w:color w:val="000000"/>
                <w:sz w:val="20"/>
                <w:szCs w:val="24"/>
              </w:rPr>
            </w:pPr>
            <w:r w:rsidRPr="00960E15">
              <w:rPr>
                <w:color w:val="000000"/>
                <w:sz w:val="20"/>
                <w:szCs w:val="24"/>
              </w:rPr>
              <w:t>2.83</w:t>
            </w:r>
          </w:p>
        </w:tc>
        <w:tc>
          <w:tcPr>
            <w:tcW w:w="737" w:type="pct"/>
            <w:vAlign w:val="center"/>
          </w:tcPr>
          <w:p w14:paraId="5B91B37C" w14:textId="77777777" w:rsidR="00E51CDD" w:rsidRPr="00960E15" w:rsidRDefault="00E51CDD" w:rsidP="009938D9">
            <w:pPr>
              <w:widowControl w:val="0"/>
              <w:rPr>
                <w:color w:val="000000"/>
                <w:sz w:val="20"/>
                <w:szCs w:val="24"/>
              </w:rPr>
            </w:pPr>
            <w:r w:rsidRPr="00960E15">
              <w:rPr>
                <w:color w:val="000000"/>
                <w:sz w:val="20"/>
                <w:szCs w:val="24"/>
              </w:rPr>
              <w:t>1.89</w:t>
            </w:r>
          </w:p>
        </w:tc>
      </w:tr>
      <w:tr w:rsidR="00E51CDD" w:rsidRPr="00960E15" w14:paraId="7697D11B" w14:textId="77777777" w:rsidTr="009938D9">
        <w:trPr>
          <w:gridAfter w:val="1"/>
          <w:wAfter w:w="4" w:type="pct"/>
          <w:trHeight w:val="247"/>
        </w:trPr>
        <w:tc>
          <w:tcPr>
            <w:tcW w:w="903" w:type="pct"/>
            <w:vAlign w:val="center"/>
          </w:tcPr>
          <w:p w14:paraId="251284C6" w14:textId="77777777" w:rsidR="00E51CDD" w:rsidRPr="00960E15" w:rsidRDefault="00E51CDD" w:rsidP="009938D9">
            <w:pPr>
              <w:widowControl w:val="0"/>
              <w:rPr>
                <w:color w:val="000000"/>
                <w:sz w:val="20"/>
                <w:szCs w:val="24"/>
              </w:rPr>
            </w:pPr>
            <w:r w:rsidRPr="00960E15">
              <w:rPr>
                <w:color w:val="000000"/>
                <w:sz w:val="20"/>
                <w:szCs w:val="24"/>
              </w:rPr>
              <w:t>200</w:t>
            </w:r>
          </w:p>
        </w:tc>
        <w:tc>
          <w:tcPr>
            <w:tcW w:w="858" w:type="pct"/>
            <w:vAlign w:val="center"/>
          </w:tcPr>
          <w:p w14:paraId="527C6F94" w14:textId="77777777" w:rsidR="00E51CDD" w:rsidRPr="00960E15" w:rsidRDefault="00E51CDD" w:rsidP="009938D9">
            <w:pPr>
              <w:widowControl w:val="0"/>
              <w:rPr>
                <w:color w:val="000000"/>
                <w:sz w:val="20"/>
                <w:szCs w:val="24"/>
              </w:rPr>
            </w:pPr>
            <w:r w:rsidRPr="00960E15">
              <w:rPr>
                <w:color w:val="000000"/>
                <w:sz w:val="20"/>
                <w:szCs w:val="24"/>
              </w:rPr>
              <w:t>13.9</w:t>
            </w:r>
          </w:p>
        </w:tc>
        <w:tc>
          <w:tcPr>
            <w:tcW w:w="749" w:type="pct"/>
            <w:vAlign w:val="center"/>
          </w:tcPr>
          <w:p w14:paraId="0AD15DD5" w14:textId="77777777" w:rsidR="00E51CDD" w:rsidRPr="00960E15" w:rsidRDefault="00E51CDD" w:rsidP="009938D9">
            <w:pPr>
              <w:widowControl w:val="0"/>
              <w:rPr>
                <w:color w:val="000000"/>
                <w:sz w:val="20"/>
                <w:szCs w:val="24"/>
              </w:rPr>
            </w:pPr>
            <w:r w:rsidRPr="00960E15">
              <w:rPr>
                <w:color w:val="000000"/>
                <w:sz w:val="20"/>
                <w:szCs w:val="24"/>
              </w:rPr>
              <w:t>9.28</w:t>
            </w:r>
          </w:p>
        </w:tc>
        <w:tc>
          <w:tcPr>
            <w:tcW w:w="890" w:type="pct"/>
            <w:gridSpan w:val="2"/>
            <w:vAlign w:val="center"/>
          </w:tcPr>
          <w:p w14:paraId="1D09586C" w14:textId="77777777" w:rsidR="00E51CDD" w:rsidRPr="00960E15" w:rsidRDefault="00E51CDD" w:rsidP="009938D9">
            <w:pPr>
              <w:widowControl w:val="0"/>
              <w:rPr>
                <w:color w:val="000000"/>
                <w:sz w:val="20"/>
                <w:szCs w:val="24"/>
              </w:rPr>
            </w:pPr>
            <w:r w:rsidRPr="00960E15">
              <w:rPr>
                <w:color w:val="000000"/>
                <w:sz w:val="20"/>
                <w:szCs w:val="24"/>
              </w:rPr>
              <w:t>60.2</w:t>
            </w:r>
          </w:p>
        </w:tc>
        <w:tc>
          <w:tcPr>
            <w:tcW w:w="858" w:type="pct"/>
            <w:vAlign w:val="center"/>
          </w:tcPr>
          <w:p w14:paraId="0A91E8E0" w14:textId="77777777" w:rsidR="00E51CDD" w:rsidRPr="00960E15" w:rsidRDefault="00E51CDD" w:rsidP="009938D9">
            <w:pPr>
              <w:widowControl w:val="0"/>
              <w:rPr>
                <w:color w:val="000000"/>
                <w:sz w:val="20"/>
                <w:szCs w:val="24"/>
              </w:rPr>
            </w:pPr>
            <w:r w:rsidRPr="00960E15">
              <w:rPr>
                <w:color w:val="000000"/>
                <w:sz w:val="20"/>
                <w:szCs w:val="24"/>
              </w:rPr>
              <w:t>4.19</w:t>
            </w:r>
          </w:p>
        </w:tc>
        <w:tc>
          <w:tcPr>
            <w:tcW w:w="737" w:type="pct"/>
            <w:vAlign w:val="center"/>
          </w:tcPr>
          <w:p w14:paraId="1A9F9159" w14:textId="77777777" w:rsidR="00E51CDD" w:rsidRPr="00960E15" w:rsidRDefault="00E51CDD" w:rsidP="009938D9">
            <w:pPr>
              <w:widowControl w:val="0"/>
              <w:rPr>
                <w:color w:val="000000"/>
                <w:sz w:val="20"/>
                <w:szCs w:val="24"/>
              </w:rPr>
            </w:pPr>
            <w:r w:rsidRPr="00960E15">
              <w:rPr>
                <w:color w:val="000000"/>
                <w:sz w:val="20"/>
                <w:szCs w:val="24"/>
              </w:rPr>
              <w:t>2.79</w:t>
            </w:r>
          </w:p>
        </w:tc>
      </w:tr>
      <w:tr w:rsidR="00E51CDD" w:rsidRPr="00960E15" w14:paraId="2730684E" w14:textId="77777777" w:rsidTr="009938D9">
        <w:trPr>
          <w:gridAfter w:val="1"/>
          <w:wAfter w:w="4" w:type="pct"/>
          <w:trHeight w:val="247"/>
        </w:trPr>
        <w:tc>
          <w:tcPr>
            <w:tcW w:w="903" w:type="pct"/>
            <w:vAlign w:val="center"/>
          </w:tcPr>
          <w:p w14:paraId="393DE77A" w14:textId="77777777" w:rsidR="00E51CDD" w:rsidRPr="00960E15" w:rsidRDefault="00E51CDD" w:rsidP="009938D9">
            <w:pPr>
              <w:widowControl w:val="0"/>
              <w:rPr>
                <w:color w:val="000000"/>
                <w:sz w:val="20"/>
                <w:szCs w:val="24"/>
              </w:rPr>
            </w:pPr>
            <w:r w:rsidRPr="00960E15">
              <w:rPr>
                <w:color w:val="000000"/>
                <w:sz w:val="20"/>
                <w:szCs w:val="24"/>
              </w:rPr>
              <w:t>400</w:t>
            </w:r>
          </w:p>
        </w:tc>
        <w:tc>
          <w:tcPr>
            <w:tcW w:w="858" w:type="pct"/>
            <w:vAlign w:val="center"/>
          </w:tcPr>
          <w:p w14:paraId="16E6181A" w14:textId="77777777" w:rsidR="00E51CDD" w:rsidRPr="00960E15" w:rsidRDefault="00E51CDD" w:rsidP="009938D9">
            <w:pPr>
              <w:widowControl w:val="0"/>
              <w:rPr>
                <w:color w:val="000000"/>
                <w:sz w:val="20"/>
                <w:szCs w:val="24"/>
              </w:rPr>
            </w:pPr>
            <w:r w:rsidRPr="00960E15">
              <w:rPr>
                <w:color w:val="000000"/>
                <w:sz w:val="20"/>
                <w:szCs w:val="24"/>
              </w:rPr>
              <w:t>27.8</w:t>
            </w:r>
          </w:p>
        </w:tc>
        <w:tc>
          <w:tcPr>
            <w:tcW w:w="749" w:type="pct"/>
            <w:vAlign w:val="center"/>
          </w:tcPr>
          <w:p w14:paraId="14375CB0" w14:textId="77777777" w:rsidR="00E51CDD" w:rsidRPr="00960E15" w:rsidRDefault="00E51CDD" w:rsidP="009938D9">
            <w:pPr>
              <w:widowControl w:val="0"/>
              <w:rPr>
                <w:color w:val="000000"/>
                <w:sz w:val="20"/>
                <w:szCs w:val="24"/>
              </w:rPr>
            </w:pPr>
            <w:r w:rsidRPr="00960E15">
              <w:rPr>
                <w:color w:val="000000"/>
                <w:sz w:val="20"/>
                <w:szCs w:val="24"/>
              </w:rPr>
              <w:t>18.6</w:t>
            </w:r>
          </w:p>
        </w:tc>
        <w:tc>
          <w:tcPr>
            <w:tcW w:w="890" w:type="pct"/>
            <w:gridSpan w:val="2"/>
            <w:vAlign w:val="center"/>
          </w:tcPr>
          <w:p w14:paraId="2AEB8B1B" w14:textId="77777777" w:rsidR="00E51CDD" w:rsidRPr="00960E15" w:rsidRDefault="00E51CDD" w:rsidP="009938D9">
            <w:pPr>
              <w:widowControl w:val="0"/>
              <w:rPr>
                <w:color w:val="000000"/>
                <w:sz w:val="20"/>
                <w:szCs w:val="24"/>
              </w:rPr>
            </w:pPr>
            <w:r w:rsidRPr="00960E15">
              <w:rPr>
                <w:color w:val="000000"/>
                <w:sz w:val="20"/>
                <w:szCs w:val="24"/>
              </w:rPr>
              <w:t>92.2</w:t>
            </w:r>
          </w:p>
        </w:tc>
        <w:tc>
          <w:tcPr>
            <w:tcW w:w="858" w:type="pct"/>
            <w:vAlign w:val="center"/>
          </w:tcPr>
          <w:p w14:paraId="29444302" w14:textId="77777777" w:rsidR="00E51CDD" w:rsidRPr="00960E15" w:rsidRDefault="00E51CDD" w:rsidP="009938D9">
            <w:pPr>
              <w:widowControl w:val="0"/>
              <w:rPr>
                <w:color w:val="000000"/>
                <w:sz w:val="20"/>
                <w:szCs w:val="24"/>
              </w:rPr>
            </w:pPr>
            <w:r w:rsidRPr="00960E15">
              <w:rPr>
                <w:color w:val="000000"/>
                <w:sz w:val="20"/>
                <w:szCs w:val="24"/>
              </w:rPr>
              <w:t>6.42</w:t>
            </w:r>
          </w:p>
        </w:tc>
        <w:tc>
          <w:tcPr>
            <w:tcW w:w="737" w:type="pct"/>
            <w:vAlign w:val="center"/>
          </w:tcPr>
          <w:p w14:paraId="3ACB600B" w14:textId="77777777" w:rsidR="00E51CDD" w:rsidRPr="00960E15" w:rsidRDefault="00E51CDD" w:rsidP="009938D9">
            <w:pPr>
              <w:widowControl w:val="0"/>
              <w:rPr>
                <w:color w:val="000000"/>
                <w:sz w:val="20"/>
                <w:szCs w:val="24"/>
              </w:rPr>
            </w:pPr>
            <w:r w:rsidRPr="00960E15">
              <w:rPr>
                <w:color w:val="000000"/>
                <w:sz w:val="20"/>
                <w:szCs w:val="24"/>
              </w:rPr>
              <w:t>4.28</w:t>
            </w:r>
          </w:p>
        </w:tc>
      </w:tr>
    </w:tbl>
    <w:p w14:paraId="071E37CE" w14:textId="77777777" w:rsidR="00E51CDD" w:rsidRPr="00960E15" w:rsidRDefault="00E51CDD" w:rsidP="00E51CDD">
      <w:pPr>
        <w:widowControl w:val="0"/>
        <w:ind w:left="2041"/>
        <w:rPr>
          <w:color w:val="000000"/>
          <w:szCs w:val="24"/>
        </w:rPr>
      </w:pPr>
    </w:p>
    <w:p w14:paraId="2D4F878B" w14:textId="77777777" w:rsidR="00E51CDD" w:rsidRPr="00960E15" w:rsidRDefault="00E51CDD" w:rsidP="00E51CDD">
      <w:pPr>
        <w:widowControl w:val="0"/>
        <w:ind w:left="2041"/>
        <w:jc w:val="both"/>
        <w:rPr>
          <w:color w:val="000000"/>
          <w:szCs w:val="24"/>
        </w:rPr>
      </w:pPr>
      <w:r w:rsidRPr="00960E15">
        <w:rPr>
          <w:color w:val="000000"/>
          <w:szCs w:val="24"/>
        </w:rPr>
        <w:t>The doses correspond to concentrations of 0.637, 1.27, 2.55, 5.09 and 10.2 g BAS 736 00 F/kg food (equivalent to 0.0443, 0.0884, 0.177, 0.354 and 0.710 mg BAS 9164 F/kg food and 0.0296, 0.0589, 0.118, 0.236 and 0.473 mg BAS 700 F/kg food).</w:t>
      </w:r>
    </w:p>
    <w:p w14:paraId="5F0FB1B1" w14:textId="77777777" w:rsidR="00E51CDD" w:rsidRPr="00960E15" w:rsidRDefault="00E51CDD" w:rsidP="00E51CDD">
      <w:pPr>
        <w:widowControl w:val="0"/>
        <w:ind w:left="2041"/>
        <w:jc w:val="both"/>
        <w:rPr>
          <w:color w:val="000000"/>
          <w:szCs w:val="24"/>
        </w:rPr>
      </w:pPr>
    </w:p>
    <w:p w14:paraId="7820B71A" w14:textId="77777777" w:rsidR="00E51CDD" w:rsidRPr="00960E15" w:rsidRDefault="00E51CDD" w:rsidP="00E51CDD">
      <w:pPr>
        <w:widowControl w:val="0"/>
        <w:ind w:left="2041"/>
        <w:jc w:val="both"/>
        <w:rPr>
          <w:color w:val="000000"/>
          <w:szCs w:val="24"/>
        </w:rPr>
      </w:pPr>
      <w:r w:rsidRPr="00960E15">
        <w:rPr>
          <w:color w:val="000000"/>
          <w:szCs w:val="24"/>
        </w:rPr>
        <w:t>Reference item (applied in 50% sucrose solution): treated diet at a dose rate of 0.02 µg consumed dimethoate/bee/day (corresponding to a concentration of 0.9 mg dimethoate/kg food, based on the analyzed content of the a.s).</w:t>
      </w:r>
    </w:p>
    <w:p w14:paraId="1A1D5E8D" w14:textId="77777777" w:rsidR="00E51CDD" w:rsidRPr="00960E15" w:rsidRDefault="00E51CDD" w:rsidP="00E51CDD">
      <w:pPr>
        <w:widowControl w:val="0"/>
        <w:jc w:val="both"/>
        <w:rPr>
          <w:color w:val="0070C0"/>
          <w:szCs w:val="24"/>
        </w:rPr>
      </w:pPr>
    </w:p>
    <w:p w14:paraId="73C115AB" w14:textId="77777777" w:rsidR="00E51CDD" w:rsidRPr="00960E15" w:rsidRDefault="00E51CDD" w:rsidP="00E51CDD">
      <w:pPr>
        <w:widowControl w:val="0"/>
        <w:ind w:left="2041" w:hanging="2041"/>
        <w:jc w:val="both"/>
        <w:rPr>
          <w:color w:val="000000"/>
          <w:szCs w:val="24"/>
        </w:rPr>
      </w:pPr>
      <w:r w:rsidRPr="00960E15">
        <w:rPr>
          <w:color w:val="000000"/>
          <w:szCs w:val="24"/>
        </w:rPr>
        <w:t>Test conditions:</w:t>
      </w:r>
      <w:r w:rsidRPr="00960E15">
        <w:rPr>
          <w:color w:val="000000"/>
          <w:szCs w:val="24"/>
        </w:rPr>
        <w:tab/>
        <w:t>Temperature: 32.1°C to 32.6°C (acclimatization), 32.0°C to 32.8°C (exposure), relative humidity: 52.5% to 61.6% (acclimatization), 51.4% to 64.1% (exposure), photoperiod: constant darkness except during application, food: 50% (w/v) aqueous sucrose solution.</w:t>
      </w:r>
    </w:p>
    <w:p w14:paraId="51694824" w14:textId="77777777" w:rsidR="00E51CDD" w:rsidRPr="00960E15" w:rsidRDefault="00E51CDD" w:rsidP="00E51CDD">
      <w:pPr>
        <w:widowControl w:val="0"/>
        <w:jc w:val="both"/>
        <w:rPr>
          <w:color w:val="000000"/>
          <w:szCs w:val="24"/>
        </w:rPr>
      </w:pPr>
      <w:r>
        <w:rPr>
          <w:color w:val="000000"/>
          <w:szCs w:val="24"/>
        </w:rPr>
        <w:br w:type="page"/>
      </w:r>
    </w:p>
    <w:p w14:paraId="4F017334" w14:textId="77777777" w:rsidR="00E51CDD" w:rsidRPr="00960E15" w:rsidRDefault="00E51CDD" w:rsidP="00E51CDD">
      <w:pPr>
        <w:widowControl w:val="0"/>
        <w:ind w:left="2041" w:hanging="2041"/>
        <w:jc w:val="both"/>
        <w:rPr>
          <w:color w:val="000000"/>
          <w:szCs w:val="24"/>
        </w:rPr>
      </w:pPr>
      <w:r w:rsidRPr="00960E15">
        <w:rPr>
          <w:color w:val="000000"/>
          <w:szCs w:val="24"/>
        </w:rPr>
        <w:lastRenderedPageBreak/>
        <w:t>Analytics:</w:t>
      </w:r>
      <w:r w:rsidRPr="00960E15">
        <w:rPr>
          <w:color w:val="000000"/>
          <w:szCs w:val="24"/>
        </w:rPr>
        <w:tab/>
        <w:t xml:space="preserve">Analytical verification of the test item was conducted by BASF method L0372/02 using </w:t>
      </w:r>
      <w:bookmarkStart w:id="1202" w:name="_Hlk79568494"/>
      <w:r w:rsidRPr="00960E15">
        <w:rPr>
          <w:color w:val="000000"/>
          <w:szCs w:val="24"/>
        </w:rPr>
        <w:t>liquid chromatography with mass-spectrometric (LC-MS/MS) detection.</w:t>
      </w:r>
      <w:bookmarkEnd w:id="1202"/>
    </w:p>
    <w:p w14:paraId="05AD81D6" w14:textId="77777777" w:rsidR="00E51CDD" w:rsidRPr="00960E15" w:rsidRDefault="00E51CDD" w:rsidP="00E51CDD">
      <w:pPr>
        <w:jc w:val="both"/>
        <w:rPr>
          <w:color w:val="000000"/>
          <w:szCs w:val="24"/>
        </w:rPr>
      </w:pPr>
    </w:p>
    <w:p w14:paraId="6C5AB074" w14:textId="77777777" w:rsidR="00E51CDD" w:rsidRPr="00960E15" w:rsidRDefault="00E51CDD" w:rsidP="00E51CDD">
      <w:pPr>
        <w:widowControl w:val="0"/>
        <w:ind w:left="2041" w:hanging="2041"/>
        <w:jc w:val="both"/>
        <w:rPr>
          <w:color w:val="0070C0"/>
          <w:szCs w:val="24"/>
        </w:rPr>
      </w:pPr>
      <w:r w:rsidRPr="00960E15">
        <w:rPr>
          <w:color w:val="000000"/>
          <w:szCs w:val="24"/>
        </w:rPr>
        <w:t>Statistics:</w:t>
      </w:r>
      <w:r w:rsidRPr="00960E15">
        <w:rPr>
          <w:color w:val="000000"/>
          <w:szCs w:val="24"/>
        </w:rPr>
        <w:tab/>
        <w:t>Descriptive statistics; Cochran-Armitage test (one-sided greater, α = 0.05) for NOEC/NOEDD determination; Probit analysis using linear max. likelihood regression for LC</w:t>
      </w:r>
      <w:r w:rsidRPr="00960E15">
        <w:rPr>
          <w:color w:val="000000"/>
          <w:szCs w:val="24"/>
          <w:vertAlign w:val="subscript"/>
        </w:rPr>
        <w:t>10,20,50</w:t>
      </w:r>
      <w:r w:rsidRPr="00960E15">
        <w:rPr>
          <w:color w:val="000000"/>
          <w:szCs w:val="24"/>
        </w:rPr>
        <w:t xml:space="preserve"> determination; Weibull analysis using linear max. likelihood regression for LDD</w:t>
      </w:r>
      <w:r w:rsidRPr="00960E15">
        <w:rPr>
          <w:color w:val="000000"/>
          <w:szCs w:val="24"/>
          <w:vertAlign w:val="subscript"/>
        </w:rPr>
        <w:t xml:space="preserve">10,20,50 </w:t>
      </w:r>
      <w:r w:rsidRPr="00960E15">
        <w:rPr>
          <w:color w:val="000000"/>
          <w:szCs w:val="24"/>
        </w:rPr>
        <w:t>determination.</w:t>
      </w:r>
    </w:p>
    <w:p w14:paraId="6E303771" w14:textId="77777777" w:rsidR="00E51CDD" w:rsidRPr="00960E15" w:rsidRDefault="00E51CDD" w:rsidP="00E51CDD">
      <w:pPr>
        <w:widowControl w:val="0"/>
        <w:suppressAutoHyphens/>
        <w:jc w:val="both"/>
        <w:rPr>
          <w:color w:val="000000"/>
          <w:szCs w:val="24"/>
        </w:rPr>
      </w:pPr>
    </w:p>
    <w:p w14:paraId="4ACBDA11" w14:textId="77777777" w:rsidR="00E51CDD" w:rsidRPr="00960E15" w:rsidRDefault="00E51CDD" w:rsidP="00E51CDD">
      <w:pPr>
        <w:widowControl w:val="0"/>
        <w:suppressAutoHyphens/>
        <w:jc w:val="both"/>
        <w:rPr>
          <w:color w:val="000000"/>
          <w:szCs w:val="24"/>
        </w:rPr>
      </w:pPr>
    </w:p>
    <w:p w14:paraId="0979AD4C" w14:textId="77777777" w:rsidR="00E51CDD" w:rsidRPr="00960E15" w:rsidRDefault="00E51CDD" w:rsidP="00E51CDD">
      <w:pPr>
        <w:tabs>
          <w:tab w:val="left" w:pos="425"/>
          <w:tab w:val="left" w:pos="850"/>
        </w:tabs>
        <w:suppressAutoHyphens/>
        <w:ind w:left="2835" w:hanging="2835"/>
        <w:jc w:val="both"/>
        <w:rPr>
          <w:b/>
          <w:bCs/>
          <w:color w:val="000000"/>
          <w:szCs w:val="24"/>
        </w:rPr>
      </w:pPr>
      <w:r w:rsidRPr="00960E15">
        <w:rPr>
          <w:b/>
          <w:bCs/>
          <w:color w:val="000000"/>
          <w:szCs w:val="24"/>
        </w:rPr>
        <w:t>C.</w:t>
      </w:r>
      <w:r w:rsidRPr="00960E15">
        <w:rPr>
          <w:b/>
          <w:bCs/>
          <w:color w:val="000000"/>
          <w:szCs w:val="24"/>
        </w:rPr>
        <w:tab/>
        <w:t>DESCRIPTION OF THE ANALYTICAL PROCEDURES</w:t>
      </w:r>
    </w:p>
    <w:p w14:paraId="1BF9FE66" w14:textId="77777777" w:rsidR="00E51CDD" w:rsidRPr="00960E15" w:rsidRDefault="00E51CDD" w:rsidP="00E51CDD">
      <w:pPr>
        <w:suppressAutoHyphens/>
        <w:jc w:val="both"/>
        <w:rPr>
          <w:color w:val="000000"/>
          <w:szCs w:val="24"/>
        </w:rPr>
      </w:pPr>
    </w:p>
    <w:p w14:paraId="60A154F6" w14:textId="7C953FFB" w:rsidR="00E51CDD" w:rsidRPr="00960E15" w:rsidRDefault="00E51CDD" w:rsidP="00E51CDD">
      <w:pPr>
        <w:jc w:val="both"/>
        <w:rPr>
          <w:color w:val="0070C0"/>
          <w:szCs w:val="24"/>
        </w:rPr>
      </w:pPr>
      <w:r w:rsidRPr="00960E15">
        <w:rPr>
          <w:color w:val="000000"/>
          <w:szCs w:val="24"/>
        </w:rPr>
        <w:t xml:space="preserve">Concentration control analysis of BAS 736 00 F via its representative active ingredients BAS 700 F in honey bee feeding solution was determined according to the analytical method L0372/02. The validation of the analytical method is described in the study report. </w:t>
      </w:r>
      <w:r w:rsidRPr="00960E15">
        <w:rPr>
          <w:szCs w:val="24"/>
        </w:rPr>
        <w:t>0.840 mL of the thawed and vortexed samples were transferred into a 50 mL plastic tube, then filled up to the mark with methanol/water (3:1, v/v). The mixture was shaken for 30 s. 1 mL of the extract was transferred into a PSA-Kit-3a and then shaken again for another 30 s. The samples were centrifuged at maximum rpm for 5 min and then diluted with methanol/water (3:1, v/v). If necessary, the diluted extracts were further diluted into the range of the calibration curve before injecting into the LC-</w:t>
      </w:r>
      <w:r w:rsidRPr="00960E15">
        <w:rPr>
          <w:color w:val="000000"/>
          <w:szCs w:val="24"/>
        </w:rPr>
        <w:t>MS/MS</w:t>
      </w:r>
      <w:r w:rsidRPr="00960E15">
        <w:rPr>
          <w:szCs w:val="24"/>
        </w:rPr>
        <w:t xml:space="preserve"> system. </w:t>
      </w:r>
      <w:r w:rsidRPr="00960E15">
        <w:rPr>
          <w:color w:val="000000"/>
          <w:szCs w:val="24"/>
        </w:rPr>
        <w:t xml:space="preserve">The determination was performed by LC-MS/MS. The limit of quantification (LOQ) was 0.0102 mg/kg and the limit of detection (LOD) is </w:t>
      </w:r>
      <w:r w:rsidRPr="00960E15">
        <w:rPr>
          <w:color w:val="000000"/>
        </w:rPr>
        <w:t>0.0025 mg/kg</w:t>
      </w:r>
      <w:r w:rsidRPr="00960E15">
        <w:rPr>
          <w:color w:val="000000"/>
          <w:szCs w:val="24"/>
        </w:rPr>
        <w:t xml:space="preserve">. </w:t>
      </w:r>
      <w:r w:rsidRPr="00960E15">
        <w:rPr>
          <w:szCs w:val="24"/>
        </w:rPr>
        <w:t xml:space="preserve">Matrix effects were compensated by using matrix-matched calibration standards with solvent standards (= standards in methanol/water (3:1, v/v)) at identical nominal concentrations. The effects were assessed by comparing the standard’s peak areas. </w:t>
      </w:r>
      <w:r w:rsidRPr="00960E15">
        <w:rPr>
          <w:color w:val="000000"/>
        </w:rPr>
        <w:t>Since the samples of the test item feeding solutions were analyzed within 29 days, the analysis of storage stability samples did not take place.</w:t>
      </w:r>
      <w:r w:rsidRPr="00960E15">
        <w:rPr>
          <w:color w:val="000000"/>
          <w:szCs w:val="24"/>
        </w:rPr>
        <w:t xml:space="preserve"> Details on measured fortification samples and obtained procedural recoveries for BAS 700 F are given in </w:t>
      </w:r>
      <w:r w:rsidRPr="00960E15">
        <w:rPr>
          <w:color w:val="000000"/>
          <w:szCs w:val="24"/>
        </w:rPr>
        <w:fldChar w:fldCharType="begin"/>
      </w:r>
      <w:r w:rsidRPr="00960E15">
        <w:rPr>
          <w:color w:val="000000"/>
          <w:szCs w:val="24"/>
        </w:rPr>
        <w:instrText xml:space="preserve"> REF _Ref78455282 \h  \* MERGEFORMAT </w:instrText>
      </w:r>
      <w:r w:rsidRPr="00960E15">
        <w:rPr>
          <w:color w:val="000000"/>
          <w:szCs w:val="24"/>
        </w:rPr>
      </w:r>
      <w:r w:rsidRPr="00960E15">
        <w:rPr>
          <w:color w:val="000000"/>
          <w:szCs w:val="24"/>
        </w:rPr>
        <w:fldChar w:fldCharType="separate"/>
      </w:r>
      <w:r w:rsidR="00662F32" w:rsidRPr="00662F32">
        <w:rPr>
          <w:color w:val="000000"/>
        </w:rPr>
        <w:t xml:space="preserve">Table A </w:t>
      </w:r>
      <w:r w:rsidR="00662F32" w:rsidRPr="00662F32">
        <w:rPr>
          <w:noProof/>
          <w:color w:val="000000"/>
        </w:rPr>
        <w:t>19</w:t>
      </w:r>
      <w:r w:rsidRPr="00960E15">
        <w:rPr>
          <w:color w:val="000000"/>
          <w:szCs w:val="24"/>
        </w:rPr>
        <w:fldChar w:fldCharType="end"/>
      </w:r>
      <w:r w:rsidRPr="00960E15">
        <w:rPr>
          <w:color w:val="000000"/>
          <w:szCs w:val="24"/>
        </w:rPr>
        <w:t>.</w:t>
      </w:r>
    </w:p>
    <w:p w14:paraId="28454D44" w14:textId="77777777" w:rsidR="00E51CDD" w:rsidRPr="00960E15" w:rsidRDefault="00E51CDD" w:rsidP="00E51CDD">
      <w:pPr>
        <w:widowControl w:val="0"/>
        <w:suppressAutoHyphens/>
        <w:rPr>
          <w:color w:val="0070C0"/>
          <w:szCs w:val="24"/>
        </w:rPr>
      </w:pPr>
    </w:p>
    <w:p w14:paraId="05B1F2C3" w14:textId="134E3476" w:rsidR="00E51CDD" w:rsidRPr="00960E15" w:rsidRDefault="00E51CDD" w:rsidP="00E51CDD">
      <w:pPr>
        <w:keepNext/>
        <w:rPr>
          <w:b/>
          <w:bCs/>
          <w:color w:val="000000"/>
        </w:rPr>
      </w:pPr>
      <w:bookmarkStart w:id="1203" w:name="_Ref78455282"/>
      <w:r w:rsidRPr="00960E15">
        <w:rPr>
          <w:b/>
          <w:bCs/>
          <w:color w:val="000000"/>
        </w:rPr>
        <w:t xml:space="preserve">Table A </w:t>
      </w:r>
      <w:r w:rsidRPr="00960E15">
        <w:rPr>
          <w:b/>
          <w:bCs/>
          <w:color w:val="000000"/>
        </w:rPr>
        <w:fldChar w:fldCharType="begin"/>
      </w:r>
      <w:r w:rsidRPr="00960E15">
        <w:rPr>
          <w:b/>
          <w:bCs/>
          <w:color w:val="000000"/>
        </w:rPr>
        <w:instrText xml:space="preserve"> SEQ Table_A \* ARABIC </w:instrText>
      </w:r>
      <w:r w:rsidRPr="00960E15">
        <w:rPr>
          <w:b/>
          <w:bCs/>
          <w:color w:val="000000"/>
        </w:rPr>
        <w:fldChar w:fldCharType="separate"/>
      </w:r>
      <w:r w:rsidR="00662F32">
        <w:rPr>
          <w:b/>
          <w:bCs/>
          <w:noProof/>
          <w:color w:val="000000"/>
        </w:rPr>
        <w:t>19</w:t>
      </w:r>
      <w:r w:rsidRPr="00960E15">
        <w:rPr>
          <w:b/>
          <w:bCs/>
          <w:color w:val="000000"/>
        </w:rPr>
        <w:fldChar w:fldCharType="end"/>
      </w:r>
      <w:bookmarkEnd w:id="1203"/>
      <w:r w:rsidRPr="00960E15">
        <w:rPr>
          <w:b/>
          <w:color w:val="000000"/>
        </w:rPr>
        <w:t>:</w:t>
      </w:r>
      <w:r w:rsidRPr="00960E15">
        <w:rPr>
          <w:b/>
          <w:color w:val="000000"/>
        </w:rPr>
        <w:tab/>
        <w:t>Procedural recoveries for BAS 700 F in honey bee food</w:t>
      </w:r>
    </w:p>
    <w:tbl>
      <w:tblPr>
        <w:tblW w:w="5000" w:type="pct"/>
        <w:tblCellMar>
          <w:left w:w="70" w:type="dxa"/>
          <w:right w:w="70" w:type="dxa"/>
        </w:tblCellMar>
        <w:tblLook w:val="04A0" w:firstRow="1" w:lastRow="0" w:firstColumn="1" w:lastColumn="0" w:noHBand="0" w:noVBand="1"/>
      </w:tblPr>
      <w:tblGrid>
        <w:gridCol w:w="1242"/>
        <w:gridCol w:w="1418"/>
        <w:gridCol w:w="1877"/>
        <w:gridCol w:w="1951"/>
        <w:gridCol w:w="361"/>
        <w:gridCol w:w="1088"/>
        <w:gridCol w:w="1407"/>
      </w:tblGrid>
      <w:tr w:rsidR="00E51CDD" w:rsidRPr="00960E15" w14:paraId="75063420" w14:textId="77777777" w:rsidTr="009938D9">
        <w:trPr>
          <w:trHeight w:val="528"/>
        </w:trPr>
        <w:tc>
          <w:tcPr>
            <w:tcW w:w="671" w:type="pct"/>
            <w:tcBorders>
              <w:top w:val="single" w:sz="4" w:space="0" w:color="auto"/>
              <w:left w:val="single" w:sz="4" w:space="0" w:color="auto"/>
              <w:bottom w:val="single" w:sz="4" w:space="0" w:color="auto"/>
              <w:right w:val="single" w:sz="4" w:space="0" w:color="auto"/>
            </w:tcBorders>
            <w:shd w:val="clear" w:color="000000" w:fill="FFFFFF"/>
            <w:vAlign w:val="center"/>
          </w:tcPr>
          <w:p w14:paraId="16BADA24" w14:textId="77777777" w:rsidR="00E51CDD" w:rsidRPr="00960E15" w:rsidRDefault="00E51CDD" w:rsidP="009938D9">
            <w:pPr>
              <w:jc w:val="center"/>
              <w:rPr>
                <w:b/>
                <w:bCs/>
                <w:color w:val="000000"/>
                <w:sz w:val="20"/>
                <w:szCs w:val="20"/>
              </w:rPr>
            </w:pPr>
            <w:r w:rsidRPr="00960E15">
              <w:rPr>
                <w:b/>
                <w:bCs/>
                <w:color w:val="000000"/>
                <w:sz w:val="20"/>
                <w:szCs w:val="20"/>
              </w:rPr>
              <w:t>Substance</w:t>
            </w:r>
          </w:p>
        </w:tc>
        <w:tc>
          <w:tcPr>
            <w:tcW w:w="72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4F4C81" w14:textId="77777777" w:rsidR="00E51CDD" w:rsidRPr="00960E15" w:rsidRDefault="00E51CDD" w:rsidP="009938D9">
            <w:pPr>
              <w:jc w:val="center"/>
              <w:rPr>
                <w:b/>
                <w:bCs/>
                <w:color w:val="000000"/>
                <w:sz w:val="20"/>
                <w:szCs w:val="20"/>
              </w:rPr>
            </w:pPr>
            <w:r w:rsidRPr="00960E15">
              <w:rPr>
                <w:b/>
                <w:bCs/>
                <w:color w:val="000000"/>
                <w:sz w:val="20"/>
                <w:szCs w:val="20"/>
              </w:rPr>
              <w:t>Matrix</w:t>
            </w:r>
          </w:p>
        </w:tc>
        <w:tc>
          <w:tcPr>
            <w:tcW w:w="101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236B7E6" w14:textId="77777777" w:rsidR="00E51CDD" w:rsidRPr="00960E15" w:rsidRDefault="00E51CDD" w:rsidP="009938D9">
            <w:pPr>
              <w:jc w:val="center"/>
              <w:rPr>
                <w:b/>
                <w:bCs/>
                <w:color w:val="000000"/>
                <w:sz w:val="20"/>
                <w:szCs w:val="20"/>
              </w:rPr>
            </w:pPr>
            <w:r w:rsidRPr="00960E15">
              <w:rPr>
                <w:b/>
                <w:bCs/>
                <w:color w:val="000000"/>
                <w:sz w:val="20"/>
                <w:szCs w:val="20"/>
              </w:rPr>
              <w:t>Test item Fortification level (mg/kg)</w:t>
            </w:r>
          </w:p>
        </w:tc>
        <w:tc>
          <w:tcPr>
            <w:tcW w:w="1050" w:type="pct"/>
            <w:tcBorders>
              <w:top w:val="single" w:sz="4" w:space="0" w:color="auto"/>
              <w:left w:val="single" w:sz="4" w:space="0" w:color="auto"/>
              <w:bottom w:val="single" w:sz="4" w:space="0" w:color="auto"/>
              <w:right w:val="single" w:sz="4" w:space="0" w:color="auto"/>
            </w:tcBorders>
            <w:shd w:val="clear" w:color="000000" w:fill="FFFFFF"/>
          </w:tcPr>
          <w:p w14:paraId="5839AD86" w14:textId="77777777" w:rsidR="00E51CDD" w:rsidRPr="00960E15" w:rsidRDefault="00E51CDD" w:rsidP="009938D9">
            <w:pPr>
              <w:jc w:val="center"/>
              <w:rPr>
                <w:b/>
                <w:bCs/>
                <w:color w:val="000000"/>
                <w:sz w:val="20"/>
                <w:szCs w:val="20"/>
              </w:rPr>
            </w:pPr>
            <w:r w:rsidRPr="00960E15">
              <w:rPr>
                <w:b/>
                <w:bCs/>
                <w:color w:val="000000"/>
                <w:sz w:val="20"/>
                <w:szCs w:val="20"/>
              </w:rPr>
              <w:t>Fortification level Fluxapyroxad (mg/kg)</w:t>
            </w:r>
          </w:p>
        </w:tc>
        <w:tc>
          <w:tcPr>
            <w:tcW w:w="19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7C2C5A5" w14:textId="77777777" w:rsidR="00E51CDD" w:rsidRPr="00960E15" w:rsidRDefault="00E51CDD" w:rsidP="009938D9">
            <w:pPr>
              <w:jc w:val="center"/>
              <w:rPr>
                <w:b/>
                <w:bCs/>
                <w:color w:val="000000"/>
                <w:sz w:val="20"/>
                <w:szCs w:val="20"/>
              </w:rPr>
            </w:pPr>
            <w:r w:rsidRPr="00960E15">
              <w:rPr>
                <w:b/>
                <w:bCs/>
                <w:color w:val="000000"/>
                <w:sz w:val="20"/>
                <w:szCs w:val="20"/>
              </w:rPr>
              <w:t>n*</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14:paraId="46252E39" w14:textId="77777777" w:rsidR="00E51CDD" w:rsidRPr="00960E15" w:rsidRDefault="00E51CDD" w:rsidP="009938D9">
            <w:pPr>
              <w:jc w:val="center"/>
              <w:rPr>
                <w:b/>
                <w:bCs/>
                <w:color w:val="000000"/>
                <w:sz w:val="20"/>
                <w:szCs w:val="20"/>
              </w:rPr>
            </w:pPr>
            <w:r w:rsidRPr="00960E15">
              <w:rPr>
                <w:b/>
                <w:bCs/>
                <w:color w:val="000000"/>
                <w:sz w:val="20"/>
                <w:szCs w:val="20"/>
              </w:rPr>
              <w:t>Mean (%)</w:t>
            </w:r>
          </w:p>
        </w:tc>
        <w:tc>
          <w:tcPr>
            <w:tcW w:w="7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6B0E09" w14:textId="77777777" w:rsidR="00E51CDD" w:rsidRPr="00960E15" w:rsidRDefault="00E51CDD" w:rsidP="009938D9">
            <w:pPr>
              <w:jc w:val="center"/>
              <w:rPr>
                <w:b/>
                <w:bCs/>
                <w:color w:val="000000"/>
                <w:sz w:val="20"/>
                <w:szCs w:val="20"/>
              </w:rPr>
            </w:pPr>
            <w:r w:rsidRPr="00960E15">
              <w:rPr>
                <w:b/>
                <w:bCs/>
                <w:color w:val="000000"/>
                <w:sz w:val="20"/>
                <w:szCs w:val="20"/>
              </w:rPr>
              <w:t>RSD (%)</w:t>
            </w:r>
          </w:p>
        </w:tc>
      </w:tr>
      <w:tr w:rsidR="00E51CDD" w:rsidRPr="00960E15" w14:paraId="7744D83A" w14:textId="77777777" w:rsidTr="009938D9">
        <w:trPr>
          <w:trHeight w:val="264"/>
        </w:trPr>
        <w:tc>
          <w:tcPr>
            <w:tcW w:w="671"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0A0AAD0F" w14:textId="77777777" w:rsidR="00E51CDD" w:rsidRPr="00960E15" w:rsidRDefault="00E51CDD" w:rsidP="009938D9">
            <w:pPr>
              <w:jc w:val="center"/>
              <w:rPr>
                <w:color w:val="000000"/>
                <w:sz w:val="20"/>
                <w:szCs w:val="20"/>
              </w:rPr>
            </w:pPr>
            <w:r w:rsidRPr="00960E15">
              <w:rPr>
                <w:color w:val="000000"/>
                <w:sz w:val="20"/>
                <w:szCs w:val="20"/>
              </w:rPr>
              <w:t>BAS 700 F</w:t>
            </w:r>
          </w:p>
        </w:tc>
        <w:tc>
          <w:tcPr>
            <w:tcW w:w="721"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9DCE9F" w14:textId="77777777" w:rsidR="00E51CDD" w:rsidRPr="00960E15" w:rsidRDefault="00E51CDD" w:rsidP="009938D9">
            <w:pPr>
              <w:jc w:val="center"/>
              <w:rPr>
                <w:color w:val="000000"/>
                <w:sz w:val="20"/>
                <w:szCs w:val="20"/>
              </w:rPr>
            </w:pPr>
            <w:r w:rsidRPr="00960E15">
              <w:rPr>
                <w:color w:val="000000"/>
                <w:sz w:val="20"/>
                <w:szCs w:val="20"/>
              </w:rPr>
              <w:t>Honey bee food</w:t>
            </w:r>
          </w:p>
        </w:tc>
        <w:tc>
          <w:tcPr>
            <w:tcW w:w="1011"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F0C901C" w14:textId="77777777" w:rsidR="00E51CDD" w:rsidRPr="00960E15" w:rsidRDefault="00E51CDD" w:rsidP="009938D9">
            <w:pPr>
              <w:jc w:val="center"/>
              <w:rPr>
                <w:color w:val="000000"/>
                <w:sz w:val="20"/>
                <w:szCs w:val="20"/>
              </w:rPr>
            </w:pPr>
            <w:r w:rsidRPr="00960E15">
              <w:rPr>
                <w:color w:val="000000"/>
                <w:sz w:val="20"/>
                <w:szCs w:val="20"/>
              </w:rPr>
              <w:t>0.219</w:t>
            </w:r>
          </w:p>
        </w:tc>
        <w:tc>
          <w:tcPr>
            <w:tcW w:w="1050" w:type="pct"/>
            <w:tcBorders>
              <w:top w:val="single" w:sz="4" w:space="0" w:color="auto"/>
              <w:left w:val="single" w:sz="4" w:space="0" w:color="auto"/>
              <w:bottom w:val="single" w:sz="4" w:space="0" w:color="auto"/>
              <w:right w:val="single" w:sz="4" w:space="0" w:color="auto"/>
            </w:tcBorders>
            <w:shd w:val="clear" w:color="000000" w:fill="FFFFFF"/>
            <w:vAlign w:val="center"/>
          </w:tcPr>
          <w:p w14:paraId="20018706" w14:textId="77777777" w:rsidR="00E51CDD" w:rsidRPr="00960E15" w:rsidRDefault="00E51CDD" w:rsidP="009938D9">
            <w:pPr>
              <w:jc w:val="center"/>
              <w:rPr>
                <w:color w:val="000000"/>
                <w:sz w:val="20"/>
                <w:szCs w:val="20"/>
              </w:rPr>
            </w:pPr>
            <w:r w:rsidRPr="00960E15">
              <w:rPr>
                <w:color w:val="000000"/>
                <w:sz w:val="20"/>
                <w:szCs w:val="20"/>
              </w:rPr>
              <w:t>0.0102</w:t>
            </w:r>
          </w:p>
        </w:tc>
        <w:tc>
          <w:tcPr>
            <w:tcW w:w="19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5A5A69A" w14:textId="77777777" w:rsidR="00E51CDD" w:rsidRPr="00960E15" w:rsidRDefault="00E51CDD" w:rsidP="009938D9">
            <w:pPr>
              <w:jc w:val="center"/>
              <w:rPr>
                <w:color w:val="000000"/>
                <w:sz w:val="20"/>
                <w:szCs w:val="20"/>
              </w:rPr>
            </w:pPr>
            <w:r w:rsidRPr="00960E15">
              <w:rPr>
                <w:color w:val="000000"/>
                <w:sz w:val="20"/>
                <w:szCs w:val="20"/>
              </w:rPr>
              <w:t>5</w:t>
            </w:r>
          </w:p>
        </w:tc>
        <w:tc>
          <w:tcPr>
            <w:tcW w:w="5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EF54F57" w14:textId="77777777" w:rsidR="00E51CDD" w:rsidRPr="00960E15" w:rsidRDefault="00E51CDD" w:rsidP="009938D9">
            <w:pPr>
              <w:jc w:val="center"/>
              <w:rPr>
                <w:color w:val="000000"/>
                <w:sz w:val="20"/>
                <w:szCs w:val="20"/>
              </w:rPr>
            </w:pPr>
            <w:r w:rsidRPr="00960E15">
              <w:rPr>
                <w:color w:val="000000"/>
                <w:sz w:val="20"/>
                <w:szCs w:val="20"/>
              </w:rPr>
              <w:t>100</w:t>
            </w:r>
          </w:p>
        </w:tc>
        <w:tc>
          <w:tcPr>
            <w:tcW w:w="75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3F19DF0" w14:textId="77777777" w:rsidR="00E51CDD" w:rsidRPr="00960E15" w:rsidRDefault="00E51CDD" w:rsidP="009938D9">
            <w:pPr>
              <w:jc w:val="center"/>
              <w:rPr>
                <w:color w:val="000000"/>
                <w:sz w:val="20"/>
                <w:szCs w:val="20"/>
              </w:rPr>
            </w:pPr>
            <w:r w:rsidRPr="00960E15">
              <w:rPr>
                <w:color w:val="000000"/>
                <w:sz w:val="20"/>
                <w:szCs w:val="20"/>
              </w:rPr>
              <w:t>11</w:t>
            </w:r>
          </w:p>
        </w:tc>
      </w:tr>
      <w:tr w:rsidR="00E51CDD" w:rsidRPr="00960E15" w14:paraId="5B30BFFC" w14:textId="77777777" w:rsidTr="009938D9">
        <w:trPr>
          <w:trHeight w:val="264"/>
        </w:trPr>
        <w:tc>
          <w:tcPr>
            <w:tcW w:w="671" w:type="pct"/>
            <w:vMerge/>
            <w:tcBorders>
              <w:top w:val="single" w:sz="4" w:space="0" w:color="auto"/>
              <w:left w:val="single" w:sz="4" w:space="0" w:color="auto"/>
              <w:bottom w:val="single" w:sz="4" w:space="0" w:color="auto"/>
              <w:right w:val="single" w:sz="4" w:space="0" w:color="auto"/>
            </w:tcBorders>
            <w:shd w:val="clear" w:color="000000" w:fill="FFFFFF"/>
            <w:vAlign w:val="center"/>
          </w:tcPr>
          <w:p w14:paraId="27281352" w14:textId="77777777" w:rsidR="00E51CDD" w:rsidRPr="00960E15" w:rsidRDefault="00E51CDD" w:rsidP="009938D9">
            <w:pPr>
              <w:jc w:val="center"/>
              <w:rPr>
                <w:color w:val="000000"/>
                <w:sz w:val="20"/>
                <w:szCs w:val="20"/>
              </w:rPr>
            </w:pPr>
          </w:p>
        </w:tc>
        <w:tc>
          <w:tcPr>
            <w:tcW w:w="721" w:type="pct"/>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79FA25" w14:textId="77777777" w:rsidR="00E51CDD" w:rsidRPr="00960E15" w:rsidRDefault="00E51CDD" w:rsidP="009938D9">
            <w:pPr>
              <w:jc w:val="center"/>
              <w:rPr>
                <w:color w:val="000000"/>
                <w:sz w:val="20"/>
                <w:szCs w:val="20"/>
              </w:rPr>
            </w:pPr>
          </w:p>
        </w:tc>
        <w:tc>
          <w:tcPr>
            <w:tcW w:w="1011"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D7E309D" w14:textId="77777777" w:rsidR="00E51CDD" w:rsidRPr="00960E15" w:rsidRDefault="00E51CDD" w:rsidP="009938D9">
            <w:pPr>
              <w:jc w:val="center"/>
              <w:rPr>
                <w:color w:val="000000"/>
                <w:sz w:val="20"/>
                <w:szCs w:val="20"/>
              </w:rPr>
            </w:pPr>
            <w:r w:rsidRPr="00960E15">
              <w:rPr>
                <w:color w:val="000000"/>
                <w:sz w:val="20"/>
                <w:szCs w:val="20"/>
              </w:rPr>
              <w:t>13100</w:t>
            </w:r>
          </w:p>
        </w:tc>
        <w:tc>
          <w:tcPr>
            <w:tcW w:w="1050" w:type="pct"/>
            <w:tcBorders>
              <w:top w:val="single" w:sz="4" w:space="0" w:color="auto"/>
              <w:left w:val="single" w:sz="4" w:space="0" w:color="auto"/>
              <w:bottom w:val="single" w:sz="4" w:space="0" w:color="auto"/>
              <w:right w:val="single" w:sz="4" w:space="0" w:color="auto"/>
            </w:tcBorders>
            <w:shd w:val="clear" w:color="000000" w:fill="FFFFFF"/>
            <w:vAlign w:val="center"/>
          </w:tcPr>
          <w:p w14:paraId="5D1BC256" w14:textId="77777777" w:rsidR="00E51CDD" w:rsidRPr="00960E15" w:rsidRDefault="00E51CDD" w:rsidP="009938D9">
            <w:pPr>
              <w:jc w:val="center"/>
              <w:rPr>
                <w:color w:val="000000"/>
                <w:sz w:val="20"/>
                <w:szCs w:val="20"/>
              </w:rPr>
            </w:pPr>
            <w:r w:rsidRPr="00960E15">
              <w:rPr>
                <w:color w:val="000000"/>
                <w:sz w:val="20"/>
                <w:szCs w:val="20"/>
              </w:rPr>
              <w:t>608</w:t>
            </w:r>
          </w:p>
        </w:tc>
        <w:tc>
          <w:tcPr>
            <w:tcW w:w="19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CFB4C24" w14:textId="77777777" w:rsidR="00E51CDD" w:rsidRPr="00960E15" w:rsidRDefault="00E51CDD" w:rsidP="009938D9">
            <w:pPr>
              <w:jc w:val="center"/>
              <w:rPr>
                <w:color w:val="000000"/>
                <w:sz w:val="20"/>
                <w:szCs w:val="20"/>
              </w:rPr>
            </w:pPr>
            <w:r w:rsidRPr="00960E15">
              <w:rPr>
                <w:color w:val="000000"/>
                <w:sz w:val="20"/>
                <w:szCs w:val="20"/>
              </w:rPr>
              <w:t>4</w:t>
            </w:r>
          </w:p>
        </w:tc>
        <w:tc>
          <w:tcPr>
            <w:tcW w:w="5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FA4ADF6" w14:textId="77777777" w:rsidR="00E51CDD" w:rsidRPr="00960E15" w:rsidRDefault="00E51CDD" w:rsidP="009938D9">
            <w:pPr>
              <w:jc w:val="center"/>
              <w:rPr>
                <w:color w:val="000000"/>
                <w:sz w:val="20"/>
                <w:szCs w:val="20"/>
              </w:rPr>
            </w:pPr>
            <w:r w:rsidRPr="00960E15">
              <w:rPr>
                <w:color w:val="000000"/>
                <w:sz w:val="20"/>
                <w:szCs w:val="20"/>
              </w:rPr>
              <w:t>107</w:t>
            </w:r>
          </w:p>
        </w:tc>
        <w:tc>
          <w:tcPr>
            <w:tcW w:w="75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BB288A4" w14:textId="77777777" w:rsidR="00E51CDD" w:rsidRPr="00960E15" w:rsidRDefault="00E51CDD" w:rsidP="009938D9">
            <w:pPr>
              <w:jc w:val="center"/>
              <w:rPr>
                <w:color w:val="000000"/>
                <w:sz w:val="20"/>
                <w:szCs w:val="20"/>
              </w:rPr>
            </w:pPr>
            <w:r w:rsidRPr="00960E15">
              <w:rPr>
                <w:color w:val="000000"/>
                <w:sz w:val="20"/>
                <w:szCs w:val="20"/>
              </w:rPr>
              <w:t>1.4</w:t>
            </w:r>
          </w:p>
        </w:tc>
      </w:tr>
    </w:tbl>
    <w:p w14:paraId="78422087" w14:textId="77777777" w:rsidR="00E51CDD" w:rsidRPr="00960E15" w:rsidRDefault="00E51CDD" w:rsidP="00E51CDD">
      <w:pPr>
        <w:widowControl w:val="0"/>
        <w:rPr>
          <w:i/>
          <w:iCs/>
          <w:color w:val="000000"/>
          <w:sz w:val="18"/>
          <w:szCs w:val="18"/>
        </w:rPr>
      </w:pPr>
      <w:r w:rsidRPr="00960E15">
        <w:rPr>
          <w:i/>
          <w:iCs/>
          <w:color w:val="000000"/>
          <w:sz w:val="18"/>
          <w:szCs w:val="18"/>
        </w:rPr>
        <w:t>RSD = relative standard deviation</w:t>
      </w:r>
    </w:p>
    <w:p w14:paraId="1BE6D029" w14:textId="77777777" w:rsidR="00E51CDD" w:rsidRPr="00960E15" w:rsidRDefault="00E51CDD" w:rsidP="00E51CDD">
      <w:pPr>
        <w:widowControl w:val="0"/>
        <w:ind w:left="270" w:hanging="270"/>
        <w:rPr>
          <w:color w:val="000000"/>
          <w:sz w:val="18"/>
          <w:szCs w:val="18"/>
        </w:rPr>
      </w:pPr>
      <w:r w:rsidRPr="00960E15">
        <w:rPr>
          <w:color w:val="000000"/>
          <w:sz w:val="18"/>
          <w:szCs w:val="18"/>
        </w:rPr>
        <w:t>*</w:t>
      </w:r>
      <w:r w:rsidRPr="00960E15">
        <w:rPr>
          <w:color w:val="000000"/>
          <w:sz w:val="18"/>
          <w:szCs w:val="18"/>
        </w:rPr>
        <w:tab/>
        <w:t>One outlier according to Grubbs, not used for calculation of mean and RSD.</w:t>
      </w:r>
    </w:p>
    <w:p w14:paraId="00CC64C7" w14:textId="77777777" w:rsidR="00E51CDD" w:rsidRPr="00960E15" w:rsidRDefault="00E51CDD" w:rsidP="00E51CDD">
      <w:pPr>
        <w:widowControl w:val="0"/>
        <w:rPr>
          <w:color w:val="000000"/>
          <w:szCs w:val="24"/>
        </w:rPr>
      </w:pPr>
    </w:p>
    <w:p w14:paraId="3C42DC64" w14:textId="77777777" w:rsidR="00E51CDD" w:rsidRPr="00960E15" w:rsidRDefault="00E51CDD" w:rsidP="00E51CDD">
      <w:pPr>
        <w:widowControl w:val="0"/>
        <w:rPr>
          <w:color w:val="000000"/>
          <w:szCs w:val="24"/>
        </w:rPr>
      </w:pPr>
      <w:r>
        <w:rPr>
          <w:color w:val="000000"/>
          <w:szCs w:val="24"/>
        </w:rPr>
        <w:br w:type="page"/>
      </w:r>
    </w:p>
    <w:p w14:paraId="6C0DC7B6" w14:textId="77777777" w:rsidR="00E51CDD" w:rsidRPr="00960E15" w:rsidRDefault="00E51CDD" w:rsidP="00E51CDD">
      <w:pPr>
        <w:widowControl w:val="0"/>
        <w:rPr>
          <w:b/>
          <w:bCs/>
          <w:color w:val="000000"/>
          <w:szCs w:val="24"/>
        </w:rPr>
      </w:pPr>
      <w:r w:rsidRPr="00960E15">
        <w:rPr>
          <w:b/>
          <w:bCs/>
          <w:color w:val="000000"/>
          <w:szCs w:val="24"/>
        </w:rPr>
        <w:lastRenderedPageBreak/>
        <w:t>II.</w:t>
      </w:r>
      <w:r w:rsidRPr="00960E15">
        <w:rPr>
          <w:b/>
          <w:bCs/>
          <w:color w:val="000000"/>
          <w:szCs w:val="24"/>
        </w:rPr>
        <w:tab/>
        <w:t>RESULTS AND DISCUSSION</w:t>
      </w:r>
    </w:p>
    <w:p w14:paraId="67B37F2F" w14:textId="77777777" w:rsidR="00E51CDD" w:rsidRPr="00960E15" w:rsidRDefault="00E51CDD" w:rsidP="00E51CDD">
      <w:pPr>
        <w:widowControl w:val="0"/>
        <w:rPr>
          <w:color w:val="000000"/>
          <w:szCs w:val="24"/>
        </w:rPr>
      </w:pPr>
    </w:p>
    <w:p w14:paraId="6C2327D5" w14:textId="77777777" w:rsidR="00E51CDD" w:rsidRPr="00960E15" w:rsidRDefault="00E51CDD" w:rsidP="00E51CDD">
      <w:pPr>
        <w:widowControl w:val="0"/>
        <w:jc w:val="both"/>
        <w:rPr>
          <w:color w:val="000000"/>
          <w:szCs w:val="24"/>
        </w:rPr>
      </w:pPr>
      <w:r w:rsidRPr="00960E15">
        <w:rPr>
          <w:szCs w:val="24"/>
        </w:rPr>
        <w:t>After 10 days of continuous exposure, no mortality was observed in the control group. In the test item groups, bees effectively consumed doses of 19.2, 28.3, 40.7, 60.2 and 92.2 µg BAS 736 00 F/bee/day which resulted in cumulative mortalities of 0.0, 35.0, 57.5, 100.0 and 100.0%, respectively</w:t>
      </w:r>
      <w:r w:rsidRPr="00960E15">
        <w:rPr>
          <w:color w:val="000000"/>
          <w:szCs w:val="24"/>
        </w:rPr>
        <w:t xml:space="preserve">. A statistically significant increase in mortality was found in the test item groups with an actual consumed dose of 28.3, 40.7, 60.2 and 92.2 µg product/bee/day compared to the control group (Cochran-Armitage test, α = 0.05, one-sided greater). </w:t>
      </w:r>
      <w:r w:rsidRPr="00960E15">
        <w:rPr>
          <w:color w:val="000000"/>
        </w:rPr>
        <w:t>Behavioral abnormalities were observed in a few bees in terms of affected or moribund, at the concentrations of 0.637, 1.27, 2.55, 5.09 and 10.2 g BAS 736 00 F/kg food at several assessment intervals during the 10-day observation period.</w:t>
      </w:r>
    </w:p>
    <w:p w14:paraId="1BBBF697" w14:textId="77777777" w:rsidR="00E51CDD" w:rsidRPr="00960E15" w:rsidRDefault="00E51CDD" w:rsidP="00E51CDD">
      <w:pPr>
        <w:widowControl w:val="0"/>
        <w:rPr>
          <w:color w:val="000000"/>
          <w:szCs w:val="24"/>
        </w:rPr>
      </w:pPr>
    </w:p>
    <w:p w14:paraId="14EFBB07" w14:textId="3A6267EA" w:rsidR="00E51CDD" w:rsidRPr="00960E15" w:rsidRDefault="00E51CDD" w:rsidP="00E51CDD">
      <w:pPr>
        <w:widowControl w:val="0"/>
        <w:rPr>
          <w:color w:val="000000"/>
          <w:szCs w:val="24"/>
        </w:rPr>
      </w:pPr>
      <w:r w:rsidRPr="00960E15">
        <w:rPr>
          <w:color w:val="000000"/>
          <w:szCs w:val="24"/>
        </w:rPr>
        <w:t xml:space="preserve">The results are summarized in </w:t>
      </w:r>
      <w:r>
        <w:rPr>
          <w:color w:val="000000"/>
          <w:szCs w:val="24"/>
          <w:highlight w:val="yellow"/>
        </w:rPr>
        <w:fldChar w:fldCharType="begin"/>
      </w:r>
      <w:r>
        <w:rPr>
          <w:color w:val="000000"/>
          <w:szCs w:val="24"/>
        </w:rPr>
        <w:instrText xml:space="preserve"> REF _Ref83889617 \h </w:instrText>
      </w:r>
      <w:r>
        <w:rPr>
          <w:color w:val="000000"/>
          <w:szCs w:val="24"/>
          <w:highlight w:val="yellow"/>
        </w:rPr>
      </w:r>
      <w:r>
        <w:rPr>
          <w:color w:val="000000"/>
          <w:szCs w:val="24"/>
          <w:highlight w:val="yellow"/>
        </w:rPr>
        <w:fldChar w:fldCharType="separate"/>
      </w:r>
      <w:r w:rsidR="00662F32" w:rsidRPr="00960E15">
        <w:t xml:space="preserve">Table A </w:t>
      </w:r>
      <w:r w:rsidR="00662F32">
        <w:rPr>
          <w:noProof/>
        </w:rPr>
        <w:t>20</w:t>
      </w:r>
      <w:r>
        <w:rPr>
          <w:color w:val="000000"/>
          <w:szCs w:val="24"/>
          <w:highlight w:val="yellow"/>
        </w:rPr>
        <w:fldChar w:fldCharType="end"/>
      </w:r>
      <w:r w:rsidRPr="00960E15">
        <w:rPr>
          <w:color w:val="000000"/>
          <w:szCs w:val="24"/>
        </w:rPr>
        <w:t>.</w:t>
      </w:r>
    </w:p>
    <w:p w14:paraId="4BE6A98C" w14:textId="77777777" w:rsidR="00E51CDD" w:rsidRPr="00960E15" w:rsidRDefault="00E51CDD" w:rsidP="00E51CDD">
      <w:pPr>
        <w:widowControl w:val="0"/>
        <w:rPr>
          <w:color w:val="000000"/>
          <w:szCs w:val="24"/>
        </w:rPr>
      </w:pPr>
    </w:p>
    <w:p w14:paraId="20B05C08" w14:textId="380CAE5B" w:rsidR="00B74DCE" w:rsidRDefault="00E51CDD" w:rsidP="00E51CDD">
      <w:pPr>
        <w:pStyle w:val="Legenda"/>
        <w:jc w:val="both"/>
        <w:rPr>
          <w:color w:val="000000"/>
          <w:sz w:val="22"/>
          <w:szCs w:val="22"/>
        </w:rPr>
      </w:pPr>
      <w:bookmarkStart w:id="1204" w:name="_Ref83889617"/>
      <w:r w:rsidRPr="00960E15">
        <w:rPr>
          <w:sz w:val="22"/>
          <w:szCs w:val="22"/>
        </w:rPr>
        <w:t xml:space="preserve">Table A </w:t>
      </w:r>
      <w:r w:rsidRPr="00960E15">
        <w:rPr>
          <w:sz w:val="22"/>
          <w:szCs w:val="22"/>
        </w:rPr>
        <w:fldChar w:fldCharType="begin"/>
      </w:r>
      <w:r w:rsidRPr="00960E15">
        <w:rPr>
          <w:sz w:val="22"/>
          <w:szCs w:val="22"/>
        </w:rPr>
        <w:instrText xml:space="preserve"> SEQ Table_A \* ARABIC </w:instrText>
      </w:r>
      <w:r w:rsidRPr="00960E15">
        <w:rPr>
          <w:sz w:val="22"/>
          <w:szCs w:val="22"/>
        </w:rPr>
        <w:fldChar w:fldCharType="separate"/>
      </w:r>
      <w:r w:rsidR="00662F32">
        <w:rPr>
          <w:noProof/>
          <w:sz w:val="22"/>
          <w:szCs w:val="22"/>
        </w:rPr>
        <w:t>20</w:t>
      </w:r>
      <w:r w:rsidRPr="00960E15">
        <w:rPr>
          <w:sz w:val="22"/>
          <w:szCs w:val="22"/>
        </w:rPr>
        <w:fldChar w:fldCharType="end"/>
      </w:r>
      <w:bookmarkEnd w:id="1204"/>
      <w:r w:rsidRPr="00960E15">
        <w:rPr>
          <w:color w:val="000000"/>
          <w:sz w:val="22"/>
          <w:szCs w:val="22"/>
        </w:rPr>
        <w:t>:</w:t>
      </w:r>
      <w:r w:rsidRPr="00960E15">
        <w:rPr>
          <w:color w:val="000000"/>
          <w:sz w:val="22"/>
          <w:szCs w:val="22"/>
        </w:rPr>
        <w:tab/>
        <w:t xml:space="preserve">Toxicity of BAS 736 00 F to </w:t>
      </w:r>
      <w:r w:rsidRPr="00960E15">
        <w:rPr>
          <w:i/>
          <w:color w:val="000000"/>
          <w:sz w:val="22"/>
          <w:szCs w:val="22"/>
        </w:rPr>
        <w:t>Apis mellifera</w:t>
      </w:r>
      <w:r w:rsidRPr="00960E15">
        <w:rPr>
          <w:color w:val="000000"/>
          <w:sz w:val="22"/>
          <w:szCs w:val="22"/>
        </w:rPr>
        <w:t xml:space="preserve"> L. in a chronic toxicity feeding test after </w:t>
      </w:r>
    </w:p>
    <w:p w14:paraId="6B034DED" w14:textId="159F70A0" w:rsidR="00E51CDD" w:rsidRPr="00960E15" w:rsidRDefault="00E51CDD" w:rsidP="00B74DCE">
      <w:pPr>
        <w:pStyle w:val="Legenda"/>
        <w:ind w:left="708" w:firstLine="708"/>
        <w:jc w:val="both"/>
        <w:rPr>
          <w:color w:val="000000"/>
          <w:sz w:val="22"/>
          <w:szCs w:val="22"/>
        </w:rPr>
      </w:pPr>
      <w:r w:rsidRPr="00960E15">
        <w:rPr>
          <w:color w:val="000000"/>
          <w:sz w:val="22"/>
          <w:szCs w:val="22"/>
        </w:rPr>
        <w:t>10 days</w:t>
      </w:r>
    </w:p>
    <w:tbl>
      <w:tblPr>
        <w:tblW w:w="51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1984"/>
        <w:gridCol w:w="1718"/>
        <w:gridCol w:w="802"/>
        <w:gridCol w:w="1066"/>
        <w:gridCol w:w="2090"/>
      </w:tblGrid>
      <w:tr w:rsidR="00E51CDD" w:rsidRPr="00960E15" w14:paraId="5F56CAEB" w14:textId="77777777" w:rsidTr="009938D9">
        <w:trPr>
          <w:trHeight w:val="340"/>
        </w:trPr>
        <w:tc>
          <w:tcPr>
            <w:tcW w:w="2947" w:type="pct"/>
            <w:gridSpan w:val="3"/>
            <w:tcBorders>
              <w:top w:val="single" w:sz="4" w:space="0" w:color="auto"/>
              <w:left w:val="single" w:sz="4" w:space="0" w:color="auto"/>
              <w:bottom w:val="single" w:sz="4" w:space="0" w:color="auto"/>
              <w:right w:val="single" w:sz="4" w:space="0" w:color="auto"/>
            </w:tcBorders>
            <w:vAlign w:val="center"/>
            <w:hideMark/>
          </w:tcPr>
          <w:p w14:paraId="78D176C7" w14:textId="77777777" w:rsidR="00E51CDD" w:rsidRPr="00960E15" w:rsidRDefault="00E51CDD" w:rsidP="009938D9">
            <w:pPr>
              <w:widowControl w:val="0"/>
              <w:jc w:val="center"/>
              <w:rPr>
                <w:b/>
                <w:color w:val="0070C0"/>
                <w:sz w:val="20"/>
                <w:szCs w:val="20"/>
              </w:rPr>
            </w:pPr>
            <w:r w:rsidRPr="00960E15">
              <w:rPr>
                <w:b/>
                <w:color w:val="000000"/>
                <w:sz w:val="20"/>
                <w:szCs w:val="20"/>
              </w:rPr>
              <w:t>Treatment</w:t>
            </w:r>
          </w:p>
        </w:tc>
        <w:tc>
          <w:tcPr>
            <w:tcW w:w="2053" w:type="pct"/>
            <w:gridSpan w:val="3"/>
            <w:tcBorders>
              <w:top w:val="single" w:sz="4" w:space="0" w:color="auto"/>
              <w:left w:val="single" w:sz="4" w:space="0" w:color="auto"/>
              <w:bottom w:val="single" w:sz="4" w:space="0" w:color="auto"/>
              <w:right w:val="single" w:sz="4" w:space="0" w:color="auto"/>
            </w:tcBorders>
            <w:vAlign w:val="center"/>
            <w:hideMark/>
          </w:tcPr>
          <w:p w14:paraId="16C6AFE6" w14:textId="77777777" w:rsidR="00E51CDD" w:rsidRPr="00960E15" w:rsidRDefault="00E51CDD" w:rsidP="009938D9">
            <w:pPr>
              <w:widowControl w:val="0"/>
              <w:jc w:val="center"/>
              <w:rPr>
                <w:b/>
                <w:color w:val="000000"/>
                <w:sz w:val="20"/>
                <w:szCs w:val="20"/>
              </w:rPr>
            </w:pPr>
            <w:r w:rsidRPr="00960E15">
              <w:rPr>
                <w:b/>
                <w:color w:val="000000"/>
                <w:sz w:val="20"/>
                <w:szCs w:val="20"/>
              </w:rPr>
              <w:t>Mortality after 10 days</w:t>
            </w:r>
          </w:p>
        </w:tc>
      </w:tr>
      <w:tr w:rsidR="00E51CDD" w:rsidRPr="00960E15" w14:paraId="41CB3198" w14:textId="77777777" w:rsidTr="009938D9">
        <w:tc>
          <w:tcPr>
            <w:tcW w:w="1027" w:type="pct"/>
            <w:tcBorders>
              <w:top w:val="single" w:sz="4" w:space="0" w:color="auto"/>
              <w:left w:val="single" w:sz="4" w:space="0" w:color="auto"/>
              <w:bottom w:val="single" w:sz="4" w:space="0" w:color="auto"/>
              <w:right w:val="single" w:sz="4" w:space="0" w:color="auto"/>
            </w:tcBorders>
            <w:vAlign w:val="center"/>
            <w:hideMark/>
          </w:tcPr>
          <w:p w14:paraId="1FB37456" w14:textId="77777777" w:rsidR="00E51CDD" w:rsidRPr="00960E15" w:rsidRDefault="00E51CDD" w:rsidP="009938D9">
            <w:pPr>
              <w:widowControl w:val="0"/>
              <w:jc w:val="center"/>
              <w:rPr>
                <w:b/>
                <w:color w:val="000000"/>
                <w:sz w:val="20"/>
                <w:szCs w:val="20"/>
              </w:rPr>
            </w:pPr>
            <w:r w:rsidRPr="00960E15">
              <w:rPr>
                <w:b/>
                <w:color w:val="000000"/>
                <w:sz w:val="20"/>
                <w:szCs w:val="20"/>
              </w:rPr>
              <w:t xml:space="preserve">Nominal dosage </w:t>
            </w:r>
            <w:r w:rsidRPr="00960E15">
              <w:rPr>
                <w:bCs/>
                <w:color w:val="000000"/>
                <w:sz w:val="20"/>
                <w:szCs w:val="20"/>
              </w:rPr>
              <w:t>[µg product/bee/day]</w:t>
            </w:r>
          </w:p>
        </w:tc>
        <w:tc>
          <w:tcPr>
            <w:tcW w:w="1029" w:type="pct"/>
            <w:tcBorders>
              <w:top w:val="single" w:sz="4" w:space="0" w:color="auto"/>
              <w:left w:val="single" w:sz="4" w:space="0" w:color="auto"/>
              <w:bottom w:val="single" w:sz="4" w:space="0" w:color="auto"/>
              <w:right w:val="single" w:sz="4" w:space="0" w:color="auto"/>
            </w:tcBorders>
            <w:vAlign w:val="center"/>
            <w:hideMark/>
          </w:tcPr>
          <w:p w14:paraId="4282CE59" w14:textId="77777777" w:rsidR="00E51CDD" w:rsidRPr="00960E15" w:rsidRDefault="00E51CDD" w:rsidP="009938D9">
            <w:pPr>
              <w:widowControl w:val="0"/>
              <w:jc w:val="center"/>
              <w:rPr>
                <w:b/>
                <w:color w:val="000000"/>
                <w:sz w:val="20"/>
                <w:szCs w:val="20"/>
              </w:rPr>
            </w:pPr>
            <w:r w:rsidRPr="00960E15">
              <w:rPr>
                <w:b/>
                <w:color w:val="000000"/>
                <w:sz w:val="20"/>
                <w:szCs w:val="20"/>
              </w:rPr>
              <w:t xml:space="preserve">Consumed dosage </w:t>
            </w:r>
            <w:r w:rsidRPr="00960E15">
              <w:rPr>
                <w:bCs/>
                <w:color w:val="000000"/>
                <w:sz w:val="20"/>
                <w:szCs w:val="20"/>
              </w:rPr>
              <w:t>[µg product/bee/day]</w:t>
            </w:r>
          </w:p>
        </w:tc>
        <w:tc>
          <w:tcPr>
            <w:tcW w:w="891" w:type="pct"/>
            <w:tcBorders>
              <w:top w:val="single" w:sz="4" w:space="0" w:color="auto"/>
              <w:left w:val="single" w:sz="4" w:space="0" w:color="auto"/>
              <w:bottom w:val="single" w:sz="4" w:space="0" w:color="auto"/>
              <w:right w:val="single" w:sz="4" w:space="0" w:color="auto"/>
            </w:tcBorders>
            <w:vAlign w:val="center"/>
            <w:hideMark/>
          </w:tcPr>
          <w:p w14:paraId="2F3314A2" w14:textId="77777777" w:rsidR="00E51CDD" w:rsidRPr="00960E15" w:rsidRDefault="00E51CDD" w:rsidP="009938D9">
            <w:pPr>
              <w:widowControl w:val="0"/>
              <w:jc w:val="center"/>
              <w:rPr>
                <w:b/>
                <w:color w:val="000000"/>
                <w:sz w:val="20"/>
                <w:szCs w:val="20"/>
              </w:rPr>
            </w:pPr>
            <w:r w:rsidRPr="00960E15">
              <w:rPr>
                <w:b/>
                <w:color w:val="000000"/>
                <w:sz w:val="20"/>
                <w:szCs w:val="20"/>
              </w:rPr>
              <w:t>Concentration</w:t>
            </w:r>
            <w:r w:rsidRPr="00960E15">
              <w:rPr>
                <w:b/>
                <w:color w:val="000000"/>
                <w:sz w:val="20"/>
                <w:szCs w:val="20"/>
              </w:rPr>
              <w:br/>
            </w:r>
            <w:r w:rsidRPr="00960E15">
              <w:rPr>
                <w:bCs/>
                <w:color w:val="000000"/>
                <w:sz w:val="20"/>
                <w:szCs w:val="20"/>
              </w:rPr>
              <w:t>[g product/kg food]</w:t>
            </w:r>
          </w:p>
        </w:tc>
        <w:tc>
          <w:tcPr>
            <w:tcW w:w="969" w:type="pct"/>
            <w:gridSpan w:val="2"/>
            <w:tcBorders>
              <w:top w:val="single" w:sz="4" w:space="0" w:color="auto"/>
              <w:left w:val="single" w:sz="4" w:space="0" w:color="auto"/>
              <w:bottom w:val="single" w:sz="4" w:space="0" w:color="auto"/>
              <w:right w:val="single" w:sz="4" w:space="0" w:color="auto"/>
            </w:tcBorders>
            <w:vAlign w:val="center"/>
            <w:hideMark/>
          </w:tcPr>
          <w:p w14:paraId="55AB5EB2" w14:textId="77777777" w:rsidR="00E51CDD" w:rsidRPr="00960E15" w:rsidRDefault="00E51CDD" w:rsidP="009938D9">
            <w:pPr>
              <w:widowControl w:val="0"/>
              <w:jc w:val="center"/>
              <w:rPr>
                <w:b/>
                <w:color w:val="000000"/>
                <w:sz w:val="20"/>
                <w:szCs w:val="20"/>
              </w:rPr>
            </w:pPr>
            <w:r w:rsidRPr="00960E15">
              <w:rPr>
                <w:b/>
                <w:color w:val="000000"/>
                <w:sz w:val="20"/>
                <w:szCs w:val="20"/>
              </w:rPr>
              <w:t xml:space="preserve">Mean cumulative mortality </w:t>
            </w:r>
            <w:r w:rsidRPr="00960E15">
              <w:rPr>
                <w:bCs/>
                <w:color w:val="000000"/>
                <w:sz w:val="20"/>
                <w:szCs w:val="20"/>
              </w:rPr>
              <w:t>[%]</w:t>
            </w:r>
          </w:p>
        </w:tc>
        <w:tc>
          <w:tcPr>
            <w:tcW w:w="1084" w:type="pct"/>
            <w:tcBorders>
              <w:top w:val="single" w:sz="4" w:space="0" w:color="auto"/>
              <w:left w:val="single" w:sz="4" w:space="0" w:color="auto"/>
              <w:bottom w:val="single" w:sz="4" w:space="0" w:color="auto"/>
              <w:right w:val="single" w:sz="4" w:space="0" w:color="auto"/>
            </w:tcBorders>
            <w:vAlign w:val="center"/>
            <w:hideMark/>
          </w:tcPr>
          <w:p w14:paraId="2A5CB652" w14:textId="77777777" w:rsidR="00E51CDD" w:rsidRPr="00960E15" w:rsidRDefault="00E51CDD" w:rsidP="009938D9">
            <w:pPr>
              <w:widowControl w:val="0"/>
              <w:jc w:val="center"/>
              <w:rPr>
                <w:b/>
                <w:color w:val="000000"/>
                <w:sz w:val="20"/>
                <w:szCs w:val="20"/>
              </w:rPr>
            </w:pPr>
            <w:r w:rsidRPr="00960E15">
              <w:rPr>
                <w:b/>
                <w:color w:val="000000"/>
                <w:sz w:val="20"/>
                <w:szCs w:val="20"/>
              </w:rPr>
              <w:t xml:space="preserve">Number of bees with behavioral abnormalities </w:t>
            </w:r>
            <w:r w:rsidRPr="00960E15">
              <w:rPr>
                <w:b/>
                <w:color w:val="000000"/>
                <w:sz w:val="20"/>
                <w:szCs w:val="20"/>
                <w:vertAlign w:val="superscript"/>
              </w:rPr>
              <w:t>1)</w:t>
            </w:r>
          </w:p>
        </w:tc>
      </w:tr>
      <w:tr w:rsidR="00E51CDD" w:rsidRPr="00960E15" w14:paraId="1BD873B3"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2B3A6AD6" w14:textId="77777777" w:rsidR="00E51CDD" w:rsidRPr="00960E15" w:rsidRDefault="00E51CDD" w:rsidP="009938D9">
            <w:pPr>
              <w:widowControl w:val="0"/>
              <w:jc w:val="center"/>
              <w:rPr>
                <w:color w:val="000000"/>
                <w:sz w:val="20"/>
                <w:szCs w:val="20"/>
              </w:rPr>
            </w:pPr>
            <w:r w:rsidRPr="00960E15">
              <w:rPr>
                <w:color w:val="000000"/>
                <w:sz w:val="20"/>
                <w:szCs w:val="20"/>
              </w:rPr>
              <w:t>Control</w:t>
            </w:r>
          </w:p>
        </w:tc>
        <w:tc>
          <w:tcPr>
            <w:tcW w:w="1029" w:type="pct"/>
            <w:tcBorders>
              <w:top w:val="single" w:sz="4" w:space="0" w:color="auto"/>
              <w:left w:val="single" w:sz="4" w:space="0" w:color="auto"/>
              <w:bottom w:val="single" w:sz="4" w:space="0" w:color="auto"/>
              <w:right w:val="single" w:sz="4" w:space="0" w:color="auto"/>
            </w:tcBorders>
            <w:vAlign w:val="center"/>
            <w:hideMark/>
          </w:tcPr>
          <w:p w14:paraId="7B216CAE" w14:textId="77777777" w:rsidR="00E51CDD" w:rsidRPr="00960E15" w:rsidRDefault="00E51CDD" w:rsidP="009938D9">
            <w:pPr>
              <w:widowControl w:val="0"/>
              <w:jc w:val="center"/>
              <w:rPr>
                <w:color w:val="000000"/>
                <w:sz w:val="20"/>
                <w:szCs w:val="20"/>
              </w:rPr>
            </w:pPr>
            <w:r w:rsidRPr="00960E15">
              <w:rPr>
                <w:color w:val="000000"/>
                <w:sz w:val="20"/>
                <w:szCs w:val="20"/>
              </w:rPr>
              <w:t>--</w:t>
            </w:r>
          </w:p>
        </w:tc>
        <w:tc>
          <w:tcPr>
            <w:tcW w:w="891" w:type="pct"/>
            <w:tcBorders>
              <w:top w:val="single" w:sz="4" w:space="0" w:color="auto"/>
              <w:left w:val="single" w:sz="4" w:space="0" w:color="auto"/>
              <w:bottom w:val="single" w:sz="4" w:space="0" w:color="auto"/>
              <w:right w:val="single" w:sz="4" w:space="0" w:color="auto"/>
            </w:tcBorders>
            <w:vAlign w:val="center"/>
            <w:hideMark/>
          </w:tcPr>
          <w:p w14:paraId="4C53405A" w14:textId="77777777" w:rsidR="00E51CDD" w:rsidRPr="00960E15" w:rsidRDefault="00E51CDD" w:rsidP="009938D9">
            <w:pPr>
              <w:widowControl w:val="0"/>
              <w:jc w:val="center"/>
              <w:rPr>
                <w:color w:val="000000"/>
                <w:sz w:val="20"/>
                <w:szCs w:val="20"/>
              </w:rPr>
            </w:pPr>
            <w:r w:rsidRPr="00960E15">
              <w:rPr>
                <w:color w:val="000000"/>
                <w:sz w:val="20"/>
                <w:szCs w:val="20"/>
              </w:rPr>
              <w:t>--</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30D8A153" w14:textId="77777777" w:rsidR="00E51CDD" w:rsidRPr="00960E15" w:rsidRDefault="00E51CDD" w:rsidP="009938D9">
            <w:pPr>
              <w:widowControl w:val="0"/>
              <w:jc w:val="center"/>
              <w:rPr>
                <w:color w:val="000000"/>
                <w:sz w:val="20"/>
                <w:szCs w:val="20"/>
              </w:rPr>
            </w:pPr>
            <w:r w:rsidRPr="00960E15">
              <w:rPr>
                <w:color w:val="000000"/>
                <w:sz w:val="20"/>
                <w:szCs w:val="20"/>
              </w:rPr>
              <w:t>0.0</w:t>
            </w:r>
          </w:p>
        </w:tc>
        <w:tc>
          <w:tcPr>
            <w:tcW w:w="1084" w:type="pct"/>
            <w:tcBorders>
              <w:top w:val="single" w:sz="4" w:space="0" w:color="auto"/>
              <w:left w:val="single" w:sz="4" w:space="0" w:color="auto"/>
              <w:bottom w:val="single" w:sz="4" w:space="0" w:color="auto"/>
              <w:right w:val="single" w:sz="4" w:space="0" w:color="auto"/>
            </w:tcBorders>
            <w:vAlign w:val="center"/>
            <w:hideMark/>
          </w:tcPr>
          <w:p w14:paraId="01B1C4D3" w14:textId="77777777" w:rsidR="00E51CDD" w:rsidRPr="00960E15" w:rsidRDefault="00E51CDD" w:rsidP="009938D9">
            <w:pPr>
              <w:widowControl w:val="0"/>
              <w:jc w:val="center"/>
              <w:rPr>
                <w:color w:val="000000"/>
                <w:sz w:val="20"/>
                <w:szCs w:val="20"/>
              </w:rPr>
            </w:pPr>
            <w:r w:rsidRPr="00960E15">
              <w:rPr>
                <w:color w:val="000000"/>
                <w:sz w:val="20"/>
                <w:szCs w:val="20"/>
              </w:rPr>
              <w:t>0 (40)</w:t>
            </w:r>
          </w:p>
        </w:tc>
      </w:tr>
      <w:tr w:rsidR="00E51CDD" w:rsidRPr="00960E15" w14:paraId="790991C0"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59DB517A" w14:textId="77777777" w:rsidR="00E51CDD" w:rsidRPr="00960E15" w:rsidRDefault="00E51CDD" w:rsidP="009938D9">
            <w:pPr>
              <w:widowControl w:val="0"/>
              <w:jc w:val="center"/>
              <w:rPr>
                <w:color w:val="0070C0"/>
                <w:sz w:val="20"/>
                <w:szCs w:val="20"/>
              </w:rPr>
            </w:pPr>
            <w:r w:rsidRPr="00960E15">
              <w:rPr>
                <w:rFonts w:eastAsia="Calibri"/>
                <w:color w:val="000000"/>
                <w:sz w:val="20"/>
                <w:szCs w:val="20"/>
                <w:lang w:eastAsia="en-US"/>
              </w:rPr>
              <w:t>25.0</w:t>
            </w:r>
          </w:p>
        </w:tc>
        <w:tc>
          <w:tcPr>
            <w:tcW w:w="1029" w:type="pct"/>
            <w:tcBorders>
              <w:top w:val="single" w:sz="4" w:space="0" w:color="auto"/>
              <w:left w:val="single" w:sz="4" w:space="0" w:color="auto"/>
              <w:bottom w:val="single" w:sz="4" w:space="0" w:color="auto"/>
              <w:right w:val="single" w:sz="4" w:space="0" w:color="auto"/>
            </w:tcBorders>
            <w:vAlign w:val="center"/>
            <w:hideMark/>
          </w:tcPr>
          <w:p w14:paraId="4DD18FAF" w14:textId="77777777" w:rsidR="00E51CDD" w:rsidRPr="00960E15" w:rsidRDefault="00E51CDD" w:rsidP="009938D9">
            <w:pPr>
              <w:widowControl w:val="0"/>
              <w:jc w:val="center"/>
              <w:rPr>
                <w:color w:val="000000"/>
                <w:sz w:val="20"/>
                <w:szCs w:val="20"/>
              </w:rPr>
            </w:pPr>
            <w:r w:rsidRPr="00960E15">
              <w:rPr>
                <w:rFonts w:eastAsia="Calibri"/>
                <w:color w:val="000000"/>
                <w:sz w:val="20"/>
                <w:szCs w:val="20"/>
                <w:lang w:eastAsia="en-US"/>
              </w:rPr>
              <w:t>19.2</w:t>
            </w:r>
          </w:p>
        </w:tc>
        <w:tc>
          <w:tcPr>
            <w:tcW w:w="891" w:type="pct"/>
            <w:tcBorders>
              <w:top w:val="single" w:sz="4" w:space="0" w:color="auto"/>
              <w:left w:val="single" w:sz="4" w:space="0" w:color="auto"/>
              <w:bottom w:val="single" w:sz="4" w:space="0" w:color="auto"/>
              <w:right w:val="single" w:sz="4" w:space="0" w:color="auto"/>
            </w:tcBorders>
            <w:vAlign w:val="center"/>
            <w:hideMark/>
          </w:tcPr>
          <w:p w14:paraId="7B8208A8" w14:textId="77777777" w:rsidR="00E51CDD" w:rsidRPr="00960E15" w:rsidRDefault="00E51CDD" w:rsidP="009938D9">
            <w:pPr>
              <w:widowControl w:val="0"/>
              <w:jc w:val="center"/>
              <w:rPr>
                <w:color w:val="000000"/>
                <w:sz w:val="20"/>
                <w:szCs w:val="20"/>
              </w:rPr>
            </w:pPr>
            <w:r w:rsidRPr="00960E15">
              <w:rPr>
                <w:color w:val="000000"/>
                <w:sz w:val="20"/>
                <w:szCs w:val="20"/>
              </w:rPr>
              <w:t>0.637</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46931E4D" w14:textId="77777777" w:rsidR="00E51CDD" w:rsidRPr="00960E15" w:rsidRDefault="00E51CDD" w:rsidP="009938D9">
            <w:pPr>
              <w:widowControl w:val="0"/>
              <w:jc w:val="center"/>
              <w:rPr>
                <w:color w:val="000000"/>
                <w:sz w:val="20"/>
                <w:szCs w:val="20"/>
              </w:rPr>
            </w:pPr>
            <w:r w:rsidRPr="00960E15">
              <w:rPr>
                <w:color w:val="000000"/>
                <w:sz w:val="20"/>
                <w:szCs w:val="20"/>
              </w:rPr>
              <w:t>0.0</w:t>
            </w:r>
          </w:p>
        </w:tc>
        <w:tc>
          <w:tcPr>
            <w:tcW w:w="1084" w:type="pct"/>
            <w:tcBorders>
              <w:top w:val="single" w:sz="4" w:space="0" w:color="auto"/>
              <w:left w:val="single" w:sz="4" w:space="0" w:color="auto"/>
              <w:bottom w:val="single" w:sz="4" w:space="0" w:color="auto"/>
              <w:right w:val="single" w:sz="4" w:space="0" w:color="auto"/>
            </w:tcBorders>
            <w:vAlign w:val="center"/>
            <w:hideMark/>
          </w:tcPr>
          <w:p w14:paraId="14FE40D3" w14:textId="77777777" w:rsidR="00E51CDD" w:rsidRPr="00960E15" w:rsidRDefault="00E51CDD" w:rsidP="009938D9">
            <w:pPr>
              <w:widowControl w:val="0"/>
              <w:jc w:val="center"/>
              <w:rPr>
                <w:color w:val="000000"/>
                <w:sz w:val="20"/>
                <w:szCs w:val="20"/>
              </w:rPr>
            </w:pPr>
            <w:r w:rsidRPr="00960E15">
              <w:rPr>
                <w:color w:val="000000"/>
                <w:sz w:val="20"/>
                <w:szCs w:val="20"/>
              </w:rPr>
              <w:t>1 (40)</w:t>
            </w:r>
          </w:p>
        </w:tc>
      </w:tr>
      <w:tr w:rsidR="00E51CDD" w:rsidRPr="00960E15" w14:paraId="0C6DEE29"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7F296E4E" w14:textId="77777777" w:rsidR="00E51CDD" w:rsidRPr="00960E15" w:rsidRDefault="00E51CDD" w:rsidP="009938D9">
            <w:pPr>
              <w:widowControl w:val="0"/>
              <w:jc w:val="center"/>
              <w:rPr>
                <w:color w:val="0070C0"/>
                <w:sz w:val="20"/>
                <w:szCs w:val="20"/>
              </w:rPr>
            </w:pPr>
            <w:r w:rsidRPr="00960E15">
              <w:rPr>
                <w:rFonts w:eastAsia="Calibri"/>
                <w:color w:val="000000"/>
                <w:sz w:val="20"/>
                <w:szCs w:val="20"/>
                <w:lang w:eastAsia="en-US"/>
              </w:rPr>
              <w:t>50.0</w:t>
            </w:r>
          </w:p>
        </w:tc>
        <w:tc>
          <w:tcPr>
            <w:tcW w:w="1029" w:type="pct"/>
            <w:tcBorders>
              <w:top w:val="single" w:sz="4" w:space="0" w:color="auto"/>
              <w:left w:val="single" w:sz="4" w:space="0" w:color="auto"/>
              <w:bottom w:val="single" w:sz="4" w:space="0" w:color="auto"/>
              <w:right w:val="single" w:sz="4" w:space="0" w:color="auto"/>
            </w:tcBorders>
            <w:vAlign w:val="center"/>
            <w:hideMark/>
          </w:tcPr>
          <w:p w14:paraId="73799467" w14:textId="77777777" w:rsidR="00E51CDD" w:rsidRPr="00960E15" w:rsidRDefault="00E51CDD" w:rsidP="009938D9">
            <w:pPr>
              <w:widowControl w:val="0"/>
              <w:jc w:val="center"/>
              <w:rPr>
                <w:color w:val="0070C0"/>
                <w:sz w:val="20"/>
                <w:szCs w:val="20"/>
              </w:rPr>
            </w:pPr>
            <w:r w:rsidRPr="00960E15">
              <w:rPr>
                <w:rFonts w:eastAsia="Calibri"/>
                <w:color w:val="000000"/>
                <w:sz w:val="20"/>
                <w:szCs w:val="20"/>
                <w:lang w:eastAsia="en-US"/>
              </w:rPr>
              <w:t>28.3</w:t>
            </w:r>
          </w:p>
        </w:tc>
        <w:tc>
          <w:tcPr>
            <w:tcW w:w="891" w:type="pct"/>
            <w:tcBorders>
              <w:top w:val="single" w:sz="4" w:space="0" w:color="auto"/>
              <w:left w:val="single" w:sz="4" w:space="0" w:color="auto"/>
              <w:bottom w:val="single" w:sz="4" w:space="0" w:color="auto"/>
              <w:right w:val="single" w:sz="4" w:space="0" w:color="auto"/>
            </w:tcBorders>
            <w:vAlign w:val="center"/>
            <w:hideMark/>
          </w:tcPr>
          <w:p w14:paraId="1A3F2D2E" w14:textId="77777777" w:rsidR="00E51CDD" w:rsidRPr="00960E15" w:rsidRDefault="00E51CDD" w:rsidP="009938D9">
            <w:pPr>
              <w:widowControl w:val="0"/>
              <w:jc w:val="center"/>
              <w:rPr>
                <w:color w:val="000000"/>
                <w:sz w:val="20"/>
                <w:szCs w:val="20"/>
              </w:rPr>
            </w:pPr>
            <w:r w:rsidRPr="00960E15">
              <w:rPr>
                <w:color w:val="000000"/>
                <w:sz w:val="20"/>
                <w:szCs w:val="20"/>
              </w:rPr>
              <w:t>1.27</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04B4F7A2" w14:textId="77777777" w:rsidR="00E51CDD" w:rsidRPr="00960E15" w:rsidRDefault="00E51CDD" w:rsidP="009938D9">
            <w:pPr>
              <w:widowControl w:val="0"/>
              <w:jc w:val="center"/>
              <w:rPr>
                <w:color w:val="000000"/>
                <w:sz w:val="20"/>
                <w:szCs w:val="20"/>
              </w:rPr>
            </w:pPr>
            <w:r w:rsidRPr="00960E15">
              <w:rPr>
                <w:color w:val="000000"/>
                <w:sz w:val="20"/>
                <w:szCs w:val="20"/>
              </w:rPr>
              <w:t>35.0*</w:t>
            </w:r>
          </w:p>
        </w:tc>
        <w:tc>
          <w:tcPr>
            <w:tcW w:w="1084" w:type="pct"/>
            <w:tcBorders>
              <w:top w:val="single" w:sz="4" w:space="0" w:color="auto"/>
              <w:left w:val="single" w:sz="4" w:space="0" w:color="auto"/>
              <w:bottom w:val="single" w:sz="4" w:space="0" w:color="auto"/>
              <w:right w:val="single" w:sz="4" w:space="0" w:color="auto"/>
            </w:tcBorders>
            <w:vAlign w:val="center"/>
            <w:hideMark/>
          </w:tcPr>
          <w:p w14:paraId="2D8CC4FD" w14:textId="77777777" w:rsidR="00E51CDD" w:rsidRPr="00960E15" w:rsidRDefault="00E51CDD" w:rsidP="009938D9">
            <w:pPr>
              <w:jc w:val="center"/>
              <w:rPr>
                <w:color w:val="000000"/>
                <w:sz w:val="20"/>
                <w:szCs w:val="20"/>
              </w:rPr>
            </w:pPr>
            <w:r w:rsidRPr="00960E15">
              <w:rPr>
                <w:color w:val="000000"/>
                <w:sz w:val="20"/>
                <w:szCs w:val="20"/>
              </w:rPr>
              <w:t>2 (40)</w:t>
            </w:r>
          </w:p>
        </w:tc>
      </w:tr>
      <w:tr w:rsidR="00E51CDD" w:rsidRPr="00960E15" w14:paraId="6B88766D"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705662F9" w14:textId="77777777" w:rsidR="00E51CDD" w:rsidRPr="00960E15" w:rsidRDefault="00E51CDD" w:rsidP="009938D9">
            <w:pPr>
              <w:widowControl w:val="0"/>
              <w:jc w:val="center"/>
              <w:rPr>
                <w:color w:val="0070C0"/>
                <w:sz w:val="20"/>
                <w:szCs w:val="20"/>
              </w:rPr>
            </w:pPr>
            <w:r w:rsidRPr="00960E15">
              <w:rPr>
                <w:rFonts w:eastAsia="Calibri"/>
                <w:color w:val="000000"/>
                <w:sz w:val="20"/>
                <w:szCs w:val="20"/>
                <w:lang w:eastAsia="en-US"/>
              </w:rPr>
              <w:t>100</w:t>
            </w:r>
          </w:p>
        </w:tc>
        <w:tc>
          <w:tcPr>
            <w:tcW w:w="1029" w:type="pct"/>
            <w:tcBorders>
              <w:top w:val="single" w:sz="4" w:space="0" w:color="auto"/>
              <w:left w:val="single" w:sz="4" w:space="0" w:color="auto"/>
              <w:bottom w:val="single" w:sz="4" w:space="0" w:color="auto"/>
              <w:right w:val="single" w:sz="4" w:space="0" w:color="auto"/>
            </w:tcBorders>
            <w:vAlign w:val="center"/>
            <w:hideMark/>
          </w:tcPr>
          <w:p w14:paraId="3D1FE09F" w14:textId="77777777" w:rsidR="00E51CDD" w:rsidRPr="00960E15" w:rsidRDefault="00E51CDD" w:rsidP="009938D9">
            <w:pPr>
              <w:widowControl w:val="0"/>
              <w:jc w:val="center"/>
              <w:rPr>
                <w:color w:val="0070C0"/>
                <w:sz w:val="20"/>
                <w:szCs w:val="20"/>
              </w:rPr>
            </w:pPr>
            <w:r w:rsidRPr="00960E15">
              <w:rPr>
                <w:rFonts w:eastAsia="Calibri"/>
                <w:color w:val="000000"/>
                <w:sz w:val="20"/>
                <w:szCs w:val="20"/>
                <w:lang w:eastAsia="en-US"/>
              </w:rPr>
              <w:t>40.7</w:t>
            </w:r>
          </w:p>
        </w:tc>
        <w:tc>
          <w:tcPr>
            <w:tcW w:w="891" w:type="pct"/>
            <w:tcBorders>
              <w:top w:val="single" w:sz="4" w:space="0" w:color="auto"/>
              <w:left w:val="single" w:sz="4" w:space="0" w:color="auto"/>
              <w:bottom w:val="single" w:sz="4" w:space="0" w:color="auto"/>
              <w:right w:val="single" w:sz="4" w:space="0" w:color="auto"/>
            </w:tcBorders>
            <w:vAlign w:val="center"/>
            <w:hideMark/>
          </w:tcPr>
          <w:p w14:paraId="0AF8F879" w14:textId="77777777" w:rsidR="00E51CDD" w:rsidRPr="00960E15" w:rsidRDefault="00E51CDD" w:rsidP="009938D9">
            <w:pPr>
              <w:widowControl w:val="0"/>
              <w:jc w:val="center"/>
              <w:rPr>
                <w:color w:val="000000"/>
                <w:sz w:val="20"/>
                <w:szCs w:val="20"/>
              </w:rPr>
            </w:pPr>
            <w:r w:rsidRPr="00960E15">
              <w:rPr>
                <w:color w:val="000000"/>
                <w:sz w:val="20"/>
                <w:szCs w:val="20"/>
              </w:rPr>
              <w:t>2.55</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0C610317" w14:textId="77777777" w:rsidR="00E51CDD" w:rsidRPr="00960E15" w:rsidRDefault="00E51CDD" w:rsidP="009938D9">
            <w:pPr>
              <w:widowControl w:val="0"/>
              <w:jc w:val="center"/>
              <w:rPr>
                <w:color w:val="000000"/>
                <w:sz w:val="20"/>
                <w:szCs w:val="20"/>
              </w:rPr>
            </w:pPr>
            <w:r w:rsidRPr="00960E15">
              <w:rPr>
                <w:color w:val="000000"/>
                <w:sz w:val="20"/>
                <w:szCs w:val="20"/>
              </w:rPr>
              <w:t>57.5*</w:t>
            </w:r>
          </w:p>
        </w:tc>
        <w:tc>
          <w:tcPr>
            <w:tcW w:w="1084" w:type="pct"/>
            <w:tcBorders>
              <w:top w:val="single" w:sz="4" w:space="0" w:color="auto"/>
              <w:left w:val="single" w:sz="4" w:space="0" w:color="auto"/>
              <w:bottom w:val="single" w:sz="4" w:space="0" w:color="auto"/>
              <w:right w:val="single" w:sz="4" w:space="0" w:color="auto"/>
            </w:tcBorders>
            <w:vAlign w:val="center"/>
            <w:hideMark/>
          </w:tcPr>
          <w:p w14:paraId="00C047A0" w14:textId="77777777" w:rsidR="00E51CDD" w:rsidRPr="00960E15" w:rsidRDefault="00E51CDD" w:rsidP="009938D9">
            <w:pPr>
              <w:jc w:val="center"/>
              <w:rPr>
                <w:color w:val="000000"/>
                <w:sz w:val="20"/>
                <w:szCs w:val="20"/>
              </w:rPr>
            </w:pPr>
            <w:r w:rsidRPr="00960E15">
              <w:rPr>
                <w:color w:val="000000"/>
                <w:sz w:val="20"/>
                <w:szCs w:val="20"/>
              </w:rPr>
              <w:t>3 (39)</w:t>
            </w:r>
          </w:p>
        </w:tc>
      </w:tr>
      <w:tr w:rsidR="00E51CDD" w:rsidRPr="00960E15" w14:paraId="037AE135"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6D34215E" w14:textId="77777777" w:rsidR="00E51CDD" w:rsidRPr="00960E15" w:rsidRDefault="00E51CDD" w:rsidP="009938D9">
            <w:pPr>
              <w:widowControl w:val="0"/>
              <w:jc w:val="center"/>
              <w:rPr>
                <w:color w:val="0070C0"/>
                <w:sz w:val="20"/>
                <w:szCs w:val="20"/>
              </w:rPr>
            </w:pPr>
            <w:r w:rsidRPr="00960E15">
              <w:rPr>
                <w:rFonts w:eastAsia="Calibri"/>
                <w:color w:val="000000"/>
                <w:sz w:val="20"/>
                <w:szCs w:val="20"/>
                <w:lang w:eastAsia="en-US"/>
              </w:rPr>
              <w:t>200</w:t>
            </w:r>
          </w:p>
        </w:tc>
        <w:tc>
          <w:tcPr>
            <w:tcW w:w="1029" w:type="pct"/>
            <w:tcBorders>
              <w:top w:val="single" w:sz="4" w:space="0" w:color="auto"/>
              <w:left w:val="single" w:sz="4" w:space="0" w:color="auto"/>
              <w:bottom w:val="single" w:sz="4" w:space="0" w:color="auto"/>
              <w:right w:val="single" w:sz="4" w:space="0" w:color="auto"/>
            </w:tcBorders>
            <w:vAlign w:val="center"/>
            <w:hideMark/>
          </w:tcPr>
          <w:p w14:paraId="03F0FC94" w14:textId="77777777" w:rsidR="00E51CDD" w:rsidRPr="00960E15" w:rsidRDefault="00E51CDD" w:rsidP="009938D9">
            <w:pPr>
              <w:widowControl w:val="0"/>
              <w:jc w:val="center"/>
              <w:rPr>
                <w:color w:val="0070C0"/>
                <w:sz w:val="20"/>
                <w:szCs w:val="20"/>
              </w:rPr>
            </w:pPr>
            <w:r w:rsidRPr="00960E15">
              <w:rPr>
                <w:rFonts w:eastAsia="Calibri"/>
                <w:color w:val="000000"/>
                <w:sz w:val="20"/>
                <w:szCs w:val="20"/>
                <w:lang w:eastAsia="en-US"/>
              </w:rPr>
              <w:t>60.2</w:t>
            </w:r>
          </w:p>
        </w:tc>
        <w:tc>
          <w:tcPr>
            <w:tcW w:w="891" w:type="pct"/>
            <w:tcBorders>
              <w:top w:val="single" w:sz="4" w:space="0" w:color="auto"/>
              <w:left w:val="single" w:sz="4" w:space="0" w:color="auto"/>
              <w:bottom w:val="single" w:sz="4" w:space="0" w:color="auto"/>
              <w:right w:val="single" w:sz="4" w:space="0" w:color="auto"/>
            </w:tcBorders>
            <w:vAlign w:val="center"/>
            <w:hideMark/>
          </w:tcPr>
          <w:p w14:paraId="4F165CC2" w14:textId="77777777" w:rsidR="00E51CDD" w:rsidRPr="00960E15" w:rsidRDefault="00E51CDD" w:rsidP="009938D9">
            <w:pPr>
              <w:widowControl w:val="0"/>
              <w:jc w:val="center"/>
              <w:rPr>
                <w:color w:val="000000"/>
                <w:sz w:val="20"/>
                <w:szCs w:val="20"/>
              </w:rPr>
            </w:pPr>
            <w:r w:rsidRPr="00960E15">
              <w:rPr>
                <w:color w:val="000000"/>
                <w:sz w:val="20"/>
                <w:szCs w:val="20"/>
              </w:rPr>
              <w:t>5.09</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27F151A6" w14:textId="77777777" w:rsidR="00E51CDD" w:rsidRPr="00960E15" w:rsidRDefault="00E51CDD" w:rsidP="009938D9">
            <w:pPr>
              <w:widowControl w:val="0"/>
              <w:jc w:val="center"/>
              <w:rPr>
                <w:color w:val="000000"/>
                <w:sz w:val="20"/>
                <w:szCs w:val="20"/>
              </w:rPr>
            </w:pPr>
            <w:r w:rsidRPr="00960E15">
              <w:rPr>
                <w:color w:val="000000"/>
                <w:sz w:val="20"/>
                <w:szCs w:val="20"/>
              </w:rPr>
              <w:t>100.0*</w:t>
            </w:r>
          </w:p>
        </w:tc>
        <w:tc>
          <w:tcPr>
            <w:tcW w:w="1084" w:type="pct"/>
            <w:tcBorders>
              <w:top w:val="single" w:sz="4" w:space="0" w:color="auto"/>
              <w:left w:val="single" w:sz="4" w:space="0" w:color="auto"/>
              <w:bottom w:val="single" w:sz="4" w:space="0" w:color="auto"/>
              <w:right w:val="single" w:sz="4" w:space="0" w:color="auto"/>
            </w:tcBorders>
            <w:vAlign w:val="center"/>
            <w:hideMark/>
          </w:tcPr>
          <w:p w14:paraId="6FD6189B" w14:textId="77777777" w:rsidR="00E51CDD" w:rsidRPr="00960E15" w:rsidRDefault="00E51CDD" w:rsidP="009938D9">
            <w:pPr>
              <w:jc w:val="center"/>
              <w:rPr>
                <w:color w:val="000000"/>
                <w:sz w:val="20"/>
                <w:szCs w:val="20"/>
              </w:rPr>
            </w:pPr>
            <w:r w:rsidRPr="00960E15">
              <w:rPr>
                <w:color w:val="000000"/>
                <w:sz w:val="20"/>
                <w:szCs w:val="20"/>
              </w:rPr>
              <w:t>6 (34)</w:t>
            </w:r>
          </w:p>
        </w:tc>
      </w:tr>
      <w:tr w:rsidR="00E51CDD" w:rsidRPr="00960E15" w14:paraId="3A34CED3" w14:textId="77777777" w:rsidTr="009938D9">
        <w:trPr>
          <w:trHeight w:val="340"/>
        </w:trPr>
        <w:tc>
          <w:tcPr>
            <w:tcW w:w="1027" w:type="pct"/>
            <w:tcBorders>
              <w:top w:val="single" w:sz="4" w:space="0" w:color="auto"/>
              <w:left w:val="single" w:sz="4" w:space="0" w:color="auto"/>
              <w:bottom w:val="single" w:sz="4" w:space="0" w:color="auto"/>
              <w:right w:val="single" w:sz="4" w:space="0" w:color="auto"/>
            </w:tcBorders>
            <w:vAlign w:val="center"/>
            <w:hideMark/>
          </w:tcPr>
          <w:p w14:paraId="1C1E5B23" w14:textId="77777777" w:rsidR="00E51CDD" w:rsidRPr="00960E15" w:rsidRDefault="00E51CDD" w:rsidP="009938D9">
            <w:pPr>
              <w:widowControl w:val="0"/>
              <w:jc w:val="center"/>
              <w:rPr>
                <w:color w:val="0070C0"/>
                <w:sz w:val="20"/>
                <w:szCs w:val="20"/>
              </w:rPr>
            </w:pPr>
            <w:r w:rsidRPr="00960E15">
              <w:rPr>
                <w:rFonts w:eastAsia="Calibri"/>
                <w:color w:val="000000"/>
                <w:sz w:val="20"/>
                <w:szCs w:val="20"/>
                <w:lang w:eastAsia="en-US"/>
              </w:rPr>
              <w:t>400</w:t>
            </w:r>
          </w:p>
        </w:tc>
        <w:tc>
          <w:tcPr>
            <w:tcW w:w="1029" w:type="pct"/>
            <w:tcBorders>
              <w:top w:val="single" w:sz="4" w:space="0" w:color="auto"/>
              <w:left w:val="single" w:sz="4" w:space="0" w:color="auto"/>
              <w:bottom w:val="single" w:sz="4" w:space="0" w:color="auto"/>
              <w:right w:val="single" w:sz="4" w:space="0" w:color="auto"/>
            </w:tcBorders>
            <w:vAlign w:val="center"/>
            <w:hideMark/>
          </w:tcPr>
          <w:p w14:paraId="539B1FFC" w14:textId="77777777" w:rsidR="00E51CDD" w:rsidRPr="00960E15" w:rsidRDefault="00E51CDD" w:rsidP="009938D9">
            <w:pPr>
              <w:widowControl w:val="0"/>
              <w:jc w:val="center"/>
              <w:rPr>
                <w:color w:val="0070C0"/>
                <w:sz w:val="20"/>
                <w:szCs w:val="20"/>
              </w:rPr>
            </w:pPr>
            <w:r w:rsidRPr="00960E15">
              <w:rPr>
                <w:rFonts w:eastAsia="Calibri"/>
                <w:color w:val="000000"/>
                <w:sz w:val="20"/>
                <w:szCs w:val="20"/>
                <w:lang w:eastAsia="en-US"/>
              </w:rPr>
              <w:t>92.2</w:t>
            </w:r>
          </w:p>
        </w:tc>
        <w:tc>
          <w:tcPr>
            <w:tcW w:w="891" w:type="pct"/>
            <w:tcBorders>
              <w:top w:val="single" w:sz="4" w:space="0" w:color="auto"/>
              <w:left w:val="single" w:sz="4" w:space="0" w:color="auto"/>
              <w:bottom w:val="single" w:sz="4" w:space="0" w:color="auto"/>
              <w:right w:val="single" w:sz="4" w:space="0" w:color="auto"/>
            </w:tcBorders>
            <w:vAlign w:val="center"/>
            <w:hideMark/>
          </w:tcPr>
          <w:p w14:paraId="0126F153" w14:textId="77777777" w:rsidR="00E51CDD" w:rsidRPr="00960E15" w:rsidRDefault="00E51CDD" w:rsidP="009938D9">
            <w:pPr>
              <w:widowControl w:val="0"/>
              <w:jc w:val="center"/>
              <w:rPr>
                <w:color w:val="000000"/>
                <w:sz w:val="20"/>
                <w:szCs w:val="20"/>
              </w:rPr>
            </w:pPr>
            <w:r w:rsidRPr="00960E15">
              <w:rPr>
                <w:color w:val="000000"/>
                <w:sz w:val="20"/>
                <w:szCs w:val="20"/>
              </w:rPr>
              <w:t>10.2</w:t>
            </w:r>
          </w:p>
        </w:tc>
        <w:tc>
          <w:tcPr>
            <w:tcW w:w="969" w:type="pct"/>
            <w:gridSpan w:val="2"/>
            <w:tcBorders>
              <w:top w:val="single" w:sz="4" w:space="0" w:color="auto"/>
              <w:left w:val="single" w:sz="4" w:space="0" w:color="auto"/>
              <w:bottom w:val="single" w:sz="4" w:space="0" w:color="auto"/>
              <w:right w:val="single" w:sz="4" w:space="0" w:color="auto"/>
            </w:tcBorders>
            <w:vAlign w:val="center"/>
          </w:tcPr>
          <w:p w14:paraId="4E04AA69" w14:textId="77777777" w:rsidR="00E51CDD" w:rsidRPr="00960E15" w:rsidRDefault="00E51CDD" w:rsidP="009938D9">
            <w:pPr>
              <w:widowControl w:val="0"/>
              <w:jc w:val="center"/>
              <w:rPr>
                <w:color w:val="000000"/>
                <w:sz w:val="20"/>
                <w:szCs w:val="20"/>
              </w:rPr>
            </w:pPr>
            <w:r w:rsidRPr="00960E15">
              <w:rPr>
                <w:color w:val="000000"/>
                <w:sz w:val="20"/>
                <w:szCs w:val="20"/>
              </w:rPr>
              <w:t>100.0*</w:t>
            </w:r>
          </w:p>
        </w:tc>
        <w:tc>
          <w:tcPr>
            <w:tcW w:w="1084" w:type="pct"/>
            <w:tcBorders>
              <w:top w:val="single" w:sz="4" w:space="0" w:color="auto"/>
              <w:left w:val="single" w:sz="4" w:space="0" w:color="auto"/>
              <w:bottom w:val="single" w:sz="4" w:space="0" w:color="auto"/>
              <w:right w:val="single" w:sz="4" w:space="0" w:color="auto"/>
            </w:tcBorders>
            <w:vAlign w:val="center"/>
            <w:hideMark/>
          </w:tcPr>
          <w:p w14:paraId="240A4CE6" w14:textId="77777777" w:rsidR="00E51CDD" w:rsidRPr="00960E15" w:rsidRDefault="00E51CDD" w:rsidP="009938D9">
            <w:pPr>
              <w:jc w:val="center"/>
              <w:rPr>
                <w:color w:val="000000"/>
                <w:sz w:val="20"/>
                <w:szCs w:val="20"/>
              </w:rPr>
            </w:pPr>
            <w:r w:rsidRPr="00960E15">
              <w:rPr>
                <w:color w:val="000000"/>
                <w:sz w:val="20"/>
                <w:szCs w:val="20"/>
              </w:rPr>
              <w:t>6 (16)</w:t>
            </w:r>
          </w:p>
        </w:tc>
      </w:tr>
      <w:tr w:rsidR="00E51CDD" w:rsidRPr="00960E15" w14:paraId="73C8BEC8" w14:textId="77777777" w:rsidTr="009938D9">
        <w:trPr>
          <w:trHeight w:val="34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14:paraId="16EF4222" w14:textId="77777777" w:rsidR="00E51CDD" w:rsidRPr="00960E15" w:rsidRDefault="00E51CDD" w:rsidP="009938D9">
            <w:pPr>
              <w:widowControl w:val="0"/>
              <w:jc w:val="center"/>
              <w:rPr>
                <w:color w:val="000000"/>
                <w:sz w:val="20"/>
                <w:szCs w:val="20"/>
              </w:rPr>
            </w:pPr>
            <w:r w:rsidRPr="00960E15">
              <w:rPr>
                <w:b/>
                <w:color w:val="000000"/>
                <w:sz w:val="20"/>
                <w:szCs w:val="20"/>
              </w:rPr>
              <w:t>Endpoints [10 days]</w:t>
            </w:r>
          </w:p>
        </w:tc>
      </w:tr>
      <w:tr w:rsidR="00E51CDD" w:rsidRPr="00960E15" w14:paraId="0449E7F7" w14:textId="77777777" w:rsidTr="009938D9">
        <w:trPr>
          <w:trHeight w:val="454"/>
        </w:trPr>
        <w:tc>
          <w:tcPr>
            <w:tcW w:w="1027" w:type="pct"/>
            <w:vMerge w:val="restart"/>
            <w:tcBorders>
              <w:top w:val="single" w:sz="4" w:space="0" w:color="auto"/>
              <w:left w:val="single" w:sz="4" w:space="0" w:color="auto"/>
              <w:right w:val="single" w:sz="4" w:space="0" w:color="auto"/>
            </w:tcBorders>
            <w:vAlign w:val="center"/>
            <w:hideMark/>
          </w:tcPr>
          <w:p w14:paraId="774BF3D7" w14:textId="77777777" w:rsidR="00E51CDD" w:rsidRPr="00960E15" w:rsidRDefault="00E51CDD" w:rsidP="009938D9">
            <w:pPr>
              <w:widowControl w:val="0"/>
              <w:jc w:val="center"/>
              <w:rPr>
                <w:color w:val="000000"/>
                <w:sz w:val="20"/>
                <w:szCs w:val="20"/>
              </w:rPr>
            </w:pPr>
            <w:r w:rsidRPr="00960E15">
              <w:rPr>
                <w:color w:val="000000"/>
                <w:sz w:val="20"/>
                <w:szCs w:val="20"/>
              </w:rPr>
              <w:t>Test item doses</w:t>
            </w:r>
          </w:p>
        </w:tc>
        <w:tc>
          <w:tcPr>
            <w:tcW w:w="2336" w:type="pct"/>
            <w:gridSpan w:val="3"/>
            <w:tcBorders>
              <w:top w:val="single" w:sz="4" w:space="0" w:color="auto"/>
              <w:left w:val="single" w:sz="4" w:space="0" w:color="auto"/>
              <w:bottom w:val="dotted" w:sz="4" w:space="0" w:color="auto"/>
              <w:right w:val="single" w:sz="4" w:space="0" w:color="auto"/>
            </w:tcBorders>
            <w:vAlign w:val="center"/>
            <w:hideMark/>
          </w:tcPr>
          <w:p w14:paraId="37D6829B" w14:textId="77777777" w:rsidR="00E51CDD" w:rsidRPr="00960E15" w:rsidRDefault="00E51CDD" w:rsidP="009938D9">
            <w:pPr>
              <w:widowControl w:val="0"/>
              <w:jc w:val="center"/>
              <w:rPr>
                <w:color w:val="000000"/>
                <w:sz w:val="20"/>
                <w:szCs w:val="20"/>
                <w:vertAlign w:val="superscript"/>
              </w:rPr>
            </w:pPr>
            <w:r w:rsidRPr="00960E15">
              <w:rPr>
                <w:color w:val="000000"/>
                <w:sz w:val="20"/>
                <w:szCs w:val="20"/>
              </w:rPr>
              <w:t>LDD</w:t>
            </w:r>
            <w:r w:rsidRPr="00960E15">
              <w:rPr>
                <w:color w:val="000000"/>
                <w:sz w:val="20"/>
                <w:szCs w:val="20"/>
                <w:vertAlign w:val="subscript"/>
              </w:rPr>
              <w:t>10</w:t>
            </w:r>
            <w:r w:rsidRPr="00960E15">
              <w:rPr>
                <w:color w:val="000000"/>
                <w:sz w:val="20"/>
                <w:szCs w:val="20"/>
              </w:rPr>
              <w:t xml:space="preserve"> [μg consumed product/bee/day] </w:t>
            </w:r>
            <w:r w:rsidRPr="00960E15">
              <w:rPr>
                <w:color w:val="000000"/>
                <w:sz w:val="20"/>
                <w:szCs w:val="20"/>
                <w:vertAlign w:val="superscript"/>
              </w:rPr>
              <w:t>2) 3)</w:t>
            </w:r>
          </w:p>
        </w:tc>
        <w:tc>
          <w:tcPr>
            <w:tcW w:w="1637" w:type="pct"/>
            <w:gridSpan w:val="2"/>
            <w:tcBorders>
              <w:top w:val="single" w:sz="4" w:space="0" w:color="auto"/>
              <w:left w:val="single" w:sz="4" w:space="0" w:color="auto"/>
              <w:bottom w:val="dotted" w:sz="4" w:space="0" w:color="auto"/>
              <w:right w:val="single" w:sz="4" w:space="0" w:color="auto"/>
            </w:tcBorders>
            <w:vAlign w:val="center"/>
            <w:hideMark/>
          </w:tcPr>
          <w:p w14:paraId="3B5D45C2" w14:textId="77777777" w:rsidR="00E51CDD" w:rsidRPr="00960E15" w:rsidRDefault="00E51CDD" w:rsidP="009938D9">
            <w:pPr>
              <w:widowControl w:val="0"/>
              <w:jc w:val="center"/>
              <w:rPr>
                <w:color w:val="000000"/>
                <w:sz w:val="20"/>
                <w:szCs w:val="20"/>
              </w:rPr>
            </w:pPr>
            <w:r w:rsidRPr="00960E15">
              <w:rPr>
                <w:color w:val="000000"/>
                <w:sz w:val="20"/>
                <w:szCs w:val="20"/>
              </w:rPr>
              <w:t>22.8</w:t>
            </w:r>
          </w:p>
        </w:tc>
      </w:tr>
      <w:tr w:rsidR="00E51CDD" w:rsidRPr="00960E15" w14:paraId="6F37F0A9" w14:textId="77777777" w:rsidTr="009938D9">
        <w:trPr>
          <w:trHeight w:val="454"/>
        </w:trPr>
        <w:tc>
          <w:tcPr>
            <w:tcW w:w="0" w:type="auto"/>
            <w:vMerge/>
            <w:tcBorders>
              <w:left w:val="single" w:sz="4" w:space="0" w:color="auto"/>
              <w:right w:val="single" w:sz="4" w:space="0" w:color="auto"/>
            </w:tcBorders>
            <w:vAlign w:val="center"/>
            <w:hideMark/>
          </w:tcPr>
          <w:p w14:paraId="2254A2F5" w14:textId="77777777" w:rsidR="00E51CDD" w:rsidRPr="00960E15" w:rsidRDefault="00E51CDD" w:rsidP="009938D9">
            <w:pPr>
              <w:jc w:val="center"/>
              <w:rPr>
                <w:color w:val="000000"/>
                <w:sz w:val="20"/>
                <w:szCs w:val="20"/>
              </w:rPr>
            </w:pPr>
          </w:p>
        </w:tc>
        <w:tc>
          <w:tcPr>
            <w:tcW w:w="2336" w:type="pct"/>
            <w:gridSpan w:val="3"/>
            <w:tcBorders>
              <w:top w:val="dotted" w:sz="4" w:space="0" w:color="auto"/>
              <w:left w:val="single" w:sz="4" w:space="0" w:color="auto"/>
              <w:bottom w:val="dotted" w:sz="4" w:space="0" w:color="auto"/>
              <w:right w:val="single" w:sz="4" w:space="0" w:color="auto"/>
            </w:tcBorders>
            <w:vAlign w:val="center"/>
            <w:hideMark/>
          </w:tcPr>
          <w:p w14:paraId="23FC5BA2" w14:textId="77777777" w:rsidR="00E51CDD" w:rsidRPr="00960E15" w:rsidRDefault="00E51CDD" w:rsidP="009938D9">
            <w:pPr>
              <w:widowControl w:val="0"/>
              <w:jc w:val="center"/>
              <w:rPr>
                <w:color w:val="000000"/>
                <w:sz w:val="20"/>
                <w:szCs w:val="20"/>
              </w:rPr>
            </w:pPr>
            <w:r w:rsidRPr="00960E15">
              <w:rPr>
                <w:color w:val="000000"/>
                <w:sz w:val="20"/>
                <w:szCs w:val="20"/>
              </w:rPr>
              <w:t>LDD</w:t>
            </w:r>
            <w:r w:rsidRPr="00960E15">
              <w:rPr>
                <w:color w:val="000000"/>
                <w:sz w:val="20"/>
                <w:szCs w:val="20"/>
                <w:vertAlign w:val="subscript"/>
              </w:rPr>
              <w:t>20</w:t>
            </w:r>
            <w:r w:rsidRPr="00960E15">
              <w:rPr>
                <w:color w:val="000000"/>
                <w:sz w:val="20"/>
                <w:szCs w:val="20"/>
              </w:rPr>
              <w:t xml:space="preserve"> [μg consumed product/bee/day] </w:t>
            </w:r>
            <w:r w:rsidRPr="00960E15">
              <w:rPr>
                <w:color w:val="000000"/>
                <w:sz w:val="20"/>
                <w:szCs w:val="20"/>
                <w:vertAlign w:val="superscript"/>
              </w:rPr>
              <w:t>2) 3)</w:t>
            </w:r>
          </w:p>
        </w:tc>
        <w:tc>
          <w:tcPr>
            <w:tcW w:w="1637" w:type="pct"/>
            <w:gridSpan w:val="2"/>
            <w:tcBorders>
              <w:top w:val="dotted" w:sz="4" w:space="0" w:color="auto"/>
              <w:left w:val="single" w:sz="4" w:space="0" w:color="auto"/>
              <w:bottom w:val="dotted" w:sz="4" w:space="0" w:color="auto"/>
              <w:right w:val="single" w:sz="4" w:space="0" w:color="auto"/>
            </w:tcBorders>
            <w:vAlign w:val="center"/>
            <w:hideMark/>
          </w:tcPr>
          <w:p w14:paraId="23542C65" w14:textId="77777777" w:rsidR="00E51CDD" w:rsidRPr="00960E15" w:rsidRDefault="00E51CDD" w:rsidP="009938D9">
            <w:pPr>
              <w:widowControl w:val="0"/>
              <w:jc w:val="center"/>
              <w:rPr>
                <w:color w:val="000000"/>
                <w:sz w:val="20"/>
                <w:szCs w:val="20"/>
              </w:rPr>
            </w:pPr>
            <w:r w:rsidRPr="00960E15">
              <w:rPr>
                <w:color w:val="000000"/>
                <w:sz w:val="20"/>
                <w:szCs w:val="20"/>
              </w:rPr>
              <w:t>27.5</w:t>
            </w:r>
          </w:p>
        </w:tc>
      </w:tr>
      <w:tr w:rsidR="00E51CDD" w:rsidRPr="00960E15" w14:paraId="3D5301E0" w14:textId="77777777" w:rsidTr="009938D9">
        <w:trPr>
          <w:trHeight w:val="454"/>
        </w:trPr>
        <w:tc>
          <w:tcPr>
            <w:tcW w:w="0" w:type="auto"/>
            <w:vMerge/>
            <w:tcBorders>
              <w:left w:val="single" w:sz="4" w:space="0" w:color="auto"/>
              <w:right w:val="single" w:sz="4" w:space="0" w:color="auto"/>
            </w:tcBorders>
            <w:vAlign w:val="center"/>
            <w:hideMark/>
          </w:tcPr>
          <w:p w14:paraId="501878A8" w14:textId="77777777" w:rsidR="00E51CDD" w:rsidRPr="00960E15" w:rsidRDefault="00E51CDD" w:rsidP="009938D9">
            <w:pPr>
              <w:jc w:val="center"/>
              <w:rPr>
                <w:color w:val="000000"/>
                <w:sz w:val="20"/>
                <w:szCs w:val="20"/>
              </w:rPr>
            </w:pPr>
          </w:p>
        </w:tc>
        <w:tc>
          <w:tcPr>
            <w:tcW w:w="2336" w:type="pct"/>
            <w:gridSpan w:val="3"/>
            <w:tcBorders>
              <w:top w:val="dotted" w:sz="4" w:space="0" w:color="auto"/>
              <w:left w:val="single" w:sz="4" w:space="0" w:color="auto"/>
              <w:bottom w:val="dotted" w:sz="4" w:space="0" w:color="auto"/>
              <w:right w:val="single" w:sz="4" w:space="0" w:color="auto"/>
            </w:tcBorders>
            <w:vAlign w:val="center"/>
            <w:hideMark/>
          </w:tcPr>
          <w:p w14:paraId="55D9A936" w14:textId="77777777" w:rsidR="00E51CDD" w:rsidRPr="00960E15" w:rsidRDefault="00E51CDD" w:rsidP="009938D9">
            <w:pPr>
              <w:widowControl w:val="0"/>
              <w:jc w:val="center"/>
              <w:rPr>
                <w:color w:val="000000"/>
                <w:sz w:val="20"/>
                <w:szCs w:val="20"/>
              </w:rPr>
            </w:pPr>
            <w:r w:rsidRPr="00960E15">
              <w:rPr>
                <w:color w:val="000000"/>
                <w:sz w:val="20"/>
                <w:szCs w:val="20"/>
              </w:rPr>
              <w:t>LDD</w:t>
            </w:r>
            <w:r w:rsidRPr="00960E15">
              <w:rPr>
                <w:color w:val="000000"/>
                <w:sz w:val="20"/>
                <w:szCs w:val="20"/>
                <w:vertAlign w:val="subscript"/>
              </w:rPr>
              <w:t>50</w:t>
            </w:r>
            <w:r w:rsidRPr="00960E15">
              <w:rPr>
                <w:color w:val="000000"/>
                <w:sz w:val="20"/>
                <w:szCs w:val="20"/>
              </w:rPr>
              <w:t xml:space="preserve"> [μg consumed product/bee/day] </w:t>
            </w:r>
            <w:r w:rsidRPr="00960E15">
              <w:rPr>
                <w:color w:val="000000"/>
                <w:sz w:val="20"/>
                <w:szCs w:val="20"/>
                <w:vertAlign w:val="superscript"/>
              </w:rPr>
              <w:t>2) 3)</w:t>
            </w:r>
          </w:p>
        </w:tc>
        <w:tc>
          <w:tcPr>
            <w:tcW w:w="1637" w:type="pct"/>
            <w:gridSpan w:val="2"/>
            <w:tcBorders>
              <w:top w:val="dotted" w:sz="4" w:space="0" w:color="auto"/>
              <w:left w:val="single" w:sz="4" w:space="0" w:color="auto"/>
              <w:bottom w:val="dotted" w:sz="4" w:space="0" w:color="auto"/>
              <w:right w:val="single" w:sz="4" w:space="0" w:color="auto"/>
            </w:tcBorders>
            <w:vAlign w:val="center"/>
            <w:hideMark/>
          </w:tcPr>
          <w:p w14:paraId="1A3D50D7" w14:textId="77777777" w:rsidR="00E51CDD" w:rsidRPr="00960E15" w:rsidRDefault="00E51CDD" w:rsidP="009938D9">
            <w:pPr>
              <w:widowControl w:val="0"/>
              <w:jc w:val="center"/>
              <w:rPr>
                <w:color w:val="000000"/>
                <w:sz w:val="20"/>
                <w:szCs w:val="20"/>
              </w:rPr>
            </w:pPr>
            <w:r w:rsidRPr="00960E15">
              <w:rPr>
                <w:color w:val="000000"/>
                <w:sz w:val="20"/>
                <w:szCs w:val="20"/>
              </w:rPr>
              <w:t>36.6</w:t>
            </w:r>
          </w:p>
        </w:tc>
      </w:tr>
      <w:tr w:rsidR="00E51CDD" w:rsidRPr="00960E15" w14:paraId="76335156" w14:textId="77777777" w:rsidTr="009938D9">
        <w:trPr>
          <w:trHeight w:val="454"/>
        </w:trPr>
        <w:tc>
          <w:tcPr>
            <w:tcW w:w="0" w:type="auto"/>
            <w:vMerge/>
            <w:tcBorders>
              <w:left w:val="single" w:sz="4" w:space="0" w:color="auto"/>
              <w:right w:val="single" w:sz="4" w:space="0" w:color="auto"/>
            </w:tcBorders>
            <w:vAlign w:val="center"/>
            <w:hideMark/>
          </w:tcPr>
          <w:p w14:paraId="347BC9F0" w14:textId="77777777" w:rsidR="00E51CDD" w:rsidRPr="00960E15" w:rsidRDefault="00E51CDD" w:rsidP="009938D9">
            <w:pPr>
              <w:jc w:val="center"/>
              <w:rPr>
                <w:color w:val="000000"/>
                <w:sz w:val="20"/>
                <w:szCs w:val="20"/>
              </w:rPr>
            </w:pPr>
          </w:p>
        </w:tc>
        <w:tc>
          <w:tcPr>
            <w:tcW w:w="2336" w:type="pct"/>
            <w:gridSpan w:val="3"/>
            <w:tcBorders>
              <w:top w:val="dotted" w:sz="4" w:space="0" w:color="auto"/>
              <w:left w:val="single" w:sz="4" w:space="0" w:color="auto"/>
              <w:bottom w:val="dotted" w:sz="4" w:space="0" w:color="auto"/>
              <w:right w:val="single" w:sz="4" w:space="0" w:color="auto"/>
            </w:tcBorders>
            <w:vAlign w:val="center"/>
            <w:hideMark/>
          </w:tcPr>
          <w:p w14:paraId="0BFED4AE" w14:textId="77777777" w:rsidR="00E51CDD" w:rsidRPr="00960E15" w:rsidRDefault="00E51CDD" w:rsidP="009938D9">
            <w:pPr>
              <w:widowControl w:val="0"/>
              <w:jc w:val="center"/>
              <w:rPr>
                <w:color w:val="000000"/>
                <w:sz w:val="20"/>
                <w:szCs w:val="20"/>
              </w:rPr>
            </w:pPr>
            <w:r w:rsidRPr="00960E15">
              <w:rPr>
                <w:color w:val="000000"/>
                <w:sz w:val="20"/>
                <w:szCs w:val="20"/>
              </w:rPr>
              <w:t>NOEDD [μg consumed product/bee/day]</w:t>
            </w:r>
            <w:r w:rsidRPr="00960E15">
              <w:rPr>
                <w:color w:val="000000"/>
                <w:sz w:val="20"/>
                <w:szCs w:val="20"/>
                <w:vertAlign w:val="superscript"/>
              </w:rPr>
              <w:t xml:space="preserve"> 2) 4)</w:t>
            </w:r>
          </w:p>
        </w:tc>
        <w:tc>
          <w:tcPr>
            <w:tcW w:w="1637" w:type="pct"/>
            <w:gridSpan w:val="2"/>
            <w:tcBorders>
              <w:top w:val="dotted" w:sz="4" w:space="0" w:color="auto"/>
              <w:left w:val="single" w:sz="4" w:space="0" w:color="auto"/>
              <w:bottom w:val="dotted" w:sz="4" w:space="0" w:color="auto"/>
              <w:right w:val="single" w:sz="4" w:space="0" w:color="auto"/>
            </w:tcBorders>
            <w:vAlign w:val="center"/>
            <w:hideMark/>
          </w:tcPr>
          <w:p w14:paraId="4A31DE8B" w14:textId="77777777" w:rsidR="00E51CDD" w:rsidRPr="00960E15" w:rsidRDefault="00E51CDD" w:rsidP="009938D9">
            <w:pPr>
              <w:widowControl w:val="0"/>
              <w:jc w:val="center"/>
              <w:rPr>
                <w:color w:val="000000"/>
                <w:sz w:val="20"/>
                <w:szCs w:val="20"/>
              </w:rPr>
            </w:pPr>
            <w:r w:rsidRPr="00960E15">
              <w:rPr>
                <w:color w:val="000000"/>
                <w:sz w:val="20"/>
                <w:szCs w:val="20"/>
              </w:rPr>
              <w:t>19.2</w:t>
            </w:r>
          </w:p>
        </w:tc>
      </w:tr>
      <w:tr w:rsidR="00E51CDD" w:rsidRPr="00960E15" w14:paraId="6055EFEE" w14:textId="77777777" w:rsidTr="009938D9">
        <w:trPr>
          <w:trHeight w:val="454"/>
        </w:trPr>
        <w:tc>
          <w:tcPr>
            <w:tcW w:w="0" w:type="auto"/>
            <w:vMerge/>
            <w:tcBorders>
              <w:left w:val="single" w:sz="4" w:space="0" w:color="auto"/>
              <w:bottom w:val="single" w:sz="4" w:space="0" w:color="auto"/>
              <w:right w:val="single" w:sz="4" w:space="0" w:color="auto"/>
            </w:tcBorders>
            <w:vAlign w:val="center"/>
          </w:tcPr>
          <w:p w14:paraId="29C43E17" w14:textId="77777777" w:rsidR="00E51CDD" w:rsidRPr="00960E15" w:rsidRDefault="00E51CDD" w:rsidP="009938D9">
            <w:pPr>
              <w:jc w:val="center"/>
              <w:rPr>
                <w:color w:val="000000"/>
                <w:sz w:val="20"/>
                <w:szCs w:val="20"/>
              </w:rPr>
            </w:pPr>
          </w:p>
        </w:tc>
        <w:tc>
          <w:tcPr>
            <w:tcW w:w="2336" w:type="pct"/>
            <w:gridSpan w:val="3"/>
            <w:tcBorders>
              <w:top w:val="dotted" w:sz="4" w:space="0" w:color="auto"/>
              <w:left w:val="single" w:sz="4" w:space="0" w:color="auto"/>
              <w:bottom w:val="single" w:sz="4" w:space="0" w:color="auto"/>
              <w:right w:val="single" w:sz="4" w:space="0" w:color="auto"/>
            </w:tcBorders>
            <w:vAlign w:val="center"/>
          </w:tcPr>
          <w:p w14:paraId="688EB6EB" w14:textId="77777777" w:rsidR="00E51CDD" w:rsidRPr="00960E15" w:rsidRDefault="00E51CDD" w:rsidP="009938D9">
            <w:pPr>
              <w:widowControl w:val="0"/>
              <w:jc w:val="center"/>
              <w:rPr>
                <w:color w:val="000000"/>
                <w:sz w:val="20"/>
                <w:szCs w:val="20"/>
              </w:rPr>
            </w:pPr>
            <w:r w:rsidRPr="00960E15">
              <w:rPr>
                <w:color w:val="000000"/>
                <w:sz w:val="20"/>
                <w:szCs w:val="20"/>
              </w:rPr>
              <w:t>LOEDD [μg consumed product/bee/day]</w:t>
            </w:r>
            <w:r w:rsidRPr="00960E15">
              <w:rPr>
                <w:color w:val="000000"/>
                <w:sz w:val="20"/>
                <w:szCs w:val="20"/>
                <w:vertAlign w:val="superscript"/>
              </w:rPr>
              <w:t xml:space="preserve"> 2) 4)</w:t>
            </w:r>
          </w:p>
        </w:tc>
        <w:tc>
          <w:tcPr>
            <w:tcW w:w="1637" w:type="pct"/>
            <w:gridSpan w:val="2"/>
            <w:tcBorders>
              <w:top w:val="dotted" w:sz="4" w:space="0" w:color="auto"/>
              <w:left w:val="single" w:sz="4" w:space="0" w:color="auto"/>
              <w:bottom w:val="single" w:sz="4" w:space="0" w:color="auto"/>
              <w:right w:val="single" w:sz="4" w:space="0" w:color="auto"/>
            </w:tcBorders>
            <w:vAlign w:val="center"/>
          </w:tcPr>
          <w:p w14:paraId="460C48E9" w14:textId="77777777" w:rsidR="00E51CDD" w:rsidRPr="00960E15" w:rsidRDefault="00E51CDD" w:rsidP="009938D9">
            <w:pPr>
              <w:widowControl w:val="0"/>
              <w:jc w:val="center"/>
              <w:rPr>
                <w:color w:val="000000"/>
                <w:sz w:val="20"/>
                <w:szCs w:val="20"/>
              </w:rPr>
            </w:pPr>
            <w:r w:rsidRPr="00960E15">
              <w:rPr>
                <w:color w:val="000000"/>
                <w:sz w:val="20"/>
                <w:szCs w:val="20"/>
              </w:rPr>
              <w:t>28.3</w:t>
            </w:r>
          </w:p>
        </w:tc>
      </w:tr>
      <w:tr w:rsidR="00E51CDD" w:rsidRPr="00960E15" w14:paraId="7706F6E7" w14:textId="77777777" w:rsidTr="009938D9">
        <w:trPr>
          <w:trHeight w:val="454"/>
        </w:trPr>
        <w:tc>
          <w:tcPr>
            <w:tcW w:w="1027" w:type="pct"/>
            <w:vMerge w:val="restart"/>
            <w:tcBorders>
              <w:top w:val="single" w:sz="4" w:space="0" w:color="auto"/>
              <w:left w:val="single" w:sz="4" w:space="0" w:color="auto"/>
              <w:right w:val="single" w:sz="4" w:space="0" w:color="auto"/>
            </w:tcBorders>
            <w:vAlign w:val="center"/>
            <w:hideMark/>
          </w:tcPr>
          <w:p w14:paraId="5BE25CC5" w14:textId="77777777" w:rsidR="00E51CDD" w:rsidRPr="00960E15" w:rsidRDefault="00E51CDD" w:rsidP="009938D9">
            <w:pPr>
              <w:widowControl w:val="0"/>
              <w:jc w:val="center"/>
              <w:rPr>
                <w:color w:val="000000"/>
                <w:sz w:val="20"/>
                <w:szCs w:val="20"/>
              </w:rPr>
            </w:pPr>
            <w:r w:rsidRPr="00960E15">
              <w:rPr>
                <w:color w:val="000000"/>
                <w:sz w:val="20"/>
                <w:szCs w:val="20"/>
              </w:rPr>
              <w:t>Test item concentration</w:t>
            </w:r>
          </w:p>
        </w:tc>
        <w:tc>
          <w:tcPr>
            <w:tcW w:w="2336" w:type="pct"/>
            <w:gridSpan w:val="3"/>
            <w:tcBorders>
              <w:top w:val="single" w:sz="4" w:space="0" w:color="auto"/>
              <w:left w:val="single" w:sz="4" w:space="0" w:color="auto"/>
              <w:bottom w:val="dotted" w:sz="4" w:space="0" w:color="auto"/>
              <w:right w:val="single" w:sz="4" w:space="0" w:color="auto"/>
            </w:tcBorders>
            <w:vAlign w:val="center"/>
            <w:hideMark/>
          </w:tcPr>
          <w:p w14:paraId="160DCD35" w14:textId="77777777" w:rsidR="00E51CDD" w:rsidRPr="00960E15" w:rsidRDefault="00E51CDD" w:rsidP="009938D9">
            <w:pPr>
              <w:widowControl w:val="0"/>
              <w:jc w:val="center"/>
              <w:rPr>
                <w:color w:val="000000"/>
                <w:sz w:val="20"/>
                <w:szCs w:val="20"/>
              </w:rPr>
            </w:pPr>
            <w:r w:rsidRPr="00960E15">
              <w:rPr>
                <w:color w:val="000000"/>
                <w:sz w:val="20"/>
                <w:szCs w:val="20"/>
              </w:rPr>
              <w:t>LC</w:t>
            </w:r>
            <w:r w:rsidRPr="00960E15">
              <w:rPr>
                <w:color w:val="000000"/>
                <w:sz w:val="20"/>
                <w:szCs w:val="20"/>
                <w:vertAlign w:val="subscript"/>
              </w:rPr>
              <w:t>10</w:t>
            </w:r>
            <w:r w:rsidRPr="00960E15">
              <w:rPr>
                <w:color w:val="000000"/>
                <w:sz w:val="20"/>
                <w:szCs w:val="20"/>
              </w:rPr>
              <w:t xml:space="preserve"> [g product/kg food] </w:t>
            </w:r>
            <w:r w:rsidRPr="00960E15">
              <w:rPr>
                <w:color w:val="000000"/>
                <w:sz w:val="20"/>
                <w:szCs w:val="20"/>
                <w:vertAlign w:val="superscript"/>
              </w:rPr>
              <w:t>3)</w:t>
            </w:r>
          </w:p>
        </w:tc>
        <w:tc>
          <w:tcPr>
            <w:tcW w:w="1637" w:type="pct"/>
            <w:gridSpan w:val="2"/>
            <w:tcBorders>
              <w:top w:val="single" w:sz="4" w:space="0" w:color="auto"/>
              <w:left w:val="single" w:sz="4" w:space="0" w:color="auto"/>
              <w:bottom w:val="dotted" w:sz="4" w:space="0" w:color="auto"/>
              <w:right w:val="single" w:sz="4" w:space="0" w:color="auto"/>
            </w:tcBorders>
            <w:vAlign w:val="center"/>
            <w:hideMark/>
          </w:tcPr>
          <w:p w14:paraId="2A86235A" w14:textId="77777777" w:rsidR="00E51CDD" w:rsidRPr="00960E15" w:rsidRDefault="00E51CDD" w:rsidP="009938D9">
            <w:pPr>
              <w:widowControl w:val="0"/>
              <w:jc w:val="center"/>
              <w:rPr>
                <w:color w:val="000000"/>
                <w:sz w:val="20"/>
                <w:szCs w:val="20"/>
              </w:rPr>
            </w:pPr>
            <w:r w:rsidRPr="00960E15">
              <w:rPr>
                <w:color w:val="000000"/>
                <w:sz w:val="20"/>
                <w:szCs w:val="20"/>
              </w:rPr>
              <w:t>0.937</w:t>
            </w:r>
          </w:p>
        </w:tc>
      </w:tr>
      <w:tr w:rsidR="00E51CDD" w:rsidRPr="00960E15" w14:paraId="1F6A691C" w14:textId="77777777" w:rsidTr="009938D9">
        <w:trPr>
          <w:trHeight w:val="454"/>
        </w:trPr>
        <w:tc>
          <w:tcPr>
            <w:tcW w:w="0" w:type="auto"/>
            <w:vMerge/>
            <w:tcBorders>
              <w:left w:val="single" w:sz="4" w:space="0" w:color="auto"/>
              <w:right w:val="single" w:sz="4" w:space="0" w:color="auto"/>
            </w:tcBorders>
            <w:vAlign w:val="center"/>
            <w:hideMark/>
          </w:tcPr>
          <w:p w14:paraId="613AF97F" w14:textId="77777777" w:rsidR="00E51CDD" w:rsidRPr="00960E15" w:rsidRDefault="00E51CDD" w:rsidP="009938D9">
            <w:pPr>
              <w:rPr>
                <w:color w:val="000000"/>
                <w:sz w:val="20"/>
                <w:szCs w:val="20"/>
              </w:rPr>
            </w:pPr>
          </w:p>
        </w:tc>
        <w:tc>
          <w:tcPr>
            <w:tcW w:w="2336" w:type="pct"/>
            <w:gridSpan w:val="3"/>
            <w:tcBorders>
              <w:top w:val="dotted" w:sz="4" w:space="0" w:color="auto"/>
              <w:left w:val="single" w:sz="4" w:space="0" w:color="auto"/>
              <w:bottom w:val="dotted" w:sz="4" w:space="0" w:color="auto"/>
              <w:right w:val="single" w:sz="4" w:space="0" w:color="auto"/>
            </w:tcBorders>
            <w:vAlign w:val="center"/>
            <w:hideMark/>
          </w:tcPr>
          <w:p w14:paraId="2E826776" w14:textId="77777777" w:rsidR="00E51CDD" w:rsidRPr="00960E15" w:rsidRDefault="00E51CDD" w:rsidP="009938D9">
            <w:pPr>
              <w:widowControl w:val="0"/>
              <w:jc w:val="center"/>
              <w:rPr>
                <w:color w:val="000000"/>
                <w:sz w:val="20"/>
                <w:szCs w:val="20"/>
              </w:rPr>
            </w:pPr>
            <w:r w:rsidRPr="00960E15">
              <w:rPr>
                <w:color w:val="000000"/>
                <w:sz w:val="20"/>
                <w:szCs w:val="20"/>
              </w:rPr>
              <w:t>LC</w:t>
            </w:r>
            <w:r w:rsidRPr="00960E15">
              <w:rPr>
                <w:color w:val="000000"/>
                <w:sz w:val="20"/>
                <w:szCs w:val="20"/>
                <w:vertAlign w:val="subscript"/>
              </w:rPr>
              <w:t>20</w:t>
            </w:r>
            <w:r w:rsidRPr="00960E15">
              <w:rPr>
                <w:color w:val="000000"/>
                <w:sz w:val="20"/>
                <w:szCs w:val="20"/>
              </w:rPr>
              <w:t xml:space="preserve"> [g product/kg food]</w:t>
            </w:r>
            <w:r w:rsidRPr="00960E15">
              <w:rPr>
                <w:color w:val="000000"/>
                <w:sz w:val="20"/>
                <w:szCs w:val="20"/>
                <w:vertAlign w:val="superscript"/>
              </w:rPr>
              <w:t xml:space="preserve"> 3)</w:t>
            </w:r>
          </w:p>
        </w:tc>
        <w:tc>
          <w:tcPr>
            <w:tcW w:w="1637" w:type="pct"/>
            <w:gridSpan w:val="2"/>
            <w:tcBorders>
              <w:top w:val="dotted" w:sz="4" w:space="0" w:color="auto"/>
              <w:left w:val="single" w:sz="4" w:space="0" w:color="auto"/>
              <w:bottom w:val="dotted" w:sz="4" w:space="0" w:color="auto"/>
              <w:right w:val="single" w:sz="4" w:space="0" w:color="auto"/>
            </w:tcBorders>
            <w:vAlign w:val="center"/>
            <w:hideMark/>
          </w:tcPr>
          <w:p w14:paraId="5BC7EA0A" w14:textId="77777777" w:rsidR="00E51CDD" w:rsidRPr="00960E15" w:rsidRDefault="00E51CDD" w:rsidP="009938D9">
            <w:pPr>
              <w:widowControl w:val="0"/>
              <w:jc w:val="center"/>
              <w:rPr>
                <w:color w:val="000000"/>
                <w:sz w:val="20"/>
                <w:szCs w:val="20"/>
              </w:rPr>
            </w:pPr>
            <w:r w:rsidRPr="00960E15">
              <w:rPr>
                <w:color w:val="000000"/>
                <w:sz w:val="20"/>
                <w:szCs w:val="20"/>
              </w:rPr>
              <w:t>1.19</w:t>
            </w:r>
          </w:p>
        </w:tc>
      </w:tr>
      <w:tr w:rsidR="00E51CDD" w:rsidRPr="00960E15" w14:paraId="4AEFC8A4" w14:textId="77777777" w:rsidTr="009938D9">
        <w:trPr>
          <w:trHeight w:val="454"/>
        </w:trPr>
        <w:tc>
          <w:tcPr>
            <w:tcW w:w="0" w:type="auto"/>
            <w:vMerge/>
            <w:tcBorders>
              <w:left w:val="single" w:sz="4" w:space="0" w:color="auto"/>
              <w:right w:val="single" w:sz="4" w:space="0" w:color="auto"/>
            </w:tcBorders>
            <w:vAlign w:val="center"/>
            <w:hideMark/>
          </w:tcPr>
          <w:p w14:paraId="504F2B17" w14:textId="77777777" w:rsidR="00E51CDD" w:rsidRPr="00960E15" w:rsidRDefault="00E51CDD" w:rsidP="009938D9">
            <w:pPr>
              <w:rPr>
                <w:color w:val="000000"/>
                <w:sz w:val="20"/>
                <w:szCs w:val="20"/>
              </w:rPr>
            </w:pPr>
          </w:p>
        </w:tc>
        <w:tc>
          <w:tcPr>
            <w:tcW w:w="2336" w:type="pct"/>
            <w:gridSpan w:val="3"/>
            <w:tcBorders>
              <w:top w:val="dotted" w:sz="4" w:space="0" w:color="auto"/>
              <w:left w:val="single" w:sz="4" w:space="0" w:color="auto"/>
              <w:bottom w:val="dotted" w:sz="4" w:space="0" w:color="auto"/>
              <w:right w:val="single" w:sz="4" w:space="0" w:color="auto"/>
            </w:tcBorders>
            <w:vAlign w:val="center"/>
            <w:hideMark/>
          </w:tcPr>
          <w:p w14:paraId="0834FBFB" w14:textId="77777777" w:rsidR="00E51CDD" w:rsidRPr="00960E15" w:rsidRDefault="00E51CDD" w:rsidP="009938D9">
            <w:pPr>
              <w:widowControl w:val="0"/>
              <w:jc w:val="center"/>
              <w:rPr>
                <w:color w:val="000000"/>
                <w:sz w:val="20"/>
                <w:szCs w:val="20"/>
              </w:rPr>
            </w:pPr>
            <w:r w:rsidRPr="00960E15">
              <w:rPr>
                <w:color w:val="000000"/>
                <w:sz w:val="20"/>
                <w:szCs w:val="20"/>
              </w:rPr>
              <w:t>LC</w:t>
            </w:r>
            <w:r w:rsidRPr="00960E15">
              <w:rPr>
                <w:color w:val="000000"/>
                <w:sz w:val="20"/>
                <w:szCs w:val="20"/>
                <w:vertAlign w:val="subscript"/>
              </w:rPr>
              <w:t>50</w:t>
            </w:r>
            <w:r w:rsidRPr="00960E15">
              <w:rPr>
                <w:color w:val="000000"/>
                <w:sz w:val="20"/>
                <w:szCs w:val="20"/>
              </w:rPr>
              <w:t xml:space="preserve"> [g product/kg food] </w:t>
            </w:r>
            <w:r w:rsidRPr="00960E15">
              <w:rPr>
                <w:color w:val="000000"/>
                <w:sz w:val="20"/>
                <w:szCs w:val="20"/>
                <w:vertAlign w:val="superscript"/>
              </w:rPr>
              <w:t>3)</w:t>
            </w:r>
          </w:p>
        </w:tc>
        <w:tc>
          <w:tcPr>
            <w:tcW w:w="1637" w:type="pct"/>
            <w:gridSpan w:val="2"/>
            <w:tcBorders>
              <w:top w:val="dotted" w:sz="4" w:space="0" w:color="auto"/>
              <w:left w:val="single" w:sz="4" w:space="0" w:color="auto"/>
              <w:bottom w:val="dotted" w:sz="4" w:space="0" w:color="auto"/>
              <w:right w:val="single" w:sz="4" w:space="0" w:color="auto"/>
            </w:tcBorders>
            <w:vAlign w:val="center"/>
            <w:hideMark/>
          </w:tcPr>
          <w:p w14:paraId="73B391DD" w14:textId="77777777" w:rsidR="00E51CDD" w:rsidRPr="00960E15" w:rsidRDefault="00E51CDD" w:rsidP="009938D9">
            <w:pPr>
              <w:widowControl w:val="0"/>
              <w:jc w:val="center"/>
              <w:rPr>
                <w:color w:val="000000"/>
                <w:sz w:val="20"/>
                <w:szCs w:val="20"/>
              </w:rPr>
            </w:pPr>
            <w:r w:rsidRPr="00960E15">
              <w:rPr>
                <w:color w:val="000000"/>
                <w:sz w:val="20"/>
                <w:szCs w:val="20"/>
              </w:rPr>
              <w:t>1.89</w:t>
            </w:r>
          </w:p>
        </w:tc>
      </w:tr>
      <w:tr w:rsidR="00E51CDD" w:rsidRPr="00960E15" w14:paraId="368512EE" w14:textId="77777777" w:rsidTr="009938D9">
        <w:trPr>
          <w:trHeight w:val="454"/>
        </w:trPr>
        <w:tc>
          <w:tcPr>
            <w:tcW w:w="0" w:type="auto"/>
            <w:vMerge/>
            <w:tcBorders>
              <w:left w:val="single" w:sz="4" w:space="0" w:color="auto"/>
              <w:right w:val="single" w:sz="4" w:space="0" w:color="auto"/>
            </w:tcBorders>
            <w:vAlign w:val="center"/>
            <w:hideMark/>
          </w:tcPr>
          <w:p w14:paraId="6BF11112" w14:textId="77777777" w:rsidR="00E51CDD" w:rsidRPr="00960E15" w:rsidRDefault="00E51CDD" w:rsidP="009938D9">
            <w:pPr>
              <w:rPr>
                <w:color w:val="000000"/>
                <w:sz w:val="20"/>
                <w:szCs w:val="20"/>
              </w:rPr>
            </w:pPr>
          </w:p>
        </w:tc>
        <w:tc>
          <w:tcPr>
            <w:tcW w:w="2336" w:type="pct"/>
            <w:gridSpan w:val="3"/>
            <w:tcBorders>
              <w:top w:val="dotted" w:sz="4" w:space="0" w:color="auto"/>
              <w:left w:val="single" w:sz="4" w:space="0" w:color="auto"/>
              <w:bottom w:val="dotted" w:sz="4" w:space="0" w:color="auto"/>
              <w:right w:val="single" w:sz="4" w:space="0" w:color="auto"/>
            </w:tcBorders>
            <w:vAlign w:val="center"/>
            <w:hideMark/>
          </w:tcPr>
          <w:p w14:paraId="1A28C30C" w14:textId="77777777" w:rsidR="00E51CDD" w:rsidRPr="00960E15" w:rsidRDefault="00E51CDD" w:rsidP="009938D9">
            <w:pPr>
              <w:widowControl w:val="0"/>
              <w:jc w:val="center"/>
              <w:rPr>
                <w:color w:val="000000"/>
                <w:sz w:val="20"/>
                <w:szCs w:val="20"/>
              </w:rPr>
            </w:pPr>
            <w:r w:rsidRPr="00960E15">
              <w:rPr>
                <w:color w:val="000000"/>
                <w:sz w:val="20"/>
                <w:szCs w:val="20"/>
              </w:rPr>
              <w:t xml:space="preserve">NOEC [g product/kg food] </w:t>
            </w:r>
            <w:r w:rsidRPr="00960E15">
              <w:rPr>
                <w:color w:val="000000"/>
                <w:sz w:val="20"/>
                <w:szCs w:val="20"/>
                <w:vertAlign w:val="superscript"/>
              </w:rPr>
              <w:t>4)</w:t>
            </w:r>
          </w:p>
        </w:tc>
        <w:tc>
          <w:tcPr>
            <w:tcW w:w="1637" w:type="pct"/>
            <w:gridSpan w:val="2"/>
            <w:tcBorders>
              <w:top w:val="dotted" w:sz="4" w:space="0" w:color="auto"/>
              <w:left w:val="single" w:sz="4" w:space="0" w:color="auto"/>
              <w:bottom w:val="dotted" w:sz="4" w:space="0" w:color="auto"/>
              <w:right w:val="single" w:sz="4" w:space="0" w:color="auto"/>
            </w:tcBorders>
            <w:vAlign w:val="center"/>
            <w:hideMark/>
          </w:tcPr>
          <w:p w14:paraId="28CF5F3B" w14:textId="77777777" w:rsidR="00E51CDD" w:rsidRPr="00960E15" w:rsidRDefault="00E51CDD" w:rsidP="009938D9">
            <w:pPr>
              <w:widowControl w:val="0"/>
              <w:jc w:val="center"/>
              <w:rPr>
                <w:color w:val="000000"/>
                <w:sz w:val="20"/>
                <w:szCs w:val="20"/>
              </w:rPr>
            </w:pPr>
            <w:r w:rsidRPr="00960E15">
              <w:rPr>
                <w:color w:val="000000"/>
                <w:sz w:val="20"/>
                <w:szCs w:val="20"/>
              </w:rPr>
              <w:t>0.637</w:t>
            </w:r>
          </w:p>
        </w:tc>
      </w:tr>
      <w:tr w:rsidR="00E51CDD" w:rsidRPr="00960E15" w14:paraId="7145C6A4" w14:textId="77777777" w:rsidTr="009938D9">
        <w:trPr>
          <w:trHeight w:val="454"/>
        </w:trPr>
        <w:tc>
          <w:tcPr>
            <w:tcW w:w="0" w:type="auto"/>
            <w:vMerge/>
            <w:tcBorders>
              <w:left w:val="single" w:sz="4" w:space="0" w:color="auto"/>
              <w:bottom w:val="single" w:sz="4" w:space="0" w:color="auto"/>
              <w:right w:val="single" w:sz="4" w:space="0" w:color="auto"/>
            </w:tcBorders>
            <w:vAlign w:val="center"/>
          </w:tcPr>
          <w:p w14:paraId="2A340CA7" w14:textId="77777777" w:rsidR="00E51CDD" w:rsidRPr="00960E15" w:rsidRDefault="00E51CDD" w:rsidP="009938D9">
            <w:pPr>
              <w:rPr>
                <w:color w:val="000000"/>
                <w:sz w:val="20"/>
                <w:szCs w:val="20"/>
              </w:rPr>
            </w:pPr>
          </w:p>
        </w:tc>
        <w:tc>
          <w:tcPr>
            <w:tcW w:w="2336" w:type="pct"/>
            <w:gridSpan w:val="3"/>
            <w:tcBorders>
              <w:top w:val="dotted" w:sz="4" w:space="0" w:color="auto"/>
              <w:left w:val="single" w:sz="4" w:space="0" w:color="auto"/>
              <w:bottom w:val="single" w:sz="4" w:space="0" w:color="auto"/>
              <w:right w:val="single" w:sz="4" w:space="0" w:color="auto"/>
            </w:tcBorders>
            <w:vAlign w:val="center"/>
          </w:tcPr>
          <w:p w14:paraId="29D6347E" w14:textId="77777777" w:rsidR="00E51CDD" w:rsidRPr="00960E15" w:rsidRDefault="00E51CDD" w:rsidP="009938D9">
            <w:pPr>
              <w:widowControl w:val="0"/>
              <w:jc w:val="center"/>
              <w:rPr>
                <w:b/>
                <w:bCs/>
                <w:color w:val="000000"/>
                <w:sz w:val="20"/>
                <w:szCs w:val="20"/>
              </w:rPr>
            </w:pPr>
            <w:r w:rsidRPr="00960E15">
              <w:rPr>
                <w:color w:val="000000"/>
                <w:sz w:val="20"/>
                <w:szCs w:val="20"/>
              </w:rPr>
              <w:t xml:space="preserve">LOEC [g product/kg food] </w:t>
            </w:r>
            <w:r w:rsidRPr="00960E15">
              <w:rPr>
                <w:color w:val="000000"/>
                <w:sz w:val="20"/>
                <w:szCs w:val="20"/>
                <w:vertAlign w:val="superscript"/>
              </w:rPr>
              <w:t>4)</w:t>
            </w:r>
          </w:p>
        </w:tc>
        <w:tc>
          <w:tcPr>
            <w:tcW w:w="1637" w:type="pct"/>
            <w:gridSpan w:val="2"/>
            <w:tcBorders>
              <w:top w:val="dotted" w:sz="4" w:space="0" w:color="auto"/>
              <w:left w:val="single" w:sz="4" w:space="0" w:color="auto"/>
              <w:bottom w:val="single" w:sz="4" w:space="0" w:color="auto"/>
              <w:right w:val="single" w:sz="4" w:space="0" w:color="auto"/>
            </w:tcBorders>
            <w:vAlign w:val="center"/>
          </w:tcPr>
          <w:p w14:paraId="19A886BD" w14:textId="77777777" w:rsidR="00E51CDD" w:rsidRPr="00960E15" w:rsidRDefault="00E51CDD" w:rsidP="009938D9">
            <w:pPr>
              <w:widowControl w:val="0"/>
              <w:jc w:val="center"/>
              <w:rPr>
                <w:color w:val="000000"/>
                <w:sz w:val="20"/>
                <w:szCs w:val="20"/>
              </w:rPr>
            </w:pPr>
            <w:r w:rsidRPr="00960E15">
              <w:rPr>
                <w:color w:val="000000"/>
                <w:sz w:val="20"/>
                <w:szCs w:val="20"/>
              </w:rPr>
              <w:t>1.27</w:t>
            </w:r>
          </w:p>
        </w:tc>
      </w:tr>
    </w:tbl>
    <w:p w14:paraId="1CE27472" w14:textId="77777777" w:rsidR="00E51CDD" w:rsidRPr="00960E15" w:rsidRDefault="00E51CDD" w:rsidP="00E51CDD">
      <w:pPr>
        <w:widowControl w:val="0"/>
        <w:spacing w:before="40"/>
        <w:ind w:left="284" w:hanging="284"/>
        <w:jc w:val="both"/>
        <w:rPr>
          <w:color w:val="000000"/>
          <w:sz w:val="18"/>
          <w:szCs w:val="20"/>
          <w:lang w:val="en-GB"/>
        </w:rPr>
      </w:pPr>
      <w:r w:rsidRPr="00960E15">
        <w:rPr>
          <w:color w:val="000000"/>
          <w:sz w:val="18"/>
          <w:szCs w:val="20"/>
          <w:vertAlign w:val="superscript"/>
          <w:lang w:val="en-GB"/>
        </w:rPr>
        <w:t>*</w:t>
      </w:r>
      <w:r w:rsidRPr="00960E15">
        <w:rPr>
          <w:color w:val="000000"/>
          <w:sz w:val="18"/>
          <w:szCs w:val="20"/>
          <w:vertAlign w:val="superscript"/>
          <w:lang w:val="en-GB"/>
        </w:rPr>
        <w:tab/>
      </w:r>
      <w:r w:rsidRPr="00960E15">
        <w:rPr>
          <w:color w:val="000000"/>
          <w:sz w:val="18"/>
          <w:szCs w:val="20"/>
          <w:lang w:val="en-GB"/>
        </w:rPr>
        <w:t>Statistically significantly different compared to the control (</w:t>
      </w:r>
      <w:r w:rsidRPr="00960E15">
        <w:rPr>
          <w:color w:val="000000"/>
          <w:sz w:val="18"/>
          <w:szCs w:val="18"/>
        </w:rPr>
        <w:t>Cochran-Armitage test, α = 0.05, one-sided greater</w:t>
      </w:r>
      <w:r w:rsidRPr="00960E15">
        <w:rPr>
          <w:color w:val="000000"/>
          <w:sz w:val="18"/>
          <w:szCs w:val="20"/>
          <w:lang w:val="en-GB"/>
        </w:rPr>
        <w:t>).</w:t>
      </w:r>
    </w:p>
    <w:p w14:paraId="3699FE6D" w14:textId="77777777" w:rsidR="00E51CDD" w:rsidRPr="00960E15" w:rsidRDefault="00E51CDD" w:rsidP="00E51CDD">
      <w:pPr>
        <w:widowControl w:val="0"/>
        <w:spacing w:before="40"/>
        <w:ind w:left="284" w:hanging="284"/>
        <w:jc w:val="both"/>
        <w:rPr>
          <w:color w:val="000000"/>
          <w:sz w:val="18"/>
          <w:szCs w:val="20"/>
        </w:rPr>
      </w:pPr>
      <w:r w:rsidRPr="00960E15">
        <w:rPr>
          <w:color w:val="000000"/>
          <w:sz w:val="18"/>
          <w:szCs w:val="20"/>
          <w:vertAlign w:val="superscript"/>
        </w:rPr>
        <w:t>1)</w:t>
      </w:r>
      <w:r w:rsidRPr="00960E15">
        <w:rPr>
          <w:color w:val="000000"/>
          <w:sz w:val="18"/>
          <w:szCs w:val="20"/>
        </w:rPr>
        <w:tab/>
        <w:t>Behavioral abnormalities (affected and moribund) at the end of the test referring to the number of remaining bees, given in parentheses.</w:t>
      </w:r>
    </w:p>
    <w:p w14:paraId="4CC25A3D" w14:textId="77777777" w:rsidR="00E51CDD" w:rsidRPr="00960E15" w:rsidRDefault="00E51CDD" w:rsidP="00E51CDD">
      <w:pPr>
        <w:widowControl w:val="0"/>
        <w:ind w:left="284" w:hanging="284"/>
        <w:jc w:val="both"/>
        <w:rPr>
          <w:color w:val="000000"/>
          <w:sz w:val="18"/>
          <w:szCs w:val="20"/>
        </w:rPr>
      </w:pPr>
      <w:r w:rsidRPr="00960E15">
        <w:rPr>
          <w:color w:val="000000"/>
          <w:sz w:val="18"/>
          <w:szCs w:val="20"/>
          <w:vertAlign w:val="superscript"/>
        </w:rPr>
        <w:t>2)</w:t>
      </w:r>
      <w:r w:rsidRPr="00960E15">
        <w:rPr>
          <w:color w:val="000000"/>
          <w:sz w:val="18"/>
          <w:szCs w:val="20"/>
        </w:rPr>
        <w:tab/>
        <w:t>Based on the actual food uptake and evaporation.</w:t>
      </w:r>
    </w:p>
    <w:p w14:paraId="570CAA4E" w14:textId="77777777" w:rsidR="00E51CDD" w:rsidRPr="00960E15" w:rsidRDefault="00E51CDD" w:rsidP="00E51CDD">
      <w:pPr>
        <w:widowControl w:val="0"/>
        <w:ind w:left="284" w:hanging="284"/>
        <w:jc w:val="both"/>
        <w:rPr>
          <w:color w:val="000000"/>
          <w:sz w:val="18"/>
          <w:szCs w:val="20"/>
        </w:rPr>
      </w:pPr>
      <w:r w:rsidRPr="00960E15">
        <w:rPr>
          <w:color w:val="000000"/>
          <w:sz w:val="18"/>
          <w:szCs w:val="20"/>
          <w:vertAlign w:val="superscript"/>
        </w:rPr>
        <w:t>3)</w:t>
      </w:r>
      <w:r w:rsidRPr="00960E15">
        <w:rPr>
          <w:color w:val="000000"/>
          <w:sz w:val="18"/>
          <w:szCs w:val="20"/>
          <w:vertAlign w:val="superscript"/>
        </w:rPr>
        <w:tab/>
      </w:r>
      <w:r w:rsidRPr="00960E15">
        <w:rPr>
          <w:color w:val="000000"/>
          <w:sz w:val="18"/>
          <w:szCs w:val="20"/>
        </w:rPr>
        <w:t>Calculated using Probit analysis using linear max. likelihood regression; lack of fit significant with a p(Chi²) = 0.03</w:t>
      </w:r>
    </w:p>
    <w:p w14:paraId="1BEE4B81" w14:textId="77777777" w:rsidR="00E51CDD" w:rsidRPr="00960E15" w:rsidRDefault="00E51CDD" w:rsidP="00E51CDD">
      <w:pPr>
        <w:widowControl w:val="0"/>
        <w:ind w:left="284" w:hanging="284"/>
        <w:jc w:val="both"/>
        <w:rPr>
          <w:color w:val="000000"/>
          <w:sz w:val="18"/>
          <w:szCs w:val="20"/>
        </w:rPr>
      </w:pPr>
      <w:r w:rsidRPr="00960E15">
        <w:rPr>
          <w:color w:val="000000"/>
          <w:sz w:val="18"/>
          <w:szCs w:val="20"/>
          <w:vertAlign w:val="superscript"/>
        </w:rPr>
        <w:t>4)</w:t>
      </w:r>
      <w:r w:rsidRPr="00960E15">
        <w:rPr>
          <w:color w:val="000000"/>
          <w:sz w:val="18"/>
          <w:szCs w:val="20"/>
        </w:rPr>
        <w:tab/>
        <w:t>Calculated using Cochran-Armitage test, α = 0.05; one-sided greater).</w:t>
      </w:r>
    </w:p>
    <w:p w14:paraId="1FD34D30" w14:textId="77777777" w:rsidR="00E51CDD" w:rsidRPr="00960E15" w:rsidRDefault="00E51CDD" w:rsidP="00E51CDD">
      <w:pPr>
        <w:widowControl w:val="0"/>
        <w:rPr>
          <w:color w:val="000000"/>
          <w:szCs w:val="24"/>
        </w:rPr>
      </w:pPr>
    </w:p>
    <w:p w14:paraId="0844DC32" w14:textId="77777777" w:rsidR="00E51CDD" w:rsidRPr="00960E15" w:rsidRDefault="00E51CDD" w:rsidP="00E51CDD">
      <w:pPr>
        <w:widowControl w:val="0"/>
        <w:jc w:val="both"/>
        <w:rPr>
          <w:color w:val="000000"/>
          <w:szCs w:val="24"/>
        </w:rPr>
      </w:pPr>
      <w:r>
        <w:rPr>
          <w:color w:val="000000"/>
          <w:szCs w:val="24"/>
        </w:rPr>
        <w:br w:type="page"/>
      </w:r>
    </w:p>
    <w:p w14:paraId="54C00EA7" w14:textId="77777777" w:rsidR="00E51CDD" w:rsidRPr="00960E15" w:rsidRDefault="00E51CDD" w:rsidP="00E51CDD">
      <w:pPr>
        <w:widowControl w:val="0"/>
        <w:jc w:val="both"/>
        <w:rPr>
          <w:color w:val="000000"/>
          <w:szCs w:val="24"/>
        </w:rPr>
      </w:pPr>
      <w:r w:rsidRPr="00960E15">
        <w:rPr>
          <w:color w:val="000000"/>
          <w:szCs w:val="24"/>
        </w:rPr>
        <w:lastRenderedPageBreak/>
        <w:t>The reference item, applied at 0.02 µg a.s./bee/day (equivalent to 0.9 mg a.s./kg food), caused 82.5% mortality of the exposed honeybees after 10 days.</w:t>
      </w:r>
    </w:p>
    <w:p w14:paraId="66FF081D" w14:textId="77777777" w:rsidR="00E51CDD" w:rsidRPr="00960E15" w:rsidRDefault="00E51CDD" w:rsidP="00E51CDD">
      <w:pPr>
        <w:rPr>
          <w:color w:val="000000"/>
          <w:szCs w:val="24"/>
          <w:u w:val="single"/>
        </w:rPr>
      </w:pPr>
    </w:p>
    <w:p w14:paraId="60E72C81" w14:textId="77777777" w:rsidR="00E51CDD" w:rsidRPr="00960E15" w:rsidRDefault="00E51CDD" w:rsidP="00E51CDD">
      <w:pPr>
        <w:rPr>
          <w:color w:val="000000"/>
          <w:szCs w:val="24"/>
          <w:u w:val="single"/>
        </w:rPr>
      </w:pPr>
    </w:p>
    <w:p w14:paraId="1FA34741" w14:textId="77777777" w:rsidR="00E51CDD" w:rsidRPr="00960E15" w:rsidRDefault="00E51CDD" w:rsidP="00E51CDD">
      <w:pPr>
        <w:rPr>
          <w:color w:val="000000"/>
          <w:szCs w:val="24"/>
          <w:u w:val="single"/>
        </w:rPr>
      </w:pPr>
      <w:r w:rsidRPr="00960E15">
        <w:rPr>
          <w:color w:val="000000"/>
          <w:szCs w:val="24"/>
          <w:u w:val="single"/>
        </w:rPr>
        <w:t>Validity criteria:</w:t>
      </w:r>
    </w:p>
    <w:p w14:paraId="55F13BCA" w14:textId="77777777" w:rsidR="00E51CDD" w:rsidRPr="00960E15" w:rsidRDefault="00E51CDD" w:rsidP="00E51CDD">
      <w:pPr>
        <w:autoSpaceDE w:val="0"/>
        <w:autoSpaceDN w:val="0"/>
        <w:adjustRightInd w:val="0"/>
        <w:rPr>
          <w:rFonts w:eastAsia="Arial"/>
          <w:color w:val="000000"/>
          <w:szCs w:val="24"/>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58"/>
        <w:gridCol w:w="2409"/>
      </w:tblGrid>
      <w:tr w:rsidR="00E51CDD" w:rsidRPr="00960E15" w14:paraId="08991F3E" w14:textId="77777777" w:rsidTr="009938D9">
        <w:trPr>
          <w:trHeight w:val="240"/>
        </w:trPr>
        <w:tc>
          <w:tcPr>
            <w:tcW w:w="6658" w:type="dxa"/>
            <w:tcBorders>
              <w:top w:val="single" w:sz="4" w:space="0" w:color="auto"/>
              <w:left w:val="single" w:sz="4" w:space="0" w:color="auto"/>
              <w:bottom w:val="single" w:sz="4" w:space="0" w:color="auto"/>
              <w:right w:val="single" w:sz="4" w:space="0" w:color="auto"/>
            </w:tcBorders>
            <w:noWrap/>
            <w:vAlign w:val="center"/>
            <w:hideMark/>
          </w:tcPr>
          <w:p w14:paraId="228F908C" w14:textId="77777777" w:rsidR="00E51CDD" w:rsidRPr="00960E15" w:rsidRDefault="00E51CDD" w:rsidP="009938D9">
            <w:pPr>
              <w:widowControl w:val="0"/>
              <w:rPr>
                <w:b/>
                <w:bCs/>
                <w:color w:val="000000"/>
                <w:sz w:val="20"/>
              </w:rPr>
            </w:pPr>
            <w:r w:rsidRPr="00960E15">
              <w:rPr>
                <w:b/>
                <w:color w:val="000000"/>
                <w:sz w:val="20"/>
              </w:rPr>
              <w:t xml:space="preserve">Validity criteria according to OECD 245 </w:t>
            </w:r>
            <w:r w:rsidRPr="00960E15">
              <w:rPr>
                <w:b/>
                <w:bCs/>
                <w:color w:val="000000"/>
                <w:sz w:val="20"/>
              </w:rPr>
              <w:t>(2017)</w:t>
            </w:r>
          </w:p>
        </w:tc>
        <w:tc>
          <w:tcPr>
            <w:tcW w:w="2409" w:type="dxa"/>
            <w:tcBorders>
              <w:top w:val="single" w:sz="4" w:space="0" w:color="auto"/>
              <w:left w:val="single" w:sz="4" w:space="0" w:color="auto"/>
              <w:bottom w:val="single" w:sz="4" w:space="0" w:color="auto"/>
              <w:right w:val="single" w:sz="4" w:space="0" w:color="auto"/>
            </w:tcBorders>
            <w:noWrap/>
            <w:vAlign w:val="center"/>
            <w:hideMark/>
          </w:tcPr>
          <w:p w14:paraId="78A90E5E" w14:textId="77777777" w:rsidR="00E51CDD" w:rsidRPr="00960E15" w:rsidRDefault="00E51CDD" w:rsidP="009938D9">
            <w:pPr>
              <w:widowControl w:val="0"/>
              <w:jc w:val="center"/>
              <w:rPr>
                <w:b/>
                <w:bCs/>
                <w:color w:val="000000"/>
                <w:sz w:val="20"/>
              </w:rPr>
            </w:pPr>
            <w:r w:rsidRPr="00960E15">
              <w:rPr>
                <w:b/>
                <w:color w:val="000000"/>
                <w:sz w:val="20"/>
              </w:rPr>
              <w:t>Obtained in this study</w:t>
            </w:r>
          </w:p>
        </w:tc>
      </w:tr>
      <w:tr w:rsidR="00E51CDD" w:rsidRPr="00960E15" w14:paraId="30D49606" w14:textId="77777777" w:rsidTr="009938D9">
        <w:trPr>
          <w:trHeight w:val="244"/>
        </w:trPr>
        <w:tc>
          <w:tcPr>
            <w:tcW w:w="6658" w:type="dxa"/>
            <w:tcBorders>
              <w:top w:val="single" w:sz="4" w:space="0" w:color="auto"/>
              <w:left w:val="single" w:sz="4" w:space="0" w:color="auto"/>
              <w:bottom w:val="single" w:sz="4" w:space="0" w:color="auto"/>
              <w:right w:val="single" w:sz="4" w:space="0" w:color="auto"/>
            </w:tcBorders>
            <w:noWrap/>
            <w:vAlign w:val="center"/>
            <w:hideMark/>
          </w:tcPr>
          <w:p w14:paraId="755040FF" w14:textId="77777777" w:rsidR="00E51CDD" w:rsidRPr="00960E15" w:rsidRDefault="00E51CDD" w:rsidP="009938D9">
            <w:pPr>
              <w:widowControl w:val="0"/>
              <w:rPr>
                <w:color w:val="000000"/>
                <w:sz w:val="20"/>
              </w:rPr>
            </w:pPr>
            <w:r w:rsidRPr="00960E15">
              <w:rPr>
                <w:color w:val="000000"/>
                <w:sz w:val="20"/>
              </w:rPr>
              <w:t>Control mortality from ≤ 15% at D10 across all replicates</w:t>
            </w:r>
          </w:p>
        </w:tc>
        <w:tc>
          <w:tcPr>
            <w:tcW w:w="2409" w:type="dxa"/>
            <w:tcBorders>
              <w:top w:val="single" w:sz="4" w:space="0" w:color="auto"/>
              <w:left w:val="single" w:sz="4" w:space="0" w:color="auto"/>
              <w:bottom w:val="single" w:sz="4" w:space="0" w:color="auto"/>
              <w:right w:val="single" w:sz="4" w:space="0" w:color="auto"/>
            </w:tcBorders>
            <w:noWrap/>
            <w:vAlign w:val="center"/>
            <w:hideMark/>
          </w:tcPr>
          <w:p w14:paraId="22DA6EAD" w14:textId="77777777" w:rsidR="00E51CDD" w:rsidRPr="00960E15" w:rsidRDefault="00E51CDD" w:rsidP="009938D9">
            <w:pPr>
              <w:widowControl w:val="0"/>
              <w:jc w:val="center"/>
              <w:rPr>
                <w:color w:val="000000"/>
                <w:sz w:val="20"/>
              </w:rPr>
            </w:pPr>
            <w:r w:rsidRPr="00960E15">
              <w:rPr>
                <w:color w:val="000000"/>
                <w:sz w:val="20"/>
              </w:rPr>
              <w:t>0.0%</w:t>
            </w:r>
          </w:p>
        </w:tc>
      </w:tr>
      <w:tr w:rsidR="00E51CDD" w:rsidRPr="00960E15" w14:paraId="1CFCC26A" w14:textId="77777777" w:rsidTr="009938D9">
        <w:tc>
          <w:tcPr>
            <w:tcW w:w="6658" w:type="dxa"/>
            <w:tcBorders>
              <w:top w:val="single" w:sz="4" w:space="0" w:color="auto"/>
              <w:left w:val="single" w:sz="4" w:space="0" w:color="auto"/>
              <w:bottom w:val="single" w:sz="4" w:space="0" w:color="auto"/>
              <w:right w:val="single" w:sz="4" w:space="0" w:color="auto"/>
            </w:tcBorders>
            <w:noWrap/>
            <w:vAlign w:val="center"/>
            <w:hideMark/>
          </w:tcPr>
          <w:p w14:paraId="668C4057" w14:textId="77777777" w:rsidR="00E51CDD" w:rsidRPr="00960E15" w:rsidRDefault="00E51CDD" w:rsidP="009938D9">
            <w:pPr>
              <w:widowControl w:val="0"/>
              <w:rPr>
                <w:color w:val="000000"/>
                <w:sz w:val="20"/>
              </w:rPr>
            </w:pPr>
            <w:r w:rsidRPr="00960E15">
              <w:rPr>
                <w:color w:val="000000"/>
                <w:sz w:val="20"/>
              </w:rPr>
              <w:t>Reference item mortality ≥ 50% on D10</w:t>
            </w:r>
          </w:p>
        </w:tc>
        <w:tc>
          <w:tcPr>
            <w:tcW w:w="2409" w:type="dxa"/>
            <w:tcBorders>
              <w:top w:val="single" w:sz="4" w:space="0" w:color="auto"/>
              <w:left w:val="single" w:sz="4" w:space="0" w:color="auto"/>
              <w:bottom w:val="single" w:sz="4" w:space="0" w:color="auto"/>
              <w:right w:val="single" w:sz="4" w:space="0" w:color="auto"/>
            </w:tcBorders>
            <w:noWrap/>
            <w:vAlign w:val="center"/>
            <w:hideMark/>
          </w:tcPr>
          <w:p w14:paraId="2D8D337B" w14:textId="77777777" w:rsidR="00E51CDD" w:rsidRPr="00960E15" w:rsidRDefault="00E51CDD" w:rsidP="009938D9">
            <w:pPr>
              <w:widowControl w:val="0"/>
              <w:jc w:val="center"/>
              <w:rPr>
                <w:color w:val="000000"/>
                <w:sz w:val="20"/>
              </w:rPr>
            </w:pPr>
            <w:r w:rsidRPr="00960E15">
              <w:rPr>
                <w:color w:val="000000"/>
                <w:sz w:val="20"/>
              </w:rPr>
              <w:t>82.5%</w:t>
            </w:r>
          </w:p>
        </w:tc>
      </w:tr>
    </w:tbl>
    <w:p w14:paraId="27BB0FFC" w14:textId="77777777" w:rsidR="00E51CDD" w:rsidRPr="00960E15" w:rsidRDefault="00E51CDD" w:rsidP="00E51CDD">
      <w:pPr>
        <w:rPr>
          <w:b/>
          <w:color w:val="000000"/>
          <w:szCs w:val="24"/>
          <w:u w:val="single"/>
        </w:rPr>
      </w:pPr>
    </w:p>
    <w:p w14:paraId="4E610838" w14:textId="77777777" w:rsidR="00E51CDD" w:rsidRPr="00960E15" w:rsidRDefault="00E51CDD" w:rsidP="00E51CDD">
      <w:pPr>
        <w:rPr>
          <w:b/>
          <w:color w:val="000000"/>
          <w:szCs w:val="24"/>
          <w:u w:val="single"/>
        </w:rPr>
      </w:pPr>
    </w:p>
    <w:p w14:paraId="7B8525BB" w14:textId="77777777" w:rsidR="00E51CDD" w:rsidRPr="00960E15" w:rsidRDefault="00E51CDD" w:rsidP="00E51CDD">
      <w:pPr>
        <w:jc w:val="both"/>
        <w:rPr>
          <w:color w:val="000000"/>
          <w:szCs w:val="24"/>
        </w:rPr>
      </w:pPr>
      <w:r w:rsidRPr="00960E15">
        <w:rPr>
          <w:color w:val="000000"/>
          <w:szCs w:val="24"/>
        </w:rPr>
        <w:t>All validity criteria were met.</w:t>
      </w:r>
    </w:p>
    <w:p w14:paraId="3E056B86" w14:textId="77777777" w:rsidR="00E51CDD" w:rsidRPr="00960E15" w:rsidRDefault="00E51CDD" w:rsidP="00E51CDD">
      <w:pPr>
        <w:widowControl w:val="0"/>
        <w:rPr>
          <w:color w:val="000000"/>
          <w:szCs w:val="24"/>
        </w:rPr>
      </w:pPr>
    </w:p>
    <w:p w14:paraId="70FABF6E" w14:textId="77777777" w:rsidR="00E51CDD" w:rsidRPr="00960E15" w:rsidRDefault="00E51CDD" w:rsidP="00E51CDD">
      <w:pPr>
        <w:widowControl w:val="0"/>
        <w:rPr>
          <w:color w:val="000000"/>
          <w:szCs w:val="24"/>
        </w:rPr>
      </w:pPr>
    </w:p>
    <w:p w14:paraId="5E8ED14D" w14:textId="77777777" w:rsidR="00E51CDD" w:rsidRPr="00960E15" w:rsidRDefault="00E51CDD" w:rsidP="00E51CDD">
      <w:pPr>
        <w:widowControl w:val="0"/>
        <w:rPr>
          <w:b/>
          <w:bCs/>
          <w:color w:val="000000"/>
          <w:szCs w:val="24"/>
        </w:rPr>
      </w:pPr>
      <w:r w:rsidRPr="00960E15">
        <w:rPr>
          <w:b/>
          <w:bCs/>
          <w:color w:val="000000"/>
          <w:szCs w:val="24"/>
        </w:rPr>
        <w:t>III.</w:t>
      </w:r>
      <w:r w:rsidRPr="00960E15">
        <w:rPr>
          <w:b/>
          <w:bCs/>
          <w:color w:val="000000"/>
          <w:szCs w:val="24"/>
        </w:rPr>
        <w:tab/>
        <w:t>CONCLUSION</w:t>
      </w:r>
    </w:p>
    <w:p w14:paraId="28005802" w14:textId="77777777" w:rsidR="00E51CDD" w:rsidRPr="00960E15" w:rsidRDefault="00E51CDD" w:rsidP="00E51CDD">
      <w:pPr>
        <w:widowControl w:val="0"/>
        <w:jc w:val="both"/>
        <w:rPr>
          <w:color w:val="000000"/>
        </w:rPr>
      </w:pPr>
    </w:p>
    <w:p w14:paraId="303D00D2" w14:textId="77777777" w:rsidR="00E51CDD" w:rsidRPr="00960E15" w:rsidRDefault="00E51CDD" w:rsidP="00E51CDD">
      <w:pPr>
        <w:spacing w:after="160" w:line="259" w:lineRule="auto"/>
        <w:jc w:val="both"/>
        <w:rPr>
          <w:rFonts w:eastAsia="Calibri"/>
          <w:color w:val="000000"/>
          <w:lang w:eastAsia="en-US"/>
        </w:rPr>
      </w:pPr>
      <w:r w:rsidRPr="00960E15">
        <w:rPr>
          <w:b/>
          <w:color w:val="000000"/>
          <w:szCs w:val="24"/>
        </w:rPr>
        <w:t>In a 10-day chronic toxicity feeding test with BAS 736 00 F the NOEDD and NOEC were determined to be 19.2 μg consumed product/bee/day and 0.637 g product/kg food, respectively. The LDD</w:t>
      </w:r>
      <w:r w:rsidRPr="00960E15">
        <w:rPr>
          <w:b/>
          <w:color w:val="000000"/>
          <w:szCs w:val="24"/>
          <w:vertAlign w:val="subscript"/>
        </w:rPr>
        <w:t>50</w:t>
      </w:r>
      <w:r w:rsidRPr="00960E15">
        <w:rPr>
          <w:b/>
          <w:color w:val="000000"/>
          <w:szCs w:val="24"/>
        </w:rPr>
        <w:t xml:space="preserve"> and LC</w:t>
      </w:r>
      <w:r w:rsidRPr="00960E15">
        <w:rPr>
          <w:b/>
          <w:color w:val="000000"/>
          <w:szCs w:val="24"/>
          <w:vertAlign w:val="subscript"/>
        </w:rPr>
        <w:t>50</w:t>
      </w:r>
      <w:r w:rsidRPr="00960E15">
        <w:rPr>
          <w:b/>
          <w:color w:val="000000"/>
          <w:szCs w:val="24"/>
        </w:rPr>
        <w:t xml:space="preserve"> were determined to be 36.6 μg consumed product/bee/day and 1.89 g product/kg food, respectively.</w:t>
      </w:r>
    </w:p>
    <w:p w14:paraId="2F5545B1" w14:textId="77777777" w:rsidR="00E51CDD" w:rsidRPr="00540745" w:rsidRDefault="00E51CDD" w:rsidP="00E51CDD">
      <w:pPr>
        <w:pStyle w:val="RepStandard"/>
        <w:rPr>
          <w:lang w:val="en-US"/>
        </w:rPr>
      </w:pPr>
      <w:r>
        <w:rPr>
          <w:lang w:val="en-US"/>
        </w:rPr>
        <w:br w:type="page"/>
      </w:r>
    </w:p>
    <w:p w14:paraId="755F6320" w14:textId="77777777" w:rsidR="00E51CDD" w:rsidRDefault="00E51CDD" w:rsidP="00E51CDD">
      <w:pPr>
        <w:pStyle w:val="RepAppendix4"/>
      </w:pPr>
      <w:r w:rsidRPr="002B1114">
        <w:lastRenderedPageBreak/>
        <w:t xml:space="preserve">KCP 10.3.1.3 </w:t>
      </w:r>
      <w:r w:rsidRPr="002B1114">
        <w:tab/>
        <w:t>Effects on honey bee development and other honey bee life stages</w:t>
      </w:r>
    </w:p>
    <w:p w14:paraId="676ABBEF" w14:textId="77777777" w:rsidR="00E51CDD" w:rsidRPr="00206174" w:rsidRDefault="00E51CDD" w:rsidP="00E51CDD">
      <w:pPr>
        <w:pStyle w:val="RepAppendix5"/>
      </w:pPr>
      <w:r w:rsidRPr="00206174">
        <w:t>Study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070E40FB" w14:textId="77777777" w:rsidTr="002346A8">
        <w:trPr>
          <w:trHeight w:val="433"/>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B89CAA" w14:textId="77777777" w:rsidR="00E51CDD" w:rsidRDefault="00E51CDD" w:rsidP="009938D9">
            <w:pPr>
              <w:pStyle w:val="RepStandard"/>
              <w:rPr>
                <w:rFonts w:eastAsia="Batang"/>
              </w:rPr>
            </w:pPr>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5EDB42" w14:textId="0DB300A6" w:rsidR="00E51CDD" w:rsidRDefault="00DA6576" w:rsidP="009938D9">
            <w:pPr>
              <w:pStyle w:val="RepStandard"/>
              <w:ind w:left="85"/>
              <w:rPr>
                <w:rFonts w:eastAsia="Batang"/>
              </w:rPr>
            </w:pPr>
            <w:r>
              <w:rPr>
                <w:rFonts w:eastAsia="Batang"/>
              </w:rPr>
              <w:t xml:space="preserve">Study not evaluated. </w:t>
            </w:r>
          </w:p>
        </w:tc>
      </w:tr>
    </w:tbl>
    <w:p w14:paraId="48DF9408"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27443007" w14:textId="77777777" w:rsidTr="009938D9">
        <w:trPr>
          <w:gridAfter w:val="1"/>
          <w:wAfter w:w="9" w:type="pct"/>
        </w:trPr>
        <w:tc>
          <w:tcPr>
            <w:tcW w:w="1340" w:type="pct"/>
            <w:hideMark/>
          </w:tcPr>
          <w:p w14:paraId="443ECF3F" w14:textId="77777777" w:rsidR="00E51CDD" w:rsidRDefault="00E51CDD" w:rsidP="009938D9">
            <w:pPr>
              <w:pStyle w:val="RepStandard"/>
              <w:rPr>
                <w:lang w:val="de-DE"/>
              </w:rPr>
            </w:pPr>
            <w:r>
              <w:t>Reference:</w:t>
            </w:r>
          </w:p>
        </w:tc>
        <w:tc>
          <w:tcPr>
            <w:tcW w:w="3651" w:type="pct"/>
            <w:hideMark/>
          </w:tcPr>
          <w:p w14:paraId="38A183A5" w14:textId="77777777" w:rsidR="00E51CDD" w:rsidRDefault="00E51CDD" w:rsidP="009938D9">
            <w:pPr>
              <w:pStyle w:val="RepStandard"/>
            </w:pPr>
            <w:r>
              <w:t>CP 10.3.1.3/1</w:t>
            </w:r>
          </w:p>
        </w:tc>
      </w:tr>
      <w:tr w:rsidR="00E51CDD" w14:paraId="17F1D801" w14:textId="77777777" w:rsidTr="009938D9">
        <w:trPr>
          <w:gridAfter w:val="1"/>
          <w:wAfter w:w="9" w:type="pct"/>
        </w:trPr>
        <w:tc>
          <w:tcPr>
            <w:tcW w:w="1340" w:type="pct"/>
            <w:hideMark/>
          </w:tcPr>
          <w:p w14:paraId="7DF34346" w14:textId="77777777" w:rsidR="00E51CDD" w:rsidRDefault="00E51CDD" w:rsidP="009938D9">
            <w:pPr>
              <w:pStyle w:val="RepStandard"/>
              <w:spacing w:after="120"/>
            </w:pPr>
            <w:r>
              <w:t>Report</w:t>
            </w:r>
          </w:p>
        </w:tc>
        <w:tc>
          <w:tcPr>
            <w:tcW w:w="3651" w:type="pct"/>
            <w:hideMark/>
          </w:tcPr>
          <w:p w14:paraId="7868C040" w14:textId="77777777" w:rsidR="00E51CDD" w:rsidRDefault="00E51CDD" w:rsidP="009938D9">
            <w:pPr>
              <w:pStyle w:val="RepStandard"/>
              <w:spacing w:after="120"/>
              <w:rPr>
                <w:lang w:val="en-US"/>
              </w:rPr>
            </w:pPr>
            <w:r>
              <w:rPr>
                <w:lang w:val="en-US"/>
              </w:rPr>
              <w:t>Repeated exposure of honey bee (Apis mellifera) larvae to BAS 700 F (Fluxapyroxad) under laboratory conditions (in vitro),</w:t>
            </w:r>
          </w:p>
          <w:p w14:paraId="65A43FC6" w14:textId="77777777" w:rsidR="00E51CDD" w:rsidRDefault="00E51CDD" w:rsidP="009938D9">
            <w:pPr>
              <w:pStyle w:val="RepStandard"/>
              <w:spacing w:after="120"/>
              <w:rPr>
                <w:lang w:val="en-US"/>
              </w:rPr>
            </w:pPr>
            <w:r>
              <w:rPr>
                <w:lang w:val="en-US"/>
              </w:rPr>
              <w:t>Kleebaum, K., 2018</w:t>
            </w:r>
          </w:p>
          <w:p w14:paraId="692F77C1" w14:textId="77777777" w:rsidR="00E51CDD" w:rsidRDefault="00E51CDD" w:rsidP="009938D9">
            <w:pPr>
              <w:pStyle w:val="RepStandard"/>
              <w:spacing w:after="120"/>
              <w:rPr>
                <w:lang w:val="en-US"/>
              </w:rPr>
            </w:pPr>
            <w:r>
              <w:rPr>
                <w:lang w:val="en-US"/>
              </w:rPr>
              <w:t>report No 726242, 1748BLC0043</w:t>
            </w:r>
          </w:p>
          <w:p w14:paraId="5D12055F" w14:textId="77777777" w:rsidR="00E51CDD" w:rsidRDefault="00E51CDD" w:rsidP="009938D9">
            <w:pPr>
              <w:pStyle w:val="RepStandard"/>
              <w:spacing w:after="120"/>
            </w:pPr>
            <w:r>
              <w:rPr>
                <w:lang w:val="en-US"/>
              </w:rPr>
              <w:t>2017/1036679</w:t>
            </w:r>
          </w:p>
          <w:p w14:paraId="1764FAAF" w14:textId="77777777" w:rsidR="00E51CDD" w:rsidRDefault="00E51CDD" w:rsidP="009938D9">
            <w:pPr>
              <w:pStyle w:val="RepStandard"/>
            </w:pPr>
            <w:r>
              <w:t>Authority registration No</w:t>
            </w:r>
          </w:p>
        </w:tc>
      </w:tr>
      <w:tr w:rsidR="00E51CDD" w14:paraId="09237261" w14:textId="77777777" w:rsidTr="009938D9">
        <w:trPr>
          <w:gridAfter w:val="1"/>
          <w:wAfter w:w="9" w:type="pct"/>
        </w:trPr>
        <w:tc>
          <w:tcPr>
            <w:tcW w:w="1340" w:type="pct"/>
            <w:hideMark/>
          </w:tcPr>
          <w:p w14:paraId="33F85C54" w14:textId="77777777" w:rsidR="00E51CDD" w:rsidRDefault="00E51CDD" w:rsidP="009938D9">
            <w:pPr>
              <w:pStyle w:val="RepStandard"/>
            </w:pPr>
            <w:r>
              <w:t>Guideline(s):</w:t>
            </w:r>
          </w:p>
        </w:tc>
        <w:tc>
          <w:tcPr>
            <w:tcW w:w="3651" w:type="pct"/>
            <w:hideMark/>
          </w:tcPr>
          <w:p w14:paraId="59FAE4AC" w14:textId="77777777" w:rsidR="00E51CDD" w:rsidRDefault="00E51CDD" w:rsidP="009938D9">
            <w:pPr>
              <w:pStyle w:val="RepStandard"/>
              <w:spacing w:after="120"/>
            </w:pPr>
            <w:r>
              <w:rPr>
                <w:lang w:val="en-US"/>
              </w:rPr>
              <w:t>OECD 239 (2016)</w:t>
            </w:r>
            <w:r>
              <w:t xml:space="preserve"> </w:t>
            </w:r>
          </w:p>
        </w:tc>
      </w:tr>
      <w:tr w:rsidR="00E51CDD" w14:paraId="256833F4" w14:textId="77777777" w:rsidTr="009938D9">
        <w:trPr>
          <w:gridAfter w:val="1"/>
          <w:wAfter w:w="9" w:type="pct"/>
        </w:trPr>
        <w:tc>
          <w:tcPr>
            <w:tcW w:w="1340" w:type="pct"/>
            <w:hideMark/>
          </w:tcPr>
          <w:p w14:paraId="2FE7A930" w14:textId="77777777" w:rsidR="00E51CDD" w:rsidRDefault="00E51CDD" w:rsidP="009938D9">
            <w:pPr>
              <w:pStyle w:val="RepStandard"/>
            </w:pPr>
            <w:r>
              <w:t>Deviations:</w:t>
            </w:r>
          </w:p>
        </w:tc>
        <w:tc>
          <w:tcPr>
            <w:tcW w:w="3651" w:type="pct"/>
            <w:hideMark/>
          </w:tcPr>
          <w:p w14:paraId="655267E2" w14:textId="77777777" w:rsidR="00E51CDD" w:rsidRDefault="00E51CDD" w:rsidP="009938D9">
            <w:pPr>
              <w:pStyle w:val="RepStandard"/>
              <w:spacing w:after="120"/>
            </w:pPr>
            <w:r>
              <w:t>No</w:t>
            </w:r>
          </w:p>
        </w:tc>
      </w:tr>
      <w:tr w:rsidR="00E51CDD" w:rsidRPr="00662F32" w14:paraId="5FA6C536" w14:textId="77777777" w:rsidTr="009938D9">
        <w:tc>
          <w:tcPr>
            <w:tcW w:w="1340" w:type="pct"/>
            <w:hideMark/>
          </w:tcPr>
          <w:p w14:paraId="299DCBDE" w14:textId="77777777" w:rsidR="00E51CDD" w:rsidRDefault="00E51CDD" w:rsidP="009938D9">
            <w:pPr>
              <w:pStyle w:val="RepStandard"/>
            </w:pPr>
            <w:r>
              <w:t>GLP:</w:t>
            </w:r>
          </w:p>
        </w:tc>
        <w:tc>
          <w:tcPr>
            <w:tcW w:w="3660" w:type="pct"/>
            <w:gridSpan w:val="2"/>
            <w:hideMark/>
          </w:tcPr>
          <w:p w14:paraId="25A2CE47" w14:textId="77777777" w:rsidR="00E51CDD" w:rsidRPr="00E111CB" w:rsidRDefault="00E51CDD" w:rsidP="009938D9">
            <w:pPr>
              <w:tabs>
                <w:tab w:val="left" w:pos="425"/>
                <w:tab w:val="left" w:pos="850"/>
              </w:tabs>
              <w:spacing w:after="120"/>
              <w:ind w:left="1985" w:hanging="1985"/>
              <w:rPr>
                <w:b/>
                <w:lang w:val="de-DE"/>
              </w:rPr>
            </w:pPr>
            <w:r w:rsidRPr="00E111CB">
              <w:rPr>
                <w:lang w:val="de-DE"/>
              </w:rPr>
              <w:t>yes</w:t>
            </w:r>
          </w:p>
          <w:p w14:paraId="71D05055" w14:textId="77777777" w:rsidR="00E51CDD" w:rsidRPr="00E111CB" w:rsidRDefault="00E51CDD" w:rsidP="009938D9">
            <w:pPr>
              <w:pStyle w:val="RepStandard"/>
              <w:spacing w:after="120"/>
              <w:jc w:val="left"/>
              <w:rPr>
                <w:lang w:val="de-DE"/>
              </w:rPr>
            </w:pPr>
            <w:r w:rsidRPr="00E111CB">
              <w:rPr>
                <w:lang w:val="de-DE"/>
              </w:rPr>
              <w:t>(certified by Saechsisches Staatsministerium fuer Umwelt und Landwirtschaft, Dresden, Germany),</w:t>
            </w:r>
          </w:p>
        </w:tc>
      </w:tr>
      <w:tr w:rsidR="00E51CDD" w14:paraId="0B369381" w14:textId="77777777" w:rsidTr="009938D9">
        <w:trPr>
          <w:gridAfter w:val="1"/>
          <w:wAfter w:w="9" w:type="pct"/>
        </w:trPr>
        <w:tc>
          <w:tcPr>
            <w:tcW w:w="1340" w:type="pct"/>
            <w:hideMark/>
          </w:tcPr>
          <w:p w14:paraId="1BE89E08" w14:textId="77777777" w:rsidR="00E51CDD" w:rsidRDefault="00E51CDD" w:rsidP="009938D9">
            <w:pPr>
              <w:pStyle w:val="RepStandard"/>
              <w:rPr>
                <w:lang w:val="de-DE"/>
              </w:rPr>
            </w:pPr>
            <w:r>
              <w:t>Acceptability:</w:t>
            </w:r>
          </w:p>
        </w:tc>
        <w:tc>
          <w:tcPr>
            <w:tcW w:w="3651" w:type="pct"/>
            <w:hideMark/>
          </w:tcPr>
          <w:p w14:paraId="46036495" w14:textId="77777777" w:rsidR="00E51CDD" w:rsidRDefault="00E51CDD" w:rsidP="009938D9">
            <w:pPr>
              <w:pStyle w:val="RepStandard"/>
            </w:pPr>
            <w:r>
              <w:t xml:space="preserve">Yes </w:t>
            </w:r>
          </w:p>
        </w:tc>
      </w:tr>
      <w:tr w:rsidR="00E51CDD" w14:paraId="66F0D4E4" w14:textId="77777777" w:rsidTr="009938D9">
        <w:trPr>
          <w:gridAfter w:val="1"/>
          <w:wAfter w:w="9" w:type="pct"/>
        </w:trPr>
        <w:tc>
          <w:tcPr>
            <w:tcW w:w="1340" w:type="pct"/>
            <w:hideMark/>
          </w:tcPr>
          <w:p w14:paraId="47C57A81" w14:textId="77777777" w:rsidR="00E51CDD" w:rsidRDefault="00E51CDD" w:rsidP="009938D9">
            <w:pPr>
              <w:pStyle w:val="RepStandard"/>
            </w:pPr>
            <w:r>
              <w:t xml:space="preserve">Duplication </w:t>
            </w:r>
            <w:r>
              <w:br/>
              <w:t>(if vertebrate study)</w:t>
            </w:r>
          </w:p>
        </w:tc>
        <w:tc>
          <w:tcPr>
            <w:tcW w:w="3651" w:type="pct"/>
            <w:hideMark/>
          </w:tcPr>
          <w:p w14:paraId="7DF97B01" w14:textId="77777777" w:rsidR="00E51CDD" w:rsidRDefault="00E51CDD" w:rsidP="009938D9">
            <w:pPr>
              <w:pStyle w:val="RepStandard"/>
              <w:spacing w:after="120"/>
              <w:rPr>
                <w:highlight w:val="yellow"/>
              </w:rPr>
            </w:pPr>
            <w:r>
              <w:t>No</w:t>
            </w:r>
          </w:p>
        </w:tc>
      </w:tr>
    </w:tbl>
    <w:p w14:paraId="40240EA9" w14:textId="77777777" w:rsidR="00E51CDD" w:rsidRDefault="00E51CDD" w:rsidP="00E51CDD">
      <w:pPr>
        <w:pStyle w:val="RepStandard"/>
        <w:rPr>
          <w:lang w:val="en-US"/>
        </w:rPr>
      </w:pPr>
    </w:p>
    <w:p w14:paraId="42534F72" w14:textId="77777777" w:rsidR="00E51CDD" w:rsidRDefault="00E51CDD" w:rsidP="00E51CDD">
      <w:pPr>
        <w:pStyle w:val="RepStandard"/>
        <w:rPr>
          <w:lang w:val="en-US"/>
        </w:rPr>
      </w:pPr>
      <w:r>
        <w:rPr>
          <w:lang w:val="en-US"/>
        </w:rPr>
        <w:br w:type="page"/>
      </w:r>
    </w:p>
    <w:p w14:paraId="111BB164" w14:textId="77777777" w:rsidR="00E51CDD" w:rsidRPr="00A013BA" w:rsidRDefault="00E51CDD" w:rsidP="00E51CDD">
      <w:pPr>
        <w:pStyle w:val="RepStandard"/>
        <w:rPr>
          <w:lang w:val="en-US"/>
        </w:rPr>
      </w:pPr>
      <w:r>
        <w:rPr>
          <w:b/>
          <w:bCs/>
        </w:rPr>
        <w:lastRenderedPageBreak/>
        <w:t>Executive Summary</w:t>
      </w:r>
    </w:p>
    <w:p w14:paraId="6E710F29" w14:textId="77777777" w:rsidR="00E51CDD" w:rsidRDefault="00E51CDD" w:rsidP="00E51CDD"/>
    <w:p w14:paraId="025F7CD4" w14:textId="77777777" w:rsidR="00E51CDD" w:rsidRPr="0006388A" w:rsidRDefault="00E51CDD" w:rsidP="00E51CDD">
      <w:pPr>
        <w:widowControl w:val="0"/>
        <w:jc w:val="both"/>
      </w:pPr>
      <w:r w:rsidRPr="0006388A">
        <w:t xml:space="preserve">The effects of the test item </w:t>
      </w:r>
      <w:bookmarkStart w:id="1205" w:name="_Hlk508187164"/>
      <w:r w:rsidRPr="0006388A">
        <w:t xml:space="preserve">BAS 700 F (Reg. No. 5 094 351) </w:t>
      </w:r>
      <w:bookmarkEnd w:id="1205"/>
      <w:r w:rsidRPr="0006388A">
        <w:t xml:space="preserve">on survival and adult emergence of </w:t>
      </w:r>
      <w:r>
        <w:t>honey bee</w:t>
      </w:r>
      <w:r w:rsidRPr="0006388A">
        <w:t xml:space="preserve"> larvae (</w:t>
      </w:r>
      <w:r w:rsidRPr="0006388A">
        <w:rPr>
          <w:i/>
          <w:iCs/>
        </w:rPr>
        <w:t>Apis mellifera</w:t>
      </w:r>
      <w:r w:rsidRPr="0006388A">
        <w:rPr>
          <w:iCs/>
        </w:rPr>
        <w:t>)</w:t>
      </w:r>
      <w:r w:rsidRPr="0006388A">
        <w:rPr>
          <w:i/>
          <w:iCs/>
        </w:rPr>
        <w:t xml:space="preserve"> </w:t>
      </w:r>
      <w:r w:rsidRPr="0006388A">
        <w:t>were investigated in a laboratory test with repeated exposure over a time period of 22 days. Synchronized 1</w:t>
      </w:r>
      <w:r w:rsidRPr="0006388A">
        <w:rPr>
          <w:vertAlign w:val="superscript"/>
        </w:rPr>
        <w:t>st</w:t>
      </w:r>
      <w:r w:rsidRPr="0006388A">
        <w:t xml:space="preserve"> larval stage (L1) </w:t>
      </w:r>
      <w:r>
        <w:t>honey bee</w:t>
      </w:r>
      <w:r w:rsidRPr="0006388A">
        <w:t xml:space="preserve"> larvae (</w:t>
      </w:r>
      <w:r w:rsidRPr="0006388A">
        <w:rPr>
          <w:i/>
          <w:iCs/>
        </w:rPr>
        <w:t>Apis mellifera</w:t>
      </w:r>
      <w:r w:rsidRPr="0006388A">
        <w:t>) were fed with artificial diet for 5 days (day 1,</w:t>
      </w:r>
      <w:r>
        <w:t xml:space="preserve"> </w:t>
      </w:r>
      <w:r w:rsidRPr="0006388A">
        <w:t>3,</w:t>
      </w:r>
      <w:r>
        <w:t xml:space="preserve"> </w:t>
      </w:r>
      <w:r w:rsidRPr="0006388A">
        <w:t>4,</w:t>
      </w:r>
      <w:r>
        <w:t xml:space="preserve"> </w:t>
      </w:r>
      <w:r w:rsidRPr="0006388A">
        <w:t>5 and 6). On days 3, 4, 5 and 6, larvae were fed with diet containing five different concentrations of BAS 700 F (Reg. No. 5 094 351) resulting in concentrations of 32, 63, 126, 253 and 506 mg a.s./kg food, corresponding to total doses of 5.0, 10, 20, 40 and 80 </w:t>
      </w:r>
      <w:r>
        <w:t>μ</w:t>
      </w:r>
      <w:r w:rsidRPr="0006388A">
        <w:t>g a.s./larva. Untreated diet served as a control, in addition to a solvent control with acetone equivalent to the dose used in the treatment groups. Furthermore, dimethoate at a dose rate of 7.6 µg/larva served as reference item treatment. All treatment groups and controls contained larvae from three different bee colonies. Assessments of larval mortality were done 24, 48, 72, 96 and 120 hours after start of the treatment. Additionally, other observations such as small body size or large quantities of remaining food after 120 hours were noted. Pupal mortality was assessed at D15 and emergence of adults was evaluated at D22.</w:t>
      </w:r>
    </w:p>
    <w:p w14:paraId="244477E8" w14:textId="77777777" w:rsidR="00E51CDD" w:rsidRPr="0006388A" w:rsidRDefault="00E51CDD" w:rsidP="00E51CDD">
      <w:pPr>
        <w:widowControl w:val="0"/>
        <w:jc w:val="both"/>
      </w:pPr>
    </w:p>
    <w:p w14:paraId="71B8BD2C" w14:textId="77777777" w:rsidR="00E51CDD" w:rsidRPr="0006388A" w:rsidRDefault="00E51CDD" w:rsidP="00E51CDD">
      <w:pPr>
        <w:widowControl w:val="0"/>
        <w:jc w:val="both"/>
      </w:pPr>
      <w:r w:rsidRPr="0006388A">
        <w:t xml:space="preserve">After 120 hours of repeated oral exposure (on D8) larval mortalities of 0.0 and 2.8% were observed in the controls, respectively. Pupal mortality (between D8 and D22) was 19.4% in the untreated control and 17.1% in the solvent control. The control groups showed a total mortality of 19.4% in the untreated and in the solvent control, respectively, at D22. In the test item group, larval mortalities at D8 ranged between 0.0 and 2.8%. Pupal mortalities ranged between 14.3 and 41.7% in the test item treatment groups. Total mortalities at D22 ranged between 16.7 and 41.7%. On D8, no statistically significantly increased mortality occurred in any of the larvae groups after being treated with BAS 700 F and none individual of all remaining larvae showed remaining food. In the final assessment at D22, adult emergence rates of 80.6% were determined for the </w:t>
      </w:r>
      <w:r>
        <w:t>honey bee</w:t>
      </w:r>
      <w:r w:rsidRPr="0006388A">
        <w:t xml:space="preserve">s in both control groups. In the test item group, the adult </w:t>
      </w:r>
      <w:r>
        <w:t>honey bee</w:t>
      </w:r>
      <w:r w:rsidRPr="0006388A">
        <w:t xml:space="preserve">s emerged at rates ranging between 58.3 and 83.3% following an application of 5.0, 10, 20, 40 and 80 </w:t>
      </w:r>
      <w:r>
        <w:t>μ</w:t>
      </w:r>
      <w:r w:rsidRPr="0006388A">
        <w:t>g a.s./larva, respectively, during the larval stages. No statistically significantly increased mortality occurred in any of the larvae groups after being treated with BAS 700 F.</w:t>
      </w:r>
    </w:p>
    <w:p w14:paraId="573E332D" w14:textId="77777777" w:rsidR="00E51CDD" w:rsidRPr="0006388A" w:rsidRDefault="00E51CDD" w:rsidP="00E51CDD">
      <w:pPr>
        <w:widowControl w:val="0"/>
        <w:rPr>
          <w:bCs/>
        </w:rPr>
      </w:pPr>
    </w:p>
    <w:p w14:paraId="083E184C" w14:textId="77777777" w:rsidR="00E51CDD" w:rsidRPr="0006388A" w:rsidRDefault="00E51CDD" w:rsidP="00E51CDD">
      <w:pPr>
        <w:jc w:val="both"/>
        <w:rPr>
          <w:b/>
          <w:bCs/>
        </w:rPr>
      </w:pPr>
      <w:bookmarkStart w:id="1206" w:name="_Hlk508797904"/>
      <w:r w:rsidRPr="0006388A">
        <w:rPr>
          <w:b/>
          <w:bCs/>
        </w:rPr>
        <w:t>In a repeated exposure larval toxicity study with BAS 700 F, the LD</w:t>
      </w:r>
      <w:r w:rsidRPr="0006388A">
        <w:rPr>
          <w:b/>
          <w:bCs/>
          <w:vertAlign w:val="subscript"/>
        </w:rPr>
        <w:t>50</w:t>
      </w:r>
      <w:r w:rsidRPr="0006388A">
        <w:rPr>
          <w:b/>
          <w:bCs/>
        </w:rPr>
        <w:t xml:space="preserve"> (larval mortality on D8) was estimated to be &gt; 80 </w:t>
      </w:r>
      <w:r>
        <w:rPr>
          <w:b/>
          <w:bCs/>
        </w:rPr>
        <w:t>μ</w:t>
      </w:r>
      <w:r w:rsidRPr="0006388A">
        <w:rPr>
          <w:b/>
          <w:bCs/>
        </w:rPr>
        <w:t>g a.s./larva, which is equivalent to a LC</w:t>
      </w:r>
      <w:r w:rsidRPr="0006388A">
        <w:rPr>
          <w:b/>
          <w:bCs/>
          <w:vertAlign w:val="subscript"/>
        </w:rPr>
        <w:t>50</w:t>
      </w:r>
      <w:r w:rsidRPr="0006388A">
        <w:rPr>
          <w:b/>
          <w:bCs/>
        </w:rPr>
        <w:t xml:space="preserve"> of &gt; 506 mg a.s./kg food. The respective NOED was ≥ 80 </w:t>
      </w:r>
      <w:r>
        <w:rPr>
          <w:b/>
          <w:bCs/>
        </w:rPr>
        <w:t>μ</w:t>
      </w:r>
      <w:r w:rsidRPr="0006388A">
        <w:rPr>
          <w:b/>
          <w:bCs/>
        </w:rPr>
        <w:t>g a.s./larva and the corresponding NOEC was ≥ 506 mg a.s./kg food. The ED</w:t>
      </w:r>
      <w:r w:rsidRPr="0006388A">
        <w:rPr>
          <w:b/>
          <w:bCs/>
          <w:vertAlign w:val="subscript"/>
        </w:rPr>
        <w:t>50</w:t>
      </w:r>
      <w:r w:rsidRPr="0006388A">
        <w:rPr>
          <w:b/>
          <w:bCs/>
        </w:rPr>
        <w:t xml:space="preserve"> (successful adult emergence up to D22) was estimated to be &gt; 80 </w:t>
      </w:r>
      <w:r>
        <w:rPr>
          <w:b/>
          <w:bCs/>
        </w:rPr>
        <w:t>μ</w:t>
      </w:r>
      <w:r w:rsidRPr="0006388A">
        <w:rPr>
          <w:b/>
          <w:bCs/>
        </w:rPr>
        <w:t>g a.s./larva, which is equivalent to an EC</w:t>
      </w:r>
      <w:r w:rsidRPr="0006388A">
        <w:rPr>
          <w:b/>
          <w:bCs/>
          <w:vertAlign w:val="subscript"/>
        </w:rPr>
        <w:t>50</w:t>
      </w:r>
      <w:r w:rsidRPr="0006388A">
        <w:rPr>
          <w:b/>
          <w:bCs/>
        </w:rPr>
        <w:t xml:space="preserve"> of &gt; 506 mg a.s./kg food. The respective NOED was ≥ 80 </w:t>
      </w:r>
      <w:r>
        <w:rPr>
          <w:b/>
          <w:bCs/>
        </w:rPr>
        <w:t>μ</w:t>
      </w:r>
      <w:r w:rsidRPr="0006388A">
        <w:rPr>
          <w:b/>
          <w:bCs/>
        </w:rPr>
        <w:t>g a.s./larva and the corresponding NOEC was ≥ 506 mg a.s./kg food.</w:t>
      </w:r>
      <w:bookmarkEnd w:id="1206"/>
    </w:p>
    <w:p w14:paraId="5136D202" w14:textId="77777777" w:rsidR="00E51CDD" w:rsidRPr="0006388A" w:rsidRDefault="00E51CDD" w:rsidP="00E51CDD"/>
    <w:p w14:paraId="3F236B9F" w14:textId="77777777" w:rsidR="00E51CDD" w:rsidRPr="0006388A" w:rsidRDefault="00E51CDD" w:rsidP="00E51CDD">
      <w:r>
        <w:br w:type="page"/>
      </w:r>
    </w:p>
    <w:p w14:paraId="4CE484E2" w14:textId="77777777" w:rsidR="00E51CDD" w:rsidRPr="0006388A" w:rsidRDefault="00E51CDD" w:rsidP="00E51CDD">
      <w:pPr>
        <w:widowControl w:val="0"/>
        <w:tabs>
          <w:tab w:val="left" w:pos="425"/>
          <w:tab w:val="left" w:pos="850"/>
        </w:tabs>
        <w:ind w:left="2835" w:hanging="2835"/>
        <w:jc w:val="both"/>
        <w:rPr>
          <w:b/>
        </w:rPr>
      </w:pPr>
      <w:r w:rsidRPr="0006388A">
        <w:rPr>
          <w:b/>
        </w:rPr>
        <w:lastRenderedPageBreak/>
        <w:t>I.</w:t>
      </w:r>
      <w:r w:rsidRPr="0006388A">
        <w:rPr>
          <w:b/>
        </w:rPr>
        <w:tab/>
        <w:t>MATERIALS AND METHODS</w:t>
      </w:r>
    </w:p>
    <w:p w14:paraId="75CAAEEF" w14:textId="77777777" w:rsidR="00E51CDD" w:rsidRPr="0006388A" w:rsidRDefault="00E51CDD" w:rsidP="00E51CDD">
      <w:pPr>
        <w:widowControl w:val="0"/>
        <w:jc w:val="both"/>
        <w:rPr>
          <w:sz w:val="24"/>
        </w:rPr>
      </w:pPr>
    </w:p>
    <w:p w14:paraId="7BA6090C" w14:textId="77777777" w:rsidR="00E51CDD" w:rsidRPr="0006388A" w:rsidRDefault="00E51CDD" w:rsidP="00E51CDD">
      <w:pPr>
        <w:tabs>
          <w:tab w:val="left" w:pos="425"/>
          <w:tab w:val="left" w:pos="850"/>
        </w:tabs>
        <w:ind w:left="2835" w:hanging="2835"/>
        <w:jc w:val="both"/>
        <w:rPr>
          <w:b/>
          <w:bCs/>
        </w:rPr>
      </w:pPr>
      <w:r w:rsidRPr="0006388A">
        <w:rPr>
          <w:b/>
          <w:bCs/>
        </w:rPr>
        <w:t>A.</w:t>
      </w:r>
      <w:r w:rsidRPr="0006388A">
        <w:rPr>
          <w:b/>
          <w:bCs/>
        </w:rPr>
        <w:tab/>
        <w:t>MATERIALS</w:t>
      </w:r>
    </w:p>
    <w:p w14:paraId="2BB605E0" w14:textId="77777777" w:rsidR="00E51CDD" w:rsidRPr="0006388A" w:rsidRDefault="00E51CDD" w:rsidP="00E51CDD">
      <w:pPr>
        <w:keepNext/>
        <w:keepLines/>
        <w:widowControl w:val="0"/>
        <w:ind w:left="2040" w:hanging="2040"/>
      </w:pPr>
    </w:p>
    <w:p w14:paraId="010C273D" w14:textId="77777777" w:rsidR="00E51CDD" w:rsidRPr="0006388A" w:rsidRDefault="00E51CDD" w:rsidP="00E51CDD">
      <w:pPr>
        <w:keepNext/>
        <w:keepLines/>
        <w:widowControl w:val="0"/>
        <w:ind w:left="2040" w:hanging="2040"/>
        <w:jc w:val="both"/>
      </w:pPr>
      <w:r w:rsidRPr="0006388A">
        <w:t>Test item:</w:t>
      </w:r>
      <w:r w:rsidRPr="0006388A">
        <w:tab/>
        <w:t>BAS 700 F (fluxapyroxad, Reg. No. 5 094 351); batch no.: COD-001466; analyzed purity: 100.0% ± 1%.</w:t>
      </w:r>
    </w:p>
    <w:p w14:paraId="4A49FFDD" w14:textId="77777777" w:rsidR="00E51CDD" w:rsidRPr="0006388A" w:rsidRDefault="00E51CDD" w:rsidP="00E51CDD"/>
    <w:p w14:paraId="13E99DAD" w14:textId="77777777" w:rsidR="00E51CDD" w:rsidRPr="0006388A" w:rsidRDefault="00E51CDD" w:rsidP="00E51CDD">
      <w:pPr>
        <w:tabs>
          <w:tab w:val="left" w:pos="425"/>
          <w:tab w:val="left" w:pos="850"/>
        </w:tabs>
        <w:ind w:left="2835" w:hanging="2835"/>
        <w:rPr>
          <w:b/>
          <w:bCs/>
        </w:rPr>
      </w:pPr>
      <w:r w:rsidRPr="0006388A">
        <w:rPr>
          <w:b/>
          <w:bCs/>
        </w:rPr>
        <w:t>B.</w:t>
      </w:r>
      <w:r w:rsidRPr="0006388A">
        <w:rPr>
          <w:b/>
          <w:bCs/>
        </w:rPr>
        <w:tab/>
        <w:t>STUDY DESIGN</w:t>
      </w:r>
    </w:p>
    <w:p w14:paraId="0452B35E" w14:textId="77777777" w:rsidR="00E51CDD" w:rsidRPr="0006388A" w:rsidRDefault="00E51CDD" w:rsidP="00E51CDD"/>
    <w:p w14:paraId="73B7D57E" w14:textId="77777777" w:rsidR="00E51CDD" w:rsidRDefault="00E51CDD" w:rsidP="00E51CDD">
      <w:pPr>
        <w:widowControl w:val="0"/>
        <w:ind w:left="2040" w:hanging="2040"/>
        <w:jc w:val="both"/>
      </w:pPr>
      <w:r w:rsidRPr="0006388A">
        <w:t>Test species:</w:t>
      </w:r>
      <w:r w:rsidRPr="0006388A">
        <w:tab/>
        <w:t xml:space="preserve">Larvae of </w:t>
      </w:r>
      <w:r w:rsidRPr="0006388A">
        <w:rPr>
          <w:i/>
          <w:iCs/>
        </w:rPr>
        <w:t xml:space="preserve">Apis mellifera </w:t>
      </w:r>
      <w:r w:rsidRPr="0006388A">
        <w:rPr>
          <w:iCs/>
        </w:rPr>
        <w:t>L. subspecies</w:t>
      </w:r>
      <w:r w:rsidRPr="0006388A">
        <w:rPr>
          <w:i/>
          <w:iCs/>
        </w:rPr>
        <w:t xml:space="preserve"> </w:t>
      </w:r>
      <w:r w:rsidRPr="0006388A">
        <w:rPr>
          <w:iCs/>
        </w:rPr>
        <w:t>Buckfast</w:t>
      </w:r>
      <w:r w:rsidRPr="0006388A">
        <w:t xml:space="preserve"> (</w:t>
      </w:r>
      <w:r>
        <w:t>honey bee</w:t>
      </w:r>
      <w:r w:rsidRPr="0006388A">
        <w:t>); synchronized first larval stage (L1); derived from at least three healthy and queen-right colonies; source: BioChem agrar, Germany.</w:t>
      </w:r>
    </w:p>
    <w:p w14:paraId="6E863363" w14:textId="77777777" w:rsidR="00E51CDD" w:rsidRPr="0006388A" w:rsidRDefault="00E51CDD" w:rsidP="00E51CDD">
      <w:pPr>
        <w:widowControl w:val="0"/>
        <w:ind w:left="2040" w:hanging="2040"/>
        <w:jc w:val="both"/>
      </w:pPr>
    </w:p>
    <w:p w14:paraId="2D6E5D78" w14:textId="77777777" w:rsidR="00E51CDD" w:rsidRPr="0006388A" w:rsidRDefault="00E51CDD" w:rsidP="00E51CDD">
      <w:pPr>
        <w:widowControl w:val="0"/>
        <w:ind w:left="2040" w:hanging="2040"/>
        <w:jc w:val="both"/>
      </w:pPr>
      <w:r w:rsidRPr="0006388A">
        <w:t>Test design:</w:t>
      </w:r>
      <w:r w:rsidRPr="0006388A">
        <w:rPr>
          <w:color w:val="0070C0"/>
        </w:rPr>
        <w:tab/>
      </w:r>
      <w:r w:rsidRPr="0006388A">
        <w:t xml:space="preserve">22-day </w:t>
      </w:r>
      <w:bookmarkStart w:id="1207" w:name="_Hlk508365833"/>
      <w:r w:rsidRPr="0006388A">
        <w:t xml:space="preserve">repeated exposure larval toxicity test </w:t>
      </w:r>
      <w:bookmarkEnd w:id="1207"/>
      <w:r w:rsidRPr="0006388A">
        <w:t xml:space="preserve">according to OECD 239 (2016). L1 </w:t>
      </w:r>
      <w:r>
        <w:t>honey bee</w:t>
      </w:r>
      <w:r w:rsidRPr="0006388A">
        <w:t xml:space="preserve"> larvae of </w:t>
      </w:r>
      <w:r w:rsidRPr="0006388A">
        <w:rPr>
          <w:i/>
          <w:iCs/>
        </w:rPr>
        <w:t xml:space="preserve">Apis mellifera </w:t>
      </w:r>
      <w:r w:rsidRPr="0006388A">
        <w:t>were transferred from brood combs to polystyrene grafting cells in 48-well cell culture plates 2 days before start of the treatment (on D1). After this, the larvae were fed during larval development with artificial diet, containing the test item on rearing days 3, 4, 5 and 6. In total, 8 treatment groups were set up: 5 doses of the test item, 1 untreated control group, 1 solvent control and 1 dose of the reference item, each with 3 replicates and 12 larvae per replicate. Assessments of larval mortality were done 24, 48, 72, 96 and 120 hours after start of the treatment (respectively D4, D5, D6, D7, D8). Additionally, other observations such as small body size or large quantities of remaining food after 120 hours (D8) were noted. Pupal mortality was assessed at D15 and emergence of adults was evaluated at D22.</w:t>
      </w:r>
    </w:p>
    <w:p w14:paraId="7E048BD9" w14:textId="77777777" w:rsidR="00E51CDD" w:rsidRPr="0006388A" w:rsidRDefault="00E51CDD" w:rsidP="00E51CDD">
      <w:pPr>
        <w:widowControl w:val="0"/>
        <w:ind w:left="2040" w:hanging="2040"/>
      </w:pPr>
    </w:p>
    <w:p w14:paraId="0F75FA12" w14:textId="77777777" w:rsidR="00E51CDD" w:rsidRPr="0006388A" w:rsidRDefault="00E51CDD" w:rsidP="00E51CDD">
      <w:pPr>
        <w:widowControl w:val="0"/>
        <w:ind w:left="2040" w:hanging="2040"/>
        <w:jc w:val="both"/>
      </w:pPr>
      <w:r w:rsidRPr="0006388A">
        <w:t>Endpoints:</w:t>
      </w:r>
      <w:r w:rsidRPr="0006388A">
        <w:tab/>
        <w:t>Successful adult emergence (dose-effect relationship), mortality, qualitative observations: body size, remaining food.</w:t>
      </w:r>
    </w:p>
    <w:p w14:paraId="3C07504B" w14:textId="77777777" w:rsidR="00E51CDD" w:rsidRPr="0006388A" w:rsidRDefault="00E51CDD" w:rsidP="00E51CDD">
      <w:pPr>
        <w:widowControl w:val="0"/>
      </w:pPr>
    </w:p>
    <w:p w14:paraId="7FA01938" w14:textId="77777777" w:rsidR="00E51CDD" w:rsidRPr="0006388A" w:rsidRDefault="00E51CDD" w:rsidP="00E51CDD">
      <w:pPr>
        <w:widowControl w:val="0"/>
        <w:ind w:left="2041" w:hanging="2041"/>
      </w:pPr>
      <w:r w:rsidRPr="0006388A">
        <w:t>Reference item:</w:t>
      </w:r>
      <w:r w:rsidRPr="0006388A">
        <w:tab/>
        <w:t>Dimethoate tech. (analyzed purity: 98.8% w/w).</w:t>
      </w:r>
    </w:p>
    <w:p w14:paraId="3BF48097" w14:textId="77777777" w:rsidR="00E51CDD" w:rsidRPr="0006388A" w:rsidRDefault="00E51CDD" w:rsidP="00E51CDD">
      <w:pPr>
        <w:widowControl w:val="0"/>
      </w:pPr>
    </w:p>
    <w:p w14:paraId="2DF5F573" w14:textId="77777777" w:rsidR="00E51CDD" w:rsidRPr="0006388A" w:rsidRDefault="00E51CDD" w:rsidP="00E51CDD">
      <w:pPr>
        <w:widowControl w:val="0"/>
        <w:ind w:left="2040" w:hanging="2040"/>
        <w:jc w:val="both"/>
      </w:pPr>
      <w:r w:rsidRPr="0006388A">
        <w:t>Test doses:</w:t>
      </w:r>
      <w:r w:rsidRPr="0006388A">
        <w:tab/>
        <w:t>Control 1: untreated diet (50% aqueous yeast/sugar solution with 50% royal jelly containing 0.5% v/v water)</w:t>
      </w:r>
    </w:p>
    <w:p w14:paraId="4FD61963" w14:textId="77777777" w:rsidR="00E51CDD" w:rsidRPr="0006388A" w:rsidRDefault="00E51CDD" w:rsidP="00E51CDD">
      <w:pPr>
        <w:widowControl w:val="0"/>
        <w:ind w:left="2040" w:hanging="2040"/>
      </w:pPr>
      <w:r w:rsidRPr="0006388A">
        <w:tab/>
        <w:t>Control 2: untreated diet with acetone (0.5% v/v)</w:t>
      </w:r>
    </w:p>
    <w:p w14:paraId="6398D849" w14:textId="77777777" w:rsidR="00E51CDD" w:rsidRDefault="00E51CDD" w:rsidP="00E51CDD">
      <w:pPr>
        <w:widowControl w:val="0"/>
        <w:ind w:left="2040" w:hanging="2040"/>
      </w:pPr>
      <w:r w:rsidRPr="0006388A">
        <w:tab/>
      </w:r>
      <w:r>
        <w:t>Test item treatments:</w:t>
      </w:r>
    </w:p>
    <w:tbl>
      <w:tblPr>
        <w:tblStyle w:val="Tabela-Siatka"/>
        <w:tblW w:w="0" w:type="auto"/>
        <w:tblInd w:w="2138" w:type="dxa"/>
        <w:tblLook w:val="04A0" w:firstRow="1" w:lastRow="0" w:firstColumn="1" w:lastColumn="0" w:noHBand="0" w:noVBand="1"/>
      </w:tblPr>
      <w:tblGrid>
        <w:gridCol w:w="3598"/>
        <w:gridCol w:w="3608"/>
      </w:tblGrid>
      <w:tr w:rsidR="00E51CDD" w:rsidRPr="004122E3" w14:paraId="2D48B431" w14:textId="77777777" w:rsidTr="009938D9">
        <w:tc>
          <w:tcPr>
            <w:tcW w:w="7356" w:type="dxa"/>
            <w:gridSpan w:val="2"/>
            <w:tcBorders>
              <w:top w:val="single" w:sz="4" w:space="0" w:color="auto"/>
              <w:left w:val="single" w:sz="4" w:space="0" w:color="auto"/>
              <w:bottom w:val="single" w:sz="4" w:space="0" w:color="auto"/>
              <w:right w:val="single" w:sz="4" w:space="0" w:color="auto"/>
            </w:tcBorders>
            <w:hideMark/>
          </w:tcPr>
          <w:p w14:paraId="79AE42E1" w14:textId="77777777" w:rsidR="00E51CDD" w:rsidRPr="0006388A" w:rsidRDefault="00E51CDD" w:rsidP="009938D9">
            <w:pPr>
              <w:keepNext/>
              <w:rPr>
                <w:b/>
                <w:bCs/>
                <w:sz w:val="20"/>
                <w:szCs w:val="20"/>
              </w:rPr>
            </w:pPr>
            <w:r w:rsidRPr="0006388A">
              <w:rPr>
                <w:b/>
                <w:bCs/>
                <w:sz w:val="20"/>
                <w:szCs w:val="20"/>
              </w:rPr>
              <w:t>Nominal dose/concentration of BAS 700 F</w:t>
            </w:r>
          </w:p>
        </w:tc>
      </w:tr>
      <w:tr w:rsidR="00E51CDD" w:rsidRPr="004122E3" w14:paraId="4A77CD48" w14:textId="77777777" w:rsidTr="009938D9">
        <w:tc>
          <w:tcPr>
            <w:tcW w:w="3675" w:type="dxa"/>
            <w:tcBorders>
              <w:top w:val="single" w:sz="4" w:space="0" w:color="auto"/>
              <w:left w:val="single" w:sz="4" w:space="0" w:color="auto"/>
              <w:bottom w:val="single" w:sz="4" w:space="0" w:color="auto"/>
              <w:right w:val="single" w:sz="4" w:space="0" w:color="auto"/>
            </w:tcBorders>
            <w:hideMark/>
          </w:tcPr>
          <w:p w14:paraId="5935786B" w14:textId="77777777" w:rsidR="00E51CDD" w:rsidRPr="002262EA" w:rsidRDefault="00E51CDD" w:rsidP="009938D9">
            <w:pPr>
              <w:keepNext/>
              <w:rPr>
                <w:b/>
                <w:bCs/>
                <w:sz w:val="20"/>
                <w:szCs w:val="20"/>
                <w:lang w:val="fr-BE"/>
              </w:rPr>
            </w:pPr>
            <w:r w:rsidRPr="002262EA">
              <w:rPr>
                <w:b/>
                <w:bCs/>
                <w:sz w:val="20"/>
                <w:szCs w:val="20"/>
                <w:lang w:val="fr-BE"/>
              </w:rPr>
              <w:t>Doses</w:t>
            </w:r>
            <w:r w:rsidRPr="002262EA">
              <w:rPr>
                <w:b/>
                <w:bCs/>
                <w:sz w:val="20"/>
                <w:szCs w:val="20"/>
                <w:lang w:val="fr-BE"/>
              </w:rPr>
              <w:br/>
              <w:t>[µg a.s./larva]</w:t>
            </w:r>
          </w:p>
        </w:tc>
        <w:tc>
          <w:tcPr>
            <w:tcW w:w="3681" w:type="dxa"/>
            <w:tcBorders>
              <w:top w:val="single" w:sz="4" w:space="0" w:color="auto"/>
              <w:left w:val="single" w:sz="4" w:space="0" w:color="auto"/>
              <w:bottom w:val="single" w:sz="4" w:space="0" w:color="auto"/>
              <w:right w:val="single" w:sz="4" w:space="0" w:color="auto"/>
            </w:tcBorders>
            <w:hideMark/>
          </w:tcPr>
          <w:p w14:paraId="735978AF" w14:textId="77777777" w:rsidR="00E51CDD" w:rsidRPr="0006388A" w:rsidRDefault="00E51CDD" w:rsidP="009938D9">
            <w:pPr>
              <w:keepNext/>
              <w:rPr>
                <w:b/>
                <w:bCs/>
                <w:sz w:val="20"/>
                <w:szCs w:val="20"/>
              </w:rPr>
            </w:pPr>
            <w:r w:rsidRPr="0006388A">
              <w:rPr>
                <w:b/>
                <w:bCs/>
                <w:sz w:val="20"/>
                <w:szCs w:val="20"/>
              </w:rPr>
              <w:t>Concentrations</w:t>
            </w:r>
            <w:r w:rsidRPr="0006388A">
              <w:rPr>
                <w:b/>
                <w:bCs/>
                <w:sz w:val="20"/>
                <w:szCs w:val="20"/>
              </w:rPr>
              <w:br/>
              <w:t>[mg a.s./kg food]</w:t>
            </w:r>
          </w:p>
        </w:tc>
      </w:tr>
      <w:tr w:rsidR="00E51CDD" w14:paraId="49D06A5C" w14:textId="77777777" w:rsidTr="009938D9">
        <w:tc>
          <w:tcPr>
            <w:tcW w:w="3675" w:type="dxa"/>
            <w:tcBorders>
              <w:top w:val="single" w:sz="4" w:space="0" w:color="auto"/>
              <w:left w:val="single" w:sz="4" w:space="0" w:color="auto"/>
              <w:bottom w:val="single" w:sz="4" w:space="0" w:color="auto"/>
              <w:right w:val="single" w:sz="4" w:space="0" w:color="auto"/>
            </w:tcBorders>
            <w:hideMark/>
          </w:tcPr>
          <w:p w14:paraId="710B18CC" w14:textId="77777777" w:rsidR="00E51CDD" w:rsidRDefault="00E51CDD" w:rsidP="009938D9">
            <w:pPr>
              <w:keepNext/>
              <w:rPr>
                <w:sz w:val="20"/>
                <w:szCs w:val="20"/>
              </w:rPr>
            </w:pPr>
            <w:r>
              <w:rPr>
                <w:sz w:val="20"/>
                <w:szCs w:val="20"/>
              </w:rPr>
              <w:t>5.0</w:t>
            </w:r>
          </w:p>
        </w:tc>
        <w:tc>
          <w:tcPr>
            <w:tcW w:w="3681" w:type="dxa"/>
            <w:tcBorders>
              <w:top w:val="single" w:sz="4" w:space="0" w:color="auto"/>
              <w:left w:val="single" w:sz="4" w:space="0" w:color="auto"/>
              <w:bottom w:val="single" w:sz="4" w:space="0" w:color="auto"/>
              <w:right w:val="single" w:sz="4" w:space="0" w:color="auto"/>
            </w:tcBorders>
            <w:hideMark/>
          </w:tcPr>
          <w:p w14:paraId="51C33B8D" w14:textId="77777777" w:rsidR="00E51CDD" w:rsidRDefault="00E51CDD" w:rsidP="009938D9">
            <w:pPr>
              <w:keepNext/>
              <w:rPr>
                <w:sz w:val="20"/>
                <w:szCs w:val="20"/>
              </w:rPr>
            </w:pPr>
            <w:r>
              <w:rPr>
                <w:sz w:val="20"/>
                <w:szCs w:val="20"/>
              </w:rPr>
              <w:t>32</w:t>
            </w:r>
          </w:p>
        </w:tc>
      </w:tr>
      <w:tr w:rsidR="00E51CDD" w14:paraId="527D0EB9" w14:textId="77777777" w:rsidTr="009938D9">
        <w:tc>
          <w:tcPr>
            <w:tcW w:w="3675" w:type="dxa"/>
            <w:tcBorders>
              <w:top w:val="single" w:sz="4" w:space="0" w:color="auto"/>
              <w:left w:val="single" w:sz="4" w:space="0" w:color="auto"/>
              <w:bottom w:val="single" w:sz="4" w:space="0" w:color="auto"/>
              <w:right w:val="single" w:sz="4" w:space="0" w:color="auto"/>
            </w:tcBorders>
            <w:hideMark/>
          </w:tcPr>
          <w:p w14:paraId="5B8D38F7" w14:textId="77777777" w:rsidR="00E51CDD" w:rsidRDefault="00E51CDD" w:rsidP="009938D9">
            <w:pPr>
              <w:keepNext/>
              <w:rPr>
                <w:sz w:val="20"/>
                <w:szCs w:val="20"/>
              </w:rPr>
            </w:pPr>
            <w:r>
              <w:rPr>
                <w:sz w:val="20"/>
                <w:szCs w:val="20"/>
              </w:rPr>
              <w:t>10</w:t>
            </w:r>
          </w:p>
        </w:tc>
        <w:tc>
          <w:tcPr>
            <w:tcW w:w="3681" w:type="dxa"/>
            <w:tcBorders>
              <w:top w:val="single" w:sz="4" w:space="0" w:color="auto"/>
              <w:left w:val="single" w:sz="4" w:space="0" w:color="auto"/>
              <w:bottom w:val="single" w:sz="4" w:space="0" w:color="auto"/>
              <w:right w:val="single" w:sz="4" w:space="0" w:color="auto"/>
            </w:tcBorders>
            <w:hideMark/>
          </w:tcPr>
          <w:p w14:paraId="53CF4B00" w14:textId="77777777" w:rsidR="00E51CDD" w:rsidRDefault="00E51CDD" w:rsidP="009938D9">
            <w:pPr>
              <w:keepNext/>
              <w:rPr>
                <w:sz w:val="20"/>
                <w:szCs w:val="20"/>
              </w:rPr>
            </w:pPr>
            <w:r>
              <w:rPr>
                <w:sz w:val="20"/>
                <w:szCs w:val="20"/>
              </w:rPr>
              <w:t>63</w:t>
            </w:r>
          </w:p>
        </w:tc>
      </w:tr>
      <w:tr w:rsidR="00E51CDD" w14:paraId="7DFD646C" w14:textId="77777777" w:rsidTr="009938D9">
        <w:tc>
          <w:tcPr>
            <w:tcW w:w="3675" w:type="dxa"/>
            <w:tcBorders>
              <w:top w:val="single" w:sz="4" w:space="0" w:color="auto"/>
              <w:left w:val="single" w:sz="4" w:space="0" w:color="auto"/>
              <w:bottom w:val="single" w:sz="4" w:space="0" w:color="auto"/>
              <w:right w:val="single" w:sz="4" w:space="0" w:color="auto"/>
            </w:tcBorders>
            <w:hideMark/>
          </w:tcPr>
          <w:p w14:paraId="22AAB33D" w14:textId="77777777" w:rsidR="00E51CDD" w:rsidRDefault="00E51CDD" w:rsidP="009938D9">
            <w:pPr>
              <w:keepNext/>
              <w:rPr>
                <w:sz w:val="20"/>
                <w:szCs w:val="20"/>
              </w:rPr>
            </w:pPr>
            <w:r>
              <w:rPr>
                <w:sz w:val="20"/>
                <w:szCs w:val="20"/>
              </w:rPr>
              <w:t>20</w:t>
            </w:r>
          </w:p>
        </w:tc>
        <w:tc>
          <w:tcPr>
            <w:tcW w:w="3681" w:type="dxa"/>
            <w:tcBorders>
              <w:top w:val="single" w:sz="4" w:space="0" w:color="auto"/>
              <w:left w:val="single" w:sz="4" w:space="0" w:color="auto"/>
              <w:bottom w:val="single" w:sz="4" w:space="0" w:color="auto"/>
              <w:right w:val="single" w:sz="4" w:space="0" w:color="auto"/>
            </w:tcBorders>
            <w:hideMark/>
          </w:tcPr>
          <w:p w14:paraId="09AAF172" w14:textId="77777777" w:rsidR="00E51CDD" w:rsidRDefault="00E51CDD" w:rsidP="009938D9">
            <w:pPr>
              <w:keepNext/>
              <w:rPr>
                <w:sz w:val="20"/>
                <w:szCs w:val="20"/>
              </w:rPr>
            </w:pPr>
            <w:r>
              <w:rPr>
                <w:sz w:val="20"/>
                <w:szCs w:val="20"/>
              </w:rPr>
              <w:t>126</w:t>
            </w:r>
          </w:p>
        </w:tc>
      </w:tr>
      <w:tr w:rsidR="00E51CDD" w14:paraId="31FAD077" w14:textId="77777777" w:rsidTr="009938D9">
        <w:tc>
          <w:tcPr>
            <w:tcW w:w="3675" w:type="dxa"/>
            <w:tcBorders>
              <w:top w:val="single" w:sz="4" w:space="0" w:color="auto"/>
              <w:left w:val="single" w:sz="4" w:space="0" w:color="auto"/>
              <w:bottom w:val="single" w:sz="4" w:space="0" w:color="auto"/>
              <w:right w:val="single" w:sz="4" w:space="0" w:color="auto"/>
            </w:tcBorders>
            <w:hideMark/>
          </w:tcPr>
          <w:p w14:paraId="7D028468" w14:textId="77777777" w:rsidR="00E51CDD" w:rsidRDefault="00E51CDD" w:rsidP="009938D9">
            <w:pPr>
              <w:keepNext/>
              <w:rPr>
                <w:sz w:val="20"/>
                <w:szCs w:val="20"/>
              </w:rPr>
            </w:pPr>
            <w:r>
              <w:rPr>
                <w:sz w:val="20"/>
                <w:szCs w:val="20"/>
              </w:rPr>
              <w:t>40</w:t>
            </w:r>
          </w:p>
        </w:tc>
        <w:tc>
          <w:tcPr>
            <w:tcW w:w="3681" w:type="dxa"/>
            <w:tcBorders>
              <w:top w:val="single" w:sz="4" w:space="0" w:color="auto"/>
              <w:left w:val="single" w:sz="4" w:space="0" w:color="auto"/>
              <w:bottom w:val="single" w:sz="4" w:space="0" w:color="auto"/>
              <w:right w:val="single" w:sz="4" w:space="0" w:color="auto"/>
            </w:tcBorders>
            <w:hideMark/>
          </w:tcPr>
          <w:p w14:paraId="649E8FAD" w14:textId="77777777" w:rsidR="00E51CDD" w:rsidRDefault="00E51CDD" w:rsidP="009938D9">
            <w:pPr>
              <w:keepNext/>
              <w:rPr>
                <w:sz w:val="20"/>
                <w:szCs w:val="20"/>
              </w:rPr>
            </w:pPr>
            <w:r>
              <w:rPr>
                <w:sz w:val="20"/>
                <w:szCs w:val="20"/>
              </w:rPr>
              <w:t>253</w:t>
            </w:r>
          </w:p>
        </w:tc>
      </w:tr>
      <w:tr w:rsidR="00E51CDD" w14:paraId="67D399C0" w14:textId="77777777" w:rsidTr="009938D9">
        <w:tc>
          <w:tcPr>
            <w:tcW w:w="3675" w:type="dxa"/>
            <w:tcBorders>
              <w:top w:val="single" w:sz="4" w:space="0" w:color="auto"/>
              <w:left w:val="single" w:sz="4" w:space="0" w:color="auto"/>
              <w:bottom w:val="single" w:sz="4" w:space="0" w:color="auto"/>
              <w:right w:val="single" w:sz="4" w:space="0" w:color="auto"/>
            </w:tcBorders>
            <w:hideMark/>
          </w:tcPr>
          <w:p w14:paraId="7E1C3F4A" w14:textId="77777777" w:rsidR="00E51CDD" w:rsidRDefault="00E51CDD" w:rsidP="009938D9">
            <w:pPr>
              <w:keepNext/>
              <w:rPr>
                <w:sz w:val="20"/>
                <w:szCs w:val="20"/>
              </w:rPr>
            </w:pPr>
            <w:r>
              <w:rPr>
                <w:sz w:val="20"/>
                <w:szCs w:val="20"/>
              </w:rPr>
              <w:t>80</w:t>
            </w:r>
          </w:p>
        </w:tc>
        <w:tc>
          <w:tcPr>
            <w:tcW w:w="3681" w:type="dxa"/>
            <w:tcBorders>
              <w:top w:val="single" w:sz="4" w:space="0" w:color="auto"/>
              <w:left w:val="single" w:sz="4" w:space="0" w:color="auto"/>
              <w:bottom w:val="single" w:sz="4" w:space="0" w:color="auto"/>
              <w:right w:val="single" w:sz="4" w:space="0" w:color="auto"/>
            </w:tcBorders>
            <w:hideMark/>
          </w:tcPr>
          <w:p w14:paraId="1CB506D3" w14:textId="77777777" w:rsidR="00E51CDD" w:rsidRDefault="00E51CDD" w:rsidP="009938D9">
            <w:pPr>
              <w:keepNext/>
              <w:rPr>
                <w:sz w:val="20"/>
                <w:szCs w:val="20"/>
              </w:rPr>
            </w:pPr>
            <w:r>
              <w:rPr>
                <w:sz w:val="20"/>
                <w:szCs w:val="20"/>
              </w:rPr>
              <w:t>506</w:t>
            </w:r>
          </w:p>
        </w:tc>
      </w:tr>
    </w:tbl>
    <w:p w14:paraId="3BBE576E" w14:textId="77777777" w:rsidR="00E51CDD" w:rsidRDefault="00E51CDD" w:rsidP="00E51CDD">
      <w:pPr>
        <w:widowControl w:val="0"/>
        <w:ind w:left="2041" w:hanging="2041"/>
      </w:pPr>
    </w:p>
    <w:p w14:paraId="102CFA65" w14:textId="77777777" w:rsidR="00E51CDD" w:rsidRPr="0006388A" w:rsidRDefault="00E51CDD" w:rsidP="00E51CDD">
      <w:pPr>
        <w:widowControl w:val="0"/>
        <w:ind w:left="2041"/>
        <w:jc w:val="both"/>
      </w:pPr>
      <w:r w:rsidRPr="0006388A">
        <w:t xml:space="preserve">Reference item: treated diet with a dose of 7.6 </w:t>
      </w:r>
      <w:r>
        <w:t>μ</w:t>
      </w:r>
      <w:r w:rsidRPr="0006388A">
        <w:t>g dimethoate/larva (corresponding concentration: 48 mg a.s./kg food)</w:t>
      </w:r>
    </w:p>
    <w:p w14:paraId="288EA998" w14:textId="77777777" w:rsidR="00E51CDD" w:rsidRPr="0006388A" w:rsidRDefault="00E51CDD" w:rsidP="00E51CDD">
      <w:pPr>
        <w:keepNext/>
        <w:keepLines/>
        <w:tabs>
          <w:tab w:val="left" w:pos="1985"/>
        </w:tabs>
        <w:autoSpaceDE w:val="0"/>
        <w:autoSpaceDN w:val="0"/>
        <w:adjustRightInd w:val="0"/>
        <w:rPr>
          <w:rFonts w:eastAsiaTheme="minorEastAsia"/>
          <w:lang w:eastAsia="zh-CN"/>
        </w:rPr>
      </w:pPr>
      <w:r>
        <w:rPr>
          <w:rFonts w:eastAsiaTheme="minorEastAsia"/>
          <w:lang w:eastAsia="zh-CN"/>
        </w:rPr>
        <w:br w:type="page"/>
      </w:r>
    </w:p>
    <w:p w14:paraId="040CE8D7" w14:textId="77777777" w:rsidR="00E51CDD" w:rsidRPr="0006388A" w:rsidRDefault="00E51CDD" w:rsidP="00E51CDD">
      <w:pPr>
        <w:keepNext/>
        <w:keepLines/>
        <w:tabs>
          <w:tab w:val="left" w:pos="1985"/>
        </w:tabs>
        <w:autoSpaceDE w:val="0"/>
        <w:autoSpaceDN w:val="0"/>
        <w:adjustRightInd w:val="0"/>
        <w:rPr>
          <w:rFonts w:eastAsiaTheme="minorEastAsia"/>
          <w:lang w:eastAsia="zh-CN"/>
        </w:rPr>
      </w:pPr>
      <w:r w:rsidRPr="0006388A">
        <w:rPr>
          <w:rFonts w:eastAsiaTheme="minorEastAsia"/>
          <w:lang w:eastAsia="zh-CN"/>
        </w:rPr>
        <w:lastRenderedPageBreak/>
        <w:t>Test conditions:</w:t>
      </w:r>
      <w:r w:rsidRPr="0006388A">
        <w:rPr>
          <w:rFonts w:eastAsiaTheme="minorEastAsia"/>
          <w:lang w:eastAsia="zh-CN"/>
        </w:rPr>
        <w:tab/>
        <w:t xml:space="preserve">Temperature (D1-D22): </w:t>
      </w:r>
    </w:p>
    <w:p w14:paraId="7E4D318E" w14:textId="77777777" w:rsidR="00E51CDD" w:rsidRPr="0006388A" w:rsidRDefault="00E51CDD" w:rsidP="00E51CDD">
      <w:pPr>
        <w:keepNext/>
        <w:keepLines/>
        <w:tabs>
          <w:tab w:val="left" w:pos="1985"/>
        </w:tabs>
        <w:autoSpaceDE w:val="0"/>
        <w:autoSpaceDN w:val="0"/>
        <w:adjustRightInd w:val="0"/>
        <w:rPr>
          <w:rFonts w:eastAsiaTheme="minorEastAsia"/>
          <w:lang w:eastAsia="zh-CN"/>
        </w:rPr>
      </w:pPr>
      <w:r w:rsidRPr="0006388A">
        <w:rPr>
          <w:rFonts w:eastAsiaTheme="minorEastAsia"/>
          <w:lang w:eastAsia="zh-CN"/>
        </w:rPr>
        <w:tab/>
        <w:t>34.0°C – 34.8°C</w:t>
      </w:r>
    </w:p>
    <w:p w14:paraId="7273104A" w14:textId="77777777" w:rsidR="00E51CDD" w:rsidRPr="0006388A" w:rsidRDefault="00E51CDD" w:rsidP="00E51CDD">
      <w:pPr>
        <w:keepNext/>
        <w:keepLines/>
        <w:tabs>
          <w:tab w:val="left" w:pos="1985"/>
        </w:tabs>
        <w:autoSpaceDE w:val="0"/>
        <w:autoSpaceDN w:val="0"/>
        <w:adjustRightInd w:val="0"/>
        <w:rPr>
          <w:rFonts w:eastAsiaTheme="minorEastAsia"/>
          <w:lang w:eastAsia="zh-CN"/>
        </w:rPr>
      </w:pPr>
      <w:r w:rsidRPr="0006388A">
        <w:rPr>
          <w:rFonts w:eastAsiaTheme="minorEastAsia"/>
          <w:lang w:eastAsia="zh-CN"/>
        </w:rPr>
        <w:tab/>
        <w:t>Relative humidity:</w:t>
      </w:r>
    </w:p>
    <w:p w14:paraId="4344E2E4" w14:textId="77777777" w:rsidR="00E51CDD" w:rsidRPr="0006388A" w:rsidRDefault="00E51CDD" w:rsidP="00E51CDD">
      <w:pPr>
        <w:keepNext/>
        <w:keepLines/>
        <w:autoSpaceDE w:val="0"/>
        <w:autoSpaceDN w:val="0"/>
        <w:adjustRightInd w:val="0"/>
        <w:ind w:left="1985"/>
        <w:jc w:val="both"/>
        <w:rPr>
          <w:rFonts w:eastAsiaTheme="minorEastAsia"/>
          <w:lang w:eastAsia="zh-CN"/>
        </w:rPr>
      </w:pPr>
      <w:r w:rsidRPr="0006388A">
        <w:rPr>
          <w:rFonts w:eastAsiaTheme="minorEastAsia"/>
          <w:lang w:eastAsia="zh-CN"/>
        </w:rPr>
        <w:t>99 - 100% (D1-D8)</w:t>
      </w:r>
    </w:p>
    <w:p w14:paraId="44C10FFB" w14:textId="77777777" w:rsidR="00E51CDD" w:rsidRPr="0006388A" w:rsidRDefault="00E51CDD" w:rsidP="00E51CDD">
      <w:pPr>
        <w:autoSpaceDE w:val="0"/>
        <w:autoSpaceDN w:val="0"/>
        <w:adjustRightInd w:val="0"/>
        <w:ind w:left="1985"/>
        <w:jc w:val="both"/>
        <w:rPr>
          <w:rFonts w:eastAsiaTheme="minorEastAsia"/>
          <w:lang w:eastAsia="zh-CN"/>
        </w:rPr>
      </w:pPr>
      <w:r w:rsidRPr="0006388A">
        <w:rPr>
          <w:rFonts w:eastAsiaTheme="minorEastAsia"/>
          <w:lang w:eastAsia="zh-CN"/>
        </w:rPr>
        <w:t>82 - 86% (D8 – D15)</w:t>
      </w:r>
    </w:p>
    <w:p w14:paraId="3D8EF124" w14:textId="77777777" w:rsidR="00E51CDD" w:rsidRPr="0006388A" w:rsidRDefault="00E51CDD" w:rsidP="00E51CDD">
      <w:pPr>
        <w:widowControl w:val="0"/>
        <w:ind w:left="1985"/>
      </w:pPr>
      <w:r w:rsidRPr="0006388A">
        <w:t>60 - 68% (D15 – D22)</w:t>
      </w:r>
    </w:p>
    <w:p w14:paraId="2FC5CD91" w14:textId="77777777" w:rsidR="00E51CDD" w:rsidRPr="0006388A" w:rsidRDefault="00E51CDD" w:rsidP="00E51CDD">
      <w:pPr>
        <w:widowControl w:val="0"/>
        <w:ind w:left="1985"/>
      </w:pPr>
      <w:r w:rsidRPr="0006388A">
        <w:t>Photoperiod: darkness (except during assessments)</w:t>
      </w:r>
    </w:p>
    <w:p w14:paraId="526C0532" w14:textId="77777777" w:rsidR="00E51CDD" w:rsidRPr="0006388A" w:rsidRDefault="00E51CDD" w:rsidP="00E51CDD">
      <w:pPr>
        <w:widowControl w:val="0"/>
        <w:ind w:left="1985"/>
      </w:pPr>
      <w:r w:rsidRPr="0006388A">
        <w:t>Food: 50% aqueous yeast/sugar solution with 50% royal jelly.</w:t>
      </w:r>
    </w:p>
    <w:p w14:paraId="151040FC" w14:textId="77777777" w:rsidR="00E51CDD" w:rsidRPr="0006388A" w:rsidRDefault="00E51CDD" w:rsidP="00E51CDD">
      <w:pPr>
        <w:ind w:left="1985" w:hanging="1985"/>
        <w:jc w:val="both"/>
        <w:rPr>
          <w:lang w:eastAsia="en-US"/>
        </w:rPr>
      </w:pPr>
    </w:p>
    <w:p w14:paraId="2B99B3A7" w14:textId="77777777" w:rsidR="00E51CDD" w:rsidRPr="0006388A" w:rsidRDefault="00E51CDD" w:rsidP="00E51CDD">
      <w:pPr>
        <w:ind w:left="1985" w:hanging="1985"/>
        <w:jc w:val="both"/>
        <w:rPr>
          <w:lang w:eastAsia="en-US"/>
        </w:rPr>
      </w:pPr>
      <w:r w:rsidRPr="0006388A">
        <w:rPr>
          <w:lang w:eastAsia="en-US"/>
        </w:rPr>
        <w:t>Analytics:</w:t>
      </w:r>
      <w:r w:rsidRPr="0006388A">
        <w:rPr>
          <w:lang w:eastAsia="en-US"/>
        </w:rPr>
        <w:tab/>
        <w:t xml:space="preserve">Analytical verification of test item concentrations in </w:t>
      </w:r>
      <w:r>
        <w:rPr>
          <w:lang w:eastAsia="en-US"/>
        </w:rPr>
        <w:t>honey bee</w:t>
      </w:r>
      <w:r w:rsidRPr="0006388A">
        <w:rPr>
          <w:lang w:eastAsia="en-US"/>
        </w:rPr>
        <w:t xml:space="preserve"> larvae diet was conducted using an HPLC-method with MS-MS detection (Method No. L0383/01). </w:t>
      </w:r>
    </w:p>
    <w:p w14:paraId="428DD8AC" w14:textId="77777777" w:rsidR="00E51CDD" w:rsidRPr="0006388A" w:rsidRDefault="00E51CDD" w:rsidP="00E51CDD">
      <w:pPr>
        <w:widowControl w:val="0"/>
        <w:ind w:left="1985"/>
      </w:pPr>
    </w:p>
    <w:p w14:paraId="56BE1181" w14:textId="77777777" w:rsidR="00E51CDD" w:rsidRDefault="00E51CDD" w:rsidP="00E51CDD">
      <w:pPr>
        <w:widowControl w:val="0"/>
        <w:ind w:left="1985" w:hanging="1985"/>
        <w:jc w:val="both"/>
        <w:rPr>
          <w:rFonts w:ascii="Arial" w:eastAsiaTheme="minorHAnsi" w:hAnsi="Arial" w:cs="Arial"/>
          <w:sz w:val="20"/>
          <w:szCs w:val="20"/>
        </w:rPr>
      </w:pPr>
      <w:r w:rsidRPr="0006388A">
        <w:t>Statistics:</w:t>
      </w:r>
      <w:r w:rsidRPr="0006388A">
        <w:tab/>
        <w:t xml:space="preserve">Descriptive statistics; The </w:t>
      </w:r>
      <w:bookmarkStart w:id="1208" w:name="_Hlk508184266"/>
      <w:bookmarkStart w:id="1209" w:name="_Hlk508792816"/>
      <w:r w:rsidRPr="0006388A">
        <w:t xml:space="preserve">Chi² Table Test </w:t>
      </w:r>
      <w:bookmarkEnd w:id="1208"/>
      <w:r w:rsidRPr="0006388A">
        <w:t xml:space="preserve">with Bonferroni Correction (one-sided greater, </w:t>
      </w:r>
      <w:r>
        <w:t>α</w:t>
      </w:r>
      <w:r w:rsidRPr="0006388A">
        <w:t xml:space="preserve"> = 0.05) </w:t>
      </w:r>
      <w:bookmarkEnd w:id="1209"/>
      <w:r w:rsidRPr="0006388A">
        <w:t>for determination of NOED/NOEC (D8 and D22).</w:t>
      </w:r>
      <w:r w:rsidRPr="0006388A">
        <w:rPr>
          <w:rFonts w:ascii="Arial" w:eastAsiaTheme="minorHAnsi" w:hAnsi="Arial" w:cs="Arial"/>
          <w:sz w:val="20"/>
          <w:szCs w:val="20"/>
        </w:rPr>
        <w:t xml:space="preserve"> </w:t>
      </w:r>
    </w:p>
    <w:p w14:paraId="54B26598" w14:textId="77777777" w:rsidR="00E51CDD" w:rsidRDefault="00E51CDD" w:rsidP="00E51CDD">
      <w:pPr>
        <w:widowControl w:val="0"/>
        <w:ind w:left="1985" w:hanging="1985"/>
        <w:jc w:val="both"/>
      </w:pPr>
    </w:p>
    <w:p w14:paraId="5AF048FD" w14:textId="77777777" w:rsidR="00E51CDD" w:rsidRPr="0006388A" w:rsidRDefault="00E51CDD" w:rsidP="00E51CDD">
      <w:pPr>
        <w:widowControl w:val="0"/>
        <w:ind w:left="1985" w:hanging="1985"/>
        <w:jc w:val="both"/>
      </w:pPr>
    </w:p>
    <w:p w14:paraId="4F2D0AC5" w14:textId="77777777" w:rsidR="00E51CDD" w:rsidRPr="0006388A" w:rsidRDefault="00E51CDD" w:rsidP="00E51CDD">
      <w:pPr>
        <w:tabs>
          <w:tab w:val="left" w:pos="425"/>
          <w:tab w:val="left" w:pos="850"/>
        </w:tabs>
        <w:ind w:left="2835" w:hanging="2835"/>
        <w:rPr>
          <w:b/>
          <w:bCs/>
        </w:rPr>
      </w:pPr>
      <w:r w:rsidRPr="0006388A">
        <w:rPr>
          <w:b/>
          <w:bCs/>
        </w:rPr>
        <w:t>C.</w:t>
      </w:r>
      <w:r w:rsidRPr="0006388A">
        <w:rPr>
          <w:b/>
          <w:bCs/>
        </w:rPr>
        <w:tab/>
        <w:t>Description of the analytical procedures</w:t>
      </w:r>
    </w:p>
    <w:p w14:paraId="0E0300E2" w14:textId="77777777" w:rsidR="00E51CDD" w:rsidRPr="0006388A" w:rsidRDefault="00E51CDD" w:rsidP="00E51CDD">
      <w:pPr>
        <w:tabs>
          <w:tab w:val="left" w:pos="425"/>
          <w:tab w:val="left" w:pos="850"/>
        </w:tabs>
        <w:ind w:left="2835" w:hanging="2835"/>
        <w:rPr>
          <w:b/>
          <w:bCs/>
        </w:rPr>
      </w:pPr>
    </w:p>
    <w:p w14:paraId="2445A55C" w14:textId="77777777" w:rsidR="00E51CDD" w:rsidRPr="0006388A" w:rsidRDefault="00E51CDD" w:rsidP="00E51CDD">
      <w:pPr>
        <w:widowControl w:val="0"/>
        <w:jc w:val="both"/>
        <w:rPr>
          <w:color w:val="0070C0"/>
          <w:szCs w:val="24"/>
          <w:lang w:eastAsia="en-US"/>
        </w:rPr>
      </w:pPr>
      <w:r w:rsidRPr="0006388A">
        <w:rPr>
          <w:szCs w:val="24"/>
          <w:lang w:eastAsia="en-US"/>
        </w:rPr>
        <w:t xml:space="preserve">Concentrations of BAS 700 F in </w:t>
      </w:r>
      <w:r>
        <w:rPr>
          <w:szCs w:val="24"/>
          <w:lang w:eastAsia="en-US"/>
        </w:rPr>
        <w:t>honey bee</w:t>
      </w:r>
      <w:r w:rsidRPr="0006388A">
        <w:rPr>
          <w:szCs w:val="24"/>
          <w:lang w:eastAsia="en-US"/>
        </w:rPr>
        <w:t xml:space="preserve"> larvae diet were determined using the method described according to an in-house developed method L0383/01. For the extraction procedure 5 mL of water and 5 mL of acetonitrile as well as QuEChERS extraction mix, containing 0.5 g magnesium sulfate, 0.12 g sodium chloride, were added to a sample aliquot of 0.2 g. The mixture was shaken vigorously for 3 min with a Multitube-Vortexer and centrifuged for 2 minutes at 3000 g. Aliquots of the acetonitrile-phase were diluted and analyzed by HPLC-MS-MS. The limit of quantification (LOQ) was 14.3 mg/kg and the limit of detection (LOD) was set to 4.56 mg/kg. Matrix effects were </w:t>
      </w:r>
      <w:r>
        <w:rPr>
          <w:szCs w:val="24"/>
          <w:lang w:eastAsia="en-US"/>
        </w:rPr>
        <w:t xml:space="preserve">taken into account by spiking the calibration solutions with 19% of </w:t>
      </w:r>
      <w:r w:rsidRPr="00422E2F">
        <w:rPr>
          <w:szCs w:val="24"/>
          <w:lang w:eastAsia="en-US"/>
        </w:rPr>
        <w:t>QuEChERS</w:t>
      </w:r>
      <w:r>
        <w:rPr>
          <w:szCs w:val="24"/>
          <w:lang w:eastAsia="en-US"/>
        </w:rPr>
        <w:t xml:space="preserve"> blank extract obtained from extraction of 0.2 g of untreated sample matrix. Thus, all measuring samples contained the same amount of original sample matrix</w:t>
      </w:r>
      <w:r w:rsidRPr="0006388A">
        <w:rPr>
          <w:szCs w:val="24"/>
          <w:lang w:eastAsia="en-US"/>
        </w:rPr>
        <w:t>. Details on measured fortification samples and obtained procedural recoveries for BAS 700 F are given in the tables below.</w:t>
      </w:r>
    </w:p>
    <w:p w14:paraId="1EE58A4C" w14:textId="77777777" w:rsidR="00E51CDD" w:rsidRPr="0006388A" w:rsidRDefault="00E51CDD" w:rsidP="00E51CDD">
      <w:pPr>
        <w:widowControl w:val="0"/>
        <w:rPr>
          <w:szCs w:val="24"/>
          <w:lang w:eastAsia="en-US"/>
        </w:rPr>
      </w:pPr>
    </w:p>
    <w:p w14:paraId="66F75136" w14:textId="0E8C7EF6" w:rsidR="00E51CDD" w:rsidRPr="00D61C03" w:rsidRDefault="00E51CDD" w:rsidP="00E51CDD">
      <w:pPr>
        <w:pStyle w:val="Legenda"/>
        <w:rPr>
          <w:rFonts w:asciiTheme="majorBidi" w:hAnsiTheme="majorBidi" w:cstheme="majorBidi"/>
          <w:sz w:val="22"/>
          <w:szCs w:val="22"/>
          <w:lang w:eastAsia="zh-CN"/>
        </w:rPr>
      </w:pPr>
      <w:r w:rsidRPr="00D61C03">
        <w:rPr>
          <w:sz w:val="22"/>
          <w:szCs w:val="22"/>
        </w:rPr>
        <w:t xml:space="preserve">Table A </w:t>
      </w:r>
      <w:r w:rsidRPr="00D61C03">
        <w:rPr>
          <w:sz w:val="22"/>
          <w:szCs w:val="22"/>
        </w:rPr>
        <w:fldChar w:fldCharType="begin"/>
      </w:r>
      <w:r w:rsidRPr="00D61C03">
        <w:rPr>
          <w:sz w:val="22"/>
          <w:szCs w:val="22"/>
        </w:rPr>
        <w:instrText xml:space="preserve"> SEQ Table_A \* ARABIC </w:instrText>
      </w:r>
      <w:r w:rsidRPr="00D61C03">
        <w:rPr>
          <w:sz w:val="22"/>
          <w:szCs w:val="22"/>
        </w:rPr>
        <w:fldChar w:fldCharType="separate"/>
      </w:r>
      <w:r w:rsidR="00662F32">
        <w:rPr>
          <w:noProof/>
          <w:sz w:val="22"/>
          <w:szCs w:val="22"/>
        </w:rPr>
        <w:t>21</w:t>
      </w:r>
      <w:r w:rsidRPr="00D61C03">
        <w:rPr>
          <w:sz w:val="22"/>
          <w:szCs w:val="22"/>
        </w:rPr>
        <w:fldChar w:fldCharType="end"/>
      </w:r>
      <w:r w:rsidRPr="00D61C03">
        <w:rPr>
          <w:rFonts w:asciiTheme="majorBidi" w:hAnsiTheme="majorBidi" w:cstheme="majorBidi"/>
          <w:sz w:val="22"/>
          <w:szCs w:val="22"/>
          <w:lang w:eastAsia="zh-CN"/>
        </w:rPr>
        <w:t>:</w:t>
      </w:r>
      <w:r w:rsidRPr="00D61C03">
        <w:rPr>
          <w:rFonts w:asciiTheme="majorBidi" w:hAnsiTheme="majorBidi" w:cstheme="majorBidi"/>
          <w:sz w:val="22"/>
          <w:szCs w:val="22"/>
          <w:lang w:eastAsia="zh-CN"/>
        </w:rPr>
        <w:tab/>
        <w:t>Procedural recoveries for BAS 700 F (Mass Transition 382</w:t>
      </w:r>
      <w:r w:rsidRPr="00D61C03">
        <w:rPr>
          <w:rFonts w:asciiTheme="majorBidi" w:hAnsiTheme="majorBidi" w:cstheme="majorBidi"/>
          <w:sz w:val="22"/>
          <w:szCs w:val="22"/>
          <w:lang w:eastAsia="zh-CN"/>
        </w:rPr>
        <w:sym w:font="Wingdings" w:char="F0E0"/>
      </w:r>
      <w:r w:rsidRPr="00D61C03">
        <w:rPr>
          <w:rFonts w:asciiTheme="majorBidi" w:hAnsiTheme="majorBidi" w:cstheme="majorBidi"/>
          <w:sz w:val="22"/>
          <w:szCs w:val="22"/>
          <w:lang w:eastAsia="zh-CN"/>
        </w:rPr>
        <w:t xml:space="preserve"> 362)</w:t>
      </w:r>
    </w:p>
    <w:tbl>
      <w:tblPr>
        <w:tblW w:w="5000" w:type="pct"/>
        <w:tblCellMar>
          <w:left w:w="70" w:type="dxa"/>
          <w:right w:w="70" w:type="dxa"/>
        </w:tblCellMar>
        <w:tblLook w:val="04A0" w:firstRow="1" w:lastRow="0" w:firstColumn="1" w:lastColumn="0" w:noHBand="0" w:noVBand="1"/>
      </w:tblPr>
      <w:tblGrid>
        <w:gridCol w:w="2354"/>
        <w:gridCol w:w="2357"/>
        <w:gridCol w:w="619"/>
        <w:gridCol w:w="2110"/>
        <w:gridCol w:w="1904"/>
      </w:tblGrid>
      <w:tr w:rsidR="00E51CDD" w14:paraId="756E00E8" w14:textId="77777777" w:rsidTr="009938D9">
        <w:trPr>
          <w:trHeight w:val="765"/>
        </w:trPr>
        <w:tc>
          <w:tcPr>
            <w:tcW w:w="126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8F36906" w14:textId="77777777" w:rsidR="00E51CDD" w:rsidRDefault="00E51CDD" w:rsidP="009938D9">
            <w:pPr>
              <w:rPr>
                <w:rFonts w:asciiTheme="majorBidi" w:hAnsiTheme="majorBidi" w:cstheme="majorBidi"/>
                <w:b/>
                <w:bCs/>
                <w:sz w:val="20"/>
                <w:szCs w:val="20"/>
                <w:lang w:eastAsia="zh-CN"/>
              </w:rPr>
            </w:pPr>
            <w:r>
              <w:rPr>
                <w:rFonts w:asciiTheme="majorBidi" w:hAnsiTheme="majorBidi" w:cstheme="majorBidi"/>
                <w:b/>
                <w:bCs/>
                <w:sz w:val="20"/>
                <w:szCs w:val="20"/>
                <w:lang w:eastAsia="zh-CN"/>
              </w:rPr>
              <w:t>Matrix</w:t>
            </w:r>
          </w:p>
        </w:tc>
        <w:tc>
          <w:tcPr>
            <w:tcW w:w="1261" w:type="pct"/>
            <w:tcBorders>
              <w:top w:val="single" w:sz="4" w:space="0" w:color="auto"/>
              <w:left w:val="nil"/>
              <w:bottom w:val="single" w:sz="4" w:space="0" w:color="auto"/>
              <w:right w:val="single" w:sz="4" w:space="0" w:color="auto"/>
            </w:tcBorders>
            <w:shd w:val="clear" w:color="auto" w:fill="FFFFFF"/>
            <w:vAlign w:val="center"/>
            <w:hideMark/>
          </w:tcPr>
          <w:p w14:paraId="6D10CDF0" w14:textId="77777777" w:rsidR="00E51CDD" w:rsidRDefault="00E51CDD" w:rsidP="009938D9">
            <w:pPr>
              <w:rPr>
                <w:rFonts w:asciiTheme="majorBidi" w:hAnsiTheme="majorBidi" w:cstheme="majorBidi"/>
                <w:b/>
                <w:bCs/>
                <w:sz w:val="20"/>
                <w:szCs w:val="20"/>
                <w:lang w:eastAsia="zh-CN"/>
              </w:rPr>
            </w:pPr>
            <w:r>
              <w:rPr>
                <w:rFonts w:asciiTheme="majorBidi" w:hAnsiTheme="majorBidi" w:cstheme="majorBidi"/>
                <w:b/>
                <w:bCs/>
                <w:sz w:val="20"/>
                <w:szCs w:val="20"/>
                <w:lang w:eastAsia="zh-CN"/>
              </w:rPr>
              <w:t>Fortification level (mg/kg)</w:t>
            </w:r>
          </w:p>
        </w:tc>
        <w:tc>
          <w:tcPr>
            <w:tcW w:w="331" w:type="pct"/>
            <w:tcBorders>
              <w:top w:val="single" w:sz="4" w:space="0" w:color="auto"/>
              <w:left w:val="nil"/>
              <w:bottom w:val="single" w:sz="4" w:space="0" w:color="auto"/>
              <w:right w:val="single" w:sz="4" w:space="0" w:color="auto"/>
            </w:tcBorders>
            <w:shd w:val="clear" w:color="auto" w:fill="FFFFFF"/>
            <w:noWrap/>
            <w:vAlign w:val="center"/>
            <w:hideMark/>
          </w:tcPr>
          <w:p w14:paraId="38B96A52" w14:textId="77777777" w:rsidR="00E51CDD" w:rsidRDefault="00E51CDD" w:rsidP="009938D9">
            <w:pPr>
              <w:rPr>
                <w:rFonts w:asciiTheme="majorBidi" w:hAnsiTheme="majorBidi" w:cstheme="majorBidi"/>
                <w:b/>
                <w:bCs/>
                <w:sz w:val="20"/>
                <w:szCs w:val="20"/>
                <w:lang w:eastAsia="zh-CN"/>
              </w:rPr>
            </w:pPr>
            <w:r>
              <w:rPr>
                <w:rFonts w:asciiTheme="majorBidi" w:hAnsiTheme="majorBidi" w:cstheme="majorBidi"/>
                <w:b/>
                <w:bCs/>
                <w:sz w:val="20"/>
                <w:szCs w:val="20"/>
                <w:lang w:eastAsia="zh-CN"/>
              </w:rPr>
              <w:t>n</w:t>
            </w:r>
          </w:p>
        </w:tc>
        <w:tc>
          <w:tcPr>
            <w:tcW w:w="1129" w:type="pct"/>
            <w:tcBorders>
              <w:top w:val="single" w:sz="4" w:space="0" w:color="auto"/>
              <w:left w:val="nil"/>
              <w:bottom w:val="single" w:sz="4" w:space="0" w:color="auto"/>
              <w:right w:val="single" w:sz="4" w:space="0" w:color="auto"/>
            </w:tcBorders>
            <w:shd w:val="clear" w:color="auto" w:fill="FFFFFF"/>
            <w:noWrap/>
            <w:vAlign w:val="center"/>
            <w:hideMark/>
          </w:tcPr>
          <w:p w14:paraId="3C30A8A0" w14:textId="77777777" w:rsidR="00E51CDD" w:rsidRDefault="00E51CDD" w:rsidP="009938D9">
            <w:pPr>
              <w:rPr>
                <w:rFonts w:asciiTheme="majorBidi" w:hAnsiTheme="majorBidi" w:cstheme="majorBidi"/>
                <w:b/>
                <w:bCs/>
                <w:sz w:val="20"/>
                <w:szCs w:val="20"/>
                <w:lang w:eastAsia="zh-CN"/>
              </w:rPr>
            </w:pPr>
            <w:r>
              <w:rPr>
                <w:rFonts w:asciiTheme="majorBidi" w:hAnsiTheme="majorBidi" w:cstheme="majorBidi"/>
                <w:b/>
                <w:bCs/>
                <w:sz w:val="20"/>
                <w:szCs w:val="20"/>
                <w:lang w:eastAsia="zh-CN"/>
              </w:rPr>
              <w:t>Mean recovery (%)</w:t>
            </w:r>
          </w:p>
        </w:tc>
        <w:tc>
          <w:tcPr>
            <w:tcW w:w="101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1C1DDFD" w14:textId="77777777" w:rsidR="00E51CDD" w:rsidRDefault="00E51CDD" w:rsidP="009938D9">
            <w:pPr>
              <w:rPr>
                <w:rFonts w:asciiTheme="majorBidi" w:hAnsiTheme="majorBidi" w:cstheme="majorBidi"/>
                <w:b/>
                <w:bCs/>
                <w:sz w:val="20"/>
                <w:szCs w:val="20"/>
                <w:lang w:eastAsia="zh-CN"/>
              </w:rPr>
            </w:pPr>
            <w:r>
              <w:rPr>
                <w:rFonts w:asciiTheme="majorBidi" w:hAnsiTheme="majorBidi" w:cstheme="majorBidi"/>
                <w:b/>
                <w:bCs/>
                <w:sz w:val="20"/>
                <w:szCs w:val="20"/>
                <w:lang w:eastAsia="zh-CN"/>
              </w:rPr>
              <w:t>RSD (%)</w:t>
            </w:r>
          </w:p>
        </w:tc>
      </w:tr>
      <w:tr w:rsidR="00E51CDD" w14:paraId="136C8260" w14:textId="77777777" w:rsidTr="009938D9">
        <w:trPr>
          <w:trHeight w:val="255"/>
        </w:trPr>
        <w:tc>
          <w:tcPr>
            <w:tcW w:w="1260" w:type="pct"/>
            <w:tcBorders>
              <w:top w:val="nil"/>
              <w:left w:val="single" w:sz="4" w:space="0" w:color="auto"/>
              <w:bottom w:val="single" w:sz="4" w:space="0" w:color="auto"/>
              <w:right w:val="single" w:sz="4" w:space="0" w:color="auto"/>
            </w:tcBorders>
            <w:shd w:val="clear" w:color="auto" w:fill="FFFFFF"/>
            <w:noWrap/>
            <w:vAlign w:val="center"/>
            <w:hideMark/>
          </w:tcPr>
          <w:p w14:paraId="1825C7DC" w14:textId="77777777" w:rsidR="00E51CDD" w:rsidRDefault="00E51CDD" w:rsidP="009938D9">
            <w:pPr>
              <w:rPr>
                <w:rFonts w:asciiTheme="majorBidi" w:hAnsiTheme="majorBidi" w:cstheme="majorBidi"/>
                <w:sz w:val="20"/>
                <w:lang w:eastAsia="zh-CN"/>
              </w:rPr>
            </w:pPr>
            <w:r>
              <w:rPr>
                <w:sz w:val="20"/>
                <w:lang w:eastAsia="en-US"/>
              </w:rPr>
              <w:t>Honey bee larvae diet</w:t>
            </w:r>
          </w:p>
        </w:tc>
        <w:tc>
          <w:tcPr>
            <w:tcW w:w="1261" w:type="pct"/>
            <w:tcBorders>
              <w:top w:val="nil"/>
              <w:left w:val="nil"/>
              <w:bottom w:val="single" w:sz="4" w:space="0" w:color="auto"/>
              <w:right w:val="single" w:sz="4" w:space="0" w:color="auto"/>
            </w:tcBorders>
            <w:shd w:val="clear" w:color="auto" w:fill="FFFFFF"/>
            <w:noWrap/>
            <w:vAlign w:val="center"/>
            <w:hideMark/>
          </w:tcPr>
          <w:p w14:paraId="7C70F4E5" w14:textId="77777777" w:rsidR="00E51CDD" w:rsidRDefault="00E51CDD" w:rsidP="009938D9">
            <w:pPr>
              <w:rPr>
                <w:sz w:val="20"/>
                <w:szCs w:val="20"/>
                <w:lang w:eastAsia="zh-CN"/>
              </w:rPr>
            </w:pPr>
            <w:r>
              <w:rPr>
                <w:sz w:val="20"/>
                <w:szCs w:val="20"/>
              </w:rPr>
              <w:t>14.3</w:t>
            </w:r>
          </w:p>
        </w:tc>
        <w:tc>
          <w:tcPr>
            <w:tcW w:w="331" w:type="pct"/>
            <w:tcBorders>
              <w:top w:val="nil"/>
              <w:left w:val="nil"/>
              <w:bottom w:val="single" w:sz="4" w:space="0" w:color="auto"/>
              <w:right w:val="single" w:sz="4" w:space="0" w:color="auto"/>
            </w:tcBorders>
            <w:shd w:val="clear" w:color="auto" w:fill="FFFFFF"/>
            <w:noWrap/>
            <w:vAlign w:val="center"/>
            <w:hideMark/>
          </w:tcPr>
          <w:p w14:paraId="146FFB51" w14:textId="77777777" w:rsidR="00E51CDD" w:rsidRDefault="00E51CDD" w:rsidP="009938D9">
            <w:pPr>
              <w:rPr>
                <w:sz w:val="20"/>
                <w:szCs w:val="20"/>
                <w:lang w:eastAsia="zh-CN"/>
              </w:rPr>
            </w:pPr>
            <w:r>
              <w:rPr>
                <w:sz w:val="20"/>
                <w:szCs w:val="20"/>
              </w:rPr>
              <w:t>5</w:t>
            </w:r>
          </w:p>
        </w:tc>
        <w:tc>
          <w:tcPr>
            <w:tcW w:w="1129" w:type="pct"/>
            <w:tcBorders>
              <w:top w:val="nil"/>
              <w:left w:val="nil"/>
              <w:bottom w:val="single" w:sz="4" w:space="0" w:color="auto"/>
              <w:right w:val="single" w:sz="4" w:space="0" w:color="auto"/>
            </w:tcBorders>
            <w:shd w:val="clear" w:color="auto" w:fill="FFFFFF"/>
            <w:noWrap/>
            <w:vAlign w:val="center"/>
            <w:hideMark/>
          </w:tcPr>
          <w:p w14:paraId="27090B4C" w14:textId="77777777" w:rsidR="00E51CDD" w:rsidRDefault="00E51CDD" w:rsidP="009938D9">
            <w:pPr>
              <w:rPr>
                <w:sz w:val="20"/>
                <w:szCs w:val="20"/>
                <w:lang w:eastAsia="zh-CN"/>
              </w:rPr>
            </w:pPr>
            <w:r>
              <w:rPr>
                <w:sz w:val="20"/>
                <w:szCs w:val="20"/>
              </w:rPr>
              <w:t>103</w:t>
            </w:r>
          </w:p>
        </w:tc>
        <w:tc>
          <w:tcPr>
            <w:tcW w:w="1019" w:type="pct"/>
            <w:tcBorders>
              <w:top w:val="nil"/>
              <w:left w:val="nil"/>
              <w:bottom w:val="single" w:sz="4" w:space="0" w:color="auto"/>
              <w:right w:val="single" w:sz="4" w:space="0" w:color="auto"/>
            </w:tcBorders>
            <w:shd w:val="clear" w:color="auto" w:fill="FFFFFF"/>
            <w:noWrap/>
            <w:vAlign w:val="center"/>
            <w:hideMark/>
          </w:tcPr>
          <w:p w14:paraId="21033748" w14:textId="77777777" w:rsidR="00E51CDD" w:rsidRDefault="00E51CDD" w:rsidP="009938D9">
            <w:pPr>
              <w:rPr>
                <w:sz w:val="20"/>
                <w:szCs w:val="20"/>
                <w:lang w:eastAsia="zh-CN"/>
              </w:rPr>
            </w:pPr>
            <w:r>
              <w:rPr>
                <w:sz w:val="20"/>
                <w:szCs w:val="20"/>
              </w:rPr>
              <w:t>7.1</w:t>
            </w:r>
          </w:p>
        </w:tc>
      </w:tr>
      <w:tr w:rsidR="00E51CDD" w14:paraId="78220424" w14:textId="77777777" w:rsidTr="009938D9">
        <w:trPr>
          <w:trHeight w:val="255"/>
        </w:trPr>
        <w:tc>
          <w:tcPr>
            <w:tcW w:w="1260" w:type="pct"/>
            <w:tcBorders>
              <w:top w:val="nil"/>
              <w:left w:val="single" w:sz="4" w:space="0" w:color="auto"/>
              <w:bottom w:val="single" w:sz="4" w:space="0" w:color="auto"/>
              <w:right w:val="single" w:sz="4" w:space="0" w:color="auto"/>
            </w:tcBorders>
            <w:shd w:val="clear" w:color="auto" w:fill="FFFFFF"/>
            <w:noWrap/>
            <w:vAlign w:val="center"/>
            <w:hideMark/>
          </w:tcPr>
          <w:p w14:paraId="44D25FB6" w14:textId="77777777" w:rsidR="00E51CDD" w:rsidRDefault="00E51CDD" w:rsidP="009938D9">
            <w:pPr>
              <w:rPr>
                <w:rFonts w:asciiTheme="majorBidi" w:hAnsiTheme="majorBidi" w:cstheme="majorBidi"/>
                <w:sz w:val="20"/>
                <w:lang w:eastAsia="zh-CN"/>
              </w:rPr>
            </w:pPr>
            <w:r>
              <w:rPr>
                <w:sz w:val="20"/>
                <w:lang w:eastAsia="en-US"/>
              </w:rPr>
              <w:t>Honey bee larvae diet</w:t>
            </w:r>
          </w:p>
        </w:tc>
        <w:tc>
          <w:tcPr>
            <w:tcW w:w="1261" w:type="pct"/>
            <w:tcBorders>
              <w:top w:val="nil"/>
              <w:left w:val="nil"/>
              <w:bottom w:val="single" w:sz="4" w:space="0" w:color="auto"/>
              <w:right w:val="single" w:sz="4" w:space="0" w:color="auto"/>
            </w:tcBorders>
            <w:shd w:val="clear" w:color="auto" w:fill="FFFFFF"/>
            <w:noWrap/>
            <w:vAlign w:val="center"/>
            <w:hideMark/>
          </w:tcPr>
          <w:p w14:paraId="55AEA3DB" w14:textId="77777777" w:rsidR="00E51CDD" w:rsidRDefault="00E51CDD" w:rsidP="009938D9">
            <w:pPr>
              <w:rPr>
                <w:sz w:val="20"/>
                <w:szCs w:val="20"/>
                <w:lang w:eastAsia="zh-CN"/>
              </w:rPr>
            </w:pPr>
            <w:r>
              <w:rPr>
                <w:sz w:val="20"/>
                <w:szCs w:val="20"/>
              </w:rPr>
              <w:t>682</w:t>
            </w:r>
          </w:p>
        </w:tc>
        <w:tc>
          <w:tcPr>
            <w:tcW w:w="331" w:type="pct"/>
            <w:tcBorders>
              <w:top w:val="nil"/>
              <w:left w:val="nil"/>
              <w:bottom w:val="single" w:sz="4" w:space="0" w:color="auto"/>
              <w:right w:val="single" w:sz="4" w:space="0" w:color="auto"/>
            </w:tcBorders>
            <w:shd w:val="clear" w:color="auto" w:fill="FFFFFF"/>
            <w:noWrap/>
            <w:vAlign w:val="center"/>
            <w:hideMark/>
          </w:tcPr>
          <w:p w14:paraId="27D0E120" w14:textId="77777777" w:rsidR="00E51CDD" w:rsidRDefault="00E51CDD" w:rsidP="009938D9">
            <w:pPr>
              <w:rPr>
                <w:sz w:val="20"/>
                <w:szCs w:val="20"/>
                <w:lang w:eastAsia="zh-CN"/>
              </w:rPr>
            </w:pPr>
            <w:r>
              <w:rPr>
                <w:sz w:val="20"/>
                <w:szCs w:val="20"/>
              </w:rPr>
              <w:t>5</w:t>
            </w:r>
          </w:p>
        </w:tc>
        <w:tc>
          <w:tcPr>
            <w:tcW w:w="1129" w:type="pct"/>
            <w:tcBorders>
              <w:top w:val="nil"/>
              <w:left w:val="nil"/>
              <w:bottom w:val="single" w:sz="4" w:space="0" w:color="auto"/>
              <w:right w:val="single" w:sz="4" w:space="0" w:color="auto"/>
            </w:tcBorders>
            <w:shd w:val="clear" w:color="auto" w:fill="FFFFFF"/>
            <w:noWrap/>
            <w:vAlign w:val="center"/>
            <w:hideMark/>
          </w:tcPr>
          <w:p w14:paraId="135956EE" w14:textId="77777777" w:rsidR="00E51CDD" w:rsidRDefault="00E51CDD" w:rsidP="009938D9">
            <w:pPr>
              <w:rPr>
                <w:sz w:val="20"/>
                <w:szCs w:val="20"/>
                <w:lang w:eastAsia="zh-CN"/>
              </w:rPr>
            </w:pPr>
            <w:r>
              <w:rPr>
                <w:sz w:val="20"/>
                <w:szCs w:val="20"/>
              </w:rPr>
              <w:t>88</w:t>
            </w:r>
          </w:p>
        </w:tc>
        <w:tc>
          <w:tcPr>
            <w:tcW w:w="1019" w:type="pct"/>
            <w:tcBorders>
              <w:top w:val="nil"/>
              <w:left w:val="nil"/>
              <w:bottom w:val="single" w:sz="4" w:space="0" w:color="auto"/>
              <w:right w:val="single" w:sz="4" w:space="0" w:color="auto"/>
            </w:tcBorders>
            <w:shd w:val="clear" w:color="auto" w:fill="FFFFFF"/>
            <w:noWrap/>
            <w:vAlign w:val="center"/>
            <w:hideMark/>
          </w:tcPr>
          <w:p w14:paraId="656894D1" w14:textId="77777777" w:rsidR="00E51CDD" w:rsidRDefault="00E51CDD" w:rsidP="009938D9">
            <w:pPr>
              <w:rPr>
                <w:sz w:val="20"/>
                <w:szCs w:val="20"/>
                <w:lang w:eastAsia="zh-CN"/>
              </w:rPr>
            </w:pPr>
            <w:r>
              <w:rPr>
                <w:sz w:val="20"/>
                <w:szCs w:val="20"/>
              </w:rPr>
              <w:t>9.8</w:t>
            </w:r>
          </w:p>
        </w:tc>
      </w:tr>
    </w:tbl>
    <w:p w14:paraId="4C05E0B3" w14:textId="77777777" w:rsidR="00E51CDD" w:rsidRDefault="00E51CDD" w:rsidP="00E51CDD"/>
    <w:p w14:paraId="188A042D" w14:textId="77777777" w:rsidR="00E51CDD" w:rsidRDefault="00E51CDD" w:rsidP="00E51CDD"/>
    <w:p w14:paraId="01CF0154" w14:textId="451C352D" w:rsidR="00E51CDD" w:rsidRPr="0006388A" w:rsidRDefault="00E51CDD" w:rsidP="00E51CDD">
      <w:pPr>
        <w:tabs>
          <w:tab w:val="left" w:pos="5036"/>
        </w:tabs>
        <w:ind w:left="1985" w:hanging="1985"/>
        <w:rPr>
          <w:rFonts w:asciiTheme="majorBidi" w:hAnsiTheme="majorBidi" w:cstheme="majorBidi"/>
          <w:lang w:eastAsia="zh-CN"/>
        </w:rPr>
      </w:pPr>
      <w:r w:rsidRPr="0006388A">
        <w:rPr>
          <w:rFonts w:asciiTheme="majorBidi" w:hAnsiTheme="majorBidi" w:cstheme="majorBidi"/>
          <w:b/>
          <w:bCs/>
          <w:lang w:eastAsia="zh-CN"/>
        </w:rPr>
        <w:t xml:space="preserve">Table A </w:t>
      </w:r>
      <w:r>
        <w:rPr>
          <w:rFonts w:asciiTheme="majorBidi" w:hAnsiTheme="majorBidi" w:cstheme="majorBidi"/>
          <w:b/>
          <w:bCs/>
          <w:lang w:eastAsia="zh-CN"/>
        </w:rPr>
        <w:fldChar w:fldCharType="begin"/>
      </w:r>
      <w:r w:rsidRPr="0006388A">
        <w:rPr>
          <w:rFonts w:asciiTheme="majorBidi" w:hAnsiTheme="majorBidi" w:cstheme="majorBidi"/>
          <w:b/>
          <w:bCs/>
          <w:lang w:eastAsia="zh-CN"/>
        </w:rPr>
        <w:instrText xml:space="preserve"> SEQ Table_A \* ARABIC </w:instrText>
      </w:r>
      <w:r>
        <w:rPr>
          <w:rFonts w:asciiTheme="majorBidi" w:hAnsiTheme="majorBidi" w:cstheme="majorBidi"/>
          <w:b/>
          <w:bCs/>
          <w:lang w:eastAsia="zh-CN"/>
        </w:rPr>
        <w:fldChar w:fldCharType="separate"/>
      </w:r>
      <w:r w:rsidR="00662F32">
        <w:rPr>
          <w:rFonts w:asciiTheme="majorBidi" w:hAnsiTheme="majorBidi" w:cstheme="majorBidi"/>
          <w:b/>
          <w:bCs/>
          <w:noProof/>
          <w:lang w:eastAsia="zh-CN"/>
        </w:rPr>
        <w:t>22</w:t>
      </w:r>
      <w:r>
        <w:rPr>
          <w:rFonts w:asciiTheme="majorBidi" w:hAnsiTheme="majorBidi" w:cstheme="majorBidi"/>
          <w:b/>
          <w:bCs/>
          <w:lang w:eastAsia="zh-CN"/>
        </w:rPr>
        <w:fldChar w:fldCharType="end"/>
      </w:r>
      <w:r w:rsidRPr="0006388A">
        <w:rPr>
          <w:rFonts w:asciiTheme="majorBidi" w:hAnsiTheme="majorBidi" w:cstheme="majorBidi"/>
          <w:b/>
          <w:bCs/>
          <w:lang w:eastAsia="zh-CN"/>
        </w:rPr>
        <w:t>:</w:t>
      </w:r>
      <w:r w:rsidRPr="0006388A">
        <w:rPr>
          <w:rFonts w:asciiTheme="majorBidi" w:hAnsiTheme="majorBidi" w:cstheme="majorBidi"/>
          <w:b/>
          <w:bCs/>
          <w:lang w:eastAsia="zh-CN"/>
        </w:rPr>
        <w:tab/>
        <w:t>Procedural recoveries for BAS 700 F (Mass Transition 382</w:t>
      </w:r>
      <w:r>
        <w:rPr>
          <w:rFonts w:asciiTheme="majorBidi" w:hAnsiTheme="majorBidi" w:cstheme="majorBidi"/>
          <w:b/>
          <w:bCs/>
          <w:lang w:eastAsia="zh-CN"/>
        </w:rPr>
        <w:sym w:font="Wingdings" w:char="F0E0"/>
      </w:r>
      <w:r w:rsidRPr="0006388A">
        <w:rPr>
          <w:rFonts w:asciiTheme="majorBidi" w:hAnsiTheme="majorBidi" w:cstheme="majorBidi"/>
          <w:b/>
          <w:bCs/>
          <w:lang w:eastAsia="zh-CN"/>
        </w:rPr>
        <w:t xml:space="preserve"> 342)</w:t>
      </w:r>
    </w:p>
    <w:tbl>
      <w:tblPr>
        <w:tblW w:w="5000" w:type="pct"/>
        <w:tblCellMar>
          <w:left w:w="70" w:type="dxa"/>
          <w:right w:w="70" w:type="dxa"/>
        </w:tblCellMar>
        <w:tblLook w:val="04A0" w:firstRow="1" w:lastRow="0" w:firstColumn="1" w:lastColumn="0" w:noHBand="0" w:noVBand="1"/>
      </w:tblPr>
      <w:tblGrid>
        <w:gridCol w:w="2354"/>
        <w:gridCol w:w="2357"/>
        <w:gridCol w:w="619"/>
        <w:gridCol w:w="2110"/>
        <w:gridCol w:w="1904"/>
      </w:tblGrid>
      <w:tr w:rsidR="00E51CDD" w:rsidRPr="0062643C" w14:paraId="68F1E0FD" w14:textId="77777777" w:rsidTr="009938D9">
        <w:trPr>
          <w:trHeight w:val="765"/>
        </w:trPr>
        <w:tc>
          <w:tcPr>
            <w:tcW w:w="126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D7291DC" w14:textId="77777777" w:rsidR="00E51CDD" w:rsidRPr="0062643C" w:rsidRDefault="00E51CDD" w:rsidP="009938D9">
            <w:pPr>
              <w:rPr>
                <w:rFonts w:asciiTheme="majorBidi" w:hAnsiTheme="majorBidi" w:cstheme="majorBidi"/>
                <w:b/>
                <w:bCs/>
                <w:sz w:val="20"/>
                <w:szCs w:val="20"/>
                <w:lang w:eastAsia="zh-CN"/>
              </w:rPr>
            </w:pPr>
            <w:r w:rsidRPr="0062643C">
              <w:rPr>
                <w:rFonts w:asciiTheme="majorBidi" w:hAnsiTheme="majorBidi" w:cstheme="majorBidi"/>
                <w:b/>
                <w:bCs/>
                <w:sz w:val="20"/>
                <w:szCs w:val="20"/>
                <w:lang w:eastAsia="zh-CN"/>
              </w:rPr>
              <w:t>Matrix</w:t>
            </w:r>
          </w:p>
        </w:tc>
        <w:tc>
          <w:tcPr>
            <w:tcW w:w="1261" w:type="pct"/>
            <w:tcBorders>
              <w:top w:val="single" w:sz="4" w:space="0" w:color="auto"/>
              <w:left w:val="nil"/>
              <w:bottom w:val="single" w:sz="4" w:space="0" w:color="auto"/>
              <w:right w:val="single" w:sz="4" w:space="0" w:color="auto"/>
            </w:tcBorders>
            <w:shd w:val="clear" w:color="auto" w:fill="FFFFFF"/>
            <w:vAlign w:val="center"/>
            <w:hideMark/>
          </w:tcPr>
          <w:p w14:paraId="2F52946B" w14:textId="77777777" w:rsidR="00E51CDD" w:rsidRPr="0062643C" w:rsidRDefault="00E51CDD" w:rsidP="009938D9">
            <w:pPr>
              <w:rPr>
                <w:rFonts w:asciiTheme="majorBidi" w:hAnsiTheme="majorBidi" w:cstheme="majorBidi"/>
                <w:b/>
                <w:bCs/>
                <w:sz w:val="20"/>
                <w:szCs w:val="20"/>
                <w:lang w:eastAsia="zh-CN"/>
              </w:rPr>
            </w:pPr>
            <w:r w:rsidRPr="0062643C">
              <w:rPr>
                <w:rFonts w:asciiTheme="majorBidi" w:hAnsiTheme="majorBidi" w:cstheme="majorBidi"/>
                <w:b/>
                <w:bCs/>
                <w:sz w:val="20"/>
                <w:szCs w:val="20"/>
                <w:lang w:eastAsia="zh-CN"/>
              </w:rPr>
              <w:t>Fortification level (mg/kg)</w:t>
            </w:r>
          </w:p>
        </w:tc>
        <w:tc>
          <w:tcPr>
            <w:tcW w:w="331" w:type="pct"/>
            <w:tcBorders>
              <w:top w:val="single" w:sz="4" w:space="0" w:color="auto"/>
              <w:left w:val="nil"/>
              <w:bottom w:val="single" w:sz="4" w:space="0" w:color="auto"/>
              <w:right w:val="single" w:sz="4" w:space="0" w:color="auto"/>
            </w:tcBorders>
            <w:shd w:val="clear" w:color="auto" w:fill="FFFFFF"/>
            <w:noWrap/>
            <w:vAlign w:val="center"/>
            <w:hideMark/>
          </w:tcPr>
          <w:p w14:paraId="0E14A238" w14:textId="77777777" w:rsidR="00E51CDD" w:rsidRPr="0062643C" w:rsidRDefault="00E51CDD" w:rsidP="009938D9">
            <w:pPr>
              <w:rPr>
                <w:rFonts w:asciiTheme="majorBidi" w:hAnsiTheme="majorBidi" w:cstheme="majorBidi"/>
                <w:b/>
                <w:bCs/>
                <w:sz w:val="20"/>
                <w:szCs w:val="20"/>
                <w:lang w:eastAsia="zh-CN"/>
              </w:rPr>
            </w:pPr>
            <w:r w:rsidRPr="0062643C">
              <w:rPr>
                <w:rFonts w:asciiTheme="majorBidi" w:hAnsiTheme="majorBidi" w:cstheme="majorBidi"/>
                <w:b/>
                <w:bCs/>
                <w:sz w:val="20"/>
                <w:szCs w:val="20"/>
                <w:lang w:eastAsia="zh-CN"/>
              </w:rPr>
              <w:t>n</w:t>
            </w:r>
          </w:p>
        </w:tc>
        <w:tc>
          <w:tcPr>
            <w:tcW w:w="1129" w:type="pct"/>
            <w:tcBorders>
              <w:top w:val="single" w:sz="4" w:space="0" w:color="auto"/>
              <w:left w:val="nil"/>
              <w:bottom w:val="single" w:sz="4" w:space="0" w:color="auto"/>
              <w:right w:val="single" w:sz="4" w:space="0" w:color="auto"/>
            </w:tcBorders>
            <w:shd w:val="clear" w:color="auto" w:fill="FFFFFF"/>
            <w:noWrap/>
            <w:vAlign w:val="center"/>
            <w:hideMark/>
          </w:tcPr>
          <w:p w14:paraId="489FED8C" w14:textId="77777777" w:rsidR="00E51CDD" w:rsidRPr="0062643C" w:rsidRDefault="00E51CDD" w:rsidP="009938D9">
            <w:pPr>
              <w:rPr>
                <w:rFonts w:asciiTheme="majorBidi" w:hAnsiTheme="majorBidi" w:cstheme="majorBidi"/>
                <w:b/>
                <w:bCs/>
                <w:sz w:val="20"/>
                <w:szCs w:val="20"/>
                <w:lang w:eastAsia="zh-CN"/>
              </w:rPr>
            </w:pPr>
            <w:r w:rsidRPr="0062643C">
              <w:rPr>
                <w:rFonts w:asciiTheme="majorBidi" w:hAnsiTheme="majorBidi" w:cstheme="majorBidi"/>
                <w:b/>
                <w:bCs/>
                <w:sz w:val="20"/>
                <w:szCs w:val="20"/>
                <w:lang w:eastAsia="zh-CN"/>
              </w:rPr>
              <w:t>Mean recovery (%)</w:t>
            </w:r>
          </w:p>
        </w:tc>
        <w:tc>
          <w:tcPr>
            <w:tcW w:w="1019"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A68FE55" w14:textId="77777777" w:rsidR="00E51CDD" w:rsidRPr="0062643C" w:rsidRDefault="00E51CDD" w:rsidP="009938D9">
            <w:pPr>
              <w:rPr>
                <w:rFonts w:asciiTheme="majorBidi" w:hAnsiTheme="majorBidi" w:cstheme="majorBidi"/>
                <w:b/>
                <w:bCs/>
                <w:sz w:val="20"/>
                <w:szCs w:val="20"/>
                <w:lang w:eastAsia="zh-CN"/>
              </w:rPr>
            </w:pPr>
            <w:r w:rsidRPr="0062643C">
              <w:rPr>
                <w:rFonts w:asciiTheme="majorBidi" w:hAnsiTheme="majorBidi" w:cstheme="majorBidi"/>
                <w:b/>
                <w:bCs/>
                <w:sz w:val="20"/>
                <w:szCs w:val="20"/>
                <w:lang w:eastAsia="zh-CN"/>
              </w:rPr>
              <w:t>RSD (%)</w:t>
            </w:r>
          </w:p>
        </w:tc>
      </w:tr>
      <w:tr w:rsidR="00E51CDD" w:rsidRPr="0062643C" w14:paraId="21FDDF05" w14:textId="77777777" w:rsidTr="009938D9">
        <w:trPr>
          <w:trHeight w:val="255"/>
        </w:trPr>
        <w:tc>
          <w:tcPr>
            <w:tcW w:w="1260" w:type="pct"/>
            <w:tcBorders>
              <w:top w:val="nil"/>
              <w:left w:val="single" w:sz="4" w:space="0" w:color="auto"/>
              <w:bottom w:val="single" w:sz="4" w:space="0" w:color="auto"/>
              <w:right w:val="single" w:sz="4" w:space="0" w:color="auto"/>
            </w:tcBorders>
            <w:shd w:val="clear" w:color="auto" w:fill="FFFFFF"/>
            <w:noWrap/>
            <w:vAlign w:val="center"/>
            <w:hideMark/>
          </w:tcPr>
          <w:p w14:paraId="22512925" w14:textId="77777777" w:rsidR="00E51CDD" w:rsidRPr="0062643C" w:rsidRDefault="00E51CDD" w:rsidP="009938D9">
            <w:pPr>
              <w:rPr>
                <w:rFonts w:asciiTheme="majorBidi" w:hAnsiTheme="majorBidi" w:cstheme="majorBidi"/>
                <w:sz w:val="20"/>
                <w:szCs w:val="20"/>
                <w:lang w:eastAsia="zh-CN"/>
              </w:rPr>
            </w:pPr>
            <w:r w:rsidRPr="0062643C">
              <w:rPr>
                <w:sz w:val="20"/>
                <w:szCs w:val="20"/>
                <w:lang w:eastAsia="en-US"/>
              </w:rPr>
              <w:t>Honey bee larvae diet</w:t>
            </w:r>
          </w:p>
        </w:tc>
        <w:tc>
          <w:tcPr>
            <w:tcW w:w="1261" w:type="pct"/>
            <w:tcBorders>
              <w:top w:val="nil"/>
              <w:left w:val="nil"/>
              <w:bottom w:val="single" w:sz="4" w:space="0" w:color="auto"/>
              <w:right w:val="single" w:sz="4" w:space="0" w:color="auto"/>
            </w:tcBorders>
            <w:shd w:val="clear" w:color="auto" w:fill="FFFFFF"/>
            <w:noWrap/>
            <w:vAlign w:val="center"/>
            <w:hideMark/>
          </w:tcPr>
          <w:p w14:paraId="1EA4451D" w14:textId="77777777" w:rsidR="00E51CDD" w:rsidRPr="0062643C" w:rsidRDefault="00E51CDD" w:rsidP="009938D9">
            <w:pPr>
              <w:rPr>
                <w:sz w:val="20"/>
                <w:szCs w:val="20"/>
                <w:lang w:eastAsia="zh-CN"/>
              </w:rPr>
            </w:pPr>
            <w:r w:rsidRPr="0062643C">
              <w:rPr>
                <w:sz w:val="20"/>
                <w:szCs w:val="20"/>
              </w:rPr>
              <w:t>14.3</w:t>
            </w:r>
          </w:p>
        </w:tc>
        <w:tc>
          <w:tcPr>
            <w:tcW w:w="331" w:type="pct"/>
            <w:tcBorders>
              <w:top w:val="nil"/>
              <w:left w:val="nil"/>
              <w:bottom w:val="single" w:sz="4" w:space="0" w:color="auto"/>
              <w:right w:val="single" w:sz="4" w:space="0" w:color="auto"/>
            </w:tcBorders>
            <w:shd w:val="clear" w:color="auto" w:fill="FFFFFF"/>
            <w:noWrap/>
            <w:vAlign w:val="center"/>
            <w:hideMark/>
          </w:tcPr>
          <w:p w14:paraId="1EFC26C1" w14:textId="77777777" w:rsidR="00E51CDD" w:rsidRPr="0062643C" w:rsidRDefault="00E51CDD" w:rsidP="009938D9">
            <w:pPr>
              <w:rPr>
                <w:sz w:val="20"/>
                <w:szCs w:val="20"/>
                <w:lang w:eastAsia="zh-CN"/>
              </w:rPr>
            </w:pPr>
            <w:r w:rsidRPr="0062643C">
              <w:rPr>
                <w:sz w:val="20"/>
                <w:szCs w:val="20"/>
              </w:rPr>
              <w:t>5</w:t>
            </w:r>
          </w:p>
        </w:tc>
        <w:tc>
          <w:tcPr>
            <w:tcW w:w="1129" w:type="pct"/>
            <w:tcBorders>
              <w:top w:val="nil"/>
              <w:left w:val="nil"/>
              <w:bottom w:val="single" w:sz="4" w:space="0" w:color="auto"/>
              <w:right w:val="single" w:sz="4" w:space="0" w:color="auto"/>
            </w:tcBorders>
            <w:shd w:val="clear" w:color="auto" w:fill="FFFFFF"/>
            <w:noWrap/>
            <w:vAlign w:val="center"/>
            <w:hideMark/>
          </w:tcPr>
          <w:p w14:paraId="4A677CF3" w14:textId="77777777" w:rsidR="00E51CDD" w:rsidRPr="0062643C" w:rsidRDefault="00E51CDD" w:rsidP="009938D9">
            <w:pPr>
              <w:rPr>
                <w:sz w:val="20"/>
                <w:szCs w:val="20"/>
                <w:lang w:eastAsia="zh-CN"/>
              </w:rPr>
            </w:pPr>
            <w:r w:rsidRPr="0062643C">
              <w:rPr>
                <w:sz w:val="20"/>
                <w:szCs w:val="20"/>
              </w:rPr>
              <w:t>103</w:t>
            </w:r>
          </w:p>
        </w:tc>
        <w:tc>
          <w:tcPr>
            <w:tcW w:w="1019" w:type="pct"/>
            <w:tcBorders>
              <w:top w:val="nil"/>
              <w:left w:val="nil"/>
              <w:bottom w:val="single" w:sz="4" w:space="0" w:color="auto"/>
              <w:right w:val="single" w:sz="4" w:space="0" w:color="auto"/>
            </w:tcBorders>
            <w:shd w:val="clear" w:color="auto" w:fill="FFFFFF"/>
            <w:noWrap/>
            <w:vAlign w:val="center"/>
            <w:hideMark/>
          </w:tcPr>
          <w:p w14:paraId="7F315103" w14:textId="77777777" w:rsidR="00E51CDD" w:rsidRPr="0062643C" w:rsidRDefault="00E51CDD" w:rsidP="009938D9">
            <w:pPr>
              <w:rPr>
                <w:sz w:val="20"/>
                <w:szCs w:val="20"/>
                <w:lang w:eastAsia="zh-CN"/>
              </w:rPr>
            </w:pPr>
            <w:r w:rsidRPr="0062643C">
              <w:rPr>
                <w:sz w:val="20"/>
                <w:szCs w:val="20"/>
              </w:rPr>
              <w:t>7.6</w:t>
            </w:r>
          </w:p>
        </w:tc>
      </w:tr>
      <w:tr w:rsidR="00E51CDD" w:rsidRPr="0062643C" w14:paraId="61840CA5" w14:textId="77777777" w:rsidTr="009938D9">
        <w:trPr>
          <w:trHeight w:val="255"/>
        </w:trPr>
        <w:tc>
          <w:tcPr>
            <w:tcW w:w="1260" w:type="pct"/>
            <w:tcBorders>
              <w:top w:val="nil"/>
              <w:left w:val="single" w:sz="4" w:space="0" w:color="auto"/>
              <w:bottom w:val="single" w:sz="4" w:space="0" w:color="auto"/>
              <w:right w:val="single" w:sz="4" w:space="0" w:color="auto"/>
            </w:tcBorders>
            <w:shd w:val="clear" w:color="auto" w:fill="FFFFFF"/>
            <w:noWrap/>
            <w:vAlign w:val="center"/>
            <w:hideMark/>
          </w:tcPr>
          <w:p w14:paraId="23619145" w14:textId="77777777" w:rsidR="00E51CDD" w:rsidRPr="0062643C" w:rsidRDefault="00E51CDD" w:rsidP="009938D9">
            <w:pPr>
              <w:rPr>
                <w:rFonts w:asciiTheme="majorBidi" w:hAnsiTheme="majorBidi" w:cstheme="majorBidi"/>
                <w:sz w:val="20"/>
                <w:szCs w:val="20"/>
                <w:lang w:eastAsia="zh-CN"/>
              </w:rPr>
            </w:pPr>
            <w:r w:rsidRPr="0062643C">
              <w:rPr>
                <w:sz w:val="20"/>
                <w:szCs w:val="20"/>
                <w:lang w:eastAsia="en-US"/>
              </w:rPr>
              <w:t>Honey bee larvae diet</w:t>
            </w:r>
          </w:p>
        </w:tc>
        <w:tc>
          <w:tcPr>
            <w:tcW w:w="1261" w:type="pct"/>
            <w:tcBorders>
              <w:top w:val="nil"/>
              <w:left w:val="nil"/>
              <w:bottom w:val="single" w:sz="4" w:space="0" w:color="auto"/>
              <w:right w:val="single" w:sz="4" w:space="0" w:color="auto"/>
            </w:tcBorders>
            <w:shd w:val="clear" w:color="auto" w:fill="FFFFFF"/>
            <w:noWrap/>
            <w:vAlign w:val="center"/>
            <w:hideMark/>
          </w:tcPr>
          <w:p w14:paraId="710EBE5C" w14:textId="77777777" w:rsidR="00E51CDD" w:rsidRPr="0062643C" w:rsidRDefault="00E51CDD" w:rsidP="009938D9">
            <w:pPr>
              <w:rPr>
                <w:sz w:val="20"/>
                <w:szCs w:val="20"/>
                <w:lang w:eastAsia="zh-CN"/>
              </w:rPr>
            </w:pPr>
            <w:r w:rsidRPr="0062643C">
              <w:rPr>
                <w:sz w:val="20"/>
                <w:szCs w:val="20"/>
              </w:rPr>
              <w:t>682</w:t>
            </w:r>
          </w:p>
        </w:tc>
        <w:tc>
          <w:tcPr>
            <w:tcW w:w="331" w:type="pct"/>
            <w:tcBorders>
              <w:top w:val="nil"/>
              <w:left w:val="nil"/>
              <w:bottom w:val="single" w:sz="4" w:space="0" w:color="auto"/>
              <w:right w:val="single" w:sz="4" w:space="0" w:color="auto"/>
            </w:tcBorders>
            <w:shd w:val="clear" w:color="auto" w:fill="FFFFFF"/>
            <w:noWrap/>
            <w:vAlign w:val="center"/>
            <w:hideMark/>
          </w:tcPr>
          <w:p w14:paraId="5DA9B566" w14:textId="77777777" w:rsidR="00E51CDD" w:rsidRPr="0062643C" w:rsidRDefault="00E51CDD" w:rsidP="009938D9">
            <w:pPr>
              <w:rPr>
                <w:sz w:val="20"/>
                <w:szCs w:val="20"/>
                <w:lang w:eastAsia="zh-CN"/>
              </w:rPr>
            </w:pPr>
            <w:r w:rsidRPr="0062643C">
              <w:rPr>
                <w:sz w:val="20"/>
                <w:szCs w:val="20"/>
              </w:rPr>
              <w:t>5</w:t>
            </w:r>
          </w:p>
        </w:tc>
        <w:tc>
          <w:tcPr>
            <w:tcW w:w="1129" w:type="pct"/>
            <w:tcBorders>
              <w:top w:val="nil"/>
              <w:left w:val="nil"/>
              <w:bottom w:val="single" w:sz="4" w:space="0" w:color="auto"/>
              <w:right w:val="single" w:sz="4" w:space="0" w:color="auto"/>
            </w:tcBorders>
            <w:shd w:val="clear" w:color="auto" w:fill="FFFFFF"/>
            <w:noWrap/>
            <w:vAlign w:val="center"/>
            <w:hideMark/>
          </w:tcPr>
          <w:p w14:paraId="52A0EC23" w14:textId="77777777" w:rsidR="00E51CDD" w:rsidRPr="0062643C" w:rsidRDefault="00E51CDD" w:rsidP="009938D9">
            <w:pPr>
              <w:rPr>
                <w:sz w:val="20"/>
                <w:szCs w:val="20"/>
                <w:lang w:eastAsia="zh-CN"/>
              </w:rPr>
            </w:pPr>
            <w:r w:rsidRPr="0062643C">
              <w:rPr>
                <w:sz w:val="20"/>
                <w:szCs w:val="20"/>
              </w:rPr>
              <w:t>88</w:t>
            </w:r>
          </w:p>
        </w:tc>
        <w:tc>
          <w:tcPr>
            <w:tcW w:w="1019" w:type="pct"/>
            <w:tcBorders>
              <w:top w:val="nil"/>
              <w:left w:val="nil"/>
              <w:bottom w:val="single" w:sz="4" w:space="0" w:color="auto"/>
              <w:right w:val="single" w:sz="4" w:space="0" w:color="auto"/>
            </w:tcBorders>
            <w:shd w:val="clear" w:color="auto" w:fill="FFFFFF"/>
            <w:noWrap/>
            <w:vAlign w:val="center"/>
            <w:hideMark/>
          </w:tcPr>
          <w:p w14:paraId="028FCBA4" w14:textId="77777777" w:rsidR="00E51CDD" w:rsidRPr="0062643C" w:rsidRDefault="00E51CDD" w:rsidP="009938D9">
            <w:pPr>
              <w:rPr>
                <w:sz w:val="20"/>
                <w:szCs w:val="20"/>
                <w:lang w:eastAsia="zh-CN"/>
              </w:rPr>
            </w:pPr>
            <w:r w:rsidRPr="0062643C">
              <w:rPr>
                <w:sz w:val="20"/>
                <w:szCs w:val="20"/>
              </w:rPr>
              <w:t>9.9</w:t>
            </w:r>
          </w:p>
        </w:tc>
      </w:tr>
    </w:tbl>
    <w:p w14:paraId="21E60D62" w14:textId="77777777" w:rsidR="00E51CDD" w:rsidRDefault="00E51CDD" w:rsidP="00E51CDD"/>
    <w:p w14:paraId="119C2140" w14:textId="77777777" w:rsidR="00E51CDD" w:rsidRDefault="00E51CDD" w:rsidP="00E51CDD">
      <w:r>
        <w:br w:type="page"/>
      </w:r>
    </w:p>
    <w:p w14:paraId="2DB45404" w14:textId="77777777" w:rsidR="00E51CDD" w:rsidRDefault="00E51CDD" w:rsidP="00E51CDD">
      <w:pPr>
        <w:tabs>
          <w:tab w:val="left" w:pos="425"/>
          <w:tab w:val="left" w:pos="850"/>
        </w:tabs>
        <w:ind w:left="2835" w:hanging="2835"/>
        <w:rPr>
          <w:b/>
          <w:bCs/>
        </w:rPr>
      </w:pPr>
      <w:r>
        <w:rPr>
          <w:b/>
          <w:bCs/>
        </w:rPr>
        <w:lastRenderedPageBreak/>
        <w:t>II.</w:t>
      </w:r>
      <w:r>
        <w:rPr>
          <w:b/>
          <w:bCs/>
        </w:rPr>
        <w:tab/>
        <w:t>RESULTS AND DISCUSSION</w:t>
      </w:r>
    </w:p>
    <w:p w14:paraId="7A07E708" w14:textId="77777777" w:rsidR="00E51CDD" w:rsidRDefault="00E51CDD" w:rsidP="00E51CDD">
      <w:pPr>
        <w:widowControl w:val="0"/>
        <w:jc w:val="both"/>
      </w:pPr>
    </w:p>
    <w:p w14:paraId="1C3705FC" w14:textId="77777777" w:rsidR="00E51CDD" w:rsidRPr="0006388A" w:rsidRDefault="00E51CDD" w:rsidP="00E51CDD">
      <w:pPr>
        <w:widowControl w:val="0"/>
        <w:jc w:val="both"/>
      </w:pPr>
      <w:bookmarkStart w:id="1210" w:name="_Hlk508188563"/>
      <w:r w:rsidRPr="0006388A">
        <w:t xml:space="preserve">After 120 hours of repeated oral exposure (on D8) larval mortalities of 0.0 and 2.8% were observed in the controls, respectively. Pupal mortality (between D8 and D22) was 19.4% in the untreated control and 17.1% in the solvent control. The control groups showed a total mortality of 19.4% in the untreated and in the solvent control, respectively, at D22. In the test item group, larval mortalities at D8 ranged between 0.0 and 2.8%. Pupal mortalities ranged between 14.3 and 41.7% in the test item treatment groups. Total mortalities at D22 ranged between 16.7 and 41.7%. On D8, no statistically significantly increased mortality occurred in any of the larvae groups after being treated with BAS 700 F (Chi² Table Test with Bonferroni Correction, one-sided greater, </w:t>
      </w:r>
      <w:r>
        <w:t>α</w:t>
      </w:r>
      <w:r w:rsidRPr="0006388A">
        <w:t xml:space="preserve"> = 0.05) and none individual of all remaining larvae showed remaining food. </w:t>
      </w:r>
    </w:p>
    <w:p w14:paraId="05ED5391" w14:textId="292CBF09" w:rsidR="00E51CDD" w:rsidRDefault="00E51CDD" w:rsidP="00E51CDD">
      <w:pPr>
        <w:widowControl w:val="0"/>
        <w:jc w:val="both"/>
      </w:pPr>
      <w:r w:rsidRPr="0006388A">
        <w:t xml:space="preserve">In the final assessment at D22, adult emergence rates of 80.6% were determined for the </w:t>
      </w:r>
      <w:r>
        <w:t>honey bee</w:t>
      </w:r>
      <w:r w:rsidRPr="0006388A">
        <w:t xml:space="preserve">s in both control groups. In the test item group, the adult </w:t>
      </w:r>
      <w:r>
        <w:t>honey bee</w:t>
      </w:r>
      <w:r w:rsidRPr="0006388A">
        <w:t xml:space="preserve">s emerged at rates ranging between 58.3 and 83.3% following an application of 5.0, 10, 20, 40 and 80 </w:t>
      </w:r>
      <w:r>
        <w:t>μ</w:t>
      </w:r>
      <w:r w:rsidRPr="0006388A">
        <w:t>g a.s./larva, respectively, during the larval stages. No statistically significantly increased mortality occurred in any of the larvae gro</w:t>
      </w:r>
      <w:bookmarkEnd w:id="1210"/>
      <w:r w:rsidRPr="0006388A">
        <w:t xml:space="preserve">ups after being treated with BAS 700 F (Chi² Table Test with Bonferroni Correction, one-sided greater, </w:t>
      </w:r>
      <w:r>
        <w:t>α</w:t>
      </w:r>
      <w:r w:rsidRPr="0006388A">
        <w:t xml:space="preserve"> = 0.05). The results are summarized </w:t>
      </w:r>
      <w:r w:rsidRPr="00D61C03">
        <w:t xml:space="preserve">in </w:t>
      </w:r>
      <w:r>
        <w:fldChar w:fldCharType="begin"/>
      </w:r>
      <w:r>
        <w:instrText xml:space="preserve"> REF _Ref85437302 \h </w:instrText>
      </w:r>
      <w:r>
        <w:fldChar w:fldCharType="separate"/>
      </w:r>
      <w:r w:rsidR="00662F32" w:rsidRPr="00D61C03">
        <w:t xml:space="preserve">Table A </w:t>
      </w:r>
      <w:r w:rsidR="00662F32">
        <w:rPr>
          <w:noProof/>
        </w:rPr>
        <w:t>23</w:t>
      </w:r>
      <w:r>
        <w:fldChar w:fldCharType="end"/>
      </w:r>
      <w:r>
        <w:t>.</w:t>
      </w:r>
    </w:p>
    <w:p w14:paraId="7CAB8BEF" w14:textId="77777777" w:rsidR="00E51CDD" w:rsidRPr="00D61C03" w:rsidRDefault="00E51CDD" w:rsidP="00E51CDD">
      <w:pPr>
        <w:widowControl w:val="0"/>
        <w:jc w:val="both"/>
      </w:pPr>
    </w:p>
    <w:p w14:paraId="24A630B7" w14:textId="639A8B74" w:rsidR="00B74DCE" w:rsidRDefault="00E51CDD" w:rsidP="00E51CDD">
      <w:pPr>
        <w:pStyle w:val="Legenda"/>
        <w:rPr>
          <w:sz w:val="22"/>
          <w:szCs w:val="22"/>
        </w:rPr>
      </w:pPr>
      <w:bookmarkStart w:id="1211" w:name="_Ref85437302"/>
      <w:r w:rsidRPr="00D61C03">
        <w:rPr>
          <w:sz w:val="22"/>
          <w:szCs w:val="22"/>
        </w:rPr>
        <w:t xml:space="preserve">Table A </w:t>
      </w:r>
      <w:r w:rsidRPr="00D61C03">
        <w:rPr>
          <w:sz w:val="22"/>
          <w:szCs w:val="22"/>
        </w:rPr>
        <w:fldChar w:fldCharType="begin"/>
      </w:r>
      <w:r w:rsidRPr="00D61C03">
        <w:rPr>
          <w:sz w:val="22"/>
          <w:szCs w:val="22"/>
        </w:rPr>
        <w:instrText xml:space="preserve"> SEQ Table_A \* ARABIC </w:instrText>
      </w:r>
      <w:r w:rsidRPr="00D61C03">
        <w:rPr>
          <w:sz w:val="22"/>
          <w:szCs w:val="22"/>
        </w:rPr>
        <w:fldChar w:fldCharType="separate"/>
      </w:r>
      <w:r w:rsidR="00662F32">
        <w:rPr>
          <w:noProof/>
          <w:sz w:val="22"/>
          <w:szCs w:val="22"/>
        </w:rPr>
        <w:t>23</w:t>
      </w:r>
      <w:r w:rsidRPr="00D61C03">
        <w:rPr>
          <w:sz w:val="22"/>
          <w:szCs w:val="22"/>
        </w:rPr>
        <w:fldChar w:fldCharType="end"/>
      </w:r>
      <w:bookmarkEnd w:id="1211"/>
      <w:r w:rsidRPr="00D61C03">
        <w:rPr>
          <w:sz w:val="22"/>
          <w:szCs w:val="22"/>
        </w:rPr>
        <w:t>:</w:t>
      </w:r>
      <w:r w:rsidRPr="00D61C03">
        <w:rPr>
          <w:sz w:val="22"/>
          <w:szCs w:val="22"/>
        </w:rPr>
        <w:tab/>
        <w:t xml:space="preserve">Toxicity of BAS 700 F to </w:t>
      </w:r>
      <w:r w:rsidRPr="00D61C03">
        <w:rPr>
          <w:i/>
          <w:sz w:val="22"/>
          <w:szCs w:val="22"/>
        </w:rPr>
        <w:t>Apis mellifera</w:t>
      </w:r>
      <w:r w:rsidRPr="00D61C03">
        <w:rPr>
          <w:sz w:val="22"/>
          <w:szCs w:val="22"/>
        </w:rPr>
        <w:t xml:space="preserve"> (honey bee) in a repeated exposure larval </w:t>
      </w:r>
    </w:p>
    <w:p w14:paraId="5C243ABF" w14:textId="68FF4926" w:rsidR="00E51CDD" w:rsidRPr="00D61C03" w:rsidRDefault="00E51CDD" w:rsidP="00B74DCE">
      <w:pPr>
        <w:pStyle w:val="Legenda"/>
        <w:ind w:left="708" w:firstLine="708"/>
        <w:rPr>
          <w:sz w:val="22"/>
          <w:szCs w:val="22"/>
        </w:rPr>
      </w:pPr>
      <w:r w:rsidRPr="00D61C03">
        <w:rPr>
          <w:sz w:val="22"/>
          <w:szCs w:val="22"/>
        </w:rPr>
        <w:t>toxicity test after 22 days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63"/>
        <w:gridCol w:w="1527"/>
        <w:gridCol w:w="690"/>
        <w:gridCol w:w="832"/>
        <w:gridCol w:w="693"/>
        <w:gridCol w:w="832"/>
        <w:gridCol w:w="691"/>
        <w:gridCol w:w="832"/>
        <w:gridCol w:w="1484"/>
      </w:tblGrid>
      <w:tr w:rsidR="00E51CDD" w14:paraId="065BCFEB" w14:textId="77777777" w:rsidTr="009938D9">
        <w:trPr>
          <w:trHeight w:val="272"/>
          <w:tblHeader/>
        </w:trPr>
        <w:tc>
          <w:tcPr>
            <w:tcW w:w="944" w:type="pct"/>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4EE9304" w14:textId="77777777" w:rsidR="00E51CDD" w:rsidRPr="002262EA" w:rsidRDefault="00E51CDD" w:rsidP="009938D9">
            <w:pPr>
              <w:keepNext/>
              <w:overflowPunct w:val="0"/>
              <w:autoSpaceDE w:val="0"/>
              <w:autoSpaceDN w:val="0"/>
              <w:adjustRightInd w:val="0"/>
              <w:spacing w:before="40" w:after="40"/>
              <w:textAlignment w:val="baseline"/>
              <w:rPr>
                <w:b/>
                <w:bCs/>
                <w:sz w:val="20"/>
                <w:szCs w:val="20"/>
                <w:lang w:val="fr-BE"/>
              </w:rPr>
            </w:pPr>
            <w:r w:rsidRPr="002262EA">
              <w:rPr>
                <w:b/>
                <w:bCs/>
                <w:sz w:val="20"/>
                <w:szCs w:val="20"/>
                <w:lang w:val="fr-BE"/>
              </w:rPr>
              <w:t>Dosage</w:t>
            </w:r>
            <w:r w:rsidRPr="002262EA">
              <w:rPr>
                <w:b/>
                <w:bCs/>
                <w:sz w:val="20"/>
                <w:szCs w:val="20"/>
                <w:lang w:val="fr-BE"/>
              </w:rPr>
              <w:br/>
              <w:t>[µg a.s./larva]</w:t>
            </w:r>
          </w:p>
        </w:tc>
        <w:tc>
          <w:tcPr>
            <w:tcW w:w="817" w:type="pct"/>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F8AF44A" w14:textId="77777777" w:rsidR="00E51CDD" w:rsidRPr="0006388A" w:rsidRDefault="00E51CDD" w:rsidP="009938D9">
            <w:pPr>
              <w:keepNext/>
              <w:overflowPunct w:val="0"/>
              <w:autoSpaceDE w:val="0"/>
              <w:autoSpaceDN w:val="0"/>
              <w:adjustRightInd w:val="0"/>
              <w:spacing w:before="40" w:after="40"/>
              <w:textAlignment w:val="baseline"/>
              <w:rPr>
                <w:b/>
                <w:bCs/>
                <w:sz w:val="20"/>
                <w:szCs w:val="20"/>
              </w:rPr>
            </w:pPr>
            <w:r w:rsidRPr="0006388A">
              <w:rPr>
                <w:b/>
                <w:bCs/>
                <w:sz w:val="20"/>
                <w:szCs w:val="20"/>
              </w:rPr>
              <w:t>Concentration</w:t>
            </w:r>
            <w:r w:rsidRPr="0006388A">
              <w:rPr>
                <w:b/>
                <w:bCs/>
                <w:sz w:val="20"/>
                <w:szCs w:val="20"/>
              </w:rPr>
              <w:br/>
              <w:t>[mg a.s./kg food]</w:t>
            </w:r>
          </w:p>
        </w:tc>
        <w:tc>
          <w:tcPr>
            <w:tcW w:w="814" w:type="pct"/>
            <w:gridSpan w:val="2"/>
            <w:tcBorders>
              <w:top w:val="single" w:sz="4" w:space="0" w:color="auto"/>
              <w:left w:val="single" w:sz="4" w:space="0" w:color="auto"/>
              <w:bottom w:val="single" w:sz="4" w:space="0" w:color="auto"/>
              <w:right w:val="single" w:sz="4" w:space="0" w:color="auto"/>
            </w:tcBorders>
            <w:hideMark/>
          </w:tcPr>
          <w:p w14:paraId="10CAB432" w14:textId="77777777" w:rsidR="00E51CDD" w:rsidRDefault="00E51CDD" w:rsidP="009938D9">
            <w:pPr>
              <w:keepNext/>
              <w:overflowPunct w:val="0"/>
              <w:autoSpaceDE w:val="0"/>
              <w:autoSpaceDN w:val="0"/>
              <w:adjustRightInd w:val="0"/>
              <w:spacing w:before="40" w:after="40"/>
              <w:jc w:val="center"/>
              <w:textAlignment w:val="baseline"/>
              <w:rPr>
                <w:b/>
                <w:bCs/>
                <w:sz w:val="20"/>
                <w:szCs w:val="20"/>
              </w:rPr>
            </w:pPr>
            <w:r>
              <w:rPr>
                <w:b/>
                <w:bCs/>
                <w:sz w:val="20"/>
                <w:szCs w:val="20"/>
              </w:rPr>
              <w:t>D8 mortality</w:t>
            </w:r>
          </w:p>
        </w:tc>
        <w:tc>
          <w:tcPr>
            <w:tcW w:w="816" w:type="pct"/>
            <w:gridSpan w:val="2"/>
            <w:tcBorders>
              <w:top w:val="single" w:sz="4" w:space="0" w:color="auto"/>
              <w:left w:val="single" w:sz="4" w:space="0" w:color="auto"/>
              <w:bottom w:val="single" w:sz="4" w:space="0" w:color="auto"/>
              <w:right w:val="single" w:sz="4" w:space="0" w:color="auto"/>
            </w:tcBorders>
            <w:hideMark/>
          </w:tcPr>
          <w:p w14:paraId="4B6F98A3" w14:textId="77777777" w:rsidR="00E51CDD" w:rsidRDefault="00E51CDD" w:rsidP="009938D9">
            <w:pPr>
              <w:keepNext/>
              <w:overflowPunct w:val="0"/>
              <w:autoSpaceDE w:val="0"/>
              <w:autoSpaceDN w:val="0"/>
              <w:adjustRightInd w:val="0"/>
              <w:spacing w:before="40" w:after="40"/>
              <w:jc w:val="center"/>
              <w:textAlignment w:val="baseline"/>
              <w:rPr>
                <w:b/>
                <w:bCs/>
                <w:sz w:val="20"/>
                <w:szCs w:val="20"/>
              </w:rPr>
            </w:pPr>
            <w:r>
              <w:rPr>
                <w:b/>
                <w:bCs/>
                <w:sz w:val="20"/>
                <w:szCs w:val="20"/>
              </w:rPr>
              <w:t>D22 pupal mortality [%]</w:t>
            </w:r>
          </w:p>
        </w:tc>
        <w:tc>
          <w:tcPr>
            <w:tcW w:w="815"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33F8114" w14:textId="77777777" w:rsidR="00E51CDD" w:rsidRDefault="00E51CDD" w:rsidP="009938D9">
            <w:pPr>
              <w:keepNext/>
              <w:overflowPunct w:val="0"/>
              <w:autoSpaceDE w:val="0"/>
              <w:autoSpaceDN w:val="0"/>
              <w:adjustRightInd w:val="0"/>
              <w:spacing w:before="40" w:after="40"/>
              <w:jc w:val="center"/>
              <w:textAlignment w:val="baseline"/>
              <w:rPr>
                <w:b/>
                <w:bCs/>
                <w:sz w:val="20"/>
                <w:szCs w:val="20"/>
              </w:rPr>
            </w:pPr>
            <w:r>
              <w:rPr>
                <w:b/>
                <w:bCs/>
                <w:sz w:val="20"/>
                <w:szCs w:val="20"/>
              </w:rPr>
              <w:t>D22 overall mortality [%]</w:t>
            </w:r>
          </w:p>
        </w:tc>
        <w:tc>
          <w:tcPr>
            <w:tcW w:w="794" w:type="pct"/>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647AA45" w14:textId="77777777" w:rsidR="00E51CDD" w:rsidRDefault="00E51CDD" w:rsidP="009938D9">
            <w:pPr>
              <w:keepNext/>
              <w:overflowPunct w:val="0"/>
              <w:autoSpaceDE w:val="0"/>
              <w:autoSpaceDN w:val="0"/>
              <w:adjustRightInd w:val="0"/>
              <w:spacing w:before="40" w:after="40"/>
              <w:jc w:val="center"/>
              <w:textAlignment w:val="baseline"/>
              <w:rPr>
                <w:b/>
                <w:bCs/>
                <w:sz w:val="20"/>
                <w:szCs w:val="20"/>
              </w:rPr>
            </w:pPr>
            <w:r>
              <w:rPr>
                <w:b/>
                <w:bCs/>
                <w:sz w:val="20"/>
                <w:szCs w:val="20"/>
              </w:rPr>
              <w:t>D22 adult emergence [%]</w:t>
            </w:r>
          </w:p>
        </w:tc>
      </w:tr>
      <w:tr w:rsidR="00E51CDD" w14:paraId="4F00C620" w14:textId="77777777" w:rsidTr="009938D9">
        <w:trPr>
          <w:trHeight w:val="272"/>
          <w:tblHeader/>
        </w:trPr>
        <w:tc>
          <w:tcPr>
            <w:tcW w:w="944" w:type="pct"/>
            <w:vMerge/>
            <w:tcBorders>
              <w:top w:val="single" w:sz="4" w:space="0" w:color="auto"/>
              <w:left w:val="single" w:sz="4" w:space="0" w:color="auto"/>
              <w:bottom w:val="single" w:sz="4" w:space="0" w:color="auto"/>
              <w:right w:val="single" w:sz="4" w:space="0" w:color="auto"/>
            </w:tcBorders>
            <w:vAlign w:val="center"/>
            <w:hideMark/>
          </w:tcPr>
          <w:p w14:paraId="0B441C5A" w14:textId="77777777" w:rsidR="00E51CDD" w:rsidRDefault="00E51CDD" w:rsidP="009938D9">
            <w:pPr>
              <w:rPr>
                <w:b/>
                <w:bCs/>
                <w:sz w:val="20"/>
                <w:szCs w:val="20"/>
              </w:rPr>
            </w:pPr>
          </w:p>
        </w:tc>
        <w:tc>
          <w:tcPr>
            <w:tcW w:w="817" w:type="pct"/>
            <w:vMerge/>
            <w:tcBorders>
              <w:top w:val="single" w:sz="4" w:space="0" w:color="auto"/>
              <w:left w:val="single" w:sz="4" w:space="0" w:color="auto"/>
              <w:bottom w:val="single" w:sz="4" w:space="0" w:color="auto"/>
              <w:right w:val="single" w:sz="4" w:space="0" w:color="auto"/>
            </w:tcBorders>
            <w:vAlign w:val="center"/>
            <w:hideMark/>
          </w:tcPr>
          <w:p w14:paraId="4F006217" w14:textId="77777777" w:rsidR="00E51CDD" w:rsidRDefault="00E51CDD" w:rsidP="009938D9">
            <w:pPr>
              <w:rPr>
                <w:b/>
                <w:bCs/>
                <w:sz w:val="20"/>
                <w:szCs w:val="20"/>
              </w:rPr>
            </w:pPr>
          </w:p>
        </w:tc>
        <w:tc>
          <w:tcPr>
            <w:tcW w:w="369" w:type="pct"/>
            <w:tcBorders>
              <w:top w:val="single" w:sz="4" w:space="0" w:color="auto"/>
              <w:left w:val="single" w:sz="4" w:space="0" w:color="auto"/>
              <w:bottom w:val="single" w:sz="4" w:space="0" w:color="auto"/>
              <w:right w:val="single" w:sz="4" w:space="0" w:color="auto"/>
            </w:tcBorders>
            <w:hideMark/>
          </w:tcPr>
          <w:p w14:paraId="5CBFEB70" w14:textId="77777777" w:rsidR="00E51CDD" w:rsidRDefault="00E51CDD" w:rsidP="009938D9">
            <w:pPr>
              <w:keepNext/>
              <w:overflowPunct w:val="0"/>
              <w:autoSpaceDE w:val="0"/>
              <w:autoSpaceDN w:val="0"/>
              <w:adjustRightInd w:val="0"/>
              <w:spacing w:before="40" w:after="40"/>
              <w:jc w:val="center"/>
              <w:textAlignment w:val="baseline"/>
              <w:rPr>
                <w:b/>
                <w:bCs/>
                <w:sz w:val="20"/>
                <w:szCs w:val="20"/>
                <w:vertAlign w:val="superscript"/>
              </w:rPr>
            </w:pPr>
            <w:r>
              <w:rPr>
                <w:b/>
                <w:bCs/>
                <w:sz w:val="20"/>
                <w:szCs w:val="20"/>
              </w:rPr>
              <w:t>abs.</w:t>
            </w:r>
          </w:p>
        </w:tc>
        <w:tc>
          <w:tcPr>
            <w:tcW w:w="445" w:type="pct"/>
            <w:tcBorders>
              <w:top w:val="single" w:sz="4" w:space="0" w:color="auto"/>
              <w:left w:val="single" w:sz="4" w:space="0" w:color="auto"/>
              <w:bottom w:val="single" w:sz="4" w:space="0" w:color="auto"/>
              <w:right w:val="single" w:sz="4" w:space="0" w:color="auto"/>
            </w:tcBorders>
            <w:hideMark/>
          </w:tcPr>
          <w:p w14:paraId="49B814C8" w14:textId="77777777" w:rsidR="00E51CDD" w:rsidRDefault="00E51CDD" w:rsidP="009938D9">
            <w:pPr>
              <w:keepNext/>
              <w:overflowPunct w:val="0"/>
              <w:autoSpaceDE w:val="0"/>
              <w:autoSpaceDN w:val="0"/>
              <w:adjustRightInd w:val="0"/>
              <w:spacing w:before="40" w:after="40"/>
              <w:jc w:val="center"/>
              <w:textAlignment w:val="baseline"/>
              <w:rPr>
                <w:b/>
                <w:bCs/>
                <w:sz w:val="20"/>
                <w:szCs w:val="20"/>
              </w:rPr>
            </w:pPr>
            <w:r>
              <w:rPr>
                <w:b/>
                <w:bCs/>
                <w:sz w:val="20"/>
                <w:szCs w:val="20"/>
              </w:rPr>
              <w:t xml:space="preserve">corr. </w:t>
            </w:r>
            <w:r>
              <w:rPr>
                <w:bCs/>
                <w:sz w:val="20"/>
                <w:szCs w:val="20"/>
                <w:vertAlign w:val="superscript"/>
              </w:rPr>
              <w:t>1)</w:t>
            </w:r>
          </w:p>
        </w:tc>
        <w:tc>
          <w:tcPr>
            <w:tcW w:w="371" w:type="pct"/>
            <w:tcBorders>
              <w:top w:val="single" w:sz="4" w:space="0" w:color="auto"/>
              <w:left w:val="single" w:sz="4" w:space="0" w:color="auto"/>
              <w:bottom w:val="single" w:sz="4" w:space="0" w:color="auto"/>
              <w:right w:val="single" w:sz="4" w:space="0" w:color="auto"/>
            </w:tcBorders>
            <w:hideMark/>
          </w:tcPr>
          <w:p w14:paraId="3602287B" w14:textId="77777777" w:rsidR="00E51CDD" w:rsidRDefault="00E51CDD" w:rsidP="009938D9">
            <w:pPr>
              <w:keepNext/>
              <w:overflowPunct w:val="0"/>
              <w:autoSpaceDE w:val="0"/>
              <w:autoSpaceDN w:val="0"/>
              <w:adjustRightInd w:val="0"/>
              <w:spacing w:before="40" w:after="40"/>
              <w:jc w:val="center"/>
              <w:textAlignment w:val="baseline"/>
              <w:rPr>
                <w:b/>
                <w:bCs/>
                <w:sz w:val="20"/>
                <w:szCs w:val="20"/>
              </w:rPr>
            </w:pPr>
            <w:r>
              <w:rPr>
                <w:b/>
                <w:bCs/>
                <w:sz w:val="20"/>
                <w:szCs w:val="20"/>
              </w:rPr>
              <w:t>abs.</w:t>
            </w:r>
          </w:p>
        </w:tc>
        <w:tc>
          <w:tcPr>
            <w:tcW w:w="445" w:type="pct"/>
            <w:tcBorders>
              <w:top w:val="single" w:sz="4" w:space="0" w:color="auto"/>
              <w:left w:val="single" w:sz="4" w:space="0" w:color="auto"/>
              <w:bottom w:val="single" w:sz="4" w:space="0" w:color="auto"/>
              <w:right w:val="single" w:sz="4" w:space="0" w:color="auto"/>
            </w:tcBorders>
            <w:hideMark/>
          </w:tcPr>
          <w:p w14:paraId="0BD7B8C6" w14:textId="77777777" w:rsidR="00E51CDD" w:rsidRDefault="00E51CDD" w:rsidP="009938D9">
            <w:pPr>
              <w:keepNext/>
              <w:overflowPunct w:val="0"/>
              <w:autoSpaceDE w:val="0"/>
              <w:autoSpaceDN w:val="0"/>
              <w:adjustRightInd w:val="0"/>
              <w:spacing w:before="40" w:after="40"/>
              <w:jc w:val="center"/>
              <w:textAlignment w:val="baseline"/>
              <w:rPr>
                <w:b/>
                <w:bCs/>
                <w:sz w:val="20"/>
                <w:szCs w:val="20"/>
              </w:rPr>
            </w:pPr>
            <w:r>
              <w:rPr>
                <w:b/>
                <w:bCs/>
                <w:sz w:val="20"/>
                <w:szCs w:val="20"/>
              </w:rPr>
              <w:t xml:space="preserve">corr. </w:t>
            </w:r>
            <w:r>
              <w:rPr>
                <w:bCs/>
                <w:sz w:val="20"/>
                <w:szCs w:val="20"/>
                <w:vertAlign w:val="superscript"/>
              </w:rPr>
              <w:t>1)</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DD83F58" w14:textId="77777777" w:rsidR="00E51CDD" w:rsidRDefault="00E51CDD" w:rsidP="009938D9">
            <w:pPr>
              <w:keepNext/>
              <w:overflowPunct w:val="0"/>
              <w:autoSpaceDE w:val="0"/>
              <w:autoSpaceDN w:val="0"/>
              <w:adjustRightInd w:val="0"/>
              <w:spacing w:before="40" w:after="40"/>
              <w:jc w:val="center"/>
              <w:textAlignment w:val="baseline"/>
              <w:rPr>
                <w:b/>
                <w:bCs/>
                <w:sz w:val="20"/>
                <w:szCs w:val="20"/>
                <w:vertAlign w:val="superscript"/>
              </w:rPr>
            </w:pPr>
            <w:r>
              <w:rPr>
                <w:b/>
                <w:bCs/>
                <w:sz w:val="20"/>
                <w:szCs w:val="20"/>
              </w:rPr>
              <w:t>abs.</w:t>
            </w:r>
          </w:p>
        </w:tc>
        <w:tc>
          <w:tcPr>
            <w:tcW w:w="445" w:type="pct"/>
            <w:tcBorders>
              <w:top w:val="single" w:sz="4" w:space="0" w:color="auto"/>
              <w:left w:val="single" w:sz="4" w:space="0" w:color="auto"/>
              <w:bottom w:val="single" w:sz="4" w:space="0" w:color="auto"/>
              <w:right w:val="single" w:sz="4" w:space="0" w:color="auto"/>
            </w:tcBorders>
            <w:hideMark/>
          </w:tcPr>
          <w:p w14:paraId="1C0314BF" w14:textId="77777777" w:rsidR="00E51CDD" w:rsidRDefault="00E51CDD" w:rsidP="009938D9">
            <w:pPr>
              <w:keepNext/>
              <w:overflowPunct w:val="0"/>
              <w:autoSpaceDE w:val="0"/>
              <w:autoSpaceDN w:val="0"/>
              <w:adjustRightInd w:val="0"/>
              <w:spacing w:before="40" w:after="40"/>
              <w:jc w:val="center"/>
              <w:textAlignment w:val="baseline"/>
              <w:rPr>
                <w:b/>
                <w:bCs/>
                <w:sz w:val="20"/>
                <w:szCs w:val="20"/>
              </w:rPr>
            </w:pPr>
            <w:r>
              <w:rPr>
                <w:b/>
                <w:bCs/>
                <w:sz w:val="20"/>
                <w:szCs w:val="20"/>
              </w:rPr>
              <w:t xml:space="preserve">corr. </w:t>
            </w:r>
            <w:r>
              <w:rPr>
                <w:bCs/>
                <w:sz w:val="20"/>
                <w:szCs w:val="20"/>
                <w:vertAlign w:val="superscript"/>
              </w:rPr>
              <w:t>1)</w:t>
            </w:r>
          </w:p>
        </w:tc>
        <w:tc>
          <w:tcPr>
            <w:tcW w:w="794" w:type="pct"/>
            <w:vMerge/>
            <w:tcBorders>
              <w:top w:val="single" w:sz="4" w:space="0" w:color="auto"/>
              <w:left w:val="single" w:sz="4" w:space="0" w:color="auto"/>
              <w:bottom w:val="single" w:sz="4" w:space="0" w:color="auto"/>
              <w:right w:val="single" w:sz="4" w:space="0" w:color="auto"/>
            </w:tcBorders>
            <w:vAlign w:val="center"/>
            <w:hideMark/>
          </w:tcPr>
          <w:p w14:paraId="3D3FADF1" w14:textId="77777777" w:rsidR="00E51CDD" w:rsidRDefault="00E51CDD" w:rsidP="009938D9">
            <w:pPr>
              <w:rPr>
                <w:b/>
                <w:bCs/>
                <w:sz w:val="20"/>
                <w:szCs w:val="20"/>
              </w:rPr>
            </w:pPr>
          </w:p>
        </w:tc>
      </w:tr>
      <w:tr w:rsidR="00E51CDD" w14:paraId="46AD0E03" w14:textId="77777777" w:rsidTr="009938D9">
        <w:trPr>
          <w:trHeight w:val="272"/>
        </w:trPr>
        <w:tc>
          <w:tcPr>
            <w:tcW w:w="9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BBD8FB7" w14:textId="77777777" w:rsidR="00E51CDD" w:rsidRDefault="00E51CDD" w:rsidP="009938D9">
            <w:pPr>
              <w:keepNext/>
              <w:overflowPunct w:val="0"/>
              <w:autoSpaceDE w:val="0"/>
              <w:autoSpaceDN w:val="0"/>
              <w:adjustRightInd w:val="0"/>
              <w:spacing w:before="40" w:after="40"/>
              <w:textAlignment w:val="baseline"/>
              <w:rPr>
                <w:sz w:val="20"/>
                <w:szCs w:val="20"/>
              </w:rPr>
            </w:pPr>
            <w:r>
              <w:rPr>
                <w:sz w:val="20"/>
                <w:szCs w:val="20"/>
              </w:rPr>
              <w:t>Control</w:t>
            </w:r>
          </w:p>
        </w:tc>
        <w:tc>
          <w:tcPr>
            <w:tcW w:w="8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23F545E" w14:textId="77777777" w:rsidR="00E51CDD" w:rsidRDefault="00E51CDD" w:rsidP="009938D9">
            <w:pPr>
              <w:keepNext/>
              <w:overflowPunct w:val="0"/>
              <w:autoSpaceDE w:val="0"/>
              <w:autoSpaceDN w:val="0"/>
              <w:adjustRightInd w:val="0"/>
              <w:spacing w:before="40" w:after="40"/>
              <w:textAlignment w:val="baseline"/>
              <w:rPr>
                <w:sz w:val="20"/>
                <w:szCs w:val="20"/>
              </w:rPr>
            </w:pPr>
            <w:r>
              <w:rPr>
                <w:sz w:val="20"/>
                <w:szCs w:val="20"/>
              </w:rPr>
              <w:t>Control</w:t>
            </w:r>
          </w:p>
        </w:tc>
        <w:tc>
          <w:tcPr>
            <w:tcW w:w="369" w:type="pct"/>
            <w:tcBorders>
              <w:top w:val="single" w:sz="4" w:space="0" w:color="auto"/>
              <w:left w:val="single" w:sz="4" w:space="0" w:color="auto"/>
              <w:bottom w:val="single" w:sz="4" w:space="0" w:color="auto"/>
              <w:right w:val="single" w:sz="4" w:space="0" w:color="auto"/>
            </w:tcBorders>
            <w:hideMark/>
          </w:tcPr>
          <w:p w14:paraId="329481C7"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445" w:type="pct"/>
            <w:tcBorders>
              <w:top w:val="single" w:sz="4" w:space="0" w:color="auto"/>
              <w:left w:val="single" w:sz="4" w:space="0" w:color="auto"/>
              <w:bottom w:val="single" w:sz="4" w:space="0" w:color="auto"/>
              <w:right w:val="single" w:sz="4" w:space="0" w:color="auto"/>
            </w:tcBorders>
            <w:hideMark/>
          </w:tcPr>
          <w:p w14:paraId="06436ACA"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w:t>
            </w:r>
          </w:p>
        </w:tc>
        <w:tc>
          <w:tcPr>
            <w:tcW w:w="371" w:type="pct"/>
            <w:tcBorders>
              <w:top w:val="single" w:sz="4" w:space="0" w:color="auto"/>
              <w:left w:val="single" w:sz="4" w:space="0" w:color="auto"/>
              <w:bottom w:val="single" w:sz="4" w:space="0" w:color="auto"/>
              <w:right w:val="single" w:sz="4" w:space="0" w:color="auto"/>
            </w:tcBorders>
            <w:hideMark/>
          </w:tcPr>
          <w:p w14:paraId="63648366"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19.4</w:t>
            </w:r>
          </w:p>
        </w:tc>
        <w:tc>
          <w:tcPr>
            <w:tcW w:w="445" w:type="pct"/>
            <w:tcBorders>
              <w:top w:val="single" w:sz="4" w:space="0" w:color="auto"/>
              <w:left w:val="single" w:sz="4" w:space="0" w:color="auto"/>
              <w:bottom w:val="single" w:sz="4" w:space="0" w:color="auto"/>
              <w:right w:val="single" w:sz="4" w:space="0" w:color="auto"/>
            </w:tcBorders>
            <w:hideMark/>
          </w:tcPr>
          <w:p w14:paraId="2211CCDA"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FEC9725"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19.4</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6F3903"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FEB0860"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80.6</w:t>
            </w:r>
          </w:p>
        </w:tc>
      </w:tr>
      <w:tr w:rsidR="00E51CDD" w14:paraId="140661E9" w14:textId="77777777" w:rsidTr="009938D9">
        <w:trPr>
          <w:trHeight w:val="272"/>
        </w:trPr>
        <w:tc>
          <w:tcPr>
            <w:tcW w:w="9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7FF5956" w14:textId="77777777" w:rsidR="00E51CDD" w:rsidRDefault="00E51CDD" w:rsidP="009938D9">
            <w:pPr>
              <w:keepNext/>
              <w:overflowPunct w:val="0"/>
              <w:autoSpaceDE w:val="0"/>
              <w:autoSpaceDN w:val="0"/>
              <w:adjustRightInd w:val="0"/>
              <w:spacing w:before="40" w:after="40"/>
              <w:textAlignment w:val="baseline"/>
              <w:rPr>
                <w:sz w:val="20"/>
                <w:szCs w:val="20"/>
              </w:rPr>
            </w:pPr>
            <w:r>
              <w:rPr>
                <w:sz w:val="20"/>
                <w:szCs w:val="20"/>
              </w:rPr>
              <w:t>Acetone solvent control</w:t>
            </w:r>
          </w:p>
        </w:tc>
        <w:tc>
          <w:tcPr>
            <w:tcW w:w="8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A1326B0" w14:textId="77777777" w:rsidR="00E51CDD" w:rsidRDefault="00E51CDD" w:rsidP="009938D9">
            <w:pPr>
              <w:keepNext/>
              <w:overflowPunct w:val="0"/>
              <w:autoSpaceDE w:val="0"/>
              <w:autoSpaceDN w:val="0"/>
              <w:adjustRightInd w:val="0"/>
              <w:spacing w:before="40" w:after="40"/>
              <w:textAlignment w:val="baseline"/>
              <w:rPr>
                <w:sz w:val="20"/>
                <w:szCs w:val="20"/>
              </w:rPr>
            </w:pPr>
            <w:r>
              <w:rPr>
                <w:sz w:val="20"/>
                <w:szCs w:val="20"/>
              </w:rPr>
              <w:t>Acetone solvent control</w:t>
            </w:r>
          </w:p>
        </w:tc>
        <w:tc>
          <w:tcPr>
            <w:tcW w:w="369" w:type="pct"/>
            <w:tcBorders>
              <w:top w:val="single" w:sz="4" w:space="0" w:color="auto"/>
              <w:left w:val="single" w:sz="4" w:space="0" w:color="auto"/>
              <w:bottom w:val="single" w:sz="4" w:space="0" w:color="auto"/>
              <w:right w:val="single" w:sz="4" w:space="0" w:color="auto"/>
            </w:tcBorders>
            <w:hideMark/>
          </w:tcPr>
          <w:p w14:paraId="6BBFFDE2"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2.8</w:t>
            </w:r>
          </w:p>
        </w:tc>
        <w:tc>
          <w:tcPr>
            <w:tcW w:w="445" w:type="pct"/>
            <w:tcBorders>
              <w:top w:val="single" w:sz="4" w:space="0" w:color="auto"/>
              <w:left w:val="single" w:sz="4" w:space="0" w:color="auto"/>
              <w:bottom w:val="single" w:sz="4" w:space="0" w:color="auto"/>
              <w:right w:val="single" w:sz="4" w:space="0" w:color="auto"/>
            </w:tcBorders>
            <w:hideMark/>
          </w:tcPr>
          <w:p w14:paraId="3F7BC009"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371" w:type="pct"/>
            <w:tcBorders>
              <w:top w:val="single" w:sz="4" w:space="0" w:color="auto"/>
              <w:left w:val="single" w:sz="4" w:space="0" w:color="auto"/>
              <w:bottom w:val="single" w:sz="4" w:space="0" w:color="auto"/>
              <w:right w:val="single" w:sz="4" w:space="0" w:color="auto"/>
            </w:tcBorders>
            <w:hideMark/>
          </w:tcPr>
          <w:p w14:paraId="0982F9B5"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17.1</w:t>
            </w:r>
          </w:p>
        </w:tc>
        <w:tc>
          <w:tcPr>
            <w:tcW w:w="445" w:type="pct"/>
            <w:tcBorders>
              <w:top w:val="single" w:sz="4" w:space="0" w:color="auto"/>
              <w:left w:val="single" w:sz="4" w:space="0" w:color="auto"/>
              <w:bottom w:val="single" w:sz="4" w:space="0" w:color="auto"/>
              <w:right w:val="single" w:sz="4" w:space="0" w:color="auto"/>
            </w:tcBorders>
            <w:hideMark/>
          </w:tcPr>
          <w:p w14:paraId="00B23F78"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139803C"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19.4</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F96CFE"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CD7207E"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80.6</w:t>
            </w:r>
          </w:p>
        </w:tc>
      </w:tr>
      <w:tr w:rsidR="00E51CDD" w14:paraId="43BA86A1" w14:textId="77777777" w:rsidTr="009938D9">
        <w:trPr>
          <w:trHeight w:val="272"/>
        </w:trPr>
        <w:tc>
          <w:tcPr>
            <w:tcW w:w="9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3E6DCEB" w14:textId="77777777" w:rsidR="00E51CDD" w:rsidRDefault="00E51CDD" w:rsidP="009938D9">
            <w:pPr>
              <w:keepNext/>
              <w:rPr>
                <w:sz w:val="20"/>
                <w:szCs w:val="20"/>
              </w:rPr>
            </w:pPr>
            <w:r>
              <w:rPr>
                <w:sz w:val="20"/>
                <w:szCs w:val="20"/>
              </w:rPr>
              <w:t>5.0</w:t>
            </w:r>
          </w:p>
        </w:tc>
        <w:tc>
          <w:tcPr>
            <w:tcW w:w="8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AB602D4" w14:textId="77777777" w:rsidR="00E51CDD" w:rsidRDefault="00E51CDD" w:rsidP="009938D9">
            <w:pPr>
              <w:keepNext/>
              <w:rPr>
                <w:sz w:val="20"/>
                <w:szCs w:val="20"/>
              </w:rPr>
            </w:pPr>
            <w:r>
              <w:rPr>
                <w:sz w:val="20"/>
                <w:szCs w:val="20"/>
              </w:rPr>
              <w:t>32</w:t>
            </w:r>
          </w:p>
        </w:tc>
        <w:tc>
          <w:tcPr>
            <w:tcW w:w="369" w:type="pct"/>
            <w:tcBorders>
              <w:top w:val="single" w:sz="4" w:space="0" w:color="auto"/>
              <w:left w:val="single" w:sz="4" w:space="0" w:color="auto"/>
              <w:bottom w:val="single" w:sz="4" w:space="0" w:color="auto"/>
              <w:right w:val="single" w:sz="4" w:space="0" w:color="auto"/>
            </w:tcBorders>
            <w:hideMark/>
          </w:tcPr>
          <w:p w14:paraId="13976898"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2.8</w:t>
            </w:r>
          </w:p>
        </w:tc>
        <w:tc>
          <w:tcPr>
            <w:tcW w:w="445" w:type="pct"/>
            <w:tcBorders>
              <w:top w:val="single" w:sz="4" w:space="0" w:color="auto"/>
              <w:left w:val="single" w:sz="4" w:space="0" w:color="auto"/>
              <w:bottom w:val="single" w:sz="4" w:space="0" w:color="auto"/>
              <w:right w:val="single" w:sz="4" w:space="0" w:color="auto"/>
            </w:tcBorders>
            <w:hideMark/>
          </w:tcPr>
          <w:p w14:paraId="32944013"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371" w:type="pct"/>
            <w:tcBorders>
              <w:top w:val="single" w:sz="4" w:space="0" w:color="auto"/>
              <w:left w:val="single" w:sz="4" w:space="0" w:color="auto"/>
              <w:bottom w:val="single" w:sz="4" w:space="0" w:color="auto"/>
              <w:right w:val="single" w:sz="4" w:space="0" w:color="auto"/>
            </w:tcBorders>
            <w:hideMark/>
          </w:tcPr>
          <w:p w14:paraId="7C6ADCDC"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14.3</w:t>
            </w:r>
          </w:p>
        </w:tc>
        <w:tc>
          <w:tcPr>
            <w:tcW w:w="445" w:type="pct"/>
            <w:tcBorders>
              <w:top w:val="single" w:sz="4" w:space="0" w:color="auto"/>
              <w:left w:val="single" w:sz="4" w:space="0" w:color="auto"/>
              <w:bottom w:val="single" w:sz="4" w:space="0" w:color="auto"/>
              <w:right w:val="single" w:sz="4" w:space="0" w:color="auto"/>
            </w:tcBorders>
            <w:hideMark/>
          </w:tcPr>
          <w:p w14:paraId="2AA7DA76"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474A222"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16.7</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7CADD9"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F2619DA"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83.3</w:t>
            </w:r>
          </w:p>
        </w:tc>
      </w:tr>
      <w:tr w:rsidR="00E51CDD" w14:paraId="7FC80DF0" w14:textId="77777777" w:rsidTr="009938D9">
        <w:trPr>
          <w:trHeight w:val="195"/>
        </w:trPr>
        <w:tc>
          <w:tcPr>
            <w:tcW w:w="9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5CB9E6F" w14:textId="77777777" w:rsidR="00E51CDD" w:rsidRDefault="00E51CDD" w:rsidP="009938D9">
            <w:pPr>
              <w:keepNext/>
              <w:rPr>
                <w:sz w:val="20"/>
                <w:szCs w:val="20"/>
              </w:rPr>
            </w:pPr>
            <w:r>
              <w:rPr>
                <w:sz w:val="20"/>
                <w:szCs w:val="20"/>
              </w:rPr>
              <w:t>10</w:t>
            </w:r>
          </w:p>
        </w:tc>
        <w:tc>
          <w:tcPr>
            <w:tcW w:w="8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F8A0142" w14:textId="77777777" w:rsidR="00E51CDD" w:rsidRDefault="00E51CDD" w:rsidP="009938D9">
            <w:pPr>
              <w:keepNext/>
              <w:rPr>
                <w:sz w:val="20"/>
                <w:szCs w:val="20"/>
              </w:rPr>
            </w:pPr>
            <w:r>
              <w:rPr>
                <w:sz w:val="20"/>
                <w:szCs w:val="20"/>
              </w:rPr>
              <w:t>63</w:t>
            </w:r>
          </w:p>
        </w:tc>
        <w:tc>
          <w:tcPr>
            <w:tcW w:w="369" w:type="pct"/>
            <w:tcBorders>
              <w:top w:val="single" w:sz="4" w:space="0" w:color="auto"/>
              <w:left w:val="single" w:sz="4" w:space="0" w:color="auto"/>
              <w:bottom w:val="single" w:sz="4" w:space="0" w:color="auto"/>
              <w:right w:val="single" w:sz="4" w:space="0" w:color="auto"/>
            </w:tcBorders>
            <w:hideMark/>
          </w:tcPr>
          <w:p w14:paraId="7C5F2142"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445" w:type="pct"/>
            <w:tcBorders>
              <w:top w:val="single" w:sz="4" w:space="0" w:color="auto"/>
              <w:left w:val="single" w:sz="4" w:space="0" w:color="auto"/>
              <w:bottom w:val="single" w:sz="4" w:space="0" w:color="auto"/>
              <w:right w:val="single" w:sz="4" w:space="0" w:color="auto"/>
            </w:tcBorders>
            <w:hideMark/>
          </w:tcPr>
          <w:p w14:paraId="688BCA79"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371" w:type="pct"/>
            <w:tcBorders>
              <w:top w:val="single" w:sz="4" w:space="0" w:color="auto"/>
              <w:left w:val="single" w:sz="4" w:space="0" w:color="auto"/>
              <w:bottom w:val="single" w:sz="4" w:space="0" w:color="auto"/>
              <w:right w:val="single" w:sz="4" w:space="0" w:color="auto"/>
            </w:tcBorders>
            <w:hideMark/>
          </w:tcPr>
          <w:p w14:paraId="55E37A91"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19.4</w:t>
            </w:r>
          </w:p>
        </w:tc>
        <w:tc>
          <w:tcPr>
            <w:tcW w:w="445" w:type="pct"/>
            <w:tcBorders>
              <w:top w:val="single" w:sz="4" w:space="0" w:color="auto"/>
              <w:left w:val="single" w:sz="4" w:space="0" w:color="auto"/>
              <w:bottom w:val="single" w:sz="4" w:space="0" w:color="auto"/>
              <w:right w:val="single" w:sz="4" w:space="0" w:color="auto"/>
            </w:tcBorders>
            <w:hideMark/>
          </w:tcPr>
          <w:p w14:paraId="12E1FB20"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2.8</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26BA410"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19.4</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81BE72"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A7403F0"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80.6</w:t>
            </w:r>
          </w:p>
        </w:tc>
      </w:tr>
      <w:tr w:rsidR="00E51CDD" w14:paraId="3DAF8820" w14:textId="77777777" w:rsidTr="009938D9">
        <w:trPr>
          <w:trHeight w:val="272"/>
        </w:trPr>
        <w:tc>
          <w:tcPr>
            <w:tcW w:w="9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8CBA4C7" w14:textId="77777777" w:rsidR="00E51CDD" w:rsidRDefault="00E51CDD" w:rsidP="009938D9">
            <w:pPr>
              <w:keepNext/>
              <w:rPr>
                <w:sz w:val="20"/>
                <w:szCs w:val="20"/>
              </w:rPr>
            </w:pPr>
            <w:r>
              <w:rPr>
                <w:sz w:val="20"/>
                <w:szCs w:val="20"/>
              </w:rPr>
              <w:t>20</w:t>
            </w:r>
          </w:p>
        </w:tc>
        <w:tc>
          <w:tcPr>
            <w:tcW w:w="8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77D320B" w14:textId="77777777" w:rsidR="00E51CDD" w:rsidRDefault="00E51CDD" w:rsidP="009938D9">
            <w:pPr>
              <w:keepNext/>
              <w:rPr>
                <w:sz w:val="20"/>
                <w:szCs w:val="20"/>
              </w:rPr>
            </w:pPr>
            <w:r>
              <w:rPr>
                <w:sz w:val="20"/>
                <w:szCs w:val="20"/>
              </w:rPr>
              <w:t>126</w:t>
            </w:r>
          </w:p>
        </w:tc>
        <w:tc>
          <w:tcPr>
            <w:tcW w:w="369" w:type="pct"/>
            <w:tcBorders>
              <w:top w:val="single" w:sz="4" w:space="0" w:color="auto"/>
              <w:left w:val="single" w:sz="4" w:space="0" w:color="auto"/>
              <w:bottom w:val="single" w:sz="4" w:space="0" w:color="auto"/>
              <w:right w:val="single" w:sz="4" w:space="0" w:color="auto"/>
            </w:tcBorders>
            <w:hideMark/>
          </w:tcPr>
          <w:p w14:paraId="18F5C257"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445" w:type="pct"/>
            <w:tcBorders>
              <w:top w:val="single" w:sz="4" w:space="0" w:color="auto"/>
              <w:left w:val="single" w:sz="4" w:space="0" w:color="auto"/>
              <w:bottom w:val="single" w:sz="4" w:space="0" w:color="auto"/>
              <w:right w:val="single" w:sz="4" w:space="0" w:color="auto"/>
            </w:tcBorders>
            <w:hideMark/>
          </w:tcPr>
          <w:p w14:paraId="272D3E47"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371" w:type="pct"/>
            <w:tcBorders>
              <w:top w:val="single" w:sz="4" w:space="0" w:color="auto"/>
              <w:left w:val="single" w:sz="4" w:space="0" w:color="auto"/>
              <w:bottom w:val="single" w:sz="4" w:space="0" w:color="auto"/>
              <w:right w:val="single" w:sz="4" w:space="0" w:color="auto"/>
            </w:tcBorders>
            <w:hideMark/>
          </w:tcPr>
          <w:p w14:paraId="0DBAE5E4"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16.7</w:t>
            </w:r>
          </w:p>
        </w:tc>
        <w:tc>
          <w:tcPr>
            <w:tcW w:w="445" w:type="pct"/>
            <w:tcBorders>
              <w:top w:val="single" w:sz="4" w:space="0" w:color="auto"/>
              <w:left w:val="single" w:sz="4" w:space="0" w:color="auto"/>
              <w:bottom w:val="single" w:sz="4" w:space="0" w:color="auto"/>
              <w:right w:val="single" w:sz="4" w:space="0" w:color="auto"/>
            </w:tcBorders>
            <w:hideMark/>
          </w:tcPr>
          <w:p w14:paraId="561202DD"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C04CA7B"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16.7</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D87D44"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24A7677"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83.3</w:t>
            </w:r>
          </w:p>
        </w:tc>
      </w:tr>
      <w:tr w:rsidR="00E51CDD" w14:paraId="1A658DB9" w14:textId="77777777" w:rsidTr="009938D9">
        <w:trPr>
          <w:trHeight w:val="272"/>
        </w:trPr>
        <w:tc>
          <w:tcPr>
            <w:tcW w:w="9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20605C0" w14:textId="77777777" w:rsidR="00E51CDD" w:rsidRDefault="00E51CDD" w:rsidP="009938D9">
            <w:pPr>
              <w:keepNext/>
              <w:rPr>
                <w:sz w:val="20"/>
                <w:szCs w:val="20"/>
              </w:rPr>
            </w:pPr>
            <w:r>
              <w:rPr>
                <w:sz w:val="20"/>
                <w:szCs w:val="20"/>
              </w:rPr>
              <w:t>40</w:t>
            </w:r>
          </w:p>
        </w:tc>
        <w:tc>
          <w:tcPr>
            <w:tcW w:w="8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C174D3A" w14:textId="77777777" w:rsidR="00E51CDD" w:rsidRDefault="00E51CDD" w:rsidP="009938D9">
            <w:pPr>
              <w:keepNext/>
              <w:rPr>
                <w:sz w:val="20"/>
                <w:szCs w:val="20"/>
              </w:rPr>
            </w:pPr>
            <w:r>
              <w:rPr>
                <w:sz w:val="20"/>
                <w:szCs w:val="20"/>
              </w:rPr>
              <w:t>253</w:t>
            </w:r>
          </w:p>
        </w:tc>
        <w:tc>
          <w:tcPr>
            <w:tcW w:w="369" w:type="pct"/>
            <w:tcBorders>
              <w:top w:val="single" w:sz="4" w:space="0" w:color="auto"/>
              <w:left w:val="single" w:sz="4" w:space="0" w:color="auto"/>
              <w:bottom w:val="single" w:sz="4" w:space="0" w:color="auto"/>
              <w:right w:val="single" w:sz="4" w:space="0" w:color="auto"/>
            </w:tcBorders>
            <w:hideMark/>
          </w:tcPr>
          <w:p w14:paraId="74FA5F91"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2.8</w:t>
            </w:r>
          </w:p>
        </w:tc>
        <w:tc>
          <w:tcPr>
            <w:tcW w:w="445" w:type="pct"/>
            <w:tcBorders>
              <w:top w:val="single" w:sz="4" w:space="0" w:color="auto"/>
              <w:left w:val="single" w:sz="4" w:space="0" w:color="auto"/>
              <w:bottom w:val="single" w:sz="4" w:space="0" w:color="auto"/>
              <w:right w:val="single" w:sz="4" w:space="0" w:color="auto"/>
            </w:tcBorders>
            <w:hideMark/>
          </w:tcPr>
          <w:p w14:paraId="4431320A"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371" w:type="pct"/>
            <w:tcBorders>
              <w:top w:val="single" w:sz="4" w:space="0" w:color="auto"/>
              <w:left w:val="single" w:sz="4" w:space="0" w:color="auto"/>
              <w:bottom w:val="single" w:sz="4" w:space="0" w:color="auto"/>
              <w:right w:val="single" w:sz="4" w:space="0" w:color="auto"/>
            </w:tcBorders>
            <w:hideMark/>
          </w:tcPr>
          <w:p w14:paraId="2E5986EC"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28.6</w:t>
            </w:r>
          </w:p>
        </w:tc>
        <w:tc>
          <w:tcPr>
            <w:tcW w:w="445" w:type="pct"/>
            <w:tcBorders>
              <w:top w:val="single" w:sz="4" w:space="0" w:color="auto"/>
              <w:left w:val="single" w:sz="4" w:space="0" w:color="auto"/>
              <w:bottom w:val="single" w:sz="4" w:space="0" w:color="auto"/>
              <w:right w:val="single" w:sz="4" w:space="0" w:color="auto"/>
            </w:tcBorders>
            <w:hideMark/>
          </w:tcPr>
          <w:p w14:paraId="3B99C4AE"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13.8</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51B22DA"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30.6</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14BE4A"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13.8</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FD50675"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69.4</w:t>
            </w:r>
          </w:p>
        </w:tc>
      </w:tr>
      <w:tr w:rsidR="00E51CDD" w14:paraId="5F227C1F" w14:textId="77777777" w:rsidTr="009938D9">
        <w:trPr>
          <w:trHeight w:val="272"/>
        </w:trPr>
        <w:tc>
          <w:tcPr>
            <w:tcW w:w="94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4FAB62B" w14:textId="77777777" w:rsidR="00E51CDD" w:rsidRDefault="00E51CDD" w:rsidP="009938D9">
            <w:pPr>
              <w:keepNext/>
              <w:rPr>
                <w:sz w:val="20"/>
                <w:szCs w:val="20"/>
              </w:rPr>
            </w:pPr>
            <w:r>
              <w:rPr>
                <w:sz w:val="20"/>
                <w:szCs w:val="20"/>
              </w:rPr>
              <w:t>80</w:t>
            </w:r>
          </w:p>
        </w:tc>
        <w:tc>
          <w:tcPr>
            <w:tcW w:w="817"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12B5FCB" w14:textId="77777777" w:rsidR="00E51CDD" w:rsidRDefault="00E51CDD" w:rsidP="009938D9">
            <w:pPr>
              <w:keepNext/>
              <w:rPr>
                <w:sz w:val="20"/>
                <w:szCs w:val="20"/>
              </w:rPr>
            </w:pPr>
            <w:r>
              <w:rPr>
                <w:sz w:val="20"/>
                <w:szCs w:val="20"/>
              </w:rPr>
              <w:t>506</w:t>
            </w:r>
          </w:p>
        </w:tc>
        <w:tc>
          <w:tcPr>
            <w:tcW w:w="369" w:type="pct"/>
            <w:tcBorders>
              <w:top w:val="single" w:sz="4" w:space="0" w:color="auto"/>
              <w:left w:val="single" w:sz="4" w:space="0" w:color="auto"/>
              <w:bottom w:val="single" w:sz="4" w:space="0" w:color="auto"/>
              <w:right w:val="single" w:sz="4" w:space="0" w:color="auto"/>
            </w:tcBorders>
            <w:hideMark/>
          </w:tcPr>
          <w:p w14:paraId="5806D639"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445" w:type="pct"/>
            <w:tcBorders>
              <w:top w:val="single" w:sz="4" w:space="0" w:color="auto"/>
              <w:left w:val="single" w:sz="4" w:space="0" w:color="auto"/>
              <w:bottom w:val="single" w:sz="4" w:space="0" w:color="auto"/>
              <w:right w:val="single" w:sz="4" w:space="0" w:color="auto"/>
            </w:tcBorders>
            <w:hideMark/>
          </w:tcPr>
          <w:p w14:paraId="19551CA1"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0.0</w:t>
            </w:r>
          </w:p>
        </w:tc>
        <w:tc>
          <w:tcPr>
            <w:tcW w:w="371" w:type="pct"/>
            <w:tcBorders>
              <w:top w:val="single" w:sz="4" w:space="0" w:color="auto"/>
              <w:left w:val="single" w:sz="4" w:space="0" w:color="auto"/>
              <w:bottom w:val="single" w:sz="4" w:space="0" w:color="auto"/>
              <w:right w:val="single" w:sz="4" w:space="0" w:color="auto"/>
            </w:tcBorders>
            <w:hideMark/>
          </w:tcPr>
          <w:p w14:paraId="713810BF"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41.7</w:t>
            </w:r>
          </w:p>
        </w:tc>
        <w:tc>
          <w:tcPr>
            <w:tcW w:w="445" w:type="pct"/>
            <w:tcBorders>
              <w:top w:val="single" w:sz="4" w:space="0" w:color="auto"/>
              <w:left w:val="single" w:sz="4" w:space="0" w:color="auto"/>
              <w:bottom w:val="single" w:sz="4" w:space="0" w:color="auto"/>
              <w:right w:val="single" w:sz="4" w:space="0" w:color="auto"/>
            </w:tcBorders>
            <w:hideMark/>
          </w:tcPr>
          <w:p w14:paraId="0EE75B70"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29.6</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5CAB8877"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41.7</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B9F2096"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27.6</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2B1EEC9"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58.3</w:t>
            </w:r>
          </w:p>
        </w:tc>
      </w:tr>
      <w:tr w:rsidR="00E51CDD" w14:paraId="34893A42" w14:textId="77777777" w:rsidTr="009938D9">
        <w:trPr>
          <w:trHeight w:val="322"/>
        </w:trPr>
        <w:tc>
          <w:tcPr>
            <w:tcW w:w="5000" w:type="pct"/>
            <w:gridSpan w:val="9"/>
            <w:tcBorders>
              <w:top w:val="single" w:sz="4" w:space="0" w:color="auto"/>
              <w:left w:val="single" w:sz="4" w:space="0" w:color="auto"/>
              <w:bottom w:val="single" w:sz="4" w:space="0" w:color="auto"/>
              <w:right w:val="single" w:sz="4" w:space="0" w:color="auto"/>
            </w:tcBorders>
            <w:hideMark/>
          </w:tcPr>
          <w:p w14:paraId="490088B4" w14:textId="77777777" w:rsidR="00E51CDD" w:rsidRDefault="00E51CDD" w:rsidP="009938D9">
            <w:pPr>
              <w:keepNext/>
              <w:overflowPunct w:val="0"/>
              <w:autoSpaceDE w:val="0"/>
              <w:autoSpaceDN w:val="0"/>
              <w:adjustRightInd w:val="0"/>
              <w:spacing w:before="40" w:after="40"/>
              <w:textAlignment w:val="baseline"/>
              <w:rPr>
                <w:b/>
                <w:bCs/>
                <w:sz w:val="20"/>
                <w:szCs w:val="20"/>
              </w:rPr>
            </w:pPr>
            <w:r>
              <w:rPr>
                <w:b/>
                <w:bCs/>
                <w:sz w:val="20"/>
                <w:szCs w:val="20"/>
              </w:rPr>
              <w:t>Endpoints [D8]</w:t>
            </w:r>
          </w:p>
        </w:tc>
      </w:tr>
      <w:tr w:rsidR="00E51CDD" w14:paraId="7DE2691D" w14:textId="77777777" w:rsidTr="009938D9">
        <w:trPr>
          <w:trHeight w:val="322"/>
        </w:trPr>
        <w:tc>
          <w:tcPr>
            <w:tcW w:w="1761"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F8CB9CA" w14:textId="77777777" w:rsidR="00E51CDD" w:rsidRPr="0006388A" w:rsidRDefault="00E51CDD" w:rsidP="009938D9">
            <w:pPr>
              <w:keepNext/>
              <w:overflowPunct w:val="0"/>
              <w:autoSpaceDE w:val="0"/>
              <w:autoSpaceDN w:val="0"/>
              <w:adjustRightInd w:val="0"/>
              <w:spacing w:before="40" w:after="40"/>
              <w:textAlignment w:val="baseline"/>
              <w:rPr>
                <w:sz w:val="20"/>
                <w:szCs w:val="20"/>
                <w:vertAlign w:val="superscript"/>
              </w:rPr>
            </w:pPr>
            <w:r w:rsidRPr="0006388A">
              <w:rPr>
                <w:sz w:val="20"/>
                <w:szCs w:val="20"/>
              </w:rPr>
              <w:t>LD</w:t>
            </w:r>
            <w:r w:rsidRPr="0006388A">
              <w:rPr>
                <w:sz w:val="20"/>
                <w:szCs w:val="20"/>
                <w:vertAlign w:val="subscript"/>
              </w:rPr>
              <w:t>50</w:t>
            </w:r>
            <w:r w:rsidRPr="0006388A">
              <w:rPr>
                <w:sz w:val="20"/>
                <w:szCs w:val="20"/>
              </w:rPr>
              <w:t xml:space="preserve"> [µg a.s./larva] </w:t>
            </w:r>
            <w:r w:rsidRPr="0006388A">
              <w:rPr>
                <w:sz w:val="20"/>
                <w:szCs w:val="20"/>
                <w:vertAlign w:val="superscript"/>
              </w:rPr>
              <w:t>2)</w:t>
            </w:r>
          </w:p>
        </w:tc>
        <w:tc>
          <w:tcPr>
            <w:tcW w:w="3239" w:type="pct"/>
            <w:gridSpan w:val="7"/>
            <w:tcBorders>
              <w:top w:val="single" w:sz="4" w:space="0" w:color="auto"/>
              <w:left w:val="single" w:sz="4" w:space="0" w:color="auto"/>
              <w:bottom w:val="single" w:sz="4" w:space="0" w:color="auto"/>
              <w:right w:val="single" w:sz="4" w:space="0" w:color="auto"/>
            </w:tcBorders>
            <w:hideMark/>
          </w:tcPr>
          <w:p w14:paraId="24C03C9F"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&gt;80</w:t>
            </w:r>
          </w:p>
        </w:tc>
      </w:tr>
      <w:tr w:rsidR="00E51CDD" w14:paraId="56F8BED1" w14:textId="77777777" w:rsidTr="009938D9">
        <w:trPr>
          <w:trHeight w:val="322"/>
        </w:trPr>
        <w:tc>
          <w:tcPr>
            <w:tcW w:w="1761"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1E77711" w14:textId="77777777" w:rsidR="00E51CDD" w:rsidRPr="0006388A" w:rsidRDefault="00E51CDD" w:rsidP="009938D9">
            <w:pPr>
              <w:keepNext/>
              <w:overflowPunct w:val="0"/>
              <w:autoSpaceDE w:val="0"/>
              <w:autoSpaceDN w:val="0"/>
              <w:adjustRightInd w:val="0"/>
              <w:spacing w:before="40" w:after="40"/>
              <w:textAlignment w:val="baseline"/>
              <w:rPr>
                <w:sz w:val="20"/>
                <w:szCs w:val="20"/>
                <w:vertAlign w:val="superscript"/>
              </w:rPr>
            </w:pPr>
            <w:r w:rsidRPr="0006388A">
              <w:rPr>
                <w:sz w:val="20"/>
                <w:szCs w:val="20"/>
              </w:rPr>
              <w:t>NOED</w:t>
            </w:r>
            <w:r w:rsidRPr="0006388A">
              <w:rPr>
                <w:sz w:val="20"/>
                <w:szCs w:val="20"/>
                <w:vertAlign w:val="subscript"/>
              </w:rPr>
              <w:t>mortality</w:t>
            </w:r>
            <w:r w:rsidRPr="0006388A">
              <w:rPr>
                <w:sz w:val="20"/>
                <w:szCs w:val="20"/>
              </w:rPr>
              <w:t xml:space="preserve"> [µg a.s./larva] </w:t>
            </w:r>
            <w:r w:rsidRPr="0006388A">
              <w:rPr>
                <w:sz w:val="20"/>
                <w:szCs w:val="20"/>
                <w:vertAlign w:val="superscript"/>
              </w:rPr>
              <w:t>3)</w:t>
            </w:r>
          </w:p>
        </w:tc>
        <w:tc>
          <w:tcPr>
            <w:tcW w:w="3239" w:type="pct"/>
            <w:gridSpan w:val="7"/>
            <w:tcBorders>
              <w:top w:val="single" w:sz="4" w:space="0" w:color="auto"/>
              <w:left w:val="single" w:sz="4" w:space="0" w:color="auto"/>
              <w:bottom w:val="single" w:sz="4" w:space="0" w:color="auto"/>
              <w:right w:val="single" w:sz="4" w:space="0" w:color="auto"/>
            </w:tcBorders>
            <w:hideMark/>
          </w:tcPr>
          <w:p w14:paraId="57CFB8FE"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≥80</w:t>
            </w:r>
          </w:p>
        </w:tc>
      </w:tr>
      <w:tr w:rsidR="00E51CDD" w14:paraId="2978E53F" w14:textId="77777777" w:rsidTr="009938D9">
        <w:trPr>
          <w:trHeight w:val="322"/>
        </w:trPr>
        <w:tc>
          <w:tcPr>
            <w:tcW w:w="1761"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FBD29E6" w14:textId="77777777" w:rsidR="00E51CDD" w:rsidRPr="0006388A" w:rsidRDefault="00E51CDD" w:rsidP="009938D9">
            <w:pPr>
              <w:keepNext/>
              <w:overflowPunct w:val="0"/>
              <w:autoSpaceDE w:val="0"/>
              <w:autoSpaceDN w:val="0"/>
              <w:adjustRightInd w:val="0"/>
              <w:spacing w:before="40" w:after="40"/>
              <w:textAlignment w:val="baseline"/>
              <w:rPr>
                <w:sz w:val="20"/>
                <w:szCs w:val="20"/>
                <w:vertAlign w:val="superscript"/>
              </w:rPr>
            </w:pPr>
            <w:r w:rsidRPr="0006388A">
              <w:rPr>
                <w:sz w:val="20"/>
                <w:szCs w:val="20"/>
              </w:rPr>
              <w:t>LC</w:t>
            </w:r>
            <w:r w:rsidRPr="0006388A">
              <w:rPr>
                <w:sz w:val="20"/>
                <w:szCs w:val="20"/>
                <w:vertAlign w:val="subscript"/>
              </w:rPr>
              <w:t>50</w:t>
            </w:r>
            <w:r w:rsidRPr="0006388A">
              <w:rPr>
                <w:sz w:val="20"/>
                <w:szCs w:val="20"/>
              </w:rPr>
              <w:t xml:space="preserve"> [mg a.s./kg food] </w:t>
            </w:r>
            <w:r w:rsidRPr="0006388A">
              <w:rPr>
                <w:sz w:val="20"/>
                <w:szCs w:val="20"/>
                <w:vertAlign w:val="superscript"/>
              </w:rPr>
              <w:t>2)</w:t>
            </w:r>
          </w:p>
        </w:tc>
        <w:tc>
          <w:tcPr>
            <w:tcW w:w="3239" w:type="pct"/>
            <w:gridSpan w:val="7"/>
            <w:tcBorders>
              <w:top w:val="single" w:sz="4" w:space="0" w:color="auto"/>
              <w:left w:val="single" w:sz="4" w:space="0" w:color="auto"/>
              <w:bottom w:val="single" w:sz="4" w:space="0" w:color="auto"/>
              <w:right w:val="single" w:sz="4" w:space="0" w:color="auto"/>
            </w:tcBorders>
            <w:hideMark/>
          </w:tcPr>
          <w:p w14:paraId="36FD2B74"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&gt;506</w:t>
            </w:r>
          </w:p>
        </w:tc>
      </w:tr>
      <w:tr w:rsidR="00E51CDD" w14:paraId="15558649" w14:textId="77777777" w:rsidTr="009938D9">
        <w:trPr>
          <w:trHeight w:val="322"/>
        </w:trPr>
        <w:tc>
          <w:tcPr>
            <w:tcW w:w="1761"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DFF6F24" w14:textId="77777777" w:rsidR="00E51CDD" w:rsidRPr="0006388A" w:rsidRDefault="00E51CDD" w:rsidP="009938D9">
            <w:pPr>
              <w:keepNext/>
              <w:overflowPunct w:val="0"/>
              <w:autoSpaceDE w:val="0"/>
              <w:autoSpaceDN w:val="0"/>
              <w:adjustRightInd w:val="0"/>
              <w:spacing w:before="40" w:after="40"/>
              <w:textAlignment w:val="baseline"/>
              <w:rPr>
                <w:sz w:val="20"/>
                <w:szCs w:val="20"/>
                <w:vertAlign w:val="superscript"/>
              </w:rPr>
            </w:pPr>
            <w:r w:rsidRPr="0006388A">
              <w:rPr>
                <w:sz w:val="20"/>
                <w:szCs w:val="20"/>
              </w:rPr>
              <w:t>NOEC</w:t>
            </w:r>
            <w:r w:rsidRPr="0006388A">
              <w:rPr>
                <w:sz w:val="20"/>
                <w:szCs w:val="20"/>
                <w:vertAlign w:val="subscript"/>
              </w:rPr>
              <w:t>mortality</w:t>
            </w:r>
            <w:r w:rsidRPr="0006388A">
              <w:rPr>
                <w:sz w:val="20"/>
                <w:szCs w:val="20"/>
              </w:rPr>
              <w:t xml:space="preserve"> [mg a.s./kg food] </w:t>
            </w:r>
            <w:r w:rsidRPr="0006388A">
              <w:rPr>
                <w:sz w:val="20"/>
                <w:szCs w:val="20"/>
                <w:vertAlign w:val="superscript"/>
              </w:rPr>
              <w:t>3)</w:t>
            </w:r>
          </w:p>
        </w:tc>
        <w:tc>
          <w:tcPr>
            <w:tcW w:w="3239" w:type="pct"/>
            <w:gridSpan w:val="7"/>
            <w:tcBorders>
              <w:top w:val="single" w:sz="4" w:space="0" w:color="auto"/>
              <w:left w:val="single" w:sz="4" w:space="0" w:color="auto"/>
              <w:bottom w:val="single" w:sz="4" w:space="0" w:color="auto"/>
              <w:right w:val="single" w:sz="4" w:space="0" w:color="auto"/>
            </w:tcBorders>
            <w:hideMark/>
          </w:tcPr>
          <w:p w14:paraId="6B5775F7"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≥506</w:t>
            </w:r>
          </w:p>
        </w:tc>
      </w:tr>
      <w:tr w:rsidR="00E51CDD" w14:paraId="5365B16E" w14:textId="77777777" w:rsidTr="009938D9">
        <w:trPr>
          <w:trHeight w:val="322"/>
        </w:trPr>
        <w:tc>
          <w:tcPr>
            <w:tcW w:w="5000" w:type="pct"/>
            <w:gridSpan w:val="9"/>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D0D543F" w14:textId="77777777" w:rsidR="00E51CDD" w:rsidRDefault="00E51CDD" w:rsidP="009938D9">
            <w:pPr>
              <w:keepNext/>
              <w:overflowPunct w:val="0"/>
              <w:autoSpaceDE w:val="0"/>
              <w:autoSpaceDN w:val="0"/>
              <w:adjustRightInd w:val="0"/>
              <w:spacing w:before="40" w:after="40"/>
              <w:textAlignment w:val="baseline"/>
              <w:rPr>
                <w:sz w:val="20"/>
                <w:szCs w:val="20"/>
              </w:rPr>
            </w:pPr>
            <w:r>
              <w:rPr>
                <w:b/>
                <w:bCs/>
                <w:sz w:val="20"/>
                <w:szCs w:val="20"/>
              </w:rPr>
              <w:t>Endpoints [D22]</w:t>
            </w:r>
          </w:p>
        </w:tc>
      </w:tr>
      <w:tr w:rsidR="00E51CDD" w14:paraId="126B161B" w14:textId="77777777" w:rsidTr="009938D9">
        <w:trPr>
          <w:trHeight w:val="322"/>
        </w:trPr>
        <w:tc>
          <w:tcPr>
            <w:tcW w:w="1761"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F5499CE" w14:textId="77777777" w:rsidR="00E51CDD" w:rsidRPr="0006388A" w:rsidRDefault="00E51CDD" w:rsidP="009938D9">
            <w:pPr>
              <w:keepNext/>
              <w:overflowPunct w:val="0"/>
              <w:autoSpaceDE w:val="0"/>
              <w:autoSpaceDN w:val="0"/>
              <w:adjustRightInd w:val="0"/>
              <w:spacing w:before="40" w:after="40"/>
              <w:textAlignment w:val="baseline"/>
              <w:rPr>
                <w:sz w:val="20"/>
                <w:szCs w:val="20"/>
                <w:vertAlign w:val="superscript"/>
              </w:rPr>
            </w:pPr>
            <w:r w:rsidRPr="0006388A">
              <w:rPr>
                <w:sz w:val="20"/>
                <w:szCs w:val="20"/>
              </w:rPr>
              <w:t>ED</w:t>
            </w:r>
            <w:r w:rsidRPr="0006388A">
              <w:rPr>
                <w:sz w:val="20"/>
                <w:szCs w:val="20"/>
                <w:vertAlign w:val="subscript"/>
              </w:rPr>
              <w:t>50</w:t>
            </w:r>
            <w:r w:rsidRPr="0006388A">
              <w:rPr>
                <w:sz w:val="20"/>
                <w:szCs w:val="20"/>
              </w:rPr>
              <w:t xml:space="preserve"> [µg a.s./larva] </w:t>
            </w:r>
            <w:r w:rsidRPr="0006388A">
              <w:rPr>
                <w:sz w:val="20"/>
                <w:szCs w:val="20"/>
                <w:vertAlign w:val="superscript"/>
              </w:rPr>
              <w:t>2)</w:t>
            </w:r>
          </w:p>
        </w:tc>
        <w:tc>
          <w:tcPr>
            <w:tcW w:w="3239" w:type="pct"/>
            <w:gridSpan w:val="7"/>
            <w:tcBorders>
              <w:top w:val="single" w:sz="4" w:space="0" w:color="auto"/>
              <w:left w:val="single" w:sz="4" w:space="0" w:color="auto"/>
              <w:bottom w:val="single" w:sz="4" w:space="0" w:color="auto"/>
              <w:right w:val="single" w:sz="4" w:space="0" w:color="auto"/>
            </w:tcBorders>
            <w:hideMark/>
          </w:tcPr>
          <w:p w14:paraId="6B9D73A9"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&gt;80</w:t>
            </w:r>
          </w:p>
        </w:tc>
      </w:tr>
      <w:tr w:rsidR="00E51CDD" w14:paraId="1F8AE651" w14:textId="77777777" w:rsidTr="009938D9">
        <w:trPr>
          <w:trHeight w:val="322"/>
        </w:trPr>
        <w:tc>
          <w:tcPr>
            <w:tcW w:w="1761"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13BB917" w14:textId="77777777" w:rsidR="00E51CDD" w:rsidRPr="002262EA" w:rsidRDefault="00E51CDD" w:rsidP="009938D9">
            <w:pPr>
              <w:keepNext/>
              <w:overflowPunct w:val="0"/>
              <w:autoSpaceDE w:val="0"/>
              <w:autoSpaceDN w:val="0"/>
              <w:adjustRightInd w:val="0"/>
              <w:spacing w:before="40" w:after="40"/>
              <w:textAlignment w:val="baseline"/>
              <w:rPr>
                <w:sz w:val="20"/>
                <w:szCs w:val="20"/>
                <w:vertAlign w:val="superscript"/>
                <w:lang w:val="fr-BE"/>
              </w:rPr>
            </w:pPr>
            <w:r w:rsidRPr="002262EA">
              <w:rPr>
                <w:sz w:val="20"/>
                <w:szCs w:val="20"/>
                <w:lang w:val="fr-BE"/>
              </w:rPr>
              <w:t>NOED</w:t>
            </w:r>
            <w:r w:rsidRPr="002262EA">
              <w:rPr>
                <w:sz w:val="20"/>
                <w:szCs w:val="20"/>
                <w:vertAlign w:val="subscript"/>
                <w:lang w:val="fr-BE"/>
              </w:rPr>
              <w:t>emergence</w:t>
            </w:r>
            <w:r w:rsidRPr="002262EA">
              <w:rPr>
                <w:sz w:val="20"/>
                <w:szCs w:val="20"/>
                <w:lang w:val="fr-BE"/>
              </w:rPr>
              <w:t xml:space="preserve"> [µg a.s./larva] </w:t>
            </w:r>
            <w:r w:rsidRPr="002262EA">
              <w:rPr>
                <w:sz w:val="20"/>
                <w:szCs w:val="20"/>
                <w:vertAlign w:val="superscript"/>
                <w:lang w:val="fr-BE"/>
              </w:rPr>
              <w:t>3)</w:t>
            </w:r>
          </w:p>
        </w:tc>
        <w:tc>
          <w:tcPr>
            <w:tcW w:w="3239" w:type="pct"/>
            <w:gridSpan w:val="7"/>
            <w:tcBorders>
              <w:top w:val="single" w:sz="4" w:space="0" w:color="auto"/>
              <w:left w:val="single" w:sz="4" w:space="0" w:color="auto"/>
              <w:bottom w:val="single" w:sz="4" w:space="0" w:color="auto"/>
              <w:right w:val="single" w:sz="4" w:space="0" w:color="auto"/>
            </w:tcBorders>
            <w:hideMark/>
          </w:tcPr>
          <w:p w14:paraId="5B38726F"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≥80</w:t>
            </w:r>
          </w:p>
        </w:tc>
      </w:tr>
      <w:tr w:rsidR="00E51CDD" w14:paraId="2AEB2AD4" w14:textId="77777777" w:rsidTr="009938D9">
        <w:trPr>
          <w:trHeight w:val="322"/>
        </w:trPr>
        <w:tc>
          <w:tcPr>
            <w:tcW w:w="1761"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EB26AAC" w14:textId="77777777" w:rsidR="00E51CDD" w:rsidRPr="0006388A" w:rsidRDefault="00E51CDD" w:rsidP="009938D9">
            <w:pPr>
              <w:keepNext/>
              <w:overflowPunct w:val="0"/>
              <w:autoSpaceDE w:val="0"/>
              <w:autoSpaceDN w:val="0"/>
              <w:adjustRightInd w:val="0"/>
              <w:spacing w:before="40" w:after="40"/>
              <w:textAlignment w:val="baseline"/>
              <w:rPr>
                <w:sz w:val="20"/>
                <w:szCs w:val="20"/>
                <w:vertAlign w:val="superscript"/>
              </w:rPr>
            </w:pPr>
            <w:r w:rsidRPr="0006388A">
              <w:rPr>
                <w:sz w:val="20"/>
                <w:szCs w:val="20"/>
              </w:rPr>
              <w:t>EC</w:t>
            </w:r>
            <w:r w:rsidRPr="0006388A">
              <w:rPr>
                <w:sz w:val="20"/>
                <w:szCs w:val="20"/>
                <w:vertAlign w:val="subscript"/>
              </w:rPr>
              <w:t>50</w:t>
            </w:r>
            <w:r w:rsidRPr="0006388A">
              <w:rPr>
                <w:sz w:val="20"/>
                <w:szCs w:val="20"/>
              </w:rPr>
              <w:t xml:space="preserve"> [mg a.s./kg food] </w:t>
            </w:r>
            <w:r w:rsidRPr="0006388A">
              <w:rPr>
                <w:sz w:val="20"/>
                <w:szCs w:val="20"/>
                <w:vertAlign w:val="superscript"/>
              </w:rPr>
              <w:t>2)</w:t>
            </w:r>
          </w:p>
        </w:tc>
        <w:tc>
          <w:tcPr>
            <w:tcW w:w="3239" w:type="pct"/>
            <w:gridSpan w:val="7"/>
            <w:tcBorders>
              <w:top w:val="single" w:sz="4" w:space="0" w:color="auto"/>
              <w:left w:val="single" w:sz="4" w:space="0" w:color="auto"/>
              <w:bottom w:val="single" w:sz="4" w:space="0" w:color="auto"/>
              <w:right w:val="single" w:sz="4" w:space="0" w:color="auto"/>
            </w:tcBorders>
            <w:hideMark/>
          </w:tcPr>
          <w:p w14:paraId="0DB319A3"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&gt;506</w:t>
            </w:r>
          </w:p>
        </w:tc>
      </w:tr>
      <w:tr w:rsidR="00E51CDD" w14:paraId="1D6122A9" w14:textId="77777777" w:rsidTr="009938D9">
        <w:trPr>
          <w:trHeight w:val="322"/>
        </w:trPr>
        <w:tc>
          <w:tcPr>
            <w:tcW w:w="1761"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AD6CBBA" w14:textId="77777777" w:rsidR="00E51CDD" w:rsidRPr="0006388A" w:rsidRDefault="00E51CDD" w:rsidP="009938D9">
            <w:pPr>
              <w:keepNext/>
              <w:overflowPunct w:val="0"/>
              <w:autoSpaceDE w:val="0"/>
              <w:autoSpaceDN w:val="0"/>
              <w:adjustRightInd w:val="0"/>
              <w:spacing w:before="40" w:after="40"/>
              <w:textAlignment w:val="baseline"/>
              <w:rPr>
                <w:sz w:val="20"/>
                <w:szCs w:val="20"/>
                <w:vertAlign w:val="superscript"/>
              </w:rPr>
            </w:pPr>
            <w:r w:rsidRPr="0006388A">
              <w:rPr>
                <w:sz w:val="20"/>
                <w:szCs w:val="20"/>
              </w:rPr>
              <w:t>NOEC</w:t>
            </w:r>
            <w:r w:rsidRPr="0006388A">
              <w:rPr>
                <w:sz w:val="20"/>
                <w:szCs w:val="20"/>
                <w:vertAlign w:val="subscript"/>
              </w:rPr>
              <w:t>emergence</w:t>
            </w:r>
            <w:r w:rsidRPr="0006388A">
              <w:rPr>
                <w:sz w:val="20"/>
                <w:szCs w:val="20"/>
              </w:rPr>
              <w:t xml:space="preserve"> [mg a.s./kg food] </w:t>
            </w:r>
            <w:r w:rsidRPr="0006388A">
              <w:rPr>
                <w:sz w:val="20"/>
                <w:szCs w:val="20"/>
                <w:vertAlign w:val="superscript"/>
              </w:rPr>
              <w:t>3)</w:t>
            </w:r>
          </w:p>
        </w:tc>
        <w:tc>
          <w:tcPr>
            <w:tcW w:w="3239" w:type="pct"/>
            <w:gridSpan w:val="7"/>
            <w:tcBorders>
              <w:top w:val="single" w:sz="4" w:space="0" w:color="auto"/>
              <w:left w:val="single" w:sz="4" w:space="0" w:color="auto"/>
              <w:bottom w:val="single" w:sz="4" w:space="0" w:color="auto"/>
              <w:right w:val="single" w:sz="4" w:space="0" w:color="auto"/>
            </w:tcBorders>
            <w:hideMark/>
          </w:tcPr>
          <w:p w14:paraId="3D5267B3" w14:textId="77777777" w:rsidR="00E51CDD" w:rsidRDefault="00E51CDD" w:rsidP="009938D9">
            <w:pPr>
              <w:keepNext/>
              <w:overflowPunct w:val="0"/>
              <w:autoSpaceDE w:val="0"/>
              <w:autoSpaceDN w:val="0"/>
              <w:adjustRightInd w:val="0"/>
              <w:spacing w:before="40" w:after="40"/>
              <w:jc w:val="center"/>
              <w:textAlignment w:val="baseline"/>
              <w:rPr>
                <w:sz w:val="20"/>
                <w:szCs w:val="20"/>
              </w:rPr>
            </w:pPr>
            <w:r>
              <w:rPr>
                <w:sz w:val="20"/>
                <w:szCs w:val="20"/>
              </w:rPr>
              <w:t>≥506</w:t>
            </w:r>
          </w:p>
        </w:tc>
      </w:tr>
    </w:tbl>
    <w:p w14:paraId="327B5EB3" w14:textId="77777777" w:rsidR="00E51CDD" w:rsidRDefault="00E51CDD" w:rsidP="00E51CDD">
      <w:pPr>
        <w:widowControl w:val="0"/>
        <w:tabs>
          <w:tab w:val="left" w:pos="720"/>
        </w:tabs>
        <w:ind w:left="284" w:hanging="284"/>
        <w:rPr>
          <w:sz w:val="18"/>
          <w:szCs w:val="18"/>
        </w:rPr>
      </w:pPr>
      <w:r w:rsidRPr="0006388A">
        <w:rPr>
          <w:sz w:val="18"/>
          <w:szCs w:val="18"/>
        </w:rPr>
        <w:t>Negative values are set to 0; abs.: absolute; corr.: corrected</w:t>
      </w:r>
    </w:p>
    <w:p w14:paraId="41ECC06F" w14:textId="77777777" w:rsidR="00E51CDD" w:rsidRPr="0006388A" w:rsidRDefault="00E51CDD" w:rsidP="00E51CDD">
      <w:pPr>
        <w:widowControl w:val="0"/>
        <w:tabs>
          <w:tab w:val="left" w:pos="720"/>
        </w:tabs>
        <w:ind w:left="284" w:hanging="284"/>
        <w:rPr>
          <w:sz w:val="18"/>
          <w:szCs w:val="18"/>
        </w:rPr>
      </w:pPr>
      <w:r w:rsidRPr="0006388A">
        <w:rPr>
          <w:sz w:val="18"/>
          <w:szCs w:val="18"/>
          <w:vertAlign w:val="superscript"/>
        </w:rPr>
        <w:t>1)</w:t>
      </w:r>
      <w:r w:rsidRPr="0006388A">
        <w:rPr>
          <w:sz w:val="18"/>
          <w:szCs w:val="18"/>
          <w:vertAlign w:val="superscript"/>
        </w:rPr>
        <w:tab/>
      </w:r>
      <w:r w:rsidRPr="0006388A">
        <w:rPr>
          <w:sz w:val="18"/>
          <w:szCs w:val="18"/>
        </w:rPr>
        <w:t>Corrected mortality according to Schneider-Orelli (1947).</w:t>
      </w:r>
    </w:p>
    <w:p w14:paraId="329F4023" w14:textId="77777777" w:rsidR="00E51CDD" w:rsidRPr="0006388A" w:rsidRDefault="00E51CDD" w:rsidP="00E51CDD">
      <w:pPr>
        <w:widowControl w:val="0"/>
        <w:tabs>
          <w:tab w:val="left" w:pos="720"/>
        </w:tabs>
        <w:ind w:left="284" w:hanging="284"/>
        <w:rPr>
          <w:sz w:val="18"/>
          <w:szCs w:val="18"/>
        </w:rPr>
      </w:pPr>
      <w:r w:rsidRPr="0006388A">
        <w:rPr>
          <w:sz w:val="18"/>
          <w:szCs w:val="18"/>
          <w:vertAlign w:val="superscript"/>
        </w:rPr>
        <w:t>2)</w:t>
      </w:r>
      <w:r w:rsidRPr="0006388A">
        <w:rPr>
          <w:sz w:val="18"/>
          <w:szCs w:val="18"/>
        </w:rPr>
        <w:tab/>
        <w:t>Estimated.</w:t>
      </w:r>
    </w:p>
    <w:p w14:paraId="226C4214" w14:textId="77777777" w:rsidR="00E51CDD" w:rsidRPr="0006388A" w:rsidRDefault="00E51CDD" w:rsidP="00E51CDD">
      <w:pPr>
        <w:widowControl w:val="0"/>
        <w:tabs>
          <w:tab w:val="left" w:pos="720"/>
        </w:tabs>
        <w:ind w:left="284" w:hanging="284"/>
        <w:rPr>
          <w:sz w:val="18"/>
          <w:szCs w:val="18"/>
        </w:rPr>
      </w:pPr>
      <w:r w:rsidRPr="0006388A">
        <w:rPr>
          <w:sz w:val="18"/>
          <w:szCs w:val="18"/>
          <w:vertAlign w:val="superscript"/>
        </w:rPr>
        <w:t>3)</w:t>
      </w:r>
      <w:r w:rsidRPr="0006388A">
        <w:rPr>
          <w:sz w:val="18"/>
          <w:szCs w:val="18"/>
        </w:rPr>
        <w:tab/>
        <w:t xml:space="preserve">Chi² Table Test with Bonferroni Correction, one-sided greater, </w:t>
      </w:r>
      <w:r>
        <w:rPr>
          <w:sz w:val="18"/>
          <w:szCs w:val="18"/>
        </w:rPr>
        <w:t>α</w:t>
      </w:r>
      <w:r w:rsidRPr="0006388A">
        <w:rPr>
          <w:sz w:val="18"/>
          <w:szCs w:val="18"/>
        </w:rPr>
        <w:t> = 0.05.</w:t>
      </w:r>
    </w:p>
    <w:p w14:paraId="2E2FB80F" w14:textId="77777777" w:rsidR="00E51CDD" w:rsidRPr="0006388A" w:rsidRDefault="00E51CDD" w:rsidP="00E51CDD">
      <w:pPr>
        <w:rPr>
          <w:bCs/>
        </w:rPr>
      </w:pPr>
    </w:p>
    <w:p w14:paraId="77B4D32A" w14:textId="77777777" w:rsidR="00E51CDD" w:rsidRPr="0006388A" w:rsidRDefault="00E51CDD" w:rsidP="00E51CDD">
      <w:pPr>
        <w:rPr>
          <w:bCs/>
        </w:rPr>
      </w:pPr>
      <w:r>
        <w:rPr>
          <w:bCs/>
        </w:rPr>
        <w:br w:type="page"/>
      </w:r>
    </w:p>
    <w:p w14:paraId="6F15E98B" w14:textId="77777777" w:rsidR="00E51CDD" w:rsidRDefault="00E51CDD" w:rsidP="00E51CDD">
      <w:pPr>
        <w:jc w:val="both"/>
        <w:rPr>
          <w:u w:val="single"/>
        </w:rPr>
      </w:pPr>
      <w:bookmarkStart w:id="1212" w:name="_Hlk31206265"/>
      <w:r>
        <w:rPr>
          <w:u w:val="single"/>
        </w:rPr>
        <w:lastRenderedPageBreak/>
        <w:t>Validity criteria:</w:t>
      </w:r>
    </w:p>
    <w:p w14:paraId="36AD59EE" w14:textId="77777777" w:rsidR="00E51CDD" w:rsidRDefault="00E51CDD" w:rsidP="00E51CDD">
      <w:pPr>
        <w:autoSpaceDE w:val="0"/>
        <w:autoSpaceDN w:val="0"/>
        <w:adjustRightInd w:val="0"/>
        <w:rPr>
          <w:rFonts w:ascii="Arial" w:eastAsia="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24"/>
        <w:gridCol w:w="3043"/>
      </w:tblGrid>
      <w:tr w:rsidR="00E51CDD" w14:paraId="190F0804" w14:textId="77777777" w:rsidTr="009938D9">
        <w:trPr>
          <w:trHeight w:val="240"/>
        </w:trPr>
        <w:tc>
          <w:tcPr>
            <w:tcW w:w="6024" w:type="dxa"/>
            <w:tcBorders>
              <w:top w:val="single" w:sz="4" w:space="0" w:color="auto"/>
              <w:left w:val="single" w:sz="4" w:space="0" w:color="auto"/>
              <w:bottom w:val="single" w:sz="4" w:space="0" w:color="auto"/>
              <w:right w:val="single" w:sz="4" w:space="0" w:color="auto"/>
            </w:tcBorders>
            <w:noWrap/>
            <w:vAlign w:val="center"/>
            <w:hideMark/>
          </w:tcPr>
          <w:p w14:paraId="335FD09C" w14:textId="77777777" w:rsidR="00E51CDD" w:rsidRPr="0006388A" w:rsidRDefault="00E51CDD" w:rsidP="009938D9">
            <w:pPr>
              <w:widowControl w:val="0"/>
              <w:rPr>
                <w:b/>
                <w:bCs/>
                <w:sz w:val="20"/>
                <w:szCs w:val="20"/>
              </w:rPr>
            </w:pPr>
            <w:r w:rsidRPr="0006388A">
              <w:rPr>
                <w:b/>
                <w:sz w:val="20"/>
                <w:szCs w:val="20"/>
              </w:rPr>
              <w:t xml:space="preserve">Validity criteria according to OECD 239 </w:t>
            </w:r>
            <w:r w:rsidRPr="0006388A">
              <w:rPr>
                <w:b/>
                <w:bCs/>
                <w:sz w:val="20"/>
                <w:szCs w:val="20"/>
              </w:rPr>
              <w:t>(2016)</w:t>
            </w:r>
          </w:p>
        </w:tc>
        <w:tc>
          <w:tcPr>
            <w:tcW w:w="3043" w:type="dxa"/>
            <w:tcBorders>
              <w:top w:val="single" w:sz="4" w:space="0" w:color="auto"/>
              <w:left w:val="single" w:sz="4" w:space="0" w:color="auto"/>
              <w:bottom w:val="single" w:sz="4" w:space="0" w:color="auto"/>
              <w:right w:val="single" w:sz="4" w:space="0" w:color="auto"/>
            </w:tcBorders>
            <w:noWrap/>
            <w:vAlign w:val="center"/>
            <w:hideMark/>
          </w:tcPr>
          <w:p w14:paraId="7DD2BFA5" w14:textId="77777777" w:rsidR="00E51CDD" w:rsidRDefault="00E51CDD" w:rsidP="009938D9">
            <w:pPr>
              <w:widowControl w:val="0"/>
              <w:rPr>
                <w:b/>
                <w:bCs/>
                <w:sz w:val="20"/>
                <w:szCs w:val="20"/>
              </w:rPr>
            </w:pPr>
            <w:r>
              <w:rPr>
                <w:b/>
                <w:sz w:val="20"/>
                <w:szCs w:val="20"/>
              </w:rPr>
              <w:t>Obtained in this study</w:t>
            </w:r>
          </w:p>
        </w:tc>
      </w:tr>
      <w:tr w:rsidR="00E51CDD" w14:paraId="0FA40F0E" w14:textId="77777777" w:rsidTr="009938D9">
        <w:trPr>
          <w:trHeight w:val="244"/>
        </w:trPr>
        <w:tc>
          <w:tcPr>
            <w:tcW w:w="6024" w:type="dxa"/>
            <w:tcBorders>
              <w:top w:val="single" w:sz="4" w:space="0" w:color="auto"/>
              <w:left w:val="single" w:sz="4" w:space="0" w:color="auto"/>
              <w:bottom w:val="single" w:sz="4" w:space="0" w:color="auto"/>
              <w:right w:val="single" w:sz="4" w:space="0" w:color="auto"/>
            </w:tcBorders>
            <w:noWrap/>
            <w:vAlign w:val="center"/>
            <w:hideMark/>
          </w:tcPr>
          <w:p w14:paraId="70B34AA8" w14:textId="77777777" w:rsidR="00E51CDD" w:rsidRPr="0006388A" w:rsidRDefault="00E51CDD" w:rsidP="009938D9">
            <w:pPr>
              <w:widowControl w:val="0"/>
              <w:rPr>
                <w:sz w:val="20"/>
                <w:szCs w:val="20"/>
              </w:rPr>
            </w:pPr>
            <w:r w:rsidRPr="0006388A">
              <w:rPr>
                <w:sz w:val="20"/>
                <w:szCs w:val="20"/>
              </w:rPr>
              <w:t>Control mortality from D3 to D8 ≤ 15% across all replicates</w:t>
            </w:r>
          </w:p>
        </w:tc>
        <w:tc>
          <w:tcPr>
            <w:tcW w:w="3043" w:type="dxa"/>
            <w:tcBorders>
              <w:top w:val="single" w:sz="4" w:space="0" w:color="auto"/>
              <w:left w:val="single" w:sz="4" w:space="0" w:color="auto"/>
              <w:bottom w:val="single" w:sz="4" w:space="0" w:color="auto"/>
              <w:right w:val="single" w:sz="4" w:space="0" w:color="auto"/>
            </w:tcBorders>
            <w:noWrap/>
            <w:vAlign w:val="center"/>
            <w:hideMark/>
          </w:tcPr>
          <w:p w14:paraId="2943FAA1" w14:textId="77777777" w:rsidR="00E51CDD" w:rsidRDefault="00E51CDD" w:rsidP="009938D9">
            <w:pPr>
              <w:widowControl w:val="0"/>
              <w:rPr>
                <w:sz w:val="20"/>
                <w:szCs w:val="20"/>
              </w:rPr>
            </w:pPr>
            <w:r>
              <w:rPr>
                <w:sz w:val="20"/>
                <w:szCs w:val="20"/>
              </w:rPr>
              <w:t>0% untreated control</w:t>
            </w:r>
          </w:p>
          <w:p w14:paraId="2FF2C609" w14:textId="77777777" w:rsidR="00E51CDD" w:rsidRDefault="00E51CDD" w:rsidP="009938D9">
            <w:pPr>
              <w:widowControl w:val="0"/>
              <w:rPr>
                <w:sz w:val="20"/>
                <w:szCs w:val="20"/>
              </w:rPr>
            </w:pPr>
            <w:r>
              <w:rPr>
                <w:sz w:val="20"/>
                <w:szCs w:val="20"/>
              </w:rPr>
              <w:t>2.8% solvent control</w:t>
            </w:r>
          </w:p>
        </w:tc>
      </w:tr>
      <w:tr w:rsidR="00E51CDD" w14:paraId="5D7C4047" w14:textId="77777777" w:rsidTr="009938D9">
        <w:trPr>
          <w:trHeight w:val="244"/>
        </w:trPr>
        <w:tc>
          <w:tcPr>
            <w:tcW w:w="6024" w:type="dxa"/>
            <w:tcBorders>
              <w:top w:val="single" w:sz="4" w:space="0" w:color="auto"/>
              <w:left w:val="single" w:sz="4" w:space="0" w:color="auto"/>
              <w:bottom w:val="single" w:sz="4" w:space="0" w:color="auto"/>
              <w:right w:val="single" w:sz="4" w:space="0" w:color="auto"/>
            </w:tcBorders>
            <w:noWrap/>
            <w:vAlign w:val="center"/>
            <w:hideMark/>
          </w:tcPr>
          <w:p w14:paraId="23E24003" w14:textId="77777777" w:rsidR="00E51CDD" w:rsidRPr="0006388A" w:rsidRDefault="00E51CDD" w:rsidP="009938D9">
            <w:pPr>
              <w:widowControl w:val="0"/>
              <w:rPr>
                <w:sz w:val="20"/>
                <w:szCs w:val="20"/>
              </w:rPr>
            </w:pPr>
            <w:r w:rsidRPr="0006388A">
              <w:rPr>
                <w:sz w:val="20"/>
                <w:szCs w:val="20"/>
              </w:rPr>
              <w:t>Adult emergence in the control group ≥ 70% at D22 across all replicates</w:t>
            </w:r>
          </w:p>
        </w:tc>
        <w:tc>
          <w:tcPr>
            <w:tcW w:w="3043" w:type="dxa"/>
            <w:tcBorders>
              <w:top w:val="single" w:sz="4" w:space="0" w:color="auto"/>
              <w:left w:val="single" w:sz="4" w:space="0" w:color="auto"/>
              <w:bottom w:val="single" w:sz="4" w:space="0" w:color="auto"/>
              <w:right w:val="single" w:sz="4" w:space="0" w:color="auto"/>
            </w:tcBorders>
            <w:noWrap/>
            <w:vAlign w:val="center"/>
            <w:hideMark/>
          </w:tcPr>
          <w:p w14:paraId="39BE8836" w14:textId="77777777" w:rsidR="00E51CDD" w:rsidRDefault="00E51CDD" w:rsidP="009938D9">
            <w:pPr>
              <w:widowControl w:val="0"/>
              <w:rPr>
                <w:sz w:val="20"/>
                <w:szCs w:val="20"/>
              </w:rPr>
            </w:pPr>
            <w:r>
              <w:rPr>
                <w:sz w:val="20"/>
                <w:szCs w:val="20"/>
              </w:rPr>
              <w:t>80.6% untreated control</w:t>
            </w:r>
            <w:r>
              <w:rPr>
                <w:sz w:val="20"/>
                <w:szCs w:val="20"/>
              </w:rPr>
              <w:br/>
              <w:t>80.6% solvent control</w:t>
            </w:r>
          </w:p>
        </w:tc>
      </w:tr>
      <w:tr w:rsidR="00E51CDD" w14:paraId="28DCD53D" w14:textId="77777777" w:rsidTr="009938D9">
        <w:trPr>
          <w:trHeight w:val="768"/>
        </w:trPr>
        <w:tc>
          <w:tcPr>
            <w:tcW w:w="6024" w:type="dxa"/>
            <w:tcBorders>
              <w:top w:val="single" w:sz="4" w:space="0" w:color="auto"/>
              <w:left w:val="single" w:sz="4" w:space="0" w:color="auto"/>
              <w:bottom w:val="single" w:sz="4" w:space="0" w:color="auto"/>
              <w:right w:val="single" w:sz="4" w:space="0" w:color="auto"/>
            </w:tcBorders>
            <w:noWrap/>
            <w:vAlign w:val="center"/>
            <w:hideMark/>
          </w:tcPr>
          <w:p w14:paraId="02BADAA2" w14:textId="77777777" w:rsidR="00E51CDD" w:rsidRPr="0006388A" w:rsidRDefault="00E51CDD" w:rsidP="009938D9">
            <w:pPr>
              <w:widowControl w:val="0"/>
              <w:rPr>
                <w:sz w:val="20"/>
                <w:szCs w:val="20"/>
              </w:rPr>
            </w:pPr>
            <w:r w:rsidRPr="0006388A">
              <w:rPr>
                <w:sz w:val="20"/>
                <w:szCs w:val="20"/>
              </w:rPr>
              <w:t>Effects of the reference item:</w:t>
            </w:r>
          </w:p>
          <w:p w14:paraId="55622F79" w14:textId="77777777" w:rsidR="00E51CDD" w:rsidRPr="0006388A" w:rsidRDefault="00E51CDD" w:rsidP="009938D9">
            <w:pPr>
              <w:widowControl w:val="0"/>
              <w:rPr>
                <w:sz w:val="20"/>
                <w:szCs w:val="20"/>
              </w:rPr>
            </w:pPr>
            <w:r w:rsidRPr="0006388A">
              <w:rPr>
                <w:sz w:val="20"/>
                <w:szCs w:val="20"/>
              </w:rPr>
              <w:t>Dimethoate: larval mortality ≥ 50% on D8 across all replicates</w:t>
            </w:r>
          </w:p>
        </w:tc>
        <w:tc>
          <w:tcPr>
            <w:tcW w:w="3043" w:type="dxa"/>
            <w:tcBorders>
              <w:top w:val="single" w:sz="4" w:space="0" w:color="auto"/>
              <w:left w:val="single" w:sz="4" w:space="0" w:color="auto"/>
              <w:bottom w:val="single" w:sz="4" w:space="0" w:color="auto"/>
              <w:right w:val="single" w:sz="4" w:space="0" w:color="auto"/>
            </w:tcBorders>
            <w:noWrap/>
            <w:vAlign w:val="center"/>
            <w:hideMark/>
          </w:tcPr>
          <w:p w14:paraId="32C41EC2" w14:textId="77777777" w:rsidR="00E51CDD" w:rsidRDefault="00E51CDD" w:rsidP="009938D9">
            <w:pPr>
              <w:widowControl w:val="0"/>
              <w:rPr>
                <w:sz w:val="20"/>
                <w:szCs w:val="20"/>
              </w:rPr>
            </w:pPr>
            <w:r>
              <w:rPr>
                <w:sz w:val="20"/>
                <w:szCs w:val="20"/>
              </w:rPr>
              <w:t xml:space="preserve">75.0% at D8 </w:t>
            </w:r>
          </w:p>
        </w:tc>
      </w:tr>
    </w:tbl>
    <w:p w14:paraId="3AED5A0E" w14:textId="77777777" w:rsidR="00E51CDD" w:rsidRDefault="00E51CDD" w:rsidP="00E51CDD">
      <w:pPr>
        <w:jc w:val="both"/>
        <w:rPr>
          <w:b/>
          <w:u w:val="single"/>
        </w:rPr>
      </w:pPr>
    </w:p>
    <w:p w14:paraId="3EA49D35" w14:textId="77777777" w:rsidR="00E51CDD" w:rsidRDefault="00E51CDD" w:rsidP="00E51CDD">
      <w:pPr>
        <w:jc w:val="both"/>
        <w:rPr>
          <w:b/>
          <w:u w:val="single"/>
        </w:rPr>
      </w:pPr>
    </w:p>
    <w:p w14:paraId="4C2FD717" w14:textId="77777777" w:rsidR="00E51CDD" w:rsidRPr="0006388A" w:rsidRDefault="00E51CDD" w:rsidP="00E51CDD">
      <w:pPr>
        <w:jc w:val="both"/>
      </w:pPr>
      <w:r w:rsidRPr="0006388A">
        <w:t>All validity criteria were met.</w:t>
      </w:r>
    </w:p>
    <w:bookmarkEnd w:id="1212"/>
    <w:p w14:paraId="625B6937" w14:textId="77777777" w:rsidR="00E51CDD" w:rsidRPr="0006388A" w:rsidRDefault="00E51CDD" w:rsidP="00E51CDD">
      <w:pPr>
        <w:rPr>
          <w:bCs/>
        </w:rPr>
      </w:pPr>
    </w:p>
    <w:p w14:paraId="67E05758" w14:textId="77777777" w:rsidR="00E51CDD" w:rsidRPr="0006388A" w:rsidRDefault="00E51CDD" w:rsidP="00E51CDD">
      <w:pPr>
        <w:rPr>
          <w:bCs/>
        </w:rPr>
      </w:pPr>
    </w:p>
    <w:p w14:paraId="2483A82E" w14:textId="77777777" w:rsidR="00E51CDD" w:rsidRPr="0006388A" w:rsidRDefault="00E51CDD" w:rsidP="00E51CDD">
      <w:pPr>
        <w:widowControl w:val="0"/>
        <w:jc w:val="both"/>
        <w:rPr>
          <w:b/>
        </w:rPr>
      </w:pPr>
      <w:r w:rsidRPr="0006388A">
        <w:rPr>
          <w:b/>
        </w:rPr>
        <w:t>III.</w:t>
      </w:r>
      <w:r w:rsidRPr="0006388A">
        <w:rPr>
          <w:b/>
        </w:rPr>
        <w:tab/>
        <w:t>CONCLUSION</w:t>
      </w:r>
    </w:p>
    <w:p w14:paraId="69D7C50D" w14:textId="77777777" w:rsidR="00E51CDD" w:rsidRPr="0006388A" w:rsidRDefault="00E51CDD" w:rsidP="00E51CDD"/>
    <w:p w14:paraId="15AF637C" w14:textId="77777777" w:rsidR="00E51CDD" w:rsidRDefault="00E51CDD" w:rsidP="00E51CDD">
      <w:pPr>
        <w:jc w:val="both"/>
        <w:rPr>
          <w:b/>
          <w:bCs/>
        </w:rPr>
      </w:pPr>
      <w:r w:rsidRPr="0006388A">
        <w:rPr>
          <w:b/>
          <w:bCs/>
        </w:rPr>
        <w:t>In a repeated exposure larval toxicity study with BAS 700 F, the LD</w:t>
      </w:r>
      <w:r w:rsidRPr="0006388A">
        <w:rPr>
          <w:b/>
          <w:bCs/>
          <w:vertAlign w:val="subscript"/>
        </w:rPr>
        <w:t>50</w:t>
      </w:r>
      <w:r w:rsidRPr="0006388A">
        <w:rPr>
          <w:b/>
          <w:bCs/>
        </w:rPr>
        <w:t xml:space="preserve"> (larval mortality on D8) was estimated to be &gt; 80 </w:t>
      </w:r>
      <w:r>
        <w:rPr>
          <w:b/>
          <w:bCs/>
        </w:rPr>
        <w:t>μ</w:t>
      </w:r>
      <w:r w:rsidRPr="0006388A">
        <w:rPr>
          <w:b/>
          <w:bCs/>
        </w:rPr>
        <w:t>g a.s./larva, which is equivalent to a LC</w:t>
      </w:r>
      <w:r w:rsidRPr="0006388A">
        <w:rPr>
          <w:b/>
          <w:bCs/>
          <w:vertAlign w:val="subscript"/>
        </w:rPr>
        <w:t>50</w:t>
      </w:r>
      <w:r w:rsidRPr="0006388A">
        <w:rPr>
          <w:b/>
          <w:bCs/>
        </w:rPr>
        <w:t xml:space="preserve"> of &gt; 506 mg a.s./kg food. The respective NOED was ≥ 80 </w:t>
      </w:r>
      <w:r>
        <w:rPr>
          <w:b/>
          <w:bCs/>
        </w:rPr>
        <w:t>μ</w:t>
      </w:r>
      <w:r w:rsidRPr="0006388A">
        <w:rPr>
          <w:b/>
          <w:bCs/>
        </w:rPr>
        <w:t>g a.s./larva and the corresponding NOEC was ≥ 506 mg a.s./kg food. The ED</w:t>
      </w:r>
      <w:r w:rsidRPr="0006388A">
        <w:rPr>
          <w:b/>
          <w:bCs/>
          <w:vertAlign w:val="subscript"/>
        </w:rPr>
        <w:t>50</w:t>
      </w:r>
      <w:r w:rsidRPr="0006388A">
        <w:rPr>
          <w:b/>
          <w:bCs/>
        </w:rPr>
        <w:t xml:space="preserve"> (successful adult emergence up to D22) was estimated to be &gt; 80 </w:t>
      </w:r>
      <w:r>
        <w:rPr>
          <w:b/>
          <w:bCs/>
        </w:rPr>
        <w:t>μ</w:t>
      </w:r>
      <w:r w:rsidRPr="0006388A">
        <w:rPr>
          <w:b/>
          <w:bCs/>
        </w:rPr>
        <w:t>g a.s./larva, which is equivalent to an EC</w:t>
      </w:r>
      <w:r w:rsidRPr="0006388A">
        <w:rPr>
          <w:b/>
          <w:bCs/>
          <w:vertAlign w:val="subscript"/>
        </w:rPr>
        <w:t>50</w:t>
      </w:r>
      <w:r w:rsidRPr="0006388A">
        <w:rPr>
          <w:b/>
          <w:bCs/>
        </w:rPr>
        <w:t xml:space="preserve"> of &gt; 506 mg a.s./kg food. The respective NOED was ≥ 80 </w:t>
      </w:r>
      <w:r>
        <w:rPr>
          <w:b/>
          <w:bCs/>
        </w:rPr>
        <w:t>μ</w:t>
      </w:r>
      <w:r w:rsidRPr="0006388A">
        <w:rPr>
          <w:b/>
          <w:bCs/>
        </w:rPr>
        <w:t>g a.s./larva and the corresponding NOEC was ≥ 506 mg a.s./kg food.</w:t>
      </w:r>
    </w:p>
    <w:p w14:paraId="048844C6" w14:textId="77777777" w:rsidR="00E51CDD" w:rsidRPr="00A013BA" w:rsidRDefault="00E51CDD" w:rsidP="00E51CDD">
      <w:pPr>
        <w:jc w:val="both"/>
        <w:rPr>
          <w:b/>
          <w:bCs/>
        </w:rPr>
      </w:pPr>
      <w:r>
        <w:rPr>
          <w:b/>
          <w:bCs/>
        </w:rPr>
        <w:br w:type="page"/>
      </w:r>
    </w:p>
    <w:p w14:paraId="7AC3004C" w14:textId="77777777" w:rsidR="00E51CDD" w:rsidRPr="00E111CB" w:rsidRDefault="00E51CDD" w:rsidP="00B31542">
      <w:pPr>
        <w:pStyle w:val="RepAppendix5"/>
      </w:pPr>
      <w:r w:rsidRPr="00BE28C7">
        <w:lastRenderedPageBreak/>
        <w:t>Study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38DCD8CC" w14:textId="77777777" w:rsidTr="002346A8">
        <w:trPr>
          <w:trHeight w:val="915"/>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EF4F6F" w14:textId="77777777" w:rsidR="00E51CDD" w:rsidRDefault="00E51CDD" w:rsidP="009938D9">
            <w:pPr>
              <w:pStyle w:val="RepStandard"/>
              <w:rPr>
                <w:rFonts w:eastAsia="Batang"/>
              </w:rPr>
            </w:pPr>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8C7177C" w14:textId="4A34258E" w:rsidR="00E51CDD" w:rsidRDefault="00531A8D" w:rsidP="009938D9">
            <w:pPr>
              <w:pStyle w:val="RepStandard"/>
              <w:ind w:left="85"/>
              <w:rPr>
                <w:rFonts w:eastAsia="Batang"/>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0B75E168"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7EB6E073" w14:textId="77777777" w:rsidTr="009938D9">
        <w:trPr>
          <w:gridAfter w:val="1"/>
          <w:wAfter w:w="9" w:type="pct"/>
        </w:trPr>
        <w:tc>
          <w:tcPr>
            <w:tcW w:w="1340" w:type="pct"/>
            <w:hideMark/>
          </w:tcPr>
          <w:p w14:paraId="4454F759" w14:textId="77777777" w:rsidR="00E51CDD" w:rsidRDefault="00E51CDD" w:rsidP="009938D9">
            <w:pPr>
              <w:pStyle w:val="RepStandard"/>
              <w:rPr>
                <w:lang w:val="de-DE"/>
              </w:rPr>
            </w:pPr>
            <w:r>
              <w:t>Reference:</w:t>
            </w:r>
          </w:p>
        </w:tc>
        <w:tc>
          <w:tcPr>
            <w:tcW w:w="3651" w:type="pct"/>
            <w:hideMark/>
          </w:tcPr>
          <w:p w14:paraId="0AA1DD63" w14:textId="77777777" w:rsidR="00E51CDD" w:rsidRDefault="00E51CDD" w:rsidP="009938D9">
            <w:pPr>
              <w:pStyle w:val="RepStandard"/>
            </w:pPr>
            <w:r>
              <w:t>CP 10.3.1.3/2</w:t>
            </w:r>
          </w:p>
        </w:tc>
      </w:tr>
      <w:tr w:rsidR="00E51CDD" w14:paraId="1839E334" w14:textId="77777777" w:rsidTr="009938D9">
        <w:trPr>
          <w:gridAfter w:val="1"/>
          <w:wAfter w:w="9" w:type="pct"/>
        </w:trPr>
        <w:tc>
          <w:tcPr>
            <w:tcW w:w="1340" w:type="pct"/>
            <w:hideMark/>
          </w:tcPr>
          <w:p w14:paraId="48CD928A" w14:textId="77777777" w:rsidR="00E51CDD" w:rsidRDefault="00E51CDD" w:rsidP="009938D9">
            <w:pPr>
              <w:pStyle w:val="RepStandard"/>
              <w:spacing w:after="120"/>
            </w:pPr>
            <w:r>
              <w:t>Report</w:t>
            </w:r>
          </w:p>
        </w:tc>
        <w:tc>
          <w:tcPr>
            <w:tcW w:w="3651" w:type="pct"/>
            <w:hideMark/>
          </w:tcPr>
          <w:p w14:paraId="117B8E3B" w14:textId="77777777" w:rsidR="00E51CDD" w:rsidRDefault="00E51CDD" w:rsidP="009938D9">
            <w:pPr>
              <w:pStyle w:val="RepStandard"/>
              <w:spacing w:after="120"/>
              <w:rPr>
                <w:lang w:val="en-US"/>
              </w:rPr>
            </w:pPr>
            <w:r>
              <w:rPr>
                <w:lang w:val="en-US"/>
              </w:rPr>
              <w:t>Repeated exposure of honey bee (Apis mellifera L.) larvae to BAS 736 00 F under laboratory conditions,</w:t>
            </w:r>
          </w:p>
          <w:p w14:paraId="4C0C1598" w14:textId="77777777" w:rsidR="00E51CDD" w:rsidRDefault="00E51CDD" w:rsidP="009938D9">
            <w:pPr>
              <w:pStyle w:val="RepStandard"/>
              <w:spacing w:after="120"/>
              <w:rPr>
                <w:lang w:val="en-US"/>
              </w:rPr>
            </w:pPr>
            <w:r>
              <w:rPr>
                <w:lang w:val="en-US"/>
              </w:rPr>
              <w:t>Haeuser, R., 2021</w:t>
            </w:r>
          </w:p>
          <w:p w14:paraId="06A54FD9" w14:textId="77777777" w:rsidR="00E51CDD" w:rsidRDefault="00E51CDD" w:rsidP="009938D9">
            <w:pPr>
              <w:pStyle w:val="RepStandard"/>
              <w:spacing w:after="120"/>
              <w:rPr>
                <w:lang w:val="en-US"/>
              </w:rPr>
            </w:pPr>
            <w:r>
              <w:rPr>
                <w:lang w:val="en-US"/>
              </w:rPr>
              <w:t>report No 900787, S20-05930</w:t>
            </w:r>
          </w:p>
          <w:p w14:paraId="0EF4F354" w14:textId="77777777" w:rsidR="00E51CDD" w:rsidRDefault="00E51CDD" w:rsidP="009938D9">
            <w:pPr>
              <w:pStyle w:val="RepStandard"/>
              <w:spacing w:after="120"/>
            </w:pPr>
            <w:r>
              <w:rPr>
                <w:lang w:val="en-US"/>
              </w:rPr>
              <w:t>2020/2081000</w:t>
            </w:r>
          </w:p>
          <w:p w14:paraId="66279988" w14:textId="77777777" w:rsidR="00E51CDD" w:rsidRDefault="00E51CDD" w:rsidP="009938D9">
            <w:pPr>
              <w:pStyle w:val="RepStandard"/>
            </w:pPr>
            <w:r>
              <w:t>Authority registration No</w:t>
            </w:r>
          </w:p>
        </w:tc>
      </w:tr>
      <w:tr w:rsidR="00E51CDD" w14:paraId="5457C848" w14:textId="77777777" w:rsidTr="009938D9">
        <w:trPr>
          <w:gridAfter w:val="1"/>
          <w:wAfter w:w="9" w:type="pct"/>
        </w:trPr>
        <w:tc>
          <w:tcPr>
            <w:tcW w:w="1340" w:type="pct"/>
            <w:hideMark/>
          </w:tcPr>
          <w:p w14:paraId="7FCE11D6" w14:textId="77777777" w:rsidR="00E51CDD" w:rsidRDefault="00E51CDD" w:rsidP="009938D9">
            <w:pPr>
              <w:pStyle w:val="RepStandard"/>
            </w:pPr>
            <w:r>
              <w:t>Guideline(s):</w:t>
            </w:r>
          </w:p>
        </w:tc>
        <w:tc>
          <w:tcPr>
            <w:tcW w:w="3651" w:type="pct"/>
            <w:hideMark/>
          </w:tcPr>
          <w:p w14:paraId="1F8F37AE" w14:textId="77777777" w:rsidR="00E51CDD" w:rsidRDefault="00E51CDD" w:rsidP="009938D9">
            <w:pPr>
              <w:pStyle w:val="RepStandard"/>
              <w:spacing w:after="120"/>
            </w:pPr>
            <w:r>
              <w:rPr>
                <w:lang w:val="en-US"/>
              </w:rPr>
              <w:t>OECD 239 (2016)</w:t>
            </w:r>
            <w:r>
              <w:t xml:space="preserve"> </w:t>
            </w:r>
          </w:p>
        </w:tc>
      </w:tr>
      <w:tr w:rsidR="00E51CDD" w14:paraId="118115E2" w14:textId="77777777" w:rsidTr="009938D9">
        <w:trPr>
          <w:gridAfter w:val="1"/>
          <w:wAfter w:w="9" w:type="pct"/>
        </w:trPr>
        <w:tc>
          <w:tcPr>
            <w:tcW w:w="1340" w:type="pct"/>
            <w:hideMark/>
          </w:tcPr>
          <w:p w14:paraId="46AB433B" w14:textId="77777777" w:rsidR="00E51CDD" w:rsidRDefault="00E51CDD" w:rsidP="009938D9">
            <w:pPr>
              <w:pStyle w:val="RepStandard"/>
            </w:pPr>
            <w:r>
              <w:t>Deviations:</w:t>
            </w:r>
          </w:p>
        </w:tc>
        <w:tc>
          <w:tcPr>
            <w:tcW w:w="3651" w:type="pct"/>
            <w:hideMark/>
          </w:tcPr>
          <w:p w14:paraId="333EF671" w14:textId="77777777" w:rsidR="00E51CDD" w:rsidRDefault="00E51CDD" w:rsidP="009938D9">
            <w:pPr>
              <w:pStyle w:val="RepStandard"/>
              <w:spacing w:after="120"/>
            </w:pPr>
            <w:r>
              <w:t>No</w:t>
            </w:r>
          </w:p>
        </w:tc>
      </w:tr>
      <w:tr w:rsidR="00E51CDD" w:rsidRPr="00662F32" w14:paraId="2F4BD214" w14:textId="77777777" w:rsidTr="009938D9">
        <w:tc>
          <w:tcPr>
            <w:tcW w:w="1340" w:type="pct"/>
            <w:hideMark/>
          </w:tcPr>
          <w:p w14:paraId="203147DC" w14:textId="77777777" w:rsidR="00E51CDD" w:rsidRDefault="00E51CDD" w:rsidP="009938D9">
            <w:pPr>
              <w:pStyle w:val="RepStandard"/>
            </w:pPr>
            <w:r>
              <w:t>GLP:</w:t>
            </w:r>
          </w:p>
        </w:tc>
        <w:tc>
          <w:tcPr>
            <w:tcW w:w="3660" w:type="pct"/>
            <w:gridSpan w:val="2"/>
            <w:hideMark/>
          </w:tcPr>
          <w:p w14:paraId="1D9E84B6" w14:textId="77777777" w:rsidR="00E51CDD" w:rsidRPr="00E111CB" w:rsidRDefault="00E51CDD" w:rsidP="009938D9">
            <w:pPr>
              <w:tabs>
                <w:tab w:val="left" w:pos="425"/>
                <w:tab w:val="left" w:pos="850"/>
              </w:tabs>
              <w:spacing w:after="120"/>
              <w:ind w:left="1985" w:hanging="1985"/>
              <w:rPr>
                <w:b/>
                <w:lang w:val="de-DE"/>
              </w:rPr>
            </w:pPr>
            <w:r w:rsidRPr="00E111CB">
              <w:rPr>
                <w:lang w:val="de-DE"/>
              </w:rPr>
              <w:t>yes</w:t>
            </w:r>
          </w:p>
          <w:p w14:paraId="65560006" w14:textId="77777777" w:rsidR="00E51CDD" w:rsidRPr="00E111CB" w:rsidRDefault="00E51CDD" w:rsidP="009938D9">
            <w:pPr>
              <w:pStyle w:val="RepStandard"/>
              <w:spacing w:after="120"/>
              <w:jc w:val="left"/>
              <w:rPr>
                <w:lang w:val="de-DE"/>
              </w:rPr>
            </w:pPr>
            <w:r w:rsidRPr="00E111CB">
              <w:rPr>
                <w:lang w:val="de-DE"/>
              </w:rPr>
              <w:t xml:space="preserve">(certified by Landesanstalt fuer Umwelt, Baden-Wuerttemberg, Karlsruhe, Germany), </w:t>
            </w:r>
          </w:p>
        </w:tc>
      </w:tr>
      <w:tr w:rsidR="00E51CDD" w14:paraId="0BA26491" w14:textId="77777777" w:rsidTr="009938D9">
        <w:trPr>
          <w:gridAfter w:val="1"/>
          <w:wAfter w:w="9" w:type="pct"/>
        </w:trPr>
        <w:tc>
          <w:tcPr>
            <w:tcW w:w="1340" w:type="pct"/>
            <w:hideMark/>
          </w:tcPr>
          <w:p w14:paraId="0AC71253" w14:textId="77777777" w:rsidR="00E51CDD" w:rsidRDefault="00E51CDD" w:rsidP="009938D9">
            <w:pPr>
              <w:pStyle w:val="RepStandard"/>
              <w:rPr>
                <w:lang w:val="de-DE"/>
              </w:rPr>
            </w:pPr>
            <w:r>
              <w:t>Acceptability:</w:t>
            </w:r>
          </w:p>
        </w:tc>
        <w:tc>
          <w:tcPr>
            <w:tcW w:w="3651" w:type="pct"/>
            <w:hideMark/>
          </w:tcPr>
          <w:p w14:paraId="1216B174" w14:textId="77777777" w:rsidR="00E51CDD" w:rsidRDefault="00E51CDD" w:rsidP="009938D9">
            <w:pPr>
              <w:pStyle w:val="RepStandard"/>
            </w:pPr>
            <w:r>
              <w:t xml:space="preserve">Yes </w:t>
            </w:r>
          </w:p>
        </w:tc>
      </w:tr>
      <w:tr w:rsidR="00E51CDD" w14:paraId="735EBE08" w14:textId="77777777" w:rsidTr="009938D9">
        <w:trPr>
          <w:gridAfter w:val="1"/>
          <w:wAfter w:w="9" w:type="pct"/>
        </w:trPr>
        <w:tc>
          <w:tcPr>
            <w:tcW w:w="1340" w:type="pct"/>
            <w:hideMark/>
          </w:tcPr>
          <w:p w14:paraId="6FF8D5B5" w14:textId="77777777" w:rsidR="00E51CDD" w:rsidRDefault="00E51CDD" w:rsidP="009938D9">
            <w:pPr>
              <w:pStyle w:val="RepStandard"/>
            </w:pPr>
            <w:r>
              <w:t xml:space="preserve">Duplication </w:t>
            </w:r>
            <w:r>
              <w:br/>
              <w:t>(if vertebrate study)</w:t>
            </w:r>
          </w:p>
        </w:tc>
        <w:tc>
          <w:tcPr>
            <w:tcW w:w="3651" w:type="pct"/>
            <w:hideMark/>
          </w:tcPr>
          <w:p w14:paraId="382B6216" w14:textId="77777777" w:rsidR="00E51CDD" w:rsidRDefault="00E51CDD" w:rsidP="009938D9">
            <w:pPr>
              <w:pStyle w:val="RepStandard"/>
              <w:spacing w:after="120"/>
              <w:rPr>
                <w:highlight w:val="yellow"/>
              </w:rPr>
            </w:pPr>
            <w:r>
              <w:t>No</w:t>
            </w:r>
          </w:p>
        </w:tc>
      </w:tr>
    </w:tbl>
    <w:p w14:paraId="14AD2328" w14:textId="77777777" w:rsidR="00E51CDD" w:rsidRDefault="00E51CDD" w:rsidP="00E51CDD">
      <w:pPr>
        <w:widowControl w:val="0"/>
        <w:jc w:val="both"/>
      </w:pPr>
    </w:p>
    <w:p w14:paraId="512A7EE3" w14:textId="77777777" w:rsidR="00E51CDD" w:rsidRPr="00CA4E5C" w:rsidRDefault="00E51CDD" w:rsidP="00E51CDD">
      <w:pPr>
        <w:widowControl w:val="0"/>
        <w:jc w:val="both"/>
      </w:pPr>
      <w:r>
        <w:br w:type="page"/>
      </w:r>
    </w:p>
    <w:p w14:paraId="66529DA2" w14:textId="77777777" w:rsidR="00E51CDD" w:rsidRPr="00960E15" w:rsidRDefault="00E51CDD" w:rsidP="00E51CDD">
      <w:pPr>
        <w:tabs>
          <w:tab w:val="left" w:pos="425"/>
          <w:tab w:val="left" w:pos="850"/>
        </w:tabs>
        <w:ind w:left="2837" w:hanging="2837"/>
        <w:jc w:val="both"/>
        <w:rPr>
          <w:b/>
          <w:bCs/>
        </w:rPr>
      </w:pPr>
      <w:r w:rsidRPr="00960E15">
        <w:rPr>
          <w:b/>
          <w:bCs/>
        </w:rPr>
        <w:lastRenderedPageBreak/>
        <w:t>Executive Summary</w:t>
      </w:r>
    </w:p>
    <w:p w14:paraId="0A764185" w14:textId="77777777" w:rsidR="00E51CDD" w:rsidRPr="00960E15" w:rsidRDefault="00E51CDD" w:rsidP="00E51CDD">
      <w:pPr>
        <w:jc w:val="both"/>
      </w:pPr>
    </w:p>
    <w:p w14:paraId="75BC53D8" w14:textId="77777777" w:rsidR="00E51CDD" w:rsidRPr="00960E15" w:rsidRDefault="00E51CDD" w:rsidP="00E51CDD">
      <w:pPr>
        <w:widowControl w:val="0"/>
        <w:jc w:val="both"/>
      </w:pPr>
      <w:r w:rsidRPr="00960E15">
        <w:t>The effects of the test item BAS 736 00 F on survival and adult emergence of honey bee larvae (</w:t>
      </w:r>
      <w:r w:rsidRPr="00960E15">
        <w:rPr>
          <w:i/>
          <w:iCs/>
        </w:rPr>
        <w:t>Apis mellifera</w:t>
      </w:r>
      <w:r w:rsidRPr="00960E15">
        <w:rPr>
          <w:iCs/>
        </w:rPr>
        <w:t>)</w:t>
      </w:r>
      <w:r w:rsidRPr="00960E15">
        <w:rPr>
          <w:i/>
          <w:iCs/>
        </w:rPr>
        <w:t xml:space="preserve"> </w:t>
      </w:r>
      <w:r w:rsidRPr="00960E15">
        <w:t>were investigated in a laboratory test with repeated exposure over a time period of 22 days. Synchronized 1</w:t>
      </w:r>
      <w:r w:rsidRPr="00960E15">
        <w:rPr>
          <w:vertAlign w:val="superscript"/>
        </w:rPr>
        <w:t>st</w:t>
      </w:r>
      <w:r w:rsidRPr="00960E15">
        <w:t xml:space="preserve"> larval stage (L1) honey bee larvae (</w:t>
      </w:r>
      <w:r w:rsidRPr="00960E15">
        <w:rPr>
          <w:i/>
          <w:iCs/>
        </w:rPr>
        <w:t>Apis mellifera</w:t>
      </w:r>
      <w:r w:rsidRPr="00960E15">
        <w:t>) were fed with artificial diet for 5 days (day 1,</w:t>
      </w:r>
      <w:r>
        <w:t xml:space="preserve"> </w:t>
      </w:r>
      <w:r w:rsidRPr="00960E15">
        <w:t>3,</w:t>
      </w:r>
      <w:r>
        <w:t xml:space="preserve"> </w:t>
      </w:r>
      <w:r w:rsidRPr="00960E15">
        <w:t>4,</w:t>
      </w:r>
      <w:r>
        <w:t xml:space="preserve"> </w:t>
      </w:r>
      <w:r w:rsidRPr="00960E15">
        <w:t>5 and 6). On days 3, 4, 5 and 6, larvae were fed with diet containing five different concentrations of BAS 736 00 F resulting in concentrations of 520, 779, 1169, 1753 and 2630 mg product/kg food, corresponding to total doses of 80.1, 120, 180, 270 and 405 µg product/larva per developmental period. Untreated diet served as a control and dimethoate at a dose rate of 7.39 µg/larva served as reference item treatment. All treatment groups and control contained larvae from three different bee colonies. Assessments of larval mortality were done 24, 48, 72, 96 and 120 hours after start of the treatment (respectively D4, D5, D6, D7, D8). Additionally, other observations such as small body size or large quantities of remaining food after 120 hours (D8) were noted. Pupal mortality was assessed at D15 and emergence of adults was evaluated at D22.</w:t>
      </w:r>
    </w:p>
    <w:p w14:paraId="54E97F14" w14:textId="77777777" w:rsidR="00E51CDD" w:rsidRPr="00960E15" w:rsidRDefault="00E51CDD" w:rsidP="00E51CDD">
      <w:pPr>
        <w:widowControl w:val="0"/>
        <w:jc w:val="both"/>
      </w:pPr>
    </w:p>
    <w:p w14:paraId="1CBCF49D" w14:textId="77777777" w:rsidR="00E51CDD" w:rsidRPr="00960E15" w:rsidRDefault="00E51CDD" w:rsidP="00E51CDD">
      <w:pPr>
        <w:widowControl w:val="0"/>
        <w:jc w:val="both"/>
      </w:pPr>
      <w:r w:rsidRPr="00960E15">
        <w:t>After 120 hours of repeated oral exposure (on D8) no mortality was observed in the control. Pupal mortality (between D8 and D22) was 10.4% in the untreated control. The control groups showed a total mortality of 10.4% in the untreated control, at D22. In the test item group, larval mortalities at D8 ranged between 0.0 and 85.4%. Pupal mortalities ranged between 10.4 and 100% in the test item treatment groups. Total mortalities at D15 ranged between 6.3 and 100%. A statistically significant difference was found at test item concentrations of 1169, 1753 and 2630 mg product/kg diet (corresponding to cumulative nominal doses of 180, 270 and 405 µg product/larva per developmental period) compared to the control. Compared to the control group, emerged bees of the test item group exposed to 1169 mg product/kg foot had a reduced body size on day 22. On D8 uneaten food was observed in the control group, all test item groups and the reference item group. In the final assessment at D22, adult emergence rates of 89.6% were determined for the honey bees in the control group. In the test item group, the adult honey bees emerged at rates ranging between 54.2 and 89.6% following an application of 80.1, 120, 180, 270 and 405 µg product/larva per developmental period. A statistically significant difference was found at test item concentrations of 1169, 1753 and 2630 mg product/kg diet (corresponding to cumulative nominal doses of 180, 270 and 405 µg product/larva per developmental period) compared to the control.</w:t>
      </w:r>
    </w:p>
    <w:p w14:paraId="1800F66A" w14:textId="77777777" w:rsidR="00E51CDD" w:rsidRPr="00960E15" w:rsidRDefault="00E51CDD" w:rsidP="00E51CDD">
      <w:pPr>
        <w:widowControl w:val="0"/>
        <w:jc w:val="both"/>
        <w:rPr>
          <w:bCs/>
        </w:rPr>
      </w:pPr>
    </w:p>
    <w:p w14:paraId="77FA1001" w14:textId="77777777" w:rsidR="00E51CDD" w:rsidRPr="00960E15" w:rsidRDefault="00E51CDD" w:rsidP="00E51CDD">
      <w:pPr>
        <w:jc w:val="both"/>
        <w:rPr>
          <w:b/>
          <w:bCs/>
        </w:rPr>
      </w:pPr>
      <w:r w:rsidRPr="00960E15">
        <w:rPr>
          <w:b/>
          <w:bCs/>
        </w:rPr>
        <w:t>In a repeated exposure larval toxicity study with BAS 736 00 F, the LD</w:t>
      </w:r>
      <w:r w:rsidRPr="00960E15">
        <w:rPr>
          <w:b/>
          <w:bCs/>
          <w:vertAlign w:val="subscript"/>
        </w:rPr>
        <w:t>50</w:t>
      </w:r>
      <w:r w:rsidRPr="00960E15">
        <w:rPr>
          <w:b/>
          <w:bCs/>
        </w:rPr>
        <w:t xml:space="preserve"> (larval mortality on D8) was estimated to be 313 μg product/larva, which is equivalent to a LC</w:t>
      </w:r>
      <w:r w:rsidRPr="00960E15">
        <w:rPr>
          <w:b/>
          <w:bCs/>
          <w:vertAlign w:val="subscript"/>
        </w:rPr>
        <w:t>50</w:t>
      </w:r>
      <w:r w:rsidRPr="00960E15">
        <w:rPr>
          <w:b/>
          <w:bCs/>
        </w:rPr>
        <w:t xml:space="preserve"> of 2031 mg product/kg food. The respective NOED was 120 μg product/larva and the corresponding NOEC was 779 mg product/kg food. The ED</w:t>
      </w:r>
      <w:r w:rsidRPr="00960E15">
        <w:rPr>
          <w:b/>
          <w:bCs/>
          <w:vertAlign w:val="subscript"/>
        </w:rPr>
        <w:t>50</w:t>
      </w:r>
      <w:r w:rsidRPr="00960E15">
        <w:rPr>
          <w:b/>
          <w:bCs/>
        </w:rPr>
        <w:t xml:space="preserve"> (successful adult emergence up to D22) was estimated to be 188 μg product/larva, which is equivalent to an EC</w:t>
      </w:r>
      <w:r w:rsidRPr="00960E15">
        <w:rPr>
          <w:b/>
          <w:bCs/>
          <w:vertAlign w:val="subscript"/>
        </w:rPr>
        <w:t>50</w:t>
      </w:r>
      <w:r w:rsidRPr="00960E15">
        <w:rPr>
          <w:b/>
          <w:bCs/>
        </w:rPr>
        <w:t xml:space="preserve"> of 1222 mg product/kg food. The respective NOED was 120 μg product/larva and the corresponding NOEC was 779 mg product/kg food.</w:t>
      </w:r>
    </w:p>
    <w:p w14:paraId="4F44EBDA" w14:textId="77777777" w:rsidR="00E51CDD" w:rsidRPr="00960E15" w:rsidRDefault="00E51CDD" w:rsidP="00E51CDD">
      <w:pPr>
        <w:jc w:val="both"/>
      </w:pPr>
    </w:p>
    <w:p w14:paraId="2218DCD8" w14:textId="77777777" w:rsidR="00E51CDD" w:rsidRPr="00960E15" w:rsidRDefault="00E51CDD" w:rsidP="00E51CDD">
      <w:pPr>
        <w:jc w:val="both"/>
      </w:pPr>
      <w:r>
        <w:br w:type="page"/>
      </w:r>
    </w:p>
    <w:p w14:paraId="2EDD0B5C" w14:textId="77777777" w:rsidR="00E51CDD" w:rsidRPr="00960E15" w:rsidRDefault="00E51CDD" w:rsidP="00E51CDD">
      <w:pPr>
        <w:widowControl w:val="0"/>
        <w:tabs>
          <w:tab w:val="left" w:pos="425"/>
          <w:tab w:val="left" w:pos="850"/>
        </w:tabs>
        <w:ind w:left="2835" w:hanging="2835"/>
        <w:jc w:val="both"/>
        <w:rPr>
          <w:b/>
        </w:rPr>
      </w:pPr>
      <w:r w:rsidRPr="00960E15">
        <w:rPr>
          <w:b/>
        </w:rPr>
        <w:lastRenderedPageBreak/>
        <w:t>I.</w:t>
      </w:r>
      <w:r w:rsidRPr="00960E15">
        <w:rPr>
          <w:b/>
        </w:rPr>
        <w:tab/>
        <w:t>MATERIALS AND METHODS</w:t>
      </w:r>
    </w:p>
    <w:p w14:paraId="7109876F" w14:textId="77777777" w:rsidR="00E51CDD" w:rsidRPr="00960E15" w:rsidRDefault="00E51CDD" w:rsidP="00E51CDD">
      <w:pPr>
        <w:widowControl w:val="0"/>
        <w:jc w:val="both"/>
        <w:rPr>
          <w:sz w:val="24"/>
        </w:rPr>
      </w:pPr>
    </w:p>
    <w:p w14:paraId="159DA450" w14:textId="77777777" w:rsidR="00E51CDD" w:rsidRPr="00960E15" w:rsidRDefault="00E51CDD" w:rsidP="00E51CDD">
      <w:pPr>
        <w:tabs>
          <w:tab w:val="left" w:pos="425"/>
          <w:tab w:val="left" w:pos="850"/>
        </w:tabs>
        <w:ind w:left="2835" w:hanging="2835"/>
        <w:jc w:val="both"/>
        <w:rPr>
          <w:b/>
          <w:bCs/>
        </w:rPr>
      </w:pPr>
      <w:r w:rsidRPr="00960E15">
        <w:rPr>
          <w:b/>
          <w:bCs/>
        </w:rPr>
        <w:t>A.</w:t>
      </w:r>
      <w:r w:rsidRPr="00960E15">
        <w:rPr>
          <w:b/>
          <w:bCs/>
        </w:rPr>
        <w:tab/>
        <w:t>MATERIALS</w:t>
      </w:r>
    </w:p>
    <w:p w14:paraId="5BB5559F" w14:textId="77777777" w:rsidR="00E51CDD" w:rsidRPr="00960E15" w:rsidRDefault="00E51CDD" w:rsidP="00E51CDD">
      <w:pPr>
        <w:keepNext/>
        <w:keepLines/>
        <w:widowControl w:val="0"/>
        <w:ind w:left="2040" w:hanging="2040"/>
      </w:pPr>
    </w:p>
    <w:p w14:paraId="56A29651" w14:textId="77777777" w:rsidR="00E51CDD" w:rsidRPr="00960E15" w:rsidRDefault="00E51CDD" w:rsidP="00E51CDD">
      <w:pPr>
        <w:widowControl w:val="0"/>
        <w:ind w:left="2041" w:hanging="2041"/>
        <w:jc w:val="both"/>
        <w:rPr>
          <w:szCs w:val="24"/>
        </w:rPr>
      </w:pPr>
      <w:r w:rsidRPr="00960E15">
        <w:t>Test item:</w:t>
      </w:r>
      <w:r w:rsidRPr="00960E15">
        <w:tab/>
      </w:r>
      <w:r w:rsidRPr="00960E15">
        <w:rPr>
          <w:szCs w:val="24"/>
        </w:rPr>
        <w:t>BAS 736 00 F; batch no. FD-190220-0002; content of a.s.: azoxystrobin (BAS 9164 F, Reg. No. 300 254): 73.9 g/L analyzed (75.0</w:t>
      </w:r>
      <w:r w:rsidRPr="00960E15">
        <w:rPr>
          <w:rFonts w:eastAsia="Calibri"/>
          <w:lang w:eastAsia="en-US"/>
        </w:rPr>
        <w:t> </w:t>
      </w:r>
      <w:r w:rsidRPr="00960E15">
        <w:rPr>
          <w:szCs w:val="24"/>
        </w:rPr>
        <w:t>g/L nominal), fluxapyroxad (BAS 700 F, Reg. No. 5 094 351): 49.4 g/L analyzed (50.0 g/L nominal); density: 1.078 g/cm³.</w:t>
      </w:r>
    </w:p>
    <w:p w14:paraId="366D8E4C" w14:textId="77777777" w:rsidR="00E51CDD" w:rsidRPr="00960E15" w:rsidRDefault="00E51CDD" w:rsidP="00E51CDD">
      <w:pPr>
        <w:keepNext/>
        <w:keepLines/>
        <w:widowControl w:val="0"/>
        <w:ind w:left="2040" w:hanging="2040"/>
        <w:jc w:val="both"/>
      </w:pPr>
    </w:p>
    <w:p w14:paraId="23F8D087" w14:textId="77777777" w:rsidR="00E51CDD" w:rsidRPr="00960E15" w:rsidRDefault="00E51CDD" w:rsidP="00E51CDD"/>
    <w:p w14:paraId="1B64997F" w14:textId="77777777" w:rsidR="00E51CDD" w:rsidRPr="00960E15" w:rsidRDefault="00E51CDD" w:rsidP="00E51CDD">
      <w:pPr>
        <w:tabs>
          <w:tab w:val="left" w:pos="425"/>
          <w:tab w:val="left" w:pos="850"/>
        </w:tabs>
        <w:ind w:left="2835" w:hanging="2835"/>
        <w:rPr>
          <w:b/>
          <w:bCs/>
        </w:rPr>
      </w:pPr>
      <w:r w:rsidRPr="00960E15">
        <w:rPr>
          <w:b/>
          <w:bCs/>
        </w:rPr>
        <w:t>B.</w:t>
      </w:r>
      <w:r w:rsidRPr="00960E15">
        <w:rPr>
          <w:b/>
          <w:bCs/>
        </w:rPr>
        <w:tab/>
        <w:t>STUDY DESIGN</w:t>
      </w:r>
    </w:p>
    <w:p w14:paraId="7D61576D" w14:textId="77777777" w:rsidR="00E51CDD" w:rsidRPr="00960E15" w:rsidRDefault="00E51CDD" w:rsidP="00E51CDD"/>
    <w:p w14:paraId="1A63FCF1" w14:textId="77777777" w:rsidR="00E51CDD" w:rsidRPr="00960E15" w:rsidRDefault="00E51CDD" w:rsidP="00E51CDD">
      <w:pPr>
        <w:widowControl w:val="0"/>
        <w:ind w:left="2040" w:hanging="2040"/>
        <w:jc w:val="both"/>
        <w:rPr>
          <w:rFonts w:eastAsia="Calibri"/>
          <w:lang w:eastAsia="en-US"/>
        </w:rPr>
      </w:pPr>
      <w:r w:rsidRPr="00960E15">
        <w:t>Test species:</w:t>
      </w:r>
      <w:r w:rsidRPr="00960E15">
        <w:tab/>
        <w:t>Larvae of honey bee</w:t>
      </w:r>
      <w:r w:rsidRPr="00960E15">
        <w:rPr>
          <w:i/>
          <w:iCs/>
        </w:rPr>
        <w:t xml:space="preserve"> </w:t>
      </w:r>
      <w:r w:rsidRPr="00960E15">
        <w:t>(</w:t>
      </w:r>
      <w:r w:rsidRPr="00960E15">
        <w:rPr>
          <w:i/>
          <w:iCs/>
        </w:rPr>
        <w:t xml:space="preserve">Apis mellifera </w:t>
      </w:r>
      <w:r w:rsidRPr="00960E15">
        <w:rPr>
          <w:iCs/>
        </w:rPr>
        <w:t>L.</w:t>
      </w:r>
      <w:r w:rsidRPr="00960E15">
        <w:t>); synchronized first larval stage instar (L1); derived from at least three healthy and queen-right colonies</w:t>
      </w:r>
      <w:r w:rsidRPr="00960E15">
        <w:rPr>
          <w:rFonts w:eastAsia="Calibri"/>
          <w:lang w:eastAsia="en-US"/>
        </w:rPr>
        <w:t xml:space="preserve"> adequately fed, healthy, as far as possible parasite-free</w:t>
      </w:r>
      <w:r w:rsidRPr="00960E15">
        <w:t>; source:</w:t>
      </w:r>
      <w:r w:rsidRPr="00960E15">
        <w:rPr>
          <w:rFonts w:eastAsia="Calibri"/>
          <w:lang w:eastAsia="en-US"/>
        </w:rPr>
        <w:t xml:space="preserve"> test facility own stock.</w:t>
      </w:r>
    </w:p>
    <w:p w14:paraId="08EB6546" w14:textId="77777777" w:rsidR="00E51CDD" w:rsidRPr="00960E15" w:rsidRDefault="00E51CDD" w:rsidP="00E51CDD">
      <w:pPr>
        <w:widowControl w:val="0"/>
        <w:ind w:left="2040" w:hanging="2040"/>
        <w:jc w:val="both"/>
      </w:pPr>
    </w:p>
    <w:p w14:paraId="4998D8FD" w14:textId="77777777" w:rsidR="00E51CDD" w:rsidRPr="00960E15" w:rsidRDefault="00E51CDD" w:rsidP="00E51CDD">
      <w:pPr>
        <w:widowControl w:val="0"/>
        <w:ind w:left="2040" w:hanging="2040"/>
        <w:jc w:val="both"/>
      </w:pPr>
      <w:r w:rsidRPr="00960E15">
        <w:t>Test design:</w:t>
      </w:r>
      <w:r w:rsidRPr="00960E15">
        <w:tab/>
        <w:t>22-day repeated exposure larval toxicity test according to OECD 239 (2016). L1 honey bee larvae (</w:t>
      </w:r>
      <w:r w:rsidRPr="00960E15">
        <w:rPr>
          <w:i/>
          <w:iCs/>
        </w:rPr>
        <w:t>Apis mellifera</w:t>
      </w:r>
      <w:r w:rsidRPr="00960E15">
        <w:rPr>
          <w:iCs/>
        </w:rPr>
        <w:t>)</w:t>
      </w:r>
      <w:r w:rsidRPr="00960E15">
        <w:rPr>
          <w:i/>
          <w:iCs/>
        </w:rPr>
        <w:t xml:space="preserve"> </w:t>
      </w:r>
      <w:r w:rsidRPr="00960E15">
        <w:t>were transferred from brood combs to polystyrene grafting cells in 48-well cell culture plates 2 days before start of the treatment (on D1). After this, the larvae were fed during larval development with artificial diet, containing the test item on rearing days 3, 4, 5 and 6. In total, 5 treatment groups were set up: 5 doses of the test item, 1 untreated control group, 1 and 1 dose of the reference item; each with 3 replicates and 16 larvae per replicate. Assessments of larval mortality were done 24, 48, 72, 96 and 120 hours after start of the treatment (respectively D4, D5, D6, D7, D8). Additionally, other observations such as small body size or large quantities of remaining food after 120 hours (D8) were noted. Pupal mortality was assessed at D15 and emergence of adults was evaluated at D22.</w:t>
      </w:r>
    </w:p>
    <w:p w14:paraId="07C94259" w14:textId="77777777" w:rsidR="00E51CDD" w:rsidRPr="00960E15" w:rsidRDefault="00E51CDD" w:rsidP="00E51CDD">
      <w:pPr>
        <w:widowControl w:val="0"/>
        <w:ind w:left="2040" w:hanging="2040"/>
      </w:pPr>
    </w:p>
    <w:p w14:paraId="4F02FB0A" w14:textId="77777777" w:rsidR="00E51CDD" w:rsidRPr="00960E15" w:rsidRDefault="00E51CDD" w:rsidP="00E51CDD">
      <w:pPr>
        <w:widowControl w:val="0"/>
        <w:ind w:left="2040" w:hanging="2040"/>
        <w:jc w:val="both"/>
        <w:rPr>
          <w:lang w:val="en-GB"/>
        </w:rPr>
      </w:pPr>
      <w:r w:rsidRPr="00960E15">
        <w:t>Endpoints:</w:t>
      </w:r>
      <w:r w:rsidRPr="00960E15">
        <w:tab/>
      </w:r>
      <w:r w:rsidRPr="00960E15">
        <w:rPr>
          <w:lang w:val="en-GB"/>
        </w:rPr>
        <w:t>Successful adult emergence (dose-effect relationship, EC/D</w:t>
      </w:r>
      <w:r w:rsidRPr="00960E15">
        <w:rPr>
          <w:vertAlign w:val="subscript"/>
          <w:lang w:val="en-GB"/>
        </w:rPr>
        <w:t>50</w:t>
      </w:r>
      <w:r w:rsidRPr="00960E15">
        <w:rPr>
          <w:lang w:val="en-GB"/>
        </w:rPr>
        <w:t>, NOEC/D), Mortality (LC/D</w:t>
      </w:r>
      <w:r w:rsidRPr="00960E15">
        <w:rPr>
          <w:vertAlign w:val="subscript"/>
          <w:lang w:val="en-GB"/>
        </w:rPr>
        <w:t>50</w:t>
      </w:r>
      <w:r w:rsidRPr="00960E15">
        <w:rPr>
          <w:lang w:val="en-GB"/>
        </w:rPr>
        <w:t>), qualitative observations: body size, remaining food.</w:t>
      </w:r>
    </w:p>
    <w:p w14:paraId="40659D01" w14:textId="77777777" w:rsidR="00E51CDD" w:rsidRPr="00960E15" w:rsidRDefault="00E51CDD" w:rsidP="00E51CDD">
      <w:pPr>
        <w:widowControl w:val="0"/>
      </w:pPr>
    </w:p>
    <w:p w14:paraId="1544F832" w14:textId="77777777" w:rsidR="00E51CDD" w:rsidRPr="00960E15" w:rsidRDefault="00E51CDD" w:rsidP="00E51CDD">
      <w:pPr>
        <w:widowControl w:val="0"/>
        <w:ind w:left="2041" w:hanging="2041"/>
        <w:jc w:val="both"/>
      </w:pPr>
      <w:r w:rsidRPr="00960E15">
        <w:t>Reference item:</w:t>
      </w:r>
      <w:r w:rsidRPr="00960E15">
        <w:tab/>
        <w:t>BAS 152 I (dimethoate, analyzed purity: 99.0% w/w).</w:t>
      </w:r>
    </w:p>
    <w:p w14:paraId="11F25EEC" w14:textId="77777777" w:rsidR="00E51CDD" w:rsidRPr="00960E15" w:rsidRDefault="00E51CDD" w:rsidP="00E51CDD">
      <w:pPr>
        <w:widowControl w:val="0"/>
      </w:pPr>
    </w:p>
    <w:p w14:paraId="1A304586" w14:textId="77777777" w:rsidR="00E51CDD" w:rsidRPr="00960E15" w:rsidRDefault="00E51CDD" w:rsidP="00E51CDD">
      <w:pPr>
        <w:widowControl w:val="0"/>
        <w:ind w:left="2040" w:hanging="2040"/>
        <w:jc w:val="both"/>
      </w:pPr>
      <w:r w:rsidRPr="00960E15">
        <w:t>Test doses:</w:t>
      </w:r>
      <w:r w:rsidRPr="00960E15">
        <w:tab/>
        <w:t>Control: untreated diet (50% aqueous yeast/sugar solution with 50% royal jelly)</w:t>
      </w:r>
    </w:p>
    <w:p w14:paraId="48E7EB96" w14:textId="77777777" w:rsidR="00E51CDD" w:rsidRPr="00960E15" w:rsidRDefault="00E51CDD" w:rsidP="00E51CDD">
      <w:pPr>
        <w:widowControl w:val="0"/>
        <w:ind w:left="2040" w:hanging="2040"/>
      </w:pPr>
      <w:r w:rsidRPr="00960E15">
        <w:tab/>
        <w:t>Test item treatments:</w:t>
      </w:r>
    </w:p>
    <w:tbl>
      <w:tblPr>
        <w:tblStyle w:val="DAR0079"/>
        <w:tblW w:w="4226" w:type="pct"/>
        <w:tblInd w:w="1980" w:type="dxa"/>
        <w:tblLayout w:type="fixed"/>
        <w:tblLook w:val="04A0" w:firstRow="1" w:lastRow="0" w:firstColumn="1" w:lastColumn="0" w:noHBand="0" w:noVBand="1"/>
      </w:tblPr>
      <w:tblGrid>
        <w:gridCol w:w="1367"/>
        <w:gridCol w:w="1217"/>
        <w:gridCol w:w="1366"/>
        <w:gridCol w:w="8"/>
        <w:gridCol w:w="1358"/>
        <w:gridCol w:w="1216"/>
        <w:gridCol w:w="1366"/>
      </w:tblGrid>
      <w:tr w:rsidR="00E51CDD" w:rsidRPr="00960E15" w14:paraId="6BA8CB42" w14:textId="77777777" w:rsidTr="009938D9">
        <w:trPr>
          <w:trHeight w:val="247"/>
        </w:trPr>
        <w:tc>
          <w:tcPr>
            <w:tcW w:w="2505" w:type="pct"/>
            <w:gridSpan w:val="4"/>
            <w:vAlign w:val="center"/>
          </w:tcPr>
          <w:p w14:paraId="0445C565" w14:textId="77777777" w:rsidR="00E51CDD" w:rsidRPr="00960E15" w:rsidRDefault="00E51CDD" w:rsidP="009938D9">
            <w:pPr>
              <w:widowControl w:val="0"/>
              <w:rPr>
                <w:sz w:val="20"/>
                <w:szCs w:val="20"/>
              </w:rPr>
            </w:pPr>
            <w:r w:rsidRPr="00960E15">
              <w:rPr>
                <w:sz w:val="20"/>
                <w:szCs w:val="20"/>
                <w:lang w:val="de-DE"/>
              </w:rPr>
              <w:t>Concentration [mg/kg food]</w:t>
            </w:r>
          </w:p>
        </w:tc>
        <w:tc>
          <w:tcPr>
            <w:tcW w:w="2495" w:type="pct"/>
            <w:gridSpan w:val="3"/>
            <w:vAlign w:val="center"/>
          </w:tcPr>
          <w:p w14:paraId="03B25663" w14:textId="77777777" w:rsidR="00E51CDD" w:rsidRPr="00960E15" w:rsidRDefault="00E51CDD" w:rsidP="009938D9">
            <w:pPr>
              <w:widowControl w:val="0"/>
              <w:rPr>
                <w:sz w:val="20"/>
                <w:szCs w:val="20"/>
              </w:rPr>
            </w:pPr>
            <w:r w:rsidRPr="00960E15">
              <w:rPr>
                <w:sz w:val="20"/>
                <w:szCs w:val="20"/>
              </w:rPr>
              <w:t>Dose [µg/larva/developmental period]</w:t>
            </w:r>
          </w:p>
        </w:tc>
      </w:tr>
      <w:tr w:rsidR="00E51CDD" w:rsidRPr="00960E15" w14:paraId="525FDE67" w14:textId="77777777" w:rsidTr="009938D9">
        <w:trPr>
          <w:trHeight w:val="247"/>
        </w:trPr>
        <w:tc>
          <w:tcPr>
            <w:tcW w:w="865" w:type="pct"/>
            <w:vAlign w:val="center"/>
          </w:tcPr>
          <w:p w14:paraId="458AA521" w14:textId="77777777" w:rsidR="00E51CDD" w:rsidRPr="00960E15" w:rsidRDefault="00E51CDD" w:rsidP="009938D9">
            <w:pPr>
              <w:widowControl w:val="0"/>
              <w:rPr>
                <w:sz w:val="20"/>
                <w:szCs w:val="20"/>
              </w:rPr>
            </w:pPr>
            <w:r w:rsidRPr="00960E15">
              <w:rPr>
                <w:sz w:val="20"/>
                <w:szCs w:val="20"/>
                <w:lang w:val="de-DE"/>
              </w:rPr>
              <w:t>BAS 736 00 F</w:t>
            </w:r>
          </w:p>
        </w:tc>
        <w:tc>
          <w:tcPr>
            <w:tcW w:w="770" w:type="pct"/>
            <w:vAlign w:val="center"/>
          </w:tcPr>
          <w:p w14:paraId="72EDAA18" w14:textId="77777777" w:rsidR="00E51CDD" w:rsidRPr="00960E15" w:rsidRDefault="00E51CDD" w:rsidP="009938D9">
            <w:pPr>
              <w:widowControl w:val="0"/>
              <w:rPr>
                <w:sz w:val="20"/>
                <w:szCs w:val="20"/>
              </w:rPr>
            </w:pPr>
            <w:r w:rsidRPr="00960E15">
              <w:rPr>
                <w:sz w:val="20"/>
                <w:szCs w:val="20"/>
                <w:lang w:val="de-DE"/>
              </w:rPr>
              <w:t>BAS 9164 F</w:t>
            </w:r>
          </w:p>
        </w:tc>
        <w:tc>
          <w:tcPr>
            <w:tcW w:w="865" w:type="pct"/>
            <w:vAlign w:val="center"/>
          </w:tcPr>
          <w:p w14:paraId="22A34305" w14:textId="77777777" w:rsidR="00E51CDD" w:rsidRPr="00960E15" w:rsidRDefault="00E51CDD" w:rsidP="009938D9">
            <w:pPr>
              <w:widowControl w:val="0"/>
              <w:rPr>
                <w:sz w:val="20"/>
                <w:szCs w:val="20"/>
              </w:rPr>
            </w:pPr>
            <w:r w:rsidRPr="00960E15">
              <w:rPr>
                <w:sz w:val="20"/>
                <w:szCs w:val="20"/>
                <w:lang w:val="de-DE"/>
              </w:rPr>
              <w:t>BAS 700 F</w:t>
            </w:r>
          </w:p>
        </w:tc>
        <w:tc>
          <w:tcPr>
            <w:tcW w:w="865" w:type="pct"/>
            <w:gridSpan w:val="2"/>
            <w:vAlign w:val="center"/>
          </w:tcPr>
          <w:p w14:paraId="6C4EEAA9" w14:textId="77777777" w:rsidR="00E51CDD" w:rsidRPr="00960E15" w:rsidRDefault="00E51CDD" w:rsidP="009938D9">
            <w:pPr>
              <w:widowControl w:val="0"/>
              <w:rPr>
                <w:sz w:val="20"/>
                <w:szCs w:val="20"/>
              </w:rPr>
            </w:pPr>
            <w:r w:rsidRPr="00960E15">
              <w:rPr>
                <w:sz w:val="20"/>
                <w:szCs w:val="20"/>
                <w:lang w:val="de-DE"/>
              </w:rPr>
              <w:t>BAS 736 00 F</w:t>
            </w:r>
          </w:p>
        </w:tc>
        <w:tc>
          <w:tcPr>
            <w:tcW w:w="770" w:type="pct"/>
            <w:vAlign w:val="center"/>
          </w:tcPr>
          <w:p w14:paraId="2A8D390D" w14:textId="77777777" w:rsidR="00E51CDD" w:rsidRPr="00960E15" w:rsidRDefault="00E51CDD" w:rsidP="009938D9">
            <w:pPr>
              <w:widowControl w:val="0"/>
              <w:rPr>
                <w:sz w:val="20"/>
                <w:szCs w:val="20"/>
              </w:rPr>
            </w:pPr>
            <w:r w:rsidRPr="00960E15">
              <w:rPr>
                <w:sz w:val="20"/>
                <w:szCs w:val="20"/>
                <w:lang w:val="de-DE"/>
              </w:rPr>
              <w:t>BAS 9164 F</w:t>
            </w:r>
          </w:p>
        </w:tc>
        <w:tc>
          <w:tcPr>
            <w:tcW w:w="865" w:type="pct"/>
            <w:vAlign w:val="center"/>
          </w:tcPr>
          <w:p w14:paraId="06D271AE" w14:textId="77777777" w:rsidR="00E51CDD" w:rsidRPr="00960E15" w:rsidRDefault="00E51CDD" w:rsidP="009938D9">
            <w:pPr>
              <w:widowControl w:val="0"/>
              <w:rPr>
                <w:sz w:val="20"/>
                <w:szCs w:val="20"/>
              </w:rPr>
            </w:pPr>
            <w:r w:rsidRPr="00960E15">
              <w:rPr>
                <w:sz w:val="20"/>
                <w:szCs w:val="20"/>
                <w:lang w:val="de-DE"/>
              </w:rPr>
              <w:t>BAS 700 F</w:t>
            </w:r>
          </w:p>
        </w:tc>
      </w:tr>
      <w:tr w:rsidR="00E51CDD" w:rsidRPr="00960E15" w14:paraId="23E452B9" w14:textId="77777777" w:rsidTr="009938D9">
        <w:trPr>
          <w:trHeight w:val="247"/>
        </w:trPr>
        <w:tc>
          <w:tcPr>
            <w:tcW w:w="865" w:type="pct"/>
            <w:vAlign w:val="center"/>
          </w:tcPr>
          <w:p w14:paraId="42E3E61E" w14:textId="77777777" w:rsidR="00E51CDD" w:rsidRPr="00960E15" w:rsidRDefault="00E51CDD" w:rsidP="009938D9">
            <w:pPr>
              <w:widowControl w:val="0"/>
              <w:rPr>
                <w:sz w:val="20"/>
                <w:szCs w:val="20"/>
              </w:rPr>
            </w:pPr>
            <w:r w:rsidRPr="00960E15">
              <w:rPr>
                <w:sz w:val="20"/>
                <w:szCs w:val="20"/>
              </w:rPr>
              <w:t>520</w:t>
            </w:r>
          </w:p>
        </w:tc>
        <w:tc>
          <w:tcPr>
            <w:tcW w:w="770" w:type="pct"/>
            <w:vAlign w:val="center"/>
          </w:tcPr>
          <w:p w14:paraId="3BFFD86D" w14:textId="77777777" w:rsidR="00E51CDD" w:rsidRPr="00960E15" w:rsidRDefault="00E51CDD" w:rsidP="009938D9">
            <w:pPr>
              <w:widowControl w:val="0"/>
              <w:rPr>
                <w:sz w:val="20"/>
                <w:szCs w:val="20"/>
              </w:rPr>
            </w:pPr>
            <w:r w:rsidRPr="00960E15">
              <w:rPr>
                <w:sz w:val="20"/>
                <w:szCs w:val="20"/>
              </w:rPr>
              <w:t>36.2</w:t>
            </w:r>
          </w:p>
        </w:tc>
        <w:tc>
          <w:tcPr>
            <w:tcW w:w="865" w:type="pct"/>
            <w:vAlign w:val="center"/>
          </w:tcPr>
          <w:p w14:paraId="611EAB08" w14:textId="77777777" w:rsidR="00E51CDD" w:rsidRPr="00960E15" w:rsidRDefault="00E51CDD" w:rsidP="009938D9">
            <w:pPr>
              <w:widowControl w:val="0"/>
              <w:rPr>
                <w:sz w:val="20"/>
                <w:szCs w:val="20"/>
              </w:rPr>
            </w:pPr>
            <w:r w:rsidRPr="00960E15">
              <w:rPr>
                <w:sz w:val="20"/>
                <w:szCs w:val="20"/>
              </w:rPr>
              <w:t>24.1</w:t>
            </w:r>
          </w:p>
        </w:tc>
        <w:tc>
          <w:tcPr>
            <w:tcW w:w="865" w:type="pct"/>
            <w:gridSpan w:val="2"/>
            <w:vAlign w:val="center"/>
          </w:tcPr>
          <w:p w14:paraId="70943F26" w14:textId="77777777" w:rsidR="00E51CDD" w:rsidRPr="00960E15" w:rsidRDefault="00E51CDD" w:rsidP="009938D9">
            <w:pPr>
              <w:widowControl w:val="0"/>
              <w:rPr>
                <w:sz w:val="20"/>
                <w:szCs w:val="20"/>
              </w:rPr>
            </w:pPr>
            <w:r w:rsidRPr="00960E15">
              <w:rPr>
                <w:sz w:val="20"/>
                <w:szCs w:val="20"/>
              </w:rPr>
              <w:t>80.1</w:t>
            </w:r>
          </w:p>
        </w:tc>
        <w:tc>
          <w:tcPr>
            <w:tcW w:w="770" w:type="pct"/>
            <w:vAlign w:val="center"/>
          </w:tcPr>
          <w:p w14:paraId="02478E91" w14:textId="77777777" w:rsidR="00E51CDD" w:rsidRPr="00960E15" w:rsidRDefault="00E51CDD" w:rsidP="009938D9">
            <w:pPr>
              <w:widowControl w:val="0"/>
              <w:rPr>
                <w:sz w:val="20"/>
                <w:szCs w:val="20"/>
              </w:rPr>
            </w:pPr>
            <w:r w:rsidRPr="00960E15">
              <w:rPr>
                <w:sz w:val="20"/>
                <w:szCs w:val="20"/>
              </w:rPr>
              <w:t>5.57</w:t>
            </w:r>
          </w:p>
        </w:tc>
        <w:tc>
          <w:tcPr>
            <w:tcW w:w="865" w:type="pct"/>
            <w:vAlign w:val="center"/>
          </w:tcPr>
          <w:p w14:paraId="0E350A99" w14:textId="77777777" w:rsidR="00E51CDD" w:rsidRPr="00960E15" w:rsidRDefault="00E51CDD" w:rsidP="009938D9">
            <w:pPr>
              <w:widowControl w:val="0"/>
              <w:rPr>
                <w:sz w:val="20"/>
                <w:szCs w:val="20"/>
              </w:rPr>
            </w:pPr>
            <w:r w:rsidRPr="00960E15">
              <w:rPr>
                <w:sz w:val="20"/>
                <w:szCs w:val="20"/>
              </w:rPr>
              <w:t>3.71</w:t>
            </w:r>
          </w:p>
        </w:tc>
      </w:tr>
      <w:tr w:rsidR="00E51CDD" w:rsidRPr="00960E15" w14:paraId="0C8FAABA" w14:textId="77777777" w:rsidTr="009938D9">
        <w:trPr>
          <w:trHeight w:val="247"/>
        </w:trPr>
        <w:tc>
          <w:tcPr>
            <w:tcW w:w="865" w:type="pct"/>
            <w:vAlign w:val="center"/>
          </w:tcPr>
          <w:p w14:paraId="09464419" w14:textId="77777777" w:rsidR="00E51CDD" w:rsidRPr="00960E15" w:rsidRDefault="00E51CDD" w:rsidP="009938D9">
            <w:pPr>
              <w:widowControl w:val="0"/>
              <w:rPr>
                <w:sz w:val="20"/>
                <w:szCs w:val="20"/>
              </w:rPr>
            </w:pPr>
            <w:r w:rsidRPr="00960E15">
              <w:rPr>
                <w:sz w:val="20"/>
                <w:szCs w:val="20"/>
              </w:rPr>
              <w:t>779</w:t>
            </w:r>
          </w:p>
        </w:tc>
        <w:tc>
          <w:tcPr>
            <w:tcW w:w="770" w:type="pct"/>
            <w:vAlign w:val="center"/>
          </w:tcPr>
          <w:p w14:paraId="67AF3218" w14:textId="77777777" w:rsidR="00E51CDD" w:rsidRPr="00960E15" w:rsidRDefault="00E51CDD" w:rsidP="009938D9">
            <w:pPr>
              <w:widowControl w:val="0"/>
              <w:rPr>
                <w:sz w:val="20"/>
                <w:szCs w:val="20"/>
              </w:rPr>
            </w:pPr>
            <w:r w:rsidRPr="00960E15">
              <w:rPr>
                <w:sz w:val="20"/>
                <w:szCs w:val="20"/>
              </w:rPr>
              <w:t>54.2</w:t>
            </w:r>
          </w:p>
        </w:tc>
        <w:tc>
          <w:tcPr>
            <w:tcW w:w="865" w:type="pct"/>
            <w:vAlign w:val="center"/>
          </w:tcPr>
          <w:p w14:paraId="4721B9B4" w14:textId="77777777" w:rsidR="00E51CDD" w:rsidRPr="00960E15" w:rsidRDefault="00E51CDD" w:rsidP="009938D9">
            <w:pPr>
              <w:widowControl w:val="0"/>
              <w:rPr>
                <w:sz w:val="20"/>
                <w:szCs w:val="20"/>
              </w:rPr>
            </w:pPr>
            <w:r w:rsidRPr="00960E15">
              <w:rPr>
                <w:sz w:val="20"/>
                <w:szCs w:val="20"/>
              </w:rPr>
              <w:t>36.1</w:t>
            </w:r>
          </w:p>
        </w:tc>
        <w:tc>
          <w:tcPr>
            <w:tcW w:w="865" w:type="pct"/>
            <w:gridSpan w:val="2"/>
            <w:vAlign w:val="center"/>
          </w:tcPr>
          <w:p w14:paraId="73DE194F" w14:textId="77777777" w:rsidR="00E51CDD" w:rsidRPr="00960E15" w:rsidRDefault="00E51CDD" w:rsidP="009938D9">
            <w:pPr>
              <w:widowControl w:val="0"/>
              <w:rPr>
                <w:sz w:val="20"/>
                <w:szCs w:val="20"/>
              </w:rPr>
            </w:pPr>
            <w:r w:rsidRPr="00960E15">
              <w:rPr>
                <w:sz w:val="20"/>
                <w:szCs w:val="20"/>
              </w:rPr>
              <w:t>120</w:t>
            </w:r>
          </w:p>
        </w:tc>
        <w:tc>
          <w:tcPr>
            <w:tcW w:w="770" w:type="pct"/>
            <w:vAlign w:val="center"/>
          </w:tcPr>
          <w:p w14:paraId="2A7DF39F" w14:textId="77777777" w:rsidR="00E51CDD" w:rsidRPr="00960E15" w:rsidRDefault="00E51CDD" w:rsidP="009938D9">
            <w:pPr>
              <w:widowControl w:val="0"/>
              <w:rPr>
                <w:sz w:val="20"/>
                <w:szCs w:val="20"/>
              </w:rPr>
            </w:pPr>
            <w:r w:rsidRPr="00960E15">
              <w:rPr>
                <w:sz w:val="20"/>
                <w:szCs w:val="20"/>
              </w:rPr>
              <w:t>8.35</w:t>
            </w:r>
          </w:p>
        </w:tc>
        <w:tc>
          <w:tcPr>
            <w:tcW w:w="865" w:type="pct"/>
            <w:vAlign w:val="center"/>
          </w:tcPr>
          <w:p w14:paraId="3CF7E16B" w14:textId="77777777" w:rsidR="00E51CDD" w:rsidRPr="00960E15" w:rsidRDefault="00E51CDD" w:rsidP="009938D9">
            <w:pPr>
              <w:widowControl w:val="0"/>
              <w:rPr>
                <w:sz w:val="20"/>
                <w:szCs w:val="20"/>
              </w:rPr>
            </w:pPr>
            <w:r w:rsidRPr="00960E15">
              <w:rPr>
                <w:sz w:val="20"/>
                <w:szCs w:val="20"/>
              </w:rPr>
              <w:t>5.56</w:t>
            </w:r>
          </w:p>
        </w:tc>
      </w:tr>
      <w:tr w:rsidR="00E51CDD" w:rsidRPr="00960E15" w14:paraId="4F01BD08" w14:textId="77777777" w:rsidTr="009938D9">
        <w:trPr>
          <w:trHeight w:val="247"/>
        </w:trPr>
        <w:tc>
          <w:tcPr>
            <w:tcW w:w="865" w:type="pct"/>
            <w:vAlign w:val="center"/>
          </w:tcPr>
          <w:p w14:paraId="7E9567C6" w14:textId="77777777" w:rsidR="00E51CDD" w:rsidRPr="00960E15" w:rsidRDefault="00E51CDD" w:rsidP="009938D9">
            <w:pPr>
              <w:widowControl w:val="0"/>
              <w:rPr>
                <w:sz w:val="20"/>
                <w:szCs w:val="20"/>
              </w:rPr>
            </w:pPr>
            <w:r w:rsidRPr="00960E15">
              <w:rPr>
                <w:sz w:val="20"/>
                <w:szCs w:val="20"/>
              </w:rPr>
              <w:t>1169</w:t>
            </w:r>
          </w:p>
        </w:tc>
        <w:tc>
          <w:tcPr>
            <w:tcW w:w="770" w:type="pct"/>
            <w:vAlign w:val="center"/>
          </w:tcPr>
          <w:p w14:paraId="44BB1EB3" w14:textId="77777777" w:rsidR="00E51CDD" w:rsidRPr="00960E15" w:rsidRDefault="00E51CDD" w:rsidP="009938D9">
            <w:pPr>
              <w:widowControl w:val="0"/>
              <w:rPr>
                <w:sz w:val="20"/>
                <w:szCs w:val="20"/>
              </w:rPr>
            </w:pPr>
            <w:r w:rsidRPr="00960E15">
              <w:rPr>
                <w:sz w:val="20"/>
                <w:szCs w:val="20"/>
              </w:rPr>
              <w:t>81.4</w:t>
            </w:r>
          </w:p>
        </w:tc>
        <w:tc>
          <w:tcPr>
            <w:tcW w:w="865" w:type="pct"/>
            <w:vAlign w:val="center"/>
          </w:tcPr>
          <w:p w14:paraId="599597F6" w14:textId="77777777" w:rsidR="00E51CDD" w:rsidRPr="00960E15" w:rsidRDefault="00E51CDD" w:rsidP="009938D9">
            <w:pPr>
              <w:widowControl w:val="0"/>
              <w:rPr>
                <w:sz w:val="20"/>
                <w:szCs w:val="20"/>
              </w:rPr>
            </w:pPr>
            <w:r w:rsidRPr="00960E15">
              <w:rPr>
                <w:sz w:val="20"/>
                <w:szCs w:val="20"/>
              </w:rPr>
              <w:t>54.2</w:t>
            </w:r>
          </w:p>
        </w:tc>
        <w:tc>
          <w:tcPr>
            <w:tcW w:w="865" w:type="pct"/>
            <w:gridSpan w:val="2"/>
            <w:vAlign w:val="center"/>
          </w:tcPr>
          <w:p w14:paraId="5AF39786" w14:textId="77777777" w:rsidR="00E51CDD" w:rsidRPr="00960E15" w:rsidRDefault="00E51CDD" w:rsidP="009938D9">
            <w:pPr>
              <w:widowControl w:val="0"/>
              <w:rPr>
                <w:sz w:val="20"/>
                <w:szCs w:val="20"/>
              </w:rPr>
            </w:pPr>
            <w:r w:rsidRPr="00960E15">
              <w:rPr>
                <w:sz w:val="20"/>
                <w:szCs w:val="20"/>
              </w:rPr>
              <w:t>180</w:t>
            </w:r>
          </w:p>
        </w:tc>
        <w:tc>
          <w:tcPr>
            <w:tcW w:w="770" w:type="pct"/>
            <w:vAlign w:val="center"/>
          </w:tcPr>
          <w:p w14:paraId="4E08E3BE" w14:textId="77777777" w:rsidR="00E51CDD" w:rsidRPr="00960E15" w:rsidRDefault="00E51CDD" w:rsidP="009938D9">
            <w:pPr>
              <w:widowControl w:val="0"/>
              <w:rPr>
                <w:sz w:val="20"/>
                <w:szCs w:val="20"/>
              </w:rPr>
            </w:pPr>
            <w:r w:rsidRPr="00960E15">
              <w:rPr>
                <w:sz w:val="20"/>
                <w:szCs w:val="20"/>
              </w:rPr>
              <w:t>12.5</w:t>
            </w:r>
          </w:p>
        </w:tc>
        <w:tc>
          <w:tcPr>
            <w:tcW w:w="865" w:type="pct"/>
            <w:vAlign w:val="center"/>
          </w:tcPr>
          <w:p w14:paraId="4615D7B9" w14:textId="77777777" w:rsidR="00E51CDD" w:rsidRPr="00960E15" w:rsidRDefault="00E51CDD" w:rsidP="009938D9">
            <w:pPr>
              <w:widowControl w:val="0"/>
              <w:rPr>
                <w:sz w:val="20"/>
                <w:szCs w:val="20"/>
              </w:rPr>
            </w:pPr>
            <w:r w:rsidRPr="00960E15">
              <w:rPr>
                <w:sz w:val="20"/>
                <w:szCs w:val="20"/>
              </w:rPr>
              <w:t>8.35</w:t>
            </w:r>
          </w:p>
        </w:tc>
      </w:tr>
      <w:tr w:rsidR="00E51CDD" w:rsidRPr="00960E15" w14:paraId="70084102" w14:textId="77777777" w:rsidTr="009938D9">
        <w:trPr>
          <w:trHeight w:val="247"/>
        </w:trPr>
        <w:tc>
          <w:tcPr>
            <w:tcW w:w="865" w:type="pct"/>
            <w:vAlign w:val="center"/>
          </w:tcPr>
          <w:p w14:paraId="10BDBA2B" w14:textId="77777777" w:rsidR="00E51CDD" w:rsidRPr="00960E15" w:rsidRDefault="00E51CDD" w:rsidP="009938D9">
            <w:pPr>
              <w:widowControl w:val="0"/>
              <w:rPr>
                <w:sz w:val="20"/>
                <w:szCs w:val="20"/>
              </w:rPr>
            </w:pPr>
            <w:r w:rsidRPr="00960E15">
              <w:rPr>
                <w:sz w:val="20"/>
                <w:szCs w:val="20"/>
              </w:rPr>
              <w:t>1753</w:t>
            </w:r>
          </w:p>
        </w:tc>
        <w:tc>
          <w:tcPr>
            <w:tcW w:w="770" w:type="pct"/>
            <w:vAlign w:val="center"/>
          </w:tcPr>
          <w:p w14:paraId="599BCA6D" w14:textId="77777777" w:rsidR="00E51CDD" w:rsidRPr="00960E15" w:rsidRDefault="00E51CDD" w:rsidP="009938D9">
            <w:pPr>
              <w:widowControl w:val="0"/>
              <w:rPr>
                <w:sz w:val="20"/>
                <w:szCs w:val="20"/>
              </w:rPr>
            </w:pPr>
            <w:r w:rsidRPr="00960E15">
              <w:rPr>
                <w:sz w:val="20"/>
                <w:szCs w:val="20"/>
              </w:rPr>
              <w:t>122</w:t>
            </w:r>
          </w:p>
        </w:tc>
        <w:tc>
          <w:tcPr>
            <w:tcW w:w="865" w:type="pct"/>
            <w:vAlign w:val="center"/>
          </w:tcPr>
          <w:p w14:paraId="48B1AA63" w14:textId="77777777" w:rsidR="00E51CDD" w:rsidRPr="00960E15" w:rsidRDefault="00E51CDD" w:rsidP="009938D9">
            <w:pPr>
              <w:widowControl w:val="0"/>
              <w:rPr>
                <w:sz w:val="20"/>
                <w:szCs w:val="20"/>
              </w:rPr>
            </w:pPr>
            <w:r w:rsidRPr="00960E15">
              <w:rPr>
                <w:sz w:val="20"/>
                <w:szCs w:val="20"/>
              </w:rPr>
              <w:t>81.3</w:t>
            </w:r>
          </w:p>
        </w:tc>
        <w:tc>
          <w:tcPr>
            <w:tcW w:w="865" w:type="pct"/>
            <w:gridSpan w:val="2"/>
            <w:vAlign w:val="center"/>
          </w:tcPr>
          <w:p w14:paraId="62E27C4B" w14:textId="77777777" w:rsidR="00E51CDD" w:rsidRPr="00960E15" w:rsidRDefault="00E51CDD" w:rsidP="009938D9">
            <w:pPr>
              <w:widowControl w:val="0"/>
              <w:rPr>
                <w:sz w:val="20"/>
                <w:szCs w:val="20"/>
              </w:rPr>
            </w:pPr>
            <w:r w:rsidRPr="00960E15">
              <w:rPr>
                <w:sz w:val="20"/>
                <w:szCs w:val="20"/>
              </w:rPr>
              <w:t>270</w:t>
            </w:r>
          </w:p>
        </w:tc>
        <w:tc>
          <w:tcPr>
            <w:tcW w:w="770" w:type="pct"/>
            <w:vAlign w:val="center"/>
          </w:tcPr>
          <w:p w14:paraId="25C72B67" w14:textId="77777777" w:rsidR="00E51CDD" w:rsidRPr="00960E15" w:rsidRDefault="00E51CDD" w:rsidP="009938D9">
            <w:pPr>
              <w:widowControl w:val="0"/>
              <w:rPr>
                <w:sz w:val="20"/>
                <w:szCs w:val="20"/>
              </w:rPr>
            </w:pPr>
            <w:r w:rsidRPr="00960E15">
              <w:rPr>
                <w:sz w:val="20"/>
                <w:szCs w:val="20"/>
              </w:rPr>
              <w:t>18.8</w:t>
            </w:r>
          </w:p>
        </w:tc>
        <w:tc>
          <w:tcPr>
            <w:tcW w:w="865" w:type="pct"/>
            <w:vAlign w:val="center"/>
          </w:tcPr>
          <w:p w14:paraId="64D8E64F" w14:textId="77777777" w:rsidR="00E51CDD" w:rsidRPr="00960E15" w:rsidRDefault="00E51CDD" w:rsidP="009938D9">
            <w:pPr>
              <w:widowControl w:val="0"/>
              <w:rPr>
                <w:sz w:val="20"/>
                <w:szCs w:val="20"/>
              </w:rPr>
            </w:pPr>
            <w:r w:rsidRPr="00960E15">
              <w:rPr>
                <w:sz w:val="20"/>
                <w:szCs w:val="20"/>
              </w:rPr>
              <w:t>12.5</w:t>
            </w:r>
          </w:p>
        </w:tc>
      </w:tr>
      <w:tr w:rsidR="00E51CDD" w:rsidRPr="00960E15" w14:paraId="70EE127F" w14:textId="77777777" w:rsidTr="009938D9">
        <w:trPr>
          <w:trHeight w:val="247"/>
        </w:trPr>
        <w:tc>
          <w:tcPr>
            <w:tcW w:w="865" w:type="pct"/>
            <w:vAlign w:val="center"/>
          </w:tcPr>
          <w:p w14:paraId="07B2E18A" w14:textId="77777777" w:rsidR="00E51CDD" w:rsidRPr="00960E15" w:rsidRDefault="00E51CDD" w:rsidP="009938D9">
            <w:pPr>
              <w:widowControl w:val="0"/>
              <w:rPr>
                <w:sz w:val="20"/>
                <w:szCs w:val="20"/>
              </w:rPr>
            </w:pPr>
            <w:r w:rsidRPr="00960E15">
              <w:rPr>
                <w:sz w:val="20"/>
                <w:szCs w:val="20"/>
              </w:rPr>
              <w:t>2630</w:t>
            </w:r>
          </w:p>
        </w:tc>
        <w:tc>
          <w:tcPr>
            <w:tcW w:w="770" w:type="pct"/>
            <w:vAlign w:val="center"/>
          </w:tcPr>
          <w:p w14:paraId="74832FB0" w14:textId="77777777" w:rsidR="00E51CDD" w:rsidRPr="00960E15" w:rsidRDefault="00E51CDD" w:rsidP="009938D9">
            <w:pPr>
              <w:widowControl w:val="0"/>
              <w:rPr>
                <w:sz w:val="20"/>
                <w:szCs w:val="20"/>
              </w:rPr>
            </w:pPr>
            <w:r w:rsidRPr="00960E15">
              <w:rPr>
                <w:sz w:val="20"/>
                <w:szCs w:val="20"/>
              </w:rPr>
              <w:t>183</w:t>
            </w:r>
          </w:p>
        </w:tc>
        <w:tc>
          <w:tcPr>
            <w:tcW w:w="865" w:type="pct"/>
            <w:vAlign w:val="center"/>
          </w:tcPr>
          <w:p w14:paraId="67C97ADB" w14:textId="77777777" w:rsidR="00E51CDD" w:rsidRPr="00960E15" w:rsidRDefault="00E51CDD" w:rsidP="009938D9">
            <w:pPr>
              <w:widowControl w:val="0"/>
              <w:rPr>
                <w:sz w:val="20"/>
                <w:szCs w:val="20"/>
              </w:rPr>
            </w:pPr>
            <w:r w:rsidRPr="00960E15">
              <w:rPr>
                <w:sz w:val="20"/>
                <w:szCs w:val="20"/>
              </w:rPr>
              <w:t>122</w:t>
            </w:r>
          </w:p>
        </w:tc>
        <w:tc>
          <w:tcPr>
            <w:tcW w:w="865" w:type="pct"/>
            <w:gridSpan w:val="2"/>
            <w:vAlign w:val="center"/>
          </w:tcPr>
          <w:p w14:paraId="377B1095" w14:textId="77777777" w:rsidR="00E51CDD" w:rsidRPr="00960E15" w:rsidRDefault="00E51CDD" w:rsidP="009938D9">
            <w:pPr>
              <w:widowControl w:val="0"/>
              <w:rPr>
                <w:sz w:val="20"/>
                <w:szCs w:val="20"/>
              </w:rPr>
            </w:pPr>
            <w:r w:rsidRPr="00960E15">
              <w:rPr>
                <w:sz w:val="20"/>
                <w:szCs w:val="20"/>
              </w:rPr>
              <w:t>405</w:t>
            </w:r>
          </w:p>
        </w:tc>
        <w:tc>
          <w:tcPr>
            <w:tcW w:w="770" w:type="pct"/>
            <w:vAlign w:val="center"/>
          </w:tcPr>
          <w:p w14:paraId="0737E29F" w14:textId="77777777" w:rsidR="00E51CDD" w:rsidRPr="00960E15" w:rsidRDefault="00E51CDD" w:rsidP="009938D9">
            <w:pPr>
              <w:widowControl w:val="0"/>
              <w:rPr>
                <w:sz w:val="20"/>
                <w:szCs w:val="20"/>
              </w:rPr>
            </w:pPr>
            <w:r w:rsidRPr="00960E15">
              <w:rPr>
                <w:sz w:val="20"/>
                <w:szCs w:val="20"/>
              </w:rPr>
              <w:t>28.2</w:t>
            </w:r>
          </w:p>
        </w:tc>
        <w:tc>
          <w:tcPr>
            <w:tcW w:w="865" w:type="pct"/>
            <w:vAlign w:val="center"/>
          </w:tcPr>
          <w:p w14:paraId="05FDB3F9" w14:textId="77777777" w:rsidR="00E51CDD" w:rsidRPr="00960E15" w:rsidRDefault="00E51CDD" w:rsidP="009938D9">
            <w:pPr>
              <w:widowControl w:val="0"/>
              <w:rPr>
                <w:sz w:val="20"/>
                <w:szCs w:val="20"/>
              </w:rPr>
            </w:pPr>
            <w:r w:rsidRPr="00960E15">
              <w:rPr>
                <w:sz w:val="20"/>
                <w:szCs w:val="20"/>
              </w:rPr>
              <w:t>18.8</w:t>
            </w:r>
          </w:p>
        </w:tc>
      </w:tr>
    </w:tbl>
    <w:p w14:paraId="7848976E" w14:textId="77777777" w:rsidR="00E51CDD" w:rsidRPr="00960E15" w:rsidRDefault="00E51CDD" w:rsidP="00E51CDD">
      <w:pPr>
        <w:widowControl w:val="0"/>
        <w:ind w:left="2041" w:hanging="2041"/>
      </w:pPr>
    </w:p>
    <w:p w14:paraId="13E65C90" w14:textId="77777777" w:rsidR="00E51CDD" w:rsidRDefault="00E51CDD" w:rsidP="00E51CDD">
      <w:pPr>
        <w:widowControl w:val="0"/>
        <w:ind w:left="2041"/>
        <w:jc w:val="both"/>
      </w:pPr>
      <w:r w:rsidRPr="00960E15">
        <w:t>Reference item: treated diet with a dose of 7.39 μg a.s./larva per developmental period (corresponding concentration: 48 mg a.s./kg food).</w:t>
      </w:r>
    </w:p>
    <w:p w14:paraId="0779AEB2" w14:textId="77777777" w:rsidR="00E51CDD" w:rsidRPr="00960E15" w:rsidRDefault="00E51CDD" w:rsidP="00E51CDD">
      <w:pPr>
        <w:widowControl w:val="0"/>
        <w:ind w:left="2041"/>
        <w:jc w:val="both"/>
        <w:rPr>
          <w:lang w:eastAsia="zh-CN"/>
        </w:rPr>
      </w:pPr>
      <w:r>
        <w:br w:type="page"/>
      </w:r>
    </w:p>
    <w:p w14:paraId="622FA6D9" w14:textId="77777777" w:rsidR="00E51CDD" w:rsidRPr="00960E15" w:rsidRDefault="00E51CDD" w:rsidP="00E51CDD">
      <w:pPr>
        <w:keepNext/>
        <w:keepLines/>
        <w:tabs>
          <w:tab w:val="left" w:pos="1985"/>
        </w:tabs>
        <w:autoSpaceDE w:val="0"/>
        <w:autoSpaceDN w:val="0"/>
        <w:adjustRightInd w:val="0"/>
        <w:jc w:val="both"/>
        <w:rPr>
          <w:lang w:eastAsia="zh-CN"/>
        </w:rPr>
      </w:pPr>
      <w:r w:rsidRPr="00960E15">
        <w:rPr>
          <w:lang w:eastAsia="zh-CN"/>
        </w:rPr>
        <w:lastRenderedPageBreak/>
        <w:t>Test conditions:</w:t>
      </w:r>
      <w:r w:rsidRPr="00960E15">
        <w:rPr>
          <w:lang w:eastAsia="zh-CN"/>
        </w:rPr>
        <w:tab/>
        <w:t>Temperature:</w:t>
      </w:r>
    </w:p>
    <w:p w14:paraId="5920B7E9" w14:textId="77777777" w:rsidR="00E51CDD" w:rsidRPr="00960E15" w:rsidRDefault="00E51CDD" w:rsidP="00E51CDD">
      <w:pPr>
        <w:keepNext/>
        <w:keepLines/>
        <w:tabs>
          <w:tab w:val="left" w:pos="1985"/>
        </w:tabs>
        <w:autoSpaceDE w:val="0"/>
        <w:autoSpaceDN w:val="0"/>
        <w:adjustRightInd w:val="0"/>
        <w:ind w:left="1980"/>
        <w:jc w:val="both"/>
        <w:rPr>
          <w:lang w:eastAsia="zh-CN"/>
        </w:rPr>
      </w:pPr>
      <w:r w:rsidRPr="00960E15">
        <w:rPr>
          <w:lang w:eastAsia="zh-CN"/>
        </w:rPr>
        <w:t>Day 1 to day 8: Mean of 34.2 °C (T1 to T5 and C) and 34.4 °C (R)</w:t>
      </w:r>
    </w:p>
    <w:p w14:paraId="573C40C2" w14:textId="77777777" w:rsidR="00E51CDD" w:rsidRPr="00960E15" w:rsidRDefault="00E51CDD" w:rsidP="00E51CDD">
      <w:pPr>
        <w:keepNext/>
        <w:keepLines/>
        <w:tabs>
          <w:tab w:val="left" w:pos="1985"/>
        </w:tabs>
        <w:autoSpaceDE w:val="0"/>
        <w:autoSpaceDN w:val="0"/>
        <w:adjustRightInd w:val="0"/>
        <w:ind w:left="1980"/>
        <w:jc w:val="both"/>
        <w:rPr>
          <w:lang w:eastAsia="zh-CN"/>
        </w:rPr>
      </w:pPr>
      <w:r w:rsidRPr="00960E15">
        <w:rPr>
          <w:lang w:eastAsia="zh-CN"/>
        </w:rPr>
        <w:t xml:space="preserve">Day 8 to day 15: Mean of 35.1 °C (T1 to T5 and C) </w:t>
      </w:r>
    </w:p>
    <w:p w14:paraId="3D8D2785" w14:textId="77777777" w:rsidR="00E51CDD" w:rsidRPr="00960E15" w:rsidRDefault="00E51CDD" w:rsidP="00E51CDD">
      <w:pPr>
        <w:keepNext/>
        <w:keepLines/>
        <w:tabs>
          <w:tab w:val="left" w:pos="1985"/>
        </w:tabs>
        <w:autoSpaceDE w:val="0"/>
        <w:autoSpaceDN w:val="0"/>
        <w:adjustRightInd w:val="0"/>
        <w:ind w:left="1980"/>
        <w:jc w:val="both"/>
        <w:rPr>
          <w:lang w:eastAsia="zh-CN"/>
        </w:rPr>
      </w:pPr>
      <w:r w:rsidRPr="00960E15">
        <w:rPr>
          <w:lang w:eastAsia="zh-CN"/>
        </w:rPr>
        <w:t xml:space="preserve">Day 15 to day 22: Mean of 35.5 °C (T1 to T5 and C)* </w:t>
      </w:r>
    </w:p>
    <w:p w14:paraId="6B31F95F" w14:textId="77777777" w:rsidR="00E51CDD" w:rsidRPr="00960E15" w:rsidRDefault="00E51CDD" w:rsidP="00E51CDD">
      <w:pPr>
        <w:keepNext/>
        <w:keepLines/>
        <w:tabs>
          <w:tab w:val="left" w:pos="1985"/>
        </w:tabs>
        <w:autoSpaceDE w:val="0"/>
        <w:autoSpaceDN w:val="0"/>
        <w:adjustRightInd w:val="0"/>
        <w:ind w:left="1980"/>
        <w:jc w:val="both"/>
        <w:rPr>
          <w:lang w:eastAsia="zh-CN"/>
        </w:rPr>
      </w:pPr>
      <w:r w:rsidRPr="00960E15">
        <w:rPr>
          <w:lang w:eastAsia="zh-CN"/>
        </w:rPr>
        <w:t xml:space="preserve">(Target: 34 - 35 °C, but not below 23 °C or above 40 °C) </w:t>
      </w:r>
    </w:p>
    <w:p w14:paraId="7738AC77" w14:textId="77777777" w:rsidR="00E51CDD" w:rsidRPr="00960E15" w:rsidRDefault="00E51CDD" w:rsidP="00E51CDD">
      <w:pPr>
        <w:keepNext/>
        <w:keepLines/>
        <w:tabs>
          <w:tab w:val="left" w:pos="1985"/>
        </w:tabs>
        <w:autoSpaceDE w:val="0"/>
        <w:autoSpaceDN w:val="0"/>
        <w:adjustRightInd w:val="0"/>
        <w:ind w:left="1980"/>
        <w:jc w:val="both"/>
        <w:rPr>
          <w:lang w:eastAsia="zh-CN"/>
        </w:rPr>
      </w:pPr>
      <w:r w:rsidRPr="00960E15">
        <w:rPr>
          <w:lang w:eastAsia="zh-CN"/>
        </w:rPr>
        <w:t>Relative humidity:</w:t>
      </w:r>
    </w:p>
    <w:p w14:paraId="543D5447" w14:textId="77777777" w:rsidR="00E51CDD" w:rsidRPr="00960E15" w:rsidRDefault="00E51CDD" w:rsidP="00E51CDD">
      <w:pPr>
        <w:widowControl w:val="0"/>
        <w:ind w:left="1985"/>
        <w:jc w:val="both"/>
        <w:rPr>
          <w:lang w:eastAsia="zh-CN"/>
        </w:rPr>
      </w:pPr>
      <w:r w:rsidRPr="00960E15">
        <w:rPr>
          <w:lang w:eastAsia="zh-CN"/>
        </w:rPr>
        <w:t xml:space="preserve">Day 1 to day 8: Means of 99.1% (T1 to T5 and R) and 99.4% (C) </w:t>
      </w:r>
    </w:p>
    <w:p w14:paraId="4FD71C28" w14:textId="77777777" w:rsidR="00E51CDD" w:rsidRPr="00960E15" w:rsidRDefault="00E51CDD" w:rsidP="00E51CDD">
      <w:pPr>
        <w:widowControl w:val="0"/>
        <w:ind w:left="1985"/>
        <w:jc w:val="both"/>
        <w:rPr>
          <w:lang w:eastAsia="zh-CN"/>
        </w:rPr>
      </w:pPr>
      <w:r w:rsidRPr="00960E15">
        <w:rPr>
          <w:lang w:eastAsia="zh-CN"/>
        </w:rPr>
        <w:t>Day 8 to day 15: Mean of 85.6%* for C and T1 to T5</w:t>
      </w:r>
    </w:p>
    <w:p w14:paraId="0A6007BF" w14:textId="77777777" w:rsidR="00E51CDD" w:rsidRPr="00960E15" w:rsidRDefault="00E51CDD" w:rsidP="00E51CDD">
      <w:pPr>
        <w:widowControl w:val="0"/>
        <w:ind w:left="1985"/>
        <w:jc w:val="both"/>
        <w:rPr>
          <w:lang w:eastAsia="zh-CN"/>
        </w:rPr>
      </w:pPr>
      <w:r w:rsidRPr="00960E15">
        <w:rPr>
          <w:lang w:eastAsia="zh-CN"/>
        </w:rPr>
        <w:t>Day 15 to day 22: Mean of 70.0% for C and T1 to T5</w:t>
      </w:r>
    </w:p>
    <w:p w14:paraId="2115DC5E" w14:textId="77777777" w:rsidR="00E51CDD" w:rsidRPr="00960E15" w:rsidRDefault="00E51CDD" w:rsidP="00E51CDD">
      <w:pPr>
        <w:widowControl w:val="0"/>
        <w:ind w:left="1985"/>
        <w:jc w:val="both"/>
        <w:rPr>
          <w:sz w:val="18"/>
          <w:szCs w:val="18"/>
          <w:lang w:eastAsia="zh-CN"/>
        </w:rPr>
      </w:pPr>
      <w:r w:rsidRPr="00960E15">
        <w:rPr>
          <w:sz w:val="18"/>
          <w:szCs w:val="18"/>
          <w:lang w:eastAsia="zh-CN"/>
        </w:rPr>
        <w:t>*with deviations ≥ 2 h but having no impact on study outcome</w:t>
      </w:r>
    </w:p>
    <w:p w14:paraId="5EB3BB8B" w14:textId="77777777" w:rsidR="00E51CDD" w:rsidRPr="00960E15" w:rsidRDefault="00E51CDD" w:rsidP="00E51CDD">
      <w:pPr>
        <w:widowControl w:val="0"/>
        <w:ind w:left="1985"/>
        <w:jc w:val="both"/>
      </w:pPr>
    </w:p>
    <w:p w14:paraId="302EA295" w14:textId="77777777" w:rsidR="00E51CDD" w:rsidRPr="00960E15" w:rsidRDefault="00E51CDD" w:rsidP="00E51CDD">
      <w:pPr>
        <w:widowControl w:val="0"/>
        <w:ind w:left="1985"/>
        <w:jc w:val="both"/>
      </w:pPr>
      <w:r w:rsidRPr="00960E15">
        <w:t>Photoperiod: darkness (except during grafting, feeding and assessments)</w:t>
      </w:r>
    </w:p>
    <w:p w14:paraId="081FF4DD" w14:textId="77777777" w:rsidR="00E51CDD" w:rsidRPr="00960E15" w:rsidRDefault="00E51CDD" w:rsidP="00E51CDD">
      <w:pPr>
        <w:widowControl w:val="0"/>
        <w:ind w:left="1985"/>
        <w:jc w:val="both"/>
      </w:pPr>
      <w:r w:rsidRPr="00960E15">
        <w:t>Food: 50% aqueous yeast/sugar solution with 50% royal jelly.</w:t>
      </w:r>
    </w:p>
    <w:p w14:paraId="4D0187BE" w14:textId="77777777" w:rsidR="00E51CDD" w:rsidRPr="00960E15" w:rsidRDefault="00E51CDD" w:rsidP="00E51CDD">
      <w:pPr>
        <w:ind w:left="1985" w:hanging="1985"/>
        <w:jc w:val="both"/>
        <w:rPr>
          <w:lang w:eastAsia="en-US"/>
        </w:rPr>
      </w:pPr>
    </w:p>
    <w:p w14:paraId="4EC16C79" w14:textId="77777777" w:rsidR="00E51CDD" w:rsidRPr="00960E15" w:rsidRDefault="00E51CDD" w:rsidP="00E51CDD">
      <w:pPr>
        <w:ind w:left="1985" w:hanging="1985"/>
        <w:jc w:val="both"/>
        <w:rPr>
          <w:lang w:eastAsia="en-US"/>
        </w:rPr>
      </w:pPr>
      <w:r w:rsidRPr="00960E15">
        <w:rPr>
          <w:lang w:eastAsia="en-US"/>
        </w:rPr>
        <w:t>Analytics:</w:t>
      </w:r>
      <w:r w:rsidRPr="00960E15">
        <w:rPr>
          <w:lang w:eastAsia="en-US"/>
        </w:rPr>
        <w:tab/>
      </w:r>
      <w:r w:rsidRPr="00960E15">
        <w:rPr>
          <w:szCs w:val="24"/>
        </w:rPr>
        <w:t>Analytical verification of the test item concentrations in honey bee larvae diet was conducted by BASF method L0372/02 using liquid chromatography with mass-spectrometric (LC-MS/MS) detection.</w:t>
      </w:r>
    </w:p>
    <w:p w14:paraId="6D6B3FBC" w14:textId="77777777" w:rsidR="00E51CDD" w:rsidRPr="00960E15" w:rsidRDefault="00E51CDD" w:rsidP="00E51CDD">
      <w:pPr>
        <w:widowControl w:val="0"/>
        <w:ind w:left="1985"/>
      </w:pPr>
    </w:p>
    <w:p w14:paraId="46791113" w14:textId="77777777" w:rsidR="00E51CDD" w:rsidRPr="00960E15" w:rsidRDefault="00E51CDD" w:rsidP="00E51CDD">
      <w:pPr>
        <w:widowControl w:val="0"/>
        <w:ind w:left="1985" w:hanging="1985"/>
        <w:jc w:val="both"/>
      </w:pPr>
      <w:r w:rsidRPr="00960E15">
        <w:t>Statistics:</w:t>
      </w:r>
      <w:r w:rsidRPr="00960E15">
        <w:tab/>
        <w:t>Descriptive statistics; Cochran-Armitage test with Rao-Scott adjustment (one-sided greater, α = 0.05) and Weibull analysis for mortality; Cochran-Armitage test (one-sided greater, α = 0.05) and Weibull analysis (compensated for control response) for adult emergence determination.</w:t>
      </w:r>
    </w:p>
    <w:p w14:paraId="2D90D075" w14:textId="77777777" w:rsidR="00E51CDD" w:rsidRPr="00960E15" w:rsidRDefault="00E51CDD" w:rsidP="00E51CDD">
      <w:pPr>
        <w:widowControl w:val="0"/>
        <w:ind w:left="1985" w:hanging="1985"/>
        <w:jc w:val="both"/>
      </w:pPr>
    </w:p>
    <w:p w14:paraId="2799E814" w14:textId="77777777" w:rsidR="00E51CDD" w:rsidRPr="00960E15" w:rsidRDefault="00E51CDD" w:rsidP="00E51CDD">
      <w:pPr>
        <w:widowControl w:val="0"/>
        <w:ind w:left="1985" w:hanging="1985"/>
        <w:jc w:val="both"/>
      </w:pPr>
    </w:p>
    <w:p w14:paraId="56691D5B" w14:textId="77777777" w:rsidR="00E51CDD" w:rsidRPr="00960E15" w:rsidRDefault="00E51CDD" w:rsidP="00E51CDD">
      <w:pPr>
        <w:tabs>
          <w:tab w:val="left" w:pos="425"/>
          <w:tab w:val="left" w:pos="850"/>
        </w:tabs>
        <w:suppressAutoHyphens/>
        <w:ind w:left="2835" w:hanging="2835"/>
        <w:jc w:val="both"/>
        <w:rPr>
          <w:b/>
          <w:bCs/>
          <w:szCs w:val="24"/>
        </w:rPr>
      </w:pPr>
      <w:r w:rsidRPr="00960E15">
        <w:rPr>
          <w:b/>
          <w:bCs/>
          <w:szCs w:val="24"/>
        </w:rPr>
        <w:t>C.</w:t>
      </w:r>
      <w:r w:rsidRPr="00960E15">
        <w:rPr>
          <w:b/>
          <w:bCs/>
          <w:szCs w:val="24"/>
        </w:rPr>
        <w:tab/>
        <w:t>DESCRIPTION OF THE ANALYTICAL PROCEDURES</w:t>
      </w:r>
    </w:p>
    <w:p w14:paraId="199820F3" w14:textId="77777777" w:rsidR="00E51CDD" w:rsidRPr="00960E15" w:rsidRDefault="00E51CDD" w:rsidP="00E51CDD">
      <w:pPr>
        <w:suppressAutoHyphens/>
        <w:jc w:val="both"/>
        <w:rPr>
          <w:szCs w:val="24"/>
        </w:rPr>
      </w:pPr>
    </w:p>
    <w:p w14:paraId="7C34CB89" w14:textId="0B642E60" w:rsidR="00E51CDD" w:rsidRPr="00FC6E3A" w:rsidRDefault="00E51CDD" w:rsidP="00E51CDD">
      <w:pPr>
        <w:jc w:val="both"/>
        <w:rPr>
          <w:szCs w:val="24"/>
        </w:rPr>
      </w:pPr>
      <w:r w:rsidRPr="00960E15">
        <w:rPr>
          <w:szCs w:val="24"/>
        </w:rPr>
        <w:t xml:space="preserve">Concentration control analysis of BAS 700 F as representative active ingredient of BAS 736 00 F in honey bee larval diet was determined according to the analytical method L0372/02. The validation of the analytical method is described in the study report. About </w:t>
      </w:r>
      <w:bookmarkStart w:id="1213" w:name="_Hlk79569034"/>
      <w:r w:rsidRPr="00960E15">
        <w:rPr>
          <w:szCs w:val="24"/>
        </w:rPr>
        <w:t xml:space="preserve">2.2 g of thawed and vortexed samples were extracted with 44 mL methanol/water (3:1, v/v). After 30 s of shaking the mixture and 10 min of centrifuging at 2500 rpm, the extract was decanted into a 250 mL graduated cylinder and filled up to the 110 mL mark with methanol/water (3:1, v/v). After shaking it by hand, 1 mL of the sample extract was then transferred into a PSA-Kit-3a and it was vortexed for another 30 s. The samples were centrifuged at maximum rpm for 5 min and then diluted with methanol/water (3:1, v/v). If necessary, the diluted extracts were further diluted into the range of the calibration curve before injecting into the HPLC system. </w:t>
      </w:r>
      <w:bookmarkEnd w:id="1213"/>
      <w:r w:rsidRPr="00960E15">
        <w:rPr>
          <w:szCs w:val="24"/>
        </w:rPr>
        <w:t xml:space="preserve">The determination was performed by LC-MS/MS. The limit of quantification (LOQ) was 0.0102 mg/kg and the limit of detection (LOD) was </w:t>
      </w:r>
      <w:r w:rsidRPr="00960E15">
        <w:t>0.0025 mg/kg</w:t>
      </w:r>
      <w:r w:rsidRPr="00960E15">
        <w:rPr>
          <w:szCs w:val="24"/>
        </w:rPr>
        <w:t xml:space="preserve">. </w:t>
      </w:r>
      <w:bookmarkStart w:id="1214" w:name="_Hlk79568918"/>
      <w:r w:rsidRPr="00960E15">
        <w:rPr>
          <w:szCs w:val="24"/>
        </w:rPr>
        <w:t xml:space="preserve">Matrix effects were compensated by using matrix-matched calibration standards with solvent standards (= standards in methanol/water (3:1, v/v)) at identical nominal concentrations. The effects were assessed by comparing the standard’s peak areas. </w:t>
      </w:r>
      <w:bookmarkEnd w:id="1214"/>
      <w:r w:rsidRPr="00960E15">
        <w:t>Since the samples of the test item feeding solutions were analyzed within 49 days, the analysis of storage stability samples did not take place.</w:t>
      </w:r>
      <w:r w:rsidRPr="00960E15">
        <w:rPr>
          <w:szCs w:val="24"/>
        </w:rPr>
        <w:t xml:space="preserve"> Details on measured fortification samples and obtained procedural recoveries for </w:t>
      </w:r>
      <w:r w:rsidRPr="00FC6E3A">
        <w:rPr>
          <w:szCs w:val="24"/>
        </w:rPr>
        <w:t xml:space="preserve">BAS 736 00 F are given in </w:t>
      </w:r>
      <w:r w:rsidRPr="00FC6E3A">
        <w:rPr>
          <w:szCs w:val="24"/>
        </w:rPr>
        <w:fldChar w:fldCharType="begin"/>
      </w:r>
      <w:r w:rsidRPr="00FC6E3A">
        <w:rPr>
          <w:szCs w:val="24"/>
        </w:rPr>
        <w:instrText xml:space="preserve"> REF _Ref85437252 \h  \* MERGEFORMAT </w:instrText>
      </w:r>
      <w:r w:rsidRPr="00FC6E3A">
        <w:rPr>
          <w:szCs w:val="24"/>
        </w:rPr>
      </w:r>
      <w:r w:rsidRPr="00FC6E3A">
        <w:rPr>
          <w:szCs w:val="24"/>
        </w:rPr>
        <w:fldChar w:fldCharType="separate"/>
      </w:r>
      <w:r w:rsidR="00662F32" w:rsidRPr="00662F32">
        <w:t xml:space="preserve">Table A </w:t>
      </w:r>
      <w:r w:rsidR="00662F32" w:rsidRPr="00662F32">
        <w:rPr>
          <w:noProof/>
        </w:rPr>
        <w:t>24</w:t>
      </w:r>
      <w:r w:rsidRPr="00FC6E3A">
        <w:rPr>
          <w:szCs w:val="24"/>
        </w:rPr>
        <w:fldChar w:fldCharType="end"/>
      </w:r>
      <w:r w:rsidRPr="00FC6E3A">
        <w:rPr>
          <w:szCs w:val="24"/>
        </w:rPr>
        <w:t>.</w:t>
      </w:r>
    </w:p>
    <w:p w14:paraId="10714EFE" w14:textId="77777777" w:rsidR="00E51CDD" w:rsidRPr="00FC6E3A" w:rsidRDefault="00E51CDD" w:rsidP="00E51CDD">
      <w:pPr>
        <w:widowControl w:val="0"/>
        <w:suppressAutoHyphens/>
        <w:rPr>
          <w:szCs w:val="24"/>
        </w:rPr>
      </w:pPr>
    </w:p>
    <w:p w14:paraId="65F02270" w14:textId="38F6F783" w:rsidR="00E51CDD" w:rsidRPr="00960E15" w:rsidRDefault="00E51CDD" w:rsidP="00E51CDD">
      <w:pPr>
        <w:keepNext/>
        <w:rPr>
          <w:b/>
          <w:bCs/>
        </w:rPr>
      </w:pPr>
      <w:bookmarkStart w:id="1215" w:name="_Ref85437252"/>
      <w:r w:rsidRPr="00FC6E3A">
        <w:rPr>
          <w:b/>
          <w:bCs/>
        </w:rPr>
        <w:t xml:space="preserve">Table A </w:t>
      </w:r>
      <w:r w:rsidRPr="00FC6E3A">
        <w:rPr>
          <w:b/>
          <w:bCs/>
        </w:rPr>
        <w:fldChar w:fldCharType="begin"/>
      </w:r>
      <w:r w:rsidRPr="00FC6E3A">
        <w:rPr>
          <w:b/>
          <w:bCs/>
        </w:rPr>
        <w:instrText xml:space="preserve"> SEQ Table_A \* ARABIC </w:instrText>
      </w:r>
      <w:r w:rsidRPr="00FC6E3A">
        <w:rPr>
          <w:b/>
          <w:bCs/>
        </w:rPr>
        <w:fldChar w:fldCharType="separate"/>
      </w:r>
      <w:r w:rsidR="00662F32">
        <w:rPr>
          <w:b/>
          <w:bCs/>
          <w:noProof/>
        </w:rPr>
        <w:t>24</w:t>
      </w:r>
      <w:r w:rsidRPr="00FC6E3A">
        <w:rPr>
          <w:b/>
          <w:bCs/>
        </w:rPr>
        <w:fldChar w:fldCharType="end"/>
      </w:r>
      <w:bookmarkEnd w:id="1215"/>
      <w:r w:rsidRPr="00FC6E3A">
        <w:rPr>
          <w:b/>
        </w:rPr>
        <w:t>:</w:t>
      </w:r>
      <w:r w:rsidRPr="00960E15">
        <w:rPr>
          <w:b/>
        </w:rPr>
        <w:tab/>
        <w:t>Procedural recoveries for BAS 00 F in honey bee food</w:t>
      </w:r>
    </w:p>
    <w:tbl>
      <w:tblPr>
        <w:tblW w:w="5000" w:type="pct"/>
        <w:tblCellMar>
          <w:left w:w="70" w:type="dxa"/>
          <w:right w:w="70" w:type="dxa"/>
        </w:tblCellMar>
        <w:tblLook w:val="04A0" w:firstRow="1" w:lastRow="0" w:firstColumn="1" w:lastColumn="0" w:noHBand="0" w:noVBand="1"/>
      </w:tblPr>
      <w:tblGrid>
        <w:gridCol w:w="1153"/>
        <w:gridCol w:w="1956"/>
        <w:gridCol w:w="1788"/>
        <w:gridCol w:w="1861"/>
        <w:gridCol w:w="271"/>
        <w:gridCol w:w="1012"/>
        <w:gridCol w:w="1303"/>
      </w:tblGrid>
      <w:tr w:rsidR="00E51CDD" w:rsidRPr="00960E15" w14:paraId="5D9D16B9" w14:textId="77777777" w:rsidTr="009938D9">
        <w:trPr>
          <w:trHeight w:val="528"/>
        </w:trPr>
        <w:tc>
          <w:tcPr>
            <w:tcW w:w="671" w:type="pct"/>
            <w:tcBorders>
              <w:top w:val="single" w:sz="4" w:space="0" w:color="auto"/>
              <w:left w:val="single" w:sz="4" w:space="0" w:color="auto"/>
              <w:bottom w:val="single" w:sz="4" w:space="0" w:color="auto"/>
              <w:right w:val="single" w:sz="4" w:space="0" w:color="auto"/>
            </w:tcBorders>
            <w:shd w:val="clear" w:color="000000" w:fill="FFFFFF"/>
            <w:vAlign w:val="center"/>
          </w:tcPr>
          <w:p w14:paraId="48661D6B" w14:textId="77777777" w:rsidR="00E51CDD" w:rsidRPr="00960E15" w:rsidRDefault="00E51CDD" w:rsidP="009938D9">
            <w:pPr>
              <w:jc w:val="center"/>
              <w:rPr>
                <w:b/>
                <w:bCs/>
                <w:sz w:val="20"/>
                <w:szCs w:val="20"/>
              </w:rPr>
            </w:pPr>
            <w:r w:rsidRPr="00960E15">
              <w:rPr>
                <w:b/>
                <w:bCs/>
                <w:sz w:val="20"/>
                <w:szCs w:val="20"/>
              </w:rPr>
              <w:t>Substance</w:t>
            </w:r>
          </w:p>
        </w:tc>
        <w:tc>
          <w:tcPr>
            <w:tcW w:w="72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837FF2" w14:textId="77777777" w:rsidR="00E51CDD" w:rsidRPr="00960E15" w:rsidRDefault="00E51CDD" w:rsidP="009938D9">
            <w:pPr>
              <w:jc w:val="center"/>
              <w:rPr>
                <w:b/>
                <w:bCs/>
                <w:sz w:val="20"/>
                <w:szCs w:val="20"/>
              </w:rPr>
            </w:pPr>
            <w:r w:rsidRPr="00960E15">
              <w:rPr>
                <w:b/>
                <w:bCs/>
                <w:sz w:val="20"/>
                <w:szCs w:val="20"/>
              </w:rPr>
              <w:t>Matrix</w:t>
            </w:r>
          </w:p>
        </w:tc>
        <w:tc>
          <w:tcPr>
            <w:tcW w:w="101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FD013E0" w14:textId="77777777" w:rsidR="00E51CDD" w:rsidRPr="00960E15" w:rsidRDefault="00E51CDD" w:rsidP="009938D9">
            <w:pPr>
              <w:jc w:val="center"/>
              <w:rPr>
                <w:b/>
                <w:bCs/>
                <w:sz w:val="20"/>
                <w:szCs w:val="20"/>
              </w:rPr>
            </w:pPr>
            <w:r w:rsidRPr="00960E15">
              <w:rPr>
                <w:b/>
                <w:bCs/>
                <w:sz w:val="20"/>
                <w:szCs w:val="20"/>
              </w:rPr>
              <w:t>Test item Fortification level (mg/kg)</w:t>
            </w:r>
          </w:p>
        </w:tc>
        <w:tc>
          <w:tcPr>
            <w:tcW w:w="1050" w:type="pct"/>
            <w:tcBorders>
              <w:top w:val="single" w:sz="4" w:space="0" w:color="auto"/>
              <w:left w:val="single" w:sz="4" w:space="0" w:color="auto"/>
              <w:bottom w:val="single" w:sz="4" w:space="0" w:color="auto"/>
              <w:right w:val="single" w:sz="4" w:space="0" w:color="auto"/>
            </w:tcBorders>
            <w:shd w:val="clear" w:color="000000" w:fill="FFFFFF"/>
          </w:tcPr>
          <w:p w14:paraId="0C972B41" w14:textId="77777777" w:rsidR="00E51CDD" w:rsidRPr="00960E15" w:rsidRDefault="00E51CDD" w:rsidP="009938D9">
            <w:pPr>
              <w:jc w:val="center"/>
              <w:rPr>
                <w:b/>
                <w:bCs/>
                <w:sz w:val="20"/>
                <w:szCs w:val="20"/>
              </w:rPr>
            </w:pPr>
            <w:r w:rsidRPr="00960E15">
              <w:rPr>
                <w:b/>
                <w:bCs/>
                <w:sz w:val="20"/>
                <w:szCs w:val="20"/>
              </w:rPr>
              <w:t>Fortification level Fluxapyroxad (mg/kg)</w:t>
            </w:r>
          </w:p>
        </w:tc>
        <w:tc>
          <w:tcPr>
            <w:tcW w:w="19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631CE7" w14:textId="77777777" w:rsidR="00E51CDD" w:rsidRPr="00960E15" w:rsidRDefault="00E51CDD" w:rsidP="009938D9">
            <w:pPr>
              <w:jc w:val="center"/>
              <w:rPr>
                <w:b/>
                <w:bCs/>
                <w:sz w:val="20"/>
                <w:szCs w:val="20"/>
              </w:rPr>
            </w:pPr>
            <w:r w:rsidRPr="00960E15">
              <w:rPr>
                <w:b/>
                <w:bCs/>
                <w:sz w:val="20"/>
                <w:szCs w:val="20"/>
              </w:rPr>
              <w:t>n</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14:paraId="5B589DE9" w14:textId="77777777" w:rsidR="00E51CDD" w:rsidRPr="00960E15" w:rsidRDefault="00E51CDD" w:rsidP="009938D9">
            <w:pPr>
              <w:jc w:val="center"/>
              <w:rPr>
                <w:b/>
                <w:bCs/>
                <w:sz w:val="20"/>
                <w:szCs w:val="20"/>
              </w:rPr>
            </w:pPr>
            <w:r w:rsidRPr="00960E15">
              <w:rPr>
                <w:b/>
                <w:bCs/>
                <w:sz w:val="20"/>
                <w:szCs w:val="20"/>
              </w:rPr>
              <w:t>Mean (%)</w:t>
            </w:r>
          </w:p>
        </w:tc>
        <w:tc>
          <w:tcPr>
            <w:tcW w:w="75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AEE53C" w14:textId="77777777" w:rsidR="00E51CDD" w:rsidRPr="00960E15" w:rsidRDefault="00E51CDD" w:rsidP="009938D9">
            <w:pPr>
              <w:jc w:val="center"/>
              <w:rPr>
                <w:b/>
                <w:bCs/>
                <w:sz w:val="20"/>
                <w:szCs w:val="20"/>
              </w:rPr>
            </w:pPr>
            <w:r w:rsidRPr="00960E15">
              <w:rPr>
                <w:b/>
                <w:bCs/>
                <w:sz w:val="20"/>
                <w:szCs w:val="20"/>
              </w:rPr>
              <w:t>RSD (%)</w:t>
            </w:r>
          </w:p>
        </w:tc>
      </w:tr>
      <w:tr w:rsidR="00E51CDD" w:rsidRPr="00960E15" w14:paraId="516F5025" w14:textId="77777777" w:rsidTr="009938D9">
        <w:trPr>
          <w:trHeight w:val="264"/>
        </w:trPr>
        <w:tc>
          <w:tcPr>
            <w:tcW w:w="671"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6E7D8EA5" w14:textId="77777777" w:rsidR="00E51CDD" w:rsidRPr="00960E15" w:rsidRDefault="00E51CDD" w:rsidP="009938D9">
            <w:pPr>
              <w:jc w:val="center"/>
              <w:rPr>
                <w:sz w:val="20"/>
                <w:szCs w:val="20"/>
              </w:rPr>
            </w:pPr>
            <w:r w:rsidRPr="00960E15">
              <w:rPr>
                <w:sz w:val="20"/>
                <w:szCs w:val="20"/>
              </w:rPr>
              <w:t>BAS 00 F</w:t>
            </w:r>
          </w:p>
        </w:tc>
        <w:tc>
          <w:tcPr>
            <w:tcW w:w="721" w:type="pct"/>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D64F2B" w14:textId="77777777" w:rsidR="00E51CDD" w:rsidRPr="00960E15" w:rsidRDefault="00E51CDD" w:rsidP="009938D9">
            <w:pPr>
              <w:jc w:val="center"/>
              <w:rPr>
                <w:sz w:val="20"/>
                <w:szCs w:val="20"/>
              </w:rPr>
            </w:pPr>
            <w:r w:rsidRPr="00960E15">
              <w:rPr>
                <w:sz w:val="20"/>
                <w:szCs w:val="20"/>
              </w:rPr>
              <w:t>Honey bee larvae food</w:t>
            </w:r>
          </w:p>
        </w:tc>
        <w:tc>
          <w:tcPr>
            <w:tcW w:w="1011"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5A80EF1" w14:textId="77777777" w:rsidR="00E51CDD" w:rsidRPr="00960E15" w:rsidRDefault="00E51CDD" w:rsidP="009938D9">
            <w:pPr>
              <w:jc w:val="center"/>
              <w:rPr>
                <w:sz w:val="20"/>
                <w:szCs w:val="20"/>
              </w:rPr>
            </w:pPr>
            <w:r w:rsidRPr="00960E15">
              <w:rPr>
                <w:sz w:val="20"/>
                <w:szCs w:val="20"/>
              </w:rPr>
              <w:t>0.219</w:t>
            </w:r>
          </w:p>
        </w:tc>
        <w:tc>
          <w:tcPr>
            <w:tcW w:w="1050" w:type="pct"/>
            <w:tcBorders>
              <w:top w:val="single" w:sz="4" w:space="0" w:color="auto"/>
              <w:left w:val="single" w:sz="4" w:space="0" w:color="auto"/>
              <w:bottom w:val="single" w:sz="4" w:space="0" w:color="auto"/>
              <w:right w:val="single" w:sz="4" w:space="0" w:color="auto"/>
            </w:tcBorders>
            <w:shd w:val="clear" w:color="000000" w:fill="FFFFFF"/>
            <w:vAlign w:val="center"/>
          </w:tcPr>
          <w:p w14:paraId="4B522A16" w14:textId="77777777" w:rsidR="00E51CDD" w:rsidRPr="00960E15" w:rsidRDefault="00E51CDD" w:rsidP="009938D9">
            <w:pPr>
              <w:jc w:val="center"/>
              <w:rPr>
                <w:sz w:val="20"/>
                <w:szCs w:val="20"/>
              </w:rPr>
            </w:pPr>
            <w:r w:rsidRPr="00960E15">
              <w:rPr>
                <w:sz w:val="20"/>
                <w:szCs w:val="20"/>
              </w:rPr>
              <w:t>0.0102</w:t>
            </w:r>
          </w:p>
        </w:tc>
        <w:tc>
          <w:tcPr>
            <w:tcW w:w="19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2A25759F" w14:textId="77777777" w:rsidR="00E51CDD" w:rsidRPr="00960E15" w:rsidRDefault="00E51CDD" w:rsidP="009938D9">
            <w:pPr>
              <w:jc w:val="center"/>
              <w:rPr>
                <w:sz w:val="20"/>
                <w:szCs w:val="20"/>
              </w:rPr>
            </w:pPr>
            <w:r w:rsidRPr="00960E15">
              <w:rPr>
                <w:sz w:val="20"/>
                <w:szCs w:val="20"/>
              </w:rPr>
              <w:t>7</w:t>
            </w:r>
          </w:p>
        </w:tc>
        <w:tc>
          <w:tcPr>
            <w:tcW w:w="5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A1E1040" w14:textId="77777777" w:rsidR="00E51CDD" w:rsidRPr="00960E15" w:rsidRDefault="00E51CDD" w:rsidP="009938D9">
            <w:pPr>
              <w:jc w:val="center"/>
              <w:rPr>
                <w:sz w:val="20"/>
                <w:szCs w:val="20"/>
              </w:rPr>
            </w:pPr>
            <w:r w:rsidRPr="00960E15">
              <w:rPr>
                <w:sz w:val="20"/>
                <w:szCs w:val="20"/>
              </w:rPr>
              <w:t>91.8</w:t>
            </w:r>
          </w:p>
        </w:tc>
        <w:tc>
          <w:tcPr>
            <w:tcW w:w="75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E626FFE" w14:textId="77777777" w:rsidR="00E51CDD" w:rsidRPr="00960E15" w:rsidRDefault="00E51CDD" w:rsidP="009938D9">
            <w:pPr>
              <w:jc w:val="center"/>
              <w:rPr>
                <w:sz w:val="20"/>
                <w:szCs w:val="20"/>
              </w:rPr>
            </w:pPr>
            <w:r w:rsidRPr="00960E15">
              <w:rPr>
                <w:sz w:val="20"/>
                <w:szCs w:val="20"/>
              </w:rPr>
              <w:t>13</w:t>
            </w:r>
          </w:p>
        </w:tc>
      </w:tr>
      <w:tr w:rsidR="00E51CDD" w:rsidRPr="00960E15" w14:paraId="4082309A" w14:textId="77777777" w:rsidTr="009938D9">
        <w:trPr>
          <w:trHeight w:val="264"/>
        </w:trPr>
        <w:tc>
          <w:tcPr>
            <w:tcW w:w="671" w:type="pct"/>
            <w:vMerge/>
            <w:tcBorders>
              <w:top w:val="single" w:sz="4" w:space="0" w:color="auto"/>
              <w:left w:val="single" w:sz="4" w:space="0" w:color="auto"/>
              <w:bottom w:val="single" w:sz="4" w:space="0" w:color="auto"/>
              <w:right w:val="single" w:sz="4" w:space="0" w:color="auto"/>
            </w:tcBorders>
            <w:shd w:val="clear" w:color="000000" w:fill="FFFFFF"/>
            <w:vAlign w:val="center"/>
          </w:tcPr>
          <w:p w14:paraId="3662726F" w14:textId="77777777" w:rsidR="00E51CDD" w:rsidRPr="00960E15" w:rsidRDefault="00E51CDD" w:rsidP="009938D9">
            <w:pPr>
              <w:jc w:val="center"/>
              <w:rPr>
                <w:sz w:val="20"/>
                <w:szCs w:val="20"/>
              </w:rPr>
            </w:pPr>
          </w:p>
        </w:tc>
        <w:tc>
          <w:tcPr>
            <w:tcW w:w="721" w:type="pct"/>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9CCE1BD" w14:textId="77777777" w:rsidR="00E51CDD" w:rsidRPr="00960E15" w:rsidRDefault="00E51CDD" w:rsidP="009938D9">
            <w:pPr>
              <w:jc w:val="center"/>
              <w:rPr>
                <w:sz w:val="20"/>
                <w:szCs w:val="20"/>
              </w:rPr>
            </w:pPr>
          </w:p>
        </w:tc>
        <w:tc>
          <w:tcPr>
            <w:tcW w:w="1011"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43FD128F" w14:textId="77777777" w:rsidR="00E51CDD" w:rsidRPr="00960E15" w:rsidRDefault="00E51CDD" w:rsidP="009938D9">
            <w:pPr>
              <w:jc w:val="center"/>
              <w:rPr>
                <w:sz w:val="20"/>
                <w:szCs w:val="20"/>
              </w:rPr>
            </w:pPr>
            <w:r w:rsidRPr="00960E15">
              <w:rPr>
                <w:sz w:val="20"/>
                <w:szCs w:val="20"/>
              </w:rPr>
              <w:t>3500</w:t>
            </w:r>
          </w:p>
        </w:tc>
        <w:tc>
          <w:tcPr>
            <w:tcW w:w="1050" w:type="pct"/>
            <w:tcBorders>
              <w:top w:val="single" w:sz="4" w:space="0" w:color="auto"/>
              <w:left w:val="single" w:sz="4" w:space="0" w:color="auto"/>
              <w:bottom w:val="single" w:sz="4" w:space="0" w:color="auto"/>
              <w:right w:val="single" w:sz="4" w:space="0" w:color="auto"/>
            </w:tcBorders>
            <w:shd w:val="clear" w:color="000000" w:fill="FFFFFF"/>
            <w:vAlign w:val="center"/>
          </w:tcPr>
          <w:p w14:paraId="5EBDDE60" w14:textId="77777777" w:rsidR="00E51CDD" w:rsidRPr="00960E15" w:rsidRDefault="00E51CDD" w:rsidP="009938D9">
            <w:pPr>
              <w:jc w:val="center"/>
              <w:rPr>
                <w:sz w:val="20"/>
                <w:szCs w:val="20"/>
              </w:rPr>
            </w:pPr>
            <w:r w:rsidRPr="00960E15">
              <w:rPr>
                <w:sz w:val="20"/>
                <w:szCs w:val="20"/>
              </w:rPr>
              <w:t>162</w:t>
            </w:r>
          </w:p>
        </w:tc>
        <w:tc>
          <w:tcPr>
            <w:tcW w:w="19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508EE54" w14:textId="77777777" w:rsidR="00E51CDD" w:rsidRPr="00960E15" w:rsidRDefault="00E51CDD" w:rsidP="009938D9">
            <w:pPr>
              <w:jc w:val="center"/>
              <w:rPr>
                <w:sz w:val="20"/>
                <w:szCs w:val="20"/>
              </w:rPr>
            </w:pPr>
            <w:r w:rsidRPr="00960E15">
              <w:rPr>
                <w:sz w:val="20"/>
                <w:szCs w:val="20"/>
              </w:rPr>
              <w:t>5</w:t>
            </w:r>
          </w:p>
        </w:tc>
        <w:tc>
          <w:tcPr>
            <w:tcW w:w="588"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2ABE41C" w14:textId="77777777" w:rsidR="00E51CDD" w:rsidRPr="00960E15" w:rsidRDefault="00E51CDD" w:rsidP="009938D9">
            <w:pPr>
              <w:jc w:val="center"/>
              <w:rPr>
                <w:sz w:val="20"/>
                <w:szCs w:val="20"/>
              </w:rPr>
            </w:pPr>
            <w:r w:rsidRPr="00960E15">
              <w:rPr>
                <w:sz w:val="20"/>
                <w:szCs w:val="20"/>
              </w:rPr>
              <w:t>105</w:t>
            </w:r>
          </w:p>
        </w:tc>
        <w:tc>
          <w:tcPr>
            <w:tcW w:w="759"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75AC69D" w14:textId="77777777" w:rsidR="00E51CDD" w:rsidRPr="00960E15" w:rsidRDefault="00E51CDD" w:rsidP="009938D9">
            <w:pPr>
              <w:jc w:val="center"/>
              <w:rPr>
                <w:sz w:val="20"/>
                <w:szCs w:val="20"/>
              </w:rPr>
            </w:pPr>
            <w:r w:rsidRPr="00960E15">
              <w:rPr>
                <w:sz w:val="20"/>
                <w:szCs w:val="20"/>
              </w:rPr>
              <w:t>7.5</w:t>
            </w:r>
          </w:p>
        </w:tc>
      </w:tr>
    </w:tbl>
    <w:p w14:paraId="5D8F6D4B" w14:textId="77777777" w:rsidR="00E51CDD" w:rsidRPr="00960E15" w:rsidRDefault="00E51CDD" w:rsidP="00E51CDD">
      <w:pPr>
        <w:widowControl w:val="0"/>
        <w:rPr>
          <w:sz w:val="18"/>
          <w:szCs w:val="18"/>
        </w:rPr>
      </w:pPr>
      <w:r w:rsidRPr="00960E15">
        <w:rPr>
          <w:i/>
          <w:iCs/>
          <w:sz w:val="18"/>
          <w:szCs w:val="18"/>
        </w:rPr>
        <w:t>RSD = relative standard deviation</w:t>
      </w:r>
    </w:p>
    <w:p w14:paraId="6260BEEB" w14:textId="77777777" w:rsidR="00E51CDD" w:rsidRPr="00960E15" w:rsidRDefault="00E51CDD" w:rsidP="00E51CDD"/>
    <w:p w14:paraId="3489340F" w14:textId="77777777" w:rsidR="00E51CDD" w:rsidRPr="00960E15" w:rsidRDefault="00E51CDD" w:rsidP="00E51CDD">
      <w:r>
        <w:br w:type="page"/>
      </w:r>
    </w:p>
    <w:p w14:paraId="0E9EF280" w14:textId="77777777" w:rsidR="00E51CDD" w:rsidRPr="00960E15" w:rsidRDefault="00E51CDD" w:rsidP="00E51CDD">
      <w:pPr>
        <w:tabs>
          <w:tab w:val="left" w:pos="425"/>
          <w:tab w:val="left" w:pos="850"/>
        </w:tabs>
        <w:ind w:left="2835" w:hanging="2835"/>
        <w:rPr>
          <w:b/>
          <w:bCs/>
        </w:rPr>
      </w:pPr>
      <w:r w:rsidRPr="00960E15">
        <w:rPr>
          <w:b/>
          <w:bCs/>
        </w:rPr>
        <w:lastRenderedPageBreak/>
        <w:t>II.</w:t>
      </w:r>
      <w:r w:rsidRPr="00960E15">
        <w:rPr>
          <w:b/>
          <w:bCs/>
        </w:rPr>
        <w:tab/>
        <w:t>RESULTS AND DISCUSSION</w:t>
      </w:r>
    </w:p>
    <w:p w14:paraId="02C9E42E" w14:textId="77777777" w:rsidR="00E51CDD" w:rsidRPr="00960E15" w:rsidRDefault="00E51CDD" w:rsidP="00E51CDD">
      <w:pPr>
        <w:widowControl w:val="0"/>
        <w:jc w:val="both"/>
        <w:rPr>
          <w:lang w:val="en-GB"/>
        </w:rPr>
      </w:pPr>
    </w:p>
    <w:p w14:paraId="16437DB9" w14:textId="77777777" w:rsidR="00E51CDD" w:rsidRPr="00960E15" w:rsidRDefault="00E51CDD" w:rsidP="00E51CDD">
      <w:pPr>
        <w:widowControl w:val="0"/>
        <w:jc w:val="both"/>
      </w:pPr>
      <w:r w:rsidRPr="00960E15">
        <w:t>After 120 hours of repeated oral exposure (on D8) no mortality was observed in the control. Pupal mortality (between D8 and D22) was 10.4% in the untreated control. The control groups showed a total mortality of 10.4% in the untreated control, at D15. In the test item group, larval mortalities at D8 ranged between 0.0 and 85.4%. Pupal mortalities ranged between 10.4 and 100% in the test item treatment groups. Total mortalities at D15 ranged between 6.3 and 100%. A statistically significant difference was found at test item concentrations of 1169, 1753 and 2630 mg product/kg diet (corresponding to cumulative nominal doses of 180, 270 and 405 µg product/larva per developmental period) compared to the control (Cochran-Armitage test with Rao-Scott adjustment: one-sided greater, α = 0.05). Compared to the control group, emerged bees of the test item group exposed to 1169 mg product/kg foot had a reduced body size on day 22. On D8 uneaten food was observed in the control group, all test item groups and the reference item group.</w:t>
      </w:r>
    </w:p>
    <w:p w14:paraId="363AE0DA" w14:textId="31EB3CA2" w:rsidR="00E51CDD" w:rsidRPr="00960E15" w:rsidRDefault="00E51CDD" w:rsidP="00E51CDD">
      <w:pPr>
        <w:widowControl w:val="0"/>
        <w:jc w:val="both"/>
      </w:pPr>
      <w:r w:rsidRPr="00960E15">
        <w:t xml:space="preserve">In the final assessment at D22, adult emergence rates of 89.6% were determined for the honey bees in the control group. In the test item group, the adult honey bees emerged at rates ranging between 0.0 and 89.6% following an application of 80.1, 120, 180, 270 and 405 µg product/larva per developmental period. A statistically significant difference was found at test item concentrations of 1169, 1753 and 2630 mg product/kg diet (corresponding to cumulative nominal doses of 180, 270 and 405 µg product/larva per developmental period) compared to the control (Cochran-Armitage test: one-sided greater, α = 0.05). The results are summarized in </w:t>
      </w:r>
      <w:r w:rsidRPr="00960E15">
        <w:fldChar w:fldCharType="begin"/>
      </w:r>
      <w:r w:rsidRPr="00960E15">
        <w:instrText xml:space="preserve"> REF _Ref83889688 \h </w:instrText>
      </w:r>
      <w:r>
        <w:instrText xml:space="preserve"> \* MERGEFORMAT </w:instrText>
      </w:r>
      <w:r w:rsidRPr="00960E15">
        <w:fldChar w:fldCharType="separate"/>
      </w:r>
      <w:r w:rsidR="00662F32" w:rsidRPr="00960E15">
        <w:t xml:space="preserve">Table A </w:t>
      </w:r>
      <w:r w:rsidR="00662F32">
        <w:rPr>
          <w:noProof/>
        </w:rPr>
        <w:t>25</w:t>
      </w:r>
      <w:r w:rsidRPr="00960E15">
        <w:fldChar w:fldCharType="end"/>
      </w:r>
      <w:r w:rsidRPr="00960E15">
        <w:t>.</w:t>
      </w:r>
    </w:p>
    <w:p w14:paraId="0BD0CFFC" w14:textId="77777777" w:rsidR="00E51CDD" w:rsidRPr="00960E15" w:rsidRDefault="00E51CDD" w:rsidP="00E51CDD">
      <w:pPr>
        <w:tabs>
          <w:tab w:val="left" w:pos="425"/>
          <w:tab w:val="left" w:pos="850"/>
        </w:tabs>
        <w:ind w:left="2835" w:hanging="2835"/>
      </w:pPr>
    </w:p>
    <w:p w14:paraId="40D60627" w14:textId="59E3CEFF" w:rsidR="00B74DCE" w:rsidRDefault="00E51CDD" w:rsidP="00E51CDD">
      <w:pPr>
        <w:pStyle w:val="Legenda"/>
        <w:rPr>
          <w:sz w:val="22"/>
          <w:szCs w:val="22"/>
        </w:rPr>
      </w:pPr>
      <w:bookmarkStart w:id="1216" w:name="_Ref83889688"/>
      <w:r w:rsidRPr="00960E15">
        <w:rPr>
          <w:sz w:val="22"/>
          <w:szCs w:val="22"/>
        </w:rPr>
        <w:t xml:space="preserve">Table A </w:t>
      </w:r>
      <w:r w:rsidRPr="00960E15">
        <w:rPr>
          <w:sz w:val="22"/>
          <w:szCs w:val="22"/>
        </w:rPr>
        <w:fldChar w:fldCharType="begin"/>
      </w:r>
      <w:r w:rsidRPr="00960E15">
        <w:rPr>
          <w:sz w:val="22"/>
          <w:szCs w:val="22"/>
        </w:rPr>
        <w:instrText xml:space="preserve"> SEQ Table_A \* ARABIC </w:instrText>
      </w:r>
      <w:r w:rsidRPr="00960E15">
        <w:rPr>
          <w:sz w:val="22"/>
          <w:szCs w:val="22"/>
        </w:rPr>
        <w:fldChar w:fldCharType="separate"/>
      </w:r>
      <w:r w:rsidR="00662F32">
        <w:rPr>
          <w:noProof/>
          <w:sz w:val="22"/>
          <w:szCs w:val="22"/>
        </w:rPr>
        <w:t>25</w:t>
      </w:r>
      <w:r w:rsidRPr="00960E15">
        <w:rPr>
          <w:sz w:val="22"/>
          <w:szCs w:val="22"/>
        </w:rPr>
        <w:fldChar w:fldCharType="end"/>
      </w:r>
      <w:bookmarkEnd w:id="1216"/>
      <w:r w:rsidRPr="00960E15">
        <w:rPr>
          <w:sz w:val="22"/>
          <w:szCs w:val="22"/>
        </w:rPr>
        <w:t>:</w:t>
      </w:r>
      <w:r w:rsidRPr="00960E15">
        <w:rPr>
          <w:sz w:val="22"/>
          <w:szCs w:val="22"/>
        </w:rPr>
        <w:tab/>
        <w:t xml:space="preserve">Toxicity of BAS 736 00 F to </w:t>
      </w:r>
      <w:r w:rsidRPr="00960E15">
        <w:rPr>
          <w:i/>
          <w:sz w:val="22"/>
          <w:szCs w:val="22"/>
        </w:rPr>
        <w:t>Apis mellifera</w:t>
      </w:r>
      <w:r w:rsidRPr="00960E15">
        <w:rPr>
          <w:sz w:val="22"/>
          <w:szCs w:val="22"/>
        </w:rPr>
        <w:t xml:space="preserve"> (honey bee) in a repeated exposure larval </w:t>
      </w:r>
    </w:p>
    <w:p w14:paraId="64C7A048" w14:textId="51ABA497" w:rsidR="00E51CDD" w:rsidRPr="00960E15" w:rsidRDefault="00E51CDD" w:rsidP="00B74DCE">
      <w:pPr>
        <w:pStyle w:val="Legenda"/>
        <w:ind w:left="708" w:firstLine="708"/>
        <w:rPr>
          <w:sz w:val="22"/>
          <w:szCs w:val="22"/>
        </w:rPr>
      </w:pPr>
      <w:r w:rsidRPr="00960E15">
        <w:rPr>
          <w:sz w:val="22"/>
          <w:szCs w:val="22"/>
        </w:rPr>
        <w:t>toxicity test after 22 days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94"/>
        <w:gridCol w:w="1618"/>
        <w:gridCol w:w="630"/>
        <w:gridCol w:w="770"/>
        <w:gridCol w:w="693"/>
        <w:gridCol w:w="832"/>
        <w:gridCol w:w="691"/>
        <w:gridCol w:w="832"/>
        <w:gridCol w:w="1484"/>
      </w:tblGrid>
      <w:tr w:rsidR="00E51CDD" w:rsidRPr="00960E15" w14:paraId="3DFB107B" w14:textId="77777777" w:rsidTr="009938D9">
        <w:trPr>
          <w:trHeight w:val="272"/>
          <w:tblHeader/>
        </w:trPr>
        <w:tc>
          <w:tcPr>
            <w:tcW w:w="960" w:type="pct"/>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95CCAAA" w14:textId="77777777" w:rsidR="00E51CDD" w:rsidRPr="00960E15" w:rsidRDefault="00E51CDD" w:rsidP="009938D9">
            <w:pPr>
              <w:keepNext/>
              <w:overflowPunct w:val="0"/>
              <w:autoSpaceDE w:val="0"/>
              <w:autoSpaceDN w:val="0"/>
              <w:adjustRightInd w:val="0"/>
              <w:spacing w:before="40" w:after="40"/>
              <w:textAlignment w:val="baseline"/>
              <w:rPr>
                <w:b/>
                <w:bCs/>
                <w:sz w:val="20"/>
                <w:szCs w:val="20"/>
              </w:rPr>
            </w:pPr>
            <w:r w:rsidRPr="00960E15">
              <w:rPr>
                <w:b/>
                <w:bCs/>
                <w:sz w:val="20"/>
                <w:szCs w:val="20"/>
              </w:rPr>
              <w:t>Dosage</w:t>
            </w:r>
            <w:r w:rsidRPr="00960E15">
              <w:rPr>
                <w:b/>
                <w:bCs/>
                <w:sz w:val="20"/>
                <w:szCs w:val="20"/>
              </w:rPr>
              <w:br/>
              <w:t>[µg product/larva]</w:t>
            </w:r>
          </w:p>
        </w:tc>
        <w:tc>
          <w:tcPr>
            <w:tcW w:w="866" w:type="pct"/>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7D7B3CC" w14:textId="77777777" w:rsidR="00E51CDD" w:rsidRPr="00960E15" w:rsidRDefault="00E51CDD" w:rsidP="009938D9">
            <w:pPr>
              <w:keepNext/>
              <w:overflowPunct w:val="0"/>
              <w:autoSpaceDE w:val="0"/>
              <w:autoSpaceDN w:val="0"/>
              <w:adjustRightInd w:val="0"/>
              <w:spacing w:before="40" w:after="40"/>
              <w:textAlignment w:val="baseline"/>
              <w:rPr>
                <w:b/>
                <w:bCs/>
                <w:sz w:val="20"/>
                <w:szCs w:val="20"/>
              </w:rPr>
            </w:pPr>
            <w:r w:rsidRPr="00960E15">
              <w:rPr>
                <w:b/>
                <w:bCs/>
                <w:sz w:val="20"/>
                <w:szCs w:val="20"/>
              </w:rPr>
              <w:t>Concentration</w:t>
            </w:r>
            <w:r w:rsidRPr="00960E15">
              <w:rPr>
                <w:b/>
                <w:bCs/>
                <w:sz w:val="20"/>
                <w:szCs w:val="20"/>
              </w:rPr>
              <w:br/>
              <w:t>[mg product/kg food]</w:t>
            </w:r>
          </w:p>
        </w:tc>
        <w:tc>
          <w:tcPr>
            <w:tcW w:w="749" w:type="pct"/>
            <w:gridSpan w:val="2"/>
            <w:tcBorders>
              <w:top w:val="single" w:sz="4" w:space="0" w:color="auto"/>
              <w:left w:val="single" w:sz="4" w:space="0" w:color="auto"/>
              <w:bottom w:val="single" w:sz="4" w:space="0" w:color="auto"/>
              <w:right w:val="single" w:sz="4" w:space="0" w:color="auto"/>
            </w:tcBorders>
            <w:vAlign w:val="center"/>
            <w:hideMark/>
          </w:tcPr>
          <w:p w14:paraId="0919835D" w14:textId="77777777" w:rsidR="00E51CDD" w:rsidRPr="00960E15" w:rsidRDefault="00E51CDD" w:rsidP="009938D9">
            <w:pPr>
              <w:keepNext/>
              <w:overflowPunct w:val="0"/>
              <w:autoSpaceDE w:val="0"/>
              <w:autoSpaceDN w:val="0"/>
              <w:adjustRightInd w:val="0"/>
              <w:spacing w:before="40" w:after="40"/>
              <w:jc w:val="center"/>
              <w:textAlignment w:val="baseline"/>
              <w:rPr>
                <w:b/>
                <w:bCs/>
                <w:sz w:val="20"/>
                <w:szCs w:val="20"/>
              </w:rPr>
            </w:pPr>
            <w:r w:rsidRPr="00960E15">
              <w:rPr>
                <w:b/>
                <w:bCs/>
                <w:sz w:val="20"/>
                <w:szCs w:val="20"/>
              </w:rPr>
              <w:t>D8 mortality</w:t>
            </w:r>
          </w:p>
          <w:p w14:paraId="32D129A1" w14:textId="77777777" w:rsidR="00E51CDD" w:rsidRPr="00960E15" w:rsidRDefault="00E51CDD" w:rsidP="009938D9">
            <w:pPr>
              <w:keepNext/>
              <w:overflowPunct w:val="0"/>
              <w:autoSpaceDE w:val="0"/>
              <w:autoSpaceDN w:val="0"/>
              <w:adjustRightInd w:val="0"/>
              <w:spacing w:before="40" w:after="40"/>
              <w:jc w:val="center"/>
              <w:textAlignment w:val="baseline"/>
              <w:rPr>
                <w:b/>
                <w:bCs/>
                <w:sz w:val="20"/>
                <w:szCs w:val="20"/>
              </w:rPr>
            </w:pPr>
            <w:r w:rsidRPr="00960E15">
              <w:rPr>
                <w:b/>
                <w:bCs/>
                <w:sz w:val="20"/>
                <w:szCs w:val="20"/>
              </w:rPr>
              <w:t>[%]</w:t>
            </w:r>
          </w:p>
        </w:tc>
        <w:tc>
          <w:tcPr>
            <w:tcW w:w="816" w:type="pct"/>
            <w:gridSpan w:val="2"/>
            <w:tcBorders>
              <w:top w:val="single" w:sz="4" w:space="0" w:color="auto"/>
              <w:left w:val="single" w:sz="4" w:space="0" w:color="auto"/>
              <w:bottom w:val="single" w:sz="4" w:space="0" w:color="auto"/>
              <w:right w:val="single" w:sz="4" w:space="0" w:color="auto"/>
            </w:tcBorders>
            <w:vAlign w:val="center"/>
            <w:hideMark/>
          </w:tcPr>
          <w:p w14:paraId="1D36CAB9" w14:textId="77777777" w:rsidR="00E51CDD" w:rsidRPr="00960E15" w:rsidRDefault="00E51CDD" w:rsidP="009938D9">
            <w:pPr>
              <w:keepNext/>
              <w:overflowPunct w:val="0"/>
              <w:autoSpaceDE w:val="0"/>
              <w:autoSpaceDN w:val="0"/>
              <w:adjustRightInd w:val="0"/>
              <w:spacing w:before="40" w:after="40"/>
              <w:jc w:val="center"/>
              <w:textAlignment w:val="baseline"/>
              <w:rPr>
                <w:b/>
                <w:bCs/>
                <w:sz w:val="20"/>
                <w:szCs w:val="20"/>
              </w:rPr>
            </w:pPr>
            <w:r w:rsidRPr="00960E15">
              <w:rPr>
                <w:b/>
                <w:bCs/>
                <w:sz w:val="20"/>
                <w:szCs w:val="20"/>
              </w:rPr>
              <w:t>D22 pupal mortality [%]</w:t>
            </w:r>
          </w:p>
        </w:tc>
        <w:tc>
          <w:tcPr>
            <w:tcW w:w="815" w:type="pct"/>
            <w:gridSpan w:val="2"/>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A0BEEC0" w14:textId="77777777" w:rsidR="00E51CDD" w:rsidRPr="00960E15" w:rsidRDefault="00E51CDD" w:rsidP="009938D9">
            <w:pPr>
              <w:keepNext/>
              <w:overflowPunct w:val="0"/>
              <w:autoSpaceDE w:val="0"/>
              <w:autoSpaceDN w:val="0"/>
              <w:adjustRightInd w:val="0"/>
              <w:spacing w:before="40" w:after="40"/>
              <w:jc w:val="center"/>
              <w:textAlignment w:val="baseline"/>
              <w:rPr>
                <w:b/>
                <w:bCs/>
                <w:sz w:val="20"/>
                <w:szCs w:val="20"/>
              </w:rPr>
            </w:pPr>
            <w:r w:rsidRPr="00960E15">
              <w:rPr>
                <w:b/>
                <w:bCs/>
                <w:sz w:val="20"/>
                <w:szCs w:val="20"/>
              </w:rPr>
              <w:t>D15 overall mortality [%]</w:t>
            </w:r>
          </w:p>
        </w:tc>
        <w:tc>
          <w:tcPr>
            <w:tcW w:w="794" w:type="pct"/>
            <w:vMerge w:val="restar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6D329E6" w14:textId="77777777" w:rsidR="00E51CDD" w:rsidRPr="00960E15" w:rsidRDefault="00E51CDD" w:rsidP="009938D9">
            <w:pPr>
              <w:keepNext/>
              <w:overflowPunct w:val="0"/>
              <w:autoSpaceDE w:val="0"/>
              <w:autoSpaceDN w:val="0"/>
              <w:adjustRightInd w:val="0"/>
              <w:spacing w:before="40" w:after="40"/>
              <w:jc w:val="center"/>
              <w:textAlignment w:val="baseline"/>
              <w:rPr>
                <w:b/>
                <w:bCs/>
                <w:sz w:val="20"/>
                <w:szCs w:val="20"/>
              </w:rPr>
            </w:pPr>
            <w:r w:rsidRPr="00960E15">
              <w:rPr>
                <w:b/>
                <w:bCs/>
                <w:sz w:val="20"/>
                <w:szCs w:val="20"/>
              </w:rPr>
              <w:t>D22 adult emergence [%]</w:t>
            </w:r>
          </w:p>
        </w:tc>
      </w:tr>
      <w:tr w:rsidR="00E51CDD" w:rsidRPr="00960E15" w14:paraId="40CB6C07" w14:textId="77777777" w:rsidTr="009938D9">
        <w:trPr>
          <w:trHeight w:val="272"/>
          <w:tblHeader/>
        </w:trPr>
        <w:tc>
          <w:tcPr>
            <w:tcW w:w="960" w:type="pct"/>
            <w:vMerge/>
            <w:tcBorders>
              <w:top w:val="single" w:sz="4" w:space="0" w:color="auto"/>
              <w:left w:val="single" w:sz="4" w:space="0" w:color="auto"/>
              <w:bottom w:val="single" w:sz="4" w:space="0" w:color="auto"/>
              <w:right w:val="single" w:sz="4" w:space="0" w:color="auto"/>
            </w:tcBorders>
            <w:vAlign w:val="center"/>
            <w:hideMark/>
          </w:tcPr>
          <w:p w14:paraId="63B413CD" w14:textId="77777777" w:rsidR="00E51CDD" w:rsidRPr="00960E15" w:rsidRDefault="00E51CDD" w:rsidP="009938D9">
            <w:pPr>
              <w:rPr>
                <w:b/>
                <w:bCs/>
                <w:sz w:val="20"/>
                <w:szCs w:val="20"/>
              </w:rPr>
            </w:pPr>
          </w:p>
        </w:tc>
        <w:tc>
          <w:tcPr>
            <w:tcW w:w="866" w:type="pct"/>
            <w:vMerge/>
            <w:tcBorders>
              <w:top w:val="single" w:sz="4" w:space="0" w:color="auto"/>
              <w:left w:val="single" w:sz="4" w:space="0" w:color="auto"/>
              <w:bottom w:val="single" w:sz="4" w:space="0" w:color="auto"/>
              <w:right w:val="single" w:sz="4" w:space="0" w:color="auto"/>
            </w:tcBorders>
            <w:vAlign w:val="center"/>
            <w:hideMark/>
          </w:tcPr>
          <w:p w14:paraId="0E688681" w14:textId="77777777" w:rsidR="00E51CDD" w:rsidRPr="00960E15" w:rsidRDefault="00E51CDD" w:rsidP="009938D9">
            <w:pPr>
              <w:rPr>
                <w:b/>
                <w:bCs/>
                <w:sz w:val="20"/>
                <w:szCs w:val="20"/>
              </w:rPr>
            </w:pPr>
          </w:p>
        </w:tc>
        <w:tc>
          <w:tcPr>
            <w:tcW w:w="337" w:type="pct"/>
            <w:tcBorders>
              <w:top w:val="single" w:sz="4" w:space="0" w:color="auto"/>
              <w:left w:val="single" w:sz="4" w:space="0" w:color="auto"/>
              <w:bottom w:val="single" w:sz="4" w:space="0" w:color="auto"/>
              <w:right w:val="single" w:sz="4" w:space="0" w:color="auto"/>
            </w:tcBorders>
            <w:vAlign w:val="center"/>
            <w:hideMark/>
          </w:tcPr>
          <w:p w14:paraId="5AFCACF9" w14:textId="77777777" w:rsidR="00E51CDD" w:rsidRPr="00960E15" w:rsidRDefault="00E51CDD" w:rsidP="009938D9">
            <w:pPr>
              <w:keepNext/>
              <w:overflowPunct w:val="0"/>
              <w:autoSpaceDE w:val="0"/>
              <w:autoSpaceDN w:val="0"/>
              <w:adjustRightInd w:val="0"/>
              <w:spacing w:before="40" w:after="40"/>
              <w:jc w:val="center"/>
              <w:textAlignment w:val="baseline"/>
              <w:rPr>
                <w:b/>
                <w:bCs/>
                <w:sz w:val="20"/>
                <w:szCs w:val="20"/>
                <w:vertAlign w:val="superscript"/>
              </w:rPr>
            </w:pPr>
            <w:r w:rsidRPr="00960E15">
              <w:rPr>
                <w:b/>
                <w:bCs/>
                <w:sz w:val="20"/>
                <w:szCs w:val="20"/>
              </w:rPr>
              <w:t>abs.</w:t>
            </w:r>
          </w:p>
        </w:tc>
        <w:tc>
          <w:tcPr>
            <w:tcW w:w="412" w:type="pct"/>
            <w:tcBorders>
              <w:top w:val="single" w:sz="4" w:space="0" w:color="auto"/>
              <w:left w:val="single" w:sz="4" w:space="0" w:color="auto"/>
              <w:bottom w:val="single" w:sz="4" w:space="0" w:color="auto"/>
              <w:right w:val="single" w:sz="4" w:space="0" w:color="auto"/>
            </w:tcBorders>
            <w:vAlign w:val="center"/>
            <w:hideMark/>
          </w:tcPr>
          <w:p w14:paraId="2A84A972" w14:textId="77777777" w:rsidR="00E51CDD" w:rsidRPr="00960E15" w:rsidRDefault="00E51CDD" w:rsidP="009938D9">
            <w:pPr>
              <w:keepNext/>
              <w:overflowPunct w:val="0"/>
              <w:autoSpaceDE w:val="0"/>
              <w:autoSpaceDN w:val="0"/>
              <w:adjustRightInd w:val="0"/>
              <w:spacing w:before="40" w:after="40"/>
              <w:jc w:val="center"/>
              <w:textAlignment w:val="baseline"/>
              <w:rPr>
                <w:b/>
                <w:bCs/>
                <w:sz w:val="20"/>
                <w:szCs w:val="20"/>
              </w:rPr>
            </w:pPr>
            <w:r w:rsidRPr="00960E15">
              <w:rPr>
                <w:b/>
                <w:bCs/>
                <w:sz w:val="20"/>
                <w:szCs w:val="20"/>
              </w:rPr>
              <w:t xml:space="preserve">corr. </w:t>
            </w:r>
            <w:r w:rsidRPr="00960E15">
              <w:rPr>
                <w:bCs/>
                <w:sz w:val="20"/>
                <w:szCs w:val="20"/>
                <w:vertAlign w:val="superscript"/>
              </w:rPr>
              <w:t>1)</w:t>
            </w:r>
          </w:p>
        </w:tc>
        <w:tc>
          <w:tcPr>
            <w:tcW w:w="371" w:type="pct"/>
            <w:tcBorders>
              <w:top w:val="single" w:sz="4" w:space="0" w:color="auto"/>
              <w:left w:val="single" w:sz="4" w:space="0" w:color="auto"/>
              <w:bottom w:val="single" w:sz="4" w:space="0" w:color="auto"/>
              <w:right w:val="single" w:sz="4" w:space="0" w:color="auto"/>
            </w:tcBorders>
            <w:vAlign w:val="center"/>
            <w:hideMark/>
          </w:tcPr>
          <w:p w14:paraId="3E653DDA" w14:textId="77777777" w:rsidR="00E51CDD" w:rsidRPr="00960E15" w:rsidRDefault="00E51CDD" w:rsidP="009938D9">
            <w:pPr>
              <w:keepNext/>
              <w:overflowPunct w:val="0"/>
              <w:autoSpaceDE w:val="0"/>
              <w:autoSpaceDN w:val="0"/>
              <w:adjustRightInd w:val="0"/>
              <w:spacing w:before="40" w:after="40"/>
              <w:jc w:val="center"/>
              <w:textAlignment w:val="baseline"/>
              <w:rPr>
                <w:b/>
                <w:bCs/>
                <w:sz w:val="20"/>
                <w:szCs w:val="20"/>
              </w:rPr>
            </w:pPr>
            <w:r w:rsidRPr="00960E15">
              <w:rPr>
                <w:b/>
                <w:bCs/>
                <w:sz w:val="20"/>
                <w:szCs w:val="20"/>
              </w:rPr>
              <w:t>abs.</w:t>
            </w:r>
          </w:p>
        </w:tc>
        <w:tc>
          <w:tcPr>
            <w:tcW w:w="445" w:type="pct"/>
            <w:tcBorders>
              <w:top w:val="single" w:sz="4" w:space="0" w:color="auto"/>
              <w:left w:val="single" w:sz="4" w:space="0" w:color="auto"/>
              <w:bottom w:val="single" w:sz="4" w:space="0" w:color="auto"/>
              <w:right w:val="single" w:sz="4" w:space="0" w:color="auto"/>
            </w:tcBorders>
            <w:vAlign w:val="center"/>
            <w:hideMark/>
          </w:tcPr>
          <w:p w14:paraId="4D0299F4" w14:textId="77777777" w:rsidR="00E51CDD" w:rsidRPr="00960E15" w:rsidRDefault="00E51CDD" w:rsidP="009938D9">
            <w:pPr>
              <w:keepNext/>
              <w:overflowPunct w:val="0"/>
              <w:autoSpaceDE w:val="0"/>
              <w:autoSpaceDN w:val="0"/>
              <w:adjustRightInd w:val="0"/>
              <w:spacing w:before="40" w:after="40"/>
              <w:jc w:val="center"/>
              <w:textAlignment w:val="baseline"/>
              <w:rPr>
                <w:b/>
                <w:bCs/>
                <w:sz w:val="20"/>
                <w:szCs w:val="20"/>
              </w:rPr>
            </w:pPr>
            <w:r w:rsidRPr="00960E15">
              <w:rPr>
                <w:b/>
                <w:bCs/>
                <w:sz w:val="20"/>
                <w:szCs w:val="20"/>
              </w:rPr>
              <w:t xml:space="preserve">corr. </w:t>
            </w:r>
            <w:r w:rsidRPr="00960E15">
              <w:rPr>
                <w:bCs/>
                <w:sz w:val="20"/>
                <w:szCs w:val="20"/>
                <w:vertAlign w:val="superscript"/>
              </w:rPr>
              <w:t>1)</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7D90399" w14:textId="77777777" w:rsidR="00E51CDD" w:rsidRPr="00960E15" w:rsidRDefault="00E51CDD" w:rsidP="009938D9">
            <w:pPr>
              <w:keepNext/>
              <w:overflowPunct w:val="0"/>
              <w:autoSpaceDE w:val="0"/>
              <w:autoSpaceDN w:val="0"/>
              <w:adjustRightInd w:val="0"/>
              <w:spacing w:before="40" w:after="40"/>
              <w:jc w:val="center"/>
              <w:textAlignment w:val="baseline"/>
              <w:rPr>
                <w:b/>
                <w:bCs/>
                <w:sz w:val="20"/>
                <w:szCs w:val="20"/>
                <w:vertAlign w:val="superscript"/>
              </w:rPr>
            </w:pPr>
            <w:r w:rsidRPr="00960E15">
              <w:rPr>
                <w:b/>
                <w:bCs/>
                <w:sz w:val="20"/>
                <w:szCs w:val="20"/>
              </w:rPr>
              <w:t>abs.</w:t>
            </w:r>
          </w:p>
        </w:tc>
        <w:tc>
          <w:tcPr>
            <w:tcW w:w="445" w:type="pct"/>
            <w:tcBorders>
              <w:top w:val="single" w:sz="4" w:space="0" w:color="auto"/>
              <w:left w:val="single" w:sz="4" w:space="0" w:color="auto"/>
              <w:bottom w:val="single" w:sz="4" w:space="0" w:color="auto"/>
              <w:right w:val="single" w:sz="4" w:space="0" w:color="auto"/>
            </w:tcBorders>
            <w:vAlign w:val="center"/>
            <w:hideMark/>
          </w:tcPr>
          <w:p w14:paraId="5B6BFC3E" w14:textId="77777777" w:rsidR="00E51CDD" w:rsidRPr="00960E15" w:rsidRDefault="00E51CDD" w:rsidP="009938D9">
            <w:pPr>
              <w:keepNext/>
              <w:overflowPunct w:val="0"/>
              <w:autoSpaceDE w:val="0"/>
              <w:autoSpaceDN w:val="0"/>
              <w:adjustRightInd w:val="0"/>
              <w:spacing w:before="40" w:after="40"/>
              <w:jc w:val="center"/>
              <w:textAlignment w:val="baseline"/>
              <w:rPr>
                <w:b/>
                <w:bCs/>
                <w:sz w:val="20"/>
                <w:szCs w:val="20"/>
              </w:rPr>
            </w:pPr>
            <w:r w:rsidRPr="00960E15">
              <w:rPr>
                <w:b/>
                <w:bCs/>
                <w:sz w:val="20"/>
                <w:szCs w:val="20"/>
              </w:rPr>
              <w:t xml:space="preserve">corr. </w:t>
            </w:r>
            <w:r w:rsidRPr="00960E15">
              <w:rPr>
                <w:bCs/>
                <w:sz w:val="20"/>
                <w:szCs w:val="20"/>
                <w:vertAlign w:val="superscript"/>
              </w:rPr>
              <w:t>1)</w:t>
            </w:r>
          </w:p>
        </w:tc>
        <w:tc>
          <w:tcPr>
            <w:tcW w:w="794" w:type="pct"/>
            <w:vMerge/>
            <w:tcBorders>
              <w:top w:val="single" w:sz="4" w:space="0" w:color="auto"/>
              <w:left w:val="single" w:sz="4" w:space="0" w:color="auto"/>
              <w:bottom w:val="single" w:sz="4" w:space="0" w:color="auto"/>
              <w:right w:val="single" w:sz="4" w:space="0" w:color="auto"/>
            </w:tcBorders>
            <w:vAlign w:val="center"/>
            <w:hideMark/>
          </w:tcPr>
          <w:p w14:paraId="58B8B382" w14:textId="77777777" w:rsidR="00E51CDD" w:rsidRPr="00960E15" w:rsidRDefault="00E51CDD" w:rsidP="009938D9">
            <w:pPr>
              <w:jc w:val="center"/>
              <w:rPr>
                <w:b/>
                <w:bCs/>
                <w:sz w:val="20"/>
                <w:szCs w:val="20"/>
              </w:rPr>
            </w:pPr>
          </w:p>
        </w:tc>
      </w:tr>
      <w:tr w:rsidR="00E51CDD" w:rsidRPr="00960E15" w14:paraId="6DE2167C" w14:textId="77777777" w:rsidTr="009938D9">
        <w:trPr>
          <w:trHeight w:val="272"/>
        </w:trPr>
        <w:tc>
          <w:tcPr>
            <w:tcW w:w="96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6FC0E4D" w14:textId="77777777" w:rsidR="00E51CDD" w:rsidRPr="00960E15" w:rsidRDefault="00E51CDD" w:rsidP="009938D9">
            <w:pPr>
              <w:keepNext/>
              <w:overflowPunct w:val="0"/>
              <w:autoSpaceDE w:val="0"/>
              <w:autoSpaceDN w:val="0"/>
              <w:adjustRightInd w:val="0"/>
              <w:spacing w:before="40" w:after="40"/>
              <w:textAlignment w:val="baseline"/>
              <w:rPr>
                <w:sz w:val="20"/>
                <w:szCs w:val="20"/>
              </w:rPr>
            </w:pPr>
            <w:r w:rsidRPr="00960E15">
              <w:rPr>
                <w:sz w:val="20"/>
                <w:szCs w:val="20"/>
              </w:rPr>
              <w:t>Control</w:t>
            </w:r>
          </w:p>
        </w:tc>
        <w:tc>
          <w:tcPr>
            <w:tcW w:w="86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EBD7DEF" w14:textId="77777777" w:rsidR="00E51CDD" w:rsidRPr="00960E15" w:rsidRDefault="00E51CDD" w:rsidP="009938D9">
            <w:pPr>
              <w:keepNext/>
              <w:overflowPunct w:val="0"/>
              <w:autoSpaceDE w:val="0"/>
              <w:autoSpaceDN w:val="0"/>
              <w:adjustRightInd w:val="0"/>
              <w:spacing w:before="40" w:after="40"/>
              <w:textAlignment w:val="baseline"/>
              <w:rPr>
                <w:sz w:val="20"/>
                <w:szCs w:val="20"/>
              </w:rPr>
            </w:pPr>
            <w:r w:rsidRPr="00960E15">
              <w:rPr>
                <w:sz w:val="20"/>
                <w:szCs w:val="20"/>
              </w:rPr>
              <w:t>Control</w:t>
            </w:r>
          </w:p>
        </w:tc>
        <w:tc>
          <w:tcPr>
            <w:tcW w:w="337" w:type="pct"/>
            <w:tcBorders>
              <w:top w:val="single" w:sz="4" w:space="0" w:color="auto"/>
              <w:left w:val="single" w:sz="4" w:space="0" w:color="auto"/>
              <w:bottom w:val="single" w:sz="4" w:space="0" w:color="auto"/>
              <w:right w:val="single" w:sz="4" w:space="0" w:color="auto"/>
            </w:tcBorders>
            <w:vAlign w:val="center"/>
            <w:hideMark/>
          </w:tcPr>
          <w:p w14:paraId="66950B1F"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0.0</w:t>
            </w:r>
          </w:p>
        </w:tc>
        <w:tc>
          <w:tcPr>
            <w:tcW w:w="412" w:type="pct"/>
            <w:tcBorders>
              <w:top w:val="single" w:sz="4" w:space="0" w:color="auto"/>
              <w:left w:val="single" w:sz="4" w:space="0" w:color="auto"/>
              <w:bottom w:val="single" w:sz="4" w:space="0" w:color="auto"/>
              <w:right w:val="single" w:sz="4" w:space="0" w:color="auto"/>
            </w:tcBorders>
            <w:vAlign w:val="center"/>
            <w:hideMark/>
          </w:tcPr>
          <w:p w14:paraId="7ED8812B"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w:t>
            </w:r>
          </w:p>
        </w:tc>
        <w:tc>
          <w:tcPr>
            <w:tcW w:w="371" w:type="pct"/>
            <w:tcBorders>
              <w:top w:val="single" w:sz="4" w:space="0" w:color="auto"/>
              <w:left w:val="single" w:sz="4" w:space="0" w:color="auto"/>
              <w:bottom w:val="single" w:sz="4" w:space="0" w:color="auto"/>
              <w:right w:val="single" w:sz="4" w:space="0" w:color="auto"/>
            </w:tcBorders>
            <w:vAlign w:val="center"/>
            <w:hideMark/>
          </w:tcPr>
          <w:p w14:paraId="52E057D0"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10.4</w:t>
            </w:r>
          </w:p>
        </w:tc>
        <w:tc>
          <w:tcPr>
            <w:tcW w:w="445" w:type="pct"/>
            <w:tcBorders>
              <w:top w:val="single" w:sz="4" w:space="0" w:color="auto"/>
              <w:left w:val="single" w:sz="4" w:space="0" w:color="auto"/>
              <w:bottom w:val="single" w:sz="4" w:space="0" w:color="auto"/>
              <w:right w:val="single" w:sz="4" w:space="0" w:color="auto"/>
            </w:tcBorders>
            <w:vAlign w:val="center"/>
            <w:hideMark/>
          </w:tcPr>
          <w:p w14:paraId="0395B6E2"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195BA4B"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10.4</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8189FF3"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3BCD271"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89.6</w:t>
            </w:r>
          </w:p>
        </w:tc>
      </w:tr>
      <w:tr w:rsidR="00E51CDD" w:rsidRPr="00960E15" w14:paraId="0C6C3527" w14:textId="77777777" w:rsidTr="009938D9">
        <w:trPr>
          <w:trHeight w:val="272"/>
        </w:trPr>
        <w:tc>
          <w:tcPr>
            <w:tcW w:w="96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1585804C" w14:textId="77777777" w:rsidR="00E51CDD" w:rsidRPr="00960E15" w:rsidRDefault="00E51CDD" w:rsidP="009938D9">
            <w:pPr>
              <w:keepNext/>
              <w:rPr>
                <w:sz w:val="20"/>
                <w:szCs w:val="20"/>
              </w:rPr>
            </w:pPr>
            <w:r w:rsidRPr="00960E15">
              <w:rPr>
                <w:rFonts w:eastAsia="Calibri"/>
                <w:sz w:val="20"/>
                <w:szCs w:val="20"/>
                <w:lang w:eastAsia="en-US"/>
              </w:rPr>
              <w:t>80.1</w:t>
            </w:r>
          </w:p>
        </w:tc>
        <w:tc>
          <w:tcPr>
            <w:tcW w:w="86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D9790CB" w14:textId="77777777" w:rsidR="00E51CDD" w:rsidRPr="00960E15" w:rsidRDefault="00E51CDD" w:rsidP="009938D9">
            <w:pPr>
              <w:keepNext/>
              <w:rPr>
                <w:sz w:val="20"/>
                <w:szCs w:val="20"/>
              </w:rPr>
            </w:pPr>
            <w:r w:rsidRPr="00960E15">
              <w:rPr>
                <w:rFonts w:eastAsia="Calibri"/>
                <w:sz w:val="20"/>
                <w:szCs w:val="20"/>
                <w:lang w:eastAsia="en-US"/>
              </w:rPr>
              <w:t>520</w:t>
            </w:r>
          </w:p>
        </w:tc>
        <w:tc>
          <w:tcPr>
            <w:tcW w:w="337" w:type="pct"/>
            <w:tcBorders>
              <w:top w:val="single" w:sz="4" w:space="0" w:color="auto"/>
              <w:left w:val="single" w:sz="4" w:space="0" w:color="auto"/>
              <w:bottom w:val="single" w:sz="4" w:space="0" w:color="auto"/>
              <w:right w:val="single" w:sz="4" w:space="0" w:color="auto"/>
            </w:tcBorders>
            <w:vAlign w:val="center"/>
          </w:tcPr>
          <w:p w14:paraId="7A9A8386"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0.0</w:t>
            </w:r>
          </w:p>
        </w:tc>
        <w:tc>
          <w:tcPr>
            <w:tcW w:w="412" w:type="pct"/>
            <w:tcBorders>
              <w:top w:val="single" w:sz="4" w:space="0" w:color="auto"/>
              <w:left w:val="single" w:sz="4" w:space="0" w:color="auto"/>
              <w:bottom w:val="single" w:sz="4" w:space="0" w:color="auto"/>
              <w:right w:val="single" w:sz="4" w:space="0" w:color="auto"/>
            </w:tcBorders>
            <w:vAlign w:val="center"/>
          </w:tcPr>
          <w:p w14:paraId="14B4AC56"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0.0</w:t>
            </w:r>
          </w:p>
        </w:tc>
        <w:tc>
          <w:tcPr>
            <w:tcW w:w="371" w:type="pct"/>
            <w:tcBorders>
              <w:top w:val="single" w:sz="4" w:space="0" w:color="auto"/>
              <w:left w:val="single" w:sz="4" w:space="0" w:color="auto"/>
              <w:bottom w:val="single" w:sz="4" w:space="0" w:color="auto"/>
              <w:right w:val="single" w:sz="4" w:space="0" w:color="auto"/>
            </w:tcBorders>
            <w:vAlign w:val="center"/>
          </w:tcPr>
          <w:p w14:paraId="72440E12"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10.4</w:t>
            </w:r>
          </w:p>
        </w:tc>
        <w:tc>
          <w:tcPr>
            <w:tcW w:w="445" w:type="pct"/>
            <w:tcBorders>
              <w:top w:val="single" w:sz="4" w:space="0" w:color="auto"/>
              <w:left w:val="single" w:sz="4" w:space="0" w:color="auto"/>
              <w:bottom w:val="single" w:sz="4" w:space="0" w:color="auto"/>
              <w:right w:val="single" w:sz="4" w:space="0" w:color="auto"/>
            </w:tcBorders>
            <w:vAlign w:val="center"/>
          </w:tcPr>
          <w:p w14:paraId="37DCB689"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0.0</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9537220"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6.3</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4DECA0"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-4.6</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57B760A"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89.6</w:t>
            </w:r>
          </w:p>
        </w:tc>
      </w:tr>
      <w:tr w:rsidR="00E51CDD" w:rsidRPr="00960E15" w14:paraId="61BC3ABB" w14:textId="77777777" w:rsidTr="009938D9">
        <w:trPr>
          <w:trHeight w:val="195"/>
        </w:trPr>
        <w:tc>
          <w:tcPr>
            <w:tcW w:w="96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E3FDE24" w14:textId="77777777" w:rsidR="00E51CDD" w:rsidRPr="00960E15" w:rsidRDefault="00E51CDD" w:rsidP="009938D9">
            <w:pPr>
              <w:keepNext/>
              <w:rPr>
                <w:sz w:val="20"/>
                <w:szCs w:val="20"/>
              </w:rPr>
            </w:pPr>
            <w:r w:rsidRPr="00960E15">
              <w:rPr>
                <w:rFonts w:eastAsia="Calibri"/>
                <w:sz w:val="20"/>
                <w:szCs w:val="20"/>
                <w:lang w:eastAsia="en-US"/>
              </w:rPr>
              <w:t>120</w:t>
            </w:r>
          </w:p>
        </w:tc>
        <w:tc>
          <w:tcPr>
            <w:tcW w:w="86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339D96A" w14:textId="77777777" w:rsidR="00E51CDD" w:rsidRPr="00960E15" w:rsidRDefault="00E51CDD" w:rsidP="009938D9">
            <w:pPr>
              <w:keepNext/>
              <w:rPr>
                <w:sz w:val="20"/>
                <w:szCs w:val="20"/>
              </w:rPr>
            </w:pPr>
            <w:r w:rsidRPr="00960E15">
              <w:rPr>
                <w:rFonts w:eastAsia="Calibri"/>
                <w:sz w:val="20"/>
                <w:szCs w:val="20"/>
                <w:lang w:eastAsia="en-US"/>
              </w:rPr>
              <w:t>779</w:t>
            </w:r>
          </w:p>
        </w:tc>
        <w:tc>
          <w:tcPr>
            <w:tcW w:w="337" w:type="pct"/>
            <w:tcBorders>
              <w:top w:val="single" w:sz="4" w:space="0" w:color="auto"/>
              <w:left w:val="single" w:sz="4" w:space="0" w:color="auto"/>
              <w:bottom w:val="single" w:sz="4" w:space="0" w:color="auto"/>
              <w:right w:val="single" w:sz="4" w:space="0" w:color="auto"/>
            </w:tcBorders>
            <w:vAlign w:val="center"/>
          </w:tcPr>
          <w:p w14:paraId="3D56A0E5"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0.0</w:t>
            </w:r>
          </w:p>
        </w:tc>
        <w:tc>
          <w:tcPr>
            <w:tcW w:w="412" w:type="pct"/>
            <w:tcBorders>
              <w:top w:val="single" w:sz="4" w:space="0" w:color="auto"/>
              <w:left w:val="single" w:sz="4" w:space="0" w:color="auto"/>
              <w:bottom w:val="single" w:sz="4" w:space="0" w:color="auto"/>
              <w:right w:val="single" w:sz="4" w:space="0" w:color="auto"/>
            </w:tcBorders>
            <w:vAlign w:val="center"/>
          </w:tcPr>
          <w:p w14:paraId="3F674A35"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0.0</w:t>
            </w:r>
          </w:p>
        </w:tc>
        <w:tc>
          <w:tcPr>
            <w:tcW w:w="371" w:type="pct"/>
            <w:tcBorders>
              <w:top w:val="single" w:sz="4" w:space="0" w:color="auto"/>
              <w:left w:val="single" w:sz="4" w:space="0" w:color="auto"/>
              <w:bottom w:val="single" w:sz="4" w:space="0" w:color="auto"/>
              <w:right w:val="single" w:sz="4" w:space="0" w:color="auto"/>
            </w:tcBorders>
            <w:vAlign w:val="center"/>
          </w:tcPr>
          <w:p w14:paraId="7896A4FF"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14.6</w:t>
            </w:r>
          </w:p>
        </w:tc>
        <w:tc>
          <w:tcPr>
            <w:tcW w:w="445" w:type="pct"/>
            <w:tcBorders>
              <w:top w:val="single" w:sz="4" w:space="0" w:color="auto"/>
              <w:left w:val="single" w:sz="4" w:space="0" w:color="auto"/>
              <w:bottom w:val="single" w:sz="4" w:space="0" w:color="auto"/>
              <w:right w:val="single" w:sz="4" w:space="0" w:color="auto"/>
            </w:tcBorders>
            <w:vAlign w:val="center"/>
          </w:tcPr>
          <w:p w14:paraId="4644D15C"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4.7</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92080AD"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10.4</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EF546E9"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0.0</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32AE3F39"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85.4</w:t>
            </w:r>
          </w:p>
        </w:tc>
      </w:tr>
      <w:tr w:rsidR="00E51CDD" w:rsidRPr="00960E15" w14:paraId="1132B39E" w14:textId="77777777" w:rsidTr="009938D9">
        <w:trPr>
          <w:trHeight w:val="272"/>
        </w:trPr>
        <w:tc>
          <w:tcPr>
            <w:tcW w:w="96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D260DA6" w14:textId="77777777" w:rsidR="00E51CDD" w:rsidRPr="00960E15" w:rsidRDefault="00E51CDD" w:rsidP="009938D9">
            <w:pPr>
              <w:keepNext/>
              <w:rPr>
                <w:sz w:val="20"/>
                <w:szCs w:val="20"/>
              </w:rPr>
            </w:pPr>
            <w:r w:rsidRPr="00960E15">
              <w:rPr>
                <w:rFonts w:eastAsia="Calibri"/>
                <w:sz w:val="20"/>
                <w:szCs w:val="20"/>
                <w:lang w:eastAsia="en-US"/>
              </w:rPr>
              <w:t>180</w:t>
            </w:r>
          </w:p>
        </w:tc>
        <w:tc>
          <w:tcPr>
            <w:tcW w:w="86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07E65A7F" w14:textId="77777777" w:rsidR="00E51CDD" w:rsidRPr="00960E15" w:rsidRDefault="00E51CDD" w:rsidP="009938D9">
            <w:pPr>
              <w:keepNext/>
              <w:rPr>
                <w:sz w:val="20"/>
                <w:szCs w:val="20"/>
              </w:rPr>
            </w:pPr>
            <w:r w:rsidRPr="00960E15">
              <w:rPr>
                <w:rFonts w:eastAsia="Calibri"/>
                <w:sz w:val="20"/>
                <w:szCs w:val="20"/>
                <w:lang w:eastAsia="en-US"/>
              </w:rPr>
              <w:t>1169</w:t>
            </w:r>
          </w:p>
        </w:tc>
        <w:tc>
          <w:tcPr>
            <w:tcW w:w="337" w:type="pct"/>
            <w:tcBorders>
              <w:top w:val="single" w:sz="4" w:space="0" w:color="auto"/>
              <w:left w:val="single" w:sz="4" w:space="0" w:color="auto"/>
              <w:bottom w:val="single" w:sz="4" w:space="0" w:color="auto"/>
              <w:right w:val="single" w:sz="4" w:space="0" w:color="auto"/>
            </w:tcBorders>
            <w:vAlign w:val="center"/>
          </w:tcPr>
          <w:p w14:paraId="2B2A6EAA"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12.5</w:t>
            </w:r>
            <w:r w:rsidRPr="00960E15">
              <w:rPr>
                <w:sz w:val="20"/>
                <w:szCs w:val="20"/>
                <w:vertAlign w:val="superscript"/>
              </w:rPr>
              <w:t>*</w:t>
            </w:r>
          </w:p>
        </w:tc>
        <w:tc>
          <w:tcPr>
            <w:tcW w:w="412" w:type="pct"/>
            <w:tcBorders>
              <w:top w:val="single" w:sz="4" w:space="0" w:color="auto"/>
              <w:left w:val="single" w:sz="4" w:space="0" w:color="auto"/>
              <w:bottom w:val="single" w:sz="4" w:space="0" w:color="auto"/>
              <w:right w:val="single" w:sz="4" w:space="0" w:color="auto"/>
            </w:tcBorders>
            <w:vAlign w:val="center"/>
          </w:tcPr>
          <w:p w14:paraId="15E42FE6"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12.5</w:t>
            </w:r>
            <w:r w:rsidRPr="00960E15">
              <w:rPr>
                <w:sz w:val="20"/>
                <w:szCs w:val="20"/>
                <w:vertAlign w:val="superscript"/>
              </w:rPr>
              <w:t>*</w:t>
            </w:r>
          </w:p>
        </w:tc>
        <w:tc>
          <w:tcPr>
            <w:tcW w:w="371" w:type="pct"/>
            <w:tcBorders>
              <w:top w:val="single" w:sz="4" w:space="0" w:color="auto"/>
              <w:left w:val="single" w:sz="4" w:space="0" w:color="auto"/>
              <w:bottom w:val="single" w:sz="4" w:space="0" w:color="auto"/>
              <w:right w:val="single" w:sz="4" w:space="0" w:color="auto"/>
            </w:tcBorders>
            <w:vAlign w:val="center"/>
          </w:tcPr>
          <w:p w14:paraId="6E0E509C"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38.1</w:t>
            </w:r>
          </w:p>
        </w:tc>
        <w:tc>
          <w:tcPr>
            <w:tcW w:w="445" w:type="pct"/>
            <w:tcBorders>
              <w:top w:val="single" w:sz="4" w:space="0" w:color="auto"/>
              <w:left w:val="single" w:sz="4" w:space="0" w:color="auto"/>
              <w:bottom w:val="single" w:sz="4" w:space="0" w:color="auto"/>
              <w:right w:val="single" w:sz="4" w:space="0" w:color="auto"/>
            </w:tcBorders>
            <w:vAlign w:val="center"/>
          </w:tcPr>
          <w:p w14:paraId="36376A82"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30.9</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6FDBE31"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33.3</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F7623C8"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25.6</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247A287"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54.2</w:t>
            </w:r>
            <w:r w:rsidRPr="00960E15">
              <w:rPr>
                <w:sz w:val="20"/>
                <w:szCs w:val="20"/>
                <w:vertAlign w:val="superscript"/>
              </w:rPr>
              <w:t>**</w:t>
            </w:r>
          </w:p>
        </w:tc>
      </w:tr>
      <w:tr w:rsidR="00E51CDD" w:rsidRPr="00960E15" w14:paraId="3F3772AF" w14:textId="77777777" w:rsidTr="009938D9">
        <w:trPr>
          <w:trHeight w:val="272"/>
        </w:trPr>
        <w:tc>
          <w:tcPr>
            <w:tcW w:w="96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1216C12" w14:textId="77777777" w:rsidR="00E51CDD" w:rsidRPr="00960E15" w:rsidRDefault="00E51CDD" w:rsidP="009938D9">
            <w:pPr>
              <w:keepNext/>
              <w:rPr>
                <w:sz w:val="20"/>
                <w:szCs w:val="20"/>
              </w:rPr>
            </w:pPr>
            <w:r w:rsidRPr="00960E15">
              <w:rPr>
                <w:rFonts w:eastAsia="Calibri"/>
                <w:sz w:val="20"/>
                <w:szCs w:val="20"/>
                <w:lang w:eastAsia="en-US"/>
              </w:rPr>
              <w:t>270</w:t>
            </w:r>
          </w:p>
        </w:tc>
        <w:tc>
          <w:tcPr>
            <w:tcW w:w="86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A3BDDCE" w14:textId="77777777" w:rsidR="00E51CDD" w:rsidRPr="00960E15" w:rsidRDefault="00E51CDD" w:rsidP="009938D9">
            <w:pPr>
              <w:keepNext/>
              <w:rPr>
                <w:sz w:val="20"/>
                <w:szCs w:val="20"/>
              </w:rPr>
            </w:pPr>
            <w:r w:rsidRPr="00960E15">
              <w:rPr>
                <w:rFonts w:eastAsia="Calibri"/>
                <w:sz w:val="20"/>
                <w:szCs w:val="20"/>
                <w:lang w:eastAsia="en-US"/>
              </w:rPr>
              <w:t>1753</w:t>
            </w:r>
          </w:p>
        </w:tc>
        <w:tc>
          <w:tcPr>
            <w:tcW w:w="337" w:type="pct"/>
            <w:tcBorders>
              <w:top w:val="single" w:sz="4" w:space="0" w:color="auto"/>
              <w:left w:val="single" w:sz="4" w:space="0" w:color="auto"/>
              <w:bottom w:val="single" w:sz="4" w:space="0" w:color="auto"/>
              <w:right w:val="single" w:sz="4" w:space="0" w:color="auto"/>
            </w:tcBorders>
            <w:vAlign w:val="center"/>
          </w:tcPr>
          <w:p w14:paraId="45B91DEC"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29.2</w:t>
            </w:r>
            <w:r w:rsidRPr="00960E15">
              <w:rPr>
                <w:sz w:val="20"/>
                <w:szCs w:val="20"/>
                <w:vertAlign w:val="superscript"/>
              </w:rPr>
              <w:t>*</w:t>
            </w:r>
          </w:p>
        </w:tc>
        <w:tc>
          <w:tcPr>
            <w:tcW w:w="412" w:type="pct"/>
            <w:tcBorders>
              <w:top w:val="single" w:sz="4" w:space="0" w:color="auto"/>
              <w:left w:val="single" w:sz="4" w:space="0" w:color="auto"/>
              <w:bottom w:val="single" w:sz="4" w:space="0" w:color="auto"/>
              <w:right w:val="single" w:sz="4" w:space="0" w:color="auto"/>
            </w:tcBorders>
            <w:vAlign w:val="center"/>
          </w:tcPr>
          <w:p w14:paraId="69BDCAC3"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29.2</w:t>
            </w:r>
            <w:r w:rsidRPr="00960E15">
              <w:rPr>
                <w:sz w:val="20"/>
                <w:szCs w:val="20"/>
                <w:vertAlign w:val="superscript"/>
              </w:rPr>
              <w:t>*</w:t>
            </w:r>
          </w:p>
        </w:tc>
        <w:tc>
          <w:tcPr>
            <w:tcW w:w="371" w:type="pct"/>
            <w:tcBorders>
              <w:top w:val="single" w:sz="4" w:space="0" w:color="auto"/>
              <w:left w:val="single" w:sz="4" w:space="0" w:color="auto"/>
              <w:bottom w:val="single" w:sz="4" w:space="0" w:color="auto"/>
              <w:right w:val="single" w:sz="4" w:space="0" w:color="auto"/>
            </w:tcBorders>
            <w:vAlign w:val="center"/>
          </w:tcPr>
          <w:p w14:paraId="3118877D"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100.0</w:t>
            </w:r>
          </w:p>
        </w:tc>
        <w:tc>
          <w:tcPr>
            <w:tcW w:w="445" w:type="pct"/>
            <w:tcBorders>
              <w:top w:val="single" w:sz="4" w:space="0" w:color="auto"/>
              <w:left w:val="single" w:sz="4" w:space="0" w:color="auto"/>
              <w:bottom w:val="single" w:sz="4" w:space="0" w:color="auto"/>
              <w:right w:val="single" w:sz="4" w:space="0" w:color="auto"/>
            </w:tcBorders>
            <w:vAlign w:val="center"/>
          </w:tcPr>
          <w:p w14:paraId="1512886D"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100.0</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308720D"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70.8</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0C15E4"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67.4</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8B0BC5F"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0.0</w:t>
            </w:r>
            <w:r w:rsidRPr="00960E15">
              <w:rPr>
                <w:sz w:val="20"/>
                <w:szCs w:val="20"/>
                <w:vertAlign w:val="superscript"/>
              </w:rPr>
              <w:t>**</w:t>
            </w:r>
          </w:p>
        </w:tc>
      </w:tr>
      <w:tr w:rsidR="00E51CDD" w:rsidRPr="00960E15" w14:paraId="308C87E3" w14:textId="77777777" w:rsidTr="009938D9">
        <w:trPr>
          <w:trHeight w:val="272"/>
        </w:trPr>
        <w:tc>
          <w:tcPr>
            <w:tcW w:w="96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D378C2C" w14:textId="77777777" w:rsidR="00E51CDD" w:rsidRPr="00960E15" w:rsidRDefault="00E51CDD" w:rsidP="009938D9">
            <w:pPr>
              <w:keepNext/>
              <w:rPr>
                <w:sz w:val="20"/>
                <w:szCs w:val="20"/>
              </w:rPr>
            </w:pPr>
            <w:r w:rsidRPr="00960E15">
              <w:rPr>
                <w:rFonts w:eastAsia="Calibri"/>
                <w:sz w:val="20"/>
                <w:szCs w:val="20"/>
                <w:lang w:eastAsia="en-US"/>
              </w:rPr>
              <w:t>405</w:t>
            </w:r>
          </w:p>
        </w:tc>
        <w:tc>
          <w:tcPr>
            <w:tcW w:w="866"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70963B3" w14:textId="77777777" w:rsidR="00E51CDD" w:rsidRPr="00960E15" w:rsidRDefault="00E51CDD" w:rsidP="009938D9">
            <w:pPr>
              <w:keepNext/>
              <w:rPr>
                <w:sz w:val="20"/>
                <w:szCs w:val="20"/>
              </w:rPr>
            </w:pPr>
            <w:r w:rsidRPr="00960E15">
              <w:rPr>
                <w:rFonts w:eastAsia="Calibri"/>
                <w:sz w:val="20"/>
                <w:szCs w:val="20"/>
                <w:lang w:eastAsia="en-US"/>
              </w:rPr>
              <w:t>2630</w:t>
            </w:r>
          </w:p>
        </w:tc>
        <w:tc>
          <w:tcPr>
            <w:tcW w:w="337" w:type="pct"/>
            <w:tcBorders>
              <w:top w:val="single" w:sz="4" w:space="0" w:color="auto"/>
              <w:left w:val="single" w:sz="4" w:space="0" w:color="auto"/>
              <w:bottom w:val="single" w:sz="4" w:space="0" w:color="auto"/>
              <w:right w:val="single" w:sz="4" w:space="0" w:color="auto"/>
            </w:tcBorders>
            <w:vAlign w:val="center"/>
          </w:tcPr>
          <w:p w14:paraId="6E42C38F"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85.4</w:t>
            </w:r>
            <w:r w:rsidRPr="00960E15">
              <w:rPr>
                <w:sz w:val="20"/>
                <w:szCs w:val="20"/>
                <w:vertAlign w:val="superscript"/>
              </w:rPr>
              <w:t>*</w:t>
            </w:r>
          </w:p>
        </w:tc>
        <w:tc>
          <w:tcPr>
            <w:tcW w:w="412" w:type="pct"/>
            <w:tcBorders>
              <w:top w:val="single" w:sz="4" w:space="0" w:color="auto"/>
              <w:left w:val="single" w:sz="4" w:space="0" w:color="auto"/>
              <w:bottom w:val="single" w:sz="4" w:space="0" w:color="auto"/>
              <w:right w:val="single" w:sz="4" w:space="0" w:color="auto"/>
            </w:tcBorders>
            <w:vAlign w:val="center"/>
          </w:tcPr>
          <w:p w14:paraId="1255369E"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85.4</w:t>
            </w:r>
            <w:r w:rsidRPr="00960E15">
              <w:rPr>
                <w:sz w:val="20"/>
                <w:szCs w:val="20"/>
                <w:vertAlign w:val="superscript"/>
              </w:rPr>
              <w:t>*</w:t>
            </w:r>
          </w:p>
        </w:tc>
        <w:tc>
          <w:tcPr>
            <w:tcW w:w="371" w:type="pct"/>
            <w:tcBorders>
              <w:top w:val="single" w:sz="4" w:space="0" w:color="auto"/>
              <w:left w:val="single" w:sz="4" w:space="0" w:color="auto"/>
              <w:bottom w:val="single" w:sz="4" w:space="0" w:color="auto"/>
              <w:right w:val="single" w:sz="4" w:space="0" w:color="auto"/>
            </w:tcBorders>
            <w:vAlign w:val="center"/>
          </w:tcPr>
          <w:p w14:paraId="6A1D1400"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100.0</w:t>
            </w:r>
          </w:p>
        </w:tc>
        <w:tc>
          <w:tcPr>
            <w:tcW w:w="445" w:type="pct"/>
            <w:tcBorders>
              <w:top w:val="single" w:sz="4" w:space="0" w:color="auto"/>
              <w:left w:val="single" w:sz="4" w:space="0" w:color="auto"/>
              <w:bottom w:val="single" w:sz="4" w:space="0" w:color="auto"/>
              <w:right w:val="single" w:sz="4" w:space="0" w:color="auto"/>
            </w:tcBorders>
            <w:vAlign w:val="center"/>
          </w:tcPr>
          <w:p w14:paraId="78954493"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100.0</w:t>
            </w:r>
          </w:p>
        </w:tc>
        <w:tc>
          <w:tcPr>
            <w:tcW w:w="370"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174AFEB"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100.0</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8D8F3B"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100.0</w:t>
            </w:r>
          </w:p>
        </w:tc>
        <w:tc>
          <w:tcPr>
            <w:tcW w:w="794"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05BCA181"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0.0</w:t>
            </w:r>
            <w:r w:rsidRPr="00960E15">
              <w:rPr>
                <w:sz w:val="20"/>
                <w:szCs w:val="20"/>
                <w:vertAlign w:val="superscript"/>
              </w:rPr>
              <w:t>**</w:t>
            </w:r>
          </w:p>
        </w:tc>
      </w:tr>
      <w:tr w:rsidR="00E51CDD" w:rsidRPr="00960E15" w14:paraId="06DD8978" w14:textId="77777777" w:rsidTr="009938D9">
        <w:trPr>
          <w:trHeight w:val="322"/>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14:paraId="1A45E7E2" w14:textId="77777777" w:rsidR="00E51CDD" w:rsidRPr="00960E15" w:rsidRDefault="00E51CDD" w:rsidP="009938D9">
            <w:pPr>
              <w:keepNext/>
              <w:overflowPunct w:val="0"/>
              <w:autoSpaceDE w:val="0"/>
              <w:autoSpaceDN w:val="0"/>
              <w:adjustRightInd w:val="0"/>
              <w:spacing w:before="40" w:after="40"/>
              <w:textAlignment w:val="baseline"/>
              <w:rPr>
                <w:b/>
                <w:bCs/>
                <w:sz w:val="20"/>
                <w:szCs w:val="20"/>
              </w:rPr>
            </w:pPr>
            <w:r w:rsidRPr="00960E15">
              <w:rPr>
                <w:b/>
                <w:bCs/>
                <w:sz w:val="20"/>
                <w:szCs w:val="20"/>
              </w:rPr>
              <w:t>Endpoints [D8]</w:t>
            </w:r>
          </w:p>
        </w:tc>
      </w:tr>
      <w:tr w:rsidR="00E51CDD" w:rsidRPr="00960E15" w14:paraId="08DA22DE" w14:textId="77777777" w:rsidTr="009938D9">
        <w:trPr>
          <w:trHeight w:val="322"/>
        </w:trPr>
        <w:tc>
          <w:tcPr>
            <w:tcW w:w="1826" w:type="pct"/>
            <w:gridSpan w:val="2"/>
            <w:tcBorders>
              <w:top w:val="single" w:sz="4" w:space="0" w:color="auto"/>
              <w:left w:val="single" w:sz="4" w:space="0" w:color="auto"/>
              <w:bottom w:val="dotted" w:sz="4" w:space="0" w:color="auto"/>
              <w:right w:val="single" w:sz="4" w:space="0" w:color="auto"/>
            </w:tcBorders>
            <w:noWrap/>
            <w:tcMar>
              <w:top w:w="0" w:type="dxa"/>
              <w:left w:w="108" w:type="dxa"/>
              <w:bottom w:w="0" w:type="dxa"/>
              <w:right w:w="108" w:type="dxa"/>
            </w:tcMar>
            <w:vAlign w:val="center"/>
            <w:hideMark/>
          </w:tcPr>
          <w:p w14:paraId="7BEF7531" w14:textId="77777777" w:rsidR="00E51CDD" w:rsidRPr="00960E15" w:rsidRDefault="00E51CDD" w:rsidP="009938D9">
            <w:pPr>
              <w:keepNext/>
              <w:overflowPunct w:val="0"/>
              <w:autoSpaceDE w:val="0"/>
              <w:autoSpaceDN w:val="0"/>
              <w:adjustRightInd w:val="0"/>
              <w:spacing w:before="40" w:after="40"/>
              <w:textAlignment w:val="baseline"/>
              <w:rPr>
                <w:sz w:val="20"/>
                <w:szCs w:val="20"/>
                <w:vertAlign w:val="superscript"/>
              </w:rPr>
            </w:pPr>
            <w:r w:rsidRPr="00960E15">
              <w:rPr>
                <w:sz w:val="20"/>
                <w:szCs w:val="20"/>
              </w:rPr>
              <w:t>LD</w:t>
            </w:r>
            <w:r w:rsidRPr="00960E15">
              <w:rPr>
                <w:sz w:val="20"/>
                <w:szCs w:val="20"/>
                <w:vertAlign w:val="subscript"/>
              </w:rPr>
              <w:t>50</w:t>
            </w:r>
            <w:r w:rsidRPr="00960E15">
              <w:rPr>
                <w:sz w:val="20"/>
                <w:szCs w:val="20"/>
              </w:rPr>
              <w:t xml:space="preserve"> [µg product/larva per developmental period] </w:t>
            </w:r>
            <w:r w:rsidRPr="00960E15">
              <w:rPr>
                <w:sz w:val="20"/>
                <w:szCs w:val="20"/>
                <w:vertAlign w:val="superscript"/>
              </w:rPr>
              <w:t>2)</w:t>
            </w:r>
          </w:p>
        </w:tc>
        <w:tc>
          <w:tcPr>
            <w:tcW w:w="3174" w:type="pct"/>
            <w:gridSpan w:val="7"/>
            <w:tcBorders>
              <w:top w:val="single" w:sz="4" w:space="0" w:color="auto"/>
              <w:left w:val="single" w:sz="4" w:space="0" w:color="auto"/>
              <w:bottom w:val="dotted" w:sz="4" w:space="0" w:color="auto"/>
              <w:right w:val="single" w:sz="4" w:space="0" w:color="auto"/>
            </w:tcBorders>
            <w:vAlign w:val="center"/>
            <w:hideMark/>
          </w:tcPr>
          <w:p w14:paraId="2C6FC646"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313</w:t>
            </w:r>
          </w:p>
          <w:p w14:paraId="57162D71"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rFonts w:eastAsia="Calibri"/>
                <w:sz w:val="20"/>
                <w:szCs w:val="20"/>
                <w:lang w:eastAsia="en-US"/>
              </w:rPr>
              <w:t>(95% lower - upper CL = 290 - 336)</w:t>
            </w:r>
          </w:p>
        </w:tc>
      </w:tr>
      <w:tr w:rsidR="00E51CDD" w:rsidRPr="00960E15" w14:paraId="36B617B1" w14:textId="77777777" w:rsidTr="009938D9">
        <w:trPr>
          <w:trHeight w:val="322"/>
        </w:trPr>
        <w:tc>
          <w:tcPr>
            <w:tcW w:w="1826" w:type="pct"/>
            <w:gridSpan w:val="2"/>
            <w:tcBorders>
              <w:top w:val="dotted" w:sz="4" w:space="0" w:color="auto"/>
              <w:left w:val="single" w:sz="4" w:space="0" w:color="auto"/>
              <w:bottom w:val="dotted" w:sz="4" w:space="0" w:color="auto"/>
              <w:right w:val="single" w:sz="4" w:space="0" w:color="auto"/>
            </w:tcBorders>
            <w:noWrap/>
            <w:tcMar>
              <w:top w:w="0" w:type="dxa"/>
              <w:left w:w="108" w:type="dxa"/>
              <w:bottom w:w="0" w:type="dxa"/>
              <w:right w:w="108" w:type="dxa"/>
            </w:tcMar>
            <w:vAlign w:val="center"/>
            <w:hideMark/>
          </w:tcPr>
          <w:p w14:paraId="337857D2" w14:textId="77777777" w:rsidR="00E51CDD" w:rsidRPr="00960E15" w:rsidRDefault="00E51CDD" w:rsidP="009938D9">
            <w:pPr>
              <w:keepNext/>
              <w:overflowPunct w:val="0"/>
              <w:autoSpaceDE w:val="0"/>
              <w:autoSpaceDN w:val="0"/>
              <w:adjustRightInd w:val="0"/>
              <w:spacing w:before="40" w:after="40"/>
              <w:textAlignment w:val="baseline"/>
              <w:rPr>
                <w:sz w:val="20"/>
                <w:szCs w:val="20"/>
                <w:vertAlign w:val="superscript"/>
              </w:rPr>
            </w:pPr>
            <w:r w:rsidRPr="00960E15">
              <w:rPr>
                <w:sz w:val="20"/>
                <w:szCs w:val="20"/>
              </w:rPr>
              <w:t>NOED</w:t>
            </w:r>
            <w:r w:rsidRPr="00960E15">
              <w:rPr>
                <w:sz w:val="20"/>
                <w:szCs w:val="20"/>
                <w:vertAlign w:val="subscript"/>
              </w:rPr>
              <w:t>mortality</w:t>
            </w:r>
            <w:r w:rsidRPr="00960E15">
              <w:rPr>
                <w:sz w:val="20"/>
                <w:szCs w:val="20"/>
              </w:rPr>
              <w:t xml:space="preserve"> [µg product/larva per developmental period] </w:t>
            </w:r>
            <w:r w:rsidRPr="00960E15">
              <w:rPr>
                <w:sz w:val="20"/>
                <w:szCs w:val="20"/>
                <w:vertAlign w:val="superscript"/>
              </w:rPr>
              <w:t>2)</w:t>
            </w:r>
          </w:p>
        </w:tc>
        <w:tc>
          <w:tcPr>
            <w:tcW w:w="3174" w:type="pct"/>
            <w:gridSpan w:val="7"/>
            <w:tcBorders>
              <w:top w:val="dotted" w:sz="4" w:space="0" w:color="auto"/>
              <w:left w:val="single" w:sz="4" w:space="0" w:color="auto"/>
              <w:bottom w:val="dotted" w:sz="4" w:space="0" w:color="auto"/>
              <w:right w:val="single" w:sz="4" w:space="0" w:color="auto"/>
            </w:tcBorders>
            <w:vAlign w:val="center"/>
            <w:hideMark/>
          </w:tcPr>
          <w:p w14:paraId="2ACDDD78"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120</w:t>
            </w:r>
          </w:p>
        </w:tc>
      </w:tr>
      <w:tr w:rsidR="00E51CDD" w:rsidRPr="00960E15" w14:paraId="2A16301D" w14:textId="77777777" w:rsidTr="009938D9">
        <w:trPr>
          <w:trHeight w:val="322"/>
        </w:trPr>
        <w:tc>
          <w:tcPr>
            <w:tcW w:w="1826" w:type="pct"/>
            <w:gridSpan w:val="2"/>
            <w:tcBorders>
              <w:top w:val="dotted" w:sz="4" w:space="0" w:color="auto"/>
              <w:left w:val="single" w:sz="4" w:space="0" w:color="auto"/>
              <w:bottom w:val="dotted" w:sz="4" w:space="0" w:color="auto"/>
              <w:right w:val="single" w:sz="4" w:space="0" w:color="auto"/>
            </w:tcBorders>
            <w:noWrap/>
            <w:tcMar>
              <w:top w:w="0" w:type="dxa"/>
              <w:left w:w="108" w:type="dxa"/>
              <w:bottom w:w="0" w:type="dxa"/>
              <w:right w:w="108" w:type="dxa"/>
            </w:tcMar>
            <w:vAlign w:val="center"/>
            <w:hideMark/>
          </w:tcPr>
          <w:p w14:paraId="02B7A5A4" w14:textId="77777777" w:rsidR="00E51CDD" w:rsidRPr="00960E15" w:rsidRDefault="00E51CDD" w:rsidP="009938D9">
            <w:pPr>
              <w:keepNext/>
              <w:overflowPunct w:val="0"/>
              <w:autoSpaceDE w:val="0"/>
              <w:autoSpaceDN w:val="0"/>
              <w:adjustRightInd w:val="0"/>
              <w:spacing w:before="40" w:after="40"/>
              <w:textAlignment w:val="baseline"/>
              <w:rPr>
                <w:sz w:val="20"/>
                <w:szCs w:val="20"/>
                <w:vertAlign w:val="superscript"/>
              </w:rPr>
            </w:pPr>
            <w:r w:rsidRPr="00960E15">
              <w:rPr>
                <w:sz w:val="20"/>
                <w:szCs w:val="20"/>
              </w:rPr>
              <w:t>LC</w:t>
            </w:r>
            <w:r w:rsidRPr="00960E15">
              <w:rPr>
                <w:sz w:val="20"/>
                <w:szCs w:val="20"/>
                <w:vertAlign w:val="subscript"/>
              </w:rPr>
              <w:t>50</w:t>
            </w:r>
            <w:r w:rsidRPr="00960E15">
              <w:rPr>
                <w:sz w:val="20"/>
                <w:szCs w:val="20"/>
              </w:rPr>
              <w:t xml:space="preserve"> [mg product/kg food]</w:t>
            </w:r>
          </w:p>
        </w:tc>
        <w:tc>
          <w:tcPr>
            <w:tcW w:w="3174" w:type="pct"/>
            <w:gridSpan w:val="7"/>
            <w:tcBorders>
              <w:top w:val="dotted" w:sz="4" w:space="0" w:color="auto"/>
              <w:left w:val="single" w:sz="4" w:space="0" w:color="auto"/>
              <w:bottom w:val="dotted" w:sz="4" w:space="0" w:color="auto"/>
              <w:right w:val="single" w:sz="4" w:space="0" w:color="auto"/>
            </w:tcBorders>
            <w:vAlign w:val="center"/>
            <w:hideMark/>
          </w:tcPr>
          <w:p w14:paraId="5A5A2ADD"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2031</w:t>
            </w:r>
          </w:p>
          <w:p w14:paraId="502B5985"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rFonts w:eastAsia="Calibri"/>
                <w:sz w:val="20"/>
                <w:szCs w:val="20"/>
                <w:lang w:eastAsia="en-US"/>
              </w:rPr>
              <w:t>(95% lower - upper CL = 1880 - 2180)</w:t>
            </w:r>
          </w:p>
        </w:tc>
      </w:tr>
      <w:tr w:rsidR="00E51CDD" w:rsidRPr="00960E15" w14:paraId="19C650AF" w14:textId="77777777" w:rsidTr="009938D9">
        <w:trPr>
          <w:trHeight w:val="322"/>
        </w:trPr>
        <w:tc>
          <w:tcPr>
            <w:tcW w:w="1826" w:type="pct"/>
            <w:gridSpan w:val="2"/>
            <w:tcBorders>
              <w:top w:val="dotted"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040987C" w14:textId="77777777" w:rsidR="00E51CDD" w:rsidRPr="00960E15" w:rsidRDefault="00E51CDD" w:rsidP="009938D9">
            <w:pPr>
              <w:keepNext/>
              <w:overflowPunct w:val="0"/>
              <w:autoSpaceDE w:val="0"/>
              <w:autoSpaceDN w:val="0"/>
              <w:adjustRightInd w:val="0"/>
              <w:spacing w:before="40" w:after="40"/>
              <w:textAlignment w:val="baseline"/>
              <w:rPr>
                <w:sz w:val="20"/>
                <w:szCs w:val="20"/>
                <w:vertAlign w:val="superscript"/>
              </w:rPr>
            </w:pPr>
            <w:r w:rsidRPr="00960E15">
              <w:rPr>
                <w:sz w:val="20"/>
                <w:szCs w:val="20"/>
              </w:rPr>
              <w:t>NOEC</w:t>
            </w:r>
            <w:r w:rsidRPr="00960E15">
              <w:rPr>
                <w:sz w:val="20"/>
                <w:szCs w:val="20"/>
                <w:vertAlign w:val="subscript"/>
              </w:rPr>
              <w:t>mortality</w:t>
            </w:r>
            <w:r w:rsidRPr="00960E15">
              <w:rPr>
                <w:sz w:val="20"/>
                <w:szCs w:val="20"/>
              </w:rPr>
              <w:t xml:space="preserve"> [mg product/kg food]</w:t>
            </w:r>
          </w:p>
        </w:tc>
        <w:tc>
          <w:tcPr>
            <w:tcW w:w="3174" w:type="pct"/>
            <w:gridSpan w:val="7"/>
            <w:tcBorders>
              <w:top w:val="dotted" w:sz="4" w:space="0" w:color="auto"/>
              <w:left w:val="single" w:sz="4" w:space="0" w:color="auto"/>
              <w:bottom w:val="single" w:sz="4" w:space="0" w:color="auto"/>
              <w:right w:val="single" w:sz="4" w:space="0" w:color="auto"/>
            </w:tcBorders>
            <w:vAlign w:val="center"/>
            <w:hideMark/>
          </w:tcPr>
          <w:p w14:paraId="39269F9E"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779</w:t>
            </w:r>
          </w:p>
        </w:tc>
      </w:tr>
      <w:tr w:rsidR="00E51CDD" w:rsidRPr="00960E15" w14:paraId="177E725E" w14:textId="77777777" w:rsidTr="009938D9">
        <w:trPr>
          <w:trHeight w:val="322"/>
        </w:trPr>
        <w:tc>
          <w:tcPr>
            <w:tcW w:w="5000" w:type="pct"/>
            <w:gridSpan w:val="9"/>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8120CB5" w14:textId="77777777" w:rsidR="00E51CDD" w:rsidRPr="00960E15" w:rsidRDefault="00E51CDD" w:rsidP="009938D9">
            <w:pPr>
              <w:keepNext/>
              <w:overflowPunct w:val="0"/>
              <w:autoSpaceDE w:val="0"/>
              <w:autoSpaceDN w:val="0"/>
              <w:adjustRightInd w:val="0"/>
              <w:spacing w:before="40" w:after="40"/>
              <w:textAlignment w:val="baseline"/>
              <w:rPr>
                <w:sz w:val="20"/>
                <w:szCs w:val="20"/>
              </w:rPr>
            </w:pPr>
            <w:r w:rsidRPr="00960E15">
              <w:rPr>
                <w:b/>
                <w:bCs/>
                <w:sz w:val="20"/>
                <w:szCs w:val="20"/>
              </w:rPr>
              <w:t>Endpoints [D22]</w:t>
            </w:r>
          </w:p>
        </w:tc>
      </w:tr>
      <w:tr w:rsidR="00E51CDD" w:rsidRPr="00960E15" w14:paraId="532B657C" w14:textId="77777777" w:rsidTr="009938D9">
        <w:trPr>
          <w:trHeight w:val="322"/>
        </w:trPr>
        <w:tc>
          <w:tcPr>
            <w:tcW w:w="1826" w:type="pct"/>
            <w:gridSpan w:val="2"/>
            <w:tcBorders>
              <w:top w:val="single" w:sz="4" w:space="0" w:color="auto"/>
              <w:left w:val="single" w:sz="4" w:space="0" w:color="auto"/>
              <w:bottom w:val="dotted" w:sz="4" w:space="0" w:color="auto"/>
              <w:right w:val="single" w:sz="4" w:space="0" w:color="auto"/>
            </w:tcBorders>
            <w:noWrap/>
            <w:tcMar>
              <w:top w:w="0" w:type="dxa"/>
              <w:left w:w="108" w:type="dxa"/>
              <w:bottom w:w="0" w:type="dxa"/>
              <w:right w:w="108" w:type="dxa"/>
            </w:tcMar>
            <w:vAlign w:val="center"/>
          </w:tcPr>
          <w:p w14:paraId="68F6483A" w14:textId="77777777" w:rsidR="00E51CDD" w:rsidRPr="00960E15" w:rsidRDefault="00E51CDD" w:rsidP="009938D9">
            <w:pPr>
              <w:keepNext/>
              <w:overflowPunct w:val="0"/>
              <w:autoSpaceDE w:val="0"/>
              <w:autoSpaceDN w:val="0"/>
              <w:adjustRightInd w:val="0"/>
              <w:spacing w:before="40" w:after="40"/>
              <w:textAlignment w:val="baseline"/>
              <w:rPr>
                <w:sz w:val="20"/>
                <w:szCs w:val="20"/>
                <w:vertAlign w:val="superscript"/>
              </w:rPr>
            </w:pPr>
            <w:r w:rsidRPr="00960E15">
              <w:rPr>
                <w:sz w:val="20"/>
                <w:szCs w:val="20"/>
              </w:rPr>
              <w:t>ED</w:t>
            </w:r>
            <w:r w:rsidRPr="00960E15">
              <w:rPr>
                <w:sz w:val="20"/>
                <w:szCs w:val="20"/>
                <w:vertAlign w:val="subscript"/>
              </w:rPr>
              <w:t>50</w:t>
            </w:r>
            <w:r w:rsidRPr="00960E15">
              <w:rPr>
                <w:sz w:val="20"/>
                <w:szCs w:val="20"/>
              </w:rPr>
              <w:t xml:space="preserve"> [µg product/larva per developmental period] </w:t>
            </w:r>
            <w:r w:rsidRPr="00960E15">
              <w:rPr>
                <w:sz w:val="20"/>
                <w:szCs w:val="20"/>
                <w:vertAlign w:val="superscript"/>
              </w:rPr>
              <w:t>2)</w:t>
            </w:r>
          </w:p>
        </w:tc>
        <w:tc>
          <w:tcPr>
            <w:tcW w:w="3174" w:type="pct"/>
            <w:gridSpan w:val="7"/>
            <w:tcBorders>
              <w:top w:val="single" w:sz="4" w:space="0" w:color="auto"/>
              <w:left w:val="single" w:sz="4" w:space="0" w:color="auto"/>
              <w:bottom w:val="dotted" w:sz="4" w:space="0" w:color="auto"/>
              <w:right w:val="single" w:sz="4" w:space="0" w:color="auto"/>
            </w:tcBorders>
            <w:vAlign w:val="center"/>
          </w:tcPr>
          <w:p w14:paraId="4B3DCF3B"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188</w:t>
            </w:r>
          </w:p>
          <w:p w14:paraId="1D43F56F"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rFonts w:eastAsia="Calibri"/>
                <w:sz w:val="20"/>
                <w:szCs w:val="20"/>
                <w:lang w:eastAsia="en-US"/>
              </w:rPr>
              <w:t>(95% lower - upper CL = 177 - 204)</w:t>
            </w:r>
          </w:p>
        </w:tc>
      </w:tr>
      <w:tr w:rsidR="00E51CDD" w:rsidRPr="00960E15" w14:paraId="7F3A7D58" w14:textId="77777777" w:rsidTr="009938D9">
        <w:trPr>
          <w:trHeight w:val="322"/>
        </w:trPr>
        <w:tc>
          <w:tcPr>
            <w:tcW w:w="1826" w:type="pct"/>
            <w:gridSpan w:val="2"/>
            <w:tcBorders>
              <w:top w:val="dotted" w:sz="4" w:space="0" w:color="auto"/>
              <w:left w:val="single" w:sz="4" w:space="0" w:color="auto"/>
              <w:bottom w:val="dotted" w:sz="4" w:space="0" w:color="auto"/>
              <w:right w:val="single" w:sz="4" w:space="0" w:color="auto"/>
            </w:tcBorders>
            <w:noWrap/>
            <w:tcMar>
              <w:top w:w="0" w:type="dxa"/>
              <w:left w:w="108" w:type="dxa"/>
              <w:bottom w:w="0" w:type="dxa"/>
              <w:right w:w="108" w:type="dxa"/>
            </w:tcMar>
            <w:vAlign w:val="center"/>
          </w:tcPr>
          <w:p w14:paraId="42E12ECC" w14:textId="77777777" w:rsidR="00E51CDD" w:rsidRPr="00960E15" w:rsidRDefault="00E51CDD" w:rsidP="009938D9">
            <w:pPr>
              <w:keepNext/>
              <w:overflowPunct w:val="0"/>
              <w:autoSpaceDE w:val="0"/>
              <w:autoSpaceDN w:val="0"/>
              <w:adjustRightInd w:val="0"/>
              <w:spacing w:before="40" w:after="40"/>
              <w:textAlignment w:val="baseline"/>
              <w:rPr>
                <w:sz w:val="20"/>
                <w:szCs w:val="20"/>
                <w:vertAlign w:val="superscript"/>
              </w:rPr>
            </w:pPr>
            <w:r w:rsidRPr="00960E15">
              <w:rPr>
                <w:sz w:val="20"/>
                <w:szCs w:val="20"/>
              </w:rPr>
              <w:t>NOED</w:t>
            </w:r>
            <w:r w:rsidRPr="00960E15">
              <w:rPr>
                <w:sz w:val="20"/>
                <w:szCs w:val="20"/>
                <w:vertAlign w:val="subscript"/>
              </w:rPr>
              <w:t>mortality</w:t>
            </w:r>
            <w:r w:rsidRPr="00960E15">
              <w:rPr>
                <w:sz w:val="20"/>
                <w:szCs w:val="20"/>
              </w:rPr>
              <w:t xml:space="preserve"> [µg product/larva per developmental period] </w:t>
            </w:r>
            <w:r w:rsidRPr="00960E15">
              <w:rPr>
                <w:sz w:val="20"/>
                <w:szCs w:val="20"/>
                <w:vertAlign w:val="superscript"/>
              </w:rPr>
              <w:t>2)</w:t>
            </w:r>
          </w:p>
        </w:tc>
        <w:tc>
          <w:tcPr>
            <w:tcW w:w="3174" w:type="pct"/>
            <w:gridSpan w:val="7"/>
            <w:tcBorders>
              <w:top w:val="dotted" w:sz="4" w:space="0" w:color="auto"/>
              <w:left w:val="single" w:sz="4" w:space="0" w:color="auto"/>
              <w:bottom w:val="dotted" w:sz="4" w:space="0" w:color="auto"/>
              <w:right w:val="single" w:sz="4" w:space="0" w:color="auto"/>
            </w:tcBorders>
            <w:vAlign w:val="center"/>
          </w:tcPr>
          <w:p w14:paraId="53CD1F66"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120</w:t>
            </w:r>
          </w:p>
        </w:tc>
      </w:tr>
      <w:tr w:rsidR="00E51CDD" w:rsidRPr="00960E15" w14:paraId="2E0E750C" w14:textId="77777777" w:rsidTr="009938D9">
        <w:trPr>
          <w:trHeight w:val="322"/>
        </w:trPr>
        <w:tc>
          <w:tcPr>
            <w:tcW w:w="1826" w:type="pct"/>
            <w:gridSpan w:val="2"/>
            <w:tcBorders>
              <w:top w:val="dotted" w:sz="4" w:space="0" w:color="auto"/>
              <w:left w:val="single" w:sz="4" w:space="0" w:color="auto"/>
              <w:bottom w:val="dotted" w:sz="4" w:space="0" w:color="auto"/>
              <w:right w:val="single" w:sz="4" w:space="0" w:color="auto"/>
            </w:tcBorders>
            <w:noWrap/>
            <w:tcMar>
              <w:top w:w="0" w:type="dxa"/>
              <w:left w:w="108" w:type="dxa"/>
              <w:bottom w:w="0" w:type="dxa"/>
              <w:right w:w="108" w:type="dxa"/>
            </w:tcMar>
            <w:vAlign w:val="center"/>
            <w:hideMark/>
          </w:tcPr>
          <w:p w14:paraId="01E78B63" w14:textId="77777777" w:rsidR="00E51CDD" w:rsidRPr="00960E15" w:rsidRDefault="00E51CDD" w:rsidP="009938D9">
            <w:pPr>
              <w:keepNext/>
              <w:overflowPunct w:val="0"/>
              <w:autoSpaceDE w:val="0"/>
              <w:autoSpaceDN w:val="0"/>
              <w:adjustRightInd w:val="0"/>
              <w:spacing w:before="40" w:after="40"/>
              <w:textAlignment w:val="baseline"/>
              <w:rPr>
                <w:sz w:val="20"/>
                <w:szCs w:val="20"/>
                <w:vertAlign w:val="superscript"/>
              </w:rPr>
            </w:pPr>
            <w:r w:rsidRPr="00960E15">
              <w:rPr>
                <w:sz w:val="20"/>
                <w:szCs w:val="20"/>
              </w:rPr>
              <w:t>EC</w:t>
            </w:r>
            <w:r w:rsidRPr="00960E15">
              <w:rPr>
                <w:sz w:val="20"/>
                <w:szCs w:val="20"/>
                <w:vertAlign w:val="subscript"/>
              </w:rPr>
              <w:t>50</w:t>
            </w:r>
            <w:r w:rsidRPr="00960E15">
              <w:rPr>
                <w:sz w:val="20"/>
                <w:szCs w:val="20"/>
              </w:rPr>
              <w:t xml:space="preserve"> [mg product/kg food]</w:t>
            </w:r>
          </w:p>
        </w:tc>
        <w:tc>
          <w:tcPr>
            <w:tcW w:w="3174" w:type="pct"/>
            <w:gridSpan w:val="7"/>
            <w:tcBorders>
              <w:top w:val="dotted" w:sz="4" w:space="0" w:color="auto"/>
              <w:left w:val="single" w:sz="4" w:space="0" w:color="auto"/>
              <w:bottom w:val="dotted" w:sz="4" w:space="0" w:color="auto"/>
              <w:right w:val="single" w:sz="4" w:space="0" w:color="auto"/>
            </w:tcBorders>
            <w:vAlign w:val="center"/>
          </w:tcPr>
          <w:p w14:paraId="2ADB1687"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1222</w:t>
            </w:r>
          </w:p>
          <w:p w14:paraId="31FC106A"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rFonts w:eastAsia="Calibri"/>
                <w:sz w:val="20"/>
                <w:szCs w:val="20"/>
                <w:lang w:eastAsia="en-US"/>
              </w:rPr>
              <w:t>(95% lower - upper CL = 1147 - 1322)</w:t>
            </w:r>
          </w:p>
        </w:tc>
      </w:tr>
      <w:tr w:rsidR="00E51CDD" w:rsidRPr="00960E15" w14:paraId="71C1126D" w14:textId="77777777" w:rsidTr="009938D9">
        <w:trPr>
          <w:trHeight w:val="322"/>
        </w:trPr>
        <w:tc>
          <w:tcPr>
            <w:tcW w:w="1826" w:type="pct"/>
            <w:gridSpan w:val="2"/>
            <w:tcBorders>
              <w:top w:val="dotted"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BAD0C39" w14:textId="77777777" w:rsidR="00E51CDD" w:rsidRPr="00960E15" w:rsidRDefault="00E51CDD" w:rsidP="009938D9">
            <w:pPr>
              <w:keepNext/>
              <w:overflowPunct w:val="0"/>
              <w:autoSpaceDE w:val="0"/>
              <w:autoSpaceDN w:val="0"/>
              <w:adjustRightInd w:val="0"/>
              <w:spacing w:before="40" w:after="40"/>
              <w:textAlignment w:val="baseline"/>
              <w:rPr>
                <w:sz w:val="20"/>
                <w:szCs w:val="20"/>
                <w:vertAlign w:val="superscript"/>
              </w:rPr>
            </w:pPr>
            <w:r w:rsidRPr="00960E15">
              <w:rPr>
                <w:sz w:val="20"/>
                <w:szCs w:val="20"/>
              </w:rPr>
              <w:t>NOEC</w:t>
            </w:r>
            <w:r w:rsidRPr="00960E15">
              <w:rPr>
                <w:sz w:val="20"/>
                <w:szCs w:val="20"/>
                <w:vertAlign w:val="subscript"/>
              </w:rPr>
              <w:t>mortality</w:t>
            </w:r>
            <w:r w:rsidRPr="00960E15">
              <w:rPr>
                <w:sz w:val="20"/>
                <w:szCs w:val="20"/>
              </w:rPr>
              <w:t xml:space="preserve"> [mg product/kg food]</w:t>
            </w:r>
          </w:p>
        </w:tc>
        <w:tc>
          <w:tcPr>
            <w:tcW w:w="3174" w:type="pct"/>
            <w:gridSpan w:val="7"/>
            <w:tcBorders>
              <w:top w:val="dotted" w:sz="4" w:space="0" w:color="auto"/>
              <w:left w:val="single" w:sz="4" w:space="0" w:color="auto"/>
              <w:bottom w:val="single" w:sz="4" w:space="0" w:color="auto"/>
              <w:right w:val="single" w:sz="4" w:space="0" w:color="auto"/>
            </w:tcBorders>
            <w:vAlign w:val="center"/>
          </w:tcPr>
          <w:p w14:paraId="38BACFC2" w14:textId="77777777" w:rsidR="00E51CDD" w:rsidRPr="00960E15" w:rsidRDefault="00E51CDD" w:rsidP="009938D9">
            <w:pPr>
              <w:keepNext/>
              <w:overflowPunct w:val="0"/>
              <w:autoSpaceDE w:val="0"/>
              <w:autoSpaceDN w:val="0"/>
              <w:adjustRightInd w:val="0"/>
              <w:spacing w:before="40" w:after="40"/>
              <w:jc w:val="center"/>
              <w:textAlignment w:val="baseline"/>
              <w:rPr>
                <w:sz w:val="20"/>
                <w:szCs w:val="20"/>
              </w:rPr>
            </w:pPr>
            <w:r w:rsidRPr="00960E15">
              <w:rPr>
                <w:sz w:val="20"/>
                <w:szCs w:val="20"/>
              </w:rPr>
              <w:t>779</w:t>
            </w:r>
          </w:p>
        </w:tc>
      </w:tr>
    </w:tbl>
    <w:p w14:paraId="16ECCE58" w14:textId="77777777" w:rsidR="00E51CDD" w:rsidRDefault="00E51CDD" w:rsidP="00E51CDD">
      <w:pPr>
        <w:widowControl w:val="0"/>
        <w:tabs>
          <w:tab w:val="left" w:pos="720"/>
        </w:tabs>
        <w:ind w:left="284" w:hanging="284"/>
        <w:jc w:val="both"/>
        <w:rPr>
          <w:sz w:val="18"/>
          <w:szCs w:val="18"/>
        </w:rPr>
      </w:pPr>
    </w:p>
    <w:p w14:paraId="15B4CB6E" w14:textId="77777777" w:rsidR="00E51CDD" w:rsidRPr="00960E15" w:rsidRDefault="00E51CDD" w:rsidP="00E51CDD">
      <w:pPr>
        <w:widowControl w:val="0"/>
        <w:tabs>
          <w:tab w:val="left" w:pos="720"/>
        </w:tabs>
        <w:ind w:left="284" w:hanging="284"/>
        <w:jc w:val="both"/>
        <w:rPr>
          <w:sz w:val="18"/>
          <w:szCs w:val="18"/>
        </w:rPr>
      </w:pPr>
      <w:r>
        <w:rPr>
          <w:sz w:val="18"/>
          <w:szCs w:val="18"/>
        </w:rPr>
        <w:br w:type="page"/>
      </w:r>
      <w:r w:rsidRPr="00960E15">
        <w:rPr>
          <w:sz w:val="18"/>
          <w:szCs w:val="18"/>
        </w:rPr>
        <w:lastRenderedPageBreak/>
        <w:t>Negative values are set to 0; abs.: absolute; corr.: corrected; CL: confidence limit</w:t>
      </w:r>
    </w:p>
    <w:p w14:paraId="53ECFD0C" w14:textId="77777777" w:rsidR="00E51CDD" w:rsidRPr="00960E15" w:rsidRDefault="00E51CDD" w:rsidP="00E51CDD">
      <w:pPr>
        <w:widowControl w:val="0"/>
        <w:tabs>
          <w:tab w:val="left" w:pos="720"/>
        </w:tabs>
        <w:ind w:left="284" w:hanging="284"/>
        <w:jc w:val="both"/>
        <w:rPr>
          <w:sz w:val="18"/>
          <w:szCs w:val="18"/>
        </w:rPr>
      </w:pPr>
      <w:r w:rsidRPr="00960E15">
        <w:rPr>
          <w:sz w:val="18"/>
          <w:szCs w:val="18"/>
          <w:vertAlign w:val="superscript"/>
        </w:rPr>
        <w:t>*</w:t>
      </w:r>
      <w:r w:rsidRPr="00960E15">
        <w:rPr>
          <w:sz w:val="18"/>
          <w:szCs w:val="18"/>
        </w:rPr>
        <w:tab/>
        <w:t>Statistically significantly different compared to control group (Cochran-Armitage test with Rao-Scott adjustment: one sided greater, α = 0.05).</w:t>
      </w:r>
    </w:p>
    <w:p w14:paraId="45B49724" w14:textId="77777777" w:rsidR="00E51CDD" w:rsidRPr="00960E15" w:rsidRDefault="00E51CDD" w:rsidP="00E51CDD">
      <w:pPr>
        <w:widowControl w:val="0"/>
        <w:tabs>
          <w:tab w:val="left" w:pos="720"/>
        </w:tabs>
        <w:ind w:left="284" w:hanging="284"/>
        <w:jc w:val="both"/>
        <w:rPr>
          <w:sz w:val="18"/>
          <w:szCs w:val="18"/>
        </w:rPr>
      </w:pPr>
      <w:r w:rsidRPr="00960E15">
        <w:rPr>
          <w:sz w:val="18"/>
          <w:szCs w:val="18"/>
          <w:vertAlign w:val="superscript"/>
        </w:rPr>
        <w:t>**</w:t>
      </w:r>
      <w:r w:rsidRPr="00960E15">
        <w:rPr>
          <w:sz w:val="18"/>
          <w:szCs w:val="18"/>
        </w:rPr>
        <w:tab/>
        <w:t>Statistically significantly different compared to control group (Cochran-Armitage test: one sided greater, α = 0.05).</w:t>
      </w:r>
    </w:p>
    <w:p w14:paraId="3C171B7E" w14:textId="77777777" w:rsidR="00E51CDD" w:rsidRPr="00960E15" w:rsidRDefault="00E51CDD" w:rsidP="00E51CDD">
      <w:pPr>
        <w:widowControl w:val="0"/>
        <w:tabs>
          <w:tab w:val="left" w:pos="720"/>
        </w:tabs>
        <w:ind w:left="284" w:hanging="284"/>
        <w:jc w:val="both"/>
        <w:rPr>
          <w:sz w:val="18"/>
          <w:szCs w:val="18"/>
        </w:rPr>
      </w:pPr>
      <w:r w:rsidRPr="00960E15">
        <w:rPr>
          <w:sz w:val="18"/>
          <w:szCs w:val="18"/>
          <w:vertAlign w:val="superscript"/>
        </w:rPr>
        <w:t>1)</w:t>
      </w:r>
      <w:r w:rsidRPr="00960E15">
        <w:rPr>
          <w:sz w:val="18"/>
          <w:szCs w:val="18"/>
          <w:vertAlign w:val="superscript"/>
        </w:rPr>
        <w:tab/>
      </w:r>
      <w:r w:rsidRPr="00960E15">
        <w:rPr>
          <w:sz w:val="18"/>
          <w:szCs w:val="18"/>
        </w:rPr>
        <w:t>Corrected cumulative mortality according to the formula of Abbott (1925), modified by Schneider-Orelli (1947).</w:t>
      </w:r>
    </w:p>
    <w:p w14:paraId="5D867B53" w14:textId="77777777" w:rsidR="00E51CDD" w:rsidRPr="00960E15" w:rsidRDefault="00E51CDD" w:rsidP="00E51CDD">
      <w:pPr>
        <w:widowControl w:val="0"/>
        <w:tabs>
          <w:tab w:val="left" w:pos="720"/>
        </w:tabs>
        <w:ind w:left="284" w:hanging="284"/>
        <w:jc w:val="both"/>
        <w:rPr>
          <w:sz w:val="18"/>
          <w:szCs w:val="18"/>
        </w:rPr>
      </w:pPr>
      <w:r w:rsidRPr="00960E15">
        <w:rPr>
          <w:sz w:val="18"/>
          <w:szCs w:val="18"/>
          <w:vertAlign w:val="superscript"/>
        </w:rPr>
        <w:t>2)</w:t>
      </w:r>
      <w:r w:rsidRPr="00960E15">
        <w:rPr>
          <w:sz w:val="18"/>
          <w:szCs w:val="18"/>
        </w:rPr>
        <w:tab/>
        <w:t>Based on the cumulative feeding volume from day 3 until day 6 of 140 µL diet/larva and a density of the diet of 1.1 g/cm</w:t>
      </w:r>
      <w:r w:rsidRPr="00960E15">
        <w:rPr>
          <w:sz w:val="18"/>
          <w:szCs w:val="18"/>
          <w:vertAlign w:val="superscript"/>
        </w:rPr>
        <w:t>3</w:t>
      </w:r>
      <w:r w:rsidRPr="00960E15">
        <w:rPr>
          <w:sz w:val="18"/>
          <w:szCs w:val="18"/>
        </w:rPr>
        <w:t xml:space="preserve">. </w:t>
      </w:r>
    </w:p>
    <w:p w14:paraId="0B361518" w14:textId="77777777" w:rsidR="00E51CDD" w:rsidRDefault="00E51CDD" w:rsidP="00E51CDD">
      <w:pPr>
        <w:jc w:val="both"/>
      </w:pPr>
    </w:p>
    <w:p w14:paraId="34D3E973" w14:textId="77777777" w:rsidR="00E51CDD" w:rsidRPr="00960E15" w:rsidRDefault="00E51CDD" w:rsidP="00E51CDD">
      <w:pPr>
        <w:jc w:val="both"/>
      </w:pPr>
    </w:p>
    <w:p w14:paraId="40AFAF4D" w14:textId="77777777" w:rsidR="00E51CDD" w:rsidRPr="00960E15" w:rsidRDefault="00E51CDD" w:rsidP="00E51CDD">
      <w:pPr>
        <w:jc w:val="both"/>
      </w:pPr>
      <w:r w:rsidRPr="00960E15">
        <w:t>On D8, the mortality in the reference item treatment was 87.5%.</w:t>
      </w:r>
    </w:p>
    <w:p w14:paraId="2EE5049A" w14:textId="77777777" w:rsidR="00E51CDD" w:rsidRPr="00960E15" w:rsidRDefault="00E51CDD" w:rsidP="00E51CDD">
      <w:pPr>
        <w:jc w:val="both"/>
        <w:rPr>
          <w:u w:val="single"/>
        </w:rPr>
      </w:pPr>
    </w:p>
    <w:p w14:paraId="22EE4371" w14:textId="77777777" w:rsidR="00E51CDD" w:rsidRPr="00960E15" w:rsidRDefault="00E51CDD" w:rsidP="00E51CDD">
      <w:pPr>
        <w:jc w:val="both"/>
        <w:rPr>
          <w:u w:val="single"/>
        </w:rPr>
      </w:pPr>
    </w:p>
    <w:p w14:paraId="299E0212" w14:textId="77777777" w:rsidR="00E51CDD" w:rsidRPr="00960E15" w:rsidRDefault="00E51CDD" w:rsidP="00E51CDD">
      <w:pPr>
        <w:jc w:val="both"/>
        <w:rPr>
          <w:u w:val="single"/>
        </w:rPr>
      </w:pPr>
      <w:r w:rsidRPr="00960E15">
        <w:rPr>
          <w:u w:val="single"/>
        </w:rPr>
        <w:t>Validity criteria:</w:t>
      </w:r>
    </w:p>
    <w:p w14:paraId="2DC232F9" w14:textId="77777777" w:rsidR="00E51CDD" w:rsidRPr="00960E15" w:rsidRDefault="00E51CDD" w:rsidP="00E51CDD">
      <w:pPr>
        <w:autoSpaceDE w:val="0"/>
        <w:autoSpaceDN w:val="0"/>
        <w:adjustRightInd w:val="0"/>
        <w:rPr>
          <w:rFonts w:eastAsia="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24"/>
        <w:gridCol w:w="3043"/>
      </w:tblGrid>
      <w:tr w:rsidR="00E51CDD" w:rsidRPr="00960E15" w14:paraId="39B23EFB" w14:textId="77777777" w:rsidTr="009938D9">
        <w:trPr>
          <w:trHeight w:val="240"/>
        </w:trPr>
        <w:tc>
          <w:tcPr>
            <w:tcW w:w="6024" w:type="dxa"/>
            <w:tcBorders>
              <w:top w:val="single" w:sz="4" w:space="0" w:color="auto"/>
              <w:left w:val="single" w:sz="4" w:space="0" w:color="auto"/>
              <w:bottom w:val="single" w:sz="4" w:space="0" w:color="auto"/>
              <w:right w:val="single" w:sz="4" w:space="0" w:color="auto"/>
            </w:tcBorders>
            <w:noWrap/>
            <w:vAlign w:val="center"/>
            <w:hideMark/>
          </w:tcPr>
          <w:p w14:paraId="0E2A4A69" w14:textId="77777777" w:rsidR="00E51CDD" w:rsidRPr="00960E15" w:rsidRDefault="00E51CDD" w:rsidP="009938D9">
            <w:pPr>
              <w:widowControl w:val="0"/>
              <w:rPr>
                <w:b/>
                <w:bCs/>
                <w:sz w:val="20"/>
                <w:szCs w:val="20"/>
              </w:rPr>
            </w:pPr>
            <w:r w:rsidRPr="00960E15">
              <w:rPr>
                <w:b/>
                <w:sz w:val="20"/>
                <w:szCs w:val="20"/>
              </w:rPr>
              <w:t xml:space="preserve">Validity criteria according to OECD 239 </w:t>
            </w:r>
            <w:r w:rsidRPr="00960E15">
              <w:rPr>
                <w:b/>
                <w:bCs/>
                <w:sz w:val="20"/>
                <w:szCs w:val="20"/>
              </w:rPr>
              <w:t>(2016)</w:t>
            </w:r>
          </w:p>
        </w:tc>
        <w:tc>
          <w:tcPr>
            <w:tcW w:w="3043" w:type="dxa"/>
            <w:tcBorders>
              <w:top w:val="single" w:sz="4" w:space="0" w:color="auto"/>
              <w:left w:val="single" w:sz="4" w:space="0" w:color="auto"/>
              <w:bottom w:val="single" w:sz="4" w:space="0" w:color="auto"/>
              <w:right w:val="single" w:sz="4" w:space="0" w:color="auto"/>
            </w:tcBorders>
            <w:noWrap/>
            <w:vAlign w:val="center"/>
            <w:hideMark/>
          </w:tcPr>
          <w:p w14:paraId="07754A5B" w14:textId="77777777" w:rsidR="00E51CDD" w:rsidRPr="00960E15" w:rsidRDefault="00E51CDD" w:rsidP="009938D9">
            <w:pPr>
              <w:widowControl w:val="0"/>
              <w:rPr>
                <w:b/>
                <w:bCs/>
                <w:sz w:val="20"/>
                <w:szCs w:val="20"/>
              </w:rPr>
            </w:pPr>
            <w:r w:rsidRPr="00960E15">
              <w:rPr>
                <w:b/>
                <w:sz w:val="20"/>
                <w:szCs w:val="20"/>
              </w:rPr>
              <w:t>Obtained in this study</w:t>
            </w:r>
          </w:p>
        </w:tc>
      </w:tr>
      <w:tr w:rsidR="00E51CDD" w:rsidRPr="00960E15" w14:paraId="53614FB7" w14:textId="77777777" w:rsidTr="009938D9">
        <w:trPr>
          <w:trHeight w:val="244"/>
        </w:trPr>
        <w:tc>
          <w:tcPr>
            <w:tcW w:w="6024" w:type="dxa"/>
            <w:tcBorders>
              <w:top w:val="single" w:sz="4" w:space="0" w:color="auto"/>
              <w:left w:val="single" w:sz="4" w:space="0" w:color="auto"/>
              <w:bottom w:val="single" w:sz="4" w:space="0" w:color="auto"/>
              <w:right w:val="single" w:sz="4" w:space="0" w:color="auto"/>
            </w:tcBorders>
            <w:noWrap/>
            <w:vAlign w:val="center"/>
            <w:hideMark/>
          </w:tcPr>
          <w:p w14:paraId="0626E653" w14:textId="77777777" w:rsidR="00E51CDD" w:rsidRPr="00960E15" w:rsidRDefault="00E51CDD" w:rsidP="009938D9">
            <w:pPr>
              <w:widowControl w:val="0"/>
              <w:rPr>
                <w:sz w:val="20"/>
                <w:szCs w:val="20"/>
              </w:rPr>
            </w:pPr>
            <w:r w:rsidRPr="00960E15">
              <w:rPr>
                <w:sz w:val="20"/>
                <w:szCs w:val="20"/>
              </w:rPr>
              <w:t>Control mortality from D3 to D8 ≤ 15% across all replicates</w:t>
            </w:r>
          </w:p>
        </w:tc>
        <w:tc>
          <w:tcPr>
            <w:tcW w:w="3043" w:type="dxa"/>
            <w:tcBorders>
              <w:top w:val="single" w:sz="4" w:space="0" w:color="auto"/>
              <w:left w:val="single" w:sz="4" w:space="0" w:color="auto"/>
              <w:bottom w:val="single" w:sz="4" w:space="0" w:color="auto"/>
              <w:right w:val="single" w:sz="4" w:space="0" w:color="auto"/>
            </w:tcBorders>
            <w:noWrap/>
            <w:vAlign w:val="center"/>
            <w:hideMark/>
          </w:tcPr>
          <w:p w14:paraId="1D5EA80A" w14:textId="77777777" w:rsidR="00E51CDD" w:rsidRPr="00960E15" w:rsidRDefault="00E51CDD" w:rsidP="009938D9">
            <w:pPr>
              <w:widowControl w:val="0"/>
              <w:rPr>
                <w:sz w:val="20"/>
                <w:szCs w:val="20"/>
              </w:rPr>
            </w:pPr>
            <w:r w:rsidRPr="00960E15">
              <w:rPr>
                <w:sz w:val="20"/>
                <w:szCs w:val="20"/>
              </w:rPr>
              <w:t>0% control</w:t>
            </w:r>
          </w:p>
        </w:tc>
      </w:tr>
      <w:tr w:rsidR="00E51CDD" w:rsidRPr="00960E15" w14:paraId="004F6AE9" w14:textId="77777777" w:rsidTr="009938D9">
        <w:trPr>
          <w:trHeight w:val="244"/>
        </w:trPr>
        <w:tc>
          <w:tcPr>
            <w:tcW w:w="6024" w:type="dxa"/>
            <w:tcBorders>
              <w:top w:val="single" w:sz="4" w:space="0" w:color="auto"/>
              <w:left w:val="single" w:sz="4" w:space="0" w:color="auto"/>
              <w:bottom w:val="single" w:sz="4" w:space="0" w:color="auto"/>
              <w:right w:val="single" w:sz="4" w:space="0" w:color="auto"/>
            </w:tcBorders>
            <w:noWrap/>
            <w:vAlign w:val="center"/>
            <w:hideMark/>
          </w:tcPr>
          <w:p w14:paraId="573BEF47" w14:textId="77777777" w:rsidR="00E51CDD" w:rsidRPr="00960E15" w:rsidRDefault="00E51CDD" w:rsidP="009938D9">
            <w:pPr>
              <w:widowControl w:val="0"/>
              <w:rPr>
                <w:sz w:val="20"/>
                <w:szCs w:val="20"/>
              </w:rPr>
            </w:pPr>
            <w:r w:rsidRPr="00960E15">
              <w:rPr>
                <w:sz w:val="20"/>
                <w:szCs w:val="20"/>
              </w:rPr>
              <w:t>Adult emergence in the control group ≥ 70% at D22 across all replicates</w:t>
            </w:r>
          </w:p>
        </w:tc>
        <w:tc>
          <w:tcPr>
            <w:tcW w:w="3043" w:type="dxa"/>
            <w:tcBorders>
              <w:top w:val="single" w:sz="4" w:space="0" w:color="auto"/>
              <w:left w:val="single" w:sz="4" w:space="0" w:color="auto"/>
              <w:bottom w:val="single" w:sz="4" w:space="0" w:color="auto"/>
              <w:right w:val="single" w:sz="4" w:space="0" w:color="auto"/>
            </w:tcBorders>
            <w:noWrap/>
            <w:vAlign w:val="center"/>
            <w:hideMark/>
          </w:tcPr>
          <w:p w14:paraId="315761CB" w14:textId="77777777" w:rsidR="00E51CDD" w:rsidRPr="00960E15" w:rsidRDefault="00E51CDD" w:rsidP="009938D9">
            <w:pPr>
              <w:widowControl w:val="0"/>
              <w:rPr>
                <w:sz w:val="20"/>
                <w:szCs w:val="20"/>
              </w:rPr>
            </w:pPr>
            <w:r w:rsidRPr="00960E15">
              <w:rPr>
                <w:sz w:val="20"/>
                <w:szCs w:val="20"/>
              </w:rPr>
              <w:t>89.6% control</w:t>
            </w:r>
          </w:p>
        </w:tc>
      </w:tr>
      <w:tr w:rsidR="00E51CDD" w:rsidRPr="00960E15" w14:paraId="6025E0BF" w14:textId="77777777" w:rsidTr="009938D9">
        <w:trPr>
          <w:trHeight w:val="768"/>
        </w:trPr>
        <w:tc>
          <w:tcPr>
            <w:tcW w:w="6024" w:type="dxa"/>
            <w:tcBorders>
              <w:top w:val="single" w:sz="4" w:space="0" w:color="auto"/>
              <w:left w:val="single" w:sz="4" w:space="0" w:color="auto"/>
              <w:bottom w:val="single" w:sz="4" w:space="0" w:color="auto"/>
              <w:right w:val="single" w:sz="4" w:space="0" w:color="auto"/>
            </w:tcBorders>
            <w:noWrap/>
            <w:vAlign w:val="center"/>
            <w:hideMark/>
          </w:tcPr>
          <w:p w14:paraId="01C52F09" w14:textId="77777777" w:rsidR="00E51CDD" w:rsidRPr="00960E15" w:rsidRDefault="00E51CDD" w:rsidP="009938D9">
            <w:pPr>
              <w:widowControl w:val="0"/>
              <w:rPr>
                <w:sz w:val="20"/>
                <w:szCs w:val="20"/>
              </w:rPr>
            </w:pPr>
            <w:r w:rsidRPr="00960E15">
              <w:rPr>
                <w:sz w:val="20"/>
                <w:szCs w:val="20"/>
              </w:rPr>
              <w:t>Effects of the reference item:</w:t>
            </w:r>
          </w:p>
          <w:p w14:paraId="04AA1D34" w14:textId="77777777" w:rsidR="00E51CDD" w:rsidRPr="00960E15" w:rsidRDefault="00E51CDD" w:rsidP="009938D9">
            <w:pPr>
              <w:widowControl w:val="0"/>
              <w:rPr>
                <w:sz w:val="20"/>
                <w:szCs w:val="20"/>
              </w:rPr>
            </w:pPr>
            <w:r w:rsidRPr="00960E15">
              <w:rPr>
                <w:sz w:val="20"/>
                <w:szCs w:val="20"/>
              </w:rPr>
              <w:t>Dimethoate: larval mortality ≥ 50% on D8 across all replicates</w:t>
            </w:r>
          </w:p>
        </w:tc>
        <w:tc>
          <w:tcPr>
            <w:tcW w:w="3043" w:type="dxa"/>
            <w:tcBorders>
              <w:top w:val="single" w:sz="4" w:space="0" w:color="auto"/>
              <w:left w:val="single" w:sz="4" w:space="0" w:color="auto"/>
              <w:bottom w:val="single" w:sz="4" w:space="0" w:color="auto"/>
              <w:right w:val="single" w:sz="4" w:space="0" w:color="auto"/>
            </w:tcBorders>
            <w:noWrap/>
            <w:vAlign w:val="center"/>
            <w:hideMark/>
          </w:tcPr>
          <w:p w14:paraId="0D2F06D5" w14:textId="77777777" w:rsidR="00E51CDD" w:rsidRPr="00960E15" w:rsidRDefault="00E51CDD" w:rsidP="009938D9">
            <w:pPr>
              <w:widowControl w:val="0"/>
              <w:rPr>
                <w:sz w:val="20"/>
                <w:szCs w:val="20"/>
              </w:rPr>
            </w:pPr>
            <w:r w:rsidRPr="00960E15">
              <w:rPr>
                <w:sz w:val="20"/>
                <w:szCs w:val="20"/>
              </w:rPr>
              <w:t xml:space="preserve">87.5% at D8 </w:t>
            </w:r>
          </w:p>
        </w:tc>
      </w:tr>
    </w:tbl>
    <w:p w14:paraId="282BECE5" w14:textId="77777777" w:rsidR="00E51CDD" w:rsidRDefault="00E51CDD" w:rsidP="00E51CDD">
      <w:pPr>
        <w:jc w:val="both"/>
        <w:rPr>
          <w:b/>
          <w:u w:val="single"/>
        </w:rPr>
      </w:pPr>
    </w:p>
    <w:p w14:paraId="382BE5C2" w14:textId="77777777" w:rsidR="00E51CDD" w:rsidRPr="00960E15" w:rsidRDefault="00E51CDD" w:rsidP="00E51CDD">
      <w:pPr>
        <w:jc w:val="both"/>
        <w:rPr>
          <w:b/>
          <w:u w:val="single"/>
        </w:rPr>
      </w:pPr>
    </w:p>
    <w:p w14:paraId="071A11C8" w14:textId="77777777" w:rsidR="00E51CDD" w:rsidRPr="00960E15" w:rsidRDefault="00E51CDD" w:rsidP="00E51CDD">
      <w:pPr>
        <w:jc w:val="both"/>
      </w:pPr>
      <w:r w:rsidRPr="00960E15">
        <w:t>All validity criteria were met.</w:t>
      </w:r>
    </w:p>
    <w:p w14:paraId="0E28D204" w14:textId="77777777" w:rsidR="00E51CDD" w:rsidRPr="00960E15" w:rsidRDefault="00E51CDD" w:rsidP="00E51CDD">
      <w:pPr>
        <w:rPr>
          <w:bCs/>
        </w:rPr>
      </w:pPr>
    </w:p>
    <w:p w14:paraId="4F0DAB4F" w14:textId="77777777" w:rsidR="00E51CDD" w:rsidRPr="00960E15" w:rsidRDefault="00E51CDD" w:rsidP="00E51CDD">
      <w:pPr>
        <w:rPr>
          <w:bCs/>
        </w:rPr>
      </w:pPr>
    </w:p>
    <w:p w14:paraId="5A71D6F4" w14:textId="77777777" w:rsidR="00E51CDD" w:rsidRPr="00960E15" w:rsidRDefault="00E51CDD" w:rsidP="00E51CDD">
      <w:pPr>
        <w:widowControl w:val="0"/>
        <w:jc w:val="both"/>
        <w:rPr>
          <w:b/>
        </w:rPr>
      </w:pPr>
      <w:r w:rsidRPr="00960E15">
        <w:rPr>
          <w:b/>
        </w:rPr>
        <w:t>III.</w:t>
      </w:r>
      <w:r w:rsidRPr="00960E15">
        <w:rPr>
          <w:b/>
        </w:rPr>
        <w:tab/>
        <w:t>CONCLUSION</w:t>
      </w:r>
    </w:p>
    <w:p w14:paraId="5C504600" w14:textId="77777777" w:rsidR="00E51CDD" w:rsidRPr="00960E15" w:rsidRDefault="00E51CDD" w:rsidP="00E51CDD"/>
    <w:p w14:paraId="0E9A5568" w14:textId="77777777" w:rsidR="00E51CDD" w:rsidRDefault="00E51CDD" w:rsidP="00E51CDD">
      <w:pPr>
        <w:jc w:val="both"/>
        <w:rPr>
          <w:b/>
          <w:bCs/>
        </w:rPr>
      </w:pPr>
      <w:r w:rsidRPr="00960E15">
        <w:rPr>
          <w:b/>
          <w:bCs/>
        </w:rPr>
        <w:t>In a repeated exposure larval toxicity study with BAS 736 00 F, the LD</w:t>
      </w:r>
      <w:r w:rsidRPr="00960E15">
        <w:rPr>
          <w:b/>
          <w:bCs/>
          <w:vertAlign w:val="subscript"/>
        </w:rPr>
        <w:t>50</w:t>
      </w:r>
      <w:r w:rsidRPr="00960E15">
        <w:rPr>
          <w:b/>
          <w:bCs/>
        </w:rPr>
        <w:t xml:space="preserve"> (larval mortality on D8) was estimated to be 313 μg product/larva, which is equivalent to a LC</w:t>
      </w:r>
      <w:r w:rsidRPr="00960E15">
        <w:rPr>
          <w:b/>
          <w:bCs/>
          <w:vertAlign w:val="subscript"/>
        </w:rPr>
        <w:t>50</w:t>
      </w:r>
      <w:r w:rsidRPr="00960E15">
        <w:rPr>
          <w:b/>
          <w:bCs/>
        </w:rPr>
        <w:t xml:space="preserve"> of 2031 mg product/kg food. The respective NOED was 120 μg product/larva and the corresponding NOEC was 779 mg product/kg food. The ED</w:t>
      </w:r>
      <w:r w:rsidRPr="00960E15">
        <w:rPr>
          <w:b/>
          <w:bCs/>
          <w:vertAlign w:val="subscript"/>
        </w:rPr>
        <w:t>50</w:t>
      </w:r>
      <w:r w:rsidRPr="00960E15">
        <w:rPr>
          <w:b/>
          <w:bCs/>
        </w:rPr>
        <w:t xml:space="preserve"> (successful adult emergence up to D22) was estimated to be 188 μg product/larva, which is equivalent to an EC</w:t>
      </w:r>
      <w:r w:rsidRPr="00960E15">
        <w:rPr>
          <w:b/>
          <w:bCs/>
          <w:vertAlign w:val="subscript"/>
        </w:rPr>
        <w:t>50</w:t>
      </w:r>
      <w:r w:rsidRPr="00960E15">
        <w:rPr>
          <w:b/>
          <w:bCs/>
        </w:rPr>
        <w:t xml:space="preserve"> of 1222 mg product/kg food. The respective NOED was 120 μg product/larva and the corresponding NOEC was 779 mg product/kg food.</w:t>
      </w:r>
    </w:p>
    <w:p w14:paraId="51CB1D5E" w14:textId="77777777" w:rsidR="00E51CDD" w:rsidRDefault="00E51CDD" w:rsidP="00E51CDD">
      <w:pPr>
        <w:jc w:val="both"/>
        <w:rPr>
          <w:b/>
          <w:bCs/>
        </w:rPr>
      </w:pPr>
    </w:p>
    <w:p w14:paraId="78328DE4" w14:textId="77777777" w:rsidR="00E51CDD" w:rsidRPr="00960E15" w:rsidRDefault="00E51CDD" w:rsidP="00E51CDD">
      <w:pPr>
        <w:jc w:val="both"/>
        <w:rPr>
          <w:b/>
          <w:bCs/>
        </w:rPr>
      </w:pPr>
    </w:p>
    <w:bookmarkEnd w:id="1196"/>
    <w:p w14:paraId="467A4F80" w14:textId="77777777" w:rsidR="00E51CDD" w:rsidRDefault="00E51CDD" w:rsidP="00E51CDD">
      <w:pPr>
        <w:pStyle w:val="RepAppendix4"/>
      </w:pPr>
      <w:r w:rsidRPr="002B1114">
        <w:t xml:space="preserve">KCP 10.3.1.4 </w:t>
      </w:r>
      <w:r w:rsidRPr="002B1114">
        <w:tab/>
        <w:t>Sub-lethal effects</w:t>
      </w:r>
    </w:p>
    <w:p w14:paraId="5D48BC16" w14:textId="3B9AC86B" w:rsidR="00E51CDD" w:rsidRDefault="00E51CDD" w:rsidP="00E51CDD">
      <w:pPr>
        <w:pStyle w:val="RepStandard"/>
        <w:rPr>
          <w:szCs w:val="20"/>
        </w:rPr>
      </w:pPr>
      <w:r w:rsidRPr="00CA4E5C">
        <w:rPr>
          <w:szCs w:val="20"/>
        </w:rPr>
        <w:t>As BAS 736 00 F does not pose an unacceptable risk to honey bees, further studies are not necessary.</w:t>
      </w:r>
    </w:p>
    <w:p w14:paraId="3C078132" w14:textId="77777777" w:rsidR="00B74DCE" w:rsidRPr="00CA4E5C" w:rsidRDefault="00B74DCE" w:rsidP="00E51CDD">
      <w:pPr>
        <w:pStyle w:val="RepStandard"/>
        <w:rPr>
          <w:sz w:val="20"/>
          <w:szCs w:val="20"/>
        </w:rPr>
      </w:pPr>
    </w:p>
    <w:p w14:paraId="4A6488FC" w14:textId="77777777" w:rsidR="00E51CDD" w:rsidRDefault="00E51CDD" w:rsidP="00E51CDD">
      <w:pPr>
        <w:pStyle w:val="RepAppendix4"/>
      </w:pPr>
      <w:r w:rsidRPr="002B1114">
        <w:t xml:space="preserve">KCP 10.3.1.5 </w:t>
      </w:r>
      <w:r w:rsidRPr="002B1114">
        <w:tab/>
        <w:t>Cage and tunnel tests</w:t>
      </w:r>
    </w:p>
    <w:p w14:paraId="0DE80218" w14:textId="06F42A38" w:rsidR="00E51CDD" w:rsidRDefault="00E51CDD" w:rsidP="00E51CDD">
      <w:pPr>
        <w:pStyle w:val="RepStandard"/>
      </w:pPr>
      <w:r w:rsidRPr="00CA4E5C">
        <w:t>As BAS 736 00 F does not pose an unacceptable risk to honey bees, further studies are not necessary.</w:t>
      </w:r>
    </w:p>
    <w:p w14:paraId="60044BA8" w14:textId="77777777" w:rsidR="00B74DCE" w:rsidRPr="002321A6" w:rsidRDefault="00B74DCE" w:rsidP="00E51CDD">
      <w:pPr>
        <w:pStyle w:val="RepStandard"/>
      </w:pPr>
    </w:p>
    <w:p w14:paraId="18A4FE54" w14:textId="77777777" w:rsidR="00E51CDD" w:rsidRDefault="00E51CDD" w:rsidP="00E51CDD">
      <w:pPr>
        <w:pStyle w:val="RepAppendix4"/>
      </w:pPr>
      <w:r w:rsidRPr="002B1114">
        <w:t xml:space="preserve">KCP 10.3.1.6 </w:t>
      </w:r>
      <w:r w:rsidRPr="002B1114">
        <w:tab/>
        <w:t>Field tests with honeybees</w:t>
      </w:r>
    </w:p>
    <w:p w14:paraId="0CBDAB6B" w14:textId="77777777" w:rsidR="00E51CDD" w:rsidRDefault="00E51CDD" w:rsidP="00E51CDD">
      <w:pPr>
        <w:pStyle w:val="RepStandard"/>
        <w:rPr>
          <w:szCs w:val="20"/>
        </w:rPr>
      </w:pPr>
      <w:r w:rsidRPr="00CA4E5C">
        <w:rPr>
          <w:szCs w:val="20"/>
        </w:rPr>
        <w:t>As BAS 736 00 F does not pose an unacceptable risk to honey bees, further studies are not necessary.</w:t>
      </w:r>
    </w:p>
    <w:p w14:paraId="6365E59C" w14:textId="77777777" w:rsidR="00E51CDD" w:rsidRPr="00D61C03" w:rsidRDefault="00E51CDD" w:rsidP="00E51CDD">
      <w:pPr>
        <w:pStyle w:val="RepStandard"/>
        <w:rPr>
          <w:szCs w:val="20"/>
        </w:rPr>
      </w:pPr>
      <w:r>
        <w:rPr>
          <w:szCs w:val="20"/>
        </w:rPr>
        <w:br w:type="page"/>
      </w:r>
    </w:p>
    <w:p w14:paraId="57268549" w14:textId="77777777" w:rsidR="00E51CDD" w:rsidRDefault="00E51CDD" w:rsidP="00E51CDD">
      <w:pPr>
        <w:pStyle w:val="RepAppendix3"/>
      </w:pPr>
      <w:bookmarkStart w:id="1217" w:name="_Toc125446481"/>
      <w:r>
        <w:lastRenderedPageBreak/>
        <w:t>KCP 10.3.2</w:t>
      </w:r>
      <w:r>
        <w:tab/>
      </w:r>
      <w:r w:rsidRPr="00615A68">
        <w:t>Effects on non-target arthropods other than bees</w:t>
      </w:r>
      <w:bookmarkEnd w:id="1217"/>
    </w:p>
    <w:p w14:paraId="7BD425C5" w14:textId="77777777" w:rsidR="00E51CDD" w:rsidRDefault="00E51CDD" w:rsidP="00E51CDD">
      <w:pPr>
        <w:pStyle w:val="RepAppendix3"/>
      </w:pPr>
      <w:bookmarkStart w:id="1218" w:name="_Toc125446482"/>
      <w:r>
        <w:t>KCP 10.3.2.1</w:t>
      </w:r>
      <w:r>
        <w:tab/>
      </w:r>
      <w:r w:rsidRPr="00615A68">
        <w:t>Standard laboratory testing for non-target arthropods</w:t>
      </w:r>
      <w:bookmarkEnd w:id="1218"/>
    </w:p>
    <w:p w14:paraId="14B9F81F" w14:textId="77777777" w:rsidR="00E51CDD" w:rsidRPr="00E75E06" w:rsidRDefault="00E51CDD" w:rsidP="00E51CDD">
      <w:pPr>
        <w:pStyle w:val="RepAppendix4"/>
      </w:pPr>
      <w:r>
        <w:t>Study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509C02FD" w14:textId="77777777" w:rsidTr="00144797">
        <w:trPr>
          <w:trHeight w:val="808"/>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7072FC" w14:textId="77777777" w:rsidR="00E51CDD" w:rsidRDefault="00E51CDD" w:rsidP="009938D9">
            <w:pPr>
              <w:pStyle w:val="RepStandard"/>
              <w:rPr>
                <w:rFonts w:eastAsia="Batang"/>
              </w:rPr>
            </w:pPr>
            <w:bookmarkStart w:id="1219" w:name="_Hlk86409189"/>
            <w:bookmarkStart w:id="1220" w:name="_Hlk88465931"/>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F81074" w14:textId="7CCF3C66" w:rsidR="00E51CDD" w:rsidRDefault="00D9158D" w:rsidP="009938D9">
            <w:pPr>
              <w:pStyle w:val="RepStandard"/>
              <w:ind w:left="85"/>
              <w:rPr>
                <w:rFonts w:eastAsia="Batang"/>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0C2B7D61"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22071F57" w14:textId="77777777" w:rsidTr="009938D9">
        <w:trPr>
          <w:gridAfter w:val="1"/>
          <w:wAfter w:w="9" w:type="pct"/>
        </w:trPr>
        <w:tc>
          <w:tcPr>
            <w:tcW w:w="1340" w:type="pct"/>
            <w:hideMark/>
          </w:tcPr>
          <w:p w14:paraId="7B75A111" w14:textId="77777777" w:rsidR="00E51CDD" w:rsidRDefault="00E51CDD" w:rsidP="009938D9">
            <w:pPr>
              <w:pStyle w:val="RepStandard"/>
              <w:rPr>
                <w:lang w:val="de-DE"/>
              </w:rPr>
            </w:pPr>
            <w:r>
              <w:t>Reference:</w:t>
            </w:r>
          </w:p>
        </w:tc>
        <w:tc>
          <w:tcPr>
            <w:tcW w:w="3651" w:type="pct"/>
            <w:hideMark/>
          </w:tcPr>
          <w:p w14:paraId="6AB0F72B" w14:textId="77777777" w:rsidR="00E51CDD" w:rsidRDefault="00E51CDD" w:rsidP="009938D9">
            <w:pPr>
              <w:pStyle w:val="RepStandard"/>
            </w:pPr>
            <w:r>
              <w:t>CP 10.3.2.1/1</w:t>
            </w:r>
          </w:p>
        </w:tc>
      </w:tr>
      <w:tr w:rsidR="00E51CDD" w14:paraId="48DC214C" w14:textId="77777777" w:rsidTr="009938D9">
        <w:trPr>
          <w:gridAfter w:val="1"/>
          <w:wAfter w:w="9" w:type="pct"/>
        </w:trPr>
        <w:tc>
          <w:tcPr>
            <w:tcW w:w="1340" w:type="pct"/>
            <w:hideMark/>
          </w:tcPr>
          <w:p w14:paraId="064A039B" w14:textId="77777777" w:rsidR="00E51CDD" w:rsidRDefault="00E51CDD" w:rsidP="009938D9">
            <w:pPr>
              <w:pStyle w:val="RepStandard"/>
              <w:spacing w:after="120"/>
            </w:pPr>
            <w:r>
              <w:t>Report</w:t>
            </w:r>
          </w:p>
        </w:tc>
        <w:tc>
          <w:tcPr>
            <w:tcW w:w="3651" w:type="pct"/>
            <w:hideMark/>
          </w:tcPr>
          <w:p w14:paraId="60791139" w14:textId="77777777" w:rsidR="00E51CDD" w:rsidRDefault="00E51CDD" w:rsidP="009938D9">
            <w:pPr>
              <w:pStyle w:val="RepStandard"/>
              <w:spacing w:after="120"/>
              <w:rPr>
                <w:lang w:val="en-US"/>
              </w:rPr>
            </w:pPr>
            <w:r>
              <w:rPr>
                <w:lang w:val="en-US"/>
              </w:rPr>
              <w:t>Effects of BAS 736 00 F on the predatory mite Typhlodromus pyri SCHEUTEN in a laboratory test,</w:t>
            </w:r>
          </w:p>
          <w:p w14:paraId="1F968F3A" w14:textId="77777777" w:rsidR="00E51CDD" w:rsidRDefault="00E51CDD" w:rsidP="009938D9">
            <w:pPr>
              <w:pStyle w:val="RepStandard"/>
              <w:spacing w:after="120"/>
              <w:rPr>
                <w:lang w:val="en-US"/>
              </w:rPr>
            </w:pPr>
            <w:r>
              <w:rPr>
                <w:lang w:val="en-US"/>
              </w:rPr>
              <w:t>Roehlig, U., 2019</w:t>
            </w:r>
          </w:p>
          <w:p w14:paraId="6E015D8A" w14:textId="77777777" w:rsidR="00E51CDD" w:rsidRDefault="00E51CDD" w:rsidP="009938D9">
            <w:pPr>
              <w:pStyle w:val="RepStandard"/>
              <w:spacing w:after="120"/>
              <w:rPr>
                <w:lang w:val="en-US"/>
              </w:rPr>
            </w:pPr>
            <w:r>
              <w:rPr>
                <w:lang w:val="en-US"/>
              </w:rPr>
              <w:t>report No 849668, 1948NTL0009</w:t>
            </w:r>
          </w:p>
          <w:p w14:paraId="456E5D2F" w14:textId="77777777" w:rsidR="00E51CDD" w:rsidRDefault="00E51CDD" w:rsidP="009938D9">
            <w:pPr>
              <w:pStyle w:val="RepStandard"/>
              <w:spacing w:after="120"/>
            </w:pPr>
            <w:r>
              <w:rPr>
                <w:lang w:val="en-US"/>
              </w:rPr>
              <w:t>2019/1061102</w:t>
            </w:r>
          </w:p>
          <w:p w14:paraId="35F9BD33" w14:textId="77777777" w:rsidR="00E51CDD" w:rsidRDefault="00E51CDD" w:rsidP="009938D9">
            <w:pPr>
              <w:pStyle w:val="RepStandard"/>
            </w:pPr>
            <w:r>
              <w:t>Authority registration No</w:t>
            </w:r>
          </w:p>
        </w:tc>
      </w:tr>
      <w:tr w:rsidR="00E51CDD" w14:paraId="10901004" w14:textId="77777777" w:rsidTr="009938D9">
        <w:trPr>
          <w:gridAfter w:val="1"/>
          <w:wAfter w:w="9" w:type="pct"/>
        </w:trPr>
        <w:tc>
          <w:tcPr>
            <w:tcW w:w="1340" w:type="pct"/>
            <w:hideMark/>
          </w:tcPr>
          <w:p w14:paraId="3FF63D4C" w14:textId="77777777" w:rsidR="00E51CDD" w:rsidRDefault="00E51CDD" w:rsidP="009938D9">
            <w:pPr>
              <w:pStyle w:val="RepStandard"/>
            </w:pPr>
            <w:r>
              <w:t>Guideline(s):</w:t>
            </w:r>
          </w:p>
        </w:tc>
        <w:tc>
          <w:tcPr>
            <w:tcW w:w="3651" w:type="pct"/>
            <w:hideMark/>
          </w:tcPr>
          <w:p w14:paraId="649A5A88" w14:textId="77777777" w:rsidR="00E51CDD" w:rsidRDefault="00E51CDD" w:rsidP="009938D9">
            <w:pPr>
              <w:pStyle w:val="RepStandard"/>
              <w:spacing w:after="120"/>
            </w:pPr>
            <w:r>
              <w:rPr>
                <w:lang w:val="en-US"/>
              </w:rPr>
              <w:t>IOBC (Bluemel et al. 2000)</w:t>
            </w:r>
            <w:r>
              <w:t xml:space="preserve"> </w:t>
            </w:r>
          </w:p>
        </w:tc>
      </w:tr>
      <w:tr w:rsidR="00E51CDD" w14:paraId="139473EB" w14:textId="77777777" w:rsidTr="009938D9">
        <w:trPr>
          <w:gridAfter w:val="1"/>
          <w:wAfter w:w="9" w:type="pct"/>
        </w:trPr>
        <w:tc>
          <w:tcPr>
            <w:tcW w:w="1340" w:type="pct"/>
            <w:hideMark/>
          </w:tcPr>
          <w:p w14:paraId="01C31F8E" w14:textId="77777777" w:rsidR="00E51CDD" w:rsidRDefault="00E51CDD" w:rsidP="009938D9">
            <w:pPr>
              <w:pStyle w:val="RepStandard"/>
            </w:pPr>
            <w:r>
              <w:t>Deviations:</w:t>
            </w:r>
          </w:p>
        </w:tc>
        <w:tc>
          <w:tcPr>
            <w:tcW w:w="3651" w:type="pct"/>
            <w:hideMark/>
          </w:tcPr>
          <w:p w14:paraId="359E439B" w14:textId="77777777" w:rsidR="00E51CDD" w:rsidRDefault="00E51CDD" w:rsidP="009938D9">
            <w:pPr>
              <w:pStyle w:val="RepStandard"/>
              <w:spacing w:after="120"/>
            </w:pPr>
            <w:r>
              <w:t>No</w:t>
            </w:r>
          </w:p>
        </w:tc>
      </w:tr>
      <w:tr w:rsidR="00E51CDD" w:rsidRPr="00662F32" w14:paraId="5762AF24" w14:textId="77777777" w:rsidTr="009938D9">
        <w:tc>
          <w:tcPr>
            <w:tcW w:w="1340" w:type="pct"/>
            <w:hideMark/>
          </w:tcPr>
          <w:p w14:paraId="412FCA59" w14:textId="77777777" w:rsidR="00E51CDD" w:rsidRDefault="00E51CDD" w:rsidP="009938D9">
            <w:pPr>
              <w:pStyle w:val="RepStandard"/>
            </w:pPr>
            <w:r>
              <w:t>GLP:</w:t>
            </w:r>
          </w:p>
        </w:tc>
        <w:tc>
          <w:tcPr>
            <w:tcW w:w="3660" w:type="pct"/>
            <w:gridSpan w:val="2"/>
            <w:hideMark/>
          </w:tcPr>
          <w:p w14:paraId="61729936" w14:textId="77777777" w:rsidR="00E51CDD" w:rsidRPr="001C4EA6" w:rsidRDefault="00E51CDD" w:rsidP="009938D9">
            <w:pPr>
              <w:tabs>
                <w:tab w:val="left" w:pos="425"/>
                <w:tab w:val="left" w:pos="850"/>
              </w:tabs>
              <w:spacing w:after="120"/>
              <w:ind w:left="1985" w:hanging="1985"/>
              <w:rPr>
                <w:b/>
                <w:lang w:val="de-DE"/>
              </w:rPr>
            </w:pPr>
            <w:r w:rsidRPr="001C4EA6">
              <w:rPr>
                <w:lang w:val="de-DE"/>
              </w:rPr>
              <w:t>no</w:t>
            </w:r>
          </w:p>
          <w:p w14:paraId="046CA781" w14:textId="77777777" w:rsidR="00E51CDD" w:rsidRPr="001C4EA6" w:rsidRDefault="00E51CDD" w:rsidP="009938D9">
            <w:pPr>
              <w:pStyle w:val="RepStandard"/>
              <w:spacing w:after="120"/>
              <w:jc w:val="left"/>
              <w:rPr>
                <w:lang w:val="de-DE"/>
              </w:rPr>
            </w:pPr>
            <w:r w:rsidRPr="001C4EA6">
              <w:rPr>
                <w:lang w:val="de-DE"/>
              </w:rPr>
              <w:t xml:space="preserve">(certified by Saechsisches Staatsministerium fuer Umwelt und Landwirtschaft, Dresden, Germany), </w:t>
            </w:r>
          </w:p>
        </w:tc>
      </w:tr>
      <w:tr w:rsidR="00E51CDD" w14:paraId="533A2905" w14:textId="77777777" w:rsidTr="009938D9">
        <w:trPr>
          <w:gridAfter w:val="1"/>
          <w:wAfter w:w="9" w:type="pct"/>
        </w:trPr>
        <w:tc>
          <w:tcPr>
            <w:tcW w:w="1340" w:type="pct"/>
            <w:hideMark/>
          </w:tcPr>
          <w:p w14:paraId="7FE5E984" w14:textId="77777777" w:rsidR="00E51CDD" w:rsidRDefault="00E51CDD" w:rsidP="009938D9">
            <w:pPr>
              <w:pStyle w:val="RepStandard"/>
              <w:rPr>
                <w:lang w:val="de-DE"/>
              </w:rPr>
            </w:pPr>
            <w:r>
              <w:t>Acceptability:</w:t>
            </w:r>
          </w:p>
        </w:tc>
        <w:tc>
          <w:tcPr>
            <w:tcW w:w="3651" w:type="pct"/>
            <w:hideMark/>
          </w:tcPr>
          <w:p w14:paraId="323C6D4E" w14:textId="77777777" w:rsidR="00E51CDD" w:rsidRDefault="00E51CDD" w:rsidP="009938D9">
            <w:pPr>
              <w:pStyle w:val="RepStandard"/>
            </w:pPr>
            <w:r>
              <w:t xml:space="preserve">Yes </w:t>
            </w:r>
          </w:p>
        </w:tc>
      </w:tr>
      <w:tr w:rsidR="00E51CDD" w14:paraId="7D22835E" w14:textId="77777777" w:rsidTr="009938D9">
        <w:trPr>
          <w:gridAfter w:val="1"/>
          <w:wAfter w:w="9" w:type="pct"/>
        </w:trPr>
        <w:tc>
          <w:tcPr>
            <w:tcW w:w="1340" w:type="pct"/>
            <w:hideMark/>
          </w:tcPr>
          <w:p w14:paraId="79447CEE" w14:textId="77777777" w:rsidR="00E51CDD" w:rsidRDefault="00E51CDD" w:rsidP="009938D9">
            <w:pPr>
              <w:pStyle w:val="RepStandard"/>
            </w:pPr>
            <w:r>
              <w:t xml:space="preserve">Duplication </w:t>
            </w:r>
            <w:r>
              <w:br/>
              <w:t>(if vertebrate study)</w:t>
            </w:r>
          </w:p>
        </w:tc>
        <w:tc>
          <w:tcPr>
            <w:tcW w:w="3651" w:type="pct"/>
            <w:hideMark/>
          </w:tcPr>
          <w:p w14:paraId="5379A7AD" w14:textId="77777777" w:rsidR="00E51CDD" w:rsidRDefault="00E51CDD" w:rsidP="009938D9">
            <w:pPr>
              <w:pStyle w:val="RepStandard"/>
              <w:spacing w:after="120"/>
              <w:rPr>
                <w:highlight w:val="yellow"/>
              </w:rPr>
            </w:pPr>
            <w:r>
              <w:t>No</w:t>
            </w:r>
          </w:p>
        </w:tc>
      </w:tr>
    </w:tbl>
    <w:p w14:paraId="3016A017" w14:textId="77777777" w:rsidR="00E51CDD" w:rsidRDefault="00E51CDD" w:rsidP="00E51CDD">
      <w:pPr>
        <w:widowControl w:val="0"/>
        <w:tabs>
          <w:tab w:val="left" w:pos="425"/>
          <w:tab w:val="left" w:pos="850"/>
        </w:tabs>
        <w:ind w:left="2835" w:hanging="2835"/>
        <w:jc w:val="both"/>
        <w:rPr>
          <w:b/>
          <w:color w:val="000000"/>
          <w:szCs w:val="24"/>
        </w:rPr>
      </w:pPr>
    </w:p>
    <w:p w14:paraId="6F085E68" w14:textId="77777777" w:rsidR="00E51CDD" w:rsidRPr="002360D5" w:rsidRDefault="00E51CDD" w:rsidP="00E51CDD">
      <w:pPr>
        <w:widowControl w:val="0"/>
        <w:tabs>
          <w:tab w:val="left" w:pos="425"/>
          <w:tab w:val="left" w:pos="850"/>
        </w:tabs>
        <w:ind w:left="2835" w:hanging="2835"/>
        <w:jc w:val="both"/>
        <w:rPr>
          <w:b/>
          <w:color w:val="000000"/>
          <w:szCs w:val="24"/>
        </w:rPr>
      </w:pPr>
      <w:r w:rsidRPr="002360D5">
        <w:rPr>
          <w:b/>
          <w:color w:val="000000"/>
          <w:szCs w:val="24"/>
        </w:rPr>
        <w:t>Executive Summary</w:t>
      </w:r>
    </w:p>
    <w:p w14:paraId="2F1AA3A2" w14:textId="77777777" w:rsidR="00E51CDD" w:rsidRPr="002360D5" w:rsidRDefault="00E51CDD" w:rsidP="00E51CDD">
      <w:pPr>
        <w:widowControl w:val="0"/>
        <w:tabs>
          <w:tab w:val="left" w:pos="425"/>
          <w:tab w:val="left" w:pos="850"/>
        </w:tabs>
        <w:ind w:left="2835" w:hanging="2835"/>
        <w:jc w:val="both"/>
        <w:rPr>
          <w:b/>
          <w:color w:val="0070C0"/>
          <w:szCs w:val="24"/>
        </w:rPr>
      </w:pPr>
    </w:p>
    <w:p w14:paraId="2C044E67" w14:textId="77777777" w:rsidR="00E51CDD" w:rsidRPr="002360D5" w:rsidRDefault="00E51CDD" w:rsidP="00E51CDD">
      <w:pPr>
        <w:widowControl w:val="0"/>
        <w:jc w:val="both"/>
        <w:rPr>
          <w:color w:val="000000"/>
          <w:szCs w:val="24"/>
        </w:rPr>
      </w:pPr>
      <w:r w:rsidRPr="002360D5">
        <w:rPr>
          <w:color w:val="000000"/>
          <w:szCs w:val="24"/>
        </w:rPr>
        <w:t xml:space="preserve">In a worst-case laboratory study, </w:t>
      </w:r>
      <w:bookmarkStart w:id="1221" w:name="_Hlk78873067"/>
      <w:r w:rsidRPr="002360D5">
        <w:rPr>
          <w:color w:val="000000"/>
          <w:szCs w:val="24"/>
        </w:rPr>
        <w:t xml:space="preserve">protonymphs of </w:t>
      </w:r>
      <w:r w:rsidRPr="002360D5">
        <w:rPr>
          <w:i/>
          <w:iCs/>
          <w:color w:val="000000"/>
          <w:szCs w:val="24"/>
        </w:rPr>
        <w:t>Typhlodromus pyri</w:t>
      </w:r>
      <w:r w:rsidRPr="002360D5">
        <w:rPr>
          <w:color w:val="000000"/>
          <w:szCs w:val="24"/>
        </w:rPr>
        <w:t xml:space="preserve"> </w:t>
      </w:r>
      <w:r w:rsidRPr="002360D5">
        <w:rPr>
          <w:iCs/>
          <w:color w:val="000000"/>
          <w:szCs w:val="24"/>
        </w:rPr>
        <w:t>Scheuten</w:t>
      </w:r>
      <w:r w:rsidRPr="002360D5">
        <w:rPr>
          <w:color w:val="000000"/>
          <w:szCs w:val="24"/>
        </w:rPr>
        <w:t xml:space="preserve"> (Acaria: Phytoseiidae) </w:t>
      </w:r>
      <w:bookmarkEnd w:id="1221"/>
      <w:r w:rsidRPr="002360D5">
        <w:rPr>
          <w:color w:val="000000"/>
          <w:szCs w:val="24"/>
        </w:rPr>
        <w:t>were exposed to dried residues of BAS 736 00 F on glass plates. The test item was applied at test rates of 0.25, 0.5, 1.0, 2.0 and 4.0 L BAS 736 00 F/ha. Additional test units were treated with deionized water as control and with Dimethoate EC 400 (dimethoate) as reference item. Mortality was assessed 3 and 7 days after treatment by the number of surviving, dead and escaped predatory mites.</w:t>
      </w:r>
    </w:p>
    <w:p w14:paraId="3C408302" w14:textId="77777777" w:rsidR="00E51CDD" w:rsidRPr="002360D5" w:rsidRDefault="00E51CDD" w:rsidP="00E51CDD">
      <w:pPr>
        <w:widowControl w:val="0"/>
        <w:jc w:val="both"/>
        <w:rPr>
          <w:color w:val="0070C0"/>
          <w:szCs w:val="24"/>
        </w:rPr>
      </w:pPr>
    </w:p>
    <w:p w14:paraId="11EEC968" w14:textId="77777777" w:rsidR="00E51CDD" w:rsidRPr="002360D5" w:rsidRDefault="00E51CDD" w:rsidP="00E51CDD">
      <w:pPr>
        <w:widowControl w:val="0"/>
        <w:jc w:val="both"/>
        <w:rPr>
          <w:color w:val="000000"/>
          <w:szCs w:val="24"/>
        </w:rPr>
      </w:pPr>
      <w:r w:rsidRPr="002360D5">
        <w:rPr>
          <w:color w:val="000000"/>
          <w:szCs w:val="24"/>
        </w:rPr>
        <w:t xml:space="preserve">After 7 days, in the water-treated control a mortality of 2.0% was observed. In the test item treatments mortality ranged between 1.0% and 100.0%. This resulted in corrected mortality rates between -1.0% and 100%. </w:t>
      </w:r>
      <w:r w:rsidRPr="002360D5">
        <w:rPr>
          <w:szCs w:val="24"/>
        </w:rPr>
        <w:t xml:space="preserve">Statistically significant differences in mortality compared to the control were observed at </w:t>
      </w:r>
      <w:r w:rsidRPr="002360D5">
        <w:rPr>
          <w:color w:val="000000"/>
          <w:szCs w:val="24"/>
        </w:rPr>
        <w:t>2.0 and 4.0 L</w:t>
      </w:r>
      <w:r w:rsidRPr="002360D5">
        <w:rPr>
          <w:color w:val="000000"/>
          <w:szCs w:val="24"/>
          <w:lang w:eastAsia="en-US"/>
        </w:rPr>
        <w:t xml:space="preserve"> BAS 736 00 F</w:t>
      </w:r>
      <w:r w:rsidRPr="002360D5">
        <w:rPr>
          <w:color w:val="000000"/>
          <w:szCs w:val="24"/>
        </w:rPr>
        <w:t>/ha.</w:t>
      </w:r>
    </w:p>
    <w:p w14:paraId="10B160EB" w14:textId="77777777" w:rsidR="00E51CDD" w:rsidRPr="002360D5" w:rsidRDefault="00E51CDD" w:rsidP="00E51CDD">
      <w:pPr>
        <w:widowControl w:val="0"/>
        <w:jc w:val="both"/>
        <w:rPr>
          <w:color w:val="0070C0"/>
          <w:szCs w:val="24"/>
        </w:rPr>
      </w:pPr>
    </w:p>
    <w:p w14:paraId="7FDFCB71" w14:textId="77777777" w:rsidR="00E51CDD" w:rsidRDefault="00E51CDD" w:rsidP="00E51CDD">
      <w:pPr>
        <w:widowControl w:val="0"/>
        <w:jc w:val="both"/>
        <w:rPr>
          <w:b/>
          <w:color w:val="000000"/>
          <w:szCs w:val="24"/>
        </w:rPr>
      </w:pPr>
      <w:r w:rsidRPr="002360D5">
        <w:rPr>
          <w:b/>
          <w:color w:val="000000"/>
          <w:szCs w:val="24"/>
        </w:rPr>
        <w:t>In a worst-case laboratory study with BAS 736 00 F, the LR</w:t>
      </w:r>
      <w:r w:rsidRPr="002360D5">
        <w:rPr>
          <w:b/>
          <w:color w:val="000000"/>
          <w:szCs w:val="24"/>
          <w:vertAlign w:val="subscript"/>
        </w:rPr>
        <w:t xml:space="preserve">50 </w:t>
      </w:r>
      <w:r w:rsidRPr="002360D5">
        <w:rPr>
          <w:b/>
          <w:color w:val="000000"/>
          <w:szCs w:val="24"/>
        </w:rPr>
        <w:t xml:space="preserve">for </w:t>
      </w:r>
      <w:r w:rsidRPr="002360D5">
        <w:rPr>
          <w:b/>
          <w:i/>
          <w:color w:val="000000"/>
          <w:szCs w:val="24"/>
        </w:rPr>
        <w:t xml:space="preserve">Typhlodromus pyri </w:t>
      </w:r>
      <w:r w:rsidRPr="002360D5">
        <w:rPr>
          <w:b/>
          <w:color w:val="000000"/>
          <w:szCs w:val="24"/>
        </w:rPr>
        <w:t xml:space="preserve">was determined to be 2.75 L BAS 736 00 F/ha. </w:t>
      </w:r>
    </w:p>
    <w:p w14:paraId="478CB778" w14:textId="77777777" w:rsidR="00E51CDD" w:rsidRPr="002360D5" w:rsidRDefault="00E51CDD" w:rsidP="00E51CDD">
      <w:pPr>
        <w:widowControl w:val="0"/>
        <w:jc w:val="both"/>
        <w:rPr>
          <w:color w:val="0070C0"/>
          <w:szCs w:val="24"/>
          <w:lang w:eastAsia="en-US"/>
        </w:rPr>
      </w:pPr>
    </w:p>
    <w:p w14:paraId="7C675586" w14:textId="77777777" w:rsidR="00E51CDD" w:rsidRPr="002360D5" w:rsidRDefault="00E51CDD" w:rsidP="00E51CDD">
      <w:pPr>
        <w:widowControl w:val="0"/>
        <w:tabs>
          <w:tab w:val="left" w:pos="425"/>
          <w:tab w:val="left" w:pos="850"/>
        </w:tabs>
        <w:ind w:left="2835" w:hanging="2835"/>
        <w:jc w:val="both"/>
        <w:rPr>
          <w:color w:val="0070C0"/>
          <w:szCs w:val="24"/>
          <w:lang w:eastAsia="en-US"/>
        </w:rPr>
      </w:pPr>
      <w:r>
        <w:rPr>
          <w:color w:val="0070C0"/>
          <w:szCs w:val="24"/>
          <w:lang w:eastAsia="en-US"/>
        </w:rPr>
        <w:br w:type="page"/>
      </w:r>
    </w:p>
    <w:p w14:paraId="2348FB34" w14:textId="77777777" w:rsidR="00E51CDD" w:rsidRPr="002360D5" w:rsidRDefault="00E51CDD" w:rsidP="00E51CDD">
      <w:pPr>
        <w:widowControl w:val="0"/>
        <w:tabs>
          <w:tab w:val="left" w:pos="425"/>
          <w:tab w:val="left" w:pos="850"/>
        </w:tabs>
        <w:ind w:left="2835" w:hanging="2835"/>
        <w:jc w:val="both"/>
        <w:rPr>
          <w:b/>
          <w:color w:val="000000"/>
        </w:rPr>
      </w:pPr>
      <w:r w:rsidRPr="002360D5">
        <w:rPr>
          <w:b/>
          <w:color w:val="000000"/>
        </w:rPr>
        <w:lastRenderedPageBreak/>
        <w:t>I.</w:t>
      </w:r>
      <w:r w:rsidRPr="002360D5">
        <w:rPr>
          <w:b/>
          <w:color w:val="000000"/>
        </w:rPr>
        <w:tab/>
        <w:t>MATERIALS AND METHODS</w:t>
      </w:r>
    </w:p>
    <w:p w14:paraId="41D9C7BE" w14:textId="77777777" w:rsidR="00E51CDD" w:rsidRPr="002360D5" w:rsidRDefault="00E51CDD" w:rsidP="00E51CDD">
      <w:pPr>
        <w:widowControl w:val="0"/>
        <w:jc w:val="both"/>
        <w:rPr>
          <w:color w:val="000000"/>
          <w:sz w:val="24"/>
        </w:rPr>
      </w:pPr>
    </w:p>
    <w:p w14:paraId="5AD0934C" w14:textId="77777777" w:rsidR="00E51CDD" w:rsidRPr="002360D5" w:rsidRDefault="00E51CDD" w:rsidP="00E51CDD">
      <w:pPr>
        <w:tabs>
          <w:tab w:val="left" w:pos="425"/>
          <w:tab w:val="left" w:pos="850"/>
        </w:tabs>
        <w:ind w:left="2835" w:hanging="2835"/>
        <w:jc w:val="both"/>
        <w:rPr>
          <w:b/>
          <w:bCs/>
          <w:color w:val="000000"/>
        </w:rPr>
      </w:pPr>
      <w:r w:rsidRPr="002360D5">
        <w:rPr>
          <w:b/>
          <w:bCs/>
          <w:color w:val="000000"/>
        </w:rPr>
        <w:t>A.</w:t>
      </w:r>
      <w:r w:rsidRPr="002360D5">
        <w:rPr>
          <w:b/>
          <w:bCs/>
          <w:color w:val="000000"/>
        </w:rPr>
        <w:tab/>
        <w:t>MATERIALS</w:t>
      </w:r>
    </w:p>
    <w:p w14:paraId="0EAFAB32" w14:textId="77777777" w:rsidR="00E51CDD" w:rsidRPr="002360D5" w:rsidRDefault="00E51CDD" w:rsidP="00E51CDD">
      <w:pPr>
        <w:keepNext/>
        <w:tabs>
          <w:tab w:val="left" w:pos="425"/>
          <w:tab w:val="left" w:pos="850"/>
        </w:tabs>
        <w:ind w:left="2835" w:hanging="2835"/>
        <w:jc w:val="both"/>
        <w:rPr>
          <w:b/>
          <w:color w:val="000000"/>
          <w:szCs w:val="24"/>
        </w:rPr>
      </w:pPr>
    </w:p>
    <w:p w14:paraId="044755D0" w14:textId="77777777" w:rsidR="00E51CDD" w:rsidRPr="002360D5" w:rsidRDefault="00E51CDD" w:rsidP="00E51CDD">
      <w:pPr>
        <w:keepNext/>
        <w:tabs>
          <w:tab w:val="left" w:pos="425"/>
          <w:tab w:val="left" w:pos="850"/>
        </w:tabs>
        <w:ind w:left="2268" w:hanging="2268"/>
        <w:jc w:val="both"/>
        <w:rPr>
          <w:color w:val="000000"/>
          <w:szCs w:val="24"/>
          <w:lang w:eastAsia="en-US"/>
        </w:rPr>
      </w:pPr>
      <w:r w:rsidRPr="002360D5">
        <w:rPr>
          <w:color w:val="000000"/>
          <w:szCs w:val="24"/>
          <w:lang w:eastAsia="en-US"/>
        </w:rPr>
        <w:t xml:space="preserve">Test item: </w:t>
      </w:r>
      <w:r w:rsidRPr="002360D5">
        <w:rPr>
          <w:color w:val="000000"/>
          <w:szCs w:val="24"/>
          <w:lang w:eastAsia="en-US"/>
        </w:rPr>
        <w:tab/>
        <w:t>BAS 736 00 F; batch no. FD-190220-0002; content of a.s.: azoxystrobin (BAS 9164 F, Reg. No. 300 254): 73.9 g/L analyzed (75.0 g/L nominal), fluxapyroxad (BAS</w:t>
      </w:r>
      <w:r w:rsidRPr="002360D5">
        <w:rPr>
          <w:lang w:eastAsia="en-US"/>
        </w:rPr>
        <w:t> </w:t>
      </w:r>
      <w:r w:rsidRPr="002360D5">
        <w:rPr>
          <w:color w:val="000000"/>
          <w:szCs w:val="24"/>
          <w:lang w:eastAsia="en-US"/>
        </w:rPr>
        <w:t>700 F, Reg. No.</w:t>
      </w:r>
      <w:r w:rsidRPr="002360D5">
        <w:rPr>
          <w:lang w:eastAsia="en-US"/>
        </w:rPr>
        <w:t> </w:t>
      </w:r>
      <w:r w:rsidRPr="002360D5">
        <w:rPr>
          <w:color w:val="000000"/>
          <w:szCs w:val="24"/>
          <w:lang w:eastAsia="en-US"/>
        </w:rPr>
        <w:t>5</w:t>
      </w:r>
      <w:r w:rsidRPr="002360D5">
        <w:rPr>
          <w:lang w:eastAsia="en-US"/>
        </w:rPr>
        <w:t> </w:t>
      </w:r>
      <w:r w:rsidRPr="002360D5">
        <w:rPr>
          <w:color w:val="000000"/>
          <w:szCs w:val="24"/>
          <w:lang w:eastAsia="en-US"/>
        </w:rPr>
        <w:t>094 351): 49.4 g/L analyzed (50.0 g/L nominal); density: 1.078 g/cm³.</w:t>
      </w:r>
    </w:p>
    <w:p w14:paraId="3FB3CC54" w14:textId="77777777" w:rsidR="00E51CDD" w:rsidRPr="002360D5" w:rsidRDefault="00E51CDD" w:rsidP="00E51CDD">
      <w:pPr>
        <w:widowControl w:val="0"/>
        <w:ind w:left="2268" w:hanging="2268"/>
        <w:jc w:val="both"/>
        <w:rPr>
          <w:color w:val="0070C0"/>
          <w:szCs w:val="24"/>
        </w:rPr>
      </w:pPr>
    </w:p>
    <w:p w14:paraId="6FB27C18" w14:textId="77777777" w:rsidR="00E51CDD" w:rsidRPr="002360D5" w:rsidRDefault="00E51CDD" w:rsidP="00E51CDD">
      <w:pPr>
        <w:tabs>
          <w:tab w:val="left" w:pos="425"/>
          <w:tab w:val="left" w:pos="850"/>
        </w:tabs>
        <w:ind w:left="2835" w:hanging="2835"/>
        <w:jc w:val="both"/>
        <w:rPr>
          <w:b/>
          <w:bCs/>
          <w:color w:val="000000"/>
        </w:rPr>
      </w:pPr>
      <w:r w:rsidRPr="002360D5">
        <w:rPr>
          <w:b/>
          <w:bCs/>
          <w:color w:val="000000"/>
        </w:rPr>
        <w:t>B.</w:t>
      </w:r>
      <w:r w:rsidRPr="002360D5">
        <w:rPr>
          <w:b/>
          <w:bCs/>
          <w:color w:val="000000"/>
        </w:rPr>
        <w:tab/>
        <w:t>STUDY DESIGN</w:t>
      </w:r>
    </w:p>
    <w:p w14:paraId="2D4F8CCC" w14:textId="77777777" w:rsidR="00E51CDD" w:rsidRPr="002360D5" w:rsidRDefault="00E51CDD" w:rsidP="00E51CDD">
      <w:pPr>
        <w:widowControl w:val="0"/>
        <w:ind w:left="2268" w:hanging="2268"/>
        <w:jc w:val="both"/>
        <w:rPr>
          <w:color w:val="000000"/>
        </w:rPr>
      </w:pPr>
    </w:p>
    <w:p w14:paraId="5FD92D1F" w14:textId="77777777" w:rsidR="00E51CDD" w:rsidRPr="002360D5" w:rsidRDefault="00E51CDD" w:rsidP="00E51CDD">
      <w:pPr>
        <w:widowControl w:val="0"/>
        <w:ind w:left="2268" w:hanging="2268"/>
        <w:jc w:val="both"/>
      </w:pPr>
      <w:r w:rsidRPr="002360D5">
        <w:rPr>
          <w:color w:val="000000"/>
          <w:szCs w:val="24"/>
        </w:rPr>
        <w:t xml:space="preserve">Test species: </w:t>
      </w:r>
      <w:r w:rsidRPr="002360D5">
        <w:rPr>
          <w:color w:val="000000"/>
          <w:szCs w:val="24"/>
        </w:rPr>
        <w:tab/>
        <w:t>Predatory mite (</w:t>
      </w:r>
      <w:r w:rsidRPr="002360D5">
        <w:rPr>
          <w:i/>
          <w:color w:val="000000"/>
          <w:szCs w:val="24"/>
        </w:rPr>
        <w:t xml:space="preserve">Typhlodromus pyri </w:t>
      </w:r>
      <w:r w:rsidRPr="002360D5">
        <w:rPr>
          <w:iCs/>
          <w:color w:val="000000"/>
          <w:szCs w:val="24"/>
        </w:rPr>
        <w:t>Scheuten</w:t>
      </w:r>
      <w:r w:rsidRPr="002360D5">
        <w:rPr>
          <w:color w:val="000000"/>
          <w:szCs w:val="24"/>
        </w:rPr>
        <w:t>), protonymphs, less than 24 hours old, source: source (in the stage of eggs):</w:t>
      </w:r>
      <w:r w:rsidRPr="002360D5">
        <w:t xml:space="preserve"> Katz Biotech AG, 15837 Baruth, Germany.</w:t>
      </w:r>
    </w:p>
    <w:p w14:paraId="29A4F540" w14:textId="77777777" w:rsidR="00E51CDD" w:rsidRPr="002360D5" w:rsidRDefault="00E51CDD" w:rsidP="00E51CDD">
      <w:pPr>
        <w:widowControl w:val="0"/>
        <w:ind w:left="2268" w:hanging="2268"/>
        <w:jc w:val="both"/>
        <w:rPr>
          <w:color w:val="0070C0"/>
          <w:szCs w:val="24"/>
        </w:rPr>
      </w:pPr>
    </w:p>
    <w:p w14:paraId="38615CCF" w14:textId="77777777" w:rsidR="00E51CDD" w:rsidRPr="002360D5" w:rsidRDefault="00E51CDD" w:rsidP="00E51CDD">
      <w:pPr>
        <w:widowControl w:val="0"/>
        <w:ind w:left="2268" w:hanging="2268"/>
        <w:jc w:val="both"/>
        <w:rPr>
          <w:iCs/>
          <w:color w:val="0070C0"/>
          <w:szCs w:val="24"/>
        </w:rPr>
      </w:pPr>
      <w:r w:rsidRPr="002360D5">
        <w:rPr>
          <w:color w:val="000000"/>
          <w:szCs w:val="24"/>
        </w:rPr>
        <w:t xml:space="preserve">Test design: </w:t>
      </w:r>
      <w:r w:rsidRPr="002360D5">
        <w:rPr>
          <w:color w:val="000000"/>
          <w:szCs w:val="24"/>
        </w:rPr>
        <w:tab/>
        <w:t>Exposure of protonymphs via air-dried residues on treated glass plates; 7 treatment groups (5 test item rates, 1 water treated control and 1 reference item) with 5 replicates (consisting of 20 protonymphs) per treatment; Assessments of mortality on day 3 and 7 after treatment.</w:t>
      </w:r>
    </w:p>
    <w:p w14:paraId="0A3252C2" w14:textId="77777777" w:rsidR="00E51CDD" w:rsidRPr="002360D5" w:rsidRDefault="00E51CDD" w:rsidP="00E51CDD">
      <w:pPr>
        <w:widowControl w:val="0"/>
        <w:ind w:left="2268" w:hanging="2268"/>
        <w:jc w:val="both"/>
        <w:rPr>
          <w:i/>
          <w:color w:val="0070C0"/>
          <w:szCs w:val="24"/>
        </w:rPr>
      </w:pPr>
    </w:p>
    <w:p w14:paraId="479DA2FC" w14:textId="77777777" w:rsidR="00E51CDD" w:rsidRPr="002360D5" w:rsidRDefault="00E51CDD" w:rsidP="00E51CDD">
      <w:pPr>
        <w:widowControl w:val="0"/>
        <w:ind w:left="2268" w:hanging="2268"/>
        <w:jc w:val="both"/>
        <w:rPr>
          <w:color w:val="000000"/>
          <w:szCs w:val="24"/>
        </w:rPr>
      </w:pPr>
      <w:r w:rsidRPr="002360D5">
        <w:rPr>
          <w:color w:val="000000"/>
          <w:szCs w:val="24"/>
        </w:rPr>
        <w:t xml:space="preserve">Endpoints: </w:t>
      </w:r>
      <w:r w:rsidRPr="002360D5">
        <w:rPr>
          <w:color w:val="000000"/>
          <w:szCs w:val="24"/>
        </w:rPr>
        <w:tab/>
        <w:t>Mortality after exposure over 7 days, including determination of the LR</w:t>
      </w:r>
      <w:r w:rsidRPr="002360D5">
        <w:rPr>
          <w:color w:val="000000"/>
          <w:szCs w:val="24"/>
          <w:vertAlign w:val="subscript"/>
        </w:rPr>
        <w:t>50</w:t>
      </w:r>
      <w:r w:rsidRPr="002360D5">
        <w:rPr>
          <w:color w:val="000000"/>
          <w:szCs w:val="24"/>
        </w:rPr>
        <w:t xml:space="preserve"> (Lethal Rate 50%, rate resulting in 50% mortality).</w:t>
      </w:r>
    </w:p>
    <w:p w14:paraId="05827478" w14:textId="77777777" w:rsidR="00E51CDD" w:rsidRPr="002360D5" w:rsidRDefault="00E51CDD" w:rsidP="00E51CDD">
      <w:pPr>
        <w:widowControl w:val="0"/>
        <w:ind w:left="2268" w:hanging="2268"/>
        <w:jc w:val="both"/>
        <w:rPr>
          <w:color w:val="0070C0"/>
          <w:szCs w:val="24"/>
        </w:rPr>
      </w:pPr>
    </w:p>
    <w:p w14:paraId="78BAC7AD" w14:textId="77777777" w:rsidR="00E51CDD" w:rsidRPr="002360D5" w:rsidRDefault="00E51CDD" w:rsidP="00E51CDD">
      <w:pPr>
        <w:widowControl w:val="0"/>
        <w:ind w:left="2268" w:hanging="2268"/>
        <w:jc w:val="both"/>
        <w:rPr>
          <w:color w:val="000000"/>
          <w:szCs w:val="24"/>
        </w:rPr>
      </w:pPr>
      <w:r w:rsidRPr="002360D5">
        <w:rPr>
          <w:color w:val="000000"/>
          <w:szCs w:val="24"/>
        </w:rPr>
        <w:t xml:space="preserve">Reference item: </w:t>
      </w:r>
      <w:r w:rsidRPr="002360D5">
        <w:rPr>
          <w:color w:val="000000"/>
          <w:szCs w:val="24"/>
        </w:rPr>
        <w:tab/>
        <w:t>Dimethoate EC 400 (a.s.: dimethoate, analyzed content: 429.0 g/L, nominal: 400 g/L).</w:t>
      </w:r>
    </w:p>
    <w:p w14:paraId="308B3EDF" w14:textId="77777777" w:rsidR="00E51CDD" w:rsidRPr="002360D5" w:rsidRDefault="00E51CDD" w:rsidP="00E51CDD">
      <w:pPr>
        <w:widowControl w:val="0"/>
        <w:ind w:left="2268" w:hanging="2268"/>
        <w:jc w:val="both"/>
        <w:rPr>
          <w:color w:val="0070C0"/>
          <w:szCs w:val="24"/>
        </w:rPr>
      </w:pPr>
    </w:p>
    <w:p w14:paraId="68F7B0C6" w14:textId="77777777" w:rsidR="00E51CDD" w:rsidRPr="002360D5" w:rsidRDefault="00E51CDD" w:rsidP="00E51CDD">
      <w:pPr>
        <w:widowControl w:val="0"/>
        <w:ind w:left="2268" w:hanging="2268"/>
        <w:jc w:val="both"/>
        <w:rPr>
          <w:color w:val="000000"/>
          <w:szCs w:val="24"/>
        </w:rPr>
      </w:pPr>
      <w:r w:rsidRPr="002360D5">
        <w:rPr>
          <w:color w:val="000000"/>
          <w:szCs w:val="24"/>
        </w:rPr>
        <w:t xml:space="preserve">Test rates: </w:t>
      </w:r>
      <w:r w:rsidRPr="002360D5">
        <w:rPr>
          <w:color w:val="000000"/>
          <w:szCs w:val="24"/>
        </w:rPr>
        <w:tab/>
        <w:t xml:space="preserve">Control: deionized water, test item: 0.25, 0.5, 1.0, 2.0 and 4.0 L BAS 736 00 F/ha, reference item: 15 mL/ha. </w:t>
      </w:r>
    </w:p>
    <w:tbl>
      <w:tblPr>
        <w:tblStyle w:val="DAR0073"/>
        <w:tblW w:w="3784" w:type="pct"/>
        <w:tblInd w:w="2263" w:type="dxa"/>
        <w:tblLook w:val="04A0" w:firstRow="1" w:lastRow="0" w:firstColumn="1" w:lastColumn="0" w:noHBand="0" w:noVBand="1"/>
      </w:tblPr>
      <w:tblGrid>
        <w:gridCol w:w="2933"/>
        <w:gridCol w:w="2071"/>
        <w:gridCol w:w="2068"/>
      </w:tblGrid>
      <w:tr w:rsidR="00E51CDD" w:rsidRPr="002360D5" w14:paraId="3429F513" w14:textId="77777777" w:rsidTr="009938D9">
        <w:trPr>
          <w:trHeight w:val="247"/>
        </w:trPr>
        <w:tc>
          <w:tcPr>
            <w:tcW w:w="2074" w:type="pct"/>
            <w:vAlign w:val="center"/>
          </w:tcPr>
          <w:p w14:paraId="01458BE0" w14:textId="77777777" w:rsidR="00E51CDD" w:rsidRPr="002360D5" w:rsidRDefault="00E51CDD" w:rsidP="009938D9">
            <w:pPr>
              <w:widowControl w:val="0"/>
              <w:rPr>
                <w:color w:val="000000"/>
                <w:sz w:val="20"/>
                <w:szCs w:val="24"/>
              </w:rPr>
            </w:pPr>
            <w:r w:rsidRPr="002360D5">
              <w:rPr>
                <w:color w:val="000000"/>
                <w:sz w:val="20"/>
                <w:szCs w:val="24"/>
              </w:rPr>
              <w:t>BAS 736 00 F</w:t>
            </w:r>
          </w:p>
          <w:p w14:paraId="6413D216" w14:textId="77777777" w:rsidR="00E51CDD" w:rsidRPr="002360D5" w:rsidRDefault="00E51CDD" w:rsidP="009938D9">
            <w:pPr>
              <w:widowControl w:val="0"/>
              <w:rPr>
                <w:color w:val="000000"/>
                <w:sz w:val="20"/>
                <w:szCs w:val="24"/>
              </w:rPr>
            </w:pPr>
            <w:r w:rsidRPr="002360D5">
              <w:rPr>
                <w:color w:val="000000"/>
                <w:sz w:val="20"/>
                <w:szCs w:val="24"/>
              </w:rPr>
              <w:t>[L product/ha]</w:t>
            </w:r>
          </w:p>
        </w:tc>
        <w:tc>
          <w:tcPr>
            <w:tcW w:w="1464" w:type="pct"/>
            <w:vAlign w:val="center"/>
          </w:tcPr>
          <w:p w14:paraId="676F7B4B" w14:textId="77777777" w:rsidR="00E51CDD" w:rsidRPr="002360D5" w:rsidRDefault="00E51CDD" w:rsidP="009938D9">
            <w:pPr>
              <w:widowControl w:val="0"/>
              <w:rPr>
                <w:color w:val="000000"/>
                <w:sz w:val="20"/>
                <w:szCs w:val="24"/>
              </w:rPr>
            </w:pPr>
            <w:r w:rsidRPr="002360D5">
              <w:rPr>
                <w:color w:val="000000"/>
                <w:sz w:val="20"/>
                <w:szCs w:val="24"/>
              </w:rPr>
              <w:t>BAS 9164 F</w:t>
            </w:r>
          </w:p>
          <w:p w14:paraId="3AD9E7BB" w14:textId="77777777" w:rsidR="00E51CDD" w:rsidRPr="002360D5" w:rsidRDefault="00E51CDD" w:rsidP="009938D9">
            <w:pPr>
              <w:widowControl w:val="0"/>
              <w:rPr>
                <w:color w:val="000000"/>
                <w:sz w:val="20"/>
                <w:szCs w:val="24"/>
                <w:vertAlign w:val="superscript"/>
              </w:rPr>
            </w:pPr>
            <w:r w:rsidRPr="002360D5">
              <w:rPr>
                <w:color w:val="000000"/>
                <w:sz w:val="20"/>
                <w:szCs w:val="24"/>
              </w:rPr>
              <w:t>[g a.s./ha]</w:t>
            </w:r>
            <w:r w:rsidRPr="002360D5">
              <w:rPr>
                <w:color w:val="000000"/>
                <w:sz w:val="20"/>
                <w:szCs w:val="24"/>
                <w:vertAlign w:val="superscript"/>
              </w:rPr>
              <w:t>*</w:t>
            </w:r>
          </w:p>
        </w:tc>
        <w:tc>
          <w:tcPr>
            <w:tcW w:w="1462" w:type="pct"/>
            <w:vAlign w:val="center"/>
          </w:tcPr>
          <w:p w14:paraId="549BB199" w14:textId="77777777" w:rsidR="00E51CDD" w:rsidRPr="002360D5" w:rsidRDefault="00E51CDD" w:rsidP="009938D9">
            <w:pPr>
              <w:widowControl w:val="0"/>
              <w:rPr>
                <w:color w:val="000000"/>
                <w:sz w:val="20"/>
                <w:szCs w:val="24"/>
              </w:rPr>
            </w:pPr>
            <w:r w:rsidRPr="002360D5">
              <w:rPr>
                <w:color w:val="000000"/>
                <w:sz w:val="20"/>
                <w:szCs w:val="24"/>
              </w:rPr>
              <w:t>BAS 700 F</w:t>
            </w:r>
          </w:p>
          <w:p w14:paraId="73F90B0D" w14:textId="77777777" w:rsidR="00E51CDD" w:rsidRPr="002360D5" w:rsidRDefault="00E51CDD" w:rsidP="009938D9">
            <w:pPr>
              <w:widowControl w:val="0"/>
              <w:rPr>
                <w:color w:val="000000"/>
                <w:sz w:val="20"/>
                <w:szCs w:val="24"/>
                <w:vertAlign w:val="superscript"/>
              </w:rPr>
            </w:pPr>
            <w:r w:rsidRPr="002360D5">
              <w:rPr>
                <w:color w:val="000000"/>
                <w:sz w:val="20"/>
                <w:szCs w:val="24"/>
              </w:rPr>
              <w:t>[g a.s./ha]</w:t>
            </w:r>
            <w:r w:rsidRPr="002360D5">
              <w:rPr>
                <w:color w:val="000000"/>
                <w:sz w:val="20"/>
                <w:szCs w:val="24"/>
                <w:vertAlign w:val="superscript"/>
              </w:rPr>
              <w:t>*</w:t>
            </w:r>
          </w:p>
        </w:tc>
      </w:tr>
      <w:tr w:rsidR="00E51CDD" w:rsidRPr="002360D5" w14:paraId="1CB8D1F7" w14:textId="77777777" w:rsidTr="009938D9">
        <w:trPr>
          <w:trHeight w:val="247"/>
        </w:trPr>
        <w:tc>
          <w:tcPr>
            <w:tcW w:w="2074" w:type="pct"/>
            <w:vAlign w:val="center"/>
          </w:tcPr>
          <w:p w14:paraId="48AB9D6A" w14:textId="77777777" w:rsidR="00E51CDD" w:rsidRPr="002360D5" w:rsidRDefault="00E51CDD" w:rsidP="009938D9">
            <w:pPr>
              <w:widowControl w:val="0"/>
              <w:rPr>
                <w:color w:val="000000"/>
                <w:sz w:val="20"/>
                <w:szCs w:val="24"/>
              </w:rPr>
            </w:pPr>
            <w:r w:rsidRPr="002360D5">
              <w:rPr>
                <w:color w:val="000000"/>
                <w:sz w:val="20"/>
                <w:szCs w:val="24"/>
              </w:rPr>
              <w:t>0.25</w:t>
            </w:r>
          </w:p>
        </w:tc>
        <w:tc>
          <w:tcPr>
            <w:tcW w:w="1464" w:type="pct"/>
            <w:vAlign w:val="center"/>
          </w:tcPr>
          <w:p w14:paraId="7AC2B83B" w14:textId="77777777" w:rsidR="00E51CDD" w:rsidRPr="002360D5" w:rsidRDefault="00E51CDD" w:rsidP="009938D9">
            <w:pPr>
              <w:widowControl w:val="0"/>
              <w:rPr>
                <w:color w:val="000000"/>
                <w:sz w:val="20"/>
                <w:szCs w:val="24"/>
              </w:rPr>
            </w:pPr>
            <w:r w:rsidRPr="002360D5">
              <w:rPr>
                <w:color w:val="000000"/>
                <w:sz w:val="20"/>
                <w:szCs w:val="24"/>
              </w:rPr>
              <w:t>18.75</w:t>
            </w:r>
          </w:p>
        </w:tc>
        <w:tc>
          <w:tcPr>
            <w:tcW w:w="1462" w:type="pct"/>
            <w:vAlign w:val="center"/>
          </w:tcPr>
          <w:p w14:paraId="1B22AFA3" w14:textId="77777777" w:rsidR="00E51CDD" w:rsidRPr="002360D5" w:rsidRDefault="00E51CDD" w:rsidP="009938D9">
            <w:pPr>
              <w:widowControl w:val="0"/>
              <w:rPr>
                <w:color w:val="000000"/>
                <w:sz w:val="20"/>
                <w:szCs w:val="24"/>
              </w:rPr>
            </w:pPr>
            <w:r w:rsidRPr="002360D5">
              <w:rPr>
                <w:color w:val="000000"/>
                <w:sz w:val="20"/>
                <w:szCs w:val="24"/>
              </w:rPr>
              <w:t>12.5</w:t>
            </w:r>
          </w:p>
        </w:tc>
      </w:tr>
      <w:tr w:rsidR="00E51CDD" w:rsidRPr="002360D5" w14:paraId="3FE1FA26" w14:textId="77777777" w:rsidTr="009938D9">
        <w:trPr>
          <w:trHeight w:val="247"/>
        </w:trPr>
        <w:tc>
          <w:tcPr>
            <w:tcW w:w="2074" w:type="pct"/>
            <w:vAlign w:val="center"/>
          </w:tcPr>
          <w:p w14:paraId="795BAAB9" w14:textId="77777777" w:rsidR="00E51CDD" w:rsidRPr="002360D5" w:rsidRDefault="00E51CDD" w:rsidP="009938D9">
            <w:pPr>
              <w:widowControl w:val="0"/>
              <w:rPr>
                <w:color w:val="000000"/>
                <w:sz w:val="20"/>
                <w:szCs w:val="24"/>
              </w:rPr>
            </w:pPr>
            <w:r w:rsidRPr="002360D5">
              <w:rPr>
                <w:color w:val="000000"/>
                <w:sz w:val="20"/>
                <w:szCs w:val="24"/>
              </w:rPr>
              <w:t>0.5</w:t>
            </w:r>
          </w:p>
        </w:tc>
        <w:tc>
          <w:tcPr>
            <w:tcW w:w="1464" w:type="pct"/>
            <w:vAlign w:val="center"/>
          </w:tcPr>
          <w:p w14:paraId="4CB16BAD" w14:textId="77777777" w:rsidR="00E51CDD" w:rsidRPr="002360D5" w:rsidRDefault="00E51CDD" w:rsidP="009938D9">
            <w:pPr>
              <w:widowControl w:val="0"/>
              <w:rPr>
                <w:color w:val="000000"/>
                <w:sz w:val="20"/>
                <w:szCs w:val="24"/>
              </w:rPr>
            </w:pPr>
            <w:r w:rsidRPr="002360D5">
              <w:rPr>
                <w:color w:val="000000"/>
                <w:sz w:val="20"/>
                <w:szCs w:val="24"/>
              </w:rPr>
              <w:t>37.5</w:t>
            </w:r>
          </w:p>
        </w:tc>
        <w:tc>
          <w:tcPr>
            <w:tcW w:w="1462" w:type="pct"/>
            <w:vAlign w:val="center"/>
          </w:tcPr>
          <w:p w14:paraId="4D7C980D" w14:textId="77777777" w:rsidR="00E51CDD" w:rsidRPr="002360D5" w:rsidRDefault="00E51CDD" w:rsidP="009938D9">
            <w:pPr>
              <w:widowControl w:val="0"/>
              <w:rPr>
                <w:color w:val="000000"/>
                <w:sz w:val="20"/>
                <w:szCs w:val="24"/>
              </w:rPr>
            </w:pPr>
            <w:r w:rsidRPr="002360D5">
              <w:rPr>
                <w:color w:val="000000"/>
                <w:sz w:val="20"/>
                <w:szCs w:val="24"/>
              </w:rPr>
              <w:t>25</w:t>
            </w:r>
          </w:p>
        </w:tc>
      </w:tr>
      <w:tr w:rsidR="00E51CDD" w:rsidRPr="002360D5" w14:paraId="785B07F8" w14:textId="77777777" w:rsidTr="009938D9">
        <w:trPr>
          <w:trHeight w:val="247"/>
        </w:trPr>
        <w:tc>
          <w:tcPr>
            <w:tcW w:w="2074" w:type="pct"/>
            <w:vAlign w:val="center"/>
          </w:tcPr>
          <w:p w14:paraId="5B464BF6" w14:textId="77777777" w:rsidR="00E51CDD" w:rsidRPr="002360D5" w:rsidRDefault="00E51CDD" w:rsidP="009938D9">
            <w:pPr>
              <w:widowControl w:val="0"/>
              <w:rPr>
                <w:color w:val="000000"/>
                <w:sz w:val="20"/>
                <w:szCs w:val="24"/>
              </w:rPr>
            </w:pPr>
            <w:r w:rsidRPr="002360D5">
              <w:rPr>
                <w:color w:val="000000"/>
                <w:sz w:val="20"/>
                <w:szCs w:val="24"/>
              </w:rPr>
              <w:t>1.0</w:t>
            </w:r>
          </w:p>
        </w:tc>
        <w:tc>
          <w:tcPr>
            <w:tcW w:w="1464" w:type="pct"/>
            <w:vAlign w:val="center"/>
          </w:tcPr>
          <w:p w14:paraId="32DCF323" w14:textId="77777777" w:rsidR="00E51CDD" w:rsidRPr="002360D5" w:rsidRDefault="00E51CDD" w:rsidP="009938D9">
            <w:pPr>
              <w:widowControl w:val="0"/>
              <w:rPr>
                <w:color w:val="000000"/>
                <w:sz w:val="20"/>
                <w:szCs w:val="24"/>
              </w:rPr>
            </w:pPr>
            <w:r w:rsidRPr="002360D5">
              <w:rPr>
                <w:color w:val="000000"/>
                <w:sz w:val="20"/>
                <w:szCs w:val="24"/>
              </w:rPr>
              <w:t>75</w:t>
            </w:r>
          </w:p>
        </w:tc>
        <w:tc>
          <w:tcPr>
            <w:tcW w:w="1462" w:type="pct"/>
            <w:vAlign w:val="center"/>
          </w:tcPr>
          <w:p w14:paraId="6168463A" w14:textId="77777777" w:rsidR="00E51CDD" w:rsidRPr="002360D5" w:rsidRDefault="00E51CDD" w:rsidP="009938D9">
            <w:pPr>
              <w:widowControl w:val="0"/>
              <w:rPr>
                <w:color w:val="000000"/>
                <w:sz w:val="20"/>
                <w:szCs w:val="24"/>
              </w:rPr>
            </w:pPr>
            <w:r w:rsidRPr="002360D5">
              <w:rPr>
                <w:color w:val="000000"/>
                <w:sz w:val="20"/>
                <w:szCs w:val="24"/>
              </w:rPr>
              <w:t>50</w:t>
            </w:r>
          </w:p>
        </w:tc>
      </w:tr>
      <w:tr w:rsidR="00E51CDD" w:rsidRPr="002360D5" w14:paraId="08EEC6FC" w14:textId="77777777" w:rsidTr="009938D9">
        <w:trPr>
          <w:trHeight w:val="247"/>
        </w:trPr>
        <w:tc>
          <w:tcPr>
            <w:tcW w:w="2074" w:type="pct"/>
            <w:vAlign w:val="center"/>
          </w:tcPr>
          <w:p w14:paraId="574D9A52" w14:textId="77777777" w:rsidR="00E51CDD" w:rsidRPr="002360D5" w:rsidRDefault="00E51CDD" w:rsidP="009938D9">
            <w:pPr>
              <w:widowControl w:val="0"/>
              <w:rPr>
                <w:color w:val="000000"/>
                <w:sz w:val="20"/>
                <w:szCs w:val="24"/>
              </w:rPr>
            </w:pPr>
            <w:r w:rsidRPr="002360D5">
              <w:rPr>
                <w:color w:val="000000"/>
                <w:sz w:val="20"/>
                <w:szCs w:val="24"/>
              </w:rPr>
              <w:t>2.0</w:t>
            </w:r>
          </w:p>
        </w:tc>
        <w:tc>
          <w:tcPr>
            <w:tcW w:w="1464" w:type="pct"/>
            <w:vAlign w:val="center"/>
          </w:tcPr>
          <w:p w14:paraId="572624EA" w14:textId="77777777" w:rsidR="00E51CDD" w:rsidRPr="002360D5" w:rsidRDefault="00E51CDD" w:rsidP="009938D9">
            <w:pPr>
              <w:widowControl w:val="0"/>
              <w:rPr>
                <w:color w:val="000000"/>
                <w:sz w:val="20"/>
                <w:szCs w:val="24"/>
              </w:rPr>
            </w:pPr>
            <w:r w:rsidRPr="002360D5">
              <w:rPr>
                <w:color w:val="000000"/>
                <w:sz w:val="20"/>
                <w:szCs w:val="24"/>
              </w:rPr>
              <w:t>150</w:t>
            </w:r>
          </w:p>
        </w:tc>
        <w:tc>
          <w:tcPr>
            <w:tcW w:w="1462" w:type="pct"/>
            <w:vAlign w:val="center"/>
          </w:tcPr>
          <w:p w14:paraId="6D62F8C6" w14:textId="77777777" w:rsidR="00E51CDD" w:rsidRPr="002360D5" w:rsidRDefault="00E51CDD" w:rsidP="009938D9">
            <w:pPr>
              <w:widowControl w:val="0"/>
              <w:rPr>
                <w:color w:val="000000"/>
                <w:sz w:val="20"/>
                <w:szCs w:val="24"/>
              </w:rPr>
            </w:pPr>
            <w:r w:rsidRPr="002360D5">
              <w:rPr>
                <w:color w:val="000000"/>
                <w:sz w:val="20"/>
                <w:szCs w:val="24"/>
              </w:rPr>
              <w:t>100</w:t>
            </w:r>
          </w:p>
        </w:tc>
      </w:tr>
      <w:tr w:rsidR="00E51CDD" w:rsidRPr="002360D5" w14:paraId="409864C1" w14:textId="77777777" w:rsidTr="009938D9">
        <w:trPr>
          <w:trHeight w:val="247"/>
        </w:trPr>
        <w:tc>
          <w:tcPr>
            <w:tcW w:w="2074" w:type="pct"/>
            <w:vAlign w:val="center"/>
          </w:tcPr>
          <w:p w14:paraId="4B54592F" w14:textId="77777777" w:rsidR="00E51CDD" w:rsidRPr="002360D5" w:rsidRDefault="00E51CDD" w:rsidP="009938D9">
            <w:pPr>
              <w:widowControl w:val="0"/>
              <w:rPr>
                <w:color w:val="000000"/>
                <w:sz w:val="20"/>
                <w:szCs w:val="24"/>
                <w:lang w:val="de-DE"/>
              </w:rPr>
            </w:pPr>
            <w:r w:rsidRPr="002360D5">
              <w:rPr>
                <w:color w:val="000000"/>
                <w:sz w:val="20"/>
                <w:szCs w:val="24"/>
                <w:lang w:val="de-DE"/>
              </w:rPr>
              <w:t>4.0</w:t>
            </w:r>
          </w:p>
        </w:tc>
        <w:tc>
          <w:tcPr>
            <w:tcW w:w="1464" w:type="pct"/>
            <w:vAlign w:val="center"/>
          </w:tcPr>
          <w:p w14:paraId="7DEE3D48" w14:textId="77777777" w:rsidR="00E51CDD" w:rsidRPr="002360D5" w:rsidRDefault="00E51CDD" w:rsidP="009938D9">
            <w:pPr>
              <w:widowControl w:val="0"/>
              <w:rPr>
                <w:color w:val="000000"/>
                <w:sz w:val="20"/>
                <w:szCs w:val="24"/>
                <w:lang w:val="de-DE"/>
              </w:rPr>
            </w:pPr>
            <w:r w:rsidRPr="002360D5">
              <w:rPr>
                <w:color w:val="000000"/>
                <w:sz w:val="20"/>
                <w:szCs w:val="24"/>
                <w:lang w:val="de-DE"/>
              </w:rPr>
              <w:t>300</w:t>
            </w:r>
          </w:p>
        </w:tc>
        <w:tc>
          <w:tcPr>
            <w:tcW w:w="1462" w:type="pct"/>
            <w:vAlign w:val="center"/>
          </w:tcPr>
          <w:p w14:paraId="37B1F1DC" w14:textId="77777777" w:rsidR="00E51CDD" w:rsidRPr="002360D5" w:rsidRDefault="00E51CDD" w:rsidP="009938D9">
            <w:pPr>
              <w:widowControl w:val="0"/>
              <w:rPr>
                <w:color w:val="000000"/>
                <w:sz w:val="20"/>
                <w:szCs w:val="24"/>
                <w:lang w:val="de-DE"/>
              </w:rPr>
            </w:pPr>
            <w:r w:rsidRPr="002360D5">
              <w:rPr>
                <w:color w:val="000000"/>
                <w:sz w:val="20"/>
                <w:szCs w:val="24"/>
                <w:lang w:val="de-DE"/>
              </w:rPr>
              <w:t>200</w:t>
            </w:r>
          </w:p>
        </w:tc>
      </w:tr>
    </w:tbl>
    <w:p w14:paraId="315E262B" w14:textId="77777777" w:rsidR="00E51CDD" w:rsidRPr="002360D5" w:rsidRDefault="00E51CDD" w:rsidP="00E51CDD">
      <w:pPr>
        <w:widowControl w:val="0"/>
        <w:ind w:left="2520" w:hanging="180"/>
        <w:jc w:val="both"/>
        <w:rPr>
          <w:sz w:val="18"/>
          <w:szCs w:val="18"/>
          <w:lang w:eastAsia="en-US"/>
        </w:rPr>
      </w:pPr>
      <w:r w:rsidRPr="002360D5">
        <w:rPr>
          <w:sz w:val="18"/>
          <w:szCs w:val="18"/>
          <w:vertAlign w:val="superscript"/>
          <w:lang w:eastAsia="en-US"/>
        </w:rPr>
        <w:t>*</w:t>
      </w:r>
      <w:r w:rsidRPr="002360D5">
        <w:rPr>
          <w:sz w:val="18"/>
          <w:szCs w:val="18"/>
          <w:lang w:eastAsia="en-US"/>
        </w:rPr>
        <w:t xml:space="preserve"> based on nominal content of active substance and a test item density of 1.078 g/cm</w:t>
      </w:r>
      <w:r w:rsidRPr="002360D5">
        <w:rPr>
          <w:sz w:val="18"/>
          <w:szCs w:val="18"/>
          <w:vertAlign w:val="superscript"/>
          <w:lang w:eastAsia="en-US"/>
        </w:rPr>
        <w:t>3</w:t>
      </w:r>
      <w:r w:rsidRPr="002360D5">
        <w:rPr>
          <w:sz w:val="18"/>
          <w:szCs w:val="18"/>
          <w:lang w:eastAsia="en-US"/>
        </w:rPr>
        <w:t>.</w:t>
      </w:r>
    </w:p>
    <w:p w14:paraId="03EB023D" w14:textId="77777777" w:rsidR="00E51CDD" w:rsidRPr="002360D5" w:rsidRDefault="00E51CDD" w:rsidP="00E51CDD">
      <w:pPr>
        <w:widowControl w:val="0"/>
        <w:ind w:left="2268"/>
        <w:jc w:val="both"/>
        <w:rPr>
          <w:color w:val="000000"/>
          <w:szCs w:val="24"/>
        </w:rPr>
      </w:pPr>
    </w:p>
    <w:p w14:paraId="69C17DA1" w14:textId="77777777" w:rsidR="00E51CDD" w:rsidRPr="002360D5" w:rsidRDefault="00E51CDD" w:rsidP="00E51CDD">
      <w:pPr>
        <w:widowControl w:val="0"/>
        <w:ind w:left="2268"/>
        <w:jc w:val="both"/>
        <w:rPr>
          <w:color w:val="000000"/>
          <w:szCs w:val="24"/>
        </w:rPr>
      </w:pPr>
      <w:r w:rsidRPr="002360D5">
        <w:rPr>
          <w:color w:val="000000"/>
          <w:szCs w:val="24"/>
        </w:rPr>
        <w:t>All substances were applied in 200 L water/ha and sprayed onto glass plates via a laboratory spraying equipment and air dried afterwards.</w:t>
      </w:r>
    </w:p>
    <w:p w14:paraId="3EFD6E6B" w14:textId="77777777" w:rsidR="00E51CDD" w:rsidRPr="002360D5" w:rsidRDefault="00E51CDD" w:rsidP="00E51CDD">
      <w:pPr>
        <w:widowControl w:val="0"/>
        <w:ind w:left="2268" w:hanging="2268"/>
        <w:jc w:val="both"/>
        <w:rPr>
          <w:color w:val="0070C0"/>
          <w:szCs w:val="24"/>
        </w:rPr>
      </w:pPr>
    </w:p>
    <w:p w14:paraId="1B81CC0D" w14:textId="77777777" w:rsidR="00E51CDD" w:rsidRPr="002360D5" w:rsidRDefault="00E51CDD" w:rsidP="00E51CDD">
      <w:pPr>
        <w:widowControl w:val="0"/>
        <w:ind w:left="2268" w:hanging="2268"/>
        <w:jc w:val="both"/>
        <w:rPr>
          <w:color w:val="000000"/>
          <w:szCs w:val="24"/>
        </w:rPr>
      </w:pPr>
      <w:r w:rsidRPr="002360D5">
        <w:rPr>
          <w:color w:val="000000"/>
          <w:szCs w:val="24"/>
        </w:rPr>
        <w:t xml:space="preserve">Test conditions: </w:t>
      </w:r>
      <w:r w:rsidRPr="002360D5">
        <w:rPr>
          <w:color w:val="000000"/>
          <w:szCs w:val="24"/>
        </w:rPr>
        <w:tab/>
        <w:t xml:space="preserve">Temperature: 23 °C – 27 °C, relative humidity: 67% - 73%; photoperiod: 16 h light : 8 h dark; light intensity: 2070 lux; food: </w:t>
      </w:r>
      <w:r w:rsidRPr="002360D5">
        <w:rPr>
          <w:color w:val="000000"/>
        </w:rPr>
        <w:t>pollen: pine (</w:t>
      </w:r>
      <w:r w:rsidRPr="002360D5">
        <w:rPr>
          <w:i/>
          <w:iCs/>
          <w:color w:val="000000"/>
        </w:rPr>
        <w:t>Pinus nigra</w:t>
      </w:r>
      <w:r w:rsidRPr="002360D5">
        <w:rPr>
          <w:color w:val="000000"/>
        </w:rPr>
        <w:t>) and birch (</w:t>
      </w:r>
      <w:r w:rsidRPr="002360D5">
        <w:rPr>
          <w:i/>
          <w:iCs/>
          <w:color w:val="000000"/>
        </w:rPr>
        <w:t>Betula pendula</w:t>
      </w:r>
      <w:r w:rsidRPr="002360D5">
        <w:rPr>
          <w:color w:val="000000"/>
        </w:rPr>
        <w:t>), 1:1</w:t>
      </w:r>
      <w:r w:rsidRPr="002360D5">
        <w:rPr>
          <w:color w:val="000000"/>
          <w:szCs w:val="24"/>
        </w:rPr>
        <w:t>.</w:t>
      </w:r>
    </w:p>
    <w:p w14:paraId="5D7DC5A5" w14:textId="77777777" w:rsidR="00E51CDD" w:rsidRPr="002360D5" w:rsidRDefault="00E51CDD" w:rsidP="00E51CDD">
      <w:pPr>
        <w:widowControl w:val="0"/>
        <w:ind w:left="2268" w:hanging="2268"/>
        <w:jc w:val="both"/>
        <w:rPr>
          <w:color w:val="000000"/>
          <w:szCs w:val="24"/>
        </w:rPr>
      </w:pPr>
    </w:p>
    <w:p w14:paraId="3D142A40" w14:textId="77777777" w:rsidR="00E51CDD" w:rsidRPr="002360D5" w:rsidRDefault="00E51CDD" w:rsidP="00E51CDD">
      <w:pPr>
        <w:widowControl w:val="0"/>
        <w:ind w:left="2268" w:hanging="2268"/>
        <w:jc w:val="both"/>
        <w:rPr>
          <w:color w:val="000000"/>
          <w:lang w:eastAsia="en-US"/>
        </w:rPr>
      </w:pPr>
      <w:r w:rsidRPr="002360D5">
        <w:rPr>
          <w:color w:val="000000"/>
          <w:szCs w:val="24"/>
        </w:rPr>
        <w:t>Analytics:</w:t>
      </w:r>
      <w:r w:rsidRPr="002360D5">
        <w:rPr>
          <w:color w:val="000000"/>
          <w:szCs w:val="24"/>
        </w:rPr>
        <w:tab/>
      </w:r>
      <w:r w:rsidRPr="002360D5">
        <w:rPr>
          <w:color w:val="000000"/>
          <w:lang w:eastAsia="en-US"/>
        </w:rPr>
        <w:t>No analytical verification of the test item is required according to the current test guideline. Hence, no analytical verification was conducted.</w:t>
      </w:r>
    </w:p>
    <w:p w14:paraId="49A5B4E3" w14:textId="77777777" w:rsidR="00E51CDD" w:rsidRPr="002360D5" w:rsidRDefault="00E51CDD" w:rsidP="00E51CDD">
      <w:pPr>
        <w:widowControl w:val="0"/>
        <w:ind w:left="2268" w:hanging="2268"/>
        <w:jc w:val="both"/>
        <w:rPr>
          <w:color w:val="0070C0"/>
          <w:szCs w:val="24"/>
        </w:rPr>
      </w:pPr>
    </w:p>
    <w:p w14:paraId="751947EC" w14:textId="77777777" w:rsidR="00E51CDD" w:rsidRPr="002360D5" w:rsidRDefault="00E51CDD" w:rsidP="00E51CDD">
      <w:pPr>
        <w:widowControl w:val="0"/>
        <w:autoSpaceDE w:val="0"/>
        <w:autoSpaceDN w:val="0"/>
        <w:adjustRightInd w:val="0"/>
        <w:ind w:left="2268" w:hanging="2268"/>
        <w:jc w:val="both"/>
        <w:rPr>
          <w:color w:val="0070C0"/>
          <w:szCs w:val="24"/>
        </w:rPr>
      </w:pPr>
      <w:r w:rsidRPr="002360D5">
        <w:rPr>
          <w:color w:val="000000"/>
          <w:szCs w:val="24"/>
        </w:rPr>
        <w:t>Statistics:</w:t>
      </w:r>
      <w:r w:rsidRPr="002360D5">
        <w:rPr>
          <w:color w:val="000000"/>
          <w:szCs w:val="24"/>
        </w:rPr>
        <w:tab/>
        <w:t xml:space="preserve">Descriptive statistics, </w:t>
      </w:r>
      <w:r w:rsidRPr="002360D5">
        <w:t>Chi</w:t>
      </w:r>
      <w:r w:rsidRPr="002360D5">
        <w:rPr>
          <w:vertAlign w:val="superscript"/>
        </w:rPr>
        <w:t>2</w:t>
      </w:r>
      <w:r w:rsidRPr="002360D5">
        <w:t xml:space="preserve"> 2x2 Table Test with Bonferroni Correction (α = 0.05) for mortality, Weibull analysis for LR</w:t>
      </w:r>
      <w:r w:rsidRPr="002360D5">
        <w:rPr>
          <w:vertAlign w:val="subscript"/>
        </w:rPr>
        <w:t>50</w:t>
      </w:r>
      <w:r w:rsidRPr="002360D5">
        <w:t xml:space="preserve"> calculation</w:t>
      </w:r>
      <w:r w:rsidRPr="002360D5">
        <w:rPr>
          <w:color w:val="0070C0"/>
          <w:szCs w:val="24"/>
        </w:rPr>
        <w:t>.</w:t>
      </w:r>
    </w:p>
    <w:p w14:paraId="65E9124E" w14:textId="77777777" w:rsidR="00E51CDD" w:rsidRPr="002360D5" w:rsidRDefault="00E51CDD" w:rsidP="00E51CDD">
      <w:pPr>
        <w:widowControl w:val="0"/>
        <w:autoSpaceDE w:val="0"/>
        <w:autoSpaceDN w:val="0"/>
        <w:adjustRightInd w:val="0"/>
        <w:ind w:left="2268" w:hanging="2268"/>
        <w:jc w:val="both"/>
        <w:rPr>
          <w:color w:val="0070C0"/>
          <w:szCs w:val="24"/>
        </w:rPr>
      </w:pPr>
    </w:p>
    <w:p w14:paraId="397037FE" w14:textId="77777777" w:rsidR="00E51CDD" w:rsidRPr="002360D5" w:rsidRDefault="00E51CDD" w:rsidP="00E51CDD">
      <w:pPr>
        <w:widowControl w:val="0"/>
        <w:autoSpaceDE w:val="0"/>
        <w:autoSpaceDN w:val="0"/>
        <w:adjustRightInd w:val="0"/>
        <w:ind w:left="2268" w:hanging="2268"/>
        <w:jc w:val="both"/>
        <w:rPr>
          <w:color w:val="0070C0"/>
          <w:szCs w:val="24"/>
        </w:rPr>
      </w:pPr>
      <w:r>
        <w:rPr>
          <w:color w:val="0070C0"/>
          <w:szCs w:val="24"/>
        </w:rPr>
        <w:br w:type="page"/>
      </w:r>
    </w:p>
    <w:p w14:paraId="2120D634" w14:textId="77777777" w:rsidR="00E51CDD" w:rsidRPr="002360D5" w:rsidRDefault="00E51CDD" w:rsidP="00E51CDD">
      <w:pPr>
        <w:widowControl w:val="0"/>
        <w:tabs>
          <w:tab w:val="left" w:pos="425"/>
          <w:tab w:val="left" w:pos="850"/>
        </w:tabs>
        <w:ind w:left="2835" w:hanging="2835"/>
        <w:jc w:val="both"/>
        <w:rPr>
          <w:b/>
          <w:color w:val="000000"/>
        </w:rPr>
      </w:pPr>
      <w:r w:rsidRPr="002360D5">
        <w:rPr>
          <w:b/>
          <w:color w:val="000000"/>
        </w:rPr>
        <w:lastRenderedPageBreak/>
        <w:t>II.</w:t>
      </w:r>
      <w:r w:rsidRPr="002360D5">
        <w:rPr>
          <w:b/>
          <w:color w:val="000000"/>
        </w:rPr>
        <w:tab/>
        <w:t>RESULTS AND DISCUSSION</w:t>
      </w:r>
    </w:p>
    <w:p w14:paraId="03C654F2" w14:textId="77777777" w:rsidR="00E51CDD" w:rsidRPr="002360D5" w:rsidRDefault="00E51CDD" w:rsidP="00E51CDD">
      <w:pPr>
        <w:widowControl w:val="0"/>
        <w:jc w:val="both"/>
        <w:rPr>
          <w:color w:val="000000"/>
          <w:sz w:val="24"/>
        </w:rPr>
      </w:pPr>
    </w:p>
    <w:p w14:paraId="6AB58966" w14:textId="23E48F23" w:rsidR="00E51CDD" w:rsidRPr="00D61C03" w:rsidRDefault="00E51CDD" w:rsidP="00E51CDD">
      <w:pPr>
        <w:widowControl w:val="0"/>
        <w:jc w:val="both"/>
        <w:rPr>
          <w:color w:val="000000"/>
          <w:szCs w:val="24"/>
        </w:rPr>
      </w:pPr>
      <w:r w:rsidRPr="002360D5">
        <w:rPr>
          <w:color w:val="000000"/>
          <w:szCs w:val="24"/>
        </w:rPr>
        <w:t xml:space="preserve">After 7 days, in the water-treated control a mortality of 2.0% was observed. In the test item treatments mortality ranged between 1.0% and 100.0%. This resulted in corrected mortality rates between -1.0% and 100%. </w:t>
      </w:r>
      <w:r w:rsidRPr="002360D5">
        <w:rPr>
          <w:szCs w:val="24"/>
        </w:rPr>
        <w:t xml:space="preserve">Statistically significant differences in mortality compared to the control were observed at </w:t>
      </w:r>
      <w:r w:rsidRPr="002360D5">
        <w:rPr>
          <w:color w:val="000000"/>
          <w:szCs w:val="24"/>
        </w:rPr>
        <w:t>2.0 and 4.0 L</w:t>
      </w:r>
      <w:r w:rsidRPr="002360D5">
        <w:rPr>
          <w:color w:val="000000"/>
          <w:szCs w:val="24"/>
          <w:lang w:eastAsia="en-US"/>
        </w:rPr>
        <w:t xml:space="preserve"> BAS 736 00 F</w:t>
      </w:r>
      <w:r w:rsidRPr="002360D5">
        <w:rPr>
          <w:color w:val="000000"/>
          <w:szCs w:val="24"/>
        </w:rPr>
        <w:t>/ha (Chi</w:t>
      </w:r>
      <w:r w:rsidRPr="002360D5">
        <w:rPr>
          <w:color w:val="000000"/>
          <w:szCs w:val="24"/>
          <w:vertAlign w:val="superscript"/>
        </w:rPr>
        <w:t>2</w:t>
      </w:r>
      <w:r w:rsidRPr="002360D5">
        <w:rPr>
          <w:color w:val="000000"/>
          <w:szCs w:val="24"/>
        </w:rPr>
        <w:t xml:space="preserve"> 2x2 Table Test with Bonferroni Correction, α = 0.05). The results are summarized </w:t>
      </w:r>
      <w:r w:rsidRPr="00D61C03">
        <w:rPr>
          <w:color w:val="000000"/>
          <w:szCs w:val="24"/>
        </w:rPr>
        <w:t xml:space="preserve">below in </w:t>
      </w:r>
      <w:r>
        <w:rPr>
          <w:color w:val="000000"/>
          <w:szCs w:val="24"/>
        </w:rPr>
        <w:fldChar w:fldCharType="begin"/>
      </w:r>
      <w:r>
        <w:rPr>
          <w:color w:val="000000"/>
          <w:szCs w:val="24"/>
        </w:rPr>
        <w:instrText xml:space="preserve"> REF _Ref85437222 \h </w:instrText>
      </w:r>
      <w:r>
        <w:rPr>
          <w:color w:val="000000"/>
          <w:szCs w:val="24"/>
        </w:rPr>
      </w:r>
      <w:r>
        <w:rPr>
          <w:color w:val="000000"/>
          <w:szCs w:val="24"/>
        </w:rPr>
        <w:fldChar w:fldCharType="separate"/>
      </w:r>
      <w:r w:rsidR="00662F32" w:rsidRPr="00D61C03">
        <w:t xml:space="preserve">Table A </w:t>
      </w:r>
      <w:r w:rsidR="00662F32">
        <w:rPr>
          <w:noProof/>
        </w:rPr>
        <w:t>26</w:t>
      </w:r>
      <w:r>
        <w:rPr>
          <w:color w:val="000000"/>
          <w:szCs w:val="24"/>
        </w:rPr>
        <w:fldChar w:fldCharType="end"/>
      </w:r>
      <w:r>
        <w:rPr>
          <w:color w:val="000000"/>
          <w:szCs w:val="24"/>
        </w:rPr>
        <w:t>.</w:t>
      </w:r>
    </w:p>
    <w:p w14:paraId="516504D1" w14:textId="77777777" w:rsidR="00E51CDD" w:rsidRPr="00D61C03" w:rsidRDefault="00E51CDD" w:rsidP="00E51CDD">
      <w:pPr>
        <w:widowControl w:val="0"/>
        <w:jc w:val="both"/>
        <w:rPr>
          <w:color w:val="000000"/>
          <w:szCs w:val="24"/>
        </w:rPr>
      </w:pPr>
    </w:p>
    <w:p w14:paraId="39029090" w14:textId="54428911" w:rsidR="00B74DCE" w:rsidRDefault="00E51CDD" w:rsidP="00E51CDD">
      <w:pPr>
        <w:pStyle w:val="Legenda"/>
        <w:rPr>
          <w:color w:val="000000"/>
          <w:sz w:val="22"/>
          <w:szCs w:val="22"/>
        </w:rPr>
      </w:pPr>
      <w:bookmarkStart w:id="1222" w:name="_Ref85437222"/>
      <w:r w:rsidRPr="00D61C03">
        <w:rPr>
          <w:sz w:val="22"/>
          <w:szCs w:val="22"/>
        </w:rPr>
        <w:t xml:space="preserve">Table A </w:t>
      </w:r>
      <w:r w:rsidRPr="00D61C03">
        <w:rPr>
          <w:sz w:val="22"/>
          <w:szCs w:val="22"/>
        </w:rPr>
        <w:fldChar w:fldCharType="begin"/>
      </w:r>
      <w:r w:rsidRPr="00D61C03">
        <w:rPr>
          <w:sz w:val="22"/>
          <w:szCs w:val="22"/>
        </w:rPr>
        <w:instrText xml:space="preserve"> SEQ Table_A \* ARABIC </w:instrText>
      </w:r>
      <w:r w:rsidRPr="00D61C03">
        <w:rPr>
          <w:sz w:val="22"/>
          <w:szCs w:val="22"/>
        </w:rPr>
        <w:fldChar w:fldCharType="separate"/>
      </w:r>
      <w:r w:rsidR="00662F32">
        <w:rPr>
          <w:noProof/>
          <w:sz w:val="22"/>
          <w:szCs w:val="22"/>
        </w:rPr>
        <w:t>26</w:t>
      </w:r>
      <w:r w:rsidRPr="00D61C03">
        <w:rPr>
          <w:sz w:val="22"/>
          <w:szCs w:val="22"/>
        </w:rPr>
        <w:fldChar w:fldCharType="end"/>
      </w:r>
      <w:bookmarkEnd w:id="1222"/>
      <w:r w:rsidRPr="00D61C03">
        <w:rPr>
          <w:color w:val="000000"/>
          <w:sz w:val="22"/>
          <w:szCs w:val="22"/>
        </w:rPr>
        <w:t>:</w:t>
      </w:r>
      <w:r w:rsidRPr="00D61C03">
        <w:rPr>
          <w:color w:val="000000"/>
          <w:sz w:val="22"/>
          <w:szCs w:val="22"/>
        </w:rPr>
        <w:tab/>
        <w:t>Effects on predatory mites (</w:t>
      </w:r>
      <w:r w:rsidRPr="00D61C03">
        <w:rPr>
          <w:i/>
          <w:color w:val="000000"/>
          <w:sz w:val="22"/>
          <w:szCs w:val="22"/>
        </w:rPr>
        <w:t>Typhlodromus pyri</w:t>
      </w:r>
      <w:r w:rsidRPr="00D61C03">
        <w:rPr>
          <w:color w:val="000000"/>
          <w:sz w:val="22"/>
          <w:szCs w:val="22"/>
        </w:rPr>
        <w:t>) exposed to BAS 736 00 F in a</w:t>
      </w:r>
    </w:p>
    <w:p w14:paraId="2B769BF2" w14:textId="4641371B" w:rsidR="00E51CDD" w:rsidRPr="00D61C03" w:rsidRDefault="00E51CDD" w:rsidP="00B74DCE">
      <w:pPr>
        <w:pStyle w:val="Legenda"/>
        <w:ind w:left="708" w:firstLine="708"/>
        <w:rPr>
          <w:color w:val="000000"/>
          <w:sz w:val="22"/>
          <w:szCs w:val="22"/>
        </w:rPr>
      </w:pPr>
      <w:r w:rsidRPr="00D61C03">
        <w:rPr>
          <w:color w:val="000000"/>
          <w:sz w:val="22"/>
          <w:szCs w:val="22"/>
        </w:rPr>
        <w:t>laboratory trial</w:t>
      </w:r>
    </w:p>
    <w:tbl>
      <w:tblPr>
        <w:tblW w:w="500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8"/>
        <w:gridCol w:w="2514"/>
        <w:gridCol w:w="2340"/>
        <w:gridCol w:w="2702"/>
      </w:tblGrid>
      <w:tr w:rsidR="00E51CDD" w:rsidRPr="002360D5" w14:paraId="2881A86F" w14:textId="77777777" w:rsidTr="009938D9">
        <w:trPr>
          <w:cantSplit/>
        </w:trPr>
        <w:tc>
          <w:tcPr>
            <w:tcW w:w="957" w:type="pct"/>
            <w:tcMar>
              <w:top w:w="0" w:type="dxa"/>
              <w:left w:w="28" w:type="dxa"/>
              <w:bottom w:w="0" w:type="dxa"/>
              <w:right w:w="28" w:type="dxa"/>
            </w:tcMar>
            <w:vAlign w:val="center"/>
          </w:tcPr>
          <w:p w14:paraId="00495A7A" w14:textId="77777777" w:rsidR="00E51CDD" w:rsidRPr="002360D5" w:rsidRDefault="00E51CDD" w:rsidP="009938D9">
            <w:pPr>
              <w:keepNext/>
              <w:spacing w:before="40" w:after="40"/>
              <w:jc w:val="center"/>
              <w:rPr>
                <w:b/>
                <w:color w:val="000000"/>
                <w:sz w:val="20"/>
              </w:rPr>
            </w:pPr>
            <w:r w:rsidRPr="002360D5">
              <w:rPr>
                <w:b/>
                <w:color w:val="000000"/>
                <w:sz w:val="20"/>
              </w:rPr>
              <w:t>Test item</w:t>
            </w:r>
          </w:p>
        </w:tc>
        <w:tc>
          <w:tcPr>
            <w:tcW w:w="1345" w:type="pct"/>
            <w:tcMar>
              <w:top w:w="0" w:type="dxa"/>
              <w:left w:w="28" w:type="dxa"/>
              <w:bottom w:w="0" w:type="dxa"/>
              <w:right w:w="28" w:type="dxa"/>
            </w:tcMar>
            <w:vAlign w:val="center"/>
          </w:tcPr>
          <w:p w14:paraId="19209958" w14:textId="77777777" w:rsidR="00E51CDD" w:rsidRPr="002360D5" w:rsidRDefault="00E51CDD" w:rsidP="009938D9">
            <w:pPr>
              <w:keepNext/>
              <w:spacing w:before="40" w:after="40"/>
              <w:jc w:val="center"/>
              <w:rPr>
                <w:b/>
                <w:color w:val="000000"/>
                <w:sz w:val="20"/>
                <w:vertAlign w:val="superscript"/>
              </w:rPr>
            </w:pPr>
            <w:r w:rsidRPr="002360D5">
              <w:rPr>
                <w:b/>
                <w:color w:val="000000"/>
                <w:sz w:val="20"/>
              </w:rPr>
              <w:t>Rate</w:t>
            </w:r>
            <w:r w:rsidRPr="002360D5">
              <w:rPr>
                <w:b/>
                <w:color w:val="000000"/>
                <w:sz w:val="20"/>
                <w:vertAlign w:val="superscript"/>
              </w:rPr>
              <w:t>1)</w:t>
            </w:r>
            <w:r w:rsidRPr="002360D5">
              <w:rPr>
                <w:b/>
                <w:color w:val="000000"/>
                <w:sz w:val="20"/>
              </w:rPr>
              <w:t xml:space="preserve"> </w:t>
            </w:r>
            <w:r w:rsidRPr="002360D5">
              <w:rPr>
                <w:b/>
                <w:color w:val="000000"/>
                <w:sz w:val="20"/>
              </w:rPr>
              <w:br/>
              <w:t>[L/ha]</w:t>
            </w:r>
          </w:p>
        </w:tc>
        <w:tc>
          <w:tcPr>
            <w:tcW w:w="1252" w:type="pct"/>
            <w:tcMar>
              <w:top w:w="0" w:type="dxa"/>
              <w:left w:w="28" w:type="dxa"/>
              <w:bottom w:w="0" w:type="dxa"/>
              <w:right w:w="28" w:type="dxa"/>
            </w:tcMar>
            <w:vAlign w:val="center"/>
          </w:tcPr>
          <w:p w14:paraId="12A78017" w14:textId="77777777" w:rsidR="00E51CDD" w:rsidRPr="002360D5" w:rsidRDefault="00E51CDD" w:rsidP="009938D9">
            <w:pPr>
              <w:keepNext/>
              <w:spacing w:before="40" w:after="40"/>
              <w:jc w:val="center"/>
              <w:rPr>
                <w:rFonts w:eastAsia="PMingLiU"/>
                <w:b/>
                <w:color w:val="000000"/>
                <w:sz w:val="20"/>
                <w:lang w:eastAsia="en-US"/>
              </w:rPr>
            </w:pPr>
            <w:r w:rsidRPr="002360D5">
              <w:rPr>
                <w:rFonts w:eastAsia="PMingLiU"/>
                <w:b/>
                <w:color w:val="000000"/>
                <w:sz w:val="20"/>
                <w:lang w:eastAsia="en-US"/>
              </w:rPr>
              <w:t>Mortality</w:t>
            </w:r>
            <w:r w:rsidRPr="002360D5">
              <w:rPr>
                <w:rFonts w:eastAsia="PMingLiU"/>
                <w:b/>
                <w:color w:val="000000"/>
                <w:sz w:val="20"/>
                <w:vertAlign w:val="superscript"/>
                <w:lang w:eastAsia="en-US"/>
              </w:rPr>
              <w:t>2)</w:t>
            </w:r>
            <w:r w:rsidRPr="002360D5">
              <w:rPr>
                <w:rFonts w:eastAsia="PMingLiU"/>
                <w:b/>
                <w:color w:val="000000"/>
                <w:sz w:val="20"/>
                <w:vertAlign w:val="superscript"/>
                <w:lang w:eastAsia="en-US"/>
              </w:rPr>
              <w:br/>
            </w:r>
            <w:r w:rsidRPr="002360D5">
              <w:rPr>
                <w:rFonts w:eastAsia="PMingLiU"/>
                <w:b/>
                <w:color w:val="000000"/>
                <w:sz w:val="20"/>
                <w:lang w:eastAsia="en-US"/>
              </w:rPr>
              <w:t>[%]</w:t>
            </w:r>
          </w:p>
        </w:tc>
        <w:tc>
          <w:tcPr>
            <w:tcW w:w="1446" w:type="pct"/>
            <w:tcMar>
              <w:top w:w="0" w:type="dxa"/>
              <w:left w:w="28" w:type="dxa"/>
              <w:bottom w:w="0" w:type="dxa"/>
              <w:right w:w="28" w:type="dxa"/>
            </w:tcMar>
            <w:vAlign w:val="center"/>
          </w:tcPr>
          <w:p w14:paraId="3EE9C043" w14:textId="77777777" w:rsidR="00E51CDD" w:rsidRPr="002360D5" w:rsidRDefault="00E51CDD" w:rsidP="009938D9">
            <w:pPr>
              <w:keepNext/>
              <w:spacing w:before="40" w:after="40"/>
              <w:jc w:val="center"/>
              <w:rPr>
                <w:rFonts w:eastAsia="PMingLiU"/>
                <w:b/>
                <w:color w:val="000000"/>
                <w:sz w:val="20"/>
                <w:lang w:eastAsia="en-US"/>
              </w:rPr>
            </w:pPr>
            <w:r w:rsidRPr="002360D5">
              <w:rPr>
                <w:rFonts w:eastAsia="PMingLiU"/>
                <w:b/>
                <w:color w:val="000000"/>
                <w:sz w:val="20"/>
                <w:lang w:eastAsia="en-US"/>
              </w:rPr>
              <w:t>Corrected mortality</w:t>
            </w:r>
            <w:r w:rsidRPr="002360D5">
              <w:rPr>
                <w:rFonts w:eastAsia="PMingLiU"/>
                <w:b/>
                <w:color w:val="000000"/>
                <w:sz w:val="20"/>
                <w:vertAlign w:val="superscript"/>
                <w:lang w:eastAsia="en-US"/>
              </w:rPr>
              <w:t>3)</w:t>
            </w:r>
            <w:r w:rsidRPr="002360D5">
              <w:rPr>
                <w:rFonts w:eastAsia="PMingLiU"/>
                <w:b/>
                <w:color w:val="000000"/>
                <w:sz w:val="20"/>
                <w:lang w:eastAsia="en-US"/>
              </w:rPr>
              <w:t xml:space="preserve"> </w:t>
            </w:r>
            <w:r w:rsidRPr="002360D5">
              <w:rPr>
                <w:rFonts w:eastAsia="PMingLiU"/>
                <w:b/>
                <w:color w:val="000000"/>
                <w:sz w:val="20"/>
                <w:lang w:eastAsia="en-US"/>
              </w:rPr>
              <w:br/>
              <w:t>[%]</w:t>
            </w:r>
          </w:p>
        </w:tc>
      </w:tr>
      <w:tr w:rsidR="00E51CDD" w:rsidRPr="002360D5" w14:paraId="658A465F" w14:textId="77777777" w:rsidTr="009938D9">
        <w:trPr>
          <w:cantSplit/>
        </w:trPr>
        <w:tc>
          <w:tcPr>
            <w:tcW w:w="957" w:type="pct"/>
            <w:tcMar>
              <w:top w:w="0" w:type="dxa"/>
              <w:left w:w="28" w:type="dxa"/>
              <w:bottom w:w="0" w:type="dxa"/>
              <w:right w:w="28" w:type="dxa"/>
            </w:tcMar>
          </w:tcPr>
          <w:p w14:paraId="11276B11" w14:textId="77777777" w:rsidR="00E51CDD" w:rsidRPr="002360D5" w:rsidRDefault="00E51CDD" w:rsidP="009938D9">
            <w:pPr>
              <w:keepNext/>
              <w:spacing w:before="40" w:after="40"/>
              <w:jc w:val="center"/>
              <w:rPr>
                <w:color w:val="000000"/>
                <w:sz w:val="20"/>
              </w:rPr>
            </w:pPr>
            <w:r w:rsidRPr="002360D5">
              <w:rPr>
                <w:color w:val="000000"/>
                <w:sz w:val="20"/>
              </w:rPr>
              <w:t>Control</w:t>
            </w:r>
          </w:p>
        </w:tc>
        <w:tc>
          <w:tcPr>
            <w:tcW w:w="1345" w:type="pct"/>
            <w:tcMar>
              <w:top w:w="0" w:type="dxa"/>
              <w:left w:w="28" w:type="dxa"/>
              <w:bottom w:w="0" w:type="dxa"/>
              <w:right w:w="28" w:type="dxa"/>
            </w:tcMar>
          </w:tcPr>
          <w:p w14:paraId="30431C41" w14:textId="77777777" w:rsidR="00E51CDD" w:rsidRPr="002360D5" w:rsidRDefault="00E51CDD" w:rsidP="009938D9">
            <w:pPr>
              <w:keepNext/>
              <w:spacing w:before="40" w:after="40"/>
              <w:jc w:val="center"/>
              <w:rPr>
                <w:color w:val="000000"/>
                <w:sz w:val="20"/>
              </w:rPr>
            </w:pPr>
            <w:r w:rsidRPr="002360D5">
              <w:rPr>
                <w:color w:val="000000"/>
                <w:sz w:val="20"/>
              </w:rPr>
              <w:t>--</w:t>
            </w:r>
          </w:p>
        </w:tc>
        <w:tc>
          <w:tcPr>
            <w:tcW w:w="1252" w:type="pct"/>
            <w:tcMar>
              <w:top w:w="0" w:type="dxa"/>
              <w:left w:w="28" w:type="dxa"/>
              <w:bottom w:w="0" w:type="dxa"/>
              <w:right w:w="28" w:type="dxa"/>
            </w:tcMar>
          </w:tcPr>
          <w:p w14:paraId="199FC27B" w14:textId="77777777" w:rsidR="00E51CDD" w:rsidRPr="002360D5" w:rsidRDefault="00E51CDD" w:rsidP="009938D9">
            <w:pPr>
              <w:keepNext/>
              <w:spacing w:before="40" w:after="40"/>
              <w:jc w:val="center"/>
              <w:rPr>
                <w:color w:val="000000"/>
                <w:sz w:val="20"/>
              </w:rPr>
            </w:pPr>
            <w:r w:rsidRPr="002360D5">
              <w:rPr>
                <w:color w:val="000000"/>
                <w:sz w:val="20"/>
              </w:rPr>
              <w:t>2.0</w:t>
            </w:r>
          </w:p>
        </w:tc>
        <w:tc>
          <w:tcPr>
            <w:tcW w:w="1446" w:type="pct"/>
            <w:tcMar>
              <w:top w:w="0" w:type="dxa"/>
              <w:left w:w="28" w:type="dxa"/>
              <w:bottom w:w="0" w:type="dxa"/>
              <w:right w:w="28" w:type="dxa"/>
            </w:tcMar>
          </w:tcPr>
          <w:p w14:paraId="20F4AC7F" w14:textId="77777777" w:rsidR="00E51CDD" w:rsidRPr="002360D5" w:rsidRDefault="00E51CDD" w:rsidP="009938D9">
            <w:pPr>
              <w:keepNext/>
              <w:spacing w:before="40" w:after="40"/>
              <w:jc w:val="center"/>
              <w:rPr>
                <w:color w:val="000000"/>
                <w:sz w:val="20"/>
              </w:rPr>
            </w:pPr>
            <w:r w:rsidRPr="002360D5">
              <w:rPr>
                <w:color w:val="000000"/>
                <w:sz w:val="20"/>
              </w:rPr>
              <w:t>--</w:t>
            </w:r>
          </w:p>
        </w:tc>
      </w:tr>
      <w:tr w:rsidR="00E51CDD" w:rsidRPr="002360D5" w14:paraId="3F9039EC" w14:textId="77777777" w:rsidTr="009938D9">
        <w:trPr>
          <w:cantSplit/>
        </w:trPr>
        <w:tc>
          <w:tcPr>
            <w:tcW w:w="957" w:type="pct"/>
            <w:vMerge w:val="restart"/>
            <w:tcMar>
              <w:top w:w="0" w:type="dxa"/>
              <w:left w:w="28" w:type="dxa"/>
              <w:bottom w:w="0" w:type="dxa"/>
              <w:right w:w="28" w:type="dxa"/>
            </w:tcMar>
            <w:vAlign w:val="center"/>
          </w:tcPr>
          <w:p w14:paraId="04BA9A3C" w14:textId="77777777" w:rsidR="00E51CDD" w:rsidRPr="002360D5" w:rsidRDefault="00E51CDD" w:rsidP="009938D9">
            <w:pPr>
              <w:keepNext/>
              <w:spacing w:before="40" w:after="40"/>
              <w:jc w:val="center"/>
              <w:rPr>
                <w:rFonts w:eastAsia="PMingLiU"/>
                <w:bCs/>
                <w:color w:val="000000"/>
                <w:sz w:val="20"/>
                <w:lang w:eastAsia="en-US"/>
              </w:rPr>
            </w:pPr>
            <w:r w:rsidRPr="002360D5">
              <w:rPr>
                <w:rFonts w:eastAsia="PMingLiU"/>
                <w:bCs/>
                <w:color w:val="000000"/>
                <w:sz w:val="20"/>
                <w:lang w:eastAsia="en-US"/>
              </w:rPr>
              <w:t>BAS 736 00 F</w:t>
            </w:r>
          </w:p>
        </w:tc>
        <w:tc>
          <w:tcPr>
            <w:tcW w:w="1345" w:type="pct"/>
            <w:tcMar>
              <w:top w:w="0" w:type="dxa"/>
              <w:left w:w="28" w:type="dxa"/>
              <w:bottom w:w="0" w:type="dxa"/>
              <w:right w:w="28" w:type="dxa"/>
            </w:tcMar>
          </w:tcPr>
          <w:p w14:paraId="05BB9C9C" w14:textId="77777777" w:rsidR="00E51CDD" w:rsidRPr="002360D5" w:rsidRDefault="00E51CDD" w:rsidP="009938D9">
            <w:pPr>
              <w:keepNext/>
              <w:spacing w:before="40" w:after="40"/>
              <w:jc w:val="center"/>
              <w:rPr>
                <w:rFonts w:eastAsia="PMingLiU"/>
                <w:color w:val="000000"/>
                <w:sz w:val="20"/>
                <w:lang w:eastAsia="en-US"/>
              </w:rPr>
            </w:pPr>
            <w:r w:rsidRPr="002360D5">
              <w:rPr>
                <w:rFonts w:eastAsia="PMingLiU"/>
                <w:color w:val="000000"/>
                <w:sz w:val="20"/>
                <w:lang w:eastAsia="en-US"/>
              </w:rPr>
              <w:t>0.25</w:t>
            </w:r>
          </w:p>
        </w:tc>
        <w:tc>
          <w:tcPr>
            <w:tcW w:w="1252" w:type="pct"/>
            <w:tcMar>
              <w:top w:w="0" w:type="dxa"/>
              <w:left w:w="28" w:type="dxa"/>
              <w:bottom w:w="0" w:type="dxa"/>
              <w:right w:w="28" w:type="dxa"/>
            </w:tcMar>
            <w:vAlign w:val="center"/>
          </w:tcPr>
          <w:p w14:paraId="0973B19D" w14:textId="77777777" w:rsidR="00E51CDD" w:rsidRPr="002360D5" w:rsidRDefault="00E51CDD" w:rsidP="009938D9">
            <w:pPr>
              <w:keepNext/>
              <w:spacing w:before="40" w:after="40"/>
              <w:jc w:val="center"/>
              <w:rPr>
                <w:rFonts w:eastAsia="PMingLiU"/>
                <w:color w:val="000000"/>
                <w:sz w:val="20"/>
                <w:lang w:eastAsia="en-US"/>
              </w:rPr>
            </w:pPr>
            <w:r w:rsidRPr="002360D5">
              <w:rPr>
                <w:rFonts w:eastAsia="PMingLiU"/>
                <w:color w:val="000000"/>
                <w:sz w:val="20"/>
                <w:lang w:eastAsia="en-US"/>
              </w:rPr>
              <w:t>1.0</w:t>
            </w:r>
          </w:p>
        </w:tc>
        <w:tc>
          <w:tcPr>
            <w:tcW w:w="1446" w:type="pct"/>
            <w:tcMar>
              <w:top w:w="0" w:type="dxa"/>
              <w:left w:w="28" w:type="dxa"/>
              <w:bottom w:w="0" w:type="dxa"/>
              <w:right w:w="28" w:type="dxa"/>
            </w:tcMar>
            <w:vAlign w:val="center"/>
          </w:tcPr>
          <w:p w14:paraId="36719C91" w14:textId="77777777" w:rsidR="00E51CDD" w:rsidRPr="002360D5" w:rsidRDefault="00E51CDD" w:rsidP="009938D9">
            <w:pPr>
              <w:keepNext/>
              <w:spacing w:before="40" w:after="40"/>
              <w:jc w:val="center"/>
              <w:rPr>
                <w:color w:val="000000"/>
                <w:sz w:val="20"/>
              </w:rPr>
            </w:pPr>
            <w:r w:rsidRPr="002360D5">
              <w:rPr>
                <w:color w:val="000000"/>
                <w:sz w:val="20"/>
              </w:rPr>
              <w:t>-1.0</w:t>
            </w:r>
          </w:p>
        </w:tc>
      </w:tr>
      <w:tr w:rsidR="00E51CDD" w:rsidRPr="002360D5" w14:paraId="1FD99F72" w14:textId="77777777" w:rsidTr="009938D9">
        <w:trPr>
          <w:cantSplit/>
        </w:trPr>
        <w:tc>
          <w:tcPr>
            <w:tcW w:w="957" w:type="pct"/>
            <w:vMerge/>
            <w:tcMar>
              <w:top w:w="0" w:type="dxa"/>
              <w:left w:w="28" w:type="dxa"/>
              <w:bottom w:w="0" w:type="dxa"/>
              <w:right w:w="28" w:type="dxa"/>
            </w:tcMar>
            <w:vAlign w:val="center"/>
          </w:tcPr>
          <w:p w14:paraId="1B0AE502" w14:textId="77777777" w:rsidR="00E51CDD" w:rsidRPr="002360D5" w:rsidRDefault="00E51CDD" w:rsidP="009938D9">
            <w:pPr>
              <w:keepNext/>
              <w:spacing w:before="40" w:after="40"/>
              <w:jc w:val="center"/>
              <w:rPr>
                <w:rFonts w:eastAsia="PMingLiU"/>
                <w:bCs/>
                <w:color w:val="000000"/>
                <w:sz w:val="20"/>
                <w:lang w:eastAsia="en-US"/>
              </w:rPr>
            </w:pPr>
          </w:p>
        </w:tc>
        <w:tc>
          <w:tcPr>
            <w:tcW w:w="1345" w:type="pct"/>
            <w:tcMar>
              <w:top w:w="0" w:type="dxa"/>
              <w:left w:w="28" w:type="dxa"/>
              <w:bottom w:w="0" w:type="dxa"/>
              <w:right w:w="28" w:type="dxa"/>
            </w:tcMar>
          </w:tcPr>
          <w:p w14:paraId="0C004224" w14:textId="77777777" w:rsidR="00E51CDD" w:rsidRPr="002360D5" w:rsidRDefault="00E51CDD" w:rsidP="009938D9">
            <w:pPr>
              <w:keepNext/>
              <w:spacing w:before="40" w:after="40"/>
              <w:jc w:val="center"/>
              <w:rPr>
                <w:rFonts w:eastAsia="PMingLiU"/>
                <w:color w:val="000000"/>
                <w:sz w:val="20"/>
                <w:lang w:eastAsia="en-US"/>
              </w:rPr>
            </w:pPr>
            <w:r w:rsidRPr="002360D5">
              <w:rPr>
                <w:rFonts w:eastAsia="PMingLiU"/>
                <w:color w:val="000000"/>
                <w:sz w:val="20"/>
                <w:lang w:eastAsia="en-US"/>
              </w:rPr>
              <w:t>0.5</w:t>
            </w:r>
          </w:p>
        </w:tc>
        <w:tc>
          <w:tcPr>
            <w:tcW w:w="1252" w:type="pct"/>
            <w:tcMar>
              <w:top w:w="0" w:type="dxa"/>
              <w:left w:w="28" w:type="dxa"/>
              <w:bottom w:w="0" w:type="dxa"/>
              <w:right w:w="28" w:type="dxa"/>
            </w:tcMar>
            <w:vAlign w:val="center"/>
          </w:tcPr>
          <w:p w14:paraId="00F60C57" w14:textId="77777777" w:rsidR="00E51CDD" w:rsidRPr="002360D5" w:rsidRDefault="00E51CDD" w:rsidP="009938D9">
            <w:pPr>
              <w:keepNext/>
              <w:spacing w:before="40" w:after="40"/>
              <w:jc w:val="center"/>
              <w:rPr>
                <w:rFonts w:eastAsia="PMingLiU"/>
                <w:color w:val="000000"/>
                <w:sz w:val="20"/>
                <w:lang w:eastAsia="en-US"/>
              </w:rPr>
            </w:pPr>
            <w:r w:rsidRPr="002360D5">
              <w:rPr>
                <w:rFonts w:eastAsia="PMingLiU"/>
                <w:color w:val="000000"/>
                <w:sz w:val="20"/>
                <w:lang w:eastAsia="en-US"/>
              </w:rPr>
              <w:t>2.0</w:t>
            </w:r>
          </w:p>
        </w:tc>
        <w:tc>
          <w:tcPr>
            <w:tcW w:w="1446" w:type="pct"/>
            <w:tcMar>
              <w:top w:w="0" w:type="dxa"/>
              <w:left w:w="28" w:type="dxa"/>
              <w:bottom w:w="0" w:type="dxa"/>
              <w:right w:w="28" w:type="dxa"/>
            </w:tcMar>
            <w:vAlign w:val="center"/>
          </w:tcPr>
          <w:p w14:paraId="7A440DFD" w14:textId="77777777" w:rsidR="00E51CDD" w:rsidRPr="002360D5" w:rsidRDefault="00E51CDD" w:rsidP="009938D9">
            <w:pPr>
              <w:keepNext/>
              <w:spacing w:before="40" w:after="40"/>
              <w:jc w:val="center"/>
              <w:rPr>
                <w:color w:val="000000"/>
                <w:sz w:val="20"/>
              </w:rPr>
            </w:pPr>
            <w:r w:rsidRPr="002360D5">
              <w:rPr>
                <w:color w:val="000000"/>
                <w:sz w:val="20"/>
              </w:rPr>
              <w:t>0</w:t>
            </w:r>
          </w:p>
        </w:tc>
      </w:tr>
      <w:tr w:rsidR="00E51CDD" w:rsidRPr="002360D5" w14:paraId="6612D731" w14:textId="77777777" w:rsidTr="009938D9">
        <w:trPr>
          <w:cantSplit/>
        </w:trPr>
        <w:tc>
          <w:tcPr>
            <w:tcW w:w="957" w:type="pct"/>
            <w:vMerge/>
            <w:tcMar>
              <w:top w:w="0" w:type="dxa"/>
              <w:left w:w="28" w:type="dxa"/>
              <w:bottom w:w="0" w:type="dxa"/>
              <w:right w:w="28" w:type="dxa"/>
            </w:tcMar>
            <w:vAlign w:val="center"/>
          </w:tcPr>
          <w:p w14:paraId="7AC69314" w14:textId="77777777" w:rsidR="00E51CDD" w:rsidRPr="002360D5" w:rsidRDefault="00E51CDD" w:rsidP="009938D9">
            <w:pPr>
              <w:keepNext/>
              <w:spacing w:before="40" w:after="40"/>
              <w:jc w:val="center"/>
              <w:rPr>
                <w:rFonts w:eastAsia="PMingLiU"/>
                <w:bCs/>
                <w:color w:val="000000"/>
                <w:sz w:val="20"/>
                <w:lang w:eastAsia="en-US"/>
              </w:rPr>
            </w:pPr>
          </w:p>
        </w:tc>
        <w:tc>
          <w:tcPr>
            <w:tcW w:w="1345" w:type="pct"/>
            <w:tcMar>
              <w:top w:w="0" w:type="dxa"/>
              <w:left w:w="28" w:type="dxa"/>
              <w:bottom w:w="0" w:type="dxa"/>
              <w:right w:w="28" w:type="dxa"/>
            </w:tcMar>
          </w:tcPr>
          <w:p w14:paraId="2F056F16" w14:textId="77777777" w:rsidR="00E51CDD" w:rsidRPr="002360D5" w:rsidRDefault="00E51CDD" w:rsidP="009938D9">
            <w:pPr>
              <w:keepNext/>
              <w:spacing w:before="40" w:after="40"/>
              <w:jc w:val="center"/>
              <w:rPr>
                <w:rFonts w:eastAsia="PMingLiU"/>
                <w:color w:val="000000"/>
                <w:sz w:val="20"/>
                <w:lang w:eastAsia="en-US"/>
              </w:rPr>
            </w:pPr>
            <w:r w:rsidRPr="002360D5">
              <w:rPr>
                <w:rFonts w:eastAsia="PMingLiU"/>
                <w:color w:val="000000"/>
                <w:sz w:val="20"/>
                <w:lang w:eastAsia="en-US"/>
              </w:rPr>
              <w:t>1.0</w:t>
            </w:r>
          </w:p>
        </w:tc>
        <w:tc>
          <w:tcPr>
            <w:tcW w:w="1252" w:type="pct"/>
            <w:tcMar>
              <w:top w:w="0" w:type="dxa"/>
              <w:left w:w="28" w:type="dxa"/>
              <w:bottom w:w="0" w:type="dxa"/>
              <w:right w:w="28" w:type="dxa"/>
            </w:tcMar>
            <w:vAlign w:val="center"/>
          </w:tcPr>
          <w:p w14:paraId="7E836C8A" w14:textId="77777777" w:rsidR="00E51CDD" w:rsidRPr="002360D5" w:rsidRDefault="00E51CDD" w:rsidP="009938D9">
            <w:pPr>
              <w:keepNext/>
              <w:spacing w:before="40" w:after="40"/>
              <w:jc w:val="center"/>
              <w:rPr>
                <w:rFonts w:eastAsia="PMingLiU"/>
                <w:color w:val="000000"/>
                <w:sz w:val="20"/>
                <w:lang w:eastAsia="en-US"/>
              </w:rPr>
            </w:pPr>
            <w:r w:rsidRPr="002360D5">
              <w:rPr>
                <w:rFonts w:eastAsia="PMingLiU"/>
                <w:color w:val="000000"/>
                <w:sz w:val="20"/>
                <w:lang w:eastAsia="en-US"/>
              </w:rPr>
              <w:t>3.0</w:t>
            </w:r>
          </w:p>
        </w:tc>
        <w:tc>
          <w:tcPr>
            <w:tcW w:w="1446" w:type="pct"/>
            <w:tcMar>
              <w:top w:w="0" w:type="dxa"/>
              <w:left w:w="28" w:type="dxa"/>
              <w:bottom w:w="0" w:type="dxa"/>
              <w:right w:w="28" w:type="dxa"/>
            </w:tcMar>
            <w:vAlign w:val="center"/>
          </w:tcPr>
          <w:p w14:paraId="12E7EA43" w14:textId="77777777" w:rsidR="00E51CDD" w:rsidRPr="002360D5" w:rsidRDefault="00E51CDD" w:rsidP="009938D9">
            <w:pPr>
              <w:keepNext/>
              <w:spacing w:before="40" w:after="40"/>
              <w:jc w:val="center"/>
              <w:rPr>
                <w:color w:val="000000"/>
                <w:sz w:val="20"/>
              </w:rPr>
            </w:pPr>
            <w:r w:rsidRPr="002360D5">
              <w:rPr>
                <w:color w:val="000000"/>
                <w:sz w:val="20"/>
              </w:rPr>
              <w:t>1.0</w:t>
            </w:r>
          </w:p>
        </w:tc>
      </w:tr>
      <w:tr w:rsidR="00E51CDD" w:rsidRPr="002360D5" w14:paraId="3D8AFA32" w14:textId="77777777" w:rsidTr="009938D9">
        <w:trPr>
          <w:cantSplit/>
        </w:trPr>
        <w:tc>
          <w:tcPr>
            <w:tcW w:w="957" w:type="pct"/>
            <w:vMerge/>
            <w:tcMar>
              <w:top w:w="0" w:type="dxa"/>
              <w:left w:w="28" w:type="dxa"/>
              <w:bottom w:w="0" w:type="dxa"/>
              <w:right w:w="28" w:type="dxa"/>
            </w:tcMar>
            <w:vAlign w:val="center"/>
          </w:tcPr>
          <w:p w14:paraId="7BD65E3F" w14:textId="77777777" w:rsidR="00E51CDD" w:rsidRPr="002360D5" w:rsidRDefault="00E51CDD" w:rsidP="009938D9">
            <w:pPr>
              <w:keepNext/>
              <w:spacing w:before="40" w:after="40"/>
              <w:jc w:val="center"/>
              <w:rPr>
                <w:rFonts w:eastAsia="PMingLiU"/>
                <w:bCs/>
                <w:color w:val="000000"/>
                <w:sz w:val="20"/>
                <w:lang w:eastAsia="en-US"/>
              </w:rPr>
            </w:pPr>
          </w:p>
        </w:tc>
        <w:tc>
          <w:tcPr>
            <w:tcW w:w="1345" w:type="pct"/>
            <w:tcMar>
              <w:top w:w="0" w:type="dxa"/>
              <w:left w:w="28" w:type="dxa"/>
              <w:bottom w:w="0" w:type="dxa"/>
              <w:right w:w="28" w:type="dxa"/>
            </w:tcMar>
          </w:tcPr>
          <w:p w14:paraId="69EA82DB" w14:textId="77777777" w:rsidR="00E51CDD" w:rsidRPr="002360D5" w:rsidRDefault="00E51CDD" w:rsidP="009938D9">
            <w:pPr>
              <w:keepNext/>
              <w:spacing w:before="40" w:after="40"/>
              <w:jc w:val="center"/>
              <w:rPr>
                <w:rFonts w:eastAsia="PMingLiU"/>
                <w:color w:val="000000"/>
                <w:sz w:val="20"/>
                <w:lang w:eastAsia="en-US"/>
              </w:rPr>
            </w:pPr>
            <w:r w:rsidRPr="002360D5">
              <w:rPr>
                <w:rFonts w:eastAsia="PMingLiU"/>
                <w:color w:val="000000"/>
                <w:sz w:val="20"/>
                <w:lang w:eastAsia="en-US"/>
              </w:rPr>
              <w:t>2.0</w:t>
            </w:r>
          </w:p>
        </w:tc>
        <w:tc>
          <w:tcPr>
            <w:tcW w:w="1252" w:type="pct"/>
            <w:tcMar>
              <w:top w:w="0" w:type="dxa"/>
              <w:left w:w="28" w:type="dxa"/>
              <w:bottom w:w="0" w:type="dxa"/>
              <w:right w:w="28" w:type="dxa"/>
            </w:tcMar>
            <w:vAlign w:val="center"/>
          </w:tcPr>
          <w:p w14:paraId="64AB0205" w14:textId="77777777" w:rsidR="00E51CDD" w:rsidRPr="002360D5" w:rsidRDefault="00E51CDD" w:rsidP="009938D9">
            <w:pPr>
              <w:keepNext/>
              <w:spacing w:before="40" w:after="40"/>
              <w:jc w:val="center"/>
              <w:rPr>
                <w:rFonts w:eastAsia="PMingLiU"/>
                <w:color w:val="000000"/>
                <w:sz w:val="20"/>
                <w:lang w:eastAsia="en-US"/>
              </w:rPr>
            </w:pPr>
            <w:r w:rsidRPr="002360D5">
              <w:rPr>
                <w:rFonts w:eastAsia="PMingLiU"/>
                <w:color w:val="000000"/>
                <w:sz w:val="20"/>
                <w:lang w:eastAsia="en-US"/>
              </w:rPr>
              <w:t>10.0 *</w:t>
            </w:r>
          </w:p>
        </w:tc>
        <w:tc>
          <w:tcPr>
            <w:tcW w:w="1446" w:type="pct"/>
            <w:tcMar>
              <w:top w:w="0" w:type="dxa"/>
              <w:left w:w="28" w:type="dxa"/>
              <w:bottom w:w="0" w:type="dxa"/>
              <w:right w:w="28" w:type="dxa"/>
            </w:tcMar>
            <w:vAlign w:val="center"/>
          </w:tcPr>
          <w:p w14:paraId="0F795A54" w14:textId="77777777" w:rsidR="00E51CDD" w:rsidRPr="002360D5" w:rsidRDefault="00E51CDD" w:rsidP="009938D9">
            <w:pPr>
              <w:keepNext/>
              <w:spacing w:before="40" w:after="40"/>
              <w:jc w:val="center"/>
              <w:rPr>
                <w:color w:val="000000"/>
                <w:sz w:val="20"/>
              </w:rPr>
            </w:pPr>
            <w:r w:rsidRPr="002360D5">
              <w:rPr>
                <w:color w:val="000000"/>
                <w:sz w:val="20"/>
              </w:rPr>
              <w:t>8.2</w:t>
            </w:r>
          </w:p>
        </w:tc>
      </w:tr>
      <w:tr w:rsidR="00E51CDD" w:rsidRPr="002360D5" w14:paraId="63238166" w14:textId="77777777" w:rsidTr="009938D9">
        <w:trPr>
          <w:cantSplit/>
        </w:trPr>
        <w:tc>
          <w:tcPr>
            <w:tcW w:w="957" w:type="pct"/>
            <w:vMerge/>
            <w:tcMar>
              <w:top w:w="0" w:type="dxa"/>
              <w:left w:w="28" w:type="dxa"/>
              <w:bottom w:w="0" w:type="dxa"/>
              <w:right w:w="28" w:type="dxa"/>
            </w:tcMar>
            <w:vAlign w:val="center"/>
          </w:tcPr>
          <w:p w14:paraId="17AD140D" w14:textId="77777777" w:rsidR="00E51CDD" w:rsidRPr="002360D5" w:rsidRDefault="00E51CDD" w:rsidP="009938D9">
            <w:pPr>
              <w:keepNext/>
              <w:spacing w:before="40" w:after="40"/>
              <w:jc w:val="center"/>
              <w:rPr>
                <w:rFonts w:eastAsia="PMingLiU"/>
                <w:bCs/>
                <w:color w:val="000000"/>
                <w:sz w:val="20"/>
                <w:lang w:eastAsia="en-US"/>
              </w:rPr>
            </w:pPr>
          </w:p>
        </w:tc>
        <w:tc>
          <w:tcPr>
            <w:tcW w:w="1345" w:type="pct"/>
            <w:tcMar>
              <w:top w:w="0" w:type="dxa"/>
              <w:left w:w="28" w:type="dxa"/>
              <w:bottom w:w="0" w:type="dxa"/>
              <w:right w:w="28" w:type="dxa"/>
            </w:tcMar>
          </w:tcPr>
          <w:p w14:paraId="65E6FFED" w14:textId="77777777" w:rsidR="00E51CDD" w:rsidRPr="002360D5" w:rsidRDefault="00E51CDD" w:rsidP="009938D9">
            <w:pPr>
              <w:keepNext/>
              <w:spacing w:before="40" w:after="40"/>
              <w:jc w:val="center"/>
              <w:rPr>
                <w:rFonts w:eastAsia="PMingLiU"/>
                <w:color w:val="000000"/>
                <w:sz w:val="20"/>
                <w:lang w:eastAsia="en-US"/>
              </w:rPr>
            </w:pPr>
            <w:r w:rsidRPr="002360D5">
              <w:rPr>
                <w:rFonts w:eastAsia="PMingLiU"/>
                <w:color w:val="000000"/>
                <w:sz w:val="20"/>
                <w:lang w:eastAsia="en-US"/>
              </w:rPr>
              <w:t>4.0</w:t>
            </w:r>
          </w:p>
        </w:tc>
        <w:tc>
          <w:tcPr>
            <w:tcW w:w="1252" w:type="pct"/>
            <w:tcMar>
              <w:top w:w="0" w:type="dxa"/>
              <w:left w:w="28" w:type="dxa"/>
              <w:bottom w:w="0" w:type="dxa"/>
              <w:right w:w="28" w:type="dxa"/>
            </w:tcMar>
            <w:vAlign w:val="center"/>
          </w:tcPr>
          <w:p w14:paraId="69F512B1" w14:textId="77777777" w:rsidR="00E51CDD" w:rsidRPr="002360D5" w:rsidRDefault="00E51CDD" w:rsidP="009938D9">
            <w:pPr>
              <w:keepNext/>
              <w:spacing w:before="40" w:after="40"/>
              <w:jc w:val="center"/>
              <w:rPr>
                <w:rFonts w:eastAsia="PMingLiU"/>
                <w:color w:val="000000"/>
                <w:sz w:val="20"/>
                <w:lang w:eastAsia="en-US"/>
              </w:rPr>
            </w:pPr>
            <w:r w:rsidRPr="002360D5">
              <w:rPr>
                <w:rFonts w:eastAsia="PMingLiU"/>
                <w:color w:val="000000"/>
                <w:sz w:val="20"/>
                <w:lang w:eastAsia="en-US"/>
              </w:rPr>
              <w:t>100 *</w:t>
            </w:r>
          </w:p>
        </w:tc>
        <w:tc>
          <w:tcPr>
            <w:tcW w:w="1446" w:type="pct"/>
            <w:tcMar>
              <w:top w:w="0" w:type="dxa"/>
              <w:left w:w="28" w:type="dxa"/>
              <w:bottom w:w="0" w:type="dxa"/>
              <w:right w:w="28" w:type="dxa"/>
            </w:tcMar>
            <w:vAlign w:val="center"/>
          </w:tcPr>
          <w:p w14:paraId="79DB0A35" w14:textId="77777777" w:rsidR="00E51CDD" w:rsidRPr="002360D5" w:rsidRDefault="00E51CDD" w:rsidP="009938D9">
            <w:pPr>
              <w:keepNext/>
              <w:spacing w:before="40" w:after="40"/>
              <w:jc w:val="center"/>
              <w:rPr>
                <w:color w:val="000000"/>
                <w:sz w:val="20"/>
              </w:rPr>
            </w:pPr>
            <w:r w:rsidRPr="002360D5">
              <w:rPr>
                <w:color w:val="000000"/>
                <w:sz w:val="20"/>
              </w:rPr>
              <w:t>100</w:t>
            </w:r>
          </w:p>
        </w:tc>
      </w:tr>
      <w:tr w:rsidR="00E51CDD" w:rsidRPr="007330A6" w14:paraId="5836D7CC" w14:textId="77777777" w:rsidTr="009938D9">
        <w:tc>
          <w:tcPr>
            <w:tcW w:w="957" w:type="pct"/>
            <w:vAlign w:val="center"/>
          </w:tcPr>
          <w:p w14:paraId="6428007E" w14:textId="77777777" w:rsidR="00E51CDD" w:rsidRPr="002360D5" w:rsidRDefault="00E51CDD" w:rsidP="009938D9">
            <w:pPr>
              <w:keepNext/>
              <w:spacing w:before="40" w:after="40"/>
              <w:jc w:val="center"/>
              <w:rPr>
                <w:color w:val="000000"/>
                <w:sz w:val="20"/>
              </w:rPr>
            </w:pPr>
          </w:p>
        </w:tc>
        <w:tc>
          <w:tcPr>
            <w:tcW w:w="4043" w:type="pct"/>
            <w:gridSpan w:val="3"/>
            <w:vAlign w:val="center"/>
          </w:tcPr>
          <w:p w14:paraId="6DA7C4D4" w14:textId="77777777" w:rsidR="00E51CDD" w:rsidRPr="002262EA" w:rsidRDefault="00E51CDD" w:rsidP="009938D9">
            <w:pPr>
              <w:keepNext/>
              <w:spacing w:before="40" w:after="40"/>
              <w:jc w:val="center"/>
              <w:rPr>
                <w:b/>
                <w:bCs/>
                <w:color w:val="000000"/>
                <w:sz w:val="20"/>
                <w:lang w:val="fr-BE"/>
              </w:rPr>
            </w:pPr>
            <w:r w:rsidRPr="002262EA">
              <w:rPr>
                <w:b/>
                <w:bCs/>
                <w:color w:val="000000"/>
                <w:sz w:val="20"/>
                <w:lang w:val="fr-BE"/>
              </w:rPr>
              <w:t>Endpoint [L</w:t>
            </w:r>
            <w:r w:rsidRPr="002262EA">
              <w:rPr>
                <w:b/>
                <w:color w:val="000000"/>
                <w:sz w:val="20"/>
                <w:lang w:val="fr-BE"/>
              </w:rPr>
              <w:t> BAS 736 00 F</w:t>
            </w:r>
            <w:r w:rsidRPr="002262EA">
              <w:rPr>
                <w:b/>
                <w:bCs/>
                <w:color w:val="000000"/>
                <w:sz w:val="20"/>
                <w:lang w:val="fr-BE"/>
              </w:rPr>
              <w:t>/ha]</w:t>
            </w:r>
          </w:p>
        </w:tc>
      </w:tr>
      <w:tr w:rsidR="00E51CDD" w:rsidRPr="002360D5" w14:paraId="67CE14F1" w14:textId="77777777" w:rsidTr="009938D9">
        <w:tc>
          <w:tcPr>
            <w:tcW w:w="957" w:type="pct"/>
          </w:tcPr>
          <w:p w14:paraId="4B01A4C5" w14:textId="77777777" w:rsidR="00E51CDD" w:rsidRPr="002360D5" w:rsidRDefault="00E51CDD" w:rsidP="009938D9">
            <w:pPr>
              <w:keepNext/>
              <w:spacing w:before="40" w:after="40"/>
              <w:jc w:val="center"/>
              <w:rPr>
                <w:color w:val="000000"/>
                <w:sz w:val="20"/>
              </w:rPr>
            </w:pPr>
            <w:r w:rsidRPr="002360D5">
              <w:rPr>
                <w:color w:val="000000"/>
                <w:sz w:val="20"/>
              </w:rPr>
              <w:t>LR</w:t>
            </w:r>
            <w:r w:rsidRPr="002360D5">
              <w:rPr>
                <w:color w:val="000000"/>
                <w:sz w:val="20"/>
                <w:vertAlign w:val="subscript"/>
              </w:rPr>
              <w:t>50</w:t>
            </w:r>
          </w:p>
          <w:p w14:paraId="191AF67B" w14:textId="77777777" w:rsidR="00E51CDD" w:rsidRPr="002360D5" w:rsidRDefault="00E51CDD" w:rsidP="009938D9">
            <w:pPr>
              <w:keepNext/>
              <w:spacing w:before="40" w:after="40"/>
              <w:jc w:val="center"/>
              <w:rPr>
                <w:color w:val="000000"/>
                <w:sz w:val="20"/>
              </w:rPr>
            </w:pPr>
            <w:r w:rsidRPr="002360D5">
              <w:rPr>
                <w:color w:val="000000"/>
                <w:sz w:val="20"/>
              </w:rPr>
              <w:t>[95% CL]</w:t>
            </w:r>
          </w:p>
        </w:tc>
        <w:tc>
          <w:tcPr>
            <w:tcW w:w="4043" w:type="pct"/>
            <w:gridSpan w:val="3"/>
            <w:vAlign w:val="center"/>
          </w:tcPr>
          <w:p w14:paraId="3A6E8927" w14:textId="77777777" w:rsidR="00E51CDD" w:rsidRPr="002360D5" w:rsidRDefault="00E51CDD" w:rsidP="009938D9">
            <w:pPr>
              <w:keepNext/>
              <w:spacing w:before="40" w:after="40"/>
              <w:jc w:val="center"/>
              <w:rPr>
                <w:color w:val="000000"/>
                <w:sz w:val="20"/>
              </w:rPr>
            </w:pPr>
            <w:r w:rsidRPr="002360D5">
              <w:rPr>
                <w:color w:val="000000"/>
                <w:sz w:val="20"/>
              </w:rPr>
              <w:t>2.75</w:t>
            </w:r>
          </w:p>
          <w:p w14:paraId="3D90670C" w14:textId="77777777" w:rsidR="00E51CDD" w:rsidRPr="002360D5" w:rsidRDefault="00E51CDD" w:rsidP="009938D9">
            <w:pPr>
              <w:keepNext/>
              <w:spacing w:before="40" w:after="40"/>
              <w:jc w:val="center"/>
              <w:rPr>
                <w:color w:val="000000"/>
                <w:sz w:val="20"/>
              </w:rPr>
            </w:pPr>
            <w:r w:rsidRPr="002360D5">
              <w:rPr>
                <w:color w:val="000000"/>
                <w:sz w:val="20"/>
              </w:rPr>
              <w:t>[2.53-3.01]</w:t>
            </w:r>
          </w:p>
        </w:tc>
      </w:tr>
    </w:tbl>
    <w:p w14:paraId="68065CBB" w14:textId="77777777" w:rsidR="00E51CDD" w:rsidRPr="002360D5" w:rsidRDefault="00E51CDD" w:rsidP="00E51CDD">
      <w:pPr>
        <w:keepNext/>
        <w:ind w:left="284" w:hanging="284"/>
        <w:jc w:val="both"/>
        <w:rPr>
          <w:i/>
          <w:iCs/>
          <w:color w:val="000000"/>
          <w:sz w:val="18"/>
          <w:szCs w:val="18"/>
        </w:rPr>
      </w:pPr>
      <w:r w:rsidRPr="002360D5">
        <w:rPr>
          <w:i/>
          <w:iCs/>
          <w:color w:val="000000"/>
          <w:sz w:val="18"/>
          <w:szCs w:val="18"/>
        </w:rPr>
        <w:t>CL = Confidence Limits</w:t>
      </w:r>
    </w:p>
    <w:p w14:paraId="57206373" w14:textId="77777777" w:rsidR="00E51CDD" w:rsidRPr="002360D5" w:rsidRDefault="00E51CDD" w:rsidP="00E51CDD">
      <w:pPr>
        <w:keepNext/>
        <w:ind w:left="284" w:hanging="284"/>
        <w:jc w:val="both"/>
        <w:rPr>
          <w:color w:val="000000"/>
          <w:sz w:val="18"/>
          <w:szCs w:val="18"/>
        </w:rPr>
      </w:pPr>
      <w:r w:rsidRPr="002360D5">
        <w:rPr>
          <w:color w:val="000000"/>
          <w:sz w:val="18"/>
          <w:szCs w:val="18"/>
        </w:rPr>
        <w:t>*</w:t>
      </w:r>
      <w:r w:rsidRPr="002360D5">
        <w:rPr>
          <w:color w:val="000000"/>
          <w:sz w:val="18"/>
          <w:szCs w:val="18"/>
        </w:rPr>
        <w:tab/>
        <w:t>Mortality statistically significant different compared to the control (Chi</w:t>
      </w:r>
      <w:r w:rsidRPr="002360D5">
        <w:rPr>
          <w:color w:val="000000"/>
          <w:sz w:val="18"/>
          <w:szCs w:val="18"/>
          <w:vertAlign w:val="superscript"/>
        </w:rPr>
        <w:t>2</w:t>
      </w:r>
      <w:r w:rsidRPr="002360D5">
        <w:rPr>
          <w:color w:val="000000"/>
          <w:sz w:val="18"/>
          <w:szCs w:val="18"/>
        </w:rPr>
        <w:t xml:space="preserve"> 2x2 Table Test with Bonferroni Correction, α = 0.05).</w:t>
      </w:r>
    </w:p>
    <w:p w14:paraId="109413BD" w14:textId="77777777" w:rsidR="00E51CDD" w:rsidRPr="002360D5" w:rsidRDefault="00E51CDD" w:rsidP="00E51CDD">
      <w:pPr>
        <w:keepNext/>
        <w:spacing w:before="40"/>
        <w:ind w:left="284" w:hanging="284"/>
        <w:jc w:val="both"/>
        <w:rPr>
          <w:color w:val="000000"/>
          <w:sz w:val="18"/>
          <w:szCs w:val="18"/>
        </w:rPr>
      </w:pPr>
      <w:r w:rsidRPr="002360D5">
        <w:rPr>
          <w:color w:val="000000"/>
          <w:sz w:val="18"/>
          <w:szCs w:val="18"/>
          <w:vertAlign w:val="superscript"/>
        </w:rPr>
        <w:t>1)</w:t>
      </w:r>
      <w:r w:rsidRPr="002360D5">
        <w:rPr>
          <w:color w:val="000000"/>
          <w:sz w:val="18"/>
          <w:szCs w:val="18"/>
        </w:rPr>
        <w:tab/>
        <w:t>Application rate in 200 L water/ha.</w:t>
      </w:r>
    </w:p>
    <w:p w14:paraId="1BC5EEC9" w14:textId="77777777" w:rsidR="00E51CDD" w:rsidRPr="002360D5" w:rsidRDefault="00E51CDD" w:rsidP="00E51CDD">
      <w:pPr>
        <w:keepNext/>
        <w:ind w:left="284" w:hanging="284"/>
        <w:jc w:val="both"/>
        <w:rPr>
          <w:color w:val="000000"/>
          <w:sz w:val="18"/>
          <w:szCs w:val="18"/>
        </w:rPr>
      </w:pPr>
      <w:r w:rsidRPr="002360D5">
        <w:rPr>
          <w:color w:val="000000"/>
          <w:sz w:val="18"/>
          <w:szCs w:val="18"/>
          <w:vertAlign w:val="superscript"/>
        </w:rPr>
        <w:t>2)</w:t>
      </w:r>
      <w:r w:rsidRPr="002360D5">
        <w:rPr>
          <w:color w:val="000000"/>
          <w:sz w:val="18"/>
          <w:szCs w:val="18"/>
          <w:vertAlign w:val="superscript"/>
        </w:rPr>
        <w:tab/>
      </w:r>
      <w:r w:rsidRPr="002360D5">
        <w:rPr>
          <w:color w:val="000000"/>
          <w:sz w:val="18"/>
          <w:szCs w:val="18"/>
        </w:rPr>
        <w:t>Mortality after 7 days of exposure to BAS 736 00 F on glass surface.</w:t>
      </w:r>
    </w:p>
    <w:p w14:paraId="1366668B" w14:textId="77777777" w:rsidR="00E51CDD" w:rsidRPr="002360D5" w:rsidRDefault="00E51CDD" w:rsidP="00E51CDD">
      <w:pPr>
        <w:keepNext/>
        <w:ind w:left="284" w:hanging="284"/>
        <w:jc w:val="both"/>
        <w:rPr>
          <w:color w:val="000000"/>
          <w:sz w:val="18"/>
          <w:szCs w:val="18"/>
        </w:rPr>
      </w:pPr>
      <w:r w:rsidRPr="002360D5">
        <w:rPr>
          <w:color w:val="000000"/>
          <w:sz w:val="18"/>
          <w:szCs w:val="18"/>
          <w:vertAlign w:val="superscript"/>
        </w:rPr>
        <w:t>3)</w:t>
      </w:r>
      <w:r w:rsidRPr="002360D5">
        <w:rPr>
          <w:color w:val="000000"/>
          <w:sz w:val="18"/>
          <w:szCs w:val="18"/>
          <w:vertAlign w:val="superscript"/>
        </w:rPr>
        <w:tab/>
      </w:r>
      <w:r w:rsidRPr="002360D5">
        <w:rPr>
          <w:color w:val="000000"/>
          <w:sz w:val="18"/>
          <w:szCs w:val="18"/>
        </w:rPr>
        <w:t>Corrected mortality according to Abbott (1925).</w:t>
      </w:r>
    </w:p>
    <w:p w14:paraId="5A78ADF3" w14:textId="77777777" w:rsidR="00E51CDD" w:rsidRDefault="00E51CDD" w:rsidP="00E51CDD">
      <w:pPr>
        <w:widowControl w:val="0"/>
        <w:rPr>
          <w:color w:val="000000"/>
          <w:szCs w:val="24"/>
        </w:rPr>
      </w:pPr>
    </w:p>
    <w:p w14:paraId="62B619BE" w14:textId="77777777" w:rsidR="00E51CDD" w:rsidRPr="002360D5" w:rsidRDefault="00E51CDD" w:rsidP="00E51CDD">
      <w:pPr>
        <w:widowControl w:val="0"/>
        <w:rPr>
          <w:color w:val="000000"/>
          <w:szCs w:val="24"/>
        </w:rPr>
      </w:pPr>
    </w:p>
    <w:p w14:paraId="7F067F63" w14:textId="77777777" w:rsidR="00E51CDD" w:rsidRPr="002360D5" w:rsidRDefault="00E51CDD" w:rsidP="00E51CDD">
      <w:pPr>
        <w:widowControl w:val="0"/>
        <w:tabs>
          <w:tab w:val="left" w:pos="425"/>
          <w:tab w:val="left" w:pos="850"/>
        </w:tabs>
        <w:ind w:left="2835" w:hanging="2835"/>
        <w:jc w:val="both"/>
        <w:rPr>
          <w:color w:val="000000"/>
          <w:szCs w:val="24"/>
        </w:rPr>
      </w:pPr>
      <w:r w:rsidRPr="002360D5">
        <w:rPr>
          <w:color w:val="000000"/>
          <w:szCs w:val="24"/>
        </w:rPr>
        <w:t xml:space="preserve">The reference item caused a mortality of 78.0% of exposed mites, resulting in a corrected mortality of </w:t>
      </w:r>
    </w:p>
    <w:p w14:paraId="3751F259" w14:textId="77777777" w:rsidR="00E51CDD" w:rsidRPr="002360D5" w:rsidRDefault="00E51CDD" w:rsidP="00E51CDD">
      <w:pPr>
        <w:widowControl w:val="0"/>
        <w:tabs>
          <w:tab w:val="left" w:pos="425"/>
          <w:tab w:val="left" w:pos="850"/>
        </w:tabs>
        <w:ind w:left="2835" w:hanging="2835"/>
        <w:rPr>
          <w:color w:val="000000"/>
          <w:szCs w:val="24"/>
        </w:rPr>
      </w:pPr>
      <w:r w:rsidRPr="002360D5">
        <w:rPr>
          <w:color w:val="000000"/>
          <w:szCs w:val="24"/>
        </w:rPr>
        <w:t>77.6%.</w:t>
      </w:r>
    </w:p>
    <w:p w14:paraId="5DCB240F" w14:textId="77777777" w:rsidR="00E51CDD" w:rsidRPr="002360D5" w:rsidRDefault="00E51CDD" w:rsidP="00E51CDD">
      <w:pPr>
        <w:widowControl w:val="0"/>
        <w:tabs>
          <w:tab w:val="left" w:pos="425"/>
          <w:tab w:val="left" w:pos="850"/>
        </w:tabs>
        <w:ind w:left="2835" w:hanging="2835"/>
        <w:rPr>
          <w:color w:val="000000"/>
          <w:szCs w:val="24"/>
        </w:rPr>
      </w:pPr>
    </w:p>
    <w:p w14:paraId="55334A96" w14:textId="77777777" w:rsidR="00E51CDD" w:rsidRPr="002360D5" w:rsidRDefault="00E51CDD" w:rsidP="00E51CDD">
      <w:pPr>
        <w:widowControl w:val="0"/>
        <w:tabs>
          <w:tab w:val="left" w:pos="425"/>
          <w:tab w:val="left" w:pos="850"/>
        </w:tabs>
        <w:ind w:left="2835" w:hanging="2835"/>
        <w:rPr>
          <w:color w:val="000000"/>
          <w:szCs w:val="24"/>
        </w:rPr>
      </w:pPr>
    </w:p>
    <w:p w14:paraId="2BC12EFD" w14:textId="77777777" w:rsidR="00E51CDD" w:rsidRPr="002360D5" w:rsidRDefault="00E51CDD" w:rsidP="00E51CDD">
      <w:pPr>
        <w:widowControl w:val="0"/>
        <w:tabs>
          <w:tab w:val="left" w:pos="425"/>
          <w:tab w:val="left" w:pos="850"/>
        </w:tabs>
        <w:ind w:left="2835" w:hanging="2835"/>
        <w:rPr>
          <w:color w:val="000000"/>
          <w:szCs w:val="24"/>
          <w:u w:val="single"/>
        </w:rPr>
      </w:pPr>
      <w:bookmarkStart w:id="1223" w:name="_Hlk69114208"/>
      <w:r w:rsidRPr="002360D5">
        <w:rPr>
          <w:color w:val="000000"/>
          <w:szCs w:val="24"/>
          <w:u w:val="single"/>
        </w:rPr>
        <w:t>Validity criteria:</w:t>
      </w:r>
    </w:p>
    <w:p w14:paraId="2D34793A" w14:textId="77777777" w:rsidR="00E51CDD" w:rsidRPr="002360D5" w:rsidRDefault="00E51CDD" w:rsidP="00E51CDD">
      <w:pPr>
        <w:widowControl w:val="0"/>
        <w:tabs>
          <w:tab w:val="left" w:pos="425"/>
          <w:tab w:val="left" w:pos="850"/>
        </w:tabs>
        <w:ind w:left="2835" w:hanging="2835"/>
        <w:rPr>
          <w:color w:val="000000"/>
          <w:szCs w:val="24"/>
        </w:rPr>
      </w:pPr>
    </w:p>
    <w:tbl>
      <w:tblPr>
        <w:tblStyle w:val="DAR0073"/>
        <w:tblW w:w="5000" w:type="pct"/>
        <w:tblLook w:val="04A0" w:firstRow="1" w:lastRow="0" w:firstColumn="1" w:lastColumn="0" w:noHBand="0" w:noVBand="1"/>
      </w:tblPr>
      <w:tblGrid>
        <w:gridCol w:w="5826"/>
        <w:gridCol w:w="3518"/>
      </w:tblGrid>
      <w:tr w:rsidR="00E51CDD" w:rsidRPr="002360D5" w14:paraId="797B6AED" w14:textId="77777777" w:rsidTr="009938D9">
        <w:tc>
          <w:tcPr>
            <w:tcW w:w="3119" w:type="pct"/>
            <w:vAlign w:val="center"/>
          </w:tcPr>
          <w:p w14:paraId="511B6D54" w14:textId="77777777" w:rsidR="00E51CDD" w:rsidRPr="002360D5" w:rsidRDefault="00E51CDD" w:rsidP="009938D9">
            <w:pPr>
              <w:widowControl w:val="0"/>
              <w:tabs>
                <w:tab w:val="left" w:pos="425"/>
                <w:tab w:val="left" w:pos="850"/>
              </w:tabs>
              <w:ind w:left="2835" w:hanging="2835"/>
              <w:rPr>
                <w:b/>
                <w:color w:val="000000"/>
                <w:sz w:val="20"/>
                <w:szCs w:val="20"/>
              </w:rPr>
            </w:pPr>
            <w:r w:rsidRPr="002360D5">
              <w:rPr>
                <w:b/>
                <w:color w:val="000000"/>
                <w:sz w:val="20"/>
                <w:szCs w:val="20"/>
              </w:rPr>
              <w:t>Validity criteria according to Bluemel et al (2000)</w:t>
            </w:r>
          </w:p>
        </w:tc>
        <w:tc>
          <w:tcPr>
            <w:tcW w:w="1881" w:type="pct"/>
            <w:vAlign w:val="center"/>
          </w:tcPr>
          <w:p w14:paraId="243DFF64" w14:textId="77777777" w:rsidR="00E51CDD" w:rsidRPr="002360D5" w:rsidRDefault="00E51CDD" w:rsidP="009938D9">
            <w:pPr>
              <w:widowControl w:val="0"/>
              <w:tabs>
                <w:tab w:val="left" w:pos="425"/>
                <w:tab w:val="left" w:pos="850"/>
              </w:tabs>
              <w:ind w:left="2835" w:hanging="2835"/>
              <w:rPr>
                <w:b/>
                <w:color w:val="000000"/>
                <w:sz w:val="20"/>
                <w:szCs w:val="20"/>
              </w:rPr>
            </w:pPr>
            <w:r w:rsidRPr="002360D5">
              <w:rPr>
                <w:b/>
                <w:color w:val="000000"/>
                <w:sz w:val="20"/>
                <w:szCs w:val="20"/>
              </w:rPr>
              <w:t>Obtained in this study</w:t>
            </w:r>
          </w:p>
        </w:tc>
      </w:tr>
      <w:tr w:rsidR="00E51CDD" w:rsidRPr="002360D5" w14:paraId="1C0DAAEB" w14:textId="77777777" w:rsidTr="009938D9">
        <w:tc>
          <w:tcPr>
            <w:tcW w:w="3119" w:type="pct"/>
            <w:vAlign w:val="center"/>
          </w:tcPr>
          <w:p w14:paraId="0EC210DE" w14:textId="77777777" w:rsidR="00E51CDD" w:rsidRPr="002360D5" w:rsidRDefault="00E51CDD" w:rsidP="009938D9">
            <w:pPr>
              <w:widowControl w:val="0"/>
              <w:tabs>
                <w:tab w:val="left" w:pos="425"/>
                <w:tab w:val="left" w:pos="850"/>
              </w:tabs>
              <w:ind w:left="2835" w:hanging="2835"/>
              <w:rPr>
                <w:color w:val="000000"/>
                <w:sz w:val="20"/>
                <w:szCs w:val="20"/>
              </w:rPr>
            </w:pPr>
            <w:r w:rsidRPr="002360D5">
              <w:rPr>
                <w:color w:val="000000"/>
                <w:sz w:val="20"/>
                <w:szCs w:val="20"/>
              </w:rPr>
              <w:t>Control mortality ≤ 20% on day 7</w:t>
            </w:r>
          </w:p>
        </w:tc>
        <w:tc>
          <w:tcPr>
            <w:tcW w:w="1881" w:type="pct"/>
            <w:vAlign w:val="center"/>
          </w:tcPr>
          <w:p w14:paraId="460DD769" w14:textId="77777777" w:rsidR="00E51CDD" w:rsidRPr="002360D5" w:rsidRDefault="00E51CDD" w:rsidP="009938D9">
            <w:pPr>
              <w:widowControl w:val="0"/>
              <w:tabs>
                <w:tab w:val="left" w:pos="425"/>
                <w:tab w:val="left" w:pos="850"/>
              </w:tabs>
              <w:ind w:left="2835" w:hanging="2835"/>
              <w:rPr>
                <w:color w:val="000000"/>
                <w:sz w:val="20"/>
                <w:szCs w:val="20"/>
              </w:rPr>
            </w:pPr>
            <w:r w:rsidRPr="002360D5">
              <w:rPr>
                <w:color w:val="000000"/>
                <w:sz w:val="20"/>
                <w:szCs w:val="20"/>
              </w:rPr>
              <w:t>2.0%</w:t>
            </w:r>
          </w:p>
        </w:tc>
      </w:tr>
      <w:tr w:rsidR="00E51CDD" w:rsidRPr="002360D5" w14:paraId="39453019" w14:textId="77777777" w:rsidTr="009938D9">
        <w:tc>
          <w:tcPr>
            <w:tcW w:w="3119" w:type="pct"/>
            <w:vAlign w:val="center"/>
          </w:tcPr>
          <w:p w14:paraId="5362AFB1" w14:textId="77777777" w:rsidR="00E51CDD" w:rsidRPr="002360D5" w:rsidRDefault="00E51CDD" w:rsidP="009938D9">
            <w:pPr>
              <w:widowControl w:val="0"/>
              <w:tabs>
                <w:tab w:val="left" w:pos="425"/>
                <w:tab w:val="left" w:pos="850"/>
              </w:tabs>
              <w:ind w:left="2835" w:hanging="2835"/>
              <w:rPr>
                <w:color w:val="000000"/>
                <w:sz w:val="20"/>
                <w:szCs w:val="20"/>
              </w:rPr>
            </w:pPr>
            <w:r w:rsidRPr="002360D5">
              <w:rPr>
                <w:color w:val="000000"/>
                <w:sz w:val="20"/>
                <w:szCs w:val="20"/>
              </w:rPr>
              <w:t>Corrected mortality in the reference group 50-100% on day 7</w:t>
            </w:r>
          </w:p>
        </w:tc>
        <w:tc>
          <w:tcPr>
            <w:tcW w:w="1881" w:type="pct"/>
            <w:vAlign w:val="center"/>
          </w:tcPr>
          <w:p w14:paraId="0BFB0D98" w14:textId="77777777" w:rsidR="00E51CDD" w:rsidRPr="002360D5" w:rsidRDefault="00E51CDD" w:rsidP="009938D9">
            <w:pPr>
              <w:widowControl w:val="0"/>
              <w:tabs>
                <w:tab w:val="left" w:pos="425"/>
                <w:tab w:val="left" w:pos="850"/>
              </w:tabs>
              <w:ind w:left="2835" w:hanging="2835"/>
              <w:rPr>
                <w:color w:val="000000"/>
                <w:sz w:val="20"/>
                <w:szCs w:val="20"/>
              </w:rPr>
            </w:pPr>
            <w:r w:rsidRPr="002360D5">
              <w:rPr>
                <w:color w:val="000000"/>
                <w:sz w:val="20"/>
                <w:szCs w:val="20"/>
              </w:rPr>
              <w:t>77.6%</w:t>
            </w:r>
          </w:p>
        </w:tc>
      </w:tr>
    </w:tbl>
    <w:p w14:paraId="2E530B8C" w14:textId="77777777" w:rsidR="00E51CDD" w:rsidRDefault="00E51CDD" w:rsidP="00E51CDD">
      <w:pPr>
        <w:widowControl w:val="0"/>
        <w:tabs>
          <w:tab w:val="left" w:pos="425"/>
          <w:tab w:val="left" w:pos="850"/>
        </w:tabs>
        <w:ind w:left="2835" w:hanging="2835"/>
        <w:rPr>
          <w:color w:val="000000"/>
          <w:szCs w:val="24"/>
        </w:rPr>
      </w:pPr>
    </w:p>
    <w:p w14:paraId="42EEB2E1" w14:textId="77777777" w:rsidR="00E51CDD" w:rsidRPr="002360D5" w:rsidRDefault="00E51CDD" w:rsidP="00E51CDD">
      <w:pPr>
        <w:widowControl w:val="0"/>
        <w:tabs>
          <w:tab w:val="left" w:pos="425"/>
          <w:tab w:val="left" w:pos="850"/>
        </w:tabs>
        <w:ind w:left="2835" w:hanging="2835"/>
        <w:rPr>
          <w:color w:val="000000"/>
          <w:szCs w:val="24"/>
        </w:rPr>
      </w:pPr>
    </w:p>
    <w:p w14:paraId="5A514458" w14:textId="77777777" w:rsidR="00E51CDD" w:rsidRPr="002360D5" w:rsidRDefault="00E51CDD" w:rsidP="00E51CDD">
      <w:pPr>
        <w:widowControl w:val="0"/>
        <w:tabs>
          <w:tab w:val="left" w:pos="425"/>
          <w:tab w:val="left" w:pos="850"/>
        </w:tabs>
        <w:ind w:left="2835" w:hanging="2835"/>
        <w:rPr>
          <w:color w:val="000000"/>
          <w:szCs w:val="24"/>
        </w:rPr>
      </w:pPr>
      <w:r w:rsidRPr="002360D5">
        <w:rPr>
          <w:color w:val="000000"/>
          <w:szCs w:val="24"/>
        </w:rPr>
        <w:t>All validity criteria were met.</w:t>
      </w:r>
    </w:p>
    <w:bookmarkEnd w:id="1223"/>
    <w:p w14:paraId="7AB7BF4E" w14:textId="77777777" w:rsidR="00E51CDD" w:rsidRPr="002360D5" w:rsidRDefault="00E51CDD" w:rsidP="00E51CDD">
      <w:pPr>
        <w:widowControl w:val="0"/>
        <w:tabs>
          <w:tab w:val="left" w:pos="425"/>
          <w:tab w:val="left" w:pos="850"/>
        </w:tabs>
        <w:ind w:left="2835" w:hanging="2835"/>
        <w:rPr>
          <w:color w:val="000000"/>
          <w:szCs w:val="24"/>
        </w:rPr>
      </w:pPr>
    </w:p>
    <w:p w14:paraId="7632FD48" w14:textId="77777777" w:rsidR="00E51CDD" w:rsidRPr="002360D5" w:rsidRDefault="00E51CDD" w:rsidP="00E51CDD">
      <w:pPr>
        <w:widowControl w:val="0"/>
        <w:tabs>
          <w:tab w:val="left" w:pos="425"/>
          <w:tab w:val="left" w:pos="850"/>
        </w:tabs>
        <w:ind w:left="2835" w:hanging="2835"/>
        <w:rPr>
          <w:color w:val="000000"/>
          <w:szCs w:val="24"/>
        </w:rPr>
      </w:pPr>
    </w:p>
    <w:p w14:paraId="1D2BAD5E" w14:textId="77777777" w:rsidR="00E51CDD" w:rsidRPr="002360D5" w:rsidRDefault="00E51CDD" w:rsidP="00E51CDD">
      <w:pPr>
        <w:widowControl w:val="0"/>
        <w:tabs>
          <w:tab w:val="left" w:pos="425"/>
          <w:tab w:val="left" w:pos="850"/>
        </w:tabs>
        <w:ind w:left="2835" w:hanging="2835"/>
        <w:jc w:val="both"/>
        <w:rPr>
          <w:b/>
          <w:color w:val="000000"/>
        </w:rPr>
      </w:pPr>
      <w:r w:rsidRPr="002360D5">
        <w:rPr>
          <w:b/>
          <w:color w:val="000000"/>
        </w:rPr>
        <w:t>III.</w:t>
      </w:r>
      <w:r w:rsidRPr="002360D5">
        <w:rPr>
          <w:b/>
          <w:color w:val="000000"/>
        </w:rPr>
        <w:tab/>
        <w:t>CONCLUSION</w:t>
      </w:r>
    </w:p>
    <w:p w14:paraId="2FA6AC84" w14:textId="77777777" w:rsidR="00E51CDD" w:rsidRPr="002360D5" w:rsidRDefault="00E51CDD" w:rsidP="00E51CDD">
      <w:pPr>
        <w:widowControl w:val="0"/>
        <w:jc w:val="both"/>
        <w:rPr>
          <w:bCs/>
          <w:color w:val="000000"/>
          <w:szCs w:val="24"/>
          <w:lang w:eastAsia="en-US"/>
        </w:rPr>
      </w:pPr>
    </w:p>
    <w:p w14:paraId="283514BA" w14:textId="77777777" w:rsidR="00E51CDD" w:rsidRDefault="00E51CDD" w:rsidP="00E51CDD">
      <w:pPr>
        <w:widowControl w:val="0"/>
        <w:jc w:val="both"/>
        <w:rPr>
          <w:b/>
          <w:color w:val="000000"/>
          <w:szCs w:val="24"/>
        </w:rPr>
      </w:pPr>
      <w:r w:rsidRPr="002360D5">
        <w:rPr>
          <w:b/>
          <w:color w:val="000000"/>
          <w:szCs w:val="24"/>
        </w:rPr>
        <w:t>In a worst-case laboratory study with BAS 736 00 F, the LR</w:t>
      </w:r>
      <w:r w:rsidRPr="002360D5">
        <w:rPr>
          <w:b/>
          <w:color w:val="000000"/>
          <w:szCs w:val="24"/>
          <w:vertAlign w:val="subscript"/>
        </w:rPr>
        <w:t xml:space="preserve">50 </w:t>
      </w:r>
      <w:r w:rsidRPr="002360D5">
        <w:rPr>
          <w:b/>
          <w:color w:val="000000"/>
          <w:szCs w:val="24"/>
        </w:rPr>
        <w:t xml:space="preserve">for </w:t>
      </w:r>
      <w:r w:rsidRPr="002360D5">
        <w:rPr>
          <w:b/>
          <w:i/>
          <w:color w:val="000000"/>
          <w:szCs w:val="24"/>
        </w:rPr>
        <w:t xml:space="preserve">Typhlodromus pyri </w:t>
      </w:r>
      <w:r w:rsidRPr="002360D5">
        <w:rPr>
          <w:b/>
          <w:color w:val="000000"/>
          <w:szCs w:val="24"/>
        </w:rPr>
        <w:t xml:space="preserve">was determined to be 2.75 L BAS 736 00 F/ha. </w:t>
      </w:r>
    </w:p>
    <w:p w14:paraId="1768F612" w14:textId="77777777" w:rsidR="00E51CDD" w:rsidRPr="002360D5" w:rsidRDefault="00E51CDD" w:rsidP="00E51CDD">
      <w:pPr>
        <w:widowControl w:val="0"/>
        <w:jc w:val="both"/>
      </w:pPr>
      <w:r>
        <w:rPr>
          <w:b/>
          <w:color w:val="000000"/>
          <w:szCs w:val="24"/>
        </w:rPr>
        <w:br w:type="page"/>
      </w:r>
    </w:p>
    <w:p w14:paraId="30B4C37E" w14:textId="77777777" w:rsidR="00E51CDD" w:rsidRPr="00BE28C7" w:rsidRDefault="00E51CDD" w:rsidP="00B31542">
      <w:pPr>
        <w:pStyle w:val="RepAppendix4"/>
      </w:pPr>
      <w:r w:rsidRPr="00BE28C7">
        <w:lastRenderedPageBreak/>
        <w:t>Study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2B0DFE43" w14:textId="77777777" w:rsidTr="00144797">
        <w:trPr>
          <w:trHeight w:val="915"/>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BC8008" w14:textId="77777777" w:rsidR="00E51CDD" w:rsidRDefault="00E51CDD" w:rsidP="009938D9">
            <w:pPr>
              <w:pStyle w:val="RepStandard"/>
              <w:rPr>
                <w:rFonts w:eastAsia="Batang"/>
              </w:rPr>
            </w:pPr>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8882C7" w14:textId="4B81A266" w:rsidR="00E51CDD" w:rsidRDefault="00093A46" w:rsidP="009938D9">
            <w:pPr>
              <w:pStyle w:val="RepStandard"/>
              <w:ind w:left="85"/>
              <w:rPr>
                <w:rFonts w:eastAsia="Batang"/>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52E00E61"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39D3C36C" w14:textId="77777777" w:rsidTr="009938D9">
        <w:trPr>
          <w:gridAfter w:val="1"/>
          <w:wAfter w:w="9" w:type="pct"/>
        </w:trPr>
        <w:tc>
          <w:tcPr>
            <w:tcW w:w="1340" w:type="pct"/>
            <w:hideMark/>
          </w:tcPr>
          <w:p w14:paraId="7894885C" w14:textId="77777777" w:rsidR="00E51CDD" w:rsidRDefault="00E51CDD" w:rsidP="009938D9">
            <w:pPr>
              <w:pStyle w:val="RepStandard"/>
              <w:rPr>
                <w:lang w:val="de-DE"/>
              </w:rPr>
            </w:pPr>
            <w:r>
              <w:t>Reference:</w:t>
            </w:r>
          </w:p>
        </w:tc>
        <w:tc>
          <w:tcPr>
            <w:tcW w:w="3651" w:type="pct"/>
            <w:hideMark/>
          </w:tcPr>
          <w:p w14:paraId="75402B8D" w14:textId="77777777" w:rsidR="00E51CDD" w:rsidRDefault="00E51CDD" w:rsidP="009938D9">
            <w:pPr>
              <w:pStyle w:val="RepStandard"/>
            </w:pPr>
            <w:r>
              <w:t>CP 10.3.2.1/2</w:t>
            </w:r>
          </w:p>
        </w:tc>
      </w:tr>
      <w:tr w:rsidR="00E51CDD" w14:paraId="5504AEA1" w14:textId="77777777" w:rsidTr="009938D9">
        <w:trPr>
          <w:gridAfter w:val="1"/>
          <w:wAfter w:w="9" w:type="pct"/>
        </w:trPr>
        <w:tc>
          <w:tcPr>
            <w:tcW w:w="1340" w:type="pct"/>
            <w:hideMark/>
          </w:tcPr>
          <w:p w14:paraId="0BFCE22D" w14:textId="77777777" w:rsidR="00E51CDD" w:rsidRDefault="00E51CDD" w:rsidP="009938D9">
            <w:pPr>
              <w:pStyle w:val="RepStandard"/>
              <w:spacing w:after="120"/>
            </w:pPr>
            <w:r>
              <w:t>Report</w:t>
            </w:r>
          </w:p>
        </w:tc>
        <w:tc>
          <w:tcPr>
            <w:tcW w:w="3651" w:type="pct"/>
            <w:hideMark/>
          </w:tcPr>
          <w:p w14:paraId="7F7D86F3" w14:textId="77777777" w:rsidR="00E51CDD" w:rsidRDefault="00E51CDD" w:rsidP="009938D9">
            <w:pPr>
              <w:pStyle w:val="RepStandard"/>
              <w:spacing w:after="120"/>
              <w:rPr>
                <w:lang w:val="en-US"/>
              </w:rPr>
            </w:pPr>
            <w:r>
              <w:rPr>
                <w:lang w:val="en-US"/>
              </w:rPr>
              <w:t>Effects of BAS 736 00 F on the parasitic wasp Aphidius rhopalosiphi (DESTEFANI-PEREZ) in a laboratory test,</w:t>
            </w:r>
          </w:p>
          <w:p w14:paraId="0DAF17BC" w14:textId="77777777" w:rsidR="00E51CDD" w:rsidRDefault="00E51CDD" w:rsidP="009938D9">
            <w:pPr>
              <w:pStyle w:val="RepStandard"/>
              <w:spacing w:after="120"/>
              <w:rPr>
                <w:lang w:val="en-US"/>
              </w:rPr>
            </w:pPr>
            <w:r>
              <w:rPr>
                <w:lang w:val="en-US"/>
              </w:rPr>
              <w:t>Roehlig, U., 2019</w:t>
            </w:r>
          </w:p>
          <w:p w14:paraId="112E39BA" w14:textId="77777777" w:rsidR="00E51CDD" w:rsidRDefault="00E51CDD" w:rsidP="009938D9">
            <w:pPr>
              <w:pStyle w:val="RepStandard"/>
              <w:spacing w:after="120"/>
              <w:rPr>
                <w:lang w:val="en-US"/>
              </w:rPr>
            </w:pPr>
            <w:r>
              <w:rPr>
                <w:lang w:val="en-US"/>
              </w:rPr>
              <w:t>report No 849671, 1948NAL0009</w:t>
            </w:r>
          </w:p>
          <w:p w14:paraId="3569516A" w14:textId="77777777" w:rsidR="00E51CDD" w:rsidRDefault="00E51CDD" w:rsidP="009938D9">
            <w:pPr>
              <w:pStyle w:val="RepStandard"/>
              <w:spacing w:after="120"/>
            </w:pPr>
            <w:r>
              <w:rPr>
                <w:lang w:val="en-US"/>
              </w:rPr>
              <w:t>2019/1061100</w:t>
            </w:r>
          </w:p>
          <w:p w14:paraId="246515DE" w14:textId="77777777" w:rsidR="00E51CDD" w:rsidRDefault="00E51CDD" w:rsidP="009938D9">
            <w:pPr>
              <w:pStyle w:val="RepStandard"/>
            </w:pPr>
            <w:r>
              <w:t>Authority registration No</w:t>
            </w:r>
          </w:p>
        </w:tc>
      </w:tr>
      <w:tr w:rsidR="00E51CDD" w14:paraId="7ED3236A" w14:textId="77777777" w:rsidTr="009938D9">
        <w:trPr>
          <w:gridAfter w:val="1"/>
          <w:wAfter w:w="9" w:type="pct"/>
        </w:trPr>
        <w:tc>
          <w:tcPr>
            <w:tcW w:w="1340" w:type="pct"/>
            <w:hideMark/>
          </w:tcPr>
          <w:p w14:paraId="2FAC2D2E" w14:textId="77777777" w:rsidR="00E51CDD" w:rsidRDefault="00E51CDD" w:rsidP="009938D9">
            <w:pPr>
              <w:pStyle w:val="RepStandard"/>
            </w:pPr>
            <w:r>
              <w:t>Guideline(s):</w:t>
            </w:r>
          </w:p>
        </w:tc>
        <w:tc>
          <w:tcPr>
            <w:tcW w:w="3651" w:type="pct"/>
            <w:hideMark/>
          </w:tcPr>
          <w:p w14:paraId="7B4E1D9E" w14:textId="77777777" w:rsidR="00E51CDD" w:rsidRDefault="00E51CDD" w:rsidP="009938D9">
            <w:pPr>
              <w:pStyle w:val="RepStandard"/>
              <w:spacing w:after="120"/>
            </w:pPr>
            <w:r>
              <w:rPr>
                <w:lang w:val="en-US"/>
              </w:rPr>
              <w:t>Mead-Briggs M. et al. (2000)</w:t>
            </w:r>
            <w:r>
              <w:t xml:space="preserve"> </w:t>
            </w:r>
          </w:p>
        </w:tc>
      </w:tr>
      <w:tr w:rsidR="00E51CDD" w14:paraId="2DDCB276" w14:textId="77777777" w:rsidTr="009938D9">
        <w:trPr>
          <w:gridAfter w:val="1"/>
          <w:wAfter w:w="9" w:type="pct"/>
        </w:trPr>
        <w:tc>
          <w:tcPr>
            <w:tcW w:w="1340" w:type="pct"/>
            <w:hideMark/>
          </w:tcPr>
          <w:p w14:paraId="0502A4CE" w14:textId="77777777" w:rsidR="00E51CDD" w:rsidRDefault="00E51CDD" w:rsidP="009938D9">
            <w:pPr>
              <w:pStyle w:val="RepStandard"/>
            </w:pPr>
            <w:r>
              <w:t>Deviations:</w:t>
            </w:r>
          </w:p>
        </w:tc>
        <w:tc>
          <w:tcPr>
            <w:tcW w:w="3651" w:type="pct"/>
            <w:hideMark/>
          </w:tcPr>
          <w:p w14:paraId="517919B9" w14:textId="77777777" w:rsidR="00E51CDD" w:rsidRDefault="00E51CDD" w:rsidP="009938D9">
            <w:pPr>
              <w:pStyle w:val="RepStandard"/>
              <w:spacing w:after="120"/>
            </w:pPr>
            <w:r>
              <w:t>No</w:t>
            </w:r>
          </w:p>
        </w:tc>
      </w:tr>
      <w:tr w:rsidR="00E51CDD" w:rsidRPr="00662F32" w14:paraId="19EB44CA" w14:textId="77777777" w:rsidTr="009938D9">
        <w:tc>
          <w:tcPr>
            <w:tcW w:w="1340" w:type="pct"/>
            <w:hideMark/>
          </w:tcPr>
          <w:p w14:paraId="06B7340F" w14:textId="77777777" w:rsidR="00E51CDD" w:rsidRDefault="00E51CDD" w:rsidP="009938D9">
            <w:pPr>
              <w:pStyle w:val="RepStandard"/>
            </w:pPr>
            <w:r>
              <w:t>GLP:</w:t>
            </w:r>
          </w:p>
        </w:tc>
        <w:tc>
          <w:tcPr>
            <w:tcW w:w="3660" w:type="pct"/>
            <w:gridSpan w:val="2"/>
            <w:hideMark/>
          </w:tcPr>
          <w:p w14:paraId="3D54D919" w14:textId="77777777" w:rsidR="00E51CDD" w:rsidRPr="001C4EA6" w:rsidRDefault="00E51CDD" w:rsidP="009938D9">
            <w:pPr>
              <w:tabs>
                <w:tab w:val="left" w:pos="425"/>
                <w:tab w:val="left" w:pos="850"/>
              </w:tabs>
              <w:spacing w:after="120"/>
              <w:ind w:left="1985" w:hanging="1985"/>
              <w:rPr>
                <w:b/>
                <w:lang w:val="de-DE"/>
              </w:rPr>
            </w:pPr>
            <w:r w:rsidRPr="001C4EA6">
              <w:rPr>
                <w:lang w:val="de-DE"/>
              </w:rPr>
              <w:t>yes</w:t>
            </w:r>
          </w:p>
          <w:p w14:paraId="7B197004" w14:textId="77777777" w:rsidR="00E51CDD" w:rsidRPr="001C4EA6" w:rsidRDefault="00E51CDD" w:rsidP="009938D9">
            <w:pPr>
              <w:pStyle w:val="RepStandard"/>
              <w:spacing w:after="120"/>
              <w:jc w:val="left"/>
              <w:rPr>
                <w:lang w:val="de-DE"/>
              </w:rPr>
            </w:pPr>
            <w:r w:rsidRPr="001C4EA6">
              <w:rPr>
                <w:lang w:val="de-DE"/>
              </w:rPr>
              <w:t xml:space="preserve">(certified by Saechsisches Staatsministerium fuer Umwelt und Landwirtschaft, Dresden, Germany), </w:t>
            </w:r>
          </w:p>
        </w:tc>
      </w:tr>
      <w:tr w:rsidR="00E51CDD" w14:paraId="44F562A2" w14:textId="77777777" w:rsidTr="009938D9">
        <w:trPr>
          <w:gridAfter w:val="1"/>
          <w:wAfter w:w="9" w:type="pct"/>
        </w:trPr>
        <w:tc>
          <w:tcPr>
            <w:tcW w:w="1340" w:type="pct"/>
            <w:hideMark/>
          </w:tcPr>
          <w:p w14:paraId="71BAAC42" w14:textId="77777777" w:rsidR="00E51CDD" w:rsidRDefault="00E51CDD" w:rsidP="009938D9">
            <w:pPr>
              <w:pStyle w:val="RepStandard"/>
              <w:rPr>
                <w:lang w:val="de-DE"/>
              </w:rPr>
            </w:pPr>
            <w:r>
              <w:t>Acceptability:</w:t>
            </w:r>
          </w:p>
        </w:tc>
        <w:tc>
          <w:tcPr>
            <w:tcW w:w="3651" w:type="pct"/>
            <w:hideMark/>
          </w:tcPr>
          <w:p w14:paraId="216F46A1" w14:textId="77777777" w:rsidR="00E51CDD" w:rsidRDefault="00E51CDD" w:rsidP="009938D9">
            <w:pPr>
              <w:pStyle w:val="RepStandard"/>
            </w:pPr>
            <w:r>
              <w:t xml:space="preserve">Yes </w:t>
            </w:r>
          </w:p>
        </w:tc>
      </w:tr>
      <w:tr w:rsidR="00E51CDD" w14:paraId="5B0E15D4" w14:textId="77777777" w:rsidTr="009938D9">
        <w:trPr>
          <w:gridAfter w:val="1"/>
          <w:wAfter w:w="9" w:type="pct"/>
        </w:trPr>
        <w:tc>
          <w:tcPr>
            <w:tcW w:w="1340" w:type="pct"/>
            <w:hideMark/>
          </w:tcPr>
          <w:p w14:paraId="14D5BA05" w14:textId="77777777" w:rsidR="00E51CDD" w:rsidRDefault="00E51CDD" w:rsidP="009938D9">
            <w:pPr>
              <w:pStyle w:val="RepStandard"/>
            </w:pPr>
            <w:r>
              <w:t xml:space="preserve">Duplication </w:t>
            </w:r>
            <w:r>
              <w:br/>
              <w:t>(if vertebrate study)</w:t>
            </w:r>
          </w:p>
        </w:tc>
        <w:tc>
          <w:tcPr>
            <w:tcW w:w="3651" w:type="pct"/>
            <w:hideMark/>
          </w:tcPr>
          <w:p w14:paraId="664E0B22" w14:textId="77777777" w:rsidR="00E51CDD" w:rsidRDefault="00E51CDD" w:rsidP="009938D9">
            <w:pPr>
              <w:pStyle w:val="RepStandard"/>
              <w:spacing w:after="120"/>
              <w:rPr>
                <w:highlight w:val="yellow"/>
              </w:rPr>
            </w:pPr>
            <w:r>
              <w:t>No</w:t>
            </w:r>
          </w:p>
        </w:tc>
      </w:tr>
    </w:tbl>
    <w:p w14:paraId="4668573B" w14:textId="77777777" w:rsidR="00E51CDD" w:rsidRPr="002360D5" w:rsidRDefault="00E51CDD" w:rsidP="00E51CDD">
      <w:pPr>
        <w:widowControl w:val="0"/>
        <w:tabs>
          <w:tab w:val="left" w:pos="425"/>
          <w:tab w:val="left" w:pos="850"/>
        </w:tabs>
        <w:ind w:left="2835" w:hanging="2835"/>
        <w:jc w:val="both"/>
        <w:rPr>
          <w:color w:val="0070C0"/>
          <w:szCs w:val="24"/>
        </w:rPr>
      </w:pPr>
    </w:p>
    <w:p w14:paraId="2BE75DE2" w14:textId="77777777" w:rsidR="00E51CDD" w:rsidRPr="002360D5" w:rsidRDefault="00E51CDD" w:rsidP="00E51CDD">
      <w:pPr>
        <w:widowControl w:val="0"/>
        <w:tabs>
          <w:tab w:val="left" w:pos="425"/>
          <w:tab w:val="left" w:pos="850"/>
        </w:tabs>
        <w:ind w:left="2835" w:hanging="2835"/>
        <w:jc w:val="both"/>
        <w:rPr>
          <w:b/>
          <w:color w:val="000000"/>
          <w:szCs w:val="24"/>
        </w:rPr>
      </w:pPr>
      <w:r w:rsidRPr="002360D5">
        <w:rPr>
          <w:b/>
          <w:color w:val="000000"/>
          <w:szCs w:val="24"/>
        </w:rPr>
        <w:t>Executive Summary</w:t>
      </w:r>
    </w:p>
    <w:p w14:paraId="66096CB5" w14:textId="77777777" w:rsidR="00E51CDD" w:rsidRPr="002360D5" w:rsidRDefault="00E51CDD" w:rsidP="00E51CDD">
      <w:pPr>
        <w:widowControl w:val="0"/>
        <w:tabs>
          <w:tab w:val="left" w:pos="425"/>
          <w:tab w:val="left" w:pos="850"/>
        </w:tabs>
        <w:ind w:left="2835" w:hanging="2835"/>
        <w:jc w:val="both"/>
        <w:rPr>
          <w:b/>
          <w:color w:val="000000"/>
          <w:szCs w:val="24"/>
        </w:rPr>
      </w:pPr>
    </w:p>
    <w:p w14:paraId="129C5225" w14:textId="77777777" w:rsidR="00E51CDD" w:rsidRPr="002360D5" w:rsidRDefault="00E51CDD" w:rsidP="00E51CDD">
      <w:pPr>
        <w:widowControl w:val="0"/>
        <w:jc w:val="both"/>
        <w:rPr>
          <w:color w:val="000000"/>
          <w:szCs w:val="24"/>
        </w:rPr>
      </w:pPr>
      <w:r w:rsidRPr="002360D5">
        <w:rPr>
          <w:bCs/>
          <w:color w:val="000000"/>
          <w:szCs w:val="24"/>
        </w:rPr>
        <w:t>In a worst-case laboratory study,</w:t>
      </w:r>
      <w:r w:rsidRPr="002360D5">
        <w:rPr>
          <w:color w:val="000000"/>
          <w:szCs w:val="24"/>
        </w:rPr>
        <w:t xml:space="preserve"> adults</w:t>
      </w:r>
      <w:r w:rsidRPr="002360D5">
        <w:rPr>
          <w:i/>
          <w:color w:val="000000"/>
          <w:szCs w:val="24"/>
        </w:rPr>
        <w:t xml:space="preserve"> </w:t>
      </w:r>
      <w:r w:rsidRPr="002360D5">
        <w:rPr>
          <w:color w:val="000000"/>
          <w:szCs w:val="24"/>
        </w:rPr>
        <w:t>of</w:t>
      </w:r>
      <w:r w:rsidRPr="002360D5">
        <w:rPr>
          <w:i/>
          <w:color w:val="000000"/>
          <w:szCs w:val="24"/>
        </w:rPr>
        <w:t xml:space="preserve"> Aphidius rhopalosiphi </w:t>
      </w:r>
      <w:r w:rsidRPr="002360D5">
        <w:rPr>
          <w:iCs/>
          <w:color w:val="000000"/>
          <w:szCs w:val="24"/>
          <w:lang w:eastAsia="en-US"/>
        </w:rPr>
        <w:t xml:space="preserve">(Hymenoptera: Braconidae) </w:t>
      </w:r>
      <w:r w:rsidRPr="002360D5">
        <w:rPr>
          <w:iCs/>
          <w:color w:val="000000"/>
          <w:szCs w:val="24"/>
        </w:rPr>
        <w:t xml:space="preserve">were exposed to </w:t>
      </w:r>
      <w:r w:rsidRPr="002360D5">
        <w:rPr>
          <w:color w:val="000000"/>
          <w:szCs w:val="24"/>
        </w:rPr>
        <w:t xml:space="preserve">dried residues of 0.25, 0.5, 1.0, 2.0 and 4.0 L BAS 736 00 F/ha. Additional test units were treated with deionized water as control and with Dimethoate EC 400 </w:t>
      </w:r>
      <w:bookmarkStart w:id="1224" w:name="_Hlk78877010"/>
      <w:r w:rsidRPr="002360D5">
        <w:rPr>
          <w:color w:val="000000"/>
          <w:szCs w:val="24"/>
        </w:rPr>
        <w:t xml:space="preserve">(dimethoate) </w:t>
      </w:r>
      <w:bookmarkEnd w:id="1224"/>
      <w:r w:rsidRPr="002360D5">
        <w:rPr>
          <w:color w:val="000000"/>
          <w:szCs w:val="24"/>
        </w:rPr>
        <w:t>as reference item. Mortality was assessed 2, 24 and 48 hours after exposure.</w:t>
      </w:r>
    </w:p>
    <w:p w14:paraId="1208089F" w14:textId="77777777" w:rsidR="00E51CDD" w:rsidRPr="002360D5" w:rsidRDefault="00E51CDD" w:rsidP="00E51CDD">
      <w:pPr>
        <w:widowControl w:val="0"/>
        <w:jc w:val="both"/>
        <w:rPr>
          <w:iCs/>
          <w:color w:val="0070C0"/>
          <w:szCs w:val="24"/>
        </w:rPr>
      </w:pPr>
    </w:p>
    <w:p w14:paraId="593F718F" w14:textId="77777777" w:rsidR="00E51CDD" w:rsidRPr="002360D5" w:rsidRDefault="00E51CDD" w:rsidP="00E51CDD">
      <w:pPr>
        <w:widowControl w:val="0"/>
        <w:tabs>
          <w:tab w:val="left" w:pos="6379"/>
        </w:tabs>
        <w:jc w:val="both"/>
        <w:rPr>
          <w:color w:val="000000"/>
          <w:szCs w:val="24"/>
        </w:rPr>
      </w:pPr>
      <w:r w:rsidRPr="002360D5">
        <w:rPr>
          <w:color w:val="000000"/>
          <w:szCs w:val="24"/>
        </w:rPr>
        <w:t xml:space="preserve">After 48 hours in the water-treated control a mortality of 5.0% was observed. In the test item treatments mortality ranged between 5.0% and 92.5%. This resulted in corrected mortality rates between 0% and 92.1%. </w:t>
      </w:r>
      <w:r w:rsidRPr="002360D5">
        <w:rPr>
          <w:szCs w:val="24"/>
        </w:rPr>
        <w:t xml:space="preserve">Statistically significant differences in mortality compared to the control were observed at </w:t>
      </w:r>
      <w:r w:rsidRPr="002360D5">
        <w:rPr>
          <w:color w:val="000000"/>
          <w:szCs w:val="24"/>
        </w:rPr>
        <w:t>2.0 and 4.0 L</w:t>
      </w:r>
      <w:r w:rsidRPr="002360D5">
        <w:rPr>
          <w:color w:val="000000"/>
          <w:szCs w:val="24"/>
          <w:lang w:eastAsia="en-US"/>
        </w:rPr>
        <w:t xml:space="preserve"> BAS 736 00 F</w:t>
      </w:r>
      <w:r w:rsidRPr="002360D5">
        <w:rPr>
          <w:color w:val="000000"/>
          <w:szCs w:val="24"/>
        </w:rPr>
        <w:t xml:space="preserve">/ha. </w:t>
      </w:r>
    </w:p>
    <w:p w14:paraId="71F464D2" w14:textId="77777777" w:rsidR="00E51CDD" w:rsidRPr="002360D5" w:rsidRDefault="00E51CDD" w:rsidP="00E51CDD">
      <w:pPr>
        <w:widowControl w:val="0"/>
        <w:tabs>
          <w:tab w:val="left" w:pos="6379"/>
        </w:tabs>
        <w:jc w:val="both"/>
        <w:rPr>
          <w:color w:val="0070C0"/>
          <w:szCs w:val="24"/>
        </w:rPr>
      </w:pPr>
    </w:p>
    <w:p w14:paraId="47CCBF61" w14:textId="77777777" w:rsidR="00E51CDD" w:rsidRDefault="00E51CDD" w:rsidP="00E51CDD">
      <w:pPr>
        <w:widowControl w:val="0"/>
        <w:jc w:val="both"/>
        <w:rPr>
          <w:b/>
          <w:color w:val="000000"/>
          <w:szCs w:val="24"/>
        </w:rPr>
      </w:pPr>
      <w:r w:rsidRPr="002360D5">
        <w:rPr>
          <w:b/>
          <w:color w:val="000000"/>
          <w:szCs w:val="24"/>
        </w:rPr>
        <w:t>In a worst-case laboratory study with BAS 736 00 F, the LR</w:t>
      </w:r>
      <w:r w:rsidRPr="002360D5">
        <w:rPr>
          <w:b/>
          <w:color w:val="000000"/>
          <w:szCs w:val="24"/>
          <w:vertAlign w:val="subscript"/>
        </w:rPr>
        <w:t>50</w:t>
      </w:r>
      <w:r w:rsidRPr="002360D5">
        <w:rPr>
          <w:b/>
          <w:color w:val="000000"/>
          <w:szCs w:val="24"/>
        </w:rPr>
        <w:t xml:space="preserve"> for </w:t>
      </w:r>
      <w:r w:rsidRPr="002360D5">
        <w:rPr>
          <w:b/>
          <w:i/>
          <w:iCs/>
          <w:color w:val="000000"/>
          <w:szCs w:val="24"/>
        </w:rPr>
        <w:t>Aphidius rhopalosiphi</w:t>
      </w:r>
      <w:r w:rsidRPr="002360D5">
        <w:rPr>
          <w:b/>
          <w:color w:val="000000"/>
          <w:szCs w:val="24"/>
        </w:rPr>
        <w:t xml:space="preserve"> was determined to be 2.67 L </w:t>
      </w:r>
      <w:r w:rsidRPr="002360D5">
        <w:rPr>
          <w:b/>
          <w:bCs/>
          <w:color w:val="000000"/>
          <w:szCs w:val="24"/>
        </w:rPr>
        <w:t>BAS 736 00 F</w:t>
      </w:r>
      <w:r w:rsidRPr="002360D5">
        <w:rPr>
          <w:b/>
          <w:color w:val="000000"/>
          <w:szCs w:val="24"/>
        </w:rPr>
        <w:t>/ha</w:t>
      </w:r>
      <w:r w:rsidRPr="002360D5">
        <w:rPr>
          <w:b/>
          <w:bCs/>
          <w:color w:val="000000"/>
          <w:szCs w:val="24"/>
        </w:rPr>
        <w:t>.</w:t>
      </w:r>
      <w:r w:rsidRPr="002360D5">
        <w:rPr>
          <w:b/>
          <w:color w:val="000000"/>
          <w:szCs w:val="24"/>
        </w:rPr>
        <w:t xml:space="preserve"> </w:t>
      </w:r>
    </w:p>
    <w:p w14:paraId="14D6C615" w14:textId="77777777" w:rsidR="00E51CDD" w:rsidRDefault="00E51CDD" w:rsidP="00E51CDD">
      <w:pPr>
        <w:widowControl w:val="0"/>
        <w:jc w:val="both"/>
        <w:rPr>
          <w:b/>
          <w:color w:val="000000"/>
          <w:szCs w:val="24"/>
        </w:rPr>
      </w:pPr>
    </w:p>
    <w:p w14:paraId="0E79BEF1" w14:textId="77777777" w:rsidR="00E51CDD" w:rsidRPr="002360D5" w:rsidRDefault="00E51CDD" w:rsidP="00E51CDD">
      <w:pPr>
        <w:widowControl w:val="0"/>
        <w:jc w:val="both"/>
        <w:rPr>
          <w:bCs/>
          <w:color w:val="0070C0"/>
          <w:szCs w:val="24"/>
        </w:rPr>
      </w:pPr>
      <w:r>
        <w:rPr>
          <w:bCs/>
          <w:color w:val="0070C0"/>
          <w:szCs w:val="24"/>
        </w:rPr>
        <w:br w:type="page"/>
      </w:r>
    </w:p>
    <w:p w14:paraId="6F9ED693" w14:textId="77777777" w:rsidR="00E51CDD" w:rsidRPr="002360D5" w:rsidRDefault="00E51CDD" w:rsidP="00E51CDD">
      <w:pPr>
        <w:widowControl w:val="0"/>
        <w:tabs>
          <w:tab w:val="left" w:pos="425"/>
          <w:tab w:val="left" w:pos="850"/>
        </w:tabs>
        <w:ind w:left="2835" w:hanging="2835"/>
        <w:jc w:val="both"/>
        <w:rPr>
          <w:b/>
          <w:color w:val="000000"/>
        </w:rPr>
      </w:pPr>
      <w:r w:rsidRPr="002360D5">
        <w:rPr>
          <w:b/>
          <w:color w:val="000000"/>
        </w:rPr>
        <w:lastRenderedPageBreak/>
        <w:t>I.</w:t>
      </w:r>
      <w:r w:rsidRPr="002360D5">
        <w:rPr>
          <w:b/>
          <w:color w:val="000000"/>
        </w:rPr>
        <w:tab/>
        <w:t>MATERIALS AND METHODS</w:t>
      </w:r>
    </w:p>
    <w:p w14:paraId="3B9AB9FE" w14:textId="77777777" w:rsidR="00E51CDD" w:rsidRPr="002360D5" w:rsidRDefault="00E51CDD" w:rsidP="00E51CDD">
      <w:pPr>
        <w:widowControl w:val="0"/>
        <w:jc w:val="both"/>
        <w:rPr>
          <w:color w:val="000000"/>
          <w:sz w:val="24"/>
        </w:rPr>
      </w:pPr>
    </w:p>
    <w:p w14:paraId="39DE1107" w14:textId="77777777" w:rsidR="00E51CDD" w:rsidRPr="002360D5" w:rsidRDefault="00E51CDD" w:rsidP="00E51CDD">
      <w:pPr>
        <w:tabs>
          <w:tab w:val="left" w:pos="425"/>
          <w:tab w:val="left" w:pos="850"/>
        </w:tabs>
        <w:ind w:left="2835" w:hanging="2835"/>
        <w:jc w:val="both"/>
        <w:rPr>
          <w:b/>
          <w:bCs/>
          <w:color w:val="000000"/>
        </w:rPr>
      </w:pPr>
      <w:r w:rsidRPr="002360D5">
        <w:rPr>
          <w:b/>
          <w:bCs/>
          <w:color w:val="000000"/>
        </w:rPr>
        <w:t>A.</w:t>
      </w:r>
      <w:r w:rsidRPr="002360D5">
        <w:rPr>
          <w:b/>
          <w:bCs/>
          <w:color w:val="000000"/>
        </w:rPr>
        <w:tab/>
        <w:t>MATERIALS</w:t>
      </w:r>
    </w:p>
    <w:p w14:paraId="17400586" w14:textId="77777777" w:rsidR="00E51CDD" w:rsidRPr="002360D5" w:rsidRDefault="00E51CDD" w:rsidP="00E51CDD">
      <w:pPr>
        <w:widowControl w:val="0"/>
        <w:tabs>
          <w:tab w:val="left" w:pos="425"/>
          <w:tab w:val="left" w:pos="850"/>
        </w:tabs>
        <w:ind w:left="2835" w:hanging="2835"/>
        <w:jc w:val="both"/>
        <w:rPr>
          <w:b/>
          <w:color w:val="000000"/>
          <w:szCs w:val="24"/>
        </w:rPr>
      </w:pPr>
    </w:p>
    <w:p w14:paraId="0E20A034" w14:textId="77777777" w:rsidR="00E51CDD" w:rsidRPr="002360D5" w:rsidRDefault="00E51CDD" w:rsidP="00E51CDD">
      <w:pPr>
        <w:widowControl w:val="0"/>
        <w:tabs>
          <w:tab w:val="left" w:pos="425"/>
          <w:tab w:val="left" w:pos="850"/>
        </w:tabs>
        <w:ind w:left="2268" w:hanging="2268"/>
        <w:jc w:val="both"/>
        <w:rPr>
          <w:color w:val="000000"/>
          <w:szCs w:val="24"/>
          <w:lang w:eastAsia="en-US"/>
        </w:rPr>
      </w:pPr>
      <w:r w:rsidRPr="002360D5">
        <w:rPr>
          <w:color w:val="000000"/>
          <w:szCs w:val="24"/>
          <w:lang w:eastAsia="en-US"/>
        </w:rPr>
        <w:t xml:space="preserve">Test item: </w:t>
      </w:r>
      <w:r w:rsidRPr="002360D5">
        <w:rPr>
          <w:color w:val="000000"/>
          <w:szCs w:val="24"/>
          <w:lang w:eastAsia="en-US"/>
        </w:rPr>
        <w:tab/>
        <w:t>BAS 736 00 F; batch no. FD-190220-0002; content of a.s.: azoxystrobin (BAS 9164 F, Reg. No. 300 254): 73.9 g/L analyzed (75.0 g/L nominal), fluxapyroxad (BAS 700 F, Reg. No. 5 094 351): 49.4 g/L analyzed (50.0 g/L nominal); density: 1.078 g/cm³.</w:t>
      </w:r>
    </w:p>
    <w:p w14:paraId="14AE990D" w14:textId="77777777" w:rsidR="00E51CDD" w:rsidRPr="002360D5" w:rsidRDefault="00E51CDD" w:rsidP="00E51CDD">
      <w:pPr>
        <w:widowControl w:val="0"/>
        <w:tabs>
          <w:tab w:val="left" w:pos="2410"/>
        </w:tabs>
        <w:ind w:left="2268" w:hanging="2268"/>
        <w:jc w:val="both"/>
        <w:rPr>
          <w:color w:val="000000"/>
          <w:szCs w:val="24"/>
        </w:rPr>
      </w:pPr>
    </w:p>
    <w:p w14:paraId="09323702" w14:textId="77777777" w:rsidR="00E51CDD" w:rsidRPr="002360D5" w:rsidRDefault="00E51CDD" w:rsidP="00E51CDD">
      <w:pPr>
        <w:tabs>
          <w:tab w:val="left" w:pos="425"/>
          <w:tab w:val="left" w:pos="850"/>
        </w:tabs>
        <w:ind w:left="2835" w:hanging="2835"/>
        <w:jc w:val="both"/>
        <w:rPr>
          <w:b/>
          <w:bCs/>
          <w:color w:val="000000"/>
        </w:rPr>
      </w:pPr>
      <w:r w:rsidRPr="002360D5">
        <w:rPr>
          <w:b/>
          <w:bCs/>
          <w:color w:val="000000"/>
        </w:rPr>
        <w:t>B.</w:t>
      </w:r>
      <w:r w:rsidRPr="002360D5">
        <w:rPr>
          <w:b/>
          <w:bCs/>
          <w:color w:val="000000"/>
        </w:rPr>
        <w:tab/>
        <w:t>STUDY DESIGN</w:t>
      </w:r>
    </w:p>
    <w:p w14:paraId="6674EC70" w14:textId="77777777" w:rsidR="00E51CDD" w:rsidRPr="002360D5" w:rsidRDefault="00E51CDD" w:rsidP="00E51CDD">
      <w:pPr>
        <w:widowControl w:val="0"/>
        <w:ind w:left="2268" w:hanging="2268"/>
        <w:jc w:val="both"/>
        <w:rPr>
          <w:color w:val="000000"/>
        </w:rPr>
      </w:pPr>
    </w:p>
    <w:p w14:paraId="2E9F850B" w14:textId="77777777" w:rsidR="00E51CDD" w:rsidRPr="002360D5" w:rsidRDefault="00E51CDD" w:rsidP="00E51CDD">
      <w:pPr>
        <w:widowControl w:val="0"/>
        <w:ind w:left="2268" w:hanging="2268"/>
        <w:jc w:val="both"/>
        <w:rPr>
          <w:color w:val="000000"/>
          <w:szCs w:val="24"/>
        </w:rPr>
      </w:pPr>
      <w:r w:rsidRPr="002360D5">
        <w:rPr>
          <w:color w:val="000000"/>
          <w:szCs w:val="24"/>
        </w:rPr>
        <w:t xml:space="preserve">Test species: </w:t>
      </w:r>
      <w:r w:rsidRPr="002360D5">
        <w:rPr>
          <w:color w:val="000000"/>
          <w:szCs w:val="24"/>
        </w:rPr>
        <w:tab/>
        <w:t>Parasitic wasp (</w:t>
      </w:r>
      <w:r w:rsidRPr="002360D5">
        <w:rPr>
          <w:i/>
          <w:iCs/>
          <w:color w:val="000000"/>
          <w:szCs w:val="24"/>
        </w:rPr>
        <w:t>Aphidius rhopalosiphi</w:t>
      </w:r>
      <w:r w:rsidRPr="002360D5">
        <w:rPr>
          <w:color w:val="000000"/>
          <w:szCs w:val="24"/>
        </w:rPr>
        <w:t xml:space="preserve"> DeStephani-Perez), adults (&lt; 48 hours old); source (in the stage of mummies): </w:t>
      </w:r>
      <w:r w:rsidRPr="002360D5">
        <w:t>Katz Biotech AG, 15837 Baruth, Germany.</w:t>
      </w:r>
    </w:p>
    <w:p w14:paraId="38BFB03E" w14:textId="77777777" w:rsidR="00E51CDD" w:rsidRPr="002360D5" w:rsidRDefault="00E51CDD" w:rsidP="00E51CDD">
      <w:pPr>
        <w:widowControl w:val="0"/>
        <w:ind w:left="2268" w:hanging="2268"/>
        <w:jc w:val="both"/>
        <w:rPr>
          <w:color w:val="0070C0"/>
          <w:szCs w:val="24"/>
        </w:rPr>
      </w:pPr>
    </w:p>
    <w:p w14:paraId="2CD90BAC" w14:textId="77777777" w:rsidR="00E51CDD" w:rsidRPr="002360D5" w:rsidRDefault="00E51CDD" w:rsidP="00E51CDD">
      <w:pPr>
        <w:widowControl w:val="0"/>
        <w:ind w:left="2268" w:hanging="2268"/>
        <w:jc w:val="both"/>
        <w:rPr>
          <w:color w:val="000000"/>
          <w:szCs w:val="24"/>
        </w:rPr>
      </w:pPr>
      <w:r w:rsidRPr="002360D5">
        <w:rPr>
          <w:color w:val="000000"/>
          <w:szCs w:val="24"/>
        </w:rPr>
        <w:t xml:space="preserve">Test design: </w:t>
      </w:r>
      <w:r w:rsidRPr="002360D5">
        <w:rPr>
          <w:color w:val="000000"/>
          <w:szCs w:val="24"/>
        </w:rPr>
        <w:tab/>
        <w:t>Exposure of parasitoids via air-dried residues on treated glass plates; 7 treatment groups (5 test item rates, water treated control, reference item) with 4 replicates per treatment; each replicate containing 7 females and 3 males. Assessment of mortality 2, 24 and 48 hours after test initiation.</w:t>
      </w:r>
    </w:p>
    <w:p w14:paraId="1DA19476" w14:textId="77777777" w:rsidR="00E51CDD" w:rsidRPr="002360D5" w:rsidRDefault="00E51CDD" w:rsidP="00E51CDD">
      <w:pPr>
        <w:widowControl w:val="0"/>
        <w:ind w:left="2268" w:hanging="2268"/>
        <w:jc w:val="both"/>
        <w:rPr>
          <w:color w:val="0070C0"/>
          <w:szCs w:val="24"/>
        </w:rPr>
      </w:pPr>
    </w:p>
    <w:p w14:paraId="5AC93793" w14:textId="77777777" w:rsidR="00E51CDD" w:rsidRPr="002360D5" w:rsidRDefault="00E51CDD" w:rsidP="00E51CDD">
      <w:pPr>
        <w:widowControl w:val="0"/>
        <w:ind w:left="2268" w:hanging="2268"/>
        <w:jc w:val="both"/>
        <w:rPr>
          <w:color w:val="000000"/>
          <w:lang w:eastAsia="zh-TW"/>
        </w:rPr>
      </w:pPr>
      <w:r w:rsidRPr="002360D5">
        <w:rPr>
          <w:color w:val="000000"/>
          <w:szCs w:val="24"/>
        </w:rPr>
        <w:t xml:space="preserve">Endpoints: </w:t>
      </w:r>
      <w:r w:rsidRPr="002360D5">
        <w:rPr>
          <w:color w:val="000000"/>
          <w:szCs w:val="24"/>
        </w:rPr>
        <w:tab/>
        <w:t xml:space="preserve">Mortality after exposure over 48 hours including the determination of </w:t>
      </w:r>
      <w:r w:rsidRPr="002360D5">
        <w:rPr>
          <w:color w:val="000000"/>
          <w:lang w:eastAsia="en-US"/>
        </w:rPr>
        <w:t>LR</w:t>
      </w:r>
      <w:r w:rsidRPr="002360D5">
        <w:rPr>
          <w:color w:val="000000"/>
          <w:vertAlign w:val="subscript"/>
          <w:lang w:eastAsia="en-US"/>
        </w:rPr>
        <w:t>50.</w:t>
      </w:r>
    </w:p>
    <w:p w14:paraId="7465F1E5" w14:textId="77777777" w:rsidR="00E51CDD" w:rsidRPr="002360D5" w:rsidRDefault="00E51CDD" w:rsidP="00E51CDD">
      <w:pPr>
        <w:widowControl w:val="0"/>
        <w:ind w:left="2268" w:hanging="2268"/>
        <w:jc w:val="both"/>
        <w:rPr>
          <w:color w:val="000000"/>
          <w:szCs w:val="24"/>
        </w:rPr>
      </w:pPr>
    </w:p>
    <w:p w14:paraId="05FDC2D3" w14:textId="77777777" w:rsidR="00E51CDD" w:rsidRPr="002360D5" w:rsidRDefault="00E51CDD" w:rsidP="00E51CDD">
      <w:pPr>
        <w:widowControl w:val="0"/>
        <w:ind w:left="2268" w:hanging="2268"/>
        <w:jc w:val="both"/>
        <w:rPr>
          <w:color w:val="000000"/>
          <w:szCs w:val="24"/>
        </w:rPr>
      </w:pPr>
      <w:r w:rsidRPr="002360D5">
        <w:rPr>
          <w:color w:val="000000"/>
          <w:szCs w:val="24"/>
        </w:rPr>
        <w:t xml:space="preserve">Reference item: </w:t>
      </w:r>
      <w:r w:rsidRPr="002360D5">
        <w:rPr>
          <w:color w:val="000000"/>
          <w:szCs w:val="24"/>
        </w:rPr>
        <w:tab/>
        <w:t>Dimethoate EC 400 (a.s.: dimethoate, analyzed content: 429.0 g/L, nominal: 400 g/L).</w:t>
      </w:r>
    </w:p>
    <w:p w14:paraId="7327CA07" w14:textId="77777777" w:rsidR="00E51CDD" w:rsidRPr="002360D5" w:rsidRDefault="00E51CDD" w:rsidP="00E51CDD">
      <w:pPr>
        <w:widowControl w:val="0"/>
        <w:ind w:left="2268" w:hanging="2268"/>
        <w:jc w:val="both"/>
        <w:rPr>
          <w:color w:val="0070C0"/>
          <w:szCs w:val="24"/>
        </w:rPr>
      </w:pPr>
    </w:p>
    <w:p w14:paraId="587E6348" w14:textId="77777777" w:rsidR="00E51CDD" w:rsidRPr="002360D5" w:rsidRDefault="00E51CDD" w:rsidP="00E51CDD">
      <w:pPr>
        <w:widowControl w:val="0"/>
        <w:ind w:left="2268" w:hanging="2268"/>
        <w:jc w:val="both"/>
        <w:rPr>
          <w:color w:val="000000"/>
          <w:szCs w:val="24"/>
        </w:rPr>
      </w:pPr>
      <w:r w:rsidRPr="002360D5">
        <w:rPr>
          <w:color w:val="000000"/>
          <w:szCs w:val="24"/>
        </w:rPr>
        <w:t xml:space="preserve">Test rates: </w:t>
      </w:r>
      <w:r w:rsidRPr="002360D5">
        <w:rPr>
          <w:color w:val="000000"/>
          <w:szCs w:val="24"/>
        </w:rPr>
        <w:tab/>
        <w:t xml:space="preserve">Control: deionized water, test item: 0.25, 0.5, 1.0, 2.0 and 4.0 L BAS 736 00 F/ha, reference item: 0.3 mL/ha. </w:t>
      </w:r>
    </w:p>
    <w:tbl>
      <w:tblPr>
        <w:tblStyle w:val="DAR0074"/>
        <w:tblW w:w="3709" w:type="pct"/>
        <w:tblInd w:w="2405" w:type="dxa"/>
        <w:tblLook w:val="04A0" w:firstRow="1" w:lastRow="0" w:firstColumn="1" w:lastColumn="0" w:noHBand="0" w:noVBand="1"/>
      </w:tblPr>
      <w:tblGrid>
        <w:gridCol w:w="2792"/>
        <w:gridCol w:w="2071"/>
        <w:gridCol w:w="2068"/>
      </w:tblGrid>
      <w:tr w:rsidR="00E51CDD" w:rsidRPr="002360D5" w14:paraId="30CA3B05" w14:textId="77777777" w:rsidTr="009938D9">
        <w:trPr>
          <w:trHeight w:val="247"/>
        </w:trPr>
        <w:tc>
          <w:tcPr>
            <w:tcW w:w="2014" w:type="pct"/>
            <w:vAlign w:val="center"/>
          </w:tcPr>
          <w:p w14:paraId="03B39B00" w14:textId="77777777" w:rsidR="00E51CDD" w:rsidRPr="002360D5" w:rsidRDefault="00E51CDD" w:rsidP="009938D9">
            <w:pPr>
              <w:widowControl w:val="0"/>
              <w:rPr>
                <w:color w:val="000000"/>
                <w:sz w:val="20"/>
                <w:szCs w:val="24"/>
              </w:rPr>
            </w:pPr>
            <w:r w:rsidRPr="002360D5">
              <w:rPr>
                <w:color w:val="000000"/>
                <w:sz w:val="20"/>
                <w:szCs w:val="24"/>
              </w:rPr>
              <w:t>BAS 736 00 F</w:t>
            </w:r>
          </w:p>
          <w:p w14:paraId="1C4DFA50" w14:textId="77777777" w:rsidR="00E51CDD" w:rsidRPr="002360D5" w:rsidRDefault="00E51CDD" w:rsidP="009938D9">
            <w:pPr>
              <w:widowControl w:val="0"/>
              <w:rPr>
                <w:color w:val="000000"/>
                <w:sz w:val="20"/>
                <w:szCs w:val="24"/>
              </w:rPr>
            </w:pPr>
            <w:r w:rsidRPr="002360D5">
              <w:rPr>
                <w:color w:val="000000"/>
                <w:sz w:val="20"/>
                <w:szCs w:val="24"/>
              </w:rPr>
              <w:t>[L product/ha]</w:t>
            </w:r>
          </w:p>
        </w:tc>
        <w:tc>
          <w:tcPr>
            <w:tcW w:w="1494" w:type="pct"/>
            <w:vAlign w:val="center"/>
          </w:tcPr>
          <w:p w14:paraId="76888216" w14:textId="77777777" w:rsidR="00E51CDD" w:rsidRPr="002360D5" w:rsidRDefault="00E51CDD" w:rsidP="009938D9">
            <w:pPr>
              <w:widowControl w:val="0"/>
              <w:rPr>
                <w:color w:val="000000"/>
                <w:sz w:val="20"/>
                <w:szCs w:val="24"/>
              </w:rPr>
            </w:pPr>
            <w:r w:rsidRPr="002360D5">
              <w:rPr>
                <w:color w:val="000000"/>
                <w:sz w:val="20"/>
                <w:szCs w:val="24"/>
              </w:rPr>
              <w:t>BAS 9164 F</w:t>
            </w:r>
          </w:p>
          <w:p w14:paraId="6DF37A94" w14:textId="77777777" w:rsidR="00E51CDD" w:rsidRPr="002360D5" w:rsidRDefault="00E51CDD" w:rsidP="009938D9">
            <w:pPr>
              <w:widowControl w:val="0"/>
              <w:rPr>
                <w:color w:val="000000"/>
                <w:sz w:val="20"/>
                <w:szCs w:val="24"/>
                <w:vertAlign w:val="superscript"/>
              </w:rPr>
            </w:pPr>
            <w:r w:rsidRPr="002360D5">
              <w:rPr>
                <w:color w:val="000000"/>
                <w:sz w:val="20"/>
                <w:szCs w:val="24"/>
              </w:rPr>
              <w:t>[g a.s./ha]</w:t>
            </w:r>
            <w:r w:rsidRPr="002360D5">
              <w:rPr>
                <w:color w:val="000000"/>
                <w:sz w:val="20"/>
                <w:szCs w:val="24"/>
                <w:vertAlign w:val="superscript"/>
              </w:rPr>
              <w:t>*</w:t>
            </w:r>
          </w:p>
        </w:tc>
        <w:tc>
          <w:tcPr>
            <w:tcW w:w="1492" w:type="pct"/>
            <w:vAlign w:val="center"/>
          </w:tcPr>
          <w:p w14:paraId="30B271E2" w14:textId="77777777" w:rsidR="00E51CDD" w:rsidRPr="002360D5" w:rsidRDefault="00E51CDD" w:rsidP="009938D9">
            <w:pPr>
              <w:widowControl w:val="0"/>
              <w:rPr>
                <w:color w:val="000000"/>
                <w:sz w:val="20"/>
                <w:szCs w:val="24"/>
              </w:rPr>
            </w:pPr>
            <w:r w:rsidRPr="002360D5">
              <w:rPr>
                <w:color w:val="000000"/>
                <w:sz w:val="20"/>
                <w:szCs w:val="24"/>
              </w:rPr>
              <w:t>BAS 700 F</w:t>
            </w:r>
          </w:p>
          <w:p w14:paraId="48C7B727" w14:textId="77777777" w:rsidR="00E51CDD" w:rsidRPr="002360D5" w:rsidRDefault="00E51CDD" w:rsidP="009938D9">
            <w:pPr>
              <w:widowControl w:val="0"/>
              <w:rPr>
                <w:color w:val="000000"/>
                <w:sz w:val="20"/>
                <w:szCs w:val="24"/>
                <w:vertAlign w:val="superscript"/>
              </w:rPr>
            </w:pPr>
            <w:r w:rsidRPr="002360D5">
              <w:rPr>
                <w:color w:val="000000"/>
                <w:sz w:val="20"/>
                <w:szCs w:val="24"/>
              </w:rPr>
              <w:t>[g a.s./ha]</w:t>
            </w:r>
            <w:r w:rsidRPr="002360D5">
              <w:rPr>
                <w:color w:val="000000"/>
                <w:sz w:val="20"/>
                <w:szCs w:val="24"/>
                <w:vertAlign w:val="superscript"/>
              </w:rPr>
              <w:t>*</w:t>
            </w:r>
          </w:p>
        </w:tc>
      </w:tr>
      <w:tr w:rsidR="00E51CDD" w:rsidRPr="002360D5" w14:paraId="763C2D54" w14:textId="77777777" w:rsidTr="009938D9">
        <w:trPr>
          <w:trHeight w:val="247"/>
        </w:trPr>
        <w:tc>
          <w:tcPr>
            <w:tcW w:w="2014" w:type="pct"/>
            <w:vAlign w:val="center"/>
          </w:tcPr>
          <w:p w14:paraId="5946FF37" w14:textId="77777777" w:rsidR="00E51CDD" w:rsidRPr="002360D5" w:rsidRDefault="00E51CDD" w:rsidP="009938D9">
            <w:pPr>
              <w:widowControl w:val="0"/>
              <w:rPr>
                <w:color w:val="000000"/>
                <w:sz w:val="20"/>
                <w:szCs w:val="24"/>
              </w:rPr>
            </w:pPr>
            <w:r w:rsidRPr="002360D5">
              <w:rPr>
                <w:color w:val="000000"/>
                <w:sz w:val="20"/>
                <w:szCs w:val="24"/>
              </w:rPr>
              <w:t>0.25</w:t>
            </w:r>
          </w:p>
        </w:tc>
        <w:tc>
          <w:tcPr>
            <w:tcW w:w="1494" w:type="pct"/>
            <w:vAlign w:val="center"/>
          </w:tcPr>
          <w:p w14:paraId="13B9B700" w14:textId="77777777" w:rsidR="00E51CDD" w:rsidRPr="002360D5" w:rsidRDefault="00E51CDD" w:rsidP="009938D9">
            <w:pPr>
              <w:widowControl w:val="0"/>
              <w:rPr>
                <w:color w:val="000000"/>
                <w:sz w:val="20"/>
                <w:szCs w:val="24"/>
              </w:rPr>
            </w:pPr>
            <w:r w:rsidRPr="002360D5">
              <w:rPr>
                <w:color w:val="000000"/>
                <w:sz w:val="20"/>
                <w:szCs w:val="24"/>
              </w:rPr>
              <w:t>18.75</w:t>
            </w:r>
          </w:p>
        </w:tc>
        <w:tc>
          <w:tcPr>
            <w:tcW w:w="1492" w:type="pct"/>
            <w:vAlign w:val="center"/>
          </w:tcPr>
          <w:p w14:paraId="56AE428E" w14:textId="77777777" w:rsidR="00E51CDD" w:rsidRPr="002360D5" w:rsidRDefault="00E51CDD" w:rsidP="009938D9">
            <w:pPr>
              <w:widowControl w:val="0"/>
              <w:rPr>
                <w:color w:val="000000"/>
                <w:sz w:val="20"/>
                <w:szCs w:val="24"/>
              </w:rPr>
            </w:pPr>
            <w:r w:rsidRPr="002360D5">
              <w:rPr>
                <w:color w:val="000000"/>
                <w:sz w:val="20"/>
                <w:szCs w:val="24"/>
              </w:rPr>
              <w:t>12.5</w:t>
            </w:r>
          </w:p>
        </w:tc>
      </w:tr>
      <w:tr w:rsidR="00E51CDD" w:rsidRPr="002360D5" w14:paraId="5101E8A3" w14:textId="77777777" w:rsidTr="009938D9">
        <w:trPr>
          <w:trHeight w:val="247"/>
        </w:trPr>
        <w:tc>
          <w:tcPr>
            <w:tcW w:w="2014" w:type="pct"/>
            <w:vAlign w:val="center"/>
          </w:tcPr>
          <w:p w14:paraId="7DA3F75B" w14:textId="77777777" w:rsidR="00E51CDD" w:rsidRPr="002360D5" w:rsidRDefault="00E51CDD" w:rsidP="009938D9">
            <w:pPr>
              <w:widowControl w:val="0"/>
              <w:rPr>
                <w:color w:val="000000"/>
                <w:sz w:val="20"/>
                <w:szCs w:val="24"/>
              </w:rPr>
            </w:pPr>
            <w:r w:rsidRPr="002360D5">
              <w:rPr>
                <w:color w:val="000000"/>
                <w:sz w:val="20"/>
                <w:szCs w:val="24"/>
              </w:rPr>
              <w:t>0.5</w:t>
            </w:r>
          </w:p>
        </w:tc>
        <w:tc>
          <w:tcPr>
            <w:tcW w:w="1494" w:type="pct"/>
            <w:vAlign w:val="center"/>
          </w:tcPr>
          <w:p w14:paraId="16556A67" w14:textId="77777777" w:rsidR="00E51CDD" w:rsidRPr="002360D5" w:rsidRDefault="00E51CDD" w:rsidP="009938D9">
            <w:pPr>
              <w:widowControl w:val="0"/>
              <w:rPr>
                <w:color w:val="000000"/>
                <w:sz w:val="20"/>
                <w:szCs w:val="24"/>
              </w:rPr>
            </w:pPr>
            <w:r w:rsidRPr="002360D5">
              <w:rPr>
                <w:color w:val="000000"/>
                <w:sz w:val="20"/>
                <w:szCs w:val="24"/>
              </w:rPr>
              <w:t>37.5</w:t>
            </w:r>
          </w:p>
        </w:tc>
        <w:tc>
          <w:tcPr>
            <w:tcW w:w="1492" w:type="pct"/>
            <w:vAlign w:val="center"/>
          </w:tcPr>
          <w:p w14:paraId="65DFAD22" w14:textId="77777777" w:rsidR="00E51CDD" w:rsidRPr="002360D5" w:rsidRDefault="00E51CDD" w:rsidP="009938D9">
            <w:pPr>
              <w:widowControl w:val="0"/>
              <w:rPr>
                <w:color w:val="000000"/>
                <w:sz w:val="20"/>
                <w:szCs w:val="24"/>
              </w:rPr>
            </w:pPr>
            <w:r w:rsidRPr="002360D5">
              <w:rPr>
                <w:color w:val="000000"/>
                <w:sz w:val="20"/>
                <w:szCs w:val="24"/>
              </w:rPr>
              <w:t>25</w:t>
            </w:r>
          </w:p>
        </w:tc>
      </w:tr>
      <w:tr w:rsidR="00E51CDD" w:rsidRPr="002360D5" w14:paraId="3F1688B8" w14:textId="77777777" w:rsidTr="009938D9">
        <w:trPr>
          <w:trHeight w:val="247"/>
        </w:trPr>
        <w:tc>
          <w:tcPr>
            <w:tcW w:w="2014" w:type="pct"/>
            <w:vAlign w:val="center"/>
          </w:tcPr>
          <w:p w14:paraId="514695A6" w14:textId="77777777" w:rsidR="00E51CDD" w:rsidRPr="002360D5" w:rsidRDefault="00E51CDD" w:rsidP="009938D9">
            <w:pPr>
              <w:widowControl w:val="0"/>
              <w:rPr>
                <w:color w:val="000000"/>
                <w:sz w:val="20"/>
                <w:szCs w:val="24"/>
              </w:rPr>
            </w:pPr>
            <w:r w:rsidRPr="002360D5">
              <w:rPr>
                <w:color w:val="000000"/>
                <w:sz w:val="20"/>
                <w:szCs w:val="24"/>
              </w:rPr>
              <w:t>1.0</w:t>
            </w:r>
          </w:p>
        </w:tc>
        <w:tc>
          <w:tcPr>
            <w:tcW w:w="1494" w:type="pct"/>
            <w:vAlign w:val="center"/>
          </w:tcPr>
          <w:p w14:paraId="1BE7D261" w14:textId="77777777" w:rsidR="00E51CDD" w:rsidRPr="002360D5" w:rsidRDefault="00E51CDD" w:rsidP="009938D9">
            <w:pPr>
              <w:widowControl w:val="0"/>
              <w:rPr>
                <w:color w:val="000000"/>
                <w:sz w:val="20"/>
                <w:szCs w:val="24"/>
              </w:rPr>
            </w:pPr>
            <w:r w:rsidRPr="002360D5">
              <w:rPr>
                <w:color w:val="000000"/>
                <w:sz w:val="20"/>
                <w:szCs w:val="24"/>
              </w:rPr>
              <w:t>75</w:t>
            </w:r>
          </w:p>
        </w:tc>
        <w:tc>
          <w:tcPr>
            <w:tcW w:w="1492" w:type="pct"/>
            <w:vAlign w:val="center"/>
          </w:tcPr>
          <w:p w14:paraId="277E9B3F" w14:textId="77777777" w:rsidR="00E51CDD" w:rsidRPr="002360D5" w:rsidRDefault="00E51CDD" w:rsidP="009938D9">
            <w:pPr>
              <w:widowControl w:val="0"/>
              <w:rPr>
                <w:color w:val="000000"/>
                <w:sz w:val="20"/>
                <w:szCs w:val="24"/>
              </w:rPr>
            </w:pPr>
            <w:r w:rsidRPr="002360D5">
              <w:rPr>
                <w:color w:val="000000"/>
                <w:sz w:val="20"/>
                <w:szCs w:val="24"/>
              </w:rPr>
              <w:t>50</w:t>
            </w:r>
          </w:p>
        </w:tc>
      </w:tr>
      <w:tr w:rsidR="00E51CDD" w:rsidRPr="002360D5" w14:paraId="5D42ACC9" w14:textId="77777777" w:rsidTr="009938D9">
        <w:trPr>
          <w:trHeight w:val="247"/>
        </w:trPr>
        <w:tc>
          <w:tcPr>
            <w:tcW w:w="2014" w:type="pct"/>
            <w:vAlign w:val="center"/>
          </w:tcPr>
          <w:p w14:paraId="5E87C399" w14:textId="77777777" w:rsidR="00E51CDD" w:rsidRPr="002360D5" w:rsidRDefault="00E51CDD" w:rsidP="009938D9">
            <w:pPr>
              <w:widowControl w:val="0"/>
              <w:rPr>
                <w:color w:val="000000"/>
                <w:sz w:val="20"/>
                <w:szCs w:val="24"/>
              </w:rPr>
            </w:pPr>
            <w:r w:rsidRPr="002360D5">
              <w:rPr>
                <w:color w:val="000000"/>
                <w:sz w:val="20"/>
                <w:szCs w:val="24"/>
              </w:rPr>
              <w:t>2.0</w:t>
            </w:r>
          </w:p>
        </w:tc>
        <w:tc>
          <w:tcPr>
            <w:tcW w:w="1494" w:type="pct"/>
            <w:vAlign w:val="center"/>
          </w:tcPr>
          <w:p w14:paraId="1967ACBC" w14:textId="77777777" w:rsidR="00E51CDD" w:rsidRPr="002360D5" w:rsidRDefault="00E51CDD" w:rsidP="009938D9">
            <w:pPr>
              <w:widowControl w:val="0"/>
              <w:rPr>
                <w:color w:val="000000"/>
                <w:sz w:val="20"/>
                <w:szCs w:val="24"/>
              </w:rPr>
            </w:pPr>
            <w:r w:rsidRPr="002360D5">
              <w:rPr>
                <w:color w:val="000000"/>
                <w:sz w:val="20"/>
                <w:szCs w:val="24"/>
              </w:rPr>
              <w:t>150</w:t>
            </w:r>
          </w:p>
        </w:tc>
        <w:tc>
          <w:tcPr>
            <w:tcW w:w="1492" w:type="pct"/>
            <w:vAlign w:val="center"/>
          </w:tcPr>
          <w:p w14:paraId="395A6E35" w14:textId="77777777" w:rsidR="00E51CDD" w:rsidRPr="002360D5" w:rsidRDefault="00E51CDD" w:rsidP="009938D9">
            <w:pPr>
              <w:widowControl w:val="0"/>
              <w:rPr>
                <w:color w:val="000000"/>
                <w:sz w:val="20"/>
                <w:szCs w:val="24"/>
              </w:rPr>
            </w:pPr>
            <w:r w:rsidRPr="002360D5">
              <w:rPr>
                <w:color w:val="000000"/>
                <w:sz w:val="20"/>
                <w:szCs w:val="24"/>
              </w:rPr>
              <w:t>100</w:t>
            </w:r>
          </w:p>
        </w:tc>
      </w:tr>
      <w:tr w:rsidR="00E51CDD" w:rsidRPr="002360D5" w14:paraId="0A409E4C" w14:textId="77777777" w:rsidTr="009938D9">
        <w:trPr>
          <w:trHeight w:val="247"/>
        </w:trPr>
        <w:tc>
          <w:tcPr>
            <w:tcW w:w="2014" w:type="pct"/>
            <w:vAlign w:val="center"/>
          </w:tcPr>
          <w:p w14:paraId="61EB8A70" w14:textId="77777777" w:rsidR="00E51CDD" w:rsidRPr="002360D5" w:rsidRDefault="00E51CDD" w:rsidP="009938D9">
            <w:pPr>
              <w:widowControl w:val="0"/>
              <w:rPr>
                <w:color w:val="000000"/>
                <w:sz w:val="20"/>
                <w:szCs w:val="24"/>
                <w:lang w:val="de-DE"/>
              </w:rPr>
            </w:pPr>
            <w:r w:rsidRPr="002360D5">
              <w:rPr>
                <w:color w:val="000000"/>
                <w:sz w:val="20"/>
                <w:szCs w:val="24"/>
                <w:lang w:val="de-DE"/>
              </w:rPr>
              <w:t>4.0</w:t>
            </w:r>
          </w:p>
        </w:tc>
        <w:tc>
          <w:tcPr>
            <w:tcW w:w="1494" w:type="pct"/>
            <w:vAlign w:val="center"/>
          </w:tcPr>
          <w:p w14:paraId="242AC85A" w14:textId="77777777" w:rsidR="00E51CDD" w:rsidRPr="002360D5" w:rsidRDefault="00E51CDD" w:rsidP="009938D9">
            <w:pPr>
              <w:widowControl w:val="0"/>
              <w:rPr>
                <w:color w:val="000000"/>
                <w:sz w:val="20"/>
                <w:szCs w:val="24"/>
                <w:lang w:val="de-DE"/>
              </w:rPr>
            </w:pPr>
            <w:r w:rsidRPr="002360D5">
              <w:rPr>
                <w:color w:val="000000"/>
                <w:sz w:val="20"/>
                <w:szCs w:val="24"/>
                <w:lang w:val="de-DE"/>
              </w:rPr>
              <w:t>300</w:t>
            </w:r>
          </w:p>
        </w:tc>
        <w:tc>
          <w:tcPr>
            <w:tcW w:w="1492" w:type="pct"/>
            <w:vAlign w:val="center"/>
          </w:tcPr>
          <w:p w14:paraId="1854DA1F" w14:textId="77777777" w:rsidR="00E51CDD" w:rsidRPr="002360D5" w:rsidRDefault="00E51CDD" w:rsidP="009938D9">
            <w:pPr>
              <w:widowControl w:val="0"/>
              <w:rPr>
                <w:color w:val="000000"/>
                <w:sz w:val="20"/>
                <w:szCs w:val="24"/>
                <w:lang w:val="de-DE"/>
              </w:rPr>
            </w:pPr>
            <w:r w:rsidRPr="002360D5">
              <w:rPr>
                <w:color w:val="000000"/>
                <w:sz w:val="20"/>
                <w:szCs w:val="24"/>
                <w:lang w:val="de-DE"/>
              </w:rPr>
              <w:t>200</w:t>
            </w:r>
          </w:p>
        </w:tc>
      </w:tr>
    </w:tbl>
    <w:p w14:paraId="6C058493" w14:textId="77777777" w:rsidR="00E51CDD" w:rsidRPr="002360D5" w:rsidRDefault="00E51CDD" w:rsidP="00E51CDD">
      <w:pPr>
        <w:widowControl w:val="0"/>
        <w:ind w:left="2520" w:hanging="180"/>
        <w:jc w:val="both"/>
        <w:rPr>
          <w:sz w:val="18"/>
          <w:szCs w:val="18"/>
          <w:lang w:eastAsia="en-US"/>
        </w:rPr>
      </w:pPr>
      <w:r w:rsidRPr="002360D5">
        <w:rPr>
          <w:sz w:val="18"/>
          <w:szCs w:val="18"/>
          <w:vertAlign w:val="superscript"/>
          <w:lang w:eastAsia="en-US"/>
        </w:rPr>
        <w:t>*</w:t>
      </w:r>
      <w:r w:rsidRPr="002360D5">
        <w:rPr>
          <w:sz w:val="18"/>
          <w:szCs w:val="18"/>
          <w:lang w:eastAsia="en-US"/>
        </w:rPr>
        <w:t xml:space="preserve"> based on nominal content of active substance and a test item density of 1.078 g/cm</w:t>
      </w:r>
      <w:r w:rsidRPr="002360D5">
        <w:rPr>
          <w:sz w:val="18"/>
          <w:szCs w:val="18"/>
          <w:vertAlign w:val="superscript"/>
          <w:lang w:eastAsia="en-US"/>
        </w:rPr>
        <w:t>3</w:t>
      </w:r>
      <w:r w:rsidRPr="002360D5">
        <w:rPr>
          <w:sz w:val="18"/>
          <w:szCs w:val="18"/>
          <w:lang w:eastAsia="en-US"/>
        </w:rPr>
        <w:t>.</w:t>
      </w:r>
    </w:p>
    <w:p w14:paraId="2ABBF9BC" w14:textId="77777777" w:rsidR="00E51CDD" w:rsidRPr="002360D5" w:rsidRDefault="00E51CDD" w:rsidP="00E51CDD">
      <w:pPr>
        <w:widowControl w:val="0"/>
        <w:ind w:left="2340"/>
        <w:jc w:val="both"/>
        <w:rPr>
          <w:color w:val="000000"/>
          <w:szCs w:val="24"/>
        </w:rPr>
      </w:pPr>
    </w:p>
    <w:p w14:paraId="08685E5E" w14:textId="77777777" w:rsidR="00E51CDD" w:rsidRPr="002360D5" w:rsidRDefault="00E51CDD" w:rsidP="00E51CDD">
      <w:pPr>
        <w:widowControl w:val="0"/>
        <w:ind w:left="2340"/>
        <w:jc w:val="both"/>
        <w:rPr>
          <w:lang w:eastAsia="en-US"/>
        </w:rPr>
      </w:pPr>
      <w:r w:rsidRPr="002360D5">
        <w:rPr>
          <w:color w:val="000000"/>
          <w:szCs w:val="24"/>
        </w:rPr>
        <w:t>All substances were applied in 200 L water/ha. The substances were sprayed onto glass plates via laboratory spraying equipment and left air dried afterwards.</w:t>
      </w:r>
    </w:p>
    <w:p w14:paraId="26F8F10D" w14:textId="77777777" w:rsidR="00E51CDD" w:rsidRPr="002360D5" w:rsidRDefault="00E51CDD" w:rsidP="00E51CDD">
      <w:pPr>
        <w:widowControl w:val="0"/>
        <w:ind w:left="2268" w:hanging="2268"/>
        <w:jc w:val="both"/>
        <w:rPr>
          <w:color w:val="0070C0"/>
          <w:szCs w:val="24"/>
        </w:rPr>
      </w:pPr>
    </w:p>
    <w:p w14:paraId="37443C57" w14:textId="77777777" w:rsidR="00E51CDD" w:rsidRPr="002360D5" w:rsidRDefault="00E51CDD" w:rsidP="00E51CDD">
      <w:pPr>
        <w:widowControl w:val="0"/>
        <w:ind w:left="2268" w:hanging="2268"/>
        <w:jc w:val="both"/>
        <w:rPr>
          <w:color w:val="000000"/>
          <w:szCs w:val="24"/>
        </w:rPr>
      </w:pPr>
      <w:r w:rsidRPr="002360D5">
        <w:rPr>
          <w:color w:val="000000"/>
          <w:szCs w:val="24"/>
        </w:rPr>
        <w:t xml:space="preserve">Test conditions: </w:t>
      </w:r>
      <w:r w:rsidRPr="002360D5">
        <w:rPr>
          <w:color w:val="000000"/>
          <w:szCs w:val="24"/>
        </w:rPr>
        <w:tab/>
        <w:t>Temperature: 19.0 °C - 22.0 °C; relative humidity: 68% - 73%; photoperiod: 16 h light : 8 h dark; light intensity: 2010 lux: food: 25% w/w aqueous fructose solution.</w:t>
      </w:r>
    </w:p>
    <w:p w14:paraId="4FCBAD6C" w14:textId="77777777" w:rsidR="00E51CDD" w:rsidRPr="002360D5" w:rsidRDefault="00E51CDD" w:rsidP="00E51CDD">
      <w:pPr>
        <w:widowControl w:val="0"/>
        <w:ind w:left="2268" w:hanging="2268"/>
        <w:jc w:val="both"/>
        <w:rPr>
          <w:color w:val="000000"/>
          <w:szCs w:val="24"/>
        </w:rPr>
      </w:pPr>
    </w:p>
    <w:p w14:paraId="53C8DD94" w14:textId="77777777" w:rsidR="00E51CDD" w:rsidRPr="002360D5" w:rsidRDefault="00E51CDD" w:rsidP="00E51CDD">
      <w:pPr>
        <w:widowControl w:val="0"/>
        <w:autoSpaceDE w:val="0"/>
        <w:autoSpaceDN w:val="0"/>
        <w:adjustRightInd w:val="0"/>
        <w:ind w:left="2268" w:hanging="2268"/>
        <w:jc w:val="both"/>
        <w:rPr>
          <w:color w:val="000000"/>
          <w:szCs w:val="24"/>
        </w:rPr>
      </w:pPr>
      <w:r w:rsidRPr="002360D5">
        <w:rPr>
          <w:color w:val="000000"/>
          <w:szCs w:val="24"/>
        </w:rPr>
        <w:t>Analytics:</w:t>
      </w:r>
      <w:r w:rsidRPr="002360D5">
        <w:rPr>
          <w:color w:val="000000"/>
          <w:szCs w:val="24"/>
        </w:rPr>
        <w:tab/>
        <w:t>No analytical verification of the test item is required according to the current test guideline. Hence, no analytical verification was conducted.</w:t>
      </w:r>
    </w:p>
    <w:p w14:paraId="5BE94C55" w14:textId="77777777" w:rsidR="00E51CDD" w:rsidRPr="002360D5" w:rsidRDefault="00E51CDD" w:rsidP="00E51CDD">
      <w:pPr>
        <w:widowControl w:val="0"/>
        <w:autoSpaceDE w:val="0"/>
        <w:autoSpaceDN w:val="0"/>
        <w:adjustRightInd w:val="0"/>
        <w:ind w:left="2268" w:hanging="2268"/>
        <w:jc w:val="both"/>
        <w:rPr>
          <w:color w:val="0070C0"/>
          <w:szCs w:val="24"/>
        </w:rPr>
      </w:pPr>
    </w:p>
    <w:p w14:paraId="2022435B" w14:textId="77777777" w:rsidR="00E51CDD" w:rsidRPr="002360D5" w:rsidRDefault="00E51CDD" w:rsidP="00E51CDD">
      <w:pPr>
        <w:widowControl w:val="0"/>
        <w:autoSpaceDE w:val="0"/>
        <w:autoSpaceDN w:val="0"/>
        <w:adjustRightInd w:val="0"/>
        <w:ind w:left="2268" w:hanging="2268"/>
        <w:jc w:val="both"/>
        <w:rPr>
          <w:color w:val="0070C0"/>
          <w:szCs w:val="24"/>
        </w:rPr>
      </w:pPr>
      <w:r w:rsidRPr="002360D5">
        <w:rPr>
          <w:color w:val="000000"/>
          <w:szCs w:val="24"/>
        </w:rPr>
        <w:t>Statistics:</w:t>
      </w:r>
      <w:r w:rsidRPr="002360D5">
        <w:rPr>
          <w:color w:val="000000"/>
          <w:szCs w:val="24"/>
        </w:rPr>
        <w:tab/>
        <w:t>Descriptive statistics. Step</w:t>
      </w:r>
      <w:r w:rsidRPr="002360D5">
        <w:rPr>
          <w:color w:val="000000"/>
        </w:rPr>
        <w:t>-down Cochran-Armitage Test (α = 0.05) for mortality, Weibull analysis for LR</w:t>
      </w:r>
      <w:r w:rsidRPr="002360D5">
        <w:rPr>
          <w:color w:val="000000"/>
          <w:vertAlign w:val="subscript"/>
        </w:rPr>
        <w:t>50</w:t>
      </w:r>
      <w:r w:rsidRPr="002360D5">
        <w:rPr>
          <w:color w:val="000000"/>
        </w:rPr>
        <w:t xml:space="preserve"> calculation.</w:t>
      </w:r>
    </w:p>
    <w:p w14:paraId="5D7EB1CE" w14:textId="77777777" w:rsidR="00E51CDD" w:rsidRPr="002360D5" w:rsidRDefault="00E51CDD" w:rsidP="00E51CDD">
      <w:pPr>
        <w:widowControl w:val="0"/>
        <w:tabs>
          <w:tab w:val="left" w:pos="425"/>
          <w:tab w:val="left" w:pos="850"/>
        </w:tabs>
        <w:ind w:left="2835" w:hanging="2835"/>
        <w:rPr>
          <w:b/>
          <w:color w:val="000000"/>
        </w:rPr>
      </w:pPr>
    </w:p>
    <w:p w14:paraId="60780B11" w14:textId="77777777" w:rsidR="00E51CDD" w:rsidRPr="002360D5" w:rsidRDefault="00E51CDD" w:rsidP="00E51CDD">
      <w:pPr>
        <w:widowControl w:val="0"/>
        <w:tabs>
          <w:tab w:val="left" w:pos="425"/>
          <w:tab w:val="left" w:pos="850"/>
        </w:tabs>
        <w:ind w:left="2835" w:hanging="2835"/>
        <w:rPr>
          <w:b/>
          <w:color w:val="000000"/>
        </w:rPr>
      </w:pPr>
      <w:r>
        <w:rPr>
          <w:b/>
          <w:color w:val="000000"/>
        </w:rPr>
        <w:br w:type="page"/>
      </w:r>
    </w:p>
    <w:p w14:paraId="784D8634" w14:textId="77777777" w:rsidR="00E51CDD" w:rsidRPr="002360D5" w:rsidRDefault="00E51CDD" w:rsidP="00E51CDD">
      <w:pPr>
        <w:widowControl w:val="0"/>
        <w:tabs>
          <w:tab w:val="left" w:pos="425"/>
          <w:tab w:val="left" w:pos="850"/>
        </w:tabs>
        <w:ind w:left="2835" w:hanging="2835"/>
        <w:rPr>
          <w:b/>
          <w:color w:val="000000"/>
        </w:rPr>
      </w:pPr>
      <w:r w:rsidRPr="002360D5">
        <w:rPr>
          <w:b/>
          <w:color w:val="000000"/>
        </w:rPr>
        <w:lastRenderedPageBreak/>
        <w:t>II.</w:t>
      </w:r>
      <w:r w:rsidRPr="002360D5">
        <w:rPr>
          <w:b/>
          <w:color w:val="000000"/>
        </w:rPr>
        <w:tab/>
        <w:t>RESULTS AND DISCUSSION</w:t>
      </w:r>
    </w:p>
    <w:p w14:paraId="512282D5" w14:textId="77777777" w:rsidR="00E51CDD" w:rsidRPr="002360D5" w:rsidRDefault="00E51CDD" w:rsidP="00E51CDD">
      <w:pPr>
        <w:widowControl w:val="0"/>
        <w:tabs>
          <w:tab w:val="left" w:pos="425"/>
          <w:tab w:val="left" w:pos="850"/>
        </w:tabs>
        <w:ind w:left="2835" w:hanging="2835"/>
        <w:jc w:val="both"/>
        <w:rPr>
          <w:bCs/>
          <w:color w:val="000000"/>
          <w:szCs w:val="24"/>
        </w:rPr>
      </w:pPr>
    </w:p>
    <w:p w14:paraId="34020EA7" w14:textId="4E911B40" w:rsidR="00E51CDD" w:rsidRDefault="00E51CDD" w:rsidP="00E51CDD">
      <w:pPr>
        <w:widowControl w:val="0"/>
        <w:tabs>
          <w:tab w:val="left" w:pos="6379"/>
        </w:tabs>
        <w:jc w:val="both"/>
        <w:rPr>
          <w:color w:val="000000"/>
          <w:szCs w:val="24"/>
        </w:rPr>
      </w:pPr>
      <w:r w:rsidRPr="002360D5">
        <w:rPr>
          <w:color w:val="000000"/>
          <w:szCs w:val="24"/>
        </w:rPr>
        <w:t xml:space="preserve">After 48 hours in the water-treated control a mortality of 5.0% was observed. In the test item treatments mortality ranged between 5.0% and 92.5%. This resulted in corrected mortality rates between 0% and 92.1%. </w:t>
      </w:r>
      <w:bookmarkStart w:id="1225" w:name="_Hlk80179800"/>
      <w:r w:rsidRPr="002360D5">
        <w:rPr>
          <w:szCs w:val="24"/>
        </w:rPr>
        <w:t xml:space="preserve">Statistically significant differences in mortality compared to the control were observed at </w:t>
      </w:r>
      <w:r w:rsidRPr="002360D5">
        <w:rPr>
          <w:color w:val="000000"/>
          <w:szCs w:val="24"/>
        </w:rPr>
        <w:t>2.0 and 4</w:t>
      </w:r>
      <w:r w:rsidRPr="00D61C03">
        <w:rPr>
          <w:color w:val="000000"/>
          <w:szCs w:val="24"/>
        </w:rPr>
        <w:t>.0 L</w:t>
      </w:r>
      <w:r w:rsidRPr="00D61C03">
        <w:rPr>
          <w:color w:val="000000"/>
          <w:szCs w:val="24"/>
          <w:lang w:eastAsia="en-US"/>
        </w:rPr>
        <w:t xml:space="preserve"> BAS 736 00 F</w:t>
      </w:r>
      <w:r w:rsidRPr="00D61C03">
        <w:rPr>
          <w:color w:val="000000"/>
          <w:szCs w:val="24"/>
        </w:rPr>
        <w:t xml:space="preserve">/ha </w:t>
      </w:r>
      <w:bookmarkEnd w:id="1225"/>
      <w:r w:rsidRPr="00D61C03">
        <w:rPr>
          <w:color w:val="000000"/>
          <w:szCs w:val="24"/>
        </w:rPr>
        <w:t xml:space="preserve">(Step-down </w:t>
      </w:r>
      <w:r w:rsidRPr="00D61C03">
        <w:rPr>
          <w:color w:val="000000"/>
        </w:rPr>
        <w:t>Cochran-Armitage Test</w:t>
      </w:r>
      <w:r w:rsidRPr="00D61C03">
        <w:rPr>
          <w:color w:val="000000"/>
          <w:szCs w:val="24"/>
        </w:rPr>
        <w:t xml:space="preserve">, α = 0.05). The results are summarized in </w:t>
      </w:r>
      <w:r>
        <w:rPr>
          <w:color w:val="000000"/>
          <w:szCs w:val="24"/>
        </w:rPr>
        <w:fldChar w:fldCharType="begin"/>
      </w:r>
      <w:r>
        <w:rPr>
          <w:color w:val="000000"/>
          <w:szCs w:val="24"/>
        </w:rPr>
        <w:instrText xml:space="preserve"> REF _Ref85437203 \h </w:instrText>
      </w:r>
      <w:r>
        <w:rPr>
          <w:color w:val="000000"/>
          <w:szCs w:val="24"/>
        </w:rPr>
      </w:r>
      <w:r>
        <w:rPr>
          <w:color w:val="000000"/>
          <w:szCs w:val="24"/>
        </w:rPr>
        <w:fldChar w:fldCharType="separate"/>
      </w:r>
      <w:r w:rsidR="00662F32" w:rsidRPr="00D61C03">
        <w:t xml:space="preserve">Table A </w:t>
      </w:r>
      <w:r w:rsidR="00662F32">
        <w:rPr>
          <w:noProof/>
        </w:rPr>
        <w:t>27</w:t>
      </w:r>
      <w:r>
        <w:rPr>
          <w:color w:val="000000"/>
          <w:szCs w:val="24"/>
        </w:rPr>
        <w:fldChar w:fldCharType="end"/>
      </w:r>
      <w:r>
        <w:rPr>
          <w:color w:val="000000"/>
          <w:szCs w:val="24"/>
        </w:rPr>
        <w:t>.</w:t>
      </w:r>
    </w:p>
    <w:p w14:paraId="4DF8FE60" w14:textId="77777777" w:rsidR="00E51CDD" w:rsidRPr="00D61C03" w:rsidRDefault="00E51CDD" w:rsidP="00E51CDD">
      <w:pPr>
        <w:widowControl w:val="0"/>
        <w:tabs>
          <w:tab w:val="left" w:pos="6379"/>
        </w:tabs>
        <w:jc w:val="both"/>
        <w:rPr>
          <w:color w:val="0070C0"/>
          <w:szCs w:val="24"/>
        </w:rPr>
      </w:pPr>
    </w:p>
    <w:p w14:paraId="7AB4B0B9" w14:textId="41EA620E" w:rsidR="00B74DCE" w:rsidRDefault="00E51CDD" w:rsidP="00E51CDD">
      <w:pPr>
        <w:pStyle w:val="Legenda"/>
        <w:rPr>
          <w:color w:val="000000"/>
          <w:sz w:val="22"/>
          <w:szCs w:val="22"/>
        </w:rPr>
      </w:pPr>
      <w:bookmarkStart w:id="1226" w:name="_Ref85437203"/>
      <w:r w:rsidRPr="00D61C03">
        <w:rPr>
          <w:sz w:val="22"/>
          <w:szCs w:val="22"/>
        </w:rPr>
        <w:t xml:space="preserve">Table A </w:t>
      </w:r>
      <w:r w:rsidRPr="00D61C03">
        <w:rPr>
          <w:sz w:val="22"/>
          <w:szCs w:val="22"/>
        </w:rPr>
        <w:fldChar w:fldCharType="begin"/>
      </w:r>
      <w:r w:rsidRPr="00D61C03">
        <w:rPr>
          <w:sz w:val="22"/>
          <w:szCs w:val="22"/>
        </w:rPr>
        <w:instrText xml:space="preserve"> SEQ Table_A \* ARABIC </w:instrText>
      </w:r>
      <w:r w:rsidRPr="00D61C03">
        <w:rPr>
          <w:sz w:val="22"/>
          <w:szCs w:val="22"/>
        </w:rPr>
        <w:fldChar w:fldCharType="separate"/>
      </w:r>
      <w:r w:rsidR="00662F32">
        <w:rPr>
          <w:noProof/>
          <w:sz w:val="22"/>
          <w:szCs w:val="22"/>
        </w:rPr>
        <w:t>27</w:t>
      </w:r>
      <w:r w:rsidRPr="00D61C03">
        <w:rPr>
          <w:sz w:val="22"/>
          <w:szCs w:val="22"/>
        </w:rPr>
        <w:fldChar w:fldCharType="end"/>
      </w:r>
      <w:bookmarkEnd w:id="1226"/>
      <w:r w:rsidRPr="00D61C03">
        <w:rPr>
          <w:color w:val="000000"/>
          <w:sz w:val="22"/>
          <w:szCs w:val="22"/>
        </w:rPr>
        <w:t>:</w:t>
      </w:r>
      <w:r w:rsidRPr="00D61C03">
        <w:rPr>
          <w:color w:val="000000"/>
          <w:sz w:val="22"/>
          <w:szCs w:val="22"/>
        </w:rPr>
        <w:tab/>
        <w:t>Effects on parasitoids (</w:t>
      </w:r>
      <w:r w:rsidRPr="00D61C03">
        <w:rPr>
          <w:i/>
          <w:color w:val="000000"/>
          <w:sz w:val="22"/>
          <w:szCs w:val="22"/>
        </w:rPr>
        <w:t>Aphidius rhopalosiphi</w:t>
      </w:r>
      <w:r w:rsidRPr="00D61C03">
        <w:rPr>
          <w:color w:val="000000"/>
          <w:sz w:val="22"/>
          <w:szCs w:val="22"/>
        </w:rPr>
        <w:t xml:space="preserve">) exposed to BAS 736 00 F in a </w:t>
      </w:r>
    </w:p>
    <w:p w14:paraId="64437D51" w14:textId="4D5616C7" w:rsidR="00E51CDD" w:rsidRPr="00D61C03" w:rsidRDefault="00E51CDD" w:rsidP="00B74DCE">
      <w:pPr>
        <w:pStyle w:val="Legenda"/>
        <w:ind w:left="708" w:firstLine="708"/>
        <w:rPr>
          <w:color w:val="000000"/>
          <w:sz w:val="22"/>
          <w:szCs w:val="22"/>
        </w:rPr>
      </w:pPr>
      <w:r w:rsidRPr="00D61C03">
        <w:rPr>
          <w:color w:val="000000"/>
          <w:sz w:val="22"/>
          <w:szCs w:val="22"/>
        </w:rPr>
        <w:t>laboratory trial</w:t>
      </w:r>
    </w:p>
    <w:tbl>
      <w:tblPr>
        <w:tblW w:w="500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6"/>
        <w:gridCol w:w="2476"/>
        <w:gridCol w:w="2609"/>
        <w:gridCol w:w="2613"/>
      </w:tblGrid>
      <w:tr w:rsidR="00E51CDD" w:rsidRPr="002360D5" w14:paraId="36798B3C" w14:textId="77777777" w:rsidTr="009938D9">
        <w:trPr>
          <w:cantSplit/>
        </w:trPr>
        <w:tc>
          <w:tcPr>
            <w:tcW w:w="881" w:type="pct"/>
            <w:tcMar>
              <w:top w:w="0" w:type="dxa"/>
              <w:left w:w="28" w:type="dxa"/>
              <w:bottom w:w="0" w:type="dxa"/>
              <w:right w:w="28" w:type="dxa"/>
            </w:tcMar>
            <w:vAlign w:val="center"/>
          </w:tcPr>
          <w:p w14:paraId="0C2B8178" w14:textId="77777777" w:rsidR="00E51CDD" w:rsidRPr="002360D5" w:rsidRDefault="00E51CDD" w:rsidP="009938D9">
            <w:pPr>
              <w:widowControl w:val="0"/>
              <w:spacing w:before="40" w:after="40"/>
              <w:jc w:val="center"/>
              <w:rPr>
                <w:b/>
                <w:color w:val="000000"/>
                <w:sz w:val="20"/>
              </w:rPr>
            </w:pPr>
            <w:r w:rsidRPr="002360D5">
              <w:rPr>
                <w:b/>
                <w:color w:val="000000"/>
                <w:sz w:val="20"/>
              </w:rPr>
              <w:t>Test item</w:t>
            </w:r>
          </w:p>
        </w:tc>
        <w:tc>
          <w:tcPr>
            <w:tcW w:w="1325" w:type="pct"/>
            <w:tcMar>
              <w:top w:w="0" w:type="dxa"/>
              <w:left w:w="28" w:type="dxa"/>
              <w:bottom w:w="0" w:type="dxa"/>
              <w:right w:w="28" w:type="dxa"/>
            </w:tcMar>
            <w:vAlign w:val="center"/>
          </w:tcPr>
          <w:p w14:paraId="7C12816D" w14:textId="77777777" w:rsidR="00E51CDD" w:rsidRPr="002360D5" w:rsidRDefault="00E51CDD" w:rsidP="009938D9">
            <w:pPr>
              <w:widowControl w:val="0"/>
              <w:spacing w:before="40" w:after="40"/>
              <w:jc w:val="center"/>
              <w:rPr>
                <w:b/>
                <w:color w:val="000000"/>
                <w:sz w:val="20"/>
                <w:vertAlign w:val="superscript"/>
              </w:rPr>
            </w:pPr>
            <w:r w:rsidRPr="002360D5">
              <w:rPr>
                <w:b/>
                <w:color w:val="000000"/>
                <w:sz w:val="20"/>
              </w:rPr>
              <w:t>Rate</w:t>
            </w:r>
            <w:r w:rsidRPr="002360D5">
              <w:rPr>
                <w:b/>
                <w:color w:val="000000"/>
                <w:sz w:val="20"/>
                <w:vertAlign w:val="superscript"/>
              </w:rPr>
              <w:t>1)</w:t>
            </w:r>
            <w:r w:rsidRPr="002360D5">
              <w:rPr>
                <w:b/>
                <w:color w:val="000000"/>
                <w:sz w:val="20"/>
              </w:rPr>
              <w:t xml:space="preserve"> </w:t>
            </w:r>
            <w:r w:rsidRPr="002360D5">
              <w:rPr>
                <w:b/>
                <w:color w:val="000000"/>
                <w:sz w:val="20"/>
              </w:rPr>
              <w:br/>
              <w:t>[L/ha]</w:t>
            </w:r>
          </w:p>
        </w:tc>
        <w:tc>
          <w:tcPr>
            <w:tcW w:w="1396" w:type="pct"/>
            <w:tcMar>
              <w:top w:w="0" w:type="dxa"/>
              <w:left w:w="28" w:type="dxa"/>
              <w:bottom w:w="0" w:type="dxa"/>
              <w:right w:w="28" w:type="dxa"/>
            </w:tcMar>
            <w:vAlign w:val="center"/>
          </w:tcPr>
          <w:p w14:paraId="6CFC3293" w14:textId="77777777" w:rsidR="00E51CDD" w:rsidRPr="002360D5" w:rsidRDefault="00E51CDD" w:rsidP="009938D9">
            <w:pPr>
              <w:widowControl w:val="0"/>
              <w:spacing w:before="40" w:after="40"/>
              <w:jc w:val="center"/>
              <w:rPr>
                <w:rFonts w:eastAsia="PMingLiU"/>
                <w:b/>
                <w:color w:val="000000"/>
                <w:sz w:val="20"/>
                <w:lang w:eastAsia="en-US"/>
              </w:rPr>
            </w:pPr>
            <w:r w:rsidRPr="002360D5">
              <w:rPr>
                <w:rFonts w:eastAsia="PMingLiU"/>
                <w:b/>
                <w:color w:val="000000"/>
                <w:sz w:val="20"/>
                <w:lang w:eastAsia="en-US"/>
              </w:rPr>
              <w:t>Mortality</w:t>
            </w:r>
            <w:r w:rsidRPr="002360D5">
              <w:rPr>
                <w:rFonts w:eastAsia="PMingLiU"/>
                <w:b/>
                <w:color w:val="000000"/>
                <w:sz w:val="20"/>
                <w:vertAlign w:val="superscript"/>
                <w:lang w:eastAsia="en-US"/>
              </w:rPr>
              <w:t>2)</w:t>
            </w:r>
            <w:r w:rsidRPr="002360D5">
              <w:rPr>
                <w:rFonts w:eastAsia="PMingLiU"/>
                <w:b/>
                <w:color w:val="000000"/>
                <w:sz w:val="20"/>
                <w:vertAlign w:val="superscript"/>
                <w:lang w:eastAsia="en-US"/>
              </w:rPr>
              <w:br/>
            </w:r>
            <w:r w:rsidRPr="002360D5">
              <w:rPr>
                <w:rFonts w:eastAsia="PMingLiU"/>
                <w:b/>
                <w:color w:val="000000"/>
                <w:sz w:val="20"/>
                <w:lang w:eastAsia="en-US"/>
              </w:rPr>
              <w:t>[%]</w:t>
            </w:r>
          </w:p>
        </w:tc>
        <w:tc>
          <w:tcPr>
            <w:tcW w:w="1398" w:type="pct"/>
            <w:vAlign w:val="center"/>
          </w:tcPr>
          <w:p w14:paraId="222D1489" w14:textId="77777777" w:rsidR="00E51CDD" w:rsidRPr="002360D5" w:rsidRDefault="00E51CDD" w:rsidP="009938D9">
            <w:pPr>
              <w:widowControl w:val="0"/>
              <w:spacing w:before="40" w:after="40"/>
              <w:jc w:val="center"/>
              <w:rPr>
                <w:rFonts w:eastAsia="PMingLiU"/>
                <w:b/>
                <w:color w:val="000000"/>
                <w:sz w:val="20"/>
                <w:lang w:eastAsia="en-US"/>
              </w:rPr>
            </w:pPr>
            <w:r w:rsidRPr="002360D5">
              <w:rPr>
                <w:rFonts w:eastAsia="PMingLiU"/>
                <w:b/>
                <w:color w:val="000000"/>
                <w:sz w:val="20"/>
                <w:lang w:eastAsia="en-US"/>
              </w:rPr>
              <w:t>Corrected mortality</w:t>
            </w:r>
            <w:r w:rsidRPr="002360D5">
              <w:rPr>
                <w:rFonts w:eastAsia="PMingLiU"/>
                <w:b/>
                <w:color w:val="000000"/>
                <w:sz w:val="20"/>
                <w:vertAlign w:val="superscript"/>
                <w:lang w:eastAsia="en-US"/>
              </w:rPr>
              <w:t>3)</w:t>
            </w:r>
            <w:r w:rsidRPr="002360D5">
              <w:rPr>
                <w:rFonts w:eastAsia="PMingLiU"/>
                <w:b/>
                <w:color w:val="000000"/>
                <w:sz w:val="20"/>
                <w:lang w:eastAsia="en-US"/>
              </w:rPr>
              <w:t xml:space="preserve"> </w:t>
            </w:r>
            <w:r w:rsidRPr="002360D5">
              <w:rPr>
                <w:rFonts w:eastAsia="PMingLiU"/>
                <w:b/>
                <w:color w:val="000000"/>
                <w:sz w:val="20"/>
                <w:lang w:eastAsia="en-US"/>
              </w:rPr>
              <w:br/>
              <w:t>[%]</w:t>
            </w:r>
          </w:p>
        </w:tc>
      </w:tr>
      <w:tr w:rsidR="00E51CDD" w:rsidRPr="002360D5" w14:paraId="2F4B4140" w14:textId="77777777" w:rsidTr="009938D9">
        <w:trPr>
          <w:cantSplit/>
        </w:trPr>
        <w:tc>
          <w:tcPr>
            <w:tcW w:w="881" w:type="pct"/>
            <w:tcMar>
              <w:top w:w="0" w:type="dxa"/>
              <w:left w:w="28" w:type="dxa"/>
              <w:bottom w:w="0" w:type="dxa"/>
              <w:right w:w="28" w:type="dxa"/>
            </w:tcMar>
          </w:tcPr>
          <w:p w14:paraId="6FDF50DD" w14:textId="77777777" w:rsidR="00E51CDD" w:rsidRPr="002360D5" w:rsidRDefault="00E51CDD" w:rsidP="009938D9">
            <w:pPr>
              <w:widowControl w:val="0"/>
              <w:spacing w:before="40" w:after="40"/>
              <w:jc w:val="center"/>
              <w:rPr>
                <w:color w:val="000000"/>
                <w:sz w:val="20"/>
              </w:rPr>
            </w:pPr>
            <w:r w:rsidRPr="002360D5">
              <w:rPr>
                <w:color w:val="000000"/>
                <w:sz w:val="20"/>
              </w:rPr>
              <w:t>Control</w:t>
            </w:r>
          </w:p>
        </w:tc>
        <w:tc>
          <w:tcPr>
            <w:tcW w:w="1325" w:type="pct"/>
            <w:tcMar>
              <w:top w:w="0" w:type="dxa"/>
              <w:left w:w="28" w:type="dxa"/>
              <w:bottom w:w="0" w:type="dxa"/>
              <w:right w:w="28" w:type="dxa"/>
            </w:tcMar>
          </w:tcPr>
          <w:p w14:paraId="652E26D8" w14:textId="77777777" w:rsidR="00E51CDD" w:rsidRPr="002360D5" w:rsidRDefault="00E51CDD" w:rsidP="009938D9">
            <w:pPr>
              <w:widowControl w:val="0"/>
              <w:spacing w:before="40" w:after="40"/>
              <w:jc w:val="center"/>
              <w:rPr>
                <w:color w:val="000000"/>
                <w:sz w:val="20"/>
              </w:rPr>
            </w:pPr>
            <w:r w:rsidRPr="002360D5">
              <w:rPr>
                <w:color w:val="000000"/>
                <w:sz w:val="20"/>
              </w:rPr>
              <w:t>--</w:t>
            </w:r>
          </w:p>
        </w:tc>
        <w:tc>
          <w:tcPr>
            <w:tcW w:w="1396" w:type="pct"/>
            <w:tcMar>
              <w:top w:w="0" w:type="dxa"/>
              <w:left w:w="28" w:type="dxa"/>
              <w:bottom w:w="0" w:type="dxa"/>
              <w:right w:w="28" w:type="dxa"/>
            </w:tcMar>
          </w:tcPr>
          <w:p w14:paraId="36951059" w14:textId="77777777" w:rsidR="00E51CDD" w:rsidRPr="002360D5" w:rsidRDefault="00E51CDD" w:rsidP="009938D9">
            <w:pPr>
              <w:widowControl w:val="0"/>
              <w:spacing w:before="40" w:after="40"/>
              <w:jc w:val="center"/>
              <w:rPr>
                <w:color w:val="000000"/>
                <w:sz w:val="20"/>
              </w:rPr>
            </w:pPr>
            <w:r w:rsidRPr="002360D5">
              <w:rPr>
                <w:color w:val="000000"/>
                <w:sz w:val="20"/>
              </w:rPr>
              <w:t>5.0</w:t>
            </w:r>
          </w:p>
        </w:tc>
        <w:tc>
          <w:tcPr>
            <w:tcW w:w="1398" w:type="pct"/>
          </w:tcPr>
          <w:p w14:paraId="0FA1050B" w14:textId="77777777" w:rsidR="00E51CDD" w:rsidRPr="002360D5" w:rsidRDefault="00E51CDD" w:rsidP="009938D9">
            <w:pPr>
              <w:widowControl w:val="0"/>
              <w:spacing w:before="40" w:after="40"/>
              <w:jc w:val="center"/>
              <w:rPr>
                <w:color w:val="000000"/>
                <w:sz w:val="20"/>
              </w:rPr>
            </w:pPr>
            <w:r w:rsidRPr="002360D5">
              <w:rPr>
                <w:color w:val="000000"/>
                <w:sz w:val="20"/>
              </w:rPr>
              <w:t>--</w:t>
            </w:r>
          </w:p>
        </w:tc>
      </w:tr>
      <w:tr w:rsidR="00E51CDD" w:rsidRPr="002360D5" w14:paraId="5819E058" w14:textId="77777777" w:rsidTr="009938D9">
        <w:trPr>
          <w:cantSplit/>
        </w:trPr>
        <w:tc>
          <w:tcPr>
            <w:tcW w:w="881" w:type="pct"/>
            <w:vMerge w:val="restart"/>
            <w:tcMar>
              <w:top w:w="0" w:type="dxa"/>
              <w:left w:w="28" w:type="dxa"/>
              <w:bottom w:w="0" w:type="dxa"/>
              <w:right w:w="28" w:type="dxa"/>
            </w:tcMar>
            <w:vAlign w:val="center"/>
          </w:tcPr>
          <w:p w14:paraId="75130E50" w14:textId="77777777" w:rsidR="00E51CDD" w:rsidRPr="002360D5" w:rsidRDefault="00E51CDD" w:rsidP="009938D9">
            <w:pPr>
              <w:widowControl w:val="0"/>
              <w:spacing w:before="40" w:after="40"/>
              <w:jc w:val="center"/>
              <w:rPr>
                <w:rFonts w:eastAsia="PMingLiU"/>
                <w:bCs/>
                <w:color w:val="000000"/>
                <w:sz w:val="20"/>
                <w:lang w:eastAsia="en-US"/>
              </w:rPr>
            </w:pPr>
            <w:r w:rsidRPr="002360D5">
              <w:rPr>
                <w:rFonts w:eastAsia="PMingLiU"/>
                <w:bCs/>
                <w:color w:val="000000"/>
                <w:sz w:val="20"/>
                <w:lang w:eastAsia="en-US"/>
              </w:rPr>
              <w:t>BAS 736 00 F</w:t>
            </w:r>
          </w:p>
        </w:tc>
        <w:tc>
          <w:tcPr>
            <w:tcW w:w="1325" w:type="pct"/>
            <w:tcMar>
              <w:top w:w="0" w:type="dxa"/>
              <w:left w:w="28" w:type="dxa"/>
              <w:bottom w:w="0" w:type="dxa"/>
              <w:right w:w="28" w:type="dxa"/>
            </w:tcMar>
          </w:tcPr>
          <w:p w14:paraId="7718F9A3" w14:textId="77777777" w:rsidR="00E51CDD" w:rsidRPr="002360D5" w:rsidRDefault="00E51CDD" w:rsidP="009938D9">
            <w:pPr>
              <w:widowControl w:val="0"/>
              <w:spacing w:before="40" w:after="40"/>
              <w:jc w:val="center"/>
              <w:rPr>
                <w:rFonts w:eastAsia="PMingLiU"/>
                <w:color w:val="000000"/>
                <w:sz w:val="20"/>
                <w:lang w:eastAsia="en-US"/>
              </w:rPr>
            </w:pPr>
            <w:r w:rsidRPr="002360D5">
              <w:rPr>
                <w:rFonts w:eastAsia="PMingLiU"/>
                <w:color w:val="000000"/>
                <w:sz w:val="20"/>
                <w:lang w:eastAsia="en-US"/>
              </w:rPr>
              <w:t>0.25</w:t>
            </w:r>
          </w:p>
        </w:tc>
        <w:tc>
          <w:tcPr>
            <w:tcW w:w="1396" w:type="pct"/>
            <w:tcMar>
              <w:top w:w="0" w:type="dxa"/>
              <w:left w:w="28" w:type="dxa"/>
              <w:bottom w:w="0" w:type="dxa"/>
              <w:right w:w="28" w:type="dxa"/>
            </w:tcMar>
            <w:vAlign w:val="center"/>
          </w:tcPr>
          <w:p w14:paraId="142DD5AF" w14:textId="77777777" w:rsidR="00E51CDD" w:rsidRPr="002360D5" w:rsidRDefault="00E51CDD" w:rsidP="009938D9">
            <w:pPr>
              <w:widowControl w:val="0"/>
              <w:spacing w:before="40" w:after="40"/>
              <w:jc w:val="center"/>
              <w:rPr>
                <w:color w:val="000000"/>
                <w:sz w:val="20"/>
              </w:rPr>
            </w:pPr>
            <w:r w:rsidRPr="002360D5">
              <w:rPr>
                <w:color w:val="000000"/>
                <w:sz w:val="20"/>
              </w:rPr>
              <w:t>5.0</w:t>
            </w:r>
          </w:p>
        </w:tc>
        <w:tc>
          <w:tcPr>
            <w:tcW w:w="1398" w:type="pct"/>
            <w:vAlign w:val="center"/>
          </w:tcPr>
          <w:p w14:paraId="3D6B4A9B" w14:textId="77777777" w:rsidR="00E51CDD" w:rsidRPr="002360D5" w:rsidRDefault="00E51CDD" w:rsidP="009938D9">
            <w:pPr>
              <w:widowControl w:val="0"/>
              <w:spacing w:before="40" w:after="40"/>
              <w:jc w:val="center"/>
              <w:rPr>
                <w:color w:val="000000"/>
                <w:sz w:val="20"/>
              </w:rPr>
            </w:pPr>
            <w:r w:rsidRPr="002360D5">
              <w:rPr>
                <w:color w:val="000000"/>
                <w:sz w:val="20"/>
              </w:rPr>
              <w:t>0</w:t>
            </w:r>
          </w:p>
        </w:tc>
      </w:tr>
      <w:tr w:rsidR="00E51CDD" w:rsidRPr="002360D5" w14:paraId="024B8432" w14:textId="77777777" w:rsidTr="009938D9">
        <w:trPr>
          <w:cantSplit/>
        </w:trPr>
        <w:tc>
          <w:tcPr>
            <w:tcW w:w="881" w:type="pct"/>
            <w:vMerge/>
            <w:tcMar>
              <w:top w:w="0" w:type="dxa"/>
              <w:left w:w="28" w:type="dxa"/>
              <w:bottom w:w="0" w:type="dxa"/>
              <w:right w:w="28" w:type="dxa"/>
            </w:tcMar>
            <w:vAlign w:val="center"/>
          </w:tcPr>
          <w:p w14:paraId="73C0671C" w14:textId="77777777" w:rsidR="00E51CDD" w:rsidRPr="002360D5" w:rsidRDefault="00E51CDD" w:rsidP="009938D9">
            <w:pPr>
              <w:widowControl w:val="0"/>
              <w:spacing w:before="40" w:after="40"/>
              <w:jc w:val="center"/>
              <w:rPr>
                <w:rFonts w:eastAsia="PMingLiU"/>
                <w:bCs/>
                <w:color w:val="000000"/>
                <w:sz w:val="20"/>
                <w:lang w:eastAsia="en-US"/>
              </w:rPr>
            </w:pPr>
          </w:p>
        </w:tc>
        <w:tc>
          <w:tcPr>
            <w:tcW w:w="1325" w:type="pct"/>
            <w:tcMar>
              <w:top w:w="0" w:type="dxa"/>
              <w:left w:w="28" w:type="dxa"/>
              <w:bottom w:w="0" w:type="dxa"/>
              <w:right w:w="28" w:type="dxa"/>
            </w:tcMar>
          </w:tcPr>
          <w:p w14:paraId="37408087" w14:textId="77777777" w:rsidR="00E51CDD" w:rsidRPr="002360D5" w:rsidRDefault="00E51CDD" w:rsidP="009938D9">
            <w:pPr>
              <w:widowControl w:val="0"/>
              <w:spacing w:before="40" w:after="40"/>
              <w:jc w:val="center"/>
              <w:rPr>
                <w:rFonts w:eastAsia="PMingLiU"/>
                <w:color w:val="000000"/>
                <w:sz w:val="20"/>
                <w:lang w:eastAsia="en-US"/>
              </w:rPr>
            </w:pPr>
            <w:r w:rsidRPr="002360D5">
              <w:rPr>
                <w:rFonts w:eastAsia="PMingLiU"/>
                <w:color w:val="000000"/>
                <w:sz w:val="20"/>
                <w:lang w:eastAsia="en-US"/>
              </w:rPr>
              <w:t>0.5</w:t>
            </w:r>
          </w:p>
        </w:tc>
        <w:tc>
          <w:tcPr>
            <w:tcW w:w="1396" w:type="pct"/>
            <w:tcMar>
              <w:top w:w="0" w:type="dxa"/>
              <w:left w:w="28" w:type="dxa"/>
              <w:bottom w:w="0" w:type="dxa"/>
              <w:right w:w="28" w:type="dxa"/>
            </w:tcMar>
            <w:vAlign w:val="center"/>
          </w:tcPr>
          <w:p w14:paraId="408F8F7D" w14:textId="77777777" w:rsidR="00E51CDD" w:rsidRPr="002360D5" w:rsidRDefault="00E51CDD" w:rsidP="009938D9">
            <w:pPr>
              <w:widowControl w:val="0"/>
              <w:spacing w:before="40" w:after="40"/>
              <w:jc w:val="center"/>
              <w:rPr>
                <w:color w:val="000000"/>
                <w:sz w:val="20"/>
              </w:rPr>
            </w:pPr>
            <w:r w:rsidRPr="002360D5">
              <w:rPr>
                <w:color w:val="000000"/>
                <w:sz w:val="20"/>
              </w:rPr>
              <w:t>5.0</w:t>
            </w:r>
          </w:p>
        </w:tc>
        <w:tc>
          <w:tcPr>
            <w:tcW w:w="1398" w:type="pct"/>
            <w:vAlign w:val="center"/>
          </w:tcPr>
          <w:p w14:paraId="5E807D15" w14:textId="77777777" w:rsidR="00E51CDD" w:rsidRPr="002360D5" w:rsidRDefault="00E51CDD" w:rsidP="009938D9">
            <w:pPr>
              <w:widowControl w:val="0"/>
              <w:spacing w:before="40" w:after="40"/>
              <w:jc w:val="center"/>
              <w:rPr>
                <w:color w:val="000000"/>
                <w:sz w:val="20"/>
              </w:rPr>
            </w:pPr>
            <w:r w:rsidRPr="002360D5">
              <w:rPr>
                <w:color w:val="000000"/>
                <w:sz w:val="20"/>
              </w:rPr>
              <w:t>0</w:t>
            </w:r>
          </w:p>
        </w:tc>
      </w:tr>
      <w:tr w:rsidR="00E51CDD" w:rsidRPr="002360D5" w14:paraId="39B45BC9" w14:textId="77777777" w:rsidTr="009938D9">
        <w:trPr>
          <w:cantSplit/>
        </w:trPr>
        <w:tc>
          <w:tcPr>
            <w:tcW w:w="881" w:type="pct"/>
            <w:vMerge/>
            <w:tcMar>
              <w:top w:w="0" w:type="dxa"/>
              <w:left w:w="28" w:type="dxa"/>
              <w:bottom w:w="0" w:type="dxa"/>
              <w:right w:w="28" w:type="dxa"/>
            </w:tcMar>
            <w:vAlign w:val="center"/>
          </w:tcPr>
          <w:p w14:paraId="261B256B" w14:textId="77777777" w:rsidR="00E51CDD" w:rsidRPr="002360D5" w:rsidRDefault="00E51CDD" w:rsidP="009938D9">
            <w:pPr>
              <w:widowControl w:val="0"/>
              <w:spacing w:before="40" w:after="40"/>
              <w:jc w:val="center"/>
              <w:rPr>
                <w:rFonts w:eastAsia="PMingLiU"/>
                <w:bCs/>
                <w:color w:val="000000"/>
                <w:sz w:val="20"/>
                <w:lang w:eastAsia="en-US"/>
              </w:rPr>
            </w:pPr>
          </w:p>
        </w:tc>
        <w:tc>
          <w:tcPr>
            <w:tcW w:w="1325" w:type="pct"/>
            <w:tcMar>
              <w:top w:w="0" w:type="dxa"/>
              <w:left w:w="28" w:type="dxa"/>
              <w:bottom w:w="0" w:type="dxa"/>
              <w:right w:w="28" w:type="dxa"/>
            </w:tcMar>
          </w:tcPr>
          <w:p w14:paraId="7A7736A3" w14:textId="77777777" w:rsidR="00E51CDD" w:rsidRPr="002360D5" w:rsidRDefault="00E51CDD" w:rsidP="009938D9">
            <w:pPr>
              <w:widowControl w:val="0"/>
              <w:spacing w:before="40" w:after="40"/>
              <w:jc w:val="center"/>
              <w:rPr>
                <w:rFonts w:eastAsia="PMingLiU"/>
                <w:color w:val="000000"/>
                <w:sz w:val="20"/>
                <w:lang w:eastAsia="en-US"/>
              </w:rPr>
            </w:pPr>
            <w:r w:rsidRPr="002360D5">
              <w:rPr>
                <w:rFonts w:eastAsia="PMingLiU"/>
                <w:color w:val="000000"/>
                <w:sz w:val="20"/>
                <w:lang w:eastAsia="en-US"/>
              </w:rPr>
              <w:t>1.0</w:t>
            </w:r>
          </w:p>
        </w:tc>
        <w:tc>
          <w:tcPr>
            <w:tcW w:w="1396" w:type="pct"/>
            <w:tcMar>
              <w:top w:w="0" w:type="dxa"/>
              <w:left w:w="28" w:type="dxa"/>
              <w:bottom w:w="0" w:type="dxa"/>
              <w:right w:w="28" w:type="dxa"/>
            </w:tcMar>
            <w:vAlign w:val="center"/>
          </w:tcPr>
          <w:p w14:paraId="4A7807F8" w14:textId="77777777" w:rsidR="00E51CDD" w:rsidRPr="002360D5" w:rsidRDefault="00E51CDD" w:rsidP="009938D9">
            <w:pPr>
              <w:widowControl w:val="0"/>
              <w:spacing w:before="40" w:after="40"/>
              <w:jc w:val="center"/>
              <w:rPr>
                <w:color w:val="000000"/>
                <w:sz w:val="20"/>
              </w:rPr>
            </w:pPr>
            <w:r w:rsidRPr="002360D5">
              <w:rPr>
                <w:color w:val="000000"/>
                <w:sz w:val="20"/>
              </w:rPr>
              <w:t>12.5</w:t>
            </w:r>
          </w:p>
        </w:tc>
        <w:tc>
          <w:tcPr>
            <w:tcW w:w="1398" w:type="pct"/>
            <w:vAlign w:val="center"/>
          </w:tcPr>
          <w:p w14:paraId="79D69F90" w14:textId="77777777" w:rsidR="00E51CDD" w:rsidRPr="002360D5" w:rsidRDefault="00E51CDD" w:rsidP="009938D9">
            <w:pPr>
              <w:widowControl w:val="0"/>
              <w:spacing w:before="40" w:after="40"/>
              <w:jc w:val="center"/>
              <w:rPr>
                <w:color w:val="000000"/>
                <w:sz w:val="20"/>
              </w:rPr>
            </w:pPr>
            <w:r w:rsidRPr="002360D5">
              <w:rPr>
                <w:color w:val="000000"/>
                <w:sz w:val="20"/>
              </w:rPr>
              <w:t>7.9</w:t>
            </w:r>
          </w:p>
        </w:tc>
      </w:tr>
      <w:tr w:rsidR="00E51CDD" w:rsidRPr="002360D5" w14:paraId="5812CFE0" w14:textId="77777777" w:rsidTr="009938D9">
        <w:trPr>
          <w:cantSplit/>
        </w:trPr>
        <w:tc>
          <w:tcPr>
            <w:tcW w:w="881" w:type="pct"/>
            <w:vMerge/>
            <w:tcMar>
              <w:top w:w="0" w:type="dxa"/>
              <w:left w:w="28" w:type="dxa"/>
              <w:bottom w:w="0" w:type="dxa"/>
              <w:right w:w="28" w:type="dxa"/>
            </w:tcMar>
            <w:vAlign w:val="center"/>
          </w:tcPr>
          <w:p w14:paraId="57320D41" w14:textId="77777777" w:rsidR="00E51CDD" w:rsidRPr="002360D5" w:rsidRDefault="00E51CDD" w:rsidP="009938D9">
            <w:pPr>
              <w:widowControl w:val="0"/>
              <w:spacing w:before="40" w:after="40"/>
              <w:jc w:val="center"/>
              <w:rPr>
                <w:rFonts w:eastAsia="PMingLiU"/>
                <w:bCs/>
                <w:color w:val="000000"/>
                <w:sz w:val="20"/>
                <w:lang w:eastAsia="en-US"/>
              </w:rPr>
            </w:pPr>
          </w:p>
        </w:tc>
        <w:tc>
          <w:tcPr>
            <w:tcW w:w="1325" w:type="pct"/>
            <w:tcMar>
              <w:top w:w="0" w:type="dxa"/>
              <w:left w:w="28" w:type="dxa"/>
              <w:bottom w:w="0" w:type="dxa"/>
              <w:right w:w="28" w:type="dxa"/>
            </w:tcMar>
          </w:tcPr>
          <w:p w14:paraId="36334B48" w14:textId="77777777" w:rsidR="00E51CDD" w:rsidRPr="002360D5" w:rsidRDefault="00E51CDD" w:rsidP="009938D9">
            <w:pPr>
              <w:widowControl w:val="0"/>
              <w:spacing w:before="40" w:after="40"/>
              <w:jc w:val="center"/>
              <w:rPr>
                <w:rFonts w:eastAsia="PMingLiU"/>
                <w:color w:val="000000"/>
                <w:sz w:val="20"/>
                <w:lang w:eastAsia="en-US"/>
              </w:rPr>
            </w:pPr>
            <w:r w:rsidRPr="002360D5">
              <w:rPr>
                <w:rFonts w:eastAsia="PMingLiU"/>
                <w:color w:val="000000"/>
                <w:sz w:val="20"/>
                <w:lang w:eastAsia="en-US"/>
              </w:rPr>
              <w:t>2.0</w:t>
            </w:r>
          </w:p>
        </w:tc>
        <w:tc>
          <w:tcPr>
            <w:tcW w:w="1396" w:type="pct"/>
            <w:tcMar>
              <w:top w:w="0" w:type="dxa"/>
              <w:left w:w="28" w:type="dxa"/>
              <w:bottom w:w="0" w:type="dxa"/>
              <w:right w:w="28" w:type="dxa"/>
            </w:tcMar>
            <w:vAlign w:val="center"/>
          </w:tcPr>
          <w:p w14:paraId="68DBECBC" w14:textId="77777777" w:rsidR="00E51CDD" w:rsidRPr="002360D5" w:rsidRDefault="00E51CDD" w:rsidP="009938D9">
            <w:pPr>
              <w:widowControl w:val="0"/>
              <w:spacing w:before="40" w:after="40"/>
              <w:jc w:val="center"/>
              <w:rPr>
                <w:color w:val="000000"/>
                <w:sz w:val="20"/>
              </w:rPr>
            </w:pPr>
            <w:r w:rsidRPr="002360D5">
              <w:rPr>
                <w:color w:val="000000"/>
                <w:sz w:val="20"/>
              </w:rPr>
              <w:t>22.5 *</w:t>
            </w:r>
          </w:p>
        </w:tc>
        <w:tc>
          <w:tcPr>
            <w:tcW w:w="1398" w:type="pct"/>
            <w:vAlign w:val="center"/>
          </w:tcPr>
          <w:p w14:paraId="5815D17F" w14:textId="77777777" w:rsidR="00E51CDD" w:rsidRPr="002360D5" w:rsidRDefault="00E51CDD" w:rsidP="009938D9">
            <w:pPr>
              <w:widowControl w:val="0"/>
              <w:spacing w:before="40" w:after="40"/>
              <w:jc w:val="center"/>
              <w:rPr>
                <w:color w:val="000000"/>
                <w:sz w:val="20"/>
              </w:rPr>
            </w:pPr>
            <w:r w:rsidRPr="002360D5">
              <w:rPr>
                <w:color w:val="000000"/>
                <w:sz w:val="20"/>
              </w:rPr>
              <w:t>18.4</w:t>
            </w:r>
          </w:p>
        </w:tc>
      </w:tr>
      <w:tr w:rsidR="00E51CDD" w:rsidRPr="002360D5" w14:paraId="437C4D54" w14:textId="77777777" w:rsidTr="009938D9">
        <w:trPr>
          <w:cantSplit/>
        </w:trPr>
        <w:tc>
          <w:tcPr>
            <w:tcW w:w="881" w:type="pct"/>
            <w:vMerge/>
            <w:tcMar>
              <w:top w:w="0" w:type="dxa"/>
              <w:left w:w="28" w:type="dxa"/>
              <w:bottom w:w="0" w:type="dxa"/>
              <w:right w:w="28" w:type="dxa"/>
            </w:tcMar>
            <w:vAlign w:val="center"/>
          </w:tcPr>
          <w:p w14:paraId="64BD9CF0" w14:textId="77777777" w:rsidR="00E51CDD" w:rsidRPr="002360D5" w:rsidRDefault="00E51CDD" w:rsidP="009938D9">
            <w:pPr>
              <w:widowControl w:val="0"/>
              <w:spacing w:before="40" w:after="40"/>
              <w:jc w:val="center"/>
              <w:rPr>
                <w:rFonts w:eastAsia="PMingLiU"/>
                <w:bCs/>
                <w:color w:val="000000"/>
                <w:sz w:val="20"/>
                <w:lang w:eastAsia="en-US"/>
              </w:rPr>
            </w:pPr>
          </w:p>
        </w:tc>
        <w:tc>
          <w:tcPr>
            <w:tcW w:w="1325" w:type="pct"/>
            <w:tcMar>
              <w:top w:w="0" w:type="dxa"/>
              <w:left w:w="28" w:type="dxa"/>
              <w:bottom w:w="0" w:type="dxa"/>
              <w:right w:w="28" w:type="dxa"/>
            </w:tcMar>
          </w:tcPr>
          <w:p w14:paraId="593A97DA" w14:textId="77777777" w:rsidR="00E51CDD" w:rsidRPr="002360D5" w:rsidRDefault="00E51CDD" w:rsidP="009938D9">
            <w:pPr>
              <w:widowControl w:val="0"/>
              <w:spacing w:before="40" w:after="40"/>
              <w:jc w:val="center"/>
              <w:rPr>
                <w:rFonts w:eastAsia="PMingLiU"/>
                <w:color w:val="000000"/>
                <w:sz w:val="20"/>
                <w:lang w:eastAsia="en-US"/>
              </w:rPr>
            </w:pPr>
            <w:r w:rsidRPr="002360D5">
              <w:rPr>
                <w:rFonts w:eastAsia="PMingLiU"/>
                <w:color w:val="000000"/>
                <w:sz w:val="20"/>
                <w:lang w:eastAsia="en-US"/>
              </w:rPr>
              <w:t>4.0</w:t>
            </w:r>
          </w:p>
        </w:tc>
        <w:tc>
          <w:tcPr>
            <w:tcW w:w="1396" w:type="pct"/>
            <w:tcMar>
              <w:top w:w="0" w:type="dxa"/>
              <w:left w:w="28" w:type="dxa"/>
              <w:bottom w:w="0" w:type="dxa"/>
              <w:right w:w="28" w:type="dxa"/>
            </w:tcMar>
            <w:vAlign w:val="center"/>
          </w:tcPr>
          <w:p w14:paraId="37E058EB" w14:textId="77777777" w:rsidR="00E51CDD" w:rsidRPr="002360D5" w:rsidRDefault="00E51CDD" w:rsidP="009938D9">
            <w:pPr>
              <w:widowControl w:val="0"/>
              <w:spacing w:before="40" w:after="40"/>
              <w:jc w:val="center"/>
              <w:rPr>
                <w:color w:val="000000"/>
                <w:sz w:val="20"/>
              </w:rPr>
            </w:pPr>
            <w:r w:rsidRPr="002360D5">
              <w:rPr>
                <w:color w:val="000000"/>
                <w:sz w:val="20"/>
              </w:rPr>
              <w:t>92.5 *</w:t>
            </w:r>
          </w:p>
        </w:tc>
        <w:tc>
          <w:tcPr>
            <w:tcW w:w="1398" w:type="pct"/>
            <w:vAlign w:val="center"/>
          </w:tcPr>
          <w:p w14:paraId="34BFF73A" w14:textId="77777777" w:rsidR="00E51CDD" w:rsidRPr="002360D5" w:rsidRDefault="00E51CDD" w:rsidP="009938D9">
            <w:pPr>
              <w:widowControl w:val="0"/>
              <w:spacing w:before="40" w:after="40"/>
              <w:jc w:val="center"/>
              <w:rPr>
                <w:color w:val="000000"/>
                <w:sz w:val="20"/>
              </w:rPr>
            </w:pPr>
            <w:r w:rsidRPr="002360D5">
              <w:rPr>
                <w:color w:val="000000"/>
                <w:sz w:val="20"/>
              </w:rPr>
              <w:t>92.1</w:t>
            </w:r>
          </w:p>
        </w:tc>
      </w:tr>
      <w:tr w:rsidR="00E51CDD" w:rsidRPr="007330A6" w14:paraId="0FC6A53A" w14:textId="77777777" w:rsidTr="009938D9">
        <w:tc>
          <w:tcPr>
            <w:tcW w:w="881" w:type="pct"/>
            <w:vAlign w:val="center"/>
          </w:tcPr>
          <w:p w14:paraId="12AF6084" w14:textId="77777777" w:rsidR="00E51CDD" w:rsidRPr="002360D5" w:rsidRDefault="00E51CDD" w:rsidP="009938D9">
            <w:pPr>
              <w:widowControl w:val="0"/>
              <w:spacing w:before="40" w:after="40"/>
              <w:jc w:val="center"/>
              <w:rPr>
                <w:color w:val="000000"/>
                <w:sz w:val="20"/>
              </w:rPr>
            </w:pPr>
          </w:p>
        </w:tc>
        <w:tc>
          <w:tcPr>
            <w:tcW w:w="4119" w:type="pct"/>
            <w:gridSpan w:val="3"/>
            <w:vAlign w:val="center"/>
          </w:tcPr>
          <w:p w14:paraId="6D1668FD" w14:textId="77777777" w:rsidR="00E51CDD" w:rsidRPr="002262EA" w:rsidRDefault="00E51CDD" w:rsidP="009938D9">
            <w:pPr>
              <w:widowControl w:val="0"/>
              <w:spacing w:before="40" w:after="40"/>
              <w:jc w:val="center"/>
              <w:rPr>
                <w:b/>
                <w:bCs/>
                <w:color w:val="000000"/>
                <w:sz w:val="20"/>
                <w:lang w:val="fr-BE"/>
              </w:rPr>
            </w:pPr>
            <w:r w:rsidRPr="002262EA">
              <w:rPr>
                <w:b/>
                <w:bCs/>
                <w:color w:val="000000"/>
                <w:sz w:val="20"/>
                <w:lang w:val="fr-BE"/>
              </w:rPr>
              <w:t xml:space="preserve">Endpoint [L </w:t>
            </w:r>
            <w:r w:rsidRPr="002262EA">
              <w:rPr>
                <w:b/>
                <w:color w:val="000000"/>
                <w:sz w:val="20"/>
                <w:lang w:val="fr-BE"/>
              </w:rPr>
              <w:t>BAS 736 00 F</w:t>
            </w:r>
            <w:r w:rsidRPr="002262EA">
              <w:rPr>
                <w:b/>
                <w:bCs/>
                <w:color w:val="000000"/>
                <w:sz w:val="20"/>
                <w:lang w:val="fr-BE"/>
              </w:rPr>
              <w:t>/ha]</w:t>
            </w:r>
          </w:p>
        </w:tc>
      </w:tr>
      <w:tr w:rsidR="00E51CDD" w:rsidRPr="002360D5" w14:paraId="31BE0951" w14:textId="77777777" w:rsidTr="009938D9">
        <w:tc>
          <w:tcPr>
            <w:tcW w:w="881" w:type="pct"/>
          </w:tcPr>
          <w:p w14:paraId="52BD6A86" w14:textId="77777777" w:rsidR="00E51CDD" w:rsidRPr="002360D5" w:rsidRDefault="00E51CDD" w:rsidP="009938D9">
            <w:pPr>
              <w:keepNext/>
              <w:spacing w:before="40" w:after="40"/>
              <w:jc w:val="center"/>
              <w:rPr>
                <w:color w:val="000000"/>
                <w:sz w:val="20"/>
              </w:rPr>
            </w:pPr>
            <w:r w:rsidRPr="002360D5">
              <w:rPr>
                <w:color w:val="000000"/>
                <w:sz w:val="20"/>
              </w:rPr>
              <w:t>LR</w:t>
            </w:r>
            <w:r w:rsidRPr="002360D5">
              <w:rPr>
                <w:color w:val="000000"/>
                <w:sz w:val="20"/>
                <w:vertAlign w:val="subscript"/>
              </w:rPr>
              <w:t>50</w:t>
            </w:r>
          </w:p>
          <w:p w14:paraId="47AC8952" w14:textId="77777777" w:rsidR="00E51CDD" w:rsidRPr="002360D5" w:rsidRDefault="00E51CDD" w:rsidP="009938D9">
            <w:pPr>
              <w:widowControl w:val="0"/>
              <w:spacing w:before="40" w:after="40"/>
              <w:jc w:val="center"/>
              <w:rPr>
                <w:color w:val="000000"/>
                <w:sz w:val="20"/>
                <w:vertAlign w:val="superscript"/>
              </w:rPr>
            </w:pPr>
            <w:r w:rsidRPr="002360D5">
              <w:rPr>
                <w:color w:val="000000"/>
                <w:sz w:val="20"/>
              </w:rPr>
              <w:t>[95% CL]</w:t>
            </w:r>
          </w:p>
        </w:tc>
        <w:tc>
          <w:tcPr>
            <w:tcW w:w="4119" w:type="pct"/>
            <w:gridSpan w:val="3"/>
            <w:vAlign w:val="center"/>
          </w:tcPr>
          <w:p w14:paraId="411CE52F" w14:textId="77777777" w:rsidR="00E51CDD" w:rsidRPr="002360D5" w:rsidRDefault="00E51CDD" w:rsidP="009938D9">
            <w:pPr>
              <w:keepNext/>
              <w:spacing w:before="40" w:after="40"/>
              <w:jc w:val="center"/>
              <w:rPr>
                <w:color w:val="000000"/>
                <w:sz w:val="20"/>
              </w:rPr>
            </w:pPr>
            <w:r w:rsidRPr="002360D5">
              <w:rPr>
                <w:color w:val="000000"/>
                <w:sz w:val="20"/>
              </w:rPr>
              <w:t>2.67</w:t>
            </w:r>
          </w:p>
          <w:p w14:paraId="0C91001D" w14:textId="77777777" w:rsidR="00E51CDD" w:rsidRPr="002360D5" w:rsidRDefault="00E51CDD" w:rsidP="009938D9">
            <w:pPr>
              <w:widowControl w:val="0"/>
              <w:spacing w:before="40" w:after="40"/>
              <w:jc w:val="center"/>
              <w:rPr>
                <w:color w:val="000000"/>
                <w:sz w:val="20"/>
              </w:rPr>
            </w:pPr>
            <w:r w:rsidRPr="002360D5">
              <w:rPr>
                <w:color w:val="000000"/>
                <w:sz w:val="20"/>
              </w:rPr>
              <w:t>[2.34-2.98]</w:t>
            </w:r>
          </w:p>
        </w:tc>
      </w:tr>
    </w:tbl>
    <w:p w14:paraId="6278256A" w14:textId="77777777" w:rsidR="00E51CDD" w:rsidRPr="002360D5" w:rsidRDefault="00E51CDD" w:rsidP="00E51CDD">
      <w:pPr>
        <w:keepNext/>
        <w:ind w:left="284" w:hanging="284"/>
        <w:rPr>
          <w:color w:val="000000"/>
          <w:sz w:val="18"/>
          <w:szCs w:val="18"/>
        </w:rPr>
      </w:pPr>
      <w:r w:rsidRPr="002360D5">
        <w:rPr>
          <w:i/>
          <w:iCs/>
          <w:color w:val="000000"/>
          <w:sz w:val="18"/>
          <w:szCs w:val="18"/>
        </w:rPr>
        <w:t>CL = Confidence Limits</w:t>
      </w:r>
    </w:p>
    <w:p w14:paraId="36404E2B" w14:textId="77777777" w:rsidR="00E51CDD" w:rsidRPr="002360D5" w:rsidRDefault="00E51CDD" w:rsidP="00E51CDD">
      <w:pPr>
        <w:keepNext/>
        <w:spacing w:before="40"/>
        <w:ind w:left="284" w:hanging="284"/>
        <w:jc w:val="both"/>
        <w:rPr>
          <w:color w:val="000000"/>
          <w:sz w:val="18"/>
          <w:szCs w:val="18"/>
        </w:rPr>
      </w:pPr>
      <w:r w:rsidRPr="002360D5">
        <w:rPr>
          <w:color w:val="000000"/>
          <w:sz w:val="18"/>
          <w:szCs w:val="18"/>
        </w:rPr>
        <w:t>*</w:t>
      </w:r>
      <w:r w:rsidRPr="002360D5">
        <w:rPr>
          <w:color w:val="000000"/>
          <w:sz w:val="18"/>
          <w:szCs w:val="18"/>
        </w:rPr>
        <w:tab/>
        <w:t>Mortality statistically significant different compared to the control (Step-down Cochran-Armitage Test, α = 0.05).</w:t>
      </w:r>
    </w:p>
    <w:p w14:paraId="5C03885C" w14:textId="77777777" w:rsidR="00E51CDD" w:rsidRPr="002360D5" w:rsidRDefault="00E51CDD" w:rsidP="00E51CDD">
      <w:pPr>
        <w:keepNext/>
        <w:spacing w:before="40"/>
        <w:ind w:left="284" w:hanging="284"/>
        <w:jc w:val="both"/>
        <w:rPr>
          <w:color w:val="000000"/>
          <w:sz w:val="18"/>
          <w:szCs w:val="18"/>
        </w:rPr>
      </w:pPr>
      <w:r w:rsidRPr="002360D5">
        <w:rPr>
          <w:color w:val="000000"/>
          <w:sz w:val="18"/>
          <w:szCs w:val="18"/>
          <w:vertAlign w:val="superscript"/>
        </w:rPr>
        <w:t>1)</w:t>
      </w:r>
      <w:r w:rsidRPr="002360D5">
        <w:rPr>
          <w:color w:val="000000"/>
          <w:sz w:val="18"/>
          <w:szCs w:val="18"/>
        </w:rPr>
        <w:tab/>
        <w:t>Application rate in 200 L water/ha.</w:t>
      </w:r>
    </w:p>
    <w:p w14:paraId="0E9308DE" w14:textId="77777777" w:rsidR="00E51CDD" w:rsidRPr="002360D5" w:rsidRDefault="00E51CDD" w:rsidP="00E51CDD">
      <w:pPr>
        <w:keepNext/>
        <w:ind w:left="284" w:hanging="284"/>
        <w:jc w:val="both"/>
        <w:rPr>
          <w:color w:val="000000"/>
          <w:sz w:val="18"/>
          <w:szCs w:val="18"/>
        </w:rPr>
      </w:pPr>
      <w:r w:rsidRPr="002360D5">
        <w:rPr>
          <w:color w:val="000000"/>
          <w:sz w:val="18"/>
          <w:szCs w:val="18"/>
          <w:vertAlign w:val="superscript"/>
        </w:rPr>
        <w:t>2)</w:t>
      </w:r>
      <w:r w:rsidRPr="002360D5">
        <w:rPr>
          <w:color w:val="000000"/>
          <w:sz w:val="18"/>
          <w:szCs w:val="18"/>
          <w:vertAlign w:val="superscript"/>
        </w:rPr>
        <w:tab/>
      </w:r>
      <w:r w:rsidRPr="002360D5">
        <w:rPr>
          <w:color w:val="000000"/>
          <w:sz w:val="18"/>
          <w:szCs w:val="18"/>
        </w:rPr>
        <w:t>Mortality after 48 hours of exposure to BAS 736 00 F on glass surface.</w:t>
      </w:r>
    </w:p>
    <w:p w14:paraId="39C7DF27" w14:textId="77777777" w:rsidR="00E51CDD" w:rsidRPr="002360D5" w:rsidRDefault="00E51CDD" w:rsidP="00E51CDD">
      <w:pPr>
        <w:keepNext/>
        <w:ind w:left="284" w:hanging="284"/>
        <w:jc w:val="both"/>
        <w:rPr>
          <w:color w:val="000000"/>
          <w:sz w:val="18"/>
          <w:szCs w:val="18"/>
        </w:rPr>
      </w:pPr>
      <w:r w:rsidRPr="002360D5">
        <w:rPr>
          <w:color w:val="000000"/>
          <w:sz w:val="18"/>
          <w:szCs w:val="18"/>
          <w:vertAlign w:val="superscript"/>
        </w:rPr>
        <w:t>3)</w:t>
      </w:r>
      <w:r w:rsidRPr="002360D5">
        <w:rPr>
          <w:color w:val="000000"/>
          <w:sz w:val="18"/>
          <w:szCs w:val="18"/>
          <w:vertAlign w:val="superscript"/>
        </w:rPr>
        <w:tab/>
      </w:r>
      <w:r w:rsidRPr="002360D5">
        <w:rPr>
          <w:color w:val="000000"/>
          <w:sz w:val="18"/>
          <w:szCs w:val="18"/>
        </w:rPr>
        <w:t>Corrected mortality according to Abbott (1925).</w:t>
      </w:r>
    </w:p>
    <w:p w14:paraId="43C89EFA" w14:textId="77777777" w:rsidR="00E51CDD" w:rsidRDefault="00E51CDD" w:rsidP="00E51CDD">
      <w:pPr>
        <w:widowControl w:val="0"/>
        <w:rPr>
          <w:color w:val="000000"/>
          <w:szCs w:val="24"/>
        </w:rPr>
      </w:pPr>
    </w:p>
    <w:p w14:paraId="0287C56D" w14:textId="77777777" w:rsidR="00E51CDD" w:rsidRPr="002360D5" w:rsidRDefault="00E51CDD" w:rsidP="00E51CDD">
      <w:pPr>
        <w:widowControl w:val="0"/>
        <w:rPr>
          <w:color w:val="000000"/>
          <w:szCs w:val="24"/>
        </w:rPr>
      </w:pPr>
    </w:p>
    <w:p w14:paraId="2DAD8997" w14:textId="77777777" w:rsidR="00E51CDD" w:rsidRPr="002360D5" w:rsidRDefault="00E51CDD" w:rsidP="00E51CDD">
      <w:pPr>
        <w:widowControl w:val="0"/>
        <w:jc w:val="both"/>
        <w:rPr>
          <w:color w:val="000000"/>
          <w:spacing w:val="-2"/>
          <w:szCs w:val="24"/>
        </w:rPr>
      </w:pPr>
      <w:r w:rsidRPr="002360D5">
        <w:rPr>
          <w:color w:val="000000"/>
          <w:spacing w:val="-2"/>
          <w:szCs w:val="24"/>
        </w:rPr>
        <w:t xml:space="preserve">The reference item caused a mortality of 100% of exposed wasps, resulting in a corrected mortality of </w:t>
      </w:r>
    </w:p>
    <w:p w14:paraId="75843906" w14:textId="77777777" w:rsidR="00E51CDD" w:rsidRPr="002360D5" w:rsidRDefault="00E51CDD" w:rsidP="00E51CDD">
      <w:pPr>
        <w:widowControl w:val="0"/>
        <w:jc w:val="both"/>
        <w:rPr>
          <w:color w:val="000000"/>
          <w:spacing w:val="-2"/>
          <w:szCs w:val="24"/>
        </w:rPr>
      </w:pPr>
      <w:r w:rsidRPr="002360D5">
        <w:rPr>
          <w:color w:val="000000"/>
          <w:spacing w:val="-2"/>
          <w:szCs w:val="24"/>
        </w:rPr>
        <w:t>100%.</w:t>
      </w:r>
    </w:p>
    <w:p w14:paraId="6C8CA3D9" w14:textId="77777777" w:rsidR="00E51CDD" w:rsidRPr="002360D5" w:rsidRDefault="00E51CDD" w:rsidP="00E51CDD">
      <w:pPr>
        <w:widowControl w:val="0"/>
        <w:rPr>
          <w:color w:val="000000"/>
          <w:spacing w:val="-2"/>
          <w:szCs w:val="24"/>
        </w:rPr>
      </w:pPr>
    </w:p>
    <w:p w14:paraId="6A76A1A8" w14:textId="77777777" w:rsidR="00E51CDD" w:rsidRPr="002360D5" w:rsidRDefault="00E51CDD" w:rsidP="00E51CDD">
      <w:pPr>
        <w:widowControl w:val="0"/>
        <w:rPr>
          <w:color w:val="000000"/>
          <w:spacing w:val="-2"/>
          <w:szCs w:val="24"/>
        </w:rPr>
      </w:pPr>
    </w:p>
    <w:p w14:paraId="6424A48A" w14:textId="77777777" w:rsidR="00E51CDD" w:rsidRPr="002360D5" w:rsidRDefault="00E51CDD" w:rsidP="00E51CDD">
      <w:pPr>
        <w:jc w:val="both"/>
        <w:rPr>
          <w:color w:val="000000"/>
          <w:u w:val="single"/>
        </w:rPr>
      </w:pPr>
      <w:bookmarkStart w:id="1227" w:name="_Hlk31008724"/>
      <w:r w:rsidRPr="002360D5">
        <w:rPr>
          <w:color w:val="000000"/>
          <w:u w:val="single"/>
        </w:rPr>
        <w:t>Validity criteria:</w:t>
      </w:r>
    </w:p>
    <w:p w14:paraId="6CC91B4C" w14:textId="77777777" w:rsidR="00E51CDD" w:rsidRPr="002360D5" w:rsidRDefault="00E51CDD" w:rsidP="00E51CDD">
      <w:pPr>
        <w:jc w:val="both"/>
        <w:rPr>
          <w:color w:val="000000"/>
        </w:rPr>
      </w:pPr>
    </w:p>
    <w:tbl>
      <w:tblPr>
        <w:tblStyle w:val="DAR0074"/>
        <w:tblW w:w="5000" w:type="pct"/>
        <w:tblLook w:val="04A0" w:firstRow="1" w:lastRow="0" w:firstColumn="1" w:lastColumn="0" w:noHBand="0" w:noVBand="1"/>
      </w:tblPr>
      <w:tblGrid>
        <w:gridCol w:w="6866"/>
        <w:gridCol w:w="2478"/>
      </w:tblGrid>
      <w:tr w:rsidR="00E51CDD" w:rsidRPr="002360D5" w14:paraId="30845D96" w14:textId="77777777" w:rsidTr="009938D9">
        <w:tc>
          <w:tcPr>
            <w:tcW w:w="3674" w:type="pct"/>
            <w:vAlign w:val="center"/>
            <w:hideMark/>
          </w:tcPr>
          <w:p w14:paraId="7A29124A" w14:textId="77777777" w:rsidR="00E51CDD" w:rsidRPr="002360D5" w:rsidRDefault="00E51CDD" w:rsidP="009938D9">
            <w:pPr>
              <w:widowControl w:val="0"/>
              <w:rPr>
                <w:b/>
                <w:color w:val="000000"/>
                <w:sz w:val="20"/>
                <w:szCs w:val="20"/>
              </w:rPr>
            </w:pPr>
            <w:r w:rsidRPr="002360D5">
              <w:rPr>
                <w:b/>
                <w:color w:val="000000"/>
                <w:sz w:val="20"/>
                <w:szCs w:val="20"/>
              </w:rPr>
              <w:t>Validity criteria according to Mead-Briggs M. et al. (2000)</w:t>
            </w:r>
          </w:p>
        </w:tc>
        <w:tc>
          <w:tcPr>
            <w:tcW w:w="1326" w:type="pct"/>
            <w:vAlign w:val="center"/>
            <w:hideMark/>
          </w:tcPr>
          <w:p w14:paraId="14AF9F71" w14:textId="77777777" w:rsidR="00E51CDD" w:rsidRPr="002360D5" w:rsidRDefault="00E51CDD" w:rsidP="009938D9">
            <w:pPr>
              <w:widowControl w:val="0"/>
              <w:rPr>
                <w:b/>
                <w:color w:val="000000"/>
                <w:sz w:val="20"/>
                <w:szCs w:val="20"/>
              </w:rPr>
            </w:pPr>
            <w:r w:rsidRPr="002360D5">
              <w:rPr>
                <w:b/>
                <w:color w:val="000000"/>
                <w:sz w:val="20"/>
                <w:szCs w:val="20"/>
              </w:rPr>
              <w:t>Obtained in this study</w:t>
            </w:r>
          </w:p>
        </w:tc>
      </w:tr>
      <w:tr w:rsidR="00E51CDD" w:rsidRPr="002360D5" w14:paraId="5CC079BE" w14:textId="77777777" w:rsidTr="009938D9">
        <w:tc>
          <w:tcPr>
            <w:tcW w:w="3674" w:type="pct"/>
            <w:vAlign w:val="center"/>
            <w:hideMark/>
          </w:tcPr>
          <w:p w14:paraId="61070B6C" w14:textId="77777777" w:rsidR="00E51CDD" w:rsidRPr="002360D5" w:rsidRDefault="00E51CDD" w:rsidP="009938D9">
            <w:pPr>
              <w:widowControl w:val="0"/>
              <w:rPr>
                <w:color w:val="000000"/>
                <w:sz w:val="20"/>
                <w:szCs w:val="20"/>
              </w:rPr>
            </w:pPr>
            <w:r w:rsidRPr="002360D5">
              <w:rPr>
                <w:color w:val="000000"/>
                <w:sz w:val="20"/>
                <w:szCs w:val="20"/>
              </w:rPr>
              <w:t>Control mortality &lt; 13% (48h)</w:t>
            </w:r>
          </w:p>
        </w:tc>
        <w:tc>
          <w:tcPr>
            <w:tcW w:w="1326" w:type="pct"/>
            <w:vAlign w:val="center"/>
            <w:hideMark/>
          </w:tcPr>
          <w:p w14:paraId="664E1675" w14:textId="77777777" w:rsidR="00E51CDD" w:rsidRPr="002360D5" w:rsidRDefault="00E51CDD" w:rsidP="009938D9">
            <w:pPr>
              <w:widowControl w:val="0"/>
              <w:rPr>
                <w:color w:val="000000"/>
                <w:sz w:val="20"/>
                <w:szCs w:val="20"/>
              </w:rPr>
            </w:pPr>
            <w:r w:rsidRPr="002360D5">
              <w:rPr>
                <w:color w:val="000000"/>
                <w:sz w:val="20"/>
                <w:szCs w:val="20"/>
              </w:rPr>
              <w:t>5.0%</w:t>
            </w:r>
          </w:p>
        </w:tc>
      </w:tr>
      <w:tr w:rsidR="00E51CDD" w:rsidRPr="002360D5" w14:paraId="57CA120E" w14:textId="77777777" w:rsidTr="009938D9">
        <w:tc>
          <w:tcPr>
            <w:tcW w:w="3674" w:type="pct"/>
            <w:vAlign w:val="center"/>
          </w:tcPr>
          <w:p w14:paraId="5F0B55CC" w14:textId="77777777" w:rsidR="00E51CDD" w:rsidRPr="002360D5" w:rsidRDefault="00E51CDD" w:rsidP="009938D9">
            <w:pPr>
              <w:widowControl w:val="0"/>
              <w:rPr>
                <w:color w:val="000000"/>
                <w:sz w:val="20"/>
                <w:szCs w:val="20"/>
              </w:rPr>
            </w:pPr>
            <w:r w:rsidRPr="002360D5">
              <w:rPr>
                <w:color w:val="000000"/>
                <w:sz w:val="20"/>
                <w:szCs w:val="20"/>
              </w:rPr>
              <w:t>Corrected mortality in the reference item group 50 - 100% (48h)</w:t>
            </w:r>
          </w:p>
        </w:tc>
        <w:tc>
          <w:tcPr>
            <w:tcW w:w="1326" w:type="pct"/>
            <w:vAlign w:val="center"/>
          </w:tcPr>
          <w:p w14:paraId="50E762E7" w14:textId="77777777" w:rsidR="00E51CDD" w:rsidRPr="002360D5" w:rsidRDefault="00E51CDD" w:rsidP="009938D9">
            <w:pPr>
              <w:widowControl w:val="0"/>
              <w:rPr>
                <w:color w:val="000000"/>
                <w:sz w:val="20"/>
                <w:szCs w:val="20"/>
              </w:rPr>
            </w:pPr>
            <w:r w:rsidRPr="002360D5">
              <w:rPr>
                <w:color w:val="000000"/>
                <w:sz w:val="20"/>
                <w:szCs w:val="20"/>
              </w:rPr>
              <w:t>100%</w:t>
            </w:r>
          </w:p>
        </w:tc>
      </w:tr>
    </w:tbl>
    <w:p w14:paraId="7E2390A1" w14:textId="77777777" w:rsidR="00E51CDD" w:rsidRDefault="00E51CDD" w:rsidP="00E51CDD">
      <w:pPr>
        <w:jc w:val="both"/>
        <w:rPr>
          <w:color w:val="000000"/>
          <w:u w:val="single"/>
        </w:rPr>
      </w:pPr>
    </w:p>
    <w:p w14:paraId="35705FC2" w14:textId="77777777" w:rsidR="00E51CDD" w:rsidRPr="002360D5" w:rsidRDefault="00E51CDD" w:rsidP="00E51CDD">
      <w:pPr>
        <w:jc w:val="both"/>
        <w:rPr>
          <w:color w:val="000000"/>
          <w:u w:val="single"/>
        </w:rPr>
      </w:pPr>
    </w:p>
    <w:p w14:paraId="33166547" w14:textId="77777777" w:rsidR="00E51CDD" w:rsidRPr="002360D5" w:rsidRDefault="00E51CDD" w:rsidP="00E51CDD">
      <w:pPr>
        <w:jc w:val="both"/>
        <w:rPr>
          <w:color w:val="000000"/>
        </w:rPr>
      </w:pPr>
      <w:r w:rsidRPr="002360D5">
        <w:rPr>
          <w:color w:val="000000"/>
        </w:rPr>
        <w:t>All validity criteria were met.</w:t>
      </w:r>
    </w:p>
    <w:bookmarkEnd w:id="1227"/>
    <w:p w14:paraId="7D38196D" w14:textId="77777777" w:rsidR="00E51CDD" w:rsidRPr="002360D5" w:rsidRDefault="00E51CDD" w:rsidP="00E51CDD">
      <w:pPr>
        <w:widowControl w:val="0"/>
        <w:rPr>
          <w:color w:val="0070C0"/>
          <w:spacing w:val="-2"/>
          <w:szCs w:val="24"/>
        </w:rPr>
      </w:pPr>
    </w:p>
    <w:p w14:paraId="6C34531F" w14:textId="77777777" w:rsidR="00E51CDD" w:rsidRPr="002360D5" w:rsidRDefault="00E51CDD" w:rsidP="00E51CDD">
      <w:pPr>
        <w:widowControl w:val="0"/>
        <w:rPr>
          <w:color w:val="0070C0"/>
          <w:spacing w:val="-2"/>
          <w:szCs w:val="24"/>
        </w:rPr>
      </w:pPr>
    </w:p>
    <w:p w14:paraId="2E65B516" w14:textId="77777777" w:rsidR="00E51CDD" w:rsidRPr="002360D5" w:rsidRDefault="00E51CDD" w:rsidP="00E51CDD">
      <w:pPr>
        <w:widowControl w:val="0"/>
        <w:tabs>
          <w:tab w:val="left" w:pos="425"/>
          <w:tab w:val="left" w:pos="850"/>
        </w:tabs>
        <w:ind w:left="2835" w:hanging="2835"/>
        <w:jc w:val="both"/>
        <w:rPr>
          <w:b/>
          <w:color w:val="000000"/>
        </w:rPr>
      </w:pPr>
      <w:r w:rsidRPr="002360D5">
        <w:rPr>
          <w:b/>
          <w:color w:val="000000"/>
        </w:rPr>
        <w:t>III.</w:t>
      </w:r>
      <w:r w:rsidRPr="002360D5">
        <w:rPr>
          <w:b/>
          <w:color w:val="000000"/>
        </w:rPr>
        <w:tab/>
        <w:t>CONCLUSION</w:t>
      </w:r>
    </w:p>
    <w:p w14:paraId="0EE0EB55" w14:textId="77777777" w:rsidR="00E51CDD" w:rsidRPr="002360D5" w:rsidRDefault="00E51CDD" w:rsidP="00E51CDD">
      <w:pPr>
        <w:widowControl w:val="0"/>
        <w:tabs>
          <w:tab w:val="left" w:pos="425"/>
          <w:tab w:val="left" w:pos="850"/>
        </w:tabs>
        <w:ind w:left="2835" w:hanging="2835"/>
        <w:rPr>
          <w:color w:val="000000"/>
          <w:szCs w:val="24"/>
        </w:rPr>
      </w:pPr>
    </w:p>
    <w:p w14:paraId="65B0C34A" w14:textId="77777777" w:rsidR="00E51CDD" w:rsidRPr="002360D5" w:rsidRDefault="00E51CDD" w:rsidP="00E51CDD">
      <w:pPr>
        <w:widowControl w:val="0"/>
        <w:jc w:val="both"/>
        <w:rPr>
          <w:b/>
          <w:color w:val="000000"/>
          <w:szCs w:val="24"/>
        </w:rPr>
      </w:pPr>
      <w:r w:rsidRPr="002360D5">
        <w:rPr>
          <w:b/>
          <w:color w:val="000000"/>
          <w:szCs w:val="24"/>
        </w:rPr>
        <w:t>In a worst-case laboratory study with BAS 736 00 F, the LR</w:t>
      </w:r>
      <w:r w:rsidRPr="002360D5">
        <w:rPr>
          <w:b/>
          <w:color w:val="000000"/>
          <w:szCs w:val="24"/>
          <w:vertAlign w:val="subscript"/>
        </w:rPr>
        <w:t xml:space="preserve">50 </w:t>
      </w:r>
      <w:r w:rsidRPr="002360D5">
        <w:rPr>
          <w:b/>
          <w:color w:val="000000"/>
          <w:szCs w:val="24"/>
        </w:rPr>
        <w:t xml:space="preserve">for </w:t>
      </w:r>
      <w:r w:rsidRPr="002360D5">
        <w:rPr>
          <w:b/>
          <w:i/>
          <w:iCs/>
          <w:color w:val="000000"/>
          <w:szCs w:val="24"/>
        </w:rPr>
        <w:t>Aphidius rhopalosiphi</w:t>
      </w:r>
      <w:r w:rsidRPr="002360D5">
        <w:rPr>
          <w:b/>
          <w:color w:val="000000"/>
          <w:szCs w:val="24"/>
        </w:rPr>
        <w:t xml:space="preserve"> was determined to be 2.67 L </w:t>
      </w:r>
      <w:r w:rsidRPr="002360D5">
        <w:rPr>
          <w:b/>
          <w:bCs/>
          <w:color w:val="000000"/>
          <w:szCs w:val="24"/>
        </w:rPr>
        <w:t>BAS 736 00 F</w:t>
      </w:r>
      <w:r w:rsidRPr="002360D5">
        <w:rPr>
          <w:b/>
          <w:color w:val="000000"/>
          <w:szCs w:val="24"/>
        </w:rPr>
        <w:t>/ha</w:t>
      </w:r>
      <w:r w:rsidRPr="002360D5">
        <w:rPr>
          <w:b/>
          <w:bCs/>
          <w:color w:val="000000"/>
          <w:szCs w:val="24"/>
        </w:rPr>
        <w:t>.</w:t>
      </w:r>
      <w:r w:rsidRPr="002360D5">
        <w:rPr>
          <w:b/>
          <w:color w:val="000000"/>
          <w:szCs w:val="24"/>
        </w:rPr>
        <w:t xml:space="preserve"> </w:t>
      </w:r>
    </w:p>
    <w:bookmarkEnd w:id="1219"/>
    <w:p w14:paraId="4940DC8D" w14:textId="77777777" w:rsidR="00E51CDD" w:rsidRPr="002360D5" w:rsidRDefault="00E51CDD" w:rsidP="00E51CDD">
      <w:pPr>
        <w:pStyle w:val="RepStandard"/>
        <w:rPr>
          <w:lang w:val="en-US"/>
        </w:rPr>
      </w:pPr>
      <w:r>
        <w:rPr>
          <w:lang w:val="en-US"/>
        </w:rPr>
        <w:br w:type="page"/>
      </w:r>
    </w:p>
    <w:p w14:paraId="5859F1ED" w14:textId="77777777" w:rsidR="00E51CDD" w:rsidRDefault="00E51CDD" w:rsidP="00E51CDD">
      <w:pPr>
        <w:pStyle w:val="RepAppendix3"/>
      </w:pPr>
      <w:bookmarkStart w:id="1228" w:name="_Toc125446483"/>
      <w:r>
        <w:lastRenderedPageBreak/>
        <w:t>KCP 10.3.2.2</w:t>
      </w:r>
      <w:r>
        <w:tab/>
      </w:r>
      <w:r w:rsidRPr="00615A68">
        <w:t>Extended laboratory testing, aged residue studies with non-target arthropods</w:t>
      </w:r>
      <w:bookmarkEnd w:id="1228"/>
    </w:p>
    <w:p w14:paraId="0DA2EFBC" w14:textId="77777777" w:rsidR="00E51CDD" w:rsidRPr="00E75E06" w:rsidRDefault="00E51CDD" w:rsidP="00E51CDD">
      <w:pPr>
        <w:pStyle w:val="RepAppendix4"/>
      </w:pPr>
      <w:r>
        <w:t>Study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18CB5F44" w14:textId="77777777" w:rsidTr="00144797">
        <w:trPr>
          <w:trHeight w:val="858"/>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D3C295" w14:textId="77777777" w:rsidR="00E51CDD" w:rsidRDefault="00E51CDD" w:rsidP="009938D9">
            <w:pPr>
              <w:pStyle w:val="RepStandard"/>
              <w:rPr>
                <w:rFonts w:eastAsia="Batang"/>
              </w:rPr>
            </w:pPr>
            <w:bookmarkStart w:id="1229" w:name="_Hlk86409231"/>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CDCAC50" w14:textId="789FC39F" w:rsidR="00E51CDD" w:rsidRDefault="00933A26" w:rsidP="009938D9">
            <w:pPr>
              <w:pStyle w:val="RepStandard"/>
              <w:ind w:left="85"/>
              <w:rPr>
                <w:rFonts w:eastAsia="Batang"/>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4D128440"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6AB8BE2B" w14:textId="77777777" w:rsidTr="009938D9">
        <w:trPr>
          <w:gridAfter w:val="1"/>
          <w:wAfter w:w="9" w:type="pct"/>
        </w:trPr>
        <w:tc>
          <w:tcPr>
            <w:tcW w:w="1340" w:type="pct"/>
            <w:hideMark/>
          </w:tcPr>
          <w:p w14:paraId="5A686F34" w14:textId="77777777" w:rsidR="00E51CDD" w:rsidRDefault="00E51CDD" w:rsidP="009938D9">
            <w:pPr>
              <w:pStyle w:val="RepStandard"/>
              <w:rPr>
                <w:lang w:val="de-DE"/>
              </w:rPr>
            </w:pPr>
            <w:r>
              <w:t>Reference:</w:t>
            </w:r>
          </w:p>
        </w:tc>
        <w:tc>
          <w:tcPr>
            <w:tcW w:w="3651" w:type="pct"/>
            <w:hideMark/>
          </w:tcPr>
          <w:p w14:paraId="737F0391" w14:textId="77777777" w:rsidR="00E51CDD" w:rsidRDefault="00E51CDD" w:rsidP="009938D9">
            <w:pPr>
              <w:pStyle w:val="RepStandard"/>
            </w:pPr>
            <w:r>
              <w:t>CP 10.3.2.2/1</w:t>
            </w:r>
          </w:p>
        </w:tc>
      </w:tr>
      <w:tr w:rsidR="00E51CDD" w14:paraId="00432D17" w14:textId="77777777" w:rsidTr="009938D9">
        <w:trPr>
          <w:gridAfter w:val="1"/>
          <w:wAfter w:w="9" w:type="pct"/>
        </w:trPr>
        <w:tc>
          <w:tcPr>
            <w:tcW w:w="1340" w:type="pct"/>
            <w:hideMark/>
          </w:tcPr>
          <w:p w14:paraId="4C64786C" w14:textId="77777777" w:rsidR="00E51CDD" w:rsidRDefault="00E51CDD" w:rsidP="009938D9">
            <w:pPr>
              <w:pStyle w:val="RepStandard"/>
              <w:spacing w:after="120"/>
            </w:pPr>
            <w:r>
              <w:t>Report</w:t>
            </w:r>
          </w:p>
        </w:tc>
        <w:tc>
          <w:tcPr>
            <w:tcW w:w="3651" w:type="pct"/>
            <w:hideMark/>
          </w:tcPr>
          <w:p w14:paraId="456CAA4A" w14:textId="77777777" w:rsidR="00E51CDD" w:rsidRDefault="00E51CDD" w:rsidP="009938D9">
            <w:pPr>
              <w:pStyle w:val="RepStandard"/>
              <w:spacing w:after="120"/>
              <w:rPr>
                <w:lang w:val="en-US"/>
              </w:rPr>
            </w:pPr>
            <w:r>
              <w:rPr>
                <w:lang w:val="en-US"/>
              </w:rPr>
              <w:t>Effects of BAS 736 00 F on the predatory mite Typhlodromus pyri Scheuten in an extended laboratory test,</w:t>
            </w:r>
          </w:p>
          <w:p w14:paraId="74CDB7AA" w14:textId="77777777" w:rsidR="00E51CDD" w:rsidRDefault="00E51CDD" w:rsidP="009938D9">
            <w:pPr>
              <w:pStyle w:val="RepStandard"/>
              <w:spacing w:after="120"/>
              <w:rPr>
                <w:lang w:val="en-US"/>
              </w:rPr>
            </w:pPr>
            <w:r>
              <w:rPr>
                <w:lang w:val="en-US"/>
              </w:rPr>
              <w:t>Roehlig, U., 2019</w:t>
            </w:r>
          </w:p>
          <w:p w14:paraId="130BEC59" w14:textId="77777777" w:rsidR="00E51CDD" w:rsidRDefault="00E51CDD" w:rsidP="009938D9">
            <w:pPr>
              <w:pStyle w:val="RepStandard"/>
              <w:spacing w:after="120"/>
              <w:rPr>
                <w:lang w:val="en-US"/>
              </w:rPr>
            </w:pPr>
            <w:r>
              <w:rPr>
                <w:lang w:val="en-US"/>
              </w:rPr>
              <w:t>report No 849669, 1948NTE0009</w:t>
            </w:r>
          </w:p>
          <w:p w14:paraId="4B76C1E9" w14:textId="77777777" w:rsidR="00E51CDD" w:rsidRDefault="00E51CDD" w:rsidP="009938D9">
            <w:pPr>
              <w:pStyle w:val="RepStandard"/>
              <w:spacing w:after="120"/>
            </w:pPr>
            <w:r>
              <w:rPr>
                <w:lang w:val="en-US"/>
              </w:rPr>
              <w:t>2019/1061104</w:t>
            </w:r>
          </w:p>
          <w:p w14:paraId="25F9EE99" w14:textId="77777777" w:rsidR="00E51CDD" w:rsidRDefault="00E51CDD" w:rsidP="009938D9">
            <w:pPr>
              <w:pStyle w:val="RepStandard"/>
            </w:pPr>
            <w:r>
              <w:t>Authority registration No</w:t>
            </w:r>
          </w:p>
        </w:tc>
      </w:tr>
      <w:tr w:rsidR="00E51CDD" w14:paraId="408190E5" w14:textId="77777777" w:rsidTr="009938D9">
        <w:trPr>
          <w:gridAfter w:val="1"/>
          <w:wAfter w:w="9" w:type="pct"/>
        </w:trPr>
        <w:tc>
          <w:tcPr>
            <w:tcW w:w="1340" w:type="pct"/>
            <w:hideMark/>
          </w:tcPr>
          <w:p w14:paraId="2C25861A" w14:textId="77777777" w:rsidR="00E51CDD" w:rsidRDefault="00E51CDD" w:rsidP="009938D9">
            <w:pPr>
              <w:pStyle w:val="RepStandard"/>
            </w:pPr>
            <w:r>
              <w:t>Guideline(s):</w:t>
            </w:r>
          </w:p>
        </w:tc>
        <w:tc>
          <w:tcPr>
            <w:tcW w:w="3651" w:type="pct"/>
            <w:hideMark/>
          </w:tcPr>
          <w:p w14:paraId="36965682" w14:textId="77777777" w:rsidR="00E51CDD" w:rsidRDefault="00E51CDD" w:rsidP="009938D9">
            <w:pPr>
              <w:pStyle w:val="RepStandard"/>
              <w:spacing w:after="120"/>
            </w:pPr>
            <w:r>
              <w:rPr>
                <w:lang w:val="en-US"/>
              </w:rPr>
              <w:t>IOBC (Bluemel et al. 2000)</w:t>
            </w:r>
            <w:r>
              <w:t xml:space="preserve"> </w:t>
            </w:r>
          </w:p>
        </w:tc>
      </w:tr>
      <w:tr w:rsidR="00E51CDD" w14:paraId="76F84D0D" w14:textId="77777777" w:rsidTr="009938D9">
        <w:trPr>
          <w:gridAfter w:val="1"/>
          <w:wAfter w:w="9" w:type="pct"/>
        </w:trPr>
        <w:tc>
          <w:tcPr>
            <w:tcW w:w="1340" w:type="pct"/>
            <w:hideMark/>
          </w:tcPr>
          <w:p w14:paraId="45A06899" w14:textId="77777777" w:rsidR="00E51CDD" w:rsidRDefault="00E51CDD" w:rsidP="009938D9">
            <w:pPr>
              <w:pStyle w:val="RepStandard"/>
            </w:pPr>
            <w:r>
              <w:t>Deviations:</w:t>
            </w:r>
          </w:p>
        </w:tc>
        <w:tc>
          <w:tcPr>
            <w:tcW w:w="3651" w:type="pct"/>
            <w:hideMark/>
          </w:tcPr>
          <w:p w14:paraId="35D99365" w14:textId="77777777" w:rsidR="00E51CDD" w:rsidRDefault="00E51CDD" w:rsidP="009938D9">
            <w:pPr>
              <w:pStyle w:val="RepStandard"/>
              <w:spacing w:after="120"/>
            </w:pPr>
            <w:r>
              <w:t xml:space="preserve">No </w:t>
            </w:r>
          </w:p>
        </w:tc>
      </w:tr>
      <w:tr w:rsidR="00E51CDD" w:rsidRPr="00662F32" w14:paraId="3E39B9D0" w14:textId="77777777" w:rsidTr="009938D9">
        <w:tc>
          <w:tcPr>
            <w:tcW w:w="1340" w:type="pct"/>
            <w:hideMark/>
          </w:tcPr>
          <w:p w14:paraId="2EB0D0E1" w14:textId="77777777" w:rsidR="00E51CDD" w:rsidRDefault="00E51CDD" w:rsidP="009938D9">
            <w:pPr>
              <w:pStyle w:val="RepStandard"/>
            </w:pPr>
            <w:r>
              <w:t>GLP:</w:t>
            </w:r>
          </w:p>
        </w:tc>
        <w:tc>
          <w:tcPr>
            <w:tcW w:w="3660" w:type="pct"/>
            <w:gridSpan w:val="2"/>
            <w:hideMark/>
          </w:tcPr>
          <w:p w14:paraId="504A039B" w14:textId="77777777" w:rsidR="00E51CDD" w:rsidRPr="001C4EA6" w:rsidRDefault="00E51CDD" w:rsidP="009938D9">
            <w:pPr>
              <w:tabs>
                <w:tab w:val="left" w:pos="425"/>
                <w:tab w:val="left" w:pos="850"/>
              </w:tabs>
              <w:spacing w:after="120"/>
              <w:ind w:left="1985" w:hanging="1985"/>
              <w:rPr>
                <w:b/>
                <w:lang w:val="de-DE"/>
              </w:rPr>
            </w:pPr>
            <w:r w:rsidRPr="001C4EA6">
              <w:rPr>
                <w:lang w:val="de-DE"/>
              </w:rPr>
              <w:t>yes</w:t>
            </w:r>
          </w:p>
          <w:p w14:paraId="4279302B" w14:textId="77777777" w:rsidR="00E51CDD" w:rsidRPr="001C4EA6" w:rsidRDefault="00E51CDD" w:rsidP="009938D9">
            <w:pPr>
              <w:pStyle w:val="RepStandard"/>
              <w:spacing w:after="120"/>
              <w:jc w:val="left"/>
              <w:rPr>
                <w:lang w:val="de-DE"/>
              </w:rPr>
            </w:pPr>
            <w:r w:rsidRPr="001C4EA6">
              <w:rPr>
                <w:lang w:val="de-DE"/>
              </w:rPr>
              <w:t xml:space="preserve">(certified by Saechsisches Staatsministerium fuer Umwelt und Landwirtschaft, Dresden, Germany), </w:t>
            </w:r>
          </w:p>
        </w:tc>
      </w:tr>
      <w:tr w:rsidR="00E51CDD" w14:paraId="69753071" w14:textId="77777777" w:rsidTr="009938D9">
        <w:trPr>
          <w:gridAfter w:val="1"/>
          <w:wAfter w:w="9" w:type="pct"/>
        </w:trPr>
        <w:tc>
          <w:tcPr>
            <w:tcW w:w="1340" w:type="pct"/>
            <w:hideMark/>
          </w:tcPr>
          <w:p w14:paraId="479A3262" w14:textId="77777777" w:rsidR="00E51CDD" w:rsidRDefault="00E51CDD" w:rsidP="009938D9">
            <w:pPr>
              <w:pStyle w:val="RepStandard"/>
              <w:rPr>
                <w:lang w:val="de-DE"/>
              </w:rPr>
            </w:pPr>
            <w:r>
              <w:t>Acceptability:</w:t>
            </w:r>
          </w:p>
        </w:tc>
        <w:tc>
          <w:tcPr>
            <w:tcW w:w="3651" w:type="pct"/>
            <w:hideMark/>
          </w:tcPr>
          <w:p w14:paraId="018BC0EF" w14:textId="77777777" w:rsidR="00E51CDD" w:rsidRDefault="00E51CDD" w:rsidP="009938D9">
            <w:pPr>
              <w:pStyle w:val="RepStandard"/>
            </w:pPr>
            <w:r>
              <w:t xml:space="preserve">Yes </w:t>
            </w:r>
          </w:p>
        </w:tc>
      </w:tr>
      <w:tr w:rsidR="00E51CDD" w14:paraId="5B42650C" w14:textId="77777777" w:rsidTr="009938D9">
        <w:trPr>
          <w:gridAfter w:val="1"/>
          <w:wAfter w:w="9" w:type="pct"/>
        </w:trPr>
        <w:tc>
          <w:tcPr>
            <w:tcW w:w="1340" w:type="pct"/>
            <w:hideMark/>
          </w:tcPr>
          <w:p w14:paraId="4FD051EB" w14:textId="77777777" w:rsidR="00E51CDD" w:rsidRDefault="00E51CDD" w:rsidP="009938D9">
            <w:pPr>
              <w:pStyle w:val="RepStandard"/>
            </w:pPr>
            <w:r>
              <w:t xml:space="preserve">Duplication </w:t>
            </w:r>
            <w:r>
              <w:br/>
              <w:t>(if vertebrate study)</w:t>
            </w:r>
          </w:p>
        </w:tc>
        <w:tc>
          <w:tcPr>
            <w:tcW w:w="3651" w:type="pct"/>
            <w:hideMark/>
          </w:tcPr>
          <w:p w14:paraId="05E374C6" w14:textId="77777777" w:rsidR="00E51CDD" w:rsidRDefault="00E51CDD" w:rsidP="009938D9">
            <w:pPr>
              <w:pStyle w:val="RepStandard"/>
              <w:spacing w:after="120"/>
            </w:pPr>
            <w:r>
              <w:t>No</w:t>
            </w:r>
          </w:p>
          <w:p w14:paraId="02037F97" w14:textId="77777777" w:rsidR="00E51CDD" w:rsidRDefault="00E51CDD" w:rsidP="009938D9">
            <w:pPr>
              <w:pStyle w:val="RepStandard"/>
              <w:rPr>
                <w:highlight w:val="yellow"/>
              </w:rPr>
            </w:pPr>
          </w:p>
        </w:tc>
      </w:tr>
    </w:tbl>
    <w:p w14:paraId="1D2B691C" w14:textId="77777777" w:rsidR="00E51CDD" w:rsidRPr="002360D5" w:rsidRDefault="00E51CDD" w:rsidP="00E51CDD">
      <w:pPr>
        <w:widowControl w:val="0"/>
        <w:rPr>
          <w:color w:val="0070C0"/>
        </w:rPr>
      </w:pPr>
    </w:p>
    <w:p w14:paraId="256C294C" w14:textId="77777777" w:rsidR="00E51CDD" w:rsidRPr="002360D5" w:rsidRDefault="00E51CDD" w:rsidP="00E51CDD">
      <w:pPr>
        <w:widowControl w:val="0"/>
        <w:jc w:val="both"/>
        <w:rPr>
          <w:b/>
          <w:bCs/>
          <w:lang w:eastAsia="en-US"/>
        </w:rPr>
      </w:pPr>
      <w:r w:rsidRPr="002360D5">
        <w:rPr>
          <w:b/>
          <w:bCs/>
          <w:lang w:eastAsia="en-US"/>
        </w:rPr>
        <w:t>Executive Summary</w:t>
      </w:r>
    </w:p>
    <w:p w14:paraId="4178FF15" w14:textId="77777777" w:rsidR="00E51CDD" w:rsidRPr="002360D5" w:rsidRDefault="00E51CDD" w:rsidP="00E51CDD">
      <w:pPr>
        <w:widowControl w:val="0"/>
        <w:jc w:val="both"/>
      </w:pPr>
    </w:p>
    <w:p w14:paraId="59DEA47D" w14:textId="77777777" w:rsidR="00E51CDD" w:rsidRPr="002360D5" w:rsidRDefault="00E51CDD" w:rsidP="00E51CDD">
      <w:pPr>
        <w:widowControl w:val="0"/>
        <w:jc w:val="both"/>
      </w:pPr>
      <w:r w:rsidRPr="002360D5">
        <w:t xml:space="preserve">In an extended laboratory study, </w:t>
      </w:r>
      <w:r w:rsidRPr="002360D5">
        <w:rPr>
          <w:color w:val="000000"/>
          <w:szCs w:val="24"/>
        </w:rPr>
        <w:t xml:space="preserve">protonymphs of </w:t>
      </w:r>
      <w:r w:rsidRPr="002360D5">
        <w:rPr>
          <w:i/>
          <w:iCs/>
        </w:rPr>
        <w:t>Typhlodromus pyri</w:t>
      </w:r>
      <w:r w:rsidRPr="002360D5">
        <w:t xml:space="preserve"> Scheuten (Acarina: Phytoseiidae) were exposed to fresh, dried residues of BAS 736 00 F on bean leaf discs. The test item was applied at application rates of 0.25, 0.5, 1.0, 2.0 and 4.0 L BAS 736 00 F/ha. </w:t>
      </w:r>
      <w:r w:rsidRPr="002360D5">
        <w:rPr>
          <w:szCs w:val="24"/>
        </w:rPr>
        <w:t xml:space="preserve">Additional test units were treated with deionized water as control and with Dimethoate EC 400 (dimethoate) as reference item. </w:t>
      </w:r>
      <w:r w:rsidRPr="002360D5">
        <w:t>Mortality was assessed on after 7 days. Reproduction was assessed between 7 - 14 days by the number of eggs laid and number of juveniles per evaluation period</w:t>
      </w:r>
    </w:p>
    <w:p w14:paraId="4D5943C6" w14:textId="77777777" w:rsidR="00E51CDD" w:rsidRPr="002360D5" w:rsidRDefault="00E51CDD" w:rsidP="00E51CDD">
      <w:pPr>
        <w:widowControl w:val="0"/>
        <w:jc w:val="both"/>
      </w:pPr>
    </w:p>
    <w:p w14:paraId="7489E023" w14:textId="77777777" w:rsidR="00E51CDD" w:rsidRPr="002360D5" w:rsidRDefault="00E51CDD" w:rsidP="00E51CDD">
      <w:pPr>
        <w:autoSpaceDE w:val="0"/>
        <w:autoSpaceDN w:val="0"/>
        <w:adjustRightInd w:val="0"/>
        <w:jc w:val="both"/>
      </w:pPr>
      <w:r w:rsidRPr="002360D5">
        <w:t xml:space="preserve">After 7 days of exposure, 2.0% mortality was observed in the control group. In the test item treatments mortality ranged between 1.0% and 3.0%. This resulted in corrected mortality rates between -1.0% and 1.0%. No statistically significant effects on mortality were determined at rates up to and including 4.0 L/ha BAS 736 00 F compared to the control. The reproduction rate amounted to 6.63 eggs/female in the control treatment. The reproduction rate in the different test item treated groups ranged from 6.11 to 6.88 eggs/female. Thus, an effect on reproduction between -3.8% and 7.8% was calculated for the test item treated groups compared to the control. No statistically significant effects on reproduction were determined at rates up to and including 4.0 L/ha BAS 736 00 F. </w:t>
      </w:r>
    </w:p>
    <w:p w14:paraId="68689D6B" w14:textId="77777777" w:rsidR="00E51CDD" w:rsidRPr="002360D5" w:rsidRDefault="00E51CDD" w:rsidP="00E51CDD">
      <w:pPr>
        <w:autoSpaceDE w:val="0"/>
        <w:autoSpaceDN w:val="0"/>
        <w:adjustRightInd w:val="0"/>
        <w:jc w:val="both"/>
        <w:rPr>
          <w:rFonts w:eastAsia="Calibri"/>
        </w:rPr>
      </w:pPr>
    </w:p>
    <w:p w14:paraId="106BF1B5" w14:textId="77777777" w:rsidR="00E51CDD" w:rsidRPr="002360D5" w:rsidRDefault="00E51CDD" w:rsidP="00E51CDD">
      <w:pPr>
        <w:widowControl w:val="0"/>
        <w:jc w:val="both"/>
        <w:rPr>
          <w:rFonts w:cs="Arial"/>
        </w:rPr>
      </w:pPr>
      <w:r w:rsidRPr="002360D5">
        <w:rPr>
          <w:b/>
        </w:rPr>
        <w:t>In an extended laboratory study with BAS 736 00 F, the LR</w:t>
      </w:r>
      <w:r w:rsidRPr="002360D5">
        <w:rPr>
          <w:b/>
          <w:vertAlign w:val="subscript"/>
        </w:rPr>
        <w:t xml:space="preserve">50 </w:t>
      </w:r>
      <w:r w:rsidRPr="002360D5">
        <w:rPr>
          <w:b/>
        </w:rPr>
        <w:t xml:space="preserve">for </w:t>
      </w:r>
      <w:r w:rsidRPr="002360D5">
        <w:rPr>
          <w:b/>
          <w:i/>
        </w:rPr>
        <w:t xml:space="preserve">Typhlodromus pyri </w:t>
      </w:r>
      <w:r w:rsidRPr="002360D5">
        <w:rPr>
          <w:b/>
        </w:rPr>
        <w:t>was &gt; 4 L BAS 736 00 F/ha. The ER</w:t>
      </w:r>
      <w:r w:rsidRPr="002360D5">
        <w:rPr>
          <w:b/>
          <w:vertAlign w:val="subscript"/>
        </w:rPr>
        <w:t>50</w:t>
      </w:r>
      <w:r w:rsidRPr="002360D5">
        <w:rPr>
          <w:b/>
        </w:rPr>
        <w:t xml:space="preserve"> </w:t>
      </w:r>
      <w:bookmarkStart w:id="1230" w:name="_Hlk80774909"/>
      <w:r w:rsidRPr="002360D5">
        <w:rPr>
          <w:b/>
        </w:rPr>
        <w:t xml:space="preserve">for reproduction </w:t>
      </w:r>
      <w:bookmarkEnd w:id="1230"/>
      <w:r w:rsidRPr="002360D5">
        <w:rPr>
          <w:b/>
        </w:rPr>
        <w:t>was estimated to be &gt; 4 L BAS</w:t>
      </w:r>
      <w:r w:rsidRPr="002360D5">
        <w:rPr>
          <w:rFonts w:cs="Arial"/>
          <w:b/>
        </w:rPr>
        <w:t> 736 00 F/ha.</w:t>
      </w:r>
    </w:p>
    <w:p w14:paraId="18246C72" w14:textId="77777777" w:rsidR="00E51CDD" w:rsidRPr="002360D5" w:rsidRDefault="00E51CDD" w:rsidP="00E51CDD">
      <w:pPr>
        <w:widowControl w:val="0"/>
        <w:jc w:val="both"/>
        <w:rPr>
          <w:color w:val="0070C0"/>
        </w:rPr>
      </w:pPr>
      <w:r>
        <w:rPr>
          <w:color w:val="0070C0"/>
        </w:rPr>
        <w:br w:type="page"/>
      </w:r>
    </w:p>
    <w:p w14:paraId="48611406" w14:textId="77777777" w:rsidR="00E51CDD" w:rsidRPr="002360D5" w:rsidRDefault="00E51CDD" w:rsidP="00E51CDD">
      <w:pPr>
        <w:widowControl w:val="0"/>
        <w:tabs>
          <w:tab w:val="left" w:pos="425"/>
          <w:tab w:val="left" w:pos="850"/>
        </w:tabs>
        <w:ind w:left="2835" w:hanging="2835"/>
        <w:jc w:val="both"/>
        <w:rPr>
          <w:b/>
        </w:rPr>
      </w:pPr>
      <w:r w:rsidRPr="002360D5">
        <w:rPr>
          <w:b/>
        </w:rPr>
        <w:lastRenderedPageBreak/>
        <w:t>I.</w:t>
      </w:r>
      <w:r w:rsidRPr="002360D5">
        <w:rPr>
          <w:b/>
        </w:rPr>
        <w:tab/>
        <w:t>MATERIALS AND METHODS</w:t>
      </w:r>
    </w:p>
    <w:p w14:paraId="4F4A1660" w14:textId="77777777" w:rsidR="00E51CDD" w:rsidRPr="002360D5" w:rsidRDefault="00E51CDD" w:rsidP="00E51CDD">
      <w:pPr>
        <w:widowControl w:val="0"/>
        <w:jc w:val="both"/>
      </w:pPr>
    </w:p>
    <w:p w14:paraId="684945CD" w14:textId="77777777" w:rsidR="00E51CDD" w:rsidRPr="002360D5" w:rsidRDefault="00E51CDD" w:rsidP="00E51CDD">
      <w:pPr>
        <w:widowControl w:val="0"/>
        <w:tabs>
          <w:tab w:val="left" w:pos="426"/>
        </w:tabs>
        <w:ind w:left="2040" w:hanging="2040"/>
        <w:jc w:val="both"/>
        <w:rPr>
          <w:b/>
          <w:bCs/>
        </w:rPr>
      </w:pPr>
      <w:r w:rsidRPr="002360D5">
        <w:rPr>
          <w:b/>
          <w:bCs/>
        </w:rPr>
        <w:t>A.</w:t>
      </w:r>
      <w:r w:rsidRPr="002360D5">
        <w:rPr>
          <w:b/>
          <w:bCs/>
        </w:rPr>
        <w:tab/>
        <w:t>MATERIALS</w:t>
      </w:r>
    </w:p>
    <w:p w14:paraId="5E07BD03" w14:textId="77777777" w:rsidR="00E51CDD" w:rsidRPr="002360D5" w:rsidRDefault="00E51CDD" w:rsidP="00E51CDD">
      <w:pPr>
        <w:widowControl w:val="0"/>
        <w:jc w:val="both"/>
      </w:pPr>
    </w:p>
    <w:p w14:paraId="69EAF960" w14:textId="77777777" w:rsidR="00E51CDD" w:rsidRPr="002360D5" w:rsidRDefault="00E51CDD" w:rsidP="00E51CDD">
      <w:pPr>
        <w:widowControl w:val="0"/>
        <w:ind w:left="2410" w:hanging="2410"/>
        <w:jc w:val="both"/>
        <w:rPr>
          <w:lang w:eastAsia="en-US"/>
        </w:rPr>
      </w:pPr>
      <w:r w:rsidRPr="002360D5">
        <w:t>Test item:</w:t>
      </w:r>
      <w:r w:rsidRPr="002360D5">
        <w:tab/>
      </w:r>
      <w:r w:rsidRPr="002360D5">
        <w:rPr>
          <w:szCs w:val="24"/>
        </w:rPr>
        <w:t>BAS 736 00 F; batch no. FD-190220-0002; content of a.s.: azoxystrobin (BAS 9164 F, Reg. No. 300 254): 73.9 g/L analyzed (75.0</w:t>
      </w:r>
      <w:r w:rsidRPr="002360D5">
        <w:t> </w:t>
      </w:r>
      <w:r w:rsidRPr="002360D5">
        <w:rPr>
          <w:szCs w:val="24"/>
        </w:rPr>
        <w:t>g/L nominal), fluxapyroxad (BAS 700 F, Reg. No. 5 094 351): 49.4 g/L analyzed (50.0 g/L nominal); density: 1.078 g/cm³.</w:t>
      </w:r>
    </w:p>
    <w:p w14:paraId="766DB72E" w14:textId="77777777" w:rsidR="00E51CDD" w:rsidRPr="002360D5" w:rsidRDefault="00E51CDD" w:rsidP="00E51CDD">
      <w:pPr>
        <w:widowControl w:val="0"/>
        <w:tabs>
          <w:tab w:val="left" w:pos="426"/>
        </w:tabs>
        <w:ind w:left="2040" w:hanging="2040"/>
        <w:jc w:val="both"/>
        <w:rPr>
          <w:b/>
          <w:bCs/>
        </w:rPr>
      </w:pPr>
      <w:r w:rsidRPr="002360D5">
        <w:rPr>
          <w:b/>
          <w:bCs/>
        </w:rPr>
        <w:t>B.</w:t>
      </w:r>
      <w:r w:rsidRPr="002360D5">
        <w:rPr>
          <w:b/>
          <w:bCs/>
        </w:rPr>
        <w:tab/>
        <w:t>STUDY DESIGN</w:t>
      </w:r>
    </w:p>
    <w:p w14:paraId="6A1961B6" w14:textId="77777777" w:rsidR="00E51CDD" w:rsidRPr="002360D5" w:rsidRDefault="00E51CDD" w:rsidP="00E51CDD">
      <w:pPr>
        <w:widowControl w:val="0"/>
        <w:tabs>
          <w:tab w:val="left" w:pos="426"/>
        </w:tabs>
        <w:ind w:left="2040" w:hanging="2040"/>
        <w:jc w:val="both"/>
        <w:rPr>
          <w:lang w:eastAsia="en-US"/>
        </w:rPr>
      </w:pPr>
    </w:p>
    <w:p w14:paraId="6AC662A6" w14:textId="77777777" w:rsidR="00E51CDD" w:rsidRPr="002360D5" w:rsidRDefault="00E51CDD" w:rsidP="00E51CDD">
      <w:pPr>
        <w:widowControl w:val="0"/>
        <w:ind w:left="2410" w:hanging="2410"/>
        <w:jc w:val="both"/>
      </w:pPr>
      <w:r w:rsidRPr="002360D5">
        <w:t>Test species:</w:t>
      </w:r>
      <w:r w:rsidRPr="002360D5">
        <w:tab/>
        <w:t>Predatory mite (</w:t>
      </w:r>
      <w:r w:rsidRPr="002360D5">
        <w:rPr>
          <w:i/>
        </w:rPr>
        <w:t xml:space="preserve">Typhlodromus pyri </w:t>
      </w:r>
      <w:r w:rsidRPr="002360D5">
        <w:rPr>
          <w:iCs/>
        </w:rPr>
        <w:t>Scheuten</w:t>
      </w:r>
      <w:r w:rsidRPr="002360D5">
        <w:t xml:space="preserve">), protonymphs, (&lt; 24 hours old); source (in the stage of eggs): </w:t>
      </w:r>
      <w:bookmarkStart w:id="1231" w:name="_Hlk78882400"/>
      <w:r w:rsidRPr="002360D5">
        <w:t>Katz Biotech AG, 15837 Baruth, Germany</w:t>
      </w:r>
      <w:bookmarkEnd w:id="1231"/>
      <w:r w:rsidRPr="002360D5">
        <w:t>.</w:t>
      </w:r>
    </w:p>
    <w:p w14:paraId="57C36AD9" w14:textId="77777777" w:rsidR="00E51CDD" w:rsidRPr="002360D5" w:rsidRDefault="00E51CDD" w:rsidP="00E51CDD">
      <w:pPr>
        <w:widowControl w:val="0"/>
        <w:ind w:left="2410" w:hanging="2410"/>
        <w:jc w:val="both"/>
      </w:pPr>
    </w:p>
    <w:p w14:paraId="7EE6DA13" w14:textId="77777777" w:rsidR="00E51CDD" w:rsidRPr="002360D5" w:rsidRDefault="00E51CDD" w:rsidP="00E51CDD">
      <w:pPr>
        <w:widowControl w:val="0"/>
        <w:ind w:left="2410" w:hanging="2410"/>
        <w:jc w:val="both"/>
      </w:pPr>
      <w:r w:rsidRPr="002360D5">
        <w:t>Test design:</w:t>
      </w:r>
      <w:r w:rsidRPr="002360D5">
        <w:tab/>
        <w:t>Exposure of the predatory mites was reached via air-dried residues on on bean leaf discs (</w:t>
      </w:r>
      <w:r w:rsidRPr="002360D5">
        <w:rPr>
          <w:i/>
        </w:rPr>
        <w:t>Phaseolus vulgaris</w:t>
      </w:r>
      <w:r w:rsidRPr="002360D5">
        <w:t>). The following 7 treatment groups were set up: 5 test item rates, water treated control, reference item with 5 replicates (consisting of 20 protonymphs) per treatment. Assessment of mortality on day 3 and 7. For the control and all rates up to and including 4.0 L/ha BAS 736 00 F, the reproduction, i.e. number of eggs per female, was determined (3 assessments, 9, 11 and 14 days after application).</w:t>
      </w:r>
    </w:p>
    <w:p w14:paraId="79490389" w14:textId="77777777" w:rsidR="00E51CDD" w:rsidRPr="002360D5" w:rsidRDefault="00E51CDD" w:rsidP="00E51CDD">
      <w:pPr>
        <w:widowControl w:val="0"/>
        <w:ind w:left="2410" w:hanging="2410"/>
        <w:jc w:val="both"/>
        <w:rPr>
          <w:color w:val="0070C0"/>
        </w:rPr>
      </w:pPr>
    </w:p>
    <w:p w14:paraId="011989B2" w14:textId="77777777" w:rsidR="00E51CDD" w:rsidRPr="002360D5" w:rsidRDefault="00E51CDD" w:rsidP="00E51CDD">
      <w:pPr>
        <w:widowControl w:val="0"/>
        <w:ind w:left="2410" w:hanging="2410"/>
        <w:jc w:val="both"/>
      </w:pPr>
      <w:r w:rsidRPr="002360D5">
        <w:t>Endpoints:</w:t>
      </w:r>
      <w:r w:rsidRPr="002360D5">
        <w:tab/>
        <w:t>LR</w:t>
      </w:r>
      <w:r w:rsidRPr="002360D5">
        <w:rPr>
          <w:vertAlign w:val="subscript"/>
        </w:rPr>
        <w:t>50</w:t>
      </w:r>
      <w:r w:rsidRPr="002360D5">
        <w:t>: lethal rate producing 50% mortality after exposure over 7 days, ER</w:t>
      </w:r>
      <w:r w:rsidRPr="002360D5">
        <w:rPr>
          <w:vertAlign w:val="subscript"/>
        </w:rPr>
        <w:t>50</w:t>
      </w:r>
      <w:r w:rsidRPr="002360D5">
        <w:t>: effect rate resulting in 50% effect on reproduction between 7 - 14 days.</w:t>
      </w:r>
    </w:p>
    <w:p w14:paraId="4BC42CEF" w14:textId="77777777" w:rsidR="00E51CDD" w:rsidRPr="002360D5" w:rsidRDefault="00E51CDD" w:rsidP="00E51CDD">
      <w:pPr>
        <w:widowControl w:val="0"/>
        <w:ind w:left="2410" w:hanging="2410"/>
        <w:jc w:val="both"/>
        <w:rPr>
          <w:color w:val="0070C0"/>
        </w:rPr>
      </w:pPr>
    </w:p>
    <w:p w14:paraId="3FFC9A4D" w14:textId="77777777" w:rsidR="00E51CDD" w:rsidRPr="002360D5" w:rsidRDefault="00E51CDD" w:rsidP="00E51CDD">
      <w:pPr>
        <w:widowControl w:val="0"/>
        <w:ind w:left="2410" w:hanging="2410"/>
        <w:jc w:val="both"/>
      </w:pPr>
      <w:r w:rsidRPr="002360D5">
        <w:t>Reference item:</w:t>
      </w:r>
      <w:r w:rsidRPr="002360D5">
        <w:tab/>
      </w:r>
      <w:r w:rsidRPr="002360D5">
        <w:rPr>
          <w:szCs w:val="24"/>
        </w:rPr>
        <w:t>Dimethoate EC 400 (a.s.: dimethoate, analyzed content: 429.0 g/L, nominal: 400 g/L).</w:t>
      </w:r>
    </w:p>
    <w:p w14:paraId="58B85A3B" w14:textId="77777777" w:rsidR="00E51CDD" w:rsidRPr="002360D5" w:rsidRDefault="00E51CDD" w:rsidP="00E51CDD">
      <w:pPr>
        <w:widowControl w:val="0"/>
        <w:ind w:left="2410" w:hanging="2410"/>
        <w:jc w:val="both"/>
        <w:rPr>
          <w:color w:val="0070C0"/>
        </w:rPr>
      </w:pPr>
    </w:p>
    <w:p w14:paraId="336A769B" w14:textId="77777777" w:rsidR="00E51CDD" w:rsidRPr="002360D5" w:rsidRDefault="00E51CDD" w:rsidP="00E51CDD">
      <w:pPr>
        <w:widowControl w:val="0"/>
        <w:ind w:left="2410" w:hanging="2410"/>
        <w:jc w:val="both"/>
        <w:rPr>
          <w:color w:val="000000"/>
          <w:szCs w:val="24"/>
        </w:rPr>
      </w:pPr>
      <w:r w:rsidRPr="002360D5">
        <w:t>Test rates:</w:t>
      </w:r>
      <w:r w:rsidRPr="002360D5">
        <w:tab/>
        <w:t xml:space="preserve">Control: deionized water, test item: 0.25, 0.5, 1.0, 2.0 and 4.0 L BAS 736 00 F/ha, reference item: 30 mL/ha. </w:t>
      </w:r>
    </w:p>
    <w:tbl>
      <w:tblPr>
        <w:tblStyle w:val="DAR0075"/>
        <w:tblW w:w="3714" w:type="pct"/>
        <w:tblInd w:w="2405" w:type="dxa"/>
        <w:tblLook w:val="04A0" w:firstRow="1" w:lastRow="0" w:firstColumn="1" w:lastColumn="0" w:noHBand="0" w:noVBand="1"/>
      </w:tblPr>
      <w:tblGrid>
        <w:gridCol w:w="2338"/>
        <w:gridCol w:w="2196"/>
        <w:gridCol w:w="2407"/>
      </w:tblGrid>
      <w:tr w:rsidR="00E51CDD" w:rsidRPr="002360D5" w14:paraId="6519324F" w14:textId="77777777" w:rsidTr="009938D9">
        <w:trPr>
          <w:trHeight w:val="247"/>
        </w:trPr>
        <w:tc>
          <w:tcPr>
            <w:tcW w:w="1684" w:type="pct"/>
            <w:vAlign w:val="center"/>
          </w:tcPr>
          <w:p w14:paraId="1654E4BD" w14:textId="77777777" w:rsidR="00E51CDD" w:rsidRPr="002360D5" w:rsidRDefault="00E51CDD" w:rsidP="009938D9">
            <w:pPr>
              <w:widowControl w:val="0"/>
              <w:rPr>
                <w:color w:val="000000"/>
                <w:sz w:val="20"/>
                <w:szCs w:val="24"/>
              </w:rPr>
            </w:pPr>
            <w:r w:rsidRPr="002360D5">
              <w:rPr>
                <w:color w:val="000000"/>
                <w:sz w:val="20"/>
                <w:szCs w:val="24"/>
              </w:rPr>
              <w:t>BAS 736 00 F</w:t>
            </w:r>
          </w:p>
          <w:p w14:paraId="51D7E4A0" w14:textId="77777777" w:rsidR="00E51CDD" w:rsidRPr="002360D5" w:rsidRDefault="00E51CDD" w:rsidP="009938D9">
            <w:pPr>
              <w:widowControl w:val="0"/>
              <w:rPr>
                <w:color w:val="000000"/>
                <w:sz w:val="20"/>
                <w:szCs w:val="24"/>
              </w:rPr>
            </w:pPr>
            <w:r w:rsidRPr="002360D5">
              <w:rPr>
                <w:color w:val="000000"/>
                <w:sz w:val="20"/>
                <w:szCs w:val="24"/>
              </w:rPr>
              <w:t>[L product/ha]</w:t>
            </w:r>
          </w:p>
        </w:tc>
        <w:tc>
          <w:tcPr>
            <w:tcW w:w="1582" w:type="pct"/>
            <w:vAlign w:val="center"/>
          </w:tcPr>
          <w:p w14:paraId="626AB047" w14:textId="77777777" w:rsidR="00E51CDD" w:rsidRPr="002360D5" w:rsidRDefault="00E51CDD" w:rsidP="009938D9">
            <w:pPr>
              <w:widowControl w:val="0"/>
              <w:rPr>
                <w:color w:val="000000"/>
                <w:sz w:val="20"/>
                <w:szCs w:val="24"/>
              </w:rPr>
            </w:pPr>
            <w:r w:rsidRPr="002360D5">
              <w:rPr>
                <w:color w:val="000000"/>
                <w:sz w:val="20"/>
                <w:szCs w:val="24"/>
              </w:rPr>
              <w:t>BAS 9164 F</w:t>
            </w:r>
          </w:p>
          <w:p w14:paraId="31F9920C" w14:textId="77777777" w:rsidR="00E51CDD" w:rsidRPr="002360D5" w:rsidRDefault="00E51CDD" w:rsidP="009938D9">
            <w:pPr>
              <w:widowControl w:val="0"/>
              <w:rPr>
                <w:color w:val="000000"/>
                <w:sz w:val="20"/>
                <w:szCs w:val="24"/>
                <w:vertAlign w:val="superscript"/>
              </w:rPr>
            </w:pPr>
            <w:r w:rsidRPr="002360D5">
              <w:rPr>
                <w:color w:val="000000"/>
                <w:sz w:val="20"/>
                <w:szCs w:val="24"/>
              </w:rPr>
              <w:t>[g a.s./ha]</w:t>
            </w:r>
            <w:r w:rsidRPr="002360D5">
              <w:rPr>
                <w:color w:val="000000"/>
                <w:sz w:val="20"/>
                <w:szCs w:val="24"/>
                <w:vertAlign w:val="superscript"/>
              </w:rPr>
              <w:t>*</w:t>
            </w:r>
          </w:p>
        </w:tc>
        <w:tc>
          <w:tcPr>
            <w:tcW w:w="1734" w:type="pct"/>
            <w:vAlign w:val="center"/>
          </w:tcPr>
          <w:p w14:paraId="4E64B2AC" w14:textId="77777777" w:rsidR="00E51CDD" w:rsidRPr="002360D5" w:rsidRDefault="00E51CDD" w:rsidP="009938D9">
            <w:pPr>
              <w:widowControl w:val="0"/>
              <w:rPr>
                <w:color w:val="000000"/>
                <w:sz w:val="20"/>
                <w:szCs w:val="24"/>
              </w:rPr>
            </w:pPr>
            <w:r w:rsidRPr="002360D5">
              <w:rPr>
                <w:color w:val="000000"/>
                <w:sz w:val="20"/>
                <w:szCs w:val="24"/>
              </w:rPr>
              <w:t>BAS 700 F</w:t>
            </w:r>
          </w:p>
          <w:p w14:paraId="082741EF" w14:textId="77777777" w:rsidR="00E51CDD" w:rsidRPr="002360D5" w:rsidRDefault="00E51CDD" w:rsidP="009938D9">
            <w:pPr>
              <w:widowControl w:val="0"/>
              <w:rPr>
                <w:color w:val="000000"/>
                <w:sz w:val="20"/>
                <w:szCs w:val="24"/>
                <w:vertAlign w:val="superscript"/>
              </w:rPr>
            </w:pPr>
            <w:r w:rsidRPr="002360D5">
              <w:rPr>
                <w:color w:val="000000"/>
                <w:sz w:val="20"/>
                <w:szCs w:val="24"/>
              </w:rPr>
              <w:t>[g a.s./ha]</w:t>
            </w:r>
            <w:r w:rsidRPr="002360D5">
              <w:rPr>
                <w:color w:val="000000"/>
                <w:sz w:val="20"/>
                <w:szCs w:val="24"/>
                <w:vertAlign w:val="superscript"/>
              </w:rPr>
              <w:t>*</w:t>
            </w:r>
          </w:p>
        </w:tc>
      </w:tr>
      <w:tr w:rsidR="00E51CDD" w:rsidRPr="002360D5" w14:paraId="2EFD7253" w14:textId="77777777" w:rsidTr="009938D9">
        <w:trPr>
          <w:trHeight w:val="247"/>
        </w:trPr>
        <w:tc>
          <w:tcPr>
            <w:tcW w:w="1684" w:type="pct"/>
            <w:vAlign w:val="center"/>
          </w:tcPr>
          <w:p w14:paraId="12ABDB4A" w14:textId="77777777" w:rsidR="00E51CDD" w:rsidRPr="002360D5" w:rsidRDefault="00E51CDD" w:rsidP="009938D9">
            <w:pPr>
              <w:widowControl w:val="0"/>
              <w:rPr>
                <w:color w:val="000000"/>
                <w:sz w:val="20"/>
                <w:szCs w:val="24"/>
              </w:rPr>
            </w:pPr>
            <w:r w:rsidRPr="002360D5">
              <w:rPr>
                <w:color w:val="000000"/>
                <w:sz w:val="20"/>
                <w:szCs w:val="24"/>
              </w:rPr>
              <w:t>0.25</w:t>
            </w:r>
          </w:p>
        </w:tc>
        <w:tc>
          <w:tcPr>
            <w:tcW w:w="1582" w:type="pct"/>
            <w:vAlign w:val="center"/>
          </w:tcPr>
          <w:p w14:paraId="66087082" w14:textId="77777777" w:rsidR="00E51CDD" w:rsidRPr="002360D5" w:rsidRDefault="00E51CDD" w:rsidP="009938D9">
            <w:pPr>
              <w:widowControl w:val="0"/>
              <w:rPr>
                <w:color w:val="000000"/>
                <w:sz w:val="20"/>
                <w:szCs w:val="24"/>
              </w:rPr>
            </w:pPr>
            <w:r w:rsidRPr="002360D5">
              <w:rPr>
                <w:color w:val="000000"/>
                <w:sz w:val="20"/>
                <w:szCs w:val="24"/>
              </w:rPr>
              <w:t>18.75</w:t>
            </w:r>
          </w:p>
        </w:tc>
        <w:tc>
          <w:tcPr>
            <w:tcW w:w="1734" w:type="pct"/>
            <w:vAlign w:val="center"/>
          </w:tcPr>
          <w:p w14:paraId="6CD12821" w14:textId="77777777" w:rsidR="00E51CDD" w:rsidRPr="002360D5" w:rsidRDefault="00E51CDD" w:rsidP="009938D9">
            <w:pPr>
              <w:widowControl w:val="0"/>
              <w:rPr>
                <w:color w:val="000000"/>
                <w:sz w:val="20"/>
                <w:szCs w:val="24"/>
              </w:rPr>
            </w:pPr>
            <w:r w:rsidRPr="002360D5">
              <w:rPr>
                <w:color w:val="000000"/>
                <w:sz w:val="20"/>
                <w:szCs w:val="24"/>
              </w:rPr>
              <w:t>12.5</w:t>
            </w:r>
          </w:p>
        </w:tc>
      </w:tr>
      <w:tr w:rsidR="00E51CDD" w:rsidRPr="002360D5" w14:paraId="3EAF125D" w14:textId="77777777" w:rsidTr="009938D9">
        <w:trPr>
          <w:trHeight w:val="247"/>
        </w:trPr>
        <w:tc>
          <w:tcPr>
            <w:tcW w:w="1684" w:type="pct"/>
            <w:vAlign w:val="center"/>
          </w:tcPr>
          <w:p w14:paraId="4C17A934" w14:textId="77777777" w:rsidR="00E51CDD" w:rsidRPr="002360D5" w:rsidRDefault="00E51CDD" w:rsidP="009938D9">
            <w:pPr>
              <w:widowControl w:val="0"/>
              <w:rPr>
                <w:color w:val="000000"/>
                <w:sz w:val="20"/>
                <w:szCs w:val="24"/>
              </w:rPr>
            </w:pPr>
            <w:r w:rsidRPr="002360D5">
              <w:rPr>
                <w:color w:val="000000"/>
                <w:sz w:val="20"/>
                <w:szCs w:val="24"/>
              </w:rPr>
              <w:t>0.5</w:t>
            </w:r>
          </w:p>
        </w:tc>
        <w:tc>
          <w:tcPr>
            <w:tcW w:w="1582" w:type="pct"/>
            <w:vAlign w:val="center"/>
          </w:tcPr>
          <w:p w14:paraId="42C2FB91" w14:textId="77777777" w:rsidR="00E51CDD" w:rsidRPr="002360D5" w:rsidRDefault="00E51CDD" w:rsidP="009938D9">
            <w:pPr>
              <w:widowControl w:val="0"/>
              <w:rPr>
                <w:color w:val="000000"/>
                <w:sz w:val="20"/>
                <w:szCs w:val="24"/>
              </w:rPr>
            </w:pPr>
            <w:r w:rsidRPr="002360D5">
              <w:rPr>
                <w:color w:val="000000"/>
                <w:sz w:val="20"/>
                <w:szCs w:val="24"/>
              </w:rPr>
              <w:t>37.5</w:t>
            </w:r>
          </w:p>
        </w:tc>
        <w:tc>
          <w:tcPr>
            <w:tcW w:w="1734" w:type="pct"/>
            <w:vAlign w:val="center"/>
          </w:tcPr>
          <w:p w14:paraId="4D39D50C" w14:textId="77777777" w:rsidR="00E51CDD" w:rsidRPr="002360D5" w:rsidRDefault="00E51CDD" w:rsidP="009938D9">
            <w:pPr>
              <w:widowControl w:val="0"/>
              <w:rPr>
                <w:color w:val="000000"/>
                <w:sz w:val="20"/>
                <w:szCs w:val="24"/>
              </w:rPr>
            </w:pPr>
            <w:r w:rsidRPr="002360D5">
              <w:rPr>
                <w:color w:val="000000"/>
                <w:sz w:val="20"/>
                <w:szCs w:val="24"/>
              </w:rPr>
              <w:t>25</w:t>
            </w:r>
          </w:p>
        </w:tc>
      </w:tr>
      <w:tr w:rsidR="00E51CDD" w:rsidRPr="002360D5" w14:paraId="5C9C0E50" w14:textId="77777777" w:rsidTr="009938D9">
        <w:trPr>
          <w:trHeight w:val="247"/>
        </w:trPr>
        <w:tc>
          <w:tcPr>
            <w:tcW w:w="1684" w:type="pct"/>
            <w:vAlign w:val="center"/>
          </w:tcPr>
          <w:p w14:paraId="5D604DEE" w14:textId="77777777" w:rsidR="00E51CDD" w:rsidRPr="002360D5" w:rsidRDefault="00E51CDD" w:rsidP="009938D9">
            <w:pPr>
              <w:widowControl w:val="0"/>
              <w:rPr>
                <w:color w:val="000000"/>
                <w:sz w:val="20"/>
                <w:szCs w:val="24"/>
              </w:rPr>
            </w:pPr>
            <w:r w:rsidRPr="002360D5">
              <w:rPr>
                <w:color w:val="000000"/>
                <w:sz w:val="20"/>
                <w:szCs w:val="24"/>
              </w:rPr>
              <w:t>1.0</w:t>
            </w:r>
          </w:p>
        </w:tc>
        <w:tc>
          <w:tcPr>
            <w:tcW w:w="1582" w:type="pct"/>
            <w:vAlign w:val="center"/>
          </w:tcPr>
          <w:p w14:paraId="529A7CA0" w14:textId="77777777" w:rsidR="00E51CDD" w:rsidRPr="002360D5" w:rsidRDefault="00E51CDD" w:rsidP="009938D9">
            <w:pPr>
              <w:widowControl w:val="0"/>
              <w:rPr>
                <w:color w:val="000000"/>
                <w:sz w:val="20"/>
                <w:szCs w:val="24"/>
              </w:rPr>
            </w:pPr>
            <w:r w:rsidRPr="002360D5">
              <w:rPr>
                <w:color w:val="000000"/>
                <w:sz w:val="20"/>
                <w:szCs w:val="24"/>
              </w:rPr>
              <w:t>75</w:t>
            </w:r>
          </w:p>
        </w:tc>
        <w:tc>
          <w:tcPr>
            <w:tcW w:w="1734" w:type="pct"/>
            <w:vAlign w:val="center"/>
          </w:tcPr>
          <w:p w14:paraId="0BABE5D0" w14:textId="77777777" w:rsidR="00E51CDD" w:rsidRPr="002360D5" w:rsidRDefault="00E51CDD" w:rsidP="009938D9">
            <w:pPr>
              <w:widowControl w:val="0"/>
              <w:rPr>
                <w:color w:val="000000"/>
                <w:sz w:val="20"/>
                <w:szCs w:val="24"/>
              </w:rPr>
            </w:pPr>
            <w:r w:rsidRPr="002360D5">
              <w:rPr>
                <w:color w:val="000000"/>
                <w:sz w:val="20"/>
                <w:szCs w:val="24"/>
              </w:rPr>
              <w:t>50</w:t>
            </w:r>
          </w:p>
        </w:tc>
      </w:tr>
      <w:tr w:rsidR="00E51CDD" w:rsidRPr="002360D5" w14:paraId="63FE1360" w14:textId="77777777" w:rsidTr="009938D9">
        <w:trPr>
          <w:trHeight w:val="247"/>
        </w:trPr>
        <w:tc>
          <w:tcPr>
            <w:tcW w:w="1684" w:type="pct"/>
            <w:vAlign w:val="center"/>
          </w:tcPr>
          <w:p w14:paraId="69DE0447" w14:textId="77777777" w:rsidR="00E51CDD" w:rsidRPr="002360D5" w:rsidRDefault="00E51CDD" w:rsidP="009938D9">
            <w:pPr>
              <w:widowControl w:val="0"/>
              <w:rPr>
                <w:color w:val="000000"/>
                <w:sz w:val="20"/>
                <w:szCs w:val="24"/>
              </w:rPr>
            </w:pPr>
            <w:r w:rsidRPr="002360D5">
              <w:rPr>
                <w:color w:val="000000"/>
                <w:sz w:val="20"/>
                <w:szCs w:val="24"/>
              </w:rPr>
              <w:t>2.0</w:t>
            </w:r>
          </w:p>
        </w:tc>
        <w:tc>
          <w:tcPr>
            <w:tcW w:w="1582" w:type="pct"/>
            <w:vAlign w:val="center"/>
          </w:tcPr>
          <w:p w14:paraId="0557033E" w14:textId="77777777" w:rsidR="00E51CDD" w:rsidRPr="002360D5" w:rsidRDefault="00E51CDD" w:rsidP="009938D9">
            <w:pPr>
              <w:widowControl w:val="0"/>
              <w:rPr>
                <w:color w:val="000000"/>
                <w:sz w:val="20"/>
                <w:szCs w:val="24"/>
              </w:rPr>
            </w:pPr>
            <w:r w:rsidRPr="002360D5">
              <w:rPr>
                <w:color w:val="000000"/>
                <w:sz w:val="20"/>
                <w:szCs w:val="24"/>
              </w:rPr>
              <w:t>150</w:t>
            </w:r>
          </w:p>
        </w:tc>
        <w:tc>
          <w:tcPr>
            <w:tcW w:w="1734" w:type="pct"/>
            <w:vAlign w:val="center"/>
          </w:tcPr>
          <w:p w14:paraId="76242721" w14:textId="77777777" w:rsidR="00E51CDD" w:rsidRPr="002360D5" w:rsidRDefault="00E51CDD" w:rsidP="009938D9">
            <w:pPr>
              <w:widowControl w:val="0"/>
              <w:rPr>
                <w:color w:val="000000"/>
                <w:sz w:val="20"/>
                <w:szCs w:val="24"/>
              </w:rPr>
            </w:pPr>
            <w:r w:rsidRPr="002360D5">
              <w:rPr>
                <w:color w:val="000000"/>
                <w:sz w:val="20"/>
                <w:szCs w:val="24"/>
              </w:rPr>
              <w:t>100</w:t>
            </w:r>
          </w:p>
        </w:tc>
      </w:tr>
      <w:tr w:rsidR="00E51CDD" w:rsidRPr="002360D5" w14:paraId="72DAA55C" w14:textId="77777777" w:rsidTr="009938D9">
        <w:trPr>
          <w:trHeight w:val="247"/>
        </w:trPr>
        <w:tc>
          <w:tcPr>
            <w:tcW w:w="1684" w:type="pct"/>
            <w:vAlign w:val="center"/>
          </w:tcPr>
          <w:p w14:paraId="253A236B" w14:textId="77777777" w:rsidR="00E51CDD" w:rsidRPr="002360D5" w:rsidRDefault="00E51CDD" w:rsidP="009938D9">
            <w:pPr>
              <w:widowControl w:val="0"/>
              <w:rPr>
                <w:color w:val="000000"/>
                <w:sz w:val="20"/>
                <w:szCs w:val="24"/>
                <w:lang w:val="de-DE"/>
              </w:rPr>
            </w:pPr>
            <w:r w:rsidRPr="002360D5">
              <w:rPr>
                <w:color w:val="000000"/>
                <w:sz w:val="20"/>
                <w:szCs w:val="24"/>
                <w:lang w:val="de-DE"/>
              </w:rPr>
              <w:t>4.0</w:t>
            </w:r>
          </w:p>
        </w:tc>
        <w:tc>
          <w:tcPr>
            <w:tcW w:w="1582" w:type="pct"/>
            <w:vAlign w:val="center"/>
          </w:tcPr>
          <w:p w14:paraId="426D75AB" w14:textId="77777777" w:rsidR="00E51CDD" w:rsidRPr="002360D5" w:rsidRDefault="00E51CDD" w:rsidP="009938D9">
            <w:pPr>
              <w:widowControl w:val="0"/>
              <w:rPr>
                <w:color w:val="000000"/>
                <w:sz w:val="20"/>
                <w:szCs w:val="24"/>
                <w:lang w:val="de-DE"/>
              </w:rPr>
            </w:pPr>
            <w:r w:rsidRPr="002360D5">
              <w:rPr>
                <w:color w:val="000000"/>
                <w:sz w:val="20"/>
                <w:szCs w:val="24"/>
                <w:lang w:val="de-DE"/>
              </w:rPr>
              <w:t>300</w:t>
            </w:r>
          </w:p>
        </w:tc>
        <w:tc>
          <w:tcPr>
            <w:tcW w:w="1734" w:type="pct"/>
            <w:vAlign w:val="center"/>
          </w:tcPr>
          <w:p w14:paraId="7C480AFE" w14:textId="77777777" w:rsidR="00E51CDD" w:rsidRPr="002360D5" w:rsidRDefault="00E51CDD" w:rsidP="009938D9">
            <w:pPr>
              <w:widowControl w:val="0"/>
              <w:rPr>
                <w:color w:val="000000"/>
                <w:sz w:val="20"/>
                <w:szCs w:val="24"/>
                <w:lang w:val="de-DE"/>
              </w:rPr>
            </w:pPr>
            <w:r w:rsidRPr="002360D5">
              <w:rPr>
                <w:color w:val="000000"/>
                <w:sz w:val="20"/>
                <w:szCs w:val="24"/>
                <w:lang w:val="de-DE"/>
              </w:rPr>
              <w:t>200</w:t>
            </w:r>
          </w:p>
        </w:tc>
      </w:tr>
    </w:tbl>
    <w:p w14:paraId="4906BAA0" w14:textId="77777777" w:rsidR="00E51CDD" w:rsidRPr="002360D5" w:rsidRDefault="00E51CDD" w:rsidP="00E51CDD">
      <w:pPr>
        <w:widowControl w:val="0"/>
        <w:ind w:left="2520" w:hanging="180"/>
        <w:jc w:val="both"/>
        <w:rPr>
          <w:sz w:val="18"/>
          <w:szCs w:val="18"/>
          <w:lang w:eastAsia="en-US"/>
        </w:rPr>
      </w:pPr>
      <w:r w:rsidRPr="002360D5">
        <w:rPr>
          <w:sz w:val="18"/>
          <w:szCs w:val="18"/>
          <w:vertAlign w:val="superscript"/>
          <w:lang w:eastAsia="en-US"/>
        </w:rPr>
        <w:t>*</w:t>
      </w:r>
      <w:r w:rsidRPr="002360D5">
        <w:rPr>
          <w:sz w:val="18"/>
          <w:szCs w:val="18"/>
          <w:lang w:eastAsia="en-US"/>
        </w:rPr>
        <w:t xml:space="preserve"> based on nominal content of active substance and a test item density of 1.078 g/cm</w:t>
      </w:r>
      <w:r w:rsidRPr="002360D5">
        <w:rPr>
          <w:sz w:val="18"/>
          <w:szCs w:val="18"/>
          <w:vertAlign w:val="superscript"/>
          <w:lang w:eastAsia="en-US"/>
        </w:rPr>
        <w:t>3</w:t>
      </w:r>
      <w:r w:rsidRPr="002360D5">
        <w:rPr>
          <w:sz w:val="18"/>
          <w:szCs w:val="18"/>
          <w:lang w:eastAsia="en-US"/>
        </w:rPr>
        <w:t>.</w:t>
      </w:r>
    </w:p>
    <w:p w14:paraId="22325DE0" w14:textId="77777777" w:rsidR="00E51CDD" w:rsidRPr="002360D5" w:rsidRDefault="00E51CDD" w:rsidP="00E51CDD">
      <w:pPr>
        <w:widowControl w:val="0"/>
        <w:ind w:left="2410"/>
        <w:jc w:val="both"/>
      </w:pPr>
    </w:p>
    <w:p w14:paraId="01481460" w14:textId="77777777" w:rsidR="00E51CDD" w:rsidRPr="002360D5" w:rsidRDefault="00E51CDD" w:rsidP="00E51CDD">
      <w:pPr>
        <w:widowControl w:val="0"/>
        <w:ind w:left="2410"/>
        <w:jc w:val="both"/>
      </w:pPr>
      <w:r w:rsidRPr="002360D5">
        <w:t>All substances were applied in 200 L water/ha and sprayed on the bean via a laboratory spraying equipment and air dried afterwards.</w:t>
      </w:r>
    </w:p>
    <w:p w14:paraId="45424A9E" w14:textId="77777777" w:rsidR="00E51CDD" w:rsidRPr="002360D5" w:rsidRDefault="00E51CDD" w:rsidP="00E51CDD">
      <w:pPr>
        <w:widowControl w:val="0"/>
        <w:ind w:left="2410" w:hanging="2410"/>
        <w:jc w:val="both"/>
        <w:rPr>
          <w:color w:val="0070C0"/>
        </w:rPr>
      </w:pPr>
    </w:p>
    <w:p w14:paraId="1B355B88" w14:textId="77777777" w:rsidR="00E51CDD" w:rsidRPr="002360D5" w:rsidRDefault="00E51CDD" w:rsidP="00E51CDD">
      <w:pPr>
        <w:widowControl w:val="0"/>
        <w:ind w:left="2410" w:hanging="2410"/>
        <w:jc w:val="both"/>
      </w:pPr>
      <w:r w:rsidRPr="002360D5">
        <w:t>Test conditions:</w:t>
      </w:r>
      <w:r w:rsidRPr="002360D5">
        <w:tab/>
        <w:t>Temperature: 23 °C – 27 °C; relative humidity: 68% – 73%; photoperiod: 16 h light : 8 h dark; light intensity: 1950 lux; food: pollen: pine (</w:t>
      </w:r>
      <w:r w:rsidRPr="002360D5">
        <w:rPr>
          <w:i/>
          <w:iCs/>
        </w:rPr>
        <w:t>Pinus nigra</w:t>
      </w:r>
      <w:r w:rsidRPr="002360D5">
        <w:t>) and birch (</w:t>
      </w:r>
      <w:r w:rsidRPr="002360D5">
        <w:rPr>
          <w:i/>
          <w:iCs/>
        </w:rPr>
        <w:t>Betula pendula</w:t>
      </w:r>
      <w:r w:rsidRPr="002360D5">
        <w:t>), 1:1.</w:t>
      </w:r>
    </w:p>
    <w:p w14:paraId="69051DF6" w14:textId="77777777" w:rsidR="00E51CDD" w:rsidRPr="002360D5" w:rsidRDefault="00E51CDD" w:rsidP="00E51CDD">
      <w:pPr>
        <w:widowControl w:val="0"/>
        <w:ind w:left="2410" w:hanging="2410"/>
        <w:jc w:val="both"/>
      </w:pPr>
    </w:p>
    <w:p w14:paraId="045B50FE" w14:textId="77777777" w:rsidR="00E51CDD" w:rsidRPr="002360D5" w:rsidRDefault="00E51CDD" w:rsidP="00E51CDD">
      <w:pPr>
        <w:widowControl w:val="0"/>
        <w:ind w:left="2410" w:hanging="2410"/>
        <w:jc w:val="both"/>
        <w:rPr>
          <w:lang w:eastAsia="en-US"/>
        </w:rPr>
      </w:pPr>
      <w:r w:rsidRPr="002360D5">
        <w:rPr>
          <w:lang w:eastAsia="en-US"/>
        </w:rPr>
        <w:t>Analytics:</w:t>
      </w:r>
      <w:r w:rsidRPr="002360D5">
        <w:rPr>
          <w:lang w:eastAsia="en-US"/>
        </w:rPr>
        <w:tab/>
        <w:t>No analytical verification of the test item is required according to the current test guideline. Hence, no analytical verification was conducted.</w:t>
      </w:r>
    </w:p>
    <w:p w14:paraId="3E3EE5F5" w14:textId="77777777" w:rsidR="00E51CDD" w:rsidRPr="002360D5" w:rsidRDefault="00E51CDD" w:rsidP="00E51CDD">
      <w:pPr>
        <w:widowControl w:val="0"/>
        <w:ind w:left="2040" w:hanging="2040"/>
        <w:jc w:val="both"/>
        <w:rPr>
          <w:lang w:eastAsia="en-US"/>
        </w:rPr>
      </w:pPr>
    </w:p>
    <w:p w14:paraId="0E08BF00" w14:textId="77777777" w:rsidR="00E51CDD" w:rsidRPr="002360D5" w:rsidRDefault="00E51CDD" w:rsidP="00E51CDD">
      <w:pPr>
        <w:widowControl w:val="0"/>
        <w:ind w:left="2410" w:hanging="2410"/>
        <w:jc w:val="both"/>
      </w:pPr>
      <w:r w:rsidRPr="002360D5">
        <w:t>Statistics:</w:t>
      </w:r>
      <w:r w:rsidRPr="002360D5">
        <w:tab/>
        <w:t>Descriptive statistics, Chi</w:t>
      </w:r>
      <w:r w:rsidRPr="002360D5">
        <w:rPr>
          <w:vertAlign w:val="superscript"/>
        </w:rPr>
        <w:t>2</w:t>
      </w:r>
      <w:r w:rsidRPr="002360D5">
        <w:t xml:space="preserve"> 2x2 Table test with Bonferroni Correction (α = 0.05) for mortality, Williams t-test for reproductive capacity (α = 0.05).</w:t>
      </w:r>
    </w:p>
    <w:p w14:paraId="0094120F" w14:textId="77777777" w:rsidR="00E51CDD" w:rsidRPr="002360D5" w:rsidRDefault="00E51CDD" w:rsidP="00E51CDD">
      <w:pPr>
        <w:widowControl w:val="0"/>
        <w:tabs>
          <w:tab w:val="left" w:pos="425"/>
          <w:tab w:val="left" w:pos="850"/>
        </w:tabs>
        <w:ind w:left="2835" w:hanging="2835"/>
        <w:jc w:val="both"/>
        <w:rPr>
          <w:color w:val="0070C0"/>
        </w:rPr>
      </w:pPr>
    </w:p>
    <w:p w14:paraId="4B857F9F" w14:textId="77777777" w:rsidR="00E51CDD" w:rsidRPr="002360D5" w:rsidRDefault="00E51CDD" w:rsidP="00E51CDD">
      <w:pPr>
        <w:widowControl w:val="0"/>
        <w:tabs>
          <w:tab w:val="left" w:pos="425"/>
          <w:tab w:val="left" w:pos="850"/>
        </w:tabs>
        <w:jc w:val="both"/>
      </w:pPr>
      <w:r>
        <w:br w:type="page"/>
      </w:r>
    </w:p>
    <w:p w14:paraId="5B7DDD1D" w14:textId="77777777" w:rsidR="00E51CDD" w:rsidRPr="002360D5" w:rsidRDefault="00E51CDD" w:rsidP="00E51CDD">
      <w:pPr>
        <w:widowControl w:val="0"/>
        <w:tabs>
          <w:tab w:val="left" w:pos="425"/>
          <w:tab w:val="left" w:pos="850"/>
        </w:tabs>
        <w:ind w:left="2835" w:hanging="2835"/>
        <w:jc w:val="both"/>
        <w:rPr>
          <w:b/>
        </w:rPr>
      </w:pPr>
      <w:r w:rsidRPr="002360D5">
        <w:rPr>
          <w:b/>
        </w:rPr>
        <w:lastRenderedPageBreak/>
        <w:t>II.</w:t>
      </w:r>
      <w:r w:rsidRPr="002360D5">
        <w:rPr>
          <w:b/>
        </w:rPr>
        <w:tab/>
        <w:t>RESULTS AND DISCUSSION</w:t>
      </w:r>
    </w:p>
    <w:p w14:paraId="06988B7D" w14:textId="77777777" w:rsidR="00E51CDD" w:rsidRPr="002360D5" w:rsidRDefault="00E51CDD" w:rsidP="00E51CDD">
      <w:pPr>
        <w:widowControl w:val="0"/>
        <w:jc w:val="both"/>
        <w:rPr>
          <w:lang w:eastAsia="en-US"/>
        </w:rPr>
      </w:pPr>
    </w:p>
    <w:p w14:paraId="252BE7BE" w14:textId="77777777" w:rsidR="00E51CDD" w:rsidRPr="002360D5" w:rsidRDefault="00E51CDD" w:rsidP="00E51CDD">
      <w:pPr>
        <w:autoSpaceDE w:val="0"/>
        <w:autoSpaceDN w:val="0"/>
        <w:adjustRightInd w:val="0"/>
        <w:jc w:val="both"/>
      </w:pPr>
      <w:bookmarkStart w:id="1232" w:name="_Ref520370582"/>
      <w:r w:rsidRPr="002360D5">
        <w:t>After 7 days of exposure, 2.0% mortality was observed in the control group. In the test item treatments mortality ranged between 1.0% and 3.0%. This resulted in corrected mortality rates between -1.0% and 1.0%. No statistically significant effects on mortality were determined at rates up to and including 4.0 L/ha BAS 736 00 F compared to the control (Chi</w:t>
      </w:r>
      <w:r w:rsidRPr="002360D5">
        <w:rPr>
          <w:vertAlign w:val="superscript"/>
        </w:rPr>
        <w:t>2</w:t>
      </w:r>
      <w:r w:rsidRPr="002360D5">
        <w:t xml:space="preserve"> 2x2 Table test with Bonferroni Correction, α= 0.05). The reproduction rate amounted to 6.63 eggs/female in the control treatment. The reproduction rate in the different test item treated groups ranged from 6.11 to 6.88 eggs/female. Thus, an effect on reproduction between -3.8% and 7.8% was calculated for the test item treated groups compared to the control. No statistically significant effects on reproduction were determined at rates up to and including 4.0 L/ha BAS 736 00 F (Williams t-test, </w:t>
      </w:r>
      <w:r w:rsidRPr="002360D5">
        <w:sym w:font="Symbol" w:char="F061"/>
      </w:r>
      <w:r w:rsidRPr="002360D5">
        <w:t xml:space="preserve"> = 0.05).</w:t>
      </w:r>
    </w:p>
    <w:p w14:paraId="206639BE" w14:textId="77777777" w:rsidR="00E51CDD" w:rsidRPr="002360D5" w:rsidRDefault="00E51CDD" w:rsidP="00E51CDD">
      <w:pPr>
        <w:autoSpaceDE w:val="0"/>
        <w:autoSpaceDN w:val="0"/>
        <w:adjustRightInd w:val="0"/>
        <w:jc w:val="both"/>
        <w:rPr>
          <w:rFonts w:eastAsia="Calibri"/>
        </w:rPr>
      </w:pPr>
    </w:p>
    <w:p w14:paraId="0CC20013" w14:textId="3C873A85" w:rsidR="00E51CDD" w:rsidRPr="00D61C03" w:rsidRDefault="00E51CDD" w:rsidP="00E51CDD">
      <w:pPr>
        <w:widowControl w:val="0"/>
        <w:jc w:val="both"/>
      </w:pPr>
      <w:r w:rsidRPr="002360D5">
        <w:t xml:space="preserve">The results are summarized </w:t>
      </w:r>
      <w:r w:rsidRPr="00D61C03">
        <w:t xml:space="preserve">in </w:t>
      </w:r>
      <w:r w:rsidRPr="00D61C03">
        <w:fldChar w:fldCharType="begin"/>
      </w:r>
      <w:r w:rsidRPr="00D61C03">
        <w:instrText xml:space="preserve"> REF _Ref83889277 \h </w:instrText>
      </w:r>
      <w:r>
        <w:instrText xml:space="preserve"> \* MERGEFORMAT </w:instrText>
      </w:r>
      <w:r w:rsidRPr="00D61C03">
        <w:fldChar w:fldCharType="separate"/>
      </w:r>
      <w:r w:rsidR="00662F32" w:rsidRPr="00D61C03">
        <w:t xml:space="preserve">Table A </w:t>
      </w:r>
      <w:r w:rsidR="00662F32">
        <w:rPr>
          <w:noProof/>
        </w:rPr>
        <w:t>28</w:t>
      </w:r>
      <w:r w:rsidRPr="00D61C03">
        <w:fldChar w:fldCharType="end"/>
      </w:r>
      <w:r w:rsidRPr="00D61C03">
        <w:rPr>
          <w:noProof/>
        </w:rPr>
        <w:t>.</w:t>
      </w:r>
      <w:r w:rsidRPr="00D61C03">
        <w:t xml:space="preserve"> </w:t>
      </w:r>
    </w:p>
    <w:p w14:paraId="09898869" w14:textId="77777777" w:rsidR="00E51CDD" w:rsidRPr="00D61C03" w:rsidRDefault="00E51CDD" w:rsidP="00E51CDD">
      <w:pPr>
        <w:keepNext/>
        <w:keepLines/>
        <w:widowControl w:val="0"/>
        <w:tabs>
          <w:tab w:val="left" w:pos="1985"/>
        </w:tabs>
        <w:ind w:left="1985" w:hanging="1985"/>
        <w:rPr>
          <w:rFonts w:eastAsia="Calibri"/>
          <w:b/>
          <w:bCs/>
          <w:lang w:eastAsia="en-US"/>
        </w:rPr>
      </w:pPr>
    </w:p>
    <w:p w14:paraId="45CFD598" w14:textId="41C0BE98" w:rsidR="00B74DCE" w:rsidRDefault="00E51CDD" w:rsidP="00E51CDD">
      <w:pPr>
        <w:pStyle w:val="Legenda"/>
        <w:rPr>
          <w:rFonts w:eastAsia="PMingLiU"/>
          <w:sz w:val="22"/>
          <w:szCs w:val="22"/>
        </w:rPr>
      </w:pPr>
      <w:bookmarkStart w:id="1233" w:name="_Ref83889277"/>
      <w:r w:rsidRPr="00D61C03">
        <w:rPr>
          <w:sz w:val="22"/>
          <w:szCs w:val="22"/>
        </w:rPr>
        <w:t xml:space="preserve">Table A </w:t>
      </w:r>
      <w:r w:rsidRPr="00D61C03">
        <w:rPr>
          <w:sz w:val="22"/>
          <w:szCs w:val="22"/>
        </w:rPr>
        <w:fldChar w:fldCharType="begin"/>
      </w:r>
      <w:r w:rsidRPr="00D61C03">
        <w:rPr>
          <w:sz w:val="22"/>
          <w:szCs w:val="22"/>
        </w:rPr>
        <w:instrText xml:space="preserve"> SEQ Table_A \* ARABIC </w:instrText>
      </w:r>
      <w:r w:rsidRPr="00D61C03">
        <w:rPr>
          <w:sz w:val="22"/>
          <w:szCs w:val="22"/>
        </w:rPr>
        <w:fldChar w:fldCharType="separate"/>
      </w:r>
      <w:r w:rsidR="00662F32">
        <w:rPr>
          <w:noProof/>
          <w:sz w:val="22"/>
          <w:szCs w:val="22"/>
        </w:rPr>
        <w:t>28</w:t>
      </w:r>
      <w:r w:rsidRPr="00D61C03">
        <w:rPr>
          <w:sz w:val="22"/>
          <w:szCs w:val="22"/>
        </w:rPr>
        <w:fldChar w:fldCharType="end"/>
      </w:r>
      <w:bookmarkEnd w:id="1233"/>
      <w:r w:rsidRPr="00D61C03">
        <w:rPr>
          <w:rFonts w:eastAsia="PMingLiU"/>
          <w:sz w:val="22"/>
          <w:szCs w:val="22"/>
        </w:rPr>
        <w:t>:</w:t>
      </w:r>
      <w:r w:rsidRPr="00D61C03">
        <w:rPr>
          <w:rFonts w:eastAsia="PMingLiU"/>
          <w:sz w:val="22"/>
          <w:szCs w:val="22"/>
        </w:rPr>
        <w:tab/>
        <w:t>Effects on predatory mites (</w:t>
      </w:r>
      <w:r w:rsidRPr="00D61C03">
        <w:rPr>
          <w:rFonts w:eastAsia="PMingLiU"/>
          <w:i/>
          <w:iCs/>
          <w:sz w:val="22"/>
          <w:szCs w:val="22"/>
        </w:rPr>
        <w:t>Typhlodromus pyri</w:t>
      </w:r>
      <w:r w:rsidRPr="00D61C03">
        <w:rPr>
          <w:rFonts w:eastAsia="PMingLiU"/>
          <w:sz w:val="22"/>
          <w:szCs w:val="22"/>
        </w:rPr>
        <w:t xml:space="preserve">) exposed to BAS 736 00 F in an </w:t>
      </w:r>
    </w:p>
    <w:p w14:paraId="7C42DDC3" w14:textId="0ECC11B4" w:rsidR="00E51CDD" w:rsidRPr="00D61C03" w:rsidRDefault="00E51CDD" w:rsidP="00B74DCE">
      <w:pPr>
        <w:pStyle w:val="Legenda"/>
        <w:ind w:left="708" w:firstLine="708"/>
        <w:rPr>
          <w:rFonts w:eastAsia="PMingLiU"/>
          <w:sz w:val="22"/>
          <w:szCs w:val="22"/>
        </w:rPr>
      </w:pPr>
      <w:r w:rsidRPr="00D61C03">
        <w:rPr>
          <w:rFonts w:eastAsia="PMingLiU"/>
          <w:sz w:val="22"/>
          <w:szCs w:val="22"/>
        </w:rPr>
        <w:t>extended laboratory trial</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1304"/>
        <w:gridCol w:w="1559"/>
        <w:gridCol w:w="1235"/>
        <w:gridCol w:w="1880"/>
        <w:gridCol w:w="1557"/>
      </w:tblGrid>
      <w:tr w:rsidR="00E51CDD" w:rsidRPr="002360D5" w14:paraId="7D7B5224" w14:textId="77777777" w:rsidTr="009938D9">
        <w:trPr>
          <w:tblHeader/>
        </w:trPr>
        <w:tc>
          <w:tcPr>
            <w:tcW w:w="968" w:type="pct"/>
            <w:vAlign w:val="center"/>
          </w:tcPr>
          <w:p w14:paraId="2C4275D5" w14:textId="77777777" w:rsidR="00E51CDD" w:rsidRPr="002360D5" w:rsidRDefault="00E51CDD" w:rsidP="009938D9">
            <w:pPr>
              <w:spacing w:before="40" w:after="40"/>
              <w:jc w:val="center"/>
              <w:rPr>
                <w:sz w:val="20"/>
                <w:szCs w:val="20"/>
              </w:rPr>
            </w:pPr>
            <w:r w:rsidRPr="002360D5">
              <w:rPr>
                <w:b/>
                <w:sz w:val="20"/>
                <w:szCs w:val="20"/>
              </w:rPr>
              <w:t>Treatment</w:t>
            </w:r>
          </w:p>
        </w:tc>
        <w:tc>
          <w:tcPr>
            <w:tcW w:w="698" w:type="pct"/>
          </w:tcPr>
          <w:p w14:paraId="0CAF26C0" w14:textId="77777777" w:rsidR="00E51CDD" w:rsidRPr="002360D5" w:rsidRDefault="00E51CDD" w:rsidP="009938D9">
            <w:pPr>
              <w:spacing w:before="40" w:after="40"/>
              <w:jc w:val="center"/>
              <w:rPr>
                <w:sz w:val="20"/>
                <w:szCs w:val="20"/>
              </w:rPr>
            </w:pPr>
            <w:r w:rsidRPr="002360D5">
              <w:rPr>
                <w:b/>
                <w:sz w:val="20"/>
                <w:szCs w:val="20"/>
              </w:rPr>
              <w:t xml:space="preserve">Rate </w:t>
            </w:r>
            <w:r w:rsidRPr="002360D5">
              <w:rPr>
                <w:b/>
                <w:sz w:val="20"/>
                <w:szCs w:val="20"/>
              </w:rPr>
              <w:br/>
              <w:t>[L/ha]</w:t>
            </w:r>
            <w:r w:rsidRPr="002360D5">
              <w:rPr>
                <w:b/>
                <w:sz w:val="20"/>
                <w:szCs w:val="20"/>
                <w:vertAlign w:val="superscript"/>
              </w:rPr>
              <w:t xml:space="preserve"> 1)</w:t>
            </w:r>
          </w:p>
        </w:tc>
        <w:tc>
          <w:tcPr>
            <w:tcW w:w="834" w:type="pct"/>
          </w:tcPr>
          <w:p w14:paraId="366E5A55" w14:textId="77777777" w:rsidR="00E51CDD" w:rsidRPr="002360D5" w:rsidRDefault="00E51CDD" w:rsidP="009938D9">
            <w:pPr>
              <w:spacing w:before="40" w:after="40"/>
              <w:jc w:val="center"/>
              <w:rPr>
                <w:sz w:val="20"/>
                <w:szCs w:val="20"/>
              </w:rPr>
            </w:pPr>
            <w:r w:rsidRPr="002360D5">
              <w:rPr>
                <w:b/>
                <w:sz w:val="20"/>
                <w:szCs w:val="20"/>
              </w:rPr>
              <w:t xml:space="preserve">Mortality </w:t>
            </w:r>
            <w:r w:rsidRPr="002360D5">
              <w:rPr>
                <w:b/>
                <w:sz w:val="20"/>
                <w:szCs w:val="20"/>
              </w:rPr>
              <w:br/>
            </w:r>
            <w:r w:rsidRPr="002360D5">
              <w:rPr>
                <w:rFonts w:eastAsia="Symbol"/>
                <w:b/>
                <w:sz w:val="20"/>
                <w:szCs w:val="20"/>
              </w:rPr>
              <w:t>[</w:t>
            </w:r>
            <w:r w:rsidRPr="002360D5">
              <w:rPr>
                <w:b/>
                <w:sz w:val="20"/>
                <w:szCs w:val="20"/>
              </w:rPr>
              <w:t>%</w:t>
            </w:r>
            <w:r w:rsidRPr="002360D5">
              <w:rPr>
                <w:rFonts w:eastAsia="Symbol"/>
                <w:b/>
                <w:sz w:val="20"/>
                <w:szCs w:val="20"/>
              </w:rPr>
              <w:t>]</w:t>
            </w:r>
            <w:r w:rsidRPr="002360D5">
              <w:rPr>
                <w:b/>
                <w:sz w:val="20"/>
                <w:szCs w:val="20"/>
              </w:rPr>
              <w:t xml:space="preserve"> </w:t>
            </w:r>
            <w:r w:rsidRPr="002360D5">
              <w:rPr>
                <w:b/>
                <w:sz w:val="20"/>
                <w:szCs w:val="20"/>
                <w:vertAlign w:val="superscript"/>
              </w:rPr>
              <w:t>2)</w:t>
            </w:r>
          </w:p>
        </w:tc>
        <w:tc>
          <w:tcPr>
            <w:tcW w:w="661" w:type="pct"/>
          </w:tcPr>
          <w:p w14:paraId="428C4CC4" w14:textId="77777777" w:rsidR="00E51CDD" w:rsidRPr="002360D5" w:rsidRDefault="00E51CDD" w:rsidP="009938D9">
            <w:pPr>
              <w:spacing w:before="40" w:after="40"/>
              <w:jc w:val="center"/>
              <w:rPr>
                <w:sz w:val="20"/>
                <w:szCs w:val="20"/>
              </w:rPr>
            </w:pPr>
            <w:r w:rsidRPr="002360D5">
              <w:rPr>
                <w:b/>
                <w:sz w:val="20"/>
                <w:szCs w:val="20"/>
              </w:rPr>
              <w:t xml:space="preserve">Mortality corr. </w:t>
            </w:r>
            <w:r w:rsidRPr="002360D5">
              <w:rPr>
                <w:b/>
                <w:sz w:val="20"/>
                <w:szCs w:val="20"/>
              </w:rPr>
              <w:br/>
            </w:r>
            <w:r w:rsidRPr="002360D5">
              <w:rPr>
                <w:rFonts w:eastAsia="Symbol"/>
                <w:b/>
                <w:sz w:val="20"/>
                <w:szCs w:val="20"/>
              </w:rPr>
              <w:t>[</w:t>
            </w:r>
            <w:r w:rsidRPr="002360D5">
              <w:rPr>
                <w:b/>
                <w:sz w:val="20"/>
                <w:szCs w:val="20"/>
              </w:rPr>
              <w:t>%</w:t>
            </w:r>
            <w:r w:rsidRPr="002360D5">
              <w:rPr>
                <w:rFonts w:eastAsia="Symbol"/>
                <w:b/>
                <w:sz w:val="20"/>
                <w:szCs w:val="20"/>
              </w:rPr>
              <w:t>]</w:t>
            </w:r>
            <w:r w:rsidRPr="002360D5">
              <w:rPr>
                <w:b/>
                <w:sz w:val="20"/>
                <w:szCs w:val="20"/>
              </w:rPr>
              <w:t xml:space="preserve"> </w:t>
            </w:r>
            <w:r w:rsidRPr="002360D5">
              <w:rPr>
                <w:b/>
                <w:sz w:val="20"/>
                <w:szCs w:val="20"/>
                <w:vertAlign w:val="superscript"/>
              </w:rPr>
              <w:t>3)</w:t>
            </w:r>
          </w:p>
        </w:tc>
        <w:tc>
          <w:tcPr>
            <w:tcW w:w="1006" w:type="pct"/>
          </w:tcPr>
          <w:p w14:paraId="1B69C589" w14:textId="77777777" w:rsidR="00E51CDD" w:rsidRPr="002360D5" w:rsidRDefault="00E51CDD" w:rsidP="009938D9">
            <w:pPr>
              <w:spacing w:before="40" w:after="40"/>
              <w:jc w:val="center"/>
              <w:rPr>
                <w:sz w:val="20"/>
                <w:szCs w:val="20"/>
              </w:rPr>
            </w:pPr>
            <w:r w:rsidRPr="002360D5">
              <w:rPr>
                <w:b/>
                <w:sz w:val="20"/>
                <w:szCs w:val="20"/>
              </w:rPr>
              <w:t>Reproduction</w:t>
            </w:r>
            <w:r w:rsidRPr="002360D5">
              <w:rPr>
                <w:b/>
                <w:sz w:val="20"/>
                <w:szCs w:val="20"/>
              </w:rPr>
              <w:br/>
            </w:r>
            <w:r w:rsidRPr="002360D5">
              <w:rPr>
                <w:rFonts w:eastAsia="Symbol"/>
                <w:b/>
                <w:sz w:val="20"/>
                <w:szCs w:val="20"/>
              </w:rPr>
              <w:t>[</w:t>
            </w:r>
            <w:r w:rsidRPr="002360D5">
              <w:rPr>
                <w:b/>
                <w:sz w:val="20"/>
                <w:szCs w:val="20"/>
              </w:rPr>
              <w:t>eggs/female</w:t>
            </w:r>
            <w:r w:rsidRPr="002360D5">
              <w:rPr>
                <w:rFonts w:eastAsia="Symbol"/>
                <w:b/>
                <w:sz w:val="20"/>
                <w:szCs w:val="20"/>
              </w:rPr>
              <w:t>]</w:t>
            </w:r>
            <w:r w:rsidRPr="002360D5">
              <w:rPr>
                <w:b/>
                <w:sz w:val="20"/>
                <w:szCs w:val="20"/>
              </w:rPr>
              <w:t xml:space="preserve"> </w:t>
            </w:r>
            <w:r w:rsidRPr="002360D5">
              <w:rPr>
                <w:b/>
                <w:sz w:val="20"/>
                <w:szCs w:val="20"/>
                <w:vertAlign w:val="superscript"/>
              </w:rPr>
              <w:t>4)</w:t>
            </w:r>
          </w:p>
        </w:tc>
        <w:tc>
          <w:tcPr>
            <w:tcW w:w="833" w:type="pct"/>
          </w:tcPr>
          <w:p w14:paraId="43CBD370" w14:textId="77777777" w:rsidR="00E51CDD" w:rsidRPr="002360D5" w:rsidRDefault="00E51CDD" w:rsidP="009938D9">
            <w:pPr>
              <w:spacing w:before="40" w:after="40"/>
              <w:jc w:val="center"/>
              <w:rPr>
                <w:sz w:val="20"/>
                <w:szCs w:val="20"/>
              </w:rPr>
            </w:pPr>
            <w:r w:rsidRPr="002360D5">
              <w:rPr>
                <w:b/>
                <w:sz w:val="20"/>
                <w:szCs w:val="20"/>
              </w:rPr>
              <w:t>Effects on</w:t>
            </w:r>
            <w:r w:rsidRPr="002360D5">
              <w:rPr>
                <w:b/>
                <w:sz w:val="20"/>
                <w:szCs w:val="20"/>
              </w:rPr>
              <w:br/>
              <w:t>reproduction</w:t>
            </w:r>
            <w:r w:rsidRPr="002360D5">
              <w:rPr>
                <w:b/>
                <w:sz w:val="20"/>
                <w:szCs w:val="20"/>
              </w:rPr>
              <w:br/>
              <w:t>[%]</w:t>
            </w:r>
            <w:r w:rsidRPr="002360D5">
              <w:rPr>
                <w:b/>
                <w:bCs/>
                <w:sz w:val="20"/>
                <w:szCs w:val="20"/>
              </w:rPr>
              <w:t xml:space="preserve"> </w:t>
            </w:r>
            <w:r w:rsidRPr="002360D5">
              <w:rPr>
                <w:b/>
                <w:bCs/>
                <w:sz w:val="20"/>
                <w:szCs w:val="20"/>
                <w:vertAlign w:val="superscript"/>
              </w:rPr>
              <w:t>5)</w:t>
            </w:r>
          </w:p>
        </w:tc>
      </w:tr>
      <w:tr w:rsidR="00E51CDD" w:rsidRPr="002360D5" w14:paraId="1A4FA6EA" w14:textId="77777777" w:rsidTr="009938D9">
        <w:tc>
          <w:tcPr>
            <w:tcW w:w="968" w:type="pct"/>
          </w:tcPr>
          <w:p w14:paraId="7F0B22D7" w14:textId="77777777" w:rsidR="00E51CDD" w:rsidRPr="002360D5" w:rsidRDefault="00E51CDD" w:rsidP="009938D9">
            <w:pPr>
              <w:spacing w:before="40" w:after="40"/>
              <w:jc w:val="center"/>
              <w:rPr>
                <w:sz w:val="20"/>
                <w:szCs w:val="20"/>
              </w:rPr>
            </w:pPr>
            <w:r w:rsidRPr="002360D5">
              <w:rPr>
                <w:sz w:val="20"/>
                <w:szCs w:val="20"/>
              </w:rPr>
              <w:t>Control</w:t>
            </w:r>
          </w:p>
        </w:tc>
        <w:tc>
          <w:tcPr>
            <w:tcW w:w="698" w:type="pct"/>
          </w:tcPr>
          <w:p w14:paraId="6944845E" w14:textId="77777777" w:rsidR="00E51CDD" w:rsidRPr="002360D5" w:rsidRDefault="00E51CDD" w:rsidP="009938D9">
            <w:pPr>
              <w:spacing w:before="40" w:after="40"/>
              <w:jc w:val="center"/>
              <w:rPr>
                <w:sz w:val="20"/>
                <w:szCs w:val="20"/>
              </w:rPr>
            </w:pPr>
            <w:r w:rsidRPr="002360D5">
              <w:rPr>
                <w:sz w:val="20"/>
                <w:szCs w:val="20"/>
              </w:rPr>
              <w:t>--</w:t>
            </w:r>
          </w:p>
        </w:tc>
        <w:tc>
          <w:tcPr>
            <w:tcW w:w="834" w:type="pct"/>
            <w:vAlign w:val="center"/>
          </w:tcPr>
          <w:p w14:paraId="04970A81" w14:textId="77777777" w:rsidR="00E51CDD" w:rsidRPr="002360D5" w:rsidRDefault="00E51CDD" w:rsidP="009938D9">
            <w:pPr>
              <w:spacing w:before="40" w:after="40"/>
              <w:jc w:val="center"/>
              <w:rPr>
                <w:sz w:val="20"/>
                <w:szCs w:val="20"/>
              </w:rPr>
            </w:pPr>
            <w:r w:rsidRPr="002360D5">
              <w:rPr>
                <w:sz w:val="20"/>
                <w:szCs w:val="20"/>
              </w:rPr>
              <w:t>2.0</w:t>
            </w:r>
          </w:p>
        </w:tc>
        <w:tc>
          <w:tcPr>
            <w:tcW w:w="661" w:type="pct"/>
            <w:vAlign w:val="center"/>
          </w:tcPr>
          <w:p w14:paraId="317AB01C" w14:textId="77777777" w:rsidR="00E51CDD" w:rsidRPr="002360D5" w:rsidRDefault="00E51CDD" w:rsidP="009938D9">
            <w:pPr>
              <w:spacing w:before="40" w:after="40"/>
              <w:jc w:val="center"/>
              <w:rPr>
                <w:sz w:val="20"/>
                <w:szCs w:val="20"/>
              </w:rPr>
            </w:pPr>
            <w:r w:rsidRPr="002360D5">
              <w:rPr>
                <w:sz w:val="20"/>
                <w:szCs w:val="20"/>
              </w:rPr>
              <w:t>--</w:t>
            </w:r>
          </w:p>
        </w:tc>
        <w:tc>
          <w:tcPr>
            <w:tcW w:w="1006" w:type="pct"/>
            <w:vAlign w:val="center"/>
          </w:tcPr>
          <w:p w14:paraId="4AC2F352" w14:textId="77777777" w:rsidR="00E51CDD" w:rsidRPr="002360D5" w:rsidRDefault="00E51CDD" w:rsidP="009938D9">
            <w:pPr>
              <w:spacing w:before="40" w:after="40"/>
              <w:jc w:val="center"/>
              <w:rPr>
                <w:sz w:val="20"/>
                <w:szCs w:val="20"/>
              </w:rPr>
            </w:pPr>
            <w:r w:rsidRPr="002360D5">
              <w:rPr>
                <w:sz w:val="20"/>
                <w:szCs w:val="20"/>
              </w:rPr>
              <w:t>6.63</w:t>
            </w:r>
          </w:p>
        </w:tc>
        <w:tc>
          <w:tcPr>
            <w:tcW w:w="833" w:type="pct"/>
            <w:vAlign w:val="center"/>
          </w:tcPr>
          <w:p w14:paraId="33FD5FC4" w14:textId="77777777" w:rsidR="00E51CDD" w:rsidRPr="002360D5" w:rsidRDefault="00E51CDD" w:rsidP="009938D9">
            <w:pPr>
              <w:spacing w:before="40" w:after="40"/>
              <w:jc w:val="center"/>
              <w:rPr>
                <w:sz w:val="20"/>
                <w:szCs w:val="20"/>
              </w:rPr>
            </w:pPr>
            <w:r w:rsidRPr="002360D5">
              <w:rPr>
                <w:sz w:val="20"/>
                <w:szCs w:val="20"/>
              </w:rPr>
              <w:t>--</w:t>
            </w:r>
          </w:p>
        </w:tc>
      </w:tr>
      <w:tr w:rsidR="00E51CDD" w:rsidRPr="002360D5" w14:paraId="3D613A3C" w14:textId="77777777" w:rsidTr="009938D9">
        <w:tc>
          <w:tcPr>
            <w:tcW w:w="968" w:type="pct"/>
            <w:vMerge w:val="restart"/>
            <w:vAlign w:val="center"/>
          </w:tcPr>
          <w:p w14:paraId="7CC32822" w14:textId="77777777" w:rsidR="00E51CDD" w:rsidRPr="002360D5" w:rsidRDefault="00E51CDD" w:rsidP="009938D9">
            <w:pPr>
              <w:spacing w:before="40" w:after="40"/>
              <w:jc w:val="center"/>
              <w:rPr>
                <w:sz w:val="20"/>
                <w:szCs w:val="20"/>
              </w:rPr>
            </w:pPr>
            <w:r w:rsidRPr="002360D5">
              <w:rPr>
                <w:sz w:val="20"/>
                <w:szCs w:val="20"/>
              </w:rPr>
              <w:t>BAS 736 00 F</w:t>
            </w:r>
          </w:p>
        </w:tc>
        <w:tc>
          <w:tcPr>
            <w:tcW w:w="698" w:type="pct"/>
          </w:tcPr>
          <w:p w14:paraId="65E7AB57" w14:textId="77777777" w:rsidR="00E51CDD" w:rsidRPr="002360D5" w:rsidRDefault="00E51CDD" w:rsidP="009938D9">
            <w:pPr>
              <w:spacing w:before="40" w:after="40"/>
              <w:jc w:val="center"/>
              <w:rPr>
                <w:sz w:val="20"/>
                <w:szCs w:val="20"/>
              </w:rPr>
            </w:pPr>
            <w:r w:rsidRPr="002360D5">
              <w:rPr>
                <w:rFonts w:eastAsia="PMingLiU"/>
                <w:sz w:val="20"/>
                <w:lang w:eastAsia="en-US"/>
              </w:rPr>
              <w:t>0.25</w:t>
            </w:r>
          </w:p>
        </w:tc>
        <w:tc>
          <w:tcPr>
            <w:tcW w:w="834" w:type="pct"/>
            <w:vAlign w:val="center"/>
          </w:tcPr>
          <w:p w14:paraId="03A526B7" w14:textId="77777777" w:rsidR="00E51CDD" w:rsidRPr="002360D5" w:rsidRDefault="00E51CDD" w:rsidP="009938D9">
            <w:pPr>
              <w:spacing w:before="40" w:after="40"/>
              <w:jc w:val="center"/>
              <w:rPr>
                <w:sz w:val="20"/>
                <w:szCs w:val="20"/>
              </w:rPr>
            </w:pPr>
            <w:r w:rsidRPr="002360D5">
              <w:rPr>
                <w:sz w:val="20"/>
                <w:szCs w:val="20"/>
              </w:rPr>
              <w:t>2.0</w:t>
            </w:r>
          </w:p>
        </w:tc>
        <w:tc>
          <w:tcPr>
            <w:tcW w:w="661" w:type="pct"/>
            <w:vAlign w:val="center"/>
          </w:tcPr>
          <w:p w14:paraId="71CAE27D" w14:textId="77777777" w:rsidR="00E51CDD" w:rsidRPr="002360D5" w:rsidRDefault="00E51CDD" w:rsidP="009938D9">
            <w:pPr>
              <w:spacing w:before="40" w:after="40"/>
              <w:jc w:val="center"/>
              <w:rPr>
                <w:sz w:val="20"/>
                <w:szCs w:val="20"/>
              </w:rPr>
            </w:pPr>
            <w:r w:rsidRPr="002360D5">
              <w:rPr>
                <w:sz w:val="20"/>
                <w:szCs w:val="20"/>
              </w:rPr>
              <w:t>0</w:t>
            </w:r>
          </w:p>
        </w:tc>
        <w:tc>
          <w:tcPr>
            <w:tcW w:w="1006" w:type="pct"/>
            <w:vAlign w:val="center"/>
          </w:tcPr>
          <w:p w14:paraId="0F5FD577" w14:textId="77777777" w:rsidR="00E51CDD" w:rsidRPr="002360D5" w:rsidRDefault="00E51CDD" w:rsidP="009938D9">
            <w:pPr>
              <w:spacing w:before="40" w:after="40"/>
              <w:jc w:val="center"/>
              <w:rPr>
                <w:sz w:val="20"/>
                <w:szCs w:val="20"/>
              </w:rPr>
            </w:pPr>
            <w:r w:rsidRPr="002360D5">
              <w:rPr>
                <w:sz w:val="20"/>
                <w:szCs w:val="20"/>
              </w:rPr>
              <w:t>6.34</w:t>
            </w:r>
          </w:p>
        </w:tc>
        <w:tc>
          <w:tcPr>
            <w:tcW w:w="833" w:type="pct"/>
            <w:vAlign w:val="center"/>
          </w:tcPr>
          <w:p w14:paraId="6A8CFA0A" w14:textId="77777777" w:rsidR="00E51CDD" w:rsidRPr="002360D5" w:rsidRDefault="00E51CDD" w:rsidP="009938D9">
            <w:pPr>
              <w:spacing w:before="40" w:after="40"/>
              <w:jc w:val="center"/>
              <w:rPr>
                <w:sz w:val="20"/>
                <w:szCs w:val="20"/>
              </w:rPr>
            </w:pPr>
            <w:r w:rsidRPr="002360D5">
              <w:rPr>
                <w:sz w:val="20"/>
                <w:szCs w:val="20"/>
              </w:rPr>
              <w:t>4.4</w:t>
            </w:r>
          </w:p>
        </w:tc>
      </w:tr>
      <w:tr w:rsidR="00E51CDD" w:rsidRPr="002360D5" w14:paraId="3178C126" w14:textId="77777777" w:rsidTr="009938D9">
        <w:tc>
          <w:tcPr>
            <w:tcW w:w="968" w:type="pct"/>
            <w:vMerge/>
          </w:tcPr>
          <w:p w14:paraId="5603D927" w14:textId="77777777" w:rsidR="00E51CDD" w:rsidRPr="002360D5" w:rsidRDefault="00E51CDD" w:rsidP="009938D9">
            <w:pPr>
              <w:spacing w:before="40" w:after="40"/>
              <w:jc w:val="center"/>
              <w:rPr>
                <w:sz w:val="20"/>
                <w:szCs w:val="20"/>
              </w:rPr>
            </w:pPr>
          </w:p>
        </w:tc>
        <w:tc>
          <w:tcPr>
            <w:tcW w:w="698" w:type="pct"/>
          </w:tcPr>
          <w:p w14:paraId="6CAE8056" w14:textId="77777777" w:rsidR="00E51CDD" w:rsidRPr="002360D5" w:rsidRDefault="00E51CDD" w:rsidP="009938D9">
            <w:pPr>
              <w:spacing w:before="40" w:after="40"/>
              <w:jc w:val="center"/>
              <w:rPr>
                <w:sz w:val="20"/>
                <w:szCs w:val="20"/>
              </w:rPr>
            </w:pPr>
            <w:r w:rsidRPr="002360D5">
              <w:rPr>
                <w:rFonts w:eastAsia="PMingLiU"/>
                <w:sz w:val="20"/>
                <w:lang w:eastAsia="en-US"/>
              </w:rPr>
              <w:t>0.5</w:t>
            </w:r>
          </w:p>
        </w:tc>
        <w:tc>
          <w:tcPr>
            <w:tcW w:w="834" w:type="pct"/>
            <w:vAlign w:val="center"/>
          </w:tcPr>
          <w:p w14:paraId="7D7E54E8" w14:textId="77777777" w:rsidR="00E51CDD" w:rsidRPr="002360D5" w:rsidRDefault="00E51CDD" w:rsidP="009938D9">
            <w:pPr>
              <w:spacing w:before="40" w:after="40"/>
              <w:jc w:val="center"/>
              <w:rPr>
                <w:sz w:val="20"/>
                <w:szCs w:val="20"/>
              </w:rPr>
            </w:pPr>
            <w:r w:rsidRPr="002360D5">
              <w:rPr>
                <w:sz w:val="20"/>
                <w:szCs w:val="20"/>
              </w:rPr>
              <w:t>2.0</w:t>
            </w:r>
          </w:p>
        </w:tc>
        <w:tc>
          <w:tcPr>
            <w:tcW w:w="661" w:type="pct"/>
            <w:vAlign w:val="center"/>
          </w:tcPr>
          <w:p w14:paraId="728C373F" w14:textId="77777777" w:rsidR="00E51CDD" w:rsidRPr="002360D5" w:rsidRDefault="00E51CDD" w:rsidP="009938D9">
            <w:pPr>
              <w:spacing w:before="40" w:after="40"/>
              <w:jc w:val="center"/>
              <w:rPr>
                <w:sz w:val="20"/>
                <w:szCs w:val="20"/>
              </w:rPr>
            </w:pPr>
            <w:r w:rsidRPr="002360D5">
              <w:rPr>
                <w:sz w:val="20"/>
                <w:szCs w:val="20"/>
              </w:rPr>
              <w:t>0</w:t>
            </w:r>
          </w:p>
        </w:tc>
        <w:tc>
          <w:tcPr>
            <w:tcW w:w="1006" w:type="pct"/>
            <w:vAlign w:val="center"/>
          </w:tcPr>
          <w:p w14:paraId="08306C8B" w14:textId="77777777" w:rsidR="00E51CDD" w:rsidRPr="002360D5" w:rsidRDefault="00E51CDD" w:rsidP="009938D9">
            <w:pPr>
              <w:spacing w:before="40" w:after="40"/>
              <w:jc w:val="center"/>
              <w:rPr>
                <w:sz w:val="20"/>
                <w:szCs w:val="20"/>
              </w:rPr>
            </w:pPr>
            <w:r w:rsidRPr="002360D5">
              <w:rPr>
                <w:sz w:val="20"/>
                <w:szCs w:val="20"/>
              </w:rPr>
              <w:t>6.57</w:t>
            </w:r>
          </w:p>
        </w:tc>
        <w:tc>
          <w:tcPr>
            <w:tcW w:w="833" w:type="pct"/>
            <w:vAlign w:val="center"/>
          </w:tcPr>
          <w:p w14:paraId="44C0BF54" w14:textId="77777777" w:rsidR="00E51CDD" w:rsidRPr="002360D5" w:rsidRDefault="00E51CDD" w:rsidP="009938D9">
            <w:pPr>
              <w:spacing w:before="40" w:after="40"/>
              <w:jc w:val="center"/>
              <w:rPr>
                <w:sz w:val="20"/>
                <w:szCs w:val="20"/>
              </w:rPr>
            </w:pPr>
            <w:r w:rsidRPr="002360D5">
              <w:rPr>
                <w:sz w:val="20"/>
                <w:szCs w:val="20"/>
              </w:rPr>
              <w:t>0.9</w:t>
            </w:r>
          </w:p>
        </w:tc>
      </w:tr>
      <w:tr w:rsidR="00E51CDD" w:rsidRPr="002360D5" w14:paraId="6CF7DB8F" w14:textId="77777777" w:rsidTr="009938D9">
        <w:tc>
          <w:tcPr>
            <w:tcW w:w="968" w:type="pct"/>
            <w:vMerge/>
          </w:tcPr>
          <w:p w14:paraId="00969B29" w14:textId="77777777" w:rsidR="00E51CDD" w:rsidRPr="002360D5" w:rsidRDefault="00E51CDD" w:rsidP="009938D9">
            <w:pPr>
              <w:spacing w:before="40" w:after="40"/>
              <w:jc w:val="center"/>
              <w:rPr>
                <w:sz w:val="20"/>
                <w:szCs w:val="20"/>
              </w:rPr>
            </w:pPr>
          </w:p>
        </w:tc>
        <w:tc>
          <w:tcPr>
            <w:tcW w:w="698" w:type="pct"/>
          </w:tcPr>
          <w:p w14:paraId="2CCB2AE5" w14:textId="77777777" w:rsidR="00E51CDD" w:rsidRPr="002360D5" w:rsidRDefault="00E51CDD" w:rsidP="009938D9">
            <w:pPr>
              <w:spacing w:before="40" w:after="40"/>
              <w:jc w:val="center"/>
              <w:rPr>
                <w:sz w:val="20"/>
                <w:szCs w:val="20"/>
              </w:rPr>
            </w:pPr>
            <w:r w:rsidRPr="002360D5">
              <w:rPr>
                <w:rFonts w:eastAsia="PMingLiU"/>
                <w:sz w:val="20"/>
                <w:lang w:eastAsia="en-US"/>
              </w:rPr>
              <w:t>1.0</w:t>
            </w:r>
          </w:p>
        </w:tc>
        <w:tc>
          <w:tcPr>
            <w:tcW w:w="834" w:type="pct"/>
            <w:vAlign w:val="center"/>
          </w:tcPr>
          <w:p w14:paraId="0939531C" w14:textId="77777777" w:rsidR="00E51CDD" w:rsidRPr="002360D5" w:rsidRDefault="00E51CDD" w:rsidP="009938D9">
            <w:pPr>
              <w:spacing w:before="40" w:after="40"/>
              <w:jc w:val="center"/>
              <w:rPr>
                <w:sz w:val="20"/>
                <w:szCs w:val="20"/>
              </w:rPr>
            </w:pPr>
            <w:r w:rsidRPr="002360D5">
              <w:rPr>
                <w:sz w:val="20"/>
                <w:szCs w:val="20"/>
              </w:rPr>
              <w:t>1.0</w:t>
            </w:r>
          </w:p>
        </w:tc>
        <w:tc>
          <w:tcPr>
            <w:tcW w:w="661" w:type="pct"/>
            <w:vAlign w:val="center"/>
          </w:tcPr>
          <w:p w14:paraId="773615D3" w14:textId="77777777" w:rsidR="00E51CDD" w:rsidRPr="002360D5" w:rsidRDefault="00E51CDD" w:rsidP="009938D9">
            <w:pPr>
              <w:spacing w:before="40" w:after="40"/>
              <w:jc w:val="center"/>
              <w:rPr>
                <w:sz w:val="20"/>
                <w:szCs w:val="20"/>
              </w:rPr>
            </w:pPr>
            <w:r w:rsidRPr="002360D5">
              <w:rPr>
                <w:sz w:val="20"/>
                <w:szCs w:val="20"/>
              </w:rPr>
              <w:t>-1.0</w:t>
            </w:r>
          </w:p>
        </w:tc>
        <w:tc>
          <w:tcPr>
            <w:tcW w:w="1006" w:type="pct"/>
            <w:vAlign w:val="center"/>
          </w:tcPr>
          <w:p w14:paraId="70F02E22" w14:textId="77777777" w:rsidR="00E51CDD" w:rsidRPr="002360D5" w:rsidRDefault="00E51CDD" w:rsidP="009938D9">
            <w:pPr>
              <w:spacing w:before="40" w:after="40"/>
              <w:jc w:val="center"/>
              <w:rPr>
                <w:sz w:val="20"/>
                <w:szCs w:val="20"/>
              </w:rPr>
            </w:pPr>
            <w:r w:rsidRPr="002360D5">
              <w:rPr>
                <w:sz w:val="20"/>
                <w:szCs w:val="20"/>
              </w:rPr>
              <w:t>6.39</w:t>
            </w:r>
          </w:p>
        </w:tc>
        <w:tc>
          <w:tcPr>
            <w:tcW w:w="833" w:type="pct"/>
            <w:vAlign w:val="center"/>
          </w:tcPr>
          <w:p w14:paraId="4926B4EE" w14:textId="77777777" w:rsidR="00E51CDD" w:rsidRPr="002360D5" w:rsidRDefault="00E51CDD" w:rsidP="009938D9">
            <w:pPr>
              <w:spacing w:before="40" w:after="40"/>
              <w:jc w:val="center"/>
              <w:rPr>
                <w:sz w:val="20"/>
                <w:szCs w:val="20"/>
              </w:rPr>
            </w:pPr>
            <w:r w:rsidRPr="002360D5">
              <w:rPr>
                <w:sz w:val="20"/>
                <w:szCs w:val="20"/>
              </w:rPr>
              <w:t>3.6</w:t>
            </w:r>
          </w:p>
        </w:tc>
      </w:tr>
      <w:tr w:rsidR="00E51CDD" w:rsidRPr="002360D5" w14:paraId="25551C69" w14:textId="77777777" w:rsidTr="009938D9">
        <w:tc>
          <w:tcPr>
            <w:tcW w:w="968" w:type="pct"/>
            <w:vMerge/>
          </w:tcPr>
          <w:p w14:paraId="7BAEF9A0" w14:textId="77777777" w:rsidR="00E51CDD" w:rsidRPr="002360D5" w:rsidRDefault="00E51CDD" w:rsidP="009938D9">
            <w:pPr>
              <w:spacing w:before="40" w:after="40"/>
              <w:jc w:val="center"/>
              <w:rPr>
                <w:sz w:val="20"/>
                <w:szCs w:val="20"/>
              </w:rPr>
            </w:pPr>
          </w:p>
        </w:tc>
        <w:tc>
          <w:tcPr>
            <w:tcW w:w="698" w:type="pct"/>
          </w:tcPr>
          <w:p w14:paraId="02AB78EC" w14:textId="77777777" w:rsidR="00E51CDD" w:rsidRPr="002360D5" w:rsidRDefault="00E51CDD" w:rsidP="009938D9">
            <w:pPr>
              <w:spacing w:before="40" w:after="40"/>
              <w:jc w:val="center"/>
              <w:rPr>
                <w:sz w:val="20"/>
                <w:szCs w:val="20"/>
              </w:rPr>
            </w:pPr>
            <w:r w:rsidRPr="002360D5">
              <w:rPr>
                <w:rFonts w:eastAsia="PMingLiU"/>
                <w:sz w:val="20"/>
                <w:lang w:eastAsia="en-US"/>
              </w:rPr>
              <w:t>2.0</w:t>
            </w:r>
          </w:p>
        </w:tc>
        <w:tc>
          <w:tcPr>
            <w:tcW w:w="834" w:type="pct"/>
            <w:vAlign w:val="center"/>
          </w:tcPr>
          <w:p w14:paraId="074AAAB6" w14:textId="77777777" w:rsidR="00E51CDD" w:rsidRPr="002360D5" w:rsidRDefault="00E51CDD" w:rsidP="009938D9">
            <w:pPr>
              <w:spacing w:before="40" w:after="40"/>
              <w:jc w:val="center"/>
              <w:rPr>
                <w:sz w:val="20"/>
                <w:szCs w:val="20"/>
              </w:rPr>
            </w:pPr>
            <w:r w:rsidRPr="002360D5">
              <w:rPr>
                <w:sz w:val="20"/>
                <w:szCs w:val="20"/>
              </w:rPr>
              <w:t>1.0</w:t>
            </w:r>
          </w:p>
        </w:tc>
        <w:tc>
          <w:tcPr>
            <w:tcW w:w="661" w:type="pct"/>
            <w:vAlign w:val="center"/>
          </w:tcPr>
          <w:p w14:paraId="5683CBB4" w14:textId="77777777" w:rsidR="00E51CDD" w:rsidRPr="002360D5" w:rsidRDefault="00E51CDD" w:rsidP="009938D9">
            <w:pPr>
              <w:spacing w:before="40" w:after="40"/>
              <w:jc w:val="center"/>
              <w:rPr>
                <w:sz w:val="20"/>
                <w:szCs w:val="20"/>
              </w:rPr>
            </w:pPr>
            <w:r w:rsidRPr="002360D5">
              <w:rPr>
                <w:sz w:val="20"/>
                <w:szCs w:val="20"/>
              </w:rPr>
              <w:t>-1.0</w:t>
            </w:r>
          </w:p>
        </w:tc>
        <w:tc>
          <w:tcPr>
            <w:tcW w:w="1006" w:type="pct"/>
            <w:vAlign w:val="center"/>
          </w:tcPr>
          <w:p w14:paraId="192AA315" w14:textId="77777777" w:rsidR="00E51CDD" w:rsidRPr="002360D5" w:rsidRDefault="00E51CDD" w:rsidP="009938D9">
            <w:pPr>
              <w:spacing w:before="40" w:after="40"/>
              <w:jc w:val="center"/>
              <w:rPr>
                <w:sz w:val="20"/>
                <w:szCs w:val="20"/>
              </w:rPr>
            </w:pPr>
            <w:r w:rsidRPr="002360D5">
              <w:rPr>
                <w:sz w:val="20"/>
                <w:szCs w:val="20"/>
              </w:rPr>
              <w:t>6.88</w:t>
            </w:r>
          </w:p>
        </w:tc>
        <w:tc>
          <w:tcPr>
            <w:tcW w:w="833" w:type="pct"/>
            <w:vAlign w:val="center"/>
          </w:tcPr>
          <w:p w14:paraId="13BF1A00" w14:textId="77777777" w:rsidR="00E51CDD" w:rsidRPr="002360D5" w:rsidRDefault="00E51CDD" w:rsidP="009938D9">
            <w:pPr>
              <w:spacing w:before="40" w:after="40"/>
              <w:jc w:val="center"/>
              <w:rPr>
                <w:sz w:val="20"/>
                <w:szCs w:val="20"/>
              </w:rPr>
            </w:pPr>
            <w:r w:rsidRPr="002360D5">
              <w:rPr>
                <w:sz w:val="20"/>
                <w:szCs w:val="20"/>
              </w:rPr>
              <w:t>-3.8</w:t>
            </w:r>
          </w:p>
        </w:tc>
      </w:tr>
      <w:tr w:rsidR="00E51CDD" w:rsidRPr="002360D5" w14:paraId="7D142AB7" w14:textId="77777777" w:rsidTr="009938D9">
        <w:tc>
          <w:tcPr>
            <w:tcW w:w="968" w:type="pct"/>
            <w:vMerge/>
          </w:tcPr>
          <w:p w14:paraId="4D2FBAA4" w14:textId="77777777" w:rsidR="00E51CDD" w:rsidRPr="002360D5" w:rsidRDefault="00E51CDD" w:rsidP="009938D9">
            <w:pPr>
              <w:spacing w:before="40" w:after="40"/>
              <w:jc w:val="center"/>
              <w:rPr>
                <w:sz w:val="20"/>
                <w:szCs w:val="20"/>
              </w:rPr>
            </w:pPr>
          </w:p>
        </w:tc>
        <w:tc>
          <w:tcPr>
            <w:tcW w:w="698" w:type="pct"/>
          </w:tcPr>
          <w:p w14:paraId="3B17FEE5" w14:textId="77777777" w:rsidR="00E51CDD" w:rsidRPr="002360D5" w:rsidRDefault="00E51CDD" w:rsidP="009938D9">
            <w:pPr>
              <w:spacing w:before="40" w:after="40"/>
              <w:jc w:val="center"/>
              <w:rPr>
                <w:sz w:val="20"/>
                <w:szCs w:val="20"/>
              </w:rPr>
            </w:pPr>
            <w:r w:rsidRPr="002360D5">
              <w:rPr>
                <w:rFonts w:eastAsia="PMingLiU"/>
                <w:sz w:val="20"/>
                <w:lang w:eastAsia="en-US"/>
              </w:rPr>
              <w:t>4.0</w:t>
            </w:r>
          </w:p>
        </w:tc>
        <w:tc>
          <w:tcPr>
            <w:tcW w:w="834" w:type="pct"/>
            <w:vAlign w:val="center"/>
          </w:tcPr>
          <w:p w14:paraId="229A5E73" w14:textId="77777777" w:rsidR="00E51CDD" w:rsidRPr="002360D5" w:rsidRDefault="00E51CDD" w:rsidP="009938D9">
            <w:pPr>
              <w:spacing w:before="40" w:after="40"/>
              <w:jc w:val="center"/>
              <w:rPr>
                <w:sz w:val="20"/>
                <w:szCs w:val="20"/>
              </w:rPr>
            </w:pPr>
            <w:r w:rsidRPr="002360D5">
              <w:rPr>
                <w:sz w:val="20"/>
                <w:szCs w:val="20"/>
              </w:rPr>
              <w:t>3.0</w:t>
            </w:r>
          </w:p>
        </w:tc>
        <w:tc>
          <w:tcPr>
            <w:tcW w:w="661" w:type="pct"/>
            <w:vAlign w:val="center"/>
          </w:tcPr>
          <w:p w14:paraId="172631A7" w14:textId="77777777" w:rsidR="00E51CDD" w:rsidRPr="002360D5" w:rsidRDefault="00E51CDD" w:rsidP="009938D9">
            <w:pPr>
              <w:spacing w:before="40" w:after="40"/>
              <w:jc w:val="center"/>
              <w:rPr>
                <w:sz w:val="20"/>
                <w:szCs w:val="20"/>
              </w:rPr>
            </w:pPr>
            <w:r w:rsidRPr="002360D5">
              <w:rPr>
                <w:sz w:val="20"/>
                <w:szCs w:val="20"/>
              </w:rPr>
              <w:t>1.0</w:t>
            </w:r>
          </w:p>
        </w:tc>
        <w:tc>
          <w:tcPr>
            <w:tcW w:w="1006" w:type="pct"/>
            <w:vAlign w:val="center"/>
          </w:tcPr>
          <w:p w14:paraId="2F4B9F46" w14:textId="77777777" w:rsidR="00E51CDD" w:rsidRPr="002360D5" w:rsidRDefault="00E51CDD" w:rsidP="009938D9">
            <w:pPr>
              <w:spacing w:before="40" w:after="40"/>
              <w:jc w:val="center"/>
              <w:rPr>
                <w:sz w:val="20"/>
                <w:szCs w:val="20"/>
              </w:rPr>
            </w:pPr>
            <w:r w:rsidRPr="002360D5">
              <w:rPr>
                <w:sz w:val="20"/>
                <w:szCs w:val="20"/>
              </w:rPr>
              <w:t>6.11</w:t>
            </w:r>
          </w:p>
        </w:tc>
        <w:tc>
          <w:tcPr>
            <w:tcW w:w="833" w:type="pct"/>
            <w:vAlign w:val="center"/>
          </w:tcPr>
          <w:p w14:paraId="0329FE79" w14:textId="77777777" w:rsidR="00E51CDD" w:rsidRPr="002360D5" w:rsidRDefault="00E51CDD" w:rsidP="009938D9">
            <w:pPr>
              <w:spacing w:before="40" w:after="40"/>
              <w:jc w:val="center"/>
              <w:rPr>
                <w:sz w:val="20"/>
                <w:szCs w:val="20"/>
              </w:rPr>
            </w:pPr>
            <w:r w:rsidRPr="002360D5">
              <w:rPr>
                <w:sz w:val="20"/>
                <w:szCs w:val="20"/>
              </w:rPr>
              <w:t>7.8</w:t>
            </w:r>
          </w:p>
        </w:tc>
      </w:tr>
      <w:tr w:rsidR="00E51CDD" w:rsidRPr="007330A6" w14:paraId="71C2BE4C" w14:textId="77777777" w:rsidTr="009938D9">
        <w:tc>
          <w:tcPr>
            <w:tcW w:w="968" w:type="pct"/>
            <w:vAlign w:val="center"/>
          </w:tcPr>
          <w:p w14:paraId="09B7A89F" w14:textId="77777777" w:rsidR="00E51CDD" w:rsidRPr="002360D5" w:rsidRDefault="00E51CDD" w:rsidP="009938D9">
            <w:pPr>
              <w:spacing w:before="40" w:after="40"/>
              <w:jc w:val="center"/>
              <w:rPr>
                <w:b/>
                <w:bCs/>
                <w:sz w:val="20"/>
                <w:szCs w:val="20"/>
              </w:rPr>
            </w:pPr>
          </w:p>
        </w:tc>
        <w:tc>
          <w:tcPr>
            <w:tcW w:w="4032" w:type="pct"/>
            <w:gridSpan w:val="5"/>
            <w:vAlign w:val="center"/>
          </w:tcPr>
          <w:p w14:paraId="65CC82CC" w14:textId="77777777" w:rsidR="00E51CDD" w:rsidRPr="002262EA" w:rsidRDefault="00E51CDD" w:rsidP="009938D9">
            <w:pPr>
              <w:spacing w:before="40" w:after="40"/>
              <w:jc w:val="center"/>
              <w:rPr>
                <w:b/>
                <w:bCs/>
                <w:sz w:val="20"/>
                <w:szCs w:val="20"/>
                <w:lang w:val="fr-BE"/>
              </w:rPr>
            </w:pPr>
            <w:r w:rsidRPr="002262EA">
              <w:rPr>
                <w:b/>
                <w:bCs/>
                <w:sz w:val="20"/>
                <w:szCs w:val="20"/>
                <w:lang w:val="fr-BE"/>
              </w:rPr>
              <w:t>Endpoints [L BAS 736 00 F/ha]</w:t>
            </w:r>
          </w:p>
        </w:tc>
      </w:tr>
      <w:tr w:rsidR="00E51CDD" w:rsidRPr="002360D5" w14:paraId="7BCE031D" w14:textId="77777777" w:rsidTr="009938D9">
        <w:tc>
          <w:tcPr>
            <w:tcW w:w="968" w:type="pct"/>
          </w:tcPr>
          <w:p w14:paraId="570B62EB" w14:textId="77777777" w:rsidR="00E51CDD" w:rsidRPr="002360D5" w:rsidRDefault="00E51CDD" w:rsidP="009938D9">
            <w:pPr>
              <w:spacing w:before="40" w:after="40"/>
              <w:jc w:val="center"/>
              <w:rPr>
                <w:sz w:val="20"/>
                <w:szCs w:val="20"/>
                <w:vertAlign w:val="subscript"/>
              </w:rPr>
            </w:pPr>
            <w:r w:rsidRPr="002360D5">
              <w:rPr>
                <w:sz w:val="20"/>
                <w:szCs w:val="20"/>
              </w:rPr>
              <w:t>LR</w:t>
            </w:r>
            <w:r w:rsidRPr="002360D5">
              <w:rPr>
                <w:sz w:val="20"/>
                <w:szCs w:val="20"/>
                <w:vertAlign w:val="subscript"/>
              </w:rPr>
              <w:t>50</w:t>
            </w:r>
          </w:p>
        </w:tc>
        <w:tc>
          <w:tcPr>
            <w:tcW w:w="4032" w:type="pct"/>
            <w:gridSpan w:val="5"/>
          </w:tcPr>
          <w:p w14:paraId="6ADEAE34" w14:textId="77777777" w:rsidR="00E51CDD" w:rsidRPr="002360D5" w:rsidRDefault="00E51CDD" w:rsidP="009938D9">
            <w:pPr>
              <w:spacing w:before="40" w:after="40"/>
              <w:jc w:val="center"/>
              <w:rPr>
                <w:sz w:val="20"/>
                <w:szCs w:val="20"/>
              </w:rPr>
            </w:pPr>
            <w:r w:rsidRPr="002360D5">
              <w:rPr>
                <w:sz w:val="20"/>
                <w:szCs w:val="20"/>
              </w:rPr>
              <w:t>&gt; 4.0</w:t>
            </w:r>
          </w:p>
        </w:tc>
      </w:tr>
      <w:tr w:rsidR="00E51CDD" w:rsidRPr="002360D5" w14:paraId="6E722A31" w14:textId="77777777" w:rsidTr="009938D9">
        <w:tc>
          <w:tcPr>
            <w:tcW w:w="968" w:type="pct"/>
          </w:tcPr>
          <w:p w14:paraId="295A640D" w14:textId="77777777" w:rsidR="00E51CDD" w:rsidRPr="002360D5" w:rsidRDefault="00E51CDD" w:rsidP="009938D9">
            <w:pPr>
              <w:spacing w:before="40" w:after="40"/>
              <w:jc w:val="center"/>
              <w:rPr>
                <w:sz w:val="20"/>
                <w:szCs w:val="20"/>
                <w:vertAlign w:val="superscript"/>
              </w:rPr>
            </w:pPr>
            <w:r w:rsidRPr="002360D5">
              <w:rPr>
                <w:sz w:val="20"/>
                <w:szCs w:val="20"/>
              </w:rPr>
              <w:t>ER</w:t>
            </w:r>
            <w:r w:rsidRPr="002360D5">
              <w:rPr>
                <w:sz w:val="20"/>
                <w:szCs w:val="20"/>
                <w:vertAlign w:val="subscript"/>
              </w:rPr>
              <w:t>50</w:t>
            </w:r>
          </w:p>
        </w:tc>
        <w:tc>
          <w:tcPr>
            <w:tcW w:w="4032" w:type="pct"/>
            <w:gridSpan w:val="5"/>
          </w:tcPr>
          <w:p w14:paraId="0BBD0B96" w14:textId="77777777" w:rsidR="00E51CDD" w:rsidRPr="002360D5" w:rsidRDefault="00E51CDD" w:rsidP="009938D9">
            <w:pPr>
              <w:spacing w:before="40" w:after="40"/>
              <w:jc w:val="center"/>
              <w:rPr>
                <w:sz w:val="20"/>
                <w:szCs w:val="20"/>
              </w:rPr>
            </w:pPr>
            <w:r w:rsidRPr="002360D5">
              <w:rPr>
                <w:sz w:val="20"/>
                <w:szCs w:val="20"/>
              </w:rPr>
              <w:t>&gt; 4.0</w:t>
            </w:r>
          </w:p>
        </w:tc>
      </w:tr>
    </w:tbl>
    <w:p w14:paraId="2CC99C8D" w14:textId="77777777" w:rsidR="00E51CDD" w:rsidRPr="002360D5" w:rsidRDefault="00E51CDD" w:rsidP="00E51CDD">
      <w:pPr>
        <w:keepNext/>
        <w:keepLines/>
        <w:spacing w:before="60"/>
        <w:ind w:left="284" w:hanging="284"/>
        <w:jc w:val="both"/>
        <w:rPr>
          <w:sz w:val="18"/>
          <w:szCs w:val="20"/>
        </w:rPr>
      </w:pPr>
      <w:r w:rsidRPr="002360D5">
        <w:rPr>
          <w:sz w:val="18"/>
          <w:szCs w:val="20"/>
          <w:vertAlign w:val="superscript"/>
        </w:rPr>
        <w:t>1)</w:t>
      </w:r>
      <w:r w:rsidRPr="002360D5">
        <w:rPr>
          <w:sz w:val="18"/>
          <w:szCs w:val="20"/>
        </w:rPr>
        <w:tab/>
        <w:t>Application rate in 200 L water/ha.</w:t>
      </w:r>
    </w:p>
    <w:p w14:paraId="4D87A5B6" w14:textId="77777777" w:rsidR="00E51CDD" w:rsidRPr="002360D5" w:rsidRDefault="00E51CDD" w:rsidP="00E51CDD">
      <w:pPr>
        <w:keepNext/>
        <w:keepLines/>
        <w:ind w:left="284" w:hanging="284"/>
        <w:jc w:val="both"/>
        <w:rPr>
          <w:sz w:val="18"/>
          <w:szCs w:val="20"/>
        </w:rPr>
      </w:pPr>
      <w:r w:rsidRPr="002360D5">
        <w:rPr>
          <w:sz w:val="18"/>
          <w:szCs w:val="20"/>
          <w:vertAlign w:val="superscript"/>
        </w:rPr>
        <w:t>2)</w:t>
      </w:r>
      <w:r w:rsidRPr="002360D5">
        <w:rPr>
          <w:sz w:val="18"/>
          <w:szCs w:val="20"/>
        </w:rPr>
        <w:tab/>
        <w:t>Mortality after 7 days of exposure to BAS 736 00 F on treated bean leaves according to Chi</w:t>
      </w:r>
      <w:r w:rsidRPr="002360D5">
        <w:rPr>
          <w:sz w:val="18"/>
          <w:szCs w:val="20"/>
          <w:vertAlign w:val="superscript"/>
        </w:rPr>
        <w:t>2</w:t>
      </w:r>
      <w:r w:rsidRPr="002360D5">
        <w:rPr>
          <w:sz w:val="18"/>
          <w:szCs w:val="20"/>
        </w:rPr>
        <w:t xml:space="preserve"> 2x2 Table test with Bonferroni Correction (α = 0.05).</w:t>
      </w:r>
    </w:p>
    <w:p w14:paraId="67ED24CF" w14:textId="77777777" w:rsidR="00E51CDD" w:rsidRPr="002360D5" w:rsidRDefault="00E51CDD" w:rsidP="00E51CDD">
      <w:pPr>
        <w:keepNext/>
        <w:keepLines/>
        <w:ind w:left="284" w:hanging="284"/>
        <w:jc w:val="both"/>
        <w:rPr>
          <w:sz w:val="18"/>
          <w:szCs w:val="20"/>
        </w:rPr>
      </w:pPr>
      <w:r w:rsidRPr="002360D5">
        <w:rPr>
          <w:sz w:val="18"/>
          <w:szCs w:val="20"/>
          <w:vertAlign w:val="superscript"/>
        </w:rPr>
        <w:t>3)</w:t>
      </w:r>
      <w:r w:rsidRPr="002360D5">
        <w:rPr>
          <w:sz w:val="18"/>
          <w:szCs w:val="20"/>
        </w:rPr>
        <w:tab/>
        <w:t>Corrected mortality according to Abbott (1925).</w:t>
      </w:r>
    </w:p>
    <w:p w14:paraId="0FAA1668" w14:textId="77777777" w:rsidR="00E51CDD" w:rsidRPr="002360D5" w:rsidRDefault="00E51CDD" w:rsidP="00E51CDD">
      <w:pPr>
        <w:ind w:left="284" w:hanging="284"/>
        <w:jc w:val="both"/>
        <w:rPr>
          <w:sz w:val="18"/>
          <w:szCs w:val="20"/>
        </w:rPr>
      </w:pPr>
      <w:r w:rsidRPr="002360D5">
        <w:rPr>
          <w:sz w:val="18"/>
          <w:szCs w:val="20"/>
          <w:vertAlign w:val="superscript"/>
        </w:rPr>
        <w:t>4)</w:t>
      </w:r>
      <w:r w:rsidRPr="002360D5">
        <w:rPr>
          <w:sz w:val="18"/>
          <w:szCs w:val="20"/>
        </w:rPr>
        <w:tab/>
        <w:t>Reproduction: mean number of eggs/female from day 7 to 14 (Williams t-test, α = 0.05).</w:t>
      </w:r>
    </w:p>
    <w:p w14:paraId="0B2A5B44" w14:textId="77777777" w:rsidR="00E51CDD" w:rsidRPr="002360D5" w:rsidRDefault="00E51CDD" w:rsidP="00E51CDD">
      <w:pPr>
        <w:ind w:left="284" w:hanging="284"/>
        <w:jc w:val="both"/>
        <w:rPr>
          <w:sz w:val="18"/>
          <w:szCs w:val="20"/>
        </w:rPr>
      </w:pPr>
      <w:r w:rsidRPr="002360D5">
        <w:rPr>
          <w:sz w:val="18"/>
          <w:szCs w:val="20"/>
          <w:vertAlign w:val="superscript"/>
        </w:rPr>
        <w:t>5)</w:t>
      </w:r>
      <w:r w:rsidRPr="002360D5">
        <w:rPr>
          <w:sz w:val="18"/>
          <w:szCs w:val="20"/>
        </w:rPr>
        <w:tab/>
        <w:t>Change in numbers of eggs per female, relative to control. A positive value indicates a decrease and a negative value indicates an increase, relative to the control.</w:t>
      </w:r>
    </w:p>
    <w:p w14:paraId="72FBFE1E" w14:textId="77777777" w:rsidR="00E51CDD" w:rsidRDefault="00E51CDD" w:rsidP="00E51CDD">
      <w:pPr>
        <w:jc w:val="both"/>
        <w:rPr>
          <w:color w:val="0070C0"/>
        </w:rPr>
      </w:pPr>
    </w:p>
    <w:p w14:paraId="4850AA80" w14:textId="77777777" w:rsidR="00E51CDD" w:rsidRPr="002360D5" w:rsidRDefault="00E51CDD" w:rsidP="00E51CDD">
      <w:pPr>
        <w:jc w:val="both"/>
        <w:rPr>
          <w:color w:val="0070C0"/>
        </w:rPr>
      </w:pPr>
    </w:p>
    <w:bookmarkEnd w:id="1232"/>
    <w:p w14:paraId="59A9D607" w14:textId="77777777" w:rsidR="00E51CDD" w:rsidRPr="002360D5" w:rsidRDefault="00E51CDD" w:rsidP="00E51CDD">
      <w:pPr>
        <w:widowControl w:val="0"/>
        <w:tabs>
          <w:tab w:val="left" w:pos="425"/>
          <w:tab w:val="left" w:pos="850"/>
        </w:tabs>
        <w:ind w:left="2835" w:hanging="2835"/>
        <w:jc w:val="both"/>
        <w:rPr>
          <w:szCs w:val="20"/>
        </w:rPr>
      </w:pPr>
      <w:r w:rsidRPr="002360D5">
        <w:rPr>
          <w:szCs w:val="20"/>
        </w:rPr>
        <w:t xml:space="preserve">The reference item caused a mortality of 74.0% of exposed mites, resulting in a corrected mortality of </w:t>
      </w:r>
    </w:p>
    <w:p w14:paraId="6384A91A" w14:textId="77777777" w:rsidR="00E51CDD" w:rsidRPr="002360D5" w:rsidRDefault="00E51CDD" w:rsidP="00E51CDD">
      <w:pPr>
        <w:widowControl w:val="0"/>
        <w:tabs>
          <w:tab w:val="left" w:pos="425"/>
          <w:tab w:val="left" w:pos="850"/>
        </w:tabs>
        <w:ind w:left="2835" w:hanging="2835"/>
        <w:jc w:val="both"/>
        <w:rPr>
          <w:szCs w:val="20"/>
        </w:rPr>
      </w:pPr>
      <w:r w:rsidRPr="002360D5">
        <w:rPr>
          <w:szCs w:val="20"/>
        </w:rPr>
        <w:t>73.5%.</w:t>
      </w:r>
    </w:p>
    <w:p w14:paraId="73582D20" w14:textId="77777777" w:rsidR="00E51CDD" w:rsidRPr="002360D5" w:rsidRDefault="00E51CDD" w:rsidP="00E51CDD">
      <w:pPr>
        <w:widowControl w:val="0"/>
        <w:tabs>
          <w:tab w:val="left" w:pos="425"/>
          <w:tab w:val="left" w:pos="850"/>
        </w:tabs>
        <w:ind w:left="2835" w:hanging="2835"/>
        <w:jc w:val="both"/>
        <w:rPr>
          <w:color w:val="0070C0"/>
          <w:szCs w:val="20"/>
        </w:rPr>
      </w:pPr>
    </w:p>
    <w:p w14:paraId="18C806EF" w14:textId="77777777" w:rsidR="00E51CDD" w:rsidRPr="002360D5" w:rsidRDefault="00E51CDD" w:rsidP="00E51CDD">
      <w:pPr>
        <w:widowControl w:val="0"/>
        <w:tabs>
          <w:tab w:val="left" w:pos="425"/>
          <w:tab w:val="left" w:pos="850"/>
        </w:tabs>
        <w:ind w:left="2835" w:hanging="2835"/>
        <w:jc w:val="both"/>
        <w:rPr>
          <w:color w:val="0070C0"/>
          <w:szCs w:val="20"/>
        </w:rPr>
      </w:pPr>
    </w:p>
    <w:p w14:paraId="4CBEBE4A" w14:textId="77777777" w:rsidR="00E51CDD" w:rsidRPr="002360D5" w:rsidRDefault="00E51CDD" w:rsidP="00E51CDD">
      <w:pPr>
        <w:jc w:val="both"/>
        <w:rPr>
          <w:u w:val="single"/>
        </w:rPr>
      </w:pPr>
      <w:r w:rsidRPr="002360D5">
        <w:rPr>
          <w:u w:val="single"/>
        </w:rPr>
        <w:t>Validity criteria:</w:t>
      </w:r>
    </w:p>
    <w:p w14:paraId="4C96F0F4" w14:textId="77777777" w:rsidR="00E51CDD" w:rsidRPr="002360D5" w:rsidRDefault="00E51CDD" w:rsidP="00E51CDD">
      <w:pPr>
        <w:jc w:val="both"/>
      </w:pPr>
    </w:p>
    <w:tbl>
      <w:tblPr>
        <w:tblStyle w:val="DAR00741"/>
        <w:tblW w:w="5000" w:type="pct"/>
        <w:tblLook w:val="04A0" w:firstRow="1" w:lastRow="0" w:firstColumn="1" w:lastColumn="0" w:noHBand="0" w:noVBand="1"/>
      </w:tblPr>
      <w:tblGrid>
        <w:gridCol w:w="6866"/>
        <w:gridCol w:w="2478"/>
      </w:tblGrid>
      <w:tr w:rsidR="00E51CDD" w:rsidRPr="002360D5" w14:paraId="4E67759A" w14:textId="77777777" w:rsidTr="009938D9">
        <w:tc>
          <w:tcPr>
            <w:tcW w:w="3674" w:type="pct"/>
            <w:vAlign w:val="center"/>
          </w:tcPr>
          <w:p w14:paraId="55A692D6" w14:textId="77777777" w:rsidR="00E51CDD" w:rsidRPr="002360D5" w:rsidRDefault="00E51CDD" w:rsidP="009938D9">
            <w:pPr>
              <w:widowControl w:val="0"/>
              <w:rPr>
                <w:b/>
                <w:bCs/>
                <w:sz w:val="20"/>
                <w:szCs w:val="20"/>
              </w:rPr>
            </w:pPr>
            <w:r w:rsidRPr="002360D5">
              <w:rPr>
                <w:b/>
                <w:bCs/>
                <w:sz w:val="20"/>
                <w:szCs w:val="20"/>
              </w:rPr>
              <w:t>Validity criteria according to Bluemel et al (2000)</w:t>
            </w:r>
          </w:p>
        </w:tc>
        <w:tc>
          <w:tcPr>
            <w:tcW w:w="1326" w:type="pct"/>
            <w:vAlign w:val="center"/>
          </w:tcPr>
          <w:p w14:paraId="725BFF8B" w14:textId="77777777" w:rsidR="00E51CDD" w:rsidRPr="002360D5" w:rsidRDefault="00E51CDD" w:rsidP="009938D9">
            <w:pPr>
              <w:widowControl w:val="0"/>
              <w:jc w:val="center"/>
              <w:rPr>
                <w:b/>
                <w:bCs/>
                <w:sz w:val="20"/>
                <w:szCs w:val="20"/>
              </w:rPr>
            </w:pPr>
            <w:r w:rsidRPr="002360D5">
              <w:rPr>
                <w:b/>
                <w:bCs/>
                <w:sz w:val="20"/>
                <w:szCs w:val="20"/>
              </w:rPr>
              <w:t>Obtained in this study</w:t>
            </w:r>
          </w:p>
        </w:tc>
      </w:tr>
      <w:tr w:rsidR="00E51CDD" w:rsidRPr="002360D5" w14:paraId="522D0E75" w14:textId="77777777" w:rsidTr="009938D9">
        <w:tc>
          <w:tcPr>
            <w:tcW w:w="3674" w:type="pct"/>
            <w:vAlign w:val="center"/>
          </w:tcPr>
          <w:p w14:paraId="72176364" w14:textId="77777777" w:rsidR="00E51CDD" w:rsidRPr="002360D5" w:rsidRDefault="00E51CDD" w:rsidP="009938D9">
            <w:pPr>
              <w:widowControl w:val="0"/>
              <w:rPr>
                <w:sz w:val="20"/>
                <w:szCs w:val="20"/>
              </w:rPr>
            </w:pPr>
            <w:r w:rsidRPr="002360D5">
              <w:rPr>
                <w:sz w:val="20"/>
                <w:szCs w:val="20"/>
              </w:rPr>
              <w:t>Control mortality ≤ 20% on day 7</w:t>
            </w:r>
          </w:p>
        </w:tc>
        <w:tc>
          <w:tcPr>
            <w:tcW w:w="1326" w:type="pct"/>
            <w:vAlign w:val="center"/>
          </w:tcPr>
          <w:p w14:paraId="064CFA5A" w14:textId="77777777" w:rsidR="00E51CDD" w:rsidRPr="002360D5" w:rsidRDefault="00E51CDD" w:rsidP="009938D9">
            <w:pPr>
              <w:widowControl w:val="0"/>
              <w:jc w:val="center"/>
              <w:rPr>
                <w:sz w:val="20"/>
                <w:szCs w:val="20"/>
              </w:rPr>
            </w:pPr>
            <w:r w:rsidRPr="002360D5">
              <w:rPr>
                <w:sz w:val="20"/>
                <w:szCs w:val="20"/>
              </w:rPr>
              <w:t>2.0%</w:t>
            </w:r>
          </w:p>
        </w:tc>
      </w:tr>
      <w:tr w:rsidR="00E51CDD" w:rsidRPr="002360D5" w14:paraId="11E807B7" w14:textId="77777777" w:rsidTr="009938D9">
        <w:tc>
          <w:tcPr>
            <w:tcW w:w="3674" w:type="pct"/>
            <w:vAlign w:val="center"/>
          </w:tcPr>
          <w:p w14:paraId="25908E73" w14:textId="77777777" w:rsidR="00E51CDD" w:rsidRPr="002360D5" w:rsidRDefault="00E51CDD" w:rsidP="009938D9">
            <w:pPr>
              <w:widowControl w:val="0"/>
              <w:rPr>
                <w:sz w:val="20"/>
                <w:szCs w:val="20"/>
              </w:rPr>
            </w:pPr>
            <w:r w:rsidRPr="002360D5">
              <w:rPr>
                <w:sz w:val="20"/>
                <w:szCs w:val="20"/>
              </w:rPr>
              <w:t>Corrected mortality in the reference group 50-100% on day 7</w:t>
            </w:r>
          </w:p>
        </w:tc>
        <w:tc>
          <w:tcPr>
            <w:tcW w:w="1326" w:type="pct"/>
            <w:vAlign w:val="center"/>
          </w:tcPr>
          <w:p w14:paraId="35B5937E" w14:textId="77777777" w:rsidR="00E51CDD" w:rsidRPr="002360D5" w:rsidRDefault="00E51CDD" w:rsidP="009938D9">
            <w:pPr>
              <w:widowControl w:val="0"/>
              <w:jc w:val="center"/>
              <w:rPr>
                <w:sz w:val="20"/>
                <w:szCs w:val="20"/>
              </w:rPr>
            </w:pPr>
            <w:r w:rsidRPr="002360D5">
              <w:rPr>
                <w:sz w:val="20"/>
                <w:szCs w:val="20"/>
              </w:rPr>
              <w:t>73.5%</w:t>
            </w:r>
          </w:p>
        </w:tc>
      </w:tr>
      <w:tr w:rsidR="00E51CDD" w:rsidRPr="002360D5" w14:paraId="4E2317DF" w14:textId="77777777" w:rsidTr="009938D9">
        <w:tc>
          <w:tcPr>
            <w:tcW w:w="3674" w:type="pct"/>
            <w:vAlign w:val="center"/>
          </w:tcPr>
          <w:p w14:paraId="0D7CC123" w14:textId="77777777" w:rsidR="00E51CDD" w:rsidRPr="002360D5" w:rsidRDefault="00E51CDD" w:rsidP="009938D9">
            <w:pPr>
              <w:widowControl w:val="0"/>
              <w:rPr>
                <w:sz w:val="20"/>
                <w:szCs w:val="20"/>
              </w:rPr>
            </w:pPr>
            <w:r w:rsidRPr="002360D5">
              <w:rPr>
                <w:sz w:val="20"/>
                <w:szCs w:val="20"/>
                <w:lang w:eastAsia="en-US"/>
              </w:rPr>
              <w:t>Number of eggs in the control ≥ 4 eggs/female</w:t>
            </w:r>
          </w:p>
        </w:tc>
        <w:tc>
          <w:tcPr>
            <w:tcW w:w="1326" w:type="pct"/>
            <w:vAlign w:val="center"/>
          </w:tcPr>
          <w:p w14:paraId="060A2466" w14:textId="77777777" w:rsidR="00E51CDD" w:rsidRPr="002360D5" w:rsidRDefault="00E51CDD" w:rsidP="009938D9">
            <w:pPr>
              <w:widowControl w:val="0"/>
              <w:jc w:val="center"/>
              <w:rPr>
                <w:sz w:val="20"/>
                <w:szCs w:val="20"/>
              </w:rPr>
            </w:pPr>
            <w:r w:rsidRPr="002360D5">
              <w:rPr>
                <w:sz w:val="20"/>
                <w:szCs w:val="20"/>
              </w:rPr>
              <w:t>6.63</w:t>
            </w:r>
          </w:p>
        </w:tc>
      </w:tr>
    </w:tbl>
    <w:p w14:paraId="3357B668" w14:textId="77777777" w:rsidR="00E51CDD" w:rsidRDefault="00E51CDD" w:rsidP="00E51CDD">
      <w:pPr>
        <w:jc w:val="both"/>
      </w:pPr>
    </w:p>
    <w:p w14:paraId="46FD78F1" w14:textId="77777777" w:rsidR="00E51CDD" w:rsidRPr="002360D5" w:rsidRDefault="00E51CDD" w:rsidP="00E51CDD">
      <w:pPr>
        <w:jc w:val="both"/>
      </w:pPr>
    </w:p>
    <w:p w14:paraId="05158222" w14:textId="77777777" w:rsidR="00E51CDD" w:rsidRPr="002360D5" w:rsidRDefault="00E51CDD" w:rsidP="00E51CDD">
      <w:pPr>
        <w:jc w:val="both"/>
      </w:pPr>
      <w:r w:rsidRPr="002360D5">
        <w:t>All validity criteria were met.</w:t>
      </w:r>
    </w:p>
    <w:p w14:paraId="252DF7E5" w14:textId="77777777" w:rsidR="00E51CDD" w:rsidRPr="002360D5" w:rsidRDefault="00E51CDD" w:rsidP="00E51CDD">
      <w:pPr>
        <w:widowControl w:val="0"/>
        <w:tabs>
          <w:tab w:val="left" w:pos="425"/>
          <w:tab w:val="left" w:pos="850"/>
        </w:tabs>
        <w:ind w:left="2835" w:hanging="2835"/>
        <w:jc w:val="both"/>
        <w:rPr>
          <w:szCs w:val="20"/>
        </w:rPr>
      </w:pPr>
    </w:p>
    <w:p w14:paraId="6F8BBFBD" w14:textId="77777777" w:rsidR="00E51CDD" w:rsidRPr="002360D5" w:rsidRDefault="00E51CDD" w:rsidP="00E51CDD">
      <w:pPr>
        <w:widowControl w:val="0"/>
        <w:tabs>
          <w:tab w:val="left" w:pos="425"/>
          <w:tab w:val="left" w:pos="850"/>
        </w:tabs>
        <w:ind w:left="2835" w:hanging="2835"/>
        <w:jc w:val="both"/>
        <w:rPr>
          <w:szCs w:val="20"/>
        </w:rPr>
      </w:pPr>
      <w:r>
        <w:rPr>
          <w:szCs w:val="20"/>
        </w:rPr>
        <w:br w:type="page"/>
      </w:r>
    </w:p>
    <w:p w14:paraId="5F47B4A9" w14:textId="77777777" w:rsidR="00E51CDD" w:rsidRPr="002360D5" w:rsidRDefault="00E51CDD" w:rsidP="00E51CDD">
      <w:pPr>
        <w:widowControl w:val="0"/>
        <w:tabs>
          <w:tab w:val="left" w:pos="425"/>
          <w:tab w:val="left" w:pos="850"/>
        </w:tabs>
        <w:ind w:left="2835" w:hanging="2835"/>
        <w:jc w:val="both"/>
        <w:rPr>
          <w:b/>
        </w:rPr>
      </w:pPr>
      <w:r w:rsidRPr="002360D5">
        <w:rPr>
          <w:b/>
        </w:rPr>
        <w:lastRenderedPageBreak/>
        <w:t>III.</w:t>
      </w:r>
      <w:r w:rsidRPr="002360D5">
        <w:rPr>
          <w:b/>
        </w:rPr>
        <w:tab/>
        <w:t>CONCLUSION</w:t>
      </w:r>
    </w:p>
    <w:p w14:paraId="5CEAB31A" w14:textId="77777777" w:rsidR="00E51CDD" w:rsidRPr="002360D5" w:rsidRDefault="00E51CDD" w:rsidP="00E51CDD">
      <w:pPr>
        <w:widowControl w:val="0"/>
        <w:tabs>
          <w:tab w:val="left" w:pos="425"/>
          <w:tab w:val="left" w:pos="850"/>
        </w:tabs>
        <w:ind w:left="2835" w:hanging="2835"/>
        <w:jc w:val="both"/>
        <w:rPr>
          <w:szCs w:val="24"/>
        </w:rPr>
      </w:pPr>
    </w:p>
    <w:p w14:paraId="32E5C204" w14:textId="77777777" w:rsidR="00E51CDD" w:rsidRPr="002360D5" w:rsidRDefault="00E51CDD" w:rsidP="00E51CDD">
      <w:pPr>
        <w:widowControl w:val="0"/>
        <w:jc w:val="both"/>
        <w:rPr>
          <w:rFonts w:cs="Arial"/>
        </w:rPr>
      </w:pPr>
      <w:r w:rsidRPr="002360D5">
        <w:rPr>
          <w:b/>
        </w:rPr>
        <w:t>In an extended laboratory study with BAS 736 00 F, the LR</w:t>
      </w:r>
      <w:r w:rsidRPr="002360D5">
        <w:rPr>
          <w:b/>
          <w:vertAlign w:val="subscript"/>
        </w:rPr>
        <w:t xml:space="preserve">50 </w:t>
      </w:r>
      <w:r w:rsidRPr="002360D5">
        <w:rPr>
          <w:b/>
        </w:rPr>
        <w:t xml:space="preserve">for </w:t>
      </w:r>
      <w:r w:rsidRPr="002360D5">
        <w:rPr>
          <w:b/>
          <w:i/>
        </w:rPr>
        <w:t xml:space="preserve">Typhlodromus pyri </w:t>
      </w:r>
      <w:r w:rsidRPr="002360D5">
        <w:rPr>
          <w:b/>
        </w:rPr>
        <w:t>was &gt; 4 L BAS 736 00 F/ha. The ER</w:t>
      </w:r>
      <w:r w:rsidRPr="002360D5">
        <w:rPr>
          <w:b/>
          <w:vertAlign w:val="subscript"/>
        </w:rPr>
        <w:t>50</w:t>
      </w:r>
      <w:r w:rsidRPr="002360D5">
        <w:rPr>
          <w:b/>
        </w:rPr>
        <w:t xml:space="preserve"> for reproduction was estimated to be &gt; 4 L BAS</w:t>
      </w:r>
      <w:r w:rsidRPr="002360D5">
        <w:rPr>
          <w:rFonts w:cs="Arial"/>
          <w:b/>
        </w:rPr>
        <w:t> 736 00 F/ha.</w:t>
      </w:r>
    </w:p>
    <w:p w14:paraId="3350D790" w14:textId="77777777" w:rsidR="00E51CDD" w:rsidRDefault="00E51CDD" w:rsidP="00E51CDD">
      <w:pPr>
        <w:pStyle w:val="RepStandard"/>
      </w:pPr>
      <w:r>
        <w:br w:type="page"/>
      </w:r>
    </w:p>
    <w:p w14:paraId="3F6A8D6C" w14:textId="77777777" w:rsidR="00E51CDD" w:rsidRPr="00BE28C7" w:rsidRDefault="00E51CDD" w:rsidP="00B31542">
      <w:pPr>
        <w:pStyle w:val="RepAppendix4"/>
      </w:pPr>
      <w:r w:rsidRPr="00BE28C7">
        <w:lastRenderedPageBreak/>
        <w:t>Study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698B3D11" w14:textId="77777777" w:rsidTr="00144797">
        <w:trPr>
          <w:trHeight w:val="915"/>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C04777" w14:textId="77777777" w:rsidR="00E51CDD" w:rsidRDefault="00E51CDD" w:rsidP="009938D9">
            <w:pPr>
              <w:pStyle w:val="RepStandard"/>
              <w:rPr>
                <w:rFonts w:eastAsia="Batang"/>
              </w:rPr>
            </w:pPr>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829B43" w14:textId="5E9D19AF" w:rsidR="00E51CDD" w:rsidRDefault="00933A26" w:rsidP="009938D9">
            <w:pPr>
              <w:pStyle w:val="RepStandard"/>
              <w:ind w:left="85"/>
              <w:rPr>
                <w:rFonts w:eastAsia="Batang"/>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1DB2AC64"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078BF62B" w14:textId="77777777" w:rsidTr="009938D9">
        <w:trPr>
          <w:gridAfter w:val="1"/>
          <w:wAfter w:w="9" w:type="pct"/>
        </w:trPr>
        <w:tc>
          <w:tcPr>
            <w:tcW w:w="1340" w:type="pct"/>
            <w:hideMark/>
          </w:tcPr>
          <w:p w14:paraId="6A8C2B6D" w14:textId="77777777" w:rsidR="00E51CDD" w:rsidRDefault="00E51CDD" w:rsidP="009938D9">
            <w:pPr>
              <w:pStyle w:val="RepStandard"/>
              <w:rPr>
                <w:lang w:val="de-DE"/>
              </w:rPr>
            </w:pPr>
            <w:r>
              <w:t>Reference:</w:t>
            </w:r>
          </w:p>
        </w:tc>
        <w:tc>
          <w:tcPr>
            <w:tcW w:w="3651" w:type="pct"/>
            <w:hideMark/>
          </w:tcPr>
          <w:p w14:paraId="1E6AF028" w14:textId="77777777" w:rsidR="00E51CDD" w:rsidRDefault="00E51CDD" w:rsidP="009938D9">
            <w:pPr>
              <w:pStyle w:val="RepStandard"/>
            </w:pPr>
            <w:r>
              <w:t>CP 10.3.2.2/2</w:t>
            </w:r>
          </w:p>
        </w:tc>
      </w:tr>
      <w:tr w:rsidR="00E51CDD" w14:paraId="55A3E9C1" w14:textId="77777777" w:rsidTr="009938D9">
        <w:trPr>
          <w:gridAfter w:val="1"/>
          <w:wAfter w:w="9" w:type="pct"/>
        </w:trPr>
        <w:tc>
          <w:tcPr>
            <w:tcW w:w="1340" w:type="pct"/>
            <w:hideMark/>
          </w:tcPr>
          <w:p w14:paraId="1F6F759D" w14:textId="77777777" w:rsidR="00E51CDD" w:rsidRDefault="00E51CDD" w:rsidP="009938D9">
            <w:pPr>
              <w:pStyle w:val="RepStandard"/>
              <w:spacing w:after="120"/>
            </w:pPr>
            <w:r>
              <w:t>Report</w:t>
            </w:r>
          </w:p>
        </w:tc>
        <w:tc>
          <w:tcPr>
            <w:tcW w:w="3651" w:type="pct"/>
            <w:hideMark/>
          </w:tcPr>
          <w:p w14:paraId="11FFBF09" w14:textId="77777777" w:rsidR="00E51CDD" w:rsidRDefault="00E51CDD" w:rsidP="009938D9">
            <w:pPr>
              <w:pStyle w:val="RepStandard"/>
              <w:spacing w:after="120"/>
              <w:rPr>
                <w:lang w:val="en-US"/>
              </w:rPr>
            </w:pPr>
            <w:r>
              <w:rPr>
                <w:lang w:val="en-US"/>
              </w:rPr>
              <w:t>Effects of BAS 736 00 F on the parasitic wasp Aphidius rhopalosiphi (Destefani-Perez) in an Extended laboratory test,</w:t>
            </w:r>
          </w:p>
          <w:p w14:paraId="1B507C30" w14:textId="77777777" w:rsidR="00E51CDD" w:rsidRDefault="00E51CDD" w:rsidP="009938D9">
            <w:pPr>
              <w:pStyle w:val="RepStandard"/>
              <w:spacing w:after="120"/>
              <w:rPr>
                <w:lang w:val="en-US"/>
              </w:rPr>
            </w:pPr>
            <w:r>
              <w:rPr>
                <w:lang w:val="en-US"/>
              </w:rPr>
              <w:t>Roehlig, U., 2019</w:t>
            </w:r>
          </w:p>
          <w:p w14:paraId="79B8EE96" w14:textId="77777777" w:rsidR="00E51CDD" w:rsidRDefault="00E51CDD" w:rsidP="009938D9">
            <w:pPr>
              <w:pStyle w:val="RepStandard"/>
              <w:spacing w:after="120"/>
              <w:rPr>
                <w:lang w:val="en-US"/>
              </w:rPr>
            </w:pPr>
            <w:r>
              <w:rPr>
                <w:lang w:val="en-US"/>
              </w:rPr>
              <w:t>report No 849672, 1948NAE0010</w:t>
            </w:r>
          </w:p>
          <w:p w14:paraId="46A5F6B0" w14:textId="77777777" w:rsidR="00E51CDD" w:rsidRDefault="00E51CDD" w:rsidP="009938D9">
            <w:pPr>
              <w:pStyle w:val="RepStandard"/>
              <w:spacing w:after="120"/>
            </w:pPr>
            <w:r>
              <w:rPr>
                <w:lang w:val="en-US"/>
              </w:rPr>
              <w:t>2019/1061101</w:t>
            </w:r>
          </w:p>
          <w:p w14:paraId="67F5A410" w14:textId="77777777" w:rsidR="00E51CDD" w:rsidRDefault="00E51CDD" w:rsidP="009938D9">
            <w:pPr>
              <w:pStyle w:val="RepStandard"/>
            </w:pPr>
            <w:r>
              <w:t>Authority registration No</w:t>
            </w:r>
          </w:p>
        </w:tc>
      </w:tr>
      <w:tr w:rsidR="00E51CDD" w14:paraId="135041AE" w14:textId="77777777" w:rsidTr="009938D9">
        <w:trPr>
          <w:gridAfter w:val="1"/>
          <w:wAfter w:w="9" w:type="pct"/>
        </w:trPr>
        <w:tc>
          <w:tcPr>
            <w:tcW w:w="1340" w:type="pct"/>
            <w:hideMark/>
          </w:tcPr>
          <w:p w14:paraId="0C4B7931" w14:textId="77777777" w:rsidR="00E51CDD" w:rsidRDefault="00E51CDD" w:rsidP="009938D9">
            <w:pPr>
              <w:pStyle w:val="RepStandard"/>
            </w:pPr>
            <w:r>
              <w:t>Guideline(s):</w:t>
            </w:r>
          </w:p>
        </w:tc>
        <w:tc>
          <w:tcPr>
            <w:tcW w:w="3651" w:type="pct"/>
            <w:hideMark/>
          </w:tcPr>
          <w:p w14:paraId="46750BBE" w14:textId="77777777" w:rsidR="00E51CDD" w:rsidRDefault="00E51CDD" w:rsidP="009938D9">
            <w:pPr>
              <w:pStyle w:val="RepStandard"/>
              <w:spacing w:after="120"/>
            </w:pPr>
            <w:r>
              <w:rPr>
                <w:lang w:val="en-US"/>
              </w:rPr>
              <w:t>IOBC (Mead-Briggs et al. 2009)</w:t>
            </w:r>
            <w:r>
              <w:t xml:space="preserve"> </w:t>
            </w:r>
          </w:p>
        </w:tc>
      </w:tr>
      <w:tr w:rsidR="00E51CDD" w14:paraId="0376D11F" w14:textId="77777777" w:rsidTr="009938D9">
        <w:trPr>
          <w:gridAfter w:val="1"/>
          <w:wAfter w:w="9" w:type="pct"/>
        </w:trPr>
        <w:tc>
          <w:tcPr>
            <w:tcW w:w="1340" w:type="pct"/>
            <w:hideMark/>
          </w:tcPr>
          <w:p w14:paraId="08F478E5" w14:textId="77777777" w:rsidR="00E51CDD" w:rsidRDefault="00E51CDD" w:rsidP="009938D9">
            <w:pPr>
              <w:pStyle w:val="RepStandard"/>
            </w:pPr>
            <w:r>
              <w:t>Deviations:</w:t>
            </w:r>
          </w:p>
        </w:tc>
        <w:tc>
          <w:tcPr>
            <w:tcW w:w="3651" w:type="pct"/>
            <w:hideMark/>
          </w:tcPr>
          <w:p w14:paraId="25CEA403" w14:textId="77777777" w:rsidR="00E51CDD" w:rsidRDefault="00E51CDD" w:rsidP="009938D9">
            <w:pPr>
              <w:pStyle w:val="RepStandard"/>
              <w:spacing w:after="120"/>
            </w:pPr>
            <w:r>
              <w:t>No</w:t>
            </w:r>
          </w:p>
        </w:tc>
      </w:tr>
      <w:tr w:rsidR="00E51CDD" w:rsidRPr="00662F32" w14:paraId="37103E88" w14:textId="77777777" w:rsidTr="009938D9">
        <w:tc>
          <w:tcPr>
            <w:tcW w:w="1340" w:type="pct"/>
            <w:hideMark/>
          </w:tcPr>
          <w:p w14:paraId="0041576D" w14:textId="77777777" w:rsidR="00E51CDD" w:rsidRDefault="00E51CDD" w:rsidP="009938D9">
            <w:pPr>
              <w:pStyle w:val="RepStandard"/>
            </w:pPr>
            <w:r>
              <w:t>GLP:</w:t>
            </w:r>
          </w:p>
        </w:tc>
        <w:tc>
          <w:tcPr>
            <w:tcW w:w="3660" w:type="pct"/>
            <w:gridSpan w:val="2"/>
            <w:hideMark/>
          </w:tcPr>
          <w:p w14:paraId="65C396CF" w14:textId="77777777" w:rsidR="00E51CDD" w:rsidRPr="001C4EA6" w:rsidRDefault="00E51CDD" w:rsidP="009938D9">
            <w:pPr>
              <w:tabs>
                <w:tab w:val="left" w:pos="425"/>
                <w:tab w:val="left" w:pos="850"/>
              </w:tabs>
              <w:spacing w:after="120"/>
              <w:ind w:left="1985" w:hanging="1985"/>
              <w:rPr>
                <w:b/>
                <w:lang w:val="de-DE"/>
              </w:rPr>
            </w:pPr>
            <w:r w:rsidRPr="001C4EA6">
              <w:rPr>
                <w:lang w:val="de-DE"/>
              </w:rPr>
              <w:t>yes</w:t>
            </w:r>
          </w:p>
          <w:p w14:paraId="1B7D7578" w14:textId="77777777" w:rsidR="00E51CDD" w:rsidRPr="001C4EA6" w:rsidRDefault="00E51CDD" w:rsidP="009938D9">
            <w:pPr>
              <w:pStyle w:val="RepStandard"/>
              <w:spacing w:after="120"/>
              <w:jc w:val="left"/>
              <w:rPr>
                <w:lang w:val="de-DE"/>
              </w:rPr>
            </w:pPr>
            <w:r w:rsidRPr="001C4EA6">
              <w:rPr>
                <w:lang w:val="de-DE"/>
              </w:rPr>
              <w:t>(certified by Saechsisches Staatsministerium fuer Umwelt und Landwirtschaft, Dresden, Germany),</w:t>
            </w:r>
          </w:p>
        </w:tc>
      </w:tr>
      <w:tr w:rsidR="00E51CDD" w14:paraId="026AB317" w14:textId="77777777" w:rsidTr="009938D9">
        <w:trPr>
          <w:gridAfter w:val="1"/>
          <w:wAfter w:w="9" w:type="pct"/>
        </w:trPr>
        <w:tc>
          <w:tcPr>
            <w:tcW w:w="1340" w:type="pct"/>
            <w:hideMark/>
          </w:tcPr>
          <w:p w14:paraId="053BBB41" w14:textId="77777777" w:rsidR="00E51CDD" w:rsidRDefault="00E51CDD" w:rsidP="009938D9">
            <w:pPr>
              <w:pStyle w:val="RepStandard"/>
              <w:rPr>
                <w:lang w:val="de-DE"/>
              </w:rPr>
            </w:pPr>
            <w:r>
              <w:t>Acceptability:</w:t>
            </w:r>
          </w:p>
        </w:tc>
        <w:tc>
          <w:tcPr>
            <w:tcW w:w="3651" w:type="pct"/>
            <w:hideMark/>
          </w:tcPr>
          <w:p w14:paraId="5F8B69E7" w14:textId="77777777" w:rsidR="00E51CDD" w:rsidRDefault="00E51CDD" w:rsidP="009938D9">
            <w:pPr>
              <w:pStyle w:val="RepStandard"/>
            </w:pPr>
            <w:r>
              <w:t xml:space="preserve">Yes </w:t>
            </w:r>
          </w:p>
        </w:tc>
      </w:tr>
      <w:tr w:rsidR="00E51CDD" w14:paraId="4F754ED1" w14:textId="77777777" w:rsidTr="009938D9">
        <w:trPr>
          <w:gridAfter w:val="1"/>
          <w:wAfter w:w="9" w:type="pct"/>
        </w:trPr>
        <w:tc>
          <w:tcPr>
            <w:tcW w:w="1340" w:type="pct"/>
            <w:hideMark/>
          </w:tcPr>
          <w:p w14:paraId="5265299C" w14:textId="77777777" w:rsidR="00E51CDD" w:rsidRDefault="00E51CDD" w:rsidP="009938D9">
            <w:pPr>
              <w:pStyle w:val="RepStandard"/>
            </w:pPr>
            <w:r>
              <w:t xml:space="preserve">Duplication </w:t>
            </w:r>
            <w:r>
              <w:br/>
              <w:t>(if vertebrate study)</w:t>
            </w:r>
          </w:p>
        </w:tc>
        <w:tc>
          <w:tcPr>
            <w:tcW w:w="3651" w:type="pct"/>
            <w:hideMark/>
          </w:tcPr>
          <w:p w14:paraId="0DFA1E9E" w14:textId="77777777" w:rsidR="00E51CDD" w:rsidRDefault="00E51CDD" w:rsidP="009938D9">
            <w:pPr>
              <w:pStyle w:val="RepStandard"/>
              <w:spacing w:after="120"/>
              <w:rPr>
                <w:highlight w:val="yellow"/>
              </w:rPr>
            </w:pPr>
            <w:r>
              <w:t>No</w:t>
            </w:r>
          </w:p>
        </w:tc>
      </w:tr>
    </w:tbl>
    <w:p w14:paraId="625D8356" w14:textId="77777777" w:rsidR="00E51CDD" w:rsidRPr="002360D5" w:rsidRDefault="00E51CDD" w:rsidP="00E51CDD">
      <w:pPr>
        <w:widowControl w:val="0"/>
        <w:jc w:val="both"/>
      </w:pPr>
    </w:p>
    <w:p w14:paraId="38846B29" w14:textId="77777777" w:rsidR="00E51CDD" w:rsidRPr="002360D5" w:rsidRDefault="00E51CDD" w:rsidP="00E51CDD">
      <w:pPr>
        <w:tabs>
          <w:tab w:val="left" w:pos="425"/>
          <w:tab w:val="left" w:pos="850"/>
        </w:tabs>
        <w:ind w:left="2837" w:hanging="2837"/>
        <w:jc w:val="both"/>
        <w:rPr>
          <w:b/>
          <w:bCs/>
        </w:rPr>
      </w:pPr>
      <w:r w:rsidRPr="002360D5">
        <w:rPr>
          <w:b/>
          <w:bCs/>
        </w:rPr>
        <w:t>Executive Summary</w:t>
      </w:r>
    </w:p>
    <w:p w14:paraId="4B0FD378" w14:textId="77777777" w:rsidR="00E51CDD" w:rsidRPr="002360D5" w:rsidRDefault="00E51CDD" w:rsidP="00E51CDD">
      <w:pPr>
        <w:tabs>
          <w:tab w:val="left" w:pos="425"/>
          <w:tab w:val="left" w:pos="850"/>
        </w:tabs>
        <w:ind w:left="2835" w:hanging="2835"/>
        <w:jc w:val="both"/>
        <w:rPr>
          <w:b/>
        </w:rPr>
      </w:pPr>
    </w:p>
    <w:p w14:paraId="393078B0" w14:textId="77777777" w:rsidR="00E51CDD" w:rsidRPr="002360D5" w:rsidRDefault="00E51CDD" w:rsidP="00E51CDD">
      <w:pPr>
        <w:widowControl w:val="0"/>
        <w:jc w:val="both"/>
      </w:pPr>
      <w:r w:rsidRPr="002360D5">
        <w:t xml:space="preserve">In an extended laboratory study, adults of the parasitic wasp </w:t>
      </w:r>
      <w:r w:rsidRPr="002360D5">
        <w:rPr>
          <w:i/>
          <w:iCs/>
        </w:rPr>
        <w:t>Aphidius rhopalosiphi</w:t>
      </w:r>
      <w:r w:rsidRPr="002360D5">
        <w:t xml:space="preserve"> were exposed to fresh, dried residues of BAS 736 00 F on potted barley plants. The test item was applied at application rates of 0.25, 0.5, 1.0, 2.0 and 4.0 L BAS 736 00 F/ha. Additional test units were treated with deionized water as control and with Dimethoate EC 400 (dimethoate) as reference item. Assessment of mortality of wasps was conducted 2, 24 and 48 h after test initiation by the number of surviving, affected, moribund and dead wasps. </w:t>
      </w:r>
      <w:r w:rsidRPr="002360D5">
        <w:rPr>
          <w:rFonts w:cs="Arial"/>
        </w:rPr>
        <w:t>For the reproduction assessment 15 females from each treatment were transferred individually to pots with untreated, aphid-infested wheat plants for 24 h and then removed. The number of parasitized aphid mummies was recorded 11 days later.</w:t>
      </w:r>
    </w:p>
    <w:p w14:paraId="1392C677" w14:textId="77777777" w:rsidR="00E51CDD" w:rsidRPr="002360D5" w:rsidRDefault="00E51CDD" w:rsidP="00E51CDD">
      <w:pPr>
        <w:widowControl w:val="0"/>
        <w:jc w:val="both"/>
      </w:pPr>
    </w:p>
    <w:p w14:paraId="00D4847F" w14:textId="77777777" w:rsidR="00E51CDD" w:rsidRPr="002360D5" w:rsidRDefault="00E51CDD" w:rsidP="00E51CDD">
      <w:pPr>
        <w:autoSpaceDE w:val="0"/>
        <w:autoSpaceDN w:val="0"/>
        <w:adjustRightInd w:val="0"/>
        <w:jc w:val="both"/>
      </w:pPr>
      <w:r w:rsidRPr="002360D5">
        <w:t xml:space="preserve">After 48 hours, in the water-treated control a mortality of 6.7% was observed. In the test item treatments mortality ranged between 3.3% and 10.0%. This resulted in corrected mortality rates between -3.6% and 3.6%. No statistically significant effects on mortality were determined in all test item treatments. The mean number of mummies per female in the test item treatments was between 20.1 and 23.3 in comparison to the control with 21.6 mummies per female. No statistically significant effects on reproductive capacity were determined in all test item treatments. </w:t>
      </w:r>
    </w:p>
    <w:p w14:paraId="73EBB7A0" w14:textId="77777777" w:rsidR="00E51CDD" w:rsidRPr="002360D5" w:rsidRDefault="00E51CDD" w:rsidP="00E51CDD">
      <w:pPr>
        <w:widowControl w:val="0"/>
        <w:jc w:val="both"/>
      </w:pPr>
    </w:p>
    <w:p w14:paraId="34F07DDF" w14:textId="77777777" w:rsidR="00E51CDD" w:rsidRPr="002360D5" w:rsidRDefault="00E51CDD" w:rsidP="00E51CDD">
      <w:pPr>
        <w:widowControl w:val="0"/>
        <w:jc w:val="both"/>
        <w:rPr>
          <w:b/>
          <w:bCs/>
        </w:rPr>
      </w:pPr>
      <w:r w:rsidRPr="002360D5">
        <w:rPr>
          <w:b/>
          <w:bCs/>
        </w:rPr>
        <w:t>In an extended laboratory study with BAS 736 00 F, the LR</w:t>
      </w:r>
      <w:r w:rsidRPr="002360D5">
        <w:rPr>
          <w:b/>
          <w:bCs/>
          <w:vertAlign w:val="subscript"/>
        </w:rPr>
        <w:t xml:space="preserve">50 </w:t>
      </w:r>
      <w:r w:rsidRPr="002360D5">
        <w:rPr>
          <w:b/>
          <w:bCs/>
        </w:rPr>
        <w:t xml:space="preserve">for </w:t>
      </w:r>
      <w:r w:rsidRPr="002360D5">
        <w:rPr>
          <w:b/>
          <w:bCs/>
          <w:i/>
          <w:iCs/>
        </w:rPr>
        <w:t xml:space="preserve">Aphidius rhopalosiphi </w:t>
      </w:r>
      <w:r w:rsidRPr="002360D5">
        <w:rPr>
          <w:b/>
          <w:bCs/>
        </w:rPr>
        <w:t>was &gt; 4.0 L BAS 736 00 F/ha. The ER</w:t>
      </w:r>
      <w:r w:rsidRPr="002360D5">
        <w:rPr>
          <w:b/>
          <w:bCs/>
          <w:vertAlign w:val="subscript"/>
        </w:rPr>
        <w:t>50</w:t>
      </w:r>
      <w:r w:rsidRPr="002360D5">
        <w:rPr>
          <w:b/>
          <w:bCs/>
        </w:rPr>
        <w:t xml:space="preserve"> </w:t>
      </w:r>
      <w:r w:rsidRPr="002360D5">
        <w:rPr>
          <w:b/>
        </w:rPr>
        <w:t xml:space="preserve">for reproduction </w:t>
      </w:r>
      <w:r w:rsidRPr="002360D5">
        <w:rPr>
          <w:b/>
          <w:bCs/>
        </w:rPr>
        <w:t>was estimated to be &gt; 4.0 L BAS 736 00 F/ha.</w:t>
      </w:r>
    </w:p>
    <w:p w14:paraId="0919A610" w14:textId="77777777" w:rsidR="00E51CDD" w:rsidRPr="002360D5" w:rsidRDefault="00E51CDD" w:rsidP="00E51CDD">
      <w:pPr>
        <w:jc w:val="both"/>
        <w:rPr>
          <w:bCs/>
        </w:rPr>
      </w:pPr>
      <w:r>
        <w:rPr>
          <w:bCs/>
          <w:color w:val="0070C0"/>
        </w:rPr>
        <w:br w:type="page"/>
      </w:r>
    </w:p>
    <w:p w14:paraId="38046351" w14:textId="77777777" w:rsidR="00E51CDD" w:rsidRPr="002360D5" w:rsidRDefault="00E51CDD" w:rsidP="00E51CDD">
      <w:pPr>
        <w:tabs>
          <w:tab w:val="left" w:pos="425"/>
          <w:tab w:val="left" w:pos="850"/>
        </w:tabs>
        <w:ind w:left="2835" w:hanging="2835"/>
        <w:jc w:val="both"/>
        <w:rPr>
          <w:b/>
        </w:rPr>
      </w:pPr>
      <w:r w:rsidRPr="002360D5">
        <w:rPr>
          <w:b/>
        </w:rPr>
        <w:lastRenderedPageBreak/>
        <w:t>I.</w:t>
      </w:r>
      <w:r w:rsidRPr="002360D5">
        <w:rPr>
          <w:b/>
        </w:rPr>
        <w:tab/>
        <w:t>MATERIAL AND METHODS</w:t>
      </w:r>
    </w:p>
    <w:p w14:paraId="1B62FA69" w14:textId="77777777" w:rsidR="00E51CDD" w:rsidRPr="002360D5" w:rsidRDefault="00E51CDD" w:rsidP="00E51CDD">
      <w:pPr>
        <w:tabs>
          <w:tab w:val="left" w:pos="425"/>
          <w:tab w:val="left" w:pos="850"/>
        </w:tabs>
        <w:ind w:left="2835" w:hanging="2835"/>
        <w:jc w:val="both"/>
      </w:pPr>
    </w:p>
    <w:p w14:paraId="3F2D5BC5" w14:textId="77777777" w:rsidR="00E51CDD" w:rsidRPr="002360D5" w:rsidRDefault="00E51CDD" w:rsidP="00E51CDD">
      <w:pPr>
        <w:tabs>
          <w:tab w:val="left" w:pos="425"/>
          <w:tab w:val="left" w:pos="850"/>
        </w:tabs>
        <w:ind w:left="2835" w:hanging="2835"/>
        <w:jc w:val="both"/>
        <w:rPr>
          <w:b/>
          <w:bCs/>
        </w:rPr>
      </w:pPr>
      <w:r w:rsidRPr="002360D5">
        <w:rPr>
          <w:b/>
          <w:bCs/>
        </w:rPr>
        <w:t>A.</w:t>
      </w:r>
      <w:r w:rsidRPr="002360D5">
        <w:rPr>
          <w:b/>
          <w:bCs/>
        </w:rPr>
        <w:tab/>
        <w:t>MATERIALS</w:t>
      </w:r>
    </w:p>
    <w:p w14:paraId="4A26754C" w14:textId="77777777" w:rsidR="00E51CDD" w:rsidRPr="002360D5" w:rsidRDefault="00E51CDD" w:rsidP="00E51CDD">
      <w:pPr>
        <w:tabs>
          <w:tab w:val="left" w:pos="425"/>
          <w:tab w:val="left" w:pos="850"/>
        </w:tabs>
        <w:ind w:left="2835" w:hanging="2835"/>
        <w:jc w:val="both"/>
      </w:pPr>
    </w:p>
    <w:p w14:paraId="406ED18E" w14:textId="77777777" w:rsidR="00E51CDD" w:rsidRPr="002360D5" w:rsidRDefault="00E51CDD" w:rsidP="00E51CDD">
      <w:pPr>
        <w:widowControl w:val="0"/>
        <w:ind w:left="2310" w:hanging="2310"/>
        <w:jc w:val="both"/>
        <w:rPr>
          <w:color w:val="0070C0"/>
        </w:rPr>
      </w:pPr>
      <w:r w:rsidRPr="002360D5">
        <w:t>Test item:</w:t>
      </w:r>
      <w:r w:rsidRPr="002360D5">
        <w:tab/>
      </w:r>
      <w:r w:rsidRPr="002360D5">
        <w:rPr>
          <w:szCs w:val="24"/>
        </w:rPr>
        <w:t>BAS 736 00 F; batch no. FD-190220-0002; content of a.s.: azoxystrobin (BAS 9164 F, Reg. No. 300 254): 73.9 g/L analyzed (75.0</w:t>
      </w:r>
      <w:r w:rsidRPr="002360D5">
        <w:t> g</w:t>
      </w:r>
      <w:r w:rsidRPr="002360D5">
        <w:rPr>
          <w:szCs w:val="24"/>
        </w:rPr>
        <w:t>/L nominal), fluxapyroxad (BAS 700 F, Reg. No. 5 094 351): 49.4 g/L analyzed (50.0 g/L nominal); density: 1.078 g/cm³.</w:t>
      </w:r>
    </w:p>
    <w:p w14:paraId="766A1278" w14:textId="77777777" w:rsidR="00E51CDD" w:rsidRPr="002360D5" w:rsidRDefault="00E51CDD" w:rsidP="00E51CDD">
      <w:pPr>
        <w:ind w:left="2268" w:hanging="2268"/>
        <w:jc w:val="both"/>
      </w:pPr>
    </w:p>
    <w:p w14:paraId="5E537649" w14:textId="77777777" w:rsidR="00E51CDD" w:rsidRPr="002360D5" w:rsidRDefault="00E51CDD" w:rsidP="00E51CDD">
      <w:pPr>
        <w:tabs>
          <w:tab w:val="left" w:pos="425"/>
          <w:tab w:val="left" w:pos="850"/>
        </w:tabs>
        <w:ind w:left="2835" w:hanging="2835"/>
        <w:jc w:val="both"/>
        <w:rPr>
          <w:b/>
          <w:bCs/>
        </w:rPr>
      </w:pPr>
      <w:r w:rsidRPr="002360D5">
        <w:rPr>
          <w:b/>
          <w:bCs/>
        </w:rPr>
        <w:t>B.</w:t>
      </w:r>
      <w:r w:rsidRPr="002360D5">
        <w:rPr>
          <w:b/>
          <w:bCs/>
        </w:rPr>
        <w:tab/>
        <w:t>STUDY DESIGN</w:t>
      </w:r>
    </w:p>
    <w:p w14:paraId="42EDAF8D" w14:textId="77777777" w:rsidR="00E51CDD" w:rsidRPr="002360D5" w:rsidRDefault="00E51CDD" w:rsidP="00E51CDD">
      <w:pPr>
        <w:ind w:left="2268" w:hanging="2268"/>
        <w:jc w:val="both"/>
      </w:pPr>
    </w:p>
    <w:p w14:paraId="337496AE" w14:textId="77777777" w:rsidR="00E51CDD" w:rsidRPr="002360D5" w:rsidRDefault="00E51CDD" w:rsidP="00E51CDD">
      <w:pPr>
        <w:widowControl w:val="0"/>
        <w:ind w:left="2268" w:hanging="2268"/>
        <w:jc w:val="both"/>
        <w:rPr>
          <w:szCs w:val="24"/>
        </w:rPr>
      </w:pPr>
      <w:r w:rsidRPr="002360D5">
        <w:t>Test species:</w:t>
      </w:r>
      <w:r w:rsidRPr="002360D5">
        <w:tab/>
      </w:r>
      <w:bookmarkStart w:id="1234" w:name="_Hlk73709160"/>
      <w:r w:rsidRPr="002360D5">
        <w:rPr>
          <w:szCs w:val="24"/>
        </w:rPr>
        <w:t>Parasitic wasp (</w:t>
      </w:r>
      <w:r w:rsidRPr="002360D5">
        <w:rPr>
          <w:i/>
          <w:iCs/>
          <w:szCs w:val="24"/>
        </w:rPr>
        <w:t>Aphidius rhopalosiphi</w:t>
      </w:r>
      <w:r w:rsidRPr="002360D5">
        <w:rPr>
          <w:szCs w:val="24"/>
        </w:rPr>
        <w:t xml:space="preserve"> DeStephani-Perez), adults (&lt; 48 hours old); source (in the stage of mummies): </w:t>
      </w:r>
      <w:r w:rsidRPr="002360D5">
        <w:t>Katz Biotech AG, 15837 Baruth, Germany.</w:t>
      </w:r>
    </w:p>
    <w:bookmarkEnd w:id="1234"/>
    <w:p w14:paraId="1AC55E9D" w14:textId="77777777" w:rsidR="00E51CDD" w:rsidRPr="002360D5" w:rsidRDefault="00E51CDD" w:rsidP="00E51CDD">
      <w:pPr>
        <w:ind w:left="2268" w:hanging="2268"/>
        <w:jc w:val="both"/>
      </w:pPr>
    </w:p>
    <w:p w14:paraId="20CB78DD" w14:textId="77777777" w:rsidR="00E51CDD" w:rsidRPr="002360D5" w:rsidRDefault="00E51CDD" w:rsidP="00E51CDD">
      <w:pPr>
        <w:autoSpaceDE w:val="0"/>
        <w:autoSpaceDN w:val="0"/>
        <w:adjustRightInd w:val="0"/>
        <w:ind w:left="2268" w:hanging="2268"/>
        <w:jc w:val="both"/>
        <w:rPr>
          <w:lang w:eastAsia="en-US"/>
        </w:rPr>
      </w:pPr>
      <w:r w:rsidRPr="002360D5">
        <w:rPr>
          <w:rFonts w:eastAsia="Calibri"/>
          <w:lang w:eastAsia="en-US"/>
        </w:rPr>
        <w:t>Test design:</w:t>
      </w:r>
      <w:r w:rsidRPr="002360D5">
        <w:rPr>
          <w:rFonts w:eastAsia="Calibri"/>
          <w:lang w:eastAsia="en-US"/>
        </w:rPr>
        <w:tab/>
      </w:r>
      <w:r w:rsidRPr="002360D5">
        <w:rPr>
          <w:lang w:eastAsia="en-US"/>
        </w:rPr>
        <w:t>Exposure of the adults was achieved via air-dried spray residues on treated, potted barley plants. 7 treatment groups (5 test item rates, water treated control, reference item) with 6 replicates (consisting of 5 females) per treatment. Mortality assessments were carried out 2, 24 and 48 hours after start of exposure of the wasps. At 48 hours, surviving wasps (15 females per treatment) were removed and their reproductive capacity was assessed by confining them individually over untreated wheat plants infested with adult and nymphal aphids (</w:t>
      </w:r>
      <w:r w:rsidRPr="002360D5">
        <w:rPr>
          <w:i/>
          <w:iCs/>
          <w:lang w:eastAsia="en-US"/>
        </w:rPr>
        <w:t>Rhopalosiphum padi</w:t>
      </w:r>
      <w:r w:rsidRPr="002360D5">
        <w:rPr>
          <w:lang w:eastAsia="en-US"/>
        </w:rPr>
        <w:t>). Assessment of reproduction capacity, i.e. number of mummies per female, was made for the control and all treated groups (1 assessment, 14 days after application).</w:t>
      </w:r>
    </w:p>
    <w:p w14:paraId="38E8893B" w14:textId="77777777" w:rsidR="00E51CDD" w:rsidRPr="002360D5" w:rsidRDefault="00E51CDD" w:rsidP="00E51CDD">
      <w:pPr>
        <w:ind w:left="2268" w:firstLine="33"/>
        <w:jc w:val="both"/>
      </w:pPr>
    </w:p>
    <w:p w14:paraId="4BE57932" w14:textId="77777777" w:rsidR="00E51CDD" w:rsidRPr="002360D5" w:rsidRDefault="00E51CDD" w:rsidP="00E51CDD">
      <w:pPr>
        <w:ind w:left="2268" w:hanging="2268"/>
        <w:jc w:val="both"/>
      </w:pPr>
      <w:r w:rsidRPr="002360D5">
        <w:t>Endpoints:</w:t>
      </w:r>
      <w:r w:rsidRPr="002360D5">
        <w:tab/>
        <w:t>Mortality: number of dead wasps, including the determination of the LR</w:t>
      </w:r>
      <w:r w:rsidRPr="002360D5">
        <w:rPr>
          <w:vertAlign w:val="subscript"/>
        </w:rPr>
        <w:t>50</w:t>
      </w:r>
      <w:r w:rsidRPr="002360D5">
        <w:t>. Reproductive capacity: number of mummies per female, including the determination of the ER</w:t>
      </w:r>
      <w:r w:rsidRPr="002360D5">
        <w:rPr>
          <w:vertAlign w:val="subscript"/>
        </w:rPr>
        <w:t>50</w:t>
      </w:r>
      <w:r w:rsidRPr="002360D5">
        <w:t>.</w:t>
      </w:r>
    </w:p>
    <w:p w14:paraId="3D67480F" w14:textId="77777777" w:rsidR="00E51CDD" w:rsidRPr="002360D5" w:rsidRDefault="00E51CDD" w:rsidP="00E51CDD">
      <w:pPr>
        <w:ind w:left="2268" w:hanging="2268"/>
        <w:jc w:val="both"/>
      </w:pPr>
    </w:p>
    <w:p w14:paraId="3E443992" w14:textId="77777777" w:rsidR="00E51CDD" w:rsidRPr="002360D5" w:rsidRDefault="00E51CDD" w:rsidP="00E51CDD">
      <w:pPr>
        <w:ind w:left="2268" w:hanging="2268"/>
        <w:jc w:val="both"/>
      </w:pPr>
      <w:r w:rsidRPr="002360D5">
        <w:t>Reference item:</w:t>
      </w:r>
      <w:r w:rsidRPr="002360D5">
        <w:tab/>
      </w:r>
      <w:r w:rsidRPr="002360D5">
        <w:rPr>
          <w:szCs w:val="24"/>
        </w:rPr>
        <w:t>Dimethoate EC 400 (a.s.: dimethoate, analyzed content: 429.0 g/L, nominal: 400 g/L).</w:t>
      </w:r>
    </w:p>
    <w:p w14:paraId="5A6172E0" w14:textId="77777777" w:rsidR="00E51CDD" w:rsidRPr="002360D5" w:rsidRDefault="00E51CDD" w:rsidP="00E51CDD">
      <w:pPr>
        <w:ind w:left="2268" w:hanging="2268"/>
        <w:jc w:val="both"/>
      </w:pPr>
    </w:p>
    <w:p w14:paraId="6780D73C" w14:textId="77777777" w:rsidR="00E51CDD" w:rsidRPr="002360D5" w:rsidRDefault="00E51CDD" w:rsidP="00E51CDD">
      <w:pPr>
        <w:widowControl w:val="0"/>
        <w:ind w:left="2268" w:hanging="2268"/>
        <w:jc w:val="both"/>
        <w:rPr>
          <w:color w:val="000000"/>
          <w:szCs w:val="24"/>
        </w:rPr>
      </w:pPr>
      <w:r w:rsidRPr="002360D5">
        <w:t>Test rates:</w:t>
      </w:r>
      <w:r w:rsidRPr="002360D5">
        <w:tab/>
        <w:t xml:space="preserve">Control: deionized water, test item: 0.25, 0.5, 1.0, 2.0 and 4.0 L BAS 736 00 F/ha, reference item: 10 mL/ha. </w:t>
      </w:r>
    </w:p>
    <w:tbl>
      <w:tblPr>
        <w:tblStyle w:val="DAR0076"/>
        <w:tblW w:w="3784" w:type="pct"/>
        <w:tblInd w:w="2263" w:type="dxa"/>
        <w:tblLook w:val="04A0" w:firstRow="1" w:lastRow="0" w:firstColumn="1" w:lastColumn="0" w:noHBand="0" w:noVBand="1"/>
      </w:tblPr>
      <w:tblGrid>
        <w:gridCol w:w="2933"/>
        <w:gridCol w:w="2071"/>
        <w:gridCol w:w="2068"/>
      </w:tblGrid>
      <w:tr w:rsidR="00E51CDD" w:rsidRPr="002360D5" w14:paraId="71C1310B" w14:textId="77777777" w:rsidTr="009938D9">
        <w:trPr>
          <w:trHeight w:val="247"/>
        </w:trPr>
        <w:tc>
          <w:tcPr>
            <w:tcW w:w="2074" w:type="pct"/>
            <w:vAlign w:val="center"/>
          </w:tcPr>
          <w:p w14:paraId="54CE0D29" w14:textId="77777777" w:rsidR="00E51CDD" w:rsidRPr="002360D5" w:rsidRDefault="00E51CDD" w:rsidP="009938D9">
            <w:pPr>
              <w:widowControl w:val="0"/>
              <w:rPr>
                <w:color w:val="000000"/>
                <w:sz w:val="20"/>
                <w:szCs w:val="24"/>
              </w:rPr>
            </w:pPr>
            <w:r w:rsidRPr="002360D5">
              <w:rPr>
                <w:color w:val="000000"/>
                <w:sz w:val="20"/>
                <w:szCs w:val="24"/>
              </w:rPr>
              <w:t>BAS 736 00 F</w:t>
            </w:r>
          </w:p>
          <w:p w14:paraId="7FDBBB1A" w14:textId="77777777" w:rsidR="00E51CDD" w:rsidRPr="002360D5" w:rsidRDefault="00E51CDD" w:rsidP="009938D9">
            <w:pPr>
              <w:widowControl w:val="0"/>
              <w:rPr>
                <w:color w:val="000000"/>
                <w:sz w:val="20"/>
                <w:szCs w:val="24"/>
              </w:rPr>
            </w:pPr>
            <w:r w:rsidRPr="002360D5">
              <w:rPr>
                <w:color w:val="000000"/>
                <w:sz w:val="20"/>
                <w:szCs w:val="24"/>
              </w:rPr>
              <w:t>[L product/ha]</w:t>
            </w:r>
          </w:p>
        </w:tc>
        <w:tc>
          <w:tcPr>
            <w:tcW w:w="1464" w:type="pct"/>
            <w:vAlign w:val="center"/>
          </w:tcPr>
          <w:p w14:paraId="2BA5D327" w14:textId="77777777" w:rsidR="00E51CDD" w:rsidRPr="002360D5" w:rsidRDefault="00E51CDD" w:rsidP="009938D9">
            <w:pPr>
              <w:widowControl w:val="0"/>
              <w:rPr>
                <w:color w:val="000000"/>
                <w:sz w:val="20"/>
                <w:szCs w:val="24"/>
              </w:rPr>
            </w:pPr>
            <w:r w:rsidRPr="002360D5">
              <w:rPr>
                <w:color w:val="000000"/>
                <w:sz w:val="20"/>
                <w:szCs w:val="24"/>
              </w:rPr>
              <w:t>BAS 9164 F</w:t>
            </w:r>
          </w:p>
          <w:p w14:paraId="13A238A4" w14:textId="77777777" w:rsidR="00E51CDD" w:rsidRPr="002360D5" w:rsidRDefault="00E51CDD" w:rsidP="009938D9">
            <w:pPr>
              <w:widowControl w:val="0"/>
              <w:rPr>
                <w:color w:val="000000"/>
                <w:sz w:val="20"/>
                <w:szCs w:val="24"/>
                <w:vertAlign w:val="superscript"/>
              </w:rPr>
            </w:pPr>
            <w:r w:rsidRPr="002360D5">
              <w:rPr>
                <w:color w:val="000000"/>
                <w:sz w:val="20"/>
                <w:szCs w:val="24"/>
              </w:rPr>
              <w:t>[g a.s./ha]</w:t>
            </w:r>
            <w:r w:rsidRPr="002360D5">
              <w:rPr>
                <w:color w:val="000000"/>
                <w:sz w:val="20"/>
                <w:szCs w:val="24"/>
                <w:vertAlign w:val="superscript"/>
              </w:rPr>
              <w:t>*</w:t>
            </w:r>
          </w:p>
        </w:tc>
        <w:tc>
          <w:tcPr>
            <w:tcW w:w="1462" w:type="pct"/>
            <w:vAlign w:val="center"/>
          </w:tcPr>
          <w:p w14:paraId="5163AB44" w14:textId="77777777" w:rsidR="00E51CDD" w:rsidRPr="002360D5" w:rsidRDefault="00E51CDD" w:rsidP="009938D9">
            <w:pPr>
              <w:widowControl w:val="0"/>
              <w:rPr>
                <w:color w:val="000000"/>
                <w:sz w:val="20"/>
                <w:szCs w:val="24"/>
              </w:rPr>
            </w:pPr>
            <w:r w:rsidRPr="002360D5">
              <w:rPr>
                <w:color w:val="000000"/>
                <w:sz w:val="20"/>
                <w:szCs w:val="24"/>
              </w:rPr>
              <w:t>BAS 700 F</w:t>
            </w:r>
          </w:p>
          <w:p w14:paraId="77AE38AD" w14:textId="77777777" w:rsidR="00E51CDD" w:rsidRPr="002360D5" w:rsidRDefault="00E51CDD" w:rsidP="009938D9">
            <w:pPr>
              <w:widowControl w:val="0"/>
              <w:rPr>
                <w:color w:val="000000"/>
                <w:sz w:val="20"/>
                <w:szCs w:val="24"/>
                <w:vertAlign w:val="superscript"/>
              </w:rPr>
            </w:pPr>
            <w:r w:rsidRPr="002360D5">
              <w:rPr>
                <w:color w:val="000000"/>
                <w:sz w:val="20"/>
                <w:szCs w:val="24"/>
              </w:rPr>
              <w:t>[g a.s./ha]</w:t>
            </w:r>
            <w:r w:rsidRPr="002360D5">
              <w:rPr>
                <w:color w:val="000000"/>
                <w:sz w:val="20"/>
                <w:szCs w:val="24"/>
                <w:vertAlign w:val="superscript"/>
              </w:rPr>
              <w:t>*</w:t>
            </w:r>
          </w:p>
        </w:tc>
      </w:tr>
      <w:tr w:rsidR="00E51CDD" w:rsidRPr="002360D5" w14:paraId="268BB3AF" w14:textId="77777777" w:rsidTr="009938D9">
        <w:trPr>
          <w:trHeight w:val="247"/>
        </w:trPr>
        <w:tc>
          <w:tcPr>
            <w:tcW w:w="2074" w:type="pct"/>
            <w:vAlign w:val="center"/>
          </w:tcPr>
          <w:p w14:paraId="1B8357ED" w14:textId="77777777" w:rsidR="00E51CDD" w:rsidRPr="002360D5" w:rsidRDefault="00E51CDD" w:rsidP="009938D9">
            <w:pPr>
              <w:widowControl w:val="0"/>
              <w:rPr>
                <w:color w:val="000000"/>
                <w:sz w:val="20"/>
                <w:szCs w:val="24"/>
              </w:rPr>
            </w:pPr>
            <w:r w:rsidRPr="002360D5">
              <w:rPr>
                <w:color w:val="000000"/>
                <w:sz w:val="20"/>
                <w:szCs w:val="24"/>
              </w:rPr>
              <w:t>0.25</w:t>
            </w:r>
          </w:p>
        </w:tc>
        <w:tc>
          <w:tcPr>
            <w:tcW w:w="1464" w:type="pct"/>
            <w:vAlign w:val="center"/>
          </w:tcPr>
          <w:p w14:paraId="18D0EC5A" w14:textId="77777777" w:rsidR="00E51CDD" w:rsidRPr="002360D5" w:rsidRDefault="00E51CDD" w:rsidP="009938D9">
            <w:pPr>
              <w:widowControl w:val="0"/>
              <w:rPr>
                <w:color w:val="000000"/>
                <w:sz w:val="20"/>
                <w:szCs w:val="24"/>
              </w:rPr>
            </w:pPr>
            <w:r w:rsidRPr="002360D5">
              <w:rPr>
                <w:color w:val="000000"/>
                <w:sz w:val="20"/>
                <w:szCs w:val="24"/>
              </w:rPr>
              <w:t>18.75</w:t>
            </w:r>
          </w:p>
        </w:tc>
        <w:tc>
          <w:tcPr>
            <w:tcW w:w="1462" w:type="pct"/>
            <w:vAlign w:val="center"/>
          </w:tcPr>
          <w:p w14:paraId="2207F697" w14:textId="77777777" w:rsidR="00E51CDD" w:rsidRPr="002360D5" w:rsidRDefault="00E51CDD" w:rsidP="009938D9">
            <w:pPr>
              <w:widowControl w:val="0"/>
              <w:rPr>
                <w:color w:val="000000"/>
                <w:sz w:val="20"/>
                <w:szCs w:val="24"/>
              </w:rPr>
            </w:pPr>
            <w:r w:rsidRPr="002360D5">
              <w:rPr>
                <w:color w:val="000000"/>
                <w:sz w:val="20"/>
                <w:szCs w:val="24"/>
              </w:rPr>
              <w:t>12.5</w:t>
            </w:r>
          </w:p>
        </w:tc>
      </w:tr>
      <w:tr w:rsidR="00E51CDD" w:rsidRPr="002360D5" w14:paraId="31903DBC" w14:textId="77777777" w:rsidTr="009938D9">
        <w:trPr>
          <w:trHeight w:val="247"/>
        </w:trPr>
        <w:tc>
          <w:tcPr>
            <w:tcW w:w="2074" w:type="pct"/>
            <w:vAlign w:val="center"/>
          </w:tcPr>
          <w:p w14:paraId="5878F639" w14:textId="77777777" w:rsidR="00E51CDD" w:rsidRPr="002360D5" w:rsidRDefault="00E51CDD" w:rsidP="009938D9">
            <w:pPr>
              <w:widowControl w:val="0"/>
              <w:rPr>
                <w:color w:val="000000"/>
                <w:sz w:val="20"/>
                <w:szCs w:val="24"/>
              </w:rPr>
            </w:pPr>
            <w:r w:rsidRPr="002360D5">
              <w:rPr>
                <w:color w:val="000000"/>
                <w:sz w:val="20"/>
                <w:szCs w:val="24"/>
              </w:rPr>
              <w:t>0.5</w:t>
            </w:r>
          </w:p>
        </w:tc>
        <w:tc>
          <w:tcPr>
            <w:tcW w:w="1464" w:type="pct"/>
            <w:vAlign w:val="center"/>
          </w:tcPr>
          <w:p w14:paraId="338AC4A5" w14:textId="77777777" w:rsidR="00E51CDD" w:rsidRPr="002360D5" w:rsidRDefault="00E51CDD" w:rsidP="009938D9">
            <w:pPr>
              <w:widowControl w:val="0"/>
              <w:rPr>
                <w:color w:val="000000"/>
                <w:sz w:val="20"/>
                <w:szCs w:val="24"/>
              </w:rPr>
            </w:pPr>
            <w:r w:rsidRPr="002360D5">
              <w:rPr>
                <w:color w:val="000000"/>
                <w:sz w:val="20"/>
                <w:szCs w:val="24"/>
              </w:rPr>
              <w:t>37.5</w:t>
            </w:r>
          </w:p>
        </w:tc>
        <w:tc>
          <w:tcPr>
            <w:tcW w:w="1462" w:type="pct"/>
            <w:vAlign w:val="center"/>
          </w:tcPr>
          <w:p w14:paraId="6DA6C2E8" w14:textId="77777777" w:rsidR="00E51CDD" w:rsidRPr="002360D5" w:rsidRDefault="00E51CDD" w:rsidP="009938D9">
            <w:pPr>
              <w:widowControl w:val="0"/>
              <w:rPr>
                <w:color w:val="000000"/>
                <w:sz w:val="20"/>
                <w:szCs w:val="24"/>
              </w:rPr>
            </w:pPr>
            <w:r w:rsidRPr="002360D5">
              <w:rPr>
                <w:color w:val="000000"/>
                <w:sz w:val="20"/>
                <w:szCs w:val="24"/>
              </w:rPr>
              <w:t>25</w:t>
            </w:r>
          </w:p>
        </w:tc>
      </w:tr>
      <w:tr w:rsidR="00E51CDD" w:rsidRPr="002360D5" w14:paraId="0EBF1C86" w14:textId="77777777" w:rsidTr="009938D9">
        <w:trPr>
          <w:trHeight w:val="247"/>
        </w:trPr>
        <w:tc>
          <w:tcPr>
            <w:tcW w:w="2074" w:type="pct"/>
            <w:vAlign w:val="center"/>
          </w:tcPr>
          <w:p w14:paraId="059D2E17" w14:textId="77777777" w:rsidR="00E51CDD" w:rsidRPr="002360D5" w:rsidRDefault="00E51CDD" w:rsidP="009938D9">
            <w:pPr>
              <w:widowControl w:val="0"/>
              <w:rPr>
                <w:color w:val="000000"/>
                <w:sz w:val="20"/>
                <w:szCs w:val="24"/>
              </w:rPr>
            </w:pPr>
            <w:r w:rsidRPr="002360D5">
              <w:rPr>
                <w:color w:val="000000"/>
                <w:sz w:val="20"/>
                <w:szCs w:val="24"/>
              </w:rPr>
              <w:t>1.0</w:t>
            </w:r>
          </w:p>
        </w:tc>
        <w:tc>
          <w:tcPr>
            <w:tcW w:w="1464" w:type="pct"/>
            <w:vAlign w:val="center"/>
          </w:tcPr>
          <w:p w14:paraId="79FDE532" w14:textId="77777777" w:rsidR="00E51CDD" w:rsidRPr="002360D5" w:rsidRDefault="00E51CDD" w:rsidP="009938D9">
            <w:pPr>
              <w:widowControl w:val="0"/>
              <w:rPr>
                <w:color w:val="000000"/>
                <w:sz w:val="20"/>
                <w:szCs w:val="24"/>
              </w:rPr>
            </w:pPr>
            <w:r w:rsidRPr="002360D5">
              <w:rPr>
                <w:color w:val="000000"/>
                <w:sz w:val="20"/>
                <w:szCs w:val="24"/>
              </w:rPr>
              <w:t>75</w:t>
            </w:r>
          </w:p>
        </w:tc>
        <w:tc>
          <w:tcPr>
            <w:tcW w:w="1462" w:type="pct"/>
            <w:vAlign w:val="center"/>
          </w:tcPr>
          <w:p w14:paraId="1C4E9BE3" w14:textId="77777777" w:rsidR="00E51CDD" w:rsidRPr="002360D5" w:rsidRDefault="00E51CDD" w:rsidP="009938D9">
            <w:pPr>
              <w:widowControl w:val="0"/>
              <w:rPr>
                <w:color w:val="000000"/>
                <w:sz w:val="20"/>
                <w:szCs w:val="24"/>
              </w:rPr>
            </w:pPr>
            <w:r w:rsidRPr="002360D5">
              <w:rPr>
                <w:color w:val="000000"/>
                <w:sz w:val="20"/>
                <w:szCs w:val="24"/>
              </w:rPr>
              <w:t>50</w:t>
            </w:r>
          </w:p>
        </w:tc>
      </w:tr>
      <w:tr w:rsidR="00E51CDD" w:rsidRPr="002360D5" w14:paraId="69A63AB8" w14:textId="77777777" w:rsidTr="009938D9">
        <w:trPr>
          <w:trHeight w:val="247"/>
        </w:trPr>
        <w:tc>
          <w:tcPr>
            <w:tcW w:w="2074" w:type="pct"/>
            <w:vAlign w:val="center"/>
          </w:tcPr>
          <w:p w14:paraId="54B5F7FA" w14:textId="77777777" w:rsidR="00E51CDD" w:rsidRPr="002360D5" w:rsidRDefault="00E51CDD" w:rsidP="009938D9">
            <w:pPr>
              <w:widowControl w:val="0"/>
              <w:rPr>
                <w:color w:val="000000"/>
                <w:sz w:val="20"/>
                <w:szCs w:val="24"/>
              </w:rPr>
            </w:pPr>
            <w:r w:rsidRPr="002360D5">
              <w:rPr>
                <w:color w:val="000000"/>
                <w:sz w:val="20"/>
                <w:szCs w:val="24"/>
              </w:rPr>
              <w:t>2.0</w:t>
            </w:r>
          </w:p>
        </w:tc>
        <w:tc>
          <w:tcPr>
            <w:tcW w:w="1464" w:type="pct"/>
            <w:vAlign w:val="center"/>
          </w:tcPr>
          <w:p w14:paraId="63F70D9B" w14:textId="77777777" w:rsidR="00E51CDD" w:rsidRPr="002360D5" w:rsidRDefault="00E51CDD" w:rsidP="009938D9">
            <w:pPr>
              <w:widowControl w:val="0"/>
              <w:rPr>
                <w:color w:val="000000"/>
                <w:sz w:val="20"/>
                <w:szCs w:val="24"/>
              </w:rPr>
            </w:pPr>
            <w:r w:rsidRPr="002360D5">
              <w:rPr>
                <w:color w:val="000000"/>
                <w:sz w:val="20"/>
                <w:szCs w:val="24"/>
              </w:rPr>
              <w:t>150</w:t>
            </w:r>
          </w:p>
        </w:tc>
        <w:tc>
          <w:tcPr>
            <w:tcW w:w="1462" w:type="pct"/>
            <w:vAlign w:val="center"/>
          </w:tcPr>
          <w:p w14:paraId="17D1E0B5" w14:textId="77777777" w:rsidR="00E51CDD" w:rsidRPr="002360D5" w:rsidRDefault="00E51CDD" w:rsidP="009938D9">
            <w:pPr>
              <w:widowControl w:val="0"/>
              <w:rPr>
                <w:color w:val="000000"/>
                <w:sz w:val="20"/>
                <w:szCs w:val="24"/>
              </w:rPr>
            </w:pPr>
            <w:r w:rsidRPr="002360D5">
              <w:rPr>
                <w:color w:val="000000"/>
                <w:sz w:val="20"/>
                <w:szCs w:val="24"/>
              </w:rPr>
              <w:t>100</w:t>
            </w:r>
          </w:p>
        </w:tc>
      </w:tr>
      <w:tr w:rsidR="00E51CDD" w:rsidRPr="002360D5" w14:paraId="6354FFC3" w14:textId="77777777" w:rsidTr="009938D9">
        <w:trPr>
          <w:trHeight w:val="247"/>
        </w:trPr>
        <w:tc>
          <w:tcPr>
            <w:tcW w:w="2074" w:type="pct"/>
            <w:vAlign w:val="center"/>
          </w:tcPr>
          <w:p w14:paraId="2927A32D" w14:textId="77777777" w:rsidR="00E51CDD" w:rsidRPr="002360D5" w:rsidRDefault="00E51CDD" w:rsidP="009938D9">
            <w:pPr>
              <w:widowControl w:val="0"/>
              <w:rPr>
                <w:color w:val="000000"/>
                <w:sz w:val="20"/>
                <w:szCs w:val="24"/>
                <w:lang w:val="de-DE"/>
              </w:rPr>
            </w:pPr>
            <w:r w:rsidRPr="002360D5">
              <w:rPr>
                <w:color w:val="000000"/>
                <w:sz w:val="20"/>
                <w:szCs w:val="24"/>
                <w:lang w:val="de-DE"/>
              </w:rPr>
              <w:t>4.0</w:t>
            </w:r>
          </w:p>
        </w:tc>
        <w:tc>
          <w:tcPr>
            <w:tcW w:w="1464" w:type="pct"/>
            <w:vAlign w:val="center"/>
          </w:tcPr>
          <w:p w14:paraId="70ABB243" w14:textId="77777777" w:rsidR="00E51CDD" w:rsidRPr="002360D5" w:rsidRDefault="00E51CDD" w:rsidP="009938D9">
            <w:pPr>
              <w:widowControl w:val="0"/>
              <w:rPr>
                <w:color w:val="000000"/>
                <w:sz w:val="20"/>
                <w:szCs w:val="24"/>
                <w:lang w:val="de-DE"/>
              </w:rPr>
            </w:pPr>
            <w:r w:rsidRPr="002360D5">
              <w:rPr>
                <w:color w:val="000000"/>
                <w:sz w:val="20"/>
                <w:szCs w:val="24"/>
                <w:lang w:val="de-DE"/>
              </w:rPr>
              <w:t>300</w:t>
            </w:r>
          </w:p>
        </w:tc>
        <w:tc>
          <w:tcPr>
            <w:tcW w:w="1462" w:type="pct"/>
            <w:vAlign w:val="center"/>
          </w:tcPr>
          <w:p w14:paraId="05E2A808" w14:textId="77777777" w:rsidR="00E51CDD" w:rsidRPr="002360D5" w:rsidRDefault="00E51CDD" w:rsidP="009938D9">
            <w:pPr>
              <w:widowControl w:val="0"/>
              <w:rPr>
                <w:color w:val="000000"/>
                <w:sz w:val="20"/>
                <w:szCs w:val="24"/>
                <w:lang w:val="de-DE"/>
              </w:rPr>
            </w:pPr>
            <w:r w:rsidRPr="002360D5">
              <w:rPr>
                <w:color w:val="000000"/>
                <w:sz w:val="20"/>
                <w:szCs w:val="24"/>
                <w:lang w:val="de-DE"/>
              </w:rPr>
              <w:t>200</w:t>
            </w:r>
          </w:p>
        </w:tc>
      </w:tr>
    </w:tbl>
    <w:p w14:paraId="4EE4D945" w14:textId="77777777" w:rsidR="00E51CDD" w:rsidRPr="002360D5" w:rsidRDefault="00E51CDD" w:rsidP="00E51CDD">
      <w:pPr>
        <w:widowControl w:val="0"/>
        <w:ind w:left="2520" w:hanging="180"/>
        <w:jc w:val="both"/>
        <w:rPr>
          <w:sz w:val="18"/>
          <w:szCs w:val="18"/>
          <w:lang w:eastAsia="en-US"/>
        </w:rPr>
      </w:pPr>
      <w:r w:rsidRPr="002360D5">
        <w:rPr>
          <w:sz w:val="18"/>
          <w:szCs w:val="18"/>
          <w:vertAlign w:val="superscript"/>
          <w:lang w:eastAsia="en-US"/>
        </w:rPr>
        <w:t>*</w:t>
      </w:r>
      <w:r w:rsidRPr="002360D5">
        <w:rPr>
          <w:sz w:val="18"/>
          <w:szCs w:val="18"/>
          <w:lang w:eastAsia="en-US"/>
        </w:rPr>
        <w:t xml:space="preserve"> based on nominal content of active substance and a test item density of 1.078 g/cm</w:t>
      </w:r>
      <w:r w:rsidRPr="002360D5">
        <w:rPr>
          <w:sz w:val="18"/>
          <w:szCs w:val="18"/>
          <w:vertAlign w:val="superscript"/>
          <w:lang w:eastAsia="en-US"/>
        </w:rPr>
        <w:t>3</w:t>
      </w:r>
      <w:r w:rsidRPr="002360D5">
        <w:rPr>
          <w:sz w:val="18"/>
          <w:szCs w:val="18"/>
          <w:lang w:eastAsia="en-US"/>
        </w:rPr>
        <w:t>.</w:t>
      </w:r>
    </w:p>
    <w:p w14:paraId="3C700874" w14:textId="77777777" w:rsidR="00E51CDD" w:rsidRPr="002360D5" w:rsidRDefault="00E51CDD" w:rsidP="00E51CDD">
      <w:pPr>
        <w:widowControl w:val="0"/>
        <w:ind w:left="2520" w:hanging="180"/>
        <w:jc w:val="both"/>
        <w:rPr>
          <w:lang w:eastAsia="en-US"/>
        </w:rPr>
      </w:pPr>
    </w:p>
    <w:p w14:paraId="3101228F" w14:textId="77777777" w:rsidR="00E51CDD" w:rsidRPr="002360D5" w:rsidRDefault="00E51CDD" w:rsidP="00E51CDD">
      <w:pPr>
        <w:ind w:left="2268"/>
        <w:jc w:val="both"/>
      </w:pPr>
      <w:r w:rsidRPr="002360D5">
        <w:t>All substances were applied in 400 L water/ha. The substances were sprayed on potted barley plants via laboratory spraying equipment and air dried afterwards.</w:t>
      </w:r>
    </w:p>
    <w:p w14:paraId="13978851" w14:textId="77777777" w:rsidR="00E51CDD" w:rsidRPr="002360D5" w:rsidRDefault="00E51CDD" w:rsidP="00E51CDD">
      <w:pPr>
        <w:ind w:left="2268" w:hanging="2268"/>
        <w:jc w:val="both"/>
      </w:pPr>
    </w:p>
    <w:p w14:paraId="37554007" w14:textId="77777777" w:rsidR="00E51CDD" w:rsidRPr="002360D5" w:rsidRDefault="00E51CDD" w:rsidP="00E51CDD">
      <w:pPr>
        <w:ind w:left="2268" w:hanging="2268"/>
        <w:jc w:val="both"/>
      </w:pPr>
      <w:r w:rsidRPr="002360D5">
        <w:t>Test conditions:</w:t>
      </w:r>
      <w:r w:rsidRPr="002360D5">
        <w:tab/>
        <w:t xml:space="preserve">Temperature: 19 °C - 22 °C; relative humidity 67% - 73%; photoperiod </w:t>
      </w:r>
      <w:bookmarkStart w:id="1235" w:name="_Hlk78894434"/>
      <w:r w:rsidRPr="002360D5">
        <w:t>16 h light : 8 h</w:t>
      </w:r>
      <w:bookmarkEnd w:id="1235"/>
      <w:r w:rsidRPr="002360D5">
        <w:t xml:space="preserve"> dark; light intensity: 1020 lux (mortality phase), 3010 lux (parasitization phase), 6940 lux (reproduction phase); food: 10% w/w aqueous fructose solution.</w:t>
      </w:r>
    </w:p>
    <w:p w14:paraId="5C8613A6" w14:textId="77777777" w:rsidR="00E51CDD" w:rsidRPr="002360D5" w:rsidRDefault="00E51CDD" w:rsidP="00E51CDD">
      <w:pPr>
        <w:ind w:left="2268" w:hanging="2268"/>
        <w:jc w:val="both"/>
      </w:pPr>
      <w:r>
        <w:br w:type="page"/>
      </w:r>
    </w:p>
    <w:p w14:paraId="1EACAF9B" w14:textId="77777777" w:rsidR="00E51CDD" w:rsidRPr="002360D5" w:rsidRDefault="00E51CDD" w:rsidP="00E51CDD">
      <w:pPr>
        <w:widowControl w:val="0"/>
        <w:ind w:left="2268" w:hanging="2268"/>
        <w:jc w:val="both"/>
      </w:pPr>
      <w:r w:rsidRPr="002360D5">
        <w:lastRenderedPageBreak/>
        <w:t>Analytics:</w:t>
      </w:r>
      <w:r w:rsidRPr="002360D5">
        <w:tab/>
      </w:r>
      <w:r w:rsidRPr="002360D5">
        <w:rPr>
          <w:rFonts w:eastAsia="PMingLiU"/>
        </w:rPr>
        <w:t>No analytical verification of the test item is required according to the current test guideline. Hence, no analytical verification was conducted</w:t>
      </w:r>
      <w:r w:rsidRPr="002360D5">
        <w:t>.</w:t>
      </w:r>
    </w:p>
    <w:p w14:paraId="61D9A127" w14:textId="77777777" w:rsidR="00E51CDD" w:rsidRPr="002360D5" w:rsidRDefault="00E51CDD" w:rsidP="00E51CDD">
      <w:pPr>
        <w:ind w:left="2268" w:hanging="2268"/>
        <w:jc w:val="both"/>
      </w:pPr>
    </w:p>
    <w:p w14:paraId="750838D2" w14:textId="77777777" w:rsidR="00E51CDD" w:rsidRPr="002360D5" w:rsidRDefault="00E51CDD" w:rsidP="00E51CDD">
      <w:pPr>
        <w:ind w:left="2268" w:hanging="2268"/>
        <w:jc w:val="both"/>
      </w:pPr>
      <w:r w:rsidRPr="002360D5">
        <w:t>Statistics:</w:t>
      </w:r>
      <w:r w:rsidRPr="002360D5">
        <w:tab/>
        <w:t xml:space="preserve">Descriptive statistics, Multiple Sequentially-rejective Fisher test after Bonferroni-Holm (α = 0.05) for mortality, </w:t>
      </w:r>
      <w:bookmarkStart w:id="1236" w:name="_Hlk73710010"/>
      <w:r w:rsidRPr="002360D5">
        <w:t xml:space="preserve">Williams t-test </w:t>
      </w:r>
      <w:bookmarkEnd w:id="1236"/>
      <w:r w:rsidRPr="002360D5">
        <w:t>for reproductive capacity (α = 0.05).</w:t>
      </w:r>
    </w:p>
    <w:p w14:paraId="5778C075" w14:textId="77777777" w:rsidR="00E51CDD" w:rsidRPr="002360D5" w:rsidRDefault="00E51CDD" w:rsidP="00E51CDD">
      <w:pPr>
        <w:ind w:left="2268" w:hanging="2268"/>
        <w:jc w:val="both"/>
        <w:rPr>
          <w:color w:val="0070C0"/>
        </w:rPr>
      </w:pPr>
    </w:p>
    <w:p w14:paraId="4E7C1F32" w14:textId="77777777" w:rsidR="00E51CDD" w:rsidRPr="002360D5" w:rsidRDefault="00E51CDD" w:rsidP="00E51CDD">
      <w:pPr>
        <w:ind w:left="2268" w:hanging="2268"/>
        <w:jc w:val="both"/>
        <w:rPr>
          <w:color w:val="0070C0"/>
        </w:rPr>
      </w:pPr>
    </w:p>
    <w:p w14:paraId="0AC5A113" w14:textId="77777777" w:rsidR="00E51CDD" w:rsidRPr="002360D5" w:rsidRDefault="00E51CDD" w:rsidP="00E51CDD">
      <w:pPr>
        <w:tabs>
          <w:tab w:val="left" w:pos="425"/>
          <w:tab w:val="left" w:pos="850"/>
        </w:tabs>
        <w:ind w:left="2835" w:hanging="2835"/>
        <w:jc w:val="both"/>
        <w:rPr>
          <w:b/>
        </w:rPr>
      </w:pPr>
      <w:r w:rsidRPr="002360D5">
        <w:rPr>
          <w:b/>
        </w:rPr>
        <w:t>II.</w:t>
      </w:r>
      <w:r w:rsidRPr="002360D5">
        <w:rPr>
          <w:b/>
        </w:rPr>
        <w:tab/>
        <w:t>RESULTS AND DISCUSSION</w:t>
      </w:r>
    </w:p>
    <w:p w14:paraId="5AC11C8F" w14:textId="77777777" w:rsidR="00E51CDD" w:rsidRPr="002360D5" w:rsidRDefault="00E51CDD" w:rsidP="00E51CDD">
      <w:pPr>
        <w:tabs>
          <w:tab w:val="left" w:pos="425"/>
          <w:tab w:val="left" w:pos="850"/>
        </w:tabs>
        <w:ind w:left="2835" w:hanging="2835"/>
        <w:jc w:val="both"/>
        <w:rPr>
          <w:color w:val="0070C0"/>
        </w:rPr>
      </w:pPr>
    </w:p>
    <w:p w14:paraId="3D717ECE" w14:textId="77777777" w:rsidR="00E51CDD" w:rsidRPr="002360D5" w:rsidRDefault="00E51CDD" w:rsidP="00E51CDD">
      <w:pPr>
        <w:autoSpaceDE w:val="0"/>
        <w:autoSpaceDN w:val="0"/>
        <w:adjustRightInd w:val="0"/>
        <w:jc w:val="both"/>
      </w:pPr>
      <w:r w:rsidRPr="002360D5">
        <w:t xml:space="preserve">After 48 hours, in the water-treated control a mortality of 6.7% was observed. In the test item treatments mortality ranged between 3.3% and 10.0%. This resulted in corrected mortality rates between -3.6% and 3.6%. No statistically significant effects on mortality were determined in all test item treatments (Multiple Sequentially-rejective Fisher test after Bonferroni-Holm, </w:t>
      </w:r>
      <w:r w:rsidRPr="002360D5">
        <w:sym w:font="Symbol" w:char="F061"/>
      </w:r>
      <w:r w:rsidRPr="002360D5">
        <w:t xml:space="preserve"> = 0.05). The mean number of mummies per female in the test item treatments was between 20.1 and 23.3 in comparison to the control with 21.6 mummies per female. No statistically significant effects on reproductive capacity were determined in all test item treatments (Williams t-test, </w:t>
      </w:r>
      <w:r w:rsidRPr="002360D5">
        <w:sym w:font="Symbol" w:char="F061"/>
      </w:r>
      <w:r w:rsidRPr="002360D5">
        <w:t xml:space="preserve"> = 0.05). </w:t>
      </w:r>
    </w:p>
    <w:p w14:paraId="461A6B0B" w14:textId="77777777" w:rsidR="00E51CDD" w:rsidRPr="002360D5" w:rsidRDefault="00E51CDD" w:rsidP="00E51CDD">
      <w:pPr>
        <w:autoSpaceDE w:val="0"/>
        <w:autoSpaceDN w:val="0"/>
        <w:adjustRightInd w:val="0"/>
        <w:jc w:val="both"/>
        <w:rPr>
          <w:rFonts w:eastAsia="Calibri"/>
          <w:color w:val="0070C0"/>
        </w:rPr>
      </w:pPr>
    </w:p>
    <w:p w14:paraId="7E896666" w14:textId="7B25523B" w:rsidR="00E51CDD" w:rsidRPr="00D61C03" w:rsidRDefault="00E51CDD" w:rsidP="00E51CDD">
      <w:pPr>
        <w:autoSpaceDE w:val="0"/>
        <w:autoSpaceDN w:val="0"/>
        <w:adjustRightInd w:val="0"/>
        <w:jc w:val="both"/>
      </w:pPr>
      <w:r w:rsidRPr="00D61C03">
        <w:t xml:space="preserve">The results are summarized in </w:t>
      </w:r>
      <w:r>
        <w:fldChar w:fldCharType="begin"/>
      </w:r>
      <w:r>
        <w:instrText xml:space="preserve"> REF _Ref85437154 \h </w:instrText>
      </w:r>
      <w:r>
        <w:fldChar w:fldCharType="separate"/>
      </w:r>
      <w:r w:rsidR="00662F32" w:rsidRPr="00FC6E3A">
        <w:t xml:space="preserve">Table A </w:t>
      </w:r>
      <w:r w:rsidR="00662F32">
        <w:rPr>
          <w:noProof/>
        </w:rPr>
        <w:t>29</w:t>
      </w:r>
      <w:r>
        <w:fldChar w:fldCharType="end"/>
      </w:r>
      <w:r w:rsidRPr="00D61C03">
        <w:t>.</w:t>
      </w:r>
    </w:p>
    <w:p w14:paraId="782A5C59" w14:textId="77777777" w:rsidR="00E51CDD" w:rsidRPr="00D61C03" w:rsidRDefault="00E51CDD" w:rsidP="00E51CDD">
      <w:pPr>
        <w:jc w:val="both"/>
        <w:rPr>
          <w:color w:val="0070C0"/>
        </w:rPr>
      </w:pPr>
    </w:p>
    <w:p w14:paraId="009E2E36" w14:textId="45B50CED" w:rsidR="00B74DCE" w:rsidRDefault="00E51CDD" w:rsidP="00E51CDD">
      <w:pPr>
        <w:pStyle w:val="Legenda"/>
        <w:rPr>
          <w:rFonts w:eastAsia="PMingLiU"/>
          <w:sz w:val="22"/>
          <w:szCs w:val="22"/>
        </w:rPr>
      </w:pPr>
      <w:bookmarkStart w:id="1237" w:name="_Ref85437154"/>
      <w:r w:rsidRPr="00FC6E3A">
        <w:rPr>
          <w:sz w:val="22"/>
          <w:szCs w:val="22"/>
        </w:rPr>
        <w:t xml:space="preserve">Table A </w:t>
      </w:r>
      <w:r w:rsidRPr="00FC6E3A">
        <w:rPr>
          <w:sz w:val="22"/>
          <w:szCs w:val="22"/>
        </w:rPr>
        <w:fldChar w:fldCharType="begin"/>
      </w:r>
      <w:r w:rsidRPr="00FC6E3A">
        <w:rPr>
          <w:sz w:val="22"/>
          <w:szCs w:val="22"/>
        </w:rPr>
        <w:instrText xml:space="preserve"> SEQ Table_A \* ARABIC </w:instrText>
      </w:r>
      <w:r w:rsidRPr="00FC6E3A">
        <w:rPr>
          <w:sz w:val="22"/>
          <w:szCs w:val="22"/>
        </w:rPr>
        <w:fldChar w:fldCharType="separate"/>
      </w:r>
      <w:r w:rsidR="00662F32">
        <w:rPr>
          <w:noProof/>
          <w:sz w:val="22"/>
          <w:szCs w:val="22"/>
        </w:rPr>
        <w:t>29</w:t>
      </w:r>
      <w:r w:rsidRPr="00FC6E3A">
        <w:rPr>
          <w:sz w:val="22"/>
          <w:szCs w:val="22"/>
        </w:rPr>
        <w:fldChar w:fldCharType="end"/>
      </w:r>
      <w:bookmarkEnd w:id="1237"/>
      <w:r w:rsidRPr="00FC6E3A">
        <w:rPr>
          <w:rFonts w:eastAsia="PMingLiU"/>
          <w:sz w:val="22"/>
          <w:szCs w:val="22"/>
        </w:rPr>
        <w:t>:</w:t>
      </w:r>
      <w:r w:rsidRPr="00FC6E3A">
        <w:rPr>
          <w:rFonts w:eastAsia="PMingLiU"/>
          <w:sz w:val="22"/>
          <w:szCs w:val="22"/>
        </w:rPr>
        <w:tab/>
        <w:t>Effects of BAS 736 00 F on parasitoids (</w:t>
      </w:r>
      <w:r w:rsidRPr="00FC6E3A">
        <w:rPr>
          <w:rFonts w:eastAsia="PMingLiU"/>
          <w:i/>
          <w:iCs/>
          <w:sz w:val="22"/>
          <w:szCs w:val="22"/>
        </w:rPr>
        <w:t>Aphidius rhopalosiphi</w:t>
      </w:r>
      <w:r w:rsidRPr="00FC6E3A">
        <w:rPr>
          <w:rFonts w:eastAsia="PMingLiU"/>
          <w:sz w:val="22"/>
          <w:szCs w:val="22"/>
        </w:rPr>
        <w:t xml:space="preserve">) in an extended </w:t>
      </w:r>
    </w:p>
    <w:p w14:paraId="0C25C7EF" w14:textId="48D07826" w:rsidR="00E51CDD" w:rsidRPr="00FC6E3A" w:rsidRDefault="00E51CDD" w:rsidP="00B74DCE">
      <w:pPr>
        <w:pStyle w:val="Legenda"/>
        <w:ind w:left="708" w:firstLine="708"/>
        <w:rPr>
          <w:rFonts w:eastAsia="PMingLiU"/>
          <w:sz w:val="22"/>
          <w:szCs w:val="22"/>
        </w:rPr>
      </w:pPr>
      <w:r w:rsidRPr="00FC6E3A">
        <w:rPr>
          <w:rFonts w:eastAsia="PMingLiU"/>
          <w:sz w:val="22"/>
          <w:szCs w:val="22"/>
        </w:rPr>
        <w:t>laboratory trial</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5"/>
        <w:gridCol w:w="1043"/>
        <w:gridCol w:w="1284"/>
        <w:gridCol w:w="1168"/>
        <w:gridCol w:w="2215"/>
        <w:gridCol w:w="1699"/>
      </w:tblGrid>
      <w:tr w:rsidR="00E51CDD" w:rsidRPr="002360D5" w14:paraId="4D0ECC43" w14:textId="77777777" w:rsidTr="009938D9">
        <w:trPr>
          <w:tblHeader/>
        </w:trPr>
        <w:tc>
          <w:tcPr>
            <w:tcW w:w="1036" w:type="pct"/>
            <w:vAlign w:val="center"/>
          </w:tcPr>
          <w:p w14:paraId="2073CA35" w14:textId="77777777" w:rsidR="00E51CDD" w:rsidRPr="002360D5" w:rsidRDefault="00E51CDD" w:rsidP="009938D9">
            <w:pPr>
              <w:spacing w:before="40" w:after="40"/>
              <w:jc w:val="center"/>
              <w:rPr>
                <w:sz w:val="20"/>
                <w:szCs w:val="20"/>
              </w:rPr>
            </w:pPr>
            <w:r w:rsidRPr="002360D5">
              <w:rPr>
                <w:b/>
                <w:bCs/>
                <w:sz w:val="20"/>
                <w:szCs w:val="20"/>
              </w:rPr>
              <w:t>Treatment</w:t>
            </w:r>
          </w:p>
        </w:tc>
        <w:tc>
          <w:tcPr>
            <w:tcW w:w="558" w:type="pct"/>
            <w:vAlign w:val="center"/>
          </w:tcPr>
          <w:p w14:paraId="15211771" w14:textId="77777777" w:rsidR="00E51CDD" w:rsidRPr="002360D5" w:rsidRDefault="00E51CDD" w:rsidP="009938D9">
            <w:pPr>
              <w:spacing w:before="40" w:after="40"/>
              <w:jc w:val="center"/>
              <w:rPr>
                <w:sz w:val="20"/>
                <w:szCs w:val="20"/>
              </w:rPr>
            </w:pPr>
            <w:r w:rsidRPr="002360D5">
              <w:rPr>
                <w:b/>
                <w:sz w:val="20"/>
                <w:szCs w:val="20"/>
              </w:rPr>
              <w:t>Rate</w:t>
            </w:r>
            <w:r w:rsidRPr="002360D5">
              <w:rPr>
                <w:b/>
                <w:sz w:val="20"/>
                <w:szCs w:val="20"/>
                <w:u w:val="single"/>
              </w:rPr>
              <w:br/>
            </w:r>
            <w:r w:rsidRPr="002360D5">
              <w:rPr>
                <w:b/>
                <w:sz w:val="20"/>
                <w:szCs w:val="20"/>
              </w:rPr>
              <w:t>[L/ha]</w:t>
            </w:r>
            <w:r w:rsidRPr="002360D5">
              <w:rPr>
                <w:b/>
                <w:sz w:val="20"/>
                <w:szCs w:val="20"/>
                <w:vertAlign w:val="superscript"/>
              </w:rPr>
              <w:t xml:space="preserve"> 1</w:t>
            </w:r>
            <w:r w:rsidRPr="002360D5">
              <w:rPr>
                <w:b/>
                <w:sz w:val="20"/>
                <w:szCs w:val="20"/>
                <w:u w:val="single"/>
                <w:vertAlign w:val="superscript"/>
              </w:rPr>
              <w:t>)</w:t>
            </w:r>
          </w:p>
        </w:tc>
        <w:tc>
          <w:tcPr>
            <w:tcW w:w="687" w:type="pct"/>
            <w:vAlign w:val="center"/>
          </w:tcPr>
          <w:p w14:paraId="318D08C4" w14:textId="77777777" w:rsidR="00E51CDD" w:rsidRPr="002360D5" w:rsidRDefault="00E51CDD" w:rsidP="009938D9">
            <w:pPr>
              <w:spacing w:before="40" w:after="40"/>
              <w:jc w:val="center"/>
              <w:rPr>
                <w:sz w:val="20"/>
                <w:szCs w:val="20"/>
              </w:rPr>
            </w:pPr>
            <w:r w:rsidRPr="002360D5">
              <w:rPr>
                <w:b/>
                <w:sz w:val="20"/>
                <w:szCs w:val="20"/>
              </w:rPr>
              <w:t xml:space="preserve">Mortality </w:t>
            </w:r>
            <w:r w:rsidRPr="002360D5">
              <w:rPr>
                <w:b/>
                <w:sz w:val="20"/>
                <w:szCs w:val="20"/>
                <w:vertAlign w:val="superscript"/>
              </w:rPr>
              <w:br/>
            </w:r>
            <w:r w:rsidRPr="002360D5">
              <w:rPr>
                <w:rFonts w:eastAsia="Symbol"/>
                <w:b/>
                <w:sz w:val="20"/>
                <w:szCs w:val="20"/>
              </w:rPr>
              <w:t>[</w:t>
            </w:r>
            <w:r w:rsidRPr="002360D5">
              <w:rPr>
                <w:b/>
                <w:sz w:val="20"/>
                <w:szCs w:val="20"/>
              </w:rPr>
              <w:t>%</w:t>
            </w:r>
            <w:r w:rsidRPr="002360D5">
              <w:rPr>
                <w:rFonts w:eastAsia="Symbol"/>
                <w:b/>
                <w:sz w:val="20"/>
                <w:szCs w:val="20"/>
              </w:rPr>
              <w:t>]</w:t>
            </w:r>
            <w:r w:rsidRPr="002360D5">
              <w:rPr>
                <w:b/>
                <w:sz w:val="20"/>
                <w:szCs w:val="20"/>
              </w:rPr>
              <w:t xml:space="preserve"> </w:t>
            </w:r>
            <w:r w:rsidRPr="002360D5">
              <w:rPr>
                <w:b/>
                <w:sz w:val="20"/>
                <w:szCs w:val="20"/>
                <w:vertAlign w:val="superscript"/>
              </w:rPr>
              <w:t>2)</w:t>
            </w:r>
          </w:p>
        </w:tc>
        <w:tc>
          <w:tcPr>
            <w:tcW w:w="625" w:type="pct"/>
            <w:vAlign w:val="center"/>
          </w:tcPr>
          <w:p w14:paraId="0A962252" w14:textId="77777777" w:rsidR="00E51CDD" w:rsidRPr="002360D5" w:rsidRDefault="00E51CDD" w:rsidP="009938D9">
            <w:pPr>
              <w:spacing w:before="40" w:after="40"/>
              <w:jc w:val="center"/>
              <w:rPr>
                <w:sz w:val="20"/>
                <w:szCs w:val="20"/>
              </w:rPr>
            </w:pPr>
            <w:r w:rsidRPr="002360D5">
              <w:rPr>
                <w:b/>
                <w:sz w:val="20"/>
                <w:szCs w:val="20"/>
              </w:rPr>
              <w:t xml:space="preserve">Mortality corr. </w:t>
            </w:r>
            <w:r w:rsidRPr="002360D5">
              <w:rPr>
                <w:b/>
                <w:sz w:val="20"/>
                <w:szCs w:val="20"/>
              </w:rPr>
              <w:br/>
            </w:r>
            <w:r w:rsidRPr="002360D5">
              <w:rPr>
                <w:rFonts w:eastAsia="Symbol"/>
                <w:b/>
                <w:sz w:val="20"/>
                <w:szCs w:val="20"/>
              </w:rPr>
              <w:t>[</w:t>
            </w:r>
            <w:r w:rsidRPr="002360D5">
              <w:rPr>
                <w:b/>
                <w:sz w:val="20"/>
                <w:szCs w:val="20"/>
              </w:rPr>
              <w:t>%</w:t>
            </w:r>
            <w:r w:rsidRPr="002360D5">
              <w:rPr>
                <w:rFonts w:eastAsia="Symbol"/>
                <w:b/>
                <w:sz w:val="20"/>
                <w:szCs w:val="20"/>
              </w:rPr>
              <w:t>]</w:t>
            </w:r>
            <w:r w:rsidRPr="002360D5">
              <w:rPr>
                <w:b/>
                <w:sz w:val="20"/>
                <w:szCs w:val="20"/>
              </w:rPr>
              <w:t xml:space="preserve"> </w:t>
            </w:r>
            <w:r w:rsidRPr="002360D5">
              <w:rPr>
                <w:b/>
                <w:sz w:val="20"/>
                <w:szCs w:val="20"/>
                <w:vertAlign w:val="superscript"/>
              </w:rPr>
              <w:t>3)</w:t>
            </w:r>
          </w:p>
        </w:tc>
        <w:tc>
          <w:tcPr>
            <w:tcW w:w="1185" w:type="pct"/>
            <w:vAlign w:val="center"/>
          </w:tcPr>
          <w:p w14:paraId="3CAF5278" w14:textId="77777777" w:rsidR="00E51CDD" w:rsidRPr="002360D5" w:rsidRDefault="00E51CDD" w:rsidP="009938D9">
            <w:pPr>
              <w:spacing w:before="40" w:after="40"/>
              <w:jc w:val="center"/>
              <w:rPr>
                <w:sz w:val="20"/>
                <w:szCs w:val="20"/>
              </w:rPr>
            </w:pPr>
            <w:r w:rsidRPr="002360D5">
              <w:rPr>
                <w:b/>
                <w:sz w:val="20"/>
                <w:szCs w:val="20"/>
              </w:rPr>
              <w:t xml:space="preserve">Reproduction </w:t>
            </w:r>
            <w:r w:rsidRPr="002360D5">
              <w:rPr>
                <w:b/>
                <w:sz w:val="20"/>
                <w:szCs w:val="20"/>
              </w:rPr>
              <w:br/>
            </w:r>
            <w:r w:rsidRPr="002360D5">
              <w:rPr>
                <w:rFonts w:eastAsia="Symbol"/>
                <w:b/>
                <w:sz w:val="20"/>
                <w:szCs w:val="20"/>
              </w:rPr>
              <w:t>[</w:t>
            </w:r>
            <w:r w:rsidRPr="002360D5">
              <w:rPr>
                <w:b/>
                <w:sz w:val="20"/>
                <w:szCs w:val="20"/>
              </w:rPr>
              <w:t>mummies/female</w:t>
            </w:r>
            <w:r w:rsidRPr="002360D5">
              <w:rPr>
                <w:rFonts w:eastAsia="Symbol"/>
                <w:b/>
                <w:sz w:val="20"/>
                <w:szCs w:val="20"/>
              </w:rPr>
              <w:t>]</w:t>
            </w:r>
            <w:r w:rsidRPr="002360D5">
              <w:rPr>
                <w:b/>
                <w:sz w:val="20"/>
                <w:szCs w:val="20"/>
              </w:rPr>
              <w:t xml:space="preserve"> </w:t>
            </w:r>
            <w:r w:rsidRPr="002360D5">
              <w:rPr>
                <w:b/>
                <w:sz w:val="20"/>
                <w:szCs w:val="20"/>
                <w:vertAlign w:val="superscript"/>
              </w:rPr>
              <w:t>4)</w:t>
            </w:r>
          </w:p>
        </w:tc>
        <w:tc>
          <w:tcPr>
            <w:tcW w:w="909" w:type="pct"/>
            <w:vAlign w:val="center"/>
          </w:tcPr>
          <w:p w14:paraId="2CFBA5A7" w14:textId="77777777" w:rsidR="00E51CDD" w:rsidRPr="002360D5" w:rsidRDefault="00E51CDD" w:rsidP="009938D9">
            <w:pPr>
              <w:spacing w:before="40" w:after="40"/>
              <w:jc w:val="center"/>
              <w:rPr>
                <w:sz w:val="20"/>
                <w:szCs w:val="20"/>
                <w:vertAlign w:val="superscript"/>
              </w:rPr>
            </w:pPr>
            <w:r w:rsidRPr="002360D5">
              <w:rPr>
                <w:b/>
                <w:sz w:val="20"/>
                <w:szCs w:val="20"/>
              </w:rPr>
              <w:t xml:space="preserve">Effect on Reproduction [%] </w:t>
            </w:r>
            <w:r w:rsidRPr="002360D5">
              <w:rPr>
                <w:b/>
                <w:sz w:val="20"/>
                <w:szCs w:val="20"/>
                <w:vertAlign w:val="superscript"/>
              </w:rPr>
              <w:t>5)</w:t>
            </w:r>
          </w:p>
        </w:tc>
      </w:tr>
      <w:tr w:rsidR="00E51CDD" w:rsidRPr="002360D5" w14:paraId="521DD2DB" w14:textId="77777777" w:rsidTr="009938D9">
        <w:tc>
          <w:tcPr>
            <w:tcW w:w="1036" w:type="pct"/>
            <w:vAlign w:val="center"/>
          </w:tcPr>
          <w:p w14:paraId="4BBF02F3" w14:textId="77777777" w:rsidR="00E51CDD" w:rsidRPr="002360D5" w:rsidRDefault="00E51CDD" w:rsidP="009938D9">
            <w:pPr>
              <w:spacing w:before="40" w:after="40"/>
              <w:jc w:val="center"/>
              <w:rPr>
                <w:sz w:val="20"/>
                <w:szCs w:val="20"/>
              </w:rPr>
            </w:pPr>
            <w:r w:rsidRPr="002360D5">
              <w:rPr>
                <w:sz w:val="20"/>
                <w:szCs w:val="20"/>
              </w:rPr>
              <w:t>Control</w:t>
            </w:r>
          </w:p>
        </w:tc>
        <w:tc>
          <w:tcPr>
            <w:tcW w:w="558" w:type="pct"/>
            <w:vAlign w:val="center"/>
          </w:tcPr>
          <w:p w14:paraId="79E11198" w14:textId="77777777" w:rsidR="00E51CDD" w:rsidRPr="002360D5" w:rsidRDefault="00E51CDD" w:rsidP="009938D9">
            <w:pPr>
              <w:spacing w:before="40" w:after="40"/>
              <w:jc w:val="center"/>
              <w:rPr>
                <w:sz w:val="20"/>
                <w:szCs w:val="20"/>
              </w:rPr>
            </w:pPr>
            <w:r w:rsidRPr="002360D5">
              <w:rPr>
                <w:sz w:val="20"/>
                <w:szCs w:val="20"/>
              </w:rPr>
              <w:t>--</w:t>
            </w:r>
          </w:p>
        </w:tc>
        <w:tc>
          <w:tcPr>
            <w:tcW w:w="687" w:type="pct"/>
            <w:vAlign w:val="center"/>
          </w:tcPr>
          <w:p w14:paraId="4A6CF4F2" w14:textId="77777777" w:rsidR="00E51CDD" w:rsidRPr="002360D5" w:rsidRDefault="00E51CDD" w:rsidP="009938D9">
            <w:pPr>
              <w:spacing w:before="40" w:after="40"/>
              <w:jc w:val="center"/>
              <w:rPr>
                <w:sz w:val="20"/>
                <w:szCs w:val="20"/>
              </w:rPr>
            </w:pPr>
            <w:r w:rsidRPr="002360D5">
              <w:rPr>
                <w:sz w:val="20"/>
                <w:szCs w:val="20"/>
              </w:rPr>
              <w:t>6.7</w:t>
            </w:r>
          </w:p>
        </w:tc>
        <w:tc>
          <w:tcPr>
            <w:tcW w:w="625" w:type="pct"/>
            <w:vAlign w:val="center"/>
          </w:tcPr>
          <w:p w14:paraId="50FDC426" w14:textId="77777777" w:rsidR="00E51CDD" w:rsidRPr="002360D5" w:rsidRDefault="00E51CDD" w:rsidP="009938D9">
            <w:pPr>
              <w:spacing w:before="40" w:after="40"/>
              <w:jc w:val="center"/>
              <w:rPr>
                <w:sz w:val="20"/>
                <w:szCs w:val="20"/>
              </w:rPr>
            </w:pPr>
            <w:r w:rsidRPr="002360D5">
              <w:rPr>
                <w:sz w:val="20"/>
                <w:szCs w:val="20"/>
              </w:rPr>
              <w:t>--</w:t>
            </w:r>
          </w:p>
        </w:tc>
        <w:tc>
          <w:tcPr>
            <w:tcW w:w="1185" w:type="pct"/>
            <w:vAlign w:val="center"/>
          </w:tcPr>
          <w:p w14:paraId="325AD6A6" w14:textId="77777777" w:rsidR="00E51CDD" w:rsidRPr="002360D5" w:rsidRDefault="00E51CDD" w:rsidP="009938D9">
            <w:pPr>
              <w:spacing w:before="40" w:after="40"/>
              <w:jc w:val="center"/>
              <w:rPr>
                <w:sz w:val="20"/>
                <w:szCs w:val="20"/>
              </w:rPr>
            </w:pPr>
            <w:r w:rsidRPr="002360D5">
              <w:rPr>
                <w:sz w:val="20"/>
                <w:szCs w:val="20"/>
              </w:rPr>
              <w:t>21.6</w:t>
            </w:r>
          </w:p>
        </w:tc>
        <w:tc>
          <w:tcPr>
            <w:tcW w:w="909" w:type="pct"/>
            <w:vAlign w:val="center"/>
          </w:tcPr>
          <w:p w14:paraId="61E966E9" w14:textId="77777777" w:rsidR="00E51CDD" w:rsidRPr="002360D5" w:rsidRDefault="00E51CDD" w:rsidP="009938D9">
            <w:pPr>
              <w:spacing w:before="40" w:after="40"/>
              <w:jc w:val="center"/>
              <w:rPr>
                <w:sz w:val="20"/>
                <w:szCs w:val="20"/>
              </w:rPr>
            </w:pPr>
            <w:r w:rsidRPr="002360D5">
              <w:rPr>
                <w:sz w:val="20"/>
                <w:szCs w:val="20"/>
              </w:rPr>
              <w:t>--</w:t>
            </w:r>
          </w:p>
        </w:tc>
      </w:tr>
      <w:tr w:rsidR="00E51CDD" w:rsidRPr="002360D5" w14:paraId="5EF16665" w14:textId="77777777" w:rsidTr="009938D9">
        <w:tc>
          <w:tcPr>
            <w:tcW w:w="1036" w:type="pct"/>
            <w:vMerge w:val="restart"/>
            <w:vAlign w:val="center"/>
          </w:tcPr>
          <w:p w14:paraId="5D2F1012" w14:textId="77777777" w:rsidR="00E51CDD" w:rsidRPr="002360D5" w:rsidRDefault="00E51CDD" w:rsidP="009938D9">
            <w:pPr>
              <w:spacing w:before="40" w:after="40"/>
              <w:jc w:val="center"/>
              <w:rPr>
                <w:sz w:val="20"/>
                <w:szCs w:val="20"/>
              </w:rPr>
            </w:pPr>
            <w:r w:rsidRPr="002360D5">
              <w:rPr>
                <w:sz w:val="20"/>
                <w:szCs w:val="20"/>
              </w:rPr>
              <w:t>BAS 736 00 F</w:t>
            </w:r>
          </w:p>
        </w:tc>
        <w:tc>
          <w:tcPr>
            <w:tcW w:w="558" w:type="pct"/>
          </w:tcPr>
          <w:p w14:paraId="71886DAF" w14:textId="77777777" w:rsidR="00E51CDD" w:rsidRPr="002360D5" w:rsidRDefault="00E51CDD" w:rsidP="009938D9">
            <w:pPr>
              <w:spacing w:before="40" w:after="40"/>
              <w:jc w:val="center"/>
              <w:rPr>
                <w:sz w:val="20"/>
                <w:szCs w:val="20"/>
              </w:rPr>
            </w:pPr>
            <w:r w:rsidRPr="002360D5">
              <w:rPr>
                <w:rFonts w:eastAsia="PMingLiU"/>
                <w:sz w:val="20"/>
                <w:lang w:eastAsia="en-US"/>
              </w:rPr>
              <w:t>0.25</w:t>
            </w:r>
          </w:p>
        </w:tc>
        <w:tc>
          <w:tcPr>
            <w:tcW w:w="687" w:type="pct"/>
            <w:vAlign w:val="center"/>
          </w:tcPr>
          <w:p w14:paraId="19E4C90A" w14:textId="77777777" w:rsidR="00E51CDD" w:rsidRPr="002360D5" w:rsidRDefault="00E51CDD" w:rsidP="009938D9">
            <w:pPr>
              <w:spacing w:before="40" w:after="40"/>
              <w:jc w:val="center"/>
              <w:rPr>
                <w:sz w:val="20"/>
                <w:szCs w:val="20"/>
              </w:rPr>
            </w:pPr>
            <w:r w:rsidRPr="002360D5">
              <w:rPr>
                <w:sz w:val="20"/>
                <w:szCs w:val="20"/>
              </w:rPr>
              <w:t>6.7</w:t>
            </w:r>
          </w:p>
        </w:tc>
        <w:tc>
          <w:tcPr>
            <w:tcW w:w="625" w:type="pct"/>
            <w:vAlign w:val="center"/>
          </w:tcPr>
          <w:p w14:paraId="79013ED9" w14:textId="77777777" w:rsidR="00E51CDD" w:rsidRPr="002360D5" w:rsidRDefault="00E51CDD" w:rsidP="009938D9">
            <w:pPr>
              <w:spacing w:before="40" w:after="40"/>
              <w:jc w:val="center"/>
              <w:rPr>
                <w:sz w:val="20"/>
                <w:szCs w:val="20"/>
              </w:rPr>
            </w:pPr>
            <w:r w:rsidRPr="002360D5">
              <w:rPr>
                <w:sz w:val="20"/>
                <w:szCs w:val="20"/>
              </w:rPr>
              <w:t>0.0</w:t>
            </w:r>
          </w:p>
        </w:tc>
        <w:tc>
          <w:tcPr>
            <w:tcW w:w="1185" w:type="pct"/>
            <w:vAlign w:val="center"/>
          </w:tcPr>
          <w:p w14:paraId="3FD51034" w14:textId="77777777" w:rsidR="00E51CDD" w:rsidRPr="002360D5" w:rsidRDefault="00E51CDD" w:rsidP="009938D9">
            <w:pPr>
              <w:spacing w:before="40" w:after="40"/>
              <w:jc w:val="center"/>
              <w:rPr>
                <w:sz w:val="20"/>
                <w:szCs w:val="20"/>
              </w:rPr>
            </w:pPr>
            <w:r w:rsidRPr="002360D5">
              <w:rPr>
                <w:sz w:val="20"/>
                <w:szCs w:val="20"/>
              </w:rPr>
              <w:t>21.6</w:t>
            </w:r>
          </w:p>
        </w:tc>
        <w:tc>
          <w:tcPr>
            <w:tcW w:w="909" w:type="pct"/>
            <w:vAlign w:val="center"/>
          </w:tcPr>
          <w:p w14:paraId="6BDB8104" w14:textId="77777777" w:rsidR="00E51CDD" w:rsidRPr="002360D5" w:rsidRDefault="00E51CDD" w:rsidP="009938D9">
            <w:pPr>
              <w:spacing w:before="40" w:after="40"/>
              <w:jc w:val="center"/>
              <w:rPr>
                <w:sz w:val="20"/>
                <w:szCs w:val="20"/>
              </w:rPr>
            </w:pPr>
            <w:r w:rsidRPr="002360D5">
              <w:rPr>
                <w:sz w:val="20"/>
                <w:szCs w:val="20"/>
              </w:rPr>
              <w:t>0</w:t>
            </w:r>
          </w:p>
        </w:tc>
      </w:tr>
      <w:tr w:rsidR="00E51CDD" w:rsidRPr="002360D5" w14:paraId="49CAAC33" w14:textId="77777777" w:rsidTr="009938D9">
        <w:tc>
          <w:tcPr>
            <w:tcW w:w="1036" w:type="pct"/>
            <w:vMerge/>
            <w:vAlign w:val="center"/>
          </w:tcPr>
          <w:p w14:paraId="6DF218EA" w14:textId="77777777" w:rsidR="00E51CDD" w:rsidRPr="002360D5" w:rsidRDefault="00E51CDD" w:rsidP="009938D9">
            <w:pPr>
              <w:spacing w:before="40" w:after="40"/>
              <w:jc w:val="center"/>
              <w:rPr>
                <w:sz w:val="20"/>
                <w:szCs w:val="20"/>
              </w:rPr>
            </w:pPr>
          </w:p>
        </w:tc>
        <w:tc>
          <w:tcPr>
            <w:tcW w:w="558" w:type="pct"/>
          </w:tcPr>
          <w:p w14:paraId="7BB2BC3F" w14:textId="77777777" w:rsidR="00E51CDD" w:rsidRPr="002360D5" w:rsidRDefault="00E51CDD" w:rsidP="009938D9">
            <w:pPr>
              <w:spacing w:before="40" w:after="40"/>
              <w:jc w:val="center"/>
              <w:rPr>
                <w:sz w:val="20"/>
                <w:szCs w:val="20"/>
              </w:rPr>
            </w:pPr>
            <w:r w:rsidRPr="002360D5">
              <w:rPr>
                <w:rFonts w:eastAsia="PMingLiU"/>
                <w:sz w:val="20"/>
                <w:lang w:eastAsia="en-US"/>
              </w:rPr>
              <w:t>0.5</w:t>
            </w:r>
          </w:p>
        </w:tc>
        <w:tc>
          <w:tcPr>
            <w:tcW w:w="687" w:type="pct"/>
            <w:vAlign w:val="center"/>
          </w:tcPr>
          <w:p w14:paraId="12ECA4D1" w14:textId="77777777" w:rsidR="00E51CDD" w:rsidRPr="002360D5" w:rsidRDefault="00E51CDD" w:rsidP="009938D9">
            <w:pPr>
              <w:spacing w:before="40" w:after="40"/>
              <w:jc w:val="center"/>
              <w:rPr>
                <w:sz w:val="20"/>
                <w:szCs w:val="20"/>
              </w:rPr>
            </w:pPr>
            <w:r w:rsidRPr="002360D5">
              <w:rPr>
                <w:sz w:val="20"/>
                <w:szCs w:val="20"/>
              </w:rPr>
              <w:t>3.3</w:t>
            </w:r>
          </w:p>
        </w:tc>
        <w:tc>
          <w:tcPr>
            <w:tcW w:w="625" w:type="pct"/>
            <w:vAlign w:val="center"/>
          </w:tcPr>
          <w:p w14:paraId="1B7B9702" w14:textId="77777777" w:rsidR="00E51CDD" w:rsidRPr="002360D5" w:rsidRDefault="00E51CDD" w:rsidP="009938D9">
            <w:pPr>
              <w:spacing w:before="40" w:after="40"/>
              <w:jc w:val="center"/>
              <w:rPr>
                <w:sz w:val="20"/>
                <w:szCs w:val="20"/>
              </w:rPr>
            </w:pPr>
            <w:r w:rsidRPr="002360D5">
              <w:rPr>
                <w:sz w:val="20"/>
                <w:szCs w:val="20"/>
              </w:rPr>
              <w:t>-3.6</w:t>
            </w:r>
          </w:p>
        </w:tc>
        <w:tc>
          <w:tcPr>
            <w:tcW w:w="1185" w:type="pct"/>
            <w:vAlign w:val="center"/>
          </w:tcPr>
          <w:p w14:paraId="6F5CDA3A" w14:textId="77777777" w:rsidR="00E51CDD" w:rsidRPr="002360D5" w:rsidRDefault="00E51CDD" w:rsidP="009938D9">
            <w:pPr>
              <w:spacing w:before="40" w:after="40"/>
              <w:jc w:val="center"/>
              <w:rPr>
                <w:sz w:val="20"/>
                <w:szCs w:val="20"/>
              </w:rPr>
            </w:pPr>
            <w:r w:rsidRPr="002360D5">
              <w:rPr>
                <w:sz w:val="20"/>
                <w:szCs w:val="20"/>
              </w:rPr>
              <w:t>23.3</w:t>
            </w:r>
          </w:p>
        </w:tc>
        <w:tc>
          <w:tcPr>
            <w:tcW w:w="909" w:type="pct"/>
            <w:vAlign w:val="center"/>
          </w:tcPr>
          <w:p w14:paraId="582CCD3E" w14:textId="77777777" w:rsidR="00E51CDD" w:rsidRPr="002360D5" w:rsidRDefault="00E51CDD" w:rsidP="009938D9">
            <w:pPr>
              <w:spacing w:before="40" w:after="40"/>
              <w:jc w:val="center"/>
              <w:rPr>
                <w:sz w:val="20"/>
                <w:szCs w:val="20"/>
              </w:rPr>
            </w:pPr>
            <w:r w:rsidRPr="002360D5">
              <w:rPr>
                <w:sz w:val="20"/>
                <w:szCs w:val="20"/>
              </w:rPr>
              <w:t>-7.9</w:t>
            </w:r>
          </w:p>
        </w:tc>
      </w:tr>
      <w:tr w:rsidR="00E51CDD" w:rsidRPr="002360D5" w14:paraId="165F5F2E" w14:textId="77777777" w:rsidTr="009938D9">
        <w:tc>
          <w:tcPr>
            <w:tcW w:w="1036" w:type="pct"/>
            <w:vMerge/>
            <w:vAlign w:val="center"/>
          </w:tcPr>
          <w:p w14:paraId="7F3CF0D9" w14:textId="77777777" w:rsidR="00E51CDD" w:rsidRPr="002360D5" w:rsidRDefault="00E51CDD" w:rsidP="009938D9">
            <w:pPr>
              <w:spacing w:before="40" w:after="40"/>
              <w:jc w:val="center"/>
              <w:rPr>
                <w:sz w:val="20"/>
                <w:szCs w:val="20"/>
              </w:rPr>
            </w:pPr>
          </w:p>
        </w:tc>
        <w:tc>
          <w:tcPr>
            <w:tcW w:w="558" w:type="pct"/>
          </w:tcPr>
          <w:p w14:paraId="5FF0AA3E" w14:textId="77777777" w:rsidR="00E51CDD" w:rsidRPr="002360D5" w:rsidRDefault="00E51CDD" w:rsidP="009938D9">
            <w:pPr>
              <w:spacing w:before="40" w:after="40"/>
              <w:jc w:val="center"/>
              <w:rPr>
                <w:sz w:val="20"/>
                <w:szCs w:val="20"/>
              </w:rPr>
            </w:pPr>
            <w:r w:rsidRPr="002360D5">
              <w:rPr>
                <w:rFonts w:eastAsia="PMingLiU"/>
                <w:sz w:val="20"/>
                <w:lang w:eastAsia="en-US"/>
              </w:rPr>
              <w:t>1.0</w:t>
            </w:r>
          </w:p>
        </w:tc>
        <w:tc>
          <w:tcPr>
            <w:tcW w:w="687" w:type="pct"/>
            <w:vAlign w:val="center"/>
          </w:tcPr>
          <w:p w14:paraId="2EBFFEA4" w14:textId="77777777" w:rsidR="00E51CDD" w:rsidRPr="002360D5" w:rsidRDefault="00E51CDD" w:rsidP="009938D9">
            <w:pPr>
              <w:spacing w:before="40" w:after="40"/>
              <w:jc w:val="center"/>
              <w:rPr>
                <w:sz w:val="20"/>
                <w:szCs w:val="20"/>
              </w:rPr>
            </w:pPr>
            <w:r w:rsidRPr="002360D5">
              <w:rPr>
                <w:sz w:val="20"/>
                <w:szCs w:val="20"/>
              </w:rPr>
              <w:t>6.7</w:t>
            </w:r>
          </w:p>
        </w:tc>
        <w:tc>
          <w:tcPr>
            <w:tcW w:w="625" w:type="pct"/>
            <w:vAlign w:val="center"/>
          </w:tcPr>
          <w:p w14:paraId="1698A58F" w14:textId="77777777" w:rsidR="00E51CDD" w:rsidRPr="002360D5" w:rsidRDefault="00E51CDD" w:rsidP="009938D9">
            <w:pPr>
              <w:spacing w:before="40" w:after="40"/>
              <w:jc w:val="center"/>
              <w:rPr>
                <w:sz w:val="20"/>
                <w:szCs w:val="20"/>
              </w:rPr>
            </w:pPr>
            <w:r w:rsidRPr="002360D5">
              <w:rPr>
                <w:sz w:val="20"/>
                <w:szCs w:val="20"/>
              </w:rPr>
              <w:t>0</w:t>
            </w:r>
          </w:p>
        </w:tc>
        <w:tc>
          <w:tcPr>
            <w:tcW w:w="1185" w:type="pct"/>
            <w:vAlign w:val="center"/>
          </w:tcPr>
          <w:p w14:paraId="79141977" w14:textId="77777777" w:rsidR="00E51CDD" w:rsidRPr="002360D5" w:rsidRDefault="00E51CDD" w:rsidP="009938D9">
            <w:pPr>
              <w:spacing w:before="40" w:after="40"/>
              <w:jc w:val="center"/>
              <w:rPr>
                <w:sz w:val="20"/>
                <w:szCs w:val="20"/>
              </w:rPr>
            </w:pPr>
            <w:r w:rsidRPr="002360D5">
              <w:rPr>
                <w:sz w:val="20"/>
                <w:szCs w:val="20"/>
              </w:rPr>
              <w:t>20.1</w:t>
            </w:r>
          </w:p>
        </w:tc>
        <w:tc>
          <w:tcPr>
            <w:tcW w:w="909" w:type="pct"/>
            <w:vAlign w:val="center"/>
          </w:tcPr>
          <w:p w14:paraId="1321E51E" w14:textId="77777777" w:rsidR="00E51CDD" w:rsidRPr="002360D5" w:rsidRDefault="00E51CDD" w:rsidP="009938D9">
            <w:pPr>
              <w:spacing w:before="40" w:after="40"/>
              <w:jc w:val="center"/>
              <w:rPr>
                <w:sz w:val="20"/>
                <w:szCs w:val="20"/>
              </w:rPr>
            </w:pPr>
            <w:r w:rsidRPr="002360D5">
              <w:rPr>
                <w:sz w:val="20"/>
                <w:szCs w:val="20"/>
              </w:rPr>
              <w:t>6.9</w:t>
            </w:r>
          </w:p>
        </w:tc>
      </w:tr>
      <w:tr w:rsidR="00E51CDD" w:rsidRPr="002360D5" w14:paraId="32496A59" w14:textId="77777777" w:rsidTr="009938D9">
        <w:tc>
          <w:tcPr>
            <w:tcW w:w="1036" w:type="pct"/>
            <w:vMerge/>
            <w:vAlign w:val="center"/>
          </w:tcPr>
          <w:p w14:paraId="63D332CA" w14:textId="77777777" w:rsidR="00E51CDD" w:rsidRPr="002360D5" w:rsidRDefault="00E51CDD" w:rsidP="009938D9">
            <w:pPr>
              <w:spacing w:before="40" w:after="40"/>
              <w:jc w:val="center"/>
              <w:rPr>
                <w:sz w:val="20"/>
                <w:szCs w:val="20"/>
              </w:rPr>
            </w:pPr>
          </w:p>
        </w:tc>
        <w:tc>
          <w:tcPr>
            <w:tcW w:w="558" w:type="pct"/>
          </w:tcPr>
          <w:p w14:paraId="3850495F" w14:textId="77777777" w:rsidR="00E51CDD" w:rsidRPr="002360D5" w:rsidRDefault="00E51CDD" w:rsidP="009938D9">
            <w:pPr>
              <w:spacing w:before="40" w:after="40"/>
              <w:jc w:val="center"/>
              <w:rPr>
                <w:sz w:val="20"/>
                <w:szCs w:val="20"/>
              </w:rPr>
            </w:pPr>
            <w:r w:rsidRPr="002360D5">
              <w:rPr>
                <w:rFonts w:eastAsia="PMingLiU"/>
                <w:sz w:val="20"/>
                <w:lang w:eastAsia="en-US"/>
              </w:rPr>
              <w:t>2.0</w:t>
            </w:r>
          </w:p>
        </w:tc>
        <w:tc>
          <w:tcPr>
            <w:tcW w:w="687" w:type="pct"/>
            <w:vAlign w:val="center"/>
          </w:tcPr>
          <w:p w14:paraId="7B1BA11E" w14:textId="77777777" w:rsidR="00E51CDD" w:rsidRPr="002360D5" w:rsidRDefault="00E51CDD" w:rsidP="009938D9">
            <w:pPr>
              <w:spacing w:before="40" w:after="40"/>
              <w:jc w:val="center"/>
              <w:rPr>
                <w:sz w:val="20"/>
                <w:szCs w:val="20"/>
              </w:rPr>
            </w:pPr>
            <w:r w:rsidRPr="002360D5">
              <w:rPr>
                <w:sz w:val="20"/>
                <w:szCs w:val="20"/>
              </w:rPr>
              <w:t>10.0</w:t>
            </w:r>
          </w:p>
        </w:tc>
        <w:tc>
          <w:tcPr>
            <w:tcW w:w="625" w:type="pct"/>
            <w:vAlign w:val="center"/>
          </w:tcPr>
          <w:p w14:paraId="6E00F368" w14:textId="77777777" w:rsidR="00E51CDD" w:rsidRPr="002360D5" w:rsidRDefault="00E51CDD" w:rsidP="009938D9">
            <w:pPr>
              <w:spacing w:before="40" w:after="40"/>
              <w:jc w:val="center"/>
              <w:rPr>
                <w:sz w:val="20"/>
                <w:szCs w:val="20"/>
              </w:rPr>
            </w:pPr>
            <w:r w:rsidRPr="002360D5">
              <w:rPr>
                <w:sz w:val="20"/>
                <w:szCs w:val="20"/>
              </w:rPr>
              <w:t>3.6</w:t>
            </w:r>
          </w:p>
        </w:tc>
        <w:tc>
          <w:tcPr>
            <w:tcW w:w="1185" w:type="pct"/>
            <w:vAlign w:val="center"/>
          </w:tcPr>
          <w:p w14:paraId="3586D232" w14:textId="77777777" w:rsidR="00E51CDD" w:rsidRPr="002360D5" w:rsidRDefault="00E51CDD" w:rsidP="009938D9">
            <w:pPr>
              <w:spacing w:before="40" w:after="40"/>
              <w:jc w:val="center"/>
              <w:rPr>
                <w:sz w:val="20"/>
                <w:szCs w:val="20"/>
              </w:rPr>
            </w:pPr>
            <w:r w:rsidRPr="002360D5">
              <w:rPr>
                <w:sz w:val="20"/>
                <w:szCs w:val="20"/>
              </w:rPr>
              <w:t>20.6</w:t>
            </w:r>
          </w:p>
        </w:tc>
        <w:tc>
          <w:tcPr>
            <w:tcW w:w="909" w:type="pct"/>
            <w:vAlign w:val="center"/>
          </w:tcPr>
          <w:p w14:paraId="103A93EB" w14:textId="77777777" w:rsidR="00E51CDD" w:rsidRPr="002360D5" w:rsidRDefault="00E51CDD" w:rsidP="009938D9">
            <w:pPr>
              <w:spacing w:before="40" w:after="40"/>
              <w:jc w:val="center"/>
              <w:rPr>
                <w:sz w:val="20"/>
                <w:szCs w:val="20"/>
              </w:rPr>
            </w:pPr>
            <w:r w:rsidRPr="002360D5">
              <w:rPr>
                <w:sz w:val="20"/>
                <w:szCs w:val="20"/>
              </w:rPr>
              <w:t>4.6</w:t>
            </w:r>
          </w:p>
        </w:tc>
      </w:tr>
      <w:tr w:rsidR="00E51CDD" w:rsidRPr="002360D5" w14:paraId="054890FF" w14:textId="77777777" w:rsidTr="009938D9">
        <w:tc>
          <w:tcPr>
            <w:tcW w:w="1036" w:type="pct"/>
            <w:vMerge/>
            <w:vAlign w:val="center"/>
          </w:tcPr>
          <w:p w14:paraId="4581B937" w14:textId="77777777" w:rsidR="00E51CDD" w:rsidRPr="002360D5" w:rsidRDefault="00E51CDD" w:rsidP="009938D9">
            <w:pPr>
              <w:spacing w:before="40" w:after="40"/>
              <w:jc w:val="center"/>
              <w:rPr>
                <w:sz w:val="20"/>
                <w:szCs w:val="20"/>
              </w:rPr>
            </w:pPr>
          </w:p>
        </w:tc>
        <w:tc>
          <w:tcPr>
            <w:tcW w:w="558" w:type="pct"/>
          </w:tcPr>
          <w:p w14:paraId="1CAB4781" w14:textId="77777777" w:rsidR="00E51CDD" w:rsidRPr="002360D5" w:rsidRDefault="00E51CDD" w:rsidP="009938D9">
            <w:pPr>
              <w:spacing w:before="40" w:after="40"/>
              <w:jc w:val="center"/>
              <w:rPr>
                <w:sz w:val="20"/>
                <w:szCs w:val="20"/>
              </w:rPr>
            </w:pPr>
            <w:r w:rsidRPr="002360D5">
              <w:rPr>
                <w:rFonts w:eastAsia="PMingLiU"/>
                <w:sz w:val="20"/>
                <w:lang w:eastAsia="en-US"/>
              </w:rPr>
              <w:t>4.0</w:t>
            </w:r>
          </w:p>
        </w:tc>
        <w:tc>
          <w:tcPr>
            <w:tcW w:w="687" w:type="pct"/>
            <w:vAlign w:val="center"/>
          </w:tcPr>
          <w:p w14:paraId="71E2CF24" w14:textId="77777777" w:rsidR="00E51CDD" w:rsidRPr="002360D5" w:rsidRDefault="00E51CDD" w:rsidP="009938D9">
            <w:pPr>
              <w:spacing w:before="40" w:after="40"/>
              <w:jc w:val="center"/>
              <w:rPr>
                <w:sz w:val="20"/>
                <w:szCs w:val="20"/>
              </w:rPr>
            </w:pPr>
            <w:r w:rsidRPr="002360D5">
              <w:rPr>
                <w:sz w:val="20"/>
                <w:szCs w:val="20"/>
              </w:rPr>
              <w:t>6.7</w:t>
            </w:r>
          </w:p>
        </w:tc>
        <w:tc>
          <w:tcPr>
            <w:tcW w:w="625" w:type="pct"/>
            <w:vAlign w:val="center"/>
          </w:tcPr>
          <w:p w14:paraId="25318986" w14:textId="77777777" w:rsidR="00E51CDD" w:rsidRPr="002360D5" w:rsidRDefault="00E51CDD" w:rsidP="009938D9">
            <w:pPr>
              <w:spacing w:before="40" w:after="40"/>
              <w:jc w:val="center"/>
              <w:rPr>
                <w:sz w:val="20"/>
                <w:szCs w:val="20"/>
              </w:rPr>
            </w:pPr>
            <w:r w:rsidRPr="002360D5">
              <w:rPr>
                <w:sz w:val="20"/>
                <w:szCs w:val="20"/>
              </w:rPr>
              <w:t>0</w:t>
            </w:r>
          </w:p>
        </w:tc>
        <w:tc>
          <w:tcPr>
            <w:tcW w:w="1185" w:type="pct"/>
            <w:vAlign w:val="center"/>
          </w:tcPr>
          <w:p w14:paraId="78758D74" w14:textId="77777777" w:rsidR="00E51CDD" w:rsidRPr="002360D5" w:rsidRDefault="00E51CDD" w:rsidP="009938D9">
            <w:pPr>
              <w:spacing w:before="40" w:after="40"/>
              <w:jc w:val="center"/>
              <w:rPr>
                <w:sz w:val="20"/>
                <w:szCs w:val="20"/>
              </w:rPr>
            </w:pPr>
            <w:r w:rsidRPr="002360D5">
              <w:rPr>
                <w:sz w:val="20"/>
                <w:szCs w:val="20"/>
              </w:rPr>
              <w:t>22.2</w:t>
            </w:r>
          </w:p>
        </w:tc>
        <w:tc>
          <w:tcPr>
            <w:tcW w:w="909" w:type="pct"/>
            <w:vAlign w:val="center"/>
          </w:tcPr>
          <w:p w14:paraId="50C088AF" w14:textId="77777777" w:rsidR="00E51CDD" w:rsidRPr="002360D5" w:rsidRDefault="00E51CDD" w:rsidP="009938D9">
            <w:pPr>
              <w:spacing w:before="40" w:after="40"/>
              <w:jc w:val="center"/>
              <w:rPr>
                <w:sz w:val="20"/>
                <w:szCs w:val="20"/>
              </w:rPr>
            </w:pPr>
            <w:r w:rsidRPr="002360D5">
              <w:rPr>
                <w:sz w:val="20"/>
                <w:szCs w:val="20"/>
              </w:rPr>
              <w:t>-2.8</w:t>
            </w:r>
          </w:p>
        </w:tc>
      </w:tr>
      <w:tr w:rsidR="00E51CDD" w:rsidRPr="007330A6" w14:paraId="773AAF10" w14:textId="77777777" w:rsidTr="009938D9">
        <w:tc>
          <w:tcPr>
            <w:tcW w:w="1036" w:type="pct"/>
            <w:vAlign w:val="center"/>
          </w:tcPr>
          <w:p w14:paraId="4BEF3DEF" w14:textId="77777777" w:rsidR="00E51CDD" w:rsidRPr="002360D5" w:rsidRDefault="00E51CDD" w:rsidP="009938D9">
            <w:pPr>
              <w:spacing w:before="40" w:after="40"/>
              <w:jc w:val="center"/>
              <w:rPr>
                <w:b/>
                <w:bCs/>
                <w:sz w:val="20"/>
                <w:szCs w:val="20"/>
              </w:rPr>
            </w:pPr>
          </w:p>
        </w:tc>
        <w:tc>
          <w:tcPr>
            <w:tcW w:w="3964" w:type="pct"/>
            <w:gridSpan w:val="5"/>
            <w:vAlign w:val="center"/>
          </w:tcPr>
          <w:p w14:paraId="3427D59D" w14:textId="77777777" w:rsidR="00E51CDD" w:rsidRPr="002262EA" w:rsidRDefault="00E51CDD" w:rsidP="009938D9">
            <w:pPr>
              <w:spacing w:before="40" w:after="40"/>
              <w:jc w:val="center"/>
              <w:rPr>
                <w:b/>
                <w:bCs/>
                <w:sz w:val="20"/>
                <w:szCs w:val="20"/>
                <w:lang w:val="fr-BE"/>
              </w:rPr>
            </w:pPr>
            <w:r w:rsidRPr="002262EA">
              <w:rPr>
                <w:b/>
                <w:bCs/>
                <w:sz w:val="20"/>
                <w:szCs w:val="20"/>
                <w:lang w:val="fr-BE"/>
              </w:rPr>
              <w:t>Endpoints [L BAS 736 00 F/ha]</w:t>
            </w:r>
          </w:p>
        </w:tc>
      </w:tr>
      <w:tr w:rsidR="00E51CDD" w:rsidRPr="002360D5" w14:paraId="219A41F4" w14:textId="77777777" w:rsidTr="009938D9">
        <w:tc>
          <w:tcPr>
            <w:tcW w:w="1036" w:type="pct"/>
            <w:vAlign w:val="center"/>
          </w:tcPr>
          <w:p w14:paraId="215B0083" w14:textId="77777777" w:rsidR="00E51CDD" w:rsidRPr="002360D5" w:rsidRDefault="00E51CDD" w:rsidP="009938D9">
            <w:pPr>
              <w:spacing w:before="40" w:after="40"/>
              <w:jc w:val="center"/>
              <w:rPr>
                <w:sz w:val="20"/>
                <w:szCs w:val="20"/>
                <w:vertAlign w:val="subscript"/>
              </w:rPr>
            </w:pPr>
            <w:r w:rsidRPr="002360D5">
              <w:rPr>
                <w:sz w:val="20"/>
                <w:szCs w:val="20"/>
              </w:rPr>
              <w:t>LR</w:t>
            </w:r>
            <w:r w:rsidRPr="002360D5">
              <w:rPr>
                <w:sz w:val="20"/>
                <w:szCs w:val="20"/>
                <w:vertAlign w:val="subscript"/>
              </w:rPr>
              <w:t>50</w:t>
            </w:r>
          </w:p>
        </w:tc>
        <w:tc>
          <w:tcPr>
            <w:tcW w:w="3964" w:type="pct"/>
            <w:gridSpan w:val="5"/>
            <w:vAlign w:val="center"/>
          </w:tcPr>
          <w:p w14:paraId="3B2F5345" w14:textId="77777777" w:rsidR="00E51CDD" w:rsidRPr="002360D5" w:rsidRDefault="00E51CDD" w:rsidP="009938D9">
            <w:pPr>
              <w:spacing w:before="40" w:after="40"/>
              <w:jc w:val="center"/>
              <w:rPr>
                <w:sz w:val="20"/>
                <w:szCs w:val="20"/>
              </w:rPr>
            </w:pPr>
            <w:r w:rsidRPr="002360D5">
              <w:rPr>
                <w:sz w:val="20"/>
                <w:szCs w:val="20"/>
              </w:rPr>
              <w:t>&gt; 4.0</w:t>
            </w:r>
          </w:p>
        </w:tc>
      </w:tr>
      <w:tr w:rsidR="00E51CDD" w:rsidRPr="002360D5" w14:paraId="20BE67B9" w14:textId="77777777" w:rsidTr="009938D9">
        <w:tc>
          <w:tcPr>
            <w:tcW w:w="1036" w:type="pct"/>
            <w:vAlign w:val="center"/>
          </w:tcPr>
          <w:p w14:paraId="35E0F6D9" w14:textId="77777777" w:rsidR="00E51CDD" w:rsidRPr="002360D5" w:rsidRDefault="00E51CDD" w:rsidP="009938D9">
            <w:pPr>
              <w:spacing w:before="40" w:after="40"/>
              <w:jc w:val="center"/>
              <w:rPr>
                <w:sz w:val="20"/>
                <w:szCs w:val="20"/>
                <w:vertAlign w:val="superscript"/>
              </w:rPr>
            </w:pPr>
            <w:r w:rsidRPr="002360D5">
              <w:rPr>
                <w:sz w:val="20"/>
                <w:szCs w:val="20"/>
              </w:rPr>
              <w:t>ER</w:t>
            </w:r>
            <w:r w:rsidRPr="002360D5">
              <w:rPr>
                <w:sz w:val="20"/>
                <w:szCs w:val="20"/>
                <w:vertAlign w:val="subscript"/>
              </w:rPr>
              <w:t>50</w:t>
            </w:r>
          </w:p>
        </w:tc>
        <w:tc>
          <w:tcPr>
            <w:tcW w:w="3964" w:type="pct"/>
            <w:gridSpan w:val="5"/>
            <w:vAlign w:val="center"/>
          </w:tcPr>
          <w:p w14:paraId="126AA812" w14:textId="77777777" w:rsidR="00E51CDD" w:rsidRPr="002360D5" w:rsidRDefault="00E51CDD" w:rsidP="009938D9">
            <w:pPr>
              <w:spacing w:before="40" w:after="40"/>
              <w:jc w:val="center"/>
              <w:rPr>
                <w:sz w:val="20"/>
                <w:szCs w:val="20"/>
              </w:rPr>
            </w:pPr>
            <w:r w:rsidRPr="002360D5">
              <w:rPr>
                <w:sz w:val="20"/>
                <w:szCs w:val="20"/>
              </w:rPr>
              <w:t>&gt; 4.0</w:t>
            </w:r>
          </w:p>
        </w:tc>
      </w:tr>
    </w:tbl>
    <w:p w14:paraId="439DEBFD" w14:textId="77777777" w:rsidR="00E51CDD" w:rsidRPr="002360D5" w:rsidRDefault="00E51CDD" w:rsidP="00E51CDD">
      <w:pPr>
        <w:keepNext/>
        <w:keepLines/>
        <w:ind w:left="284" w:hanging="284"/>
        <w:jc w:val="both"/>
        <w:rPr>
          <w:sz w:val="18"/>
          <w:szCs w:val="20"/>
        </w:rPr>
      </w:pPr>
      <w:r w:rsidRPr="002360D5">
        <w:rPr>
          <w:sz w:val="18"/>
          <w:szCs w:val="20"/>
          <w:vertAlign w:val="superscript"/>
        </w:rPr>
        <w:t>1)</w:t>
      </w:r>
      <w:r w:rsidRPr="002360D5">
        <w:rPr>
          <w:sz w:val="18"/>
          <w:szCs w:val="20"/>
        </w:rPr>
        <w:tab/>
        <w:t>Application rate in 400 L water/ha.</w:t>
      </w:r>
    </w:p>
    <w:p w14:paraId="1C732334" w14:textId="77777777" w:rsidR="00E51CDD" w:rsidRPr="002360D5" w:rsidRDefault="00E51CDD" w:rsidP="00E51CDD">
      <w:pPr>
        <w:keepNext/>
        <w:keepLines/>
        <w:ind w:left="284" w:hanging="284"/>
        <w:jc w:val="both"/>
        <w:rPr>
          <w:sz w:val="18"/>
          <w:szCs w:val="20"/>
        </w:rPr>
      </w:pPr>
      <w:r w:rsidRPr="002360D5">
        <w:rPr>
          <w:sz w:val="18"/>
          <w:szCs w:val="20"/>
          <w:vertAlign w:val="superscript"/>
        </w:rPr>
        <w:t>2)</w:t>
      </w:r>
      <w:r w:rsidRPr="002360D5">
        <w:rPr>
          <w:sz w:val="18"/>
          <w:szCs w:val="20"/>
        </w:rPr>
        <w:tab/>
        <w:t>Mortality after 48 h of exposure to BAS 736 00 F on treated barley plants.</w:t>
      </w:r>
    </w:p>
    <w:p w14:paraId="081A30A6" w14:textId="77777777" w:rsidR="00E51CDD" w:rsidRPr="002360D5" w:rsidRDefault="00E51CDD" w:rsidP="00E51CDD">
      <w:pPr>
        <w:keepNext/>
        <w:keepLines/>
        <w:ind w:left="284" w:hanging="284"/>
        <w:jc w:val="both"/>
        <w:rPr>
          <w:sz w:val="18"/>
          <w:szCs w:val="20"/>
        </w:rPr>
      </w:pPr>
      <w:r w:rsidRPr="002360D5">
        <w:rPr>
          <w:sz w:val="18"/>
          <w:szCs w:val="20"/>
          <w:vertAlign w:val="superscript"/>
        </w:rPr>
        <w:t>3)</w:t>
      </w:r>
      <w:r w:rsidRPr="002360D5">
        <w:rPr>
          <w:sz w:val="18"/>
          <w:szCs w:val="20"/>
        </w:rPr>
        <w:tab/>
        <w:t>Corrected mortality according to Abbott (1925).</w:t>
      </w:r>
    </w:p>
    <w:p w14:paraId="6FC910F7" w14:textId="77777777" w:rsidR="00E51CDD" w:rsidRPr="002360D5" w:rsidRDefault="00E51CDD" w:rsidP="00E51CDD">
      <w:pPr>
        <w:ind w:left="284" w:hanging="284"/>
        <w:jc w:val="both"/>
        <w:rPr>
          <w:sz w:val="18"/>
          <w:szCs w:val="20"/>
        </w:rPr>
      </w:pPr>
      <w:r w:rsidRPr="002360D5">
        <w:rPr>
          <w:sz w:val="18"/>
          <w:szCs w:val="20"/>
          <w:vertAlign w:val="superscript"/>
        </w:rPr>
        <w:t>4)</w:t>
      </w:r>
      <w:r w:rsidRPr="002360D5">
        <w:rPr>
          <w:sz w:val="18"/>
          <w:szCs w:val="20"/>
        </w:rPr>
        <w:tab/>
        <w:t>Reproduction: mean number of parasitized aphids (mummies)/surviving female. The result is compared to a control (Williams t-test, α = 0.05).</w:t>
      </w:r>
    </w:p>
    <w:p w14:paraId="0F9CCA92" w14:textId="77777777" w:rsidR="00E51CDD" w:rsidRPr="002360D5" w:rsidRDefault="00E51CDD" w:rsidP="00E51CDD">
      <w:pPr>
        <w:ind w:left="284" w:hanging="284"/>
        <w:jc w:val="both"/>
        <w:rPr>
          <w:sz w:val="18"/>
          <w:szCs w:val="20"/>
        </w:rPr>
      </w:pPr>
      <w:r w:rsidRPr="002360D5">
        <w:rPr>
          <w:sz w:val="18"/>
          <w:szCs w:val="20"/>
          <w:vertAlign w:val="superscript"/>
        </w:rPr>
        <w:t>5)</w:t>
      </w:r>
      <w:r w:rsidRPr="002360D5">
        <w:rPr>
          <w:sz w:val="18"/>
          <w:szCs w:val="20"/>
        </w:rPr>
        <w:tab/>
        <w:t>Change in mean number of mummies per female, relative to control. A negative value indicates an increase and a positive value indicates a decrease relative to the control.</w:t>
      </w:r>
    </w:p>
    <w:p w14:paraId="0D13F9D1" w14:textId="77777777" w:rsidR="00E51CDD" w:rsidRDefault="00E51CDD" w:rsidP="00E51CDD">
      <w:pPr>
        <w:ind w:left="284" w:hanging="284"/>
        <w:jc w:val="both"/>
        <w:rPr>
          <w:color w:val="0070C0"/>
        </w:rPr>
      </w:pPr>
    </w:p>
    <w:p w14:paraId="526371EF" w14:textId="77777777" w:rsidR="00E51CDD" w:rsidRPr="002360D5" w:rsidRDefault="00E51CDD" w:rsidP="00E51CDD">
      <w:pPr>
        <w:ind w:left="284" w:hanging="284"/>
        <w:jc w:val="both"/>
        <w:rPr>
          <w:color w:val="0070C0"/>
        </w:rPr>
      </w:pPr>
    </w:p>
    <w:p w14:paraId="4C16C1B4" w14:textId="77777777" w:rsidR="00E51CDD" w:rsidRPr="002360D5" w:rsidRDefault="00E51CDD" w:rsidP="00E51CDD">
      <w:pPr>
        <w:tabs>
          <w:tab w:val="left" w:pos="425"/>
          <w:tab w:val="left" w:pos="850"/>
        </w:tabs>
        <w:jc w:val="both"/>
      </w:pPr>
      <w:r w:rsidRPr="002360D5">
        <w:t>The reference item caused a mortality of 96.7% of exposed wasps, resulting in a corrected mortality of 96.4%.</w:t>
      </w:r>
    </w:p>
    <w:p w14:paraId="2011F51A" w14:textId="77777777" w:rsidR="00E51CDD" w:rsidRPr="002360D5" w:rsidRDefault="00E51CDD" w:rsidP="00E51CDD">
      <w:pPr>
        <w:tabs>
          <w:tab w:val="left" w:pos="425"/>
          <w:tab w:val="left" w:pos="850"/>
        </w:tabs>
        <w:jc w:val="both"/>
        <w:rPr>
          <w:color w:val="0070C0"/>
          <w:u w:val="single"/>
        </w:rPr>
      </w:pPr>
    </w:p>
    <w:p w14:paraId="6BF4B0B2" w14:textId="77777777" w:rsidR="00E51CDD" w:rsidRPr="002360D5" w:rsidRDefault="00E51CDD" w:rsidP="00E51CDD">
      <w:pPr>
        <w:tabs>
          <w:tab w:val="left" w:pos="425"/>
          <w:tab w:val="left" w:pos="850"/>
        </w:tabs>
        <w:jc w:val="both"/>
        <w:rPr>
          <w:color w:val="0070C0"/>
          <w:u w:val="single"/>
        </w:rPr>
      </w:pPr>
      <w:r>
        <w:rPr>
          <w:color w:val="0070C0"/>
          <w:u w:val="single"/>
        </w:rPr>
        <w:br w:type="page"/>
      </w:r>
    </w:p>
    <w:p w14:paraId="252B9D18" w14:textId="77777777" w:rsidR="00E51CDD" w:rsidRPr="002360D5" w:rsidRDefault="00E51CDD" w:rsidP="00E51CDD">
      <w:pPr>
        <w:tabs>
          <w:tab w:val="left" w:pos="425"/>
          <w:tab w:val="left" w:pos="850"/>
        </w:tabs>
        <w:jc w:val="both"/>
        <w:rPr>
          <w:u w:val="single"/>
        </w:rPr>
      </w:pPr>
      <w:r w:rsidRPr="002360D5">
        <w:rPr>
          <w:u w:val="single"/>
        </w:rPr>
        <w:lastRenderedPageBreak/>
        <w:t>Validity criteria:</w:t>
      </w:r>
    </w:p>
    <w:p w14:paraId="15366216" w14:textId="77777777" w:rsidR="00E51CDD" w:rsidRPr="002360D5" w:rsidRDefault="00E51CDD" w:rsidP="00E51CDD">
      <w:pPr>
        <w:autoSpaceDE w:val="0"/>
        <w:autoSpaceDN w:val="0"/>
        <w:adjustRightInd w:val="0"/>
        <w:rPr>
          <w:rFonts w:eastAsia="Calibr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58"/>
        <w:gridCol w:w="2409"/>
      </w:tblGrid>
      <w:tr w:rsidR="00E51CDD" w:rsidRPr="002360D5" w14:paraId="7A47D873" w14:textId="77777777" w:rsidTr="009938D9">
        <w:trPr>
          <w:trHeight w:val="240"/>
        </w:trPr>
        <w:tc>
          <w:tcPr>
            <w:tcW w:w="6658" w:type="dxa"/>
            <w:shd w:val="clear" w:color="auto" w:fill="auto"/>
            <w:noWrap/>
            <w:vAlign w:val="center"/>
            <w:hideMark/>
          </w:tcPr>
          <w:p w14:paraId="625D9A97" w14:textId="77777777" w:rsidR="00E51CDD" w:rsidRPr="002360D5" w:rsidRDefault="00E51CDD" w:rsidP="009938D9">
            <w:pPr>
              <w:widowControl w:val="0"/>
              <w:rPr>
                <w:b/>
                <w:bCs/>
                <w:sz w:val="20"/>
                <w:szCs w:val="20"/>
              </w:rPr>
            </w:pPr>
            <w:r w:rsidRPr="002360D5">
              <w:rPr>
                <w:b/>
                <w:sz w:val="20"/>
                <w:szCs w:val="20"/>
              </w:rPr>
              <w:t>Validity criteria according to Mead-Briggs M. et al. (2009)</w:t>
            </w:r>
          </w:p>
        </w:tc>
        <w:tc>
          <w:tcPr>
            <w:tcW w:w="2409" w:type="dxa"/>
            <w:shd w:val="clear" w:color="auto" w:fill="auto"/>
            <w:noWrap/>
            <w:vAlign w:val="center"/>
            <w:hideMark/>
          </w:tcPr>
          <w:p w14:paraId="3C008054" w14:textId="77777777" w:rsidR="00E51CDD" w:rsidRPr="002360D5" w:rsidRDefault="00E51CDD" w:rsidP="009938D9">
            <w:pPr>
              <w:widowControl w:val="0"/>
              <w:jc w:val="center"/>
              <w:rPr>
                <w:b/>
                <w:bCs/>
                <w:sz w:val="20"/>
                <w:szCs w:val="20"/>
              </w:rPr>
            </w:pPr>
            <w:r w:rsidRPr="002360D5">
              <w:rPr>
                <w:b/>
                <w:sz w:val="20"/>
                <w:szCs w:val="20"/>
              </w:rPr>
              <w:t>Obtained in this study</w:t>
            </w:r>
          </w:p>
        </w:tc>
      </w:tr>
      <w:tr w:rsidR="00E51CDD" w:rsidRPr="002360D5" w14:paraId="3047F491" w14:textId="77777777" w:rsidTr="009938D9">
        <w:trPr>
          <w:trHeight w:val="244"/>
        </w:trPr>
        <w:tc>
          <w:tcPr>
            <w:tcW w:w="6658" w:type="dxa"/>
            <w:shd w:val="clear" w:color="auto" w:fill="auto"/>
            <w:noWrap/>
            <w:vAlign w:val="center"/>
          </w:tcPr>
          <w:p w14:paraId="3147ADFD" w14:textId="77777777" w:rsidR="00E51CDD" w:rsidRPr="002360D5" w:rsidRDefault="00E51CDD" w:rsidP="009938D9">
            <w:pPr>
              <w:widowControl w:val="0"/>
              <w:rPr>
                <w:sz w:val="20"/>
                <w:szCs w:val="20"/>
              </w:rPr>
            </w:pPr>
            <w:r w:rsidRPr="002360D5">
              <w:rPr>
                <w:sz w:val="20"/>
                <w:szCs w:val="20"/>
              </w:rPr>
              <w:t>Control mortality &lt; 10% (48h)</w:t>
            </w:r>
          </w:p>
        </w:tc>
        <w:tc>
          <w:tcPr>
            <w:tcW w:w="2409" w:type="dxa"/>
            <w:shd w:val="clear" w:color="auto" w:fill="auto"/>
            <w:noWrap/>
            <w:vAlign w:val="center"/>
          </w:tcPr>
          <w:p w14:paraId="25EA8047" w14:textId="77777777" w:rsidR="00E51CDD" w:rsidRPr="002360D5" w:rsidRDefault="00E51CDD" w:rsidP="009938D9">
            <w:pPr>
              <w:widowControl w:val="0"/>
              <w:jc w:val="center"/>
              <w:rPr>
                <w:sz w:val="20"/>
                <w:szCs w:val="20"/>
              </w:rPr>
            </w:pPr>
            <w:r w:rsidRPr="002360D5">
              <w:rPr>
                <w:sz w:val="20"/>
                <w:szCs w:val="20"/>
              </w:rPr>
              <w:t>6.7%</w:t>
            </w:r>
          </w:p>
        </w:tc>
      </w:tr>
      <w:tr w:rsidR="00E51CDD" w:rsidRPr="002360D5" w14:paraId="1B2FD73B" w14:textId="77777777" w:rsidTr="009938D9">
        <w:tc>
          <w:tcPr>
            <w:tcW w:w="6658" w:type="dxa"/>
            <w:shd w:val="clear" w:color="auto" w:fill="auto"/>
            <w:noWrap/>
            <w:vAlign w:val="center"/>
          </w:tcPr>
          <w:p w14:paraId="537E312C" w14:textId="77777777" w:rsidR="00E51CDD" w:rsidRPr="002360D5" w:rsidRDefault="00E51CDD" w:rsidP="009938D9">
            <w:pPr>
              <w:widowControl w:val="0"/>
              <w:rPr>
                <w:sz w:val="20"/>
                <w:szCs w:val="20"/>
              </w:rPr>
            </w:pPr>
            <w:r w:rsidRPr="002360D5">
              <w:rPr>
                <w:sz w:val="20"/>
                <w:szCs w:val="20"/>
              </w:rPr>
              <w:t>Corrected mortality in the reference item group 50-100% (48h)</w:t>
            </w:r>
          </w:p>
        </w:tc>
        <w:tc>
          <w:tcPr>
            <w:tcW w:w="2409" w:type="dxa"/>
            <w:shd w:val="clear" w:color="auto" w:fill="auto"/>
            <w:noWrap/>
            <w:vAlign w:val="center"/>
          </w:tcPr>
          <w:p w14:paraId="2B313E4D" w14:textId="77777777" w:rsidR="00E51CDD" w:rsidRPr="002360D5" w:rsidRDefault="00E51CDD" w:rsidP="009938D9">
            <w:pPr>
              <w:widowControl w:val="0"/>
              <w:jc w:val="center"/>
              <w:rPr>
                <w:sz w:val="20"/>
                <w:szCs w:val="20"/>
              </w:rPr>
            </w:pPr>
            <w:r w:rsidRPr="002360D5">
              <w:rPr>
                <w:sz w:val="20"/>
                <w:szCs w:val="20"/>
              </w:rPr>
              <w:t>96.4%</w:t>
            </w:r>
          </w:p>
        </w:tc>
      </w:tr>
      <w:tr w:rsidR="00E51CDD" w:rsidRPr="002360D5" w14:paraId="11499A61" w14:textId="77777777" w:rsidTr="009938D9">
        <w:tc>
          <w:tcPr>
            <w:tcW w:w="6658" w:type="dxa"/>
            <w:shd w:val="clear" w:color="auto" w:fill="auto"/>
            <w:noWrap/>
            <w:vAlign w:val="center"/>
          </w:tcPr>
          <w:p w14:paraId="1560C24F" w14:textId="77777777" w:rsidR="00E51CDD" w:rsidRPr="002360D5" w:rsidRDefault="00E51CDD" w:rsidP="009938D9">
            <w:pPr>
              <w:widowControl w:val="0"/>
              <w:rPr>
                <w:sz w:val="20"/>
                <w:szCs w:val="20"/>
              </w:rPr>
            </w:pPr>
            <w:r w:rsidRPr="002360D5">
              <w:rPr>
                <w:sz w:val="20"/>
                <w:szCs w:val="20"/>
              </w:rPr>
              <w:t>Number of mummies in the control ≥ 5 mummies/female and no more than two zero values</w:t>
            </w:r>
          </w:p>
        </w:tc>
        <w:tc>
          <w:tcPr>
            <w:tcW w:w="2409" w:type="dxa"/>
            <w:shd w:val="clear" w:color="auto" w:fill="auto"/>
            <w:noWrap/>
            <w:vAlign w:val="center"/>
          </w:tcPr>
          <w:p w14:paraId="3C0B1C4D" w14:textId="77777777" w:rsidR="00E51CDD" w:rsidRPr="002360D5" w:rsidRDefault="00E51CDD" w:rsidP="009938D9">
            <w:pPr>
              <w:widowControl w:val="0"/>
              <w:jc w:val="center"/>
              <w:rPr>
                <w:sz w:val="20"/>
                <w:szCs w:val="20"/>
              </w:rPr>
            </w:pPr>
            <w:r w:rsidRPr="002360D5">
              <w:rPr>
                <w:sz w:val="20"/>
                <w:szCs w:val="20"/>
              </w:rPr>
              <w:t>21.6; no more than 2 zero values</w:t>
            </w:r>
          </w:p>
        </w:tc>
      </w:tr>
    </w:tbl>
    <w:p w14:paraId="4FB43E00" w14:textId="77777777" w:rsidR="00E51CDD" w:rsidRDefault="00E51CDD" w:rsidP="00E51CDD">
      <w:pPr>
        <w:jc w:val="both"/>
        <w:rPr>
          <w:b/>
          <w:color w:val="0070C0"/>
          <w:highlight w:val="green"/>
          <w:u w:val="single"/>
        </w:rPr>
      </w:pPr>
    </w:p>
    <w:p w14:paraId="50BB59C5" w14:textId="77777777" w:rsidR="00E51CDD" w:rsidRPr="002360D5" w:rsidRDefault="00E51CDD" w:rsidP="00E51CDD">
      <w:pPr>
        <w:jc w:val="both"/>
        <w:rPr>
          <w:b/>
          <w:color w:val="0070C0"/>
          <w:highlight w:val="green"/>
          <w:u w:val="single"/>
        </w:rPr>
      </w:pPr>
    </w:p>
    <w:p w14:paraId="3E6FB741" w14:textId="77777777" w:rsidR="00E51CDD" w:rsidRPr="002360D5" w:rsidRDefault="00E51CDD" w:rsidP="00E51CDD">
      <w:pPr>
        <w:jc w:val="both"/>
      </w:pPr>
      <w:r w:rsidRPr="002360D5">
        <w:t>All validity criteria were met.</w:t>
      </w:r>
    </w:p>
    <w:p w14:paraId="5ED6068A" w14:textId="77777777" w:rsidR="00E51CDD" w:rsidRPr="002360D5" w:rsidRDefault="00E51CDD" w:rsidP="00E51CDD">
      <w:pPr>
        <w:tabs>
          <w:tab w:val="left" w:pos="425"/>
          <w:tab w:val="left" w:pos="850"/>
        </w:tabs>
        <w:jc w:val="both"/>
        <w:rPr>
          <w:bCs/>
          <w:color w:val="0070C0"/>
        </w:rPr>
      </w:pPr>
    </w:p>
    <w:p w14:paraId="53C5B260" w14:textId="77777777" w:rsidR="00E51CDD" w:rsidRPr="002360D5" w:rsidRDefault="00E51CDD" w:rsidP="00E51CDD">
      <w:pPr>
        <w:tabs>
          <w:tab w:val="left" w:pos="425"/>
          <w:tab w:val="left" w:pos="850"/>
        </w:tabs>
        <w:jc w:val="both"/>
        <w:rPr>
          <w:bCs/>
          <w:color w:val="0070C0"/>
        </w:rPr>
      </w:pPr>
    </w:p>
    <w:p w14:paraId="6258E956" w14:textId="77777777" w:rsidR="00E51CDD" w:rsidRPr="002360D5" w:rsidRDefault="00E51CDD" w:rsidP="00E51CDD">
      <w:pPr>
        <w:tabs>
          <w:tab w:val="left" w:pos="425"/>
          <w:tab w:val="left" w:pos="850"/>
        </w:tabs>
        <w:jc w:val="both"/>
        <w:rPr>
          <w:b/>
        </w:rPr>
      </w:pPr>
      <w:r w:rsidRPr="002360D5">
        <w:rPr>
          <w:b/>
        </w:rPr>
        <w:t>III.</w:t>
      </w:r>
      <w:r w:rsidRPr="002360D5">
        <w:rPr>
          <w:b/>
        </w:rPr>
        <w:tab/>
        <w:t>CONCLUSION</w:t>
      </w:r>
    </w:p>
    <w:p w14:paraId="07FC67A1" w14:textId="77777777" w:rsidR="00E51CDD" w:rsidRPr="002360D5" w:rsidRDefault="00E51CDD" w:rsidP="00E51CDD">
      <w:pPr>
        <w:tabs>
          <w:tab w:val="left" w:pos="425"/>
          <w:tab w:val="left" w:pos="850"/>
        </w:tabs>
        <w:ind w:left="2835" w:hanging="2835"/>
        <w:jc w:val="both"/>
      </w:pPr>
    </w:p>
    <w:p w14:paraId="792047BA" w14:textId="77777777" w:rsidR="00E51CDD" w:rsidRPr="002360D5" w:rsidRDefault="00E51CDD" w:rsidP="00E51CDD">
      <w:pPr>
        <w:widowControl w:val="0"/>
        <w:jc w:val="both"/>
        <w:rPr>
          <w:b/>
          <w:bCs/>
        </w:rPr>
      </w:pPr>
      <w:r w:rsidRPr="002360D5">
        <w:rPr>
          <w:b/>
          <w:bCs/>
        </w:rPr>
        <w:t>In an extended laboratory study with BAS 736 00 F, the LR</w:t>
      </w:r>
      <w:r w:rsidRPr="002360D5">
        <w:rPr>
          <w:b/>
          <w:bCs/>
          <w:vertAlign w:val="subscript"/>
        </w:rPr>
        <w:t xml:space="preserve">50 </w:t>
      </w:r>
      <w:r w:rsidRPr="002360D5">
        <w:rPr>
          <w:b/>
          <w:bCs/>
        </w:rPr>
        <w:t xml:space="preserve">for </w:t>
      </w:r>
      <w:r w:rsidRPr="002360D5">
        <w:rPr>
          <w:b/>
          <w:bCs/>
          <w:i/>
          <w:iCs/>
        </w:rPr>
        <w:t xml:space="preserve">Aphidius rhopalosiphi </w:t>
      </w:r>
      <w:r w:rsidRPr="002360D5">
        <w:rPr>
          <w:b/>
          <w:bCs/>
        </w:rPr>
        <w:t>was &gt; 4.0 L BAS 736 00 F/ha. The ER</w:t>
      </w:r>
      <w:r w:rsidRPr="002360D5">
        <w:rPr>
          <w:b/>
          <w:bCs/>
          <w:vertAlign w:val="subscript"/>
        </w:rPr>
        <w:t>50</w:t>
      </w:r>
      <w:r w:rsidRPr="002360D5">
        <w:rPr>
          <w:b/>
          <w:bCs/>
        </w:rPr>
        <w:t xml:space="preserve"> </w:t>
      </w:r>
      <w:r w:rsidRPr="002360D5">
        <w:rPr>
          <w:b/>
        </w:rPr>
        <w:t xml:space="preserve">for reproduction </w:t>
      </w:r>
      <w:r w:rsidRPr="002360D5">
        <w:rPr>
          <w:b/>
          <w:bCs/>
        </w:rPr>
        <w:t>was estimated to be &gt; 4.0 L BAS 736 00 F/ha.</w:t>
      </w:r>
    </w:p>
    <w:p w14:paraId="666CAC45" w14:textId="77777777" w:rsidR="00E51CDD" w:rsidRPr="002360D5" w:rsidRDefault="00E51CDD" w:rsidP="00E51CDD">
      <w:pPr>
        <w:widowControl w:val="0"/>
        <w:jc w:val="both"/>
        <w:rPr>
          <w:b/>
          <w:color w:val="0070C0"/>
        </w:rPr>
      </w:pPr>
      <w:r>
        <w:rPr>
          <w:b/>
          <w:color w:val="0070C0"/>
        </w:rPr>
        <w:br w:type="page"/>
      </w:r>
    </w:p>
    <w:p w14:paraId="7219BD16" w14:textId="77777777" w:rsidR="00E51CDD" w:rsidRPr="00BE28C7" w:rsidRDefault="00E51CDD" w:rsidP="00B31542">
      <w:pPr>
        <w:pStyle w:val="RepAppendix4"/>
      </w:pPr>
      <w:bookmarkStart w:id="1238" w:name="_Hlk82077994"/>
      <w:r w:rsidRPr="00BE28C7">
        <w:lastRenderedPageBreak/>
        <w:t xml:space="preserve">Study </w:t>
      </w:r>
      <w: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4B6447AC" w14:textId="77777777" w:rsidTr="00144797">
        <w:trPr>
          <w:trHeight w:val="915"/>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bookmarkEnd w:id="1238"/>
          <w:p w14:paraId="6077F604" w14:textId="77777777" w:rsidR="00E51CDD" w:rsidRDefault="00E51CDD" w:rsidP="009938D9">
            <w:pPr>
              <w:pStyle w:val="RepStandard"/>
              <w:rPr>
                <w:rFonts w:eastAsia="Batang"/>
              </w:rPr>
            </w:pPr>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25EF8F" w14:textId="64350EE5" w:rsidR="00E51CDD" w:rsidRDefault="00B22082" w:rsidP="009938D9">
            <w:pPr>
              <w:pStyle w:val="RepStandard"/>
              <w:ind w:left="85"/>
              <w:rPr>
                <w:rFonts w:eastAsia="Batang"/>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611E5BBD"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2B06020C" w14:textId="77777777" w:rsidTr="009938D9">
        <w:trPr>
          <w:gridAfter w:val="1"/>
          <w:wAfter w:w="9" w:type="pct"/>
        </w:trPr>
        <w:tc>
          <w:tcPr>
            <w:tcW w:w="1340" w:type="pct"/>
            <w:hideMark/>
          </w:tcPr>
          <w:p w14:paraId="64B23BB9" w14:textId="77777777" w:rsidR="00E51CDD" w:rsidRDefault="00E51CDD" w:rsidP="009938D9">
            <w:pPr>
              <w:pStyle w:val="RepStandard"/>
              <w:rPr>
                <w:lang w:val="de-DE"/>
              </w:rPr>
            </w:pPr>
            <w:r>
              <w:t>Reference:</w:t>
            </w:r>
          </w:p>
        </w:tc>
        <w:tc>
          <w:tcPr>
            <w:tcW w:w="3651" w:type="pct"/>
            <w:hideMark/>
          </w:tcPr>
          <w:p w14:paraId="24AA0EC9" w14:textId="77777777" w:rsidR="00E51CDD" w:rsidRDefault="00E51CDD" w:rsidP="009938D9">
            <w:pPr>
              <w:pStyle w:val="RepStandard"/>
            </w:pPr>
            <w:r>
              <w:t>CP 10.3.2.2/3</w:t>
            </w:r>
          </w:p>
        </w:tc>
      </w:tr>
      <w:tr w:rsidR="00E51CDD" w14:paraId="468CC79A" w14:textId="77777777" w:rsidTr="009938D9">
        <w:trPr>
          <w:gridAfter w:val="1"/>
          <w:wAfter w:w="9" w:type="pct"/>
        </w:trPr>
        <w:tc>
          <w:tcPr>
            <w:tcW w:w="1340" w:type="pct"/>
            <w:hideMark/>
          </w:tcPr>
          <w:p w14:paraId="208955B6" w14:textId="77777777" w:rsidR="00E51CDD" w:rsidRDefault="00E51CDD" w:rsidP="009938D9">
            <w:pPr>
              <w:pStyle w:val="RepStandard"/>
              <w:spacing w:after="120"/>
            </w:pPr>
            <w:r>
              <w:t>Report</w:t>
            </w:r>
          </w:p>
        </w:tc>
        <w:tc>
          <w:tcPr>
            <w:tcW w:w="3651" w:type="pct"/>
            <w:hideMark/>
          </w:tcPr>
          <w:p w14:paraId="4FA9E84E" w14:textId="77777777" w:rsidR="00E51CDD" w:rsidRDefault="00E51CDD" w:rsidP="009938D9">
            <w:pPr>
              <w:pStyle w:val="RepStandard"/>
              <w:spacing w:after="120"/>
              <w:rPr>
                <w:lang w:val="en-US"/>
              </w:rPr>
            </w:pPr>
            <w:r>
              <w:rPr>
                <w:lang w:val="en-US"/>
              </w:rPr>
              <w:t>Effects of BAS 736 00 F on the green lacewing Chrysoperla carnea STEPH. in an (extended laboratory test),</w:t>
            </w:r>
          </w:p>
          <w:p w14:paraId="4441D339" w14:textId="77777777" w:rsidR="00E51CDD" w:rsidRDefault="00E51CDD" w:rsidP="009938D9">
            <w:pPr>
              <w:pStyle w:val="RepStandard"/>
              <w:spacing w:after="120"/>
              <w:rPr>
                <w:lang w:val="en-US"/>
              </w:rPr>
            </w:pPr>
            <w:r>
              <w:rPr>
                <w:lang w:val="en-US"/>
              </w:rPr>
              <w:t>Roehlig, U., 2020</w:t>
            </w:r>
          </w:p>
          <w:p w14:paraId="2C511836" w14:textId="77777777" w:rsidR="00E51CDD" w:rsidRDefault="00E51CDD" w:rsidP="009938D9">
            <w:pPr>
              <w:pStyle w:val="RepStandard"/>
              <w:spacing w:after="120"/>
              <w:rPr>
                <w:lang w:val="en-US"/>
              </w:rPr>
            </w:pPr>
            <w:r>
              <w:rPr>
                <w:lang w:val="en-US"/>
              </w:rPr>
              <w:t>report No 849666, 2048NCE0002</w:t>
            </w:r>
          </w:p>
          <w:p w14:paraId="3E1A95AD" w14:textId="77777777" w:rsidR="00E51CDD" w:rsidRDefault="00E51CDD" w:rsidP="009938D9">
            <w:pPr>
              <w:pStyle w:val="RepStandard"/>
              <w:spacing w:after="120"/>
            </w:pPr>
            <w:r>
              <w:rPr>
                <w:lang w:val="en-US"/>
              </w:rPr>
              <w:t>2019/2054735</w:t>
            </w:r>
          </w:p>
          <w:p w14:paraId="1CECE152" w14:textId="77777777" w:rsidR="00E51CDD" w:rsidRDefault="00E51CDD" w:rsidP="009938D9">
            <w:pPr>
              <w:pStyle w:val="RepStandard"/>
            </w:pPr>
            <w:r>
              <w:t>Authority registration No</w:t>
            </w:r>
          </w:p>
        </w:tc>
      </w:tr>
      <w:tr w:rsidR="00E51CDD" w14:paraId="298DC306" w14:textId="77777777" w:rsidTr="009938D9">
        <w:trPr>
          <w:gridAfter w:val="1"/>
          <w:wAfter w:w="9" w:type="pct"/>
        </w:trPr>
        <w:tc>
          <w:tcPr>
            <w:tcW w:w="1340" w:type="pct"/>
            <w:hideMark/>
          </w:tcPr>
          <w:p w14:paraId="21D23D5B" w14:textId="77777777" w:rsidR="00E51CDD" w:rsidRDefault="00E51CDD" w:rsidP="009938D9">
            <w:pPr>
              <w:pStyle w:val="RepStandard"/>
            </w:pPr>
            <w:r>
              <w:t>Guideline(s):</w:t>
            </w:r>
          </w:p>
        </w:tc>
        <w:tc>
          <w:tcPr>
            <w:tcW w:w="3651" w:type="pct"/>
            <w:hideMark/>
          </w:tcPr>
          <w:p w14:paraId="1988A0CE" w14:textId="77777777" w:rsidR="00E51CDD" w:rsidRDefault="00E51CDD" w:rsidP="009938D9">
            <w:pPr>
              <w:pStyle w:val="RepStandard"/>
              <w:spacing w:after="120"/>
            </w:pPr>
            <w:r>
              <w:rPr>
                <w:lang w:val="en-US"/>
              </w:rPr>
              <w:t>IOBC (Vogt et al. 2000) modified for the exposure on natural substrate (extended laboratory test)</w:t>
            </w:r>
            <w:r>
              <w:t xml:space="preserve"> </w:t>
            </w:r>
          </w:p>
        </w:tc>
      </w:tr>
      <w:tr w:rsidR="00E51CDD" w14:paraId="70AA1460" w14:textId="77777777" w:rsidTr="009938D9">
        <w:trPr>
          <w:gridAfter w:val="1"/>
          <w:wAfter w:w="9" w:type="pct"/>
        </w:trPr>
        <w:tc>
          <w:tcPr>
            <w:tcW w:w="1340" w:type="pct"/>
            <w:hideMark/>
          </w:tcPr>
          <w:p w14:paraId="3E7F7BE5" w14:textId="77777777" w:rsidR="00E51CDD" w:rsidRDefault="00E51CDD" w:rsidP="009938D9">
            <w:pPr>
              <w:pStyle w:val="RepStandard"/>
            </w:pPr>
            <w:r>
              <w:t>Deviations:</w:t>
            </w:r>
          </w:p>
        </w:tc>
        <w:tc>
          <w:tcPr>
            <w:tcW w:w="3651" w:type="pct"/>
            <w:hideMark/>
          </w:tcPr>
          <w:p w14:paraId="3BC0DB4E" w14:textId="77777777" w:rsidR="00E51CDD" w:rsidRDefault="00E51CDD" w:rsidP="009938D9">
            <w:pPr>
              <w:pStyle w:val="RepStandard"/>
              <w:spacing w:after="120"/>
            </w:pPr>
            <w:r>
              <w:t>No</w:t>
            </w:r>
          </w:p>
        </w:tc>
      </w:tr>
      <w:tr w:rsidR="00E51CDD" w:rsidRPr="00662F32" w14:paraId="33CAF3C1" w14:textId="77777777" w:rsidTr="009938D9">
        <w:tc>
          <w:tcPr>
            <w:tcW w:w="1340" w:type="pct"/>
            <w:hideMark/>
          </w:tcPr>
          <w:p w14:paraId="47DCAD4C" w14:textId="77777777" w:rsidR="00E51CDD" w:rsidRDefault="00E51CDD" w:rsidP="009938D9">
            <w:pPr>
              <w:pStyle w:val="RepStandard"/>
            </w:pPr>
            <w:r>
              <w:t>GLP:</w:t>
            </w:r>
          </w:p>
        </w:tc>
        <w:tc>
          <w:tcPr>
            <w:tcW w:w="3660" w:type="pct"/>
            <w:gridSpan w:val="2"/>
            <w:hideMark/>
          </w:tcPr>
          <w:p w14:paraId="77F1115A" w14:textId="77777777" w:rsidR="00E51CDD" w:rsidRPr="001C4EA6" w:rsidRDefault="00E51CDD" w:rsidP="009938D9">
            <w:pPr>
              <w:tabs>
                <w:tab w:val="left" w:pos="425"/>
                <w:tab w:val="left" w:pos="850"/>
              </w:tabs>
              <w:spacing w:after="120"/>
              <w:ind w:left="1985" w:hanging="1985"/>
              <w:rPr>
                <w:b/>
                <w:lang w:val="de-DE"/>
              </w:rPr>
            </w:pPr>
            <w:r w:rsidRPr="001C4EA6">
              <w:rPr>
                <w:lang w:val="de-DE"/>
              </w:rPr>
              <w:t>yes</w:t>
            </w:r>
          </w:p>
          <w:p w14:paraId="7633943E" w14:textId="77777777" w:rsidR="00E51CDD" w:rsidRPr="001C4EA6" w:rsidRDefault="00E51CDD" w:rsidP="009938D9">
            <w:pPr>
              <w:pStyle w:val="RepStandard"/>
              <w:spacing w:after="120"/>
              <w:jc w:val="left"/>
              <w:rPr>
                <w:lang w:val="de-DE"/>
              </w:rPr>
            </w:pPr>
            <w:r w:rsidRPr="001C4EA6">
              <w:rPr>
                <w:lang w:val="de-DE"/>
              </w:rPr>
              <w:t>(certified by Saechsisches Staatsministerium fuer Umwelt und Landwirtschaft, Dresden, Germany),</w:t>
            </w:r>
          </w:p>
        </w:tc>
      </w:tr>
      <w:tr w:rsidR="00E51CDD" w14:paraId="22E97621" w14:textId="77777777" w:rsidTr="009938D9">
        <w:trPr>
          <w:gridAfter w:val="1"/>
          <w:wAfter w:w="9" w:type="pct"/>
        </w:trPr>
        <w:tc>
          <w:tcPr>
            <w:tcW w:w="1340" w:type="pct"/>
            <w:hideMark/>
          </w:tcPr>
          <w:p w14:paraId="0BF5F5E1" w14:textId="77777777" w:rsidR="00E51CDD" w:rsidRDefault="00E51CDD" w:rsidP="009938D9">
            <w:pPr>
              <w:pStyle w:val="RepStandard"/>
              <w:rPr>
                <w:lang w:val="de-DE"/>
              </w:rPr>
            </w:pPr>
            <w:r>
              <w:t>Acceptability:</w:t>
            </w:r>
          </w:p>
        </w:tc>
        <w:tc>
          <w:tcPr>
            <w:tcW w:w="3651" w:type="pct"/>
            <w:hideMark/>
          </w:tcPr>
          <w:p w14:paraId="75E66624" w14:textId="77777777" w:rsidR="00E51CDD" w:rsidRDefault="00E51CDD" w:rsidP="009938D9">
            <w:pPr>
              <w:pStyle w:val="RepStandard"/>
            </w:pPr>
            <w:r>
              <w:t xml:space="preserve">Yes </w:t>
            </w:r>
          </w:p>
        </w:tc>
      </w:tr>
      <w:tr w:rsidR="00E51CDD" w14:paraId="36BF0D9A" w14:textId="77777777" w:rsidTr="009938D9">
        <w:trPr>
          <w:gridAfter w:val="1"/>
          <w:wAfter w:w="9" w:type="pct"/>
        </w:trPr>
        <w:tc>
          <w:tcPr>
            <w:tcW w:w="1340" w:type="pct"/>
            <w:hideMark/>
          </w:tcPr>
          <w:p w14:paraId="71659DFC" w14:textId="77777777" w:rsidR="00E51CDD" w:rsidRDefault="00E51CDD" w:rsidP="009938D9">
            <w:pPr>
              <w:pStyle w:val="RepStandard"/>
            </w:pPr>
            <w:r>
              <w:t xml:space="preserve">Duplication </w:t>
            </w:r>
            <w:r>
              <w:br/>
              <w:t>(if vertebrate study)</w:t>
            </w:r>
          </w:p>
        </w:tc>
        <w:tc>
          <w:tcPr>
            <w:tcW w:w="3651" w:type="pct"/>
            <w:hideMark/>
          </w:tcPr>
          <w:p w14:paraId="626AD01F" w14:textId="77777777" w:rsidR="00E51CDD" w:rsidRDefault="00E51CDD" w:rsidP="009938D9">
            <w:pPr>
              <w:pStyle w:val="RepStandard"/>
              <w:spacing w:after="120"/>
              <w:rPr>
                <w:highlight w:val="yellow"/>
              </w:rPr>
            </w:pPr>
            <w:r>
              <w:t>No</w:t>
            </w:r>
          </w:p>
        </w:tc>
      </w:tr>
    </w:tbl>
    <w:p w14:paraId="5A79ACB4" w14:textId="77777777" w:rsidR="00E51CDD" w:rsidRPr="00062BA7" w:rsidRDefault="00E51CDD" w:rsidP="00E51CDD">
      <w:pPr>
        <w:tabs>
          <w:tab w:val="left" w:pos="720"/>
        </w:tabs>
        <w:rPr>
          <w:b/>
          <w:szCs w:val="24"/>
        </w:rPr>
      </w:pPr>
    </w:p>
    <w:p w14:paraId="08E3547A" w14:textId="77777777" w:rsidR="00E51CDD" w:rsidRPr="00062BA7" w:rsidRDefault="00E51CDD" w:rsidP="00E51CDD">
      <w:pPr>
        <w:tabs>
          <w:tab w:val="left" w:pos="720"/>
        </w:tabs>
        <w:rPr>
          <w:b/>
          <w:szCs w:val="24"/>
        </w:rPr>
      </w:pPr>
      <w:r w:rsidRPr="00062BA7">
        <w:rPr>
          <w:b/>
          <w:szCs w:val="24"/>
        </w:rPr>
        <w:t>Executive Summary</w:t>
      </w:r>
    </w:p>
    <w:p w14:paraId="142C930E" w14:textId="77777777" w:rsidR="00E51CDD" w:rsidRPr="00062BA7" w:rsidRDefault="00E51CDD" w:rsidP="00E51CDD">
      <w:pPr>
        <w:widowControl w:val="0"/>
        <w:tabs>
          <w:tab w:val="left" w:pos="425"/>
          <w:tab w:val="left" w:pos="850"/>
        </w:tabs>
        <w:ind w:left="2835" w:hanging="2835"/>
        <w:jc w:val="both"/>
        <w:rPr>
          <w:b/>
          <w:szCs w:val="24"/>
        </w:rPr>
      </w:pPr>
    </w:p>
    <w:p w14:paraId="0D12458C" w14:textId="77777777" w:rsidR="00E51CDD" w:rsidRPr="00062BA7" w:rsidRDefault="00E51CDD" w:rsidP="00E51CDD">
      <w:pPr>
        <w:widowControl w:val="0"/>
        <w:spacing w:after="160" w:line="259" w:lineRule="auto"/>
        <w:jc w:val="both"/>
        <w:rPr>
          <w:rFonts w:eastAsia="Calibri"/>
          <w:lang w:eastAsia="en-US"/>
        </w:rPr>
      </w:pPr>
      <w:r w:rsidRPr="00062BA7">
        <w:rPr>
          <w:szCs w:val="24"/>
          <w:lang w:eastAsia="en-US"/>
        </w:rPr>
        <w:t>In an extended laboratory study, larvae</w:t>
      </w:r>
      <w:r w:rsidRPr="00062BA7">
        <w:rPr>
          <w:i/>
          <w:iCs/>
          <w:szCs w:val="24"/>
          <w:lang w:eastAsia="en-US"/>
        </w:rPr>
        <w:t xml:space="preserve"> </w:t>
      </w:r>
      <w:r w:rsidRPr="00062BA7">
        <w:rPr>
          <w:szCs w:val="24"/>
          <w:lang w:eastAsia="en-US"/>
        </w:rPr>
        <w:t xml:space="preserve">of </w:t>
      </w:r>
      <w:r w:rsidRPr="00062BA7">
        <w:rPr>
          <w:i/>
          <w:iCs/>
          <w:szCs w:val="24"/>
          <w:lang w:eastAsia="en-US"/>
        </w:rPr>
        <w:t>Chrysoperla carnea</w:t>
      </w:r>
      <w:r w:rsidRPr="00062BA7">
        <w:rPr>
          <w:szCs w:val="24"/>
          <w:lang w:eastAsia="en-US"/>
        </w:rPr>
        <w:t xml:space="preserve"> (Neuroptera: Chrysopidae) were exposed to fresh, dried residues of BAS 736 00 F on bean leaves. The test item was applied at rates of </w:t>
      </w:r>
      <w:r w:rsidRPr="00062BA7">
        <w:rPr>
          <w:rFonts w:eastAsia="Calibri"/>
          <w:lang w:eastAsia="en-US"/>
        </w:rPr>
        <w:t>0.25, 0.5, 1.0, 2.0 and 4.0 L BAS 736 00 F/ha</w:t>
      </w:r>
      <w:r w:rsidRPr="00062BA7">
        <w:rPr>
          <w:szCs w:val="24"/>
          <w:lang w:eastAsia="en-US"/>
        </w:rPr>
        <w:t xml:space="preserve">. </w:t>
      </w:r>
      <w:r w:rsidRPr="00062BA7">
        <w:rPr>
          <w:rFonts w:eastAsia="Calibri"/>
          <w:lang w:eastAsia="en-US"/>
        </w:rPr>
        <w:t>Additional test units were treated with deionized water as control and with DANADIM PROGRESS (dimethoate) as reference item. Assessment of mortality was conducted regularly until hatching of the adult lacewings by the number of dead larvae and pupae. For the control and all test item groups up to and including 4.0 L/ha BAS 736 00 F the reproductive performance, i.e. egg deposition and hatching rate, was assessed (2 assessments/week, 24 h period each).</w:t>
      </w:r>
    </w:p>
    <w:p w14:paraId="1102CDF3" w14:textId="77777777" w:rsidR="00E51CDD" w:rsidRPr="00062BA7" w:rsidRDefault="00E51CDD" w:rsidP="00E51CDD">
      <w:pPr>
        <w:widowControl w:val="0"/>
        <w:jc w:val="both"/>
        <w:rPr>
          <w:bCs/>
        </w:rPr>
      </w:pPr>
      <w:r w:rsidRPr="00062BA7">
        <w:rPr>
          <w:bCs/>
        </w:rPr>
        <w:t xml:space="preserve">A mortality of 6.0% was observed in the control group. In the test item treatment groups, mortalities ranged from 6.0 to 50.0% resulting in corrected mortality rates between 0% and 46.8%. Statistically significant effects on mortality were observed in the highest test item treatment group of 4.0 L product/ha. No effects on reproduction of </w:t>
      </w:r>
      <w:r w:rsidRPr="00062BA7">
        <w:rPr>
          <w:bCs/>
          <w:i/>
          <w:iCs/>
        </w:rPr>
        <w:t>Chrysoperla carnea</w:t>
      </w:r>
      <w:r w:rsidRPr="00062BA7">
        <w:rPr>
          <w:bCs/>
        </w:rPr>
        <w:t xml:space="preserve"> occurred, when the test item was applied at rates up to and including 4.0 L/ha BAS 736 00 F. Reproduction in the control and all test item treatments number of eggs per female per day was &gt; 15 and the hatching rate was &gt; 70% in the control.</w:t>
      </w:r>
    </w:p>
    <w:p w14:paraId="33A39EB2" w14:textId="77777777" w:rsidR="00E51CDD" w:rsidRPr="00062BA7" w:rsidRDefault="00E51CDD" w:rsidP="00E51CDD">
      <w:pPr>
        <w:widowControl w:val="0"/>
        <w:jc w:val="both"/>
        <w:rPr>
          <w:b/>
          <w:szCs w:val="24"/>
        </w:rPr>
      </w:pPr>
    </w:p>
    <w:p w14:paraId="270BEE14" w14:textId="77777777" w:rsidR="00E51CDD" w:rsidRPr="00062BA7" w:rsidRDefault="00E51CDD" w:rsidP="00E51CDD">
      <w:pPr>
        <w:widowControl w:val="0"/>
        <w:jc w:val="both"/>
        <w:rPr>
          <w:b/>
          <w:i/>
        </w:rPr>
      </w:pPr>
      <w:r w:rsidRPr="00062BA7">
        <w:rPr>
          <w:b/>
        </w:rPr>
        <w:t xml:space="preserve">In an extended laboratory study with </w:t>
      </w:r>
      <w:r w:rsidRPr="00062BA7">
        <w:rPr>
          <w:b/>
          <w:iCs/>
        </w:rPr>
        <w:t>BAS 736 00 F</w:t>
      </w:r>
      <w:r w:rsidRPr="00062BA7">
        <w:rPr>
          <w:b/>
        </w:rPr>
        <w:t>, the LR</w:t>
      </w:r>
      <w:r w:rsidRPr="00062BA7">
        <w:rPr>
          <w:b/>
          <w:vertAlign w:val="subscript"/>
        </w:rPr>
        <w:t>50</w:t>
      </w:r>
      <w:r w:rsidRPr="00062BA7">
        <w:rPr>
          <w:b/>
        </w:rPr>
        <w:t xml:space="preserve"> for </w:t>
      </w:r>
      <w:r w:rsidRPr="00062BA7">
        <w:rPr>
          <w:b/>
          <w:bCs/>
          <w:i/>
          <w:iCs/>
          <w:szCs w:val="24"/>
          <w:lang w:eastAsia="en-US"/>
        </w:rPr>
        <w:t>Chrysoperla carnea</w:t>
      </w:r>
      <w:r w:rsidRPr="00062BA7">
        <w:rPr>
          <w:b/>
          <w:bCs/>
          <w:szCs w:val="24"/>
          <w:lang w:eastAsia="en-US"/>
        </w:rPr>
        <w:t xml:space="preserve"> </w:t>
      </w:r>
      <w:r w:rsidRPr="00062BA7">
        <w:rPr>
          <w:b/>
        </w:rPr>
        <w:t>was &gt; 4 L BAS 736 00 F/ha. No unacceptable effects on reproduction were observed up to and including an application rate of 4 L BAS 736 00 F/ha.</w:t>
      </w:r>
    </w:p>
    <w:p w14:paraId="0FB93FD3" w14:textId="77777777" w:rsidR="00E51CDD" w:rsidRPr="00062BA7" w:rsidRDefault="00E51CDD" w:rsidP="00E51CDD">
      <w:pPr>
        <w:widowControl w:val="0"/>
        <w:tabs>
          <w:tab w:val="left" w:pos="425"/>
          <w:tab w:val="left" w:pos="850"/>
        </w:tabs>
        <w:ind w:left="2835" w:hanging="2835"/>
        <w:jc w:val="both"/>
        <w:rPr>
          <w:b/>
          <w:bCs/>
          <w:color w:val="0070C0"/>
        </w:rPr>
      </w:pPr>
    </w:p>
    <w:p w14:paraId="50D22ADD" w14:textId="77777777" w:rsidR="00E51CDD" w:rsidRPr="00062BA7" w:rsidRDefault="00E51CDD" w:rsidP="00E51CDD">
      <w:pPr>
        <w:widowControl w:val="0"/>
        <w:tabs>
          <w:tab w:val="left" w:pos="425"/>
          <w:tab w:val="left" w:pos="850"/>
        </w:tabs>
        <w:ind w:left="2835" w:hanging="2835"/>
        <w:jc w:val="both"/>
        <w:rPr>
          <w:b/>
          <w:bCs/>
          <w:color w:val="0070C0"/>
        </w:rPr>
      </w:pPr>
    </w:p>
    <w:p w14:paraId="29C33661" w14:textId="77777777" w:rsidR="00E51CDD" w:rsidRPr="00062BA7" w:rsidRDefault="00E51CDD" w:rsidP="00E51CDD">
      <w:pPr>
        <w:widowControl w:val="0"/>
        <w:tabs>
          <w:tab w:val="left" w:pos="425"/>
          <w:tab w:val="left" w:pos="850"/>
        </w:tabs>
        <w:ind w:left="2835" w:hanging="2835"/>
        <w:jc w:val="both"/>
        <w:rPr>
          <w:b/>
          <w:bCs/>
          <w:color w:val="0070C0"/>
        </w:rPr>
      </w:pPr>
      <w:r>
        <w:rPr>
          <w:b/>
          <w:bCs/>
          <w:color w:val="0070C0"/>
        </w:rPr>
        <w:br w:type="page"/>
      </w:r>
    </w:p>
    <w:p w14:paraId="4109F5C3" w14:textId="77777777" w:rsidR="00E51CDD" w:rsidRPr="00062BA7" w:rsidRDefault="00E51CDD" w:rsidP="00E51CDD">
      <w:pPr>
        <w:tabs>
          <w:tab w:val="left" w:pos="425"/>
          <w:tab w:val="left" w:pos="850"/>
        </w:tabs>
        <w:suppressAutoHyphens/>
        <w:ind w:left="2835" w:hanging="2835"/>
        <w:rPr>
          <w:b/>
          <w:bCs/>
        </w:rPr>
      </w:pPr>
      <w:r w:rsidRPr="00062BA7">
        <w:rPr>
          <w:b/>
          <w:bCs/>
        </w:rPr>
        <w:lastRenderedPageBreak/>
        <w:t>I.</w:t>
      </w:r>
      <w:r w:rsidRPr="00062BA7">
        <w:rPr>
          <w:b/>
          <w:bCs/>
        </w:rPr>
        <w:tab/>
        <w:t>MATERIALS AND METHODS</w:t>
      </w:r>
    </w:p>
    <w:p w14:paraId="36262177" w14:textId="77777777" w:rsidR="00E51CDD" w:rsidRPr="00062BA7" w:rsidRDefault="00E51CDD" w:rsidP="00E51CDD">
      <w:pPr>
        <w:suppressAutoHyphens/>
      </w:pPr>
    </w:p>
    <w:p w14:paraId="6FDEB416" w14:textId="77777777" w:rsidR="00E51CDD" w:rsidRPr="00062BA7" w:rsidRDefault="00E51CDD" w:rsidP="00E51CDD">
      <w:pPr>
        <w:tabs>
          <w:tab w:val="left" w:pos="425"/>
          <w:tab w:val="left" w:pos="850"/>
        </w:tabs>
        <w:suppressAutoHyphens/>
        <w:ind w:left="2835" w:hanging="2835"/>
        <w:rPr>
          <w:b/>
          <w:bCs/>
        </w:rPr>
      </w:pPr>
      <w:r w:rsidRPr="00062BA7">
        <w:rPr>
          <w:b/>
          <w:bCs/>
        </w:rPr>
        <w:t>A.</w:t>
      </w:r>
      <w:r w:rsidRPr="00062BA7">
        <w:rPr>
          <w:b/>
          <w:bCs/>
        </w:rPr>
        <w:tab/>
        <w:t>MATERIALS</w:t>
      </w:r>
    </w:p>
    <w:p w14:paraId="4DAF925F" w14:textId="77777777" w:rsidR="00E51CDD" w:rsidRPr="00062BA7" w:rsidRDefault="00E51CDD" w:rsidP="00E51CDD">
      <w:pPr>
        <w:widowControl w:val="0"/>
        <w:tabs>
          <w:tab w:val="left" w:pos="425"/>
          <w:tab w:val="left" w:pos="850"/>
        </w:tabs>
        <w:ind w:left="2835" w:hanging="2835"/>
        <w:jc w:val="both"/>
        <w:rPr>
          <w:b/>
        </w:rPr>
      </w:pPr>
    </w:p>
    <w:p w14:paraId="638F3361" w14:textId="77777777" w:rsidR="00E51CDD" w:rsidRPr="00062BA7" w:rsidRDefault="00E51CDD" w:rsidP="00E51CDD">
      <w:pPr>
        <w:widowControl w:val="0"/>
        <w:spacing w:after="160" w:line="259" w:lineRule="auto"/>
        <w:ind w:left="2310" w:hanging="2310"/>
        <w:jc w:val="both"/>
        <w:rPr>
          <w:rFonts w:eastAsia="Calibri"/>
          <w:lang w:eastAsia="en-US"/>
        </w:rPr>
      </w:pPr>
      <w:r w:rsidRPr="00062BA7">
        <w:rPr>
          <w:szCs w:val="24"/>
        </w:rPr>
        <w:t xml:space="preserve">Test item: </w:t>
      </w:r>
      <w:r w:rsidRPr="00062BA7">
        <w:rPr>
          <w:szCs w:val="24"/>
        </w:rPr>
        <w:tab/>
      </w:r>
      <w:r w:rsidRPr="00062BA7">
        <w:rPr>
          <w:rFonts w:eastAsia="Calibri"/>
          <w:szCs w:val="24"/>
          <w:lang w:eastAsia="en-US"/>
        </w:rPr>
        <w:t>BAS 736 00 F; batch no. FD-190220-0002; content of a.s.: azoxystrobin (BAS 9164 F, Reg. No. 300 254): 73.9 g/L analyzed (75.0</w:t>
      </w:r>
      <w:r w:rsidRPr="00062BA7">
        <w:rPr>
          <w:rFonts w:eastAsia="Calibri"/>
          <w:lang w:eastAsia="en-US"/>
        </w:rPr>
        <w:t> g</w:t>
      </w:r>
      <w:r w:rsidRPr="00062BA7">
        <w:rPr>
          <w:rFonts w:eastAsia="Calibri"/>
          <w:szCs w:val="24"/>
          <w:lang w:eastAsia="en-US"/>
        </w:rPr>
        <w:t>/L nominal), fluxapyroxad (BAS 700 F, Reg. No. 5 094 351): 49.4 g/L analyzed (50.0 g/L nominal); density: 1.078 g/cm³.</w:t>
      </w:r>
    </w:p>
    <w:p w14:paraId="07B30D86" w14:textId="77777777" w:rsidR="00E51CDD" w:rsidRPr="00062BA7" w:rsidRDefault="00E51CDD" w:rsidP="00E51CDD">
      <w:pPr>
        <w:widowControl w:val="0"/>
        <w:ind w:left="2268" w:hanging="2268"/>
        <w:jc w:val="both"/>
        <w:rPr>
          <w:color w:val="0070C0"/>
        </w:rPr>
      </w:pPr>
    </w:p>
    <w:p w14:paraId="7B1A75C3" w14:textId="77777777" w:rsidR="00E51CDD" w:rsidRPr="00062BA7" w:rsidRDefault="00E51CDD" w:rsidP="00E51CDD">
      <w:pPr>
        <w:tabs>
          <w:tab w:val="left" w:pos="425"/>
          <w:tab w:val="left" w:pos="850"/>
        </w:tabs>
        <w:suppressAutoHyphens/>
        <w:ind w:left="2835" w:hanging="2835"/>
        <w:rPr>
          <w:b/>
          <w:bCs/>
        </w:rPr>
      </w:pPr>
      <w:r w:rsidRPr="00062BA7">
        <w:rPr>
          <w:b/>
          <w:bCs/>
        </w:rPr>
        <w:t>B.</w:t>
      </w:r>
      <w:r w:rsidRPr="00062BA7">
        <w:rPr>
          <w:b/>
          <w:bCs/>
        </w:rPr>
        <w:tab/>
        <w:t>STUDY DESIGN</w:t>
      </w:r>
    </w:p>
    <w:p w14:paraId="4124C0DC" w14:textId="77777777" w:rsidR="00E51CDD" w:rsidRPr="00062BA7" w:rsidRDefault="00E51CDD" w:rsidP="00E51CDD">
      <w:pPr>
        <w:widowControl w:val="0"/>
        <w:ind w:left="2268" w:hanging="2268"/>
        <w:jc w:val="both"/>
      </w:pPr>
    </w:p>
    <w:p w14:paraId="3A079E0D" w14:textId="77777777" w:rsidR="00E51CDD" w:rsidRPr="00062BA7" w:rsidRDefault="00E51CDD" w:rsidP="00E51CDD">
      <w:pPr>
        <w:widowControl w:val="0"/>
        <w:ind w:left="2268" w:hanging="2268"/>
        <w:jc w:val="both"/>
      </w:pPr>
      <w:r w:rsidRPr="00062BA7">
        <w:t xml:space="preserve">Test species: </w:t>
      </w:r>
      <w:r w:rsidRPr="00062BA7">
        <w:tab/>
        <w:t>Green lacewing (</w:t>
      </w:r>
      <w:r w:rsidRPr="00062BA7">
        <w:rPr>
          <w:i/>
        </w:rPr>
        <w:t>Chrysoperla carnea</w:t>
      </w:r>
      <w:r w:rsidRPr="00062BA7">
        <w:t xml:space="preserve"> Steph), larvae (2 - 3 days old), source: reared in the laboratory of the test facility.</w:t>
      </w:r>
    </w:p>
    <w:p w14:paraId="5147224D" w14:textId="77777777" w:rsidR="00E51CDD" w:rsidRPr="00062BA7" w:rsidRDefault="00E51CDD" w:rsidP="00E51CDD">
      <w:pPr>
        <w:widowControl w:val="0"/>
        <w:ind w:left="2268" w:hanging="2268"/>
        <w:jc w:val="both"/>
      </w:pPr>
    </w:p>
    <w:p w14:paraId="30FBCC0D" w14:textId="77777777" w:rsidR="00E51CDD" w:rsidRPr="00062BA7" w:rsidRDefault="00E51CDD" w:rsidP="00E51CDD">
      <w:pPr>
        <w:widowControl w:val="0"/>
        <w:ind w:left="2268" w:hanging="2268"/>
        <w:jc w:val="both"/>
      </w:pPr>
      <w:r w:rsidRPr="00062BA7">
        <w:t xml:space="preserve">Test design: </w:t>
      </w:r>
      <w:r w:rsidRPr="00062BA7">
        <w:tab/>
        <w:t>Exposure of the larvae was reached via air-dried spray residues on treated bean leaves(</w:t>
      </w:r>
      <w:r w:rsidRPr="00062BA7">
        <w:rPr>
          <w:i/>
        </w:rPr>
        <w:t>Phaseolus vulgaris</w:t>
      </w:r>
      <w:r w:rsidRPr="00062BA7">
        <w:t>). 7 treatment groups (5 test item, water treated control, reference item); 50 replicates (consisting of one larva per replicate) per treatment group. Exposure lasted until pupae were transferred to oviposition units for development of adults. Mortality assessments were carried out regularly until hatching of the adult lacewings. In addition, for the control and all test item groups up to and including 4.0 L/ha BAS 736 00 F the reproductive performance, i.e. egg deposition and hatching rate, was determined (2 assessments/week, 24 h period each).</w:t>
      </w:r>
    </w:p>
    <w:p w14:paraId="46CFCDAA" w14:textId="77777777" w:rsidR="00E51CDD" w:rsidRPr="00062BA7" w:rsidRDefault="00E51CDD" w:rsidP="00E51CDD">
      <w:pPr>
        <w:widowControl w:val="0"/>
        <w:ind w:left="2268" w:hanging="2268"/>
        <w:jc w:val="both"/>
        <w:rPr>
          <w:color w:val="0070C0"/>
        </w:rPr>
      </w:pPr>
    </w:p>
    <w:p w14:paraId="2D11BC6A" w14:textId="77777777" w:rsidR="00E51CDD" w:rsidRPr="00062BA7" w:rsidRDefault="00E51CDD" w:rsidP="00E51CDD">
      <w:pPr>
        <w:widowControl w:val="0"/>
        <w:ind w:left="2268" w:hanging="2268"/>
        <w:jc w:val="both"/>
      </w:pPr>
      <w:r w:rsidRPr="00062BA7">
        <w:t>Endpoints:</w:t>
      </w:r>
      <w:r w:rsidRPr="00062BA7">
        <w:tab/>
        <w:t>Pre-imaginal mortality including the estimation of a LR</w:t>
      </w:r>
      <w:r w:rsidRPr="00062BA7">
        <w:rPr>
          <w:vertAlign w:val="subscript"/>
        </w:rPr>
        <w:t>50</w:t>
      </w:r>
      <w:r w:rsidRPr="00062BA7">
        <w:t xml:space="preserve"> (Lethal Rate 50%, rate resulting in 50% mortality), Reproductive performance: number of produced eggs per female per day and hatching rate.</w:t>
      </w:r>
    </w:p>
    <w:p w14:paraId="1C75F731" w14:textId="77777777" w:rsidR="00E51CDD" w:rsidRPr="00062BA7" w:rsidRDefault="00E51CDD" w:rsidP="00E51CDD">
      <w:pPr>
        <w:widowControl w:val="0"/>
        <w:ind w:left="2268" w:hanging="2268"/>
        <w:jc w:val="both"/>
        <w:rPr>
          <w:color w:val="0070C0"/>
        </w:rPr>
      </w:pPr>
    </w:p>
    <w:p w14:paraId="7498CD9E" w14:textId="77777777" w:rsidR="00E51CDD" w:rsidRPr="00062BA7" w:rsidRDefault="00E51CDD" w:rsidP="00E51CDD">
      <w:pPr>
        <w:widowControl w:val="0"/>
        <w:ind w:left="2268" w:hanging="2268"/>
        <w:jc w:val="both"/>
      </w:pPr>
      <w:r w:rsidRPr="00062BA7">
        <w:t xml:space="preserve">Reference item: </w:t>
      </w:r>
      <w:r w:rsidRPr="00062BA7">
        <w:tab/>
        <w:t>DANADIM PROGRESS (a.s.: dimethoate, analyzed content: 411.2 g/L, nominal: 400 g/L).</w:t>
      </w:r>
    </w:p>
    <w:p w14:paraId="251516CB" w14:textId="77777777" w:rsidR="00E51CDD" w:rsidRPr="00062BA7" w:rsidRDefault="00E51CDD" w:rsidP="00E51CDD">
      <w:pPr>
        <w:widowControl w:val="0"/>
        <w:jc w:val="both"/>
        <w:rPr>
          <w:color w:val="0070C0"/>
        </w:rPr>
      </w:pPr>
    </w:p>
    <w:p w14:paraId="35182EE8" w14:textId="77777777" w:rsidR="00E51CDD" w:rsidRPr="00062BA7" w:rsidRDefault="00E51CDD" w:rsidP="00E51CDD">
      <w:pPr>
        <w:widowControl w:val="0"/>
        <w:spacing w:line="259" w:lineRule="auto"/>
        <w:ind w:left="2268" w:hanging="2268"/>
        <w:jc w:val="both"/>
        <w:rPr>
          <w:color w:val="000000"/>
          <w:szCs w:val="24"/>
        </w:rPr>
      </w:pPr>
      <w:r w:rsidRPr="00062BA7">
        <w:t xml:space="preserve">Test rates: </w:t>
      </w:r>
      <w:r w:rsidRPr="00062BA7">
        <w:tab/>
        <w:t xml:space="preserve">Control: deionized water, test item: 0.25, 0.5, 1.0, 2.0 and 4.0 L BAS 736 00 F/ha, reference item: 40 mL/ha. </w:t>
      </w:r>
    </w:p>
    <w:tbl>
      <w:tblPr>
        <w:tblStyle w:val="DAR0077"/>
        <w:tblW w:w="3784" w:type="pct"/>
        <w:tblInd w:w="2263" w:type="dxa"/>
        <w:tblLook w:val="04A0" w:firstRow="1" w:lastRow="0" w:firstColumn="1" w:lastColumn="0" w:noHBand="0" w:noVBand="1"/>
      </w:tblPr>
      <w:tblGrid>
        <w:gridCol w:w="2933"/>
        <w:gridCol w:w="2071"/>
        <w:gridCol w:w="2068"/>
      </w:tblGrid>
      <w:tr w:rsidR="00E51CDD" w:rsidRPr="00062BA7" w14:paraId="1FF5E39A" w14:textId="77777777" w:rsidTr="009938D9">
        <w:trPr>
          <w:trHeight w:val="247"/>
        </w:trPr>
        <w:tc>
          <w:tcPr>
            <w:tcW w:w="2074" w:type="pct"/>
            <w:vAlign w:val="center"/>
          </w:tcPr>
          <w:p w14:paraId="7BCC46DB" w14:textId="77777777" w:rsidR="00E51CDD" w:rsidRPr="00062BA7" w:rsidRDefault="00E51CDD" w:rsidP="009938D9">
            <w:pPr>
              <w:widowControl w:val="0"/>
              <w:rPr>
                <w:color w:val="000000"/>
                <w:sz w:val="20"/>
                <w:szCs w:val="24"/>
              </w:rPr>
            </w:pPr>
            <w:r w:rsidRPr="00062BA7">
              <w:rPr>
                <w:color w:val="000000"/>
                <w:sz w:val="20"/>
                <w:szCs w:val="24"/>
              </w:rPr>
              <w:t>BAS 736 00 F</w:t>
            </w:r>
          </w:p>
          <w:p w14:paraId="66C731D2" w14:textId="77777777" w:rsidR="00E51CDD" w:rsidRPr="00062BA7" w:rsidRDefault="00E51CDD" w:rsidP="009938D9">
            <w:pPr>
              <w:widowControl w:val="0"/>
              <w:rPr>
                <w:color w:val="000000"/>
                <w:sz w:val="20"/>
                <w:szCs w:val="24"/>
              </w:rPr>
            </w:pPr>
            <w:r w:rsidRPr="00062BA7">
              <w:rPr>
                <w:color w:val="000000"/>
                <w:sz w:val="20"/>
                <w:szCs w:val="24"/>
              </w:rPr>
              <w:t>[L product/ha]</w:t>
            </w:r>
          </w:p>
        </w:tc>
        <w:tc>
          <w:tcPr>
            <w:tcW w:w="1464" w:type="pct"/>
            <w:vAlign w:val="center"/>
          </w:tcPr>
          <w:p w14:paraId="02CF45A5" w14:textId="77777777" w:rsidR="00E51CDD" w:rsidRPr="00062BA7" w:rsidRDefault="00E51CDD" w:rsidP="009938D9">
            <w:pPr>
              <w:widowControl w:val="0"/>
              <w:rPr>
                <w:color w:val="000000"/>
                <w:sz w:val="20"/>
                <w:szCs w:val="24"/>
              </w:rPr>
            </w:pPr>
            <w:r w:rsidRPr="00062BA7">
              <w:rPr>
                <w:color w:val="000000"/>
                <w:sz w:val="20"/>
                <w:szCs w:val="24"/>
              </w:rPr>
              <w:t>BAS 9164 F</w:t>
            </w:r>
          </w:p>
          <w:p w14:paraId="64AF842F" w14:textId="77777777" w:rsidR="00E51CDD" w:rsidRPr="00062BA7" w:rsidRDefault="00E51CDD" w:rsidP="009938D9">
            <w:pPr>
              <w:widowControl w:val="0"/>
              <w:rPr>
                <w:color w:val="000000"/>
                <w:sz w:val="20"/>
                <w:szCs w:val="24"/>
                <w:vertAlign w:val="superscript"/>
              </w:rPr>
            </w:pPr>
            <w:r w:rsidRPr="00062BA7">
              <w:rPr>
                <w:color w:val="000000"/>
                <w:sz w:val="20"/>
                <w:szCs w:val="24"/>
              </w:rPr>
              <w:t>[g a.s./ha]</w:t>
            </w:r>
            <w:r w:rsidRPr="00062BA7">
              <w:rPr>
                <w:color w:val="000000"/>
                <w:sz w:val="20"/>
                <w:szCs w:val="24"/>
                <w:vertAlign w:val="superscript"/>
              </w:rPr>
              <w:t>*</w:t>
            </w:r>
          </w:p>
        </w:tc>
        <w:tc>
          <w:tcPr>
            <w:tcW w:w="1462" w:type="pct"/>
            <w:vAlign w:val="center"/>
          </w:tcPr>
          <w:p w14:paraId="3C6EF696" w14:textId="77777777" w:rsidR="00E51CDD" w:rsidRPr="00062BA7" w:rsidRDefault="00E51CDD" w:rsidP="009938D9">
            <w:pPr>
              <w:widowControl w:val="0"/>
              <w:rPr>
                <w:color w:val="000000"/>
                <w:sz w:val="20"/>
                <w:szCs w:val="24"/>
              </w:rPr>
            </w:pPr>
            <w:r w:rsidRPr="00062BA7">
              <w:rPr>
                <w:color w:val="000000"/>
                <w:sz w:val="20"/>
                <w:szCs w:val="24"/>
              </w:rPr>
              <w:t>BAS 700 F</w:t>
            </w:r>
          </w:p>
          <w:p w14:paraId="07F6BE79" w14:textId="77777777" w:rsidR="00E51CDD" w:rsidRPr="00062BA7" w:rsidRDefault="00E51CDD" w:rsidP="009938D9">
            <w:pPr>
              <w:widowControl w:val="0"/>
              <w:rPr>
                <w:color w:val="000000"/>
                <w:sz w:val="20"/>
                <w:szCs w:val="24"/>
                <w:vertAlign w:val="superscript"/>
              </w:rPr>
            </w:pPr>
            <w:r w:rsidRPr="00062BA7">
              <w:rPr>
                <w:color w:val="000000"/>
                <w:sz w:val="20"/>
                <w:szCs w:val="24"/>
              </w:rPr>
              <w:t>[g a.s./ha]</w:t>
            </w:r>
            <w:r w:rsidRPr="00062BA7">
              <w:rPr>
                <w:color w:val="000000"/>
                <w:sz w:val="20"/>
                <w:szCs w:val="24"/>
                <w:vertAlign w:val="superscript"/>
              </w:rPr>
              <w:t>*</w:t>
            </w:r>
          </w:p>
        </w:tc>
      </w:tr>
      <w:tr w:rsidR="00E51CDD" w:rsidRPr="00062BA7" w14:paraId="0331D08B" w14:textId="77777777" w:rsidTr="009938D9">
        <w:trPr>
          <w:trHeight w:val="247"/>
        </w:trPr>
        <w:tc>
          <w:tcPr>
            <w:tcW w:w="2074" w:type="pct"/>
            <w:vAlign w:val="center"/>
          </w:tcPr>
          <w:p w14:paraId="372954E7" w14:textId="77777777" w:rsidR="00E51CDD" w:rsidRPr="00062BA7" w:rsidRDefault="00E51CDD" w:rsidP="009938D9">
            <w:pPr>
              <w:widowControl w:val="0"/>
              <w:rPr>
                <w:color w:val="000000"/>
                <w:sz w:val="20"/>
                <w:szCs w:val="24"/>
              </w:rPr>
            </w:pPr>
            <w:r w:rsidRPr="00062BA7">
              <w:rPr>
                <w:color w:val="000000"/>
                <w:sz w:val="20"/>
                <w:szCs w:val="24"/>
              </w:rPr>
              <w:t>0.25</w:t>
            </w:r>
          </w:p>
        </w:tc>
        <w:tc>
          <w:tcPr>
            <w:tcW w:w="1464" w:type="pct"/>
            <w:vAlign w:val="center"/>
          </w:tcPr>
          <w:p w14:paraId="47AAE01C" w14:textId="77777777" w:rsidR="00E51CDD" w:rsidRPr="00062BA7" w:rsidRDefault="00E51CDD" w:rsidP="009938D9">
            <w:pPr>
              <w:widowControl w:val="0"/>
              <w:rPr>
                <w:color w:val="000000"/>
                <w:sz w:val="20"/>
                <w:szCs w:val="24"/>
              </w:rPr>
            </w:pPr>
            <w:r w:rsidRPr="00062BA7">
              <w:rPr>
                <w:color w:val="000000"/>
                <w:sz w:val="20"/>
                <w:szCs w:val="24"/>
              </w:rPr>
              <w:t>18.75</w:t>
            </w:r>
          </w:p>
        </w:tc>
        <w:tc>
          <w:tcPr>
            <w:tcW w:w="1462" w:type="pct"/>
            <w:vAlign w:val="center"/>
          </w:tcPr>
          <w:p w14:paraId="016462E0" w14:textId="77777777" w:rsidR="00E51CDD" w:rsidRPr="00062BA7" w:rsidRDefault="00E51CDD" w:rsidP="009938D9">
            <w:pPr>
              <w:widowControl w:val="0"/>
              <w:rPr>
                <w:color w:val="000000"/>
                <w:sz w:val="20"/>
                <w:szCs w:val="24"/>
              </w:rPr>
            </w:pPr>
            <w:r w:rsidRPr="00062BA7">
              <w:rPr>
                <w:color w:val="000000"/>
                <w:sz w:val="20"/>
                <w:szCs w:val="24"/>
              </w:rPr>
              <w:t>12.5</w:t>
            </w:r>
          </w:p>
        </w:tc>
      </w:tr>
      <w:tr w:rsidR="00E51CDD" w:rsidRPr="00062BA7" w14:paraId="2EBA4B14" w14:textId="77777777" w:rsidTr="009938D9">
        <w:trPr>
          <w:trHeight w:val="247"/>
        </w:trPr>
        <w:tc>
          <w:tcPr>
            <w:tcW w:w="2074" w:type="pct"/>
            <w:vAlign w:val="center"/>
          </w:tcPr>
          <w:p w14:paraId="291A1B92" w14:textId="77777777" w:rsidR="00E51CDD" w:rsidRPr="00062BA7" w:rsidRDefault="00E51CDD" w:rsidP="009938D9">
            <w:pPr>
              <w:widowControl w:val="0"/>
              <w:rPr>
                <w:color w:val="000000"/>
                <w:sz w:val="20"/>
                <w:szCs w:val="24"/>
              </w:rPr>
            </w:pPr>
            <w:r w:rsidRPr="00062BA7">
              <w:rPr>
                <w:color w:val="000000"/>
                <w:sz w:val="20"/>
                <w:szCs w:val="24"/>
              </w:rPr>
              <w:t>0.5</w:t>
            </w:r>
          </w:p>
        </w:tc>
        <w:tc>
          <w:tcPr>
            <w:tcW w:w="1464" w:type="pct"/>
            <w:vAlign w:val="center"/>
          </w:tcPr>
          <w:p w14:paraId="69A0826B" w14:textId="77777777" w:rsidR="00E51CDD" w:rsidRPr="00062BA7" w:rsidRDefault="00E51CDD" w:rsidP="009938D9">
            <w:pPr>
              <w:widowControl w:val="0"/>
              <w:rPr>
                <w:color w:val="000000"/>
                <w:sz w:val="20"/>
                <w:szCs w:val="24"/>
              </w:rPr>
            </w:pPr>
            <w:r w:rsidRPr="00062BA7">
              <w:rPr>
                <w:color w:val="000000"/>
                <w:sz w:val="20"/>
                <w:szCs w:val="24"/>
              </w:rPr>
              <w:t>37.5</w:t>
            </w:r>
          </w:p>
        </w:tc>
        <w:tc>
          <w:tcPr>
            <w:tcW w:w="1462" w:type="pct"/>
            <w:vAlign w:val="center"/>
          </w:tcPr>
          <w:p w14:paraId="4DB83446" w14:textId="77777777" w:rsidR="00E51CDD" w:rsidRPr="00062BA7" w:rsidRDefault="00E51CDD" w:rsidP="009938D9">
            <w:pPr>
              <w:widowControl w:val="0"/>
              <w:rPr>
                <w:color w:val="000000"/>
                <w:sz w:val="20"/>
                <w:szCs w:val="24"/>
              </w:rPr>
            </w:pPr>
            <w:r w:rsidRPr="00062BA7">
              <w:rPr>
                <w:color w:val="000000"/>
                <w:sz w:val="20"/>
                <w:szCs w:val="24"/>
              </w:rPr>
              <w:t>25</w:t>
            </w:r>
          </w:p>
        </w:tc>
      </w:tr>
      <w:tr w:rsidR="00E51CDD" w:rsidRPr="00062BA7" w14:paraId="2DE8F7F7" w14:textId="77777777" w:rsidTr="009938D9">
        <w:trPr>
          <w:trHeight w:val="247"/>
        </w:trPr>
        <w:tc>
          <w:tcPr>
            <w:tcW w:w="2074" w:type="pct"/>
            <w:vAlign w:val="center"/>
          </w:tcPr>
          <w:p w14:paraId="3BDF1C73" w14:textId="77777777" w:rsidR="00E51CDD" w:rsidRPr="00062BA7" w:rsidRDefault="00E51CDD" w:rsidP="009938D9">
            <w:pPr>
              <w:widowControl w:val="0"/>
              <w:rPr>
                <w:color w:val="000000"/>
                <w:sz w:val="20"/>
                <w:szCs w:val="24"/>
              </w:rPr>
            </w:pPr>
            <w:r w:rsidRPr="00062BA7">
              <w:rPr>
                <w:color w:val="000000"/>
                <w:sz w:val="20"/>
                <w:szCs w:val="24"/>
              </w:rPr>
              <w:t>1.0</w:t>
            </w:r>
          </w:p>
        </w:tc>
        <w:tc>
          <w:tcPr>
            <w:tcW w:w="1464" w:type="pct"/>
            <w:vAlign w:val="center"/>
          </w:tcPr>
          <w:p w14:paraId="79534DFA" w14:textId="77777777" w:rsidR="00E51CDD" w:rsidRPr="00062BA7" w:rsidRDefault="00E51CDD" w:rsidP="009938D9">
            <w:pPr>
              <w:widowControl w:val="0"/>
              <w:rPr>
                <w:color w:val="000000"/>
                <w:sz w:val="20"/>
                <w:szCs w:val="24"/>
              </w:rPr>
            </w:pPr>
            <w:r w:rsidRPr="00062BA7">
              <w:rPr>
                <w:color w:val="000000"/>
                <w:sz w:val="20"/>
                <w:szCs w:val="24"/>
              </w:rPr>
              <w:t>75</w:t>
            </w:r>
          </w:p>
        </w:tc>
        <w:tc>
          <w:tcPr>
            <w:tcW w:w="1462" w:type="pct"/>
            <w:vAlign w:val="center"/>
          </w:tcPr>
          <w:p w14:paraId="0BE366BC" w14:textId="77777777" w:rsidR="00E51CDD" w:rsidRPr="00062BA7" w:rsidRDefault="00E51CDD" w:rsidP="009938D9">
            <w:pPr>
              <w:widowControl w:val="0"/>
              <w:rPr>
                <w:color w:val="000000"/>
                <w:sz w:val="20"/>
                <w:szCs w:val="24"/>
              </w:rPr>
            </w:pPr>
            <w:r w:rsidRPr="00062BA7">
              <w:rPr>
                <w:color w:val="000000"/>
                <w:sz w:val="20"/>
                <w:szCs w:val="24"/>
              </w:rPr>
              <w:t>50</w:t>
            </w:r>
          </w:p>
        </w:tc>
      </w:tr>
      <w:tr w:rsidR="00E51CDD" w:rsidRPr="00062BA7" w14:paraId="045B8189" w14:textId="77777777" w:rsidTr="009938D9">
        <w:trPr>
          <w:trHeight w:val="247"/>
        </w:trPr>
        <w:tc>
          <w:tcPr>
            <w:tcW w:w="2074" w:type="pct"/>
            <w:vAlign w:val="center"/>
          </w:tcPr>
          <w:p w14:paraId="5D7D8503" w14:textId="77777777" w:rsidR="00E51CDD" w:rsidRPr="00062BA7" w:rsidRDefault="00E51CDD" w:rsidP="009938D9">
            <w:pPr>
              <w:widowControl w:val="0"/>
              <w:rPr>
                <w:color w:val="000000"/>
                <w:sz w:val="20"/>
                <w:szCs w:val="24"/>
              </w:rPr>
            </w:pPr>
            <w:r w:rsidRPr="00062BA7">
              <w:rPr>
                <w:color w:val="000000"/>
                <w:sz w:val="20"/>
                <w:szCs w:val="24"/>
              </w:rPr>
              <w:t>2.0</w:t>
            </w:r>
          </w:p>
        </w:tc>
        <w:tc>
          <w:tcPr>
            <w:tcW w:w="1464" w:type="pct"/>
            <w:vAlign w:val="center"/>
          </w:tcPr>
          <w:p w14:paraId="3364AC77" w14:textId="77777777" w:rsidR="00E51CDD" w:rsidRPr="00062BA7" w:rsidRDefault="00E51CDD" w:rsidP="009938D9">
            <w:pPr>
              <w:widowControl w:val="0"/>
              <w:rPr>
                <w:color w:val="000000"/>
                <w:sz w:val="20"/>
                <w:szCs w:val="24"/>
              </w:rPr>
            </w:pPr>
            <w:r w:rsidRPr="00062BA7">
              <w:rPr>
                <w:color w:val="000000"/>
                <w:sz w:val="20"/>
                <w:szCs w:val="24"/>
              </w:rPr>
              <w:t>150</w:t>
            </w:r>
          </w:p>
        </w:tc>
        <w:tc>
          <w:tcPr>
            <w:tcW w:w="1462" w:type="pct"/>
            <w:vAlign w:val="center"/>
          </w:tcPr>
          <w:p w14:paraId="38392C0B" w14:textId="77777777" w:rsidR="00E51CDD" w:rsidRPr="00062BA7" w:rsidRDefault="00E51CDD" w:rsidP="009938D9">
            <w:pPr>
              <w:widowControl w:val="0"/>
              <w:rPr>
                <w:color w:val="000000"/>
                <w:sz w:val="20"/>
                <w:szCs w:val="24"/>
              </w:rPr>
            </w:pPr>
            <w:r w:rsidRPr="00062BA7">
              <w:rPr>
                <w:color w:val="000000"/>
                <w:sz w:val="20"/>
                <w:szCs w:val="24"/>
              </w:rPr>
              <w:t>100</w:t>
            </w:r>
          </w:p>
        </w:tc>
      </w:tr>
      <w:tr w:rsidR="00E51CDD" w:rsidRPr="00062BA7" w14:paraId="6B577273" w14:textId="77777777" w:rsidTr="009938D9">
        <w:trPr>
          <w:trHeight w:val="247"/>
        </w:trPr>
        <w:tc>
          <w:tcPr>
            <w:tcW w:w="2074" w:type="pct"/>
            <w:vAlign w:val="center"/>
          </w:tcPr>
          <w:p w14:paraId="45850896" w14:textId="77777777" w:rsidR="00E51CDD" w:rsidRPr="00062BA7" w:rsidRDefault="00E51CDD" w:rsidP="009938D9">
            <w:pPr>
              <w:widowControl w:val="0"/>
              <w:rPr>
                <w:color w:val="000000"/>
                <w:sz w:val="20"/>
                <w:szCs w:val="24"/>
                <w:lang w:val="de-DE"/>
              </w:rPr>
            </w:pPr>
            <w:r w:rsidRPr="00062BA7">
              <w:rPr>
                <w:color w:val="000000"/>
                <w:sz w:val="20"/>
                <w:szCs w:val="24"/>
                <w:lang w:val="de-DE"/>
              </w:rPr>
              <w:t>4.0</w:t>
            </w:r>
          </w:p>
        </w:tc>
        <w:tc>
          <w:tcPr>
            <w:tcW w:w="1464" w:type="pct"/>
            <w:vAlign w:val="center"/>
          </w:tcPr>
          <w:p w14:paraId="1BA73597" w14:textId="77777777" w:rsidR="00E51CDD" w:rsidRPr="00062BA7" w:rsidRDefault="00E51CDD" w:rsidP="009938D9">
            <w:pPr>
              <w:widowControl w:val="0"/>
              <w:rPr>
                <w:color w:val="000000"/>
                <w:sz w:val="20"/>
                <w:szCs w:val="24"/>
                <w:lang w:val="de-DE"/>
              </w:rPr>
            </w:pPr>
            <w:r w:rsidRPr="00062BA7">
              <w:rPr>
                <w:color w:val="000000"/>
                <w:sz w:val="20"/>
                <w:szCs w:val="24"/>
                <w:lang w:val="de-DE"/>
              </w:rPr>
              <w:t>300</w:t>
            </w:r>
          </w:p>
        </w:tc>
        <w:tc>
          <w:tcPr>
            <w:tcW w:w="1462" w:type="pct"/>
            <w:vAlign w:val="center"/>
          </w:tcPr>
          <w:p w14:paraId="78BFA630" w14:textId="77777777" w:rsidR="00E51CDD" w:rsidRPr="00062BA7" w:rsidRDefault="00E51CDD" w:rsidP="009938D9">
            <w:pPr>
              <w:widowControl w:val="0"/>
              <w:rPr>
                <w:color w:val="000000"/>
                <w:sz w:val="20"/>
                <w:szCs w:val="24"/>
                <w:lang w:val="de-DE"/>
              </w:rPr>
            </w:pPr>
            <w:r w:rsidRPr="00062BA7">
              <w:rPr>
                <w:color w:val="000000"/>
                <w:sz w:val="20"/>
                <w:szCs w:val="24"/>
                <w:lang w:val="de-DE"/>
              </w:rPr>
              <w:t>200</w:t>
            </w:r>
          </w:p>
        </w:tc>
      </w:tr>
    </w:tbl>
    <w:p w14:paraId="14CE9F17" w14:textId="77777777" w:rsidR="00E51CDD" w:rsidRPr="00062BA7" w:rsidRDefault="00E51CDD" w:rsidP="00E51CDD">
      <w:pPr>
        <w:widowControl w:val="0"/>
        <w:ind w:left="2520" w:hanging="180"/>
        <w:jc w:val="both"/>
        <w:rPr>
          <w:sz w:val="18"/>
          <w:szCs w:val="18"/>
          <w:lang w:eastAsia="en-US"/>
        </w:rPr>
      </w:pPr>
      <w:r w:rsidRPr="00062BA7">
        <w:rPr>
          <w:sz w:val="18"/>
          <w:szCs w:val="18"/>
          <w:vertAlign w:val="superscript"/>
          <w:lang w:eastAsia="en-US"/>
        </w:rPr>
        <w:t>*</w:t>
      </w:r>
      <w:r w:rsidRPr="00062BA7">
        <w:rPr>
          <w:sz w:val="18"/>
          <w:szCs w:val="18"/>
          <w:lang w:eastAsia="en-US"/>
        </w:rPr>
        <w:t xml:space="preserve"> based on nominal content of active substance and a test item density of 1.078 g/cm</w:t>
      </w:r>
      <w:r w:rsidRPr="00062BA7">
        <w:rPr>
          <w:sz w:val="18"/>
          <w:szCs w:val="18"/>
          <w:vertAlign w:val="superscript"/>
          <w:lang w:eastAsia="en-US"/>
        </w:rPr>
        <w:t>3</w:t>
      </w:r>
      <w:r w:rsidRPr="00062BA7">
        <w:rPr>
          <w:sz w:val="18"/>
          <w:szCs w:val="18"/>
          <w:lang w:eastAsia="en-US"/>
        </w:rPr>
        <w:t>.</w:t>
      </w:r>
    </w:p>
    <w:p w14:paraId="55B9EBD4" w14:textId="77777777" w:rsidR="00E51CDD" w:rsidRPr="00062BA7" w:rsidRDefault="00E51CDD" w:rsidP="00E51CDD">
      <w:pPr>
        <w:widowControl w:val="0"/>
        <w:ind w:left="2268"/>
        <w:jc w:val="both"/>
      </w:pPr>
    </w:p>
    <w:p w14:paraId="5898FFE0" w14:textId="77777777" w:rsidR="00E51CDD" w:rsidRPr="00062BA7" w:rsidRDefault="00E51CDD" w:rsidP="00E51CDD">
      <w:pPr>
        <w:widowControl w:val="0"/>
        <w:ind w:left="2268"/>
        <w:jc w:val="both"/>
      </w:pPr>
      <w:r w:rsidRPr="00062BA7">
        <w:t>All substances were applied in 200 L water/ha. The substances were sprayed on bean leaves via laboratory spraying equipment and air dried afterwards.</w:t>
      </w:r>
    </w:p>
    <w:p w14:paraId="009D28BE" w14:textId="77777777" w:rsidR="00E51CDD" w:rsidRPr="00062BA7" w:rsidRDefault="00E51CDD" w:rsidP="00E51CDD">
      <w:pPr>
        <w:widowControl w:val="0"/>
        <w:ind w:left="2268" w:hanging="2268"/>
        <w:jc w:val="both"/>
      </w:pPr>
    </w:p>
    <w:p w14:paraId="2830B7DF" w14:textId="77777777" w:rsidR="00E51CDD" w:rsidRPr="00062BA7" w:rsidRDefault="00E51CDD" w:rsidP="00E51CDD">
      <w:pPr>
        <w:widowControl w:val="0"/>
        <w:ind w:left="2268" w:hanging="2268"/>
        <w:jc w:val="both"/>
      </w:pPr>
      <w:r w:rsidRPr="00062BA7">
        <w:t xml:space="preserve">Test conditions: </w:t>
      </w:r>
      <w:r w:rsidRPr="00062BA7">
        <w:tab/>
        <w:t xml:space="preserve">Temperature: 23 °C - 27 °C; relative humidity: 62% - 73%; photoperiod: 16 hlight:8 h dark; light intensity: 1040 lux; food: larvae: </w:t>
      </w:r>
      <w:r w:rsidRPr="00062BA7">
        <w:rPr>
          <w:i/>
          <w:iCs/>
        </w:rPr>
        <w:t>Sitotroga cerealella</w:t>
      </w:r>
      <w:r w:rsidRPr="00062BA7">
        <w:t xml:space="preserve"> eggs (UV-sterilized), adults: artificial diet.</w:t>
      </w:r>
    </w:p>
    <w:p w14:paraId="700ABE5A" w14:textId="77777777" w:rsidR="00E51CDD" w:rsidRPr="00062BA7" w:rsidRDefault="00E51CDD" w:rsidP="00E51CDD">
      <w:pPr>
        <w:widowControl w:val="0"/>
        <w:ind w:left="2268" w:hanging="2268"/>
        <w:jc w:val="both"/>
        <w:rPr>
          <w:color w:val="0070C0"/>
        </w:rPr>
      </w:pPr>
    </w:p>
    <w:p w14:paraId="67356DF4" w14:textId="77777777" w:rsidR="00E51CDD" w:rsidRPr="00062BA7" w:rsidRDefault="00E51CDD" w:rsidP="00E51CDD">
      <w:pPr>
        <w:widowControl w:val="0"/>
        <w:ind w:left="2268" w:hanging="2268"/>
        <w:jc w:val="both"/>
      </w:pPr>
      <w:r w:rsidRPr="00062BA7">
        <w:t>Statistics:</w:t>
      </w:r>
      <w:r w:rsidRPr="00062BA7">
        <w:tab/>
        <w:t>Descriptive statistics, Multiple Sequentially-rejective Fisher test after Bonferroni-Holm (α = 0.05) for mortality.</w:t>
      </w:r>
    </w:p>
    <w:p w14:paraId="07C8176A" w14:textId="77777777" w:rsidR="00E51CDD" w:rsidRPr="00062BA7" w:rsidRDefault="00E51CDD" w:rsidP="00E51CDD">
      <w:pPr>
        <w:widowControl w:val="0"/>
        <w:tabs>
          <w:tab w:val="left" w:pos="425"/>
          <w:tab w:val="left" w:pos="850"/>
        </w:tabs>
        <w:jc w:val="both"/>
        <w:rPr>
          <w:color w:val="0070C0"/>
        </w:rPr>
      </w:pPr>
    </w:p>
    <w:p w14:paraId="2236F4F5" w14:textId="77777777" w:rsidR="00E51CDD" w:rsidRPr="00062BA7" w:rsidRDefault="00E51CDD" w:rsidP="00E51CDD">
      <w:pPr>
        <w:widowControl w:val="0"/>
        <w:tabs>
          <w:tab w:val="left" w:pos="425"/>
          <w:tab w:val="left" w:pos="850"/>
        </w:tabs>
        <w:ind w:left="2835" w:hanging="2835"/>
        <w:jc w:val="both"/>
        <w:rPr>
          <w:color w:val="0070C0"/>
        </w:rPr>
      </w:pPr>
      <w:r>
        <w:rPr>
          <w:color w:val="0070C0"/>
        </w:rPr>
        <w:br w:type="page"/>
      </w:r>
    </w:p>
    <w:p w14:paraId="31601E5E" w14:textId="77777777" w:rsidR="00E51CDD" w:rsidRPr="00062BA7" w:rsidRDefault="00E51CDD" w:rsidP="00E51CDD">
      <w:pPr>
        <w:tabs>
          <w:tab w:val="left" w:pos="425"/>
          <w:tab w:val="left" w:pos="850"/>
        </w:tabs>
        <w:suppressAutoHyphens/>
        <w:ind w:left="2835" w:hanging="2835"/>
        <w:rPr>
          <w:b/>
          <w:bCs/>
        </w:rPr>
      </w:pPr>
      <w:r w:rsidRPr="00062BA7">
        <w:rPr>
          <w:b/>
          <w:bCs/>
        </w:rPr>
        <w:lastRenderedPageBreak/>
        <w:t>II.</w:t>
      </w:r>
      <w:r w:rsidRPr="00062BA7">
        <w:rPr>
          <w:b/>
          <w:bCs/>
        </w:rPr>
        <w:tab/>
        <w:t>RESULTS AND DISCUSSION</w:t>
      </w:r>
    </w:p>
    <w:p w14:paraId="4F79BAF0" w14:textId="77777777" w:rsidR="00E51CDD" w:rsidRPr="00062BA7" w:rsidRDefault="00E51CDD" w:rsidP="00E51CDD">
      <w:pPr>
        <w:widowControl w:val="0"/>
        <w:tabs>
          <w:tab w:val="left" w:pos="425"/>
          <w:tab w:val="left" w:pos="850"/>
        </w:tabs>
        <w:ind w:left="2835" w:hanging="2835"/>
      </w:pPr>
    </w:p>
    <w:p w14:paraId="0C056B46" w14:textId="1120A723" w:rsidR="00E51CDD" w:rsidRPr="00D61C03" w:rsidRDefault="00E51CDD" w:rsidP="00E51CDD">
      <w:pPr>
        <w:widowControl w:val="0"/>
        <w:tabs>
          <w:tab w:val="left" w:pos="425"/>
          <w:tab w:val="left" w:pos="850"/>
        </w:tabs>
        <w:jc w:val="both"/>
      </w:pPr>
      <w:r w:rsidRPr="00062BA7">
        <w:rPr>
          <w:bCs/>
        </w:rPr>
        <w:t xml:space="preserve">A mortality of 6.0% was observed in the control group. In the test item treatment groups, mortalities ranged from 6.0 to 50.0% resulting in corrected mortality rates between 0% and 46.8%. Statistically significant effects on mortality were observed in the highest test item treatment group of 4.0 L product/ha (Multiple Sequentially-rejective </w:t>
      </w:r>
      <w:r w:rsidRPr="00062BA7">
        <w:t>Fisher test after Bonferroni-Holm</w:t>
      </w:r>
      <w:r w:rsidRPr="00062BA7">
        <w:rPr>
          <w:bCs/>
        </w:rPr>
        <w:t xml:space="preserve">, α = 0.05). No effects on reproduction of </w:t>
      </w:r>
      <w:r w:rsidRPr="00062BA7">
        <w:rPr>
          <w:bCs/>
          <w:i/>
          <w:iCs/>
        </w:rPr>
        <w:t>Chrysoperla carnea</w:t>
      </w:r>
      <w:r w:rsidRPr="00062BA7">
        <w:rPr>
          <w:bCs/>
        </w:rPr>
        <w:t xml:space="preserve"> occurred, when the test item was applied at rates up to and including 4.0 L/ha BAS 736 00 F. Reproduction in the control and all test item treatments number of eggs per female per day was &gt; 15 and the hatching rate was &gt; 70% in the control. </w:t>
      </w:r>
      <w:r w:rsidRPr="00062BA7">
        <w:t xml:space="preserve">The results are </w:t>
      </w:r>
      <w:r w:rsidRPr="00D61C03">
        <w:t xml:space="preserve">summarized in </w:t>
      </w:r>
      <w:r w:rsidRPr="00D61C03">
        <w:fldChar w:fldCharType="begin"/>
      </w:r>
      <w:r w:rsidRPr="00D61C03">
        <w:instrText xml:space="preserve"> REF _Ref83889352 \h  \* MERGEFORMAT </w:instrText>
      </w:r>
      <w:r w:rsidRPr="00D61C03">
        <w:fldChar w:fldCharType="separate"/>
      </w:r>
      <w:r w:rsidR="00662F32" w:rsidRPr="00D61C03">
        <w:t xml:space="preserve">Table A </w:t>
      </w:r>
      <w:r w:rsidR="00662F32">
        <w:rPr>
          <w:noProof/>
        </w:rPr>
        <w:t>30</w:t>
      </w:r>
      <w:r w:rsidRPr="00D61C03">
        <w:fldChar w:fldCharType="end"/>
      </w:r>
      <w:r w:rsidRPr="00D61C03">
        <w:t>.</w:t>
      </w:r>
    </w:p>
    <w:p w14:paraId="46F106FD" w14:textId="77777777" w:rsidR="00E51CDD" w:rsidRPr="00062BA7" w:rsidRDefault="00E51CDD" w:rsidP="00E51CDD">
      <w:pPr>
        <w:widowControl w:val="0"/>
      </w:pPr>
    </w:p>
    <w:p w14:paraId="1E23A64A" w14:textId="69C2E4C9" w:rsidR="00B74DCE" w:rsidRDefault="00E51CDD" w:rsidP="00E51CDD">
      <w:pPr>
        <w:pStyle w:val="Legenda"/>
        <w:rPr>
          <w:sz w:val="22"/>
          <w:szCs w:val="22"/>
        </w:rPr>
      </w:pPr>
      <w:bookmarkStart w:id="1239" w:name="_Ref83889352"/>
      <w:r w:rsidRPr="00D61C03">
        <w:rPr>
          <w:sz w:val="22"/>
          <w:szCs w:val="22"/>
        </w:rPr>
        <w:t xml:space="preserve">Table A </w:t>
      </w:r>
      <w:r w:rsidRPr="00D61C03">
        <w:rPr>
          <w:sz w:val="22"/>
          <w:szCs w:val="22"/>
        </w:rPr>
        <w:fldChar w:fldCharType="begin"/>
      </w:r>
      <w:r w:rsidRPr="00D61C03">
        <w:rPr>
          <w:sz w:val="22"/>
          <w:szCs w:val="22"/>
        </w:rPr>
        <w:instrText xml:space="preserve"> SEQ Table_A \* ARABIC </w:instrText>
      </w:r>
      <w:r w:rsidRPr="00D61C03">
        <w:rPr>
          <w:sz w:val="22"/>
          <w:szCs w:val="22"/>
        </w:rPr>
        <w:fldChar w:fldCharType="separate"/>
      </w:r>
      <w:r w:rsidR="00662F32">
        <w:rPr>
          <w:noProof/>
          <w:sz w:val="22"/>
          <w:szCs w:val="22"/>
        </w:rPr>
        <w:t>30</w:t>
      </w:r>
      <w:r w:rsidRPr="00D61C03">
        <w:rPr>
          <w:sz w:val="22"/>
          <w:szCs w:val="22"/>
        </w:rPr>
        <w:fldChar w:fldCharType="end"/>
      </w:r>
      <w:bookmarkEnd w:id="1239"/>
      <w:r w:rsidRPr="00D61C03">
        <w:rPr>
          <w:sz w:val="22"/>
          <w:szCs w:val="22"/>
        </w:rPr>
        <w:t>:</w:t>
      </w:r>
      <w:r w:rsidRPr="00D61C03">
        <w:rPr>
          <w:sz w:val="22"/>
          <w:szCs w:val="22"/>
        </w:rPr>
        <w:tab/>
        <w:t>Effects on lacewings (</w:t>
      </w:r>
      <w:r w:rsidRPr="00D61C03">
        <w:rPr>
          <w:i/>
          <w:sz w:val="22"/>
          <w:szCs w:val="22"/>
        </w:rPr>
        <w:t>Chrysoperla carnea</w:t>
      </w:r>
      <w:r w:rsidRPr="00D61C03">
        <w:rPr>
          <w:sz w:val="22"/>
          <w:szCs w:val="22"/>
        </w:rPr>
        <w:t xml:space="preserve">) exposed to BAS 736 00 F in an extended </w:t>
      </w:r>
    </w:p>
    <w:p w14:paraId="27A5F858" w14:textId="479AF130" w:rsidR="00E51CDD" w:rsidRPr="00D61C03" w:rsidRDefault="00E51CDD" w:rsidP="00B74DCE">
      <w:pPr>
        <w:pStyle w:val="Legenda"/>
        <w:ind w:left="708" w:firstLine="708"/>
        <w:rPr>
          <w:sz w:val="22"/>
          <w:szCs w:val="22"/>
        </w:rPr>
      </w:pPr>
      <w:r w:rsidRPr="00D61C03">
        <w:rPr>
          <w:sz w:val="22"/>
          <w:szCs w:val="22"/>
        </w:rPr>
        <w:t>laboratory trial</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7"/>
        <w:gridCol w:w="1555"/>
        <w:gridCol w:w="1525"/>
        <w:gridCol w:w="1547"/>
        <w:gridCol w:w="1705"/>
        <w:gridCol w:w="1525"/>
      </w:tblGrid>
      <w:tr w:rsidR="00E51CDD" w:rsidRPr="00062BA7" w14:paraId="5CC331A4" w14:textId="77777777" w:rsidTr="009938D9">
        <w:trPr>
          <w:tblHeader/>
        </w:trPr>
        <w:tc>
          <w:tcPr>
            <w:tcW w:w="796" w:type="pct"/>
            <w:vAlign w:val="center"/>
          </w:tcPr>
          <w:p w14:paraId="2535190B"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b/>
                <w:sz w:val="20"/>
                <w:szCs w:val="20"/>
                <w:lang w:eastAsia="en-US"/>
              </w:rPr>
              <w:t>Treatment</w:t>
            </w:r>
          </w:p>
        </w:tc>
        <w:tc>
          <w:tcPr>
            <w:tcW w:w="832" w:type="pct"/>
          </w:tcPr>
          <w:p w14:paraId="010E8302"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b/>
                <w:sz w:val="20"/>
                <w:szCs w:val="20"/>
                <w:lang w:eastAsia="en-US"/>
              </w:rPr>
              <w:t xml:space="preserve">Rate </w:t>
            </w:r>
            <w:r w:rsidRPr="00062BA7">
              <w:rPr>
                <w:rFonts w:eastAsia="Arial"/>
                <w:b/>
                <w:sz w:val="20"/>
                <w:szCs w:val="20"/>
                <w:lang w:eastAsia="en-US"/>
              </w:rPr>
              <w:br/>
              <w:t>[L/ha]</w:t>
            </w:r>
            <w:r w:rsidRPr="00062BA7">
              <w:rPr>
                <w:rFonts w:eastAsia="Arial"/>
                <w:b/>
                <w:sz w:val="20"/>
                <w:szCs w:val="20"/>
                <w:vertAlign w:val="superscript"/>
                <w:lang w:eastAsia="en-US"/>
              </w:rPr>
              <w:t xml:space="preserve"> </w:t>
            </w:r>
            <w:r w:rsidRPr="00062BA7">
              <w:rPr>
                <w:rFonts w:eastAsia="Arial"/>
                <w:bCs/>
                <w:sz w:val="20"/>
                <w:szCs w:val="20"/>
                <w:vertAlign w:val="superscript"/>
                <w:lang w:eastAsia="en-US"/>
              </w:rPr>
              <w:t>1)</w:t>
            </w:r>
          </w:p>
        </w:tc>
        <w:tc>
          <w:tcPr>
            <w:tcW w:w="816" w:type="pct"/>
          </w:tcPr>
          <w:p w14:paraId="24C48632"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b/>
                <w:sz w:val="20"/>
                <w:szCs w:val="20"/>
                <w:lang w:eastAsia="en-US"/>
              </w:rPr>
              <w:t xml:space="preserve">Mortality </w:t>
            </w:r>
            <w:r w:rsidRPr="00062BA7">
              <w:rPr>
                <w:rFonts w:eastAsia="Arial"/>
                <w:b/>
                <w:sz w:val="20"/>
                <w:szCs w:val="20"/>
                <w:lang w:eastAsia="en-US"/>
              </w:rPr>
              <w:br/>
            </w:r>
            <w:r w:rsidRPr="00062BA7">
              <w:rPr>
                <w:rFonts w:eastAsia="Arial"/>
                <w:b/>
                <w:sz w:val="20"/>
                <w:szCs w:val="20"/>
                <w:lang w:eastAsia="en-US"/>
              </w:rPr>
              <w:sym w:font="Symbol" w:char="005B"/>
            </w:r>
            <w:r w:rsidRPr="00062BA7">
              <w:rPr>
                <w:rFonts w:eastAsia="Arial"/>
                <w:b/>
                <w:sz w:val="20"/>
                <w:szCs w:val="20"/>
                <w:lang w:eastAsia="en-US"/>
              </w:rPr>
              <w:t>%</w:t>
            </w:r>
            <w:r w:rsidRPr="00062BA7">
              <w:rPr>
                <w:rFonts w:eastAsia="Arial"/>
                <w:b/>
                <w:sz w:val="20"/>
                <w:szCs w:val="20"/>
                <w:lang w:eastAsia="en-US"/>
              </w:rPr>
              <w:sym w:font="Symbol" w:char="005D"/>
            </w:r>
            <w:r w:rsidRPr="00062BA7">
              <w:rPr>
                <w:rFonts w:eastAsia="Arial"/>
                <w:b/>
                <w:sz w:val="20"/>
                <w:szCs w:val="20"/>
                <w:lang w:eastAsia="en-US"/>
              </w:rPr>
              <w:t xml:space="preserve"> </w:t>
            </w:r>
            <w:r w:rsidRPr="00062BA7">
              <w:rPr>
                <w:rFonts w:eastAsia="Arial"/>
                <w:b/>
                <w:sz w:val="20"/>
                <w:szCs w:val="20"/>
                <w:vertAlign w:val="superscript"/>
                <w:lang w:eastAsia="en-US"/>
              </w:rPr>
              <w:t>2)</w:t>
            </w:r>
          </w:p>
        </w:tc>
        <w:tc>
          <w:tcPr>
            <w:tcW w:w="828" w:type="pct"/>
          </w:tcPr>
          <w:p w14:paraId="225CF4EC"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b/>
                <w:sz w:val="20"/>
                <w:szCs w:val="20"/>
                <w:lang w:eastAsia="en-US"/>
              </w:rPr>
              <w:t xml:space="preserve">Mortality corr. </w:t>
            </w:r>
            <w:r w:rsidRPr="00062BA7">
              <w:rPr>
                <w:rFonts w:eastAsia="Arial"/>
                <w:b/>
                <w:sz w:val="20"/>
                <w:szCs w:val="20"/>
                <w:lang w:eastAsia="en-US"/>
              </w:rPr>
              <w:br/>
            </w:r>
            <w:r w:rsidRPr="00062BA7">
              <w:rPr>
                <w:rFonts w:eastAsia="Arial"/>
                <w:b/>
                <w:sz w:val="20"/>
                <w:szCs w:val="20"/>
                <w:lang w:eastAsia="en-US"/>
              </w:rPr>
              <w:sym w:font="Symbol" w:char="005B"/>
            </w:r>
            <w:r w:rsidRPr="00062BA7">
              <w:rPr>
                <w:rFonts w:eastAsia="Arial"/>
                <w:b/>
                <w:sz w:val="20"/>
                <w:szCs w:val="20"/>
                <w:lang w:eastAsia="en-US"/>
              </w:rPr>
              <w:t>%</w:t>
            </w:r>
            <w:r w:rsidRPr="00062BA7">
              <w:rPr>
                <w:rFonts w:eastAsia="Arial"/>
                <w:b/>
                <w:sz w:val="20"/>
                <w:szCs w:val="20"/>
                <w:lang w:eastAsia="en-US"/>
              </w:rPr>
              <w:sym w:font="Symbol" w:char="005D"/>
            </w:r>
            <w:r w:rsidRPr="00062BA7">
              <w:rPr>
                <w:rFonts w:eastAsia="Arial"/>
                <w:b/>
                <w:sz w:val="20"/>
                <w:szCs w:val="20"/>
                <w:lang w:eastAsia="en-US"/>
              </w:rPr>
              <w:t xml:space="preserve"> </w:t>
            </w:r>
            <w:r w:rsidRPr="00062BA7">
              <w:rPr>
                <w:rFonts w:eastAsia="Arial"/>
                <w:b/>
                <w:sz w:val="20"/>
                <w:szCs w:val="20"/>
                <w:vertAlign w:val="superscript"/>
                <w:lang w:eastAsia="en-US"/>
              </w:rPr>
              <w:t>3)</w:t>
            </w:r>
          </w:p>
        </w:tc>
        <w:tc>
          <w:tcPr>
            <w:tcW w:w="912" w:type="pct"/>
          </w:tcPr>
          <w:p w14:paraId="632CCF05"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b/>
                <w:sz w:val="20"/>
                <w:szCs w:val="20"/>
                <w:lang w:eastAsia="en-US"/>
              </w:rPr>
              <w:t>Reproduction</w:t>
            </w:r>
            <w:r w:rsidRPr="00062BA7">
              <w:rPr>
                <w:rFonts w:eastAsia="Arial"/>
                <w:b/>
                <w:sz w:val="20"/>
                <w:szCs w:val="20"/>
                <w:lang w:eastAsia="en-US"/>
              </w:rPr>
              <w:br/>
            </w:r>
            <w:r w:rsidRPr="00062BA7">
              <w:rPr>
                <w:rFonts w:eastAsia="Arial"/>
                <w:b/>
                <w:sz w:val="20"/>
                <w:szCs w:val="20"/>
                <w:lang w:eastAsia="en-US"/>
              </w:rPr>
              <w:sym w:font="Symbol" w:char="005B"/>
            </w:r>
            <w:r w:rsidRPr="00062BA7">
              <w:rPr>
                <w:rFonts w:eastAsia="Arial"/>
                <w:b/>
                <w:sz w:val="20"/>
                <w:szCs w:val="20"/>
                <w:lang w:eastAsia="en-US"/>
              </w:rPr>
              <w:t>eggs/female/day</w:t>
            </w:r>
            <w:r w:rsidRPr="00062BA7">
              <w:rPr>
                <w:rFonts w:eastAsia="Arial"/>
                <w:b/>
                <w:sz w:val="20"/>
                <w:szCs w:val="20"/>
                <w:lang w:eastAsia="en-US"/>
              </w:rPr>
              <w:sym w:font="Symbol" w:char="005D"/>
            </w:r>
          </w:p>
        </w:tc>
        <w:tc>
          <w:tcPr>
            <w:tcW w:w="817" w:type="pct"/>
          </w:tcPr>
          <w:p w14:paraId="490EEDBC"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b/>
                <w:sz w:val="20"/>
                <w:szCs w:val="20"/>
                <w:lang w:eastAsia="en-US"/>
              </w:rPr>
              <w:t>Hatching rate</w:t>
            </w:r>
            <w:r w:rsidRPr="00062BA7">
              <w:rPr>
                <w:rFonts w:eastAsia="Arial"/>
                <w:b/>
                <w:sz w:val="20"/>
                <w:szCs w:val="20"/>
                <w:lang w:eastAsia="en-US"/>
              </w:rPr>
              <w:br/>
              <w:t>[%]</w:t>
            </w:r>
          </w:p>
        </w:tc>
      </w:tr>
      <w:tr w:rsidR="00E51CDD" w:rsidRPr="00062BA7" w14:paraId="452D6EAB" w14:textId="77777777" w:rsidTr="009938D9">
        <w:tc>
          <w:tcPr>
            <w:tcW w:w="796" w:type="pct"/>
          </w:tcPr>
          <w:p w14:paraId="47545371"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Control</w:t>
            </w:r>
          </w:p>
        </w:tc>
        <w:tc>
          <w:tcPr>
            <w:tcW w:w="832" w:type="pct"/>
            <w:vAlign w:val="center"/>
          </w:tcPr>
          <w:p w14:paraId="0912015A"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Calibri"/>
                <w:sz w:val="20"/>
                <w:szCs w:val="20"/>
                <w:lang w:eastAsia="en-US"/>
              </w:rPr>
              <w:t>--</w:t>
            </w:r>
          </w:p>
        </w:tc>
        <w:tc>
          <w:tcPr>
            <w:tcW w:w="816" w:type="pct"/>
            <w:vAlign w:val="center"/>
          </w:tcPr>
          <w:p w14:paraId="12CA915F"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6.0</w:t>
            </w:r>
          </w:p>
        </w:tc>
        <w:tc>
          <w:tcPr>
            <w:tcW w:w="828" w:type="pct"/>
            <w:vAlign w:val="center"/>
          </w:tcPr>
          <w:p w14:paraId="00379B6B"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w:t>
            </w:r>
          </w:p>
        </w:tc>
        <w:tc>
          <w:tcPr>
            <w:tcW w:w="912" w:type="pct"/>
            <w:vAlign w:val="center"/>
          </w:tcPr>
          <w:p w14:paraId="70520A4C"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21.3</w:t>
            </w:r>
          </w:p>
        </w:tc>
        <w:tc>
          <w:tcPr>
            <w:tcW w:w="817" w:type="pct"/>
            <w:vAlign w:val="center"/>
          </w:tcPr>
          <w:p w14:paraId="1661E8D2"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74.2</w:t>
            </w:r>
          </w:p>
        </w:tc>
      </w:tr>
      <w:tr w:rsidR="00E51CDD" w:rsidRPr="00062BA7" w14:paraId="69DB113B" w14:textId="77777777" w:rsidTr="009938D9">
        <w:tc>
          <w:tcPr>
            <w:tcW w:w="796" w:type="pct"/>
            <w:vMerge w:val="restart"/>
            <w:vAlign w:val="center"/>
          </w:tcPr>
          <w:p w14:paraId="7AFB80AA" w14:textId="77777777" w:rsidR="00E51CDD" w:rsidRPr="00062BA7" w:rsidRDefault="00E51CDD" w:rsidP="009938D9">
            <w:pPr>
              <w:spacing w:before="40" w:after="40" w:line="259" w:lineRule="auto"/>
              <w:jc w:val="center"/>
              <w:rPr>
                <w:rFonts w:eastAsia="Arial"/>
                <w:sz w:val="20"/>
                <w:szCs w:val="20"/>
                <w:lang w:eastAsia="en-US"/>
              </w:rPr>
            </w:pPr>
            <w:bookmarkStart w:id="1240" w:name="_Hlk53484438"/>
            <w:r w:rsidRPr="00062BA7">
              <w:rPr>
                <w:sz w:val="20"/>
              </w:rPr>
              <w:t>BAS 736 00 F</w:t>
            </w:r>
          </w:p>
        </w:tc>
        <w:tc>
          <w:tcPr>
            <w:tcW w:w="832" w:type="pct"/>
          </w:tcPr>
          <w:p w14:paraId="1D840534"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PMingLiU"/>
                <w:sz w:val="20"/>
                <w:lang w:eastAsia="en-US"/>
              </w:rPr>
              <w:t>0.25</w:t>
            </w:r>
          </w:p>
        </w:tc>
        <w:tc>
          <w:tcPr>
            <w:tcW w:w="816" w:type="pct"/>
            <w:vAlign w:val="center"/>
          </w:tcPr>
          <w:p w14:paraId="6CC850B6"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8.0</w:t>
            </w:r>
          </w:p>
        </w:tc>
        <w:tc>
          <w:tcPr>
            <w:tcW w:w="828" w:type="pct"/>
            <w:vAlign w:val="center"/>
          </w:tcPr>
          <w:p w14:paraId="5BCD587E"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2.1</w:t>
            </w:r>
          </w:p>
        </w:tc>
        <w:tc>
          <w:tcPr>
            <w:tcW w:w="912" w:type="pct"/>
            <w:vAlign w:val="center"/>
          </w:tcPr>
          <w:p w14:paraId="6FC8B5B5"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22.7</w:t>
            </w:r>
          </w:p>
        </w:tc>
        <w:tc>
          <w:tcPr>
            <w:tcW w:w="817" w:type="pct"/>
            <w:vAlign w:val="center"/>
          </w:tcPr>
          <w:p w14:paraId="01EFDC17"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74.4</w:t>
            </w:r>
          </w:p>
        </w:tc>
      </w:tr>
      <w:tr w:rsidR="00E51CDD" w:rsidRPr="00062BA7" w14:paraId="250E33C6" w14:textId="77777777" w:rsidTr="009938D9">
        <w:tc>
          <w:tcPr>
            <w:tcW w:w="796" w:type="pct"/>
            <w:vMerge/>
          </w:tcPr>
          <w:p w14:paraId="1430EB17" w14:textId="77777777" w:rsidR="00E51CDD" w:rsidRPr="00062BA7" w:rsidRDefault="00E51CDD" w:rsidP="009938D9">
            <w:pPr>
              <w:spacing w:before="40" w:after="40" w:line="259" w:lineRule="auto"/>
              <w:jc w:val="center"/>
              <w:rPr>
                <w:rFonts w:eastAsia="Arial"/>
                <w:sz w:val="20"/>
                <w:szCs w:val="20"/>
                <w:lang w:eastAsia="en-US"/>
              </w:rPr>
            </w:pPr>
          </w:p>
        </w:tc>
        <w:tc>
          <w:tcPr>
            <w:tcW w:w="832" w:type="pct"/>
          </w:tcPr>
          <w:p w14:paraId="33B795FE"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PMingLiU"/>
                <w:sz w:val="20"/>
                <w:lang w:eastAsia="en-US"/>
              </w:rPr>
              <w:t>0.5</w:t>
            </w:r>
          </w:p>
        </w:tc>
        <w:tc>
          <w:tcPr>
            <w:tcW w:w="816" w:type="pct"/>
            <w:vAlign w:val="center"/>
          </w:tcPr>
          <w:p w14:paraId="2501F370"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6.0</w:t>
            </w:r>
          </w:p>
        </w:tc>
        <w:tc>
          <w:tcPr>
            <w:tcW w:w="828" w:type="pct"/>
            <w:vAlign w:val="center"/>
          </w:tcPr>
          <w:p w14:paraId="56E4D213"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0</w:t>
            </w:r>
          </w:p>
        </w:tc>
        <w:tc>
          <w:tcPr>
            <w:tcW w:w="912" w:type="pct"/>
            <w:vAlign w:val="center"/>
          </w:tcPr>
          <w:p w14:paraId="235BFA32"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21.7</w:t>
            </w:r>
          </w:p>
        </w:tc>
        <w:tc>
          <w:tcPr>
            <w:tcW w:w="817" w:type="pct"/>
            <w:vAlign w:val="center"/>
          </w:tcPr>
          <w:p w14:paraId="1A9A1B18"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73.9</w:t>
            </w:r>
          </w:p>
        </w:tc>
      </w:tr>
      <w:tr w:rsidR="00E51CDD" w:rsidRPr="00062BA7" w14:paraId="0592655D" w14:textId="77777777" w:rsidTr="009938D9">
        <w:tc>
          <w:tcPr>
            <w:tcW w:w="796" w:type="pct"/>
            <w:vMerge/>
          </w:tcPr>
          <w:p w14:paraId="2CE4F46B" w14:textId="77777777" w:rsidR="00E51CDD" w:rsidRPr="00062BA7" w:rsidRDefault="00E51CDD" w:rsidP="009938D9">
            <w:pPr>
              <w:spacing w:before="40" w:after="40" w:line="259" w:lineRule="auto"/>
              <w:jc w:val="center"/>
              <w:rPr>
                <w:rFonts w:eastAsia="Arial"/>
                <w:sz w:val="20"/>
                <w:szCs w:val="20"/>
                <w:lang w:eastAsia="en-US"/>
              </w:rPr>
            </w:pPr>
          </w:p>
        </w:tc>
        <w:tc>
          <w:tcPr>
            <w:tcW w:w="832" w:type="pct"/>
          </w:tcPr>
          <w:p w14:paraId="66817D44"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PMingLiU"/>
                <w:sz w:val="20"/>
                <w:lang w:eastAsia="en-US"/>
              </w:rPr>
              <w:t>1.0</w:t>
            </w:r>
          </w:p>
        </w:tc>
        <w:tc>
          <w:tcPr>
            <w:tcW w:w="816" w:type="pct"/>
            <w:vAlign w:val="center"/>
          </w:tcPr>
          <w:p w14:paraId="10AF9616"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18.0</w:t>
            </w:r>
          </w:p>
        </w:tc>
        <w:tc>
          <w:tcPr>
            <w:tcW w:w="828" w:type="pct"/>
            <w:vAlign w:val="center"/>
          </w:tcPr>
          <w:p w14:paraId="3B1D918D"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12.8</w:t>
            </w:r>
          </w:p>
        </w:tc>
        <w:tc>
          <w:tcPr>
            <w:tcW w:w="912" w:type="pct"/>
            <w:vAlign w:val="center"/>
          </w:tcPr>
          <w:p w14:paraId="7865939A"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22.2</w:t>
            </w:r>
          </w:p>
        </w:tc>
        <w:tc>
          <w:tcPr>
            <w:tcW w:w="817" w:type="pct"/>
            <w:vAlign w:val="center"/>
          </w:tcPr>
          <w:p w14:paraId="6BDC82CA"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74.2</w:t>
            </w:r>
          </w:p>
        </w:tc>
      </w:tr>
      <w:tr w:rsidR="00E51CDD" w:rsidRPr="00062BA7" w14:paraId="346CBC27" w14:textId="77777777" w:rsidTr="009938D9">
        <w:tc>
          <w:tcPr>
            <w:tcW w:w="796" w:type="pct"/>
            <w:vMerge/>
          </w:tcPr>
          <w:p w14:paraId="5C475C80" w14:textId="77777777" w:rsidR="00E51CDD" w:rsidRPr="00062BA7" w:rsidRDefault="00E51CDD" w:rsidP="009938D9">
            <w:pPr>
              <w:spacing w:before="40" w:after="40" w:line="259" w:lineRule="auto"/>
              <w:jc w:val="center"/>
              <w:rPr>
                <w:rFonts w:eastAsia="Arial"/>
                <w:sz w:val="20"/>
                <w:szCs w:val="20"/>
                <w:lang w:eastAsia="en-US"/>
              </w:rPr>
            </w:pPr>
          </w:p>
        </w:tc>
        <w:tc>
          <w:tcPr>
            <w:tcW w:w="832" w:type="pct"/>
          </w:tcPr>
          <w:p w14:paraId="38B491C9"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PMingLiU"/>
                <w:sz w:val="20"/>
                <w:lang w:eastAsia="en-US"/>
              </w:rPr>
              <w:t>2.0</w:t>
            </w:r>
          </w:p>
        </w:tc>
        <w:tc>
          <w:tcPr>
            <w:tcW w:w="816" w:type="pct"/>
            <w:vAlign w:val="center"/>
          </w:tcPr>
          <w:p w14:paraId="0249AC75"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20.0</w:t>
            </w:r>
          </w:p>
        </w:tc>
        <w:tc>
          <w:tcPr>
            <w:tcW w:w="828" w:type="pct"/>
            <w:vAlign w:val="center"/>
          </w:tcPr>
          <w:p w14:paraId="5F69AF36"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14.9</w:t>
            </w:r>
          </w:p>
        </w:tc>
        <w:tc>
          <w:tcPr>
            <w:tcW w:w="912" w:type="pct"/>
            <w:vAlign w:val="center"/>
          </w:tcPr>
          <w:p w14:paraId="747398FC"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21.5</w:t>
            </w:r>
          </w:p>
        </w:tc>
        <w:tc>
          <w:tcPr>
            <w:tcW w:w="817" w:type="pct"/>
            <w:vAlign w:val="center"/>
          </w:tcPr>
          <w:p w14:paraId="11C101BF"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73.9</w:t>
            </w:r>
          </w:p>
        </w:tc>
      </w:tr>
      <w:tr w:rsidR="00E51CDD" w:rsidRPr="00062BA7" w14:paraId="1AAA94ED" w14:textId="77777777" w:rsidTr="009938D9">
        <w:tc>
          <w:tcPr>
            <w:tcW w:w="796" w:type="pct"/>
            <w:vMerge/>
          </w:tcPr>
          <w:p w14:paraId="4A7AEDBF" w14:textId="77777777" w:rsidR="00E51CDD" w:rsidRPr="00062BA7" w:rsidRDefault="00E51CDD" w:rsidP="009938D9">
            <w:pPr>
              <w:spacing w:before="40" w:after="40" w:line="259" w:lineRule="auto"/>
              <w:jc w:val="center"/>
              <w:rPr>
                <w:rFonts w:eastAsia="Arial"/>
                <w:sz w:val="20"/>
                <w:szCs w:val="20"/>
                <w:lang w:eastAsia="en-US"/>
              </w:rPr>
            </w:pPr>
          </w:p>
        </w:tc>
        <w:tc>
          <w:tcPr>
            <w:tcW w:w="832" w:type="pct"/>
          </w:tcPr>
          <w:p w14:paraId="68FFA076"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PMingLiU"/>
                <w:sz w:val="20"/>
                <w:lang w:eastAsia="en-US"/>
              </w:rPr>
              <w:t>4.0</w:t>
            </w:r>
          </w:p>
        </w:tc>
        <w:tc>
          <w:tcPr>
            <w:tcW w:w="816" w:type="pct"/>
            <w:vAlign w:val="center"/>
          </w:tcPr>
          <w:p w14:paraId="31BBB42C"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50.0 *</w:t>
            </w:r>
          </w:p>
        </w:tc>
        <w:tc>
          <w:tcPr>
            <w:tcW w:w="828" w:type="pct"/>
            <w:vAlign w:val="center"/>
          </w:tcPr>
          <w:p w14:paraId="08FBC5A4"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46.8</w:t>
            </w:r>
          </w:p>
        </w:tc>
        <w:tc>
          <w:tcPr>
            <w:tcW w:w="912" w:type="pct"/>
            <w:vAlign w:val="center"/>
          </w:tcPr>
          <w:p w14:paraId="3DD9ED42"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19.6</w:t>
            </w:r>
          </w:p>
        </w:tc>
        <w:tc>
          <w:tcPr>
            <w:tcW w:w="817" w:type="pct"/>
            <w:vAlign w:val="center"/>
          </w:tcPr>
          <w:p w14:paraId="6C6FDE28"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74.1</w:t>
            </w:r>
          </w:p>
        </w:tc>
      </w:tr>
      <w:bookmarkEnd w:id="1240"/>
      <w:tr w:rsidR="00E51CDD" w:rsidRPr="007330A6" w14:paraId="0B43387E" w14:textId="77777777" w:rsidTr="009938D9">
        <w:tc>
          <w:tcPr>
            <w:tcW w:w="796" w:type="pct"/>
            <w:vAlign w:val="center"/>
          </w:tcPr>
          <w:p w14:paraId="1D200D42" w14:textId="77777777" w:rsidR="00E51CDD" w:rsidRPr="00062BA7" w:rsidRDefault="00E51CDD" w:rsidP="009938D9">
            <w:pPr>
              <w:spacing w:before="40" w:after="40" w:line="259" w:lineRule="auto"/>
              <w:jc w:val="center"/>
              <w:rPr>
                <w:rFonts w:eastAsia="Arial"/>
                <w:b/>
                <w:bCs/>
                <w:sz w:val="20"/>
                <w:szCs w:val="20"/>
                <w:lang w:eastAsia="en-US"/>
              </w:rPr>
            </w:pPr>
          </w:p>
        </w:tc>
        <w:tc>
          <w:tcPr>
            <w:tcW w:w="4204" w:type="pct"/>
            <w:gridSpan w:val="5"/>
            <w:vAlign w:val="center"/>
          </w:tcPr>
          <w:p w14:paraId="71A9698D" w14:textId="77777777" w:rsidR="00E51CDD" w:rsidRPr="002262EA" w:rsidRDefault="00E51CDD" w:rsidP="009938D9">
            <w:pPr>
              <w:spacing w:before="40" w:after="40" w:line="259" w:lineRule="auto"/>
              <w:jc w:val="center"/>
              <w:rPr>
                <w:rFonts w:eastAsia="Arial"/>
                <w:b/>
                <w:bCs/>
                <w:sz w:val="20"/>
                <w:szCs w:val="20"/>
                <w:lang w:val="fr-BE" w:eastAsia="en-US"/>
              </w:rPr>
            </w:pPr>
            <w:r w:rsidRPr="002262EA">
              <w:rPr>
                <w:rFonts w:eastAsia="Arial"/>
                <w:b/>
                <w:bCs/>
                <w:sz w:val="20"/>
                <w:szCs w:val="20"/>
                <w:lang w:val="fr-BE" w:eastAsia="en-US"/>
              </w:rPr>
              <w:t>Endpoint [L BAS</w:t>
            </w:r>
            <w:r w:rsidRPr="002262EA">
              <w:rPr>
                <w:rFonts w:eastAsia="Calibri"/>
                <w:lang w:val="fr-BE" w:eastAsia="en-US"/>
              </w:rPr>
              <w:t> </w:t>
            </w:r>
            <w:r w:rsidRPr="002262EA">
              <w:rPr>
                <w:rFonts w:eastAsia="Arial"/>
                <w:b/>
                <w:bCs/>
                <w:sz w:val="20"/>
                <w:szCs w:val="20"/>
                <w:lang w:val="fr-BE" w:eastAsia="en-US"/>
              </w:rPr>
              <w:t>736 00 F/ha]</w:t>
            </w:r>
          </w:p>
        </w:tc>
      </w:tr>
      <w:tr w:rsidR="00E51CDD" w:rsidRPr="00062BA7" w14:paraId="4E2DE7E8" w14:textId="77777777" w:rsidTr="009938D9">
        <w:tc>
          <w:tcPr>
            <w:tcW w:w="796" w:type="pct"/>
          </w:tcPr>
          <w:p w14:paraId="2CDAED67" w14:textId="77777777" w:rsidR="00E51CDD" w:rsidRPr="00062BA7" w:rsidRDefault="00E51CDD" w:rsidP="009938D9">
            <w:pPr>
              <w:spacing w:before="40" w:after="40" w:line="259" w:lineRule="auto"/>
              <w:jc w:val="center"/>
              <w:rPr>
                <w:rFonts w:eastAsia="Arial"/>
                <w:sz w:val="20"/>
                <w:szCs w:val="20"/>
                <w:vertAlign w:val="subscript"/>
                <w:lang w:eastAsia="en-US"/>
              </w:rPr>
            </w:pPr>
            <w:r w:rsidRPr="00062BA7">
              <w:rPr>
                <w:rFonts w:eastAsia="Arial"/>
                <w:sz w:val="20"/>
                <w:szCs w:val="20"/>
                <w:lang w:eastAsia="en-US"/>
              </w:rPr>
              <w:t>LR</w:t>
            </w:r>
            <w:r w:rsidRPr="00062BA7">
              <w:rPr>
                <w:rFonts w:eastAsia="Arial"/>
                <w:sz w:val="20"/>
                <w:szCs w:val="20"/>
                <w:vertAlign w:val="subscript"/>
                <w:lang w:eastAsia="en-US"/>
              </w:rPr>
              <w:t>50</w:t>
            </w:r>
          </w:p>
        </w:tc>
        <w:tc>
          <w:tcPr>
            <w:tcW w:w="4204" w:type="pct"/>
            <w:gridSpan w:val="5"/>
          </w:tcPr>
          <w:p w14:paraId="65D241A9"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&gt; 4.0</w:t>
            </w:r>
          </w:p>
        </w:tc>
      </w:tr>
      <w:tr w:rsidR="00E51CDD" w:rsidRPr="00062BA7" w14:paraId="3C911F11" w14:textId="77777777" w:rsidTr="009938D9">
        <w:tc>
          <w:tcPr>
            <w:tcW w:w="796" w:type="pct"/>
          </w:tcPr>
          <w:p w14:paraId="52267E41"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ER</w:t>
            </w:r>
            <w:r w:rsidRPr="00062BA7">
              <w:rPr>
                <w:rFonts w:eastAsia="Arial"/>
                <w:sz w:val="20"/>
                <w:szCs w:val="20"/>
                <w:vertAlign w:val="subscript"/>
                <w:lang w:eastAsia="en-US"/>
              </w:rPr>
              <w:t xml:space="preserve">50 </w:t>
            </w:r>
            <w:r w:rsidRPr="00062BA7">
              <w:rPr>
                <w:rFonts w:eastAsia="Arial"/>
                <w:sz w:val="20"/>
                <w:szCs w:val="20"/>
                <w:vertAlign w:val="superscript"/>
                <w:lang w:eastAsia="en-US"/>
              </w:rPr>
              <w:t>4)</w:t>
            </w:r>
          </w:p>
        </w:tc>
        <w:tc>
          <w:tcPr>
            <w:tcW w:w="4204" w:type="pct"/>
            <w:gridSpan w:val="5"/>
          </w:tcPr>
          <w:p w14:paraId="29C66EB0" w14:textId="77777777" w:rsidR="00E51CDD" w:rsidRPr="00062BA7" w:rsidRDefault="00E51CDD" w:rsidP="009938D9">
            <w:pPr>
              <w:spacing w:before="40" w:after="40" w:line="259" w:lineRule="auto"/>
              <w:jc w:val="center"/>
              <w:rPr>
                <w:rFonts w:eastAsia="Arial"/>
                <w:sz w:val="20"/>
                <w:szCs w:val="20"/>
                <w:lang w:eastAsia="en-US"/>
              </w:rPr>
            </w:pPr>
            <w:r w:rsidRPr="00062BA7">
              <w:rPr>
                <w:rFonts w:eastAsia="Arial"/>
                <w:sz w:val="20"/>
                <w:szCs w:val="20"/>
                <w:lang w:eastAsia="en-US"/>
              </w:rPr>
              <w:t>&gt; 4.0</w:t>
            </w:r>
          </w:p>
        </w:tc>
      </w:tr>
    </w:tbl>
    <w:p w14:paraId="2661B3CE" w14:textId="77777777" w:rsidR="00E51CDD" w:rsidRPr="00062BA7" w:rsidRDefault="00E51CDD" w:rsidP="00E51CDD">
      <w:pPr>
        <w:widowControl w:val="0"/>
        <w:ind w:left="270" w:hanging="270"/>
        <w:jc w:val="both"/>
        <w:rPr>
          <w:sz w:val="18"/>
        </w:rPr>
      </w:pPr>
      <w:r w:rsidRPr="00062BA7">
        <w:rPr>
          <w:sz w:val="18"/>
        </w:rPr>
        <w:t>*</w:t>
      </w:r>
      <w:r w:rsidRPr="00062BA7">
        <w:rPr>
          <w:sz w:val="18"/>
        </w:rPr>
        <w:tab/>
        <w:t>Statistically significant difference from the control (Multiple Sequentially-rejective Fisher test after Bonferroni-Holm, α = 0.05).</w:t>
      </w:r>
    </w:p>
    <w:p w14:paraId="0D3BBD81" w14:textId="77777777" w:rsidR="00E51CDD" w:rsidRPr="00062BA7" w:rsidRDefault="00E51CDD" w:rsidP="00E51CDD">
      <w:pPr>
        <w:widowControl w:val="0"/>
        <w:ind w:left="284" w:hanging="284"/>
        <w:jc w:val="both"/>
        <w:rPr>
          <w:sz w:val="18"/>
        </w:rPr>
      </w:pPr>
      <w:r w:rsidRPr="00062BA7">
        <w:rPr>
          <w:sz w:val="18"/>
          <w:vertAlign w:val="superscript"/>
        </w:rPr>
        <w:t>1)</w:t>
      </w:r>
      <w:r w:rsidRPr="00062BA7">
        <w:rPr>
          <w:sz w:val="18"/>
        </w:rPr>
        <w:tab/>
        <w:t>Application rate in 200 L water/ha.</w:t>
      </w:r>
    </w:p>
    <w:p w14:paraId="47E1C545" w14:textId="77777777" w:rsidR="00E51CDD" w:rsidRPr="00062BA7" w:rsidRDefault="00E51CDD" w:rsidP="00E51CDD">
      <w:pPr>
        <w:widowControl w:val="0"/>
        <w:ind w:left="284" w:hanging="284"/>
        <w:jc w:val="both"/>
        <w:rPr>
          <w:sz w:val="18"/>
        </w:rPr>
      </w:pPr>
      <w:r w:rsidRPr="00062BA7">
        <w:rPr>
          <w:sz w:val="18"/>
          <w:vertAlign w:val="superscript"/>
        </w:rPr>
        <w:t>2)</w:t>
      </w:r>
      <w:r w:rsidRPr="00062BA7">
        <w:rPr>
          <w:sz w:val="18"/>
        </w:rPr>
        <w:tab/>
        <w:t>Mortality: percentage of individuals, which did not reach maturity.</w:t>
      </w:r>
    </w:p>
    <w:p w14:paraId="3B59C5E1" w14:textId="77777777" w:rsidR="00E51CDD" w:rsidRPr="00062BA7" w:rsidRDefault="00E51CDD" w:rsidP="00E51CDD">
      <w:pPr>
        <w:widowControl w:val="0"/>
        <w:ind w:left="284" w:hanging="284"/>
        <w:jc w:val="both"/>
        <w:rPr>
          <w:sz w:val="18"/>
        </w:rPr>
      </w:pPr>
      <w:r w:rsidRPr="00062BA7">
        <w:rPr>
          <w:sz w:val="18"/>
          <w:vertAlign w:val="superscript"/>
        </w:rPr>
        <w:t>3)</w:t>
      </w:r>
      <w:r w:rsidRPr="00062BA7">
        <w:rPr>
          <w:sz w:val="18"/>
        </w:rPr>
        <w:tab/>
        <w:t>Corrected mortality according to Abbott (1925).</w:t>
      </w:r>
    </w:p>
    <w:p w14:paraId="7E090C18" w14:textId="77777777" w:rsidR="00E51CDD" w:rsidRPr="00062BA7" w:rsidRDefault="00E51CDD" w:rsidP="00E51CDD">
      <w:pPr>
        <w:widowControl w:val="0"/>
        <w:ind w:left="284" w:hanging="284"/>
        <w:jc w:val="both"/>
        <w:rPr>
          <w:sz w:val="18"/>
        </w:rPr>
      </w:pPr>
      <w:r w:rsidRPr="00062BA7">
        <w:rPr>
          <w:sz w:val="18"/>
          <w:vertAlign w:val="superscript"/>
        </w:rPr>
        <w:t>4)</w:t>
      </w:r>
      <w:r w:rsidRPr="00062BA7">
        <w:rPr>
          <w:sz w:val="18"/>
        </w:rPr>
        <w:tab/>
        <w:t>ER</w:t>
      </w:r>
      <w:r w:rsidRPr="00062BA7">
        <w:rPr>
          <w:sz w:val="18"/>
          <w:vertAlign w:val="subscript"/>
        </w:rPr>
        <w:t>50</w:t>
      </w:r>
      <w:r w:rsidRPr="00062BA7">
        <w:rPr>
          <w:sz w:val="18"/>
        </w:rPr>
        <w:t xml:space="preserve"> not given in the study report but estimated based on the raw data.</w:t>
      </w:r>
    </w:p>
    <w:p w14:paraId="3C22003C" w14:textId="77777777" w:rsidR="00E51CDD" w:rsidRPr="00062BA7" w:rsidRDefault="00E51CDD" w:rsidP="00E51CDD">
      <w:pPr>
        <w:widowControl w:val="0"/>
        <w:ind w:left="284" w:hanging="284"/>
        <w:jc w:val="both"/>
        <w:rPr>
          <w:sz w:val="18"/>
        </w:rPr>
      </w:pPr>
    </w:p>
    <w:p w14:paraId="7F6FE006" w14:textId="77777777" w:rsidR="00E51CDD" w:rsidRPr="00062BA7" w:rsidRDefault="00E51CDD" w:rsidP="00E51CDD">
      <w:pPr>
        <w:widowControl w:val="0"/>
        <w:rPr>
          <w:color w:val="0070C0"/>
        </w:rPr>
      </w:pPr>
    </w:p>
    <w:p w14:paraId="01F24B68" w14:textId="77777777" w:rsidR="00E51CDD" w:rsidRPr="00062BA7" w:rsidRDefault="00E51CDD" w:rsidP="00E51CDD">
      <w:pPr>
        <w:widowControl w:val="0"/>
      </w:pPr>
      <w:r w:rsidRPr="00062BA7">
        <w:t xml:space="preserve">The reference item caused a mortality of 66.0% of exposed lacewings, resulting in a corrected mortality </w:t>
      </w:r>
    </w:p>
    <w:p w14:paraId="474386C2" w14:textId="77777777" w:rsidR="00E51CDD" w:rsidRPr="00062BA7" w:rsidRDefault="00E51CDD" w:rsidP="00E51CDD">
      <w:pPr>
        <w:widowControl w:val="0"/>
      </w:pPr>
      <w:r w:rsidRPr="00062BA7">
        <w:t>of 63.8%.</w:t>
      </w:r>
    </w:p>
    <w:p w14:paraId="0495A03E" w14:textId="77777777" w:rsidR="00E51CDD" w:rsidRPr="00062BA7" w:rsidRDefault="00E51CDD" w:rsidP="00E51CDD">
      <w:pPr>
        <w:jc w:val="both"/>
        <w:rPr>
          <w:u w:val="single"/>
        </w:rPr>
      </w:pPr>
      <w:bookmarkStart w:id="1241" w:name="_Hlk31274854"/>
    </w:p>
    <w:p w14:paraId="7B3113E1" w14:textId="77777777" w:rsidR="00E51CDD" w:rsidRPr="00062BA7" w:rsidRDefault="00E51CDD" w:rsidP="00E51CDD">
      <w:pPr>
        <w:jc w:val="both"/>
        <w:rPr>
          <w:u w:val="single"/>
        </w:rPr>
      </w:pPr>
      <w:r w:rsidRPr="00062BA7">
        <w:rPr>
          <w:u w:val="single"/>
        </w:rPr>
        <w:t>Validity criteria:</w:t>
      </w:r>
    </w:p>
    <w:p w14:paraId="24D4A922" w14:textId="77777777" w:rsidR="00E51CDD" w:rsidRPr="00062BA7" w:rsidRDefault="00E51CDD" w:rsidP="00E51CDD">
      <w:pPr>
        <w:jc w:val="both"/>
        <w:rPr>
          <w:color w:val="0070C0"/>
        </w:rPr>
      </w:pPr>
    </w:p>
    <w:tbl>
      <w:tblPr>
        <w:tblStyle w:val="DAR0077"/>
        <w:tblW w:w="5000" w:type="pct"/>
        <w:tblInd w:w="0" w:type="dxa"/>
        <w:tblLook w:val="04A0" w:firstRow="1" w:lastRow="0" w:firstColumn="1" w:lastColumn="0" w:noHBand="0" w:noVBand="1"/>
      </w:tblPr>
      <w:tblGrid>
        <w:gridCol w:w="6866"/>
        <w:gridCol w:w="2478"/>
      </w:tblGrid>
      <w:tr w:rsidR="00E51CDD" w:rsidRPr="00062BA7" w14:paraId="25F4A3C7"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0D6943B6" w14:textId="77777777" w:rsidR="00E51CDD" w:rsidRPr="00062BA7" w:rsidRDefault="00E51CDD" w:rsidP="009938D9">
            <w:pPr>
              <w:widowControl w:val="0"/>
              <w:rPr>
                <w:b/>
                <w:sz w:val="20"/>
                <w:szCs w:val="20"/>
              </w:rPr>
            </w:pPr>
            <w:r w:rsidRPr="00062BA7">
              <w:rPr>
                <w:b/>
                <w:sz w:val="20"/>
                <w:szCs w:val="20"/>
              </w:rPr>
              <w:t xml:space="preserve">Validity criteria according to Vogt </w:t>
            </w:r>
            <w:r w:rsidRPr="00062BA7">
              <w:rPr>
                <w:b/>
                <w:i/>
                <w:sz w:val="20"/>
                <w:szCs w:val="20"/>
              </w:rPr>
              <w:t>et al.</w:t>
            </w:r>
            <w:r w:rsidRPr="00062BA7">
              <w:rPr>
                <w:b/>
                <w:sz w:val="20"/>
                <w:szCs w:val="20"/>
              </w:rPr>
              <w:t xml:space="preserve"> (2000)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1A57661A" w14:textId="77777777" w:rsidR="00E51CDD" w:rsidRPr="00062BA7" w:rsidRDefault="00E51CDD" w:rsidP="009938D9">
            <w:pPr>
              <w:widowControl w:val="0"/>
              <w:rPr>
                <w:b/>
                <w:sz w:val="20"/>
                <w:szCs w:val="20"/>
              </w:rPr>
            </w:pPr>
            <w:r w:rsidRPr="00062BA7">
              <w:rPr>
                <w:b/>
                <w:sz w:val="20"/>
                <w:szCs w:val="20"/>
              </w:rPr>
              <w:t>Obtained in this study</w:t>
            </w:r>
          </w:p>
        </w:tc>
      </w:tr>
      <w:tr w:rsidR="00E51CDD" w:rsidRPr="00062BA7" w14:paraId="505BB5B1"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353BC2D7" w14:textId="77777777" w:rsidR="00E51CDD" w:rsidRPr="00062BA7" w:rsidRDefault="00E51CDD" w:rsidP="009938D9">
            <w:pPr>
              <w:widowControl w:val="0"/>
              <w:rPr>
                <w:rFonts w:eastAsia="Calibri"/>
                <w:sz w:val="20"/>
                <w:szCs w:val="20"/>
                <w:vertAlign w:val="superscript"/>
              </w:rPr>
            </w:pPr>
            <w:r w:rsidRPr="00062BA7">
              <w:rPr>
                <w:rFonts w:eastAsia="Calibri"/>
                <w:sz w:val="20"/>
                <w:szCs w:val="20"/>
              </w:rPr>
              <w:t>Pre-imaginal mortality in the control group should not exceed 20%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50AE78C3" w14:textId="77777777" w:rsidR="00E51CDD" w:rsidRPr="00062BA7" w:rsidRDefault="00E51CDD" w:rsidP="009938D9">
            <w:pPr>
              <w:widowControl w:val="0"/>
              <w:tabs>
                <w:tab w:val="left" w:pos="425"/>
                <w:tab w:val="left" w:pos="850"/>
              </w:tabs>
              <w:rPr>
                <w:sz w:val="20"/>
                <w:szCs w:val="20"/>
              </w:rPr>
            </w:pPr>
            <w:r w:rsidRPr="00062BA7">
              <w:rPr>
                <w:sz w:val="20"/>
                <w:szCs w:val="20"/>
              </w:rPr>
              <w:t>6.0%</w:t>
            </w:r>
          </w:p>
        </w:tc>
      </w:tr>
      <w:tr w:rsidR="00E51CDD" w:rsidRPr="00062BA7" w14:paraId="3F8B8ECE"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695633DF" w14:textId="77777777" w:rsidR="00E51CDD" w:rsidRPr="00062BA7" w:rsidRDefault="00E51CDD" w:rsidP="009938D9">
            <w:pPr>
              <w:widowControl w:val="0"/>
              <w:rPr>
                <w:rFonts w:eastAsia="Calibri"/>
                <w:sz w:val="20"/>
                <w:szCs w:val="20"/>
              </w:rPr>
            </w:pPr>
            <w:r w:rsidRPr="00062BA7">
              <w:rPr>
                <w:rFonts w:eastAsia="Calibri"/>
                <w:sz w:val="20"/>
                <w:szCs w:val="20"/>
              </w:rPr>
              <w:t>Mean egg production in the control should be ≥ 15 eggs per female per day</w:t>
            </w:r>
          </w:p>
        </w:tc>
        <w:tc>
          <w:tcPr>
            <w:tcW w:w="1326" w:type="pct"/>
            <w:tcBorders>
              <w:top w:val="single" w:sz="4" w:space="0" w:color="auto"/>
              <w:left w:val="single" w:sz="4" w:space="0" w:color="auto"/>
              <w:bottom w:val="single" w:sz="4" w:space="0" w:color="auto"/>
              <w:right w:val="single" w:sz="4" w:space="0" w:color="auto"/>
            </w:tcBorders>
            <w:vAlign w:val="center"/>
            <w:hideMark/>
          </w:tcPr>
          <w:p w14:paraId="2B10D36C" w14:textId="77777777" w:rsidR="00E51CDD" w:rsidRPr="00062BA7" w:rsidRDefault="00E51CDD" w:rsidP="009938D9">
            <w:pPr>
              <w:widowControl w:val="0"/>
              <w:tabs>
                <w:tab w:val="left" w:pos="425"/>
                <w:tab w:val="left" w:pos="850"/>
              </w:tabs>
              <w:rPr>
                <w:sz w:val="20"/>
                <w:szCs w:val="20"/>
              </w:rPr>
            </w:pPr>
            <w:r w:rsidRPr="00062BA7">
              <w:rPr>
                <w:sz w:val="20"/>
                <w:szCs w:val="20"/>
              </w:rPr>
              <w:t>21.3</w:t>
            </w:r>
          </w:p>
        </w:tc>
      </w:tr>
      <w:tr w:rsidR="00E51CDD" w:rsidRPr="00062BA7" w14:paraId="00C469F2"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67F253FE" w14:textId="77777777" w:rsidR="00E51CDD" w:rsidRPr="00062BA7" w:rsidRDefault="00E51CDD" w:rsidP="009938D9">
            <w:pPr>
              <w:widowControl w:val="0"/>
              <w:rPr>
                <w:rFonts w:eastAsia="Calibri"/>
                <w:sz w:val="20"/>
                <w:szCs w:val="20"/>
              </w:rPr>
            </w:pPr>
            <w:r w:rsidRPr="00062BA7">
              <w:rPr>
                <w:rFonts w:eastAsia="Calibri"/>
                <w:sz w:val="20"/>
                <w:szCs w:val="20"/>
              </w:rPr>
              <w:t>Mean hatching rate of the eggs in the control should be ≥ 70%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568D2B56" w14:textId="77777777" w:rsidR="00E51CDD" w:rsidRPr="00062BA7" w:rsidRDefault="00E51CDD" w:rsidP="009938D9">
            <w:pPr>
              <w:rPr>
                <w:sz w:val="20"/>
                <w:szCs w:val="20"/>
              </w:rPr>
            </w:pPr>
            <w:r w:rsidRPr="00062BA7">
              <w:rPr>
                <w:sz w:val="20"/>
                <w:szCs w:val="20"/>
              </w:rPr>
              <w:t>74.2%</w:t>
            </w:r>
          </w:p>
        </w:tc>
      </w:tr>
      <w:tr w:rsidR="00E51CDD" w:rsidRPr="00062BA7" w14:paraId="05687107"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0A212B61" w14:textId="77777777" w:rsidR="00E51CDD" w:rsidRPr="00062BA7" w:rsidRDefault="00E51CDD" w:rsidP="009938D9">
            <w:pPr>
              <w:widowControl w:val="0"/>
              <w:rPr>
                <w:rFonts w:eastAsia="Calibri"/>
                <w:sz w:val="20"/>
                <w:szCs w:val="20"/>
              </w:rPr>
            </w:pPr>
            <w:r w:rsidRPr="00062BA7">
              <w:rPr>
                <w:rFonts w:eastAsia="Calibri"/>
                <w:sz w:val="20"/>
                <w:szCs w:val="20"/>
              </w:rPr>
              <w:t>Corrected mortality in the toxic reference treatment should be ≥ 50%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3589E023" w14:textId="77777777" w:rsidR="00E51CDD" w:rsidRPr="00062BA7" w:rsidRDefault="00E51CDD" w:rsidP="009938D9">
            <w:pPr>
              <w:rPr>
                <w:sz w:val="20"/>
                <w:szCs w:val="20"/>
              </w:rPr>
            </w:pPr>
            <w:r w:rsidRPr="00062BA7">
              <w:rPr>
                <w:sz w:val="20"/>
                <w:szCs w:val="20"/>
              </w:rPr>
              <w:t>63.8%</w:t>
            </w:r>
          </w:p>
        </w:tc>
      </w:tr>
    </w:tbl>
    <w:p w14:paraId="12C4CE4C" w14:textId="77777777" w:rsidR="00E51CDD" w:rsidRDefault="00E51CDD" w:rsidP="00E51CDD">
      <w:pPr>
        <w:jc w:val="both"/>
        <w:rPr>
          <w:color w:val="0070C0"/>
        </w:rPr>
      </w:pPr>
    </w:p>
    <w:p w14:paraId="232AE84B" w14:textId="77777777" w:rsidR="00E51CDD" w:rsidRPr="00062BA7" w:rsidRDefault="00E51CDD" w:rsidP="00E51CDD">
      <w:pPr>
        <w:jc w:val="both"/>
        <w:rPr>
          <w:color w:val="0070C0"/>
        </w:rPr>
      </w:pPr>
    </w:p>
    <w:p w14:paraId="401E3EF1" w14:textId="77777777" w:rsidR="00E51CDD" w:rsidRPr="00062BA7" w:rsidRDefault="00E51CDD" w:rsidP="00E51CDD">
      <w:pPr>
        <w:jc w:val="both"/>
      </w:pPr>
      <w:r w:rsidRPr="00062BA7">
        <w:t>All validity criteria were met.</w:t>
      </w:r>
    </w:p>
    <w:bookmarkEnd w:id="1241"/>
    <w:p w14:paraId="63617825" w14:textId="77777777" w:rsidR="00E51CDD" w:rsidRPr="00062BA7" w:rsidRDefault="00E51CDD" w:rsidP="00E51CDD">
      <w:pPr>
        <w:widowControl w:val="0"/>
        <w:rPr>
          <w:color w:val="0070C0"/>
        </w:rPr>
      </w:pPr>
    </w:p>
    <w:p w14:paraId="2D4B000E" w14:textId="77777777" w:rsidR="00E51CDD" w:rsidRPr="00062BA7" w:rsidRDefault="00E51CDD" w:rsidP="00E51CDD">
      <w:pPr>
        <w:widowControl w:val="0"/>
        <w:rPr>
          <w:color w:val="0070C0"/>
        </w:rPr>
      </w:pPr>
    </w:p>
    <w:p w14:paraId="314DE00B" w14:textId="77777777" w:rsidR="00E51CDD" w:rsidRPr="00062BA7" w:rsidRDefault="00E51CDD" w:rsidP="00E51CDD">
      <w:pPr>
        <w:tabs>
          <w:tab w:val="left" w:pos="425"/>
          <w:tab w:val="left" w:pos="850"/>
        </w:tabs>
        <w:suppressAutoHyphens/>
        <w:ind w:left="2835" w:hanging="2835"/>
        <w:rPr>
          <w:b/>
          <w:bCs/>
        </w:rPr>
      </w:pPr>
      <w:r w:rsidRPr="00062BA7">
        <w:rPr>
          <w:b/>
          <w:bCs/>
        </w:rPr>
        <w:t>III.</w:t>
      </w:r>
      <w:r w:rsidRPr="00062BA7">
        <w:rPr>
          <w:b/>
          <w:bCs/>
        </w:rPr>
        <w:tab/>
        <w:t>CONCLUSION</w:t>
      </w:r>
    </w:p>
    <w:p w14:paraId="1398E05D" w14:textId="77777777" w:rsidR="00E51CDD" w:rsidRPr="00062BA7" w:rsidRDefault="00E51CDD" w:rsidP="00E51CDD">
      <w:pPr>
        <w:widowControl w:val="0"/>
        <w:tabs>
          <w:tab w:val="left" w:pos="425"/>
          <w:tab w:val="left" w:pos="850"/>
        </w:tabs>
        <w:ind w:left="2835" w:hanging="2835"/>
      </w:pPr>
    </w:p>
    <w:p w14:paraId="6AE40582" w14:textId="77777777" w:rsidR="00E51CDD" w:rsidRDefault="00E51CDD" w:rsidP="00E51CDD">
      <w:pPr>
        <w:widowControl w:val="0"/>
        <w:jc w:val="both"/>
        <w:rPr>
          <w:b/>
        </w:rPr>
      </w:pPr>
      <w:r w:rsidRPr="00062BA7">
        <w:rPr>
          <w:b/>
        </w:rPr>
        <w:t xml:space="preserve">In an extended laboratory study with </w:t>
      </w:r>
      <w:r w:rsidRPr="00062BA7">
        <w:rPr>
          <w:b/>
          <w:i/>
        </w:rPr>
        <w:t>Chrysoperla carnea</w:t>
      </w:r>
      <w:r w:rsidRPr="00062BA7">
        <w:rPr>
          <w:b/>
        </w:rPr>
        <w:t>, the LR</w:t>
      </w:r>
      <w:r w:rsidRPr="00062BA7">
        <w:rPr>
          <w:b/>
          <w:vertAlign w:val="subscript"/>
        </w:rPr>
        <w:t>50</w:t>
      </w:r>
      <w:r w:rsidRPr="00062BA7">
        <w:rPr>
          <w:b/>
        </w:rPr>
        <w:t xml:space="preserve"> was &gt; 4 L BAS 736 00 F/ha. No unacceptable effects on reproduction were observed up to and including an application rate of 4 L</w:t>
      </w:r>
      <w:r>
        <w:rPr>
          <w:b/>
        </w:rPr>
        <w:t xml:space="preserve"> </w:t>
      </w:r>
      <w:r w:rsidRPr="00062BA7">
        <w:rPr>
          <w:b/>
        </w:rPr>
        <w:t>BAS 736 00 F/ha.</w:t>
      </w:r>
      <w:bookmarkEnd w:id="1229"/>
    </w:p>
    <w:p w14:paraId="48B42F22" w14:textId="77777777" w:rsidR="00E51CDD" w:rsidRPr="004C2DF9" w:rsidRDefault="00E51CDD" w:rsidP="00E51CDD">
      <w:pPr>
        <w:widowControl w:val="0"/>
        <w:jc w:val="both"/>
        <w:rPr>
          <w:b/>
          <w:i/>
        </w:rPr>
      </w:pPr>
      <w:r>
        <w:rPr>
          <w:b/>
        </w:rPr>
        <w:br w:type="page"/>
      </w:r>
    </w:p>
    <w:p w14:paraId="4380FC33" w14:textId="77777777" w:rsidR="00E51CDD" w:rsidRDefault="00E51CDD" w:rsidP="00E51CDD">
      <w:pPr>
        <w:pStyle w:val="RepAppendix3"/>
      </w:pPr>
      <w:bookmarkStart w:id="1242" w:name="_Toc125446484"/>
      <w:bookmarkEnd w:id="1220"/>
      <w:r>
        <w:lastRenderedPageBreak/>
        <w:t>KCP 10.3.2.3</w:t>
      </w:r>
      <w:r>
        <w:tab/>
      </w:r>
      <w:r w:rsidRPr="00615A68">
        <w:t>Semi-field studies with non-target arthropods</w:t>
      </w:r>
      <w:bookmarkEnd w:id="1242"/>
    </w:p>
    <w:p w14:paraId="465809FE" w14:textId="77777777" w:rsidR="00E51CDD" w:rsidRPr="00ED428F" w:rsidRDefault="00E51CDD" w:rsidP="00E51CDD">
      <w:pPr>
        <w:widowControl w:val="0"/>
        <w:suppressAutoHyphens/>
        <w:jc w:val="both"/>
      </w:pPr>
      <w:r w:rsidRPr="000C0292">
        <w:t>As BAS 7</w:t>
      </w:r>
      <w:r>
        <w:t>36</w:t>
      </w:r>
      <w:r w:rsidRPr="000C0292">
        <w:t> 0</w:t>
      </w:r>
      <w:r>
        <w:t>0</w:t>
      </w:r>
      <w:r w:rsidRPr="000C0292">
        <w:t> F poses no unacceptable risk to non-target arthropods, further studies are not necessary.</w:t>
      </w:r>
    </w:p>
    <w:p w14:paraId="3A842A78" w14:textId="77777777" w:rsidR="00E51CDD" w:rsidRDefault="00E51CDD" w:rsidP="00E51CDD">
      <w:pPr>
        <w:pStyle w:val="RepStandard"/>
      </w:pPr>
    </w:p>
    <w:p w14:paraId="7B5E0539" w14:textId="77777777" w:rsidR="00E51CDD" w:rsidRDefault="00E51CDD" w:rsidP="00E51CDD">
      <w:pPr>
        <w:pStyle w:val="RepAppendix3"/>
      </w:pPr>
      <w:bookmarkStart w:id="1243" w:name="_Toc125446485"/>
      <w:r>
        <w:t>KCP 10.3.2.4</w:t>
      </w:r>
      <w:r>
        <w:tab/>
      </w:r>
      <w:r w:rsidRPr="00615A68">
        <w:t>Field studies with non-target arthropods</w:t>
      </w:r>
      <w:bookmarkEnd w:id="1243"/>
    </w:p>
    <w:p w14:paraId="60FB4E6C" w14:textId="77777777" w:rsidR="00E51CDD" w:rsidRDefault="00E51CDD" w:rsidP="00E51CDD">
      <w:pPr>
        <w:widowControl w:val="0"/>
        <w:suppressAutoHyphens/>
        <w:jc w:val="both"/>
      </w:pPr>
      <w:r w:rsidRPr="000C0292">
        <w:t>As BAS 7</w:t>
      </w:r>
      <w:r>
        <w:t>36</w:t>
      </w:r>
      <w:r w:rsidRPr="000C0292">
        <w:t> 0</w:t>
      </w:r>
      <w:r>
        <w:t>0</w:t>
      </w:r>
      <w:r w:rsidRPr="000C0292">
        <w:t> F poses no unacceptable risk to non-target arthropods, further studies are not necessary.</w:t>
      </w:r>
    </w:p>
    <w:p w14:paraId="23FC62AC" w14:textId="77777777" w:rsidR="00E51CDD" w:rsidRPr="00062BA7" w:rsidRDefault="00E51CDD" w:rsidP="00E51CDD">
      <w:pPr>
        <w:widowControl w:val="0"/>
        <w:suppressAutoHyphens/>
        <w:jc w:val="both"/>
      </w:pPr>
    </w:p>
    <w:p w14:paraId="2462275E" w14:textId="77777777" w:rsidR="00E51CDD" w:rsidRDefault="00E51CDD" w:rsidP="00E51CDD">
      <w:pPr>
        <w:pStyle w:val="RepAppendix3"/>
      </w:pPr>
      <w:bookmarkStart w:id="1244" w:name="_Toc125446486"/>
      <w:r>
        <w:t>KCP 10.3.2.5</w:t>
      </w:r>
      <w:r>
        <w:tab/>
      </w:r>
      <w:r w:rsidRPr="00615A68">
        <w:t>Other routes of exposure for non-target arthropods</w:t>
      </w:r>
      <w:bookmarkEnd w:id="1244"/>
    </w:p>
    <w:p w14:paraId="648D148B" w14:textId="77777777" w:rsidR="00E51CDD" w:rsidRPr="00062BA7" w:rsidRDefault="00E51CDD" w:rsidP="00E51CDD">
      <w:pPr>
        <w:widowControl w:val="0"/>
        <w:suppressAutoHyphens/>
        <w:jc w:val="both"/>
      </w:pPr>
      <w:r w:rsidRPr="000C0292">
        <w:t>As BAS 7</w:t>
      </w:r>
      <w:r>
        <w:t>36</w:t>
      </w:r>
      <w:r w:rsidRPr="000C0292">
        <w:t> 0</w:t>
      </w:r>
      <w:r>
        <w:t>0</w:t>
      </w:r>
      <w:r w:rsidRPr="000C0292">
        <w:t> F poses no unacceptable risk to non-target arthropods, further studies are not necessary.</w:t>
      </w:r>
    </w:p>
    <w:bookmarkEnd w:id="1163"/>
    <w:p w14:paraId="1359F8B5" w14:textId="77777777" w:rsidR="00E51CDD" w:rsidRDefault="00E51CDD" w:rsidP="00E51CDD">
      <w:pPr>
        <w:pStyle w:val="StyleOECD-BASIS-TEXTLeft"/>
        <w:rPr>
          <w:sz w:val="22"/>
          <w:lang w:val="en-US"/>
        </w:rPr>
      </w:pPr>
    </w:p>
    <w:p w14:paraId="7F55E6EB" w14:textId="77777777" w:rsidR="00E51CDD" w:rsidRDefault="00E51CDD" w:rsidP="00CE08CB">
      <w:pPr>
        <w:pStyle w:val="StyleOECD-BASIS-TEXTLeft"/>
        <w:rPr>
          <w:sz w:val="22"/>
          <w:lang w:val="en-US"/>
        </w:rPr>
        <w:sectPr w:rsidR="00E51CDD" w:rsidSect="00D20BDB">
          <w:headerReference w:type="even" r:id="rId65"/>
          <w:footerReference w:type="even" r:id="rId66"/>
          <w:headerReference w:type="first" r:id="rId67"/>
          <w:footerReference w:type="first" r:id="rId68"/>
          <w:pgSz w:w="11906" w:h="16838"/>
          <w:pgMar w:top="1418" w:right="1134" w:bottom="1134" w:left="1418" w:header="709" w:footer="709" w:gutter="0"/>
          <w:pgNumType w:chapSep="period"/>
          <w:cols w:space="708"/>
          <w:docGrid w:linePitch="360"/>
        </w:sectPr>
      </w:pPr>
    </w:p>
    <w:p w14:paraId="137F2FE7" w14:textId="77777777" w:rsidR="00E51CDD" w:rsidRPr="00E51CDD" w:rsidRDefault="00E51CDD" w:rsidP="00E51CDD">
      <w:pPr>
        <w:jc w:val="both"/>
        <w:rPr>
          <w:color w:val="000000"/>
          <w:lang w:eastAsia="en-US"/>
        </w:rPr>
      </w:pPr>
    </w:p>
    <w:p w14:paraId="115D7C4D" w14:textId="77777777" w:rsidR="00E51CDD" w:rsidRPr="00E51CDD" w:rsidRDefault="00E51CDD" w:rsidP="00B31542">
      <w:pPr>
        <w:pStyle w:val="RepAppendix2"/>
      </w:pPr>
      <w:bookmarkStart w:id="1245" w:name="_Toc413922102"/>
      <w:bookmarkStart w:id="1246" w:name="_Toc413922591"/>
      <w:bookmarkStart w:id="1247" w:name="_Toc413922695"/>
      <w:bookmarkStart w:id="1248" w:name="_Toc414955332"/>
      <w:bookmarkStart w:id="1249" w:name="_Toc415214639"/>
      <w:bookmarkStart w:id="1250" w:name="_Toc125446487"/>
      <w:r w:rsidRPr="00E51CDD">
        <w:t xml:space="preserve">KCP 10.4 </w:t>
      </w:r>
      <w:r w:rsidRPr="00E51CDD">
        <w:tab/>
        <w:t>Effects on non-target soil meso- and macrofauna</w:t>
      </w:r>
      <w:bookmarkEnd w:id="1245"/>
      <w:bookmarkEnd w:id="1246"/>
      <w:bookmarkEnd w:id="1247"/>
      <w:bookmarkEnd w:id="1248"/>
      <w:bookmarkEnd w:id="1249"/>
      <w:bookmarkEnd w:id="1250"/>
    </w:p>
    <w:p w14:paraId="4A763F1C" w14:textId="77777777" w:rsidR="00E51CDD" w:rsidRPr="00E51CDD" w:rsidRDefault="00E51CDD" w:rsidP="00B31542">
      <w:pPr>
        <w:pStyle w:val="RepAppendix3"/>
      </w:pPr>
      <w:bookmarkStart w:id="1251" w:name="_Toc413922103"/>
      <w:bookmarkStart w:id="1252" w:name="_Toc413922592"/>
      <w:bookmarkStart w:id="1253" w:name="_Toc413922696"/>
      <w:bookmarkStart w:id="1254" w:name="_Toc414955333"/>
      <w:bookmarkStart w:id="1255" w:name="_Toc415214640"/>
      <w:bookmarkStart w:id="1256" w:name="_Toc125446488"/>
      <w:r w:rsidRPr="00E51CDD">
        <w:t xml:space="preserve">KCP 10.4.1 </w:t>
      </w:r>
      <w:r w:rsidRPr="00E51CDD">
        <w:tab/>
        <w:t>Earthworms</w:t>
      </w:r>
      <w:bookmarkEnd w:id="1251"/>
      <w:bookmarkEnd w:id="1252"/>
      <w:bookmarkEnd w:id="1253"/>
      <w:bookmarkEnd w:id="1254"/>
      <w:bookmarkEnd w:id="1255"/>
      <w:bookmarkEnd w:id="1256"/>
    </w:p>
    <w:p w14:paraId="355FE44C" w14:textId="77777777" w:rsidR="00E51CDD" w:rsidRPr="00E51CDD" w:rsidRDefault="00E51CDD" w:rsidP="00B31542">
      <w:pPr>
        <w:pStyle w:val="RepAppendix4"/>
      </w:pPr>
      <w:r w:rsidRPr="00E51CDD">
        <w:t xml:space="preserve">KCP 10.4.1.1 </w:t>
      </w:r>
      <w:r w:rsidRPr="00E51CDD">
        <w:tab/>
        <w:t>Earthworms - sub-lethal effects</w:t>
      </w:r>
    </w:p>
    <w:p w14:paraId="3AC60A42" w14:textId="77777777" w:rsidR="00E51CDD" w:rsidRPr="00E51CDD" w:rsidRDefault="00E51CDD" w:rsidP="00B31542">
      <w:pPr>
        <w:pStyle w:val="RepAppendix5"/>
      </w:pPr>
      <w:r w:rsidRPr="00E51CDD">
        <w:t>Study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rsidRPr="00E51CDD" w14:paraId="42D85761" w14:textId="77777777" w:rsidTr="00144797">
        <w:trPr>
          <w:trHeight w:val="460"/>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8446DD" w14:textId="77777777" w:rsidR="00E51CDD" w:rsidRPr="00E51CDD" w:rsidRDefault="00E51CDD" w:rsidP="00E51CDD">
            <w:pPr>
              <w:widowControl w:val="0"/>
              <w:jc w:val="both"/>
              <w:rPr>
                <w:rFonts w:eastAsia="Batang"/>
              </w:rPr>
            </w:pPr>
            <w:bookmarkStart w:id="1257" w:name="_Hlk88466201"/>
            <w:r w:rsidRPr="00E51CDD">
              <w:rPr>
                <w:lang w:val="en-GB"/>
              </w:rP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9F71AA" w14:textId="77E8216C" w:rsidR="00E51CDD" w:rsidRPr="00E51CDD" w:rsidRDefault="000C62D5" w:rsidP="00E51CDD">
            <w:pPr>
              <w:widowControl w:val="0"/>
              <w:ind w:left="85"/>
              <w:jc w:val="both"/>
              <w:rPr>
                <w:rFonts w:eastAsia="Batang"/>
                <w:lang w:val="en-GB"/>
              </w:rPr>
            </w:pPr>
            <w:r>
              <w:rPr>
                <w:rFonts w:eastAsia="Batang"/>
              </w:rPr>
              <w:t xml:space="preserve">Study not evaluated. </w:t>
            </w:r>
          </w:p>
        </w:tc>
      </w:tr>
    </w:tbl>
    <w:p w14:paraId="009D0F2A" w14:textId="77777777" w:rsidR="00E51CDD" w:rsidRP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rsidRPr="00E51CDD" w14:paraId="4A314BB9" w14:textId="77777777" w:rsidTr="009938D9">
        <w:trPr>
          <w:gridAfter w:val="1"/>
          <w:wAfter w:w="9" w:type="pct"/>
        </w:trPr>
        <w:tc>
          <w:tcPr>
            <w:tcW w:w="1340" w:type="pct"/>
            <w:hideMark/>
          </w:tcPr>
          <w:p w14:paraId="245B7974" w14:textId="77777777" w:rsidR="00E51CDD" w:rsidRPr="00E51CDD" w:rsidRDefault="00E51CDD" w:rsidP="00E51CDD">
            <w:pPr>
              <w:widowControl w:val="0"/>
              <w:jc w:val="both"/>
              <w:rPr>
                <w:lang w:val="de-DE"/>
              </w:rPr>
            </w:pPr>
            <w:r w:rsidRPr="00E51CDD">
              <w:rPr>
                <w:lang w:val="en-GB"/>
              </w:rPr>
              <w:t>Reference:</w:t>
            </w:r>
          </w:p>
        </w:tc>
        <w:tc>
          <w:tcPr>
            <w:tcW w:w="3651" w:type="pct"/>
            <w:hideMark/>
          </w:tcPr>
          <w:p w14:paraId="644F1DA6" w14:textId="77777777" w:rsidR="00E51CDD" w:rsidRPr="00E51CDD" w:rsidRDefault="00E51CDD" w:rsidP="00E51CDD">
            <w:pPr>
              <w:widowControl w:val="0"/>
              <w:jc w:val="both"/>
              <w:rPr>
                <w:lang w:val="en-GB"/>
              </w:rPr>
            </w:pPr>
            <w:r w:rsidRPr="00E51CDD">
              <w:rPr>
                <w:lang w:val="en-GB"/>
              </w:rPr>
              <w:t>CP 10.4.1.1/1</w:t>
            </w:r>
          </w:p>
        </w:tc>
      </w:tr>
      <w:tr w:rsidR="00E51CDD" w:rsidRPr="00E51CDD" w14:paraId="382B920F" w14:textId="77777777" w:rsidTr="009938D9">
        <w:trPr>
          <w:gridAfter w:val="1"/>
          <w:wAfter w:w="9" w:type="pct"/>
        </w:trPr>
        <w:tc>
          <w:tcPr>
            <w:tcW w:w="1340" w:type="pct"/>
            <w:hideMark/>
          </w:tcPr>
          <w:p w14:paraId="6032D544" w14:textId="77777777" w:rsidR="00E51CDD" w:rsidRPr="00E51CDD" w:rsidRDefault="00E51CDD" w:rsidP="00E51CDD">
            <w:pPr>
              <w:widowControl w:val="0"/>
              <w:spacing w:after="120"/>
              <w:jc w:val="both"/>
              <w:rPr>
                <w:lang w:val="en-GB"/>
              </w:rPr>
            </w:pPr>
            <w:r w:rsidRPr="00E51CDD">
              <w:rPr>
                <w:lang w:val="en-GB"/>
              </w:rPr>
              <w:t>Report</w:t>
            </w:r>
          </w:p>
        </w:tc>
        <w:tc>
          <w:tcPr>
            <w:tcW w:w="3651" w:type="pct"/>
            <w:hideMark/>
          </w:tcPr>
          <w:p w14:paraId="192C8279" w14:textId="77777777" w:rsidR="00E51CDD" w:rsidRPr="00E51CDD" w:rsidRDefault="00E51CDD" w:rsidP="00E51CDD">
            <w:pPr>
              <w:widowControl w:val="0"/>
              <w:spacing w:after="120"/>
              <w:jc w:val="both"/>
            </w:pPr>
            <w:r w:rsidRPr="00E51CDD">
              <w:t>Effects of BAS 700 F (Fluxapyroxad) on reproduction  and growth of earthworms Eisenia fetida in artificial soil,</w:t>
            </w:r>
          </w:p>
          <w:p w14:paraId="5B961D98" w14:textId="77777777" w:rsidR="00E51CDD" w:rsidRPr="00662F32" w:rsidRDefault="00E51CDD" w:rsidP="00E51CDD">
            <w:pPr>
              <w:widowControl w:val="0"/>
              <w:spacing w:after="120"/>
              <w:jc w:val="both"/>
              <w:rPr>
                <w:lang w:val="de-DE"/>
              </w:rPr>
            </w:pPr>
            <w:r w:rsidRPr="00662F32">
              <w:rPr>
                <w:lang w:val="de-DE"/>
              </w:rPr>
              <w:t>Witte, B., 2014</w:t>
            </w:r>
          </w:p>
          <w:p w14:paraId="28FA2E8E" w14:textId="77777777" w:rsidR="00E51CDD" w:rsidRPr="00662F32" w:rsidRDefault="00E51CDD" w:rsidP="00E51CDD">
            <w:pPr>
              <w:widowControl w:val="0"/>
              <w:spacing w:after="120"/>
              <w:jc w:val="both"/>
              <w:rPr>
                <w:lang w:val="de-DE"/>
              </w:rPr>
            </w:pPr>
            <w:r w:rsidRPr="00662F32">
              <w:rPr>
                <w:lang w:val="de-DE"/>
              </w:rPr>
              <w:t>report No EU-93491002,EU-704426,93491022</w:t>
            </w:r>
          </w:p>
          <w:p w14:paraId="20D8CB5D" w14:textId="77777777" w:rsidR="00E51CDD" w:rsidRPr="007330A6" w:rsidRDefault="00E51CDD" w:rsidP="00E51CDD">
            <w:pPr>
              <w:widowControl w:val="0"/>
              <w:spacing w:after="120"/>
              <w:jc w:val="both"/>
            </w:pPr>
            <w:r w:rsidRPr="007330A6">
              <w:t>2014/1135449</w:t>
            </w:r>
          </w:p>
          <w:p w14:paraId="37FE7717" w14:textId="77777777" w:rsidR="00E51CDD" w:rsidRPr="00E51CDD" w:rsidRDefault="00E51CDD" w:rsidP="00E51CDD">
            <w:pPr>
              <w:widowControl w:val="0"/>
              <w:jc w:val="both"/>
              <w:rPr>
                <w:lang w:val="en-GB"/>
              </w:rPr>
            </w:pPr>
            <w:r w:rsidRPr="00E51CDD">
              <w:rPr>
                <w:lang w:val="en-GB"/>
              </w:rPr>
              <w:t>Authority registration No</w:t>
            </w:r>
          </w:p>
        </w:tc>
      </w:tr>
      <w:tr w:rsidR="00E51CDD" w:rsidRPr="00E51CDD" w14:paraId="15155D21" w14:textId="77777777" w:rsidTr="009938D9">
        <w:trPr>
          <w:gridAfter w:val="1"/>
          <w:wAfter w:w="9" w:type="pct"/>
        </w:trPr>
        <w:tc>
          <w:tcPr>
            <w:tcW w:w="1340" w:type="pct"/>
            <w:hideMark/>
          </w:tcPr>
          <w:p w14:paraId="7A8F2815" w14:textId="77777777" w:rsidR="00E51CDD" w:rsidRPr="00E51CDD" w:rsidRDefault="00E51CDD" w:rsidP="00E51CDD">
            <w:pPr>
              <w:widowControl w:val="0"/>
              <w:jc w:val="both"/>
              <w:rPr>
                <w:lang w:val="en-GB"/>
              </w:rPr>
            </w:pPr>
            <w:r w:rsidRPr="00E51CDD">
              <w:rPr>
                <w:lang w:val="en-GB"/>
              </w:rPr>
              <w:t>Guideline(s):</w:t>
            </w:r>
          </w:p>
        </w:tc>
        <w:tc>
          <w:tcPr>
            <w:tcW w:w="3651" w:type="pct"/>
            <w:hideMark/>
          </w:tcPr>
          <w:p w14:paraId="61019747" w14:textId="77777777" w:rsidR="00E51CDD" w:rsidRPr="00E51CDD" w:rsidRDefault="00E51CDD" w:rsidP="00E51CDD">
            <w:pPr>
              <w:widowControl w:val="0"/>
              <w:spacing w:after="120"/>
              <w:jc w:val="both"/>
              <w:rPr>
                <w:lang w:val="en-GB"/>
              </w:rPr>
            </w:pPr>
            <w:r w:rsidRPr="00E51CDD">
              <w:t>ISO 11268-2 (2012), OECD 222 - Earthworm reproduction Test (2004)</w:t>
            </w:r>
            <w:r w:rsidRPr="00E51CDD">
              <w:rPr>
                <w:lang w:val="en-GB"/>
              </w:rPr>
              <w:t xml:space="preserve"> </w:t>
            </w:r>
          </w:p>
        </w:tc>
      </w:tr>
      <w:tr w:rsidR="00E51CDD" w:rsidRPr="00E51CDD" w14:paraId="583F5301" w14:textId="77777777" w:rsidTr="009938D9">
        <w:trPr>
          <w:gridAfter w:val="1"/>
          <w:wAfter w:w="9" w:type="pct"/>
        </w:trPr>
        <w:tc>
          <w:tcPr>
            <w:tcW w:w="1340" w:type="pct"/>
            <w:hideMark/>
          </w:tcPr>
          <w:p w14:paraId="6FA288C3" w14:textId="77777777" w:rsidR="00E51CDD" w:rsidRPr="00E51CDD" w:rsidRDefault="00E51CDD" w:rsidP="00E51CDD">
            <w:pPr>
              <w:widowControl w:val="0"/>
              <w:jc w:val="both"/>
              <w:rPr>
                <w:lang w:val="en-GB"/>
              </w:rPr>
            </w:pPr>
            <w:r w:rsidRPr="00E51CDD">
              <w:rPr>
                <w:lang w:val="en-GB"/>
              </w:rPr>
              <w:t>Deviations:</w:t>
            </w:r>
          </w:p>
        </w:tc>
        <w:tc>
          <w:tcPr>
            <w:tcW w:w="3651" w:type="pct"/>
            <w:hideMark/>
          </w:tcPr>
          <w:p w14:paraId="49658F82" w14:textId="77777777" w:rsidR="00E51CDD" w:rsidRPr="00E51CDD" w:rsidRDefault="00E51CDD" w:rsidP="00E51CDD">
            <w:pPr>
              <w:widowControl w:val="0"/>
              <w:spacing w:after="120"/>
              <w:jc w:val="both"/>
              <w:rPr>
                <w:lang w:val="en-GB"/>
              </w:rPr>
            </w:pPr>
            <w:r w:rsidRPr="00E51CDD">
              <w:rPr>
                <w:lang w:val="en-GB"/>
              </w:rPr>
              <w:t>No</w:t>
            </w:r>
          </w:p>
        </w:tc>
      </w:tr>
      <w:tr w:rsidR="00E51CDD" w:rsidRPr="00662F32" w14:paraId="0C57CF74" w14:textId="77777777" w:rsidTr="009938D9">
        <w:tc>
          <w:tcPr>
            <w:tcW w:w="1340" w:type="pct"/>
            <w:hideMark/>
          </w:tcPr>
          <w:p w14:paraId="106032F8" w14:textId="77777777" w:rsidR="00E51CDD" w:rsidRPr="00E51CDD" w:rsidRDefault="00E51CDD" w:rsidP="00E51CDD">
            <w:pPr>
              <w:widowControl w:val="0"/>
              <w:jc w:val="both"/>
              <w:rPr>
                <w:lang w:val="en-GB"/>
              </w:rPr>
            </w:pPr>
            <w:r w:rsidRPr="00E51CDD">
              <w:rPr>
                <w:lang w:val="en-GB"/>
              </w:rPr>
              <w:t>GLP:</w:t>
            </w:r>
          </w:p>
        </w:tc>
        <w:tc>
          <w:tcPr>
            <w:tcW w:w="3660" w:type="pct"/>
            <w:gridSpan w:val="2"/>
            <w:hideMark/>
          </w:tcPr>
          <w:p w14:paraId="55901342" w14:textId="77777777" w:rsidR="00E51CDD" w:rsidRPr="00E51CDD" w:rsidRDefault="00E51CDD" w:rsidP="00E51CDD">
            <w:pPr>
              <w:tabs>
                <w:tab w:val="left" w:pos="425"/>
                <w:tab w:val="left" w:pos="850"/>
              </w:tabs>
              <w:spacing w:after="120"/>
              <w:ind w:left="1985" w:hanging="1985"/>
              <w:rPr>
                <w:b/>
                <w:lang w:val="de-DE"/>
              </w:rPr>
            </w:pPr>
            <w:r w:rsidRPr="00E51CDD">
              <w:rPr>
                <w:lang w:val="de-DE"/>
              </w:rPr>
              <w:t>yes</w:t>
            </w:r>
          </w:p>
          <w:p w14:paraId="133FA98A" w14:textId="77777777" w:rsidR="00E51CDD" w:rsidRPr="00E51CDD" w:rsidRDefault="00E51CDD" w:rsidP="00E51CDD">
            <w:pPr>
              <w:widowControl w:val="0"/>
              <w:spacing w:after="120"/>
              <w:rPr>
                <w:lang w:val="de-DE"/>
              </w:rPr>
            </w:pPr>
            <w:r w:rsidRPr="00E51CDD">
              <w:rPr>
                <w:lang w:val="de-DE"/>
              </w:rPr>
              <w:t>(certified by Hessisches Ministerium fuer Umwelt, Energie, Landwirtschaft und Verbraucherschutz, Wiesbaden),</w:t>
            </w:r>
          </w:p>
        </w:tc>
      </w:tr>
      <w:tr w:rsidR="00E51CDD" w:rsidRPr="00E51CDD" w14:paraId="2ECEF493" w14:textId="77777777" w:rsidTr="009938D9">
        <w:trPr>
          <w:gridAfter w:val="1"/>
          <w:wAfter w:w="9" w:type="pct"/>
        </w:trPr>
        <w:tc>
          <w:tcPr>
            <w:tcW w:w="1340" w:type="pct"/>
            <w:hideMark/>
          </w:tcPr>
          <w:p w14:paraId="1FBE5116" w14:textId="77777777" w:rsidR="00E51CDD" w:rsidRPr="00E51CDD" w:rsidRDefault="00E51CDD" w:rsidP="00E51CDD">
            <w:pPr>
              <w:widowControl w:val="0"/>
              <w:jc w:val="both"/>
              <w:rPr>
                <w:lang w:val="de-DE"/>
              </w:rPr>
            </w:pPr>
            <w:r w:rsidRPr="00E51CDD">
              <w:rPr>
                <w:lang w:val="en-GB"/>
              </w:rPr>
              <w:t>Acceptability:</w:t>
            </w:r>
          </w:p>
        </w:tc>
        <w:tc>
          <w:tcPr>
            <w:tcW w:w="3651" w:type="pct"/>
            <w:hideMark/>
          </w:tcPr>
          <w:p w14:paraId="63397874" w14:textId="77777777" w:rsidR="00E51CDD" w:rsidRPr="00E51CDD" w:rsidRDefault="00E51CDD" w:rsidP="00E51CDD">
            <w:pPr>
              <w:widowControl w:val="0"/>
              <w:jc w:val="both"/>
              <w:rPr>
                <w:lang w:val="en-GB"/>
              </w:rPr>
            </w:pPr>
            <w:r w:rsidRPr="00E51CDD">
              <w:rPr>
                <w:lang w:val="en-GB"/>
              </w:rPr>
              <w:t xml:space="preserve">Yes </w:t>
            </w:r>
          </w:p>
        </w:tc>
      </w:tr>
      <w:tr w:rsidR="00E51CDD" w:rsidRPr="00E51CDD" w14:paraId="56A75121" w14:textId="77777777" w:rsidTr="009938D9">
        <w:trPr>
          <w:gridAfter w:val="1"/>
          <w:wAfter w:w="9" w:type="pct"/>
        </w:trPr>
        <w:tc>
          <w:tcPr>
            <w:tcW w:w="1340" w:type="pct"/>
            <w:hideMark/>
          </w:tcPr>
          <w:p w14:paraId="54897D99" w14:textId="77777777" w:rsidR="00E51CDD" w:rsidRPr="00E51CDD" w:rsidRDefault="00E51CDD" w:rsidP="00E51CDD">
            <w:pPr>
              <w:widowControl w:val="0"/>
              <w:jc w:val="both"/>
              <w:rPr>
                <w:lang w:val="en-GB"/>
              </w:rPr>
            </w:pPr>
            <w:r w:rsidRPr="00E51CDD">
              <w:rPr>
                <w:lang w:val="en-GB"/>
              </w:rPr>
              <w:t xml:space="preserve">Duplication </w:t>
            </w:r>
            <w:r w:rsidRPr="00E51CDD">
              <w:rPr>
                <w:lang w:val="en-GB"/>
              </w:rPr>
              <w:br/>
              <w:t>(if vertebrate study)</w:t>
            </w:r>
          </w:p>
        </w:tc>
        <w:tc>
          <w:tcPr>
            <w:tcW w:w="3651" w:type="pct"/>
            <w:hideMark/>
          </w:tcPr>
          <w:p w14:paraId="39A43A63" w14:textId="77777777" w:rsidR="00E51CDD" w:rsidRPr="00E51CDD" w:rsidRDefault="00E51CDD" w:rsidP="00E51CDD">
            <w:pPr>
              <w:widowControl w:val="0"/>
              <w:spacing w:after="120"/>
              <w:jc w:val="both"/>
              <w:rPr>
                <w:lang w:val="en-GB"/>
              </w:rPr>
            </w:pPr>
            <w:r w:rsidRPr="00E51CDD">
              <w:rPr>
                <w:lang w:val="en-GB"/>
              </w:rPr>
              <w:t>No</w:t>
            </w:r>
          </w:p>
          <w:p w14:paraId="6C60BFB4" w14:textId="77777777" w:rsidR="00E51CDD" w:rsidRPr="00E51CDD" w:rsidRDefault="00E51CDD" w:rsidP="00E51CDD">
            <w:pPr>
              <w:widowControl w:val="0"/>
              <w:jc w:val="both"/>
              <w:rPr>
                <w:highlight w:val="yellow"/>
                <w:lang w:val="en-GB"/>
              </w:rPr>
            </w:pPr>
          </w:p>
        </w:tc>
      </w:tr>
    </w:tbl>
    <w:p w14:paraId="6BE038D3" w14:textId="77777777" w:rsidR="00E51CDD" w:rsidRPr="00E51CDD" w:rsidRDefault="00E51CDD" w:rsidP="00E51CDD">
      <w:pPr>
        <w:widowControl w:val="0"/>
        <w:jc w:val="both"/>
      </w:pPr>
    </w:p>
    <w:p w14:paraId="13F0EEB1" w14:textId="77777777" w:rsidR="00E51CDD" w:rsidRPr="00E51CDD" w:rsidRDefault="00E51CDD" w:rsidP="00E51CDD">
      <w:pPr>
        <w:widowControl w:val="0"/>
        <w:jc w:val="both"/>
      </w:pPr>
      <w:r w:rsidRPr="00E51CDD">
        <w:br w:type="page"/>
      </w:r>
    </w:p>
    <w:p w14:paraId="1D01AF7B" w14:textId="77777777" w:rsidR="00E51CDD" w:rsidRPr="00E51CDD" w:rsidRDefault="00E51CDD" w:rsidP="00E51CDD">
      <w:pPr>
        <w:widowControl w:val="0"/>
        <w:tabs>
          <w:tab w:val="left" w:pos="425"/>
          <w:tab w:val="left" w:pos="850"/>
        </w:tabs>
        <w:ind w:left="2835" w:hanging="2835"/>
        <w:rPr>
          <w:b/>
          <w:bCs/>
        </w:rPr>
      </w:pPr>
      <w:r w:rsidRPr="00E51CDD">
        <w:rPr>
          <w:b/>
          <w:bCs/>
        </w:rPr>
        <w:lastRenderedPageBreak/>
        <w:t>Executive Summary</w:t>
      </w:r>
    </w:p>
    <w:p w14:paraId="64B5B77B" w14:textId="77777777" w:rsidR="00E51CDD" w:rsidRPr="00E51CDD" w:rsidRDefault="00E51CDD" w:rsidP="00E51CDD">
      <w:pPr>
        <w:widowControl w:val="0"/>
        <w:jc w:val="both"/>
        <w:rPr>
          <w:bCs/>
          <w:sz w:val="24"/>
        </w:rPr>
      </w:pPr>
    </w:p>
    <w:p w14:paraId="2A4CD38F" w14:textId="77777777" w:rsidR="00E51CDD" w:rsidRPr="00E51CDD" w:rsidRDefault="00E51CDD" w:rsidP="00E51CDD">
      <w:pPr>
        <w:widowControl w:val="0"/>
        <w:jc w:val="both"/>
        <w:rPr>
          <w:szCs w:val="24"/>
        </w:rPr>
      </w:pPr>
      <w:r w:rsidRPr="00E51CDD">
        <w:t xml:space="preserve">The effects of BAS 700 F (Reg. No. 5 094 351, fluxapyroxad) on mortality, biomass development and reproduction of the earthworm </w:t>
      </w:r>
      <w:r w:rsidRPr="00E51CDD">
        <w:rPr>
          <w:i/>
          <w:iCs/>
        </w:rPr>
        <w:t xml:space="preserve">Eisenia fetida </w:t>
      </w:r>
      <w:r w:rsidRPr="00E51CDD">
        <w:t>(Annelida: Oligochaeta) were investigated in an extended laboratory study over 56 days. Five test concentrations (30, 48, 76, 122 and 196 mg BAS 700 F/kg dry soil) were incorporated into the soil (containing 10% peat) with four replicates per treatment, each containing 10 worms. An untreated control with 8 replicates was included. The reference item was tested in a separate study. Assessments of worm mortality, body weight and feeding activity were carried out after 28 days; assessment of reproduction (number of juveniles) was carried out after 56 days.</w:t>
      </w:r>
    </w:p>
    <w:p w14:paraId="605CE1AD" w14:textId="77777777" w:rsidR="00E51CDD" w:rsidRPr="00E51CDD" w:rsidRDefault="00E51CDD" w:rsidP="00E51CDD">
      <w:pPr>
        <w:widowControl w:val="0"/>
        <w:jc w:val="both"/>
      </w:pPr>
    </w:p>
    <w:p w14:paraId="664A83AF" w14:textId="77777777" w:rsidR="00E51CDD" w:rsidRPr="00E51CDD" w:rsidRDefault="00E51CDD" w:rsidP="00E51CDD">
      <w:pPr>
        <w:widowControl w:val="0"/>
        <w:jc w:val="both"/>
      </w:pPr>
      <w:r w:rsidRPr="00E51CDD">
        <w:t>BAS 700 F did not show any statistically significant effects on mortality and body weight, compared to the control. No mortality was observed at any test item concentration or in the control. The body weight changes were not statistically significantly different compared to the control in any test item treated group. The reproduction rates were not statistically different compared to the control up to and including 122 mg/kg dry soil. At the concentration of 196 mg BAS 700 F/kg dry soil the reproduction was statistically significantly reduced compared to the control. No behavioral abnormalities were observed in any of the treatment groups. The feeding activity in all the treated groups was comparable to the control.</w:t>
      </w:r>
    </w:p>
    <w:p w14:paraId="53AAC89C" w14:textId="77777777" w:rsidR="00E51CDD" w:rsidRPr="00E51CDD" w:rsidRDefault="00E51CDD" w:rsidP="00E51CDD">
      <w:pPr>
        <w:widowControl w:val="0"/>
        <w:jc w:val="both"/>
      </w:pPr>
    </w:p>
    <w:p w14:paraId="59DEE20F" w14:textId="77777777" w:rsidR="00E51CDD" w:rsidRPr="00E51CDD" w:rsidRDefault="00E51CDD" w:rsidP="00E51CDD">
      <w:pPr>
        <w:widowControl w:val="0"/>
        <w:jc w:val="both"/>
      </w:pPr>
    </w:p>
    <w:p w14:paraId="56934E09" w14:textId="77777777" w:rsidR="00E51CDD" w:rsidRPr="00E51CDD" w:rsidRDefault="00E51CDD" w:rsidP="00E51CDD">
      <w:pPr>
        <w:widowControl w:val="0"/>
        <w:jc w:val="both"/>
        <w:rPr>
          <w:b/>
          <w:bCs/>
        </w:rPr>
      </w:pPr>
      <w:r w:rsidRPr="00E51CDD">
        <w:rPr>
          <w:rFonts w:eastAsiaTheme="minorEastAsia"/>
          <w:b/>
          <w:bCs/>
          <w:lang w:eastAsia="zh-CN"/>
        </w:rPr>
        <w:t xml:space="preserve">In a 56-day earthworm reproduction study with BAS 700 F, no adverse effects on survival and biomass development could be determined at concentrations up to and including 196 mg/kg dry soil. The NOEC for mortality, biomass and feeding activity was determined to be equal or greater than 196 mg BAS 700 F/kg dry soil, the highest concentration tested. </w:t>
      </w:r>
      <w:r w:rsidRPr="00E51CDD">
        <w:rPr>
          <w:b/>
          <w:bCs/>
        </w:rPr>
        <w:t>No adverse effects on reproduction could be determined at concentrations up to and including 122 mg BAS 700 F/kg dry soil. The NOEC for reproduction was equivalent to 122 mg BAS 700 F/kg dry soil.</w:t>
      </w:r>
    </w:p>
    <w:p w14:paraId="6C25A162" w14:textId="77777777" w:rsidR="00E51CDD" w:rsidRPr="00E51CDD" w:rsidRDefault="00E51CDD" w:rsidP="00E51CDD">
      <w:pPr>
        <w:widowControl w:val="0"/>
      </w:pPr>
    </w:p>
    <w:p w14:paraId="7AAD1EF0" w14:textId="77777777" w:rsidR="00E51CDD" w:rsidRPr="00E51CDD" w:rsidRDefault="00E51CDD" w:rsidP="00E51CDD">
      <w:pPr>
        <w:widowControl w:val="0"/>
      </w:pPr>
      <w:r w:rsidRPr="00E51CDD">
        <w:br w:type="page"/>
      </w:r>
    </w:p>
    <w:p w14:paraId="5E88E495" w14:textId="77777777" w:rsidR="00E51CDD" w:rsidRPr="00E51CDD" w:rsidRDefault="00E51CDD" w:rsidP="00E51CDD">
      <w:pPr>
        <w:widowControl w:val="0"/>
        <w:tabs>
          <w:tab w:val="left" w:pos="425"/>
          <w:tab w:val="left" w:pos="850"/>
        </w:tabs>
        <w:ind w:left="2835" w:hanging="2835"/>
        <w:rPr>
          <w:b/>
          <w:bCs/>
        </w:rPr>
      </w:pPr>
      <w:r w:rsidRPr="00E51CDD">
        <w:rPr>
          <w:b/>
          <w:bCs/>
        </w:rPr>
        <w:lastRenderedPageBreak/>
        <w:t>I.</w:t>
      </w:r>
      <w:r w:rsidRPr="00E51CDD">
        <w:rPr>
          <w:b/>
          <w:bCs/>
        </w:rPr>
        <w:tab/>
        <w:t>MATERIAL AND METHODS</w:t>
      </w:r>
    </w:p>
    <w:p w14:paraId="44B60AA9" w14:textId="77777777" w:rsidR="00E51CDD" w:rsidRPr="00E51CDD" w:rsidRDefault="00E51CDD" w:rsidP="00E51CDD">
      <w:pPr>
        <w:widowControl w:val="0"/>
        <w:rPr>
          <w:sz w:val="24"/>
          <w:szCs w:val="24"/>
        </w:rPr>
      </w:pPr>
    </w:p>
    <w:p w14:paraId="16C3C9C4" w14:textId="77777777" w:rsidR="00E51CDD" w:rsidRPr="00E51CDD" w:rsidRDefault="00E51CDD" w:rsidP="00E51CDD">
      <w:pPr>
        <w:widowControl w:val="0"/>
        <w:tabs>
          <w:tab w:val="left" w:pos="425"/>
          <w:tab w:val="left" w:pos="850"/>
        </w:tabs>
        <w:ind w:left="2835" w:hanging="2835"/>
        <w:rPr>
          <w:b/>
          <w:bCs/>
        </w:rPr>
      </w:pPr>
      <w:r w:rsidRPr="00E51CDD">
        <w:rPr>
          <w:b/>
          <w:bCs/>
        </w:rPr>
        <w:t>A.</w:t>
      </w:r>
      <w:r w:rsidRPr="00E51CDD">
        <w:rPr>
          <w:b/>
          <w:bCs/>
        </w:rPr>
        <w:tab/>
        <w:t>MATERIALS</w:t>
      </w:r>
    </w:p>
    <w:p w14:paraId="70202BE8" w14:textId="77777777" w:rsidR="00E51CDD" w:rsidRPr="00E51CDD" w:rsidRDefault="00E51CDD" w:rsidP="00E51CDD">
      <w:pPr>
        <w:widowControl w:val="0"/>
        <w:rPr>
          <w:sz w:val="24"/>
          <w:szCs w:val="24"/>
        </w:rPr>
      </w:pPr>
    </w:p>
    <w:p w14:paraId="1D415CF8" w14:textId="77777777" w:rsidR="00E51CDD" w:rsidRPr="00E51CDD" w:rsidRDefault="00E51CDD" w:rsidP="00E51CDD">
      <w:pPr>
        <w:widowControl w:val="0"/>
        <w:tabs>
          <w:tab w:val="left" w:pos="2410"/>
        </w:tabs>
        <w:ind w:left="2410" w:hanging="2410"/>
        <w:jc w:val="both"/>
      </w:pPr>
      <w:r w:rsidRPr="00E51CDD">
        <w:t>Test item:</w:t>
      </w:r>
      <w:r w:rsidRPr="00E51CDD">
        <w:tab/>
        <w:t>BAS 700 F (Reg. No. 5 094 351, fluxapyroxad); batch no.: COD-001466; purity: 100% nominal (tolerance ± 1.0%).</w:t>
      </w:r>
    </w:p>
    <w:p w14:paraId="6F9848F8" w14:textId="77777777" w:rsidR="00E51CDD" w:rsidRPr="00E51CDD" w:rsidRDefault="00E51CDD" w:rsidP="00E51CDD">
      <w:pPr>
        <w:widowControl w:val="0"/>
      </w:pPr>
    </w:p>
    <w:p w14:paraId="403438BF" w14:textId="77777777" w:rsidR="00E51CDD" w:rsidRPr="00E51CDD" w:rsidRDefault="00E51CDD" w:rsidP="00E51CDD">
      <w:pPr>
        <w:widowControl w:val="0"/>
        <w:tabs>
          <w:tab w:val="left" w:pos="425"/>
          <w:tab w:val="left" w:pos="850"/>
        </w:tabs>
        <w:ind w:left="2835" w:hanging="2835"/>
        <w:rPr>
          <w:b/>
          <w:bCs/>
        </w:rPr>
      </w:pPr>
      <w:r w:rsidRPr="00E51CDD">
        <w:rPr>
          <w:b/>
          <w:bCs/>
        </w:rPr>
        <w:t>B.</w:t>
      </w:r>
      <w:r w:rsidRPr="00E51CDD">
        <w:rPr>
          <w:b/>
          <w:bCs/>
        </w:rPr>
        <w:tab/>
        <w:t>STUDY DESIGN</w:t>
      </w:r>
    </w:p>
    <w:p w14:paraId="2E71CB88" w14:textId="77777777" w:rsidR="00E51CDD" w:rsidRPr="00E51CDD" w:rsidRDefault="00E51CDD" w:rsidP="00E51CDD">
      <w:pPr>
        <w:widowControl w:val="0"/>
        <w:rPr>
          <w:sz w:val="24"/>
          <w:szCs w:val="24"/>
        </w:rPr>
      </w:pPr>
    </w:p>
    <w:p w14:paraId="5E99F992" w14:textId="77777777" w:rsidR="00E51CDD" w:rsidRPr="00E51CDD" w:rsidRDefault="00E51CDD" w:rsidP="00E51CDD">
      <w:pPr>
        <w:widowControl w:val="0"/>
        <w:tabs>
          <w:tab w:val="left" w:pos="2410"/>
        </w:tabs>
        <w:ind w:left="2410" w:hanging="2410"/>
        <w:jc w:val="both"/>
      </w:pPr>
      <w:r w:rsidRPr="00E51CDD">
        <w:t>Test species:</w:t>
      </w:r>
      <w:r w:rsidRPr="00E51CDD">
        <w:tab/>
        <w:t>Earthworm (</w:t>
      </w:r>
      <w:r w:rsidRPr="00E51CDD">
        <w:rPr>
          <w:i/>
          <w:iCs/>
        </w:rPr>
        <w:t>Eisenia fetida</w:t>
      </w:r>
      <w:r w:rsidRPr="00E51CDD">
        <w:t>), adult worms (with clitellum and weight range 304 to 596 mg), 9 -10 months old, source: in-house culture.</w:t>
      </w:r>
    </w:p>
    <w:p w14:paraId="540835B9" w14:textId="77777777" w:rsidR="00E51CDD" w:rsidRPr="00E51CDD" w:rsidRDefault="00E51CDD" w:rsidP="00E51CDD">
      <w:pPr>
        <w:widowControl w:val="0"/>
      </w:pPr>
    </w:p>
    <w:p w14:paraId="5A01D252" w14:textId="77777777" w:rsidR="00E51CDD" w:rsidRPr="00E51CDD" w:rsidRDefault="00E51CDD" w:rsidP="00E51CDD">
      <w:pPr>
        <w:widowControl w:val="0"/>
        <w:tabs>
          <w:tab w:val="left" w:pos="2410"/>
        </w:tabs>
        <w:ind w:left="2410" w:hanging="2410"/>
        <w:jc w:val="both"/>
      </w:pPr>
      <w:r w:rsidRPr="00E51CDD">
        <w:t>Test design:</w:t>
      </w:r>
      <w:r w:rsidRPr="00E51CDD">
        <w:tab/>
        <w:t>56-day test in treated artificial soil prepared according to OECD 222 (10% peat); different concentrations of the test item were incorporated into the soil; 6 treatment groups (5 test item concentrations, control); 4 replicates for the test item treatments and 8 replicates for the control with 10 worms each. Assessment of adult worm mortality, behavioral effects and biomass development was carried out after 28 days. Reproduction rate (number of offspring) was assessed after an additional 28 days (56 days after application).</w:t>
      </w:r>
    </w:p>
    <w:p w14:paraId="12EE8502" w14:textId="77777777" w:rsidR="00E51CDD" w:rsidRPr="00E51CDD" w:rsidRDefault="00E51CDD" w:rsidP="00E51CDD">
      <w:pPr>
        <w:widowControl w:val="0"/>
        <w:tabs>
          <w:tab w:val="left" w:pos="2410"/>
        </w:tabs>
        <w:ind w:left="2410" w:hanging="2410"/>
        <w:jc w:val="both"/>
      </w:pPr>
    </w:p>
    <w:p w14:paraId="637162CF" w14:textId="77777777" w:rsidR="00E51CDD" w:rsidRPr="00E51CDD" w:rsidRDefault="00E51CDD" w:rsidP="00E51CDD">
      <w:pPr>
        <w:widowControl w:val="0"/>
        <w:tabs>
          <w:tab w:val="left" w:pos="2410"/>
        </w:tabs>
        <w:ind w:left="2410" w:hanging="2410"/>
        <w:jc w:val="both"/>
      </w:pPr>
      <w:r w:rsidRPr="00E51CDD">
        <w:t>Endpoints:</w:t>
      </w:r>
      <w:r w:rsidRPr="00E51CDD">
        <w:tab/>
        <w:t>Mortality, weight change, feeding activity and reproduction rate.</w:t>
      </w:r>
    </w:p>
    <w:p w14:paraId="0FE88B2D" w14:textId="77777777" w:rsidR="00E51CDD" w:rsidRPr="00E51CDD" w:rsidRDefault="00E51CDD" w:rsidP="00E51CDD">
      <w:pPr>
        <w:widowControl w:val="0"/>
        <w:tabs>
          <w:tab w:val="left" w:pos="2410"/>
        </w:tabs>
        <w:ind w:left="2410" w:hanging="2410"/>
        <w:jc w:val="both"/>
      </w:pPr>
    </w:p>
    <w:p w14:paraId="672FE701" w14:textId="77777777" w:rsidR="00E51CDD" w:rsidRPr="00E51CDD" w:rsidRDefault="00E51CDD" w:rsidP="00E51CDD">
      <w:pPr>
        <w:widowControl w:val="0"/>
        <w:tabs>
          <w:tab w:val="left" w:pos="2410"/>
        </w:tabs>
        <w:ind w:left="2410" w:hanging="2410"/>
        <w:jc w:val="both"/>
      </w:pPr>
      <w:r w:rsidRPr="00E51CDD">
        <w:t>Reference item:</w:t>
      </w:r>
      <w:r w:rsidRPr="00E51CDD">
        <w:tab/>
        <w:t>Luxan Carbendazim 500 FC. The effects of the reference item were investigated in a separate study.</w:t>
      </w:r>
    </w:p>
    <w:p w14:paraId="33BE1144" w14:textId="77777777" w:rsidR="00E51CDD" w:rsidRPr="00E51CDD" w:rsidRDefault="00E51CDD" w:rsidP="00E51CDD">
      <w:pPr>
        <w:widowControl w:val="0"/>
      </w:pPr>
    </w:p>
    <w:p w14:paraId="1DA939DE" w14:textId="77777777" w:rsidR="00E51CDD" w:rsidRPr="00E51CDD" w:rsidRDefault="00E51CDD" w:rsidP="00E51CDD">
      <w:pPr>
        <w:widowControl w:val="0"/>
        <w:tabs>
          <w:tab w:val="left" w:pos="2410"/>
        </w:tabs>
        <w:ind w:left="2410" w:hanging="2410"/>
        <w:jc w:val="both"/>
      </w:pPr>
      <w:r w:rsidRPr="00E51CDD">
        <w:t>Test concentrations:</w:t>
      </w:r>
      <w:r w:rsidRPr="00E51CDD">
        <w:tab/>
        <w:t>Control, 30, 48, 76, 122 and 196 mg BAS 700 F/kg dry soil.</w:t>
      </w:r>
    </w:p>
    <w:p w14:paraId="001DBD2A" w14:textId="77777777" w:rsidR="00E51CDD" w:rsidRPr="00E51CDD" w:rsidRDefault="00E51CDD" w:rsidP="00E51CDD">
      <w:pPr>
        <w:widowControl w:val="0"/>
        <w:tabs>
          <w:tab w:val="left" w:pos="2410"/>
        </w:tabs>
        <w:ind w:left="2410" w:hanging="2410"/>
        <w:jc w:val="both"/>
      </w:pPr>
    </w:p>
    <w:p w14:paraId="0FEE9AA0" w14:textId="77777777" w:rsidR="00E51CDD" w:rsidRPr="00E51CDD" w:rsidRDefault="00E51CDD" w:rsidP="00E51CDD">
      <w:pPr>
        <w:widowControl w:val="0"/>
        <w:tabs>
          <w:tab w:val="left" w:pos="2410"/>
        </w:tabs>
        <w:ind w:left="2410" w:hanging="2410"/>
        <w:jc w:val="both"/>
      </w:pPr>
      <w:r w:rsidRPr="00E51CDD">
        <w:t>Test conditions:</w:t>
      </w:r>
      <w:r w:rsidRPr="00E51CDD">
        <w:tab/>
        <w:t>Artificial soil according to OECD 222 (with 10% peat); pH 5.7 – 6.0 at test initiation, pH 5.9 – 6.0 at test termination; water content 31.2% – 33.4% of maximum water holding capacity (WHC) at test initiation and 33.8% – 35.8% of the maximum WHC at test termination; temperature: 18 °C – 22 °C; photoperiod: 16 h light : 8 h dark, light intensity: 400 - 800 lux.</w:t>
      </w:r>
    </w:p>
    <w:p w14:paraId="4FAE9F9A" w14:textId="77777777" w:rsidR="00E51CDD" w:rsidRPr="00E51CDD" w:rsidRDefault="00E51CDD" w:rsidP="00E51CDD">
      <w:pPr>
        <w:widowControl w:val="0"/>
        <w:tabs>
          <w:tab w:val="left" w:pos="2410"/>
        </w:tabs>
        <w:ind w:left="2410" w:hanging="2410"/>
        <w:jc w:val="both"/>
      </w:pPr>
    </w:p>
    <w:p w14:paraId="792DB6FB" w14:textId="77777777" w:rsidR="00E51CDD" w:rsidRPr="00E51CDD" w:rsidRDefault="00E51CDD" w:rsidP="00E51CDD">
      <w:pPr>
        <w:ind w:left="2410" w:hanging="2410"/>
        <w:jc w:val="both"/>
        <w:rPr>
          <w:color w:val="000000"/>
          <w:lang w:eastAsia="en-US"/>
        </w:rPr>
      </w:pPr>
      <w:r w:rsidRPr="00E51CDD">
        <w:rPr>
          <w:color w:val="000000"/>
          <w:lang w:eastAsia="en-US"/>
        </w:rPr>
        <w:t>Analytics:</w:t>
      </w:r>
      <w:r w:rsidRPr="00E51CDD">
        <w:rPr>
          <w:color w:val="000000"/>
          <w:lang w:eastAsia="en-US"/>
        </w:rPr>
        <w:tab/>
      </w:r>
      <w:bookmarkStart w:id="1258" w:name="_Hlk75327839"/>
      <w:r w:rsidRPr="00E51CDD">
        <w:rPr>
          <w:lang w:val="en-GB"/>
        </w:rPr>
        <w:t>No analytical verification of the test item is required according to the current test guideline. Hence, no analytical verification was conducted.</w:t>
      </w:r>
    </w:p>
    <w:bookmarkEnd w:id="1258"/>
    <w:p w14:paraId="69D1BE02" w14:textId="77777777" w:rsidR="00E51CDD" w:rsidRPr="00E51CDD" w:rsidRDefault="00E51CDD" w:rsidP="00E51CDD">
      <w:pPr>
        <w:widowControl w:val="0"/>
        <w:tabs>
          <w:tab w:val="left" w:pos="2410"/>
        </w:tabs>
        <w:ind w:left="2410" w:hanging="2410"/>
        <w:jc w:val="both"/>
      </w:pPr>
    </w:p>
    <w:p w14:paraId="2E733243" w14:textId="77777777" w:rsidR="00E51CDD" w:rsidRPr="00E51CDD" w:rsidRDefault="00E51CDD" w:rsidP="00E51CDD">
      <w:pPr>
        <w:widowControl w:val="0"/>
        <w:ind w:left="2410" w:hanging="2410"/>
        <w:jc w:val="both"/>
      </w:pPr>
      <w:r w:rsidRPr="00E51CDD">
        <w:t>Statistics:</w:t>
      </w:r>
      <w:r w:rsidRPr="00E51CDD">
        <w:tab/>
        <w:t>Descriptive statistics, Williams t-test for weight change and reproduction (α = 0.05, two-sided).</w:t>
      </w:r>
    </w:p>
    <w:p w14:paraId="145BFE86" w14:textId="77777777" w:rsidR="00E51CDD" w:rsidRPr="00E51CDD" w:rsidRDefault="00E51CDD" w:rsidP="00E51CDD">
      <w:pPr>
        <w:widowControl w:val="0"/>
      </w:pPr>
    </w:p>
    <w:p w14:paraId="2840076A" w14:textId="77777777" w:rsidR="00E51CDD" w:rsidRPr="00E51CDD" w:rsidRDefault="00E51CDD" w:rsidP="00E51CDD">
      <w:pPr>
        <w:widowControl w:val="0"/>
      </w:pPr>
      <w:r w:rsidRPr="00E51CDD">
        <w:br w:type="page"/>
      </w:r>
    </w:p>
    <w:p w14:paraId="3B6931D8" w14:textId="77777777" w:rsidR="00E51CDD" w:rsidRPr="00E51CDD" w:rsidRDefault="00E51CDD" w:rsidP="00E51CDD">
      <w:pPr>
        <w:widowControl w:val="0"/>
        <w:tabs>
          <w:tab w:val="left" w:pos="425"/>
          <w:tab w:val="left" w:pos="850"/>
        </w:tabs>
        <w:ind w:left="2835" w:hanging="2835"/>
        <w:rPr>
          <w:b/>
          <w:bCs/>
        </w:rPr>
      </w:pPr>
      <w:r w:rsidRPr="00E51CDD">
        <w:rPr>
          <w:b/>
          <w:bCs/>
        </w:rPr>
        <w:lastRenderedPageBreak/>
        <w:t>II.</w:t>
      </w:r>
      <w:r w:rsidRPr="00E51CDD">
        <w:rPr>
          <w:b/>
          <w:bCs/>
        </w:rPr>
        <w:tab/>
        <w:t>RESULTS AND DISCUSSION</w:t>
      </w:r>
    </w:p>
    <w:p w14:paraId="4DA9F81F" w14:textId="77777777" w:rsidR="00E51CDD" w:rsidRPr="00E51CDD" w:rsidRDefault="00E51CDD" w:rsidP="00E51CDD">
      <w:pPr>
        <w:widowControl w:val="0"/>
        <w:jc w:val="both"/>
      </w:pPr>
    </w:p>
    <w:p w14:paraId="0CA09023" w14:textId="56FEB188" w:rsidR="00E51CDD" w:rsidRPr="00E51CDD" w:rsidRDefault="00E51CDD" w:rsidP="00E51CDD">
      <w:pPr>
        <w:widowControl w:val="0"/>
        <w:jc w:val="both"/>
      </w:pPr>
      <w:r w:rsidRPr="00E51CDD">
        <w:t xml:space="preserve">BAS 700 F did not show any statistically significant effects on mortality and body weight, compared to the control (Williams t-test, two-sided, α = 0.05). No mortality was observed at any test item concentration or in the control. The body weight changes were not statistically significantly different compared to the control in any test item treated group (Williams t-test, two-sided, α = 0.05). The reproduction rates were not statistically different compared to the control up to and including 122 mg/kg dry soil (Williams t-test, two-sided, α = 0.05). At the concentration of 196 mg BAS 700 F/kg dry soil the reproduction was statistically significantly reduced compared to the control (Williams t-test, two-sided, α = 0.05). No behavioral abnormalities were observed in any of the treatment groups. The feeding activity in all the treated groups was comparable to the control. The results are summarized in </w:t>
      </w:r>
      <w:r w:rsidRPr="00E51CDD">
        <w:fldChar w:fldCharType="begin"/>
      </w:r>
      <w:r w:rsidRPr="00E51CDD">
        <w:instrText xml:space="preserve"> REF _Ref445728884 \h  \* MERGEFORMAT </w:instrText>
      </w:r>
      <w:r w:rsidRPr="00E51CDD">
        <w:fldChar w:fldCharType="separate"/>
      </w:r>
      <w:r w:rsidR="00662F32" w:rsidRPr="00662F32">
        <w:t xml:space="preserve">Table A </w:t>
      </w:r>
      <w:r w:rsidR="00662F32" w:rsidRPr="00662F32">
        <w:rPr>
          <w:noProof/>
        </w:rPr>
        <w:t>31</w:t>
      </w:r>
      <w:r w:rsidRPr="00E51CDD">
        <w:fldChar w:fldCharType="end"/>
      </w:r>
      <w:r w:rsidRPr="00E51CDD">
        <w:t>.</w:t>
      </w:r>
    </w:p>
    <w:p w14:paraId="06C63E26" w14:textId="77777777" w:rsidR="00E51CDD" w:rsidRPr="00E51CDD" w:rsidRDefault="00E51CDD" w:rsidP="00E51CDD">
      <w:pPr>
        <w:widowControl w:val="0"/>
      </w:pPr>
    </w:p>
    <w:p w14:paraId="7E4AEA74" w14:textId="4A842140" w:rsidR="00E51CDD" w:rsidRPr="00E51CDD" w:rsidRDefault="00E51CDD" w:rsidP="00E51CDD">
      <w:pPr>
        <w:ind w:left="1985" w:hanging="1985"/>
        <w:jc w:val="both"/>
        <w:rPr>
          <w:b/>
          <w:bCs/>
        </w:rPr>
      </w:pPr>
      <w:bookmarkStart w:id="1259" w:name="_Ref445728884"/>
      <w:bookmarkStart w:id="1260" w:name="_Ref430071476"/>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31</w:t>
      </w:r>
      <w:r w:rsidRPr="00E51CDD">
        <w:rPr>
          <w:b/>
          <w:bCs/>
        </w:rPr>
        <w:fldChar w:fldCharType="end"/>
      </w:r>
      <w:bookmarkEnd w:id="1259"/>
      <w:r w:rsidRPr="00E51CDD">
        <w:rPr>
          <w:b/>
          <w:bCs/>
        </w:rPr>
        <w:t>:</w:t>
      </w:r>
      <w:r w:rsidRPr="00E51CDD">
        <w:rPr>
          <w:b/>
          <w:bCs/>
        </w:rPr>
        <w:tab/>
        <w:t>Effects of BAS 700 F on earthworms (</w:t>
      </w:r>
      <w:r w:rsidRPr="00E51CDD">
        <w:rPr>
          <w:b/>
          <w:bCs/>
          <w:i/>
        </w:rPr>
        <w:t>Eisenia fetida)</w:t>
      </w:r>
      <w:r w:rsidRPr="00E51CDD">
        <w:rPr>
          <w:b/>
          <w:bCs/>
        </w:rPr>
        <w:t xml:space="preserve"> in a 56-day reproduction study</w:t>
      </w:r>
      <w:bookmarkEnd w:id="12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56"/>
        <w:gridCol w:w="1117"/>
        <w:gridCol w:w="1118"/>
        <w:gridCol w:w="1118"/>
        <w:gridCol w:w="1118"/>
        <w:gridCol w:w="1118"/>
        <w:gridCol w:w="1099"/>
      </w:tblGrid>
      <w:tr w:rsidR="00E51CDD" w:rsidRPr="00E51CDD" w14:paraId="0818AD4A" w14:textId="77777777" w:rsidTr="009938D9">
        <w:trPr>
          <w:cantSplit/>
          <w:tblHeader/>
        </w:trPr>
        <w:tc>
          <w:tcPr>
            <w:tcW w:w="1422" w:type="pct"/>
            <w:tcBorders>
              <w:top w:val="single" w:sz="4" w:space="0" w:color="auto"/>
              <w:left w:val="single" w:sz="4" w:space="0" w:color="auto"/>
              <w:bottom w:val="nil"/>
              <w:right w:val="single" w:sz="6" w:space="0" w:color="auto"/>
            </w:tcBorders>
            <w:vAlign w:val="center"/>
            <w:hideMark/>
          </w:tcPr>
          <w:p w14:paraId="1B115C41" w14:textId="77777777" w:rsidR="00E51CDD" w:rsidRPr="00E51CDD" w:rsidRDefault="00E51CDD" w:rsidP="00E51CDD">
            <w:pPr>
              <w:widowControl w:val="0"/>
              <w:spacing w:before="40" w:after="40"/>
              <w:rPr>
                <w:b/>
                <w:bCs/>
                <w:sz w:val="20"/>
                <w:szCs w:val="20"/>
                <w:lang w:eastAsia="zh-CN"/>
              </w:rPr>
            </w:pPr>
            <w:r w:rsidRPr="00E51CDD">
              <w:rPr>
                <w:b/>
                <w:bCs/>
                <w:sz w:val="20"/>
                <w:szCs w:val="20"/>
                <w:lang w:eastAsia="zh-CN"/>
              </w:rPr>
              <w:t>BAS 700 F</w:t>
            </w:r>
            <w:r w:rsidRPr="00E51CDD">
              <w:rPr>
                <w:b/>
                <w:bCs/>
                <w:sz w:val="20"/>
                <w:szCs w:val="20"/>
                <w:lang w:eastAsia="zh-CN"/>
              </w:rPr>
              <w:br/>
              <w:t>[mg/kg dry soil</w:t>
            </w:r>
            <w:r w:rsidRPr="00E51CDD">
              <w:rPr>
                <w:b/>
                <w:bCs/>
                <w:sz w:val="20"/>
                <w:szCs w:val="20"/>
                <w:lang w:eastAsia="zh-CN"/>
              </w:rPr>
              <w:sym w:font="Symbol" w:char="F05D"/>
            </w:r>
          </w:p>
        </w:tc>
        <w:tc>
          <w:tcPr>
            <w:tcW w:w="598" w:type="pct"/>
            <w:tcBorders>
              <w:top w:val="single" w:sz="4" w:space="0" w:color="auto"/>
              <w:left w:val="single" w:sz="6" w:space="0" w:color="auto"/>
              <w:bottom w:val="nil"/>
              <w:right w:val="single" w:sz="6" w:space="0" w:color="auto"/>
            </w:tcBorders>
            <w:vAlign w:val="center"/>
            <w:hideMark/>
          </w:tcPr>
          <w:p w14:paraId="040CE3B0" w14:textId="77777777" w:rsidR="00E51CDD" w:rsidRPr="00E51CDD" w:rsidRDefault="00E51CDD" w:rsidP="00E51CDD">
            <w:pPr>
              <w:widowControl w:val="0"/>
              <w:spacing w:before="40" w:after="40"/>
              <w:rPr>
                <w:b/>
                <w:bCs/>
                <w:sz w:val="20"/>
                <w:szCs w:val="20"/>
                <w:lang w:eastAsia="zh-CN"/>
              </w:rPr>
            </w:pPr>
            <w:r w:rsidRPr="00E51CDD">
              <w:rPr>
                <w:b/>
                <w:bCs/>
                <w:sz w:val="20"/>
                <w:szCs w:val="20"/>
                <w:lang w:eastAsia="zh-CN"/>
              </w:rPr>
              <w:t>Control</w:t>
            </w:r>
          </w:p>
        </w:tc>
        <w:tc>
          <w:tcPr>
            <w:tcW w:w="598" w:type="pct"/>
            <w:tcBorders>
              <w:top w:val="single" w:sz="4" w:space="0" w:color="auto"/>
              <w:left w:val="single" w:sz="6" w:space="0" w:color="auto"/>
              <w:bottom w:val="nil"/>
              <w:right w:val="single" w:sz="6" w:space="0" w:color="auto"/>
            </w:tcBorders>
            <w:vAlign w:val="center"/>
            <w:hideMark/>
          </w:tcPr>
          <w:p w14:paraId="7D8781A5" w14:textId="77777777" w:rsidR="00E51CDD" w:rsidRPr="00E51CDD" w:rsidRDefault="00E51CDD" w:rsidP="00E51CDD">
            <w:pPr>
              <w:widowControl w:val="0"/>
              <w:rPr>
                <w:b/>
                <w:bCs/>
                <w:sz w:val="20"/>
                <w:lang w:eastAsia="zh-CN"/>
              </w:rPr>
            </w:pPr>
            <w:r w:rsidRPr="00E51CDD">
              <w:rPr>
                <w:b/>
                <w:bCs/>
                <w:sz w:val="20"/>
                <w:lang w:eastAsia="zh-CN"/>
              </w:rPr>
              <w:t>30</w:t>
            </w:r>
          </w:p>
        </w:tc>
        <w:tc>
          <w:tcPr>
            <w:tcW w:w="598" w:type="pct"/>
            <w:tcBorders>
              <w:top w:val="single" w:sz="4" w:space="0" w:color="auto"/>
              <w:left w:val="single" w:sz="6" w:space="0" w:color="auto"/>
              <w:bottom w:val="nil"/>
              <w:right w:val="single" w:sz="6" w:space="0" w:color="auto"/>
            </w:tcBorders>
            <w:vAlign w:val="center"/>
            <w:hideMark/>
          </w:tcPr>
          <w:p w14:paraId="5285854F" w14:textId="77777777" w:rsidR="00E51CDD" w:rsidRPr="00E51CDD" w:rsidRDefault="00E51CDD" w:rsidP="00E51CDD">
            <w:pPr>
              <w:widowControl w:val="0"/>
              <w:rPr>
                <w:b/>
                <w:bCs/>
                <w:sz w:val="20"/>
                <w:lang w:eastAsia="zh-CN"/>
              </w:rPr>
            </w:pPr>
            <w:r w:rsidRPr="00E51CDD">
              <w:rPr>
                <w:b/>
                <w:bCs/>
                <w:sz w:val="20"/>
                <w:lang w:eastAsia="zh-CN"/>
              </w:rPr>
              <w:t>48</w:t>
            </w:r>
          </w:p>
        </w:tc>
        <w:tc>
          <w:tcPr>
            <w:tcW w:w="598" w:type="pct"/>
            <w:tcBorders>
              <w:top w:val="single" w:sz="4" w:space="0" w:color="auto"/>
              <w:left w:val="single" w:sz="6" w:space="0" w:color="auto"/>
              <w:bottom w:val="nil"/>
              <w:right w:val="single" w:sz="6" w:space="0" w:color="auto"/>
            </w:tcBorders>
            <w:vAlign w:val="center"/>
            <w:hideMark/>
          </w:tcPr>
          <w:p w14:paraId="675816F7" w14:textId="77777777" w:rsidR="00E51CDD" w:rsidRPr="00E51CDD" w:rsidRDefault="00E51CDD" w:rsidP="00E51CDD">
            <w:pPr>
              <w:widowControl w:val="0"/>
              <w:rPr>
                <w:b/>
                <w:bCs/>
                <w:sz w:val="20"/>
                <w:lang w:eastAsia="zh-CN"/>
              </w:rPr>
            </w:pPr>
            <w:r w:rsidRPr="00E51CDD">
              <w:rPr>
                <w:b/>
                <w:bCs/>
                <w:sz w:val="20"/>
                <w:lang w:eastAsia="zh-CN"/>
              </w:rPr>
              <w:t>76</w:t>
            </w:r>
          </w:p>
        </w:tc>
        <w:tc>
          <w:tcPr>
            <w:tcW w:w="598" w:type="pct"/>
            <w:tcBorders>
              <w:top w:val="single" w:sz="4" w:space="0" w:color="auto"/>
              <w:left w:val="single" w:sz="6" w:space="0" w:color="auto"/>
              <w:bottom w:val="nil"/>
              <w:right w:val="single" w:sz="6" w:space="0" w:color="auto"/>
            </w:tcBorders>
            <w:vAlign w:val="center"/>
            <w:hideMark/>
          </w:tcPr>
          <w:p w14:paraId="3975F7D1" w14:textId="77777777" w:rsidR="00E51CDD" w:rsidRPr="00E51CDD" w:rsidRDefault="00E51CDD" w:rsidP="00E51CDD">
            <w:pPr>
              <w:widowControl w:val="0"/>
              <w:rPr>
                <w:b/>
                <w:bCs/>
                <w:sz w:val="20"/>
                <w:lang w:eastAsia="zh-CN"/>
              </w:rPr>
            </w:pPr>
            <w:r w:rsidRPr="00E51CDD">
              <w:rPr>
                <w:b/>
                <w:bCs/>
                <w:sz w:val="20"/>
                <w:lang w:eastAsia="zh-CN"/>
              </w:rPr>
              <w:t>122</w:t>
            </w:r>
          </w:p>
        </w:tc>
        <w:tc>
          <w:tcPr>
            <w:tcW w:w="588" w:type="pct"/>
            <w:tcBorders>
              <w:top w:val="single" w:sz="4" w:space="0" w:color="auto"/>
              <w:left w:val="single" w:sz="6" w:space="0" w:color="auto"/>
              <w:bottom w:val="nil"/>
              <w:right w:val="single" w:sz="4" w:space="0" w:color="auto"/>
            </w:tcBorders>
            <w:vAlign w:val="center"/>
            <w:hideMark/>
          </w:tcPr>
          <w:p w14:paraId="7DB0F0F4" w14:textId="77777777" w:rsidR="00E51CDD" w:rsidRPr="00E51CDD" w:rsidRDefault="00E51CDD" w:rsidP="00E51CDD">
            <w:pPr>
              <w:widowControl w:val="0"/>
              <w:rPr>
                <w:b/>
                <w:bCs/>
                <w:sz w:val="20"/>
                <w:lang w:eastAsia="zh-CN"/>
              </w:rPr>
            </w:pPr>
            <w:r w:rsidRPr="00E51CDD">
              <w:rPr>
                <w:b/>
                <w:bCs/>
                <w:sz w:val="20"/>
                <w:lang w:eastAsia="zh-CN"/>
              </w:rPr>
              <w:t>196</w:t>
            </w:r>
          </w:p>
        </w:tc>
      </w:tr>
      <w:tr w:rsidR="00E51CDD" w:rsidRPr="00E51CDD" w14:paraId="5AD35CF4" w14:textId="77777777" w:rsidTr="009938D9">
        <w:trPr>
          <w:cantSplit/>
        </w:trPr>
        <w:tc>
          <w:tcPr>
            <w:tcW w:w="1422" w:type="pct"/>
            <w:tcBorders>
              <w:top w:val="single" w:sz="6" w:space="0" w:color="auto"/>
              <w:left w:val="single" w:sz="4" w:space="0" w:color="auto"/>
              <w:bottom w:val="single" w:sz="6" w:space="0" w:color="auto"/>
              <w:right w:val="single" w:sz="6" w:space="0" w:color="auto"/>
            </w:tcBorders>
            <w:vAlign w:val="center"/>
            <w:hideMark/>
          </w:tcPr>
          <w:p w14:paraId="35BCB20C" w14:textId="77777777" w:rsidR="00E51CDD" w:rsidRPr="00E51CDD" w:rsidRDefault="00E51CDD" w:rsidP="00E51CDD">
            <w:pPr>
              <w:widowControl w:val="0"/>
              <w:spacing w:before="40" w:after="40"/>
              <w:rPr>
                <w:sz w:val="20"/>
                <w:szCs w:val="20"/>
                <w:vertAlign w:val="superscript"/>
                <w:lang w:eastAsia="zh-CN"/>
              </w:rPr>
            </w:pPr>
            <w:r w:rsidRPr="00E51CDD">
              <w:rPr>
                <w:sz w:val="20"/>
                <w:szCs w:val="20"/>
                <w:lang w:eastAsia="zh-CN"/>
              </w:rPr>
              <w:t>Mortality (day 28) [%]</w:t>
            </w:r>
          </w:p>
        </w:tc>
        <w:tc>
          <w:tcPr>
            <w:tcW w:w="598" w:type="pct"/>
            <w:tcBorders>
              <w:top w:val="single" w:sz="6" w:space="0" w:color="auto"/>
              <w:left w:val="single" w:sz="6" w:space="0" w:color="auto"/>
              <w:bottom w:val="single" w:sz="4" w:space="0" w:color="auto"/>
              <w:right w:val="single" w:sz="6" w:space="0" w:color="auto"/>
            </w:tcBorders>
            <w:vAlign w:val="center"/>
            <w:hideMark/>
          </w:tcPr>
          <w:p w14:paraId="230738BF" w14:textId="77777777" w:rsidR="00E51CDD" w:rsidRPr="00E51CDD" w:rsidRDefault="00E51CDD" w:rsidP="00E51CDD">
            <w:pPr>
              <w:widowControl w:val="0"/>
              <w:rPr>
                <w:sz w:val="20"/>
                <w:lang w:eastAsia="zh-CN"/>
              </w:rPr>
            </w:pPr>
            <w:r w:rsidRPr="00E51CDD">
              <w:rPr>
                <w:sz w:val="20"/>
                <w:lang w:eastAsia="zh-CN"/>
              </w:rPr>
              <w:t>0.0</w:t>
            </w:r>
          </w:p>
        </w:tc>
        <w:tc>
          <w:tcPr>
            <w:tcW w:w="598" w:type="pct"/>
            <w:tcBorders>
              <w:top w:val="single" w:sz="6" w:space="0" w:color="auto"/>
              <w:left w:val="single" w:sz="6" w:space="0" w:color="auto"/>
              <w:bottom w:val="single" w:sz="4" w:space="0" w:color="auto"/>
              <w:right w:val="single" w:sz="6" w:space="0" w:color="auto"/>
            </w:tcBorders>
            <w:vAlign w:val="center"/>
            <w:hideMark/>
          </w:tcPr>
          <w:p w14:paraId="6718CEAD" w14:textId="77777777" w:rsidR="00E51CDD" w:rsidRPr="00E51CDD" w:rsidRDefault="00E51CDD" w:rsidP="00E51CDD">
            <w:pPr>
              <w:widowControl w:val="0"/>
              <w:rPr>
                <w:sz w:val="20"/>
                <w:lang w:eastAsia="zh-CN"/>
              </w:rPr>
            </w:pPr>
            <w:r w:rsidRPr="00E51CDD">
              <w:rPr>
                <w:sz w:val="20"/>
                <w:lang w:eastAsia="zh-CN"/>
              </w:rPr>
              <w:t>0.0</w:t>
            </w:r>
          </w:p>
        </w:tc>
        <w:tc>
          <w:tcPr>
            <w:tcW w:w="598" w:type="pct"/>
            <w:tcBorders>
              <w:top w:val="single" w:sz="6" w:space="0" w:color="auto"/>
              <w:left w:val="single" w:sz="6" w:space="0" w:color="auto"/>
              <w:bottom w:val="single" w:sz="4" w:space="0" w:color="auto"/>
              <w:right w:val="single" w:sz="6" w:space="0" w:color="auto"/>
            </w:tcBorders>
            <w:vAlign w:val="center"/>
            <w:hideMark/>
          </w:tcPr>
          <w:p w14:paraId="3DBDB424" w14:textId="77777777" w:rsidR="00E51CDD" w:rsidRPr="00E51CDD" w:rsidRDefault="00E51CDD" w:rsidP="00E51CDD">
            <w:pPr>
              <w:widowControl w:val="0"/>
              <w:rPr>
                <w:sz w:val="20"/>
                <w:lang w:eastAsia="zh-CN"/>
              </w:rPr>
            </w:pPr>
            <w:r w:rsidRPr="00E51CDD">
              <w:rPr>
                <w:sz w:val="20"/>
                <w:lang w:eastAsia="zh-CN"/>
              </w:rPr>
              <w:t>0.0</w:t>
            </w:r>
          </w:p>
        </w:tc>
        <w:tc>
          <w:tcPr>
            <w:tcW w:w="598" w:type="pct"/>
            <w:tcBorders>
              <w:top w:val="single" w:sz="6" w:space="0" w:color="auto"/>
              <w:left w:val="single" w:sz="6" w:space="0" w:color="auto"/>
              <w:bottom w:val="single" w:sz="4" w:space="0" w:color="auto"/>
              <w:right w:val="single" w:sz="6" w:space="0" w:color="auto"/>
            </w:tcBorders>
            <w:vAlign w:val="center"/>
            <w:hideMark/>
          </w:tcPr>
          <w:p w14:paraId="31B49522" w14:textId="77777777" w:rsidR="00E51CDD" w:rsidRPr="00E51CDD" w:rsidRDefault="00E51CDD" w:rsidP="00E51CDD">
            <w:pPr>
              <w:widowControl w:val="0"/>
              <w:rPr>
                <w:sz w:val="20"/>
                <w:lang w:eastAsia="zh-CN"/>
              </w:rPr>
            </w:pPr>
            <w:r w:rsidRPr="00E51CDD">
              <w:rPr>
                <w:sz w:val="20"/>
                <w:lang w:eastAsia="zh-CN"/>
              </w:rPr>
              <w:t>0.0</w:t>
            </w:r>
          </w:p>
        </w:tc>
        <w:tc>
          <w:tcPr>
            <w:tcW w:w="598" w:type="pct"/>
            <w:tcBorders>
              <w:top w:val="single" w:sz="6" w:space="0" w:color="auto"/>
              <w:left w:val="single" w:sz="6" w:space="0" w:color="auto"/>
              <w:bottom w:val="single" w:sz="4" w:space="0" w:color="auto"/>
              <w:right w:val="single" w:sz="6" w:space="0" w:color="auto"/>
            </w:tcBorders>
            <w:vAlign w:val="center"/>
            <w:hideMark/>
          </w:tcPr>
          <w:p w14:paraId="77C9FAD6" w14:textId="77777777" w:rsidR="00E51CDD" w:rsidRPr="00E51CDD" w:rsidRDefault="00E51CDD" w:rsidP="00E51CDD">
            <w:pPr>
              <w:widowControl w:val="0"/>
              <w:rPr>
                <w:sz w:val="20"/>
                <w:lang w:eastAsia="zh-CN"/>
              </w:rPr>
            </w:pPr>
            <w:r w:rsidRPr="00E51CDD">
              <w:rPr>
                <w:sz w:val="20"/>
                <w:lang w:eastAsia="zh-CN"/>
              </w:rPr>
              <w:t>0.0</w:t>
            </w:r>
          </w:p>
        </w:tc>
        <w:tc>
          <w:tcPr>
            <w:tcW w:w="588" w:type="pct"/>
            <w:tcBorders>
              <w:top w:val="single" w:sz="6" w:space="0" w:color="auto"/>
              <w:left w:val="single" w:sz="6" w:space="0" w:color="auto"/>
              <w:bottom w:val="single" w:sz="4" w:space="0" w:color="auto"/>
              <w:right w:val="single" w:sz="4" w:space="0" w:color="auto"/>
            </w:tcBorders>
            <w:vAlign w:val="center"/>
            <w:hideMark/>
          </w:tcPr>
          <w:p w14:paraId="1AA8DA82" w14:textId="77777777" w:rsidR="00E51CDD" w:rsidRPr="00E51CDD" w:rsidRDefault="00E51CDD" w:rsidP="00E51CDD">
            <w:pPr>
              <w:widowControl w:val="0"/>
              <w:rPr>
                <w:sz w:val="20"/>
                <w:lang w:eastAsia="zh-CN"/>
              </w:rPr>
            </w:pPr>
            <w:r w:rsidRPr="00E51CDD">
              <w:rPr>
                <w:sz w:val="20"/>
                <w:lang w:eastAsia="zh-CN"/>
              </w:rPr>
              <w:t>0.0</w:t>
            </w:r>
          </w:p>
        </w:tc>
      </w:tr>
      <w:tr w:rsidR="00E51CDD" w:rsidRPr="00E51CDD" w14:paraId="5767D6B7" w14:textId="77777777" w:rsidTr="009938D9">
        <w:trPr>
          <w:cantSplit/>
        </w:trPr>
        <w:tc>
          <w:tcPr>
            <w:tcW w:w="1422" w:type="pct"/>
            <w:tcBorders>
              <w:top w:val="single" w:sz="6" w:space="0" w:color="auto"/>
              <w:left w:val="single" w:sz="4" w:space="0" w:color="auto"/>
              <w:bottom w:val="single" w:sz="6" w:space="0" w:color="auto"/>
              <w:right w:val="single" w:sz="6" w:space="0" w:color="auto"/>
            </w:tcBorders>
            <w:vAlign w:val="center"/>
            <w:hideMark/>
          </w:tcPr>
          <w:p w14:paraId="79A1F187" w14:textId="77777777" w:rsidR="00E51CDD" w:rsidRPr="00E51CDD" w:rsidRDefault="00E51CDD" w:rsidP="00E51CDD">
            <w:pPr>
              <w:widowControl w:val="0"/>
              <w:spacing w:before="40" w:after="40"/>
              <w:rPr>
                <w:sz w:val="20"/>
                <w:szCs w:val="20"/>
                <w:lang w:eastAsia="zh-CN"/>
              </w:rPr>
            </w:pPr>
            <w:r w:rsidRPr="00E51CDD">
              <w:rPr>
                <w:sz w:val="20"/>
                <w:szCs w:val="20"/>
                <w:lang w:eastAsia="zh-CN"/>
              </w:rPr>
              <w:t>Weight change (day 28) [%]</w:t>
            </w:r>
          </w:p>
        </w:tc>
        <w:tc>
          <w:tcPr>
            <w:tcW w:w="598" w:type="pct"/>
            <w:tcBorders>
              <w:top w:val="single" w:sz="4" w:space="0" w:color="auto"/>
              <w:left w:val="single" w:sz="6" w:space="0" w:color="auto"/>
              <w:bottom w:val="single" w:sz="4" w:space="0" w:color="auto"/>
              <w:right w:val="single" w:sz="6" w:space="0" w:color="auto"/>
            </w:tcBorders>
            <w:vAlign w:val="center"/>
            <w:hideMark/>
          </w:tcPr>
          <w:p w14:paraId="54BBAFAB" w14:textId="77777777" w:rsidR="00E51CDD" w:rsidRPr="00E51CDD" w:rsidRDefault="00E51CDD" w:rsidP="00E51CDD">
            <w:pPr>
              <w:widowControl w:val="0"/>
              <w:rPr>
                <w:bCs/>
                <w:sz w:val="20"/>
                <w:lang w:eastAsia="zh-CN"/>
              </w:rPr>
            </w:pPr>
            <w:r w:rsidRPr="00E51CDD">
              <w:rPr>
                <w:bCs/>
                <w:sz w:val="20"/>
                <w:lang w:eastAsia="zh-CN"/>
              </w:rPr>
              <w:t>41.9</w:t>
            </w:r>
          </w:p>
        </w:tc>
        <w:tc>
          <w:tcPr>
            <w:tcW w:w="598" w:type="pct"/>
            <w:tcBorders>
              <w:top w:val="single" w:sz="4" w:space="0" w:color="auto"/>
              <w:left w:val="single" w:sz="6" w:space="0" w:color="auto"/>
              <w:bottom w:val="single" w:sz="4" w:space="0" w:color="auto"/>
              <w:right w:val="single" w:sz="6" w:space="0" w:color="auto"/>
            </w:tcBorders>
            <w:vAlign w:val="center"/>
            <w:hideMark/>
          </w:tcPr>
          <w:p w14:paraId="3F4F150E" w14:textId="77777777" w:rsidR="00E51CDD" w:rsidRPr="00E51CDD" w:rsidRDefault="00E51CDD" w:rsidP="00E51CDD">
            <w:pPr>
              <w:widowControl w:val="0"/>
              <w:rPr>
                <w:bCs/>
                <w:sz w:val="20"/>
                <w:lang w:eastAsia="zh-CN"/>
              </w:rPr>
            </w:pPr>
            <w:r w:rsidRPr="00E51CDD">
              <w:rPr>
                <w:bCs/>
                <w:sz w:val="20"/>
                <w:lang w:eastAsia="zh-CN"/>
              </w:rPr>
              <w:t>39.0</w:t>
            </w:r>
          </w:p>
        </w:tc>
        <w:tc>
          <w:tcPr>
            <w:tcW w:w="598" w:type="pct"/>
            <w:tcBorders>
              <w:top w:val="single" w:sz="4" w:space="0" w:color="auto"/>
              <w:left w:val="single" w:sz="6" w:space="0" w:color="auto"/>
              <w:bottom w:val="single" w:sz="4" w:space="0" w:color="auto"/>
              <w:right w:val="single" w:sz="6" w:space="0" w:color="auto"/>
            </w:tcBorders>
            <w:vAlign w:val="center"/>
            <w:hideMark/>
          </w:tcPr>
          <w:p w14:paraId="57E77D12" w14:textId="77777777" w:rsidR="00E51CDD" w:rsidRPr="00E51CDD" w:rsidRDefault="00E51CDD" w:rsidP="00E51CDD">
            <w:pPr>
              <w:widowControl w:val="0"/>
              <w:rPr>
                <w:bCs/>
                <w:sz w:val="20"/>
                <w:lang w:eastAsia="zh-CN"/>
              </w:rPr>
            </w:pPr>
            <w:r w:rsidRPr="00E51CDD">
              <w:rPr>
                <w:bCs/>
                <w:sz w:val="20"/>
                <w:lang w:eastAsia="zh-CN"/>
              </w:rPr>
              <w:t>38.3</w:t>
            </w:r>
          </w:p>
        </w:tc>
        <w:tc>
          <w:tcPr>
            <w:tcW w:w="598" w:type="pct"/>
            <w:tcBorders>
              <w:top w:val="single" w:sz="4" w:space="0" w:color="auto"/>
              <w:left w:val="single" w:sz="6" w:space="0" w:color="auto"/>
              <w:bottom w:val="single" w:sz="4" w:space="0" w:color="auto"/>
              <w:right w:val="single" w:sz="6" w:space="0" w:color="auto"/>
            </w:tcBorders>
            <w:vAlign w:val="center"/>
            <w:hideMark/>
          </w:tcPr>
          <w:p w14:paraId="66B60436" w14:textId="77777777" w:rsidR="00E51CDD" w:rsidRPr="00E51CDD" w:rsidRDefault="00E51CDD" w:rsidP="00E51CDD">
            <w:pPr>
              <w:widowControl w:val="0"/>
              <w:rPr>
                <w:bCs/>
                <w:sz w:val="20"/>
                <w:lang w:eastAsia="zh-CN"/>
              </w:rPr>
            </w:pPr>
            <w:r w:rsidRPr="00E51CDD">
              <w:rPr>
                <w:bCs/>
                <w:sz w:val="20"/>
                <w:lang w:eastAsia="zh-CN"/>
              </w:rPr>
              <w:t>42.5</w:t>
            </w:r>
          </w:p>
        </w:tc>
        <w:tc>
          <w:tcPr>
            <w:tcW w:w="598" w:type="pct"/>
            <w:tcBorders>
              <w:top w:val="single" w:sz="4" w:space="0" w:color="auto"/>
              <w:left w:val="single" w:sz="6" w:space="0" w:color="auto"/>
              <w:bottom w:val="single" w:sz="4" w:space="0" w:color="auto"/>
              <w:right w:val="single" w:sz="6" w:space="0" w:color="auto"/>
            </w:tcBorders>
            <w:vAlign w:val="center"/>
            <w:hideMark/>
          </w:tcPr>
          <w:p w14:paraId="6FCC824D" w14:textId="77777777" w:rsidR="00E51CDD" w:rsidRPr="00E51CDD" w:rsidRDefault="00E51CDD" w:rsidP="00E51CDD">
            <w:pPr>
              <w:widowControl w:val="0"/>
              <w:rPr>
                <w:bCs/>
                <w:sz w:val="20"/>
                <w:lang w:eastAsia="zh-CN"/>
              </w:rPr>
            </w:pPr>
            <w:r w:rsidRPr="00E51CDD">
              <w:rPr>
                <w:bCs/>
                <w:sz w:val="20"/>
                <w:lang w:eastAsia="zh-CN"/>
              </w:rPr>
              <w:t>48.1</w:t>
            </w:r>
          </w:p>
        </w:tc>
        <w:tc>
          <w:tcPr>
            <w:tcW w:w="588" w:type="pct"/>
            <w:tcBorders>
              <w:top w:val="single" w:sz="4" w:space="0" w:color="auto"/>
              <w:left w:val="single" w:sz="6" w:space="0" w:color="auto"/>
              <w:bottom w:val="single" w:sz="4" w:space="0" w:color="auto"/>
              <w:right w:val="single" w:sz="4" w:space="0" w:color="auto"/>
            </w:tcBorders>
            <w:vAlign w:val="center"/>
            <w:hideMark/>
          </w:tcPr>
          <w:p w14:paraId="13AFB963" w14:textId="77777777" w:rsidR="00E51CDD" w:rsidRPr="00E51CDD" w:rsidRDefault="00E51CDD" w:rsidP="00E51CDD">
            <w:pPr>
              <w:widowControl w:val="0"/>
              <w:rPr>
                <w:bCs/>
                <w:sz w:val="20"/>
                <w:lang w:eastAsia="zh-CN"/>
              </w:rPr>
            </w:pPr>
            <w:r w:rsidRPr="00E51CDD">
              <w:rPr>
                <w:bCs/>
                <w:sz w:val="20"/>
                <w:lang w:eastAsia="zh-CN"/>
              </w:rPr>
              <w:t>47.9</w:t>
            </w:r>
          </w:p>
        </w:tc>
      </w:tr>
      <w:tr w:rsidR="00E51CDD" w:rsidRPr="00E51CDD" w14:paraId="28D4B7FD" w14:textId="77777777" w:rsidTr="009938D9">
        <w:trPr>
          <w:cantSplit/>
        </w:trPr>
        <w:tc>
          <w:tcPr>
            <w:tcW w:w="1422" w:type="pct"/>
            <w:tcBorders>
              <w:top w:val="single" w:sz="6" w:space="0" w:color="auto"/>
              <w:left w:val="single" w:sz="4" w:space="0" w:color="auto"/>
              <w:bottom w:val="single" w:sz="6" w:space="0" w:color="auto"/>
              <w:right w:val="single" w:sz="6" w:space="0" w:color="auto"/>
            </w:tcBorders>
            <w:vAlign w:val="center"/>
            <w:hideMark/>
          </w:tcPr>
          <w:p w14:paraId="45A51CD2" w14:textId="77777777" w:rsidR="00E51CDD" w:rsidRPr="00E51CDD" w:rsidRDefault="00E51CDD" w:rsidP="00E51CDD">
            <w:pPr>
              <w:widowControl w:val="0"/>
              <w:spacing w:before="40" w:after="40"/>
              <w:rPr>
                <w:sz w:val="20"/>
                <w:szCs w:val="20"/>
                <w:lang w:eastAsia="zh-CN"/>
              </w:rPr>
            </w:pPr>
            <w:r w:rsidRPr="00E51CDD">
              <w:rPr>
                <w:sz w:val="20"/>
                <w:szCs w:val="20"/>
                <w:lang w:eastAsia="zh-CN"/>
              </w:rPr>
              <w:t>No. of juveniles (day 56)</w:t>
            </w:r>
          </w:p>
        </w:tc>
        <w:tc>
          <w:tcPr>
            <w:tcW w:w="598" w:type="pct"/>
            <w:tcBorders>
              <w:top w:val="single" w:sz="4" w:space="0" w:color="auto"/>
              <w:left w:val="single" w:sz="6" w:space="0" w:color="auto"/>
              <w:bottom w:val="single" w:sz="4" w:space="0" w:color="auto"/>
              <w:right w:val="single" w:sz="6" w:space="0" w:color="auto"/>
            </w:tcBorders>
            <w:vAlign w:val="center"/>
            <w:hideMark/>
          </w:tcPr>
          <w:p w14:paraId="6A4F852B" w14:textId="77777777" w:rsidR="00E51CDD" w:rsidRPr="00E51CDD" w:rsidRDefault="00E51CDD" w:rsidP="00E51CDD">
            <w:pPr>
              <w:widowControl w:val="0"/>
              <w:rPr>
                <w:bCs/>
                <w:sz w:val="20"/>
                <w:lang w:eastAsia="zh-CN"/>
              </w:rPr>
            </w:pPr>
            <w:r w:rsidRPr="00E51CDD">
              <w:rPr>
                <w:bCs/>
                <w:sz w:val="20"/>
                <w:lang w:eastAsia="zh-CN"/>
              </w:rPr>
              <w:t>222</w:t>
            </w:r>
          </w:p>
        </w:tc>
        <w:tc>
          <w:tcPr>
            <w:tcW w:w="598" w:type="pct"/>
            <w:tcBorders>
              <w:top w:val="single" w:sz="4" w:space="0" w:color="auto"/>
              <w:left w:val="single" w:sz="6" w:space="0" w:color="auto"/>
              <w:bottom w:val="single" w:sz="4" w:space="0" w:color="auto"/>
              <w:right w:val="single" w:sz="6" w:space="0" w:color="auto"/>
            </w:tcBorders>
            <w:vAlign w:val="center"/>
            <w:hideMark/>
          </w:tcPr>
          <w:p w14:paraId="07B4BD82" w14:textId="77777777" w:rsidR="00E51CDD" w:rsidRPr="00E51CDD" w:rsidRDefault="00E51CDD" w:rsidP="00E51CDD">
            <w:pPr>
              <w:widowControl w:val="0"/>
              <w:rPr>
                <w:bCs/>
                <w:sz w:val="20"/>
                <w:lang w:eastAsia="zh-CN"/>
              </w:rPr>
            </w:pPr>
            <w:r w:rsidRPr="00E51CDD">
              <w:rPr>
                <w:bCs/>
                <w:sz w:val="20"/>
                <w:lang w:eastAsia="zh-CN"/>
              </w:rPr>
              <w:t>247</w:t>
            </w:r>
          </w:p>
        </w:tc>
        <w:tc>
          <w:tcPr>
            <w:tcW w:w="598" w:type="pct"/>
            <w:tcBorders>
              <w:top w:val="single" w:sz="4" w:space="0" w:color="auto"/>
              <w:left w:val="single" w:sz="6" w:space="0" w:color="auto"/>
              <w:bottom w:val="single" w:sz="4" w:space="0" w:color="auto"/>
              <w:right w:val="single" w:sz="6" w:space="0" w:color="auto"/>
            </w:tcBorders>
            <w:vAlign w:val="center"/>
            <w:hideMark/>
          </w:tcPr>
          <w:p w14:paraId="3BD6D382" w14:textId="77777777" w:rsidR="00E51CDD" w:rsidRPr="00E51CDD" w:rsidRDefault="00E51CDD" w:rsidP="00E51CDD">
            <w:pPr>
              <w:widowControl w:val="0"/>
              <w:rPr>
                <w:bCs/>
                <w:sz w:val="20"/>
                <w:lang w:eastAsia="zh-CN"/>
              </w:rPr>
            </w:pPr>
            <w:r w:rsidRPr="00E51CDD">
              <w:rPr>
                <w:bCs/>
                <w:sz w:val="20"/>
                <w:lang w:eastAsia="zh-CN"/>
              </w:rPr>
              <w:t>217</w:t>
            </w:r>
          </w:p>
        </w:tc>
        <w:tc>
          <w:tcPr>
            <w:tcW w:w="598" w:type="pct"/>
            <w:tcBorders>
              <w:top w:val="single" w:sz="4" w:space="0" w:color="auto"/>
              <w:left w:val="single" w:sz="6" w:space="0" w:color="auto"/>
              <w:bottom w:val="single" w:sz="4" w:space="0" w:color="auto"/>
              <w:right w:val="single" w:sz="6" w:space="0" w:color="auto"/>
            </w:tcBorders>
            <w:vAlign w:val="center"/>
            <w:hideMark/>
          </w:tcPr>
          <w:p w14:paraId="3B7CED4E" w14:textId="77777777" w:rsidR="00E51CDD" w:rsidRPr="00E51CDD" w:rsidRDefault="00E51CDD" w:rsidP="00E51CDD">
            <w:pPr>
              <w:widowControl w:val="0"/>
              <w:rPr>
                <w:bCs/>
                <w:sz w:val="20"/>
                <w:lang w:eastAsia="zh-CN"/>
              </w:rPr>
            </w:pPr>
            <w:r w:rsidRPr="00E51CDD">
              <w:rPr>
                <w:bCs/>
                <w:sz w:val="20"/>
                <w:lang w:eastAsia="zh-CN"/>
              </w:rPr>
              <w:t>177</w:t>
            </w:r>
          </w:p>
        </w:tc>
        <w:tc>
          <w:tcPr>
            <w:tcW w:w="598" w:type="pct"/>
            <w:tcBorders>
              <w:top w:val="single" w:sz="4" w:space="0" w:color="auto"/>
              <w:left w:val="single" w:sz="6" w:space="0" w:color="auto"/>
              <w:bottom w:val="single" w:sz="4" w:space="0" w:color="auto"/>
              <w:right w:val="single" w:sz="6" w:space="0" w:color="auto"/>
            </w:tcBorders>
            <w:vAlign w:val="center"/>
            <w:hideMark/>
          </w:tcPr>
          <w:p w14:paraId="42A8A353" w14:textId="77777777" w:rsidR="00E51CDD" w:rsidRPr="00E51CDD" w:rsidRDefault="00E51CDD" w:rsidP="00E51CDD">
            <w:pPr>
              <w:widowControl w:val="0"/>
              <w:rPr>
                <w:bCs/>
                <w:sz w:val="20"/>
                <w:lang w:eastAsia="zh-CN"/>
              </w:rPr>
            </w:pPr>
            <w:r w:rsidRPr="00E51CDD">
              <w:rPr>
                <w:bCs/>
                <w:sz w:val="20"/>
                <w:lang w:eastAsia="zh-CN"/>
              </w:rPr>
              <w:t>187</w:t>
            </w:r>
          </w:p>
        </w:tc>
        <w:tc>
          <w:tcPr>
            <w:tcW w:w="588" w:type="pct"/>
            <w:tcBorders>
              <w:top w:val="single" w:sz="4" w:space="0" w:color="auto"/>
              <w:left w:val="single" w:sz="6" w:space="0" w:color="auto"/>
              <w:bottom w:val="single" w:sz="4" w:space="0" w:color="auto"/>
              <w:right w:val="single" w:sz="4" w:space="0" w:color="auto"/>
            </w:tcBorders>
            <w:vAlign w:val="center"/>
            <w:hideMark/>
          </w:tcPr>
          <w:p w14:paraId="5A8E86C2" w14:textId="77777777" w:rsidR="00E51CDD" w:rsidRPr="00E51CDD" w:rsidRDefault="00E51CDD" w:rsidP="00E51CDD">
            <w:pPr>
              <w:widowControl w:val="0"/>
              <w:rPr>
                <w:bCs/>
                <w:sz w:val="20"/>
                <w:lang w:eastAsia="zh-CN"/>
              </w:rPr>
            </w:pPr>
            <w:r w:rsidRPr="00E51CDD">
              <w:rPr>
                <w:bCs/>
                <w:sz w:val="20"/>
                <w:lang w:eastAsia="zh-CN"/>
              </w:rPr>
              <w:t>126 *</w:t>
            </w:r>
          </w:p>
        </w:tc>
      </w:tr>
      <w:tr w:rsidR="00E51CDD" w:rsidRPr="00E51CDD" w14:paraId="22D0A14F" w14:textId="77777777" w:rsidTr="009938D9">
        <w:trPr>
          <w:cantSplit/>
        </w:trPr>
        <w:tc>
          <w:tcPr>
            <w:tcW w:w="1422" w:type="pct"/>
            <w:tcBorders>
              <w:top w:val="single" w:sz="6" w:space="0" w:color="auto"/>
              <w:left w:val="single" w:sz="4" w:space="0" w:color="auto"/>
              <w:bottom w:val="single" w:sz="6" w:space="0" w:color="auto"/>
              <w:right w:val="single" w:sz="6" w:space="0" w:color="auto"/>
            </w:tcBorders>
            <w:vAlign w:val="center"/>
            <w:hideMark/>
          </w:tcPr>
          <w:p w14:paraId="03A333E3" w14:textId="77777777" w:rsidR="00E51CDD" w:rsidRPr="00E51CDD" w:rsidRDefault="00E51CDD" w:rsidP="00E51CDD">
            <w:pPr>
              <w:widowControl w:val="0"/>
              <w:spacing w:before="40" w:after="40"/>
              <w:rPr>
                <w:sz w:val="20"/>
                <w:szCs w:val="20"/>
                <w:lang w:eastAsia="zh-CN"/>
              </w:rPr>
            </w:pPr>
            <w:r w:rsidRPr="00E51CDD">
              <w:rPr>
                <w:sz w:val="20"/>
                <w:szCs w:val="20"/>
                <w:lang w:eastAsia="zh-CN"/>
              </w:rPr>
              <w:t>Reproduction (day 56)</w:t>
            </w:r>
            <w:r w:rsidRPr="00E51CDD">
              <w:rPr>
                <w:sz w:val="20"/>
                <w:szCs w:val="20"/>
                <w:lang w:eastAsia="zh-CN"/>
              </w:rPr>
              <w:br/>
              <w:t>[% of control]</w:t>
            </w:r>
          </w:p>
        </w:tc>
        <w:tc>
          <w:tcPr>
            <w:tcW w:w="598" w:type="pct"/>
            <w:tcBorders>
              <w:top w:val="single" w:sz="4" w:space="0" w:color="auto"/>
              <w:left w:val="single" w:sz="6" w:space="0" w:color="auto"/>
              <w:bottom w:val="single" w:sz="6" w:space="0" w:color="auto"/>
              <w:right w:val="single" w:sz="6" w:space="0" w:color="auto"/>
            </w:tcBorders>
            <w:vAlign w:val="center"/>
            <w:hideMark/>
          </w:tcPr>
          <w:p w14:paraId="270A502D" w14:textId="77777777" w:rsidR="00E51CDD" w:rsidRPr="00E51CDD" w:rsidRDefault="00E51CDD" w:rsidP="00E51CDD">
            <w:pPr>
              <w:widowControl w:val="0"/>
              <w:rPr>
                <w:sz w:val="20"/>
                <w:lang w:eastAsia="zh-CN"/>
              </w:rPr>
            </w:pPr>
            <w:r w:rsidRPr="00E51CDD">
              <w:rPr>
                <w:sz w:val="20"/>
                <w:lang w:eastAsia="zh-CN"/>
              </w:rPr>
              <w:t>--</w:t>
            </w:r>
          </w:p>
        </w:tc>
        <w:tc>
          <w:tcPr>
            <w:tcW w:w="598" w:type="pct"/>
            <w:tcBorders>
              <w:top w:val="single" w:sz="4" w:space="0" w:color="auto"/>
              <w:left w:val="single" w:sz="6" w:space="0" w:color="auto"/>
              <w:bottom w:val="single" w:sz="6" w:space="0" w:color="auto"/>
              <w:right w:val="single" w:sz="6" w:space="0" w:color="auto"/>
            </w:tcBorders>
            <w:vAlign w:val="center"/>
            <w:hideMark/>
          </w:tcPr>
          <w:p w14:paraId="51B2977A" w14:textId="77777777" w:rsidR="00E51CDD" w:rsidRPr="00E51CDD" w:rsidRDefault="00E51CDD" w:rsidP="00E51CDD">
            <w:pPr>
              <w:widowControl w:val="0"/>
              <w:rPr>
                <w:sz w:val="20"/>
                <w:lang w:eastAsia="zh-CN"/>
              </w:rPr>
            </w:pPr>
            <w:r w:rsidRPr="00E51CDD">
              <w:rPr>
                <w:sz w:val="20"/>
                <w:lang w:eastAsia="zh-CN"/>
              </w:rPr>
              <w:t>111.5</w:t>
            </w:r>
          </w:p>
        </w:tc>
        <w:tc>
          <w:tcPr>
            <w:tcW w:w="598" w:type="pct"/>
            <w:tcBorders>
              <w:top w:val="single" w:sz="4" w:space="0" w:color="auto"/>
              <w:left w:val="single" w:sz="6" w:space="0" w:color="auto"/>
              <w:bottom w:val="single" w:sz="6" w:space="0" w:color="auto"/>
              <w:right w:val="single" w:sz="6" w:space="0" w:color="auto"/>
            </w:tcBorders>
            <w:vAlign w:val="center"/>
            <w:hideMark/>
          </w:tcPr>
          <w:p w14:paraId="4B6A07F3" w14:textId="77777777" w:rsidR="00E51CDD" w:rsidRPr="00E51CDD" w:rsidRDefault="00E51CDD" w:rsidP="00E51CDD">
            <w:pPr>
              <w:widowControl w:val="0"/>
              <w:rPr>
                <w:sz w:val="20"/>
                <w:lang w:eastAsia="zh-CN"/>
              </w:rPr>
            </w:pPr>
            <w:r w:rsidRPr="00E51CDD">
              <w:rPr>
                <w:sz w:val="20"/>
                <w:lang w:eastAsia="zh-CN"/>
              </w:rPr>
              <w:t>97.7</w:t>
            </w:r>
          </w:p>
        </w:tc>
        <w:tc>
          <w:tcPr>
            <w:tcW w:w="598" w:type="pct"/>
            <w:tcBorders>
              <w:top w:val="single" w:sz="4" w:space="0" w:color="auto"/>
              <w:left w:val="single" w:sz="6" w:space="0" w:color="auto"/>
              <w:bottom w:val="single" w:sz="6" w:space="0" w:color="auto"/>
              <w:right w:val="single" w:sz="6" w:space="0" w:color="auto"/>
            </w:tcBorders>
            <w:vAlign w:val="center"/>
            <w:hideMark/>
          </w:tcPr>
          <w:p w14:paraId="3DBFCCF2" w14:textId="77777777" w:rsidR="00E51CDD" w:rsidRPr="00E51CDD" w:rsidRDefault="00E51CDD" w:rsidP="00E51CDD">
            <w:pPr>
              <w:widowControl w:val="0"/>
              <w:rPr>
                <w:sz w:val="20"/>
                <w:lang w:eastAsia="zh-CN"/>
              </w:rPr>
            </w:pPr>
            <w:r w:rsidRPr="00E51CDD">
              <w:rPr>
                <w:sz w:val="20"/>
                <w:lang w:eastAsia="zh-CN"/>
              </w:rPr>
              <w:t>79.8</w:t>
            </w:r>
          </w:p>
        </w:tc>
        <w:tc>
          <w:tcPr>
            <w:tcW w:w="598" w:type="pct"/>
            <w:tcBorders>
              <w:top w:val="single" w:sz="4" w:space="0" w:color="auto"/>
              <w:left w:val="single" w:sz="6" w:space="0" w:color="auto"/>
              <w:bottom w:val="single" w:sz="6" w:space="0" w:color="auto"/>
              <w:right w:val="single" w:sz="6" w:space="0" w:color="auto"/>
            </w:tcBorders>
            <w:vAlign w:val="center"/>
            <w:hideMark/>
          </w:tcPr>
          <w:p w14:paraId="02262753" w14:textId="77777777" w:rsidR="00E51CDD" w:rsidRPr="00E51CDD" w:rsidRDefault="00E51CDD" w:rsidP="00E51CDD">
            <w:pPr>
              <w:widowControl w:val="0"/>
              <w:rPr>
                <w:sz w:val="20"/>
                <w:lang w:eastAsia="zh-CN"/>
              </w:rPr>
            </w:pPr>
            <w:r w:rsidRPr="00E51CDD">
              <w:rPr>
                <w:sz w:val="20"/>
                <w:lang w:eastAsia="zh-CN"/>
              </w:rPr>
              <w:t>84.2</w:t>
            </w:r>
          </w:p>
        </w:tc>
        <w:tc>
          <w:tcPr>
            <w:tcW w:w="588" w:type="pct"/>
            <w:tcBorders>
              <w:top w:val="single" w:sz="4" w:space="0" w:color="auto"/>
              <w:left w:val="single" w:sz="6" w:space="0" w:color="auto"/>
              <w:bottom w:val="single" w:sz="6" w:space="0" w:color="auto"/>
              <w:right w:val="single" w:sz="4" w:space="0" w:color="auto"/>
            </w:tcBorders>
            <w:vAlign w:val="center"/>
            <w:hideMark/>
          </w:tcPr>
          <w:p w14:paraId="0CBF529A" w14:textId="77777777" w:rsidR="00E51CDD" w:rsidRPr="00E51CDD" w:rsidRDefault="00E51CDD" w:rsidP="00E51CDD">
            <w:pPr>
              <w:widowControl w:val="0"/>
              <w:rPr>
                <w:sz w:val="20"/>
                <w:lang w:eastAsia="zh-CN"/>
              </w:rPr>
            </w:pPr>
            <w:r w:rsidRPr="00E51CDD">
              <w:rPr>
                <w:sz w:val="20"/>
                <w:lang w:eastAsia="zh-CN"/>
              </w:rPr>
              <w:t>56.6</w:t>
            </w:r>
          </w:p>
        </w:tc>
      </w:tr>
      <w:tr w:rsidR="00E51CDD" w:rsidRPr="00E51CDD" w14:paraId="184943D1" w14:textId="77777777" w:rsidTr="009938D9">
        <w:trPr>
          <w:cantSplit/>
        </w:trPr>
        <w:tc>
          <w:tcPr>
            <w:tcW w:w="5000" w:type="pct"/>
            <w:gridSpan w:val="7"/>
            <w:tcBorders>
              <w:top w:val="single" w:sz="6" w:space="0" w:color="auto"/>
              <w:left w:val="single" w:sz="4" w:space="0" w:color="auto"/>
              <w:bottom w:val="single" w:sz="6" w:space="0" w:color="auto"/>
              <w:right w:val="single" w:sz="4" w:space="0" w:color="auto"/>
            </w:tcBorders>
            <w:vAlign w:val="center"/>
            <w:hideMark/>
          </w:tcPr>
          <w:p w14:paraId="38C9297C" w14:textId="77777777" w:rsidR="00E51CDD" w:rsidRPr="00E51CDD" w:rsidRDefault="00E51CDD" w:rsidP="00E51CDD">
            <w:pPr>
              <w:widowControl w:val="0"/>
              <w:spacing w:before="40" w:after="40"/>
              <w:rPr>
                <w:b/>
                <w:bCs/>
                <w:sz w:val="20"/>
                <w:szCs w:val="20"/>
                <w:lang w:eastAsia="zh-CN"/>
              </w:rPr>
            </w:pPr>
            <w:r w:rsidRPr="00E51CDD">
              <w:rPr>
                <w:b/>
                <w:bCs/>
                <w:sz w:val="20"/>
                <w:szCs w:val="20"/>
                <w:lang w:eastAsia="zh-CN"/>
              </w:rPr>
              <w:t>Endpoints [mg/kg dry soil]</w:t>
            </w:r>
          </w:p>
        </w:tc>
      </w:tr>
      <w:tr w:rsidR="00E51CDD" w:rsidRPr="00E51CDD" w14:paraId="14F0387D" w14:textId="77777777" w:rsidTr="009938D9">
        <w:trPr>
          <w:cantSplit/>
        </w:trPr>
        <w:tc>
          <w:tcPr>
            <w:tcW w:w="1422" w:type="pct"/>
            <w:tcBorders>
              <w:top w:val="single" w:sz="6" w:space="0" w:color="auto"/>
              <w:left w:val="single" w:sz="4" w:space="0" w:color="auto"/>
              <w:bottom w:val="single" w:sz="4" w:space="0" w:color="auto"/>
              <w:right w:val="single" w:sz="6" w:space="0" w:color="auto"/>
            </w:tcBorders>
            <w:vAlign w:val="center"/>
            <w:hideMark/>
          </w:tcPr>
          <w:p w14:paraId="4DBB68EA" w14:textId="77777777" w:rsidR="00E51CDD" w:rsidRPr="00E51CDD" w:rsidRDefault="00E51CDD" w:rsidP="00E51CDD">
            <w:pPr>
              <w:widowControl w:val="0"/>
              <w:spacing w:before="40" w:after="40"/>
              <w:rPr>
                <w:sz w:val="20"/>
                <w:szCs w:val="20"/>
                <w:lang w:eastAsia="zh-CN"/>
              </w:rPr>
            </w:pPr>
            <w:r w:rsidRPr="00E51CDD">
              <w:rPr>
                <w:sz w:val="20"/>
                <w:szCs w:val="20"/>
                <w:lang w:eastAsia="zh-CN"/>
              </w:rPr>
              <w:t>NOEC (day 28)</w:t>
            </w:r>
            <w:r w:rsidRPr="00E51CDD">
              <w:rPr>
                <w:sz w:val="20"/>
                <w:szCs w:val="20"/>
                <w:lang w:eastAsia="zh-CN"/>
              </w:rPr>
              <w:br/>
              <w:t>(mortality and weight)</w:t>
            </w:r>
          </w:p>
        </w:tc>
        <w:tc>
          <w:tcPr>
            <w:tcW w:w="3578" w:type="pct"/>
            <w:gridSpan w:val="6"/>
            <w:tcBorders>
              <w:top w:val="single" w:sz="6" w:space="0" w:color="auto"/>
              <w:left w:val="single" w:sz="6" w:space="0" w:color="auto"/>
              <w:bottom w:val="single" w:sz="4" w:space="0" w:color="auto"/>
              <w:right w:val="single" w:sz="4" w:space="0" w:color="auto"/>
            </w:tcBorders>
            <w:vAlign w:val="center"/>
            <w:hideMark/>
          </w:tcPr>
          <w:p w14:paraId="29B4B77E" w14:textId="77777777" w:rsidR="00E51CDD" w:rsidRPr="00E51CDD" w:rsidRDefault="00E51CDD" w:rsidP="00E51CDD">
            <w:pPr>
              <w:widowControl w:val="0"/>
              <w:rPr>
                <w:sz w:val="20"/>
                <w:lang w:eastAsia="zh-CN"/>
              </w:rPr>
            </w:pPr>
            <w:r w:rsidRPr="00E51CDD">
              <w:rPr>
                <w:sz w:val="20"/>
                <w:lang w:eastAsia="zh-CN"/>
              </w:rPr>
              <w:t>≥ 196</w:t>
            </w:r>
          </w:p>
        </w:tc>
      </w:tr>
      <w:tr w:rsidR="00E51CDD" w:rsidRPr="00E51CDD" w14:paraId="1B63C9BD" w14:textId="77777777" w:rsidTr="009938D9">
        <w:trPr>
          <w:cantSplit/>
        </w:trPr>
        <w:tc>
          <w:tcPr>
            <w:tcW w:w="1422" w:type="pct"/>
            <w:tcBorders>
              <w:top w:val="single" w:sz="4" w:space="0" w:color="auto"/>
              <w:left w:val="single" w:sz="4" w:space="0" w:color="auto"/>
              <w:bottom w:val="single" w:sz="4" w:space="0" w:color="auto"/>
              <w:right w:val="single" w:sz="6" w:space="0" w:color="auto"/>
            </w:tcBorders>
            <w:vAlign w:val="center"/>
            <w:hideMark/>
          </w:tcPr>
          <w:p w14:paraId="5EB3D379" w14:textId="77777777" w:rsidR="00E51CDD" w:rsidRPr="00E51CDD" w:rsidRDefault="00E51CDD" w:rsidP="00E51CDD">
            <w:pPr>
              <w:widowControl w:val="0"/>
              <w:spacing w:before="40" w:after="40"/>
              <w:rPr>
                <w:sz w:val="20"/>
                <w:szCs w:val="20"/>
                <w:lang w:eastAsia="zh-CN"/>
              </w:rPr>
            </w:pPr>
            <w:r w:rsidRPr="00E51CDD">
              <w:rPr>
                <w:sz w:val="20"/>
                <w:szCs w:val="20"/>
                <w:lang w:eastAsia="zh-CN"/>
              </w:rPr>
              <w:t>NOEC (day 56) (reproduction)</w:t>
            </w:r>
          </w:p>
        </w:tc>
        <w:tc>
          <w:tcPr>
            <w:tcW w:w="3578" w:type="pct"/>
            <w:gridSpan w:val="6"/>
            <w:tcBorders>
              <w:top w:val="single" w:sz="4" w:space="0" w:color="auto"/>
              <w:left w:val="single" w:sz="6" w:space="0" w:color="auto"/>
              <w:bottom w:val="single" w:sz="4" w:space="0" w:color="auto"/>
              <w:right w:val="single" w:sz="4" w:space="0" w:color="auto"/>
            </w:tcBorders>
            <w:vAlign w:val="center"/>
            <w:hideMark/>
          </w:tcPr>
          <w:p w14:paraId="33C4AE69" w14:textId="77777777" w:rsidR="00E51CDD" w:rsidRPr="00E51CDD" w:rsidRDefault="00E51CDD" w:rsidP="00E51CDD">
            <w:pPr>
              <w:widowControl w:val="0"/>
              <w:rPr>
                <w:sz w:val="20"/>
                <w:lang w:eastAsia="zh-CN"/>
              </w:rPr>
            </w:pPr>
            <w:r w:rsidRPr="00E51CDD">
              <w:rPr>
                <w:sz w:val="20"/>
                <w:lang w:eastAsia="zh-CN"/>
              </w:rPr>
              <w:t>122</w:t>
            </w:r>
          </w:p>
        </w:tc>
      </w:tr>
    </w:tbl>
    <w:p w14:paraId="5E3F1819" w14:textId="77777777" w:rsidR="00E51CDD" w:rsidRPr="00E51CDD" w:rsidRDefault="00E51CDD" w:rsidP="00E51CDD">
      <w:pPr>
        <w:widowControl w:val="0"/>
        <w:tabs>
          <w:tab w:val="left" w:pos="284"/>
        </w:tabs>
        <w:rPr>
          <w:sz w:val="18"/>
          <w:szCs w:val="18"/>
        </w:rPr>
      </w:pPr>
      <w:r w:rsidRPr="00E51CDD">
        <w:rPr>
          <w:sz w:val="18"/>
          <w:szCs w:val="18"/>
        </w:rPr>
        <w:t>*</w:t>
      </w:r>
      <w:r w:rsidRPr="00E51CDD">
        <w:rPr>
          <w:sz w:val="18"/>
          <w:szCs w:val="18"/>
        </w:rPr>
        <w:tab/>
        <w:t>Statistically significantly different to control (Williams t-test, two-sided, α = 0.05).</w:t>
      </w:r>
    </w:p>
    <w:p w14:paraId="358C5904" w14:textId="77777777" w:rsidR="00E51CDD" w:rsidRPr="00E51CDD" w:rsidRDefault="00E51CDD" w:rsidP="00E51CDD">
      <w:pPr>
        <w:widowControl w:val="0"/>
      </w:pPr>
    </w:p>
    <w:p w14:paraId="643FB170" w14:textId="77777777" w:rsidR="00E51CDD" w:rsidRPr="00E51CDD" w:rsidRDefault="00E51CDD" w:rsidP="00E51CDD">
      <w:pPr>
        <w:widowControl w:val="0"/>
      </w:pPr>
    </w:p>
    <w:p w14:paraId="7A86FE5C" w14:textId="77777777" w:rsidR="00E51CDD" w:rsidRPr="00E51CDD" w:rsidRDefault="00E51CDD" w:rsidP="00E51CDD">
      <w:pPr>
        <w:widowControl w:val="0"/>
        <w:jc w:val="both"/>
      </w:pPr>
      <w:r w:rsidRPr="00E51CDD">
        <w:t xml:space="preserve">In a separate study the reference item Luxan Carbendazim 500 FC had a significant effect reproduction of </w:t>
      </w:r>
      <w:r w:rsidRPr="00E51CDD">
        <w:rPr>
          <w:i/>
          <w:iCs/>
        </w:rPr>
        <w:t xml:space="preserve">Eisenia fetida </w:t>
      </w:r>
      <w:r w:rsidRPr="00E51CDD">
        <w:rPr>
          <w:iCs/>
        </w:rPr>
        <w:t>at a concentration of 1.30 mg carbendazim/kg dry soil</w:t>
      </w:r>
      <w:r w:rsidRPr="00E51CDD">
        <w:t>. The EC</w:t>
      </w:r>
      <w:r w:rsidRPr="00E51CDD">
        <w:rPr>
          <w:sz w:val="14"/>
          <w:szCs w:val="14"/>
        </w:rPr>
        <w:t xml:space="preserve">50 </w:t>
      </w:r>
      <w:r w:rsidRPr="00E51CDD">
        <w:t>for reproduction was calculated as 1.32 mg carbendazim/kg dry soil.</w:t>
      </w:r>
    </w:p>
    <w:p w14:paraId="27D9061C" w14:textId="77777777" w:rsidR="00E51CDD" w:rsidRPr="00E51CDD" w:rsidRDefault="00E51CDD" w:rsidP="00E51CDD">
      <w:pPr>
        <w:widowControl w:val="0"/>
        <w:jc w:val="both"/>
      </w:pPr>
    </w:p>
    <w:p w14:paraId="4BCC2F39" w14:textId="77777777" w:rsidR="00E51CDD" w:rsidRPr="00E51CDD" w:rsidRDefault="00E51CDD" w:rsidP="00E51CDD">
      <w:pPr>
        <w:widowControl w:val="0"/>
        <w:jc w:val="both"/>
      </w:pPr>
    </w:p>
    <w:p w14:paraId="733C6962" w14:textId="77777777" w:rsidR="00E51CDD" w:rsidRPr="00E51CDD" w:rsidRDefault="00E51CDD" w:rsidP="00E51CDD">
      <w:pPr>
        <w:jc w:val="both"/>
        <w:rPr>
          <w:u w:val="single"/>
        </w:rPr>
      </w:pPr>
      <w:bookmarkStart w:id="1261" w:name="_Hlk31008846"/>
      <w:r w:rsidRPr="00E51CDD">
        <w:rPr>
          <w:u w:val="single"/>
        </w:rPr>
        <w:t>Validity criteria:</w:t>
      </w:r>
    </w:p>
    <w:p w14:paraId="6FA3BFF9" w14:textId="77777777" w:rsidR="00E51CDD" w:rsidRPr="00E51CDD" w:rsidRDefault="00E51CDD" w:rsidP="00E51CDD">
      <w:pPr>
        <w:jc w:val="both"/>
      </w:pPr>
    </w:p>
    <w:tbl>
      <w:tblPr>
        <w:tblStyle w:val="Tabela-Siatka"/>
        <w:tblW w:w="5000" w:type="pct"/>
        <w:tblLook w:val="04A0" w:firstRow="1" w:lastRow="0" w:firstColumn="1" w:lastColumn="0" w:noHBand="0" w:noVBand="1"/>
      </w:tblPr>
      <w:tblGrid>
        <w:gridCol w:w="6866"/>
        <w:gridCol w:w="2478"/>
      </w:tblGrid>
      <w:tr w:rsidR="00E51CDD" w:rsidRPr="00E51CDD" w14:paraId="69D58517"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78089888" w14:textId="77777777" w:rsidR="00E51CDD" w:rsidRPr="00E51CDD" w:rsidRDefault="00E51CDD" w:rsidP="00E51CDD">
            <w:pPr>
              <w:widowControl w:val="0"/>
              <w:jc w:val="left"/>
              <w:rPr>
                <w:b/>
                <w:sz w:val="20"/>
                <w:szCs w:val="20"/>
              </w:rPr>
            </w:pPr>
            <w:r w:rsidRPr="00E51CDD">
              <w:rPr>
                <w:b/>
                <w:sz w:val="20"/>
                <w:szCs w:val="20"/>
              </w:rPr>
              <w:t>Validity criteria according to OECD 222 (2016)</w:t>
            </w:r>
          </w:p>
        </w:tc>
        <w:tc>
          <w:tcPr>
            <w:tcW w:w="1326" w:type="pct"/>
            <w:tcBorders>
              <w:top w:val="single" w:sz="4" w:space="0" w:color="auto"/>
              <w:left w:val="single" w:sz="4" w:space="0" w:color="auto"/>
              <w:bottom w:val="single" w:sz="4" w:space="0" w:color="auto"/>
              <w:right w:val="single" w:sz="4" w:space="0" w:color="auto"/>
            </w:tcBorders>
            <w:vAlign w:val="center"/>
            <w:hideMark/>
          </w:tcPr>
          <w:p w14:paraId="7CD09AF4" w14:textId="77777777" w:rsidR="00E51CDD" w:rsidRPr="00E51CDD" w:rsidRDefault="00E51CDD" w:rsidP="00E51CDD">
            <w:pPr>
              <w:widowControl w:val="0"/>
              <w:jc w:val="left"/>
              <w:rPr>
                <w:b/>
                <w:sz w:val="20"/>
                <w:szCs w:val="20"/>
              </w:rPr>
            </w:pPr>
            <w:r w:rsidRPr="00E51CDD">
              <w:rPr>
                <w:b/>
                <w:sz w:val="20"/>
                <w:szCs w:val="20"/>
              </w:rPr>
              <w:t>Obtained in this study</w:t>
            </w:r>
          </w:p>
        </w:tc>
      </w:tr>
      <w:tr w:rsidR="00E51CDD" w:rsidRPr="00E51CDD" w14:paraId="7ED159CA"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3F5FA656" w14:textId="77777777" w:rsidR="00E51CDD" w:rsidRPr="00E51CDD" w:rsidRDefault="00E51CDD" w:rsidP="00E51CDD">
            <w:pPr>
              <w:widowControl w:val="0"/>
              <w:jc w:val="left"/>
              <w:rPr>
                <w:sz w:val="20"/>
                <w:szCs w:val="20"/>
              </w:rPr>
            </w:pPr>
            <w:r w:rsidRPr="00E51CDD">
              <w:rPr>
                <w:sz w:val="20"/>
                <w:szCs w:val="20"/>
              </w:rPr>
              <w:t>Adult mortality in the control ≤ 10%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537D090F" w14:textId="77777777" w:rsidR="00E51CDD" w:rsidRPr="00E51CDD" w:rsidRDefault="00E51CDD" w:rsidP="00E51CDD">
            <w:pPr>
              <w:widowControl w:val="0"/>
              <w:jc w:val="left"/>
              <w:rPr>
                <w:sz w:val="20"/>
                <w:szCs w:val="20"/>
              </w:rPr>
            </w:pPr>
            <w:r w:rsidRPr="00E51CDD">
              <w:rPr>
                <w:sz w:val="20"/>
                <w:szCs w:val="20"/>
              </w:rPr>
              <w:t>0%</w:t>
            </w:r>
          </w:p>
        </w:tc>
      </w:tr>
      <w:tr w:rsidR="00E51CDD" w:rsidRPr="00E51CDD" w14:paraId="4B0ED69F"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406E9651" w14:textId="77777777" w:rsidR="00E51CDD" w:rsidRPr="00E51CDD" w:rsidRDefault="00E51CDD" w:rsidP="00E51CDD">
            <w:pPr>
              <w:widowControl w:val="0"/>
              <w:jc w:val="left"/>
              <w:rPr>
                <w:sz w:val="20"/>
                <w:szCs w:val="20"/>
              </w:rPr>
            </w:pPr>
            <w:r w:rsidRPr="00E51CDD">
              <w:rPr>
                <w:sz w:val="20"/>
                <w:szCs w:val="20"/>
              </w:rPr>
              <w:t>Number of juveniles per control replicate ≥ 30 (with 10 adults per replicate)</w:t>
            </w:r>
          </w:p>
        </w:tc>
        <w:tc>
          <w:tcPr>
            <w:tcW w:w="1326" w:type="pct"/>
            <w:tcBorders>
              <w:top w:val="single" w:sz="4" w:space="0" w:color="auto"/>
              <w:left w:val="single" w:sz="4" w:space="0" w:color="auto"/>
              <w:bottom w:val="single" w:sz="4" w:space="0" w:color="auto"/>
              <w:right w:val="single" w:sz="4" w:space="0" w:color="auto"/>
            </w:tcBorders>
            <w:vAlign w:val="center"/>
            <w:hideMark/>
          </w:tcPr>
          <w:p w14:paraId="6D8965AF" w14:textId="77777777" w:rsidR="00E51CDD" w:rsidRPr="00E51CDD" w:rsidRDefault="00E51CDD" w:rsidP="00E51CDD">
            <w:pPr>
              <w:widowControl w:val="0"/>
              <w:jc w:val="left"/>
              <w:rPr>
                <w:sz w:val="20"/>
                <w:szCs w:val="20"/>
              </w:rPr>
            </w:pPr>
            <w:r w:rsidRPr="00E51CDD">
              <w:rPr>
                <w:sz w:val="20"/>
                <w:szCs w:val="20"/>
              </w:rPr>
              <w:t>187 to 248</w:t>
            </w:r>
          </w:p>
        </w:tc>
      </w:tr>
      <w:tr w:rsidR="00E51CDD" w:rsidRPr="00E51CDD" w14:paraId="3044D6BA"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134C68E8" w14:textId="77777777" w:rsidR="00E51CDD" w:rsidRPr="00E51CDD" w:rsidRDefault="00E51CDD" w:rsidP="00E51CDD">
            <w:pPr>
              <w:widowControl w:val="0"/>
              <w:jc w:val="left"/>
              <w:rPr>
                <w:sz w:val="20"/>
                <w:szCs w:val="20"/>
              </w:rPr>
            </w:pPr>
            <w:r w:rsidRPr="00E51CDD">
              <w:rPr>
                <w:sz w:val="20"/>
                <w:szCs w:val="20"/>
              </w:rPr>
              <w:t>Coefficient of variation of reproduction in the control ≤ 30%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75614945" w14:textId="77777777" w:rsidR="00E51CDD" w:rsidRPr="00E51CDD" w:rsidRDefault="00E51CDD" w:rsidP="00E51CDD">
            <w:pPr>
              <w:widowControl w:val="0"/>
              <w:jc w:val="left"/>
              <w:rPr>
                <w:sz w:val="20"/>
                <w:szCs w:val="20"/>
              </w:rPr>
            </w:pPr>
            <w:r w:rsidRPr="00E51CDD">
              <w:rPr>
                <w:sz w:val="20"/>
                <w:szCs w:val="20"/>
              </w:rPr>
              <w:t>9.5%</w:t>
            </w:r>
          </w:p>
        </w:tc>
      </w:tr>
    </w:tbl>
    <w:p w14:paraId="5BEE5E62" w14:textId="77777777" w:rsidR="00E51CDD" w:rsidRPr="00E51CDD" w:rsidRDefault="00E51CDD" w:rsidP="00E51CDD"/>
    <w:p w14:paraId="62A7B402" w14:textId="77777777" w:rsidR="00E51CDD" w:rsidRPr="00E51CDD" w:rsidRDefault="00E51CDD" w:rsidP="00E51CDD"/>
    <w:p w14:paraId="56B1ABD5" w14:textId="77777777" w:rsidR="00E51CDD" w:rsidRPr="00E51CDD" w:rsidRDefault="00E51CDD" w:rsidP="00E51CDD">
      <w:pPr>
        <w:jc w:val="both"/>
      </w:pPr>
      <w:r w:rsidRPr="00E51CDD">
        <w:t>All validity criteria were met.</w:t>
      </w:r>
    </w:p>
    <w:bookmarkEnd w:id="1261"/>
    <w:p w14:paraId="7919F4EC" w14:textId="77777777" w:rsidR="00E51CDD" w:rsidRPr="00E51CDD" w:rsidRDefault="00E51CDD" w:rsidP="00E51CDD">
      <w:pPr>
        <w:widowControl w:val="0"/>
      </w:pPr>
    </w:p>
    <w:p w14:paraId="73D60D2C" w14:textId="77777777" w:rsidR="00E51CDD" w:rsidRPr="00E51CDD" w:rsidRDefault="00E51CDD" w:rsidP="00E51CDD">
      <w:pPr>
        <w:widowControl w:val="0"/>
      </w:pPr>
    </w:p>
    <w:p w14:paraId="75C45288" w14:textId="77777777" w:rsidR="00E51CDD" w:rsidRPr="00E51CDD" w:rsidRDefault="00E51CDD" w:rsidP="00E51CDD">
      <w:pPr>
        <w:widowControl w:val="0"/>
        <w:tabs>
          <w:tab w:val="left" w:pos="425"/>
          <w:tab w:val="left" w:pos="850"/>
        </w:tabs>
        <w:ind w:left="2835" w:hanging="2835"/>
        <w:rPr>
          <w:b/>
          <w:bCs/>
        </w:rPr>
      </w:pPr>
      <w:r w:rsidRPr="00E51CDD">
        <w:rPr>
          <w:b/>
          <w:bCs/>
        </w:rPr>
        <w:t>III.</w:t>
      </w:r>
      <w:r w:rsidRPr="00E51CDD">
        <w:rPr>
          <w:b/>
          <w:bCs/>
        </w:rPr>
        <w:tab/>
        <w:t>CONCLUSION</w:t>
      </w:r>
    </w:p>
    <w:p w14:paraId="079F2DDC" w14:textId="77777777" w:rsidR="00E51CDD" w:rsidRPr="00E51CDD" w:rsidRDefault="00E51CDD" w:rsidP="00E51CDD">
      <w:pPr>
        <w:widowControl w:val="0"/>
        <w:jc w:val="both"/>
        <w:rPr>
          <w:rFonts w:eastAsiaTheme="minorEastAsia"/>
          <w:bCs/>
          <w:sz w:val="24"/>
          <w:szCs w:val="24"/>
          <w:lang w:eastAsia="zh-CN"/>
        </w:rPr>
      </w:pPr>
    </w:p>
    <w:p w14:paraId="00AF0D8B" w14:textId="77777777" w:rsidR="00E51CDD" w:rsidRPr="00E51CDD" w:rsidRDefault="00E51CDD" w:rsidP="00E51CDD">
      <w:pPr>
        <w:widowControl w:val="0"/>
        <w:jc w:val="both"/>
        <w:rPr>
          <w:b/>
          <w:bCs/>
        </w:rPr>
      </w:pPr>
      <w:r w:rsidRPr="00E51CDD">
        <w:rPr>
          <w:rFonts w:eastAsiaTheme="minorEastAsia"/>
          <w:b/>
          <w:bCs/>
          <w:lang w:eastAsia="zh-CN"/>
        </w:rPr>
        <w:t xml:space="preserve">In a 56-day earthworm reproduction study with BAS 700 F, no adverse effects on survival and biomass development could be determined at concentrations up to and including 196 mg/kg dry soil. The NOEC for mortality, biomass and feeding activity was determined to be equal or greater than 196 mg BAS 700 F/kg dry soil, the highest concentration tested. </w:t>
      </w:r>
      <w:r w:rsidRPr="00E51CDD">
        <w:rPr>
          <w:b/>
          <w:bCs/>
        </w:rPr>
        <w:t>No adverse effects on reproduction could be determined at concentrations up to and including 122 mg BAS 700 F/kg dry soil. The NOEC for reproduction was equivalent to 122 mg BAS 700 F/kg dry soil.</w:t>
      </w:r>
    </w:p>
    <w:p w14:paraId="56A73EF3" w14:textId="77777777" w:rsidR="00E51CDD" w:rsidRPr="00E51CDD" w:rsidRDefault="00E51CDD" w:rsidP="00E51CDD">
      <w:pPr>
        <w:widowControl w:val="0"/>
        <w:jc w:val="both"/>
      </w:pPr>
      <w:r w:rsidRPr="00E51CDD">
        <w:br w:type="page"/>
      </w:r>
    </w:p>
    <w:p w14:paraId="6926C59F" w14:textId="77777777" w:rsidR="00E51CDD" w:rsidRPr="00E51CDD" w:rsidRDefault="00E51CDD" w:rsidP="00B31542">
      <w:pPr>
        <w:pStyle w:val="RepAppendix5"/>
      </w:pPr>
      <w:r w:rsidRPr="00E51CDD">
        <w:lastRenderedPageBreak/>
        <w:t>Study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rsidRPr="00E51CDD" w14:paraId="52C31B4A" w14:textId="77777777" w:rsidTr="00144797">
        <w:trPr>
          <w:trHeight w:val="915"/>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7845CC" w14:textId="77777777" w:rsidR="00E51CDD" w:rsidRPr="00E51CDD" w:rsidRDefault="00E51CDD" w:rsidP="00E51CDD">
            <w:pPr>
              <w:widowControl w:val="0"/>
              <w:jc w:val="both"/>
              <w:rPr>
                <w:rFonts w:eastAsia="Batang"/>
                <w:lang w:val="en-GB"/>
              </w:rPr>
            </w:pPr>
            <w:r w:rsidRPr="00E51CDD">
              <w:rPr>
                <w:lang w:val="en-GB"/>
              </w:rP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1A5F34" w14:textId="3EB691F2" w:rsidR="00E51CDD" w:rsidRPr="00E51CDD" w:rsidRDefault="000C62D5" w:rsidP="00E51CDD">
            <w:pPr>
              <w:widowControl w:val="0"/>
              <w:ind w:left="85"/>
              <w:jc w:val="both"/>
              <w:rPr>
                <w:rFonts w:eastAsia="Batang"/>
                <w:lang w:val="en-GB"/>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21FAD813" w14:textId="77777777" w:rsidR="00E51CDD" w:rsidRP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rsidRPr="00E51CDD" w14:paraId="4738541D" w14:textId="77777777" w:rsidTr="009938D9">
        <w:trPr>
          <w:gridAfter w:val="1"/>
          <w:wAfter w:w="9" w:type="pct"/>
        </w:trPr>
        <w:tc>
          <w:tcPr>
            <w:tcW w:w="1340" w:type="pct"/>
            <w:hideMark/>
          </w:tcPr>
          <w:p w14:paraId="2F4023D9" w14:textId="77777777" w:rsidR="00E51CDD" w:rsidRPr="00E51CDD" w:rsidRDefault="00E51CDD" w:rsidP="00E51CDD">
            <w:pPr>
              <w:widowControl w:val="0"/>
              <w:jc w:val="both"/>
              <w:rPr>
                <w:lang w:val="de-DE"/>
              </w:rPr>
            </w:pPr>
            <w:r w:rsidRPr="00E51CDD">
              <w:rPr>
                <w:lang w:val="en-GB"/>
              </w:rPr>
              <w:t>Reference:</w:t>
            </w:r>
          </w:p>
        </w:tc>
        <w:tc>
          <w:tcPr>
            <w:tcW w:w="3651" w:type="pct"/>
            <w:hideMark/>
          </w:tcPr>
          <w:p w14:paraId="4AAC1898" w14:textId="77777777" w:rsidR="00E51CDD" w:rsidRPr="00E51CDD" w:rsidRDefault="00E51CDD" w:rsidP="00E51CDD">
            <w:pPr>
              <w:widowControl w:val="0"/>
              <w:jc w:val="both"/>
              <w:rPr>
                <w:lang w:val="en-GB"/>
              </w:rPr>
            </w:pPr>
            <w:r w:rsidRPr="00E51CDD">
              <w:rPr>
                <w:lang w:val="en-GB"/>
              </w:rPr>
              <w:t>CP 10.4.1.1/2</w:t>
            </w:r>
          </w:p>
        </w:tc>
      </w:tr>
      <w:tr w:rsidR="00E51CDD" w:rsidRPr="00E51CDD" w14:paraId="2B3853ED" w14:textId="77777777" w:rsidTr="009938D9">
        <w:trPr>
          <w:gridAfter w:val="1"/>
          <w:wAfter w:w="9" w:type="pct"/>
        </w:trPr>
        <w:tc>
          <w:tcPr>
            <w:tcW w:w="1340" w:type="pct"/>
            <w:hideMark/>
          </w:tcPr>
          <w:p w14:paraId="56FFAEA8" w14:textId="77777777" w:rsidR="00E51CDD" w:rsidRPr="00E51CDD" w:rsidRDefault="00E51CDD" w:rsidP="00E51CDD">
            <w:pPr>
              <w:widowControl w:val="0"/>
              <w:spacing w:after="120"/>
              <w:jc w:val="both"/>
              <w:rPr>
                <w:lang w:val="en-GB"/>
              </w:rPr>
            </w:pPr>
            <w:r w:rsidRPr="00E51CDD">
              <w:rPr>
                <w:lang w:val="en-GB"/>
              </w:rPr>
              <w:t>Report</w:t>
            </w:r>
          </w:p>
        </w:tc>
        <w:tc>
          <w:tcPr>
            <w:tcW w:w="3651" w:type="pct"/>
            <w:hideMark/>
          </w:tcPr>
          <w:p w14:paraId="29DC3FDE" w14:textId="77777777" w:rsidR="00E51CDD" w:rsidRPr="00E51CDD" w:rsidRDefault="00E51CDD" w:rsidP="00E51CDD">
            <w:pPr>
              <w:widowControl w:val="0"/>
              <w:spacing w:after="120"/>
              <w:jc w:val="both"/>
            </w:pPr>
            <w:r w:rsidRPr="00E51CDD">
              <w:t>Effects of BAS 736 00 F on the reproduction of the earthworm Eisenia andrei in artificial soil,</w:t>
            </w:r>
          </w:p>
          <w:p w14:paraId="018B0384" w14:textId="77777777" w:rsidR="00E51CDD" w:rsidRPr="00E51CDD" w:rsidRDefault="00E51CDD" w:rsidP="00E51CDD">
            <w:pPr>
              <w:widowControl w:val="0"/>
              <w:spacing w:after="120"/>
              <w:jc w:val="both"/>
            </w:pPr>
            <w:r w:rsidRPr="00E51CDD">
              <w:t>Friedrich, S., 2019</w:t>
            </w:r>
          </w:p>
          <w:p w14:paraId="4D128697" w14:textId="77777777" w:rsidR="00E51CDD" w:rsidRPr="00E51CDD" w:rsidRDefault="00E51CDD" w:rsidP="00E51CDD">
            <w:pPr>
              <w:widowControl w:val="0"/>
              <w:spacing w:after="120"/>
              <w:jc w:val="both"/>
            </w:pPr>
            <w:r w:rsidRPr="00E51CDD">
              <w:t>report No 849650, 1948TEC0047</w:t>
            </w:r>
          </w:p>
          <w:p w14:paraId="5AC22C11" w14:textId="77777777" w:rsidR="00E51CDD" w:rsidRPr="00E51CDD" w:rsidRDefault="00E51CDD" w:rsidP="00E51CDD">
            <w:pPr>
              <w:widowControl w:val="0"/>
              <w:spacing w:after="120"/>
              <w:jc w:val="both"/>
              <w:rPr>
                <w:lang w:val="en-GB"/>
              </w:rPr>
            </w:pPr>
            <w:r w:rsidRPr="00E51CDD">
              <w:t>2019/1061096</w:t>
            </w:r>
          </w:p>
          <w:p w14:paraId="66216BFA" w14:textId="77777777" w:rsidR="00E51CDD" w:rsidRPr="00E51CDD" w:rsidRDefault="00E51CDD" w:rsidP="00E51CDD">
            <w:pPr>
              <w:widowControl w:val="0"/>
              <w:jc w:val="both"/>
              <w:rPr>
                <w:lang w:val="en-GB"/>
              </w:rPr>
            </w:pPr>
            <w:r w:rsidRPr="00E51CDD">
              <w:rPr>
                <w:lang w:val="en-GB"/>
              </w:rPr>
              <w:t>Authority registration No</w:t>
            </w:r>
          </w:p>
        </w:tc>
      </w:tr>
      <w:tr w:rsidR="00E51CDD" w:rsidRPr="00E51CDD" w14:paraId="0414D40B" w14:textId="77777777" w:rsidTr="009938D9">
        <w:trPr>
          <w:gridAfter w:val="1"/>
          <w:wAfter w:w="9" w:type="pct"/>
        </w:trPr>
        <w:tc>
          <w:tcPr>
            <w:tcW w:w="1340" w:type="pct"/>
            <w:hideMark/>
          </w:tcPr>
          <w:p w14:paraId="2AF87979" w14:textId="77777777" w:rsidR="00E51CDD" w:rsidRPr="00E51CDD" w:rsidRDefault="00E51CDD" w:rsidP="00E51CDD">
            <w:pPr>
              <w:widowControl w:val="0"/>
              <w:jc w:val="both"/>
              <w:rPr>
                <w:lang w:val="en-GB"/>
              </w:rPr>
            </w:pPr>
            <w:r w:rsidRPr="00E51CDD">
              <w:rPr>
                <w:lang w:val="en-GB"/>
              </w:rPr>
              <w:t>Guideline(s):</w:t>
            </w:r>
          </w:p>
        </w:tc>
        <w:tc>
          <w:tcPr>
            <w:tcW w:w="3651" w:type="pct"/>
            <w:hideMark/>
          </w:tcPr>
          <w:p w14:paraId="1958F0A6" w14:textId="77777777" w:rsidR="00E51CDD" w:rsidRPr="00E51CDD" w:rsidRDefault="00E51CDD" w:rsidP="00E51CDD">
            <w:pPr>
              <w:widowControl w:val="0"/>
              <w:spacing w:after="120"/>
              <w:jc w:val="both"/>
              <w:rPr>
                <w:lang w:val="en-GB"/>
              </w:rPr>
            </w:pPr>
            <w:r w:rsidRPr="00E51CDD">
              <w:t>OECD 222 (2016)</w:t>
            </w:r>
          </w:p>
        </w:tc>
      </w:tr>
      <w:tr w:rsidR="00E51CDD" w:rsidRPr="00E51CDD" w14:paraId="2D114A82" w14:textId="77777777" w:rsidTr="009938D9">
        <w:trPr>
          <w:gridAfter w:val="1"/>
          <w:wAfter w:w="9" w:type="pct"/>
        </w:trPr>
        <w:tc>
          <w:tcPr>
            <w:tcW w:w="1340" w:type="pct"/>
            <w:hideMark/>
          </w:tcPr>
          <w:p w14:paraId="2E176544" w14:textId="77777777" w:rsidR="00E51CDD" w:rsidRPr="00E51CDD" w:rsidRDefault="00E51CDD" w:rsidP="00E51CDD">
            <w:pPr>
              <w:widowControl w:val="0"/>
              <w:jc w:val="both"/>
              <w:rPr>
                <w:lang w:val="en-GB"/>
              </w:rPr>
            </w:pPr>
            <w:r w:rsidRPr="00E51CDD">
              <w:rPr>
                <w:lang w:val="en-GB"/>
              </w:rPr>
              <w:t>Deviations:</w:t>
            </w:r>
          </w:p>
        </w:tc>
        <w:tc>
          <w:tcPr>
            <w:tcW w:w="3651" w:type="pct"/>
            <w:hideMark/>
          </w:tcPr>
          <w:p w14:paraId="5294AF2E" w14:textId="77777777" w:rsidR="00E51CDD" w:rsidRPr="00E51CDD" w:rsidRDefault="00E51CDD" w:rsidP="00E51CDD">
            <w:pPr>
              <w:widowControl w:val="0"/>
              <w:spacing w:after="120"/>
              <w:jc w:val="both"/>
              <w:rPr>
                <w:lang w:val="en-GB"/>
              </w:rPr>
            </w:pPr>
            <w:r w:rsidRPr="00E51CDD">
              <w:rPr>
                <w:lang w:val="en-GB"/>
              </w:rPr>
              <w:t>No</w:t>
            </w:r>
          </w:p>
        </w:tc>
      </w:tr>
      <w:tr w:rsidR="00E51CDD" w:rsidRPr="00662F32" w14:paraId="24588921" w14:textId="77777777" w:rsidTr="009938D9">
        <w:tc>
          <w:tcPr>
            <w:tcW w:w="1340" w:type="pct"/>
            <w:hideMark/>
          </w:tcPr>
          <w:p w14:paraId="0B642C0E" w14:textId="77777777" w:rsidR="00E51CDD" w:rsidRPr="00E51CDD" w:rsidRDefault="00E51CDD" w:rsidP="00E51CDD">
            <w:pPr>
              <w:widowControl w:val="0"/>
              <w:jc w:val="both"/>
              <w:rPr>
                <w:lang w:val="en-GB"/>
              </w:rPr>
            </w:pPr>
            <w:r w:rsidRPr="00E51CDD">
              <w:rPr>
                <w:lang w:val="en-GB"/>
              </w:rPr>
              <w:t>GLP:</w:t>
            </w:r>
          </w:p>
        </w:tc>
        <w:tc>
          <w:tcPr>
            <w:tcW w:w="3660" w:type="pct"/>
            <w:gridSpan w:val="2"/>
            <w:hideMark/>
          </w:tcPr>
          <w:p w14:paraId="1CFACBDC" w14:textId="77777777" w:rsidR="00E51CDD" w:rsidRPr="00E51CDD" w:rsidRDefault="00E51CDD" w:rsidP="00E51CDD">
            <w:pPr>
              <w:tabs>
                <w:tab w:val="left" w:pos="425"/>
                <w:tab w:val="left" w:pos="850"/>
              </w:tabs>
              <w:spacing w:after="120"/>
              <w:ind w:left="1985" w:hanging="1985"/>
              <w:rPr>
                <w:b/>
                <w:lang w:val="de-DE"/>
              </w:rPr>
            </w:pPr>
            <w:r w:rsidRPr="00E51CDD">
              <w:rPr>
                <w:lang w:val="de-DE"/>
              </w:rPr>
              <w:t>yes</w:t>
            </w:r>
          </w:p>
          <w:p w14:paraId="5C6B884B" w14:textId="77777777" w:rsidR="00E51CDD" w:rsidRPr="00E51CDD" w:rsidRDefault="00E51CDD" w:rsidP="00E51CDD">
            <w:pPr>
              <w:widowControl w:val="0"/>
              <w:spacing w:after="120"/>
              <w:rPr>
                <w:lang w:val="de-DE"/>
              </w:rPr>
            </w:pPr>
            <w:r w:rsidRPr="00E51CDD">
              <w:rPr>
                <w:lang w:val="de-DE"/>
              </w:rPr>
              <w:t>(certified by Saechsisches Staatsministerium fuer Umwelt und Landwirtschaft, Dresden, Germany),</w:t>
            </w:r>
          </w:p>
        </w:tc>
      </w:tr>
      <w:tr w:rsidR="00E51CDD" w:rsidRPr="00E51CDD" w14:paraId="3044E247" w14:textId="77777777" w:rsidTr="009938D9">
        <w:trPr>
          <w:gridAfter w:val="1"/>
          <w:wAfter w:w="9" w:type="pct"/>
        </w:trPr>
        <w:tc>
          <w:tcPr>
            <w:tcW w:w="1340" w:type="pct"/>
            <w:hideMark/>
          </w:tcPr>
          <w:p w14:paraId="73916F55" w14:textId="77777777" w:rsidR="00E51CDD" w:rsidRPr="00E51CDD" w:rsidRDefault="00E51CDD" w:rsidP="00E51CDD">
            <w:pPr>
              <w:widowControl w:val="0"/>
              <w:jc w:val="both"/>
              <w:rPr>
                <w:lang w:val="de-DE"/>
              </w:rPr>
            </w:pPr>
            <w:r w:rsidRPr="00E51CDD">
              <w:rPr>
                <w:lang w:val="en-GB"/>
              </w:rPr>
              <w:t>Acceptability:</w:t>
            </w:r>
          </w:p>
        </w:tc>
        <w:tc>
          <w:tcPr>
            <w:tcW w:w="3651" w:type="pct"/>
            <w:hideMark/>
          </w:tcPr>
          <w:p w14:paraId="2D69007F" w14:textId="77777777" w:rsidR="00E51CDD" w:rsidRPr="00E51CDD" w:rsidRDefault="00E51CDD" w:rsidP="00E51CDD">
            <w:pPr>
              <w:widowControl w:val="0"/>
              <w:jc w:val="both"/>
              <w:rPr>
                <w:lang w:val="en-GB"/>
              </w:rPr>
            </w:pPr>
            <w:r w:rsidRPr="00E51CDD">
              <w:rPr>
                <w:lang w:val="en-GB"/>
              </w:rPr>
              <w:t xml:space="preserve">Yes </w:t>
            </w:r>
          </w:p>
        </w:tc>
      </w:tr>
      <w:tr w:rsidR="00E51CDD" w:rsidRPr="00E51CDD" w14:paraId="1E50364C" w14:textId="77777777" w:rsidTr="009938D9">
        <w:trPr>
          <w:gridAfter w:val="1"/>
          <w:wAfter w:w="9" w:type="pct"/>
        </w:trPr>
        <w:tc>
          <w:tcPr>
            <w:tcW w:w="1340" w:type="pct"/>
            <w:hideMark/>
          </w:tcPr>
          <w:p w14:paraId="5DA984F9" w14:textId="77777777" w:rsidR="00E51CDD" w:rsidRPr="00E51CDD" w:rsidRDefault="00E51CDD" w:rsidP="00E51CDD">
            <w:pPr>
              <w:widowControl w:val="0"/>
              <w:jc w:val="both"/>
              <w:rPr>
                <w:lang w:val="en-GB"/>
              </w:rPr>
            </w:pPr>
            <w:r w:rsidRPr="00E51CDD">
              <w:rPr>
                <w:lang w:val="en-GB"/>
              </w:rPr>
              <w:t xml:space="preserve">Duplication </w:t>
            </w:r>
            <w:r w:rsidRPr="00E51CDD">
              <w:rPr>
                <w:lang w:val="en-GB"/>
              </w:rPr>
              <w:br/>
              <w:t>(if vertebrate study)</w:t>
            </w:r>
          </w:p>
        </w:tc>
        <w:tc>
          <w:tcPr>
            <w:tcW w:w="3651" w:type="pct"/>
            <w:hideMark/>
          </w:tcPr>
          <w:p w14:paraId="4B5F33BA" w14:textId="77777777" w:rsidR="00E51CDD" w:rsidRPr="00E51CDD" w:rsidRDefault="00E51CDD" w:rsidP="00E51CDD">
            <w:pPr>
              <w:widowControl w:val="0"/>
              <w:spacing w:after="120"/>
              <w:jc w:val="both"/>
              <w:rPr>
                <w:highlight w:val="yellow"/>
                <w:lang w:val="en-GB"/>
              </w:rPr>
            </w:pPr>
            <w:r w:rsidRPr="00E51CDD">
              <w:rPr>
                <w:lang w:val="en-GB"/>
              </w:rPr>
              <w:t>No</w:t>
            </w:r>
          </w:p>
        </w:tc>
      </w:tr>
    </w:tbl>
    <w:p w14:paraId="063FBF47" w14:textId="77777777" w:rsidR="00E51CDD" w:rsidRPr="00E51CDD" w:rsidRDefault="00E51CDD" w:rsidP="00E51CDD">
      <w:pPr>
        <w:widowControl w:val="0"/>
        <w:jc w:val="both"/>
        <w:rPr>
          <w:color w:val="0070C0"/>
        </w:rPr>
      </w:pPr>
    </w:p>
    <w:p w14:paraId="5699CD13" w14:textId="77777777" w:rsidR="00E51CDD" w:rsidRPr="00E51CDD" w:rsidRDefault="00E51CDD" w:rsidP="00E51CDD">
      <w:pPr>
        <w:widowControl w:val="0"/>
        <w:jc w:val="both"/>
        <w:rPr>
          <w:color w:val="0070C0"/>
        </w:rPr>
      </w:pPr>
    </w:p>
    <w:p w14:paraId="655D3A47" w14:textId="77777777" w:rsidR="00E51CDD" w:rsidRPr="00E51CDD" w:rsidRDefault="00E51CDD" w:rsidP="00E51CDD">
      <w:pPr>
        <w:widowControl w:val="0"/>
        <w:tabs>
          <w:tab w:val="left" w:pos="425"/>
          <w:tab w:val="left" w:pos="850"/>
        </w:tabs>
        <w:ind w:left="2835" w:hanging="2835"/>
        <w:rPr>
          <w:b/>
          <w:bCs/>
        </w:rPr>
      </w:pPr>
      <w:r w:rsidRPr="00E51CDD">
        <w:rPr>
          <w:b/>
          <w:bCs/>
        </w:rPr>
        <w:t>Executive Summary</w:t>
      </w:r>
    </w:p>
    <w:p w14:paraId="4491909B" w14:textId="77777777" w:rsidR="00E51CDD" w:rsidRPr="00E51CDD" w:rsidRDefault="00E51CDD" w:rsidP="00E51CDD">
      <w:pPr>
        <w:widowControl w:val="0"/>
        <w:jc w:val="both"/>
        <w:rPr>
          <w:bCs/>
          <w:sz w:val="24"/>
          <w:szCs w:val="24"/>
          <w:lang w:eastAsia="en-US"/>
        </w:rPr>
      </w:pPr>
    </w:p>
    <w:p w14:paraId="1F6569D8" w14:textId="77777777" w:rsidR="00E51CDD" w:rsidRPr="00E51CDD" w:rsidRDefault="00E51CDD" w:rsidP="00E51CDD">
      <w:pPr>
        <w:widowControl w:val="0"/>
        <w:jc w:val="both"/>
        <w:rPr>
          <w:szCs w:val="24"/>
          <w:lang w:eastAsia="en-US"/>
        </w:rPr>
      </w:pPr>
      <w:r w:rsidRPr="00E51CDD">
        <w:rPr>
          <w:szCs w:val="24"/>
          <w:lang w:eastAsia="en-US"/>
        </w:rPr>
        <w:t xml:space="preserve">In a chronic toxicity study, adults of </w:t>
      </w:r>
      <w:r w:rsidRPr="00E51CDD">
        <w:rPr>
          <w:i/>
          <w:iCs/>
          <w:szCs w:val="24"/>
          <w:lang w:eastAsia="en-US"/>
        </w:rPr>
        <w:t>Eisenia andrei</w:t>
      </w:r>
      <w:r w:rsidRPr="00E51CDD">
        <w:rPr>
          <w:szCs w:val="24"/>
          <w:lang w:eastAsia="en-US"/>
        </w:rPr>
        <w:t xml:space="preserve"> (Annelida: Oligochaeta) were exposed to BAS 736 00 F. The test item was mixed into artificial soil (10% peat) at eight test concentrations of </w:t>
      </w:r>
      <w:r w:rsidRPr="00E51CDD">
        <w:rPr>
          <w:rFonts w:eastAsia="Calibri"/>
          <w:lang w:eastAsia="en-US"/>
        </w:rPr>
        <w:t>20.0, 34.0, 57.8, 98.3, 167.0, 284.0, 482.8 and 820.7</w:t>
      </w:r>
      <w:r w:rsidRPr="00E51CDD">
        <w:rPr>
          <w:szCs w:val="24"/>
          <w:lang w:eastAsia="en-US"/>
        </w:rPr>
        <w:t xml:space="preserve"> mg BAS 736 00 F/kg dry soil with 4 replicates per treatment (each containing 10 worms). An untreated control with 8 replicates was included. The reference item was tested in a separate study. Assessment of worm mortality, body weight and feeding activity was carried out after 28 days, assessment of reproduction (number of juveniles) was carried out after 56 days.</w:t>
      </w:r>
    </w:p>
    <w:p w14:paraId="109A4DA7" w14:textId="77777777" w:rsidR="00E51CDD" w:rsidRPr="00E51CDD" w:rsidRDefault="00E51CDD" w:rsidP="00E51CDD">
      <w:pPr>
        <w:widowControl w:val="0"/>
        <w:jc w:val="both"/>
        <w:rPr>
          <w:szCs w:val="24"/>
          <w:lang w:eastAsia="en-US"/>
        </w:rPr>
      </w:pPr>
    </w:p>
    <w:p w14:paraId="0AA1AC67" w14:textId="77777777" w:rsidR="00E51CDD" w:rsidRPr="00E51CDD" w:rsidRDefault="00E51CDD" w:rsidP="00E51CDD">
      <w:pPr>
        <w:widowControl w:val="0"/>
        <w:jc w:val="both"/>
        <w:rPr>
          <w:szCs w:val="24"/>
          <w:lang w:eastAsia="en-US"/>
        </w:rPr>
      </w:pPr>
      <w:r w:rsidRPr="00E51CDD">
        <w:rPr>
          <w:szCs w:val="24"/>
        </w:rPr>
        <w:t>After 28 days of exposure, no statistically significant effects on mortality and body weight were observed</w:t>
      </w:r>
      <w:r w:rsidRPr="00E51CDD">
        <w:rPr>
          <w:szCs w:val="24"/>
          <w:lang w:eastAsia="en-US"/>
        </w:rPr>
        <w:t xml:space="preserve">. The mortality of adult worms ranged between 0 – 7.5% in the test item treated groups and was 1.3% in the control group. The weight change of adult worms was 25.3 – 33.1% in the test item treated groups and 30.4% in the control group. The feeding activity in all test item treated groups was comparable to the control. The reproduction rate was </w:t>
      </w:r>
      <w:r w:rsidRPr="00E51CDD">
        <w:rPr>
          <w:szCs w:val="24"/>
        </w:rPr>
        <w:t>statistically</w:t>
      </w:r>
      <w:r w:rsidRPr="00E51CDD">
        <w:rPr>
          <w:szCs w:val="24"/>
          <w:lang w:eastAsia="en-US"/>
        </w:rPr>
        <w:t xml:space="preserve"> significantly different compared to the control at concentrations of 482.8 and 820.7 mg BAS 736 00 F/kg dry soil. No pathological symptoms and no further effects on behavior of the worms were observed.</w:t>
      </w:r>
    </w:p>
    <w:p w14:paraId="775FAFC0" w14:textId="77777777" w:rsidR="00E51CDD" w:rsidRPr="00E51CDD" w:rsidRDefault="00E51CDD" w:rsidP="00E51CDD">
      <w:pPr>
        <w:widowControl w:val="0"/>
        <w:jc w:val="both"/>
        <w:rPr>
          <w:szCs w:val="24"/>
          <w:lang w:eastAsia="en-US"/>
        </w:rPr>
      </w:pPr>
    </w:p>
    <w:p w14:paraId="2CE64BC4" w14:textId="77777777" w:rsidR="00E51CDD" w:rsidRPr="00E51CDD" w:rsidRDefault="00E51CDD" w:rsidP="00E51CDD">
      <w:pPr>
        <w:spacing w:after="160" w:line="259" w:lineRule="auto"/>
        <w:jc w:val="both"/>
        <w:rPr>
          <w:rFonts w:eastAsia="Calibri"/>
          <w:b/>
          <w:bCs/>
          <w:lang w:eastAsia="en-US"/>
        </w:rPr>
      </w:pPr>
      <w:r w:rsidRPr="00E51CDD">
        <w:rPr>
          <w:rFonts w:eastAsia="Calibri"/>
          <w:b/>
          <w:bCs/>
          <w:lang w:eastAsia="en-US"/>
        </w:rPr>
        <w:t xml:space="preserve">In a 56-day earthworm reproduction study with </w:t>
      </w:r>
      <w:r w:rsidRPr="00E51CDD">
        <w:rPr>
          <w:b/>
          <w:bCs/>
          <w:szCs w:val="24"/>
          <w:lang w:eastAsia="zh-CN"/>
        </w:rPr>
        <w:t>BAS 736 00 F</w:t>
      </w:r>
      <w:r w:rsidRPr="00E51CDD">
        <w:rPr>
          <w:rFonts w:eastAsia="Calibri"/>
          <w:b/>
          <w:bCs/>
          <w:lang w:eastAsia="en-US"/>
        </w:rPr>
        <w:t xml:space="preserve">, the NOEC for mortality and biomass was determined to be </w:t>
      </w:r>
      <w:r w:rsidRPr="00E51CDD">
        <w:rPr>
          <w:b/>
          <w:bCs/>
          <w:szCs w:val="24"/>
          <w:lang w:eastAsia="en-US"/>
        </w:rPr>
        <w:t>≥ 820.7 </w:t>
      </w:r>
      <w:r w:rsidRPr="00E51CDD">
        <w:rPr>
          <w:rFonts w:eastAsia="Calibri"/>
          <w:b/>
          <w:bCs/>
          <w:lang w:eastAsia="en-US"/>
        </w:rPr>
        <w:t xml:space="preserve">mg/kg dry soil. The NOEC for reproduction was determined to be </w:t>
      </w:r>
      <w:r w:rsidRPr="00E51CDD">
        <w:rPr>
          <w:b/>
          <w:bCs/>
          <w:szCs w:val="24"/>
          <w:lang w:eastAsia="en-US"/>
        </w:rPr>
        <w:t>284 </w:t>
      </w:r>
      <w:r w:rsidRPr="00E51CDD">
        <w:rPr>
          <w:rFonts w:eastAsia="Calibri"/>
          <w:b/>
          <w:bCs/>
          <w:lang w:eastAsia="en-US"/>
        </w:rPr>
        <w:t>mg/kg dry soil. The EC</w:t>
      </w:r>
      <w:r w:rsidRPr="00E51CDD">
        <w:rPr>
          <w:rFonts w:eastAsia="Calibri"/>
          <w:b/>
          <w:bCs/>
          <w:vertAlign w:val="subscript"/>
          <w:lang w:eastAsia="en-US"/>
        </w:rPr>
        <w:t>10</w:t>
      </w:r>
      <w:r w:rsidRPr="00E51CDD">
        <w:rPr>
          <w:rFonts w:eastAsia="Calibri"/>
          <w:b/>
          <w:bCs/>
          <w:lang w:eastAsia="en-US"/>
        </w:rPr>
        <w:t>, EC</w:t>
      </w:r>
      <w:r w:rsidRPr="00E51CDD">
        <w:rPr>
          <w:rFonts w:eastAsia="Calibri"/>
          <w:b/>
          <w:bCs/>
          <w:vertAlign w:val="subscript"/>
          <w:lang w:eastAsia="en-US"/>
        </w:rPr>
        <w:t>20</w:t>
      </w:r>
      <w:r w:rsidRPr="00E51CDD">
        <w:rPr>
          <w:rFonts w:eastAsia="Calibri"/>
          <w:b/>
          <w:bCs/>
          <w:lang w:eastAsia="en-US"/>
        </w:rPr>
        <w:t xml:space="preserve"> and EC</w:t>
      </w:r>
      <w:r w:rsidRPr="00E51CDD">
        <w:rPr>
          <w:rFonts w:eastAsia="Calibri"/>
          <w:b/>
          <w:bCs/>
          <w:vertAlign w:val="subscript"/>
          <w:lang w:eastAsia="en-US"/>
        </w:rPr>
        <w:t>50</w:t>
      </w:r>
      <w:r w:rsidRPr="00E51CDD">
        <w:rPr>
          <w:rFonts w:eastAsia="Calibri"/>
          <w:b/>
          <w:bCs/>
          <w:lang w:eastAsia="en-US"/>
        </w:rPr>
        <w:t xml:space="preserve"> values for reproduction were calculated to be 295.9, 401.4 and 719.3 mg/kg dry soil, respectively.</w:t>
      </w:r>
    </w:p>
    <w:p w14:paraId="19F57127" w14:textId="77777777" w:rsidR="00E51CDD" w:rsidRPr="00E51CDD" w:rsidRDefault="00E51CDD" w:rsidP="00E51CDD">
      <w:pPr>
        <w:spacing w:after="160" w:line="259" w:lineRule="auto"/>
        <w:jc w:val="both"/>
        <w:rPr>
          <w:b/>
          <w:bCs/>
        </w:rPr>
      </w:pPr>
      <w:r w:rsidRPr="00E51CDD">
        <w:rPr>
          <w:b/>
          <w:bCs/>
        </w:rPr>
        <w:br w:type="page"/>
      </w:r>
    </w:p>
    <w:p w14:paraId="78029B90" w14:textId="77777777" w:rsidR="00E51CDD" w:rsidRPr="00E51CDD" w:rsidRDefault="00E51CDD" w:rsidP="00E51CDD">
      <w:pPr>
        <w:widowControl w:val="0"/>
        <w:tabs>
          <w:tab w:val="left" w:pos="425"/>
          <w:tab w:val="left" w:pos="850"/>
        </w:tabs>
        <w:ind w:left="2835" w:hanging="2835"/>
        <w:rPr>
          <w:b/>
          <w:bCs/>
        </w:rPr>
      </w:pPr>
      <w:r w:rsidRPr="00E51CDD">
        <w:rPr>
          <w:b/>
          <w:bCs/>
        </w:rPr>
        <w:lastRenderedPageBreak/>
        <w:t>I.</w:t>
      </w:r>
      <w:r w:rsidRPr="00E51CDD">
        <w:rPr>
          <w:b/>
          <w:bCs/>
        </w:rPr>
        <w:tab/>
        <w:t>MATERIAL AND METHODS</w:t>
      </w:r>
    </w:p>
    <w:p w14:paraId="1716DE93" w14:textId="77777777" w:rsidR="00E51CDD" w:rsidRPr="00E51CDD" w:rsidRDefault="00E51CDD" w:rsidP="00E51CDD">
      <w:pPr>
        <w:widowControl w:val="0"/>
        <w:rPr>
          <w:szCs w:val="24"/>
        </w:rPr>
      </w:pPr>
    </w:p>
    <w:p w14:paraId="6365593C" w14:textId="77777777" w:rsidR="00E51CDD" w:rsidRPr="00E51CDD" w:rsidRDefault="00E51CDD" w:rsidP="00E51CDD">
      <w:pPr>
        <w:widowControl w:val="0"/>
        <w:tabs>
          <w:tab w:val="left" w:pos="425"/>
          <w:tab w:val="left" w:pos="850"/>
        </w:tabs>
        <w:ind w:left="2835" w:hanging="2835"/>
        <w:rPr>
          <w:b/>
          <w:bCs/>
        </w:rPr>
      </w:pPr>
      <w:r w:rsidRPr="00E51CDD">
        <w:rPr>
          <w:b/>
          <w:bCs/>
        </w:rPr>
        <w:t>A.</w:t>
      </w:r>
      <w:r w:rsidRPr="00E51CDD">
        <w:rPr>
          <w:b/>
          <w:bCs/>
        </w:rPr>
        <w:tab/>
        <w:t>MATERIALS</w:t>
      </w:r>
    </w:p>
    <w:p w14:paraId="421D369A" w14:textId="77777777" w:rsidR="00E51CDD" w:rsidRPr="00E51CDD" w:rsidRDefault="00E51CDD" w:rsidP="00E51CDD">
      <w:pPr>
        <w:widowControl w:val="0"/>
        <w:jc w:val="both"/>
        <w:rPr>
          <w:szCs w:val="24"/>
          <w:lang w:eastAsia="en-US"/>
        </w:rPr>
      </w:pPr>
    </w:p>
    <w:p w14:paraId="75C489AF" w14:textId="77777777" w:rsidR="00E51CDD" w:rsidRPr="00E51CDD" w:rsidRDefault="00E51CDD" w:rsidP="00E51CDD">
      <w:pPr>
        <w:widowControl w:val="0"/>
        <w:ind w:left="2040" w:hanging="2040"/>
        <w:jc w:val="both"/>
        <w:rPr>
          <w:lang w:eastAsia="en-US"/>
        </w:rPr>
      </w:pPr>
      <w:r w:rsidRPr="00E51CDD">
        <w:rPr>
          <w:szCs w:val="24"/>
          <w:lang w:eastAsia="en-US"/>
        </w:rPr>
        <w:t xml:space="preserve">Test item: </w:t>
      </w:r>
      <w:r w:rsidRPr="00E51CDD">
        <w:rPr>
          <w:szCs w:val="24"/>
          <w:lang w:eastAsia="en-US"/>
        </w:rPr>
        <w:tab/>
      </w:r>
      <w:r w:rsidRPr="00E51CDD">
        <w:rPr>
          <w:rFonts w:eastAsia="Calibri"/>
          <w:szCs w:val="24"/>
          <w:lang w:eastAsia="en-US"/>
        </w:rPr>
        <w:t>BAS 736 00 F; batch no. FD-190220-0002; content of a.s.: azoxystrobin (BAS 9164 F, Reg. No. 300 254): 73.9 g/L analyzed (75.0</w:t>
      </w:r>
      <w:r w:rsidRPr="00E51CDD">
        <w:rPr>
          <w:rFonts w:eastAsia="Calibri"/>
          <w:lang w:eastAsia="en-US"/>
        </w:rPr>
        <w:t> g</w:t>
      </w:r>
      <w:r w:rsidRPr="00E51CDD">
        <w:rPr>
          <w:rFonts w:eastAsia="Calibri"/>
          <w:szCs w:val="24"/>
          <w:lang w:eastAsia="en-US"/>
        </w:rPr>
        <w:t>/L nominal), fluxapyroxad (BAS 700 F, Reg. No. 5 094 351): 49.4 g/L analyzed (50.0 g/L nominal); density: 1.078 g/cm³.</w:t>
      </w:r>
    </w:p>
    <w:p w14:paraId="0FE2F351" w14:textId="77777777" w:rsidR="00E51CDD" w:rsidRPr="00E51CDD" w:rsidRDefault="00E51CDD" w:rsidP="00E51CDD">
      <w:pPr>
        <w:widowControl w:val="0"/>
        <w:ind w:left="2040" w:hanging="2040"/>
        <w:jc w:val="both"/>
        <w:rPr>
          <w:szCs w:val="24"/>
          <w:lang w:eastAsia="en-US"/>
        </w:rPr>
      </w:pPr>
    </w:p>
    <w:p w14:paraId="109D1DE8" w14:textId="77777777" w:rsidR="00E51CDD" w:rsidRPr="00E51CDD" w:rsidRDefault="00E51CDD" w:rsidP="00E51CDD">
      <w:pPr>
        <w:widowControl w:val="0"/>
        <w:tabs>
          <w:tab w:val="left" w:pos="425"/>
          <w:tab w:val="left" w:pos="850"/>
        </w:tabs>
        <w:ind w:left="2835" w:hanging="2835"/>
        <w:rPr>
          <w:b/>
          <w:bCs/>
        </w:rPr>
      </w:pPr>
      <w:r w:rsidRPr="00E51CDD">
        <w:rPr>
          <w:b/>
          <w:bCs/>
        </w:rPr>
        <w:t>B.</w:t>
      </w:r>
      <w:r w:rsidRPr="00E51CDD">
        <w:rPr>
          <w:b/>
          <w:bCs/>
        </w:rPr>
        <w:tab/>
        <w:t>STUDY DESIGN</w:t>
      </w:r>
    </w:p>
    <w:p w14:paraId="7690F896" w14:textId="77777777" w:rsidR="00E51CDD" w:rsidRPr="00E51CDD" w:rsidRDefault="00E51CDD" w:rsidP="00E51CDD">
      <w:pPr>
        <w:widowControl w:val="0"/>
        <w:rPr>
          <w:szCs w:val="24"/>
        </w:rPr>
      </w:pPr>
    </w:p>
    <w:p w14:paraId="329D923F" w14:textId="77777777" w:rsidR="00E51CDD" w:rsidRPr="00E51CDD" w:rsidRDefault="00E51CDD" w:rsidP="00E51CDD">
      <w:pPr>
        <w:widowControl w:val="0"/>
        <w:ind w:left="2040" w:hanging="2040"/>
        <w:jc w:val="both"/>
        <w:rPr>
          <w:lang w:eastAsia="en-US"/>
        </w:rPr>
      </w:pPr>
      <w:r w:rsidRPr="00E51CDD">
        <w:rPr>
          <w:szCs w:val="24"/>
          <w:lang w:eastAsia="en-US"/>
        </w:rPr>
        <w:t xml:space="preserve">Test species: </w:t>
      </w:r>
      <w:r w:rsidRPr="00E51CDD">
        <w:rPr>
          <w:szCs w:val="24"/>
          <w:lang w:eastAsia="en-US"/>
        </w:rPr>
        <w:tab/>
      </w:r>
      <w:r w:rsidRPr="00E51CDD">
        <w:rPr>
          <w:lang w:eastAsia="en-US"/>
        </w:rPr>
        <w:t>Earthworm (</w:t>
      </w:r>
      <w:r w:rsidRPr="00E51CDD">
        <w:rPr>
          <w:i/>
          <w:lang w:eastAsia="en-US"/>
        </w:rPr>
        <w:t>Eisenia andrei</w:t>
      </w:r>
      <w:r w:rsidRPr="00E51CDD">
        <w:rPr>
          <w:lang w:eastAsia="en-US"/>
        </w:rPr>
        <w:t>), adult worms (with clitellum), weight: 274 – 430 mg/worm, age: approx. 4 months old; source: W. Neudorff GmbH KG, followed by in-house culture.</w:t>
      </w:r>
    </w:p>
    <w:p w14:paraId="6200492F" w14:textId="77777777" w:rsidR="00E51CDD" w:rsidRPr="00E51CDD" w:rsidRDefault="00E51CDD" w:rsidP="00E51CDD">
      <w:pPr>
        <w:widowControl w:val="0"/>
        <w:ind w:left="2040" w:hanging="2040"/>
        <w:jc w:val="both"/>
        <w:rPr>
          <w:color w:val="0070C0"/>
          <w:szCs w:val="24"/>
          <w:lang w:eastAsia="en-US"/>
        </w:rPr>
      </w:pPr>
    </w:p>
    <w:p w14:paraId="40048929" w14:textId="77777777" w:rsidR="00E51CDD" w:rsidRPr="00E51CDD" w:rsidRDefault="00E51CDD" w:rsidP="00E51CDD">
      <w:pPr>
        <w:widowControl w:val="0"/>
        <w:tabs>
          <w:tab w:val="left" w:pos="2040"/>
        </w:tabs>
        <w:ind w:left="2040" w:hanging="2040"/>
        <w:jc w:val="both"/>
        <w:rPr>
          <w:szCs w:val="24"/>
          <w:lang w:eastAsia="en-US"/>
        </w:rPr>
      </w:pPr>
      <w:r w:rsidRPr="00E51CDD">
        <w:rPr>
          <w:szCs w:val="24"/>
          <w:lang w:eastAsia="en-US"/>
        </w:rPr>
        <w:t xml:space="preserve">Test design: </w:t>
      </w:r>
      <w:r w:rsidRPr="00E51CDD">
        <w:rPr>
          <w:szCs w:val="24"/>
          <w:lang w:eastAsia="en-US"/>
        </w:rPr>
        <w:tab/>
        <w:t>56-day test in treated artificial soil according to OECD 222 (10% peat); different concentrations of the test item are mixed homogeneously into the soil; 9 treatment groups were set up (8 test item concentrations, untreated control) with 4 replicates for the test item treatments and 8 replicates for the control, 10 worms per replicate. Assessment of worm mortality, behavioral effects, and biomass development after 28 days of exposure; after an additional 28 days (56 days after application) reproduction (number of juveniles) was assessed.</w:t>
      </w:r>
    </w:p>
    <w:p w14:paraId="090EB1C1" w14:textId="77777777" w:rsidR="00E51CDD" w:rsidRPr="00E51CDD" w:rsidRDefault="00E51CDD" w:rsidP="00E51CDD">
      <w:pPr>
        <w:widowControl w:val="0"/>
        <w:jc w:val="both"/>
        <w:rPr>
          <w:color w:val="0070C0"/>
          <w:szCs w:val="24"/>
          <w:lang w:eastAsia="en-US"/>
        </w:rPr>
      </w:pPr>
    </w:p>
    <w:p w14:paraId="13C5F403" w14:textId="77777777" w:rsidR="00E51CDD" w:rsidRPr="00E51CDD" w:rsidRDefault="00E51CDD" w:rsidP="00E51CDD">
      <w:pPr>
        <w:widowControl w:val="0"/>
        <w:tabs>
          <w:tab w:val="left" w:pos="2040"/>
        </w:tabs>
        <w:ind w:left="2040" w:hanging="2040"/>
        <w:jc w:val="both"/>
        <w:rPr>
          <w:szCs w:val="24"/>
          <w:lang w:eastAsia="en-US"/>
        </w:rPr>
      </w:pPr>
      <w:r w:rsidRPr="00E51CDD">
        <w:rPr>
          <w:szCs w:val="24"/>
          <w:lang w:eastAsia="en-US"/>
        </w:rPr>
        <w:t xml:space="preserve">Endpoints: </w:t>
      </w:r>
      <w:r w:rsidRPr="00E51CDD">
        <w:rPr>
          <w:szCs w:val="24"/>
          <w:lang w:eastAsia="en-US"/>
        </w:rPr>
        <w:tab/>
        <w:t>Mortality (LC</w:t>
      </w:r>
      <w:r w:rsidRPr="00E51CDD">
        <w:rPr>
          <w:szCs w:val="24"/>
          <w:vertAlign w:val="subscript"/>
          <w:lang w:eastAsia="en-US"/>
        </w:rPr>
        <w:t>50</w:t>
      </w:r>
      <w:r w:rsidRPr="00E51CDD">
        <w:rPr>
          <w:szCs w:val="24"/>
          <w:lang w:eastAsia="en-US"/>
        </w:rPr>
        <w:t>, NOEC), weight change (</w:t>
      </w:r>
      <w:r w:rsidRPr="00E51CDD">
        <w:rPr>
          <w:rFonts w:eastAsia="Calibri"/>
          <w:lang w:eastAsia="en-US"/>
        </w:rPr>
        <w:t>EC</w:t>
      </w:r>
      <w:r w:rsidRPr="00E51CDD">
        <w:rPr>
          <w:rFonts w:eastAsia="Calibri"/>
          <w:vertAlign w:val="subscript"/>
          <w:lang w:eastAsia="en-US"/>
        </w:rPr>
        <w:t>50</w:t>
      </w:r>
      <w:r w:rsidRPr="00E51CDD">
        <w:rPr>
          <w:rFonts w:eastAsia="Calibri"/>
          <w:lang w:eastAsia="en-US"/>
        </w:rPr>
        <w:t>, NOEC)</w:t>
      </w:r>
      <w:r w:rsidRPr="00E51CDD">
        <w:rPr>
          <w:szCs w:val="24"/>
          <w:lang w:eastAsia="en-US"/>
        </w:rPr>
        <w:t>, feeding activity, reproduction rate (</w:t>
      </w:r>
      <w:r w:rsidRPr="00E51CDD">
        <w:rPr>
          <w:rFonts w:eastAsia="Calibri"/>
          <w:lang w:eastAsia="en-US"/>
        </w:rPr>
        <w:t>EC</w:t>
      </w:r>
      <w:r w:rsidRPr="00E51CDD">
        <w:rPr>
          <w:rFonts w:eastAsia="Calibri"/>
          <w:vertAlign w:val="subscript"/>
          <w:lang w:eastAsia="en-US"/>
        </w:rPr>
        <w:t xml:space="preserve">10, 20 </w:t>
      </w:r>
      <w:r w:rsidRPr="00E51CDD">
        <w:rPr>
          <w:rFonts w:eastAsia="Calibri"/>
          <w:lang w:eastAsia="en-US"/>
        </w:rPr>
        <w:t>and</w:t>
      </w:r>
      <w:r w:rsidRPr="00E51CDD">
        <w:rPr>
          <w:rFonts w:eastAsia="Calibri"/>
          <w:vertAlign w:val="subscript"/>
          <w:lang w:eastAsia="en-US"/>
        </w:rPr>
        <w:t xml:space="preserve"> 50</w:t>
      </w:r>
      <w:r w:rsidRPr="00E51CDD">
        <w:rPr>
          <w:rFonts w:eastAsia="Calibri"/>
          <w:lang w:eastAsia="en-US"/>
        </w:rPr>
        <w:t xml:space="preserve">, </w:t>
      </w:r>
      <w:r w:rsidRPr="00E51CDD">
        <w:rPr>
          <w:szCs w:val="24"/>
          <w:lang w:eastAsia="en-US"/>
        </w:rPr>
        <w:t>NOEC).</w:t>
      </w:r>
    </w:p>
    <w:p w14:paraId="2C2EC1BA" w14:textId="77777777" w:rsidR="00E51CDD" w:rsidRPr="00E51CDD" w:rsidRDefault="00E51CDD" w:rsidP="00E51CDD">
      <w:pPr>
        <w:widowControl w:val="0"/>
        <w:jc w:val="both"/>
        <w:rPr>
          <w:color w:val="0070C0"/>
          <w:szCs w:val="24"/>
          <w:lang w:eastAsia="en-US"/>
        </w:rPr>
      </w:pPr>
    </w:p>
    <w:p w14:paraId="18CABD9C" w14:textId="77777777" w:rsidR="00E51CDD" w:rsidRPr="00E51CDD" w:rsidRDefault="00E51CDD" w:rsidP="00E51CDD">
      <w:pPr>
        <w:widowControl w:val="0"/>
        <w:tabs>
          <w:tab w:val="left" w:pos="2040"/>
        </w:tabs>
        <w:ind w:left="2040" w:hanging="2040"/>
        <w:jc w:val="both"/>
        <w:rPr>
          <w:szCs w:val="24"/>
          <w:lang w:eastAsia="en-US"/>
        </w:rPr>
      </w:pPr>
      <w:r w:rsidRPr="00E51CDD">
        <w:rPr>
          <w:lang w:eastAsia="en-US"/>
        </w:rPr>
        <w:t>Reference item</w:t>
      </w:r>
      <w:r w:rsidRPr="00E51CDD">
        <w:rPr>
          <w:szCs w:val="24"/>
          <w:lang w:eastAsia="en-US"/>
        </w:rPr>
        <w:t xml:space="preserve">: </w:t>
      </w:r>
      <w:r w:rsidRPr="00E51CDD">
        <w:rPr>
          <w:szCs w:val="24"/>
          <w:lang w:eastAsia="en-US"/>
        </w:rPr>
        <w:tab/>
        <w:t>Maypon Flow (Carbendazim, SC 500). The effects of the reference item were investigated in a separate study.</w:t>
      </w:r>
    </w:p>
    <w:p w14:paraId="34D8D6A0" w14:textId="77777777" w:rsidR="00E51CDD" w:rsidRPr="00E51CDD" w:rsidRDefault="00E51CDD" w:rsidP="00E51CDD">
      <w:pPr>
        <w:widowControl w:val="0"/>
        <w:jc w:val="both"/>
        <w:rPr>
          <w:szCs w:val="24"/>
          <w:lang w:eastAsia="en-US"/>
        </w:rPr>
      </w:pPr>
    </w:p>
    <w:p w14:paraId="7DAE8081" w14:textId="77777777" w:rsidR="00E51CDD" w:rsidRPr="00E51CDD" w:rsidRDefault="00E51CDD" w:rsidP="00E51CDD">
      <w:pPr>
        <w:widowControl w:val="0"/>
        <w:ind w:left="2040" w:hanging="2040"/>
        <w:jc w:val="both"/>
        <w:rPr>
          <w:szCs w:val="24"/>
          <w:lang w:eastAsia="en-US"/>
        </w:rPr>
      </w:pPr>
      <w:r w:rsidRPr="00E51CDD">
        <w:rPr>
          <w:szCs w:val="24"/>
          <w:lang w:eastAsia="en-US"/>
        </w:rPr>
        <w:t xml:space="preserve">Test concentrations: </w:t>
      </w:r>
      <w:r w:rsidRPr="00E51CDD">
        <w:rPr>
          <w:szCs w:val="24"/>
          <w:lang w:eastAsia="en-US"/>
        </w:rPr>
        <w:tab/>
      </w:r>
      <w:r w:rsidRPr="00E51CDD">
        <w:rPr>
          <w:lang w:eastAsia="en-US"/>
        </w:rPr>
        <w:t xml:space="preserve">Control: untreated soil; test item: </w:t>
      </w:r>
      <w:r w:rsidRPr="00E51CDD">
        <w:rPr>
          <w:rFonts w:eastAsia="Calibri"/>
          <w:lang w:eastAsia="en-US"/>
        </w:rPr>
        <w:t xml:space="preserve">20.0, 34.0, 57.8, 98.3, 167.0, 284.0, 482.8 and 820.7 mg </w:t>
      </w:r>
      <w:r w:rsidRPr="00E51CDD">
        <w:rPr>
          <w:lang w:eastAsia="en-US"/>
        </w:rPr>
        <w:t>BAS 736 00 F</w:t>
      </w:r>
      <w:r w:rsidRPr="00E51CDD">
        <w:rPr>
          <w:rFonts w:eastAsia="Calibri"/>
          <w:lang w:eastAsia="en-US"/>
        </w:rPr>
        <w:t xml:space="preserve">/kg dry soil, </w:t>
      </w:r>
      <w:r w:rsidRPr="00E51CDD">
        <w:rPr>
          <w:lang w:eastAsia="en-US"/>
        </w:rPr>
        <w:t>spacing factor: 1.7</w:t>
      </w:r>
      <w:r w:rsidRPr="00E51CDD">
        <w:rPr>
          <w:szCs w:val="24"/>
          <w:lang w:eastAsia="en-US"/>
        </w:rPr>
        <w:t>.</w:t>
      </w:r>
    </w:p>
    <w:tbl>
      <w:tblPr>
        <w:tblStyle w:val="DAR0071"/>
        <w:tblW w:w="3898" w:type="pct"/>
        <w:tblInd w:w="2065" w:type="dxa"/>
        <w:tblLook w:val="04A0" w:firstRow="1" w:lastRow="0" w:firstColumn="1" w:lastColumn="0" w:noHBand="0" w:noVBand="1"/>
      </w:tblPr>
      <w:tblGrid>
        <w:gridCol w:w="1711"/>
        <w:gridCol w:w="2248"/>
        <w:gridCol w:w="1709"/>
        <w:gridCol w:w="1617"/>
      </w:tblGrid>
      <w:tr w:rsidR="00E51CDD" w:rsidRPr="00E51CDD" w14:paraId="072F1E33" w14:textId="77777777" w:rsidTr="009938D9">
        <w:trPr>
          <w:trHeight w:val="247"/>
        </w:trPr>
        <w:tc>
          <w:tcPr>
            <w:tcW w:w="1174" w:type="pct"/>
            <w:vAlign w:val="center"/>
          </w:tcPr>
          <w:p w14:paraId="2A84C089" w14:textId="77777777" w:rsidR="00E51CDD" w:rsidRPr="00E51CDD" w:rsidRDefault="00E51CDD" w:rsidP="00E51CDD">
            <w:pPr>
              <w:widowControl w:val="0"/>
              <w:rPr>
                <w:color w:val="000000"/>
                <w:sz w:val="20"/>
                <w:szCs w:val="24"/>
              </w:rPr>
            </w:pPr>
            <w:r w:rsidRPr="00E51CDD">
              <w:rPr>
                <w:color w:val="000000"/>
                <w:sz w:val="20"/>
                <w:szCs w:val="24"/>
              </w:rPr>
              <w:t>BAS 736 00 F</w:t>
            </w:r>
          </w:p>
          <w:p w14:paraId="41DB225C" w14:textId="77777777" w:rsidR="00E51CDD" w:rsidRPr="00E51CDD" w:rsidRDefault="00E51CDD" w:rsidP="00E51CDD">
            <w:pPr>
              <w:widowControl w:val="0"/>
              <w:rPr>
                <w:color w:val="000000"/>
                <w:sz w:val="20"/>
                <w:szCs w:val="24"/>
              </w:rPr>
            </w:pPr>
            <w:r w:rsidRPr="00E51CDD">
              <w:rPr>
                <w:color w:val="000000"/>
                <w:sz w:val="20"/>
                <w:szCs w:val="24"/>
              </w:rPr>
              <w:t>[mg/kg dry soil]</w:t>
            </w:r>
          </w:p>
        </w:tc>
        <w:tc>
          <w:tcPr>
            <w:tcW w:w="1543" w:type="pct"/>
            <w:vAlign w:val="center"/>
          </w:tcPr>
          <w:p w14:paraId="0EC1EE0E" w14:textId="77777777" w:rsidR="00E51CDD" w:rsidRPr="00E51CDD" w:rsidRDefault="00E51CDD" w:rsidP="00E51CDD">
            <w:pPr>
              <w:widowControl w:val="0"/>
              <w:rPr>
                <w:color w:val="000000"/>
                <w:sz w:val="20"/>
                <w:szCs w:val="24"/>
              </w:rPr>
            </w:pPr>
            <w:r w:rsidRPr="00E51CDD">
              <w:rPr>
                <w:color w:val="000000"/>
                <w:sz w:val="20"/>
                <w:szCs w:val="24"/>
              </w:rPr>
              <w:t>Total active substances</w:t>
            </w:r>
          </w:p>
          <w:p w14:paraId="40D63F44" w14:textId="77777777" w:rsidR="00E51CDD" w:rsidRPr="00E51CDD" w:rsidRDefault="00E51CDD" w:rsidP="00E51CDD">
            <w:pPr>
              <w:widowControl w:val="0"/>
              <w:rPr>
                <w:b/>
                <w:color w:val="000000"/>
                <w:sz w:val="20"/>
                <w:szCs w:val="24"/>
                <w:vertAlign w:val="superscript"/>
              </w:rPr>
            </w:pPr>
            <w:r w:rsidRPr="00E51CDD">
              <w:rPr>
                <w:color w:val="000000"/>
                <w:sz w:val="20"/>
                <w:szCs w:val="24"/>
              </w:rPr>
              <w:t>[mg/kg dry soil]</w:t>
            </w:r>
            <w:r w:rsidRPr="00E51CDD">
              <w:rPr>
                <w:color w:val="000000"/>
                <w:sz w:val="20"/>
                <w:szCs w:val="24"/>
                <w:vertAlign w:val="superscript"/>
              </w:rPr>
              <w:t>*</w:t>
            </w:r>
          </w:p>
        </w:tc>
        <w:tc>
          <w:tcPr>
            <w:tcW w:w="1173" w:type="pct"/>
            <w:vAlign w:val="center"/>
          </w:tcPr>
          <w:p w14:paraId="7645E5AC" w14:textId="77777777" w:rsidR="00E51CDD" w:rsidRPr="00E51CDD" w:rsidRDefault="00E51CDD" w:rsidP="00E51CDD">
            <w:pPr>
              <w:widowControl w:val="0"/>
              <w:rPr>
                <w:color w:val="000000"/>
                <w:sz w:val="20"/>
                <w:szCs w:val="24"/>
              </w:rPr>
            </w:pPr>
            <w:r w:rsidRPr="00E51CDD">
              <w:rPr>
                <w:color w:val="000000"/>
                <w:sz w:val="20"/>
                <w:szCs w:val="24"/>
              </w:rPr>
              <w:t>BAS 9164 F</w:t>
            </w:r>
          </w:p>
          <w:p w14:paraId="7288ECBF" w14:textId="77777777" w:rsidR="00E51CDD" w:rsidRPr="00E51CDD" w:rsidRDefault="00E51CDD" w:rsidP="00E51CDD">
            <w:pPr>
              <w:widowControl w:val="0"/>
              <w:rPr>
                <w:color w:val="000000"/>
                <w:sz w:val="20"/>
                <w:szCs w:val="24"/>
                <w:vertAlign w:val="superscript"/>
              </w:rPr>
            </w:pPr>
            <w:r w:rsidRPr="00E51CDD">
              <w:rPr>
                <w:color w:val="000000"/>
                <w:sz w:val="20"/>
                <w:szCs w:val="24"/>
              </w:rPr>
              <w:t>[mg/kg dry soil]</w:t>
            </w:r>
            <w:r w:rsidRPr="00E51CDD">
              <w:rPr>
                <w:color w:val="000000"/>
                <w:sz w:val="20"/>
                <w:szCs w:val="24"/>
                <w:vertAlign w:val="superscript"/>
              </w:rPr>
              <w:t>*</w:t>
            </w:r>
          </w:p>
        </w:tc>
        <w:tc>
          <w:tcPr>
            <w:tcW w:w="1111" w:type="pct"/>
            <w:vAlign w:val="center"/>
          </w:tcPr>
          <w:p w14:paraId="09EF3F92" w14:textId="77777777" w:rsidR="00E51CDD" w:rsidRPr="00E51CDD" w:rsidRDefault="00E51CDD" w:rsidP="00E51CDD">
            <w:pPr>
              <w:widowControl w:val="0"/>
              <w:rPr>
                <w:color w:val="000000"/>
                <w:sz w:val="20"/>
                <w:szCs w:val="24"/>
              </w:rPr>
            </w:pPr>
            <w:r w:rsidRPr="00E51CDD">
              <w:rPr>
                <w:color w:val="000000"/>
                <w:sz w:val="20"/>
                <w:szCs w:val="24"/>
              </w:rPr>
              <w:t>BAS 700 F</w:t>
            </w:r>
          </w:p>
          <w:p w14:paraId="3A6671F9" w14:textId="77777777" w:rsidR="00E51CDD" w:rsidRPr="00E51CDD" w:rsidRDefault="00E51CDD" w:rsidP="00E51CDD">
            <w:pPr>
              <w:widowControl w:val="0"/>
              <w:rPr>
                <w:color w:val="000000"/>
                <w:sz w:val="20"/>
                <w:szCs w:val="24"/>
                <w:vertAlign w:val="superscript"/>
              </w:rPr>
            </w:pPr>
            <w:r w:rsidRPr="00E51CDD">
              <w:rPr>
                <w:color w:val="000000"/>
                <w:sz w:val="20"/>
                <w:szCs w:val="24"/>
              </w:rPr>
              <w:t>[mg/kg dry soil]</w:t>
            </w:r>
            <w:r w:rsidRPr="00E51CDD">
              <w:rPr>
                <w:color w:val="000000"/>
                <w:sz w:val="20"/>
                <w:szCs w:val="24"/>
                <w:vertAlign w:val="superscript"/>
              </w:rPr>
              <w:t>*</w:t>
            </w:r>
          </w:p>
        </w:tc>
      </w:tr>
      <w:tr w:rsidR="00E51CDD" w:rsidRPr="00E51CDD" w14:paraId="548468B5" w14:textId="77777777" w:rsidTr="009938D9">
        <w:trPr>
          <w:trHeight w:val="247"/>
        </w:trPr>
        <w:tc>
          <w:tcPr>
            <w:tcW w:w="1174" w:type="pct"/>
            <w:vAlign w:val="center"/>
          </w:tcPr>
          <w:p w14:paraId="35A63B9B" w14:textId="77777777" w:rsidR="00E51CDD" w:rsidRPr="00E51CDD" w:rsidRDefault="00E51CDD" w:rsidP="00E51CDD">
            <w:pPr>
              <w:widowControl w:val="0"/>
              <w:rPr>
                <w:color w:val="000000"/>
                <w:sz w:val="20"/>
                <w:szCs w:val="24"/>
              </w:rPr>
            </w:pPr>
            <w:r w:rsidRPr="00E51CDD">
              <w:rPr>
                <w:color w:val="000000"/>
                <w:sz w:val="20"/>
                <w:szCs w:val="24"/>
              </w:rPr>
              <w:t>20.0</w:t>
            </w:r>
          </w:p>
        </w:tc>
        <w:tc>
          <w:tcPr>
            <w:tcW w:w="1543" w:type="pct"/>
            <w:vAlign w:val="center"/>
          </w:tcPr>
          <w:p w14:paraId="4549822C" w14:textId="77777777" w:rsidR="00E51CDD" w:rsidRPr="00E51CDD" w:rsidRDefault="00E51CDD" w:rsidP="00E51CDD">
            <w:pPr>
              <w:widowControl w:val="0"/>
              <w:rPr>
                <w:color w:val="000000"/>
                <w:sz w:val="20"/>
                <w:szCs w:val="24"/>
              </w:rPr>
            </w:pPr>
            <w:r w:rsidRPr="00E51CDD">
              <w:rPr>
                <w:color w:val="000000"/>
                <w:sz w:val="20"/>
                <w:szCs w:val="24"/>
              </w:rPr>
              <w:t>2.32</w:t>
            </w:r>
          </w:p>
        </w:tc>
        <w:tc>
          <w:tcPr>
            <w:tcW w:w="1173" w:type="pct"/>
            <w:vAlign w:val="center"/>
          </w:tcPr>
          <w:p w14:paraId="3013BC29" w14:textId="77777777" w:rsidR="00E51CDD" w:rsidRPr="00E51CDD" w:rsidRDefault="00E51CDD" w:rsidP="00E51CDD">
            <w:pPr>
              <w:widowControl w:val="0"/>
              <w:rPr>
                <w:color w:val="000000"/>
                <w:sz w:val="20"/>
                <w:szCs w:val="24"/>
              </w:rPr>
            </w:pPr>
            <w:r w:rsidRPr="00E51CDD">
              <w:rPr>
                <w:color w:val="000000"/>
                <w:sz w:val="20"/>
                <w:szCs w:val="24"/>
              </w:rPr>
              <w:t>1.39</w:t>
            </w:r>
          </w:p>
        </w:tc>
        <w:tc>
          <w:tcPr>
            <w:tcW w:w="1111" w:type="pct"/>
            <w:vAlign w:val="center"/>
          </w:tcPr>
          <w:p w14:paraId="00263323" w14:textId="77777777" w:rsidR="00E51CDD" w:rsidRPr="00E51CDD" w:rsidRDefault="00E51CDD" w:rsidP="00E51CDD">
            <w:pPr>
              <w:widowControl w:val="0"/>
              <w:rPr>
                <w:color w:val="000000"/>
                <w:sz w:val="20"/>
                <w:szCs w:val="24"/>
              </w:rPr>
            </w:pPr>
            <w:r w:rsidRPr="00E51CDD">
              <w:rPr>
                <w:color w:val="000000"/>
                <w:sz w:val="20"/>
                <w:szCs w:val="24"/>
              </w:rPr>
              <w:t>0.93</w:t>
            </w:r>
          </w:p>
        </w:tc>
      </w:tr>
      <w:tr w:rsidR="00E51CDD" w:rsidRPr="00E51CDD" w14:paraId="64EF34C5" w14:textId="77777777" w:rsidTr="009938D9">
        <w:trPr>
          <w:trHeight w:val="247"/>
        </w:trPr>
        <w:tc>
          <w:tcPr>
            <w:tcW w:w="1174" w:type="pct"/>
            <w:vAlign w:val="center"/>
          </w:tcPr>
          <w:p w14:paraId="76B1BAEC" w14:textId="77777777" w:rsidR="00E51CDD" w:rsidRPr="00E51CDD" w:rsidRDefault="00E51CDD" w:rsidP="00E51CDD">
            <w:pPr>
              <w:widowControl w:val="0"/>
              <w:rPr>
                <w:color w:val="000000"/>
                <w:sz w:val="20"/>
                <w:szCs w:val="24"/>
              </w:rPr>
            </w:pPr>
            <w:r w:rsidRPr="00E51CDD">
              <w:rPr>
                <w:color w:val="000000"/>
                <w:sz w:val="20"/>
                <w:szCs w:val="24"/>
              </w:rPr>
              <w:t>34.0</w:t>
            </w:r>
          </w:p>
        </w:tc>
        <w:tc>
          <w:tcPr>
            <w:tcW w:w="1543" w:type="pct"/>
            <w:vAlign w:val="center"/>
          </w:tcPr>
          <w:p w14:paraId="1B5CEFCA" w14:textId="77777777" w:rsidR="00E51CDD" w:rsidRPr="00E51CDD" w:rsidRDefault="00E51CDD" w:rsidP="00E51CDD">
            <w:pPr>
              <w:widowControl w:val="0"/>
              <w:rPr>
                <w:color w:val="000000"/>
                <w:sz w:val="20"/>
                <w:szCs w:val="24"/>
              </w:rPr>
            </w:pPr>
            <w:r w:rsidRPr="00E51CDD">
              <w:rPr>
                <w:color w:val="000000"/>
                <w:sz w:val="20"/>
                <w:szCs w:val="24"/>
              </w:rPr>
              <w:t>3.94</w:t>
            </w:r>
          </w:p>
        </w:tc>
        <w:tc>
          <w:tcPr>
            <w:tcW w:w="1173" w:type="pct"/>
            <w:vAlign w:val="center"/>
          </w:tcPr>
          <w:p w14:paraId="5767DC31" w14:textId="77777777" w:rsidR="00E51CDD" w:rsidRPr="00E51CDD" w:rsidRDefault="00E51CDD" w:rsidP="00E51CDD">
            <w:pPr>
              <w:widowControl w:val="0"/>
              <w:rPr>
                <w:color w:val="000000"/>
                <w:sz w:val="20"/>
                <w:szCs w:val="24"/>
              </w:rPr>
            </w:pPr>
            <w:r w:rsidRPr="00E51CDD">
              <w:rPr>
                <w:color w:val="000000"/>
                <w:sz w:val="20"/>
                <w:szCs w:val="24"/>
              </w:rPr>
              <w:t>2.37</w:t>
            </w:r>
          </w:p>
        </w:tc>
        <w:tc>
          <w:tcPr>
            <w:tcW w:w="1111" w:type="pct"/>
            <w:vAlign w:val="center"/>
          </w:tcPr>
          <w:p w14:paraId="46772C67" w14:textId="77777777" w:rsidR="00E51CDD" w:rsidRPr="00E51CDD" w:rsidRDefault="00E51CDD" w:rsidP="00E51CDD">
            <w:pPr>
              <w:widowControl w:val="0"/>
              <w:rPr>
                <w:color w:val="000000"/>
                <w:sz w:val="20"/>
                <w:szCs w:val="24"/>
              </w:rPr>
            </w:pPr>
            <w:r w:rsidRPr="00E51CDD">
              <w:rPr>
                <w:color w:val="000000"/>
                <w:sz w:val="20"/>
                <w:szCs w:val="24"/>
              </w:rPr>
              <w:t>1.58</w:t>
            </w:r>
          </w:p>
        </w:tc>
      </w:tr>
      <w:tr w:rsidR="00E51CDD" w:rsidRPr="00E51CDD" w14:paraId="22B60BB1" w14:textId="77777777" w:rsidTr="009938D9">
        <w:trPr>
          <w:trHeight w:val="247"/>
        </w:trPr>
        <w:tc>
          <w:tcPr>
            <w:tcW w:w="1174" w:type="pct"/>
            <w:vAlign w:val="center"/>
          </w:tcPr>
          <w:p w14:paraId="47C8631A" w14:textId="77777777" w:rsidR="00E51CDD" w:rsidRPr="00E51CDD" w:rsidRDefault="00E51CDD" w:rsidP="00E51CDD">
            <w:pPr>
              <w:widowControl w:val="0"/>
              <w:rPr>
                <w:color w:val="000000"/>
                <w:sz w:val="20"/>
                <w:szCs w:val="24"/>
              </w:rPr>
            </w:pPr>
            <w:r w:rsidRPr="00E51CDD">
              <w:rPr>
                <w:color w:val="000000"/>
                <w:sz w:val="20"/>
                <w:szCs w:val="24"/>
              </w:rPr>
              <w:t>57.8</w:t>
            </w:r>
          </w:p>
        </w:tc>
        <w:tc>
          <w:tcPr>
            <w:tcW w:w="1543" w:type="pct"/>
            <w:vAlign w:val="center"/>
          </w:tcPr>
          <w:p w14:paraId="6D8EA7BF" w14:textId="77777777" w:rsidR="00E51CDD" w:rsidRPr="00E51CDD" w:rsidRDefault="00E51CDD" w:rsidP="00E51CDD">
            <w:pPr>
              <w:widowControl w:val="0"/>
              <w:rPr>
                <w:color w:val="000000"/>
                <w:sz w:val="20"/>
                <w:szCs w:val="24"/>
              </w:rPr>
            </w:pPr>
            <w:r w:rsidRPr="00E51CDD">
              <w:rPr>
                <w:color w:val="000000"/>
                <w:sz w:val="20"/>
                <w:szCs w:val="24"/>
              </w:rPr>
              <w:t>6.70</w:t>
            </w:r>
          </w:p>
        </w:tc>
        <w:tc>
          <w:tcPr>
            <w:tcW w:w="1173" w:type="pct"/>
            <w:vAlign w:val="center"/>
          </w:tcPr>
          <w:p w14:paraId="14C63949" w14:textId="77777777" w:rsidR="00E51CDD" w:rsidRPr="00E51CDD" w:rsidRDefault="00E51CDD" w:rsidP="00E51CDD">
            <w:pPr>
              <w:widowControl w:val="0"/>
              <w:rPr>
                <w:color w:val="000000"/>
                <w:sz w:val="20"/>
                <w:szCs w:val="24"/>
              </w:rPr>
            </w:pPr>
            <w:r w:rsidRPr="00E51CDD">
              <w:rPr>
                <w:color w:val="000000"/>
                <w:sz w:val="20"/>
                <w:szCs w:val="24"/>
              </w:rPr>
              <w:t>4.02</w:t>
            </w:r>
          </w:p>
        </w:tc>
        <w:tc>
          <w:tcPr>
            <w:tcW w:w="1111" w:type="pct"/>
            <w:vAlign w:val="center"/>
          </w:tcPr>
          <w:p w14:paraId="13905268" w14:textId="77777777" w:rsidR="00E51CDD" w:rsidRPr="00E51CDD" w:rsidRDefault="00E51CDD" w:rsidP="00E51CDD">
            <w:pPr>
              <w:widowControl w:val="0"/>
              <w:rPr>
                <w:color w:val="000000"/>
                <w:sz w:val="20"/>
                <w:szCs w:val="24"/>
              </w:rPr>
            </w:pPr>
            <w:r w:rsidRPr="00E51CDD">
              <w:rPr>
                <w:color w:val="000000"/>
                <w:sz w:val="20"/>
                <w:szCs w:val="24"/>
              </w:rPr>
              <w:t>2.68</w:t>
            </w:r>
          </w:p>
        </w:tc>
      </w:tr>
      <w:tr w:rsidR="00E51CDD" w:rsidRPr="00E51CDD" w14:paraId="7E93DBB4" w14:textId="77777777" w:rsidTr="009938D9">
        <w:trPr>
          <w:trHeight w:val="247"/>
        </w:trPr>
        <w:tc>
          <w:tcPr>
            <w:tcW w:w="1174" w:type="pct"/>
            <w:vAlign w:val="center"/>
          </w:tcPr>
          <w:p w14:paraId="3CEB49B6" w14:textId="77777777" w:rsidR="00E51CDD" w:rsidRPr="00E51CDD" w:rsidRDefault="00E51CDD" w:rsidP="00E51CDD">
            <w:pPr>
              <w:widowControl w:val="0"/>
              <w:rPr>
                <w:color w:val="000000"/>
                <w:sz w:val="20"/>
                <w:szCs w:val="24"/>
              </w:rPr>
            </w:pPr>
            <w:r w:rsidRPr="00E51CDD">
              <w:rPr>
                <w:color w:val="000000"/>
                <w:sz w:val="20"/>
                <w:szCs w:val="24"/>
              </w:rPr>
              <w:t>98.3</w:t>
            </w:r>
          </w:p>
        </w:tc>
        <w:tc>
          <w:tcPr>
            <w:tcW w:w="1543" w:type="pct"/>
            <w:vAlign w:val="center"/>
          </w:tcPr>
          <w:p w14:paraId="29779EBD" w14:textId="77777777" w:rsidR="00E51CDD" w:rsidRPr="00E51CDD" w:rsidRDefault="00E51CDD" w:rsidP="00E51CDD">
            <w:pPr>
              <w:widowControl w:val="0"/>
              <w:rPr>
                <w:color w:val="000000"/>
                <w:sz w:val="20"/>
                <w:szCs w:val="24"/>
              </w:rPr>
            </w:pPr>
            <w:r w:rsidRPr="00E51CDD">
              <w:rPr>
                <w:color w:val="000000"/>
                <w:sz w:val="20"/>
                <w:szCs w:val="24"/>
              </w:rPr>
              <w:t>11.4</w:t>
            </w:r>
          </w:p>
        </w:tc>
        <w:tc>
          <w:tcPr>
            <w:tcW w:w="1173" w:type="pct"/>
            <w:vAlign w:val="center"/>
          </w:tcPr>
          <w:p w14:paraId="6D118768" w14:textId="77777777" w:rsidR="00E51CDD" w:rsidRPr="00E51CDD" w:rsidRDefault="00E51CDD" w:rsidP="00E51CDD">
            <w:pPr>
              <w:widowControl w:val="0"/>
              <w:rPr>
                <w:color w:val="000000"/>
                <w:sz w:val="20"/>
                <w:szCs w:val="24"/>
              </w:rPr>
            </w:pPr>
            <w:r w:rsidRPr="00E51CDD">
              <w:rPr>
                <w:color w:val="000000"/>
                <w:sz w:val="20"/>
                <w:szCs w:val="24"/>
              </w:rPr>
              <w:t>6.84</w:t>
            </w:r>
          </w:p>
        </w:tc>
        <w:tc>
          <w:tcPr>
            <w:tcW w:w="1111" w:type="pct"/>
            <w:vAlign w:val="center"/>
          </w:tcPr>
          <w:p w14:paraId="54849D50" w14:textId="77777777" w:rsidR="00E51CDD" w:rsidRPr="00E51CDD" w:rsidRDefault="00E51CDD" w:rsidP="00E51CDD">
            <w:pPr>
              <w:widowControl w:val="0"/>
              <w:rPr>
                <w:color w:val="000000"/>
                <w:sz w:val="20"/>
                <w:szCs w:val="24"/>
              </w:rPr>
            </w:pPr>
            <w:r w:rsidRPr="00E51CDD">
              <w:rPr>
                <w:color w:val="000000"/>
                <w:sz w:val="20"/>
                <w:szCs w:val="24"/>
              </w:rPr>
              <w:t>4.56</w:t>
            </w:r>
          </w:p>
        </w:tc>
      </w:tr>
      <w:tr w:rsidR="00E51CDD" w:rsidRPr="00E51CDD" w14:paraId="2AEBDF95" w14:textId="77777777" w:rsidTr="009938D9">
        <w:trPr>
          <w:trHeight w:val="247"/>
        </w:trPr>
        <w:tc>
          <w:tcPr>
            <w:tcW w:w="1174" w:type="pct"/>
            <w:vAlign w:val="center"/>
          </w:tcPr>
          <w:p w14:paraId="096079D6" w14:textId="77777777" w:rsidR="00E51CDD" w:rsidRPr="00E51CDD" w:rsidRDefault="00E51CDD" w:rsidP="00E51CDD">
            <w:pPr>
              <w:widowControl w:val="0"/>
              <w:rPr>
                <w:color w:val="000000"/>
                <w:sz w:val="20"/>
                <w:szCs w:val="24"/>
                <w:lang w:val="de-DE"/>
              </w:rPr>
            </w:pPr>
            <w:r w:rsidRPr="00E51CDD">
              <w:rPr>
                <w:color w:val="000000"/>
                <w:sz w:val="20"/>
                <w:szCs w:val="24"/>
                <w:lang w:val="de-DE"/>
              </w:rPr>
              <w:t>167.0</w:t>
            </w:r>
          </w:p>
        </w:tc>
        <w:tc>
          <w:tcPr>
            <w:tcW w:w="1543" w:type="pct"/>
            <w:vAlign w:val="center"/>
          </w:tcPr>
          <w:p w14:paraId="552EBA84" w14:textId="77777777" w:rsidR="00E51CDD" w:rsidRPr="00E51CDD" w:rsidRDefault="00E51CDD" w:rsidP="00E51CDD">
            <w:pPr>
              <w:widowControl w:val="0"/>
              <w:rPr>
                <w:color w:val="000000"/>
                <w:sz w:val="20"/>
                <w:szCs w:val="24"/>
                <w:lang w:val="de-DE"/>
              </w:rPr>
            </w:pPr>
            <w:r w:rsidRPr="00E51CDD">
              <w:rPr>
                <w:color w:val="000000"/>
                <w:sz w:val="20"/>
                <w:szCs w:val="24"/>
                <w:lang w:val="de-DE"/>
              </w:rPr>
              <w:t>19.4</w:t>
            </w:r>
          </w:p>
        </w:tc>
        <w:tc>
          <w:tcPr>
            <w:tcW w:w="1173" w:type="pct"/>
            <w:vAlign w:val="center"/>
          </w:tcPr>
          <w:p w14:paraId="7CB6477F" w14:textId="77777777" w:rsidR="00E51CDD" w:rsidRPr="00E51CDD" w:rsidRDefault="00E51CDD" w:rsidP="00E51CDD">
            <w:pPr>
              <w:widowControl w:val="0"/>
              <w:rPr>
                <w:color w:val="000000"/>
                <w:sz w:val="20"/>
                <w:szCs w:val="24"/>
                <w:lang w:val="de-DE"/>
              </w:rPr>
            </w:pPr>
            <w:r w:rsidRPr="00E51CDD">
              <w:rPr>
                <w:color w:val="000000"/>
                <w:sz w:val="20"/>
                <w:szCs w:val="24"/>
                <w:lang w:val="de-DE"/>
              </w:rPr>
              <w:t>11.62</w:t>
            </w:r>
          </w:p>
        </w:tc>
        <w:tc>
          <w:tcPr>
            <w:tcW w:w="1111" w:type="pct"/>
            <w:vAlign w:val="center"/>
          </w:tcPr>
          <w:p w14:paraId="77E1C267" w14:textId="77777777" w:rsidR="00E51CDD" w:rsidRPr="00E51CDD" w:rsidRDefault="00E51CDD" w:rsidP="00E51CDD">
            <w:pPr>
              <w:widowControl w:val="0"/>
              <w:rPr>
                <w:color w:val="000000"/>
                <w:sz w:val="20"/>
                <w:szCs w:val="24"/>
                <w:lang w:val="de-DE"/>
              </w:rPr>
            </w:pPr>
            <w:r w:rsidRPr="00E51CDD">
              <w:rPr>
                <w:color w:val="000000"/>
                <w:sz w:val="20"/>
                <w:szCs w:val="24"/>
                <w:lang w:val="de-DE"/>
              </w:rPr>
              <w:t>7.75</w:t>
            </w:r>
          </w:p>
        </w:tc>
      </w:tr>
      <w:tr w:rsidR="00E51CDD" w:rsidRPr="00E51CDD" w14:paraId="237FD31D" w14:textId="77777777" w:rsidTr="009938D9">
        <w:trPr>
          <w:trHeight w:val="247"/>
        </w:trPr>
        <w:tc>
          <w:tcPr>
            <w:tcW w:w="1174" w:type="pct"/>
            <w:vAlign w:val="center"/>
          </w:tcPr>
          <w:p w14:paraId="35ED1BD7" w14:textId="77777777" w:rsidR="00E51CDD" w:rsidRPr="00E51CDD" w:rsidRDefault="00E51CDD" w:rsidP="00E51CDD">
            <w:pPr>
              <w:widowControl w:val="0"/>
              <w:rPr>
                <w:color w:val="000000"/>
                <w:sz w:val="20"/>
                <w:szCs w:val="24"/>
                <w:lang w:val="de-DE"/>
              </w:rPr>
            </w:pPr>
            <w:r w:rsidRPr="00E51CDD">
              <w:rPr>
                <w:color w:val="000000"/>
                <w:sz w:val="20"/>
                <w:szCs w:val="24"/>
                <w:lang w:val="de-DE"/>
              </w:rPr>
              <w:t>284.0</w:t>
            </w:r>
          </w:p>
        </w:tc>
        <w:tc>
          <w:tcPr>
            <w:tcW w:w="1543" w:type="pct"/>
            <w:vAlign w:val="center"/>
          </w:tcPr>
          <w:p w14:paraId="6451D03C" w14:textId="77777777" w:rsidR="00E51CDD" w:rsidRPr="00E51CDD" w:rsidRDefault="00E51CDD" w:rsidP="00E51CDD">
            <w:pPr>
              <w:widowControl w:val="0"/>
              <w:rPr>
                <w:color w:val="000000"/>
                <w:sz w:val="20"/>
                <w:szCs w:val="24"/>
                <w:lang w:val="de-DE"/>
              </w:rPr>
            </w:pPr>
            <w:r w:rsidRPr="00E51CDD">
              <w:rPr>
                <w:color w:val="000000"/>
                <w:sz w:val="20"/>
                <w:szCs w:val="24"/>
                <w:lang w:val="de-DE"/>
              </w:rPr>
              <w:t>32.9</w:t>
            </w:r>
          </w:p>
        </w:tc>
        <w:tc>
          <w:tcPr>
            <w:tcW w:w="1173" w:type="pct"/>
            <w:vAlign w:val="center"/>
          </w:tcPr>
          <w:p w14:paraId="31AE726D" w14:textId="77777777" w:rsidR="00E51CDD" w:rsidRPr="00E51CDD" w:rsidRDefault="00E51CDD" w:rsidP="00E51CDD">
            <w:pPr>
              <w:widowControl w:val="0"/>
              <w:rPr>
                <w:color w:val="000000"/>
                <w:sz w:val="20"/>
                <w:szCs w:val="24"/>
                <w:lang w:val="de-DE"/>
              </w:rPr>
            </w:pPr>
            <w:r w:rsidRPr="00E51CDD">
              <w:rPr>
                <w:color w:val="000000"/>
                <w:sz w:val="20"/>
                <w:szCs w:val="24"/>
                <w:lang w:val="de-DE"/>
              </w:rPr>
              <w:t>19.76</w:t>
            </w:r>
          </w:p>
        </w:tc>
        <w:tc>
          <w:tcPr>
            <w:tcW w:w="1111" w:type="pct"/>
            <w:vAlign w:val="center"/>
          </w:tcPr>
          <w:p w14:paraId="0C689744" w14:textId="77777777" w:rsidR="00E51CDD" w:rsidRPr="00E51CDD" w:rsidRDefault="00E51CDD" w:rsidP="00E51CDD">
            <w:pPr>
              <w:widowControl w:val="0"/>
              <w:rPr>
                <w:color w:val="000000"/>
                <w:sz w:val="20"/>
                <w:szCs w:val="24"/>
                <w:lang w:val="de-DE"/>
              </w:rPr>
            </w:pPr>
            <w:r w:rsidRPr="00E51CDD">
              <w:rPr>
                <w:color w:val="000000"/>
                <w:sz w:val="20"/>
                <w:szCs w:val="24"/>
                <w:lang w:val="de-DE"/>
              </w:rPr>
              <w:t>13.17</w:t>
            </w:r>
          </w:p>
        </w:tc>
      </w:tr>
      <w:tr w:rsidR="00E51CDD" w:rsidRPr="00E51CDD" w14:paraId="52D1A9BE" w14:textId="77777777" w:rsidTr="009938D9">
        <w:trPr>
          <w:trHeight w:val="247"/>
        </w:trPr>
        <w:tc>
          <w:tcPr>
            <w:tcW w:w="1174" w:type="pct"/>
            <w:vAlign w:val="center"/>
          </w:tcPr>
          <w:p w14:paraId="79D2B6FB" w14:textId="77777777" w:rsidR="00E51CDD" w:rsidRPr="00E51CDD" w:rsidRDefault="00E51CDD" w:rsidP="00E51CDD">
            <w:pPr>
              <w:widowControl w:val="0"/>
              <w:rPr>
                <w:color w:val="000000"/>
                <w:sz w:val="20"/>
                <w:szCs w:val="24"/>
                <w:lang w:val="de-DE"/>
              </w:rPr>
            </w:pPr>
            <w:r w:rsidRPr="00E51CDD">
              <w:rPr>
                <w:color w:val="000000"/>
                <w:sz w:val="20"/>
                <w:szCs w:val="24"/>
                <w:lang w:val="de-DE"/>
              </w:rPr>
              <w:t>482.8</w:t>
            </w:r>
          </w:p>
        </w:tc>
        <w:tc>
          <w:tcPr>
            <w:tcW w:w="1543" w:type="pct"/>
            <w:vAlign w:val="center"/>
          </w:tcPr>
          <w:p w14:paraId="23C2A4E9" w14:textId="77777777" w:rsidR="00E51CDD" w:rsidRPr="00E51CDD" w:rsidRDefault="00E51CDD" w:rsidP="00E51CDD">
            <w:pPr>
              <w:widowControl w:val="0"/>
              <w:rPr>
                <w:color w:val="000000"/>
                <w:sz w:val="20"/>
                <w:szCs w:val="24"/>
                <w:lang w:val="de-DE"/>
              </w:rPr>
            </w:pPr>
            <w:r w:rsidRPr="00E51CDD">
              <w:rPr>
                <w:color w:val="000000"/>
                <w:sz w:val="20"/>
                <w:szCs w:val="24"/>
                <w:lang w:val="de-DE"/>
              </w:rPr>
              <w:t>56.0</w:t>
            </w:r>
          </w:p>
        </w:tc>
        <w:tc>
          <w:tcPr>
            <w:tcW w:w="1173" w:type="pct"/>
            <w:vAlign w:val="center"/>
          </w:tcPr>
          <w:p w14:paraId="7D3D3D82" w14:textId="77777777" w:rsidR="00E51CDD" w:rsidRPr="00E51CDD" w:rsidRDefault="00E51CDD" w:rsidP="00E51CDD">
            <w:pPr>
              <w:widowControl w:val="0"/>
              <w:rPr>
                <w:color w:val="000000"/>
                <w:sz w:val="20"/>
                <w:szCs w:val="24"/>
                <w:lang w:val="de-DE"/>
              </w:rPr>
            </w:pPr>
            <w:r w:rsidRPr="00E51CDD">
              <w:rPr>
                <w:color w:val="000000"/>
                <w:sz w:val="20"/>
                <w:szCs w:val="24"/>
                <w:lang w:val="de-DE"/>
              </w:rPr>
              <w:t>33.59</w:t>
            </w:r>
          </w:p>
        </w:tc>
        <w:tc>
          <w:tcPr>
            <w:tcW w:w="1111" w:type="pct"/>
            <w:vAlign w:val="center"/>
          </w:tcPr>
          <w:p w14:paraId="316D8D47" w14:textId="77777777" w:rsidR="00E51CDD" w:rsidRPr="00E51CDD" w:rsidRDefault="00E51CDD" w:rsidP="00E51CDD">
            <w:pPr>
              <w:widowControl w:val="0"/>
              <w:rPr>
                <w:color w:val="000000"/>
                <w:sz w:val="20"/>
                <w:szCs w:val="24"/>
                <w:lang w:val="de-DE"/>
              </w:rPr>
            </w:pPr>
            <w:r w:rsidRPr="00E51CDD">
              <w:rPr>
                <w:color w:val="000000"/>
                <w:sz w:val="20"/>
                <w:szCs w:val="24"/>
                <w:lang w:val="de-DE"/>
              </w:rPr>
              <w:t>22.39</w:t>
            </w:r>
          </w:p>
        </w:tc>
      </w:tr>
      <w:tr w:rsidR="00E51CDD" w:rsidRPr="00E51CDD" w14:paraId="2B080D13" w14:textId="77777777" w:rsidTr="009938D9">
        <w:trPr>
          <w:trHeight w:val="247"/>
        </w:trPr>
        <w:tc>
          <w:tcPr>
            <w:tcW w:w="1174" w:type="pct"/>
            <w:vAlign w:val="center"/>
          </w:tcPr>
          <w:p w14:paraId="5069CCC4" w14:textId="77777777" w:rsidR="00E51CDD" w:rsidRPr="00E51CDD" w:rsidRDefault="00E51CDD" w:rsidP="00E51CDD">
            <w:pPr>
              <w:widowControl w:val="0"/>
              <w:rPr>
                <w:color w:val="000000"/>
                <w:sz w:val="20"/>
                <w:szCs w:val="24"/>
              </w:rPr>
            </w:pPr>
            <w:r w:rsidRPr="00E51CDD">
              <w:rPr>
                <w:color w:val="000000"/>
                <w:sz w:val="20"/>
                <w:szCs w:val="24"/>
              </w:rPr>
              <w:t>820.7</w:t>
            </w:r>
          </w:p>
        </w:tc>
        <w:tc>
          <w:tcPr>
            <w:tcW w:w="1543" w:type="pct"/>
            <w:vAlign w:val="center"/>
          </w:tcPr>
          <w:p w14:paraId="05E166E1" w14:textId="77777777" w:rsidR="00E51CDD" w:rsidRPr="00E51CDD" w:rsidRDefault="00E51CDD" w:rsidP="00E51CDD">
            <w:pPr>
              <w:widowControl w:val="0"/>
              <w:rPr>
                <w:color w:val="000000"/>
                <w:sz w:val="20"/>
                <w:szCs w:val="24"/>
              </w:rPr>
            </w:pPr>
            <w:r w:rsidRPr="00E51CDD">
              <w:rPr>
                <w:color w:val="000000"/>
                <w:sz w:val="20"/>
                <w:szCs w:val="24"/>
              </w:rPr>
              <w:t>95.2</w:t>
            </w:r>
          </w:p>
        </w:tc>
        <w:tc>
          <w:tcPr>
            <w:tcW w:w="1173" w:type="pct"/>
            <w:vAlign w:val="center"/>
          </w:tcPr>
          <w:p w14:paraId="333479E4" w14:textId="77777777" w:rsidR="00E51CDD" w:rsidRPr="00E51CDD" w:rsidRDefault="00E51CDD" w:rsidP="00E51CDD">
            <w:pPr>
              <w:widowControl w:val="0"/>
              <w:rPr>
                <w:color w:val="000000"/>
                <w:sz w:val="20"/>
                <w:szCs w:val="24"/>
              </w:rPr>
            </w:pPr>
            <w:r w:rsidRPr="00E51CDD">
              <w:rPr>
                <w:color w:val="000000"/>
                <w:sz w:val="20"/>
                <w:szCs w:val="24"/>
              </w:rPr>
              <w:t>57.10</w:t>
            </w:r>
          </w:p>
        </w:tc>
        <w:tc>
          <w:tcPr>
            <w:tcW w:w="1111" w:type="pct"/>
            <w:vAlign w:val="center"/>
          </w:tcPr>
          <w:p w14:paraId="7F34E37C" w14:textId="77777777" w:rsidR="00E51CDD" w:rsidRPr="00E51CDD" w:rsidRDefault="00E51CDD" w:rsidP="00E51CDD">
            <w:pPr>
              <w:widowControl w:val="0"/>
              <w:rPr>
                <w:color w:val="000000"/>
                <w:sz w:val="20"/>
                <w:szCs w:val="24"/>
              </w:rPr>
            </w:pPr>
            <w:r w:rsidRPr="00E51CDD">
              <w:rPr>
                <w:color w:val="000000"/>
                <w:sz w:val="20"/>
                <w:szCs w:val="24"/>
              </w:rPr>
              <w:t>38.07</w:t>
            </w:r>
          </w:p>
        </w:tc>
      </w:tr>
    </w:tbl>
    <w:p w14:paraId="6EEA63A6" w14:textId="77777777" w:rsidR="00E51CDD" w:rsidRPr="00E51CDD" w:rsidRDefault="00E51CDD" w:rsidP="00E51CDD">
      <w:pPr>
        <w:widowControl w:val="0"/>
        <w:ind w:left="2160" w:hanging="120"/>
        <w:jc w:val="both"/>
        <w:rPr>
          <w:sz w:val="18"/>
          <w:szCs w:val="18"/>
          <w:lang w:eastAsia="en-US"/>
        </w:rPr>
      </w:pPr>
      <w:r w:rsidRPr="00E51CDD">
        <w:rPr>
          <w:sz w:val="18"/>
          <w:szCs w:val="18"/>
          <w:vertAlign w:val="superscript"/>
          <w:lang w:eastAsia="en-US"/>
        </w:rPr>
        <w:t>*</w:t>
      </w:r>
      <w:r w:rsidRPr="00E51CDD">
        <w:rPr>
          <w:sz w:val="18"/>
          <w:szCs w:val="18"/>
          <w:lang w:eastAsia="en-US"/>
        </w:rPr>
        <w:t xml:space="preserve"> The amounts of BAS 700 F and BAS 9164 F were calculated based on the nominal contents a.s. The density (1.078 g/cm³) was taken into account.</w:t>
      </w:r>
    </w:p>
    <w:p w14:paraId="30FDB7AA" w14:textId="77777777" w:rsidR="00E51CDD" w:rsidRPr="00E51CDD" w:rsidRDefault="00E51CDD" w:rsidP="00E51CDD">
      <w:pPr>
        <w:widowControl w:val="0"/>
        <w:jc w:val="both"/>
        <w:rPr>
          <w:color w:val="0070C0"/>
          <w:szCs w:val="24"/>
          <w:lang w:eastAsia="en-US"/>
        </w:rPr>
      </w:pPr>
    </w:p>
    <w:p w14:paraId="107BBF04" w14:textId="77777777" w:rsidR="00E51CDD" w:rsidRPr="00E51CDD" w:rsidRDefault="00E51CDD" w:rsidP="00E51CDD">
      <w:pPr>
        <w:widowControl w:val="0"/>
        <w:jc w:val="both"/>
        <w:rPr>
          <w:color w:val="0070C0"/>
          <w:szCs w:val="24"/>
          <w:lang w:eastAsia="en-US"/>
        </w:rPr>
      </w:pPr>
    </w:p>
    <w:p w14:paraId="765BB027" w14:textId="77777777" w:rsidR="00E51CDD" w:rsidRPr="00E51CDD" w:rsidRDefault="00E51CDD" w:rsidP="00E51CDD">
      <w:pPr>
        <w:widowControl w:val="0"/>
        <w:tabs>
          <w:tab w:val="left" w:pos="2040"/>
        </w:tabs>
        <w:ind w:left="2040" w:hanging="2040"/>
        <w:jc w:val="both"/>
        <w:rPr>
          <w:color w:val="0070C0"/>
          <w:szCs w:val="24"/>
          <w:lang w:eastAsia="en-US"/>
        </w:rPr>
      </w:pPr>
      <w:r w:rsidRPr="00E51CDD">
        <w:rPr>
          <w:szCs w:val="24"/>
          <w:lang w:eastAsia="en-US"/>
        </w:rPr>
        <w:t xml:space="preserve">Test conditions: </w:t>
      </w:r>
      <w:r w:rsidRPr="00E51CDD">
        <w:rPr>
          <w:szCs w:val="24"/>
          <w:lang w:eastAsia="en-US"/>
        </w:rPr>
        <w:tab/>
        <w:t>Artificial soil according to OECD 222 (10% peat); pH 5.87 – 6.03 at test initiation, 5.65 – 5.73 at test end; water content 55.7 – 56.0% of max. water holding capacity (WHC) at</w:t>
      </w:r>
      <w:r w:rsidRPr="00E51CDD">
        <w:rPr>
          <w:rFonts w:ascii="Arial" w:eastAsia="Calibri" w:hAnsi="Arial" w:cs="Arial"/>
          <w:color w:val="000000"/>
          <w:sz w:val="20"/>
          <w:szCs w:val="20"/>
          <w:lang w:eastAsia="en-US"/>
        </w:rPr>
        <w:t xml:space="preserve"> </w:t>
      </w:r>
      <w:r w:rsidRPr="00E51CDD">
        <w:rPr>
          <w:szCs w:val="24"/>
          <w:lang w:eastAsia="en-US"/>
        </w:rPr>
        <w:t>test start and 54.5 – 55.8% of WHC at test end; temperature: 19.4 °C – 21.6 °C; photoperiod: 16 hours light: 8 hours dark, light intensity: 630 lux, food: horse manure.</w:t>
      </w:r>
    </w:p>
    <w:p w14:paraId="3681AEBF" w14:textId="77777777" w:rsidR="00E51CDD" w:rsidRPr="00E51CDD" w:rsidRDefault="00E51CDD" w:rsidP="00E51CDD">
      <w:pPr>
        <w:widowControl w:val="0"/>
        <w:tabs>
          <w:tab w:val="left" w:pos="2040"/>
        </w:tabs>
        <w:ind w:left="2040" w:hanging="2040"/>
        <w:jc w:val="both"/>
        <w:rPr>
          <w:szCs w:val="24"/>
          <w:lang w:eastAsia="en-US"/>
        </w:rPr>
      </w:pPr>
    </w:p>
    <w:p w14:paraId="2819A27D" w14:textId="77777777" w:rsidR="00E51CDD" w:rsidRPr="00E51CDD" w:rsidRDefault="00E51CDD" w:rsidP="00E51CDD">
      <w:pPr>
        <w:widowControl w:val="0"/>
        <w:tabs>
          <w:tab w:val="left" w:pos="2040"/>
        </w:tabs>
        <w:ind w:left="2040" w:hanging="2040"/>
        <w:jc w:val="both"/>
        <w:rPr>
          <w:szCs w:val="24"/>
          <w:lang w:eastAsia="en-US"/>
        </w:rPr>
      </w:pPr>
      <w:r w:rsidRPr="00E51CDD">
        <w:rPr>
          <w:szCs w:val="24"/>
          <w:lang w:eastAsia="en-US"/>
        </w:rPr>
        <w:t>Analytics:</w:t>
      </w:r>
      <w:r w:rsidRPr="00E51CDD">
        <w:rPr>
          <w:szCs w:val="24"/>
          <w:lang w:eastAsia="en-US"/>
        </w:rPr>
        <w:tab/>
        <w:t>No analytical verification of the test item is required according to the current test guideline. Hence, no analytical verification was conducted.</w:t>
      </w:r>
    </w:p>
    <w:p w14:paraId="7A7B6BB9" w14:textId="77777777" w:rsidR="00E51CDD" w:rsidRPr="00E51CDD" w:rsidRDefault="00E51CDD" w:rsidP="00E51CDD">
      <w:pPr>
        <w:widowControl w:val="0"/>
        <w:jc w:val="both"/>
        <w:rPr>
          <w:szCs w:val="24"/>
          <w:lang w:eastAsia="en-US"/>
        </w:rPr>
      </w:pPr>
      <w:r w:rsidRPr="00E51CDD">
        <w:rPr>
          <w:szCs w:val="24"/>
          <w:lang w:eastAsia="en-US"/>
        </w:rPr>
        <w:br w:type="page"/>
      </w:r>
    </w:p>
    <w:p w14:paraId="6BE0A1FF" w14:textId="77777777" w:rsidR="00E51CDD" w:rsidRPr="00E51CDD" w:rsidRDefault="00E51CDD" w:rsidP="00E51CDD">
      <w:pPr>
        <w:widowControl w:val="0"/>
        <w:tabs>
          <w:tab w:val="left" w:pos="2040"/>
        </w:tabs>
        <w:ind w:left="2040" w:hanging="2040"/>
        <w:jc w:val="both"/>
        <w:rPr>
          <w:szCs w:val="24"/>
          <w:lang w:eastAsia="en-US"/>
        </w:rPr>
      </w:pPr>
      <w:r w:rsidRPr="00E51CDD">
        <w:rPr>
          <w:szCs w:val="24"/>
          <w:lang w:eastAsia="en-US"/>
        </w:rPr>
        <w:lastRenderedPageBreak/>
        <w:t>Statistics:</w:t>
      </w:r>
      <w:r w:rsidRPr="00E51CDD">
        <w:rPr>
          <w:szCs w:val="24"/>
          <w:lang w:eastAsia="en-US"/>
        </w:rPr>
        <w:tab/>
        <w:t xml:space="preserve">Descriptive statistics; </w:t>
      </w:r>
      <w:r w:rsidRPr="00E51CDD">
        <w:rPr>
          <w:rFonts w:eastAsia="Calibri"/>
          <w:lang w:eastAsia="en-US"/>
        </w:rPr>
        <w:t xml:space="preserve">Multiple Sequentially-rejective Fisher test after Bonferroni-Holm (α = 0.05, one-sided greater) for mortality, </w:t>
      </w:r>
      <w:r w:rsidRPr="00E51CDD">
        <w:t xml:space="preserve">Dunnett’s t-test for weight change and </w:t>
      </w:r>
      <w:r w:rsidRPr="00E51CDD">
        <w:rPr>
          <w:szCs w:val="24"/>
          <w:lang w:eastAsia="en-US"/>
        </w:rPr>
        <w:t>Williams t-test (</w:t>
      </w:r>
      <w:r w:rsidRPr="00E51CDD">
        <w:rPr>
          <w:szCs w:val="24"/>
          <w:lang w:eastAsia="en-US"/>
        </w:rPr>
        <w:sym w:font="Symbol" w:char="F061"/>
      </w:r>
      <w:r w:rsidRPr="00E51CDD">
        <w:rPr>
          <w:szCs w:val="24"/>
          <w:lang w:eastAsia="en-US"/>
        </w:rPr>
        <w:t> = 0.05, one-sided smaller) for reproduction;</w:t>
      </w:r>
      <w:r w:rsidRPr="00E51CDD">
        <w:rPr>
          <w:rFonts w:eastAsia="Calibri"/>
          <w:lang w:eastAsia="en-US"/>
        </w:rPr>
        <w:t xml:space="preserve"> 3-parametric normal cumulative distribution function (CDF) for calculation of EC</w:t>
      </w:r>
      <w:r w:rsidRPr="00E51CDD">
        <w:rPr>
          <w:rFonts w:eastAsia="Calibri"/>
          <w:vertAlign w:val="subscript"/>
          <w:lang w:eastAsia="en-US"/>
        </w:rPr>
        <w:t>x</w:t>
      </w:r>
      <w:r w:rsidRPr="00E51CDD">
        <w:rPr>
          <w:rFonts w:eastAsia="Calibri"/>
          <w:lang w:eastAsia="en-US"/>
        </w:rPr>
        <w:t>.</w:t>
      </w:r>
    </w:p>
    <w:p w14:paraId="23B3B557" w14:textId="77777777" w:rsidR="00E51CDD" w:rsidRPr="00E51CDD" w:rsidRDefault="00E51CDD" w:rsidP="00E51CDD">
      <w:pPr>
        <w:rPr>
          <w:color w:val="0070C0"/>
          <w:szCs w:val="24"/>
          <w:lang w:eastAsia="en-US"/>
        </w:rPr>
      </w:pPr>
    </w:p>
    <w:p w14:paraId="40408E44" w14:textId="77777777" w:rsidR="00E51CDD" w:rsidRPr="00E51CDD" w:rsidRDefault="00E51CDD" w:rsidP="00E51CDD">
      <w:pPr>
        <w:rPr>
          <w:color w:val="0070C0"/>
          <w:szCs w:val="24"/>
          <w:lang w:eastAsia="en-US"/>
        </w:rPr>
      </w:pPr>
    </w:p>
    <w:p w14:paraId="079EA15F" w14:textId="77777777" w:rsidR="00E51CDD" w:rsidRPr="00E51CDD" w:rsidRDefault="00E51CDD" w:rsidP="00E51CDD">
      <w:pPr>
        <w:widowControl w:val="0"/>
        <w:tabs>
          <w:tab w:val="left" w:pos="425"/>
          <w:tab w:val="left" w:pos="850"/>
        </w:tabs>
        <w:ind w:left="2835" w:hanging="2835"/>
        <w:rPr>
          <w:b/>
          <w:bCs/>
        </w:rPr>
      </w:pPr>
      <w:r w:rsidRPr="00E51CDD">
        <w:rPr>
          <w:b/>
          <w:bCs/>
        </w:rPr>
        <w:t>II.</w:t>
      </w:r>
      <w:r w:rsidRPr="00E51CDD">
        <w:rPr>
          <w:b/>
          <w:bCs/>
        </w:rPr>
        <w:tab/>
        <w:t>RESULTS AND DISCUSSION</w:t>
      </w:r>
    </w:p>
    <w:p w14:paraId="6BA164BE" w14:textId="77777777" w:rsidR="00E51CDD" w:rsidRPr="00E51CDD" w:rsidRDefault="00E51CDD" w:rsidP="00E51CDD">
      <w:pPr>
        <w:widowControl w:val="0"/>
        <w:jc w:val="both"/>
        <w:rPr>
          <w:szCs w:val="24"/>
          <w:lang w:eastAsia="en-US"/>
        </w:rPr>
      </w:pPr>
    </w:p>
    <w:p w14:paraId="29A2C5CF" w14:textId="5DC89644" w:rsidR="00E51CDD" w:rsidRPr="00E51CDD" w:rsidRDefault="00E51CDD" w:rsidP="00E51CDD">
      <w:pPr>
        <w:widowControl w:val="0"/>
        <w:jc w:val="both"/>
        <w:rPr>
          <w:szCs w:val="24"/>
          <w:lang w:eastAsia="en-US"/>
        </w:rPr>
      </w:pPr>
      <w:r w:rsidRPr="00E51CDD">
        <w:rPr>
          <w:szCs w:val="24"/>
        </w:rPr>
        <w:t>After 28 days of exposure, no statistically significant effects on mortality and body weight were observed</w:t>
      </w:r>
      <w:r w:rsidRPr="00E51CDD">
        <w:rPr>
          <w:szCs w:val="24"/>
          <w:lang w:eastAsia="en-US"/>
        </w:rPr>
        <w:t xml:space="preserve">. The mortality of adult worms ranged between 0 – 7.5% in the test item treated groups and was 1.3% in the control group. The weight change of adult worms was 25.3 – 33.1% in the test item treated groups and 30.4% in the control group. The feeding activity in all test item treated groups was comparable to the control. The reproduction rate was </w:t>
      </w:r>
      <w:r w:rsidRPr="00E51CDD">
        <w:rPr>
          <w:szCs w:val="24"/>
        </w:rPr>
        <w:t>statistically</w:t>
      </w:r>
      <w:r w:rsidRPr="00E51CDD">
        <w:rPr>
          <w:szCs w:val="24"/>
          <w:lang w:eastAsia="en-US"/>
        </w:rPr>
        <w:t xml:space="preserve"> significantly different compared to the control at concentrations of 482.8 and 820.7 mg BAS 736 00 F/kg dry soil (Williams-t-test, α = 0.05, one-sided smaller). No pathological symptoms and no further effects on behavior of the worms were observed. The results are summarized in </w:t>
      </w:r>
      <w:r w:rsidRPr="00E51CDD">
        <w:rPr>
          <w:szCs w:val="24"/>
          <w:lang w:eastAsia="en-US"/>
        </w:rPr>
        <w:fldChar w:fldCharType="begin"/>
      </w:r>
      <w:r w:rsidRPr="00E51CDD">
        <w:rPr>
          <w:szCs w:val="24"/>
          <w:lang w:eastAsia="en-US"/>
        </w:rPr>
        <w:instrText xml:space="preserve"> REF _Ref83889779 \h  \* MERGEFORMAT </w:instrText>
      </w:r>
      <w:r w:rsidRPr="00E51CDD">
        <w:rPr>
          <w:szCs w:val="24"/>
          <w:lang w:eastAsia="en-US"/>
        </w:rPr>
      </w:r>
      <w:r w:rsidRPr="00E51CDD">
        <w:rPr>
          <w:szCs w:val="24"/>
          <w:lang w:eastAsia="en-US"/>
        </w:rPr>
        <w:fldChar w:fldCharType="separate"/>
      </w:r>
      <w:r w:rsidR="00662F32" w:rsidRPr="00662F32">
        <w:t xml:space="preserve">Table A </w:t>
      </w:r>
      <w:r w:rsidR="00662F32" w:rsidRPr="00662F32">
        <w:rPr>
          <w:noProof/>
        </w:rPr>
        <w:t>32</w:t>
      </w:r>
      <w:r w:rsidRPr="00E51CDD">
        <w:rPr>
          <w:szCs w:val="24"/>
          <w:lang w:eastAsia="en-US"/>
        </w:rPr>
        <w:fldChar w:fldCharType="end"/>
      </w:r>
      <w:r w:rsidRPr="00E51CDD">
        <w:rPr>
          <w:szCs w:val="24"/>
          <w:lang w:eastAsia="en-US"/>
        </w:rPr>
        <w:t>.</w:t>
      </w:r>
    </w:p>
    <w:p w14:paraId="648B688B" w14:textId="77777777" w:rsidR="00E51CDD" w:rsidRPr="00E51CDD" w:rsidRDefault="00E51CDD" w:rsidP="00E51CDD">
      <w:pPr>
        <w:widowControl w:val="0"/>
        <w:jc w:val="both"/>
        <w:rPr>
          <w:szCs w:val="24"/>
          <w:lang w:eastAsia="en-US"/>
        </w:rPr>
      </w:pPr>
    </w:p>
    <w:p w14:paraId="53368E3D" w14:textId="1444E913" w:rsidR="00E51CDD" w:rsidRPr="00E51CDD" w:rsidRDefault="00E51CDD" w:rsidP="00E51CDD">
      <w:bookmarkStart w:id="1262" w:name="_Ref83889779"/>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32</w:t>
      </w:r>
      <w:r w:rsidRPr="00E51CDD">
        <w:rPr>
          <w:b/>
          <w:bCs/>
        </w:rPr>
        <w:fldChar w:fldCharType="end"/>
      </w:r>
      <w:bookmarkEnd w:id="1262"/>
      <w:r w:rsidRPr="00E51CDD">
        <w:rPr>
          <w:b/>
          <w:bCs/>
          <w:lang w:eastAsia="zh-CN"/>
        </w:rPr>
        <w:t>:</w:t>
      </w:r>
      <w:r w:rsidRPr="00E51CDD">
        <w:rPr>
          <w:b/>
          <w:bCs/>
          <w:lang w:eastAsia="zh-CN"/>
        </w:rPr>
        <w:tab/>
        <w:t xml:space="preserve">Effects of BAS 736 00 F on </w:t>
      </w:r>
      <w:r w:rsidRPr="00E51CDD">
        <w:rPr>
          <w:b/>
          <w:bCs/>
          <w:i/>
          <w:iCs/>
          <w:lang w:eastAsia="zh-CN"/>
        </w:rPr>
        <w:t>Eisenia andrei</w:t>
      </w:r>
      <w:r w:rsidRPr="00E51CDD">
        <w:rPr>
          <w:b/>
          <w:bCs/>
          <w:lang w:eastAsia="zh-CN"/>
        </w:rPr>
        <w:t xml:space="preserve"> in a 56-day reproduction study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372"/>
        <w:gridCol w:w="781"/>
        <w:gridCol w:w="773"/>
        <w:gridCol w:w="774"/>
        <w:gridCol w:w="776"/>
        <w:gridCol w:w="776"/>
        <w:gridCol w:w="776"/>
        <w:gridCol w:w="774"/>
        <w:gridCol w:w="774"/>
        <w:gridCol w:w="768"/>
      </w:tblGrid>
      <w:tr w:rsidR="00E51CDD" w:rsidRPr="00E51CDD" w14:paraId="5F33BE15" w14:textId="77777777" w:rsidTr="009938D9">
        <w:trPr>
          <w:cantSplit/>
        </w:trPr>
        <w:tc>
          <w:tcPr>
            <w:tcW w:w="1270" w:type="pct"/>
            <w:vAlign w:val="center"/>
          </w:tcPr>
          <w:p w14:paraId="6EFB89A8" w14:textId="77777777" w:rsidR="00E51CDD" w:rsidRPr="00E51CDD" w:rsidRDefault="00E51CDD" w:rsidP="00E51CDD">
            <w:pPr>
              <w:widowControl w:val="0"/>
              <w:spacing w:before="40" w:after="40"/>
              <w:rPr>
                <w:b/>
                <w:bCs/>
                <w:sz w:val="20"/>
                <w:szCs w:val="20"/>
                <w:lang w:eastAsia="en-US"/>
              </w:rPr>
            </w:pPr>
            <w:r w:rsidRPr="00E51CDD">
              <w:rPr>
                <w:b/>
                <w:bCs/>
                <w:sz w:val="20"/>
                <w:szCs w:val="20"/>
                <w:lang w:eastAsia="en-US"/>
              </w:rPr>
              <w:t>BAS 736 00 F</w:t>
            </w:r>
            <w:r w:rsidRPr="00E51CDD">
              <w:rPr>
                <w:b/>
                <w:bCs/>
                <w:sz w:val="20"/>
                <w:szCs w:val="20"/>
                <w:lang w:eastAsia="en-US"/>
              </w:rPr>
              <w:br/>
            </w:r>
            <w:r w:rsidRPr="00E51CDD">
              <w:rPr>
                <w:b/>
                <w:bCs/>
                <w:sz w:val="20"/>
                <w:szCs w:val="20"/>
                <w:lang w:eastAsia="en-US"/>
              </w:rPr>
              <w:sym w:font="Symbol" w:char="F05B"/>
            </w:r>
            <w:r w:rsidRPr="00E51CDD">
              <w:rPr>
                <w:b/>
                <w:bCs/>
                <w:sz w:val="20"/>
                <w:szCs w:val="20"/>
                <w:lang w:eastAsia="en-US"/>
              </w:rPr>
              <w:t>mg/kg dry soil</w:t>
            </w:r>
            <w:r w:rsidRPr="00E51CDD">
              <w:rPr>
                <w:b/>
                <w:bCs/>
                <w:sz w:val="20"/>
                <w:szCs w:val="20"/>
                <w:lang w:eastAsia="en-US"/>
              </w:rPr>
              <w:sym w:font="Symbol" w:char="F05D"/>
            </w:r>
          </w:p>
        </w:tc>
        <w:tc>
          <w:tcPr>
            <w:tcW w:w="418" w:type="pct"/>
            <w:vAlign w:val="center"/>
          </w:tcPr>
          <w:p w14:paraId="42DCE785" w14:textId="77777777" w:rsidR="00E51CDD" w:rsidRPr="00E51CDD" w:rsidRDefault="00E51CDD" w:rsidP="00E51CDD">
            <w:pPr>
              <w:widowControl w:val="0"/>
              <w:spacing w:before="40" w:after="40"/>
              <w:jc w:val="center"/>
              <w:rPr>
                <w:b/>
                <w:bCs/>
                <w:sz w:val="20"/>
                <w:szCs w:val="20"/>
                <w:lang w:eastAsia="en-US"/>
              </w:rPr>
            </w:pPr>
            <w:r w:rsidRPr="00E51CDD">
              <w:rPr>
                <w:b/>
                <w:bCs/>
                <w:sz w:val="20"/>
                <w:szCs w:val="20"/>
                <w:lang w:eastAsia="en-US"/>
              </w:rPr>
              <w:t>Control</w:t>
            </w:r>
          </w:p>
        </w:tc>
        <w:tc>
          <w:tcPr>
            <w:tcW w:w="414" w:type="pct"/>
            <w:vAlign w:val="center"/>
          </w:tcPr>
          <w:p w14:paraId="2FAAABF7" w14:textId="77777777" w:rsidR="00E51CDD" w:rsidRPr="00E51CDD" w:rsidRDefault="00E51CDD" w:rsidP="00E51CDD">
            <w:pPr>
              <w:widowControl w:val="0"/>
              <w:spacing w:before="40" w:after="40"/>
              <w:jc w:val="center"/>
              <w:rPr>
                <w:b/>
                <w:bCs/>
                <w:sz w:val="20"/>
                <w:szCs w:val="20"/>
                <w:lang w:eastAsia="en-US"/>
              </w:rPr>
            </w:pPr>
            <w:r w:rsidRPr="00E51CDD">
              <w:rPr>
                <w:b/>
                <w:bCs/>
                <w:sz w:val="20"/>
                <w:szCs w:val="20"/>
                <w:lang w:eastAsia="en-US"/>
              </w:rPr>
              <w:t>20.0</w:t>
            </w:r>
          </w:p>
        </w:tc>
        <w:tc>
          <w:tcPr>
            <w:tcW w:w="414" w:type="pct"/>
            <w:vAlign w:val="center"/>
          </w:tcPr>
          <w:p w14:paraId="4193E39E" w14:textId="77777777" w:rsidR="00E51CDD" w:rsidRPr="00E51CDD" w:rsidRDefault="00E51CDD" w:rsidP="00E51CDD">
            <w:pPr>
              <w:widowControl w:val="0"/>
              <w:spacing w:before="40" w:after="40"/>
              <w:jc w:val="center"/>
              <w:rPr>
                <w:b/>
                <w:bCs/>
                <w:sz w:val="20"/>
                <w:szCs w:val="20"/>
                <w:lang w:eastAsia="en-US"/>
              </w:rPr>
            </w:pPr>
            <w:r w:rsidRPr="00E51CDD">
              <w:rPr>
                <w:b/>
                <w:bCs/>
                <w:sz w:val="20"/>
                <w:szCs w:val="20"/>
                <w:lang w:eastAsia="en-US"/>
              </w:rPr>
              <w:t>34.0</w:t>
            </w:r>
          </w:p>
        </w:tc>
        <w:tc>
          <w:tcPr>
            <w:tcW w:w="415" w:type="pct"/>
            <w:vAlign w:val="center"/>
          </w:tcPr>
          <w:p w14:paraId="619009C6" w14:textId="77777777" w:rsidR="00E51CDD" w:rsidRPr="00E51CDD" w:rsidRDefault="00E51CDD" w:rsidP="00E51CDD">
            <w:pPr>
              <w:widowControl w:val="0"/>
              <w:spacing w:before="40" w:after="40"/>
              <w:jc w:val="center"/>
              <w:rPr>
                <w:b/>
                <w:bCs/>
                <w:sz w:val="20"/>
                <w:szCs w:val="20"/>
                <w:lang w:eastAsia="en-US"/>
              </w:rPr>
            </w:pPr>
            <w:r w:rsidRPr="00E51CDD">
              <w:rPr>
                <w:b/>
                <w:bCs/>
                <w:sz w:val="20"/>
                <w:szCs w:val="20"/>
                <w:lang w:eastAsia="en-US"/>
              </w:rPr>
              <w:t>57.8</w:t>
            </w:r>
          </w:p>
        </w:tc>
        <w:tc>
          <w:tcPr>
            <w:tcW w:w="415" w:type="pct"/>
            <w:vAlign w:val="center"/>
          </w:tcPr>
          <w:p w14:paraId="6DD3E7EA" w14:textId="77777777" w:rsidR="00E51CDD" w:rsidRPr="00E51CDD" w:rsidRDefault="00E51CDD" w:rsidP="00E51CDD">
            <w:pPr>
              <w:widowControl w:val="0"/>
              <w:spacing w:before="40" w:after="40"/>
              <w:jc w:val="center"/>
              <w:rPr>
                <w:b/>
                <w:bCs/>
                <w:sz w:val="20"/>
                <w:szCs w:val="20"/>
                <w:lang w:eastAsia="en-US"/>
              </w:rPr>
            </w:pPr>
            <w:r w:rsidRPr="00E51CDD">
              <w:rPr>
                <w:b/>
                <w:bCs/>
                <w:sz w:val="20"/>
                <w:szCs w:val="20"/>
                <w:lang w:eastAsia="en-US"/>
              </w:rPr>
              <w:t>98.3</w:t>
            </w:r>
          </w:p>
        </w:tc>
        <w:tc>
          <w:tcPr>
            <w:tcW w:w="415" w:type="pct"/>
            <w:vAlign w:val="center"/>
          </w:tcPr>
          <w:p w14:paraId="7574E6ED" w14:textId="77777777" w:rsidR="00E51CDD" w:rsidRPr="00E51CDD" w:rsidRDefault="00E51CDD" w:rsidP="00E51CDD">
            <w:pPr>
              <w:widowControl w:val="0"/>
              <w:spacing w:before="40" w:after="40"/>
              <w:jc w:val="center"/>
              <w:rPr>
                <w:b/>
                <w:bCs/>
                <w:sz w:val="20"/>
                <w:szCs w:val="20"/>
                <w:lang w:eastAsia="en-US"/>
              </w:rPr>
            </w:pPr>
            <w:r w:rsidRPr="00E51CDD">
              <w:rPr>
                <w:b/>
                <w:bCs/>
                <w:sz w:val="20"/>
                <w:szCs w:val="20"/>
                <w:lang w:eastAsia="en-US"/>
              </w:rPr>
              <w:t>167.0</w:t>
            </w:r>
          </w:p>
        </w:tc>
        <w:tc>
          <w:tcPr>
            <w:tcW w:w="414" w:type="pct"/>
            <w:vAlign w:val="center"/>
          </w:tcPr>
          <w:p w14:paraId="20CC1A18" w14:textId="77777777" w:rsidR="00E51CDD" w:rsidRPr="00E51CDD" w:rsidRDefault="00E51CDD" w:rsidP="00E51CDD">
            <w:pPr>
              <w:widowControl w:val="0"/>
              <w:spacing w:before="40" w:after="40"/>
              <w:jc w:val="center"/>
              <w:rPr>
                <w:b/>
                <w:bCs/>
                <w:sz w:val="20"/>
                <w:szCs w:val="20"/>
                <w:lang w:eastAsia="en-US"/>
              </w:rPr>
            </w:pPr>
            <w:r w:rsidRPr="00E51CDD">
              <w:rPr>
                <w:b/>
                <w:bCs/>
                <w:sz w:val="20"/>
                <w:szCs w:val="20"/>
                <w:lang w:eastAsia="en-US"/>
              </w:rPr>
              <w:t>284.0</w:t>
            </w:r>
          </w:p>
        </w:tc>
        <w:tc>
          <w:tcPr>
            <w:tcW w:w="414" w:type="pct"/>
            <w:vAlign w:val="center"/>
          </w:tcPr>
          <w:p w14:paraId="5111D845" w14:textId="77777777" w:rsidR="00E51CDD" w:rsidRPr="00E51CDD" w:rsidRDefault="00E51CDD" w:rsidP="00E51CDD">
            <w:pPr>
              <w:widowControl w:val="0"/>
              <w:spacing w:before="40" w:after="40"/>
              <w:jc w:val="center"/>
              <w:rPr>
                <w:b/>
                <w:bCs/>
                <w:sz w:val="20"/>
                <w:szCs w:val="20"/>
                <w:lang w:eastAsia="en-US"/>
              </w:rPr>
            </w:pPr>
            <w:r w:rsidRPr="00E51CDD">
              <w:rPr>
                <w:b/>
                <w:bCs/>
                <w:sz w:val="20"/>
                <w:szCs w:val="20"/>
                <w:lang w:eastAsia="en-US"/>
              </w:rPr>
              <w:t>482.8</w:t>
            </w:r>
          </w:p>
        </w:tc>
        <w:tc>
          <w:tcPr>
            <w:tcW w:w="411" w:type="pct"/>
            <w:vAlign w:val="center"/>
          </w:tcPr>
          <w:p w14:paraId="34A2A8D5" w14:textId="77777777" w:rsidR="00E51CDD" w:rsidRPr="00E51CDD" w:rsidRDefault="00E51CDD" w:rsidP="00E51CDD">
            <w:pPr>
              <w:widowControl w:val="0"/>
              <w:spacing w:before="40" w:after="40"/>
              <w:jc w:val="center"/>
              <w:rPr>
                <w:b/>
                <w:bCs/>
                <w:sz w:val="20"/>
                <w:szCs w:val="20"/>
                <w:lang w:eastAsia="en-US"/>
              </w:rPr>
            </w:pPr>
            <w:r w:rsidRPr="00E51CDD">
              <w:rPr>
                <w:b/>
                <w:bCs/>
                <w:sz w:val="20"/>
                <w:szCs w:val="20"/>
                <w:lang w:eastAsia="en-US"/>
              </w:rPr>
              <w:t>820.7</w:t>
            </w:r>
          </w:p>
        </w:tc>
      </w:tr>
      <w:tr w:rsidR="00E51CDD" w:rsidRPr="00E51CDD" w14:paraId="05C0E440" w14:textId="77777777" w:rsidTr="009938D9">
        <w:trPr>
          <w:cantSplit/>
        </w:trPr>
        <w:tc>
          <w:tcPr>
            <w:tcW w:w="1270" w:type="pct"/>
            <w:vAlign w:val="center"/>
          </w:tcPr>
          <w:p w14:paraId="5F100923" w14:textId="77777777" w:rsidR="00E51CDD" w:rsidRPr="00E51CDD" w:rsidRDefault="00E51CDD" w:rsidP="00E51CDD">
            <w:pPr>
              <w:widowControl w:val="0"/>
              <w:spacing w:before="40" w:after="40"/>
              <w:rPr>
                <w:sz w:val="20"/>
                <w:szCs w:val="20"/>
                <w:lang w:eastAsia="en-US"/>
              </w:rPr>
            </w:pPr>
            <w:r w:rsidRPr="00E51CDD">
              <w:rPr>
                <w:sz w:val="20"/>
                <w:szCs w:val="20"/>
                <w:lang w:eastAsia="en-US"/>
              </w:rPr>
              <w:t>Mortality (28 d) [%]</w:t>
            </w:r>
          </w:p>
        </w:tc>
        <w:tc>
          <w:tcPr>
            <w:tcW w:w="418" w:type="pct"/>
            <w:vAlign w:val="center"/>
          </w:tcPr>
          <w:p w14:paraId="053B77EF"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1.3</w:t>
            </w:r>
          </w:p>
        </w:tc>
        <w:tc>
          <w:tcPr>
            <w:tcW w:w="414" w:type="pct"/>
            <w:vAlign w:val="center"/>
          </w:tcPr>
          <w:p w14:paraId="5574B4BC"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0.0</w:t>
            </w:r>
          </w:p>
        </w:tc>
        <w:tc>
          <w:tcPr>
            <w:tcW w:w="414" w:type="pct"/>
            <w:vAlign w:val="center"/>
          </w:tcPr>
          <w:p w14:paraId="794670E0"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2.5</w:t>
            </w:r>
          </w:p>
        </w:tc>
        <w:tc>
          <w:tcPr>
            <w:tcW w:w="415" w:type="pct"/>
            <w:vAlign w:val="center"/>
          </w:tcPr>
          <w:p w14:paraId="1E6546C0"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0.0</w:t>
            </w:r>
          </w:p>
        </w:tc>
        <w:tc>
          <w:tcPr>
            <w:tcW w:w="415" w:type="pct"/>
            <w:vAlign w:val="center"/>
          </w:tcPr>
          <w:p w14:paraId="2E57F384"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0.0</w:t>
            </w:r>
          </w:p>
        </w:tc>
        <w:tc>
          <w:tcPr>
            <w:tcW w:w="415" w:type="pct"/>
            <w:vAlign w:val="center"/>
          </w:tcPr>
          <w:p w14:paraId="7F25D887"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0.0</w:t>
            </w:r>
          </w:p>
        </w:tc>
        <w:tc>
          <w:tcPr>
            <w:tcW w:w="414" w:type="pct"/>
            <w:vAlign w:val="center"/>
          </w:tcPr>
          <w:p w14:paraId="69F0C17B"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0.0</w:t>
            </w:r>
          </w:p>
        </w:tc>
        <w:tc>
          <w:tcPr>
            <w:tcW w:w="414" w:type="pct"/>
            <w:vAlign w:val="center"/>
          </w:tcPr>
          <w:p w14:paraId="543B7110"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2.5</w:t>
            </w:r>
          </w:p>
        </w:tc>
        <w:tc>
          <w:tcPr>
            <w:tcW w:w="411" w:type="pct"/>
            <w:vAlign w:val="center"/>
          </w:tcPr>
          <w:p w14:paraId="076D4370"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7.5</w:t>
            </w:r>
          </w:p>
        </w:tc>
      </w:tr>
      <w:tr w:rsidR="00E51CDD" w:rsidRPr="00E51CDD" w14:paraId="61FFF9FF" w14:textId="77777777" w:rsidTr="009938D9">
        <w:trPr>
          <w:cantSplit/>
        </w:trPr>
        <w:tc>
          <w:tcPr>
            <w:tcW w:w="1270" w:type="pct"/>
            <w:vAlign w:val="center"/>
          </w:tcPr>
          <w:p w14:paraId="54012671" w14:textId="77777777" w:rsidR="00E51CDD" w:rsidRPr="00E51CDD" w:rsidRDefault="00E51CDD" w:rsidP="00E51CDD">
            <w:pPr>
              <w:widowControl w:val="0"/>
              <w:spacing w:before="40" w:after="40"/>
              <w:rPr>
                <w:sz w:val="20"/>
                <w:szCs w:val="20"/>
                <w:lang w:eastAsia="en-US"/>
              </w:rPr>
            </w:pPr>
            <w:r w:rsidRPr="00E51CDD">
              <w:rPr>
                <w:sz w:val="20"/>
                <w:szCs w:val="20"/>
                <w:lang w:eastAsia="en-US"/>
              </w:rPr>
              <w:t>Weight change (28 d) [%]</w:t>
            </w:r>
          </w:p>
        </w:tc>
        <w:tc>
          <w:tcPr>
            <w:tcW w:w="418" w:type="pct"/>
            <w:vAlign w:val="center"/>
          </w:tcPr>
          <w:p w14:paraId="4B2CA9EC"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30.4</w:t>
            </w:r>
          </w:p>
        </w:tc>
        <w:tc>
          <w:tcPr>
            <w:tcW w:w="414" w:type="pct"/>
            <w:vAlign w:val="center"/>
          </w:tcPr>
          <w:p w14:paraId="0B7F99A8"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31.3</w:t>
            </w:r>
          </w:p>
        </w:tc>
        <w:tc>
          <w:tcPr>
            <w:tcW w:w="414" w:type="pct"/>
            <w:vAlign w:val="center"/>
          </w:tcPr>
          <w:p w14:paraId="39366A1E"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33.1</w:t>
            </w:r>
          </w:p>
        </w:tc>
        <w:tc>
          <w:tcPr>
            <w:tcW w:w="415" w:type="pct"/>
            <w:vAlign w:val="center"/>
          </w:tcPr>
          <w:p w14:paraId="7791E18E"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30.5</w:t>
            </w:r>
          </w:p>
        </w:tc>
        <w:tc>
          <w:tcPr>
            <w:tcW w:w="415" w:type="pct"/>
            <w:vAlign w:val="center"/>
          </w:tcPr>
          <w:p w14:paraId="3286EA91"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29.6</w:t>
            </w:r>
          </w:p>
        </w:tc>
        <w:tc>
          <w:tcPr>
            <w:tcW w:w="415" w:type="pct"/>
            <w:vAlign w:val="center"/>
          </w:tcPr>
          <w:p w14:paraId="7CE17864"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29.3</w:t>
            </w:r>
          </w:p>
        </w:tc>
        <w:tc>
          <w:tcPr>
            <w:tcW w:w="414" w:type="pct"/>
            <w:vAlign w:val="center"/>
          </w:tcPr>
          <w:p w14:paraId="70D48B9C"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30.2</w:t>
            </w:r>
          </w:p>
        </w:tc>
        <w:tc>
          <w:tcPr>
            <w:tcW w:w="414" w:type="pct"/>
            <w:vAlign w:val="center"/>
          </w:tcPr>
          <w:p w14:paraId="24FCE678"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31.9</w:t>
            </w:r>
          </w:p>
        </w:tc>
        <w:tc>
          <w:tcPr>
            <w:tcW w:w="411" w:type="pct"/>
            <w:vAlign w:val="center"/>
          </w:tcPr>
          <w:p w14:paraId="15225ABE"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25.3</w:t>
            </w:r>
          </w:p>
        </w:tc>
      </w:tr>
      <w:tr w:rsidR="00E51CDD" w:rsidRPr="00E51CDD" w14:paraId="7FB4CF49" w14:textId="77777777" w:rsidTr="009938D9">
        <w:trPr>
          <w:cantSplit/>
        </w:trPr>
        <w:tc>
          <w:tcPr>
            <w:tcW w:w="1270" w:type="pct"/>
            <w:vAlign w:val="center"/>
          </w:tcPr>
          <w:p w14:paraId="342696B6" w14:textId="77777777" w:rsidR="00E51CDD" w:rsidRPr="00E51CDD" w:rsidRDefault="00E51CDD" w:rsidP="00E51CDD">
            <w:pPr>
              <w:widowControl w:val="0"/>
              <w:spacing w:before="40" w:after="40"/>
              <w:rPr>
                <w:sz w:val="20"/>
                <w:szCs w:val="20"/>
                <w:lang w:eastAsia="en-US"/>
              </w:rPr>
            </w:pPr>
            <w:r w:rsidRPr="00E51CDD">
              <w:rPr>
                <w:sz w:val="20"/>
                <w:szCs w:val="20"/>
                <w:lang w:eastAsia="en-US"/>
              </w:rPr>
              <w:t>Number of juveniles (56 d)</w:t>
            </w:r>
          </w:p>
        </w:tc>
        <w:tc>
          <w:tcPr>
            <w:tcW w:w="418" w:type="pct"/>
            <w:vAlign w:val="center"/>
          </w:tcPr>
          <w:p w14:paraId="47708D3F"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216.8</w:t>
            </w:r>
          </w:p>
        </w:tc>
        <w:tc>
          <w:tcPr>
            <w:tcW w:w="414" w:type="pct"/>
            <w:vAlign w:val="center"/>
          </w:tcPr>
          <w:p w14:paraId="43E78E84"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215.8</w:t>
            </w:r>
          </w:p>
        </w:tc>
        <w:tc>
          <w:tcPr>
            <w:tcW w:w="414" w:type="pct"/>
            <w:vAlign w:val="center"/>
          </w:tcPr>
          <w:p w14:paraId="2553359F"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208.0</w:t>
            </w:r>
          </w:p>
        </w:tc>
        <w:tc>
          <w:tcPr>
            <w:tcW w:w="415" w:type="pct"/>
            <w:vAlign w:val="center"/>
          </w:tcPr>
          <w:p w14:paraId="043CDC2C"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213.3</w:t>
            </w:r>
          </w:p>
        </w:tc>
        <w:tc>
          <w:tcPr>
            <w:tcW w:w="415" w:type="pct"/>
            <w:vAlign w:val="center"/>
          </w:tcPr>
          <w:p w14:paraId="2DD73B6F"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217.8</w:t>
            </w:r>
          </w:p>
        </w:tc>
        <w:tc>
          <w:tcPr>
            <w:tcW w:w="415" w:type="pct"/>
            <w:vAlign w:val="center"/>
          </w:tcPr>
          <w:p w14:paraId="350FD4B0"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212.3</w:t>
            </w:r>
          </w:p>
        </w:tc>
        <w:tc>
          <w:tcPr>
            <w:tcW w:w="414" w:type="pct"/>
            <w:vAlign w:val="center"/>
          </w:tcPr>
          <w:p w14:paraId="3B5F22BA"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185.3</w:t>
            </w:r>
          </w:p>
        </w:tc>
        <w:tc>
          <w:tcPr>
            <w:tcW w:w="414" w:type="pct"/>
            <w:vAlign w:val="center"/>
          </w:tcPr>
          <w:p w14:paraId="4BC41BA7"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 xml:space="preserve">162.3 </w:t>
            </w:r>
            <w:r w:rsidRPr="00E51CDD">
              <w:rPr>
                <w:sz w:val="20"/>
                <w:szCs w:val="20"/>
                <w:vertAlign w:val="superscript"/>
                <w:lang w:eastAsia="en-US"/>
              </w:rPr>
              <w:t>*</w:t>
            </w:r>
          </w:p>
        </w:tc>
        <w:tc>
          <w:tcPr>
            <w:tcW w:w="411" w:type="pct"/>
            <w:vAlign w:val="center"/>
          </w:tcPr>
          <w:p w14:paraId="3D65A697"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 xml:space="preserve">87.5 </w:t>
            </w:r>
            <w:r w:rsidRPr="00E51CDD">
              <w:rPr>
                <w:sz w:val="20"/>
                <w:szCs w:val="20"/>
                <w:vertAlign w:val="superscript"/>
                <w:lang w:eastAsia="en-US"/>
              </w:rPr>
              <w:t>*</w:t>
            </w:r>
          </w:p>
        </w:tc>
      </w:tr>
      <w:tr w:rsidR="00E51CDD" w:rsidRPr="00E51CDD" w14:paraId="21CB411E" w14:textId="77777777" w:rsidTr="009938D9">
        <w:trPr>
          <w:cantSplit/>
        </w:trPr>
        <w:tc>
          <w:tcPr>
            <w:tcW w:w="1270" w:type="pct"/>
            <w:vAlign w:val="center"/>
          </w:tcPr>
          <w:p w14:paraId="56811AF4" w14:textId="77777777" w:rsidR="00E51CDD" w:rsidRPr="00E51CDD" w:rsidRDefault="00E51CDD" w:rsidP="00E51CDD">
            <w:pPr>
              <w:widowControl w:val="0"/>
              <w:spacing w:before="40" w:after="40"/>
              <w:rPr>
                <w:sz w:val="20"/>
                <w:szCs w:val="20"/>
                <w:lang w:eastAsia="en-US"/>
              </w:rPr>
            </w:pPr>
            <w:r w:rsidRPr="00E51CDD">
              <w:rPr>
                <w:sz w:val="20"/>
                <w:szCs w:val="20"/>
                <w:lang w:eastAsia="en-US"/>
              </w:rPr>
              <w:t>Coefficient of variation [%]</w:t>
            </w:r>
          </w:p>
        </w:tc>
        <w:tc>
          <w:tcPr>
            <w:tcW w:w="418" w:type="pct"/>
            <w:vAlign w:val="center"/>
          </w:tcPr>
          <w:p w14:paraId="31F3F129"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13.5</w:t>
            </w:r>
          </w:p>
        </w:tc>
        <w:tc>
          <w:tcPr>
            <w:tcW w:w="414" w:type="pct"/>
            <w:vAlign w:val="center"/>
          </w:tcPr>
          <w:p w14:paraId="767788A9"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14.1</w:t>
            </w:r>
          </w:p>
        </w:tc>
        <w:tc>
          <w:tcPr>
            <w:tcW w:w="414" w:type="pct"/>
            <w:vAlign w:val="center"/>
          </w:tcPr>
          <w:p w14:paraId="62C2A245"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11.0</w:t>
            </w:r>
          </w:p>
        </w:tc>
        <w:tc>
          <w:tcPr>
            <w:tcW w:w="415" w:type="pct"/>
            <w:vAlign w:val="center"/>
          </w:tcPr>
          <w:p w14:paraId="5FD81A0A"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17.4</w:t>
            </w:r>
          </w:p>
        </w:tc>
        <w:tc>
          <w:tcPr>
            <w:tcW w:w="415" w:type="pct"/>
            <w:vAlign w:val="center"/>
          </w:tcPr>
          <w:p w14:paraId="006BDDD5"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16.6</w:t>
            </w:r>
          </w:p>
        </w:tc>
        <w:tc>
          <w:tcPr>
            <w:tcW w:w="415" w:type="pct"/>
            <w:vAlign w:val="center"/>
          </w:tcPr>
          <w:p w14:paraId="4529F2F2"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16.9</w:t>
            </w:r>
          </w:p>
        </w:tc>
        <w:tc>
          <w:tcPr>
            <w:tcW w:w="414" w:type="pct"/>
            <w:vAlign w:val="center"/>
          </w:tcPr>
          <w:p w14:paraId="7559FB17"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13.3</w:t>
            </w:r>
          </w:p>
        </w:tc>
        <w:tc>
          <w:tcPr>
            <w:tcW w:w="414" w:type="pct"/>
            <w:vAlign w:val="center"/>
          </w:tcPr>
          <w:p w14:paraId="18028A1C"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9.3</w:t>
            </w:r>
          </w:p>
        </w:tc>
        <w:tc>
          <w:tcPr>
            <w:tcW w:w="411" w:type="pct"/>
            <w:vAlign w:val="center"/>
          </w:tcPr>
          <w:p w14:paraId="34790540"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25.5</w:t>
            </w:r>
          </w:p>
        </w:tc>
      </w:tr>
      <w:tr w:rsidR="00E51CDD" w:rsidRPr="00E51CDD" w14:paraId="2D7E26BB" w14:textId="77777777" w:rsidTr="009938D9">
        <w:trPr>
          <w:cantSplit/>
        </w:trPr>
        <w:tc>
          <w:tcPr>
            <w:tcW w:w="1270" w:type="pct"/>
            <w:vAlign w:val="center"/>
          </w:tcPr>
          <w:p w14:paraId="0D8DDFB6" w14:textId="77777777" w:rsidR="00E51CDD" w:rsidRPr="00E51CDD" w:rsidRDefault="00E51CDD" w:rsidP="00E51CDD">
            <w:pPr>
              <w:widowControl w:val="0"/>
              <w:spacing w:before="40" w:after="40"/>
              <w:rPr>
                <w:sz w:val="20"/>
                <w:szCs w:val="20"/>
                <w:lang w:eastAsia="en-US"/>
              </w:rPr>
            </w:pPr>
            <w:r w:rsidRPr="00E51CDD">
              <w:rPr>
                <w:sz w:val="20"/>
                <w:szCs w:val="20"/>
                <w:lang w:eastAsia="en-US"/>
              </w:rPr>
              <w:t>Reproduction [% of control] (56 d)</w:t>
            </w:r>
          </w:p>
        </w:tc>
        <w:tc>
          <w:tcPr>
            <w:tcW w:w="418" w:type="pct"/>
            <w:vAlign w:val="center"/>
          </w:tcPr>
          <w:p w14:paraId="16CC0B5B"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100</w:t>
            </w:r>
          </w:p>
        </w:tc>
        <w:tc>
          <w:tcPr>
            <w:tcW w:w="414" w:type="pct"/>
            <w:vAlign w:val="center"/>
          </w:tcPr>
          <w:p w14:paraId="2CDC6B6A"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99.5</w:t>
            </w:r>
          </w:p>
        </w:tc>
        <w:tc>
          <w:tcPr>
            <w:tcW w:w="414" w:type="pct"/>
            <w:vAlign w:val="center"/>
          </w:tcPr>
          <w:p w14:paraId="1F1194AE"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96.0</w:t>
            </w:r>
          </w:p>
        </w:tc>
        <w:tc>
          <w:tcPr>
            <w:tcW w:w="415" w:type="pct"/>
            <w:vAlign w:val="center"/>
          </w:tcPr>
          <w:p w14:paraId="0081A285"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98.4</w:t>
            </w:r>
          </w:p>
        </w:tc>
        <w:tc>
          <w:tcPr>
            <w:tcW w:w="415" w:type="pct"/>
            <w:vAlign w:val="center"/>
          </w:tcPr>
          <w:p w14:paraId="08446A7D"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100.5</w:t>
            </w:r>
          </w:p>
        </w:tc>
        <w:tc>
          <w:tcPr>
            <w:tcW w:w="415" w:type="pct"/>
            <w:vAlign w:val="center"/>
          </w:tcPr>
          <w:p w14:paraId="43B5EA4B"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97.9</w:t>
            </w:r>
          </w:p>
        </w:tc>
        <w:tc>
          <w:tcPr>
            <w:tcW w:w="414" w:type="pct"/>
            <w:vAlign w:val="center"/>
          </w:tcPr>
          <w:p w14:paraId="34EA1D05"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85.5</w:t>
            </w:r>
          </w:p>
        </w:tc>
        <w:tc>
          <w:tcPr>
            <w:tcW w:w="414" w:type="pct"/>
            <w:vAlign w:val="center"/>
          </w:tcPr>
          <w:p w14:paraId="14681BD7"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74.9</w:t>
            </w:r>
          </w:p>
        </w:tc>
        <w:tc>
          <w:tcPr>
            <w:tcW w:w="411" w:type="pct"/>
            <w:vAlign w:val="center"/>
          </w:tcPr>
          <w:p w14:paraId="7900C478"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40.4</w:t>
            </w:r>
          </w:p>
        </w:tc>
      </w:tr>
      <w:tr w:rsidR="00E51CDD" w:rsidRPr="00E51CDD" w14:paraId="119A75D6" w14:textId="77777777" w:rsidTr="009938D9">
        <w:trPr>
          <w:cantSplit/>
        </w:trPr>
        <w:tc>
          <w:tcPr>
            <w:tcW w:w="1270" w:type="pct"/>
            <w:vAlign w:val="center"/>
          </w:tcPr>
          <w:p w14:paraId="5BA0A694" w14:textId="77777777" w:rsidR="00E51CDD" w:rsidRPr="00E51CDD" w:rsidRDefault="00E51CDD" w:rsidP="00E51CDD">
            <w:pPr>
              <w:widowControl w:val="0"/>
              <w:spacing w:before="40" w:after="40"/>
              <w:rPr>
                <w:sz w:val="20"/>
                <w:szCs w:val="20"/>
                <w:lang w:eastAsia="en-US"/>
              </w:rPr>
            </w:pPr>
          </w:p>
        </w:tc>
        <w:tc>
          <w:tcPr>
            <w:tcW w:w="3730" w:type="pct"/>
            <w:gridSpan w:val="9"/>
            <w:vAlign w:val="center"/>
          </w:tcPr>
          <w:p w14:paraId="3D236304" w14:textId="77777777" w:rsidR="00E51CDD" w:rsidRPr="00E51CDD" w:rsidRDefault="00E51CDD" w:rsidP="00E51CDD">
            <w:pPr>
              <w:widowControl w:val="0"/>
              <w:spacing w:before="40" w:after="40"/>
              <w:jc w:val="center"/>
              <w:rPr>
                <w:b/>
                <w:bCs/>
                <w:sz w:val="20"/>
                <w:szCs w:val="20"/>
                <w:lang w:eastAsia="en-US"/>
              </w:rPr>
            </w:pPr>
            <w:r w:rsidRPr="00E51CDD">
              <w:rPr>
                <w:b/>
                <w:bCs/>
                <w:sz w:val="20"/>
                <w:szCs w:val="20"/>
                <w:lang w:eastAsia="en-US"/>
              </w:rPr>
              <w:t>Endpoints [mg BAS 736 00 F/kg dry soil]</w:t>
            </w:r>
          </w:p>
        </w:tc>
      </w:tr>
      <w:tr w:rsidR="00E51CDD" w:rsidRPr="00E51CDD" w14:paraId="6CF5265D" w14:textId="77777777" w:rsidTr="009938D9">
        <w:trPr>
          <w:cantSplit/>
        </w:trPr>
        <w:tc>
          <w:tcPr>
            <w:tcW w:w="1270" w:type="pct"/>
            <w:vAlign w:val="center"/>
          </w:tcPr>
          <w:p w14:paraId="6DA73D00" w14:textId="77777777" w:rsidR="00E51CDD" w:rsidRPr="00E51CDD" w:rsidRDefault="00E51CDD" w:rsidP="00E51CDD">
            <w:pPr>
              <w:widowControl w:val="0"/>
              <w:spacing w:before="40" w:after="40"/>
              <w:rPr>
                <w:sz w:val="20"/>
                <w:szCs w:val="20"/>
                <w:lang w:eastAsia="en-US"/>
              </w:rPr>
            </w:pPr>
            <w:r w:rsidRPr="00E51CDD">
              <w:rPr>
                <w:sz w:val="20"/>
                <w:szCs w:val="20"/>
                <w:lang w:eastAsia="en-US"/>
              </w:rPr>
              <w:t>NOEC</w:t>
            </w:r>
            <w:r w:rsidRPr="00E51CDD">
              <w:rPr>
                <w:sz w:val="20"/>
                <w:szCs w:val="20"/>
                <w:vertAlign w:val="subscript"/>
                <w:lang w:eastAsia="en-US"/>
              </w:rPr>
              <w:t xml:space="preserve"> </w:t>
            </w:r>
            <w:r w:rsidRPr="00E51CDD">
              <w:rPr>
                <w:sz w:val="20"/>
                <w:szCs w:val="20"/>
                <w:lang w:eastAsia="en-US"/>
              </w:rPr>
              <w:t>(28 d)</w:t>
            </w:r>
          </w:p>
        </w:tc>
        <w:tc>
          <w:tcPr>
            <w:tcW w:w="3730" w:type="pct"/>
            <w:gridSpan w:val="9"/>
            <w:vAlign w:val="center"/>
          </w:tcPr>
          <w:p w14:paraId="43DC13EC"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 820.7</w:t>
            </w:r>
          </w:p>
        </w:tc>
      </w:tr>
      <w:tr w:rsidR="00E51CDD" w:rsidRPr="00E51CDD" w14:paraId="6509014C" w14:textId="77777777" w:rsidTr="009938D9">
        <w:trPr>
          <w:cantSplit/>
        </w:trPr>
        <w:tc>
          <w:tcPr>
            <w:tcW w:w="1270" w:type="pct"/>
            <w:vAlign w:val="center"/>
          </w:tcPr>
          <w:p w14:paraId="13CDB1A1" w14:textId="77777777" w:rsidR="00E51CDD" w:rsidRPr="00E51CDD" w:rsidRDefault="00E51CDD" w:rsidP="00E51CDD">
            <w:pPr>
              <w:widowControl w:val="0"/>
              <w:spacing w:before="40" w:after="40"/>
              <w:rPr>
                <w:sz w:val="20"/>
                <w:szCs w:val="20"/>
                <w:lang w:eastAsia="en-US"/>
              </w:rPr>
            </w:pPr>
            <w:r w:rsidRPr="00E51CDD">
              <w:rPr>
                <w:sz w:val="20"/>
                <w:szCs w:val="20"/>
                <w:lang w:eastAsia="en-US"/>
              </w:rPr>
              <w:t>NOEC</w:t>
            </w:r>
            <w:r w:rsidRPr="00E51CDD">
              <w:rPr>
                <w:sz w:val="20"/>
                <w:szCs w:val="20"/>
                <w:vertAlign w:val="subscript"/>
                <w:lang w:eastAsia="en-US"/>
              </w:rPr>
              <w:t xml:space="preserve"> </w:t>
            </w:r>
            <w:r w:rsidRPr="00E51CDD">
              <w:rPr>
                <w:sz w:val="20"/>
                <w:szCs w:val="20"/>
                <w:lang w:eastAsia="en-US"/>
              </w:rPr>
              <w:t>(56 d)</w:t>
            </w:r>
          </w:p>
        </w:tc>
        <w:tc>
          <w:tcPr>
            <w:tcW w:w="3730" w:type="pct"/>
            <w:gridSpan w:val="9"/>
            <w:vAlign w:val="center"/>
          </w:tcPr>
          <w:p w14:paraId="55241A12"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284.0</w:t>
            </w:r>
          </w:p>
        </w:tc>
      </w:tr>
      <w:tr w:rsidR="00E51CDD" w:rsidRPr="00E51CDD" w14:paraId="0CA93368" w14:textId="77777777" w:rsidTr="009938D9">
        <w:trPr>
          <w:cantSplit/>
        </w:trPr>
        <w:tc>
          <w:tcPr>
            <w:tcW w:w="1270" w:type="pct"/>
            <w:vAlign w:val="center"/>
          </w:tcPr>
          <w:p w14:paraId="2583BBDE" w14:textId="77777777" w:rsidR="00E51CDD" w:rsidRPr="00E51CDD" w:rsidRDefault="00E51CDD" w:rsidP="00E51CDD">
            <w:pPr>
              <w:widowControl w:val="0"/>
              <w:spacing w:before="40" w:after="40"/>
              <w:rPr>
                <w:sz w:val="20"/>
                <w:szCs w:val="20"/>
                <w:vertAlign w:val="superscript"/>
                <w:lang w:eastAsia="en-US"/>
              </w:rPr>
            </w:pPr>
            <w:r w:rsidRPr="00E51CDD">
              <w:rPr>
                <w:sz w:val="20"/>
                <w:szCs w:val="20"/>
                <w:lang w:eastAsia="en-US"/>
              </w:rPr>
              <w:t>LC</w:t>
            </w:r>
            <w:r w:rsidRPr="00E51CDD">
              <w:rPr>
                <w:sz w:val="20"/>
                <w:szCs w:val="20"/>
                <w:vertAlign w:val="subscript"/>
                <w:lang w:eastAsia="en-US"/>
              </w:rPr>
              <w:t>50</w:t>
            </w:r>
            <w:r w:rsidRPr="00E51CDD">
              <w:rPr>
                <w:sz w:val="20"/>
                <w:szCs w:val="20"/>
                <w:lang w:eastAsia="en-US"/>
              </w:rPr>
              <w:t xml:space="preserve"> (28 d) </w:t>
            </w:r>
            <w:r w:rsidRPr="00E51CDD">
              <w:rPr>
                <w:sz w:val="20"/>
                <w:szCs w:val="20"/>
                <w:vertAlign w:val="superscript"/>
                <w:lang w:eastAsia="en-US"/>
              </w:rPr>
              <w:t>1</w:t>
            </w:r>
          </w:p>
        </w:tc>
        <w:tc>
          <w:tcPr>
            <w:tcW w:w="3730" w:type="pct"/>
            <w:gridSpan w:val="9"/>
            <w:vAlign w:val="center"/>
          </w:tcPr>
          <w:p w14:paraId="49CB05C5"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&gt; 820.7</w:t>
            </w:r>
          </w:p>
        </w:tc>
      </w:tr>
      <w:tr w:rsidR="00E51CDD" w:rsidRPr="00E51CDD" w14:paraId="1310525E" w14:textId="77777777" w:rsidTr="009938D9">
        <w:trPr>
          <w:cantSplit/>
        </w:trPr>
        <w:tc>
          <w:tcPr>
            <w:tcW w:w="1270" w:type="pct"/>
            <w:vAlign w:val="center"/>
          </w:tcPr>
          <w:p w14:paraId="5225D247" w14:textId="77777777" w:rsidR="00E51CDD" w:rsidRPr="00E51CDD" w:rsidRDefault="00E51CDD" w:rsidP="00E51CDD">
            <w:pPr>
              <w:widowControl w:val="0"/>
              <w:spacing w:before="40" w:after="40"/>
              <w:rPr>
                <w:sz w:val="20"/>
                <w:szCs w:val="20"/>
                <w:vertAlign w:val="superscript"/>
                <w:lang w:eastAsia="en-US"/>
              </w:rPr>
            </w:pPr>
            <w:r w:rsidRPr="00E51CDD">
              <w:rPr>
                <w:sz w:val="20"/>
                <w:szCs w:val="20"/>
                <w:lang w:eastAsia="en-US"/>
              </w:rPr>
              <w:t>EC</w:t>
            </w:r>
            <w:r w:rsidRPr="00E51CDD">
              <w:rPr>
                <w:sz w:val="20"/>
                <w:szCs w:val="20"/>
                <w:vertAlign w:val="subscript"/>
                <w:lang w:eastAsia="en-US"/>
              </w:rPr>
              <w:t>10</w:t>
            </w:r>
            <w:r w:rsidRPr="00E51CDD">
              <w:rPr>
                <w:sz w:val="20"/>
                <w:szCs w:val="20"/>
                <w:lang w:eastAsia="en-US"/>
              </w:rPr>
              <w:t xml:space="preserve"> (56 d)</w:t>
            </w:r>
            <w:r w:rsidRPr="00E51CDD">
              <w:rPr>
                <w:sz w:val="20"/>
                <w:szCs w:val="20"/>
                <w:vertAlign w:val="superscript"/>
                <w:lang w:eastAsia="en-US"/>
              </w:rPr>
              <w:t xml:space="preserve"> 2</w:t>
            </w:r>
          </w:p>
        </w:tc>
        <w:tc>
          <w:tcPr>
            <w:tcW w:w="3730" w:type="pct"/>
            <w:gridSpan w:val="9"/>
            <w:vAlign w:val="center"/>
          </w:tcPr>
          <w:p w14:paraId="1000E229"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295.9</w:t>
            </w:r>
          </w:p>
          <w:p w14:paraId="0CF0F5BF" w14:textId="77777777" w:rsidR="00E51CDD" w:rsidRPr="00E51CDD" w:rsidRDefault="00E51CDD" w:rsidP="00E51CDD">
            <w:pPr>
              <w:widowControl w:val="0"/>
              <w:spacing w:before="40" w:after="40"/>
              <w:jc w:val="center"/>
              <w:rPr>
                <w:sz w:val="20"/>
                <w:szCs w:val="20"/>
                <w:lang w:eastAsia="en-US"/>
              </w:rPr>
            </w:pPr>
            <w:r w:rsidRPr="00E51CDD">
              <w:rPr>
                <w:sz w:val="20"/>
                <w:szCs w:val="20"/>
                <w:lang w:eastAsia="en-US"/>
              </w:rPr>
              <w:t>(95% confidence limits 243.2 – 355.5)</w:t>
            </w:r>
          </w:p>
        </w:tc>
      </w:tr>
      <w:tr w:rsidR="00E51CDD" w:rsidRPr="00E51CDD" w14:paraId="5FF8BD9D" w14:textId="77777777" w:rsidTr="009938D9">
        <w:trPr>
          <w:cantSplit/>
        </w:trPr>
        <w:tc>
          <w:tcPr>
            <w:tcW w:w="1270" w:type="pct"/>
            <w:vAlign w:val="center"/>
          </w:tcPr>
          <w:p w14:paraId="7434998A" w14:textId="77777777" w:rsidR="00E51CDD" w:rsidRPr="00E51CDD" w:rsidRDefault="00E51CDD" w:rsidP="00E51CDD">
            <w:pPr>
              <w:widowControl w:val="0"/>
              <w:spacing w:before="40" w:after="40"/>
              <w:rPr>
                <w:sz w:val="20"/>
                <w:szCs w:val="20"/>
                <w:vertAlign w:val="superscript"/>
                <w:lang w:eastAsia="en-US"/>
              </w:rPr>
            </w:pPr>
            <w:r w:rsidRPr="00E51CDD">
              <w:rPr>
                <w:sz w:val="20"/>
                <w:szCs w:val="20"/>
                <w:lang w:eastAsia="en-US"/>
              </w:rPr>
              <w:t>EC</w:t>
            </w:r>
            <w:r w:rsidRPr="00E51CDD">
              <w:rPr>
                <w:sz w:val="20"/>
                <w:szCs w:val="20"/>
                <w:vertAlign w:val="subscript"/>
                <w:lang w:eastAsia="en-US"/>
              </w:rPr>
              <w:t>20</w:t>
            </w:r>
            <w:r w:rsidRPr="00E51CDD">
              <w:rPr>
                <w:sz w:val="20"/>
                <w:szCs w:val="20"/>
                <w:lang w:eastAsia="en-US"/>
              </w:rPr>
              <w:t xml:space="preserve"> (56 d) </w:t>
            </w:r>
            <w:r w:rsidRPr="00E51CDD">
              <w:rPr>
                <w:sz w:val="20"/>
                <w:szCs w:val="20"/>
                <w:vertAlign w:val="superscript"/>
                <w:lang w:eastAsia="en-US"/>
              </w:rPr>
              <w:t>2</w:t>
            </w:r>
          </w:p>
        </w:tc>
        <w:tc>
          <w:tcPr>
            <w:tcW w:w="3730" w:type="pct"/>
            <w:gridSpan w:val="9"/>
            <w:vAlign w:val="center"/>
          </w:tcPr>
          <w:p w14:paraId="20F34895" w14:textId="77777777" w:rsidR="00E51CDD" w:rsidRPr="00E51CDD" w:rsidRDefault="00E51CDD" w:rsidP="00E51CDD">
            <w:pPr>
              <w:widowControl w:val="0"/>
              <w:spacing w:before="40" w:after="40"/>
              <w:jc w:val="center"/>
              <w:rPr>
                <w:rFonts w:eastAsia="Calibri"/>
                <w:sz w:val="20"/>
                <w:szCs w:val="20"/>
                <w:lang w:eastAsia="en-US"/>
              </w:rPr>
            </w:pPr>
            <w:r w:rsidRPr="00E51CDD">
              <w:rPr>
                <w:rFonts w:eastAsia="Calibri"/>
                <w:sz w:val="20"/>
                <w:szCs w:val="20"/>
                <w:lang w:eastAsia="en-US"/>
              </w:rPr>
              <w:t>401.4</w:t>
            </w:r>
          </w:p>
          <w:p w14:paraId="303442F0" w14:textId="77777777" w:rsidR="00E51CDD" w:rsidRPr="00E51CDD" w:rsidRDefault="00E51CDD" w:rsidP="00E51CDD">
            <w:pPr>
              <w:widowControl w:val="0"/>
              <w:spacing w:before="40" w:after="40"/>
              <w:jc w:val="center"/>
              <w:rPr>
                <w:sz w:val="20"/>
                <w:szCs w:val="20"/>
                <w:lang w:eastAsia="en-US"/>
              </w:rPr>
            </w:pPr>
            <w:r w:rsidRPr="00E51CDD">
              <w:rPr>
                <w:rFonts w:eastAsia="Calibri"/>
                <w:sz w:val="20"/>
                <w:szCs w:val="20"/>
                <w:lang w:eastAsia="en-US"/>
              </w:rPr>
              <w:t>(95% confidence limits 350.3 – 457.2)</w:t>
            </w:r>
          </w:p>
        </w:tc>
      </w:tr>
      <w:tr w:rsidR="00E51CDD" w:rsidRPr="00E51CDD" w14:paraId="7E0B495C" w14:textId="77777777" w:rsidTr="009938D9">
        <w:trPr>
          <w:cantSplit/>
        </w:trPr>
        <w:tc>
          <w:tcPr>
            <w:tcW w:w="1270" w:type="pct"/>
            <w:vAlign w:val="center"/>
          </w:tcPr>
          <w:p w14:paraId="648F145D" w14:textId="77777777" w:rsidR="00E51CDD" w:rsidRPr="00E51CDD" w:rsidRDefault="00E51CDD" w:rsidP="00E51CDD">
            <w:pPr>
              <w:widowControl w:val="0"/>
              <w:spacing w:before="40" w:after="40"/>
              <w:rPr>
                <w:sz w:val="20"/>
                <w:szCs w:val="20"/>
                <w:vertAlign w:val="superscript"/>
                <w:lang w:eastAsia="en-US"/>
              </w:rPr>
            </w:pPr>
            <w:r w:rsidRPr="00E51CDD">
              <w:rPr>
                <w:sz w:val="20"/>
                <w:szCs w:val="20"/>
                <w:lang w:eastAsia="en-US"/>
              </w:rPr>
              <w:t>EC</w:t>
            </w:r>
            <w:r w:rsidRPr="00E51CDD">
              <w:rPr>
                <w:sz w:val="20"/>
                <w:szCs w:val="20"/>
                <w:vertAlign w:val="subscript"/>
                <w:lang w:eastAsia="en-US"/>
              </w:rPr>
              <w:t>50</w:t>
            </w:r>
            <w:r w:rsidRPr="00E51CDD">
              <w:rPr>
                <w:sz w:val="20"/>
                <w:szCs w:val="20"/>
                <w:lang w:eastAsia="en-US"/>
              </w:rPr>
              <w:t xml:space="preserve"> (56 d) </w:t>
            </w:r>
            <w:r w:rsidRPr="00E51CDD">
              <w:rPr>
                <w:sz w:val="20"/>
                <w:szCs w:val="20"/>
                <w:vertAlign w:val="superscript"/>
                <w:lang w:eastAsia="en-US"/>
              </w:rPr>
              <w:t>2</w:t>
            </w:r>
          </w:p>
        </w:tc>
        <w:tc>
          <w:tcPr>
            <w:tcW w:w="3730" w:type="pct"/>
            <w:gridSpan w:val="9"/>
            <w:vAlign w:val="center"/>
          </w:tcPr>
          <w:p w14:paraId="600D15F1" w14:textId="77777777" w:rsidR="00E51CDD" w:rsidRPr="00E51CDD" w:rsidRDefault="00E51CDD" w:rsidP="00E51CDD">
            <w:pPr>
              <w:widowControl w:val="0"/>
              <w:spacing w:before="40" w:after="40"/>
              <w:jc w:val="center"/>
              <w:rPr>
                <w:rFonts w:eastAsia="Calibri"/>
                <w:sz w:val="20"/>
                <w:szCs w:val="20"/>
                <w:lang w:eastAsia="en-US"/>
              </w:rPr>
            </w:pPr>
            <w:r w:rsidRPr="00E51CDD">
              <w:rPr>
                <w:rFonts w:eastAsia="Calibri"/>
                <w:sz w:val="20"/>
                <w:szCs w:val="20"/>
                <w:lang w:eastAsia="en-US"/>
              </w:rPr>
              <w:t>719.3</w:t>
            </w:r>
          </w:p>
          <w:p w14:paraId="710F9670" w14:textId="77777777" w:rsidR="00E51CDD" w:rsidRPr="00E51CDD" w:rsidRDefault="00E51CDD" w:rsidP="00E51CDD">
            <w:pPr>
              <w:widowControl w:val="0"/>
              <w:spacing w:before="40" w:after="40"/>
              <w:jc w:val="center"/>
              <w:rPr>
                <w:sz w:val="20"/>
                <w:szCs w:val="20"/>
                <w:lang w:eastAsia="en-US"/>
              </w:rPr>
            </w:pPr>
            <w:r w:rsidRPr="00E51CDD">
              <w:rPr>
                <w:rFonts w:eastAsia="Calibri"/>
                <w:sz w:val="20"/>
                <w:szCs w:val="20"/>
                <w:lang w:eastAsia="en-US"/>
              </w:rPr>
              <w:t>(95% confidence limits 670.6 – 771.6)</w:t>
            </w:r>
          </w:p>
        </w:tc>
      </w:tr>
    </w:tbl>
    <w:p w14:paraId="120A463C" w14:textId="77777777" w:rsidR="00E51CDD" w:rsidRPr="00E51CDD" w:rsidRDefault="00E51CDD" w:rsidP="00E51CDD">
      <w:pPr>
        <w:widowControl w:val="0"/>
        <w:ind w:left="360" w:hanging="360"/>
        <w:rPr>
          <w:sz w:val="18"/>
          <w:szCs w:val="18"/>
          <w:lang w:eastAsia="en-US"/>
        </w:rPr>
      </w:pPr>
      <w:r w:rsidRPr="00E51CDD">
        <w:rPr>
          <w:sz w:val="18"/>
          <w:szCs w:val="18"/>
          <w:vertAlign w:val="superscript"/>
          <w:lang w:eastAsia="en-US"/>
        </w:rPr>
        <w:t>*</w:t>
      </w:r>
      <w:r w:rsidRPr="00E51CDD">
        <w:rPr>
          <w:sz w:val="18"/>
          <w:szCs w:val="18"/>
          <w:lang w:eastAsia="en-US"/>
        </w:rPr>
        <w:tab/>
        <w:t>statistically significantly different from control (Williams-t-test for reproduction, α = 0.05, one-sided smaller)</w:t>
      </w:r>
    </w:p>
    <w:p w14:paraId="2F35305C" w14:textId="77777777" w:rsidR="00E51CDD" w:rsidRPr="00E51CDD" w:rsidRDefault="00E51CDD" w:rsidP="00E51CDD">
      <w:pPr>
        <w:widowControl w:val="0"/>
        <w:ind w:left="360" w:hanging="360"/>
        <w:rPr>
          <w:sz w:val="18"/>
          <w:szCs w:val="18"/>
          <w:lang w:eastAsia="en-US"/>
        </w:rPr>
      </w:pPr>
      <w:r w:rsidRPr="00E51CDD">
        <w:rPr>
          <w:sz w:val="18"/>
          <w:szCs w:val="18"/>
          <w:vertAlign w:val="superscript"/>
          <w:lang w:eastAsia="en-US"/>
        </w:rPr>
        <w:t>1</w:t>
      </w:r>
      <w:r w:rsidRPr="00E51CDD">
        <w:rPr>
          <w:sz w:val="18"/>
          <w:szCs w:val="18"/>
          <w:vertAlign w:val="superscript"/>
          <w:lang w:eastAsia="en-US"/>
        </w:rPr>
        <w:tab/>
      </w:r>
      <w:r w:rsidRPr="00E51CDD">
        <w:rPr>
          <w:sz w:val="18"/>
          <w:szCs w:val="18"/>
          <w:lang w:eastAsia="en-US"/>
        </w:rPr>
        <w:t>based on estimation of the data</w:t>
      </w:r>
    </w:p>
    <w:p w14:paraId="268CF49E" w14:textId="77777777" w:rsidR="00E51CDD" w:rsidRPr="00E51CDD" w:rsidRDefault="00E51CDD" w:rsidP="00E51CDD">
      <w:pPr>
        <w:widowControl w:val="0"/>
        <w:ind w:left="360" w:hanging="360"/>
        <w:rPr>
          <w:sz w:val="18"/>
          <w:szCs w:val="18"/>
          <w:lang w:eastAsia="en-US"/>
        </w:rPr>
      </w:pPr>
      <w:r w:rsidRPr="00E51CDD">
        <w:rPr>
          <w:sz w:val="18"/>
          <w:szCs w:val="18"/>
          <w:vertAlign w:val="superscript"/>
          <w:lang w:eastAsia="en-US"/>
        </w:rPr>
        <w:t>2</w:t>
      </w:r>
      <w:r w:rsidRPr="00E51CDD">
        <w:rPr>
          <w:sz w:val="18"/>
          <w:szCs w:val="18"/>
          <w:vertAlign w:val="superscript"/>
          <w:lang w:eastAsia="en-US"/>
        </w:rPr>
        <w:tab/>
      </w:r>
      <w:r w:rsidRPr="00E51CDD">
        <w:rPr>
          <w:sz w:val="18"/>
          <w:szCs w:val="18"/>
          <w:lang w:eastAsia="en-US"/>
        </w:rPr>
        <w:t>based on 3-parametric normal CDF</w:t>
      </w:r>
    </w:p>
    <w:p w14:paraId="089117E9" w14:textId="77777777" w:rsidR="00E51CDD" w:rsidRPr="00E51CDD" w:rsidRDefault="00E51CDD" w:rsidP="00E51CDD">
      <w:pPr>
        <w:widowControl w:val="0"/>
        <w:rPr>
          <w:color w:val="0070C0"/>
          <w:szCs w:val="24"/>
          <w:lang w:eastAsia="en-US"/>
        </w:rPr>
      </w:pPr>
    </w:p>
    <w:p w14:paraId="414EF633" w14:textId="77777777" w:rsidR="00E51CDD" w:rsidRPr="00E51CDD" w:rsidRDefault="00E51CDD" w:rsidP="00E51CDD">
      <w:pPr>
        <w:widowControl w:val="0"/>
        <w:rPr>
          <w:color w:val="0070C0"/>
          <w:szCs w:val="24"/>
          <w:lang w:eastAsia="en-US"/>
        </w:rPr>
      </w:pPr>
    </w:p>
    <w:p w14:paraId="0D47D0FB" w14:textId="77777777" w:rsidR="00E51CDD" w:rsidRPr="00E51CDD" w:rsidRDefault="00E51CDD" w:rsidP="00E51CDD">
      <w:pPr>
        <w:widowControl w:val="0"/>
        <w:jc w:val="both"/>
        <w:rPr>
          <w:b/>
          <w:bCs/>
          <w:szCs w:val="24"/>
          <w:lang w:eastAsia="en-US"/>
        </w:rPr>
      </w:pPr>
      <w:r w:rsidRPr="00E51CDD">
        <w:rPr>
          <w:szCs w:val="24"/>
        </w:rPr>
        <w:t>In a separate study, the reference item Maypon Flow (Carbendazim, SC 500) had a significant effect on biomass increase and reproduction of earthworms. The reproduction rate was clearly inhibited by 58% and 99% compared to the control at the tested concentrations of 5 and 10 mg product/kg dry soil.</w:t>
      </w:r>
    </w:p>
    <w:p w14:paraId="1728E77B" w14:textId="77777777" w:rsidR="00E51CDD" w:rsidRPr="00E51CDD" w:rsidRDefault="00E51CDD" w:rsidP="00E51CDD">
      <w:pPr>
        <w:widowControl w:val="0"/>
        <w:jc w:val="both"/>
        <w:rPr>
          <w:b/>
          <w:bCs/>
          <w:color w:val="0070C0"/>
          <w:szCs w:val="24"/>
          <w:lang w:eastAsia="en-US"/>
        </w:rPr>
      </w:pPr>
    </w:p>
    <w:p w14:paraId="1745194D" w14:textId="77777777" w:rsidR="00E51CDD" w:rsidRPr="00E51CDD" w:rsidRDefault="00E51CDD" w:rsidP="00E51CDD">
      <w:pPr>
        <w:jc w:val="both"/>
        <w:rPr>
          <w:b/>
          <w:bCs/>
          <w:color w:val="0070C0"/>
          <w:szCs w:val="24"/>
          <w:lang w:eastAsia="en-US"/>
        </w:rPr>
      </w:pPr>
      <w:r w:rsidRPr="00E51CDD">
        <w:rPr>
          <w:b/>
          <w:bCs/>
          <w:color w:val="0070C0"/>
          <w:szCs w:val="24"/>
          <w:lang w:eastAsia="en-US"/>
        </w:rPr>
        <w:br w:type="page"/>
      </w:r>
    </w:p>
    <w:p w14:paraId="50E85A9D" w14:textId="77777777" w:rsidR="00E51CDD" w:rsidRPr="00E51CDD" w:rsidRDefault="00E51CDD" w:rsidP="00E51CDD">
      <w:pPr>
        <w:jc w:val="both"/>
        <w:rPr>
          <w:u w:val="single"/>
        </w:rPr>
      </w:pPr>
      <w:r w:rsidRPr="00E51CDD">
        <w:rPr>
          <w:u w:val="single"/>
        </w:rPr>
        <w:lastRenderedPageBreak/>
        <w:t>Validity criteria:</w:t>
      </w:r>
    </w:p>
    <w:p w14:paraId="7CE92959" w14:textId="77777777" w:rsidR="00E51CDD" w:rsidRPr="00E51CDD" w:rsidRDefault="00E51CDD" w:rsidP="00E51CDD">
      <w:pPr>
        <w:jc w:val="both"/>
      </w:pPr>
    </w:p>
    <w:tbl>
      <w:tblPr>
        <w:tblStyle w:val="DAR0071"/>
        <w:tblW w:w="5000" w:type="pct"/>
        <w:tblLook w:val="04A0" w:firstRow="1" w:lastRow="0" w:firstColumn="1" w:lastColumn="0" w:noHBand="0" w:noVBand="1"/>
      </w:tblPr>
      <w:tblGrid>
        <w:gridCol w:w="6866"/>
        <w:gridCol w:w="2478"/>
      </w:tblGrid>
      <w:tr w:rsidR="00E51CDD" w:rsidRPr="00E51CDD" w14:paraId="498D568C" w14:textId="77777777" w:rsidTr="009938D9">
        <w:tc>
          <w:tcPr>
            <w:tcW w:w="3674" w:type="pct"/>
            <w:vAlign w:val="center"/>
          </w:tcPr>
          <w:p w14:paraId="17E44640" w14:textId="77777777" w:rsidR="00E51CDD" w:rsidRPr="00E51CDD" w:rsidRDefault="00E51CDD" w:rsidP="00E51CDD">
            <w:pPr>
              <w:widowControl w:val="0"/>
              <w:rPr>
                <w:b/>
                <w:sz w:val="20"/>
                <w:szCs w:val="20"/>
              </w:rPr>
            </w:pPr>
            <w:r w:rsidRPr="00E51CDD">
              <w:rPr>
                <w:b/>
                <w:sz w:val="20"/>
                <w:szCs w:val="20"/>
              </w:rPr>
              <w:t>Validity criteria according to OECD 222 (2016)</w:t>
            </w:r>
          </w:p>
        </w:tc>
        <w:tc>
          <w:tcPr>
            <w:tcW w:w="1326" w:type="pct"/>
            <w:vAlign w:val="center"/>
          </w:tcPr>
          <w:p w14:paraId="2B67D619" w14:textId="77777777" w:rsidR="00E51CDD" w:rsidRPr="00E51CDD" w:rsidRDefault="00E51CDD" w:rsidP="00E51CDD">
            <w:pPr>
              <w:widowControl w:val="0"/>
              <w:rPr>
                <w:b/>
                <w:sz w:val="20"/>
                <w:szCs w:val="20"/>
              </w:rPr>
            </w:pPr>
            <w:r w:rsidRPr="00E51CDD">
              <w:rPr>
                <w:b/>
                <w:sz w:val="20"/>
                <w:szCs w:val="20"/>
              </w:rPr>
              <w:t>Obtained in this study</w:t>
            </w:r>
          </w:p>
        </w:tc>
      </w:tr>
      <w:tr w:rsidR="00E51CDD" w:rsidRPr="00E51CDD" w14:paraId="55DEBD32" w14:textId="77777777" w:rsidTr="009938D9">
        <w:tc>
          <w:tcPr>
            <w:tcW w:w="3674" w:type="pct"/>
            <w:vAlign w:val="center"/>
          </w:tcPr>
          <w:p w14:paraId="4E3E0E0D" w14:textId="77777777" w:rsidR="00E51CDD" w:rsidRPr="00E51CDD" w:rsidRDefault="00E51CDD" w:rsidP="00E51CDD">
            <w:pPr>
              <w:widowControl w:val="0"/>
              <w:rPr>
                <w:sz w:val="20"/>
                <w:szCs w:val="20"/>
              </w:rPr>
            </w:pPr>
            <w:r w:rsidRPr="00E51CDD">
              <w:rPr>
                <w:sz w:val="20"/>
                <w:szCs w:val="20"/>
              </w:rPr>
              <w:t>Adult mortality in the control ≤ 10%</w:t>
            </w:r>
          </w:p>
        </w:tc>
        <w:tc>
          <w:tcPr>
            <w:tcW w:w="1326" w:type="pct"/>
            <w:vAlign w:val="center"/>
          </w:tcPr>
          <w:p w14:paraId="3DADF6B8" w14:textId="77777777" w:rsidR="00E51CDD" w:rsidRPr="00E51CDD" w:rsidRDefault="00E51CDD" w:rsidP="00E51CDD">
            <w:pPr>
              <w:widowControl w:val="0"/>
              <w:rPr>
                <w:sz w:val="20"/>
                <w:szCs w:val="20"/>
              </w:rPr>
            </w:pPr>
            <w:r w:rsidRPr="00E51CDD">
              <w:rPr>
                <w:sz w:val="20"/>
                <w:szCs w:val="20"/>
              </w:rPr>
              <w:t>1.3%</w:t>
            </w:r>
          </w:p>
        </w:tc>
      </w:tr>
      <w:tr w:rsidR="00E51CDD" w:rsidRPr="00E51CDD" w14:paraId="02748486" w14:textId="77777777" w:rsidTr="009938D9">
        <w:tc>
          <w:tcPr>
            <w:tcW w:w="3674" w:type="pct"/>
            <w:vAlign w:val="center"/>
          </w:tcPr>
          <w:p w14:paraId="5D0D0486" w14:textId="77777777" w:rsidR="00E51CDD" w:rsidRPr="00E51CDD" w:rsidRDefault="00E51CDD" w:rsidP="00E51CDD">
            <w:pPr>
              <w:widowControl w:val="0"/>
              <w:rPr>
                <w:sz w:val="20"/>
                <w:szCs w:val="20"/>
              </w:rPr>
            </w:pPr>
            <w:r w:rsidRPr="00E51CDD">
              <w:rPr>
                <w:sz w:val="20"/>
                <w:szCs w:val="20"/>
              </w:rPr>
              <w:t>Number of juveniles per control replicate ≥ 30 (with 10 adults per replicate)</w:t>
            </w:r>
          </w:p>
        </w:tc>
        <w:tc>
          <w:tcPr>
            <w:tcW w:w="1326" w:type="pct"/>
            <w:vAlign w:val="center"/>
          </w:tcPr>
          <w:p w14:paraId="57736EF5" w14:textId="77777777" w:rsidR="00E51CDD" w:rsidRPr="00E51CDD" w:rsidRDefault="00E51CDD" w:rsidP="00E51CDD">
            <w:pPr>
              <w:widowControl w:val="0"/>
              <w:rPr>
                <w:sz w:val="20"/>
                <w:szCs w:val="20"/>
              </w:rPr>
            </w:pPr>
            <w:r w:rsidRPr="00E51CDD">
              <w:rPr>
                <w:sz w:val="20"/>
                <w:szCs w:val="20"/>
              </w:rPr>
              <w:t>168 to 253</w:t>
            </w:r>
          </w:p>
        </w:tc>
      </w:tr>
      <w:tr w:rsidR="00E51CDD" w:rsidRPr="00E51CDD" w14:paraId="4996FE89" w14:textId="77777777" w:rsidTr="009938D9">
        <w:tc>
          <w:tcPr>
            <w:tcW w:w="3674" w:type="pct"/>
            <w:vAlign w:val="center"/>
          </w:tcPr>
          <w:p w14:paraId="4B0CC226" w14:textId="77777777" w:rsidR="00E51CDD" w:rsidRPr="00E51CDD" w:rsidRDefault="00E51CDD" w:rsidP="00E51CDD">
            <w:pPr>
              <w:widowControl w:val="0"/>
              <w:rPr>
                <w:sz w:val="20"/>
                <w:szCs w:val="20"/>
              </w:rPr>
            </w:pPr>
            <w:r w:rsidRPr="00E51CDD">
              <w:rPr>
                <w:sz w:val="20"/>
                <w:szCs w:val="20"/>
              </w:rPr>
              <w:t>Coefficient of variation of reproduction in the control ≤ 30%</w:t>
            </w:r>
          </w:p>
        </w:tc>
        <w:tc>
          <w:tcPr>
            <w:tcW w:w="1326" w:type="pct"/>
            <w:vAlign w:val="center"/>
          </w:tcPr>
          <w:p w14:paraId="438111DC" w14:textId="77777777" w:rsidR="00E51CDD" w:rsidRPr="00E51CDD" w:rsidRDefault="00E51CDD" w:rsidP="00E51CDD">
            <w:pPr>
              <w:widowControl w:val="0"/>
              <w:rPr>
                <w:sz w:val="20"/>
                <w:szCs w:val="20"/>
              </w:rPr>
            </w:pPr>
            <w:r w:rsidRPr="00E51CDD">
              <w:rPr>
                <w:sz w:val="20"/>
                <w:szCs w:val="20"/>
              </w:rPr>
              <w:t>13.5%</w:t>
            </w:r>
          </w:p>
        </w:tc>
      </w:tr>
    </w:tbl>
    <w:p w14:paraId="40AFB0E6" w14:textId="77777777" w:rsidR="00E51CDD" w:rsidRPr="00E51CDD" w:rsidRDefault="00E51CDD" w:rsidP="00E51CDD"/>
    <w:p w14:paraId="2F224D4F" w14:textId="77777777" w:rsidR="00E51CDD" w:rsidRPr="00E51CDD" w:rsidRDefault="00E51CDD" w:rsidP="00E51CDD"/>
    <w:p w14:paraId="51FC9CCD" w14:textId="77777777" w:rsidR="00E51CDD" w:rsidRPr="00E51CDD" w:rsidRDefault="00E51CDD" w:rsidP="00E51CDD">
      <w:pPr>
        <w:jc w:val="both"/>
      </w:pPr>
      <w:r w:rsidRPr="00E51CDD">
        <w:t>All validity criteria were met.</w:t>
      </w:r>
    </w:p>
    <w:p w14:paraId="63183ACA" w14:textId="77777777" w:rsidR="00E51CDD" w:rsidRPr="00E51CDD" w:rsidRDefault="00E51CDD" w:rsidP="00E51CDD"/>
    <w:p w14:paraId="33943AD0" w14:textId="77777777" w:rsidR="00E51CDD" w:rsidRPr="00E51CDD" w:rsidRDefault="00E51CDD" w:rsidP="00E51CDD">
      <w:pPr>
        <w:widowControl w:val="0"/>
        <w:jc w:val="both"/>
        <w:rPr>
          <w:b/>
          <w:bCs/>
          <w:szCs w:val="24"/>
          <w:lang w:eastAsia="en-US"/>
        </w:rPr>
      </w:pPr>
    </w:p>
    <w:p w14:paraId="58A118D3" w14:textId="77777777" w:rsidR="00E51CDD" w:rsidRPr="00E51CDD" w:rsidRDefault="00E51CDD" w:rsidP="00E51CDD">
      <w:pPr>
        <w:widowControl w:val="0"/>
        <w:tabs>
          <w:tab w:val="left" w:pos="425"/>
          <w:tab w:val="left" w:pos="850"/>
        </w:tabs>
        <w:ind w:left="2835" w:hanging="2835"/>
        <w:rPr>
          <w:b/>
          <w:bCs/>
        </w:rPr>
      </w:pPr>
      <w:r w:rsidRPr="00E51CDD">
        <w:rPr>
          <w:b/>
          <w:bCs/>
        </w:rPr>
        <w:t>III.</w:t>
      </w:r>
      <w:r w:rsidRPr="00E51CDD">
        <w:rPr>
          <w:b/>
          <w:bCs/>
        </w:rPr>
        <w:tab/>
        <w:t>CONCLUSION</w:t>
      </w:r>
    </w:p>
    <w:p w14:paraId="374239A2" w14:textId="77777777" w:rsidR="00E51CDD" w:rsidRPr="00E51CDD" w:rsidRDefault="00E51CDD" w:rsidP="00E51CDD">
      <w:pPr>
        <w:widowControl w:val="0"/>
        <w:jc w:val="both"/>
        <w:rPr>
          <w:b/>
          <w:bCs/>
          <w:szCs w:val="24"/>
          <w:lang w:eastAsia="en-US"/>
        </w:rPr>
      </w:pPr>
    </w:p>
    <w:p w14:paraId="02A9D3AC" w14:textId="77777777" w:rsidR="00E51CDD" w:rsidRPr="00E51CDD" w:rsidRDefault="00E51CDD" w:rsidP="00E51CDD">
      <w:pPr>
        <w:spacing w:after="160" w:line="259" w:lineRule="auto"/>
        <w:jc w:val="both"/>
        <w:rPr>
          <w:rFonts w:eastAsia="Calibri"/>
          <w:b/>
          <w:bCs/>
          <w:lang w:eastAsia="en-US"/>
        </w:rPr>
      </w:pPr>
      <w:r w:rsidRPr="00E51CDD">
        <w:rPr>
          <w:rFonts w:eastAsia="Calibri"/>
          <w:b/>
          <w:bCs/>
          <w:lang w:eastAsia="en-US"/>
        </w:rPr>
        <w:t xml:space="preserve">In a 56-day earthworm reproduction study with </w:t>
      </w:r>
      <w:r w:rsidRPr="00E51CDD">
        <w:rPr>
          <w:b/>
          <w:bCs/>
          <w:szCs w:val="24"/>
          <w:lang w:eastAsia="zh-CN"/>
        </w:rPr>
        <w:t>BAS 736 00 F</w:t>
      </w:r>
      <w:r w:rsidRPr="00E51CDD">
        <w:rPr>
          <w:rFonts w:eastAsia="Calibri"/>
          <w:b/>
          <w:bCs/>
          <w:lang w:eastAsia="en-US"/>
        </w:rPr>
        <w:t xml:space="preserve">, the NOEC for mortality and biomass was determined to be </w:t>
      </w:r>
      <w:r w:rsidRPr="00E51CDD">
        <w:rPr>
          <w:b/>
          <w:bCs/>
          <w:szCs w:val="24"/>
          <w:lang w:eastAsia="en-US"/>
        </w:rPr>
        <w:t>≥ 820.7 </w:t>
      </w:r>
      <w:r w:rsidRPr="00E51CDD">
        <w:rPr>
          <w:rFonts w:eastAsia="Calibri"/>
          <w:b/>
          <w:bCs/>
          <w:lang w:eastAsia="en-US"/>
        </w:rPr>
        <w:t xml:space="preserve">mg/kg dry soil. The NOEC for reproduction was determined to be </w:t>
      </w:r>
      <w:r w:rsidRPr="00E51CDD">
        <w:rPr>
          <w:b/>
          <w:bCs/>
          <w:szCs w:val="24"/>
          <w:lang w:eastAsia="en-US"/>
        </w:rPr>
        <w:t>284 </w:t>
      </w:r>
      <w:r w:rsidRPr="00E51CDD">
        <w:rPr>
          <w:rFonts w:eastAsia="Calibri"/>
          <w:b/>
          <w:bCs/>
          <w:lang w:eastAsia="en-US"/>
        </w:rPr>
        <w:t>mg/kg dry soil. The EC</w:t>
      </w:r>
      <w:r w:rsidRPr="00E51CDD">
        <w:rPr>
          <w:rFonts w:eastAsia="Calibri"/>
          <w:b/>
          <w:bCs/>
          <w:vertAlign w:val="subscript"/>
          <w:lang w:eastAsia="en-US"/>
        </w:rPr>
        <w:t>10</w:t>
      </w:r>
      <w:r w:rsidRPr="00E51CDD">
        <w:rPr>
          <w:rFonts w:eastAsia="Calibri"/>
          <w:b/>
          <w:bCs/>
          <w:lang w:eastAsia="en-US"/>
        </w:rPr>
        <w:t>, EC</w:t>
      </w:r>
      <w:r w:rsidRPr="00E51CDD">
        <w:rPr>
          <w:rFonts w:eastAsia="Calibri"/>
          <w:b/>
          <w:bCs/>
          <w:vertAlign w:val="subscript"/>
          <w:lang w:eastAsia="en-US"/>
        </w:rPr>
        <w:t>20</w:t>
      </w:r>
      <w:r w:rsidRPr="00E51CDD">
        <w:rPr>
          <w:rFonts w:eastAsia="Calibri"/>
          <w:b/>
          <w:bCs/>
          <w:lang w:eastAsia="en-US"/>
        </w:rPr>
        <w:t xml:space="preserve"> and EC</w:t>
      </w:r>
      <w:r w:rsidRPr="00E51CDD">
        <w:rPr>
          <w:rFonts w:eastAsia="Calibri"/>
          <w:b/>
          <w:bCs/>
          <w:vertAlign w:val="subscript"/>
          <w:lang w:eastAsia="en-US"/>
        </w:rPr>
        <w:t>50</w:t>
      </w:r>
      <w:r w:rsidRPr="00E51CDD">
        <w:rPr>
          <w:rFonts w:eastAsia="Calibri"/>
          <w:b/>
          <w:bCs/>
          <w:lang w:eastAsia="en-US"/>
        </w:rPr>
        <w:t xml:space="preserve"> values for reproduction were calculated to be 295.9, 401.4 and 719.3 mg/kg dry soil, respectively.</w:t>
      </w:r>
    </w:p>
    <w:p w14:paraId="482A1C77" w14:textId="77777777" w:rsidR="00E51CDD" w:rsidRPr="00E51CDD" w:rsidRDefault="00E51CDD" w:rsidP="00E51CDD">
      <w:pPr>
        <w:widowControl w:val="0"/>
        <w:jc w:val="both"/>
      </w:pPr>
    </w:p>
    <w:p w14:paraId="1292D6CE" w14:textId="77777777" w:rsidR="00E51CDD" w:rsidRPr="00E51CDD" w:rsidRDefault="00E51CDD" w:rsidP="00E51CDD">
      <w:pPr>
        <w:widowControl w:val="0"/>
        <w:jc w:val="both"/>
      </w:pPr>
    </w:p>
    <w:p w14:paraId="26475196" w14:textId="77777777" w:rsidR="00E51CDD" w:rsidRPr="00B31542" w:rsidRDefault="00E51CDD" w:rsidP="00B31542">
      <w:pPr>
        <w:pStyle w:val="RepAppendix4"/>
      </w:pPr>
      <w:r w:rsidRPr="00B31542">
        <w:t xml:space="preserve">KCP 10.4.1.2 </w:t>
      </w:r>
      <w:r w:rsidRPr="00B31542">
        <w:tab/>
        <w:t>Earthworms - field studies</w:t>
      </w:r>
    </w:p>
    <w:p w14:paraId="1911BC8A" w14:textId="77777777" w:rsidR="00E51CDD" w:rsidRPr="00E51CDD" w:rsidRDefault="00E51CDD" w:rsidP="00E51CDD">
      <w:pPr>
        <w:widowControl w:val="0"/>
        <w:jc w:val="both"/>
        <w:rPr>
          <w:lang w:val="en-GB"/>
        </w:rPr>
      </w:pPr>
      <w:bookmarkStart w:id="1263" w:name="_Toc413922104"/>
      <w:bookmarkStart w:id="1264" w:name="_Toc413922593"/>
      <w:bookmarkStart w:id="1265" w:name="_Toc413922697"/>
      <w:bookmarkStart w:id="1266" w:name="_Toc414955334"/>
      <w:bookmarkStart w:id="1267" w:name="_Toc415214641"/>
      <w:r w:rsidRPr="00E51CDD">
        <w:rPr>
          <w:lang w:val="en-GB"/>
        </w:rPr>
        <w:t>As BAS 736 00 F poses no unacceptable risk to earthworms, further studies are not necessary.</w:t>
      </w:r>
    </w:p>
    <w:p w14:paraId="587AB3D4" w14:textId="77777777" w:rsidR="00E51CDD" w:rsidRPr="00E51CDD" w:rsidRDefault="00E51CDD" w:rsidP="00E51CDD">
      <w:pPr>
        <w:widowControl w:val="0"/>
        <w:jc w:val="both"/>
        <w:rPr>
          <w:lang w:val="en-GB"/>
        </w:rPr>
      </w:pPr>
      <w:r w:rsidRPr="00E51CDD">
        <w:rPr>
          <w:lang w:val="en-GB"/>
        </w:rPr>
        <w:br w:type="page"/>
      </w:r>
    </w:p>
    <w:p w14:paraId="7651A09B" w14:textId="77777777" w:rsidR="00E51CDD" w:rsidRPr="00E51CDD" w:rsidRDefault="00E51CDD" w:rsidP="00B31542">
      <w:pPr>
        <w:pStyle w:val="RepAppendix3"/>
      </w:pPr>
      <w:bookmarkStart w:id="1268" w:name="_Toc125446489"/>
      <w:r w:rsidRPr="00E51CDD">
        <w:lastRenderedPageBreak/>
        <w:t xml:space="preserve">KCP 10.4.2 </w:t>
      </w:r>
      <w:r w:rsidRPr="00E51CDD">
        <w:tab/>
        <w:t>Effects on non-target soil meso- and macrofauna (other than earthworms)</w:t>
      </w:r>
      <w:bookmarkEnd w:id="1263"/>
      <w:bookmarkEnd w:id="1264"/>
      <w:bookmarkEnd w:id="1265"/>
      <w:bookmarkEnd w:id="1266"/>
      <w:bookmarkEnd w:id="1267"/>
      <w:bookmarkEnd w:id="1268"/>
    </w:p>
    <w:p w14:paraId="348B5D49" w14:textId="77777777" w:rsidR="00E51CDD" w:rsidRPr="00E51CDD" w:rsidRDefault="00E51CDD" w:rsidP="00B31542">
      <w:pPr>
        <w:pStyle w:val="RepAppendix4"/>
      </w:pPr>
      <w:r w:rsidRPr="00E51CDD">
        <w:t xml:space="preserve">KCP 10.4.2.1 </w:t>
      </w:r>
      <w:r w:rsidRPr="00E51CDD">
        <w:tab/>
        <w:t>Species level testing</w:t>
      </w:r>
    </w:p>
    <w:p w14:paraId="6186807A" w14:textId="77777777" w:rsidR="00E51CDD" w:rsidRPr="00E51CDD" w:rsidRDefault="00E51CDD" w:rsidP="00B31542">
      <w:pPr>
        <w:pStyle w:val="RepAppendix5"/>
      </w:pPr>
      <w:r w:rsidRPr="00E51CDD">
        <w:t>Study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rsidRPr="00E51CDD" w14:paraId="66A3095F" w14:textId="77777777" w:rsidTr="000C62D5">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FBA2AE" w14:textId="77777777" w:rsidR="00E51CDD" w:rsidRPr="00E51CDD" w:rsidRDefault="00E51CDD" w:rsidP="00E51CDD">
            <w:pPr>
              <w:widowControl w:val="0"/>
              <w:jc w:val="both"/>
              <w:rPr>
                <w:rFonts w:eastAsia="Batang"/>
                <w:lang w:val="en-GB"/>
              </w:rPr>
            </w:pPr>
            <w:r w:rsidRPr="00E51CDD">
              <w:rPr>
                <w:lang w:val="en-GB"/>
              </w:rP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9CEFA9" w14:textId="0973962B" w:rsidR="00E51CDD" w:rsidRPr="00E51CDD" w:rsidRDefault="000C62D5" w:rsidP="00E51CDD">
            <w:pPr>
              <w:widowControl w:val="0"/>
              <w:ind w:left="85"/>
              <w:jc w:val="both"/>
              <w:rPr>
                <w:rFonts w:eastAsia="Batang"/>
                <w:lang w:val="en-GB"/>
              </w:rPr>
            </w:pPr>
            <w:r>
              <w:rPr>
                <w:rFonts w:eastAsia="Batang"/>
                <w:lang w:val="en-GB"/>
              </w:rPr>
              <w:t>Study not evaluated.</w:t>
            </w:r>
          </w:p>
        </w:tc>
      </w:tr>
    </w:tbl>
    <w:p w14:paraId="17AB7FC5" w14:textId="77777777" w:rsidR="00E51CDD" w:rsidRP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rsidRPr="00E51CDD" w14:paraId="71F296E6" w14:textId="77777777" w:rsidTr="009938D9">
        <w:trPr>
          <w:gridAfter w:val="1"/>
          <w:wAfter w:w="9" w:type="pct"/>
        </w:trPr>
        <w:tc>
          <w:tcPr>
            <w:tcW w:w="1340" w:type="pct"/>
            <w:hideMark/>
          </w:tcPr>
          <w:p w14:paraId="29515E84" w14:textId="77777777" w:rsidR="00E51CDD" w:rsidRPr="00E51CDD" w:rsidRDefault="00E51CDD" w:rsidP="00E51CDD">
            <w:pPr>
              <w:widowControl w:val="0"/>
              <w:jc w:val="both"/>
              <w:rPr>
                <w:lang w:val="de-DE"/>
              </w:rPr>
            </w:pPr>
            <w:r w:rsidRPr="00E51CDD">
              <w:rPr>
                <w:lang w:val="en-GB"/>
              </w:rPr>
              <w:t>Reference:</w:t>
            </w:r>
          </w:p>
        </w:tc>
        <w:tc>
          <w:tcPr>
            <w:tcW w:w="3651" w:type="pct"/>
            <w:hideMark/>
          </w:tcPr>
          <w:p w14:paraId="31A3BF67" w14:textId="77777777" w:rsidR="00E51CDD" w:rsidRPr="00E51CDD" w:rsidRDefault="00E51CDD" w:rsidP="00E51CDD">
            <w:pPr>
              <w:widowControl w:val="0"/>
              <w:jc w:val="both"/>
              <w:rPr>
                <w:lang w:val="en-GB"/>
              </w:rPr>
            </w:pPr>
            <w:r w:rsidRPr="00E51CDD">
              <w:rPr>
                <w:lang w:val="en-GB"/>
              </w:rPr>
              <w:t>CP 10.4.2.1/1</w:t>
            </w:r>
          </w:p>
        </w:tc>
      </w:tr>
      <w:tr w:rsidR="00E51CDD" w:rsidRPr="00E51CDD" w14:paraId="74EF763F" w14:textId="77777777" w:rsidTr="009938D9">
        <w:trPr>
          <w:gridAfter w:val="1"/>
          <w:wAfter w:w="9" w:type="pct"/>
        </w:trPr>
        <w:tc>
          <w:tcPr>
            <w:tcW w:w="1340" w:type="pct"/>
            <w:hideMark/>
          </w:tcPr>
          <w:p w14:paraId="0293F683" w14:textId="77777777" w:rsidR="00E51CDD" w:rsidRPr="00E51CDD" w:rsidRDefault="00E51CDD" w:rsidP="00E51CDD">
            <w:pPr>
              <w:widowControl w:val="0"/>
              <w:spacing w:after="120"/>
              <w:jc w:val="both"/>
              <w:rPr>
                <w:lang w:val="en-GB"/>
              </w:rPr>
            </w:pPr>
            <w:r w:rsidRPr="00E51CDD">
              <w:rPr>
                <w:lang w:val="en-GB"/>
              </w:rPr>
              <w:t>Report</w:t>
            </w:r>
          </w:p>
        </w:tc>
        <w:tc>
          <w:tcPr>
            <w:tcW w:w="3651" w:type="pct"/>
            <w:hideMark/>
          </w:tcPr>
          <w:p w14:paraId="0164A3EF" w14:textId="77777777" w:rsidR="00E51CDD" w:rsidRPr="00E51CDD" w:rsidRDefault="00E51CDD" w:rsidP="00E51CDD">
            <w:pPr>
              <w:widowControl w:val="0"/>
              <w:spacing w:after="120"/>
              <w:jc w:val="both"/>
            </w:pPr>
            <w:r w:rsidRPr="00E51CDD">
              <w:t>Effects of BAS 700 F (Fluxapyroxad) on the reproduction of the collembolan Folsomia candida,</w:t>
            </w:r>
          </w:p>
          <w:p w14:paraId="0CF1BEFA" w14:textId="77777777" w:rsidR="00E51CDD" w:rsidRPr="00E51CDD" w:rsidRDefault="00E51CDD" w:rsidP="00E51CDD">
            <w:pPr>
              <w:widowControl w:val="0"/>
              <w:spacing w:after="120"/>
              <w:jc w:val="both"/>
            </w:pPr>
            <w:r w:rsidRPr="00E51CDD">
              <w:t>Friedrich, S., 2014</w:t>
            </w:r>
          </w:p>
          <w:p w14:paraId="31383B4E" w14:textId="77777777" w:rsidR="00E51CDD" w:rsidRPr="00E51CDD" w:rsidRDefault="00E51CDD" w:rsidP="00E51CDD">
            <w:pPr>
              <w:widowControl w:val="0"/>
              <w:spacing w:after="120"/>
              <w:jc w:val="both"/>
            </w:pPr>
            <w:r w:rsidRPr="00E51CDD">
              <w:t>report No EU-141048070S,EU-706151,14 10 48 070 S</w:t>
            </w:r>
          </w:p>
          <w:p w14:paraId="5547F8C8" w14:textId="77777777" w:rsidR="00E51CDD" w:rsidRPr="00E51CDD" w:rsidRDefault="00E51CDD" w:rsidP="00E51CDD">
            <w:pPr>
              <w:widowControl w:val="0"/>
              <w:spacing w:after="120"/>
              <w:jc w:val="both"/>
              <w:rPr>
                <w:lang w:val="en-GB"/>
              </w:rPr>
            </w:pPr>
            <w:r w:rsidRPr="00E51CDD">
              <w:t>2014/1135433</w:t>
            </w:r>
          </w:p>
          <w:p w14:paraId="451FEDB8" w14:textId="77777777" w:rsidR="00E51CDD" w:rsidRPr="00E51CDD" w:rsidRDefault="00E51CDD" w:rsidP="00E51CDD">
            <w:pPr>
              <w:widowControl w:val="0"/>
              <w:jc w:val="both"/>
              <w:rPr>
                <w:lang w:val="en-GB"/>
              </w:rPr>
            </w:pPr>
            <w:r w:rsidRPr="00E51CDD">
              <w:rPr>
                <w:lang w:val="en-GB"/>
              </w:rPr>
              <w:t>Authority registration No</w:t>
            </w:r>
          </w:p>
        </w:tc>
      </w:tr>
      <w:tr w:rsidR="00E51CDD" w:rsidRPr="00E51CDD" w14:paraId="7B20063F" w14:textId="77777777" w:rsidTr="009938D9">
        <w:trPr>
          <w:gridAfter w:val="1"/>
          <w:wAfter w:w="9" w:type="pct"/>
        </w:trPr>
        <w:tc>
          <w:tcPr>
            <w:tcW w:w="1340" w:type="pct"/>
            <w:hideMark/>
          </w:tcPr>
          <w:p w14:paraId="219836E4" w14:textId="77777777" w:rsidR="00E51CDD" w:rsidRPr="00E51CDD" w:rsidRDefault="00E51CDD" w:rsidP="00E51CDD">
            <w:pPr>
              <w:widowControl w:val="0"/>
              <w:jc w:val="both"/>
              <w:rPr>
                <w:lang w:val="en-GB"/>
              </w:rPr>
            </w:pPr>
            <w:r w:rsidRPr="00E51CDD">
              <w:rPr>
                <w:lang w:val="en-GB"/>
              </w:rPr>
              <w:t>Guideline(s):</w:t>
            </w:r>
          </w:p>
        </w:tc>
        <w:tc>
          <w:tcPr>
            <w:tcW w:w="3651" w:type="pct"/>
            <w:hideMark/>
          </w:tcPr>
          <w:p w14:paraId="677E80CC" w14:textId="77777777" w:rsidR="00E51CDD" w:rsidRPr="00E51CDD" w:rsidRDefault="00E51CDD" w:rsidP="00E51CDD">
            <w:pPr>
              <w:widowControl w:val="0"/>
              <w:spacing w:after="120"/>
              <w:jc w:val="both"/>
              <w:rPr>
                <w:lang w:val="en-GB"/>
              </w:rPr>
            </w:pPr>
            <w:r w:rsidRPr="00E51CDD">
              <w:t>ISO 11267 (1999), OECD 232 (2009)</w:t>
            </w:r>
            <w:r w:rsidRPr="00E51CDD">
              <w:rPr>
                <w:lang w:val="en-GB"/>
              </w:rPr>
              <w:t xml:space="preserve"> </w:t>
            </w:r>
          </w:p>
        </w:tc>
      </w:tr>
      <w:tr w:rsidR="00E51CDD" w:rsidRPr="00E51CDD" w14:paraId="11108664" w14:textId="77777777" w:rsidTr="009938D9">
        <w:trPr>
          <w:gridAfter w:val="1"/>
          <w:wAfter w:w="9" w:type="pct"/>
        </w:trPr>
        <w:tc>
          <w:tcPr>
            <w:tcW w:w="1340" w:type="pct"/>
            <w:hideMark/>
          </w:tcPr>
          <w:p w14:paraId="169C8D8F" w14:textId="77777777" w:rsidR="00E51CDD" w:rsidRPr="00E51CDD" w:rsidRDefault="00E51CDD" w:rsidP="00E51CDD">
            <w:pPr>
              <w:widowControl w:val="0"/>
              <w:jc w:val="both"/>
              <w:rPr>
                <w:lang w:val="en-GB"/>
              </w:rPr>
            </w:pPr>
            <w:r w:rsidRPr="00E51CDD">
              <w:rPr>
                <w:lang w:val="en-GB"/>
              </w:rPr>
              <w:t>Deviations:</w:t>
            </w:r>
          </w:p>
        </w:tc>
        <w:tc>
          <w:tcPr>
            <w:tcW w:w="3651" w:type="pct"/>
            <w:hideMark/>
          </w:tcPr>
          <w:p w14:paraId="0EEF655E" w14:textId="77777777" w:rsidR="00E51CDD" w:rsidRPr="00E51CDD" w:rsidRDefault="00E51CDD" w:rsidP="00E51CDD">
            <w:pPr>
              <w:widowControl w:val="0"/>
              <w:spacing w:after="120"/>
              <w:jc w:val="both"/>
              <w:rPr>
                <w:lang w:val="en-GB"/>
              </w:rPr>
            </w:pPr>
            <w:r w:rsidRPr="00E51CDD">
              <w:rPr>
                <w:lang w:val="en-GB"/>
              </w:rPr>
              <w:t>No</w:t>
            </w:r>
          </w:p>
        </w:tc>
      </w:tr>
      <w:tr w:rsidR="00E51CDD" w:rsidRPr="00662F32" w14:paraId="64C2E041" w14:textId="77777777" w:rsidTr="009938D9">
        <w:tc>
          <w:tcPr>
            <w:tcW w:w="1340" w:type="pct"/>
            <w:hideMark/>
          </w:tcPr>
          <w:p w14:paraId="4200697E" w14:textId="77777777" w:rsidR="00E51CDD" w:rsidRPr="00E51CDD" w:rsidRDefault="00E51CDD" w:rsidP="00E51CDD">
            <w:pPr>
              <w:widowControl w:val="0"/>
              <w:jc w:val="both"/>
              <w:rPr>
                <w:lang w:val="en-GB"/>
              </w:rPr>
            </w:pPr>
            <w:r w:rsidRPr="00E51CDD">
              <w:rPr>
                <w:lang w:val="en-GB"/>
              </w:rPr>
              <w:t>GLP:</w:t>
            </w:r>
          </w:p>
        </w:tc>
        <w:tc>
          <w:tcPr>
            <w:tcW w:w="3660" w:type="pct"/>
            <w:gridSpan w:val="2"/>
            <w:hideMark/>
          </w:tcPr>
          <w:p w14:paraId="24DBE556" w14:textId="77777777" w:rsidR="00E51CDD" w:rsidRPr="00E51CDD" w:rsidRDefault="00E51CDD" w:rsidP="00E51CDD">
            <w:pPr>
              <w:tabs>
                <w:tab w:val="left" w:pos="425"/>
                <w:tab w:val="left" w:pos="850"/>
              </w:tabs>
              <w:spacing w:after="120"/>
              <w:ind w:left="1985" w:hanging="1985"/>
              <w:rPr>
                <w:b/>
                <w:lang w:val="de-DE"/>
              </w:rPr>
            </w:pPr>
            <w:r w:rsidRPr="00E51CDD">
              <w:rPr>
                <w:lang w:val="de-DE"/>
              </w:rPr>
              <w:t>yes</w:t>
            </w:r>
          </w:p>
          <w:p w14:paraId="22F9D090" w14:textId="77777777" w:rsidR="00E51CDD" w:rsidRPr="00E51CDD" w:rsidRDefault="00E51CDD" w:rsidP="00E51CDD">
            <w:pPr>
              <w:widowControl w:val="0"/>
              <w:spacing w:after="120"/>
              <w:rPr>
                <w:lang w:val="de-DE"/>
              </w:rPr>
            </w:pPr>
            <w:r w:rsidRPr="00E51CDD">
              <w:rPr>
                <w:lang w:val="de-DE"/>
              </w:rPr>
              <w:t xml:space="preserve">(certified by Saechsisches Staatsministerium fuer Umwelt und Landwirtschaft, Dresden, Germany), </w:t>
            </w:r>
          </w:p>
        </w:tc>
      </w:tr>
      <w:tr w:rsidR="00E51CDD" w:rsidRPr="00E51CDD" w14:paraId="4EBEA975" w14:textId="77777777" w:rsidTr="009938D9">
        <w:trPr>
          <w:gridAfter w:val="1"/>
          <w:wAfter w:w="9" w:type="pct"/>
        </w:trPr>
        <w:tc>
          <w:tcPr>
            <w:tcW w:w="1340" w:type="pct"/>
            <w:hideMark/>
          </w:tcPr>
          <w:p w14:paraId="23220371" w14:textId="77777777" w:rsidR="00E51CDD" w:rsidRPr="00E51CDD" w:rsidRDefault="00E51CDD" w:rsidP="00E51CDD">
            <w:pPr>
              <w:widowControl w:val="0"/>
              <w:jc w:val="both"/>
              <w:rPr>
                <w:lang w:val="de-DE"/>
              </w:rPr>
            </w:pPr>
            <w:r w:rsidRPr="00E51CDD">
              <w:rPr>
                <w:lang w:val="en-GB"/>
              </w:rPr>
              <w:t>Acceptability:</w:t>
            </w:r>
          </w:p>
        </w:tc>
        <w:tc>
          <w:tcPr>
            <w:tcW w:w="3651" w:type="pct"/>
            <w:hideMark/>
          </w:tcPr>
          <w:p w14:paraId="6AEADA1E" w14:textId="77777777" w:rsidR="00E51CDD" w:rsidRPr="00E51CDD" w:rsidRDefault="00E51CDD" w:rsidP="00E51CDD">
            <w:pPr>
              <w:widowControl w:val="0"/>
              <w:jc w:val="both"/>
              <w:rPr>
                <w:lang w:val="en-GB"/>
              </w:rPr>
            </w:pPr>
            <w:r w:rsidRPr="00E51CDD">
              <w:rPr>
                <w:lang w:val="en-GB"/>
              </w:rPr>
              <w:t xml:space="preserve">Yes </w:t>
            </w:r>
          </w:p>
        </w:tc>
      </w:tr>
      <w:tr w:rsidR="00E51CDD" w:rsidRPr="00E51CDD" w14:paraId="288F7651" w14:textId="77777777" w:rsidTr="009938D9">
        <w:trPr>
          <w:gridAfter w:val="1"/>
          <w:wAfter w:w="9" w:type="pct"/>
        </w:trPr>
        <w:tc>
          <w:tcPr>
            <w:tcW w:w="1340" w:type="pct"/>
            <w:hideMark/>
          </w:tcPr>
          <w:p w14:paraId="0377D163" w14:textId="77777777" w:rsidR="00E51CDD" w:rsidRPr="00E51CDD" w:rsidRDefault="00E51CDD" w:rsidP="00E51CDD">
            <w:pPr>
              <w:widowControl w:val="0"/>
              <w:jc w:val="both"/>
              <w:rPr>
                <w:lang w:val="en-GB"/>
              </w:rPr>
            </w:pPr>
            <w:r w:rsidRPr="00E51CDD">
              <w:rPr>
                <w:lang w:val="en-GB"/>
              </w:rPr>
              <w:t xml:space="preserve">Duplication </w:t>
            </w:r>
            <w:r w:rsidRPr="00E51CDD">
              <w:rPr>
                <w:lang w:val="en-GB"/>
              </w:rPr>
              <w:br/>
              <w:t>(if vertebrate study)</w:t>
            </w:r>
          </w:p>
        </w:tc>
        <w:tc>
          <w:tcPr>
            <w:tcW w:w="3651" w:type="pct"/>
            <w:hideMark/>
          </w:tcPr>
          <w:p w14:paraId="26A87B50" w14:textId="77777777" w:rsidR="00E51CDD" w:rsidRPr="00E51CDD" w:rsidRDefault="00E51CDD" w:rsidP="00E51CDD">
            <w:pPr>
              <w:widowControl w:val="0"/>
              <w:spacing w:after="120"/>
              <w:jc w:val="both"/>
              <w:rPr>
                <w:highlight w:val="yellow"/>
                <w:lang w:val="en-GB"/>
              </w:rPr>
            </w:pPr>
            <w:r w:rsidRPr="00E51CDD">
              <w:rPr>
                <w:lang w:val="en-GB"/>
              </w:rPr>
              <w:t>No</w:t>
            </w:r>
          </w:p>
        </w:tc>
      </w:tr>
    </w:tbl>
    <w:p w14:paraId="22BADB7E" w14:textId="77777777" w:rsidR="00E51CDD" w:rsidRPr="00E51CDD" w:rsidRDefault="00E51CDD" w:rsidP="00E51CDD">
      <w:pPr>
        <w:widowControl w:val="0"/>
        <w:jc w:val="both"/>
      </w:pPr>
    </w:p>
    <w:p w14:paraId="758330FC" w14:textId="77777777" w:rsidR="00E51CDD" w:rsidRPr="00E51CDD" w:rsidRDefault="00E51CDD" w:rsidP="00E51CDD">
      <w:pPr>
        <w:widowControl w:val="0"/>
        <w:jc w:val="both"/>
        <w:rPr>
          <w:lang w:val="en-GB"/>
        </w:rPr>
      </w:pPr>
      <w:r w:rsidRPr="00E51CDD">
        <w:rPr>
          <w:b/>
          <w:lang w:val="de-DE"/>
        </w:rPr>
        <w:t>Executive Summary</w:t>
      </w:r>
    </w:p>
    <w:p w14:paraId="44FB26F0" w14:textId="77777777" w:rsidR="00E51CDD" w:rsidRPr="00E51CDD" w:rsidRDefault="00E51CDD" w:rsidP="00E51CDD">
      <w:pPr>
        <w:widowControl w:val="0"/>
        <w:jc w:val="both"/>
        <w:rPr>
          <w:b/>
          <w:lang w:val="en-GB"/>
        </w:rPr>
      </w:pPr>
    </w:p>
    <w:p w14:paraId="72119489" w14:textId="77777777" w:rsidR="00E51CDD" w:rsidRPr="00E51CDD" w:rsidRDefault="00E51CDD" w:rsidP="00E51CDD">
      <w:pPr>
        <w:keepNext/>
        <w:keepLines/>
        <w:jc w:val="both"/>
        <w:rPr>
          <w:sz w:val="24"/>
          <w:szCs w:val="24"/>
        </w:rPr>
      </w:pPr>
      <w:r w:rsidRPr="00E51CDD">
        <w:t xml:space="preserve">The effects of BAS 700 F on mortality and reproduction of collembola </w:t>
      </w:r>
      <w:r w:rsidRPr="00E51CDD">
        <w:rPr>
          <w:i/>
        </w:rPr>
        <w:t>(Folsomia candida)</w:t>
      </w:r>
      <w:r w:rsidRPr="00E51CDD">
        <w:t xml:space="preserve"> were investigated in a laboratory study over 28 days. Five application rates (31.25, 62.5, 125, 250 and 500 mg BAS 700 F/kg dry soil) were incorporated into the soil with 4 replicates per treatment (each containing 10 collembolans). A solvent control with 8 replicates was included. Assessments of adult springtail mortality, behavioral effects and reproduction rate (number of juveniles) was carried out after 28 days.</w:t>
      </w:r>
    </w:p>
    <w:p w14:paraId="277C3353" w14:textId="77777777" w:rsidR="00E51CDD" w:rsidRPr="00E51CDD" w:rsidRDefault="00E51CDD" w:rsidP="00E51CDD">
      <w:pPr>
        <w:jc w:val="both"/>
      </w:pPr>
    </w:p>
    <w:p w14:paraId="62C9ABD3" w14:textId="77777777" w:rsidR="00E51CDD" w:rsidRPr="00E51CDD" w:rsidRDefault="00E51CDD" w:rsidP="00E51CDD">
      <w:pPr>
        <w:jc w:val="both"/>
      </w:pPr>
      <w:r w:rsidRPr="00E51CDD">
        <w:t xml:space="preserve">After 28 days of exposure, no statistically significant mortality was observed in the test item groups compared to the control. Mortality rates of 0 - 5.0% were recorded in the test item treatment groups. In the solvent control the mortality rate was 2.5%. The reproduction was not statistically significant different compare to the control in the test item groups. </w:t>
      </w:r>
      <w:r w:rsidRPr="00E51CDD">
        <w:rPr>
          <w:bCs/>
        </w:rPr>
        <w:t xml:space="preserve">The mean reproduction in the solvent control reached 852 juveniles. Reproduction rates in 31.25, 62.5, 125, 250 and 500 mg </w:t>
      </w:r>
      <w:r w:rsidRPr="00E51CDD">
        <w:t>BAS 700 F</w:t>
      </w:r>
      <w:r w:rsidRPr="00E51CDD">
        <w:rPr>
          <w:bCs/>
        </w:rPr>
        <w:t>/kg soil dry weight were 847, 829, 854, 857 and 890 juveniles, respectively.</w:t>
      </w:r>
    </w:p>
    <w:p w14:paraId="6DD1B217" w14:textId="77777777" w:rsidR="00E51CDD" w:rsidRPr="00E51CDD" w:rsidRDefault="00E51CDD" w:rsidP="00E51CDD">
      <w:pPr>
        <w:jc w:val="both"/>
        <w:rPr>
          <w:bCs/>
        </w:rPr>
      </w:pPr>
    </w:p>
    <w:p w14:paraId="20AA0089" w14:textId="77777777" w:rsidR="00E51CDD" w:rsidRPr="00E51CDD" w:rsidRDefault="00E51CDD" w:rsidP="00E51CDD">
      <w:pPr>
        <w:jc w:val="both"/>
        <w:rPr>
          <w:b/>
          <w:bCs/>
        </w:rPr>
      </w:pPr>
      <w:r w:rsidRPr="00E51CDD">
        <w:rPr>
          <w:b/>
          <w:bCs/>
        </w:rPr>
        <w:t>In a 28-day collembola reproduction study with BAS 700 F the NOEC based on mortality and reproduction was ≥ 500 mg BAS 700 F/kg dry soil. The EC</w:t>
      </w:r>
      <w:r w:rsidRPr="00E51CDD">
        <w:rPr>
          <w:b/>
          <w:bCs/>
          <w:vertAlign w:val="subscript"/>
        </w:rPr>
        <w:t>10</w:t>
      </w:r>
      <w:r w:rsidRPr="00E51CDD">
        <w:rPr>
          <w:b/>
          <w:bCs/>
        </w:rPr>
        <w:t xml:space="preserve"> was estimated to be &gt; 500 mg BAS 700 F/kg dry soil.</w:t>
      </w:r>
    </w:p>
    <w:p w14:paraId="34E35C11" w14:textId="77777777" w:rsidR="00E51CDD" w:rsidRPr="00E51CDD" w:rsidRDefault="00E51CDD" w:rsidP="00E51CDD">
      <w:pPr>
        <w:jc w:val="both"/>
      </w:pPr>
      <w:r w:rsidRPr="00E51CDD">
        <w:rPr>
          <w:b/>
          <w:bCs/>
        </w:rPr>
        <w:br w:type="page"/>
      </w:r>
    </w:p>
    <w:p w14:paraId="114FB8EB" w14:textId="77777777" w:rsidR="00E51CDD" w:rsidRPr="00E51CDD" w:rsidRDefault="00E51CDD" w:rsidP="00E51CDD">
      <w:pPr>
        <w:tabs>
          <w:tab w:val="left" w:pos="425"/>
          <w:tab w:val="left" w:pos="850"/>
        </w:tabs>
        <w:ind w:left="2835" w:hanging="2835"/>
        <w:rPr>
          <w:b/>
          <w:bCs/>
        </w:rPr>
      </w:pPr>
      <w:r w:rsidRPr="00E51CDD">
        <w:rPr>
          <w:b/>
          <w:bCs/>
        </w:rPr>
        <w:lastRenderedPageBreak/>
        <w:t>I.</w:t>
      </w:r>
      <w:r w:rsidRPr="00E51CDD">
        <w:rPr>
          <w:b/>
          <w:bCs/>
        </w:rPr>
        <w:tab/>
        <w:t>MATERIALS AND METHODS</w:t>
      </w:r>
    </w:p>
    <w:p w14:paraId="3A75C073" w14:textId="77777777" w:rsidR="00E51CDD" w:rsidRPr="00E51CDD" w:rsidRDefault="00E51CDD" w:rsidP="00E51CDD">
      <w:pPr>
        <w:rPr>
          <w:sz w:val="24"/>
          <w:szCs w:val="24"/>
        </w:rPr>
      </w:pPr>
    </w:p>
    <w:p w14:paraId="5264D4A4" w14:textId="77777777" w:rsidR="00E51CDD" w:rsidRPr="00E51CDD" w:rsidRDefault="00E51CDD" w:rsidP="00E51CDD">
      <w:pPr>
        <w:tabs>
          <w:tab w:val="left" w:pos="425"/>
          <w:tab w:val="left" w:pos="850"/>
        </w:tabs>
        <w:ind w:left="2835" w:hanging="2835"/>
        <w:rPr>
          <w:b/>
          <w:bCs/>
        </w:rPr>
      </w:pPr>
      <w:r w:rsidRPr="00E51CDD">
        <w:rPr>
          <w:b/>
          <w:bCs/>
        </w:rPr>
        <w:t>A.</w:t>
      </w:r>
      <w:r w:rsidRPr="00E51CDD">
        <w:rPr>
          <w:b/>
          <w:bCs/>
        </w:rPr>
        <w:tab/>
        <w:t>MATERIALS</w:t>
      </w:r>
    </w:p>
    <w:p w14:paraId="013E81C1" w14:textId="77777777" w:rsidR="00E51CDD" w:rsidRPr="00E51CDD" w:rsidRDefault="00E51CDD" w:rsidP="00E51CDD">
      <w:pPr>
        <w:rPr>
          <w:sz w:val="24"/>
          <w:szCs w:val="24"/>
        </w:rPr>
      </w:pPr>
    </w:p>
    <w:p w14:paraId="56048B59" w14:textId="77777777" w:rsidR="00E51CDD" w:rsidRPr="00E51CDD" w:rsidRDefault="00E51CDD" w:rsidP="00E51CDD">
      <w:pPr>
        <w:ind w:left="2268" w:hanging="2268"/>
        <w:jc w:val="both"/>
      </w:pPr>
      <w:r w:rsidRPr="00E51CDD">
        <w:t>Test item:</w:t>
      </w:r>
      <w:r w:rsidRPr="00E51CDD">
        <w:tab/>
        <w:t>BAS 700 F (fluxapyroxad, Reg. No. 5 096 351), batch COD-001466; purity: 100% analyzed (tolerance ±1.0%).</w:t>
      </w:r>
    </w:p>
    <w:p w14:paraId="0762C50E" w14:textId="77777777" w:rsidR="00E51CDD" w:rsidRPr="00E51CDD" w:rsidRDefault="00E51CDD" w:rsidP="00E51CDD">
      <w:pPr>
        <w:jc w:val="both"/>
      </w:pPr>
    </w:p>
    <w:p w14:paraId="732E625B" w14:textId="77777777" w:rsidR="00E51CDD" w:rsidRPr="00E51CDD" w:rsidRDefault="00E51CDD" w:rsidP="00E51CDD">
      <w:pPr>
        <w:tabs>
          <w:tab w:val="left" w:pos="425"/>
          <w:tab w:val="left" w:pos="850"/>
        </w:tabs>
        <w:ind w:left="2835" w:hanging="2835"/>
        <w:rPr>
          <w:b/>
          <w:bCs/>
        </w:rPr>
      </w:pPr>
      <w:r w:rsidRPr="00E51CDD">
        <w:rPr>
          <w:b/>
          <w:bCs/>
        </w:rPr>
        <w:t>B.</w:t>
      </w:r>
      <w:r w:rsidRPr="00E51CDD">
        <w:rPr>
          <w:b/>
          <w:bCs/>
        </w:rPr>
        <w:tab/>
        <w:t>STUDY DESIGN</w:t>
      </w:r>
    </w:p>
    <w:p w14:paraId="558026B5" w14:textId="77777777" w:rsidR="00E51CDD" w:rsidRPr="00E51CDD" w:rsidRDefault="00E51CDD" w:rsidP="00E51CDD">
      <w:pPr>
        <w:rPr>
          <w:sz w:val="24"/>
          <w:szCs w:val="24"/>
        </w:rPr>
      </w:pPr>
    </w:p>
    <w:p w14:paraId="3059CC17" w14:textId="77777777" w:rsidR="00E51CDD" w:rsidRPr="00E51CDD" w:rsidRDefault="00E51CDD" w:rsidP="00E51CDD">
      <w:pPr>
        <w:ind w:left="2310" w:hanging="2310"/>
        <w:jc w:val="both"/>
      </w:pPr>
      <w:r w:rsidRPr="00E51CDD">
        <w:t>Test species:</w:t>
      </w:r>
      <w:r w:rsidRPr="00E51CDD">
        <w:tab/>
        <w:t>Collembola (</w:t>
      </w:r>
      <w:r w:rsidRPr="00E51CDD">
        <w:rPr>
          <w:i/>
        </w:rPr>
        <w:t>Folsomia candida)</w:t>
      </w:r>
      <w:r w:rsidRPr="00E51CDD">
        <w:t>, juveniles (9 – 12 days old); source: in-house culture.</w:t>
      </w:r>
    </w:p>
    <w:p w14:paraId="7FF75C21" w14:textId="77777777" w:rsidR="00E51CDD" w:rsidRPr="00E51CDD" w:rsidRDefault="00E51CDD" w:rsidP="00E51CDD">
      <w:pPr>
        <w:jc w:val="both"/>
      </w:pPr>
    </w:p>
    <w:p w14:paraId="4F964CA8" w14:textId="77777777" w:rsidR="00E51CDD" w:rsidRPr="00E51CDD" w:rsidRDefault="00E51CDD" w:rsidP="00E51CDD">
      <w:pPr>
        <w:ind w:left="2310" w:hanging="2310"/>
        <w:jc w:val="both"/>
        <w:rPr>
          <w:lang w:val="en-GB"/>
        </w:rPr>
      </w:pPr>
      <w:r w:rsidRPr="00E51CDD">
        <w:t>Test design:</w:t>
      </w:r>
      <w:r w:rsidRPr="00E51CDD">
        <w:tab/>
        <w:t>28-day test in treated artificial soil according to OECD 232 (5% peat); artificial soil filled in glass vessels was treated with different concentrations of the test item before collembolans were introduced</w:t>
      </w:r>
      <w:r w:rsidRPr="00E51CDD">
        <w:rPr>
          <w:rFonts w:cs="Arial"/>
        </w:rPr>
        <w:t xml:space="preserve">; </w:t>
      </w:r>
      <w:r w:rsidRPr="00E51CDD">
        <w:t>6 treatment groups (5 test item concentrations, solvent control); 4 replicates for each test item treatment and 8 replicates for the solvent control, each with 10 collembolans.</w:t>
      </w:r>
      <w:r w:rsidRPr="00E51CDD">
        <w:rPr>
          <w:rFonts w:ascii="Arial" w:hAnsi="Arial" w:cs="Arial"/>
          <w:sz w:val="20"/>
          <w:szCs w:val="20"/>
        </w:rPr>
        <w:t xml:space="preserve"> </w:t>
      </w:r>
      <w:r w:rsidRPr="00E51CDD">
        <w:t>Feeding of collembolans with about 2 mg dry yeast at the beginning of the test for each test vessel and on day 14. Assessments of adult collembolan mortality, behavioral effects and reproduction rate (number of juveniles) after 28 days.</w:t>
      </w:r>
    </w:p>
    <w:p w14:paraId="5407ADCF" w14:textId="77777777" w:rsidR="00E51CDD" w:rsidRPr="00E51CDD" w:rsidRDefault="00E51CDD" w:rsidP="00E51CDD">
      <w:pPr>
        <w:ind w:left="2310" w:hanging="2310"/>
        <w:jc w:val="both"/>
      </w:pPr>
    </w:p>
    <w:p w14:paraId="45A3C3CD" w14:textId="77777777" w:rsidR="00E51CDD" w:rsidRPr="00E51CDD" w:rsidRDefault="00E51CDD" w:rsidP="00E51CDD">
      <w:pPr>
        <w:ind w:left="2310" w:hanging="2310"/>
        <w:jc w:val="both"/>
      </w:pPr>
      <w:r w:rsidRPr="00E51CDD">
        <w:t>Endpoints:</w:t>
      </w:r>
      <w:r w:rsidRPr="00E51CDD">
        <w:tab/>
        <w:t>Mortality, reproduction rate.</w:t>
      </w:r>
    </w:p>
    <w:p w14:paraId="369B7500" w14:textId="77777777" w:rsidR="00E51CDD" w:rsidRPr="00E51CDD" w:rsidRDefault="00E51CDD" w:rsidP="00E51CDD">
      <w:pPr>
        <w:ind w:left="2310" w:hanging="2310"/>
        <w:jc w:val="both"/>
      </w:pPr>
    </w:p>
    <w:p w14:paraId="04E45F90" w14:textId="77777777" w:rsidR="00E51CDD" w:rsidRPr="00E51CDD" w:rsidRDefault="00E51CDD" w:rsidP="00E51CDD">
      <w:pPr>
        <w:ind w:left="2310" w:hanging="2310"/>
        <w:jc w:val="both"/>
        <w:rPr>
          <w:lang w:val="en-GB"/>
        </w:rPr>
      </w:pPr>
      <w:r w:rsidRPr="00E51CDD">
        <w:t>Test rates:</w:t>
      </w:r>
      <w:r w:rsidRPr="00E51CDD">
        <w:tab/>
        <w:t>Solvent control, 31.25, 62.5, 125, 250 and 500 mg BAS 700 F/</w:t>
      </w:r>
      <w:r w:rsidRPr="00E51CDD">
        <w:rPr>
          <w:rFonts w:cs="Arial"/>
        </w:rPr>
        <w:t xml:space="preserve">kg </w:t>
      </w:r>
      <w:r w:rsidRPr="00E51CDD">
        <w:t>dry soil</w:t>
      </w:r>
      <w:r w:rsidRPr="00E51CDD">
        <w:rPr>
          <w:rFonts w:cs="Arial"/>
        </w:rPr>
        <w:t xml:space="preserve"> (based on analyzed content)</w:t>
      </w:r>
      <w:r w:rsidRPr="00E51CDD">
        <w:t>.</w:t>
      </w:r>
    </w:p>
    <w:p w14:paraId="4832D3A1" w14:textId="77777777" w:rsidR="00E51CDD" w:rsidRPr="00E51CDD" w:rsidRDefault="00E51CDD" w:rsidP="00E51CDD">
      <w:pPr>
        <w:ind w:left="2200" w:hanging="2200"/>
        <w:jc w:val="both"/>
        <w:rPr>
          <w:i/>
        </w:rPr>
      </w:pPr>
    </w:p>
    <w:p w14:paraId="60EDA9CB" w14:textId="77777777" w:rsidR="00E51CDD" w:rsidRPr="00E51CDD" w:rsidRDefault="00E51CDD" w:rsidP="00E51CDD">
      <w:pPr>
        <w:ind w:left="2310" w:hanging="2310"/>
        <w:jc w:val="both"/>
      </w:pPr>
      <w:r w:rsidRPr="00E51CDD">
        <w:t>Reference item:</w:t>
      </w:r>
      <w:r w:rsidRPr="00E51CDD">
        <w:tab/>
        <w:t>Boric acid (100% analyzed). The effects of the reference item were investigated in a separate study.</w:t>
      </w:r>
    </w:p>
    <w:p w14:paraId="1897B694" w14:textId="77777777" w:rsidR="00E51CDD" w:rsidRPr="00E51CDD" w:rsidRDefault="00E51CDD" w:rsidP="00E51CDD">
      <w:pPr>
        <w:ind w:left="2310" w:hanging="2310"/>
      </w:pPr>
    </w:p>
    <w:p w14:paraId="0F43F97A" w14:textId="77777777" w:rsidR="00E51CDD" w:rsidRPr="00E51CDD" w:rsidRDefault="00E51CDD" w:rsidP="00E51CDD">
      <w:pPr>
        <w:ind w:left="2310" w:hanging="2310"/>
        <w:jc w:val="both"/>
      </w:pPr>
      <w:r w:rsidRPr="00E51CDD">
        <w:t>Test conditions:</w:t>
      </w:r>
      <w:r w:rsidRPr="00E51CDD">
        <w:tab/>
        <w:t>Artificial soil according to OECD 232 (5% peat); pH 5.98 – 6.05 at test initiation, pH 5.79 – 5.87 at test termination; water content at study initiation 57.7 – 58.0% of maximum water holding capacity (WHC) and 56.4 – 57.3% of maximum WHC at test termination; temperature: 18.0 °C – 21.9 °C; photoperiod: 16 h light: 8 h dark, light intensity: 470 lux; food: 2 mg dry yeast at the start of the test and after 14 days.</w:t>
      </w:r>
    </w:p>
    <w:p w14:paraId="3DC66927" w14:textId="77777777" w:rsidR="00E51CDD" w:rsidRPr="00E51CDD" w:rsidRDefault="00E51CDD" w:rsidP="00E51CDD">
      <w:pPr>
        <w:ind w:left="2310" w:hanging="2310"/>
        <w:jc w:val="both"/>
      </w:pPr>
    </w:p>
    <w:p w14:paraId="7FBCE0F8" w14:textId="77777777" w:rsidR="00E51CDD" w:rsidRPr="00E51CDD" w:rsidRDefault="00E51CDD" w:rsidP="00E51CDD">
      <w:pPr>
        <w:ind w:left="2310" w:hanging="2310"/>
        <w:jc w:val="both"/>
      </w:pPr>
      <w:r w:rsidRPr="00E51CDD">
        <w:rPr>
          <w:color w:val="000000"/>
          <w:lang w:eastAsia="en-US"/>
        </w:rPr>
        <w:t>Analytics:</w:t>
      </w:r>
      <w:r w:rsidRPr="00E51CDD">
        <w:rPr>
          <w:color w:val="000000"/>
          <w:lang w:eastAsia="en-US"/>
        </w:rPr>
        <w:tab/>
      </w:r>
      <w:r w:rsidRPr="00E51CDD">
        <w:rPr>
          <w:lang w:val="en-GB"/>
        </w:rPr>
        <w:t>No analytical verification of the test item is required according to the current test guideline. Hence, no analytical verification was conducted.</w:t>
      </w:r>
    </w:p>
    <w:p w14:paraId="0C0F8834" w14:textId="77777777" w:rsidR="00E51CDD" w:rsidRPr="00E51CDD" w:rsidRDefault="00E51CDD" w:rsidP="00E51CDD">
      <w:pPr>
        <w:ind w:left="2310" w:hanging="2310"/>
        <w:jc w:val="both"/>
      </w:pPr>
    </w:p>
    <w:p w14:paraId="4AE8DAFA" w14:textId="77777777" w:rsidR="00E51CDD" w:rsidRPr="00E51CDD" w:rsidRDefault="00E51CDD" w:rsidP="00E51CDD">
      <w:pPr>
        <w:tabs>
          <w:tab w:val="left" w:pos="425"/>
          <w:tab w:val="left" w:pos="850"/>
        </w:tabs>
        <w:ind w:left="2310" w:hanging="2310"/>
        <w:jc w:val="both"/>
      </w:pPr>
      <w:r w:rsidRPr="00E51CDD">
        <w:t>Statistics:</w:t>
      </w:r>
      <w:r w:rsidRPr="00E51CDD">
        <w:tab/>
        <w:t xml:space="preserve">Descriptive statistics, Fisher’s Exact Binomial Test with Bonferroni Correction for mortality (one-sided greater, </w:t>
      </w:r>
      <w:r w:rsidRPr="00E51CDD">
        <w:rPr>
          <w:lang w:val="de-DE"/>
        </w:rPr>
        <w:t>α</w:t>
      </w:r>
      <w:r w:rsidRPr="00E51CDD">
        <w:t xml:space="preserve"> = 0.05), Williams-t-test for reproduction (one-sided smaller, </w:t>
      </w:r>
      <w:r w:rsidRPr="00E51CDD">
        <w:rPr>
          <w:lang w:val="de-DE"/>
        </w:rPr>
        <w:t>α</w:t>
      </w:r>
      <w:r w:rsidRPr="00E51CDD">
        <w:t> = 0.05).</w:t>
      </w:r>
    </w:p>
    <w:p w14:paraId="6225897A" w14:textId="77777777" w:rsidR="00E51CDD" w:rsidRPr="00E51CDD" w:rsidRDefault="00E51CDD" w:rsidP="00E51CDD">
      <w:pPr>
        <w:tabs>
          <w:tab w:val="left" w:pos="425"/>
          <w:tab w:val="left" w:pos="850"/>
        </w:tabs>
        <w:ind w:left="2310" w:hanging="2310"/>
        <w:jc w:val="both"/>
      </w:pPr>
    </w:p>
    <w:p w14:paraId="5517F34C" w14:textId="77777777" w:rsidR="00E51CDD" w:rsidRPr="00E51CDD" w:rsidRDefault="00E51CDD" w:rsidP="00E51CDD">
      <w:pPr>
        <w:tabs>
          <w:tab w:val="left" w:pos="425"/>
          <w:tab w:val="left" w:pos="850"/>
        </w:tabs>
        <w:ind w:left="2310" w:hanging="2310"/>
        <w:jc w:val="both"/>
      </w:pPr>
      <w:r w:rsidRPr="00E51CDD">
        <w:br w:type="page"/>
      </w:r>
    </w:p>
    <w:p w14:paraId="12DD8C9E" w14:textId="77777777" w:rsidR="00E51CDD" w:rsidRPr="00E51CDD" w:rsidRDefault="00E51CDD" w:rsidP="00E51CDD">
      <w:pPr>
        <w:tabs>
          <w:tab w:val="left" w:pos="425"/>
          <w:tab w:val="left" w:pos="850"/>
        </w:tabs>
        <w:ind w:left="2835" w:hanging="2835"/>
        <w:rPr>
          <w:b/>
        </w:rPr>
      </w:pPr>
      <w:r w:rsidRPr="00E51CDD">
        <w:rPr>
          <w:b/>
        </w:rPr>
        <w:lastRenderedPageBreak/>
        <w:t>II.</w:t>
      </w:r>
      <w:r w:rsidRPr="00E51CDD">
        <w:rPr>
          <w:b/>
        </w:rPr>
        <w:tab/>
        <w:t>RESULTS AND DISCUSSION</w:t>
      </w:r>
    </w:p>
    <w:p w14:paraId="5868535A" w14:textId="77777777" w:rsidR="00E51CDD" w:rsidRPr="00E51CDD" w:rsidRDefault="00E51CDD" w:rsidP="00E51CDD">
      <w:pPr>
        <w:rPr>
          <w:sz w:val="24"/>
          <w:szCs w:val="24"/>
        </w:rPr>
      </w:pPr>
    </w:p>
    <w:p w14:paraId="35528840" w14:textId="17D90D89" w:rsidR="00E51CDD" w:rsidRPr="00E51CDD" w:rsidRDefault="00E51CDD" w:rsidP="00E51CDD">
      <w:pPr>
        <w:jc w:val="both"/>
        <w:rPr>
          <w:bCs/>
        </w:rPr>
      </w:pPr>
      <w:r w:rsidRPr="00E51CDD">
        <w:t xml:space="preserve">After 28 days of exposure, no statistically significant mortality was observed in the test item groups compared to the control (Fisher’s Exact Binomial Test, one-sided greater, </w:t>
      </w:r>
      <w:r w:rsidRPr="00E51CDD">
        <w:rPr>
          <w:lang w:val="de-DE"/>
        </w:rPr>
        <w:sym w:font="Symbol" w:char="F061"/>
      </w:r>
      <w:r w:rsidRPr="00E51CDD">
        <w:t xml:space="preserve"> = 0.05). Mortality rates of 0 - 5.0% were recorded in the test item treatment groups. In the solvent control the mortality rate was 2.5%. The reproduction was not statistically significant different compared to the control in the test item groups (Williams-t-test, one-sided smaller, </w:t>
      </w:r>
      <w:r w:rsidRPr="00E51CDD">
        <w:rPr>
          <w:lang w:val="de-DE"/>
        </w:rPr>
        <w:sym w:font="Symbol" w:char="F061"/>
      </w:r>
      <w:r w:rsidRPr="00E51CDD">
        <w:t xml:space="preserve"> = 0.05). </w:t>
      </w:r>
      <w:r w:rsidRPr="00E51CDD">
        <w:rPr>
          <w:bCs/>
        </w:rPr>
        <w:t xml:space="preserve">The mean reproduction in the solvent control reached 852 juveniles. Reproduction rates in 31.25, 62.5, 125, 250 and 500 mg/kg soil dry weight were 847, 829, 854, 857 and 890 juveniles, respectively. </w:t>
      </w:r>
      <w:r w:rsidRPr="00E51CDD">
        <w:t xml:space="preserve">The results are summarized in </w:t>
      </w:r>
      <w:r w:rsidRPr="00E51CDD">
        <w:rPr>
          <w:lang w:val="de-DE"/>
        </w:rPr>
        <w:fldChar w:fldCharType="begin"/>
      </w:r>
      <w:r w:rsidRPr="00E51CDD">
        <w:instrText xml:space="preserve"> REF _Ref83889802 \h  \* MERGEFORMAT </w:instrText>
      </w:r>
      <w:r w:rsidRPr="00E51CDD">
        <w:rPr>
          <w:lang w:val="de-DE"/>
        </w:rPr>
      </w:r>
      <w:r w:rsidRPr="00E51CDD">
        <w:rPr>
          <w:lang w:val="de-DE"/>
        </w:rPr>
        <w:fldChar w:fldCharType="separate"/>
      </w:r>
      <w:r w:rsidR="00662F32" w:rsidRPr="00662F32">
        <w:t xml:space="preserve">Table A </w:t>
      </w:r>
      <w:r w:rsidR="00662F32" w:rsidRPr="00662F32">
        <w:rPr>
          <w:noProof/>
        </w:rPr>
        <w:t>33</w:t>
      </w:r>
      <w:r w:rsidRPr="00E51CDD">
        <w:rPr>
          <w:lang w:val="de-DE"/>
        </w:rPr>
        <w:fldChar w:fldCharType="end"/>
      </w:r>
      <w:r w:rsidRPr="00E51CDD">
        <w:t>.</w:t>
      </w:r>
    </w:p>
    <w:p w14:paraId="3A41CFF3" w14:textId="77777777" w:rsidR="00E51CDD" w:rsidRPr="00E51CDD" w:rsidRDefault="00E51CDD" w:rsidP="00E51CDD">
      <w:pPr>
        <w:jc w:val="both"/>
      </w:pPr>
    </w:p>
    <w:p w14:paraId="483FE251" w14:textId="0990ACCF" w:rsidR="00B74DCE" w:rsidRDefault="00E51CDD" w:rsidP="00E51CDD">
      <w:pPr>
        <w:rPr>
          <w:b/>
          <w:bCs/>
        </w:rPr>
      </w:pPr>
      <w:bookmarkStart w:id="1269" w:name="_Ref83889802"/>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33</w:t>
      </w:r>
      <w:r w:rsidRPr="00E51CDD">
        <w:rPr>
          <w:b/>
          <w:bCs/>
        </w:rPr>
        <w:fldChar w:fldCharType="end"/>
      </w:r>
      <w:bookmarkEnd w:id="1269"/>
      <w:r w:rsidRPr="00E51CDD">
        <w:rPr>
          <w:b/>
          <w:bCs/>
        </w:rPr>
        <w:t>:</w:t>
      </w:r>
      <w:r w:rsidRPr="00E51CDD">
        <w:rPr>
          <w:b/>
          <w:bCs/>
        </w:rPr>
        <w:tab/>
        <w:t>Effects of BAS 700 F on collembola (</w:t>
      </w:r>
      <w:r w:rsidRPr="00E51CDD">
        <w:rPr>
          <w:b/>
          <w:bCs/>
          <w:i/>
          <w:iCs/>
        </w:rPr>
        <w:t>Folsomia candida</w:t>
      </w:r>
      <w:r w:rsidRPr="00E51CDD">
        <w:rPr>
          <w:b/>
          <w:bCs/>
          <w:i/>
        </w:rPr>
        <w:t>)</w:t>
      </w:r>
      <w:r w:rsidRPr="00E51CDD">
        <w:rPr>
          <w:b/>
          <w:bCs/>
        </w:rPr>
        <w:t xml:space="preserve"> in a 28-day reproduction </w:t>
      </w:r>
    </w:p>
    <w:p w14:paraId="09D368CF" w14:textId="56FD234B" w:rsidR="00E51CDD" w:rsidRPr="00E51CDD" w:rsidRDefault="00E51CDD" w:rsidP="00B74DCE">
      <w:pPr>
        <w:ind w:left="708" w:firstLine="708"/>
        <w:rPr>
          <w:b/>
        </w:rPr>
      </w:pPr>
      <w:r w:rsidRPr="00E51CDD">
        <w:rPr>
          <w:b/>
          <w:bCs/>
        </w:rPr>
        <w:t>study</w:t>
      </w:r>
    </w:p>
    <w:tbl>
      <w:tblPr>
        <w:tblW w:w="495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996"/>
        <w:gridCol w:w="1036"/>
        <w:gridCol w:w="1048"/>
        <w:gridCol w:w="1048"/>
        <w:gridCol w:w="1048"/>
        <w:gridCol w:w="1116"/>
      </w:tblGrid>
      <w:tr w:rsidR="00E51CDD" w:rsidRPr="00E51CDD" w14:paraId="66A88AE7" w14:textId="77777777" w:rsidTr="009938D9">
        <w:trPr>
          <w:trHeight w:val="60"/>
        </w:trPr>
        <w:tc>
          <w:tcPr>
            <w:tcW w:w="1601" w:type="pct"/>
            <w:tcBorders>
              <w:top w:val="single" w:sz="4" w:space="0" w:color="auto"/>
              <w:left w:val="single" w:sz="4" w:space="0" w:color="auto"/>
              <w:bottom w:val="single" w:sz="4" w:space="0" w:color="auto"/>
              <w:right w:val="single" w:sz="4" w:space="0" w:color="auto"/>
            </w:tcBorders>
            <w:vAlign w:val="center"/>
            <w:hideMark/>
          </w:tcPr>
          <w:p w14:paraId="0E688446" w14:textId="77777777" w:rsidR="00E51CDD" w:rsidRPr="00E51CDD" w:rsidRDefault="00E51CDD" w:rsidP="00E51CDD">
            <w:pPr>
              <w:keepNext/>
              <w:spacing w:before="40" w:after="40"/>
              <w:rPr>
                <w:b/>
                <w:sz w:val="20"/>
                <w:szCs w:val="20"/>
              </w:rPr>
            </w:pPr>
            <w:r w:rsidRPr="00E51CDD">
              <w:rPr>
                <w:b/>
                <w:sz w:val="20"/>
                <w:szCs w:val="20"/>
              </w:rPr>
              <w:t>BAS 700 F</w:t>
            </w:r>
            <w:r w:rsidRPr="00E51CDD">
              <w:rPr>
                <w:b/>
                <w:sz w:val="20"/>
                <w:szCs w:val="20"/>
              </w:rPr>
              <w:br/>
              <w:t>[mg/kg dry soil</w:t>
            </w:r>
            <w:r w:rsidRPr="00E51CDD">
              <w:rPr>
                <w:b/>
                <w:sz w:val="20"/>
                <w:szCs w:val="20"/>
                <w:lang w:val="de-DE"/>
              </w:rPr>
              <w:sym w:font="Symbol" w:char="F05D"/>
            </w:r>
          </w:p>
        </w:tc>
        <w:tc>
          <w:tcPr>
            <w:tcW w:w="538" w:type="pct"/>
            <w:tcBorders>
              <w:top w:val="single" w:sz="4" w:space="0" w:color="auto"/>
              <w:left w:val="single" w:sz="4" w:space="0" w:color="auto"/>
              <w:bottom w:val="single" w:sz="4" w:space="0" w:color="auto"/>
              <w:right w:val="single" w:sz="4" w:space="0" w:color="auto"/>
            </w:tcBorders>
            <w:vAlign w:val="center"/>
            <w:hideMark/>
          </w:tcPr>
          <w:p w14:paraId="5AA73850" w14:textId="77777777" w:rsidR="00E51CDD" w:rsidRPr="00E51CDD" w:rsidRDefault="00E51CDD" w:rsidP="00E51CDD">
            <w:pPr>
              <w:keepNext/>
              <w:spacing w:before="40" w:after="40"/>
              <w:jc w:val="center"/>
              <w:rPr>
                <w:b/>
                <w:sz w:val="20"/>
                <w:szCs w:val="20"/>
                <w:lang w:val="de-DE"/>
              </w:rPr>
            </w:pPr>
            <w:r w:rsidRPr="00E51CDD">
              <w:rPr>
                <w:b/>
                <w:sz w:val="20"/>
                <w:szCs w:val="20"/>
                <w:lang w:val="de-DE"/>
              </w:rPr>
              <w:t>Solvent control</w:t>
            </w:r>
          </w:p>
        </w:tc>
        <w:tc>
          <w:tcPr>
            <w:tcW w:w="560" w:type="pct"/>
            <w:tcBorders>
              <w:top w:val="single" w:sz="4" w:space="0" w:color="auto"/>
              <w:left w:val="single" w:sz="4" w:space="0" w:color="auto"/>
              <w:bottom w:val="single" w:sz="4" w:space="0" w:color="auto"/>
              <w:right w:val="single" w:sz="4" w:space="0" w:color="auto"/>
            </w:tcBorders>
            <w:vAlign w:val="center"/>
            <w:hideMark/>
          </w:tcPr>
          <w:p w14:paraId="5C282875" w14:textId="77777777" w:rsidR="00E51CDD" w:rsidRPr="00E51CDD" w:rsidRDefault="00E51CDD" w:rsidP="00E51CDD">
            <w:pPr>
              <w:keepNext/>
              <w:spacing w:before="40" w:after="40"/>
              <w:jc w:val="center"/>
              <w:rPr>
                <w:b/>
                <w:sz w:val="20"/>
                <w:szCs w:val="20"/>
                <w:lang w:val="de-DE"/>
              </w:rPr>
            </w:pPr>
            <w:r w:rsidRPr="00E51CDD">
              <w:rPr>
                <w:b/>
                <w:bCs/>
                <w:sz w:val="20"/>
                <w:szCs w:val="20"/>
                <w:lang w:val="de-DE"/>
              </w:rPr>
              <w:t>31.25</w:t>
            </w:r>
          </w:p>
        </w:tc>
        <w:tc>
          <w:tcPr>
            <w:tcW w:w="566" w:type="pct"/>
            <w:tcBorders>
              <w:top w:val="single" w:sz="4" w:space="0" w:color="auto"/>
              <w:left w:val="single" w:sz="4" w:space="0" w:color="auto"/>
              <w:bottom w:val="single" w:sz="4" w:space="0" w:color="auto"/>
              <w:right w:val="single" w:sz="4" w:space="0" w:color="auto"/>
            </w:tcBorders>
            <w:vAlign w:val="center"/>
            <w:hideMark/>
          </w:tcPr>
          <w:p w14:paraId="0BA4F0B7" w14:textId="77777777" w:rsidR="00E51CDD" w:rsidRPr="00E51CDD" w:rsidRDefault="00E51CDD" w:rsidP="00E51CDD">
            <w:pPr>
              <w:keepNext/>
              <w:spacing w:before="40" w:after="40"/>
              <w:jc w:val="center"/>
              <w:rPr>
                <w:b/>
                <w:sz w:val="20"/>
                <w:szCs w:val="20"/>
                <w:lang w:val="de-DE"/>
              </w:rPr>
            </w:pPr>
            <w:r w:rsidRPr="00E51CDD">
              <w:rPr>
                <w:b/>
                <w:bCs/>
                <w:sz w:val="20"/>
                <w:szCs w:val="20"/>
                <w:lang w:val="de-DE"/>
              </w:rPr>
              <w:t>62.5</w:t>
            </w:r>
          </w:p>
        </w:tc>
        <w:tc>
          <w:tcPr>
            <w:tcW w:w="566" w:type="pct"/>
            <w:tcBorders>
              <w:top w:val="single" w:sz="4" w:space="0" w:color="auto"/>
              <w:left w:val="single" w:sz="4" w:space="0" w:color="auto"/>
              <w:bottom w:val="single" w:sz="4" w:space="0" w:color="auto"/>
              <w:right w:val="single" w:sz="4" w:space="0" w:color="auto"/>
            </w:tcBorders>
            <w:vAlign w:val="center"/>
            <w:hideMark/>
          </w:tcPr>
          <w:p w14:paraId="51B358A6" w14:textId="77777777" w:rsidR="00E51CDD" w:rsidRPr="00E51CDD" w:rsidRDefault="00E51CDD" w:rsidP="00E51CDD">
            <w:pPr>
              <w:keepNext/>
              <w:spacing w:before="40" w:after="40"/>
              <w:jc w:val="center"/>
              <w:rPr>
                <w:b/>
                <w:sz w:val="20"/>
                <w:szCs w:val="20"/>
                <w:lang w:val="de-DE"/>
              </w:rPr>
            </w:pPr>
            <w:r w:rsidRPr="00E51CDD">
              <w:rPr>
                <w:b/>
                <w:bCs/>
                <w:sz w:val="20"/>
                <w:szCs w:val="20"/>
                <w:lang w:val="de-DE"/>
              </w:rPr>
              <w:t>125</w:t>
            </w:r>
            <w:r w:rsidRPr="00E51CDD">
              <w:rPr>
                <w:b/>
                <w:sz w:val="20"/>
                <w:szCs w:val="20"/>
                <w:lang w:val="de-DE"/>
              </w:rPr>
              <w:t>.0</w:t>
            </w:r>
          </w:p>
        </w:tc>
        <w:tc>
          <w:tcPr>
            <w:tcW w:w="566" w:type="pct"/>
            <w:tcBorders>
              <w:top w:val="single" w:sz="4" w:space="0" w:color="auto"/>
              <w:left w:val="single" w:sz="4" w:space="0" w:color="auto"/>
              <w:bottom w:val="single" w:sz="4" w:space="0" w:color="auto"/>
              <w:right w:val="single" w:sz="4" w:space="0" w:color="auto"/>
            </w:tcBorders>
            <w:vAlign w:val="center"/>
            <w:hideMark/>
          </w:tcPr>
          <w:p w14:paraId="685CACAC" w14:textId="77777777" w:rsidR="00E51CDD" w:rsidRPr="00E51CDD" w:rsidRDefault="00E51CDD" w:rsidP="00E51CDD">
            <w:pPr>
              <w:keepNext/>
              <w:spacing w:before="40" w:after="40"/>
              <w:jc w:val="center"/>
              <w:rPr>
                <w:b/>
                <w:sz w:val="20"/>
                <w:szCs w:val="20"/>
                <w:lang w:val="de-DE"/>
              </w:rPr>
            </w:pPr>
            <w:r w:rsidRPr="00E51CDD">
              <w:rPr>
                <w:b/>
                <w:bCs/>
                <w:sz w:val="20"/>
                <w:szCs w:val="20"/>
                <w:lang w:val="de-DE"/>
              </w:rPr>
              <w:t>250</w:t>
            </w:r>
            <w:r w:rsidRPr="00E51CDD">
              <w:rPr>
                <w:b/>
                <w:sz w:val="20"/>
                <w:szCs w:val="20"/>
                <w:lang w:val="de-DE"/>
              </w:rPr>
              <w:t>.0</w:t>
            </w:r>
          </w:p>
        </w:tc>
        <w:tc>
          <w:tcPr>
            <w:tcW w:w="603" w:type="pct"/>
            <w:tcBorders>
              <w:top w:val="single" w:sz="4" w:space="0" w:color="auto"/>
              <w:left w:val="single" w:sz="4" w:space="0" w:color="auto"/>
              <w:bottom w:val="single" w:sz="4" w:space="0" w:color="auto"/>
              <w:right w:val="single" w:sz="4" w:space="0" w:color="auto"/>
            </w:tcBorders>
            <w:vAlign w:val="center"/>
            <w:hideMark/>
          </w:tcPr>
          <w:p w14:paraId="4659308E" w14:textId="77777777" w:rsidR="00E51CDD" w:rsidRPr="00E51CDD" w:rsidRDefault="00E51CDD" w:rsidP="00E51CDD">
            <w:pPr>
              <w:keepNext/>
              <w:spacing w:before="40" w:after="40"/>
              <w:jc w:val="center"/>
              <w:rPr>
                <w:b/>
                <w:sz w:val="20"/>
                <w:szCs w:val="20"/>
                <w:lang w:val="de-DE"/>
              </w:rPr>
            </w:pPr>
            <w:r w:rsidRPr="00E51CDD">
              <w:rPr>
                <w:b/>
                <w:bCs/>
                <w:sz w:val="20"/>
                <w:szCs w:val="20"/>
                <w:lang w:val="de-DE"/>
              </w:rPr>
              <w:t>500</w:t>
            </w:r>
            <w:r w:rsidRPr="00E51CDD">
              <w:rPr>
                <w:b/>
                <w:sz w:val="20"/>
                <w:szCs w:val="20"/>
                <w:lang w:val="de-DE"/>
              </w:rPr>
              <w:t>.0</w:t>
            </w:r>
          </w:p>
        </w:tc>
      </w:tr>
      <w:tr w:rsidR="00E51CDD" w:rsidRPr="00E51CDD" w14:paraId="43E19F60" w14:textId="77777777" w:rsidTr="009938D9">
        <w:trPr>
          <w:trHeight w:val="60"/>
        </w:trPr>
        <w:tc>
          <w:tcPr>
            <w:tcW w:w="1601" w:type="pct"/>
            <w:tcBorders>
              <w:top w:val="single" w:sz="4" w:space="0" w:color="auto"/>
              <w:left w:val="single" w:sz="4" w:space="0" w:color="auto"/>
              <w:bottom w:val="single" w:sz="4" w:space="0" w:color="auto"/>
              <w:right w:val="single" w:sz="4" w:space="0" w:color="auto"/>
            </w:tcBorders>
            <w:vAlign w:val="center"/>
            <w:hideMark/>
          </w:tcPr>
          <w:p w14:paraId="6AE5BF85" w14:textId="77777777" w:rsidR="00E51CDD" w:rsidRPr="00E51CDD" w:rsidRDefault="00E51CDD" w:rsidP="00E51CDD">
            <w:pPr>
              <w:keepNext/>
              <w:spacing w:before="40" w:after="40"/>
              <w:rPr>
                <w:sz w:val="20"/>
                <w:szCs w:val="20"/>
                <w:lang w:val="de-DE"/>
              </w:rPr>
            </w:pPr>
            <w:r w:rsidRPr="00E51CDD">
              <w:rPr>
                <w:sz w:val="20"/>
                <w:szCs w:val="20"/>
                <w:lang w:val="de-DE"/>
              </w:rPr>
              <w:t>Mortality (day 28) [%]</w:t>
            </w:r>
          </w:p>
        </w:tc>
        <w:tc>
          <w:tcPr>
            <w:tcW w:w="538" w:type="pct"/>
            <w:tcBorders>
              <w:top w:val="single" w:sz="4" w:space="0" w:color="auto"/>
              <w:left w:val="single" w:sz="4" w:space="0" w:color="auto"/>
              <w:bottom w:val="single" w:sz="4" w:space="0" w:color="auto"/>
              <w:right w:val="single" w:sz="4" w:space="0" w:color="auto"/>
            </w:tcBorders>
            <w:vAlign w:val="center"/>
            <w:hideMark/>
          </w:tcPr>
          <w:p w14:paraId="0AF137F9" w14:textId="77777777" w:rsidR="00E51CDD" w:rsidRPr="00E51CDD" w:rsidRDefault="00E51CDD" w:rsidP="00E51CDD">
            <w:pPr>
              <w:keepNext/>
              <w:spacing w:before="40" w:after="40"/>
              <w:jc w:val="center"/>
              <w:rPr>
                <w:sz w:val="20"/>
                <w:szCs w:val="20"/>
                <w:lang w:val="de-DE"/>
              </w:rPr>
            </w:pPr>
            <w:r w:rsidRPr="00E51CDD">
              <w:rPr>
                <w:sz w:val="20"/>
                <w:szCs w:val="20"/>
                <w:lang w:val="de-DE"/>
              </w:rPr>
              <w:t>2.5</w:t>
            </w:r>
          </w:p>
        </w:tc>
        <w:tc>
          <w:tcPr>
            <w:tcW w:w="560" w:type="pct"/>
            <w:tcBorders>
              <w:top w:val="single" w:sz="4" w:space="0" w:color="auto"/>
              <w:left w:val="single" w:sz="4" w:space="0" w:color="auto"/>
              <w:bottom w:val="single" w:sz="4" w:space="0" w:color="auto"/>
              <w:right w:val="single" w:sz="4" w:space="0" w:color="auto"/>
            </w:tcBorders>
            <w:vAlign w:val="center"/>
            <w:hideMark/>
          </w:tcPr>
          <w:p w14:paraId="62FCF93D" w14:textId="77777777" w:rsidR="00E51CDD" w:rsidRPr="00E51CDD" w:rsidRDefault="00E51CDD" w:rsidP="00E51CDD">
            <w:pPr>
              <w:keepNext/>
              <w:spacing w:before="40" w:after="40"/>
              <w:jc w:val="center"/>
              <w:rPr>
                <w:sz w:val="20"/>
                <w:szCs w:val="20"/>
                <w:lang w:val="de-DE"/>
              </w:rPr>
            </w:pPr>
            <w:r w:rsidRPr="00E51CDD">
              <w:rPr>
                <w:sz w:val="20"/>
                <w:szCs w:val="20"/>
                <w:lang w:val="de-DE"/>
              </w:rPr>
              <w:t>2.5</w:t>
            </w:r>
          </w:p>
        </w:tc>
        <w:tc>
          <w:tcPr>
            <w:tcW w:w="566" w:type="pct"/>
            <w:tcBorders>
              <w:top w:val="single" w:sz="4" w:space="0" w:color="auto"/>
              <w:left w:val="single" w:sz="4" w:space="0" w:color="auto"/>
              <w:bottom w:val="single" w:sz="4" w:space="0" w:color="auto"/>
              <w:right w:val="single" w:sz="4" w:space="0" w:color="auto"/>
            </w:tcBorders>
            <w:vAlign w:val="center"/>
            <w:hideMark/>
          </w:tcPr>
          <w:p w14:paraId="1DF27254" w14:textId="77777777" w:rsidR="00E51CDD" w:rsidRPr="00E51CDD" w:rsidRDefault="00E51CDD" w:rsidP="00E51CDD">
            <w:pPr>
              <w:keepNext/>
              <w:spacing w:before="40" w:after="40"/>
              <w:jc w:val="center"/>
              <w:rPr>
                <w:sz w:val="20"/>
                <w:szCs w:val="20"/>
                <w:lang w:val="de-DE"/>
              </w:rPr>
            </w:pPr>
            <w:r w:rsidRPr="00E51CDD">
              <w:rPr>
                <w:sz w:val="20"/>
                <w:szCs w:val="20"/>
                <w:lang w:val="de-DE"/>
              </w:rPr>
              <w:t>5.0</w:t>
            </w:r>
          </w:p>
        </w:tc>
        <w:tc>
          <w:tcPr>
            <w:tcW w:w="566" w:type="pct"/>
            <w:tcBorders>
              <w:top w:val="single" w:sz="4" w:space="0" w:color="auto"/>
              <w:left w:val="single" w:sz="4" w:space="0" w:color="auto"/>
              <w:bottom w:val="single" w:sz="4" w:space="0" w:color="auto"/>
              <w:right w:val="single" w:sz="4" w:space="0" w:color="auto"/>
            </w:tcBorders>
            <w:vAlign w:val="center"/>
            <w:hideMark/>
          </w:tcPr>
          <w:p w14:paraId="7918B9D5" w14:textId="77777777" w:rsidR="00E51CDD" w:rsidRPr="00E51CDD" w:rsidRDefault="00E51CDD" w:rsidP="00E51CDD">
            <w:pPr>
              <w:keepNext/>
              <w:spacing w:before="40" w:after="40"/>
              <w:jc w:val="center"/>
              <w:rPr>
                <w:sz w:val="20"/>
                <w:szCs w:val="20"/>
                <w:lang w:val="de-DE"/>
              </w:rPr>
            </w:pPr>
            <w:r w:rsidRPr="00E51CDD">
              <w:rPr>
                <w:sz w:val="20"/>
                <w:szCs w:val="20"/>
                <w:lang w:val="de-DE"/>
              </w:rPr>
              <w:t>2.5</w:t>
            </w:r>
          </w:p>
        </w:tc>
        <w:tc>
          <w:tcPr>
            <w:tcW w:w="566" w:type="pct"/>
            <w:tcBorders>
              <w:top w:val="single" w:sz="4" w:space="0" w:color="auto"/>
              <w:left w:val="single" w:sz="4" w:space="0" w:color="auto"/>
              <w:bottom w:val="single" w:sz="4" w:space="0" w:color="auto"/>
              <w:right w:val="single" w:sz="4" w:space="0" w:color="auto"/>
            </w:tcBorders>
            <w:vAlign w:val="center"/>
            <w:hideMark/>
          </w:tcPr>
          <w:p w14:paraId="449E1EDC" w14:textId="77777777" w:rsidR="00E51CDD" w:rsidRPr="00E51CDD" w:rsidRDefault="00E51CDD" w:rsidP="00E51CDD">
            <w:pPr>
              <w:keepNext/>
              <w:spacing w:before="40" w:after="40"/>
              <w:jc w:val="center"/>
              <w:rPr>
                <w:sz w:val="20"/>
                <w:szCs w:val="20"/>
                <w:lang w:val="de-DE"/>
              </w:rPr>
            </w:pPr>
            <w:r w:rsidRPr="00E51CDD">
              <w:rPr>
                <w:sz w:val="20"/>
                <w:szCs w:val="20"/>
                <w:lang w:val="de-DE"/>
              </w:rPr>
              <w:t>0.0</w:t>
            </w:r>
          </w:p>
        </w:tc>
        <w:tc>
          <w:tcPr>
            <w:tcW w:w="603" w:type="pct"/>
            <w:tcBorders>
              <w:top w:val="single" w:sz="4" w:space="0" w:color="auto"/>
              <w:left w:val="single" w:sz="4" w:space="0" w:color="auto"/>
              <w:bottom w:val="single" w:sz="4" w:space="0" w:color="auto"/>
              <w:right w:val="single" w:sz="4" w:space="0" w:color="auto"/>
            </w:tcBorders>
            <w:vAlign w:val="center"/>
            <w:hideMark/>
          </w:tcPr>
          <w:p w14:paraId="0112A8C8" w14:textId="77777777" w:rsidR="00E51CDD" w:rsidRPr="00E51CDD" w:rsidRDefault="00E51CDD" w:rsidP="00E51CDD">
            <w:pPr>
              <w:keepNext/>
              <w:spacing w:before="40" w:after="40"/>
              <w:jc w:val="center"/>
              <w:rPr>
                <w:sz w:val="20"/>
                <w:szCs w:val="20"/>
                <w:lang w:val="de-DE"/>
              </w:rPr>
            </w:pPr>
            <w:r w:rsidRPr="00E51CDD">
              <w:rPr>
                <w:sz w:val="20"/>
                <w:szCs w:val="20"/>
                <w:lang w:val="de-DE"/>
              </w:rPr>
              <w:t>2.5</w:t>
            </w:r>
          </w:p>
        </w:tc>
      </w:tr>
      <w:tr w:rsidR="00E51CDD" w:rsidRPr="00E51CDD" w14:paraId="7EE27EDE" w14:textId="77777777" w:rsidTr="009938D9">
        <w:trPr>
          <w:trHeight w:val="60"/>
        </w:trPr>
        <w:tc>
          <w:tcPr>
            <w:tcW w:w="1601" w:type="pct"/>
            <w:tcBorders>
              <w:top w:val="single" w:sz="4" w:space="0" w:color="auto"/>
              <w:left w:val="single" w:sz="4" w:space="0" w:color="auto"/>
              <w:bottom w:val="single" w:sz="4" w:space="0" w:color="auto"/>
              <w:right w:val="single" w:sz="4" w:space="0" w:color="auto"/>
            </w:tcBorders>
            <w:vAlign w:val="center"/>
            <w:hideMark/>
          </w:tcPr>
          <w:p w14:paraId="41AC11D9" w14:textId="77777777" w:rsidR="00E51CDD" w:rsidRPr="00E51CDD" w:rsidRDefault="00E51CDD" w:rsidP="00E51CDD">
            <w:pPr>
              <w:keepNext/>
              <w:spacing w:before="40" w:after="40"/>
              <w:rPr>
                <w:sz w:val="20"/>
                <w:szCs w:val="20"/>
                <w:lang w:val="de-DE"/>
              </w:rPr>
            </w:pPr>
            <w:r w:rsidRPr="00E51CDD">
              <w:rPr>
                <w:sz w:val="20"/>
                <w:szCs w:val="20"/>
                <w:lang w:val="de-DE"/>
              </w:rPr>
              <w:t>No. of juveniles (day 28)</w:t>
            </w:r>
          </w:p>
        </w:tc>
        <w:tc>
          <w:tcPr>
            <w:tcW w:w="538" w:type="pct"/>
            <w:tcBorders>
              <w:top w:val="single" w:sz="4" w:space="0" w:color="auto"/>
              <w:left w:val="single" w:sz="4" w:space="0" w:color="auto"/>
              <w:bottom w:val="single" w:sz="4" w:space="0" w:color="auto"/>
              <w:right w:val="single" w:sz="4" w:space="0" w:color="auto"/>
            </w:tcBorders>
            <w:vAlign w:val="center"/>
            <w:hideMark/>
          </w:tcPr>
          <w:p w14:paraId="01358D53" w14:textId="77777777" w:rsidR="00E51CDD" w:rsidRPr="00E51CDD" w:rsidRDefault="00E51CDD" w:rsidP="00E51CDD">
            <w:pPr>
              <w:keepNext/>
              <w:spacing w:before="40" w:after="40"/>
              <w:jc w:val="center"/>
              <w:rPr>
                <w:sz w:val="20"/>
                <w:szCs w:val="20"/>
                <w:lang w:val="de-DE"/>
              </w:rPr>
            </w:pPr>
            <w:r w:rsidRPr="00E51CDD">
              <w:rPr>
                <w:sz w:val="20"/>
                <w:szCs w:val="20"/>
                <w:lang w:val="de-DE"/>
              </w:rPr>
              <w:t>852</w:t>
            </w:r>
          </w:p>
        </w:tc>
        <w:tc>
          <w:tcPr>
            <w:tcW w:w="560" w:type="pct"/>
            <w:tcBorders>
              <w:top w:val="single" w:sz="4" w:space="0" w:color="auto"/>
              <w:left w:val="single" w:sz="4" w:space="0" w:color="auto"/>
              <w:bottom w:val="single" w:sz="4" w:space="0" w:color="auto"/>
              <w:right w:val="single" w:sz="4" w:space="0" w:color="auto"/>
            </w:tcBorders>
            <w:vAlign w:val="center"/>
            <w:hideMark/>
          </w:tcPr>
          <w:p w14:paraId="7E7B544F" w14:textId="77777777" w:rsidR="00E51CDD" w:rsidRPr="00E51CDD" w:rsidRDefault="00E51CDD" w:rsidP="00E51CDD">
            <w:pPr>
              <w:keepNext/>
              <w:spacing w:before="40" w:after="40"/>
              <w:jc w:val="center"/>
              <w:rPr>
                <w:sz w:val="20"/>
                <w:szCs w:val="20"/>
                <w:lang w:val="de-DE"/>
              </w:rPr>
            </w:pPr>
            <w:r w:rsidRPr="00E51CDD">
              <w:rPr>
                <w:sz w:val="20"/>
                <w:szCs w:val="20"/>
                <w:lang w:val="de-DE"/>
              </w:rPr>
              <w:t>847</w:t>
            </w:r>
          </w:p>
        </w:tc>
        <w:tc>
          <w:tcPr>
            <w:tcW w:w="566" w:type="pct"/>
            <w:tcBorders>
              <w:top w:val="single" w:sz="4" w:space="0" w:color="auto"/>
              <w:left w:val="single" w:sz="4" w:space="0" w:color="auto"/>
              <w:bottom w:val="single" w:sz="4" w:space="0" w:color="auto"/>
              <w:right w:val="single" w:sz="4" w:space="0" w:color="auto"/>
            </w:tcBorders>
            <w:vAlign w:val="center"/>
            <w:hideMark/>
          </w:tcPr>
          <w:p w14:paraId="5C5E4C84" w14:textId="77777777" w:rsidR="00E51CDD" w:rsidRPr="00E51CDD" w:rsidRDefault="00E51CDD" w:rsidP="00E51CDD">
            <w:pPr>
              <w:keepNext/>
              <w:spacing w:before="40" w:after="40"/>
              <w:jc w:val="center"/>
              <w:rPr>
                <w:sz w:val="20"/>
                <w:szCs w:val="20"/>
                <w:lang w:val="de-DE"/>
              </w:rPr>
            </w:pPr>
            <w:r w:rsidRPr="00E51CDD">
              <w:rPr>
                <w:sz w:val="20"/>
                <w:szCs w:val="20"/>
                <w:lang w:val="de-DE"/>
              </w:rPr>
              <w:t>829</w:t>
            </w:r>
          </w:p>
        </w:tc>
        <w:tc>
          <w:tcPr>
            <w:tcW w:w="566" w:type="pct"/>
            <w:tcBorders>
              <w:top w:val="single" w:sz="4" w:space="0" w:color="auto"/>
              <w:left w:val="single" w:sz="4" w:space="0" w:color="auto"/>
              <w:bottom w:val="single" w:sz="4" w:space="0" w:color="auto"/>
              <w:right w:val="single" w:sz="4" w:space="0" w:color="auto"/>
            </w:tcBorders>
            <w:vAlign w:val="center"/>
            <w:hideMark/>
          </w:tcPr>
          <w:p w14:paraId="28AA4609" w14:textId="77777777" w:rsidR="00E51CDD" w:rsidRPr="00E51CDD" w:rsidRDefault="00E51CDD" w:rsidP="00E51CDD">
            <w:pPr>
              <w:keepNext/>
              <w:spacing w:before="40" w:after="40"/>
              <w:jc w:val="center"/>
              <w:rPr>
                <w:sz w:val="20"/>
                <w:szCs w:val="20"/>
                <w:lang w:val="de-DE"/>
              </w:rPr>
            </w:pPr>
            <w:r w:rsidRPr="00E51CDD">
              <w:rPr>
                <w:sz w:val="20"/>
                <w:szCs w:val="20"/>
                <w:lang w:val="de-DE"/>
              </w:rPr>
              <w:t>854</w:t>
            </w:r>
          </w:p>
        </w:tc>
        <w:tc>
          <w:tcPr>
            <w:tcW w:w="566" w:type="pct"/>
            <w:tcBorders>
              <w:top w:val="single" w:sz="4" w:space="0" w:color="auto"/>
              <w:left w:val="single" w:sz="4" w:space="0" w:color="auto"/>
              <w:bottom w:val="single" w:sz="4" w:space="0" w:color="auto"/>
              <w:right w:val="single" w:sz="4" w:space="0" w:color="auto"/>
            </w:tcBorders>
            <w:vAlign w:val="center"/>
            <w:hideMark/>
          </w:tcPr>
          <w:p w14:paraId="274D9832" w14:textId="77777777" w:rsidR="00E51CDD" w:rsidRPr="00E51CDD" w:rsidRDefault="00E51CDD" w:rsidP="00E51CDD">
            <w:pPr>
              <w:keepNext/>
              <w:spacing w:before="40" w:after="40"/>
              <w:jc w:val="center"/>
              <w:rPr>
                <w:sz w:val="20"/>
                <w:szCs w:val="20"/>
                <w:lang w:val="de-DE"/>
              </w:rPr>
            </w:pPr>
            <w:r w:rsidRPr="00E51CDD">
              <w:rPr>
                <w:sz w:val="20"/>
                <w:szCs w:val="20"/>
                <w:lang w:val="de-DE"/>
              </w:rPr>
              <w:t>857</w:t>
            </w:r>
          </w:p>
        </w:tc>
        <w:tc>
          <w:tcPr>
            <w:tcW w:w="603" w:type="pct"/>
            <w:tcBorders>
              <w:top w:val="single" w:sz="4" w:space="0" w:color="auto"/>
              <w:left w:val="single" w:sz="4" w:space="0" w:color="auto"/>
              <w:bottom w:val="single" w:sz="4" w:space="0" w:color="auto"/>
              <w:right w:val="single" w:sz="4" w:space="0" w:color="auto"/>
            </w:tcBorders>
            <w:vAlign w:val="center"/>
            <w:hideMark/>
          </w:tcPr>
          <w:p w14:paraId="66D4703B" w14:textId="77777777" w:rsidR="00E51CDD" w:rsidRPr="00E51CDD" w:rsidRDefault="00E51CDD" w:rsidP="00E51CDD">
            <w:pPr>
              <w:keepNext/>
              <w:spacing w:before="40" w:after="40"/>
              <w:jc w:val="center"/>
              <w:rPr>
                <w:sz w:val="20"/>
                <w:szCs w:val="20"/>
                <w:lang w:val="de-DE"/>
              </w:rPr>
            </w:pPr>
            <w:r w:rsidRPr="00E51CDD">
              <w:rPr>
                <w:sz w:val="20"/>
                <w:szCs w:val="20"/>
                <w:lang w:val="de-DE"/>
              </w:rPr>
              <w:t>890</w:t>
            </w:r>
          </w:p>
        </w:tc>
      </w:tr>
      <w:tr w:rsidR="00E51CDD" w:rsidRPr="00E51CDD" w14:paraId="1A3E53BF" w14:textId="77777777" w:rsidTr="009938D9">
        <w:trPr>
          <w:trHeight w:val="60"/>
        </w:trPr>
        <w:tc>
          <w:tcPr>
            <w:tcW w:w="1601" w:type="pct"/>
            <w:tcBorders>
              <w:top w:val="single" w:sz="4" w:space="0" w:color="auto"/>
              <w:left w:val="single" w:sz="4" w:space="0" w:color="auto"/>
              <w:bottom w:val="single" w:sz="4" w:space="0" w:color="auto"/>
              <w:right w:val="single" w:sz="4" w:space="0" w:color="auto"/>
            </w:tcBorders>
            <w:vAlign w:val="center"/>
            <w:hideMark/>
          </w:tcPr>
          <w:p w14:paraId="5229F904" w14:textId="77777777" w:rsidR="00E51CDD" w:rsidRPr="00E51CDD" w:rsidRDefault="00E51CDD" w:rsidP="00E51CDD">
            <w:pPr>
              <w:keepNext/>
              <w:spacing w:before="40" w:after="40"/>
              <w:rPr>
                <w:sz w:val="20"/>
                <w:szCs w:val="20"/>
              </w:rPr>
            </w:pPr>
            <w:r w:rsidRPr="00E51CDD">
              <w:rPr>
                <w:sz w:val="20"/>
                <w:szCs w:val="20"/>
              </w:rPr>
              <w:t>Reproduction in [%] of control (day 28)</w:t>
            </w:r>
          </w:p>
        </w:tc>
        <w:tc>
          <w:tcPr>
            <w:tcW w:w="538" w:type="pct"/>
            <w:tcBorders>
              <w:top w:val="single" w:sz="4" w:space="0" w:color="auto"/>
              <w:left w:val="single" w:sz="4" w:space="0" w:color="auto"/>
              <w:bottom w:val="single" w:sz="4" w:space="0" w:color="auto"/>
              <w:right w:val="single" w:sz="4" w:space="0" w:color="auto"/>
            </w:tcBorders>
            <w:vAlign w:val="center"/>
            <w:hideMark/>
          </w:tcPr>
          <w:p w14:paraId="2F42FDB9" w14:textId="77777777" w:rsidR="00E51CDD" w:rsidRPr="00E51CDD" w:rsidRDefault="00E51CDD" w:rsidP="00E51CDD">
            <w:pPr>
              <w:keepNext/>
              <w:spacing w:before="40" w:after="40"/>
              <w:jc w:val="center"/>
              <w:rPr>
                <w:sz w:val="20"/>
                <w:szCs w:val="20"/>
                <w:lang w:val="de-DE"/>
              </w:rPr>
            </w:pPr>
            <w:r w:rsidRPr="00E51CDD">
              <w:rPr>
                <w:sz w:val="20"/>
                <w:szCs w:val="20"/>
                <w:lang w:val="de-DE"/>
              </w:rPr>
              <w:t>100</w:t>
            </w:r>
          </w:p>
        </w:tc>
        <w:tc>
          <w:tcPr>
            <w:tcW w:w="560" w:type="pct"/>
            <w:tcBorders>
              <w:top w:val="single" w:sz="4" w:space="0" w:color="auto"/>
              <w:left w:val="single" w:sz="4" w:space="0" w:color="auto"/>
              <w:bottom w:val="single" w:sz="4" w:space="0" w:color="auto"/>
              <w:right w:val="single" w:sz="4" w:space="0" w:color="auto"/>
            </w:tcBorders>
            <w:vAlign w:val="center"/>
            <w:hideMark/>
          </w:tcPr>
          <w:p w14:paraId="380C71EE" w14:textId="77777777" w:rsidR="00E51CDD" w:rsidRPr="00E51CDD" w:rsidRDefault="00E51CDD" w:rsidP="00E51CDD">
            <w:pPr>
              <w:keepNext/>
              <w:spacing w:before="40" w:after="40"/>
              <w:jc w:val="center"/>
              <w:rPr>
                <w:sz w:val="20"/>
                <w:szCs w:val="20"/>
                <w:lang w:val="de-DE"/>
              </w:rPr>
            </w:pPr>
            <w:r w:rsidRPr="00E51CDD">
              <w:rPr>
                <w:sz w:val="20"/>
                <w:szCs w:val="20"/>
                <w:lang w:val="de-DE"/>
              </w:rPr>
              <w:t>99</w:t>
            </w:r>
          </w:p>
        </w:tc>
        <w:tc>
          <w:tcPr>
            <w:tcW w:w="566" w:type="pct"/>
            <w:tcBorders>
              <w:top w:val="single" w:sz="4" w:space="0" w:color="auto"/>
              <w:left w:val="single" w:sz="4" w:space="0" w:color="auto"/>
              <w:bottom w:val="single" w:sz="4" w:space="0" w:color="auto"/>
              <w:right w:val="single" w:sz="4" w:space="0" w:color="auto"/>
            </w:tcBorders>
            <w:vAlign w:val="center"/>
            <w:hideMark/>
          </w:tcPr>
          <w:p w14:paraId="507B9B7D" w14:textId="77777777" w:rsidR="00E51CDD" w:rsidRPr="00E51CDD" w:rsidRDefault="00E51CDD" w:rsidP="00E51CDD">
            <w:pPr>
              <w:keepNext/>
              <w:spacing w:before="40" w:after="40"/>
              <w:jc w:val="center"/>
              <w:rPr>
                <w:sz w:val="20"/>
                <w:szCs w:val="20"/>
                <w:lang w:val="de-DE"/>
              </w:rPr>
            </w:pPr>
            <w:r w:rsidRPr="00E51CDD">
              <w:rPr>
                <w:sz w:val="20"/>
                <w:szCs w:val="20"/>
                <w:lang w:val="de-DE"/>
              </w:rPr>
              <w:t>97</w:t>
            </w:r>
          </w:p>
        </w:tc>
        <w:tc>
          <w:tcPr>
            <w:tcW w:w="566" w:type="pct"/>
            <w:tcBorders>
              <w:top w:val="single" w:sz="4" w:space="0" w:color="auto"/>
              <w:left w:val="single" w:sz="4" w:space="0" w:color="auto"/>
              <w:bottom w:val="single" w:sz="4" w:space="0" w:color="auto"/>
              <w:right w:val="single" w:sz="4" w:space="0" w:color="auto"/>
            </w:tcBorders>
            <w:vAlign w:val="center"/>
            <w:hideMark/>
          </w:tcPr>
          <w:p w14:paraId="3108F70F" w14:textId="77777777" w:rsidR="00E51CDD" w:rsidRPr="00E51CDD" w:rsidRDefault="00E51CDD" w:rsidP="00E51CDD">
            <w:pPr>
              <w:keepNext/>
              <w:spacing w:before="40" w:after="40"/>
              <w:jc w:val="center"/>
              <w:rPr>
                <w:sz w:val="20"/>
                <w:szCs w:val="20"/>
                <w:lang w:val="de-DE"/>
              </w:rPr>
            </w:pPr>
            <w:r w:rsidRPr="00E51CDD">
              <w:rPr>
                <w:sz w:val="20"/>
                <w:szCs w:val="20"/>
                <w:lang w:val="de-DE"/>
              </w:rPr>
              <w:t>100</w:t>
            </w:r>
          </w:p>
        </w:tc>
        <w:tc>
          <w:tcPr>
            <w:tcW w:w="566" w:type="pct"/>
            <w:tcBorders>
              <w:top w:val="single" w:sz="4" w:space="0" w:color="auto"/>
              <w:left w:val="single" w:sz="4" w:space="0" w:color="auto"/>
              <w:bottom w:val="single" w:sz="4" w:space="0" w:color="auto"/>
              <w:right w:val="single" w:sz="4" w:space="0" w:color="auto"/>
            </w:tcBorders>
            <w:vAlign w:val="center"/>
            <w:hideMark/>
          </w:tcPr>
          <w:p w14:paraId="3FFABC76" w14:textId="77777777" w:rsidR="00E51CDD" w:rsidRPr="00E51CDD" w:rsidRDefault="00E51CDD" w:rsidP="00E51CDD">
            <w:pPr>
              <w:keepNext/>
              <w:spacing w:before="40" w:after="40"/>
              <w:jc w:val="center"/>
              <w:rPr>
                <w:sz w:val="20"/>
                <w:szCs w:val="20"/>
                <w:lang w:val="de-DE"/>
              </w:rPr>
            </w:pPr>
            <w:r w:rsidRPr="00E51CDD">
              <w:rPr>
                <w:sz w:val="20"/>
                <w:szCs w:val="20"/>
                <w:lang w:val="de-DE"/>
              </w:rPr>
              <w:t>101</w:t>
            </w:r>
          </w:p>
        </w:tc>
        <w:tc>
          <w:tcPr>
            <w:tcW w:w="603" w:type="pct"/>
            <w:tcBorders>
              <w:top w:val="single" w:sz="4" w:space="0" w:color="auto"/>
              <w:left w:val="single" w:sz="4" w:space="0" w:color="auto"/>
              <w:bottom w:val="single" w:sz="4" w:space="0" w:color="auto"/>
              <w:right w:val="single" w:sz="4" w:space="0" w:color="auto"/>
            </w:tcBorders>
            <w:vAlign w:val="center"/>
            <w:hideMark/>
          </w:tcPr>
          <w:p w14:paraId="111CD5AF" w14:textId="77777777" w:rsidR="00E51CDD" w:rsidRPr="00E51CDD" w:rsidRDefault="00E51CDD" w:rsidP="00E51CDD">
            <w:pPr>
              <w:keepNext/>
              <w:spacing w:before="40" w:after="40"/>
              <w:jc w:val="center"/>
              <w:rPr>
                <w:sz w:val="20"/>
                <w:szCs w:val="20"/>
                <w:lang w:val="de-DE"/>
              </w:rPr>
            </w:pPr>
            <w:r w:rsidRPr="00E51CDD">
              <w:rPr>
                <w:sz w:val="20"/>
                <w:szCs w:val="20"/>
                <w:lang w:val="de-DE"/>
              </w:rPr>
              <w:t>104</w:t>
            </w:r>
          </w:p>
        </w:tc>
      </w:tr>
      <w:tr w:rsidR="00E51CDD" w:rsidRPr="00E51CDD" w14:paraId="71BDB943" w14:textId="77777777" w:rsidTr="009938D9">
        <w:trPr>
          <w:cantSplit/>
          <w:trHeight w:val="60"/>
        </w:trPr>
        <w:tc>
          <w:tcPr>
            <w:tcW w:w="1601" w:type="pct"/>
            <w:tcBorders>
              <w:top w:val="single" w:sz="4" w:space="0" w:color="auto"/>
              <w:left w:val="single" w:sz="4" w:space="0" w:color="auto"/>
              <w:bottom w:val="single" w:sz="4" w:space="0" w:color="auto"/>
              <w:right w:val="single" w:sz="4" w:space="0" w:color="auto"/>
            </w:tcBorders>
            <w:vAlign w:val="center"/>
          </w:tcPr>
          <w:p w14:paraId="641F9090" w14:textId="77777777" w:rsidR="00E51CDD" w:rsidRPr="00E51CDD" w:rsidRDefault="00E51CDD" w:rsidP="00E51CDD">
            <w:pPr>
              <w:keepNext/>
              <w:spacing w:before="40" w:after="40"/>
              <w:rPr>
                <w:sz w:val="20"/>
                <w:szCs w:val="20"/>
                <w:lang w:val="de-DE"/>
              </w:rPr>
            </w:pPr>
          </w:p>
        </w:tc>
        <w:tc>
          <w:tcPr>
            <w:tcW w:w="3399" w:type="pct"/>
            <w:gridSpan w:val="6"/>
            <w:tcBorders>
              <w:top w:val="single" w:sz="4" w:space="0" w:color="auto"/>
              <w:left w:val="single" w:sz="4" w:space="0" w:color="auto"/>
              <w:bottom w:val="single" w:sz="4" w:space="0" w:color="auto"/>
              <w:right w:val="single" w:sz="4" w:space="0" w:color="auto"/>
            </w:tcBorders>
            <w:vAlign w:val="center"/>
            <w:hideMark/>
          </w:tcPr>
          <w:p w14:paraId="29F9DDC6" w14:textId="77777777" w:rsidR="00E51CDD" w:rsidRPr="00E51CDD" w:rsidRDefault="00E51CDD" w:rsidP="00E51CDD">
            <w:pPr>
              <w:keepNext/>
              <w:spacing w:before="40" w:after="40"/>
              <w:jc w:val="center"/>
              <w:rPr>
                <w:sz w:val="20"/>
                <w:szCs w:val="20"/>
              </w:rPr>
            </w:pPr>
            <w:r w:rsidRPr="00E51CDD">
              <w:rPr>
                <w:b/>
                <w:sz w:val="20"/>
                <w:szCs w:val="20"/>
              </w:rPr>
              <w:t>Endpoints [mg BAS 700 F/kg dry soil]</w:t>
            </w:r>
          </w:p>
        </w:tc>
      </w:tr>
      <w:tr w:rsidR="00E51CDD" w:rsidRPr="00E51CDD" w14:paraId="4E402320" w14:textId="77777777" w:rsidTr="009938D9">
        <w:trPr>
          <w:cantSplit/>
          <w:trHeight w:val="60"/>
        </w:trPr>
        <w:tc>
          <w:tcPr>
            <w:tcW w:w="1601" w:type="pct"/>
            <w:tcBorders>
              <w:top w:val="single" w:sz="4" w:space="0" w:color="auto"/>
              <w:left w:val="single" w:sz="4" w:space="0" w:color="auto"/>
              <w:bottom w:val="single" w:sz="4" w:space="0" w:color="auto"/>
              <w:right w:val="single" w:sz="4" w:space="0" w:color="auto"/>
            </w:tcBorders>
            <w:vAlign w:val="center"/>
            <w:hideMark/>
          </w:tcPr>
          <w:p w14:paraId="1679325C" w14:textId="77777777" w:rsidR="00E51CDD" w:rsidRPr="00E51CDD" w:rsidRDefault="00E51CDD" w:rsidP="00E51CDD">
            <w:pPr>
              <w:keepNext/>
              <w:spacing w:before="40" w:after="40"/>
              <w:rPr>
                <w:sz w:val="20"/>
                <w:szCs w:val="20"/>
                <w:lang w:val="de-DE"/>
              </w:rPr>
            </w:pPr>
            <w:r w:rsidRPr="00E51CDD">
              <w:rPr>
                <w:sz w:val="20"/>
                <w:szCs w:val="20"/>
                <w:lang w:val="de-DE"/>
              </w:rPr>
              <w:t>NOEC (day 28)</w:t>
            </w:r>
          </w:p>
        </w:tc>
        <w:tc>
          <w:tcPr>
            <w:tcW w:w="3399" w:type="pct"/>
            <w:gridSpan w:val="6"/>
            <w:tcBorders>
              <w:top w:val="single" w:sz="4" w:space="0" w:color="auto"/>
              <w:left w:val="single" w:sz="4" w:space="0" w:color="auto"/>
              <w:bottom w:val="single" w:sz="4" w:space="0" w:color="auto"/>
              <w:right w:val="single" w:sz="4" w:space="0" w:color="auto"/>
            </w:tcBorders>
            <w:vAlign w:val="center"/>
            <w:hideMark/>
          </w:tcPr>
          <w:p w14:paraId="428DA001" w14:textId="77777777" w:rsidR="00E51CDD" w:rsidRPr="00E51CDD" w:rsidRDefault="00E51CDD" w:rsidP="00E51CDD">
            <w:pPr>
              <w:keepNext/>
              <w:spacing w:before="40" w:after="40"/>
              <w:jc w:val="center"/>
              <w:rPr>
                <w:sz w:val="20"/>
                <w:szCs w:val="20"/>
                <w:lang w:val="de-DE"/>
              </w:rPr>
            </w:pPr>
            <w:r w:rsidRPr="00E51CDD">
              <w:rPr>
                <w:sz w:val="20"/>
                <w:szCs w:val="20"/>
                <w:lang w:val="de-DE"/>
              </w:rPr>
              <w:t>≥ 500</w:t>
            </w:r>
          </w:p>
        </w:tc>
      </w:tr>
      <w:tr w:rsidR="00E51CDD" w:rsidRPr="00E51CDD" w14:paraId="7212B485" w14:textId="77777777" w:rsidTr="009938D9">
        <w:trPr>
          <w:cantSplit/>
          <w:trHeight w:val="340"/>
        </w:trPr>
        <w:tc>
          <w:tcPr>
            <w:tcW w:w="1601" w:type="pct"/>
            <w:tcBorders>
              <w:top w:val="single" w:sz="4" w:space="0" w:color="auto"/>
              <w:left w:val="single" w:sz="4" w:space="0" w:color="auto"/>
              <w:bottom w:val="single" w:sz="4" w:space="0" w:color="auto"/>
              <w:right w:val="single" w:sz="4" w:space="0" w:color="auto"/>
            </w:tcBorders>
            <w:vAlign w:val="center"/>
            <w:hideMark/>
          </w:tcPr>
          <w:p w14:paraId="0D905786" w14:textId="77777777" w:rsidR="00E51CDD" w:rsidRPr="00E51CDD" w:rsidRDefault="00E51CDD" w:rsidP="00E51CDD">
            <w:pPr>
              <w:keepNext/>
              <w:spacing w:before="40" w:after="40"/>
              <w:rPr>
                <w:sz w:val="20"/>
                <w:szCs w:val="20"/>
                <w:vertAlign w:val="superscript"/>
                <w:lang w:val="de-DE"/>
              </w:rPr>
            </w:pPr>
            <w:r w:rsidRPr="00E51CDD">
              <w:rPr>
                <w:sz w:val="20"/>
                <w:szCs w:val="20"/>
                <w:lang w:val="de-DE"/>
              </w:rPr>
              <w:t>LC</w:t>
            </w:r>
            <w:r w:rsidRPr="00E51CDD">
              <w:rPr>
                <w:sz w:val="20"/>
                <w:szCs w:val="20"/>
                <w:vertAlign w:val="subscript"/>
                <w:lang w:val="de-DE"/>
              </w:rPr>
              <w:t>50</w:t>
            </w:r>
            <w:r w:rsidRPr="00E51CDD">
              <w:rPr>
                <w:sz w:val="20"/>
                <w:szCs w:val="20"/>
                <w:vertAlign w:val="superscript"/>
                <w:lang w:val="de-DE"/>
              </w:rPr>
              <w:t xml:space="preserve"> 1)</w:t>
            </w:r>
          </w:p>
        </w:tc>
        <w:tc>
          <w:tcPr>
            <w:tcW w:w="3399" w:type="pct"/>
            <w:gridSpan w:val="6"/>
            <w:tcBorders>
              <w:top w:val="single" w:sz="4" w:space="0" w:color="auto"/>
              <w:left w:val="single" w:sz="4" w:space="0" w:color="auto"/>
              <w:bottom w:val="single" w:sz="4" w:space="0" w:color="auto"/>
              <w:right w:val="single" w:sz="4" w:space="0" w:color="auto"/>
            </w:tcBorders>
            <w:vAlign w:val="center"/>
            <w:hideMark/>
          </w:tcPr>
          <w:p w14:paraId="757A5B6F" w14:textId="77777777" w:rsidR="00E51CDD" w:rsidRPr="00E51CDD" w:rsidRDefault="00E51CDD" w:rsidP="00E51CDD">
            <w:pPr>
              <w:keepNext/>
              <w:spacing w:before="40" w:after="40"/>
              <w:jc w:val="center"/>
              <w:rPr>
                <w:sz w:val="20"/>
                <w:szCs w:val="20"/>
                <w:lang w:val="de-DE"/>
              </w:rPr>
            </w:pPr>
            <w:r w:rsidRPr="00E51CDD">
              <w:rPr>
                <w:sz w:val="20"/>
                <w:szCs w:val="20"/>
                <w:lang w:val="de-DE"/>
              </w:rPr>
              <w:t>&gt; 500</w:t>
            </w:r>
          </w:p>
        </w:tc>
      </w:tr>
      <w:tr w:rsidR="00E51CDD" w:rsidRPr="00E51CDD" w14:paraId="43B6FD1C" w14:textId="77777777" w:rsidTr="009938D9">
        <w:trPr>
          <w:cantSplit/>
          <w:trHeight w:val="60"/>
        </w:trPr>
        <w:tc>
          <w:tcPr>
            <w:tcW w:w="1601" w:type="pct"/>
            <w:tcBorders>
              <w:top w:val="single" w:sz="4" w:space="0" w:color="auto"/>
              <w:left w:val="single" w:sz="4" w:space="0" w:color="auto"/>
              <w:bottom w:val="single" w:sz="4" w:space="0" w:color="auto"/>
              <w:right w:val="single" w:sz="4" w:space="0" w:color="auto"/>
            </w:tcBorders>
            <w:vAlign w:val="center"/>
            <w:hideMark/>
          </w:tcPr>
          <w:p w14:paraId="52A4549E" w14:textId="77777777" w:rsidR="00E51CDD" w:rsidRPr="00E51CDD" w:rsidRDefault="00E51CDD" w:rsidP="00E51CDD">
            <w:pPr>
              <w:keepNext/>
              <w:spacing w:before="40" w:after="40"/>
              <w:rPr>
                <w:sz w:val="20"/>
                <w:szCs w:val="20"/>
                <w:lang w:val="de-DE"/>
              </w:rPr>
            </w:pPr>
            <w:r w:rsidRPr="00E51CDD">
              <w:rPr>
                <w:sz w:val="20"/>
                <w:szCs w:val="20"/>
                <w:lang w:val="de-DE" w:eastAsia="zh-CN"/>
              </w:rPr>
              <w:t>EC</w:t>
            </w:r>
            <w:r w:rsidRPr="00E51CDD">
              <w:rPr>
                <w:sz w:val="20"/>
                <w:szCs w:val="20"/>
                <w:vertAlign w:val="subscript"/>
                <w:lang w:val="de-DE" w:eastAsia="zh-CN"/>
              </w:rPr>
              <w:t>10</w:t>
            </w:r>
            <w:r w:rsidRPr="00E51CDD">
              <w:rPr>
                <w:sz w:val="20"/>
                <w:szCs w:val="20"/>
                <w:lang w:val="de-DE" w:eastAsia="zh-CN"/>
              </w:rPr>
              <w:t>, EC</w:t>
            </w:r>
            <w:r w:rsidRPr="00E51CDD">
              <w:rPr>
                <w:sz w:val="20"/>
                <w:szCs w:val="20"/>
                <w:vertAlign w:val="subscript"/>
                <w:lang w:val="de-DE" w:eastAsia="zh-CN"/>
              </w:rPr>
              <w:t>20</w:t>
            </w:r>
            <w:r w:rsidRPr="00E51CDD">
              <w:rPr>
                <w:sz w:val="20"/>
                <w:szCs w:val="20"/>
                <w:lang w:val="de-DE" w:eastAsia="zh-CN"/>
              </w:rPr>
              <w:t>, EC</w:t>
            </w:r>
            <w:r w:rsidRPr="00E51CDD">
              <w:rPr>
                <w:sz w:val="20"/>
                <w:szCs w:val="20"/>
                <w:vertAlign w:val="subscript"/>
                <w:lang w:val="de-DE" w:eastAsia="zh-CN"/>
              </w:rPr>
              <w:t>50</w:t>
            </w:r>
            <w:r w:rsidRPr="00E51CDD">
              <w:rPr>
                <w:sz w:val="20"/>
                <w:szCs w:val="20"/>
                <w:vertAlign w:val="superscript"/>
                <w:lang w:val="de-DE" w:eastAsia="zh-CN"/>
              </w:rPr>
              <w:t xml:space="preserve"> 1)</w:t>
            </w:r>
          </w:p>
        </w:tc>
        <w:tc>
          <w:tcPr>
            <w:tcW w:w="3399" w:type="pct"/>
            <w:gridSpan w:val="6"/>
            <w:tcBorders>
              <w:top w:val="single" w:sz="4" w:space="0" w:color="auto"/>
              <w:left w:val="single" w:sz="4" w:space="0" w:color="auto"/>
              <w:bottom w:val="single" w:sz="4" w:space="0" w:color="auto"/>
              <w:right w:val="single" w:sz="4" w:space="0" w:color="auto"/>
            </w:tcBorders>
            <w:hideMark/>
          </w:tcPr>
          <w:p w14:paraId="054F0672" w14:textId="77777777" w:rsidR="00E51CDD" w:rsidRPr="00E51CDD" w:rsidRDefault="00E51CDD" w:rsidP="00E51CDD">
            <w:pPr>
              <w:keepNext/>
              <w:spacing w:before="40" w:after="40"/>
              <w:jc w:val="center"/>
              <w:rPr>
                <w:sz w:val="20"/>
                <w:szCs w:val="20"/>
                <w:lang w:val="de-DE"/>
              </w:rPr>
            </w:pPr>
            <w:r w:rsidRPr="00E51CDD">
              <w:rPr>
                <w:sz w:val="20"/>
                <w:szCs w:val="20"/>
                <w:lang w:val="de-DE"/>
              </w:rPr>
              <w:t>&gt; 500</w:t>
            </w:r>
          </w:p>
        </w:tc>
      </w:tr>
    </w:tbl>
    <w:p w14:paraId="5E18EFC4" w14:textId="77777777" w:rsidR="00E51CDD" w:rsidRPr="00E51CDD" w:rsidRDefault="00E51CDD" w:rsidP="00E51CDD">
      <w:pPr>
        <w:tabs>
          <w:tab w:val="left" w:pos="284"/>
        </w:tabs>
        <w:spacing w:before="40"/>
        <w:rPr>
          <w:sz w:val="18"/>
          <w:szCs w:val="18"/>
          <w:lang w:eastAsia="en-US"/>
        </w:rPr>
      </w:pPr>
      <w:r w:rsidRPr="00E51CDD">
        <w:rPr>
          <w:sz w:val="18"/>
          <w:szCs w:val="18"/>
          <w:vertAlign w:val="superscript"/>
        </w:rPr>
        <w:t>1)</w:t>
      </w:r>
      <w:r w:rsidRPr="00E51CDD">
        <w:rPr>
          <w:sz w:val="18"/>
          <w:szCs w:val="18"/>
          <w:vertAlign w:val="superscript"/>
        </w:rPr>
        <w:tab/>
      </w:r>
      <w:r w:rsidRPr="00E51CDD">
        <w:rPr>
          <w:sz w:val="18"/>
          <w:szCs w:val="18"/>
        </w:rPr>
        <w:t>based on estimation of the data.</w:t>
      </w:r>
    </w:p>
    <w:p w14:paraId="7DB30ED0" w14:textId="77777777" w:rsidR="00E51CDD" w:rsidRPr="00E51CDD" w:rsidRDefault="00E51CDD" w:rsidP="00E51CDD"/>
    <w:p w14:paraId="594C2EE2" w14:textId="77777777" w:rsidR="00E51CDD" w:rsidRPr="00E51CDD" w:rsidRDefault="00E51CDD" w:rsidP="00E51CDD"/>
    <w:p w14:paraId="5AAF6E8A" w14:textId="77777777" w:rsidR="00E51CDD" w:rsidRPr="00E51CDD" w:rsidRDefault="00E51CDD" w:rsidP="00E51CDD">
      <w:r w:rsidRPr="00E51CDD">
        <w:t>The EC</w:t>
      </w:r>
      <w:r w:rsidRPr="00E51CDD">
        <w:rPr>
          <w:vertAlign w:val="subscript"/>
        </w:rPr>
        <w:t xml:space="preserve">50 </w:t>
      </w:r>
      <w:r w:rsidRPr="00E51CDD">
        <w:t>(reproduction) of the reference item boric acid was calculated to be 104 mg BAS 700 F/kg soil dry weight.</w:t>
      </w:r>
    </w:p>
    <w:p w14:paraId="17308731" w14:textId="77777777" w:rsidR="00E51CDD" w:rsidRPr="00E51CDD" w:rsidRDefault="00E51CDD" w:rsidP="00E51CDD"/>
    <w:p w14:paraId="3BBF1B39" w14:textId="77777777" w:rsidR="00E51CDD" w:rsidRPr="00E51CDD" w:rsidRDefault="00E51CDD" w:rsidP="00E51CDD"/>
    <w:p w14:paraId="2D842AEE" w14:textId="77777777" w:rsidR="00E51CDD" w:rsidRPr="00E51CDD" w:rsidRDefault="00E51CDD" w:rsidP="00E51CDD">
      <w:pPr>
        <w:jc w:val="both"/>
        <w:rPr>
          <w:u w:val="single"/>
          <w:lang w:val="de-DE"/>
        </w:rPr>
      </w:pPr>
      <w:r w:rsidRPr="00E51CDD">
        <w:rPr>
          <w:u w:val="single"/>
          <w:lang w:val="de-DE"/>
        </w:rPr>
        <w:t>Validity criteria:</w:t>
      </w:r>
    </w:p>
    <w:p w14:paraId="426FC267" w14:textId="77777777" w:rsidR="00E51CDD" w:rsidRPr="00E51CDD" w:rsidRDefault="00E51CDD" w:rsidP="00E51CDD">
      <w:pPr>
        <w:jc w:val="both"/>
        <w:rPr>
          <w:lang w:val="de-DE"/>
        </w:rPr>
      </w:pPr>
    </w:p>
    <w:tbl>
      <w:tblPr>
        <w:tblStyle w:val="DAR007111"/>
        <w:tblW w:w="5000" w:type="pct"/>
        <w:tblInd w:w="0" w:type="dxa"/>
        <w:tblLook w:val="04A0" w:firstRow="1" w:lastRow="0" w:firstColumn="1" w:lastColumn="0" w:noHBand="0" w:noVBand="1"/>
      </w:tblPr>
      <w:tblGrid>
        <w:gridCol w:w="6866"/>
        <w:gridCol w:w="2478"/>
      </w:tblGrid>
      <w:tr w:rsidR="00E51CDD" w:rsidRPr="00E51CDD" w14:paraId="573EF88F"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5481D05E" w14:textId="77777777" w:rsidR="00E51CDD" w:rsidRPr="00E51CDD" w:rsidRDefault="00E51CDD" w:rsidP="00E51CDD">
            <w:pPr>
              <w:widowControl w:val="0"/>
              <w:rPr>
                <w:b/>
                <w:bCs/>
                <w:sz w:val="20"/>
                <w:szCs w:val="20"/>
              </w:rPr>
            </w:pPr>
            <w:r w:rsidRPr="00E51CDD">
              <w:rPr>
                <w:b/>
                <w:bCs/>
                <w:sz w:val="20"/>
                <w:szCs w:val="20"/>
              </w:rPr>
              <w:t>Validity criteria according to OECD 232 (2016)</w:t>
            </w:r>
          </w:p>
        </w:tc>
        <w:tc>
          <w:tcPr>
            <w:tcW w:w="1326" w:type="pct"/>
            <w:tcBorders>
              <w:top w:val="single" w:sz="4" w:space="0" w:color="auto"/>
              <w:left w:val="single" w:sz="4" w:space="0" w:color="auto"/>
              <w:bottom w:val="single" w:sz="4" w:space="0" w:color="auto"/>
              <w:right w:val="single" w:sz="4" w:space="0" w:color="auto"/>
            </w:tcBorders>
            <w:vAlign w:val="center"/>
            <w:hideMark/>
          </w:tcPr>
          <w:p w14:paraId="13239605" w14:textId="77777777" w:rsidR="00E51CDD" w:rsidRPr="00E51CDD" w:rsidRDefault="00E51CDD" w:rsidP="00E51CDD">
            <w:pPr>
              <w:widowControl w:val="0"/>
              <w:rPr>
                <w:b/>
                <w:bCs/>
                <w:sz w:val="20"/>
                <w:szCs w:val="20"/>
                <w:lang w:val="de-DE"/>
              </w:rPr>
            </w:pPr>
            <w:r w:rsidRPr="00E51CDD">
              <w:rPr>
                <w:b/>
                <w:bCs/>
                <w:sz w:val="20"/>
                <w:szCs w:val="20"/>
                <w:lang w:val="de-DE"/>
              </w:rPr>
              <w:t>Obtained in this study</w:t>
            </w:r>
          </w:p>
        </w:tc>
      </w:tr>
      <w:tr w:rsidR="00E51CDD" w:rsidRPr="00E51CDD" w14:paraId="5BA5EDBB"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25D26F60" w14:textId="77777777" w:rsidR="00E51CDD" w:rsidRPr="00E51CDD" w:rsidRDefault="00E51CDD" w:rsidP="00E51CDD">
            <w:pPr>
              <w:widowControl w:val="0"/>
              <w:rPr>
                <w:sz w:val="20"/>
                <w:szCs w:val="20"/>
              </w:rPr>
            </w:pPr>
            <w:r w:rsidRPr="00E51CDD">
              <w:rPr>
                <w:sz w:val="20"/>
                <w:szCs w:val="20"/>
              </w:rPr>
              <w:t>Mean adult mortality in the control ≤ 20%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15077F28" w14:textId="77777777" w:rsidR="00E51CDD" w:rsidRPr="00E51CDD" w:rsidRDefault="00E51CDD" w:rsidP="00E51CDD">
            <w:pPr>
              <w:widowControl w:val="0"/>
              <w:rPr>
                <w:sz w:val="20"/>
                <w:szCs w:val="20"/>
                <w:lang w:val="de-DE"/>
              </w:rPr>
            </w:pPr>
            <w:r w:rsidRPr="00E51CDD">
              <w:rPr>
                <w:sz w:val="20"/>
                <w:szCs w:val="20"/>
                <w:lang w:val="de-DE"/>
              </w:rPr>
              <w:t>2.5% (Solvent control)</w:t>
            </w:r>
          </w:p>
        </w:tc>
      </w:tr>
      <w:tr w:rsidR="00E51CDD" w:rsidRPr="00E51CDD" w14:paraId="17D9578E"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079E14BA" w14:textId="77777777" w:rsidR="00E51CDD" w:rsidRPr="00E51CDD" w:rsidRDefault="00E51CDD" w:rsidP="00E51CDD">
            <w:pPr>
              <w:widowControl w:val="0"/>
              <w:rPr>
                <w:sz w:val="20"/>
                <w:szCs w:val="20"/>
              </w:rPr>
            </w:pPr>
            <w:r w:rsidRPr="00E51CDD">
              <w:rPr>
                <w:sz w:val="20"/>
                <w:szCs w:val="20"/>
              </w:rPr>
              <w:t>Mean number of juveniles per control replicate ≥ 100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568DC55D" w14:textId="77777777" w:rsidR="00E51CDD" w:rsidRPr="00E51CDD" w:rsidRDefault="00E51CDD" w:rsidP="00E51CDD">
            <w:pPr>
              <w:widowControl w:val="0"/>
              <w:rPr>
                <w:sz w:val="20"/>
                <w:szCs w:val="20"/>
                <w:lang w:val="de-DE"/>
              </w:rPr>
            </w:pPr>
            <w:r w:rsidRPr="00E51CDD">
              <w:rPr>
                <w:sz w:val="20"/>
                <w:szCs w:val="20"/>
                <w:lang w:val="de-DE"/>
              </w:rPr>
              <w:t>852</w:t>
            </w:r>
          </w:p>
        </w:tc>
      </w:tr>
      <w:tr w:rsidR="00E51CDD" w:rsidRPr="00E51CDD" w14:paraId="46E02869"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0800A31A" w14:textId="77777777" w:rsidR="00E51CDD" w:rsidRPr="00E51CDD" w:rsidRDefault="00E51CDD" w:rsidP="00E51CDD">
            <w:pPr>
              <w:widowControl w:val="0"/>
              <w:rPr>
                <w:sz w:val="20"/>
                <w:szCs w:val="20"/>
              </w:rPr>
            </w:pPr>
            <w:r w:rsidRPr="00E51CDD">
              <w:rPr>
                <w:sz w:val="20"/>
                <w:szCs w:val="20"/>
              </w:rPr>
              <w:t>Coefficient of variation of reproduction in the control ≤ 30%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1B7DDEFC" w14:textId="77777777" w:rsidR="00E51CDD" w:rsidRPr="00E51CDD" w:rsidRDefault="00E51CDD" w:rsidP="00E51CDD">
            <w:pPr>
              <w:widowControl w:val="0"/>
              <w:rPr>
                <w:sz w:val="20"/>
                <w:szCs w:val="20"/>
                <w:lang w:val="de-DE"/>
              </w:rPr>
            </w:pPr>
            <w:r w:rsidRPr="00E51CDD">
              <w:rPr>
                <w:sz w:val="20"/>
                <w:szCs w:val="20"/>
                <w:lang w:val="de-DE"/>
              </w:rPr>
              <w:t>13.6%</w:t>
            </w:r>
          </w:p>
        </w:tc>
      </w:tr>
    </w:tbl>
    <w:p w14:paraId="207B2D32" w14:textId="77777777" w:rsidR="00E51CDD" w:rsidRPr="00E51CDD" w:rsidRDefault="00E51CDD" w:rsidP="00E51CDD">
      <w:pPr>
        <w:jc w:val="both"/>
      </w:pPr>
    </w:p>
    <w:p w14:paraId="3081A3F8" w14:textId="77777777" w:rsidR="00E51CDD" w:rsidRPr="00E51CDD" w:rsidRDefault="00E51CDD" w:rsidP="00E51CDD">
      <w:pPr>
        <w:jc w:val="both"/>
      </w:pPr>
    </w:p>
    <w:p w14:paraId="787C1B89" w14:textId="77777777" w:rsidR="00E51CDD" w:rsidRPr="00E51CDD" w:rsidRDefault="00E51CDD" w:rsidP="00E51CDD">
      <w:pPr>
        <w:jc w:val="both"/>
      </w:pPr>
      <w:r w:rsidRPr="00E51CDD">
        <w:t>All validity criteria were met.</w:t>
      </w:r>
    </w:p>
    <w:p w14:paraId="4C394AAF" w14:textId="77777777" w:rsidR="00E51CDD" w:rsidRPr="00E51CDD" w:rsidRDefault="00E51CDD" w:rsidP="00E51CDD"/>
    <w:p w14:paraId="4CF2F56A" w14:textId="77777777" w:rsidR="00E51CDD" w:rsidRPr="00E51CDD" w:rsidRDefault="00E51CDD" w:rsidP="00E51CDD"/>
    <w:p w14:paraId="1FBDB52F" w14:textId="77777777" w:rsidR="00E51CDD" w:rsidRPr="00E51CDD" w:rsidRDefault="00E51CDD" w:rsidP="00E51CDD">
      <w:pPr>
        <w:tabs>
          <w:tab w:val="left" w:pos="425"/>
          <w:tab w:val="left" w:pos="850"/>
        </w:tabs>
        <w:ind w:left="2835" w:hanging="2835"/>
        <w:rPr>
          <w:b/>
        </w:rPr>
      </w:pPr>
      <w:r w:rsidRPr="00E51CDD">
        <w:rPr>
          <w:b/>
        </w:rPr>
        <w:t>III.</w:t>
      </w:r>
      <w:r w:rsidRPr="00E51CDD">
        <w:rPr>
          <w:b/>
        </w:rPr>
        <w:tab/>
        <w:t>CONCLUSION</w:t>
      </w:r>
    </w:p>
    <w:p w14:paraId="4BDC7F1A" w14:textId="77777777" w:rsidR="00E51CDD" w:rsidRPr="00E51CDD" w:rsidRDefault="00E51CDD" w:rsidP="00E51CDD">
      <w:pPr>
        <w:rPr>
          <w:sz w:val="24"/>
          <w:szCs w:val="24"/>
          <w:lang w:val="en-GB"/>
        </w:rPr>
      </w:pPr>
    </w:p>
    <w:p w14:paraId="6504D6AB" w14:textId="77777777" w:rsidR="00E51CDD" w:rsidRPr="00E51CDD" w:rsidRDefault="00E51CDD" w:rsidP="00E51CDD">
      <w:pPr>
        <w:widowControl w:val="0"/>
        <w:jc w:val="both"/>
        <w:rPr>
          <w:b/>
          <w:lang w:val="en-GB"/>
        </w:rPr>
      </w:pPr>
      <w:r w:rsidRPr="00E51CDD">
        <w:rPr>
          <w:b/>
        </w:rPr>
        <w:t>In a 28-day collembolan reproduction study with BAS </w:t>
      </w:r>
      <w:r w:rsidRPr="00E51CDD">
        <w:rPr>
          <w:b/>
          <w:bCs/>
        </w:rPr>
        <w:t>700</w:t>
      </w:r>
      <w:r w:rsidRPr="00E51CDD">
        <w:rPr>
          <w:b/>
        </w:rPr>
        <w:t xml:space="preserve"> F the NOEC based on mortality and reproduction was </w:t>
      </w:r>
      <w:r w:rsidRPr="00E51CDD">
        <w:rPr>
          <w:b/>
          <w:bCs/>
        </w:rPr>
        <w:t>≥ 500</w:t>
      </w:r>
      <w:r w:rsidRPr="00E51CDD">
        <w:rPr>
          <w:b/>
        </w:rPr>
        <w:t> mg BAS </w:t>
      </w:r>
      <w:r w:rsidRPr="00E51CDD">
        <w:rPr>
          <w:b/>
          <w:bCs/>
        </w:rPr>
        <w:t>700</w:t>
      </w:r>
      <w:r w:rsidRPr="00E51CDD">
        <w:rPr>
          <w:b/>
        </w:rPr>
        <w:t> F/kg dry soil</w:t>
      </w:r>
      <w:r w:rsidRPr="00E51CDD">
        <w:rPr>
          <w:b/>
          <w:bCs/>
        </w:rPr>
        <w:t>.</w:t>
      </w:r>
      <w:r w:rsidRPr="00E51CDD">
        <w:rPr>
          <w:b/>
        </w:rPr>
        <w:t xml:space="preserve"> The EC</w:t>
      </w:r>
      <w:r w:rsidRPr="00E51CDD">
        <w:rPr>
          <w:b/>
          <w:vertAlign w:val="subscript"/>
        </w:rPr>
        <w:t>10</w:t>
      </w:r>
      <w:r w:rsidRPr="00E51CDD">
        <w:rPr>
          <w:b/>
        </w:rPr>
        <w:t xml:space="preserve"> was estimated to be &gt;</w:t>
      </w:r>
      <w:r w:rsidRPr="00E51CDD">
        <w:rPr>
          <w:b/>
          <w:bCs/>
        </w:rPr>
        <w:t xml:space="preserve"> 500</w:t>
      </w:r>
      <w:r w:rsidRPr="00E51CDD">
        <w:rPr>
          <w:b/>
        </w:rPr>
        <w:t> mg BAS </w:t>
      </w:r>
      <w:r w:rsidRPr="00E51CDD">
        <w:rPr>
          <w:b/>
          <w:bCs/>
        </w:rPr>
        <w:t>700</w:t>
      </w:r>
      <w:r w:rsidRPr="00E51CDD">
        <w:rPr>
          <w:b/>
        </w:rPr>
        <w:t> F/kg dry soil.</w:t>
      </w:r>
    </w:p>
    <w:p w14:paraId="05AC503E" w14:textId="77777777" w:rsidR="00E51CDD" w:rsidRPr="00E51CDD" w:rsidRDefault="00E51CDD" w:rsidP="00E51CDD">
      <w:pPr>
        <w:widowControl w:val="0"/>
        <w:jc w:val="both"/>
        <w:rPr>
          <w:bCs/>
        </w:rPr>
      </w:pPr>
      <w:r w:rsidRPr="00E51CDD">
        <w:rPr>
          <w:bCs/>
        </w:rPr>
        <w:br w:type="page"/>
      </w:r>
    </w:p>
    <w:p w14:paraId="3E8F0023" w14:textId="77777777" w:rsidR="00E51CDD" w:rsidRPr="00E51CDD" w:rsidRDefault="00E51CDD" w:rsidP="00C5395F">
      <w:pPr>
        <w:pStyle w:val="RepAppendix5"/>
      </w:pPr>
      <w:r w:rsidRPr="00E51CDD">
        <w:lastRenderedPageBreak/>
        <w:t>Study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rsidRPr="00E51CDD" w14:paraId="79C28C16" w14:textId="77777777" w:rsidTr="00C96CF2">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051F9A" w14:textId="77777777" w:rsidR="00E51CDD" w:rsidRPr="00E51CDD" w:rsidRDefault="00E51CDD" w:rsidP="00E51CDD">
            <w:pPr>
              <w:widowControl w:val="0"/>
              <w:jc w:val="both"/>
              <w:rPr>
                <w:rFonts w:eastAsia="Batang"/>
                <w:lang w:val="en-GB"/>
              </w:rPr>
            </w:pPr>
            <w:r w:rsidRPr="00E51CDD">
              <w:rPr>
                <w:lang w:val="en-GB"/>
              </w:rP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9A051A" w14:textId="2BFB3873" w:rsidR="00E51CDD" w:rsidRPr="00E51CDD" w:rsidRDefault="000838AD" w:rsidP="00E51CDD">
            <w:pPr>
              <w:widowControl w:val="0"/>
              <w:ind w:left="85"/>
              <w:jc w:val="both"/>
              <w:rPr>
                <w:rFonts w:eastAsia="Batang"/>
                <w:lang w:val="en-GB"/>
              </w:rPr>
            </w:pPr>
            <w:r>
              <w:rPr>
                <w:rFonts w:eastAsia="Batang"/>
              </w:rPr>
              <w:t>Study not evaluated.</w:t>
            </w:r>
          </w:p>
        </w:tc>
      </w:tr>
    </w:tbl>
    <w:p w14:paraId="3785196F" w14:textId="77777777" w:rsidR="00E51CDD" w:rsidRP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rsidRPr="00E51CDD" w14:paraId="3F37306A" w14:textId="77777777" w:rsidTr="009938D9">
        <w:trPr>
          <w:gridAfter w:val="1"/>
          <w:wAfter w:w="9" w:type="pct"/>
        </w:trPr>
        <w:tc>
          <w:tcPr>
            <w:tcW w:w="1340" w:type="pct"/>
            <w:hideMark/>
          </w:tcPr>
          <w:p w14:paraId="082D9177" w14:textId="77777777" w:rsidR="00E51CDD" w:rsidRPr="00E51CDD" w:rsidRDefault="00E51CDD" w:rsidP="00E51CDD">
            <w:pPr>
              <w:widowControl w:val="0"/>
              <w:jc w:val="both"/>
              <w:rPr>
                <w:lang w:val="de-DE"/>
              </w:rPr>
            </w:pPr>
            <w:r w:rsidRPr="00E51CDD">
              <w:rPr>
                <w:lang w:val="en-GB"/>
              </w:rPr>
              <w:t>Reference:</w:t>
            </w:r>
          </w:p>
        </w:tc>
        <w:tc>
          <w:tcPr>
            <w:tcW w:w="3651" w:type="pct"/>
            <w:hideMark/>
          </w:tcPr>
          <w:p w14:paraId="57324969" w14:textId="77777777" w:rsidR="00E51CDD" w:rsidRPr="00E51CDD" w:rsidRDefault="00E51CDD" w:rsidP="00E51CDD">
            <w:pPr>
              <w:widowControl w:val="0"/>
              <w:jc w:val="both"/>
              <w:rPr>
                <w:lang w:val="en-GB"/>
              </w:rPr>
            </w:pPr>
            <w:r w:rsidRPr="00E51CDD">
              <w:rPr>
                <w:lang w:val="en-GB"/>
              </w:rPr>
              <w:t>CP 10.4.2.1/2</w:t>
            </w:r>
          </w:p>
        </w:tc>
      </w:tr>
      <w:tr w:rsidR="00E51CDD" w:rsidRPr="00E51CDD" w14:paraId="404C5816" w14:textId="77777777" w:rsidTr="009938D9">
        <w:trPr>
          <w:gridAfter w:val="1"/>
          <w:wAfter w:w="9" w:type="pct"/>
        </w:trPr>
        <w:tc>
          <w:tcPr>
            <w:tcW w:w="1340" w:type="pct"/>
            <w:hideMark/>
          </w:tcPr>
          <w:p w14:paraId="4349223B" w14:textId="77777777" w:rsidR="00E51CDD" w:rsidRPr="00E51CDD" w:rsidRDefault="00E51CDD" w:rsidP="00E51CDD">
            <w:pPr>
              <w:widowControl w:val="0"/>
              <w:spacing w:after="120"/>
              <w:jc w:val="both"/>
              <w:rPr>
                <w:lang w:val="en-GB"/>
              </w:rPr>
            </w:pPr>
            <w:r w:rsidRPr="00E51CDD">
              <w:rPr>
                <w:lang w:val="en-GB"/>
              </w:rPr>
              <w:t>Report</w:t>
            </w:r>
          </w:p>
        </w:tc>
        <w:tc>
          <w:tcPr>
            <w:tcW w:w="3651" w:type="pct"/>
            <w:hideMark/>
          </w:tcPr>
          <w:p w14:paraId="67B31576" w14:textId="77777777" w:rsidR="00E51CDD" w:rsidRPr="00E51CDD" w:rsidRDefault="00E51CDD" w:rsidP="00E51CDD">
            <w:pPr>
              <w:widowControl w:val="0"/>
              <w:spacing w:after="120"/>
              <w:jc w:val="both"/>
            </w:pPr>
            <w:r w:rsidRPr="00E51CDD">
              <w:t>Effects of BAS 700 F (Fluxapyroxad) on the reproduction of the predatory mite Hypoaspis aculeifer,</w:t>
            </w:r>
          </w:p>
          <w:p w14:paraId="5C4B3C83" w14:textId="77777777" w:rsidR="00E51CDD" w:rsidRPr="00E51CDD" w:rsidRDefault="00E51CDD" w:rsidP="00E51CDD">
            <w:pPr>
              <w:widowControl w:val="0"/>
              <w:spacing w:after="120"/>
              <w:jc w:val="both"/>
            </w:pPr>
            <w:r w:rsidRPr="00E51CDD">
              <w:t>Schulz, L., 2016</w:t>
            </w:r>
          </w:p>
          <w:p w14:paraId="4D5D55F7" w14:textId="77777777" w:rsidR="00E51CDD" w:rsidRPr="00E51CDD" w:rsidRDefault="00E51CDD" w:rsidP="00E51CDD">
            <w:pPr>
              <w:widowControl w:val="0"/>
              <w:spacing w:after="120"/>
              <w:jc w:val="both"/>
            </w:pPr>
            <w:r w:rsidRPr="00E51CDD">
              <w:t>report No EU-799167,16 10 48 229 S</w:t>
            </w:r>
          </w:p>
          <w:p w14:paraId="10B7BF8C" w14:textId="77777777" w:rsidR="00E51CDD" w:rsidRPr="00E51CDD" w:rsidRDefault="00E51CDD" w:rsidP="00E51CDD">
            <w:pPr>
              <w:widowControl w:val="0"/>
              <w:spacing w:after="120"/>
              <w:jc w:val="both"/>
              <w:rPr>
                <w:lang w:val="en-GB"/>
              </w:rPr>
            </w:pPr>
            <w:r w:rsidRPr="00E51CDD">
              <w:t>2016/1122885</w:t>
            </w:r>
          </w:p>
          <w:p w14:paraId="743C1707" w14:textId="77777777" w:rsidR="00E51CDD" w:rsidRPr="00E51CDD" w:rsidRDefault="00E51CDD" w:rsidP="00E51CDD">
            <w:pPr>
              <w:widowControl w:val="0"/>
              <w:jc w:val="both"/>
              <w:rPr>
                <w:lang w:val="en-GB"/>
              </w:rPr>
            </w:pPr>
            <w:r w:rsidRPr="00E51CDD">
              <w:rPr>
                <w:lang w:val="en-GB"/>
              </w:rPr>
              <w:t>Authority registration No</w:t>
            </w:r>
          </w:p>
        </w:tc>
      </w:tr>
      <w:tr w:rsidR="00E51CDD" w:rsidRPr="00E51CDD" w14:paraId="6A64D3BB" w14:textId="77777777" w:rsidTr="009938D9">
        <w:trPr>
          <w:gridAfter w:val="1"/>
          <w:wAfter w:w="9" w:type="pct"/>
        </w:trPr>
        <w:tc>
          <w:tcPr>
            <w:tcW w:w="1340" w:type="pct"/>
            <w:hideMark/>
          </w:tcPr>
          <w:p w14:paraId="4BDC173D" w14:textId="77777777" w:rsidR="00E51CDD" w:rsidRPr="00E51CDD" w:rsidRDefault="00E51CDD" w:rsidP="00E51CDD">
            <w:pPr>
              <w:widowControl w:val="0"/>
              <w:jc w:val="both"/>
              <w:rPr>
                <w:lang w:val="en-GB"/>
              </w:rPr>
            </w:pPr>
            <w:r w:rsidRPr="00E51CDD">
              <w:rPr>
                <w:lang w:val="en-GB"/>
              </w:rPr>
              <w:t>Guideline(s):</w:t>
            </w:r>
          </w:p>
        </w:tc>
        <w:tc>
          <w:tcPr>
            <w:tcW w:w="3651" w:type="pct"/>
            <w:hideMark/>
          </w:tcPr>
          <w:p w14:paraId="5574516E" w14:textId="77777777" w:rsidR="00E51CDD" w:rsidRPr="00E51CDD" w:rsidRDefault="00E51CDD" w:rsidP="00E51CDD">
            <w:pPr>
              <w:widowControl w:val="0"/>
              <w:spacing w:after="120"/>
              <w:jc w:val="both"/>
              <w:rPr>
                <w:lang w:val="en-GB"/>
              </w:rPr>
            </w:pPr>
            <w:r w:rsidRPr="00E51CDD">
              <w:t>OECD 226 (2008)</w:t>
            </w:r>
            <w:r w:rsidRPr="00E51CDD">
              <w:rPr>
                <w:lang w:val="en-GB"/>
              </w:rPr>
              <w:t xml:space="preserve"> </w:t>
            </w:r>
          </w:p>
        </w:tc>
      </w:tr>
      <w:tr w:rsidR="00E51CDD" w:rsidRPr="00E51CDD" w14:paraId="36AAFF6E" w14:textId="77777777" w:rsidTr="009938D9">
        <w:trPr>
          <w:gridAfter w:val="1"/>
          <w:wAfter w:w="9" w:type="pct"/>
        </w:trPr>
        <w:tc>
          <w:tcPr>
            <w:tcW w:w="1340" w:type="pct"/>
            <w:hideMark/>
          </w:tcPr>
          <w:p w14:paraId="391BA6EB" w14:textId="77777777" w:rsidR="00E51CDD" w:rsidRPr="00E51CDD" w:rsidRDefault="00E51CDD" w:rsidP="00E51CDD">
            <w:pPr>
              <w:widowControl w:val="0"/>
              <w:jc w:val="both"/>
              <w:rPr>
                <w:lang w:val="en-GB"/>
              </w:rPr>
            </w:pPr>
            <w:r w:rsidRPr="00E51CDD">
              <w:rPr>
                <w:lang w:val="en-GB"/>
              </w:rPr>
              <w:t>Deviations:</w:t>
            </w:r>
          </w:p>
        </w:tc>
        <w:tc>
          <w:tcPr>
            <w:tcW w:w="3651" w:type="pct"/>
            <w:hideMark/>
          </w:tcPr>
          <w:p w14:paraId="74DF541E" w14:textId="77777777" w:rsidR="00E51CDD" w:rsidRPr="00E51CDD" w:rsidRDefault="00E51CDD" w:rsidP="00E51CDD">
            <w:pPr>
              <w:widowControl w:val="0"/>
              <w:spacing w:after="120"/>
              <w:jc w:val="both"/>
              <w:rPr>
                <w:lang w:val="en-GB"/>
              </w:rPr>
            </w:pPr>
            <w:r w:rsidRPr="00E51CDD">
              <w:rPr>
                <w:lang w:val="en-GB"/>
              </w:rPr>
              <w:t>No</w:t>
            </w:r>
          </w:p>
        </w:tc>
      </w:tr>
      <w:tr w:rsidR="00E51CDD" w:rsidRPr="00662F32" w14:paraId="3240B440" w14:textId="77777777" w:rsidTr="009938D9">
        <w:tc>
          <w:tcPr>
            <w:tcW w:w="1340" w:type="pct"/>
            <w:hideMark/>
          </w:tcPr>
          <w:p w14:paraId="5915F49A" w14:textId="77777777" w:rsidR="00E51CDD" w:rsidRPr="00E51CDD" w:rsidRDefault="00E51CDD" w:rsidP="00E51CDD">
            <w:pPr>
              <w:widowControl w:val="0"/>
              <w:jc w:val="both"/>
              <w:rPr>
                <w:lang w:val="en-GB"/>
              </w:rPr>
            </w:pPr>
            <w:r w:rsidRPr="00E51CDD">
              <w:rPr>
                <w:lang w:val="en-GB"/>
              </w:rPr>
              <w:t>GLP:</w:t>
            </w:r>
          </w:p>
        </w:tc>
        <w:tc>
          <w:tcPr>
            <w:tcW w:w="3660" w:type="pct"/>
            <w:gridSpan w:val="2"/>
            <w:hideMark/>
          </w:tcPr>
          <w:p w14:paraId="3A55A963" w14:textId="77777777" w:rsidR="00E51CDD" w:rsidRPr="00E51CDD" w:rsidRDefault="00E51CDD" w:rsidP="00E51CDD">
            <w:pPr>
              <w:tabs>
                <w:tab w:val="left" w:pos="425"/>
                <w:tab w:val="left" w:pos="850"/>
              </w:tabs>
              <w:spacing w:after="120"/>
              <w:ind w:left="1985" w:hanging="1985"/>
              <w:rPr>
                <w:b/>
                <w:lang w:val="de-DE"/>
              </w:rPr>
            </w:pPr>
            <w:r w:rsidRPr="00E51CDD">
              <w:rPr>
                <w:lang w:val="de-DE"/>
              </w:rPr>
              <w:t>yes</w:t>
            </w:r>
          </w:p>
          <w:p w14:paraId="035014F5" w14:textId="77777777" w:rsidR="00E51CDD" w:rsidRPr="00E51CDD" w:rsidRDefault="00E51CDD" w:rsidP="00E51CDD">
            <w:pPr>
              <w:widowControl w:val="0"/>
              <w:spacing w:after="120"/>
              <w:rPr>
                <w:lang w:val="de-DE"/>
              </w:rPr>
            </w:pPr>
            <w:r w:rsidRPr="00E51CDD">
              <w:rPr>
                <w:lang w:val="de-DE"/>
              </w:rPr>
              <w:t xml:space="preserve">(certified by Saechsisches Staatsministerium fuer Umwelt und Landwirtschaft, Dresden, Germany), </w:t>
            </w:r>
          </w:p>
        </w:tc>
      </w:tr>
      <w:tr w:rsidR="00E51CDD" w:rsidRPr="00E51CDD" w14:paraId="6E8853FC" w14:textId="77777777" w:rsidTr="009938D9">
        <w:trPr>
          <w:gridAfter w:val="1"/>
          <w:wAfter w:w="9" w:type="pct"/>
        </w:trPr>
        <w:tc>
          <w:tcPr>
            <w:tcW w:w="1340" w:type="pct"/>
            <w:hideMark/>
          </w:tcPr>
          <w:p w14:paraId="774FCC66" w14:textId="77777777" w:rsidR="00E51CDD" w:rsidRPr="00E51CDD" w:rsidRDefault="00E51CDD" w:rsidP="00E51CDD">
            <w:pPr>
              <w:widowControl w:val="0"/>
              <w:jc w:val="both"/>
              <w:rPr>
                <w:lang w:val="de-DE"/>
              </w:rPr>
            </w:pPr>
            <w:r w:rsidRPr="00E51CDD">
              <w:rPr>
                <w:lang w:val="en-GB"/>
              </w:rPr>
              <w:t>Acceptability:</w:t>
            </w:r>
          </w:p>
        </w:tc>
        <w:tc>
          <w:tcPr>
            <w:tcW w:w="3651" w:type="pct"/>
            <w:hideMark/>
          </w:tcPr>
          <w:p w14:paraId="4B614B08" w14:textId="77777777" w:rsidR="00E51CDD" w:rsidRPr="00E51CDD" w:rsidRDefault="00E51CDD" w:rsidP="00E51CDD">
            <w:pPr>
              <w:widowControl w:val="0"/>
              <w:jc w:val="both"/>
              <w:rPr>
                <w:lang w:val="en-GB"/>
              </w:rPr>
            </w:pPr>
            <w:r w:rsidRPr="00E51CDD">
              <w:rPr>
                <w:lang w:val="en-GB"/>
              </w:rPr>
              <w:t xml:space="preserve">Yes </w:t>
            </w:r>
          </w:p>
        </w:tc>
      </w:tr>
      <w:tr w:rsidR="00E51CDD" w:rsidRPr="00E51CDD" w14:paraId="473B64B6" w14:textId="77777777" w:rsidTr="009938D9">
        <w:trPr>
          <w:gridAfter w:val="1"/>
          <w:wAfter w:w="9" w:type="pct"/>
        </w:trPr>
        <w:tc>
          <w:tcPr>
            <w:tcW w:w="1340" w:type="pct"/>
            <w:hideMark/>
          </w:tcPr>
          <w:p w14:paraId="7F0AE1D4" w14:textId="77777777" w:rsidR="00E51CDD" w:rsidRPr="00E51CDD" w:rsidRDefault="00E51CDD" w:rsidP="00E51CDD">
            <w:pPr>
              <w:widowControl w:val="0"/>
              <w:jc w:val="both"/>
              <w:rPr>
                <w:lang w:val="en-GB"/>
              </w:rPr>
            </w:pPr>
            <w:r w:rsidRPr="00E51CDD">
              <w:rPr>
                <w:lang w:val="en-GB"/>
              </w:rPr>
              <w:t xml:space="preserve">Duplication </w:t>
            </w:r>
            <w:r w:rsidRPr="00E51CDD">
              <w:rPr>
                <w:lang w:val="en-GB"/>
              </w:rPr>
              <w:br/>
              <w:t>(if vertebrate study)</w:t>
            </w:r>
          </w:p>
        </w:tc>
        <w:tc>
          <w:tcPr>
            <w:tcW w:w="3651" w:type="pct"/>
            <w:hideMark/>
          </w:tcPr>
          <w:p w14:paraId="5F8688CF" w14:textId="77777777" w:rsidR="00E51CDD" w:rsidRPr="00E51CDD" w:rsidRDefault="00E51CDD" w:rsidP="00E51CDD">
            <w:pPr>
              <w:widowControl w:val="0"/>
              <w:spacing w:after="120"/>
              <w:jc w:val="both"/>
              <w:rPr>
                <w:highlight w:val="yellow"/>
                <w:lang w:val="en-GB"/>
              </w:rPr>
            </w:pPr>
            <w:r w:rsidRPr="00E51CDD">
              <w:rPr>
                <w:lang w:val="en-GB"/>
              </w:rPr>
              <w:t>No</w:t>
            </w:r>
          </w:p>
        </w:tc>
      </w:tr>
    </w:tbl>
    <w:p w14:paraId="4C936917" w14:textId="77777777" w:rsidR="00E51CDD" w:rsidRPr="00E51CDD" w:rsidRDefault="00E51CDD" w:rsidP="00E51CDD">
      <w:pPr>
        <w:widowControl w:val="0"/>
        <w:jc w:val="both"/>
      </w:pPr>
    </w:p>
    <w:p w14:paraId="4E33826D" w14:textId="77777777" w:rsidR="00E51CDD" w:rsidRPr="00E51CDD" w:rsidRDefault="00E51CDD" w:rsidP="00E51CDD">
      <w:pPr>
        <w:widowControl w:val="0"/>
        <w:jc w:val="both"/>
      </w:pPr>
    </w:p>
    <w:p w14:paraId="291F7F18" w14:textId="77777777" w:rsidR="00E51CDD" w:rsidRPr="00E51CDD" w:rsidRDefault="00E51CDD" w:rsidP="00E51CDD">
      <w:pPr>
        <w:widowControl w:val="0"/>
        <w:jc w:val="both"/>
        <w:rPr>
          <w:lang w:val="en-GB"/>
        </w:rPr>
      </w:pPr>
      <w:r w:rsidRPr="00E51CDD">
        <w:rPr>
          <w:b/>
          <w:bCs/>
        </w:rPr>
        <w:t>Executive Summary</w:t>
      </w:r>
    </w:p>
    <w:p w14:paraId="385B79FC" w14:textId="77777777" w:rsidR="00E51CDD" w:rsidRPr="00E51CDD" w:rsidRDefault="00E51CDD" w:rsidP="00E51CDD">
      <w:pPr>
        <w:widowControl w:val="0"/>
        <w:jc w:val="both"/>
        <w:rPr>
          <w:bCs/>
        </w:rPr>
      </w:pPr>
    </w:p>
    <w:p w14:paraId="28639037" w14:textId="77777777" w:rsidR="00E51CDD" w:rsidRPr="00E51CDD" w:rsidRDefault="00E51CDD" w:rsidP="00E51CDD">
      <w:pPr>
        <w:widowControl w:val="0"/>
        <w:jc w:val="both"/>
      </w:pPr>
      <w:r w:rsidRPr="00E51CDD">
        <w:t xml:space="preserve">The effects of BAS 700 F on mortality and reproduction of the soil mite </w:t>
      </w:r>
      <w:r w:rsidRPr="00E51CDD">
        <w:rPr>
          <w:i/>
        </w:rPr>
        <w:t>Hypoaspis aculeifer</w:t>
      </w:r>
      <w:r w:rsidRPr="00E51CDD">
        <w:t xml:space="preserve"> were investigated in a chronic laboratory study over 14 days. Eight concentrations (16.3, 29.4, 52.9, 95.3, 171.5, 308.7, 555.6 and 1000 mg BAS 700 F/kg dry soil) were incorporated into the soil.</w:t>
      </w:r>
      <w:r w:rsidRPr="00E51CDD">
        <w:rPr>
          <w:rFonts w:ascii="Arial" w:hAnsi="Arial" w:cs="Arial"/>
          <w:sz w:val="20"/>
          <w:szCs w:val="20"/>
          <w:lang w:eastAsia="zh-CN"/>
        </w:rPr>
        <w:t xml:space="preserve"> </w:t>
      </w:r>
      <w:r w:rsidRPr="00E51CDD">
        <w:t>For the solvent control, 5 mL acetone was added, but otherwise the soil was left untreated. Eight replicates and 4 replicates were prepared for the solvent control and test item treatment groups, respectively, each containing 10 adult soil mites (females). Assessment of adult mortality and reproduction effects was carried out after 14 days of exposure.</w:t>
      </w:r>
    </w:p>
    <w:p w14:paraId="0EA05564" w14:textId="77777777" w:rsidR="00E51CDD" w:rsidRPr="00E51CDD" w:rsidRDefault="00E51CDD" w:rsidP="00E51CDD">
      <w:pPr>
        <w:widowControl w:val="0"/>
        <w:jc w:val="both"/>
      </w:pPr>
    </w:p>
    <w:p w14:paraId="37F894C7" w14:textId="77777777" w:rsidR="00E51CDD" w:rsidRPr="00E51CDD" w:rsidRDefault="00E51CDD" w:rsidP="00E51CDD">
      <w:pPr>
        <w:widowControl w:val="0"/>
        <w:jc w:val="both"/>
        <w:rPr>
          <w:rFonts w:eastAsiaTheme="minorEastAsia"/>
          <w:lang w:eastAsia="zh-CN"/>
        </w:rPr>
      </w:pPr>
      <w:r w:rsidRPr="00E51CDD">
        <w:rPr>
          <w:rFonts w:eastAsiaTheme="minorEastAsia"/>
          <w:lang w:eastAsia="zh-CN"/>
        </w:rPr>
        <w:t>Mortality rates of 0.0% - 5.0% were recorded in the test item treatment groups. In the solvent control group, the mortality rate was 6.3%. The observed mortality rates for adult mortality in the test item treatment groups compared to solvent control were not statistically significant. Differences in behavior and morphology of the mites between the solvent control and the test item treatment groups could not be observed. Reproduction rates in the 16.3, 29.4, 52.9, 95.3, 171.5, 308.7, 555.6 and 1000 mg BAS 700 F/kg dry soil were 309.8, 263.3, 276.5, 272.5, 276.8, 284.0, 298.8 and 299.3 juveniles, respectively. The mean reproduction in the solvent control reached 301.4 juveniles. The test item showed no statistically significantly adverse effects on reproduction at all tested concentrations compared to solvent control.</w:t>
      </w:r>
    </w:p>
    <w:p w14:paraId="567059A7" w14:textId="77777777" w:rsidR="00E51CDD" w:rsidRPr="00E51CDD" w:rsidRDefault="00E51CDD" w:rsidP="00E51CDD">
      <w:pPr>
        <w:widowControl w:val="0"/>
        <w:jc w:val="both"/>
      </w:pPr>
    </w:p>
    <w:p w14:paraId="2F2C40D3" w14:textId="77777777" w:rsidR="00E51CDD" w:rsidRPr="00E51CDD" w:rsidRDefault="00E51CDD" w:rsidP="00E51CDD">
      <w:pPr>
        <w:autoSpaceDE w:val="0"/>
        <w:autoSpaceDN w:val="0"/>
        <w:adjustRightInd w:val="0"/>
        <w:jc w:val="both"/>
        <w:rPr>
          <w:rFonts w:eastAsia="Arial,Bold"/>
          <w:b/>
          <w:bCs/>
          <w:lang w:eastAsia="zh-CN"/>
        </w:rPr>
      </w:pPr>
      <w:r w:rsidRPr="00E51CDD">
        <w:rPr>
          <w:rFonts w:eastAsia="Arial,Bold"/>
          <w:b/>
          <w:bCs/>
          <w:lang w:eastAsia="zh-CN"/>
        </w:rPr>
        <w:t xml:space="preserve">In a 14-day </w:t>
      </w:r>
      <w:r w:rsidRPr="00E51CDD">
        <w:rPr>
          <w:rFonts w:eastAsia="Arial,Bold"/>
          <w:b/>
          <w:bCs/>
          <w:i/>
          <w:iCs/>
          <w:lang w:eastAsia="zh-CN"/>
        </w:rPr>
        <w:t xml:space="preserve">Hypoaspis aculeifer </w:t>
      </w:r>
      <w:r w:rsidRPr="00E51CDD">
        <w:rPr>
          <w:rFonts w:eastAsia="Arial,Bold"/>
          <w:b/>
          <w:bCs/>
          <w:lang w:eastAsia="zh-CN"/>
        </w:rPr>
        <w:t>reproduction study with BAS 700 F, the LC</w:t>
      </w:r>
      <w:r w:rsidRPr="00E51CDD">
        <w:rPr>
          <w:rFonts w:eastAsia="Arial,Bold"/>
          <w:b/>
          <w:bCs/>
          <w:vertAlign w:val="subscript"/>
          <w:lang w:eastAsia="zh-CN"/>
        </w:rPr>
        <w:t>50</w:t>
      </w:r>
      <w:r w:rsidRPr="00E51CDD">
        <w:rPr>
          <w:rFonts w:eastAsia="Arial,Bold"/>
          <w:b/>
          <w:bCs/>
          <w:lang w:eastAsia="zh-CN"/>
        </w:rPr>
        <w:t>, EC</w:t>
      </w:r>
      <w:r w:rsidRPr="00E51CDD">
        <w:rPr>
          <w:rFonts w:eastAsia="Arial,Bold"/>
          <w:b/>
          <w:bCs/>
          <w:vertAlign w:val="subscript"/>
          <w:lang w:eastAsia="zh-CN"/>
        </w:rPr>
        <w:t>10</w:t>
      </w:r>
      <w:r w:rsidRPr="00E51CDD">
        <w:rPr>
          <w:rFonts w:eastAsia="Arial,Bold"/>
          <w:b/>
          <w:bCs/>
          <w:lang w:eastAsia="zh-CN"/>
        </w:rPr>
        <w:t>, EC</w:t>
      </w:r>
      <w:r w:rsidRPr="00E51CDD">
        <w:rPr>
          <w:rFonts w:eastAsia="Arial,Bold"/>
          <w:b/>
          <w:bCs/>
          <w:vertAlign w:val="subscript"/>
          <w:lang w:eastAsia="zh-CN"/>
        </w:rPr>
        <w:t>20</w:t>
      </w:r>
      <w:r w:rsidRPr="00E51CDD">
        <w:rPr>
          <w:rFonts w:eastAsia="Arial,Bold"/>
          <w:b/>
          <w:bCs/>
          <w:lang w:eastAsia="zh-CN"/>
        </w:rPr>
        <w:t xml:space="preserve"> and EC</w:t>
      </w:r>
      <w:r w:rsidRPr="00E51CDD">
        <w:rPr>
          <w:rFonts w:eastAsia="Arial,Bold"/>
          <w:b/>
          <w:bCs/>
          <w:vertAlign w:val="subscript"/>
          <w:lang w:eastAsia="zh-CN"/>
        </w:rPr>
        <w:t>50</w:t>
      </w:r>
      <w:r w:rsidRPr="00E51CDD">
        <w:rPr>
          <w:rFonts w:eastAsia="Arial,Bold"/>
          <w:b/>
          <w:bCs/>
          <w:lang w:eastAsia="zh-CN"/>
        </w:rPr>
        <w:t xml:space="preserve"> are estimated to be higher than 1000 mg </w:t>
      </w:r>
      <w:r w:rsidRPr="00E51CDD">
        <w:rPr>
          <w:b/>
        </w:rPr>
        <w:t>BAS 700 F</w:t>
      </w:r>
      <w:r w:rsidRPr="00E51CDD">
        <w:rPr>
          <w:rFonts w:eastAsia="Arial,Bold"/>
          <w:b/>
          <w:bCs/>
          <w:lang w:eastAsia="zh-CN"/>
        </w:rPr>
        <w:t>/kg dry soil, the highest concentration tested. The NOEC for mortality and for reproduction was determined to be ≥ 1000 mg 700 F/kg dry soil, the highest concentration tested.</w:t>
      </w:r>
    </w:p>
    <w:p w14:paraId="4FBF9A5F" w14:textId="77777777" w:rsidR="00E51CDD" w:rsidRPr="00E51CDD" w:rsidRDefault="00E51CDD" w:rsidP="00E51CDD"/>
    <w:p w14:paraId="0491FF70" w14:textId="77777777" w:rsidR="00E51CDD" w:rsidRPr="00E51CDD" w:rsidRDefault="00E51CDD" w:rsidP="00E51CDD">
      <w:r w:rsidRPr="00E51CDD">
        <w:br w:type="page"/>
      </w:r>
    </w:p>
    <w:p w14:paraId="700125C1" w14:textId="77777777" w:rsidR="00E51CDD" w:rsidRPr="00E51CDD" w:rsidRDefault="00E51CDD" w:rsidP="00E51CDD">
      <w:pPr>
        <w:widowControl w:val="0"/>
        <w:tabs>
          <w:tab w:val="left" w:pos="425"/>
          <w:tab w:val="left" w:pos="850"/>
        </w:tabs>
        <w:ind w:left="2835" w:hanging="2835"/>
        <w:jc w:val="both"/>
        <w:rPr>
          <w:b/>
          <w:bCs/>
        </w:rPr>
      </w:pPr>
      <w:r w:rsidRPr="00E51CDD">
        <w:rPr>
          <w:b/>
          <w:bCs/>
        </w:rPr>
        <w:lastRenderedPageBreak/>
        <w:t>I.</w:t>
      </w:r>
      <w:r w:rsidRPr="00E51CDD">
        <w:rPr>
          <w:b/>
          <w:bCs/>
        </w:rPr>
        <w:tab/>
        <w:t>MATERIALS AND METHODS</w:t>
      </w:r>
    </w:p>
    <w:p w14:paraId="7712548C" w14:textId="77777777" w:rsidR="00E51CDD" w:rsidRPr="00E51CDD" w:rsidRDefault="00E51CDD" w:rsidP="00E51CDD">
      <w:pPr>
        <w:widowControl w:val="0"/>
        <w:jc w:val="both"/>
      </w:pPr>
    </w:p>
    <w:p w14:paraId="15426D62" w14:textId="77777777" w:rsidR="00E51CDD" w:rsidRPr="00E51CDD" w:rsidRDefault="00E51CDD" w:rsidP="00E51CDD">
      <w:pPr>
        <w:widowControl w:val="0"/>
        <w:tabs>
          <w:tab w:val="left" w:pos="425"/>
          <w:tab w:val="left" w:pos="850"/>
        </w:tabs>
        <w:ind w:left="2835" w:hanging="2835"/>
        <w:jc w:val="both"/>
        <w:rPr>
          <w:b/>
          <w:bCs/>
        </w:rPr>
      </w:pPr>
      <w:r w:rsidRPr="00E51CDD">
        <w:rPr>
          <w:b/>
          <w:bCs/>
        </w:rPr>
        <w:t>A.</w:t>
      </w:r>
      <w:r w:rsidRPr="00E51CDD">
        <w:rPr>
          <w:b/>
          <w:bCs/>
        </w:rPr>
        <w:tab/>
        <w:t>MATERIALS</w:t>
      </w:r>
    </w:p>
    <w:p w14:paraId="306AF915" w14:textId="77777777" w:rsidR="00E51CDD" w:rsidRPr="00E51CDD" w:rsidRDefault="00E51CDD" w:rsidP="00E51CDD">
      <w:pPr>
        <w:widowControl w:val="0"/>
        <w:jc w:val="both"/>
      </w:pPr>
    </w:p>
    <w:p w14:paraId="12E2621D" w14:textId="77777777" w:rsidR="00E51CDD" w:rsidRPr="00E51CDD" w:rsidRDefault="00E51CDD" w:rsidP="00E51CDD">
      <w:pPr>
        <w:widowControl w:val="0"/>
        <w:ind w:left="2040" w:hanging="2040"/>
        <w:jc w:val="both"/>
      </w:pPr>
      <w:r w:rsidRPr="00E51CDD">
        <w:rPr>
          <w:rFonts w:eastAsia="PMingLiU"/>
        </w:rPr>
        <w:t>Test item:</w:t>
      </w:r>
      <w:r w:rsidRPr="00E51CDD">
        <w:rPr>
          <w:rFonts w:eastAsia="PMingLiU"/>
        </w:rPr>
        <w:tab/>
      </w:r>
      <w:r w:rsidRPr="00E51CDD">
        <w:t>BAS 700 F (fluxapyroxad); batch no. COD-001466, analyzed purity: 100.0% (± 1.0%).</w:t>
      </w:r>
    </w:p>
    <w:p w14:paraId="11DAB0F4" w14:textId="77777777" w:rsidR="00E51CDD" w:rsidRPr="00E51CDD" w:rsidRDefault="00E51CDD" w:rsidP="00E51CDD">
      <w:pPr>
        <w:widowControl w:val="0"/>
        <w:jc w:val="both"/>
      </w:pPr>
    </w:p>
    <w:p w14:paraId="0DC33FE2" w14:textId="77777777" w:rsidR="00E51CDD" w:rsidRPr="00E51CDD" w:rsidRDefault="00E51CDD" w:rsidP="00E51CDD">
      <w:pPr>
        <w:widowControl w:val="0"/>
        <w:tabs>
          <w:tab w:val="left" w:pos="425"/>
          <w:tab w:val="left" w:pos="850"/>
        </w:tabs>
        <w:ind w:left="2835" w:hanging="2835"/>
        <w:jc w:val="both"/>
        <w:rPr>
          <w:b/>
          <w:bCs/>
        </w:rPr>
      </w:pPr>
      <w:r w:rsidRPr="00E51CDD">
        <w:rPr>
          <w:b/>
          <w:bCs/>
        </w:rPr>
        <w:t>B.</w:t>
      </w:r>
      <w:r w:rsidRPr="00E51CDD">
        <w:rPr>
          <w:b/>
          <w:bCs/>
        </w:rPr>
        <w:tab/>
        <w:t>STUDY DESIGN</w:t>
      </w:r>
    </w:p>
    <w:p w14:paraId="16768045" w14:textId="77777777" w:rsidR="00E51CDD" w:rsidRPr="00E51CDD" w:rsidRDefault="00E51CDD" w:rsidP="00E51CDD">
      <w:pPr>
        <w:widowControl w:val="0"/>
        <w:jc w:val="both"/>
      </w:pPr>
    </w:p>
    <w:p w14:paraId="5B238F43" w14:textId="77777777" w:rsidR="00E51CDD" w:rsidRPr="00E51CDD" w:rsidRDefault="00E51CDD" w:rsidP="00E51CDD">
      <w:pPr>
        <w:widowControl w:val="0"/>
        <w:ind w:left="1985" w:hanging="1985"/>
        <w:jc w:val="both"/>
      </w:pPr>
      <w:r w:rsidRPr="00E51CDD">
        <w:t>Test species:</w:t>
      </w:r>
      <w:r w:rsidRPr="00E51CDD">
        <w:tab/>
        <w:t xml:space="preserve">Predatory soil mites: </w:t>
      </w:r>
      <w:r w:rsidRPr="00E51CDD">
        <w:rPr>
          <w:i/>
        </w:rPr>
        <w:t xml:space="preserve">Hypoaspis aculeifer </w:t>
      </w:r>
      <w:r w:rsidRPr="00E51CDD">
        <w:t>(</w:t>
      </w:r>
      <w:r w:rsidRPr="00E51CDD">
        <w:rPr>
          <w:smallCaps/>
        </w:rPr>
        <w:t>Canestrini</w:t>
      </w:r>
      <w:r w:rsidRPr="00E51CDD">
        <w:rPr>
          <w:i/>
        </w:rPr>
        <w:t>)</w:t>
      </w:r>
      <w:r w:rsidRPr="00E51CDD">
        <w:t>, adult females from a synchronized culture with an age difference of 2 days; source: in-house culture.</w:t>
      </w:r>
    </w:p>
    <w:p w14:paraId="7E3BE004" w14:textId="77777777" w:rsidR="00E51CDD" w:rsidRPr="00E51CDD" w:rsidRDefault="00E51CDD" w:rsidP="00E51CDD">
      <w:pPr>
        <w:widowControl w:val="0"/>
        <w:ind w:left="1985" w:hanging="1985"/>
        <w:jc w:val="both"/>
      </w:pPr>
    </w:p>
    <w:p w14:paraId="5A0E021F" w14:textId="77777777" w:rsidR="00E51CDD" w:rsidRPr="00E51CDD" w:rsidRDefault="00E51CDD" w:rsidP="00E51CDD">
      <w:pPr>
        <w:widowControl w:val="0"/>
        <w:ind w:left="1985" w:hanging="1985"/>
        <w:jc w:val="both"/>
      </w:pPr>
      <w:r w:rsidRPr="00E51CDD">
        <w:t>Test design:</w:t>
      </w:r>
      <w:r w:rsidRPr="00E51CDD">
        <w:tab/>
        <w:t xml:space="preserve">14-day chronic laboratory test in treated artificial soil according to OECD 226. Different concentrations of the test item were mixed homogenously into artificial soil and used to fill glass vessels after which mites were introduced on top of the soil; Nine treatment groups (eight test item concentrations, solvent control); 4 replicates for each test item treatment and 8 replicates for the control group, each containing 10 mites. Feeding of mites with </w:t>
      </w:r>
      <w:r w:rsidRPr="00E51CDD">
        <w:rPr>
          <w:i/>
          <w:iCs/>
        </w:rPr>
        <w:t xml:space="preserve">Tyrophagus putrescentiae </w:t>
      </w:r>
      <w:r w:rsidRPr="00E51CDD">
        <w:t>(</w:t>
      </w:r>
      <w:r w:rsidRPr="00E51CDD">
        <w:rPr>
          <w:smallCaps/>
        </w:rPr>
        <w:t>Schrank</w:t>
      </w:r>
      <w:r w:rsidRPr="00E51CDD">
        <w:t xml:space="preserve">) at the beginning and </w:t>
      </w:r>
      <w:r w:rsidRPr="00E51CDD">
        <w:rPr>
          <w:i/>
          <w:iCs/>
        </w:rPr>
        <w:t xml:space="preserve">ad libitum </w:t>
      </w:r>
      <w:r w:rsidRPr="00E51CDD">
        <w:t xml:space="preserve">during the test. Assessments of adult mortality and reproduction effects were carried out after 14 days of exposure. </w:t>
      </w:r>
    </w:p>
    <w:p w14:paraId="66744516" w14:textId="77777777" w:rsidR="00E51CDD" w:rsidRPr="00E51CDD" w:rsidRDefault="00E51CDD" w:rsidP="00E51CDD">
      <w:pPr>
        <w:widowControl w:val="0"/>
        <w:ind w:left="1985" w:hanging="1985"/>
        <w:jc w:val="both"/>
      </w:pPr>
    </w:p>
    <w:p w14:paraId="158B576E" w14:textId="77777777" w:rsidR="00E51CDD" w:rsidRPr="00E51CDD" w:rsidRDefault="00E51CDD" w:rsidP="00E51CDD">
      <w:pPr>
        <w:widowControl w:val="0"/>
        <w:ind w:left="1985" w:hanging="1985"/>
        <w:jc w:val="both"/>
      </w:pPr>
      <w:r w:rsidRPr="00E51CDD">
        <w:t>Endpoints:</w:t>
      </w:r>
      <w:r w:rsidRPr="00E51CDD">
        <w:tab/>
        <w:t>Mortality, reproduction rate (no. of juveniles) after 14 days of exposure.</w:t>
      </w:r>
    </w:p>
    <w:p w14:paraId="1DA5C2CC" w14:textId="77777777" w:rsidR="00E51CDD" w:rsidRPr="00E51CDD" w:rsidRDefault="00E51CDD" w:rsidP="00E51CDD">
      <w:pPr>
        <w:widowControl w:val="0"/>
        <w:ind w:left="1985" w:hanging="1985"/>
        <w:jc w:val="both"/>
      </w:pPr>
    </w:p>
    <w:p w14:paraId="7B2EC98C" w14:textId="77777777" w:rsidR="00E51CDD" w:rsidRPr="00E51CDD" w:rsidRDefault="00E51CDD" w:rsidP="00E51CDD">
      <w:pPr>
        <w:widowControl w:val="0"/>
        <w:ind w:left="1985" w:hanging="1985"/>
        <w:jc w:val="both"/>
      </w:pPr>
      <w:r w:rsidRPr="00E51CDD">
        <w:t>Reference item:</w:t>
      </w:r>
      <w:r w:rsidRPr="00E51CDD">
        <w:tab/>
        <w:t>Dimethoate (EC 400 g/L nominal). The effects of the reference item were investigated in a separate study.</w:t>
      </w:r>
    </w:p>
    <w:p w14:paraId="4CF6FDF7" w14:textId="77777777" w:rsidR="00E51CDD" w:rsidRPr="00E51CDD" w:rsidRDefault="00E51CDD" w:rsidP="00E51CDD">
      <w:pPr>
        <w:widowControl w:val="0"/>
        <w:ind w:left="1985" w:hanging="1985"/>
        <w:jc w:val="both"/>
      </w:pPr>
    </w:p>
    <w:p w14:paraId="3A79BB2E" w14:textId="77777777" w:rsidR="00E51CDD" w:rsidRPr="00E51CDD" w:rsidRDefault="00E51CDD" w:rsidP="00E51CDD">
      <w:pPr>
        <w:widowControl w:val="0"/>
        <w:ind w:left="1985" w:hanging="1985"/>
        <w:jc w:val="both"/>
        <w:rPr>
          <w:rFonts w:eastAsia="PMingLiU"/>
        </w:rPr>
      </w:pPr>
      <w:r w:rsidRPr="00E51CDD">
        <w:t>Test concentrations:</w:t>
      </w:r>
      <w:r w:rsidRPr="00E51CDD">
        <w:tab/>
        <w:t>Solvent control (acetone); test item: 16.3, 29.4, 52.9, 95.3, 171.5, 308.7, 555.6, 1000 mg BAS 700 F/kg soil dry (spacing factor: 1.8).</w:t>
      </w:r>
    </w:p>
    <w:p w14:paraId="6B0EB45E" w14:textId="77777777" w:rsidR="00E51CDD" w:rsidRPr="00E51CDD" w:rsidRDefault="00E51CDD" w:rsidP="00E51CDD">
      <w:pPr>
        <w:widowControl w:val="0"/>
        <w:jc w:val="both"/>
      </w:pPr>
    </w:p>
    <w:p w14:paraId="2E2A6021" w14:textId="77777777" w:rsidR="00E51CDD" w:rsidRPr="00E51CDD" w:rsidRDefault="00E51CDD" w:rsidP="00E51CDD">
      <w:pPr>
        <w:widowControl w:val="0"/>
        <w:ind w:left="1985" w:hanging="1985"/>
        <w:jc w:val="both"/>
      </w:pPr>
      <w:r w:rsidRPr="00E51CDD">
        <w:t>Test conditions:</w:t>
      </w:r>
      <w:r w:rsidRPr="00E51CDD">
        <w:tab/>
        <w:t>Artificial soil according to OECD 226; pH 5.9 – pH 6.1 at test initiation, pH 5.5 + pH 5.7 at test termination; water content at study initiation 44.61% – 49.17% of maximum water holding capacity (WHC) and 42.37% –45.86% of maximum WHC at test termination; temperature: 19.7 °C – 21.0°C; light conditions: artificial light (Lumilux L58W), intensity: 508 lx, photoperiod: 16 h light : 8 h dark.</w:t>
      </w:r>
    </w:p>
    <w:p w14:paraId="2AB68DB5" w14:textId="77777777" w:rsidR="00E51CDD" w:rsidRPr="00E51CDD" w:rsidRDefault="00E51CDD" w:rsidP="00E51CDD">
      <w:pPr>
        <w:widowControl w:val="0"/>
        <w:ind w:left="1985" w:hanging="1985"/>
        <w:jc w:val="both"/>
      </w:pPr>
    </w:p>
    <w:p w14:paraId="386729AD" w14:textId="77777777" w:rsidR="00E51CDD" w:rsidRPr="00E51CDD" w:rsidRDefault="00E51CDD" w:rsidP="00E51CDD">
      <w:pPr>
        <w:ind w:left="1985" w:hanging="1985"/>
        <w:jc w:val="both"/>
        <w:rPr>
          <w:color w:val="000000"/>
          <w:lang w:eastAsia="en-US"/>
        </w:rPr>
      </w:pPr>
      <w:r w:rsidRPr="00E51CDD">
        <w:rPr>
          <w:color w:val="000000"/>
          <w:lang w:eastAsia="en-US"/>
        </w:rPr>
        <w:t>Analytics:</w:t>
      </w:r>
      <w:r w:rsidRPr="00E51CDD">
        <w:rPr>
          <w:color w:val="000000"/>
          <w:lang w:eastAsia="en-US"/>
        </w:rPr>
        <w:tab/>
      </w:r>
      <w:r w:rsidRPr="00E51CDD">
        <w:rPr>
          <w:lang w:val="en-GB"/>
        </w:rPr>
        <w:t>No analytical verification of the test item is required according to the current test guideline. Hence, no analytical verification was conducted.</w:t>
      </w:r>
    </w:p>
    <w:p w14:paraId="68B6B247" w14:textId="77777777" w:rsidR="00E51CDD" w:rsidRPr="00E51CDD" w:rsidRDefault="00E51CDD" w:rsidP="00E51CDD">
      <w:pPr>
        <w:widowControl w:val="0"/>
        <w:ind w:left="1985" w:hanging="1985"/>
        <w:jc w:val="both"/>
      </w:pPr>
    </w:p>
    <w:p w14:paraId="43E2453B" w14:textId="77777777" w:rsidR="00E51CDD" w:rsidRPr="00E51CDD" w:rsidRDefault="00E51CDD" w:rsidP="00E51CDD">
      <w:pPr>
        <w:widowControl w:val="0"/>
        <w:ind w:left="1985" w:hanging="1985"/>
        <w:jc w:val="both"/>
      </w:pPr>
      <w:r w:rsidRPr="00E51CDD">
        <w:t>Statistics:</w:t>
      </w:r>
      <w:r w:rsidRPr="00E51CDD">
        <w:tab/>
        <w:t xml:space="preserve">Descriptive statistics; Fisher’s Exact Binominal Test with Bonferroni correction for mortality (one-sided greater, </w:t>
      </w:r>
      <w:r w:rsidRPr="00E51CDD">
        <w:rPr>
          <w:lang w:val="de-DE"/>
        </w:rPr>
        <w:sym w:font="Symbol" w:char="F061"/>
      </w:r>
      <w:r w:rsidRPr="00E51CDD">
        <w:t xml:space="preserve"> = 0.05), Dunnett-t-test for reproduction data (one-sided smaller, </w:t>
      </w:r>
      <w:r w:rsidRPr="00E51CDD">
        <w:rPr>
          <w:lang w:val="de-DE"/>
        </w:rPr>
        <w:sym w:font="Symbol" w:char="F061"/>
      </w:r>
      <w:r w:rsidRPr="00E51CDD">
        <w:t> = 0.05).</w:t>
      </w:r>
    </w:p>
    <w:p w14:paraId="5A86B070" w14:textId="77777777" w:rsidR="00E51CDD" w:rsidRPr="00E51CDD" w:rsidRDefault="00E51CDD" w:rsidP="00E51CDD">
      <w:pPr>
        <w:ind w:left="1985" w:hanging="1985"/>
        <w:jc w:val="both"/>
        <w:rPr>
          <w:color w:val="000000"/>
          <w:lang w:eastAsia="en-US"/>
        </w:rPr>
      </w:pPr>
    </w:p>
    <w:p w14:paraId="7C2BA7E1" w14:textId="77777777" w:rsidR="00E51CDD" w:rsidRPr="00E51CDD" w:rsidRDefault="00E51CDD" w:rsidP="00E51CDD">
      <w:pPr>
        <w:ind w:left="1985" w:hanging="1985"/>
        <w:jc w:val="both"/>
        <w:rPr>
          <w:color w:val="000000"/>
          <w:lang w:eastAsia="en-US"/>
        </w:rPr>
      </w:pPr>
      <w:r w:rsidRPr="00E51CDD">
        <w:rPr>
          <w:color w:val="000000"/>
          <w:lang w:eastAsia="en-US"/>
        </w:rPr>
        <w:br w:type="page"/>
      </w:r>
    </w:p>
    <w:p w14:paraId="31D451DC" w14:textId="77777777" w:rsidR="00E51CDD" w:rsidRPr="00E51CDD" w:rsidRDefault="00E51CDD" w:rsidP="00E51CDD">
      <w:pPr>
        <w:widowControl w:val="0"/>
        <w:tabs>
          <w:tab w:val="left" w:pos="425"/>
          <w:tab w:val="left" w:pos="850"/>
        </w:tabs>
        <w:ind w:left="2835" w:hanging="2835"/>
        <w:jc w:val="both"/>
        <w:rPr>
          <w:b/>
          <w:bCs/>
        </w:rPr>
      </w:pPr>
      <w:r w:rsidRPr="00E51CDD">
        <w:rPr>
          <w:b/>
          <w:bCs/>
        </w:rPr>
        <w:lastRenderedPageBreak/>
        <w:t>II.</w:t>
      </w:r>
      <w:r w:rsidRPr="00E51CDD">
        <w:rPr>
          <w:b/>
          <w:bCs/>
        </w:rPr>
        <w:tab/>
        <w:t>RESULTS AND DISCUSSION</w:t>
      </w:r>
    </w:p>
    <w:p w14:paraId="395526C9" w14:textId="77777777" w:rsidR="00E51CDD" w:rsidRPr="00E51CDD" w:rsidRDefault="00E51CDD" w:rsidP="00E51CDD">
      <w:pPr>
        <w:widowControl w:val="0"/>
        <w:jc w:val="both"/>
      </w:pPr>
    </w:p>
    <w:p w14:paraId="12BDB9E6" w14:textId="18C3C51A" w:rsidR="00E51CDD" w:rsidRPr="00E51CDD" w:rsidRDefault="00E51CDD" w:rsidP="00E51CDD">
      <w:pPr>
        <w:autoSpaceDE w:val="0"/>
        <w:autoSpaceDN w:val="0"/>
        <w:adjustRightInd w:val="0"/>
        <w:jc w:val="both"/>
      </w:pPr>
      <w:r w:rsidRPr="00E51CDD">
        <w:rPr>
          <w:rFonts w:eastAsiaTheme="minorEastAsia"/>
          <w:lang w:eastAsia="zh-CN"/>
        </w:rPr>
        <w:t xml:space="preserve">Mortality rates of 0.0% - 5.0% were recorded in the test item treatment groups. In the solvent control group, the mortality rate was 6.3%. The observed mortality rates for adult mortality in the test item treatment groups compared to solvent control were not statistically significant (Fisher’s Exact Binomial Test with Bonferroni correction, </w:t>
      </w:r>
      <w:r w:rsidRPr="00E51CDD">
        <w:rPr>
          <w:rFonts w:eastAsiaTheme="minorEastAsia"/>
          <w:lang w:val="de-DE" w:eastAsia="zh-CN"/>
        </w:rPr>
        <w:t>α</w:t>
      </w:r>
      <w:r w:rsidRPr="00E51CDD">
        <w:rPr>
          <w:rFonts w:eastAsiaTheme="minorEastAsia"/>
          <w:lang w:eastAsia="zh-CN"/>
        </w:rPr>
        <w:t xml:space="preserve"> = 0.05, one-sided greater). Differences in behavior and morphology of the mites between the solvent control and the test item treatment groups could not be observed. Reproduction rates in the 16.3, 29.4, 52.9, 95.3, 171.5, 308.7, 555.6 and 1000 mg BAS 700 F/kg dry soil were 309.8, 263.3, 276.5, 272.5, 276.8, 284.0, 298.8 and 299.3 juveniles, respectively. The mean reproduction in the solvent control reached 301.4 juveniles. The test item showed no statistically significantly adverse effects on reproduction at all tested concentrations compared to solvent control (Dunnett-t-test, </w:t>
      </w:r>
      <w:r w:rsidRPr="00E51CDD">
        <w:rPr>
          <w:rFonts w:eastAsiaTheme="minorEastAsia"/>
          <w:lang w:val="de-DE" w:eastAsia="zh-CN"/>
        </w:rPr>
        <w:t>α</w:t>
      </w:r>
      <w:r w:rsidRPr="00E51CDD">
        <w:rPr>
          <w:rFonts w:eastAsiaTheme="minorEastAsia"/>
          <w:lang w:eastAsia="zh-CN"/>
        </w:rPr>
        <w:t xml:space="preserve"> = 0.05, one-sided smaller</w:t>
      </w:r>
      <w:r w:rsidRPr="00E51CDD">
        <w:t xml:space="preserve">. The results are summarized in </w:t>
      </w:r>
      <w:r w:rsidRPr="00C5395F">
        <w:rPr>
          <w:lang w:val="de-DE"/>
        </w:rPr>
        <w:fldChar w:fldCharType="begin"/>
      </w:r>
      <w:r w:rsidRPr="00C5395F">
        <w:instrText xml:space="preserve"> REF _Ref83889876 \h </w:instrText>
      </w:r>
      <w:r w:rsidR="00C5395F" w:rsidRPr="00843A50">
        <w:instrText xml:space="preserve"> \* MERGEFORMAT </w:instrText>
      </w:r>
      <w:r w:rsidRPr="00C5395F">
        <w:rPr>
          <w:lang w:val="de-DE"/>
        </w:rPr>
      </w:r>
      <w:r w:rsidRPr="00C5395F">
        <w:rPr>
          <w:lang w:val="de-DE"/>
        </w:rPr>
        <w:fldChar w:fldCharType="separate"/>
      </w:r>
      <w:r w:rsidR="00662F32" w:rsidRPr="00662F32">
        <w:t xml:space="preserve">Table A </w:t>
      </w:r>
      <w:r w:rsidR="00662F32" w:rsidRPr="00662F32">
        <w:rPr>
          <w:noProof/>
        </w:rPr>
        <w:t>34</w:t>
      </w:r>
      <w:r w:rsidRPr="00C5395F">
        <w:rPr>
          <w:lang w:val="de-DE"/>
        </w:rPr>
        <w:fldChar w:fldCharType="end"/>
      </w:r>
      <w:r w:rsidRPr="00C5395F">
        <w:t>.</w:t>
      </w:r>
    </w:p>
    <w:p w14:paraId="13916DF8" w14:textId="77777777" w:rsidR="00E51CDD" w:rsidRPr="00E51CDD" w:rsidRDefault="00E51CDD" w:rsidP="00E51CDD">
      <w:pPr>
        <w:widowControl w:val="0"/>
        <w:tabs>
          <w:tab w:val="left" w:pos="720"/>
        </w:tabs>
        <w:jc w:val="both"/>
      </w:pPr>
    </w:p>
    <w:p w14:paraId="6297339F" w14:textId="26D37934" w:rsidR="00B74DCE" w:rsidRDefault="00E51CDD" w:rsidP="00E51CDD">
      <w:pPr>
        <w:rPr>
          <w:b/>
          <w:bCs/>
        </w:rPr>
      </w:pPr>
      <w:bookmarkStart w:id="1270" w:name="_Ref83889876"/>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34</w:t>
      </w:r>
      <w:r w:rsidRPr="00E51CDD">
        <w:rPr>
          <w:b/>
          <w:bCs/>
        </w:rPr>
        <w:fldChar w:fldCharType="end"/>
      </w:r>
      <w:bookmarkEnd w:id="1270"/>
      <w:r w:rsidRPr="00E51CDD">
        <w:rPr>
          <w:b/>
          <w:bCs/>
        </w:rPr>
        <w:t>:</w:t>
      </w:r>
      <w:r w:rsidRPr="00E51CDD">
        <w:rPr>
          <w:b/>
          <w:bCs/>
        </w:rPr>
        <w:tab/>
        <w:t>Effects of BAS 700 F on predatory mite (</w:t>
      </w:r>
      <w:r w:rsidRPr="00E51CDD">
        <w:rPr>
          <w:b/>
          <w:bCs/>
          <w:i/>
          <w:iCs/>
        </w:rPr>
        <w:t>Hypoaspis aculeifer)</w:t>
      </w:r>
      <w:r w:rsidRPr="00E51CDD">
        <w:rPr>
          <w:b/>
          <w:bCs/>
        </w:rPr>
        <w:t xml:space="preserve"> in a 14-day </w:t>
      </w:r>
    </w:p>
    <w:p w14:paraId="4D348C86" w14:textId="7D34831F" w:rsidR="00E51CDD" w:rsidRPr="00E51CDD" w:rsidRDefault="00E51CDD" w:rsidP="00B74DCE">
      <w:pPr>
        <w:ind w:left="708" w:firstLine="708"/>
      </w:pPr>
      <w:r w:rsidRPr="00E51CDD">
        <w:rPr>
          <w:b/>
          <w:bCs/>
        </w:rPr>
        <w:t>reproduction study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850"/>
        <w:gridCol w:w="799"/>
        <w:gridCol w:w="801"/>
        <w:gridCol w:w="799"/>
        <w:gridCol w:w="800"/>
        <w:gridCol w:w="802"/>
        <w:gridCol w:w="800"/>
        <w:gridCol w:w="800"/>
        <w:gridCol w:w="805"/>
      </w:tblGrid>
      <w:tr w:rsidR="00E51CDD" w:rsidRPr="00E51CDD" w14:paraId="5F020628" w14:textId="77777777" w:rsidTr="009938D9">
        <w:trPr>
          <w:trHeight w:val="555"/>
        </w:trPr>
        <w:tc>
          <w:tcPr>
            <w:tcW w:w="1119" w:type="pct"/>
            <w:tcBorders>
              <w:top w:val="single" w:sz="4" w:space="0" w:color="auto"/>
              <w:left w:val="single" w:sz="4" w:space="0" w:color="auto"/>
              <w:bottom w:val="single" w:sz="4" w:space="0" w:color="auto"/>
              <w:right w:val="single" w:sz="4" w:space="0" w:color="auto"/>
            </w:tcBorders>
            <w:vAlign w:val="center"/>
            <w:hideMark/>
          </w:tcPr>
          <w:p w14:paraId="73FFCAD1" w14:textId="77777777" w:rsidR="00E51CDD" w:rsidRPr="00E51CDD" w:rsidRDefault="00E51CDD" w:rsidP="00E51CDD">
            <w:pPr>
              <w:widowControl w:val="0"/>
              <w:overflowPunct w:val="0"/>
              <w:autoSpaceDE w:val="0"/>
              <w:autoSpaceDN w:val="0"/>
              <w:adjustRightInd w:val="0"/>
              <w:spacing w:before="40" w:after="40"/>
              <w:textAlignment w:val="baseline"/>
              <w:rPr>
                <w:b/>
                <w:bCs/>
                <w:sz w:val="20"/>
                <w:szCs w:val="20"/>
                <w:lang w:eastAsia="zh-CN"/>
              </w:rPr>
            </w:pPr>
            <w:r w:rsidRPr="00E51CDD">
              <w:rPr>
                <w:b/>
                <w:sz w:val="20"/>
                <w:szCs w:val="20"/>
              </w:rPr>
              <w:t>BAS 700 F</w:t>
            </w:r>
            <w:r w:rsidRPr="00E51CDD">
              <w:rPr>
                <w:b/>
                <w:bCs/>
                <w:sz w:val="20"/>
                <w:szCs w:val="20"/>
                <w:lang w:eastAsia="zh-CN"/>
              </w:rPr>
              <w:br/>
              <w:t>[mg/kg dry soil</w:t>
            </w:r>
            <w:r w:rsidRPr="00E51CDD">
              <w:rPr>
                <w:b/>
                <w:bCs/>
                <w:sz w:val="20"/>
                <w:szCs w:val="20"/>
                <w:lang w:val="de-DE" w:eastAsia="zh-CN"/>
              </w:rPr>
              <w:sym w:font="Symbol" w:char="F05D"/>
            </w:r>
          </w:p>
        </w:tc>
        <w:tc>
          <w:tcPr>
            <w:tcW w:w="444" w:type="pct"/>
            <w:tcBorders>
              <w:top w:val="single" w:sz="4" w:space="0" w:color="auto"/>
              <w:left w:val="single" w:sz="4" w:space="0" w:color="auto"/>
              <w:bottom w:val="single" w:sz="4" w:space="0" w:color="auto"/>
              <w:right w:val="single" w:sz="4" w:space="0" w:color="auto"/>
            </w:tcBorders>
            <w:vAlign w:val="center"/>
            <w:hideMark/>
          </w:tcPr>
          <w:p w14:paraId="3714A179" w14:textId="77777777" w:rsidR="00E51CDD" w:rsidRPr="00E51CDD" w:rsidRDefault="00E51CDD" w:rsidP="00E51CDD">
            <w:pPr>
              <w:widowControl w:val="0"/>
              <w:overflowPunct w:val="0"/>
              <w:autoSpaceDE w:val="0"/>
              <w:autoSpaceDN w:val="0"/>
              <w:adjustRightInd w:val="0"/>
              <w:spacing w:before="40" w:after="40"/>
              <w:jc w:val="center"/>
              <w:textAlignment w:val="baseline"/>
              <w:rPr>
                <w:b/>
                <w:bCs/>
                <w:sz w:val="20"/>
                <w:szCs w:val="20"/>
                <w:lang w:val="de-DE" w:eastAsia="zh-CN"/>
              </w:rPr>
            </w:pPr>
            <w:r w:rsidRPr="00E51CDD">
              <w:rPr>
                <w:b/>
                <w:bCs/>
                <w:sz w:val="20"/>
                <w:szCs w:val="20"/>
                <w:lang w:val="de-DE" w:eastAsia="zh-CN"/>
              </w:rPr>
              <w:t>Solvent control</w:t>
            </w:r>
          </w:p>
        </w:tc>
        <w:tc>
          <w:tcPr>
            <w:tcW w:w="429" w:type="pct"/>
            <w:tcBorders>
              <w:top w:val="single" w:sz="4" w:space="0" w:color="auto"/>
              <w:left w:val="single" w:sz="4" w:space="0" w:color="auto"/>
              <w:bottom w:val="single" w:sz="4" w:space="0" w:color="auto"/>
              <w:right w:val="single" w:sz="4" w:space="0" w:color="auto"/>
            </w:tcBorders>
            <w:vAlign w:val="center"/>
            <w:hideMark/>
          </w:tcPr>
          <w:p w14:paraId="2D836803" w14:textId="77777777" w:rsidR="00E51CDD" w:rsidRPr="00E51CDD" w:rsidRDefault="00E51CDD" w:rsidP="00E51CDD">
            <w:pPr>
              <w:widowControl w:val="0"/>
              <w:overflowPunct w:val="0"/>
              <w:autoSpaceDE w:val="0"/>
              <w:autoSpaceDN w:val="0"/>
              <w:adjustRightInd w:val="0"/>
              <w:spacing w:before="40" w:after="40"/>
              <w:jc w:val="center"/>
              <w:textAlignment w:val="baseline"/>
              <w:rPr>
                <w:b/>
                <w:bCs/>
                <w:sz w:val="20"/>
                <w:szCs w:val="20"/>
                <w:lang w:val="de-DE" w:eastAsia="zh-CN"/>
              </w:rPr>
            </w:pPr>
            <w:r w:rsidRPr="00E51CDD">
              <w:rPr>
                <w:b/>
                <w:bCs/>
                <w:sz w:val="20"/>
                <w:szCs w:val="20"/>
                <w:lang w:val="de-DE" w:eastAsia="zh-CN"/>
              </w:rPr>
              <w:t>16.3</w:t>
            </w:r>
          </w:p>
        </w:tc>
        <w:tc>
          <w:tcPr>
            <w:tcW w:w="430" w:type="pct"/>
            <w:tcBorders>
              <w:top w:val="single" w:sz="4" w:space="0" w:color="auto"/>
              <w:left w:val="single" w:sz="4" w:space="0" w:color="auto"/>
              <w:bottom w:val="single" w:sz="4" w:space="0" w:color="auto"/>
              <w:right w:val="single" w:sz="4" w:space="0" w:color="auto"/>
            </w:tcBorders>
            <w:vAlign w:val="center"/>
            <w:hideMark/>
          </w:tcPr>
          <w:p w14:paraId="253A18C1" w14:textId="77777777" w:rsidR="00E51CDD" w:rsidRPr="00E51CDD" w:rsidRDefault="00E51CDD" w:rsidP="00E51CDD">
            <w:pPr>
              <w:widowControl w:val="0"/>
              <w:overflowPunct w:val="0"/>
              <w:autoSpaceDE w:val="0"/>
              <w:autoSpaceDN w:val="0"/>
              <w:adjustRightInd w:val="0"/>
              <w:spacing w:before="40" w:after="40"/>
              <w:jc w:val="center"/>
              <w:textAlignment w:val="baseline"/>
              <w:rPr>
                <w:b/>
                <w:bCs/>
                <w:sz w:val="20"/>
                <w:szCs w:val="20"/>
                <w:lang w:val="de-DE" w:eastAsia="zh-CN"/>
              </w:rPr>
            </w:pPr>
            <w:r w:rsidRPr="00E51CDD">
              <w:rPr>
                <w:b/>
                <w:bCs/>
                <w:sz w:val="20"/>
                <w:szCs w:val="20"/>
                <w:lang w:val="de-DE" w:eastAsia="zh-CN"/>
              </w:rPr>
              <w:t>29.4</w:t>
            </w:r>
          </w:p>
        </w:tc>
        <w:tc>
          <w:tcPr>
            <w:tcW w:w="429" w:type="pct"/>
            <w:tcBorders>
              <w:top w:val="single" w:sz="4" w:space="0" w:color="auto"/>
              <w:left w:val="single" w:sz="4" w:space="0" w:color="auto"/>
              <w:bottom w:val="single" w:sz="4" w:space="0" w:color="auto"/>
              <w:right w:val="single" w:sz="4" w:space="0" w:color="auto"/>
            </w:tcBorders>
            <w:vAlign w:val="center"/>
            <w:hideMark/>
          </w:tcPr>
          <w:p w14:paraId="40D4598A" w14:textId="77777777" w:rsidR="00E51CDD" w:rsidRPr="00E51CDD" w:rsidRDefault="00E51CDD" w:rsidP="00E51CDD">
            <w:pPr>
              <w:widowControl w:val="0"/>
              <w:overflowPunct w:val="0"/>
              <w:autoSpaceDE w:val="0"/>
              <w:autoSpaceDN w:val="0"/>
              <w:adjustRightInd w:val="0"/>
              <w:spacing w:before="40" w:after="40"/>
              <w:jc w:val="center"/>
              <w:textAlignment w:val="baseline"/>
              <w:rPr>
                <w:b/>
                <w:bCs/>
                <w:sz w:val="20"/>
                <w:szCs w:val="20"/>
                <w:lang w:val="de-DE" w:eastAsia="zh-CN"/>
              </w:rPr>
            </w:pPr>
            <w:r w:rsidRPr="00E51CDD">
              <w:rPr>
                <w:b/>
                <w:bCs/>
                <w:sz w:val="20"/>
                <w:szCs w:val="20"/>
                <w:lang w:val="de-DE" w:eastAsia="zh-CN"/>
              </w:rPr>
              <w:t>52.9</w:t>
            </w:r>
          </w:p>
        </w:tc>
        <w:tc>
          <w:tcPr>
            <w:tcW w:w="429" w:type="pct"/>
            <w:tcBorders>
              <w:top w:val="single" w:sz="4" w:space="0" w:color="auto"/>
              <w:left w:val="single" w:sz="4" w:space="0" w:color="auto"/>
              <w:bottom w:val="single" w:sz="4" w:space="0" w:color="auto"/>
              <w:right w:val="single" w:sz="4" w:space="0" w:color="auto"/>
            </w:tcBorders>
            <w:vAlign w:val="center"/>
            <w:hideMark/>
          </w:tcPr>
          <w:p w14:paraId="2D7BCA2B" w14:textId="77777777" w:rsidR="00E51CDD" w:rsidRPr="00E51CDD" w:rsidRDefault="00E51CDD" w:rsidP="00E51CDD">
            <w:pPr>
              <w:widowControl w:val="0"/>
              <w:overflowPunct w:val="0"/>
              <w:autoSpaceDE w:val="0"/>
              <w:autoSpaceDN w:val="0"/>
              <w:adjustRightInd w:val="0"/>
              <w:spacing w:before="40" w:after="40"/>
              <w:jc w:val="center"/>
              <w:textAlignment w:val="baseline"/>
              <w:rPr>
                <w:b/>
                <w:bCs/>
                <w:sz w:val="20"/>
                <w:szCs w:val="20"/>
                <w:lang w:val="de-DE" w:eastAsia="zh-CN"/>
              </w:rPr>
            </w:pPr>
            <w:r w:rsidRPr="00E51CDD">
              <w:rPr>
                <w:b/>
                <w:bCs/>
                <w:sz w:val="20"/>
                <w:szCs w:val="20"/>
                <w:lang w:val="de-DE" w:eastAsia="zh-CN"/>
              </w:rPr>
              <w:t>95.3</w:t>
            </w:r>
          </w:p>
        </w:tc>
        <w:tc>
          <w:tcPr>
            <w:tcW w:w="430" w:type="pct"/>
            <w:tcBorders>
              <w:top w:val="single" w:sz="4" w:space="0" w:color="auto"/>
              <w:left w:val="single" w:sz="4" w:space="0" w:color="auto"/>
              <w:bottom w:val="single" w:sz="4" w:space="0" w:color="auto"/>
              <w:right w:val="single" w:sz="4" w:space="0" w:color="auto"/>
            </w:tcBorders>
            <w:vAlign w:val="center"/>
            <w:hideMark/>
          </w:tcPr>
          <w:p w14:paraId="01078E98" w14:textId="77777777" w:rsidR="00E51CDD" w:rsidRPr="00E51CDD" w:rsidRDefault="00E51CDD" w:rsidP="00E51CDD">
            <w:pPr>
              <w:widowControl w:val="0"/>
              <w:overflowPunct w:val="0"/>
              <w:autoSpaceDE w:val="0"/>
              <w:autoSpaceDN w:val="0"/>
              <w:adjustRightInd w:val="0"/>
              <w:spacing w:before="40" w:after="40"/>
              <w:jc w:val="center"/>
              <w:textAlignment w:val="baseline"/>
              <w:rPr>
                <w:b/>
                <w:bCs/>
                <w:sz w:val="20"/>
                <w:szCs w:val="20"/>
                <w:lang w:val="de-DE" w:eastAsia="zh-CN"/>
              </w:rPr>
            </w:pPr>
            <w:r w:rsidRPr="00E51CDD">
              <w:rPr>
                <w:b/>
                <w:bCs/>
                <w:sz w:val="20"/>
                <w:szCs w:val="20"/>
                <w:lang w:val="de-DE" w:eastAsia="zh-CN"/>
              </w:rPr>
              <w:t>171.5</w:t>
            </w:r>
          </w:p>
        </w:tc>
        <w:tc>
          <w:tcPr>
            <w:tcW w:w="429" w:type="pct"/>
            <w:tcBorders>
              <w:top w:val="single" w:sz="4" w:space="0" w:color="auto"/>
              <w:left w:val="single" w:sz="4" w:space="0" w:color="auto"/>
              <w:bottom w:val="single" w:sz="4" w:space="0" w:color="auto"/>
              <w:right w:val="single" w:sz="4" w:space="0" w:color="auto"/>
            </w:tcBorders>
            <w:vAlign w:val="center"/>
            <w:hideMark/>
          </w:tcPr>
          <w:p w14:paraId="19F60ED3" w14:textId="77777777" w:rsidR="00E51CDD" w:rsidRPr="00E51CDD" w:rsidRDefault="00E51CDD" w:rsidP="00E51CDD">
            <w:pPr>
              <w:widowControl w:val="0"/>
              <w:overflowPunct w:val="0"/>
              <w:autoSpaceDE w:val="0"/>
              <w:autoSpaceDN w:val="0"/>
              <w:adjustRightInd w:val="0"/>
              <w:spacing w:before="40" w:after="40"/>
              <w:jc w:val="center"/>
              <w:textAlignment w:val="baseline"/>
              <w:rPr>
                <w:b/>
                <w:bCs/>
                <w:sz w:val="20"/>
                <w:szCs w:val="20"/>
                <w:lang w:val="de-DE" w:eastAsia="zh-CN"/>
              </w:rPr>
            </w:pPr>
            <w:r w:rsidRPr="00E51CDD">
              <w:rPr>
                <w:b/>
                <w:bCs/>
                <w:sz w:val="20"/>
                <w:szCs w:val="20"/>
                <w:lang w:val="de-DE" w:eastAsia="zh-CN"/>
              </w:rPr>
              <w:t>308.7</w:t>
            </w:r>
          </w:p>
        </w:tc>
        <w:tc>
          <w:tcPr>
            <w:tcW w:w="429" w:type="pct"/>
            <w:tcBorders>
              <w:top w:val="single" w:sz="4" w:space="0" w:color="auto"/>
              <w:left w:val="single" w:sz="4" w:space="0" w:color="auto"/>
              <w:bottom w:val="single" w:sz="4" w:space="0" w:color="auto"/>
              <w:right w:val="single" w:sz="4" w:space="0" w:color="auto"/>
            </w:tcBorders>
            <w:vAlign w:val="center"/>
            <w:hideMark/>
          </w:tcPr>
          <w:p w14:paraId="0FA37193" w14:textId="77777777" w:rsidR="00E51CDD" w:rsidRPr="00E51CDD" w:rsidRDefault="00E51CDD" w:rsidP="00E51CDD">
            <w:pPr>
              <w:widowControl w:val="0"/>
              <w:overflowPunct w:val="0"/>
              <w:autoSpaceDE w:val="0"/>
              <w:autoSpaceDN w:val="0"/>
              <w:adjustRightInd w:val="0"/>
              <w:spacing w:before="40" w:after="40"/>
              <w:jc w:val="center"/>
              <w:textAlignment w:val="baseline"/>
              <w:rPr>
                <w:b/>
                <w:bCs/>
                <w:sz w:val="20"/>
                <w:szCs w:val="20"/>
                <w:lang w:val="de-DE" w:eastAsia="zh-CN"/>
              </w:rPr>
            </w:pPr>
            <w:r w:rsidRPr="00E51CDD">
              <w:rPr>
                <w:b/>
                <w:bCs/>
                <w:sz w:val="20"/>
                <w:szCs w:val="20"/>
                <w:lang w:val="de-DE" w:eastAsia="zh-CN"/>
              </w:rPr>
              <w:t>555.6</w:t>
            </w:r>
          </w:p>
        </w:tc>
        <w:tc>
          <w:tcPr>
            <w:tcW w:w="432" w:type="pct"/>
            <w:tcBorders>
              <w:top w:val="single" w:sz="4" w:space="0" w:color="auto"/>
              <w:left w:val="single" w:sz="4" w:space="0" w:color="auto"/>
              <w:bottom w:val="single" w:sz="4" w:space="0" w:color="auto"/>
              <w:right w:val="single" w:sz="4" w:space="0" w:color="auto"/>
            </w:tcBorders>
            <w:vAlign w:val="center"/>
            <w:hideMark/>
          </w:tcPr>
          <w:p w14:paraId="0C48C6DF" w14:textId="77777777" w:rsidR="00E51CDD" w:rsidRPr="00E51CDD" w:rsidRDefault="00E51CDD" w:rsidP="00E51CDD">
            <w:pPr>
              <w:widowControl w:val="0"/>
              <w:overflowPunct w:val="0"/>
              <w:autoSpaceDE w:val="0"/>
              <w:autoSpaceDN w:val="0"/>
              <w:adjustRightInd w:val="0"/>
              <w:spacing w:before="40" w:after="40"/>
              <w:jc w:val="center"/>
              <w:textAlignment w:val="baseline"/>
              <w:rPr>
                <w:b/>
                <w:bCs/>
                <w:sz w:val="20"/>
                <w:szCs w:val="20"/>
                <w:lang w:val="de-DE" w:eastAsia="zh-CN"/>
              </w:rPr>
            </w:pPr>
            <w:r w:rsidRPr="00E51CDD">
              <w:rPr>
                <w:b/>
                <w:bCs/>
                <w:sz w:val="20"/>
                <w:szCs w:val="20"/>
                <w:lang w:val="de-DE" w:eastAsia="zh-CN"/>
              </w:rPr>
              <w:t>1000</w:t>
            </w:r>
          </w:p>
        </w:tc>
      </w:tr>
      <w:tr w:rsidR="00E51CDD" w:rsidRPr="00E51CDD" w14:paraId="04C5BAE0" w14:textId="77777777" w:rsidTr="009938D9">
        <w:trPr>
          <w:trHeight w:val="331"/>
        </w:trPr>
        <w:tc>
          <w:tcPr>
            <w:tcW w:w="1119" w:type="pct"/>
            <w:tcBorders>
              <w:top w:val="single" w:sz="4" w:space="0" w:color="auto"/>
              <w:left w:val="single" w:sz="4" w:space="0" w:color="auto"/>
              <w:bottom w:val="single" w:sz="4" w:space="0" w:color="auto"/>
              <w:right w:val="single" w:sz="4" w:space="0" w:color="auto"/>
            </w:tcBorders>
            <w:vAlign w:val="center"/>
            <w:hideMark/>
          </w:tcPr>
          <w:p w14:paraId="6BB30402"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val="de-DE" w:eastAsia="zh-CN"/>
              </w:rPr>
            </w:pPr>
            <w:r w:rsidRPr="00E51CDD">
              <w:rPr>
                <w:sz w:val="20"/>
                <w:szCs w:val="20"/>
                <w:lang w:val="de-DE" w:eastAsia="zh-CN"/>
              </w:rPr>
              <w:t>Mean adult mortality [%]</w:t>
            </w:r>
          </w:p>
        </w:tc>
        <w:tc>
          <w:tcPr>
            <w:tcW w:w="444" w:type="pct"/>
            <w:tcBorders>
              <w:top w:val="single" w:sz="4" w:space="0" w:color="auto"/>
              <w:left w:val="single" w:sz="4" w:space="0" w:color="auto"/>
              <w:bottom w:val="single" w:sz="4" w:space="0" w:color="auto"/>
              <w:right w:val="single" w:sz="4" w:space="0" w:color="auto"/>
            </w:tcBorders>
            <w:vAlign w:val="center"/>
            <w:hideMark/>
          </w:tcPr>
          <w:p w14:paraId="4DADB038"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6.3</w:t>
            </w:r>
          </w:p>
        </w:tc>
        <w:tc>
          <w:tcPr>
            <w:tcW w:w="429" w:type="pct"/>
            <w:tcBorders>
              <w:top w:val="single" w:sz="4" w:space="0" w:color="auto"/>
              <w:left w:val="single" w:sz="4" w:space="0" w:color="auto"/>
              <w:bottom w:val="single" w:sz="4" w:space="0" w:color="auto"/>
              <w:right w:val="single" w:sz="4" w:space="0" w:color="auto"/>
            </w:tcBorders>
            <w:vAlign w:val="center"/>
            <w:hideMark/>
          </w:tcPr>
          <w:p w14:paraId="1B4E38FA"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2.5</w:t>
            </w:r>
          </w:p>
        </w:tc>
        <w:tc>
          <w:tcPr>
            <w:tcW w:w="430" w:type="pct"/>
            <w:tcBorders>
              <w:top w:val="single" w:sz="4" w:space="0" w:color="auto"/>
              <w:left w:val="single" w:sz="4" w:space="0" w:color="auto"/>
              <w:bottom w:val="single" w:sz="4" w:space="0" w:color="auto"/>
              <w:right w:val="single" w:sz="4" w:space="0" w:color="auto"/>
            </w:tcBorders>
            <w:vAlign w:val="center"/>
            <w:hideMark/>
          </w:tcPr>
          <w:p w14:paraId="22EC8020"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2.5</w:t>
            </w:r>
          </w:p>
        </w:tc>
        <w:tc>
          <w:tcPr>
            <w:tcW w:w="429" w:type="pct"/>
            <w:tcBorders>
              <w:top w:val="single" w:sz="4" w:space="0" w:color="auto"/>
              <w:left w:val="single" w:sz="4" w:space="0" w:color="auto"/>
              <w:bottom w:val="single" w:sz="4" w:space="0" w:color="auto"/>
              <w:right w:val="single" w:sz="4" w:space="0" w:color="auto"/>
            </w:tcBorders>
            <w:vAlign w:val="center"/>
            <w:hideMark/>
          </w:tcPr>
          <w:p w14:paraId="65FC1308"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5.0</w:t>
            </w:r>
          </w:p>
        </w:tc>
        <w:tc>
          <w:tcPr>
            <w:tcW w:w="429" w:type="pct"/>
            <w:tcBorders>
              <w:top w:val="single" w:sz="4" w:space="0" w:color="auto"/>
              <w:left w:val="single" w:sz="4" w:space="0" w:color="auto"/>
              <w:bottom w:val="single" w:sz="4" w:space="0" w:color="auto"/>
              <w:right w:val="single" w:sz="4" w:space="0" w:color="auto"/>
            </w:tcBorders>
            <w:vAlign w:val="center"/>
            <w:hideMark/>
          </w:tcPr>
          <w:p w14:paraId="1272F7B8"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5.0</w:t>
            </w:r>
          </w:p>
        </w:tc>
        <w:tc>
          <w:tcPr>
            <w:tcW w:w="430" w:type="pct"/>
            <w:tcBorders>
              <w:top w:val="single" w:sz="4" w:space="0" w:color="auto"/>
              <w:left w:val="single" w:sz="4" w:space="0" w:color="auto"/>
              <w:bottom w:val="single" w:sz="4" w:space="0" w:color="auto"/>
              <w:right w:val="single" w:sz="4" w:space="0" w:color="auto"/>
            </w:tcBorders>
            <w:vAlign w:val="center"/>
            <w:hideMark/>
          </w:tcPr>
          <w:p w14:paraId="5F961134"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0.0</w:t>
            </w:r>
          </w:p>
        </w:tc>
        <w:tc>
          <w:tcPr>
            <w:tcW w:w="429" w:type="pct"/>
            <w:tcBorders>
              <w:top w:val="single" w:sz="4" w:space="0" w:color="auto"/>
              <w:left w:val="single" w:sz="4" w:space="0" w:color="auto"/>
              <w:bottom w:val="single" w:sz="4" w:space="0" w:color="auto"/>
              <w:right w:val="single" w:sz="4" w:space="0" w:color="auto"/>
            </w:tcBorders>
            <w:vAlign w:val="center"/>
            <w:hideMark/>
          </w:tcPr>
          <w:p w14:paraId="1B1EDD0C"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2.5</w:t>
            </w:r>
          </w:p>
        </w:tc>
        <w:tc>
          <w:tcPr>
            <w:tcW w:w="429" w:type="pct"/>
            <w:tcBorders>
              <w:top w:val="single" w:sz="4" w:space="0" w:color="auto"/>
              <w:left w:val="single" w:sz="4" w:space="0" w:color="auto"/>
              <w:bottom w:val="single" w:sz="4" w:space="0" w:color="auto"/>
              <w:right w:val="single" w:sz="4" w:space="0" w:color="auto"/>
            </w:tcBorders>
            <w:vAlign w:val="center"/>
            <w:hideMark/>
          </w:tcPr>
          <w:p w14:paraId="0A12D115"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5.0</w:t>
            </w:r>
          </w:p>
        </w:tc>
        <w:tc>
          <w:tcPr>
            <w:tcW w:w="432" w:type="pct"/>
            <w:tcBorders>
              <w:top w:val="single" w:sz="4" w:space="0" w:color="auto"/>
              <w:left w:val="single" w:sz="4" w:space="0" w:color="auto"/>
              <w:bottom w:val="single" w:sz="4" w:space="0" w:color="auto"/>
              <w:right w:val="single" w:sz="4" w:space="0" w:color="auto"/>
            </w:tcBorders>
            <w:vAlign w:val="center"/>
            <w:hideMark/>
          </w:tcPr>
          <w:p w14:paraId="0EEBBD31"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2.5</w:t>
            </w:r>
          </w:p>
        </w:tc>
      </w:tr>
      <w:tr w:rsidR="00E51CDD" w:rsidRPr="00E51CDD" w14:paraId="7595ED34" w14:textId="77777777" w:rsidTr="009938D9">
        <w:trPr>
          <w:trHeight w:val="331"/>
        </w:trPr>
        <w:tc>
          <w:tcPr>
            <w:tcW w:w="1119" w:type="pct"/>
            <w:tcBorders>
              <w:top w:val="single" w:sz="4" w:space="0" w:color="auto"/>
              <w:left w:val="single" w:sz="4" w:space="0" w:color="auto"/>
              <w:bottom w:val="single" w:sz="4" w:space="0" w:color="auto"/>
              <w:right w:val="single" w:sz="4" w:space="0" w:color="auto"/>
            </w:tcBorders>
            <w:vAlign w:val="center"/>
            <w:hideMark/>
          </w:tcPr>
          <w:p w14:paraId="309ECE16"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zh-CN"/>
              </w:rPr>
            </w:pPr>
            <w:r w:rsidRPr="00E51CDD">
              <w:rPr>
                <w:sz w:val="20"/>
                <w:szCs w:val="20"/>
                <w:lang w:eastAsia="zh-CN"/>
              </w:rPr>
              <w:t>Mean number of juveniles (day 14)</w:t>
            </w:r>
          </w:p>
        </w:tc>
        <w:tc>
          <w:tcPr>
            <w:tcW w:w="444" w:type="pct"/>
            <w:tcBorders>
              <w:top w:val="single" w:sz="4" w:space="0" w:color="auto"/>
              <w:left w:val="single" w:sz="4" w:space="0" w:color="auto"/>
              <w:bottom w:val="single" w:sz="4" w:space="0" w:color="auto"/>
              <w:right w:val="single" w:sz="4" w:space="0" w:color="auto"/>
            </w:tcBorders>
            <w:vAlign w:val="center"/>
            <w:hideMark/>
          </w:tcPr>
          <w:p w14:paraId="5754E9FF"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301.4</w:t>
            </w:r>
          </w:p>
        </w:tc>
        <w:tc>
          <w:tcPr>
            <w:tcW w:w="429" w:type="pct"/>
            <w:tcBorders>
              <w:top w:val="single" w:sz="4" w:space="0" w:color="auto"/>
              <w:left w:val="single" w:sz="4" w:space="0" w:color="auto"/>
              <w:bottom w:val="single" w:sz="4" w:space="0" w:color="auto"/>
              <w:right w:val="single" w:sz="4" w:space="0" w:color="auto"/>
            </w:tcBorders>
            <w:vAlign w:val="center"/>
            <w:hideMark/>
          </w:tcPr>
          <w:p w14:paraId="6FA1CAD4"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309.8</w:t>
            </w:r>
          </w:p>
        </w:tc>
        <w:tc>
          <w:tcPr>
            <w:tcW w:w="430" w:type="pct"/>
            <w:tcBorders>
              <w:top w:val="single" w:sz="4" w:space="0" w:color="auto"/>
              <w:left w:val="single" w:sz="4" w:space="0" w:color="auto"/>
              <w:bottom w:val="single" w:sz="4" w:space="0" w:color="auto"/>
              <w:right w:val="single" w:sz="4" w:space="0" w:color="auto"/>
            </w:tcBorders>
            <w:vAlign w:val="center"/>
            <w:hideMark/>
          </w:tcPr>
          <w:p w14:paraId="2CEF1623"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263.3</w:t>
            </w:r>
          </w:p>
        </w:tc>
        <w:tc>
          <w:tcPr>
            <w:tcW w:w="429" w:type="pct"/>
            <w:tcBorders>
              <w:top w:val="single" w:sz="4" w:space="0" w:color="auto"/>
              <w:left w:val="single" w:sz="4" w:space="0" w:color="auto"/>
              <w:bottom w:val="single" w:sz="4" w:space="0" w:color="auto"/>
              <w:right w:val="single" w:sz="4" w:space="0" w:color="auto"/>
            </w:tcBorders>
            <w:vAlign w:val="center"/>
            <w:hideMark/>
          </w:tcPr>
          <w:p w14:paraId="6B30FE93"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276.5</w:t>
            </w:r>
          </w:p>
        </w:tc>
        <w:tc>
          <w:tcPr>
            <w:tcW w:w="429" w:type="pct"/>
            <w:tcBorders>
              <w:top w:val="single" w:sz="4" w:space="0" w:color="auto"/>
              <w:left w:val="single" w:sz="4" w:space="0" w:color="auto"/>
              <w:bottom w:val="single" w:sz="4" w:space="0" w:color="auto"/>
              <w:right w:val="single" w:sz="4" w:space="0" w:color="auto"/>
            </w:tcBorders>
            <w:vAlign w:val="center"/>
            <w:hideMark/>
          </w:tcPr>
          <w:p w14:paraId="51A340A4"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272.5</w:t>
            </w:r>
          </w:p>
        </w:tc>
        <w:tc>
          <w:tcPr>
            <w:tcW w:w="430" w:type="pct"/>
            <w:tcBorders>
              <w:top w:val="single" w:sz="4" w:space="0" w:color="auto"/>
              <w:left w:val="single" w:sz="4" w:space="0" w:color="auto"/>
              <w:bottom w:val="single" w:sz="4" w:space="0" w:color="auto"/>
              <w:right w:val="single" w:sz="4" w:space="0" w:color="auto"/>
            </w:tcBorders>
            <w:vAlign w:val="center"/>
            <w:hideMark/>
          </w:tcPr>
          <w:p w14:paraId="7EF3BB80"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276.8</w:t>
            </w:r>
          </w:p>
        </w:tc>
        <w:tc>
          <w:tcPr>
            <w:tcW w:w="429" w:type="pct"/>
            <w:tcBorders>
              <w:top w:val="single" w:sz="4" w:space="0" w:color="auto"/>
              <w:left w:val="single" w:sz="4" w:space="0" w:color="auto"/>
              <w:bottom w:val="single" w:sz="4" w:space="0" w:color="auto"/>
              <w:right w:val="single" w:sz="4" w:space="0" w:color="auto"/>
            </w:tcBorders>
            <w:vAlign w:val="center"/>
            <w:hideMark/>
          </w:tcPr>
          <w:p w14:paraId="676D1B3A"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284.0</w:t>
            </w:r>
          </w:p>
        </w:tc>
        <w:tc>
          <w:tcPr>
            <w:tcW w:w="429" w:type="pct"/>
            <w:tcBorders>
              <w:top w:val="single" w:sz="4" w:space="0" w:color="auto"/>
              <w:left w:val="single" w:sz="4" w:space="0" w:color="auto"/>
              <w:bottom w:val="single" w:sz="4" w:space="0" w:color="auto"/>
              <w:right w:val="single" w:sz="4" w:space="0" w:color="auto"/>
            </w:tcBorders>
            <w:vAlign w:val="center"/>
            <w:hideMark/>
          </w:tcPr>
          <w:p w14:paraId="5FBA787A"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298.8</w:t>
            </w:r>
          </w:p>
        </w:tc>
        <w:tc>
          <w:tcPr>
            <w:tcW w:w="432" w:type="pct"/>
            <w:tcBorders>
              <w:top w:val="single" w:sz="4" w:space="0" w:color="auto"/>
              <w:left w:val="single" w:sz="4" w:space="0" w:color="auto"/>
              <w:bottom w:val="single" w:sz="4" w:space="0" w:color="auto"/>
              <w:right w:val="single" w:sz="4" w:space="0" w:color="auto"/>
            </w:tcBorders>
            <w:vAlign w:val="center"/>
            <w:hideMark/>
          </w:tcPr>
          <w:p w14:paraId="0FACDC8E"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299.3</w:t>
            </w:r>
          </w:p>
        </w:tc>
      </w:tr>
      <w:tr w:rsidR="00E51CDD" w:rsidRPr="00E51CDD" w14:paraId="4B6DF7BD" w14:textId="77777777" w:rsidTr="009938D9">
        <w:trPr>
          <w:trHeight w:val="331"/>
        </w:trPr>
        <w:tc>
          <w:tcPr>
            <w:tcW w:w="1119" w:type="pct"/>
            <w:tcBorders>
              <w:top w:val="single" w:sz="4" w:space="0" w:color="auto"/>
              <w:left w:val="single" w:sz="4" w:space="0" w:color="auto"/>
              <w:bottom w:val="single" w:sz="4" w:space="0" w:color="auto"/>
              <w:right w:val="single" w:sz="4" w:space="0" w:color="auto"/>
            </w:tcBorders>
            <w:vAlign w:val="center"/>
            <w:hideMark/>
          </w:tcPr>
          <w:p w14:paraId="13B9D7E2"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zh-CN"/>
              </w:rPr>
            </w:pPr>
            <w:r w:rsidRPr="00E51CDD">
              <w:rPr>
                <w:sz w:val="20"/>
                <w:szCs w:val="20"/>
                <w:lang w:eastAsia="zh-CN"/>
              </w:rPr>
              <w:t>Reproduction in [%] of solvent control (day 14)</w:t>
            </w:r>
          </w:p>
        </w:tc>
        <w:tc>
          <w:tcPr>
            <w:tcW w:w="444" w:type="pct"/>
            <w:tcBorders>
              <w:top w:val="single" w:sz="4" w:space="0" w:color="auto"/>
              <w:left w:val="single" w:sz="4" w:space="0" w:color="auto"/>
              <w:bottom w:val="single" w:sz="4" w:space="0" w:color="auto"/>
              <w:right w:val="single" w:sz="4" w:space="0" w:color="auto"/>
            </w:tcBorders>
            <w:vAlign w:val="center"/>
            <w:hideMark/>
          </w:tcPr>
          <w:p w14:paraId="5B9BB378"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100</w:t>
            </w:r>
          </w:p>
        </w:tc>
        <w:tc>
          <w:tcPr>
            <w:tcW w:w="429" w:type="pct"/>
            <w:tcBorders>
              <w:top w:val="single" w:sz="4" w:space="0" w:color="auto"/>
              <w:left w:val="single" w:sz="4" w:space="0" w:color="auto"/>
              <w:bottom w:val="single" w:sz="4" w:space="0" w:color="auto"/>
              <w:right w:val="single" w:sz="4" w:space="0" w:color="auto"/>
            </w:tcBorders>
            <w:vAlign w:val="center"/>
            <w:hideMark/>
          </w:tcPr>
          <w:p w14:paraId="7F40EF89"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103</w:t>
            </w:r>
          </w:p>
        </w:tc>
        <w:tc>
          <w:tcPr>
            <w:tcW w:w="430" w:type="pct"/>
            <w:tcBorders>
              <w:top w:val="single" w:sz="4" w:space="0" w:color="auto"/>
              <w:left w:val="single" w:sz="4" w:space="0" w:color="auto"/>
              <w:bottom w:val="single" w:sz="4" w:space="0" w:color="auto"/>
              <w:right w:val="single" w:sz="4" w:space="0" w:color="auto"/>
            </w:tcBorders>
            <w:vAlign w:val="center"/>
            <w:hideMark/>
          </w:tcPr>
          <w:p w14:paraId="79325F04"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87</w:t>
            </w:r>
          </w:p>
        </w:tc>
        <w:tc>
          <w:tcPr>
            <w:tcW w:w="429" w:type="pct"/>
            <w:tcBorders>
              <w:top w:val="single" w:sz="4" w:space="0" w:color="auto"/>
              <w:left w:val="single" w:sz="4" w:space="0" w:color="auto"/>
              <w:bottom w:val="single" w:sz="4" w:space="0" w:color="auto"/>
              <w:right w:val="single" w:sz="4" w:space="0" w:color="auto"/>
            </w:tcBorders>
            <w:vAlign w:val="center"/>
            <w:hideMark/>
          </w:tcPr>
          <w:p w14:paraId="1C740D39"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92</w:t>
            </w:r>
          </w:p>
        </w:tc>
        <w:tc>
          <w:tcPr>
            <w:tcW w:w="429" w:type="pct"/>
            <w:tcBorders>
              <w:top w:val="single" w:sz="4" w:space="0" w:color="auto"/>
              <w:left w:val="single" w:sz="4" w:space="0" w:color="auto"/>
              <w:bottom w:val="single" w:sz="4" w:space="0" w:color="auto"/>
              <w:right w:val="single" w:sz="4" w:space="0" w:color="auto"/>
            </w:tcBorders>
            <w:vAlign w:val="center"/>
            <w:hideMark/>
          </w:tcPr>
          <w:p w14:paraId="2B2C056C"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90</w:t>
            </w:r>
          </w:p>
        </w:tc>
        <w:tc>
          <w:tcPr>
            <w:tcW w:w="430" w:type="pct"/>
            <w:tcBorders>
              <w:top w:val="single" w:sz="4" w:space="0" w:color="auto"/>
              <w:left w:val="single" w:sz="4" w:space="0" w:color="auto"/>
              <w:bottom w:val="single" w:sz="4" w:space="0" w:color="auto"/>
              <w:right w:val="single" w:sz="4" w:space="0" w:color="auto"/>
            </w:tcBorders>
            <w:vAlign w:val="center"/>
            <w:hideMark/>
          </w:tcPr>
          <w:p w14:paraId="52D8BF2C"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92</w:t>
            </w:r>
          </w:p>
        </w:tc>
        <w:tc>
          <w:tcPr>
            <w:tcW w:w="429" w:type="pct"/>
            <w:tcBorders>
              <w:top w:val="single" w:sz="4" w:space="0" w:color="auto"/>
              <w:left w:val="single" w:sz="4" w:space="0" w:color="auto"/>
              <w:bottom w:val="single" w:sz="4" w:space="0" w:color="auto"/>
              <w:right w:val="single" w:sz="4" w:space="0" w:color="auto"/>
            </w:tcBorders>
            <w:vAlign w:val="center"/>
            <w:hideMark/>
          </w:tcPr>
          <w:p w14:paraId="602AEB00"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94</w:t>
            </w:r>
          </w:p>
        </w:tc>
        <w:tc>
          <w:tcPr>
            <w:tcW w:w="429" w:type="pct"/>
            <w:tcBorders>
              <w:top w:val="single" w:sz="4" w:space="0" w:color="auto"/>
              <w:left w:val="single" w:sz="4" w:space="0" w:color="auto"/>
              <w:bottom w:val="single" w:sz="4" w:space="0" w:color="auto"/>
              <w:right w:val="single" w:sz="4" w:space="0" w:color="auto"/>
            </w:tcBorders>
            <w:vAlign w:val="center"/>
            <w:hideMark/>
          </w:tcPr>
          <w:p w14:paraId="69864E0B"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99</w:t>
            </w:r>
          </w:p>
        </w:tc>
        <w:tc>
          <w:tcPr>
            <w:tcW w:w="432" w:type="pct"/>
            <w:tcBorders>
              <w:top w:val="single" w:sz="4" w:space="0" w:color="auto"/>
              <w:left w:val="single" w:sz="4" w:space="0" w:color="auto"/>
              <w:bottom w:val="single" w:sz="4" w:space="0" w:color="auto"/>
              <w:right w:val="single" w:sz="4" w:space="0" w:color="auto"/>
            </w:tcBorders>
            <w:vAlign w:val="center"/>
            <w:hideMark/>
          </w:tcPr>
          <w:p w14:paraId="606CDD2D"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99</w:t>
            </w:r>
          </w:p>
        </w:tc>
      </w:tr>
      <w:tr w:rsidR="00E51CDD" w:rsidRPr="00E51CDD" w14:paraId="628A6E92" w14:textId="77777777" w:rsidTr="009938D9">
        <w:trPr>
          <w:trHeight w:val="331"/>
        </w:trPr>
        <w:tc>
          <w:tcPr>
            <w:tcW w:w="1119" w:type="pct"/>
            <w:tcBorders>
              <w:top w:val="single" w:sz="4" w:space="0" w:color="auto"/>
              <w:left w:val="single" w:sz="4" w:space="0" w:color="auto"/>
              <w:bottom w:val="single" w:sz="4" w:space="0" w:color="auto"/>
              <w:right w:val="single" w:sz="4" w:space="0" w:color="auto"/>
            </w:tcBorders>
            <w:vAlign w:val="center"/>
            <w:hideMark/>
          </w:tcPr>
          <w:p w14:paraId="54C5F92E"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val="de-DE" w:eastAsia="zh-CN"/>
              </w:rPr>
            </w:pPr>
            <w:r w:rsidRPr="00E51CDD">
              <w:rPr>
                <w:b/>
                <w:sz w:val="20"/>
                <w:szCs w:val="20"/>
                <w:lang w:val="de-DE" w:eastAsia="zh-CN"/>
              </w:rPr>
              <w:t>Endpoints</w:t>
            </w:r>
          </w:p>
        </w:tc>
        <w:tc>
          <w:tcPr>
            <w:tcW w:w="3881" w:type="pct"/>
            <w:gridSpan w:val="9"/>
            <w:tcBorders>
              <w:top w:val="single" w:sz="4" w:space="0" w:color="auto"/>
              <w:left w:val="single" w:sz="4" w:space="0" w:color="auto"/>
              <w:bottom w:val="single" w:sz="4" w:space="0" w:color="auto"/>
              <w:right w:val="single" w:sz="4" w:space="0" w:color="auto"/>
            </w:tcBorders>
            <w:vAlign w:val="center"/>
            <w:hideMark/>
          </w:tcPr>
          <w:p w14:paraId="49F54CA7"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zh-CN"/>
              </w:rPr>
            </w:pPr>
            <w:r w:rsidRPr="00E51CDD">
              <w:rPr>
                <w:b/>
                <w:sz w:val="20"/>
                <w:szCs w:val="20"/>
                <w:lang w:eastAsia="zh-CN"/>
              </w:rPr>
              <w:t>[mg BAS 700 F/kg dry soil]</w:t>
            </w:r>
          </w:p>
        </w:tc>
      </w:tr>
      <w:tr w:rsidR="00E51CDD" w:rsidRPr="00E51CDD" w14:paraId="45DAF480" w14:textId="77777777" w:rsidTr="009938D9">
        <w:trPr>
          <w:trHeight w:val="331"/>
        </w:trPr>
        <w:tc>
          <w:tcPr>
            <w:tcW w:w="1119" w:type="pct"/>
            <w:tcBorders>
              <w:top w:val="single" w:sz="4" w:space="0" w:color="auto"/>
              <w:left w:val="single" w:sz="4" w:space="0" w:color="auto"/>
              <w:bottom w:val="single" w:sz="4" w:space="0" w:color="auto"/>
              <w:right w:val="single" w:sz="4" w:space="0" w:color="auto"/>
            </w:tcBorders>
            <w:vAlign w:val="center"/>
            <w:hideMark/>
          </w:tcPr>
          <w:p w14:paraId="73C0B0F3"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val="de-DE" w:eastAsia="zh-CN"/>
              </w:rPr>
            </w:pPr>
            <w:r w:rsidRPr="00E51CDD">
              <w:rPr>
                <w:sz w:val="20"/>
                <w:szCs w:val="20"/>
                <w:lang w:val="de-DE" w:eastAsia="zh-CN"/>
              </w:rPr>
              <w:t>NOEC</w:t>
            </w:r>
            <w:r w:rsidRPr="00E51CDD">
              <w:rPr>
                <w:sz w:val="20"/>
                <w:szCs w:val="20"/>
                <w:vertAlign w:val="subscript"/>
                <w:lang w:val="de-DE" w:eastAsia="zh-CN"/>
              </w:rPr>
              <w:t xml:space="preserve"> (mortality, reproduction)</w:t>
            </w:r>
          </w:p>
        </w:tc>
        <w:tc>
          <w:tcPr>
            <w:tcW w:w="3881" w:type="pct"/>
            <w:gridSpan w:val="9"/>
            <w:tcBorders>
              <w:top w:val="single" w:sz="4" w:space="0" w:color="auto"/>
              <w:left w:val="single" w:sz="4" w:space="0" w:color="auto"/>
              <w:bottom w:val="single" w:sz="4" w:space="0" w:color="auto"/>
              <w:right w:val="single" w:sz="4" w:space="0" w:color="auto"/>
            </w:tcBorders>
            <w:vAlign w:val="center"/>
            <w:hideMark/>
          </w:tcPr>
          <w:p w14:paraId="42515948"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 1000</w:t>
            </w:r>
          </w:p>
        </w:tc>
      </w:tr>
      <w:tr w:rsidR="00E51CDD" w:rsidRPr="00E51CDD" w14:paraId="2E45847E" w14:textId="77777777" w:rsidTr="009938D9">
        <w:trPr>
          <w:trHeight w:val="331"/>
        </w:trPr>
        <w:tc>
          <w:tcPr>
            <w:tcW w:w="1119" w:type="pct"/>
            <w:tcBorders>
              <w:top w:val="single" w:sz="4" w:space="0" w:color="auto"/>
              <w:left w:val="single" w:sz="4" w:space="0" w:color="auto"/>
              <w:bottom w:val="single" w:sz="4" w:space="0" w:color="auto"/>
              <w:right w:val="single" w:sz="4" w:space="0" w:color="auto"/>
            </w:tcBorders>
            <w:vAlign w:val="center"/>
            <w:hideMark/>
          </w:tcPr>
          <w:p w14:paraId="7BE2A811"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val="de-DE" w:eastAsia="zh-CN"/>
              </w:rPr>
            </w:pPr>
            <w:r w:rsidRPr="00E51CDD">
              <w:rPr>
                <w:sz w:val="20"/>
                <w:szCs w:val="20"/>
                <w:lang w:val="de-DE" w:eastAsia="zh-CN"/>
              </w:rPr>
              <w:t>LC</w:t>
            </w:r>
            <w:r w:rsidRPr="00E51CDD">
              <w:rPr>
                <w:sz w:val="20"/>
                <w:szCs w:val="20"/>
                <w:vertAlign w:val="subscript"/>
                <w:lang w:val="de-DE" w:eastAsia="zh-CN"/>
              </w:rPr>
              <w:t>50</w:t>
            </w:r>
            <w:r w:rsidRPr="00E51CDD">
              <w:rPr>
                <w:sz w:val="20"/>
                <w:szCs w:val="20"/>
                <w:vertAlign w:val="superscript"/>
                <w:lang w:val="de-DE" w:eastAsia="zh-CN"/>
              </w:rPr>
              <w:t xml:space="preserve"> 1)</w:t>
            </w:r>
          </w:p>
        </w:tc>
        <w:tc>
          <w:tcPr>
            <w:tcW w:w="3881" w:type="pct"/>
            <w:gridSpan w:val="9"/>
            <w:tcBorders>
              <w:top w:val="single" w:sz="4" w:space="0" w:color="auto"/>
              <w:left w:val="single" w:sz="4" w:space="0" w:color="auto"/>
              <w:bottom w:val="single" w:sz="4" w:space="0" w:color="auto"/>
              <w:right w:val="single" w:sz="4" w:space="0" w:color="auto"/>
            </w:tcBorders>
            <w:vAlign w:val="center"/>
            <w:hideMark/>
          </w:tcPr>
          <w:p w14:paraId="41567EA6"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&gt; 1000</w:t>
            </w:r>
          </w:p>
        </w:tc>
      </w:tr>
      <w:tr w:rsidR="00E51CDD" w:rsidRPr="00E51CDD" w14:paraId="236ED016" w14:textId="77777777" w:rsidTr="009938D9">
        <w:trPr>
          <w:trHeight w:val="331"/>
        </w:trPr>
        <w:tc>
          <w:tcPr>
            <w:tcW w:w="1119" w:type="pct"/>
            <w:tcBorders>
              <w:top w:val="single" w:sz="4" w:space="0" w:color="auto"/>
              <w:left w:val="single" w:sz="4" w:space="0" w:color="auto"/>
              <w:bottom w:val="single" w:sz="4" w:space="0" w:color="auto"/>
              <w:right w:val="single" w:sz="4" w:space="0" w:color="auto"/>
            </w:tcBorders>
            <w:vAlign w:val="center"/>
            <w:hideMark/>
          </w:tcPr>
          <w:p w14:paraId="3BF8959D"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val="de-DE" w:eastAsia="zh-CN"/>
              </w:rPr>
            </w:pPr>
            <w:r w:rsidRPr="00E51CDD">
              <w:rPr>
                <w:sz w:val="20"/>
                <w:szCs w:val="20"/>
                <w:lang w:val="de-DE" w:eastAsia="zh-CN"/>
              </w:rPr>
              <w:t>EC</w:t>
            </w:r>
            <w:r w:rsidRPr="00E51CDD">
              <w:rPr>
                <w:sz w:val="20"/>
                <w:szCs w:val="20"/>
                <w:vertAlign w:val="subscript"/>
                <w:lang w:val="de-DE" w:eastAsia="zh-CN"/>
              </w:rPr>
              <w:t>10</w:t>
            </w:r>
            <w:r w:rsidRPr="00E51CDD">
              <w:rPr>
                <w:sz w:val="20"/>
                <w:szCs w:val="20"/>
                <w:lang w:val="de-DE" w:eastAsia="zh-CN"/>
              </w:rPr>
              <w:t>, EC</w:t>
            </w:r>
            <w:r w:rsidRPr="00E51CDD">
              <w:rPr>
                <w:sz w:val="20"/>
                <w:szCs w:val="20"/>
                <w:vertAlign w:val="subscript"/>
                <w:lang w:val="de-DE" w:eastAsia="zh-CN"/>
              </w:rPr>
              <w:t>20</w:t>
            </w:r>
            <w:r w:rsidRPr="00E51CDD">
              <w:rPr>
                <w:sz w:val="20"/>
                <w:szCs w:val="20"/>
                <w:lang w:val="de-DE" w:eastAsia="zh-CN"/>
              </w:rPr>
              <w:t>, EC</w:t>
            </w:r>
            <w:r w:rsidRPr="00E51CDD">
              <w:rPr>
                <w:sz w:val="20"/>
                <w:szCs w:val="20"/>
                <w:vertAlign w:val="subscript"/>
                <w:lang w:val="de-DE" w:eastAsia="zh-CN"/>
              </w:rPr>
              <w:t>50</w:t>
            </w:r>
            <w:r w:rsidRPr="00E51CDD">
              <w:rPr>
                <w:sz w:val="20"/>
                <w:szCs w:val="20"/>
                <w:vertAlign w:val="superscript"/>
                <w:lang w:val="de-DE" w:eastAsia="zh-CN"/>
              </w:rPr>
              <w:t xml:space="preserve"> 1)</w:t>
            </w:r>
          </w:p>
        </w:tc>
        <w:tc>
          <w:tcPr>
            <w:tcW w:w="3881" w:type="pct"/>
            <w:gridSpan w:val="9"/>
            <w:tcBorders>
              <w:top w:val="single" w:sz="4" w:space="0" w:color="auto"/>
              <w:left w:val="single" w:sz="4" w:space="0" w:color="auto"/>
              <w:bottom w:val="single" w:sz="4" w:space="0" w:color="auto"/>
              <w:right w:val="single" w:sz="4" w:space="0" w:color="auto"/>
            </w:tcBorders>
            <w:vAlign w:val="center"/>
            <w:hideMark/>
          </w:tcPr>
          <w:p w14:paraId="4A907895"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val="de-DE" w:eastAsia="zh-CN"/>
              </w:rPr>
            </w:pPr>
            <w:r w:rsidRPr="00E51CDD">
              <w:rPr>
                <w:sz w:val="20"/>
                <w:szCs w:val="20"/>
                <w:lang w:val="de-DE" w:eastAsia="zh-CN"/>
              </w:rPr>
              <w:t>&gt; 1000</w:t>
            </w:r>
          </w:p>
        </w:tc>
      </w:tr>
    </w:tbl>
    <w:p w14:paraId="6D319B4E" w14:textId="77777777" w:rsidR="00E51CDD" w:rsidRPr="00E51CDD" w:rsidRDefault="00E51CDD" w:rsidP="00E51CDD">
      <w:pPr>
        <w:tabs>
          <w:tab w:val="left" w:pos="284"/>
        </w:tabs>
        <w:spacing w:before="40"/>
        <w:rPr>
          <w:sz w:val="18"/>
          <w:lang w:val="de-DE"/>
        </w:rPr>
      </w:pPr>
      <w:r w:rsidRPr="00E51CDD">
        <w:rPr>
          <w:sz w:val="18"/>
          <w:vertAlign w:val="superscript"/>
          <w:lang w:val="de-DE"/>
        </w:rPr>
        <w:t>1)</w:t>
      </w:r>
      <w:r w:rsidRPr="00E51CDD">
        <w:rPr>
          <w:sz w:val="18"/>
          <w:vertAlign w:val="superscript"/>
          <w:lang w:val="de-DE"/>
        </w:rPr>
        <w:tab/>
      </w:r>
      <w:r w:rsidRPr="00E51CDD">
        <w:rPr>
          <w:sz w:val="18"/>
          <w:lang w:val="de-DE"/>
        </w:rPr>
        <w:t>Based on estimation.</w:t>
      </w:r>
    </w:p>
    <w:p w14:paraId="231FEBD6" w14:textId="77777777" w:rsidR="00E51CDD" w:rsidRPr="00E51CDD" w:rsidRDefault="00E51CDD" w:rsidP="00E51CDD">
      <w:pPr>
        <w:tabs>
          <w:tab w:val="left" w:pos="284"/>
        </w:tabs>
        <w:spacing w:before="40"/>
      </w:pPr>
    </w:p>
    <w:p w14:paraId="1AA724D2" w14:textId="77777777" w:rsidR="00E51CDD" w:rsidRPr="00E51CDD" w:rsidRDefault="00E51CDD" w:rsidP="00E51CDD">
      <w:pPr>
        <w:tabs>
          <w:tab w:val="left" w:pos="284"/>
        </w:tabs>
        <w:spacing w:before="40"/>
      </w:pPr>
    </w:p>
    <w:p w14:paraId="193C48FC" w14:textId="77777777" w:rsidR="00E51CDD" w:rsidRPr="00E51CDD" w:rsidRDefault="00E51CDD" w:rsidP="00E51CDD">
      <w:pPr>
        <w:widowControl w:val="0"/>
        <w:jc w:val="both"/>
      </w:pPr>
      <w:r w:rsidRPr="00E51CDD">
        <w:t>In a separate study, the EC</w:t>
      </w:r>
      <w:r w:rsidRPr="00E51CDD">
        <w:rPr>
          <w:vertAlign w:val="subscript"/>
        </w:rPr>
        <w:t>50 reproduction</w:t>
      </w:r>
      <w:r w:rsidRPr="00E51CDD">
        <w:t xml:space="preserve"> of the reference item was calculated to be 3.1 mg dimethoate/kg dry soil.</w:t>
      </w:r>
    </w:p>
    <w:p w14:paraId="38C8A3F8" w14:textId="77777777" w:rsidR="00E51CDD" w:rsidRPr="00E51CDD" w:rsidRDefault="00E51CDD" w:rsidP="00E51CDD">
      <w:pPr>
        <w:jc w:val="both"/>
        <w:rPr>
          <w:u w:val="single"/>
        </w:rPr>
      </w:pPr>
    </w:p>
    <w:p w14:paraId="04473252" w14:textId="77777777" w:rsidR="00E51CDD" w:rsidRPr="00E51CDD" w:rsidRDefault="00E51CDD" w:rsidP="00E51CDD">
      <w:pPr>
        <w:jc w:val="both"/>
        <w:rPr>
          <w:u w:val="single"/>
        </w:rPr>
      </w:pPr>
    </w:p>
    <w:p w14:paraId="3A62235F" w14:textId="77777777" w:rsidR="00E51CDD" w:rsidRPr="00E51CDD" w:rsidRDefault="00E51CDD" w:rsidP="00E51CDD">
      <w:pPr>
        <w:jc w:val="both"/>
        <w:rPr>
          <w:u w:val="single"/>
          <w:lang w:val="de-DE"/>
        </w:rPr>
      </w:pPr>
      <w:r w:rsidRPr="00E51CDD">
        <w:rPr>
          <w:u w:val="single"/>
          <w:lang w:val="de-DE"/>
        </w:rPr>
        <w:t>Validity criteria:</w:t>
      </w:r>
    </w:p>
    <w:p w14:paraId="61F3B419" w14:textId="77777777" w:rsidR="00E51CDD" w:rsidRPr="00E51CDD" w:rsidRDefault="00E51CDD" w:rsidP="00E51CDD">
      <w:pPr>
        <w:jc w:val="both"/>
        <w:rPr>
          <w:lang w:val="de-DE"/>
        </w:rPr>
      </w:pPr>
    </w:p>
    <w:tbl>
      <w:tblPr>
        <w:tblStyle w:val="Tabela-Siatka"/>
        <w:tblW w:w="5000" w:type="pct"/>
        <w:tblLook w:val="04A0" w:firstRow="1" w:lastRow="0" w:firstColumn="1" w:lastColumn="0" w:noHBand="0" w:noVBand="1"/>
      </w:tblPr>
      <w:tblGrid>
        <w:gridCol w:w="6866"/>
        <w:gridCol w:w="2478"/>
      </w:tblGrid>
      <w:tr w:rsidR="00E51CDD" w:rsidRPr="00E51CDD" w14:paraId="5A16FA06"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5D5112F3" w14:textId="77777777" w:rsidR="00E51CDD" w:rsidRPr="00E51CDD" w:rsidRDefault="00E51CDD" w:rsidP="00E51CDD">
            <w:pPr>
              <w:widowControl w:val="0"/>
              <w:jc w:val="left"/>
              <w:rPr>
                <w:b/>
                <w:sz w:val="20"/>
                <w:szCs w:val="20"/>
              </w:rPr>
            </w:pPr>
            <w:r w:rsidRPr="00E51CDD">
              <w:rPr>
                <w:b/>
                <w:sz w:val="20"/>
                <w:szCs w:val="20"/>
              </w:rPr>
              <w:t>Validity criteria according to OECD 226 (2016)</w:t>
            </w:r>
          </w:p>
        </w:tc>
        <w:tc>
          <w:tcPr>
            <w:tcW w:w="1326" w:type="pct"/>
            <w:tcBorders>
              <w:top w:val="single" w:sz="4" w:space="0" w:color="auto"/>
              <w:left w:val="single" w:sz="4" w:space="0" w:color="auto"/>
              <w:bottom w:val="single" w:sz="4" w:space="0" w:color="auto"/>
              <w:right w:val="single" w:sz="4" w:space="0" w:color="auto"/>
            </w:tcBorders>
            <w:vAlign w:val="center"/>
            <w:hideMark/>
          </w:tcPr>
          <w:p w14:paraId="0A50D563" w14:textId="77777777" w:rsidR="00E51CDD" w:rsidRPr="00E51CDD" w:rsidRDefault="00E51CDD" w:rsidP="00E51CDD">
            <w:pPr>
              <w:widowControl w:val="0"/>
              <w:jc w:val="left"/>
              <w:rPr>
                <w:b/>
                <w:sz w:val="20"/>
                <w:szCs w:val="20"/>
                <w:lang w:val="de-DE"/>
              </w:rPr>
            </w:pPr>
            <w:r w:rsidRPr="00E51CDD">
              <w:rPr>
                <w:b/>
                <w:sz w:val="20"/>
                <w:szCs w:val="20"/>
                <w:lang w:val="de-DE"/>
              </w:rPr>
              <w:t>Obtained in this study</w:t>
            </w:r>
          </w:p>
        </w:tc>
      </w:tr>
      <w:tr w:rsidR="00E51CDD" w:rsidRPr="00E51CDD" w14:paraId="34EC41FC"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3E82A7D3" w14:textId="77777777" w:rsidR="00E51CDD" w:rsidRPr="00E51CDD" w:rsidRDefault="00E51CDD" w:rsidP="00E51CDD">
            <w:pPr>
              <w:widowControl w:val="0"/>
              <w:jc w:val="left"/>
              <w:rPr>
                <w:sz w:val="20"/>
                <w:szCs w:val="20"/>
              </w:rPr>
            </w:pPr>
            <w:r w:rsidRPr="00E51CDD">
              <w:rPr>
                <w:sz w:val="20"/>
                <w:szCs w:val="20"/>
              </w:rPr>
              <w:t>Mean adult mortality in the control ≤ 20%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356D15DB" w14:textId="77777777" w:rsidR="00E51CDD" w:rsidRPr="00E51CDD" w:rsidRDefault="00E51CDD" w:rsidP="00E51CDD">
            <w:pPr>
              <w:widowControl w:val="0"/>
              <w:jc w:val="left"/>
              <w:rPr>
                <w:sz w:val="20"/>
                <w:szCs w:val="20"/>
                <w:lang w:val="de-DE"/>
              </w:rPr>
            </w:pPr>
            <w:r w:rsidRPr="00E51CDD">
              <w:rPr>
                <w:sz w:val="20"/>
                <w:szCs w:val="20"/>
                <w:lang w:val="de-DE"/>
              </w:rPr>
              <w:t>6.3% (solvent control)</w:t>
            </w:r>
          </w:p>
        </w:tc>
      </w:tr>
      <w:tr w:rsidR="00E51CDD" w:rsidRPr="00E51CDD" w14:paraId="701CDD68"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66AC28B3" w14:textId="77777777" w:rsidR="00E51CDD" w:rsidRPr="00E51CDD" w:rsidRDefault="00E51CDD" w:rsidP="00E51CDD">
            <w:pPr>
              <w:widowControl w:val="0"/>
              <w:jc w:val="left"/>
              <w:rPr>
                <w:sz w:val="20"/>
                <w:szCs w:val="20"/>
              </w:rPr>
            </w:pPr>
            <w:r w:rsidRPr="00E51CDD">
              <w:rPr>
                <w:sz w:val="20"/>
                <w:szCs w:val="20"/>
              </w:rPr>
              <w:t>Mean number of juveniles per control replicate ≥ 50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75A25828" w14:textId="77777777" w:rsidR="00E51CDD" w:rsidRPr="00E51CDD" w:rsidRDefault="00E51CDD" w:rsidP="00E51CDD">
            <w:pPr>
              <w:widowControl w:val="0"/>
              <w:jc w:val="left"/>
              <w:rPr>
                <w:sz w:val="20"/>
                <w:szCs w:val="20"/>
                <w:lang w:val="de-DE"/>
              </w:rPr>
            </w:pPr>
            <w:r w:rsidRPr="00E51CDD">
              <w:rPr>
                <w:sz w:val="20"/>
                <w:szCs w:val="20"/>
                <w:lang w:val="de-DE"/>
              </w:rPr>
              <w:t>301.4</w:t>
            </w:r>
          </w:p>
        </w:tc>
      </w:tr>
      <w:tr w:rsidR="00E51CDD" w:rsidRPr="00E51CDD" w14:paraId="67FC527F" w14:textId="77777777" w:rsidTr="009938D9">
        <w:tc>
          <w:tcPr>
            <w:tcW w:w="3674" w:type="pct"/>
            <w:tcBorders>
              <w:top w:val="single" w:sz="4" w:space="0" w:color="auto"/>
              <w:left w:val="single" w:sz="4" w:space="0" w:color="auto"/>
              <w:bottom w:val="single" w:sz="4" w:space="0" w:color="auto"/>
              <w:right w:val="single" w:sz="4" w:space="0" w:color="auto"/>
            </w:tcBorders>
            <w:vAlign w:val="center"/>
            <w:hideMark/>
          </w:tcPr>
          <w:p w14:paraId="1E66C7C2" w14:textId="77777777" w:rsidR="00E51CDD" w:rsidRPr="00E51CDD" w:rsidRDefault="00E51CDD" w:rsidP="00E51CDD">
            <w:pPr>
              <w:widowControl w:val="0"/>
              <w:jc w:val="left"/>
              <w:rPr>
                <w:sz w:val="20"/>
                <w:szCs w:val="20"/>
              </w:rPr>
            </w:pPr>
            <w:r w:rsidRPr="00E51CDD">
              <w:rPr>
                <w:sz w:val="20"/>
                <w:szCs w:val="20"/>
              </w:rPr>
              <w:t>Coefficient of variation of reproduction in the control ≤ 30%</w:t>
            </w:r>
          </w:p>
        </w:tc>
        <w:tc>
          <w:tcPr>
            <w:tcW w:w="1326" w:type="pct"/>
            <w:tcBorders>
              <w:top w:val="single" w:sz="4" w:space="0" w:color="auto"/>
              <w:left w:val="single" w:sz="4" w:space="0" w:color="auto"/>
              <w:bottom w:val="single" w:sz="4" w:space="0" w:color="auto"/>
              <w:right w:val="single" w:sz="4" w:space="0" w:color="auto"/>
            </w:tcBorders>
            <w:vAlign w:val="center"/>
            <w:hideMark/>
          </w:tcPr>
          <w:p w14:paraId="680A2362" w14:textId="77777777" w:rsidR="00E51CDD" w:rsidRPr="00E51CDD" w:rsidRDefault="00E51CDD" w:rsidP="00E51CDD">
            <w:pPr>
              <w:widowControl w:val="0"/>
              <w:jc w:val="left"/>
              <w:rPr>
                <w:sz w:val="20"/>
                <w:szCs w:val="20"/>
                <w:lang w:val="de-DE"/>
              </w:rPr>
            </w:pPr>
            <w:r w:rsidRPr="00E51CDD">
              <w:rPr>
                <w:sz w:val="20"/>
                <w:szCs w:val="20"/>
                <w:lang w:val="de-DE"/>
              </w:rPr>
              <w:t>13.7%</w:t>
            </w:r>
          </w:p>
        </w:tc>
      </w:tr>
    </w:tbl>
    <w:p w14:paraId="55F5C18E" w14:textId="77777777" w:rsidR="00E51CDD" w:rsidRPr="00E51CDD" w:rsidRDefault="00E51CDD" w:rsidP="00E51CDD"/>
    <w:p w14:paraId="500F423F" w14:textId="77777777" w:rsidR="00E51CDD" w:rsidRPr="00E51CDD" w:rsidRDefault="00E51CDD" w:rsidP="00E51CDD"/>
    <w:p w14:paraId="746D46AC" w14:textId="77777777" w:rsidR="00E51CDD" w:rsidRPr="00E51CDD" w:rsidRDefault="00E51CDD" w:rsidP="00E51CDD">
      <w:r w:rsidRPr="00E51CDD">
        <w:t>All validity criteria were met.</w:t>
      </w:r>
    </w:p>
    <w:p w14:paraId="1F3D21E2" w14:textId="77777777" w:rsidR="00E51CDD" w:rsidRPr="00E51CDD" w:rsidRDefault="00E51CDD" w:rsidP="00E51CDD">
      <w:pPr>
        <w:widowControl w:val="0"/>
        <w:jc w:val="both"/>
      </w:pPr>
    </w:p>
    <w:p w14:paraId="07499613" w14:textId="77777777" w:rsidR="00E51CDD" w:rsidRPr="00E51CDD" w:rsidRDefault="00E51CDD" w:rsidP="00E51CDD">
      <w:pPr>
        <w:widowControl w:val="0"/>
        <w:jc w:val="both"/>
      </w:pPr>
    </w:p>
    <w:p w14:paraId="2D0F0882" w14:textId="77777777" w:rsidR="00E51CDD" w:rsidRPr="00E51CDD" w:rsidRDefault="00E51CDD" w:rsidP="00E51CDD">
      <w:pPr>
        <w:widowControl w:val="0"/>
        <w:tabs>
          <w:tab w:val="left" w:pos="425"/>
          <w:tab w:val="left" w:pos="850"/>
        </w:tabs>
        <w:ind w:left="2835" w:hanging="2835"/>
        <w:jc w:val="both"/>
        <w:rPr>
          <w:b/>
          <w:bCs/>
        </w:rPr>
      </w:pPr>
      <w:r w:rsidRPr="00E51CDD">
        <w:rPr>
          <w:b/>
          <w:bCs/>
        </w:rPr>
        <w:t>III.</w:t>
      </w:r>
      <w:r w:rsidRPr="00E51CDD">
        <w:rPr>
          <w:b/>
          <w:bCs/>
        </w:rPr>
        <w:tab/>
        <w:t>CONCLUSION</w:t>
      </w:r>
    </w:p>
    <w:p w14:paraId="34C62025" w14:textId="77777777" w:rsidR="00E51CDD" w:rsidRPr="00E51CDD" w:rsidRDefault="00E51CDD" w:rsidP="00E51CDD">
      <w:pPr>
        <w:widowControl w:val="0"/>
        <w:jc w:val="both"/>
      </w:pPr>
    </w:p>
    <w:p w14:paraId="2FCBF8C5" w14:textId="77777777" w:rsidR="00E51CDD" w:rsidRPr="00E51CDD" w:rsidRDefault="00E51CDD" w:rsidP="00E51CDD">
      <w:pPr>
        <w:autoSpaceDE w:val="0"/>
        <w:autoSpaceDN w:val="0"/>
        <w:adjustRightInd w:val="0"/>
        <w:jc w:val="both"/>
        <w:rPr>
          <w:rFonts w:eastAsia="Arial,Bold"/>
          <w:b/>
          <w:bCs/>
          <w:lang w:eastAsia="zh-CN"/>
        </w:rPr>
      </w:pPr>
      <w:r w:rsidRPr="00E51CDD">
        <w:rPr>
          <w:rFonts w:eastAsia="Arial,Bold"/>
          <w:b/>
          <w:bCs/>
          <w:lang w:eastAsia="zh-CN"/>
        </w:rPr>
        <w:t xml:space="preserve">In a 14-day </w:t>
      </w:r>
      <w:r w:rsidRPr="00E51CDD">
        <w:rPr>
          <w:rFonts w:eastAsia="Arial,Bold"/>
          <w:b/>
          <w:bCs/>
          <w:i/>
          <w:iCs/>
          <w:lang w:eastAsia="zh-CN"/>
        </w:rPr>
        <w:t xml:space="preserve">Hypoaspis aculeifer </w:t>
      </w:r>
      <w:r w:rsidRPr="00E51CDD">
        <w:rPr>
          <w:rFonts w:eastAsia="Arial,Bold"/>
          <w:b/>
          <w:bCs/>
          <w:lang w:eastAsia="zh-CN"/>
        </w:rPr>
        <w:t>reproduction study with BAS 700 F, the LC</w:t>
      </w:r>
      <w:r w:rsidRPr="00E51CDD">
        <w:rPr>
          <w:rFonts w:eastAsia="Arial,Bold"/>
          <w:b/>
          <w:bCs/>
          <w:vertAlign w:val="subscript"/>
          <w:lang w:eastAsia="zh-CN"/>
        </w:rPr>
        <w:t>50</w:t>
      </w:r>
      <w:r w:rsidRPr="00E51CDD">
        <w:rPr>
          <w:rFonts w:eastAsia="Arial,Bold"/>
          <w:b/>
          <w:bCs/>
          <w:lang w:eastAsia="zh-CN"/>
        </w:rPr>
        <w:t>, EC</w:t>
      </w:r>
      <w:r w:rsidRPr="00E51CDD">
        <w:rPr>
          <w:rFonts w:eastAsia="Arial,Bold"/>
          <w:b/>
          <w:bCs/>
          <w:vertAlign w:val="subscript"/>
          <w:lang w:eastAsia="zh-CN"/>
        </w:rPr>
        <w:t>10</w:t>
      </w:r>
      <w:r w:rsidRPr="00E51CDD">
        <w:rPr>
          <w:rFonts w:eastAsia="Arial,Bold"/>
          <w:b/>
          <w:bCs/>
          <w:lang w:eastAsia="zh-CN"/>
        </w:rPr>
        <w:t>, EC</w:t>
      </w:r>
      <w:r w:rsidRPr="00E51CDD">
        <w:rPr>
          <w:rFonts w:eastAsia="Arial,Bold"/>
          <w:b/>
          <w:bCs/>
          <w:vertAlign w:val="subscript"/>
          <w:lang w:eastAsia="zh-CN"/>
        </w:rPr>
        <w:t>20</w:t>
      </w:r>
      <w:r w:rsidRPr="00E51CDD">
        <w:rPr>
          <w:rFonts w:eastAsia="Arial,Bold"/>
          <w:b/>
          <w:bCs/>
          <w:lang w:eastAsia="zh-CN"/>
        </w:rPr>
        <w:t xml:space="preserve"> and EC</w:t>
      </w:r>
      <w:r w:rsidRPr="00E51CDD">
        <w:rPr>
          <w:rFonts w:eastAsia="Arial,Bold"/>
          <w:b/>
          <w:bCs/>
          <w:vertAlign w:val="subscript"/>
          <w:lang w:eastAsia="zh-CN"/>
        </w:rPr>
        <w:t>50</w:t>
      </w:r>
      <w:r w:rsidRPr="00E51CDD">
        <w:rPr>
          <w:rFonts w:eastAsia="Arial,Bold"/>
          <w:b/>
          <w:bCs/>
          <w:lang w:eastAsia="zh-CN"/>
        </w:rPr>
        <w:t xml:space="preserve"> are estimated to be higher than 1000 mg </w:t>
      </w:r>
      <w:r w:rsidRPr="00E51CDD">
        <w:rPr>
          <w:b/>
        </w:rPr>
        <w:t>BAS 700 F</w:t>
      </w:r>
      <w:r w:rsidRPr="00E51CDD">
        <w:rPr>
          <w:rFonts w:eastAsia="Arial,Bold"/>
          <w:b/>
          <w:bCs/>
          <w:lang w:eastAsia="zh-CN"/>
        </w:rPr>
        <w:t>/kg dry soil, the highest concentration tested. The NOEC for mortality and for reproduction was determined to be ≥ 1000 mg BAS 700 F/kg dry soil, the highest concentration tested.</w:t>
      </w:r>
    </w:p>
    <w:p w14:paraId="3F13626D" w14:textId="77777777" w:rsidR="00E51CDD" w:rsidRPr="00E51CDD" w:rsidRDefault="00E51CDD" w:rsidP="00E51CDD">
      <w:pPr>
        <w:widowControl w:val="0"/>
        <w:jc w:val="both"/>
      </w:pPr>
      <w:r w:rsidRPr="00E51CDD">
        <w:br w:type="page"/>
      </w:r>
    </w:p>
    <w:p w14:paraId="65B3C6AA" w14:textId="77777777" w:rsidR="00E51CDD" w:rsidRPr="00E51CDD" w:rsidRDefault="00E51CDD" w:rsidP="00C5395F">
      <w:pPr>
        <w:pStyle w:val="RepAppendix5"/>
      </w:pPr>
      <w:r w:rsidRPr="00E51CDD">
        <w:lastRenderedPageBreak/>
        <w:t>Study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rsidRPr="00E51CDD" w14:paraId="1558134A" w14:textId="77777777" w:rsidTr="002B5466">
        <w:trPr>
          <w:trHeight w:val="915"/>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D94425" w14:textId="77777777" w:rsidR="00E51CDD" w:rsidRPr="00E51CDD" w:rsidRDefault="00E51CDD" w:rsidP="00E51CDD">
            <w:pPr>
              <w:widowControl w:val="0"/>
              <w:jc w:val="both"/>
              <w:rPr>
                <w:rFonts w:eastAsia="Batang"/>
                <w:lang w:val="en-GB"/>
              </w:rPr>
            </w:pPr>
            <w:r w:rsidRPr="00E51CDD">
              <w:rPr>
                <w:lang w:val="en-GB"/>
              </w:rP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1817DB" w14:textId="3254B6BB" w:rsidR="00E51CDD" w:rsidRPr="00E51CDD" w:rsidRDefault="000C62D5" w:rsidP="00E51CDD">
            <w:pPr>
              <w:widowControl w:val="0"/>
              <w:ind w:left="85"/>
              <w:jc w:val="both"/>
              <w:rPr>
                <w:rFonts w:eastAsia="Batang"/>
                <w:lang w:val="en-GB"/>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6EE8B28E" w14:textId="77777777" w:rsidR="00E51CDD" w:rsidRP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rsidRPr="00E51CDD" w14:paraId="7EE75574" w14:textId="77777777" w:rsidTr="009938D9">
        <w:trPr>
          <w:gridAfter w:val="1"/>
          <w:wAfter w:w="9" w:type="pct"/>
        </w:trPr>
        <w:tc>
          <w:tcPr>
            <w:tcW w:w="1340" w:type="pct"/>
            <w:hideMark/>
          </w:tcPr>
          <w:p w14:paraId="7016E606" w14:textId="77777777" w:rsidR="00E51CDD" w:rsidRPr="00E51CDD" w:rsidRDefault="00E51CDD" w:rsidP="00E51CDD">
            <w:pPr>
              <w:widowControl w:val="0"/>
              <w:jc w:val="both"/>
              <w:rPr>
                <w:lang w:val="de-DE"/>
              </w:rPr>
            </w:pPr>
            <w:r w:rsidRPr="00E51CDD">
              <w:rPr>
                <w:lang w:val="en-GB"/>
              </w:rPr>
              <w:t>Reference:</w:t>
            </w:r>
          </w:p>
        </w:tc>
        <w:tc>
          <w:tcPr>
            <w:tcW w:w="3651" w:type="pct"/>
            <w:hideMark/>
          </w:tcPr>
          <w:p w14:paraId="39835882" w14:textId="77777777" w:rsidR="00E51CDD" w:rsidRPr="00E51CDD" w:rsidRDefault="00E51CDD" w:rsidP="00E51CDD">
            <w:pPr>
              <w:widowControl w:val="0"/>
              <w:jc w:val="both"/>
              <w:rPr>
                <w:lang w:val="en-GB"/>
              </w:rPr>
            </w:pPr>
            <w:r w:rsidRPr="00E51CDD">
              <w:rPr>
                <w:lang w:val="en-GB"/>
              </w:rPr>
              <w:t>CP 10.4.2.1/3</w:t>
            </w:r>
          </w:p>
        </w:tc>
      </w:tr>
      <w:tr w:rsidR="00E51CDD" w:rsidRPr="00E51CDD" w14:paraId="4CD9EC00" w14:textId="77777777" w:rsidTr="009938D9">
        <w:trPr>
          <w:gridAfter w:val="1"/>
          <w:wAfter w:w="9" w:type="pct"/>
        </w:trPr>
        <w:tc>
          <w:tcPr>
            <w:tcW w:w="1340" w:type="pct"/>
            <w:hideMark/>
          </w:tcPr>
          <w:p w14:paraId="0BC6485E" w14:textId="77777777" w:rsidR="00E51CDD" w:rsidRPr="00E51CDD" w:rsidRDefault="00E51CDD" w:rsidP="00E51CDD">
            <w:pPr>
              <w:widowControl w:val="0"/>
              <w:spacing w:after="120"/>
              <w:jc w:val="both"/>
              <w:rPr>
                <w:lang w:val="en-GB"/>
              </w:rPr>
            </w:pPr>
            <w:r w:rsidRPr="00E51CDD">
              <w:rPr>
                <w:lang w:val="en-GB"/>
              </w:rPr>
              <w:t>Report</w:t>
            </w:r>
          </w:p>
        </w:tc>
        <w:tc>
          <w:tcPr>
            <w:tcW w:w="3651" w:type="pct"/>
            <w:hideMark/>
          </w:tcPr>
          <w:p w14:paraId="50D2F020" w14:textId="77777777" w:rsidR="00E51CDD" w:rsidRPr="00E51CDD" w:rsidRDefault="00E51CDD" w:rsidP="00E51CDD">
            <w:pPr>
              <w:widowControl w:val="0"/>
              <w:spacing w:after="120"/>
              <w:jc w:val="both"/>
            </w:pPr>
            <w:r w:rsidRPr="00E51CDD">
              <w:t>Effects of BAS 736 00 F on the reproduction of the collembolan Folsomia candida,</w:t>
            </w:r>
          </w:p>
          <w:p w14:paraId="4752DB62" w14:textId="77777777" w:rsidR="00E51CDD" w:rsidRPr="00E51CDD" w:rsidRDefault="00E51CDD" w:rsidP="00E51CDD">
            <w:pPr>
              <w:widowControl w:val="0"/>
              <w:spacing w:after="120"/>
              <w:jc w:val="both"/>
            </w:pPr>
            <w:r w:rsidRPr="00E51CDD">
              <w:t>Friedrich, S., 2019</w:t>
            </w:r>
          </w:p>
          <w:p w14:paraId="50B71DAF" w14:textId="77777777" w:rsidR="00E51CDD" w:rsidRPr="00E51CDD" w:rsidRDefault="00E51CDD" w:rsidP="00E51CDD">
            <w:pPr>
              <w:widowControl w:val="0"/>
              <w:spacing w:after="120"/>
              <w:jc w:val="both"/>
            </w:pPr>
            <w:r w:rsidRPr="00E51CDD">
              <w:t>report No 849653, 1948TCC0036</w:t>
            </w:r>
          </w:p>
          <w:p w14:paraId="1BFAAFAC" w14:textId="77777777" w:rsidR="00E51CDD" w:rsidRPr="00E51CDD" w:rsidRDefault="00E51CDD" w:rsidP="00E51CDD">
            <w:pPr>
              <w:widowControl w:val="0"/>
              <w:spacing w:after="120"/>
              <w:jc w:val="both"/>
              <w:rPr>
                <w:lang w:val="en-GB"/>
              </w:rPr>
            </w:pPr>
            <w:r w:rsidRPr="00E51CDD">
              <w:t>2019/1061097</w:t>
            </w:r>
          </w:p>
          <w:p w14:paraId="7B321EF1" w14:textId="77777777" w:rsidR="00E51CDD" w:rsidRPr="00E51CDD" w:rsidRDefault="00E51CDD" w:rsidP="00E51CDD">
            <w:pPr>
              <w:widowControl w:val="0"/>
              <w:jc w:val="both"/>
              <w:rPr>
                <w:lang w:val="en-GB"/>
              </w:rPr>
            </w:pPr>
            <w:r w:rsidRPr="00E51CDD">
              <w:rPr>
                <w:lang w:val="en-GB"/>
              </w:rPr>
              <w:t>Authority registration No</w:t>
            </w:r>
          </w:p>
        </w:tc>
      </w:tr>
      <w:tr w:rsidR="00E51CDD" w:rsidRPr="00E51CDD" w14:paraId="147E99E1" w14:textId="77777777" w:rsidTr="009938D9">
        <w:trPr>
          <w:gridAfter w:val="1"/>
          <w:wAfter w:w="9" w:type="pct"/>
        </w:trPr>
        <w:tc>
          <w:tcPr>
            <w:tcW w:w="1340" w:type="pct"/>
            <w:hideMark/>
          </w:tcPr>
          <w:p w14:paraId="5F3F9DEE" w14:textId="77777777" w:rsidR="00E51CDD" w:rsidRPr="00E51CDD" w:rsidRDefault="00E51CDD" w:rsidP="00E51CDD">
            <w:pPr>
              <w:widowControl w:val="0"/>
              <w:jc w:val="both"/>
              <w:rPr>
                <w:lang w:val="en-GB"/>
              </w:rPr>
            </w:pPr>
            <w:r w:rsidRPr="00E51CDD">
              <w:rPr>
                <w:lang w:val="en-GB"/>
              </w:rPr>
              <w:t>Guideline(s):</w:t>
            </w:r>
          </w:p>
        </w:tc>
        <w:tc>
          <w:tcPr>
            <w:tcW w:w="3651" w:type="pct"/>
            <w:hideMark/>
          </w:tcPr>
          <w:p w14:paraId="269A9CD0" w14:textId="77777777" w:rsidR="00E51CDD" w:rsidRPr="00E51CDD" w:rsidRDefault="00E51CDD" w:rsidP="00E51CDD">
            <w:pPr>
              <w:widowControl w:val="0"/>
              <w:spacing w:after="120"/>
              <w:jc w:val="both"/>
              <w:rPr>
                <w:lang w:val="en-GB"/>
              </w:rPr>
            </w:pPr>
            <w:r w:rsidRPr="00E51CDD">
              <w:t>OECD 232</w:t>
            </w:r>
            <w:r w:rsidRPr="00E51CDD">
              <w:rPr>
                <w:lang w:val="en-GB"/>
              </w:rPr>
              <w:t xml:space="preserve"> </w:t>
            </w:r>
          </w:p>
        </w:tc>
      </w:tr>
      <w:tr w:rsidR="00E51CDD" w:rsidRPr="00E51CDD" w14:paraId="3789CAF2" w14:textId="77777777" w:rsidTr="009938D9">
        <w:trPr>
          <w:gridAfter w:val="1"/>
          <w:wAfter w:w="9" w:type="pct"/>
        </w:trPr>
        <w:tc>
          <w:tcPr>
            <w:tcW w:w="1340" w:type="pct"/>
            <w:hideMark/>
          </w:tcPr>
          <w:p w14:paraId="57E1F6B2" w14:textId="77777777" w:rsidR="00E51CDD" w:rsidRPr="00E51CDD" w:rsidRDefault="00E51CDD" w:rsidP="00E51CDD">
            <w:pPr>
              <w:widowControl w:val="0"/>
              <w:jc w:val="both"/>
              <w:rPr>
                <w:lang w:val="en-GB"/>
              </w:rPr>
            </w:pPr>
            <w:r w:rsidRPr="00E51CDD">
              <w:rPr>
                <w:lang w:val="en-GB"/>
              </w:rPr>
              <w:t>Deviations:</w:t>
            </w:r>
          </w:p>
        </w:tc>
        <w:tc>
          <w:tcPr>
            <w:tcW w:w="3651" w:type="pct"/>
            <w:hideMark/>
          </w:tcPr>
          <w:p w14:paraId="12C20014" w14:textId="77777777" w:rsidR="00E51CDD" w:rsidRPr="00E51CDD" w:rsidRDefault="00E51CDD" w:rsidP="00E51CDD">
            <w:pPr>
              <w:widowControl w:val="0"/>
              <w:spacing w:after="120"/>
              <w:jc w:val="both"/>
              <w:rPr>
                <w:lang w:val="en-GB"/>
              </w:rPr>
            </w:pPr>
            <w:r w:rsidRPr="00E51CDD">
              <w:rPr>
                <w:lang w:val="en-GB"/>
              </w:rPr>
              <w:t>No</w:t>
            </w:r>
          </w:p>
        </w:tc>
      </w:tr>
      <w:tr w:rsidR="00E51CDD" w:rsidRPr="00662F32" w14:paraId="42596A00" w14:textId="77777777" w:rsidTr="009938D9">
        <w:tc>
          <w:tcPr>
            <w:tcW w:w="1340" w:type="pct"/>
            <w:hideMark/>
          </w:tcPr>
          <w:p w14:paraId="3C3B6AEC" w14:textId="77777777" w:rsidR="00E51CDD" w:rsidRPr="00E51CDD" w:rsidRDefault="00E51CDD" w:rsidP="00E51CDD">
            <w:pPr>
              <w:widowControl w:val="0"/>
              <w:jc w:val="both"/>
              <w:rPr>
                <w:lang w:val="en-GB"/>
              </w:rPr>
            </w:pPr>
            <w:r w:rsidRPr="00E51CDD">
              <w:rPr>
                <w:lang w:val="en-GB"/>
              </w:rPr>
              <w:t>GLP:</w:t>
            </w:r>
          </w:p>
        </w:tc>
        <w:tc>
          <w:tcPr>
            <w:tcW w:w="3660" w:type="pct"/>
            <w:gridSpan w:val="2"/>
            <w:hideMark/>
          </w:tcPr>
          <w:p w14:paraId="4E81C4BD" w14:textId="77777777" w:rsidR="00E51CDD" w:rsidRPr="00E51CDD" w:rsidRDefault="00E51CDD" w:rsidP="00E51CDD">
            <w:pPr>
              <w:tabs>
                <w:tab w:val="left" w:pos="425"/>
                <w:tab w:val="left" w:pos="850"/>
              </w:tabs>
              <w:spacing w:after="120"/>
              <w:ind w:left="1985" w:hanging="1985"/>
              <w:rPr>
                <w:b/>
                <w:lang w:val="de-DE"/>
              </w:rPr>
            </w:pPr>
            <w:r w:rsidRPr="00E51CDD">
              <w:rPr>
                <w:lang w:val="de-DE"/>
              </w:rPr>
              <w:t>yes</w:t>
            </w:r>
          </w:p>
          <w:p w14:paraId="63655ACE" w14:textId="77777777" w:rsidR="00E51CDD" w:rsidRPr="00E51CDD" w:rsidRDefault="00E51CDD" w:rsidP="00E51CDD">
            <w:pPr>
              <w:widowControl w:val="0"/>
              <w:spacing w:after="120"/>
              <w:rPr>
                <w:lang w:val="de-DE"/>
              </w:rPr>
            </w:pPr>
            <w:r w:rsidRPr="00E51CDD">
              <w:rPr>
                <w:lang w:val="de-DE"/>
              </w:rPr>
              <w:t>(certified by Saechsisches Staatsministerium fuer Umwelt und Landwirtschaft, Dresden, Germany),</w:t>
            </w:r>
          </w:p>
        </w:tc>
      </w:tr>
      <w:tr w:rsidR="00E51CDD" w:rsidRPr="00E51CDD" w14:paraId="682BA727" w14:textId="77777777" w:rsidTr="009938D9">
        <w:trPr>
          <w:gridAfter w:val="1"/>
          <w:wAfter w:w="9" w:type="pct"/>
        </w:trPr>
        <w:tc>
          <w:tcPr>
            <w:tcW w:w="1340" w:type="pct"/>
            <w:hideMark/>
          </w:tcPr>
          <w:p w14:paraId="7B4461AE" w14:textId="77777777" w:rsidR="00E51CDD" w:rsidRPr="00E51CDD" w:rsidRDefault="00E51CDD" w:rsidP="00E51CDD">
            <w:pPr>
              <w:widowControl w:val="0"/>
              <w:jc w:val="both"/>
              <w:rPr>
                <w:lang w:val="de-DE"/>
              </w:rPr>
            </w:pPr>
            <w:r w:rsidRPr="00E51CDD">
              <w:rPr>
                <w:lang w:val="en-GB"/>
              </w:rPr>
              <w:t>Acceptability:</w:t>
            </w:r>
          </w:p>
        </w:tc>
        <w:tc>
          <w:tcPr>
            <w:tcW w:w="3651" w:type="pct"/>
            <w:hideMark/>
          </w:tcPr>
          <w:p w14:paraId="09644EB2" w14:textId="77777777" w:rsidR="00E51CDD" w:rsidRPr="00E51CDD" w:rsidRDefault="00E51CDD" w:rsidP="00E51CDD">
            <w:pPr>
              <w:widowControl w:val="0"/>
              <w:jc w:val="both"/>
              <w:rPr>
                <w:lang w:val="en-GB"/>
              </w:rPr>
            </w:pPr>
            <w:r w:rsidRPr="00E51CDD">
              <w:rPr>
                <w:lang w:val="en-GB"/>
              </w:rPr>
              <w:t xml:space="preserve">Yes </w:t>
            </w:r>
          </w:p>
        </w:tc>
      </w:tr>
      <w:tr w:rsidR="00E51CDD" w:rsidRPr="00E51CDD" w14:paraId="416141D3" w14:textId="77777777" w:rsidTr="009938D9">
        <w:trPr>
          <w:gridAfter w:val="1"/>
          <w:wAfter w:w="9" w:type="pct"/>
        </w:trPr>
        <w:tc>
          <w:tcPr>
            <w:tcW w:w="1340" w:type="pct"/>
            <w:hideMark/>
          </w:tcPr>
          <w:p w14:paraId="6DB86E9D" w14:textId="77777777" w:rsidR="00E51CDD" w:rsidRPr="00E51CDD" w:rsidRDefault="00E51CDD" w:rsidP="00E51CDD">
            <w:pPr>
              <w:widowControl w:val="0"/>
              <w:jc w:val="both"/>
              <w:rPr>
                <w:lang w:val="en-GB"/>
              </w:rPr>
            </w:pPr>
            <w:r w:rsidRPr="00E51CDD">
              <w:rPr>
                <w:lang w:val="en-GB"/>
              </w:rPr>
              <w:t xml:space="preserve">Duplication </w:t>
            </w:r>
            <w:r w:rsidRPr="00E51CDD">
              <w:rPr>
                <w:lang w:val="en-GB"/>
              </w:rPr>
              <w:br/>
              <w:t>(if vertebrate study)</w:t>
            </w:r>
          </w:p>
        </w:tc>
        <w:tc>
          <w:tcPr>
            <w:tcW w:w="3651" w:type="pct"/>
            <w:hideMark/>
          </w:tcPr>
          <w:p w14:paraId="57786901" w14:textId="77777777" w:rsidR="00E51CDD" w:rsidRPr="00E51CDD" w:rsidRDefault="00E51CDD" w:rsidP="00E51CDD">
            <w:pPr>
              <w:widowControl w:val="0"/>
              <w:spacing w:after="120"/>
              <w:jc w:val="both"/>
              <w:rPr>
                <w:highlight w:val="yellow"/>
                <w:lang w:val="en-GB"/>
              </w:rPr>
            </w:pPr>
            <w:r w:rsidRPr="00E51CDD">
              <w:rPr>
                <w:lang w:val="en-GB"/>
              </w:rPr>
              <w:t xml:space="preserve">No </w:t>
            </w:r>
          </w:p>
        </w:tc>
      </w:tr>
    </w:tbl>
    <w:p w14:paraId="4B271C29" w14:textId="77777777" w:rsidR="00E51CDD" w:rsidRPr="00E51CDD" w:rsidRDefault="00E51CDD" w:rsidP="00E51CDD">
      <w:pPr>
        <w:widowControl w:val="0"/>
        <w:jc w:val="both"/>
        <w:rPr>
          <w:color w:val="0070C0"/>
        </w:rPr>
      </w:pPr>
    </w:p>
    <w:p w14:paraId="367028F0" w14:textId="77777777" w:rsidR="00E51CDD" w:rsidRPr="00E51CDD" w:rsidRDefault="00E51CDD" w:rsidP="00E51CDD">
      <w:pPr>
        <w:widowControl w:val="0"/>
        <w:jc w:val="both"/>
        <w:rPr>
          <w:color w:val="0070C0"/>
        </w:rPr>
      </w:pPr>
    </w:p>
    <w:p w14:paraId="07DF4314" w14:textId="77777777" w:rsidR="00E51CDD" w:rsidRPr="00E51CDD" w:rsidRDefault="00E51CDD" w:rsidP="00E51CDD">
      <w:pPr>
        <w:widowControl w:val="0"/>
        <w:jc w:val="both"/>
        <w:rPr>
          <w:b/>
          <w:lang w:eastAsia="en-US"/>
        </w:rPr>
      </w:pPr>
      <w:r w:rsidRPr="00E51CDD">
        <w:rPr>
          <w:b/>
          <w:lang w:eastAsia="en-US"/>
        </w:rPr>
        <w:t>Executive Summary</w:t>
      </w:r>
    </w:p>
    <w:p w14:paraId="1B1CF91C" w14:textId="77777777" w:rsidR="00E51CDD" w:rsidRPr="00E51CDD" w:rsidRDefault="00E51CDD" w:rsidP="00E51CDD">
      <w:pPr>
        <w:widowControl w:val="0"/>
        <w:jc w:val="both"/>
        <w:rPr>
          <w:lang w:eastAsia="en-US"/>
        </w:rPr>
      </w:pPr>
    </w:p>
    <w:p w14:paraId="418D6C68" w14:textId="77777777" w:rsidR="00E51CDD" w:rsidRPr="00E51CDD" w:rsidRDefault="00E51CDD" w:rsidP="00E51CDD">
      <w:pPr>
        <w:widowControl w:val="0"/>
        <w:jc w:val="both"/>
        <w:rPr>
          <w:color w:val="0070C0"/>
          <w:lang w:eastAsia="en-US"/>
        </w:rPr>
      </w:pPr>
      <w:r w:rsidRPr="00E51CDD">
        <w:rPr>
          <w:lang w:eastAsia="en-US"/>
        </w:rPr>
        <w:t xml:space="preserve">The effects of BAS 736 00 F on survival and reproduction of the collembolan </w:t>
      </w:r>
      <w:r w:rsidRPr="00E51CDD">
        <w:rPr>
          <w:i/>
          <w:lang w:eastAsia="en-US"/>
        </w:rPr>
        <w:t>Folsomia candida</w:t>
      </w:r>
      <w:r w:rsidRPr="00E51CDD">
        <w:rPr>
          <w:lang w:eastAsia="en-US"/>
        </w:rPr>
        <w:t xml:space="preserve"> were investigated in a laboratory study over 28 days. </w:t>
      </w:r>
      <w:r w:rsidRPr="00E51CDD">
        <w:rPr>
          <w:szCs w:val="24"/>
          <w:lang w:eastAsia="en-US"/>
        </w:rPr>
        <w:t xml:space="preserve">The test item was mixed into artificial soil (5% peat) at concentrations of </w:t>
      </w:r>
      <w:bookmarkStart w:id="1271" w:name="_Hlk79053801"/>
      <w:r w:rsidRPr="00E51CDD">
        <w:rPr>
          <w:lang w:eastAsia="en-US"/>
        </w:rPr>
        <w:t>30, 51, 87, 147, 251, 426, 724, 1231 mg BAS 736 00 F</w:t>
      </w:r>
      <w:bookmarkEnd w:id="1271"/>
      <w:r w:rsidRPr="00E51CDD">
        <w:rPr>
          <w:lang w:eastAsia="en-US"/>
        </w:rPr>
        <w:t>/kg dry soil w</w:t>
      </w:r>
      <w:r w:rsidRPr="00E51CDD">
        <w:rPr>
          <w:szCs w:val="24"/>
        </w:rPr>
        <w:t>ith 4 replicates per treatment. An untreated control with 8 replicates was included.</w:t>
      </w:r>
      <w:r w:rsidRPr="00E51CDD">
        <w:rPr>
          <w:lang w:eastAsia="en-US"/>
        </w:rPr>
        <w:t xml:space="preserve"> Each replicate contained 10 juvenile collembolans. Assessment of adult mortality and reproduction (number of juveniles) was carried out after 28 days. </w:t>
      </w:r>
    </w:p>
    <w:p w14:paraId="6984A553" w14:textId="77777777" w:rsidR="00E51CDD" w:rsidRPr="00E51CDD" w:rsidRDefault="00E51CDD" w:rsidP="00E51CDD">
      <w:pPr>
        <w:widowControl w:val="0"/>
        <w:jc w:val="both"/>
        <w:rPr>
          <w:color w:val="0070C0"/>
          <w:lang w:eastAsia="en-US"/>
        </w:rPr>
      </w:pPr>
    </w:p>
    <w:p w14:paraId="20C74F4D" w14:textId="77777777" w:rsidR="00E51CDD" w:rsidRPr="00E51CDD" w:rsidRDefault="00E51CDD" w:rsidP="00E51CDD">
      <w:pPr>
        <w:widowControl w:val="0"/>
        <w:jc w:val="both"/>
        <w:rPr>
          <w:lang w:eastAsia="en-US"/>
        </w:rPr>
      </w:pPr>
      <w:r w:rsidRPr="00E51CDD">
        <w:rPr>
          <w:lang w:eastAsia="en-US"/>
        </w:rPr>
        <w:t>After 28 days of exposure, mortalities ranging from 0.0% to 100.0% were observed in the test item treatments compared to 2.5% in the control. Statistically significant differences on mortality were observed at concentrations of 426, 724 and 1231 mg BAS 736 00 F/kg dry soil. In the control, a mean of 1342 juveniles were counted. In the treatment groups, a mean number of juveniles between 43 to 1368 was counted. This is corresponding to a reproduction relative to the control between 3.2% and 102.0%. Statistically significant reductions in the number of juveniles were observed in the test concentrations of 251 mg BAS 736 00 F/kg dry soil and above. No behavioral abnormalities were observed at any tested concentration.</w:t>
      </w:r>
    </w:p>
    <w:p w14:paraId="1939F0E7" w14:textId="77777777" w:rsidR="00E51CDD" w:rsidRPr="00E51CDD" w:rsidRDefault="00E51CDD" w:rsidP="00E51CDD">
      <w:pPr>
        <w:widowControl w:val="0"/>
        <w:jc w:val="both"/>
        <w:rPr>
          <w:b/>
          <w:color w:val="0070C0"/>
          <w:lang w:eastAsia="en-US"/>
        </w:rPr>
      </w:pPr>
    </w:p>
    <w:p w14:paraId="5EDB7CAC" w14:textId="77777777" w:rsidR="00E51CDD" w:rsidRPr="00E51CDD" w:rsidRDefault="00E51CDD" w:rsidP="00E51CDD">
      <w:pPr>
        <w:widowControl w:val="0"/>
        <w:jc w:val="both"/>
        <w:rPr>
          <w:b/>
          <w:lang w:eastAsia="en-US"/>
        </w:rPr>
      </w:pPr>
      <w:r w:rsidRPr="00E51CDD">
        <w:rPr>
          <w:b/>
          <w:lang w:eastAsia="en-US"/>
        </w:rPr>
        <w:t xml:space="preserve">In a 28-day collembolan reproduction study with </w:t>
      </w:r>
      <w:r w:rsidRPr="00E51CDD">
        <w:rPr>
          <w:b/>
        </w:rPr>
        <w:t xml:space="preserve">BAS 736 00 F, </w:t>
      </w:r>
      <w:r w:rsidRPr="00E51CDD">
        <w:rPr>
          <w:b/>
          <w:lang w:eastAsia="en-US"/>
        </w:rPr>
        <w:t>the LC</w:t>
      </w:r>
      <w:r w:rsidRPr="00E51CDD">
        <w:rPr>
          <w:b/>
          <w:vertAlign w:val="subscript"/>
          <w:lang w:eastAsia="en-US"/>
        </w:rPr>
        <w:t>50</w:t>
      </w:r>
      <w:r w:rsidRPr="00E51CDD">
        <w:rPr>
          <w:b/>
          <w:lang w:eastAsia="en-US"/>
        </w:rPr>
        <w:t xml:space="preserve"> was determined to be 529 mg/kg dry soil and the NOEC for mortality was 251 mg/kg dry soil. For reproduction, the EC</w:t>
      </w:r>
      <w:r w:rsidRPr="00E51CDD">
        <w:rPr>
          <w:b/>
          <w:vertAlign w:val="subscript"/>
          <w:lang w:eastAsia="en-US"/>
        </w:rPr>
        <w:t>10</w:t>
      </w:r>
      <w:r w:rsidRPr="00E51CDD">
        <w:rPr>
          <w:b/>
          <w:lang w:eastAsia="en-US"/>
        </w:rPr>
        <w:t xml:space="preserve"> was determined to be 232 mg/kg dry soil and the NOEC was determined to be 147 mg/kg dry soil.</w:t>
      </w:r>
    </w:p>
    <w:p w14:paraId="254AB983" w14:textId="77777777" w:rsidR="00E51CDD" w:rsidRPr="00E51CDD" w:rsidRDefault="00E51CDD" w:rsidP="00E51CDD">
      <w:pPr>
        <w:widowControl w:val="0"/>
        <w:jc w:val="both"/>
        <w:rPr>
          <w:b/>
          <w:lang w:eastAsia="en-US"/>
        </w:rPr>
      </w:pPr>
    </w:p>
    <w:p w14:paraId="3EBBA710" w14:textId="77777777" w:rsidR="00E51CDD" w:rsidRPr="00E51CDD" w:rsidRDefault="00E51CDD" w:rsidP="00E51CDD">
      <w:pPr>
        <w:widowControl w:val="0"/>
        <w:jc w:val="both"/>
        <w:rPr>
          <w:color w:val="0070C0"/>
          <w:lang w:eastAsia="en-US"/>
        </w:rPr>
      </w:pPr>
      <w:r w:rsidRPr="00E51CDD">
        <w:rPr>
          <w:color w:val="0070C0"/>
          <w:lang w:eastAsia="en-US"/>
        </w:rPr>
        <w:br w:type="page"/>
      </w:r>
    </w:p>
    <w:p w14:paraId="4004EDCD" w14:textId="77777777" w:rsidR="00E51CDD" w:rsidRPr="00E51CDD" w:rsidRDefault="00E51CDD" w:rsidP="00E51CDD">
      <w:pPr>
        <w:widowControl w:val="0"/>
        <w:tabs>
          <w:tab w:val="left" w:pos="425"/>
          <w:tab w:val="left" w:pos="850"/>
        </w:tabs>
        <w:ind w:left="2835" w:hanging="2835"/>
        <w:jc w:val="both"/>
        <w:rPr>
          <w:b/>
          <w:bCs/>
        </w:rPr>
      </w:pPr>
      <w:r w:rsidRPr="00E51CDD">
        <w:rPr>
          <w:b/>
          <w:bCs/>
        </w:rPr>
        <w:lastRenderedPageBreak/>
        <w:t>I.</w:t>
      </w:r>
      <w:r w:rsidRPr="00E51CDD">
        <w:rPr>
          <w:b/>
          <w:bCs/>
        </w:rPr>
        <w:tab/>
        <w:t>MATERIALS AND METHODS</w:t>
      </w:r>
    </w:p>
    <w:p w14:paraId="182394E9" w14:textId="77777777" w:rsidR="00E51CDD" w:rsidRPr="00E51CDD" w:rsidRDefault="00E51CDD" w:rsidP="00E51CDD">
      <w:pPr>
        <w:widowControl w:val="0"/>
        <w:jc w:val="both"/>
      </w:pPr>
    </w:p>
    <w:p w14:paraId="28147468" w14:textId="77777777" w:rsidR="00E51CDD" w:rsidRPr="00E51CDD" w:rsidRDefault="00E51CDD" w:rsidP="00E51CDD">
      <w:pPr>
        <w:widowControl w:val="0"/>
        <w:tabs>
          <w:tab w:val="left" w:pos="425"/>
          <w:tab w:val="left" w:pos="850"/>
        </w:tabs>
        <w:ind w:left="2835" w:hanging="2835"/>
        <w:jc w:val="both"/>
        <w:rPr>
          <w:b/>
          <w:bCs/>
        </w:rPr>
      </w:pPr>
      <w:r w:rsidRPr="00E51CDD">
        <w:rPr>
          <w:b/>
          <w:bCs/>
        </w:rPr>
        <w:t>A.</w:t>
      </w:r>
      <w:r w:rsidRPr="00E51CDD">
        <w:rPr>
          <w:b/>
          <w:bCs/>
        </w:rPr>
        <w:tab/>
        <w:t>MATERIALS</w:t>
      </w:r>
    </w:p>
    <w:p w14:paraId="33C27161" w14:textId="77777777" w:rsidR="00E51CDD" w:rsidRPr="00E51CDD" w:rsidRDefault="00E51CDD" w:rsidP="00E51CDD">
      <w:pPr>
        <w:widowControl w:val="0"/>
        <w:ind w:left="2040" w:hanging="2040"/>
        <w:jc w:val="both"/>
      </w:pPr>
    </w:p>
    <w:p w14:paraId="45846789" w14:textId="77777777" w:rsidR="00E51CDD" w:rsidRPr="00E51CDD" w:rsidRDefault="00E51CDD" w:rsidP="00E51CDD">
      <w:pPr>
        <w:widowControl w:val="0"/>
        <w:ind w:left="2040" w:hanging="2040"/>
        <w:jc w:val="both"/>
        <w:rPr>
          <w:lang w:eastAsia="en-US"/>
        </w:rPr>
      </w:pPr>
      <w:r w:rsidRPr="00E51CDD">
        <w:t xml:space="preserve">Test item: </w:t>
      </w:r>
      <w:r w:rsidRPr="00E51CDD">
        <w:tab/>
      </w:r>
      <w:r w:rsidRPr="00E51CDD">
        <w:rPr>
          <w:rFonts w:eastAsia="Calibri"/>
          <w:szCs w:val="24"/>
          <w:lang w:eastAsia="en-US"/>
        </w:rPr>
        <w:t>BAS 736 00 F; batch no. FD-190220-0002; content of a.s.: azoxystrobin (BAS 9164 F, Reg. No. 300 254): 73.9 g/L analyzed (75.0</w:t>
      </w:r>
      <w:r w:rsidRPr="00E51CDD">
        <w:rPr>
          <w:rFonts w:eastAsia="Calibri"/>
          <w:lang w:eastAsia="en-US"/>
        </w:rPr>
        <w:t> g</w:t>
      </w:r>
      <w:r w:rsidRPr="00E51CDD">
        <w:rPr>
          <w:rFonts w:eastAsia="Calibri"/>
          <w:szCs w:val="24"/>
          <w:lang w:eastAsia="en-US"/>
        </w:rPr>
        <w:t>/L nominal), fluxapyroxad (BAS 700 F, Reg. No. 5 094 351): 49.4 g/L analyzed (50.0 g/L nominal); density: 1.078 g/cm³.</w:t>
      </w:r>
    </w:p>
    <w:p w14:paraId="0384CFAF" w14:textId="77777777" w:rsidR="00E51CDD" w:rsidRPr="00E51CDD" w:rsidRDefault="00E51CDD" w:rsidP="00E51CDD">
      <w:pPr>
        <w:widowControl w:val="0"/>
        <w:jc w:val="both"/>
        <w:rPr>
          <w:lang w:eastAsia="en-US"/>
        </w:rPr>
      </w:pPr>
    </w:p>
    <w:p w14:paraId="1920290B" w14:textId="77777777" w:rsidR="00E51CDD" w:rsidRPr="00E51CDD" w:rsidRDefault="00E51CDD" w:rsidP="00E51CDD">
      <w:pPr>
        <w:widowControl w:val="0"/>
        <w:tabs>
          <w:tab w:val="left" w:pos="425"/>
          <w:tab w:val="left" w:pos="850"/>
        </w:tabs>
        <w:ind w:left="2835" w:hanging="2835"/>
        <w:jc w:val="both"/>
        <w:rPr>
          <w:b/>
          <w:bCs/>
        </w:rPr>
      </w:pPr>
      <w:r w:rsidRPr="00E51CDD">
        <w:rPr>
          <w:b/>
          <w:bCs/>
        </w:rPr>
        <w:t>B.</w:t>
      </w:r>
      <w:r w:rsidRPr="00E51CDD">
        <w:rPr>
          <w:b/>
          <w:bCs/>
        </w:rPr>
        <w:tab/>
        <w:t>STUDY DESIGN</w:t>
      </w:r>
    </w:p>
    <w:p w14:paraId="01D354E1" w14:textId="77777777" w:rsidR="00E51CDD" w:rsidRPr="00E51CDD" w:rsidRDefault="00E51CDD" w:rsidP="00E51CDD">
      <w:pPr>
        <w:widowControl w:val="0"/>
        <w:ind w:left="2040" w:hanging="2040"/>
        <w:jc w:val="both"/>
        <w:rPr>
          <w:lang w:eastAsia="en-US"/>
        </w:rPr>
      </w:pPr>
    </w:p>
    <w:p w14:paraId="236BF2F6" w14:textId="77777777" w:rsidR="00E51CDD" w:rsidRPr="00E51CDD" w:rsidRDefault="00E51CDD" w:rsidP="00E51CDD">
      <w:pPr>
        <w:widowControl w:val="0"/>
        <w:ind w:left="2040" w:hanging="2040"/>
        <w:jc w:val="both"/>
        <w:rPr>
          <w:lang w:eastAsia="en-US"/>
        </w:rPr>
      </w:pPr>
      <w:r w:rsidRPr="00E51CDD">
        <w:rPr>
          <w:lang w:eastAsia="en-US"/>
        </w:rPr>
        <w:t>Test species:</w:t>
      </w:r>
      <w:r w:rsidRPr="00E51CDD">
        <w:rPr>
          <w:lang w:eastAsia="en-US"/>
        </w:rPr>
        <w:tab/>
        <w:t>Collembola (</w:t>
      </w:r>
      <w:r w:rsidRPr="00E51CDD">
        <w:rPr>
          <w:i/>
          <w:lang w:eastAsia="en-US"/>
        </w:rPr>
        <w:t>Folsomia candida</w:t>
      </w:r>
      <w:r w:rsidRPr="00E51CDD">
        <w:rPr>
          <w:iCs/>
          <w:lang w:eastAsia="en-US"/>
        </w:rPr>
        <w:t>)</w:t>
      </w:r>
      <w:r w:rsidRPr="00E51CDD">
        <w:rPr>
          <w:lang w:eastAsia="en-US"/>
        </w:rPr>
        <w:t>, juveniles, 9 - 12 days old; source: in-house culture.</w:t>
      </w:r>
    </w:p>
    <w:p w14:paraId="7F549C2F" w14:textId="77777777" w:rsidR="00E51CDD" w:rsidRPr="00E51CDD" w:rsidRDefault="00E51CDD" w:rsidP="00E51CDD">
      <w:pPr>
        <w:widowControl w:val="0"/>
        <w:ind w:left="2040" w:hanging="2040"/>
        <w:jc w:val="both"/>
        <w:rPr>
          <w:color w:val="0070C0"/>
          <w:highlight w:val="yellow"/>
          <w:lang w:eastAsia="en-US"/>
        </w:rPr>
      </w:pPr>
    </w:p>
    <w:p w14:paraId="6BF8BF97" w14:textId="77777777" w:rsidR="00E51CDD" w:rsidRPr="00E51CDD" w:rsidRDefault="00E51CDD" w:rsidP="00E51CDD">
      <w:pPr>
        <w:widowControl w:val="0"/>
        <w:ind w:left="2040" w:hanging="2040"/>
        <w:jc w:val="both"/>
        <w:rPr>
          <w:color w:val="0070C0"/>
          <w:lang w:eastAsia="en-US"/>
        </w:rPr>
      </w:pPr>
      <w:r w:rsidRPr="00E51CDD">
        <w:rPr>
          <w:lang w:eastAsia="en-US"/>
        </w:rPr>
        <w:t>Test design:</w:t>
      </w:r>
      <w:r w:rsidRPr="00E51CDD">
        <w:rPr>
          <w:lang w:eastAsia="en-US"/>
        </w:rPr>
        <w:tab/>
        <w:t xml:space="preserve">28-day exposure in treated artificial soil (5% peat); different concentrations of the test item were mixed homogeneously into the soil, then filled in glass vessels where springtails were introduced on top of the soil surface; 9 treatment groups (8 concentrations of the test item, untreated control) with 4 replicates </w:t>
      </w:r>
      <w:r w:rsidRPr="00E51CDD">
        <w:rPr>
          <w:szCs w:val="24"/>
          <w:lang w:eastAsia="en-US"/>
        </w:rPr>
        <w:t>for the test item treatment groups and</w:t>
      </w:r>
      <w:r w:rsidRPr="00E51CDD">
        <w:rPr>
          <w:lang w:eastAsia="en-US"/>
        </w:rPr>
        <w:t xml:space="preserve"> 8 replicates for the control, with 10 collembolans per replicate. Assessment of adult mortality, behavioral effects and reproduction (number of juveniles) after 28 days. </w:t>
      </w:r>
    </w:p>
    <w:p w14:paraId="40DB0243" w14:textId="77777777" w:rsidR="00E51CDD" w:rsidRPr="00E51CDD" w:rsidRDefault="00E51CDD" w:rsidP="00E51CDD">
      <w:pPr>
        <w:widowControl w:val="0"/>
        <w:ind w:left="2040" w:hanging="2040"/>
        <w:jc w:val="both"/>
        <w:rPr>
          <w:lang w:eastAsia="en-US"/>
        </w:rPr>
      </w:pPr>
    </w:p>
    <w:p w14:paraId="2CF2884D" w14:textId="77777777" w:rsidR="00E51CDD" w:rsidRPr="00E51CDD" w:rsidRDefault="00E51CDD" w:rsidP="00E51CDD">
      <w:pPr>
        <w:widowControl w:val="0"/>
        <w:ind w:left="2040" w:hanging="2040"/>
        <w:jc w:val="both"/>
        <w:rPr>
          <w:lang w:eastAsia="en-US"/>
        </w:rPr>
      </w:pPr>
      <w:r w:rsidRPr="00E51CDD">
        <w:rPr>
          <w:lang w:eastAsia="en-US"/>
        </w:rPr>
        <w:t xml:space="preserve">Endpoints: </w:t>
      </w:r>
      <w:r w:rsidRPr="00E51CDD">
        <w:rPr>
          <w:lang w:eastAsia="en-US"/>
        </w:rPr>
        <w:tab/>
      </w:r>
      <w:r w:rsidRPr="00E51CDD">
        <w:rPr>
          <w:szCs w:val="24"/>
          <w:lang w:eastAsia="en-US"/>
        </w:rPr>
        <w:t>Mortality (NOEC, LC</w:t>
      </w:r>
      <w:r w:rsidRPr="00E51CDD">
        <w:rPr>
          <w:szCs w:val="24"/>
          <w:vertAlign w:val="subscript"/>
          <w:lang w:eastAsia="en-US"/>
        </w:rPr>
        <w:t>50</w:t>
      </w:r>
      <w:r w:rsidRPr="00E51CDD">
        <w:rPr>
          <w:szCs w:val="24"/>
          <w:lang w:eastAsia="en-US"/>
        </w:rPr>
        <w:t>) and reproduction rate (NOEC, EC</w:t>
      </w:r>
      <w:r w:rsidRPr="00E51CDD">
        <w:rPr>
          <w:szCs w:val="24"/>
          <w:vertAlign w:val="subscript"/>
          <w:lang w:eastAsia="en-US"/>
        </w:rPr>
        <w:t>10, 20 and 50</w:t>
      </w:r>
      <w:r w:rsidRPr="00E51CDD">
        <w:rPr>
          <w:szCs w:val="24"/>
          <w:lang w:eastAsia="en-US"/>
        </w:rPr>
        <w:t>) after 28 days.</w:t>
      </w:r>
    </w:p>
    <w:p w14:paraId="6F63C225" w14:textId="77777777" w:rsidR="00E51CDD" w:rsidRPr="00E51CDD" w:rsidRDefault="00E51CDD" w:rsidP="00E51CDD">
      <w:pPr>
        <w:widowControl w:val="0"/>
        <w:ind w:left="2040" w:hanging="2040"/>
        <w:jc w:val="both"/>
        <w:rPr>
          <w:color w:val="0070C0"/>
          <w:lang w:eastAsia="en-US"/>
        </w:rPr>
      </w:pPr>
    </w:p>
    <w:p w14:paraId="611BECEA" w14:textId="77777777" w:rsidR="00E51CDD" w:rsidRPr="00E51CDD" w:rsidRDefault="00E51CDD" w:rsidP="00E51CDD">
      <w:pPr>
        <w:widowControl w:val="0"/>
        <w:tabs>
          <w:tab w:val="left" w:pos="2040"/>
        </w:tabs>
        <w:ind w:left="2040" w:hanging="2040"/>
        <w:jc w:val="both"/>
      </w:pPr>
      <w:r w:rsidRPr="00E51CDD">
        <w:t>Reference item:</w:t>
      </w:r>
      <w:r w:rsidRPr="00E51CDD">
        <w:tab/>
        <w:t>Boric acid - the effects of the reference item were investigated in a separate study.</w:t>
      </w:r>
    </w:p>
    <w:p w14:paraId="075CC75F" w14:textId="77777777" w:rsidR="00E51CDD" w:rsidRPr="00E51CDD" w:rsidRDefault="00E51CDD" w:rsidP="00E51CDD">
      <w:pPr>
        <w:widowControl w:val="0"/>
        <w:tabs>
          <w:tab w:val="left" w:pos="720"/>
        </w:tabs>
        <w:spacing w:line="280" w:lineRule="exact"/>
        <w:ind w:left="2040" w:hanging="2040"/>
        <w:jc w:val="both"/>
        <w:rPr>
          <w:highlight w:val="yellow"/>
          <w:lang w:eastAsia="en-US"/>
        </w:rPr>
      </w:pPr>
    </w:p>
    <w:p w14:paraId="0D592C61" w14:textId="77777777" w:rsidR="00E51CDD" w:rsidRPr="00E51CDD" w:rsidRDefault="00E51CDD" w:rsidP="00E51CDD">
      <w:pPr>
        <w:widowControl w:val="0"/>
        <w:ind w:left="2040" w:hanging="2040"/>
        <w:jc w:val="both"/>
        <w:rPr>
          <w:lang w:eastAsia="en-US"/>
        </w:rPr>
      </w:pPr>
      <w:r w:rsidRPr="00E51CDD">
        <w:rPr>
          <w:lang w:eastAsia="en-US"/>
        </w:rPr>
        <w:t xml:space="preserve">Test concentrations: </w:t>
      </w:r>
      <w:r w:rsidRPr="00E51CDD">
        <w:rPr>
          <w:lang w:eastAsia="en-US"/>
        </w:rPr>
        <w:tab/>
        <w:t xml:space="preserve">Control: untreated soil, test item: 30, 51, 87, 147, 251, 426, 724, 1231 mg BAS 736 00 F/kg dry soil, </w:t>
      </w:r>
      <w:bookmarkStart w:id="1272" w:name="_Hlk80095057"/>
      <w:r w:rsidRPr="00E51CDD">
        <w:rPr>
          <w:lang w:eastAsia="en-US"/>
        </w:rPr>
        <w:t>spacing factor: 1.7</w:t>
      </w:r>
      <w:bookmarkEnd w:id="1272"/>
      <w:r w:rsidRPr="00E51CDD">
        <w:rPr>
          <w:lang w:eastAsia="en-US"/>
        </w:rPr>
        <w:t>.</w:t>
      </w:r>
    </w:p>
    <w:tbl>
      <w:tblPr>
        <w:tblStyle w:val="DAR0072"/>
        <w:tblW w:w="3898" w:type="pct"/>
        <w:tblInd w:w="2065" w:type="dxa"/>
        <w:tblLook w:val="04A0" w:firstRow="1" w:lastRow="0" w:firstColumn="1" w:lastColumn="0" w:noHBand="0" w:noVBand="1"/>
      </w:tblPr>
      <w:tblGrid>
        <w:gridCol w:w="1711"/>
        <w:gridCol w:w="2248"/>
        <w:gridCol w:w="1709"/>
        <w:gridCol w:w="1617"/>
      </w:tblGrid>
      <w:tr w:rsidR="00E51CDD" w:rsidRPr="00E51CDD" w14:paraId="6A7E3378" w14:textId="77777777" w:rsidTr="009938D9">
        <w:trPr>
          <w:trHeight w:val="247"/>
        </w:trPr>
        <w:tc>
          <w:tcPr>
            <w:tcW w:w="1174" w:type="pct"/>
            <w:vAlign w:val="center"/>
          </w:tcPr>
          <w:p w14:paraId="310846CD" w14:textId="77777777" w:rsidR="00E51CDD" w:rsidRPr="00E51CDD" w:rsidRDefault="00E51CDD" w:rsidP="00E51CDD">
            <w:pPr>
              <w:widowControl w:val="0"/>
              <w:rPr>
                <w:color w:val="000000"/>
                <w:sz w:val="20"/>
                <w:szCs w:val="24"/>
              </w:rPr>
            </w:pPr>
            <w:r w:rsidRPr="00E51CDD">
              <w:rPr>
                <w:color w:val="000000"/>
                <w:sz w:val="20"/>
                <w:szCs w:val="24"/>
              </w:rPr>
              <w:t>BAS 736 00 F</w:t>
            </w:r>
          </w:p>
          <w:p w14:paraId="2590FDD7" w14:textId="77777777" w:rsidR="00E51CDD" w:rsidRPr="00E51CDD" w:rsidRDefault="00E51CDD" w:rsidP="00E51CDD">
            <w:pPr>
              <w:widowControl w:val="0"/>
              <w:rPr>
                <w:color w:val="000000"/>
                <w:sz w:val="20"/>
                <w:szCs w:val="24"/>
              </w:rPr>
            </w:pPr>
            <w:r w:rsidRPr="00E51CDD">
              <w:rPr>
                <w:color w:val="000000"/>
                <w:sz w:val="20"/>
                <w:szCs w:val="24"/>
              </w:rPr>
              <w:t>[mg/kg dry soil]</w:t>
            </w:r>
          </w:p>
        </w:tc>
        <w:tc>
          <w:tcPr>
            <w:tcW w:w="1543" w:type="pct"/>
            <w:vAlign w:val="center"/>
          </w:tcPr>
          <w:p w14:paraId="4666F301" w14:textId="77777777" w:rsidR="00E51CDD" w:rsidRPr="00E51CDD" w:rsidRDefault="00E51CDD" w:rsidP="00E51CDD">
            <w:pPr>
              <w:widowControl w:val="0"/>
              <w:rPr>
                <w:color w:val="000000"/>
                <w:sz w:val="20"/>
                <w:szCs w:val="24"/>
              </w:rPr>
            </w:pPr>
            <w:r w:rsidRPr="00E51CDD">
              <w:rPr>
                <w:color w:val="000000"/>
                <w:sz w:val="20"/>
                <w:szCs w:val="24"/>
              </w:rPr>
              <w:t>Total active substances</w:t>
            </w:r>
          </w:p>
          <w:p w14:paraId="7685354B" w14:textId="77777777" w:rsidR="00E51CDD" w:rsidRPr="00E51CDD" w:rsidRDefault="00E51CDD" w:rsidP="00E51CDD">
            <w:pPr>
              <w:widowControl w:val="0"/>
              <w:rPr>
                <w:b/>
                <w:color w:val="000000"/>
                <w:sz w:val="20"/>
                <w:szCs w:val="24"/>
                <w:vertAlign w:val="superscript"/>
              </w:rPr>
            </w:pPr>
            <w:r w:rsidRPr="00E51CDD">
              <w:rPr>
                <w:color w:val="000000"/>
                <w:sz w:val="20"/>
                <w:szCs w:val="24"/>
              </w:rPr>
              <w:t>[mg/kg dry soil]</w:t>
            </w:r>
            <w:r w:rsidRPr="00E51CDD">
              <w:rPr>
                <w:color w:val="000000"/>
                <w:sz w:val="20"/>
                <w:szCs w:val="24"/>
                <w:vertAlign w:val="superscript"/>
              </w:rPr>
              <w:t>*</w:t>
            </w:r>
          </w:p>
        </w:tc>
        <w:tc>
          <w:tcPr>
            <w:tcW w:w="1173" w:type="pct"/>
            <w:vAlign w:val="center"/>
          </w:tcPr>
          <w:p w14:paraId="6F5A6678" w14:textId="77777777" w:rsidR="00E51CDD" w:rsidRPr="00E51CDD" w:rsidRDefault="00E51CDD" w:rsidP="00E51CDD">
            <w:pPr>
              <w:widowControl w:val="0"/>
              <w:rPr>
                <w:color w:val="000000"/>
                <w:sz w:val="20"/>
                <w:szCs w:val="24"/>
              </w:rPr>
            </w:pPr>
            <w:r w:rsidRPr="00E51CDD">
              <w:rPr>
                <w:color w:val="000000"/>
                <w:sz w:val="20"/>
                <w:szCs w:val="24"/>
              </w:rPr>
              <w:t>BAS 9164 F</w:t>
            </w:r>
          </w:p>
          <w:p w14:paraId="7A19FCE8" w14:textId="77777777" w:rsidR="00E51CDD" w:rsidRPr="00E51CDD" w:rsidRDefault="00E51CDD" w:rsidP="00E51CDD">
            <w:pPr>
              <w:widowControl w:val="0"/>
              <w:rPr>
                <w:color w:val="000000"/>
                <w:sz w:val="20"/>
                <w:szCs w:val="24"/>
                <w:vertAlign w:val="superscript"/>
              </w:rPr>
            </w:pPr>
            <w:r w:rsidRPr="00E51CDD">
              <w:rPr>
                <w:color w:val="000000"/>
                <w:sz w:val="20"/>
                <w:szCs w:val="24"/>
              </w:rPr>
              <w:t>[mg/kg dry soil]</w:t>
            </w:r>
            <w:r w:rsidRPr="00E51CDD">
              <w:rPr>
                <w:color w:val="000000"/>
                <w:sz w:val="20"/>
                <w:szCs w:val="24"/>
                <w:vertAlign w:val="superscript"/>
              </w:rPr>
              <w:t>*</w:t>
            </w:r>
          </w:p>
        </w:tc>
        <w:tc>
          <w:tcPr>
            <w:tcW w:w="1111" w:type="pct"/>
            <w:vAlign w:val="center"/>
          </w:tcPr>
          <w:p w14:paraId="52083F19" w14:textId="77777777" w:rsidR="00E51CDD" w:rsidRPr="00E51CDD" w:rsidRDefault="00E51CDD" w:rsidP="00E51CDD">
            <w:pPr>
              <w:widowControl w:val="0"/>
              <w:rPr>
                <w:color w:val="000000"/>
                <w:sz w:val="20"/>
                <w:szCs w:val="24"/>
              </w:rPr>
            </w:pPr>
            <w:r w:rsidRPr="00E51CDD">
              <w:rPr>
                <w:color w:val="000000"/>
                <w:sz w:val="20"/>
                <w:szCs w:val="24"/>
              </w:rPr>
              <w:t>BAS 700 F</w:t>
            </w:r>
          </w:p>
          <w:p w14:paraId="216994CD" w14:textId="77777777" w:rsidR="00E51CDD" w:rsidRPr="00E51CDD" w:rsidRDefault="00E51CDD" w:rsidP="00E51CDD">
            <w:pPr>
              <w:widowControl w:val="0"/>
              <w:rPr>
                <w:color w:val="000000"/>
                <w:sz w:val="20"/>
                <w:szCs w:val="24"/>
                <w:vertAlign w:val="superscript"/>
              </w:rPr>
            </w:pPr>
            <w:r w:rsidRPr="00E51CDD">
              <w:rPr>
                <w:color w:val="000000"/>
                <w:sz w:val="20"/>
                <w:szCs w:val="24"/>
              </w:rPr>
              <w:t>[mg/kg dry soil]</w:t>
            </w:r>
            <w:r w:rsidRPr="00E51CDD">
              <w:rPr>
                <w:color w:val="000000"/>
                <w:sz w:val="20"/>
                <w:szCs w:val="24"/>
                <w:vertAlign w:val="superscript"/>
              </w:rPr>
              <w:t>*</w:t>
            </w:r>
          </w:p>
        </w:tc>
      </w:tr>
      <w:tr w:rsidR="00E51CDD" w:rsidRPr="00E51CDD" w14:paraId="34551593" w14:textId="77777777" w:rsidTr="009938D9">
        <w:trPr>
          <w:trHeight w:val="247"/>
        </w:trPr>
        <w:tc>
          <w:tcPr>
            <w:tcW w:w="1174" w:type="pct"/>
            <w:vAlign w:val="center"/>
          </w:tcPr>
          <w:p w14:paraId="068968E0" w14:textId="77777777" w:rsidR="00E51CDD" w:rsidRPr="00E51CDD" w:rsidRDefault="00E51CDD" w:rsidP="00E51CDD">
            <w:pPr>
              <w:widowControl w:val="0"/>
              <w:rPr>
                <w:color w:val="000000"/>
                <w:sz w:val="20"/>
                <w:szCs w:val="24"/>
              </w:rPr>
            </w:pPr>
            <w:r w:rsidRPr="00E51CDD">
              <w:rPr>
                <w:color w:val="000000"/>
                <w:sz w:val="20"/>
                <w:szCs w:val="24"/>
              </w:rPr>
              <w:t>30</w:t>
            </w:r>
          </w:p>
        </w:tc>
        <w:tc>
          <w:tcPr>
            <w:tcW w:w="1543" w:type="pct"/>
            <w:vAlign w:val="center"/>
          </w:tcPr>
          <w:p w14:paraId="60890A87" w14:textId="77777777" w:rsidR="00E51CDD" w:rsidRPr="00E51CDD" w:rsidRDefault="00E51CDD" w:rsidP="00E51CDD">
            <w:pPr>
              <w:widowControl w:val="0"/>
              <w:rPr>
                <w:color w:val="000000"/>
                <w:sz w:val="20"/>
                <w:szCs w:val="24"/>
              </w:rPr>
            </w:pPr>
            <w:r w:rsidRPr="00E51CDD">
              <w:rPr>
                <w:color w:val="000000"/>
                <w:sz w:val="20"/>
                <w:szCs w:val="24"/>
              </w:rPr>
              <w:t>3.5</w:t>
            </w:r>
          </w:p>
        </w:tc>
        <w:tc>
          <w:tcPr>
            <w:tcW w:w="1173" w:type="pct"/>
            <w:vAlign w:val="center"/>
          </w:tcPr>
          <w:p w14:paraId="0465BCE1" w14:textId="77777777" w:rsidR="00E51CDD" w:rsidRPr="00E51CDD" w:rsidRDefault="00E51CDD" w:rsidP="00E51CDD">
            <w:pPr>
              <w:widowControl w:val="0"/>
              <w:rPr>
                <w:color w:val="000000"/>
                <w:sz w:val="20"/>
                <w:szCs w:val="24"/>
              </w:rPr>
            </w:pPr>
            <w:r w:rsidRPr="00E51CDD">
              <w:rPr>
                <w:color w:val="000000"/>
                <w:sz w:val="20"/>
                <w:szCs w:val="24"/>
              </w:rPr>
              <w:t>2.09</w:t>
            </w:r>
          </w:p>
        </w:tc>
        <w:tc>
          <w:tcPr>
            <w:tcW w:w="1111" w:type="pct"/>
            <w:vAlign w:val="center"/>
          </w:tcPr>
          <w:p w14:paraId="4E0BC36D" w14:textId="77777777" w:rsidR="00E51CDD" w:rsidRPr="00E51CDD" w:rsidRDefault="00E51CDD" w:rsidP="00E51CDD">
            <w:pPr>
              <w:widowControl w:val="0"/>
              <w:rPr>
                <w:color w:val="000000"/>
                <w:sz w:val="20"/>
                <w:szCs w:val="24"/>
              </w:rPr>
            </w:pPr>
            <w:r w:rsidRPr="00E51CDD">
              <w:rPr>
                <w:color w:val="000000"/>
                <w:sz w:val="20"/>
                <w:szCs w:val="24"/>
              </w:rPr>
              <w:t>1.39</w:t>
            </w:r>
          </w:p>
        </w:tc>
      </w:tr>
      <w:tr w:rsidR="00E51CDD" w:rsidRPr="00E51CDD" w14:paraId="319DF5DF" w14:textId="77777777" w:rsidTr="009938D9">
        <w:trPr>
          <w:trHeight w:val="247"/>
        </w:trPr>
        <w:tc>
          <w:tcPr>
            <w:tcW w:w="1174" w:type="pct"/>
            <w:vAlign w:val="center"/>
          </w:tcPr>
          <w:p w14:paraId="3F296E3C" w14:textId="77777777" w:rsidR="00E51CDD" w:rsidRPr="00E51CDD" w:rsidRDefault="00E51CDD" w:rsidP="00E51CDD">
            <w:pPr>
              <w:widowControl w:val="0"/>
              <w:rPr>
                <w:color w:val="000000"/>
                <w:sz w:val="20"/>
                <w:szCs w:val="24"/>
              </w:rPr>
            </w:pPr>
            <w:r w:rsidRPr="00E51CDD">
              <w:rPr>
                <w:color w:val="000000"/>
                <w:sz w:val="20"/>
                <w:szCs w:val="24"/>
              </w:rPr>
              <w:t>51</w:t>
            </w:r>
          </w:p>
        </w:tc>
        <w:tc>
          <w:tcPr>
            <w:tcW w:w="1543" w:type="pct"/>
            <w:vAlign w:val="center"/>
          </w:tcPr>
          <w:p w14:paraId="3376D8BA" w14:textId="77777777" w:rsidR="00E51CDD" w:rsidRPr="00E51CDD" w:rsidRDefault="00E51CDD" w:rsidP="00E51CDD">
            <w:pPr>
              <w:widowControl w:val="0"/>
              <w:rPr>
                <w:color w:val="000000"/>
                <w:sz w:val="20"/>
                <w:szCs w:val="24"/>
              </w:rPr>
            </w:pPr>
            <w:r w:rsidRPr="00E51CDD">
              <w:rPr>
                <w:color w:val="000000"/>
                <w:sz w:val="20"/>
                <w:szCs w:val="24"/>
              </w:rPr>
              <w:t>5.9</w:t>
            </w:r>
          </w:p>
        </w:tc>
        <w:tc>
          <w:tcPr>
            <w:tcW w:w="1173" w:type="pct"/>
            <w:vAlign w:val="center"/>
          </w:tcPr>
          <w:p w14:paraId="716524BE" w14:textId="77777777" w:rsidR="00E51CDD" w:rsidRPr="00E51CDD" w:rsidRDefault="00E51CDD" w:rsidP="00E51CDD">
            <w:pPr>
              <w:widowControl w:val="0"/>
              <w:rPr>
                <w:color w:val="000000"/>
                <w:sz w:val="20"/>
                <w:szCs w:val="24"/>
              </w:rPr>
            </w:pPr>
            <w:r w:rsidRPr="00E51CDD">
              <w:rPr>
                <w:color w:val="000000"/>
                <w:sz w:val="20"/>
                <w:szCs w:val="24"/>
              </w:rPr>
              <w:t>3.55</w:t>
            </w:r>
          </w:p>
        </w:tc>
        <w:tc>
          <w:tcPr>
            <w:tcW w:w="1111" w:type="pct"/>
            <w:vAlign w:val="center"/>
          </w:tcPr>
          <w:p w14:paraId="503F90AC" w14:textId="77777777" w:rsidR="00E51CDD" w:rsidRPr="00E51CDD" w:rsidRDefault="00E51CDD" w:rsidP="00E51CDD">
            <w:pPr>
              <w:widowControl w:val="0"/>
              <w:rPr>
                <w:color w:val="000000"/>
                <w:sz w:val="20"/>
                <w:szCs w:val="24"/>
              </w:rPr>
            </w:pPr>
            <w:r w:rsidRPr="00E51CDD">
              <w:rPr>
                <w:color w:val="000000"/>
                <w:sz w:val="20"/>
                <w:szCs w:val="24"/>
              </w:rPr>
              <w:t>2.37</w:t>
            </w:r>
          </w:p>
        </w:tc>
      </w:tr>
      <w:tr w:rsidR="00E51CDD" w:rsidRPr="00E51CDD" w14:paraId="2209BCEC" w14:textId="77777777" w:rsidTr="009938D9">
        <w:trPr>
          <w:trHeight w:val="247"/>
        </w:trPr>
        <w:tc>
          <w:tcPr>
            <w:tcW w:w="1174" w:type="pct"/>
            <w:vAlign w:val="center"/>
          </w:tcPr>
          <w:p w14:paraId="13EE2842" w14:textId="77777777" w:rsidR="00E51CDD" w:rsidRPr="00E51CDD" w:rsidRDefault="00E51CDD" w:rsidP="00E51CDD">
            <w:pPr>
              <w:widowControl w:val="0"/>
              <w:rPr>
                <w:color w:val="000000"/>
                <w:sz w:val="20"/>
                <w:szCs w:val="24"/>
              </w:rPr>
            </w:pPr>
            <w:r w:rsidRPr="00E51CDD">
              <w:rPr>
                <w:color w:val="000000"/>
                <w:sz w:val="20"/>
                <w:szCs w:val="24"/>
              </w:rPr>
              <w:t>87</w:t>
            </w:r>
          </w:p>
        </w:tc>
        <w:tc>
          <w:tcPr>
            <w:tcW w:w="1543" w:type="pct"/>
            <w:vAlign w:val="center"/>
          </w:tcPr>
          <w:p w14:paraId="328B20F4" w14:textId="77777777" w:rsidR="00E51CDD" w:rsidRPr="00E51CDD" w:rsidRDefault="00E51CDD" w:rsidP="00E51CDD">
            <w:pPr>
              <w:widowControl w:val="0"/>
              <w:rPr>
                <w:color w:val="000000"/>
                <w:sz w:val="20"/>
                <w:szCs w:val="24"/>
              </w:rPr>
            </w:pPr>
            <w:r w:rsidRPr="00E51CDD">
              <w:rPr>
                <w:color w:val="000000"/>
                <w:sz w:val="20"/>
                <w:szCs w:val="24"/>
              </w:rPr>
              <w:t>10</w:t>
            </w:r>
          </w:p>
        </w:tc>
        <w:tc>
          <w:tcPr>
            <w:tcW w:w="1173" w:type="pct"/>
            <w:vAlign w:val="center"/>
          </w:tcPr>
          <w:p w14:paraId="1E7BF43A" w14:textId="77777777" w:rsidR="00E51CDD" w:rsidRPr="00E51CDD" w:rsidRDefault="00E51CDD" w:rsidP="00E51CDD">
            <w:pPr>
              <w:widowControl w:val="0"/>
              <w:rPr>
                <w:color w:val="000000"/>
                <w:sz w:val="20"/>
                <w:szCs w:val="24"/>
              </w:rPr>
            </w:pPr>
            <w:r w:rsidRPr="00E51CDD">
              <w:rPr>
                <w:color w:val="000000"/>
                <w:sz w:val="20"/>
                <w:szCs w:val="24"/>
              </w:rPr>
              <w:t>6.0</w:t>
            </w:r>
          </w:p>
        </w:tc>
        <w:tc>
          <w:tcPr>
            <w:tcW w:w="1111" w:type="pct"/>
            <w:vAlign w:val="center"/>
          </w:tcPr>
          <w:p w14:paraId="145528C5" w14:textId="77777777" w:rsidR="00E51CDD" w:rsidRPr="00E51CDD" w:rsidRDefault="00E51CDD" w:rsidP="00E51CDD">
            <w:pPr>
              <w:widowControl w:val="0"/>
              <w:rPr>
                <w:color w:val="000000"/>
                <w:sz w:val="20"/>
                <w:szCs w:val="24"/>
              </w:rPr>
            </w:pPr>
            <w:r w:rsidRPr="00E51CDD">
              <w:rPr>
                <w:color w:val="000000"/>
                <w:sz w:val="20"/>
                <w:szCs w:val="24"/>
              </w:rPr>
              <w:t>4.0</w:t>
            </w:r>
          </w:p>
        </w:tc>
      </w:tr>
      <w:tr w:rsidR="00E51CDD" w:rsidRPr="00E51CDD" w14:paraId="7CA96055" w14:textId="77777777" w:rsidTr="009938D9">
        <w:trPr>
          <w:trHeight w:val="247"/>
        </w:trPr>
        <w:tc>
          <w:tcPr>
            <w:tcW w:w="1174" w:type="pct"/>
            <w:vAlign w:val="center"/>
          </w:tcPr>
          <w:p w14:paraId="6AA17BC7" w14:textId="77777777" w:rsidR="00E51CDD" w:rsidRPr="00E51CDD" w:rsidRDefault="00E51CDD" w:rsidP="00E51CDD">
            <w:pPr>
              <w:widowControl w:val="0"/>
              <w:rPr>
                <w:color w:val="000000"/>
                <w:sz w:val="20"/>
                <w:szCs w:val="24"/>
              </w:rPr>
            </w:pPr>
            <w:r w:rsidRPr="00E51CDD">
              <w:rPr>
                <w:color w:val="000000"/>
                <w:sz w:val="20"/>
                <w:szCs w:val="24"/>
              </w:rPr>
              <w:t>147</w:t>
            </w:r>
          </w:p>
        </w:tc>
        <w:tc>
          <w:tcPr>
            <w:tcW w:w="1543" w:type="pct"/>
            <w:vAlign w:val="center"/>
          </w:tcPr>
          <w:p w14:paraId="50167D86" w14:textId="77777777" w:rsidR="00E51CDD" w:rsidRPr="00E51CDD" w:rsidRDefault="00E51CDD" w:rsidP="00E51CDD">
            <w:pPr>
              <w:widowControl w:val="0"/>
              <w:rPr>
                <w:color w:val="000000"/>
                <w:sz w:val="20"/>
                <w:szCs w:val="24"/>
              </w:rPr>
            </w:pPr>
            <w:r w:rsidRPr="00E51CDD">
              <w:rPr>
                <w:color w:val="000000"/>
                <w:sz w:val="20"/>
                <w:szCs w:val="24"/>
              </w:rPr>
              <w:t>17</w:t>
            </w:r>
          </w:p>
        </w:tc>
        <w:tc>
          <w:tcPr>
            <w:tcW w:w="1173" w:type="pct"/>
            <w:vAlign w:val="center"/>
          </w:tcPr>
          <w:p w14:paraId="09DA5DAB" w14:textId="77777777" w:rsidR="00E51CDD" w:rsidRPr="00E51CDD" w:rsidRDefault="00E51CDD" w:rsidP="00E51CDD">
            <w:pPr>
              <w:widowControl w:val="0"/>
              <w:rPr>
                <w:color w:val="000000"/>
                <w:sz w:val="20"/>
                <w:szCs w:val="24"/>
              </w:rPr>
            </w:pPr>
            <w:r w:rsidRPr="00E51CDD">
              <w:rPr>
                <w:color w:val="000000"/>
                <w:sz w:val="20"/>
                <w:szCs w:val="24"/>
              </w:rPr>
              <w:t>10.3</w:t>
            </w:r>
          </w:p>
        </w:tc>
        <w:tc>
          <w:tcPr>
            <w:tcW w:w="1111" w:type="pct"/>
            <w:vAlign w:val="center"/>
          </w:tcPr>
          <w:p w14:paraId="19481063" w14:textId="77777777" w:rsidR="00E51CDD" w:rsidRPr="00E51CDD" w:rsidRDefault="00E51CDD" w:rsidP="00E51CDD">
            <w:pPr>
              <w:widowControl w:val="0"/>
              <w:rPr>
                <w:color w:val="000000"/>
                <w:sz w:val="20"/>
                <w:szCs w:val="24"/>
              </w:rPr>
            </w:pPr>
            <w:r w:rsidRPr="00E51CDD">
              <w:rPr>
                <w:color w:val="000000"/>
                <w:sz w:val="20"/>
                <w:szCs w:val="24"/>
              </w:rPr>
              <w:t>6.8</w:t>
            </w:r>
          </w:p>
        </w:tc>
      </w:tr>
      <w:tr w:rsidR="00E51CDD" w:rsidRPr="00E51CDD" w14:paraId="2AF96A6B" w14:textId="77777777" w:rsidTr="009938D9">
        <w:trPr>
          <w:trHeight w:val="247"/>
        </w:trPr>
        <w:tc>
          <w:tcPr>
            <w:tcW w:w="1174" w:type="pct"/>
            <w:vAlign w:val="center"/>
          </w:tcPr>
          <w:p w14:paraId="08E189D4" w14:textId="77777777" w:rsidR="00E51CDD" w:rsidRPr="00E51CDD" w:rsidRDefault="00E51CDD" w:rsidP="00E51CDD">
            <w:pPr>
              <w:widowControl w:val="0"/>
              <w:rPr>
                <w:color w:val="000000"/>
                <w:sz w:val="20"/>
                <w:szCs w:val="24"/>
                <w:lang w:val="de-DE"/>
              </w:rPr>
            </w:pPr>
            <w:r w:rsidRPr="00E51CDD">
              <w:rPr>
                <w:color w:val="000000"/>
                <w:sz w:val="20"/>
                <w:szCs w:val="24"/>
                <w:lang w:val="de-DE"/>
              </w:rPr>
              <w:t>251</w:t>
            </w:r>
          </w:p>
        </w:tc>
        <w:tc>
          <w:tcPr>
            <w:tcW w:w="1543" w:type="pct"/>
            <w:vAlign w:val="center"/>
          </w:tcPr>
          <w:p w14:paraId="4F7141B0" w14:textId="77777777" w:rsidR="00E51CDD" w:rsidRPr="00E51CDD" w:rsidRDefault="00E51CDD" w:rsidP="00E51CDD">
            <w:pPr>
              <w:widowControl w:val="0"/>
              <w:rPr>
                <w:color w:val="000000"/>
                <w:sz w:val="20"/>
                <w:szCs w:val="24"/>
                <w:lang w:val="de-DE"/>
              </w:rPr>
            </w:pPr>
            <w:r w:rsidRPr="00E51CDD">
              <w:rPr>
                <w:color w:val="000000"/>
                <w:sz w:val="20"/>
                <w:szCs w:val="24"/>
                <w:lang w:val="de-DE"/>
              </w:rPr>
              <w:t>29</w:t>
            </w:r>
          </w:p>
        </w:tc>
        <w:tc>
          <w:tcPr>
            <w:tcW w:w="1173" w:type="pct"/>
            <w:vAlign w:val="center"/>
          </w:tcPr>
          <w:p w14:paraId="46F1D534" w14:textId="77777777" w:rsidR="00E51CDD" w:rsidRPr="00E51CDD" w:rsidRDefault="00E51CDD" w:rsidP="00E51CDD">
            <w:pPr>
              <w:widowControl w:val="0"/>
              <w:rPr>
                <w:color w:val="000000"/>
                <w:sz w:val="20"/>
                <w:szCs w:val="24"/>
                <w:lang w:val="de-DE"/>
              </w:rPr>
            </w:pPr>
            <w:r w:rsidRPr="00E51CDD">
              <w:rPr>
                <w:color w:val="000000"/>
                <w:sz w:val="20"/>
                <w:szCs w:val="24"/>
                <w:lang w:val="de-DE"/>
              </w:rPr>
              <w:t>17.4</w:t>
            </w:r>
          </w:p>
        </w:tc>
        <w:tc>
          <w:tcPr>
            <w:tcW w:w="1111" w:type="pct"/>
            <w:vAlign w:val="center"/>
          </w:tcPr>
          <w:p w14:paraId="468D04AE" w14:textId="77777777" w:rsidR="00E51CDD" w:rsidRPr="00E51CDD" w:rsidRDefault="00E51CDD" w:rsidP="00E51CDD">
            <w:pPr>
              <w:widowControl w:val="0"/>
              <w:rPr>
                <w:color w:val="000000"/>
                <w:sz w:val="20"/>
                <w:szCs w:val="24"/>
                <w:lang w:val="de-DE"/>
              </w:rPr>
            </w:pPr>
            <w:r w:rsidRPr="00E51CDD">
              <w:rPr>
                <w:color w:val="000000"/>
                <w:sz w:val="20"/>
                <w:szCs w:val="24"/>
                <w:lang w:val="de-DE"/>
              </w:rPr>
              <w:t>11.6</w:t>
            </w:r>
          </w:p>
        </w:tc>
      </w:tr>
      <w:tr w:rsidR="00E51CDD" w:rsidRPr="00E51CDD" w14:paraId="67450558" w14:textId="77777777" w:rsidTr="009938D9">
        <w:trPr>
          <w:trHeight w:val="247"/>
        </w:trPr>
        <w:tc>
          <w:tcPr>
            <w:tcW w:w="1174" w:type="pct"/>
            <w:vAlign w:val="center"/>
          </w:tcPr>
          <w:p w14:paraId="3D74513B" w14:textId="77777777" w:rsidR="00E51CDD" w:rsidRPr="00E51CDD" w:rsidRDefault="00E51CDD" w:rsidP="00E51CDD">
            <w:pPr>
              <w:widowControl w:val="0"/>
              <w:rPr>
                <w:color w:val="000000"/>
                <w:sz w:val="20"/>
                <w:szCs w:val="24"/>
                <w:lang w:val="de-DE"/>
              </w:rPr>
            </w:pPr>
            <w:r w:rsidRPr="00E51CDD">
              <w:rPr>
                <w:color w:val="000000"/>
                <w:sz w:val="20"/>
                <w:szCs w:val="24"/>
                <w:lang w:val="de-DE"/>
              </w:rPr>
              <w:t>426</w:t>
            </w:r>
          </w:p>
        </w:tc>
        <w:tc>
          <w:tcPr>
            <w:tcW w:w="1543" w:type="pct"/>
            <w:vAlign w:val="center"/>
          </w:tcPr>
          <w:p w14:paraId="325D0D6A" w14:textId="77777777" w:rsidR="00E51CDD" w:rsidRPr="00E51CDD" w:rsidRDefault="00E51CDD" w:rsidP="00E51CDD">
            <w:pPr>
              <w:widowControl w:val="0"/>
              <w:rPr>
                <w:color w:val="000000"/>
                <w:sz w:val="20"/>
                <w:szCs w:val="24"/>
                <w:lang w:val="de-DE"/>
              </w:rPr>
            </w:pPr>
            <w:r w:rsidRPr="00E51CDD">
              <w:rPr>
                <w:color w:val="000000"/>
                <w:sz w:val="20"/>
                <w:szCs w:val="24"/>
                <w:lang w:val="de-DE"/>
              </w:rPr>
              <w:t>49</w:t>
            </w:r>
          </w:p>
        </w:tc>
        <w:tc>
          <w:tcPr>
            <w:tcW w:w="1173" w:type="pct"/>
            <w:vAlign w:val="center"/>
          </w:tcPr>
          <w:p w14:paraId="36D87233" w14:textId="77777777" w:rsidR="00E51CDD" w:rsidRPr="00E51CDD" w:rsidRDefault="00E51CDD" w:rsidP="00E51CDD">
            <w:pPr>
              <w:widowControl w:val="0"/>
              <w:rPr>
                <w:color w:val="000000"/>
                <w:sz w:val="20"/>
                <w:szCs w:val="24"/>
                <w:lang w:val="de-DE"/>
              </w:rPr>
            </w:pPr>
            <w:r w:rsidRPr="00E51CDD">
              <w:rPr>
                <w:color w:val="000000"/>
                <w:sz w:val="20"/>
                <w:szCs w:val="24"/>
                <w:lang w:val="de-DE"/>
              </w:rPr>
              <w:t>29.6</w:t>
            </w:r>
          </w:p>
        </w:tc>
        <w:tc>
          <w:tcPr>
            <w:tcW w:w="1111" w:type="pct"/>
            <w:vAlign w:val="center"/>
          </w:tcPr>
          <w:p w14:paraId="28A1EE70" w14:textId="77777777" w:rsidR="00E51CDD" w:rsidRPr="00E51CDD" w:rsidRDefault="00E51CDD" w:rsidP="00E51CDD">
            <w:pPr>
              <w:widowControl w:val="0"/>
              <w:rPr>
                <w:color w:val="000000"/>
                <w:sz w:val="20"/>
                <w:szCs w:val="24"/>
                <w:lang w:val="de-DE"/>
              </w:rPr>
            </w:pPr>
            <w:r w:rsidRPr="00E51CDD">
              <w:rPr>
                <w:color w:val="000000"/>
                <w:sz w:val="20"/>
                <w:szCs w:val="24"/>
                <w:lang w:val="de-DE"/>
              </w:rPr>
              <w:t>19.8</w:t>
            </w:r>
          </w:p>
        </w:tc>
      </w:tr>
      <w:tr w:rsidR="00E51CDD" w:rsidRPr="00E51CDD" w14:paraId="42D5E5F0" w14:textId="77777777" w:rsidTr="009938D9">
        <w:trPr>
          <w:trHeight w:val="247"/>
        </w:trPr>
        <w:tc>
          <w:tcPr>
            <w:tcW w:w="1174" w:type="pct"/>
            <w:vAlign w:val="center"/>
          </w:tcPr>
          <w:p w14:paraId="5DEAE5D2" w14:textId="77777777" w:rsidR="00E51CDD" w:rsidRPr="00E51CDD" w:rsidRDefault="00E51CDD" w:rsidP="00E51CDD">
            <w:pPr>
              <w:widowControl w:val="0"/>
              <w:rPr>
                <w:color w:val="000000"/>
                <w:sz w:val="20"/>
                <w:szCs w:val="24"/>
                <w:lang w:val="de-DE"/>
              </w:rPr>
            </w:pPr>
            <w:r w:rsidRPr="00E51CDD">
              <w:rPr>
                <w:color w:val="000000"/>
                <w:sz w:val="20"/>
                <w:szCs w:val="24"/>
                <w:lang w:val="de-DE"/>
              </w:rPr>
              <w:t>724</w:t>
            </w:r>
          </w:p>
        </w:tc>
        <w:tc>
          <w:tcPr>
            <w:tcW w:w="1543" w:type="pct"/>
            <w:vAlign w:val="center"/>
          </w:tcPr>
          <w:p w14:paraId="177F95DD" w14:textId="77777777" w:rsidR="00E51CDD" w:rsidRPr="00E51CDD" w:rsidRDefault="00E51CDD" w:rsidP="00E51CDD">
            <w:pPr>
              <w:widowControl w:val="0"/>
              <w:rPr>
                <w:color w:val="000000"/>
                <w:sz w:val="20"/>
                <w:szCs w:val="24"/>
                <w:lang w:val="de-DE"/>
              </w:rPr>
            </w:pPr>
            <w:r w:rsidRPr="00E51CDD">
              <w:rPr>
                <w:color w:val="000000"/>
                <w:sz w:val="20"/>
                <w:szCs w:val="24"/>
                <w:lang w:val="de-DE"/>
              </w:rPr>
              <w:t>84</w:t>
            </w:r>
          </w:p>
        </w:tc>
        <w:tc>
          <w:tcPr>
            <w:tcW w:w="1173" w:type="pct"/>
            <w:vAlign w:val="center"/>
          </w:tcPr>
          <w:p w14:paraId="14A4FA55" w14:textId="77777777" w:rsidR="00E51CDD" w:rsidRPr="00E51CDD" w:rsidRDefault="00E51CDD" w:rsidP="00E51CDD">
            <w:pPr>
              <w:widowControl w:val="0"/>
              <w:rPr>
                <w:color w:val="000000"/>
                <w:sz w:val="20"/>
                <w:szCs w:val="24"/>
                <w:lang w:val="de-DE"/>
              </w:rPr>
            </w:pPr>
            <w:r w:rsidRPr="00E51CDD">
              <w:rPr>
                <w:color w:val="000000"/>
                <w:sz w:val="20"/>
                <w:szCs w:val="24"/>
                <w:lang w:val="de-DE"/>
              </w:rPr>
              <w:t>50.4</w:t>
            </w:r>
          </w:p>
        </w:tc>
        <w:tc>
          <w:tcPr>
            <w:tcW w:w="1111" w:type="pct"/>
            <w:vAlign w:val="center"/>
          </w:tcPr>
          <w:p w14:paraId="18244774" w14:textId="77777777" w:rsidR="00E51CDD" w:rsidRPr="00E51CDD" w:rsidRDefault="00E51CDD" w:rsidP="00E51CDD">
            <w:pPr>
              <w:widowControl w:val="0"/>
              <w:rPr>
                <w:color w:val="000000"/>
                <w:sz w:val="20"/>
                <w:szCs w:val="24"/>
                <w:lang w:val="de-DE"/>
              </w:rPr>
            </w:pPr>
            <w:r w:rsidRPr="00E51CDD">
              <w:rPr>
                <w:color w:val="000000"/>
                <w:sz w:val="20"/>
                <w:szCs w:val="24"/>
                <w:lang w:val="de-DE"/>
              </w:rPr>
              <w:t>33.6</w:t>
            </w:r>
          </w:p>
        </w:tc>
      </w:tr>
      <w:tr w:rsidR="00E51CDD" w:rsidRPr="00E51CDD" w14:paraId="2C145D82" w14:textId="77777777" w:rsidTr="009938D9">
        <w:trPr>
          <w:trHeight w:val="247"/>
        </w:trPr>
        <w:tc>
          <w:tcPr>
            <w:tcW w:w="1174" w:type="pct"/>
            <w:vAlign w:val="center"/>
          </w:tcPr>
          <w:p w14:paraId="22E2F5E4" w14:textId="77777777" w:rsidR="00E51CDD" w:rsidRPr="00E51CDD" w:rsidRDefault="00E51CDD" w:rsidP="00E51CDD">
            <w:pPr>
              <w:widowControl w:val="0"/>
              <w:rPr>
                <w:color w:val="000000"/>
                <w:sz w:val="20"/>
                <w:szCs w:val="24"/>
              </w:rPr>
            </w:pPr>
            <w:r w:rsidRPr="00E51CDD">
              <w:rPr>
                <w:color w:val="000000"/>
                <w:sz w:val="20"/>
                <w:szCs w:val="24"/>
              </w:rPr>
              <w:t>1231</w:t>
            </w:r>
          </w:p>
        </w:tc>
        <w:tc>
          <w:tcPr>
            <w:tcW w:w="1543" w:type="pct"/>
            <w:vAlign w:val="center"/>
          </w:tcPr>
          <w:p w14:paraId="77FFED2A" w14:textId="77777777" w:rsidR="00E51CDD" w:rsidRPr="00E51CDD" w:rsidRDefault="00E51CDD" w:rsidP="00E51CDD">
            <w:pPr>
              <w:widowControl w:val="0"/>
              <w:rPr>
                <w:color w:val="000000"/>
                <w:sz w:val="20"/>
                <w:szCs w:val="24"/>
              </w:rPr>
            </w:pPr>
            <w:r w:rsidRPr="00E51CDD">
              <w:rPr>
                <w:color w:val="000000"/>
                <w:sz w:val="20"/>
                <w:szCs w:val="24"/>
              </w:rPr>
              <w:t>143</w:t>
            </w:r>
          </w:p>
        </w:tc>
        <w:tc>
          <w:tcPr>
            <w:tcW w:w="1173" w:type="pct"/>
            <w:vAlign w:val="center"/>
          </w:tcPr>
          <w:p w14:paraId="303A4D15" w14:textId="77777777" w:rsidR="00E51CDD" w:rsidRPr="00E51CDD" w:rsidRDefault="00E51CDD" w:rsidP="00E51CDD">
            <w:pPr>
              <w:widowControl w:val="0"/>
              <w:rPr>
                <w:color w:val="000000"/>
                <w:sz w:val="20"/>
                <w:szCs w:val="24"/>
              </w:rPr>
            </w:pPr>
            <w:r w:rsidRPr="00E51CDD">
              <w:rPr>
                <w:color w:val="000000"/>
                <w:sz w:val="20"/>
                <w:szCs w:val="24"/>
              </w:rPr>
              <w:t>85.6</w:t>
            </w:r>
          </w:p>
        </w:tc>
        <w:tc>
          <w:tcPr>
            <w:tcW w:w="1111" w:type="pct"/>
            <w:vAlign w:val="center"/>
          </w:tcPr>
          <w:p w14:paraId="47ABFCF7" w14:textId="77777777" w:rsidR="00E51CDD" w:rsidRPr="00E51CDD" w:rsidRDefault="00E51CDD" w:rsidP="00E51CDD">
            <w:pPr>
              <w:widowControl w:val="0"/>
              <w:rPr>
                <w:color w:val="000000"/>
                <w:sz w:val="20"/>
                <w:szCs w:val="24"/>
              </w:rPr>
            </w:pPr>
            <w:r w:rsidRPr="00E51CDD">
              <w:rPr>
                <w:color w:val="000000"/>
                <w:sz w:val="20"/>
                <w:szCs w:val="24"/>
              </w:rPr>
              <w:t>57.1</w:t>
            </w:r>
          </w:p>
        </w:tc>
      </w:tr>
    </w:tbl>
    <w:p w14:paraId="24540C89" w14:textId="77777777" w:rsidR="00E51CDD" w:rsidRPr="00E51CDD" w:rsidRDefault="00E51CDD" w:rsidP="00E51CDD">
      <w:pPr>
        <w:widowControl w:val="0"/>
        <w:ind w:left="2160" w:hanging="120"/>
        <w:jc w:val="both"/>
        <w:rPr>
          <w:sz w:val="18"/>
          <w:szCs w:val="18"/>
          <w:lang w:eastAsia="en-US"/>
        </w:rPr>
      </w:pPr>
      <w:r w:rsidRPr="00E51CDD">
        <w:rPr>
          <w:sz w:val="18"/>
          <w:szCs w:val="18"/>
          <w:vertAlign w:val="superscript"/>
          <w:lang w:eastAsia="en-US"/>
        </w:rPr>
        <w:t>*</w:t>
      </w:r>
      <w:r w:rsidRPr="00E51CDD">
        <w:rPr>
          <w:sz w:val="18"/>
          <w:szCs w:val="18"/>
          <w:lang w:eastAsia="en-US"/>
        </w:rPr>
        <w:t xml:space="preserve"> The amounts of BAS 700 F and BAS 9164 F were calculated based on the nominal contents a.s. The density (1.078 g/cm³) was taken into account.</w:t>
      </w:r>
    </w:p>
    <w:p w14:paraId="4771A21C" w14:textId="77777777" w:rsidR="00E51CDD" w:rsidRPr="00E51CDD" w:rsidRDefault="00E51CDD" w:rsidP="00E51CDD">
      <w:pPr>
        <w:widowControl w:val="0"/>
        <w:ind w:left="2040" w:hanging="2040"/>
        <w:jc w:val="both"/>
        <w:rPr>
          <w:color w:val="0070C0"/>
          <w:lang w:eastAsia="en-US"/>
        </w:rPr>
      </w:pPr>
    </w:p>
    <w:p w14:paraId="6D64EACE" w14:textId="77777777" w:rsidR="00E51CDD" w:rsidRPr="00E51CDD" w:rsidRDefault="00E51CDD" w:rsidP="00E51CDD">
      <w:pPr>
        <w:widowControl w:val="0"/>
        <w:ind w:left="2040" w:hanging="2040"/>
        <w:jc w:val="both"/>
        <w:rPr>
          <w:lang w:eastAsia="en-US"/>
        </w:rPr>
      </w:pPr>
      <w:r w:rsidRPr="00E51CDD">
        <w:rPr>
          <w:lang w:eastAsia="en-US"/>
        </w:rPr>
        <w:t>Test conditions:</w:t>
      </w:r>
      <w:r w:rsidRPr="00E51CDD">
        <w:rPr>
          <w:lang w:eastAsia="en-US"/>
        </w:rPr>
        <w:tab/>
        <w:t xml:space="preserve">Artificial soil according to OECD 232 (5% peat); pH 6.00 - 6.02 at test initiation and pH 5.70 – 5.78 at test termination; water content at test start 58.6 – 59.1% of maximum water holding capacity (WHC) and at test end 56.9 – 58.4% of maximum WHC; temperature:  19.4 – 21.6 °C; photoperiod: 16 h light : 8 h dark, light intensity:  600 lux; food: approx. 2 mg granulated dry yeast at the start of the test and after 14 days. </w:t>
      </w:r>
    </w:p>
    <w:p w14:paraId="5390CA7C" w14:textId="77777777" w:rsidR="00E51CDD" w:rsidRPr="00E51CDD" w:rsidRDefault="00E51CDD" w:rsidP="00E51CDD">
      <w:pPr>
        <w:widowControl w:val="0"/>
        <w:ind w:left="2040" w:hanging="2040"/>
        <w:jc w:val="both"/>
        <w:rPr>
          <w:color w:val="0070C0"/>
          <w:lang w:eastAsia="en-US"/>
        </w:rPr>
      </w:pPr>
    </w:p>
    <w:p w14:paraId="74B4D561" w14:textId="77777777" w:rsidR="00E51CDD" w:rsidRPr="00E51CDD" w:rsidRDefault="00E51CDD" w:rsidP="00E51CDD">
      <w:pPr>
        <w:widowControl w:val="0"/>
        <w:ind w:left="2040" w:hanging="2040"/>
        <w:jc w:val="both"/>
        <w:rPr>
          <w:lang w:eastAsia="en-US"/>
        </w:rPr>
      </w:pPr>
      <w:r w:rsidRPr="00E51CDD">
        <w:rPr>
          <w:lang w:eastAsia="en-US"/>
        </w:rPr>
        <w:t>Analytics:</w:t>
      </w:r>
      <w:r w:rsidRPr="00E51CDD">
        <w:rPr>
          <w:lang w:eastAsia="en-US"/>
        </w:rPr>
        <w:tab/>
        <w:t>No analytical verification of the test item is required according to the current test guideline. Hence, no analytical verification was conducted.</w:t>
      </w:r>
    </w:p>
    <w:p w14:paraId="586ADE60" w14:textId="77777777" w:rsidR="00E51CDD" w:rsidRPr="00E51CDD" w:rsidRDefault="00E51CDD" w:rsidP="00E51CDD">
      <w:pPr>
        <w:widowControl w:val="0"/>
        <w:ind w:left="2040" w:hanging="2040"/>
        <w:jc w:val="both"/>
        <w:rPr>
          <w:lang w:eastAsia="en-US"/>
        </w:rPr>
      </w:pPr>
    </w:p>
    <w:p w14:paraId="16E1F7B2" w14:textId="77777777" w:rsidR="00E51CDD" w:rsidRPr="00E51CDD" w:rsidRDefault="00E51CDD" w:rsidP="00E51CDD">
      <w:pPr>
        <w:widowControl w:val="0"/>
        <w:tabs>
          <w:tab w:val="left" w:pos="2040"/>
        </w:tabs>
        <w:ind w:left="2040" w:hanging="2040"/>
        <w:jc w:val="both"/>
        <w:rPr>
          <w:szCs w:val="24"/>
          <w:lang w:eastAsia="en-US"/>
        </w:rPr>
      </w:pPr>
      <w:r w:rsidRPr="00E51CDD">
        <w:rPr>
          <w:lang w:eastAsia="en-US"/>
        </w:rPr>
        <w:t>Statistics:</w:t>
      </w:r>
      <w:r w:rsidRPr="00E51CDD">
        <w:rPr>
          <w:lang w:eastAsia="en-US"/>
        </w:rPr>
        <w:tab/>
      </w:r>
      <w:r w:rsidRPr="00E51CDD">
        <w:rPr>
          <w:szCs w:val="24"/>
          <w:lang w:eastAsia="en-US"/>
        </w:rPr>
        <w:t xml:space="preserve">Descriptive statistics; Step-down Cochran-Armitage test for mortality (one-sided greater, α = 0.05), Williams-t-test for reproduction (one-sided smaller, α = 0.05), Weibull analysis for mortality, 3-parametric normal cumulative distribution function (CDF) for reproduction. </w:t>
      </w:r>
    </w:p>
    <w:p w14:paraId="75E833F0" w14:textId="77777777" w:rsidR="00E51CDD" w:rsidRPr="00E51CDD" w:rsidRDefault="00E51CDD" w:rsidP="00E51CDD">
      <w:pPr>
        <w:widowControl w:val="0"/>
        <w:tabs>
          <w:tab w:val="left" w:pos="2040"/>
        </w:tabs>
        <w:ind w:left="2040" w:hanging="2040"/>
        <w:jc w:val="both"/>
        <w:rPr>
          <w:color w:val="0070C0"/>
          <w:lang w:eastAsia="en-US"/>
        </w:rPr>
      </w:pPr>
      <w:r w:rsidRPr="00E51CDD">
        <w:rPr>
          <w:szCs w:val="24"/>
          <w:lang w:eastAsia="en-US"/>
        </w:rPr>
        <w:br w:type="page"/>
      </w:r>
    </w:p>
    <w:p w14:paraId="681D7AF1" w14:textId="77777777" w:rsidR="00E51CDD" w:rsidRPr="00E51CDD" w:rsidRDefault="00E51CDD" w:rsidP="00E51CDD">
      <w:pPr>
        <w:widowControl w:val="0"/>
        <w:tabs>
          <w:tab w:val="left" w:pos="425"/>
          <w:tab w:val="left" w:pos="850"/>
        </w:tabs>
        <w:ind w:left="2835" w:hanging="2835"/>
        <w:jc w:val="both"/>
        <w:rPr>
          <w:b/>
          <w:bCs/>
        </w:rPr>
      </w:pPr>
      <w:r w:rsidRPr="00E51CDD">
        <w:rPr>
          <w:b/>
          <w:bCs/>
        </w:rPr>
        <w:lastRenderedPageBreak/>
        <w:t>II.</w:t>
      </w:r>
      <w:r w:rsidRPr="00E51CDD">
        <w:rPr>
          <w:b/>
          <w:bCs/>
        </w:rPr>
        <w:tab/>
        <w:t>RESULTS AND DISCUSSION</w:t>
      </w:r>
    </w:p>
    <w:p w14:paraId="4E025A06" w14:textId="77777777" w:rsidR="00E51CDD" w:rsidRPr="00E51CDD" w:rsidRDefault="00E51CDD" w:rsidP="00E51CDD">
      <w:pPr>
        <w:widowControl w:val="0"/>
        <w:jc w:val="both"/>
        <w:rPr>
          <w:lang w:eastAsia="en-US"/>
        </w:rPr>
      </w:pPr>
    </w:p>
    <w:p w14:paraId="4B44764A" w14:textId="77777777" w:rsidR="00E51CDD" w:rsidRPr="00E51CDD" w:rsidRDefault="00E51CDD" w:rsidP="00E51CDD">
      <w:pPr>
        <w:widowControl w:val="0"/>
        <w:jc w:val="both"/>
        <w:rPr>
          <w:lang w:eastAsia="en-US"/>
        </w:rPr>
      </w:pPr>
      <w:bookmarkStart w:id="1273" w:name="_Hlk79053528"/>
      <w:r w:rsidRPr="00E51CDD">
        <w:rPr>
          <w:lang w:eastAsia="en-US"/>
        </w:rPr>
        <w:t xml:space="preserve">After 28 days of exposure, </w:t>
      </w:r>
      <w:r w:rsidRPr="00E51CDD">
        <w:rPr>
          <w:szCs w:val="24"/>
        </w:rPr>
        <w:t>mortalities ranging from 0.0% to 100.0% were observed in the test item treatments compared to 2.5% in the control. Statistically</w:t>
      </w:r>
      <w:r w:rsidRPr="00E51CDD">
        <w:rPr>
          <w:lang w:eastAsia="en-US"/>
        </w:rPr>
        <w:t xml:space="preserve"> significant differences on mortality were observed at concentrations of 426, 724 and 1231 mg </w:t>
      </w:r>
      <w:r w:rsidRPr="00E51CDD">
        <w:rPr>
          <w:rFonts w:eastAsia="Calibri"/>
          <w:szCs w:val="24"/>
          <w:lang w:eastAsia="en-US"/>
        </w:rPr>
        <w:t>BAS 736 00 F</w:t>
      </w:r>
      <w:r w:rsidRPr="00E51CDD" w:rsidDel="00BF12E5">
        <w:rPr>
          <w:lang w:eastAsia="en-US"/>
        </w:rPr>
        <w:t xml:space="preserve"> </w:t>
      </w:r>
      <w:r w:rsidRPr="00E51CDD">
        <w:rPr>
          <w:lang w:eastAsia="en-US"/>
        </w:rPr>
        <w:t>/kg dry soil (Step-down Cochran-Armitage test, α = 0.05, one-sided greater).</w:t>
      </w:r>
    </w:p>
    <w:p w14:paraId="1C7AD41F" w14:textId="527BC5F5" w:rsidR="00E51CDD" w:rsidRPr="00E51CDD" w:rsidRDefault="00E51CDD" w:rsidP="00E51CDD">
      <w:pPr>
        <w:widowControl w:val="0"/>
        <w:jc w:val="both"/>
        <w:rPr>
          <w:lang w:eastAsia="en-US"/>
        </w:rPr>
      </w:pPr>
      <w:r w:rsidRPr="00E51CDD">
        <w:rPr>
          <w:lang w:eastAsia="en-US"/>
        </w:rPr>
        <w:t xml:space="preserve">In the control, a mean of 1342 juveniles were counted. In the treatment groups, a mean number of juveniles between 43 to 1368 was counted. This is corresponding to a reproduction relative to the control between 3.2% and 102.0%. Statistically significant reductions in the number of juveniles were observed in the test concentrations of 251 mg </w:t>
      </w:r>
      <w:r w:rsidRPr="00E51CDD">
        <w:rPr>
          <w:rFonts w:eastAsia="Calibri"/>
          <w:szCs w:val="24"/>
          <w:lang w:eastAsia="en-US"/>
        </w:rPr>
        <w:t>BAS 736 00 F</w:t>
      </w:r>
      <w:r w:rsidRPr="00E51CDD">
        <w:rPr>
          <w:lang w:eastAsia="en-US"/>
        </w:rPr>
        <w:t xml:space="preserve">/kg dry soil and above (Williams-t-test, one-sided smaller, α = 0.05). No behavioral abnormalities were observed at any tested concentration. </w:t>
      </w:r>
      <w:bookmarkEnd w:id="1273"/>
      <w:r w:rsidRPr="00E51CDD">
        <w:rPr>
          <w:lang w:eastAsia="en-US"/>
        </w:rPr>
        <w:t xml:space="preserve">The results are </w:t>
      </w:r>
      <w:r w:rsidRPr="00E51CDD">
        <w:rPr>
          <w:szCs w:val="24"/>
          <w:lang w:eastAsia="en-US"/>
        </w:rPr>
        <w:t xml:space="preserve">summarized in </w:t>
      </w:r>
      <w:r w:rsidRPr="00E51CDD">
        <w:rPr>
          <w:szCs w:val="24"/>
          <w:lang w:eastAsia="en-US"/>
        </w:rPr>
        <w:fldChar w:fldCharType="begin"/>
      </w:r>
      <w:r w:rsidRPr="00E51CDD">
        <w:rPr>
          <w:szCs w:val="24"/>
          <w:lang w:eastAsia="en-US"/>
        </w:rPr>
        <w:instrText xml:space="preserve"> REF _Ref83889857 \h  \* MERGEFORMAT </w:instrText>
      </w:r>
      <w:r w:rsidRPr="00E51CDD">
        <w:rPr>
          <w:szCs w:val="24"/>
          <w:lang w:eastAsia="en-US"/>
        </w:rPr>
      </w:r>
      <w:r w:rsidRPr="00E51CDD">
        <w:rPr>
          <w:szCs w:val="24"/>
          <w:lang w:eastAsia="en-US"/>
        </w:rPr>
        <w:fldChar w:fldCharType="separate"/>
      </w:r>
      <w:r w:rsidR="00662F32" w:rsidRPr="00662F32">
        <w:t xml:space="preserve">Table A </w:t>
      </w:r>
      <w:r w:rsidR="00662F32" w:rsidRPr="00662F32">
        <w:rPr>
          <w:noProof/>
        </w:rPr>
        <w:t>35</w:t>
      </w:r>
      <w:r w:rsidRPr="00E51CDD">
        <w:rPr>
          <w:szCs w:val="24"/>
          <w:lang w:eastAsia="en-US"/>
        </w:rPr>
        <w:fldChar w:fldCharType="end"/>
      </w:r>
      <w:r w:rsidRPr="00E51CDD">
        <w:rPr>
          <w:szCs w:val="24"/>
          <w:lang w:eastAsia="en-US"/>
        </w:rPr>
        <w:t>.</w:t>
      </w:r>
    </w:p>
    <w:p w14:paraId="2F285792" w14:textId="77777777" w:rsidR="00E51CDD" w:rsidRPr="00E51CDD" w:rsidRDefault="00E51CDD" w:rsidP="00E51CDD">
      <w:pPr>
        <w:widowControl w:val="0"/>
        <w:jc w:val="both"/>
        <w:rPr>
          <w:lang w:eastAsia="en-US"/>
        </w:rPr>
      </w:pPr>
    </w:p>
    <w:p w14:paraId="39B43942" w14:textId="1759058B" w:rsidR="00E51CDD" w:rsidRPr="00E51CDD" w:rsidRDefault="00E51CDD" w:rsidP="00E51CDD">
      <w:bookmarkStart w:id="1274" w:name="_Ref83889857"/>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35</w:t>
      </w:r>
      <w:r w:rsidRPr="00E51CDD">
        <w:rPr>
          <w:b/>
          <w:bCs/>
        </w:rPr>
        <w:fldChar w:fldCharType="end"/>
      </w:r>
      <w:bookmarkEnd w:id="1274"/>
      <w:r w:rsidRPr="00E51CDD">
        <w:rPr>
          <w:b/>
          <w:bCs/>
        </w:rPr>
        <w:t>:</w:t>
      </w:r>
      <w:r w:rsidRPr="00E51CDD">
        <w:rPr>
          <w:b/>
          <w:bCs/>
        </w:rPr>
        <w:tab/>
        <w:t xml:space="preserve">Effects of BAS 736 00 F on </w:t>
      </w:r>
      <w:r w:rsidRPr="00E51CDD">
        <w:rPr>
          <w:b/>
          <w:bCs/>
          <w:i/>
          <w:iCs/>
        </w:rPr>
        <w:t>Folsomia candida</w:t>
      </w:r>
      <w:r w:rsidRPr="00E51CDD">
        <w:rPr>
          <w:b/>
          <w:bCs/>
        </w:rPr>
        <w:t xml:space="preserve"> in a 28-day reproduction study</w:t>
      </w:r>
    </w:p>
    <w:tbl>
      <w:tblPr>
        <w:tblW w:w="4912"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8"/>
        <w:gridCol w:w="897"/>
        <w:gridCol w:w="721"/>
        <w:gridCol w:w="628"/>
        <w:gridCol w:w="812"/>
        <w:gridCol w:w="810"/>
        <w:gridCol w:w="810"/>
        <w:gridCol w:w="720"/>
        <w:gridCol w:w="722"/>
        <w:gridCol w:w="812"/>
      </w:tblGrid>
      <w:tr w:rsidR="00E51CDD" w:rsidRPr="00E51CDD" w14:paraId="3D6008AD" w14:textId="77777777" w:rsidTr="009938D9">
        <w:trPr>
          <w:trHeight w:val="50"/>
          <w:tblHeader/>
        </w:trPr>
        <w:tc>
          <w:tcPr>
            <w:tcW w:w="1225" w:type="pct"/>
            <w:vAlign w:val="center"/>
          </w:tcPr>
          <w:p w14:paraId="52055BD0" w14:textId="77777777" w:rsidR="00E51CDD" w:rsidRPr="00E51CDD" w:rsidRDefault="00E51CDD" w:rsidP="00E51CDD">
            <w:pPr>
              <w:widowControl w:val="0"/>
              <w:overflowPunct w:val="0"/>
              <w:autoSpaceDE w:val="0"/>
              <w:autoSpaceDN w:val="0"/>
              <w:adjustRightInd w:val="0"/>
              <w:spacing w:before="40" w:after="40"/>
              <w:textAlignment w:val="baseline"/>
              <w:rPr>
                <w:b/>
                <w:sz w:val="20"/>
                <w:szCs w:val="20"/>
                <w:lang w:eastAsia="en-US"/>
              </w:rPr>
            </w:pPr>
            <w:r w:rsidRPr="00E51CDD">
              <w:rPr>
                <w:b/>
                <w:sz w:val="20"/>
                <w:szCs w:val="20"/>
                <w:lang w:eastAsia="en-US"/>
              </w:rPr>
              <w:t>BAS 736 00 F</w:t>
            </w:r>
            <w:r w:rsidRPr="00E51CDD">
              <w:rPr>
                <w:b/>
                <w:sz w:val="20"/>
                <w:szCs w:val="20"/>
                <w:lang w:eastAsia="en-US"/>
              </w:rPr>
              <w:br/>
              <w:t>[mg/kg dry soil</w:t>
            </w:r>
            <w:r w:rsidRPr="00E51CDD">
              <w:rPr>
                <w:b/>
                <w:sz w:val="20"/>
                <w:szCs w:val="20"/>
                <w:lang w:eastAsia="en-US"/>
              </w:rPr>
              <w:sym w:font="Symbol" w:char="F05D"/>
            </w:r>
          </w:p>
        </w:tc>
        <w:tc>
          <w:tcPr>
            <w:tcW w:w="489" w:type="pct"/>
            <w:vAlign w:val="center"/>
          </w:tcPr>
          <w:p w14:paraId="32A0154D"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Control</w:t>
            </w:r>
          </w:p>
        </w:tc>
        <w:tc>
          <w:tcPr>
            <w:tcW w:w="393" w:type="pct"/>
            <w:vAlign w:val="center"/>
          </w:tcPr>
          <w:p w14:paraId="425E038A"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30</w:t>
            </w:r>
          </w:p>
        </w:tc>
        <w:tc>
          <w:tcPr>
            <w:tcW w:w="342" w:type="pct"/>
            <w:vAlign w:val="center"/>
          </w:tcPr>
          <w:p w14:paraId="2BBA936F"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51</w:t>
            </w:r>
          </w:p>
        </w:tc>
        <w:tc>
          <w:tcPr>
            <w:tcW w:w="442" w:type="pct"/>
            <w:vAlign w:val="center"/>
          </w:tcPr>
          <w:p w14:paraId="2FB6DC0C"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87</w:t>
            </w:r>
          </w:p>
        </w:tc>
        <w:tc>
          <w:tcPr>
            <w:tcW w:w="441" w:type="pct"/>
            <w:vAlign w:val="center"/>
          </w:tcPr>
          <w:p w14:paraId="15248038"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147</w:t>
            </w:r>
          </w:p>
        </w:tc>
        <w:tc>
          <w:tcPr>
            <w:tcW w:w="441" w:type="pct"/>
            <w:vAlign w:val="center"/>
          </w:tcPr>
          <w:p w14:paraId="34579F3D"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251</w:t>
            </w:r>
          </w:p>
        </w:tc>
        <w:tc>
          <w:tcPr>
            <w:tcW w:w="392" w:type="pct"/>
            <w:vAlign w:val="center"/>
          </w:tcPr>
          <w:p w14:paraId="2084B829"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426</w:t>
            </w:r>
          </w:p>
        </w:tc>
        <w:tc>
          <w:tcPr>
            <w:tcW w:w="393" w:type="pct"/>
            <w:vAlign w:val="center"/>
          </w:tcPr>
          <w:p w14:paraId="1E99BDEF"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724</w:t>
            </w:r>
          </w:p>
        </w:tc>
        <w:tc>
          <w:tcPr>
            <w:tcW w:w="442" w:type="pct"/>
            <w:vAlign w:val="center"/>
          </w:tcPr>
          <w:p w14:paraId="0B1846C7"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1231</w:t>
            </w:r>
          </w:p>
        </w:tc>
      </w:tr>
      <w:tr w:rsidR="00E51CDD" w:rsidRPr="00E51CDD" w14:paraId="30A7BD58" w14:textId="77777777" w:rsidTr="009938D9">
        <w:trPr>
          <w:trHeight w:val="340"/>
        </w:trPr>
        <w:tc>
          <w:tcPr>
            <w:tcW w:w="1225" w:type="pct"/>
            <w:vAlign w:val="center"/>
          </w:tcPr>
          <w:p w14:paraId="28399A28"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Mortality (day 28) [%]</w:t>
            </w:r>
          </w:p>
        </w:tc>
        <w:tc>
          <w:tcPr>
            <w:tcW w:w="489" w:type="pct"/>
            <w:vAlign w:val="center"/>
          </w:tcPr>
          <w:p w14:paraId="44DBCB0B"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2.5</w:t>
            </w:r>
          </w:p>
        </w:tc>
        <w:tc>
          <w:tcPr>
            <w:tcW w:w="393" w:type="pct"/>
            <w:vAlign w:val="center"/>
          </w:tcPr>
          <w:p w14:paraId="3F094F05"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0.0</w:t>
            </w:r>
          </w:p>
        </w:tc>
        <w:tc>
          <w:tcPr>
            <w:tcW w:w="342" w:type="pct"/>
            <w:vAlign w:val="center"/>
          </w:tcPr>
          <w:p w14:paraId="63294D7A"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5.0</w:t>
            </w:r>
          </w:p>
        </w:tc>
        <w:tc>
          <w:tcPr>
            <w:tcW w:w="442" w:type="pct"/>
            <w:vAlign w:val="center"/>
          </w:tcPr>
          <w:p w14:paraId="428E3948"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2.5</w:t>
            </w:r>
          </w:p>
        </w:tc>
        <w:tc>
          <w:tcPr>
            <w:tcW w:w="441" w:type="pct"/>
            <w:vAlign w:val="center"/>
          </w:tcPr>
          <w:p w14:paraId="65385193"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5.0</w:t>
            </w:r>
          </w:p>
        </w:tc>
        <w:tc>
          <w:tcPr>
            <w:tcW w:w="441" w:type="pct"/>
            <w:vAlign w:val="center"/>
          </w:tcPr>
          <w:p w14:paraId="3C9E6D1D"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5.0</w:t>
            </w:r>
          </w:p>
        </w:tc>
        <w:tc>
          <w:tcPr>
            <w:tcW w:w="392" w:type="pct"/>
            <w:vAlign w:val="center"/>
          </w:tcPr>
          <w:p w14:paraId="24CCBCEA"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37.5*</w:t>
            </w:r>
          </w:p>
        </w:tc>
        <w:tc>
          <w:tcPr>
            <w:tcW w:w="393" w:type="pct"/>
            <w:vAlign w:val="center"/>
          </w:tcPr>
          <w:p w14:paraId="5D782C81"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80.0*</w:t>
            </w:r>
          </w:p>
        </w:tc>
        <w:tc>
          <w:tcPr>
            <w:tcW w:w="442" w:type="pct"/>
            <w:vAlign w:val="center"/>
          </w:tcPr>
          <w:p w14:paraId="66504659"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100.0*</w:t>
            </w:r>
          </w:p>
        </w:tc>
      </w:tr>
      <w:tr w:rsidR="00E51CDD" w:rsidRPr="00E51CDD" w14:paraId="693357C4" w14:textId="77777777" w:rsidTr="009938D9">
        <w:trPr>
          <w:trHeight w:val="340"/>
        </w:trPr>
        <w:tc>
          <w:tcPr>
            <w:tcW w:w="1225" w:type="pct"/>
            <w:vAlign w:val="center"/>
          </w:tcPr>
          <w:p w14:paraId="2E1799DC"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No. of juveniles (day 28)</w:t>
            </w:r>
          </w:p>
        </w:tc>
        <w:tc>
          <w:tcPr>
            <w:tcW w:w="489" w:type="pct"/>
            <w:vAlign w:val="center"/>
          </w:tcPr>
          <w:p w14:paraId="5A764BEF"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1342</w:t>
            </w:r>
          </w:p>
        </w:tc>
        <w:tc>
          <w:tcPr>
            <w:tcW w:w="393" w:type="pct"/>
            <w:vAlign w:val="center"/>
          </w:tcPr>
          <w:p w14:paraId="074C06D0"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1368</w:t>
            </w:r>
          </w:p>
        </w:tc>
        <w:tc>
          <w:tcPr>
            <w:tcW w:w="342" w:type="pct"/>
            <w:vAlign w:val="center"/>
          </w:tcPr>
          <w:p w14:paraId="0AAE1E20"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1296</w:t>
            </w:r>
          </w:p>
        </w:tc>
        <w:tc>
          <w:tcPr>
            <w:tcW w:w="442" w:type="pct"/>
            <w:vAlign w:val="center"/>
          </w:tcPr>
          <w:p w14:paraId="54C66CD1"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1376</w:t>
            </w:r>
          </w:p>
        </w:tc>
        <w:tc>
          <w:tcPr>
            <w:tcW w:w="441" w:type="pct"/>
            <w:vAlign w:val="center"/>
          </w:tcPr>
          <w:p w14:paraId="5B497ACC"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1263</w:t>
            </w:r>
          </w:p>
        </w:tc>
        <w:tc>
          <w:tcPr>
            <w:tcW w:w="441" w:type="pct"/>
            <w:vAlign w:val="center"/>
          </w:tcPr>
          <w:p w14:paraId="2CF8BB07"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1096*</w:t>
            </w:r>
          </w:p>
        </w:tc>
        <w:tc>
          <w:tcPr>
            <w:tcW w:w="392" w:type="pct"/>
            <w:vAlign w:val="center"/>
          </w:tcPr>
          <w:p w14:paraId="5D2BC9FE"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884*</w:t>
            </w:r>
          </w:p>
        </w:tc>
        <w:tc>
          <w:tcPr>
            <w:tcW w:w="393" w:type="pct"/>
            <w:vAlign w:val="center"/>
          </w:tcPr>
          <w:p w14:paraId="73F0F5EE"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356*</w:t>
            </w:r>
          </w:p>
        </w:tc>
        <w:tc>
          <w:tcPr>
            <w:tcW w:w="442" w:type="pct"/>
            <w:vAlign w:val="center"/>
          </w:tcPr>
          <w:p w14:paraId="7E17916F"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43*</w:t>
            </w:r>
          </w:p>
        </w:tc>
      </w:tr>
      <w:tr w:rsidR="00E51CDD" w:rsidRPr="00E51CDD" w14:paraId="4EA6848D" w14:textId="77777777" w:rsidTr="009938D9">
        <w:trPr>
          <w:trHeight w:val="340"/>
        </w:trPr>
        <w:tc>
          <w:tcPr>
            <w:tcW w:w="1225" w:type="pct"/>
            <w:vAlign w:val="center"/>
          </w:tcPr>
          <w:p w14:paraId="71BAF190"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Coefficient of variation [%]</w:t>
            </w:r>
          </w:p>
        </w:tc>
        <w:tc>
          <w:tcPr>
            <w:tcW w:w="489" w:type="pct"/>
            <w:vAlign w:val="center"/>
          </w:tcPr>
          <w:p w14:paraId="2BD208B7"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11.5</w:t>
            </w:r>
          </w:p>
        </w:tc>
        <w:tc>
          <w:tcPr>
            <w:tcW w:w="393" w:type="pct"/>
            <w:vAlign w:val="center"/>
          </w:tcPr>
          <w:p w14:paraId="33A5216F"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15.0</w:t>
            </w:r>
          </w:p>
        </w:tc>
        <w:tc>
          <w:tcPr>
            <w:tcW w:w="342" w:type="pct"/>
            <w:vAlign w:val="center"/>
          </w:tcPr>
          <w:p w14:paraId="610067B4"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8.7</w:t>
            </w:r>
          </w:p>
        </w:tc>
        <w:tc>
          <w:tcPr>
            <w:tcW w:w="442" w:type="pct"/>
            <w:vAlign w:val="center"/>
          </w:tcPr>
          <w:p w14:paraId="6797500F"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7.7</w:t>
            </w:r>
          </w:p>
        </w:tc>
        <w:tc>
          <w:tcPr>
            <w:tcW w:w="441" w:type="pct"/>
            <w:vAlign w:val="center"/>
          </w:tcPr>
          <w:p w14:paraId="32E75054"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1.8</w:t>
            </w:r>
          </w:p>
        </w:tc>
        <w:tc>
          <w:tcPr>
            <w:tcW w:w="441" w:type="pct"/>
            <w:vAlign w:val="center"/>
          </w:tcPr>
          <w:p w14:paraId="6F016A2C"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19.0</w:t>
            </w:r>
          </w:p>
        </w:tc>
        <w:tc>
          <w:tcPr>
            <w:tcW w:w="392" w:type="pct"/>
            <w:vAlign w:val="center"/>
          </w:tcPr>
          <w:p w14:paraId="24531B03"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18.5</w:t>
            </w:r>
          </w:p>
        </w:tc>
        <w:tc>
          <w:tcPr>
            <w:tcW w:w="393" w:type="pct"/>
            <w:vAlign w:val="center"/>
          </w:tcPr>
          <w:p w14:paraId="234013D7"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41.2</w:t>
            </w:r>
          </w:p>
        </w:tc>
        <w:tc>
          <w:tcPr>
            <w:tcW w:w="442" w:type="pct"/>
            <w:vAlign w:val="center"/>
          </w:tcPr>
          <w:p w14:paraId="6C45D919"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55.1</w:t>
            </w:r>
          </w:p>
        </w:tc>
      </w:tr>
      <w:tr w:rsidR="00E51CDD" w:rsidRPr="00E51CDD" w14:paraId="4A865BB5" w14:textId="77777777" w:rsidTr="009938D9">
        <w:trPr>
          <w:trHeight w:val="70"/>
        </w:trPr>
        <w:tc>
          <w:tcPr>
            <w:tcW w:w="1225" w:type="pct"/>
            <w:vAlign w:val="center"/>
          </w:tcPr>
          <w:p w14:paraId="6537E16C"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highlight w:val="yellow"/>
                <w:lang w:eastAsia="en-US"/>
              </w:rPr>
            </w:pPr>
            <w:r w:rsidRPr="00E51CDD">
              <w:rPr>
                <w:sz w:val="20"/>
                <w:szCs w:val="20"/>
                <w:lang w:eastAsia="en-US"/>
              </w:rPr>
              <w:t>Reproduction [% of control] (day 28)</w:t>
            </w:r>
          </w:p>
        </w:tc>
        <w:tc>
          <w:tcPr>
            <w:tcW w:w="489" w:type="pct"/>
            <w:vAlign w:val="center"/>
          </w:tcPr>
          <w:p w14:paraId="2BCFE206"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100</w:t>
            </w:r>
          </w:p>
        </w:tc>
        <w:tc>
          <w:tcPr>
            <w:tcW w:w="393" w:type="pct"/>
            <w:vAlign w:val="center"/>
          </w:tcPr>
          <w:p w14:paraId="611EC855"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102.0</w:t>
            </w:r>
          </w:p>
        </w:tc>
        <w:tc>
          <w:tcPr>
            <w:tcW w:w="342" w:type="pct"/>
            <w:vAlign w:val="center"/>
          </w:tcPr>
          <w:p w14:paraId="74F86202"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96.6</w:t>
            </w:r>
          </w:p>
        </w:tc>
        <w:tc>
          <w:tcPr>
            <w:tcW w:w="442" w:type="pct"/>
            <w:vAlign w:val="center"/>
          </w:tcPr>
          <w:p w14:paraId="77D4CD9A"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102.5</w:t>
            </w:r>
          </w:p>
        </w:tc>
        <w:tc>
          <w:tcPr>
            <w:tcW w:w="441" w:type="pct"/>
            <w:vAlign w:val="center"/>
          </w:tcPr>
          <w:p w14:paraId="39E075EC"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94.1</w:t>
            </w:r>
          </w:p>
        </w:tc>
        <w:tc>
          <w:tcPr>
            <w:tcW w:w="441" w:type="pct"/>
            <w:vAlign w:val="center"/>
          </w:tcPr>
          <w:p w14:paraId="7318A4A4"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81.7</w:t>
            </w:r>
          </w:p>
        </w:tc>
        <w:tc>
          <w:tcPr>
            <w:tcW w:w="392" w:type="pct"/>
            <w:vAlign w:val="center"/>
          </w:tcPr>
          <w:p w14:paraId="1371137A"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65.9</w:t>
            </w:r>
          </w:p>
        </w:tc>
        <w:tc>
          <w:tcPr>
            <w:tcW w:w="393" w:type="pct"/>
            <w:vAlign w:val="center"/>
          </w:tcPr>
          <w:p w14:paraId="7404F85F"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26.5</w:t>
            </w:r>
          </w:p>
        </w:tc>
        <w:tc>
          <w:tcPr>
            <w:tcW w:w="442" w:type="pct"/>
            <w:vAlign w:val="center"/>
          </w:tcPr>
          <w:p w14:paraId="7DB95888"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3.2</w:t>
            </w:r>
          </w:p>
        </w:tc>
      </w:tr>
      <w:tr w:rsidR="00E51CDD" w:rsidRPr="00E51CDD" w14:paraId="37020B37" w14:textId="77777777" w:rsidTr="009938D9">
        <w:trPr>
          <w:cantSplit/>
          <w:trHeight w:val="340"/>
        </w:trPr>
        <w:tc>
          <w:tcPr>
            <w:tcW w:w="1225" w:type="pct"/>
            <w:vAlign w:val="center"/>
          </w:tcPr>
          <w:p w14:paraId="1F7903CD" w14:textId="77777777" w:rsidR="00E51CDD" w:rsidRPr="00E51CDD" w:rsidRDefault="00E51CDD" w:rsidP="00E51CDD">
            <w:pPr>
              <w:widowControl w:val="0"/>
              <w:overflowPunct w:val="0"/>
              <w:autoSpaceDE w:val="0"/>
              <w:autoSpaceDN w:val="0"/>
              <w:adjustRightInd w:val="0"/>
              <w:spacing w:before="40" w:after="40"/>
              <w:textAlignment w:val="baseline"/>
              <w:rPr>
                <w:b/>
                <w:bCs/>
                <w:sz w:val="20"/>
                <w:szCs w:val="20"/>
                <w:highlight w:val="yellow"/>
                <w:lang w:eastAsia="en-US"/>
              </w:rPr>
            </w:pPr>
          </w:p>
        </w:tc>
        <w:tc>
          <w:tcPr>
            <w:tcW w:w="3775" w:type="pct"/>
            <w:gridSpan w:val="9"/>
            <w:vAlign w:val="center"/>
          </w:tcPr>
          <w:p w14:paraId="0093892C" w14:textId="77777777" w:rsidR="00E51CDD" w:rsidRPr="00E51CDD" w:rsidRDefault="00E51CDD" w:rsidP="00E51CDD">
            <w:pPr>
              <w:widowControl w:val="0"/>
              <w:overflowPunct w:val="0"/>
              <w:autoSpaceDE w:val="0"/>
              <w:autoSpaceDN w:val="0"/>
              <w:adjustRightInd w:val="0"/>
              <w:spacing w:before="40" w:after="40"/>
              <w:jc w:val="center"/>
              <w:textAlignment w:val="baseline"/>
              <w:rPr>
                <w:b/>
                <w:bCs/>
                <w:sz w:val="20"/>
                <w:szCs w:val="20"/>
                <w:lang w:eastAsia="en-US"/>
              </w:rPr>
            </w:pPr>
            <w:r w:rsidRPr="00E51CDD">
              <w:rPr>
                <w:b/>
                <w:bCs/>
                <w:sz w:val="20"/>
                <w:szCs w:val="20"/>
                <w:lang w:eastAsia="en-US"/>
              </w:rPr>
              <w:t>Endpoints [mg </w:t>
            </w:r>
            <w:r w:rsidRPr="00E51CDD">
              <w:rPr>
                <w:b/>
                <w:sz w:val="20"/>
                <w:szCs w:val="20"/>
                <w:lang w:eastAsia="en-US"/>
              </w:rPr>
              <w:t>BAS 736 00 F</w:t>
            </w:r>
            <w:r w:rsidRPr="00E51CDD">
              <w:rPr>
                <w:b/>
                <w:bCs/>
                <w:sz w:val="20"/>
                <w:szCs w:val="20"/>
                <w:lang w:eastAsia="en-US"/>
              </w:rPr>
              <w:t>/kg dry soil]</w:t>
            </w:r>
          </w:p>
        </w:tc>
      </w:tr>
      <w:tr w:rsidR="00E51CDD" w:rsidRPr="00E51CDD" w14:paraId="3A2F9BED" w14:textId="77777777" w:rsidTr="009938D9">
        <w:trPr>
          <w:cantSplit/>
          <w:trHeight w:val="340"/>
        </w:trPr>
        <w:tc>
          <w:tcPr>
            <w:tcW w:w="1225" w:type="pct"/>
            <w:vAlign w:val="center"/>
          </w:tcPr>
          <w:p w14:paraId="64751997"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NOEC</w:t>
            </w:r>
            <w:r w:rsidRPr="00E51CDD">
              <w:rPr>
                <w:sz w:val="20"/>
                <w:szCs w:val="20"/>
                <w:vertAlign w:val="subscript"/>
                <w:lang w:eastAsia="en-US"/>
              </w:rPr>
              <w:t>mortality</w:t>
            </w:r>
          </w:p>
        </w:tc>
        <w:tc>
          <w:tcPr>
            <w:tcW w:w="3775" w:type="pct"/>
            <w:gridSpan w:val="9"/>
          </w:tcPr>
          <w:p w14:paraId="7B63AEA3"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251</w:t>
            </w:r>
          </w:p>
        </w:tc>
      </w:tr>
      <w:tr w:rsidR="00E51CDD" w:rsidRPr="00E51CDD" w14:paraId="0A6F1A4F" w14:textId="77777777" w:rsidTr="009938D9">
        <w:trPr>
          <w:cantSplit/>
          <w:trHeight w:val="340"/>
        </w:trPr>
        <w:tc>
          <w:tcPr>
            <w:tcW w:w="1225" w:type="pct"/>
            <w:vAlign w:val="center"/>
          </w:tcPr>
          <w:p w14:paraId="4F7D9E8D"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NOEC</w:t>
            </w:r>
            <w:r w:rsidRPr="00E51CDD">
              <w:rPr>
                <w:sz w:val="20"/>
                <w:szCs w:val="20"/>
                <w:vertAlign w:val="subscript"/>
                <w:lang w:eastAsia="en-US"/>
              </w:rPr>
              <w:t>reproduction</w:t>
            </w:r>
          </w:p>
        </w:tc>
        <w:tc>
          <w:tcPr>
            <w:tcW w:w="3775" w:type="pct"/>
            <w:gridSpan w:val="9"/>
          </w:tcPr>
          <w:p w14:paraId="21385DB1"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147</w:t>
            </w:r>
          </w:p>
        </w:tc>
      </w:tr>
      <w:tr w:rsidR="00E51CDD" w:rsidRPr="00E51CDD" w14:paraId="43DBBBEF" w14:textId="77777777" w:rsidTr="009938D9">
        <w:trPr>
          <w:cantSplit/>
          <w:trHeight w:val="340"/>
        </w:trPr>
        <w:tc>
          <w:tcPr>
            <w:tcW w:w="1225" w:type="pct"/>
            <w:vAlign w:val="center"/>
          </w:tcPr>
          <w:p w14:paraId="6350F55B"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vertAlign w:val="superscript"/>
                <w:lang w:eastAsia="en-US"/>
              </w:rPr>
            </w:pPr>
            <w:r w:rsidRPr="00E51CDD">
              <w:rPr>
                <w:sz w:val="20"/>
                <w:szCs w:val="20"/>
                <w:lang w:eastAsia="en-US"/>
              </w:rPr>
              <w:t>LC</w:t>
            </w:r>
            <w:r w:rsidRPr="00E51CDD">
              <w:rPr>
                <w:sz w:val="20"/>
                <w:szCs w:val="20"/>
                <w:vertAlign w:val="subscript"/>
                <w:lang w:eastAsia="en-US"/>
              </w:rPr>
              <w:t>50</w:t>
            </w:r>
            <w:r w:rsidRPr="00E51CDD">
              <w:rPr>
                <w:sz w:val="20"/>
                <w:szCs w:val="20"/>
                <w:lang w:eastAsia="en-US"/>
              </w:rPr>
              <w:t xml:space="preserve"> </w:t>
            </w:r>
            <w:r w:rsidRPr="00E51CDD">
              <w:rPr>
                <w:sz w:val="20"/>
                <w:szCs w:val="20"/>
                <w:vertAlign w:val="superscript"/>
                <w:lang w:eastAsia="en-US"/>
              </w:rPr>
              <w:t>1</w:t>
            </w:r>
          </w:p>
          <w:p w14:paraId="33E187CA"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(95% confidence limits)</w:t>
            </w:r>
          </w:p>
        </w:tc>
        <w:tc>
          <w:tcPr>
            <w:tcW w:w="3775" w:type="pct"/>
            <w:gridSpan w:val="9"/>
          </w:tcPr>
          <w:p w14:paraId="6E232127"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529</w:t>
            </w:r>
          </w:p>
          <w:p w14:paraId="54BBCE07"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(413 – 677)</w:t>
            </w:r>
          </w:p>
        </w:tc>
      </w:tr>
      <w:tr w:rsidR="00E51CDD" w:rsidRPr="00E51CDD" w14:paraId="4857C24B" w14:textId="77777777" w:rsidTr="009938D9">
        <w:trPr>
          <w:cantSplit/>
          <w:trHeight w:val="340"/>
        </w:trPr>
        <w:tc>
          <w:tcPr>
            <w:tcW w:w="1225" w:type="pct"/>
            <w:vAlign w:val="center"/>
          </w:tcPr>
          <w:p w14:paraId="5FC58E0C"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vertAlign w:val="superscript"/>
                <w:lang w:eastAsia="en-US"/>
              </w:rPr>
            </w:pPr>
            <w:r w:rsidRPr="00E51CDD">
              <w:rPr>
                <w:sz w:val="20"/>
                <w:szCs w:val="20"/>
                <w:lang w:eastAsia="en-US"/>
              </w:rPr>
              <w:t>EC</w:t>
            </w:r>
            <w:r w:rsidRPr="00E51CDD">
              <w:rPr>
                <w:sz w:val="20"/>
                <w:szCs w:val="20"/>
                <w:vertAlign w:val="subscript"/>
                <w:lang w:eastAsia="en-US"/>
              </w:rPr>
              <w:t>10</w:t>
            </w:r>
            <w:r w:rsidRPr="00E51CDD">
              <w:rPr>
                <w:sz w:val="20"/>
                <w:szCs w:val="20"/>
                <w:lang w:eastAsia="en-US"/>
              </w:rPr>
              <w:t xml:space="preserve"> </w:t>
            </w:r>
            <w:r w:rsidRPr="00E51CDD">
              <w:rPr>
                <w:sz w:val="20"/>
                <w:szCs w:val="20"/>
                <w:vertAlign w:val="superscript"/>
                <w:lang w:eastAsia="en-US"/>
              </w:rPr>
              <w:t>2</w:t>
            </w:r>
          </w:p>
          <w:p w14:paraId="38E7547A"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(95% confidence limits)</w:t>
            </w:r>
          </w:p>
        </w:tc>
        <w:tc>
          <w:tcPr>
            <w:tcW w:w="3775" w:type="pct"/>
            <w:gridSpan w:val="9"/>
          </w:tcPr>
          <w:p w14:paraId="1DA0984D" w14:textId="77777777" w:rsidR="00E51CDD" w:rsidRPr="00E51CDD" w:rsidRDefault="00E51CDD" w:rsidP="00E51CDD">
            <w:pPr>
              <w:widowControl w:val="0"/>
              <w:overflowPunct w:val="0"/>
              <w:autoSpaceDE w:val="0"/>
              <w:autoSpaceDN w:val="0"/>
              <w:adjustRightInd w:val="0"/>
              <w:spacing w:before="40" w:after="40"/>
              <w:jc w:val="center"/>
              <w:textAlignment w:val="baseline"/>
              <w:rPr>
                <w:rFonts w:eastAsia="Calibri"/>
                <w:sz w:val="20"/>
                <w:szCs w:val="20"/>
                <w:lang w:eastAsia="en-US"/>
              </w:rPr>
            </w:pPr>
            <w:r w:rsidRPr="00E51CDD">
              <w:rPr>
                <w:rFonts w:eastAsia="Calibri"/>
                <w:sz w:val="20"/>
                <w:szCs w:val="20"/>
                <w:lang w:eastAsia="en-US"/>
              </w:rPr>
              <w:t>232</w:t>
            </w:r>
          </w:p>
          <w:p w14:paraId="34FF7C7E"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rFonts w:eastAsia="Calibri"/>
                <w:sz w:val="20"/>
                <w:szCs w:val="20"/>
                <w:lang w:eastAsia="en-US"/>
              </w:rPr>
              <w:t>(219 – 246)</w:t>
            </w:r>
          </w:p>
        </w:tc>
      </w:tr>
      <w:tr w:rsidR="00E51CDD" w:rsidRPr="00E51CDD" w14:paraId="42907EFF" w14:textId="77777777" w:rsidTr="009938D9">
        <w:trPr>
          <w:cantSplit/>
          <w:trHeight w:val="340"/>
        </w:trPr>
        <w:tc>
          <w:tcPr>
            <w:tcW w:w="1225" w:type="pct"/>
            <w:vAlign w:val="center"/>
          </w:tcPr>
          <w:p w14:paraId="69C58CE3"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vertAlign w:val="superscript"/>
                <w:lang w:eastAsia="en-US"/>
              </w:rPr>
            </w:pPr>
            <w:r w:rsidRPr="00E51CDD">
              <w:rPr>
                <w:sz w:val="20"/>
                <w:szCs w:val="20"/>
                <w:lang w:eastAsia="en-US"/>
              </w:rPr>
              <w:t>EC</w:t>
            </w:r>
            <w:r w:rsidRPr="00E51CDD">
              <w:rPr>
                <w:sz w:val="20"/>
                <w:szCs w:val="20"/>
                <w:vertAlign w:val="subscript"/>
                <w:lang w:eastAsia="en-US"/>
              </w:rPr>
              <w:t>20</w:t>
            </w:r>
            <w:r w:rsidRPr="00E51CDD">
              <w:rPr>
                <w:sz w:val="20"/>
                <w:szCs w:val="20"/>
                <w:lang w:eastAsia="en-US"/>
              </w:rPr>
              <w:t xml:space="preserve"> </w:t>
            </w:r>
            <w:r w:rsidRPr="00E51CDD">
              <w:rPr>
                <w:sz w:val="20"/>
                <w:szCs w:val="20"/>
                <w:vertAlign w:val="superscript"/>
                <w:lang w:eastAsia="en-US"/>
              </w:rPr>
              <w:t>2</w:t>
            </w:r>
          </w:p>
          <w:p w14:paraId="5ABAD1E8"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(95% confidence limits)</w:t>
            </w:r>
          </w:p>
        </w:tc>
        <w:tc>
          <w:tcPr>
            <w:tcW w:w="3775" w:type="pct"/>
            <w:gridSpan w:val="9"/>
          </w:tcPr>
          <w:p w14:paraId="4C138B45"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303</w:t>
            </w:r>
          </w:p>
          <w:p w14:paraId="24D2B5AD"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(290 – 317)</w:t>
            </w:r>
          </w:p>
        </w:tc>
      </w:tr>
      <w:tr w:rsidR="00E51CDD" w:rsidRPr="00E51CDD" w14:paraId="3C1898CC" w14:textId="77777777" w:rsidTr="009938D9">
        <w:trPr>
          <w:cantSplit/>
          <w:trHeight w:val="340"/>
        </w:trPr>
        <w:tc>
          <w:tcPr>
            <w:tcW w:w="1225" w:type="pct"/>
            <w:vAlign w:val="center"/>
          </w:tcPr>
          <w:p w14:paraId="3C64CB9D"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vertAlign w:val="superscript"/>
                <w:lang w:eastAsia="en-US"/>
              </w:rPr>
            </w:pPr>
            <w:r w:rsidRPr="00E51CDD">
              <w:rPr>
                <w:sz w:val="20"/>
                <w:szCs w:val="20"/>
                <w:lang w:eastAsia="en-US"/>
              </w:rPr>
              <w:t>EC</w:t>
            </w:r>
            <w:r w:rsidRPr="00E51CDD">
              <w:rPr>
                <w:sz w:val="20"/>
                <w:szCs w:val="20"/>
                <w:vertAlign w:val="subscript"/>
                <w:lang w:eastAsia="en-US"/>
              </w:rPr>
              <w:t>50</w:t>
            </w:r>
            <w:r w:rsidRPr="00E51CDD">
              <w:rPr>
                <w:sz w:val="20"/>
                <w:szCs w:val="20"/>
                <w:lang w:eastAsia="en-US"/>
              </w:rPr>
              <w:t xml:space="preserve"> </w:t>
            </w:r>
            <w:r w:rsidRPr="00E51CDD">
              <w:rPr>
                <w:sz w:val="20"/>
                <w:szCs w:val="20"/>
                <w:vertAlign w:val="superscript"/>
                <w:lang w:eastAsia="en-US"/>
              </w:rPr>
              <w:t>2</w:t>
            </w:r>
          </w:p>
          <w:p w14:paraId="01E40AC0"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(95% confidence limits)</w:t>
            </w:r>
          </w:p>
        </w:tc>
        <w:tc>
          <w:tcPr>
            <w:tcW w:w="3775" w:type="pct"/>
            <w:gridSpan w:val="9"/>
          </w:tcPr>
          <w:p w14:paraId="247D0A85"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505</w:t>
            </w:r>
          </w:p>
          <w:p w14:paraId="6C094E95"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(493 – 518)</w:t>
            </w:r>
          </w:p>
        </w:tc>
      </w:tr>
    </w:tbl>
    <w:p w14:paraId="16AAAEE4" w14:textId="77777777" w:rsidR="00E51CDD" w:rsidRPr="00E51CDD" w:rsidRDefault="00E51CDD" w:rsidP="00E51CDD">
      <w:pPr>
        <w:widowControl w:val="0"/>
        <w:ind w:left="284" w:hanging="284"/>
        <w:jc w:val="both"/>
        <w:rPr>
          <w:sz w:val="18"/>
          <w:szCs w:val="18"/>
          <w:lang w:eastAsia="en-US"/>
        </w:rPr>
      </w:pPr>
      <w:r w:rsidRPr="00E51CDD">
        <w:rPr>
          <w:sz w:val="18"/>
          <w:szCs w:val="18"/>
          <w:lang w:eastAsia="en-US"/>
        </w:rPr>
        <w:t>*</w:t>
      </w:r>
      <w:r w:rsidRPr="00E51CDD">
        <w:rPr>
          <w:sz w:val="18"/>
          <w:szCs w:val="18"/>
          <w:lang w:eastAsia="en-US"/>
        </w:rPr>
        <w:tab/>
        <w:t xml:space="preserve">Statistically significant differences compared to the control (Step-down Cochran-Armitage test for mortality, one-sided greater, </w:t>
      </w:r>
      <w:r w:rsidRPr="00E51CDD">
        <w:rPr>
          <w:sz w:val="18"/>
          <w:szCs w:val="18"/>
          <w:lang w:eastAsia="en-US"/>
        </w:rPr>
        <w:sym w:font="Symbol" w:char="F061"/>
      </w:r>
      <w:r w:rsidRPr="00E51CDD">
        <w:rPr>
          <w:sz w:val="18"/>
          <w:szCs w:val="18"/>
          <w:lang w:eastAsia="en-US"/>
        </w:rPr>
        <w:t> = 0.05; Williams-t-test for reproduction; α = 0.05, one-sided smaller).</w:t>
      </w:r>
    </w:p>
    <w:p w14:paraId="2D042012" w14:textId="77777777" w:rsidR="00E51CDD" w:rsidRPr="00E51CDD" w:rsidRDefault="00E51CDD" w:rsidP="00E51CDD">
      <w:pPr>
        <w:widowControl w:val="0"/>
        <w:ind w:left="270" w:hanging="270"/>
        <w:rPr>
          <w:sz w:val="18"/>
          <w:szCs w:val="18"/>
          <w:lang w:eastAsia="en-US"/>
        </w:rPr>
      </w:pPr>
      <w:r w:rsidRPr="00E51CDD">
        <w:rPr>
          <w:sz w:val="18"/>
          <w:szCs w:val="18"/>
          <w:vertAlign w:val="superscript"/>
          <w:lang w:eastAsia="en-US"/>
        </w:rPr>
        <w:t>1</w:t>
      </w:r>
      <w:r w:rsidRPr="00E51CDD">
        <w:rPr>
          <w:sz w:val="18"/>
          <w:szCs w:val="18"/>
          <w:vertAlign w:val="superscript"/>
          <w:lang w:eastAsia="en-US"/>
        </w:rPr>
        <w:tab/>
      </w:r>
      <w:r w:rsidRPr="00E51CDD">
        <w:rPr>
          <w:sz w:val="18"/>
          <w:szCs w:val="18"/>
          <w:lang w:eastAsia="en-US"/>
        </w:rPr>
        <w:t>based on Weibull analysis</w:t>
      </w:r>
    </w:p>
    <w:p w14:paraId="124F11B5" w14:textId="77777777" w:rsidR="00E51CDD" w:rsidRPr="00E51CDD" w:rsidRDefault="00E51CDD" w:rsidP="00E51CDD">
      <w:pPr>
        <w:widowControl w:val="0"/>
        <w:ind w:left="270" w:hanging="270"/>
        <w:rPr>
          <w:sz w:val="18"/>
          <w:szCs w:val="18"/>
          <w:lang w:eastAsia="en-US"/>
        </w:rPr>
      </w:pPr>
      <w:r w:rsidRPr="00E51CDD">
        <w:rPr>
          <w:sz w:val="18"/>
          <w:szCs w:val="18"/>
          <w:vertAlign w:val="superscript"/>
          <w:lang w:eastAsia="en-US"/>
        </w:rPr>
        <w:t>2</w:t>
      </w:r>
      <w:r w:rsidRPr="00E51CDD">
        <w:rPr>
          <w:sz w:val="18"/>
          <w:szCs w:val="18"/>
          <w:vertAlign w:val="superscript"/>
          <w:lang w:eastAsia="en-US"/>
        </w:rPr>
        <w:tab/>
      </w:r>
      <w:r w:rsidRPr="00E51CDD">
        <w:rPr>
          <w:sz w:val="18"/>
          <w:szCs w:val="18"/>
          <w:lang w:eastAsia="en-US"/>
        </w:rPr>
        <w:t>based on 3-parametric normal CDF</w:t>
      </w:r>
    </w:p>
    <w:p w14:paraId="7E6704F2" w14:textId="77777777" w:rsidR="00E51CDD" w:rsidRPr="00E51CDD" w:rsidRDefault="00E51CDD" w:rsidP="00E51CDD">
      <w:pPr>
        <w:widowControl w:val="0"/>
        <w:rPr>
          <w:lang w:eastAsia="en-US"/>
        </w:rPr>
      </w:pPr>
    </w:p>
    <w:p w14:paraId="5135C0F5" w14:textId="77777777" w:rsidR="00E51CDD" w:rsidRPr="00E51CDD" w:rsidRDefault="00E51CDD" w:rsidP="00E51CDD">
      <w:pPr>
        <w:widowControl w:val="0"/>
        <w:rPr>
          <w:lang w:eastAsia="en-US"/>
        </w:rPr>
      </w:pPr>
    </w:p>
    <w:p w14:paraId="16385963" w14:textId="77777777" w:rsidR="00E51CDD" w:rsidRPr="00E51CDD" w:rsidRDefault="00E51CDD" w:rsidP="00E51CDD">
      <w:pPr>
        <w:widowControl w:val="0"/>
        <w:jc w:val="both"/>
        <w:rPr>
          <w:szCs w:val="24"/>
        </w:rPr>
      </w:pPr>
      <w:r w:rsidRPr="00E51CDD">
        <w:rPr>
          <w:rFonts w:eastAsia="Calibri"/>
          <w:lang w:eastAsia="en-US"/>
        </w:rPr>
        <w:t>In a separate study, the EC</w:t>
      </w:r>
      <w:r w:rsidRPr="00E51CDD">
        <w:rPr>
          <w:rFonts w:eastAsia="Calibri"/>
          <w:vertAlign w:val="subscript"/>
          <w:lang w:eastAsia="en-US"/>
        </w:rPr>
        <w:t>50</w:t>
      </w:r>
      <w:r w:rsidRPr="00E51CDD">
        <w:rPr>
          <w:rFonts w:eastAsia="Calibri"/>
          <w:lang w:eastAsia="en-US"/>
        </w:rPr>
        <w:t xml:space="preserve"> (reproduction) of the reference item boric acid was calculated to be 98 mg/kg dry soil. The results of the reference test demonstrate the sensitivity of the test system. </w:t>
      </w:r>
    </w:p>
    <w:p w14:paraId="0AC9F167" w14:textId="77777777" w:rsidR="00E51CDD" w:rsidRPr="00E51CDD" w:rsidRDefault="00E51CDD" w:rsidP="00E51CDD">
      <w:pPr>
        <w:widowControl w:val="0"/>
        <w:jc w:val="both"/>
        <w:rPr>
          <w:lang w:eastAsia="en-US"/>
        </w:rPr>
      </w:pPr>
    </w:p>
    <w:p w14:paraId="003EA602" w14:textId="77777777" w:rsidR="00E51CDD" w:rsidRPr="00E51CDD" w:rsidRDefault="00E51CDD" w:rsidP="00E51CDD">
      <w:pPr>
        <w:widowControl w:val="0"/>
        <w:jc w:val="both"/>
        <w:rPr>
          <w:lang w:eastAsia="en-US"/>
        </w:rPr>
      </w:pPr>
    </w:p>
    <w:p w14:paraId="7E7346EE" w14:textId="77777777" w:rsidR="00E51CDD" w:rsidRPr="00E51CDD" w:rsidRDefault="00E51CDD" w:rsidP="00E51CDD">
      <w:pPr>
        <w:jc w:val="both"/>
        <w:rPr>
          <w:u w:val="single"/>
        </w:rPr>
      </w:pPr>
      <w:r w:rsidRPr="00E51CDD">
        <w:rPr>
          <w:u w:val="single"/>
        </w:rPr>
        <w:t>Validity criteria:</w:t>
      </w:r>
    </w:p>
    <w:p w14:paraId="27751F1C" w14:textId="77777777" w:rsidR="00E51CDD" w:rsidRPr="00E51CDD" w:rsidRDefault="00E51CDD" w:rsidP="00E51CDD">
      <w:pPr>
        <w:jc w:val="both"/>
      </w:pPr>
    </w:p>
    <w:tbl>
      <w:tblPr>
        <w:tblStyle w:val="DAR0072"/>
        <w:tblW w:w="5000" w:type="pct"/>
        <w:tblLook w:val="04A0" w:firstRow="1" w:lastRow="0" w:firstColumn="1" w:lastColumn="0" w:noHBand="0" w:noVBand="1"/>
      </w:tblPr>
      <w:tblGrid>
        <w:gridCol w:w="6866"/>
        <w:gridCol w:w="2478"/>
      </w:tblGrid>
      <w:tr w:rsidR="00E51CDD" w:rsidRPr="00E51CDD" w14:paraId="21924D42" w14:textId="77777777" w:rsidTr="009938D9">
        <w:tc>
          <w:tcPr>
            <w:tcW w:w="3674" w:type="pct"/>
            <w:vAlign w:val="center"/>
          </w:tcPr>
          <w:p w14:paraId="533746C5" w14:textId="77777777" w:rsidR="00E51CDD" w:rsidRPr="00E51CDD" w:rsidRDefault="00E51CDD" w:rsidP="00E51CDD">
            <w:pPr>
              <w:widowControl w:val="0"/>
              <w:rPr>
                <w:b/>
                <w:sz w:val="20"/>
                <w:szCs w:val="20"/>
              </w:rPr>
            </w:pPr>
            <w:r w:rsidRPr="00E51CDD">
              <w:rPr>
                <w:b/>
                <w:sz w:val="20"/>
                <w:szCs w:val="20"/>
              </w:rPr>
              <w:t>Validity criteria according to OECD 232 (2016)</w:t>
            </w:r>
          </w:p>
        </w:tc>
        <w:tc>
          <w:tcPr>
            <w:tcW w:w="1326" w:type="pct"/>
            <w:vAlign w:val="center"/>
          </w:tcPr>
          <w:p w14:paraId="0AA2C5FE" w14:textId="77777777" w:rsidR="00E51CDD" w:rsidRPr="00E51CDD" w:rsidRDefault="00E51CDD" w:rsidP="00E51CDD">
            <w:pPr>
              <w:widowControl w:val="0"/>
              <w:rPr>
                <w:b/>
                <w:sz w:val="20"/>
                <w:szCs w:val="20"/>
              </w:rPr>
            </w:pPr>
            <w:r w:rsidRPr="00E51CDD">
              <w:rPr>
                <w:b/>
                <w:sz w:val="20"/>
                <w:szCs w:val="20"/>
              </w:rPr>
              <w:t>Obtained in this study</w:t>
            </w:r>
          </w:p>
        </w:tc>
      </w:tr>
      <w:tr w:rsidR="00E51CDD" w:rsidRPr="00E51CDD" w14:paraId="60AF8F12" w14:textId="77777777" w:rsidTr="009938D9">
        <w:tc>
          <w:tcPr>
            <w:tcW w:w="3674" w:type="pct"/>
            <w:vAlign w:val="center"/>
          </w:tcPr>
          <w:p w14:paraId="04AAA85C" w14:textId="77777777" w:rsidR="00E51CDD" w:rsidRPr="00E51CDD" w:rsidRDefault="00E51CDD" w:rsidP="00E51CDD">
            <w:pPr>
              <w:widowControl w:val="0"/>
              <w:rPr>
                <w:sz w:val="20"/>
                <w:szCs w:val="20"/>
              </w:rPr>
            </w:pPr>
            <w:r w:rsidRPr="00E51CDD">
              <w:rPr>
                <w:sz w:val="20"/>
                <w:szCs w:val="20"/>
              </w:rPr>
              <w:t>Mean adult mortality in the control ≤ 20%</w:t>
            </w:r>
          </w:p>
        </w:tc>
        <w:tc>
          <w:tcPr>
            <w:tcW w:w="1326" w:type="pct"/>
            <w:vAlign w:val="center"/>
          </w:tcPr>
          <w:p w14:paraId="22097A8F" w14:textId="77777777" w:rsidR="00E51CDD" w:rsidRPr="00E51CDD" w:rsidRDefault="00E51CDD" w:rsidP="00E51CDD">
            <w:pPr>
              <w:widowControl w:val="0"/>
              <w:rPr>
                <w:sz w:val="20"/>
                <w:szCs w:val="20"/>
              </w:rPr>
            </w:pPr>
            <w:r w:rsidRPr="00E51CDD">
              <w:rPr>
                <w:sz w:val="20"/>
                <w:szCs w:val="20"/>
              </w:rPr>
              <w:t>2.5%</w:t>
            </w:r>
          </w:p>
        </w:tc>
      </w:tr>
      <w:tr w:rsidR="00E51CDD" w:rsidRPr="00E51CDD" w14:paraId="4B9E3F8D" w14:textId="77777777" w:rsidTr="009938D9">
        <w:tc>
          <w:tcPr>
            <w:tcW w:w="3674" w:type="pct"/>
            <w:vAlign w:val="center"/>
          </w:tcPr>
          <w:p w14:paraId="4A109E8C" w14:textId="77777777" w:rsidR="00E51CDD" w:rsidRPr="00E51CDD" w:rsidRDefault="00E51CDD" w:rsidP="00E51CDD">
            <w:pPr>
              <w:widowControl w:val="0"/>
              <w:rPr>
                <w:sz w:val="20"/>
                <w:szCs w:val="20"/>
              </w:rPr>
            </w:pPr>
            <w:r w:rsidRPr="00E51CDD">
              <w:rPr>
                <w:sz w:val="20"/>
                <w:szCs w:val="20"/>
              </w:rPr>
              <w:t>Mean number of juveniles per control replicate ≥ 100</w:t>
            </w:r>
          </w:p>
        </w:tc>
        <w:tc>
          <w:tcPr>
            <w:tcW w:w="1326" w:type="pct"/>
            <w:vAlign w:val="center"/>
          </w:tcPr>
          <w:p w14:paraId="7A9F481B" w14:textId="77777777" w:rsidR="00E51CDD" w:rsidRPr="00E51CDD" w:rsidRDefault="00E51CDD" w:rsidP="00E51CDD">
            <w:pPr>
              <w:widowControl w:val="0"/>
              <w:rPr>
                <w:sz w:val="20"/>
                <w:szCs w:val="20"/>
              </w:rPr>
            </w:pPr>
            <w:r w:rsidRPr="00E51CDD">
              <w:rPr>
                <w:sz w:val="20"/>
                <w:szCs w:val="20"/>
              </w:rPr>
              <w:t>1342</w:t>
            </w:r>
          </w:p>
        </w:tc>
      </w:tr>
      <w:tr w:rsidR="00E51CDD" w:rsidRPr="00E51CDD" w14:paraId="558E40C6" w14:textId="77777777" w:rsidTr="009938D9">
        <w:tc>
          <w:tcPr>
            <w:tcW w:w="3674" w:type="pct"/>
            <w:vAlign w:val="center"/>
          </w:tcPr>
          <w:p w14:paraId="10F8D4EC" w14:textId="77777777" w:rsidR="00E51CDD" w:rsidRPr="00E51CDD" w:rsidRDefault="00E51CDD" w:rsidP="00E51CDD">
            <w:pPr>
              <w:widowControl w:val="0"/>
              <w:rPr>
                <w:sz w:val="20"/>
                <w:szCs w:val="20"/>
              </w:rPr>
            </w:pPr>
            <w:r w:rsidRPr="00E51CDD">
              <w:rPr>
                <w:sz w:val="20"/>
                <w:szCs w:val="20"/>
              </w:rPr>
              <w:t>Coefficient of variation of reproduction in the control ≤ 30%</w:t>
            </w:r>
          </w:p>
        </w:tc>
        <w:tc>
          <w:tcPr>
            <w:tcW w:w="1326" w:type="pct"/>
            <w:vAlign w:val="center"/>
          </w:tcPr>
          <w:p w14:paraId="350D2D43" w14:textId="77777777" w:rsidR="00E51CDD" w:rsidRPr="00E51CDD" w:rsidRDefault="00E51CDD" w:rsidP="00E51CDD">
            <w:pPr>
              <w:widowControl w:val="0"/>
              <w:rPr>
                <w:sz w:val="20"/>
                <w:szCs w:val="20"/>
              </w:rPr>
            </w:pPr>
            <w:r w:rsidRPr="00E51CDD">
              <w:rPr>
                <w:sz w:val="20"/>
                <w:szCs w:val="20"/>
              </w:rPr>
              <w:t>11.5%</w:t>
            </w:r>
          </w:p>
        </w:tc>
      </w:tr>
    </w:tbl>
    <w:p w14:paraId="4D57D92D" w14:textId="77777777" w:rsidR="00E51CDD" w:rsidRPr="00E51CDD" w:rsidRDefault="00E51CDD" w:rsidP="00E51CDD">
      <w:pPr>
        <w:jc w:val="both"/>
      </w:pPr>
    </w:p>
    <w:p w14:paraId="3E3366BE" w14:textId="77777777" w:rsidR="00E51CDD" w:rsidRPr="00E51CDD" w:rsidRDefault="00E51CDD" w:rsidP="00E51CDD">
      <w:pPr>
        <w:jc w:val="both"/>
      </w:pPr>
      <w:r w:rsidRPr="00E51CDD">
        <w:t>All validity criteria were met.</w:t>
      </w:r>
    </w:p>
    <w:p w14:paraId="54F9673B" w14:textId="77777777" w:rsidR="00E51CDD" w:rsidRPr="00E51CDD" w:rsidRDefault="00E51CDD" w:rsidP="00E51CDD">
      <w:pPr>
        <w:jc w:val="both"/>
        <w:rPr>
          <w:lang w:eastAsia="en-US"/>
        </w:rPr>
      </w:pPr>
      <w:r w:rsidRPr="00E51CDD">
        <w:br w:type="page"/>
      </w:r>
    </w:p>
    <w:p w14:paraId="7EFA24F6" w14:textId="77777777" w:rsidR="00E51CDD" w:rsidRPr="00E51CDD" w:rsidRDefault="00E51CDD" w:rsidP="00E51CDD">
      <w:pPr>
        <w:widowControl w:val="0"/>
        <w:jc w:val="both"/>
        <w:rPr>
          <w:lang w:eastAsia="en-US"/>
        </w:rPr>
      </w:pPr>
    </w:p>
    <w:p w14:paraId="5D68EC19" w14:textId="77777777" w:rsidR="00E51CDD" w:rsidRPr="00E51CDD" w:rsidRDefault="00E51CDD" w:rsidP="00E51CDD">
      <w:pPr>
        <w:widowControl w:val="0"/>
        <w:tabs>
          <w:tab w:val="left" w:pos="425"/>
          <w:tab w:val="left" w:pos="850"/>
        </w:tabs>
        <w:ind w:left="2835" w:hanging="2835"/>
        <w:jc w:val="both"/>
        <w:rPr>
          <w:b/>
          <w:bCs/>
        </w:rPr>
      </w:pPr>
      <w:r w:rsidRPr="00E51CDD">
        <w:rPr>
          <w:b/>
          <w:bCs/>
        </w:rPr>
        <w:t>III.</w:t>
      </w:r>
      <w:r w:rsidRPr="00E51CDD">
        <w:rPr>
          <w:b/>
          <w:bCs/>
        </w:rPr>
        <w:tab/>
        <w:t>CONCLUSION</w:t>
      </w:r>
    </w:p>
    <w:p w14:paraId="1D36694E" w14:textId="77777777" w:rsidR="00E51CDD" w:rsidRPr="00E51CDD" w:rsidRDefault="00E51CDD" w:rsidP="00E51CDD">
      <w:pPr>
        <w:widowControl w:val="0"/>
        <w:jc w:val="both"/>
        <w:rPr>
          <w:lang w:eastAsia="en-US"/>
        </w:rPr>
      </w:pPr>
    </w:p>
    <w:p w14:paraId="4B72903B" w14:textId="77777777" w:rsidR="00E51CDD" w:rsidRPr="00E51CDD" w:rsidRDefault="00E51CDD" w:rsidP="00E51CDD">
      <w:pPr>
        <w:widowControl w:val="0"/>
        <w:jc w:val="both"/>
        <w:rPr>
          <w:b/>
          <w:lang w:eastAsia="en-US"/>
        </w:rPr>
      </w:pPr>
      <w:r w:rsidRPr="00E51CDD">
        <w:rPr>
          <w:b/>
          <w:lang w:eastAsia="en-US"/>
        </w:rPr>
        <w:t xml:space="preserve">In a 28-day collembolan reproduction study with </w:t>
      </w:r>
      <w:r w:rsidRPr="00E51CDD">
        <w:rPr>
          <w:b/>
        </w:rPr>
        <w:t xml:space="preserve">BAS 736 00 F, </w:t>
      </w:r>
      <w:r w:rsidRPr="00E51CDD">
        <w:rPr>
          <w:b/>
          <w:lang w:eastAsia="en-US"/>
        </w:rPr>
        <w:t>the LC</w:t>
      </w:r>
      <w:r w:rsidRPr="00E51CDD">
        <w:rPr>
          <w:b/>
          <w:vertAlign w:val="subscript"/>
          <w:lang w:eastAsia="en-US"/>
        </w:rPr>
        <w:t>50</w:t>
      </w:r>
      <w:r w:rsidRPr="00E51CDD">
        <w:rPr>
          <w:b/>
          <w:lang w:eastAsia="en-US"/>
        </w:rPr>
        <w:t xml:space="preserve"> was determined to be 529 mg/kg dry soil and the NOEC for mortality was 251 mg/kg dry soil. For reproduction, the EC</w:t>
      </w:r>
      <w:r w:rsidRPr="00E51CDD">
        <w:rPr>
          <w:b/>
          <w:vertAlign w:val="subscript"/>
          <w:lang w:eastAsia="en-US"/>
        </w:rPr>
        <w:t>10</w:t>
      </w:r>
      <w:r w:rsidRPr="00E51CDD">
        <w:rPr>
          <w:b/>
          <w:lang w:eastAsia="en-US"/>
        </w:rPr>
        <w:t xml:space="preserve"> was determined to be 232 mg/kg dry soil and the NOEC was determined to be 147 mg/kg dry soil.</w:t>
      </w:r>
    </w:p>
    <w:p w14:paraId="0513F86F" w14:textId="77777777" w:rsidR="00E51CDD" w:rsidRPr="00E51CDD" w:rsidRDefault="00E51CDD" w:rsidP="00E51CDD">
      <w:pPr>
        <w:widowControl w:val="0"/>
        <w:jc w:val="both"/>
      </w:pPr>
      <w:r w:rsidRPr="00E51CDD">
        <w:br w:type="page"/>
      </w:r>
    </w:p>
    <w:p w14:paraId="6A2E7B5C" w14:textId="77777777" w:rsidR="00E51CDD" w:rsidRPr="00E51CDD" w:rsidRDefault="00E51CDD" w:rsidP="00C5395F">
      <w:pPr>
        <w:pStyle w:val="RepAppendix5"/>
      </w:pPr>
      <w:r w:rsidRPr="00E51CDD">
        <w:lastRenderedPageBreak/>
        <w:t>Study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rsidRPr="00E51CDD" w14:paraId="1FC93D4F" w14:textId="77777777" w:rsidTr="002B5466">
        <w:trPr>
          <w:trHeight w:val="915"/>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3F6BBD" w14:textId="77777777" w:rsidR="00E51CDD" w:rsidRPr="00E51CDD" w:rsidRDefault="00E51CDD" w:rsidP="00E51CDD">
            <w:pPr>
              <w:widowControl w:val="0"/>
              <w:jc w:val="both"/>
              <w:rPr>
                <w:rFonts w:eastAsia="Batang"/>
                <w:lang w:val="en-GB"/>
              </w:rPr>
            </w:pPr>
            <w:r w:rsidRPr="00E51CDD">
              <w:rPr>
                <w:lang w:val="en-GB"/>
              </w:rP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14FA0A" w14:textId="14E65B66" w:rsidR="00E51CDD" w:rsidRPr="00E51CDD" w:rsidRDefault="00C05675" w:rsidP="00E51CDD">
            <w:pPr>
              <w:widowControl w:val="0"/>
              <w:ind w:left="85"/>
              <w:jc w:val="both"/>
              <w:rPr>
                <w:rFonts w:eastAsia="Batang"/>
                <w:lang w:val="en-GB"/>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0641B3DA" w14:textId="77777777" w:rsidR="00E51CDD" w:rsidRP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rsidRPr="00E51CDD" w14:paraId="3136B54E" w14:textId="77777777" w:rsidTr="009938D9">
        <w:trPr>
          <w:gridAfter w:val="1"/>
          <w:wAfter w:w="9" w:type="pct"/>
        </w:trPr>
        <w:tc>
          <w:tcPr>
            <w:tcW w:w="1340" w:type="pct"/>
            <w:hideMark/>
          </w:tcPr>
          <w:p w14:paraId="219D75DC" w14:textId="77777777" w:rsidR="00E51CDD" w:rsidRPr="00E51CDD" w:rsidRDefault="00E51CDD" w:rsidP="00E51CDD">
            <w:pPr>
              <w:widowControl w:val="0"/>
              <w:jc w:val="both"/>
              <w:rPr>
                <w:lang w:val="de-DE"/>
              </w:rPr>
            </w:pPr>
            <w:r w:rsidRPr="00E51CDD">
              <w:rPr>
                <w:lang w:val="en-GB"/>
              </w:rPr>
              <w:t>Reference:</w:t>
            </w:r>
          </w:p>
        </w:tc>
        <w:tc>
          <w:tcPr>
            <w:tcW w:w="3651" w:type="pct"/>
            <w:hideMark/>
          </w:tcPr>
          <w:p w14:paraId="30BF2D39" w14:textId="77777777" w:rsidR="00E51CDD" w:rsidRPr="00E51CDD" w:rsidRDefault="00E51CDD" w:rsidP="00E51CDD">
            <w:pPr>
              <w:widowControl w:val="0"/>
              <w:jc w:val="both"/>
              <w:rPr>
                <w:lang w:val="en-GB"/>
              </w:rPr>
            </w:pPr>
            <w:r w:rsidRPr="00E51CDD">
              <w:rPr>
                <w:lang w:val="en-GB"/>
              </w:rPr>
              <w:t>CP 10.4.2.1/4</w:t>
            </w:r>
          </w:p>
        </w:tc>
      </w:tr>
      <w:tr w:rsidR="00E51CDD" w:rsidRPr="00E51CDD" w14:paraId="27760A3E" w14:textId="77777777" w:rsidTr="009938D9">
        <w:trPr>
          <w:gridAfter w:val="1"/>
          <w:wAfter w:w="9" w:type="pct"/>
        </w:trPr>
        <w:tc>
          <w:tcPr>
            <w:tcW w:w="1340" w:type="pct"/>
            <w:hideMark/>
          </w:tcPr>
          <w:p w14:paraId="1AD643C2" w14:textId="77777777" w:rsidR="00E51CDD" w:rsidRPr="00E51CDD" w:rsidRDefault="00E51CDD" w:rsidP="00E51CDD">
            <w:pPr>
              <w:widowControl w:val="0"/>
              <w:spacing w:after="120"/>
              <w:jc w:val="both"/>
              <w:rPr>
                <w:lang w:val="en-GB"/>
              </w:rPr>
            </w:pPr>
            <w:r w:rsidRPr="00E51CDD">
              <w:rPr>
                <w:lang w:val="en-GB"/>
              </w:rPr>
              <w:t>Report</w:t>
            </w:r>
          </w:p>
        </w:tc>
        <w:tc>
          <w:tcPr>
            <w:tcW w:w="3651" w:type="pct"/>
            <w:hideMark/>
          </w:tcPr>
          <w:p w14:paraId="28F23BD3" w14:textId="77777777" w:rsidR="00E51CDD" w:rsidRPr="00E51CDD" w:rsidRDefault="00E51CDD" w:rsidP="00E51CDD">
            <w:pPr>
              <w:widowControl w:val="0"/>
              <w:spacing w:after="120"/>
              <w:jc w:val="both"/>
            </w:pPr>
            <w:r w:rsidRPr="00E51CDD">
              <w:t>Effects of BAS 736 00 F on the reproduction of the predatory mite Hypoaspis aculeifer,</w:t>
            </w:r>
          </w:p>
          <w:p w14:paraId="6FEDD907" w14:textId="77777777" w:rsidR="00E51CDD" w:rsidRPr="00E51CDD" w:rsidRDefault="00E51CDD" w:rsidP="00E51CDD">
            <w:pPr>
              <w:widowControl w:val="0"/>
              <w:spacing w:after="120"/>
              <w:jc w:val="both"/>
            </w:pPr>
            <w:r w:rsidRPr="00E51CDD">
              <w:t>Schulz, L., 2021</w:t>
            </w:r>
          </w:p>
          <w:p w14:paraId="12ABD769" w14:textId="77777777" w:rsidR="00E51CDD" w:rsidRPr="00E51CDD" w:rsidRDefault="00E51CDD" w:rsidP="00E51CDD">
            <w:pPr>
              <w:widowControl w:val="0"/>
              <w:spacing w:after="120"/>
              <w:jc w:val="both"/>
            </w:pPr>
            <w:r w:rsidRPr="00E51CDD">
              <w:t>report No 849655, 1948THC0030</w:t>
            </w:r>
          </w:p>
          <w:p w14:paraId="65737FFA" w14:textId="77777777" w:rsidR="00E51CDD" w:rsidRPr="00E51CDD" w:rsidRDefault="00E51CDD" w:rsidP="00E51CDD">
            <w:pPr>
              <w:widowControl w:val="0"/>
              <w:spacing w:after="120"/>
              <w:jc w:val="both"/>
              <w:rPr>
                <w:lang w:val="en-GB"/>
              </w:rPr>
            </w:pPr>
            <w:r w:rsidRPr="00E51CDD">
              <w:t>2019/1061098</w:t>
            </w:r>
          </w:p>
          <w:p w14:paraId="1B0199CD" w14:textId="77777777" w:rsidR="00E51CDD" w:rsidRPr="00E51CDD" w:rsidRDefault="00E51CDD" w:rsidP="00E51CDD">
            <w:pPr>
              <w:widowControl w:val="0"/>
              <w:jc w:val="both"/>
              <w:rPr>
                <w:lang w:val="en-GB"/>
              </w:rPr>
            </w:pPr>
            <w:r w:rsidRPr="00E51CDD">
              <w:rPr>
                <w:lang w:val="en-GB"/>
              </w:rPr>
              <w:t>Authority registration No</w:t>
            </w:r>
          </w:p>
        </w:tc>
      </w:tr>
      <w:tr w:rsidR="00E51CDD" w:rsidRPr="00E51CDD" w14:paraId="1178F191" w14:textId="77777777" w:rsidTr="009938D9">
        <w:trPr>
          <w:gridAfter w:val="1"/>
          <w:wAfter w:w="9" w:type="pct"/>
        </w:trPr>
        <w:tc>
          <w:tcPr>
            <w:tcW w:w="1340" w:type="pct"/>
            <w:hideMark/>
          </w:tcPr>
          <w:p w14:paraId="7673ABE9" w14:textId="77777777" w:rsidR="00E51CDD" w:rsidRPr="00E51CDD" w:rsidRDefault="00E51CDD" w:rsidP="00E51CDD">
            <w:pPr>
              <w:widowControl w:val="0"/>
              <w:jc w:val="both"/>
              <w:rPr>
                <w:lang w:val="en-GB"/>
              </w:rPr>
            </w:pPr>
            <w:r w:rsidRPr="00E51CDD">
              <w:rPr>
                <w:lang w:val="en-GB"/>
              </w:rPr>
              <w:t>Guideline(s):</w:t>
            </w:r>
          </w:p>
        </w:tc>
        <w:tc>
          <w:tcPr>
            <w:tcW w:w="3651" w:type="pct"/>
            <w:hideMark/>
          </w:tcPr>
          <w:p w14:paraId="4E96FD1C" w14:textId="77777777" w:rsidR="00E51CDD" w:rsidRPr="00E51CDD" w:rsidRDefault="00E51CDD" w:rsidP="00E51CDD">
            <w:pPr>
              <w:widowControl w:val="0"/>
              <w:spacing w:after="120"/>
              <w:jc w:val="both"/>
              <w:rPr>
                <w:lang w:val="en-GB"/>
              </w:rPr>
            </w:pPr>
            <w:r w:rsidRPr="00E51CDD">
              <w:t>OECD 226 (2016)</w:t>
            </w:r>
            <w:r w:rsidRPr="00E51CDD">
              <w:rPr>
                <w:lang w:val="en-GB"/>
              </w:rPr>
              <w:t xml:space="preserve"> </w:t>
            </w:r>
          </w:p>
        </w:tc>
      </w:tr>
      <w:tr w:rsidR="00E51CDD" w:rsidRPr="00E51CDD" w14:paraId="2AB6F355" w14:textId="77777777" w:rsidTr="009938D9">
        <w:trPr>
          <w:gridAfter w:val="1"/>
          <w:wAfter w:w="9" w:type="pct"/>
        </w:trPr>
        <w:tc>
          <w:tcPr>
            <w:tcW w:w="1340" w:type="pct"/>
            <w:hideMark/>
          </w:tcPr>
          <w:p w14:paraId="67D80BB5" w14:textId="77777777" w:rsidR="00E51CDD" w:rsidRPr="00E51CDD" w:rsidRDefault="00E51CDD" w:rsidP="00E51CDD">
            <w:pPr>
              <w:widowControl w:val="0"/>
              <w:jc w:val="both"/>
              <w:rPr>
                <w:lang w:val="en-GB"/>
              </w:rPr>
            </w:pPr>
            <w:r w:rsidRPr="00E51CDD">
              <w:rPr>
                <w:lang w:val="en-GB"/>
              </w:rPr>
              <w:t>Deviations:</w:t>
            </w:r>
          </w:p>
        </w:tc>
        <w:tc>
          <w:tcPr>
            <w:tcW w:w="3651" w:type="pct"/>
            <w:hideMark/>
          </w:tcPr>
          <w:p w14:paraId="66461C42" w14:textId="77777777" w:rsidR="00E51CDD" w:rsidRPr="00E51CDD" w:rsidRDefault="00E51CDD" w:rsidP="00E51CDD">
            <w:pPr>
              <w:widowControl w:val="0"/>
              <w:spacing w:after="120"/>
              <w:jc w:val="both"/>
              <w:rPr>
                <w:lang w:val="en-GB"/>
              </w:rPr>
            </w:pPr>
            <w:r w:rsidRPr="00E51CDD">
              <w:rPr>
                <w:lang w:val="en-GB"/>
              </w:rPr>
              <w:t>No</w:t>
            </w:r>
          </w:p>
        </w:tc>
      </w:tr>
      <w:tr w:rsidR="00E51CDD" w:rsidRPr="00662F32" w14:paraId="1C272131" w14:textId="77777777" w:rsidTr="009938D9">
        <w:tc>
          <w:tcPr>
            <w:tcW w:w="1340" w:type="pct"/>
            <w:hideMark/>
          </w:tcPr>
          <w:p w14:paraId="47A1D82C" w14:textId="77777777" w:rsidR="00E51CDD" w:rsidRPr="00E51CDD" w:rsidRDefault="00E51CDD" w:rsidP="00E51CDD">
            <w:pPr>
              <w:widowControl w:val="0"/>
              <w:jc w:val="both"/>
              <w:rPr>
                <w:lang w:val="en-GB"/>
              </w:rPr>
            </w:pPr>
            <w:r w:rsidRPr="00E51CDD">
              <w:rPr>
                <w:lang w:val="en-GB"/>
              </w:rPr>
              <w:t>GLP:</w:t>
            </w:r>
          </w:p>
        </w:tc>
        <w:tc>
          <w:tcPr>
            <w:tcW w:w="3660" w:type="pct"/>
            <w:gridSpan w:val="2"/>
            <w:hideMark/>
          </w:tcPr>
          <w:p w14:paraId="26EEF716" w14:textId="77777777" w:rsidR="00E51CDD" w:rsidRPr="00E51CDD" w:rsidRDefault="00E51CDD" w:rsidP="00E51CDD">
            <w:pPr>
              <w:tabs>
                <w:tab w:val="left" w:pos="425"/>
                <w:tab w:val="left" w:pos="850"/>
              </w:tabs>
              <w:spacing w:after="120"/>
              <w:ind w:left="1985" w:hanging="1985"/>
              <w:rPr>
                <w:b/>
                <w:lang w:val="de-DE"/>
              </w:rPr>
            </w:pPr>
            <w:r w:rsidRPr="00E51CDD">
              <w:rPr>
                <w:lang w:val="de-DE"/>
              </w:rPr>
              <w:t>yes</w:t>
            </w:r>
          </w:p>
          <w:p w14:paraId="3889DE6F" w14:textId="77777777" w:rsidR="00E51CDD" w:rsidRPr="00E51CDD" w:rsidRDefault="00E51CDD" w:rsidP="00E51CDD">
            <w:pPr>
              <w:widowControl w:val="0"/>
              <w:spacing w:after="120"/>
              <w:rPr>
                <w:lang w:val="de-DE"/>
              </w:rPr>
            </w:pPr>
            <w:r w:rsidRPr="00E51CDD">
              <w:rPr>
                <w:lang w:val="de-DE"/>
              </w:rPr>
              <w:t xml:space="preserve">(certified by Saechsisches Staatsministerium fuer Umwelt und Landwirtschaft, Dresden, Germany), </w:t>
            </w:r>
          </w:p>
        </w:tc>
      </w:tr>
      <w:tr w:rsidR="00E51CDD" w:rsidRPr="00E51CDD" w14:paraId="6B5FA3C8" w14:textId="77777777" w:rsidTr="009938D9">
        <w:trPr>
          <w:gridAfter w:val="1"/>
          <w:wAfter w:w="9" w:type="pct"/>
        </w:trPr>
        <w:tc>
          <w:tcPr>
            <w:tcW w:w="1340" w:type="pct"/>
            <w:hideMark/>
          </w:tcPr>
          <w:p w14:paraId="2431189D" w14:textId="77777777" w:rsidR="00E51CDD" w:rsidRPr="00E51CDD" w:rsidRDefault="00E51CDD" w:rsidP="00E51CDD">
            <w:pPr>
              <w:widowControl w:val="0"/>
              <w:jc w:val="both"/>
              <w:rPr>
                <w:lang w:val="de-DE"/>
              </w:rPr>
            </w:pPr>
            <w:r w:rsidRPr="00E51CDD">
              <w:rPr>
                <w:lang w:val="en-GB"/>
              </w:rPr>
              <w:t>Acceptability:</w:t>
            </w:r>
          </w:p>
        </w:tc>
        <w:tc>
          <w:tcPr>
            <w:tcW w:w="3651" w:type="pct"/>
            <w:hideMark/>
          </w:tcPr>
          <w:p w14:paraId="0A8A0146" w14:textId="77777777" w:rsidR="00E51CDD" w:rsidRPr="00E51CDD" w:rsidRDefault="00E51CDD" w:rsidP="00E51CDD">
            <w:pPr>
              <w:widowControl w:val="0"/>
              <w:jc w:val="both"/>
              <w:rPr>
                <w:lang w:val="en-GB"/>
              </w:rPr>
            </w:pPr>
            <w:r w:rsidRPr="00E51CDD">
              <w:rPr>
                <w:lang w:val="en-GB"/>
              </w:rPr>
              <w:t xml:space="preserve">Yes </w:t>
            </w:r>
          </w:p>
        </w:tc>
      </w:tr>
      <w:tr w:rsidR="00E51CDD" w:rsidRPr="00E51CDD" w14:paraId="2F317C15" w14:textId="77777777" w:rsidTr="009938D9">
        <w:trPr>
          <w:gridAfter w:val="1"/>
          <w:wAfter w:w="9" w:type="pct"/>
        </w:trPr>
        <w:tc>
          <w:tcPr>
            <w:tcW w:w="1340" w:type="pct"/>
            <w:hideMark/>
          </w:tcPr>
          <w:p w14:paraId="4F1B2930" w14:textId="77777777" w:rsidR="00E51CDD" w:rsidRPr="00E51CDD" w:rsidRDefault="00E51CDD" w:rsidP="00E51CDD">
            <w:pPr>
              <w:widowControl w:val="0"/>
              <w:jc w:val="both"/>
              <w:rPr>
                <w:lang w:val="en-GB"/>
              </w:rPr>
            </w:pPr>
            <w:r w:rsidRPr="00E51CDD">
              <w:rPr>
                <w:lang w:val="en-GB"/>
              </w:rPr>
              <w:t xml:space="preserve">Duplication </w:t>
            </w:r>
            <w:r w:rsidRPr="00E51CDD">
              <w:rPr>
                <w:lang w:val="en-GB"/>
              </w:rPr>
              <w:br/>
              <w:t>(if vertebrate study)</w:t>
            </w:r>
          </w:p>
        </w:tc>
        <w:tc>
          <w:tcPr>
            <w:tcW w:w="3651" w:type="pct"/>
            <w:hideMark/>
          </w:tcPr>
          <w:p w14:paraId="60080840" w14:textId="77777777" w:rsidR="00E51CDD" w:rsidRPr="00E51CDD" w:rsidRDefault="00E51CDD" w:rsidP="00E51CDD">
            <w:pPr>
              <w:widowControl w:val="0"/>
              <w:spacing w:after="120"/>
              <w:jc w:val="both"/>
              <w:rPr>
                <w:highlight w:val="yellow"/>
                <w:lang w:val="en-GB"/>
              </w:rPr>
            </w:pPr>
            <w:r w:rsidRPr="00E51CDD">
              <w:rPr>
                <w:lang w:val="en-GB"/>
              </w:rPr>
              <w:t>No</w:t>
            </w:r>
          </w:p>
        </w:tc>
      </w:tr>
    </w:tbl>
    <w:p w14:paraId="1871FCA3" w14:textId="77777777" w:rsidR="00E51CDD" w:rsidRPr="00E51CDD" w:rsidRDefault="00E51CDD" w:rsidP="00E51CDD">
      <w:pPr>
        <w:widowControl w:val="0"/>
        <w:jc w:val="both"/>
      </w:pPr>
    </w:p>
    <w:p w14:paraId="67F5A5DF" w14:textId="77777777" w:rsidR="00E51CDD" w:rsidRPr="00E51CDD" w:rsidRDefault="00E51CDD" w:rsidP="00E51CDD">
      <w:pPr>
        <w:widowControl w:val="0"/>
        <w:jc w:val="both"/>
      </w:pPr>
    </w:p>
    <w:p w14:paraId="55E93FBE" w14:textId="77777777" w:rsidR="00E51CDD" w:rsidRPr="00E51CDD" w:rsidRDefault="00E51CDD" w:rsidP="00E51CDD">
      <w:pPr>
        <w:widowControl w:val="0"/>
        <w:tabs>
          <w:tab w:val="left" w:pos="425"/>
          <w:tab w:val="left" w:pos="720"/>
          <w:tab w:val="left" w:pos="850"/>
        </w:tabs>
        <w:ind w:left="2835" w:hanging="2835"/>
        <w:jc w:val="both"/>
        <w:rPr>
          <w:b/>
          <w:szCs w:val="24"/>
          <w:lang w:eastAsia="en-US"/>
        </w:rPr>
      </w:pPr>
      <w:r w:rsidRPr="00E51CDD">
        <w:rPr>
          <w:b/>
          <w:szCs w:val="24"/>
          <w:lang w:eastAsia="en-US"/>
        </w:rPr>
        <w:t>Executive Summary</w:t>
      </w:r>
    </w:p>
    <w:p w14:paraId="703F2CCB" w14:textId="77777777" w:rsidR="00E51CDD" w:rsidRPr="00E51CDD" w:rsidRDefault="00E51CDD" w:rsidP="00E51CDD">
      <w:pPr>
        <w:widowControl w:val="0"/>
        <w:tabs>
          <w:tab w:val="left" w:pos="425"/>
          <w:tab w:val="left" w:pos="720"/>
          <w:tab w:val="left" w:pos="850"/>
        </w:tabs>
        <w:ind w:left="2835" w:hanging="2835"/>
        <w:jc w:val="both"/>
        <w:rPr>
          <w:b/>
          <w:szCs w:val="24"/>
          <w:lang w:eastAsia="en-US"/>
        </w:rPr>
      </w:pPr>
    </w:p>
    <w:p w14:paraId="42A6609B" w14:textId="77777777" w:rsidR="00E51CDD" w:rsidRPr="00E51CDD" w:rsidRDefault="00E51CDD" w:rsidP="00E51CDD">
      <w:pPr>
        <w:widowControl w:val="0"/>
        <w:tabs>
          <w:tab w:val="left" w:pos="720"/>
        </w:tabs>
        <w:jc w:val="both"/>
        <w:rPr>
          <w:szCs w:val="24"/>
          <w:lang w:eastAsia="en-US"/>
        </w:rPr>
      </w:pPr>
      <w:r w:rsidRPr="00E51CDD">
        <w:rPr>
          <w:szCs w:val="24"/>
          <w:lang w:eastAsia="en-US"/>
        </w:rPr>
        <w:t xml:space="preserve">The effects of BAS 736 00 F on mortality and reproduction of the soil mite </w:t>
      </w:r>
      <w:r w:rsidRPr="00E51CDD">
        <w:rPr>
          <w:i/>
          <w:iCs/>
          <w:szCs w:val="24"/>
          <w:lang w:eastAsia="en-US"/>
        </w:rPr>
        <w:t>(Hypoaspis aculeifer)</w:t>
      </w:r>
      <w:r w:rsidRPr="00E51CDD">
        <w:rPr>
          <w:szCs w:val="24"/>
          <w:lang w:eastAsia="en-US"/>
        </w:rPr>
        <w:t xml:space="preserve"> were investigated in a laboratory study over 14 days. The test item was mixed into artificial soil (5% peat) at rates of 74.51, 119.2, 190.7, 305.2, 488.3, 781.3, 1250 and 2000 mg BAS 736 00 F/kg dry soil, with 4 replicates per treatment. An untreated control with 8 replicates was included. Each replicate contained 10 adult mites. Assessment of adult mortality and reproduction (number of juveniles) was carried out after 14 days.</w:t>
      </w:r>
    </w:p>
    <w:p w14:paraId="03D4F3B4" w14:textId="77777777" w:rsidR="00E51CDD" w:rsidRPr="00E51CDD" w:rsidRDefault="00E51CDD" w:rsidP="00E51CDD">
      <w:pPr>
        <w:widowControl w:val="0"/>
        <w:tabs>
          <w:tab w:val="left" w:pos="720"/>
        </w:tabs>
        <w:jc w:val="both"/>
        <w:rPr>
          <w:color w:val="0070C0"/>
          <w:szCs w:val="24"/>
          <w:lang w:eastAsia="en-US"/>
        </w:rPr>
      </w:pPr>
    </w:p>
    <w:p w14:paraId="1B95E841" w14:textId="77777777" w:rsidR="00E51CDD" w:rsidRPr="00E51CDD" w:rsidRDefault="00E51CDD" w:rsidP="00E51CDD">
      <w:pPr>
        <w:widowControl w:val="0"/>
        <w:tabs>
          <w:tab w:val="left" w:pos="720"/>
        </w:tabs>
        <w:jc w:val="both"/>
        <w:rPr>
          <w:bCs/>
          <w:szCs w:val="24"/>
          <w:lang w:eastAsia="en-US"/>
        </w:rPr>
      </w:pPr>
      <w:r w:rsidRPr="00E51CDD">
        <w:rPr>
          <w:bCs/>
          <w:szCs w:val="24"/>
          <w:lang w:eastAsia="en-US"/>
        </w:rPr>
        <w:t xml:space="preserve">After 14 days of exposure, mortality rates ranging from 2.5% to 52.5% were observed in the test item treatments compared to </w:t>
      </w:r>
      <w:r w:rsidRPr="00E51CDD">
        <w:rPr>
          <w:bCs/>
          <w:szCs w:val="24"/>
          <w:lang w:eastAsia="zh-TW"/>
        </w:rPr>
        <w:t>1.3</w:t>
      </w:r>
      <w:r w:rsidRPr="00E51CDD">
        <w:rPr>
          <w:bCs/>
          <w:szCs w:val="24"/>
          <w:lang w:eastAsia="en-US"/>
        </w:rPr>
        <w:t xml:space="preserve">% in the control. </w:t>
      </w:r>
      <w:r w:rsidRPr="00E51CDD">
        <w:rPr>
          <w:szCs w:val="24"/>
        </w:rPr>
        <w:t>Statistically</w:t>
      </w:r>
      <w:r w:rsidRPr="00E51CDD">
        <w:rPr>
          <w:lang w:eastAsia="en-US"/>
        </w:rPr>
        <w:t xml:space="preserve"> significant differences on mortality were observed at concentrations of 781.3, 1250 and 2000 mg BAS 736 00 F/kg dry soil. </w:t>
      </w:r>
      <w:r w:rsidRPr="00E51CDD">
        <w:rPr>
          <w:bCs/>
          <w:szCs w:val="24"/>
          <w:lang w:eastAsia="en-US"/>
        </w:rPr>
        <w:t>Differences in the behavior of the mites in the control and the test item treatments groups were not observed.</w:t>
      </w:r>
      <w:r w:rsidRPr="00E51CDD">
        <w:rPr>
          <w:lang w:eastAsia="en-US"/>
        </w:rPr>
        <w:t xml:space="preserve"> </w:t>
      </w:r>
      <w:r w:rsidRPr="00E51CDD">
        <w:rPr>
          <w:bCs/>
          <w:szCs w:val="24"/>
          <w:lang w:eastAsia="en-US"/>
        </w:rPr>
        <w:t xml:space="preserve">In the control, a mean of 332.5 juveniles was counted. In the treatment groups, mean numbers of juveniles between 9.5 and 317.0 were counted. This is corresponding to a reproduction relative to the control ranging from 3% and 95%. </w:t>
      </w:r>
      <w:r w:rsidRPr="00E51CDD">
        <w:rPr>
          <w:lang w:eastAsia="en-US"/>
        </w:rPr>
        <w:t>Statistically significant reductions in the number of juveniles were observed in the test concentrations of 305.2 mg BAS 736 00 F/kg dry soil and above</w:t>
      </w:r>
      <w:r w:rsidRPr="00E51CDD">
        <w:rPr>
          <w:bCs/>
          <w:szCs w:val="24"/>
          <w:lang w:eastAsia="en-US"/>
        </w:rPr>
        <w:t>.</w:t>
      </w:r>
    </w:p>
    <w:p w14:paraId="60FBD15D" w14:textId="77777777" w:rsidR="00E51CDD" w:rsidRPr="00E51CDD" w:rsidRDefault="00E51CDD" w:rsidP="00E51CDD">
      <w:pPr>
        <w:widowControl w:val="0"/>
        <w:tabs>
          <w:tab w:val="left" w:pos="720"/>
        </w:tabs>
        <w:jc w:val="both"/>
        <w:rPr>
          <w:bCs/>
          <w:color w:val="0070C0"/>
          <w:szCs w:val="24"/>
          <w:lang w:eastAsia="en-US"/>
        </w:rPr>
      </w:pPr>
    </w:p>
    <w:p w14:paraId="379BCF20" w14:textId="77777777" w:rsidR="00E51CDD" w:rsidRPr="00E51CDD" w:rsidRDefault="00E51CDD" w:rsidP="00E51CDD">
      <w:pPr>
        <w:widowControl w:val="0"/>
        <w:tabs>
          <w:tab w:val="left" w:pos="720"/>
        </w:tabs>
        <w:jc w:val="both"/>
        <w:rPr>
          <w:b/>
          <w:szCs w:val="24"/>
          <w:lang w:eastAsia="en-US"/>
        </w:rPr>
      </w:pPr>
      <w:r w:rsidRPr="00E51CDD">
        <w:rPr>
          <w:b/>
          <w:szCs w:val="24"/>
          <w:lang w:eastAsia="en-US"/>
        </w:rPr>
        <w:t xml:space="preserve">In a 14-day </w:t>
      </w:r>
      <w:r w:rsidRPr="00E51CDD">
        <w:rPr>
          <w:b/>
          <w:i/>
          <w:iCs/>
          <w:szCs w:val="24"/>
          <w:lang w:eastAsia="en-US"/>
        </w:rPr>
        <w:t>Hypoaspis aculeifer</w:t>
      </w:r>
      <w:r w:rsidRPr="00E51CDD">
        <w:rPr>
          <w:b/>
          <w:szCs w:val="24"/>
          <w:lang w:eastAsia="en-US"/>
        </w:rPr>
        <w:t xml:space="preserve"> reproduction study with BAS 736 00 F, the LC</w:t>
      </w:r>
      <w:r w:rsidRPr="00E51CDD">
        <w:rPr>
          <w:b/>
          <w:szCs w:val="24"/>
          <w:vertAlign w:val="subscript"/>
          <w:lang w:eastAsia="en-US"/>
        </w:rPr>
        <w:t>50</w:t>
      </w:r>
      <w:r w:rsidRPr="00E51CDD">
        <w:rPr>
          <w:b/>
          <w:szCs w:val="24"/>
          <w:lang w:eastAsia="en-US"/>
        </w:rPr>
        <w:t xml:space="preserve"> value for mortality was calculated to be 2470.9 mg/kg dry soil. The EC</w:t>
      </w:r>
      <w:r w:rsidRPr="00E51CDD">
        <w:rPr>
          <w:b/>
          <w:szCs w:val="24"/>
          <w:vertAlign w:val="subscript"/>
          <w:lang w:eastAsia="en-US"/>
        </w:rPr>
        <w:t>10</w:t>
      </w:r>
      <w:r w:rsidRPr="00E51CDD">
        <w:rPr>
          <w:b/>
          <w:szCs w:val="24"/>
          <w:lang w:eastAsia="en-US"/>
        </w:rPr>
        <w:t xml:space="preserve"> value for reproduction was calculated to be 438.9 mg/kg dry soil. The NOEC for mortality and reproduction was determined to be 488.3 and 190.7 mg/kg dry soil, respectively. </w:t>
      </w:r>
    </w:p>
    <w:p w14:paraId="6F65DF81" w14:textId="77777777" w:rsidR="00E51CDD" w:rsidRPr="00E51CDD" w:rsidRDefault="00E51CDD" w:rsidP="00E51CDD">
      <w:pPr>
        <w:rPr>
          <w:b/>
          <w:bCs/>
          <w:color w:val="0070C0"/>
          <w:szCs w:val="24"/>
          <w:lang w:eastAsia="en-US"/>
        </w:rPr>
      </w:pPr>
    </w:p>
    <w:p w14:paraId="323C52BF" w14:textId="77777777" w:rsidR="00E51CDD" w:rsidRPr="00E51CDD" w:rsidRDefault="00E51CDD" w:rsidP="00E51CDD">
      <w:pPr>
        <w:rPr>
          <w:b/>
          <w:bCs/>
          <w:color w:val="0070C0"/>
          <w:szCs w:val="24"/>
          <w:lang w:eastAsia="en-US"/>
        </w:rPr>
      </w:pPr>
      <w:r w:rsidRPr="00E51CDD">
        <w:rPr>
          <w:b/>
          <w:bCs/>
          <w:color w:val="0070C0"/>
          <w:szCs w:val="24"/>
          <w:lang w:eastAsia="en-US"/>
        </w:rPr>
        <w:br w:type="page"/>
      </w:r>
    </w:p>
    <w:p w14:paraId="4F3F3F07" w14:textId="77777777" w:rsidR="00E51CDD" w:rsidRPr="00E51CDD" w:rsidRDefault="00E51CDD" w:rsidP="00E51CDD">
      <w:pPr>
        <w:tabs>
          <w:tab w:val="left" w:pos="425"/>
          <w:tab w:val="left" w:pos="850"/>
        </w:tabs>
        <w:ind w:left="2835" w:hanging="2835"/>
        <w:rPr>
          <w:b/>
          <w:bCs/>
        </w:rPr>
      </w:pPr>
      <w:r w:rsidRPr="00E51CDD">
        <w:rPr>
          <w:b/>
          <w:bCs/>
        </w:rPr>
        <w:lastRenderedPageBreak/>
        <w:t>I.</w:t>
      </w:r>
      <w:r w:rsidRPr="00E51CDD">
        <w:rPr>
          <w:b/>
          <w:bCs/>
        </w:rPr>
        <w:tab/>
        <w:t>MATERIALS AND METHODS</w:t>
      </w:r>
    </w:p>
    <w:p w14:paraId="4861E0FC" w14:textId="77777777" w:rsidR="00E51CDD" w:rsidRPr="00E51CDD" w:rsidRDefault="00E51CDD" w:rsidP="00E51CDD">
      <w:pPr>
        <w:rPr>
          <w:sz w:val="24"/>
          <w:szCs w:val="24"/>
        </w:rPr>
      </w:pPr>
    </w:p>
    <w:p w14:paraId="6E00FD89" w14:textId="77777777" w:rsidR="00E51CDD" w:rsidRPr="00E51CDD" w:rsidRDefault="00E51CDD" w:rsidP="00E51CDD">
      <w:pPr>
        <w:tabs>
          <w:tab w:val="left" w:pos="425"/>
          <w:tab w:val="left" w:pos="850"/>
        </w:tabs>
        <w:ind w:left="2835" w:hanging="2835"/>
        <w:rPr>
          <w:b/>
          <w:bCs/>
        </w:rPr>
      </w:pPr>
      <w:r w:rsidRPr="00E51CDD">
        <w:rPr>
          <w:b/>
          <w:bCs/>
        </w:rPr>
        <w:t>A.</w:t>
      </w:r>
      <w:r w:rsidRPr="00E51CDD">
        <w:rPr>
          <w:b/>
          <w:bCs/>
        </w:rPr>
        <w:tab/>
        <w:t>MATERIALS</w:t>
      </w:r>
    </w:p>
    <w:p w14:paraId="370B5061" w14:textId="77777777" w:rsidR="00E51CDD" w:rsidRPr="00E51CDD" w:rsidRDefault="00E51CDD" w:rsidP="00E51CDD">
      <w:pPr>
        <w:widowControl w:val="0"/>
        <w:tabs>
          <w:tab w:val="left" w:pos="425"/>
          <w:tab w:val="left" w:pos="720"/>
          <w:tab w:val="left" w:pos="850"/>
        </w:tabs>
        <w:ind w:left="2835" w:hanging="2835"/>
        <w:jc w:val="both"/>
        <w:rPr>
          <w:b/>
          <w:szCs w:val="24"/>
          <w:lang w:eastAsia="en-US"/>
        </w:rPr>
      </w:pPr>
    </w:p>
    <w:p w14:paraId="48176A63" w14:textId="77777777" w:rsidR="00E51CDD" w:rsidRPr="00E51CDD" w:rsidRDefault="00E51CDD" w:rsidP="00E51CDD">
      <w:pPr>
        <w:widowControl w:val="0"/>
        <w:ind w:left="2040" w:hanging="2040"/>
        <w:jc w:val="both"/>
        <w:rPr>
          <w:lang w:eastAsia="en-US"/>
        </w:rPr>
      </w:pPr>
      <w:r w:rsidRPr="00E51CDD">
        <w:rPr>
          <w:lang w:eastAsia="en-US"/>
        </w:rPr>
        <w:t xml:space="preserve">Test item: </w:t>
      </w:r>
      <w:r w:rsidRPr="00E51CDD">
        <w:rPr>
          <w:lang w:eastAsia="en-US"/>
        </w:rPr>
        <w:tab/>
      </w:r>
      <w:r w:rsidRPr="00E51CDD">
        <w:rPr>
          <w:rFonts w:eastAsia="Calibri"/>
          <w:szCs w:val="24"/>
          <w:lang w:eastAsia="en-US"/>
        </w:rPr>
        <w:t>BAS 736 00 F; batch no. FD-190220-0002; content of a.s.: azoxystrobin (BAS 9164 F, Reg. No. 300 254): 73.9 g/L analyzed (75.0</w:t>
      </w:r>
      <w:r w:rsidRPr="00E51CDD">
        <w:rPr>
          <w:rFonts w:eastAsia="Calibri"/>
          <w:lang w:eastAsia="en-US"/>
        </w:rPr>
        <w:t> g</w:t>
      </w:r>
      <w:r w:rsidRPr="00E51CDD">
        <w:rPr>
          <w:rFonts w:eastAsia="Calibri"/>
          <w:szCs w:val="24"/>
          <w:lang w:eastAsia="en-US"/>
        </w:rPr>
        <w:t>/L nominal), fluxapyroxad (BAS 700 F, Reg. No. 5 094 351): 49.4 g/L analyzed (50.0 g/L nominal); density: 1.078 g/cm³.</w:t>
      </w:r>
    </w:p>
    <w:p w14:paraId="455926F0" w14:textId="77777777" w:rsidR="00E51CDD" w:rsidRPr="00E51CDD" w:rsidRDefault="00E51CDD" w:rsidP="00E51CDD">
      <w:pPr>
        <w:widowControl w:val="0"/>
        <w:tabs>
          <w:tab w:val="left" w:pos="1170"/>
        </w:tabs>
        <w:jc w:val="both"/>
        <w:rPr>
          <w:lang w:eastAsia="en-US"/>
        </w:rPr>
      </w:pPr>
    </w:p>
    <w:p w14:paraId="0837B044" w14:textId="77777777" w:rsidR="00E51CDD" w:rsidRPr="00E51CDD" w:rsidRDefault="00E51CDD" w:rsidP="00E51CDD">
      <w:pPr>
        <w:tabs>
          <w:tab w:val="left" w:pos="425"/>
          <w:tab w:val="left" w:pos="850"/>
        </w:tabs>
        <w:ind w:left="2835" w:hanging="2835"/>
        <w:rPr>
          <w:b/>
          <w:bCs/>
        </w:rPr>
      </w:pPr>
      <w:r w:rsidRPr="00E51CDD">
        <w:rPr>
          <w:b/>
          <w:bCs/>
        </w:rPr>
        <w:t>B.</w:t>
      </w:r>
      <w:r w:rsidRPr="00E51CDD">
        <w:rPr>
          <w:b/>
          <w:bCs/>
        </w:rPr>
        <w:tab/>
        <w:t>STUDY DESIGN</w:t>
      </w:r>
    </w:p>
    <w:p w14:paraId="5B71C378" w14:textId="77777777" w:rsidR="00E51CDD" w:rsidRPr="00E51CDD" w:rsidRDefault="00E51CDD" w:rsidP="00E51CDD">
      <w:pPr>
        <w:rPr>
          <w:sz w:val="24"/>
          <w:szCs w:val="24"/>
        </w:rPr>
      </w:pPr>
    </w:p>
    <w:p w14:paraId="3664B739" w14:textId="77777777" w:rsidR="00E51CDD" w:rsidRPr="00E51CDD" w:rsidRDefault="00E51CDD" w:rsidP="00E51CDD">
      <w:pPr>
        <w:widowControl w:val="0"/>
        <w:tabs>
          <w:tab w:val="left" w:pos="720"/>
        </w:tabs>
        <w:ind w:left="2040" w:hanging="2040"/>
        <w:jc w:val="both"/>
        <w:rPr>
          <w:szCs w:val="24"/>
          <w:lang w:eastAsia="en-US"/>
        </w:rPr>
      </w:pPr>
      <w:r w:rsidRPr="00E51CDD">
        <w:rPr>
          <w:szCs w:val="24"/>
          <w:lang w:eastAsia="en-US"/>
        </w:rPr>
        <w:t>Test species:</w:t>
      </w:r>
      <w:r w:rsidRPr="00E51CDD">
        <w:rPr>
          <w:szCs w:val="24"/>
          <w:lang w:eastAsia="en-US"/>
        </w:rPr>
        <w:tab/>
        <w:t>Soil mite (</w:t>
      </w:r>
      <w:r w:rsidRPr="00E51CDD">
        <w:rPr>
          <w:i/>
          <w:szCs w:val="24"/>
          <w:lang w:eastAsia="en-US"/>
        </w:rPr>
        <w:t xml:space="preserve">Hypoaspis aculeifer </w:t>
      </w:r>
      <w:r w:rsidRPr="00E51CDD">
        <w:rPr>
          <w:rFonts w:eastAsia="PMingLiU"/>
          <w:smallCaps/>
          <w:lang w:eastAsia="en-US"/>
        </w:rPr>
        <w:t>Canestrini</w:t>
      </w:r>
      <w:r w:rsidRPr="00E51CDD">
        <w:rPr>
          <w:rFonts w:eastAsia="PMingLiU"/>
          <w:lang w:eastAsia="en-US"/>
        </w:rPr>
        <w:t>),</w:t>
      </w:r>
      <w:r w:rsidRPr="00E51CDD">
        <w:rPr>
          <w:szCs w:val="24"/>
          <w:lang w:eastAsia="en-US"/>
        </w:rPr>
        <w:t xml:space="preserve"> adult mites with an age difference of 2 days; source: in-house culture.</w:t>
      </w:r>
    </w:p>
    <w:p w14:paraId="50D5DD5F" w14:textId="77777777" w:rsidR="00E51CDD" w:rsidRPr="00E51CDD" w:rsidRDefault="00E51CDD" w:rsidP="00E51CDD">
      <w:pPr>
        <w:widowControl w:val="0"/>
        <w:tabs>
          <w:tab w:val="left" w:pos="720"/>
        </w:tabs>
        <w:ind w:left="2040" w:hanging="2040"/>
        <w:jc w:val="both"/>
        <w:rPr>
          <w:szCs w:val="24"/>
          <w:lang w:eastAsia="en-US"/>
        </w:rPr>
      </w:pPr>
    </w:p>
    <w:p w14:paraId="379A7348" w14:textId="77777777" w:rsidR="00E51CDD" w:rsidRPr="00E51CDD" w:rsidRDefault="00E51CDD" w:rsidP="00E51CDD">
      <w:pPr>
        <w:widowControl w:val="0"/>
        <w:ind w:left="2040" w:hanging="2040"/>
        <w:jc w:val="both"/>
        <w:rPr>
          <w:szCs w:val="24"/>
          <w:lang w:eastAsia="en-US"/>
        </w:rPr>
      </w:pPr>
      <w:r w:rsidRPr="00E51CDD">
        <w:rPr>
          <w:szCs w:val="24"/>
          <w:lang w:eastAsia="en-US"/>
        </w:rPr>
        <w:t>Test design:</w:t>
      </w:r>
      <w:r w:rsidRPr="00E51CDD">
        <w:rPr>
          <w:szCs w:val="24"/>
          <w:lang w:eastAsia="en-US"/>
        </w:rPr>
        <w:tab/>
        <w:t>1</w:t>
      </w:r>
      <w:r w:rsidRPr="00E51CDD">
        <w:rPr>
          <w:rFonts w:eastAsia="PMingLiU"/>
          <w:lang w:eastAsia="en-US"/>
        </w:rPr>
        <w:t xml:space="preserve">4-day chronic laboratory test (according to OECD 226) on effects of </w:t>
      </w:r>
      <w:r w:rsidRPr="00E51CDD">
        <w:rPr>
          <w:szCs w:val="24"/>
          <w:lang w:eastAsia="en-US"/>
        </w:rPr>
        <w:t>BAS 736 00 F</w:t>
      </w:r>
      <w:r w:rsidRPr="00E51CDD">
        <w:rPr>
          <w:rFonts w:eastAsia="PMingLiU"/>
          <w:lang w:eastAsia="en-US"/>
        </w:rPr>
        <w:t xml:space="preserve"> on mortality and reproduction of soil mites. Different concentrations of the test item were homogenously mixed into artificial soil (5% peat) which was then filled in glass vessels before the soil mites were introduced on top of the soil; 9 treatment groups (8 test item concentrations, 1 control); 8 replicates/control group and 4 replicates/test item treatments, each with 10 soil mites; Assessment of adult mortality and reproduction effects (number of juveniles) after 14 days</w:t>
      </w:r>
    </w:p>
    <w:p w14:paraId="3B456EF8" w14:textId="77777777" w:rsidR="00E51CDD" w:rsidRPr="00E51CDD" w:rsidRDefault="00E51CDD" w:rsidP="00E51CDD">
      <w:pPr>
        <w:widowControl w:val="0"/>
        <w:ind w:left="2040" w:hanging="2040"/>
        <w:jc w:val="both"/>
        <w:rPr>
          <w:szCs w:val="24"/>
          <w:lang w:eastAsia="en-US"/>
        </w:rPr>
      </w:pPr>
    </w:p>
    <w:p w14:paraId="71BEE374" w14:textId="77777777" w:rsidR="00E51CDD" w:rsidRPr="00E51CDD" w:rsidRDefault="00E51CDD" w:rsidP="00E51CDD">
      <w:pPr>
        <w:widowControl w:val="0"/>
        <w:ind w:left="2040" w:hanging="2040"/>
        <w:jc w:val="both"/>
        <w:rPr>
          <w:szCs w:val="24"/>
          <w:lang w:eastAsia="en-US"/>
        </w:rPr>
      </w:pPr>
      <w:r w:rsidRPr="00E51CDD">
        <w:rPr>
          <w:szCs w:val="24"/>
          <w:lang w:eastAsia="en-US"/>
        </w:rPr>
        <w:t xml:space="preserve">Endpoints: </w:t>
      </w:r>
      <w:r w:rsidRPr="00E51CDD">
        <w:rPr>
          <w:szCs w:val="24"/>
          <w:lang w:eastAsia="en-US"/>
        </w:rPr>
        <w:tab/>
        <w:t>Mortality (NOEC, LC</w:t>
      </w:r>
      <w:r w:rsidRPr="00E51CDD">
        <w:rPr>
          <w:szCs w:val="24"/>
          <w:vertAlign w:val="subscript"/>
          <w:lang w:eastAsia="en-US"/>
        </w:rPr>
        <w:t>50</w:t>
      </w:r>
      <w:r w:rsidRPr="00E51CDD">
        <w:rPr>
          <w:szCs w:val="24"/>
          <w:lang w:eastAsia="en-US"/>
        </w:rPr>
        <w:t>) and reproduction rate (NOEC, EC</w:t>
      </w:r>
      <w:r w:rsidRPr="00E51CDD">
        <w:rPr>
          <w:szCs w:val="24"/>
          <w:vertAlign w:val="subscript"/>
          <w:lang w:eastAsia="en-US"/>
        </w:rPr>
        <w:t>10, 20 and 50</w:t>
      </w:r>
      <w:r w:rsidRPr="00E51CDD">
        <w:rPr>
          <w:szCs w:val="24"/>
          <w:lang w:eastAsia="en-US"/>
        </w:rPr>
        <w:t>) after 28 days.</w:t>
      </w:r>
    </w:p>
    <w:p w14:paraId="4328BE4B" w14:textId="77777777" w:rsidR="00E51CDD" w:rsidRPr="00E51CDD" w:rsidRDefault="00E51CDD" w:rsidP="00E51CDD">
      <w:pPr>
        <w:widowControl w:val="0"/>
        <w:tabs>
          <w:tab w:val="left" w:pos="720"/>
        </w:tabs>
        <w:ind w:left="2040" w:hanging="2040"/>
        <w:jc w:val="both"/>
        <w:rPr>
          <w:color w:val="0070C0"/>
          <w:szCs w:val="24"/>
          <w:lang w:eastAsia="en-US"/>
        </w:rPr>
      </w:pPr>
    </w:p>
    <w:p w14:paraId="0D19257B" w14:textId="77777777" w:rsidR="00E51CDD" w:rsidRPr="00E51CDD" w:rsidRDefault="00E51CDD" w:rsidP="00E51CDD">
      <w:pPr>
        <w:widowControl w:val="0"/>
        <w:tabs>
          <w:tab w:val="left" w:pos="720"/>
        </w:tabs>
        <w:ind w:left="2040" w:hanging="2040"/>
        <w:jc w:val="both"/>
        <w:rPr>
          <w:szCs w:val="24"/>
          <w:lang w:eastAsia="en-US"/>
        </w:rPr>
      </w:pPr>
      <w:r w:rsidRPr="00E51CDD">
        <w:rPr>
          <w:szCs w:val="24"/>
          <w:lang w:eastAsia="en-US"/>
        </w:rPr>
        <w:t>Reference item:</w:t>
      </w:r>
      <w:r w:rsidRPr="00E51CDD">
        <w:rPr>
          <w:szCs w:val="24"/>
          <w:lang w:eastAsia="en-US"/>
        </w:rPr>
        <w:tab/>
        <w:t>Dimethoate (98.8% ± 0.5%, analyzed). The effects of the reference item were investigated in a separate study.</w:t>
      </w:r>
    </w:p>
    <w:p w14:paraId="18BF982F" w14:textId="77777777" w:rsidR="00E51CDD" w:rsidRPr="00E51CDD" w:rsidRDefault="00E51CDD" w:rsidP="00E51CDD">
      <w:pPr>
        <w:widowControl w:val="0"/>
        <w:tabs>
          <w:tab w:val="left" w:pos="720"/>
        </w:tabs>
        <w:ind w:left="2040" w:hanging="2040"/>
        <w:jc w:val="both"/>
        <w:rPr>
          <w:szCs w:val="24"/>
          <w:lang w:eastAsia="en-US"/>
        </w:rPr>
      </w:pPr>
    </w:p>
    <w:p w14:paraId="093DF4E8" w14:textId="77777777" w:rsidR="00E51CDD" w:rsidRPr="00E51CDD" w:rsidRDefault="00E51CDD" w:rsidP="00E51CDD">
      <w:pPr>
        <w:widowControl w:val="0"/>
        <w:tabs>
          <w:tab w:val="left" w:pos="720"/>
        </w:tabs>
        <w:ind w:left="2040" w:hanging="2040"/>
        <w:jc w:val="both"/>
        <w:rPr>
          <w:szCs w:val="24"/>
          <w:lang w:eastAsia="en-US"/>
        </w:rPr>
      </w:pPr>
      <w:r w:rsidRPr="00E51CDD">
        <w:rPr>
          <w:szCs w:val="24"/>
          <w:lang w:eastAsia="en-US"/>
        </w:rPr>
        <w:t xml:space="preserve">Test rates: </w:t>
      </w:r>
      <w:r w:rsidRPr="00E51CDD">
        <w:rPr>
          <w:szCs w:val="24"/>
          <w:lang w:eastAsia="en-US"/>
        </w:rPr>
        <w:tab/>
        <w:t>Control, 74.51, 119.2, 190.7, 305.2, 488.3, 781.3, 1250 and 2000 mg BAS 736 00 F/kg dry soil (spacing factor: 1.6).</w:t>
      </w:r>
    </w:p>
    <w:tbl>
      <w:tblPr>
        <w:tblStyle w:val="DAR0073"/>
        <w:tblW w:w="3898" w:type="pct"/>
        <w:tblInd w:w="2065" w:type="dxa"/>
        <w:tblLook w:val="04A0" w:firstRow="1" w:lastRow="0" w:firstColumn="1" w:lastColumn="0" w:noHBand="0" w:noVBand="1"/>
      </w:tblPr>
      <w:tblGrid>
        <w:gridCol w:w="1711"/>
        <w:gridCol w:w="2248"/>
        <w:gridCol w:w="1709"/>
        <w:gridCol w:w="1617"/>
      </w:tblGrid>
      <w:tr w:rsidR="00E51CDD" w:rsidRPr="00E51CDD" w14:paraId="544FB46F" w14:textId="77777777" w:rsidTr="009938D9">
        <w:trPr>
          <w:trHeight w:val="247"/>
        </w:trPr>
        <w:tc>
          <w:tcPr>
            <w:tcW w:w="1174" w:type="pct"/>
            <w:vAlign w:val="center"/>
          </w:tcPr>
          <w:p w14:paraId="28E913BE" w14:textId="77777777" w:rsidR="00E51CDD" w:rsidRPr="00E51CDD" w:rsidRDefault="00E51CDD" w:rsidP="00E51CDD">
            <w:pPr>
              <w:widowControl w:val="0"/>
              <w:rPr>
                <w:sz w:val="20"/>
                <w:szCs w:val="24"/>
              </w:rPr>
            </w:pPr>
            <w:r w:rsidRPr="00E51CDD">
              <w:rPr>
                <w:sz w:val="20"/>
                <w:szCs w:val="24"/>
              </w:rPr>
              <w:t>BAS 736 00 F</w:t>
            </w:r>
          </w:p>
          <w:p w14:paraId="10A720FD" w14:textId="77777777" w:rsidR="00E51CDD" w:rsidRPr="00E51CDD" w:rsidRDefault="00E51CDD" w:rsidP="00E51CDD">
            <w:pPr>
              <w:widowControl w:val="0"/>
              <w:rPr>
                <w:sz w:val="20"/>
                <w:szCs w:val="24"/>
              </w:rPr>
            </w:pPr>
            <w:r w:rsidRPr="00E51CDD">
              <w:rPr>
                <w:sz w:val="20"/>
                <w:szCs w:val="24"/>
              </w:rPr>
              <w:t>[mg/kg dry soil]</w:t>
            </w:r>
          </w:p>
        </w:tc>
        <w:tc>
          <w:tcPr>
            <w:tcW w:w="1543" w:type="pct"/>
            <w:vAlign w:val="center"/>
          </w:tcPr>
          <w:p w14:paraId="76A94FE4" w14:textId="77777777" w:rsidR="00E51CDD" w:rsidRPr="00E51CDD" w:rsidRDefault="00E51CDD" w:rsidP="00E51CDD">
            <w:pPr>
              <w:widowControl w:val="0"/>
              <w:rPr>
                <w:sz w:val="20"/>
                <w:szCs w:val="24"/>
              </w:rPr>
            </w:pPr>
            <w:r w:rsidRPr="00E51CDD">
              <w:rPr>
                <w:sz w:val="20"/>
                <w:szCs w:val="24"/>
              </w:rPr>
              <w:t>Total active substances</w:t>
            </w:r>
          </w:p>
          <w:p w14:paraId="586AD0B1" w14:textId="77777777" w:rsidR="00E51CDD" w:rsidRPr="00E51CDD" w:rsidRDefault="00E51CDD" w:rsidP="00E51CDD">
            <w:pPr>
              <w:widowControl w:val="0"/>
              <w:rPr>
                <w:b/>
                <w:sz w:val="20"/>
                <w:szCs w:val="24"/>
                <w:vertAlign w:val="superscript"/>
              </w:rPr>
            </w:pPr>
            <w:r w:rsidRPr="00E51CDD">
              <w:rPr>
                <w:sz w:val="20"/>
                <w:szCs w:val="24"/>
              </w:rPr>
              <w:t>[mg/kg dry soil]</w:t>
            </w:r>
            <w:r w:rsidRPr="00E51CDD">
              <w:rPr>
                <w:sz w:val="20"/>
                <w:szCs w:val="24"/>
                <w:vertAlign w:val="superscript"/>
              </w:rPr>
              <w:t>*</w:t>
            </w:r>
          </w:p>
        </w:tc>
        <w:tc>
          <w:tcPr>
            <w:tcW w:w="1173" w:type="pct"/>
            <w:vAlign w:val="center"/>
          </w:tcPr>
          <w:p w14:paraId="14D501AD" w14:textId="77777777" w:rsidR="00E51CDD" w:rsidRPr="00E51CDD" w:rsidRDefault="00E51CDD" w:rsidP="00E51CDD">
            <w:pPr>
              <w:widowControl w:val="0"/>
              <w:rPr>
                <w:sz w:val="20"/>
                <w:szCs w:val="24"/>
              </w:rPr>
            </w:pPr>
            <w:r w:rsidRPr="00E51CDD">
              <w:rPr>
                <w:sz w:val="20"/>
                <w:szCs w:val="24"/>
              </w:rPr>
              <w:t>BAS 9164 F</w:t>
            </w:r>
          </w:p>
          <w:p w14:paraId="4AAE087D" w14:textId="77777777" w:rsidR="00E51CDD" w:rsidRPr="00E51CDD" w:rsidRDefault="00E51CDD" w:rsidP="00E51CDD">
            <w:pPr>
              <w:widowControl w:val="0"/>
              <w:rPr>
                <w:sz w:val="20"/>
                <w:szCs w:val="24"/>
                <w:vertAlign w:val="superscript"/>
              </w:rPr>
            </w:pPr>
            <w:r w:rsidRPr="00E51CDD">
              <w:rPr>
                <w:sz w:val="20"/>
                <w:szCs w:val="24"/>
              </w:rPr>
              <w:t>[mg/kg dry soil]</w:t>
            </w:r>
            <w:r w:rsidRPr="00E51CDD">
              <w:rPr>
                <w:sz w:val="20"/>
                <w:szCs w:val="24"/>
                <w:vertAlign w:val="superscript"/>
              </w:rPr>
              <w:t>*</w:t>
            </w:r>
          </w:p>
        </w:tc>
        <w:tc>
          <w:tcPr>
            <w:tcW w:w="1111" w:type="pct"/>
            <w:vAlign w:val="center"/>
          </w:tcPr>
          <w:p w14:paraId="1188778F" w14:textId="77777777" w:rsidR="00E51CDD" w:rsidRPr="00E51CDD" w:rsidRDefault="00E51CDD" w:rsidP="00E51CDD">
            <w:pPr>
              <w:widowControl w:val="0"/>
              <w:rPr>
                <w:sz w:val="20"/>
                <w:szCs w:val="24"/>
              </w:rPr>
            </w:pPr>
            <w:r w:rsidRPr="00E51CDD">
              <w:rPr>
                <w:sz w:val="20"/>
                <w:szCs w:val="24"/>
              </w:rPr>
              <w:t>BAS 700 F</w:t>
            </w:r>
          </w:p>
          <w:p w14:paraId="3B5F5BC0" w14:textId="77777777" w:rsidR="00E51CDD" w:rsidRPr="00E51CDD" w:rsidRDefault="00E51CDD" w:rsidP="00E51CDD">
            <w:pPr>
              <w:widowControl w:val="0"/>
              <w:rPr>
                <w:sz w:val="20"/>
                <w:szCs w:val="24"/>
                <w:vertAlign w:val="superscript"/>
              </w:rPr>
            </w:pPr>
            <w:r w:rsidRPr="00E51CDD">
              <w:rPr>
                <w:sz w:val="20"/>
                <w:szCs w:val="24"/>
              </w:rPr>
              <w:t>[mg/kg dry soil]</w:t>
            </w:r>
            <w:r w:rsidRPr="00E51CDD">
              <w:rPr>
                <w:sz w:val="20"/>
                <w:szCs w:val="24"/>
                <w:vertAlign w:val="superscript"/>
              </w:rPr>
              <w:t>*</w:t>
            </w:r>
          </w:p>
        </w:tc>
      </w:tr>
      <w:tr w:rsidR="00E51CDD" w:rsidRPr="00E51CDD" w14:paraId="0021DD81" w14:textId="77777777" w:rsidTr="009938D9">
        <w:trPr>
          <w:trHeight w:val="247"/>
        </w:trPr>
        <w:tc>
          <w:tcPr>
            <w:tcW w:w="1174" w:type="pct"/>
            <w:vAlign w:val="center"/>
          </w:tcPr>
          <w:p w14:paraId="10C9DE71" w14:textId="77777777" w:rsidR="00E51CDD" w:rsidRPr="00E51CDD" w:rsidRDefault="00E51CDD" w:rsidP="00E51CDD">
            <w:pPr>
              <w:widowControl w:val="0"/>
              <w:rPr>
                <w:sz w:val="20"/>
                <w:szCs w:val="24"/>
              </w:rPr>
            </w:pPr>
            <w:r w:rsidRPr="00E51CDD">
              <w:rPr>
                <w:sz w:val="20"/>
                <w:szCs w:val="24"/>
              </w:rPr>
              <w:t>74.51</w:t>
            </w:r>
          </w:p>
        </w:tc>
        <w:tc>
          <w:tcPr>
            <w:tcW w:w="1543" w:type="pct"/>
            <w:vAlign w:val="center"/>
          </w:tcPr>
          <w:p w14:paraId="2B675FE8" w14:textId="77777777" w:rsidR="00E51CDD" w:rsidRPr="00E51CDD" w:rsidRDefault="00E51CDD" w:rsidP="00E51CDD">
            <w:pPr>
              <w:widowControl w:val="0"/>
              <w:rPr>
                <w:sz w:val="20"/>
                <w:szCs w:val="24"/>
              </w:rPr>
            </w:pPr>
            <w:r w:rsidRPr="00E51CDD">
              <w:rPr>
                <w:sz w:val="20"/>
                <w:szCs w:val="24"/>
              </w:rPr>
              <w:t>8.6</w:t>
            </w:r>
          </w:p>
        </w:tc>
        <w:tc>
          <w:tcPr>
            <w:tcW w:w="1173" w:type="pct"/>
            <w:vAlign w:val="center"/>
          </w:tcPr>
          <w:p w14:paraId="37D70C5E" w14:textId="77777777" w:rsidR="00E51CDD" w:rsidRPr="00E51CDD" w:rsidRDefault="00E51CDD" w:rsidP="00E51CDD">
            <w:pPr>
              <w:widowControl w:val="0"/>
              <w:rPr>
                <w:sz w:val="20"/>
                <w:szCs w:val="24"/>
              </w:rPr>
            </w:pPr>
            <w:r w:rsidRPr="00E51CDD">
              <w:rPr>
                <w:sz w:val="20"/>
                <w:szCs w:val="24"/>
              </w:rPr>
              <w:t>5.2</w:t>
            </w:r>
          </w:p>
        </w:tc>
        <w:tc>
          <w:tcPr>
            <w:tcW w:w="1111" w:type="pct"/>
            <w:vAlign w:val="center"/>
          </w:tcPr>
          <w:p w14:paraId="500237C2" w14:textId="77777777" w:rsidR="00E51CDD" w:rsidRPr="00E51CDD" w:rsidRDefault="00E51CDD" w:rsidP="00E51CDD">
            <w:pPr>
              <w:widowControl w:val="0"/>
              <w:rPr>
                <w:sz w:val="20"/>
                <w:szCs w:val="24"/>
              </w:rPr>
            </w:pPr>
            <w:r w:rsidRPr="00E51CDD">
              <w:rPr>
                <w:sz w:val="20"/>
                <w:szCs w:val="24"/>
              </w:rPr>
              <w:t>3.5</w:t>
            </w:r>
          </w:p>
        </w:tc>
      </w:tr>
      <w:tr w:rsidR="00E51CDD" w:rsidRPr="00E51CDD" w14:paraId="5527C541" w14:textId="77777777" w:rsidTr="009938D9">
        <w:trPr>
          <w:trHeight w:val="247"/>
        </w:trPr>
        <w:tc>
          <w:tcPr>
            <w:tcW w:w="1174" w:type="pct"/>
            <w:vAlign w:val="center"/>
          </w:tcPr>
          <w:p w14:paraId="2E3B510A" w14:textId="77777777" w:rsidR="00E51CDD" w:rsidRPr="00E51CDD" w:rsidRDefault="00E51CDD" w:rsidP="00E51CDD">
            <w:pPr>
              <w:widowControl w:val="0"/>
              <w:rPr>
                <w:sz w:val="20"/>
                <w:szCs w:val="24"/>
              </w:rPr>
            </w:pPr>
            <w:r w:rsidRPr="00E51CDD">
              <w:rPr>
                <w:sz w:val="20"/>
                <w:szCs w:val="24"/>
              </w:rPr>
              <w:t>119.2</w:t>
            </w:r>
          </w:p>
        </w:tc>
        <w:tc>
          <w:tcPr>
            <w:tcW w:w="1543" w:type="pct"/>
            <w:vAlign w:val="center"/>
          </w:tcPr>
          <w:p w14:paraId="34A0C8CC" w14:textId="77777777" w:rsidR="00E51CDD" w:rsidRPr="00E51CDD" w:rsidRDefault="00E51CDD" w:rsidP="00E51CDD">
            <w:pPr>
              <w:widowControl w:val="0"/>
              <w:rPr>
                <w:sz w:val="20"/>
                <w:szCs w:val="24"/>
              </w:rPr>
            </w:pPr>
            <w:r w:rsidRPr="00E51CDD">
              <w:rPr>
                <w:sz w:val="20"/>
                <w:szCs w:val="24"/>
              </w:rPr>
              <w:t>13.8</w:t>
            </w:r>
          </w:p>
        </w:tc>
        <w:tc>
          <w:tcPr>
            <w:tcW w:w="1173" w:type="pct"/>
            <w:vAlign w:val="center"/>
          </w:tcPr>
          <w:p w14:paraId="17440C02" w14:textId="77777777" w:rsidR="00E51CDD" w:rsidRPr="00E51CDD" w:rsidRDefault="00E51CDD" w:rsidP="00E51CDD">
            <w:pPr>
              <w:widowControl w:val="0"/>
              <w:rPr>
                <w:sz w:val="20"/>
                <w:szCs w:val="24"/>
              </w:rPr>
            </w:pPr>
            <w:r w:rsidRPr="00E51CDD">
              <w:rPr>
                <w:sz w:val="20"/>
                <w:szCs w:val="24"/>
              </w:rPr>
              <w:t>8.3</w:t>
            </w:r>
          </w:p>
        </w:tc>
        <w:tc>
          <w:tcPr>
            <w:tcW w:w="1111" w:type="pct"/>
            <w:vAlign w:val="center"/>
          </w:tcPr>
          <w:p w14:paraId="288D70A9" w14:textId="77777777" w:rsidR="00E51CDD" w:rsidRPr="00E51CDD" w:rsidRDefault="00E51CDD" w:rsidP="00E51CDD">
            <w:pPr>
              <w:widowControl w:val="0"/>
              <w:rPr>
                <w:sz w:val="20"/>
                <w:szCs w:val="24"/>
              </w:rPr>
            </w:pPr>
            <w:r w:rsidRPr="00E51CDD">
              <w:rPr>
                <w:sz w:val="20"/>
                <w:szCs w:val="24"/>
              </w:rPr>
              <w:t>5.5</w:t>
            </w:r>
          </w:p>
        </w:tc>
      </w:tr>
      <w:tr w:rsidR="00E51CDD" w:rsidRPr="00E51CDD" w14:paraId="02F69D63" w14:textId="77777777" w:rsidTr="009938D9">
        <w:trPr>
          <w:trHeight w:val="247"/>
        </w:trPr>
        <w:tc>
          <w:tcPr>
            <w:tcW w:w="1174" w:type="pct"/>
            <w:vAlign w:val="center"/>
          </w:tcPr>
          <w:p w14:paraId="71C741DA" w14:textId="77777777" w:rsidR="00E51CDD" w:rsidRPr="00E51CDD" w:rsidRDefault="00E51CDD" w:rsidP="00E51CDD">
            <w:pPr>
              <w:widowControl w:val="0"/>
              <w:rPr>
                <w:sz w:val="20"/>
                <w:szCs w:val="24"/>
              </w:rPr>
            </w:pPr>
            <w:r w:rsidRPr="00E51CDD">
              <w:rPr>
                <w:sz w:val="20"/>
                <w:szCs w:val="24"/>
              </w:rPr>
              <w:t>190.7</w:t>
            </w:r>
          </w:p>
        </w:tc>
        <w:tc>
          <w:tcPr>
            <w:tcW w:w="1543" w:type="pct"/>
            <w:vAlign w:val="center"/>
          </w:tcPr>
          <w:p w14:paraId="04362FFA" w14:textId="77777777" w:rsidR="00E51CDD" w:rsidRPr="00E51CDD" w:rsidRDefault="00E51CDD" w:rsidP="00E51CDD">
            <w:pPr>
              <w:widowControl w:val="0"/>
              <w:rPr>
                <w:sz w:val="20"/>
                <w:szCs w:val="24"/>
              </w:rPr>
            </w:pPr>
            <w:r w:rsidRPr="00E51CDD">
              <w:rPr>
                <w:sz w:val="20"/>
                <w:szCs w:val="24"/>
              </w:rPr>
              <w:t>22.1</w:t>
            </w:r>
          </w:p>
        </w:tc>
        <w:tc>
          <w:tcPr>
            <w:tcW w:w="1173" w:type="pct"/>
            <w:vAlign w:val="center"/>
          </w:tcPr>
          <w:p w14:paraId="2DDB2CF7" w14:textId="77777777" w:rsidR="00E51CDD" w:rsidRPr="00E51CDD" w:rsidRDefault="00E51CDD" w:rsidP="00E51CDD">
            <w:pPr>
              <w:widowControl w:val="0"/>
              <w:rPr>
                <w:sz w:val="20"/>
                <w:szCs w:val="24"/>
              </w:rPr>
            </w:pPr>
            <w:r w:rsidRPr="00E51CDD">
              <w:rPr>
                <w:sz w:val="20"/>
                <w:szCs w:val="24"/>
              </w:rPr>
              <w:t>13.3</w:t>
            </w:r>
          </w:p>
        </w:tc>
        <w:tc>
          <w:tcPr>
            <w:tcW w:w="1111" w:type="pct"/>
            <w:vAlign w:val="center"/>
          </w:tcPr>
          <w:p w14:paraId="4C58BA79" w14:textId="77777777" w:rsidR="00E51CDD" w:rsidRPr="00E51CDD" w:rsidRDefault="00E51CDD" w:rsidP="00E51CDD">
            <w:pPr>
              <w:widowControl w:val="0"/>
              <w:rPr>
                <w:sz w:val="20"/>
                <w:szCs w:val="24"/>
              </w:rPr>
            </w:pPr>
            <w:r w:rsidRPr="00E51CDD">
              <w:rPr>
                <w:sz w:val="20"/>
                <w:szCs w:val="24"/>
              </w:rPr>
              <w:t>8.8</w:t>
            </w:r>
          </w:p>
        </w:tc>
      </w:tr>
      <w:tr w:rsidR="00E51CDD" w:rsidRPr="00E51CDD" w14:paraId="69EE63D6" w14:textId="77777777" w:rsidTr="009938D9">
        <w:trPr>
          <w:trHeight w:val="247"/>
        </w:trPr>
        <w:tc>
          <w:tcPr>
            <w:tcW w:w="1174" w:type="pct"/>
            <w:vAlign w:val="center"/>
          </w:tcPr>
          <w:p w14:paraId="4A0081E2" w14:textId="77777777" w:rsidR="00E51CDD" w:rsidRPr="00E51CDD" w:rsidRDefault="00E51CDD" w:rsidP="00E51CDD">
            <w:pPr>
              <w:widowControl w:val="0"/>
              <w:rPr>
                <w:sz w:val="20"/>
                <w:szCs w:val="24"/>
              </w:rPr>
            </w:pPr>
            <w:r w:rsidRPr="00E51CDD">
              <w:rPr>
                <w:sz w:val="20"/>
                <w:szCs w:val="24"/>
              </w:rPr>
              <w:t>305.2</w:t>
            </w:r>
          </w:p>
        </w:tc>
        <w:tc>
          <w:tcPr>
            <w:tcW w:w="1543" w:type="pct"/>
            <w:vAlign w:val="center"/>
          </w:tcPr>
          <w:p w14:paraId="1083874F" w14:textId="77777777" w:rsidR="00E51CDD" w:rsidRPr="00E51CDD" w:rsidRDefault="00E51CDD" w:rsidP="00E51CDD">
            <w:pPr>
              <w:widowControl w:val="0"/>
              <w:rPr>
                <w:sz w:val="20"/>
                <w:szCs w:val="24"/>
              </w:rPr>
            </w:pPr>
            <w:r w:rsidRPr="00E51CDD">
              <w:rPr>
                <w:sz w:val="20"/>
                <w:szCs w:val="24"/>
              </w:rPr>
              <w:t>35.4</w:t>
            </w:r>
          </w:p>
        </w:tc>
        <w:tc>
          <w:tcPr>
            <w:tcW w:w="1173" w:type="pct"/>
            <w:vAlign w:val="center"/>
          </w:tcPr>
          <w:p w14:paraId="20EAA1C4" w14:textId="77777777" w:rsidR="00E51CDD" w:rsidRPr="00E51CDD" w:rsidRDefault="00E51CDD" w:rsidP="00E51CDD">
            <w:pPr>
              <w:widowControl w:val="0"/>
              <w:rPr>
                <w:sz w:val="20"/>
                <w:szCs w:val="24"/>
              </w:rPr>
            </w:pPr>
            <w:r w:rsidRPr="00E51CDD">
              <w:rPr>
                <w:sz w:val="20"/>
                <w:szCs w:val="24"/>
              </w:rPr>
              <w:t>21.2</w:t>
            </w:r>
          </w:p>
        </w:tc>
        <w:tc>
          <w:tcPr>
            <w:tcW w:w="1111" w:type="pct"/>
            <w:vAlign w:val="center"/>
          </w:tcPr>
          <w:p w14:paraId="644C9B4A" w14:textId="77777777" w:rsidR="00E51CDD" w:rsidRPr="00E51CDD" w:rsidRDefault="00E51CDD" w:rsidP="00E51CDD">
            <w:pPr>
              <w:widowControl w:val="0"/>
              <w:rPr>
                <w:sz w:val="20"/>
                <w:szCs w:val="24"/>
              </w:rPr>
            </w:pPr>
            <w:r w:rsidRPr="00E51CDD">
              <w:rPr>
                <w:sz w:val="20"/>
                <w:szCs w:val="24"/>
              </w:rPr>
              <w:t>14.2</w:t>
            </w:r>
          </w:p>
        </w:tc>
      </w:tr>
      <w:tr w:rsidR="00E51CDD" w:rsidRPr="00E51CDD" w14:paraId="6D473237" w14:textId="77777777" w:rsidTr="009938D9">
        <w:trPr>
          <w:trHeight w:val="247"/>
        </w:trPr>
        <w:tc>
          <w:tcPr>
            <w:tcW w:w="1174" w:type="pct"/>
            <w:vAlign w:val="center"/>
          </w:tcPr>
          <w:p w14:paraId="7978EF8A" w14:textId="77777777" w:rsidR="00E51CDD" w:rsidRPr="00E51CDD" w:rsidRDefault="00E51CDD" w:rsidP="00E51CDD">
            <w:pPr>
              <w:widowControl w:val="0"/>
              <w:rPr>
                <w:sz w:val="20"/>
                <w:szCs w:val="24"/>
                <w:lang w:val="de-DE"/>
              </w:rPr>
            </w:pPr>
            <w:r w:rsidRPr="00E51CDD">
              <w:rPr>
                <w:sz w:val="20"/>
                <w:szCs w:val="24"/>
                <w:lang w:val="de-DE"/>
              </w:rPr>
              <w:t>488.3</w:t>
            </w:r>
          </w:p>
        </w:tc>
        <w:tc>
          <w:tcPr>
            <w:tcW w:w="1543" w:type="pct"/>
            <w:vAlign w:val="center"/>
          </w:tcPr>
          <w:p w14:paraId="2F8A896E" w14:textId="77777777" w:rsidR="00E51CDD" w:rsidRPr="00E51CDD" w:rsidRDefault="00E51CDD" w:rsidP="00E51CDD">
            <w:pPr>
              <w:widowControl w:val="0"/>
              <w:rPr>
                <w:sz w:val="20"/>
                <w:szCs w:val="24"/>
                <w:lang w:val="de-DE"/>
              </w:rPr>
            </w:pPr>
            <w:r w:rsidRPr="00E51CDD">
              <w:rPr>
                <w:sz w:val="20"/>
                <w:szCs w:val="24"/>
                <w:lang w:val="de-DE"/>
              </w:rPr>
              <w:t>56.6</w:t>
            </w:r>
          </w:p>
        </w:tc>
        <w:tc>
          <w:tcPr>
            <w:tcW w:w="1173" w:type="pct"/>
            <w:vAlign w:val="center"/>
          </w:tcPr>
          <w:p w14:paraId="70C70405" w14:textId="77777777" w:rsidR="00E51CDD" w:rsidRPr="00E51CDD" w:rsidRDefault="00E51CDD" w:rsidP="00E51CDD">
            <w:pPr>
              <w:widowControl w:val="0"/>
              <w:rPr>
                <w:sz w:val="20"/>
                <w:szCs w:val="24"/>
                <w:lang w:val="de-DE"/>
              </w:rPr>
            </w:pPr>
            <w:r w:rsidRPr="00E51CDD">
              <w:rPr>
                <w:sz w:val="20"/>
                <w:szCs w:val="24"/>
                <w:lang w:val="de-DE"/>
              </w:rPr>
              <w:t>34.0</w:t>
            </w:r>
          </w:p>
        </w:tc>
        <w:tc>
          <w:tcPr>
            <w:tcW w:w="1111" w:type="pct"/>
            <w:vAlign w:val="center"/>
          </w:tcPr>
          <w:p w14:paraId="1DF22376" w14:textId="77777777" w:rsidR="00E51CDD" w:rsidRPr="00E51CDD" w:rsidRDefault="00E51CDD" w:rsidP="00E51CDD">
            <w:pPr>
              <w:widowControl w:val="0"/>
              <w:rPr>
                <w:sz w:val="20"/>
                <w:szCs w:val="24"/>
                <w:lang w:val="de-DE"/>
              </w:rPr>
            </w:pPr>
            <w:r w:rsidRPr="00E51CDD">
              <w:rPr>
                <w:sz w:val="20"/>
                <w:szCs w:val="24"/>
                <w:lang w:val="de-DE"/>
              </w:rPr>
              <w:t>22.6</w:t>
            </w:r>
          </w:p>
        </w:tc>
      </w:tr>
      <w:tr w:rsidR="00E51CDD" w:rsidRPr="00E51CDD" w14:paraId="3BD270D1" w14:textId="77777777" w:rsidTr="009938D9">
        <w:trPr>
          <w:trHeight w:val="247"/>
        </w:trPr>
        <w:tc>
          <w:tcPr>
            <w:tcW w:w="1174" w:type="pct"/>
            <w:vAlign w:val="center"/>
          </w:tcPr>
          <w:p w14:paraId="5F5E6BB4" w14:textId="77777777" w:rsidR="00E51CDD" w:rsidRPr="00E51CDD" w:rsidRDefault="00E51CDD" w:rsidP="00E51CDD">
            <w:pPr>
              <w:widowControl w:val="0"/>
              <w:rPr>
                <w:sz w:val="20"/>
                <w:szCs w:val="24"/>
                <w:lang w:val="de-DE"/>
              </w:rPr>
            </w:pPr>
            <w:r w:rsidRPr="00E51CDD">
              <w:rPr>
                <w:sz w:val="20"/>
                <w:szCs w:val="24"/>
                <w:lang w:val="de-DE"/>
              </w:rPr>
              <w:t>781.3</w:t>
            </w:r>
          </w:p>
        </w:tc>
        <w:tc>
          <w:tcPr>
            <w:tcW w:w="1543" w:type="pct"/>
            <w:vAlign w:val="center"/>
          </w:tcPr>
          <w:p w14:paraId="4456BED1" w14:textId="77777777" w:rsidR="00E51CDD" w:rsidRPr="00E51CDD" w:rsidRDefault="00E51CDD" w:rsidP="00E51CDD">
            <w:pPr>
              <w:widowControl w:val="0"/>
              <w:rPr>
                <w:sz w:val="20"/>
                <w:szCs w:val="24"/>
                <w:lang w:val="de-DE"/>
              </w:rPr>
            </w:pPr>
            <w:r w:rsidRPr="00E51CDD">
              <w:rPr>
                <w:sz w:val="20"/>
                <w:szCs w:val="24"/>
                <w:lang w:val="de-DE"/>
              </w:rPr>
              <w:t>90.6</w:t>
            </w:r>
          </w:p>
        </w:tc>
        <w:tc>
          <w:tcPr>
            <w:tcW w:w="1173" w:type="pct"/>
            <w:vAlign w:val="center"/>
          </w:tcPr>
          <w:p w14:paraId="4EE33D61" w14:textId="77777777" w:rsidR="00E51CDD" w:rsidRPr="00E51CDD" w:rsidRDefault="00E51CDD" w:rsidP="00E51CDD">
            <w:pPr>
              <w:widowControl w:val="0"/>
              <w:rPr>
                <w:sz w:val="20"/>
                <w:szCs w:val="24"/>
                <w:lang w:val="de-DE"/>
              </w:rPr>
            </w:pPr>
            <w:r w:rsidRPr="00E51CDD">
              <w:rPr>
                <w:sz w:val="20"/>
                <w:szCs w:val="24"/>
                <w:lang w:val="de-DE"/>
              </w:rPr>
              <w:t>54.4</w:t>
            </w:r>
          </w:p>
        </w:tc>
        <w:tc>
          <w:tcPr>
            <w:tcW w:w="1111" w:type="pct"/>
            <w:vAlign w:val="center"/>
          </w:tcPr>
          <w:p w14:paraId="7EB689D3" w14:textId="77777777" w:rsidR="00E51CDD" w:rsidRPr="00E51CDD" w:rsidRDefault="00E51CDD" w:rsidP="00E51CDD">
            <w:pPr>
              <w:widowControl w:val="0"/>
              <w:rPr>
                <w:sz w:val="20"/>
                <w:szCs w:val="24"/>
                <w:lang w:val="de-DE"/>
              </w:rPr>
            </w:pPr>
            <w:r w:rsidRPr="00E51CDD">
              <w:rPr>
                <w:sz w:val="20"/>
                <w:szCs w:val="24"/>
                <w:lang w:val="de-DE"/>
              </w:rPr>
              <w:t>36.2</w:t>
            </w:r>
          </w:p>
        </w:tc>
      </w:tr>
      <w:tr w:rsidR="00E51CDD" w:rsidRPr="00E51CDD" w14:paraId="276F5170" w14:textId="77777777" w:rsidTr="009938D9">
        <w:trPr>
          <w:trHeight w:val="247"/>
        </w:trPr>
        <w:tc>
          <w:tcPr>
            <w:tcW w:w="1174" w:type="pct"/>
            <w:vAlign w:val="center"/>
          </w:tcPr>
          <w:p w14:paraId="133EE3DC" w14:textId="77777777" w:rsidR="00E51CDD" w:rsidRPr="00E51CDD" w:rsidRDefault="00E51CDD" w:rsidP="00E51CDD">
            <w:pPr>
              <w:widowControl w:val="0"/>
              <w:rPr>
                <w:sz w:val="20"/>
                <w:szCs w:val="24"/>
                <w:lang w:val="de-DE"/>
              </w:rPr>
            </w:pPr>
            <w:r w:rsidRPr="00E51CDD">
              <w:rPr>
                <w:sz w:val="20"/>
                <w:szCs w:val="24"/>
                <w:lang w:val="de-DE"/>
              </w:rPr>
              <w:t>1250</w:t>
            </w:r>
          </w:p>
        </w:tc>
        <w:tc>
          <w:tcPr>
            <w:tcW w:w="1543" w:type="pct"/>
            <w:vAlign w:val="center"/>
          </w:tcPr>
          <w:p w14:paraId="6EB831E8" w14:textId="77777777" w:rsidR="00E51CDD" w:rsidRPr="00E51CDD" w:rsidRDefault="00E51CDD" w:rsidP="00E51CDD">
            <w:pPr>
              <w:widowControl w:val="0"/>
              <w:rPr>
                <w:sz w:val="20"/>
                <w:szCs w:val="24"/>
                <w:lang w:val="de-DE"/>
              </w:rPr>
            </w:pPr>
            <w:r w:rsidRPr="00E51CDD">
              <w:rPr>
                <w:sz w:val="20"/>
                <w:szCs w:val="24"/>
                <w:lang w:val="de-DE"/>
              </w:rPr>
              <w:t>144.9</w:t>
            </w:r>
          </w:p>
        </w:tc>
        <w:tc>
          <w:tcPr>
            <w:tcW w:w="1173" w:type="pct"/>
            <w:vAlign w:val="center"/>
          </w:tcPr>
          <w:p w14:paraId="2B5F79F5" w14:textId="77777777" w:rsidR="00E51CDD" w:rsidRPr="00E51CDD" w:rsidRDefault="00E51CDD" w:rsidP="00E51CDD">
            <w:pPr>
              <w:widowControl w:val="0"/>
              <w:rPr>
                <w:sz w:val="20"/>
                <w:szCs w:val="24"/>
                <w:lang w:val="de-DE"/>
              </w:rPr>
            </w:pPr>
            <w:r w:rsidRPr="00E51CDD">
              <w:rPr>
                <w:sz w:val="20"/>
                <w:szCs w:val="24"/>
                <w:lang w:val="de-DE"/>
              </w:rPr>
              <w:t>87.0</w:t>
            </w:r>
          </w:p>
        </w:tc>
        <w:tc>
          <w:tcPr>
            <w:tcW w:w="1111" w:type="pct"/>
            <w:vAlign w:val="center"/>
          </w:tcPr>
          <w:p w14:paraId="08D67C68" w14:textId="77777777" w:rsidR="00E51CDD" w:rsidRPr="00E51CDD" w:rsidRDefault="00E51CDD" w:rsidP="00E51CDD">
            <w:pPr>
              <w:widowControl w:val="0"/>
              <w:rPr>
                <w:sz w:val="20"/>
                <w:szCs w:val="24"/>
                <w:lang w:val="de-DE"/>
              </w:rPr>
            </w:pPr>
            <w:r w:rsidRPr="00E51CDD">
              <w:rPr>
                <w:sz w:val="20"/>
                <w:szCs w:val="24"/>
                <w:lang w:val="de-DE"/>
              </w:rPr>
              <w:t>58.0</w:t>
            </w:r>
          </w:p>
        </w:tc>
      </w:tr>
      <w:tr w:rsidR="00E51CDD" w:rsidRPr="00E51CDD" w14:paraId="4716BA88" w14:textId="77777777" w:rsidTr="009938D9">
        <w:trPr>
          <w:trHeight w:val="247"/>
        </w:trPr>
        <w:tc>
          <w:tcPr>
            <w:tcW w:w="1174" w:type="pct"/>
            <w:vAlign w:val="center"/>
          </w:tcPr>
          <w:p w14:paraId="7493FD3E" w14:textId="77777777" w:rsidR="00E51CDD" w:rsidRPr="00E51CDD" w:rsidRDefault="00E51CDD" w:rsidP="00E51CDD">
            <w:pPr>
              <w:widowControl w:val="0"/>
              <w:rPr>
                <w:sz w:val="20"/>
                <w:szCs w:val="24"/>
              </w:rPr>
            </w:pPr>
            <w:r w:rsidRPr="00E51CDD">
              <w:rPr>
                <w:sz w:val="20"/>
                <w:szCs w:val="24"/>
              </w:rPr>
              <w:t>2000</w:t>
            </w:r>
          </w:p>
        </w:tc>
        <w:tc>
          <w:tcPr>
            <w:tcW w:w="1543" w:type="pct"/>
            <w:vAlign w:val="center"/>
          </w:tcPr>
          <w:p w14:paraId="6C671F45" w14:textId="77777777" w:rsidR="00E51CDD" w:rsidRPr="00E51CDD" w:rsidRDefault="00E51CDD" w:rsidP="00E51CDD">
            <w:pPr>
              <w:widowControl w:val="0"/>
              <w:rPr>
                <w:sz w:val="20"/>
                <w:szCs w:val="24"/>
              </w:rPr>
            </w:pPr>
            <w:r w:rsidRPr="00E51CDD">
              <w:rPr>
                <w:sz w:val="20"/>
                <w:szCs w:val="24"/>
              </w:rPr>
              <w:t>231.9</w:t>
            </w:r>
          </w:p>
        </w:tc>
        <w:tc>
          <w:tcPr>
            <w:tcW w:w="1173" w:type="pct"/>
            <w:vAlign w:val="center"/>
          </w:tcPr>
          <w:p w14:paraId="4B277BB3" w14:textId="77777777" w:rsidR="00E51CDD" w:rsidRPr="00E51CDD" w:rsidRDefault="00E51CDD" w:rsidP="00E51CDD">
            <w:pPr>
              <w:widowControl w:val="0"/>
              <w:rPr>
                <w:sz w:val="20"/>
                <w:szCs w:val="24"/>
              </w:rPr>
            </w:pPr>
            <w:r w:rsidRPr="00E51CDD">
              <w:rPr>
                <w:sz w:val="20"/>
                <w:szCs w:val="24"/>
              </w:rPr>
              <w:t>139.1</w:t>
            </w:r>
          </w:p>
        </w:tc>
        <w:tc>
          <w:tcPr>
            <w:tcW w:w="1111" w:type="pct"/>
            <w:vAlign w:val="center"/>
          </w:tcPr>
          <w:p w14:paraId="44C14F94" w14:textId="77777777" w:rsidR="00E51CDD" w:rsidRPr="00E51CDD" w:rsidRDefault="00E51CDD" w:rsidP="00E51CDD">
            <w:pPr>
              <w:widowControl w:val="0"/>
              <w:rPr>
                <w:sz w:val="20"/>
                <w:szCs w:val="24"/>
              </w:rPr>
            </w:pPr>
            <w:r w:rsidRPr="00E51CDD">
              <w:rPr>
                <w:sz w:val="20"/>
                <w:szCs w:val="24"/>
              </w:rPr>
              <w:t>92.8</w:t>
            </w:r>
          </w:p>
        </w:tc>
      </w:tr>
    </w:tbl>
    <w:p w14:paraId="4DFEBE1C" w14:textId="77777777" w:rsidR="00E51CDD" w:rsidRPr="00E51CDD" w:rsidRDefault="00E51CDD" w:rsidP="00E51CDD">
      <w:pPr>
        <w:widowControl w:val="0"/>
        <w:ind w:left="2160" w:hanging="120"/>
        <w:jc w:val="both"/>
        <w:rPr>
          <w:sz w:val="18"/>
          <w:szCs w:val="18"/>
          <w:lang w:eastAsia="en-US"/>
        </w:rPr>
      </w:pPr>
      <w:r w:rsidRPr="00E51CDD">
        <w:rPr>
          <w:sz w:val="18"/>
          <w:szCs w:val="18"/>
          <w:vertAlign w:val="superscript"/>
          <w:lang w:eastAsia="en-US"/>
        </w:rPr>
        <w:t>*</w:t>
      </w:r>
      <w:r w:rsidRPr="00E51CDD">
        <w:rPr>
          <w:sz w:val="18"/>
          <w:szCs w:val="18"/>
          <w:lang w:eastAsia="en-US"/>
        </w:rPr>
        <w:t xml:space="preserve"> based on nominal content of active substance and a test item density of 1.078 g/cm³, calculations were done with unrounded values.</w:t>
      </w:r>
    </w:p>
    <w:p w14:paraId="40D015AF" w14:textId="77777777" w:rsidR="00E51CDD" w:rsidRPr="00E51CDD" w:rsidRDefault="00E51CDD" w:rsidP="00E51CDD">
      <w:pPr>
        <w:widowControl w:val="0"/>
        <w:tabs>
          <w:tab w:val="left" w:pos="720"/>
        </w:tabs>
        <w:ind w:left="2040" w:hanging="2040"/>
        <w:jc w:val="both"/>
        <w:rPr>
          <w:i/>
          <w:color w:val="0070C0"/>
          <w:szCs w:val="24"/>
          <w:lang w:eastAsia="en-US"/>
        </w:rPr>
      </w:pPr>
    </w:p>
    <w:p w14:paraId="09DCA86E" w14:textId="77777777" w:rsidR="00E51CDD" w:rsidRPr="00E51CDD" w:rsidRDefault="00E51CDD" w:rsidP="00E51CDD">
      <w:pPr>
        <w:widowControl w:val="0"/>
        <w:tabs>
          <w:tab w:val="left" w:pos="720"/>
        </w:tabs>
        <w:ind w:left="2040" w:hanging="2040"/>
        <w:jc w:val="both"/>
        <w:rPr>
          <w:i/>
          <w:color w:val="0070C0"/>
          <w:szCs w:val="24"/>
          <w:lang w:eastAsia="en-US"/>
        </w:rPr>
      </w:pPr>
    </w:p>
    <w:p w14:paraId="71362CDE" w14:textId="77777777" w:rsidR="00E51CDD" w:rsidRPr="00E51CDD" w:rsidRDefault="00E51CDD" w:rsidP="00E51CDD">
      <w:pPr>
        <w:widowControl w:val="0"/>
        <w:tabs>
          <w:tab w:val="left" w:pos="720"/>
        </w:tabs>
        <w:ind w:left="2040" w:hanging="2040"/>
        <w:jc w:val="both"/>
        <w:rPr>
          <w:iCs/>
          <w:color w:val="0070C0"/>
          <w:szCs w:val="24"/>
          <w:lang w:eastAsia="en-US"/>
        </w:rPr>
      </w:pPr>
      <w:r w:rsidRPr="00E51CDD">
        <w:rPr>
          <w:szCs w:val="24"/>
          <w:lang w:eastAsia="en-US"/>
        </w:rPr>
        <w:t>Test conditions:</w:t>
      </w:r>
      <w:r w:rsidRPr="00E51CDD">
        <w:rPr>
          <w:szCs w:val="24"/>
          <w:lang w:eastAsia="en-US"/>
        </w:rPr>
        <w:tab/>
        <w:t>Artificial soil according to OECD 226 (5% peat); pH 5.8 - 6.3 at test initiation, pH 5.3 - 5.4 at test termination; water content 46.67% - 49.16% of max. water holding capacity (WHC) at test initiation and at test termination 42.83% – 46.04% of max. WHC; temperature: 20.0 – 21.2 °C; photoperiod: 16 h light : 8 h dark, light intensity: 492 lux; food: cheese mite (</w:t>
      </w:r>
      <w:r w:rsidRPr="00E51CDD">
        <w:rPr>
          <w:i/>
          <w:iCs/>
          <w:szCs w:val="24"/>
          <w:lang w:eastAsia="en-US"/>
        </w:rPr>
        <w:t>Tyrophagus putrescentiae</w:t>
      </w:r>
      <w:r w:rsidRPr="00E51CDD">
        <w:rPr>
          <w:szCs w:val="24"/>
          <w:lang w:eastAsia="en-US"/>
        </w:rPr>
        <w:t xml:space="preserve">) </w:t>
      </w:r>
      <w:r w:rsidRPr="00E51CDD">
        <w:rPr>
          <w:iCs/>
          <w:szCs w:val="24"/>
          <w:lang w:eastAsia="en-US"/>
        </w:rPr>
        <w:t>supplied twice to three times a week.</w:t>
      </w:r>
    </w:p>
    <w:p w14:paraId="46644798" w14:textId="77777777" w:rsidR="00E51CDD" w:rsidRPr="00E51CDD" w:rsidRDefault="00E51CDD" w:rsidP="00E51CDD">
      <w:pPr>
        <w:widowControl w:val="0"/>
        <w:tabs>
          <w:tab w:val="left" w:pos="720"/>
        </w:tabs>
        <w:ind w:left="2040" w:hanging="2040"/>
        <w:jc w:val="both"/>
        <w:rPr>
          <w:iCs/>
          <w:color w:val="0070C0"/>
          <w:szCs w:val="24"/>
          <w:lang w:eastAsia="en-US"/>
        </w:rPr>
      </w:pPr>
    </w:p>
    <w:p w14:paraId="101B714E" w14:textId="77777777" w:rsidR="00E51CDD" w:rsidRPr="00E51CDD" w:rsidRDefault="00E51CDD" w:rsidP="00E51CDD">
      <w:pPr>
        <w:widowControl w:val="0"/>
        <w:tabs>
          <w:tab w:val="left" w:pos="720"/>
        </w:tabs>
        <w:ind w:left="2040" w:hanging="2040"/>
        <w:jc w:val="both"/>
        <w:rPr>
          <w:szCs w:val="24"/>
          <w:lang w:eastAsia="en-US"/>
        </w:rPr>
      </w:pPr>
      <w:r w:rsidRPr="00E51CDD">
        <w:rPr>
          <w:iCs/>
          <w:szCs w:val="24"/>
          <w:lang w:eastAsia="en-US"/>
        </w:rPr>
        <w:t>Analytics:</w:t>
      </w:r>
      <w:r w:rsidRPr="00E51CDD">
        <w:rPr>
          <w:iCs/>
          <w:szCs w:val="24"/>
          <w:lang w:eastAsia="en-US"/>
        </w:rPr>
        <w:tab/>
        <w:t>No analytical verification of the test item is required according to the current test guideline. Hence, no analytical verification was conducted.</w:t>
      </w:r>
    </w:p>
    <w:p w14:paraId="07D68412" w14:textId="77777777" w:rsidR="00E51CDD" w:rsidRPr="00E51CDD" w:rsidRDefault="00E51CDD" w:rsidP="00E51CDD">
      <w:pPr>
        <w:widowControl w:val="0"/>
        <w:tabs>
          <w:tab w:val="left" w:pos="720"/>
        </w:tabs>
        <w:ind w:left="2040" w:hanging="2040"/>
        <w:jc w:val="both"/>
        <w:rPr>
          <w:szCs w:val="24"/>
          <w:lang w:eastAsia="en-US"/>
        </w:rPr>
      </w:pPr>
      <w:r w:rsidRPr="00E51CDD">
        <w:rPr>
          <w:szCs w:val="24"/>
          <w:lang w:eastAsia="en-US"/>
        </w:rPr>
        <w:br w:type="page"/>
      </w:r>
    </w:p>
    <w:p w14:paraId="4B956BFF" w14:textId="77777777" w:rsidR="00E51CDD" w:rsidRPr="00E51CDD" w:rsidRDefault="00E51CDD" w:rsidP="00E51CDD">
      <w:pPr>
        <w:widowControl w:val="0"/>
        <w:tabs>
          <w:tab w:val="left" w:pos="425"/>
          <w:tab w:val="left" w:pos="720"/>
          <w:tab w:val="left" w:pos="850"/>
        </w:tabs>
        <w:ind w:left="2040" w:hanging="2040"/>
        <w:jc w:val="both"/>
        <w:rPr>
          <w:szCs w:val="24"/>
          <w:lang w:eastAsia="en-US"/>
        </w:rPr>
      </w:pPr>
      <w:r w:rsidRPr="00E51CDD">
        <w:rPr>
          <w:szCs w:val="24"/>
          <w:lang w:eastAsia="en-US"/>
        </w:rPr>
        <w:lastRenderedPageBreak/>
        <w:t>Statistics:</w:t>
      </w:r>
      <w:r w:rsidRPr="00E51CDD">
        <w:rPr>
          <w:szCs w:val="24"/>
          <w:lang w:eastAsia="en-US"/>
        </w:rPr>
        <w:tab/>
        <w:t>Descriptive statistics, Multiple Sequentially-rejective Fisher Test after Bonferroni-Holm α = 0.05, one-sided greater) for mortality, Welch-t-test after Bonferroni-Holm for reproduction (α = 0.05, one-sided smaller), Weibull analysis using linear maximum likelihood regression for LC</w:t>
      </w:r>
      <w:r w:rsidRPr="00E51CDD">
        <w:rPr>
          <w:szCs w:val="24"/>
          <w:vertAlign w:val="subscript"/>
          <w:lang w:eastAsia="en-US"/>
        </w:rPr>
        <w:t>x</w:t>
      </w:r>
      <w:r w:rsidRPr="00E51CDD">
        <w:rPr>
          <w:szCs w:val="24"/>
          <w:lang w:eastAsia="en-US"/>
        </w:rPr>
        <w:t xml:space="preserve"> determination, Non-linear regression analysis (3-parametric normal cumulative distribution function (CDF)) for EC</w:t>
      </w:r>
      <w:r w:rsidRPr="00E51CDD">
        <w:rPr>
          <w:szCs w:val="24"/>
          <w:vertAlign w:val="subscript"/>
          <w:lang w:eastAsia="en-US"/>
        </w:rPr>
        <w:t xml:space="preserve">x </w:t>
      </w:r>
      <w:r w:rsidRPr="00E51CDD">
        <w:rPr>
          <w:szCs w:val="24"/>
          <w:lang w:eastAsia="en-US"/>
        </w:rPr>
        <w:t>determination.</w:t>
      </w:r>
    </w:p>
    <w:p w14:paraId="3E5CFE16" w14:textId="77777777" w:rsidR="00E51CDD" w:rsidRPr="00E51CDD" w:rsidRDefault="00E51CDD" w:rsidP="00E51CDD">
      <w:pPr>
        <w:widowControl w:val="0"/>
        <w:tabs>
          <w:tab w:val="left" w:pos="425"/>
          <w:tab w:val="left" w:pos="720"/>
          <w:tab w:val="left" w:pos="850"/>
        </w:tabs>
        <w:ind w:left="2040" w:hanging="2040"/>
        <w:jc w:val="both"/>
        <w:rPr>
          <w:szCs w:val="24"/>
          <w:lang w:eastAsia="en-US"/>
        </w:rPr>
      </w:pPr>
    </w:p>
    <w:p w14:paraId="108C73C7" w14:textId="77777777" w:rsidR="00E51CDD" w:rsidRPr="00E51CDD" w:rsidRDefault="00E51CDD" w:rsidP="00E51CDD">
      <w:pPr>
        <w:widowControl w:val="0"/>
        <w:tabs>
          <w:tab w:val="left" w:pos="425"/>
          <w:tab w:val="left" w:pos="720"/>
          <w:tab w:val="left" w:pos="850"/>
        </w:tabs>
        <w:ind w:left="2040" w:hanging="2040"/>
        <w:jc w:val="both"/>
        <w:rPr>
          <w:szCs w:val="24"/>
          <w:lang w:eastAsia="en-US"/>
        </w:rPr>
      </w:pPr>
    </w:p>
    <w:p w14:paraId="77424E57" w14:textId="77777777" w:rsidR="00E51CDD" w:rsidRPr="00E51CDD" w:rsidRDefault="00E51CDD" w:rsidP="00E51CDD">
      <w:pPr>
        <w:tabs>
          <w:tab w:val="left" w:pos="425"/>
          <w:tab w:val="left" w:pos="850"/>
        </w:tabs>
        <w:ind w:left="2835" w:hanging="2835"/>
        <w:rPr>
          <w:b/>
        </w:rPr>
      </w:pPr>
      <w:r w:rsidRPr="00E51CDD">
        <w:rPr>
          <w:b/>
        </w:rPr>
        <w:t>II.</w:t>
      </w:r>
      <w:r w:rsidRPr="00E51CDD">
        <w:rPr>
          <w:b/>
        </w:rPr>
        <w:tab/>
        <w:t>RESULTS AND DISCUSSION</w:t>
      </w:r>
    </w:p>
    <w:p w14:paraId="45C45086" w14:textId="77777777" w:rsidR="00E51CDD" w:rsidRPr="00E51CDD" w:rsidRDefault="00E51CDD" w:rsidP="00E51CDD">
      <w:pPr>
        <w:keepNext/>
        <w:tabs>
          <w:tab w:val="left" w:pos="425"/>
          <w:tab w:val="left" w:pos="720"/>
          <w:tab w:val="left" w:pos="850"/>
        </w:tabs>
        <w:ind w:left="2835" w:hanging="2835"/>
        <w:jc w:val="both"/>
        <w:rPr>
          <w:b/>
          <w:szCs w:val="24"/>
          <w:lang w:eastAsia="en-US"/>
        </w:rPr>
      </w:pPr>
    </w:p>
    <w:p w14:paraId="1751F455" w14:textId="7A74A9CB" w:rsidR="00E51CDD" w:rsidRPr="00E51CDD" w:rsidRDefault="00E51CDD" w:rsidP="00E51CDD">
      <w:pPr>
        <w:widowControl w:val="0"/>
        <w:jc w:val="both"/>
        <w:rPr>
          <w:lang w:eastAsia="en-US"/>
        </w:rPr>
      </w:pPr>
      <w:r w:rsidRPr="00E51CDD">
        <w:rPr>
          <w:bCs/>
          <w:szCs w:val="24"/>
          <w:lang w:eastAsia="en-US"/>
        </w:rPr>
        <w:t xml:space="preserve">After 14 days of exposure, mortality rates ranging from 2.5% to 52.5% were observed in the test item treatments compared to </w:t>
      </w:r>
      <w:r w:rsidRPr="00E51CDD">
        <w:rPr>
          <w:bCs/>
          <w:szCs w:val="24"/>
          <w:lang w:eastAsia="zh-TW"/>
        </w:rPr>
        <w:t>1.3</w:t>
      </w:r>
      <w:r w:rsidRPr="00E51CDD">
        <w:rPr>
          <w:bCs/>
          <w:szCs w:val="24"/>
          <w:lang w:eastAsia="en-US"/>
        </w:rPr>
        <w:t xml:space="preserve">% in the control. </w:t>
      </w:r>
      <w:r w:rsidRPr="00E51CDD">
        <w:rPr>
          <w:szCs w:val="24"/>
        </w:rPr>
        <w:t>Statistically</w:t>
      </w:r>
      <w:r w:rsidRPr="00E51CDD">
        <w:rPr>
          <w:lang w:eastAsia="en-US"/>
        </w:rPr>
        <w:t xml:space="preserve"> significant differences on mortality were observed at concentrations of 781.3, 1250mand 2000 mg BAS 736 00 F/kg dry soil (Multiple Sequentially-rejective Fisher Test after Bonferroni-Holm, α = 0.05, one-sided greater). </w:t>
      </w:r>
      <w:r w:rsidRPr="00E51CDD">
        <w:rPr>
          <w:bCs/>
          <w:szCs w:val="24"/>
          <w:lang w:eastAsia="en-US"/>
        </w:rPr>
        <w:t>Differences in the behavior of the mites in the control and the test item treatments groups were not observed.</w:t>
      </w:r>
      <w:r w:rsidRPr="00E51CDD">
        <w:rPr>
          <w:lang w:eastAsia="en-US"/>
        </w:rPr>
        <w:t xml:space="preserve"> </w:t>
      </w:r>
      <w:r w:rsidRPr="00E51CDD">
        <w:rPr>
          <w:bCs/>
          <w:szCs w:val="24"/>
          <w:lang w:eastAsia="en-US"/>
        </w:rPr>
        <w:t xml:space="preserve">In the control, a mean of 332.5 juveniles was counted. In the treatment groups, mean numbers of juveniles between 9.5 and 317.0 were counted. This is corresponding to a reproduction relative to the control ranging from 3% and 95%. </w:t>
      </w:r>
      <w:r w:rsidRPr="00E51CDD">
        <w:rPr>
          <w:lang w:eastAsia="en-US"/>
        </w:rPr>
        <w:t xml:space="preserve">Statistically significant reductions in the number of juveniles were observed in the test concentrations of 305.2 mg BAS 736 00 F/kg dry soil and above </w:t>
      </w:r>
      <w:r w:rsidRPr="00E51CDD">
        <w:rPr>
          <w:bCs/>
          <w:szCs w:val="24"/>
          <w:lang w:eastAsia="en-US"/>
        </w:rPr>
        <w:t xml:space="preserve">(Welch-t-test after Bonferroni-Holm, α = 0.05, one-sided smaller). </w:t>
      </w:r>
      <w:r w:rsidRPr="00E51CDD">
        <w:rPr>
          <w:szCs w:val="24"/>
          <w:lang w:eastAsia="en-US"/>
        </w:rPr>
        <w:t xml:space="preserve">The results are summarized in </w:t>
      </w:r>
      <w:r w:rsidRPr="00B74DCE">
        <w:rPr>
          <w:szCs w:val="24"/>
          <w:lang w:eastAsia="en-US"/>
        </w:rPr>
        <w:fldChar w:fldCharType="begin"/>
      </w:r>
      <w:r w:rsidRPr="00B74DCE">
        <w:rPr>
          <w:szCs w:val="24"/>
          <w:lang w:eastAsia="en-US"/>
        </w:rPr>
        <w:instrText xml:space="preserve"> REF _Ref83889912 \h </w:instrText>
      </w:r>
      <w:r w:rsidR="00B74DCE" w:rsidRPr="00B74DCE">
        <w:rPr>
          <w:szCs w:val="24"/>
          <w:lang w:eastAsia="en-US"/>
        </w:rPr>
        <w:instrText xml:space="preserve"> \* MERGEFORMAT </w:instrText>
      </w:r>
      <w:r w:rsidRPr="00B74DCE">
        <w:rPr>
          <w:szCs w:val="24"/>
          <w:lang w:eastAsia="en-US"/>
        </w:rPr>
      </w:r>
      <w:r w:rsidRPr="00B74DCE">
        <w:rPr>
          <w:szCs w:val="24"/>
          <w:lang w:eastAsia="en-US"/>
        </w:rPr>
        <w:fldChar w:fldCharType="separate"/>
      </w:r>
      <w:r w:rsidR="00662F32" w:rsidRPr="00662F32">
        <w:t xml:space="preserve">Table A </w:t>
      </w:r>
      <w:r w:rsidR="00662F32" w:rsidRPr="00662F32">
        <w:rPr>
          <w:noProof/>
        </w:rPr>
        <w:t>36</w:t>
      </w:r>
      <w:r w:rsidRPr="00B74DCE">
        <w:rPr>
          <w:szCs w:val="24"/>
          <w:lang w:eastAsia="en-US"/>
        </w:rPr>
        <w:fldChar w:fldCharType="end"/>
      </w:r>
      <w:r w:rsidRPr="00B74DCE">
        <w:rPr>
          <w:szCs w:val="24"/>
          <w:lang w:eastAsia="en-US"/>
        </w:rPr>
        <w:t>.</w:t>
      </w:r>
    </w:p>
    <w:p w14:paraId="3E171794" w14:textId="77777777" w:rsidR="00E51CDD" w:rsidRPr="00E51CDD" w:rsidRDefault="00E51CDD" w:rsidP="00E51CDD">
      <w:pPr>
        <w:widowControl w:val="0"/>
        <w:tabs>
          <w:tab w:val="left" w:pos="720"/>
        </w:tabs>
        <w:rPr>
          <w:szCs w:val="24"/>
          <w:lang w:eastAsia="en-US"/>
        </w:rPr>
      </w:pPr>
    </w:p>
    <w:p w14:paraId="3854A50D" w14:textId="683F048F" w:rsidR="00B74DCE" w:rsidRDefault="00E51CDD" w:rsidP="00E51CDD">
      <w:pPr>
        <w:rPr>
          <w:b/>
          <w:bCs/>
        </w:rPr>
      </w:pPr>
      <w:bookmarkStart w:id="1275" w:name="_Ref83889912"/>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36</w:t>
      </w:r>
      <w:r w:rsidRPr="00E51CDD">
        <w:rPr>
          <w:b/>
          <w:bCs/>
        </w:rPr>
        <w:fldChar w:fldCharType="end"/>
      </w:r>
      <w:bookmarkEnd w:id="1275"/>
      <w:r w:rsidRPr="00E51CDD">
        <w:rPr>
          <w:b/>
          <w:bCs/>
        </w:rPr>
        <w:t>:</w:t>
      </w:r>
      <w:r w:rsidRPr="00E51CDD">
        <w:rPr>
          <w:b/>
          <w:bCs/>
        </w:rPr>
        <w:tab/>
        <w:t>Effects of BAS 736 00 F on soil mite (</w:t>
      </w:r>
      <w:r w:rsidRPr="00E51CDD">
        <w:rPr>
          <w:b/>
          <w:bCs/>
          <w:i/>
        </w:rPr>
        <w:t>Hypoaspis aculeifer</w:t>
      </w:r>
      <w:r w:rsidRPr="00E51CDD">
        <w:rPr>
          <w:b/>
          <w:bCs/>
        </w:rPr>
        <w:t xml:space="preserve">) in a 14-day reproduction </w:t>
      </w:r>
    </w:p>
    <w:p w14:paraId="16F0532C" w14:textId="35D14519" w:rsidR="00E51CDD" w:rsidRPr="00E51CDD" w:rsidRDefault="00E51CDD" w:rsidP="00B74DCE">
      <w:pPr>
        <w:ind w:left="708" w:firstLine="708"/>
      </w:pPr>
      <w:r w:rsidRPr="00E51CDD">
        <w:rPr>
          <w:b/>
          <w:bCs/>
        </w:rPr>
        <w:t>study</w:t>
      </w:r>
    </w:p>
    <w:tbl>
      <w:tblPr>
        <w:tblW w:w="4960" w:type="pct"/>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0"/>
        <w:gridCol w:w="897"/>
        <w:gridCol w:w="719"/>
        <w:gridCol w:w="729"/>
        <w:gridCol w:w="719"/>
        <w:gridCol w:w="816"/>
        <w:gridCol w:w="810"/>
        <w:gridCol w:w="812"/>
        <w:gridCol w:w="717"/>
        <w:gridCol w:w="810"/>
      </w:tblGrid>
      <w:tr w:rsidR="00E51CDD" w:rsidRPr="00E51CDD" w14:paraId="373D05D4" w14:textId="77777777" w:rsidTr="009938D9">
        <w:trPr>
          <w:trHeight w:val="50"/>
          <w:tblHeader/>
        </w:trPr>
        <w:tc>
          <w:tcPr>
            <w:tcW w:w="1208" w:type="pct"/>
            <w:vAlign w:val="center"/>
          </w:tcPr>
          <w:p w14:paraId="1CB380A0" w14:textId="77777777" w:rsidR="00E51CDD" w:rsidRPr="00E51CDD" w:rsidRDefault="00E51CDD" w:rsidP="00E51CDD">
            <w:pPr>
              <w:widowControl w:val="0"/>
              <w:overflowPunct w:val="0"/>
              <w:autoSpaceDE w:val="0"/>
              <w:autoSpaceDN w:val="0"/>
              <w:adjustRightInd w:val="0"/>
              <w:spacing w:before="40" w:after="40"/>
              <w:textAlignment w:val="baseline"/>
              <w:rPr>
                <w:b/>
                <w:sz w:val="20"/>
                <w:szCs w:val="20"/>
                <w:lang w:eastAsia="en-US"/>
              </w:rPr>
            </w:pPr>
            <w:r w:rsidRPr="00E51CDD">
              <w:rPr>
                <w:b/>
                <w:sz w:val="20"/>
                <w:szCs w:val="20"/>
                <w:lang w:eastAsia="en-US"/>
              </w:rPr>
              <w:t>BAS 736 00 F</w:t>
            </w:r>
            <w:r w:rsidRPr="00E51CDD">
              <w:rPr>
                <w:b/>
                <w:sz w:val="20"/>
                <w:szCs w:val="20"/>
                <w:lang w:eastAsia="en-US"/>
              </w:rPr>
              <w:br/>
              <w:t>[mg/kg dry soil</w:t>
            </w:r>
            <w:r w:rsidRPr="00E51CDD">
              <w:rPr>
                <w:b/>
                <w:sz w:val="20"/>
                <w:szCs w:val="20"/>
                <w:lang w:eastAsia="en-US"/>
              </w:rPr>
              <w:sym w:font="Symbol" w:char="F05D"/>
            </w:r>
          </w:p>
        </w:tc>
        <w:tc>
          <w:tcPr>
            <w:tcW w:w="484" w:type="pct"/>
            <w:vAlign w:val="center"/>
          </w:tcPr>
          <w:p w14:paraId="2D5A3219"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Control</w:t>
            </w:r>
          </w:p>
        </w:tc>
        <w:tc>
          <w:tcPr>
            <w:tcW w:w="388" w:type="pct"/>
            <w:vAlign w:val="center"/>
          </w:tcPr>
          <w:p w14:paraId="7840B6DB"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74.51</w:t>
            </w:r>
          </w:p>
        </w:tc>
        <w:tc>
          <w:tcPr>
            <w:tcW w:w="393" w:type="pct"/>
            <w:vAlign w:val="center"/>
          </w:tcPr>
          <w:p w14:paraId="65B3DE3A"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119.2</w:t>
            </w:r>
          </w:p>
        </w:tc>
        <w:tc>
          <w:tcPr>
            <w:tcW w:w="388" w:type="pct"/>
            <w:vAlign w:val="center"/>
          </w:tcPr>
          <w:p w14:paraId="40613BD9"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190.7</w:t>
            </w:r>
          </w:p>
        </w:tc>
        <w:tc>
          <w:tcPr>
            <w:tcW w:w="440" w:type="pct"/>
            <w:vAlign w:val="center"/>
          </w:tcPr>
          <w:p w14:paraId="6D41D96F"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305.2</w:t>
            </w:r>
          </w:p>
        </w:tc>
        <w:tc>
          <w:tcPr>
            <w:tcW w:w="437" w:type="pct"/>
            <w:vAlign w:val="center"/>
          </w:tcPr>
          <w:p w14:paraId="123F5CDB"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488.3</w:t>
            </w:r>
          </w:p>
        </w:tc>
        <w:tc>
          <w:tcPr>
            <w:tcW w:w="438" w:type="pct"/>
            <w:vAlign w:val="center"/>
          </w:tcPr>
          <w:p w14:paraId="23D9F5D5"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781.3</w:t>
            </w:r>
          </w:p>
        </w:tc>
        <w:tc>
          <w:tcPr>
            <w:tcW w:w="387" w:type="pct"/>
            <w:vAlign w:val="center"/>
          </w:tcPr>
          <w:p w14:paraId="7BB8AFA9"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1250</w:t>
            </w:r>
          </w:p>
        </w:tc>
        <w:tc>
          <w:tcPr>
            <w:tcW w:w="437" w:type="pct"/>
            <w:vAlign w:val="center"/>
          </w:tcPr>
          <w:p w14:paraId="7737EAF1" w14:textId="77777777" w:rsidR="00E51CDD" w:rsidRPr="00E51CDD" w:rsidRDefault="00E51CDD" w:rsidP="00E51CDD">
            <w:pPr>
              <w:widowControl w:val="0"/>
              <w:overflowPunct w:val="0"/>
              <w:autoSpaceDE w:val="0"/>
              <w:autoSpaceDN w:val="0"/>
              <w:adjustRightInd w:val="0"/>
              <w:spacing w:before="40" w:after="40"/>
              <w:jc w:val="center"/>
              <w:textAlignment w:val="baseline"/>
              <w:rPr>
                <w:b/>
                <w:sz w:val="20"/>
                <w:szCs w:val="20"/>
                <w:lang w:eastAsia="en-US"/>
              </w:rPr>
            </w:pPr>
            <w:r w:rsidRPr="00E51CDD">
              <w:rPr>
                <w:b/>
                <w:sz w:val="20"/>
                <w:szCs w:val="20"/>
                <w:lang w:eastAsia="en-US"/>
              </w:rPr>
              <w:t>2000</w:t>
            </w:r>
          </w:p>
        </w:tc>
      </w:tr>
      <w:tr w:rsidR="00E51CDD" w:rsidRPr="00E51CDD" w14:paraId="53EAEEAE" w14:textId="77777777" w:rsidTr="009938D9">
        <w:trPr>
          <w:trHeight w:val="340"/>
        </w:trPr>
        <w:tc>
          <w:tcPr>
            <w:tcW w:w="1208" w:type="pct"/>
            <w:vAlign w:val="center"/>
          </w:tcPr>
          <w:p w14:paraId="3B156D9C"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Mortality (day 14) [%]</w:t>
            </w:r>
          </w:p>
        </w:tc>
        <w:tc>
          <w:tcPr>
            <w:tcW w:w="484" w:type="pct"/>
            <w:vAlign w:val="center"/>
          </w:tcPr>
          <w:p w14:paraId="401ABA1C"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1.3</w:t>
            </w:r>
          </w:p>
        </w:tc>
        <w:tc>
          <w:tcPr>
            <w:tcW w:w="388" w:type="pct"/>
            <w:vAlign w:val="center"/>
          </w:tcPr>
          <w:p w14:paraId="5C62A61A"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5.0</w:t>
            </w:r>
          </w:p>
        </w:tc>
        <w:tc>
          <w:tcPr>
            <w:tcW w:w="393" w:type="pct"/>
            <w:vAlign w:val="center"/>
          </w:tcPr>
          <w:p w14:paraId="4F8B1CCB"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5.0</w:t>
            </w:r>
          </w:p>
        </w:tc>
        <w:tc>
          <w:tcPr>
            <w:tcW w:w="388" w:type="pct"/>
            <w:vAlign w:val="center"/>
          </w:tcPr>
          <w:p w14:paraId="26DC806C"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5.0</w:t>
            </w:r>
          </w:p>
        </w:tc>
        <w:tc>
          <w:tcPr>
            <w:tcW w:w="440" w:type="pct"/>
            <w:vAlign w:val="center"/>
          </w:tcPr>
          <w:p w14:paraId="74377F8E"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2.5</w:t>
            </w:r>
          </w:p>
        </w:tc>
        <w:tc>
          <w:tcPr>
            <w:tcW w:w="437" w:type="pct"/>
            <w:vAlign w:val="center"/>
          </w:tcPr>
          <w:p w14:paraId="10256000"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12.5</w:t>
            </w:r>
          </w:p>
        </w:tc>
        <w:tc>
          <w:tcPr>
            <w:tcW w:w="438" w:type="pct"/>
            <w:vAlign w:val="center"/>
          </w:tcPr>
          <w:p w14:paraId="04E0ABC2"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15.0*</w:t>
            </w:r>
          </w:p>
        </w:tc>
        <w:tc>
          <w:tcPr>
            <w:tcW w:w="387" w:type="pct"/>
            <w:vAlign w:val="center"/>
          </w:tcPr>
          <w:p w14:paraId="3A29D717"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17.5*</w:t>
            </w:r>
          </w:p>
        </w:tc>
        <w:tc>
          <w:tcPr>
            <w:tcW w:w="437" w:type="pct"/>
            <w:vAlign w:val="center"/>
          </w:tcPr>
          <w:p w14:paraId="722D6E3C"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52.5*</w:t>
            </w:r>
          </w:p>
        </w:tc>
      </w:tr>
      <w:tr w:rsidR="00E51CDD" w:rsidRPr="00E51CDD" w14:paraId="6A254F83" w14:textId="77777777" w:rsidTr="009938D9">
        <w:trPr>
          <w:trHeight w:val="340"/>
        </w:trPr>
        <w:tc>
          <w:tcPr>
            <w:tcW w:w="1208" w:type="pct"/>
            <w:vAlign w:val="center"/>
          </w:tcPr>
          <w:p w14:paraId="76D35EDA"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No. of juveniles (day 14)</w:t>
            </w:r>
          </w:p>
        </w:tc>
        <w:tc>
          <w:tcPr>
            <w:tcW w:w="484" w:type="pct"/>
            <w:vAlign w:val="center"/>
          </w:tcPr>
          <w:p w14:paraId="25EAC2A4"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332.5</w:t>
            </w:r>
          </w:p>
        </w:tc>
        <w:tc>
          <w:tcPr>
            <w:tcW w:w="388" w:type="pct"/>
            <w:vAlign w:val="center"/>
          </w:tcPr>
          <w:p w14:paraId="3A39C15B"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300.5</w:t>
            </w:r>
          </w:p>
        </w:tc>
        <w:tc>
          <w:tcPr>
            <w:tcW w:w="393" w:type="pct"/>
            <w:vAlign w:val="center"/>
          </w:tcPr>
          <w:p w14:paraId="54BB873D"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317.0</w:t>
            </w:r>
          </w:p>
        </w:tc>
        <w:tc>
          <w:tcPr>
            <w:tcW w:w="388" w:type="pct"/>
            <w:vAlign w:val="center"/>
          </w:tcPr>
          <w:p w14:paraId="39401E6E"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307.8</w:t>
            </w:r>
          </w:p>
        </w:tc>
        <w:tc>
          <w:tcPr>
            <w:tcW w:w="440" w:type="pct"/>
            <w:vAlign w:val="center"/>
          </w:tcPr>
          <w:p w14:paraId="6BDC31AF"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298.3*</w:t>
            </w:r>
          </w:p>
        </w:tc>
        <w:tc>
          <w:tcPr>
            <w:tcW w:w="437" w:type="pct"/>
            <w:vAlign w:val="center"/>
          </w:tcPr>
          <w:p w14:paraId="796AEA9A"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278.8*</w:t>
            </w:r>
          </w:p>
        </w:tc>
        <w:tc>
          <w:tcPr>
            <w:tcW w:w="438" w:type="pct"/>
            <w:vAlign w:val="center"/>
          </w:tcPr>
          <w:p w14:paraId="15B702AB"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239.8*</w:t>
            </w:r>
          </w:p>
        </w:tc>
        <w:tc>
          <w:tcPr>
            <w:tcW w:w="387" w:type="pct"/>
            <w:vAlign w:val="center"/>
          </w:tcPr>
          <w:p w14:paraId="28EE232E"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37.8*</w:t>
            </w:r>
          </w:p>
        </w:tc>
        <w:tc>
          <w:tcPr>
            <w:tcW w:w="437" w:type="pct"/>
            <w:vAlign w:val="center"/>
          </w:tcPr>
          <w:p w14:paraId="52C85302"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9.5*</w:t>
            </w:r>
          </w:p>
        </w:tc>
      </w:tr>
      <w:tr w:rsidR="00E51CDD" w:rsidRPr="00E51CDD" w14:paraId="70BB55EC" w14:textId="77777777" w:rsidTr="009938D9">
        <w:trPr>
          <w:trHeight w:val="70"/>
        </w:trPr>
        <w:tc>
          <w:tcPr>
            <w:tcW w:w="1208" w:type="pct"/>
            <w:vAlign w:val="center"/>
          </w:tcPr>
          <w:p w14:paraId="346841FC"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Coefficient of variation [%]</w:t>
            </w:r>
          </w:p>
        </w:tc>
        <w:tc>
          <w:tcPr>
            <w:tcW w:w="484" w:type="pct"/>
            <w:vAlign w:val="center"/>
          </w:tcPr>
          <w:p w14:paraId="1EB841E2"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2.5</w:t>
            </w:r>
          </w:p>
        </w:tc>
        <w:tc>
          <w:tcPr>
            <w:tcW w:w="388" w:type="pct"/>
            <w:vAlign w:val="center"/>
          </w:tcPr>
          <w:p w14:paraId="1DC42CB5"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6.6</w:t>
            </w:r>
          </w:p>
        </w:tc>
        <w:tc>
          <w:tcPr>
            <w:tcW w:w="393" w:type="pct"/>
            <w:vAlign w:val="center"/>
          </w:tcPr>
          <w:p w14:paraId="09F3D8AD"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4.8</w:t>
            </w:r>
          </w:p>
        </w:tc>
        <w:tc>
          <w:tcPr>
            <w:tcW w:w="388" w:type="pct"/>
            <w:vAlign w:val="center"/>
          </w:tcPr>
          <w:p w14:paraId="6ACC0BCF"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10.8</w:t>
            </w:r>
          </w:p>
        </w:tc>
        <w:tc>
          <w:tcPr>
            <w:tcW w:w="440" w:type="pct"/>
            <w:vAlign w:val="center"/>
          </w:tcPr>
          <w:p w14:paraId="30EDEF6C"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2.6</w:t>
            </w:r>
          </w:p>
        </w:tc>
        <w:tc>
          <w:tcPr>
            <w:tcW w:w="437" w:type="pct"/>
            <w:vAlign w:val="center"/>
          </w:tcPr>
          <w:p w14:paraId="3306D961"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7.5</w:t>
            </w:r>
          </w:p>
        </w:tc>
        <w:tc>
          <w:tcPr>
            <w:tcW w:w="438" w:type="pct"/>
            <w:vAlign w:val="center"/>
          </w:tcPr>
          <w:p w14:paraId="28CE1B3B"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16.2</w:t>
            </w:r>
          </w:p>
        </w:tc>
        <w:tc>
          <w:tcPr>
            <w:tcW w:w="387" w:type="pct"/>
            <w:vAlign w:val="center"/>
          </w:tcPr>
          <w:p w14:paraId="05F77ABB"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30.9</w:t>
            </w:r>
          </w:p>
        </w:tc>
        <w:tc>
          <w:tcPr>
            <w:tcW w:w="437" w:type="pct"/>
            <w:vAlign w:val="center"/>
          </w:tcPr>
          <w:p w14:paraId="022C18AD"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79.0</w:t>
            </w:r>
          </w:p>
        </w:tc>
      </w:tr>
      <w:tr w:rsidR="00E51CDD" w:rsidRPr="00E51CDD" w14:paraId="010D68A0" w14:textId="77777777" w:rsidTr="009938D9">
        <w:trPr>
          <w:trHeight w:val="70"/>
        </w:trPr>
        <w:tc>
          <w:tcPr>
            <w:tcW w:w="1208" w:type="pct"/>
            <w:vAlign w:val="center"/>
          </w:tcPr>
          <w:p w14:paraId="5DDC3DF7"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highlight w:val="yellow"/>
                <w:lang w:eastAsia="en-US"/>
              </w:rPr>
            </w:pPr>
            <w:r w:rsidRPr="00E51CDD">
              <w:rPr>
                <w:sz w:val="20"/>
                <w:szCs w:val="20"/>
                <w:lang w:eastAsia="en-US"/>
              </w:rPr>
              <w:t>Reproduction [% of control] (day 14)</w:t>
            </w:r>
          </w:p>
        </w:tc>
        <w:tc>
          <w:tcPr>
            <w:tcW w:w="484" w:type="pct"/>
            <w:vAlign w:val="center"/>
          </w:tcPr>
          <w:p w14:paraId="6542079E"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100</w:t>
            </w:r>
          </w:p>
        </w:tc>
        <w:tc>
          <w:tcPr>
            <w:tcW w:w="388" w:type="pct"/>
            <w:vAlign w:val="center"/>
          </w:tcPr>
          <w:p w14:paraId="312B1EE7"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90</w:t>
            </w:r>
          </w:p>
        </w:tc>
        <w:tc>
          <w:tcPr>
            <w:tcW w:w="393" w:type="pct"/>
            <w:vAlign w:val="center"/>
          </w:tcPr>
          <w:p w14:paraId="5E4D49F9"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95</w:t>
            </w:r>
          </w:p>
        </w:tc>
        <w:tc>
          <w:tcPr>
            <w:tcW w:w="388" w:type="pct"/>
            <w:vAlign w:val="center"/>
          </w:tcPr>
          <w:p w14:paraId="561BCF4A"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93</w:t>
            </w:r>
          </w:p>
        </w:tc>
        <w:tc>
          <w:tcPr>
            <w:tcW w:w="440" w:type="pct"/>
            <w:vAlign w:val="center"/>
          </w:tcPr>
          <w:p w14:paraId="03EC3110"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90</w:t>
            </w:r>
          </w:p>
        </w:tc>
        <w:tc>
          <w:tcPr>
            <w:tcW w:w="437" w:type="pct"/>
            <w:vAlign w:val="center"/>
          </w:tcPr>
          <w:p w14:paraId="1722EADD"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84</w:t>
            </w:r>
          </w:p>
        </w:tc>
        <w:tc>
          <w:tcPr>
            <w:tcW w:w="438" w:type="pct"/>
            <w:vAlign w:val="center"/>
          </w:tcPr>
          <w:p w14:paraId="3198CEAB"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72</w:t>
            </w:r>
          </w:p>
        </w:tc>
        <w:tc>
          <w:tcPr>
            <w:tcW w:w="387" w:type="pct"/>
            <w:vAlign w:val="center"/>
          </w:tcPr>
          <w:p w14:paraId="4E3D3A4E"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11</w:t>
            </w:r>
          </w:p>
        </w:tc>
        <w:tc>
          <w:tcPr>
            <w:tcW w:w="437" w:type="pct"/>
            <w:vAlign w:val="center"/>
          </w:tcPr>
          <w:p w14:paraId="1DF2A76B"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3</w:t>
            </w:r>
          </w:p>
        </w:tc>
      </w:tr>
      <w:tr w:rsidR="00E51CDD" w:rsidRPr="00E51CDD" w14:paraId="669A2753" w14:textId="77777777" w:rsidTr="009938D9">
        <w:trPr>
          <w:cantSplit/>
          <w:trHeight w:val="340"/>
        </w:trPr>
        <w:tc>
          <w:tcPr>
            <w:tcW w:w="1208" w:type="pct"/>
            <w:vAlign w:val="center"/>
          </w:tcPr>
          <w:p w14:paraId="7A7370CD" w14:textId="77777777" w:rsidR="00E51CDD" w:rsidRPr="00E51CDD" w:rsidRDefault="00E51CDD" w:rsidP="00E51CDD">
            <w:pPr>
              <w:widowControl w:val="0"/>
              <w:overflowPunct w:val="0"/>
              <w:autoSpaceDE w:val="0"/>
              <w:autoSpaceDN w:val="0"/>
              <w:adjustRightInd w:val="0"/>
              <w:spacing w:before="40" w:after="40"/>
              <w:textAlignment w:val="baseline"/>
              <w:rPr>
                <w:b/>
                <w:bCs/>
                <w:sz w:val="20"/>
                <w:szCs w:val="20"/>
                <w:highlight w:val="yellow"/>
                <w:lang w:eastAsia="en-US"/>
              </w:rPr>
            </w:pPr>
          </w:p>
        </w:tc>
        <w:tc>
          <w:tcPr>
            <w:tcW w:w="3792" w:type="pct"/>
            <w:gridSpan w:val="9"/>
            <w:vAlign w:val="center"/>
          </w:tcPr>
          <w:p w14:paraId="39BB6EE5" w14:textId="77777777" w:rsidR="00E51CDD" w:rsidRPr="00E51CDD" w:rsidRDefault="00E51CDD" w:rsidP="00E51CDD">
            <w:pPr>
              <w:widowControl w:val="0"/>
              <w:overflowPunct w:val="0"/>
              <w:autoSpaceDE w:val="0"/>
              <w:autoSpaceDN w:val="0"/>
              <w:adjustRightInd w:val="0"/>
              <w:spacing w:before="40" w:after="40"/>
              <w:jc w:val="center"/>
              <w:textAlignment w:val="baseline"/>
              <w:rPr>
                <w:b/>
                <w:bCs/>
                <w:sz w:val="20"/>
                <w:szCs w:val="20"/>
                <w:lang w:eastAsia="en-US"/>
              </w:rPr>
            </w:pPr>
            <w:r w:rsidRPr="00E51CDD">
              <w:rPr>
                <w:b/>
                <w:bCs/>
                <w:sz w:val="20"/>
                <w:szCs w:val="20"/>
                <w:lang w:eastAsia="en-US"/>
              </w:rPr>
              <w:t>Endpoints [mg </w:t>
            </w:r>
            <w:r w:rsidRPr="00E51CDD">
              <w:rPr>
                <w:b/>
                <w:sz w:val="20"/>
                <w:szCs w:val="20"/>
                <w:lang w:eastAsia="en-US"/>
              </w:rPr>
              <w:t>BAS 736 00 F</w:t>
            </w:r>
            <w:r w:rsidRPr="00E51CDD">
              <w:rPr>
                <w:b/>
                <w:bCs/>
                <w:sz w:val="20"/>
                <w:szCs w:val="20"/>
                <w:lang w:eastAsia="en-US"/>
              </w:rPr>
              <w:t>/kg dry soil]</w:t>
            </w:r>
          </w:p>
        </w:tc>
      </w:tr>
      <w:tr w:rsidR="00E51CDD" w:rsidRPr="00E51CDD" w14:paraId="6FA071C9" w14:textId="77777777" w:rsidTr="009938D9">
        <w:trPr>
          <w:cantSplit/>
          <w:trHeight w:val="340"/>
        </w:trPr>
        <w:tc>
          <w:tcPr>
            <w:tcW w:w="1208" w:type="pct"/>
            <w:vAlign w:val="center"/>
          </w:tcPr>
          <w:p w14:paraId="42E376B7"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NOEC</w:t>
            </w:r>
            <w:r w:rsidRPr="00E51CDD">
              <w:rPr>
                <w:sz w:val="20"/>
                <w:szCs w:val="20"/>
                <w:vertAlign w:val="subscript"/>
                <w:lang w:eastAsia="en-US"/>
              </w:rPr>
              <w:t>mortality</w:t>
            </w:r>
          </w:p>
        </w:tc>
        <w:tc>
          <w:tcPr>
            <w:tcW w:w="3792" w:type="pct"/>
            <w:gridSpan w:val="9"/>
          </w:tcPr>
          <w:p w14:paraId="2B4E22F9"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488.3</w:t>
            </w:r>
          </w:p>
        </w:tc>
      </w:tr>
      <w:tr w:rsidR="00E51CDD" w:rsidRPr="00E51CDD" w14:paraId="57B0AEF2" w14:textId="77777777" w:rsidTr="009938D9">
        <w:trPr>
          <w:cantSplit/>
          <w:trHeight w:val="340"/>
        </w:trPr>
        <w:tc>
          <w:tcPr>
            <w:tcW w:w="1208" w:type="pct"/>
            <w:vAlign w:val="center"/>
          </w:tcPr>
          <w:p w14:paraId="793A2939"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NOEC</w:t>
            </w:r>
            <w:r w:rsidRPr="00E51CDD">
              <w:rPr>
                <w:sz w:val="20"/>
                <w:szCs w:val="20"/>
                <w:vertAlign w:val="subscript"/>
                <w:lang w:eastAsia="en-US"/>
              </w:rPr>
              <w:t>reproduction</w:t>
            </w:r>
          </w:p>
        </w:tc>
        <w:tc>
          <w:tcPr>
            <w:tcW w:w="3792" w:type="pct"/>
            <w:gridSpan w:val="9"/>
          </w:tcPr>
          <w:p w14:paraId="474C5DA0"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sz w:val="20"/>
                <w:szCs w:val="20"/>
                <w:lang w:eastAsia="en-US"/>
              </w:rPr>
              <w:t>190.7</w:t>
            </w:r>
          </w:p>
        </w:tc>
      </w:tr>
      <w:tr w:rsidR="00E51CDD" w:rsidRPr="00E51CDD" w14:paraId="05E36339" w14:textId="77777777" w:rsidTr="009938D9">
        <w:trPr>
          <w:cantSplit/>
          <w:trHeight w:val="340"/>
        </w:trPr>
        <w:tc>
          <w:tcPr>
            <w:tcW w:w="1208" w:type="pct"/>
            <w:vAlign w:val="center"/>
          </w:tcPr>
          <w:p w14:paraId="3034625E"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vertAlign w:val="superscript"/>
                <w:lang w:eastAsia="en-US"/>
              </w:rPr>
            </w:pPr>
            <w:r w:rsidRPr="00E51CDD">
              <w:rPr>
                <w:sz w:val="20"/>
                <w:szCs w:val="20"/>
                <w:lang w:eastAsia="en-US"/>
              </w:rPr>
              <w:t>LC</w:t>
            </w:r>
            <w:r w:rsidRPr="00E51CDD">
              <w:rPr>
                <w:sz w:val="20"/>
                <w:szCs w:val="20"/>
                <w:vertAlign w:val="subscript"/>
                <w:lang w:eastAsia="en-US"/>
              </w:rPr>
              <w:t>50</w:t>
            </w:r>
            <w:r w:rsidRPr="00E51CDD">
              <w:rPr>
                <w:sz w:val="20"/>
                <w:szCs w:val="20"/>
                <w:lang w:eastAsia="en-US"/>
              </w:rPr>
              <w:t xml:space="preserve"> </w:t>
            </w:r>
            <w:r w:rsidRPr="00E51CDD">
              <w:rPr>
                <w:sz w:val="20"/>
                <w:szCs w:val="20"/>
                <w:vertAlign w:val="superscript"/>
                <w:lang w:eastAsia="en-US"/>
              </w:rPr>
              <w:t>1</w:t>
            </w:r>
          </w:p>
          <w:p w14:paraId="64AE6B91"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(95% confidence limits)</w:t>
            </w:r>
          </w:p>
        </w:tc>
        <w:tc>
          <w:tcPr>
            <w:tcW w:w="3792" w:type="pct"/>
            <w:gridSpan w:val="9"/>
          </w:tcPr>
          <w:p w14:paraId="12617517" w14:textId="77777777" w:rsidR="00E51CDD" w:rsidRPr="00E51CDD" w:rsidRDefault="00E51CDD" w:rsidP="00E51CDD">
            <w:pPr>
              <w:widowControl w:val="0"/>
              <w:overflowPunct w:val="0"/>
              <w:autoSpaceDE w:val="0"/>
              <w:autoSpaceDN w:val="0"/>
              <w:adjustRightInd w:val="0"/>
              <w:spacing w:before="40" w:after="40"/>
              <w:jc w:val="center"/>
              <w:textAlignment w:val="baseline"/>
              <w:rPr>
                <w:rFonts w:eastAsia="Calibri"/>
                <w:sz w:val="20"/>
                <w:szCs w:val="20"/>
                <w:lang w:eastAsia="en-US"/>
              </w:rPr>
            </w:pPr>
            <w:r w:rsidRPr="00E51CDD">
              <w:rPr>
                <w:rFonts w:eastAsia="Calibri"/>
                <w:sz w:val="20"/>
                <w:szCs w:val="20"/>
                <w:lang w:eastAsia="en-US"/>
              </w:rPr>
              <w:t>2470.9</w:t>
            </w:r>
          </w:p>
          <w:p w14:paraId="3FD5BDE9"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rFonts w:eastAsia="Calibri"/>
                <w:sz w:val="20"/>
                <w:szCs w:val="20"/>
                <w:lang w:eastAsia="en-US"/>
              </w:rPr>
              <w:t>(1669.6 - 3656.8)</w:t>
            </w:r>
          </w:p>
        </w:tc>
      </w:tr>
      <w:tr w:rsidR="00E51CDD" w:rsidRPr="00E51CDD" w14:paraId="7CE0727D" w14:textId="77777777" w:rsidTr="009938D9">
        <w:trPr>
          <w:cantSplit/>
          <w:trHeight w:val="340"/>
        </w:trPr>
        <w:tc>
          <w:tcPr>
            <w:tcW w:w="1208" w:type="pct"/>
            <w:vAlign w:val="center"/>
          </w:tcPr>
          <w:p w14:paraId="7F62316F"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vertAlign w:val="superscript"/>
                <w:lang w:eastAsia="en-US"/>
              </w:rPr>
            </w:pPr>
            <w:r w:rsidRPr="00E51CDD">
              <w:rPr>
                <w:sz w:val="20"/>
                <w:szCs w:val="20"/>
                <w:lang w:eastAsia="en-US"/>
              </w:rPr>
              <w:t>EC</w:t>
            </w:r>
            <w:r w:rsidRPr="00E51CDD">
              <w:rPr>
                <w:sz w:val="20"/>
                <w:szCs w:val="20"/>
                <w:vertAlign w:val="subscript"/>
                <w:lang w:eastAsia="en-US"/>
              </w:rPr>
              <w:t>10</w:t>
            </w:r>
            <w:r w:rsidRPr="00E51CDD">
              <w:rPr>
                <w:sz w:val="20"/>
                <w:szCs w:val="20"/>
                <w:lang w:eastAsia="en-US"/>
              </w:rPr>
              <w:t xml:space="preserve"> </w:t>
            </w:r>
            <w:r w:rsidRPr="00E51CDD">
              <w:rPr>
                <w:sz w:val="20"/>
                <w:szCs w:val="20"/>
                <w:vertAlign w:val="superscript"/>
                <w:lang w:eastAsia="en-US"/>
              </w:rPr>
              <w:t>2</w:t>
            </w:r>
          </w:p>
          <w:p w14:paraId="750F6436"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(95% confidence limits)</w:t>
            </w:r>
          </w:p>
        </w:tc>
        <w:tc>
          <w:tcPr>
            <w:tcW w:w="3792" w:type="pct"/>
            <w:gridSpan w:val="9"/>
          </w:tcPr>
          <w:p w14:paraId="6A84533E" w14:textId="77777777" w:rsidR="00E51CDD" w:rsidRPr="00E51CDD" w:rsidRDefault="00E51CDD" w:rsidP="00E51CDD">
            <w:pPr>
              <w:widowControl w:val="0"/>
              <w:overflowPunct w:val="0"/>
              <w:autoSpaceDE w:val="0"/>
              <w:autoSpaceDN w:val="0"/>
              <w:adjustRightInd w:val="0"/>
              <w:spacing w:before="40" w:after="40"/>
              <w:jc w:val="center"/>
              <w:textAlignment w:val="baseline"/>
              <w:rPr>
                <w:rFonts w:eastAsia="Calibri"/>
                <w:sz w:val="20"/>
                <w:szCs w:val="20"/>
                <w:lang w:eastAsia="en-US"/>
              </w:rPr>
            </w:pPr>
            <w:r w:rsidRPr="00E51CDD">
              <w:rPr>
                <w:rFonts w:eastAsia="Calibri"/>
                <w:sz w:val="20"/>
                <w:szCs w:val="20"/>
                <w:lang w:eastAsia="en-US"/>
              </w:rPr>
              <w:t>438.9</w:t>
            </w:r>
          </w:p>
          <w:p w14:paraId="717A5374"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rFonts w:eastAsia="Calibri"/>
                <w:sz w:val="20"/>
                <w:szCs w:val="20"/>
                <w:lang w:eastAsia="en-US"/>
              </w:rPr>
              <w:t>(438.2 - 439.6)</w:t>
            </w:r>
          </w:p>
        </w:tc>
      </w:tr>
      <w:tr w:rsidR="00E51CDD" w:rsidRPr="00E51CDD" w14:paraId="5EA5C3C4" w14:textId="77777777" w:rsidTr="009938D9">
        <w:trPr>
          <w:cantSplit/>
          <w:trHeight w:val="340"/>
        </w:trPr>
        <w:tc>
          <w:tcPr>
            <w:tcW w:w="1208" w:type="pct"/>
            <w:vAlign w:val="center"/>
          </w:tcPr>
          <w:p w14:paraId="49950E3C"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vertAlign w:val="superscript"/>
                <w:lang w:eastAsia="en-US"/>
              </w:rPr>
            </w:pPr>
            <w:r w:rsidRPr="00E51CDD">
              <w:rPr>
                <w:sz w:val="20"/>
                <w:szCs w:val="20"/>
                <w:lang w:eastAsia="en-US"/>
              </w:rPr>
              <w:t>EC</w:t>
            </w:r>
            <w:r w:rsidRPr="00E51CDD">
              <w:rPr>
                <w:sz w:val="20"/>
                <w:szCs w:val="20"/>
                <w:vertAlign w:val="subscript"/>
                <w:lang w:eastAsia="en-US"/>
              </w:rPr>
              <w:t>20</w:t>
            </w:r>
            <w:r w:rsidRPr="00E51CDD">
              <w:rPr>
                <w:sz w:val="20"/>
                <w:szCs w:val="20"/>
                <w:lang w:eastAsia="en-US"/>
              </w:rPr>
              <w:t xml:space="preserve"> </w:t>
            </w:r>
            <w:r w:rsidRPr="00E51CDD">
              <w:rPr>
                <w:sz w:val="20"/>
                <w:szCs w:val="20"/>
                <w:vertAlign w:val="superscript"/>
                <w:lang w:eastAsia="en-US"/>
              </w:rPr>
              <w:t>2</w:t>
            </w:r>
          </w:p>
          <w:p w14:paraId="764FF221"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lang w:eastAsia="en-US"/>
              </w:rPr>
            </w:pPr>
            <w:r w:rsidRPr="00E51CDD">
              <w:rPr>
                <w:sz w:val="20"/>
                <w:szCs w:val="20"/>
                <w:lang w:eastAsia="en-US"/>
              </w:rPr>
              <w:t>(95% confidence limits)</w:t>
            </w:r>
          </w:p>
        </w:tc>
        <w:tc>
          <w:tcPr>
            <w:tcW w:w="3792" w:type="pct"/>
            <w:gridSpan w:val="9"/>
          </w:tcPr>
          <w:p w14:paraId="7408D020" w14:textId="77777777" w:rsidR="00E51CDD" w:rsidRPr="00E51CDD" w:rsidRDefault="00E51CDD" w:rsidP="00E51CDD">
            <w:pPr>
              <w:widowControl w:val="0"/>
              <w:overflowPunct w:val="0"/>
              <w:autoSpaceDE w:val="0"/>
              <w:autoSpaceDN w:val="0"/>
              <w:adjustRightInd w:val="0"/>
              <w:spacing w:before="40" w:after="40"/>
              <w:jc w:val="center"/>
              <w:textAlignment w:val="baseline"/>
              <w:rPr>
                <w:rFonts w:eastAsia="Calibri"/>
                <w:sz w:val="20"/>
                <w:szCs w:val="20"/>
                <w:lang w:eastAsia="en-US"/>
              </w:rPr>
            </w:pPr>
            <w:r w:rsidRPr="00E51CDD">
              <w:rPr>
                <w:rFonts w:eastAsia="Calibri"/>
                <w:sz w:val="20"/>
                <w:szCs w:val="20"/>
                <w:lang w:eastAsia="en-US"/>
              </w:rPr>
              <w:t>539.8</w:t>
            </w:r>
          </w:p>
          <w:p w14:paraId="11254A72" w14:textId="77777777" w:rsidR="00E51CDD" w:rsidRPr="00E51CDD" w:rsidRDefault="00E51CDD" w:rsidP="00E51CDD">
            <w:pPr>
              <w:widowControl w:val="0"/>
              <w:overflowPunct w:val="0"/>
              <w:autoSpaceDE w:val="0"/>
              <w:autoSpaceDN w:val="0"/>
              <w:adjustRightInd w:val="0"/>
              <w:spacing w:before="40" w:after="40"/>
              <w:jc w:val="center"/>
              <w:textAlignment w:val="baseline"/>
              <w:rPr>
                <w:rFonts w:eastAsia="Calibri"/>
                <w:sz w:val="20"/>
                <w:szCs w:val="20"/>
                <w:lang w:eastAsia="en-US"/>
              </w:rPr>
            </w:pPr>
            <w:r w:rsidRPr="00E51CDD">
              <w:rPr>
                <w:rFonts w:eastAsia="Calibri"/>
                <w:sz w:val="20"/>
                <w:szCs w:val="20"/>
                <w:lang w:eastAsia="en-US"/>
              </w:rPr>
              <w:t>(538.9 - 540.6)</w:t>
            </w:r>
          </w:p>
        </w:tc>
      </w:tr>
      <w:tr w:rsidR="00E51CDD" w:rsidRPr="00E51CDD" w14:paraId="15D15F19" w14:textId="77777777" w:rsidTr="009938D9">
        <w:trPr>
          <w:cantSplit/>
          <w:trHeight w:val="340"/>
        </w:trPr>
        <w:tc>
          <w:tcPr>
            <w:tcW w:w="1208" w:type="pct"/>
            <w:vAlign w:val="center"/>
          </w:tcPr>
          <w:p w14:paraId="18541391" w14:textId="77777777" w:rsidR="00E51CDD" w:rsidRPr="00E51CDD" w:rsidRDefault="00E51CDD" w:rsidP="00E51CDD">
            <w:pPr>
              <w:widowControl w:val="0"/>
              <w:overflowPunct w:val="0"/>
              <w:autoSpaceDE w:val="0"/>
              <w:autoSpaceDN w:val="0"/>
              <w:adjustRightInd w:val="0"/>
              <w:spacing w:before="40" w:after="40"/>
              <w:textAlignment w:val="baseline"/>
              <w:rPr>
                <w:sz w:val="20"/>
                <w:szCs w:val="20"/>
                <w:vertAlign w:val="superscript"/>
                <w:lang w:eastAsia="en-US"/>
              </w:rPr>
            </w:pPr>
            <w:r w:rsidRPr="00E51CDD">
              <w:rPr>
                <w:sz w:val="20"/>
                <w:szCs w:val="20"/>
                <w:lang w:eastAsia="en-US"/>
              </w:rPr>
              <w:t>EC</w:t>
            </w:r>
            <w:r w:rsidRPr="00E51CDD">
              <w:rPr>
                <w:sz w:val="20"/>
                <w:szCs w:val="20"/>
                <w:vertAlign w:val="subscript"/>
                <w:lang w:eastAsia="en-US"/>
              </w:rPr>
              <w:t>50</w:t>
            </w:r>
            <w:r w:rsidRPr="00E51CDD">
              <w:rPr>
                <w:sz w:val="20"/>
                <w:szCs w:val="20"/>
                <w:lang w:eastAsia="en-US"/>
              </w:rPr>
              <w:t xml:space="preserve"> </w:t>
            </w:r>
            <w:r w:rsidRPr="00E51CDD">
              <w:rPr>
                <w:sz w:val="20"/>
                <w:szCs w:val="20"/>
                <w:vertAlign w:val="superscript"/>
                <w:lang w:eastAsia="en-US"/>
              </w:rPr>
              <w:t>2</w:t>
            </w:r>
          </w:p>
          <w:p w14:paraId="6C7F6196" w14:textId="77777777" w:rsidR="00E51CDD" w:rsidRPr="00E51CDD" w:rsidRDefault="00E51CDD" w:rsidP="00E51CDD">
            <w:pPr>
              <w:widowControl w:val="0"/>
              <w:overflowPunct w:val="0"/>
              <w:autoSpaceDE w:val="0"/>
              <w:autoSpaceDN w:val="0"/>
              <w:adjustRightInd w:val="0"/>
              <w:spacing w:before="40" w:after="40"/>
              <w:textAlignment w:val="baseline"/>
              <w:rPr>
                <w:sz w:val="18"/>
                <w:szCs w:val="18"/>
                <w:lang w:eastAsia="en-US"/>
              </w:rPr>
            </w:pPr>
            <w:r w:rsidRPr="00E51CDD">
              <w:rPr>
                <w:sz w:val="20"/>
                <w:szCs w:val="20"/>
                <w:lang w:eastAsia="en-US"/>
              </w:rPr>
              <w:t>(95% confidence limits)</w:t>
            </w:r>
          </w:p>
        </w:tc>
        <w:tc>
          <w:tcPr>
            <w:tcW w:w="3792" w:type="pct"/>
            <w:gridSpan w:val="9"/>
          </w:tcPr>
          <w:p w14:paraId="6DCFB55F" w14:textId="77777777" w:rsidR="00E51CDD" w:rsidRPr="00E51CDD" w:rsidRDefault="00E51CDD" w:rsidP="00E51CDD">
            <w:pPr>
              <w:widowControl w:val="0"/>
              <w:overflowPunct w:val="0"/>
              <w:autoSpaceDE w:val="0"/>
              <w:autoSpaceDN w:val="0"/>
              <w:adjustRightInd w:val="0"/>
              <w:spacing w:before="40" w:after="40"/>
              <w:jc w:val="center"/>
              <w:textAlignment w:val="baseline"/>
              <w:rPr>
                <w:rFonts w:eastAsia="Calibri"/>
                <w:sz w:val="20"/>
                <w:szCs w:val="20"/>
                <w:lang w:eastAsia="en-US"/>
              </w:rPr>
            </w:pPr>
            <w:r w:rsidRPr="00E51CDD">
              <w:rPr>
                <w:rFonts w:eastAsia="Calibri"/>
                <w:sz w:val="20"/>
                <w:szCs w:val="20"/>
                <w:lang w:eastAsia="en-US"/>
              </w:rPr>
              <w:t>801.8</w:t>
            </w:r>
          </w:p>
          <w:p w14:paraId="546DDD58" w14:textId="77777777" w:rsidR="00E51CDD" w:rsidRPr="00E51CDD" w:rsidRDefault="00E51CDD" w:rsidP="00E51CDD">
            <w:pPr>
              <w:widowControl w:val="0"/>
              <w:overflowPunct w:val="0"/>
              <w:autoSpaceDE w:val="0"/>
              <w:autoSpaceDN w:val="0"/>
              <w:adjustRightInd w:val="0"/>
              <w:spacing w:before="40" w:after="40"/>
              <w:jc w:val="center"/>
              <w:textAlignment w:val="baseline"/>
              <w:rPr>
                <w:sz w:val="20"/>
                <w:szCs w:val="20"/>
                <w:lang w:eastAsia="en-US"/>
              </w:rPr>
            </w:pPr>
            <w:r w:rsidRPr="00E51CDD">
              <w:rPr>
                <w:rFonts w:eastAsia="Calibri"/>
                <w:sz w:val="20"/>
                <w:szCs w:val="20"/>
                <w:lang w:eastAsia="en-US"/>
              </w:rPr>
              <w:t>(800.4 - 803.2)</w:t>
            </w:r>
          </w:p>
        </w:tc>
      </w:tr>
    </w:tbl>
    <w:p w14:paraId="1C3A0BAA" w14:textId="77777777" w:rsidR="00E51CDD" w:rsidRPr="00E51CDD" w:rsidRDefault="00E51CDD" w:rsidP="00E51CDD">
      <w:pPr>
        <w:keepNext/>
        <w:ind w:left="270" w:hanging="270"/>
        <w:rPr>
          <w:sz w:val="18"/>
          <w:szCs w:val="18"/>
        </w:rPr>
      </w:pPr>
      <w:r w:rsidRPr="00E51CDD">
        <w:rPr>
          <w:sz w:val="18"/>
          <w:szCs w:val="18"/>
        </w:rPr>
        <w:t>*</w:t>
      </w:r>
      <w:r w:rsidRPr="00E51CDD">
        <w:rPr>
          <w:sz w:val="18"/>
          <w:szCs w:val="18"/>
        </w:rPr>
        <w:tab/>
        <w:t xml:space="preserve">statistically significant compared to control (Multiple Sequentially-rejective Fisher Test after Bonferroni-Holm for mortality, α = 0.05, one-sided greater and Welch-t-test after Bonferroni-Holm for reproduction, α = 0.05, one-sided smaller) </w:t>
      </w:r>
    </w:p>
    <w:p w14:paraId="79DE3A77" w14:textId="6211BB66" w:rsidR="00E51CDD" w:rsidRDefault="00E51CDD" w:rsidP="00E51CDD">
      <w:pPr>
        <w:keepNext/>
        <w:ind w:left="270" w:hanging="270"/>
        <w:rPr>
          <w:color w:val="000000"/>
        </w:rPr>
      </w:pPr>
      <w:r w:rsidRPr="00E51CDD">
        <w:rPr>
          <w:sz w:val="18"/>
          <w:szCs w:val="18"/>
          <w:vertAlign w:val="superscript"/>
        </w:rPr>
        <w:t>1</w:t>
      </w:r>
      <w:r w:rsidRPr="00E51CDD">
        <w:rPr>
          <w:sz w:val="18"/>
          <w:szCs w:val="18"/>
          <w:vertAlign w:val="superscript"/>
        </w:rPr>
        <w:tab/>
      </w:r>
      <w:r w:rsidR="00186DB8" w:rsidRPr="00CD3B66">
        <w:rPr>
          <w:color w:val="000000"/>
        </w:rPr>
        <w:t>10.5/1</w:t>
      </w:r>
    </w:p>
    <w:p w14:paraId="5D4F2C0B" w14:textId="77777777" w:rsidR="00186DB8" w:rsidRPr="00E51CDD" w:rsidRDefault="00186DB8" w:rsidP="00E51CDD">
      <w:pPr>
        <w:keepNext/>
        <w:ind w:left="270" w:hanging="270"/>
        <w:rPr>
          <w:sz w:val="18"/>
          <w:szCs w:val="18"/>
        </w:rPr>
      </w:pPr>
    </w:p>
    <w:p w14:paraId="5D75F2E5" w14:textId="77777777" w:rsidR="00E51CDD" w:rsidRPr="00E51CDD" w:rsidRDefault="00E51CDD" w:rsidP="00E51CDD">
      <w:pPr>
        <w:keepNext/>
        <w:ind w:left="270" w:hanging="270"/>
        <w:rPr>
          <w:sz w:val="18"/>
          <w:szCs w:val="18"/>
        </w:rPr>
      </w:pPr>
      <w:r w:rsidRPr="00E51CDD">
        <w:rPr>
          <w:sz w:val="18"/>
          <w:szCs w:val="18"/>
          <w:vertAlign w:val="superscript"/>
        </w:rPr>
        <w:t>2</w:t>
      </w:r>
      <w:r w:rsidRPr="00E51CDD">
        <w:rPr>
          <w:sz w:val="18"/>
          <w:szCs w:val="18"/>
          <w:vertAlign w:val="superscript"/>
        </w:rPr>
        <w:tab/>
      </w:r>
      <w:r w:rsidRPr="00E51CDD">
        <w:rPr>
          <w:sz w:val="18"/>
          <w:szCs w:val="18"/>
        </w:rPr>
        <w:t>based on 3-parameter normal CDF</w:t>
      </w:r>
    </w:p>
    <w:p w14:paraId="10F42B36" w14:textId="77777777" w:rsidR="00E51CDD" w:rsidRPr="00E51CDD" w:rsidRDefault="00E51CDD" w:rsidP="00E51CDD">
      <w:pPr>
        <w:widowControl w:val="0"/>
        <w:tabs>
          <w:tab w:val="left" w:pos="425"/>
          <w:tab w:val="left" w:pos="720"/>
          <w:tab w:val="left" w:pos="850"/>
        </w:tabs>
        <w:ind w:left="2835" w:hanging="2835"/>
        <w:rPr>
          <w:b/>
          <w:color w:val="0070C0"/>
          <w:szCs w:val="24"/>
          <w:lang w:eastAsia="en-US"/>
        </w:rPr>
      </w:pPr>
      <w:r w:rsidRPr="00E51CDD">
        <w:rPr>
          <w:b/>
          <w:color w:val="0070C0"/>
          <w:szCs w:val="24"/>
          <w:lang w:eastAsia="en-US"/>
        </w:rPr>
        <w:br w:type="page"/>
      </w:r>
    </w:p>
    <w:p w14:paraId="022A7F4D" w14:textId="77777777" w:rsidR="00E51CDD" w:rsidRPr="00E51CDD" w:rsidRDefault="00E51CDD" w:rsidP="00E51CDD">
      <w:pPr>
        <w:widowControl w:val="0"/>
        <w:tabs>
          <w:tab w:val="left" w:pos="425"/>
          <w:tab w:val="left" w:pos="720"/>
          <w:tab w:val="left" w:pos="850"/>
        </w:tabs>
        <w:jc w:val="both"/>
        <w:rPr>
          <w:bCs/>
          <w:szCs w:val="24"/>
          <w:lang w:eastAsia="en-US"/>
        </w:rPr>
      </w:pPr>
      <w:r w:rsidRPr="00E51CDD">
        <w:rPr>
          <w:bCs/>
          <w:szCs w:val="24"/>
          <w:lang w:eastAsia="en-US"/>
        </w:rPr>
        <w:lastRenderedPageBreak/>
        <w:t>In a separate study, the EC</w:t>
      </w:r>
      <w:r w:rsidRPr="00E51CDD">
        <w:rPr>
          <w:bCs/>
          <w:szCs w:val="24"/>
          <w:vertAlign w:val="subscript"/>
          <w:lang w:eastAsia="en-US"/>
        </w:rPr>
        <w:t>50</w:t>
      </w:r>
      <w:r w:rsidRPr="00E51CDD">
        <w:rPr>
          <w:bCs/>
          <w:szCs w:val="24"/>
          <w:lang w:eastAsia="en-US"/>
        </w:rPr>
        <w:t xml:space="preserve"> (reproduction) of the reference item dimethoate (98.8% ± 0.5%, analyzed) was calculated to be 4.4 mg a.s./kg dry soil. The results of the reference test demonstrate the sensitivity of the test system.</w:t>
      </w:r>
    </w:p>
    <w:p w14:paraId="336267CB" w14:textId="77777777" w:rsidR="00E51CDD" w:rsidRPr="00E51CDD" w:rsidRDefault="00E51CDD" w:rsidP="00E51CDD">
      <w:pPr>
        <w:widowControl w:val="0"/>
        <w:tabs>
          <w:tab w:val="left" w:pos="425"/>
          <w:tab w:val="left" w:pos="720"/>
          <w:tab w:val="left" w:pos="850"/>
        </w:tabs>
        <w:ind w:left="2835" w:hanging="2835"/>
        <w:rPr>
          <w:b/>
          <w:szCs w:val="24"/>
          <w:lang w:eastAsia="en-US"/>
        </w:rPr>
      </w:pPr>
    </w:p>
    <w:p w14:paraId="6134A0C7" w14:textId="77777777" w:rsidR="00E51CDD" w:rsidRPr="00E51CDD" w:rsidRDefault="00E51CDD" w:rsidP="00E51CDD">
      <w:pPr>
        <w:widowControl w:val="0"/>
        <w:tabs>
          <w:tab w:val="left" w:pos="425"/>
          <w:tab w:val="left" w:pos="720"/>
          <w:tab w:val="left" w:pos="850"/>
        </w:tabs>
        <w:ind w:left="2835" w:hanging="2835"/>
        <w:rPr>
          <w:b/>
          <w:szCs w:val="24"/>
          <w:lang w:eastAsia="en-US"/>
        </w:rPr>
      </w:pPr>
    </w:p>
    <w:p w14:paraId="3B08CE75" w14:textId="77777777" w:rsidR="00E51CDD" w:rsidRPr="00E51CDD" w:rsidRDefault="00E51CDD" w:rsidP="00E51CDD">
      <w:pPr>
        <w:jc w:val="both"/>
        <w:rPr>
          <w:u w:val="single"/>
        </w:rPr>
      </w:pPr>
      <w:r w:rsidRPr="00E51CDD">
        <w:rPr>
          <w:u w:val="single"/>
        </w:rPr>
        <w:t>Validity criteria:</w:t>
      </w:r>
    </w:p>
    <w:p w14:paraId="5BE52203" w14:textId="77777777" w:rsidR="00E51CDD" w:rsidRPr="00E51CDD" w:rsidRDefault="00E51CDD" w:rsidP="00E51CDD">
      <w:pPr>
        <w:jc w:val="both"/>
      </w:pPr>
    </w:p>
    <w:tbl>
      <w:tblPr>
        <w:tblStyle w:val="DAR0073"/>
        <w:tblW w:w="5000" w:type="pct"/>
        <w:tblLook w:val="04A0" w:firstRow="1" w:lastRow="0" w:firstColumn="1" w:lastColumn="0" w:noHBand="0" w:noVBand="1"/>
      </w:tblPr>
      <w:tblGrid>
        <w:gridCol w:w="6866"/>
        <w:gridCol w:w="2478"/>
      </w:tblGrid>
      <w:tr w:rsidR="00E51CDD" w:rsidRPr="00E51CDD" w14:paraId="6F5EB8E5" w14:textId="77777777" w:rsidTr="009938D9">
        <w:tc>
          <w:tcPr>
            <w:tcW w:w="3674" w:type="pct"/>
            <w:vAlign w:val="center"/>
          </w:tcPr>
          <w:p w14:paraId="0056C02F" w14:textId="77777777" w:rsidR="00E51CDD" w:rsidRPr="00E51CDD" w:rsidRDefault="00E51CDD" w:rsidP="00E51CDD">
            <w:pPr>
              <w:widowControl w:val="0"/>
              <w:rPr>
                <w:b/>
                <w:sz w:val="20"/>
                <w:szCs w:val="20"/>
              </w:rPr>
            </w:pPr>
            <w:r w:rsidRPr="00E51CDD">
              <w:rPr>
                <w:b/>
                <w:sz w:val="20"/>
                <w:szCs w:val="20"/>
              </w:rPr>
              <w:t>Validity criteria according to OECD 226 (2016)</w:t>
            </w:r>
          </w:p>
        </w:tc>
        <w:tc>
          <w:tcPr>
            <w:tcW w:w="1326" w:type="pct"/>
            <w:vAlign w:val="center"/>
          </w:tcPr>
          <w:p w14:paraId="1B177E8D" w14:textId="77777777" w:rsidR="00E51CDD" w:rsidRPr="00E51CDD" w:rsidRDefault="00E51CDD" w:rsidP="00E51CDD">
            <w:pPr>
              <w:widowControl w:val="0"/>
              <w:rPr>
                <w:b/>
                <w:sz w:val="20"/>
                <w:szCs w:val="20"/>
              </w:rPr>
            </w:pPr>
            <w:r w:rsidRPr="00E51CDD">
              <w:rPr>
                <w:b/>
                <w:sz w:val="20"/>
                <w:szCs w:val="20"/>
              </w:rPr>
              <w:t>Obtained in this study</w:t>
            </w:r>
          </w:p>
        </w:tc>
      </w:tr>
      <w:tr w:rsidR="00E51CDD" w:rsidRPr="00E51CDD" w14:paraId="375FA5B1" w14:textId="77777777" w:rsidTr="009938D9">
        <w:tc>
          <w:tcPr>
            <w:tcW w:w="3674" w:type="pct"/>
            <w:vAlign w:val="center"/>
          </w:tcPr>
          <w:p w14:paraId="1FE810F8" w14:textId="77777777" w:rsidR="00E51CDD" w:rsidRPr="00E51CDD" w:rsidRDefault="00E51CDD" w:rsidP="00E51CDD">
            <w:pPr>
              <w:widowControl w:val="0"/>
              <w:rPr>
                <w:sz w:val="20"/>
                <w:szCs w:val="20"/>
              </w:rPr>
            </w:pPr>
            <w:r w:rsidRPr="00E51CDD">
              <w:rPr>
                <w:sz w:val="20"/>
                <w:szCs w:val="20"/>
              </w:rPr>
              <w:t>Mean adult mortality in the control ≤ 20%</w:t>
            </w:r>
          </w:p>
        </w:tc>
        <w:tc>
          <w:tcPr>
            <w:tcW w:w="1326" w:type="pct"/>
            <w:vAlign w:val="center"/>
          </w:tcPr>
          <w:p w14:paraId="24DFC39A" w14:textId="77777777" w:rsidR="00E51CDD" w:rsidRPr="00E51CDD" w:rsidRDefault="00E51CDD" w:rsidP="00E51CDD">
            <w:pPr>
              <w:widowControl w:val="0"/>
              <w:rPr>
                <w:sz w:val="20"/>
                <w:szCs w:val="20"/>
              </w:rPr>
            </w:pPr>
            <w:r w:rsidRPr="00E51CDD">
              <w:rPr>
                <w:sz w:val="20"/>
                <w:szCs w:val="20"/>
              </w:rPr>
              <w:t>1.3%</w:t>
            </w:r>
          </w:p>
        </w:tc>
      </w:tr>
      <w:tr w:rsidR="00E51CDD" w:rsidRPr="00E51CDD" w14:paraId="01BE1788" w14:textId="77777777" w:rsidTr="009938D9">
        <w:tc>
          <w:tcPr>
            <w:tcW w:w="3674" w:type="pct"/>
            <w:vAlign w:val="center"/>
          </w:tcPr>
          <w:p w14:paraId="6B643A5C" w14:textId="77777777" w:rsidR="00E51CDD" w:rsidRPr="00E51CDD" w:rsidRDefault="00E51CDD" w:rsidP="00E51CDD">
            <w:pPr>
              <w:widowControl w:val="0"/>
              <w:rPr>
                <w:sz w:val="20"/>
                <w:szCs w:val="20"/>
              </w:rPr>
            </w:pPr>
            <w:r w:rsidRPr="00E51CDD">
              <w:rPr>
                <w:sz w:val="20"/>
                <w:szCs w:val="20"/>
              </w:rPr>
              <w:t>Mean number of juveniles per control replicate ≥ 50</w:t>
            </w:r>
          </w:p>
        </w:tc>
        <w:tc>
          <w:tcPr>
            <w:tcW w:w="1326" w:type="pct"/>
            <w:vAlign w:val="center"/>
          </w:tcPr>
          <w:p w14:paraId="7F1FCB10" w14:textId="77777777" w:rsidR="00E51CDD" w:rsidRPr="00E51CDD" w:rsidRDefault="00E51CDD" w:rsidP="00E51CDD">
            <w:pPr>
              <w:widowControl w:val="0"/>
              <w:rPr>
                <w:sz w:val="20"/>
                <w:szCs w:val="20"/>
              </w:rPr>
            </w:pPr>
            <w:r w:rsidRPr="00E51CDD">
              <w:rPr>
                <w:sz w:val="20"/>
                <w:szCs w:val="20"/>
              </w:rPr>
              <w:t>332.5</w:t>
            </w:r>
          </w:p>
        </w:tc>
      </w:tr>
      <w:tr w:rsidR="00E51CDD" w:rsidRPr="00E51CDD" w14:paraId="3AB93126" w14:textId="77777777" w:rsidTr="009938D9">
        <w:tc>
          <w:tcPr>
            <w:tcW w:w="3674" w:type="pct"/>
            <w:vAlign w:val="center"/>
          </w:tcPr>
          <w:p w14:paraId="7499737A" w14:textId="77777777" w:rsidR="00E51CDD" w:rsidRPr="00E51CDD" w:rsidRDefault="00E51CDD" w:rsidP="00E51CDD">
            <w:pPr>
              <w:widowControl w:val="0"/>
              <w:rPr>
                <w:sz w:val="20"/>
                <w:szCs w:val="20"/>
              </w:rPr>
            </w:pPr>
            <w:r w:rsidRPr="00E51CDD">
              <w:rPr>
                <w:sz w:val="20"/>
                <w:szCs w:val="20"/>
              </w:rPr>
              <w:t>Coefficient of variation of reproduction in the control ≤ 30%</w:t>
            </w:r>
          </w:p>
        </w:tc>
        <w:tc>
          <w:tcPr>
            <w:tcW w:w="1326" w:type="pct"/>
            <w:vAlign w:val="center"/>
          </w:tcPr>
          <w:p w14:paraId="3DEFFC92" w14:textId="77777777" w:rsidR="00E51CDD" w:rsidRPr="00E51CDD" w:rsidRDefault="00E51CDD" w:rsidP="00E51CDD">
            <w:pPr>
              <w:widowControl w:val="0"/>
              <w:rPr>
                <w:sz w:val="20"/>
                <w:szCs w:val="20"/>
              </w:rPr>
            </w:pPr>
            <w:r w:rsidRPr="00E51CDD">
              <w:rPr>
                <w:sz w:val="20"/>
                <w:szCs w:val="20"/>
              </w:rPr>
              <w:t>2.5%</w:t>
            </w:r>
          </w:p>
        </w:tc>
      </w:tr>
    </w:tbl>
    <w:p w14:paraId="6D9F5CEA" w14:textId="77777777" w:rsidR="00E51CDD" w:rsidRPr="00E51CDD" w:rsidRDefault="00E51CDD" w:rsidP="00E51CDD"/>
    <w:p w14:paraId="15BC5C3F" w14:textId="77777777" w:rsidR="00E51CDD" w:rsidRPr="00E51CDD" w:rsidRDefault="00E51CDD" w:rsidP="00E51CDD"/>
    <w:p w14:paraId="762B8B44" w14:textId="77777777" w:rsidR="00E51CDD" w:rsidRPr="00E51CDD" w:rsidRDefault="00E51CDD" w:rsidP="00E51CDD">
      <w:r w:rsidRPr="00E51CDD">
        <w:t>All validity criteria were met.</w:t>
      </w:r>
    </w:p>
    <w:p w14:paraId="7F8A9A3F" w14:textId="77777777" w:rsidR="00E51CDD" w:rsidRPr="00E51CDD" w:rsidRDefault="00E51CDD" w:rsidP="00E51CDD">
      <w:pPr>
        <w:widowControl w:val="0"/>
        <w:tabs>
          <w:tab w:val="left" w:pos="425"/>
          <w:tab w:val="left" w:pos="720"/>
          <w:tab w:val="left" w:pos="850"/>
        </w:tabs>
        <w:ind w:left="2835" w:hanging="2835"/>
        <w:rPr>
          <w:b/>
          <w:color w:val="0070C0"/>
          <w:szCs w:val="24"/>
          <w:lang w:eastAsia="en-US"/>
        </w:rPr>
      </w:pPr>
    </w:p>
    <w:p w14:paraId="034C6E7B" w14:textId="77777777" w:rsidR="00E51CDD" w:rsidRPr="00E51CDD" w:rsidRDefault="00E51CDD" w:rsidP="00E51CDD">
      <w:pPr>
        <w:widowControl w:val="0"/>
        <w:tabs>
          <w:tab w:val="left" w:pos="425"/>
          <w:tab w:val="left" w:pos="720"/>
          <w:tab w:val="left" w:pos="850"/>
        </w:tabs>
        <w:ind w:left="2835" w:hanging="2835"/>
        <w:rPr>
          <w:b/>
          <w:szCs w:val="24"/>
          <w:lang w:eastAsia="en-US"/>
        </w:rPr>
      </w:pPr>
    </w:p>
    <w:p w14:paraId="26372772" w14:textId="77777777" w:rsidR="00E51CDD" w:rsidRPr="00E51CDD" w:rsidRDefault="00E51CDD" w:rsidP="00E51CDD">
      <w:pPr>
        <w:tabs>
          <w:tab w:val="left" w:pos="425"/>
          <w:tab w:val="left" w:pos="850"/>
        </w:tabs>
        <w:ind w:left="2835" w:hanging="2835"/>
        <w:rPr>
          <w:b/>
        </w:rPr>
      </w:pPr>
      <w:r w:rsidRPr="00E51CDD">
        <w:rPr>
          <w:b/>
        </w:rPr>
        <w:t>III.</w:t>
      </w:r>
      <w:r w:rsidRPr="00E51CDD">
        <w:rPr>
          <w:b/>
        </w:rPr>
        <w:tab/>
        <w:t>CONCLUSION</w:t>
      </w:r>
    </w:p>
    <w:p w14:paraId="2CF11430" w14:textId="77777777" w:rsidR="00E51CDD" w:rsidRPr="00E51CDD" w:rsidRDefault="00E51CDD" w:rsidP="00E51CDD">
      <w:pPr>
        <w:widowControl w:val="0"/>
        <w:tabs>
          <w:tab w:val="left" w:pos="425"/>
          <w:tab w:val="left" w:pos="720"/>
          <w:tab w:val="left" w:pos="850"/>
        </w:tabs>
        <w:ind w:left="2835" w:hanging="2835"/>
        <w:rPr>
          <w:b/>
          <w:szCs w:val="24"/>
          <w:lang w:eastAsia="en-US"/>
        </w:rPr>
      </w:pPr>
    </w:p>
    <w:p w14:paraId="37A042C4" w14:textId="77777777" w:rsidR="00E51CDD" w:rsidRPr="00E51CDD" w:rsidRDefault="00E51CDD" w:rsidP="00E51CDD">
      <w:pPr>
        <w:spacing w:after="160" w:line="259" w:lineRule="auto"/>
        <w:rPr>
          <w:b/>
          <w:szCs w:val="24"/>
          <w:lang w:eastAsia="en-US"/>
        </w:rPr>
      </w:pPr>
      <w:r w:rsidRPr="00E51CDD">
        <w:rPr>
          <w:b/>
          <w:szCs w:val="24"/>
          <w:lang w:eastAsia="en-US"/>
        </w:rPr>
        <w:t xml:space="preserve">In a 14-day </w:t>
      </w:r>
      <w:r w:rsidRPr="00E51CDD">
        <w:rPr>
          <w:b/>
          <w:i/>
          <w:iCs/>
          <w:szCs w:val="24"/>
          <w:lang w:eastAsia="en-US"/>
        </w:rPr>
        <w:t>Hypoaspis aculeifer</w:t>
      </w:r>
      <w:r w:rsidRPr="00E51CDD">
        <w:rPr>
          <w:b/>
          <w:szCs w:val="24"/>
          <w:lang w:eastAsia="en-US"/>
        </w:rPr>
        <w:t xml:space="preserve"> reproduction study with BAS 736 00 F, the LC</w:t>
      </w:r>
      <w:r w:rsidRPr="00E51CDD">
        <w:rPr>
          <w:b/>
          <w:szCs w:val="24"/>
          <w:vertAlign w:val="subscript"/>
          <w:lang w:eastAsia="en-US"/>
        </w:rPr>
        <w:t>50</w:t>
      </w:r>
      <w:r w:rsidRPr="00E51CDD">
        <w:rPr>
          <w:b/>
          <w:szCs w:val="24"/>
          <w:lang w:eastAsia="en-US"/>
        </w:rPr>
        <w:t xml:space="preserve"> value for mortality was calculated to be 2470.9 mg/kg dry soil. The EC</w:t>
      </w:r>
      <w:r w:rsidRPr="00E51CDD">
        <w:rPr>
          <w:b/>
          <w:szCs w:val="24"/>
          <w:vertAlign w:val="subscript"/>
          <w:lang w:eastAsia="en-US"/>
        </w:rPr>
        <w:t>10</w:t>
      </w:r>
      <w:r w:rsidRPr="00E51CDD">
        <w:rPr>
          <w:b/>
          <w:szCs w:val="24"/>
          <w:lang w:eastAsia="en-US"/>
        </w:rPr>
        <w:t xml:space="preserve"> value for reproduction was calculated to be 438.9 mg/kg dry soil. The NOEC for mortality and reproduction was determined to be 488.3 and 190.7 mg/kg dry soil, respectively. </w:t>
      </w:r>
    </w:p>
    <w:p w14:paraId="1A2E1E11" w14:textId="77777777" w:rsidR="00E51CDD" w:rsidRPr="00E51CDD" w:rsidRDefault="00E51CDD" w:rsidP="00E51CDD">
      <w:pPr>
        <w:spacing w:after="160" w:line="259" w:lineRule="auto"/>
        <w:rPr>
          <w:b/>
          <w:szCs w:val="24"/>
          <w:lang w:eastAsia="en-US"/>
        </w:rPr>
      </w:pPr>
    </w:p>
    <w:p w14:paraId="764422E0" w14:textId="77777777" w:rsidR="00E51CDD" w:rsidRPr="00E51CDD" w:rsidRDefault="00E51CDD" w:rsidP="00E51CDD">
      <w:pPr>
        <w:spacing w:after="160" w:line="259" w:lineRule="auto"/>
        <w:rPr>
          <w:rFonts w:ascii="Calibri" w:eastAsia="Calibri" w:hAnsi="Calibri"/>
          <w:lang w:eastAsia="en-US"/>
        </w:rPr>
      </w:pPr>
    </w:p>
    <w:bookmarkEnd w:id="1257"/>
    <w:p w14:paraId="2EFAEE20" w14:textId="77777777" w:rsidR="00E51CDD" w:rsidRPr="00E51CDD" w:rsidRDefault="00E51CDD" w:rsidP="00C5395F">
      <w:pPr>
        <w:pStyle w:val="RepAppendix4"/>
      </w:pPr>
      <w:r w:rsidRPr="00E51CDD">
        <w:t xml:space="preserve">KCP 10.4.2.2 </w:t>
      </w:r>
      <w:r w:rsidRPr="00E51CDD">
        <w:tab/>
        <w:t>Higher tier testing</w:t>
      </w:r>
    </w:p>
    <w:p w14:paraId="6B8E1A1D" w14:textId="77777777" w:rsidR="00E51CDD" w:rsidRPr="00E51CDD" w:rsidRDefault="00E51CDD" w:rsidP="00E51CDD">
      <w:pPr>
        <w:jc w:val="both"/>
        <w:rPr>
          <w:color w:val="000000"/>
          <w:lang w:val="en-GB" w:eastAsia="en-US"/>
        </w:rPr>
      </w:pPr>
      <w:r w:rsidRPr="00E51CDD">
        <w:rPr>
          <w:color w:val="000000"/>
          <w:lang w:val="en-GB" w:eastAsia="en-US"/>
        </w:rPr>
        <w:t>As BAS 736 00 F poses no unacceptable risk to other non-target soil macro-organisms, further studies are not necessary.</w:t>
      </w:r>
    </w:p>
    <w:p w14:paraId="458E92D4" w14:textId="77777777" w:rsidR="00E51CDD" w:rsidRDefault="00E51CDD" w:rsidP="00CE08CB">
      <w:pPr>
        <w:pStyle w:val="StyleOECD-BASIS-TEXTLeft"/>
        <w:rPr>
          <w:sz w:val="22"/>
          <w:lang w:val="en-US"/>
        </w:rPr>
        <w:sectPr w:rsidR="00E51CDD" w:rsidSect="00D20BDB">
          <w:headerReference w:type="even" r:id="rId69"/>
          <w:footerReference w:type="even" r:id="rId70"/>
          <w:headerReference w:type="first" r:id="rId71"/>
          <w:footerReference w:type="first" r:id="rId72"/>
          <w:pgSz w:w="11906" w:h="16838"/>
          <w:pgMar w:top="1418" w:right="1134" w:bottom="1134" w:left="1418" w:header="709" w:footer="709" w:gutter="0"/>
          <w:pgNumType w:chapSep="period"/>
          <w:cols w:space="708"/>
          <w:docGrid w:linePitch="360"/>
        </w:sectPr>
      </w:pPr>
    </w:p>
    <w:p w14:paraId="76A91FB8" w14:textId="77777777" w:rsidR="00E51CDD" w:rsidRDefault="00E51CDD" w:rsidP="00E51CDD">
      <w:pPr>
        <w:pStyle w:val="StyleOECD-BASIS-TEXTLeft"/>
        <w:rPr>
          <w:sz w:val="22"/>
          <w:lang w:val="en-US"/>
        </w:rPr>
      </w:pPr>
    </w:p>
    <w:p w14:paraId="5132C077" w14:textId="77777777" w:rsidR="00E51CDD" w:rsidRDefault="00E51CDD" w:rsidP="00E51CDD">
      <w:pPr>
        <w:pStyle w:val="RepAppendix2"/>
      </w:pPr>
      <w:bookmarkStart w:id="1276" w:name="_Toc413922105"/>
      <w:bookmarkStart w:id="1277" w:name="_Toc413922594"/>
      <w:bookmarkStart w:id="1278" w:name="_Toc413922698"/>
      <w:bookmarkStart w:id="1279" w:name="_Toc414955335"/>
      <w:bookmarkStart w:id="1280" w:name="_Toc415214642"/>
      <w:bookmarkStart w:id="1281" w:name="_Toc125446490"/>
      <w:r w:rsidRPr="002B1114">
        <w:t xml:space="preserve">KCP 10.5 </w:t>
      </w:r>
      <w:r w:rsidRPr="002B1114">
        <w:tab/>
        <w:t>Effects on soil nitrogen transformation</w:t>
      </w:r>
      <w:bookmarkEnd w:id="1276"/>
      <w:bookmarkEnd w:id="1277"/>
      <w:bookmarkEnd w:id="1278"/>
      <w:bookmarkEnd w:id="1279"/>
      <w:bookmarkEnd w:id="1280"/>
      <w:bookmarkEnd w:id="1281"/>
    </w:p>
    <w:p w14:paraId="230E815B" w14:textId="77777777" w:rsidR="00E51CDD" w:rsidRPr="009916FC" w:rsidRDefault="00E51CDD" w:rsidP="00E51CDD">
      <w:pPr>
        <w:pStyle w:val="RepAppendix3"/>
      </w:pPr>
      <w:bookmarkStart w:id="1282" w:name="_Toc125446491"/>
      <w:r w:rsidRPr="009916FC">
        <w:t>Study 1</w:t>
      </w:r>
      <w:bookmarkEnd w:id="12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14:paraId="54CDE880" w14:textId="77777777" w:rsidTr="002B5466">
        <w:trPr>
          <w:trHeight w:val="850"/>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8537A7" w14:textId="77777777" w:rsidR="00E51CDD" w:rsidRDefault="00E51CDD" w:rsidP="009938D9">
            <w:pPr>
              <w:pStyle w:val="RepStandard"/>
              <w:rPr>
                <w:rFonts w:eastAsia="Batang"/>
              </w:rPr>
            </w:pPr>
            <w:bookmarkStart w:id="1283" w:name="_Hlk88466298"/>
            <w:bookmarkStart w:id="1284" w:name="_Hlk88466272"/>
            <w: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B4F954" w14:textId="5A937D3B" w:rsidR="00E51CDD" w:rsidRDefault="009E25A8" w:rsidP="009938D9">
            <w:pPr>
              <w:pStyle w:val="RepStandard"/>
              <w:ind w:left="85"/>
              <w:rPr>
                <w:rFonts w:eastAsia="Batang"/>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7A5D604C" w14:textId="77777777" w:rsid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14:paraId="2AFA6070" w14:textId="77777777" w:rsidTr="009938D9">
        <w:trPr>
          <w:gridAfter w:val="1"/>
          <w:wAfter w:w="9" w:type="pct"/>
        </w:trPr>
        <w:tc>
          <w:tcPr>
            <w:tcW w:w="1340" w:type="pct"/>
            <w:hideMark/>
          </w:tcPr>
          <w:p w14:paraId="6B442FBB" w14:textId="77777777" w:rsidR="00E51CDD" w:rsidRDefault="00E51CDD" w:rsidP="009938D9">
            <w:pPr>
              <w:pStyle w:val="RepStandard"/>
              <w:rPr>
                <w:lang w:val="de-DE"/>
              </w:rPr>
            </w:pPr>
            <w:r>
              <w:t>Reference:</w:t>
            </w:r>
          </w:p>
        </w:tc>
        <w:tc>
          <w:tcPr>
            <w:tcW w:w="3651" w:type="pct"/>
            <w:hideMark/>
          </w:tcPr>
          <w:p w14:paraId="31E7F6F8" w14:textId="77777777" w:rsidR="00E51CDD" w:rsidRDefault="00E51CDD" w:rsidP="009938D9">
            <w:pPr>
              <w:pStyle w:val="RepStandard"/>
            </w:pPr>
            <w:r>
              <w:t>CP 10.5/1</w:t>
            </w:r>
          </w:p>
        </w:tc>
      </w:tr>
      <w:tr w:rsidR="00E51CDD" w14:paraId="743FDE70" w14:textId="77777777" w:rsidTr="009938D9">
        <w:trPr>
          <w:gridAfter w:val="1"/>
          <w:wAfter w:w="9" w:type="pct"/>
        </w:trPr>
        <w:tc>
          <w:tcPr>
            <w:tcW w:w="1340" w:type="pct"/>
            <w:hideMark/>
          </w:tcPr>
          <w:p w14:paraId="62526215" w14:textId="77777777" w:rsidR="00E51CDD" w:rsidRDefault="00E51CDD" w:rsidP="009938D9">
            <w:pPr>
              <w:pStyle w:val="RepStandard"/>
              <w:spacing w:after="120"/>
            </w:pPr>
            <w:r>
              <w:t>Report</w:t>
            </w:r>
          </w:p>
        </w:tc>
        <w:tc>
          <w:tcPr>
            <w:tcW w:w="3651" w:type="pct"/>
            <w:hideMark/>
          </w:tcPr>
          <w:p w14:paraId="0D899EB7" w14:textId="77777777" w:rsidR="00E51CDD" w:rsidRDefault="00E51CDD" w:rsidP="009938D9">
            <w:pPr>
              <w:pStyle w:val="RepStandard"/>
              <w:spacing w:after="120"/>
              <w:rPr>
                <w:lang w:val="en-US"/>
              </w:rPr>
            </w:pPr>
            <w:r>
              <w:rPr>
                <w:lang w:val="en-US"/>
              </w:rPr>
              <w:t>Effects of BAS 736 00 F on the activity of soil microflora (Nitrogen transformation test),</w:t>
            </w:r>
          </w:p>
          <w:p w14:paraId="739A9936" w14:textId="77777777" w:rsidR="00E51CDD" w:rsidRDefault="00E51CDD" w:rsidP="009938D9">
            <w:pPr>
              <w:pStyle w:val="RepStandard"/>
              <w:spacing w:after="120"/>
              <w:rPr>
                <w:lang w:val="en-US"/>
              </w:rPr>
            </w:pPr>
            <w:r>
              <w:rPr>
                <w:lang w:val="en-US"/>
              </w:rPr>
              <w:t>Persdorf, M., 2019</w:t>
            </w:r>
          </w:p>
          <w:p w14:paraId="0CF49871" w14:textId="77777777" w:rsidR="00E51CDD" w:rsidRDefault="00E51CDD" w:rsidP="009938D9">
            <w:pPr>
              <w:pStyle w:val="RepStandard"/>
              <w:spacing w:after="120"/>
              <w:rPr>
                <w:lang w:val="en-US"/>
              </w:rPr>
            </w:pPr>
            <w:r>
              <w:rPr>
                <w:lang w:val="en-US"/>
              </w:rPr>
              <w:t>report No 849649, 1948SMN0043</w:t>
            </w:r>
          </w:p>
          <w:p w14:paraId="1E88E937" w14:textId="77777777" w:rsidR="00E51CDD" w:rsidRDefault="00E51CDD" w:rsidP="009938D9">
            <w:pPr>
              <w:pStyle w:val="RepStandard"/>
              <w:spacing w:after="120"/>
            </w:pPr>
            <w:r>
              <w:rPr>
                <w:lang w:val="en-US"/>
              </w:rPr>
              <w:t>2019/1061099</w:t>
            </w:r>
          </w:p>
          <w:p w14:paraId="0567A55F" w14:textId="77777777" w:rsidR="00E51CDD" w:rsidRDefault="00E51CDD" w:rsidP="009938D9">
            <w:pPr>
              <w:pStyle w:val="RepStandard"/>
            </w:pPr>
            <w:r>
              <w:t>Authority registration No</w:t>
            </w:r>
          </w:p>
        </w:tc>
      </w:tr>
      <w:tr w:rsidR="00E51CDD" w14:paraId="5F96A1A5" w14:textId="77777777" w:rsidTr="009938D9">
        <w:trPr>
          <w:gridAfter w:val="1"/>
          <w:wAfter w:w="9" w:type="pct"/>
        </w:trPr>
        <w:tc>
          <w:tcPr>
            <w:tcW w:w="1340" w:type="pct"/>
            <w:hideMark/>
          </w:tcPr>
          <w:p w14:paraId="51455FFA" w14:textId="77777777" w:rsidR="00E51CDD" w:rsidRDefault="00E51CDD" w:rsidP="009938D9">
            <w:pPr>
              <w:pStyle w:val="RepStandard"/>
            </w:pPr>
            <w:r>
              <w:t>Guideline(s):</w:t>
            </w:r>
          </w:p>
        </w:tc>
        <w:tc>
          <w:tcPr>
            <w:tcW w:w="3651" w:type="pct"/>
            <w:hideMark/>
          </w:tcPr>
          <w:p w14:paraId="6D7FEC3C" w14:textId="77777777" w:rsidR="00E51CDD" w:rsidRDefault="00E51CDD" w:rsidP="009938D9">
            <w:pPr>
              <w:pStyle w:val="RepStandard"/>
              <w:spacing w:after="120"/>
            </w:pPr>
            <w:r>
              <w:rPr>
                <w:lang w:val="en-US"/>
              </w:rPr>
              <w:t>OECD 216 (2000)</w:t>
            </w:r>
            <w:r>
              <w:t xml:space="preserve"> </w:t>
            </w:r>
          </w:p>
        </w:tc>
      </w:tr>
      <w:tr w:rsidR="00E51CDD" w14:paraId="7019DF7B" w14:textId="77777777" w:rsidTr="009938D9">
        <w:trPr>
          <w:gridAfter w:val="1"/>
          <w:wAfter w:w="9" w:type="pct"/>
        </w:trPr>
        <w:tc>
          <w:tcPr>
            <w:tcW w:w="1340" w:type="pct"/>
            <w:hideMark/>
          </w:tcPr>
          <w:p w14:paraId="30C42DDB" w14:textId="77777777" w:rsidR="00E51CDD" w:rsidRDefault="00E51CDD" w:rsidP="009938D9">
            <w:pPr>
              <w:pStyle w:val="RepStandard"/>
            </w:pPr>
            <w:r>
              <w:t>Deviations:</w:t>
            </w:r>
          </w:p>
        </w:tc>
        <w:tc>
          <w:tcPr>
            <w:tcW w:w="3651" w:type="pct"/>
            <w:hideMark/>
          </w:tcPr>
          <w:p w14:paraId="711FE826" w14:textId="77777777" w:rsidR="00E51CDD" w:rsidRDefault="00E51CDD" w:rsidP="009938D9">
            <w:pPr>
              <w:pStyle w:val="RepStandard"/>
              <w:spacing w:after="120"/>
            </w:pPr>
            <w:r>
              <w:t>No</w:t>
            </w:r>
          </w:p>
        </w:tc>
      </w:tr>
      <w:tr w:rsidR="00E51CDD" w:rsidRPr="00662F32" w14:paraId="518921CD" w14:textId="77777777" w:rsidTr="009938D9">
        <w:tc>
          <w:tcPr>
            <w:tcW w:w="1340" w:type="pct"/>
            <w:hideMark/>
          </w:tcPr>
          <w:p w14:paraId="2B9F5E42" w14:textId="77777777" w:rsidR="00E51CDD" w:rsidRDefault="00E51CDD" w:rsidP="009938D9">
            <w:pPr>
              <w:pStyle w:val="RepStandard"/>
            </w:pPr>
            <w:r>
              <w:t>GLP:</w:t>
            </w:r>
          </w:p>
        </w:tc>
        <w:tc>
          <w:tcPr>
            <w:tcW w:w="3660" w:type="pct"/>
            <w:gridSpan w:val="2"/>
            <w:hideMark/>
          </w:tcPr>
          <w:p w14:paraId="1BEFC519" w14:textId="77777777" w:rsidR="00E51CDD" w:rsidRPr="00591C6F" w:rsidRDefault="00E51CDD" w:rsidP="009938D9">
            <w:pPr>
              <w:tabs>
                <w:tab w:val="left" w:pos="425"/>
                <w:tab w:val="left" w:pos="850"/>
              </w:tabs>
              <w:spacing w:after="120"/>
              <w:ind w:left="1985" w:hanging="1985"/>
              <w:rPr>
                <w:b/>
                <w:lang w:val="de-DE"/>
              </w:rPr>
            </w:pPr>
            <w:r w:rsidRPr="00591C6F">
              <w:rPr>
                <w:lang w:val="de-DE"/>
              </w:rPr>
              <w:t>yes</w:t>
            </w:r>
          </w:p>
          <w:p w14:paraId="58690F9F" w14:textId="77777777" w:rsidR="00E51CDD" w:rsidRPr="00591C6F" w:rsidRDefault="00E51CDD" w:rsidP="009938D9">
            <w:pPr>
              <w:pStyle w:val="RepStandard"/>
              <w:spacing w:after="120"/>
              <w:jc w:val="left"/>
              <w:rPr>
                <w:lang w:val="de-DE"/>
              </w:rPr>
            </w:pPr>
            <w:r w:rsidRPr="00591C6F">
              <w:rPr>
                <w:lang w:val="de-DE"/>
              </w:rPr>
              <w:t>(certified by Saechsisches Staatsministerium fuer Umwelt und Landwirtschaft, Dresden, Germany),</w:t>
            </w:r>
          </w:p>
        </w:tc>
      </w:tr>
      <w:tr w:rsidR="00E51CDD" w14:paraId="5B0631DA" w14:textId="77777777" w:rsidTr="009938D9">
        <w:trPr>
          <w:gridAfter w:val="1"/>
          <w:wAfter w:w="9" w:type="pct"/>
        </w:trPr>
        <w:tc>
          <w:tcPr>
            <w:tcW w:w="1340" w:type="pct"/>
            <w:hideMark/>
          </w:tcPr>
          <w:p w14:paraId="14E2838D" w14:textId="77777777" w:rsidR="00E51CDD" w:rsidRDefault="00E51CDD" w:rsidP="009938D9">
            <w:pPr>
              <w:pStyle w:val="RepStandard"/>
              <w:rPr>
                <w:lang w:val="de-DE"/>
              </w:rPr>
            </w:pPr>
            <w:r>
              <w:t>Acceptability:</w:t>
            </w:r>
          </w:p>
        </w:tc>
        <w:tc>
          <w:tcPr>
            <w:tcW w:w="3651" w:type="pct"/>
            <w:hideMark/>
          </w:tcPr>
          <w:p w14:paraId="50DD760A" w14:textId="77777777" w:rsidR="00E51CDD" w:rsidRDefault="00E51CDD" w:rsidP="009938D9">
            <w:pPr>
              <w:pStyle w:val="RepStandard"/>
            </w:pPr>
            <w:r>
              <w:t xml:space="preserve">Yes </w:t>
            </w:r>
          </w:p>
        </w:tc>
      </w:tr>
      <w:tr w:rsidR="00E51CDD" w14:paraId="660259C1" w14:textId="77777777" w:rsidTr="009938D9">
        <w:trPr>
          <w:gridAfter w:val="1"/>
          <w:wAfter w:w="9" w:type="pct"/>
        </w:trPr>
        <w:tc>
          <w:tcPr>
            <w:tcW w:w="1340" w:type="pct"/>
            <w:hideMark/>
          </w:tcPr>
          <w:p w14:paraId="17B35855" w14:textId="77777777" w:rsidR="00E51CDD" w:rsidRDefault="00E51CDD" w:rsidP="009938D9">
            <w:pPr>
              <w:pStyle w:val="RepStandard"/>
            </w:pPr>
            <w:r>
              <w:t xml:space="preserve">Duplication </w:t>
            </w:r>
            <w:r>
              <w:br/>
              <w:t>(if vertebrate study)</w:t>
            </w:r>
          </w:p>
        </w:tc>
        <w:tc>
          <w:tcPr>
            <w:tcW w:w="3651" w:type="pct"/>
            <w:hideMark/>
          </w:tcPr>
          <w:p w14:paraId="56506A14" w14:textId="77777777" w:rsidR="00E51CDD" w:rsidRDefault="00E51CDD" w:rsidP="009938D9">
            <w:pPr>
              <w:pStyle w:val="RepStandard"/>
              <w:spacing w:after="120"/>
              <w:rPr>
                <w:highlight w:val="yellow"/>
              </w:rPr>
            </w:pPr>
            <w:r>
              <w:t>No</w:t>
            </w:r>
          </w:p>
        </w:tc>
      </w:tr>
      <w:bookmarkEnd w:id="1283"/>
    </w:tbl>
    <w:p w14:paraId="033A2ED0" w14:textId="77777777" w:rsidR="00E51CDD" w:rsidRDefault="00E51CDD" w:rsidP="00E51CDD">
      <w:pPr>
        <w:widowControl w:val="0"/>
        <w:jc w:val="both"/>
        <w:rPr>
          <w:color w:val="0070C0"/>
        </w:rPr>
      </w:pPr>
    </w:p>
    <w:p w14:paraId="6A22920A" w14:textId="77777777" w:rsidR="00E51CDD" w:rsidRPr="009916FC" w:rsidRDefault="00E51CDD" w:rsidP="00E51CDD">
      <w:pPr>
        <w:widowControl w:val="0"/>
        <w:jc w:val="both"/>
        <w:rPr>
          <w:color w:val="0070C0"/>
        </w:rPr>
      </w:pPr>
    </w:p>
    <w:p w14:paraId="4B49777B" w14:textId="77777777" w:rsidR="00E51CDD" w:rsidRPr="009916FC" w:rsidRDefault="00E51CDD" w:rsidP="00E51CDD">
      <w:pPr>
        <w:widowControl w:val="0"/>
        <w:jc w:val="both"/>
        <w:rPr>
          <w:b/>
          <w:szCs w:val="24"/>
          <w:lang w:eastAsia="en-US"/>
        </w:rPr>
      </w:pPr>
      <w:r w:rsidRPr="009916FC">
        <w:rPr>
          <w:b/>
          <w:szCs w:val="24"/>
          <w:lang w:eastAsia="en-US"/>
        </w:rPr>
        <w:t>Executive Summary</w:t>
      </w:r>
    </w:p>
    <w:p w14:paraId="5C797F1A" w14:textId="77777777" w:rsidR="00E51CDD" w:rsidRPr="009916FC" w:rsidRDefault="00E51CDD" w:rsidP="00E51CDD">
      <w:pPr>
        <w:widowControl w:val="0"/>
        <w:jc w:val="both"/>
        <w:rPr>
          <w:szCs w:val="24"/>
          <w:lang w:eastAsia="en-US"/>
        </w:rPr>
      </w:pPr>
    </w:p>
    <w:p w14:paraId="3C0DE4FB" w14:textId="77777777" w:rsidR="00E51CDD" w:rsidRPr="009916FC" w:rsidRDefault="00E51CDD" w:rsidP="00E51CDD">
      <w:pPr>
        <w:widowControl w:val="0"/>
        <w:jc w:val="both"/>
        <w:rPr>
          <w:szCs w:val="24"/>
          <w:lang w:eastAsia="en-US"/>
        </w:rPr>
      </w:pPr>
      <w:r w:rsidRPr="009916FC">
        <w:rPr>
          <w:szCs w:val="24"/>
          <w:lang w:eastAsia="en-US"/>
        </w:rPr>
        <w:t>In a soil microbial activity study, the effects of BAS 736 00 F</w:t>
      </w:r>
      <w:r w:rsidRPr="009916FC">
        <w:t xml:space="preserve"> </w:t>
      </w:r>
      <w:r w:rsidRPr="009916FC">
        <w:rPr>
          <w:szCs w:val="24"/>
          <w:lang w:eastAsia="en-US"/>
        </w:rPr>
        <w:t>on nitrogen transformation were tested in silty-loamy sand soil. BAS 736 00 F</w:t>
      </w:r>
      <w:r w:rsidRPr="009916FC">
        <w:t xml:space="preserve"> </w:t>
      </w:r>
      <w:r w:rsidRPr="009916FC">
        <w:rPr>
          <w:szCs w:val="24"/>
          <w:lang w:eastAsia="en-US"/>
        </w:rPr>
        <w:t>was applied to samples of the soil at nominal concentrations of 7.00 mg and 35.00 mg/kg dry soil. Triplicate samples of each treatment were removed for analysis of NH</w:t>
      </w:r>
      <w:r w:rsidRPr="009916FC">
        <w:rPr>
          <w:szCs w:val="24"/>
          <w:vertAlign w:val="subscript"/>
          <w:lang w:eastAsia="en-US"/>
        </w:rPr>
        <w:t>4</w:t>
      </w:r>
      <w:r w:rsidRPr="009916FC">
        <w:rPr>
          <w:szCs w:val="24"/>
          <w:lang w:eastAsia="en-US"/>
        </w:rPr>
        <w:t>-nitrogen and NO</w:t>
      </w:r>
      <w:r w:rsidRPr="009916FC">
        <w:rPr>
          <w:szCs w:val="24"/>
          <w:vertAlign w:val="subscript"/>
          <w:lang w:eastAsia="en-US"/>
        </w:rPr>
        <w:t>3</w:t>
      </w:r>
      <w:r w:rsidRPr="009916FC">
        <w:rPr>
          <w:szCs w:val="24"/>
          <w:lang w:eastAsia="en-US"/>
        </w:rPr>
        <w:t>-nitrogen 0, 7, 14 and 28 days after application.</w:t>
      </w:r>
    </w:p>
    <w:p w14:paraId="7C165788" w14:textId="77777777" w:rsidR="00E51CDD" w:rsidRPr="009916FC" w:rsidRDefault="00E51CDD" w:rsidP="00E51CDD">
      <w:pPr>
        <w:widowControl w:val="0"/>
        <w:jc w:val="both"/>
        <w:rPr>
          <w:szCs w:val="24"/>
          <w:lang w:eastAsia="en-US"/>
        </w:rPr>
      </w:pPr>
    </w:p>
    <w:p w14:paraId="00290142" w14:textId="77777777" w:rsidR="00E51CDD" w:rsidRPr="009916FC" w:rsidRDefault="00E51CDD" w:rsidP="00E51CDD">
      <w:pPr>
        <w:widowControl w:val="0"/>
        <w:jc w:val="both"/>
        <w:rPr>
          <w:szCs w:val="24"/>
          <w:lang w:eastAsia="en-US"/>
        </w:rPr>
      </w:pPr>
      <w:r w:rsidRPr="009916FC">
        <w:rPr>
          <w:bCs/>
          <w:szCs w:val="24"/>
          <w:lang w:eastAsia="en-US"/>
        </w:rPr>
        <w:t>No unacceptable effects of BAS 736 00 F on nitrogen transformation in soil were observed at both test concentrations (7.00 mg and 35.00 mg/kg dry soil) after 28 days. Only negligible deviations from the control of -7.7% and +0.4% (at test concentration 7.00 mg and 35.00 mg/kg dry soil, respectively) were observed in both treatment groups after 28 days.</w:t>
      </w:r>
    </w:p>
    <w:p w14:paraId="4021F667" w14:textId="77777777" w:rsidR="00E51CDD" w:rsidRPr="009916FC" w:rsidRDefault="00E51CDD" w:rsidP="00E51CDD">
      <w:pPr>
        <w:widowControl w:val="0"/>
        <w:jc w:val="both"/>
        <w:rPr>
          <w:color w:val="0070C0"/>
          <w:szCs w:val="24"/>
          <w:lang w:eastAsia="en-US"/>
        </w:rPr>
      </w:pPr>
    </w:p>
    <w:p w14:paraId="71F69473" w14:textId="77777777" w:rsidR="00E51CDD" w:rsidRPr="009916FC" w:rsidRDefault="00E51CDD" w:rsidP="00E51CDD">
      <w:pPr>
        <w:widowControl w:val="0"/>
        <w:jc w:val="both"/>
        <w:rPr>
          <w:b/>
          <w:bCs/>
          <w:szCs w:val="24"/>
          <w:lang w:eastAsia="en-US"/>
        </w:rPr>
      </w:pPr>
      <w:r w:rsidRPr="009916FC">
        <w:rPr>
          <w:b/>
          <w:szCs w:val="24"/>
          <w:lang w:eastAsia="en-US"/>
        </w:rPr>
        <w:t xml:space="preserve">Based on the results of this study, </w:t>
      </w:r>
      <w:r w:rsidRPr="009916FC">
        <w:rPr>
          <w:b/>
          <w:bCs/>
          <w:szCs w:val="24"/>
          <w:lang w:eastAsia="en-US"/>
        </w:rPr>
        <w:t>BAS 736 00 F caused no unacceptable short term and no long-term effects (&lt; 25% deviation from control according to OECD 216) on the soil nitrogen transformation (measured as NO</w:t>
      </w:r>
      <w:r w:rsidRPr="009916FC">
        <w:rPr>
          <w:b/>
          <w:bCs/>
          <w:szCs w:val="24"/>
          <w:vertAlign w:val="subscript"/>
          <w:lang w:eastAsia="en-US"/>
        </w:rPr>
        <w:t>3</w:t>
      </w:r>
      <w:r w:rsidRPr="009916FC">
        <w:rPr>
          <w:b/>
          <w:bCs/>
          <w:szCs w:val="24"/>
          <w:lang w:eastAsia="en-US"/>
        </w:rPr>
        <w:t>-N production) in a loamy sand soil tested up to a concentration of 35.00 mg/kg dry soil.</w:t>
      </w:r>
    </w:p>
    <w:p w14:paraId="1BA9EF7F" w14:textId="77777777" w:rsidR="00E51CDD" w:rsidRPr="009916FC" w:rsidRDefault="00E51CDD" w:rsidP="00E51CDD">
      <w:pPr>
        <w:widowControl w:val="0"/>
        <w:tabs>
          <w:tab w:val="left" w:pos="425"/>
          <w:tab w:val="left" w:pos="850"/>
        </w:tabs>
        <w:ind w:left="2835" w:hanging="2835"/>
        <w:jc w:val="both"/>
        <w:rPr>
          <w:color w:val="0070C0"/>
        </w:rPr>
      </w:pPr>
    </w:p>
    <w:p w14:paraId="6155AE61" w14:textId="77777777" w:rsidR="00E51CDD" w:rsidRPr="009916FC" w:rsidRDefault="00E51CDD" w:rsidP="00E51CDD">
      <w:pPr>
        <w:widowControl w:val="0"/>
        <w:tabs>
          <w:tab w:val="left" w:pos="425"/>
          <w:tab w:val="left" w:pos="850"/>
        </w:tabs>
        <w:ind w:left="2835" w:hanging="2835"/>
        <w:jc w:val="both"/>
        <w:rPr>
          <w:color w:val="0070C0"/>
        </w:rPr>
      </w:pPr>
      <w:r w:rsidRPr="009916FC">
        <w:rPr>
          <w:color w:val="0070C0"/>
        </w:rPr>
        <w:br w:type="page"/>
      </w:r>
    </w:p>
    <w:p w14:paraId="2F0FB7E0" w14:textId="77777777" w:rsidR="00E51CDD" w:rsidRPr="009916FC" w:rsidRDefault="00E51CDD" w:rsidP="00E51CDD">
      <w:pPr>
        <w:tabs>
          <w:tab w:val="left" w:pos="425"/>
          <w:tab w:val="left" w:pos="850"/>
        </w:tabs>
        <w:ind w:left="2835" w:hanging="2835"/>
        <w:rPr>
          <w:b/>
          <w:bCs/>
        </w:rPr>
      </w:pPr>
      <w:r w:rsidRPr="009916FC">
        <w:rPr>
          <w:b/>
          <w:bCs/>
        </w:rPr>
        <w:lastRenderedPageBreak/>
        <w:t>I.</w:t>
      </w:r>
      <w:r w:rsidRPr="009916FC">
        <w:rPr>
          <w:b/>
          <w:bCs/>
        </w:rPr>
        <w:tab/>
        <w:t>MATERIALS AND METHODS</w:t>
      </w:r>
    </w:p>
    <w:p w14:paraId="090DD0CA" w14:textId="77777777" w:rsidR="00E51CDD" w:rsidRPr="009916FC" w:rsidRDefault="00E51CDD" w:rsidP="00E51CDD"/>
    <w:p w14:paraId="720F82A3" w14:textId="77777777" w:rsidR="00E51CDD" w:rsidRPr="009916FC" w:rsidRDefault="00E51CDD" w:rsidP="00E51CDD">
      <w:pPr>
        <w:tabs>
          <w:tab w:val="left" w:pos="425"/>
          <w:tab w:val="left" w:pos="850"/>
        </w:tabs>
        <w:ind w:left="2835" w:hanging="2835"/>
        <w:rPr>
          <w:b/>
          <w:bCs/>
        </w:rPr>
      </w:pPr>
      <w:r w:rsidRPr="009916FC">
        <w:rPr>
          <w:b/>
          <w:bCs/>
        </w:rPr>
        <w:t>A.</w:t>
      </w:r>
      <w:r w:rsidRPr="009916FC">
        <w:rPr>
          <w:b/>
          <w:bCs/>
        </w:rPr>
        <w:tab/>
        <w:t>MATERIALS</w:t>
      </w:r>
    </w:p>
    <w:p w14:paraId="58139C54" w14:textId="77777777" w:rsidR="00E51CDD" w:rsidRPr="009916FC" w:rsidRDefault="00E51CDD" w:rsidP="00E51CDD">
      <w:pPr>
        <w:widowControl w:val="0"/>
        <w:tabs>
          <w:tab w:val="left" w:pos="2040"/>
        </w:tabs>
        <w:jc w:val="both"/>
        <w:rPr>
          <w:bCs/>
          <w:szCs w:val="24"/>
          <w:lang w:eastAsia="en-US"/>
        </w:rPr>
      </w:pPr>
    </w:p>
    <w:p w14:paraId="036118C3" w14:textId="77777777" w:rsidR="00E51CDD" w:rsidRPr="009916FC" w:rsidRDefault="00E51CDD" w:rsidP="00E51CDD">
      <w:pPr>
        <w:widowControl w:val="0"/>
        <w:tabs>
          <w:tab w:val="left" w:pos="1985"/>
        </w:tabs>
        <w:ind w:left="1985" w:hanging="1985"/>
        <w:jc w:val="both"/>
        <w:rPr>
          <w:szCs w:val="24"/>
          <w:lang w:eastAsia="en-US"/>
        </w:rPr>
      </w:pPr>
      <w:r w:rsidRPr="009916FC">
        <w:rPr>
          <w:iCs/>
          <w:szCs w:val="24"/>
          <w:lang w:eastAsia="en-US"/>
        </w:rPr>
        <w:t>Test item:</w:t>
      </w:r>
      <w:r w:rsidRPr="009916FC">
        <w:rPr>
          <w:iCs/>
          <w:szCs w:val="24"/>
          <w:lang w:eastAsia="en-US"/>
        </w:rPr>
        <w:tab/>
      </w:r>
      <w:r w:rsidRPr="009916FC">
        <w:rPr>
          <w:rFonts w:eastAsia="Calibri"/>
          <w:szCs w:val="24"/>
          <w:lang w:eastAsia="en-US"/>
        </w:rPr>
        <w:t>BAS 736 00 F; batch no. FD-190220-0002; content of a.s.: azoxystrobin (BAS 9164 F, Reg. No. 300 254): 73.9 g/L analyzed (75.0</w:t>
      </w:r>
      <w:r w:rsidRPr="009916FC">
        <w:rPr>
          <w:rFonts w:eastAsia="Calibri"/>
          <w:lang w:eastAsia="en-US"/>
        </w:rPr>
        <w:t> g</w:t>
      </w:r>
      <w:r w:rsidRPr="009916FC">
        <w:rPr>
          <w:rFonts w:eastAsia="Calibri"/>
          <w:szCs w:val="24"/>
          <w:lang w:eastAsia="en-US"/>
        </w:rPr>
        <w:t>/L nominal), fluxapyroxad (BAS 700 F, Reg. No. 5 094 351): 49.4 g/L analyzed (50.0 g/L nominal); density: 1.078 g/cm³.</w:t>
      </w:r>
    </w:p>
    <w:p w14:paraId="3EFFA6F0" w14:textId="77777777" w:rsidR="00E51CDD" w:rsidRPr="009916FC" w:rsidRDefault="00E51CDD" w:rsidP="00E51CDD">
      <w:pPr>
        <w:tabs>
          <w:tab w:val="left" w:pos="425"/>
          <w:tab w:val="left" w:pos="850"/>
        </w:tabs>
        <w:ind w:left="2835" w:hanging="2835"/>
        <w:rPr>
          <w:b/>
          <w:bCs/>
        </w:rPr>
      </w:pPr>
    </w:p>
    <w:p w14:paraId="70B42492" w14:textId="77777777" w:rsidR="00E51CDD" w:rsidRPr="009916FC" w:rsidRDefault="00E51CDD" w:rsidP="00E51CDD">
      <w:pPr>
        <w:tabs>
          <w:tab w:val="left" w:pos="425"/>
          <w:tab w:val="left" w:pos="850"/>
        </w:tabs>
        <w:ind w:left="2835" w:hanging="2835"/>
        <w:rPr>
          <w:b/>
          <w:bCs/>
        </w:rPr>
      </w:pPr>
      <w:r w:rsidRPr="009916FC">
        <w:rPr>
          <w:b/>
          <w:bCs/>
        </w:rPr>
        <w:t>B.</w:t>
      </w:r>
      <w:r w:rsidRPr="009916FC">
        <w:rPr>
          <w:b/>
          <w:bCs/>
        </w:rPr>
        <w:tab/>
        <w:t>STUDY DESIGN</w:t>
      </w:r>
    </w:p>
    <w:p w14:paraId="49EBD7A5" w14:textId="77777777" w:rsidR="00E51CDD" w:rsidRPr="009916FC" w:rsidRDefault="00E51CDD" w:rsidP="00E51CDD">
      <w:pPr>
        <w:widowControl w:val="0"/>
        <w:ind w:left="2040" w:hanging="2040"/>
        <w:jc w:val="both"/>
        <w:rPr>
          <w:bCs/>
          <w:color w:val="0070C0"/>
          <w:szCs w:val="24"/>
          <w:lang w:eastAsia="en-US"/>
        </w:rPr>
      </w:pPr>
    </w:p>
    <w:p w14:paraId="77BCB047" w14:textId="77777777" w:rsidR="00E51CDD" w:rsidRPr="009916FC" w:rsidRDefault="00E51CDD" w:rsidP="00E51CDD">
      <w:pPr>
        <w:widowControl w:val="0"/>
        <w:tabs>
          <w:tab w:val="left" w:pos="1985"/>
        </w:tabs>
        <w:ind w:left="1985" w:hanging="1985"/>
        <w:jc w:val="both"/>
        <w:rPr>
          <w:szCs w:val="24"/>
          <w:lang w:eastAsia="en-US"/>
        </w:rPr>
      </w:pPr>
      <w:r w:rsidRPr="009916FC">
        <w:rPr>
          <w:szCs w:val="24"/>
          <w:lang w:eastAsia="en-US"/>
        </w:rPr>
        <w:t>Test soil:</w:t>
      </w:r>
      <w:r w:rsidRPr="009916FC">
        <w:rPr>
          <w:szCs w:val="24"/>
          <w:lang w:eastAsia="en-US"/>
        </w:rPr>
        <w:tab/>
        <w:t>Biologically active agricultural soil: silty-loamy sand (DIN 4220) / sandy loam (USDA), soil pH 6.0, C</w:t>
      </w:r>
      <w:r w:rsidRPr="009916FC">
        <w:rPr>
          <w:szCs w:val="24"/>
          <w:vertAlign w:val="subscript"/>
          <w:lang w:eastAsia="en-US"/>
        </w:rPr>
        <w:t>org</w:t>
      </w:r>
      <w:r w:rsidRPr="009916FC">
        <w:rPr>
          <w:szCs w:val="24"/>
          <w:lang w:eastAsia="en-US"/>
        </w:rPr>
        <w:t xml:space="preserve"> 1.48%, WHC: 37.37%.</w:t>
      </w:r>
    </w:p>
    <w:p w14:paraId="1CC37DBE" w14:textId="77777777" w:rsidR="00E51CDD" w:rsidRPr="009916FC" w:rsidRDefault="00E51CDD" w:rsidP="00E51CDD">
      <w:pPr>
        <w:widowControl w:val="0"/>
        <w:tabs>
          <w:tab w:val="left" w:pos="1985"/>
          <w:tab w:val="left" w:pos="2040"/>
        </w:tabs>
        <w:ind w:left="1985" w:hanging="1985"/>
        <w:jc w:val="both"/>
        <w:rPr>
          <w:color w:val="0070C0"/>
          <w:szCs w:val="24"/>
          <w:lang w:eastAsia="en-US"/>
        </w:rPr>
      </w:pPr>
    </w:p>
    <w:p w14:paraId="12BBB5DF" w14:textId="77777777" w:rsidR="00E51CDD" w:rsidRPr="009916FC" w:rsidRDefault="00E51CDD" w:rsidP="00E51CDD">
      <w:pPr>
        <w:widowControl w:val="0"/>
        <w:tabs>
          <w:tab w:val="left" w:pos="1985"/>
        </w:tabs>
        <w:ind w:left="1985" w:hanging="1985"/>
        <w:jc w:val="both"/>
        <w:rPr>
          <w:szCs w:val="24"/>
          <w:lang w:eastAsia="en-US"/>
        </w:rPr>
      </w:pPr>
      <w:r w:rsidRPr="009916FC">
        <w:rPr>
          <w:szCs w:val="24"/>
          <w:lang w:eastAsia="en-US"/>
        </w:rPr>
        <w:t>Test design:</w:t>
      </w:r>
      <w:r w:rsidRPr="009916FC">
        <w:rPr>
          <w:szCs w:val="24"/>
          <w:lang w:eastAsia="en-US"/>
        </w:rPr>
        <w:tab/>
        <w:t>Determination of the N-transformation (NO</w:t>
      </w:r>
      <w:r w:rsidRPr="009916FC">
        <w:rPr>
          <w:szCs w:val="24"/>
          <w:vertAlign w:val="subscript"/>
          <w:lang w:eastAsia="en-US"/>
        </w:rPr>
        <w:t>3</w:t>
      </w:r>
      <w:r w:rsidRPr="009916FC">
        <w:rPr>
          <w:szCs w:val="24"/>
          <w:lang w:eastAsia="en-US"/>
        </w:rPr>
        <w:t>-nitrogen production) in soil enriched with lucerne meal (concentration in soil 0.5%). Three treatment groups were set up (untreated control, 2 test item concentrations) with 3 replicates per treatment. Comparison of test item treated soil with a non-treated soil. NH</w:t>
      </w:r>
      <w:r w:rsidRPr="009916FC">
        <w:rPr>
          <w:szCs w:val="24"/>
          <w:vertAlign w:val="subscript"/>
          <w:lang w:eastAsia="en-US"/>
        </w:rPr>
        <w:t>4</w:t>
      </w:r>
      <w:r w:rsidRPr="009916FC">
        <w:rPr>
          <w:szCs w:val="24"/>
          <w:lang w:eastAsia="en-US"/>
        </w:rPr>
        <w:t>-nitrogen formed from organically bound nitrogen and NO</w:t>
      </w:r>
      <w:r w:rsidRPr="009916FC">
        <w:rPr>
          <w:szCs w:val="24"/>
          <w:vertAlign w:val="subscript"/>
          <w:lang w:eastAsia="en-US"/>
        </w:rPr>
        <w:t>3</w:t>
      </w:r>
      <w:r w:rsidRPr="009916FC">
        <w:rPr>
          <w:szCs w:val="24"/>
          <w:lang w:eastAsia="en-US"/>
        </w:rPr>
        <w:t>-nitrogen from the nitrification process was determined by using an Autoanalyzer (SEAL Analytical). Sampling scheme: 0, 7, 14 and 28 days after treatment; sub-samples were withdrawn from the bulk batches and subjected to the measurement.</w:t>
      </w:r>
    </w:p>
    <w:p w14:paraId="463CE94E" w14:textId="77777777" w:rsidR="00E51CDD" w:rsidRPr="009916FC" w:rsidRDefault="00E51CDD" w:rsidP="00E51CDD">
      <w:pPr>
        <w:widowControl w:val="0"/>
        <w:tabs>
          <w:tab w:val="left" w:pos="1985"/>
        </w:tabs>
        <w:ind w:left="1985" w:hanging="1985"/>
        <w:jc w:val="both"/>
        <w:rPr>
          <w:color w:val="0070C0"/>
          <w:lang w:eastAsia="en-US"/>
        </w:rPr>
      </w:pPr>
    </w:p>
    <w:p w14:paraId="29CF1F24" w14:textId="77777777" w:rsidR="00E51CDD" w:rsidRPr="009916FC" w:rsidRDefault="00E51CDD" w:rsidP="00E51CDD">
      <w:pPr>
        <w:widowControl w:val="0"/>
        <w:tabs>
          <w:tab w:val="left" w:pos="1985"/>
        </w:tabs>
        <w:ind w:left="1985" w:hanging="1985"/>
        <w:jc w:val="both"/>
        <w:rPr>
          <w:szCs w:val="24"/>
          <w:lang w:eastAsia="en-US"/>
        </w:rPr>
      </w:pPr>
      <w:r w:rsidRPr="009916FC">
        <w:rPr>
          <w:szCs w:val="24"/>
          <w:lang w:eastAsia="en-US"/>
        </w:rPr>
        <w:t>Endpoints:</w:t>
      </w:r>
      <w:r w:rsidRPr="009916FC">
        <w:rPr>
          <w:szCs w:val="24"/>
          <w:lang w:eastAsia="en-US"/>
        </w:rPr>
        <w:tab/>
        <w:t>Effects on the NO</w:t>
      </w:r>
      <w:r w:rsidRPr="009916FC">
        <w:rPr>
          <w:szCs w:val="24"/>
          <w:vertAlign w:val="subscript"/>
          <w:lang w:eastAsia="en-US"/>
        </w:rPr>
        <w:t>3</w:t>
      </w:r>
      <w:r w:rsidRPr="009916FC">
        <w:rPr>
          <w:szCs w:val="24"/>
          <w:lang w:eastAsia="en-US"/>
        </w:rPr>
        <w:t>-nitrogen production 0, 7, 14 and 28 days after exposure.</w:t>
      </w:r>
    </w:p>
    <w:p w14:paraId="09EA7EB3" w14:textId="77777777" w:rsidR="00E51CDD" w:rsidRPr="009916FC" w:rsidRDefault="00E51CDD" w:rsidP="00E51CDD">
      <w:pPr>
        <w:widowControl w:val="0"/>
        <w:tabs>
          <w:tab w:val="left" w:pos="1985"/>
        </w:tabs>
        <w:ind w:left="1985" w:hanging="1985"/>
        <w:jc w:val="both"/>
        <w:rPr>
          <w:color w:val="0070C0"/>
          <w:lang w:eastAsia="en-US"/>
        </w:rPr>
      </w:pPr>
    </w:p>
    <w:p w14:paraId="040B4B9C" w14:textId="77777777" w:rsidR="00E51CDD" w:rsidRPr="009916FC" w:rsidRDefault="00E51CDD" w:rsidP="00E51CDD">
      <w:pPr>
        <w:widowControl w:val="0"/>
        <w:tabs>
          <w:tab w:val="left" w:pos="1985"/>
        </w:tabs>
        <w:ind w:left="1985" w:hanging="1985"/>
        <w:jc w:val="both"/>
        <w:rPr>
          <w:szCs w:val="24"/>
          <w:lang w:eastAsia="en-US"/>
        </w:rPr>
      </w:pPr>
      <w:r w:rsidRPr="009916FC">
        <w:rPr>
          <w:szCs w:val="24"/>
          <w:lang w:eastAsia="en-US"/>
        </w:rPr>
        <w:t>Test rates:</w:t>
      </w:r>
      <w:r w:rsidRPr="009916FC">
        <w:rPr>
          <w:szCs w:val="24"/>
          <w:lang w:eastAsia="en-US"/>
        </w:rPr>
        <w:tab/>
        <w:t>Control, 7.00 mg and 35.00 mg BAS 736 00 F/kg dry soil.</w:t>
      </w:r>
    </w:p>
    <w:p w14:paraId="40604416" w14:textId="77777777" w:rsidR="00E51CDD" w:rsidRPr="009916FC" w:rsidRDefault="00E51CDD" w:rsidP="00E51CDD">
      <w:pPr>
        <w:widowControl w:val="0"/>
        <w:tabs>
          <w:tab w:val="left" w:pos="1985"/>
        </w:tabs>
        <w:ind w:left="1985" w:hanging="1985"/>
        <w:jc w:val="both"/>
        <w:rPr>
          <w:color w:val="0070C0"/>
          <w:lang w:eastAsia="en-US"/>
        </w:rPr>
      </w:pPr>
    </w:p>
    <w:p w14:paraId="4820E479" w14:textId="77777777" w:rsidR="00E51CDD" w:rsidRPr="009916FC" w:rsidRDefault="00E51CDD" w:rsidP="00E51CDD">
      <w:pPr>
        <w:widowControl w:val="0"/>
        <w:tabs>
          <w:tab w:val="left" w:pos="1985"/>
        </w:tabs>
        <w:ind w:left="1985" w:hanging="1985"/>
        <w:jc w:val="both"/>
        <w:rPr>
          <w:szCs w:val="24"/>
          <w:lang w:eastAsia="en-US"/>
        </w:rPr>
      </w:pPr>
      <w:r w:rsidRPr="009916FC">
        <w:rPr>
          <w:szCs w:val="24"/>
          <w:lang w:eastAsia="en-US"/>
        </w:rPr>
        <w:t>Reference item:</w:t>
      </w:r>
      <w:r w:rsidRPr="009916FC">
        <w:rPr>
          <w:szCs w:val="24"/>
          <w:lang w:eastAsia="en-US"/>
        </w:rPr>
        <w:tab/>
        <w:t>Dinoterb (purity: 99.28% (g/g) analyzed). The reference item was tested in a separate study at rates 6.80, 13.60 and 27.20 mg/kg dry soil.</w:t>
      </w:r>
    </w:p>
    <w:p w14:paraId="30E9BFB0" w14:textId="77777777" w:rsidR="00E51CDD" w:rsidRPr="009916FC" w:rsidRDefault="00E51CDD" w:rsidP="00E51CDD">
      <w:pPr>
        <w:widowControl w:val="0"/>
        <w:tabs>
          <w:tab w:val="left" w:pos="1985"/>
        </w:tabs>
        <w:ind w:left="1985" w:hanging="1985"/>
        <w:jc w:val="both"/>
        <w:rPr>
          <w:lang w:eastAsia="en-US"/>
        </w:rPr>
      </w:pPr>
    </w:p>
    <w:p w14:paraId="126B9297" w14:textId="77777777" w:rsidR="00E51CDD" w:rsidRPr="009916FC" w:rsidRDefault="00E51CDD" w:rsidP="00E51CDD">
      <w:pPr>
        <w:widowControl w:val="0"/>
        <w:tabs>
          <w:tab w:val="left" w:pos="1985"/>
        </w:tabs>
        <w:ind w:left="1985" w:hanging="1985"/>
        <w:jc w:val="both"/>
        <w:rPr>
          <w:szCs w:val="24"/>
          <w:lang w:eastAsia="en-US"/>
        </w:rPr>
      </w:pPr>
      <w:r w:rsidRPr="009916FC">
        <w:rPr>
          <w:szCs w:val="24"/>
          <w:lang w:eastAsia="en-US"/>
        </w:rPr>
        <w:t>Test conditions:</w:t>
      </w:r>
      <w:r w:rsidRPr="009916FC">
        <w:rPr>
          <w:szCs w:val="24"/>
          <w:lang w:eastAsia="en-US"/>
        </w:rPr>
        <w:tab/>
        <w:t>Water content: approx. 45% of its maximum water holding capacity; measured water content: 16.03% - 16.48%; pH 6.0 - 6.1. Soil samples were incubated at 19.1 °C - 20.5 °C while stored in glass flasks in the dark.</w:t>
      </w:r>
    </w:p>
    <w:p w14:paraId="43E3618E" w14:textId="77777777" w:rsidR="00E51CDD" w:rsidRPr="009916FC" w:rsidRDefault="00E51CDD" w:rsidP="00E51CDD">
      <w:pPr>
        <w:widowControl w:val="0"/>
        <w:tabs>
          <w:tab w:val="left" w:pos="1985"/>
        </w:tabs>
        <w:ind w:left="1985" w:hanging="1985"/>
        <w:jc w:val="both"/>
        <w:rPr>
          <w:lang w:eastAsia="en-US"/>
        </w:rPr>
      </w:pPr>
    </w:p>
    <w:p w14:paraId="05224EFE" w14:textId="77777777" w:rsidR="00E51CDD" w:rsidRPr="009916FC" w:rsidRDefault="00E51CDD" w:rsidP="00E51CDD">
      <w:pPr>
        <w:widowControl w:val="0"/>
        <w:tabs>
          <w:tab w:val="left" w:pos="1985"/>
        </w:tabs>
        <w:ind w:left="1985" w:hanging="1985"/>
        <w:jc w:val="both"/>
        <w:rPr>
          <w:lang w:eastAsia="en-US"/>
        </w:rPr>
      </w:pPr>
      <w:r w:rsidRPr="009916FC">
        <w:rPr>
          <w:lang w:eastAsia="en-US"/>
        </w:rPr>
        <w:t>Analytics:</w:t>
      </w:r>
      <w:r w:rsidRPr="009916FC">
        <w:rPr>
          <w:lang w:eastAsia="en-US"/>
        </w:rPr>
        <w:tab/>
        <w:t>No analytical verification of the test item is required according to the current test guideline. Hence, no analytical verification was conducted.</w:t>
      </w:r>
    </w:p>
    <w:p w14:paraId="103D27EA" w14:textId="77777777" w:rsidR="00E51CDD" w:rsidRPr="009916FC" w:rsidRDefault="00E51CDD" w:rsidP="00E51CDD">
      <w:pPr>
        <w:widowControl w:val="0"/>
        <w:tabs>
          <w:tab w:val="left" w:pos="1985"/>
        </w:tabs>
        <w:ind w:left="1985" w:hanging="1985"/>
        <w:jc w:val="both"/>
        <w:rPr>
          <w:lang w:eastAsia="en-US"/>
        </w:rPr>
      </w:pPr>
    </w:p>
    <w:p w14:paraId="1530F3FB" w14:textId="77777777" w:rsidR="00E51CDD" w:rsidRPr="009916FC" w:rsidRDefault="00E51CDD" w:rsidP="00E51CDD">
      <w:pPr>
        <w:widowControl w:val="0"/>
        <w:tabs>
          <w:tab w:val="left" w:pos="1985"/>
        </w:tabs>
        <w:ind w:left="1985" w:hanging="1985"/>
        <w:jc w:val="both"/>
        <w:rPr>
          <w:szCs w:val="24"/>
          <w:lang w:eastAsia="en-US"/>
        </w:rPr>
      </w:pPr>
      <w:r w:rsidRPr="009916FC">
        <w:rPr>
          <w:szCs w:val="24"/>
          <w:lang w:eastAsia="en-US"/>
        </w:rPr>
        <w:t>Statistics:</w:t>
      </w:r>
      <w:r w:rsidRPr="009916FC">
        <w:rPr>
          <w:szCs w:val="24"/>
          <w:lang w:eastAsia="en-US"/>
        </w:rPr>
        <w:tab/>
      </w:r>
      <w:r w:rsidRPr="009916FC">
        <w:rPr>
          <w:bCs/>
          <w:szCs w:val="24"/>
          <w:lang w:eastAsia="en-US"/>
        </w:rPr>
        <w:t>Descriptive statistics</w:t>
      </w:r>
      <w:r w:rsidRPr="009916FC">
        <w:rPr>
          <w:szCs w:val="24"/>
          <w:lang w:eastAsia="en-US"/>
        </w:rPr>
        <w:t>.</w:t>
      </w:r>
    </w:p>
    <w:p w14:paraId="120CB1F6" w14:textId="77777777" w:rsidR="00E51CDD" w:rsidRPr="009916FC" w:rsidRDefault="00E51CDD" w:rsidP="00E51CDD">
      <w:pPr>
        <w:widowControl w:val="0"/>
        <w:jc w:val="both"/>
        <w:rPr>
          <w:color w:val="0070C0"/>
        </w:rPr>
      </w:pPr>
    </w:p>
    <w:p w14:paraId="0C13F2AD" w14:textId="77777777" w:rsidR="00E51CDD" w:rsidRPr="009916FC" w:rsidRDefault="00E51CDD" w:rsidP="00E51CDD">
      <w:pPr>
        <w:widowControl w:val="0"/>
        <w:jc w:val="both"/>
        <w:rPr>
          <w:color w:val="0070C0"/>
        </w:rPr>
      </w:pPr>
      <w:r w:rsidRPr="009916FC">
        <w:rPr>
          <w:color w:val="0070C0"/>
        </w:rPr>
        <w:br w:type="page"/>
      </w:r>
    </w:p>
    <w:p w14:paraId="7451952F" w14:textId="77777777" w:rsidR="00E51CDD" w:rsidRPr="009916FC" w:rsidRDefault="00E51CDD" w:rsidP="00E51CDD">
      <w:pPr>
        <w:widowControl w:val="0"/>
        <w:jc w:val="both"/>
        <w:rPr>
          <w:b/>
        </w:rPr>
      </w:pPr>
      <w:r w:rsidRPr="009916FC">
        <w:rPr>
          <w:b/>
        </w:rPr>
        <w:lastRenderedPageBreak/>
        <w:t>II.</w:t>
      </w:r>
      <w:r w:rsidRPr="009916FC">
        <w:rPr>
          <w:b/>
        </w:rPr>
        <w:tab/>
        <w:t>RESULTS AND DISCUSSION</w:t>
      </w:r>
    </w:p>
    <w:p w14:paraId="78D53112" w14:textId="77777777" w:rsidR="00E51CDD" w:rsidRPr="009916FC" w:rsidRDefault="00E51CDD" w:rsidP="00E51CDD">
      <w:pPr>
        <w:widowControl w:val="0"/>
        <w:jc w:val="both"/>
        <w:rPr>
          <w:lang w:eastAsia="en-US"/>
        </w:rPr>
      </w:pPr>
    </w:p>
    <w:p w14:paraId="25C86944" w14:textId="1CE35332" w:rsidR="00E51CDD" w:rsidRPr="009916FC" w:rsidRDefault="00E51CDD" w:rsidP="00E51CDD">
      <w:pPr>
        <w:widowControl w:val="0"/>
        <w:jc w:val="both"/>
        <w:rPr>
          <w:szCs w:val="24"/>
          <w:lang w:eastAsia="en-US"/>
        </w:rPr>
      </w:pPr>
      <w:r w:rsidRPr="009916FC">
        <w:rPr>
          <w:bCs/>
          <w:szCs w:val="24"/>
          <w:lang w:eastAsia="en-US"/>
        </w:rPr>
        <w:t>No unacceptable effects of BAS 736 00 F on nitrogen transformation in soil were observed at both test concentrations (7.00 mg and 35.00 mg/kg dry soil) after 28 days. Only negligible deviations from the control of -7.7% and +0.4% (at test concentration 7.00 mg and 35.00 mg/kg dry soil, respectively) were observed in both treatment groups after 28 days.</w:t>
      </w:r>
      <w:r w:rsidRPr="009916FC">
        <w:rPr>
          <w:szCs w:val="24"/>
          <w:lang w:eastAsia="en-US"/>
        </w:rPr>
        <w:t xml:space="preserve"> The results are summarized below </w:t>
      </w:r>
      <w:r w:rsidRPr="009C166F">
        <w:rPr>
          <w:szCs w:val="24"/>
          <w:lang w:eastAsia="en-US"/>
        </w:rPr>
        <w:t xml:space="preserve">in </w:t>
      </w:r>
      <w:r w:rsidRPr="009C166F">
        <w:rPr>
          <w:szCs w:val="24"/>
          <w:lang w:eastAsia="en-US"/>
        </w:rPr>
        <w:fldChar w:fldCharType="begin"/>
      </w:r>
      <w:r w:rsidRPr="009C166F">
        <w:rPr>
          <w:szCs w:val="24"/>
          <w:lang w:eastAsia="en-US"/>
        </w:rPr>
        <w:instrText xml:space="preserve"> REF _Ref83890010 \h </w:instrText>
      </w:r>
      <w:r>
        <w:rPr>
          <w:szCs w:val="24"/>
          <w:lang w:eastAsia="en-US"/>
        </w:rPr>
        <w:instrText xml:space="preserve"> \* MERGEFORMAT </w:instrText>
      </w:r>
      <w:r w:rsidRPr="009C166F">
        <w:rPr>
          <w:szCs w:val="24"/>
          <w:lang w:eastAsia="en-US"/>
        </w:rPr>
      </w:r>
      <w:r w:rsidRPr="009C166F">
        <w:rPr>
          <w:szCs w:val="24"/>
          <w:lang w:eastAsia="en-US"/>
        </w:rPr>
        <w:fldChar w:fldCharType="separate"/>
      </w:r>
      <w:r w:rsidR="00662F32" w:rsidRPr="009C166F">
        <w:t xml:space="preserve">Table A </w:t>
      </w:r>
      <w:r w:rsidR="00662F32">
        <w:rPr>
          <w:noProof/>
        </w:rPr>
        <w:t>37</w:t>
      </w:r>
      <w:r w:rsidRPr="009C166F">
        <w:rPr>
          <w:szCs w:val="24"/>
          <w:lang w:eastAsia="en-US"/>
        </w:rPr>
        <w:fldChar w:fldCharType="end"/>
      </w:r>
      <w:r w:rsidRPr="009C166F">
        <w:rPr>
          <w:szCs w:val="24"/>
          <w:lang w:eastAsia="en-US"/>
        </w:rPr>
        <w:t>.</w:t>
      </w:r>
      <w:r w:rsidRPr="009C166F">
        <w:rPr>
          <w:szCs w:val="24"/>
          <w:cs/>
          <w:lang w:eastAsia="en-US"/>
        </w:rPr>
        <w:t>‎</w:t>
      </w:r>
    </w:p>
    <w:p w14:paraId="147B1492" w14:textId="77777777" w:rsidR="00E51CDD" w:rsidRPr="009916FC" w:rsidRDefault="00E51CDD" w:rsidP="00E51CDD">
      <w:pPr>
        <w:widowControl w:val="0"/>
        <w:jc w:val="both"/>
        <w:rPr>
          <w:lang w:eastAsia="en-US"/>
        </w:rPr>
      </w:pPr>
    </w:p>
    <w:p w14:paraId="647B0FDE" w14:textId="0923E6FD" w:rsidR="00B74DCE" w:rsidRDefault="00E51CDD" w:rsidP="00E51CDD">
      <w:pPr>
        <w:pStyle w:val="Legenda"/>
        <w:rPr>
          <w:sz w:val="22"/>
          <w:szCs w:val="22"/>
          <w:lang w:eastAsia="en-US"/>
        </w:rPr>
      </w:pPr>
      <w:bookmarkStart w:id="1285" w:name="_Ref83890010"/>
      <w:r w:rsidRPr="009C166F">
        <w:rPr>
          <w:sz w:val="22"/>
          <w:szCs w:val="22"/>
        </w:rPr>
        <w:t xml:space="preserve">Table A </w:t>
      </w:r>
      <w:r w:rsidRPr="009C166F">
        <w:rPr>
          <w:sz w:val="22"/>
          <w:szCs w:val="22"/>
        </w:rPr>
        <w:fldChar w:fldCharType="begin"/>
      </w:r>
      <w:r w:rsidRPr="009C166F">
        <w:rPr>
          <w:sz w:val="22"/>
          <w:szCs w:val="22"/>
        </w:rPr>
        <w:instrText xml:space="preserve"> SEQ Table_A \* ARABIC </w:instrText>
      </w:r>
      <w:r w:rsidRPr="009C166F">
        <w:rPr>
          <w:sz w:val="22"/>
          <w:szCs w:val="22"/>
        </w:rPr>
        <w:fldChar w:fldCharType="separate"/>
      </w:r>
      <w:r w:rsidR="00662F32">
        <w:rPr>
          <w:noProof/>
          <w:sz w:val="22"/>
          <w:szCs w:val="22"/>
        </w:rPr>
        <w:t>37</w:t>
      </w:r>
      <w:r w:rsidRPr="009C166F">
        <w:rPr>
          <w:sz w:val="22"/>
          <w:szCs w:val="22"/>
        </w:rPr>
        <w:fldChar w:fldCharType="end"/>
      </w:r>
      <w:bookmarkEnd w:id="1285"/>
      <w:r w:rsidRPr="009C166F">
        <w:rPr>
          <w:sz w:val="22"/>
          <w:szCs w:val="22"/>
          <w:lang w:eastAsia="en-US"/>
        </w:rPr>
        <w:t>:</w:t>
      </w:r>
      <w:r w:rsidRPr="009C166F">
        <w:rPr>
          <w:sz w:val="22"/>
          <w:szCs w:val="22"/>
          <w:lang w:eastAsia="en-US"/>
        </w:rPr>
        <w:tab/>
        <w:t xml:space="preserve">Effects of BAS 736 00 F on soil micro-organisms (nitrogen transformation rate) for </w:t>
      </w:r>
    </w:p>
    <w:p w14:paraId="50D0E7B9" w14:textId="0F9BBBAA" w:rsidR="00E51CDD" w:rsidRPr="009C166F" w:rsidRDefault="00E51CDD" w:rsidP="00B74DCE">
      <w:pPr>
        <w:pStyle w:val="Legenda"/>
        <w:ind w:left="708" w:firstLine="708"/>
        <w:rPr>
          <w:b w:val="0"/>
          <w:bCs w:val="0"/>
          <w:sz w:val="22"/>
          <w:szCs w:val="22"/>
        </w:rPr>
      </w:pPr>
      <w:r w:rsidRPr="009C166F">
        <w:rPr>
          <w:sz w:val="22"/>
          <w:szCs w:val="22"/>
          <w:lang w:eastAsia="en-US"/>
        </w:rPr>
        <w:t>the intervals 0 - 7, 0 - 14 and 0 - 28</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255"/>
        <w:gridCol w:w="1800"/>
        <w:gridCol w:w="1890"/>
        <w:gridCol w:w="1260"/>
        <w:gridCol w:w="1800"/>
        <w:gridCol w:w="1350"/>
      </w:tblGrid>
      <w:tr w:rsidR="00E51CDD" w:rsidRPr="009916FC" w14:paraId="24846538" w14:textId="77777777" w:rsidTr="009938D9">
        <w:trPr>
          <w:cantSplit/>
          <w:tblHeader/>
        </w:trPr>
        <w:tc>
          <w:tcPr>
            <w:tcW w:w="1255" w:type="dxa"/>
            <w:vMerge w:val="restart"/>
            <w:vAlign w:val="center"/>
          </w:tcPr>
          <w:p w14:paraId="7956975E" w14:textId="77777777" w:rsidR="00E51CDD" w:rsidRPr="009916FC" w:rsidRDefault="00E51CDD" w:rsidP="009938D9">
            <w:pPr>
              <w:widowControl w:val="0"/>
              <w:overflowPunct w:val="0"/>
              <w:autoSpaceDE w:val="0"/>
              <w:autoSpaceDN w:val="0"/>
              <w:adjustRightInd w:val="0"/>
              <w:spacing w:before="40"/>
              <w:jc w:val="center"/>
              <w:textAlignment w:val="baseline"/>
              <w:rPr>
                <w:b/>
                <w:sz w:val="20"/>
              </w:rPr>
            </w:pPr>
            <w:r w:rsidRPr="009916FC">
              <w:rPr>
                <w:b/>
                <w:sz w:val="20"/>
                <w:lang w:eastAsia="en-US"/>
              </w:rPr>
              <w:t>Soil</w:t>
            </w:r>
            <w:r w:rsidRPr="009916FC">
              <w:rPr>
                <w:b/>
                <w:sz w:val="20"/>
                <w:lang w:eastAsia="en-US"/>
              </w:rPr>
              <w:br/>
              <w:t>(interval)</w:t>
            </w:r>
          </w:p>
        </w:tc>
        <w:tc>
          <w:tcPr>
            <w:tcW w:w="1800" w:type="dxa"/>
            <w:vAlign w:val="center"/>
          </w:tcPr>
          <w:p w14:paraId="09F9F853" w14:textId="77777777" w:rsidR="00E51CDD" w:rsidRPr="009916FC" w:rsidRDefault="00E51CDD" w:rsidP="009938D9">
            <w:pPr>
              <w:widowControl w:val="0"/>
              <w:overflowPunct w:val="0"/>
              <w:autoSpaceDE w:val="0"/>
              <w:autoSpaceDN w:val="0"/>
              <w:adjustRightInd w:val="0"/>
              <w:spacing w:before="40"/>
              <w:jc w:val="center"/>
              <w:textAlignment w:val="baseline"/>
              <w:rPr>
                <w:b/>
                <w:sz w:val="20"/>
              </w:rPr>
            </w:pPr>
            <w:r w:rsidRPr="009916FC">
              <w:rPr>
                <w:b/>
                <w:sz w:val="20"/>
                <w:lang w:eastAsia="en-US"/>
              </w:rPr>
              <w:t>Control</w:t>
            </w:r>
          </w:p>
        </w:tc>
        <w:tc>
          <w:tcPr>
            <w:tcW w:w="3150" w:type="dxa"/>
            <w:gridSpan w:val="2"/>
            <w:vAlign w:val="center"/>
          </w:tcPr>
          <w:p w14:paraId="55B82F57" w14:textId="77777777" w:rsidR="00E51CDD" w:rsidRPr="009916FC" w:rsidRDefault="00E51CDD" w:rsidP="009938D9">
            <w:pPr>
              <w:widowControl w:val="0"/>
              <w:overflowPunct w:val="0"/>
              <w:autoSpaceDE w:val="0"/>
              <w:autoSpaceDN w:val="0"/>
              <w:adjustRightInd w:val="0"/>
              <w:spacing w:before="40"/>
              <w:jc w:val="center"/>
              <w:textAlignment w:val="baseline"/>
              <w:rPr>
                <w:b/>
                <w:sz w:val="20"/>
                <w:lang w:eastAsia="en-US"/>
              </w:rPr>
            </w:pPr>
            <w:r w:rsidRPr="009916FC">
              <w:rPr>
                <w:b/>
                <w:sz w:val="20"/>
                <w:lang w:eastAsia="en-US"/>
              </w:rPr>
              <w:t>7.00 mg BAS 736 00 F/kg dry soil</w:t>
            </w:r>
          </w:p>
        </w:tc>
        <w:tc>
          <w:tcPr>
            <w:tcW w:w="3150" w:type="dxa"/>
            <w:gridSpan w:val="2"/>
            <w:vAlign w:val="center"/>
          </w:tcPr>
          <w:p w14:paraId="15FCF65F" w14:textId="77777777" w:rsidR="00E51CDD" w:rsidRPr="009916FC" w:rsidRDefault="00E51CDD" w:rsidP="009938D9">
            <w:pPr>
              <w:widowControl w:val="0"/>
              <w:overflowPunct w:val="0"/>
              <w:autoSpaceDE w:val="0"/>
              <w:autoSpaceDN w:val="0"/>
              <w:adjustRightInd w:val="0"/>
              <w:spacing w:before="40"/>
              <w:jc w:val="center"/>
              <w:textAlignment w:val="baseline"/>
              <w:rPr>
                <w:b/>
                <w:sz w:val="20"/>
                <w:lang w:eastAsia="en-US"/>
              </w:rPr>
            </w:pPr>
            <w:r w:rsidRPr="009916FC">
              <w:rPr>
                <w:b/>
                <w:sz w:val="20"/>
                <w:lang w:eastAsia="en-US"/>
              </w:rPr>
              <w:t>35.00 mg BAS 736 00 F/kg dry soil</w:t>
            </w:r>
          </w:p>
        </w:tc>
      </w:tr>
      <w:tr w:rsidR="00E51CDD" w:rsidRPr="009916FC" w14:paraId="15570C53" w14:textId="77777777" w:rsidTr="009938D9">
        <w:trPr>
          <w:cantSplit/>
          <w:tblHeader/>
        </w:trPr>
        <w:tc>
          <w:tcPr>
            <w:tcW w:w="1255" w:type="dxa"/>
            <w:vMerge/>
            <w:vAlign w:val="center"/>
          </w:tcPr>
          <w:p w14:paraId="062BCC7F" w14:textId="77777777" w:rsidR="00E51CDD" w:rsidRPr="009916FC" w:rsidRDefault="00E51CDD" w:rsidP="009938D9">
            <w:pPr>
              <w:widowControl w:val="0"/>
              <w:overflowPunct w:val="0"/>
              <w:autoSpaceDE w:val="0"/>
              <w:autoSpaceDN w:val="0"/>
              <w:adjustRightInd w:val="0"/>
              <w:spacing w:before="40"/>
              <w:jc w:val="center"/>
              <w:textAlignment w:val="baseline"/>
              <w:rPr>
                <w:b/>
                <w:sz w:val="20"/>
              </w:rPr>
            </w:pPr>
          </w:p>
        </w:tc>
        <w:tc>
          <w:tcPr>
            <w:tcW w:w="1800" w:type="dxa"/>
            <w:vAlign w:val="center"/>
          </w:tcPr>
          <w:p w14:paraId="5950CB9F" w14:textId="77777777" w:rsidR="00E51CDD" w:rsidRPr="009916FC" w:rsidRDefault="00E51CDD" w:rsidP="009938D9">
            <w:pPr>
              <w:widowControl w:val="0"/>
              <w:overflowPunct w:val="0"/>
              <w:autoSpaceDE w:val="0"/>
              <w:autoSpaceDN w:val="0"/>
              <w:adjustRightInd w:val="0"/>
              <w:spacing w:before="40"/>
              <w:jc w:val="center"/>
              <w:textAlignment w:val="baseline"/>
              <w:rPr>
                <w:b/>
                <w:sz w:val="20"/>
                <w:vertAlign w:val="superscript"/>
              </w:rPr>
            </w:pPr>
            <w:r w:rsidRPr="009916FC">
              <w:rPr>
                <w:b/>
                <w:sz w:val="20"/>
                <w:lang w:eastAsia="en-US"/>
              </w:rPr>
              <w:t>NO</w:t>
            </w:r>
            <w:r w:rsidRPr="009916FC">
              <w:rPr>
                <w:b/>
                <w:sz w:val="20"/>
                <w:vertAlign w:val="subscript"/>
                <w:lang w:eastAsia="en-US"/>
              </w:rPr>
              <w:t>3</w:t>
            </w:r>
            <w:r w:rsidRPr="009916FC">
              <w:rPr>
                <w:b/>
                <w:sz w:val="20"/>
                <w:lang w:eastAsia="en-US"/>
              </w:rPr>
              <w:t>-N</w:t>
            </w:r>
            <w:r w:rsidRPr="009916FC">
              <w:rPr>
                <w:b/>
                <w:sz w:val="20"/>
                <w:lang w:eastAsia="en-US"/>
              </w:rPr>
              <w:br/>
              <w:t xml:space="preserve">[mg/kg dry soil] </w:t>
            </w:r>
            <w:r w:rsidRPr="009916FC">
              <w:rPr>
                <w:b/>
                <w:sz w:val="20"/>
                <w:vertAlign w:val="superscript"/>
                <w:lang w:eastAsia="en-US"/>
              </w:rPr>
              <w:t>1</w:t>
            </w:r>
          </w:p>
        </w:tc>
        <w:tc>
          <w:tcPr>
            <w:tcW w:w="1890" w:type="dxa"/>
            <w:vAlign w:val="center"/>
          </w:tcPr>
          <w:p w14:paraId="0BA08867" w14:textId="77777777" w:rsidR="00E51CDD" w:rsidRPr="009916FC" w:rsidRDefault="00E51CDD" w:rsidP="009938D9">
            <w:pPr>
              <w:widowControl w:val="0"/>
              <w:overflowPunct w:val="0"/>
              <w:autoSpaceDE w:val="0"/>
              <w:autoSpaceDN w:val="0"/>
              <w:adjustRightInd w:val="0"/>
              <w:spacing w:before="40"/>
              <w:jc w:val="center"/>
              <w:textAlignment w:val="baseline"/>
              <w:rPr>
                <w:b/>
                <w:sz w:val="20"/>
                <w:lang w:eastAsia="en-US"/>
              </w:rPr>
            </w:pPr>
            <w:r w:rsidRPr="009916FC">
              <w:rPr>
                <w:b/>
                <w:sz w:val="20"/>
                <w:lang w:eastAsia="en-US"/>
              </w:rPr>
              <w:t>NO</w:t>
            </w:r>
            <w:r w:rsidRPr="009916FC">
              <w:rPr>
                <w:b/>
                <w:sz w:val="20"/>
                <w:vertAlign w:val="subscript"/>
                <w:lang w:eastAsia="en-US"/>
              </w:rPr>
              <w:t>3</w:t>
            </w:r>
            <w:r w:rsidRPr="009916FC">
              <w:rPr>
                <w:b/>
                <w:sz w:val="20"/>
                <w:lang w:eastAsia="en-US"/>
              </w:rPr>
              <w:t>-N</w:t>
            </w:r>
            <w:r w:rsidRPr="009916FC">
              <w:rPr>
                <w:b/>
                <w:sz w:val="20"/>
                <w:lang w:eastAsia="en-US"/>
              </w:rPr>
              <w:br/>
              <w:t xml:space="preserve">[mg/kg dry soil] </w:t>
            </w:r>
            <w:r w:rsidRPr="009916FC">
              <w:rPr>
                <w:b/>
                <w:sz w:val="20"/>
                <w:vertAlign w:val="superscript"/>
                <w:lang w:eastAsia="en-US"/>
              </w:rPr>
              <w:t>1</w:t>
            </w:r>
          </w:p>
        </w:tc>
        <w:tc>
          <w:tcPr>
            <w:tcW w:w="1260" w:type="dxa"/>
            <w:vAlign w:val="center"/>
          </w:tcPr>
          <w:p w14:paraId="289D91A4" w14:textId="77777777" w:rsidR="00E51CDD" w:rsidRPr="009916FC" w:rsidRDefault="00E51CDD" w:rsidP="009938D9">
            <w:pPr>
              <w:widowControl w:val="0"/>
              <w:overflowPunct w:val="0"/>
              <w:autoSpaceDE w:val="0"/>
              <w:autoSpaceDN w:val="0"/>
              <w:adjustRightInd w:val="0"/>
              <w:spacing w:before="40"/>
              <w:jc w:val="center"/>
              <w:textAlignment w:val="baseline"/>
              <w:rPr>
                <w:b/>
                <w:sz w:val="20"/>
                <w:lang w:eastAsia="en-US"/>
              </w:rPr>
            </w:pPr>
            <w:r w:rsidRPr="009916FC">
              <w:rPr>
                <w:b/>
                <w:sz w:val="20"/>
                <w:lang w:eastAsia="en-US"/>
              </w:rPr>
              <w:t>% Deviation from control</w:t>
            </w:r>
          </w:p>
        </w:tc>
        <w:tc>
          <w:tcPr>
            <w:tcW w:w="1800" w:type="dxa"/>
            <w:vAlign w:val="center"/>
          </w:tcPr>
          <w:p w14:paraId="3FE8F939" w14:textId="77777777" w:rsidR="00E51CDD" w:rsidRPr="009916FC" w:rsidRDefault="00E51CDD" w:rsidP="009938D9">
            <w:pPr>
              <w:widowControl w:val="0"/>
              <w:overflowPunct w:val="0"/>
              <w:autoSpaceDE w:val="0"/>
              <w:autoSpaceDN w:val="0"/>
              <w:adjustRightInd w:val="0"/>
              <w:spacing w:before="40"/>
              <w:jc w:val="center"/>
              <w:textAlignment w:val="baseline"/>
              <w:rPr>
                <w:b/>
                <w:sz w:val="20"/>
                <w:vertAlign w:val="superscript"/>
                <w:lang w:eastAsia="en-US"/>
              </w:rPr>
            </w:pPr>
            <w:r w:rsidRPr="009916FC">
              <w:rPr>
                <w:b/>
                <w:sz w:val="20"/>
                <w:lang w:eastAsia="en-US"/>
              </w:rPr>
              <w:t>NO</w:t>
            </w:r>
            <w:r w:rsidRPr="009916FC">
              <w:rPr>
                <w:b/>
                <w:sz w:val="20"/>
                <w:vertAlign w:val="subscript"/>
                <w:lang w:eastAsia="en-US"/>
              </w:rPr>
              <w:t>3</w:t>
            </w:r>
            <w:r w:rsidRPr="009916FC">
              <w:rPr>
                <w:b/>
                <w:sz w:val="20"/>
                <w:lang w:eastAsia="en-US"/>
              </w:rPr>
              <w:t>-N</w:t>
            </w:r>
            <w:r w:rsidRPr="009916FC">
              <w:rPr>
                <w:b/>
                <w:sz w:val="20"/>
                <w:lang w:eastAsia="en-US"/>
              </w:rPr>
              <w:br/>
              <w:t xml:space="preserve">[mg/kg dry soil] </w:t>
            </w:r>
            <w:r w:rsidRPr="009916FC">
              <w:rPr>
                <w:b/>
                <w:sz w:val="20"/>
                <w:vertAlign w:val="superscript"/>
                <w:lang w:eastAsia="en-US"/>
              </w:rPr>
              <w:t>1</w:t>
            </w:r>
          </w:p>
        </w:tc>
        <w:tc>
          <w:tcPr>
            <w:tcW w:w="1350" w:type="dxa"/>
            <w:vAlign w:val="center"/>
          </w:tcPr>
          <w:p w14:paraId="67ADE5D5" w14:textId="77777777" w:rsidR="00E51CDD" w:rsidRPr="009916FC" w:rsidRDefault="00E51CDD" w:rsidP="009938D9">
            <w:pPr>
              <w:widowControl w:val="0"/>
              <w:overflowPunct w:val="0"/>
              <w:autoSpaceDE w:val="0"/>
              <w:autoSpaceDN w:val="0"/>
              <w:adjustRightInd w:val="0"/>
              <w:spacing w:before="40"/>
              <w:jc w:val="center"/>
              <w:textAlignment w:val="baseline"/>
              <w:rPr>
                <w:b/>
                <w:sz w:val="20"/>
                <w:lang w:eastAsia="en-US"/>
              </w:rPr>
            </w:pPr>
            <w:r w:rsidRPr="009916FC">
              <w:rPr>
                <w:b/>
                <w:sz w:val="20"/>
                <w:lang w:eastAsia="en-US"/>
              </w:rPr>
              <w:t>% Deviation from control</w:t>
            </w:r>
          </w:p>
        </w:tc>
      </w:tr>
      <w:tr w:rsidR="00E51CDD" w:rsidRPr="009916FC" w14:paraId="031DEC52" w14:textId="77777777" w:rsidTr="009938D9">
        <w:tc>
          <w:tcPr>
            <w:tcW w:w="1255" w:type="dxa"/>
            <w:vAlign w:val="center"/>
          </w:tcPr>
          <w:p w14:paraId="47808DDD"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 xml:space="preserve">Loamy sand </w:t>
            </w:r>
            <w:r w:rsidRPr="009916FC">
              <w:rPr>
                <w:sz w:val="20"/>
                <w:lang w:eastAsia="en-US"/>
              </w:rPr>
              <w:br/>
              <w:t>(0 - 7 d)</w:t>
            </w:r>
          </w:p>
        </w:tc>
        <w:tc>
          <w:tcPr>
            <w:tcW w:w="1800" w:type="dxa"/>
            <w:vAlign w:val="center"/>
          </w:tcPr>
          <w:p w14:paraId="29CF3C97"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40.20</w:t>
            </w:r>
          </w:p>
        </w:tc>
        <w:tc>
          <w:tcPr>
            <w:tcW w:w="1890" w:type="dxa"/>
            <w:vAlign w:val="center"/>
          </w:tcPr>
          <w:p w14:paraId="0E543683"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36.23</w:t>
            </w:r>
          </w:p>
        </w:tc>
        <w:tc>
          <w:tcPr>
            <w:tcW w:w="1260" w:type="dxa"/>
            <w:vAlign w:val="center"/>
          </w:tcPr>
          <w:p w14:paraId="4FBC0845"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-9.9</w:t>
            </w:r>
          </w:p>
        </w:tc>
        <w:tc>
          <w:tcPr>
            <w:tcW w:w="1800" w:type="dxa"/>
            <w:vAlign w:val="center"/>
          </w:tcPr>
          <w:p w14:paraId="7B96203F"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44.23</w:t>
            </w:r>
          </w:p>
        </w:tc>
        <w:tc>
          <w:tcPr>
            <w:tcW w:w="1350" w:type="dxa"/>
            <w:vAlign w:val="center"/>
          </w:tcPr>
          <w:p w14:paraId="49600147"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+10.0</w:t>
            </w:r>
          </w:p>
        </w:tc>
      </w:tr>
      <w:tr w:rsidR="00E51CDD" w:rsidRPr="009916FC" w14:paraId="3A30CAD4" w14:textId="77777777" w:rsidTr="009938D9">
        <w:tc>
          <w:tcPr>
            <w:tcW w:w="1255" w:type="dxa"/>
            <w:vAlign w:val="center"/>
          </w:tcPr>
          <w:p w14:paraId="2DFFAC01"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 xml:space="preserve">Loamy sand </w:t>
            </w:r>
            <w:r w:rsidRPr="009916FC">
              <w:rPr>
                <w:sz w:val="20"/>
                <w:lang w:eastAsia="en-US"/>
              </w:rPr>
              <w:br/>
              <w:t>(0 - 14 d)</w:t>
            </w:r>
          </w:p>
        </w:tc>
        <w:tc>
          <w:tcPr>
            <w:tcW w:w="1800" w:type="dxa"/>
            <w:vAlign w:val="center"/>
          </w:tcPr>
          <w:p w14:paraId="44766E45"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54.47</w:t>
            </w:r>
          </w:p>
        </w:tc>
        <w:tc>
          <w:tcPr>
            <w:tcW w:w="1890" w:type="dxa"/>
            <w:vAlign w:val="center"/>
          </w:tcPr>
          <w:p w14:paraId="0E7117A0"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53.67</w:t>
            </w:r>
          </w:p>
        </w:tc>
        <w:tc>
          <w:tcPr>
            <w:tcW w:w="1260" w:type="dxa"/>
            <w:vAlign w:val="center"/>
          </w:tcPr>
          <w:p w14:paraId="23A3FE56"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-1.5</w:t>
            </w:r>
          </w:p>
        </w:tc>
        <w:tc>
          <w:tcPr>
            <w:tcW w:w="1800" w:type="dxa"/>
            <w:vAlign w:val="center"/>
          </w:tcPr>
          <w:p w14:paraId="6560FF55"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54.33</w:t>
            </w:r>
          </w:p>
        </w:tc>
        <w:tc>
          <w:tcPr>
            <w:tcW w:w="1350" w:type="dxa"/>
            <w:vAlign w:val="center"/>
          </w:tcPr>
          <w:p w14:paraId="553054C4"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-0.2</w:t>
            </w:r>
          </w:p>
        </w:tc>
      </w:tr>
      <w:tr w:rsidR="00E51CDD" w:rsidRPr="009916FC" w14:paraId="6CAB3587" w14:textId="77777777" w:rsidTr="009938D9">
        <w:tc>
          <w:tcPr>
            <w:tcW w:w="1255" w:type="dxa"/>
            <w:vAlign w:val="center"/>
          </w:tcPr>
          <w:p w14:paraId="7CE208DE"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Loamy sand</w:t>
            </w:r>
            <w:r w:rsidRPr="009916FC">
              <w:rPr>
                <w:sz w:val="20"/>
                <w:lang w:eastAsia="en-US"/>
              </w:rPr>
              <w:br/>
              <w:t>(0 - 28 d)</w:t>
            </w:r>
          </w:p>
        </w:tc>
        <w:tc>
          <w:tcPr>
            <w:tcW w:w="1800" w:type="dxa"/>
            <w:vAlign w:val="center"/>
          </w:tcPr>
          <w:p w14:paraId="067B3565"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73.17</w:t>
            </w:r>
          </w:p>
        </w:tc>
        <w:tc>
          <w:tcPr>
            <w:tcW w:w="1890" w:type="dxa"/>
            <w:vAlign w:val="center"/>
          </w:tcPr>
          <w:p w14:paraId="3FBC2A33"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67.53</w:t>
            </w:r>
          </w:p>
        </w:tc>
        <w:tc>
          <w:tcPr>
            <w:tcW w:w="1260" w:type="dxa"/>
            <w:vAlign w:val="center"/>
          </w:tcPr>
          <w:p w14:paraId="30ABBD72"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-7.7</w:t>
            </w:r>
          </w:p>
        </w:tc>
        <w:tc>
          <w:tcPr>
            <w:tcW w:w="1800" w:type="dxa"/>
            <w:vAlign w:val="center"/>
          </w:tcPr>
          <w:p w14:paraId="478F8CDD"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73.47</w:t>
            </w:r>
          </w:p>
        </w:tc>
        <w:tc>
          <w:tcPr>
            <w:tcW w:w="1350" w:type="dxa"/>
            <w:vAlign w:val="center"/>
          </w:tcPr>
          <w:p w14:paraId="691BDAF1"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+0.4</w:t>
            </w:r>
          </w:p>
        </w:tc>
      </w:tr>
      <w:tr w:rsidR="00E51CDD" w:rsidRPr="009916FC" w14:paraId="524CB385" w14:textId="77777777" w:rsidTr="009938D9">
        <w:tc>
          <w:tcPr>
            <w:tcW w:w="1255" w:type="dxa"/>
            <w:vAlign w:val="center"/>
          </w:tcPr>
          <w:p w14:paraId="7F315E0C"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p>
        </w:tc>
        <w:tc>
          <w:tcPr>
            <w:tcW w:w="1800" w:type="dxa"/>
            <w:vAlign w:val="center"/>
          </w:tcPr>
          <w:p w14:paraId="23F1E2AE" w14:textId="77777777" w:rsidR="00E51CDD" w:rsidRPr="009916FC" w:rsidRDefault="00E51CDD" w:rsidP="009938D9">
            <w:pPr>
              <w:widowControl w:val="0"/>
              <w:overflowPunct w:val="0"/>
              <w:autoSpaceDE w:val="0"/>
              <w:autoSpaceDN w:val="0"/>
              <w:adjustRightInd w:val="0"/>
              <w:spacing w:before="40"/>
              <w:jc w:val="center"/>
              <w:textAlignment w:val="baseline"/>
              <w:rPr>
                <w:b/>
                <w:sz w:val="20"/>
                <w:vertAlign w:val="superscript"/>
                <w:lang w:eastAsia="en-US"/>
              </w:rPr>
            </w:pPr>
            <w:r w:rsidRPr="009916FC">
              <w:rPr>
                <w:b/>
                <w:sz w:val="20"/>
                <w:lang w:eastAsia="en-US"/>
              </w:rPr>
              <w:t>NO</w:t>
            </w:r>
            <w:r w:rsidRPr="009916FC">
              <w:rPr>
                <w:b/>
                <w:sz w:val="20"/>
                <w:vertAlign w:val="subscript"/>
                <w:lang w:eastAsia="en-US"/>
              </w:rPr>
              <w:t>3</w:t>
            </w:r>
            <w:r w:rsidRPr="009916FC">
              <w:rPr>
                <w:b/>
                <w:sz w:val="20"/>
                <w:lang w:eastAsia="en-US"/>
              </w:rPr>
              <w:t>-N/day</w:t>
            </w:r>
            <w:r w:rsidRPr="009916FC">
              <w:rPr>
                <w:b/>
                <w:sz w:val="20"/>
                <w:lang w:eastAsia="en-US"/>
              </w:rPr>
              <w:br/>
              <w:t>[mg/kg dry soil/d]</w:t>
            </w:r>
            <w:r w:rsidRPr="009916FC">
              <w:rPr>
                <w:b/>
                <w:sz w:val="20"/>
                <w:vertAlign w:val="superscript"/>
                <w:lang w:eastAsia="en-US"/>
              </w:rPr>
              <w:t xml:space="preserve"> 2</w:t>
            </w:r>
          </w:p>
        </w:tc>
        <w:tc>
          <w:tcPr>
            <w:tcW w:w="1890" w:type="dxa"/>
            <w:vAlign w:val="center"/>
          </w:tcPr>
          <w:p w14:paraId="1191EB7B" w14:textId="77777777" w:rsidR="00E51CDD" w:rsidRPr="009916FC" w:rsidRDefault="00E51CDD" w:rsidP="009938D9">
            <w:pPr>
              <w:widowControl w:val="0"/>
              <w:overflowPunct w:val="0"/>
              <w:autoSpaceDE w:val="0"/>
              <w:autoSpaceDN w:val="0"/>
              <w:adjustRightInd w:val="0"/>
              <w:spacing w:before="40"/>
              <w:jc w:val="center"/>
              <w:textAlignment w:val="baseline"/>
              <w:rPr>
                <w:b/>
                <w:sz w:val="20"/>
                <w:lang w:eastAsia="en-US"/>
              </w:rPr>
            </w:pPr>
            <w:r w:rsidRPr="009916FC">
              <w:rPr>
                <w:b/>
                <w:sz w:val="20"/>
                <w:lang w:eastAsia="en-US"/>
              </w:rPr>
              <w:t>NO</w:t>
            </w:r>
            <w:r w:rsidRPr="009916FC">
              <w:rPr>
                <w:b/>
                <w:sz w:val="20"/>
                <w:vertAlign w:val="subscript"/>
                <w:lang w:eastAsia="en-US"/>
              </w:rPr>
              <w:t>3</w:t>
            </w:r>
            <w:r w:rsidRPr="009916FC">
              <w:rPr>
                <w:b/>
                <w:sz w:val="20"/>
                <w:lang w:eastAsia="en-US"/>
              </w:rPr>
              <w:t>-N/day</w:t>
            </w:r>
            <w:r w:rsidRPr="009916FC">
              <w:rPr>
                <w:b/>
                <w:sz w:val="20"/>
                <w:lang w:eastAsia="en-US"/>
              </w:rPr>
              <w:br/>
              <w:t>[mg/kg dry soil/d]</w:t>
            </w:r>
            <w:r w:rsidRPr="009916FC">
              <w:rPr>
                <w:b/>
                <w:sz w:val="20"/>
                <w:vertAlign w:val="superscript"/>
                <w:lang w:eastAsia="en-US"/>
              </w:rPr>
              <w:t xml:space="preserve"> 2</w:t>
            </w:r>
          </w:p>
        </w:tc>
        <w:tc>
          <w:tcPr>
            <w:tcW w:w="1260" w:type="dxa"/>
            <w:vAlign w:val="center"/>
          </w:tcPr>
          <w:p w14:paraId="26037EFD" w14:textId="77777777" w:rsidR="00E51CDD" w:rsidRPr="009916FC" w:rsidRDefault="00E51CDD" w:rsidP="009938D9">
            <w:pPr>
              <w:widowControl w:val="0"/>
              <w:overflowPunct w:val="0"/>
              <w:autoSpaceDE w:val="0"/>
              <w:autoSpaceDN w:val="0"/>
              <w:adjustRightInd w:val="0"/>
              <w:spacing w:before="40"/>
              <w:jc w:val="center"/>
              <w:textAlignment w:val="baseline"/>
              <w:rPr>
                <w:b/>
                <w:sz w:val="20"/>
                <w:lang w:eastAsia="en-US"/>
              </w:rPr>
            </w:pPr>
            <w:r w:rsidRPr="009916FC">
              <w:rPr>
                <w:b/>
                <w:sz w:val="20"/>
                <w:lang w:eastAsia="en-US"/>
              </w:rPr>
              <w:t>% Deviation from control</w:t>
            </w:r>
          </w:p>
        </w:tc>
        <w:tc>
          <w:tcPr>
            <w:tcW w:w="1800" w:type="dxa"/>
            <w:vAlign w:val="center"/>
          </w:tcPr>
          <w:p w14:paraId="6F2B7750" w14:textId="77777777" w:rsidR="00E51CDD" w:rsidRPr="009916FC" w:rsidRDefault="00E51CDD" w:rsidP="009938D9">
            <w:pPr>
              <w:widowControl w:val="0"/>
              <w:overflowPunct w:val="0"/>
              <w:autoSpaceDE w:val="0"/>
              <w:autoSpaceDN w:val="0"/>
              <w:adjustRightInd w:val="0"/>
              <w:spacing w:before="40"/>
              <w:jc w:val="center"/>
              <w:textAlignment w:val="baseline"/>
              <w:rPr>
                <w:b/>
                <w:sz w:val="20"/>
                <w:lang w:eastAsia="en-US"/>
              </w:rPr>
            </w:pPr>
            <w:r w:rsidRPr="009916FC">
              <w:rPr>
                <w:b/>
                <w:sz w:val="20"/>
                <w:lang w:eastAsia="en-US"/>
              </w:rPr>
              <w:t>NO</w:t>
            </w:r>
            <w:r w:rsidRPr="009916FC">
              <w:rPr>
                <w:b/>
                <w:sz w:val="20"/>
                <w:vertAlign w:val="subscript"/>
                <w:lang w:eastAsia="en-US"/>
              </w:rPr>
              <w:t>3</w:t>
            </w:r>
            <w:r w:rsidRPr="009916FC">
              <w:rPr>
                <w:b/>
                <w:sz w:val="20"/>
                <w:lang w:eastAsia="en-US"/>
              </w:rPr>
              <w:t>-N/day</w:t>
            </w:r>
            <w:r w:rsidRPr="009916FC">
              <w:rPr>
                <w:b/>
                <w:sz w:val="20"/>
                <w:lang w:eastAsia="en-US"/>
              </w:rPr>
              <w:br/>
              <w:t>[mg/kg dry soil/d]</w:t>
            </w:r>
            <w:r w:rsidRPr="009916FC">
              <w:rPr>
                <w:b/>
                <w:sz w:val="20"/>
                <w:vertAlign w:val="superscript"/>
                <w:lang w:eastAsia="en-US"/>
              </w:rPr>
              <w:t xml:space="preserve"> 2</w:t>
            </w:r>
          </w:p>
        </w:tc>
        <w:tc>
          <w:tcPr>
            <w:tcW w:w="1350" w:type="dxa"/>
            <w:vAlign w:val="center"/>
          </w:tcPr>
          <w:p w14:paraId="718D3C3C"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b/>
                <w:sz w:val="20"/>
                <w:lang w:eastAsia="en-US"/>
              </w:rPr>
              <w:t>% Deviation from control</w:t>
            </w:r>
          </w:p>
        </w:tc>
      </w:tr>
      <w:tr w:rsidR="00E51CDD" w:rsidRPr="009916FC" w14:paraId="5148DAC7" w14:textId="77777777" w:rsidTr="009938D9">
        <w:tc>
          <w:tcPr>
            <w:tcW w:w="1255" w:type="dxa"/>
            <w:tcBorders>
              <w:top w:val="single" w:sz="4" w:space="0" w:color="auto"/>
              <w:left w:val="single" w:sz="4" w:space="0" w:color="auto"/>
              <w:bottom w:val="single" w:sz="4" w:space="0" w:color="auto"/>
              <w:right w:val="single" w:sz="4" w:space="0" w:color="auto"/>
            </w:tcBorders>
            <w:vAlign w:val="center"/>
          </w:tcPr>
          <w:p w14:paraId="638FDA8B"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 xml:space="preserve">Loamy sand </w:t>
            </w:r>
            <w:r w:rsidRPr="009916FC">
              <w:rPr>
                <w:sz w:val="20"/>
                <w:lang w:eastAsia="en-US"/>
              </w:rPr>
              <w:br/>
              <w:t>(0 - 7 d)</w:t>
            </w:r>
          </w:p>
        </w:tc>
        <w:tc>
          <w:tcPr>
            <w:tcW w:w="1800" w:type="dxa"/>
            <w:tcBorders>
              <w:top w:val="single" w:sz="4" w:space="0" w:color="auto"/>
              <w:left w:val="single" w:sz="4" w:space="0" w:color="auto"/>
              <w:bottom w:val="single" w:sz="4" w:space="0" w:color="auto"/>
              <w:right w:val="single" w:sz="4" w:space="0" w:color="auto"/>
            </w:tcBorders>
            <w:vAlign w:val="center"/>
          </w:tcPr>
          <w:p w14:paraId="20BFEF8C"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5.74</w:t>
            </w:r>
          </w:p>
        </w:tc>
        <w:tc>
          <w:tcPr>
            <w:tcW w:w="1890" w:type="dxa"/>
            <w:tcBorders>
              <w:top w:val="single" w:sz="4" w:space="0" w:color="auto"/>
              <w:left w:val="single" w:sz="4" w:space="0" w:color="auto"/>
              <w:bottom w:val="single" w:sz="4" w:space="0" w:color="auto"/>
              <w:right w:val="single" w:sz="4" w:space="0" w:color="auto"/>
            </w:tcBorders>
            <w:vAlign w:val="center"/>
          </w:tcPr>
          <w:p w14:paraId="7E559AA8"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5.18</w:t>
            </w:r>
          </w:p>
        </w:tc>
        <w:tc>
          <w:tcPr>
            <w:tcW w:w="1260" w:type="dxa"/>
            <w:tcBorders>
              <w:top w:val="single" w:sz="4" w:space="0" w:color="auto"/>
              <w:left w:val="single" w:sz="4" w:space="0" w:color="auto"/>
              <w:bottom w:val="single" w:sz="4" w:space="0" w:color="auto"/>
              <w:right w:val="single" w:sz="4" w:space="0" w:color="auto"/>
            </w:tcBorders>
            <w:vAlign w:val="center"/>
          </w:tcPr>
          <w:p w14:paraId="351B2634"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-9.9</w:t>
            </w:r>
          </w:p>
        </w:tc>
        <w:tc>
          <w:tcPr>
            <w:tcW w:w="1800" w:type="dxa"/>
            <w:tcBorders>
              <w:top w:val="single" w:sz="4" w:space="0" w:color="auto"/>
              <w:left w:val="single" w:sz="4" w:space="0" w:color="auto"/>
              <w:bottom w:val="single" w:sz="4" w:space="0" w:color="auto"/>
              <w:right w:val="single" w:sz="4" w:space="0" w:color="auto"/>
            </w:tcBorders>
            <w:vAlign w:val="center"/>
          </w:tcPr>
          <w:p w14:paraId="6D956670"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6.32</w:t>
            </w:r>
          </w:p>
        </w:tc>
        <w:tc>
          <w:tcPr>
            <w:tcW w:w="1350" w:type="dxa"/>
            <w:tcBorders>
              <w:top w:val="single" w:sz="4" w:space="0" w:color="auto"/>
              <w:left w:val="single" w:sz="4" w:space="0" w:color="auto"/>
              <w:bottom w:val="single" w:sz="4" w:space="0" w:color="auto"/>
              <w:right w:val="single" w:sz="4" w:space="0" w:color="auto"/>
            </w:tcBorders>
            <w:vAlign w:val="center"/>
          </w:tcPr>
          <w:p w14:paraId="1787D6D1"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+10.0</w:t>
            </w:r>
          </w:p>
        </w:tc>
      </w:tr>
      <w:tr w:rsidR="00E51CDD" w:rsidRPr="009916FC" w14:paraId="2D70953C" w14:textId="77777777" w:rsidTr="009938D9">
        <w:tc>
          <w:tcPr>
            <w:tcW w:w="1255" w:type="dxa"/>
            <w:tcBorders>
              <w:top w:val="single" w:sz="4" w:space="0" w:color="auto"/>
              <w:left w:val="single" w:sz="4" w:space="0" w:color="auto"/>
              <w:bottom w:val="single" w:sz="4" w:space="0" w:color="auto"/>
              <w:right w:val="single" w:sz="4" w:space="0" w:color="auto"/>
            </w:tcBorders>
            <w:vAlign w:val="center"/>
          </w:tcPr>
          <w:p w14:paraId="72FDEFBD"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 xml:space="preserve">Loamy sand </w:t>
            </w:r>
            <w:r w:rsidRPr="009916FC">
              <w:rPr>
                <w:sz w:val="20"/>
                <w:lang w:eastAsia="en-US"/>
              </w:rPr>
              <w:br/>
              <w:t>(0 - 14 d)</w:t>
            </w:r>
          </w:p>
        </w:tc>
        <w:tc>
          <w:tcPr>
            <w:tcW w:w="1800" w:type="dxa"/>
            <w:tcBorders>
              <w:top w:val="single" w:sz="4" w:space="0" w:color="auto"/>
              <w:left w:val="single" w:sz="4" w:space="0" w:color="auto"/>
              <w:bottom w:val="single" w:sz="4" w:space="0" w:color="auto"/>
              <w:right w:val="single" w:sz="4" w:space="0" w:color="auto"/>
            </w:tcBorders>
            <w:vAlign w:val="center"/>
          </w:tcPr>
          <w:p w14:paraId="12E311A3"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3.89</w:t>
            </w:r>
          </w:p>
        </w:tc>
        <w:tc>
          <w:tcPr>
            <w:tcW w:w="1890" w:type="dxa"/>
            <w:tcBorders>
              <w:top w:val="single" w:sz="4" w:space="0" w:color="auto"/>
              <w:left w:val="single" w:sz="4" w:space="0" w:color="auto"/>
              <w:bottom w:val="single" w:sz="4" w:space="0" w:color="auto"/>
              <w:right w:val="single" w:sz="4" w:space="0" w:color="auto"/>
            </w:tcBorders>
            <w:vAlign w:val="center"/>
          </w:tcPr>
          <w:p w14:paraId="2C2843F4"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3.83</w:t>
            </w:r>
          </w:p>
        </w:tc>
        <w:tc>
          <w:tcPr>
            <w:tcW w:w="1260" w:type="dxa"/>
            <w:tcBorders>
              <w:top w:val="single" w:sz="4" w:space="0" w:color="auto"/>
              <w:left w:val="single" w:sz="4" w:space="0" w:color="auto"/>
              <w:bottom w:val="single" w:sz="4" w:space="0" w:color="auto"/>
              <w:right w:val="single" w:sz="4" w:space="0" w:color="auto"/>
            </w:tcBorders>
            <w:vAlign w:val="center"/>
          </w:tcPr>
          <w:p w14:paraId="1FC3A1CA"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-1.5</w:t>
            </w:r>
          </w:p>
        </w:tc>
        <w:tc>
          <w:tcPr>
            <w:tcW w:w="1800" w:type="dxa"/>
            <w:tcBorders>
              <w:top w:val="single" w:sz="4" w:space="0" w:color="auto"/>
              <w:left w:val="single" w:sz="4" w:space="0" w:color="auto"/>
              <w:bottom w:val="single" w:sz="4" w:space="0" w:color="auto"/>
              <w:right w:val="single" w:sz="4" w:space="0" w:color="auto"/>
            </w:tcBorders>
            <w:vAlign w:val="center"/>
          </w:tcPr>
          <w:p w14:paraId="2F227410"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3.88</w:t>
            </w:r>
          </w:p>
        </w:tc>
        <w:tc>
          <w:tcPr>
            <w:tcW w:w="1350" w:type="dxa"/>
            <w:tcBorders>
              <w:top w:val="single" w:sz="4" w:space="0" w:color="auto"/>
              <w:left w:val="single" w:sz="4" w:space="0" w:color="auto"/>
              <w:bottom w:val="single" w:sz="4" w:space="0" w:color="auto"/>
              <w:right w:val="single" w:sz="4" w:space="0" w:color="auto"/>
            </w:tcBorders>
            <w:vAlign w:val="center"/>
          </w:tcPr>
          <w:p w14:paraId="57CB4DB2"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-0.2</w:t>
            </w:r>
          </w:p>
        </w:tc>
      </w:tr>
      <w:tr w:rsidR="00E51CDD" w:rsidRPr="009916FC" w14:paraId="2B0BBF95" w14:textId="77777777" w:rsidTr="009938D9">
        <w:tc>
          <w:tcPr>
            <w:tcW w:w="1255" w:type="dxa"/>
            <w:tcBorders>
              <w:top w:val="single" w:sz="4" w:space="0" w:color="auto"/>
              <w:left w:val="single" w:sz="4" w:space="0" w:color="auto"/>
              <w:bottom w:val="single" w:sz="4" w:space="0" w:color="auto"/>
              <w:right w:val="single" w:sz="4" w:space="0" w:color="auto"/>
            </w:tcBorders>
            <w:vAlign w:val="center"/>
          </w:tcPr>
          <w:p w14:paraId="5319E408"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Loamy sand</w:t>
            </w:r>
            <w:r w:rsidRPr="009916FC">
              <w:rPr>
                <w:sz w:val="20"/>
                <w:lang w:eastAsia="en-US"/>
              </w:rPr>
              <w:br/>
              <w:t>(0 - 28 d)</w:t>
            </w:r>
          </w:p>
        </w:tc>
        <w:tc>
          <w:tcPr>
            <w:tcW w:w="1800" w:type="dxa"/>
            <w:tcBorders>
              <w:top w:val="single" w:sz="4" w:space="0" w:color="auto"/>
              <w:left w:val="single" w:sz="4" w:space="0" w:color="auto"/>
              <w:bottom w:val="single" w:sz="4" w:space="0" w:color="auto"/>
              <w:right w:val="single" w:sz="4" w:space="0" w:color="auto"/>
            </w:tcBorders>
            <w:vAlign w:val="center"/>
          </w:tcPr>
          <w:p w14:paraId="234DDA74"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2.61</w:t>
            </w:r>
          </w:p>
        </w:tc>
        <w:tc>
          <w:tcPr>
            <w:tcW w:w="1890" w:type="dxa"/>
            <w:tcBorders>
              <w:top w:val="single" w:sz="4" w:space="0" w:color="auto"/>
              <w:left w:val="single" w:sz="4" w:space="0" w:color="auto"/>
              <w:bottom w:val="single" w:sz="4" w:space="0" w:color="auto"/>
              <w:right w:val="single" w:sz="4" w:space="0" w:color="auto"/>
            </w:tcBorders>
            <w:vAlign w:val="center"/>
          </w:tcPr>
          <w:p w14:paraId="7CC25BEB"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2.41</w:t>
            </w:r>
          </w:p>
        </w:tc>
        <w:tc>
          <w:tcPr>
            <w:tcW w:w="1260" w:type="dxa"/>
            <w:tcBorders>
              <w:top w:val="single" w:sz="4" w:space="0" w:color="auto"/>
              <w:left w:val="single" w:sz="4" w:space="0" w:color="auto"/>
              <w:bottom w:val="single" w:sz="4" w:space="0" w:color="auto"/>
              <w:right w:val="single" w:sz="4" w:space="0" w:color="auto"/>
            </w:tcBorders>
            <w:vAlign w:val="center"/>
          </w:tcPr>
          <w:p w14:paraId="474D4706"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-7.7</w:t>
            </w:r>
          </w:p>
        </w:tc>
        <w:tc>
          <w:tcPr>
            <w:tcW w:w="1800" w:type="dxa"/>
            <w:tcBorders>
              <w:top w:val="single" w:sz="4" w:space="0" w:color="auto"/>
              <w:left w:val="single" w:sz="4" w:space="0" w:color="auto"/>
              <w:bottom w:val="single" w:sz="4" w:space="0" w:color="auto"/>
              <w:right w:val="single" w:sz="4" w:space="0" w:color="auto"/>
            </w:tcBorders>
            <w:vAlign w:val="center"/>
          </w:tcPr>
          <w:p w14:paraId="7AAA865F"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2.62</w:t>
            </w:r>
          </w:p>
        </w:tc>
        <w:tc>
          <w:tcPr>
            <w:tcW w:w="1350" w:type="dxa"/>
            <w:tcBorders>
              <w:top w:val="single" w:sz="4" w:space="0" w:color="auto"/>
              <w:left w:val="single" w:sz="4" w:space="0" w:color="auto"/>
              <w:bottom w:val="single" w:sz="4" w:space="0" w:color="auto"/>
              <w:right w:val="single" w:sz="4" w:space="0" w:color="auto"/>
            </w:tcBorders>
            <w:vAlign w:val="center"/>
          </w:tcPr>
          <w:p w14:paraId="7AF1D881" w14:textId="77777777" w:rsidR="00E51CDD" w:rsidRPr="009916FC" w:rsidRDefault="00E51CDD" w:rsidP="009938D9">
            <w:pPr>
              <w:widowControl w:val="0"/>
              <w:overflowPunct w:val="0"/>
              <w:autoSpaceDE w:val="0"/>
              <w:autoSpaceDN w:val="0"/>
              <w:adjustRightInd w:val="0"/>
              <w:spacing w:before="40"/>
              <w:jc w:val="center"/>
              <w:textAlignment w:val="baseline"/>
              <w:rPr>
                <w:sz w:val="20"/>
                <w:lang w:eastAsia="en-US"/>
              </w:rPr>
            </w:pPr>
            <w:r w:rsidRPr="009916FC">
              <w:rPr>
                <w:sz w:val="20"/>
                <w:lang w:eastAsia="en-US"/>
              </w:rPr>
              <w:t>+0.4</w:t>
            </w:r>
          </w:p>
        </w:tc>
      </w:tr>
    </w:tbl>
    <w:p w14:paraId="7CC16E33" w14:textId="77777777" w:rsidR="00E51CDD" w:rsidRPr="009916FC" w:rsidRDefault="00E51CDD" w:rsidP="00E51CDD">
      <w:pPr>
        <w:widowControl w:val="0"/>
        <w:tabs>
          <w:tab w:val="left" w:pos="284"/>
        </w:tabs>
        <w:spacing w:before="40"/>
        <w:jc w:val="both"/>
        <w:rPr>
          <w:sz w:val="18"/>
          <w:szCs w:val="18"/>
          <w:lang w:eastAsia="en-US"/>
        </w:rPr>
      </w:pPr>
      <w:r w:rsidRPr="009916FC">
        <w:rPr>
          <w:sz w:val="18"/>
          <w:szCs w:val="18"/>
          <w:vertAlign w:val="superscript"/>
          <w:lang w:eastAsia="en-US"/>
        </w:rPr>
        <w:t>1</w:t>
      </w:r>
      <w:r w:rsidRPr="009916FC">
        <w:rPr>
          <w:sz w:val="18"/>
          <w:szCs w:val="18"/>
          <w:lang w:eastAsia="en-US"/>
        </w:rPr>
        <w:tab/>
        <w:t>Measured values sampling day “x” - measured values sampling day 0, mean of 3 replicates.</w:t>
      </w:r>
    </w:p>
    <w:p w14:paraId="23AD87C6" w14:textId="77777777" w:rsidR="00E51CDD" w:rsidRPr="009916FC" w:rsidRDefault="00E51CDD" w:rsidP="00E51CDD">
      <w:pPr>
        <w:widowControl w:val="0"/>
        <w:tabs>
          <w:tab w:val="left" w:pos="284"/>
        </w:tabs>
        <w:jc w:val="both"/>
        <w:rPr>
          <w:sz w:val="18"/>
          <w:szCs w:val="18"/>
          <w:lang w:eastAsia="en-US"/>
        </w:rPr>
      </w:pPr>
      <w:r w:rsidRPr="009916FC">
        <w:rPr>
          <w:sz w:val="18"/>
          <w:szCs w:val="18"/>
          <w:vertAlign w:val="superscript"/>
          <w:lang w:eastAsia="en-US"/>
        </w:rPr>
        <w:t>2</w:t>
      </w:r>
      <w:r w:rsidRPr="009916FC">
        <w:rPr>
          <w:sz w:val="18"/>
          <w:szCs w:val="18"/>
          <w:lang w:eastAsia="en-US"/>
        </w:rPr>
        <w:tab/>
        <w:t>Daily rates are not included in the study report but are calculated based on the results.</w:t>
      </w:r>
    </w:p>
    <w:p w14:paraId="533E8A79" w14:textId="77777777" w:rsidR="00E51CDD" w:rsidRPr="009916FC" w:rsidRDefault="00E51CDD" w:rsidP="00E51CDD">
      <w:pPr>
        <w:widowControl w:val="0"/>
        <w:tabs>
          <w:tab w:val="left" w:pos="284"/>
        </w:tabs>
        <w:spacing w:before="40"/>
        <w:jc w:val="both"/>
        <w:rPr>
          <w:sz w:val="18"/>
          <w:szCs w:val="18"/>
          <w:lang w:eastAsia="en-US"/>
        </w:rPr>
      </w:pPr>
      <w:r w:rsidRPr="009916FC">
        <w:rPr>
          <w:sz w:val="18"/>
          <w:szCs w:val="18"/>
          <w:lang w:eastAsia="en-US"/>
        </w:rPr>
        <w:t>- = inhibition, + = stimulation.</w:t>
      </w:r>
    </w:p>
    <w:p w14:paraId="2153321B" w14:textId="77777777" w:rsidR="00E51CDD" w:rsidRDefault="00E51CDD" w:rsidP="00E51CDD">
      <w:pPr>
        <w:widowControl w:val="0"/>
        <w:jc w:val="both"/>
      </w:pPr>
    </w:p>
    <w:p w14:paraId="0FB5E9BD" w14:textId="415982BB" w:rsidR="00E51CDD" w:rsidRDefault="00E51CDD" w:rsidP="00186DB8">
      <w:pPr>
        <w:widowControl w:val="0"/>
        <w:shd w:val="clear" w:color="auto" w:fill="BDD6EE" w:themeFill="accent5" w:themeFillTint="66"/>
        <w:jc w:val="both"/>
      </w:pPr>
    </w:p>
    <w:p w14:paraId="21F90685" w14:textId="73C114FC" w:rsidR="00186DB8" w:rsidRDefault="00186DB8" w:rsidP="00186DB8">
      <w:pPr>
        <w:widowControl w:val="0"/>
        <w:shd w:val="clear" w:color="auto" w:fill="BDD6EE" w:themeFill="accent5" w:themeFillTint="66"/>
        <w:jc w:val="both"/>
      </w:pPr>
      <w:r w:rsidRPr="00186DB8">
        <w:rPr>
          <w:noProof/>
        </w:rPr>
        <w:lastRenderedPageBreak/>
        <w:drawing>
          <wp:inline distT="0" distB="0" distL="0" distR="0" wp14:anchorId="2D0A1F59" wp14:editId="33758CFE">
            <wp:extent cx="5939790" cy="6253480"/>
            <wp:effectExtent l="0" t="0" r="381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939790" cy="6253480"/>
                    </a:xfrm>
                    <a:prstGeom prst="rect">
                      <a:avLst/>
                    </a:prstGeom>
                    <a:noFill/>
                    <a:ln>
                      <a:noFill/>
                    </a:ln>
                  </pic:spPr>
                </pic:pic>
              </a:graphicData>
            </a:graphic>
          </wp:inline>
        </w:drawing>
      </w:r>
    </w:p>
    <w:p w14:paraId="7E2084E2" w14:textId="77777777" w:rsidR="00186DB8" w:rsidRPr="009916FC" w:rsidRDefault="00186DB8" w:rsidP="00186DB8">
      <w:pPr>
        <w:widowControl w:val="0"/>
        <w:shd w:val="clear" w:color="auto" w:fill="BDD6EE" w:themeFill="accent5" w:themeFillTint="66"/>
        <w:jc w:val="both"/>
      </w:pPr>
    </w:p>
    <w:p w14:paraId="50D4A66A" w14:textId="77777777" w:rsidR="00E51CDD" w:rsidRPr="009916FC" w:rsidRDefault="00E51CDD" w:rsidP="00E51CDD">
      <w:pPr>
        <w:widowControl w:val="0"/>
        <w:jc w:val="both"/>
        <w:rPr>
          <w:szCs w:val="24"/>
        </w:rPr>
      </w:pPr>
      <w:r w:rsidRPr="009916FC">
        <w:rPr>
          <w:szCs w:val="24"/>
        </w:rPr>
        <w:t xml:space="preserve">In a separate study the reference item Dinoterb produced a stimulation of nitrogen transformation of </w:t>
      </w:r>
    </w:p>
    <w:p w14:paraId="0901178A" w14:textId="77777777" w:rsidR="00E51CDD" w:rsidRPr="009916FC" w:rsidRDefault="00E51CDD" w:rsidP="00E51CDD">
      <w:pPr>
        <w:widowControl w:val="0"/>
        <w:jc w:val="both"/>
      </w:pPr>
      <w:r w:rsidRPr="009916FC">
        <w:rPr>
          <w:szCs w:val="24"/>
        </w:rPr>
        <w:t>+34.2% at 13.60 mg/kg dry soil determined 28 days after application.</w:t>
      </w:r>
    </w:p>
    <w:p w14:paraId="09F0B33F" w14:textId="77777777" w:rsidR="00E51CDD" w:rsidRPr="009916FC" w:rsidRDefault="00E51CDD" w:rsidP="00E51CDD">
      <w:pPr>
        <w:widowControl w:val="0"/>
        <w:jc w:val="both"/>
        <w:rPr>
          <w:color w:val="0070C0"/>
        </w:rPr>
      </w:pPr>
    </w:p>
    <w:p w14:paraId="72192E82" w14:textId="77777777" w:rsidR="00E51CDD" w:rsidRPr="009916FC" w:rsidRDefault="00E51CDD" w:rsidP="00E51CDD">
      <w:pPr>
        <w:widowControl w:val="0"/>
        <w:jc w:val="both"/>
        <w:rPr>
          <w:color w:val="0070C0"/>
        </w:rPr>
      </w:pPr>
    </w:p>
    <w:p w14:paraId="4B1A1B06" w14:textId="77777777" w:rsidR="00E51CDD" w:rsidRPr="009916FC" w:rsidRDefault="00E51CDD" w:rsidP="00E51CDD">
      <w:pPr>
        <w:jc w:val="both"/>
        <w:rPr>
          <w:u w:val="single"/>
        </w:rPr>
      </w:pPr>
      <w:r w:rsidRPr="009916FC">
        <w:rPr>
          <w:u w:val="single"/>
        </w:rPr>
        <w:t>Validity criteria:</w:t>
      </w:r>
    </w:p>
    <w:p w14:paraId="438BA14D" w14:textId="77777777" w:rsidR="00E51CDD" w:rsidRPr="009916FC" w:rsidRDefault="00E51CDD" w:rsidP="00E51CDD">
      <w:pPr>
        <w:jc w:val="both"/>
      </w:pPr>
    </w:p>
    <w:tbl>
      <w:tblPr>
        <w:tblStyle w:val="DAR0071"/>
        <w:tblW w:w="5000" w:type="pct"/>
        <w:tblLook w:val="04A0" w:firstRow="1" w:lastRow="0" w:firstColumn="1" w:lastColumn="0" w:noHBand="0" w:noVBand="1"/>
      </w:tblPr>
      <w:tblGrid>
        <w:gridCol w:w="6472"/>
        <w:gridCol w:w="2872"/>
      </w:tblGrid>
      <w:tr w:rsidR="00E51CDD" w:rsidRPr="009916FC" w14:paraId="717E602C" w14:textId="77777777" w:rsidTr="009938D9">
        <w:tc>
          <w:tcPr>
            <w:tcW w:w="3463" w:type="pct"/>
            <w:vAlign w:val="center"/>
          </w:tcPr>
          <w:p w14:paraId="5EB7E4EE" w14:textId="77777777" w:rsidR="00E51CDD" w:rsidRPr="009916FC" w:rsidRDefault="00E51CDD" w:rsidP="009938D9">
            <w:pPr>
              <w:widowControl w:val="0"/>
              <w:rPr>
                <w:b/>
                <w:sz w:val="20"/>
                <w:szCs w:val="20"/>
              </w:rPr>
            </w:pPr>
            <w:r w:rsidRPr="009916FC">
              <w:rPr>
                <w:b/>
                <w:sz w:val="20"/>
                <w:szCs w:val="20"/>
              </w:rPr>
              <w:t>Validity criteria according to OECD 216 (2000)</w:t>
            </w:r>
          </w:p>
        </w:tc>
        <w:tc>
          <w:tcPr>
            <w:tcW w:w="1537" w:type="pct"/>
            <w:vAlign w:val="center"/>
          </w:tcPr>
          <w:p w14:paraId="4FD6761F" w14:textId="77777777" w:rsidR="00E51CDD" w:rsidRPr="009916FC" w:rsidRDefault="00E51CDD" w:rsidP="009938D9">
            <w:pPr>
              <w:widowControl w:val="0"/>
              <w:rPr>
                <w:b/>
                <w:sz w:val="20"/>
                <w:szCs w:val="20"/>
              </w:rPr>
            </w:pPr>
            <w:r w:rsidRPr="009916FC">
              <w:rPr>
                <w:b/>
                <w:sz w:val="20"/>
                <w:szCs w:val="20"/>
              </w:rPr>
              <w:t>Obtained in this study</w:t>
            </w:r>
          </w:p>
        </w:tc>
      </w:tr>
      <w:tr w:rsidR="00E51CDD" w:rsidRPr="009916FC" w14:paraId="420B154B" w14:textId="77777777" w:rsidTr="009938D9">
        <w:tc>
          <w:tcPr>
            <w:tcW w:w="3463" w:type="pct"/>
            <w:vAlign w:val="center"/>
          </w:tcPr>
          <w:p w14:paraId="183C5AD1" w14:textId="77777777" w:rsidR="00E51CDD" w:rsidRPr="009916FC" w:rsidRDefault="00E51CDD" w:rsidP="009938D9">
            <w:pPr>
              <w:widowControl w:val="0"/>
              <w:rPr>
                <w:sz w:val="20"/>
                <w:szCs w:val="20"/>
              </w:rPr>
            </w:pPr>
            <w:r w:rsidRPr="009916FC">
              <w:rPr>
                <w:sz w:val="20"/>
                <w:szCs w:val="20"/>
              </w:rPr>
              <w:t>Coefficient of variation in the control for NO</w:t>
            </w:r>
            <w:r w:rsidRPr="009916FC">
              <w:rPr>
                <w:sz w:val="20"/>
                <w:szCs w:val="20"/>
                <w:vertAlign w:val="subscript"/>
              </w:rPr>
              <w:t>3</w:t>
            </w:r>
            <w:r w:rsidRPr="009916FC">
              <w:rPr>
                <w:sz w:val="20"/>
                <w:szCs w:val="20"/>
              </w:rPr>
              <w:t>-N ≤ 15%</w:t>
            </w:r>
          </w:p>
        </w:tc>
        <w:tc>
          <w:tcPr>
            <w:tcW w:w="1537" w:type="pct"/>
            <w:vAlign w:val="center"/>
          </w:tcPr>
          <w:p w14:paraId="5E74CDE1" w14:textId="77777777" w:rsidR="00E51CDD" w:rsidRPr="009916FC" w:rsidRDefault="00E51CDD" w:rsidP="009938D9">
            <w:pPr>
              <w:widowControl w:val="0"/>
              <w:rPr>
                <w:sz w:val="20"/>
                <w:szCs w:val="20"/>
              </w:rPr>
            </w:pPr>
            <w:r w:rsidRPr="009916FC">
              <w:rPr>
                <w:sz w:val="20"/>
                <w:szCs w:val="20"/>
              </w:rPr>
              <w:t>max. 6.3% (silty-loamy sand)</w:t>
            </w:r>
          </w:p>
        </w:tc>
      </w:tr>
    </w:tbl>
    <w:p w14:paraId="3E3CAEF2" w14:textId="77777777" w:rsidR="00E51CDD" w:rsidRDefault="00E51CDD" w:rsidP="00E51CDD"/>
    <w:p w14:paraId="39104571" w14:textId="77777777" w:rsidR="00E51CDD" w:rsidRPr="009916FC" w:rsidRDefault="00E51CDD" w:rsidP="00E51CDD"/>
    <w:p w14:paraId="4044DD7D" w14:textId="77777777" w:rsidR="00E51CDD" w:rsidRPr="009916FC" w:rsidRDefault="00E51CDD" w:rsidP="00E51CDD">
      <w:r w:rsidRPr="009916FC">
        <w:t>All validity criteria were met.</w:t>
      </w:r>
    </w:p>
    <w:p w14:paraId="2CF1CB4B" w14:textId="77777777" w:rsidR="00E51CDD" w:rsidRPr="009916FC" w:rsidRDefault="00E51CDD" w:rsidP="00E51CDD">
      <w:pPr>
        <w:widowControl w:val="0"/>
        <w:jc w:val="both"/>
      </w:pPr>
    </w:p>
    <w:p w14:paraId="5310CFA4" w14:textId="77777777" w:rsidR="00E51CDD" w:rsidRPr="009916FC" w:rsidRDefault="00E51CDD" w:rsidP="00E51CDD">
      <w:pPr>
        <w:widowControl w:val="0"/>
        <w:jc w:val="both"/>
      </w:pPr>
    </w:p>
    <w:p w14:paraId="46FAA6C9" w14:textId="77777777" w:rsidR="00E51CDD" w:rsidRPr="009916FC" w:rsidRDefault="00E51CDD" w:rsidP="00E51CDD">
      <w:pPr>
        <w:widowControl w:val="0"/>
        <w:jc w:val="both"/>
        <w:rPr>
          <w:b/>
        </w:rPr>
      </w:pPr>
      <w:r w:rsidRPr="009916FC">
        <w:rPr>
          <w:b/>
        </w:rPr>
        <w:t>III.</w:t>
      </w:r>
      <w:r w:rsidRPr="009916FC">
        <w:rPr>
          <w:b/>
        </w:rPr>
        <w:tab/>
        <w:t>CONCLUSION</w:t>
      </w:r>
    </w:p>
    <w:p w14:paraId="18DD4F8E" w14:textId="77777777" w:rsidR="00E51CDD" w:rsidRPr="009916FC" w:rsidRDefault="00E51CDD" w:rsidP="00E51CDD">
      <w:pPr>
        <w:widowControl w:val="0"/>
        <w:jc w:val="both"/>
        <w:rPr>
          <w:lang w:eastAsia="en-US"/>
        </w:rPr>
      </w:pPr>
    </w:p>
    <w:p w14:paraId="7D41A897" w14:textId="77777777" w:rsidR="00E51CDD" w:rsidRPr="009916FC" w:rsidRDefault="00E51CDD" w:rsidP="00E51CDD">
      <w:pPr>
        <w:widowControl w:val="0"/>
        <w:jc w:val="both"/>
        <w:rPr>
          <w:b/>
          <w:bCs/>
          <w:szCs w:val="24"/>
          <w:lang w:eastAsia="en-US"/>
        </w:rPr>
      </w:pPr>
      <w:r w:rsidRPr="009916FC">
        <w:rPr>
          <w:b/>
          <w:szCs w:val="24"/>
          <w:lang w:eastAsia="en-US"/>
        </w:rPr>
        <w:t xml:space="preserve">Based on the results of this study, </w:t>
      </w:r>
      <w:r w:rsidRPr="009916FC">
        <w:rPr>
          <w:b/>
          <w:bCs/>
          <w:szCs w:val="24"/>
          <w:lang w:eastAsia="en-US"/>
        </w:rPr>
        <w:t xml:space="preserve">BAS 736 00 F caused no unacceptable short term and no long-term </w:t>
      </w:r>
      <w:r w:rsidRPr="009916FC">
        <w:rPr>
          <w:b/>
          <w:bCs/>
          <w:szCs w:val="24"/>
          <w:lang w:eastAsia="en-US"/>
        </w:rPr>
        <w:lastRenderedPageBreak/>
        <w:t>effects (&lt; 25% deviation from control according to OECD 216) on the soil nitrogen transformation (measured as NO</w:t>
      </w:r>
      <w:r w:rsidRPr="009916FC">
        <w:rPr>
          <w:b/>
          <w:bCs/>
          <w:szCs w:val="24"/>
          <w:vertAlign w:val="subscript"/>
          <w:lang w:eastAsia="en-US"/>
        </w:rPr>
        <w:t>3</w:t>
      </w:r>
      <w:r w:rsidRPr="009916FC">
        <w:rPr>
          <w:b/>
          <w:bCs/>
          <w:szCs w:val="24"/>
          <w:lang w:eastAsia="en-US"/>
        </w:rPr>
        <w:t>-N production) in a loamy sand soil tested up to a concentration of 35.00 mg/kg dry soil.</w:t>
      </w:r>
    </w:p>
    <w:p w14:paraId="5AED96EC" w14:textId="77777777" w:rsidR="00E51CDD" w:rsidRDefault="00E51CDD" w:rsidP="00E51CDD">
      <w:pPr>
        <w:pStyle w:val="StyleOECD-BASIS-TEXTLeft"/>
        <w:rPr>
          <w:sz w:val="22"/>
          <w:lang w:val="en-US"/>
        </w:rPr>
      </w:pPr>
    </w:p>
    <w:bookmarkEnd w:id="1284"/>
    <w:p w14:paraId="4692BDD1" w14:textId="77777777" w:rsidR="00E51CDD" w:rsidRDefault="00E51CDD" w:rsidP="00CE08CB">
      <w:pPr>
        <w:pStyle w:val="StyleOECD-BASIS-TEXTLeft"/>
        <w:rPr>
          <w:sz w:val="22"/>
          <w:lang w:val="en-US"/>
        </w:rPr>
        <w:sectPr w:rsidR="00E51CDD" w:rsidSect="00D20BDB">
          <w:headerReference w:type="even" r:id="rId74"/>
          <w:footerReference w:type="even" r:id="rId75"/>
          <w:headerReference w:type="first" r:id="rId76"/>
          <w:footerReference w:type="first" r:id="rId77"/>
          <w:pgSz w:w="11906" w:h="16838"/>
          <w:pgMar w:top="1418" w:right="1134" w:bottom="1134" w:left="1418" w:header="709" w:footer="709" w:gutter="0"/>
          <w:pgNumType w:chapSep="period"/>
          <w:cols w:space="708"/>
          <w:docGrid w:linePitch="360"/>
        </w:sectPr>
      </w:pPr>
    </w:p>
    <w:p w14:paraId="791C233D" w14:textId="77777777" w:rsidR="00E51CDD" w:rsidRPr="00E51CDD" w:rsidRDefault="00E51CDD" w:rsidP="00E51CDD">
      <w:pPr>
        <w:jc w:val="both"/>
        <w:rPr>
          <w:color w:val="000000"/>
          <w:lang w:eastAsia="en-US"/>
        </w:rPr>
      </w:pPr>
    </w:p>
    <w:p w14:paraId="4780C748" w14:textId="77777777" w:rsidR="00E51CDD" w:rsidRPr="00E51CDD" w:rsidRDefault="00E51CDD" w:rsidP="00C5395F">
      <w:pPr>
        <w:pStyle w:val="RepAppendix2"/>
      </w:pPr>
      <w:bookmarkStart w:id="1286" w:name="_Toc413922106"/>
      <w:bookmarkStart w:id="1287" w:name="_Toc413922595"/>
      <w:bookmarkStart w:id="1288" w:name="_Toc413922699"/>
      <w:bookmarkStart w:id="1289" w:name="_Toc414955336"/>
      <w:bookmarkStart w:id="1290" w:name="_Toc415214643"/>
      <w:bookmarkStart w:id="1291" w:name="_Toc125446492"/>
      <w:r w:rsidRPr="00E51CDD">
        <w:t xml:space="preserve">KCP 10.6 </w:t>
      </w:r>
      <w:r w:rsidRPr="00E51CDD">
        <w:tab/>
        <w:t>Effects on terrestrial non-target higher plants</w:t>
      </w:r>
      <w:bookmarkEnd w:id="1286"/>
      <w:bookmarkEnd w:id="1287"/>
      <w:bookmarkEnd w:id="1288"/>
      <w:bookmarkEnd w:id="1289"/>
      <w:bookmarkEnd w:id="1290"/>
      <w:bookmarkEnd w:id="1291"/>
    </w:p>
    <w:p w14:paraId="3269F331" w14:textId="77777777" w:rsidR="00E51CDD" w:rsidRPr="00E51CDD" w:rsidRDefault="00E51CDD" w:rsidP="00C5395F">
      <w:pPr>
        <w:pStyle w:val="RepAppendix3"/>
      </w:pPr>
      <w:bookmarkStart w:id="1292" w:name="_Toc413922107"/>
      <w:bookmarkStart w:id="1293" w:name="_Toc413922596"/>
      <w:bookmarkStart w:id="1294" w:name="_Toc413922700"/>
      <w:bookmarkStart w:id="1295" w:name="_Toc414955337"/>
      <w:bookmarkStart w:id="1296" w:name="_Toc415214644"/>
      <w:bookmarkStart w:id="1297" w:name="_Toc125446493"/>
      <w:r w:rsidRPr="00E51CDD">
        <w:t xml:space="preserve">KCP 10.6.1 </w:t>
      </w:r>
      <w:r w:rsidRPr="00E51CDD">
        <w:tab/>
        <w:t>Summary of screening data</w:t>
      </w:r>
      <w:bookmarkEnd w:id="1292"/>
      <w:bookmarkEnd w:id="1293"/>
      <w:bookmarkEnd w:id="1294"/>
      <w:bookmarkEnd w:id="1295"/>
      <w:bookmarkEnd w:id="1296"/>
      <w:bookmarkEnd w:id="1297"/>
    </w:p>
    <w:p w14:paraId="25A37711" w14:textId="77777777" w:rsidR="00E51CDD" w:rsidRPr="00E51CDD" w:rsidRDefault="00E51CDD" w:rsidP="00E51CDD">
      <w:pPr>
        <w:widowControl w:val="0"/>
        <w:jc w:val="both"/>
      </w:pPr>
      <w:bookmarkStart w:id="1298" w:name="_Toc413922108"/>
      <w:bookmarkStart w:id="1299" w:name="_Toc413922597"/>
      <w:bookmarkStart w:id="1300" w:name="_Toc413922701"/>
      <w:bookmarkStart w:id="1301" w:name="_Toc414955338"/>
      <w:bookmarkStart w:id="1302" w:name="_Toc415214645"/>
      <w:r w:rsidRPr="00E51CDD">
        <w:t>Tests on non-target plants have been conducted. The data point is covered by Appendix 2.6.2 (KCP 10.6.2).</w:t>
      </w:r>
    </w:p>
    <w:p w14:paraId="0B1B9FF8" w14:textId="77777777" w:rsidR="00E51CDD" w:rsidRPr="00E51CDD" w:rsidRDefault="00E51CDD" w:rsidP="00E51CDD">
      <w:pPr>
        <w:widowControl w:val="0"/>
        <w:jc w:val="both"/>
      </w:pPr>
    </w:p>
    <w:p w14:paraId="3DD4A9F0" w14:textId="77777777" w:rsidR="00E51CDD" w:rsidRPr="00E51CDD" w:rsidRDefault="00E51CDD" w:rsidP="00C5395F">
      <w:pPr>
        <w:pStyle w:val="RepAppendix3"/>
      </w:pPr>
      <w:bookmarkStart w:id="1303" w:name="_Toc125446494"/>
      <w:r w:rsidRPr="00E51CDD">
        <w:t xml:space="preserve">KCP 10.6.2 </w:t>
      </w:r>
      <w:r w:rsidRPr="00E51CDD">
        <w:tab/>
        <w:t>Testing on non-target plants</w:t>
      </w:r>
      <w:bookmarkEnd w:id="1298"/>
      <w:bookmarkEnd w:id="1299"/>
      <w:bookmarkEnd w:id="1300"/>
      <w:bookmarkEnd w:id="1301"/>
      <w:bookmarkEnd w:id="1302"/>
      <w:bookmarkEnd w:id="1303"/>
    </w:p>
    <w:p w14:paraId="2288228C" w14:textId="77777777" w:rsidR="00E51CDD" w:rsidRPr="00E51CDD" w:rsidRDefault="00E51CDD" w:rsidP="00C5395F">
      <w:pPr>
        <w:pStyle w:val="RepAppendix4"/>
      </w:pPr>
      <w:r w:rsidRPr="00E51CDD">
        <w:t>Study 1</w:t>
      </w:r>
      <w:bookmarkStart w:id="1304" w:name="_Toc413922109"/>
      <w:bookmarkStart w:id="1305" w:name="_Toc413922598"/>
      <w:bookmarkStart w:id="1306" w:name="_Toc413922702"/>
      <w:bookmarkStart w:id="1307" w:name="_Toc414955339"/>
      <w:bookmarkStart w:id="1308" w:name="_Toc4152146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rsidRPr="00E51CDD" w14:paraId="6F4F4D04" w14:textId="77777777" w:rsidTr="002B5466">
        <w:trPr>
          <w:trHeight w:val="854"/>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BA21DD7" w14:textId="77777777" w:rsidR="00E51CDD" w:rsidRPr="00E51CDD" w:rsidRDefault="00E51CDD" w:rsidP="00E51CDD">
            <w:pPr>
              <w:widowControl w:val="0"/>
              <w:jc w:val="both"/>
              <w:rPr>
                <w:rFonts w:eastAsia="Batang"/>
                <w:lang w:val="en-GB"/>
              </w:rPr>
            </w:pPr>
            <w:bookmarkStart w:id="1309" w:name="_Hlk88466390"/>
            <w:r w:rsidRPr="00E51CDD">
              <w:rPr>
                <w:lang w:val="en-GB"/>
              </w:rP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5F97CB" w14:textId="1BAE6BDB" w:rsidR="00E51CDD" w:rsidRPr="00E51CDD" w:rsidRDefault="004E441F" w:rsidP="00E51CDD">
            <w:pPr>
              <w:widowControl w:val="0"/>
              <w:ind w:left="85"/>
              <w:jc w:val="both"/>
              <w:rPr>
                <w:rFonts w:eastAsia="Batang"/>
                <w:lang w:val="en-GB"/>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504A7F79" w14:textId="77777777" w:rsidR="00E51CDD" w:rsidRP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rsidRPr="00E51CDD" w14:paraId="0CA38EDE" w14:textId="77777777" w:rsidTr="009938D9">
        <w:trPr>
          <w:gridAfter w:val="1"/>
          <w:wAfter w:w="9" w:type="pct"/>
        </w:trPr>
        <w:tc>
          <w:tcPr>
            <w:tcW w:w="1340" w:type="pct"/>
            <w:hideMark/>
          </w:tcPr>
          <w:p w14:paraId="550929E2" w14:textId="77777777" w:rsidR="00E51CDD" w:rsidRPr="00E51CDD" w:rsidRDefault="00E51CDD" w:rsidP="00E51CDD">
            <w:pPr>
              <w:widowControl w:val="0"/>
              <w:jc w:val="both"/>
              <w:rPr>
                <w:lang w:val="de-DE"/>
              </w:rPr>
            </w:pPr>
            <w:r w:rsidRPr="00E51CDD">
              <w:rPr>
                <w:lang w:val="en-GB"/>
              </w:rPr>
              <w:t>Reference:</w:t>
            </w:r>
          </w:p>
        </w:tc>
        <w:tc>
          <w:tcPr>
            <w:tcW w:w="3651" w:type="pct"/>
            <w:hideMark/>
          </w:tcPr>
          <w:p w14:paraId="5B98B6A4" w14:textId="77777777" w:rsidR="00E51CDD" w:rsidRPr="00E51CDD" w:rsidRDefault="00E51CDD" w:rsidP="00E51CDD">
            <w:pPr>
              <w:widowControl w:val="0"/>
              <w:jc w:val="both"/>
              <w:rPr>
                <w:lang w:val="en-GB"/>
              </w:rPr>
            </w:pPr>
            <w:r w:rsidRPr="00E51CDD">
              <w:rPr>
                <w:lang w:val="en-GB"/>
              </w:rPr>
              <w:t>CP 10.6.2/1</w:t>
            </w:r>
          </w:p>
        </w:tc>
      </w:tr>
      <w:tr w:rsidR="00E51CDD" w:rsidRPr="00E51CDD" w14:paraId="3A9EDC38" w14:textId="77777777" w:rsidTr="009938D9">
        <w:trPr>
          <w:gridAfter w:val="1"/>
          <w:wAfter w:w="9" w:type="pct"/>
        </w:trPr>
        <w:tc>
          <w:tcPr>
            <w:tcW w:w="1340" w:type="pct"/>
            <w:hideMark/>
          </w:tcPr>
          <w:p w14:paraId="79AC9397" w14:textId="77777777" w:rsidR="00E51CDD" w:rsidRPr="00E51CDD" w:rsidRDefault="00E51CDD" w:rsidP="00E51CDD">
            <w:pPr>
              <w:widowControl w:val="0"/>
              <w:spacing w:after="120"/>
              <w:jc w:val="both"/>
              <w:rPr>
                <w:lang w:val="en-GB"/>
              </w:rPr>
            </w:pPr>
            <w:r w:rsidRPr="00E51CDD">
              <w:rPr>
                <w:lang w:val="en-GB"/>
              </w:rPr>
              <w:t>Report</w:t>
            </w:r>
          </w:p>
        </w:tc>
        <w:tc>
          <w:tcPr>
            <w:tcW w:w="3651" w:type="pct"/>
            <w:hideMark/>
          </w:tcPr>
          <w:p w14:paraId="6CA709DB" w14:textId="77777777" w:rsidR="00E51CDD" w:rsidRPr="00E51CDD" w:rsidRDefault="00E51CDD" w:rsidP="00E51CDD">
            <w:pPr>
              <w:widowControl w:val="0"/>
              <w:spacing w:after="120"/>
              <w:jc w:val="both"/>
            </w:pPr>
            <w:r w:rsidRPr="00E51CDD">
              <w:t>Effect of BAS 736 00 F on vegetative vigour of ten species of terrestrial plants under greenhouse conditions,</w:t>
            </w:r>
          </w:p>
          <w:p w14:paraId="5F31F617" w14:textId="77777777" w:rsidR="00E51CDD" w:rsidRPr="00E51CDD" w:rsidRDefault="00E51CDD" w:rsidP="00E51CDD">
            <w:pPr>
              <w:widowControl w:val="0"/>
              <w:spacing w:after="120"/>
              <w:jc w:val="both"/>
            </w:pPr>
            <w:r w:rsidRPr="00E51CDD">
              <w:t>Maleck, A., 2019</w:t>
            </w:r>
          </w:p>
          <w:p w14:paraId="1ABAC0FA" w14:textId="77777777" w:rsidR="00E51CDD" w:rsidRPr="00E51CDD" w:rsidRDefault="00E51CDD" w:rsidP="00E51CDD">
            <w:pPr>
              <w:widowControl w:val="0"/>
              <w:spacing w:after="120"/>
              <w:jc w:val="both"/>
            </w:pPr>
            <w:r w:rsidRPr="00E51CDD">
              <w:t>report No 849658, AC/BASF/19/20</w:t>
            </w:r>
          </w:p>
          <w:p w14:paraId="0989EA86" w14:textId="77777777" w:rsidR="00E51CDD" w:rsidRPr="00E51CDD" w:rsidRDefault="00E51CDD" w:rsidP="00E51CDD">
            <w:pPr>
              <w:widowControl w:val="0"/>
              <w:spacing w:after="120"/>
              <w:jc w:val="both"/>
              <w:rPr>
                <w:lang w:val="en-GB"/>
              </w:rPr>
            </w:pPr>
            <w:r w:rsidRPr="00E51CDD">
              <w:t>2019/1061112</w:t>
            </w:r>
          </w:p>
          <w:p w14:paraId="0AF6D6E6" w14:textId="77777777" w:rsidR="00E51CDD" w:rsidRPr="00E51CDD" w:rsidRDefault="00E51CDD" w:rsidP="00E51CDD">
            <w:pPr>
              <w:widowControl w:val="0"/>
              <w:jc w:val="both"/>
              <w:rPr>
                <w:lang w:val="en-GB"/>
              </w:rPr>
            </w:pPr>
            <w:r w:rsidRPr="00E51CDD">
              <w:rPr>
                <w:lang w:val="en-GB"/>
              </w:rPr>
              <w:t>Authority registration No</w:t>
            </w:r>
          </w:p>
        </w:tc>
      </w:tr>
      <w:tr w:rsidR="00E51CDD" w:rsidRPr="00E51CDD" w14:paraId="5EF4763B" w14:textId="77777777" w:rsidTr="009938D9">
        <w:trPr>
          <w:gridAfter w:val="1"/>
          <w:wAfter w:w="9" w:type="pct"/>
        </w:trPr>
        <w:tc>
          <w:tcPr>
            <w:tcW w:w="1340" w:type="pct"/>
            <w:hideMark/>
          </w:tcPr>
          <w:p w14:paraId="7B731FB1" w14:textId="77777777" w:rsidR="00E51CDD" w:rsidRPr="00E51CDD" w:rsidRDefault="00E51CDD" w:rsidP="00E51CDD">
            <w:pPr>
              <w:widowControl w:val="0"/>
              <w:jc w:val="both"/>
              <w:rPr>
                <w:lang w:val="en-GB"/>
              </w:rPr>
            </w:pPr>
            <w:r w:rsidRPr="00E51CDD">
              <w:rPr>
                <w:lang w:val="en-GB"/>
              </w:rPr>
              <w:t>Guideline(s):</w:t>
            </w:r>
          </w:p>
        </w:tc>
        <w:tc>
          <w:tcPr>
            <w:tcW w:w="3651" w:type="pct"/>
            <w:hideMark/>
          </w:tcPr>
          <w:p w14:paraId="0A93B0DB" w14:textId="77777777" w:rsidR="00E51CDD" w:rsidRPr="00E51CDD" w:rsidRDefault="00E51CDD" w:rsidP="00E51CDD">
            <w:pPr>
              <w:widowControl w:val="0"/>
              <w:spacing w:after="120"/>
              <w:jc w:val="both"/>
              <w:rPr>
                <w:lang w:val="en-GB"/>
              </w:rPr>
            </w:pPr>
            <w:r w:rsidRPr="00E51CDD">
              <w:t>EPA 850.4150, OECD 227 July 2006</w:t>
            </w:r>
            <w:r w:rsidRPr="00E51CDD">
              <w:rPr>
                <w:lang w:val="en-GB"/>
              </w:rPr>
              <w:t xml:space="preserve"> </w:t>
            </w:r>
          </w:p>
        </w:tc>
      </w:tr>
      <w:tr w:rsidR="00E51CDD" w:rsidRPr="00E51CDD" w14:paraId="43929005" w14:textId="77777777" w:rsidTr="009938D9">
        <w:trPr>
          <w:gridAfter w:val="1"/>
          <w:wAfter w:w="9" w:type="pct"/>
        </w:trPr>
        <w:tc>
          <w:tcPr>
            <w:tcW w:w="1340" w:type="pct"/>
            <w:hideMark/>
          </w:tcPr>
          <w:p w14:paraId="6368A9DF" w14:textId="77777777" w:rsidR="00E51CDD" w:rsidRPr="00E51CDD" w:rsidRDefault="00E51CDD" w:rsidP="00E51CDD">
            <w:pPr>
              <w:widowControl w:val="0"/>
              <w:jc w:val="both"/>
              <w:rPr>
                <w:lang w:val="en-GB"/>
              </w:rPr>
            </w:pPr>
            <w:r w:rsidRPr="00E51CDD">
              <w:rPr>
                <w:lang w:val="en-GB"/>
              </w:rPr>
              <w:t>Deviations:</w:t>
            </w:r>
          </w:p>
        </w:tc>
        <w:tc>
          <w:tcPr>
            <w:tcW w:w="3651" w:type="pct"/>
            <w:hideMark/>
          </w:tcPr>
          <w:p w14:paraId="4149B431" w14:textId="77777777" w:rsidR="00E51CDD" w:rsidRPr="00E51CDD" w:rsidRDefault="00E51CDD" w:rsidP="00E51CDD">
            <w:pPr>
              <w:widowControl w:val="0"/>
              <w:spacing w:after="120"/>
              <w:jc w:val="both"/>
              <w:rPr>
                <w:lang w:val="en-GB"/>
              </w:rPr>
            </w:pPr>
            <w:r w:rsidRPr="00E51CDD">
              <w:rPr>
                <w:lang w:val="en-GB"/>
              </w:rPr>
              <w:t xml:space="preserve">No </w:t>
            </w:r>
          </w:p>
        </w:tc>
      </w:tr>
      <w:tr w:rsidR="00E51CDD" w:rsidRPr="00662F32" w14:paraId="3A965CEA" w14:textId="77777777" w:rsidTr="009938D9">
        <w:tc>
          <w:tcPr>
            <w:tcW w:w="1340" w:type="pct"/>
            <w:hideMark/>
          </w:tcPr>
          <w:p w14:paraId="68ABEFF2" w14:textId="77777777" w:rsidR="00E51CDD" w:rsidRPr="00E51CDD" w:rsidRDefault="00E51CDD" w:rsidP="00E51CDD">
            <w:pPr>
              <w:widowControl w:val="0"/>
              <w:jc w:val="both"/>
              <w:rPr>
                <w:lang w:val="en-GB"/>
              </w:rPr>
            </w:pPr>
            <w:r w:rsidRPr="00E51CDD">
              <w:rPr>
                <w:lang w:val="en-GB"/>
              </w:rPr>
              <w:t>GLP:</w:t>
            </w:r>
          </w:p>
        </w:tc>
        <w:tc>
          <w:tcPr>
            <w:tcW w:w="3660" w:type="pct"/>
            <w:gridSpan w:val="2"/>
            <w:hideMark/>
          </w:tcPr>
          <w:p w14:paraId="272118D7" w14:textId="77777777" w:rsidR="00E51CDD" w:rsidRPr="00E51CDD" w:rsidRDefault="00E51CDD" w:rsidP="00E51CDD">
            <w:pPr>
              <w:tabs>
                <w:tab w:val="left" w:pos="425"/>
                <w:tab w:val="left" w:pos="850"/>
              </w:tabs>
              <w:spacing w:after="120"/>
              <w:ind w:left="1985" w:hanging="1985"/>
              <w:rPr>
                <w:b/>
                <w:lang w:val="de-DE"/>
              </w:rPr>
            </w:pPr>
            <w:r w:rsidRPr="00E51CDD">
              <w:rPr>
                <w:lang w:val="de-DE"/>
              </w:rPr>
              <w:t>yes</w:t>
            </w:r>
          </w:p>
          <w:p w14:paraId="3BC2C899" w14:textId="77777777" w:rsidR="00E51CDD" w:rsidRPr="00E51CDD" w:rsidRDefault="00E51CDD" w:rsidP="00E51CDD">
            <w:pPr>
              <w:widowControl w:val="0"/>
              <w:spacing w:after="120"/>
              <w:rPr>
                <w:lang w:val="de-DE"/>
              </w:rPr>
            </w:pPr>
            <w:r w:rsidRPr="00E51CDD">
              <w:rPr>
                <w:lang w:val="de-DE"/>
              </w:rPr>
              <w:t xml:space="preserve">(certified by Land Brandenburg Ministerium der Justiz und fuer Europa und fuer Verbraucherschutz, Potsdam, Germany), </w:t>
            </w:r>
          </w:p>
        </w:tc>
      </w:tr>
      <w:tr w:rsidR="00E51CDD" w:rsidRPr="00E51CDD" w14:paraId="398C66A0" w14:textId="77777777" w:rsidTr="009938D9">
        <w:trPr>
          <w:gridAfter w:val="1"/>
          <w:wAfter w:w="9" w:type="pct"/>
        </w:trPr>
        <w:tc>
          <w:tcPr>
            <w:tcW w:w="1340" w:type="pct"/>
            <w:hideMark/>
          </w:tcPr>
          <w:p w14:paraId="357753DA" w14:textId="77777777" w:rsidR="00E51CDD" w:rsidRPr="00E51CDD" w:rsidRDefault="00E51CDD" w:rsidP="00E51CDD">
            <w:pPr>
              <w:widowControl w:val="0"/>
              <w:jc w:val="both"/>
              <w:rPr>
                <w:lang w:val="de-DE"/>
              </w:rPr>
            </w:pPr>
            <w:r w:rsidRPr="00E51CDD">
              <w:rPr>
                <w:lang w:val="en-GB"/>
              </w:rPr>
              <w:t>Acceptability:</w:t>
            </w:r>
          </w:p>
        </w:tc>
        <w:tc>
          <w:tcPr>
            <w:tcW w:w="3651" w:type="pct"/>
            <w:hideMark/>
          </w:tcPr>
          <w:p w14:paraId="3DD899AD" w14:textId="77777777" w:rsidR="00E51CDD" w:rsidRPr="00E51CDD" w:rsidRDefault="00E51CDD" w:rsidP="00E51CDD">
            <w:pPr>
              <w:widowControl w:val="0"/>
              <w:jc w:val="both"/>
              <w:rPr>
                <w:lang w:val="en-GB"/>
              </w:rPr>
            </w:pPr>
            <w:r w:rsidRPr="00E51CDD">
              <w:rPr>
                <w:lang w:val="en-GB"/>
              </w:rPr>
              <w:t xml:space="preserve">Yes </w:t>
            </w:r>
          </w:p>
        </w:tc>
      </w:tr>
      <w:tr w:rsidR="00E51CDD" w:rsidRPr="00E51CDD" w14:paraId="512243A4" w14:textId="77777777" w:rsidTr="009938D9">
        <w:trPr>
          <w:gridAfter w:val="1"/>
          <w:wAfter w:w="9" w:type="pct"/>
        </w:trPr>
        <w:tc>
          <w:tcPr>
            <w:tcW w:w="1340" w:type="pct"/>
            <w:hideMark/>
          </w:tcPr>
          <w:p w14:paraId="5A49EDBA" w14:textId="77777777" w:rsidR="00E51CDD" w:rsidRPr="00E51CDD" w:rsidRDefault="00E51CDD" w:rsidP="00E51CDD">
            <w:pPr>
              <w:widowControl w:val="0"/>
              <w:jc w:val="both"/>
              <w:rPr>
                <w:lang w:val="en-GB"/>
              </w:rPr>
            </w:pPr>
            <w:r w:rsidRPr="00E51CDD">
              <w:rPr>
                <w:lang w:val="en-GB"/>
              </w:rPr>
              <w:t xml:space="preserve">Duplication </w:t>
            </w:r>
            <w:r w:rsidRPr="00E51CDD">
              <w:rPr>
                <w:lang w:val="en-GB"/>
              </w:rPr>
              <w:br/>
              <w:t>(if vertebrate study)</w:t>
            </w:r>
          </w:p>
        </w:tc>
        <w:tc>
          <w:tcPr>
            <w:tcW w:w="3651" w:type="pct"/>
            <w:hideMark/>
          </w:tcPr>
          <w:p w14:paraId="6131DE19" w14:textId="77777777" w:rsidR="00E51CDD" w:rsidRPr="00E51CDD" w:rsidRDefault="00E51CDD" w:rsidP="00E51CDD">
            <w:pPr>
              <w:widowControl w:val="0"/>
              <w:spacing w:after="120"/>
              <w:jc w:val="both"/>
              <w:rPr>
                <w:lang w:val="en-GB"/>
              </w:rPr>
            </w:pPr>
            <w:r w:rsidRPr="00E51CDD">
              <w:rPr>
                <w:lang w:val="en-GB"/>
              </w:rPr>
              <w:t>No</w:t>
            </w:r>
          </w:p>
        </w:tc>
      </w:tr>
    </w:tbl>
    <w:p w14:paraId="2A89CD43" w14:textId="77777777" w:rsidR="00E51CDD" w:rsidRPr="00E51CDD" w:rsidRDefault="00E51CDD" w:rsidP="00E51CDD">
      <w:pPr>
        <w:widowControl w:val="0"/>
        <w:suppressAutoHyphens/>
        <w:jc w:val="both"/>
        <w:rPr>
          <w:color w:val="0070C0"/>
        </w:rPr>
      </w:pPr>
    </w:p>
    <w:p w14:paraId="03943F49" w14:textId="77777777" w:rsidR="00E51CDD" w:rsidRPr="00E51CDD" w:rsidRDefault="00E51CDD" w:rsidP="00E51CDD">
      <w:pPr>
        <w:widowControl w:val="0"/>
        <w:suppressAutoHyphens/>
        <w:jc w:val="both"/>
        <w:rPr>
          <w:color w:val="0070C0"/>
        </w:rPr>
      </w:pPr>
      <w:r w:rsidRPr="00E51CDD">
        <w:rPr>
          <w:color w:val="0070C0"/>
        </w:rPr>
        <w:br w:type="page"/>
      </w:r>
    </w:p>
    <w:p w14:paraId="694C92FB" w14:textId="77777777" w:rsidR="00E51CDD" w:rsidRPr="00E51CDD" w:rsidRDefault="00E51CDD" w:rsidP="00E51CDD">
      <w:pPr>
        <w:widowControl w:val="0"/>
        <w:suppressAutoHyphens/>
        <w:jc w:val="both"/>
        <w:rPr>
          <w:b/>
          <w:bCs/>
        </w:rPr>
      </w:pPr>
      <w:r w:rsidRPr="00E51CDD">
        <w:rPr>
          <w:b/>
          <w:bCs/>
        </w:rPr>
        <w:lastRenderedPageBreak/>
        <w:t>Executive Summary</w:t>
      </w:r>
    </w:p>
    <w:p w14:paraId="39AFA19E" w14:textId="77777777" w:rsidR="00E51CDD" w:rsidRPr="00E51CDD" w:rsidRDefault="00E51CDD" w:rsidP="00E51CDD">
      <w:pPr>
        <w:widowControl w:val="0"/>
        <w:jc w:val="both"/>
        <w:rPr>
          <w:b/>
          <w:szCs w:val="24"/>
          <w:lang w:eastAsia="en-US"/>
        </w:rPr>
      </w:pPr>
    </w:p>
    <w:p w14:paraId="21D7FC99" w14:textId="77777777" w:rsidR="00E51CDD" w:rsidRPr="00E51CDD" w:rsidRDefault="00E51CDD" w:rsidP="00E51CDD">
      <w:pPr>
        <w:widowControl w:val="0"/>
        <w:jc w:val="both"/>
        <w:rPr>
          <w:szCs w:val="24"/>
          <w:lang w:eastAsia="en-US"/>
        </w:rPr>
      </w:pPr>
      <w:r w:rsidRPr="00E51CDD">
        <w:rPr>
          <w:szCs w:val="24"/>
          <w:lang w:eastAsia="en-US"/>
        </w:rPr>
        <w:t xml:space="preserve">In a vegetative vigor test, </w:t>
      </w:r>
      <w:bookmarkStart w:id="1310" w:name="_Hlk79159741"/>
      <w:r w:rsidRPr="00E51CDD">
        <w:rPr>
          <w:szCs w:val="24"/>
          <w:lang w:eastAsia="en-US"/>
        </w:rPr>
        <w:t xml:space="preserve">six species of dicotyledonous plants (carrot, lettuce, oilseed rape, cabbage, soybean and tomato) and four species of monocotyledonous plants (onion, ryegrass, wheat and corn) were exposed to BAS 736 00 F to evaluate the phytotoxic potential. </w:t>
      </w:r>
      <w:bookmarkStart w:id="1311" w:name="_Hlk79159796"/>
      <w:bookmarkEnd w:id="1310"/>
      <w:r w:rsidRPr="00E51CDD">
        <w:rPr>
          <w:szCs w:val="24"/>
          <w:lang w:eastAsia="en-US"/>
        </w:rPr>
        <w:t>BAS 736 00 F was applied post-emergence at BBCH 12 to 14 at a limit rate of 2.0 L BAS 736 00 F/ha. After application, the plants were cultivated for 21 days under greenhouse conditions. Assessment of plant damage (phytotoxicity) and plant survival were done 7, 14 and 21 days after treatment (DAT). Assessments of plant length and plant dry weight were done at study termination 21 DAT.</w:t>
      </w:r>
      <w:bookmarkEnd w:id="1311"/>
    </w:p>
    <w:p w14:paraId="76023705" w14:textId="77777777" w:rsidR="00E51CDD" w:rsidRPr="00E51CDD" w:rsidRDefault="00E51CDD" w:rsidP="00E51CDD">
      <w:pPr>
        <w:widowControl w:val="0"/>
        <w:jc w:val="both"/>
        <w:rPr>
          <w:szCs w:val="24"/>
          <w:lang w:eastAsia="en-US"/>
        </w:rPr>
      </w:pPr>
    </w:p>
    <w:p w14:paraId="4E05B8EC" w14:textId="77777777" w:rsidR="00E51CDD" w:rsidRPr="00E51CDD" w:rsidRDefault="00E51CDD" w:rsidP="00E51CDD">
      <w:pPr>
        <w:widowControl w:val="0"/>
        <w:jc w:val="both"/>
        <w:rPr>
          <w:rFonts w:eastAsia="Arial"/>
          <w:lang w:eastAsia="en-US"/>
        </w:rPr>
      </w:pPr>
      <w:r w:rsidRPr="00E51CDD">
        <w:t xml:space="preserve">After exposure, no plant mortality was observed for all tested plant species following the application of 2.0 L BAS 736 00 F/ha at BBCH stage 12-14. No symptoms of phytotoxicity were observed for all plant species, except for oilseed rape and soybean. Oilseed rape und soybean showed slight chlorosis and stunting effects after application of 2.0 L BAS 736 00 F/ha. Oilseed rape also indicated slight deformations. </w:t>
      </w:r>
      <w:r w:rsidRPr="00E51CDD">
        <w:rPr>
          <w:rFonts w:eastAsia="Arial"/>
          <w:lang w:eastAsia="en-US"/>
        </w:rPr>
        <w:t>Plant length was not influenced after application of 2.0 L BAS 736 00 F/ha for all tested plant species. No influence of BAS 736 00 F applied at a rate of 2.0 L/ha on plant dry biomass was observed for all tested plant species, except for carrot and tomato. Carrot showed statistically significant effects on biomass reduction with 6% and tomato with 5% after application of BAS 736 00 F.</w:t>
      </w:r>
    </w:p>
    <w:p w14:paraId="4C94042F" w14:textId="77777777" w:rsidR="00E51CDD" w:rsidRPr="00E51CDD" w:rsidRDefault="00E51CDD" w:rsidP="00E51CDD">
      <w:pPr>
        <w:widowControl w:val="0"/>
        <w:jc w:val="both"/>
        <w:rPr>
          <w:color w:val="0070C0"/>
          <w:szCs w:val="24"/>
          <w:lang w:eastAsia="en-US"/>
        </w:rPr>
      </w:pPr>
    </w:p>
    <w:p w14:paraId="65715FBB" w14:textId="77777777" w:rsidR="00E51CDD" w:rsidRPr="00E51CDD" w:rsidRDefault="00E51CDD" w:rsidP="00E51CDD">
      <w:pPr>
        <w:widowControl w:val="0"/>
        <w:jc w:val="both"/>
        <w:rPr>
          <w:rFonts w:eastAsia="Calibri"/>
          <w:b/>
          <w:bCs/>
          <w:lang w:eastAsia="en-US"/>
        </w:rPr>
      </w:pPr>
      <w:r w:rsidRPr="00E51CDD">
        <w:rPr>
          <w:rFonts w:eastAsia="Calibri"/>
          <w:b/>
          <w:bCs/>
          <w:lang w:eastAsia="en-US"/>
        </w:rPr>
        <w:t xml:space="preserve">Based on the results of this study, conducted under greenhouse conditions, it can be concluded that BAS 736 00 F applied at BBCH 12 - 14 with a rate of 2.0 L/ha did not cause effects to plant survival and plant length for all tested plant species. Slight phytotoxic effects could be detected for oilseed rape and soybean. No influence of BAS 736 00 F applied at a rate of 2.0 L/ha on plant dry biomass was observed for all tested plant species, except for carrot and tomato with slight but significant reduced biomass of 6% and 5%, respectively. For all tested species, </w:t>
      </w:r>
      <w:bookmarkStart w:id="1312" w:name="_Hlk80878171"/>
      <w:r w:rsidRPr="00E51CDD">
        <w:rPr>
          <w:rFonts w:eastAsia="Calibri"/>
          <w:b/>
          <w:bCs/>
          <w:lang w:eastAsia="en-US"/>
        </w:rPr>
        <w:t>the ER</w:t>
      </w:r>
      <w:r w:rsidRPr="00E51CDD">
        <w:rPr>
          <w:rFonts w:eastAsia="Calibri"/>
          <w:b/>
          <w:bCs/>
          <w:vertAlign w:val="subscript"/>
          <w:lang w:eastAsia="en-US"/>
        </w:rPr>
        <w:t>50</w:t>
      </w:r>
      <w:r w:rsidRPr="00E51CDD">
        <w:rPr>
          <w:rFonts w:eastAsia="Calibri"/>
          <w:b/>
          <w:bCs/>
          <w:lang w:eastAsia="en-US"/>
        </w:rPr>
        <w:t xml:space="preserve"> was estimated to be &gt; 2.0 L </w:t>
      </w:r>
      <w:r w:rsidRPr="00E51CDD">
        <w:rPr>
          <w:b/>
        </w:rPr>
        <w:t>BAS 736 00 F</w:t>
      </w:r>
      <w:r w:rsidRPr="00E51CDD">
        <w:rPr>
          <w:rFonts w:eastAsia="Calibri"/>
          <w:b/>
          <w:bCs/>
          <w:lang w:eastAsia="en-US"/>
        </w:rPr>
        <w:t>/ha.</w:t>
      </w:r>
    </w:p>
    <w:bookmarkEnd w:id="1312"/>
    <w:p w14:paraId="49726EE9" w14:textId="77777777" w:rsidR="00E51CDD" w:rsidRPr="00E51CDD" w:rsidRDefault="00E51CDD" w:rsidP="00E51CDD">
      <w:pPr>
        <w:widowControl w:val="0"/>
        <w:jc w:val="both"/>
        <w:rPr>
          <w:b/>
          <w:color w:val="0070C0"/>
          <w:szCs w:val="24"/>
          <w:lang w:eastAsia="en-US"/>
        </w:rPr>
      </w:pPr>
    </w:p>
    <w:p w14:paraId="4615C2A7" w14:textId="77777777" w:rsidR="00E51CDD" w:rsidRPr="00E51CDD" w:rsidRDefault="00E51CDD" w:rsidP="00E51CDD">
      <w:pPr>
        <w:widowControl w:val="0"/>
        <w:jc w:val="both"/>
        <w:rPr>
          <w:b/>
          <w:color w:val="0070C0"/>
          <w:szCs w:val="24"/>
          <w:lang w:eastAsia="en-US"/>
        </w:rPr>
      </w:pPr>
    </w:p>
    <w:p w14:paraId="4BD94A9F" w14:textId="77777777" w:rsidR="00E51CDD" w:rsidRPr="00E51CDD" w:rsidRDefault="00E51CDD" w:rsidP="00E51CDD">
      <w:pPr>
        <w:widowControl w:val="0"/>
        <w:suppressAutoHyphens/>
        <w:rPr>
          <w:color w:val="0070C0"/>
        </w:rPr>
      </w:pPr>
      <w:r w:rsidRPr="00E51CDD">
        <w:rPr>
          <w:color w:val="0070C0"/>
        </w:rPr>
        <w:br w:type="page"/>
      </w:r>
    </w:p>
    <w:p w14:paraId="6A109A50" w14:textId="77777777" w:rsidR="00E51CDD" w:rsidRPr="00E51CDD" w:rsidRDefault="00E51CDD" w:rsidP="00E51CDD">
      <w:pPr>
        <w:widowControl w:val="0"/>
        <w:tabs>
          <w:tab w:val="left" w:pos="425"/>
          <w:tab w:val="left" w:pos="850"/>
        </w:tabs>
        <w:suppressAutoHyphens/>
        <w:ind w:left="2835" w:hanging="2835"/>
        <w:rPr>
          <w:b/>
          <w:bCs/>
        </w:rPr>
      </w:pPr>
      <w:r w:rsidRPr="00E51CDD">
        <w:rPr>
          <w:b/>
          <w:bCs/>
        </w:rPr>
        <w:lastRenderedPageBreak/>
        <w:t>I.</w:t>
      </w:r>
      <w:r w:rsidRPr="00E51CDD">
        <w:rPr>
          <w:b/>
          <w:bCs/>
        </w:rPr>
        <w:tab/>
        <w:t>MATERIAL AND METHODS</w:t>
      </w:r>
    </w:p>
    <w:p w14:paraId="19FCE620" w14:textId="77777777" w:rsidR="00E51CDD" w:rsidRPr="00E51CDD" w:rsidRDefault="00E51CDD" w:rsidP="00E51CDD">
      <w:pPr>
        <w:widowControl w:val="0"/>
        <w:suppressAutoHyphens/>
      </w:pPr>
    </w:p>
    <w:p w14:paraId="16152528" w14:textId="77777777" w:rsidR="00E51CDD" w:rsidRPr="00E51CDD" w:rsidRDefault="00E51CDD" w:rsidP="00E51CDD">
      <w:pPr>
        <w:widowControl w:val="0"/>
        <w:tabs>
          <w:tab w:val="left" w:pos="425"/>
          <w:tab w:val="left" w:pos="850"/>
        </w:tabs>
        <w:suppressAutoHyphens/>
        <w:ind w:left="2835" w:hanging="2835"/>
        <w:rPr>
          <w:b/>
          <w:bCs/>
        </w:rPr>
      </w:pPr>
      <w:r w:rsidRPr="00E51CDD">
        <w:rPr>
          <w:b/>
          <w:bCs/>
        </w:rPr>
        <w:t>A.</w:t>
      </w:r>
      <w:r w:rsidRPr="00E51CDD">
        <w:rPr>
          <w:b/>
          <w:bCs/>
        </w:rPr>
        <w:tab/>
        <w:t>MATERIALS</w:t>
      </w:r>
    </w:p>
    <w:p w14:paraId="443F269B" w14:textId="77777777" w:rsidR="00E51CDD" w:rsidRPr="00E51CDD" w:rsidRDefault="00E51CDD" w:rsidP="00E51CDD">
      <w:pPr>
        <w:widowControl w:val="0"/>
        <w:jc w:val="both"/>
        <w:rPr>
          <w:b/>
          <w:szCs w:val="24"/>
          <w:lang w:eastAsia="en-US"/>
        </w:rPr>
      </w:pPr>
    </w:p>
    <w:p w14:paraId="45B8CF31" w14:textId="77777777" w:rsidR="00E51CDD" w:rsidRPr="00E51CDD" w:rsidRDefault="00E51CDD" w:rsidP="00E51CDD">
      <w:pPr>
        <w:widowControl w:val="0"/>
        <w:ind w:left="2268" w:hanging="2268"/>
        <w:jc w:val="both"/>
      </w:pPr>
      <w:r w:rsidRPr="00E51CDD">
        <w:t xml:space="preserve">Test item: </w:t>
      </w:r>
      <w:r w:rsidRPr="00E51CDD">
        <w:tab/>
      </w:r>
      <w:r w:rsidRPr="00E51CDD">
        <w:rPr>
          <w:rFonts w:eastAsia="Calibri"/>
          <w:szCs w:val="24"/>
          <w:lang w:eastAsia="en-US"/>
        </w:rPr>
        <w:t>BAS 736 00 F; batch no. FD-190220-0002; content of a.s.: azoxystrobin (BAS 9164 F, Reg. No. 300 254): 73.9 g/L analyzed (75.0</w:t>
      </w:r>
      <w:r w:rsidRPr="00E51CDD">
        <w:rPr>
          <w:rFonts w:eastAsia="Calibri"/>
          <w:lang w:eastAsia="en-US"/>
        </w:rPr>
        <w:t> g</w:t>
      </w:r>
      <w:r w:rsidRPr="00E51CDD">
        <w:rPr>
          <w:rFonts w:eastAsia="Calibri"/>
          <w:szCs w:val="24"/>
          <w:lang w:eastAsia="en-US"/>
        </w:rPr>
        <w:t>/L nominal), fluxapyroxad (BAS 700 F, Reg. No. 5 094 351): 49.4 g/L analyzed (50.0 g/L nominal); density: 1.078 g/cm³.</w:t>
      </w:r>
      <w:r w:rsidRPr="00E51CDD">
        <w:t xml:space="preserve"> </w:t>
      </w:r>
    </w:p>
    <w:p w14:paraId="5DF15E32" w14:textId="77777777" w:rsidR="00E51CDD" w:rsidRPr="00E51CDD" w:rsidRDefault="00E51CDD" w:rsidP="00E51CDD">
      <w:pPr>
        <w:widowControl w:val="0"/>
        <w:tabs>
          <w:tab w:val="left" w:pos="425"/>
          <w:tab w:val="left" w:pos="850"/>
        </w:tabs>
        <w:suppressAutoHyphens/>
        <w:ind w:left="2835" w:hanging="2835"/>
        <w:rPr>
          <w:b/>
          <w:bCs/>
          <w:color w:val="0070C0"/>
        </w:rPr>
      </w:pPr>
    </w:p>
    <w:p w14:paraId="0FB78460" w14:textId="77777777" w:rsidR="00E51CDD" w:rsidRPr="00E51CDD" w:rsidRDefault="00E51CDD" w:rsidP="00E51CDD">
      <w:pPr>
        <w:widowControl w:val="0"/>
        <w:tabs>
          <w:tab w:val="left" w:pos="425"/>
          <w:tab w:val="left" w:pos="850"/>
        </w:tabs>
        <w:suppressAutoHyphens/>
        <w:ind w:left="2835" w:hanging="2835"/>
        <w:rPr>
          <w:b/>
          <w:bCs/>
        </w:rPr>
      </w:pPr>
      <w:r w:rsidRPr="00E51CDD">
        <w:rPr>
          <w:b/>
          <w:bCs/>
        </w:rPr>
        <w:t>B.</w:t>
      </w:r>
      <w:r w:rsidRPr="00E51CDD">
        <w:rPr>
          <w:b/>
          <w:bCs/>
        </w:rPr>
        <w:tab/>
        <w:t>STUDY DESIGN</w:t>
      </w:r>
    </w:p>
    <w:p w14:paraId="0E5E130C" w14:textId="77777777" w:rsidR="00E51CDD" w:rsidRPr="00E51CDD" w:rsidRDefault="00E51CDD" w:rsidP="00E51CDD">
      <w:pPr>
        <w:widowControl w:val="0"/>
        <w:jc w:val="both"/>
        <w:rPr>
          <w:szCs w:val="24"/>
          <w:lang w:eastAsia="en-US"/>
        </w:rPr>
      </w:pPr>
    </w:p>
    <w:p w14:paraId="4A0D615D" w14:textId="77777777" w:rsidR="00E51CDD" w:rsidRPr="00E51CDD" w:rsidRDefault="00E51CDD" w:rsidP="00E51CDD">
      <w:pPr>
        <w:widowControl w:val="0"/>
        <w:ind w:left="2268" w:hanging="2268"/>
        <w:jc w:val="both"/>
        <w:rPr>
          <w:szCs w:val="24"/>
          <w:lang w:eastAsia="en-US"/>
        </w:rPr>
      </w:pPr>
      <w:r w:rsidRPr="00E51CDD">
        <w:rPr>
          <w:szCs w:val="24"/>
          <w:lang w:eastAsia="en-US"/>
        </w:rPr>
        <w:t xml:space="preserve">Test species: </w:t>
      </w:r>
      <w:r w:rsidRPr="00E51CDD">
        <w:rPr>
          <w:szCs w:val="24"/>
          <w:lang w:eastAsia="en-US"/>
        </w:rPr>
        <w:tab/>
      </w:r>
      <w:r w:rsidRPr="00E51CDD">
        <w:rPr>
          <w:iCs/>
          <w:szCs w:val="24"/>
          <w:lang w:val="en-GB" w:eastAsia="en-US"/>
        </w:rPr>
        <w:t xml:space="preserve">Dicotyledonous species: </w:t>
      </w:r>
      <w:r w:rsidRPr="00E51CDD">
        <w:rPr>
          <w:szCs w:val="24"/>
          <w:lang w:eastAsia="en-US"/>
        </w:rPr>
        <w:t>carrot (</w:t>
      </w:r>
      <w:r w:rsidRPr="00E51CDD">
        <w:rPr>
          <w:i/>
          <w:iCs/>
          <w:szCs w:val="24"/>
          <w:lang w:eastAsia="en-US"/>
        </w:rPr>
        <w:t>Daucus carota L</w:t>
      </w:r>
      <w:r w:rsidRPr="00E51CDD">
        <w:rPr>
          <w:szCs w:val="24"/>
          <w:lang w:eastAsia="en-US"/>
        </w:rPr>
        <w:t>.); lettuce (</w:t>
      </w:r>
      <w:r w:rsidRPr="00E51CDD">
        <w:rPr>
          <w:i/>
          <w:iCs/>
          <w:szCs w:val="24"/>
          <w:lang w:eastAsia="en-US"/>
        </w:rPr>
        <w:t>Lactuca sativa L</w:t>
      </w:r>
      <w:r w:rsidRPr="00E51CDD">
        <w:rPr>
          <w:szCs w:val="24"/>
          <w:lang w:eastAsia="en-US"/>
        </w:rPr>
        <w:t>.); cabbage (</w:t>
      </w:r>
      <w:r w:rsidRPr="00E51CDD">
        <w:rPr>
          <w:i/>
          <w:iCs/>
          <w:szCs w:val="24"/>
          <w:lang w:eastAsia="en-US"/>
        </w:rPr>
        <w:t>Brassica oleracea L. var. capitata L. f. alba</w:t>
      </w:r>
      <w:r w:rsidRPr="00E51CDD">
        <w:rPr>
          <w:szCs w:val="24"/>
          <w:lang w:eastAsia="en-US"/>
        </w:rPr>
        <w:t>); oilseed rape (</w:t>
      </w:r>
      <w:r w:rsidRPr="00E51CDD">
        <w:rPr>
          <w:i/>
          <w:iCs/>
          <w:szCs w:val="24"/>
          <w:lang w:eastAsia="en-US"/>
        </w:rPr>
        <w:t>Brassica napus L. ssp. napus</w:t>
      </w:r>
      <w:r w:rsidRPr="00E51CDD">
        <w:rPr>
          <w:szCs w:val="24"/>
          <w:lang w:eastAsia="en-US"/>
        </w:rPr>
        <w:t>); tomato (</w:t>
      </w:r>
      <w:r w:rsidRPr="00E51CDD">
        <w:rPr>
          <w:i/>
          <w:iCs/>
          <w:szCs w:val="24"/>
          <w:lang w:eastAsia="en-US"/>
        </w:rPr>
        <w:t>Solanum lycopersicum L</w:t>
      </w:r>
      <w:r w:rsidRPr="00E51CDD">
        <w:rPr>
          <w:szCs w:val="24"/>
          <w:lang w:eastAsia="en-US"/>
        </w:rPr>
        <w:t>.); soybean (</w:t>
      </w:r>
      <w:r w:rsidRPr="00E51CDD">
        <w:rPr>
          <w:i/>
          <w:iCs/>
          <w:szCs w:val="24"/>
          <w:lang w:eastAsia="en-US"/>
        </w:rPr>
        <w:t>Glycine max L</w:t>
      </w:r>
      <w:r w:rsidRPr="00E51CDD">
        <w:rPr>
          <w:szCs w:val="24"/>
          <w:lang w:eastAsia="en-US"/>
        </w:rPr>
        <w:t xml:space="preserve">.). </w:t>
      </w:r>
    </w:p>
    <w:p w14:paraId="7E5D1ADA" w14:textId="77777777" w:rsidR="00E51CDD" w:rsidRPr="00E51CDD" w:rsidRDefault="00E51CDD" w:rsidP="00E51CDD">
      <w:pPr>
        <w:widowControl w:val="0"/>
        <w:ind w:left="2268"/>
        <w:jc w:val="both"/>
        <w:rPr>
          <w:szCs w:val="24"/>
          <w:lang w:eastAsia="en-US"/>
        </w:rPr>
      </w:pPr>
      <w:r w:rsidRPr="00E51CDD">
        <w:rPr>
          <w:iCs/>
          <w:lang w:val="en-GB"/>
        </w:rPr>
        <w:t>Monocotyledonous species:</w:t>
      </w:r>
      <w:r w:rsidRPr="00E51CDD">
        <w:rPr>
          <w:rFonts w:ascii="Calibri Light" w:hAnsi="Calibri Light" w:cs="Calibri Light"/>
          <w:iCs/>
          <w:lang w:val="en-GB"/>
        </w:rPr>
        <w:t xml:space="preserve"> </w:t>
      </w:r>
      <w:r w:rsidRPr="00E51CDD">
        <w:rPr>
          <w:szCs w:val="24"/>
          <w:lang w:eastAsia="en-US"/>
        </w:rPr>
        <w:t>onion (</w:t>
      </w:r>
      <w:r w:rsidRPr="00E51CDD">
        <w:rPr>
          <w:i/>
          <w:iCs/>
          <w:szCs w:val="24"/>
          <w:lang w:eastAsia="en-US"/>
        </w:rPr>
        <w:t>Allium cepa L.</w:t>
      </w:r>
      <w:r w:rsidRPr="00E51CDD">
        <w:rPr>
          <w:szCs w:val="24"/>
          <w:lang w:eastAsia="en-US"/>
        </w:rPr>
        <w:t>); ryegrass (</w:t>
      </w:r>
      <w:r w:rsidRPr="00E51CDD">
        <w:rPr>
          <w:i/>
          <w:iCs/>
          <w:szCs w:val="24"/>
          <w:lang w:eastAsia="en-US"/>
        </w:rPr>
        <w:t>Lolium multiflorum L</w:t>
      </w:r>
      <w:r w:rsidRPr="00E51CDD">
        <w:rPr>
          <w:szCs w:val="24"/>
          <w:lang w:eastAsia="en-US"/>
        </w:rPr>
        <w:t>.); wheat (</w:t>
      </w:r>
      <w:r w:rsidRPr="00E51CDD">
        <w:rPr>
          <w:i/>
          <w:iCs/>
          <w:szCs w:val="24"/>
          <w:lang w:eastAsia="en-US"/>
        </w:rPr>
        <w:t>Triticum aestivum L</w:t>
      </w:r>
      <w:r w:rsidRPr="00E51CDD">
        <w:rPr>
          <w:szCs w:val="24"/>
          <w:lang w:eastAsia="en-US"/>
        </w:rPr>
        <w:t>.); corn (</w:t>
      </w:r>
      <w:r w:rsidRPr="00E51CDD">
        <w:rPr>
          <w:i/>
          <w:iCs/>
          <w:szCs w:val="24"/>
          <w:lang w:eastAsia="en-US"/>
        </w:rPr>
        <w:t>Zea mays L</w:t>
      </w:r>
      <w:r w:rsidRPr="00E51CDD">
        <w:rPr>
          <w:szCs w:val="24"/>
          <w:lang w:eastAsia="en-US"/>
        </w:rPr>
        <w:t>.).</w:t>
      </w:r>
    </w:p>
    <w:p w14:paraId="54DC16E1" w14:textId="77777777" w:rsidR="00E51CDD" w:rsidRPr="00E51CDD" w:rsidRDefault="00E51CDD" w:rsidP="00E51CDD">
      <w:pPr>
        <w:widowControl w:val="0"/>
        <w:ind w:left="2268" w:hanging="2268"/>
        <w:jc w:val="both"/>
        <w:rPr>
          <w:color w:val="0070C0"/>
          <w:szCs w:val="24"/>
          <w:lang w:eastAsia="en-US"/>
        </w:rPr>
      </w:pPr>
    </w:p>
    <w:p w14:paraId="1A668EFB" w14:textId="77777777" w:rsidR="00E51CDD" w:rsidRPr="00E51CDD" w:rsidRDefault="00E51CDD" w:rsidP="00E51CDD">
      <w:pPr>
        <w:widowControl w:val="0"/>
        <w:ind w:left="2268" w:hanging="2268"/>
        <w:jc w:val="both"/>
        <w:rPr>
          <w:spacing w:val="-3"/>
          <w:szCs w:val="24"/>
          <w:lang w:eastAsia="en-US"/>
        </w:rPr>
      </w:pPr>
      <w:r w:rsidRPr="00E51CDD">
        <w:rPr>
          <w:szCs w:val="24"/>
          <w:lang w:eastAsia="en-US"/>
        </w:rPr>
        <w:t xml:space="preserve">Test design: </w:t>
      </w:r>
      <w:r w:rsidRPr="00E51CDD">
        <w:rPr>
          <w:szCs w:val="24"/>
          <w:lang w:eastAsia="en-US"/>
        </w:rPr>
        <w:tab/>
      </w:r>
      <w:r w:rsidRPr="00E51CDD">
        <w:rPr>
          <w:spacing w:val="-3"/>
          <w:szCs w:val="24"/>
          <w:lang w:eastAsia="en-US"/>
        </w:rPr>
        <w:t>Greenhouse study, limit test; 1 test item rate and 1 tap water control; 5 replicates per treatment, 1 to 3 pots per replicate depending on the species and 2 plants per pot for soybean, tomato and corn, 3 plants per pot for lettuce, oilseed rape and cabbage and 6 plants per pot for carrot, onion, ryegrass and wheat; test item applied post emergence at BBCH 12 - 14 using a laboratory spray chamber at a water volume of 272 L/ha. Assessments for plant damage (phytotoxicity) and plant survival were done 7, 14 and 21 DAT. Single plant length was measured at 21 DAT. Shoot dry weight was determined 21 DAT.</w:t>
      </w:r>
    </w:p>
    <w:p w14:paraId="6B87F378" w14:textId="77777777" w:rsidR="00E51CDD" w:rsidRPr="00E51CDD" w:rsidRDefault="00E51CDD" w:rsidP="00E51CDD">
      <w:pPr>
        <w:widowControl w:val="0"/>
        <w:ind w:left="2268" w:hanging="2268"/>
        <w:jc w:val="both"/>
        <w:rPr>
          <w:spacing w:val="-3"/>
          <w:szCs w:val="24"/>
          <w:lang w:eastAsia="en-US"/>
        </w:rPr>
      </w:pPr>
    </w:p>
    <w:p w14:paraId="59943CF3" w14:textId="77777777" w:rsidR="00E51CDD" w:rsidRPr="00E51CDD" w:rsidRDefault="00E51CDD" w:rsidP="00E51CDD">
      <w:pPr>
        <w:widowControl w:val="0"/>
        <w:ind w:left="2268" w:hanging="2268"/>
        <w:jc w:val="both"/>
        <w:rPr>
          <w:spacing w:val="-3"/>
          <w:szCs w:val="24"/>
          <w:lang w:eastAsia="en-US"/>
        </w:rPr>
      </w:pPr>
      <w:r w:rsidRPr="00E51CDD">
        <w:rPr>
          <w:szCs w:val="24"/>
          <w:lang w:eastAsia="en-US"/>
        </w:rPr>
        <w:t>Endpoints</w:t>
      </w:r>
      <w:r w:rsidRPr="00E51CDD">
        <w:t>:</w:t>
      </w:r>
      <w:r w:rsidRPr="00E51CDD">
        <w:tab/>
        <w:t>Phytotoxicity (NOER), Plant weight and height (NOER, ER</w:t>
      </w:r>
      <w:r w:rsidRPr="00E51CDD">
        <w:rPr>
          <w:vertAlign w:val="subscript"/>
        </w:rPr>
        <w:t>50</w:t>
      </w:r>
      <w:r w:rsidRPr="00E51CDD">
        <w:t>).</w:t>
      </w:r>
    </w:p>
    <w:p w14:paraId="26F327F2" w14:textId="77777777" w:rsidR="00E51CDD" w:rsidRPr="00E51CDD" w:rsidRDefault="00E51CDD" w:rsidP="00E51CDD">
      <w:pPr>
        <w:widowControl w:val="0"/>
        <w:jc w:val="both"/>
        <w:rPr>
          <w:spacing w:val="-3"/>
          <w:szCs w:val="24"/>
          <w:lang w:eastAsia="en-US"/>
        </w:rPr>
      </w:pPr>
    </w:p>
    <w:p w14:paraId="59503772" w14:textId="77777777" w:rsidR="00E51CDD" w:rsidRPr="00E51CDD" w:rsidRDefault="00E51CDD" w:rsidP="00E51CDD">
      <w:pPr>
        <w:widowControl w:val="0"/>
        <w:ind w:left="2268" w:hanging="2268"/>
        <w:jc w:val="both"/>
        <w:rPr>
          <w:szCs w:val="24"/>
          <w:lang w:eastAsia="en-US"/>
        </w:rPr>
      </w:pPr>
      <w:r w:rsidRPr="00E51CDD">
        <w:rPr>
          <w:szCs w:val="24"/>
          <w:lang w:eastAsia="en-US"/>
        </w:rPr>
        <w:t xml:space="preserve">Test rates: </w:t>
      </w:r>
      <w:r w:rsidRPr="00E51CDD">
        <w:rPr>
          <w:szCs w:val="24"/>
          <w:lang w:eastAsia="en-US"/>
        </w:rPr>
        <w:tab/>
        <w:t xml:space="preserve">Control (tap water), 2.0 L BAS 736 00 F/ha. </w:t>
      </w:r>
    </w:p>
    <w:p w14:paraId="756BE3A8" w14:textId="77777777" w:rsidR="00E51CDD" w:rsidRPr="00E51CDD" w:rsidRDefault="00E51CDD" w:rsidP="00E51CDD">
      <w:pPr>
        <w:widowControl w:val="0"/>
        <w:ind w:left="2268" w:hanging="2268"/>
        <w:jc w:val="both"/>
        <w:rPr>
          <w:szCs w:val="24"/>
          <w:lang w:eastAsia="en-US"/>
        </w:rPr>
      </w:pPr>
    </w:p>
    <w:p w14:paraId="47099CAA" w14:textId="77777777" w:rsidR="00E51CDD" w:rsidRPr="00E51CDD" w:rsidRDefault="00E51CDD" w:rsidP="00E51CDD">
      <w:pPr>
        <w:widowControl w:val="0"/>
        <w:ind w:left="2268" w:hanging="2268"/>
        <w:jc w:val="both"/>
        <w:rPr>
          <w:szCs w:val="24"/>
          <w:lang w:eastAsia="en-US"/>
        </w:rPr>
      </w:pPr>
      <w:r w:rsidRPr="00E51CDD">
        <w:rPr>
          <w:szCs w:val="24"/>
          <w:lang w:eastAsia="en-US"/>
        </w:rPr>
        <w:t xml:space="preserve">Test conditions: </w:t>
      </w:r>
      <w:r w:rsidRPr="00E51CDD">
        <w:rPr>
          <w:szCs w:val="24"/>
          <w:lang w:eastAsia="en-US"/>
        </w:rPr>
        <w:tab/>
      </w:r>
      <w:bookmarkStart w:id="1313" w:name="_Hlk80878278"/>
      <w:r w:rsidRPr="00E51CDD">
        <w:rPr>
          <w:rFonts w:eastAsia="Arial"/>
          <w:lang w:val="en-GB" w:eastAsia="en-US"/>
        </w:rPr>
        <w:t>Greenhouse conditions,</w:t>
      </w:r>
      <w:r w:rsidRPr="00E51CDD">
        <w:rPr>
          <w:rFonts w:ascii="Calibri Light" w:eastAsia="Arial" w:hAnsi="Calibri Light" w:cs="Calibri Light"/>
          <w:lang w:val="en-GB" w:eastAsia="en-US"/>
        </w:rPr>
        <w:t xml:space="preserve"> </w:t>
      </w:r>
      <w:bookmarkEnd w:id="1313"/>
      <w:r w:rsidRPr="00E51CDD">
        <w:t xml:space="preserve">daily average </w:t>
      </w:r>
      <w:r w:rsidRPr="00E51CDD">
        <w:rPr>
          <w:szCs w:val="24"/>
          <w:lang w:eastAsia="en-US"/>
        </w:rPr>
        <w:t>temperature: 21.4 °C – 30.9 °C; daily mean relative humidity: 49.2% - 66.5%; photoperiod: day length ≥ 16 h; additional light when outdoor illumination was &lt; 300 µmol.</w:t>
      </w:r>
    </w:p>
    <w:p w14:paraId="56CC10AE" w14:textId="77777777" w:rsidR="00E51CDD" w:rsidRPr="00E51CDD" w:rsidRDefault="00E51CDD" w:rsidP="00E51CDD">
      <w:pPr>
        <w:widowControl w:val="0"/>
        <w:ind w:left="2268" w:hanging="2268"/>
        <w:jc w:val="both"/>
        <w:rPr>
          <w:szCs w:val="24"/>
          <w:lang w:eastAsia="en-US"/>
        </w:rPr>
      </w:pPr>
    </w:p>
    <w:p w14:paraId="6DA8C4C4" w14:textId="77777777" w:rsidR="00E51CDD" w:rsidRPr="00E51CDD" w:rsidRDefault="00E51CDD" w:rsidP="00E51CDD">
      <w:pPr>
        <w:widowControl w:val="0"/>
        <w:ind w:left="2268" w:hanging="2268"/>
        <w:jc w:val="both"/>
        <w:rPr>
          <w:szCs w:val="24"/>
          <w:lang w:eastAsia="en-US"/>
        </w:rPr>
      </w:pPr>
      <w:r w:rsidRPr="00E51CDD">
        <w:rPr>
          <w:szCs w:val="24"/>
          <w:lang w:eastAsia="en-US"/>
        </w:rPr>
        <w:t>Analytics:</w:t>
      </w:r>
      <w:r w:rsidRPr="00E51CDD">
        <w:rPr>
          <w:szCs w:val="24"/>
          <w:lang w:eastAsia="en-US"/>
        </w:rPr>
        <w:tab/>
      </w:r>
      <w:bookmarkStart w:id="1314" w:name="_Hlk79157123"/>
      <w:r w:rsidRPr="00E51CDD">
        <w:rPr>
          <w:szCs w:val="24"/>
          <w:lang w:eastAsia="en-US"/>
        </w:rPr>
        <w:t>Analytical verification of the test item was conducted according to BASF method L0361/01 using LC-MS/MS.</w:t>
      </w:r>
      <w:bookmarkEnd w:id="1314"/>
    </w:p>
    <w:p w14:paraId="7E918012" w14:textId="77777777" w:rsidR="00E51CDD" w:rsidRPr="00E51CDD" w:rsidRDefault="00E51CDD" w:rsidP="00E51CDD">
      <w:pPr>
        <w:widowControl w:val="0"/>
        <w:ind w:left="2268" w:hanging="2268"/>
        <w:jc w:val="both"/>
        <w:rPr>
          <w:color w:val="0070C0"/>
          <w:szCs w:val="24"/>
          <w:lang w:eastAsia="en-US"/>
        </w:rPr>
      </w:pPr>
    </w:p>
    <w:p w14:paraId="2EEB2FE5" w14:textId="77777777" w:rsidR="00E51CDD" w:rsidRPr="00E51CDD" w:rsidRDefault="00E51CDD" w:rsidP="00E51CDD">
      <w:pPr>
        <w:widowControl w:val="0"/>
        <w:ind w:left="2268" w:hanging="2268"/>
        <w:jc w:val="both"/>
        <w:rPr>
          <w:color w:val="0070C0"/>
          <w:szCs w:val="24"/>
          <w:lang w:eastAsia="en-US"/>
        </w:rPr>
      </w:pPr>
      <w:r w:rsidRPr="00E51CDD">
        <w:rPr>
          <w:szCs w:val="24"/>
          <w:lang w:eastAsia="en-US"/>
        </w:rPr>
        <w:t xml:space="preserve">Statistics: </w:t>
      </w:r>
      <w:r w:rsidRPr="00E51CDD">
        <w:rPr>
          <w:szCs w:val="24"/>
          <w:lang w:eastAsia="en-US"/>
        </w:rPr>
        <w:tab/>
        <w:t>Descriptive statistics, Student t-test (one-sided smaller, α = 0.05) for metric data, NOER for phytotoxicity was estimated. Phytotoxicity values &lt; 10% were considered as insignificant.</w:t>
      </w:r>
    </w:p>
    <w:p w14:paraId="0F9939B0" w14:textId="77777777" w:rsidR="00E51CDD" w:rsidRPr="00E51CDD" w:rsidRDefault="00E51CDD" w:rsidP="00E51CDD">
      <w:pPr>
        <w:widowControl w:val="0"/>
        <w:jc w:val="both"/>
        <w:rPr>
          <w:color w:val="0070C0"/>
          <w:szCs w:val="24"/>
          <w:lang w:eastAsia="en-US"/>
        </w:rPr>
      </w:pPr>
      <w:r w:rsidRPr="00E51CDD">
        <w:rPr>
          <w:color w:val="0070C0"/>
          <w:szCs w:val="24"/>
          <w:lang w:eastAsia="en-US"/>
        </w:rPr>
        <w:br w:type="page"/>
      </w:r>
    </w:p>
    <w:p w14:paraId="0446D215" w14:textId="77777777" w:rsidR="00E51CDD" w:rsidRPr="00E51CDD" w:rsidRDefault="00E51CDD" w:rsidP="00E51CDD">
      <w:pPr>
        <w:spacing w:before="100" w:beforeAutospacing="1" w:after="100" w:afterAutospacing="1"/>
        <w:ind w:left="567" w:hanging="567"/>
        <w:jc w:val="both"/>
        <w:rPr>
          <w:b/>
          <w:bCs/>
          <w:caps/>
        </w:rPr>
      </w:pPr>
      <w:r w:rsidRPr="00E51CDD">
        <w:rPr>
          <w:b/>
          <w:bCs/>
          <w:lang w:eastAsia="zh-CN"/>
        </w:rPr>
        <w:lastRenderedPageBreak/>
        <w:t xml:space="preserve">C. </w:t>
      </w:r>
      <w:r w:rsidRPr="00E51CDD">
        <w:rPr>
          <w:b/>
          <w:bCs/>
          <w:caps/>
          <w:lang w:eastAsia="zh-CN"/>
        </w:rPr>
        <w:t>Description of the analytical pr</w:t>
      </w:r>
      <w:r w:rsidRPr="00E51CDD">
        <w:rPr>
          <w:b/>
          <w:bCs/>
          <w:caps/>
        </w:rPr>
        <w:t>ocedures</w:t>
      </w:r>
    </w:p>
    <w:p w14:paraId="2BF62B80" w14:textId="77777777" w:rsidR="00E51CDD" w:rsidRPr="00E51CDD" w:rsidRDefault="00E51CDD" w:rsidP="00E51CDD">
      <w:pPr>
        <w:spacing w:after="160" w:line="256" w:lineRule="auto"/>
        <w:jc w:val="both"/>
        <w:rPr>
          <w:bCs/>
        </w:rPr>
      </w:pPr>
      <w:r w:rsidRPr="00E51CDD">
        <w:rPr>
          <w:bCs/>
        </w:rPr>
        <w:t>Concentrations of BAS 700 F (contained in BAS 736 00 F) in application solution were determined according to the analytical method L0361/01. After defrosting and subsequent homogenization, the aqueous application solutions were diluted in two steps by a total factor of 100,000 using acetonitrile/water (2/8, v/v) + 0.1% formic acid as solvent. The determination was performed by LC-MS/MS. The limit of quantification (LOQ) achieved was of 0.10 μg/L and the limit of detection (LOD) was set to 0.01 g/L. Due to the high dilution factor of the analyzed solutions, no relevant matrix effects in the LC-MS/MS determination of BAS 700 F were expected. Details on measured fortification samples and obtained procedural recoveries for fluxapyroxad are given in the table below.</w:t>
      </w:r>
    </w:p>
    <w:p w14:paraId="1DEF8600" w14:textId="4FEB327F" w:rsidR="00E51CDD" w:rsidRPr="00E51CDD" w:rsidRDefault="00E51CDD" w:rsidP="00E51CDD">
      <w:pPr>
        <w:rPr>
          <w:bCs/>
        </w:rPr>
      </w:pPr>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38</w:t>
      </w:r>
      <w:r w:rsidRPr="00E51CDD">
        <w:rPr>
          <w:b/>
          <w:bCs/>
        </w:rPr>
        <w:fldChar w:fldCharType="end"/>
      </w:r>
      <w:r w:rsidRPr="00E51CDD">
        <w:rPr>
          <w:b/>
          <w:bCs/>
        </w:rPr>
        <w:t>:</w:t>
      </w:r>
      <w:r w:rsidRPr="00E51CDD">
        <w:rPr>
          <w:b/>
          <w:bCs/>
        </w:rPr>
        <w:tab/>
        <w:t>Procedural recoveries for BAS 700 F</w:t>
      </w: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39"/>
        <w:gridCol w:w="1859"/>
        <w:gridCol w:w="585"/>
        <w:gridCol w:w="2188"/>
        <w:gridCol w:w="1609"/>
        <w:gridCol w:w="1164"/>
      </w:tblGrid>
      <w:tr w:rsidR="00E51CDD" w:rsidRPr="00E51CDD" w14:paraId="4009FD8B" w14:textId="77777777" w:rsidTr="009938D9">
        <w:trPr>
          <w:trHeight w:val="70"/>
        </w:trPr>
        <w:tc>
          <w:tcPr>
            <w:tcW w:w="103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F45FD5" w14:textId="77777777" w:rsidR="00E51CDD" w:rsidRPr="00E51CDD" w:rsidRDefault="00E51CDD" w:rsidP="00E51CDD">
            <w:pPr>
              <w:spacing w:before="40" w:after="40" w:line="256" w:lineRule="auto"/>
              <w:jc w:val="center"/>
              <w:rPr>
                <w:b/>
                <w:bCs/>
                <w:sz w:val="20"/>
                <w:szCs w:val="20"/>
              </w:rPr>
            </w:pPr>
            <w:r w:rsidRPr="00E51CDD">
              <w:rPr>
                <w:b/>
                <w:bCs/>
                <w:sz w:val="20"/>
                <w:szCs w:val="20"/>
              </w:rPr>
              <w:t>Analyte</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20D19D7" w14:textId="77777777" w:rsidR="00E51CDD" w:rsidRPr="00E51CDD" w:rsidRDefault="00E51CDD" w:rsidP="00E51CDD">
            <w:pPr>
              <w:spacing w:before="40" w:after="40" w:line="256" w:lineRule="auto"/>
              <w:jc w:val="center"/>
              <w:rPr>
                <w:b/>
                <w:bCs/>
                <w:sz w:val="20"/>
                <w:szCs w:val="20"/>
              </w:rPr>
            </w:pPr>
            <w:r w:rsidRPr="00E51CDD">
              <w:rPr>
                <w:b/>
                <w:bCs/>
                <w:sz w:val="20"/>
                <w:szCs w:val="20"/>
              </w:rPr>
              <w:t>Fortification level (g/L)</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BA50E11" w14:textId="77777777" w:rsidR="00E51CDD" w:rsidRPr="00E51CDD" w:rsidRDefault="00E51CDD" w:rsidP="00E51CDD">
            <w:pPr>
              <w:spacing w:before="40" w:after="40" w:line="256" w:lineRule="auto"/>
              <w:jc w:val="center"/>
              <w:rPr>
                <w:b/>
                <w:bCs/>
                <w:sz w:val="20"/>
                <w:szCs w:val="20"/>
              </w:rPr>
            </w:pPr>
            <w:r w:rsidRPr="00E51CDD">
              <w:rPr>
                <w:b/>
                <w:bCs/>
                <w:sz w:val="20"/>
                <w:szCs w:val="20"/>
              </w:rPr>
              <w:t>n</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36198E86" w14:textId="77777777" w:rsidR="00E51CDD" w:rsidRPr="00E51CDD" w:rsidRDefault="00E51CDD" w:rsidP="00E51CDD">
            <w:pPr>
              <w:spacing w:before="40" w:after="40" w:line="256" w:lineRule="auto"/>
              <w:jc w:val="center"/>
              <w:rPr>
                <w:b/>
                <w:bCs/>
                <w:sz w:val="20"/>
                <w:szCs w:val="20"/>
              </w:rPr>
            </w:pPr>
            <w:r w:rsidRPr="00E51CDD">
              <w:rPr>
                <w:b/>
                <w:bCs/>
                <w:sz w:val="20"/>
                <w:szCs w:val="20"/>
              </w:rPr>
              <w:t>Recoveries (%)</w:t>
            </w:r>
          </w:p>
        </w:tc>
        <w:tc>
          <w:tcPr>
            <w:tcW w:w="8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D7D7756" w14:textId="77777777" w:rsidR="00E51CDD" w:rsidRPr="00E51CDD" w:rsidRDefault="00E51CDD" w:rsidP="00E51CDD">
            <w:pPr>
              <w:spacing w:before="40" w:after="40" w:line="256" w:lineRule="auto"/>
              <w:jc w:val="center"/>
              <w:rPr>
                <w:b/>
                <w:bCs/>
                <w:sz w:val="20"/>
                <w:szCs w:val="20"/>
              </w:rPr>
            </w:pPr>
            <w:r w:rsidRPr="00E51CDD">
              <w:rPr>
                <w:b/>
                <w:bCs/>
                <w:sz w:val="20"/>
                <w:szCs w:val="20"/>
              </w:rPr>
              <w:t>Mean recovery</w:t>
            </w:r>
            <w:r w:rsidRPr="00E51CDD">
              <w:rPr>
                <w:b/>
                <w:bCs/>
                <w:sz w:val="20"/>
                <w:szCs w:val="20"/>
              </w:rPr>
              <w:br/>
              <w:t>(%)</w:t>
            </w:r>
          </w:p>
        </w:tc>
        <w:tc>
          <w:tcPr>
            <w:tcW w:w="62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157CAC0" w14:textId="77777777" w:rsidR="00E51CDD" w:rsidRPr="00E51CDD" w:rsidRDefault="00E51CDD" w:rsidP="00E51CDD">
            <w:pPr>
              <w:spacing w:before="40" w:after="40" w:line="256" w:lineRule="auto"/>
              <w:jc w:val="center"/>
              <w:rPr>
                <w:b/>
                <w:bCs/>
                <w:sz w:val="20"/>
                <w:szCs w:val="20"/>
              </w:rPr>
            </w:pPr>
            <w:r w:rsidRPr="00E51CDD">
              <w:rPr>
                <w:b/>
                <w:bCs/>
                <w:sz w:val="20"/>
                <w:szCs w:val="20"/>
              </w:rPr>
              <w:t>RSD (%)</w:t>
            </w:r>
          </w:p>
        </w:tc>
      </w:tr>
      <w:tr w:rsidR="00E51CDD" w:rsidRPr="00E51CDD" w14:paraId="5893B34E" w14:textId="77777777" w:rsidTr="009938D9">
        <w:trPr>
          <w:trHeight w:val="255"/>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A509682" w14:textId="77777777" w:rsidR="00E51CDD" w:rsidRPr="00E51CDD" w:rsidRDefault="00E51CDD" w:rsidP="00E51CDD">
            <w:pPr>
              <w:spacing w:before="40" w:after="40" w:line="256" w:lineRule="auto"/>
              <w:jc w:val="center"/>
              <w:rPr>
                <w:sz w:val="20"/>
                <w:szCs w:val="20"/>
              </w:rPr>
            </w:pPr>
            <w:r w:rsidRPr="00E51CDD">
              <w:rPr>
                <w:sz w:val="20"/>
                <w:szCs w:val="20"/>
              </w:rPr>
              <w:t>BAS 700 F</w:t>
            </w:r>
          </w:p>
          <w:p w14:paraId="60AAF156" w14:textId="77777777" w:rsidR="00E51CDD" w:rsidRPr="00E51CDD" w:rsidRDefault="00E51CDD" w:rsidP="00E51CDD">
            <w:pPr>
              <w:spacing w:before="40" w:after="40" w:line="256" w:lineRule="auto"/>
              <w:jc w:val="center"/>
              <w:rPr>
                <w:sz w:val="20"/>
                <w:szCs w:val="20"/>
              </w:rPr>
            </w:pPr>
            <w:r w:rsidRPr="00E51CDD">
              <w:rPr>
                <w:sz w:val="20"/>
                <w:szCs w:val="20"/>
              </w:rPr>
              <w:t>Lower fortification level</w:t>
            </w: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8F9509A" w14:textId="77777777" w:rsidR="00E51CDD" w:rsidRPr="00E51CDD" w:rsidRDefault="00E51CDD" w:rsidP="00E51CDD">
            <w:pPr>
              <w:spacing w:before="40" w:after="40" w:line="256" w:lineRule="auto"/>
              <w:jc w:val="center"/>
              <w:rPr>
                <w:sz w:val="20"/>
                <w:szCs w:val="20"/>
              </w:rPr>
            </w:pPr>
            <w:r w:rsidRPr="00E51CDD">
              <w:rPr>
                <w:sz w:val="20"/>
                <w:szCs w:val="20"/>
              </w:rPr>
              <w:t>0.141</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F95EE0D"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25DA34DA" w14:textId="77777777" w:rsidR="00E51CDD" w:rsidRPr="00E51CDD" w:rsidRDefault="00E51CDD" w:rsidP="00E51CDD">
            <w:pPr>
              <w:spacing w:before="40" w:after="40" w:line="256" w:lineRule="auto"/>
              <w:jc w:val="center"/>
              <w:rPr>
                <w:sz w:val="20"/>
                <w:szCs w:val="20"/>
              </w:rPr>
            </w:pPr>
            <w:r w:rsidRPr="00E51CDD">
              <w:rPr>
                <w:sz w:val="20"/>
                <w:szCs w:val="20"/>
              </w:rPr>
              <w:t>108</w:t>
            </w:r>
          </w:p>
        </w:tc>
        <w:tc>
          <w:tcPr>
            <w:tcW w:w="861"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F2A57A7" w14:textId="77777777" w:rsidR="00E51CDD" w:rsidRPr="00E51CDD" w:rsidRDefault="00E51CDD" w:rsidP="00E51CDD">
            <w:pPr>
              <w:spacing w:before="40" w:after="40" w:line="256" w:lineRule="auto"/>
              <w:jc w:val="center"/>
              <w:rPr>
                <w:sz w:val="20"/>
                <w:szCs w:val="20"/>
              </w:rPr>
            </w:pPr>
            <w:r w:rsidRPr="00E51CDD">
              <w:rPr>
                <w:sz w:val="20"/>
                <w:szCs w:val="20"/>
              </w:rPr>
              <w:t>105</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6716DF2" w14:textId="77777777" w:rsidR="00E51CDD" w:rsidRPr="00E51CDD" w:rsidRDefault="00E51CDD" w:rsidP="00E51CDD">
            <w:pPr>
              <w:spacing w:before="40" w:after="40" w:line="256" w:lineRule="auto"/>
              <w:jc w:val="center"/>
              <w:rPr>
                <w:sz w:val="20"/>
                <w:szCs w:val="20"/>
              </w:rPr>
            </w:pPr>
            <w:r w:rsidRPr="00E51CDD">
              <w:rPr>
                <w:sz w:val="20"/>
                <w:szCs w:val="20"/>
              </w:rPr>
              <w:t>2.36</w:t>
            </w:r>
          </w:p>
        </w:tc>
      </w:tr>
      <w:tr w:rsidR="00E51CDD" w:rsidRPr="00E51CDD" w14:paraId="0022A7C8"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52A1BC"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E138070" w14:textId="77777777" w:rsidR="00E51CDD" w:rsidRPr="00E51CDD" w:rsidRDefault="00E51CDD" w:rsidP="00E51CDD">
            <w:pPr>
              <w:spacing w:before="40" w:after="40" w:line="256" w:lineRule="auto"/>
              <w:jc w:val="center"/>
              <w:rPr>
                <w:sz w:val="20"/>
                <w:szCs w:val="20"/>
              </w:rPr>
            </w:pPr>
            <w:r w:rsidRPr="00E51CDD">
              <w:rPr>
                <w:sz w:val="20"/>
                <w:szCs w:val="20"/>
              </w:rPr>
              <w:t>0.139</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D332C0C"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7F2D7649" w14:textId="77777777" w:rsidR="00E51CDD" w:rsidRPr="00E51CDD" w:rsidRDefault="00E51CDD" w:rsidP="00E51CDD">
            <w:pPr>
              <w:spacing w:before="40" w:after="40" w:line="256" w:lineRule="auto"/>
              <w:jc w:val="center"/>
              <w:rPr>
                <w:sz w:val="20"/>
                <w:szCs w:val="20"/>
              </w:rPr>
            </w:pPr>
            <w:r w:rsidRPr="00E51CDD">
              <w:rPr>
                <w:sz w:val="20"/>
                <w:szCs w:val="20"/>
              </w:rPr>
              <w:t>108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1FDBFD" w14:textId="77777777" w:rsidR="00E51CDD" w:rsidRPr="00E51CDD" w:rsidRDefault="00E51CDD" w:rsidP="00E51CDD">
            <w:pPr>
              <w:spacing w:line="256" w:lineRule="auto"/>
              <w:rPr>
                <w:sz w:val="20"/>
                <w:szCs w:val="2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4729FC" w14:textId="77777777" w:rsidR="00E51CDD" w:rsidRPr="00E51CDD" w:rsidRDefault="00E51CDD" w:rsidP="00E51CDD">
            <w:pPr>
              <w:spacing w:line="256" w:lineRule="auto"/>
              <w:rPr>
                <w:sz w:val="20"/>
                <w:szCs w:val="20"/>
              </w:rPr>
            </w:pPr>
          </w:p>
        </w:tc>
      </w:tr>
      <w:tr w:rsidR="00E51CDD" w:rsidRPr="00E51CDD" w14:paraId="4DDA8476"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8B4141"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5532ACA" w14:textId="77777777" w:rsidR="00E51CDD" w:rsidRPr="00E51CDD" w:rsidRDefault="00E51CDD" w:rsidP="00E51CDD">
            <w:pPr>
              <w:spacing w:before="40" w:after="40" w:line="256" w:lineRule="auto"/>
              <w:jc w:val="center"/>
              <w:rPr>
                <w:sz w:val="20"/>
                <w:szCs w:val="20"/>
              </w:rPr>
            </w:pPr>
            <w:r w:rsidRPr="00E51CDD">
              <w:rPr>
                <w:sz w:val="20"/>
                <w:szCs w:val="20"/>
              </w:rPr>
              <w:t>0.139</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29D56E2"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591AEB3A" w14:textId="77777777" w:rsidR="00E51CDD" w:rsidRPr="00E51CDD" w:rsidRDefault="00E51CDD" w:rsidP="00E51CDD">
            <w:pPr>
              <w:spacing w:before="40" w:after="40" w:line="256" w:lineRule="auto"/>
              <w:jc w:val="center"/>
              <w:rPr>
                <w:sz w:val="20"/>
                <w:szCs w:val="20"/>
              </w:rPr>
            </w:pPr>
            <w:r w:rsidRPr="00E51CDD">
              <w:rPr>
                <w:sz w:val="20"/>
                <w:szCs w:val="20"/>
              </w:rPr>
              <w:t>103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EE2B7" w14:textId="77777777" w:rsidR="00E51CDD" w:rsidRPr="00E51CDD" w:rsidRDefault="00E51CDD" w:rsidP="00E51CDD">
            <w:pPr>
              <w:spacing w:line="256" w:lineRule="auto"/>
              <w:rPr>
                <w:sz w:val="20"/>
                <w:szCs w:val="2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0C6DBB" w14:textId="77777777" w:rsidR="00E51CDD" w:rsidRPr="00E51CDD" w:rsidRDefault="00E51CDD" w:rsidP="00E51CDD">
            <w:pPr>
              <w:spacing w:line="256" w:lineRule="auto"/>
              <w:rPr>
                <w:sz w:val="20"/>
                <w:szCs w:val="20"/>
              </w:rPr>
            </w:pPr>
          </w:p>
        </w:tc>
      </w:tr>
      <w:tr w:rsidR="00E51CDD" w:rsidRPr="00E51CDD" w14:paraId="7EAE8FA6"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18816D"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E2A1547" w14:textId="77777777" w:rsidR="00E51CDD" w:rsidRPr="00E51CDD" w:rsidRDefault="00E51CDD" w:rsidP="00E51CDD">
            <w:pPr>
              <w:spacing w:before="40" w:after="40" w:line="256" w:lineRule="auto"/>
              <w:jc w:val="center"/>
              <w:rPr>
                <w:sz w:val="20"/>
                <w:szCs w:val="20"/>
              </w:rPr>
            </w:pPr>
            <w:r w:rsidRPr="00E51CDD">
              <w:rPr>
                <w:sz w:val="20"/>
                <w:szCs w:val="20"/>
              </w:rPr>
              <w:t>0.135</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F7F2719"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2C0BCFE9" w14:textId="77777777" w:rsidR="00E51CDD" w:rsidRPr="00E51CDD" w:rsidRDefault="00E51CDD" w:rsidP="00E51CDD">
            <w:pPr>
              <w:spacing w:before="40" w:after="40" w:line="256" w:lineRule="auto"/>
              <w:jc w:val="center"/>
              <w:rPr>
                <w:sz w:val="20"/>
                <w:szCs w:val="20"/>
              </w:rPr>
            </w:pPr>
            <w:r w:rsidRPr="00E51CDD">
              <w:rPr>
                <w:sz w:val="20"/>
                <w:szCs w:val="20"/>
              </w:rPr>
              <w:t>103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33F1B6" w14:textId="77777777" w:rsidR="00E51CDD" w:rsidRPr="00E51CDD" w:rsidRDefault="00E51CDD" w:rsidP="00E51CDD">
            <w:pPr>
              <w:spacing w:line="256" w:lineRule="auto"/>
              <w:rPr>
                <w:sz w:val="20"/>
                <w:szCs w:val="2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CCCBAD" w14:textId="77777777" w:rsidR="00E51CDD" w:rsidRPr="00E51CDD" w:rsidRDefault="00E51CDD" w:rsidP="00E51CDD">
            <w:pPr>
              <w:spacing w:line="256" w:lineRule="auto"/>
              <w:rPr>
                <w:sz w:val="20"/>
                <w:szCs w:val="20"/>
              </w:rPr>
            </w:pPr>
          </w:p>
        </w:tc>
      </w:tr>
      <w:tr w:rsidR="00E51CDD" w:rsidRPr="00E51CDD" w14:paraId="690D8E98"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C9D16A"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E737799" w14:textId="77777777" w:rsidR="00E51CDD" w:rsidRPr="00E51CDD" w:rsidRDefault="00E51CDD" w:rsidP="00E51CDD">
            <w:pPr>
              <w:spacing w:before="40" w:after="40" w:line="256" w:lineRule="auto"/>
              <w:jc w:val="center"/>
              <w:rPr>
                <w:sz w:val="20"/>
                <w:szCs w:val="20"/>
              </w:rPr>
            </w:pPr>
            <w:r w:rsidRPr="00E51CDD">
              <w:rPr>
                <w:sz w:val="20"/>
                <w:szCs w:val="20"/>
              </w:rPr>
              <w:t>0.135</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EBFE2E0"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326F915B" w14:textId="77777777" w:rsidR="00E51CDD" w:rsidRPr="00E51CDD" w:rsidRDefault="00E51CDD" w:rsidP="00E51CDD">
            <w:pPr>
              <w:spacing w:before="40" w:after="40" w:line="256" w:lineRule="auto"/>
              <w:jc w:val="center"/>
              <w:rPr>
                <w:sz w:val="20"/>
                <w:szCs w:val="20"/>
              </w:rPr>
            </w:pPr>
            <w:r w:rsidRPr="00E51CDD">
              <w:rPr>
                <w:sz w:val="20"/>
                <w:szCs w:val="20"/>
              </w:rPr>
              <w:t>105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280BB3" w14:textId="77777777" w:rsidR="00E51CDD" w:rsidRPr="00E51CDD" w:rsidRDefault="00E51CDD" w:rsidP="00E51CDD">
            <w:pPr>
              <w:spacing w:line="256" w:lineRule="auto"/>
              <w:rPr>
                <w:sz w:val="20"/>
                <w:szCs w:val="20"/>
                <w:highlight w:val="cy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55C259" w14:textId="77777777" w:rsidR="00E51CDD" w:rsidRPr="00E51CDD" w:rsidRDefault="00E51CDD" w:rsidP="00E51CDD">
            <w:pPr>
              <w:spacing w:line="256" w:lineRule="auto"/>
              <w:rPr>
                <w:sz w:val="20"/>
                <w:szCs w:val="20"/>
              </w:rPr>
            </w:pPr>
          </w:p>
        </w:tc>
      </w:tr>
      <w:tr w:rsidR="00E51CDD" w:rsidRPr="00E51CDD" w14:paraId="7EFC745D" w14:textId="77777777" w:rsidTr="009938D9">
        <w:trPr>
          <w:trHeight w:val="255"/>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8245B3F" w14:textId="77777777" w:rsidR="00E51CDD" w:rsidRPr="00E51CDD" w:rsidRDefault="00E51CDD" w:rsidP="00E51CDD">
            <w:pPr>
              <w:spacing w:before="40" w:after="40" w:line="256" w:lineRule="auto"/>
              <w:jc w:val="center"/>
              <w:rPr>
                <w:sz w:val="20"/>
                <w:szCs w:val="20"/>
              </w:rPr>
            </w:pPr>
            <w:r w:rsidRPr="00E51CDD">
              <w:rPr>
                <w:sz w:val="20"/>
                <w:szCs w:val="20"/>
              </w:rPr>
              <w:t>BAS 700 F</w:t>
            </w:r>
          </w:p>
          <w:p w14:paraId="35CD6DA8" w14:textId="77777777" w:rsidR="00E51CDD" w:rsidRPr="00E51CDD" w:rsidRDefault="00E51CDD" w:rsidP="00E51CDD">
            <w:pPr>
              <w:spacing w:before="40" w:after="40" w:line="256" w:lineRule="auto"/>
              <w:jc w:val="center"/>
              <w:rPr>
                <w:sz w:val="20"/>
                <w:szCs w:val="20"/>
              </w:rPr>
            </w:pPr>
            <w:r w:rsidRPr="00E51CDD">
              <w:rPr>
                <w:sz w:val="20"/>
                <w:szCs w:val="20"/>
              </w:rPr>
              <w:t>Higher fortification level</w:t>
            </w: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4F4A3D8" w14:textId="77777777" w:rsidR="00E51CDD" w:rsidRPr="00E51CDD" w:rsidRDefault="00E51CDD" w:rsidP="00E51CDD">
            <w:pPr>
              <w:spacing w:before="40" w:after="40" w:line="256" w:lineRule="auto"/>
              <w:jc w:val="center"/>
              <w:rPr>
                <w:sz w:val="20"/>
                <w:szCs w:val="20"/>
              </w:rPr>
            </w:pPr>
            <w:r w:rsidRPr="00E51CDD">
              <w:rPr>
                <w:sz w:val="20"/>
                <w:szCs w:val="20"/>
              </w:rPr>
              <w:t>0.273</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83E58D4"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6AE2A22B" w14:textId="77777777" w:rsidR="00E51CDD" w:rsidRPr="00E51CDD" w:rsidRDefault="00E51CDD" w:rsidP="00E51CDD">
            <w:pPr>
              <w:spacing w:before="40" w:after="40" w:line="256" w:lineRule="auto"/>
              <w:jc w:val="center"/>
              <w:rPr>
                <w:sz w:val="20"/>
                <w:szCs w:val="20"/>
              </w:rPr>
            </w:pPr>
            <w:r w:rsidRPr="00E51CDD">
              <w:rPr>
                <w:sz w:val="20"/>
                <w:szCs w:val="20"/>
              </w:rPr>
              <w:t>103</w:t>
            </w:r>
          </w:p>
        </w:tc>
        <w:tc>
          <w:tcPr>
            <w:tcW w:w="861"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3742DB5" w14:textId="77777777" w:rsidR="00E51CDD" w:rsidRPr="00E51CDD" w:rsidRDefault="00E51CDD" w:rsidP="00E51CDD">
            <w:pPr>
              <w:spacing w:before="40" w:after="40" w:line="256" w:lineRule="auto"/>
              <w:jc w:val="center"/>
              <w:rPr>
                <w:sz w:val="20"/>
                <w:szCs w:val="20"/>
              </w:rPr>
            </w:pPr>
            <w:r w:rsidRPr="00E51CDD">
              <w:rPr>
                <w:sz w:val="20"/>
                <w:szCs w:val="20"/>
              </w:rPr>
              <w:t>103</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B0A2363" w14:textId="77777777" w:rsidR="00E51CDD" w:rsidRPr="00E51CDD" w:rsidRDefault="00E51CDD" w:rsidP="00E51CDD">
            <w:pPr>
              <w:spacing w:before="40" w:after="40" w:line="256" w:lineRule="auto"/>
              <w:jc w:val="center"/>
              <w:rPr>
                <w:sz w:val="20"/>
                <w:szCs w:val="20"/>
              </w:rPr>
            </w:pPr>
            <w:r w:rsidRPr="00E51CDD">
              <w:rPr>
                <w:sz w:val="20"/>
                <w:szCs w:val="20"/>
              </w:rPr>
              <w:t>1.74</w:t>
            </w:r>
          </w:p>
        </w:tc>
      </w:tr>
      <w:tr w:rsidR="00E51CDD" w:rsidRPr="00E51CDD" w14:paraId="67D9B44A"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09071A"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36238E7" w14:textId="77777777" w:rsidR="00E51CDD" w:rsidRPr="00E51CDD" w:rsidRDefault="00E51CDD" w:rsidP="00E51CDD">
            <w:pPr>
              <w:spacing w:before="40" w:after="40" w:line="256" w:lineRule="auto"/>
              <w:jc w:val="center"/>
              <w:rPr>
                <w:sz w:val="20"/>
                <w:szCs w:val="20"/>
              </w:rPr>
            </w:pPr>
            <w:r w:rsidRPr="00E51CDD">
              <w:rPr>
                <w:sz w:val="20"/>
                <w:szCs w:val="20"/>
              </w:rPr>
              <w:t>0.276</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A2DC232"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087FCE8F" w14:textId="77777777" w:rsidR="00E51CDD" w:rsidRPr="00E51CDD" w:rsidRDefault="00E51CDD" w:rsidP="00E51CDD">
            <w:pPr>
              <w:spacing w:before="40" w:after="40" w:line="256" w:lineRule="auto"/>
              <w:jc w:val="center"/>
              <w:rPr>
                <w:sz w:val="20"/>
                <w:szCs w:val="20"/>
              </w:rPr>
            </w:pPr>
            <w:r w:rsidRPr="00E51CDD">
              <w:rPr>
                <w:sz w:val="20"/>
                <w:szCs w:val="20"/>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2407FC" w14:textId="77777777" w:rsidR="00E51CDD" w:rsidRPr="00E51CDD" w:rsidRDefault="00E51CDD" w:rsidP="00E51CDD">
            <w:pPr>
              <w:spacing w:line="256" w:lineRule="auto"/>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325B0" w14:textId="77777777" w:rsidR="00E51CDD" w:rsidRPr="00E51CDD" w:rsidRDefault="00E51CDD" w:rsidP="00E51CDD">
            <w:pPr>
              <w:spacing w:line="256" w:lineRule="auto"/>
              <w:rPr>
                <w:sz w:val="20"/>
                <w:szCs w:val="20"/>
              </w:rPr>
            </w:pPr>
          </w:p>
        </w:tc>
      </w:tr>
      <w:tr w:rsidR="00E51CDD" w:rsidRPr="00E51CDD" w14:paraId="09C561F8"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E6758B"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538163D" w14:textId="77777777" w:rsidR="00E51CDD" w:rsidRPr="00E51CDD" w:rsidRDefault="00E51CDD" w:rsidP="00E51CDD">
            <w:pPr>
              <w:spacing w:before="40" w:after="40" w:line="256" w:lineRule="auto"/>
              <w:jc w:val="center"/>
              <w:rPr>
                <w:sz w:val="20"/>
                <w:szCs w:val="20"/>
              </w:rPr>
            </w:pPr>
            <w:r w:rsidRPr="00E51CDD">
              <w:rPr>
                <w:sz w:val="20"/>
                <w:szCs w:val="20"/>
              </w:rPr>
              <w:t>0.287</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3B9D33E"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2AE9A407" w14:textId="77777777" w:rsidR="00E51CDD" w:rsidRPr="00E51CDD" w:rsidRDefault="00E51CDD" w:rsidP="00E51CDD">
            <w:pPr>
              <w:spacing w:before="40" w:after="40" w:line="256" w:lineRule="auto"/>
              <w:jc w:val="center"/>
              <w:rPr>
                <w:sz w:val="20"/>
                <w:szCs w:val="20"/>
              </w:rPr>
            </w:pPr>
            <w:r w:rsidRPr="00E51CDD">
              <w:rPr>
                <w:sz w:val="20"/>
                <w:szCs w:val="20"/>
              </w:rPr>
              <w:t>105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46645A" w14:textId="77777777" w:rsidR="00E51CDD" w:rsidRPr="00E51CDD" w:rsidRDefault="00E51CDD" w:rsidP="00E51CDD">
            <w:pPr>
              <w:spacing w:line="256" w:lineRule="auto"/>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84B94D" w14:textId="77777777" w:rsidR="00E51CDD" w:rsidRPr="00E51CDD" w:rsidRDefault="00E51CDD" w:rsidP="00E51CDD">
            <w:pPr>
              <w:spacing w:line="256" w:lineRule="auto"/>
              <w:rPr>
                <w:sz w:val="20"/>
                <w:szCs w:val="20"/>
              </w:rPr>
            </w:pPr>
          </w:p>
        </w:tc>
      </w:tr>
      <w:tr w:rsidR="00E51CDD" w:rsidRPr="00E51CDD" w14:paraId="3F1C4A20"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4C13E6"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5A45039" w14:textId="77777777" w:rsidR="00E51CDD" w:rsidRPr="00E51CDD" w:rsidRDefault="00E51CDD" w:rsidP="00E51CDD">
            <w:pPr>
              <w:spacing w:before="40" w:after="40" w:line="256" w:lineRule="auto"/>
              <w:jc w:val="center"/>
              <w:rPr>
                <w:sz w:val="20"/>
                <w:szCs w:val="20"/>
              </w:rPr>
            </w:pPr>
            <w:r w:rsidRPr="00E51CDD">
              <w:rPr>
                <w:sz w:val="20"/>
                <w:szCs w:val="20"/>
              </w:rPr>
              <w:t>0.274</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BA66350"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293CCE47" w14:textId="77777777" w:rsidR="00E51CDD" w:rsidRPr="00E51CDD" w:rsidRDefault="00E51CDD" w:rsidP="00E51CDD">
            <w:pPr>
              <w:spacing w:before="40" w:after="40" w:line="256" w:lineRule="auto"/>
              <w:jc w:val="center"/>
              <w:rPr>
                <w:sz w:val="20"/>
                <w:szCs w:val="20"/>
              </w:rPr>
            </w:pPr>
            <w:r w:rsidRPr="00E51CDD">
              <w:rPr>
                <w:sz w:val="20"/>
                <w:szCs w:val="20"/>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C247F2" w14:textId="77777777" w:rsidR="00E51CDD" w:rsidRPr="00E51CDD" w:rsidRDefault="00E51CDD" w:rsidP="00E51CDD">
            <w:pPr>
              <w:spacing w:line="256" w:lineRule="auto"/>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4ED3B2" w14:textId="77777777" w:rsidR="00E51CDD" w:rsidRPr="00E51CDD" w:rsidRDefault="00E51CDD" w:rsidP="00E51CDD">
            <w:pPr>
              <w:spacing w:line="256" w:lineRule="auto"/>
              <w:rPr>
                <w:sz w:val="20"/>
                <w:szCs w:val="20"/>
              </w:rPr>
            </w:pPr>
          </w:p>
        </w:tc>
      </w:tr>
      <w:tr w:rsidR="00E51CDD" w:rsidRPr="00E51CDD" w14:paraId="242EC09E"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548E22"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5DD8665" w14:textId="77777777" w:rsidR="00E51CDD" w:rsidRPr="00E51CDD" w:rsidRDefault="00E51CDD" w:rsidP="00E51CDD">
            <w:pPr>
              <w:spacing w:before="40" w:after="40" w:line="256" w:lineRule="auto"/>
              <w:jc w:val="center"/>
              <w:rPr>
                <w:sz w:val="20"/>
                <w:szCs w:val="20"/>
              </w:rPr>
            </w:pPr>
            <w:r w:rsidRPr="00E51CDD">
              <w:rPr>
                <w:sz w:val="20"/>
                <w:szCs w:val="20"/>
              </w:rPr>
              <w:t>0.281</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E799494"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6945BAF8" w14:textId="77777777" w:rsidR="00E51CDD" w:rsidRPr="00E51CDD" w:rsidRDefault="00E51CDD" w:rsidP="00E51CDD">
            <w:pPr>
              <w:spacing w:before="40" w:after="40" w:line="256" w:lineRule="auto"/>
              <w:jc w:val="center"/>
              <w:rPr>
                <w:sz w:val="20"/>
                <w:szCs w:val="20"/>
              </w:rPr>
            </w:pPr>
            <w:r w:rsidRPr="00E51CDD">
              <w:rPr>
                <w:sz w:val="20"/>
                <w:szCs w:val="20"/>
              </w:rPr>
              <w:t>104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22A7B1" w14:textId="77777777" w:rsidR="00E51CDD" w:rsidRPr="00E51CDD" w:rsidRDefault="00E51CDD" w:rsidP="00E51CDD">
            <w:pPr>
              <w:spacing w:line="256" w:lineRule="auto"/>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8804D8" w14:textId="77777777" w:rsidR="00E51CDD" w:rsidRPr="00E51CDD" w:rsidRDefault="00E51CDD" w:rsidP="00E51CDD">
            <w:pPr>
              <w:spacing w:line="256" w:lineRule="auto"/>
              <w:rPr>
                <w:sz w:val="20"/>
                <w:szCs w:val="20"/>
              </w:rPr>
            </w:pPr>
          </w:p>
        </w:tc>
      </w:tr>
    </w:tbl>
    <w:p w14:paraId="30A02153" w14:textId="77777777" w:rsidR="00E51CDD" w:rsidRPr="00E51CDD" w:rsidRDefault="00E51CDD" w:rsidP="00E51CDD">
      <w:pPr>
        <w:widowControl w:val="0"/>
        <w:jc w:val="both"/>
        <w:rPr>
          <w:szCs w:val="24"/>
          <w:lang w:eastAsia="en-US"/>
        </w:rPr>
      </w:pPr>
    </w:p>
    <w:p w14:paraId="0A2B4246" w14:textId="77777777" w:rsidR="00E51CDD" w:rsidRPr="00E51CDD" w:rsidRDefault="00E51CDD" w:rsidP="00E51CDD">
      <w:pPr>
        <w:widowControl w:val="0"/>
        <w:jc w:val="both"/>
        <w:rPr>
          <w:szCs w:val="24"/>
          <w:lang w:eastAsia="en-US"/>
        </w:rPr>
      </w:pPr>
      <w:r w:rsidRPr="00E51CDD">
        <w:rPr>
          <w:szCs w:val="24"/>
          <w:lang w:eastAsia="en-US"/>
        </w:rPr>
        <w:br w:type="page"/>
      </w:r>
    </w:p>
    <w:p w14:paraId="389A3818" w14:textId="77777777" w:rsidR="00E51CDD" w:rsidRPr="00E51CDD" w:rsidRDefault="00E51CDD" w:rsidP="00E51CDD">
      <w:pPr>
        <w:widowControl w:val="0"/>
        <w:tabs>
          <w:tab w:val="left" w:pos="425"/>
          <w:tab w:val="left" w:pos="850"/>
        </w:tabs>
        <w:suppressAutoHyphens/>
        <w:ind w:left="2835" w:hanging="2835"/>
        <w:rPr>
          <w:b/>
          <w:bCs/>
        </w:rPr>
      </w:pPr>
      <w:r w:rsidRPr="00E51CDD">
        <w:rPr>
          <w:b/>
          <w:bCs/>
        </w:rPr>
        <w:lastRenderedPageBreak/>
        <w:t>II.</w:t>
      </w:r>
      <w:r w:rsidRPr="00E51CDD">
        <w:rPr>
          <w:b/>
          <w:bCs/>
        </w:rPr>
        <w:tab/>
        <w:t>RESULTS AND DISCUSSION</w:t>
      </w:r>
    </w:p>
    <w:p w14:paraId="0F66C132" w14:textId="77777777" w:rsidR="00E51CDD" w:rsidRPr="00E51CDD" w:rsidRDefault="00E51CDD" w:rsidP="00E51CDD">
      <w:pPr>
        <w:widowControl w:val="0"/>
        <w:jc w:val="both"/>
        <w:rPr>
          <w:bCs/>
          <w:color w:val="0070C0"/>
          <w:szCs w:val="24"/>
          <w:lang w:eastAsia="en-US"/>
        </w:rPr>
      </w:pPr>
    </w:p>
    <w:p w14:paraId="740E51C9" w14:textId="6657DB2E" w:rsidR="00E51CDD" w:rsidRPr="00E51CDD" w:rsidRDefault="00E51CDD" w:rsidP="00E51CDD">
      <w:pPr>
        <w:widowControl w:val="0"/>
        <w:jc w:val="both"/>
      </w:pPr>
      <w:bookmarkStart w:id="1315" w:name="_Hlk79159004"/>
      <w:r w:rsidRPr="00E51CDD">
        <w:t xml:space="preserve">After exposure, </w:t>
      </w:r>
      <w:bookmarkEnd w:id="1315"/>
      <w:r w:rsidRPr="00E51CDD">
        <w:t xml:space="preserve">no plant mortality was observed for all tested plant species following the application of 2.0 L BAS 736 00 F/ha at BBCH stage 12-14. No symptoms of phytotoxicity were observed for all plant species, except for oilseed rape and soybean. Oilseed rape und soybean showed slight chlorosis and stunting effects after application of 2.0 L BAS 736 00 F/ha. Oilseed rape also indicated slight deformations. </w:t>
      </w:r>
      <w:r w:rsidRPr="00E51CDD">
        <w:rPr>
          <w:rFonts w:eastAsia="Arial"/>
          <w:lang w:eastAsia="en-US"/>
        </w:rPr>
        <w:t>Plant length was not influenced after application of 2.0 L BAS 736 00 F/ha for all tested plant species. No influence of BAS 736 00 F applied at a rate of 2.0 L/ha on plant dry biomass was observed for all tested plant species, except for carrot and tomato. Carrot showed statistically significant effects on biomass reduction with 6% and tomato with 5% after application of BAS 736 00 F</w:t>
      </w:r>
      <w:r w:rsidRPr="00E51CDD">
        <w:rPr>
          <w:sz w:val="18"/>
          <w:szCs w:val="18"/>
          <w:lang w:eastAsia="en-US"/>
        </w:rPr>
        <w:t xml:space="preserve"> </w:t>
      </w:r>
      <w:r w:rsidRPr="00E51CDD">
        <w:rPr>
          <w:rFonts w:eastAsia="Arial"/>
          <w:lang w:eastAsia="en-US"/>
        </w:rPr>
        <w:t xml:space="preserve">(Student t-test, one-sided smaller α=0.05). </w:t>
      </w:r>
      <w:bookmarkStart w:id="1316" w:name="_Hlk80869311"/>
      <w:r w:rsidRPr="00E51CDD">
        <w:t xml:space="preserve">The results are summarized in </w:t>
      </w:r>
      <w:r w:rsidRPr="00E51CDD">
        <w:fldChar w:fldCharType="begin"/>
      </w:r>
      <w:r w:rsidRPr="00E51CDD">
        <w:instrText xml:space="preserve"> REF _Ref83890147 \h  \* MERGEFORMAT </w:instrText>
      </w:r>
      <w:r w:rsidRPr="00E51CDD">
        <w:fldChar w:fldCharType="separate"/>
      </w:r>
      <w:r w:rsidR="00662F32" w:rsidRPr="00662F32">
        <w:t xml:space="preserve">Table A </w:t>
      </w:r>
      <w:r w:rsidR="00662F32" w:rsidRPr="00662F32">
        <w:rPr>
          <w:noProof/>
        </w:rPr>
        <w:t>39</w:t>
      </w:r>
      <w:r w:rsidRPr="00E51CDD">
        <w:fldChar w:fldCharType="end"/>
      </w:r>
      <w:r w:rsidRPr="00E51CDD">
        <w:t xml:space="preserve"> an</w:t>
      </w:r>
      <w:bookmarkEnd w:id="1316"/>
      <w:r w:rsidRPr="00E51CDD">
        <w:t xml:space="preserve">d </w:t>
      </w:r>
      <w:r w:rsidRPr="00B74DCE">
        <w:fldChar w:fldCharType="begin"/>
      </w:r>
      <w:r w:rsidRPr="00B74DCE">
        <w:instrText xml:space="preserve"> REF _Ref88133777 \h </w:instrText>
      </w:r>
      <w:r w:rsidR="00B74DCE" w:rsidRPr="00B74DCE">
        <w:instrText xml:space="preserve"> \* MERGEFORMAT </w:instrText>
      </w:r>
      <w:r w:rsidRPr="00B74DCE">
        <w:fldChar w:fldCharType="separate"/>
      </w:r>
      <w:r w:rsidR="00662F32" w:rsidRPr="00662F32">
        <w:t xml:space="preserve">Table A </w:t>
      </w:r>
      <w:r w:rsidR="00662F32" w:rsidRPr="00662F32">
        <w:rPr>
          <w:noProof/>
        </w:rPr>
        <w:t>40</w:t>
      </w:r>
      <w:r w:rsidRPr="00B74DCE">
        <w:fldChar w:fldCharType="end"/>
      </w:r>
    </w:p>
    <w:p w14:paraId="646475D1" w14:textId="77777777" w:rsidR="00E51CDD" w:rsidRPr="00B74DCE" w:rsidRDefault="00E51CDD" w:rsidP="00E51CDD">
      <w:pPr>
        <w:widowControl w:val="0"/>
        <w:jc w:val="both"/>
        <w:rPr>
          <w:color w:val="0070C0"/>
          <w:szCs w:val="24"/>
          <w:lang w:eastAsia="en-US"/>
        </w:rPr>
      </w:pPr>
    </w:p>
    <w:p w14:paraId="39B7B8AA" w14:textId="2389EBED" w:rsidR="00B74DCE" w:rsidRDefault="00E51CDD" w:rsidP="00E51CDD">
      <w:pPr>
        <w:rPr>
          <w:b/>
          <w:bCs/>
        </w:rPr>
      </w:pPr>
      <w:bookmarkStart w:id="1317" w:name="_Ref83890147"/>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39</w:t>
      </w:r>
      <w:r w:rsidRPr="00E51CDD">
        <w:rPr>
          <w:b/>
          <w:bCs/>
        </w:rPr>
        <w:fldChar w:fldCharType="end"/>
      </w:r>
      <w:bookmarkEnd w:id="1317"/>
      <w:r w:rsidRPr="00E51CDD">
        <w:rPr>
          <w:b/>
          <w:bCs/>
        </w:rPr>
        <w:t>:</w:t>
      </w:r>
      <w:r w:rsidRPr="00E51CDD">
        <w:rPr>
          <w:b/>
          <w:bCs/>
        </w:rPr>
        <w:tab/>
        <w:t xml:space="preserve">Effect of BAS 736 00 F on survival, phytotoxicity, plant length and plant dry weight </w:t>
      </w:r>
    </w:p>
    <w:p w14:paraId="7D08BF0B" w14:textId="47D10B9F" w:rsidR="00E51CDD" w:rsidRPr="00E51CDD" w:rsidRDefault="00E51CDD" w:rsidP="00B74DCE">
      <w:pPr>
        <w:ind w:left="708" w:firstLine="708"/>
        <w:rPr>
          <w:bCs/>
        </w:rPr>
      </w:pPr>
      <w:r w:rsidRPr="00E51CDD">
        <w:rPr>
          <w:b/>
          <w:bCs/>
        </w:rPr>
        <w:t>21 DAT</w:t>
      </w:r>
    </w:p>
    <w:tbl>
      <w:tblPr>
        <w:tblW w:w="495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808"/>
        <w:gridCol w:w="810"/>
        <w:gridCol w:w="900"/>
        <w:gridCol w:w="717"/>
        <w:gridCol w:w="810"/>
        <w:gridCol w:w="899"/>
        <w:gridCol w:w="726"/>
        <w:gridCol w:w="721"/>
        <w:gridCol w:w="724"/>
        <w:gridCol w:w="721"/>
      </w:tblGrid>
      <w:tr w:rsidR="00E51CDD" w:rsidRPr="00E51CDD" w14:paraId="14000617" w14:textId="77777777" w:rsidTr="009938D9">
        <w:trPr>
          <w:cantSplit/>
          <w:tblHeader/>
        </w:trPr>
        <w:tc>
          <w:tcPr>
            <w:tcW w:w="771" w:type="pct"/>
            <w:tcBorders>
              <w:top w:val="single" w:sz="4" w:space="0" w:color="auto"/>
              <w:left w:val="single" w:sz="4" w:space="0" w:color="auto"/>
              <w:bottom w:val="single" w:sz="4" w:space="0" w:color="auto"/>
              <w:right w:val="single" w:sz="4" w:space="0" w:color="auto"/>
            </w:tcBorders>
            <w:vAlign w:val="center"/>
            <w:hideMark/>
          </w:tcPr>
          <w:p w14:paraId="53960D52" w14:textId="77777777" w:rsidR="00E51CDD" w:rsidRPr="00E51CDD" w:rsidRDefault="00E51CDD" w:rsidP="00E51CDD">
            <w:pPr>
              <w:widowControl w:val="0"/>
              <w:spacing w:before="40" w:after="40" w:line="256" w:lineRule="auto"/>
              <w:ind w:left="-77" w:right="-102"/>
              <w:jc w:val="center"/>
              <w:rPr>
                <w:sz w:val="20"/>
                <w:szCs w:val="20"/>
                <w:lang w:eastAsia="en-US"/>
              </w:rPr>
            </w:pPr>
            <w:r w:rsidRPr="00E51CDD">
              <w:rPr>
                <w:b/>
                <w:bCs/>
                <w:sz w:val="20"/>
                <w:szCs w:val="20"/>
                <w:lang w:eastAsia="en-US"/>
              </w:rPr>
              <w:t>BAS 736 00 F [L/ha]</w:t>
            </w:r>
          </w:p>
        </w:tc>
        <w:tc>
          <w:tcPr>
            <w:tcW w:w="436" w:type="pct"/>
            <w:tcBorders>
              <w:top w:val="single" w:sz="4" w:space="0" w:color="auto"/>
              <w:left w:val="single" w:sz="4" w:space="0" w:color="auto"/>
              <w:bottom w:val="single" w:sz="4" w:space="0" w:color="auto"/>
              <w:right w:val="single" w:sz="4" w:space="0" w:color="auto"/>
            </w:tcBorders>
            <w:vAlign w:val="center"/>
            <w:hideMark/>
          </w:tcPr>
          <w:p w14:paraId="3E89D43D" w14:textId="77777777" w:rsidR="00E51CDD" w:rsidRPr="00E51CDD" w:rsidRDefault="00E51CDD" w:rsidP="00E51CDD">
            <w:pPr>
              <w:widowControl w:val="0"/>
              <w:spacing w:before="40" w:after="40" w:line="256" w:lineRule="auto"/>
              <w:ind w:left="-128"/>
              <w:jc w:val="center"/>
              <w:rPr>
                <w:b/>
                <w:sz w:val="20"/>
                <w:szCs w:val="20"/>
              </w:rPr>
            </w:pPr>
            <w:r w:rsidRPr="00E51CDD">
              <w:rPr>
                <w:b/>
                <w:sz w:val="20"/>
                <w:szCs w:val="20"/>
              </w:rPr>
              <w:t>Carrot</w:t>
            </w:r>
          </w:p>
        </w:tc>
        <w:tc>
          <w:tcPr>
            <w:tcW w:w="437" w:type="pct"/>
            <w:tcBorders>
              <w:top w:val="single" w:sz="4" w:space="0" w:color="auto"/>
              <w:left w:val="single" w:sz="4" w:space="0" w:color="auto"/>
              <w:bottom w:val="single" w:sz="4" w:space="0" w:color="auto"/>
              <w:right w:val="single" w:sz="4" w:space="0" w:color="auto"/>
            </w:tcBorders>
            <w:vAlign w:val="center"/>
            <w:hideMark/>
          </w:tcPr>
          <w:p w14:paraId="489FECA5" w14:textId="77777777" w:rsidR="00E51CDD" w:rsidRPr="00E51CDD" w:rsidRDefault="00E51CDD" w:rsidP="00E51CDD">
            <w:pPr>
              <w:widowControl w:val="0"/>
              <w:spacing w:before="40" w:after="40" w:line="256" w:lineRule="auto"/>
              <w:ind w:left="-68" w:right="-87"/>
              <w:jc w:val="center"/>
              <w:rPr>
                <w:b/>
                <w:sz w:val="20"/>
                <w:szCs w:val="20"/>
              </w:rPr>
            </w:pPr>
            <w:r w:rsidRPr="00E51CDD">
              <w:rPr>
                <w:b/>
                <w:sz w:val="20"/>
                <w:szCs w:val="20"/>
              </w:rPr>
              <w:t>Lettuce</w:t>
            </w:r>
          </w:p>
        </w:tc>
        <w:tc>
          <w:tcPr>
            <w:tcW w:w="486" w:type="pct"/>
            <w:tcBorders>
              <w:top w:val="single" w:sz="4" w:space="0" w:color="auto"/>
              <w:left w:val="single" w:sz="4" w:space="0" w:color="auto"/>
              <w:bottom w:val="single" w:sz="4" w:space="0" w:color="auto"/>
              <w:right w:val="single" w:sz="4" w:space="0" w:color="auto"/>
            </w:tcBorders>
            <w:vAlign w:val="center"/>
            <w:hideMark/>
          </w:tcPr>
          <w:p w14:paraId="3A465088" w14:textId="77777777" w:rsidR="00E51CDD" w:rsidRPr="00E51CDD" w:rsidRDefault="00E51CDD" w:rsidP="00E51CDD">
            <w:pPr>
              <w:widowControl w:val="0"/>
              <w:spacing w:before="40" w:after="40" w:line="256" w:lineRule="auto"/>
              <w:ind w:left="-136" w:right="-120"/>
              <w:jc w:val="center"/>
              <w:rPr>
                <w:b/>
                <w:sz w:val="20"/>
                <w:szCs w:val="20"/>
              </w:rPr>
            </w:pPr>
            <w:r w:rsidRPr="00E51CDD">
              <w:rPr>
                <w:b/>
                <w:sz w:val="20"/>
                <w:szCs w:val="20"/>
              </w:rPr>
              <w:t>Cabbage</w:t>
            </w:r>
          </w:p>
        </w:tc>
        <w:tc>
          <w:tcPr>
            <w:tcW w:w="387" w:type="pct"/>
            <w:tcBorders>
              <w:top w:val="single" w:sz="4" w:space="0" w:color="auto"/>
              <w:left w:val="single" w:sz="4" w:space="0" w:color="auto"/>
              <w:bottom w:val="single" w:sz="4" w:space="0" w:color="auto"/>
              <w:right w:val="single" w:sz="4" w:space="0" w:color="auto"/>
            </w:tcBorders>
            <w:vAlign w:val="center"/>
            <w:hideMark/>
          </w:tcPr>
          <w:p w14:paraId="368C3C09" w14:textId="77777777" w:rsidR="00E51CDD" w:rsidRPr="00E51CDD" w:rsidRDefault="00E51CDD" w:rsidP="00E51CDD">
            <w:pPr>
              <w:widowControl w:val="0"/>
              <w:spacing w:before="40" w:after="40" w:line="257" w:lineRule="auto"/>
              <w:ind w:left="-115" w:right="-101"/>
              <w:jc w:val="center"/>
              <w:rPr>
                <w:b/>
                <w:sz w:val="20"/>
                <w:szCs w:val="20"/>
              </w:rPr>
            </w:pPr>
            <w:r w:rsidRPr="00E51CDD">
              <w:rPr>
                <w:b/>
                <w:sz w:val="20"/>
                <w:szCs w:val="20"/>
              </w:rPr>
              <w:t>Oilseed</w:t>
            </w:r>
          </w:p>
          <w:p w14:paraId="3CE7FBD0" w14:textId="77777777" w:rsidR="00E51CDD" w:rsidRPr="00E51CDD" w:rsidRDefault="00E51CDD" w:rsidP="00E51CDD">
            <w:pPr>
              <w:widowControl w:val="0"/>
              <w:spacing w:before="40" w:after="40" w:line="256" w:lineRule="auto"/>
              <w:ind w:left="-115" w:right="-102"/>
              <w:jc w:val="center"/>
              <w:rPr>
                <w:b/>
                <w:sz w:val="20"/>
                <w:szCs w:val="20"/>
              </w:rPr>
            </w:pPr>
            <w:r w:rsidRPr="00E51CDD">
              <w:rPr>
                <w:b/>
                <w:sz w:val="20"/>
                <w:szCs w:val="20"/>
              </w:rPr>
              <w:t>rape</w:t>
            </w:r>
          </w:p>
        </w:tc>
        <w:tc>
          <w:tcPr>
            <w:tcW w:w="437" w:type="pct"/>
            <w:tcBorders>
              <w:top w:val="single" w:sz="4" w:space="0" w:color="auto"/>
              <w:left w:val="single" w:sz="4" w:space="0" w:color="auto"/>
              <w:bottom w:val="single" w:sz="4" w:space="0" w:color="auto"/>
              <w:right w:val="single" w:sz="4" w:space="0" w:color="auto"/>
            </w:tcBorders>
            <w:vAlign w:val="center"/>
          </w:tcPr>
          <w:p w14:paraId="2AB42C89" w14:textId="77777777" w:rsidR="00E51CDD" w:rsidRPr="00E51CDD" w:rsidRDefault="00E51CDD" w:rsidP="00E51CDD">
            <w:pPr>
              <w:widowControl w:val="0"/>
              <w:spacing w:before="40" w:after="40" w:line="256" w:lineRule="auto"/>
              <w:ind w:left="-117" w:right="-112" w:firstLine="1"/>
              <w:jc w:val="center"/>
              <w:rPr>
                <w:b/>
                <w:sz w:val="20"/>
                <w:szCs w:val="20"/>
              </w:rPr>
            </w:pPr>
            <w:r w:rsidRPr="00E51CDD">
              <w:rPr>
                <w:b/>
                <w:sz w:val="20"/>
                <w:szCs w:val="20"/>
              </w:rPr>
              <w:t>Tomato</w:t>
            </w:r>
          </w:p>
        </w:tc>
        <w:tc>
          <w:tcPr>
            <w:tcW w:w="485" w:type="pct"/>
            <w:tcBorders>
              <w:top w:val="single" w:sz="4" w:space="0" w:color="auto"/>
              <w:left w:val="single" w:sz="4" w:space="0" w:color="auto"/>
              <w:bottom w:val="single" w:sz="4" w:space="0" w:color="auto"/>
              <w:right w:val="single" w:sz="4" w:space="0" w:color="auto"/>
            </w:tcBorders>
            <w:vAlign w:val="center"/>
          </w:tcPr>
          <w:p w14:paraId="5D1D52AB" w14:textId="77777777" w:rsidR="00E51CDD" w:rsidRPr="00E51CDD" w:rsidRDefault="00E51CDD" w:rsidP="00E51CDD">
            <w:pPr>
              <w:widowControl w:val="0"/>
              <w:spacing w:before="40" w:after="40" w:line="256" w:lineRule="auto"/>
              <w:ind w:left="-116" w:right="-110"/>
              <w:jc w:val="center"/>
              <w:rPr>
                <w:b/>
                <w:sz w:val="20"/>
                <w:szCs w:val="20"/>
              </w:rPr>
            </w:pPr>
            <w:r w:rsidRPr="00E51CDD">
              <w:rPr>
                <w:b/>
                <w:sz w:val="20"/>
                <w:szCs w:val="20"/>
              </w:rPr>
              <w:t>Soybean</w:t>
            </w:r>
          </w:p>
        </w:tc>
        <w:tc>
          <w:tcPr>
            <w:tcW w:w="392" w:type="pct"/>
            <w:tcBorders>
              <w:top w:val="single" w:sz="4" w:space="0" w:color="auto"/>
              <w:left w:val="single" w:sz="4" w:space="0" w:color="auto"/>
              <w:bottom w:val="single" w:sz="4" w:space="0" w:color="auto"/>
              <w:right w:val="single" w:sz="4" w:space="0" w:color="auto"/>
            </w:tcBorders>
            <w:vAlign w:val="center"/>
            <w:hideMark/>
          </w:tcPr>
          <w:p w14:paraId="48F94E3A" w14:textId="77777777" w:rsidR="00E51CDD" w:rsidRPr="00E51CDD" w:rsidRDefault="00E51CDD" w:rsidP="00E51CDD">
            <w:pPr>
              <w:widowControl w:val="0"/>
              <w:spacing w:before="40" w:after="40" w:line="256" w:lineRule="auto"/>
              <w:ind w:left="-112" w:right="-101"/>
              <w:jc w:val="center"/>
              <w:rPr>
                <w:b/>
                <w:sz w:val="20"/>
                <w:szCs w:val="20"/>
              </w:rPr>
            </w:pPr>
            <w:r w:rsidRPr="00E51CDD">
              <w:rPr>
                <w:b/>
                <w:sz w:val="20"/>
                <w:szCs w:val="20"/>
              </w:rPr>
              <w:t>Onion</w:t>
            </w:r>
          </w:p>
        </w:tc>
        <w:tc>
          <w:tcPr>
            <w:tcW w:w="389" w:type="pct"/>
            <w:tcBorders>
              <w:top w:val="single" w:sz="4" w:space="0" w:color="auto"/>
              <w:left w:val="single" w:sz="4" w:space="0" w:color="auto"/>
              <w:bottom w:val="single" w:sz="4" w:space="0" w:color="auto"/>
              <w:right w:val="single" w:sz="4" w:space="0" w:color="auto"/>
            </w:tcBorders>
            <w:vAlign w:val="center"/>
            <w:hideMark/>
          </w:tcPr>
          <w:p w14:paraId="1F3AD453" w14:textId="77777777" w:rsidR="00E51CDD" w:rsidRPr="00E51CDD" w:rsidRDefault="00E51CDD" w:rsidP="00E51CDD">
            <w:pPr>
              <w:widowControl w:val="0"/>
              <w:spacing w:before="40" w:after="40" w:line="256" w:lineRule="auto"/>
              <w:ind w:left="-56"/>
              <w:jc w:val="center"/>
              <w:rPr>
                <w:b/>
                <w:sz w:val="20"/>
                <w:szCs w:val="20"/>
              </w:rPr>
            </w:pPr>
            <w:r w:rsidRPr="00E51CDD">
              <w:rPr>
                <w:b/>
                <w:sz w:val="20"/>
                <w:szCs w:val="20"/>
              </w:rPr>
              <w:t>Rye-grass</w:t>
            </w:r>
          </w:p>
        </w:tc>
        <w:tc>
          <w:tcPr>
            <w:tcW w:w="391" w:type="pct"/>
            <w:tcBorders>
              <w:top w:val="single" w:sz="4" w:space="0" w:color="auto"/>
              <w:left w:val="single" w:sz="4" w:space="0" w:color="auto"/>
              <w:bottom w:val="single" w:sz="4" w:space="0" w:color="auto"/>
              <w:right w:val="single" w:sz="4" w:space="0" w:color="auto"/>
            </w:tcBorders>
            <w:vAlign w:val="center"/>
            <w:hideMark/>
          </w:tcPr>
          <w:p w14:paraId="2EF0320B" w14:textId="77777777" w:rsidR="00E51CDD" w:rsidRPr="00E51CDD" w:rsidRDefault="00E51CDD" w:rsidP="00E51CDD">
            <w:pPr>
              <w:widowControl w:val="0"/>
              <w:spacing w:before="40" w:after="40" w:line="256" w:lineRule="auto"/>
              <w:ind w:left="-97" w:right="-104"/>
              <w:jc w:val="center"/>
              <w:rPr>
                <w:b/>
                <w:sz w:val="20"/>
                <w:szCs w:val="20"/>
              </w:rPr>
            </w:pPr>
            <w:r w:rsidRPr="00E51CDD">
              <w:rPr>
                <w:b/>
                <w:sz w:val="20"/>
                <w:szCs w:val="20"/>
              </w:rPr>
              <w:t>Wheat</w:t>
            </w:r>
          </w:p>
        </w:tc>
        <w:tc>
          <w:tcPr>
            <w:tcW w:w="389" w:type="pct"/>
            <w:tcBorders>
              <w:top w:val="single" w:sz="4" w:space="0" w:color="auto"/>
              <w:left w:val="single" w:sz="4" w:space="0" w:color="auto"/>
              <w:bottom w:val="single" w:sz="4" w:space="0" w:color="auto"/>
              <w:right w:val="single" w:sz="4" w:space="0" w:color="auto"/>
            </w:tcBorders>
            <w:vAlign w:val="center"/>
            <w:hideMark/>
          </w:tcPr>
          <w:p w14:paraId="4FBCAB2F" w14:textId="77777777" w:rsidR="00E51CDD" w:rsidRPr="00E51CDD" w:rsidRDefault="00E51CDD" w:rsidP="00E51CDD">
            <w:pPr>
              <w:widowControl w:val="0"/>
              <w:spacing w:before="40" w:after="40" w:line="256" w:lineRule="auto"/>
              <w:ind w:left="-149" w:right="-110"/>
              <w:jc w:val="center"/>
              <w:rPr>
                <w:b/>
                <w:bCs/>
                <w:sz w:val="20"/>
                <w:szCs w:val="20"/>
                <w:lang w:eastAsia="en-US"/>
              </w:rPr>
            </w:pPr>
            <w:r w:rsidRPr="00E51CDD">
              <w:rPr>
                <w:b/>
                <w:bCs/>
                <w:sz w:val="20"/>
                <w:szCs w:val="20"/>
                <w:lang w:eastAsia="en-US"/>
              </w:rPr>
              <w:t>Corn</w:t>
            </w:r>
          </w:p>
        </w:tc>
      </w:tr>
      <w:tr w:rsidR="00E51CDD" w:rsidRPr="00E51CDD" w14:paraId="4EBF350D"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5FF655ED"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084B606F" w14:textId="77777777" w:rsidR="00E51CDD" w:rsidRPr="00E51CDD" w:rsidRDefault="00E51CDD" w:rsidP="00E51CDD">
            <w:pPr>
              <w:widowControl w:val="0"/>
              <w:spacing w:before="40" w:after="40" w:line="256" w:lineRule="auto"/>
              <w:ind w:left="-128"/>
              <w:jc w:val="center"/>
              <w:rPr>
                <w:sz w:val="20"/>
                <w:szCs w:val="20"/>
                <w:lang w:eastAsia="en-US"/>
              </w:rPr>
            </w:pPr>
            <w:r w:rsidRPr="00E51CDD">
              <w:rPr>
                <w:b/>
                <w:bCs/>
                <w:sz w:val="20"/>
                <w:szCs w:val="20"/>
                <w:lang w:eastAsia="en-US"/>
              </w:rPr>
              <w:t>Plant survival [%]</w:t>
            </w:r>
          </w:p>
        </w:tc>
      </w:tr>
      <w:tr w:rsidR="00E51CDD" w:rsidRPr="00E51CDD" w14:paraId="547F384F"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18630C71" w14:textId="77777777" w:rsidR="00E51CDD" w:rsidRPr="00E51CDD" w:rsidRDefault="00E51CDD" w:rsidP="00E51CDD">
            <w:pPr>
              <w:widowControl w:val="0"/>
              <w:spacing w:before="40" w:after="40" w:line="256" w:lineRule="auto"/>
              <w:ind w:left="-175"/>
              <w:jc w:val="center"/>
              <w:rPr>
                <w:sz w:val="20"/>
                <w:szCs w:val="20"/>
                <w:lang w:eastAsia="en-US"/>
              </w:rPr>
            </w:pPr>
            <w:r w:rsidRPr="00E51CDD">
              <w:rPr>
                <w:sz w:val="20"/>
                <w:szCs w:val="20"/>
                <w:lang w:eastAsia="en-US"/>
              </w:rPr>
              <w:t>Control</w:t>
            </w:r>
          </w:p>
        </w:tc>
        <w:tc>
          <w:tcPr>
            <w:tcW w:w="436" w:type="pct"/>
            <w:tcBorders>
              <w:top w:val="single" w:sz="4" w:space="0" w:color="auto"/>
              <w:left w:val="single" w:sz="4" w:space="0" w:color="auto"/>
              <w:bottom w:val="single" w:sz="4" w:space="0" w:color="auto"/>
              <w:right w:val="single" w:sz="4" w:space="0" w:color="auto"/>
            </w:tcBorders>
            <w:vAlign w:val="center"/>
            <w:hideMark/>
          </w:tcPr>
          <w:p w14:paraId="2AE100ED"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100</w:t>
            </w:r>
          </w:p>
        </w:tc>
        <w:tc>
          <w:tcPr>
            <w:tcW w:w="437" w:type="pct"/>
            <w:tcBorders>
              <w:top w:val="single" w:sz="4" w:space="0" w:color="auto"/>
              <w:left w:val="single" w:sz="4" w:space="0" w:color="auto"/>
              <w:bottom w:val="single" w:sz="4" w:space="0" w:color="auto"/>
              <w:right w:val="single" w:sz="4" w:space="0" w:color="auto"/>
            </w:tcBorders>
            <w:vAlign w:val="center"/>
            <w:hideMark/>
          </w:tcPr>
          <w:p w14:paraId="14ED4E9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486" w:type="pct"/>
            <w:tcBorders>
              <w:top w:val="single" w:sz="4" w:space="0" w:color="auto"/>
              <w:left w:val="single" w:sz="4" w:space="0" w:color="auto"/>
              <w:bottom w:val="single" w:sz="4" w:space="0" w:color="auto"/>
              <w:right w:val="single" w:sz="4" w:space="0" w:color="auto"/>
            </w:tcBorders>
            <w:vAlign w:val="center"/>
            <w:hideMark/>
          </w:tcPr>
          <w:p w14:paraId="6EEC4C5E"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87" w:type="pct"/>
            <w:tcBorders>
              <w:top w:val="single" w:sz="4" w:space="0" w:color="auto"/>
              <w:left w:val="single" w:sz="4" w:space="0" w:color="auto"/>
              <w:bottom w:val="single" w:sz="4" w:space="0" w:color="auto"/>
              <w:right w:val="single" w:sz="4" w:space="0" w:color="auto"/>
            </w:tcBorders>
            <w:vAlign w:val="center"/>
            <w:hideMark/>
          </w:tcPr>
          <w:p w14:paraId="7A3AB2B9"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437" w:type="pct"/>
            <w:tcBorders>
              <w:top w:val="single" w:sz="4" w:space="0" w:color="auto"/>
              <w:left w:val="single" w:sz="4" w:space="0" w:color="auto"/>
              <w:bottom w:val="single" w:sz="4" w:space="0" w:color="auto"/>
              <w:right w:val="single" w:sz="4" w:space="0" w:color="auto"/>
            </w:tcBorders>
            <w:vAlign w:val="center"/>
          </w:tcPr>
          <w:p w14:paraId="38E757B9"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485" w:type="pct"/>
            <w:tcBorders>
              <w:top w:val="single" w:sz="4" w:space="0" w:color="auto"/>
              <w:left w:val="single" w:sz="4" w:space="0" w:color="auto"/>
              <w:bottom w:val="single" w:sz="4" w:space="0" w:color="auto"/>
              <w:right w:val="single" w:sz="4" w:space="0" w:color="auto"/>
            </w:tcBorders>
            <w:vAlign w:val="center"/>
          </w:tcPr>
          <w:p w14:paraId="1E1D1912"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92" w:type="pct"/>
            <w:tcBorders>
              <w:top w:val="single" w:sz="4" w:space="0" w:color="auto"/>
              <w:left w:val="single" w:sz="4" w:space="0" w:color="auto"/>
              <w:bottom w:val="single" w:sz="4" w:space="0" w:color="auto"/>
              <w:right w:val="single" w:sz="4" w:space="0" w:color="auto"/>
            </w:tcBorders>
            <w:vAlign w:val="center"/>
            <w:hideMark/>
          </w:tcPr>
          <w:p w14:paraId="5D57783E"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89" w:type="pct"/>
            <w:tcBorders>
              <w:top w:val="single" w:sz="4" w:space="0" w:color="auto"/>
              <w:left w:val="single" w:sz="4" w:space="0" w:color="auto"/>
              <w:bottom w:val="single" w:sz="4" w:space="0" w:color="auto"/>
              <w:right w:val="single" w:sz="4" w:space="0" w:color="auto"/>
            </w:tcBorders>
            <w:vAlign w:val="center"/>
            <w:hideMark/>
          </w:tcPr>
          <w:p w14:paraId="7FACBEE8"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91" w:type="pct"/>
            <w:tcBorders>
              <w:top w:val="single" w:sz="4" w:space="0" w:color="auto"/>
              <w:left w:val="single" w:sz="4" w:space="0" w:color="auto"/>
              <w:bottom w:val="single" w:sz="4" w:space="0" w:color="auto"/>
              <w:right w:val="single" w:sz="4" w:space="0" w:color="auto"/>
            </w:tcBorders>
            <w:vAlign w:val="center"/>
            <w:hideMark/>
          </w:tcPr>
          <w:p w14:paraId="2124C910"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89" w:type="pct"/>
            <w:tcBorders>
              <w:top w:val="single" w:sz="4" w:space="0" w:color="auto"/>
              <w:left w:val="single" w:sz="4" w:space="0" w:color="auto"/>
              <w:bottom w:val="single" w:sz="4" w:space="0" w:color="auto"/>
              <w:right w:val="single" w:sz="4" w:space="0" w:color="auto"/>
            </w:tcBorders>
            <w:vAlign w:val="center"/>
            <w:hideMark/>
          </w:tcPr>
          <w:p w14:paraId="1B422B2E"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r>
      <w:tr w:rsidR="00E51CDD" w:rsidRPr="00E51CDD" w14:paraId="3F0D3DCA"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2FA01C2C" w14:textId="77777777" w:rsidR="00E51CDD" w:rsidRPr="00E51CDD" w:rsidRDefault="00E51CDD" w:rsidP="00E51CDD">
            <w:pPr>
              <w:widowControl w:val="0"/>
              <w:spacing w:before="40" w:after="40" w:line="256" w:lineRule="auto"/>
              <w:ind w:left="-175"/>
              <w:jc w:val="center"/>
              <w:rPr>
                <w:sz w:val="20"/>
                <w:szCs w:val="20"/>
                <w:lang w:eastAsia="en-US"/>
              </w:rPr>
            </w:pPr>
            <w:r w:rsidRPr="00E51CDD">
              <w:rPr>
                <w:sz w:val="20"/>
                <w:szCs w:val="20"/>
                <w:lang w:eastAsia="en-US"/>
              </w:rPr>
              <w:t>2.0</w:t>
            </w:r>
          </w:p>
        </w:tc>
        <w:tc>
          <w:tcPr>
            <w:tcW w:w="436" w:type="pct"/>
            <w:tcBorders>
              <w:top w:val="single" w:sz="4" w:space="0" w:color="auto"/>
              <w:left w:val="single" w:sz="4" w:space="0" w:color="auto"/>
              <w:bottom w:val="single" w:sz="4" w:space="0" w:color="auto"/>
              <w:right w:val="single" w:sz="4" w:space="0" w:color="auto"/>
            </w:tcBorders>
            <w:vAlign w:val="center"/>
            <w:hideMark/>
          </w:tcPr>
          <w:p w14:paraId="2C6585EC" w14:textId="77777777" w:rsidR="00E51CDD" w:rsidRPr="00E51CDD" w:rsidRDefault="00E51CDD" w:rsidP="00E51CDD">
            <w:pPr>
              <w:widowControl w:val="0"/>
              <w:spacing w:before="40" w:after="40" w:line="256" w:lineRule="auto"/>
              <w:ind w:left="-128"/>
              <w:jc w:val="center"/>
              <w:rPr>
                <w:sz w:val="20"/>
                <w:szCs w:val="20"/>
                <w:lang w:eastAsia="en-US"/>
              </w:rPr>
            </w:pPr>
            <w:r w:rsidRPr="00E51CDD">
              <w:rPr>
                <w:sz w:val="20"/>
                <w:szCs w:val="20"/>
                <w:lang w:eastAsia="en-US"/>
              </w:rPr>
              <w:t>100</w:t>
            </w:r>
          </w:p>
        </w:tc>
        <w:tc>
          <w:tcPr>
            <w:tcW w:w="437" w:type="pct"/>
            <w:tcBorders>
              <w:top w:val="single" w:sz="4" w:space="0" w:color="auto"/>
              <w:left w:val="single" w:sz="4" w:space="0" w:color="auto"/>
              <w:bottom w:val="single" w:sz="4" w:space="0" w:color="auto"/>
              <w:right w:val="single" w:sz="4" w:space="0" w:color="auto"/>
            </w:tcBorders>
            <w:vAlign w:val="center"/>
            <w:hideMark/>
          </w:tcPr>
          <w:p w14:paraId="4DCF8294"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100</w:t>
            </w:r>
          </w:p>
        </w:tc>
        <w:tc>
          <w:tcPr>
            <w:tcW w:w="486" w:type="pct"/>
            <w:tcBorders>
              <w:top w:val="single" w:sz="4" w:space="0" w:color="auto"/>
              <w:left w:val="single" w:sz="4" w:space="0" w:color="auto"/>
              <w:bottom w:val="single" w:sz="4" w:space="0" w:color="auto"/>
              <w:right w:val="single" w:sz="4" w:space="0" w:color="auto"/>
            </w:tcBorders>
            <w:vAlign w:val="center"/>
            <w:hideMark/>
          </w:tcPr>
          <w:p w14:paraId="2CD14B6C"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100</w:t>
            </w:r>
          </w:p>
        </w:tc>
        <w:tc>
          <w:tcPr>
            <w:tcW w:w="387" w:type="pct"/>
            <w:tcBorders>
              <w:top w:val="single" w:sz="4" w:space="0" w:color="auto"/>
              <w:left w:val="single" w:sz="4" w:space="0" w:color="auto"/>
              <w:bottom w:val="single" w:sz="4" w:space="0" w:color="auto"/>
              <w:right w:val="single" w:sz="4" w:space="0" w:color="auto"/>
            </w:tcBorders>
            <w:vAlign w:val="center"/>
            <w:hideMark/>
          </w:tcPr>
          <w:p w14:paraId="74473809"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100</w:t>
            </w:r>
          </w:p>
        </w:tc>
        <w:tc>
          <w:tcPr>
            <w:tcW w:w="437" w:type="pct"/>
            <w:tcBorders>
              <w:top w:val="single" w:sz="4" w:space="0" w:color="auto"/>
              <w:left w:val="single" w:sz="4" w:space="0" w:color="auto"/>
              <w:bottom w:val="single" w:sz="4" w:space="0" w:color="auto"/>
              <w:right w:val="single" w:sz="4" w:space="0" w:color="auto"/>
            </w:tcBorders>
            <w:vAlign w:val="center"/>
          </w:tcPr>
          <w:p w14:paraId="6B3DAE3F"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100</w:t>
            </w:r>
          </w:p>
        </w:tc>
        <w:tc>
          <w:tcPr>
            <w:tcW w:w="485" w:type="pct"/>
            <w:tcBorders>
              <w:top w:val="single" w:sz="4" w:space="0" w:color="auto"/>
              <w:left w:val="single" w:sz="4" w:space="0" w:color="auto"/>
              <w:bottom w:val="single" w:sz="4" w:space="0" w:color="auto"/>
              <w:right w:val="single" w:sz="4" w:space="0" w:color="auto"/>
            </w:tcBorders>
            <w:vAlign w:val="center"/>
          </w:tcPr>
          <w:p w14:paraId="3852A631"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100</w:t>
            </w:r>
          </w:p>
        </w:tc>
        <w:tc>
          <w:tcPr>
            <w:tcW w:w="392" w:type="pct"/>
            <w:tcBorders>
              <w:top w:val="single" w:sz="4" w:space="0" w:color="auto"/>
              <w:left w:val="single" w:sz="4" w:space="0" w:color="auto"/>
              <w:bottom w:val="single" w:sz="4" w:space="0" w:color="auto"/>
              <w:right w:val="single" w:sz="4" w:space="0" w:color="auto"/>
            </w:tcBorders>
            <w:vAlign w:val="center"/>
            <w:hideMark/>
          </w:tcPr>
          <w:p w14:paraId="55BE70A7"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100</w:t>
            </w:r>
          </w:p>
        </w:tc>
        <w:tc>
          <w:tcPr>
            <w:tcW w:w="389" w:type="pct"/>
            <w:tcBorders>
              <w:top w:val="single" w:sz="4" w:space="0" w:color="auto"/>
              <w:left w:val="single" w:sz="4" w:space="0" w:color="auto"/>
              <w:bottom w:val="single" w:sz="4" w:space="0" w:color="auto"/>
              <w:right w:val="single" w:sz="4" w:space="0" w:color="auto"/>
            </w:tcBorders>
            <w:vAlign w:val="center"/>
            <w:hideMark/>
          </w:tcPr>
          <w:p w14:paraId="05F4A21E"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100</w:t>
            </w:r>
          </w:p>
        </w:tc>
        <w:tc>
          <w:tcPr>
            <w:tcW w:w="391" w:type="pct"/>
            <w:tcBorders>
              <w:top w:val="single" w:sz="4" w:space="0" w:color="auto"/>
              <w:left w:val="single" w:sz="4" w:space="0" w:color="auto"/>
              <w:bottom w:val="single" w:sz="4" w:space="0" w:color="auto"/>
              <w:right w:val="single" w:sz="4" w:space="0" w:color="auto"/>
            </w:tcBorders>
            <w:vAlign w:val="center"/>
            <w:hideMark/>
          </w:tcPr>
          <w:p w14:paraId="14FC1E83"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100</w:t>
            </w:r>
          </w:p>
        </w:tc>
        <w:tc>
          <w:tcPr>
            <w:tcW w:w="389" w:type="pct"/>
            <w:tcBorders>
              <w:top w:val="single" w:sz="4" w:space="0" w:color="auto"/>
              <w:left w:val="single" w:sz="4" w:space="0" w:color="auto"/>
              <w:bottom w:val="single" w:sz="4" w:space="0" w:color="auto"/>
              <w:right w:val="single" w:sz="4" w:space="0" w:color="auto"/>
            </w:tcBorders>
            <w:vAlign w:val="center"/>
            <w:hideMark/>
          </w:tcPr>
          <w:p w14:paraId="272B3140"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100</w:t>
            </w:r>
          </w:p>
        </w:tc>
      </w:tr>
      <w:tr w:rsidR="00E51CDD" w:rsidRPr="00E51CDD" w14:paraId="1DB52951"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7A084A8B"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2B20A05F" w14:textId="77777777" w:rsidR="00E51CDD" w:rsidRPr="00E51CDD" w:rsidRDefault="00E51CDD" w:rsidP="00E51CDD">
            <w:pPr>
              <w:widowControl w:val="0"/>
              <w:spacing w:before="40" w:after="40" w:line="256" w:lineRule="auto"/>
              <w:ind w:left="-128"/>
              <w:jc w:val="center"/>
              <w:rPr>
                <w:sz w:val="20"/>
                <w:szCs w:val="20"/>
                <w:lang w:eastAsia="en-US"/>
              </w:rPr>
            </w:pPr>
            <w:r w:rsidRPr="00E51CDD">
              <w:rPr>
                <w:b/>
                <w:bCs/>
                <w:sz w:val="20"/>
                <w:szCs w:val="20"/>
                <w:lang w:eastAsia="en-US"/>
              </w:rPr>
              <w:t>Phytotoxic damages [%]</w:t>
            </w:r>
          </w:p>
        </w:tc>
      </w:tr>
      <w:tr w:rsidR="00E51CDD" w:rsidRPr="00E51CDD" w14:paraId="1A9B7B3F"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49FEC2DF" w14:textId="77777777" w:rsidR="00E51CDD" w:rsidRPr="00E51CDD" w:rsidRDefault="00E51CDD" w:rsidP="00E51CDD">
            <w:pPr>
              <w:widowControl w:val="0"/>
              <w:spacing w:before="40" w:after="40" w:line="256" w:lineRule="auto"/>
              <w:ind w:left="-161"/>
              <w:jc w:val="center"/>
              <w:rPr>
                <w:sz w:val="20"/>
                <w:szCs w:val="20"/>
                <w:lang w:eastAsia="en-US"/>
              </w:rPr>
            </w:pPr>
            <w:r w:rsidRPr="00E51CDD">
              <w:rPr>
                <w:sz w:val="20"/>
                <w:szCs w:val="20"/>
                <w:lang w:eastAsia="en-US"/>
              </w:rPr>
              <w:t>Control</w:t>
            </w:r>
          </w:p>
        </w:tc>
        <w:tc>
          <w:tcPr>
            <w:tcW w:w="436" w:type="pct"/>
            <w:tcBorders>
              <w:top w:val="single" w:sz="4" w:space="0" w:color="auto"/>
              <w:left w:val="single" w:sz="4" w:space="0" w:color="auto"/>
              <w:bottom w:val="single" w:sz="4" w:space="0" w:color="auto"/>
              <w:right w:val="single" w:sz="4" w:space="0" w:color="auto"/>
            </w:tcBorders>
            <w:vAlign w:val="center"/>
            <w:hideMark/>
          </w:tcPr>
          <w:p w14:paraId="4D86B290"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0</w:t>
            </w:r>
          </w:p>
        </w:tc>
        <w:tc>
          <w:tcPr>
            <w:tcW w:w="437" w:type="pct"/>
            <w:tcBorders>
              <w:top w:val="single" w:sz="4" w:space="0" w:color="auto"/>
              <w:left w:val="single" w:sz="4" w:space="0" w:color="auto"/>
              <w:bottom w:val="single" w:sz="4" w:space="0" w:color="auto"/>
              <w:right w:val="single" w:sz="4" w:space="0" w:color="auto"/>
            </w:tcBorders>
            <w:vAlign w:val="center"/>
            <w:hideMark/>
          </w:tcPr>
          <w:p w14:paraId="437D181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0</w:t>
            </w:r>
          </w:p>
        </w:tc>
        <w:tc>
          <w:tcPr>
            <w:tcW w:w="486" w:type="pct"/>
            <w:tcBorders>
              <w:top w:val="single" w:sz="4" w:space="0" w:color="auto"/>
              <w:left w:val="single" w:sz="4" w:space="0" w:color="auto"/>
              <w:bottom w:val="single" w:sz="4" w:space="0" w:color="auto"/>
              <w:right w:val="single" w:sz="4" w:space="0" w:color="auto"/>
            </w:tcBorders>
            <w:vAlign w:val="center"/>
            <w:hideMark/>
          </w:tcPr>
          <w:p w14:paraId="311181F8"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0</w:t>
            </w:r>
          </w:p>
        </w:tc>
        <w:tc>
          <w:tcPr>
            <w:tcW w:w="387" w:type="pct"/>
            <w:tcBorders>
              <w:top w:val="single" w:sz="4" w:space="0" w:color="auto"/>
              <w:left w:val="single" w:sz="4" w:space="0" w:color="auto"/>
              <w:bottom w:val="single" w:sz="4" w:space="0" w:color="auto"/>
              <w:right w:val="single" w:sz="4" w:space="0" w:color="auto"/>
            </w:tcBorders>
            <w:vAlign w:val="center"/>
            <w:hideMark/>
          </w:tcPr>
          <w:p w14:paraId="07B3E49C"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0</w:t>
            </w:r>
          </w:p>
        </w:tc>
        <w:tc>
          <w:tcPr>
            <w:tcW w:w="437" w:type="pct"/>
            <w:tcBorders>
              <w:top w:val="single" w:sz="4" w:space="0" w:color="auto"/>
              <w:left w:val="single" w:sz="4" w:space="0" w:color="auto"/>
              <w:bottom w:val="single" w:sz="4" w:space="0" w:color="auto"/>
              <w:right w:val="single" w:sz="4" w:space="0" w:color="auto"/>
            </w:tcBorders>
            <w:vAlign w:val="center"/>
          </w:tcPr>
          <w:p w14:paraId="1B55DC29"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0</w:t>
            </w:r>
          </w:p>
        </w:tc>
        <w:tc>
          <w:tcPr>
            <w:tcW w:w="485" w:type="pct"/>
            <w:tcBorders>
              <w:top w:val="single" w:sz="4" w:space="0" w:color="auto"/>
              <w:left w:val="single" w:sz="4" w:space="0" w:color="auto"/>
              <w:bottom w:val="single" w:sz="4" w:space="0" w:color="auto"/>
              <w:right w:val="single" w:sz="4" w:space="0" w:color="auto"/>
            </w:tcBorders>
            <w:vAlign w:val="center"/>
          </w:tcPr>
          <w:p w14:paraId="47EBE02B"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0</w:t>
            </w:r>
          </w:p>
        </w:tc>
        <w:tc>
          <w:tcPr>
            <w:tcW w:w="392" w:type="pct"/>
            <w:tcBorders>
              <w:top w:val="single" w:sz="4" w:space="0" w:color="auto"/>
              <w:left w:val="single" w:sz="4" w:space="0" w:color="auto"/>
              <w:bottom w:val="single" w:sz="4" w:space="0" w:color="auto"/>
              <w:right w:val="single" w:sz="4" w:space="0" w:color="auto"/>
            </w:tcBorders>
            <w:vAlign w:val="center"/>
            <w:hideMark/>
          </w:tcPr>
          <w:p w14:paraId="3F03B23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0</w:t>
            </w:r>
          </w:p>
        </w:tc>
        <w:tc>
          <w:tcPr>
            <w:tcW w:w="389" w:type="pct"/>
            <w:tcBorders>
              <w:top w:val="single" w:sz="4" w:space="0" w:color="auto"/>
              <w:left w:val="single" w:sz="4" w:space="0" w:color="auto"/>
              <w:bottom w:val="single" w:sz="4" w:space="0" w:color="auto"/>
              <w:right w:val="single" w:sz="4" w:space="0" w:color="auto"/>
            </w:tcBorders>
            <w:vAlign w:val="center"/>
            <w:hideMark/>
          </w:tcPr>
          <w:p w14:paraId="0BD853E7"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0</w:t>
            </w:r>
          </w:p>
        </w:tc>
        <w:tc>
          <w:tcPr>
            <w:tcW w:w="391" w:type="pct"/>
            <w:tcBorders>
              <w:top w:val="single" w:sz="4" w:space="0" w:color="auto"/>
              <w:left w:val="single" w:sz="4" w:space="0" w:color="auto"/>
              <w:bottom w:val="single" w:sz="4" w:space="0" w:color="auto"/>
              <w:right w:val="single" w:sz="4" w:space="0" w:color="auto"/>
            </w:tcBorders>
            <w:vAlign w:val="center"/>
            <w:hideMark/>
          </w:tcPr>
          <w:p w14:paraId="051784B0"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0</w:t>
            </w:r>
          </w:p>
        </w:tc>
        <w:tc>
          <w:tcPr>
            <w:tcW w:w="389" w:type="pct"/>
            <w:tcBorders>
              <w:top w:val="single" w:sz="4" w:space="0" w:color="auto"/>
              <w:left w:val="single" w:sz="4" w:space="0" w:color="auto"/>
              <w:bottom w:val="single" w:sz="4" w:space="0" w:color="auto"/>
              <w:right w:val="single" w:sz="4" w:space="0" w:color="auto"/>
            </w:tcBorders>
            <w:vAlign w:val="center"/>
            <w:hideMark/>
          </w:tcPr>
          <w:p w14:paraId="7249F727"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0</w:t>
            </w:r>
          </w:p>
        </w:tc>
      </w:tr>
      <w:tr w:rsidR="00E51CDD" w:rsidRPr="00E51CDD" w14:paraId="16F6DE16"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59D3DEE6" w14:textId="77777777" w:rsidR="00E51CDD" w:rsidRPr="00E51CDD" w:rsidRDefault="00E51CDD" w:rsidP="00E51CDD">
            <w:pPr>
              <w:widowControl w:val="0"/>
              <w:spacing w:before="40" w:after="40" w:line="256" w:lineRule="auto"/>
              <w:ind w:left="-175"/>
              <w:jc w:val="center"/>
              <w:rPr>
                <w:sz w:val="20"/>
                <w:szCs w:val="20"/>
                <w:lang w:eastAsia="en-US"/>
              </w:rPr>
            </w:pPr>
            <w:r w:rsidRPr="00E51CDD">
              <w:rPr>
                <w:sz w:val="20"/>
                <w:szCs w:val="20"/>
                <w:lang w:eastAsia="en-US"/>
              </w:rPr>
              <w:t>2.0</w:t>
            </w:r>
          </w:p>
        </w:tc>
        <w:tc>
          <w:tcPr>
            <w:tcW w:w="436" w:type="pct"/>
            <w:tcBorders>
              <w:top w:val="single" w:sz="4" w:space="0" w:color="auto"/>
              <w:left w:val="single" w:sz="4" w:space="0" w:color="auto"/>
              <w:bottom w:val="single" w:sz="4" w:space="0" w:color="auto"/>
              <w:right w:val="single" w:sz="4" w:space="0" w:color="auto"/>
            </w:tcBorders>
            <w:vAlign w:val="center"/>
            <w:hideMark/>
          </w:tcPr>
          <w:p w14:paraId="301B148B" w14:textId="77777777" w:rsidR="00E51CDD" w:rsidRPr="00E51CDD" w:rsidRDefault="00E51CDD" w:rsidP="00E51CDD">
            <w:pPr>
              <w:widowControl w:val="0"/>
              <w:spacing w:before="40" w:after="40" w:line="256" w:lineRule="auto"/>
              <w:ind w:left="-128"/>
              <w:jc w:val="center"/>
              <w:rPr>
                <w:sz w:val="20"/>
                <w:szCs w:val="20"/>
                <w:lang w:eastAsia="en-US"/>
              </w:rPr>
            </w:pPr>
            <w:r w:rsidRPr="00E51CDD">
              <w:rPr>
                <w:sz w:val="20"/>
                <w:szCs w:val="20"/>
                <w:lang w:eastAsia="en-US"/>
              </w:rPr>
              <w:t>0</w:t>
            </w:r>
          </w:p>
        </w:tc>
        <w:tc>
          <w:tcPr>
            <w:tcW w:w="437" w:type="pct"/>
            <w:tcBorders>
              <w:top w:val="single" w:sz="4" w:space="0" w:color="auto"/>
              <w:left w:val="single" w:sz="4" w:space="0" w:color="auto"/>
              <w:bottom w:val="single" w:sz="4" w:space="0" w:color="auto"/>
              <w:right w:val="single" w:sz="4" w:space="0" w:color="auto"/>
            </w:tcBorders>
            <w:hideMark/>
          </w:tcPr>
          <w:p w14:paraId="19EFDD0F"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0</w:t>
            </w:r>
          </w:p>
        </w:tc>
        <w:tc>
          <w:tcPr>
            <w:tcW w:w="486" w:type="pct"/>
            <w:tcBorders>
              <w:top w:val="single" w:sz="4" w:space="0" w:color="auto"/>
              <w:left w:val="single" w:sz="4" w:space="0" w:color="auto"/>
              <w:bottom w:val="single" w:sz="4" w:space="0" w:color="auto"/>
              <w:right w:val="single" w:sz="4" w:space="0" w:color="auto"/>
            </w:tcBorders>
            <w:hideMark/>
          </w:tcPr>
          <w:p w14:paraId="220043A5" w14:textId="77777777" w:rsidR="00E51CDD" w:rsidRPr="00E51CDD" w:rsidRDefault="00E51CDD" w:rsidP="00E51CDD">
            <w:pPr>
              <w:widowControl w:val="0"/>
              <w:spacing w:before="40" w:after="40" w:line="256" w:lineRule="auto"/>
              <w:jc w:val="center"/>
              <w:rPr>
                <w:sz w:val="20"/>
                <w:szCs w:val="20"/>
                <w:lang w:eastAsia="en-US"/>
              </w:rPr>
            </w:pPr>
            <w:r w:rsidRPr="00E51CDD">
              <w:rPr>
                <w:rFonts w:ascii="Calibri" w:eastAsia="Arial" w:hAnsi="Calibri"/>
                <w:sz w:val="20"/>
                <w:szCs w:val="20"/>
                <w:lang w:eastAsia="en-US"/>
              </w:rPr>
              <w:t>4 </w:t>
            </w:r>
            <w:r w:rsidRPr="00E51CDD">
              <w:rPr>
                <w:rFonts w:ascii="Calibri" w:eastAsia="Arial" w:hAnsi="Calibri"/>
                <w:sz w:val="20"/>
                <w:szCs w:val="20"/>
                <w:vertAlign w:val="superscript"/>
                <w:lang w:eastAsia="en-US"/>
              </w:rPr>
              <w:t>C</w:t>
            </w:r>
          </w:p>
        </w:tc>
        <w:tc>
          <w:tcPr>
            <w:tcW w:w="387" w:type="pct"/>
            <w:tcBorders>
              <w:top w:val="single" w:sz="4" w:space="0" w:color="auto"/>
              <w:left w:val="single" w:sz="4" w:space="0" w:color="auto"/>
              <w:bottom w:val="single" w:sz="4" w:space="0" w:color="auto"/>
              <w:right w:val="single" w:sz="4" w:space="0" w:color="auto"/>
            </w:tcBorders>
            <w:vAlign w:val="center"/>
            <w:hideMark/>
          </w:tcPr>
          <w:p w14:paraId="7F2FD772" w14:textId="77777777" w:rsidR="00E51CDD" w:rsidRPr="00E51CDD" w:rsidRDefault="00E51CDD" w:rsidP="00E51CDD">
            <w:pPr>
              <w:widowControl w:val="0"/>
              <w:spacing w:before="40" w:after="40" w:line="256" w:lineRule="auto"/>
              <w:jc w:val="center"/>
              <w:rPr>
                <w:sz w:val="20"/>
                <w:szCs w:val="20"/>
                <w:lang w:eastAsia="en-US"/>
              </w:rPr>
            </w:pPr>
            <w:r w:rsidRPr="00E51CDD">
              <w:rPr>
                <w:rFonts w:ascii="Calibri" w:eastAsia="Arial" w:hAnsi="Calibri"/>
                <w:sz w:val="20"/>
                <w:szCs w:val="20"/>
                <w:lang w:eastAsia="en-US"/>
              </w:rPr>
              <w:t>18 </w:t>
            </w:r>
            <w:r w:rsidRPr="00E51CDD">
              <w:rPr>
                <w:rFonts w:ascii="Calibri" w:eastAsia="Arial" w:hAnsi="Calibri"/>
                <w:sz w:val="20"/>
                <w:szCs w:val="20"/>
                <w:vertAlign w:val="superscript"/>
                <w:lang w:eastAsia="en-US"/>
              </w:rPr>
              <w:t>C</w:t>
            </w:r>
            <w:r w:rsidRPr="00E51CDD">
              <w:rPr>
                <w:rFonts w:ascii="Calibri" w:eastAsia="Arial" w:hAnsi="Calibri"/>
                <w:sz w:val="20"/>
                <w:szCs w:val="20"/>
                <w:lang w:eastAsia="en-US"/>
              </w:rPr>
              <w:t>, 18</w:t>
            </w:r>
            <w:r w:rsidRPr="00E51CDD">
              <w:rPr>
                <w:rFonts w:ascii="Calibri" w:eastAsia="Arial" w:hAnsi="Calibri"/>
                <w:sz w:val="20"/>
                <w:szCs w:val="20"/>
                <w:vertAlign w:val="superscript"/>
                <w:lang w:eastAsia="en-US"/>
              </w:rPr>
              <w:t> D</w:t>
            </w:r>
            <w:r w:rsidRPr="00E51CDD">
              <w:rPr>
                <w:rFonts w:ascii="Calibri" w:eastAsia="Arial" w:hAnsi="Calibri"/>
                <w:sz w:val="20"/>
                <w:szCs w:val="20"/>
                <w:lang w:eastAsia="en-US"/>
              </w:rPr>
              <w:t>,</w:t>
            </w:r>
            <w:r w:rsidRPr="00E51CDD">
              <w:rPr>
                <w:rFonts w:ascii="Calibri" w:eastAsia="Arial" w:hAnsi="Calibri"/>
                <w:sz w:val="20"/>
                <w:szCs w:val="20"/>
                <w:vertAlign w:val="superscript"/>
                <w:lang w:eastAsia="en-US"/>
              </w:rPr>
              <w:t xml:space="preserve"> </w:t>
            </w:r>
            <w:r w:rsidRPr="00E51CDD">
              <w:rPr>
                <w:rFonts w:ascii="Calibri" w:eastAsia="Arial" w:hAnsi="Calibri"/>
                <w:sz w:val="20"/>
                <w:szCs w:val="20"/>
                <w:lang w:eastAsia="en-US"/>
              </w:rPr>
              <w:t>11 </w:t>
            </w:r>
            <w:r w:rsidRPr="00E51CDD">
              <w:rPr>
                <w:rFonts w:ascii="Calibri" w:eastAsia="Arial" w:hAnsi="Calibri"/>
                <w:sz w:val="20"/>
                <w:szCs w:val="20"/>
                <w:vertAlign w:val="superscript"/>
                <w:lang w:eastAsia="en-US"/>
              </w:rPr>
              <w:t>S</w:t>
            </w:r>
            <w:r w:rsidRPr="00E51CDD">
              <w:rPr>
                <w:rFonts w:ascii="Calibri" w:eastAsia="Arial" w:hAnsi="Calibri"/>
                <w:sz w:val="20"/>
                <w:szCs w:val="20"/>
                <w:lang w:eastAsia="en-US"/>
              </w:rPr>
              <w:t xml:space="preserve">, </w:t>
            </w:r>
          </w:p>
        </w:tc>
        <w:tc>
          <w:tcPr>
            <w:tcW w:w="437" w:type="pct"/>
            <w:tcBorders>
              <w:top w:val="single" w:sz="4" w:space="0" w:color="auto"/>
              <w:left w:val="single" w:sz="4" w:space="0" w:color="auto"/>
              <w:bottom w:val="single" w:sz="4" w:space="0" w:color="auto"/>
              <w:right w:val="single" w:sz="4" w:space="0" w:color="auto"/>
            </w:tcBorders>
            <w:vAlign w:val="center"/>
          </w:tcPr>
          <w:p w14:paraId="69692DB1"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0</w:t>
            </w:r>
          </w:p>
        </w:tc>
        <w:tc>
          <w:tcPr>
            <w:tcW w:w="485" w:type="pct"/>
            <w:tcBorders>
              <w:top w:val="single" w:sz="4" w:space="0" w:color="auto"/>
              <w:left w:val="single" w:sz="4" w:space="0" w:color="auto"/>
              <w:bottom w:val="single" w:sz="4" w:space="0" w:color="auto"/>
              <w:right w:val="single" w:sz="4" w:space="0" w:color="auto"/>
            </w:tcBorders>
            <w:vAlign w:val="center"/>
          </w:tcPr>
          <w:p w14:paraId="030AD41E" w14:textId="77777777" w:rsidR="00E51CDD" w:rsidRPr="00E51CDD" w:rsidRDefault="00E51CDD" w:rsidP="00E51CDD">
            <w:pPr>
              <w:widowControl w:val="0"/>
              <w:spacing w:before="40" w:after="40" w:line="256" w:lineRule="auto"/>
              <w:jc w:val="center"/>
              <w:rPr>
                <w:sz w:val="20"/>
                <w:szCs w:val="20"/>
                <w:lang w:eastAsia="en-US"/>
              </w:rPr>
            </w:pPr>
            <w:r w:rsidRPr="00E51CDD">
              <w:rPr>
                <w:rFonts w:ascii="Calibri" w:eastAsia="Arial" w:hAnsi="Calibri"/>
                <w:sz w:val="20"/>
                <w:szCs w:val="20"/>
                <w:lang w:eastAsia="en-US"/>
              </w:rPr>
              <w:t>10 </w:t>
            </w:r>
            <w:r w:rsidRPr="00E51CDD">
              <w:rPr>
                <w:rFonts w:ascii="Calibri" w:eastAsia="Arial" w:hAnsi="Calibri"/>
                <w:sz w:val="20"/>
                <w:szCs w:val="20"/>
                <w:vertAlign w:val="superscript"/>
                <w:lang w:eastAsia="en-US"/>
              </w:rPr>
              <w:t>C</w:t>
            </w:r>
            <w:r w:rsidRPr="00E51CDD">
              <w:rPr>
                <w:rFonts w:ascii="Calibri" w:eastAsia="Arial" w:hAnsi="Calibri"/>
                <w:sz w:val="20"/>
                <w:szCs w:val="20"/>
                <w:lang w:eastAsia="en-US"/>
              </w:rPr>
              <w:t>, 10 </w:t>
            </w:r>
            <w:r w:rsidRPr="00E51CDD">
              <w:rPr>
                <w:rFonts w:ascii="Calibri" w:eastAsia="Arial" w:hAnsi="Calibri"/>
                <w:sz w:val="20"/>
                <w:szCs w:val="20"/>
                <w:vertAlign w:val="superscript"/>
                <w:lang w:eastAsia="en-US"/>
              </w:rPr>
              <w:t>S</w:t>
            </w:r>
            <w:r w:rsidRPr="00E51CDD">
              <w:rPr>
                <w:rFonts w:ascii="Calibri" w:eastAsia="Arial" w:hAnsi="Calibri"/>
                <w:sz w:val="20"/>
                <w:szCs w:val="20"/>
                <w:lang w:eastAsia="en-US"/>
              </w:rPr>
              <w:t>,</w:t>
            </w:r>
          </w:p>
        </w:tc>
        <w:tc>
          <w:tcPr>
            <w:tcW w:w="392" w:type="pct"/>
            <w:tcBorders>
              <w:top w:val="single" w:sz="4" w:space="0" w:color="auto"/>
              <w:left w:val="single" w:sz="4" w:space="0" w:color="auto"/>
              <w:bottom w:val="single" w:sz="4" w:space="0" w:color="auto"/>
              <w:right w:val="single" w:sz="4" w:space="0" w:color="auto"/>
            </w:tcBorders>
            <w:vAlign w:val="center"/>
            <w:hideMark/>
          </w:tcPr>
          <w:p w14:paraId="51783D31"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0</w:t>
            </w:r>
          </w:p>
        </w:tc>
        <w:tc>
          <w:tcPr>
            <w:tcW w:w="389" w:type="pct"/>
            <w:tcBorders>
              <w:top w:val="single" w:sz="4" w:space="0" w:color="auto"/>
              <w:left w:val="single" w:sz="4" w:space="0" w:color="auto"/>
              <w:bottom w:val="single" w:sz="4" w:space="0" w:color="auto"/>
              <w:right w:val="single" w:sz="4" w:space="0" w:color="auto"/>
            </w:tcBorders>
            <w:vAlign w:val="center"/>
            <w:hideMark/>
          </w:tcPr>
          <w:p w14:paraId="0CD066C9"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0</w:t>
            </w:r>
          </w:p>
        </w:tc>
        <w:tc>
          <w:tcPr>
            <w:tcW w:w="391" w:type="pct"/>
            <w:tcBorders>
              <w:top w:val="single" w:sz="4" w:space="0" w:color="auto"/>
              <w:left w:val="single" w:sz="4" w:space="0" w:color="auto"/>
              <w:bottom w:val="single" w:sz="4" w:space="0" w:color="auto"/>
              <w:right w:val="single" w:sz="4" w:space="0" w:color="auto"/>
            </w:tcBorders>
            <w:vAlign w:val="center"/>
            <w:hideMark/>
          </w:tcPr>
          <w:p w14:paraId="3203D94E"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0</w:t>
            </w:r>
          </w:p>
        </w:tc>
        <w:tc>
          <w:tcPr>
            <w:tcW w:w="389" w:type="pct"/>
            <w:tcBorders>
              <w:top w:val="single" w:sz="4" w:space="0" w:color="auto"/>
              <w:left w:val="single" w:sz="4" w:space="0" w:color="auto"/>
              <w:bottom w:val="single" w:sz="4" w:space="0" w:color="auto"/>
              <w:right w:val="single" w:sz="4" w:space="0" w:color="auto"/>
            </w:tcBorders>
            <w:vAlign w:val="center"/>
            <w:hideMark/>
          </w:tcPr>
          <w:p w14:paraId="58B44639"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0</w:t>
            </w:r>
          </w:p>
        </w:tc>
      </w:tr>
      <w:tr w:rsidR="00E51CDD" w:rsidRPr="00E51CDD" w14:paraId="32C8F790"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17B2C29E"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3FE0EBF5"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b/>
                <w:bCs/>
                <w:sz w:val="20"/>
                <w:szCs w:val="20"/>
                <w:lang w:eastAsia="en-US"/>
              </w:rPr>
              <w:t>Plant height [% of control]</w:t>
            </w:r>
          </w:p>
        </w:tc>
      </w:tr>
      <w:tr w:rsidR="00E51CDD" w:rsidRPr="00E51CDD" w14:paraId="687FA6CA"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62CE15D1" w14:textId="77777777" w:rsidR="00E51CDD" w:rsidRPr="00E51CDD" w:rsidRDefault="00E51CDD" w:rsidP="00E51CDD">
            <w:pPr>
              <w:widowControl w:val="0"/>
              <w:spacing w:before="40" w:after="40" w:line="256" w:lineRule="auto"/>
              <w:ind w:left="-175"/>
              <w:jc w:val="center"/>
              <w:rPr>
                <w:sz w:val="20"/>
                <w:szCs w:val="20"/>
                <w:lang w:eastAsia="en-US"/>
              </w:rPr>
            </w:pPr>
            <w:r w:rsidRPr="00E51CDD">
              <w:rPr>
                <w:sz w:val="20"/>
                <w:szCs w:val="20"/>
                <w:lang w:eastAsia="en-US"/>
              </w:rPr>
              <w:t>Control</w:t>
            </w:r>
          </w:p>
        </w:tc>
        <w:tc>
          <w:tcPr>
            <w:tcW w:w="436" w:type="pct"/>
            <w:tcBorders>
              <w:top w:val="single" w:sz="4" w:space="0" w:color="auto"/>
              <w:left w:val="single" w:sz="4" w:space="0" w:color="auto"/>
              <w:bottom w:val="single" w:sz="4" w:space="0" w:color="auto"/>
              <w:right w:val="single" w:sz="4" w:space="0" w:color="auto"/>
            </w:tcBorders>
            <w:vAlign w:val="center"/>
            <w:hideMark/>
          </w:tcPr>
          <w:p w14:paraId="1727F035"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100</w:t>
            </w:r>
          </w:p>
        </w:tc>
        <w:tc>
          <w:tcPr>
            <w:tcW w:w="437" w:type="pct"/>
            <w:tcBorders>
              <w:top w:val="single" w:sz="4" w:space="0" w:color="auto"/>
              <w:left w:val="single" w:sz="4" w:space="0" w:color="auto"/>
              <w:bottom w:val="single" w:sz="4" w:space="0" w:color="auto"/>
              <w:right w:val="single" w:sz="4" w:space="0" w:color="auto"/>
            </w:tcBorders>
            <w:vAlign w:val="center"/>
            <w:hideMark/>
          </w:tcPr>
          <w:p w14:paraId="7236EFB3"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486" w:type="pct"/>
            <w:tcBorders>
              <w:top w:val="single" w:sz="4" w:space="0" w:color="auto"/>
              <w:left w:val="single" w:sz="4" w:space="0" w:color="auto"/>
              <w:bottom w:val="single" w:sz="4" w:space="0" w:color="auto"/>
              <w:right w:val="single" w:sz="4" w:space="0" w:color="auto"/>
            </w:tcBorders>
            <w:vAlign w:val="center"/>
            <w:hideMark/>
          </w:tcPr>
          <w:p w14:paraId="4096AD0C"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87" w:type="pct"/>
            <w:tcBorders>
              <w:top w:val="single" w:sz="4" w:space="0" w:color="auto"/>
              <w:left w:val="single" w:sz="4" w:space="0" w:color="auto"/>
              <w:bottom w:val="single" w:sz="4" w:space="0" w:color="auto"/>
              <w:right w:val="single" w:sz="4" w:space="0" w:color="auto"/>
            </w:tcBorders>
            <w:vAlign w:val="center"/>
            <w:hideMark/>
          </w:tcPr>
          <w:p w14:paraId="6F798B7C"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437" w:type="pct"/>
            <w:tcBorders>
              <w:top w:val="single" w:sz="4" w:space="0" w:color="auto"/>
              <w:left w:val="single" w:sz="4" w:space="0" w:color="auto"/>
              <w:bottom w:val="single" w:sz="4" w:space="0" w:color="auto"/>
              <w:right w:val="single" w:sz="4" w:space="0" w:color="auto"/>
            </w:tcBorders>
            <w:vAlign w:val="center"/>
          </w:tcPr>
          <w:p w14:paraId="24E903FE"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485" w:type="pct"/>
            <w:tcBorders>
              <w:top w:val="single" w:sz="4" w:space="0" w:color="auto"/>
              <w:left w:val="single" w:sz="4" w:space="0" w:color="auto"/>
              <w:bottom w:val="single" w:sz="4" w:space="0" w:color="auto"/>
              <w:right w:val="single" w:sz="4" w:space="0" w:color="auto"/>
            </w:tcBorders>
            <w:vAlign w:val="center"/>
          </w:tcPr>
          <w:p w14:paraId="1A4AE923"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92" w:type="pct"/>
            <w:tcBorders>
              <w:top w:val="single" w:sz="4" w:space="0" w:color="auto"/>
              <w:left w:val="single" w:sz="4" w:space="0" w:color="auto"/>
              <w:bottom w:val="single" w:sz="4" w:space="0" w:color="auto"/>
              <w:right w:val="single" w:sz="4" w:space="0" w:color="auto"/>
            </w:tcBorders>
            <w:vAlign w:val="center"/>
            <w:hideMark/>
          </w:tcPr>
          <w:p w14:paraId="46DEB097"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89" w:type="pct"/>
            <w:tcBorders>
              <w:top w:val="single" w:sz="4" w:space="0" w:color="auto"/>
              <w:left w:val="single" w:sz="4" w:space="0" w:color="auto"/>
              <w:bottom w:val="single" w:sz="4" w:space="0" w:color="auto"/>
              <w:right w:val="single" w:sz="4" w:space="0" w:color="auto"/>
            </w:tcBorders>
            <w:vAlign w:val="center"/>
            <w:hideMark/>
          </w:tcPr>
          <w:p w14:paraId="682978A1"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91" w:type="pct"/>
            <w:tcBorders>
              <w:top w:val="single" w:sz="4" w:space="0" w:color="auto"/>
              <w:left w:val="single" w:sz="4" w:space="0" w:color="auto"/>
              <w:bottom w:val="single" w:sz="4" w:space="0" w:color="auto"/>
              <w:right w:val="single" w:sz="4" w:space="0" w:color="auto"/>
            </w:tcBorders>
            <w:vAlign w:val="center"/>
            <w:hideMark/>
          </w:tcPr>
          <w:p w14:paraId="1A05A849"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89" w:type="pct"/>
            <w:tcBorders>
              <w:top w:val="single" w:sz="4" w:space="0" w:color="auto"/>
              <w:left w:val="single" w:sz="4" w:space="0" w:color="auto"/>
              <w:bottom w:val="single" w:sz="4" w:space="0" w:color="auto"/>
              <w:right w:val="single" w:sz="4" w:space="0" w:color="auto"/>
            </w:tcBorders>
            <w:vAlign w:val="center"/>
            <w:hideMark/>
          </w:tcPr>
          <w:p w14:paraId="6615AC4B"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r>
      <w:tr w:rsidR="00E51CDD" w:rsidRPr="00E51CDD" w14:paraId="168FC7E7"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042E82A8" w14:textId="77777777" w:rsidR="00E51CDD" w:rsidRPr="00E51CDD" w:rsidRDefault="00E51CDD" w:rsidP="00E51CDD">
            <w:pPr>
              <w:widowControl w:val="0"/>
              <w:spacing w:before="40" w:after="40" w:line="256" w:lineRule="auto"/>
              <w:ind w:left="-175"/>
              <w:jc w:val="center"/>
              <w:rPr>
                <w:sz w:val="20"/>
                <w:szCs w:val="20"/>
                <w:lang w:eastAsia="en-US"/>
              </w:rPr>
            </w:pPr>
            <w:r w:rsidRPr="00E51CDD">
              <w:rPr>
                <w:sz w:val="20"/>
                <w:szCs w:val="20"/>
                <w:lang w:eastAsia="en-US"/>
              </w:rPr>
              <w:t>2.0</w:t>
            </w:r>
          </w:p>
        </w:tc>
        <w:tc>
          <w:tcPr>
            <w:tcW w:w="436" w:type="pct"/>
            <w:tcBorders>
              <w:top w:val="single" w:sz="4" w:space="0" w:color="auto"/>
              <w:left w:val="single" w:sz="4" w:space="0" w:color="auto"/>
              <w:bottom w:val="single" w:sz="4" w:space="0" w:color="auto"/>
              <w:right w:val="single" w:sz="4" w:space="0" w:color="auto"/>
            </w:tcBorders>
            <w:vAlign w:val="center"/>
          </w:tcPr>
          <w:p w14:paraId="07571065"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98.1</w:t>
            </w:r>
          </w:p>
        </w:tc>
        <w:tc>
          <w:tcPr>
            <w:tcW w:w="437" w:type="pct"/>
            <w:tcBorders>
              <w:top w:val="single" w:sz="4" w:space="0" w:color="auto"/>
              <w:left w:val="single" w:sz="4" w:space="0" w:color="auto"/>
              <w:bottom w:val="single" w:sz="4" w:space="0" w:color="auto"/>
              <w:right w:val="single" w:sz="4" w:space="0" w:color="auto"/>
            </w:tcBorders>
            <w:vAlign w:val="center"/>
          </w:tcPr>
          <w:p w14:paraId="321CB05C"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102.1</w:t>
            </w:r>
          </w:p>
        </w:tc>
        <w:tc>
          <w:tcPr>
            <w:tcW w:w="486" w:type="pct"/>
            <w:tcBorders>
              <w:top w:val="single" w:sz="4" w:space="0" w:color="auto"/>
              <w:left w:val="single" w:sz="4" w:space="0" w:color="auto"/>
              <w:bottom w:val="single" w:sz="4" w:space="0" w:color="auto"/>
              <w:right w:val="single" w:sz="4" w:space="0" w:color="auto"/>
            </w:tcBorders>
            <w:vAlign w:val="center"/>
          </w:tcPr>
          <w:p w14:paraId="11A67FB5"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105.2</w:t>
            </w:r>
          </w:p>
        </w:tc>
        <w:tc>
          <w:tcPr>
            <w:tcW w:w="387" w:type="pct"/>
            <w:tcBorders>
              <w:top w:val="single" w:sz="4" w:space="0" w:color="auto"/>
              <w:left w:val="single" w:sz="4" w:space="0" w:color="auto"/>
              <w:bottom w:val="single" w:sz="4" w:space="0" w:color="auto"/>
              <w:right w:val="single" w:sz="4" w:space="0" w:color="auto"/>
            </w:tcBorders>
            <w:vAlign w:val="center"/>
          </w:tcPr>
          <w:p w14:paraId="3B7E04C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102.3</w:t>
            </w:r>
          </w:p>
        </w:tc>
        <w:tc>
          <w:tcPr>
            <w:tcW w:w="437" w:type="pct"/>
            <w:tcBorders>
              <w:top w:val="single" w:sz="4" w:space="0" w:color="auto"/>
              <w:left w:val="single" w:sz="4" w:space="0" w:color="auto"/>
              <w:bottom w:val="single" w:sz="4" w:space="0" w:color="auto"/>
              <w:right w:val="single" w:sz="4" w:space="0" w:color="auto"/>
            </w:tcBorders>
            <w:vAlign w:val="center"/>
          </w:tcPr>
          <w:p w14:paraId="6C89AE0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100.3</w:t>
            </w:r>
          </w:p>
        </w:tc>
        <w:tc>
          <w:tcPr>
            <w:tcW w:w="485" w:type="pct"/>
            <w:tcBorders>
              <w:top w:val="single" w:sz="4" w:space="0" w:color="auto"/>
              <w:left w:val="single" w:sz="4" w:space="0" w:color="auto"/>
              <w:bottom w:val="single" w:sz="4" w:space="0" w:color="auto"/>
              <w:right w:val="single" w:sz="4" w:space="0" w:color="auto"/>
            </w:tcBorders>
            <w:vAlign w:val="center"/>
          </w:tcPr>
          <w:p w14:paraId="78E5AEFC"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101.8</w:t>
            </w:r>
          </w:p>
        </w:tc>
        <w:tc>
          <w:tcPr>
            <w:tcW w:w="392" w:type="pct"/>
            <w:tcBorders>
              <w:top w:val="single" w:sz="4" w:space="0" w:color="auto"/>
              <w:left w:val="single" w:sz="4" w:space="0" w:color="auto"/>
              <w:bottom w:val="single" w:sz="4" w:space="0" w:color="auto"/>
              <w:right w:val="single" w:sz="4" w:space="0" w:color="auto"/>
            </w:tcBorders>
            <w:vAlign w:val="center"/>
          </w:tcPr>
          <w:p w14:paraId="1E76EA2B"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101.1</w:t>
            </w:r>
          </w:p>
        </w:tc>
        <w:tc>
          <w:tcPr>
            <w:tcW w:w="389" w:type="pct"/>
            <w:tcBorders>
              <w:top w:val="single" w:sz="4" w:space="0" w:color="auto"/>
              <w:left w:val="single" w:sz="4" w:space="0" w:color="auto"/>
              <w:bottom w:val="single" w:sz="4" w:space="0" w:color="auto"/>
              <w:right w:val="single" w:sz="4" w:space="0" w:color="auto"/>
            </w:tcBorders>
            <w:vAlign w:val="center"/>
          </w:tcPr>
          <w:p w14:paraId="53022765"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101.1</w:t>
            </w:r>
          </w:p>
        </w:tc>
        <w:tc>
          <w:tcPr>
            <w:tcW w:w="391" w:type="pct"/>
            <w:tcBorders>
              <w:top w:val="single" w:sz="4" w:space="0" w:color="auto"/>
              <w:left w:val="single" w:sz="4" w:space="0" w:color="auto"/>
              <w:bottom w:val="single" w:sz="4" w:space="0" w:color="auto"/>
              <w:right w:val="single" w:sz="4" w:space="0" w:color="auto"/>
            </w:tcBorders>
            <w:vAlign w:val="center"/>
          </w:tcPr>
          <w:p w14:paraId="14AE3B3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95.1</w:t>
            </w:r>
          </w:p>
        </w:tc>
        <w:tc>
          <w:tcPr>
            <w:tcW w:w="389" w:type="pct"/>
            <w:tcBorders>
              <w:top w:val="single" w:sz="4" w:space="0" w:color="auto"/>
              <w:left w:val="single" w:sz="4" w:space="0" w:color="auto"/>
              <w:bottom w:val="single" w:sz="4" w:space="0" w:color="auto"/>
              <w:right w:val="single" w:sz="4" w:space="0" w:color="auto"/>
            </w:tcBorders>
            <w:vAlign w:val="center"/>
          </w:tcPr>
          <w:p w14:paraId="7B235C10"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97.1</w:t>
            </w:r>
          </w:p>
        </w:tc>
      </w:tr>
      <w:tr w:rsidR="00E51CDD" w:rsidRPr="00E51CDD" w14:paraId="2F1D2A4E"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24F4A696"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58A78EC6"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b/>
                <w:bCs/>
                <w:sz w:val="20"/>
                <w:szCs w:val="20"/>
                <w:lang w:eastAsia="en-US"/>
              </w:rPr>
              <w:t>Plant weight [% of control]</w:t>
            </w:r>
          </w:p>
        </w:tc>
      </w:tr>
      <w:tr w:rsidR="00E51CDD" w:rsidRPr="00E51CDD" w14:paraId="715D0992"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0CECCD27" w14:textId="77777777" w:rsidR="00E51CDD" w:rsidRPr="00E51CDD" w:rsidRDefault="00E51CDD" w:rsidP="00E51CDD">
            <w:pPr>
              <w:widowControl w:val="0"/>
              <w:spacing w:before="40" w:after="40" w:line="256" w:lineRule="auto"/>
              <w:ind w:left="-175"/>
              <w:jc w:val="center"/>
              <w:rPr>
                <w:sz w:val="20"/>
                <w:szCs w:val="20"/>
                <w:lang w:eastAsia="en-US"/>
              </w:rPr>
            </w:pPr>
            <w:r w:rsidRPr="00E51CDD">
              <w:rPr>
                <w:sz w:val="20"/>
                <w:szCs w:val="20"/>
                <w:lang w:eastAsia="en-US"/>
              </w:rPr>
              <w:t>Control</w:t>
            </w:r>
          </w:p>
        </w:tc>
        <w:tc>
          <w:tcPr>
            <w:tcW w:w="436" w:type="pct"/>
            <w:tcBorders>
              <w:top w:val="single" w:sz="4" w:space="0" w:color="auto"/>
              <w:left w:val="single" w:sz="4" w:space="0" w:color="auto"/>
              <w:bottom w:val="single" w:sz="4" w:space="0" w:color="auto"/>
              <w:right w:val="single" w:sz="4" w:space="0" w:color="auto"/>
            </w:tcBorders>
            <w:vAlign w:val="center"/>
            <w:hideMark/>
          </w:tcPr>
          <w:p w14:paraId="73870A56"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100</w:t>
            </w:r>
          </w:p>
        </w:tc>
        <w:tc>
          <w:tcPr>
            <w:tcW w:w="437" w:type="pct"/>
            <w:tcBorders>
              <w:top w:val="single" w:sz="4" w:space="0" w:color="auto"/>
              <w:left w:val="single" w:sz="4" w:space="0" w:color="auto"/>
              <w:bottom w:val="single" w:sz="4" w:space="0" w:color="auto"/>
              <w:right w:val="single" w:sz="4" w:space="0" w:color="auto"/>
            </w:tcBorders>
            <w:vAlign w:val="center"/>
            <w:hideMark/>
          </w:tcPr>
          <w:p w14:paraId="1EA475C9"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486" w:type="pct"/>
            <w:tcBorders>
              <w:top w:val="single" w:sz="4" w:space="0" w:color="auto"/>
              <w:left w:val="single" w:sz="4" w:space="0" w:color="auto"/>
              <w:bottom w:val="single" w:sz="4" w:space="0" w:color="auto"/>
              <w:right w:val="single" w:sz="4" w:space="0" w:color="auto"/>
            </w:tcBorders>
            <w:vAlign w:val="center"/>
            <w:hideMark/>
          </w:tcPr>
          <w:p w14:paraId="2647734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87" w:type="pct"/>
            <w:tcBorders>
              <w:top w:val="single" w:sz="4" w:space="0" w:color="auto"/>
              <w:left w:val="single" w:sz="4" w:space="0" w:color="auto"/>
              <w:bottom w:val="single" w:sz="4" w:space="0" w:color="auto"/>
              <w:right w:val="single" w:sz="4" w:space="0" w:color="auto"/>
            </w:tcBorders>
            <w:vAlign w:val="center"/>
            <w:hideMark/>
          </w:tcPr>
          <w:p w14:paraId="1E1DC9F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437" w:type="pct"/>
            <w:tcBorders>
              <w:top w:val="single" w:sz="4" w:space="0" w:color="auto"/>
              <w:left w:val="single" w:sz="4" w:space="0" w:color="auto"/>
              <w:bottom w:val="single" w:sz="4" w:space="0" w:color="auto"/>
              <w:right w:val="single" w:sz="4" w:space="0" w:color="auto"/>
            </w:tcBorders>
            <w:vAlign w:val="center"/>
          </w:tcPr>
          <w:p w14:paraId="77DA403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485" w:type="pct"/>
            <w:tcBorders>
              <w:top w:val="single" w:sz="4" w:space="0" w:color="auto"/>
              <w:left w:val="single" w:sz="4" w:space="0" w:color="auto"/>
              <w:bottom w:val="single" w:sz="4" w:space="0" w:color="auto"/>
              <w:right w:val="single" w:sz="4" w:space="0" w:color="auto"/>
            </w:tcBorders>
            <w:vAlign w:val="center"/>
          </w:tcPr>
          <w:p w14:paraId="0ADEEB0F"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92" w:type="pct"/>
            <w:tcBorders>
              <w:top w:val="single" w:sz="4" w:space="0" w:color="auto"/>
              <w:left w:val="single" w:sz="4" w:space="0" w:color="auto"/>
              <w:bottom w:val="single" w:sz="4" w:space="0" w:color="auto"/>
              <w:right w:val="single" w:sz="4" w:space="0" w:color="auto"/>
            </w:tcBorders>
            <w:vAlign w:val="center"/>
            <w:hideMark/>
          </w:tcPr>
          <w:p w14:paraId="24EC46D6"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89" w:type="pct"/>
            <w:tcBorders>
              <w:top w:val="single" w:sz="4" w:space="0" w:color="auto"/>
              <w:left w:val="single" w:sz="4" w:space="0" w:color="auto"/>
              <w:bottom w:val="single" w:sz="4" w:space="0" w:color="auto"/>
              <w:right w:val="single" w:sz="4" w:space="0" w:color="auto"/>
            </w:tcBorders>
            <w:vAlign w:val="center"/>
            <w:hideMark/>
          </w:tcPr>
          <w:p w14:paraId="176655E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91" w:type="pct"/>
            <w:tcBorders>
              <w:top w:val="single" w:sz="4" w:space="0" w:color="auto"/>
              <w:left w:val="single" w:sz="4" w:space="0" w:color="auto"/>
              <w:bottom w:val="single" w:sz="4" w:space="0" w:color="auto"/>
              <w:right w:val="single" w:sz="4" w:space="0" w:color="auto"/>
            </w:tcBorders>
            <w:vAlign w:val="center"/>
            <w:hideMark/>
          </w:tcPr>
          <w:p w14:paraId="4BFAA123"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c>
          <w:tcPr>
            <w:tcW w:w="389" w:type="pct"/>
            <w:tcBorders>
              <w:top w:val="single" w:sz="4" w:space="0" w:color="auto"/>
              <w:left w:val="single" w:sz="4" w:space="0" w:color="auto"/>
              <w:bottom w:val="single" w:sz="4" w:space="0" w:color="auto"/>
              <w:right w:val="single" w:sz="4" w:space="0" w:color="auto"/>
            </w:tcBorders>
            <w:vAlign w:val="center"/>
            <w:hideMark/>
          </w:tcPr>
          <w:p w14:paraId="69049F38"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w:t>
            </w:r>
          </w:p>
        </w:tc>
      </w:tr>
      <w:tr w:rsidR="00E51CDD" w:rsidRPr="00E51CDD" w14:paraId="31B2EAED"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19452B44" w14:textId="77777777" w:rsidR="00E51CDD" w:rsidRPr="00E51CDD" w:rsidRDefault="00E51CDD" w:rsidP="00E51CDD">
            <w:pPr>
              <w:widowControl w:val="0"/>
              <w:spacing w:before="40" w:after="40" w:line="256" w:lineRule="auto"/>
              <w:ind w:left="-175"/>
              <w:jc w:val="center"/>
              <w:rPr>
                <w:sz w:val="20"/>
                <w:szCs w:val="20"/>
                <w:lang w:eastAsia="en-US"/>
              </w:rPr>
            </w:pPr>
            <w:r w:rsidRPr="00E51CDD">
              <w:rPr>
                <w:sz w:val="20"/>
                <w:szCs w:val="20"/>
                <w:lang w:eastAsia="en-US"/>
              </w:rPr>
              <w:t>2.0</w:t>
            </w:r>
          </w:p>
        </w:tc>
        <w:tc>
          <w:tcPr>
            <w:tcW w:w="436" w:type="pct"/>
            <w:tcBorders>
              <w:top w:val="single" w:sz="4" w:space="0" w:color="auto"/>
              <w:left w:val="single" w:sz="4" w:space="0" w:color="auto"/>
              <w:bottom w:val="single" w:sz="4" w:space="0" w:color="auto"/>
              <w:right w:val="single" w:sz="4" w:space="0" w:color="auto"/>
            </w:tcBorders>
            <w:vAlign w:val="center"/>
          </w:tcPr>
          <w:p w14:paraId="0D9981AF"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94.0*</w:t>
            </w:r>
          </w:p>
        </w:tc>
        <w:tc>
          <w:tcPr>
            <w:tcW w:w="437" w:type="pct"/>
            <w:tcBorders>
              <w:top w:val="single" w:sz="4" w:space="0" w:color="auto"/>
              <w:left w:val="single" w:sz="4" w:space="0" w:color="auto"/>
              <w:bottom w:val="single" w:sz="4" w:space="0" w:color="auto"/>
              <w:right w:val="single" w:sz="4" w:space="0" w:color="auto"/>
            </w:tcBorders>
            <w:vAlign w:val="center"/>
          </w:tcPr>
          <w:p w14:paraId="5510CFF8"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103.4</w:t>
            </w:r>
          </w:p>
        </w:tc>
        <w:tc>
          <w:tcPr>
            <w:tcW w:w="486" w:type="pct"/>
            <w:tcBorders>
              <w:top w:val="single" w:sz="4" w:space="0" w:color="auto"/>
              <w:left w:val="single" w:sz="4" w:space="0" w:color="auto"/>
              <w:bottom w:val="single" w:sz="4" w:space="0" w:color="auto"/>
              <w:right w:val="single" w:sz="4" w:space="0" w:color="auto"/>
            </w:tcBorders>
            <w:vAlign w:val="center"/>
          </w:tcPr>
          <w:p w14:paraId="01073C2F"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97.3</w:t>
            </w:r>
          </w:p>
        </w:tc>
        <w:tc>
          <w:tcPr>
            <w:tcW w:w="387" w:type="pct"/>
            <w:tcBorders>
              <w:top w:val="single" w:sz="4" w:space="0" w:color="auto"/>
              <w:left w:val="single" w:sz="4" w:space="0" w:color="auto"/>
              <w:bottom w:val="single" w:sz="4" w:space="0" w:color="auto"/>
              <w:right w:val="single" w:sz="4" w:space="0" w:color="auto"/>
            </w:tcBorders>
            <w:vAlign w:val="center"/>
          </w:tcPr>
          <w:p w14:paraId="0D9C7772"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101.5</w:t>
            </w:r>
          </w:p>
        </w:tc>
        <w:tc>
          <w:tcPr>
            <w:tcW w:w="437" w:type="pct"/>
            <w:tcBorders>
              <w:top w:val="single" w:sz="4" w:space="0" w:color="auto"/>
              <w:left w:val="single" w:sz="4" w:space="0" w:color="auto"/>
              <w:bottom w:val="single" w:sz="4" w:space="0" w:color="auto"/>
              <w:right w:val="single" w:sz="4" w:space="0" w:color="auto"/>
            </w:tcBorders>
            <w:vAlign w:val="center"/>
          </w:tcPr>
          <w:p w14:paraId="469F15E0"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95.4*</w:t>
            </w:r>
          </w:p>
        </w:tc>
        <w:tc>
          <w:tcPr>
            <w:tcW w:w="485" w:type="pct"/>
            <w:tcBorders>
              <w:top w:val="single" w:sz="4" w:space="0" w:color="auto"/>
              <w:left w:val="single" w:sz="4" w:space="0" w:color="auto"/>
              <w:bottom w:val="single" w:sz="4" w:space="0" w:color="auto"/>
              <w:right w:val="single" w:sz="4" w:space="0" w:color="auto"/>
            </w:tcBorders>
            <w:vAlign w:val="center"/>
          </w:tcPr>
          <w:p w14:paraId="6016FFF6"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100.8</w:t>
            </w:r>
          </w:p>
        </w:tc>
        <w:tc>
          <w:tcPr>
            <w:tcW w:w="392" w:type="pct"/>
            <w:tcBorders>
              <w:top w:val="single" w:sz="4" w:space="0" w:color="auto"/>
              <w:left w:val="single" w:sz="4" w:space="0" w:color="auto"/>
              <w:bottom w:val="single" w:sz="4" w:space="0" w:color="auto"/>
              <w:right w:val="single" w:sz="4" w:space="0" w:color="auto"/>
            </w:tcBorders>
            <w:vAlign w:val="center"/>
          </w:tcPr>
          <w:p w14:paraId="6D6670C2"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106.5</w:t>
            </w:r>
          </w:p>
        </w:tc>
        <w:tc>
          <w:tcPr>
            <w:tcW w:w="389" w:type="pct"/>
            <w:tcBorders>
              <w:top w:val="single" w:sz="4" w:space="0" w:color="auto"/>
              <w:left w:val="single" w:sz="4" w:space="0" w:color="auto"/>
              <w:bottom w:val="single" w:sz="4" w:space="0" w:color="auto"/>
              <w:right w:val="single" w:sz="4" w:space="0" w:color="auto"/>
            </w:tcBorders>
            <w:vAlign w:val="center"/>
          </w:tcPr>
          <w:p w14:paraId="0E00AE01"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97.9</w:t>
            </w:r>
          </w:p>
        </w:tc>
        <w:tc>
          <w:tcPr>
            <w:tcW w:w="391" w:type="pct"/>
            <w:tcBorders>
              <w:top w:val="single" w:sz="4" w:space="0" w:color="auto"/>
              <w:left w:val="single" w:sz="4" w:space="0" w:color="auto"/>
              <w:bottom w:val="single" w:sz="4" w:space="0" w:color="auto"/>
              <w:right w:val="single" w:sz="4" w:space="0" w:color="auto"/>
            </w:tcBorders>
            <w:vAlign w:val="center"/>
          </w:tcPr>
          <w:p w14:paraId="4B2002A7"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93.4</w:t>
            </w:r>
          </w:p>
        </w:tc>
        <w:tc>
          <w:tcPr>
            <w:tcW w:w="389" w:type="pct"/>
            <w:tcBorders>
              <w:top w:val="single" w:sz="4" w:space="0" w:color="auto"/>
              <w:left w:val="single" w:sz="4" w:space="0" w:color="auto"/>
              <w:bottom w:val="single" w:sz="4" w:space="0" w:color="auto"/>
              <w:right w:val="single" w:sz="4" w:space="0" w:color="auto"/>
            </w:tcBorders>
            <w:vAlign w:val="center"/>
          </w:tcPr>
          <w:p w14:paraId="2612938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94.2</w:t>
            </w:r>
          </w:p>
        </w:tc>
      </w:tr>
    </w:tbl>
    <w:p w14:paraId="37EB5F1D" w14:textId="77777777" w:rsidR="00E51CDD" w:rsidRPr="00E51CDD" w:rsidRDefault="00E51CDD" w:rsidP="00E51CDD">
      <w:pPr>
        <w:widowControl w:val="0"/>
        <w:tabs>
          <w:tab w:val="left" w:pos="720"/>
        </w:tabs>
        <w:jc w:val="both"/>
        <w:rPr>
          <w:bCs/>
          <w:sz w:val="18"/>
          <w:szCs w:val="18"/>
          <w:lang w:eastAsia="en-US"/>
        </w:rPr>
      </w:pPr>
      <w:r w:rsidRPr="00E51CDD">
        <w:rPr>
          <w:bCs/>
          <w:sz w:val="18"/>
          <w:szCs w:val="18"/>
          <w:lang w:val="en-GB" w:eastAsia="en-US"/>
        </w:rPr>
        <w:t xml:space="preserve">Phytotoxicity symptoms: </w:t>
      </w:r>
      <w:r w:rsidRPr="00E51CDD">
        <w:rPr>
          <w:sz w:val="18"/>
          <w:szCs w:val="18"/>
          <w:lang w:val="en-GB" w:eastAsia="en-US"/>
        </w:rPr>
        <w:t>Chlorosis (C), Stunting (S), Deformation (D)</w:t>
      </w:r>
    </w:p>
    <w:p w14:paraId="5BACAD48" w14:textId="77777777" w:rsidR="00E51CDD" w:rsidRPr="00E51CDD" w:rsidRDefault="00E51CDD" w:rsidP="00E51CDD">
      <w:pPr>
        <w:widowControl w:val="0"/>
        <w:tabs>
          <w:tab w:val="left" w:pos="720"/>
        </w:tabs>
        <w:jc w:val="both"/>
        <w:rPr>
          <w:sz w:val="18"/>
          <w:szCs w:val="18"/>
          <w:lang w:eastAsia="en-US"/>
        </w:rPr>
      </w:pPr>
      <w:r w:rsidRPr="00E51CDD">
        <w:rPr>
          <w:sz w:val="18"/>
          <w:szCs w:val="18"/>
          <w:lang w:eastAsia="en-US"/>
        </w:rPr>
        <w:t>* S</w:t>
      </w:r>
      <w:r w:rsidRPr="00E51CDD">
        <w:rPr>
          <w:rFonts w:eastAsia="Arial"/>
          <w:sz w:val="18"/>
          <w:szCs w:val="18"/>
          <w:lang w:eastAsia="en-US"/>
        </w:rPr>
        <w:t>tatistically</w:t>
      </w:r>
      <w:r w:rsidRPr="00E51CDD">
        <w:rPr>
          <w:rFonts w:eastAsia="Arial"/>
          <w:lang w:eastAsia="en-US"/>
        </w:rPr>
        <w:t xml:space="preserve"> </w:t>
      </w:r>
      <w:r w:rsidRPr="00E51CDD">
        <w:rPr>
          <w:sz w:val="18"/>
          <w:szCs w:val="18"/>
          <w:lang w:eastAsia="en-US"/>
        </w:rPr>
        <w:t xml:space="preserve">significantly different to the </w:t>
      </w:r>
      <w:bookmarkStart w:id="1318" w:name="_Hlk80866226"/>
      <w:r w:rsidRPr="00E51CDD">
        <w:rPr>
          <w:sz w:val="18"/>
          <w:szCs w:val="18"/>
          <w:lang w:eastAsia="en-US"/>
        </w:rPr>
        <w:t>control (Student t-test, one-sided smaller α=0.05)</w:t>
      </w:r>
      <w:bookmarkEnd w:id="1318"/>
      <w:r w:rsidRPr="00E51CDD">
        <w:rPr>
          <w:sz w:val="18"/>
          <w:szCs w:val="18"/>
          <w:lang w:eastAsia="en-US"/>
        </w:rPr>
        <w:t>.</w:t>
      </w:r>
    </w:p>
    <w:p w14:paraId="0A808385" w14:textId="77777777" w:rsidR="00E51CDD" w:rsidRPr="00E51CDD" w:rsidRDefault="00E51CDD" w:rsidP="00E51CDD">
      <w:pPr>
        <w:widowControl w:val="0"/>
        <w:tabs>
          <w:tab w:val="left" w:pos="720"/>
        </w:tabs>
        <w:jc w:val="both"/>
        <w:rPr>
          <w:lang w:eastAsia="en-US"/>
        </w:rPr>
      </w:pPr>
      <w:r w:rsidRPr="00E51CDD">
        <w:rPr>
          <w:lang w:eastAsia="en-US"/>
        </w:rPr>
        <w:br w:type="page"/>
      </w:r>
    </w:p>
    <w:p w14:paraId="7F42290E" w14:textId="1015C757" w:rsidR="00E51CDD" w:rsidRPr="00E51CDD" w:rsidRDefault="00E51CDD" w:rsidP="00E51CDD">
      <w:pPr>
        <w:rPr>
          <w:bCs/>
        </w:rPr>
      </w:pPr>
      <w:bookmarkStart w:id="1319" w:name="_Ref88133777"/>
      <w:bookmarkStart w:id="1320" w:name="_Hlk79159314"/>
      <w:r w:rsidRPr="00E51CDD">
        <w:rPr>
          <w:b/>
          <w:bCs/>
        </w:rPr>
        <w:lastRenderedPageBreak/>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40</w:t>
      </w:r>
      <w:r w:rsidRPr="00E51CDD">
        <w:rPr>
          <w:b/>
          <w:bCs/>
        </w:rPr>
        <w:fldChar w:fldCharType="end"/>
      </w:r>
      <w:bookmarkEnd w:id="1319"/>
      <w:r w:rsidRPr="00E51CDD">
        <w:rPr>
          <w:b/>
          <w:bCs/>
        </w:rPr>
        <w:t>:</w:t>
      </w:r>
      <w:r w:rsidRPr="00E51CDD">
        <w:rPr>
          <w:b/>
          <w:bCs/>
        </w:rPr>
        <w:tab/>
        <w:t>NOER and ER</w:t>
      </w:r>
      <w:r w:rsidRPr="00E51CDD">
        <w:rPr>
          <w:b/>
          <w:bCs/>
          <w:vertAlign w:val="subscript"/>
        </w:rPr>
        <w:t>50</w:t>
      </w:r>
      <w:r w:rsidRPr="00E51CDD">
        <w:rPr>
          <w:b/>
          <w:bCs/>
        </w:rPr>
        <w:t xml:space="preserve"> of BAS 736 00 F for non-target plants 21 DAT</w:t>
      </w:r>
    </w:p>
    <w:tbl>
      <w:tblPr>
        <w:tblW w:w="495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808"/>
        <w:gridCol w:w="810"/>
        <w:gridCol w:w="900"/>
        <w:gridCol w:w="717"/>
        <w:gridCol w:w="810"/>
        <w:gridCol w:w="899"/>
        <w:gridCol w:w="726"/>
        <w:gridCol w:w="721"/>
        <w:gridCol w:w="724"/>
        <w:gridCol w:w="721"/>
      </w:tblGrid>
      <w:tr w:rsidR="00E51CDD" w:rsidRPr="00E51CDD" w14:paraId="54096609" w14:textId="77777777" w:rsidTr="009938D9">
        <w:trPr>
          <w:cantSplit/>
          <w:tblHeader/>
        </w:trPr>
        <w:tc>
          <w:tcPr>
            <w:tcW w:w="771" w:type="pct"/>
            <w:tcBorders>
              <w:top w:val="single" w:sz="4" w:space="0" w:color="auto"/>
              <w:left w:val="single" w:sz="4" w:space="0" w:color="auto"/>
              <w:bottom w:val="single" w:sz="4" w:space="0" w:color="auto"/>
              <w:right w:val="single" w:sz="4" w:space="0" w:color="auto"/>
            </w:tcBorders>
            <w:vAlign w:val="center"/>
            <w:hideMark/>
          </w:tcPr>
          <w:p w14:paraId="282DF094" w14:textId="77777777" w:rsidR="00E51CDD" w:rsidRPr="00E51CDD" w:rsidRDefault="00E51CDD" w:rsidP="00E51CDD">
            <w:pPr>
              <w:widowControl w:val="0"/>
              <w:spacing w:before="40" w:after="40" w:line="256" w:lineRule="auto"/>
              <w:ind w:left="-77" w:right="-102"/>
              <w:jc w:val="center"/>
              <w:rPr>
                <w:sz w:val="20"/>
                <w:szCs w:val="20"/>
                <w:lang w:eastAsia="en-US"/>
              </w:rPr>
            </w:pPr>
            <w:r w:rsidRPr="00E51CDD">
              <w:rPr>
                <w:b/>
                <w:bCs/>
                <w:sz w:val="20"/>
                <w:szCs w:val="20"/>
                <w:lang w:eastAsia="en-US"/>
              </w:rPr>
              <w:t>Species</w:t>
            </w:r>
          </w:p>
        </w:tc>
        <w:tc>
          <w:tcPr>
            <w:tcW w:w="436" w:type="pct"/>
            <w:tcBorders>
              <w:top w:val="single" w:sz="4" w:space="0" w:color="auto"/>
              <w:left w:val="single" w:sz="4" w:space="0" w:color="auto"/>
              <w:bottom w:val="single" w:sz="4" w:space="0" w:color="auto"/>
              <w:right w:val="single" w:sz="4" w:space="0" w:color="auto"/>
            </w:tcBorders>
            <w:vAlign w:val="center"/>
            <w:hideMark/>
          </w:tcPr>
          <w:p w14:paraId="0573263A" w14:textId="77777777" w:rsidR="00E51CDD" w:rsidRPr="00E51CDD" w:rsidRDefault="00E51CDD" w:rsidP="00E51CDD">
            <w:pPr>
              <w:widowControl w:val="0"/>
              <w:spacing w:before="40" w:after="40" w:line="256" w:lineRule="auto"/>
              <w:ind w:left="-128"/>
              <w:jc w:val="center"/>
              <w:rPr>
                <w:b/>
                <w:sz w:val="20"/>
                <w:szCs w:val="20"/>
              </w:rPr>
            </w:pPr>
            <w:r w:rsidRPr="00E51CDD">
              <w:rPr>
                <w:b/>
                <w:sz w:val="20"/>
                <w:szCs w:val="20"/>
              </w:rPr>
              <w:t>Carrot</w:t>
            </w:r>
          </w:p>
        </w:tc>
        <w:tc>
          <w:tcPr>
            <w:tcW w:w="437" w:type="pct"/>
            <w:tcBorders>
              <w:top w:val="single" w:sz="4" w:space="0" w:color="auto"/>
              <w:left w:val="single" w:sz="4" w:space="0" w:color="auto"/>
              <w:bottom w:val="single" w:sz="4" w:space="0" w:color="auto"/>
              <w:right w:val="single" w:sz="4" w:space="0" w:color="auto"/>
            </w:tcBorders>
            <w:vAlign w:val="center"/>
            <w:hideMark/>
          </w:tcPr>
          <w:p w14:paraId="2D8E24FC" w14:textId="77777777" w:rsidR="00E51CDD" w:rsidRPr="00E51CDD" w:rsidRDefault="00E51CDD" w:rsidP="00E51CDD">
            <w:pPr>
              <w:widowControl w:val="0"/>
              <w:spacing w:before="40" w:after="40" w:line="256" w:lineRule="auto"/>
              <w:ind w:left="-68" w:right="-87"/>
              <w:jc w:val="center"/>
              <w:rPr>
                <w:b/>
                <w:sz w:val="20"/>
                <w:szCs w:val="20"/>
              </w:rPr>
            </w:pPr>
            <w:r w:rsidRPr="00E51CDD">
              <w:rPr>
                <w:b/>
                <w:sz w:val="20"/>
                <w:szCs w:val="20"/>
              </w:rPr>
              <w:t>Lettuce</w:t>
            </w:r>
          </w:p>
        </w:tc>
        <w:tc>
          <w:tcPr>
            <w:tcW w:w="486" w:type="pct"/>
            <w:tcBorders>
              <w:top w:val="single" w:sz="4" w:space="0" w:color="auto"/>
              <w:left w:val="single" w:sz="4" w:space="0" w:color="auto"/>
              <w:bottom w:val="single" w:sz="4" w:space="0" w:color="auto"/>
              <w:right w:val="single" w:sz="4" w:space="0" w:color="auto"/>
            </w:tcBorders>
            <w:vAlign w:val="center"/>
            <w:hideMark/>
          </w:tcPr>
          <w:p w14:paraId="412DADF0" w14:textId="77777777" w:rsidR="00E51CDD" w:rsidRPr="00E51CDD" w:rsidRDefault="00E51CDD" w:rsidP="00E51CDD">
            <w:pPr>
              <w:widowControl w:val="0"/>
              <w:spacing w:before="40" w:after="40" w:line="256" w:lineRule="auto"/>
              <w:ind w:left="-136" w:right="-120"/>
              <w:jc w:val="center"/>
              <w:rPr>
                <w:b/>
                <w:sz w:val="20"/>
                <w:szCs w:val="20"/>
              </w:rPr>
            </w:pPr>
            <w:r w:rsidRPr="00E51CDD">
              <w:rPr>
                <w:b/>
                <w:sz w:val="20"/>
                <w:szCs w:val="20"/>
              </w:rPr>
              <w:t>Cabbage</w:t>
            </w:r>
          </w:p>
        </w:tc>
        <w:tc>
          <w:tcPr>
            <w:tcW w:w="387" w:type="pct"/>
            <w:tcBorders>
              <w:top w:val="single" w:sz="4" w:space="0" w:color="auto"/>
              <w:left w:val="single" w:sz="4" w:space="0" w:color="auto"/>
              <w:bottom w:val="single" w:sz="4" w:space="0" w:color="auto"/>
              <w:right w:val="single" w:sz="4" w:space="0" w:color="auto"/>
            </w:tcBorders>
            <w:vAlign w:val="center"/>
            <w:hideMark/>
          </w:tcPr>
          <w:p w14:paraId="1076BA97" w14:textId="77777777" w:rsidR="00E51CDD" w:rsidRPr="00E51CDD" w:rsidRDefault="00E51CDD" w:rsidP="00E51CDD">
            <w:pPr>
              <w:widowControl w:val="0"/>
              <w:spacing w:before="40" w:after="40" w:line="256" w:lineRule="auto"/>
              <w:ind w:left="-115" w:right="-102"/>
              <w:jc w:val="center"/>
              <w:rPr>
                <w:b/>
                <w:sz w:val="20"/>
                <w:szCs w:val="20"/>
              </w:rPr>
            </w:pPr>
            <w:r w:rsidRPr="00E51CDD">
              <w:rPr>
                <w:b/>
                <w:sz w:val="20"/>
                <w:szCs w:val="20"/>
              </w:rPr>
              <w:t>Oilseed</w:t>
            </w:r>
          </w:p>
          <w:p w14:paraId="35E0E3A2" w14:textId="77777777" w:rsidR="00E51CDD" w:rsidRPr="00E51CDD" w:rsidRDefault="00E51CDD" w:rsidP="00E51CDD">
            <w:pPr>
              <w:widowControl w:val="0"/>
              <w:spacing w:before="40" w:after="40" w:line="256" w:lineRule="auto"/>
              <w:ind w:left="-115" w:right="-102"/>
              <w:jc w:val="center"/>
              <w:rPr>
                <w:b/>
                <w:sz w:val="20"/>
                <w:szCs w:val="20"/>
              </w:rPr>
            </w:pPr>
            <w:r w:rsidRPr="00E51CDD">
              <w:rPr>
                <w:b/>
                <w:sz w:val="20"/>
                <w:szCs w:val="20"/>
              </w:rPr>
              <w:t>rape</w:t>
            </w:r>
          </w:p>
        </w:tc>
        <w:tc>
          <w:tcPr>
            <w:tcW w:w="437" w:type="pct"/>
            <w:tcBorders>
              <w:top w:val="single" w:sz="4" w:space="0" w:color="auto"/>
              <w:left w:val="single" w:sz="4" w:space="0" w:color="auto"/>
              <w:bottom w:val="single" w:sz="4" w:space="0" w:color="auto"/>
              <w:right w:val="single" w:sz="4" w:space="0" w:color="auto"/>
            </w:tcBorders>
            <w:vAlign w:val="center"/>
          </w:tcPr>
          <w:p w14:paraId="0F89A136" w14:textId="77777777" w:rsidR="00E51CDD" w:rsidRPr="00E51CDD" w:rsidRDefault="00E51CDD" w:rsidP="00E51CDD">
            <w:pPr>
              <w:widowControl w:val="0"/>
              <w:spacing w:before="40" w:after="40" w:line="256" w:lineRule="auto"/>
              <w:ind w:left="-117" w:right="-112" w:firstLine="1"/>
              <w:jc w:val="center"/>
              <w:rPr>
                <w:b/>
                <w:sz w:val="20"/>
                <w:szCs w:val="20"/>
              </w:rPr>
            </w:pPr>
            <w:r w:rsidRPr="00E51CDD">
              <w:rPr>
                <w:b/>
                <w:sz w:val="20"/>
                <w:szCs w:val="20"/>
              </w:rPr>
              <w:t>Tomato</w:t>
            </w:r>
          </w:p>
        </w:tc>
        <w:tc>
          <w:tcPr>
            <w:tcW w:w="485" w:type="pct"/>
            <w:tcBorders>
              <w:top w:val="single" w:sz="4" w:space="0" w:color="auto"/>
              <w:left w:val="single" w:sz="4" w:space="0" w:color="auto"/>
              <w:bottom w:val="single" w:sz="4" w:space="0" w:color="auto"/>
              <w:right w:val="single" w:sz="4" w:space="0" w:color="auto"/>
            </w:tcBorders>
            <w:vAlign w:val="center"/>
          </w:tcPr>
          <w:p w14:paraId="2DFA428D" w14:textId="77777777" w:rsidR="00E51CDD" w:rsidRPr="00E51CDD" w:rsidRDefault="00E51CDD" w:rsidP="00E51CDD">
            <w:pPr>
              <w:widowControl w:val="0"/>
              <w:spacing w:before="40" w:after="40" w:line="256" w:lineRule="auto"/>
              <w:ind w:left="-116" w:right="-110"/>
              <w:jc w:val="center"/>
              <w:rPr>
                <w:b/>
                <w:sz w:val="20"/>
                <w:szCs w:val="20"/>
              </w:rPr>
            </w:pPr>
            <w:r w:rsidRPr="00E51CDD">
              <w:rPr>
                <w:b/>
                <w:sz w:val="20"/>
                <w:szCs w:val="20"/>
              </w:rPr>
              <w:t>Soybean</w:t>
            </w:r>
          </w:p>
        </w:tc>
        <w:tc>
          <w:tcPr>
            <w:tcW w:w="392" w:type="pct"/>
            <w:tcBorders>
              <w:top w:val="single" w:sz="4" w:space="0" w:color="auto"/>
              <w:left w:val="single" w:sz="4" w:space="0" w:color="auto"/>
              <w:bottom w:val="single" w:sz="4" w:space="0" w:color="auto"/>
              <w:right w:val="single" w:sz="4" w:space="0" w:color="auto"/>
            </w:tcBorders>
            <w:vAlign w:val="center"/>
            <w:hideMark/>
          </w:tcPr>
          <w:p w14:paraId="74D7DBF5" w14:textId="77777777" w:rsidR="00E51CDD" w:rsidRPr="00E51CDD" w:rsidRDefault="00E51CDD" w:rsidP="00E51CDD">
            <w:pPr>
              <w:widowControl w:val="0"/>
              <w:spacing w:before="40" w:after="40" w:line="256" w:lineRule="auto"/>
              <w:ind w:left="-112" w:right="-101"/>
              <w:jc w:val="center"/>
              <w:rPr>
                <w:b/>
                <w:sz w:val="20"/>
                <w:szCs w:val="20"/>
              </w:rPr>
            </w:pPr>
            <w:r w:rsidRPr="00E51CDD">
              <w:rPr>
                <w:b/>
                <w:sz w:val="20"/>
                <w:szCs w:val="20"/>
              </w:rPr>
              <w:t>Onion</w:t>
            </w:r>
          </w:p>
        </w:tc>
        <w:tc>
          <w:tcPr>
            <w:tcW w:w="389" w:type="pct"/>
            <w:tcBorders>
              <w:top w:val="single" w:sz="4" w:space="0" w:color="auto"/>
              <w:left w:val="single" w:sz="4" w:space="0" w:color="auto"/>
              <w:bottom w:val="single" w:sz="4" w:space="0" w:color="auto"/>
              <w:right w:val="single" w:sz="4" w:space="0" w:color="auto"/>
            </w:tcBorders>
            <w:vAlign w:val="center"/>
            <w:hideMark/>
          </w:tcPr>
          <w:p w14:paraId="181E43D0" w14:textId="77777777" w:rsidR="00E51CDD" w:rsidRPr="00E51CDD" w:rsidRDefault="00E51CDD" w:rsidP="00E51CDD">
            <w:pPr>
              <w:widowControl w:val="0"/>
              <w:spacing w:before="40" w:after="40" w:line="256" w:lineRule="auto"/>
              <w:ind w:left="-56"/>
              <w:jc w:val="center"/>
              <w:rPr>
                <w:b/>
                <w:sz w:val="20"/>
                <w:szCs w:val="20"/>
              </w:rPr>
            </w:pPr>
            <w:r w:rsidRPr="00E51CDD">
              <w:rPr>
                <w:b/>
                <w:sz w:val="20"/>
                <w:szCs w:val="20"/>
              </w:rPr>
              <w:t>Rye-grass</w:t>
            </w:r>
          </w:p>
        </w:tc>
        <w:tc>
          <w:tcPr>
            <w:tcW w:w="391" w:type="pct"/>
            <w:tcBorders>
              <w:top w:val="single" w:sz="4" w:space="0" w:color="auto"/>
              <w:left w:val="single" w:sz="4" w:space="0" w:color="auto"/>
              <w:bottom w:val="single" w:sz="4" w:space="0" w:color="auto"/>
              <w:right w:val="single" w:sz="4" w:space="0" w:color="auto"/>
            </w:tcBorders>
            <w:vAlign w:val="center"/>
            <w:hideMark/>
          </w:tcPr>
          <w:p w14:paraId="5C1C3523" w14:textId="77777777" w:rsidR="00E51CDD" w:rsidRPr="00E51CDD" w:rsidRDefault="00E51CDD" w:rsidP="00E51CDD">
            <w:pPr>
              <w:widowControl w:val="0"/>
              <w:spacing w:before="40" w:after="40" w:line="256" w:lineRule="auto"/>
              <w:ind w:left="-97" w:right="-104"/>
              <w:jc w:val="center"/>
              <w:rPr>
                <w:b/>
                <w:sz w:val="20"/>
                <w:szCs w:val="20"/>
              </w:rPr>
            </w:pPr>
            <w:r w:rsidRPr="00E51CDD">
              <w:rPr>
                <w:b/>
                <w:sz w:val="20"/>
                <w:szCs w:val="20"/>
              </w:rPr>
              <w:t>Wheat</w:t>
            </w:r>
          </w:p>
        </w:tc>
        <w:tc>
          <w:tcPr>
            <w:tcW w:w="389" w:type="pct"/>
            <w:tcBorders>
              <w:top w:val="single" w:sz="4" w:space="0" w:color="auto"/>
              <w:left w:val="single" w:sz="4" w:space="0" w:color="auto"/>
              <w:bottom w:val="single" w:sz="4" w:space="0" w:color="auto"/>
              <w:right w:val="single" w:sz="4" w:space="0" w:color="auto"/>
            </w:tcBorders>
            <w:vAlign w:val="center"/>
            <w:hideMark/>
          </w:tcPr>
          <w:p w14:paraId="412F70DB" w14:textId="77777777" w:rsidR="00E51CDD" w:rsidRPr="00E51CDD" w:rsidRDefault="00E51CDD" w:rsidP="00E51CDD">
            <w:pPr>
              <w:widowControl w:val="0"/>
              <w:spacing w:before="40" w:after="40" w:line="256" w:lineRule="auto"/>
              <w:ind w:left="-149" w:right="-110"/>
              <w:jc w:val="center"/>
              <w:rPr>
                <w:b/>
                <w:bCs/>
                <w:sz w:val="20"/>
                <w:szCs w:val="20"/>
                <w:lang w:eastAsia="en-US"/>
              </w:rPr>
            </w:pPr>
            <w:r w:rsidRPr="00E51CDD">
              <w:rPr>
                <w:b/>
                <w:bCs/>
                <w:sz w:val="20"/>
                <w:szCs w:val="20"/>
                <w:lang w:eastAsia="en-US"/>
              </w:rPr>
              <w:t>Corn</w:t>
            </w:r>
          </w:p>
        </w:tc>
      </w:tr>
      <w:tr w:rsidR="00E51CDD" w:rsidRPr="00E51CDD" w14:paraId="3B2A3163"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079C575E"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13D05A70" w14:textId="77777777" w:rsidR="00E51CDD" w:rsidRPr="00E51CDD" w:rsidRDefault="00E51CDD" w:rsidP="00E51CDD">
            <w:pPr>
              <w:widowControl w:val="0"/>
              <w:spacing w:before="40" w:after="40" w:line="256" w:lineRule="auto"/>
              <w:ind w:left="-128"/>
              <w:jc w:val="center"/>
              <w:rPr>
                <w:sz w:val="20"/>
                <w:szCs w:val="20"/>
                <w:lang w:eastAsia="en-US"/>
              </w:rPr>
            </w:pPr>
            <w:r w:rsidRPr="00E51CDD">
              <w:rPr>
                <w:b/>
                <w:bCs/>
                <w:sz w:val="20"/>
                <w:szCs w:val="20"/>
                <w:lang w:eastAsia="en-US"/>
              </w:rPr>
              <w:t>Plant survival [L/ha]</w:t>
            </w:r>
          </w:p>
        </w:tc>
      </w:tr>
      <w:tr w:rsidR="00E51CDD" w:rsidRPr="00E51CDD" w14:paraId="1563C1A9"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5CB56D5E"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NOER</w:t>
            </w:r>
          </w:p>
        </w:tc>
        <w:tc>
          <w:tcPr>
            <w:tcW w:w="436" w:type="pct"/>
            <w:tcBorders>
              <w:top w:val="single" w:sz="4" w:space="0" w:color="auto"/>
              <w:left w:val="single" w:sz="4" w:space="0" w:color="auto"/>
              <w:bottom w:val="single" w:sz="4" w:space="0" w:color="auto"/>
              <w:right w:val="single" w:sz="4" w:space="0" w:color="auto"/>
            </w:tcBorders>
            <w:vAlign w:val="center"/>
            <w:hideMark/>
          </w:tcPr>
          <w:p w14:paraId="37319726"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hideMark/>
          </w:tcPr>
          <w:p w14:paraId="04806B25"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6" w:type="pct"/>
            <w:tcBorders>
              <w:top w:val="single" w:sz="4" w:space="0" w:color="auto"/>
              <w:left w:val="single" w:sz="4" w:space="0" w:color="auto"/>
              <w:bottom w:val="single" w:sz="4" w:space="0" w:color="auto"/>
              <w:right w:val="single" w:sz="4" w:space="0" w:color="auto"/>
            </w:tcBorders>
            <w:vAlign w:val="center"/>
            <w:hideMark/>
          </w:tcPr>
          <w:p w14:paraId="4D9B11D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7" w:type="pct"/>
            <w:tcBorders>
              <w:top w:val="single" w:sz="4" w:space="0" w:color="auto"/>
              <w:left w:val="single" w:sz="4" w:space="0" w:color="auto"/>
              <w:bottom w:val="single" w:sz="4" w:space="0" w:color="auto"/>
              <w:right w:val="single" w:sz="4" w:space="0" w:color="auto"/>
            </w:tcBorders>
            <w:vAlign w:val="center"/>
            <w:hideMark/>
          </w:tcPr>
          <w:p w14:paraId="5108C6D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tcPr>
          <w:p w14:paraId="58C1F0F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5" w:type="pct"/>
            <w:tcBorders>
              <w:top w:val="single" w:sz="4" w:space="0" w:color="auto"/>
              <w:left w:val="single" w:sz="4" w:space="0" w:color="auto"/>
              <w:bottom w:val="single" w:sz="4" w:space="0" w:color="auto"/>
              <w:right w:val="single" w:sz="4" w:space="0" w:color="auto"/>
            </w:tcBorders>
            <w:vAlign w:val="center"/>
          </w:tcPr>
          <w:p w14:paraId="2346F88C"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2" w:type="pct"/>
            <w:tcBorders>
              <w:top w:val="single" w:sz="4" w:space="0" w:color="auto"/>
              <w:left w:val="single" w:sz="4" w:space="0" w:color="auto"/>
              <w:bottom w:val="single" w:sz="4" w:space="0" w:color="auto"/>
              <w:right w:val="single" w:sz="4" w:space="0" w:color="auto"/>
            </w:tcBorders>
            <w:vAlign w:val="center"/>
            <w:hideMark/>
          </w:tcPr>
          <w:p w14:paraId="74B9D62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185927A1"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1" w:type="pct"/>
            <w:tcBorders>
              <w:top w:val="single" w:sz="4" w:space="0" w:color="auto"/>
              <w:left w:val="single" w:sz="4" w:space="0" w:color="auto"/>
              <w:bottom w:val="single" w:sz="4" w:space="0" w:color="auto"/>
              <w:right w:val="single" w:sz="4" w:space="0" w:color="auto"/>
            </w:tcBorders>
            <w:vAlign w:val="center"/>
            <w:hideMark/>
          </w:tcPr>
          <w:p w14:paraId="2F520B67"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798C45EE"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r>
      <w:tr w:rsidR="00E51CDD" w:rsidRPr="00E51CDD" w14:paraId="28D3A6A3"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2F093029"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ER</w:t>
            </w:r>
            <w:r w:rsidRPr="00E51CDD">
              <w:rPr>
                <w:b/>
                <w:bCs/>
                <w:sz w:val="20"/>
                <w:szCs w:val="20"/>
                <w:vertAlign w:val="subscript"/>
                <w:lang w:eastAsia="en-US"/>
              </w:rPr>
              <w:t>50</w:t>
            </w:r>
          </w:p>
        </w:tc>
        <w:tc>
          <w:tcPr>
            <w:tcW w:w="436" w:type="pct"/>
            <w:tcBorders>
              <w:top w:val="single" w:sz="4" w:space="0" w:color="auto"/>
              <w:left w:val="single" w:sz="4" w:space="0" w:color="auto"/>
              <w:bottom w:val="single" w:sz="4" w:space="0" w:color="auto"/>
              <w:right w:val="single" w:sz="4" w:space="0" w:color="auto"/>
            </w:tcBorders>
          </w:tcPr>
          <w:p w14:paraId="0E895E7A" w14:textId="77777777" w:rsidR="00E51CDD" w:rsidRPr="00E51CDD" w:rsidRDefault="00E51CDD" w:rsidP="00E51CDD">
            <w:pPr>
              <w:widowControl w:val="0"/>
              <w:spacing w:before="40" w:after="40" w:line="256" w:lineRule="auto"/>
              <w:ind w:left="-128"/>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46FA3008"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486" w:type="pct"/>
            <w:tcBorders>
              <w:top w:val="single" w:sz="4" w:space="0" w:color="auto"/>
              <w:left w:val="single" w:sz="4" w:space="0" w:color="auto"/>
              <w:bottom w:val="single" w:sz="4" w:space="0" w:color="auto"/>
              <w:right w:val="single" w:sz="4" w:space="0" w:color="auto"/>
            </w:tcBorders>
          </w:tcPr>
          <w:p w14:paraId="07118837"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387" w:type="pct"/>
            <w:tcBorders>
              <w:top w:val="single" w:sz="4" w:space="0" w:color="auto"/>
              <w:left w:val="single" w:sz="4" w:space="0" w:color="auto"/>
              <w:bottom w:val="single" w:sz="4" w:space="0" w:color="auto"/>
              <w:right w:val="single" w:sz="4" w:space="0" w:color="auto"/>
            </w:tcBorders>
          </w:tcPr>
          <w:p w14:paraId="46A34946"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013ECB1D"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485" w:type="pct"/>
            <w:tcBorders>
              <w:top w:val="single" w:sz="4" w:space="0" w:color="auto"/>
              <w:left w:val="single" w:sz="4" w:space="0" w:color="auto"/>
              <w:bottom w:val="single" w:sz="4" w:space="0" w:color="auto"/>
              <w:right w:val="single" w:sz="4" w:space="0" w:color="auto"/>
            </w:tcBorders>
          </w:tcPr>
          <w:p w14:paraId="6102D25A"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392" w:type="pct"/>
            <w:tcBorders>
              <w:top w:val="single" w:sz="4" w:space="0" w:color="auto"/>
              <w:left w:val="single" w:sz="4" w:space="0" w:color="auto"/>
              <w:bottom w:val="single" w:sz="4" w:space="0" w:color="auto"/>
              <w:right w:val="single" w:sz="4" w:space="0" w:color="auto"/>
            </w:tcBorders>
          </w:tcPr>
          <w:p w14:paraId="444CB717"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4E18BDFA"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391" w:type="pct"/>
            <w:tcBorders>
              <w:top w:val="single" w:sz="4" w:space="0" w:color="auto"/>
              <w:left w:val="single" w:sz="4" w:space="0" w:color="auto"/>
              <w:bottom w:val="single" w:sz="4" w:space="0" w:color="auto"/>
              <w:right w:val="single" w:sz="4" w:space="0" w:color="auto"/>
            </w:tcBorders>
          </w:tcPr>
          <w:p w14:paraId="263D0ABF"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0ED1FC95"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r>
      <w:tr w:rsidR="00E51CDD" w:rsidRPr="00E51CDD" w14:paraId="2018C922"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5AAC9221"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296EF0CE" w14:textId="77777777" w:rsidR="00E51CDD" w:rsidRPr="00E51CDD" w:rsidRDefault="00E51CDD" w:rsidP="00E51CDD">
            <w:pPr>
              <w:widowControl w:val="0"/>
              <w:spacing w:before="40" w:after="40" w:line="256" w:lineRule="auto"/>
              <w:ind w:left="-128"/>
              <w:jc w:val="center"/>
              <w:rPr>
                <w:sz w:val="20"/>
                <w:szCs w:val="20"/>
                <w:lang w:eastAsia="en-US"/>
              </w:rPr>
            </w:pPr>
            <w:r w:rsidRPr="00E51CDD">
              <w:rPr>
                <w:b/>
                <w:bCs/>
                <w:sz w:val="20"/>
                <w:szCs w:val="20"/>
                <w:lang w:eastAsia="en-US"/>
              </w:rPr>
              <w:t>Phytotoxic damages* [L/ha]</w:t>
            </w:r>
          </w:p>
        </w:tc>
      </w:tr>
      <w:tr w:rsidR="00E51CDD" w:rsidRPr="00E51CDD" w14:paraId="20317364"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71E8DCF7" w14:textId="77777777" w:rsidR="00E51CDD" w:rsidRPr="00E51CDD" w:rsidRDefault="00E51CDD" w:rsidP="00E51CDD">
            <w:pPr>
              <w:widowControl w:val="0"/>
              <w:spacing w:before="40" w:after="40" w:line="256" w:lineRule="auto"/>
              <w:ind w:left="-161"/>
              <w:jc w:val="center"/>
              <w:rPr>
                <w:sz w:val="20"/>
                <w:szCs w:val="20"/>
                <w:lang w:eastAsia="en-US"/>
              </w:rPr>
            </w:pPr>
            <w:r w:rsidRPr="00E51CDD">
              <w:rPr>
                <w:b/>
                <w:bCs/>
                <w:sz w:val="20"/>
                <w:szCs w:val="20"/>
                <w:lang w:eastAsia="en-US"/>
              </w:rPr>
              <w:t>NOER</w:t>
            </w:r>
          </w:p>
        </w:tc>
        <w:tc>
          <w:tcPr>
            <w:tcW w:w="436" w:type="pct"/>
            <w:tcBorders>
              <w:top w:val="single" w:sz="4" w:space="0" w:color="auto"/>
              <w:left w:val="single" w:sz="4" w:space="0" w:color="auto"/>
              <w:bottom w:val="single" w:sz="4" w:space="0" w:color="auto"/>
              <w:right w:val="single" w:sz="4" w:space="0" w:color="auto"/>
            </w:tcBorders>
            <w:vAlign w:val="center"/>
            <w:hideMark/>
          </w:tcPr>
          <w:p w14:paraId="0D71D1BD"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hideMark/>
          </w:tcPr>
          <w:p w14:paraId="6288099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6" w:type="pct"/>
            <w:tcBorders>
              <w:top w:val="single" w:sz="4" w:space="0" w:color="auto"/>
              <w:left w:val="single" w:sz="4" w:space="0" w:color="auto"/>
              <w:bottom w:val="single" w:sz="4" w:space="0" w:color="auto"/>
              <w:right w:val="single" w:sz="4" w:space="0" w:color="auto"/>
            </w:tcBorders>
            <w:vAlign w:val="center"/>
            <w:hideMark/>
          </w:tcPr>
          <w:p w14:paraId="17E5B097"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7" w:type="pct"/>
            <w:tcBorders>
              <w:top w:val="single" w:sz="4" w:space="0" w:color="auto"/>
              <w:left w:val="single" w:sz="4" w:space="0" w:color="auto"/>
              <w:bottom w:val="single" w:sz="4" w:space="0" w:color="auto"/>
              <w:right w:val="single" w:sz="4" w:space="0" w:color="auto"/>
            </w:tcBorders>
            <w:vAlign w:val="center"/>
            <w:hideMark/>
          </w:tcPr>
          <w:p w14:paraId="61B4618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&lt; 2.0</w:t>
            </w:r>
          </w:p>
        </w:tc>
        <w:tc>
          <w:tcPr>
            <w:tcW w:w="437" w:type="pct"/>
            <w:tcBorders>
              <w:top w:val="single" w:sz="4" w:space="0" w:color="auto"/>
              <w:left w:val="single" w:sz="4" w:space="0" w:color="auto"/>
              <w:bottom w:val="single" w:sz="4" w:space="0" w:color="auto"/>
              <w:right w:val="single" w:sz="4" w:space="0" w:color="auto"/>
            </w:tcBorders>
            <w:vAlign w:val="center"/>
          </w:tcPr>
          <w:p w14:paraId="600F501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5" w:type="pct"/>
            <w:tcBorders>
              <w:top w:val="single" w:sz="4" w:space="0" w:color="auto"/>
              <w:left w:val="single" w:sz="4" w:space="0" w:color="auto"/>
              <w:bottom w:val="single" w:sz="4" w:space="0" w:color="auto"/>
              <w:right w:val="single" w:sz="4" w:space="0" w:color="auto"/>
            </w:tcBorders>
            <w:vAlign w:val="center"/>
          </w:tcPr>
          <w:p w14:paraId="468145F8"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&lt; 2.0</w:t>
            </w:r>
          </w:p>
        </w:tc>
        <w:tc>
          <w:tcPr>
            <w:tcW w:w="392" w:type="pct"/>
            <w:tcBorders>
              <w:top w:val="single" w:sz="4" w:space="0" w:color="auto"/>
              <w:left w:val="single" w:sz="4" w:space="0" w:color="auto"/>
              <w:bottom w:val="single" w:sz="4" w:space="0" w:color="auto"/>
              <w:right w:val="single" w:sz="4" w:space="0" w:color="auto"/>
            </w:tcBorders>
            <w:vAlign w:val="center"/>
            <w:hideMark/>
          </w:tcPr>
          <w:p w14:paraId="68662856"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32266500"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1" w:type="pct"/>
            <w:tcBorders>
              <w:top w:val="single" w:sz="4" w:space="0" w:color="auto"/>
              <w:left w:val="single" w:sz="4" w:space="0" w:color="auto"/>
              <w:bottom w:val="single" w:sz="4" w:space="0" w:color="auto"/>
              <w:right w:val="single" w:sz="4" w:space="0" w:color="auto"/>
            </w:tcBorders>
            <w:vAlign w:val="center"/>
            <w:hideMark/>
          </w:tcPr>
          <w:p w14:paraId="05FD9136"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6BB880C8"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r>
      <w:tr w:rsidR="00E51CDD" w:rsidRPr="00E51CDD" w14:paraId="76AE6CE0"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24248B30"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28FC6B55"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b/>
                <w:bCs/>
                <w:sz w:val="20"/>
                <w:szCs w:val="20"/>
                <w:lang w:eastAsia="en-US"/>
              </w:rPr>
              <w:t>Plant height (shoots above ground) [L/ha]</w:t>
            </w:r>
          </w:p>
        </w:tc>
      </w:tr>
      <w:tr w:rsidR="00E51CDD" w:rsidRPr="00E51CDD" w14:paraId="32AD6D44"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1C93B4C7"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NOER</w:t>
            </w:r>
          </w:p>
        </w:tc>
        <w:tc>
          <w:tcPr>
            <w:tcW w:w="436" w:type="pct"/>
            <w:tcBorders>
              <w:top w:val="single" w:sz="4" w:space="0" w:color="auto"/>
              <w:left w:val="single" w:sz="4" w:space="0" w:color="auto"/>
              <w:bottom w:val="single" w:sz="4" w:space="0" w:color="auto"/>
              <w:right w:val="single" w:sz="4" w:space="0" w:color="auto"/>
            </w:tcBorders>
            <w:vAlign w:val="center"/>
            <w:hideMark/>
          </w:tcPr>
          <w:p w14:paraId="698B033E"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hideMark/>
          </w:tcPr>
          <w:p w14:paraId="15085045"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6" w:type="pct"/>
            <w:tcBorders>
              <w:top w:val="single" w:sz="4" w:space="0" w:color="auto"/>
              <w:left w:val="single" w:sz="4" w:space="0" w:color="auto"/>
              <w:bottom w:val="single" w:sz="4" w:space="0" w:color="auto"/>
              <w:right w:val="single" w:sz="4" w:space="0" w:color="auto"/>
            </w:tcBorders>
            <w:vAlign w:val="center"/>
            <w:hideMark/>
          </w:tcPr>
          <w:p w14:paraId="7AFC2C5F"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7" w:type="pct"/>
            <w:tcBorders>
              <w:top w:val="single" w:sz="4" w:space="0" w:color="auto"/>
              <w:left w:val="single" w:sz="4" w:space="0" w:color="auto"/>
              <w:bottom w:val="single" w:sz="4" w:space="0" w:color="auto"/>
              <w:right w:val="single" w:sz="4" w:space="0" w:color="auto"/>
            </w:tcBorders>
            <w:vAlign w:val="center"/>
            <w:hideMark/>
          </w:tcPr>
          <w:p w14:paraId="373F396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tcPr>
          <w:p w14:paraId="0F8974FE"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5" w:type="pct"/>
            <w:tcBorders>
              <w:top w:val="single" w:sz="4" w:space="0" w:color="auto"/>
              <w:left w:val="single" w:sz="4" w:space="0" w:color="auto"/>
              <w:bottom w:val="single" w:sz="4" w:space="0" w:color="auto"/>
              <w:right w:val="single" w:sz="4" w:space="0" w:color="auto"/>
            </w:tcBorders>
            <w:vAlign w:val="center"/>
          </w:tcPr>
          <w:p w14:paraId="2759E893"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2" w:type="pct"/>
            <w:tcBorders>
              <w:top w:val="single" w:sz="4" w:space="0" w:color="auto"/>
              <w:left w:val="single" w:sz="4" w:space="0" w:color="auto"/>
              <w:bottom w:val="single" w:sz="4" w:space="0" w:color="auto"/>
              <w:right w:val="single" w:sz="4" w:space="0" w:color="auto"/>
            </w:tcBorders>
            <w:vAlign w:val="center"/>
            <w:hideMark/>
          </w:tcPr>
          <w:p w14:paraId="3F3C2100"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00CACF6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1" w:type="pct"/>
            <w:tcBorders>
              <w:top w:val="single" w:sz="4" w:space="0" w:color="auto"/>
              <w:left w:val="single" w:sz="4" w:space="0" w:color="auto"/>
              <w:bottom w:val="single" w:sz="4" w:space="0" w:color="auto"/>
              <w:right w:val="single" w:sz="4" w:space="0" w:color="auto"/>
            </w:tcBorders>
            <w:vAlign w:val="center"/>
            <w:hideMark/>
          </w:tcPr>
          <w:p w14:paraId="7F84349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0DE20383"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r>
      <w:tr w:rsidR="00E51CDD" w:rsidRPr="00E51CDD" w14:paraId="13A72F65"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424597C7"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ER</w:t>
            </w:r>
            <w:r w:rsidRPr="00E51CDD">
              <w:rPr>
                <w:b/>
                <w:bCs/>
                <w:sz w:val="20"/>
                <w:szCs w:val="20"/>
                <w:vertAlign w:val="subscript"/>
                <w:lang w:eastAsia="en-US"/>
              </w:rPr>
              <w:t>50</w:t>
            </w:r>
          </w:p>
        </w:tc>
        <w:tc>
          <w:tcPr>
            <w:tcW w:w="436" w:type="pct"/>
            <w:tcBorders>
              <w:top w:val="single" w:sz="4" w:space="0" w:color="auto"/>
              <w:left w:val="single" w:sz="4" w:space="0" w:color="auto"/>
              <w:bottom w:val="single" w:sz="4" w:space="0" w:color="auto"/>
              <w:right w:val="single" w:sz="4" w:space="0" w:color="auto"/>
            </w:tcBorders>
            <w:vAlign w:val="center"/>
          </w:tcPr>
          <w:p w14:paraId="02DC917A"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62C5A32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86" w:type="pct"/>
            <w:tcBorders>
              <w:top w:val="single" w:sz="4" w:space="0" w:color="auto"/>
              <w:left w:val="single" w:sz="4" w:space="0" w:color="auto"/>
              <w:bottom w:val="single" w:sz="4" w:space="0" w:color="auto"/>
              <w:right w:val="single" w:sz="4" w:space="0" w:color="auto"/>
            </w:tcBorders>
          </w:tcPr>
          <w:p w14:paraId="5311D57B"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7" w:type="pct"/>
            <w:tcBorders>
              <w:top w:val="single" w:sz="4" w:space="0" w:color="auto"/>
              <w:left w:val="single" w:sz="4" w:space="0" w:color="auto"/>
              <w:bottom w:val="single" w:sz="4" w:space="0" w:color="auto"/>
              <w:right w:val="single" w:sz="4" w:space="0" w:color="auto"/>
            </w:tcBorders>
          </w:tcPr>
          <w:p w14:paraId="6E37C23F"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6C23E0AC"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85" w:type="pct"/>
            <w:tcBorders>
              <w:top w:val="single" w:sz="4" w:space="0" w:color="auto"/>
              <w:left w:val="single" w:sz="4" w:space="0" w:color="auto"/>
              <w:bottom w:val="single" w:sz="4" w:space="0" w:color="auto"/>
              <w:right w:val="single" w:sz="4" w:space="0" w:color="auto"/>
            </w:tcBorders>
          </w:tcPr>
          <w:p w14:paraId="376F1501"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92" w:type="pct"/>
            <w:tcBorders>
              <w:top w:val="single" w:sz="4" w:space="0" w:color="auto"/>
              <w:left w:val="single" w:sz="4" w:space="0" w:color="auto"/>
              <w:bottom w:val="single" w:sz="4" w:space="0" w:color="auto"/>
              <w:right w:val="single" w:sz="4" w:space="0" w:color="auto"/>
            </w:tcBorders>
          </w:tcPr>
          <w:p w14:paraId="3B859E35"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10131EB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91" w:type="pct"/>
            <w:tcBorders>
              <w:top w:val="single" w:sz="4" w:space="0" w:color="auto"/>
              <w:left w:val="single" w:sz="4" w:space="0" w:color="auto"/>
              <w:bottom w:val="single" w:sz="4" w:space="0" w:color="auto"/>
              <w:right w:val="single" w:sz="4" w:space="0" w:color="auto"/>
            </w:tcBorders>
          </w:tcPr>
          <w:p w14:paraId="488EF713"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2FA97982"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r>
      <w:tr w:rsidR="00E51CDD" w:rsidRPr="00E51CDD" w14:paraId="2C326DC0"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0FD1EDE4"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03A00026"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b/>
                <w:bCs/>
                <w:sz w:val="20"/>
                <w:szCs w:val="20"/>
                <w:lang w:eastAsia="en-US"/>
              </w:rPr>
              <w:t>Plant weight (shoots above ground) [L/ha]</w:t>
            </w:r>
          </w:p>
        </w:tc>
      </w:tr>
      <w:tr w:rsidR="00E51CDD" w:rsidRPr="00E51CDD" w14:paraId="3A04B6A7"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25A91E37"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NOER</w:t>
            </w:r>
          </w:p>
        </w:tc>
        <w:tc>
          <w:tcPr>
            <w:tcW w:w="436" w:type="pct"/>
            <w:tcBorders>
              <w:top w:val="single" w:sz="4" w:space="0" w:color="auto"/>
              <w:left w:val="single" w:sz="4" w:space="0" w:color="auto"/>
              <w:bottom w:val="single" w:sz="4" w:space="0" w:color="auto"/>
              <w:right w:val="single" w:sz="4" w:space="0" w:color="auto"/>
            </w:tcBorders>
            <w:vAlign w:val="center"/>
            <w:hideMark/>
          </w:tcPr>
          <w:p w14:paraId="63F8F80C"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&lt; 2.0</w:t>
            </w:r>
          </w:p>
        </w:tc>
        <w:tc>
          <w:tcPr>
            <w:tcW w:w="437" w:type="pct"/>
            <w:tcBorders>
              <w:top w:val="single" w:sz="4" w:space="0" w:color="auto"/>
              <w:left w:val="single" w:sz="4" w:space="0" w:color="auto"/>
              <w:bottom w:val="single" w:sz="4" w:space="0" w:color="auto"/>
              <w:right w:val="single" w:sz="4" w:space="0" w:color="auto"/>
            </w:tcBorders>
            <w:vAlign w:val="center"/>
            <w:hideMark/>
          </w:tcPr>
          <w:p w14:paraId="6150DCEB"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6" w:type="pct"/>
            <w:tcBorders>
              <w:top w:val="single" w:sz="4" w:space="0" w:color="auto"/>
              <w:left w:val="single" w:sz="4" w:space="0" w:color="auto"/>
              <w:bottom w:val="single" w:sz="4" w:space="0" w:color="auto"/>
              <w:right w:val="single" w:sz="4" w:space="0" w:color="auto"/>
            </w:tcBorders>
            <w:vAlign w:val="center"/>
            <w:hideMark/>
          </w:tcPr>
          <w:p w14:paraId="7638072C"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7" w:type="pct"/>
            <w:tcBorders>
              <w:top w:val="single" w:sz="4" w:space="0" w:color="auto"/>
              <w:left w:val="single" w:sz="4" w:space="0" w:color="auto"/>
              <w:bottom w:val="single" w:sz="4" w:space="0" w:color="auto"/>
              <w:right w:val="single" w:sz="4" w:space="0" w:color="auto"/>
            </w:tcBorders>
            <w:vAlign w:val="center"/>
            <w:hideMark/>
          </w:tcPr>
          <w:p w14:paraId="5E782116"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tcPr>
          <w:p w14:paraId="419A3DCE"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&lt; 2.0</w:t>
            </w:r>
          </w:p>
        </w:tc>
        <w:tc>
          <w:tcPr>
            <w:tcW w:w="485" w:type="pct"/>
            <w:tcBorders>
              <w:top w:val="single" w:sz="4" w:space="0" w:color="auto"/>
              <w:left w:val="single" w:sz="4" w:space="0" w:color="auto"/>
              <w:bottom w:val="single" w:sz="4" w:space="0" w:color="auto"/>
              <w:right w:val="single" w:sz="4" w:space="0" w:color="auto"/>
            </w:tcBorders>
            <w:vAlign w:val="center"/>
          </w:tcPr>
          <w:p w14:paraId="5541E87E"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2" w:type="pct"/>
            <w:tcBorders>
              <w:top w:val="single" w:sz="4" w:space="0" w:color="auto"/>
              <w:left w:val="single" w:sz="4" w:space="0" w:color="auto"/>
              <w:bottom w:val="single" w:sz="4" w:space="0" w:color="auto"/>
              <w:right w:val="single" w:sz="4" w:space="0" w:color="auto"/>
            </w:tcBorders>
            <w:vAlign w:val="center"/>
            <w:hideMark/>
          </w:tcPr>
          <w:p w14:paraId="5C810FC0"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5E461AC1"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1" w:type="pct"/>
            <w:tcBorders>
              <w:top w:val="single" w:sz="4" w:space="0" w:color="auto"/>
              <w:left w:val="single" w:sz="4" w:space="0" w:color="auto"/>
              <w:bottom w:val="single" w:sz="4" w:space="0" w:color="auto"/>
              <w:right w:val="single" w:sz="4" w:space="0" w:color="auto"/>
            </w:tcBorders>
            <w:vAlign w:val="center"/>
            <w:hideMark/>
          </w:tcPr>
          <w:p w14:paraId="427D4E6E"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5C36B683"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r>
      <w:tr w:rsidR="00E51CDD" w:rsidRPr="00E51CDD" w14:paraId="0CF4B0C4"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61DFF032"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ER</w:t>
            </w:r>
            <w:r w:rsidRPr="00E51CDD">
              <w:rPr>
                <w:b/>
                <w:bCs/>
                <w:sz w:val="20"/>
                <w:szCs w:val="20"/>
                <w:vertAlign w:val="subscript"/>
                <w:lang w:eastAsia="en-US"/>
              </w:rPr>
              <w:t>50</w:t>
            </w:r>
          </w:p>
        </w:tc>
        <w:tc>
          <w:tcPr>
            <w:tcW w:w="436" w:type="pct"/>
            <w:tcBorders>
              <w:top w:val="single" w:sz="4" w:space="0" w:color="auto"/>
              <w:left w:val="single" w:sz="4" w:space="0" w:color="auto"/>
              <w:bottom w:val="single" w:sz="4" w:space="0" w:color="auto"/>
              <w:right w:val="single" w:sz="4" w:space="0" w:color="auto"/>
            </w:tcBorders>
          </w:tcPr>
          <w:p w14:paraId="670E8B99"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340E59D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86" w:type="pct"/>
            <w:tcBorders>
              <w:top w:val="single" w:sz="4" w:space="0" w:color="auto"/>
              <w:left w:val="single" w:sz="4" w:space="0" w:color="auto"/>
              <w:bottom w:val="single" w:sz="4" w:space="0" w:color="auto"/>
              <w:right w:val="single" w:sz="4" w:space="0" w:color="auto"/>
            </w:tcBorders>
          </w:tcPr>
          <w:p w14:paraId="2598ED6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7" w:type="pct"/>
            <w:tcBorders>
              <w:top w:val="single" w:sz="4" w:space="0" w:color="auto"/>
              <w:left w:val="single" w:sz="4" w:space="0" w:color="auto"/>
              <w:bottom w:val="single" w:sz="4" w:space="0" w:color="auto"/>
              <w:right w:val="single" w:sz="4" w:space="0" w:color="auto"/>
            </w:tcBorders>
          </w:tcPr>
          <w:p w14:paraId="76D8B559"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72B22039"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85" w:type="pct"/>
            <w:tcBorders>
              <w:top w:val="single" w:sz="4" w:space="0" w:color="auto"/>
              <w:left w:val="single" w:sz="4" w:space="0" w:color="auto"/>
              <w:bottom w:val="single" w:sz="4" w:space="0" w:color="auto"/>
              <w:right w:val="single" w:sz="4" w:space="0" w:color="auto"/>
            </w:tcBorders>
          </w:tcPr>
          <w:p w14:paraId="368B258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92" w:type="pct"/>
            <w:tcBorders>
              <w:top w:val="single" w:sz="4" w:space="0" w:color="auto"/>
              <w:left w:val="single" w:sz="4" w:space="0" w:color="auto"/>
              <w:bottom w:val="single" w:sz="4" w:space="0" w:color="auto"/>
              <w:right w:val="single" w:sz="4" w:space="0" w:color="auto"/>
            </w:tcBorders>
          </w:tcPr>
          <w:p w14:paraId="132B07B5"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74D35A8E"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91" w:type="pct"/>
            <w:tcBorders>
              <w:top w:val="single" w:sz="4" w:space="0" w:color="auto"/>
              <w:left w:val="single" w:sz="4" w:space="0" w:color="auto"/>
              <w:bottom w:val="single" w:sz="4" w:space="0" w:color="auto"/>
              <w:right w:val="single" w:sz="4" w:space="0" w:color="auto"/>
            </w:tcBorders>
          </w:tcPr>
          <w:p w14:paraId="6B45F571"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75E5D3A1"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r>
    </w:tbl>
    <w:p w14:paraId="222E0AA0" w14:textId="77777777" w:rsidR="00E51CDD" w:rsidRPr="00E51CDD" w:rsidRDefault="00E51CDD" w:rsidP="00E51CDD">
      <w:pPr>
        <w:autoSpaceDE w:val="0"/>
        <w:autoSpaceDN w:val="0"/>
        <w:adjustRightInd w:val="0"/>
        <w:rPr>
          <w:rFonts w:ascii="ArialMT" w:eastAsia="Calibri" w:hAnsi="ArialMT" w:cs="ArialMT"/>
          <w:sz w:val="20"/>
          <w:szCs w:val="20"/>
          <w:lang w:eastAsia="en-US"/>
        </w:rPr>
      </w:pPr>
      <w:r w:rsidRPr="00E51CDD">
        <w:rPr>
          <w:bCs/>
          <w:sz w:val="18"/>
          <w:szCs w:val="18"/>
        </w:rPr>
        <w:t>* Estimated from assessment data</w:t>
      </w:r>
      <w:r w:rsidRPr="00E51CDD">
        <w:rPr>
          <w:rFonts w:ascii="ArialMT" w:eastAsia="Calibri" w:hAnsi="ArialMT" w:cs="ArialMT"/>
          <w:sz w:val="20"/>
          <w:szCs w:val="20"/>
          <w:lang w:eastAsia="en-US"/>
        </w:rPr>
        <w:t>.</w:t>
      </w:r>
    </w:p>
    <w:bookmarkEnd w:id="1320"/>
    <w:p w14:paraId="5B5A512C" w14:textId="77777777" w:rsidR="00E51CDD" w:rsidRPr="00E51CDD" w:rsidRDefault="00E51CDD" w:rsidP="00E51CDD">
      <w:pPr>
        <w:widowControl w:val="0"/>
        <w:jc w:val="both"/>
        <w:rPr>
          <w:color w:val="0070C0"/>
          <w:szCs w:val="24"/>
          <w:lang w:eastAsia="en-US"/>
        </w:rPr>
      </w:pPr>
    </w:p>
    <w:p w14:paraId="32E8F5E7" w14:textId="77777777" w:rsidR="00E51CDD" w:rsidRPr="00E51CDD" w:rsidRDefault="00E51CDD" w:rsidP="00E51CDD">
      <w:pPr>
        <w:widowControl w:val="0"/>
        <w:jc w:val="both"/>
        <w:rPr>
          <w:color w:val="0070C0"/>
          <w:szCs w:val="24"/>
          <w:lang w:eastAsia="en-US"/>
        </w:rPr>
      </w:pPr>
    </w:p>
    <w:p w14:paraId="2E2E6E7E" w14:textId="77777777" w:rsidR="00E51CDD" w:rsidRPr="00E51CDD" w:rsidRDefault="00E51CDD" w:rsidP="00E51CDD">
      <w:pPr>
        <w:spacing w:after="160" w:line="259" w:lineRule="auto"/>
        <w:jc w:val="both"/>
        <w:rPr>
          <w:rFonts w:ascii="Calibri" w:eastAsia="Calibri" w:hAnsi="Calibri"/>
          <w:lang w:eastAsia="en-US"/>
        </w:rPr>
      </w:pPr>
      <w:bookmarkStart w:id="1321" w:name="_Hlk31010316"/>
      <w:r w:rsidRPr="00E51CDD">
        <w:rPr>
          <w:u w:val="single"/>
        </w:rPr>
        <w:t>Validity criteria:</w:t>
      </w:r>
    </w:p>
    <w:tbl>
      <w:tblPr>
        <w:tblStyle w:val="DAR00713"/>
        <w:tblW w:w="5000" w:type="pct"/>
        <w:tblLook w:val="04A0" w:firstRow="1" w:lastRow="0" w:firstColumn="1" w:lastColumn="0" w:noHBand="0" w:noVBand="1"/>
      </w:tblPr>
      <w:tblGrid>
        <w:gridCol w:w="5640"/>
        <w:gridCol w:w="3704"/>
      </w:tblGrid>
      <w:tr w:rsidR="00E51CDD" w:rsidRPr="00E51CDD" w14:paraId="677C3B9C" w14:textId="77777777" w:rsidTr="009938D9">
        <w:tc>
          <w:tcPr>
            <w:tcW w:w="3018" w:type="pct"/>
            <w:vAlign w:val="center"/>
          </w:tcPr>
          <w:p w14:paraId="4651ADDE" w14:textId="77777777" w:rsidR="00E51CDD" w:rsidRPr="00E51CDD" w:rsidRDefault="00E51CDD" w:rsidP="00E51CDD">
            <w:pPr>
              <w:rPr>
                <w:b/>
                <w:sz w:val="20"/>
                <w:szCs w:val="20"/>
              </w:rPr>
            </w:pPr>
            <w:r w:rsidRPr="00E51CDD">
              <w:rPr>
                <w:b/>
                <w:sz w:val="20"/>
                <w:szCs w:val="20"/>
              </w:rPr>
              <w:t>Validity criteria according to OECD 227</w:t>
            </w:r>
          </w:p>
        </w:tc>
        <w:tc>
          <w:tcPr>
            <w:tcW w:w="1982" w:type="pct"/>
            <w:vAlign w:val="center"/>
          </w:tcPr>
          <w:p w14:paraId="4687EC2C" w14:textId="77777777" w:rsidR="00E51CDD" w:rsidRPr="00E51CDD" w:rsidRDefault="00E51CDD" w:rsidP="00E51CDD">
            <w:pPr>
              <w:rPr>
                <w:b/>
                <w:sz w:val="20"/>
                <w:szCs w:val="20"/>
                <w:lang w:val="de-DE"/>
              </w:rPr>
            </w:pPr>
            <w:r w:rsidRPr="00E51CDD">
              <w:rPr>
                <w:b/>
                <w:sz w:val="20"/>
                <w:szCs w:val="20"/>
                <w:lang w:val="de-DE"/>
              </w:rPr>
              <w:t>Obtained in this study</w:t>
            </w:r>
          </w:p>
        </w:tc>
      </w:tr>
      <w:tr w:rsidR="00E51CDD" w:rsidRPr="00E51CDD" w14:paraId="67299E07" w14:textId="77777777" w:rsidTr="009938D9">
        <w:tc>
          <w:tcPr>
            <w:tcW w:w="3018" w:type="pct"/>
            <w:vAlign w:val="center"/>
          </w:tcPr>
          <w:p w14:paraId="2407B188" w14:textId="77777777" w:rsidR="00E51CDD" w:rsidRPr="00E51CDD" w:rsidRDefault="00E51CDD" w:rsidP="00E51CDD">
            <w:pPr>
              <w:rPr>
                <w:sz w:val="20"/>
                <w:szCs w:val="20"/>
              </w:rPr>
            </w:pPr>
            <w:r w:rsidRPr="00E51CDD">
              <w:rPr>
                <w:rFonts w:ascii="TimesNewRomanPSMT" w:eastAsia="Arial" w:hAnsi="TimesNewRomanPSMT" w:cs="TimesNewRomanPSMT"/>
                <w:sz w:val="20"/>
                <w:szCs w:val="20"/>
              </w:rPr>
              <w:t>Seedling emergence is at least 70%</w:t>
            </w:r>
          </w:p>
        </w:tc>
        <w:tc>
          <w:tcPr>
            <w:tcW w:w="1982" w:type="pct"/>
            <w:vAlign w:val="center"/>
          </w:tcPr>
          <w:p w14:paraId="56326A6C" w14:textId="77777777" w:rsidR="00E51CDD" w:rsidRPr="00E51CDD" w:rsidRDefault="00E51CDD" w:rsidP="00E51CDD">
            <w:pPr>
              <w:rPr>
                <w:sz w:val="20"/>
                <w:szCs w:val="20"/>
                <w:lang w:val="de-DE"/>
              </w:rPr>
            </w:pPr>
            <w:r w:rsidRPr="00E51CDD">
              <w:rPr>
                <w:sz w:val="20"/>
                <w:szCs w:val="20"/>
              </w:rPr>
              <w:t>yes (83 – 100%)</w:t>
            </w:r>
          </w:p>
        </w:tc>
      </w:tr>
      <w:tr w:rsidR="00E51CDD" w:rsidRPr="00E51CDD" w14:paraId="15B80E46" w14:textId="77777777" w:rsidTr="009938D9">
        <w:tc>
          <w:tcPr>
            <w:tcW w:w="3018" w:type="pct"/>
            <w:vAlign w:val="center"/>
          </w:tcPr>
          <w:p w14:paraId="42A068DB" w14:textId="77777777" w:rsidR="00E51CDD" w:rsidRPr="00E51CDD" w:rsidRDefault="00E51CDD" w:rsidP="00E51CDD">
            <w:pPr>
              <w:rPr>
                <w:rFonts w:ascii="TimesNewRomanPSMT" w:eastAsia="Arial" w:hAnsi="TimesNewRomanPSMT" w:cs="TimesNewRomanPSMT"/>
                <w:sz w:val="20"/>
                <w:szCs w:val="20"/>
                <w:lang w:val="de-DE"/>
              </w:rPr>
            </w:pPr>
            <w:r w:rsidRPr="00E51CDD">
              <w:rPr>
                <w:rFonts w:ascii="TimesNewRomanPSMT" w:eastAsia="Arial" w:hAnsi="TimesNewRomanPSMT" w:cs="TimesNewRomanPSMT"/>
                <w:sz w:val="20"/>
                <w:szCs w:val="20"/>
                <w:lang w:val="de-DE"/>
              </w:rPr>
              <w:t>In the controls:</w:t>
            </w:r>
          </w:p>
        </w:tc>
        <w:tc>
          <w:tcPr>
            <w:tcW w:w="1982" w:type="pct"/>
            <w:vAlign w:val="center"/>
          </w:tcPr>
          <w:p w14:paraId="1EE36C22" w14:textId="77777777" w:rsidR="00E51CDD" w:rsidRPr="00E51CDD" w:rsidRDefault="00E51CDD" w:rsidP="00E51CDD">
            <w:pPr>
              <w:rPr>
                <w:sz w:val="20"/>
                <w:szCs w:val="20"/>
                <w:highlight w:val="yellow"/>
                <w:lang w:val="de-DE"/>
              </w:rPr>
            </w:pPr>
          </w:p>
        </w:tc>
      </w:tr>
      <w:tr w:rsidR="00E51CDD" w:rsidRPr="00E51CDD" w14:paraId="0841F42F" w14:textId="77777777" w:rsidTr="009938D9">
        <w:tc>
          <w:tcPr>
            <w:tcW w:w="3018" w:type="pct"/>
            <w:vAlign w:val="center"/>
          </w:tcPr>
          <w:p w14:paraId="51085691" w14:textId="77777777" w:rsidR="00E51CDD" w:rsidRPr="00E51CDD" w:rsidRDefault="00E51CDD" w:rsidP="00E51CDD">
            <w:pPr>
              <w:autoSpaceDE w:val="0"/>
              <w:autoSpaceDN w:val="0"/>
              <w:adjustRightInd w:val="0"/>
              <w:rPr>
                <w:rFonts w:eastAsia="Arial"/>
                <w:sz w:val="20"/>
                <w:szCs w:val="20"/>
              </w:rPr>
            </w:pPr>
            <w:r w:rsidRPr="00E51CDD">
              <w:rPr>
                <w:rFonts w:eastAsia="Arial"/>
                <w:sz w:val="20"/>
                <w:szCs w:val="20"/>
              </w:rPr>
              <w:t>The plants do not exhibit visible phytotoxic effects (e.g. chlorosis, necrosis, wilting, leaf and stem deformations). Plants exhibit only normal variation in growth and morphology for that particular species</w:t>
            </w:r>
          </w:p>
        </w:tc>
        <w:tc>
          <w:tcPr>
            <w:tcW w:w="1982" w:type="pct"/>
            <w:vAlign w:val="center"/>
          </w:tcPr>
          <w:p w14:paraId="47EDC8EC" w14:textId="77777777" w:rsidR="00E51CDD" w:rsidRPr="00E51CDD" w:rsidRDefault="00E51CDD" w:rsidP="00E51CDD">
            <w:pPr>
              <w:rPr>
                <w:sz w:val="20"/>
                <w:szCs w:val="20"/>
                <w:lang w:val="de-DE"/>
              </w:rPr>
            </w:pPr>
            <w:r w:rsidRPr="00E51CDD">
              <w:rPr>
                <w:sz w:val="20"/>
                <w:szCs w:val="20"/>
              </w:rPr>
              <w:t>yes (0%)</w:t>
            </w:r>
          </w:p>
        </w:tc>
      </w:tr>
      <w:tr w:rsidR="00E51CDD" w:rsidRPr="00E51CDD" w14:paraId="2B44993C" w14:textId="77777777" w:rsidTr="009938D9">
        <w:tc>
          <w:tcPr>
            <w:tcW w:w="3018" w:type="pct"/>
            <w:vAlign w:val="center"/>
          </w:tcPr>
          <w:p w14:paraId="65415882" w14:textId="77777777" w:rsidR="00E51CDD" w:rsidRPr="00E51CDD" w:rsidRDefault="00E51CDD" w:rsidP="00E51CDD">
            <w:pPr>
              <w:rPr>
                <w:rFonts w:ascii="TimesNewRomanPSMT" w:eastAsia="Arial" w:hAnsi="TimesNewRomanPSMT" w:cs="TimesNewRomanPSMT"/>
                <w:sz w:val="20"/>
                <w:szCs w:val="20"/>
              </w:rPr>
            </w:pPr>
            <w:r w:rsidRPr="00E51CDD">
              <w:rPr>
                <w:rFonts w:ascii="TimesNewRomanPSMT" w:eastAsia="Arial" w:hAnsi="TimesNewRomanPSMT" w:cs="TimesNewRomanPSMT"/>
                <w:sz w:val="20"/>
                <w:szCs w:val="20"/>
              </w:rPr>
              <w:t>Mean plant survival at least 90% for the duration of the study</w:t>
            </w:r>
          </w:p>
        </w:tc>
        <w:tc>
          <w:tcPr>
            <w:tcW w:w="1982" w:type="pct"/>
            <w:vAlign w:val="center"/>
          </w:tcPr>
          <w:p w14:paraId="16ED5E3A" w14:textId="77777777" w:rsidR="00E51CDD" w:rsidRPr="00E51CDD" w:rsidRDefault="00E51CDD" w:rsidP="00E51CDD">
            <w:pPr>
              <w:rPr>
                <w:sz w:val="20"/>
                <w:szCs w:val="20"/>
                <w:lang w:val="de-DE"/>
              </w:rPr>
            </w:pPr>
            <w:r w:rsidRPr="00E51CDD">
              <w:rPr>
                <w:sz w:val="20"/>
                <w:szCs w:val="20"/>
              </w:rPr>
              <w:t>yes (100%)</w:t>
            </w:r>
          </w:p>
        </w:tc>
      </w:tr>
      <w:tr w:rsidR="00E51CDD" w:rsidRPr="00E51CDD" w14:paraId="0292B815" w14:textId="77777777" w:rsidTr="009938D9">
        <w:tc>
          <w:tcPr>
            <w:tcW w:w="3018" w:type="pct"/>
            <w:vAlign w:val="center"/>
          </w:tcPr>
          <w:p w14:paraId="01B75530" w14:textId="77777777" w:rsidR="00E51CDD" w:rsidRPr="00E51CDD" w:rsidRDefault="00E51CDD" w:rsidP="00E51CDD">
            <w:pPr>
              <w:autoSpaceDE w:val="0"/>
              <w:autoSpaceDN w:val="0"/>
              <w:adjustRightInd w:val="0"/>
              <w:rPr>
                <w:rFonts w:ascii="TimesNewRomanPSMT" w:eastAsia="Arial" w:hAnsi="TimesNewRomanPSMT" w:cs="TimesNewRomanPSMT"/>
                <w:sz w:val="20"/>
                <w:szCs w:val="20"/>
              </w:rPr>
            </w:pPr>
            <w:r w:rsidRPr="00E51CDD">
              <w:rPr>
                <w:rFonts w:ascii="TimesNewRomanPSMT" w:eastAsia="Arial" w:hAnsi="TimesNewRomanPSMT" w:cs="TimesNewRomanPSMT"/>
                <w:sz w:val="20"/>
                <w:szCs w:val="20"/>
              </w:rPr>
              <w:t>Environmental conditions for a particular species are identical and growing media contain the same amount of soil matrix, support media, or substrate from the same source</w:t>
            </w:r>
          </w:p>
        </w:tc>
        <w:tc>
          <w:tcPr>
            <w:tcW w:w="1982" w:type="pct"/>
            <w:vAlign w:val="center"/>
          </w:tcPr>
          <w:p w14:paraId="714BC35D" w14:textId="77777777" w:rsidR="00E51CDD" w:rsidRPr="00E51CDD" w:rsidRDefault="00E51CDD" w:rsidP="00E51CDD">
            <w:pPr>
              <w:rPr>
                <w:sz w:val="20"/>
                <w:szCs w:val="20"/>
                <w:lang w:val="de-DE"/>
              </w:rPr>
            </w:pPr>
            <w:r w:rsidRPr="00E51CDD">
              <w:rPr>
                <w:sz w:val="20"/>
                <w:szCs w:val="20"/>
              </w:rPr>
              <w:t>yes</w:t>
            </w:r>
          </w:p>
        </w:tc>
      </w:tr>
    </w:tbl>
    <w:p w14:paraId="51ACBA65" w14:textId="77777777" w:rsidR="00E51CDD" w:rsidRPr="00E51CDD" w:rsidRDefault="00E51CDD" w:rsidP="00E51CDD">
      <w:pPr>
        <w:jc w:val="both"/>
      </w:pPr>
    </w:p>
    <w:p w14:paraId="6A779A72" w14:textId="77777777" w:rsidR="00E51CDD" w:rsidRPr="00E51CDD" w:rsidRDefault="00E51CDD" w:rsidP="00E51CDD">
      <w:pPr>
        <w:jc w:val="both"/>
      </w:pPr>
    </w:p>
    <w:p w14:paraId="096CEB86" w14:textId="77777777" w:rsidR="00E51CDD" w:rsidRPr="00E51CDD" w:rsidRDefault="00E51CDD" w:rsidP="00E51CDD">
      <w:r w:rsidRPr="00E51CDD">
        <w:t>All validity criteria were met.</w:t>
      </w:r>
    </w:p>
    <w:bookmarkEnd w:id="1321"/>
    <w:p w14:paraId="32941A92" w14:textId="77777777" w:rsidR="00E51CDD" w:rsidRPr="00E51CDD" w:rsidRDefault="00E51CDD" w:rsidP="00E51CDD">
      <w:pPr>
        <w:widowControl w:val="0"/>
        <w:jc w:val="both"/>
        <w:rPr>
          <w:color w:val="0070C0"/>
          <w:szCs w:val="24"/>
          <w:lang w:eastAsia="en-US"/>
        </w:rPr>
      </w:pPr>
    </w:p>
    <w:p w14:paraId="76CC10ED" w14:textId="77777777" w:rsidR="00E51CDD" w:rsidRPr="00E51CDD" w:rsidRDefault="00E51CDD" w:rsidP="00E51CDD">
      <w:pPr>
        <w:widowControl w:val="0"/>
        <w:jc w:val="both"/>
        <w:rPr>
          <w:color w:val="0070C0"/>
          <w:szCs w:val="24"/>
          <w:lang w:eastAsia="en-US"/>
        </w:rPr>
      </w:pPr>
    </w:p>
    <w:p w14:paraId="0DB255A7" w14:textId="77777777" w:rsidR="00E51CDD" w:rsidRPr="00E51CDD" w:rsidRDefault="00E51CDD" w:rsidP="00E51CDD">
      <w:pPr>
        <w:widowControl w:val="0"/>
        <w:tabs>
          <w:tab w:val="left" w:pos="425"/>
          <w:tab w:val="left" w:pos="850"/>
        </w:tabs>
        <w:suppressAutoHyphens/>
        <w:ind w:left="2835" w:hanging="2835"/>
        <w:rPr>
          <w:b/>
          <w:bCs/>
        </w:rPr>
      </w:pPr>
      <w:r w:rsidRPr="00E51CDD">
        <w:rPr>
          <w:b/>
          <w:bCs/>
        </w:rPr>
        <w:t>III.</w:t>
      </w:r>
      <w:r w:rsidRPr="00E51CDD">
        <w:rPr>
          <w:b/>
          <w:bCs/>
        </w:rPr>
        <w:tab/>
        <w:t>CONCLUSION</w:t>
      </w:r>
    </w:p>
    <w:p w14:paraId="0D8C9D65" w14:textId="77777777" w:rsidR="00E51CDD" w:rsidRPr="00E51CDD" w:rsidRDefault="00E51CDD" w:rsidP="00E51CDD">
      <w:pPr>
        <w:widowControl w:val="0"/>
        <w:jc w:val="both"/>
        <w:rPr>
          <w:b/>
          <w:bCs/>
          <w:szCs w:val="24"/>
          <w:lang w:eastAsia="en-US"/>
        </w:rPr>
      </w:pPr>
    </w:p>
    <w:p w14:paraId="667EE83B" w14:textId="77777777" w:rsidR="00E51CDD" w:rsidRPr="00E51CDD" w:rsidRDefault="00E51CDD" w:rsidP="00E51CDD">
      <w:pPr>
        <w:widowControl w:val="0"/>
        <w:jc w:val="both"/>
        <w:rPr>
          <w:rFonts w:eastAsia="Calibri"/>
          <w:b/>
          <w:bCs/>
          <w:lang w:eastAsia="en-US"/>
        </w:rPr>
      </w:pPr>
      <w:r w:rsidRPr="00E51CDD">
        <w:rPr>
          <w:rFonts w:eastAsia="Calibri"/>
          <w:b/>
          <w:bCs/>
          <w:lang w:eastAsia="en-US"/>
        </w:rPr>
        <w:t>Based on the results of this study, conducted under greenhouse conditions, it can be concluded that BAS 736 00 F applied at BBCH 12 - 14 with a rate of 2.0 L/ha did not cause effects to plant survival and plant length for all tested plant species. Slight phytotoxic effects could be detected for oilseed rape and soybean. No influence of BAS 736 00 F applied at a rate of 2.0 L/ha on plant dry biomass was observed for all tested plant species, except for carrot and tomato with slight but significant reduced biomass of 6% and 5%, respectively.</w:t>
      </w:r>
      <w:r w:rsidRPr="00E51CDD">
        <w:rPr>
          <w:rFonts w:ascii="Calibri Light" w:eastAsia="Calibri" w:hAnsi="Calibri Light" w:cs="Calibri Light"/>
          <w:b/>
          <w:bCs/>
          <w:lang w:eastAsia="en-US"/>
        </w:rPr>
        <w:t xml:space="preserve"> </w:t>
      </w:r>
      <w:r w:rsidRPr="00E51CDD">
        <w:rPr>
          <w:rFonts w:eastAsia="Calibri"/>
          <w:b/>
          <w:bCs/>
          <w:lang w:eastAsia="en-US"/>
        </w:rPr>
        <w:t>For all tested species, the ER</w:t>
      </w:r>
      <w:r w:rsidRPr="00E51CDD">
        <w:rPr>
          <w:rFonts w:eastAsia="Calibri"/>
          <w:b/>
          <w:bCs/>
          <w:vertAlign w:val="subscript"/>
          <w:lang w:eastAsia="en-US"/>
        </w:rPr>
        <w:t>50</w:t>
      </w:r>
      <w:r w:rsidRPr="00E51CDD">
        <w:rPr>
          <w:rFonts w:eastAsia="Calibri"/>
          <w:b/>
          <w:bCs/>
          <w:lang w:eastAsia="en-US"/>
        </w:rPr>
        <w:t xml:space="preserve"> was estimated to be &gt; 2.0 L </w:t>
      </w:r>
      <w:r w:rsidRPr="00E51CDD">
        <w:rPr>
          <w:b/>
        </w:rPr>
        <w:t>BAS 736 00 F</w:t>
      </w:r>
      <w:r w:rsidRPr="00E51CDD">
        <w:rPr>
          <w:rFonts w:eastAsia="Calibri"/>
          <w:b/>
          <w:bCs/>
          <w:lang w:eastAsia="en-US"/>
        </w:rPr>
        <w:t>/ha.</w:t>
      </w:r>
    </w:p>
    <w:p w14:paraId="2DA016A5" w14:textId="77777777" w:rsidR="00E51CDD" w:rsidRPr="00E51CDD" w:rsidRDefault="00E51CDD" w:rsidP="00E51CDD">
      <w:pPr>
        <w:widowControl w:val="0"/>
        <w:jc w:val="both"/>
        <w:rPr>
          <w:b/>
          <w:color w:val="0070C0"/>
          <w:szCs w:val="24"/>
          <w:lang w:eastAsia="en-US"/>
        </w:rPr>
      </w:pPr>
    </w:p>
    <w:p w14:paraId="71919167" w14:textId="77777777" w:rsidR="00E51CDD" w:rsidRPr="00E51CDD" w:rsidRDefault="00E51CDD" w:rsidP="00E51CDD">
      <w:pPr>
        <w:widowControl w:val="0"/>
        <w:jc w:val="both"/>
        <w:rPr>
          <w:b/>
          <w:color w:val="0070C0"/>
          <w:lang w:eastAsia="en-US"/>
        </w:rPr>
      </w:pPr>
    </w:p>
    <w:p w14:paraId="788417F9" w14:textId="77777777" w:rsidR="00E51CDD" w:rsidRPr="00E51CDD" w:rsidRDefault="00E51CDD" w:rsidP="00E51CDD">
      <w:pPr>
        <w:widowControl w:val="0"/>
        <w:jc w:val="both"/>
        <w:rPr>
          <w:b/>
          <w:bCs/>
          <w:u w:color="000000"/>
          <w:lang w:eastAsia="en-US"/>
        </w:rPr>
      </w:pPr>
      <w:r w:rsidRPr="00E51CDD">
        <w:rPr>
          <w:b/>
          <w:bCs/>
          <w:u w:color="000000"/>
          <w:lang w:eastAsia="en-US"/>
        </w:rPr>
        <w:br w:type="page"/>
      </w:r>
    </w:p>
    <w:p w14:paraId="7E989986" w14:textId="77777777" w:rsidR="00E51CDD" w:rsidRPr="00E51CDD" w:rsidRDefault="00E51CDD" w:rsidP="00C5395F">
      <w:pPr>
        <w:pStyle w:val="RepAppendix4"/>
      </w:pPr>
      <w:r w:rsidRPr="00E51CDD">
        <w:lastRenderedPageBreak/>
        <w:t>Study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987"/>
        <w:gridCol w:w="7357"/>
      </w:tblGrid>
      <w:tr w:rsidR="00E51CDD" w:rsidRPr="00E51CDD" w14:paraId="4DB51698" w14:textId="77777777" w:rsidTr="002B5466">
        <w:trPr>
          <w:trHeight w:val="915"/>
        </w:trPr>
        <w:tc>
          <w:tcPr>
            <w:tcW w:w="106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46A370" w14:textId="77777777" w:rsidR="00E51CDD" w:rsidRPr="00E51CDD" w:rsidRDefault="00E51CDD" w:rsidP="00E51CDD">
            <w:pPr>
              <w:widowControl w:val="0"/>
              <w:jc w:val="both"/>
              <w:rPr>
                <w:rFonts w:eastAsia="Batang"/>
                <w:lang w:val="en-GB"/>
              </w:rPr>
            </w:pPr>
            <w:r w:rsidRPr="00E51CDD">
              <w:rPr>
                <w:lang w:val="en-GB"/>
              </w:rPr>
              <w:t>Comments of zRMS:</w:t>
            </w:r>
          </w:p>
        </w:tc>
        <w:tc>
          <w:tcPr>
            <w:tcW w:w="393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F8DFF9" w14:textId="5A997822" w:rsidR="00E51CDD" w:rsidRPr="00E51CDD" w:rsidRDefault="00430938" w:rsidP="00E51CDD">
            <w:pPr>
              <w:widowControl w:val="0"/>
              <w:ind w:left="85"/>
              <w:jc w:val="both"/>
              <w:rPr>
                <w:rFonts w:eastAsia="Batang"/>
                <w:lang w:val="en-GB"/>
              </w:rPr>
            </w:pPr>
            <w:r w:rsidRPr="00312AD5">
              <w:rPr>
                <w:rFonts w:eastAsia="Batang"/>
              </w:rPr>
              <w:t xml:space="preserve">The study was conducted to the guideline and according to the principles of GLP. </w:t>
            </w:r>
            <w:r>
              <w:rPr>
                <w:rFonts w:eastAsia="Batang"/>
              </w:rPr>
              <w:t xml:space="preserve">All validity criterions were met. </w:t>
            </w:r>
            <w:r w:rsidRPr="00312AD5">
              <w:rPr>
                <w:color w:val="000000"/>
              </w:rPr>
              <w:t xml:space="preserve">The study is considered to be reliable </w:t>
            </w:r>
            <w:r w:rsidRPr="00312AD5">
              <w:t>and suitable for the risk assessment</w:t>
            </w:r>
            <w:r w:rsidRPr="00312AD5">
              <w:rPr>
                <w:color w:val="000000"/>
              </w:rPr>
              <w:t>.</w:t>
            </w:r>
          </w:p>
        </w:tc>
      </w:tr>
    </w:tbl>
    <w:p w14:paraId="37309578" w14:textId="77777777" w:rsidR="00E51CDD" w:rsidRPr="00E51CDD" w:rsidRDefault="00E51CDD" w:rsidP="00E51CDD"/>
    <w:tbl>
      <w:tblPr>
        <w:tblW w:w="8880" w:type="dxa"/>
        <w:tblLayout w:type="fixed"/>
        <w:tblCellMar>
          <w:top w:w="57" w:type="dxa"/>
          <w:left w:w="57" w:type="dxa"/>
          <w:bottom w:w="57" w:type="dxa"/>
          <w:right w:w="57" w:type="dxa"/>
        </w:tblCellMar>
        <w:tblLook w:val="01E0" w:firstRow="1" w:lastRow="1" w:firstColumn="1" w:lastColumn="1" w:noHBand="0" w:noVBand="0"/>
      </w:tblPr>
      <w:tblGrid>
        <w:gridCol w:w="2380"/>
        <w:gridCol w:w="6484"/>
        <w:gridCol w:w="16"/>
      </w:tblGrid>
      <w:tr w:rsidR="00E51CDD" w:rsidRPr="00E51CDD" w14:paraId="0D98F4F1" w14:textId="77777777" w:rsidTr="009938D9">
        <w:trPr>
          <w:gridAfter w:val="1"/>
          <w:wAfter w:w="9" w:type="pct"/>
        </w:trPr>
        <w:tc>
          <w:tcPr>
            <w:tcW w:w="1340" w:type="pct"/>
            <w:hideMark/>
          </w:tcPr>
          <w:p w14:paraId="5DE2E4AC" w14:textId="77777777" w:rsidR="00E51CDD" w:rsidRPr="00E51CDD" w:rsidRDefault="00E51CDD" w:rsidP="00E51CDD">
            <w:pPr>
              <w:widowControl w:val="0"/>
              <w:jc w:val="both"/>
              <w:rPr>
                <w:lang w:val="de-DE"/>
              </w:rPr>
            </w:pPr>
            <w:r w:rsidRPr="00E51CDD">
              <w:rPr>
                <w:lang w:val="en-GB"/>
              </w:rPr>
              <w:t>Reference:</w:t>
            </w:r>
          </w:p>
        </w:tc>
        <w:tc>
          <w:tcPr>
            <w:tcW w:w="3651" w:type="pct"/>
            <w:hideMark/>
          </w:tcPr>
          <w:p w14:paraId="646B90A5" w14:textId="77777777" w:rsidR="00E51CDD" w:rsidRPr="00E51CDD" w:rsidRDefault="00E51CDD" w:rsidP="00E51CDD">
            <w:pPr>
              <w:widowControl w:val="0"/>
              <w:jc w:val="both"/>
              <w:rPr>
                <w:lang w:val="en-GB"/>
              </w:rPr>
            </w:pPr>
            <w:r w:rsidRPr="00E51CDD">
              <w:rPr>
                <w:lang w:val="en-GB"/>
              </w:rPr>
              <w:t>CP 10.6.2/2</w:t>
            </w:r>
          </w:p>
        </w:tc>
      </w:tr>
      <w:tr w:rsidR="00E51CDD" w:rsidRPr="00E51CDD" w14:paraId="36CB4434" w14:textId="77777777" w:rsidTr="009938D9">
        <w:trPr>
          <w:gridAfter w:val="1"/>
          <w:wAfter w:w="9" w:type="pct"/>
        </w:trPr>
        <w:tc>
          <w:tcPr>
            <w:tcW w:w="1340" w:type="pct"/>
            <w:hideMark/>
          </w:tcPr>
          <w:p w14:paraId="3FF983B6" w14:textId="77777777" w:rsidR="00E51CDD" w:rsidRPr="00E51CDD" w:rsidRDefault="00E51CDD" w:rsidP="00E51CDD">
            <w:pPr>
              <w:widowControl w:val="0"/>
              <w:spacing w:after="120"/>
              <w:jc w:val="both"/>
              <w:rPr>
                <w:lang w:val="en-GB"/>
              </w:rPr>
            </w:pPr>
            <w:r w:rsidRPr="00E51CDD">
              <w:rPr>
                <w:lang w:val="en-GB"/>
              </w:rPr>
              <w:t>Report</w:t>
            </w:r>
          </w:p>
        </w:tc>
        <w:tc>
          <w:tcPr>
            <w:tcW w:w="3651" w:type="pct"/>
            <w:hideMark/>
          </w:tcPr>
          <w:p w14:paraId="623EC5DD" w14:textId="77777777" w:rsidR="00E51CDD" w:rsidRPr="00E51CDD" w:rsidRDefault="00E51CDD" w:rsidP="00E51CDD">
            <w:pPr>
              <w:widowControl w:val="0"/>
              <w:spacing w:after="120"/>
              <w:jc w:val="both"/>
            </w:pPr>
            <w:r w:rsidRPr="00E51CDD">
              <w:t>Effect of BAS 736 00 F on seedling emergence and seedling growth of ten species of terrestrial plants under greenhouse conditions,</w:t>
            </w:r>
          </w:p>
          <w:p w14:paraId="1D39ACF1" w14:textId="77777777" w:rsidR="00E51CDD" w:rsidRPr="00E51CDD" w:rsidRDefault="00E51CDD" w:rsidP="00E51CDD">
            <w:pPr>
              <w:widowControl w:val="0"/>
              <w:spacing w:after="120"/>
              <w:jc w:val="both"/>
            </w:pPr>
            <w:r w:rsidRPr="00E51CDD">
              <w:t>Maleck, A., 2019</w:t>
            </w:r>
          </w:p>
          <w:p w14:paraId="48AC647B" w14:textId="77777777" w:rsidR="00E51CDD" w:rsidRPr="00E51CDD" w:rsidRDefault="00E51CDD" w:rsidP="00E51CDD">
            <w:pPr>
              <w:widowControl w:val="0"/>
              <w:spacing w:after="120"/>
              <w:jc w:val="both"/>
            </w:pPr>
            <w:r w:rsidRPr="00E51CDD">
              <w:t>report No 849656, AC/BASF/19/19</w:t>
            </w:r>
          </w:p>
          <w:p w14:paraId="18978EBD" w14:textId="77777777" w:rsidR="00E51CDD" w:rsidRPr="00E51CDD" w:rsidRDefault="00E51CDD" w:rsidP="00E51CDD">
            <w:pPr>
              <w:widowControl w:val="0"/>
              <w:spacing w:after="120"/>
              <w:jc w:val="both"/>
              <w:rPr>
                <w:lang w:val="en-GB"/>
              </w:rPr>
            </w:pPr>
            <w:r w:rsidRPr="00E51CDD">
              <w:t>2019/1061110</w:t>
            </w:r>
          </w:p>
          <w:p w14:paraId="094BAA27" w14:textId="77777777" w:rsidR="00E51CDD" w:rsidRPr="00E51CDD" w:rsidRDefault="00E51CDD" w:rsidP="00E51CDD">
            <w:pPr>
              <w:widowControl w:val="0"/>
              <w:jc w:val="both"/>
              <w:rPr>
                <w:lang w:val="en-GB"/>
              </w:rPr>
            </w:pPr>
            <w:r w:rsidRPr="00E51CDD">
              <w:rPr>
                <w:lang w:val="en-GB"/>
              </w:rPr>
              <w:t>Authority registration No</w:t>
            </w:r>
          </w:p>
        </w:tc>
      </w:tr>
      <w:tr w:rsidR="00E51CDD" w:rsidRPr="00E51CDD" w14:paraId="583E2E46" w14:textId="77777777" w:rsidTr="009938D9">
        <w:trPr>
          <w:gridAfter w:val="1"/>
          <w:wAfter w:w="9" w:type="pct"/>
        </w:trPr>
        <w:tc>
          <w:tcPr>
            <w:tcW w:w="1340" w:type="pct"/>
            <w:hideMark/>
          </w:tcPr>
          <w:p w14:paraId="2F0454E9" w14:textId="77777777" w:rsidR="00E51CDD" w:rsidRPr="00E51CDD" w:rsidRDefault="00E51CDD" w:rsidP="00E51CDD">
            <w:pPr>
              <w:widowControl w:val="0"/>
              <w:jc w:val="both"/>
              <w:rPr>
                <w:lang w:val="en-GB"/>
              </w:rPr>
            </w:pPr>
            <w:r w:rsidRPr="00E51CDD">
              <w:rPr>
                <w:lang w:val="en-GB"/>
              </w:rPr>
              <w:t>Guideline(s):</w:t>
            </w:r>
          </w:p>
        </w:tc>
        <w:tc>
          <w:tcPr>
            <w:tcW w:w="3651" w:type="pct"/>
            <w:hideMark/>
          </w:tcPr>
          <w:p w14:paraId="543A3633" w14:textId="77777777" w:rsidR="00E51CDD" w:rsidRPr="00E51CDD" w:rsidRDefault="00E51CDD" w:rsidP="00E51CDD">
            <w:pPr>
              <w:widowControl w:val="0"/>
              <w:spacing w:after="120"/>
              <w:jc w:val="both"/>
              <w:rPr>
                <w:lang w:val="en-GB"/>
              </w:rPr>
            </w:pPr>
            <w:r w:rsidRPr="00E51CDD">
              <w:t>EPA 850.4100 - Seedling Emergence and Seedling Growth (2012), OECD 208</w:t>
            </w:r>
            <w:r w:rsidRPr="00E51CDD">
              <w:rPr>
                <w:lang w:val="en-GB"/>
              </w:rPr>
              <w:t xml:space="preserve"> </w:t>
            </w:r>
          </w:p>
        </w:tc>
      </w:tr>
      <w:tr w:rsidR="00E51CDD" w:rsidRPr="00E51CDD" w14:paraId="734619E5" w14:textId="77777777" w:rsidTr="009938D9">
        <w:trPr>
          <w:gridAfter w:val="1"/>
          <w:wAfter w:w="9" w:type="pct"/>
        </w:trPr>
        <w:tc>
          <w:tcPr>
            <w:tcW w:w="1340" w:type="pct"/>
            <w:hideMark/>
          </w:tcPr>
          <w:p w14:paraId="648214E9" w14:textId="77777777" w:rsidR="00E51CDD" w:rsidRPr="00E51CDD" w:rsidRDefault="00E51CDD" w:rsidP="00E51CDD">
            <w:pPr>
              <w:widowControl w:val="0"/>
              <w:jc w:val="both"/>
              <w:rPr>
                <w:lang w:val="en-GB"/>
              </w:rPr>
            </w:pPr>
            <w:r w:rsidRPr="00E51CDD">
              <w:rPr>
                <w:lang w:val="en-GB"/>
              </w:rPr>
              <w:t>Deviations:</w:t>
            </w:r>
          </w:p>
        </w:tc>
        <w:tc>
          <w:tcPr>
            <w:tcW w:w="3651" w:type="pct"/>
            <w:hideMark/>
          </w:tcPr>
          <w:p w14:paraId="6D69148B" w14:textId="77777777" w:rsidR="00E51CDD" w:rsidRPr="00E51CDD" w:rsidRDefault="00E51CDD" w:rsidP="00E51CDD">
            <w:pPr>
              <w:widowControl w:val="0"/>
              <w:spacing w:after="120"/>
              <w:jc w:val="both"/>
              <w:rPr>
                <w:lang w:val="en-GB"/>
              </w:rPr>
            </w:pPr>
            <w:r w:rsidRPr="00E51CDD">
              <w:rPr>
                <w:lang w:val="en-GB"/>
              </w:rPr>
              <w:t>No</w:t>
            </w:r>
          </w:p>
        </w:tc>
      </w:tr>
      <w:tr w:rsidR="00E51CDD" w:rsidRPr="00662F32" w14:paraId="03FEADD6" w14:textId="77777777" w:rsidTr="009938D9">
        <w:tc>
          <w:tcPr>
            <w:tcW w:w="1340" w:type="pct"/>
            <w:hideMark/>
          </w:tcPr>
          <w:p w14:paraId="635C5AB4" w14:textId="77777777" w:rsidR="00E51CDD" w:rsidRPr="00E51CDD" w:rsidRDefault="00E51CDD" w:rsidP="00E51CDD">
            <w:pPr>
              <w:widowControl w:val="0"/>
              <w:jc w:val="both"/>
              <w:rPr>
                <w:lang w:val="en-GB"/>
              </w:rPr>
            </w:pPr>
            <w:r w:rsidRPr="00E51CDD">
              <w:rPr>
                <w:lang w:val="en-GB"/>
              </w:rPr>
              <w:t>GLP:</w:t>
            </w:r>
          </w:p>
        </w:tc>
        <w:tc>
          <w:tcPr>
            <w:tcW w:w="3660" w:type="pct"/>
            <w:gridSpan w:val="2"/>
            <w:hideMark/>
          </w:tcPr>
          <w:p w14:paraId="6910969C" w14:textId="77777777" w:rsidR="00E51CDD" w:rsidRPr="00E51CDD" w:rsidRDefault="00E51CDD" w:rsidP="00E51CDD">
            <w:pPr>
              <w:tabs>
                <w:tab w:val="left" w:pos="425"/>
                <w:tab w:val="left" w:pos="850"/>
              </w:tabs>
              <w:spacing w:after="120"/>
              <w:ind w:left="1985" w:hanging="1985"/>
              <w:rPr>
                <w:b/>
                <w:lang w:val="de-DE"/>
              </w:rPr>
            </w:pPr>
            <w:r w:rsidRPr="00E51CDD">
              <w:rPr>
                <w:lang w:val="de-DE"/>
              </w:rPr>
              <w:t>yes</w:t>
            </w:r>
          </w:p>
          <w:p w14:paraId="3C6EDC1A" w14:textId="77777777" w:rsidR="00E51CDD" w:rsidRPr="00E51CDD" w:rsidRDefault="00E51CDD" w:rsidP="00E51CDD">
            <w:pPr>
              <w:widowControl w:val="0"/>
              <w:spacing w:after="120"/>
              <w:rPr>
                <w:lang w:val="de-DE"/>
              </w:rPr>
            </w:pPr>
            <w:r w:rsidRPr="00E51CDD">
              <w:rPr>
                <w:lang w:val="de-DE"/>
              </w:rPr>
              <w:t xml:space="preserve">(certified by Land Brandenburg Ministerium der Justiz und fuer Europa und fuer Verbraucherschutz, Potsdam, Germany), </w:t>
            </w:r>
          </w:p>
        </w:tc>
      </w:tr>
      <w:tr w:rsidR="00E51CDD" w:rsidRPr="00E51CDD" w14:paraId="694542EB" w14:textId="77777777" w:rsidTr="009938D9">
        <w:trPr>
          <w:gridAfter w:val="1"/>
          <w:wAfter w:w="9" w:type="pct"/>
        </w:trPr>
        <w:tc>
          <w:tcPr>
            <w:tcW w:w="1340" w:type="pct"/>
            <w:hideMark/>
          </w:tcPr>
          <w:p w14:paraId="5C5F9CCB" w14:textId="77777777" w:rsidR="00E51CDD" w:rsidRPr="00E51CDD" w:rsidRDefault="00E51CDD" w:rsidP="00E51CDD">
            <w:pPr>
              <w:widowControl w:val="0"/>
              <w:jc w:val="both"/>
              <w:rPr>
                <w:lang w:val="de-DE"/>
              </w:rPr>
            </w:pPr>
            <w:r w:rsidRPr="00E51CDD">
              <w:rPr>
                <w:lang w:val="en-GB"/>
              </w:rPr>
              <w:t>Acceptability:</w:t>
            </w:r>
          </w:p>
        </w:tc>
        <w:tc>
          <w:tcPr>
            <w:tcW w:w="3651" w:type="pct"/>
            <w:hideMark/>
          </w:tcPr>
          <w:p w14:paraId="5B0EFE79" w14:textId="77777777" w:rsidR="00E51CDD" w:rsidRPr="00E51CDD" w:rsidRDefault="00E51CDD" w:rsidP="00E51CDD">
            <w:pPr>
              <w:widowControl w:val="0"/>
              <w:jc w:val="both"/>
              <w:rPr>
                <w:lang w:val="en-GB"/>
              </w:rPr>
            </w:pPr>
            <w:r w:rsidRPr="00E51CDD">
              <w:rPr>
                <w:lang w:val="en-GB"/>
              </w:rPr>
              <w:t xml:space="preserve">Yes </w:t>
            </w:r>
          </w:p>
        </w:tc>
      </w:tr>
      <w:tr w:rsidR="00E51CDD" w:rsidRPr="00E51CDD" w14:paraId="7C8B979F" w14:textId="77777777" w:rsidTr="009938D9">
        <w:trPr>
          <w:gridAfter w:val="1"/>
          <w:wAfter w:w="9" w:type="pct"/>
        </w:trPr>
        <w:tc>
          <w:tcPr>
            <w:tcW w:w="1340" w:type="pct"/>
            <w:hideMark/>
          </w:tcPr>
          <w:p w14:paraId="21251ED8" w14:textId="77777777" w:rsidR="00E51CDD" w:rsidRPr="00E51CDD" w:rsidRDefault="00E51CDD" w:rsidP="00E51CDD">
            <w:pPr>
              <w:widowControl w:val="0"/>
              <w:jc w:val="both"/>
              <w:rPr>
                <w:lang w:val="en-GB"/>
              </w:rPr>
            </w:pPr>
            <w:r w:rsidRPr="00E51CDD">
              <w:rPr>
                <w:lang w:val="en-GB"/>
              </w:rPr>
              <w:t xml:space="preserve">Duplication </w:t>
            </w:r>
            <w:r w:rsidRPr="00E51CDD">
              <w:rPr>
                <w:lang w:val="en-GB"/>
              </w:rPr>
              <w:br/>
              <w:t>(if vertebrate study)</w:t>
            </w:r>
          </w:p>
        </w:tc>
        <w:tc>
          <w:tcPr>
            <w:tcW w:w="3651" w:type="pct"/>
            <w:hideMark/>
          </w:tcPr>
          <w:p w14:paraId="281D0668" w14:textId="77777777" w:rsidR="00E51CDD" w:rsidRPr="00E51CDD" w:rsidRDefault="00E51CDD" w:rsidP="00E51CDD">
            <w:pPr>
              <w:widowControl w:val="0"/>
              <w:spacing w:after="120"/>
              <w:jc w:val="both"/>
              <w:rPr>
                <w:highlight w:val="yellow"/>
                <w:lang w:val="en-GB"/>
              </w:rPr>
            </w:pPr>
            <w:r w:rsidRPr="00E51CDD">
              <w:rPr>
                <w:lang w:val="en-GB"/>
              </w:rPr>
              <w:t>No</w:t>
            </w:r>
          </w:p>
        </w:tc>
      </w:tr>
    </w:tbl>
    <w:p w14:paraId="1244B8C8" w14:textId="77777777" w:rsidR="00E51CDD" w:rsidRPr="00E51CDD" w:rsidRDefault="00E51CDD" w:rsidP="00E51CDD">
      <w:pPr>
        <w:widowControl w:val="0"/>
        <w:jc w:val="both"/>
      </w:pPr>
    </w:p>
    <w:p w14:paraId="71719A9C" w14:textId="77777777" w:rsidR="00E51CDD" w:rsidRPr="00E51CDD" w:rsidRDefault="00E51CDD" w:rsidP="00E51CDD">
      <w:pPr>
        <w:widowControl w:val="0"/>
        <w:jc w:val="both"/>
      </w:pPr>
    </w:p>
    <w:p w14:paraId="2E45373A" w14:textId="77777777" w:rsidR="00E51CDD" w:rsidRPr="00E51CDD" w:rsidRDefault="00E51CDD" w:rsidP="00E51CDD">
      <w:pPr>
        <w:widowControl w:val="0"/>
        <w:jc w:val="both"/>
        <w:rPr>
          <w:b/>
          <w:bCs/>
          <w:u w:color="000000"/>
          <w:lang w:eastAsia="en-US"/>
        </w:rPr>
      </w:pPr>
      <w:r w:rsidRPr="00E51CDD">
        <w:rPr>
          <w:b/>
          <w:bCs/>
          <w:u w:color="000000"/>
          <w:lang w:eastAsia="en-US"/>
        </w:rPr>
        <w:t>Executive Summary</w:t>
      </w:r>
    </w:p>
    <w:p w14:paraId="30647CEB" w14:textId="77777777" w:rsidR="00E51CDD" w:rsidRPr="00E51CDD" w:rsidRDefault="00E51CDD" w:rsidP="00E51CDD">
      <w:pPr>
        <w:widowControl w:val="0"/>
        <w:jc w:val="both"/>
      </w:pPr>
    </w:p>
    <w:p w14:paraId="1A191CD7" w14:textId="77777777" w:rsidR="00E51CDD" w:rsidRPr="00E51CDD" w:rsidRDefault="00E51CDD" w:rsidP="00E51CDD">
      <w:pPr>
        <w:widowControl w:val="0"/>
        <w:jc w:val="both"/>
        <w:rPr>
          <w:lang w:eastAsia="en-US"/>
        </w:rPr>
      </w:pPr>
      <w:r w:rsidRPr="00E51CDD">
        <w:t xml:space="preserve">In a seedling emergence test, </w:t>
      </w:r>
      <w:r w:rsidRPr="00E51CDD">
        <w:rPr>
          <w:szCs w:val="24"/>
          <w:lang w:eastAsia="en-US"/>
        </w:rPr>
        <w:t xml:space="preserve">six species of dicotyledonous plants (carrot, lettuce, oilseed rape, cabbage, soybean and tomato) and four species of monocotyledonous plants (onion, ryegrass, wheat and corn) were exposed to BAS 736 00 F to evaluate the phytotoxic potential. </w:t>
      </w:r>
      <w:r w:rsidRPr="00E51CDD">
        <w:rPr>
          <w:lang w:eastAsia="en-US"/>
        </w:rPr>
        <w:t xml:space="preserve">BAS 736 00 F was applied pre-emergence at a limit rate of 2.0 L BAS 736 00 F/ha. After application, the seeds were cultivated for 21 days under greenhouse conditions (28 days for carrot and onion). Assessment of </w:t>
      </w:r>
      <w:r w:rsidRPr="00E51CDD">
        <w:rPr>
          <w:spacing w:val="-3"/>
          <w:szCs w:val="24"/>
          <w:lang w:eastAsia="en-US"/>
        </w:rPr>
        <w:t>seedling emergence, plant survival and plant damage (phytotoxicity) were</w:t>
      </w:r>
      <w:r w:rsidRPr="00E51CDD">
        <w:rPr>
          <w:lang w:eastAsia="en-US"/>
        </w:rPr>
        <w:t xml:space="preserve"> done 7, 14 and 21 days after treatment (DAT; 14, 21 and 28 DAT for carrot and onion). Assessments of shoot dry weight and single plant length was determined 21 DAT (28 DAT for onion and carrot).</w:t>
      </w:r>
    </w:p>
    <w:p w14:paraId="507412EF" w14:textId="77777777" w:rsidR="00E51CDD" w:rsidRPr="00E51CDD" w:rsidRDefault="00E51CDD" w:rsidP="00E51CDD">
      <w:pPr>
        <w:widowControl w:val="0"/>
        <w:jc w:val="both"/>
        <w:rPr>
          <w:color w:val="0070C0"/>
        </w:rPr>
      </w:pPr>
    </w:p>
    <w:p w14:paraId="100748D2" w14:textId="77777777" w:rsidR="00E51CDD" w:rsidRPr="00E51CDD" w:rsidRDefault="00E51CDD" w:rsidP="00E51CDD">
      <w:pPr>
        <w:spacing w:after="160" w:line="259" w:lineRule="auto"/>
        <w:jc w:val="both"/>
        <w:rPr>
          <w:rFonts w:eastAsia="Calibri"/>
          <w:b/>
          <w:bCs/>
          <w:lang w:eastAsia="en-US"/>
        </w:rPr>
      </w:pPr>
      <w:r w:rsidRPr="00E51CDD">
        <w:t>After exposure,</w:t>
      </w:r>
      <w:r w:rsidRPr="00E51CDD">
        <w:rPr>
          <w:rFonts w:ascii="Calibri" w:eastAsia="Calibri" w:hAnsi="Calibri"/>
          <w:lang w:eastAsia="en-US"/>
        </w:rPr>
        <w:t xml:space="preserve"> </w:t>
      </w:r>
      <w:r w:rsidRPr="00E51CDD">
        <w:t>none of the tested plant species was affected concerning seedling emergence and plant survival by the application of 2.0 L BAS 736 00 F/ha.</w:t>
      </w:r>
      <w:r w:rsidRPr="00E51CDD">
        <w:rPr>
          <w:rFonts w:ascii="Calibri" w:eastAsia="Calibri" w:hAnsi="Calibri"/>
          <w:lang w:eastAsia="en-US"/>
        </w:rPr>
        <w:t xml:space="preserve"> </w:t>
      </w:r>
      <w:r w:rsidRPr="00E51CDD">
        <w:t>Furthermore, all tested species showed no phytotoxic symptoms after use of 2.0 L BAS 736 00 F/ha pre emergence. No reduction of plant length and biomass was observed for all tested plant species following the application of 2.0 L BAS 736 00 F/ha.</w:t>
      </w:r>
    </w:p>
    <w:p w14:paraId="02816CA5" w14:textId="77777777" w:rsidR="00E51CDD" w:rsidRPr="00E51CDD" w:rsidRDefault="00E51CDD" w:rsidP="00E51CDD">
      <w:pPr>
        <w:widowControl w:val="0"/>
        <w:jc w:val="both"/>
        <w:rPr>
          <w:rFonts w:eastAsia="Calibri"/>
          <w:b/>
          <w:bCs/>
          <w:lang w:eastAsia="en-US"/>
        </w:rPr>
      </w:pPr>
      <w:r w:rsidRPr="00E51CDD">
        <w:rPr>
          <w:rFonts w:eastAsia="Calibri"/>
          <w:b/>
          <w:bCs/>
          <w:lang w:eastAsia="en-US"/>
        </w:rPr>
        <w:t>Based on the results of this study, conducted under greenhouse conditions, it can be concluded that BAS 736 00 F at a rate of 2.0 L product/ha did not cause effects to the seedling emergence, plant survival, plant length and plant biomass of the tested plant species. For all tested species, the ER</w:t>
      </w:r>
      <w:r w:rsidRPr="00E51CDD">
        <w:rPr>
          <w:rFonts w:eastAsia="Calibri"/>
          <w:b/>
          <w:bCs/>
          <w:vertAlign w:val="subscript"/>
          <w:lang w:eastAsia="en-US"/>
        </w:rPr>
        <w:t>50</w:t>
      </w:r>
      <w:r w:rsidRPr="00E51CDD">
        <w:rPr>
          <w:rFonts w:eastAsia="Calibri"/>
          <w:b/>
          <w:bCs/>
          <w:lang w:eastAsia="en-US"/>
        </w:rPr>
        <w:t xml:space="preserve"> was estimated to be &gt; 2.0 L BAS 736 00 F/ha.</w:t>
      </w:r>
    </w:p>
    <w:p w14:paraId="3A31ACF1" w14:textId="77777777" w:rsidR="00E51CDD" w:rsidRPr="00E51CDD" w:rsidRDefault="00E51CDD" w:rsidP="00E51CDD">
      <w:pPr>
        <w:widowControl w:val="0"/>
        <w:jc w:val="both"/>
        <w:rPr>
          <w:b/>
          <w:bCs/>
          <w:color w:val="0070C0"/>
          <w:highlight w:val="yellow"/>
          <w:u w:color="000000"/>
          <w:lang w:eastAsia="en-US"/>
        </w:rPr>
      </w:pPr>
    </w:p>
    <w:p w14:paraId="1EC45978" w14:textId="77777777" w:rsidR="00E51CDD" w:rsidRPr="00E51CDD" w:rsidRDefault="00E51CDD" w:rsidP="00E51CDD">
      <w:pPr>
        <w:widowControl w:val="0"/>
        <w:jc w:val="both"/>
        <w:rPr>
          <w:b/>
          <w:bCs/>
          <w:color w:val="0070C0"/>
          <w:highlight w:val="yellow"/>
          <w:u w:color="000000"/>
          <w:lang w:eastAsia="en-US"/>
        </w:rPr>
      </w:pPr>
      <w:r w:rsidRPr="00E51CDD">
        <w:rPr>
          <w:b/>
          <w:bCs/>
          <w:color w:val="0070C0"/>
          <w:highlight w:val="yellow"/>
          <w:u w:color="000000"/>
          <w:lang w:eastAsia="en-US"/>
        </w:rPr>
        <w:br w:type="page"/>
      </w:r>
    </w:p>
    <w:p w14:paraId="6DA918BF" w14:textId="77777777" w:rsidR="00E51CDD" w:rsidRPr="00E51CDD" w:rsidRDefault="00E51CDD" w:rsidP="00E51CDD">
      <w:pPr>
        <w:widowControl w:val="0"/>
        <w:tabs>
          <w:tab w:val="left" w:pos="425"/>
          <w:tab w:val="left" w:pos="850"/>
        </w:tabs>
        <w:ind w:left="2835" w:hanging="2835"/>
        <w:jc w:val="both"/>
        <w:rPr>
          <w:b/>
        </w:rPr>
      </w:pPr>
      <w:r w:rsidRPr="00E51CDD">
        <w:rPr>
          <w:b/>
        </w:rPr>
        <w:lastRenderedPageBreak/>
        <w:t>I.</w:t>
      </w:r>
      <w:r w:rsidRPr="00E51CDD">
        <w:rPr>
          <w:b/>
        </w:rPr>
        <w:tab/>
        <w:t>MATERIALS AND METHODS</w:t>
      </w:r>
    </w:p>
    <w:p w14:paraId="0B275485" w14:textId="77777777" w:rsidR="00E51CDD" w:rsidRPr="00E51CDD" w:rsidRDefault="00E51CDD" w:rsidP="00E51CDD">
      <w:pPr>
        <w:widowControl w:val="0"/>
        <w:jc w:val="both"/>
        <w:rPr>
          <w:sz w:val="24"/>
        </w:rPr>
      </w:pPr>
    </w:p>
    <w:p w14:paraId="7EE232FA" w14:textId="77777777" w:rsidR="00E51CDD" w:rsidRPr="00E51CDD" w:rsidRDefault="00E51CDD" w:rsidP="00E51CDD">
      <w:pPr>
        <w:tabs>
          <w:tab w:val="left" w:pos="425"/>
          <w:tab w:val="left" w:pos="850"/>
        </w:tabs>
        <w:ind w:left="2835" w:hanging="2835"/>
        <w:jc w:val="both"/>
        <w:rPr>
          <w:b/>
          <w:bCs/>
        </w:rPr>
      </w:pPr>
      <w:r w:rsidRPr="00E51CDD">
        <w:rPr>
          <w:b/>
          <w:bCs/>
        </w:rPr>
        <w:t>A.</w:t>
      </w:r>
      <w:r w:rsidRPr="00E51CDD">
        <w:rPr>
          <w:b/>
          <w:bCs/>
        </w:rPr>
        <w:tab/>
        <w:t>MATERIALS</w:t>
      </w:r>
    </w:p>
    <w:p w14:paraId="46CA97A8" w14:textId="77777777" w:rsidR="00E51CDD" w:rsidRPr="00E51CDD" w:rsidRDefault="00E51CDD" w:rsidP="00E51CDD">
      <w:pPr>
        <w:widowControl w:val="0"/>
        <w:jc w:val="both"/>
      </w:pPr>
    </w:p>
    <w:p w14:paraId="6528E52A" w14:textId="77777777" w:rsidR="00E51CDD" w:rsidRPr="00E51CDD" w:rsidRDefault="00E51CDD" w:rsidP="00E51CDD">
      <w:pPr>
        <w:widowControl w:val="0"/>
        <w:ind w:left="2040" w:hanging="2040"/>
        <w:jc w:val="both"/>
      </w:pPr>
      <w:r w:rsidRPr="00E51CDD">
        <w:t xml:space="preserve">Test item: </w:t>
      </w:r>
      <w:r w:rsidRPr="00E51CDD">
        <w:tab/>
      </w:r>
      <w:r w:rsidRPr="00E51CDD">
        <w:rPr>
          <w:rFonts w:eastAsia="Calibri"/>
          <w:szCs w:val="24"/>
          <w:lang w:eastAsia="en-US"/>
        </w:rPr>
        <w:t>BAS 736 00 F; batch no. FD-190220-0002; content of a.s.: azoxystrobin (BAS 9164 F, Reg. No. 300 254): 73.9 g/L analyzed (75.0</w:t>
      </w:r>
      <w:r w:rsidRPr="00E51CDD">
        <w:rPr>
          <w:rFonts w:eastAsia="Calibri"/>
          <w:lang w:eastAsia="en-US"/>
        </w:rPr>
        <w:t> g/L</w:t>
      </w:r>
      <w:r w:rsidRPr="00E51CDD">
        <w:rPr>
          <w:rFonts w:eastAsia="Calibri"/>
          <w:szCs w:val="24"/>
          <w:lang w:eastAsia="en-US"/>
        </w:rPr>
        <w:t xml:space="preserve"> nominal), fluxapyroxad (BAS 700 F, Reg. No. 5 094 351): 49.4 g/L analyzed (50.0 g/L nominal); density: 1.078 g/cm³.</w:t>
      </w:r>
    </w:p>
    <w:p w14:paraId="6CEC73FE" w14:textId="77777777" w:rsidR="00E51CDD" w:rsidRPr="00E51CDD" w:rsidRDefault="00E51CDD" w:rsidP="00E51CDD">
      <w:pPr>
        <w:widowControl w:val="0"/>
        <w:jc w:val="both"/>
      </w:pPr>
    </w:p>
    <w:p w14:paraId="462ABB27" w14:textId="77777777" w:rsidR="00E51CDD" w:rsidRPr="00E51CDD" w:rsidRDefault="00E51CDD" w:rsidP="00E51CDD">
      <w:pPr>
        <w:tabs>
          <w:tab w:val="left" w:pos="425"/>
          <w:tab w:val="left" w:pos="850"/>
        </w:tabs>
        <w:ind w:left="2835" w:hanging="2835"/>
        <w:jc w:val="both"/>
        <w:rPr>
          <w:b/>
          <w:bCs/>
        </w:rPr>
      </w:pPr>
      <w:r w:rsidRPr="00E51CDD">
        <w:rPr>
          <w:b/>
          <w:bCs/>
        </w:rPr>
        <w:t>B.</w:t>
      </w:r>
      <w:r w:rsidRPr="00E51CDD">
        <w:rPr>
          <w:b/>
          <w:bCs/>
        </w:rPr>
        <w:tab/>
        <w:t>STUDY DESIGN</w:t>
      </w:r>
    </w:p>
    <w:p w14:paraId="705AA5F3" w14:textId="77777777" w:rsidR="00E51CDD" w:rsidRPr="00E51CDD" w:rsidRDefault="00E51CDD" w:rsidP="00E51CDD">
      <w:pPr>
        <w:widowControl w:val="0"/>
        <w:ind w:left="2040" w:hanging="2040"/>
        <w:jc w:val="both"/>
      </w:pPr>
    </w:p>
    <w:p w14:paraId="609D52DC" w14:textId="77777777" w:rsidR="00E51CDD" w:rsidRPr="00E51CDD" w:rsidRDefault="00E51CDD" w:rsidP="00E51CDD">
      <w:pPr>
        <w:widowControl w:val="0"/>
        <w:ind w:left="2040" w:hanging="2040"/>
        <w:jc w:val="both"/>
        <w:rPr>
          <w:i/>
          <w:lang w:eastAsia="en-US"/>
        </w:rPr>
      </w:pPr>
      <w:r w:rsidRPr="00E51CDD">
        <w:t xml:space="preserve">Test species: </w:t>
      </w:r>
      <w:r w:rsidRPr="00E51CDD">
        <w:tab/>
      </w:r>
      <w:r w:rsidRPr="00E51CDD">
        <w:rPr>
          <w:iCs/>
          <w:szCs w:val="24"/>
          <w:lang w:val="en-GB" w:eastAsia="en-US"/>
        </w:rPr>
        <w:t xml:space="preserve">Dicotyledonous species: </w:t>
      </w:r>
      <w:r w:rsidRPr="00E51CDD">
        <w:t>Carrot (</w:t>
      </w:r>
      <w:r w:rsidRPr="00E51CDD">
        <w:rPr>
          <w:i/>
          <w:lang w:eastAsia="en-US"/>
        </w:rPr>
        <w:t xml:space="preserve">Daucus carota </w:t>
      </w:r>
      <w:r w:rsidRPr="00E51CDD">
        <w:rPr>
          <w:lang w:eastAsia="en-US"/>
        </w:rPr>
        <w:t>L.</w:t>
      </w:r>
      <w:r w:rsidRPr="00E51CDD">
        <w:t>), lettuce (</w:t>
      </w:r>
      <w:r w:rsidRPr="00E51CDD">
        <w:rPr>
          <w:i/>
        </w:rPr>
        <w:t xml:space="preserve">Lactuca sativa </w:t>
      </w:r>
      <w:r w:rsidRPr="00E51CDD">
        <w:t>L.), cabbage (</w:t>
      </w:r>
      <w:r w:rsidRPr="00E51CDD">
        <w:rPr>
          <w:i/>
        </w:rPr>
        <w:t xml:space="preserve">Brassica oleracea </w:t>
      </w:r>
      <w:r w:rsidRPr="00E51CDD">
        <w:t>L.</w:t>
      </w:r>
      <w:r w:rsidRPr="00E51CDD">
        <w:rPr>
          <w:i/>
        </w:rPr>
        <w:t xml:space="preserve"> var. capitata</w:t>
      </w:r>
      <w:r w:rsidRPr="00E51CDD">
        <w:t>), oilseed rape (</w:t>
      </w:r>
      <w:r w:rsidRPr="00E51CDD">
        <w:rPr>
          <w:i/>
          <w:lang w:eastAsia="en-US"/>
        </w:rPr>
        <w:t xml:space="preserve">Brassica napus </w:t>
      </w:r>
      <w:r w:rsidRPr="00E51CDD">
        <w:rPr>
          <w:lang w:eastAsia="en-US"/>
        </w:rPr>
        <w:t>L</w:t>
      </w:r>
      <w:r w:rsidRPr="00E51CDD">
        <w:rPr>
          <w:i/>
          <w:lang w:eastAsia="en-US"/>
        </w:rPr>
        <w:t xml:space="preserve">. </w:t>
      </w:r>
      <w:r w:rsidRPr="00E51CDD">
        <w:rPr>
          <w:lang w:eastAsia="en-US"/>
        </w:rPr>
        <w:t>spp.</w:t>
      </w:r>
      <w:r w:rsidRPr="00E51CDD">
        <w:rPr>
          <w:i/>
          <w:lang w:eastAsia="en-US"/>
        </w:rPr>
        <w:t xml:space="preserve"> napus</w:t>
      </w:r>
      <w:r w:rsidRPr="00E51CDD">
        <w:t>), tomato (</w:t>
      </w:r>
      <w:r w:rsidRPr="00E51CDD">
        <w:rPr>
          <w:i/>
          <w:lang w:eastAsia="en-US"/>
        </w:rPr>
        <w:t>S</w:t>
      </w:r>
      <w:r w:rsidRPr="00E51CDD">
        <w:rPr>
          <w:i/>
          <w:iCs/>
          <w:lang w:eastAsia="en-US"/>
        </w:rPr>
        <w:t>olanum</w:t>
      </w:r>
      <w:r w:rsidRPr="00E51CDD">
        <w:rPr>
          <w:i/>
          <w:lang w:eastAsia="en-US"/>
        </w:rPr>
        <w:t xml:space="preserve"> </w:t>
      </w:r>
      <w:r w:rsidRPr="00E51CDD">
        <w:rPr>
          <w:i/>
          <w:iCs/>
          <w:lang w:eastAsia="en-US"/>
        </w:rPr>
        <w:t xml:space="preserve">lycopersicum </w:t>
      </w:r>
      <w:r w:rsidRPr="00E51CDD">
        <w:rPr>
          <w:i/>
          <w:lang w:eastAsia="en-US"/>
        </w:rPr>
        <w:t>L.</w:t>
      </w:r>
      <w:r w:rsidRPr="00E51CDD">
        <w:t>), soybean (</w:t>
      </w:r>
      <w:r w:rsidRPr="00E51CDD">
        <w:rPr>
          <w:i/>
        </w:rPr>
        <w:t xml:space="preserve">Glycine max </w:t>
      </w:r>
      <w:r w:rsidRPr="00E51CDD">
        <w:t xml:space="preserve">L.). </w:t>
      </w:r>
    </w:p>
    <w:p w14:paraId="0E80BE3B" w14:textId="77777777" w:rsidR="00E51CDD" w:rsidRPr="00E51CDD" w:rsidRDefault="00E51CDD" w:rsidP="00E51CDD">
      <w:pPr>
        <w:widowControl w:val="0"/>
        <w:ind w:left="2040"/>
        <w:jc w:val="both"/>
        <w:rPr>
          <w:highlight w:val="yellow"/>
        </w:rPr>
      </w:pPr>
      <w:r w:rsidRPr="00E51CDD">
        <w:rPr>
          <w:iCs/>
          <w:lang w:val="en-GB"/>
        </w:rPr>
        <w:t xml:space="preserve">Monocotyledonous species: </w:t>
      </w:r>
      <w:r w:rsidRPr="00E51CDD">
        <w:t>onion (</w:t>
      </w:r>
      <w:r w:rsidRPr="00E51CDD">
        <w:rPr>
          <w:i/>
          <w:lang w:eastAsia="en-US"/>
        </w:rPr>
        <w:t xml:space="preserve">Allium cepa </w:t>
      </w:r>
      <w:r w:rsidRPr="00E51CDD">
        <w:rPr>
          <w:lang w:eastAsia="en-US"/>
        </w:rPr>
        <w:t>L.</w:t>
      </w:r>
      <w:r w:rsidRPr="00E51CDD">
        <w:t>), ryegrass (</w:t>
      </w:r>
      <w:r w:rsidRPr="00E51CDD">
        <w:rPr>
          <w:i/>
          <w:lang w:eastAsia="en-US"/>
        </w:rPr>
        <w:t xml:space="preserve">Lolium </w:t>
      </w:r>
      <w:r w:rsidRPr="00E51CDD">
        <w:rPr>
          <w:rFonts w:ascii="Arial-ItalicMT" w:eastAsia="Calibri" w:hAnsi="Arial-ItalicMT" w:cs="Arial-ItalicMT"/>
          <w:i/>
          <w:iCs/>
          <w:sz w:val="20"/>
          <w:szCs w:val="20"/>
          <w:lang w:eastAsia="en-US"/>
        </w:rPr>
        <w:t>multiflorum</w:t>
      </w:r>
      <w:r w:rsidRPr="00E51CDD">
        <w:rPr>
          <w:i/>
          <w:lang w:eastAsia="en-US"/>
        </w:rPr>
        <w:t xml:space="preserve">e </w:t>
      </w:r>
      <w:r w:rsidRPr="00E51CDD">
        <w:rPr>
          <w:lang w:eastAsia="en-US"/>
        </w:rPr>
        <w:t>L.</w:t>
      </w:r>
      <w:r w:rsidRPr="00E51CDD">
        <w:t>), wheat (</w:t>
      </w:r>
      <w:r w:rsidRPr="00E51CDD">
        <w:rPr>
          <w:i/>
        </w:rPr>
        <w:t>Triticum aestivum</w:t>
      </w:r>
      <w:r w:rsidRPr="00E51CDD">
        <w:t xml:space="preserve"> L.), corn (</w:t>
      </w:r>
      <w:r w:rsidRPr="00E51CDD">
        <w:rPr>
          <w:i/>
          <w:lang w:eastAsia="en-US"/>
        </w:rPr>
        <w:t>Zea mays L.</w:t>
      </w:r>
      <w:r w:rsidRPr="00E51CDD">
        <w:t>).</w:t>
      </w:r>
    </w:p>
    <w:p w14:paraId="7C0E9E05" w14:textId="77777777" w:rsidR="00E51CDD" w:rsidRPr="00E51CDD" w:rsidRDefault="00E51CDD" w:rsidP="00E51CDD">
      <w:pPr>
        <w:widowControl w:val="0"/>
        <w:ind w:left="2040" w:hanging="2040"/>
        <w:jc w:val="both"/>
        <w:rPr>
          <w:highlight w:val="yellow"/>
        </w:rPr>
      </w:pPr>
    </w:p>
    <w:p w14:paraId="57D115AF" w14:textId="77777777" w:rsidR="00E51CDD" w:rsidRPr="00E51CDD" w:rsidRDefault="00E51CDD" w:rsidP="00E51CDD">
      <w:pPr>
        <w:widowControl w:val="0"/>
        <w:ind w:left="2040" w:hanging="2040"/>
        <w:jc w:val="both"/>
      </w:pPr>
      <w:r w:rsidRPr="00E51CDD">
        <w:t xml:space="preserve">Test design: </w:t>
      </w:r>
      <w:r w:rsidRPr="00E51CDD">
        <w:tab/>
      </w:r>
      <w:r w:rsidRPr="00E51CDD">
        <w:rPr>
          <w:spacing w:val="-3"/>
          <w:szCs w:val="24"/>
          <w:lang w:eastAsia="en-US"/>
        </w:rPr>
        <w:t>Greenhouse study, limit test; 1 test item rate and 1 tap water control; 4 replicates per treatment, 1 to 2 pots per replicate depending on the species and 5 seeds per pot for soybean, tomato, corn, lettuce, oilseed rape and cabbage and 10 plants per pot for carrot, onion, ryegrass and wheat; test item applied pre-emergence using a laboratory spray chamber at a water volume of 265 L/ha. Assessments for seedling emergence, plant survival and plant damage (phytotoxicity) were done 7, 14 and 21 DAT (carrot and onion 14, 21 and 28 DAT). Shoot dry weight and single plant length was determined 21 DAT (28 DAT for onion and carrot).</w:t>
      </w:r>
    </w:p>
    <w:p w14:paraId="0B39BBC2" w14:textId="77777777" w:rsidR="00E51CDD" w:rsidRPr="00E51CDD" w:rsidRDefault="00E51CDD" w:rsidP="00E51CDD">
      <w:pPr>
        <w:widowControl w:val="0"/>
        <w:ind w:left="2040" w:hanging="2040"/>
        <w:jc w:val="both"/>
        <w:rPr>
          <w:color w:val="0070C0"/>
        </w:rPr>
      </w:pPr>
    </w:p>
    <w:p w14:paraId="40E4CB82" w14:textId="77777777" w:rsidR="00E51CDD" w:rsidRPr="00E51CDD" w:rsidRDefault="00E51CDD" w:rsidP="00E51CDD">
      <w:pPr>
        <w:widowControl w:val="0"/>
        <w:ind w:left="2040" w:hanging="2040"/>
        <w:jc w:val="both"/>
      </w:pPr>
      <w:bookmarkStart w:id="1322" w:name="_Hlk80870270"/>
      <w:r w:rsidRPr="00E51CDD">
        <w:t>Endpoints:</w:t>
      </w:r>
      <w:r w:rsidRPr="00E51CDD">
        <w:tab/>
        <w:t>Phytotoxicity (NOER), Plant emergence, weight and height (NOER, ER</w:t>
      </w:r>
      <w:r w:rsidRPr="00E51CDD">
        <w:rPr>
          <w:vertAlign w:val="subscript"/>
        </w:rPr>
        <w:t>50</w:t>
      </w:r>
      <w:r w:rsidRPr="00E51CDD">
        <w:t>).</w:t>
      </w:r>
    </w:p>
    <w:bookmarkEnd w:id="1322"/>
    <w:p w14:paraId="245FFF63" w14:textId="77777777" w:rsidR="00E51CDD" w:rsidRPr="00E51CDD" w:rsidRDefault="00E51CDD" w:rsidP="00E51CDD">
      <w:pPr>
        <w:widowControl w:val="0"/>
        <w:ind w:left="2040" w:hanging="2040"/>
        <w:jc w:val="both"/>
      </w:pPr>
    </w:p>
    <w:p w14:paraId="11D5458B" w14:textId="77777777" w:rsidR="00E51CDD" w:rsidRPr="00E51CDD" w:rsidRDefault="00E51CDD" w:rsidP="00E51CDD">
      <w:pPr>
        <w:widowControl w:val="0"/>
        <w:ind w:left="2040" w:hanging="2040"/>
        <w:jc w:val="both"/>
        <w:rPr>
          <w:color w:val="0070C0"/>
        </w:rPr>
      </w:pPr>
      <w:r w:rsidRPr="00E51CDD">
        <w:t xml:space="preserve">Test rates: </w:t>
      </w:r>
      <w:r w:rsidRPr="00E51CDD">
        <w:tab/>
        <w:t xml:space="preserve">Control (tap water), </w:t>
      </w:r>
      <w:r w:rsidRPr="00E51CDD">
        <w:rPr>
          <w:szCs w:val="24"/>
          <w:lang w:eastAsia="en-US"/>
        </w:rPr>
        <w:t>2.0 L BAS 736 00 F/ha</w:t>
      </w:r>
      <w:r w:rsidRPr="00E51CDD">
        <w:rPr>
          <w:color w:val="0070C0"/>
        </w:rPr>
        <w:t>.</w:t>
      </w:r>
    </w:p>
    <w:p w14:paraId="3DD9B166" w14:textId="77777777" w:rsidR="00E51CDD" w:rsidRPr="00E51CDD" w:rsidRDefault="00E51CDD" w:rsidP="00E51CDD">
      <w:pPr>
        <w:widowControl w:val="0"/>
        <w:ind w:left="2040" w:hanging="2040"/>
        <w:jc w:val="both"/>
      </w:pPr>
    </w:p>
    <w:p w14:paraId="63776FF8" w14:textId="77777777" w:rsidR="00E51CDD" w:rsidRPr="00E51CDD" w:rsidRDefault="00E51CDD" w:rsidP="00E51CDD">
      <w:pPr>
        <w:widowControl w:val="0"/>
        <w:ind w:left="2040" w:hanging="2040"/>
        <w:jc w:val="both"/>
      </w:pPr>
      <w:r w:rsidRPr="00E51CDD">
        <w:t>Test conditions:</w:t>
      </w:r>
      <w:r w:rsidRPr="00E51CDD">
        <w:tab/>
      </w:r>
      <w:r w:rsidRPr="00E51CDD">
        <w:rPr>
          <w:lang w:val="en-GB"/>
        </w:rPr>
        <w:t xml:space="preserve">Greenhouse conditions, </w:t>
      </w:r>
      <w:bookmarkStart w:id="1323" w:name="_Hlk80868605"/>
      <w:r w:rsidRPr="00E51CDD">
        <w:t xml:space="preserve">daily average </w:t>
      </w:r>
      <w:bookmarkEnd w:id="1323"/>
      <w:r w:rsidRPr="00E51CDD">
        <w:t xml:space="preserve">temperature: 23.7 °C – 29.0 °C; daily mean relative humidity: 52.0% - 68.6%; photoperiod: </w:t>
      </w:r>
      <w:r w:rsidRPr="00E51CDD">
        <w:rPr>
          <w:rFonts w:eastAsia="PMingLiU"/>
          <w:lang w:eastAsia="zh-TW"/>
        </w:rPr>
        <w:t>da</w:t>
      </w:r>
      <w:r w:rsidRPr="00E51CDD">
        <w:rPr>
          <w:rFonts w:eastAsia="SimSun"/>
          <w:lang w:eastAsia="zh-CN"/>
        </w:rPr>
        <w:t>y length ≥ </w:t>
      </w:r>
      <w:r w:rsidRPr="00E51CDD">
        <w:t>16 h; additional light when outdoor illumination was &lt; 300 µmol.</w:t>
      </w:r>
    </w:p>
    <w:p w14:paraId="780F55BB" w14:textId="77777777" w:rsidR="00E51CDD" w:rsidRPr="00E51CDD" w:rsidRDefault="00E51CDD" w:rsidP="00E51CDD">
      <w:pPr>
        <w:widowControl w:val="0"/>
        <w:ind w:left="2040" w:hanging="2040"/>
        <w:jc w:val="both"/>
      </w:pPr>
    </w:p>
    <w:p w14:paraId="7F58E290" w14:textId="77777777" w:rsidR="00E51CDD" w:rsidRPr="00E51CDD" w:rsidRDefault="00E51CDD" w:rsidP="00E51CDD">
      <w:pPr>
        <w:widowControl w:val="0"/>
        <w:ind w:left="2040" w:hanging="2040"/>
        <w:jc w:val="both"/>
      </w:pPr>
      <w:r w:rsidRPr="00E51CDD">
        <w:t>Analytics:</w:t>
      </w:r>
      <w:r w:rsidRPr="00E51CDD">
        <w:tab/>
      </w:r>
      <w:r w:rsidRPr="00E51CDD">
        <w:rPr>
          <w:szCs w:val="24"/>
          <w:lang w:eastAsia="en-US"/>
        </w:rPr>
        <w:t>Analytical verification of the test item was conducted according to BASF method L0361/01 using LC-MS/MS.</w:t>
      </w:r>
    </w:p>
    <w:p w14:paraId="0FF8A36E" w14:textId="77777777" w:rsidR="00E51CDD" w:rsidRPr="00E51CDD" w:rsidRDefault="00E51CDD" w:rsidP="00E51CDD">
      <w:pPr>
        <w:widowControl w:val="0"/>
        <w:ind w:left="2040" w:hanging="2040"/>
        <w:jc w:val="both"/>
      </w:pPr>
    </w:p>
    <w:p w14:paraId="50A262D7" w14:textId="77777777" w:rsidR="00E51CDD" w:rsidRPr="00E51CDD" w:rsidRDefault="00E51CDD" w:rsidP="00E51CDD">
      <w:pPr>
        <w:widowControl w:val="0"/>
        <w:ind w:left="2040" w:hanging="2040"/>
        <w:jc w:val="both"/>
        <w:rPr>
          <w:b/>
          <w:bCs/>
        </w:rPr>
      </w:pPr>
      <w:r w:rsidRPr="00E51CDD">
        <w:t xml:space="preserve">Statistics: </w:t>
      </w:r>
      <w:r w:rsidRPr="00E51CDD">
        <w:tab/>
      </w:r>
      <w:r w:rsidRPr="00E51CDD">
        <w:rPr>
          <w:szCs w:val="24"/>
          <w:lang w:eastAsia="en-US"/>
        </w:rPr>
        <w:t>Descriptive statistics, Student t-test (one-sided smaller, α = 0.05) for metric data, Fisher’s Exact test (one-sided greater, α = 0.05) for quantal data, NOER for phytotoxicity was estimated. Phytotoxicity values &lt; 10% were considered as insignificant.</w:t>
      </w:r>
    </w:p>
    <w:p w14:paraId="00B6AE92" w14:textId="77777777" w:rsidR="00E51CDD" w:rsidRPr="00E51CDD" w:rsidRDefault="00E51CDD" w:rsidP="00E51CDD">
      <w:pPr>
        <w:widowControl w:val="0"/>
        <w:jc w:val="both"/>
        <w:rPr>
          <w:b/>
          <w:bCs/>
          <w:color w:val="0070C0"/>
        </w:rPr>
      </w:pPr>
      <w:r w:rsidRPr="00E51CDD">
        <w:rPr>
          <w:b/>
          <w:bCs/>
          <w:color w:val="0070C0"/>
        </w:rPr>
        <w:br w:type="page"/>
      </w:r>
    </w:p>
    <w:p w14:paraId="7B53D00E" w14:textId="77777777" w:rsidR="00E51CDD" w:rsidRPr="00E51CDD" w:rsidRDefault="00E51CDD" w:rsidP="00E51CDD">
      <w:pPr>
        <w:spacing w:before="100" w:beforeAutospacing="1" w:after="100" w:afterAutospacing="1"/>
        <w:ind w:left="567" w:hanging="567"/>
        <w:jc w:val="both"/>
        <w:rPr>
          <w:b/>
          <w:bCs/>
          <w:caps/>
        </w:rPr>
      </w:pPr>
      <w:r w:rsidRPr="00E51CDD">
        <w:rPr>
          <w:b/>
          <w:bCs/>
          <w:lang w:eastAsia="zh-CN"/>
        </w:rPr>
        <w:lastRenderedPageBreak/>
        <w:t xml:space="preserve">C. </w:t>
      </w:r>
      <w:r w:rsidRPr="00E51CDD">
        <w:rPr>
          <w:b/>
          <w:bCs/>
          <w:caps/>
          <w:lang w:eastAsia="zh-CN"/>
        </w:rPr>
        <w:t>Description of the analytical pr</w:t>
      </w:r>
      <w:r w:rsidRPr="00E51CDD">
        <w:rPr>
          <w:b/>
          <w:bCs/>
          <w:caps/>
        </w:rPr>
        <w:t>ocedures</w:t>
      </w:r>
    </w:p>
    <w:p w14:paraId="5961B20E" w14:textId="77777777" w:rsidR="00E51CDD" w:rsidRPr="00E51CDD" w:rsidRDefault="00E51CDD" w:rsidP="00E51CDD">
      <w:pPr>
        <w:spacing w:after="160" w:line="256" w:lineRule="auto"/>
        <w:jc w:val="both"/>
        <w:rPr>
          <w:bCs/>
        </w:rPr>
      </w:pPr>
      <w:r w:rsidRPr="00E51CDD">
        <w:rPr>
          <w:bCs/>
        </w:rPr>
        <w:t>Concentrations of BAS 700 F (contained in BAS 736 00 F) in application solution were determined according to the analytical method L0361/01. After defrosting and subsequent homogenization, the aqueous application solutions were diluted in two steps by a total factor of 100,000 using acetonitrile/water (2/8, v/v) + 0.1% formic acid as solvent. The determination was performed by LC-MS/MS. The limit of quantification (LOQ) achieved was of 0.10 μg/L and the limit of detection (LOD) was set to 0.01 g/L. Due to the high dilution factor of the analyzed solutions, no relevant matrix effects in the LC-MS/MS determination of BAS 700 F were expected. Details on measured fortification samples and obtained procedural recoveries for fluxapyroxad are given in the table below.</w:t>
      </w:r>
    </w:p>
    <w:p w14:paraId="13F8A9F7" w14:textId="3140856C" w:rsidR="00E51CDD" w:rsidRPr="00E51CDD" w:rsidRDefault="00E51CDD" w:rsidP="00E51CDD">
      <w:pPr>
        <w:rPr>
          <w:bCs/>
        </w:rPr>
      </w:pPr>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41</w:t>
      </w:r>
      <w:r w:rsidRPr="00E51CDD">
        <w:rPr>
          <w:b/>
          <w:bCs/>
        </w:rPr>
        <w:fldChar w:fldCharType="end"/>
      </w:r>
      <w:r w:rsidRPr="00E51CDD">
        <w:rPr>
          <w:b/>
          <w:bCs/>
        </w:rPr>
        <w:t>:</w:t>
      </w:r>
      <w:r w:rsidRPr="00E51CDD">
        <w:rPr>
          <w:b/>
          <w:bCs/>
        </w:rPr>
        <w:tab/>
        <w:t>Procedural recoveries for BAS 700 F</w:t>
      </w: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39"/>
        <w:gridCol w:w="1859"/>
        <w:gridCol w:w="585"/>
        <w:gridCol w:w="2188"/>
        <w:gridCol w:w="1609"/>
        <w:gridCol w:w="1164"/>
      </w:tblGrid>
      <w:tr w:rsidR="00E51CDD" w:rsidRPr="00E51CDD" w14:paraId="25E9B88B" w14:textId="77777777" w:rsidTr="009938D9">
        <w:trPr>
          <w:trHeight w:val="70"/>
        </w:trPr>
        <w:tc>
          <w:tcPr>
            <w:tcW w:w="103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9D2B44" w14:textId="77777777" w:rsidR="00E51CDD" w:rsidRPr="00E51CDD" w:rsidRDefault="00E51CDD" w:rsidP="00E51CDD">
            <w:pPr>
              <w:spacing w:before="40" w:after="40" w:line="256" w:lineRule="auto"/>
              <w:jc w:val="center"/>
              <w:rPr>
                <w:b/>
                <w:bCs/>
                <w:sz w:val="20"/>
                <w:szCs w:val="20"/>
              </w:rPr>
            </w:pPr>
            <w:r w:rsidRPr="00E51CDD">
              <w:rPr>
                <w:b/>
                <w:bCs/>
                <w:sz w:val="20"/>
                <w:szCs w:val="20"/>
              </w:rPr>
              <w:t>Analyte</w:t>
            </w:r>
          </w:p>
        </w:tc>
        <w:tc>
          <w:tcPr>
            <w:tcW w:w="99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91B4EF" w14:textId="77777777" w:rsidR="00E51CDD" w:rsidRPr="00E51CDD" w:rsidRDefault="00E51CDD" w:rsidP="00E51CDD">
            <w:pPr>
              <w:spacing w:before="40" w:after="40" w:line="256" w:lineRule="auto"/>
              <w:jc w:val="center"/>
              <w:rPr>
                <w:b/>
                <w:bCs/>
                <w:sz w:val="20"/>
                <w:szCs w:val="20"/>
              </w:rPr>
            </w:pPr>
            <w:r w:rsidRPr="00E51CDD">
              <w:rPr>
                <w:b/>
                <w:bCs/>
                <w:sz w:val="20"/>
                <w:szCs w:val="20"/>
              </w:rPr>
              <w:t>Fortification level (g/L)</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5D6F783" w14:textId="77777777" w:rsidR="00E51CDD" w:rsidRPr="00E51CDD" w:rsidRDefault="00E51CDD" w:rsidP="00E51CDD">
            <w:pPr>
              <w:spacing w:before="40" w:after="40" w:line="256" w:lineRule="auto"/>
              <w:jc w:val="center"/>
              <w:rPr>
                <w:b/>
                <w:bCs/>
                <w:sz w:val="20"/>
                <w:szCs w:val="20"/>
              </w:rPr>
            </w:pPr>
            <w:r w:rsidRPr="00E51CDD">
              <w:rPr>
                <w:b/>
                <w:bCs/>
                <w:sz w:val="20"/>
                <w:szCs w:val="20"/>
              </w:rPr>
              <w:t>n</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42E22964" w14:textId="77777777" w:rsidR="00E51CDD" w:rsidRPr="00E51CDD" w:rsidRDefault="00E51CDD" w:rsidP="00E51CDD">
            <w:pPr>
              <w:spacing w:before="40" w:after="40" w:line="256" w:lineRule="auto"/>
              <w:jc w:val="center"/>
              <w:rPr>
                <w:b/>
                <w:bCs/>
                <w:sz w:val="20"/>
                <w:szCs w:val="20"/>
              </w:rPr>
            </w:pPr>
            <w:r w:rsidRPr="00E51CDD">
              <w:rPr>
                <w:b/>
                <w:bCs/>
                <w:sz w:val="20"/>
                <w:szCs w:val="20"/>
              </w:rPr>
              <w:t>Recoveries (%)</w:t>
            </w:r>
          </w:p>
        </w:tc>
        <w:tc>
          <w:tcPr>
            <w:tcW w:w="861"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95AC222" w14:textId="77777777" w:rsidR="00E51CDD" w:rsidRPr="00E51CDD" w:rsidRDefault="00E51CDD" w:rsidP="00E51CDD">
            <w:pPr>
              <w:spacing w:before="40" w:after="40" w:line="256" w:lineRule="auto"/>
              <w:jc w:val="center"/>
              <w:rPr>
                <w:b/>
                <w:bCs/>
                <w:sz w:val="20"/>
                <w:szCs w:val="20"/>
              </w:rPr>
            </w:pPr>
            <w:r w:rsidRPr="00E51CDD">
              <w:rPr>
                <w:b/>
                <w:bCs/>
                <w:sz w:val="20"/>
                <w:szCs w:val="20"/>
              </w:rPr>
              <w:t>Mean recovery</w:t>
            </w:r>
            <w:r w:rsidRPr="00E51CDD">
              <w:rPr>
                <w:b/>
                <w:bCs/>
                <w:sz w:val="20"/>
                <w:szCs w:val="20"/>
              </w:rPr>
              <w:br/>
              <w:t>(%)</w:t>
            </w:r>
          </w:p>
        </w:tc>
        <w:tc>
          <w:tcPr>
            <w:tcW w:w="62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9D68644" w14:textId="77777777" w:rsidR="00E51CDD" w:rsidRPr="00E51CDD" w:rsidRDefault="00E51CDD" w:rsidP="00E51CDD">
            <w:pPr>
              <w:spacing w:before="40" w:after="40" w:line="256" w:lineRule="auto"/>
              <w:jc w:val="center"/>
              <w:rPr>
                <w:b/>
                <w:bCs/>
                <w:sz w:val="20"/>
                <w:szCs w:val="20"/>
              </w:rPr>
            </w:pPr>
            <w:r w:rsidRPr="00E51CDD">
              <w:rPr>
                <w:b/>
                <w:bCs/>
                <w:sz w:val="20"/>
                <w:szCs w:val="20"/>
              </w:rPr>
              <w:t>RSD (%)</w:t>
            </w:r>
          </w:p>
        </w:tc>
      </w:tr>
      <w:tr w:rsidR="00E51CDD" w:rsidRPr="00E51CDD" w14:paraId="539CEF9F" w14:textId="77777777" w:rsidTr="009938D9">
        <w:trPr>
          <w:trHeight w:val="255"/>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12597E2C" w14:textId="77777777" w:rsidR="00E51CDD" w:rsidRPr="00E51CDD" w:rsidRDefault="00E51CDD" w:rsidP="00E51CDD">
            <w:pPr>
              <w:spacing w:before="40" w:after="40" w:line="256" w:lineRule="auto"/>
              <w:jc w:val="center"/>
              <w:rPr>
                <w:sz w:val="20"/>
                <w:szCs w:val="20"/>
              </w:rPr>
            </w:pPr>
            <w:r w:rsidRPr="00E51CDD">
              <w:rPr>
                <w:sz w:val="20"/>
                <w:szCs w:val="20"/>
              </w:rPr>
              <w:t>BAS 700 F</w:t>
            </w:r>
          </w:p>
          <w:p w14:paraId="0E4A1104" w14:textId="77777777" w:rsidR="00E51CDD" w:rsidRPr="00E51CDD" w:rsidRDefault="00E51CDD" w:rsidP="00E51CDD">
            <w:pPr>
              <w:spacing w:before="40" w:after="40" w:line="256" w:lineRule="auto"/>
              <w:jc w:val="center"/>
              <w:rPr>
                <w:sz w:val="20"/>
                <w:szCs w:val="20"/>
              </w:rPr>
            </w:pPr>
            <w:r w:rsidRPr="00E51CDD">
              <w:rPr>
                <w:sz w:val="20"/>
                <w:szCs w:val="20"/>
              </w:rPr>
              <w:t>Lower fortification level</w:t>
            </w: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A7B6E51" w14:textId="77777777" w:rsidR="00E51CDD" w:rsidRPr="00E51CDD" w:rsidRDefault="00E51CDD" w:rsidP="00E51CDD">
            <w:pPr>
              <w:spacing w:before="40" w:after="40" w:line="256" w:lineRule="auto"/>
              <w:jc w:val="center"/>
              <w:rPr>
                <w:sz w:val="20"/>
                <w:szCs w:val="20"/>
              </w:rPr>
            </w:pPr>
            <w:r w:rsidRPr="00E51CDD">
              <w:rPr>
                <w:sz w:val="20"/>
                <w:szCs w:val="20"/>
              </w:rPr>
              <w:t>0.284</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C43E52D"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53BBE1B0" w14:textId="77777777" w:rsidR="00E51CDD" w:rsidRPr="00E51CDD" w:rsidRDefault="00E51CDD" w:rsidP="00E51CDD">
            <w:pPr>
              <w:spacing w:before="40" w:after="40" w:line="256" w:lineRule="auto"/>
              <w:jc w:val="center"/>
              <w:rPr>
                <w:sz w:val="20"/>
                <w:szCs w:val="20"/>
              </w:rPr>
            </w:pPr>
            <w:r w:rsidRPr="00E51CDD">
              <w:rPr>
                <w:sz w:val="20"/>
                <w:szCs w:val="20"/>
              </w:rPr>
              <w:t>105</w:t>
            </w:r>
          </w:p>
        </w:tc>
        <w:tc>
          <w:tcPr>
            <w:tcW w:w="861"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9CDFDF8" w14:textId="77777777" w:rsidR="00E51CDD" w:rsidRPr="00E51CDD" w:rsidRDefault="00E51CDD" w:rsidP="00E51CDD">
            <w:pPr>
              <w:spacing w:before="40" w:after="40" w:line="256" w:lineRule="auto"/>
              <w:jc w:val="center"/>
              <w:rPr>
                <w:sz w:val="20"/>
                <w:szCs w:val="20"/>
              </w:rPr>
            </w:pPr>
            <w:r w:rsidRPr="00E51CDD">
              <w:rPr>
                <w:sz w:val="20"/>
                <w:szCs w:val="20"/>
              </w:rPr>
              <w:t>102</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E94F58D" w14:textId="77777777" w:rsidR="00E51CDD" w:rsidRPr="00E51CDD" w:rsidRDefault="00E51CDD" w:rsidP="00E51CDD">
            <w:pPr>
              <w:spacing w:before="40" w:after="40" w:line="256" w:lineRule="auto"/>
              <w:jc w:val="center"/>
              <w:rPr>
                <w:sz w:val="20"/>
                <w:szCs w:val="20"/>
              </w:rPr>
            </w:pPr>
            <w:r w:rsidRPr="00E51CDD">
              <w:rPr>
                <w:sz w:val="20"/>
                <w:szCs w:val="20"/>
              </w:rPr>
              <w:t>1.97</w:t>
            </w:r>
          </w:p>
        </w:tc>
      </w:tr>
      <w:tr w:rsidR="00E51CDD" w:rsidRPr="00E51CDD" w14:paraId="01B61361"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A198F4"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0759B96" w14:textId="77777777" w:rsidR="00E51CDD" w:rsidRPr="00E51CDD" w:rsidRDefault="00E51CDD" w:rsidP="00E51CDD">
            <w:pPr>
              <w:spacing w:before="40" w:after="40" w:line="256" w:lineRule="auto"/>
              <w:jc w:val="center"/>
              <w:rPr>
                <w:sz w:val="20"/>
                <w:szCs w:val="20"/>
              </w:rPr>
            </w:pPr>
            <w:r w:rsidRPr="00E51CDD">
              <w:rPr>
                <w:sz w:val="20"/>
                <w:szCs w:val="20"/>
              </w:rPr>
              <w:t>0.276</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ADEA640"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4A9CE082" w14:textId="77777777" w:rsidR="00E51CDD" w:rsidRPr="00E51CDD" w:rsidRDefault="00E51CDD" w:rsidP="00E51CDD">
            <w:pPr>
              <w:spacing w:before="40" w:after="40" w:line="256" w:lineRule="auto"/>
              <w:jc w:val="center"/>
              <w:rPr>
                <w:sz w:val="20"/>
                <w:szCs w:val="20"/>
              </w:rPr>
            </w:pPr>
            <w:r w:rsidRPr="00E51CDD">
              <w:rPr>
                <w:sz w:val="20"/>
                <w:szCs w:val="20"/>
              </w:rPr>
              <w:t>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5DAD6B" w14:textId="77777777" w:rsidR="00E51CDD" w:rsidRPr="00E51CDD" w:rsidRDefault="00E51CDD" w:rsidP="00E51CDD">
            <w:pPr>
              <w:spacing w:line="256" w:lineRule="auto"/>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D2EC0A" w14:textId="77777777" w:rsidR="00E51CDD" w:rsidRPr="00E51CDD" w:rsidRDefault="00E51CDD" w:rsidP="00E51CDD">
            <w:pPr>
              <w:spacing w:line="256" w:lineRule="auto"/>
              <w:rPr>
                <w:sz w:val="20"/>
                <w:szCs w:val="20"/>
              </w:rPr>
            </w:pPr>
          </w:p>
        </w:tc>
      </w:tr>
      <w:tr w:rsidR="00E51CDD" w:rsidRPr="00E51CDD" w14:paraId="0C77F3F9"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121840"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6E3928F0" w14:textId="77777777" w:rsidR="00E51CDD" w:rsidRPr="00E51CDD" w:rsidRDefault="00E51CDD" w:rsidP="00E51CDD">
            <w:pPr>
              <w:spacing w:before="40" w:after="40" w:line="256" w:lineRule="auto"/>
              <w:jc w:val="center"/>
              <w:rPr>
                <w:sz w:val="20"/>
                <w:szCs w:val="20"/>
              </w:rPr>
            </w:pPr>
            <w:r w:rsidRPr="00E51CDD">
              <w:rPr>
                <w:sz w:val="20"/>
                <w:szCs w:val="20"/>
              </w:rPr>
              <w:t>0.285</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1E4804B"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561A6F86" w14:textId="77777777" w:rsidR="00E51CDD" w:rsidRPr="00E51CDD" w:rsidRDefault="00E51CDD" w:rsidP="00E51CDD">
            <w:pPr>
              <w:spacing w:before="40" w:after="40" w:line="256" w:lineRule="auto"/>
              <w:jc w:val="center"/>
              <w:rPr>
                <w:sz w:val="20"/>
                <w:szCs w:val="20"/>
              </w:rPr>
            </w:pPr>
            <w:r w:rsidRPr="00E51CDD">
              <w:rPr>
                <w:sz w:val="20"/>
                <w:szCs w:val="20"/>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353CF3" w14:textId="77777777" w:rsidR="00E51CDD" w:rsidRPr="00E51CDD" w:rsidRDefault="00E51CDD" w:rsidP="00E51CDD">
            <w:pPr>
              <w:spacing w:line="256" w:lineRule="auto"/>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7004E0" w14:textId="77777777" w:rsidR="00E51CDD" w:rsidRPr="00E51CDD" w:rsidRDefault="00E51CDD" w:rsidP="00E51CDD">
            <w:pPr>
              <w:spacing w:line="256" w:lineRule="auto"/>
              <w:rPr>
                <w:sz w:val="20"/>
                <w:szCs w:val="20"/>
              </w:rPr>
            </w:pPr>
          </w:p>
        </w:tc>
      </w:tr>
      <w:tr w:rsidR="00E51CDD" w:rsidRPr="00E51CDD" w14:paraId="0D5F405C"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D74ED4"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0EF7FDC6" w14:textId="77777777" w:rsidR="00E51CDD" w:rsidRPr="00E51CDD" w:rsidRDefault="00E51CDD" w:rsidP="00E51CDD">
            <w:pPr>
              <w:spacing w:before="40" w:after="40" w:line="256" w:lineRule="auto"/>
              <w:jc w:val="center"/>
              <w:rPr>
                <w:sz w:val="20"/>
                <w:szCs w:val="20"/>
              </w:rPr>
            </w:pPr>
            <w:r w:rsidRPr="00E51CDD">
              <w:rPr>
                <w:sz w:val="20"/>
                <w:szCs w:val="20"/>
              </w:rPr>
              <w:t>0.282</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ACF57FD"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5F6F748D" w14:textId="77777777" w:rsidR="00E51CDD" w:rsidRPr="00E51CDD" w:rsidRDefault="00E51CDD" w:rsidP="00E51CDD">
            <w:pPr>
              <w:spacing w:before="40" w:after="40" w:line="256" w:lineRule="auto"/>
              <w:jc w:val="center"/>
              <w:rPr>
                <w:sz w:val="20"/>
                <w:szCs w:val="20"/>
              </w:rPr>
            </w:pPr>
            <w:r w:rsidRPr="00E51CDD">
              <w:rPr>
                <w:sz w:val="20"/>
                <w:szCs w:val="20"/>
              </w:rPr>
              <w:t>102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737CA" w14:textId="77777777" w:rsidR="00E51CDD" w:rsidRPr="00E51CDD" w:rsidRDefault="00E51CDD" w:rsidP="00E51CDD">
            <w:pPr>
              <w:spacing w:line="256" w:lineRule="auto"/>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840FCE" w14:textId="77777777" w:rsidR="00E51CDD" w:rsidRPr="00E51CDD" w:rsidRDefault="00E51CDD" w:rsidP="00E51CDD">
            <w:pPr>
              <w:spacing w:line="256" w:lineRule="auto"/>
              <w:rPr>
                <w:sz w:val="20"/>
                <w:szCs w:val="20"/>
              </w:rPr>
            </w:pPr>
          </w:p>
        </w:tc>
      </w:tr>
      <w:tr w:rsidR="00E51CDD" w:rsidRPr="00E51CDD" w14:paraId="49A5541D"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34B9D4"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3C9BA87" w14:textId="77777777" w:rsidR="00E51CDD" w:rsidRPr="00E51CDD" w:rsidRDefault="00E51CDD" w:rsidP="00E51CDD">
            <w:pPr>
              <w:spacing w:before="40" w:after="40" w:line="256" w:lineRule="auto"/>
              <w:jc w:val="center"/>
              <w:rPr>
                <w:sz w:val="20"/>
                <w:szCs w:val="20"/>
              </w:rPr>
            </w:pPr>
            <w:r w:rsidRPr="00E51CDD">
              <w:rPr>
                <w:sz w:val="20"/>
                <w:szCs w:val="20"/>
              </w:rPr>
              <w:t>0.286</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D05B5F2"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7F21C3C6" w14:textId="77777777" w:rsidR="00E51CDD" w:rsidRPr="00E51CDD" w:rsidRDefault="00E51CDD" w:rsidP="00E51CDD">
            <w:pPr>
              <w:spacing w:before="40" w:after="40" w:line="256" w:lineRule="auto"/>
              <w:jc w:val="center"/>
              <w:rPr>
                <w:sz w:val="20"/>
                <w:szCs w:val="20"/>
              </w:rPr>
            </w:pPr>
            <w:r w:rsidRPr="00E51CDD">
              <w:rPr>
                <w:sz w:val="20"/>
                <w:szCs w:val="20"/>
              </w:rPr>
              <w:t>101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609258" w14:textId="77777777" w:rsidR="00E51CDD" w:rsidRPr="00E51CDD" w:rsidRDefault="00E51CDD" w:rsidP="00E51CDD">
            <w:pPr>
              <w:spacing w:line="256" w:lineRule="auto"/>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DB06EC" w14:textId="77777777" w:rsidR="00E51CDD" w:rsidRPr="00E51CDD" w:rsidRDefault="00E51CDD" w:rsidP="00E51CDD">
            <w:pPr>
              <w:spacing w:line="256" w:lineRule="auto"/>
              <w:rPr>
                <w:sz w:val="20"/>
                <w:szCs w:val="20"/>
              </w:rPr>
            </w:pPr>
          </w:p>
        </w:tc>
      </w:tr>
      <w:tr w:rsidR="00E51CDD" w:rsidRPr="00E51CDD" w14:paraId="3D5186FB" w14:textId="77777777" w:rsidTr="009938D9">
        <w:trPr>
          <w:trHeight w:val="255"/>
        </w:trPr>
        <w:tc>
          <w:tcPr>
            <w:tcW w:w="1037"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698C835" w14:textId="77777777" w:rsidR="00E51CDD" w:rsidRPr="00E51CDD" w:rsidRDefault="00E51CDD" w:rsidP="00E51CDD">
            <w:pPr>
              <w:spacing w:before="40" w:after="40" w:line="256" w:lineRule="auto"/>
              <w:jc w:val="center"/>
              <w:rPr>
                <w:sz w:val="20"/>
                <w:szCs w:val="20"/>
              </w:rPr>
            </w:pPr>
            <w:r w:rsidRPr="00E51CDD">
              <w:rPr>
                <w:sz w:val="20"/>
                <w:szCs w:val="20"/>
              </w:rPr>
              <w:t>BAS 700 F</w:t>
            </w:r>
          </w:p>
          <w:p w14:paraId="0E4573C5" w14:textId="77777777" w:rsidR="00E51CDD" w:rsidRPr="00E51CDD" w:rsidRDefault="00E51CDD" w:rsidP="00E51CDD">
            <w:pPr>
              <w:spacing w:before="40" w:after="40" w:line="256" w:lineRule="auto"/>
              <w:jc w:val="center"/>
              <w:rPr>
                <w:sz w:val="20"/>
                <w:szCs w:val="20"/>
              </w:rPr>
            </w:pPr>
            <w:r w:rsidRPr="00E51CDD">
              <w:rPr>
                <w:sz w:val="20"/>
                <w:szCs w:val="20"/>
              </w:rPr>
              <w:t>Higher fortification level</w:t>
            </w: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977103B" w14:textId="77777777" w:rsidR="00E51CDD" w:rsidRPr="00E51CDD" w:rsidRDefault="00E51CDD" w:rsidP="00E51CDD">
            <w:pPr>
              <w:spacing w:before="40" w:after="40" w:line="256" w:lineRule="auto"/>
              <w:jc w:val="center"/>
              <w:rPr>
                <w:sz w:val="20"/>
                <w:szCs w:val="20"/>
              </w:rPr>
            </w:pPr>
            <w:r w:rsidRPr="00E51CDD">
              <w:rPr>
                <w:sz w:val="20"/>
                <w:szCs w:val="20"/>
              </w:rPr>
              <w:t>0.469</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7B65BBD"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79EA0CE4" w14:textId="77777777" w:rsidR="00E51CDD" w:rsidRPr="00E51CDD" w:rsidRDefault="00E51CDD" w:rsidP="00E51CDD">
            <w:pPr>
              <w:spacing w:before="40" w:after="40" w:line="256" w:lineRule="auto"/>
              <w:jc w:val="center"/>
              <w:rPr>
                <w:sz w:val="20"/>
                <w:szCs w:val="20"/>
              </w:rPr>
            </w:pPr>
            <w:r w:rsidRPr="00E51CDD">
              <w:rPr>
                <w:sz w:val="20"/>
                <w:szCs w:val="20"/>
              </w:rPr>
              <w:t>102</w:t>
            </w:r>
          </w:p>
        </w:tc>
        <w:tc>
          <w:tcPr>
            <w:tcW w:w="861"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14:paraId="22FD7F9D" w14:textId="77777777" w:rsidR="00E51CDD" w:rsidRPr="00E51CDD" w:rsidRDefault="00E51CDD" w:rsidP="00E51CDD">
            <w:pPr>
              <w:spacing w:before="40" w:after="40" w:line="256" w:lineRule="auto"/>
              <w:jc w:val="center"/>
              <w:rPr>
                <w:sz w:val="20"/>
                <w:szCs w:val="20"/>
              </w:rPr>
            </w:pPr>
            <w:r w:rsidRPr="00E51CDD">
              <w:rPr>
                <w:sz w:val="20"/>
                <w:szCs w:val="20"/>
              </w:rPr>
              <w:t>103</w:t>
            </w:r>
          </w:p>
        </w:tc>
        <w:tc>
          <w:tcPr>
            <w:tcW w:w="62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tcPr>
          <w:p w14:paraId="72157C61" w14:textId="77777777" w:rsidR="00E51CDD" w:rsidRPr="00E51CDD" w:rsidRDefault="00E51CDD" w:rsidP="00E51CDD">
            <w:pPr>
              <w:spacing w:before="40" w:after="40" w:line="256" w:lineRule="auto"/>
              <w:jc w:val="center"/>
              <w:rPr>
                <w:sz w:val="20"/>
                <w:szCs w:val="20"/>
              </w:rPr>
            </w:pPr>
            <w:r w:rsidRPr="00E51CDD">
              <w:rPr>
                <w:sz w:val="20"/>
                <w:szCs w:val="20"/>
              </w:rPr>
              <w:t>1.33</w:t>
            </w:r>
          </w:p>
        </w:tc>
      </w:tr>
      <w:tr w:rsidR="00E51CDD" w:rsidRPr="00E51CDD" w14:paraId="4CD91F90"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B41AD4"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7763A71" w14:textId="77777777" w:rsidR="00E51CDD" w:rsidRPr="00E51CDD" w:rsidRDefault="00E51CDD" w:rsidP="00E51CDD">
            <w:pPr>
              <w:spacing w:before="40" w:after="40" w:line="256" w:lineRule="auto"/>
              <w:jc w:val="center"/>
              <w:rPr>
                <w:sz w:val="20"/>
                <w:szCs w:val="20"/>
              </w:rPr>
            </w:pPr>
            <w:r w:rsidRPr="00E51CDD">
              <w:rPr>
                <w:sz w:val="20"/>
                <w:szCs w:val="20"/>
              </w:rPr>
              <w:t>0.465</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DACCB9B"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090BC8E3" w14:textId="77777777" w:rsidR="00E51CDD" w:rsidRPr="00E51CDD" w:rsidRDefault="00E51CDD" w:rsidP="00E51CDD">
            <w:pPr>
              <w:spacing w:before="40" w:after="40" w:line="256" w:lineRule="auto"/>
              <w:jc w:val="center"/>
              <w:rPr>
                <w:sz w:val="20"/>
                <w:szCs w:val="20"/>
              </w:rPr>
            </w:pPr>
            <w:r w:rsidRPr="00E51CDD">
              <w:rPr>
                <w:sz w:val="20"/>
                <w:szCs w:val="20"/>
              </w:rPr>
              <w:t>102</w:t>
            </w:r>
          </w:p>
        </w:tc>
        <w:tc>
          <w:tcPr>
            <w:tcW w:w="0" w:type="auto"/>
            <w:vMerge/>
            <w:tcBorders>
              <w:top w:val="single" w:sz="4" w:space="0" w:color="auto"/>
              <w:left w:val="single" w:sz="4" w:space="0" w:color="auto"/>
              <w:bottom w:val="single" w:sz="4" w:space="0" w:color="auto"/>
              <w:right w:val="single" w:sz="4" w:space="0" w:color="auto"/>
            </w:tcBorders>
            <w:vAlign w:val="center"/>
          </w:tcPr>
          <w:p w14:paraId="24265C32" w14:textId="77777777" w:rsidR="00E51CDD" w:rsidRPr="00E51CDD" w:rsidRDefault="00E51CDD" w:rsidP="00E51CDD">
            <w:pPr>
              <w:spacing w:line="256" w:lineRule="auto"/>
              <w:rPr>
                <w:color w:val="0070C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EABB8B0" w14:textId="77777777" w:rsidR="00E51CDD" w:rsidRPr="00E51CDD" w:rsidRDefault="00E51CDD" w:rsidP="00E51CDD">
            <w:pPr>
              <w:spacing w:line="256" w:lineRule="auto"/>
              <w:rPr>
                <w:color w:val="0070C0"/>
                <w:sz w:val="20"/>
                <w:szCs w:val="20"/>
              </w:rPr>
            </w:pPr>
          </w:p>
        </w:tc>
      </w:tr>
      <w:tr w:rsidR="00E51CDD" w:rsidRPr="00E51CDD" w14:paraId="551415BC"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9CB93E"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77B68DF" w14:textId="77777777" w:rsidR="00E51CDD" w:rsidRPr="00E51CDD" w:rsidRDefault="00E51CDD" w:rsidP="00E51CDD">
            <w:pPr>
              <w:spacing w:before="40" w:after="40" w:line="256" w:lineRule="auto"/>
              <w:jc w:val="center"/>
              <w:rPr>
                <w:sz w:val="20"/>
                <w:szCs w:val="20"/>
              </w:rPr>
            </w:pPr>
            <w:r w:rsidRPr="00E51CDD">
              <w:rPr>
                <w:sz w:val="20"/>
                <w:szCs w:val="20"/>
              </w:rPr>
              <w:t>0.467</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4731BB0"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3EF9FF43" w14:textId="77777777" w:rsidR="00E51CDD" w:rsidRPr="00E51CDD" w:rsidRDefault="00E51CDD" w:rsidP="00E51CDD">
            <w:pPr>
              <w:spacing w:before="40" w:after="40" w:line="256" w:lineRule="auto"/>
              <w:jc w:val="center"/>
              <w:rPr>
                <w:sz w:val="20"/>
                <w:szCs w:val="20"/>
              </w:rPr>
            </w:pPr>
            <w:r w:rsidRPr="00E51CDD">
              <w:rPr>
                <w:sz w:val="20"/>
                <w:szCs w:val="20"/>
              </w:rPr>
              <w:t>103</w:t>
            </w:r>
          </w:p>
        </w:tc>
        <w:tc>
          <w:tcPr>
            <w:tcW w:w="0" w:type="auto"/>
            <w:vMerge/>
            <w:tcBorders>
              <w:top w:val="single" w:sz="4" w:space="0" w:color="auto"/>
              <w:left w:val="single" w:sz="4" w:space="0" w:color="auto"/>
              <w:bottom w:val="single" w:sz="4" w:space="0" w:color="auto"/>
              <w:right w:val="single" w:sz="4" w:space="0" w:color="auto"/>
            </w:tcBorders>
            <w:vAlign w:val="center"/>
          </w:tcPr>
          <w:p w14:paraId="17C27C64" w14:textId="77777777" w:rsidR="00E51CDD" w:rsidRPr="00E51CDD" w:rsidRDefault="00E51CDD" w:rsidP="00E51CDD">
            <w:pPr>
              <w:spacing w:line="256" w:lineRule="auto"/>
              <w:rPr>
                <w:color w:val="0070C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B2AD402" w14:textId="77777777" w:rsidR="00E51CDD" w:rsidRPr="00E51CDD" w:rsidRDefault="00E51CDD" w:rsidP="00E51CDD">
            <w:pPr>
              <w:spacing w:line="256" w:lineRule="auto"/>
              <w:rPr>
                <w:color w:val="0070C0"/>
                <w:sz w:val="20"/>
                <w:szCs w:val="20"/>
              </w:rPr>
            </w:pPr>
          </w:p>
        </w:tc>
      </w:tr>
      <w:tr w:rsidR="00E51CDD" w:rsidRPr="00E51CDD" w14:paraId="12D5790D"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92B24C"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5CCF081E" w14:textId="77777777" w:rsidR="00E51CDD" w:rsidRPr="00E51CDD" w:rsidRDefault="00E51CDD" w:rsidP="00E51CDD">
            <w:pPr>
              <w:spacing w:before="40" w:after="40" w:line="256" w:lineRule="auto"/>
              <w:jc w:val="center"/>
              <w:rPr>
                <w:sz w:val="20"/>
                <w:szCs w:val="20"/>
              </w:rPr>
            </w:pPr>
            <w:r w:rsidRPr="00E51CDD">
              <w:rPr>
                <w:sz w:val="20"/>
                <w:szCs w:val="20"/>
              </w:rPr>
              <w:t>0.474</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D774024"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32E4655E" w14:textId="77777777" w:rsidR="00E51CDD" w:rsidRPr="00E51CDD" w:rsidRDefault="00E51CDD" w:rsidP="00E51CDD">
            <w:pPr>
              <w:spacing w:before="40" w:after="40" w:line="256" w:lineRule="auto"/>
              <w:jc w:val="center"/>
              <w:rPr>
                <w:sz w:val="20"/>
                <w:szCs w:val="20"/>
              </w:rPr>
            </w:pPr>
            <w:r w:rsidRPr="00E51CDD">
              <w:rPr>
                <w:sz w:val="20"/>
                <w:szCs w:val="20"/>
              </w:rPr>
              <w:t>105</w:t>
            </w:r>
          </w:p>
        </w:tc>
        <w:tc>
          <w:tcPr>
            <w:tcW w:w="0" w:type="auto"/>
            <w:vMerge/>
            <w:tcBorders>
              <w:top w:val="single" w:sz="4" w:space="0" w:color="auto"/>
              <w:left w:val="single" w:sz="4" w:space="0" w:color="auto"/>
              <w:bottom w:val="single" w:sz="4" w:space="0" w:color="auto"/>
              <w:right w:val="single" w:sz="4" w:space="0" w:color="auto"/>
            </w:tcBorders>
            <w:vAlign w:val="center"/>
          </w:tcPr>
          <w:p w14:paraId="7F119B24" w14:textId="77777777" w:rsidR="00E51CDD" w:rsidRPr="00E51CDD" w:rsidRDefault="00E51CDD" w:rsidP="00E51CDD">
            <w:pPr>
              <w:spacing w:line="256" w:lineRule="auto"/>
              <w:rPr>
                <w:color w:val="0070C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79A5AB" w14:textId="77777777" w:rsidR="00E51CDD" w:rsidRPr="00E51CDD" w:rsidRDefault="00E51CDD" w:rsidP="00E51CDD">
            <w:pPr>
              <w:spacing w:line="256" w:lineRule="auto"/>
              <w:rPr>
                <w:color w:val="0070C0"/>
                <w:sz w:val="20"/>
                <w:szCs w:val="20"/>
              </w:rPr>
            </w:pPr>
          </w:p>
        </w:tc>
      </w:tr>
      <w:tr w:rsidR="00E51CDD" w:rsidRPr="00E51CDD" w14:paraId="41F6DB21" w14:textId="77777777" w:rsidTr="009938D9">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9198BA" w14:textId="77777777" w:rsidR="00E51CDD" w:rsidRPr="00E51CDD" w:rsidRDefault="00E51CDD" w:rsidP="00E51CDD">
            <w:pPr>
              <w:spacing w:line="256" w:lineRule="auto"/>
              <w:rPr>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69CE978" w14:textId="77777777" w:rsidR="00E51CDD" w:rsidRPr="00E51CDD" w:rsidRDefault="00E51CDD" w:rsidP="00E51CDD">
            <w:pPr>
              <w:spacing w:before="40" w:after="40" w:line="256" w:lineRule="auto"/>
              <w:jc w:val="center"/>
              <w:rPr>
                <w:sz w:val="20"/>
                <w:szCs w:val="20"/>
              </w:rPr>
            </w:pPr>
            <w:r w:rsidRPr="00E51CDD">
              <w:rPr>
                <w:sz w:val="20"/>
                <w:szCs w:val="20"/>
              </w:rPr>
              <w:t>0.464</w:t>
            </w:r>
          </w:p>
        </w:tc>
        <w:tc>
          <w:tcPr>
            <w:tcW w:w="313"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CB56887" w14:textId="77777777" w:rsidR="00E51CDD" w:rsidRPr="00E51CDD" w:rsidRDefault="00E51CDD" w:rsidP="00E51CDD">
            <w:pPr>
              <w:spacing w:before="40" w:after="40" w:line="256" w:lineRule="auto"/>
              <w:jc w:val="center"/>
              <w:rPr>
                <w:sz w:val="20"/>
                <w:szCs w:val="20"/>
              </w:rPr>
            </w:pPr>
            <w:r w:rsidRPr="00E51CDD">
              <w:rPr>
                <w:sz w:val="20"/>
                <w:szCs w:val="20"/>
              </w:rPr>
              <w:t>1</w:t>
            </w:r>
          </w:p>
        </w:tc>
        <w:tc>
          <w:tcPr>
            <w:tcW w:w="1171" w:type="pct"/>
            <w:tcBorders>
              <w:top w:val="single" w:sz="4" w:space="0" w:color="auto"/>
              <w:left w:val="single" w:sz="4" w:space="0" w:color="auto"/>
              <w:bottom w:val="single" w:sz="4" w:space="0" w:color="auto"/>
              <w:right w:val="single" w:sz="4" w:space="0" w:color="auto"/>
            </w:tcBorders>
            <w:shd w:val="clear" w:color="auto" w:fill="FFFFFF"/>
            <w:vAlign w:val="center"/>
          </w:tcPr>
          <w:p w14:paraId="2677C4E8" w14:textId="77777777" w:rsidR="00E51CDD" w:rsidRPr="00E51CDD" w:rsidRDefault="00E51CDD" w:rsidP="00E51CDD">
            <w:pPr>
              <w:spacing w:before="40" w:after="40" w:line="256" w:lineRule="auto"/>
              <w:jc w:val="center"/>
              <w:rPr>
                <w:sz w:val="20"/>
                <w:szCs w:val="20"/>
              </w:rPr>
            </w:pPr>
            <w:r w:rsidRPr="00E51CDD">
              <w:rPr>
                <w:sz w:val="20"/>
                <w:szCs w:val="20"/>
              </w:rPr>
              <w:t>128</w:t>
            </w:r>
          </w:p>
        </w:tc>
        <w:tc>
          <w:tcPr>
            <w:tcW w:w="0" w:type="auto"/>
            <w:vMerge/>
            <w:tcBorders>
              <w:top w:val="single" w:sz="4" w:space="0" w:color="auto"/>
              <w:left w:val="single" w:sz="4" w:space="0" w:color="auto"/>
              <w:bottom w:val="single" w:sz="4" w:space="0" w:color="auto"/>
              <w:right w:val="single" w:sz="4" w:space="0" w:color="auto"/>
            </w:tcBorders>
            <w:vAlign w:val="center"/>
          </w:tcPr>
          <w:p w14:paraId="5BC9C528" w14:textId="77777777" w:rsidR="00E51CDD" w:rsidRPr="00E51CDD" w:rsidRDefault="00E51CDD" w:rsidP="00E51CDD">
            <w:pPr>
              <w:spacing w:line="256" w:lineRule="auto"/>
              <w:rPr>
                <w:color w:val="0070C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9D774E" w14:textId="77777777" w:rsidR="00E51CDD" w:rsidRPr="00E51CDD" w:rsidRDefault="00E51CDD" w:rsidP="00E51CDD">
            <w:pPr>
              <w:spacing w:line="256" w:lineRule="auto"/>
              <w:rPr>
                <w:color w:val="0070C0"/>
                <w:sz w:val="20"/>
                <w:szCs w:val="20"/>
              </w:rPr>
            </w:pPr>
          </w:p>
        </w:tc>
      </w:tr>
    </w:tbl>
    <w:p w14:paraId="36415B21" w14:textId="77777777" w:rsidR="00E51CDD" w:rsidRPr="00E51CDD" w:rsidRDefault="00E51CDD" w:rsidP="00E51CDD">
      <w:pPr>
        <w:widowControl w:val="0"/>
        <w:jc w:val="both"/>
        <w:rPr>
          <w:szCs w:val="24"/>
          <w:lang w:eastAsia="en-US"/>
        </w:rPr>
      </w:pPr>
    </w:p>
    <w:p w14:paraId="0451C82D" w14:textId="77777777" w:rsidR="00E51CDD" w:rsidRPr="00E51CDD" w:rsidRDefault="00E51CDD" w:rsidP="00E51CDD">
      <w:pPr>
        <w:widowControl w:val="0"/>
        <w:jc w:val="both"/>
        <w:rPr>
          <w:szCs w:val="24"/>
          <w:lang w:eastAsia="en-US"/>
        </w:rPr>
      </w:pPr>
      <w:r w:rsidRPr="00E51CDD">
        <w:rPr>
          <w:szCs w:val="24"/>
          <w:lang w:eastAsia="en-US"/>
        </w:rPr>
        <w:br w:type="page"/>
      </w:r>
    </w:p>
    <w:p w14:paraId="507908E4" w14:textId="77777777" w:rsidR="00E51CDD" w:rsidRPr="00E51CDD" w:rsidRDefault="00E51CDD" w:rsidP="00E51CDD">
      <w:pPr>
        <w:widowControl w:val="0"/>
        <w:tabs>
          <w:tab w:val="left" w:pos="425"/>
          <w:tab w:val="left" w:pos="850"/>
        </w:tabs>
        <w:ind w:left="2835" w:hanging="2835"/>
        <w:jc w:val="both"/>
        <w:rPr>
          <w:b/>
        </w:rPr>
      </w:pPr>
      <w:r w:rsidRPr="00E51CDD">
        <w:rPr>
          <w:b/>
        </w:rPr>
        <w:lastRenderedPageBreak/>
        <w:t>II.</w:t>
      </w:r>
      <w:r w:rsidRPr="00E51CDD">
        <w:rPr>
          <w:b/>
        </w:rPr>
        <w:tab/>
        <w:t>RESULTS AND DISCUSSION</w:t>
      </w:r>
    </w:p>
    <w:p w14:paraId="4E56E28D" w14:textId="77777777" w:rsidR="00E51CDD" w:rsidRPr="00E51CDD" w:rsidRDefault="00E51CDD" w:rsidP="00E51CDD">
      <w:pPr>
        <w:widowControl w:val="0"/>
        <w:jc w:val="both"/>
      </w:pPr>
    </w:p>
    <w:p w14:paraId="763E1F40" w14:textId="7B71CB45" w:rsidR="00E51CDD" w:rsidRPr="00E51CDD" w:rsidRDefault="00E51CDD" w:rsidP="00E51CDD">
      <w:pPr>
        <w:spacing w:after="160" w:line="259" w:lineRule="auto"/>
        <w:jc w:val="both"/>
        <w:rPr>
          <w:rFonts w:eastAsia="Calibri"/>
          <w:b/>
          <w:bCs/>
          <w:lang w:eastAsia="en-US"/>
        </w:rPr>
      </w:pPr>
      <w:r w:rsidRPr="00E51CDD">
        <w:t>After exposure,</w:t>
      </w:r>
      <w:r w:rsidRPr="00E51CDD">
        <w:rPr>
          <w:rFonts w:ascii="Calibri" w:eastAsia="Calibri" w:hAnsi="Calibri"/>
          <w:lang w:eastAsia="en-US"/>
        </w:rPr>
        <w:t xml:space="preserve"> </w:t>
      </w:r>
      <w:r w:rsidRPr="00E51CDD">
        <w:t>none of the tested plant species was affected concerning seedling emergence and plant survival by the application of 2.0 L BAS 736 00 F/ha.</w:t>
      </w:r>
      <w:r w:rsidRPr="00E51CDD">
        <w:rPr>
          <w:rFonts w:ascii="Calibri" w:eastAsia="Calibri" w:hAnsi="Calibri"/>
          <w:lang w:eastAsia="en-US"/>
        </w:rPr>
        <w:t xml:space="preserve"> </w:t>
      </w:r>
      <w:r w:rsidRPr="00E51CDD">
        <w:t xml:space="preserve">Furthermore, all tested species showed no phytotoxic symptoms after use of 2.0 L BAS 736 00 F/ha pre emergence. No reduction of plant length and biomass was observed for all tested plant species following the application of 2.0 L BAS 736 00 F/ha. The results are summarized in </w:t>
      </w:r>
      <w:r w:rsidRPr="00E51CDD">
        <w:fldChar w:fldCharType="begin"/>
      </w:r>
      <w:r w:rsidRPr="00E51CDD">
        <w:instrText xml:space="preserve"> REF _Ref83890235 \h  \* MERGEFORMAT </w:instrText>
      </w:r>
      <w:r w:rsidRPr="00E51CDD">
        <w:fldChar w:fldCharType="separate"/>
      </w:r>
      <w:r w:rsidR="00662F32" w:rsidRPr="00662F32">
        <w:t xml:space="preserve">Table A </w:t>
      </w:r>
      <w:r w:rsidR="00662F32" w:rsidRPr="00662F32">
        <w:rPr>
          <w:noProof/>
        </w:rPr>
        <w:t>42</w:t>
      </w:r>
      <w:r w:rsidRPr="00E51CDD">
        <w:fldChar w:fldCharType="end"/>
      </w:r>
      <w:r w:rsidRPr="00E51CDD">
        <w:t xml:space="preserve"> and </w:t>
      </w:r>
      <w:r w:rsidR="00B74DCE" w:rsidRPr="00B74DCE">
        <w:fldChar w:fldCharType="begin"/>
      </w:r>
      <w:r w:rsidR="00B74DCE" w:rsidRPr="00B74DCE">
        <w:instrText xml:space="preserve"> REF _Ref88214050 \h  \* MERGEFORMAT </w:instrText>
      </w:r>
      <w:r w:rsidR="00B74DCE" w:rsidRPr="00B74DCE">
        <w:fldChar w:fldCharType="separate"/>
      </w:r>
      <w:r w:rsidR="00662F32" w:rsidRPr="00662F32">
        <w:t xml:space="preserve">Table A </w:t>
      </w:r>
      <w:r w:rsidR="00662F32" w:rsidRPr="00662F32">
        <w:rPr>
          <w:noProof/>
        </w:rPr>
        <w:t>43</w:t>
      </w:r>
      <w:r w:rsidR="00B74DCE" w:rsidRPr="00B74DCE">
        <w:fldChar w:fldCharType="end"/>
      </w:r>
      <w:r w:rsidRPr="00B74DCE">
        <w:t>.</w:t>
      </w:r>
    </w:p>
    <w:p w14:paraId="4841C6E5" w14:textId="77777777" w:rsidR="00E51CDD" w:rsidRPr="00E51CDD" w:rsidRDefault="00E51CDD" w:rsidP="00E51CDD">
      <w:pPr>
        <w:widowControl w:val="0"/>
        <w:jc w:val="both"/>
        <w:rPr>
          <w:color w:val="0070C0"/>
        </w:rPr>
      </w:pPr>
    </w:p>
    <w:p w14:paraId="5567AEFF" w14:textId="43BA3374" w:rsidR="00B74DCE" w:rsidRDefault="00E51CDD" w:rsidP="00E51CDD">
      <w:pPr>
        <w:rPr>
          <w:b/>
          <w:bCs/>
        </w:rPr>
      </w:pPr>
      <w:bookmarkStart w:id="1324" w:name="_Ref83890235"/>
      <w:r w:rsidRPr="00E51CDD">
        <w:rPr>
          <w:b/>
          <w:bCs/>
        </w:rPr>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42</w:t>
      </w:r>
      <w:r w:rsidRPr="00E51CDD">
        <w:rPr>
          <w:b/>
          <w:bCs/>
        </w:rPr>
        <w:fldChar w:fldCharType="end"/>
      </w:r>
      <w:bookmarkEnd w:id="1324"/>
      <w:r w:rsidRPr="00E51CDD">
        <w:rPr>
          <w:b/>
          <w:bCs/>
        </w:rPr>
        <w:t>:</w:t>
      </w:r>
      <w:r w:rsidRPr="00E51CDD">
        <w:rPr>
          <w:b/>
          <w:bCs/>
        </w:rPr>
        <w:tab/>
        <w:t xml:space="preserve">Effect of BAS 736 00 F on seedling emergence, phytotoxicity, plant survival, plant </w:t>
      </w:r>
    </w:p>
    <w:p w14:paraId="1E7827B8" w14:textId="57CC5863" w:rsidR="00E51CDD" w:rsidRPr="00E51CDD" w:rsidRDefault="00E51CDD" w:rsidP="00B74DCE">
      <w:pPr>
        <w:ind w:left="708" w:firstLine="708"/>
      </w:pPr>
      <w:r w:rsidRPr="00E51CDD">
        <w:rPr>
          <w:b/>
          <w:bCs/>
        </w:rPr>
        <w:t>length and plant dry weight 21 DAT</w:t>
      </w:r>
    </w:p>
    <w:tbl>
      <w:tblPr>
        <w:tblW w:w="490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8"/>
        <w:gridCol w:w="809"/>
        <w:gridCol w:w="809"/>
        <w:gridCol w:w="899"/>
        <w:gridCol w:w="899"/>
        <w:gridCol w:w="811"/>
        <w:gridCol w:w="809"/>
        <w:gridCol w:w="721"/>
        <w:gridCol w:w="721"/>
        <w:gridCol w:w="717"/>
        <w:gridCol w:w="721"/>
      </w:tblGrid>
      <w:tr w:rsidR="00E51CDD" w:rsidRPr="00E51CDD" w14:paraId="22D6ADA2" w14:textId="77777777" w:rsidTr="009938D9">
        <w:trPr>
          <w:cantSplit/>
          <w:tblHeader/>
        </w:trPr>
        <w:tc>
          <w:tcPr>
            <w:tcW w:w="685" w:type="pct"/>
            <w:tcBorders>
              <w:top w:val="single" w:sz="4" w:space="0" w:color="auto"/>
              <w:left w:val="single" w:sz="4" w:space="0" w:color="auto"/>
              <w:bottom w:val="single" w:sz="4" w:space="0" w:color="auto"/>
              <w:right w:val="single" w:sz="4" w:space="0" w:color="auto"/>
            </w:tcBorders>
            <w:vAlign w:val="center"/>
            <w:hideMark/>
          </w:tcPr>
          <w:p w14:paraId="0298803C" w14:textId="77777777" w:rsidR="00E51CDD" w:rsidRPr="00E51CDD" w:rsidRDefault="00E51CDD" w:rsidP="00B74DCE">
            <w:pPr>
              <w:widowControl w:val="0"/>
              <w:spacing w:line="257" w:lineRule="auto"/>
              <w:ind w:left="-115" w:right="-101"/>
              <w:jc w:val="center"/>
              <w:rPr>
                <w:sz w:val="20"/>
                <w:szCs w:val="20"/>
                <w:lang w:eastAsia="en-US"/>
              </w:rPr>
            </w:pPr>
            <w:r w:rsidRPr="00E51CDD">
              <w:rPr>
                <w:b/>
                <w:bCs/>
                <w:sz w:val="20"/>
                <w:szCs w:val="20"/>
                <w:lang w:eastAsia="en-US"/>
              </w:rPr>
              <w:t>BAS 736 00 F [L/ha]</w:t>
            </w:r>
          </w:p>
        </w:tc>
        <w:tc>
          <w:tcPr>
            <w:tcW w:w="441" w:type="pct"/>
            <w:tcBorders>
              <w:top w:val="single" w:sz="4" w:space="0" w:color="auto"/>
              <w:left w:val="single" w:sz="4" w:space="0" w:color="auto"/>
              <w:bottom w:val="single" w:sz="4" w:space="0" w:color="auto"/>
              <w:right w:val="single" w:sz="4" w:space="0" w:color="auto"/>
            </w:tcBorders>
            <w:vAlign w:val="center"/>
            <w:hideMark/>
          </w:tcPr>
          <w:p w14:paraId="2F7C2EBA" w14:textId="77777777" w:rsidR="00E51CDD" w:rsidRPr="00E51CDD" w:rsidRDefault="00E51CDD" w:rsidP="00B74DCE">
            <w:pPr>
              <w:widowControl w:val="0"/>
              <w:spacing w:line="257" w:lineRule="auto"/>
              <w:ind w:left="-115" w:right="-101"/>
              <w:jc w:val="center"/>
              <w:rPr>
                <w:b/>
                <w:sz w:val="20"/>
                <w:szCs w:val="20"/>
              </w:rPr>
            </w:pPr>
            <w:r w:rsidRPr="00E51CDD">
              <w:rPr>
                <w:b/>
                <w:sz w:val="20"/>
                <w:szCs w:val="20"/>
              </w:rPr>
              <w:t>Carrot*</w:t>
            </w:r>
          </w:p>
        </w:tc>
        <w:tc>
          <w:tcPr>
            <w:tcW w:w="441" w:type="pct"/>
            <w:tcBorders>
              <w:top w:val="single" w:sz="4" w:space="0" w:color="auto"/>
              <w:left w:val="single" w:sz="4" w:space="0" w:color="auto"/>
              <w:bottom w:val="single" w:sz="4" w:space="0" w:color="auto"/>
              <w:right w:val="single" w:sz="4" w:space="0" w:color="auto"/>
            </w:tcBorders>
            <w:vAlign w:val="center"/>
            <w:hideMark/>
          </w:tcPr>
          <w:p w14:paraId="4A196080" w14:textId="77777777" w:rsidR="00E51CDD" w:rsidRPr="00E51CDD" w:rsidRDefault="00E51CDD" w:rsidP="00B74DCE">
            <w:pPr>
              <w:widowControl w:val="0"/>
              <w:spacing w:line="257" w:lineRule="auto"/>
              <w:ind w:left="-115" w:right="-101"/>
              <w:jc w:val="center"/>
              <w:rPr>
                <w:b/>
                <w:sz w:val="20"/>
                <w:szCs w:val="20"/>
              </w:rPr>
            </w:pPr>
            <w:r w:rsidRPr="00E51CDD">
              <w:rPr>
                <w:b/>
                <w:sz w:val="20"/>
                <w:szCs w:val="20"/>
              </w:rPr>
              <w:t>Lettuce</w:t>
            </w:r>
          </w:p>
        </w:tc>
        <w:tc>
          <w:tcPr>
            <w:tcW w:w="490" w:type="pct"/>
            <w:tcBorders>
              <w:top w:val="single" w:sz="4" w:space="0" w:color="auto"/>
              <w:left w:val="single" w:sz="4" w:space="0" w:color="auto"/>
              <w:bottom w:val="single" w:sz="4" w:space="0" w:color="auto"/>
              <w:right w:val="single" w:sz="4" w:space="0" w:color="auto"/>
            </w:tcBorders>
            <w:vAlign w:val="center"/>
            <w:hideMark/>
          </w:tcPr>
          <w:p w14:paraId="4A97F18E" w14:textId="77777777" w:rsidR="00E51CDD" w:rsidRPr="00E51CDD" w:rsidRDefault="00E51CDD" w:rsidP="00B74DCE">
            <w:pPr>
              <w:widowControl w:val="0"/>
              <w:spacing w:line="257" w:lineRule="auto"/>
              <w:ind w:left="-115" w:right="-101"/>
              <w:jc w:val="center"/>
              <w:rPr>
                <w:b/>
                <w:sz w:val="20"/>
                <w:szCs w:val="20"/>
              </w:rPr>
            </w:pPr>
            <w:r w:rsidRPr="00E51CDD">
              <w:rPr>
                <w:b/>
                <w:sz w:val="20"/>
                <w:szCs w:val="20"/>
              </w:rPr>
              <w:t>Cabbage</w:t>
            </w:r>
          </w:p>
        </w:tc>
        <w:tc>
          <w:tcPr>
            <w:tcW w:w="490" w:type="pct"/>
            <w:tcBorders>
              <w:top w:val="single" w:sz="4" w:space="0" w:color="auto"/>
              <w:left w:val="single" w:sz="4" w:space="0" w:color="auto"/>
              <w:bottom w:val="single" w:sz="4" w:space="0" w:color="auto"/>
              <w:right w:val="single" w:sz="4" w:space="0" w:color="auto"/>
            </w:tcBorders>
            <w:vAlign w:val="center"/>
            <w:hideMark/>
          </w:tcPr>
          <w:p w14:paraId="421AB35F" w14:textId="77777777" w:rsidR="00E51CDD" w:rsidRPr="00E51CDD" w:rsidRDefault="00E51CDD" w:rsidP="00B74DCE">
            <w:pPr>
              <w:widowControl w:val="0"/>
              <w:spacing w:line="257" w:lineRule="auto"/>
              <w:ind w:left="-115" w:right="-101"/>
              <w:jc w:val="center"/>
              <w:rPr>
                <w:b/>
                <w:sz w:val="20"/>
                <w:szCs w:val="20"/>
              </w:rPr>
            </w:pPr>
            <w:r w:rsidRPr="00E51CDD">
              <w:rPr>
                <w:b/>
                <w:sz w:val="20"/>
                <w:szCs w:val="20"/>
              </w:rPr>
              <w:t>Oilseed</w:t>
            </w:r>
          </w:p>
          <w:p w14:paraId="156014BD" w14:textId="77777777" w:rsidR="00E51CDD" w:rsidRPr="00E51CDD" w:rsidRDefault="00E51CDD" w:rsidP="00B74DCE">
            <w:pPr>
              <w:widowControl w:val="0"/>
              <w:spacing w:line="257" w:lineRule="auto"/>
              <w:ind w:left="-115" w:right="-101"/>
              <w:jc w:val="center"/>
              <w:rPr>
                <w:b/>
                <w:sz w:val="20"/>
                <w:szCs w:val="20"/>
              </w:rPr>
            </w:pPr>
            <w:r w:rsidRPr="00E51CDD">
              <w:rPr>
                <w:b/>
                <w:sz w:val="20"/>
                <w:szCs w:val="20"/>
              </w:rPr>
              <w:t>rape</w:t>
            </w:r>
          </w:p>
        </w:tc>
        <w:tc>
          <w:tcPr>
            <w:tcW w:w="442" w:type="pct"/>
            <w:tcBorders>
              <w:top w:val="single" w:sz="4" w:space="0" w:color="auto"/>
              <w:left w:val="single" w:sz="4" w:space="0" w:color="auto"/>
              <w:bottom w:val="single" w:sz="4" w:space="0" w:color="auto"/>
              <w:right w:val="single" w:sz="4" w:space="0" w:color="auto"/>
            </w:tcBorders>
            <w:vAlign w:val="center"/>
          </w:tcPr>
          <w:p w14:paraId="2208463E" w14:textId="77777777" w:rsidR="00E51CDD" w:rsidRPr="00E51CDD" w:rsidRDefault="00E51CDD" w:rsidP="00B74DCE">
            <w:pPr>
              <w:widowControl w:val="0"/>
              <w:spacing w:line="257" w:lineRule="auto"/>
              <w:ind w:left="-115" w:right="-101" w:firstLine="1"/>
              <w:jc w:val="center"/>
              <w:rPr>
                <w:b/>
                <w:sz w:val="20"/>
                <w:szCs w:val="20"/>
              </w:rPr>
            </w:pPr>
            <w:r w:rsidRPr="00E51CDD">
              <w:rPr>
                <w:b/>
                <w:sz w:val="20"/>
                <w:szCs w:val="20"/>
              </w:rPr>
              <w:t>Tomato</w:t>
            </w:r>
          </w:p>
        </w:tc>
        <w:tc>
          <w:tcPr>
            <w:tcW w:w="441" w:type="pct"/>
            <w:tcBorders>
              <w:top w:val="single" w:sz="4" w:space="0" w:color="auto"/>
              <w:left w:val="single" w:sz="4" w:space="0" w:color="auto"/>
              <w:bottom w:val="single" w:sz="4" w:space="0" w:color="auto"/>
              <w:right w:val="single" w:sz="4" w:space="0" w:color="auto"/>
            </w:tcBorders>
            <w:vAlign w:val="center"/>
          </w:tcPr>
          <w:p w14:paraId="327B791D" w14:textId="77777777" w:rsidR="00E51CDD" w:rsidRPr="00E51CDD" w:rsidRDefault="00E51CDD" w:rsidP="00B74DCE">
            <w:pPr>
              <w:widowControl w:val="0"/>
              <w:spacing w:line="257" w:lineRule="auto"/>
              <w:ind w:left="-115" w:right="-101"/>
              <w:jc w:val="center"/>
              <w:rPr>
                <w:b/>
                <w:sz w:val="20"/>
                <w:szCs w:val="20"/>
              </w:rPr>
            </w:pPr>
            <w:r w:rsidRPr="00E51CDD">
              <w:rPr>
                <w:b/>
                <w:sz w:val="20"/>
                <w:szCs w:val="20"/>
              </w:rPr>
              <w:t>Soybean</w:t>
            </w:r>
          </w:p>
        </w:tc>
        <w:tc>
          <w:tcPr>
            <w:tcW w:w="393" w:type="pct"/>
            <w:tcBorders>
              <w:top w:val="single" w:sz="4" w:space="0" w:color="auto"/>
              <w:left w:val="single" w:sz="4" w:space="0" w:color="auto"/>
              <w:bottom w:val="single" w:sz="4" w:space="0" w:color="auto"/>
              <w:right w:val="single" w:sz="4" w:space="0" w:color="auto"/>
            </w:tcBorders>
            <w:vAlign w:val="center"/>
            <w:hideMark/>
          </w:tcPr>
          <w:p w14:paraId="45E2170A" w14:textId="77777777" w:rsidR="00E51CDD" w:rsidRPr="00E51CDD" w:rsidRDefault="00E51CDD" w:rsidP="00B74DCE">
            <w:pPr>
              <w:widowControl w:val="0"/>
              <w:spacing w:line="257" w:lineRule="auto"/>
              <w:ind w:left="-115" w:right="-101"/>
              <w:jc w:val="center"/>
              <w:rPr>
                <w:b/>
                <w:sz w:val="20"/>
                <w:szCs w:val="20"/>
              </w:rPr>
            </w:pPr>
            <w:r w:rsidRPr="00E51CDD">
              <w:rPr>
                <w:b/>
                <w:sz w:val="20"/>
                <w:szCs w:val="20"/>
              </w:rPr>
              <w:t>Onion*</w:t>
            </w:r>
          </w:p>
        </w:tc>
        <w:tc>
          <w:tcPr>
            <w:tcW w:w="393" w:type="pct"/>
            <w:tcBorders>
              <w:top w:val="single" w:sz="4" w:space="0" w:color="auto"/>
              <w:left w:val="single" w:sz="4" w:space="0" w:color="auto"/>
              <w:bottom w:val="single" w:sz="4" w:space="0" w:color="auto"/>
              <w:right w:val="single" w:sz="4" w:space="0" w:color="auto"/>
            </w:tcBorders>
            <w:vAlign w:val="center"/>
            <w:hideMark/>
          </w:tcPr>
          <w:p w14:paraId="0D9ABBBE" w14:textId="77777777" w:rsidR="00E51CDD" w:rsidRPr="00E51CDD" w:rsidRDefault="00E51CDD" w:rsidP="00B74DCE">
            <w:pPr>
              <w:widowControl w:val="0"/>
              <w:spacing w:line="257" w:lineRule="auto"/>
              <w:ind w:left="-115" w:right="-101"/>
              <w:jc w:val="center"/>
              <w:rPr>
                <w:b/>
                <w:sz w:val="20"/>
                <w:szCs w:val="20"/>
              </w:rPr>
            </w:pPr>
            <w:r w:rsidRPr="00E51CDD">
              <w:rPr>
                <w:b/>
                <w:sz w:val="20"/>
                <w:szCs w:val="20"/>
              </w:rPr>
              <w:t>Rye-grass</w:t>
            </w:r>
          </w:p>
        </w:tc>
        <w:tc>
          <w:tcPr>
            <w:tcW w:w="391" w:type="pct"/>
            <w:tcBorders>
              <w:top w:val="single" w:sz="4" w:space="0" w:color="auto"/>
              <w:left w:val="single" w:sz="4" w:space="0" w:color="auto"/>
              <w:bottom w:val="single" w:sz="4" w:space="0" w:color="auto"/>
              <w:right w:val="single" w:sz="4" w:space="0" w:color="auto"/>
            </w:tcBorders>
            <w:vAlign w:val="center"/>
            <w:hideMark/>
          </w:tcPr>
          <w:p w14:paraId="04212B17" w14:textId="77777777" w:rsidR="00E51CDD" w:rsidRPr="00E51CDD" w:rsidRDefault="00E51CDD" w:rsidP="00B74DCE">
            <w:pPr>
              <w:widowControl w:val="0"/>
              <w:spacing w:line="257" w:lineRule="auto"/>
              <w:ind w:left="-115" w:right="-101" w:firstLine="16"/>
              <w:jc w:val="center"/>
              <w:rPr>
                <w:b/>
                <w:sz w:val="20"/>
                <w:szCs w:val="20"/>
              </w:rPr>
            </w:pPr>
            <w:r w:rsidRPr="00E51CDD">
              <w:rPr>
                <w:b/>
                <w:sz w:val="20"/>
                <w:szCs w:val="20"/>
              </w:rPr>
              <w:t>Wheat</w:t>
            </w:r>
          </w:p>
        </w:tc>
        <w:tc>
          <w:tcPr>
            <w:tcW w:w="393" w:type="pct"/>
            <w:tcBorders>
              <w:top w:val="single" w:sz="4" w:space="0" w:color="auto"/>
              <w:left w:val="single" w:sz="4" w:space="0" w:color="auto"/>
              <w:bottom w:val="single" w:sz="4" w:space="0" w:color="auto"/>
              <w:right w:val="single" w:sz="4" w:space="0" w:color="auto"/>
            </w:tcBorders>
            <w:vAlign w:val="center"/>
            <w:hideMark/>
          </w:tcPr>
          <w:p w14:paraId="077EB447" w14:textId="77777777" w:rsidR="00E51CDD" w:rsidRPr="00E51CDD" w:rsidRDefault="00E51CDD" w:rsidP="00B74DCE">
            <w:pPr>
              <w:widowControl w:val="0"/>
              <w:spacing w:line="257" w:lineRule="auto"/>
              <w:ind w:left="-115" w:right="-101"/>
              <w:jc w:val="center"/>
              <w:rPr>
                <w:b/>
                <w:bCs/>
                <w:sz w:val="20"/>
                <w:szCs w:val="20"/>
                <w:lang w:eastAsia="en-US"/>
              </w:rPr>
            </w:pPr>
            <w:r w:rsidRPr="00E51CDD">
              <w:rPr>
                <w:b/>
                <w:bCs/>
                <w:sz w:val="20"/>
                <w:szCs w:val="20"/>
                <w:lang w:eastAsia="en-US"/>
              </w:rPr>
              <w:t>Corn</w:t>
            </w:r>
          </w:p>
        </w:tc>
      </w:tr>
      <w:tr w:rsidR="00E51CDD" w:rsidRPr="00E51CDD" w14:paraId="044AC70C"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tcPr>
          <w:p w14:paraId="20CFEF47" w14:textId="77777777" w:rsidR="00E51CDD" w:rsidRPr="00E51CDD" w:rsidRDefault="00E51CDD" w:rsidP="00B74DCE">
            <w:pPr>
              <w:widowControl w:val="0"/>
              <w:spacing w:beforeLines="40" w:before="96" w:afterLines="40" w:after="96" w:line="256" w:lineRule="auto"/>
              <w:jc w:val="center"/>
              <w:rPr>
                <w:b/>
                <w:bCs/>
                <w:sz w:val="20"/>
                <w:szCs w:val="20"/>
                <w:lang w:eastAsia="en-US"/>
              </w:rPr>
            </w:pPr>
          </w:p>
        </w:tc>
        <w:tc>
          <w:tcPr>
            <w:tcW w:w="4315" w:type="pct"/>
            <w:gridSpan w:val="10"/>
            <w:tcBorders>
              <w:top w:val="single" w:sz="4" w:space="0" w:color="auto"/>
              <w:left w:val="single" w:sz="4" w:space="0" w:color="auto"/>
              <w:bottom w:val="single" w:sz="4" w:space="0" w:color="auto"/>
              <w:right w:val="single" w:sz="4" w:space="0" w:color="auto"/>
            </w:tcBorders>
            <w:vAlign w:val="center"/>
          </w:tcPr>
          <w:p w14:paraId="641B3EF2" w14:textId="77777777" w:rsidR="00E51CDD" w:rsidRPr="00E51CDD" w:rsidRDefault="00E51CDD" w:rsidP="00B74DCE">
            <w:pPr>
              <w:widowControl w:val="0"/>
              <w:spacing w:beforeLines="40" w:before="96" w:afterLines="40" w:after="96" w:line="256" w:lineRule="auto"/>
              <w:jc w:val="center"/>
              <w:rPr>
                <w:b/>
                <w:bCs/>
                <w:sz w:val="20"/>
                <w:szCs w:val="20"/>
                <w:lang w:eastAsia="en-US"/>
              </w:rPr>
            </w:pPr>
            <w:r w:rsidRPr="00E51CDD">
              <w:rPr>
                <w:b/>
                <w:bCs/>
                <w:sz w:val="20"/>
                <w:szCs w:val="20"/>
                <w:lang w:eastAsia="en-US"/>
              </w:rPr>
              <w:t>Plant emergence [%]</w:t>
            </w:r>
          </w:p>
        </w:tc>
      </w:tr>
      <w:tr w:rsidR="00E51CDD" w:rsidRPr="00E51CDD" w14:paraId="7E676B7B"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tcPr>
          <w:p w14:paraId="43C2D7DF" w14:textId="77777777" w:rsidR="00E51CDD" w:rsidRPr="00E51CDD" w:rsidRDefault="00E51CDD" w:rsidP="00B74DCE">
            <w:pPr>
              <w:widowControl w:val="0"/>
              <w:spacing w:beforeLines="40" w:before="96" w:afterLines="40" w:after="96" w:line="256" w:lineRule="auto"/>
              <w:jc w:val="center"/>
              <w:rPr>
                <w:b/>
                <w:bCs/>
                <w:sz w:val="20"/>
                <w:szCs w:val="20"/>
                <w:lang w:eastAsia="en-US"/>
              </w:rPr>
            </w:pPr>
            <w:r w:rsidRPr="00E51CDD">
              <w:rPr>
                <w:sz w:val="20"/>
                <w:szCs w:val="20"/>
                <w:lang w:eastAsia="en-US"/>
              </w:rPr>
              <w:t>Control</w:t>
            </w:r>
          </w:p>
        </w:tc>
        <w:tc>
          <w:tcPr>
            <w:tcW w:w="441" w:type="pct"/>
            <w:vAlign w:val="center"/>
          </w:tcPr>
          <w:p w14:paraId="24E06EEA"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c>
          <w:tcPr>
            <w:tcW w:w="441" w:type="pct"/>
            <w:vAlign w:val="center"/>
          </w:tcPr>
          <w:p w14:paraId="510BC5DF"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c>
          <w:tcPr>
            <w:tcW w:w="490" w:type="pct"/>
            <w:vAlign w:val="center"/>
          </w:tcPr>
          <w:p w14:paraId="4BB2E510"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c>
          <w:tcPr>
            <w:tcW w:w="490" w:type="pct"/>
            <w:vAlign w:val="center"/>
          </w:tcPr>
          <w:p w14:paraId="290A639E"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c>
          <w:tcPr>
            <w:tcW w:w="442" w:type="pct"/>
            <w:vAlign w:val="center"/>
          </w:tcPr>
          <w:p w14:paraId="0E9C5ED9"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c>
          <w:tcPr>
            <w:tcW w:w="441" w:type="pct"/>
            <w:vAlign w:val="center"/>
          </w:tcPr>
          <w:p w14:paraId="1FEF5206"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c>
          <w:tcPr>
            <w:tcW w:w="393" w:type="pct"/>
            <w:vAlign w:val="center"/>
          </w:tcPr>
          <w:p w14:paraId="3B2A6395"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c>
          <w:tcPr>
            <w:tcW w:w="393" w:type="pct"/>
            <w:vAlign w:val="center"/>
          </w:tcPr>
          <w:p w14:paraId="643B15D5"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c>
          <w:tcPr>
            <w:tcW w:w="391" w:type="pct"/>
            <w:vAlign w:val="center"/>
          </w:tcPr>
          <w:p w14:paraId="49C169E4"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c>
          <w:tcPr>
            <w:tcW w:w="393" w:type="pct"/>
            <w:vAlign w:val="center"/>
          </w:tcPr>
          <w:p w14:paraId="1C081DAE"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r>
      <w:tr w:rsidR="00E51CDD" w:rsidRPr="00E51CDD" w14:paraId="18BC0FE7"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tcPr>
          <w:p w14:paraId="609354A1" w14:textId="77777777" w:rsidR="00E51CDD" w:rsidRPr="00E51CDD" w:rsidRDefault="00E51CDD" w:rsidP="00B74DCE">
            <w:pPr>
              <w:widowControl w:val="0"/>
              <w:spacing w:beforeLines="40" w:before="96" w:afterLines="40" w:after="96" w:line="256" w:lineRule="auto"/>
              <w:jc w:val="center"/>
              <w:rPr>
                <w:b/>
                <w:bCs/>
                <w:sz w:val="20"/>
                <w:szCs w:val="20"/>
                <w:lang w:eastAsia="en-US"/>
              </w:rPr>
            </w:pPr>
            <w:r w:rsidRPr="00E51CDD">
              <w:rPr>
                <w:sz w:val="20"/>
                <w:szCs w:val="20"/>
                <w:lang w:eastAsia="en-US"/>
              </w:rPr>
              <w:t>2.0</w:t>
            </w:r>
          </w:p>
        </w:tc>
        <w:tc>
          <w:tcPr>
            <w:tcW w:w="441" w:type="pct"/>
            <w:vAlign w:val="center"/>
          </w:tcPr>
          <w:p w14:paraId="0F228393"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115</w:t>
            </w:r>
          </w:p>
        </w:tc>
        <w:tc>
          <w:tcPr>
            <w:tcW w:w="441" w:type="pct"/>
            <w:vAlign w:val="center"/>
          </w:tcPr>
          <w:p w14:paraId="3A1E6523"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c>
          <w:tcPr>
            <w:tcW w:w="490" w:type="pct"/>
            <w:vAlign w:val="center"/>
          </w:tcPr>
          <w:p w14:paraId="3B1AB52D"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109</w:t>
            </w:r>
          </w:p>
        </w:tc>
        <w:tc>
          <w:tcPr>
            <w:tcW w:w="490" w:type="pct"/>
            <w:vAlign w:val="center"/>
          </w:tcPr>
          <w:p w14:paraId="0AA54170"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100</w:t>
            </w:r>
          </w:p>
        </w:tc>
        <w:tc>
          <w:tcPr>
            <w:tcW w:w="442" w:type="pct"/>
            <w:vAlign w:val="center"/>
          </w:tcPr>
          <w:p w14:paraId="00CC211C"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94</w:t>
            </w:r>
          </w:p>
        </w:tc>
        <w:tc>
          <w:tcPr>
            <w:tcW w:w="441" w:type="pct"/>
            <w:vAlign w:val="center"/>
          </w:tcPr>
          <w:p w14:paraId="321EE439"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103</w:t>
            </w:r>
          </w:p>
        </w:tc>
        <w:tc>
          <w:tcPr>
            <w:tcW w:w="393" w:type="pct"/>
            <w:vAlign w:val="center"/>
          </w:tcPr>
          <w:p w14:paraId="66262943"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106</w:t>
            </w:r>
          </w:p>
        </w:tc>
        <w:tc>
          <w:tcPr>
            <w:tcW w:w="393" w:type="pct"/>
            <w:vAlign w:val="center"/>
          </w:tcPr>
          <w:p w14:paraId="6109CA6A"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103</w:t>
            </w:r>
          </w:p>
        </w:tc>
        <w:tc>
          <w:tcPr>
            <w:tcW w:w="391" w:type="pct"/>
            <w:vAlign w:val="center"/>
          </w:tcPr>
          <w:p w14:paraId="4FA72936"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95</w:t>
            </w:r>
          </w:p>
        </w:tc>
        <w:tc>
          <w:tcPr>
            <w:tcW w:w="393" w:type="pct"/>
            <w:vAlign w:val="center"/>
          </w:tcPr>
          <w:p w14:paraId="5AE4DB40" w14:textId="77777777" w:rsidR="00E51CDD" w:rsidRPr="00E51CDD" w:rsidRDefault="00E51CDD" w:rsidP="00B74DCE">
            <w:pPr>
              <w:spacing w:beforeLines="40" w:before="96" w:afterLines="40" w:after="96" w:line="259" w:lineRule="auto"/>
              <w:jc w:val="center"/>
              <w:rPr>
                <w:sz w:val="20"/>
                <w:szCs w:val="20"/>
                <w:lang w:eastAsia="en-US"/>
              </w:rPr>
            </w:pPr>
            <w:r w:rsidRPr="00E51CDD">
              <w:rPr>
                <w:sz w:val="20"/>
                <w:szCs w:val="20"/>
                <w:lang w:eastAsia="en-US"/>
              </w:rPr>
              <w:t>87</w:t>
            </w:r>
          </w:p>
        </w:tc>
      </w:tr>
      <w:tr w:rsidR="00E51CDD" w:rsidRPr="00E51CDD" w14:paraId="10C64ED7"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tcPr>
          <w:p w14:paraId="01BAC8BE" w14:textId="77777777" w:rsidR="00E51CDD" w:rsidRPr="00E51CDD" w:rsidRDefault="00E51CDD" w:rsidP="00B74DCE">
            <w:pPr>
              <w:widowControl w:val="0"/>
              <w:spacing w:beforeLines="40" w:before="96" w:afterLines="40" w:after="96" w:line="256" w:lineRule="auto"/>
              <w:jc w:val="center"/>
              <w:rPr>
                <w:b/>
                <w:bCs/>
                <w:sz w:val="20"/>
                <w:szCs w:val="20"/>
                <w:lang w:eastAsia="en-US"/>
              </w:rPr>
            </w:pPr>
          </w:p>
        </w:tc>
        <w:tc>
          <w:tcPr>
            <w:tcW w:w="4315" w:type="pct"/>
            <w:gridSpan w:val="10"/>
            <w:tcBorders>
              <w:top w:val="single" w:sz="4" w:space="0" w:color="auto"/>
              <w:left w:val="single" w:sz="4" w:space="0" w:color="auto"/>
              <w:bottom w:val="single" w:sz="4" w:space="0" w:color="auto"/>
              <w:right w:val="single" w:sz="4" w:space="0" w:color="auto"/>
            </w:tcBorders>
            <w:vAlign w:val="center"/>
            <w:hideMark/>
          </w:tcPr>
          <w:p w14:paraId="75B3E0DC"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b/>
                <w:bCs/>
                <w:sz w:val="20"/>
                <w:szCs w:val="20"/>
                <w:lang w:eastAsia="en-US"/>
              </w:rPr>
              <w:t>Plant survival [%]</w:t>
            </w:r>
          </w:p>
        </w:tc>
      </w:tr>
      <w:tr w:rsidR="00E51CDD" w:rsidRPr="00E51CDD" w14:paraId="45C30AFA"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hideMark/>
          </w:tcPr>
          <w:p w14:paraId="22CB3C57"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Control</w:t>
            </w:r>
          </w:p>
        </w:tc>
        <w:tc>
          <w:tcPr>
            <w:tcW w:w="441" w:type="pct"/>
            <w:tcBorders>
              <w:top w:val="single" w:sz="4" w:space="0" w:color="auto"/>
              <w:left w:val="single" w:sz="4" w:space="0" w:color="auto"/>
              <w:bottom w:val="single" w:sz="4" w:space="0" w:color="auto"/>
              <w:right w:val="single" w:sz="4" w:space="0" w:color="auto"/>
            </w:tcBorders>
            <w:vAlign w:val="center"/>
            <w:hideMark/>
          </w:tcPr>
          <w:p w14:paraId="69D68BDA"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41" w:type="pct"/>
            <w:tcBorders>
              <w:top w:val="single" w:sz="4" w:space="0" w:color="auto"/>
              <w:left w:val="single" w:sz="4" w:space="0" w:color="auto"/>
              <w:bottom w:val="single" w:sz="4" w:space="0" w:color="auto"/>
              <w:right w:val="single" w:sz="4" w:space="0" w:color="auto"/>
            </w:tcBorders>
            <w:vAlign w:val="center"/>
            <w:hideMark/>
          </w:tcPr>
          <w:p w14:paraId="66C01783"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90" w:type="pct"/>
            <w:tcBorders>
              <w:top w:val="single" w:sz="4" w:space="0" w:color="auto"/>
              <w:left w:val="single" w:sz="4" w:space="0" w:color="auto"/>
              <w:bottom w:val="single" w:sz="4" w:space="0" w:color="auto"/>
              <w:right w:val="single" w:sz="4" w:space="0" w:color="auto"/>
            </w:tcBorders>
            <w:vAlign w:val="center"/>
            <w:hideMark/>
          </w:tcPr>
          <w:p w14:paraId="7252FD50"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90" w:type="pct"/>
            <w:tcBorders>
              <w:top w:val="single" w:sz="4" w:space="0" w:color="auto"/>
              <w:left w:val="single" w:sz="4" w:space="0" w:color="auto"/>
              <w:bottom w:val="single" w:sz="4" w:space="0" w:color="auto"/>
              <w:right w:val="single" w:sz="4" w:space="0" w:color="auto"/>
            </w:tcBorders>
            <w:vAlign w:val="center"/>
            <w:hideMark/>
          </w:tcPr>
          <w:p w14:paraId="74CCE882"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42" w:type="pct"/>
            <w:tcBorders>
              <w:top w:val="single" w:sz="4" w:space="0" w:color="auto"/>
              <w:left w:val="single" w:sz="4" w:space="0" w:color="auto"/>
              <w:bottom w:val="single" w:sz="4" w:space="0" w:color="auto"/>
              <w:right w:val="single" w:sz="4" w:space="0" w:color="auto"/>
            </w:tcBorders>
            <w:vAlign w:val="center"/>
          </w:tcPr>
          <w:p w14:paraId="7400CC91"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41" w:type="pct"/>
            <w:tcBorders>
              <w:top w:val="single" w:sz="4" w:space="0" w:color="auto"/>
              <w:left w:val="single" w:sz="4" w:space="0" w:color="auto"/>
              <w:bottom w:val="single" w:sz="4" w:space="0" w:color="auto"/>
              <w:right w:val="single" w:sz="4" w:space="0" w:color="auto"/>
            </w:tcBorders>
            <w:vAlign w:val="center"/>
          </w:tcPr>
          <w:p w14:paraId="5DB4D4EE"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hideMark/>
          </w:tcPr>
          <w:p w14:paraId="7D598AD8"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hideMark/>
          </w:tcPr>
          <w:p w14:paraId="6F307F3F"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1" w:type="pct"/>
            <w:tcBorders>
              <w:top w:val="single" w:sz="4" w:space="0" w:color="auto"/>
              <w:left w:val="single" w:sz="4" w:space="0" w:color="auto"/>
              <w:bottom w:val="single" w:sz="4" w:space="0" w:color="auto"/>
              <w:right w:val="single" w:sz="4" w:space="0" w:color="auto"/>
            </w:tcBorders>
            <w:vAlign w:val="center"/>
            <w:hideMark/>
          </w:tcPr>
          <w:p w14:paraId="328E7A9D"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hideMark/>
          </w:tcPr>
          <w:p w14:paraId="1F02B413"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r>
      <w:tr w:rsidR="00E51CDD" w:rsidRPr="00E51CDD" w14:paraId="0B1036A3"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hideMark/>
          </w:tcPr>
          <w:p w14:paraId="6688FCFF"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2.0</w:t>
            </w:r>
          </w:p>
        </w:tc>
        <w:tc>
          <w:tcPr>
            <w:tcW w:w="441" w:type="pct"/>
            <w:tcBorders>
              <w:top w:val="single" w:sz="4" w:space="0" w:color="auto"/>
              <w:left w:val="single" w:sz="4" w:space="0" w:color="auto"/>
              <w:bottom w:val="single" w:sz="4" w:space="0" w:color="auto"/>
              <w:right w:val="single" w:sz="4" w:space="0" w:color="auto"/>
            </w:tcBorders>
            <w:vAlign w:val="center"/>
            <w:hideMark/>
          </w:tcPr>
          <w:p w14:paraId="305EBD38"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100</w:t>
            </w:r>
          </w:p>
        </w:tc>
        <w:tc>
          <w:tcPr>
            <w:tcW w:w="441" w:type="pct"/>
            <w:tcBorders>
              <w:top w:val="single" w:sz="4" w:space="0" w:color="auto"/>
              <w:left w:val="single" w:sz="4" w:space="0" w:color="auto"/>
              <w:bottom w:val="single" w:sz="4" w:space="0" w:color="auto"/>
              <w:right w:val="single" w:sz="4" w:space="0" w:color="auto"/>
            </w:tcBorders>
            <w:vAlign w:val="center"/>
            <w:hideMark/>
          </w:tcPr>
          <w:p w14:paraId="3D8DED7A"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100</w:t>
            </w:r>
          </w:p>
        </w:tc>
        <w:tc>
          <w:tcPr>
            <w:tcW w:w="490" w:type="pct"/>
            <w:tcBorders>
              <w:top w:val="single" w:sz="4" w:space="0" w:color="auto"/>
              <w:left w:val="single" w:sz="4" w:space="0" w:color="auto"/>
              <w:bottom w:val="single" w:sz="4" w:space="0" w:color="auto"/>
              <w:right w:val="single" w:sz="4" w:space="0" w:color="auto"/>
            </w:tcBorders>
            <w:vAlign w:val="center"/>
            <w:hideMark/>
          </w:tcPr>
          <w:p w14:paraId="08DC3CE3"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100</w:t>
            </w:r>
          </w:p>
        </w:tc>
        <w:tc>
          <w:tcPr>
            <w:tcW w:w="490" w:type="pct"/>
            <w:tcBorders>
              <w:top w:val="single" w:sz="4" w:space="0" w:color="auto"/>
              <w:left w:val="single" w:sz="4" w:space="0" w:color="auto"/>
              <w:bottom w:val="single" w:sz="4" w:space="0" w:color="auto"/>
              <w:right w:val="single" w:sz="4" w:space="0" w:color="auto"/>
            </w:tcBorders>
            <w:vAlign w:val="center"/>
            <w:hideMark/>
          </w:tcPr>
          <w:p w14:paraId="04188299"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100</w:t>
            </w:r>
          </w:p>
        </w:tc>
        <w:tc>
          <w:tcPr>
            <w:tcW w:w="442" w:type="pct"/>
            <w:tcBorders>
              <w:top w:val="single" w:sz="4" w:space="0" w:color="auto"/>
              <w:left w:val="single" w:sz="4" w:space="0" w:color="auto"/>
              <w:bottom w:val="single" w:sz="4" w:space="0" w:color="auto"/>
              <w:right w:val="single" w:sz="4" w:space="0" w:color="auto"/>
            </w:tcBorders>
            <w:vAlign w:val="center"/>
          </w:tcPr>
          <w:p w14:paraId="3B56C88D"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100</w:t>
            </w:r>
          </w:p>
        </w:tc>
        <w:tc>
          <w:tcPr>
            <w:tcW w:w="441" w:type="pct"/>
            <w:tcBorders>
              <w:top w:val="single" w:sz="4" w:space="0" w:color="auto"/>
              <w:left w:val="single" w:sz="4" w:space="0" w:color="auto"/>
              <w:bottom w:val="single" w:sz="4" w:space="0" w:color="auto"/>
              <w:right w:val="single" w:sz="4" w:space="0" w:color="auto"/>
            </w:tcBorders>
            <w:vAlign w:val="center"/>
          </w:tcPr>
          <w:p w14:paraId="0B58A011"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hideMark/>
          </w:tcPr>
          <w:p w14:paraId="620173A8"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hideMark/>
          </w:tcPr>
          <w:p w14:paraId="6CBED8CF"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100</w:t>
            </w:r>
          </w:p>
        </w:tc>
        <w:tc>
          <w:tcPr>
            <w:tcW w:w="391" w:type="pct"/>
            <w:tcBorders>
              <w:top w:val="single" w:sz="4" w:space="0" w:color="auto"/>
              <w:left w:val="single" w:sz="4" w:space="0" w:color="auto"/>
              <w:bottom w:val="single" w:sz="4" w:space="0" w:color="auto"/>
              <w:right w:val="single" w:sz="4" w:space="0" w:color="auto"/>
            </w:tcBorders>
            <w:vAlign w:val="center"/>
            <w:hideMark/>
          </w:tcPr>
          <w:p w14:paraId="709062CD"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hideMark/>
          </w:tcPr>
          <w:p w14:paraId="6E2B37FF"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100</w:t>
            </w:r>
          </w:p>
        </w:tc>
      </w:tr>
      <w:tr w:rsidR="00E51CDD" w:rsidRPr="00E51CDD" w14:paraId="1DFDA3AB"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tcPr>
          <w:p w14:paraId="080CCE94" w14:textId="77777777" w:rsidR="00E51CDD" w:rsidRPr="00E51CDD" w:rsidRDefault="00E51CDD" w:rsidP="00B74DCE">
            <w:pPr>
              <w:widowControl w:val="0"/>
              <w:spacing w:beforeLines="40" w:before="96" w:afterLines="40" w:after="96" w:line="256" w:lineRule="auto"/>
              <w:jc w:val="center"/>
              <w:rPr>
                <w:b/>
                <w:bCs/>
                <w:sz w:val="20"/>
                <w:szCs w:val="20"/>
                <w:lang w:eastAsia="en-US"/>
              </w:rPr>
            </w:pPr>
          </w:p>
        </w:tc>
        <w:tc>
          <w:tcPr>
            <w:tcW w:w="4315" w:type="pct"/>
            <w:gridSpan w:val="10"/>
            <w:tcBorders>
              <w:top w:val="single" w:sz="4" w:space="0" w:color="auto"/>
              <w:left w:val="single" w:sz="4" w:space="0" w:color="auto"/>
              <w:bottom w:val="single" w:sz="4" w:space="0" w:color="auto"/>
              <w:right w:val="single" w:sz="4" w:space="0" w:color="auto"/>
            </w:tcBorders>
            <w:vAlign w:val="center"/>
            <w:hideMark/>
          </w:tcPr>
          <w:p w14:paraId="6E5DC28E"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b/>
                <w:bCs/>
                <w:sz w:val="20"/>
                <w:szCs w:val="20"/>
                <w:lang w:eastAsia="en-US"/>
              </w:rPr>
              <w:t>Phytotoxic damages [%]</w:t>
            </w:r>
          </w:p>
        </w:tc>
      </w:tr>
      <w:tr w:rsidR="00E51CDD" w:rsidRPr="00E51CDD" w14:paraId="507134C8"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hideMark/>
          </w:tcPr>
          <w:p w14:paraId="267CA81F"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Control</w:t>
            </w:r>
          </w:p>
        </w:tc>
        <w:tc>
          <w:tcPr>
            <w:tcW w:w="441" w:type="pct"/>
            <w:tcBorders>
              <w:top w:val="single" w:sz="4" w:space="0" w:color="auto"/>
              <w:left w:val="single" w:sz="4" w:space="0" w:color="auto"/>
              <w:bottom w:val="single" w:sz="4" w:space="0" w:color="auto"/>
              <w:right w:val="single" w:sz="4" w:space="0" w:color="auto"/>
            </w:tcBorders>
            <w:vAlign w:val="center"/>
            <w:hideMark/>
          </w:tcPr>
          <w:p w14:paraId="174A6E4D"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0</w:t>
            </w:r>
          </w:p>
        </w:tc>
        <w:tc>
          <w:tcPr>
            <w:tcW w:w="441" w:type="pct"/>
            <w:tcBorders>
              <w:top w:val="single" w:sz="4" w:space="0" w:color="auto"/>
              <w:left w:val="single" w:sz="4" w:space="0" w:color="auto"/>
              <w:bottom w:val="single" w:sz="4" w:space="0" w:color="auto"/>
              <w:right w:val="single" w:sz="4" w:space="0" w:color="auto"/>
            </w:tcBorders>
            <w:vAlign w:val="center"/>
            <w:hideMark/>
          </w:tcPr>
          <w:p w14:paraId="1D764CED"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0</w:t>
            </w:r>
          </w:p>
        </w:tc>
        <w:tc>
          <w:tcPr>
            <w:tcW w:w="490" w:type="pct"/>
            <w:tcBorders>
              <w:top w:val="single" w:sz="4" w:space="0" w:color="auto"/>
              <w:left w:val="single" w:sz="4" w:space="0" w:color="auto"/>
              <w:bottom w:val="single" w:sz="4" w:space="0" w:color="auto"/>
              <w:right w:val="single" w:sz="4" w:space="0" w:color="auto"/>
            </w:tcBorders>
            <w:vAlign w:val="center"/>
            <w:hideMark/>
          </w:tcPr>
          <w:p w14:paraId="5E71E87A"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0</w:t>
            </w:r>
          </w:p>
        </w:tc>
        <w:tc>
          <w:tcPr>
            <w:tcW w:w="490" w:type="pct"/>
            <w:tcBorders>
              <w:top w:val="single" w:sz="4" w:space="0" w:color="auto"/>
              <w:left w:val="single" w:sz="4" w:space="0" w:color="auto"/>
              <w:bottom w:val="single" w:sz="4" w:space="0" w:color="auto"/>
              <w:right w:val="single" w:sz="4" w:space="0" w:color="auto"/>
            </w:tcBorders>
            <w:vAlign w:val="center"/>
            <w:hideMark/>
          </w:tcPr>
          <w:p w14:paraId="52F07BFE"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0</w:t>
            </w:r>
          </w:p>
        </w:tc>
        <w:tc>
          <w:tcPr>
            <w:tcW w:w="442" w:type="pct"/>
            <w:tcBorders>
              <w:top w:val="single" w:sz="4" w:space="0" w:color="auto"/>
              <w:left w:val="single" w:sz="4" w:space="0" w:color="auto"/>
              <w:bottom w:val="single" w:sz="4" w:space="0" w:color="auto"/>
              <w:right w:val="single" w:sz="4" w:space="0" w:color="auto"/>
            </w:tcBorders>
            <w:vAlign w:val="center"/>
          </w:tcPr>
          <w:p w14:paraId="6ED199C9"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0</w:t>
            </w:r>
          </w:p>
        </w:tc>
        <w:tc>
          <w:tcPr>
            <w:tcW w:w="441" w:type="pct"/>
            <w:tcBorders>
              <w:top w:val="single" w:sz="4" w:space="0" w:color="auto"/>
              <w:left w:val="single" w:sz="4" w:space="0" w:color="auto"/>
              <w:bottom w:val="single" w:sz="4" w:space="0" w:color="auto"/>
              <w:right w:val="single" w:sz="4" w:space="0" w:color="auto"/>
            </w:tcBorders>
            <w:vAlign w:val="center"/>
          </w:tcPr>
          <w:p w14:paraId="7A059E0A"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0</w:t>
            </w:r>
          </w:p>
        </w:tc>
        <w:tc>
          <w:tcPr>
            <w:tcW w:w="393" w:type="pct"/>
            <w:tcBorders>
              <w:top w:val="single" w:sz="4" w:space="0" w:color="auto"/>
              <w:left w:val="single" w:sz="4" w:space="0" w:color="auto"/>
              <w:bottom w:val="single" w:sz="4" w:space="0" w:color="auto"/>
              <w:right w:val="single" w:sz="4" w:space="0" w:color="auto"/>
            </w:tcBorders>
            <w:vAlign w:val="center"/>
            <w:hideMark/>
          </w:tcPr>
          <w:p w14:paraId="448CE6BC"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0</w:t>
            </w:r>
          </w:p>
        </w:tc>
        <w:tc>
          <w:tcPr>
            <w:tcW w:w="393" w:type="pct"/>
            <w:tcBorders>
              <w:top w:val="single" w:sz="4" w:space="0" w:color="auto"/>
              <w:left w:val="single" w:sz="4" w:space="0" w:color="auto"/>
              <w:bottom w:val="single" w:sz="4" w:space="0" w:color="auto"/>
              <w:right w:val="single" w:sz="4" w:space="0" w:color="auto"/>
            </w:tcBorders>
            <w:vAlign w:val="center"/>
            <w:hideMark/>
          </w:tcPr>
          <w:p w14:paraId="6C7C92EF"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0</w:t>
            </w:r>
          </w:p>
        </w:tc>
        <w:tc>
          <w:tcPr>
            <w:tcW w:w="391" w:type="pct"/>
            <w:tcBorders>
              <w:top w:val="single" w:sz="4" w:space="0" w:color="auto"/>
              <w:left w:val="single" w:sz="4" w:space="0" w:color="auto"/>
              <w:bottom w:val="single" w:sz="4" w:space="0" w:color="auto"/>
              <w:right w:val="single" w:sz="4" w:space="0" w:color="auto"/>
            </w:tcBorders>
            <w:vAlign w:val="center"/>
            <w:hideMark/>
          </w:tcPr>
          <w:p w14:paraId="021DD676"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0</w:t>
            </w:r>
          </w:p>
        </w:tc>
        <w:tc>
          <w:tcPr>
            <w:tcW w:w="393" w:type="pct"/>
            <w:tcBorders>
              <w:top w:val="single" w:sz="4" w:space="0" w:color="auto"/>
              <w:left w:val="single" w:sz="4" w:space="0" w:color="auto"/>
              <w:bottom w:val="single" w:sz="4" w:space="0" w:color="auto"/>
              <w:right w:val="single" w:sz="4" w:space="0" w:color="auto"/>
            </w:tcBorders>
            <w:vAlign w:val="center"/>
            <w:hideMark/>
          </w:tcPr>
          <w:p w14:paraId="4DB91541"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0</w:t>
            </w:r>
          </w:p>
        </w:tc>
      </w:tr>
      <w:tr w:rsidR="00E51CDD" w:rsidRPr="00E51CDD" w14:paraId="0EE2B5A2"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hideMark/>
          </w:tcPr>
          <w:p w14:paraId="2202C928"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2.0</w:t>
            </w:r>
          </w:p>
        </w:tc>
        <w:tc>
          <w:tcPr>
            <w:tcW w:w="441" w:type="pct"/>
            <w:tcBorders>
              <w:top w:val="single" w:sz="4" w:space="0" w:color="auto"/>
              <w:left w:val="single" w:sz="4" w:space="0" w:color="auto"/>
              <w:bottom w:val="single" w:sz="4" w:space="0" w:color="auto"/>
              <w:right w:val="single" w:sz="4" w:space="0" w:color="auto"/>
            </w:tcBorders>
            <w:vAlign w:val="center"/>
            <w:hideMark/>
          </w:tcPr>
          <w:p w14:paraId="5FEBB79B"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0</w:t>
            </w:r>
          </w:p>
        </w:tc>
        <w:tc>
          <w:tcPr>
            <w:tcW w:w="441" w:type="pct"/>
            <w:tcBorders>
              <w:top w:val="single" w:sz="4" w:space="0" w:color="auto"/>
              <w:left w:val="single" w:sz="4" w:space="0" w:color="auto"/>
              <w:bottom w:val="single" w:sz="4" w:space="0" w:color="auto"/>
              <w:right w:val="single" w:sz="4" w:space="0" w:color="auto"/>
            </w:tcBorders>
            <w:vAlign w:val="center"/>
            <w:hideMark/>
          </w:tcPr>
          <w:p w14:paraId="70EF985C"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0</w:t>
            </w:r>
          </w:p>
        </w:tc>
        <w:tc>
          <w:tcPr>
            <w:tcW w:w="490" w:type="pct"/>
            <w:tcBorders>
              <w:top w:val="single" w:sz="4" w:space="0" w:color="auto"/>
              <w:left w:val="single" w:sz="4" w:space="0" w:color="auto"/>
              <w:bottom w:val="single" w:sz="4" w:space="0" w:color="auto"/>
              <w:right w:val="single" w:sz="4" w:space="0" w:color="auto"/>
            </w:tcBorders>
            <w:vAlign w:val="center"/>
            <w:hideMark/>
          </w:tcPr>
          <w:p w14:paraId="32B50692"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0</w:t>
            </w:r>
          </w:p>
        </w:tc>
        <w:tc>
          <w:tcPr>
            <w:tcW w:w="490" w:type="pct"/>
            <w:tcBorders>
              <w:top w:val="single" w:sz="4" w:space="0" w:color="auto"/>
              <w:left w:val="single" w:sz="4" w:space="0" w:color="auto"/>
              <w:bottom w:val="single" w:sz="4" w:space="0" w:color="auto"/>
              <w:right w:val="single" w:sz="4" w:space="0" w:color="auto"/>
            </w:tcBorders>
            <w:vAlign w:val="center"/>
            <w:hideMark/>
          </w:tcPr>
          <w:p w14:paraId="65C9E056"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0</w:t>
            </w:r>
          </w:p>
        </w:tc>
        <w:tc>
          <w:tcPr>
            <w:tcW w:w="442" w:type="pct"/>
            <w:tcBorders>
              <w:top w:val="single" w:sz="4" w:space="0" w:color="auto"/>
              <w:left w:val="single" w:sz="4" w:space="0" w:color="auto"/>
              <w:bottom w:val="single" w:sz="4" w:space="0" w:color="auto"/>
              <w:right w:val="single" w:sz="4" w:space="0" w:color="auto"/>
            </w:tcBorders>
            <w:vAlign w:val="center"/>
          </w:tcPr>
          <w:p w14:paraId="0CB02028"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0</w:t>
            </w:r>
          </w:p>
        </w:tc>
        <w:tc>
          <w:tcPr>
            <w:tcW w:w="441" w:type="pct"/>
            <w:tcBorders>
              <w:top w:val="single" w:sz="4" w:space="0" w:color="auto"/>
              <w:left w:val="single" w:sz="4" w:space="0" w:color="auto"/>
              <w:bottom w:val="single" w:sz="4" w:space="0" w:color="auto"/>
              <w:right w:val="single" w:sz="4" w:space="0" w:color="auto"/>
            </w:tcBorders>
            <w:vAlign w:val="center"/>
          </w:tcPr>
          <w:p w14:paraId="5BCE5AFF"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0</w:t>
            </w:r>
          </w:p>
        </w:tc>
        <w:tc>
          <w:tcPr>
            <w:tcW w:w="393" w:type="pct"/>
            <w:tcBorders>
              <w:top w:val="single" w:sz="4" w:space="0" w:color="auto"/>
              <w:left w:val="single" w:sz="4" w:space="0" w:color="auto"/>
              <w:bottom w:val="single" w:sz="4" w:space="0" w:color="auto"/>
              <w:right w:val="single" w:sz="4" w:space="0" w:color="auto"/>
            </w:tcBorders>
            <w:vAlign w:val="center"/>
            <w:hideMark/>
          </w:tcPr>
          <w:p w14:paraId="1685D8E2"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0</w:t>
            </w:r>
          </w:p>
        </w:tc>
        <w:tc>
          <w:tcPr>
            <w:tcW w:w="393" w:type="pct"/>
            <w:tcBorders>
              <w:top w:val="single" w:sz="4" w:space="0" w:color="auto"/>
              <w:left w:val="single" w:sz="4" w:space="0" w:color="auto"/>
              <w:bottom w:val="single" w:sz="4" w:space="0" w:color="auto"/>
              <w:right w:val="single" w:sz="4" w:space="0" w:color="auto"/>
            </w:tcBorders>
            <w:vAlign w:val="center"/>
            <w:hideMark/>
          </w:tcPr>
          <w:p w14:paraId="27DE0D53"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0</w:t>
            </w:r>
          </w:p>
        </w:tc>
        <w:tc>
          <w:tcPr>
            <w:tcW w:w="391" w:type="pct"/>
            <w:tcBorders>
              <w:top w:val="single" w:sz="4" w:space="0" w:color="auto"/>
              <w:left w:val="single" w:sz="4" w:space="0" w:color="auto"/>
              <w:bottom w:val="single" w:sz="4" w:space="0" w:color="auto"/>
              <w:right w:val="single" w:sz="4" w:space="0" w:color="auto"/>
            </w:tcBorders>
            <w:vAlign w:val="center"/>
            <w:hideMark/>
          </w:tcPr>
          <w:p w14:paraId="0CB1FDFA"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0</w:t>
            </w:r>
          </w:p>
        </w:tc>
        <w:tc>
          <w:tcPr>
            <w:tcW w:w="393" w:type="pct"/>
            <w:tcBorders>
              <w:top w:val="single" w:sz="4" w:space="0" w:color="auto"/>
              <w:left w:val="single" w:sz="4" w:space="0" w:color="auto"/>
              <w:bottom w:val="single" w:sz="4" w:space="0" w:color="auto"/>
              <w:right w:val="single" w:sz="4" w:space="0" w:color="auto"/>
            </w:tcBorders>
            <w:vAlign w:val="center"/>
            <w:hideMark/>
          </w:tcPr>
          <w:p w14:paraId="2369049D"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0</w:t>
            </w:r>
          </w:p>
        </w:tc>
      </w:tr>
      <w:tr w:rsidR="00E51CDD" w:rsidRPr="00E51CDD" w14:paraId="6C3BBF6B"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tcPr>
          <w:p w14:paraId="2A5EBCFA" w14:textId="77777777" w:rsidR="00E51CDD" w:rsidRPr="00E51CDD" w:rsidRDefault="00E51CDD" w:rsidP="00B74DCE">
            <w:pPr>
              <w:widowControl w:val="0"/>
              <w:spacing w:beforeLines="40" w:before="96" w:afterLines="40" w:after="96" w:line="256" w:lineRule="auto"/>
              <w:jc w:val="center"/>
              <w:rPr>
                <w:b/>
                <w:bCs/>
                <w:sz w:val="20"/>
                <w:szCs w:val="20"/>
                <w:lang w:eastAsia="en-US"/>
              </w:rPr>
            </w:pPr>
          </w:p>
        </w:tc>
        <w:tc>
          <w:tcPr>
            <w:tcW w:w="4315" w:type="pct"/>
            <w:gridSpan w:val="10"/>
            <w:tcBorders>
              <w:top w:val="single" w:sz="4" w:space="0" w:color="auto"/>
              <w:left w:val="single" w:sz="4" w:space="0" w:color="auto"/>
              <w:bottom w:val="single" w:sz="4" w:space="0" w:color="auto"/>
              <w:right w:val="single" w:sz="4" w:space="0" w:color="auto"/>
            </w:tcBorders>
            <w:vAlign w:val="center"/>
            <w:hideMark/>
          </w:tcPr>
          <w:p w14:paraId="0F849458" w14:textId="77777777" w:rsidR="00E51CDD" w:rsidRPr="00E51CDD" w:rsidRDefault="00E51CDD" w:rsidP="00B74DCE">
            <w:pPr>
              <w:widowControl w:val="0"/>
              <w:spacing w:beforeLines="40" w:before="96" w:afterLines="40" w:after="96" w:line="256" w:lineRule="auto"/>
              <w:jc w:val="center"/>
              <w:rPr>
                <w:b/>
                <w:bCs/>
                <w:sz w:val="20"/>
                <w:szCs w:val="20"/>
                <w:lang w:eastAsia="en-US"/>
              </w:rPr>
            </w:pPr>
            <w:r w:rsidRPr="00E51CDD">
              <w:rPr>
                <w:b/>
                <w:bCs/>
                <w:sz w:val="20"/>
                <w:szCs w:val="20"/>
                <w:lang w:eastAsia="en-US"/>
              </w:rPr>
              <w:t>Plant height [% of control]</w:t>
            </w:r>
          </w:p>
        </w:tc>
      </w:tr>
      <w:tr w:rsidR="00E51CDD" w:rsidRPr="00E51CDD" w14:paraId="5D627D01"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hideMark/>
          </w:tcPr>
          <w:p w14:paraId="4B2B68B4"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Control</w:t>
            </w:r>
          </w:p>
        </w:tc>
        <w:tc>
          <w:tcPr>
            <w:tcW w:w="441" w:type="pct"/>
            <w:tcBorders>
              <w:top w:val="single" w:sz="4" w:space="0" w:color="auto"/>
              <w:left w:val="single" w:sz="4" w:space="0" w:color="auto"/>
              <w:bottom w:val="single" w:sz="4" w:space="0" w:color="auto"/>
              <w:right w:val="single" w:sz="4" w:space="0" w:color="auto"/>
            </w:tcBorders>
            <w:vAlign w:val="center"/>
          </w:tcPr>
          <w:p w14:paraId="5B5C8C8B"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41" w:type="pct"/>
            <w:tcBorders>
              <w:top w:val="single" w:sz="4" w:space="0" w:color="auto"/>
              <w:left w:val="single" w:sz="4" w:space="0" w:color="auto"/>
              <w:bottom w:val="single" w:sz="4" w:space="0" w:color="auto"/>
              <w:right w:val="single" w:sz="4" w:space="0" w:color="auto"/>
            </w:tcBorders>
            <w:vAlign w:val="center"/>
          </w:tcPr>
          <w:p w14:paraId="08889175"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90" w:type="pct"/>
            <w:tcBorders>
              <w:top w:val="single" w:sz="4" w:space="0" w:color="auto"/>
              <w:left w:val="single" w:sz="4" w:space="0" w:color="auto"/>
              <w:bottom w:val="single" w:sz="4" w:space="0" w:color="auto"/>
              <w:right w:val="single" w:sz="4" w:space="0" w:color="auto"/>
            </w:tcBorders>
            <w:vAlign w:val="center"/>
          </w:tcPr>
          <w:p w14:paraId="7A40EAA0"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90" w:type="pct"/>
            <w:tcBorders>
              <w:top w:val="single" w:sz="4" w:space="0" w:color="auto"/>
              <w:left w:val="single" w:sz="4" w:space="0" w:color="auto"/>
              <w:bottom w:val="single" w:sz="4" w:space="0" w:color="auto"/>
              <w:right w:val="single" w:sz="4" w:space="0" w:color="auto"/>
            </w:tcBorders>
            <w:vAlign w:val="center"/>
          </w:tcPr>
          <w:p w14:paraId="2775F403"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42" w:type="pct"/>
            <w:tcBorders>
              <w:top w:val="single" w:sz="4" w:space="0" w:color="auto"/>
              <w:left w:val="single" w:sz="4" w:space="0" w:color="auto"/>
              <w:bottom w:val="single" w:sz="4" w:space="0" w:color="auto"/>
              <w:right w:val="single" w:sz="4" w:space="0" w:color="auto"/>
            </w:tcBorders>
            <w:vAlign w:val="center"/>
          </w:tcPr>
          <w:p w14:paraId="731EE28A"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41" w:type="pct"/>
            <w:tcBorders>
              <w:top w:val="single" w:sz="4" w:space="0" w:color="auto"/>
              <w:left w:val="single" w:sz="4" w:space="0" w:color="auto"/>
              <w:bottom w:val="single" w:sz="4" w:space="0" w:color="auto"/>
              <w:right w:val="single" w:sz="4" w:space="0" w:color="auto"/>
            </w:tcBorders>
            <w:vAlign w:val="center"/>
          </w:tcPr>
          <w:p w14:paraId="02E5C4F8"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tcPr>
          <w:p w14:paraId="43C202E2"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tcPr>
          <w:p w14:paraId="04F57911"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1" w:type="pct"/>
            <w:tcBorders>
              <w:top w:val="single" w:sz="4" w:space="0" w:color="auto"/>
              <w:left w:val="single" w:sz="4" w:space="0" w:color="auto"/>
              <w:bottom w:val="single" w:sz="4" w:space="0" w:color="auto"/>
              <w:right w:val="single" w:sz="4" w:space="0" w:color="auto"/>
            </w:tcBorders>
            <w:vAlign w:val="center"/>
          </w:tcPr>
          <w:p w14:paraId="583226F0"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tcPr>
          <w:p w14:paraId="170CB402"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r>
      <w:tr w:rsidR="00E51CDD" w:rsidRPr="00E51CDD" w14:paraId="61478745"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hideMark/>
          </w:tcPr>
          <w:p w14:paraId="266265C2"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2.0</w:t>
            </w:r>
          </w:p>
        </w:tc>
        <w:tc>
          <w:tcPr>
            <w:tcW w:w="441" w:type="pct"/>
            <w:tcBorders>
              <w:top w:val="single" w:sz="4" w:space="0" w:color="auto"/>
              <w:left w:val="single" w:sz="4" w:space="0" w:color="auto"/>
              <w:bottom w:val="single" w:sz="4" w:space="0" w:color="auto"/>
              <w:right w:val="single" w:sz="4" w:space="0" w:color="auto"/>
            </w:tcBorders>
            <w:vAlign w:val="center"/>
          </w:tcPr>
          <w:p w14:paraId="27E68783"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99.8</w:t>
            </w:r>
          </w:p>
        </w:tc>
        <w:tc>
          <w:tcPr>
            <w:tcW w:w="441" w:type="pct"/>
            <w:tcBorders>
              <w:top w:val="single" w:sz="4" w:space="0" w:color="auto"/>
              <w:left w:val="single" w:sz="4" w:space="0" w:color="auto"/>
              <w:bottom w:val="single" w:sz="4" w:space="0" w:color="auto"/>
              <w:right w:val="single" w:sz="4" w:space="0" w:color="auto"/>
            </w:tcBorders>
            <w:vAlign w:val="center"/>
          </w:tcPr>
          <w:p w14:paraId="51E983BB"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101.5</w:t>
            </w:r>
          </w:p>
        </w:tc>
        <w:tc>
          <w:tcPr>
            <w:tcW w:w="490" w:type="pct"/>
            <w:tcBorders>
              <w:top w:val="single" w:sz="4" w:space="0" w:color="auto"/>
              <w:left w:val="single" w:sz="4" w:space="0" w:color="auto"/>
              <w:bottom w:val="single" w:sz="4" w:space="0" w:color="auto"/>
              <w:right w:val="single" w:sz="4" w:space="0" w:color="auto"/>
            </w:tcBorders>
            <w:vAlign w:val="center"/>
          </w:tcPr>
          <w:p w14:paraId="066F804B"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100.6</w:t>
            </w:r>
          </w:p>
        </w:tc>
        <w:tc>
          <w:tcPr>
            <w:tcW w:w="490" w:type="pct"/>
            <w:tcBorders>
              <w:top w:val="single" w:sz="4" w:space="0" w:color="auto"/>
              <w:left w:val="single" w:sz="4" w:space="0" w:color="auto"/>
              <w:bottom w:val="single" w:sz="4" w:space="0" w:color="auto"/>
              <w:right w:val="single" w:sz="4" w:space="0" w:color="auto"/>
            </w:tcBorders>
            <w:vAlign w:val="center"/>
          </w:tcPr>
          <w:p w14:paraId="7E996B2C"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99.5</w:t>
            </w:r>
          </w:p>
        </w:tc>
        <w:tc>
          <w:tcPr>
            <w:tcW w:w="442" w:type="pct"/>
            <w:tcBorders>
              <w:top w:val="single" w:sz="4" w:space="0" w:color="auto"/>
              <w:left w:val="single" w:sz="4" w:space="0" w:color="auto"/>
              <w:bottom w:val="single" w:sz="4" w:space="0" w:color="auto"/>
              <w:right w:val="single" w:sz="4" w:space="0" w:color="auto"/>
            </w:tcBorders>
            <w:vAlign w:val="center"/>
          </w:tcPr>
          <w:p w14:paraId="5EB18473"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96.3</w:t>
            </w:r>
          </w:p>
        </w:tc>
        <w:tc>
          <w:tcPr>
            <w:tcW w:w="441" w:type="pct"/>
            <w:tcBorders>
              <w:top w:val="single" w:sz="4" w:space="0" w:color="auto"/>
              <w:left w:val="single" w:sz="4" w:space="0" w:color="auto"/>
              <w:bottom w:val="single" w:sz="4" w:space="0" w:color="auto"/>
              <w:right w:val="single" w:sz="4" w:space="0" w:color="auto"/>
            </w:tcBorders>
            <w:vAlign w:val="center"/>
          </w:tcPr>
          <w:p w14:paraId="5B330738"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97.6</w:t>
            </w:r>
          </w:p>
        </w:tc>
        <w:tc>
          <w:tcPr>
            <w:tcW w:w="393" w:type="pct"/>
            <w:tcBorders>
              <w:top w:val="single" w:sz="4" w:space="0" w:color="auto"/>
              <w:left w:val="single" w:sz="4" w:space="0" w:color="auto"/>
              <w:bottom w:val="single" w:sz="4" w:space="0" w:color="auto"/>
              <w:right w:val="single" w:sz="4" w:space="0" w:color="auto"/>
            </w:tcBorders>
            <w:vAlign w:val="center"/>
          </w:tcPr>
          <w:p w14:paraId="4FA8C835"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100.6</w:t>
            </w:r>
          </w:p>
        </w:tc>
        <w:tc>
          <w:tcPr>
            <w:tcW w:w="393" w:type="pct"/>
            <w:tcBorders>
              <w:top w:val="single" w:sz="4" w:space="0" w:color="auto"/>
              <w:left w:val="single" w:sz="4" w:space="0" w:color="auto"/>
              <w:bottom w:val="single" w:sz="4" w:space="0" w:color="auto"/>
              <w:right w:val="single" w:sz="4" w:space="0" w:color="auto"/>
            </w:tcBorders>
            <w:vAlign w:val="center"/>
          </w:tcPr>
          <w:p w14:paraId="1915836E"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97.6</w:t>
            </w:r>
          </w:p>
        </w:tc>
        <w:tc>
          <w:tcPr>
            <w:tcW w:w="391" w:type="pct"/>
            <w:tcBorders>
              <w:top w:val="single" w:sz="4" w:space="0" w:color="auto"/>
              <w:left w:val="single" w:sz="4" w:space="0" w:color="auto"/>
              <w:bottom w:val="single" w:sz="4" w:space="0" w:color="auto"/>
              <w:right w:val="single" w:sz="4" w:space="0" w:color="auto"/>
            </w:tcBorders>
            <w:vAlign w:val="center"/>
          </w:tcPr>
          <w:p w14:paraId="695FD532"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99.3</w:t>
            </w:r>
          </w:p>
        </w:tc>
        <w:tc>
          <w:tcPr>
            <w:tcW w:w="393" w:type="pct"/>
            <w:tcBorders>
              <w:top w:val="single" w:sz="4" w:space="0" w:color="auto"/>
              <w:left w:val="single" w:sz="4" w:space="0" w:color="auto"/>
              <w:bottom w:val="single" w:sz="4" w:space="0" w:color="auto"/>
              <w:right w:val="single" w:sz="4" w:space="0" w:color="auto"/>
            </w:tcBorders>
            <w:vAlign w:val="center"/>
          </w:tcPr>
          <w:p w14:paraId="1C82CEE2"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101.9</w:t>
            </w:r>
          </w:p>
        </w:tc>
      </w:tr>
      <w:tr w:rsidR="00E51CDD" w:rsidRPr="00E51CDD" w14:paraId="47926743"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tcPr>
          <w:p w14:paraId="101D53BC" w14:textId="77777777" w:rsidR="00E51CDD" w:rsidRPr="00E51CDD" w:rsidRDefault="00E51CDD" w:rsidP="00B74DCE">
            <w:pPr>
              <w:widowControl w:val="0"/>
              <w:spacing w:beforeLines="40" w:before="96" w:afterLines="40" w:after="96" w:line="257" w:lineRule="auto"/>
              <w:jc w:val="center"/>
              <w:rPr>
                <w:b/>
                <w:bCs/>
                <w:sz w:val="20"/>
                <w:szCs w:val="20"/>
                <w:lang w:eastAsia="en-US"/>
              </w:rPr>
            </w:pPr>
          </w:p>
        </w:tc>
        <w:tc>
          <w:tcPr>
            <w:tcW w:w="4315" w:type="pct"/>
            <w:gridSpan w:val="10"/>
            <w:tcBorders>
              <w:top w:val="single" w:sz="4" w:space="0" w:color="auto"/>
              <w:left w:val="single" w:sz="4" w:space="0" w:color="auto"/>
              <w:bottom w:val="single" w:sz="4" w:space="0" w:color="auto"/>
              <w:right w:val="single" w:sz="4" w:space="0" w:color="auto"/>
            </w:tcBorders>
            <w:vAlign w:val="center"/>
            <w:hideMark/>
          </w:tcPr>
          <w:p w14:paraId="50221BD4" w14:textId="77777777" w:rsidR="00E51CDD" w:rsidRPr="00E51CDD" w:rsidRDefault="00E51CDD" w:rsidP="00B74DCE">
            <w:pPr>
              <w:widowControl w:val="0"/>
              <w:spacing w:beforeLines="40" w:before="96" w:afterLines="40" w:after="96" w:line="257" w:lineRule="auto"/>
              <w:jc w:val="center"/>
              <w:rPr>
                <w:b/>
                <w:bCs/>
                <w:sz w:val="20"/>
                <w:szCs w:val="20"/>
                <w:lang w:eastAsia="en-US"/>
              </w:rPr>
            </w:pPr>
            <w:r w:rsidRPr="00E51CDD">
              <w:rPr>
                <w:b/>
                <w:bCs/>
                <w:sz w:val="20"/>
                <w:szCs w:val="20"/>
                <w:lang w:eastAsia="en-US"/>
              </w:rPr>
              <w:t>Plant weight [% of control]</w:t>
            </w:r>
          </w:p>
        </w:tc>
      </w:tr>
      <w:tr w:rsidR="00E51CDD" w:rsidRPr="00E51CDD" w14:paraId="71D579F4"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hideMark/>
          </w:tcPr>
          <w:p w14:paraId="5690479C"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Control</w:t>
            </w:r>
          </w:p>
        </w:tc>
        <w:tc>
          <w:tcPr>
            <w:tcW w:w="441" w:type="pct"/>
            <w:tcBorders>
              <w:top w:val="single" w:sz="4" w:space="0" w:color="auto"/>
              <w:left w:val="single" w:sz="4" w:space="0" w:color="auto"/>
              <w:bottom w:val="single" w:sz="4" w:space="0" w:color="auto"/>
              <w:right w:val="single" w:sz="4" w:space="0" w:color="auto"/>
            </w:tcBorders>
            <w:vAlign w:val="center"/>
            <w:hideMark/>
          </w:tcPr>
          <w:p w14:paraId="78181671"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41" w:type="pct"/>
            <w:tcBorders>
              <w:top w:val="single" w:sz="4" w:space="0" w:color="auto"/>
              <w:left w:val="single" w:sz="4" w:space="0" w:color="auto"/>
              <w:bottom w:val="single" w:sz="4" w:space="0" w:color="auto"/>
              <w:right w:val="single" w:sz="4" w:space="0" w:color="auto"/>
            </w:tcBorders>
            <w:vAlign w:val="center"/>
            <w:hideMark/>
          </w:tcPr>
          <w:p w14:paraId="4F21E709"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90" w:type="pct"/>
            <w:tcBorders>
              <w:top w:val="single" w:sz="4" w:space="0" w:color="auto"/>
              <w:left w:val="single" w:sz="4" w:space="0" w:color="auto"/>
              <w:bottom w:val="single" w:sz="4" w:space="0" w:color="auto"/>
              <w:right w:val="single" w:sz="4" w:space="0" w:color="auto"/>
            </w:tcBorders>
            <w:vAlign w:val="center"/>
            <w:hideMark/>
          </w:tcPr>
          <w:p w14:paraId="62A91304"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90" w:type="pct"/>
            <w:tcBorders>
              <w:top w:val="single" w:sz="4" w:space="0" w:color="auto"/>
              <w:left w:val="single" w:sz="4" w:space="0" w:color="auto"/>
              <w:bottom w:val="single" w:sz="4" w:space="0" w:color="auto"/>
              <w:right w:val="single" w:sz="4" w:space="0" w:color="auto"/>
            </w:tcBorders>
            <w:vAlign w:val="center"/>
            <w:hideMark/>
          </w:tcPr>
          <w:p w14:paraId="0B4B7CFD"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42" w:type="pct"/>
            <w:tcBorders>
              <w:top w:val="single" w:sz="4" w:space="0" w:color="auto"/>
              <w:left w:val="single" w:sz="4" w:space="0" w:color="auto"/>
              <w:bottom w:val="single" w:sz="4" w:space="0" w:color="auto"/>
              <w:right w:val="single" w:sz="4" w:space="0" w:color="auto"/>
            </w:tcBorders>
            <w:vAlign w:val="center"/>
          </w:tcPr>
          <w:p w14:paraId="6A06A50A"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441" w:type="pct"/>
            <w:tcBorders>
              <w:top w:val="single" w:sz="4" w:space="0" w:color="auto"/>
              <w:left w:val="single" w:sz="4" w:space="0" w:color="auto"/>
              <w:bottom w:val="single" w:sz="4" w:space="0" w:color="auto"/>
              <w:right w:val="single" w:sz="4" w:space="0" w:color="auto"/>
            </w:tcBorders>
            <w:vAlign w:val="center"/>
          </w:tcPr>
          <w:p w14:paraId="1BF65424"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hideMark/>
          </w:tcPr>
          <w:p w14:paraId="5406A4F2"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hideMark/>
          </w:tcPr>
          <w:p w14:paraId="1DF2B6C7"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1" w:type="pct"/>
            <w:tcBorders>
              <w:top w:val="single" w:sz="4" w:space="0" w:color="auto"/>
              <w:left w:val="single" w:sz="4" w:space="0" w:color="auto"/>
              <w:bottom w:val="single" w:sz="4" w:space="0" w:color="auto"/>
              <w:right w:val="single" w:sz="4" w:space="0" w:color="auto"/>
            </w:tcBorders>
            <w:vAlign w:val="center"/>
            <w:hideMark/>
          </w:tcPr>
          <w:p w14:paraId="035AA220"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c>
          <w:tcPr>
            <w:tcW w:w="393" w:type="pct"/>
            <w:tcBorders>
              <w:top w:val="single" w:sz="4" w:space="0" w:color="auto"/>
              <w:left w:val="single" w:sz="4" w:space="0" w:color="auto"/>
              <w:bottom w:val="single" w:sz="4" w:space="0" w:color="auto"/>
              <w:right w:val="single" w:sz="4" w:space="0" w:color="auto"/>
            </w:tcBorders>
            <w:vAlign w:val="center"/>
            <w:hideMark/>
          </w:tcPr>
          <w:p w14:paraId="470A5115"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100</w:t>
            </w:r>
          </w:p>
        </w:tc>
      </w:tr>
      <w:tr w:rsidR="00E51CDD" w:rsidRPr="00E51CDD" w14:paraId="5D5EF881" w14:textId="77777777" w:rsidTr="009938D9">
        <w:trPr>
          <w:cantSplit/>
        </w:trPr>
        <w:tc>
          <w:tcPr>
            <w:tcW w:w="685" w:type="pct"/>
            <w:tcBorders>
              <w:top w:val="single" w:sz="4" w:space="0" w:color="auto"/>
              <w:left w:val="single" w:sz="4" w:space="0" w:color="auto"/>
              <w:bottom w:val="single" w:sz="4" w:space="0" w:color="auto"/>
              <w:right w:val="single" w:sz="4" w:space="0" w:color="auto"/>
            </w:tcBorders>
            <w:vAlign w:val="center"/>
            <w:hideMark/>
          </w:tcPr>
          <w:p w14:paraId="25B471FD" w14:textId="77777777" w:rsidR="00E51CDD" w:rsidRPr="00E51CDD" w:rsidRDefault="00E51CDD" w:rsidP="00B74DCE">
            <w:pPr>
              <w:widowControl w:val="0"/>
              <w:spacing w:beforeLines="40" w:before="96" w:afterLines="40" w:after="96" w:line="256" w:lineRule="auto"/>
              <w:jc w:val="center"/>
              <w:rPr>
                <w:sz w:val="20"/>
                <w:szCs w:val="20"/>
                <w:lang w:eastAsia="en-US"/>
              </w:rPr>
            </w:pPr>
            <w:r w:rsidRPr="00E51CDD">
              <w:rPr>
                <w:sz w:val="20"/>
                <w:szCs w:val="20"/>
                <w:lang w:eastAsia="en-US"/>
              </w:rPr>
              <w:t>2.0</w:t>
            </w:r>
          </w:p>
        </w:tc>
        <w:tc>
          <w:tcPr>
            <w:tcW w:w="441" w:type="pct"/>
            <w:tcBorders>
              <w:top w:val="single" w:sz="4" w:space="0" w:color="auto"/>
              <w:left w:val="single" w:sz="4" w:space="0" w:color="auto"/>
              <w:bottom w:val="single" w:sz="4" w:space="0" w:color="auto"/>
              <w:right w:val="single" w:sz="4" w:space="0" w:color="auto"/>
            </w:tcBorders>
            <w:vAlign w:val="center"/>
          </w:tcPr>
          <w:p w14:paraId="1685C391"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111.7</w:t>
            </w:r>
          </w:p>
        </w:tc>
        <w:tc>
          <w:tcPr>
            <w:tcW w:w="441" w:type="pct"/>
            <w:tcBorders>
              <w:top w:val="single" w:sz="4" w:space="0" w:color="auto"/>
              <w:left w:val="single" w:sz="4" w:space="0" w:color="auto"/>
              <w:bottom w:val="single" w:sz="4" w:space="0" w:color="auto"/>
              <w:right w:val="single" w:sz="4" w:space="0" w:color="auto"/>
            </w:tcBorders>
            <w:vAlign w:val="center"/>
          </w:tcPr>
          <w:p w14:paraId="24AC3E2F"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102.7</w:t>
            </w:r>
          </w:p>
        </w:tc>
        <w:tc>
          <w:tcPr>
            <w:tcW w:w="490" w:type="pct"/>
            <w:tcBorders>
              <w:top w:val="single" w:sz="4" w:space="0" w:color="auto"/>
              <w:left w:val="single" w:sz="4" w:space="0" w:color="auto"/>
              <w:bottom w:val="single" w:sz="4" w:space="0" w:color="auto"/>
              <w:right w:val="single" w:sz="4" w:space="0" w:color="auto"/>
            </w:tcBorders>
            <w:vAlign w:val="center"/>
          </w:tcPr>
          <w:p w14:paraId="7EDA66DD"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110.4</w:t>
            </w:r>
          </w:p>
        </w:tc>
        <w:tc>
          <w:tcPr>
            <w:tcW w:w="490" w:type="pct"/>
            <w:tcBorders>
              <w:top w:val="single" w:sz="4" w:space="0" w:color="auto"/>
              <w:left w:val="single" w:sz="4" w:space="0" w:color="auto"/>
              <w:bottom w:val="single" w:sz="4" w:space="0" w:color="auto"/>
              <w:right w:val="single" w:sz="4" w:space="0" w:color="auto"/>
            </w:tcBorders>
            <w:vAlign w:val="center"/>
          </w:tcPr>
          <w:p w14:paraId="1BA92BAA"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102.0</w:t>
            </w:r>
          </w:p>
        </w:tc>
        <w:tc>
          <w:tcPr>
            <w:tcW w:w="442" w:type="pct"/>
            <w:tcBorders>
              <w:top w:val="single" w:sz="4" w:space="0" w:color="auto"/>
              <w:left w:val="single" w:sz="4" w:space="0" w:color="auto"/>
              <w:bottom w:val="single" w:sz="4" w:space="0" w:color="auto"/>
              <w:right w:val="single" w:sz="4" w:space="0" w:color="auto"/>
            </w:tcBorders>
            <w:vAlign w:val="center"/>
          </w:tcPr>
          <w:p w14:paraId="43FCEA81"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90.4</w:t>
            </w:r>
          </w:p>
        </w:tc>
        <w:tc>
          <w:tcPr>
            <w:tcW w:w="441" w:type="pct"/>
            <w:tcBorders>
              <w:top w:val="single" w:sz="4" w:space="0" w:color="auto"/>
              <w:left w:val="single" w:sz="4" w:space="0" w:color="auto"/>
              <w:bottom w:val="single" w:sz="4" w:space="0" w:color="auto"/>
              <w:right w:val="single" w:sz="4" w:space="0" w:color="auto"/>
            </w:tcBorders>
            <w:vAlign w:val="center"/>
          </w:tcPr>
          <w:p w14:paraId="58BD3738"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101.3</w:t>
            </w:r>
          </w:p>
        </w:tc>
        <w:tc>
          <w:tcPr>
            <w:tcW w:w="393" w:type="pct"/>
            <w:tcBorders>
              <w:top w:val="single" w:sz="4" w:space="0" w:color="auto"/>
              <w:left w:val="single" w:sz="4" w:space="0" w:color="auto"/>
              <w:bottom w:val="single" w:sz="4" w:space="0" w:color="auto"/>
              <w:right w:val="single" w:sz="4" w:space="0" w:color="auto"/>
            </w:tcBorders>
            <w:vAlign w:val="center"/>
          </w:tcPr>
          <w:p w14:paraId="6DFC4FCF"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102.5</w:t>
            </w:r>
          </w:p>
        </w:tc>
        <w:tc>
          <w:tcPr>
            <w:tcW w:w="393" w:type="pct"/>
            <w:tcBorders>
              <w:top w:val="single" w:sz="4" w:space="0" w:color="auto"/>
              <w:left w:val="single" w:sz="4" w:space="0" w:color="auto"/>
              <w:bottom w:val="single" w:sz="4" w:space="0" w:color="auto"/>
              <w:right w:val="single" w:sz="4" w:space="0" w:color="auto"/>
            </w:tcBorders>
            <w:vAlign w:val="center"/>
          </w:tcPr>
          <w:p w14:paraId="038EAAB2"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101.4</w:t>
            </w:r>
          </w:p>
        </w:tc>
        <w:tc>
          <w:tcPr>
            <w:tcW w:w="391" w:type="pct"/>
            <w:tcBorders>
              <w:top w:val="single" w:sz="4" w:space="0" w:color="auto"/>
              <w:left w:val="single" w:sz="4" w:space="0" w:color="auto"/>
              <w:bottom w:val="single" w:sz="4" w:space="0" w:color="auto"/>
              <w:right w:val="single" w:sz="4" w:space="0" w:color="auto"/>
            </w:tcBorders>
            <w:vAlign w:val="center"/>
          </w:tcPr>
          <w:p w14:paraId="133710C2"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101.0</w:t>
            </w:r>
          </w:p>
        </w:tc>
        <w:tc>
          <w:tcPr>
            <w:tcW w:w="393" w:type="pct"/>
            <w:tcBorders>
              <w:top w:val="single" w:sz="4" w:space="0" w:color="auto"/>
              <w:left w:val="single" w:sz="4" w:space="0" w:color="auto"/>
              <w:bottom w:val="single" w:sz="4" w:space="0" w:color="auto"/>
              <w:right w:val="single" w:sz="4" w:space="0" w:color="auto"/>
            </w:tcBorders>
            <w:vAlign w:val="center"/>
          </w:tcPr>
          <w:p w14:paraId="428AAEC1" w14:textId="77777777" w:rsidR="00E51CDD" w:rsidRPr="00E51CDD" w:rsidRDefault="00E51CDD" w:rsidP="00B74DCE">
            <w:pPr>
              <w:widowControl w:val="0"/>
              <w:suppressLineNumbers/>
              <w:spacing w:beforeLines="40" w:before="96" w:afterLines="40" w:after="96" w:line="256" w:lineRule="auto"/>
              <w:jc w:val="center"/>
              <w:rPr>
                <w:sz w:val="20"/>
                <w:szCs w:val="20"/>
                <w:lang w:eastAsia="en-US"/>
              </w:rPr>
            </w:pPr>
            <w:r w:rsidRPr="00E51CDD">
              <w:rPr>
                <w:sz w:val="20"/>
                <w:szCs w:val="20"/>
                <w:lang w:eastAsia="en-US"/>
              </w:rPr>
              <w:t>96.0</w:t>
            </w:r>
          </w:p>
        </w:tc>
      </w:tr>
    </w:tbl>
    <w:p w14:paraId="1F705744" w14:textId="77777777" w:rsidR="00E51CDD" w:rsidRPr="00E51CDD" w:rsidRDefault="00E51CDD" w:rsidP="00E51CDD">
      <w:pPr>
        <w:widowControl w:val="0"/>
        <w:tabs>
          <w:tab w:val="left" w:pos="270"/>
        </w:tabs>
        <w:jc w:val="both"/>
        <w:rPr>
          <w:sz w:val="18"/>
          <w:szCs w:val="18"/>
          <w:lang w:eastAsia="en-US"/>
        </w:rPr>
      </w:pPr>
      <w:r w:rsidRPr="00E51CDD">
        <w:rPr>
          <w:sz w:val="18"/>
          <w:szCs w:val="18"/>
          <w:lang w:eastAsia="en-US"/>
        </w:rPr>
        <w:t>*</w:t>
      </w:r>
      <w:r w:rsidRPr="00E51CDD">
        <w:rPr>
          <w:sz w:val="18"/>
          <w:szCs w:val="18"/>
          <w:lang w:eastAsia="en-US"/>
        </w:rPr>
        <w:tab/>
        <w:t>Carrot and onion 28 DAT.</w:t>
      </w:r>
    </w:p>
    <w:p w14:paraId="33D07C7C" w14:textId="77777777" w:rsidR="00E51CDD" w:rsidRPr="00E51CDD" w:rsidRDefault="00E51CDD" w:rsidP="00E51CDD">
      <w:pPr>
        <w:widowControl w:val="0"/>
        <w:tabs>
          <w:tab w:val="left" w:pos="720"/>
        </w:tabs>
        <w:ind w:left="450" w:hanging="450"/>
        <w:jc w:val="both"/>
        <w:rPr>
          <w:lang w:eastAsia="en-US"/>
        </w:rPr>
      </w:pPr>
    </w:p>
    <w:p w14:paraId="60445E09" w14:textId="7340CE26" w:rsidR="00E51CDD" w:rsidRPr="00E51CDD" w:rsidRDefault="00B74DCE" w:rsidP="00E51CDD">
      <w:pPr>
        <w:widowControl w:val="0"/>
        <w:tabs>
          <w:tab w:val="left" w:pos="720"/>
        </w:tabs>
        <w:ind w:left="450" w:hanging="450"/>
        <w:jc w:val="both"/>
        <w:rPr>
          <w:lang w:eastAsia="en-US"/>
        </w:rPr>
      </w:pPr>
      <w:r>
        <w:rPr>
          <w:lang w:eastAsia="en-US"/>
        </w:rPr>
        <w:br w:type="page"/>
      </w:r>
    </w:p>
    <w:p w14:paraId="39D879EE" w14:textId="3C8363CB" w:rsidR="00E51CDD" w:rsidRPr="00E51CDD" w:rsidRDefault="00E51CDD" w:rsidP="00E51CDD">
      <w:pPr>
        <w:rPr>
          <w:bCs/>
        </w:rPr>
      </w:pPr>
      <w:bookmarkStart w:id="1325" w:name="_Ref88214050"/>
      <w:r w:rsidRPr="00E51CDD">
        <w:rPr>
          <w:b/>
          <w:bCs/>
        </w:rPr>
        <w:lastRenderedPageBreak/>
        <w:t xml:space="preserve">Table A </w:t>
      </w:r>
      <w:r w:rsidRPr="00E51CDD">
        <w:rPr>
          <w:b/>
          <w:bCs/>
        </w:rPr>
        <w:fldChar w:fldCharType="begin"/>
      </w:r>
      <w:r w:rsidRPr="00E51CDD">
        <w:rPr>
          <w:b/>
          <w:bCs/>
        </w:rPr>
        <w:instrText xml:space="preserve"> SEQ Table_A \* ARABIC </w:instrText>
      </w:r>
      <w:r w:rsidRPr="00E51CDD">
        <w:rPr>
          <w:b/>
          <w:bCs/>
        </w:rPr>
        <w:fldChar w:fldCharType="separate"/>
      </w:r>
      <w:r w:rsidR="00662F32">
        <w:rPr>
          <w:b/>
          <w:bCs/>
          <w:noProof/>
        </w:rPr>
        <w:t>43</w:t>
      </w:r>
      <w:r w:rsidRPr="00E51CDD">
        <w:rPr>
          <w:b/>
          <w:bCs/>
        </w:rPr>
        <w:fldChar w:fldCharType="end"/>
      </w:r>
      <w:bookmarkEnd w:id="1325"/>
      <w:r w:rsidRPr="00E51CDD">
        <w:rPr>
          <w:b/>
          <w:bCs/>
        </w:rPr>
        <w:t>:</w:t>
      </w:r>
      <w:r w:rsidRPr="00E51CDD">
        <w:rPr>
          <w:b/>
          <w:bCs/>
        </w:rPr>
        <w:tab/>
        <w:t>NOER and ER</w:t>
      </w:r>
      <w:r w:rsidRPr="00E51CDD">
        <w:rPr>
          <w:b/>
          <w:bCs/>
          <w:vertAlign w:val="subscript"/>
        </w:rPr>
        <w:t>50</w:t>
      </w:r>
      <w:r w:rsidRPr="00E51CDD">
        <w:rPr>
          <w:b/>
          <w:bCs/>
        </w:rPr>
        <w:t xml:space="preserve"> of </w:t>
      </w:r>
      <w:bookmarkStart w:id="1326" w:name="_Hlk80869192"/>
      <w:r w:rsidRPr="00E51CDD">
        <w:rPr>
          <w:b/>
          <w:bCs/>
        </w:rPr>
        <w:t xml:space="preserve">BAS 736 00 F </w:t>
      </w:r>
      <w:bookmarkEnd w:id="1326"/>
      <w:r w:rsidRPr="00E51CDD">
        <w:rPr>
          <w:b/>
          <w:bCs/>
        </w:rPr>
        <w:t>for non-target plants 21 DAT</w:t>
      </w:r>
    </w:p>
    <w:tbl>
      <w:tblPr>
        <w:tblW w:w="495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808"/>
        <w:gridCol w:w="810"/>
        <w:gridCol w:w="900"/>
        <w:gridCol w:w="717"/>
        <w:gridCol w:w="810"/>
        <w:gridCol w:w="899"/>
        <w:gridCol w:w="726"/>
        <w:gridCol w:w="721"/>
        <w:gridCol w:w="724"/>
        <w:gridCol w:w="721"/>
      </w:tblGrid>
      <w:tr w:rsidR="00E51CDD" w:rsidRPr="00E51CDD" w14:paraId="46B02686" w14:textId="77777777" w:rsidTr="009938D9">
        <w:trPr>
          <w:cantSplit/>
          <w:tblHeader/>
        </w:trPr>
        <w:tc>
          <w:tcPr>
            <w:tcW w:w="771" w:type="pct"/>
            <w:tcBorders>
              <w:top w:val="single" w:sz="4" w:space="0" w:color="auto"/>
              <w:left w:val="single" w:sz="4" w:space="0" w:color="auto"/>
              <w:bottom w:val="single" w:sz="4" w:space="0" w:color="auto"/>
              <w:right w:val="single" w:sz="4" w:space="0" w:color="auto"/>
            </w:tcBorders>
            <w:vAlign w:val="center"/>
            <w:hideMark/>
          </w:tcPr>
          <w:p w14:paraId="40CA6033" w14:textId="77777777" w:rsidR="00E51CDD" w:rsidRPr="00E51CDD" w:rsidRDefault="00E51CDD" w:rsidP="00E51CDD">
            <w:pPr>
              <w:widowControl w:val="0"/>
              <w:spacing w:before="40" w:after="40" w:line="256" w:lineRule="auto"/>
              <w:ind w:left="-77" w:right="-102"/>
              <w:jc w:val="center"/>
              <w:rPr>
                <w:sz w:val="20"/>
                <w:szCs w:val="20"/>
                <w:lang w:eastAsia="en-US"/>
              </w:rPr>
            </w:pPr>
            <w:r w:rsidRPr="00E51CDD">
              <w:rPr>
                <w:b/>
                <w:bCs/>
                <w:sz w:val="20"/>
                <w:szCs w:val="20"/>
                <w:lang w:eastAsia="en-US"/>
              </w:rPr>
              <w:t>Species</w:t>
            </w:r>
          </w:p>
        </w:tc>
        <w:tc>
          <w:tcPr>
            <w:tcW w:w="436" w:type="pct"/>
            <w:tcBorders>
              <w:top w:val="single" w:sz="4" w:space="0" w:color="auto"/>
              <w:left w:val="single" w:sz="4" w:space="0" w:color="auto"/>
              <w:bottom w:val="single" w:sz="4" w:space="0" w:color="auto"/>
              <w:right w:val="single" w:sz="4" w:space="0" w:color="auto"/>
            </w:tcBorders>
            <w:vAlign w:val="center"/>
            <w:hideMark/>
          </w:tcPr>
          <w:p w14:paraId="2ED95BF8" w14:textId="77777777" w:rsidR="00E51CDD" w:rsidRPr="00E51CDD" w:rsidRDefault="00E51CDD" w:rsidP="00E51CDD">
            <w:pPr>
              <w:widowControl w:val="0"/>
              <w:spacing w:before="40" w:after="40" w:line="256" w:lineRule="auto"/>
              <w:ind w:left="-128"/>
              <w:jc w:val="center"/>
              <w:rPr>
                <w:b/>
                <w:sz w:val="20"/>
                <w:szCs w:val="20"/>
              </w:rPr>
            </w:pPr>
            <w:r w:rsidRPr="00E51CDD">
              <w:rPr>
                <w:b/>
                <w:sz w:val="20"/>
                <w:szCs w:val="20"/>
              </w:rPr>
              <w:t>Carrot*</w:t>
            </w:r>
          </w:p>
        </w:tc>
        <w:tc>
          <w:tcPr>
            <w:tcW w:w="437" w:type="pct"/>
            <w:tcBorders>
              <w:top w:val="single" w:sz="4" w:space="0" w:color="auto"/>
              <w:left w:val="single" w:sz="4" w:space="0" w:color="auto"/>
              <w:bottom w:val="single" w:sz="4" w:space="0" w:color="auto"/>
              <w:right w:val="single" w:sz="4" w:space="0" w:color="auto"/>
            </w:tcBorders>
            <w:vAlign w:val="center"/>
            <w:hideMark/>
          </w:tcPr>
          <w:p w14:paraId="63AA11F5" w14:textId="77777777" w:rsidR="00E51CDD" w:rsidRPr="00E51CDD" w:rsidRDefault="00E51CDD" w:rsidP="00E51CDD">
            <w:pPr>
              <w:widowControl w:val="0"/>
              <w:spacing w:before="40" w:after="40" w:line="256" w:lineRule="auto"/>
              <w:ind w:left="-68" w:right="-87"/>
              <w:jc w:val="center"/>
              <w:rPr>
                <w:b/>
                <w:sz w:val="20"/>
                <w:szCs w:val="20"/>
              </w:rPr>
            </w:pPr>
            <w:r w:rsidRPr="00E51CDD">
              <w:rPr>
                <w:b/>
                <w:sz w:val="20"/>
                <w:szCs w:val="20"/>
              </w:rPr>
              <w:t>Lettuce</w:t>
            </w:r>
          </w:p>
        </w:tc>
        <w:tc>
          <w:tcPr>
            <w:tcW w:w="486" w:type="pct"/>
            <w:tcBorders>
              <w:top w:val="single" w:sz="4" w:space="0" w:color="auto"/>
              <w:left w:val="single" w:sz="4" w:space="0" w:color="auto"/>
              <w:bottom w:val="single" w:sz="4" w:space="0" w:color="auto"/>
              <w:right w:val="single" w:sz="4" w:space="0" w:color="auto"/>
            </w:tcBorders>
            <w:vAlign w:val="center"/>
            <w:hideMark/>
          </w:tcPr>
          <w:p w14:paraId="0E7FCE2E" w14:textId="77777777" w:rsidR="00E51CDD" w:rsidRPr="00E51CDD" w:rsidRDefault="00E51CDD" w:rsidP="00E51CDD">
            <w:pPr>
              <w:widowControl w:val="0"/>
              <w:spacing w:before="40" w:after="40" w:line="256" w:lineRule="auto"/>
              <w:ind w:left="-136" w:right="-120"/>
              <w:jc w:val="center"/>
              <w:rPr>
                <w:b/>
                <w:sz w:val="20"/>
                <w:szCs w:val="20"/>
              </w:rPr>
            </w:pPr>
            <w:r w:rsidRPr="00E51CDD">
              <w:rPr>
                <w:b/>
                <w:sz w:val="20"/>
                <w:szCs w:val="20"/>
              </w:rPr>
              <w:t>Cabbage</w:t>
            </w:r>
          </w:p>
        </w:tc>
        <w:tc>
          <w:tcPr>
            <w:tcW w:w="387" w:type="pct"/>
            <w:tcBorders>
              <w:top w:val="single" w:sz="4" w:space="0" w:color="auto"/>
              <w:left w:val="single" w:sz="4" w:space="0" w:color="auto"/>
              <w:bottom w:val="single" w:sz="4" w:space="0" w:color="auto"/>
              <w:right w:val="single" w:sz="4" w:space="0" w:color="auto"/>
            </w:tcBorders>
            <w:vAlign w:val="center"/>
            <w:hideMark/>
          </w:tcPr>
          <w:p w14:paraId="58157CF2" w14:textId="77777777" w:rsidR="00E51CDD" w:rsidRPr="00E51CDD" w:rsidRDefault="00E51CDD" w:rsidP="00E51CDD">
            <w:pPr>
              <w:widowControl w:val="0"/>
              <w:spacing w:before="40" w:after="40" w:line="256" w:lineRule="auto"/>
              <w:ind w:left="-115" w:right="-102"/>
              <w:jc w:val="center"/>
              <w:rPr>
                <w:b/>
                <w:sz w:val="20"/>
                <w:szCs w:val="20"/>
              </w:rPr>
            </w:pPr>
            <w:r w:rsidRPr="00E51CDD">
              <w:rPr>
                <w:b/>
                <w:sz w:val="20"/>
                <w:szCs w:val="20"/>
              </w:rPr>
              <w:t>Oilseed</w:t>
            </w:r>
          </w:p>
          <w:p w14:paraId="4B673FA2" w14:textId="77777777" w:rsidR="00E51CDD" w:rsidRPr="00E51CDD" w:rsidRDefault="00E51CDD" w:rsidP="00E51CDD">
            <w:pPr>
              <w:widowControl w:val="0"/>
              <w:spacing w:before="40" w:after="40" w:line="256" w:lineRule="auto"/>
              <w:ind w:left="-115" w:right="-102"/>
              <w:jc w:val="center"/>
              <w:rPr>
                <w:b/>
                <w:sz w:val="20"/>
                <w:szCs w:val="20"/>
              </w:rPr>
            </w:pPr>
            <w:r w:rsidRPr="00E51CDD">
              <w:rPr>
                <w:b/>
                <w:sz w:val="20"/>
                <w:szCs w:val="20"/>
              </w:rPr>
              <w:t>rape</w:t>
            </w:r>
          </w:p>
        </w:tc>
        <w:tc>
          <w:tcPr>
            <w:tcW w:w="437" w:type="pct"/>
            <w:tcBorders>
              <w:top w:val="single" w:sz="4" w:space="0" w:color="auto"/>
              <w:left w:val="single" w:sz="4" w:space="0" w:color="auto"/>
              <w:bottom w:val="single" w:sz="4" w:space="0" w:color="auto"/>
              <w:right w:val="single" w:sz="4" w:space="0" w:color="auto"/>
            </w:tcBorders>
            <w:vAlign w:val="center"/>
          </w:tcPr>
          <w:p w14:paraId="5300FD05" w14:textId="77777777" w:rsidR="00E51CDD" w:rsidRPr="00E51CDD" w:rsidRDefault="00E51CDD" w:rsidP="00E51CDD">
            <w:pPr>
              <w:widowControl w:val="0"/>
              <w:spacing w:before="40" w:after="40" w:line="256" w:lineRule="auto"/>
              <w:ind w:left="-117" w:right="-112" w:firstLine="1"/>
              <w:jc w:val="center"/>
              <w:rPr>
                <w:b/>
                <w:sz w:val="20"/>
                <w:szCs w:val="20"/>
              </w:rPr>
            </w:pPr>
            <w:r w:rsidRPr="00E51CDD">
              <w:rPr>
                <w:b/>
                <w:sz w:val="20"/>
                <w:szCs w:val="20"/>
              </w:rPr>
              <w:t>Tomato</w:t>
            </w:r>
          </w:p>
        </w:tc>
        <w:tc>
          <w:tcPr>
            <w:tcW w:w="485" w:type="pct"/>
            <w:tcBorders>
              <w:top w:val="single" w:sz="4" w:space="0" w:color="auto"/>
              <w:left w:val="single" w:sz="4" w:space="0" w:color="auto"/>
              <w:bottom w:val="single" w:sz="4" w:space="0" w:color="auto"/>
              <w:right w:val="single" w:sz="4" w:space="0" w:color="auto"/>
            </w:tcBorders>
            <w:vAlign w:val="center"/>
          </w:tcPr>
          <w:p w14:paraId="67F79A7B" w14:textId="77777777" w:rsidR="00E51CDD" w:rsidRPr="00E51CDD" w:rsidRDefault="00E51CDD" w:rsidP="00E51CDD">
            <w:pPr>
              <w:widowControl w:val="0"/>
              <w:spacing w:before="40" w:after="40" w:line="256" w:lineRule="auto"/>
              <w:ind w:left="-116" w:right="-110"/>
              <w:jc w:val="center"/>
              <w:rPr>
                <w:b/>
                <w:sz w:val="20"/>
                <w:szCs w:val="20"/>
              </w:rPr>
            </w:pPr>
            <w:r w:rsidRPr="00E51CDD">
              <w:rPr>
                <w:b/>
                <w:sz w:val="20"/>
                <w:szCs w:val="20"/>
              </w:rPr>
              <w:t>Soybean</w:t>
            </w:r>
          </w:p>
        </w:tc>
        <w:tc>
          <w:tcPr>
            <w:tcW w:w="392" w:type="pct"/>
            <w:tcBorders>
              <w:top w:val="single" w:sz="4" w:space="0" w:color="auto"/>
              <w:left w:val="single" w:sz="4" w:space="0" w:color="auto"/>
              <w:bottom w:val="single" w:sz="4" w:space="0" w:color="auto"/>
              <w:right w:val="single" w:sz="4" w:space="0" w:color="auto"/>
            </w:tcBorders>
            <w:vAlign w:val="center"/>
            <w:hideMark/>
          </w:tcPr>
          <w:p w14:paraId="20EE4F94" w14:textId="77777777" w:rsidR="00E51CDD" w:rsidRPr="00E51CDD" w:rsidRDefault="00E51CDD" w:rsidP="00E51CDD">
            <w:pPr>
              <w:widowControl w:val="0"/>
              <w:spacing w:before="40" w:after="40" w:line="256" w:lineRule="auto"/>
              <w:ind w:left="-112" w:right="-101"/>
              <w:jc w:val="center"/>
              <w:rPr>
                <w:b/>
                <w:sz w:val="20"/>
                <w:szCs w:val="20"/>
              </w:rPr>
            </w:pPr>
            <w:r w:rsidRPr="00E51CDD">
              <w:rPr>
                <w:b/>
                <w:sz w:val="20"/>
                <w:szCs w:val="20"/>
              </w:rPr>
              <w:t>Onion*</w:t>
            </w:r>
          </w:p>
        </w:tc>
        <w:tc>
          <w:tcPr>
            <w:tcW w:w="389" w:type="pct"/>
            <w:tcBorders>
              <w:top w:val="single" w:sz="4" w:space="0" w:color="auto"/>
              <w:left w:val="single" w:sz="4" w:space="0" w:color="auto"/>
              <w:bottom w:val="single" w:sz="4" w:space="0" w:color="auto"/>
              <w:right w:val="single" w:sz="4" w:space="0" w:color="auto"/>
            </w:tcBorders>
            <w:vAlign w:val="center"/>
            <w:hideMark/>
          </w:tcPr>
          <w:p w14:paraId="716FB402" w14:textId="77777777" w:rsidR="00E51CDD" w:rsidRPr="00E51CDD" w:rsidRDefault="00E51CDD" w:rsidP="00E51CDD">
            <w:pPr>
              <w:widowControl w:val="0"/>
              <w:spacing w:before="40" w:after="40" w:line="256" w:lineRule="auto"/>
              <w:ind w:left="-56"/>
              <w:jc w:val="center"/>
              <w:rPr>
                <w:b/>
                <w:sz w:val="20"/>
                <w:szCs w:val="20"/>
              </w:rPr>
            </w:pPr>
            <w:r w:rsidRPr="00E51CDD">
              <w:rPr>
                <w:b/>
                <w:sz w:val="20"/>
                <w:szCs w:val="20"/>
              </w:rPr>
              <w:t>Rye-grass</w:t>
            </w:r>
          </w:p>
        </w:tc>
        <w:tc>
          <w:tcPr>
            <w:tcW w:w="391" w:type="pct"/>
            <w:tcBorders>
              <w:top w:val="single" w:sz="4" w:space="0" w:color="auto"/>
              <w:left w:val="single" w:sz="4" w:space="0" w:color="auto"/>
              <w:bottom w:val="single" w:sz="4" w:space="0" w:color="auto"/>
              <w:right w:val="single" w:sz="4" w:space="0" w:color="auto"/>
            </w:tcBorders>
            <w:vAlign w:val="center"/>
            <w:hideMark/>
          </w:tcPr>
          <w:p w14:paraId="6559A95C" w14:textId="77777777" w:rsidR="00E51CDD" w:rsidRPr="00E51CDD" w:rsidRDefault="00E51CDD" w:rsidP="00E51CDD">
            <w:pPr>
              <w:widowControl w:val="0"/>
              <w:spacing w:before="40" w:after="40" w:line="256" w:lineRule="auto"/>
              <w:ind w:left="-97" w:right="-104"/>
              <w:jc w:val="center"/>
              <w:rPr>
                <w:b/>
                <w:sz w:val="20"/>
                <w:szCs w:val="20"/>
              </w:rPr>
            </w:pPr>
            <w:r w:rsidRPr="00E51CDD">
              <w:rPr>
                <w:b/>
                <w:sz w:val="20"/>
                <w:szCs w:val="20"/>
              </w:rPr>
              <w:t>Wheat</w:t>
            </w:r>
          </w:p>
        </w:tc>
        <w:tc>
          <w:tcPr>
            <w:tcW w:w="389" w:type="pct"/>
            <w:tcBorders>
              <w:top w:val="single" w:sz="4" w:space="0" w:color="auto"/>
              <w:left w:val="single" w:sz="4" w:space="0" w:color="auto"/>
              <w:bottom w:val="single" w:sz="4" w:space="0" w:color="auto"/>
              <w:right w:val="single" w:sz="4" w:space="0" w:color="auto"/>
            </w:tcBorders>
            <w:vAlign w:val="center"/>
            <w:hideMark/>
          </w:tcPr>
          <w:p w14:paraId="3BC31958" w14:textId="77777777" w:rsidR="00E51CDD" w:rsidRPr="00E51CDD" w:rsidRDefault="00E51CDD" w:rsidP="00E51CDD">
            <w:pPr>
              <w:widowControl w:val="0"/>
              <w:spacing w:before="40" w:after="40" w:line="256" w:lineRule="auto"/>
              <w:ind w:left="-149" w:right="-110"/>
              <w:jc w:val="center"/>
              <w:rPr>
                <w:b/>
                <w:bCs/>
                <w:sz w:val="20"/>
                <w:szCs w:val="20"/>
                <w:lang w:eastAsia="en-US"/>
              </w:rPr>
            </w:pPr>
            <w:r w:rsidRPr="00E51CDD">
              <w:rPr>
                <w:b/>
                <w:bCs/>
                <w:sz w:val="20"/>
                <w:szCs w:val="20"/>
                <w:lang w:eastAsia="en-US"/>
              </w:rPr>
              <w:t>Corn</w:t>
            </w:r>
          </w:p>
        </w:tc>
      </w:tr>
      <w:tr w:rsidR="00E51CDD" w:rsidRPr="00E51CDD" w14:paraId="3C00D287"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6EC2CF8C"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42A12B24" w14:textId="77777777" w:rsidR="00E51CDD" w:rsidRPr="00E51CDD" w:rsidRDefault="00E51CDD" w:rsidP="00E51CDD">
            <w:pPr>
              <w:widowControl w:val="0"/>
              <w:spacing w:before="40" w:after="40" w:line="256" w:lineRule="auto"/>
              <w:ind w:left="-128"/>
              <w:jc w:val="center"/>
              <w:rPr>
                <w:sz w:val="20"/>
                <w:szCs w:val="20"/>
                <w:lang w:eastAsia="en-US"/>
              </w:rPr>
            </w:pPr>
            <w:r w:rsidRPr="00E51CDD">
              <w:rPr>
                <w:b/>
                <w:bCs/>
                <w:sz w:val="20"/>
                <w:szCs w:val="20"/>
                <w:lang w:eastAsia="en-US"/>
              </w:rPr>
              <w:t>Seedling emergence [L/ha]</w:t>
            </w:r>
          </w:p>
        </w:tc>
      </w:tr>
      <w:tr w:rsidR="00E51CDD" w:rsidRPr="00E51CDD" w14:paraId="47A8E646"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069965B4"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NOER</w:t>
            </w:r>
          </w:p>
        </w:tc>
        <w:tc>
          <w:tcPr>
            <w:tcW w:w="436" w:type="pct"/>
            <w:tcBorders>
              <w:top w:val="single" w:sz="4" w:space="0" w:color="auto"/>
              <w:left w:val="single" w:sz="4" w:space="0" w:color="auto"/>
              <w:bottom w:val="single" w:sz="4" w:space="0" w:color="auto"/>
              <w:right w:val="single" w:sz="4" w:space="0" w:color="auto"/>
            </w:tcBorders>
            <w:vAlign w:val="center"/>
            <w:hideMark/>
          </w:tcPr>
          <w:p w14:paraId="45DF6A01"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hideMark/>
          </w:tcPr>
          <w:p w14:paraId="26F28A5F"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6" w:type="pct"/>
            <w:tcBorders>
              <w:top w:val="single" w:sz="4" w:space="0" w:color="auto"/>
              <w:left w:val="single" w:sz="4" w:space="0" w:color="auto"/>
              <w:bottom w:val="single" w:sz="4" w:space="0" w:color="auto"/>
              <w:right w:val="single" w:sz="4" w:space="0" w:color="auto"/>
            </w:tcBorders>
            <w:vAlign w:val="center"/>
            <w:hideMark/>
          </w:tcPr>
          <w:p w14:paraId="41B32877"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7" w:type="pct"/>
            <w:tcBorders>
              <w:top w:val="single" w:sz="4" w:space="0" w:color="auto"/>
              <w:left w:val="single" w:sz="4" w:space="0" w:color="auto"/>
              <w:bottom w:val="single" w:sz="4" w:space="0" w:color="auto"/>
              <w:right w:val="single" w:sz="4" w:space="0" w:color="auto"/>
            </w:tcBorders>
            <w:vAlign w:val="center"/>
            <w:hideMark/>
          </w:tcPr>
          <w:p w14:paraId="112441C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tcPr>
          <w:p w14:paraId="36FC8CB8"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5" w:type="pct"/>
            <w:tcBorders>
              <w:top w:val="single" w:sz="4" w:space="0" w:color="auto"/>
              <w:left w:val="single" w:sz="4" w:space="0" w:color="auto"/>
              <w:bottom w:val="single" w:sz="4" w:space="0" w:color="auto"/>
              <w:right w:val="single" w:sz="4" w:space="0" w:color="auto"/>
            </w:tcBorders>
            <w:vAlign w:val="center"/>
          </w:tcPr>
          <w:p w14:paraId="11AF3A60"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2" w:type="pct"/>
            <w:tcBorders>
              <w:top w:val="single" w:sz="4" w:space="0" w:color="auto"/>
              <w:left w:val="single" w:sz="4" w:space="0" w:color="auto"/>
              <w:bottom w:val="single" w:sz="4" w:space="0" w:color="auto"/>
              <w:right w:val="single" w:sz="4" w:space="0" w:color="auto"/>
            </w:tcBorders>
            <w:vAlign w:val="center"/>
            <w:hideMark/>
          </w:tcPr>
          <w:p w14:paraId="0A5F2BF3"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0025D02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1" w:type="pct"/>
            <w:tcBorders>
              <w:top w:val="single" w:sz="4" w:space="0" w:color="auto"/>
              <w:left w:val="single" w:sz="4" w:space="0" w:color="auto"/>
              <w:bottom w:val="single" w:sz="4" w:space="0" w:color="auto"/>
              <w:right w:val="single" w:sz="4" w:space="0" w:color="auto"/>
            </w:tcBorders>
            <w:vAlign w:val="center"/>
            <w:hideMark/>
          </w:tcPr>
          <w:p w14:paraId="45AF884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7A0C5F17"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r>
      <w:tr w:rsidR="00E51CDD" w:rsidRPr="00E51CDD" w14:paraId="2D9B77F9"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3596DB14"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ER</w:t>
            </w:r>
            <w:r w:rsidRPr="00E51CDD">
              <w:rPr>
                <w:b/>
                <w:bCs/>
                <w:sz w:val="20"/>
                <w:szCs w:val="20"/>
                <w:vertAlign w:val="subscript"/>
                <w:lang w:eastAsia="en-US"/>
              </w:rPr>
              <w:t>50</w:t>
            </w:r>
          </w:p>
        </w:tc>
        <w:tc>
          <w:tcPr>
            <w:tcW w:w="436" w:type="pct"/>
            <w:tcBorders>
              <w:top w:val="single" w:sz="4" w:space="0" w:color="auto"/>
              <w:left w:val="single" w:sz="4" w:space="0" w:color="auto"/>
              <w:bottom w:val="single" w:sz="4" w:space="0" w:color="auto"/>
              <w:right w:val="single" w:sz="4" w:space="0" w:color="auto"/>
            </w:tcBorders>
            <w:vAlign w:val="center"/>
          </w:tcPr>
          <w:p w14:paraId="775F6B53" w14:textId="77777777" w:rsidR="00E51CDD" w:rsidRPr="00E51CDD" w:rsidRDefault="00E51CDD" w:rsidP="00E51CDD">
            <w:pPr>
              <w:widowControl w:val="0"/>
              <w:spacing w:before="40" w:after="40" w:line="256" w:lineRule="auto"/>
              <w:ind w:left="-128"/>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22A53FEC"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486" w:type="pct"/>
            <w:tcBorders>
              <w:top w:val="single" w:sz="4" w:space="0" w:color="auto"/>
              <w:left w:val="single" w:sz="4" w:space="0" w:color="auto"/>
              <w:bottom w:val="single" w:sz="4" w:space="0" w:color="auto"/>
              <w:right w:val="single" w:sz="4" w:space="0" w:color="auto"/>
            </w:tcBorders>
          </w:tcPr>
          <w:p w14:paraId="38920273"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387" w:type="pct"/>
            <w:tcBorders>
              <w:top w:val="single" w:sz="4" w:space="0" w:color="auto"/>
              <w:left w:val="single" w:sz="4" w:space="0" w:color="auto"/>
              <w:bottom w:val="single" w:sz="4" w:space="0" w:color="auto"/>
              <w:right w:val="single" w:sz="4" w:space="0" w:color="auto"/>
            </w:tcBorders>
          </w:tcPr>
          <w:p w14:paraId="5474B4B7"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1C45C080"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485" w:type="pct"/>
            <w:tcBorders>
              <w:top w:val="single" w:sz="4" w:space="0" w:color="auto"/>
              <w:left w:val="single" w:sz="4" w:space="0" w:color="auto"/>
              <w:bottom w:val="single" w:sz="4" w:space="0" w:color="auto"/>
              <w:right w:val="single" w:sz="4" w:space="0" w:color="auto"/>
            </w:tcBorders>
          </w:tcPr>
          <w:p w14:paraId="3AF6B72E"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392" w:type="pct"/>
            <w:tcBorders>
              <w:top w:val="single" w:sz="4" w:space="0" w:color="auto"/>
              <w:left w:val="single" w:sz="4" w:space="0" w:color="auto"/>
              <w:bottom w:val="single" w:sz="4" w:space="0" w:color="auto"/>
              <w:right w:val="single" w:sz="4" w:space="0" w:color="auto"/>
            </w:tcBorders>
          </w:tcPr>
          <w:p w14:paraId="25DE40E5"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5A6C5B38"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391" w:type="pct"/>
            <w:tcBorders>
              <w:top w:val="single" w:sz="4" w:space="0" w:color="auto"/>
              <w:left w:val="single" w:sz="4" w:space="0" w:color="auto"/>
              <w:bottom w:val="single" w:sz="4" w:space="0" w:color="auto"/>
              <w:right w:val="single" w:sz="4" w:space="0" w:color="auto"/>
            </w:tcBorders>
          </w:tcPr>
          <w:p w14:paraId="09F45EDF"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7EE83739" w14:textId="77777777" w:rsidR="00E51CDD" w:rsidRPr="00E51CDD" w:rsidRDefault="00E51CDD" w:rsidP="00E51CDD">
            <w:pPr>
              <w:widowControl w:val="0"/>
              <w:spacing w:before="40" w:after="40" w:line="256" w:lineRule="auto"/>
              <w:jc w:val="center"/>
              <w:rPr>
                <w:sz w:val="20"/>
                <w:szCs w:val="20"/>
                <w:lang w:eastAsia="en-US"/>
              </w:rPr>
            </w:pPr>
            <w:r w:rsidRPr="00E51CDD">
              <w:rPr>
                <w:sz w:val="20"/>
                <w:szCs w:val="20"/>
                <w:lang w:eastAsia="en-US"/>
              </w:rPr>
              <w:t>&gt; 2.0</w:t>
            </w:r>
          </w:p>
        </w:tc>
      </w:tr>
      <w:tr w:rsidR="00E51CDD" w:rsidRPr="00E51CDD" w14:paraId="0EB40555"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40566572"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tcPr>
          <w:p w14:paraId="4D7EA606"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b/>
                <w:bCs/>
                <w:sz w:val="20"/>
                <w:szCs w:val="20"/>
                <w:lang w:eastAsia="en-US"/>
              </w:rPr>
              <w:t>Plant survival [L/ha]</w:t>
            </w:r>
          </w:p>
        </w:tc>
      </w:tr>
      <w:tr w:rsidR="00E51CDD" w:rsidRPr="00E51CDD" w14:paraId="142C57C8"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2B3D367E"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b/>
                <w:bCs/>
                <w:sz w:val="20"/>
                <w:szCs w:val="20"/>
                <w:lang w:eastAsia="en-US"/>
              </w:rPr>
              <w:t>NOER</w:t>
            </w:r>
          </w:p>
        </w:tc>
        <w:tc>
          <w:tcPr>
            <w:tcW w:w="436" w:type="pct"/>
            <w:tcBorders>
              <w:top w:val="single" w:sz="4" w:space="0" w:color="auto"/>
              <w:left w:val="single" w:sz="4" w:space="0" w:color="auto"/>
              <w:bottom w:val="single" w:sz="4" w:space="0" w:color="auto"/>
              <w:right w:val="single" w:sz="4" w:space="0" w:color="auto"/>
            </w:tcBorders>
            <w:vAlign w:val="center"/>
          </w:tcPr>
          <w:p w14:paraId="6660447B"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tcPr>
          <w:p w14:paraId="1630122E"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 2.0</w:t>
            </w:r>
          </w:p>
        </w:tc>
        <w:tc>
          <w:tcPr>
            <w:tcW w:w="486" w:type="pct"/>
            <w:tcBorders>
              <w:top w:val="single" w:sz="4" w:space="0" w:color="auto"/>
              <w:left w:val="single" w:sz="4" w:space="0" w:color="auto"/>
              <w:bottom w:val="single" w:sz="4" w:space="0" w:color="auto"/>
              <w:right w:val="single" w:sz="4" w:space="0" w:color="auto"/>
            </w:tcBorders>
            <w:vAlign w:val="center"/>
          </w:tcPr>
          <w:p w14:paraId="4D362CFA"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 2.0</w:t>
            </w:r>
          </w:p>
        </w:tc>
        <w:tc>
          <w:tcPr>
            <w:tcW w:w="387" w:type="pct"/>
            <w:tcBorders>
              <w:top w:val="single" w:sz="4" w:space="0" w:color="auto"/>
              <w:left w:val="single" w:sz="4" w:space="0" w:color="auto"/>
              <w:bottom w:val="single" w:sz="4" w:space="0" w:color="auto"/>
              <w:right w:val="single" w:sz="4" w:space="0" w:color="auto"/>
            </w:tcBorders>
            <w:vAlign w:val="center"/>
          </w:tcPr>
          <w:p w14:paraId="32684A7D"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tcPr>
          <w:p w14:paraId="65FE64D1"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 2.0</w:t>
            </w:r>
          </w:p>
        </w:tc>
        <w:tc>
          <w:tcPr>
            <w:tcW w:w="485" w:type="pct"/>
            <w:tcBorders>
              <w:top w:val="single" w:sz="4" w:space="0" w:color="auto"/>
              <w:left w:val="single" w:sz="4" w:space="0" w:color="auto"/>
              <w:bottom w:val="single" w:sz="4" w:space="0" w:color="auto"/>
              <w:right w:val="single" w:sz="4" w:space="0" w:color="auto"/>
            </w:tcBorders>
            <w:vAlign w:val="center"/>
          </w:tcPr>
          <w:p w14:paraId="6B6E83BC"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 2.0</w:t>
            </w:r>
          </w:p>
        </w:tc>
        <w:tc>
          <w:tcPr>
            <w:tcW w:w="392" w:type="pct"/>
            <w:tcBorders>
              <w:top w:val="single" w:sz="4" w:space="0" w:color="auto"/>
              <w:left w:val="single" w:sz="4" w:space="0" w:color="auto"/>
              <w:bottom w:val="single" w:sz="4" w:space="0" w:color="auto"/>
              <w:right w:val="single" w:sz="4" w:space="0" w:color="auto"/>
            </w:tcBorders>
            <w:vAlign w:val="center"/>
          </w:tcPr>
          <w:p w14:paraId="09C0AD06"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tcPr>
          <w:p w14:paraId="3FBA7E0B"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 2.0</w:t>
            </w:r>
          </w:p>
        </w:tc>
        <w:tc>
          <w:tcPr>
            <w:tcW w:w="391" w:type="pct"/>
            <w:tcBorders>
              <w:top w:val="single" w:sz="4" w:space="0" w:color="auto"/>
              <w:left w:val="single" w:sz="4" w:space="0" w:color="auto"/>
              <w:bottom w:val="single" w:sz="4" w:space="0" w:color="auto"/>
              <w:right w:val="single" w:sz="4" w:space="0" w:color="auto"/>
            </w:tcBorders>
            <w:vAlign w:val="center"/>
          </w:tcPr>
          <w:p w14:paraId="7082550B"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tcPr>
          <w:p w14:paraId="53057A29"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 2.0</w:t>
            </w:r>
          </w:p>
        </w:tc>
      </w:tr>
      <w:tr w:rsidR="00E51CDD" w:rsidRPr="00E51CDD" w14:paraId="31A280B0"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043041D1"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b/>
                <w:bCs/>
                <w:sz w:val="20"/>
                <w:szCs w:val="20"/>
                <w:lang w:eastAsia="en-US"/>
              </w:rPr>
              <w:t>ER50</w:t>
            </w:r>
          </w:p>
        </w:tc>
        <w:tc>
          <w:tcPr>
            <w:tcW w:w="436" w:type="pct"/>
            <w:tcBorders>
              <w:top w:val="single" w:sz="4" w:space="0" w:color="auto"/>
              <w:left w:val="single" w:sz="4" w:space="0" w:color="auto"/>
              <w:bottom w:val="single" w:sz="4" w:space="0" w:color="auto"/>
              <w:right w:val="single" w:sz="4" w:space="0" w:color="auto"/>
            </w:tcBorders>
            <w:vAlign w:val="center"/>
          </w:tcPr>
          <w:p w14:paraId="4A599E35"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6B172254"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&gt; 2.0</w:t>
            </w:r>
          </w:p>
        </w:tc>
        <w:tc>
          <w:tcPr>
            <w:tcW w:w="486" w:type="pct"/>
            <w:tcBorders>
              <w:top w:val="single" w:sz="4" w:space="0" w:color="auto"/>
              <w:left w:val="single" w:sz="4" w:space="0" w:color="auto"/>
              <w:bottom w:val="single" w:sz="4" w:space="0" w:color="auto"/>
              <w:right w:val="single" w:sz="4" w:space="0" w:color="auto"/>
            </w:tcBorders>
          </w:tcPr>
          <w:p w14:paraId="718CF0DD"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&gt; 2.0</w:t>
            </w:r>
          </w:p>
        </w:tc>
        <w:tc>
          <w:tcPr>
            <w:tcW w:w="387" w:type="pct"/>
            <w:tcBorders>
              <w:top w:val="single" w:sz="4" w:space="0" w:color="auto"/>
              <w:left w:val="single" w:sz="4" w:space="0" w:color="auto"/>
              <w:bottom w:val="single" w:sz="4" w:space="0" w:color="auto"/>
              <w:right w:val="single" w:sz="4" w:space="0" w:color="auto"/>
            </w:tcBorders>
          </w:tcPr>
          <w:p w14:paraId="47015455"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190D1912"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&gt; 2.0</w:t>
            </w:r>
          </w:p>
        </w:tc>
        <w:tc>
          <w:tcPr>
            <w:tcW w:w="485" w:type="pct"/>
            <w:tcBorders>
              <w:top w:val="single" w:sz="4" w:space="0" w:color="auto"/>
              <w:left w:val="single" w:sz="4" w:space="0" w:color="auto"/>
              <w:bottom w:val="single" w:sz="4" w:space="0" w:color="auto"/>
              <w:right w:val="single" w:sz="4" w:space="0" w:color="auto"/>
            </w:tcBorders>
          </w:tcPr>
          <w:p w14:paraId="2687995D"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&gt; 2.0</w:t>
            </w:r>
          </w:p>
        </w:tc>
        <w:tc>
          <w:tcPr>
            <w:tcW w:w="392" w:type="pct"/>
            <w:tcBorders>
              <w:top w:val="single" w:sz="4" w:space="0" w:color="auto"/>
              <w:left w:val="single" w:sz="4" w:space="0" w:color="auto"/>
              <w:bottom w:val="single" w:sz="4" w:space="0" w:color="auto"/>
              <w:right w:val="single" w:sz="4" w:space="0" w:color="auto"/>
            </w:tcBorders>
          </w:tcPr>
          <w:p w14:paraId="3B1345C0"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6D679CBB"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&gt; 2.0</w:t>
            </w:r>
          </w:p>
        </w:tc>
        <w:tc>
          <w:tcPr>
            <w:tcW w:w="391" w:type="pct"/>
            <w:tcBorders>
              <w:top w:val="single" w:sz="4" w:space="0" w:color="auto"/>
              <w:left w:val="single" w:sz="4" w:space="0" w:color="auto"/>
              <w:bottom w:val="single" w:sz="4" w:space="0" w:color="auto"/>
              <w:right w:val="single" w:sz="4" w:space="0" w:color="auto"/>
            </w:tcBorders>
          </w:tcPr>
          <w:p w14:paraId="3AF4A4CD"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vAlign w:val="center"/>
          </w:tcPr>
          <w:p w14:paraId="5663117B"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sz w:val="20"/>
                <w:szCs w:val="20"/>
                <w:lang w:eastAsia="en-US"/>
              </w:rPr>
              <w:t>&gt; 2.0</w:t>
            </w:r>
          </w:p>
        </w:tc>
      </w:tr>
      <w:tr w:rsidR="00E51CDD" w:rsidRPr="00E51CDD" w14:paraId="4B06E56E"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422FB415"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3B1C62CB" w14:textId="77777777" w:rsidR="00E51CDD" w:rsidRPr="00E51CDD" w:rsidRDefault="00E51CDD" w:rsidP="00E51CDD">
            <w:pPr>
              <w:widowControl w:val="0"/>
              <w:spacing w:before="40" w:after="40" w:line="256" w:lineRule="auto"/>
              <w:ind w:left="-128"/>
              <w:jc w:val="center"/>
              <w:rPr>
                <w:sz w:val="20"/>
                <w:szCs w:val="20"/>
                <w:lang w:eastAsia="en-US"/>
              </w:rPr>
            </w:pPr>
            <w:r w:rsidRPr="00E51CDD">
              <w:rPr>
                <w:b/>
                <w:bCs/>
                <w:sz w:val="20"/>
                <w:szCs w:val="20"/>
                <w:lang w:eastAsia="en-US"/>
              </w:rPr>
              <w:t>Phytotoxic damages** [L/ha]</w:t>
            </w:r>
          </w:p>
        </w:tc>
      </w:tr>
      <w:tr w:rsidR="00E51CDD" w:rsidRPr="00E51CDD" w14:paraId="34E11769"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629C8513" w14:textId="77777777" w:rsidR="00E51CDD" w:rsidRPr="00E51CDD" w:rsidRDefault="00E51CDD" w:rsidP="00E51CDD">
            <w:pPr>
              <w:widowControl w:val="0"/>
              <w:spacing w:before="40" w:after="40" w:line="256" w:lineRule="auto"/>
              <w:ind w:left="-161"/>
              <w:jc w:val="center"/>
              <w:rPr>
                <w:sz w:val="20"/>
                <w:szCs w:val="20"/>
                <w:lang w:eastAsia="en-US"/>
              </w:rPr>
            </w:pPr>
            <w:r w:rsidRPr="00E51CDD">
              <w:rPr>
                <w:b/>
                <w:bCs/>
                <w:sz w:val="20"/>
                <w:szCs w:val="20"/>
                <w:lang w:eastAsia="en-US"/>
              </w:rPr>
              <w:t>NOER</w:t>
            </w:r>
          </w:p>
        </w:tc>
        <w:tc>
          <w:tcPr>
            <w:tcW w:w="436" w:type="pct"/>
            <w:tcBorders>
              <w:top w:val="single" w:sz="4" w:space="0" w:color="auto"/>
              <w:left w:val="single" w:sz="4" w:space="0" w:color="auto"/>
              <w:bottom w:val="single" w:sz="4" w:space="0" w:color="auto"/>
              <w:right w:val="single" w:sz="4" w:space="0" w:color="auto"/>
            </w:tcBorders>
            <w:vAlign w:val="center"/>
            <w:hideMark/>
          </w:tcPr>
          <w:p w14:paraId="29AA1B1F"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hideMark/>
          </w:tcPr>
          <w:p w14:paraId="7DDF3958"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6" w:type="pct"/>
            <w:tcBorders>
              <w:top w:val="single" w:sz="4" w:space="0" w:color="auto"/>
              <w:left w:val="single" w:sz="4" w:space="0" w:color="auto"/>
              <w:bottom w:val="single" w:sz="4" w:space="0" w:color="auto"/>
              <w:right w:val="single" w:sz="4" w:space="0" w:color="auto"/>
            </w:tcBorders>
            <w:vAlign w:val="center"/>
            <w:hideMark/>
          </w:tcPr>
          <w:p w14:paraId="77A7D0F0"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7" w:type="pct"/>
            <w:tcBorders>
              <w:top w:val="single" w:sz="4" w:space="0" w:color="auto"/>
              <w:left w:val="single" w:sz="4" w:space="0" w:color="auto"/>
              <w:bottom w:val="single" w:sz="4" w:space="0" w:color="auto"/>
              <w:right w:val="single" w:sz="4" w:space="0" w:color="auto"/>
            </w:tcBorders>
            <w:vAlign w:val="center"/>
            <w:hideMark/>
          </w:tcPr>
          <w:p w14:paraId="7C077DA5"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tcPr>
          <w:p w14:paraId="466C29E3"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5" w:type="pct"/>
            <w:tcBorders>
              <w:top w:val="single" w:sz="4" w:space="0" w:color="auto"/>
              <w:left w:val="single" w:sz="4" w:space="0" w:color="auto"/>
              <w:bottom w:val="single" w:sz="4" w:space="0" w:color="auto"/>
              <w:right w:val="single" w:sz="4" w:space="0" w:color="auto"/>
            </w:tcBorders>
            <w:vAlign w:val="center"/>
          </w:tcPr>
          <w:p w14:paraId="3E8FC88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2" w:type="pct"/>
            <w:tcBorders>
              <w:top w:val="single" w:sz="4" w:space="0" w:color="auto"/>
              <w:left w:val="single" w:sz="4" w:space="0" w:color="auto"/>
              <w:bottom w:val="single" w:sz="4" w:space="0" w:color="auto"/>
              <w:right w:val="single" w:sz="4" w:space="0" w:color="auto"/>
            </w:tcBorders>
            <w:vAlign w:val="center"/>
            <w:hideMark/>
          </w:tcPr>
          <w:p w14:paraId="2D0D8FF5"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7C586F76"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1" w:type="pct"/>
            <w:tcBorders>
              <w:top w:val="single" w:sz="4" w:space="0" w:color="auto"/>
              <w:left w:val="single" w:sz="4" w:space="0" w:color="auto"/>
              <w:bottom w:val="single" w:sz="4" w:space="0" w:color="auto"/>
              <w:right w:val="single" w:sz="4" w:space="0" w:color="auto"/>
            </w:tcBorders>
            <w:vAlign w:val="center"/>
            <w:hideMark/>
          </w:tcPr>
          <w:p w14:paraId="67B8EA51"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3C02075C"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r>
      <w:tr w:rsidR="00E51CDD" w:rsidRPr="00E51CDD" w14:paraId="2204ED11"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3A4BD975"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0AE22DD5"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b/>
                <w:bCs/>
                <w:sz w:val="20"/>
                <w:szCs w:val="20"/>
                <w:lang w:eastAsia="en-US"/>
              </w:rPr>
              <w:t>Plant height (shoots above ground) [L/ha]</w:t>
            </w:r>
          </w:p>
        </w:tc>
      </w:tr>
      <w:tr w:rsidR="00E51CDD" w:rsidRPr="00E51CDD" w14:paraId="2FB52957"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320770DB"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NOER</w:t>
            </w:r>
          </w:p>
        </w:tc>
        <w:tc>
          <w:tcPr>
            <w:tcW w:w="436" w:type="pct"/>
            <w:tcBorders>
              <w:top w:val="single" w:sz="4" w:space="0" w:color="auto"/>
              <w:left w:val="single" w:sz="4" w:space="0" w:color="auto"/>
              <w:bottom w:val="single" w:sz="4" w:space="0" w:color="auto"/>
              <w:right w:val="single" w:sz="4" w:space="0" w:color="auto"/>
            </w:tcBorders>
            <w:vAlign w:val="center"/>
            <w:hideMark/>
          </w:tcPr>
          <w:p w14:paraId="62814691"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hideMark/>
          </w:tcPr>
          <w:p w14:paraId="147D0DAF"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6" w:type="pct"/>
            <w:tcBorders>
              <w:top w:val="single" w:sz="4" w:space="0" w:color="auto"/>
              <w:left w:val="single" w:sz="4" w:space="0" w:color="auto"/>
              <w:bottom w:val="single" w:sz="4" w:space="0" w:color="auto"/>
              <w:right w:val="single" w:sz="4" w:space="0" w:color="auto"/>
            </w:tcBorders>
            <w:vAlign w:val="center"/>
            <w:hideMark/>
          </w:tcPr>
          <w:p w14:paraId="1C82A05C"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7" w:type="pct"/>
            <w:tcBorders>
              <w:top w:val="single" w:sz="4" w:space="0" w:color="auto"/>
              <w:left w:val="single" w:sz="4" w:space="0" w:color="auto"/>
              <w:bottom w:val="single" w:sz="4" w:space="0" w:color="auto"/>
              <w:right w:val="single" w:sz="4" w:space="0" w:color="auto"/>
            </w:tcBorders>
            <w:vAlign w:val="center"/>
            <w:hideMark/>
          </w:tcPr>
          <w:p w14:paraId="5A4E9C39"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tcPr>
          <w:p w14:paraId="14CC1665"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5" w:type="pct"/>
            <w:tcBorders>
              <w:top w:val="single" w:sz="4" w:space="0" w:color="auto"/>
              <w:left w:val="single" w:sz="4" w:space="0" w:color="auto"/>
              <w:bottom w:val="single" w:sz="4" w:space="0" w:color="auto"/>
              <w:right w:val="single" w:sz="4" w:space="0" w:color="auto"/>
            </w:tcBorders>
            <w:vAlign w:val="center"/>
          </w:tcPr>
          <w:p w14:paraId="7483D271"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2" w:type="pct"/>
            <w:tcBorders>
              <w:top w:val="single" w:sz="4" w:space="0" w:color="auto"/>
              <w:left w:val="single" w:sz="4" w:space="0" w:color="auto"/>
              <w:bottom w:val="single" w:sz="4" w:space="0" w:color="auto"/>
              <w:right w:val="single" w:sz="4" w:space="0" w:color="auto"/>
            </w:tcBorders>
            <w:vAlign w:val="center"/>
            <w:hideMark/>
          </w:tcPr>
          <w:p w14:paraId="002D2A46"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5FBB5E39"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1" w:type="pct"/>
            <w:tcBorders>
              <w:top w:val="single" w:sz="4" w:space="0" w:color="auto"/>
              <w:left w:val="single" w:sz="4" w:space="0" w:color="auto"/>
              <w:bottom w:val="single" w:sz="4" w:space="0" w:color="auto"/>
              <w:right w:val="single" w:sz="4" w:space="0" w:color="auto"/>
            </w:tcBorders>
            <w:vAlign w:val="center"/>
            <w:hideMark/>
          </w:tcPr>
          <w:p w14:paraId="321AA3A6"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4304F198"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r>
      <w:tr w:rsidR="00E51CDD" w:rsidRPr="00E51CDD" w14:paraId="0B41673B"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53FFAF45"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ER</w:t>
            </w:r>
            <w:r w:rsidRPr="00E51CDD">
              <w:rPr>
                <w:b/>
                <w:bCs/>
                <w:sz w:val="20"/>
                <w:szCs w:val="20"/>
                <w:vertAlign w:val="subscript"/>
                <w:lang w:eastAsia="en-US"/>
              </w:rPr>
              <w:t>50</w:t>
            </w:r>
          </w:p>
        </w:tc>
        <w:tc>
          <w:tcPr>
            <w:tcW w:w="436" w:type="pct"/>
            <w:tcBorders>
              <w:top w:val="single" w:sz="4" w:space="0" w:color="auto"/>
              <w:left w:val="single" w:sz="4" w:space="0" w:color="auto"/>
              <w:bottom w:val="single" w:sz="4" w:space="0" w:color="auto"/>
              <w:right w:val="single" w:sz="4" w:space="0" w:color="auto"/>
            </w:tcBorders>
            <w:vAlign w:val="center"/>
          </w:tcPr>
          <w:p w14:paraId="12F3BA8B"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2B481D1F"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86" w:type="pct"/>
            <w:tcBorders>
              <w:top w:val="single" w:sz="4" w:space="0" w:color="auto"/>
              <w:left w:val="single" w:sz="4" w:space="0" w:color="auto"/>
              <w:bottom w:val="single" w:sz="4" w:space="0" w:color="auto"/>
              <w:right w:val="single" w:sz="4" w:space="0" w:color="auto"/>
            </w:tcBorders>
          </w:tcPr>
          <w:p w14:paraId="0891F1B3"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7" w:type="pct"/>
            <w:tcBorders>
              <w:top w:val="single" w:sz="4" w:space="0" w:color="auto"/>
              <w:left w:val="single" w:sz="4" w:space="0" w:color="auto"/>
              <w:bottom w:val="single" w:sz="4" w:space="0" w:color="auto"/>
              <w:right w:val="single" w:sz="4" w:space="0" w:color="auto"/>
            </w:tcBorders>
          </w:tcPr>
          <w:p w14:paraId="61F225C9"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21A06DFB"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85" w:type="pct"/>
            <w:tcBorders>
              <w:top w:val="single" w:sz="4" w:space="0" w:color="auto"/>
              <w:left w:val="single" w:sz="4" w:space="0" w:color="auto"/>
              <w:bottom w:val="single" w:sz="4" w:space="0" w:color="auto"/>
              <w:right w:val="single" w:sz="4" w:space="0" w:color="auto"/>
            </w:tcBorders>
          </w:tcPr>
          <w:p w14:paraId="22A8077C"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92" w:type="pct"/>
            <w:tcBorders>
              <w:top w:val="single" w:sz="4" w:space="0" w:color="auto"/>
              <w:left w:val="single" w:sz="4" w:space="0" w:color="auto"/>
              <w:bottom w:val="single" w:sz="4" w:space="0" w:color="auto"/>
              <w:right w:val="single" w:sz="4" w:space="0" w:color="auto"/>
            </w:tcBorders>
          </w:tcPr>
          <w:p w14:paraId="2333D699"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16BC680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91" w:type="pct"/>
            <w:tcBorders>
              <w:top w:val="single" w:sz="4" w:space="0" w:color="auto"/>
              <w:left w:val="single" w:sz="4" w:space="0" w:color="auto"/>
              <w:bottom w:val="single" w:sz="4" w:space="0" w:color="auto"/>
              <w:right w:val="single" w:sz="4" w:space="0" w:color="auto"/>
            </w:tcBorders>
          </w:tcPr>
          <w:p w14:paraId="54F0849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2A1BE588"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r>
      <w:tr w:rsidR="00E51CDD" w:rsidRPr="00E51CDD" w14:paraId="79F9933E"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tcPr>
          <w:p w14:paraId="6721E739" w14:textId="77777777" w:rsidR="00E51CDD" w:rsidRPr="00E51CDD" w:rsidRDefault="00E51CDD" w:rsidP="00E51CDD">
            <w:pPr>
              <w:widowControl w:val="0"/>
              <w:spacing w:before="40" w:after="40" w:line="256" w:lineRule="auto"/>
              <w:ind w:left="-128"/>
              <w:jc w:val="center"/>
              <w:rPr>
                <w:b/>
                <w:bCs/>
                <w:sz w:val="20"/>
                <w:szCs w:val="20"/>
                <w:lang w:eastAsia="en-US"/>
              </w:rPr>
            </w:pPr>
          </w:p>
        </w:tc>
        <w:tc>
          <w:tcPr>
            <w:tcW w:w="4229" w:type="pct"/>
            <w:gridSpan w:val="10"/>
            <w:tcBorders>
              <w:top w:val="single" w:sz="4" w:space="0" w:color="auto"/>
              <w:left w:val="single" w:sz="4" w:space="0" w:color="auto"/>
              <w:bottom w:val="single" w:sz="4" w:space="0" w:color="auto"/>
              <w:right w:val="single" w:sz="4" w:space="0" w:color="auto"/>
            </w:tcBorders>
            <w:vAlign w:val="center"/>
            <w:hideMark/>
          </w:tcPr>
          <w:p w14:paraId="1AB056AB" w14:textId="77777777" w:rsidR="00E51CDD" w:rsidRPr="00E51CDD" w:rsidRDefault="00E51CDD" w:rsidP="00E51CDD">
            <w:pPr>
              <w:widowControl w:val="0"/>
              <w:spacing w:before="40" w:after="40" w:line="256" w:lineRule="auto"/>
              <w:ind w:left="-128"/>
              <w:jc w:val="center"/>
              <w:rPr>
                <w:b/>
                <w:bCs/>
                <w:sz w:val="20"/>
                <w:szCs w:val="20"/>
                <w:lang w:eastAsia="en-US"/>
              </w:rPr>
            </w:pPr>
            <w:r w:rsidRPr="00E51CDD">
              <w:rPr>
                <w:b/>
                <w:bCs/>
                <w:sz w:val="20"/>
                <w:szCs w:val="20"/>
                <w:lang w:eastAsia="en-US"/>
              </w:rPr>
              <w:t>Plant weight (shoots above ground) [L/ha]</w:t>
            </w:r>
          </w:p>
        </w:tc>
      </w:tr>
      <w:tr w:rsidR="00E51CDD" w:rsidRPr="00E51CDD" w14:paraId="023E614B"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7692A968"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NOER</w:t>
            </w:r>
          </w:p>
        </w:tc>
        <w:tc>
          <w:tcPr>
            <w:tcW w:w="436" w:type="pct"/>
            <w:tcBorders>
              <w:top w:val="single" w:sz="4" w:space="0" w:color="auto"/>
              <w:left w:val="single" w:sz="4" w:space="0" w:color="auto"/>
              <w:bottom w:val="single" w:sz="4" w:space="0" w:color="auto"/>
              <w:right w:val="single" w:sz="4" w:space="0" w:color="auto"/>
            </w:tcBorders>
            <w:vAlign w:val="center"/>
            <w:hideMark/>
          </w:tcPr>
          <w:p w14:paraId="7379EC98"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hideMark/>
          </w:tcPr>
          <w:p w14:paraId="27768020"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6" w:type="pct"/>
            <w:tcBorders>
              <w:top w:val="single" w:sz="4" w:space="0" w:color="auto"/>
              <w:left w:val="single" w:sz="4" w:space="0" w:color="auto"/>
              <w:bottom w:val="single" w:sz="4" w:space="0" w:color="auto"/>
              <w:right w:val="single" w:sz="4" w:space="0" w:color="auto"/>
            </w:tcBorders>
            <w:vAlign w:val="center"/>
            <w:hideMark/>
          </w:tcPr>
          <w:p w14:paraId="081E1DA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7" w:type="pct"/>
            <w:tcBorders>
              <w:top w:val="single" w:sz="4" w:space="0" w:color="auto"/>
              <w:left w:val="single" w:sz="4" w:space="0" w:color="auto"/>
              <w:bottom w:val="single" w:sz="4" w:space="0" w:color="auto"/>
              <w:right w:val="single" w:sz="4" w:space="0" w:color="auto"/>
            </w:tcBorders>
            <w:vAlign w:val="center"/>
            <w:hideMark/>
          </w:tcPr>
          <w:p w14:paraId="0665255B"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37" w:type="pct"/>
            <w:tcBorders>
              <w:top w:val="single" w:sz="4" w:space="0" w:color="auto"/>
              <w:left w:val="single" w:sz="4" w:space="0" w:color="auto"/>
              <w:bottom w:val="single" w:sz="4" w:space="0" w:color="auto"/>
              <w:right w:val="single" w:sz="4" w:space="0" w:color="auto"/>
            </w:tcBorders>
            <w:vAlign w:val="center"/>
          </w:tcPr>
          <w:p w14:paraId="7156CDAD"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485" w:type="pct"/>
            <w:tcBorders>
              <w:top w:val="single" w:sz="4" w:space="0" w:color="auto"/>
              <w:left w:val="single" w:sz="4" w:space="0" w:color="auto"/>
              <w:bottom w:val="single" w:sz="4" w:space="0" w:color="auto"/>
              <w:right w:val="single" w:sz="4" w:space="0" w:color="auto"/>
            </w:tcBorders>
            <w:vAlign w:val="center"/>
          </w:tcPr>
          <w:p w14:paraId="2A1D59D7"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2" w:type="pct"/>
            <w:tcBorders>
              <w:top w:val="single" w:sz="4" w:space="0" w:color="auto"/>
              <w:left w:val="single" w:sz="4" w:space="0" w:color="auto"/>
              <w:bottom w:val="single" w:sz="4" w:space="0" w:color="auto"/>
              <w:right w:val="single" w:sz="4" w:space="0" w:color="auto"/>
            </w:tcBorders>
            <w:vAlign w:val="center"/>
            <w:hideMark/>
          </w:tcPr>
          <w:p w14:paraId="430C477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491ED9E7"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91" w:type="pct"/>
            <w:tcBorders>
              <w:top w:val="single" w:sz="4" w:space="0" w:color="auto"/>
              <w:left w:val="single" w:sz="4" w:space="0" w:color="auto"/>
              <w:bottom w:val="single" w:sz="4" w:space="0" w:color="auto"/>
              <w:right w:val="single" w:sz="4" w:space="0" w:color="auto"/>
            </w:tcBorders>
            <w:vAlign w:val="center"/>
            <w:hideMark/>
          </w:tcPr>
          <w:p w14:paraId="3F9A50CE"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c>
          <w:tcPr>
            <w:tcW w:w="389" w:type="pct"/>
            <w:tcBorders>
              <w:top w:val="single" w:sz="4" w:space="0" w:color="auto"/>
              <w:left w:val="single" w:sz="4" w:space="0" w:color="auto"/>
              <w:bottom w:val="single" w:sz="4" w:space="0" w:color="auto"/>
              <w:right w:val="single" w:sz="4" w:space="0" w:color="auto"/>
            </w:tcBorders>
            <w:vAlign w:val="center"/>
            <w:hideMark/>
          </w:tcPr>
          <w:p w14:paraId="1E1AB92B"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 2.0</w:t>
            </w:r>
          </w:p>
        </w:tc>
      </w:tr>
      <w:tr w:rsidR="00E51CDD" w:rsidRPr="00E51CDD" w14:paraId="6006B7EE" w14:textId="77777777" w:rsidTr="009938D9">
        <w:trPr>
          <w:cantSplit/>
        </w:trPr>
        <w:tc>
          <w:tcPr>
            <w:tcW w:w="771" w:type="pct"/>
            <w:tcBorders>
              <w:top w:val="single" w:sz="4" w:space="0" w:color="auto"/>
              <w:left w:val="single" w:sz="4" w:space="0" w:color="auto"/>
              <w:bottom w:val="single" w:sz="4" w:space="0" w:color="auto"/>
              <w:right w:val="single" w:sz="4" w:space="0" w:color="auto"/>
            </w:tcBorders>
            <w:vAlign w:val="center"/>
            <w:hideMark/>
          </w:tcPr>
          <w:p w14:paraId="2E273657" w14:textId="77777777" w:rsidR="00E51CDD" w:rsidRPr="00E51CDD" w:rsidRDefault="00E51CDD" w:rsidP="00E51CDD">
            <w:pPr>
              <w:widowControl w:val="0"/>
              <w:spacing w:before="40" w:after="40" w:line="256" w:lineRule="auto"/>
              <w:ind w:left="-175"/>
              <w:jc w:val="center"/>
              <w:rPr>
                <w:sz w:val="20"/>
                <w:szCs w:val="20"/>
                <w:lang w:eastAsia="en-US"/>
              </w:rPr>
            </w:pPr>
            <w:r w:rsidRPr="00E51CDD">
              <w:rPr>
                <w:b/>
                <w:bCs/>
                <w:sz w:val="20"/>
                <w:szCs w:val="20"/>
                <w:lang w:eastAsia="en-US"/>
              </w:rPr>
              <w:t>ER</w:t>
            </w:r>
            <w:r w:rsidRPr="00E51CDD">
              <w:rPr>
                <w:b/>
                <w:bCs/>
                <w:sz w:val="20"/>
                <w:szCs w:val="20"/>
                <w:vertAlign w:val="subscript"/>
                <w:lang w:eastAsia="en-US"/>
              </w:rPr>
              <w:t>50</w:t>
            </w:r>
          </w:p>
        </w:tc>
        <w:tc>
          <w:tcPr>
            <w:tcW w:w="436" w:type="pct"/>
            <w:tcBorders>
              <w:top w:val="single" w:sz="4" w:space="0" w:color="auto"/>
              <w:left w:val="single" w:sz="4" w:space="0" w:color="auto"/>
              <w:bottom w:val="single" w:sz="4" w:space="0" w:color="auto"/>
              <w:right w:val="single" w:sz="4" w:space="0" w:color="auto"/>
            </w:tcBorders>
            <w:vAlign w:val="center"/>
          </w:tcPr>
          <w:p w14:paraId="315C7503" w14:textId="77777777" w:rsidR="00E51CDD" w:rsidRPr="00E51CDD" w:rsidRDefault="00E51CDD" w:rsidP="00E51CDD">
            <w:pPr>
              <w:widowControl w:val="0"/>
              <w:suppressLineNumbers/>
              <w:spacing w:before="40" w:after="40" w:line="256" w:lineRule="auto"/>
              <w:ind w:left="-128"/>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4301B08F"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86" w:type="pct"/>
            <w:tcBorders>
              <w:top w:val="single" w:sz="4" w:space="0" w:color="auto"/>
              <w:left w:val="single" w:sz="4" w:space="0" w:color="auto"/>
              <w:bottom w:val="single" w:sz="4" w:space="0" w:color="auto"/>
              <w:right w:val="single" w:sz="4" w:space="0" w:color="auto"/>
            </w:tcBorders>
          </w:tcPr>
          <w:p w14:paraId="32DF27D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7" w:type="pct"/>
            <w:tcBorders>
              <w:top w:val="single" w:sz="4" w:space="0" w:color="auto"/>
              <w:left w:val="single" w:sz="4" w:space="0" w:color="auto"/>
              <w:bottom w:val="single" w:sz="4" w:space="0" w:color="auto"/>
              <w:right w:val="single" w:sz="4" w:space="0" w:color="auto"/>
            </w:tcBorders>
          </w:tcPr>
          <w:p w14:paraId="3607CD9A"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37" w:type="pct"/>
            <w:tcBorders>
              <w:top w:val="single" w:sz="4" w:space="0" w:color="auto"/>
              <w:left w:val="single" w:sz="4" w:space="0" w:color="auto"/>
              <w:bottom w:val="single" w:sz="4" w:space="0" w:color="auto"/>
              <w:right w:val="single" w:sz="4" w:space="0" w:color="auto"/>
            </w:tcBorders>
          </w:tcPr>
          <w:p w14:paraId="646761C3"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485" w:type="pct"/>
            <w:tcBorders>
              <w:top w:val="single" w:sz="4" w:space="0" w:color="auto"/>
              <w:left w:val="single" w:sz="4" w:space="0" w:color="auto"/>
              <w:bottom w:val="single" w:sz="4" w:space="0" w:color="auto"/>
              <w:right w:val="single" w:sz="4" w:space="0" w:color="auto"/>
            </w:tcBorders>
          </w:tcPr>
          <w:p w14:paraId="6D1E675B"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92" w:type="pct"/>
            <w:tcBorders>
              <w:top w:val="single" w:sz="4" w:space="0" w:color="auto"/>
              <w:left w:val="single" w:sz="4" w:space="0" w:color="auto"/>
              <w:bottom w:val="single" w:sz="4" w:space="0" w:color="auto"/>
              <w:right w:val="single" w:sz="4" w:space="0" w:color="auto"/>
            </w:tcBorders>
          </w:tcPr>
          <w:p w14:paraId="426FEF0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5B314817"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91" w:type="pct"/>
            <w:tcBorders>
              <w:top w:val="single" w:sz="4" w:space="0" w:color="auto"/>
              <w:left w:val="single" w:sz="4" w:space="0" w:color="auto"/>
              <w:bottom w:val="single" w:sz="4" w:space="0" w:color="auto"/>
              <w:right w:val="single" w:sz="4" w:space="0" w:color="auto"/>
            </w:tcBorders>
          </w:tcPr>
          <w:p w14:paraId="0CA779D1"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c>
          <w:tcPr>
            <w:tcW w:w="389" w:type="pct"/>
            <w:tcBorders>
              <w:top w:val="single" w:sz="4" w:space="0" w:color="auto"/>
              <w:left w:val="single" w:sz="4" w:space="0" w:color="auto"/>
              <w:bottom w:val="single" w:sz="4" w:space="0" w:color="auto"/>
              <w:right w:val="single" w:sz="4" w:space="0" w:color="auto"/>
            </w:tcBorders>
          </w:tcPr>
          <w:p w14:paraId="0FF90A24" w14:textId="77777777" w:rsidR="00E51CDD" w:rsidRPr="00E51CDD" w:rsidRDefault="00E51CDD" w:rsidP="00E51CDD">
            <w:pPr>
              <w:widowControl w:val="0"/>
              <w:suppressLineNumbers/>
              <w:spacing w:before="40" w:after="40" w:line="256" w:lineRule="auto"/>
              <w:jc w:val="center"/>
              <w:rPr>
                <w:sz w:val="20"/>
                <w:szCs w:val="20"/>
                <w:lang w:eastAsia="en-US"/>
              </w:rPr>
            </w:pPr>
            <w:r w:rsidRPr="00E51CDD">
              <w:rPr>
                <w:sz w:val="20"/>
                <w:szCs w:val="20"/>
                <w:lang w:eastAsia="en-US"/>
              </w:rPr>
              <w:t>&gt; 2.0</w:t>
            </w:r>
          </w:p>
        </w:tc>
      </w:tr>
    </w:tbl>
    <w:p w14:paraId="7CCB0FC8" w14:textId="77777777" w:rsidR="00E51CDD" w:rsidRPr="00E51CDD" w:rsidRDefault="00E51CDD" w:rsidP="00E51CDD">
      <w:pPr>
        <w:widowControl w:val="0"/>
        <w:tabs>
          <w:tab w:val="left" w:pos="270"/>
        </w:tabs>
        <w:jc w:val="both"/>
        <w:rPr>
          <w:sz w:val="18"/>
          <w:szCs w:val="18"/>
          <w:lang w:eastAsia="en-US"/>
        </w:rPr>
      </w:pPr>
      <w:r w:rsidRPr="00E51CDD">
        <w:rPr>
          <w:sz w:val="18"/>
          <w:szCs w:val="18"/>
          <w:lang w:eastAsia="en-US"/>
        </w:rPr>
        <w:t>*</w:t>
      </w:r>
      <w:r w:rsidRPr="00E51CDD">
        <w:rPr>
          <w:sz w:val="18"/>
          <w:szCs w:val="18"/>
          <w:lang w:eastAsia="en-US"/>
        </w:rPr>
        <w:tab/>
        <w:t>Carrot and onion 28 DAT.</w:t>
      </w:r>
    </w:p>
    <w:p w14:paraId="15296232" w14:textId="77777777" w:rsidR="00E51CDD" w:rsidRPr="00E51CDD" w:rsidRDefault="00E51CDD" w:rsidP="00E51CDD">
      <w:pPr>
        <w:tabs>
          <w:tab w:val="left" w:pos="270"/>
        </w:tabs>
        <w:spacing w:after="120"/>
        <w:ind w:left="1985" w:hanging="1985"/>
        <w:jc w:val="both"/>
        <w:rPr>
          <w:bCs/>
          <w:sz w:val="18"/>
          <w:szCs w:val="18"/>
        </w:rPr>
      </w:pPr>
      <w:r w:rsidRPr="00E51CDD">
        <w:rPr>
          <w:bCs/>
          <w:sz w:val="18"/>
          <w:szCs w:val="18"/>
        </w:rPr>
        <w:t>**</w:t>
      </w:r>
      <w:r w:rsidRPr="00E51CDD">
        <w:rPr>
          <w:bCs/>
          <w:sz w:val="18"/>
          <w:szCs w:val="18"/>
        </w:rPr>
        <w:tab/>
        <w:t>Estimated from assessment data.</w:t>
      </w:r>
    </w:p>
    <w:p w14:paraId="6FA8D96D" w14:textId="77777777" w:rsidR="00E51CDD" w:rsidRPr="00E51CDD" w:rsidRDefault="00E51CDD" w:rsidP="00E51CDD">
      <w:pPr>
        <w:widowControl w:val="0"/>
        <w:rPr>
          <w:color w:val="0070C0"/>
        </w:rPr>
      </w:pPr>
    </w:p>
    <w:p w14:paraId="3BAA0C74" w14:textId="77777777" w:rsidR="00E51CDD" w:rsidRPr="00E51CDD" w:rsidRDefault="00E51CDD" w:rsidP="00E51CDD">
      <w:pPr>
        <w:widowControl w:val="0"/>
        <w:jc w:val="both"/>
      </w:pPr>
    </w:p>
    <w:p w14:paraId="05ACA0AD" w14:textId="77777777" w:rsidR="00E51CDD" w:rsidRPr="00E51CDD" w:rsidRDefault="00E51CDD" w:rsidP="00E51CDD">
      <w:pPr>
        <w:jc w:val="both"/>
        <w:rPr>
          <w:u w:val="single"/>
        </w:rPr>
      </w:pPr>
      <w:bookmarkStart w:id="1327" w:name="_Hlk31010629"/>
      <w:r w:rsidRPr="00E51CDD">
        <w:rPr>
          <w:u w:val="single"/>
        </w:rPr>
        <w:t>Validity criteria:</w:t>
      </w:r>
    </w:p>
    <w:p w14:paraId="4A9CBADA" w14:textId="77777777" w:rsidR="00E51CDD" w:rsidRPr="00E51CDD" w:rsidRDefault="00E51CDD" w:rsidP="00E51CDD">
      <w:pPr>
        <w:jc w:val="both"/>
      </w:pPr>
    </w:p>
    <w:tbl>
      <w:tblPr>
        <w:tblStyle w:val="DAR0073"/>
        <w:tblW w:w="5000" w:type="pct"/>
        <w:tblLook w:val="04A0" w:firstRow="1" w:lastRow="0" w:firstColumn="1" w:lastColumn="0" w:noHBand="0" w:noVBand="1"/>
      </w:tblPr>
      <w:tblGrid>
        <w:gridCol w:w="5640"/>
        <w:gridCol w:w="3704"/>
      </w:tblGrid>
      <w:tr w:rsidR="00E51CDD" w:rsidRPr="00E51CDD" w14:paraId="3923F66C" w14:textId="77777777" w:rsidTr="009938D9">
        <w:tc>
          <w:tcPr>
            <w:tcW w:w="3018" w:type="pct"/>
            <w:vAlign w:val="center"/>
          </w:tcPr>
          <w:p w14:paraId="79B92B43" w14:textId="77777777" w:rsidR="00E51CDD" w:rsidRPr="00E51CDD" w:rsidRDefault="00E51CDD" w:rsidP="00E51CDD">
            <w:pPr>
              <w:rPr>
                <w:b/>
                <w:sz w:val="20"/>
                <w:szCs w:val="20"/>
              </w:rPr>
            </w:pPr>
            <w:r w:rsidRPr="00E51CDD">
              <w:rPr>
                <w:b/>
                <w:sz w:val="20"/>
                <w:szCs w:val="20"/>
              </w:rPr>
              <w:t>Validity criteria according to OECD 208</w:t>
            </w:r>
          </w:p>
        </w:tc>
        <w:tc>
          <w:tcPr>
            <w:tcW w:w="1982" w:type="pct"/>
            <w:vAlign w:val="center"/>
          </w:tcPr>
          <w:p w14:paraId="4FBDA306" w14:textId="77777777" w:rsidR="00E51CDD" w:rsidRPr="00E51CDD" w:rsidRDefault="00E51CDD" w:rsidP="00E51CDD">
            <w:pPr>
              <w:rPr>
                <w:b/>
                <w:sz w:val="20"/>
                <w:szCs w:val="20"/>
              </w:rPr>
            </w:pPr>
            <w:r w:rsidRPr="00E51CDD">
              <w:rPr>
                <w:b/>
                <w:sz w:val="20"/>
                <w:szCs w:val="20"/>
              </w:rPr>
              <w:t>Obtained in this study</w:t>
            </w:r>
          </w:p>
        </w:tc>
      </w:tr>
      <w:tr w:rsidR="00E51CDD" w:rsidRPr="00E51CDD" w14:paraId="47997513" w14:textId="77777777" w:rsidTr="009938D9">
        <w:tc>
          <w:tcPr>
            <w:tcW w:w="3018" w:type="pct"/>
            <w:vAlign w:val="center"/>
          </w:tcPr>
          <w:p w14:paraId="33B14D86" w14:textId="77777777" w:rsidR="00E51CDD" w:rsidRPr="00E51CDD" w:rsidRDefault="00E51CDD" w:rsidP="00E51CDD">
            <w:pPr>
              <w:rPr>
                <w:sz w:val="20"/>
                <w:szCs w:val="20"/>
              </w:rPr>
            </w:pPr>
            <w:r w:rsidRPr="00E51CDD">
              <w:rPr>
                <w:rFonts w:eastAsia="Calibri"/>
                <w:sz w:val="20"/>
                <w:szCs w:val="20"/>
              </w:rPr>
              <w:t>Seedling emergence is at least 70% in the control</w:t>
            </w:r>
          </w:p>
        </w:tc>
        <w:tc>
          <w:tcPr>
            <w:tcW w:w="1982" w:type="pct"/>
            <w:vAlign w:val="center"/>
          </w:tcPr>
          <w:p w14:paraId="33F7E1AD" w14:textId="77777777" w:rsidR="00E51CDD" w:rsidRPr="00E51CDD" w:rsidRDefault="00E51CDD" w:rsidP="00E51CDD">
            <w:pPr>
              <w:rPr>
                <w:sz w:val="20"/>
                <w:szCs w:val="20"/>
              </w:rPr>
            </w:pPr>
            <w:r w:rsidRPr="00E51CDD">
              <w:rPr>
                <w:sz w:val="20"/>
                <w:szCs w:val="20"/>
              </w:rPr>
              <w:t>yes (80% to 100%)</w:t>
            </w:r>
          </w:p>
        </w:tc>
      </w:tr>
      <w:tr w:rsidR="00E51CDD" w:rsidRPr="00E51CDD" w14:paraId="71FD367F" w14:textId="77777777" w:rsidTr="009938D9">
        <w:tc>
          <w:tcPr>
            <w:tcW w:w="3018" w:type="pct"/>
            <w:vAlign w:val="center"/>
          </w:tcPr>
          <w:p w14:paraId="652D41D3" w14:textId="77777777" w:rsidR="00E51CDD" w:rsidRPr="00E51CDD" w:rsidRDefault="00E51CDD" w:rsidP="00E51CDD">
            <w:pPr>
              <w:autoSpaceDE w:val="0"/>
              <w:autoSpaceDN w:val="0"/>
              <w:adjustRightInd w:val="0"/>
              <w:rPr>
                <w:rFonts w:eastAsia="Calibri"/>
                <w:sz w:val="20"/>
                <w:szCs w:val="20"/>
              </w:rPr>
            </w:pPr>
            <w:r w:rsidRPr="00E51CDD">
              <w:rPr>
                <w:rFonts w:eastAsia="Calibri"/>
                <w:sz w:val="20"/>
                <w:szCs w:val="20"/>
              </w:rPr>
              <w:t>Seedlings do not exhibit visible phytotoxic effects (e.g. chlorosis, necrosis, wilting, leaf and stem deformations) in the control and control plants exhibit only normal variation in growth and morphology for that particular species</w:t>
            </w:r>
          </w:p>
        </w:tc>
        <w:tc>
          <w:tcPr>
            <w:tcW w:w="1982" w:type="pct"/>
            <w:vAlign w:val="center"/>
          </w:tcPr>
          <w:p w14:paraId="14433963" w14:textId="77777777" w:rsidR="00E51CDD" w:rsidRPr="00E51CDD" w:rsidRDefault="00E51CDD" w:rsidP="00E51CDD">
            <w:pPr>
              <w:rPr>
                <w:sz w:val="20"/>
                <w:szCs w:val="20"/>
              </w:rPr>
            </w:pPr>
            <w:r w:rsidRPr="00E51CDD">
              <w:rPr>
                <w:sz w:val="20"/>
                <w:szCs w:val="20"/>
              </w:rPr>
              <w:t>yes (0%)</w:t>
            </w:r>
          </w:p>
        </w:tc>
      </w:tr>
      <w:tr w:rsidR="00E51CDD" w:rsidRPr="00E51CDD" w14:paraId="4E718650" w14:textId="77777777" w:rsidTr="009938D9">
        <w:tc>
          <w:tcPr>
            <w:tcW w:w="3018" w:type="pct"/>
            <w:vAlign w:val="center"/>
          </w:tcPr>
          <w:p w14:paraId="1A20946F" w14:textId="77777777" w:rsidR="00E51CDD" w:rsidRPr="00E51CDD" w:rsidRDefault="00E51CDD" w:rsidP="00E51CDD">
            <w:pPr>
              <w:rPr>
                <w:rFonts w:eastAsia="Calibri"/>
                <w:sz w:val="20"/>
                <w:szCs w:val="20"/>
              </w:rPr>
            </w:pPr>
            <w:r w:rsidRPr="00E51CDD">
              <w:rPr>
                <w:rFonts w:eastAsia="Calibri"/>
                <w:sz w:val="20"/>
                <w:szCs w:val="20"/>
              </w:rPr>
              <w:t>Mean survival of emerged control seedlings at least 90% for the duration of the study</w:t>
            </w:r>
          </w:p>
        </w:tc>
        <w:tc>
          <w:tcPr>
            <w:tcW w:w="1982" w:type="pct"/>
            <w:vAlign w:val="center"/>
          </w:tcPr>
          <w:p w14:paraId="6EEB282F" w14:textId="77777777" w:rsidR="00E51CDD" w:rsidRPr="00E51CDD" w:rsidRDefault="00E51CDD" w:rsidP="00E51CDD">
            <w:pPr>
              <w:rPr>
                <w:sz w:val="20"/>
                <w:szCs w:val="20"/>
              </w:rPr>
            </w:pPr>
            <w:r w:rsidRPr="00E51CDD">
              <w:rPr>
                <w:sz w:val="20"/>
                <w:szCs w:val="20"/>
              </w:rPr>
              <w:t>yes</w:t>
            </w:r>
            <w:r w:rsidRPr="00E51CDD">
              <w:rPr>
                <w:rFonts w:eastAsia="Calibri"/>
                <w:sz w:val="20"/>
                <w:szCs w:val="20"/>
              </w:rPr>
              <w:t xml:space="preserve"> </w:t>
            </w:r>
            <w:r w:rsidRPr="00E51CDD">
              <w:rPr>
                <w:sz w:val="20"/>
                <w:szCs w:val="20"/>
              </w:rPr>
              <w:t>(100%)</w:t>
            </w:r>
          </w:p>
        </w:tc>
      </w:tr>
      <w:tr w:rsidR="00E51CDD" w:rsidRPr="00E51CDD" w14:paraId="72F434D6" w14:textId="77777777" w:rsidTr="009938D9">
        <w:tc>
          <w:tcPr>
            <w:tcW w:w="3018" w:type="pct"/>
            <w:vAlign w:val="center"/>
          </w:tcPr>
          <w:p w14:paraId="743A92FC" w14:textId="77777777" w:rsidR="00E51CDD" w:rsidRPr="00E51CDD" w:rsidRDefault="00E51CDD" w:rsidP="00E51CDD">
            <w:pPr>
              <w:autoSpaceDE w:val="0"/>
              <w:autoSpaceDN w:val="0"/>
              <w:adjustRightInd w:val="0"/>
              <w:rPr>
                <w:rFonts w:eastAsia="Calibri"/>
                <w:sz w:val="20"/>
                <w:szCs w:val="20"/>
              </w:rPr>
            </w:pPr>
            <w:r w:rsidRPr="00E51CDD">
              <w:rPr>
                <w:rFonts w:eastAsia="Calibri"/>
                <w:sz w:val="20"/>
                <w:szCs w:val="20"/>
              </w:rPr>
              <w:t>Environmental conditions for a particular species are identical and growing media contain the same amount of soil matrix, support media, or substrate from the same source</w:t>
            </w:r>
          </w:p>
        </w:tc>
        <w:tc>
          <w:tcPr>
            <w:tcW w:w="1982" w:type="pct"/>
            <w:vAlign w:val="center"/>
          </w:tcPr>
          <w:p w14:paraId="0625CB48" w14:textId="77777777" w:rsidR="00E51CDD" w:rsidRPr="00E51CDD" w:rsidRDefault="00E51CDD" w:rsidP="00E51CDD">
            <w:pPr>
              <w:rPr>
                <w:sz w:val="20"/>
                <w:szCs w:val="20"/>
              </w:rPr>
            </w:pPr>
            <w:r w:rsidRPr="00E51CDD">
              <w:rPr>
                <w:sz w:val="20"/>
                <w:szCs w:val="20"/>
              </w:rPr>
              <w:t>yes</w:t>
            </w:r>
          </w:p>
        </w:tc>
      </w:tr>
    </w:tbl>
    <w:p w14:paraId="1D9BF1FA" w14:textId="77777777" w:rsidR="00E51CDD" w:rsidRPr="00E51CDD" w:rsidRDefault="00E51CDD" w:rsidP="00E51CDD">
      <w:pPr>
        <w:ind w:left="720" w:hanging="720"/>
      </w:pPr>
    </w:p>
    <w:p w14:paraId="029EBD98" w14:textId="77777777" w:rsidR="00E51CDD" w:rsidRPr="00E51CDD" w:rsidRDefault="00E51CDD" w:rsidP="00E51CDD">
      <w:pPr>
        <w:ind w:left="720" w:hanging="720"/>
      </w:pPr>
    </w:p>
    <w:p w14:paraId="1EDC256C" w14:textId="77777777" w:rsidR="00E51CDD" w:rsidRPr="00E51CDD" w:rsidRDefault="00E51CDD" w:rsidP="00E51CDD">
      <w:pPr>
        <w:jc w:val="both"/>
      </w:pPr>
      <w:r w:rsidRPr="00E51CDD">
        <w:t>All validity criteria were met.</w:t>
      </w:r>
    </w:p>
    <w:bookmarkEnd w:id="1327"/>
    <w:p w14:paraId="7E94525C" w14:textId="77777777" w:rsidR="00E51CDD" w:rsidRPr="00E51CDD" w:rsidRDefault="00E51CDD" w:rsidP="00E51CDD">
      <w:pPr>
        <w:widowControl w:val="0"/>
        <w:jc w:val="both"/>
        <w:rPr>
          <w:b/>
          <w:bCs/>
          <w:color w:val="0070C0"/>
        </w:rPr>
      </w:pPr>
    </w:p>
    <w:p w14:paraId="1B28981F" w14:textId="747F2D4F" w:rsidR="00E51CDD" w:rsidRPr="00E51CDD" w:rsidRDefault="00E51CDD" w:rsidP="00E51CDD">
      <w:pPr>
        <w:widowControl w:val="0"/>
        <w:jc w:val="both"/>
        <w:rPr>
          <w:b/>
          <w:bCs/>
          <w:color w:val="0070C0"/>
        </w:rPr>
      </w:pPr>
    </w:p>
    <w:p w14:paraId="7F60AB1C" w14:textId="77777777" w:rsidR="00E51CDD" w:rsidRPr="00E51CDD" w:rsidRDefault="00E51CDD" w:rsidP="00E51CDD">
      <w:pPr>
        <w:widowControl w:val="0"/>
        <w:tabs>
          <w:tab w:val="left" w:pos="425"/>
          <w:tab w:val="left" w:pos="850"/>
        </w:tabs>
        <w:ind w:left="2835" w:hanging="2835"/>
        <w:jc w:val="both"/>
        <w:rPr>
          <w:b/>
          <w:bCs/>
        </w:rPr>
      </w:pPr>
      <w:r w:rsidRPr="00E51CDD">
        <w:rPr>
          <w:b/>
          <w:bCs/>
        </w:rPr>
        <w:t>III.</w:t>
      </w:r>
      <w:r w:rsidRPr="00E51CDD">
        <w:rPr>
          <w:b/>
          <w:bCs/>
        </w:rPr>
        <w:tab/>
        <w:t>CONCLUSION</w:t>
      </w:r>
    </w:p>
    <w:p w14:paraId="3A9146CF" w14:textId="77777777" w:rsidR="00E51CDD" w:rsidRPr="00E51CDD" w:rsidRDefault="00E51CDD" w:rsidP="00E51CDD">
      <w:pPr>
        <w:widowControl w:val="0"/>
        <w:jc w:val="both"/>
        <w:rPr>
          <w:b/>
          <w:bCs/>
          <w:highlight w:val="yellow"/>
        </w:rPr>
      </w:pPr>
    </w:p>
    <w:p w14:paraId="725653EE" w14:textId="77777777" w:rsidR="00E51CDD" w:rsidRPr="00E51CDD" w:rsidRDefault="00E51CDD" w:rsidP="00E51CDD">
      <w:pPr>
        <w:widowControl w:val="0"/>
        <w:jc w:val="both"/>
        <w:rPr>
          <w:rFonts w:eastAsia="Calibri"/>
          <w:b/>
          <w:bCs/>
          <w:lang w:eastAsia="en-US"/>
        </w:rPr>
      </w:pPr>
      <w:r w:rsidRPr="00E51CDD">
        <w:rPr>
          <w:rFonts w:eastAsia="Calibri"/>
          <w:b/>
          <w:bCs/>
          <w:lang w:eastAsia="en-US"/>
        </w:rPr>
        <w:t>Based on the results of this study, conducted under greenhouse conditions, it can be concluded that BAS 736 00 F at a rate of 2.0 L product/ha did not cause effects to the seedling emergence, plant survival, plant length and plant biomass of the tested plant species. For all tested species, the ER</w:t>
      </w:r>
      <w:r w:rsidRPr="00E51CDD">
        <w:rPr>
          <w:rFonts w:eastAsia="Calibri"/>
          <w:b/>
          <w:bCs/>
          <w:vertAlign w:val="subscript"/>
          <w:lang w:eastAsia="en-US"/>
        </w:rPr>
        <w:t>50</w:t>
      </w:r>
      <w:r w:rsidRPr="00E51CDD">
        <w:rPr>
          <w:rFonts w:eastAsia="Calibri"/>
          <w:b/>
          <w:bCs/>
          <w:lang w:eastAsia="en-US"/>
        </w:rPr>
        <w:t xml:space="preserve"> was estimated to be &gt; 2.0 L BAS 736 00 F/ha.</w:t>
      </w:r>
    </w:p>
    <w:p w14:paraId="74DEBE67" w14:textId="77777777" w:rsidR="00E51CDD" w:rsidRPr="00E51CDD" w:rsidRDefault="00E51CDD" w:rsidP="00E51CDD">
      <w:pPr>
        <w:widowControl w:val="0"/>
        <w:jc w:val="both"/>
        <w:rPr>
          <w:rFonts w:eastAsia="Calibri"/>
          <w:b/>
          <w:bCs/>
          <w:lang w:eastAsia="en-US"/>
        </w:rPr>
      </w:pPr>
    </w:p>
    <w:p w14:paraId="203B79D2" w14:textId="4DFA1F1E" w:rsidR="00E51CDD" w:rsidRPr="00E51CDD" w:rsidRDefault="00B74DCE" w:rsidP="00E51CDD">
      <w:pPr>
        <w:widowControl w:val="0"/>
        <w:jc w:val="both"/>
      </w:pPr>
      <w:r>
        <w:br w:type="page"/>
      </w:r>
    </w:p>
    <w:p w14:paraId="24BD1F45" w14:textId="77777777" w:rsidR="00E51CDD" w:rsidRPr="00E51CDD" w:rsidRDefault="00E51CDD" w:rsidP="00C5395F">
      <w:pPr>
        <w:pStyle w:val="RepAppendix3"/>
      </w:pPr>
      <w:bookmarkStart w:id="1328" w:name="_Toc125446495"/>
      <w:bookmarkEnd w:id="1309"/>
      <w:r w:rsidRPr="00E51CDD">
        <w:lastRenderedPageBreak/>
        <w:t xml:space="preserve">KCP 10.6.3 </w:t>
      </w:r>
      <w:r w:rsidRPr="00E51CDD">
        <w:tab/>
        <w:t>Extended laboratory studies on non-target plants</w:t>
      </w:r>
      <w:bookmarkEnd w:id="1304"/>
      <w:bookmarkEnd w:id="1305"/>
      <w:bookmarkEnd w:id="1306"/>
      <w:bookmarkEnd w:id="1307"/>
      <w:bookmarkEnd w:id="1308"/>
      <w:bookmarkEnd w:id="1328"/>
    </w:p>
    <w:p w14:paraId="06655377" w14:textId="77777777" w:rsidR="00E51CDD" w:rsidRPr="00E51CDD" w:rsidRDefault="00E51CDD" w:rsidP="00E51CDD">
      <w:pPr>
        <w:widowControl w:val="0"/>
        <w:jc w:val="both"/>
      </w:pPr>
      <w:r w:rsidRPr="00E51CDD">
        <w:t>As BAS 736 00 F does not pose an unacceptable risk to non-target plants, further studies are not necessary.</w:t>
      </w:r>
    </w:p>
    <w:p w14:paraId="783FB4F3" w14:textId="77777777" w:rsidR="00E51CDD" w:rsidRPr="00E51CDD" w:rsidRDefault="00E51CDD" w:rsidP="00E51CDD">
      <w:pPr>
        <w:widowControl w:val="0"/>
        <w:jc w:val="both"/>
      </w:pPr>
    </w:p>
    <w:p w14:paraId="3F0DBB60" w14:textId="77777777" w:rsidR="00E51CDD" w:rsidRPr="00E51CDD" w:rsidRDefault="00E51CDD" w:rsidP="00C5395F">
      <w:pPr>
        <w:pStyle w:val="RepAppendix3"/>
      </w:pPr>
      <w:bookmarkStart w:id="1329" w:name="_Toc125446496"/>
      <w:r w:rsidRPr="00E51CDD">
        <w:t xml:space="preserve">KCP 10.6.4 </w:t>
      </w:r>
      <w:r w:rsidRPr="00E51CDD">
        <w:tab/>
        <w:t>Semi-field and field tests on non-target plants</w:t>
      </w:r>
      <w:bookmarkEnd w:id="1329"/>
    </w:p>
    <w:p w14:paraId="0CDA1756" w14:textId="77777777" w:rsidR="00E51CDD" w:rsidRPr="00E51CDD" w:rsidRDefault="00E51CDD" w:rsidP="00E51CDD">
      <w:pPr>
        <w:widowControl w:val="0"/>
        <w:jc w:val="both"/>
      </w:pPr>
      <w:r w:rsidRPr="00E51CDD">
        <w:t>As BAS 736 00 F does not pose an unacceptable risk to non-target plants, further studies are not necessary.</w:t>
      </w:r>
    </w:p>
    <w:p w14:paraId="25BE0055" w14:textId="77777777" w:rsidR="00E51CDD" w:rsidRPr="00E51CDD" w:rsidRDefault="00E51CDD" w:rsidP="00E51CDD">
      <w:pPr>
        <w:jc w:val="both"/>
        <w:rPr>
          <w:color w:val="000000"/>
          <w:lang w:eastAsia="en-US"/>
        </w:rPr>
      </w:pPr>
    </w:p>
    <w:p w14:paraId="3203A584" w14:textId="77777777" w:rsidR="00E51CDD" w:rsidRDefault="00E51CDD" w:rsidP="00E51CDD">
      <w:pPr>
        <w:pStyle w:val="StyleOECD-BASIS-TEXTLeft"/>
        <w:rPr>
          <w:sz w:val="22"/>
          <w:lang w:val="en-US"/>
        </w:rPr>
      </w:pPr>
    </w:p>
    <w:p w14:paraId="50F18C33" w14:textId="77777777" w:rsidR="00E51CDD" w:rsidRDefault="00E51CDD" w:rsidP="00E51CDD">
      <w:pPr>
        <w:pStyle w:val="StyleOECD-BASIS-TEXTLeft"/>
        <w:rPr>
          <w:sz w:val="22"/>
          <w:lang w:val="en-US"/>
        </w:rPr>
      </w:pPr>
    </w:p>
    <w:p w14:paraId="5D9C52CC" w14:textId="77777777" w:rsidR="00E51CDD" w:rsidRDefault="00E51CDD" w:rsidP="00E51CDD">
      <w:pPr>
        <w:pStyle w:val="RepAppendix2"/>
      </w:pPr>
      <w:bookmarkStart w:id="1330" w:name="_Toc413922110"/>
      <w:bookmarkStart w:id="1331" w:name="_Toc413922599"/>
      <w:bookmarkStart w:id="1332" w:name="_Toc413922703"/>
      <w:bookmarkStart w:id="1333" w:name="_Toc414955340"/>
      <w:bookmarkStart w:id="1334" w:name="_Toc415214647"/>
      <w:bookmarkStart w:id="1335" w:name="_Toc125446497"/>
      <w:r w:rsidRPr="002B1114">
        <w:t xml:space="preserve">KCP 10.7 </w:t>
      </w:r>
      <w:r w:rsidRPr="002B1114">
        <w:tab/>
        <w:t>Effects on other terrestrial organisms (flora and fauna)</w:t>
      </w:r>
      <w:bookmarkStart w:id="1336" w:name="_Toc413922111"/>
      <w:bookmarkStart w:id="1337" w:name="_Toc413922600"/>
      <w:bookmarkStart w:id="1338" w:name="_Toc413922704"/>
      <w:bookmarkStart w:id="1339" w:name="_Toc414955341"/>
      <w:bookmarkEnd w:id="1330"/>
      <w:bookmarkEnd w:id="1331"/>
      <w:bookmarkEnd w:id="1332"/>
      <w:bookmarkEnd w:id="1333"/>
      <w:bookmarkEnd w:id="1334"/>
      <w:bookmarkEnd w:id="1335"/>
    </w:p>
    <w:p w14:paraId="6732CAF4" w14:textId="77777777" w:rsidR="00E51CDD" w:rsidRDefault="00E51CDD" w:rsidP="00E51CDD">
      <w:pPr>
        <w:pStyle w:val="StyleOECD-BASIS-TEXTLeft"/>
        <w:rPr>
          <w:sz w:val="22"/>
          <w:lang w:val="en-US"/>
        </w:rPr>
      </w:pPr>
      <w:r w:rsidRPr="00E85297">
        <w:rPr>
          <w:sz w:val="22"/>
          <w:lang w:val="en-US"/>
        </w:rPr>
        <w:t>Not relevant.</w:t>
      </w:r>
      <w:bookmarkEnd w:id="1336"/>
      <w:bookmarkEnd w:id="1337"/>
      <w:bookmarkEnd w:id="1338"/>
      <w:bookmarkEnd w:id="1339"/>
    </w:p>
    <w:p w14:paraId="46B26E15" w14:textId="0F889FA3" w:rsidR="00E51CDD" w:rsidRDefault="00E51CDD" w:rsidP="00E51CDD">
      <w:pPr>
        <w:pStyle w:val="StyleOECD-BASIS-TEXTLeft"/>
        <w:rPr>
          <w:sz w:val="22"/>
          <w:lang w:val="en-US"/>
        </w:rPr>
      </w:pPr>
    </w:p>
    <w:p w14:paraId="0760EC9C" w14:textId="77777777" w:rsidR="00B74DCE" w:rsidRDefault="00B74DCE" w:rsidP="00E51CDD">
      <w:pPr>
        <w:pStyle w:val="StyleOECD-BASIS-TEXTLeft"/>
        <w:rPr>
          <w:sz w:val="22"/>
          <w:lang w:val="en-US"/>
        </w:rPr>
      </w:pPr>
    </w:p>
    <w:p w14:paraId="4635EA14" w14:textId="77777777" w:rsidR="00E51CDD" w:rsidRDefault="00E51CDD" w:rsidP="00E51CDD">
      <w:pPr>
        <w:pStyle w:val="RepAppendix2"/>
      </w:pPr>
      <w:bookmarkStart w:id="1340" w:name="_Toc415214648"/>
      <w:bookmarkStart w:id="1341" w:name="_Toc125446498"/>
      <w:r w:rsidRPr="002B1114">
        <w:t xml:space="preserve">KCP 10.8 </w:t>
      </w:r>
      <w:r w:rsidRPr="002B1114">
        <w:tab/>
        <w:t>Monitoring data</w:t>
      </w:r>
      <w:bookmarkEnd w:id="1340"/>
      <w:bookmarkEnd w:id="1341"/>
    </w:p>
    <w:p w14:paraId="4F2500B6" w14:textId="3DFAAF41" w:rsidR="00E51CDD" w:rsidRPr="00F02E70" w:rsidRDefault="00412B11" w:rsidP="00E51CDD">
      <w:pPr>
        <w:pStyle w:val="RepStandard"/>
      </w:pPr>
      <w:r>
        <w:t xml:space="preserve">Not </w:t>
      </w:r>
      <w:r w:rsidR="00E51CDD">
        <w:t>relevant.</w:t>
      </w:r>
    </w:p>
    <w:p w14:paraId="3F874AF3" w14:textId="02559C83" w:rsidR="00B400A9" w:rsidRDefault="00B400A9" w:rsidP="00CE08CB">
      <w:pPr>
        <w:pStyle w:val="StyleOECD-BASIS-TEXTLeft"/>
        <w:rPr>
          <w:sz w:val="22"/>
          <w:lang w:val="en-US"/>
        </w:rPr>
      </w:pPr>
    </w:p>
    <w:sectPr w:rsidR="00B400A9" w:rsidSect="00D20BDB">
      <w:headerReference w:type="even" r:id="rId78"/>
      <w:footerReference w:type="even" r:id="rId79"/>
      <w:headerReference w:type="first" r:id="rId80"/>
      <w:footerReference w:type="first" r:id="rId81"/>
      <w:pgSz w:w="11906" w:h="16838"/>
      <w:pgMar w:top="1418" w:right="1134" w:bottom="1134" w:left="1418" w:header="709" w:footer="709" w:gutter="0"/>
      <w:pgNumType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EB349" w14:textId="77777777" w:rsidR="00B8182A" w:rsidRDefault="00B8182A">
      <w:r>
        <w:separator/>
      </w:r>
    </w:p>
  </w:endnote>
  <w:endnote w:type="continuationSeparator" w:id="0">
    <w:p w14:paraId="519B449E" w14:textId="77777777" w:rsidR="00B8182A" w:rsidRDefault="00B81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ejaVu Sans">
    <w:altName w:val="Verdana"/>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Arial,Bold">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ArialMT">
    <w:altName w:val="Times New Roman"/>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DE8A" w14:textId="77777777" w:rsidR="00C33218" w:rsidRDefault="00C33218" w:rsidP="002B11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7F3D0129" w14:textId="77777777" w:rsidR="00C33218" w:rsidRDefault="00C33218" w:rsidP="00832E39">
    <w:pPr>
      <w:pStyle w:val="Stopk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A522D" w14:textId="7CB4A181" w:rsidR="00C33218" w:rsidRPr="00D20BDB" w:rsidRDefault="009B0727" w:rsidP="00D20BDB">
    <w:pPr>
      <w:pStyle w:val="Stopka"/>
      <w:tabs>
        <w:tab w:val="clear" w:pos="4536"/>
        <w:tab w:val="clear" w:pos="9072"/>
        <w:tab w:val="left" w:pos="12474"/>
      </w:tabs>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58752" behindDoc="0" locked="0" layoutInCell="0" allowOverlap="1" wp14:anchorId="38A4BCB6" wp14:editId="7D7D9C14">
              <wp:simplePos x="0" y="0"/>
              <wp:positionH relativeFrom="page">
                <wp:align>center</wp:align>
              </wp:positionH>
              <wp:positionV relativeFrom="page">
                <wp:align>bottom</wp:align>
              </wp:positionV>
              <wp:extent cx="7772400" cy="442595"/>
              <wp:effectExtent l="0" t="0" r="0" b="14605"/>
              <wp:wrapNone/>
              <wp:docPr id="9" name="MSIPCM438548908dcce5929792e007" descr="{&quot;HashCode&quot;:2082987499,&quot;Height&quot;:9999999.0,&quot;Width&quot;:9999999.0,&quot;Placement&quot;:&quot;Footer&quot;,&quot;Index&quot;:&quot;Primary&quot;,&quot;Section&quot;:10,&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61D27ED" w14:textId="10491903" w:rsidR="009B0727" w:rsidRPr="009B0727" w:rsidRDefault="009B0727" w:rsidP="009B0727">
                          <w:pPr>
                            <w:jc w:val="center"/>
                            <w:rPr>
                              <w:rFonts w:ascii="Arial" w:hAnsi="Arial" w:cs="Arial"/>
                              <w:color w:val="000000"/>
                              <w:sz w:val="20"/>
                            </w:rPr>
                          </w:pPr>
                          <w:r w:rsidRPr="009B0727">
                            <w:rPr>
                              <w:rFonts w:ascii="Arial" w:hAnsi="Arial" w:cs="Arial"/>
                              <w:color w:val="000000"/>
                              <w:sz w:val="20"/>
                            </w:rPr>
                            <w:t>Internal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38A4BCB6" id="_x0000_t202" coordsize="21600,21600" o:spt="202" path="m,l,21600r21600,l21600,xe">
              <v:stroke joinstyle="miter"/>
              <v:path gradientshapeok="t" o:connecttype="rect"/>
            </v:shapetype>
            <v:shape id="MSIPCM438548908dcce5929792e007" o:spid="_x0000_s1030" type="#_x0000_t202" alt="{&quot;HashCode&quot;:2082987499,&quot;Height&quot;:9999999.0,&quot;Width&quot;:9999999.0,&quot;Placement&quot;:&quot;Footer&quot;,&quot;Index&quot;:&quot;Primary&quot;,&quot;Section&quot;:10,&quot;Top&quot;:0.0,&quot;Left&quot;:0.0}" style="position:absolute;margin-left:0;margin-top:0;width:612pt;height:34.85pt;z-index:25165875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" o:allowincell="f" filled="f" stroked="f" strokeweight=".5pt">
              <v:textbox inset=",0,,0">
                <w:txbxContent>
                  <w:p w14:paraId="561D27ED" w14:textId="10491903" w:rsidR="009B0727" w:rsidRPr="009B0727" w:rsidRDefault="009B0727" w:rsidP="009B0727">
                    <w:pPr>
                      <w:jc w:val="center"/>
                      <w:rPr>
                        <w:rFonts w:ascii="Arial" w:hAnsi="Arial" w:cs="Arial"/>
                        <w:color w:val="000000"/>
                        <w:sz w:val="20"/>
                      </w:rPr>
                    </w:pPr>
                    <w:r w:rsidRPr="009B0727">
                      <w:rPr>
                        <w:rFonts w:ascii="Arial" w:hAnsi="Arial" w:cs="Arial"/>
                        <w:color w:val="000000"/>
                        <w:sz w:val="20"/>
                      </w:rPr>
                      <w:t>Internal</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93F13" w14:textId="77777777" w:rsidR="00C33218" w:rsidRPr="00D20BDB" w:rsidRDefault="00C33218" w:rsidP="00D20BDB">
    <w:pPr>
      <w:pStyle w:val="Stopka"/>
      <w:tabs>
        <w:tab w:val="clear" w:pos="4536"/>
        <w:tab w:val="clear" w:pos="9072"/>
        <w:tab w:val="left" w:pos="12474"/>
      </w:tabs>
      <w:rPr>
        <w:rFonts w:ascii="Arial" w:hAnsi="Arial" w:cs="Arial"/>
        <w:sz w:val="16"/>
        <w:szCs w:val="16"/>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73A3F" w14:textId="77777777" w:rsidR="00C33218" w:rsidRPr="00D20BDB" w:rsidRDefault="00C33218" w:rsidP="00D20BDB">
    <w:pPr>
      <w:pStyle w:val="Stopka"/>
      <w:tabs>
        <w:tab w:val="clear" w:pos="9072"/>
        <w:tab w:val="right" w:pos="9354"/>
      </w:tabs>
      <w:rPr>
        <w:rFonts w:ascii="Arial" w:hAnsi="Arial" w:cs="Arial"/>
        <w:sz w:val="16"/>
        <w:szCs w:val="16"/>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1FE9" w14:textId="77777777" w:rsidR="00C33218" w:rsidRDefault="00C33218">
    <w:pPr>
      <w:pStyle w:val="Stopka"/>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652E4" w14:textId="77777777" w:rsidR="00C33218" w:rsidRDefault="00C33218">
    <w:pPr>
      <w:pStyle w:val="Stopka"/>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3A388" w14:textId="77777777" w:rsidR="00C33218" w:rsidRDefault="00C33218">
    <w:pPr>
      <w:pStyle w:val="Stopka"/>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B749" w14:textId="77777777" w:rsidR="00C33218" w:rsidRDefault="00C33218">
    <w:pPr>
      <w:pStyle w:val="Stopka"/>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0126A" w14:textId="77777777" w:rsidR="00C33218" w:rsidRDefault="00C33218">
    <w:pPr>
      <w:pStyle w:val="Stopka"/>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1F120" w14:textId="77777777" w:rsidR="00C33218" w:rsidRDefault="00C33218">
    <w:pPr>
      <w:pStyle w:val="Stopka"/>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6379F" w14:textId="77777777" w:rsidR="00C33218" w:rsidRDefault="00C3321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526F5" w14:textId="735E0993" w:rsidR="009B0727" w:rsidRDefault="009B0727">
    <w:pPr>
      <w:pStyle w:val="Stopka"/>
    </w:pPr>
    <w:r>
      <w:rPr>
        <w:noProof/>
      </w:rPr>
      <mc:AlternateContent>
        <mc:Choice Requires="wps">
          <w:drawing>
            <wp:anchor distT="0" distB="0" distL="114300" distR="114300" simplePos="0" relativeHeight="251661312" behindDoc="0" locked="0" layoutInCell="0" allowOverlap="1" wp14:anchorId="79A2524C" wp14:editId="5FDDA233">
              <wp:simplePos x="0" y="0"/>
              <wp:positionH relativeFrom="page">
                <wp:align>center</wp:align>
              </wp:positionH>
              <wp:positionV relativeFrom="page">
                <wp:align>bottom</wp:align>
              </wp:positionV>
              <wp:extent cx="7772400" cy="442595"/>
              <wp:effectExtent l="0" t="0" r="0" b="14605"/>
              <wp:wrapNone/>
              <wp:docPr id="5" name="MSIPCM91dd4d3e854d35073f4ed1fa" descr="{&quot;HashCode&quot;:2082987499,&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CD9E062" w14:textId="118CBFB7" w:rsidR="009B0727" w:rsidRPr="009B0727" w:rsidRDefault="009B0727" w:rsidP="009B0727">
                          <w:pPr>
                            <w:jc w:val="center"/>
                            <w:rPr>
                              <w:rFonts w:ascii="Arial" w:hAnsi="Arial" w:cs="Arial"/>
                              <w:color w:val="000000"/>
                              <w:sz w:val="20"/>
                            </w:rPr>
                          </w:pPr>
                          <w:r w:rsidRPr="009B0727">
                            <w:rPr>
                              <w:rFonts w:ascii="Arial" w:hAnsi="Arial" w:cs="Arial"/>
                              <w:color w:val="000000"/>
                              <w:sz w:val="20"/>
                            </w:rPr>
                            <w:t>Internal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9A2524C" id="_x0000_t202" coordsize="21600,21600" o:spt="202" path="m,l,21600r21600,l21600,xe">
              <v:stroke joinstyle="miter"/>
              <v:path gradientshapeok="t" o:connecttype="rect"/>
            </v:shapetype>
            <v:shape id="MSIPCM91dd4d3e854d35073f4ed1fa" o:spid="_x0000_s1026" type="#_x0000_t202" alt="{&quot;HashCode&quot;:2082987499,&quot;Height&quot;:9999999.0,&quot;Width&quot;:9999999.0,&quot;Placement&quot;:&quot;Footer&quot;,&quot;Index&quot;:&quot;Primary&quot;,&quot;Section&quot;:1,&quot;Top&quot;:0.0,&quot;Left&quot;:0.0}" style="position:absolute;margin-left:0;margin-top:0;width:612pt;height:34.85pt;z-index:25166131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" o:allowincell="f" filled="f" stroked="f" strokeweight=".5pt">
              <v:textbox inset=",0,,0">
                <w:txbxContent>
                  <w:p w14:paraId="0CD9E062" w14:textId="118CBFB7" w:rsidR="009B0727" w:rsidRPr="009B0727" w:rsidRDefault="009B0727" w:rsidP="009B0727">
                    <w:pPr>
                      <w:jc w:val="center"/>
                      <w:rPr>
                        <w:rFonts w:ascii="Arial" w:hAnsi="Arial" w:cs="Arial"/>
                        <w:color w:val="000000"/>
                        <w:sz w:val="20"/>
                      </w:rPr>
                    </w:pPr>
                    <w:r w:rsidRPr="009B0727">
                      <w:rPr>
                        <w:rFonts w:ascii="Arial" w:hAnsi="Arial" w:cs="Arial"/>
                        <w:color w:val="000000"/>
                        <w:sz w:val="20"/>
                      </w:rPr>
                      <w:t>Internal</w:t>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39325" w14:textId="77777777" w:rsidR="00C33218" w:rsidRDefault="00C33218">
    <w:pPr>
      <w:pStyle w:val="Stopka"/>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BAB0A" w14:textId="77777777" w:rsidR="00C33218" w:rsidRPr="00D20BDB" w:rsidRDefault="00C33218" w:rsidP="00D20BDB">
    <w:pPr>
      <w:pStyle w:val="Stopka"/>
      <w:tabs>
        <w:tab w:val="clear" w:pos="9072"/>
        <w:tab w:val="right" w:pos="9354"/>
      </w:tabs>
      <w:rPr>
        <w:rFonts w:ascii="Arial" w:hAnsi="Arial" w:cs="Arial"/>
        <w:sz w:val="16"/>
        <w:szCs w:val="16"/>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B89B8" w14:textId="6D31A69B" w:rsidR="00C33218" w:rsidRPr="00D20BDB" w:rsidRDefault="00C33218" w:rsidP="00D20BDB">
    <w:pPr>
      <w:pStyle w:val="Stopka"/>
      <w:tabs>
        <w:tab w:val="clear" w:pos="9072"/>
        <w:tab w:val="right" w:pos="9354"/>
      </w:tabs>
      <w:rPr>
        <w:rFonts w:ascii="Arial" w:hAnsi="Arial" w:cs="Arial"/>
        <w:sz w:val="16"/>
        <w:szCs w:val="16"/>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55C5B" w14:textId="77777777" w:rsidR="00C33218" w:rsidRDefault="00C33218">
    <w:pPr>
      <w:pStyle w:val="Stopka"/>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E6C9E" w14:textId="77777777" w:rsidR="00C33218" w:rsidRDefault="00C33218">
    <w:pPr>
      <w:pStyle w:val="Stopka"/>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31DD" w14:textId="77777777" w:rsidR="00C33218" w:rsidRDefault="00C33218">
    <w:pPr>
      <w:pStyle w:val="Stopka"/>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35252" w14:textId="77777777" w:rsidR="00C33218" w:rsidRDefault="00C33218">
    <w:pPr>
      <w:pStyle w:val="Stopka"/>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65D37" w14:textId="77777777" w:rsidR="00C33218" w:rsidRDefault="00C33218">
    <w:pPr>
      <w:pStyle w:val="Stopka"/>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3FA11" w14:textId="77777777" w:rsidR="00C33218" w:rsidRDefault="00C33218">
    <w:pPr>
      <w:pStyle w:val="Stopka"/>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8A4A" w14:textId="77777777" w:rsidR="00C33218" w:rsidRDefault="00C3321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AACD8" w14:textId="45DB1DB0" w:rsidR="00C33218" w:rsidRPr="00D20BDB" w:rsidRDefault="009B0727" w:rsidP="00D20BDB">
    <w:pPr>
      <w:pStyle w:val="Stopka"/>
      <w:tabs>
        <w:tab w:val="clear" w:pos="9072"/>
        <w:tab w:val="right" w:pos="9354"/>
      </w:tabs>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62336" behindDoc="0" locked="0" layoutInCell="0" allowOverlap="1" wp14:anchorId="020EC9AD" wp14:editId="221FAECE">
              <wp:simplePos x="0" y="0"/>
              <wp:positionH relativeFrom="page">
                <wp:align>center</wp:align>
              </wp:positionH>
              <wp:positionV relativeFrom="page">
                <wp:align>bottom</wp:align>
              </wp:positionV>
              <wp:extent cx="7772400" cy="442595"/>
              <wp:effectExtent l="0" t="0" r="0" b="14605"/>
              <wp:wrapNone/>
              <wp:docPr id="6" name="MSIPCMa5954acfb07a0905e941aaa2" descr="{&quot;HashCode&quot;:2082987499,&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146B22" w14:textId="22CD6E39" w:rsidR="009B0727" w:rsidRPr="009B0727" w:rsidRDefault="009B0727" w:rsidP="009B0727">
                          <w:pPr>
                            <w:jc w:val="center"/>
                            <w:rPr>
                              <w:rFonts w:ascii="Arial" w:hAnsi="Arial" w:cs="Arial"/>
                              <w:color w:val="000000"/>
                              <w:sz w:val="20"/>
                            </w:rPr>
                          </w:pPr>
                          <w:r w:rsidRPr="009B0727">
                            <w:rPr>
                              <w:rFonts w:ascii="Arial" w:hAnsi="Arial" w:cs="Arial"/>
                              <w:color w:val="000000"/>
                              <w:sz w:val="20"/>
                            </w:rPr>
                            <w:t>Internal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20EC9AD" id="_x0000_t202" coordsize="21600,21600" o:spt="202" path="m,l,21600r21600,l21600,xe">
              <v:stroke joinstyle="miter"/>
              <v:path gradientshapeok="t" o:connecttype="rect"/>
            </v:shapetype>
            <v:shape id="MSIPCMa5954acfb07a0905e941aaa2" o:spid="_x0000_s1027" type="#_x0000_t202" alt="{&quot;HashCode&quot;:2082987499,&quot;Height&quot;:9999999.0,&quot;Width&quot;:9999999.0,&quot;Placement&quot;:&quot;Footer&quot;,&quot;Index&quot;:&quot;FirstPage&quot;,&quot;Section&quot;:1,&quot;Top&quot;:0.0,&quot;Left&quot;:0.0}" style="position:absolute;margin-left:0;margin-top:0;width:612pt;height:34.85pt;z-index:25166233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" o:allowincell="f" filled="f" stroked="f" strokeweight=".5pt">
              <v:textbox inset=",0,,0">
                <w:txbxContent>
                  <w:p w14:paraId="76146B22" w14:textId="22CD6E39" w:rsidR="009B0727" w:rsidRPr="009B0727" w:rsidRDefault="009B0727" w:rsidP="009B0727">
                    <w:pPr>
                      <w:jc w:val="center"/>
                      <w:rPr>
                        <w:rFonts w:ascii="Arial" w:hAnsi="Arial" w:cs="Arial"/>
                        <w:color w:val="000000"/>
                        <w:sz w:val="20"/>
                      </w:rPr>
                    </w:pPr>
                    <w:r w:rsidRPr="009B0727">
                      <w:rPr>
                        <w:rFonts w:ascii="Arial" w:hAnsi="Arial" w:cs="Arial"/>
                        <w:color w:val="000000"/>
                        <w:sz w:val="20"/>
                      </w:rPr>
                      <w:t>Internal</w:t>
                    </w:r>
                  </w:p>
                </w:txbxContent>
              </v:textbox>
              <w10:wrap anchorx="page" anchory="page"/>
            </v:shape>
          </w:pict>
        </mc:Fallback>
      </mc:AlternateContent>
    </w:r>
    <w:r w:rsidR="00C33218">
      <w:rPr>
        <w:rFonts w:ascii="Arial" w:hAnsi="Arial" w:cs="Arial"/>
        <w:sz w:val="16"/>
        <w:szCs w:val="16"/>
      </w:rPr>
      <w:t>Anne Berck</w:t>
    </w:r>
    <w:r w:rsidR="00C33218" w:rsidRPr="00FD02D7">
      <w:rPr>
        <w:rFonts w:ascii="Arial" w:hAnsi="Arial" w:cs="Arial"/>
        <w:sz w:val="16"/>
        <w:szCs w:val="16"/>
      </w:rPr>
      <w:tab/>
    </w:r>
    <w:r w:rsidR="00C33218">
      <w:rPr>
        <w:rFonts w:ascii="Arial" w:hAnsi="Arial" w:cs="Arial"/>
        <w:sz w:val="16"/>
        <w:szCs w:val="16"/>
      </w:rPr>
      <w:tab/>
    </w:r>
    <w:r w:rsidR="00C33218" w:rsidRPr="00FD02D7">
      <w:rPr>
        <w:rFonts w:ascii="Arial" w:hAnsi="Arial" w:cs="Arial"/>
        <w:sz w:val="16"/>
        <w:szCs w:val="16"/>
      </w:rPr>
      <w:t xml:space="preserve">BASF </w:t>
    </w:r>
    <w:r w:rsidR="00C33218" w:rsidRPr="00CF56F1">
      <w:rPr>
        <w:rFonts w:ascii="Arial" w:hAnsi="Arial" w:cs="Arial"/>
        <w:sz w:val="16"/>
        <w:szCs w:val="16"/>
      </w:rPr>
      <w:t xml:space="preserve">DocID </w:t>
    </w:r>
    <w:r w:rsidR="002458AB" w:rsidRPr="00CF56F1">
      <w:rPr>
        <w:rFonts w:ascii="Arial" w:hAnsi="Arial" w:cs="Arial"/>
        <w:sz w:val="16"/>
        <w:szCs w:val="16"/>
      </w:rPr>
      <w:t>2022/2039019</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C1F6" w14:textId="77777777" w:rsidR="00C33218" w:rsidRDefault="00C33218">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9979" w14:textId="7674E29D" w:rsidR="00C33218" w:rsidRPr="00D20BDB" w:rsidRDefault="009B0727" w:rsidP="00D20BDB">
    <w:pPr>
      <w:pStyle w:val="Stopka"/>
      <w:tabs>
        <w:tab w:val="clear" w:pos="4536"/>
        <w:tab w:val="clear" w:pos="9072"/>
        <w:tab w:val="left" w:pos="12474"/>
      </w:tabs>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56704" behindDoc="0" locked="0" layoutInCell="0" allowOverlap="1" wp14:anchorId="7D26959F" wp14:editId="10591B03">
              <wp:simplePos x="0" y="0"/>
              <wp:positionH relativeFrom="page">
                <wp:align>center</wp:align>
              </wp:positionH>
              <wp:positionV relativeFrom="page">
                <wp:align>bottom</wp:align>
              </wp:positionV>
              <wp:extent cx="7772400" cy="442595"/>
              <wp:effectExtent l="0" t="0" r="0" b="14605"/>
              <wp:wrapNone/>
              <wp:docPr id="7" name="MSIPCM247e4bf495b5e17e2685f1cd" descr="{&quot;HashCode&quot;:2082987499,&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7FB5A3C" w14:textId="100655B5" w:rsidR="009B0727" w:rsidRPr="009B0727" w:rsidRDefault="009B0727" w:rsidP="009B0727">
                          <w:pPr>
                            <w:jc w:val="center"/>
                            <w:rPr>
                              <w:rFonts w:ascii="Arial" w:hAnsi="Arial" w:cs="Arial"/>
                              <w:color w:val="000000"/>
                              <w:sz w:val="20"/>
                            </w:rPr>
                          </w:pPr>
                          <w:r w:rsidRPr="009B0727">
                            <w:rPr>
                              <w:rFonts w:ascii="Arial" w:hAnsi="Arial" w:cs="Arial"/>
                              <w:color w:val="000000"/>
                              <w:sz w:val="20"/>
                            </w:rPr>
                            <w:t>Internal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D26959F" id="_x0000_t202" coordsize="21600,21600" o:spt="202" path="m,l,21600r21600,l21600,xe">
              <v:stroke joinstyle="miter"/>
              <v:path gradientshapeok="t" o:connecttype="rect"/>
            </v:shapetype>
            <v:shape id="MSIPCM247e4bf495b5e17e2685f1cd" o:spid="_x0000_s1028" type="#_x0000_t202" alt="{&quot;HashCode&quot;:2082987499,&quot;Height&quot;:9999999.0,&quot;Width&quot;:9999999.0,&quot;Placement&quot;:&quot;Footer&quot;,&quot;Index&quot;:&quot;Primary&quot;,&quot;Section&quot;:4,&quot;Top&quot;:0.0,&quot;Left&quot;:0.0}" style="position:absolute;margin-left:0;margin-top:0;width:612pt;height:34.85pt;z-index:25165670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" o:allowincell="f" filled="f" stroked="f" strokeweight=".5pt">
              <v:textbox inset=",0,,0">
                <w:txbxContent>
                  <w:p w14:paraId="37FB5A3C" w14:textId="100655B5" w:rsidR="009B0727" w:rsidRPr="009B0727" w:rsidRDefault="009B0727" w:rsidP="009B0727">
                    <w:pPr>
                      <w:jc w:val="center"/>
                      <w:rPr>
                        <w:rFonts w:ascii="Arial" w:hAnsi="Arial" w:cs="Arial"/>
                        <w:color w:val="000000"/>
                        <w:sz w:val="20"/>
                      </w:rPr>
                    </w:pPr>
                    <w:r w:rsidRPr="009B0727">
                      <w:rPr>
                        <w:rFonts w:ascii="Arial" w:hAnsi="Arial" w:cs="Arial"/>
                        <w:color w:val="000000"/>
                        <w:sz w:val="20"/>
                      </w:rPr>
                      <w:t>Internal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78870" w14:textId="274A23A6" w:rsidR="00C33218" w:rsidRPr="00D20BDB" w:rsidRDefault="009B0727" w:rsidP="00D20BDB">
    <w:pPr>
      <w:pStyle w:val="Stopka"/>
      <w:tabs>
        <w:tab w:val="clear" w:pos="9072"/>
        <w:tab w:val="right" w:pos="9354"/>
      </w:tabs>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64384" behindDoc="0" locked="0" layoutInCell="0" allowOverlap="1" wp14:anchorId="62466E85" wp14:editId="16D54288">
              <wp:simplePos x="0" y="0"/>
              <wp:positionH relativeFrom="page">
                <wp:align>center</wp:align>
              </wp:positionH>
              <wp:positionV relativeFrom="page">
                <wp:align>bottom</wp:align>
              </wp:positionV>
              <wp:extent cx="7772400" cy="442595"/>
              <wp:effectExtent l="0" t="0" r="0" b="14605"/>
              <wp:wrapNone/>
              <wp:docPr id="8" name="MSIPCM44914f309c9c9a0fac524ed5" descr="{&quot;HashCode&quot;:2082987499,&quot;Height&quot;:9999999.0,&quot;Width&quot;:9999999.0,&quot;Placement&quot;:&quot;Foot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44259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02623A" w14:textId="46143842" w:rsidR="009B0727" w:rsidRPr="009B0727" w:rsidRDefault="009B0727" w:rsidP="009B0727">
                          <w:pPr>
                            <w:jc w:val="center"/>
                            <w:rPr>
                              <w:rFonts w:ascii="Arial" w:hAnsi="Arial" w:cs="Arial"/>
                              <w:color w:val="000000"/>
                              <w:sz w:val="20"/>
                            </w:rPr>
                          </w:pPr>
                          <w:r w:rsidRPr="009B0727">
                            <w:rPr>
                              <w:rFonts w:ascii="Arial" w:hAnsi="Arial" w:cs="Arial"/>
                              <w:color w:val="000000"/>
                              <w:sz w:val="20"/>
                            </w:rPr>
                            <w:t>Internal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2466E85" id="_x0000_t202" coordsize="21600,21600" o:spt="202" path="m,l,21600r21600,l21600,xe">
              <v:stroke joinstyle="miter"/>
              <v:path gradientshapeok="t" o:connecttype="rect"/>
            </v:shapetype>
            <v:shape id="MSIPCM44914f309c9c9a0fac524ed5" o:spid="_x0000_s1029" type="#_x0000_t202" alt="{&quot;HashCode&quot;:2082987499,&quot;Height&quot;:9999999.0,&quot;Width&quot;:9999999.0,&quot;Placement&quot;:&quot;Footer&quot;,&quot;Index&quot;:&quot;Primary&quot;,&quot;Section&quot;:5,&quot;Top&quot;:0.0,&quot;Left&quot;:0.0}" style="position:absolute;margin-left:0;margin-top:0;width:612pt;height:34.85pt;z-index:25166438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" o:allowincell="f" filled="f" stroked="f" strokeweight=".5pt">
              <v:textbox inset=",0,,0">
                <w:txbxContent>
                  <w:p w14:paraId="5402623A" w14:textId="46143842" w:rsidR="009B0727" w:rsidRPr="009B0727" w:rsidRDefault="009B0727" w:rsidP="009B0727">
                    <w:pPr>
                      <w:jc w:val="center"/>
                      <w:rPr>
                        <w:rFonts w:ascii="Arial" w:hAnsi="Arial" w:cs="Arial"/>
                        <w:color w:val="000000"/>
                        <w:sz w:val="20"/>
                      </w:rPr>
                    </w:pPr>
                    <w:r w:rsidRPr="009B0727">
                      <w:rPr>
                        <w:rFonts w:ascii="Arial" w:hAnsi="Arial" w:cs="Arial"/>
                        <w:color w:val="000000"/>
                        <w:sz w:val="20"/>
                      </w:rPr>
                      <w:t>Internal</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BE95D" w14:textId="77777777" w:rsidR="00C33218" w:rsidRDefault="00C33218">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7E2EA" w14:textId="77777777" w:rsidR="00C33218" w:rsidRDefault="00C33218">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E752C" w14:textId="77777777" w:rsidR="00C33218" w:rsidRDefault="00C33218">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A9DA4" w14:textId="77777777" w:rsidR="00C33218" w:rsidRDefault="00C332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36155" w14:textId="77777777" w:rsidR="00B8182A" w:rsidRDefault="00B8182A">
      <w:r>
        <w:separator/>
      </w:r>
    </w:p>
  </w:footnote>
  <w:footnote w:type="continuationSeparator" w:id="0">
    <w:p w14:paraId="6346FE10" w14:textId="77777777" w:rsidR="00B8182A" w:rsidRDefault="00B818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2359D" w14:textId="77777777" w:rsidR="00C33218" w:rsidRPr="009805C7" w:rsidRDefault="00C33218" w:rsidP="00EE68A7">
    <w:pPr>
      <w:pStyle w:val="RepPageHeader"/>
      <w:framePr w:w="2500" w:h="363" w:wrap="notBeside" w:vAnchor="text" w:hAnchor="margin" w:xAlign="right" w:yAlign="inside" w:anchorLock="1"/>
      <w:jc w:val="right"/>
      <w:rPr>
        <w:rStyle w:val="Numerstrony"/>
        <w:rFonts w:ascii="Arial" w:hAnsi="Arial" w:cs="Arial"/>
        <w:sz w:val="16"/>
        <w:szCs w:val="16"/>
      </w:rPr>
    </w:pPr>
    <w:r w:rsidRPr="009805C7">
      <w:rPr>
        <w:rFonts w:ascii="Arial" w:hAnsi="Arial" w:cs="Arial"/>
        <w:noProof/>
        <w:sz w:val="16"/>
        <w:szCs w:val="16"/>
      </w:rPr>
      <w:t xml:space="preserve">Page </w:t>
    </w:r>
    <w:r w:rsidRPr="009805C7">
      <w:rPr>
        <w:rStyle w:val="Numerstrony"/>
        <w:rFonts w:ascii="Arial" w:hAnsi="Arial" w:cs="Arial"/>
        <w:noProof/>
        <w:sz w:val="16"/>
        <w:szCs w:val="16"/>
      </w:rPr>
      <w:t xml:space="preserve"> </w:t>
    </w:r>
    <w:r w:rsidRPr="009805C7">
      <w:rPr>
        <w:rStyle w:val="Numerstrony"/>
        <w:rFonts w:ascii="Arial" w:hAnsi="Arial" w:cs="Arial"/>
        <w:noProof/>
        <w:sz w:val="16"/>
        <w:szCs w:val="16"/>
      </w:rPr>
      <w:fldChar w:fldCharType="begin"/>
    </w:r>
    <w:r w:rsidRPr="009805C7">
      <w:rPr>
        <w:rStyle w:val="Numerstrony"/>
        <w:rFonts w:ascii="Arial" w:hAnsi="Arial" w:cs="Arial"/>
        <w:noProof/>
        <w:sz w:val="16"/>
        <w:szCs w:val="16"/>
      </w:rPr>
      <w:instrText xml:space="preserve"> PAGE  \* Arabic </w:instrText>
    </w:r>
    <w:r w:rsidRPr="009805C7">
      <w:rPr>
        <w:rStyle w:val="Numerstrony"/>
        <w:rFonts w:ascii="Arial" w:hAnsi="Arial" w:cs="Arial"/>
        <w:noProof/>
        <w:sz w:val="16"/>
        <w:szCs w:val="16"/>
      </w:rPr>
      <w:fldChar w:fldCharType="separate"/>
    </w:r>
    <w:r>
      <w:rPr>
        <w:rStyle w:val="Numerstrony"/>
        <w:rFonts w:ascii="Arial" w:hAnsi="Arial" w:cs="Arial"/>
        <w:noProof/>
        <w:sz w:val="16"/>
        <w:szCs w:val="16"/>
      </w:rPr>
      <w:t>2</w:t>
    </w:r>
    <w:r w:rsidRPr="009805C7">
      <w:rPr>
        <w:rStyle w:val="Numerstrony"/>
        <w:rFonts w:ascii="Arial" w:hAnsi="Arial" w:cs="Arial"/>
        <w:noProof/>
        <w:sz w:val="16"/>
        <w:szCs w:val="16"/>
      </w:rPr>
      <w:fldChar w:fldCharType="end"/>
    </w:r>
    <w:r w:rsidRPr="009805C7">
      <w:rPr>
        <w:rStyle w:val="Numerstrony"/>
        <w:rFonts w:ascii="Arial" w:hAnsi="Arial" w:cs="Arial"/>
        <w:noProof/>
        <w:sz w:val="16"/>
        <w:szCs w:val="16"/>
      </w:rPr>
      <w:t xml:space="preserve"> /</w:t>
    </w:r>
    <w:r w:rsidRPr="009805C7">
      <w:rPr>
        <w:rStyle w:val="Numerstrony"/>
        <w:rFonts w:ascii="Arial" w:hAnsi="Arial" w:cs="Arial"/>
        <w:sz w:val="16"/>
        <w:szCs w:val="16"/>
      </w:rPr>
      <w:fldChar w:fldCharType="begin"/>
    </w:r>
    <w:r w:rsidRPr="009805C7">
      <w:rPr>
        <w:rStyle w:val="Numerstrony"/>
        <w:rFonts w:ascii="Arial" w:hAnsi="Arial" w:cs="Arial"/>
        <w:sz w:val="16"/>
        <w:szCs w:val="16"/>
      </w:rPr>
      <w:instrText xml:space="preserve"> NUMPAGES </w:instrText>
    </w:r>
    <w:r w:rsidRPr="009805C7">
      <w:rPr>
        <w:rStyle w:val="Numerstrony"/>
        <w:rFonts w:ascii="Arial" w:hAnsi="Arial" w:cs="Arial"/>
        <w:sz w:val="16"/>
        <w:szCs w:val="16"/>
      </w:rPr>
      <w:fldChar w:fldCharType="separate"/>
    </w:r>
    <w:r>
      <w:rPr>
        <w:rStyle w:val="Numerstrony"/>
        <w:rFonts w:ascii="Arial" w:hAnsi="Arial" w:cs="Arial"/>
        <w:noProof/>
        <w:sz w:val="16"/>
        <w:szCs w:val="16"/>
      </w:rPr>
      <w:t>54</w:t>
    </w:r>
    <w:r w:rsidRPr="009805C7">
      <w:rPr>
        <w:rStyle w:val="Numerstrony"/>
        <w:rFonts w:ascii="Arial" w:hAnsi="Arial" w:cs="Arial"/>
        <w:sz w:val="16"/>
        <w:szCs w:val="16"/>
      </w:rPr>
      <w:fldChar w:fldCharType="end"/>
    </w:r>
    <w:r w:rsidRPr="009805C7">
      <w:rPr>
        <w:rStyle w:val="Numerstrony"/>
        <w:rFonts w:ascii="Arial" w:hAnsi="Arial" w:cs="Arial"/>
        <w:sz w:val="16"/>
        <w:szCs w:val="16"/>
      </w:rPr>
      <w:br/>
      <w:t>Template for chemical PPP</w:t>
    </w:r>
  </w:p>
  <w:p w14:paraId="3DAFA579" w14:textId="77777777" w:rsidR="00C33218" w:rsidRPr="009805C7" w:rsidRDefault="00C33218" w:rsidP="00EE68A7">
    <w:pPr>
      <w:pStyle w:val="RepPageHeader"/>
      <w:framePr w:w="2500" w:h="363" w:wrap="notBeside" w:vAnchor="text" w:hAnchor="margin" w:xAlign="right" w:yAlign="inside" w:anchorLock="1"/>
      <w:jc w:val="right"/>
      <w:rPr>
        <w:rStyle w:val="Numerstrony"/>
        <w:rFonts w:ascii="Arial" w:hAnsi="Arial" w:cs="Arial"/>
        <w:sz w:val="16"/>
        <w:szCs w:val="16"/>
      </w:rPr>
    </w:pPr>
    <w:r w:rsidRPr="009805C7">
      <w:rPr>
        <w:rStyle w:val="Numerstrony"/>
        <w:rFonts w:ascii="Arial" w:hAnsi="Arial" w:cs="Arial"/>
        <w:sz w:val="16"/>
        <w:szCs w:val="16"/>
      </w:rPr>
      <w:t xml:space="preserve">Version </w:t>
    </w:r>
    <w:r w:rsidRPr="009805C7">
      <w:rPr>
        <w:rFonts w:ascii="Arial" w:hAnsi="Arial" w:cs="Arial"/>
        <w:sz w:val="16"/>
        <w:szCs w:val="16"/>
        <w:highlight w:val="yellow"/>
        <w:lang w:val="en-US"/>
      </w:rPr>
      <w:t xml:space="preserve">April </w:t>
    </w:r>
    <w:r w:rsidRPr="009805C7">
      <w:rPr>
        <w:rStyle w:val="Numerstrony"/>
        <w:rFonts w:ascii="Arial" w:hAnsi="Arial" w:cs="Arial"/>
        <w:sz w:val="16"/>
        <w:szCs w:val="16"/>
        <w:highlight w:val="yellow"/>
      </w:rPr>
      <w:t>2015</w:t>
    </w:r>
  </w:p>
  <w:p w14:paraId="166BD9D8" w14:textId="77777777" w:rsidR="00C33218" w:rsidRPr="009805C7" w:rsidRDefault="00C33218" w:rsidP="00D20BDB">
    <w:pPr>
      <w:pStyle w:val="RepPageHeader"/>
      <w:pBdr>
        <w:bottom w:val="single" w:sz="4" w:space="1" w:color="auto"/>
      </w:pBdr>
      <w:rPr>
        <w:rFonts w:ascii="Arial" w:hAnsi="Arial" w:cs="Arial"/>
        <w:sz w:val="16"/>
        <w:szCs w:val="16"/>
      </w:rPr>
    </w:pPr>
    <w:r>
      <w:rPr>
        <w:rFonts w:ascii="Arial" w:hAnsi="Arial" w:cs="Arial"/>
        <w:sz w:val="16"/>
        <w:szCs w:val="16"/>
        <w:lang w:val="en-US"/>
      </w:rPr>
      <w:t>BAS 736 00 F</w:t>
    </w:r>
    <w:r w:rsidRPr="009805C7">
      <w:rPr>
        <w:rFonts w:ascii="Arial" w:hAnsi="Arial" w:cs="Arial"/>
        <w:sz w:val="16"/>
        <w:szCs w:val="16"/>
      </w:rPr>
      <w:t xml:space="preserve"> / </w:t>
    </w:r>
    <w:r w:rsidRPr="009805C7">
      <w:rPr>
        <w:rFonts w:ascii="Arial" w:hAnsi="Arial" w:cs="Arial"/>
        <w:sz w:val="16"/>
        <w:szCs w:val="16"/>
        <w:highlight w:val="yellow"/>
      </w:rPr>
      <w:t>Product name</w:t>
    </w:r>
  </w:p>
  <w:p w14:paraId="4290E080" w14:textId="77777777" w:rsidR="00C33218" w:rsidRPr="009805C7" w:rsidRDefault="00C33218" w:rsidP="00473FB0">
    <w:pPr>
      <w:pStyle w:val="RepPageHeader"/>
      <w:pBdr>
        <w:bottom w:val="single" w:sz="4" w:space="1" w:color="auto"/>
      </w:pBdr>
      <w:rPr>
        <w:rFonts w:ascii="Arial" w:hAnsi="Arial" w:cs="Arial"/>
        <w:sz w:val="16"/>
        <w:szCs w:val="16"/>
      </w:rPr>
    </w:pPr>
    <w:r w:rsidRPr="009805C7">
      <w:rPr>
        <w:rFonts w:ascii="Arial" w:hAnsi="Arial" w:cs="Arial"/>
        <w:sz w:val="16"/>
        <w:szCs w:val="16"/>
      </w:rPr>
      <w:t>Part B – Section 9 - Core Assessment / National Addendum</w:t>
    </w:r>
  </w:p>
  <w:p w14:paraId="4B016EB5" w14:textId="77777777" w:rsidR="00C33218" w:rsidRPr="008F3911" w:rsidRDefault="00C33218" w:rsidP="007C4BEE">
    <w:pPr>
      <w:pStyle w:val="RepPageHeader"/>
      <w:pBdr>
        <w:bottom w:val="single" w:sz="4" w:space="1" w:color="auto"/>
      </w:pBdr>
    </w:pPr>
    <w:r w:rsidRPr="009805C7">
      <w:rPr>
        <w:rFonts w:ascii="Arial" w:hAnsi="Arial" w:cs="Arial"/>
        <w:sz w:val="16"/>
        <w:szCs w:val="16"/>
      </w:rPr>
      <w:t>Applicant/ zRMS version</w:t>
    </w:r>
  </w:p>
  <w:p w14:paraId="1100F84A" w14:textId="77777777" w:rsidR="00C33218" w:rsidRPr="008D2FEC" w:rsidRDefault="00C33218" w:rsidP="007C4BEE"/>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29B11" w14:textId="77777777" w:rsidR="00C33218" w:rsidRDefault="00C33218">
    <w:pPr>
      <w:pStyle w:val="Nagwek"/>
      <w:framePr w:wrap="around" w:vAnchor="text" w:hAnchor="margin" w:xAlign="right" w:y="1"/>
    </w:pPr>
    <w:r>
      <w:fldChar w:fldCharType="begin"/>
    </w:r>
    <w:r>
      <w:instrText xml:space="preserve">PAGE  </w:instrText>
    </w:r>
    <w:r>
      <w:fldChar w:fldCharType="separate"/>
    </w:r>
    <w:r>
      <w:rPr>
        <w:noProof/>
      </w:rPr>
      <w:t>8</w:t>
    </w:r>
    <w:r>
      <w:fldChar w:fldCharType="end"/>
    </w:r>
  </w:p>
  <w:p w14:paraId="68A3B16B" w14:textId="77777777" w:rsidR="00C33218" w:rsidRDefault="00C33218">
    <w:pPr>
      <w:pStyle w:val="Nagwek"/>
      <w:ind w:right="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77"/>
      <w:gridCol w:w="4677"/>
    </w:tblGrid>
    <w:tr w:rsidR="00C33218" w:rsidRPr="0062481A" w14:paraId="0DEAADCC" w14:textId="77777777" w:rsidTr="009938D9">
      <w:tc>
        <w:tcPr>
          <w:tcW w:w="2500" w:type="pct"/>
          <w:tcMar>
            <w:left w:w="0" w:type="dxa"/>
            <w:right w:w="0" w:type="dxa"/>
          </w:tcMar>
        </w:tcPr>
        <w:p w14:paraId="4FC9C643" w14:textId="7E026D83"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BAS 736 00 F / Miralon</w:t>
          </w:r>
        </w:p>
        <w:p w14:paraId="2789B0A5" w14:textId="77777777" w:rsidR="00C33218" w:rsidRPr="002262EA" w:rsidRDefault="00C33218" w:rsidP="00B52E7A">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Part B – Section 9 - Core Assessment</w:t>
          </w:r>
        </w:p>
        <w:p w14:paraId="302A3120" w14:textId="7726C7D5" w:rsidR="00C33218" w:rsidRPr="0062481A" w:rsidRDefault="005B3B32" w:rsidP="00B52E7A">
          <w:pPr>
            <w:pStyle w:val="RepPageHeader"/>
            <w:pBdr>
              <w:bottom w:val="single" w:sz="4" w:space="1" w:color="auto"/>
            </w:pBdr>
            <w:rPr>
              <w:rFonts w:ascii="Arial" w:hAnsi="Arial" w:cs="Arial"/>
              <w:sz w:val="16"/>
              <w:szCs w:val="16"/>
            </w:rPr>
          </w:pPr>
          <w:r>
            <w:rPr>
              <w:rFonts w:ascii="Arial" w:hAnsi="Arial" w:cs="Arial"/>
              <w:sz w:val="16"/>
              <w:szCs w:val="16"/>
            </w:rPr>
            <w:t>Version January 2023</w:t>
          </w:r>
        </w:p>
      </w:tc>
      <w:tc>
        <w:tcPr>
          <w:tcW w:w="2500" w:type="pct"/>
          <w:tcMar>
            <w:left w:w="0" w:type="dxa"/>
            <w:right w:w="0" w:type="dxa"/>
          </w:tcMar>
        </w:tcPr>
        <w:p w14:paraId="5DAB5816" w14:textId="77777777" w:rsidR="00C33218" w:rsidRPr="0062481A" w:rsidRDefault="00C3321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115F3E6E" w14:textId="77777777" w:rsidR="00C33218" w:rsidRPr="0062481A" w:rsidRDefault="00C33218" w:rsidP="00C51E58">
          <w:pPr>
            <w:pStyle w:val="RepPageHeader"/>
            <w:pBdr>
              <w:bottom w:val="single" w:sz="4" w:space="1" w:color="auto"/>
            </w:pBdr>
            <w:jc w:val="right"/>
            <w:rPr>
              <w:rFonts w:ascii="Arial" w:hAnsi="Arial" w:cs="Arial"/>
              <w:sz w:val="16"/>
              <w:szCs w:val="16"/>
            </w:rPr>
          </w:pPr>
        </w:p>
      </w:tc>
    </w:tr>
  </w:tbl>
  <w:p w14:paraId="7F1A288C" w14:textId="77777777" w:rsidR="00C33218" w:rsidRPr="008D2FEC" w:rsidRDefault="00C33218" w:rsidP="007C4BEE"/>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BEF46" w14:textId="77777777" w:rsidR="00C33218" w:rsidRDefault="00C33218">
    <w:pPr>
      <w:pStyle w:val="Nagwek"/>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77"/>
      <w:gridCol w:w="4677"/>
    </w:tblGrid>
    <w:tr w:rsidR="00C33218" w:rsidRPr="0062481A" w14:paraId="16FFDBA5" w14:textId="77777777" w:rsidTr="009938D9">
      <w:tc>
        <w:tcPr>
          <w:tcW w:w="2500" w:type="pct"/>
          <w:tcMar>
            <w:left w:w="0" w:type="dxa"/>
            <w:right w:w="0" w:type="dxa"/>
          </w:tcMar>
        </w:tcPr>
        <w:p w14:paraId="78708525" w14:textId="38DD2413"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BAS 736 00 F / Miralon</w:t>
          </w:r>
        </w:p>
        <w:p w14:paraId="0FB0CBA3" w14:textId="77777777" w:rsidR="00C33218" w:rsidRPr="002262EA" w:rsidRDefault="00C33218" w:rsidP="00B52E7A">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Part B – Section 9 - Core Assessment</w:t>
          </w:r>
        </w:p>
        <w:p w14:paraId="0C80F4F9" w14:textId="7C8268B7" w:rsidR="00C33218" w:rsidRPr="0062481A" w:rsidRDefault="005B3B32" w:rsidP="00B52E7A">
          <w:pPr>
            <w:pStyle w:val="RepPageHeader"/>
            <w:pBdr>
              <w:bottom w:val="single" w:sz="4" w:space="1" w:color="auto"/>
            </w:pBdr>
            <w:rPr>
              <w:rFonts w:ascii="Arial" w:hAnsi="Arial" w:cs="Arial"/>
              <w:sz w:val="16"/>
              <w:szCs w:val="16"/>
            </w:rPr>
          </w:pPr>
          <w:r>
            <w:rPr>
              <w:rFonts w:ascii="Arial" w:hAnsi="Arial" w:cs="Arial"/>
              <w:sz w:val="16"/>
              <w:szCs w:val="16"/>
            </w:rPr>
            <w:t>Version January 2023</w:t>
          </w:r>
        </w:p>
      </w:tc>
      <w:tc>
        <w:tcPr>
          <w:tcW w:w="2500" w:type="pct"/>
          <w:tcMar>
            <w:left w:w="0" w:type="dxa"/>
            <w:right w:w="0" w:type="dxa"/>
          </w:tcMar>
        </w:tcPr>
        <w:p w14:paraId="4A42B63E" w14:textId="77777777" w:rsidR="00C33218" w:rsidRPr="0062481A" w:rsidRDefault="00C3321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7C5654CB" w14:textId="77777777" w:rsidR="00C33218" w:rsidRPr="0062481A" w:rsidRDefault="00C33218" w:rsidP="00C51E58">
          <w:pPr>
            <w:pStyle w:val="RepPageHeader"/>
            <w:pBdr>
              <w:bottom w:val="single" w:sz="4" w:space="1" w:color="auto"/>
            </w:pBdr>
            <w:jc w:val="right"/>
            <w:rPr>
              <w:rFonts w:ascii="Arial" w:hAnsi="Arial" w:cs="Arial"/>
              <w:sz w:val="16"/>
              <w:szCs w:val="16"/>
            </w:rPr>
          </w:pPr>
        </w:p>
      </w:tc>
    </w:tr>
  </w:tbl>
  <w:p w14:paraId="709A11FE" w14:textId="77777777" w:rsidR="00C33218" w:rsidRPr="008D2FEC" w:rsidRDefault="00C33218" w:rsidP="007C4BEE"/>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D64BE" w14:textId="77777777" w:rsidR="00C33218" w:rsidRDefault="00C33218">
    <w:pPr>
      <w:pStyle w:val="Nagwek"/>
      <w:framePr w:wrap="around" w:vAnchor="text" w:hAnchor="margin" w:xAlign="right" w:y="1"/>
    </w:pPr>
    <w:r>
      <w:fldChar w:fldCharType="begin"/>
    </w:r>
    <w:r>
      <w:instrText xml:space="preserve">PAGE  </w:instrText>
    </w:r>
    <w:r>
      <w:fldChar w:fldCharType="separate"/>
    </w:r>
    <w:r>
      <w:rPr>
        <w:noProof/>
      </w:rPr>
      <w:t>8</w:t>
    </w:r>
    <w:r>
      <w:fldChar w:fldCharType="end"/>
    </w:r>
  </w:p>
  <w:p w14:paraId="75AE7389" w14:textId="77777777" w:rsidR="00C33218" w:rsidRDefault="00C33218">
    <w:pPr>
      <w:pStyle w:val="Nagwek"/>
      <w:ind w:right="36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77"/>
      <w:gridCol w:w="4677"/>
    </w:tblGrid>
    <w:tr w:rsidR="00C33218" w:rsidRPr="0062481A" w14:paraId="29B69F1E" w14:textId="77777777" w:rsidTr="009938D9">
      <w:tc>
        <w:tcPr>
          <w:tcW w:w="2500" w:type="pct"/>
          <w:tcMar>
            <w:left w:w="0" w:type="dxa"/>
            <w:right w:w="0" w:type="dxa"/>
          </w:tcMar>
        </w:tcPr>
        <w:p w14:paraId="6AA0625D" w14:textId="1F17C9CA"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BAS 736 00 F / Miralon</w:t>
          </w:r>
        </w:p>
        <w:p w14:paraId="25EA6AE5" w14:textId="1EF98D1C"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Part B – Section 9 - Core Assessment</w:t>
          </w:r>
        </w:p>
        <w:p w14:paraId="2D139641" w14:textId="2A0B7C4B" w:rsidR="00C33218" w:rsidRPr="0062481A" w:rsidRDefault="005B3B32" w:rsidP="00C51E58">
          <w:pPr>
            <w:pStyle w:val="RepPageHeader"/>
            <w:pBdr>
              <w:bottom w:val="single" w:sz="4" w:space="1" w:color="auto"/>
            </w:pBdr>
            <w:rPr>
              <w:rFonts w:ascii="Arial" w:hAnsi="Arial" w:cs="Arial"/>
              <w:sz w:val="16"/>
              <w:szCs w:val="16"/>
            </w:rPr>
          </w:pPr>
          <w:r>
            <w:rPr>
              <w:rFonts w:ascii="Arial" w:hAnsi="Arial" w:cs="Arial"/>
              <w:sz w:val="16"/>
              <w:szCs w:val="16"/>
            </w:rPr>
            <w:t>Version January 2023</w:t>
          </w:r>
        </w:p>
      </w:tc>
      <w:tc>
        <w:tcPr>
          <w:tcW w:w="2500" w:type="pct"/>
          <w:tcMar>
            <w:left w:w="0" w:type="dxa"/>
            <w:right w:w="0" w:type="dxa"/>
          </w:tcMar>
        </w:tcPr>
        <w:p w14:paraId="637804E4" w14:textId="77777777" w:rsidR="00C33218" w:rsidRPr="0062481A" w:rsidRDefault="00C3321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0E609166" w14:textId="77777777" w:rsidR="00C33218" w:rsidRPr="0062481A" w:rsidRDefault="00C33218" w:rsidP="00C51E58">
          <w:pPr>
            <w:pStyle w:val="RepPageHeader"/>
            <w:pBdr>
              <w:bottom w:val="single" w:sz="4" w:space="1" w:color="auto"/>
            </w:pBdr>
            <w:jc w:val="right"/>
            <w:rPr>
              <w:rFonts w:ascii="Arial" w:hAnsi="Arial" w:cs="Arial"/>
              <w:sz w:val="16"/>
              <w:szCs w:val="16"/>
            </w:rPr>
          </w:pPr>
        </w:p>
      </w:tc>
    </w:tr>
  </w:tbl>
  <w:p w14:paraId="5E030A0E" w14:textId="77777777" w:rsidR="00C33218" w:rsidRPr="008D2FEC" w:rsidRDefault="00C33218" w:rsidP="007C4BEE"/>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073EB" w14:textId="77777777" w:rsidR="00C33218" w:rsidRDefault="00C33218">
    <w:pPr>
      <w:pStyle w:val="Nagwek"/>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77"/>
      <w:gridCol w:w="4677"/>
    </w:tblGrid>
    <w:tr w:rsidR="00C33218" w:rsidRPr="0062481A" w14:paraId="7EE63AFA" w14:textId="77777777" w:rsidTr="009938D9">
      <w:tc>
        <w:tcPr>
          <w:tcW w:w="2500" w:type="pct"/>
          <w:tcMar>
            <w:left w:w="0" w:type="dxa"/>
            <w:right w:w="0" w:type="dxa"/>
          </w:tcMar>
        </w:tcPr>
        <w:p w14:paraId="4F22E4C7" w14:textId="71E540C4"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BAS 736 00 F / Miralon</w:t>
          </w:r>
        </w:p>
        <w:p w14:paraId="08AF7FD6" w14:textId="66A71D86"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 xml:space="preserve">Part B – Section 9 - Core Assessment </w:t>
          </w:r>
        </w:p>
        <w:p w14:paraId="4FC7EA8A" w14:textId="3053485B" w:rsidR="00C33218" w:rsidRPr="0062481A" w:rsidRDefault="005B3B32" w:rsidP="00C51E58">
          <w:pPr>
            <w:pStyle w:val="RepPageHeader"/>
            <w:pBdr>
              <w:bottom w:val="single" w:sz="4" w:space="1" w:color="auto"/>
            </w:pBdr>
            <w:rPr>
              <w:rFonts w:ascii="Arial" w:hAnsi="Arial" w:cs="Arial"/>
              <w:sz w:val="16"/>
              <w:szCs w:val="16"/>
            </w:rPr>
          </w:pPr>
          <w:r>
            <w:rPr>
              <w:rFonts w:ascii="Arial" w:hAnsi="Arial" w:cs="Arial"/>
              <w:sz w:val="16"/>
              <w:szCs w:val="16"/>
            </w:rPr>
            <w:t xml:space="preserve">Version </w:t>
          </w:r>
          <w:r w:rsidR="00AD72B5">
            <w:rPr>
              <w:rFonts w:ascii="Arial" w:hAnsi="Arial" w:cs="Arial"/>
              <w:sz w:val="16"/>
              <w:szCs w:val="16"/>
            </w:rPr>
            <w:t>January 2023</w:t>
          </w:r>
        </w:p>
      </w:tc>
      <w:tc>
        <w:tcPr>
          <w:tcW w:w="2500" w:type="pct"/>
          <w:tcMar>
            <w:left w:w="0" w:type="dxa"/>
            <w:right w:w="0" w:type="dxa"/>
          </w:tcMar>
        </w:tcPr>
        <w:p w14:paraId="437D9A02" w14:textId="77777777" w:rsidR="00C33218" w:rsidRPr="0062481A" w:rsidRDefault="00C3321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448A0B74" w14:textId="77777777" w:rsidR="00C33218" w:rsidRPr="0062481A" w:rsidRDefault="00C33218" w:rsidP="00C51E58">
          <w:pPr>
            <w:pStyle w:val="RepPageHeader"/>
            <w:pBdr>
              <w:bottom w:val="single" w:sz="4" w:space="1" w:color="auto"/>
            </w:pBdr>
            <w:jc w:val="right"/>
            <w:rPr>
              <w:rFonts w:ascii="Arial" w:hAnsi="Arial" w:cs="Arial"/>
              <w:sz w:val="16"/>
              <w:szCs w:val="16"/>
            </w:rPr>
          </w:pPr>
        </w:p>
      </w:tc>
    </w:tr>
  </w:tbl>
  <w:p w14:paraId="617180DB" w14:textId="77777777" w:rsidR="00C33218" w:rsidRPr="008D2FEC" w:rsidRDefault="00C33218" w:rsidP="007C4BEE"/>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A633A" w14:textId="77777777" w:rsidR="00C33218" w:rsidRDefault="00C33218">
    <w:pPr>
      <w:pStyle w:val="Nagwek"/>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6EA55" w14:textId="77777777" w:rsidR="00C33218" w:rsidRDefault="00C3321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EEF79" w14:textId="77777777" w:rsidR="00C33218" w:rsidRDefault="00C33218">
    <w:pPr>
      <w:pStyle w:val="Nagwek"/>
    </w:pPr>
    <w:r w:rsidRPr="00FB35D3">
      <w:rPr>
        <w:noProof/>
        <w:lang w:val="de-DE"/>
      </w:rPr>
      <w:drawing>
        <wp:anchor distT="0" distB="0" distL="114300" distR="114300" simplePos="0" relativeHeight="251656192" behindDoc="0" locked="0" layoutInCell="1" allowOverlap="1" wp14:anchorId="0E16A494" wp14:editId="48D6BF32">
          <wp:simplePos x="0" y="0"/>
          <wp:positionH relativeFrom="column">
            <wp:posOffset>4815205</wp:posOffset>
          </wp:positionH>
          <wp:positionV relativeFrom="paragraph">
            <wp:posOffset>-273050</wp:posOffset>
          </wp:positionV>
          <wp:extent cx="1310640" cy="658495"/>
          <wp:effectExtent l="0" t="0" r="0" b="0"/>
          <wp:wrapNone/>
          <wp:docPr id="1" name="Bild 3" descr="BASFw_bl45tr_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ASFw_bl45tr_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65849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EA47C" w14:textId="77777777" w:rsidR="00C33218" w:rsidRDefault="00C33218">
    <w:pPr>
      <w:pStyle w:val="Nagwek"/>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B5175" w14:textId="77777777" w:rsidR="00C33218" w:rsidRDefault="00C33218">
    <w:pPr>
      <w:pStyle w:val="Nagwek"/>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92175" w14:textId="77777777" w:rsidR="00C33218" w:rsidRDefault="00C33218">
    <w:pPr>
      <w:pStyle w:val="Nagwek"/>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37E1A" w14:textId="77777777" w:rsidR="00C33218" w:rsidRDefault="00C33218">
    <w:pPr>
      <w:pStyle w:val="Nagwek"/>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3AFE2" w14:textId="77777777" w:rsidR="00C33218" w:rsidRDefault="00C33218">
    <w:pPr>
      <w:pStyle w:val="Nagwek"/>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EAE04" w14:textId="77777777" w:rsidR="00C33218" w:rsidRDefault="00C33218">
    <w:pPr>
      <w:pStyle w:val="Nagwek"/>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77"/>
      <w:gridCol w:w="4677"/>
    </w:tblGrid>
    <w:tr w:rsidR="00C33218" w:rsidRPr="0062481A" w14:paraId="1D44772B" w14:textId="77777777" w:rsidTr="009938D9">
      <w:tc>
        <w:tcPr>
          <w:tcW w:w="2500" w:type="pct"/>
          <w:tcMar>
            <w:left w:w="0" w:type="dxa"/>
            <w:right w:w="0" w:type="dxa"/>
          </w:tcMar>
        </w:tcPr>
        <w:p w14:paraId="3C4F807D" w14:textId="50A83E2D"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BAS 736 00 F / Miralon</w:t>
          </w:r>
        </w:p>
        <w:p w14:paraId="51010164" w14:textId="7665F6D9"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Part B – Section 9 - Core Assessment</w:t>
          </w:r>
        </w:p>
        <w:p w14:paraId="2E9F4C32" w14:textId="72AFFBAE" w:rsidR="00C33218" w:rsidRPr="0062481A" w:rsidRDefault="005B3B32" w:rsidP="00C51E58">
          <w:pPr>
            <w:pStyle w:val="RepPageHeader"/>
            <w:pBdr>
              <w:bottom w:val="single" w:sz="4" w:space="1" w:color="auto"/>
            </w:pBdr>
            <w:rPr>
              <w:rFonts w:ascii="Arial" w:hAnsi="Arial" w:cs="Arial"/>
              <w:sz w:val="16"/>
              <w:szCs w:val="16"/>
            </w:rPr>
          </w:pPr>
          <w:r>
            <w:rPr>
              <w:rFonts w:ascii="Arial" w:hAnsi="Arial" w:cs="Arial"/>
              <w:sz w:val="16"/>
              <w:szCs w:val="16"/>
            </w:rPr>
            <w:t>Version January 2023</w:t>
          </w:r>
        </w:p>
      </w:tc>
      <w:tc>
        <w:tcPr>
          <w:tcW w:w="2500" w:type="pct"/>
          <w:tcMar>
            <w:left w:w="0" w:type="dxa"/>
            <w:right w:w="0" w:type="dxa"/>
          </w:tcMar>
        </w:tcPr>
        <w:p w14:paraId="303ADF19" w14:textId="77777777" w:rsidR="00C33218" w:rsidRPr="0062481A" w:rsidRDefault="00C3321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5D8DA01E" w14:textId="77777777" w:rsidR="00C33218" w:rsidRPr="0062481A" w:rsidRDefault="00C33218" w:rsidP="00C51E58">
          <w:pPr>
            <w:pStyle w:val="RepPageHeader"/>
            <w:pBdr>
              <w:bottom w:val="single" w:sz="4" w:space="1" w:color="auto"/>
            </w:pBdr>
            <w:jc w:val="right"/>
            <w:rPr>
              <w:rFonts w:ascii="Arial" w:hAnsi="Arial" w:cs="Arial"/>
              <w:sz w:val="16"/>
              <w:szCs w:val="16"/>
            </w:rPr>
          </w:pPr>
        </w:p>
      </w:tc>
    </w:tr>
  </w:tbl>
  <w:p w14:paraId="669C5F0C" w14:textId="77777777" w:rsidR="00C33218" w:rsidRPr="008D2FEC" w:rsidRDefault="00C33218" w:rsidP="007C4BEE"/>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77"/>
      <w:gridCol w:w="4677"/>
    </w:tblGrid>
    <w:tr w:rsidR="00C33218" w:rsidRPr="0062481A" w14:paraId="1947F10E" w14:textId="77777777" w:rsidTr="009938D9">
      <w:tc>
        <w:tcPr>
          <w:tcW w:w="2500" w:type="pct"/>
          <w:tcMar>
            <w:left w:w="0" w:type="dxa"/>
            <w:right w:w="0" w:type="dxa"/>
          </w:tcMar>
        </w:tcPr>
        <w:p w14:paraId="47F46F94" w14:textId="73FD4CC0"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BAS 736 00 F / Miralon</w:t>
          </w:r>
        </w:p>
        <w:p w14:paraId="07694BC6" w14:textId="1D84E703"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Part B – Section 9 - Core Assessment</w:t>
          </w:r>
        </w:p>
        <w:p w14:paraId="6D8C9796" w14:textId="4D0D2CD4" w:rsidR="00C33218" w:rsidRPr="0062481A" w:rsidRDefault="005B3B32" w:rsidP="00C51E58">
          <w:pPr>
            <w:pStyle w:val="RepPageHeader"/>
            <w:pBdr>
              <w:bottom w:val="single" w:sz="4" w:space="1" w:color="auto"/>
            </w:pBdr>
            <w:rPr>
              <w:rFonts w:ascii="Arial" w:hAnsi="Arial" w:cs="Arial"/>
              <w:sz w:val="16"/>
              <w:szCs w:val="16"/>
            </w:rPr>
          </w:pPr>
          <w:r>
            <w:rPr>
              <w:rFonts w:ascii="Arial" w:hAnsi="Arial" w:cs="Arial"/>
              <w:sz w:val="16"/>
              <w:szCs w:val="16"/>
            </w:rPr>
            <w:t>Version January 2023</w:t>
          </w:r>
        </w:p>
      </w:tc>
      <w:tc>
        <w:tcPr>
          <w:tcW w:w="2500" w:type="pct"/>
          <w:tcMar>
            <w:left w:w="0" w:type="dxa"/>
            <w:right w:w="0" w:type="dxa"/>
          </w:tcMar>
        </w:tcPr>
        <w:p w14:paraId="45A03939" w14:textId="77777777" w:rsidR="00C33218" w:rsidRPr="0062481A" w:rsidRDefault="00C3321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2EC0108E" w14:textId="77777777" w:rsidR="00C33218" w:rsidRPr="0062481A" w:rsidRDefault="00C33218" w:rsidP="00C51E58">
          <w:pPr>
            <w:pStyle w:val="RepPageHeader"/>
            <w:pBdr>
              <w:bottom w:val="single" w:sz="4" w:space="1" w:color="auto"/>
            </w:pBdr>
            <w:jc w:val="right"/>
            <w:rPr>
              <w:rFonts w:ascii="Arial" w:hAnsi="Arial" w:cs="Arial"/>
              <w:sz w:val="16"/>
              <w:szCs w:val="16"/>
            </w:rPr>
          </w:pPr>
        </w:p>
      </w:tc>
    </w:tr>
  </w:tbl>
  <w:p w14:paraId="77F754EA" w14:textId="77777777" w:rsidR="00C33218" w:rsidRPr="008D2FEC" w:rsidRDefault="00C33218" w:rsidP="007C4BEE"/>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AC8AA" w14:textId="77777777" w:rsidR="00C33218" w:rsidRDefault="00C33218">
    <w:pPr>
      <w:pStyle w:val="Nagwek"/>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C492A" w14:textId="77777777" w:rsidR="00C33218" w:rsidRDefault="00C3321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77"/>
      <w:gridCol w:w="4677"/>
    </w:tblGrid>
    <w:tr w:rsidR="00C33218" w:rsidRPr="0062481A" w14:paraId="381379CC" w14:textId="77777777" w:rsidTr="007872A7">
      <w:tc>
        <w:tcPr>
          <w:tcW w:w="2500" w:type="pct"/>
          <w:tcMar>
            <w:left w:w="0" w:type="dxa"/>
            <w:right w:w="0" w:type="dxa"/>
          </w:tcMar>
        </w:tcPr>
        <w:p w14:paraId="5C72B9AD" w14:textId="1BBC41F9" w:rsidR="00C33218" w:rsidRPr="002262EA" w:rsidRDefault="00C33218" w:rsidP="002C74B7">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BAS 736 00 F / Miralon</w:t>
          </w:r>
        </w:p>
        <w:p w14:paraId="384A0BCC" w14:textId="40E17B55" w:rsidR="00C33218" w:rsidRPr="002262EA" w:rsidRDefault="00C33218" w:rsidP="002C74B7">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Part B – Section 9 - Core Assessment</w:t>
          </w:r>
        </w:p>
        <w:p w14:paraId="0BB364CF" w14:textId="1CA29AFA" w:rsidR="00C33218" w:rsidRPr="0062481A" w:rsidRDefault="00CF56F1" w:rsidP="002C74B7">
          <w:pPr>
            <w:pStyle w:val="RepPageHeader"/>
            <w:pBdr>
              <w:bottom w:val="single" w:sz="4" w:space="1" w:color="auto"/>
            </w:pBdr>
            <w:rPr>
              <w:rFonts w:ascii="Arial" w:hAnsi="Arial" w:cs="Arial"/>
              <w:sz w:val="16"/>
              <w:szCs w:val="16"/>
            </w:rPr>
          </w:pPr>
          <w:r>
            <w:rPr>
              <w:rFonts w:ascii="Arial" w:hAnsi="Arial" w:cs="Arial"/>
              <w:sz w:val="16"/>
              <w:szCs w:val="16"/>
            </w:rPr>
            <w:t>V</w:t>
          </w:r>
          <w:r w:rsidRPr="00E07B40">
            <w:rPr>
              <w:rFonts w:ascii="Arial" w:hAnsi="Arial" w:cs="Arial"/>
              <w:sz w:val="16"/>
              <w:szCs w:val="16"/>
            </w:rPr>
            <w:t>ersion</w:t>
          </w:r>
          <w:r>
            <w:rPr>
              <w:rFonts w:ascii="Arial" w:hAnsi="Arial" w:cs="Arial"/>
              <w:sz w:val="16"/>
              <w:szCs w:val="16"/>
            </w:rPr>
            <w:t xml:space="preserve"> </w:t>
          </w:r>
          <w:r w:rsidR="00F16CBD">
            <w:rPr>
              <w:rFonts w:ascii="Arial" w:hAnsi="Arial" w:cs="Arial"/>
              <w:sz w:val="16"/>
              <w:szCs w:val="16"/>
            </w:rPr>
            <w:t>January 2023</w:t>
          </w:r>
        </w:p>
      </w:tc>
      <w:tc>
        <w:tcPr>
          <w:tcW w:w="2500" w:type="pct"/>
          <w:tcMar>
            <w:left w:w="0" w:type="dxa"/>
            <w:right w:w="0" w:type="dxa"/>
          </w:tcMar>
        </w:tcPr>
        <w:p w14:paraId="7C2F088D" w14:textId="77777777" w:rsidR="00C33218" w:rsidRPr="0062481A" w:rsidRDefault="00C3321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336801A2" w14:textId="77777777" w:rsidR="00C33218" w:rsidRPr="0062481A" w:rsidRDefault="00C33218" w:rsidP="002C74B7">
          <w:pPr>
            <w:pStyle w:val="RepPageHeader"/>
            <w:pBdr>
              <w:bottom w:val="single" w:sz="4" w:space="1" w:color="auto"/>
            </w:pBdr>
            <w:jc w:val="right"/>
            <w:rPr>
              <w:rFonts w:ascii="Arial" w:hAnsi="Arial" w:cs="Arial"/>
              <w:sz w:val="16"/>
              <w:szCs w:val="16"/>
            </w:rPr>
          </w:pPr>
        </w:p>
      </w:tc>
    </w:tr>
  </w:tbl>
  <w:p w14:paraId="5E3447B2" w14:textId="77777777" w:rsidR="00C33218" w:rsidRPr="008D2FEC" w:rsidRDefault="00C33218" w:rsidP="007C4BEE"/>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946" w14:textId="77777777" w:rsidR="00C33218" w:rsidRDefault="00C33218">
    <w:pPr>
      <w:pStyle w:val="Nagwek"/>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32998" w14:textId="77777777" w:rsidR="00C33218" w:rsidRDefault="00C33218">
    <w:pPr>
      <w:pStyle w:val="Nagwek"/>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4D9B7" w14:textId="77777777" w:rsidR="00C33218" w:rsidRDefault="00C33218">
    <w:pPr>
      <w:pStyle w:val="Nagwek"/>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415C9" w14:textId="77777777" w:rsidR="00C33218" w:rsidRDefault="00C33218">
    <w:pPr>
      <w:pStyle w:val="Nagwek"/>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C9B52" w14:textId="77777777" w:rsidR="00C33218" w:rsidRDefault="00C33218">
    <w:pPr>
      <w:pStyle w:val="Nagwek"/>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3F2CF" w14:textId="77777777" w:rsidR="00C33218" w:rsidRDefault="00C33218">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77"/>
      <w:gridCol w:w="4677"/>
    </w:tblGrid>
    <w:tr w:rsidR="00C33218" w:rsidRPr="0062481A" w14:paraId="7EA2F76E" w14:textId="77777777" w:rsidTr="007872A7">
      <w:tc>
        <w:tcPr>
          <w:tcW w:w="2500" w:type="pct"/>
          <w:tcMar>
            <w:left w:w="0" w:type="dxa"/>
            <w:right w:w="0" w:type="dxa"/>
          </w:tcMar>
        </w:tcPr>
        <w:p w14:paraId="6DF94361" w14:textId="78860516"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BAS 736 00 F / Miralon</w:t>
          </w:r>
        </w:p>
        <w:p w14:paraId="0E9AC71E" w14:textId="16A257D2"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Part B – Section 9 - Core Assessment</w:t>
          </w:r>
        </w:p>
        <w:p w14:paraId="62D58C82" w14:textId="2AD71FF1" w:rsidR="00C33218" w:rsidRPr="0062481A" w:rsidRDefault="00B70D0A" w:rsidP="00C51E58">
          <w:pPr>
            <w:pStyle w:val="RepPageHeader"/>
            <w:pBdr>
              <w:bottom w:val="single" w:sz="4" w:space="1" w:color="auto"/>
            </w:pBdr>
            <w:rPr>
              <w:rFonts w:ascii="Arial" w:hAnsi="Arial" w:cs="Arial"/>
              <w:sz w:val="16"/>
              <w:szCs w:val="16"/>
            </w:rPr>
          </w:pPr>
          <w:r>
            <w:rPr>
              <w:rFonts w:ascii="Arial" w:hAnsi="Arial" w:cs="Arial"/>
              <w:sz w:val="16"/>
              <w:szCs w:val="16"/>
            </w:rPr>
            <w:t>January 2023</w:t>
          </w:r>
        </w:p>
      </w:tc>
      <w:tc>
        <w:tcPr>
          <w:tcW w:w="2500" w:type="pct"/>
          <w:tcMar>
            <w:left w:w="0" w:type="dxa"/>
            <w:right w:w="0" w:type="dxa"/>
          </w:tcMar>
        </w:tcPr>
        <w:p w14:paraId="357C436D" w14:textId="77777777" w:rsidR="00C33218" w:rsidRPr="0062481A" w:rsidRDefault="00C3321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7B336B29" w14:textId="77777777" w:rsidR="00C33218" w:rsidRPr="0062481A" w:rsidRDefault="00C33218" w:rsidP="00C51E58">
          <w:pPr>
            <w:pStyle w:val="RepPageHeader"/>
            <w:pBdr>
              <w:bottom w:val="single" w:sz="4" w:space="1" w:color="auto"/>
            </w:pBdr>
            <w:jc w:val="right"/>
            <w:rPr>
              <w:rFonts w:ascii="Arial" w:hAnsi="Arial" w:cs="Arial"/>
              <w:sz w:val="16"/>
              <w:szCs w:val="16"/>
            </w:rPr>
          </w:pPr>
        </w:p>
      </w:tc>
    </w:tr>
  </w:tbl>
  <w:p w14:paraId="4CFB3AC2" w14:textId="77777777" w:rsidR="00C33218" w:rsidRPr="008D2FEC" w:rsidRDefault="00C33218" w:rsidP="007C4BE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77"/>
      <w:gridCol w:w="4677"/>
    </w:tblGrid>
    <w:tr w:rsidR="00C33218" w:rsidRPr="0062481A" w14:paraId="576A70CD" w14:textId="77777777" w:rsidTr="007872A7">
      <w:tc>
        <w:tcPr>
          <w:tcW w:w="2500" w:type="pct"/>
          <w:tcMar>
            <w:left w:w="0" w:type="dxa"/>
            <w:right w:w="0" w:type="dxa"/>
          </w:tcMar>
        </w:tcPr>
        <w:p w14:paraId="3852EFE7" w14:textId="15843747" w:rsidR="00C33218" w:rsidRPr="002262EA" w:rsidRDefault="00C33218" w:rsidP="00C51E58">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BAS 736 00 F / Miralon</w:t>
          </w:r>
        </w:p>
        <w:p w14:paraId="7ED906F9" w14:textId="77777777" w:rsidR="00C33218" w:rsidRPr="002262EA" w:rsidRDefault="00C33218" w:rsidP="00B52E7A">
          <w:pPr>
            <w:pStyle w:val="RepPageHeader"/>
            <w:pBdr>
              <w:bottom w:val="single" w:sz="4" w:space="1" w:color="auto"/>
            </w:pBdr>
            <w:rPr>
              <w:rFonts w:ascii="Arial" w:hAnsi="Arial" w:cs="Arial"/>
              <w:sz w:val="16"/>
              <w:szCs w:val="16"/>
              <w:lang w:val="fr-BE"/>
            </w:rPr>
          </w:pPr>
          <w:r w:rsidRPr="002262EA">
            <w:rPr>
              <w:rFonts w:ascii="Arial" w:hAnsi="Arial" w:cs="Arial"/>
              <w:sz w:val="16"/>
              <w:szCs w:val="16"/>
              <w:lang w:val="fr-BE"/>
            </w:rPr>
            <w:t>Part B – Section 9 - Core Assessment</w:t>
          </w:r>
        </w:p>
        <w:p w14:paraId="4A49D5AB" w14:textId="7E30180A" w:rsidR="00C33218" w:rsidRPr="0062481A" w:rsidRDefault="005B3B32" w:rsidP="00B52E7A">
          <w:pPr>
            <w:pStyle w:val="RepPageHeader"/>
            <w:pBdr>
              <w:bottom w:val="single" w:sz="4" w:space="1" w:color="auto"/>
            </w:pBdr>
            <w:rPr>
              <w:rFonts w:ascii="Arial" w:hAnsi="Arial" w:cs="Arial"/>
              <w:sz w:val="16"/>
              <w:szCs w:val="16"/>
            </w:rPr>
          </w:pPr>
          <w:r>
            <w:rPr>
              <w:rFonts w:ascii="Arial" w:hAnsi="Arial" w:cs="Arial"/>
              <w:sz w:val="16"/>
              <w:szCs w:val="16"/>
            </w:rPr>
            <w:t>Version January 2023</w:t>
          </w:r>
        </w:p>
      </w:tc>
      <w:tc>
        <w:tcPr>
          <w:tcW w:w="2500" w:type="pct"/>
          <w:tcMar>
            <w:left w:w="0" w:type="dxa"/>
            <w:right w:w="0" w:type="dxa"/>
          </w:tcMar>
        </w:tcPr>
        <w:p w14:paraId="0D96D651" w14:textId="77777777" w:rsidR="00C33218" w:rsidRPr="0062481A" w:rsidRDefault="00C33218" w:rsidP="00C51E58">
          <w:pPr>
            <w:pStyle w:val="RepPageHeader"/>
            <w:pBdr>
              <w:bottom w:val="single" w:sz="4" w:space="1" w:color="auto"/>
            </w:pBdr>
            <w:jc w:val="right"/>
            <w:rPr>
              <w:rFonts w:ascii="Arial" w:hAnsi="Arial" w:cs="Arial"/>
              <w:sz w:val="16"/>
              <w:szCs w:val="16"/>
            </w:rPr>
          </w:pPr>
          <w:r w:rsidRPr="00EB7FF8">
            <w:rPr>
              <w:rFonts w:ascii="Arial" w:hAnsi="Arial" w:cs="Arial"/>
              <w:noProof/>
              <w:sz w:val="16"/>
              <w:szCs w:val="16"/>
            </w:rPr>
            <w:t>Page</w:t>
          </w:r>
          <w:r w:rsidRPr="00EB7FF8">
            <w:rPr>
              <w:rStyle w:val="Numerstrony"/>
              <w:rFonts w:ascii="Arial" w:hAnsi="Arial" w:cs="Arial"/>
              <w:noProof/>
              <w:sz w:val="16"/>
              <w:szCs w:val="16"/>
            </w:rPr>
            <w:t xml:space="preserve"> </w:t>
          </w:r>
          <w:r w:rsidRPr="00EB7FF8">
            <w:rPr>
              <w:rStyle w:val="Numerstrony"/>
              <w:rFonts w:ascii="Arial" w:hAnsi="Arial" w:cs="Arial"/>
              <w:noProof/>
              <w:sz w:val="16"/>
              <w:szCs w:val="16"/>
            </w:rPr>
            <w:fldChar w:fldCharType="begin"/>
          </w:r>
          <w:r w:rsidRPr="00EB7FF8">
            <w:rPr>
              <w:rStyle w:val="Numerstrony"/>
              <w:rFonts w:ascii="Arial" w:hAnsi="Arial" w:cs="Arial"/>
              <w:noProof/>
              <w:sz w:val="16"/>
              <w:szCs w:val="16"/>
            </w:rPr>
            <w:instrText xml:space="preserve"> PAGE  \* Arabic </w:instrText>
          </w:r>
          <w:r w:rsidRPr="00EB7FF8">
            <w:rPr>
              <w:rStyle w:val="Numerstrony"/>
              <w:rFonts w:ascii="Arial" w:hAnsi="Arial" w:cs="Arial"/>
              <w:noProof/>
              <w:sz w:val="16"/>
              <w:szCs w:val="16"/>
            </w:rPr>
            <w:fldChar w:fldCharType="separate"/>
          </w:r>
          <w:r>
            <w:rPr>
              <w:rStyle w:val="Numerstrony"/>
              <w:rFonts w:ascii="Arial" w:hAnsi="Arial" w:cs="Arial"/>
              <w:noProof/>
              <w:sz w:val="16"/>
              <w:szCs w:val="16"/>
            </w:rPr>
            <w:t>6</w:t>
          </w:r>
          <w:r w:rsidRPr="00EB7FF8">
            <w:rPr>
              <w:rStyle w:val="Numerstrony"/>
              <w:rFonts w:ascii="Arial" w:hAnsi="Arial" w:cs="Arial"/>
              <w:noProof/>
              <w:sz w:val="16"/>
              <w:szCs w:val="16"/>
            </w:rPr>
            <w:fldChar w:fldCharType="end"/>
          </w:r>
          <w:r w:rsidRPr="00EB7FF8">
            <w:rPr>
              <w:rStyle w:val="Numerstrony"/>
              <w:rFonts w:ascii="Arial" w:hAnsi="Arial" w:cs="Arial"/>
              <w:noProof/>
              <w:sz w:val="16"/>
              <w:szCs w:val="16"/>
            </w:rPr>
            <w:t xml:space="preserve"> /</w:t>
          </w:r>
          <w:r w:rsidRPr="00EB7FF8">
            <w:rPr>
              <w:rStyle w:val="Numerstrony"/>
              <w:rFonts w:ascii="Arial" w:hAnsi="Arial" w:cs="Arial"/>
              <w:sz w:val="16"/>
              <w:szCs w:val="16"/>
            </w:rPr>
            <w:fldChar w:fldCharType="begin"/>
          </w:r>
          <w:r w:rsidRPr="00EB7FF8">
            <w:rPr>
              <w:rStyle w:val="Numerstrony"/>
              <w:rFonts w:ascii="Arial" w:hAnsi="Arial" w:cs="Arial"/>
              <w:sz w:val="16"/>
              <w:szCs w:val="16"/>
            </w:rPr>
            <w:instrText xml:space="preserve"> NUMPAGES </w:instrText>
          </w:r>
          <w:r w:rsidRPr="00EB7FF8">
            <w:rPr>
              <w:rStyle w:val="Numerstrony"/>
              <w:rFonts w:ascii="Arial" w:hAnsi="Arial" w:cs="Arial"/>
              <w:sz w:val="16"/>
              <w:szCs w:val="16"/>
            </w:rPr>
            <w:fldChar w:fldCharType="separate"/>
          </w:r>
          <w:r>
            <w:rPr>
              <w:rStyle w:val="Numerstrony"/>
              <w:rFonts w:ascii="Arial" w:hAnsi="Arial" w:cs="Arial"/>
              <w:noProof/>
              <w:sz w:val="16"/>
              <w:szCs w:val="16"/>
            </w:rPr>
            <w:t>56</w:t>
          </w:r>
          <w:r w:rsidRPr="00EB7FF8">
            <w:rPr>
              <w:rStyle w:val="Numerstrony"/>
              <w:rFonts w:ascii="Arial" w:hAnsi="Arial" w:cs="Arial"/>
              <w:sz w:val="16"/>
              <w:szCs w:val="16"/>
            </w:rPr>
            <w:fldChar w:fldCharType="end"/>
          </w:r>
          <w:r w:rsidRPr="00EB7FF8">
            <w:rPr>
              <w:rStyle w:val="Numerstrony"/>
              <w:rFonts w:ascii="Arial" w:hAnsi="Arial" w:cs="Arial"/>
              <w:sz w:val="16"/>
              <w:szCs w:val="16"/>
            </w:rPr>
            <w:br/>
          </w:r>
        </w:p>
        <w:p w14:paraId="6EA8A90E" w14:textId="77777777" w:rsidR="00C33218" w:rsidRPr="0062481A" w:rsidRDefault="00C33218" w:rsidP="00C51E58">
          <w:pPr>
            <w:pStyle w:val="RepPageHeader"/>
            <w:pBdr>
              <w:bottom w:val="single" w:sz="4" w:space="1" w:color="auto"/>
            </w:pBdr>
            <w:jc w:val="right"/>
            <w:rPr>
              <w:rFonts w:ascii="Arial" w:hAnsi="Arial" w:cs="Arial"/>
              <w:sz w:val="16"/>
              <w:szCs w:val="16"/>
            </w:rPr>
          </w:pPr>
        </w:p>
      </w:tc>
    </w:tr>
  </w:tbl>
  <w:p w14:paraId="297645E9" w14:textId="77777777" w:rsidR="00C33218" w:rsidRPr="008D2FEC" w:rsidRDefault="00C33218" w:rsidP="007C4BE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BAA41" w14:textId="77777777" w:rsidR="00C33218" w:rsidRDefault="00C33218">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D5204" w14:textId="77777777" w:rsidR="00C33218" w:rsidRDefault="00C33218">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81071" w14:textId="77777777" w:rsidR="00C33218" w:rsidRDefault="00C33218">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1B061" w14:textId="77777777" w:rsidR="00C33218" w:rsidRDefault="00C332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D94486"/>
    <w:multiLevelType w:val="multilevel"/>
    <w:tmpl w:val="C4B61AA0"/>
    <w:lvl w:ilvl="0">
      <w:start w:val="9"/>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decimal"/>
      <w:pStyle w:val="Nagwek5"/>
      <w:lvlText w:val="%1.%2.%3.%4.%5"/>
      <w:lvlJc w:val="left"/>
      <w:pPr>
        <w:tabs>
          <w:tab w:val="num" w:pos="1418"/>
        </w:tabs>
        <w:ind w:left="1418" w:hanging="1418"/>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3E35202"/>
    <w:multiLevelType w:val="multilevel"/>
    <w:tmpl w:val="FA7298AC"/>
    <w:lvl w:ilvl="0">
      <w:start w:val="2"/>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ascii="Times New Roman" w:hAnsi="Times New Roman"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5D01B62"/>
    <w:multiLevelType w:val="hybridMultilevel"/>
    <w:tmpl w:val="7A7437A2"/>
    <w:lvl w:ilvl="0" w:tplc="BC187290">
      <w:start w:val="104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1E6A6F85"/>
    <w:multiLevelType w:val="multilevel"/>
    <w:tmpl w:val="D1B6AA6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ED756FD"/>
    <w:multiLevelType w:val="hybridMultilevel"/>
    <w:tmpl w:val="6E484112"/>
    <w:lvl w:ilvl="0" w:tplc="6A7C7720">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2" w15:restartNumberingAfterBreak="0">
    <w:nsid w:val="295F6A85"/>
    <w:multiLevelType w:val="hybridMultilevel"/>
    <w:tmpl w:val="82CE8650"/>
    <w:lvl w:ilvl="0" w:tplc="4DE472B0">
      <w:start w:val="1"/>
      <w:numFmt w:val="bullet"/>
      <w:lvlRestart w:val="0"/>
      <w:pStyle w:val="RepBullet2"/>
      <w:lvlText w:val="o"/>
      <w:lvlJc w:val="left"/>
      <w:pPr>
        <w:tabs>
          <w:tab w:val="num" w:pos="1417"/>
        </w:tabs>
        <w:ind w:left="1417"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2CFE3C5C"/>
    <w:multiLevelType w:val="hybridMultilevel"/>
    <w:tmpl w:val="A116538C"/>
    <w:lvl w:ilvl="0" w:tplc="FFFFFFFF">
      <w:start w:val="1"/>
      <w:numFmt w:val="decimal"/>
      <w:lvlText w:val="A.3.%1 "/>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3A3E36"/>
    <w:multiLevelType w:val="hybridMultilevel"/>
    <w:tmpl w:val="F4A054D8"/>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3A62A7"/>
    <w:multiLevelType w:val="hybridMultilevel"/>
    <w:tmpl w:val="C59A1EB0"/>
    <w:name w:val="dRRAppendix3322222222222222"/>
    <w:lvl w:ilvl="0" w:tplc="957E6806">
      <w:start w:val="1"/>
      <w:numFmt w:val="bullet"/>
      <w:lvlText w:val="-"/>
      <w:lvlJc w:val="left"/>
      <w:pPr>
        <w:ind w:left="720" w:hanging="360"/>
      </w:pPr>
      <w:rPr>
        <w:rFonts w:ascii="Times New Roman" w:eastAsia="Times New Roman" w:hAnsi="Times New Roman" w:cs="Times New Roman" w:hint="default"/>
      </w:rPr>
    </w:lvl>
    <w:lvl w:ilvl="1" w:tplc="238C391E" w:tentative="1">
      <w:start w:val="1"/>
      <w:numFmt w:val="bullet"/>
      <w:lvlText w:val="o"/>
      <w:lvlJc w:val="left"/>
      <w:pPr>
        <w:ind w:left="1440" w:hanging="360"/>
      </w:pPr>
      <w:rPr>
        <w:rFonts w:ascii="Courier New" w:hAnsi="Courier New" w:cs="Courier New" w:hint="default"/>
      </w:rPr>
    </w:lvl>
    <w:lvl w:ilvl="2" w:tplc="945AC51A" w:tentative="1">
      <w:start w:val="1"/>
      <w:numFmt w:val="bullet"/>
      <w:lvlText w:val=""/>
      <w:lvlJc w:val="left"/>
      <w:pPr>
        <w:ind w:left="2160" w:hanging="360"/>
      </w:pPr>
      <w:rPr>
        <w:rFonts w:ascii="Wingdings" w:hAnsi="Wingdings" w:hint="default"/>
      </w:rPr>
    </w:lvl>
    <w:lvl w:ilvl="3" w:tplc="EE303C4A" w:tentative="1">
      <w:start w:val="1"/>
      <w:numFmt w:val="bullet"/>
      <w:lvlText w:val=""/>
      <w:lvlJc w:val="left"/>
      <w:pPr>
        <w:ind w:left="2880" w:hanging="360"/>
      </w:pPr>
      <w:rPr>
        <w:rFonts w:ascii="Symbol" w:hAnsi="Symbol" w:hint="default"/>
      </w:rPr>
    </w:lvl>
    <w:lvl w:ilvl="4" w:tplc="690E95FE" w:tentative="1">
      <w:start w:val="1"/>
      <w:numFmt w:val="bullet"/>
      <w:lvlText w:val="o"/>
      <w:lvlJc w:val="left"/>
      <w:pPr>
        <w:ind w:left="3600" w:hanging="360"/>
      </w:pPr>
      <w:rPr>
        <w:rFonts w:ascii="Courier New" w:hAnsi="Courier New" w:cs="Courier New" w:hint="default"/>
      </w:rPr>
    </w:lvl>
    <w:lvl w:ilvl="5" w:tplc="BDC81DC0" w:tentative="1">
      <w:start w:val="1"/>
      <w:numFmt w:val="bullet"/>
      <w:lvlText w:val=""/>
      <w:lvlJc w:val="left"/>
      <w:pPr>
        <w:ind w:left="4320" w:hanging="360"/>
      </w:pPr>
      <w:rPr>
        <w:rFonts w:ascii="Wingdings" w:hAnsi="Wingdings" w:hint="default"/>
      </w:rPr>
    </w:lvl>
    <w:lvl w:ilvl="6" w:tplc="9A567006" w:tentative="1">
      <w:start w:val="1"/>
      <w:numFmt w:val="bullet"/>
      <w:lvlText w:val=""/>
      <w:lvlJc w:val="left"/>
      <w:pPr>
        <w:ind w:left="5040" w:hanging="360"/>
      </w:pPr>
      <w:rPr>
        <w:rFonts w:ascii="Symbol" w:hAnsi="Symbol" w:hint="default"/>
      </w:rPr>
    </w:lvl>
    <w:lvl w:ilvl="7" w:tplc="34AE52BA" w:tentative="1">
      <w:start w:val="1"/>
      <w:numFmt w:val="bullet"/>
      <w:lvlText w:val="o"/>
      <w:lvlJc w:val="left"/>
      <w:pPr>
        <w:ind w:left="5760" w:hanging="360"/>
      </w:pPr>
      <w:rPr>
        <w:rFonts w:ascii="Courier New" w:hAnsi="Courier New" w:cs="Courier New" w:hint="default"/>
      </w:rPr>
    </w:lvl>
    <w:lvl w:ilvl="8" w:tplc="098A631C" w:tentative="1">
      <w:start w:val="1"/>
      <w:numFmt w:val="bullet"/>
      <w:lvlText w:val=""/>
      <w:lvlJc w:val="left"/>
      <w:pPr>
        <w:ind w:left="6480" w:hanging="360"/>
      </w:pPr>
      <w:rPr>
        <w:rFonts w:ascii="Wingdings" w:hAnsi="Wingdings" w:hint="default"/>
      </w:rPr>
    </w:lvl>
  </w:abstractNum>
  <w:abstractNum w:abstractNumId="16" w15:restartNumberingAfterBreak="0">
    <w:nsid w:val="30F1571F"/>
    <w:multiLevelType w:val="multilevel"/>
    <w:tmpl w:val="04070025"/>
    <w:name w:val="dRRAppendix33222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5B92F7D"/>
    <w:multiLevelType w:val="hybridMultilevel"/>
    <w:tmpl w:val="625AA0D2"/>
    <w:lvl w:ilvl="0" w:tplc="0409000B">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9D305F"/>
    <w:multiLevelType w:val="hybridMultilevel"/>
    <w:tmpl w:val="D7267FDA"/>
    <w:lvl w:ilvl="0" w:tplc="E1C01246">
      <w:start w:val="1"/>
      <w:numFmt w:val="bullet"/>
      <w:lvlRestart w:val="0"/>
      <w:pStyle w:val="RepBullet3"/>
      <w:lvlText w:val=""/>
      <w:lvlJc w:val="left"/>
      <w:pPr>
        <w:tabs>
          <w:tab w:val="num" w:pos="1985"/>
        </w:tabs>
        <w:ind w:left="198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9" w15:restartNumberingAfterBreak="0">
    <w:nsid w:val="3AA627A7"/>
    <w:multiLevelType w:val="hybridMultilevel"/>
    <w:tmpl w:val="E11A41BA"/>
    <w:lvl w:ilvl="0" w:tplc="639247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295657"/>
    <w:multiLevelType w:val="multilevel"/>
    <w:tmpl w:val="F956F364"/>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BAA376F"/>
    <w:multiLevelType w:val="hybridMultilevel"/>
    <w:tmpl w:val="6FB4E292"/>
    <w:name w:val="dRRAppendix33222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8A3F46"/>
    <w:multiLevelType w:val="hybridMultilevel"/>
    <w:tmpl w:val="304EA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EC1C87"/>
    <w:multiLevelType w:val="hybridMultilevel"/>
    <w:tmpl w:val="016E14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985225CE">
      <w:start w:val="1"/>
      <w:numFmt w:val="decimal"/>
      <w:lvlText w:val="%5."/>
      <w:lvlJc w:val="left"/>
      <w:pPr>
        <w:ind w:left="3600" w:hanging="360"/>
      </w:pPr>
      <w:rPr>
        <w:rFonts w:hint="default"/>
      </w:r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E653427"/>
    <w:multiLevelType w:val="hybridMultilevel"/>
    <w:tmpl w:val="06B47DA4"/>
    <w:lvl w:ilvl="0" w:tplc="0C7E8056">
      <w:start w:val="1"/>
      <w:numFmt w:val="bullet"/>
      <w:lvlText w:val="-"/>
      <w:lvlJc w:val="left"/>
      <w:pPr>
        <w:ind w:left="720" w:hanging="360"/>
      </w:pPr>
      <w:rPr>
        <w:rFonts w:ascii="Times New Roman" w:hAnsi="Times New Roman"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23330A8"/>
    <w:multiLevelType w:val="multilevel"/>
    <w:tmpl w:val="C9C2939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8A0363F"/>
    <w:multiLevelType w:val="multilevel"/>
    <w:tmpl w:val="46E87F34"/>
    <w:name w:val="dRRAppendix33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8" w15:restartNumberingAfterBreak="0">
    <w:nsid w:val="59001D16"/>
    <w:multiLevelType w:val="hybridMultilevel"/>
    <w:tmpl w:val="88D4BF50"/>
    <w:lvl w:ilvl="0" w:tplc="03423F80">
      <w:start w:val="1"/>
      <w:numFmt w:val="decimal"/>
      <w:lvlText w:val="%1"/>
      <w:lvlJc w:val="left"/>
      <w:pPr>
        <w:ind w:left="705" w:hanging="705"/>
      </w:pPr>
      <w:rPr>
        <w:vertAlign w:val="superscrip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9" w15:restartNumberingAfterBreak="0">
    <w:nsid w:val="5C3401B0"/>
    <w:multiLevelType w:val="hybridMultilevel"/>
    <w:tmpl w:val="CD1C2D5A"/>
    <w:name w:val="dRRAppendix3322222"/>
    <w:lvl w:ilvl="0" w:tplc="EE1E8C24">
      <w:start w:val="1"/>
      <w:numFmt w:val="bullet"/>
      <w:lvlRestart w:val="0"/>
      <w:pStyle w:val="RepBullet1"/>
      <w:lvlText w:val=""/>
      <w:lvlJc w:val="left"/>
      <w:pPr>
        <w:tabs>
          <w:tab w:val="num" w:pos="851"/>
        </w:tabs>
        <w:ind w:left="851"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0" w15:restartNumberingAfterBreak="0">
    <w:nsid w:val="5D2E0A96"/>
    <w:multiLevelType w:val="hybridMultilevel"/>
    <w:tmpl w:val="82D006EE"/>
    <w:lvl w:ilvl="0" w:tplc="6B228DEC">
      <w:start w:val="1"/>
      <w:numFmt w:val="bullet"/>
      <w:lvlRestart w:val="0"/>
      <w:lvlText w:val=""/>
      <w:lvlJc w:val="left"/>
      <w:pPr>
        <w:tabs>
          <w:tab w:val="num" w:pos="1135"/>
        </w:tabs>
        <w:ind w:left="1135" w:hanging="284"/>
      </w:pPr>
      <w:rPr>
        <w:rFonts w:ascii="Wingdings" w:hAnsi="Wingdings" w:hint="default"/>
        <w:sz w:val="16"/>
      </w:rPr>
    </w:lvl>
    <w:lvl w:ilvl="1" w:tplc="3AC60B04" w:tentative="1">
      <w:start w:val="1"/>
      <w:numFmt w:val="bullet"/>
      <w:lvlText w:val="o"/>
      <w:lvlJc w:val="left"/>
      <w:pPr>
        <w:tabs>
          <w:tab w:val="num" w:pos="2154"/>
        </w:tabs>
        <w:ind w:left="2154" w:hanging="360"/>
      </w:pPr>
      <w:rPr>
        <w:rFonts w:ascii="Courier New" w:hAnsi="Courier New" w:cs="Courier New" w:hint="default"/>
      </w:rPr>
    </w:lvl>
    <w:lvl w:ilvl="2" w:tplc="E2DA83B2" w:tentative="1">
      <w:start w:val="1"/>
      <w:numFmt w:val="bullet"/>
      <w:lvlText w:val=""/>
      <w:lvlJc w:val="left"/>
      <w:pPr>
        <w:tabs>
          <w:tab w:val="num" w:pos="2874"/>
        </w:tabs>
        <w:ind w:left="2874" w:hanging="360"/>
      </w:pPr>
      <w:rPr>
        <w:rFonts w:ascii="Wingdings" w:hAnsi="Wingdings" w:hint="default"/>
      </w:rPr>
    </w:lvl>
    <w:lvl w:ilvl="3" w:tplc="A2B44618" w:tentative="1">
      <w:start w:val="1"/>
      <w:numFmt w:val="bullet"/>
      <w:lvlText w:val=""/>
      <w:lvlJc w:val="left"/>
      <w:pPr>
        <w:tabs>
          <w:tab w:val="num" w:pos="3594"/>
        </w:tabs>
        <w:ind w:left="3594" w:hanging="360"/>
      </w:pPr>
      <w:rPr>
        <w:rFonts w:ascii="Symbol" w:hAnsi="Symbol" w:hint="default"/>
      </w:rPr>
    </w:lvl>
    <w:lvl w:ilvl="4" w:tplc="78F84BBE" w:tentative="1">
      <w:start w:val="1"/>
      <w:numFmt w:val="bullet"/>
      <w:lvlText w:val="o"/>
      <w:lvlJc w:val="left"/>
      <w:pPr>
        <w:tabs>
          <w:tab w:val="num" w:pos="4314"/>
        </w:tabs>
        <w:ind w:left="4314" w:hanging="360"/>
      </w:pPr>
      <w:rPr>
        <w:rFonts w:ascii="Courier New" w:hAnsi="Courier New" w:cs="Courier New" w:hint="default"/>
      </w:rPr>
    </w:lvl>
    <w:lvl w:ilvl="5" w:tplc="2B26B2B8" w:tentative="1">
      <w:start w:val="1"/>
      <w:numFmt w:val="bullet"/>
      <w:lvlText w:val=""/>
      <w:lvlJc w:val="left"/>
      <w:pPr>
        <w:tabs>
          <w:tab w:val="num" w:pos="5034"/>
        </w:tabs>
        <w:ind w:left="5034" w:hanging="360"/>
      </w:pPr>
      <w:rPr>
        <w:rFonts w:ascii="Wingdings" w:hAnsi="Wingdings" w:hint="default"/>
      </w:rPr>
    </w:lvl>
    <w:lvl w:ilvl="6" w:tplc="C97642F2" w:tentative="1">
      <w:start w:val="1"/>
      <w:numFmt w:val="bullet"/>
      <w:lvlText w:val=""/>
      <w:lvlJc w:val="left"/>
      <w:pPr>
        <w:tabs>
          <w:tab w:val="num" w:pos="5754"/>
        </w:tabs>
        <w:ind w:left="5754" w:hanging="360"/>
      </w:pPr>
      <w:rPr>
        <w:rFonts w:ascii="Symbol" w:hAnsi="Symbol" w:hint="default"/>
      </w:rPr>
    </w:lvl>
    <w:lvl w:ilvl="7" w:tplc="BC0EFB94" w:tentative="1">
      <w:start w:val="1"/>
      <w:numFmt w:val="bullet"/>
      <w:lvlText w:val="o"/>
      <w:lvlJc w:val="left"/>
      <w:pPr>
        <w:tabs>
          <w:tab w:val="num" w:pos="6474"/>
        </w:tabs>
        <w:ind w:left="6474" w:hanging="360"/>
      </w:pPr>
      <w:rPr>
        <w:rFonts w:ascii="Courier New" w:hAnsi="Courier New" w:cs="Courier New" w:hint="default"/>
      </w:rPr>
    </w:lvl>
    <w:lvl w:ilvl="8" w:tplc="1C508A90" w:tentative="1">
      <w:start w:val="1"/>
      <w:numFmt w:val="bullet"/>
      <w:lvlText w:val=""/>
      <w:lvlJc w:val="left"/>
      <w:pPr>
        <w:tabs>
          <w:tab w:val="num" w:pos="7194"/>
        </w:tabs>
        <w:ind w:left="7194" w:hanging="360"/>
      </w:pPr>
      <w:rPr>
        <w:rFonts w:ascii="Wingdings" w:hAnsi="Wingdings" w:hint="default"/>
      </w:rPr>
    </w:lvl>
  </w:abstractNum>
  <w:abstractNum w:abstractNumId="31" w15:restartNumberingAfterBreak="0">
    <w:nsid w:val="5FA87F06"/>
    <w:multiLevelType w:val="hybridMultilevel"/>
    <w:tmpl w:val="FD8232B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AF5542"/>
    <w:multiLevelType w:val="hybridMultilevel"/>
    <w:tmpl w:val="08502124"/>
    <w:lvl w:ilvl="0" w:tplc="E348D8C2">
      <w:numFmt w:val="bullet"/>
      <w:lvlText w:val=""/>
      <w:lvlJc w:val="left"/>
      <w:pPr>
        <w:ind w:left="720" w:hanging="360"/>
      </w:pPr>
      <w:rPr>
        <w:rFonts w:ascii="Wingdings" w:eastAsia="PMingLiU" w:hAnsi="Wingding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193FB1"/>
    <w:multiLevelType w:val="hybridMultilevel"/>
    <w:tmpl w:val="E07C836A"/>
    <w:lvl w:ilvl="0" w:tplc="890CF8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DAD596D"/>
    <w:multiLevelType w:val="hybridMultilevel"/>
    <w:tmpl w:val="CEC60236"/>
    <w:name w:val="dRRAppendix332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D87ECC"/>
    <w:multiLevelType w:val="hybridMultilevel"/>
    <w:tmpl w:val="36A6021A"/>
    <w:lvl w:ilvl="0" w:tplc="202EDEA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7"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7B0A0B1F"/>
    <w:multiLevelType w:val="multilevel"/>
    <w:tmpl w:val="1AF811D0"/>
    <w:name w:val="dRRAppendix3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C2038EB"/>
    <w:multiLevelType w:val="hybridMultilevel"/>
    <w:tmpl w:val="74903030"/>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1199158">
    <w:abstractNumId w:val="3"/>
  </w:num>
  <w:num w:numId="2" w16cid:durableId="1842622037">
    <w:abstractNumId w:val="2"/>
  </w:num>
  <w:num w:numId="3" w16cid:durableId="1462846887">
    <w:abstractNumId w:val="1"/>
  </w:num>
  <w:num w:numId="4" w16cid:durableId="1651054432">
    <w:abstractNumId w:val="0"/>
  </w:num>
  <w:num w:numId="5" w16cid:durableId="968896743">
    <w:abstractNumId w:val="5"/>
  </w:num>
  <w:num w:numId="6" w16cid:durableId="739407425">
    <w:abstractNumId w:val="4"/>
  </w:num>
  <w:num w:numId="7" w16cid:durableId="1829204026">
    <w:abstractNumId w:val="21"/>
  </w:num>
  <w:num w:numId="8" w16cid:durableId="378895872">
    <w:abstractNumId w:val="30"/>
  </w:num>
  <w:num w:numId="9" w16cid:durableId="765229144">
    <w:abstractNumId w:val="9"/>
  </w:num>
  <w:num w:numId="10" w16cid:durableId="968438917">
    <w:abstractNumId w:val="26"/>
  </w:num>
  <w:num w:numId="11" w16cid:durableId="496963516">
    <w:abstractNumId w:val="37"/>
  </w:num>
  <w:num w:numId="12" w16cid:durableId="981345294">
    <w:abstractNumId w:val="13"/>
  </w:num>
  <w:num w:numId="13" w16cid:durableId="1517228579">
    <w:abstractNumId w:val="25"/>
  </w:num>
  <w:num w:numId="14" w16cid:durableId="1780904641">
    <w:abstractNumId w:val="6"/>
  </w:num>
  <w:num w:numId="15" w16cid:durableId="2061319902">
    <w:abstractNumId w:val="38"/>
  </w:num>
  <w:num w:numId="16" w16cid:durableId="264074630">
    <w:abstractNumId w:val="38"/>
  </w:num>
  <w:num w:numId="17" w16cid:durableId="1960212142">
    <w:abstractNumId w:val="39"/>
  </w:num>
  <w:num w:numId="18" w16cid:durableId="769282560">
    <w:abstractNumId w:val="29"/>
  </w:num>
  <w:num w:numId="19" w16cid:durableId="2030984049">
    <w:abstractNumId w:val="12"/>
  </w:num>
  <w:num w:numId="20" w16cid:durableId="1318147658">
    <w:abstractNumId w:val="18"/>
  </w:num>
  <w:num w:numId="21" w16cid:durableId="940452563">
    <w:abstractNumId w:val="6"/>
  </w:num>
  <w:num w:numId="22" w16cid:durableId="2058772027">
    <w:abstractNumId w:val="5"/>
  </w:num>
  <w:num w:numId="23" w16cid:durableId="1047339216">
    <w:abstractNumId w:val="5"/>
  </w:num>
  <w:num w:numId="24" w16cid:durableId="1527447693">
    <w:abstractNumId w:val="5"/>
  </w:num>
  <w:num w:numId="25" w16cid:durableId="472454864">
    <w:abstractNumId w:val="23"/>
  </w:num>
  <w:num w:numId="26" w16cid:durableId="1183321975">
    <w:abstractNumId w:val="5"/>
  </w:num>
  <w:num w:numId="27" w16cid:durableId="2005819669">
    <w:abstractNumId w:val="35"/>
  </w:num>
  <w:num w:numId="28" w16cid:durableId="1634362811">
    <w:abstractNumId w:val="5"/>
  </w:num>
  <w:num w:numId="29" w16cid:durableId="667564910">
    <w:abstractNumId w:val="31"/>
  </w:num>
  <w:num w:numId="30" w16cid:durableId="2454569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79193384">
    <w:abstractNumId w:val="33"/>
  </w:num>
  <w:num w:numId="32" w16cid:durableId="61024427">
    <w:abstractNumId w:val="19"/>
  </w:num>
  <w:num w:numId="33" w16cid:durableId="502014251">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29956377">
    <w:abstractNumId w:val="11"/>
  </w:num>
  <w:num w:numId="35" w16cid:durableId="156312282">
    <w:abstractNumId w:val="22"/>
  </w:num>
  <w:num w:numId="36" w16cid:durableId="1432430771">
    <w:abstractNumId w:val="7"/>
  </w:num>
  <w:num w:numId="37" w16cid:durableId="1134568416">
    <w:abstractNumId w:val="32"/>
  </w:num>
  <w:num w:numId="38" w16cid:durableId="345834950">
    <w:abstractNumId w:val="14"/>
  </w:num>
  <w:num w:numId="39" w16cid:durableId="157380902">
    <w:abstractNumId w:val="17"/>
  </w:num>
  <w:num w:numId="40" w16cid:durableId="857697549">
    <w:abstractNumId w:val="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42198158">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21577822">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fr-FR" w:vendorID="64" w:dllVersion="6" w:nlCheck="1" w:checkStyle="1"/>
  <w:activeWritingStyle w:appName="MSWord" w:lang="it-IT" w:vendorID="64" w:dllVersion="6" w:nlCheck="1" w:checkStyle="0"/>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s-ES_tradnl" w:vendorID="64" w:dllVersion="0" w:nlCheck="1" w:checkStyle="0"/>
  <w:activeWritingStyle w:appName="MSWord" w:lang="de-CH" w:vendorID="64" w:dllVersion="0" w:nlCheck="1" w:checkStyle="0"/>
  <w:activeWritingStyle w:appName="MSWord" w:lang="it-IT" w:vendorID="64" w:dllVersion="0" w:nlCheck="1" w:checkStyle="0"/>
  <w:activeWritingStyle w:appName="MSWord" w:lang="fr-BE" w:vendorID="64" w:dllVersion="0" w:nlCheck="1" w:checkStyle="0"/>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08F5"/>
    <w:rsid w:val="00003496"/>
    <w:rsid w:val="00003F44"/>
    <w:rsid w:val="0000474B"/>
    <w:rsid w:val="00004A86"/>
    <w:rsid w:val="00005B9B"/>
    <w:rsid w:val="0001403A"/>
    <w:rsid w:val="00014B92"/>
    <w:rsid w:val="00020B02"/>
    <w:rsid w:val="00025B66"/>
    <w:rsid w:val="000265A8"/>
    <w:rsid w:val="00026CF9"/>
    <w:rsid w:val="00030C20"/>
    <w:rsid w:val="00030C2B"/>
    <w:rsid w:val="0003152E"/>
    <w:rsid w:val="00032742"/>
    <w:rsid w:val="00033648"/>
    <w:rsid w:val="00033B41"/>
    <w:rsid w:val="00034E90"/>
    <w:rsid w:val="000411E1"/>
    <w:rsid w:val="00047D6E"/>
    <w:rsid w:val="0005236A"/>
    <w:rsid w:val="000532B4"/>
    <w:rsid w:val="0005573E"/>
    <w:rsid w:val="000630E1"/>
    <w:rsid w:val="00066E4A"/>
    <w:rsid w:val="000705CD"/>
    <w:rsid w:val="00071CD0"/>
    <w:rsid w:val="000724EE"/>
    <w:rsid w:val="00074C24"/>
    <w:rsid w:val="00076C6D"/>
    <w:rsid w:val="00080836"/>
    <w:rsid w:val="000812D9"/>
    <w:rsid w:val="000838AD"/>
    <w:rsid w:val="00092BC1"/>
    <w:rsid w:val="00093A46"/>
    <w:rsid w:val="00094E9B"/>
    <w:rsid w:val="000A09FB"/>
    <w:rsid w:val="000A2AED"/>
    <w:rsid w:val="000A4BC8"/>
    <w:rsid w:val="000B0581"/>
    <w:rsid w:val="000B2E8A"/>
    <w:rsid w:val="000B5615"/>
    <w:rsid w:val="000B5FAD"/>
    <w:rsid w:val="000C2802"/>
    <w:rsid w:val="000C2DF5"/>
    <w:rsid w:val="000C62D5"/>
    <w:rsid w:val="000C6667"/>
    <w:rsid w:val="000C6C56"/>
    <w:rsid w:val="000D25A9"/>
    <w:rsid w:val="000D2B38"/>
    <w:rsid w:val="000D3ABA"/>
    <w:rsid w:val="000E0A09"/>
    <w:rsid w:val="000E1183"/>
    <w:rsid w:val="000E3C4D"/>
    <w:rsid w:val="000F12AD"/>
    <w:rsid w:val="001022D8"/>
    <w:rsid w:val="00104D95"/>
    <w:rsid w:val="00106F5B"/>
    <w:rsid w:val="00107219"/>
    <w:rsid w:val="00107278"/>
    <w:rsid w:val="00107EDF"/>
    <w:rsid w:val="001103D2"/>
    <w:rsid w:val="00112C96"/>
    <w:rsid w:val="00113139"/>
    <w:rsid w:val="00120DAC"/>
    <w:rsid w:val="0012195F"/>
    <w:rsid w:val="00127BD4"/>
    <w:rsid w:val="0013063E"/>
    <w:rsid w:val="0013154F"/>
    <w:rsid w:val="00136F74"/>
    <w:rsid w:val="00140D95"/>
    <w:rsid w:val="00144797"/>
    <w:rsid w:val="00145F2C"/>
    <w:rsid w:val="0015050D"/>
    <w:rsid w:val="00150A3C"/>
    <w:rsid w:val="001534CD"/>
    <w:rsid w:val="00157CDD"/>
    <w:rsid w:val="00161C7D"/>
    <w:rsid w:val="00163555"/>
    <w:rsid w:val="00163759"/>
    <w:rsid w:val="001649B3"/>
    <w:rsid w:val="0017001D"/>
    <w:rsid w:val="0017375B"/>
    <w:rsid w:val="001747D9"/>
    <w:rsid w:val="00174C76"/>
    <w:rsid w:val="00186DB8"/>
    <w:rsid w:val="0019041A"/>
    <w:rsid w:val="00190FD8"/>
    <w:rsid w:val="00193937"/>
    <w:rsid w:val="00196532"/>
    <w:rsid w:val="001A5145"/>
    <w:rsid w:val="001A642C"/>
    <w:rsid w:val="001A7B05"/>
    <w:rsid w:val="001C2071"/>
    <w:rsid w:val="001C3AE3"/>
    <w:rsid w:val="001C4FED"/>
    <w:rsid w:val="001D1027"/>
    <w:rsid w:val="001D18EB"/>
    <w:rsid w:val="001D2602"/>
    <w:rsid w:val="001D4958"/>
    <w:rsid w:val="001D6183"/>
    <w:rsid w:val="001E1052"/>
    <w:rsid w:val="001E4215"/>
    <w:rsid w:val="001F0B81"/>
    <w:rsid w:val="00201DF4"/>
    <w:rsid w:val="00205B16"/>
    <w:rsid w:val="0021280F"/>
    <w:rsid w:val="00215039"/>
    <w:rsid w:val="002165B4"/>
    <w:rsid w:val="0022208F"/>
    <w:rsid w:val="00225688"/>
    <w:rsid w:val="00226213"/>
    <w:rsid w:val="002262EA"/>
    <w:rsid w:val="00230544"/>
    <w:rsid w:val="00230A66"/>
    <w:rsid w:val="002341B9"/>
    <w:rsid w:val="002346A8"/>
    <w:rsid w:val="002436A6"/>
    <w:rsid w:val="002442E5"/>
    <w:rsid w:val="002458AB"/>
    <w:rsid w:val="00245DDD"/>
    <w:rsid w:val="00247D4D"/>
    <w:rsid w:val="00250D7B"/>
    <w:rsid w:val="00253235"/>
    <w:rsid w:val="0025379F"/>
    <w:rsid w:val="00254546"/>
    <w:rsid w:val="00260453"/>
    <w:rsid w:val="00260518"/>
    <w:rsid w:val="00262A75"/>
    <w:rsid w:val="00263264"/>
    <w:rsid w:val="00264D7B"/>
    <w:rsid w:val="00266FA8"/>
    <w:rsid w:val="00267216"/>
    <w:rsid w:val="002713D1"/>
    <w:rsid w:val="00272D03"/>
    <w:rsid w:val="0027536C"/>
    <w:rsid w:val="00281A8A"/>
    <w:rsid w:val="00282586"/>
    <w:rsid w:val="00284EAB"/>
    <w:rsid w:val="00286A37"/>
    <w:rsid w:val="00286DBE"/>
    <w:rsid w:val="0029395C"/>
    <w:rsid w:val="002A123B"/>
    <w:rsid w:val="002A1F06"/>
    <w:rsid w:val="002A27BF"/>
    <w:rsid w:val="002A31C0"/>
    <w:rsid w:val="002A795A"/>
    <w:rsid w:val="002B1114"/>
    <w:rsid w:val="002B5466"/>
    <w:rsid w:val="002B7376"/>
    <w:rsid w:val="002C0FC1"/>
    <w:rsid w:val="002C2D66"/>
    <w:rsid w:val="002C3679"/>
    <w:rsid w:val="002C62D7"/>
    <w:rsid w:val="002C74B7"/>
    <w:rsid w:val="002D3278"/>
    <w:rsid w:val="002D59E5"/>
    <w:rsid w:val="002D65D7"/>
    <w:rsid w:val="002D704F"/>
    <w:rsid w:val="002E1726"/>
    <w:rsid w:val="002E2D11"/>
    <w:rsid w:val="002E3CFC"/>
    <w:rsid w:val="002E56F6"/>
    <w:rsid w:val="002E7B68"/>
    <w:rsid w:val="002F1C8B"/>
    <w:rsid w:val="002F31C5"/>
    <w:rsid w:val="002F44BD"/>
    <w:rsid w:val="002F44CD"/>
    <w:rsid w:val="002F69BD"/>
    <w:rsid w:val="002F70A8"/>
    <w:rsid w:val="003008CA"/>
    <w:rsid w:val="00301848"/>
    <w:rsid w:val="00301884"/>
    <w:rsid w:val="0030594F"/>
    <w:rsid w:val="0031127A"/>
    <w:rsid w:val="00314A51"/>
    <w:rsid w:val="00314BFB"/>
    <w:rsid w:val="00315FDA"/>
    <w:rsid w:val="003178BC"/>
    <w:rsid w:val="00320EAE"/>
    <w:rsid w:val="00321FA3"/>
    <w:rsid w:val="00322176"/>
    <w:rsid w:val="003236D4"/>
    <w:rsid w:val="00324347"/>
    <w:rsid w:val="003248FE"/>
    <w:rsid w:val="003250B4"/>
    <w:rsid w:val="003264F9"/>
    <w:rsid w:val="0033110D"/>
    <w:rsid w:val="00333809"/>
    <w:rsid w:val="00340B3C"/>
    <w:rsid w:val="003414CA"/>
    <w:rsid w:val="00342865"/>
    <w:rsid w:val="00346B4D"/>
    <w:rsid w:val="00353735"/>
    <w:rsid w:val="00356187"/>
    <w:rsid w:val="003626E9"/>
    <w:rsid w:val="0036270F"/>
    <w:rsid w:val="00366892"/>
    <w:rsid w:val="00366ABD"/>
    <w:rsid w:val="00367429"/>
    <w:rsid w:val="003674BF"/>
    <w:rsid w:val="003677CE"/>
    <w:rsid w:val="0037304F"/>
    <w:rsid w:val="00375154"/>
    <w:rsid w:val="003846B8"/>
    <w:rsid w:val="003847C1"/>
    <w:rsid w:val="00384BED"/>
    <w:rsid w:val="00386235"/>
    <w:rsid w:val="003914F5"/>
    <w:rsid w:val="00391FD7"/>
    <w:rsid w:val="00393B98"/>
    <w:rsid w:val="00395C6F"/>
    <w:rsid w:val="003A0E16"/>
    <w:rsid w:val="003A24BE"/>
    <w:rsid w:val="003B136B"/>
    <w:rsid w:val="003B2696"/>
    <w:rsid w:val="003B6831"/>
    <w:rsid w:val="003C03E9"/>
    <w:rsid w:val="003C1D67"/>
    <w:rsid w:val="003C41C5"/>
    <w:rsid w:val="003C5413"/>
    <w:rsid w:val="003C5BCC"/>
    <w:rsid w:val="003C7672"/>
    <w:rsid w:val="003D2B5A"/>
    <w:rsid w:val="003D7189"/>
    <w:rsid w:val="003E1962"/>
    <w:rsid w:val="003E270A"/>
    <w:rsid w:val="003E2D4E"/>
    <w:rsid w:val="003E4617"/>
    <w:rsid w:val="003E48E9"/>
    <w:rsid w:val="003F071E"/>
    <w:rsid w:val="00400591"/>
    <w:rsid w:val="00400A06"/>
    <w:rsid w:val="004015E0"/>
    <w:rsid w:val="00402430"/>
    <w:rsid w:val="00403E1E"/>
    <w:rsid w:val="0040787F"/>
    <w:rsid w:val="00411C13"/>
    <w:rsid w:val="00412B11"/>
    <w:rsid w:val="00413EEB"/>
    <w:rsid w:val="0041637E"/>
    <w:rsid w:val="00423AD8"/>
    <w:rsid w:val="004250A4"/>
    <w:rsid w:val="0042510E"/>
    <w:rsid w:val="004276D7"/>
    <w:rsid w:val="00430938"/>
    <w:rsid w:val="00431C18"/>
    <w:rsid w:val="00432BD7"/>
    <w:rsid w:val="00435B2D"/>
    <w:rsid w:val="00436699"/>
    <w:rsid w:val="00436EC7"/>
    <w:rsid w:val="004370D7"/>
    <w:rsid w:val="00442688"/>
    <w:rsid w:val="004447F7"/>
    <w:rsid w:val="00444D21"/>
    <w:rsid w:val="004457F0"/>
    <w:rsid w:val="004461CE"/>
    <w:rsid w:val="00447955"/>
    <w:rsid w:val="004527B9"/>
    <w:rsid w:val="00454766"/>
    <w:rsid w:val="004562D1"/>
    <w:rsid w:val="004615FF"/>
    <w:rsid w:val="00465A78"/>
    <w:rsid w:val="004710F5"/>
    <w:rsid w:val="00472605"/>
    <w:rsid w:val="00473009"/>
    <w:rsid w:val="00473FB0"/>
    <w:rsid w:val="00474204"/>
    <w:rsid w:val="004750DE"/>
    <w:rsid w:val="004750FD"/>
    <w:rsid w:val="0047607C"/>
    <w:rsid w:val="00480696"/>
    <w:rsid w:val="00482A2A"/>
    <w:rsid w:val="0048449A"/>
    <w:rsid w:val="00484818"/>
    <w:rsid w:val="004919B3"/>
    <w:rsid w:val="00492207"/>
    <w:rsid w:val="00492BAF"/>
    <w:rsid w:val="00492D02"/>
    <w:rsid w:val="004A0092"/>
    <w:rsid w:val="004A1760"/>
    <w:rsid w:val="004A3817"/>
    <w:rsid w:val="004A54B1"/>
    <w:rsid w:val="004B2059"/>
    <w:rsid w:val="004B3030"/>
    <w:rsid w:val="004B5241"/>
    <w:rsid w:val="004C32D2"/>
    <w:rsid w:val="004C7A54"/>
    <w:rsid w:val="004D0063"/>
    <w:rsid w:val="004D0CF5"/>
    <w:rsid w:val="004D25C4"/>
    <w:rsid w:val="004E1F07"/>
    <w:rsid w:val="004E3B1C"/>
    <w:rsid w:val="004E441F"/>
    <w:rsid w:val="004E5CD1"/>
    <w:rsid w:val="004E5D32"/>
    <w:rsid w:val="004F1C98"/>
    <w:rsid w:val="004F26D8"/>
    <w:rsid w:val="004F45EA"/>
    <w:rsid w:val="004F5851"/>
    <w:rsid w:val="004F59B3"/>
    <w:rsid w:val="00503440"/>
    <w:rsid w:val="00512074"/>
    <w:rsid w:val="00512F28"/>
    <w:rsid w:val="00515C5A"/>
    <w:rsid w:val="00516579"/>
    <w:rsid w:val="00517F3E"/>
    <w:rsid w:val="00521C78"/>
    <w:rsid w:val="0052353C"/>
    <w:rsid w:val="00523A7C"/>
    <w:rsid w:val="00523D1A"/>
    <w:rsid w:val="00525CBF"/>
    <w:rsid w:val="00526FEC"/>
    <w:rsid w:val="00530CCD"/>
    <w:rsid w:val="00531A8D"/>
    <w:rsid w:val="00532358"/>
    <w:rsid w:val="00535288"/>
    <w:rsid w:val="00536180"/>
    <w:rsid w:val="00543B70"/>
    <w:rsid w:val="00552014"/>
    <w:rsid w:val="00553395"/>
    <w:rsid w:val="005609E0"/>
    <w:rsid w:val="0056333E"/>
    <w:rsid w:val="00564619"/>
    <w:rsid w:val="005704ED"/>
    <w:rsid w:val="005728AD"/>
    <w:rsid w:val="00573CA8"/>
    <w:rsid w:val="00577BD7"/>
    <w:rsid w:val="00584DDE"/>
    <w:rsid w:val="00585E46"/>
    <w:rsid w:val="00586B4A"/>
    <w:rsid w:val="00597E5D"/>
    <w:rsid w:val="005A0C49"/>
    <w:rsid w:val="005A1138"/>
    <w:rsid w:val="005A28AB"/>
    <w:rsid w:val="005A45B3"/>
    <w:rsid w:val="005A4B43"/>
    <w:rsid w:val="005B0BF9"/>
    <w:rsid w:val="005B3B32"/>
    <w:rsid w:val="005C1652"/>
    <w:rsid w:val="005C23A3"/>
    <w:rsid w:val="005C40E6"/>
    <w:rsid w:val="005C6E75"/>
    <w:rsid w:val="005D5ED8"/>
    <w:rsid w:val="005D7ECC"/>
    <w:rsid w:val="005E1D1E"/>
    <w:rsid w:val="005E2637"/>
    <w:rsid w:val="005E4F0C"/>
    <w:rsid w:val="005E6222"/>
    <w:rsid w:val="005E7B85"/>
    <w:rsid w:val="006006BC"/>
    <w:rsid w:val="006009C1"/>
    <w:rsid w:val="006010E4"/>
    <w:rsid w:val="006055B8"/>
    <w:rsid w:val="00612AD5"/>
    <w:rsid w:val="00612F06"/>
    <w:rsid w:val="006166CC"/>
    <w:rsid w:val="00617792"/>
    <w:rsid w:val="00620B31"/>
    <w:rsid w:val="0062262B"/>
    <w:rsid w:val="00626445"/>
    <w:rsid w:val="00627017"/>
    <w:rsid w:val="00631197"/>
    <w:rsid w:val="006339B9"/>
    <w:rsid w:val="0063428D"/>
    <w:rsid w:val="00635A7D"/>
    <w:rsid w:val="006406DC"/>
    <w:rsid w:val="00640FD1"/>
    <w:rsid w:val="00645D5D"/>
    <w:rsid w:val="00647A71"/>
    <w:rsid w:val="0065466E"/>
    <w:rsid w:val="00662F32"/>
    <w:rsid w:val="00665F07"/>
    <w:rsid w:val="00670109"/>
    <w:rsid w:val="006701D3"/>
    <w:rsid w:val="00670CC4"/>
    <w:rsid w:val="00671211"/>
    <w:rsid w:val="00671CF4"/>
    <w:rsid w:val="00674DD4"/>
    <w:rsid w:val="006778B3"/>
    <w:rsid w:val="00684519"/>
    <w:rsid w:val="00687F37"/>
    <w:rsid w:val="00690132"/>
    <w:rsid w:val="00692A52"/>
    <w:rsid w:val="0069431C"/>
    <w:rsid w:val="00695008"/>
    <w:rsid w:val="006976DF"/>
    <w:rsid w:val="006A055C"/>
    <w:rsid w:val="006A234B"/>
    <w:rsid w:val="006A40DA"/>
    <w:rsid w:val="006A4F0D"/>
    <w:rsid w:val="006A7EC2"/>
    <w:rsid w:val="006B0722"/>
    <w:rsid w:val="006B2B7C"/>
    <w:rsid w:val="006B3A36"/>
    <w:rsid w:val="006B43CC"/>
    <w:rsid w:val="006B4C5F"/>
    <w:rsid w:val="006C4E52"/>
    <w:rsid w:val="006C660B"/>
    <w:rsid w:val="006D0503"/>
    <w:rsid w:val="006D3D21"/>
    <w:rsid w:val="006D53E4"/>
    <w:rsid w:val="006D7178"/>
    <w:rsid w:val="006E30D6"/>
    <w:rsid w:val="006E3541"/>
    <w:rsid w:val="006E4792"/>
    <w:rsid w:val="006E63B7"/>
    <w:rsid w:val="006E6FF4"/>
    <w:rsid w:val="006F0329"/>
    <w:rsid w:val="006F3DE2"/>
    <w:rsid w:val="006F4609"/>
    <w:rsid w:val="006F4DE0"/>
    <w:rsid w:val="006F607F"/>
    <w:rsid w:val="006F661F"/>
    <w:rsid w:val="007000DA"/>
    <w:rsid w:val="00704A25"/>
    <w:rsid w:val="00706157"/>
    <w:rsid w:val="007062F3"/>
    <w:rsid w:val="00712260"/>
    <w:rsid w:val="00712FD9"/>
    <w:rsid w:val="0071344F"/>
    <w:rsid w:val="007142B6"/>
    <w:rsid w:val="007174BF"/>
    <w:rsid w:val="00717C61"/>
    <w:rsid w:val="00720118"/>
    <w:rsid w:val="00720E1C"/>
    <w:rsid w:val="00722FF2"/>
    <w:rsid w:val="007235E8"/>
    <w:rsid w:val="00724FF7"/>
    <w:rsid w:val="00726048"/>
    <w:rsid w:val="00730D6D"/>
    <w:rsid w:val="007330A6"/>
    <w:rsid w:val="00736557"/>
    <w:rsid w:val="00737850"/>
    <w:rsid w:val="0074071C"/>
    <w:rsid w:val="00742474"/>
    <w:rsid w:val="007475B8"/>
    <w:rsid w:val="00747AD4"/>
    <w:rsid w:val="00750399"/>
    <w:rsid w:val="00752799"/>
    <w:rsid w:val="0075737D"/>
    <w:rsid w:val="00761328"/>
    <w:rsid w:val="00764971"/>
    <w:rsid w:val="0076526A"/>
    <w:rsid w:val="007656F8"/>
    <w:rsid w:val="00772952"/>
    <w:rsid w:val="00774B4C"/>
    <w:rsid w:val="00776593"/>
    <w:rsid w:val="0077706F"/>
    <w:rsid w:val="007776FC"/>
    <w:rsid w:val="00781CE8"/>
    <w:rsid w:val="00781D82"/>
    <w:rsid w:val="00783F78"/>
    <w:rsid w:val="00786E40"/>
    <w:rsid w:val="0078713C"/>
    <w:rsid w:val="007872A7"/>
    <w:rsid w:val="0079112D"/>
    <w:rsid w:val="00793AD0"/>
    <w:rsid w:val="0079639C"/>
    <w:rsid w:val="007A0EAF"/>
    <w:rsid w:val="007A2C20"/>
    <w:rsid w:val="007A54F9"/>
    <w:rsid w:val="007A6C81"/>
    <w:rsid w:val="007B177C"/>
    <w:rsid w:val="007B36D3"/>
    <w:rsid w:val="007B7993"/>
    <w:rsid w:val="007C290D"/>
    <w:rsid w:val="007C4BEE"/>
    <w:rsid w:val="007C4DA5"/>
    <w:rsid w:val="007C5614"/>
    <w:rsid w:val="007C687F"/>
    <w:rsid w:val="007D0D54"/>
    <w:rsid w:val="007D1DB2"/>
    <w:rsid w:val="007D4974"/>
    <w:rsid w:val="007D532A"/>
    <w:rsid w:val="007D6F6B"/>
    <w:rsid w:val="007D753E"/>
    <w:rsid w:val="007E0EE7"/>
    <w:rsid w:val="007E24D0"/>
    <w:rsid w:val="007E4F62"/>
    <w:rsid w:val="007E5484"/>
    <w:rsid w:val="007E5835"/>
    <w:rsid w:val="007E7341"/>
    <w:rsid w:val="007F1411"/>
    <w:rsid w:val="007F1B05"/>
    <w:rsid w:val="007F408B"/>
    <w:rsid w:val="007F6EFF"/>
    <w:rsid w:val="00800506"/>
    <w:rsid w:val="008030EE"/>
    <w:rsid w:val="00803220"/>
    <w:rsid w:val="0080412E"/>
    <w:rsid w:val="008050EE"/>
    <w:rsid w:val="00807CF3"/>
    <w:rsid w:val="00810397"/>
    <w:rsid w:val="0081641D"/>
    <w:rsid w:val="00817925"/>
    <w:rsid w:val="0082015D"/>
    <w:rsid w:val="00825C1F"/>
    <w:rsid w:val="00832E39"/>
    <w:rsid w:val="008335BA"/>
    <w:rsid w:val="00837227"/>
    <w:rsid w:val="008376A3"/>
    <w:rsid w:val="008404CA"/>
    <w:rsid w:val="00843421"/>
    <w:rsid w:val="00843A50"/>
    <w:rsid w:val="00844A12"/>
    <w:rsid w:val="008474BC"/>
    <w:rsid w:val="0085127C"/>
    <w:rsid w:val="00853A40"/>
    <w:rsid w:val="00853EDC"/>
    <w:rsid w:val="0085611A"/>
    <w:rsid w:val="00856F01"/>
    <w:rsid w:val="008659C9"/>
    <w:rsid w:val="00865F48"/>
    <w:rsid w:val="00865F5E"/>
    <w:rsid w:val="00866C8A"/>
    <w:rsid w:val="00871C0A"/>
    <w:rsid w:val="00875979"/>
    <w:rsid w:val="0087615F"/>
    <w:rsid w:val="0087631D"/>
    <w:rsid w:val="00895E31"/>
    <w:rsid w:val="00896558"/>
    <w:rsid w:val="008A203A"/>
    <w:rsid w:val="008A278A"/>
    <w:rsid w:val="008A6082"/>
    <w:rsid w:val="008B02EE"/>
    <w:rsid w:val="008B2005"/>
    <w:rsid w:val="008B5340"/>
    <w:rsid w:val="008B7CB4"/>
    <w:rsid w:val="008C0597"/>
    <w:rsid w:val="008C5828"/>
    <w:rsid w:val="008C5C3C"/>
    <w:rsid w:val="008C656E"/>
    <w:rsid w:val="008C6E52"/>
    <w:rsid w:val="008D043E"/>
    <w:rsid w:val="008D232B"/>
    <w:rsid w:val="008D2FEC"/>
    <w:rsid w:val="008E1621"/>
    <w:rsid w:val="008E2DCC"/>
    <w:rsid w:val="008E6DB1"/>
    <w:rsid w:val="008F34C2"/>
    <w:rsid w:val="008F3911"/>
    <w:rsid w:val="008F488A"/>
    <w:rsid w:val="008F6587"/>
    <w:rsid w:val="009028F5"/>
    <w:rsid w:val="00902F3F"/>
    <w:rsid w:val="00903211"/>
    <w:rsid w:val="009175F2"/>
    <w:rsid w:val="00921F13"/>
    <w:rsid w:val="00925DBD"/>
    <w:rsid w:val="009304FB"/>
    <w:rsid w:val="00933A26"/>
    <w:rsid w:val="00933C6F"/>
    <w:rsid w:val="00937130"/>
    <w:rsid w:val="009371A8"/>
    <w:rsid w:val="00941382"/>
    <w:rsid w:val="009459AD"/>
    <w:rsid w:val="00950ABA"/>
    <w:rsid w:val="0095123A"/>
    <w:rsid w:val="0095188E"/>
    <w:rsid w:val="00952056"/>
    <w:rsid w:val="00956558"/>
    <w:rsid w:val="0095704C"/>
    <w:rsid w:val="00963DC9"/>
    <w:rsid w:val="00963F22"/>
    <w:rsid w:val="00964106"/>
    <w:rsid w:val="00966EB7"/>
    <w:rsid w:val="009675AA"/>
    <w:rsid w:val="0097131B"/>
    <w:rsid w:val="00974625"/>
    <w:rsid w:val="0097471F"/>
    <w:rsid w:val="00977261"/>
    <w:rsid w:val="009805C7"/>
    <w:rsid w:val="0098152B"/>
    <w:rsid w:val="0098226C"/>
    <w:rsid w:val="00983DD1"/>
    <w:rsid w:val="00985A42"/>
    <w:rsid w:val="00990402"/>
    <w:rsid w:val="00993441"/>
    <w:rsid w:val="009938D9"/>
    <w:rsid w:val="0099685B"/>
    <w:rsid w:val="00997F22"/>
    <w:rsid w:val="009A04C4"/>
    <w:rsid w:val="009A0BD6"/>
    <w:rsid w:val="009A289E"/>
    <w:rsid w:val="009A4091"/>
    <w:rsid w:val="009A61A1"/>
    <w:rsid w:val="009A6822"/>
    <w:rsid w:val="009A6DEF"/>
    <w:rsid w:val="009B0043"/>
    <w:rsid w:val="009B0727"/>
    <w:rsid w:val="009B22F7"/>
    <w:rsid w:val="009B3913"/>
    <w:rsid w:val="009B5AF2"/>
    <w:rsid w:val="009B6DC7"/>
    <w:rsid w:val="009C0252"/>
    <w:rsid w:val="009C5621"/>
    <w:rsid w:val="009C6E0D"/>
    <w:rsid w:val="009C7251"/>
    <w:rsid w:val="009D1A79"/>
    <w:rsid w:val="009D3D40"/>
    <w:rsid w:val="009D6C9F"/>
    <w:rsid w:val="009D6EF4"/>
    <w:rsid w:val="009E1C52"/>
    <w:rsid w:val="009E25A8"/>
    <w:rsid w:val="009E2BB4"/>
    <w:rsid w:val="009F1EDC"/>
    <w:rsid w:val="009F3C16"/>
    <w:rsid w:val="009F6C6D"/>
    <w:rsid w:val="00A10724"/>
    <w:rsid w:val="00A10A2B"/>
    <w:rsid w:val="00A11252"/>
    <w:rsid w:val="00A12E21"/>
    <w:rsid w:val="00A13C90"/>
    <w:rsid w:val="00A13CE0"/>
    <w:rsid w:val="00A209CD"/>
    <w:rsid w:val="00A2315E"/>
    <w:rsid w:val="00A23ECB"/>
    <w:rsid w:val="00A244EE"/>
    <w:rsid w:val="00A25058"/>
    <w:rsid w:val="00A25204"/>
    <w:rsid w:val="00A2602C"/>
    <w:rsid w:val="00A3286D"/>
    <w:rsid w:val="00A334C7"/>
    <w:rsid w:val="00A34C1E"/>
    <w:rsid w:val="00A353E2"/>
    <w:rsid w:val="00A3573C"/>
    <w:rsid w:val="00A45A05"/>
    <w:rsid w:val="00A514B5"/>
    <w:rsid w:val="00A52C6B"/>
    <w:rsid w:val="00A539D2"/>
    <w:rsid w:val="00A56563"/>
    <w:rsid w:val="00A56D23"/>
    <w:rsid w:val="00A6331B"/>
    <w:rsid w:val="00A66AAF"/>
    <w:rsid w:val="00A74566"/>
    <w:rsid w:val="00A74D38"/>
    <w:rsid w:val="00A80710"/>
    <w:rsid w:val="00A80BFB"/>
    <w:rsid w:val="00A9042A"/>
    <w:rsid w:val="00A90EC7"/>
    <w:rsid w:val="00A911C9"/>
    <w:rsid w:val="00A91B15"/>
    <w:rsid w:val="00A92AD1"/>
    <w:rsid w:val="00A93CE6"/>
    <w:rsid w:val="00AA32CE"/>
    <w:rsid w:val="00AA418C"/>
    <w:rsid w:val="00AA42B5"/>
    <w:rsid w:val="00AB1A5F"/>
    <w:rsid w:val="00AB3FCD"/>
    <w:rsid w:val="00AB48D8"/>
    <w:rsid w:val="00AB5F17"/>
    <w:rsid w:val="00AB5F69"/>
    <w:rsid w:val="00AC357D"/>
    <w:rsid w:val="00AC39C0"/>
    <w:rsid w:val="00AD0A3F"/>
    <w:rsid w:val="00AD425E"/>
    <w:rsid w:val="00AD4588"/>
    <w:rsid w:val="00AD45AB"/>
    <w:rsid w:val="00AD512E"/>
    <w:rsid w:val="00AD71DA"/>
    <w:rsid w:val="00AD72B5"/>
    <w:rsid w:val="00AE08F8"/>
    <w:rsid w:val="00AE191C"/>
    <w:rsid w:val="00AE44CE"/>
    <w:rsid w:val="00AE6411"/>
    <w:rsid w:val="00AE6AF8"/>
    <w:rsid w:val="00AF1B0F"/>
    <w:rsid w:val="00AF1E85"/>
    <w:rsid w:val="00AF2447"/>
    <w:rsid w:val="00AF2F3A"/>
    <w:rsid w:val="00AF4F75"/>
    <w:rsid w:val="00B009AD"/>
    <w:rsid w:val="00B040AC"/>
    <w:rsid w:val="00B040F0"/>
    <w:rsid w:val="00B065F5"/>
    <w:rsid w:val="00B06DF6"/>
    <w:rsid w:val="00B0739B"/>
    <w:rsid w:val="00B1005B"/>
    <w:rsid w:val="00B102F7"/>
    <w:rsid w:val="00B13A2B"/>
    <w:rsid w:val="00B14245"/>
    <w:rsid w:val="00B144F8"/>
    <w:rsid w:val="00B15590"/>
    <w:rsid w:val="00B17904"/>
    <w:rsid w:val="00B22082"/>
    <w:rsid w:val="00B239B5"/>
    <w:rsid w:val="00B2545D"/>
    <w:rsid w:val="00B27A65"/>
    <w:rsid w:val="00B314E8"/>
    <w:rsid w:val="00B31542"/>
    <w:rsid w:val="00B31592"/>
    <w:rsid w:val="00B3626C"/>
    <w:rsid w:val="00B369AC"/>
    <w:rsid w:val="00B400A9"/>
    <w:rsid w:val="00B40A66"/>
    <w:rsid w:val="00B42244"/>
    <w:rsid w:val="00B42F03"/>
    <w:rsid w:val="00B44A10"/>
    <w:rsid w:val="00B46053"/>
    <w:rsid w:val="00B4754E"/>
    <w:rsid w:val="00B50767"/>
    <w:rsid w:val="00B52E7A"/>
    <w:rsid w:val="00B554F1"/>
    <w:rsid w:val="00B55915"/>
    <w:rsid w:val="00B57E4F"/>
    <w:rsid w:val="00B604BB"/>
    <w:rsid w:val="00B63461"/>
    <w:rsid w:val="00B65271"/>
    <w:rsid w:val="00B6556A"/>
    <w:rsid w:val="00B67E21"/>
    <w:rsid w:val="00B70D0A"/>
    <w:rsid w:val="00B74DCE"/>
    <w:rsid w:val="00B75869"/>
    <w:rsid w:val="00B75D71"/>
    <w:rsid w:val="00B8182A"/>
    <w:rsid w:val="00B8642C"/>
    <w:rsid w:val="00B86869"/>
    <w:rsid w:val="00B87EAD"/>
    <w:rsid w:val="00B90605"/>
    <w:rsid w:val="00B9216D"/>
    <w:rsid w:val="00B925F0"/>
    <w:rsid w:val="00B93B22"/>
    <w:rsid w:val="00B95D7B"/>
    <w:rsid w:val="00B9764C"/>
    <w:rsid w:val="00BA0505"/>
    <w:rsid w:val="00BA0883"/>
    <w:rsid w:val="00BA1C50"/>
    <w:rsid w:val="00BA1F0A"/>
    <w:rsid w:val="00BA33AD"/>
    <w:rsid w:val="00BA4269"/>
    <w:rsid w:val="00BA5F3B"/>
    <w:rsid w:val="00BA77CE"/>
    <w:rsid w:val="00BB00F3"/>
    <w:rsid w:val="00BB37F6"/>
    <w:rsid w:val="00BB381B"/>
    <w:rsid w:val="00BB4F1F"/>
    <w:rsid w:val="00BB6FDA"/>
    <w:rsid w:val="00BC42F3"/>
    <w:rsid w:val="00BC4317"/>
    <w:rsid w:val="00BC5449"/>
    <w:rsid w:val="00BD7B23"/>
    <w:rsid w:val="00BE11AA"/>
    <w:rsid w:val="00BE123E"/>
    <w:rsid w:val="00BE5D79"/>
    <w:rsid w:val="00BF03F1"/>
    <w:rsid w:val="00BF12FC"/>
    <w:rsid w:val="00BF15A2"/>
    <w:rsid w:val="00BF6B8A"/>
    <w:rsid w:val="00BF7A83"/>
    <w:rsid w:val="00C02F44"/>
    <w:rsid w:val="00C05569"/>
    <w:rsid w:val="00C05675"/>
    <w:rsid w:val="00C058F1"/>
    <w:rsid w:val="00C06DED"/>
    <w:rsid w:val="00C0776E"/>
    <w:rsid w:val="00C11CCB"/>
    <w:rsid w:val="00C11FC2"/>
    <w:rsid w:val="00C12195"/>
    <w:rsid w:val="00C13CDA"/>
    <w:rsid w:val="00C157E8"/>
    <w:rsid w:val="00C15C84"/>
    <w:rsid w:val="00C2033C"/>
    <w:rsid w:val="00C20FD4"/>
    <w:rsid w:val="00C21689"/>
    <w:rsid w:val="00C23BAE"/>
    <w:rsid w:val="00C24DEF"/>
    <w:rsid w:val="00C25DC9"/>
    <w:rsid w:val="00C26B33"/>
    <w:rsid w:val="00C27268"/>
    <w:rsid w:val="00C30591"/>
    <w:rsid w:val="00C323DA"/>
    <w:rsid w:val="00C33218"/>
    <w:rsid w:val="00C35FCA"/>
    <w:rsid w:val="00C36B95"/>
    <w:rsid w:val="00C40D6A"/>
    <w:rsid w:val="00C432C1"/>
    <w:rsid w:val="00C43F40"/>
    <w:rsid w:val="00C44572"/>
    <w:rsid w:val="00C518C1"/>
    <w:rsid w:val="00C51E58"/>
    <w:rsid w:val="00C5395F"/>
    <w:rsid w:val="00C54E46"/>
    <w:rsid w:val="00C56C96"/>
    <w:rsid w:val="00C5714A"/>
    <w:rsid w:val="00C63936"/>
    <w:rsid w:val="00C74419"/>
    <w:rsid w:val="00C747BE"/>
    <w:rsid w:val="00C77713"/>
    <w:rsid w:val="00C87689"/>
    <w:rsid w:val="00C90910"/>
    <w:rsid w:val="00C90AE7"/>
    <w:rsid w:val="00C91885"/>
    <w:rsid w:val="00C96CF2"/>
    <w:rsid w:val="00CA094A"/>
    <w:rsid w:val="00CA16DB"/>
    <w:rsid w:val="00CA7CC2"/>
    <w:rsid w:val="00CB267D"/>
    <w:rsid w:val="00CB6781"/>
    <w:rsid w:val="00CC26E8"/>
    <w:rsid w:val="00CC4C42"/>
    <w:rsid w:val="00CC768A"/>
    <w:rsid w:val="00CD0B85"/>
    <w:rsid w:val="00CD10FB"/>
    <w:rsid w:val="00CD4A40"/>
    <w:rsid w:val="00CD6630"/>
    <w:rsid w:val="00CD6B2E"/>
    <w:rsid w:val="00CD713F"/>
    <w:rsid w:val="00CE08CB"/>
    <w:rsid w:val="00CE339B"/>
    <w:rsid w:val="00CE3633"/>
    <w:rsid w:val="00CE4CBC"/>
    <w:rsid w:val="00CE7CB0"/>
    <w:rsid w:val="00CF03A0"/>
    <w:rsid w:val="00CF40CF"/>
    <w:rsid w:val="00CF56F1"/>
    <w:rsid w:val="00D03205"/>
    <w:rsid w:val="00D036F3"/>
    <w:rsid w:val="00D03AFD"/>
    <w:rsid w:val="00D05782"/>
    <w:rsid w:val="00D132FC"/>
    <w:rsid w:val="00D20BDB"/>
    <w:rsid w:val="00D233E0"/>
    <w:rsid w:val="00D2340C"/>
    <w:rsid w:val="00D238D2"/>
    <w:rsid w:val="00D2763C"/>
    <w:rsid w:val="00D30A3A"/>
    <w:rsid w:val="00D329F4"/>
    <w:rsid w:val="00D339B2"/>
    <w:rsid w:val="00D3711F"/>
    <w:rsid w:val="00D425F2"/>
    <w:rsid w:val="00D433BD"/>
    <w:rsid w:val="00D46099"/>
    <w:rsid w:val="00D467C8"/>
    <w:rsid w:val="00D50237"/>
    <w:rsid w:val="00D526BE"/>
    <w:rsid w:val="00D54A99"/>
    <w:rsid w:val="00D56186"/>
    <w:rsid w:val="00D57DA5"/>
    <w:rsid w:val="00D62D4F"/>
    <w:rsid w:val="00D640D5"/>
    <w:rsid w:val="00D67A85"/>
    <w:rsid w:val="00D7379E"/>
    <w:rsid w:val="00D756A1"/>
    <w:rsid w:val="00D75D6C"/>
    <w:rsid w:val="00D76F07"/>
    <w:rsid w:val="00D814AB"/>
    <w:rsid w:val="00D81B80"/>
    <w:rsid w:val="00D8411B"/>
    <w:rsid w:val="00D84530"/>
    <w:rsid w:val="00D867B4"/>
    <w:rsid w:val="00D9158D"/>
    <w:rsid w:val="00D918E1"/>
    <w:rsid w:val="00D92A07"/>
    <w:rsid w:val="00D97FB8"/>
    <w:rsid w:val="00DA6576"/>
    <w:rsid w:val="00DA6D18"/>
    <w:rsid w:val="00DB0448"/>
    <w:rsid w:val="00DB0900"/>
    <w:rsid w:val="00DB3763"/>
    <w:rsid w:val="00DB420A"/>
    <w:rsid w:val="00DB588A"/>
    <w:rsid w:val="00DB6EDA"/>
    <w:rsid w:val="00DC0145"/>
    <w:rsid w:val="00DC7524"/>
    <w:rsid w:val="00DD01F7"/>
    <w:rsid w:val="00DD0995"/>
    <w:rsid w:val="00DD24DD"/>
    <w:rsid w:val="00DD29D1"/>
    <w:rsid w:val="00DD4DB0"/>
    <w:rsid w:val="00DD505B"/>
    <w:rsid w:val="00DD58E8"/>
    <w:rsid w:val="00DD7E29"/>
    <w:rsid w:val="00DE02E9"/>
    <w:rsid w:val="00DE34E0"/>
    <w:rsid w:val="00DE4138"/>
    <w:rsid w:val="00DE4222"/>
    <w:rsid w:val="00DE507B"/>
    <w:rsid w:val="00DE789B"/>
    <w:rsid w:val="00DF0179"/>
    <w:rsid w:val="00DF147F"/>
    <w:rsid w:val="00DF1793"/>
    <w:rsid w:val="00DF1A92"/>
    <w:rsid w:val="00DF1FAD"/>
    <w:rsid w:val="00DF31F0"/>
    <w:rsid w:val="00E03496"/>
    <w:rsid w:val="00E0489E"/>
    <w:rsid w:val="00E13653"/>
    <w:rsid w:val="00E139E6"/>
    <w:rsid w:val="00E16DFB"/>
    <w:rsid w:val="00E20CA3"/>
    <w:rsid w:val="00E215B7"/>
    <w:rsid w:val="00E22248"/>
    <w:rsid w:val="00E22693"/>
    <w:rsid w:val="00E240F0"/>
    <w:rsid w:val="00E24268"/>
    <w:rsid w:val="00E24661"/>
    <w:rsid w:val="00E300F5"/>
    <w:rsid w:val="00E31954"/>
    <w:rsid w:val="00E321A8"/>
    <w:rsid w:val="00E332A4"/>
    <w:rsid w:val="00E34C95"/>
    <w:rsid w:val="00E35CDC"/>
    <w:rsid w:val="00E40D64"/>
    <w:rsid w:val="00E41491"/>
    <w:rsid w:val="00E43851"/>
    <w:rsid w:val="00E445E7"/>
    <w:rsid w:val="00E46807"/>
    <w:rsid w:val="00E46AC7"/>
    <w:rsid w:val="00E47E0C"/>
    <w:rsid w:val="00E51CDD"/>
    <w:rsid w:val="00E53517"/>
    <w:rsid w:val="00E57C55"/>
    <w:rsid w:val="00E60812"/>
    <w:rsid w:val="00E60B2F"/>
    <w:rsid w:val="00E63518"/>
    <w:rsid w:val="00E75E06"/>
    <w:rsid w:val="00E75E20"/>
    <w:rsid w:val="00E815A9"/>
    <w:rsid w:val="00E82B49"/>
    <w:rsid w:val="00E83340"/>
    <w:rsid w:val="00E83884"/>
    <w:rsid w:val="00E85255"/>
    <w:rsid w:val="00E86A7C"/>
    <w:rsid w:val="00E93841"/>
    <w:rsid w:val="00E95B2E"/>
    <w:rsid w:val="00EA19F0"/>
    <w:rsid w:val="00EB06A7"/>
    <w:rsid w:val="00EB0DF6"/>
    <w:rsid w:val="00EC1407"/>
    <w:rsid w:val="00EC2844"/>
    <w:rsid w:val="00EC2B2C"/>
    <w:rsid w:val="00EC5577"/>
    <w:rsid w:val="00ED12EA"/>
    <w:rsid w:val="00ED3A51"/>
    <w:rsid w:val="00ED3A98"/>
    <w:rsid w:val="00ED4734"/>
    <w:rsid w:val="00ED6581"/>
    <w:rsid w:val="00ED65C7"/>
    <w:rsid w:val="00ED7D56"/>
    <w:rsid w:val="00EE027F"/>
    <w:rsid w:val="00EE53A2"/>
    <w:rsid w:val="00EE68A7"/>
    <w:rsid w:val="00EE74E6"/>
    <w:rsid w:val="00EF4888"/>
    <w:rsid w:val="00EF48AC"/>
    <w:rsid w:val="00EF5BD6"/>
    <w:rsid w:val="00EF6A9A"/>
    <w:rsid w:val="00F031EC"/>
    <w:rsid w:val="00F06F36"/>
    <w:rsid w:val="00F07772"/>
    <w:rsid w:val="00F10C55"/>
    <w:rsid w:val="00F1567C"/>
    <w:rsid w:val="00F16C12"/>
    <w:rsid w:val="00F16CBD"/>
    <w:rsid w:val="00F1703F"/>
    <w:rsid w:val="00F20013"/>
    <w:rsid w:val="00F24AC6"/>
    <w:rsid w:val="00F25B2C"/>
    <w:rsid w:val="00F25F77"/>
    <w:rsid w:val="00F320B2"/>
    <w:rsid w:val="00F33712"/>
    <w:rsid w:val="00F33746"/>
    <w:rsid w:val="00F3580F"/>
    <w:rsid w:val="00F4135C"/>
    <w:rsid w:val="00F45D9E"/>
    <w:rsid w:val="00F4721D"/>
    <w:rsid w:val="00F5076F"/>
    <w:rsid w:val="00F52622"/>
    <w:rsid w:val="00F52924"/>
    <w:rsid w:val="00F52E35"/>
    <w:rsid w:val="00F566C1"/>
    <w:rsid w:val="00F6055A"/>
    <w:rsid w:val="00F60C6F"/>
    <w:rsid w:val="00F755A7"/>
    <w:rsid w:val="00F767F8"/>
    <w:rsid w:val="00F80AB2"/>
    <w:rsid w:val="00F8157A"/>
    <w:rsid w:val="00F834F1"/>
    <w:rsid w:val="00F95DA0"/>
    <w:rsid w:val="00F95F78"/>
    <w:rsid w:val="00FA09DF"/>
    <w:rsid w:val="00FA0F3E"/>
    <w:rsid w:val="00FB10B3"/>
    <w:rsid w:val="00FB2A25"/>
    <w:rsid w:val="00FB2B82"/>
    <w:rsid w:val="00FB35D3"/>
    <w:rsid w:val="00FC627A"/>
    <w:rsid w:val="00FC66B2"/>
    <w:rsid w:val="00FC720A"/>
    <w:rsid w:val="00FC7A68"/>
    <w:rsid w:val="00FD3230"/>
    <w:rsid w:val="00FD387F"/>
    <w:rsid w:val="00FD5AAD"/>
    <w:rsid w:val="00FD6A45"/>
    <w:rsid w:val="00FD7B7A"/>
    <w:rsid w:val="00FE5B54"/>
    <w:rsid w:val="00FE7DF3"/>
    <w:rsid w:val="00FF1C10"/>
    <w:rsid w:val="00FF5219"/>
    <w:rsid w:val="00FF5CC9"/>
  </w:rsids>
  <m:mathPr>
    <m:mathFont m:val="Cambria Math"/>
    <m:brkBin m:val="before"/>
    <m:brkBinSub m:val="--"/>
    <m:smallFrac m:val="0"/>
    <m:dispDef/>
    <m:lMargin m:val="0"/>
    <m:rMargin m:val="0"/>
    <m:defJc m:val="centerGroup"/>
    <m:wrapIndent m:val="1440"/>
    <m:intLim m:val="subSup"/>
    <m:naryLim m:val="undOvr"/>
  </m:mathPr>
  <w:attachedSchema w:val="http://agro.basf.de/research/aida"/>
  <w:attachedSchema w:val="http://www.basf.com/aida"/>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990F09"/>
  <w15:docId w15:val="{506EFA17-D40A-4010-B2D6-66DC4B51D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sdException w:name="Unresolved Mention" w:uiPriority="99"/>
  </w:latentStyles>
  <w:style w:type="paragraph" w:default="1" w:styleId="Normalny">
    <w:name w:val="Normal"/>
    <w:qFormat/>
    <w:rsid w:val="006E30D6"/>
    <w:rPr>
      <w:sz w:val="22"/>
      <w:szCs w:val="22"/>
      <w:lang w:val="en-US"/>
    </w:rPr>
  </w:style>
  <w:style w:type="paragraph" w:styleId="Nagwek1">
    <w:name w:val="heading 1"/>
    <w:aliases w:val="Rep Heading 1"/>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A10A2B"/>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aliases w:val="Rep Heading 5"/>
    <w:basedOn w:val="RepStandard"/>
    <w:next w:val="RepStandard"/>
    <w:link w:val="Nagwek5Znak"/>
    <w:qFormat/>
    <w:rsid w:val="000A09FB"/>
    <w:pPr>
      <w:keepNext/>
      <w:numPr>
        <w:ilvl w:val="4"/>
        <w:numId w:val="5"/>
      </w:numPr>
      <w:tabs>
        <w:tab w:val="left" w:pos="1418"/>
      </w:tabs>
      <w:spacing w:before="480" w:after="240"/>
      <w:outlineLvl w:val="4"/>
    </w:pPr>
    <w:rPr>
      <w:b/>
      <w:noProof/>
      <w:sz w:val="24"/>
      <w:lang w:val="de-DE"/>
    </w:rPr>
  </w:style>
  <w:style w:type="paragraph" w:styleId="Nagwek6">
    <w:name w:val="heading 6"/>
    <w:next w:val="Normalny"/>
    <w:qFormat/>
    <w:rsid w:val="00A10A2B"/>
    <w:pPr>
      <w:spacing w:before="240" w:after="60"/>
      <w:outlineLvl w:val="5"/>
    </w:pPr>
    <w:rPr>
      <w:rFonts w:ascii="Arial" w:hAnsi="Arial"/>
      <w:noProof/>
      <w:sz w:val="22"/>
    </w:rPr>
  </w:style>
  <w:style w:type="paragraph" w:styleId="Nagwek7">
    <w:name w:val="heading 7"/>
    <w:next w:val="Normalny"/>
    <w:qFormat/>
    <w:rsid w:val="00A10A2B"/>
    <w:pPr>
      <w:spacing w:before="240" w:after="60"/>
      <w:outlineLvl w:val="6"/>
    </w:pPr>
    <w:rPr>
      <w:rFonts w:ascii="Arial" w:hAnsi="Arial"/>
      <w:noProof/>
      <w:sz w:val="22"/>
    </w:rPr>
  </w:style>
  <w:style w:type="paragraph" w:styleId="Nagwek8">
    <w:name w:val="heading 8"/>
    <w:next w:val="Normalny"/>
    <w:qFormat/>
    <w:rsid w:val="00A10A2B"/>
    <w:pPr>
      <w:spacing w:before="240" w:after="60"/>
      <w:outlineLvl w:val="7"/>
    </w:pPr>
    <w:rPr>
      <w:rFonts w:ascii="Arial" w:hAnsi="Arial"/>
      <w:noProof/>
      <w:sz w:val="22"/>
    </w:rPr>
  </w:style>
  <w:style w:type="paragraph" w:styleId="Nagwek9">
    <w:name w:val="heading 9"/>
    <w:aliases w:val="Heading 9 Figure,Heading 9 Table"/>
    <w:next w:val="Normalny"/>
    <w:qFormat/>
    <w:rsid w:val="00A10A2B"/>
    <w:pPr>
      <w:spacing w:before="240" w:after="60"/>
      <w:outlineLvl w:val="8"/>
    </w:pPr>
    <w:rPr>
      <w:rFonts w:ascii="Arial" w:hAnsi="Arial"/>
      <w:noProof/>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rsid w:val="00A10A2B"/>
    <w:pPr>
      <w:spacing w:after="120" w:line="480" w:lineRule="auto"/>
    </w:pPr>
  </w:style>
  <w:style w:type="paragraph" w:styleId="Tekstpodstawowy">
    <w:name w:val="Body Text"/>
    <w:basedOn w:val="Normalny"/>
    <w:rsid w:val="00A10A2B"/>
    <w:pPr>
      <w:spacing w:after="120"/>
    </w:pPr>
  </w:style>
  <w:style w:type="paragraph" w:styleId="Spistreci4">
    <w:name w:val="toc 4"/>
    <w:basedOn w:val="Normalny"/>
    <w:uiPriority w:val="39"/>
    <w:rsid w:val="002B1114"/>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2B1114"/>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2B1114"/>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2B1114"/>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uiPriority w:val="39"/>
    <w:rsid w:val="002B1114"/>
    <w:pPr>
      <w:ind w:left="880"/>
    </w:pPr>
    <w:rPr>
      <w:sz w:val="18"/>
      <w:szCs w:val="21"/>
    </w:rPr>
  </w:style>
  <w:style w:type="paragraph" w:styleId="Spistreci6">
    <w:name w:val="toc 6"/>
    <w:basedOn w:val="Normalny"/>
    <w:next w:val="Normalny"/>
    <w:autoRedefine/>
    <w:uiPriority w:val="39"/>
    <w:rsid w:val="00A10A2B"/>
    <w:pPr>
      <w:ind w:left="1100"/>
    </w:pPr>
    <w:rPr>
      <w:sz w:val="18"/>
      <w:szCs w:val="21"/>
    </w:rPr>
  </w:style>
  <w:style w:type="paragraph" w:styleId="Spistreci7">
    <w:name w:val="toc 7"/>
    <w:basedOn w:val="Normalny"/>
    <w:next w:val="Normalny"/>
    <w:autoRedefine/>
    <w:uiPriority w:val="39"/>
    <w:rsid w:val="00A10A2B"/>
    <w:pPr>
      <w:ind w:left="1320"/>
    </w:pPr>
    <w:rPr>
      <w:sz w:val="18"/>
      <w:szCs w:val="21"/>
    </w:rPr>
  </w:style>
  <w:style w:type="paragraph" w:styleId="Spistreci8">
    <w:name w:val="toc 8"/>
    <w:basedOn w:val="Normalny"/>
    <w:next w:val="Normalny"/>
    <w:autoRedefine/>
    <w:uiPriority w:val="39"/>
    <w:rsid w:val="00A10A2B"/>
    <w:pPr>
      <w:ind w:left="1540"/>
    </w:pPr>
    <w:rPr>
      <w:sz w:val="18"/>
      <w:szCs w:val="21"/>
    </w:rPr>
  </w:style>
  <w:style w:type="paragraph" w:styleId="Spistreci9">
    <w:name w:val="toc 9"/>
    <w:basedOn w:val="Normalny"/>
    <w:next w:val="Normalny"/>
    <w:autoRedefine/>
    <w:uiPriority w:val="39"/>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rsid w:val="00A10A2B"/>
    <w:pPr>
      <w:tabs>
        <w:tab w:val="center" w:pos="4536"/>
        <w:tab w:val="right" w:pos="9072"/>
      </w:tabs>
    </w:pPr>
  </w:style>
  <w:style w:type="paragraph" w:styleId="Stopka">
    <w:name w:val="footer"/>
    <w:aliases w:val="OECD-Fußzeile"/>
    <w:basedOn w:val="Normalny"/>
    <w:link w:val="StopkaZnak"/>
    <w:rsid w:val="00A10A2B"/>
    <w:pPr>
      <w:tabs>
        <w:tab w:val="center" w:pos="4536"/>
        <w:tab w:val="right" w:pos="9072"/>
      </w:tabs>
    </w:pPr>
  </w:style>
  <w:style w:type="character" w:styleId="Numerstrony">
    <w:name w:val="page number"/>
    <w:basedOn w:val="Domylnaczcionkaakapitu"/>
    <w:rsid w:val="00A10A2B"/>
  </w:style>
  <w:style w:type="character" w:customStyle="1" w:styleId="Nagwek1Znak">
    <w:name w:val="Nagłówek 1 Znak"/>
    <w:aliases w:val="Rep Heading 1 Znak"/>
    <w:link w:val="Nagwek1"/>
    <w:rsid w:val="00A10A2B"/>
    <w:rPr>
      <w:rFonts w:eastAsia="MS Mincho"/>
      <w:b/>
      <w:bCs/>
      <w:sz w:val="28"/>
      <w:szCs w:val="28"/>
      <w:lang w:val="en-GB"/>
    </w:rPr>
  </w:style>
  <w:style w:type="paragraph" w:styleId="Tekstdymka">
    <w:name w:val="Balloon Text"/>
    <w:basedOn w:val="Normalny"/>
    <w:link w:val="TekstdymkaZnak"/>
    <w:rsid w:val="00A10A2B"/>
    <w:rPr>
      <w:rFonts w:ascii="Tahoma" w:hAnsi="Tahoma" w:cs="Tahoma"/>
      <w:sz w:val="16"/>
      <w:szCs w:val="16"/>
    </w:rPr>
  </w:style>
  <w:style w:type="character" w:customStyle="1" w:styleId="TekstdymkaZnak">
    <w:name w:val="Tekst dymka Znak"/>
    <w:link w:val="Tekstdymka"/>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0E1183"/>
    <w:rPr>
      <w:sz w:val="22"/>
      <w:szCs w:val="22"/>
    </w:rPr>
  </w:style>
  <w:style w:type="character" w:customStyle="1" w:styleId="RepBullet2Zchn">
    <w:name w:val="Rep Bullet 2 Zchn"/>
    <w:link w:val="RepBullet2"/>
    <w:rsid w:val="000E1183"/>
    <w:rPr>
      <w:sz w:val="22"/>
      <w:szCs w:val="22"/>
      <w:lang w:val="en-GB"/>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aliases w:val="header protocols Zchn"/>
    <w:link w:val="RepPageHeader"/>
    <w:rsid w:val="00A10A2B"/>
    <w:rPr>
      <w:sz w:val="22"/>
      <w:szCs w:val="22"/>
      <w:lang w:val="en-GB"/>
    </w:rPr>
  </w:style>
  <w:style w:type="character" w:customStyle="1" w:styleId="RepPageFooterZchn">
    <w:name w:val="Rep Page Footer Zchn"/>
    <w:link w:val="RepPageFooter"/>
    <w:rsid w:val="00A10A2B"/>
    <w:rPr>
      <w:sz w:val="22"/>
      <w:szCs w:val="22"/>
      <w:lang w:val="en-GB"/>
    </w:rPr>
  </w:style>
  <w:style w:type="character" w:styleId="Odwoaniedokomentarza">
    <w:name w:val="annotation reference"/>
    <w:rsid w:val="00A10A2B"/>
    <w:rPr>
      <w:sz w:val="16"/>
      <w:szCs w:val="16"/>
    </w:rPr>
  </w:style>
  <w:style w:type="table" w:styleId="Tabela-Siatka">
    <w:name w:val="Table Grid"/>
    <w:aliases w:val="Signature Table,DAR007"/>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Rinstructions">
    <w:name w:val="dRR_instructions"/>
    <w:basedOn w:val="Normalny"/>
    <w:link w:val="dRRinstructionsChar"/>
    <w:rsid w:val="00AB5F69"/>
    <w:pPr>
      <w:tabs>
        <w:tab w:val="left" w:pos="720"/>
      </w:tabs>
      <w:spacing w:before="20"/>
      <w:jc w:val="both"/>
    </w:pPr>
    <w:rPr>
      <w:color w:val="0000FF"/>
      <w:szCs w:val="24"/>
      <w:lang w:val="fr-FR" w:eastAsia="en-US"/>
    </w:rPr>
  </w:style>
  <w:style w:type="character" w:styleId="Odwoanieprzypisudolnego">
    <w:name w:val="footnote reference"/>
    <w:rsid w:val="007F6EFF"/>
    <w:rPr>
      <w:vertAlign w:val="superscript"/>
    </w:rPr>
  </w:style>
  <w:style w:type="character" w:customStyle="1" w:styleId="dRRinstructionsChar">
    <w:name w:val="dRR_instructions Char"/>
    <w:link w:val="dRRinstructions"/>
    <w:rsid w:val="00AB5F69"/>
    <w:rPr>
      <w:color w:val="0000FF"/>
      <w:sz w:val="22"/>
      <w:szCs w:val="24"/>
      <w:lang w:val="fr-FR" w:eastAsia="en-US"/>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aliases w:val="o,o + Links,Überschrift1,Tolyl,Beschriftung Char,Beschriftung Char1 Char,Beschriftung Char Char Char,Char Char,Char,Beschriftung Char1,Beschriftung Char1 Char1,Beschriftung Char1 Char Char,Beschriftung Char Char Char Char"/>
    <w:basedOn w:val="Normalny"/>
    <w:next w:val="Normalny"/>
    <w:link w:val="LegendaZnak"/>
    <w:qFormat/>
    <w:rsid w:val="00AB5F69"/>
    <w:rPr>
      <w:b/>
      <w:bCs/>
      <w:sz w:val="20"/>
      <w:szCs w:val="20"/>
    </w:rPr>
  </w:style>
  <w:style w:type="paragraph" w:customStyle="1" w:styleId="RepStandard">
    <w:name w:val="Rep Standard"/>
    <w:link w:val="RepStandardZchnZchn"/>
    <w:qFormat/>
    <w:rsid w:val="00A10A2B"/>
    <w:pPr>
      <w:widowControl w:val="0"/>
      <w:jc w:val="both"/>
    </w:pPr>
    <w:rPr>
      <w:sz w:val="22"/>
      <w:szCs w:val="22"/>
      <w:lang w:val="en-GB"/>
    </w:rPr>
  </w:style>
  <w:style w:type="character" w:customStyle="1" w:styleId="RepStandardZchnZchn">
    <w:name w:val="Rep Standard Zchn Zchn"/>
    <w:link w:val="RepStandard"/>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qFormat/>
    <w:rsid w:val="00A10A2B"/>
    <w:pPr>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14"/>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qFormat/>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qFormat/>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rsid w:val="00A10A2B"/>
    <w:pPr>
      <w:spacing w:before="120"/>
    </w:pPr>
    <w:rPr>
      <w:rFonts w:cs="Arial"/>
      <w:b/>
      <w:bCs/>
      <w:sz w:val="24"/>
    </w:rPr>
  </w:style>
  <w:style w:type="paragraph" w:styleId="Spisilustracji">
    <w:name w:val="table of figures"/>
    <w:basedOn w:val="Normalny"/>
    <w:next w:val="Normalny"/>
    <w:rsid w:val="00A10A2B"/>
  </w:style>
  <w:style w:type="paragraph" w:styleId="Tekstprzypisudolnego">
    <w:name w:val="footnote text"/>
    <w:basedOn w:val="Normalny"/>
    <w:link w:val="TekstprzypisudolnegoZnak"/>
    <w:rsid w:val="00A10A2B"/>
    <w:rPr>
      <w:sz w:val="20"/>
      <w:szCs w:val="20"/>
    </w:rPr>
  </w:style>
  <w:style w:type="paragraph" w:styleId="Zwrotpoegnalny">
    <w:name w:val="Closing"/>
    <w:basedOn w:val="Normalny"/>
    <w:rsid w:val="00A10A2B"/>
    <w:pPr>
      <w:ind w:left="4252"/>
    </w:pPr>
  </w:style>
  <w:style w:type="paragraph" w:styleId="HTML-adres">
    <w:name w:val="HTML Address"/>
    <w:basedOn w:val="Normalny"/>
    <w:rsid w:val="00A10A2B"/>
    <w:rPr>
      <w:i/>
      <w:iCs/>
    </w:rPr>
  </w:style>
  <w:style w:type="paragraph" w:styleId="HTML-wstpniesformatowany">
    <w:name w:val="HTML Preformatted"/>
    <w:basedOn w:val="Normalny"/>
    <w:rsid w:val="00A10A2B"/>
    <w:rPr>
      <w:rFonts w:ascii="Courier New" w:hAnsi="Courier New" w:cs="Courier New"/>
      <w:sz w:val="20"/>
      <w:szCs w:val="20"/>
    </w:rPr>
  </w:style>
  <w:style w:type="paragraph" w:styleId="Indeks1">
    <w:name w:val="index 1"/>
    <w:basedOn w:val="Normalny"/>
    <w:next w:val="Normalny"/>
    <w:autoRedefine/>
    <w:rsid w:val="00A10A2B"/>
    <w:pPr>
      <w:ind w:left="220" w:hanging="220"/>
    </w:pPr>
  </w:style>
  <w:style w:type="paragraph" w:styleId="Indeks2">
    <w:name w:val="index 2"/>
    <w:basedOn w:val="Normalny"/>
    <w:next w:val="Normalny"/>
    <w:autoRedefine/>
    <w:rsid w:val="00A10A2B"/>
    <w:pPr>
      <w:ind w:left="440" w:hanging="220"/>
    </w:pPr>
  </w:style>
  <w:style w:type="paragraph" w:styleId="Indeks3">
    <w:name w:val="index 3"/>
    <w:basedOn w:val="Normalny"/>
    <w:next w:val="Normalny"/>
    <w:autoRedefine/>
    <w:rsid w:val="00A10A2B"/>
    <w:pPr>
      <w:ind w:left="660" w:hanging="220"/>
    </w:pPr>
  </w:style>
  <w:style w:type="paragraph" w:styleId="Indeks4">
    <w:name w:val="index 4"/>
    <w:basedOn w:val="Normalny"/>
    <w:next w:val="Normalny"/>
    <w:autoRedefine/>
    <w:rsid w:val="00A10A2B"/>
    <w:pPr>
      <w:ind w:left="880" w:hanging="220"/>
    </w:pPr>
  </w:style>
  <w:style w:type="paragraph" w:styleId="Indeks5">
    <w:name w:val="index 5"/>
    <w:basedOn w:val="Normalny"/>
    <w:next w:val="Normalny"/>
    <w:autoRedefine/>
    <w:rsid w:val="00A10A2B"/>
    <w:pPr>
      <w:ind w:left="1100" w:hanging="220"/>
    </w:pPr>
  </w:style>
  <w:style w:type="paragraph" w:styleId="Indeks6">
    <w:name w:val="index 6"/>
    <w:basedOn w:val="Normalny"/>
    <w:next w:val="Normalny"/>
    <w:autoRedefine/>
    <w:rsid w:val="00A10A2B"/>
    <w:pPr>
      <w:ind w:left="1320" w:hanging="220"/>
    </w:pPr>
  </w:style>
  <w:style w:type="paragraph" w:styleId="Indeks7">
    <w:name w:val="index 7"/>
    <w:basedOn w:val="Normalny"/>
    <w:next w:val="Normalny"/>
    <w:autoRedefine/>
    <w:rsid w:val="00A10A2B"/>
    <w:pPr>
      <w:ind w:left="1540" w:hanging="220"/>
    </w:pPr>
  </w:style>
  <w:style w:type="paragraph" w:styleId="Indeks8">
    <w:name w:val="index 8"/>
    <w:basedOn w:val="Normalny"/>
    <w:next w:val="Normalny"/>
    <w:autoRedefine/>
    <w:rsid w:val="00A10A2B"/>
    <w:pPr>
      <w:ind w:left="1760" w:hanging="220"/>
    </w:pPr>
  </w:style>
  <w:style w:type="paragraph" w:styleId="Indeks9">
    <w:name w:val="index 9"/>
    <w:basedOn w:val="Normalny"/>
    <w:next w:val="Normalny"/>
    <w:autoRedefine/>
    <w:rsid w:val="00A10A2B"/>
    <w:pPr>
      <w:ind w:left="1980" w:hanging="220"/>
    </w:pPr>
  </w:style>
  <w:style w:type="paragraph" w:styleId="Nagwekindeksu">
    <w:name w:val="index heading"/>
    <w:basedOn w:val="Normalny"/>
    <w:next w:val="Indeks1"/>
    <w:rsid w:val="00A10A2B"/>
    <w:rPr>
      <w:rFonts w:cs="Arial"/>
      <w:b/>
      <w:bCs/>
    </w:rPr>
  </w:style>
  <w:style w:type="paragraph" w:styleId="Tekstkomentarza">
    <w:name w:val="annotation text"/>
    <w:basedOn w:val="Normalny"/>
    <w:link w:val="TekstkomentarzaZnak"/>
    <w:rsid w:val="00A10A2B"/>
    <w:rPr>
      <w:sz w:val="20"/>
      <w:szCs w:val="20"/>
    </w:rPr>
  </w:style>
  <w:style w:type="paragraph" w:styleId="Tematkomentarza">
    <w:name w:val="annotation subject"/>
    <w:basedOn w:val="Tekstkomentarza"/>
    <w:next w:val="Tekstkomentarza"/>
    <w:rsid w:val="00A10A2B"/>
    <w:rPr>
      <w:b/>
      <w:bCs/>
    </w:rPr>
  </w:style>
  <w:style w:type="paragraph" w:styleId="Lista">
    <w:name w:val="List"/>
    <w:basedOn w:val="Normalny"/>
    <w:rsid w:val="00A10A2B"/>
    <w:pPr>
      <w:ind w:left="283" w:hanging="283"/>
    </w:pPr>
  </w:style>
  <w:style w:type="paragraph" w:styleId="Lista2">
    <w:name w:val="List 2"/>
    <w:basedOn w:val="Normalny"/>
    <w:rsid w:val="00A10A2B"/>
    <w:pPr>
      <w:ind w:left="566" w:hanging="283"/>
    </w:pPr>
  </w:style>
  <w:style w:type="paragraph" w:styleId="Lista3">
    <w:name w:val="List 3"/>
    <w:basedOn w:val="Normalny"/>
    <w:rsid w:val="00A10A2B"/>
    <w:pPr>
      <w:ind w:left="849" w:hanging="283"/>
    </w:pPr>
  </w:style>
  <w:style w:type="paragraph" w:styleId="Lista4">
    <w:name w:val="List 4"/>
    <w:basedOn w:val="Normalny"/>
    <w:rsid w:val="00A10A2B"/>
    <w:pPr>
      <w:ind w:left="1132" w:hanging="283"/>
    </w:pPr>
  </w:style>
  <w:style w:type="paragraph" w:styleId="Lista5">
    <w:name w:val="List 5"/>
    <w:basedOn w:val="Normalny"/>
    <w:rsid w:val="00A10A2B"/>
    <w:pPr>
      <w:ind w:left="1415" w:hanging="283"/>
    </w:pPr>
  </w:style>
  <w:style w:type="paragraph" w:styleId="Lista-kontynuacja">
    <w:name w:val="List Continue"/>
    <w:basedOn w:val="Normalny"/>
    <w:rsid w:val="00A10A2B"/>
    <w:pPr>
      <w:spacing w:after="120"/>
      <w:ind w:left="283"/>
    </w:pPr>
  </w:style>
  <w:style w:type="paragraph" w:styleId="Lista-kontynuacja2">
    <w:name w:val="List Continue 2"/>
    <w:basedOn w:val="Normalny"/>
    <w:rsid w:val="00A10A2B"/>
    <w:pPr>
      <w:spacing w:after="120"/>
      <w:ind w:left="566"/>
    </w:pPr>
  </w:style>
  <w:style w:type="paragraph" w:styleId="Lista-kontynuacja3">
    <w:name w:val="List Continue 3"/>
    <w:basedOn w:val="Normalny"/>
    <w:rsid w:val="00A10A2B"/>
    <w:pPr>
      <w:spacing w:after="120"/>
      <w:ind w:left="849"/>
    </w:pPr>
  </w:style>
  <w:style w:type="paragraph" w:styleId="Lista-kontynuacja4">
    <w:name w:val="List Continue 4"/>
    <w:basedOn w:val="Normalny"/>
    <w:rsid w:val="00A10A2B"/>
    <w:pPr>
      <w:spacing w:after="120"/>
      <w:ind w:left="1132"/>
    </w:pPr>
  </w:style>
  <w:style w:type="paragraph" w:styleId="Lista-kontynuacja5">
    <w:name w:val="List Continue 5"/>
    <w:basedOn w:val="Normalny"/>
    <w:rsid w:val="00A10A2B"/>
    <w:pPr>
      <w:spacing w:after="120"/>
      <w:ind w:left="1415"/>
    </w:pPr>
  </w:style>
  <w:style w:type="paragraph" w:styleId="Listanumerowana">
    <w:name w:val="List Number"/>
    <w:basedOn w:val="Normalny"/>
    <w:rsid w:val="00A10A2B"/>
    <w:pPr>
      <w:tabs>
        <w:tab w:val="num" w:pos="360"/>
      </w:tabs>
      <w:ind w:left="360" w:hanging="360"/>
    </w:pPr>
  </w:style>
  <w:style w:type="paragraph" w:styleId="Listanumerowana2">
    <w:name w:val="List Number 2"/>
    <w:basedOn w:val="Normalny"/>
    <w:rsid w:val="00A10A2B"/>
    <w:pPr>
      <w:tabs>
        <w:tab w:val="num" w:pos="643"/>
      </w:tabs>
      <w:ind w:left="643" w:hanging="360"/>
    </w:pPr>
  </w:style>
  <w:style w:type="paragraph" w:styleId="Listanumerowana3">
    <w:name w:val="List Number 3"/>
    <w:basedOn w:val="Normalny"/>
    <w:rsid w:val="00A10A2B"/>
    <w:pPr>
      <w:tabs>
        <w:tab w:val="num" w:pos="926"/>
      </w:tabs>
      <w:ind w:left="926" w:hanging="360"/>
    </w:pPr>
  </w:style>
  <w:style w:type="paragraph" w:styleId="Listanumerowana4">
    <w:name w:val="List Number 4"/>
    <w:basedOn w:val="Normalny"/>
    <w:rsid w:val="00A10A2B"/>
    <w:pPr>
      <w:tabs>
        <w:tab w:val="num" w:pos="1209"/>
      </w:tabs>
      <w:ind w:left="1209" w:hanging="360"/>
    </w:pPr>
  </w:style>
  <w:style w:type="paragraph" w:styleId="Listanumerowana5">
    <w:name w:val="List Number 5"/>
    <w:basedOn w:val="Normalny"/>
    <w:rsid w:val="00A10A2B"/>
    <w:pPr>
      <w:tabs>
        <w:tab w:val="num" w:pos="1492"/>
      </w:tabs>
      <w:ind w:left="1492" w:hanging="360"/>
    </w:pPr>
  </w:style>
  <w:style w:type="paragraph" w:styleId="Tekstmakra">
    <w:name w:val="macro"/>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rPr>
  </w:style>
  <w:style w:type="paragraph" w:styleId="Nagwekwiadomoci">
    <w:name w:val="Message Header"/>
    <w:basedOn w:val="Normalny"/>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rsid w:val="00A10A2B"/>
    <w:rPr>
      <w:rFonts w:ascii="Courier New" w:hAnsi="Courier New" w:cs="Courier New"/>
      <w:sz w:val="20"/>
      <w:szCs w:val="20"/>
    </w:rPr>
  </w:style>
  <w:style w:type="paragraph" w:styleId="Wykazrde">
    <w:name w:val="table of authorities"/>
    <w:basedOn w:val="Normalny"/>
    <w:next w:val="Normalny"/>
    <w:rsid w:val="00A10A2B"/>
    <w:pPr>
      <w:ind w:left="220" w:hanging="220"/>
    </w:pPr>
  </w:style>
  <w:style w:type="paragraph" w:styleId="NormalnyWeb">
    <w:name w:val="Normal (Web)"/>
    <w:basedOn w:val="Normalny"/>
    <w:rsid w:val="00A10A2B"/>
    <w:rPr>
      <w:sz w:val="24"/>
    </w:rPr>
  </w:style>
  <w:style w:type="paragraph" w:styleId="Wcicienormalne">
    <w:name w:val="Normal Indent"/>
    <w:basedOn w:val="Normalny"/>
    <w:rsid w:val="00A10A2B"/>
    <w:pPr>
      <w:ind w:left="708"/>
    </w:pPr>
  </w:style>
  <w:style w:type="paragraph" w:styleId="Tekstpodstawowy3">
    <w:name w:val="Body Text 3"/>
    <w:basedOn w:val="Normalny"/>
    <w:rsid w:val="00A10A2B"/>
    <w:pPr>
      <w:spacing w:after="120"/>
    </w:pPr>
    <w:rPr>
      <w:sz w:val="16"/>
      <w:szCs w:val="16"/>
    </w:rPr>
  </w:style>
  <w:style w:type="paragraph" w:styleId="Tekstpodstawowywcity2">
    <w:name w:val="Body Text Indent 2"/>
    <w:basedOn w:val="Normalny"/>
    <w:rsid w:val="00A10A2B"/>
    <w:pPr>
      <w:spacing w:after="120" w:line="480" w:lineRule="auto"/>
      <w:ind w:left="283"/>
    </w:pPr>
  </w:style>
  <w:style w:type="paragraph" w:styleId="Tekstpodstawowywcity3">
    <w:name w:val="Body Text Indent 3"/>
    <w:basedOn w:val="Normalny"/>
    <w:rsid w:val="00A10A2B"/>
    <w:pPr>
      <w:spacing w:after="120"/>
      <w:ind w:left="283"/>
    </w:pPr>
    <w:rPr>
      <w:sz w:val="16"/>
      <w:szCs w:val="16"/>
    </w:rPr>
  </w:style>
  <w:style w:type="paragraph" w:styleId="Tekstpodstawowyzwciciem">
    <w:name w:val="Body Text First Indent"/>
    <w:basedOn w:val="Tekstpodstawowy"/>
    <w:rsid w:val="00A10A2B"/>
    <w:pPr>
      <w:ind w:firstLine="210"/>
    </w:pPr>
  </w:style>
  <w:style w:type="paragraph" w:styleId="Tekstpodstawowywcity">
    <w:name w:val="Body Text Indent"/>
    <w:basedOn w:val="Normalny"/>
    <w:rsid w:val="00A10A2B"/>
    <w:pPr>
      <w:spacing w:after="120"/>
      <w:ind w:left="283"/>
    </w:pPr>
  </w:style>
  <w:style w:type="paragraph" w:styleId="Tekstpodstawowyzwciciem2">
    <w:name w:val="Body Text First Indent 2"/>
    <w:basedOn w:val="Tekstpodstawowywcity"/>
    <w:rsid w:val="00A10A2B"/>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rsid w:val="00A10A2B"/>
    <w:rPr>
      <w:rFonts w:cs="Arial"/>
      <w:sz w:val="20"/>
      <w:szCs w:val="20"/>
    </w:rPr>
  </w:style>
  <w:style w:type="paragraph" w:styleId="Adresnakopercie">
    <w:name w:val="envelope address"/>
    <w:basedOn w:val="Normalny"/>
    <w:rsid w:val="00A10A2B"/>
    <w:pPr>
      <w:framePr w:w="4320" w:h="2160" w:hRule="exact" w:hSpace="141" w:wrap="auto" w:hAnchor="page" w:xAlign="center" w:yAlign="bottom"/>
      <w:ind w:left="1"/>
    </w:pPr>
    <w:rPr>
      <w:rFonts w:cs="Arial"/>
      <w:sz w:val="24"/>
    </w:rPr>
  </w:style>
  <w:style w:type="paragraph" w:styleId="Podpis">
    <w:name w:val="Signature"/>
    <w:basedOn w:val="Normalny"/>
    <w:rsid w:val="00A10A2B"/>
    <w:pPr>
      <w:ind w:left="4252"/>
    </w:pPr>
  </w:style>
  <w:style w:type="paragraph" w:styleId="Podtytu">
    <w:name w:val="Subtitle"/>
    <w:basedOn w:val="Normalny"/>
    <w:qFormat/>
    <w:rsid w:val="00A10A2B"/>
    <w:pPr>
      <w:spacing w:after="60"/>
      <w:outlineLvl w:val="1"/>
    </w:pPr>
    <w:rPr>
      <w:rFonts w:cs="Arial"/>
      <w:sz w:val="24"/>
    </w:rPr>
  </w:style>
  <w:style w:type="character" w:styleId="Numerwiersza">
    <w:name w:val="line number"/>
    <w:basedOn w:val="Domylnaczcionkaakapitu"/>
    <w:rsid w:val="00A10A2B"/>
  </w:style>
  <w:style w:type="paragraph" w:customStyle="1" w:styleId="RepAppendix2">
    <w:name w:val="Rep Appendix 2"/>
    <w:basedOn w:val="RepStandard"/>
    <w:next w:val="RepStandard"/>
    <w:rsid w:val="00A10A2B"/>
    <w:pPr>
      <w:numPr>
        <w:ilvl w:val="1"/>
        <w:numId w:val="14"/>
      </w:numPr>
      <w:spacing w:before="480" w:after="240"/>
      <w:outlineLvl w:val="1"/>
    </w:pPr>
    <w:rPr>
      <w:b/>
      <w:sz w:val="24"/>
    </w:rPr>
  </w:style>
  <w:style w:type="paragraph" w:customStyle="1" w:styleId="RepAppendix3">
    <w:name w:val="Rep Appendix 3"/>
    <w:basedOn w:val="RepStandard"/>
    <w:next w:val="RepStandard"/>
    <w:rsid w:val="00A10A2B"/>
    <w:pPr>
      <w:numPr>
        <w:ilvl w:val="2"/>
        <w:numId w:val="14"/>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0E1183"/>
    <w:pPr>
      <w:numPr>
        <w:numId w:val="18"/>
      </w:numPr>
      <w:jc w:val="left"/>
    </w:pPr>
    <w:rPr>
      <w:lang w:val="de-DE"/>
    </w:rPr>
  </w:style>
  <w:style w:type="paragraph" w:customStyle="1" w:styleId="RepBullet2">
    <w:name w:val="Rep Bullet 2"/>
    <w:basedOn w:val="RepStandard"/>
    <w:link w:val="RepBullet2Zchn"/>
    <w:autoRedefine/>
    <w:rsid w:val="000E1183"/>
    <w:pPr>
      <w:numPr>
        <w:numId w:val="19"/>
      </w:numPr>
      <w:jc w:val="left"/>
    </w:pPr>
  </w:style>
  <w:style w:type="paragraph" w:customStyle="1" w:styleId="RepBullet3">
    <w:name w:val="Rep Bullet 3"/>
    <w:basedOn w:val="RepStandard"/>
    <w:autoRedefine/>
    <w:rsid w:val="000E1183"/>
    <w:pPr>
      <w:numPr>
        <w:numId w:val="20"/>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rsid w:val="00A10A2B"/>
    <w:pPr>
      <w:numPr>
        <w:numId w:val="9"/>
      </w:numPr>
    </w:pPr>
  </w:style>
  <w:style w:type="numbering" w:styleId="1ai">
    <w:name w:val="Outline List 1"/>
    <w:basedOn w:val="Bezlisty"/>
    <w:rsid w:val="00A10A2B"/>
    <w:pPr>
      <w:numPr>
        <w:numId w:val="10"/>
      </w:numPr>
    </w:pPr>
  </w:style>
  <w:style w:type="paragraph" w:styleId="Zwrotgrzecznociowy">
    <w:name w:val="Salutation"/>
    <w:basedOn w:val="Normalny"/>
    <w:next w:val="Normalny"/>
    <w:rsid w:val="00A10A2B"/>
  </w:style>
  <w:style w:type="numbering" w:styleId="Artykusekcja">
    <w:name w:val="Outline List 3"/>
    <w:basedOn w:val="Bezlisty"/>
    <w:rsid w:val="00A10A2B"/>
    <w:pPr>
      <w:numPr>
        <w:numId w:val="11"/>
      </w:numPr>
    </w:pPr>
  </w:style>
  <w:style w:type="paragraph" w:styleId="Listapunktowana">
    <w:name w:val="List Bullet"/>
    <w:basedOn w:val="Normalny"/>
    <w:rsid w:val="00A10A2B"/>
    <w:pPr>
      <w:numPr>
        <w:numId w:val="1"/>
      </w:numPr>
    </w:pPr>
  </w:style>
  <w:style w:type="paragraph" w:styleId="Listapunktowana2">
    <w:name w:val="List Bullet 2"/>
    <w:basedOn w:val="Normalny"/>
    <w:rsid w:val="00A10A2B"/>
    <w:pPr>
      <w:numPr>
        <w:numId w:val="2"/>
      </w:numPr>
    </w:pPr>
  </w:style>
  <w:style w:type="paragraph" w:styleId="Listapunktowana3">
    <w:name w:val="List Bullet 3"/>
    <w:basedOn w:val="Normalny"/>
    <w:rsid w:val="00A10A2B"/>
    <w:pPr>
      <w:numPr>
        <w:numId w:val="3"/>
      </w:numPr>
    </w:pPr>
  </w:style>
  <w:style w:type="paragraph" w:styleId="Listapunktowana4">
    <w:name w:val="List Bullet 4"/>
    <w:basedOn w:val="Normalny"/>
    <w:rsid w:val="00A10A2B"/>
    <w:pPr>
      <w:numPr>
        <w:numId w:val="4"/>
      </w:numPr>
    </w:pPr>
  </w:style>
  <w:style w:type="paragraph" w:styleId="Listapunktowana5">
    <w:name w:val="List Bullet 5"/>
    <w:basedOn w:val="Normalny"/>
    <w:rsid w:val="00A10A2B"/>
    <w:pPr>
      <w:tabs>
        <w:tab w:val="num" w:pos="1417"/>
      </w:tabs>
      <w:ind w:left="1417" w:hanging="1417"/>
    </w:pPr>
  </w:style>
  <w:style w:type="character" w:styleId="UyteHipercze">
    <w:name w:val="FollowedHyperlink"/>
    <w:rsid w:val="00A10A2B"/>
    <w:rPr>
      <w:color w:val="800080"/>
      <w:u w:val="single"/>
    </w:rPr>
  </w:style>
  <w:style w:type="paragraph" w:styleId="Tekstblokowy">
    <w:name w:val="Block Text"/>
    <w:basedOn w:val="Normalny"/>
    <w:rsid w:val="00A10A2B"/>
    <w:pPr>
      <w:spacing w:after="120"/>
      <w:ind w:left="1440" w:right="1440"/>
    </w:pPr>
  </w:style>
  <w:style w:type="paragraph" w:styleId="Data">
    <w:name w:val="Date"/>
    <w:basedOn w:val="Normalny"/>
    <w:next w:val="Normalny"/>
    <w:rsid w:val="00A10A2B"/>
  </w:style>
  <w:style w:type="paragraph" w:styleId="Podpise-mail">
    <w:name w:val="E-mail Signature"/>
    <w:basedOn w:val="Normalny"/>
    <w:rsid w:val="00A10A2B"/>
  </w:style>
  <w:style w:type="paragraph" w:styleId="Nagwekspisutreci">
    <w:name w:val="TOC Heading"/>
    <w:basedOn w:val="Nagwek1"/>
    <w:next w:val="Normalny"/>
    <w:qFormat/>
    <w:rsid w:val="00AB5F69"/>
    <w:pPr>
      <w:keepNext/>
      <w:widowControl/>
      <w:numPr>
        <w:numId w:val="0"/>
      </w:numPr>
      <w:spacing w:before="240" w:after="60"/>
      <w:jc w:val="left"/>
      <w:outlineLvl w:val="9"/>
    </w:pPr>
    <w:rPr>
      <w:rFonts w:ascii="Cambria" w:eastAsia="Times New Roman" w:hAnsi="Cambria"/>
      <w:kern w:val="32"/>
      <w:sz w:val="32"/>
      <w:szCs w:val="32"/>
      <w:lang w:val="en-US"/>
    </w:rPr>
  </w:style>
  <w:style w:type="paragraph" w:styleId="Nagweknotatki">
    <w:name w:val="Note Heading"/>
    <w:basedOn w:val="Normalny"/>
    <w:next w:val="Normalny"/>
    <w:rsid w:val="00A10A2B"/>
  </w:style>
  <w:style w:type="character" w:styleId="Uwydatnienie">
    <w:name w:val="Emphasis"/>
    <w:qFormat/>
    <w:rsid w:val="003C1D67"/>
    <w:rPr>
      <w:i/>
      <w:iCs/>
    </w:rPr>
  </w:style>
  <w:style w:type="character" w:styleId="HTML-akronim">
    <w:name w:val="HTML Acronym"/>
    <w:basedOn w:val="Domylnaczcionkaakapitu"/>
    <w:rsid w:val="00A10A2B"/>
  </w:style>
  <w:style w:type="character" w:styleId="HTML-przykad">
    <w:name w:val="HTML Sample"/>
    <w:rsid w:val="00A10A2B"/>
    <w:rPr>
      <w:rFonts w:ascii="Courier New" w:hAnsi="Courier New" w:cs="Courier New"/>
    </w:rPr>
  </w:style>
  <w:style w:type="character" w:styleId="HTML-kod">
    <w:name w:val="HTML Code"/>
    <w:rsid w:val="00A10A2B"/>
    <w:rPr>
      <w:rFonts w:ascii="Courier New" w:hAnsi="Courier New" w:cs="Courier New"/>
      <w:sz w:val="20"/>
      <w:szCs w:val="20"/>
    </w:rPr>
  </w:style>
  <w:style w:type="character" w:styleId="HTML-definicja">
    <w:name w:val="HTML Definition"/>
    <w:rsid w:val="00A10A2B"/>
    <w:rPr>
      <w:i/>
      <w:iCs/>
    </w:rPr>
  </w:style>
  <w:style w:type="character" w:styleId="HTML-staaszeroko">
    <w:name w:val="HTML Typewriter"/>
    <w:rsid w:val="00A10A2B"/>
    <w:rPr>
      <w:rFonts w:ascii="Courier New" w:hAnsi="Courier New" w:cs="Courier New"/>
      <w:sz w:val="20"/>
      <w:szCs w:val="20"/>
    </w:rPr>
  </w:style>
  <w:style w:type="character" w:styleId="HTML-klawiatura">
    <w:name w:val="HTML Keyboard"/>
    <w:rsid w:val="00A10A2B"/>
    <w:rPr>
      <w:rFonts w:ascii="Courier New" w:hAnsi="Courier New" w:cs="Courier New"/>
      <w:sz w:val="20"/>
      <w:szCs w:val="20"/>
    </w:rPr>
  </w:style>
  <w:style w:type="character" w:styleId="HTML-zmienna">
    <w:name w:val="HTML Variable"/>
    <w:rsid w:val="00A10A2B"/>
    <w:rPr>
      <w:i/>
      <w:iCs/>
    </w:rPr>
  </w:style>
  <w:style w:type="character" w:styleId="HTML-cytat">
    <w:name w:val="HTML Cite"/>
    <w:rsid w:val="00A10A2B"/>
    <w:rPr>
      <w:i/>
      <w:iCs/>
    </w:rPr>
  </w:style>
  <w:style w:type="table" w:styleId="Tabela-Efekty3D1">
    <w:name w:val="Table 3D effects 1"/>
    <w:basedOn w:val="Standardowy"/>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rsid w:val="00A10A2B"/>
    <w:pPr>
      <w:shd w:val="clear" w:color="auto" w:fill="000080"/>
    </w:pPr>
    <w:rPr>
      <w:rFonts w:ascii="Tahoma" w:hAnsi="Tahoma" w:cs="Tahoma"/>
      <w:sz w:val="20"/>
      <w:szCs w:val="20"/>
    </w:rPr>
  </w:style>
  <w:style w:type="paragraph" w:styleId="Tekstprzypisukocowego">
    <w:name w:val="endnote text"/>
    <w:basedOn w:val="Normalny"/>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14"/>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14"/>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14"/>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styleId="Cytatintensywny">
    <w:name w:val="Intense Quote"/>
    <w:basedOn w:val="Normalny"/>
    <w:next w:val="Normalny"/>
    <w:link w:val="CytatintensywnyZnak"/>
    <w:qFormat/>
    <w:rsid w:val="00AB5F69"/>
    <w:pPr>
      <w:pBdr>
        <w:bottom w:val="single" w:sz="4" w:space="4" w:color="4F81BD"/>
      </w:pBdr>
      <w:spacing w:before="200" w:after="280"/>
      <w:ind w:left="936" w:right="936"/>
    </w:pPr>
    <w:rPr>
      <w:b/>
      <w:bCs/>
      <w:i/>
      <w:iCs/>
      <w:color w:val="4F81BD"/>
    </w:rPr>
  </w:style>
  <w:style w:type="character" w:customStyle="1" w:styleId="Nagwek3Znak">
    <w:name w:val="Nagłówek 3 Znak"/>
    <w:aliases w:val="Rep Heading 3 Znak"/>
    <w:link w:val="Nagwek3"/>
    <w:rsid w:val="00D526BE"/>
    <w:rPr>
      <w:rFonts w:eastAsia="Lucida Sans Unicode" w:cs="Tahoma"/>
      <w:b/>
      <w:bCs/>
      <w:kern w:val="24"/>
      <w:sz w:val="24"/>
      <w:szCs w:val="28"/>
      <w:lang w:val="en-GB"/>
    </w:rPr>
  </w:style>
  <w:style w:type="character" w:customStyle="1" w:styleId="Nagwek4Znak">
    <w:name w:val="Nagłówek 4 Znak"/>
    <w:aliases w:val="Rep Heading 4 Znak"/>
    <w:link w:val="Nagwek4"/>
    <w:rsid w:val="00D526BE"/>
    <w:rPr>
      <w:b/>
      <w:noProof/>
      <w:sz w:val="24"/>
      <w:szCs w:val="24"/>
    </w:rPr>
  </w:style>
  <w:style w:type="character" w:customStyle="1" w:styleId="Nagwek5Znak">
    <w:name w:val="Nagłówek 5 Znak"/>
    <w:aliases w:val="Rep Heading 5 Znak"/>
    <w:link w:val="Nagwek5"/>
    <w:rsid w:val="000A09FB"/>
    <w:rPr>
      <w:b/>
      <w:noProof/>
      <w:sz w:val="24"/>
      <w:szCs w:val="22"/>
    </w:rPr>
  </w:style>
  <w:style w:type="character" w:customStyle="1" w:styleId="MapadokumentuZnak">
    <w:name w:val="Mapa dokumentu Znak"/>
    <w:link w:val="Mapadokumentu"/>
    <w:rsid w:val="00D526BE"/>
    <w:rPr>
      <w:rFonts w:ascii="Tahoma" w:hAnsi="Tahoma" w:cs="Tahoma"/>
      <w:shd w:val="clear" w:color="auto" w:fill="000080"/>
      <w:lang w:val="en-US"/>
    </w:rPr>
  </w:style>
  <w:style w:type="character" w:customStyle="1" w:styleId="Nagwek2Znak">
    <w:name w:val="Nagłówek 2 Znak"/>
    <w:aliases w:val="Rep Heading 2 Znak,Header 1 Znak"/>
    <w:link w:val="Nagwek2"/>
    <w:rsid w:val="008D2FEC"/>
    <w:rPr>
      <w:b/>
      <w:bCs/>
      <w:sz w:val="24"/>
      <w:szCs w:val="24"/>
      <w:lang w:val="en-GB"/>
    </w:rPr>
  </w:style>
  <w:style w:type="character" w:customStyle="1" w:styleId="TekstkomentarzaZnak">
    <w:name w:val="Tekst komentarza Znak"/>
    <w:link w:val="Tekstkomentarza"/>
    <w:rsid w:val="00D526BE"/>
    <w:rPr>
      <w:lang w:val="en-US"/>
    </w:rPr>
  </w:style>
  <w:style w:type="character" w:customStyle="1" w:styleId="CytatintensywnyZnak">
    <w:name w:val="Cytat intensywny Znak"/>
    <w:link w:val="Cytatintensywny"/>
    <w:rsid w:val="00AB5F69"/>
    <w:rPr>
      <w:b/>
      <w:bCs/>
      <w:i/>
      <w:iCs/>
      <w:color w:val="4F81BD"/>
      <w:sz w:val="22"/>
      <w:szCs w:val="22"/>
      <w:lang w:val="en-US"/>
    </w:rPr>
  </w:style>
  <w:style w:type="character" w:customStyle="1" w:styleId="StopkaZnak">
    <w:name w:val="Stopka Znak"/>
    <w:aliases w:val="OECD-Fußzeile Znak"/>
    <w:link w:val="Stopka"/>
    <w:rsid w:val="00D526BE"/>
    <w:rPr>
      <w:sz w:val="22"/>
      <w:szCs w:val="22"/>
      <w:lang w:val="en-US"/>
    </w:rPr>
  </w:style>
  <w:style w:type="paragraph" w:styleId="Bezodstpw">
    <w:name w:val="No Spacing"/>
    <w:qFormat/>
    <w:rsid w:val="00AB5F69"/>
    <w:rPr>
      <w:sz w:val="22"/>
      <w:szCs w:val="22"/>
      <w:lang w:val="en-US"/>
    </w:rPr>
  </w:style>
  <w:style w:type="character" w:customStyle="1" w:styleId="NagwekZnak">
    <w:name w:val="Nagłówek Znak"/>
    <w:aliases w:val="OECD-Kopfzeile Znak,test Znak,header protocols Znak"/>
    <w:link w:val="Nagwek"/>
    <w:locked/>
    <w:rsid w:val="008D2FEC"/>
    <w:rPr>
      <w:sz w:val="22"/>
      <w:szCs w:val="22"/>
      <w:lang w:val="en-US"/>
    </w:rPr>
  </w:style>
  <w:style w:type="paragraph" w:styleId="Akapitzlist">
    <w:name w:val="List Paragraph"/>
    <w:basedOn w:val="Normalny"/>
    <w:link w:val="AkapitzlistZnak"/>
    <w:qFormat/>
    <w:rsid w:val="00AB5F69"/>
    <w:pPr>
      <w:ind w:left="708"/>
    </w:pPr>
  </w:style>
  <w:style w:type="paragraph" w:styleId="Bibliografia">
    <w:name w:val="Bibliography"/>
    <w:basedOn w:val="Normalny"/>
    <w:next w:val="Normalny"/>
    <w:rsid w:val="00AB5F69"/>
  </w:style>
  <w:style w:type="paragraph" w:styleId="Cytat">
    <w:name w:val="Quote"/>
    <w:basedOn w:val="Normalny"/>
    <w:next w:val="Normalny"/>
    <w:link w:val="CytatZnak"/>
    <w:qFormat/>
    <w:rsid w:val="00AB5F69"/>
    <w:rPr>
      <w:i/>
      <w:iCs/>
      <w:color w:val="000000"/>
    </w:rPr>
  </w:style>
  <w:style w:type="paragraph" w:styleId="Poprawka">
    <w:name w:val="Revision"/>
    <w:hidden/>
    <w:rsid w:val="00D526BE"/>
    <w:rPr>
      <w:sz w:val="22"/>
      <w:lang w:val="en-GB"/>
    </w:rPr>
  </w:style>
  <w:style w:type="character" w:customStyle="1" w:styleId="CytatZnak">
    <w:name w:val="Cytat Znak"/>
    <w:link w:val="Cytat"/>
    <w:rsid w:val="00AB5F69"/>
    <w:rPr>
      <w:i/>
      <w:iCs/>
      <w:color w:val="000000"/>
      <w:sz w:val="22"/>
      <w:szCs w:val="22"/>
      <w:lang w:val="en-US"/>
    </w:rPr>
  </w:style>
  <w:style w:type="paragraph" w:customStyle="1" w:styleId="TableText8pt">
    <w:name w:val="Table Text 8pt"/>
    <w:basedOn w:val="Normalny"/>
    <w:rsid w:val="00720E1C"/>
    <w:pPr>
      <w:tabs>
        <w:tab w:val="left" w:pos="720"/>
      </w:tabs>
      <w:spacing w:before="40" w:after="40"/>
      <w:jc w:val="center"/>
    </w:pPr>
    <w:rPr>
      <w:sz w:val="16"/>
      <w:szCs w:val="24"/>
      <w:lang w:val="en-GB" w:eastAsia="en-US"/>
    </w:rPr>
  </w:style>
  <w:style w:type="paragraph" w:customStyle="1" w:styleId="StyleOECD-BASIS-TEXTLeft">
    <w:name w:val="Style OECD-BASIS-TEXT + Left"/>
    <w:basedOn w:val="Normalny"/>
    <w:rsid w:val="00CE08CB"/>
    <w:pPr>
      <w:jc w:val="both"/>
    </w:pPr>
    <w:rPr>
      <w:color w:val="000000"/>
      <w:sz w:val="24"/>
      <w:lang w:val="en-GB" w:eastAsia="en-US"/>
    </w:rPr>
  </w:style>
  <w:style w:type="character" w:customStyle="1" w:styleId="OECD-BASIS-TEXTChar">
    <w:name w:val="OECD-BASIS-TEXT Char"/>
    <w:aliases w:val="BT Char"/>
    <w:link w:val="OECD-BASIS-TEXT"/>
    <w:locked/>
    <w:rsid w:val="001F0B81"/>
    <w:rPr>
      <w:color w:val="000000"/>
      <w:sz w:val="24"/>
      <w:szCs w:val="22"/>
      <w:lang w:val="en-GB" w:eastAsia="en-US"/>
    </w:rPr>
  </w:style>
  <w:style w:type="paragraph" w:customStyle="1" w:styleId="OECD-BASIS-TEXT">
    <w:name w:val="OECD-BASIS-TEXT"/>
    <w:aliases w:val="BT"/>
    <w:link w:val="OECD-BASIS-TEXTChar"/>
    <w:qFormat/>
    <w:rsid w:val="001F0B81"/>
    <w:pPr>
      <w:jc w:val="both"/>
    </w:pPr>
    <w:rPr>
      <w:color w:val="000000"/>
      <w:sz w:val="24"/>
      <w:szCs w:val="22"/>
      <w:lang w:val="en-GB" w:eastAsia="en-US"/>
    </w:rPr>
  </w:style>
  <w:style w:type="character" w:customStyle="1" w:styleId="ReferencesZchn">
    <w:name w:val="References Zchn"/>
    <w:link w:val="References"/>
    <w:locked/>
    <w:rsid w:val="001F0B81"/>
    <w:rPr>
      <w:rFonts w:ascii="Arial" w:eastAsia="SimSun" w:hAnsi="Arial" w:cs="Arial"/>
      <w:color w:val="000000"/>
      <w:sz w:val="22"/>
      <w:szCs w:val="22"/>
      <w:lang w:val="en-US" w:eastAsia="zh-CN"/>
    </w:rPr>
  </w:style>
  <w:style w:type="paragraph" w:customStyle="1" w:styleId="References">
    <w:name w:val="References"/>
    <w:basedOn w:val="Legenda"/>
    <w:link w:val="ReferencesZchn"/>
    <w:rsid w:val="001F0B81"/>
    <w:pPr>
      <w:autoSpaceDE w:val="0"/>
      <w:autoSpaceDN w:val="0"/>
      <w:adjustRightInd w:val="0"/>
      <w:spacing w:before="120" w:after="120"/>
      <w:ind w:left="992" w:hanging="992"/>
      <w:jc w:val="both"/>
    </w:pPr>
    <w:rPr>
      <w:rFonts w:ascii="Arial" w:eastAsia="SimSun" w:hAnsi="Arial" w:cs="Arial"/>
      <w:b w:val="0"/>
      <w:bCs w:val="0"/>
      <w:color w:val="000000"/>
      <w:sz w:val="22"/>
      <w:szCs w:val="22"/>
      <w:lang w:eastAsia="zh-CN"/>
    </w:rPr>
  </w:style>
  <w:style w:type="paragraph" w:customStyle="1" w:styleId="Default">
    <w:name w:val="Default"/>
    <w:rsid w:val="00CE339B"/>
    <w:pPr>
      <w:autoSpaceDE w:val="0"/>
      <w:autoSpaceDN w:val="0"/>
      <w:adjustRightInd w:val="0"/>
    </w:pPr>
    <w:rPr>
      <w:rFonts w:eastAsia="Calibri"/>
      <w:color w:val="000000"/>
      <w:sz w:val="24"/>
      <w:szCs w:val="24"/>
    </w:rPr>
  </w:style>
  <w:style w:type="character" w:styleId="Nierozpoznanawzmianka">
    <w:name w:val="Unresolved Mention"/>
    <w:basedOn w:val="Domylnaczcionkaakapitu"/>
    <w:uiPriority w:val="99"/>
    <w:rsid w:val="00E51CDD"/>
    <w:rPr>
      <w:color w:val="605E5C"/>
      <w:shd w:val="clear" w:color="auto" w:fill="E1DFDD"/>
    </w:rPr>
  </w:style>
  <w:style w:type="character" w:customStyle="1" w:styleId="AkapitzlistZnak">
    <w:name w:val="Akapit z listą Znak"/>
    <w:basedOn w:val="Domylnaczcionkaakapitu"/>
    <w:link w:val="Akapitzlist"/>
    <w:locked/>
    <w:rsid w:val="00E51CDD"/>
    <w:rPr>
      <w:sz w:val="22"/>
      <w:szCs w:val="22"/>
      <w:lang w:val="en-US"/>
    </w:rPr>
  </w:style>
  <w:style w:type="character" w:customStyle="1" w:styleId="LegendaZnak">
    <w:name w:val="Legenda Znak"/>
    <w:aliases w:val="o Znak,o + Links Znak,Überschrift1 Znak,Tolyl Znak,Beschriftung Char Znak,Beschriftung Char1 Char Znak,Beschriftung Char Char Char Znak,Char Char Znak,Char Znak,Beschriftung Char1 Znak,Beschriftung Char1 Char1 Znak"/>
    <w:link w:val="Legenda"/>
    <w:locked/>
    <w:rsid w:val="00E51CDD"/>
    <w:rPr>
      <w:b/>
      <w:bCs/>
      <w:lang w:val="en-US"/>
    </w:rPr>
  </w:style>
  <w:style w:type="character" w:customStyle="1" w:styleId="TekstprzypisudolnegoZnak">
    <w:name w:val="Tekst przypisu dolnego Znak"/>
    <w:basedOn w:val="Domylnaczcionkaakapitu"/>
    <w:link w:val="Tekstprzypisudolnego"/>
    <w:uiPriority w:val="99"/>
    <w:rsid w:val="00E51CDD"/>
    <w:rPr>
      <w:lang w:val="en-US"/>
    </w:rPr>
  </w:style>
  <w:style w:type="paragraph" w:customStyle="1" w:styleId="LoEtextChar">
    <w:name w:val="_LoE_text Char"/>
    <w:basedOn w:val="Normalny"/>
    <w:link w:val="LoEtextCharChar"/>
    <w:rsid w:val="00E51CDD"/>
    <w:pPr>
      <w:numPr>
        <w:ilvl w:val="12"/>
      </w:numPr>
      <w:spacing w:line="240" w:lineRule="atLeast"/>
    </w:pPr>
    <w:rPr>
      <w:sz w:val="20"/>
      <w:szCs w:val="20"/>
      <w:lang w:val="en-GB" w:eastAsia="en-US"/>
    </w:rPr>
  </w:style>
  <w:style w:type="character" w:customStyle="1" w:styleId="LoEtextCharChar">
    <w:name w:val="_LoE_text Char Char"/>
    <w:link w:val="LoEtextChar"/>
    <w:rsid w:val="00E51CDD"/>
    <w:rPr>
      <w:lang w:val="en-GB" w:eastAsia="en-US"/>
    </w:rPr>
  </w:style>
  <w:style w:type="paragraph" w:customStyle="1" w:styleId="Ecotoxnormal">
    <w:name w:val="Ecotox normal"/>
    <w:basedOn w:val="Normalny"/>
    <w:qFormat/>
    <w:rsid w:val="00E51CDD"/>
    <w:pPr>
      <w:spacing w:line="264" w:lineRule="auto"/>
      <w:jc w:val="both"/>
    </w:pPr>
    <w:rPr>
      <w:szCs w:val="24"/>
      <w:lang w:val="en-GB" w:eastAsia="fr-FR"/>
    </w:rPr>
  </w:style>
  <w:style w:type="paragraph" w:customStyle="1" w:styleId="Ecotoxtablenote">
    <w:name w:val="Ecotox table note"/>
    <w:basedOn w:val="Ecotoxnormal"/>
    <w:next w:val="Ecotoxnormal"/>
    <w:qFormat/>
    <w:rsid w:val="00E51CDD"/>
    <w:rPr>
      <w:i/>
      <w:sz w:val="20"/>
    </w:rPr>
  </w:style>
  <w:style w:type="table" w:customStyle="1" w:styleId="Tabellenraster3">
    <w:name w:val="Tabellenraster3"/>
    <w:basedOn w:val="Standardowy"/>
    <w:next w:val="Tabela-Siatka"/>
    <w:rsid w:val="00E51C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E51CDD"/>
  </w:style>
  <w:style w:type="character" w:customStyle="1" w:styleId="TableCaptionZchn">
    <w:name w:val="Table Caption Zchn"/>
    <w:basedOn w:val="Domylnaczcionkaakapitu"/>
    <w:link w:val="TableCaption"/>
    <w:locked/>
    <w:rsid w:val="00E51CDD"/>
    <w:rPr>
      <w:b/>
      <w:sz w:val="24"/>
      <w:szCs w:val="24"/>
      <w:lang w:val="en-US" w:eastAsia="en-US"/>
    </w:rPr>
  </w:style>
  <w:style w:type="paragraph" w:customStyle="1" w:styleId="TableCaption">
    <w:name w:val="Table Caption"/>
    <w:basedOn w:val="Normalny"/>
    <w:link w:val="TableCaptionZchn"/>
    <w:qFormat/>
    <w:rsid w:val="00E51CDD"/>
    <w:pPr>
      <w:keepNext/>
      <w:keepLines/>
      <w:spacing w:after="120"/>
      <w:ind w:left="1701" w:hanging="1701"/>
      <w:jc w:val="both"/>
    </w:pPr>
    <w:rPr>
      <w:b/>
      <w:sz w:val="24"/>
      <w:szCs w:val="24"/>
      <w:lang w:eastAsia="en-US"/>
    </w:rPr>
  </w:style>
  <w:style w:type="paragraph" w:customStyle="1" w:styleId="TableFootnote">
    <w:name w:val="Table Footnote"/>
    <w:basedOn w:val="Normalny"/>
    <w:link w:val="TableFootnoteZchn"/>
    <w:rsid w:val="00E51CDD"/>
    <w:pPr>
      <w:tabs>
        <w:tab w:val="left" w:pos="720"/>
      </w:tabs>
      <w:ind w:left="284" w:hanging="284"/>
      <w:jc w:val="both"/>
    </w:pPr>
    <w:rPr>
      <w:sz w:val="18"/>
      <w:szCs w:val="24"/>
      <w:lang w:val="en-GB" w:eastAsia="en-US"/>
    </w:rPr>
  </w:style>
  <w:style w:type="character" w:customStyle="1" w:styleId="TableFootnoteZchn">
    <w:name w:val="Table Footnote Zchn"/>
    <w:basedOn w:val="Domylnaczcionkaakapitu"/>
    <w:link w:val="TableFootnote"/>
    <w:rsid w:val="00E51CDD"/>
    <w:rPr>
      <w:sz w:val="18"/>
      <w:szCs w:val="24"/>
      <w:lang w:val="en-GB" w:eastAsia="en-US"/>
    </w:rPr>
  </w:style>
  <w:style w:type="table" w:customStyle="1" w:styleId="DAR0071">
    <w:name w:val="DAR0071"/>
    <w:basedOn w:val="Standardowy"/>
    <w:next w:val="Tabela-Siatka"/>
    <w:uiPriority w:val="59"/>
    <w:rsid w:val="00E51CD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2">
    <w:name w:val="DAR0072"/>
    <w:basedOn w:val="Standardowy"/>
    <w:next w:val="Tabela-Siatka"/>
    <w:uiPriority w:val="59"/>
    <w:rsid w:val="00E51CD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3">
    <w:name w:val="DAR0073"/>
    <w:basedOn w:val="Standardowy"/>
    <w:next w:val="Tabela-Siatka"/>
    <w:uiPriority w:val="59"/>
    <w:rsid w:val="00E51CD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4">
    <w:name w:val="DAR0074"/>
    <w:basedOn w:val="Standardowy"/>
    <w:next w:val="Tabela-Siatka"/>
    <w:uiPriority w:val="59"/>
    <w:rsid w:val="00E51CD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5">
    <w:name w:val="DAR0075"/>
    <w:basedOn w:val="Standardowy"/>
    <w:next w:val="Tabela-Siatka"/>
    <w:rsid w:val="00E51CD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41">
    <w:name w:val="DAR00741"/>
    <w:basedOn w:val="Standardowy"/>
    <w:next w:val="Tabela-Siatka"/>
    <w:uiPriority w:val="59"/>
    <w:rsid w:val="00E51CDD"/>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6">
    <w:name w:val="DAR0076"/>
    <w:basedOn w:val="Standardowy"/>
    <w:next w:val="Tabela-Siatka"/>
    <w:rsid w:val="00E51CD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7">
    <w:name w:val="DAR0077"/>
    <w:basedOn w:val="Standardowy"/>
    <w:next w:val="Tabela-Siatka"/>
    <w:uiPriority w:val="59"/>
    <w:rsid w:val="00E51CDD"/>
    <w:pPr>
      <w:jc w:val="center"/>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8">
    <w:name w:val="DAR0078"/>
    <w:basedOn w:val="Standardowy"/>
    <w:next w:val="Tabela-Siatka"/>
    <w:rsid w:val="00E51CD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9">
    <w:name w:val="DAR0079"/>
    <w:basedOn w:val="Standardowy"/>
    <w:next w:val="Tabela-Siatka"/>
    <w:rsid w:val="00E51CD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51">
    <w:name w:val="DAR00751"/>
    <w:basedOn w:val="Standardowy"/>
    <w:next w:val="Tabela-Siatka"/>
    <w:rsid w:val="00E51CDD"/>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11">
    <w:name w:val="DAR00711"/>
    <w:basedOn w:val="Standardowy"/>
    <w:next w:val="Tabela-Siatka"/>
    <w:rsid w:val="00E51CD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12">
    <w:name w:val="DAR00712"/>
    <w:basedOn w:val="Standardowy"/>
    <w:next w:val="Tabela-Siatka"/>
    <w:rsid w:val="00E51CDD"/>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111">
    <w:name w:val="DAR007111"/>
    <w:basedOn w:val="Standardowy"/>
    <w:uiPriority w:val="59"/>
    <w:rsid w:val="00E51CDD"/>
    <w:rPr>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21">
    <w:name w:val="DAR00721"/>
    <w:basedOn w:val="Standardowy"/>
    <w:next w:val="Tabela-Siatka"/>
    <w:rsid w:val="00E51CDD"/>
    <w:rPr>
      <w:rFonts w:ascii="Arial" w:hAnsi="Arial"/>
      <w:sz w:val="22"/>
      <w:szCs w:val="24"/>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DAR00713">
    <w:name w:val="DAR00713"/>
    <w:basedOn w:val="Standardowy"/>
    <w:next w:val="Tabela-Siatka"/>
    <w:uiPriority w:val="59"/>
    <w:rsid w:val="00E51CDD"/>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9pt">
    <w:name w:val="Table Text 9pt"/>
    <w:basedOn w:val="Normalny"/>
    <w:link w:val="TableText9ptChar"/>
    <w:rsid w:val="002C2D66"/>
    <w:pPr>
      <w:keepLines/>
      <w:overflowPunct w:val="0"/>
      <w:autoSpaceDE w:val="0"/>
      <w:autoSpaceDN w:val="0"/>
      <w:adjustRightInd w:val="0"/>
      <w:spacing w:before="40"/>
      <w:textAlignment w:val="baseline"/>
    </w:pPr>
    <w:rPr>
      <w:sz w:val="18"/>
      <w:szCs w:val="20"/>
      <w:lang w:val="de-DE"/>
    </w:rPr>
  </w:style>
  <w:style w:type="character" w:customStyle="1" w:styleId="TableText9ptChar">
    <w:name w:val="Table Text 9pt Char"/>
    <w:link w:val="TableText9pt"/>
    <w:rsid w:val="002C2D66"/>
    <w:rPr>
      <w:sz w:val="18"/>
    </w:rPr>
  </w:style>
  <w:style w:type="paragraph" w:customStyle="1" w:styleId="TableText">
    <w:name w:val="TableText"/>
    <w:aliases w:val="DAR011"/>
    <w:basedOn w:val="Normalny"/>
    <w:link w:val="TableTextChar"/>
    <w:qFormat/>
    <w:rsid w:val="002C2D66"/>
    <w:pPr>
      <w:keepNext/>
    </w:pPr>
    <w:rPr>
      <w:sz w:val="20"/>
      <w:szCs w:val="20"/>
      <w:lang w:val="en-GB"/>
    </w:rPr>
  </w:style>
  <w:style w:type="character" w:customStyle="1" w:styleId="TableTextChar">
    <w:name w:val="TableText Char"/>
    <w:aliases w:val="DAR011 Char"/>
    <w:link w:val="TableText"/>
    <w:rsid w:val="002C2D66"/>
    <w:rPr>
      <w:lang w:val="en-GB"/>
    </w:rPr>
  </w:style>
  <w:style w:type="character" w:customStyle="1" w:styleId="MainText10GABZchn">
    <w:name w:val="MainText 10 GAB Zchn"/>
    <w:link w:val="MainText10GAB"/>
    <w:locked/>
    <w:rsid w:val="00895E31"/>
    <w:rPr>
      <w:szCs w:val="24"/>
    </w:rPr>
  </w:style>
  <w:style w:type="paragraph" w:customStyle="1" w:styleId="MainText10GAB">
    <w:name w:val="MainText 10 GAB"/>
    <w:link w:val="MainText10GABZchn"/>
    <w:qFormat/>
    <w:rsid w:val="00895E31"/>
    <w:pPr>
      <w:spacing w:after="120"/>
      <w:jc w:val="both"/>
    </w:pPr>
    <w:rPr>
      <w:szCs w:val="24"/>
    </w:rPr>
  </w:style>
  <w:style w:type="character" w:customStyle="1" w:styleId="VcursiveGAB">
    <w:name w:val="V cursive GAB"/>
    <w:qFormat/>
    <w:rsid w:val="00895E31"/>
    <w:rPr>
      <w:b w:val="0"/>
      <w:bCs w:val="0"/>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9954">
      <w:bodyDiv w:val="1"/>
      <w:marLeft w:val="0"/>
      <w:marRight w:val="0"/>
      <w:marTop w:val="0"/>
      <w:marBottom w:val="0"/>
      <w:divBdr>
        <w:top w:val="none" w:sz="0" w:space="0" w:color="auto"/>
        <w:left w:val="none" w:sz="0" w:space="0" w:color="auto"/>
        <w:bottom w:val="none" w:sz="0" w:space="0" w:color="auto"/>
        <w:right w:val="none" w:sz="0" w:space="0" w:color="auto"/>
      </w:divBdr>
    </w:div>
    <w:div w:id="226650033">
      <w:bodyDiv w:val="1"/>
      <w:marLeft w:val="0"/>
      <w:marRight w:val="0"/>
      <w:marTop w:val="0"/>
      <w:marBottom w:val="0"/>
      <w:divBdr>
        <w:top w:val="none" w:sz="0" w:space="0" w:color="auto"/>
        <w:left w:val="none" w:sz="0" w:space="0" w:color="auto"/>
        <w:bottom w:val="none" w:sz="0" w:space="0" w:color="auto"/>
        <w:right w:val="none" w:sz="0" w:space="0" w:color="auto"/>
      </w:divBdr>
    </w:div>
    <w:div w:id="351340878">
      <w:bodyDiv w:val="1"/>
      <w:marLeft w:val="0"/>
      <w:marRight w:val="0"/>
      <w:marTop w:val="0"/>
      <w:marBottom w:val="0"/>
      <w:divBdr>
        <w:top w:val="none" w:sz="0" w:space="0" w:color="auto"/>
        <w:left w:val="none" w:sz="0" w:space="0" w:color="auto"/>
        <w:bottom w:val="none" w:sz="0" w:space="0" w:color="auto"/>
        <w:right w:val="none" w:sz="0" w:space="0" w:color="auto"/>
      </w:divBdr>
    </w:div>
    <w:div w:id="976031663">
      <w:bodyDiv w:val="1"/>
      <w:marLeft w:val="0"/>
      <w:marRight w:val="0"/>
      <w:marTop w:val="0"/>
      <w:marBottom w:val="0"/>
      <w:divBdr>
        <w:top w:val="none" w:sz="0" w:space="0" w:color="auto"/>
        <w:left w:val="none" w:sz="0" w:space="0" w:color="auto"/>
        <w:bottom w:val="none" w:sz="0" w:space="0" w:color="auto"/>
        <w:right w:val="none" w:sz="0" w:space="0" w:color="auto"/>
      </w:divBdr>
    </w:div>
    <w:div w:id="1318991622">
      <w:bodyDiv w:val="1"/>
      <w:marLeft w:val="0"/>
      <w:marRight w:val="0"/>
      <w:marTop w:val="0"/>
      <w:marBottom w:val="0"/>
      <w:divBdr>
        <w:top w:val="none" w:sz="0" w:space="0" w:color="auto"/>
        <w:left w:val="none" w:sz="0" w:space="0" w:color="auto"/>
        <w:bottom w:val="none" w:sz="0" w:space="0" w:color="auto"/>
        <w:right w:val="none" w:sz="0" w:space="0" w:color="auto"/>
      </w:divBdr>
    </w:div>
    <w:div w:id="1637879956">
      <w:bodyDiv w:val="1"/>
      <w:marLeft w:val="0"/>
      <w:marRight w:val="0"/>
      <w:marTop w:val="0"/>
      <w:marBottom w:val="0"/>
      <w:divBdr>
        <w:top w:val="none" w:sz="0" w:space="0" w:color="auto"/>
        <w:left w:val="none" w:sz="0" w:space="0" w:color="auto"/>
        <w:bottom w:val="none" w:sz="0" w:space="0" w:color="auto"/>
        <w:right w:val="none" w:sz="0" w:space="0" w:color="auto"/>
      </w:divBdr>
    </w:div>
    <w:div w:id="1756050850">
      <w:bodyDiv w:val="1"/>
      <w:marLeft w:val="0"/>
      <w:marRight w:val="0"/>
      <w:marTop w:val="0"/>
      <w:marBottom w:val="0"/>
      <w:divBdr>
        <w:top w:val="none" w:sz="0" w:space="0" w:color="auto"/>
        <w:left w:val="none" w:sz="0" w:space="0" w:color="auto"/>
        <w:bottom w:val="none" w:sz="0" w:space="0" w:color="auto"/>
        <w:right w:val="none" w:sz="0" w:space="0" w:color="auto"/>
      </w:divBdr>
    </w:div>
    <w:div w:id="1890069631">
      <w:bodyDiv w:val="1"/>
      <w:marLeft w:val="0"/>
      <w:marRight w:val="0"/>
      <w:marTop w:val="0"/>
      <w:marBottom w:val="0"/>
      <w:divBdr>
        <w:top w:val="none" w:sz="0" w:space="0" w:color="auto"/>
        <w:left w:val="none" w:sz="0" w:space="0" w:color="auto"/>
        <w:bottom w:val="none" w:sz="0" w:space="0" w:color="auto"/>
        <w:right w:val="none" w:sz="0" w:space="0" w:color="auto"/>
      </w:divBdr>
    </w:div>
    <w:div w:id="210121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header" Target="header7.xml"/><Relationship Id="rId39" Type="http://schemas.openxmlformats.org/officeDocument/2006/relationships/header" Target="header15.xml"/><Relationship Id="rId21" Type="http://schemas.openxmlformats.org/officeDocument/2006/relationships/image" Target="media/image7.png"/><Relationship Id="rId34" Type="http://schemas.openxmlformats.org/officeDocument/2006/relationships/footer" Target="footer10.xml"/><Relationship Id="rId42" Type="http://schemas.openxmlformats.org/officeDocument/2006/relationships/hyperlink" Target="https://bcgov-env.shinyapps.io/ssdtools" TargetMode="External"/><Relationship Id="rId47" Type="http://schemas.openxmlformats.org/officeDocument/2006/relationships/header" Target="header19.xml"/><Relationship Id="rId50" Type="http://schemas.openxmlformats.org/officeDocument/2006/relationships/footer" Target="footer15.xml"/><Relationship Id="rId55" Type="http://schemas.openxmlformats.org/officeDocument/2006/relationships/header" Target="header23.xml"/><Relationship Id="rId63" Type="http://schemas.openxmlformats.org/officeDocument/2006/relationships/header" Target="header27.xml"/><Relationship Id="rId68" Type="http://schemas.openxmlformats.org/officeDocument/2006/relationships/footer" Target="footer24.xml"/><Relationship Id="rId76" Type="http://schemas.openxmlformats.org/officeDocument/2006/relationships/header" Target="header33.xml"/><Relationship Id="rId7" Type="http://schemas.openxmlformats.org/officeDocument/2006/relationships/endnotes" Target="endnotes.xml"/><Relationship Id="rId71" Type="http://schemas.openxmlformats.org/officeDocument/2006/relationships/header" Target="header31.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footer" Target="footer8.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footer" Target="footer11.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19.xml"/><Relationship Id="rId66" Type="http://schemas.openxmlformats.org/officeDocument/2006/relationships/footer" Target="footer23.xml"/><Relationship Id="rId74" Type="http://schemas.openxmlformats.org/officeDocument/2006/relationships/header" Target="header32.xml"/><Relationship Id="rId79" Type="http://schemas.openxmlformats.org/officeDocument/2006/relationships/footer" Target="footer29.xml"/><Relationship Id="rId5" Type="http://schemas.openxmlformats.org/officeDocument/2006/relationships/webSettings" Target="webSettings.xml"/><Relationship Id="rId61" Type="http://schemas.openxmlformats.org/officeDocument/2006/relationships/header" Target="header26.xml"/><Relationship Id="rId82"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5.png"/><Relationship Id="rId31" Type="http://schemas.openxmlformats.org/officeDocument/2006/relationships/footer" Target="footer9.xml"/><Relationship Id="rId44" Type="http://schemas.openxmlformats.org/officeDocument/2006/relationships/footer" Target="footer12.xml"/><Relationship Id="rId52" Type="http://schemas.openxmlformats.org/officeDocument/2006/relationships/footer" Target="footer16.xml"/><Relationship Id="rId60" Type="http://schemas.openxmlformats.org/officeDocument/2006/relationships/footer" Target="footer20.xml"/><Relationship Id="rId65" Type="http://schemas.openxmlformats.org/officeDocument/2006/relationships/header" Target="header28.xml"/><Relationship Id="rId73" Type="http://schemas.openxmlformats.org/officeDocument/2006/relationships/image" Target="media/image9.emf"/><Relationship Id="rId78" Type="http://schemas.openxmlformats.org/officeDocument/2006/relationships/header" Target="header34.xml"/><Relationship Id="rId81" Type="http://schemas.openxmlformats.org/officeDocument/2006/relationships/footer" Target="footer3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header" Target="header17.xml"/><Relationship Id="rId48" Type="http://schemas.openxmlformats.org/officeDocument/2006/relationships/footer" Target="footer14.xml"/><Relationship Id="rId56" Type="http://schemas.openxmlformats.org/officeDocument/2006/relationships/footer" Target="footer18.xml"/><Relationship Id="rId64" Type="http://schemas.openxmlformats.org/officeDocument/2006/relationships/footer" Target="footer22.xml"/><Relationship Id="rId69" Type="http://schemas.openxmlformats.org/officeDocument/2006/relationships/header" Target="header30.xml"/><Relationship Id="rId77" Type="http://schemas.openxmlformats.org/officeDocument/2006/relationships/footer" Target="footer28.xml"/><Relationship Id="rId8" Type="http://schemas.openxmlformats.org/officeDocument/2006/relationships/header" Target="header1.xml"/><Relationship Id="rId51" Type="http://schemas.openxmlformats.org/officeDocument/2006/relationships/header" Target="header21.xml"/><Relationship Id="rId72" Type="http://schemas.openxmlformats.org/officeDocument/2006/relationships/footer" Target="footer26.xml"/><Relationship Id="rId80" Type="http://schemas.openxmlformats.org/officeDocument/2006/relationships/header" Target="header35.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3.png"/><Relationship Id="rId25" Type="http://schemas.openxmlformats.org/officeDocument/2006/relationships/footer" Target="footer6.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footer" Target="footer13.xml"/><Relationship Id="rId59" Type="http://schemas.openxmlformats.org/officeDocument/2006/relationships/header" Target="header25.xml"/><Relationship Id="rId67" Type="http://schemas.openxmlformats.org/officeDocument/2006/relationships/header" Target="header29.xml"/><Relationship Id="rId20" Type="http://schemas.openxmlformats.org/officeDocument/2006/relationships/image" Target="media/image6.png"/><Relationship Id="rId41" Type="http://schemas.openxmlformats.org/officeDocument/2006/relationships/header" Target="header16.xml"/><Relationship Id="rId54" Type="http://schemas.openxmlformats.org/officeDocument/2006/relationships/footer" Target="footer17.xml"/><Relationship Id="rId62" Type="http://schemas.openxmlformats.org/officeDocument/2006/relationships/footer" Target="footer21.xml"/><Relationship Id="rId70" Type="http://schemas.openxmlformats.org/officeDocument/2006/relationships/footer" Target="footer25.xml"/><Relationship Id="rId75" Type="http://schemas.openxmlformats.org/officeDocument/2006/relationships/footer" Target="footer27.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5.xml"/><Relationship Id="rId28" Type="http://schemas.openxmlformats.org/officeDocument/2006/relationships/header" Target="header8.xml"/><Relationship Id="rId36" Type="http://schemas.openxmlformats.org/officeDocument/2006/relationships/image" Target="media/image8.png"/><Relationship Id="rId49" Type="http://schemas.openxmlformats.org/officeDocument/2006/relationships/header" Target="header20.xml"/><Relationship Id="rId57" Type="http://schemas.openxmlformats.org/officeDocument/2006/relationships/header" Target="header2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528A92-70E8-425F-B094-0E7A26B57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239</Pages>
  <Words>65808</Words>
  <Characters>394850</Characters>
  <Application>Microsoft Office Word</Application>
  <DocSecurity>0</DocSecurity>
  <Lines>3290</Lines>
  <Paragraphs>919</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Part B, Section 9</vt:lpstr>
      <vt:lpstr>Part B, Section 9</vt:lpstr>
      <vt:lpstr>Part B, Section 9</vt:lpstr>
    </vt:vector>
  </TitlesOfParts>
  <Company>AFSSA</Company>
  <LinksUpToDate>false</LinksUpToDate>
  <CharactersWithSpaces>459739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9</dc:title>
  <dc:subject/>
  <dc:creator>Registration Report Working Group</dc:creator>
  <cp:keywords/>
  <dc:description/>
  <cp:lastModifiedBy>aam</cp:lastModifiedBy>
  <cp:revision>5</cp:revision>
  <cp:lastPrinted>2014-06-05T13:33:00Z</cp:lastPrinted>
  <dcterms:created xsi:type="dcterms:W3CDTF">2023-01-24T08:49:00Z</dcterms:created>
  <dcterms:modified xsi:type="dcterms:W3CDTF">2023-01-24T08:52:00Z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_to_AIP">
    <vt:i4>0</vt:i4>
  </property>
  <property fmtid="{D5CDD505-2E9C-101B-9397-08002B2CF9AE}" pid="3" name="AIDA Dossier Template">
    <vt:lpwstr>dRR 2015</vt:lpwstr>
  </property>
  <property fmtid="{D5CDD505-2E9C-101B-9397-08002B2CF9AE}" pid="4" name="AIDA Dossier Name">
    <vt:lpwstr>2020/2100971</vt:lpwstr>
  </property>
  <property fmtid="{D5CDD505-2E9C-101B-9397-08002B2CF9AE}" pid="5" name="AIDA Dossier Is Confidential">
    <vt:lpwstr>N</vt:lpwstr>
  </property>
  <property fmtid="{D5CDD505-2E9C-101B-9397-08002B2CF9AE}" pid="6" name="AIDA Dossier Section">
    <vt:lpwstr>9</vt:lpwstr>
  </property>
  <property fmtid="{D5CDD505-2E9C-101B-9397-08002B2CF9AE}" pid="7" name="MSIP_Label_c8c00982-80e1-41e6-a03a-12f4ca954faf_Enabled">
    <vt:lpwstr>True</vt:lpwstr>
  </property>
  <property fmtid="{D5CDD505-2E9C-101B-9397-08002B2CF9AE}" pid="8" name="MSIP_Label_c8c00982-80e1-41e6-a03a-12f4ca954faf_SiteId">
    <vt:lpwstr>ecaa386b-c8df-4ce0-ad01-740cbdb5ba55</vt:lpwstr>
  </property>
  <property fmtid="{D5CDD505-2E9C-101B-9397-08002B2CF9AE}" pid="9" name="MSIP_Label_c8c00982-80e1-41e6-a03a-12f4ca954faf_Owner">
    <vt:lpwstr>StengeDa@basfad.basf.net</vt:lpwstr>
  </property>
  <property fmtid="{D5CDD505-2E9C-101B-9397-08002B2CF9AE}" pid="10" name="MSIP_Label_c8c00982-80e1-41e6-a03a-12f4ca954faf_SetDate">
    <vt:lpwstr>2021-09-13T07:40:44.1523775Z</vt:lpwstr>
  </property>
  <property fmtid="{D5CDD505-2E9C-101B-9397-08002B2CF9AE}" pid="11" name="MSIP_Label_c8c00982-80e1-41e6-a03a-12f4ca954faf_Name">
    <vt:lpwstr>Internal</vt:lpwstr>
  </property>
  <property fmtid="{D5CDD505-2E9C-101B-9397-08002B2CF9AE}" pid="12" name="MSIP_Label_c8c00982-80e1-41e6-a03a-12f4ca954faf_Application">
    <vt:lpwstr>Microsoft Azure Information Protection</vt:lpwstr>
  </property>
  <property fmtid="{D5CDD505-2E9C-101B-9397-08002B2CF9AE}" pid="13" name="MSIP_Label_c8c00982-80e1-41e6-a03a-12f4ca954faf_ActionId">
    <vt:lpwstr>45928cf2-731d-42ec-8be3-ecaf214a4b49</vt:lpwstr>
  </property>
  <property fmtid="{D5CDD505-2E9C-101B-9397-08002B2CF9AE}" pid="14" name="MSIP_Label_c8c00982-80e1-41e6-a03a-12f4ca954faf_Extended_MSFT_Method">
    <vt:lpwstr>Automatic</vt:lpwstr>
  </property>
  <property fmtid="{D5CDD505-2E9C-101B-9397-08002B2CF9AE}" pid="15" name="MSIP_Label_06530cf4-8573-4c29-a912-bbcdac835909_Enabled">
    <vt:lpwstr>true</vt:lpwstr>
  </property>
  <property fmtid="{D5CDD505-2E9C-101B-9397-08002B2CF9AE}" pid="16" name="MSIP_Label_06530cf4-8573-4c29-a912-bbcdac835909_SetDate">
    <vt:lpwstr>2022-08-16T10:53:17Z</vt:lpwstr>
  </property>
  <property fmtid="{D5CDD505-2E9C-101B-9397-08002B2CF9AE}" pid="17" name="MSIP_Label_06530cf4-8573-4c29-a912-bbcdac835909_Method">
    <vt:lpwstr>Standard</vt:lpwstr>
  </property>
  <property fmtid="{D5CDD505-2E9C-101B-9397-08002B2CF9AE}" pid="18" name="MSIP_Label_06530cf4-8573-4c29-a912-bbcdac835909_Name">
    <vt:lpwstr>06530cf4-8573-4c29-a912-bbcdac835909</vt:lpwstr>
  </property>
  <property fmtid="{D5CDD505-2E9C-101B-9397-08002B2CF9AE}" pid="19" name="MSIP_Label_06530cf4-8573-4c29-a912-bbcdac835909_SiteId">
    <vt:lpwstr>ecaa386b-c8df-4ce0-ad01-740cbdb5ba55</vt:lpwstr>
  </property>
  <property fmtid="{D5CDD505-2E9C-101B-9397-08002B2CF9AE}" pid="20" name="MSIP_Label_06530cf4-8573-4c29-a912-bbcdac835909_ActionId">
    <vt:lpwstr>86561331-91c1-4bf7-a779-433192b27848</vt:lpwstr>
  </property>
  <property fmtid="{D5CDD505-2E9C-101B-9397-08002B2CF9AE}" pid="21" name="MSIP_Label_06530cf4-8573-4c29-a912-bbcdac835909_ContentBits">
    <vt:lpwstr>2</vt:lpwstr>
  </property>
</Properties>
</file>